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5FE" w:rsidRPr="00147FA8" w:rsidRDefault="00AC05FE" w:rsidP="00147FA8">
      <w:pPr>
        <w:pStyle w:val="TOCHeading"/>
        <w:tabs>
          <w:tab w:val="left" w:leader="dot" w:pos="9072"/>
        </w:tabs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147FA8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Latvijas Republikas Augstākās tiesas Senāta spriedumi un lēmumi </w:t>
      </w:r>
      <w:r w:rsidR="00044958">
        <w:rPr>
          <w:rFonts w:ascii="Times New Roman" w:hAnsi="Times New Roman" w:cs="Times New Roman"/>
          <w:color w:val="auto"/>
          <w:sz w:val="24"/>
          <w:szCs w:val="24"/>
          <w:lang w:val="lv-LV"/>
        </w:rPr>
        <w:t>2009</w:t>
      </w:r>
      <w:r w:rsidRPr="00147FA8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</w:p>
    <w:p w:rsidR="00147FA8" w:rsidRDefault="00147FA8" w:rsidP="00147FA8">
      <w:pPr>
        <w:pStyle w:val="TOCHeading"/>
        <w:tabs>
          <w:tab w:val="left" w:leader="dot" w:pos="9072"/>
        </w:tabs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727FB" w:rsidRPr="00421C8C" w:rsidRDefault="008727FB" w:rsidP="00147FA8">
      <w:pPr>
        <w:pStyle w:val="TOCHeading"/>
        <w:tabs>
          <w:tab w:val="left" w:leader="dot" w:pos="9072"/>
        </w:tabs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21C8C">
        <w:rPr>
          <w:rFonts w:ascii="Times New Roman" w:hAnsi="Times New Roman" w:cs="Times New Roman"/>
          <w:color w:val="auto"/>
          <w:sz w:val="24"/>
          <w:szCs w:val="24"/>
        </w:rPr>
        <w:t>SATURS</w:t>
      </w:r>
    </w:p>
    <w:p w:rsidR="008727FB" w:rsidRPr="00421C8C" w:rsidRDefault="008727F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  <w:lang w:val="en-US"/>
        </w:rPr>
      </w:pPr>
    </w:p>
    <w:p w:rsidR="008727FB" w:rsidRPr="00033C90" w:rsidRDefault="00566633" w:rsidP="00147FA8">
      <w:pPr>
        <w:pStyle w:val="TOC2"/>
        <w:tabs>
          <w:tab w:val="left" w:leader="dot" w:pos="9072"/>
        </w:tabs>
        <w:spacing w:after="120"/>
      </w:pPr>
      <w:r w:rsidRPr="00033C90">
        <w:fldChar w:fldCharType="begin"/>
      </w:r>
      <w:r w:rsidR="008727FB" w:rsidRPr="00033C90">
        <w:instrText xml:space="preserve"> TOC \o "1-3" \h \z \u </w:instrText>
      </w:r>
      <w:r w:rsidRPr="00033C90">
        <w:fldChar w:fldCharType="separate"/>
      </w:r>
      <w:hyperlink w:anchor="_Toc410813903" w:history="1">
        <w:r w:rsidR="008727FB" w:rsidRPr="00033C90">
          <w:rPr>
            <w:rStyle w:val="Hyperlink"/>
            <w:rFonts w:ascii="Times New Roman" w:hAnsi="Times New Roman" w:cs="Times New Roman"/>
            <w:smallCaps w:val="0"/>
            <w:noProof/>
            <w:sz w:val="24"/>
            <w:szCs w:val="24"/>
            <w:lang w:val="en-US"/>
          </w:rPr>
          <w:t>Priekšvārds</w:t>
        </w:r>
        <w:r w:rsidR="00044958" w:rsidRPr="00033C90">
          <w:rPr>
            <w:rStyle w:val="Hyperlink"/>
            <w:rFonts w:ascii="Times New Roman" w:hAnsi="Times New Roman" w:cs="Times New Roman"/>
            <w:smallCaps w:val="0"/>
            <w:noProof/>
            <w:sz w:val="24"/>
            <w:szCs w:val="24"/>
            <w:lang w:val="en-US"/>
          </w:rPr>
          <w:t xml:space="preserve"> krājumam “Latvijas Republikas Augstākās tiesas Senāta spriedumi un lēmumi 2009”</w:t>
        </w:r>
        <w:r w:rsidR="008727FB" w:rsidRPr="00033C90">
          <w:rPr>
            <w:noProof/>
            <w:webHidden/>
          </w:rPr>
          <w:tab/>
        </w:r>
        <w:r w:rsidR="00044958" w:rsidRPr="00033C90">
          <w:rPr>
            <w:rFonts w:ascii="Times New Roman" w:hAnsi="Times New Roman" w:cs="Times New Roman"/>
            <w:noProof/>
            <w:webHidden/>
            <w:sz w:val="24"/>
            <w:szCs w:val="24"/>
          </w:rPr>
          <w:t>VI</w:t>
        </w:r>
      </w:hyperlink>
    </w:p>
    <w:p w:rsidR="00044958" w:rsidRPr="00033C90" w:rsidRDefault="00044958" w:rsidP="00044958">
      <w:pPr>
        <w:pStyle w:val="TOC2"/>
        <w:tabs>
          <w:tab w:val="left" w:leader="dot" w:pos="9072"/>
        </w:tabs>
        <w:spacing w:after="120"/>
      </w:pPr>
      <w:hyperlink w:anchor="_Toc410813903" w:history="1">
        <w:r w:rsidRPr="00033C90">
          <w:rPr>
            <w:rStyle w:val="Hyperlink"/>
            <w:rFonts w:ascii="Times New Roman" w:hAnsi="Times New Roman" w:cs="Times New Roman"/>
            <w:smallCaps w:val="0"/>
            <w:noProof/>
            <w:sz w:val="24"/>
            <w:szCs w:val="24"/>
            <w:lang w:val="en-US"/>
          </w:rPr>
          <w:t>Priekšvārds Augstākās tiesas Senāta Administratīvo lietu departamenta nolēmumu daļai</w:t>
        </w:r>
        <w:r w:rsidRPr="00033C90">
          <w:rPr>
            <w:noProof/>
            <w:webHidden/>
          </w:rPr>
          <w:tab/>
        </w:r>
        <w:r w:rsidRPr="00033C90">
          <w:rPr>
            <w:rFonts w:ascii="Times New Roman" w:hAnsi="Times New Roman" w:cs="Times New Roman"/>
            <w:noProof/>
            <w:webHidden/>
            <w:sz w:val="24"/>
            <w:szCs w:val="24"/>
          </w:rPr>
          <w:t>IX</w:t>
        </w:r>
      </w:hyperlink>
    </w:p>
    <w:p w:rsidR="00044958" w:rsidRPr="00033C90" w:rsidRDefault="00044958" w:rsidP="00044958">
      <w:pPr>
        <w:pStyle w:val="TOC2"/>
        <w:tabs>
          <w:tab w:val="left" w:leader="dot" w:pos="9072"/>
        </w:tabs>
        <w:spacing w:after="120"/>
      </w:pPr>
      <w:hyperlink w:anchor="_Toc410813903" w:history="1">
        <w:r w:rsidRPr="00033C90">
          <w:rPr>
            <w:rStyle w:val="Hyperlink"/>
            <w:rFonts w:ascii="Times New Roman" w:hAnsi="Times New Roman" w:cs="Times New Roman"/>
            <w:smallCaps w:val="0"/>
            <w:noProof/>
            <w:sz w:val="24"/>
            <w:szCs w:val="24"/>
            <w:lang w:val="en-US"/>
          </w:rPr>
          <w:t>Priekšvārds Augstākās tiesas Senāta Civillietu departamenta nolēmumu daļai</w:t>
        </w:r>
        <w:r w:rsidRPr="00033C90">
          <w:rPr>
            <w:noProof/>
            <w:webHidden/>
          </w:rPr>
          <w:tab/>
        </w:r>
        <w:r w:rsidRPr="00033C90">
          <w:rPr>
            <w:rFonts w:ascii="Times New Roman" w:hAnsi="Times New Roman" w:cs="Times New Roman"/>
            <w:noProof/>
            <w:webHidden/>
            <w:sz w:val="24"/>
            <w:szCs w:val="24"/>
          </w:rPr>
          <w:t>XIV</w:t>
        </w:r>
      </w:hyperlink>
    </w:p>
    <w:p w:rsidR="00044958" w:rsidRPr="00033C90" w:rsidRDefault="00044958" w:rsidP="00044958">
      <w:pPr>
        <w:pStyle w:val="TOC2"/>
        <w:tabs>
          <w:tab w:val="left" w:leader="dot" w:pos="9072"/>
        </w:tabs>
        <w:spacing w:after="120"/>
      </w:pPr>
      <w:hyperlink w:anchor="_Toc410813903" w:history="1">
        <w:r w:rsidRPr="00033C90">
          <w:rPr>
            <w:rStyle w:val="Hyperlink"/>
            <w:rFonts w:ascii="Times New Roman" w:hAnsi="Times New Roman" w:cs="Times New Roman"/>
            <w:smallCaps w:val="0"/>
            <w:noProof/>
            <w:sz w:val="24"/>
            <w:szCs w:val="24"/>
            <w:lang w:val="en-US"/>
          </w:rPr>
          <w:t>Priekšvārds Augstākās tiesas Senāta Krimināllietu departamenta nolēmumu daļai</w:t>
        </w:r>
        <w:r w:rsidRPr="00033C90">
          <w:rPr>
            <w:noProof/>
            <w:webHidden/>
          </w:rPr>
          <w:tab/>
        </w:r>
        <w:r w:rsidRPr="00033C90">
          <w:rPr>
            <w:rFonts w:ascii="Times New Roman" w:hAnsi="Times New Roman" w:cs="Times New Roman"/>
            <w:noProof/>
            <w:webHidden/>
            <w:sz w:val="24"/>
            <w:szCs w:val="24"/>
          </w:rPr>
          <w:t>XVI</w:t>
        </w:r>
      </w:hyperlink>
    </w:p>
    <w:p w:rsidR="00044958" w:rsidRPr="00033C90" w:rsidRDefault="00044958" w:rsidP="00044958">
      <w:pPr>
        <w:tabs>
          <w:tab w:val="left" w:leader="dot" w:pos="9072"/>
        </w:tabs>
        <w:rPr>
          <w:sz w:val="28"/>
          <w:szCs w:val="28"/>
        </w:rPr>
      </w:pPr>
    </w:p>
    <w:p w:rsidR="00044958" w:rsidRPr="00033C90" w:rsidRDefault="00044958" w:rsidP="0041381A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t xml:space="preserve">Latvijas Republikas Augstākās tiesas Senāta Administratīvo lietu departamenta spriedumi un </w:t>
      </w:r>
      <w:r w:rsidR="0041381A" w:rsidRPr="00033C90">
        <w:rPr>
          <w:b/>
          <w:szCs w:val="24"/>
        </w:rPr>
        <w:t> </w:t>
      </w:r>
      <w:r w:rsidRPr="00033C90">
        <w:rPr>
          <w:b/>
          <w:szCs w:val="24"/>
        </w:rPr>
        <w:t>lēmumi 2009</w:t>
      </w:r>
      <w:r w:rsidRPr="00033C90">
        <w:rPr>
          <w:b/>
          <w:szCs w:val="24"/>
        </w:rPr>
        <w:tab/>
        <w:t>A</w:t>
      </w:r>
    </w:p>
    <w:p w:rsidR="00044958" w:rsidRPr="00033C90" w:rsidRDefault="00044958" w:rsidP="0041381A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t>Krājuma “Latvijas Republikas Augstākās tiesas Senāta spriedumi un lēmumi 2009” Senāta Administratīvo lietu departamenta nolēmumu daļas anotācija</w:t>
      </w:r>
      <w:r w:rsidRPr="00033C90">
        <w:rPr>
          <w:b/>
          <w:szCs w:val="24"/>
        </w:rPr>
        <w:tab/>
        <w:t>A-7</w:t>
      </w:r>
    </w:p>
    <w:p w:rsidR="00287900" w:rsidRPr="00033C90" w:rsidRDefault="00287900" w:rsidP="00044958">
      <w:pPr>
        <w:tabs>
          <w:tab w:val="left" w:leader="dot" w:pos="9072"/>
        </w:tabs>
        <w:spacing w:after="120" w:line="240" w:lineRule="auto"/>
        <w:rPr>
          <w:b/>
        </w:rPr>
      </w:pPr>
    </w:p>
    <w:p w:rsidR="00044958" w:rsidRPr="00033C90" w:rsidRDefault="00044958" w:rsidP="00044958">
      <w:pPr>
        <w:tabs>
          <w:tab w:val="left" w:leader="dot" w:pos="9072"/>
        </w:tabs>
        <w:spacing w:after="120" w:line="240" w:lineRule="auto"/>
        <w:rPr>
          <w:b/>
        </w:rPr>
      </w:pPr>
      <w:r w:rsidRPr="00033C90">
        <w:rPr>
          <w:b/>
        </w:rPr>
        <w:t>I. Nolēmumi lietās par Valsts ieņēmumu dienesta lēmumiem vai faktisko rīcību</w:t>
      </w:r>
      <w:r w:rsidRPr="00033C90">
        <w:rPr>
          <w:b/>
        </w:rPr>
        <w:tab/>
        <w:t>A-15</w:t>
      </w:r>
    </w:p>
    <w:p w:rsidR="00E40546" w:rsidRPr="00033C90" w:rsidRDefault="00E40546" w:rsidP="00044958">
      <w:pPr>
        <w:tabs>
          <w:tab w:val="left" w:leader="dot" w:pos="9072"/>
        </w:tabs>
        <w:spacing w:after="120" w:line="240" w:lineRule="auto"/>
      </w:pPr>
      <w:r w:rsidRPr="00033C90">
        <w:t>Administratīvā pārkāpuma subjekts un tā vaina lietā par muitas procedūras piemērošanu kontrafaktām precēm (25. maija spriedums, lieta Nr. SKA-2/2009)</w:t>
      </w:r>
      <w:r w:rsidRPr="00033C90">
        <w:tab/>
        <w:t>A-15</w:t>
      </w:r>
    </w:p>
    <w:p w:rsidR="00287900" w:rsidRPr="00033C90" w:rsidRDefault="00287900" w:rsidP="00044958">
      <w:pPr>
        <w:tabs>
          <w:tab w:val="left" w:leader="dot" w:pos="9072"/>
        </w:tabs>
        <w:spacing w:after="120" w:line="240" w:lineRule="auto"/>
      </w:pPr>
      <w:r w:rsidRPr="00033C90">
        <w:t>Pārmaksātā nodokļa atmaksa pēc uzņēmuma maksātnespējas iestāšanās (18. jūnija spriedums, lieta Nr. SKA-257/2009)</w:t>
      </w:r>
      <w:r w:rsidRPr="00033C90">
        <w:tab/>
        <w:t>A-25</w:t>
      </w:r>
    </w:p>
    <w:p w:rsidR="00287900" w:rsidRPr="00033C90" w:rsidRDefault="00287900" w:rsidP="00044958">
      <w:pPr>
        <w:tabs>
          <w:tab w:val="left" w:leader="dot" w:pos="9072"/>
        </w:tabs>
        <w:spacing w:after="120" w:line="240" w:lineRule="auto"/>
      </w:pPr>
      <w:r w:rsidRPr="00033C90">
        <w:t>Ar iedzīvotāju ienākuma nodokli apliekamā ienākuma noteikšana uz aprēķinu pamata (21. oktobra spriedums, lieta Nr. SKA-339/2009)</w:t>
      </w:r>
      <w:r w:rsidRPr="00033C90">
        <w:tab/>
        <w:t>A-32</w:t>
      </w:r>
    </w:p>
    <w:p w:rsidR="00287900" w:rsidRPr="00033C90" w:rsidRDefault="00287900" w:rsidP="00044958">
      <w:pPr>
        <w:tabs>
          <w:tab w:val="left" w:leader="dot" w:pos="9072"/>
        </w:tabs>
        <w:spacing w:after="120" w:line="240" w:lineRule="auto"/>
      </w:pPr>
      <w:r w:rsidRPr="00033C90">
        <w:t>Tiesību normu piemērošana faktiskajiem apstākļiem, kas norisinājušies noteiktu laika posmu (29. oktobra spriedums, lieta Nr. SKA-358/2009)</w:t>
      </w:r>
      <w:r w:rsidRPr="00033C90">
        <w:tab/>
        <w:t>A-38</w:t>
      </w:r>
    </w:p>
    <w:p w:rsidR="00287900" w:rsidRPr="00033C90" w:rsidRDefault="00287900" w:rsidP="00044958">
      <w:pPr>
        <w:tabs>
          <w:tab w:val="left" w:leader="dot" w:pos="9072"/>
        </w:tabs>
        <w:spacing w:after="120" w:line="240" w:lineRule="auto"/>
      </w:pPr>
      <w:r w:rsidRPr="00033C90">
        <w:t>Eksportējošās valsts muitas iestādes izsniegta preču kustības sertifikāta atzīšana Latvijas Republikā (14. decembra spriedums, lieta Nr. SKA-499/2009)</w:t>
      </w:r>
      <w:r w:rsidRPr="00033C90">
        <w:tab/>
        <w:t>A-42</w:t>
      </w:r>
    </w:p>
    <w:p w:rsidR="00E40546" w:rsidRPr="00033C90" w:rsidRDefault="00E40546" w:rsidP="00044958">
      <w:pPr>
        <w:tabs>
          <w:tab w:val="left" w:leader="dot" w:pos="9072"/>
        </w:tabs>
        <w:spacing w:after="120" w:line="240" w:lineRule="auto"/>
      </w:pPr>
      <w:r w:rsidRPr="00033C90">
        <w:t xml:space="preserve"> </w:t>
      </w:r>
    </w:p>
    <w:p w:rsidR="00044958" w:rsidRPr="00033C90" w:rsidRDefault="00044958" w:rsidP="00044958">
      <w:pPr>
        <w:tabs>
          <w:tab w:val="left" w:leader="dot" w:pos="9072"/>
        </w:tabs>
        <w:spacing w:after="120" w:line="240" w:lineRule="auto"/>
        <w:rPr>
          <w:b/>
        </w:rPr>
      </w:pPr>
      <w:r w:rsidRPr="00033C90">
        <w:rPr>
          <w:b/>
        </w:rPr>
        <w:t>II. Nolēmumi lietās par pašvaldību lēmumiem vai faktisko rīcību</w:t>
      </w:r>
      <w:r w:rsidRPr="00033C90">
        <w:rPr>
          <w:b/>
        </w:rPr>
        <w:tab/>
        <w:t>A-47</w:t>
      </w:r>
    </w:p>
    <w:p w:rsidR="003A5581" w:rsidRPr="00033C90" w:rsidRDefault="003A5581" w:rsidP="003A5581">
      <w:pPr>
        <w:tabs>
          <w:tab w:val="left" w:leader="dot" w:pos="9072"/>
        </w:tabs>
        <w:spacing w:after="0" w:line="240" w:lineRule="auto"/>
      </w:pPr>
      <w:r w:rsidRPr="00033C90">
        <w:t xml:space="preserve">Atlīdzinājuma noteikšana par personisko kaitējumu </w:t>
      </w:r>
    </w:p>
    <w:p w:rsidR="003A5581" w:rsidRPr="00033C90" w:rsidRDefault="003A5581" w:rsidP="003A5581">
      <w:pPr>
        <w:tabs>
          <w:tab w:val="left" w:leader="dot" w:pos="9072"/>
        </w:tabs>
        <w:spacing w:after="120" w:line="240" w:lineRule="auto"/>
      </w:pPr>
      <w:r w:rsidRPr="00033C90">
        <w:t>(23. aprīļa spriedums, lieta Nr. SKA-92/2009)</w:t>
      </w:r>
      <w:r w:rsidRPr="00033C90">
        <w:tab/>
        <w:t>A-47</w:t>
      </w:r>
    </w:p>
    <w:p w:rsidR="003A5581" w:rsidRPr="00033C90" w:rsidRDefault="003A5581" w:rsidP="003A5581">
      <w:pPr>
        <w:tabs>
          <w:tab w:val="left" w:leader="dot" w:pos="9072"/>
        </w:tabs>
        <w:spacing w:after="120" w:line="240" w:lineRule="auto"/>
      </w:pPr>
      <w:r w:rsidRPr="00033C90">
        <w:t>Valstij piekrītošas brīvās zemes statusa noteikšana; administratīvā akta pārsūdzēšanas termiņš, ja personai par to nav paziņots (23. oktobra spriedums, lieta Nr. SKA-124/2009)</w:t>
      </w:r>
      <w:r w:rsidRPr="00033C90">
        <w:tab/>
        <w:t>A-51</w:t>
      </w:r>
    </w:p>
    <w:p w:rsidR="003A5581" w:rsidRPr="00033C90" w:rsidRDefault="003A5581" w:rsidP="003A5581">
      <w:pPr>
        <w:tabs>
          <w:tab w:val="left" w:leader="dot" w:pos="9072"/>
        </w:tabs>
        <w:spacing w:after="120" w:line="240" w:lineRule="auto"/>
      </w:pPr>
      <w:r w:rsidRPr="00033C90">
        <w:t>Dzīvokļa privatizācijas tiesību nodošana trešajai personai (23. oktobra spriedums lieta Nr. SKA-186/2009)</w:t>
      </w:r>
      <w:r w:rsidRPr="00033C90">
        <w:tab/>
        <w:t>A-64</w:t>
      </w:r>
    </w:p>
    <w:p w:rsidR="003A5581" w:rsidRPr="00033C90" w:rsidRDefault="003A5581" w:rsidP="003A5581">
      <w:pPr>
        <w:tabs>
          <w:tab w:val="left" w:leader="dot" w:pos="9072"/>
        </w:tabs>
        <w:spacing w:after="120" w:line="240" w:lineRule="auto"/>
      </w:pPr>
      <w:r w:rsidRPr="00033C90">
        <w:t>Ēkas nodošana ekspluatācijā kā priekšnoteikums dzīvojamās ēkas nodošanai privatizācijai (21. maija spriedums, lieta Nr. SKA-187/2009)</w:t>
      </w:r>
      <w:r w:rsidRPr="00033C90">
        <w:tab/>
        <w:t>A-68</w:t>
      </w:r>
    </w:p>
    <w:p w:rsidR="00416DCA" w:rsidRPr="00033C90" w:rsidRDefault="00416DCA" w:rsidP="00416DCA">
      <w:pPr>
        <w:tabs>
          <w:tab w:val="left" w:leader="dot" w:pos="9072"/>
        </w:tabs>
        <w:spacing w:after="0" w:line="240" w:lineRule="auto"/>
      </w:pPr>
      <w:r w:rsidRPr="00033C90">
        <w:t xml:space="preserve">Morālā kaitējuma atlīdzinājums zemnieka saimniecībai </w:t>
      </w:r>
    </w:p>
    <w:p w:rsidR="00416DCA" w:rsidRPr="00033C90" w:rsidRDefault="00416DCA" w:rsidP="00416DCA">
      <w:pPr>
        <w:tabs>
          <w:tab w:val="left" w:leader="dot" w:pos="9072"/>
        </w:tabs>
        <w:spacing w:after="120" w:line="240" w:lineRule="auto"/>
      </w:pPr>
      <w:r w:rsidRPr="00033C90">
        <w:t>(3. jūlija spriedums, lieta Nr. SKA-196/2009)</w:t>
      </w:r>
      <w:r w:rsidRPr="00033C90">
        <w:tab/>
        <w:t>A-75</w:t>
      </w:r>
    </w:p>
    <w:p w:rsidR="00416DCA" w:rsidRPr="00033C90" w:rsidRDefault="00416DCA" w:rsidP="00416DCA">
      <w:pPr>
        <w:tabs>
          <w:tab w:val="left" w:leader="dot" w:pos="9072"/>
        </w:tabs>
        <w:spacing w:after="120" w:line="240" w:lineRule="auto"/>
      </w:pPr>
      <w:r w:rsidRPr="00033C90">
        <w:t>Nekustamā īpašuma privatizācijas ierosinājuma atteikuma pamatojums (11. jūnija spriedums, lieta Nr. SKA-210/2009)</w:t>
      </w:r>
      <w:r w:rsidRPr="00033C90">
        <w:tab/>
        <w:t>A-84</w:t>
      </w:r>
    </w:p>
    <w:p w:rsidR="00416DCA" w:rsidRPr="00033C90" w:rsidRDefault="00416DCA" w:rsidP="00416DCA">
      <w:pPr>
        <w:tabs>
          <w:tab w:val="left" w:leader="dot" w:pos="9072"/>
        </w:tabs>
        <w:spacing w:after="120" w:line="240" w:lineRule="auto"/>
      </w:pPr>
      <w:r w:rsidRPr="00033C90">
        <w:lastRenderedPageBreak/>
        <w:t>Noteicošais brīdis tiesisko un faktisko apstākļu vērtēšanai prasījumā par administratīvā akta izdošanu; dzīvojamās mājas privatizācija speciālās ekonomiskās zonas teritorijā (11. decembra spriedums, lieta Nr. SKA-345/2009)</w:t>
      </w:r>
      <w:r w:rsidRPr="00033C90">
        <w:tab/>
        <w:t>A-91</w:t>
      </w:r>
    </w:p>
    <w:p w:rsidR="00416DCA" w:rsidRPr="00033C90" w:rsidRDefault="00086B61" w:rsidP="00416DCA">
      <w:pPr>
        <w:tabs>
          <w:tab w:val="left" w:leader="dot" w:pos="9072"/>
        </w:tabs>
        <w:spacing w:after="120" w:line="240" w:lineRule="auto"/>
      </w:pPr>
      <w:r w:rsidRPr="00033C90">
        <w:t>Kārtība bērnu uzņemšanai ārpus kārtas pirms</w:t>
      </w:r>
      <w:r w:rsidR="009631EE" w:rsidRPr="00033C90">
        <w:t>s</w:t>
      </w:r>
      <w:r w:rsidRPr="00033C90">
        <w:t>kolas izglītības iestādē (10. novembra spriedums, lieta Nr. SKA-759/2009)</w:t>
      </w:r>
      <w:r w:rsidRPr="00033C90">
        <w:tab/>
        <w:t>A-99</w:t>
      </w:r>
    </w:p>
    <w:p w:rsidR="003A5581" w:rsidRPr="00033C90" w:rsidRDefault="003A5581" w:rsidP="00416DCA">
      <w:pPr>
        <w:tabs>
          <w:tab w:val="left" w:leader="dot" w:pos="9072"/>
        </w:tabs>
        <w:spacing w:after="120" w:line="240" w:lineRule="auto"/>
      </w:pPr>
      <w:r w:rsidRPr="00033C90">
        <w:t xml:space="preserve"> </w:t>
      </w:r>
    </w:p>
    <w:p w:rsidR="00044958" w:rsidRPr="00033C90" w:rsidRDefault="00044958" w:rsidP="003A5581">
      <w:pPr>
        <w:tabs>
          <w:tab w:val="left" w:leader="dot" w:pos="9072"/>
        </w:tabs>
        <w:spacing w:after="120" w:line="240" w:lineRule="auto"/>
        <w:rPr>
          <w:b/>
        </w:rPr>
      </w:pPr>
      <w:r w:rsidRPr="00033C90">
        <w:rPr>
          <w:b/>
        </w:rPr>
        <w:t>III. Nolēmumi lietās par citu iestāžu lēmumiem vai faktisko rīcību</w:t>
      </w:r>
      <w:r w:rsidRPr="00033C90">
        <w:rPr>
          <w:b/>
        </w:rPr>
        <w:tab/>
        <w:t>A-108</w:t>
      </w:r>
    </w:p>
    <w:p w:rsidR="00086B61" w:rsidRPr="00033C90" w:rsidRDefault="00086B61" w:rsidP="003A5581">
      <w:pPr>
        <w:tabs>
          <w:tab w:val="left" w:leader="dot" w:pos="9072"/>
        </w:tabs>
        <w:spacing w:after="120" w:line="240" w:lineRule="auto"/>
      </w:pPr>
      <w:r w:rsidRPr="00033C90">
        <w:t>Termiņuzturēšanās atļaujas piešķiršana humānu apsvērumu dēļ (2. aprīļa spriedums, lieta Nr. SKA-189/2009)</w:t>
      </w:r>
      <w:r w:rsidRPr="00033C90">
        <w:tab/>
        <w:t>A-108</w:t>
      </w:r>
    </w:p>
    <w:p w:rsidR="00086B61" w:rsidRPr="00033C90" w:rsidRDefault="00086B61" w:rsidP="003A5581">
      <w:pPr>
        <w:tabs>
          <w:tab w:val="left" w:leader="dot" w:pos="9072"/>
        </w:tabs>
        <w:spacing w:after="120" w:line="240" w:lineRule="auto"/>
      </w:pPr>
      <w:r w:rsidRPr="00033C90">
        <w:t>Patērētāju tiesību aizsardzības centra kā ārpustiesas strīdu izskatīšanas iestādes kompetence (23. novembra spriedums, lieta Nr. SKA-459/2009)</w:t>
      </w:r>
      <w:r w:rsidRPr="00033C90">
        <w:tab/>
        <w:t>A-114</w:t>
      </w:r>
    </w:p>
    <w:p w:rsidR="00086B61" w:rsidRPr="00033C90" w:rsidRDefault="00086B61" w:rsidP="003A5581">
      <w:pPr>
        <w:tabs>
          <w:tab w:val="left" w:leader="dot" w:pos="9072"/>
        </w:tabs>
        <w:spacing w:after="120" w:line="240" w:lineRule="auto"/>
      </w:pPr>
      <w:r w:rsidRPr="00033C90">
        <w:t>Valsts īpašuma - kopīpašumā esoša atsevišķa apbūvēta zemesgabala - privatizācija (10. decembra spriedums, lieta Nr. SKA-598/2009)</w:t>
      </w:r>
      <w:r w:rsidRPr="00033C90">
        <w:tab/>
        <w:t>A-119</w:t>
      </w:r>
    </w:p>
    <w:p w:rsidR="00086B61" w:rsidRPr="00033C90" w:rsidRDefault="00086B61" w:rsidP="003A5581">
      <w:pPr>
        <w:tabs>
          <w:tab w:val="left" w:leader="dot" w:pos="9072"/>
        </w:tabs>
        <w:spacing w:after="120" w:line="240" w:lineRule="auto"/>
      </w:pPr>
    </w:p>
    <w:p w:rsidR="0041381A" w:rsidRPr="00033C90" w:rsidRDefault="00044958" w:rsidP="00044958">
      <w:pPr>
        <w:tabs>
          <w:tab w:val="left" w:leader="dot" w:pos="9072"/>
        </w:tabs>
        <w:spacing w:after="120" w:line="240" w:lineRule="auto"/>
        <w:rPr>
          <w:b/>
        </w:rPr>
      </w:pPr>
      <w:r w:rsidRPr="00033C90">
        <w:rPr>
          <w:b/>
        </w:rPr>
        <w:t>IV. Nolēmumi par pieteikuma vai lietas pakļautību izskatīšanai administratīvā procesa kārtībā un personas subjektīvajām tiesībām iesniegt pieteikumu tiesā</w:t>
      </w:r>
      <w:r w:rsidRPr="00033C90">
        <w:rPr>
          <w:b/>
        </w:rPr>
        <w:tab/>
      </w:r>
      <w:r w:rsidR="0041381A" w:rsidRPr="00033C90">
        <w:rPr>
          <w:b/>
        </w:rPr>
        <w:t>A-127</w:t>
      </w:r>
    </w:p>
    <w:p w:rsidR="00774464" w:rsidRPr="00033C90" w:rsidRDefault="00774464" w:rsidP="00044958">
      <w:pPr>
        <w:tabs>
          <w:tab w:val="left" w:leader="dot" w:pos="9072"/>
        </w:tabs>
        <w:spacing w:after="120" w:line="240" w:lineRule="auto"/>
      </w:pPr>
      <w:r w:rsidRPr="00033C90">
        <w:t>Valsts kontroles lēmuma par revīzijas ziņojuma apstiprināšanu pārsūdzamība (22. aprīļa lēmums, lieta Nr. 5-14/2-2009)</w:t>
      </w:r>
      <w:r w:rsidRPr="00033C90">
        <w:tab/>
        <w:t>A-127</w:t>
      </w:r>
    </w:p>
    <w:p w:rsidR="00774464" w:rsidRPr="00033C90" w:rsidRDefault="00774464" w:rsidP="00044958">
      <w:pPr>
        <w:tabs>
          <w:tab w:val="left" w:leader="dot" w:pos="9072"/>
        </w:tabs>
        <w:spacing w:after="120" w:line="240" w:lineRule="auto"/>
      </w:pPr>
      <w:r w:rsidRPr="00033C90">
        <w:t>Pašvaldības pienākuma nodrošināt siltumapgādes pakalpojumus nepildīšana (faktiskā rīcība) (16. februāra spriedums, lieta Nr. SKA-16/2009)</w:t>
      </w:r>
      <w:r w:rsidRPr="00033C90">
        <w:tab/>
        <w:t>A-132</w:t>
      </w:r>
    </w:p>
    <w:p w:rsidR="00774464" w:rsidRPr="00033C90" w:rsidRDefault="00774464" w:rsidP="00044958">
      <w:pPr>
        <w:tabs>
          <w:tab w:val="left" w:leader="dot" w:pos="9072"/>
        </w:tabs>
        <w:spacing w:after="120" w:line="240" w:lineRule="auto"/>
      </w:pPr>
      <w:r w:rsidRPr="00033C90">
        <w:t>Tehniskās inventarizācijas (kadastrālās uzmērīšanas) lietas tiesiskā daba (30. janvāra lēmums, lieta Nr. SKA-49/2009)</w:t>
      </w:r>
      <w:r w:rsidRPr="00033C90">
        <w:tab/>
        <w:t>A-137</w:t>
      </w:r>
    </w:p>
    <w:p w:rsidR="00774464" w:rsidRPr="00033C90" w:rsidRDefault="00774464" w:rsidP="00044958">
      <w:pPr>
        <w:tabs>
          <w:tab w:val="left" w:leader="dot" w:pos="9072"/>
        </w:tabs>
        <w:spacing w:after="120" w:line="240" w:lineRule="auto"/>
      </w:pPr>
      <w:r w:rsidRPr="00033C90">
        <w:t>Lēmuma par valsts civildienesta ierēdņa pārcelšanu citā amatā tiesiskā daba (27. februāra lēmums, lieta Nr. SKA-123/2009)</w:t>
      </w:r>
      <w:r w:rsidRPr="00033C90">
        <w:tab/>
        <w:t>A-145</w:t>
      </w:r>
    </w:p>
    <w:p w:rsidR="00774464" w:rsidRPr="00033C90" w:rsidRDefault="00774464" w:rsidP="00044958">
      <w:pPr>
        <w:tabs>
          <w:tab w:val="left" w:leader="dot" w:pos="9072"/>
        </w:tabs>
        <w:spacing w:after="120" w:line="240" w:lineRule="auto"/>
      </w:pPr>
      <w:r w:rsidRPr="00033C90">
        <w:t>Zaudējumu izskatīšanas kārtība, kas radušies, tiesai glabājot kriminālprocesā izņemtos lietiskos pierādījumus (</w:t>
      </w:r>
      <w:r w:rsidR="00921DF7" w:rsidRPr="00033C90">
        <w:t>30. jūnija lēmums, lieta Nr. SKA-183/2009</w:t>
      </w:r>
      <w:r w:rsidRPr="00033C90">
        <w:t>)</w:t>
      </w:r>
      <w:r w:rsidR="00921DF7" w:rsidRPr="00033C90">
        <w:tab/>
        <w:t>A-155</w:t>
      </w:r>
    </w:p>
    <w:p w:rsidR="00921DF7" w:rsidRPr="00033C90" w:rsidRDefault="00921DF7" w:rsidP="00044958">
      <w:pPr>
        <w:tabs>
          <w:tab w:val="left" w:leader="dot" w:pos="9072"/>
        </w:tabs>
        <w:spacing w:after="120" w:line="240" w:lineRule="auto"/>
      </w:pPr>
      <w:r w:rsidRPr="00033C90">
        <w:t>Ģenerālprokurora lēmuma anulēt speciālo atļauju pieejai valsts noslēpumam kontrole tiesā (24. marta lēmums, lieta Nr. SKA-278/2009)</w:t>
      </w:r>
      <w:r w:rsidRPr="00033C90">
        <w:tab/>
        <w:t>A-163</w:t>
      </w:r>
    </w:p>
    <w:p w:rsidR="00921DF7" w:rsidRPr="00033C90" w:rsidRDefault="00D073FB" w:rsidP="00044958">
      <w:pPr>
        <w:tabs>
          <w:tab w:val="left" w:leader="dot" w:pos="9072"/>
        </w:tabs>
        <w:spacing w:after="120" w:line="240" w:lineRule="auto"/>
      </w:pPr>
      <w:r w:rsidRPr="00033C90">
        <w:t>Tādu būvniecības procesā izdoto tehnisko noteikumu kontrole tiesā, kuri rada personas tiesību un tiesisko interešu aizskārumu (13. oktobra lēmums, lieta Nr. SKA-624/2009)</w:t>
      </w:r>
      <w:r w:rsidRPr="00033C90">
        <w:tab/>
        <w:t>A-173</w:t>
      </w:r>
    </w:p>
    <w:p w:rsidR="00D073FB" w:rsidRPr="00033C90" w:rsidRDefault="00D073FB" w:rsidP="00044958">
      <w:pPr>
        <w:tabs>
          <w:tab w:val="left" w:leader="dot" w:pos="9072"/>
        </w:tabs>
        <w:spacing w:after="120" w:line="240" w:lineRule="auto"/>
      </w:pPr>
      <w:r w:rsidRPr="00033C90">
        <w:t>Valsts darba inspekcijas akta par nelaimes gadījumu darbā kontrole tiesā (9. novembra lēmums, lieta Nr. SKA-639/2009)</w:t>
      </w:r>
      <w:r w:rsidRPr="00033C90">
        <w:tab/>
        <w:t>A-181</w:t>
      </w:r>
    </w:p>
    <w:p w:rsidR="00D073FB" w:rsidRPr="00033C90" w:rsidRDefault="00D073FB" w:rsidP="00044958">
      <w:pPr>
        <w:tabs>
          <w:tab w:val="left" w:leader="dot" w:pos="9072"/>
        </w:tabs>
        <w:spacing w:after="120" w:line="240" w:lineRule="auto"/>
      </w:pPr>
      <w:r w:rsidRPr="00033C90">
        <w:t>Lēmuma kontrole par iepirkuma procedūras pārtraukšanu (30. oktobra lēmums, lieta Nr. SKA-735/2009)</w:t>
      </w:r>
      <w:r w:rsidRPr="00033C90">
        <w:tab/>
        <w:t>A-189</w:t>
      </w:r>
    </w:p>
    <w:p w:rsidR="00D073FB" w:rsidRPr="00033C90" w:rsidRDefault="00BE7760" w:rsidP="00044958">
      <w:pPr>
        <w:tabs>
          <w:tab w:val="left" w:leader="dot" w:pos="9072"/>
        </w:tabs>
        <w:spacing w:after="120" w:line="240" w:lineRule="auto"/>
      </w:pPr>
      <w:r w:rsidRPr="00033C90">
        <w:t>Lēmums, kas būtiski skar tiesneša kā īpaši pakļautas personas cilvēktiesības (23. oktobra lēmums, lieta Nr. SKA-798/2009)</w:t>
      </w:r>
      <w:r w:rsidRPr="00033C90">
        <w:tab/>
        <w:t>A-194</w:t>
      </w:r>
    </w:p>
    <w:p w:rsidR="00BE7760" w:rsidRPr="00033C90" w:rsidRDefault="00BE7760" w:rsidP="00044958">
      <w:pPr>
        <w:tabs>
          <w:tab w:val="left" w:leader="dot" w:pos="9072"/>
        </w:tabs>
        <w:spacing w:after="120" w:line="240" w:lineRule="auto"/>
      </w:pPr>
      <w:r w:rsidRPr="00033C90">
        <w:t>Konsorcija (personu apvienības) dalībnieku tiesības apstrīdēt iepirkuma procedūras rezultātus (23. novembra lēmums, lieta Nr. SKA-834/2009)</w:t>
      </w:r>
      <w:r w:rsidRPr="00033C90">
        <w:tab/>
        <w:t>A-198</w:t>
      </w:r>
    </w:p>
    <w:p w:rsidR="00BE7760" w:rsidRPr="00033C90" w:rsidRDefault="00BE7760" w:rsidP="00044958">
      <w:pPr>
        <w:tabs>
          <w:tab w:val="left" w:leader="dot" w:pos="9072"/>
        </w:tabs>
        <w:spacing w:after="120" w:line="240" w:lineRule="auto"/>
      </w:pPr>
      <w:r w:rsidRPr="00033C90">
        <w:t>Publiskā iepirkuma procedūrā noslēgta līguma tiesiskā daba (27. novembra lēmums, lieta Nr. SKA-853/2009)</w:t>
      </w:r>
      <w:r w:rsidRPr="00033C90">
        <w:tab/>
        <w:t>A-203</w:t>
      </w:r>
    </w:p>
    <w:p w:rsidR="00BE7760" w:rsidRPr="00033C90" w:rsidRDefault="00BE7760" w:rsidP="00044958">
      <w:pPr>
        <w:tabs>
          <w:tab w:val="left" w:leader="dot" w:pos="9072"/>
        </w:tabs>
        <w:spacing w:after="120" w:line="240" w:lineRule="auto"/>
      </w:pPr>
      <w:r w:rsidRPr="00033C90">
        <w:t>Prokuratūras rīcības pārsūdzēšana tiesā par privātpersonas koda norādīšanu uz aploksnes (4. decembra lēmums, lieta Nr. SKA-897/2009)</w:t>
      </w:r>
      <w:r w:rsidRPr="00033C90">
        <w:tab/>
        <w:t>A-208</w:t>
      </w:r>
    </w:p>
    <w:p w:rsidR="00BE7760" w:rsidRPr="00033C90" w:rsidRDefault="0082668C" w:rsidP="00044958">
      <w:pPr>
        <w:tabs>
          <w:tab w:val="left" w:leader="dot" w:pos="9072"/>
        </w:tabs>
        <w:spacing w:after="120" w:line="240" w:lineRule="auto"/>
      </w:pPr>
      <w:r w:rsidRPr="00033C90">
        <w:lastRenderedPageBreak/>
        <w:t>Valsts Prezidenta rīcības pārsūdzēšana tiesā par atbildes nesniegšanu uz iesniegumu (14. decembra lēmums, lieta Nr. SKA-916/2009)</w:t>
      </w:r>
      <w:r w:rsidRPr="00033C90">
        <w:tab/>
        <w:t>A-211</w:t>
      </w:r>
    </w:p>
    <w:p w:rsidR="00774464" w:rsidRPr="00033C90" w:rsidRDefault="00774464" w:rsidP="00044958">
      <w:pPr>
        <w:tabs>
          <w:tab w:val="left" w:leader="dot" w:pos="9072"/>
        </w:tabs>
        <w:spacing w:after="120" w:line="240" w:lineRule="auto"/>
        <w:rPr>
          <w:lang w:val="ru-RU"/>
        </w:rPr>
      </w:pPr>
    </w:p>
    <w:p w:rsidR="0041381A" w:rsidRPr="00033C90" w:rsidRDefault="0041381A" w:rsidP="00044958">
      <w:pPr>
        <w:tabs>
          <w:tab w:val="left" w:leader="dot" w:pos="9072"/>
        </w:tabs>
        <w:spacing w:after="120" w:line="240" w:lineRule="auto"/>
        <w:rPr>
          <w:b/>
        </w:rPr>
      </w:pPr>
      <w:r w:rsidRPr="00033C90">
        <w:rPr>
          <w:b/>
        </w:rPr>
        <w:t>V. Nolēmumi par citiem administratīvā procesa tiesību jautājumiem</w:t>
      </w:r>
      <w:r w:rsidRPr="00033C90">
        <w:rPr>
          <w:b/>
        </w:rPr>
        <w:tab/>
        <w:t>A-214</w:t>
      </w:r>
    </w:p>
    <w:p w:rsidR="0082668C" w:rsidRPr="00033C90" w:rsidRDefault="0082668C" w:rsidP="00044958">
      <w:pPr>
        <w:tabs>
          <w:tab w:val="left" w:leader="dot" w:pos="9072"/>
        </w:tabs>
        <w:spacing w:after="120" w:line="240" w:lineRule="auto"/>
      </w:pPr>
      <w:r w:rsidRPr="00033C90">
        <w:t>Procesuāla tiesas lēmuma pārsūdzēšanas kārtība (25. marta lēmums, lieta Nr. SKA-363/2009)</w:t>
      </w:r>
      <w:r w:rsidRPr="00033C90">
        <w:tab/>
        <w:t>A-214</w:t>
      </w:r>
    </w:p>
    <w:p w:rsidR="0082668C" w:rsidRPr="00033C90" w:rsidRDefault="0082668C" w:rsidP="0082668C">
      <w:pPr>
        <w:tabs>
          <w:tab w:val="left" w:leader="dot" w:pos="9072"/>
        </w:tabs>
        <w:spacing w:after="0" w:line="240" w:lineRule="auto"/>
      </w:pPr>
      <w:r w:rsidRPr="00033C90">
        <w:t xml:space="preserve">Mantojums kā pieteicējs administratīvajā procesā </w:t>
      </w:r>
    </w:p>
    <w:p w:rsidR="0082668C" w:rsidRPr="00033C90" w:rsidRDefault="0082668C" w:rsidP="0082668C">
      <w:pPr>
        <w:tabs>
          <w:tab w:val="left" w:leader="dot" w:pos="9072"/>
        </w:tabs>
        <w:spacing w:after="120" w:line="240" w:lineRule="auto"/>
      </w:pPr>
      <w:r w:rsidRPr="00033C90">
        <w:t>(24. jūlija lēmums, lieta Nr. SKA-594/2009)</w:t>
      </w:r>
      <w:r w:rsidRPr="00033C90">
        <w:tab/>
        <w:t>A-219</w:t>
      </w:r>
    </w:p>
    <w:p w:rsidR="0082668C" w:rsidRPr="00033C90" w:rsidRDefault="00391B89" w:rsidP="0082668C">
      <w:pPr>
        <w:tabs>
          <w:tab w:val="left" w:leader="dot" w:pos="9072"/>
        </w:tabs>
        <w:spacing w:after="120" w:line="240" w:lineRule="auto"/>
      </w:pPr>
      <w:r w:rsidRPr="00033C90">
        <w:t>Tiesvedības valoda administratīvajā procesā (18. augusta lēmums, lieta Nr. SKA-596/2009)</w:t>
      </w:r>
      <w:r w:rsidRPr="00033C90">
        <w:tab/>
        <w:t>A-223</w:t>
      </w:r>
    </w:p>
    <w:p w:rsidR="00391B89" w:rsidRPr="00033C90" w:rsidRDefault="004A10D4" w:rsidP="0082668C">
      <w:pPr>
        <w:tabs>
          <w:tab w:val="left" w:leader="dot" w:pos="9072"/>
        </w:tabs>
        <w:spacing w:after="120" w:line="240" w:lineRule="auto"/>
      </w:pPr>
      <w:r w:rsidRPr="00033C90">
        <w:t>Procesuālās darbības izpilde ar elektronisko sakaru institūcijas starpniecību (4. decembra lēmums, lieta Nr. SKA-917/2009)</w:t>
      </w:r>
      <w:r w:rsidRPr="00033C90">
        <w:tab/>
        <w:t>A-229</w:t>
      </w:r>
    </w:p>
    <w:p w:rsidR="004A10D4" w:rsidRPr="00033C90" w:rsidRDefault="004A10D4" w:rsidP="0082668C">
      <w:pPr>
        <w:tabs>
          <w:tab w:val="left" w:leader="dot" w:pos="9072"/>
        </w:tabs>
        <w:spacing w:after="120" w:line="240" w:lineRule="auto"/>
      </w:pPr>
      <w:r w:rsidRPr="00033C90">
        <w:t>Atteikšanās izskatīt acīmredzami nepamatotu pieteikumu (11. decembra lēmums, lieta Nr. SKA-920/2009)</w:t>
      </w:r>
      <w:r w:rsidRPr="00033C90">
        <w:tab/>
        <w:t>A-233</w:t>
      </w:r>
    </w:p>
    <w:p w:rsidR="0082668C" w:rsidRPr="00033C90" w:rsidRDefault="0082668C" w:rsidP="0082668C">
      <w:pPr>
        <w:tabs>
          <w:tab w:val="left" w:leader="dot" w:pos="9072"/>
        </w:tabs>
        <w:spacing w:after="120" w:line="240" w:lineRule="auto"/>
      </w:pPr>
    </w:p>
    <w:p w:rsidR="0041381A" w:rsidRPr="00033C90" w:rsidRDefault="0041381A" w:rsidP="00044958">
      <w:pPr>
        <w:tabs>
          <w:tab w:val="left" w:leader="dot" w:pos="9072"/>
        </w:tabs>
        <w:spacing w:after="120" w:line="240" w:lineRule="auto"/>
      </w:pPr>
      <w:r w:rsidRPr="00033C90">
        <w:t>Tiesas interpretēto jēdzienu rādītājs</w:t>
      </w:r>
      <w:r w:rsidRPr="00033C90">
        <w:tab/>
        <w:t>A-237</w:t>
      </w:r>
    </w:p>
    <w:p w:rsidR="0041381A" w:rsidRPr="00033C90" w:rsidRDefault="0041381A" w:rsidP="00044958">
      <w:pPr>
        <w:tabs>
          <w:tab w:val="left" w:leader="dot" w:pos="9072"/>
        </w:tabs>
        <w:spacing w:after="120" w:line="240" w:lineRule="auto"/>
      </w:pPr>
      <w:r w:rsidRPr="00033C90">
        <w:t>Jēdzienu alfabētiskais rādītājs</w:t>
      </w:r>
      <w:r w:rsidRPr="00033C90">
        <w:tab/>
        <w:t>A-247</w:t>
      </w:r>
    </w:p>
    <w:p w:rsidR="0041381A" w:rsidRPr="00033C90" w:rsidRDefault="0041381A" w:rsidP="00044958">
      <w:pPr>
        <w:tabs>
          <w:tab w:val="left" w:leader="dot" w:pos="9072"/>
        </w:tabs>
        <w:spacing w:after="120" w:line="240" w:lineRule="auto"/>
      </w:pPr>
      <w:r w:rsidRPr="00033C90">
        <w:t>Iestāžu rādītājs</w:t>
      </w:r>
      <w:r w:rsidRPr="00033C90">
        <w:tab/>
        <w:t>A-277</w:t>
      </w:r>
    </w:p>
    <w:p w:rsidR="0041381A" w:rsidRPr="00033C90" w:rsidRDefault="0041381A" w:rsidP="00044958">
      <w:pPr>
        <w:tabs>
          <w:tab w:val="left" w:leader="dot" w:pos="9072"/>
        </w:tabs>
        <w:spacing w:after="120" w:line="240" w:lineRule="auto"/>
      </w:pPr>
      <w:r w:rsidRPr="00033C90">
        <w:t>Tiesību aktu rādītājs</w:t>
      </w:r>
      <w:r w:rsidRPr="00033C90">
        <w:tab/>
        <w:t>A-279</w:t>
      </w:r>
    </w:p>
    <w:p w:rsidR="0041381A" w:rsidRPr="00033C90" w:rsidRDefault="0041381A" w:rsidP="00044958">
      <w:pPr>
        <w:tabs>
          <w:tab w:val="left" w:leader="dot" w:pos="9072"/>
        </w:tabs>
        <w:spacing w:after="120" w:line="240" w:lineRule="auto"/>
      </w:pPr>
      <w:r w:rsidRPr="00033C90">
        <w:t>Tēžu rādītājs</w:t>
      </w:r>
      <w:r w:rsidRPr="00033C90">
        <w:tab/>
        <w:t>A-291</w:t>
      </w:r>
    </w:p>
    <w:p w:rsidR="0041381A" w:rsidRPr="00033C90" w:rsidRDefault="0041381A" w:rsidP="00044958">
      <w:pPr>
        <w:tabs>
          <w:tab w:val="left" w:leader="dot" w:pos="9072"/>
        </w:tabs>
        <w:spacing w:after="120" w:line="240" w:lineRule="auto"/>
      </w:pPr>
      <w:r w:rsidRPr="00033C90">
        <w:t>Nolēmumu rādītājs, uz kuriem publicētajos nolēmumos dotas atsauces</w:t>
      </w:r>
      <w:r w:rsidRPr="00033C90">
        <w:tab/>
        <w:t>A-312</w:t>
      </w:r>
    </w:p>
    <w:p w:rsidR="0041381A" w:rsidRPr="00033C90" w:rsidRDefault="0041381A" w:rsidP="00044958">
      <w:pPr>
        <w:tabs>
          <w:tab w:val="left" w:leader="dot" w:pos="9072"/>
        </w:tabs>
        <w:spacing w:after="120" w:line="240" w:lineRule="auto"/>
      </w:pPr>
      <w:r w:rsidRPr="00033C90">
        <w:t xml:space="preserve">Citu avotu rādītājs, uz kuriem publicētajos nolēmumos dotas atsauces </w:t>
      </w:r>
      <w:r w:rsidRPr="00033C90">
        <w:tab/>
        <w:t>A-315</w:t>
      </w:r>
    </w:p>
    <w:p w:rsidR="0041381A" w:rsidRPr="00033C90" w:rsidRDefault="0041381A" w:rsidP="00044958">
      <w:pPr>
        <w:tabs>
          <w:tab w:val="left" w:leader="dot" w:pos="9072"/>
        </w:tabs>
        <w:spacing w:after="120" w:line="240" w:lineRule="auto"/>
      </w:pPr>
      <w:r w:rsidRPr="00033C90">
        <w:t>Publicēto nolēmumu rādītājs pēc lietu numuriem</w:t>
      </w:r>
      <w:r w:rsidRPr="00033C90">
        <w:tab/>
        <w:t>A-317</w:t>
      </w:r>
    </w:p>
    <w:p w:rsidR="0041381A" w:rsidRPr="00033C90" w:rsidRDefault="0041381A" w:rsidP="00044958">
      <w:pPr>
        <w:tabs>
          <w:tab w:val="left" w:leader="dot" w:pos="9072"/>
        </w:tabs>
        <w:spacing w:after="120" w:line="240" w:lineRule="auto"/>
      </w:pPr>
    </w:p>
    <w:p w:rsidR="0041381A" w:rsidRPr="00033C90" w:rsidRDefault="0041381A" w:rsidP="00044958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t>Latvijas Republikas Augstākās tiesas Senāta Civillietu departamenta spriedumi un  lēmumi 2009</w:t>
      </w:r>
      <w:r w:rsidRPr="00033C90">
        <w:rPr>
          <w:b/>
          <w:szCs w:val="24"/>
        </w:rPr>
        <w:tab/>
        <w:t>C</w:t>
      </w:r>
    </w:p>
    <w:p w:rsidR="0041381A" w:rsidRPr="00033C90" w:rsidRDefault="0041381A" w:rsidP="0041381A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t>Krājuma “Latvijas Republikas Augstākās tiesas Senāta spriedumi un lēmumi 2009” Senāta Civillietu departamenta nolēmumu daļas anotācija</w:t>
      </w:r>
      <w:r w:rsidRPr="00033C90">
        <w:rPr>
          <w:b/>
          <w:szCs w:val="24"/>
        </w:rPr>
        <w:tab/>
        <w:t>C-7</w:t>
      </w:r>
    </w:p>
    <w:p w:rsidR="004A10D4" w:rsidRPr="00033C90" w:rsidRDefault="004A10D4" w:rsidP="0041381A">
      <w:pPr>
        <w:tabs>
          <w:tab w:val="left" w:leader="dot" w:pos="9072"/>
        </w:tabs>
        <w:spacing w:after="120" w:line="240" w:lineRule="auto"/>
        <w:rPr>
          <w:b/>
          <w:szCs w:val="24"/>
        </w:rPr>
      </w:pPr>
    </w:p>
    <w:p w:rsidR="0041381A" w:rsidRPr="00033C90" w:rsidRDefault="0041381A" w:rsidP="0041381A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t>I. Nolēmumi, kas izriet no ģimenes tiesiskajām attiecībām</w:t>
      </w:r>
      <w:r w:rsidRPr="00033C90">
        <w:rPr>
          <w:b/>
          <w:szCs w:val="24"/>
        </w:rPr>
        <w:tab/>
        <w:t>C-11</w:t>
      </w:r>
    </w:p>
    <w:p w:rsidR="00903E67" w:rsidRPr="00033C90" w:rsidRDefault="00512690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Kreditoru un trešo personu tiesības, laulātajiem sadalot mantu</w:t>
      </w:r>
      <w:r w:rsidR="00903E67" w:rsidRPr="00033C90">
        <w:rPr>
          <w:szCs w:val="24"/>
        </w:rPr>
        <w:t xml:space="preserve"> (28. janvāra spriedums, lieta Nr. SKC-37/2009)</w:t>
      </w:r>
      <w:r w:rsidR="00903E67" w:rsidRPr="00033C90">
        <w:rPr>
          <w:szCs w:val="24"/>
        </w:rPr>
        <w:tab/>
        <w:t>C-11</w:t>
      </w:r>
    </w:p>
    <w:p w:rsidR="004A10D4" w:rsidRPr="00033C90" w:rsidRDefault="00512690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 xml:space="preserve"> </w:t>
      </w:r>
      <w:r w:rsidR="00903E67" w:rsidRPr="00033C90">
        <w:rPr>
          <w:szCs w:val="24"/>
        </w:rPr>
        <w:t>Uzturlīdzekļu piedziņa bērna ar īpašām vajadzībām uzturēšanai, kurš atrodas pilnā valsts aprūpē (25. februāra spriedums, lieta Nr. SKC-65/2009)</w:t>
      </w:r>
      <w:r w:rsidR="00903E67" w:rsidRPr="00033C90">
        <w:rPr>
          <w:szCs w:val="24"/>
        </w:rPr>
        <w:tab/>
        <w:t>C-23</w:t>
      </w:r>
    </w:p>
    <w:p w:rsidR="00903E67" w:rsidRPr="00033C90" w:rsidRDefault="00903E67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</w:p>
    <w:p w:rsidR="00903E67" w:rsidRPr="00033C90" w:rsidRDefault="0041381A" w:rsidP="0041381A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t xml:space="preserve">II. Nolēmumi mantojuma lietās </w:t>
      </w:r>
      <w:r w:rsidRPr="00033C90">
        <w:rPr>
          <w:b/>
          <w:szCs w:val="24"/>
        </w:rPr>
        <w:tab/>
        <w:t>C-28</w:t>
      </w:r>
    </w:p>
    <w:p w:rsidR="00903E67" w:rsidRPr="00033C90" w:rsidRDefault="00903E67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Substitūts (</w:t>
      </w:r>
      <w:r w:rsidR="005C1481" w:rsidRPr="00033C90">
        <w:rPr>
          <w:szCs w:val="24"/>
        </w:rPr>
        <w:t>14. janvāra spriedums, lieta Nr. SKC-5/2009</w:t>
      </w:r>
      <w:r w:rsidRPr="00033C90">
        <w:rPr>
          <w:szCs w:val="24"/>
        </w:rPr>
        <w:t>)</w:t>
      </w:r>
      <w:r w:rsidR="005C1481" w:rsidRPr="00033C90">
        <w:rPr>
          <w:szCs w:val="24"/>
        </w:rPr>
        <w:tab/>
        <w:t>C-28</w:t>
      </w:r>
    </w:p>
    <w:p w:rsidR="005C1481" w:rsidRPr="00033C90" w:rsidRDefault="005C1481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Mantojuma līguma sekas (25. marta spriedums, lieta Nr. SKC-113/2009)</w:t>
      </w:r>
      <w:r w:rsidRPr="00033C90">
        <w:rPr>
          <w:szCs w:val="24"/>
        </w:rPr>
        <w:tab/>
        <w:t>C-34</w:t>
      </w:r>
    </w:p>
    <w:p w:rsidR="005C1481" w:rsidRPr="00033C90" w:rsidRDefault="005C1481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</w:p>
    <w:p w:rsidR="005C1481" w:rsidRPr="00033C90" w:rsidRDefault="005C1481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</w:p>
    <w:p w:rsidR="005C1481" w:rsidRPr="00033C90" w:rsidRDefault="005C1481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</w:p>
    <w:p w:rsidR="0041381A" w:rsidRPr="00033C90" w:rsidRDefault="0041381A" w:rsidP="0041381A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lastRenderedPageBreak/>
        <w:t>III. Nolēmumi, kas izriet no lietu tiesībām</w:t>
      </w:r>
      <w:r w:rsidRPr="00033C90">
        <w:rPr>
          <w:b/>
          <w:szCs w:val="24"/>
        </w:rPr>
        <w:tab/>
        <w:t>C-41</w:t>
      </w:r>
    </w:p>
    <w:p w:rsidR="005C1481" w:rsidRPr="00033C90" w:rsidRDefault="005C1481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Kopīpašuma dalīšana (25. februāra spriedums, lieta Nr. SKC-54/2009)</w:t>
      </w:r>
      <w:r w:rsidRPr="00033C90">
        <w:rPr>
          <w:szCs w:val="24"/>
        </w:rPr>
        <w:tab/>
        <w:t>C-41</w:t>
      </w:r>
    </w:p>
    <w:p w:rsidR="005C1481" w:rsidRPr="00033C90" w:rsidRDefault="005C1481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Ceļa servitūta nodibināšana (12. augusta spriedums, lieta Nr. SKC-192/2009)</w:t>
      </w:r>
      <w:r w:rsidRPr="00033C90">
        <w:rPr>
          <w:szCs w:val="24"/>
        </w:rPr>
        <w:tab/>
        <w:t>C-46</w:t>
      </w:r>
    </w:p>
    <w:p w:rsidR="005C1481" w:rsidRPr="00033C90" w:rsidRDefault="005C1481" w:rsidP="0041381A">
      <w:pPr>
        <w:tabs>
          <w:tab w:val="left" w:leader="dot" w:pos="9072"/>
        </w:tabs>
        <w:spacing w:after="120" w:line="240" w:lineRule="auto"/>
        <w:rPr>
          <w:b/>
          <w:szCs w:val="24"/>
        </w:rPr>
      </w:pPr>
    </w:p>
    <w:p w:rsidR="0041381A" w:rsidRPr="00033C90" w:rsidRDefault="0041381A" w:rsidP="0041381A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t>IV. Nolēmumi, kas izriet no saistību tiesībām</w:t>
      </w:r>
      <w:r w:rsidRPr="00033C90">
        <w:rPr>
          <w:b/>
          <w:szCs w:val="24"/>
        </w:rPr>
        <w:tab/>
        <w:t>C-51</w:t>
      </w:r>
    </w:p>
    <w:p w:rsidR="005C1481" w:rsidRPr="00033C90" w:rsidRDefault="005C1481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Nomas līguma termiņi (28. janvāra spriedums, lieta Nr. SKC-18/2009)</w:t>
      </w:r>
      <w:r w:rsidRPr="00033C90">
        <w:rPr>
          <w:szCs w:val="24"/>
        </w:rPr>
        <w:tab/>
        <w:t>C-51</w:t>
      </w:r>
    </w:p>
    <w:p w:rsidR="005C1481" w:rsidRPr="00033C90" w:rsidRDefault="005C1481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Solidāra atbildība (28. janvāra spriedums, lieta Nr. SKC-32/2009)</w:t>
      </w:r>
      <w:r w:rsidRPr="00033C90">
        <w:rPr>
          <w:szCs w:val="24"/>
        </w:rPr>
        <w:tab/>
        <w:t>C-60</w:t>
      </w:r>
    </w:p>
    <w:p w:rsidR="005C1481" w:rsidRPr="00033C90" w:rsidRDefault="0061656A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Atsavinātāja atbildība (3. jūnija spriedums, lieta Nr. SKC-185/2009)</w:t>
      </w:r>
      <w:r w:rsidRPr="00033C90">
        <w:rPr>
          <w:szCs w:val="24"/>
        </w:rPr>
        <w:tab/>
        <w:t>C-67</w:t>
      </w:r>
    </w:p>
    <w:p w:rsidR="0061656A" w:rsidRPr="00033C90" w:rsidRDefault="0061656A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Solidārā atbildība par zaudējumiem, kas nodarīti noziedzīgu nodarījumu rezultātā (9. septembra spriedums, lieta Nr. </w:t>
      </w:r>
      <w:r w:rsidR="00700E7B" w:rsidRPr="00033C90">
        <w:rPr>
          <w:szCs w:val="24"/>
        </w:rPr>
        <w:t>SKC-205/2009</w:t>
      </w:r>
      <w:r w:rsidRPr="00033C90">
        <w:rPr>
          <w:szCs w:val="24"/>
        </w:rPr>
        <w:t>)</w:t>
      </w:r>
      <w:r w:rsidR="00700E7B" w:rsidRPr="00033C90">
        <w:rPr>
          <w:szCs w:val="24"/>
        </w:rPr>
        <w:tab/>
        <w:t>C-74</w:t>
      </w:r>
    </w:p>
    <w:p w:rsidR="00700E7B" w:rsidRPr="00033C90" w:rsidRDefault="00700E7B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Godu un cieņu aizskarošas ziņas (25. novembra spriedums, lieta Nr. SKC-276/2009)</w:t>
      </w:r>
      <w:r w:rsidRPr="00033C90">
        <w:rPr>
          <w:szCs w:val="24"/>
        </w:rPr>
        <w:tab/>
        <w:t>C-78</w:t>
      </w:r>
    </w:p>
    <w:p w:rsidR="00700E7B" w:rsidRPr="00033C90" w:rsidRDefault="00700E7B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Klusā vietniecība (28. oktobra spriedums, lieta Nr. SKC-285/2009)</w:t>
      </w:r>
      <w:r w:rsidRPr="00033C90">
        <w:rPr>
          <w:szCs w:val="24"/>
        </w:rPr>
        <w:tab/>
        <w:t>C-92</w:t>
      </w:r>
    </w:p>
    <w:p w:rsidR="005C1481" w:rsidRPr="00033C90" w:rsidRDefault="005C1481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</w:p>
    <w:p w:rsidR="0041381A" w:rsidRPr="00033C90" w:rsidRDefault="001C1390" w:rsidP="0041381A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t>V. Nolēmumi, kas izriet no dzīvojamo telpu īres tiesiskajām attiecībām</w:t>
      </w:r>
      <w:r w:rsidRPr="00033C90">
        <w:rPr>
          <w:b/>
          <w:szCs w:val="24"/>
        </w:rPr>
        <w:tab/>
        <w:t>C-100</w:t>
      </w:r>
    </w:p>
    <w:p w:rsidR="00700E7B" w:rsidRPr="00033C90" w:rsidRDefault="009569E0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Atbildētājs prasībā par īres līguma noslēgšanu (14. janvāra spriedums, lieta Nr. SKC-8/2009)</w:t>
      </w:r>
      <w:r w:rsidRPr="00033C90">
        <w:rPr>
          <w:szCs w:val="24"/>
        </w:rPr>
        <w:tab/>
        <w:t>C-100</w:t>
      </w:r>
    </w:p>
    <w:p w:rsidR="009569E0" w:rsidRPr="00033C90" w:rsidRDefault="009569E0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Rakstveida brīdinājuma izsniegšana īres tiesisko attiecību pārtraukšanas gadījumā (28. oktobra spriedums, lieta Nr. SKC-242/2009)</w:t>
      </w:r>
      <w:r w:rsidRPr="00033C90">
        <w:rPr>
          <w:szCs w:val="24"/>
        </w:rPr>
        <w:tab/>
        <w:t>C-105</w:t>
      </w:r>
    </w:p>
    <w:p w:rsidR="009569E0" w:rsidRPr="00033C90" w:rsidRDefault="009569E0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</w:p>
    <w:p w:rsidR="001C1390" w:rsidRPr="00033C90" w:rsidRDefault="001C1390" w:rsidP="0041381A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t>VI. Nolēmumi, kas izriet no darba tiesiskajām attiecībām</w:t>
      </w:r>
      <w:r w:rsidRPr="00033C90">
        <w:rPr>
          <w:b/>
          <w:szCs w:val="24"/>
        </w:rPr>
        <w:tab/>
        <w:t>C-112</w:t>
      </w:r>
    </w:p>
    <w:p w:rsidR="009569E0" w:rsidRPr="00033C90" w:rsidRDefault="009569E0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Darba devēja uzteikuma patiesās dienas noteikšana; darbinieka uzteikuma tiesiskais raksturs un sekas (11. februāra spriedums, lieta Nr. SKC-49/2009)</w:t>
      </w:r>
      <w:r w:rsidRPr="00033C90">
        <w:rPr>
          <w:szCs w:val="24"/>
        </w:rPr>
        <w:tab/>
        <w:t>C-112</w:t>
      </w:r>
    </w:p>
    <w:p w:rsidR="009569E0" w:rsidRPr="00033C90" w:rsidRDefault="009569E0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Darba devēja uzteikums pārbaudes laikā (</w:t>
      </w:r>
      <w:r w:rsidR="00F7742C" w:rsidRPr="00033C90">
        <w:rPr>
          <w:szCs w:val="24"/>
        </w:rPr>
        <w:t>3. jūnija spriedums, lieta Nr. SKC-188/2009</w:t>
      </w:r>
      <w:r w:rsidRPr="00033C90">
        <w:rPr>
          <w:szCs w:val="24"/>
        </w:rPr>
        <w:t>)</w:t>
      </w:r>
      <w:r w:rsidR="00F7742C" w:rsidRPr="00033C90">
        <w:rPr>
          <w:szCs w:val="24"/>
        </w:rPr>
        <w:tab/>
        <w:t>C-118</w:t>
      </w:r>
    </w:p>
    <w:p w:rsidR="00466489" w:rsidRPr="00033C90" w:rsidRDefault="00466489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Darba sludinājuma juridiskā daba (17. </w:t>
      </w:r>
      <w:r w:rsidR="00DF20EB" w:rsidRPr="00033C90">
        <w:rPr>
          <w:szCs w:val="24"/>
        </w:rPr>
        <w:t>j</w:t>
      </w:r>
      <w:r w:rsidRPr="00033C90">
        <w:rPr>
          <w:szCs w:val="24"/>
        </w:rPr>
        <w:t>ūnija spriedums, lieta Nr. SKC-366/2009)</w:t>
      </w:r>
      <w:r w:rsidRPr="00033C90">
        <w:rPr>
          <w:szCs w:val="24"/>
        </w:rPr>
        <w:tab/>
        <w:t>C-122</w:t>
      </w:r>
    </w:p>
    <w:p w:rsidR="00466489" w:rsidRPr="00033C90" w:rsidRDefault="00466489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Pašvaldības izpilddirektora atlaišana no darba (3. jūnija spriedums, lieta Nr. SKC-403/2009)</w:t>
      </w:r>
      <w:r w:rsidRPr="00033C90">
        <w:rPr>
          <w:szCs w:val="24"/>
        </w:rPr>
        <w:tab/>
        <w:t>C-129</w:t>
      </w:r>
    </w:p>
    <w:p w:rsidR="00466489" w:rsidRPr="00033C90" w:rsidRDefault="00466489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"Labu tikumu" jēdziens, piemērojot Darba likuma normas (20. maija spriedums, lieta Nr. SKC-442/2009)</w:t>
      </w:r>
      <w:r w:rsidRPr="00033C90">
        <w:rPr>
          <w:szCs w:val="24"/>
        </w:rPr>
        <w:tab/>
        <w:t>C-137</w:t>
      </w:r>
    </w:p>
    <w:p w:rsidR="006436F7" w:rsidRPr="00033C90" w:rsidRDefault="00466489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Darba devēja uzteikuma un atstādināšanas no darba tiesiskums (14. oktobra spriedums, lieta Nr. SKC-891/2009)</w:t>
      </w:r>
      <w:r w:rsidRPr="00033C90">
        <w:rPr>
          <w:szCs w:val="24"/>
        </w:rPr>
        <w:tab/>
      </w:r>
      <w:r w:rsidR="006436F7" w:rsidRPr="00033C90">
        <w:rPr>
          <w:szCs w:val="24"/>
        </w:rPr>
        <w:t>C-148</w:t>
      </w:r>
    </w:p>
    <w:p w:rsidR="005E33C8" w:rsidRPr="00033C90" w:rsidRDefault="005E33C8" w:rsidP="005E33C8">
      <w:pPr>
        <w:tabs>
          <w:tab w:val="left" w:leader="dot" w:pos="9072"/>
        </w:tabs>
        <w:spacing w:after="0" w:line="240" w:lineRule="auto"/>
        <w:rPr>
          <w:szCs w:val="24"/>
        </w:rPr>
      </w:pPr>
      <w:r w:rsidRPr="00033C90">
        <w:rPr>
          <w:szCs w:val="24"/>
        </w:rPr>
        <w:t xml:space="preserve">Darba devēja tiesības atsaukt darba līguma uzteikumu </w:t>
      </w:r>
    </w:p>
    <w:p w:rsidR="00F7742C" w:rsidRPr="00033C90" w:rsidRDefault="005E33C8" w:rsidP="005E33C8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(14. oktobra spriedums, lieta Nr. SKC-896/2009)</w:t>
      </w:r>
      <w:r w:rsidRPr="00033C90">
        <w:rPr>
          <w:szCs w:val="24"/>
        </w:rPr>
        <w:tab/>
        <w:t>C-157</w:t>
      </w:r>
    </w:p>
    <w:p w:rsidR="005E33C8" w:rsidRPr="00033C90" w:rsidRDefault="005E33C8" w:rsidP="005E33C8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Atlīdzība par darba piespiedu kavējumu kā darba samaksas sastāvdaļa (14. oktobra spriedums, lieta Nr. SKC-899/2009)</w:t>
      </w:r>
      <w:r w:rsidRPr="00033C90">
        <w:rPr>
          <w:szCs w:val="24"/>
        </w:rPr>
        <w:tab/>
        <w:t>C-164</w:t>
      </w:r>
    </w:p>
    <w:p w:rsidR="001148FA" w:rsidRPr="00033C90" w:rsidRDefault="001148FA" w:rsidP="001148FA">
      <w:pPr>
        <w:tabs>
          <w:tab w:val="left" w:leader="dot" w:pos="9072"/>
        </w:tabs>
        <w:spacing w:after="0" w:line="240" w:lineRule="auto"/>
        <w:rPr>
          <w:szCs w:val="24"/>
        </w:rPr>
      </w:pPr>
      <w:r w:rsidRPr="00033C90">
        <w:rPr>
          <w:szCs w:val="24"/>
        </w:rPr>
        <w:t xml:space="preserve">Darba devēja pienākums samaksāt darba samaksu </w:t>
      </w:r>
    </w:p>
    <w:p w:rsidR="005E33C8" w:rsidRPr="00033C90" w:rsidRDefault="001148FA" w:rsidP="001148F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(16. decembra spriedums, lieta Nr. SKC-1030/2009)</w:t>
      </w:r>
      <w:r w:rsidRPr="00033C90">
        <w:rPr>
          <w:szCs w:val="24"/>
        </w:rPr>
        <w:tab/>
        <w:t>C-171</w:t>
      </w:r>
    </w:p>
    <w:p w:rsidR="009569E0" w:rsidRPr="00033C90" w:rsidRDefault="009569E0" w:rsidP="001148FA">
      <w:pPr>
        <w:tabs>
          <w:tab w:val="left" w:leader="dot" w:pos="9072"/>
        </w:tabs>
        <w:spacing w:after="120" w:line="240" w:lineRule="auto"/>
        <w:rPr>
          <w:szCs w:val="24"/>
        </w:rPr>
      </w:pPr>
    </w:p>
    <w:p w:rsidR="001C1390" w:rsidRPr="00033C90" w:rsidRDefault="001C1390" w:rsidP="0041381A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t>VII. Nolēmumi maksātnespējas lietās</w:t>
      </w:r>
      <w:r w:rsidRPr="00033C90">
        <w:rPr>
          <w:b/>
          <w:szCs w:val="24"/>
        </w:rPr>
        <w:tab/>
        <w:t>C-176</w:t>
      </w:r>
    </w:p>
    <w:p w:rsidR="001148FA" w:rsidRPr="00033C90" w:rsidRDefault="001148FA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Ieskaits maksātnespējas procesā (28. janvāra spriedums, lieta Nr. SKC-34/2009)</w:t>
      </w:r>
      <w:r w:rsidRPr="00033C90">
        <w:rPr>
          <w:szCs w:val="24"/>
        </w:rPr>
        <w:tab/>
        <w:t>C-176</w:t>
      </w:r>
    </w:p>
    <w:p w:rsidR="001148FA" w:rsidRPr="00033C90" w:rsidRDefault="001148FA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Zaudējumu piedziņa uzņēmējsabiedrības maksātnespējas procesā (25. februāra spriedums, lieta Nr. SKC-79/2009)</w:t>
      </w:r>
      <w:r w:rsidRPr="00033C90">
        <w:rPr>
          <w:szCs w:val="24"/>
        </w:rPr>
        <w:tab/>
        <w:t>C-187</w:t>
      </w:r>
    </w:p>
    <w:p w:rsidR="001C1390" w:rsidRPr="00033C90" w:rsidRDefault="001C1390" w:rsidP="0041381A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lastRenderedPageBreak/>
        <w:t>VIII. Nolēmumi lietās par zemesgrāmatu nodaļas tiesneša lēmuma pārsūdzēšanu</w:t>
      </w:r>
      <w:r w:rsidRPr="00033C90">
        <w:rPr>
          <w:b/>
          <w:szCs w:val="24"/>
        </w:rPr>
        <w:tab/>
        <w:t>C-193</w:t>
      </w:r>
    </w:p>
    <w:p w:rsidR="001148FA" w:rsidRPr="00033C90" w:rsidRDefault="001148FA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Nostiprinājuma lūgumu izskatīšanas secība zemesgrāmatu nodaļā (23. septembra lēmums, lieta Nr. SKC-784/2009)</w:t>
      </w:r>
      <w:r w:rsidRPr="00033C90">
        <w:rPr>
          <w:szCs w:val="24"/>
        </w:rPr>
        <w:tab/>
        <w:t>C-193</w:t>
      </w:r>
    </w:p>
    <w:p w:rsidR="001148FA" w:rsidRPr="00033C90" w:rsidRDefault="001148FA" w:rsidP="001148FA">
      <w:pPr>
        <w:tabs>
          <w:tab w:val="left" w:leader="dot" w:pos="9072"/>
        </w:tabs>
        <w:spacing w:after="0" w:line="240" w:lineRule="auto"/>
        <w:rPr>
          <w:szCs w:val="24"/>
        </w:rPr>
      </w:pPr>
      <w:r w:rsidRPr="00033C90">
        <w:rPr>
          <w:szCs w:val="24"/>
        </w:rPr>
        <w:t xml:space="preserve">Zemesgrāmatu likuma 46. panta otrās daļas tulkošana </w:t>
      </w:r>
    </w:p>
    <w:p w:rsidR="001148FA" w:rsidRPr="00033C90" w:rsidRDefault="001148FA" w:rsidP="001148F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(16. decembra lēmums, lieta Nr. SKC-1237/2009)</w:t>
      </w:r>
      <w:r w:rsidRPr="00033C90">
        <w:rPr>
          <w:szCs w:val="24"/>
        </w:rPr>
        <w:tab/>
        <w:t>C-202</w:t>
      </w:r>
    </w:p>
    <w:p w:rsidR="001148FA" w:rsidRPr="00033C90" w:rsidRDefault="001148FA" w:rsidP="001148FA">
      <w:pPr>
        <w:tabs>
          <w:tab w:val="left" w:leader="dot" w:pos="9072"/>
        </w:tabs>
        <w:spacing w:after="120" w:line="240" w:lineRule="auto"/>
        <w:rPr>
          <w:szCs w:val="24"/>
        </w:rPr>
      </w:pPr>
    </w:p>
    <w:p w:rsidR="001C1390" w:rsidRPr="00033C90" w:rsidRDefault="001C1390" w:rsidP="001148FA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t>IX. Nolēmumi civilprocesuālo tiesību normu piemērošanas jautājumos</w:t>
      </w:r>
      <w:r w:rsidRPr="00033C90">
        <w:rPr>
          <w:b/>
          <w:szCs w:val="24"/>
        </w:rPr>
        <w:tab/>
        <w:t>C-207</w:t>
      </w:r>
    </w:p>
    <w:p w:rsidR="00735614" w:rsidRPr="00033C90" w:rsidRDefault="00735614" w:rsidP="001148F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Izdevumu atlīdzība, kas radušies sakarā ar pilnvarotā pārstāvja piedalīšanos lietas vešanā (21. janvāra spriedums, lieta Nr. SKC-6/2009)</w:t>
      </w:r>
      <w:r w:rsidRPr="00033C90">
        <w:rPr>
          <w:szCs w:val="24"/>
        </w:rPr>
        <w:tab/>
        <w:t>C-207</w:t>
      </w:r>
    </w:p>
    <w:p w:rsidR="00735614" w:rsidRPr="00033C90" w:rsidRDefault="00735614" w:rsidP="001148F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Bezstrīdus piespiedu izpildīšanas apstrīdēšanas kārtība un prasījumi no atdošanas līgumiem (11. februāra spriedums, lieta Nr. SKC-47/2009)</w:t>
      </w:r>
      <w:r w:rsidRPr="00033C90">
        <w:rPr>
          <w:szCs w:val="24"/>
        </w:rPr>
        <w:tab/>
        <w:t>C-212</w:t>
      </w:r>
    </w:p>
    <w:p w:rsidR="00735614" w:rsidRPr="00033C90" w:rsidRDefault="00735614" w:rsidP="001148F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Prasījums tiesai izvērtēt pušu gribu par līguma raksturu (14. oktobra spriedums, lieta Nr. SKC-254/2009)</w:t>
      </w:r>
      <w:r w:rsidRPr="00033C90">
        <w:rPr>
          <w:szCs w:val="24"/>
        </w:rPr>
        <w:tab/>
        <w:t>C-219</w:t>
      </w:r>
    </w:p>
    <w:p w:rsidR="00735614" w:rsidRPr="00033C90" w:rsidRDefault="00735614" w:rsidP="001148F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Pirmās instances tiesas sprieduma atcelšanas pamatojums (9. septembra spriedums, lieta Nr. SKC-775/2009)</w:t>
      </w:r>
      <w:r w:rsidRPr="00033C90">
        <w:rPr>
          <w:szCs w:val="24"/>
        </w:rPr>
        <w:tab/>
        <w:t>C-223</w:t>
      </w:r>
    </w:p>
    <w:p w:rsidR="00735614" w:rsidRPr="00033C90" w:rsidRDefault="00735614" w:rsidP="001148F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Zvērināta tiesu izpildītāja rīcīb</w:t>
      </w:r>
      <w:r w:rsidR="001A6669" w:rsidRPr="00033C90">
        <w:rPr>
          <w:szCs w:val="24"/>
        </w:rPr>
        <w:t>as izsoles procesā pārsūdzēšana</w:t>
      </w:r>
      <w:r w:rsidRPr="00033C90">
        <w:rPr>
          <w:szCs w:val="24"/>
        </w:rPr>
        <w:t xml:space="preserve"> - personu loks, kas var iesniegt sūdzību (30. septembra lēmums, liet</w:t>
      </w:r>
      <w:r w:rsidR="002C7B07" w:rsidRPr="00033C90">
        <w:rPr>
          <w:szCs w:val="24"/>
        </w:rPr>
        <w:t>a</w:t>
      </w:r>
      <w:r w:rsidRPr="00033C90">
        <w:rPr>
          <w:szCs w:val="24"/>
        </w:rPr>
        <w:t> Nr. SKC-1054/2009)</w:t>
      </w:r>
      <w:r w:rsidR="002C7B07" w:rsidRPr="00033C90">
        <w:rPr>
          <w:szCs w:val="24"/>
        </w:rPr>
        <w:tab/>
        <w:t>C-232</w:t>
      </w:r>
    </w:p>
    <w:p w:rsidR="002C7B07" w:rsidRPr="00033C90" w:rsidRDefault="002C7B07" w:rsidP="001148F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Tiesas rīcība gadījumā, ja procesuālās darbības izpilde ir kavēta tās vainas dēļ (</w:t>
      </w:r>
      <w:r w:rsidR="00D814AE" w:rsidRPr="00033C90">
        <w:rPr>
          <w:szCs w:val="24"/>
        </w:rPr>
        <w:t>30. septembra lēmums, lieta Nr. SKC-1183/2009</w:t>
      </w:r>
      <w:r w:rsidRPr="00033C90">
        <w:rPr>
          <w:szCs w:val="24"/>
        </w:rPr>
        <w:t>)</w:t>
      </w:r>
      <w:r w:rsidR="00D814AE" w:rsidRPr="00033C90">
        <w:rPr>
          <w:szCs w:val="24"/>
        </w:rPr>
        <w:tab/>
        <w:t>C-237</w:t>
      </w:r>
    </w:p>
    <w:p w:rsidR="00D814AE" w:rsidRPr="00033C90" w:rsidRDefault="00D814AE" w:rsidP="001148F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Šķīrējtiesā izskatāmie strīdi (16. decembra lēmums, lieta Nr. SPC-138/2009)</w:t>
      </w:r>
      <w:r w:rsidRPr="00033C90">
        <w:rPr>
          <w:szCs w:val="24"/>
        </w:rPr>
        <w:tab/>
        <w:t>C-242</w:t>
      </w:r>
    </w:p>
    <w:p w:rsidR="00735614" w:rsidRPr="00033C90" w:rsidRDefault="00735614" w:rsidP="001148FA">
      <w:pPr>
        <w:tabs>
          <w:tab w:val="left" w:leader="dot" w:pos="9072"/>
        </w:tabs>
        <w:spacing w:after="120" w:line="240" w:lineRule="auto"/>
        <w:rPr>
          <w:szCs w:val="24"/>
        </w:rPr>
      </w:pPr>
    </w:p>
    <w:p w:rsidR="001C1390" w:rsidRPr="00033C90" w:rsidRDefault="001C1390" w:rsidP="0041381A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t>X. Nolēmumi par saistību izpildīšanu tiesas ceļā</w:t>
      </w:r>
      <w:r w:rsidRPr="00033C90">
        <w:rPr>
          <w:b/>
          <w:szCs w:val="24"/>
        </w:rPr>
        <w:tab/>
        <w:t>C-247</w:t>
      </w:r>
    </w:p>
    <w:p w:rsidR="00D814AE" w:rsidRPr="00033C90" w:rsidRDefault="00F120D4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Pieteikums par nekustamā īpašuma labprātīgu pārdošanu izsolē tiesas ceļā (25. februāra lēmums, lieta Nr. SPC-35/2009)</w:t>
      </w:r>
      <w:r w:rsidRPr="00033C90">
        <w:rPr>
          <w:szCs w:val="24"/>
        </w:rPr>
        <w:tab/>
        <w:t>C-247</w:t>
      </w:r>
    </w:p>
    <w:p w:rsidR="00F120D4" w:rsidRPr="00033C90" w:rsidRDefault="00F120D4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Nekustamā īpašuma labprātīga pārdošana izsolē tiesas ceļā (25. novembra lēmums, lieta Nr. SPC-119/2009)</w:t>
      </w:r>
      <w:r w:rsidRPr="00033C90">
        <w:rPr>
          <w:szCs w:val="24"/>
        </w:rPr>
        <w:tab/>
        <w:t>C-252</w:t>
      </w:r>
    </w:p>
    <w:p w:rsidR="00D814AE" w:rsidRPr="00033C90" w:rsidRDefault="00D814AE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</w:p>
    <w:p w:rsidR="001C1390" w:rsidRPr="00033C90" w:rsidRDefault="001C1390" w:rsidP="0041381A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t>XI. Nolēmumi citu kategoriju lietās</w:t>
      </w:r>
      <w:r w:rsidRPr="00033C90">
        <w:rPr>
          <w:b/>
          <w:szCs w:val="24"/>
        </w:rPr>
        <w:tab/>
        <w:t>C-259</w:t>
      </w:r>
    </w:p>
    <w:p w:rsidR="00F120D4" w:rsidRPr="00033C90" w:rsidRDefault="00F120D4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Piespiedu zemes nomas tiesiskās attiecības likuma "Par zemes reformu Latvijas Republikas pilsētās" 13. panta trešās daļas izpratnē (21. janvāra spriedums, lieta Nr. SKC-3/2009)</w:t>
      </w:r>
      <w:r w:rsidR="00F9665F" w:rsidRPr="00033C90">
        <w:rPr>
          <w:szCs w:val="24"/>
        </w:rPr>
        <w:tab/>
        <w:t>C-259</w:t>
      </w:r>
    </w:p>
    <w:p w:rsidR="00F9665F" w:rsidRPr="00033C90" w:rsidRDefault="00F9665F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Civilās tiesvedības nepieļaujamība divu publisko tiesību subjektu starpā par zaudējumiem, kas radušies, pildot publiski tiesiskās funkcijas (25. marta spriedums, lieta Nr. SKC-83/2009)</w:t>
      </w:r>
      <w:r w:rsidRPr="00033C90">
        <w:rPr>
          <w:szCs w:val="24"/>
        </w:rPr>
        <w:tab/>
        <w:t>C-264</w:t>
      </w:r>
    </w:p>
    <w:p w:rsidR="00F9665F" w:rsidRPr="00033C90" w:rsidRDefault="00F9665F" w:rsidP="0041381A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Valsts akciju sabiedrības akcionāru sapulces lēmuma tiesiskums (3. jūnija spriedums, lieta Nr. SKC-175/2009)</w:t>
      </w:r>
      <w:r w:rsidRPr="00033C90">
        <w:rPr>
          <w:szCs w:val="24"/>
        </w:rPr>
        <w:tab/>
        <w:t>C-270</w:t>
      </w:r>
    </w:p>
    <w:p w:rsidR="00F9665F" w:rsidRPr="00033C90" w:rsidRDefault="00F9665F" w:rsidP="00F9665F">
      <w:pPr>
        <w:tabs>
          <w:tab w:val="left" w:leader="dot" w:pos="9072"/>
        </w:tabs>
        <w:spacing w:after="0" w:line="240" w:lineRule="auto"/>
        <w:rPr>
          <w:szCs w:val="24"/>
        </w:rPr>
      </w:pPr>
      <w:r w:rsidRPr="00033C90">
        <w:rPr>
          <w:szCs w:val="24"/>
        </w:rPr>
        <w:t xml:space="preserve">Uzņēmuma (uzņēmējsabiedrības) darbības izbeigšana </w:t>
      </w:r>
    </w:p>
    <w:p w:rsidR="00F9665F" w:rsidRPr="00033C90" w:rsidRDefault="00F9665F" w:rsidP="00F9665F">
      <w:pPr>
        <w:tabs>
          <w:tab w:val="left" w:leader="dot" w:pos="9072"/>
        </w:tabs>
        <w:spacing w:after="120" w:line="240" w:lineRule="auto"/>
        <w:rPr>
          <w:szCs w:val="24"/>
        </w:rPr>
      </w:pPr>
      <w:r w:rsidRPr="00033C90">
        <w:rPr>
          <w:szCs w:val="24"/>
        </w:rPr>
        <w:t>(14. oktobra spriedums, lieta Nr. SKC-255/2009)</w:t>
      </w:r>
      <w:r w:rsidRPr="00033C90">
        <w:rPr>
          <w:szCs w:val="24"/>
        </w:rPr>
        <w:tab/>
        <w:t xml:space="preserve">C-278 </w:t>
      </w:r>
    </w:p>
    <w:p w:rsidR="00F9665F" w:rsidRPr="00033C90" w:rsidRDefault="00F9665F" w:rsidP="00F9665F">
      <w:pPr>
        <w:tabs>
          <w:tab w:val="left" w:leader="dot" w:pos="9072"/>
        </w:tabs>
        <w:spacing w:after="120" w:line="240" w:lineRule="auto"/>
      </w:pPr>
    </w:p>
    <w:p w:rsidR="001C1390" w:rsidRPr="00033C90" w:rsidRDefault="001C1390" w:rsidP="00F9665F">
      <w:pPr>
        <w:tabs>
          <w:tab w:val="left" w:leader="dot" w:pos="9072"/>
        </w:tabs>
        <w:spacing w:after="120" w:line="240" w:lineRule="auto"/>
      </w:pPr>
      <w:r w:rsidRPr="00033C90">
        <w:t>Jēdzienu alfabētiskais rādītājs</w:t>
      </w:r>
      <w:r w:rsidRPr="00033C90">
        <w:tab/>
        <w:t>C-285</w:t>
      </w:r>
    </w:p>
    <w:p w:rsidR="001C1390" w:rsidRPr="00033C90" w:rsidRDefault="001C1390" w:rsidP="001C1390">
      <w:pPr>
        <w:tabs>
          <w:tab w:val="left" w:leader="dot" w:pos="9072"/>
        </w:tabs>
        <w:spacing w:after="120" w:line="240" w:lineRule="auto"/>
      </w:pPr>
      <w:r w:rsidRPr="00033C90">
        <w:t>Tiesību aktu rādītājs</w:t>
      </w:r>
      <w:r w:rsidRPr="00033C90">
        <w:tab/>
        <w:t>C-328</w:t>
      </w:r>
    </w:p>
    <w:p w:rsidR="001C1390" w:rsidRPr="00033C90" w:rsidRDefault="001C1390" w:rsidP="001C1390">
      <w:pPr>
        <w:tabs>
          <w:tab w:val="left" w:leader="dot" w:pos="9072"/>
        </w:tabs>
        <w:spacing w:after="120" w:line="240" w:lineRule="auto"/>
      </w:pPr>
      <w:r w:rsidRPr="00033C90">
        <w:t>Tēžu rādītājs</w:t>
      </w:r>
      <w:r w:rsidRPr="00033C90">
        <w:tab/>
        <w:t>C-341</w:t>
      </w:r>
    </w:p>
    <w:p w:rsidR="001C1390" w:rsidRPr="00033C90" w:rsidRDefault="001C1390" w:rsidP="001C1390">
      <w:pPr>
        <w:tabs>
          <w:tab w:val="left" w:leader="dot" w:pos="9072"/>
        </w:tabs>
        <w:spacing w:after="120" w:line="240" w:lineRule="auto"/>
      </w:pPr>
      <w:r w:rsidRPr="00033C90">
        <w:t>Judikatūras un tiesu prakses rādītājs</w:t>
      </w:r>
      <w:r w:rsidRPr="00033C90">
        <w:tab/>
        <w:t>C-353</w:t>
      </w:r>
    </w:p>
    <w:p w:rsidR="001C1390" w:rsidRPr="00033C90" w:rsidRDefault="001C1390" w:rsidP="001C1390">
      <w:pPr>
        <w:tabs>
          <w:tab w:val="left" w:leader="dot" w:pos="9072"/>
        </w:tabs>
        <w:spacing w:after="120" w:line="240" w:lineRule="auto"/>
      </w:pPr>
      <w:r w:rsidRPr="00033C90">
        <w:lastRenderedPageBreak/>
        <w:t xml:space="preserve">Citu avotu rādītājs, uz kuriem publicētajos nolēmumos dotas atsauces </w:t>
      </w:r>
      <w:r w:rsidRPr="00033C90">
        <w:tab/>
        <w:t>C-355</w:t>
      </w:r>
    </w:p>
    <w:p w:rsidR="001C1390" w:rsidRPr="00033C90" w:rsidRDefault="001C1390" w:rsidP="001C1390">
      <w:pPr>
        <w:tabs>
          <w:tab w:val="left" w:leader="dot" w:pos="9072"/>
        </w:tabs>
        <w:spacing w:after="120" w:line="240" w:lineRule="auto"/>
      </w:pPr>
      <w:r w:rsidRPr="00033C90">
        <w:t>Publicēto nolēmumu rādītājs pēc lietu numuriem</w:t>
      </w:r>
      <w:r w:rsidRPr="00033C90">
        <w:tab/>
        <w:t>C-357</w:t>
      </w:r>
    </w:p>
    <w:p w:rsidR="0041381A" w:rsidRPr="00033C90" w:rsidRDefault="0041381A" w:rsidP="00044958">
      <w:pPr>
        <w:tabs>
          <w:tab w:val="left" w:leader="dot" w:pos="9072"/>
        </w:tabs>
        <w:spacing w:after="120" w:line="240" w:lineRule="auto"/>
      </w:pPr>
    </w:p>
    <w:p w:rsidR="00044958" w:rsidRPr="00033C90" w:rsidRDefault="0041381A" w:rsidP="00044958">
      <w:pPr>
        <w:tabs>
          <w:tab w:val="left" w:leader="dot" w:pos="9072"/>
        </w:tabs>
        <w:spacing w:after="120" w:line="240" w:lineRule="auto"/>
      </w:pPr>
      <w:r w:rsidRPr="00033C90">
        <w:rPr>
          <w:b/>
          <w:szCs w:val="24"/>
        </w:rPr>
        <w:t>Latvijas Republikas Augstākās tiesas Senāta Krimināllietu departamenta lēmumi 2009</w:t>
      </w:r>
      <w:r w:rsidRPr="00033C90">
        <w:rPr>
          <w:b/>
          <w:szCs w:val="24"/>
        </w:rPr>
        <w:tab/>
        <w:t>K</w:t>
      </w:r>
      <w:r w:rsidRPr="00033C90">
        <w:t xml:space="preserve"> </w:t>
      </w:r>
      <w:r w:rsidR="00044958" w:rsidRPr="00033C90">
        <w:t xml:space="preserve"> </w:t>
      </w:r>
    </w:p>
    <w:p w:rsidR="001C1390" w:rsidRPr="00033C90" w:rsidRDefault="001C1390" w:rsidP="001C1390">
      <w:pPr>
        <w:tabs>
          <w:tab w:val="left" w:leader="dot" w:pos="9072"/>
        </w:tabs>
        <w:spacing w:after="120" w:line="240" w:lineRule="auto"/>
        <w:rPr>
          <w:b/>
          <w:szCs w:val="24"/>
        </w:rPr>
      </w:pPr>
      <w:r w:rsidRPr="00033C90">
        <w:rPr>
          <w:b/>
          <w:szCs w:val="24"/>
        </w:rPr>
        <w:t>Krājuma “Latvijas Republikas Augstākās tiesas Senāta spriedumi un lēmumi 2009” Senāta Krimināllietu departamenta nolēmumu daļas anotācija</w:t>
      </w:r>
      <w:r w:rsidRPr="00033C90">
        <w:rPr>
          <w:b/>
          <w:szCs w:val="24"/>
        </w:rPr>
        <w:tab/>
        <w:t>K-7</w:t>
      </w:r>
    </w:p>
    <w:p w:rsidR="00F9665F" w:rsidRPr="00033C90" w:rsidRDefault="00F9665F" w:rsidP="00044958">
      <w:pPr>
        <w:tabs>
          <w:tab w:val="left" w:leader="dot" w:pos="9072"/>
        </w:tabs>
        <w:spacing w:after="120" w:line="240" w:lineRule="auto"/>
      </w:pPr>
    </w:p>
    <w:p w:rsidR="00044958" w:rsidRPr="00033C90" w:rsidRDefault="001C1390" w:rsidP="00044958">
      <w:pPr>
        <w:tabs>
          <w:tab w:val="left" w:leader="dot" w:pos="9072"/>
        </w:tabs>
        <w:spacing w:after="120" w:line="240" w:lineRule="auto"/>
        <w:rPr>
          <w:b/>
        </w:rPr>
      </w:pPr>
      <w:r w:rsidRPr="00033C90">
        <w:rPr>
          <w:b/>
        </w:rPr>
        <w:t>I. Lēmumi Krimināllikuma Vispārīgās daļas piemērošanas jautājumos</w:t>
      </w:r>
      <w:r w:rsidRPr="00033C90">
        <w:rPr>
          <w:b/>
        </w:rPr>
        <w:tab/>
        <w:t>K-11</w:t>
      </w:r>
    </w:p>
    <w:p w:rsidR="00F9665F" w:rsidRPr="00033C90" w:rsidRDefault="00F9665F" w:rsidP="00044958">
      <w:pPr>
        <w:tabs>
          <w:tab w:val="left" w:leader="dot" w:pos="9072"/>
        </w:tabs>
        <w:spacing w:after="120" w:line="240" w:lineRule="auto"/>
      </w:pPr>
      <w:r w:rsidRPr="00033C90">
        <w:t>Galīgā soda noteikšanas principi (24. februāra lēmums, lieta Nr. SKK-109/2009)</w:t>
      </w:r>
      <w:r w:rsidRPr="00033C90">
        <w:tab/>
        <w:t>K-11</w:t>
      </w:r>
    </w:p>
    <w:p w:rsidR="00F9665F" w:rsidRPr="00033C90" w:rsidRDefault="00F9665F" w:rsidP="00044958">
      <w:pPr>
        <w:tabs>
          <w:tab w:val="left" w:leader="dot" w:pos="9072"/>
        </w:tabs>
        <w:spacing w:after="120" w:line="240" w:lineRule="auto"/>
      </w:pPr>
      <w:r w:rsidRPr="00033C90">
        <w:t>Līdzdalībnieka motīvi, iesaistoties mantkārīgā noziedzīgā nodarījumā (5. marta lēmums, lieta Nr. SKK-121/2009)</w:t>
      </w:r>
      <w:r w:rsidRPr="00033C90">
        <w:tab/>
        <w:t>K-17</w:t>
      </w:r>
    </w:p>
    <w:p w:rsidR="00F9665F" w:rsidRPr="00033C90" w:rsidRDefault="00CC5FC8" w:rsidP="00044958">
      <w:pPr>
        <w:tabs>
          <w:tab w:val="left" w:leader="dot" w:pos="9072"/>
        </w:tabs>
        <w:spacing w:after="120" w:line="240" w:lineRule="auto"/>
      </w:pPr>
      <w:r w:rsidRPr="00033C90">
        <w:t>Audzinoša rakstura piespiedu līdzekļi nav uzskatāmi par sodu, tāpēc uz tiem nav attiecināma Krimināllikuma 51. panta piemērošana (24. marta lēmums, lieta Nr. SKK-01-J-190/2009)</w:t>
      </w:r>
      <w:r w:rsidRPr="00033C90">
        <w:tab/>
        <w:t>K-26</w:t>
      </w:r>
    </w:p>
    <w:p w:rsidR="00CC5FC8" w:rsidRPr="00033C90" w:rsidRDefault="00CC5FC8" w:rsidP="00044958">
      <w:pPr>
        <w:tabs>
          <w:tab w:val="left" w:leader="dot" w:pos="9072"/>
        </w:tabs>
        <w:spacing w:after="120" w:line="240" w:lineRule="auto"/>
      </w:pPr>
      <w:r w:rsidRPr="00033C90">
        <w:t>Personas atrašanās nepieciešamās aizstāvēšanās stāvoklī (23. septembra lēmums, lieta Nr. SKK-503/2009)</w:t>
      </w:r>
      <w:r w:rsidRPr="00033C90">
        <w:tab/>
        <w:t>K-30</w:t>
      </w:r>
    </w:p>
    <w:p w:rsidR="00CC5FC8" w:rsidRPr="00033C90" w:rsidRDefault="00CC5FC8" w:rsidP="00044958">
      <w:pPr>
        <w:tabs>
          <w:tab w:val="left" w:leader="dot" w:pos="9072"/>
        </w:tabs>
        <w:spacing w:after="120" w:line="240" w:lineRule="auto"/>
      </w:pPr>
      <w:r w:rsidRPr="00033C90">
        <w:t>Labprātīga atteikšanās no noziedzīga nodarījuma izdarīšanas (24. novembra lēmums, lieta Nr. SKK-532/2009)</w:t>
      </w:r>
      <w:r w:rsidRPr="00033C90">
        <w:tab/>
        <w:t>K-34</w:t>
      </w:r>
    </w:p>
    <w:p w:rsidR="00BA1D54" w:rsidRPr="00033C90" w:rsidRDefault="00BA1D54" w:rsidP="00BA1D54">
      <w:pPr>
        <w:tabs>
          <w:tab w:val="left" w:leader="dot" w:pos="9072"/>
        </w:tabs>
        <w:spacing w:after="0" w:line="240" w:lineRule="auto"/>
      </w:pPr>
      <w:r w:rsidRPr="00033C90">
        <w:t xml:space="preserve">Krimināllikuma 55. panta nosacījumu piemērošana </w:t>
      </w:r>
    </w:p>
    <w:p w:rsidR="00BA1D54" w:rsidRPr="00033C90" w:rsidRDefault="00BA1D54" w:rsidP="00BA1D54">
      <w:pPr>
        <w:tabs>
          <w:tab w:val="left" w:leader="dot" w:pos="9072"/>
        </w:tabs>
        <w:spacing w:after="120" w:line="240" w:lineRule="auto"/>
      </w:pPr>
      <w:r w:rsidRPr="00033C90">
        <w:t>(27. oktobra lēmums, lieta Nr. SKK-567/2009)</w:t>
      </w:r>
      <w:r w:rsidRPr="00033C90">
        <w:tab/>
        <w:t>K-45</w:t>
      </w:r>
    </w:p>
    <w:p w:rsidR="00CC5FC8" w:rsidRPr="00033C90" w:rsidRDefault="00CC5FC8" w:rsidP="00BA1D54">
      <w:pPr>
        <w:tabs>
          <w:tab w:val="left" w:leader="dot" w:pos="9072"/>
        </w:tabs>
        <w:spacing w:after="120" w:line="240" w:lineRule="auto"/>
      </w:pPr>
      <w:r w:rsidRPr="00033C90">
        <w:t xml:space="preserve"> </w:t>
      </w:r>
    </w:p>
    <w:p w:rsidR="001C1390" w:rsidRPr="00033C90" w:rsidRDefault="001C1390" w:rsidP="00BA1D54">
      <w:pPr>
        <w:tabs>
          <w:tab w:val="left" w:leader="dot" w:pos="9072"/>
        </w:tabs>
        <w:spacing w:after="120" w:line="240" w:lineRule="auto"/>
        <w:rPr>
          <w:b/>
        </w:rPr>
      </w:pPr>
      <w:r w:rsidRPr="00033C90">
        <w:rPr>
          <w:b/>
        </w:rPr>
        <w:t>II. Lēmumi Krimināllikuma Sevišķās daļas piemērošanas jautājumos</w:t>
      </w:r>
      <w:r w:rsidRPr="00033C90">
        <w:rPr>
          <w:b/>
        </w:rPr>
        <w:tab/>
        <w:t>K-51</w:t>
      </w:r>
    </w:p>
    <w:p w:rsidR="00BA1D54" w:rsidRPr="00033C90" w:rsidRDefault="00BA1D54" w:rsidP="00BA1D54">
      <w:pPr>
        <w:tabs>
          <w:tab w:val="left" w:leader="dot" w:pos="9072"/>
        </w:tabs>
        <w:spacing w:after="120" w:line="240" w:lineRule="auto"/>
      </w:pPr>
      <w:r w:rsidRPr="00033C90">
        <w:t>Krimināllikuma 210. panta pirmajā daļā paredzētā noziedzīgā nodarījuma subjektīvā puse (16. janvāra lēmums, lieta Nr. SKK-11/2009)</w:t>
      </w:r>
      <w:r w:rsidRPr="00033C90">
        <w:tab/>
        <w:t>K-51</w:t>
      </w:r>
    </w:p>
    <w:p w:rsidR="00BA1D54" w:rsidRPr="00033C90" w:rsidRDefault="001775FC" w:rsidP="00BA1D54">
      <w:pPr>
        <w:tabs>
          <w:tab w:val="left" w:leader="dot" w:pos="9072"/>
        </w:tabs>
        <w:spacing w:after="120" w:line="240" w:lineRule="auto"/>
      </w:pPr>
      <w:r w:rsidRPr="00033C90">
        <w:t>Mantas izspiešanas norobežošana no mantas zādzības vai laupīšanas (18. februāra lēmums, lieta Nr. SKK-15/2009)</w:t>
      </w:r>
      <w:r w:rsidRPr="00033C90">
        <w:tab/>
        <w:t>K-57</w:t>
      </w:r>
    </w:p>
    <w:p w:rsidR="001775FC" w:rsidRPr="00033C90" w:rsidRDefault="001775FC" w:rsidP="00BA1D54">
      <w:pPr>
        <w:tabs>
          <w:tab w:val="left" w:leader="dot" w:pos="9072"/>
        </w:tabs>
        <w:spacing w:after="120" w:line="240" w:lineRule="auto"/>
      </w:pPr>
      <w:r w:rsidRPr="00033C90">
        <w:t>Krimināllikuma 219. panta otrajā daļā paredzētais noziedzīgais nodarījums - formāls noziedzīgā nodarījuma sastāvs (22. janvāra lēmums, lieta Nr. SKK-45/2009)</w:t>
      </w:r>
      <w:r w:rsidRPr="00033C90">
        <w:tab/>
        <w:t>K-66</w:t>
      </w:r>
    </w:p>
    <w:p w:rsidR="001775FC" w:rsidRPr="00033C90" w:rsidRDefault="00E94C6B" w:rsidP="00BA1D54">
      <w:pPr>
        <w:tabs>
          <w:tab w:val="left" w:leader="dot" w:pos="9072"/>
        </w:tabs>
        <w:spacing w:after="120" w:line="240" w:lineRule="auto"/>
      </w:pPr>
      <w:r w:rsidRPr="00033C90">
        <w:t>Noziedzīgā nodarījuma kvalifikācija pēc Krimināllikuma 175. panta ceturtās daļas (17. aprīļa lēmums, lieta Nr. SKK-155/2009)</w:t>
      </w:r>
      <w:r w:rsidRPr="00033C90">
        <w:tab/>
        <w:t>K-72</w:t>
      </w:r>
    </w:p>
    <w:p w:rsidR="00E94C6B" w:rsidRPr="00033C90" w:rsidRDefault="00E94C6B" w:rsidP="00BA1D54">
      <w:pPr>
        <w:tabs>
          <w:tab w:val="left" w:leader="dot" w:pos="9072"/>
        </w:tabs>
        <w:spacing w:after="120" w:line="240" w:lineRule="auto"/>
      </w:pPr>
      <w:r w:rsidRPr="00033C90">
        <w:t>Noziedzīgā nodarījuma kvalifikācija pēc Krimināllikuma 125. panta trešās daļas (16. jūnija lēmums lieta Nr. SKK-295/2009)</w:t>
      </w:r>
      <w:r w:rsidRPr="00033C90">
        <w:tab/>
        <w:t>K-81</w:t>
      </w:r>
    </w:p>
    <w:p w:rsidR="00E94C6B" w:rsidRPr="00033C90" w:rsidRDefault="00E94C6B" w:rsidP="00BA1D54">
      <w:pPr>
        <w:tabs>
          <w:tab w:val="left" w:leader="dot" w:pos="9072"/>
        </w:tabs>
        <w:spacing w:after="120" w:line="240" w:lineRule="auto"/>
      </w:pPr>
      <w:r w:rsidRPr="00033C90">
        <w:t>Krimināllikuma 262. panta piemērošana (16. jūnija lēmums, lieta Nr. SKK-333/2009)</w:t>
      </w:r>
      <w:r w:rsidRPr="00033C90">
        <w:tab/>
        <w:t>K-86</w:t>
      </w:r>
    </w:p>
    <w:p w:rsidR="00E94C6B" w:rsidRPr="00033C90" w:rsidRDefault="00E94C6B" w:rsidP="00BA1D54">
      <w:pPr>
        <w:tabs>
          <w:tab w:val="left" w:leader="dot" w:pos="9072"/>
        </w:tabs>
        <w:spacing w:after="120" w:line="240" w:lineRule="auto"/>
      </w:pPr>
      <w:r w:rsidRPr="00033C90">
        <w:t>Krimināllikuma 219. panta pirmajā daļā paredzētā noziedzīgā nodarījuma subjektīvā puse (20. novembra lēmums, lieta Nr. SKK-593/2009)</w:t>
      </w:r>
      <w:r w:rsidRPr="00033C90">
        <w:tab/>
        <w:t>K-90</w:t>
      </w:r>
    </w:p>
    <w:p w:rsidR="00E94C6B" w:rsidRPr="00033C90" w:rsidRDefault="00E94C6B" w:rsidP="00BA1D54">
      <w:pPr>
        <w:tabs>
          <w:tab w:val="left" w:leader="dot" w:pos="9072"/>
        </w:tabs>
        <w:spacing w:after="120" w:line="240" w:lineRule="auto"/>
      </w:pPr>
      <w:r w:rsidRPr="00033C90">
        <w:t>Noziedzīga nodarījuma kvalifikācija pēc Krimināllikuma 260. panta</w:t>
      </w:r>
      <w:r w:rsidR="00D63A76" w:rsidRPr="00033C90">
        <w:t xml:space="preserve"> </w:t>
      </w:r>
      <w:r w:rsidRPr="00033C90">
        <w:t>(6. novembra lēmums, lieta Nr. SKK-601/2009)</w:t>
      </w:r>
      <w:r w:rsidRPr="00033C90">
        <w:tab/>
        <w:t>K-94</w:t>
      </w:r>
    </w:p>
    <w:p w:rsidR="00E94C6B" w:rsidRPr="00033C90" w:rsidRDefault="00E94C6B" w:rsidP="00BA1D54">
      <w:pPr>
        <w:tabs>
          <w:tab w:val="left" w:leader="dot" w:pos="9072"/>
        </w:tabs>
        <w:spacing w:after="120" w:line="240" w:lineRule="auto"/>
      </w:pPr>
    </w:p>
    <w:p w:rsidR="001C1390" w:rsidRPr="00033C90" w:rsidRDefault="001C1390" w:rsidP="00044958">
      <w:pPr>
        <w:tabs>
          <w:tab w:val="left" w:leader="dot" w:pos="9072"/>
        </w:tabs>
        <w:spacing w:after="120" w:line="240" w:lineRule="auto"/>
        <w:rPr>
          <w:b/>
        </w:rPr>
      </w:pPr>
      <w:r w:rsidRPr="00033C90">
        <w:rPr>
          <w:b/>
        </w:rPr>
        <w:t>III. Lēmumi Kriminālprocesa likuma piemērošanas jautājumos</w:t>
      </w:r>
      <w:r w:rsidRPr="00033C90">
        <w:rPr>
          <w:b/>
        </w:rPr>
        <w:tab/>
        <w:t>K-99</w:t>
      </w:r>
    </w:p>
    <w:p w:rsidR="00E94C6B" w:rsidRPr="00033C90" w:rsidRDefault="00E94C6B" w:rsidP="001C1390">
      <w:pPr>
        <w:tabs>
          <w:tab w:val="left" w:leader="dot" w:pos="9072"/>
        </w:tabs>
        <w:spacing w:after="120" w:line="240" w:lineRule="auto"/>
      </w:pPr>
      <w:r w:rsidRPr="00033C90">
        <w:t>Kriminālprocesa likuma 499. panta nosacījumu būtisks pārkāpums pirmās instances tiesā (24. aprīļa lēmums, lieta Nr. SKK-5/2009)</w:t>
      </w:r>
      <w:r w:rsidRPr="00033C90">
        <w:tab/>
      </w:r>
      <w:r w:rsidR="00880663" w:rsidRPr="00033C90">
        <w:t>K-99</w:t>
      </w:r>
    </w:p>
    <w:p w:rsidR="00880663" w:rsidRPr="00033C90" w:rsidRDefault="00880663" w:rsidP="001C1390">
      <w:pPr>
        <w:tabs>
          <w:tab w:val="left" w:leader="dot" w:pos="9072"/>
        </w:tabs>
        <w:spacing w:after="120" w:line="240" w:lineRule="auto"/>
      </w:pPr>
      <w:r w:rsidRPr="00033C90">
        <w:lastRenderedPageBreak/>
        <w:t>Samaksas piedziņa par zvērināta advokāta piedalīšanos kriminālprocesā pēc norīkojuma (22. janvāra lēmums, lieta Nr. SKK-9/2009)</w:t>
      </w:r>
      <w:r w:rsidRPr="00033C90">
        <w:tab/>
        <w:t>K-102</w:t>
      </w:r>
    </w:p>
    <w:p w:rsidR="00D71E38" w:rsidRPr="00033C90" w:rsidRDefault="007D6EDE" w:rsidP="001C1390">
      <w:pPr>
        <w:tabs>
          <w:tab w:val="left" w:leader="dot" w:pos="9072"/>
        </w:tabs>
        <w:spacing w:after="120" w:line="240" w:lineRule="auto"/>
      </w:pPr>
      <w:r w:rsidRPr="00033C90">
        <w:t>Kriminālprocesa izbeigšana tiesā sakarā ar kriminālatbildības noilgumu (23. janvāra lēmums, lieta Nr. SKK-17/2009)</w:t>
      </w:r>
      <w:r w:rsidRPr="00033C90">
        <w:tab/>
        <w:t>K-117</w:t>
      </w:r>
    </w:p>
    <w:p w:rsidR="007D6EDE" w:rsidRPr="00033C90" w:rsidRDefault="007D6EDE" w:rsidP="001C1390">
      <w:pPr>
        <w:tabs>
          <w:tab w:val="left" w:leader="dot" w:pos="9072"/>
        </w:tabs>
        <w:spacing w:after="120" w:line="240" w:lineRule="auto"/>
      </w:pPr>
      <w:r w:rsidRPr="00033C90">
        <w:t>Kriminālprocesa likuma 551. panta pirmās daļas 5. punkta piemērošana (4. februāra lēmums, lieta Nr. SKK-19/2009)</w:t>
      </w:r>
      <w:r w:rsidRPr="00033C90">
        <w:tab/>
        <w:t>K-122</w:t>
      </w:r>
    </w:p>
    <w:p w:rsidR="007D6EDE" w:rsidRPr="00033C90" w:rsidRDefault="007D6EDE" w:rsidP="001C1390">
      <w:pPr>
        <w:tabs>
          <w:tab w:val="left" w:leader="dot" w:pos="9072"/>
        </w:tabs>
        <w:spacing w:after="120" w:line="240" w:lineRule="auto"/>
      </w:pPr>
      <w:r w:rsidRPr="00033C90">
        <w:t>Vienošanās protokola saturs (23. februāra </w:t>
      </w:r>
      <w:r w:rsidR="007A274D" w:rsidRPr="00033C90">
        <w:t>lēmums, lieta Nr. SKK-70/2009</w:t>
      </w:r>
      <w:r w:rsidRPr="00033C90">
        <w:t>)</w:t>
      </w:r>
      <w:r w:rsidR="007A274D" w:rsidRPr="00033C90">
        <w:tab/>
        <w:t>K-128</w:t>
      </w:r>
    </w:p>
    <w:p w:rsidR="007A274D" w:rsidRPr="00033C90" w:rsidRDefault="007A274D" w:rsidP="001C1390">
      <w:pPr>
        <w:tabs>
          <w:tab w:val="left" w:leader="dot" w:pos="9072"/>
        </w:tabs>
        <w:spacing w:after="120" w:line="240" w:lineRule="auto"/>
      </w:pPr>
      <w:r w:rsidRPr="00033C90">
        <w:t>Apsūdzības grozīšana (28. maija lēmums, lieta Nr. SKK-84/2009)</w:t>
      </w:r>
      <w:r w:rsidRPr="00033C90">
        <w:tab/>
        <w:t>K-132</w:t>
      </w:r>
    </w:p>
    <w:p w:rsidR="007A274D" w:rsidRPr="00033C90" w:rsidRDefault="007A274D" w:rsidP="001C1390">
      <w:pPr>
        <w:tabs>
          <w:tab w:val="left" w:leader="dot" w:pos="9072"/>
        </w:tabs>
        <w:spacing w:after="120" w:line="240" w:lineRule="auto"/>
      </w:pPr>
      <w:r w:rsidRPr="00033C90">
        <w:t>Izlīgums par Krimināllikuma 180. panta otrajā daļā paredzēto noziedzīgo nodarījumu kā pamats kriminālprocesa izbeigšanai saskaņā ar Kriminālprocesa likuma 377. panta 9. punktu (6. februāra lēmums, lieta Nr. SKK-86/2009)</w:t>
      </w:r>
      <w:r w:rsidRPr="00033C90">
        <w:tab/>
        <w:t>K-149</w:t>
      </w:r>
    </w:p>
    <w:p w:rsidR="007A274D" w:rsidRPr="00033C90" w:rsidRDefault="00246960" w:rsidP="001C1390">
      <w:pPr>
        <w:tabs>
          <w:tab w:val="left" w:leader="dot" w:pos="9072"/>
        </w:tabs>
        <w:spacing w:after="120" w:line="240" w:lineRule="auto"/>
      </w:pPr>
      <w:r w:rsidRPr="00033C90">
        <w:t>Izlīguma iespējamība noziedzīgos nodarījumos pret satiksmes drošību (12. maija lēmums, lieta Nr. SKK-01-161/2009)</w:t>
      </w:r>
      <w:r w:rsidRPr="00033C90">
        <w:tab/>
        <w:t>K-152</w:t>
      </w:r>
    </w:p>
    <w:p w:rsidR="00246960" w:rsidRPr="00033C90" w:rsidRDefault="009D1047" w:rsidP="001C1390">
      <w:pPr>
        <w:tabs>
          <w:tab w:val="left" w:leader="dot" w:pos="9072"/>
        </w:tabs>
        <w:spacing w:after="120" w:line="240" w:lineRule="auto"/>
      </w:pPr>
      <w:r w:rsidRPr="00033C90">
        <w:t>Morālā kaitējuma kompensācija ceļu satiksmes negadījumu lietās (3. jūnija lēmums, lieta Nr. SKK-308/2009)</w:t>
      </w:r>
      <w:r w:rsidRPr="00033C90">
        <w:tab/>
        <w:t>K-160</w:t>
      </w:r>
    </w:p>
    <w:p w:rsidR="009D1047" w:rsidRPr="00033C90" w:rsidRDefault="009D1047" w:rsidP="001C1390">
      <w:pPr>
        <w:tabs>
          <w:tab w:val="left" w:leader="dot" w:pos="9072"/>
        </w:tabs>
        <w:spacing w:after="120" w:line="240" w:lineRule="auto"/>
      </w:pPr>
      <w:r w:rsidRPr="00033C90">
        <w:t>Apsūdzētā neierašanās uz apelācijas instances tiesas sēdi bez attaisnojoša iemesla (22. maija lēmums, lieta Nr. SKK-309/2009)</w:t>
      </w:r>
      <w:r w:rsidRPr="00033C90">
        <w:tab/>
        <w:t>K-164</w:t>
      </w:r>
    </w:p>
    <w:p w:rsidR="009D1047" w:rsidRPr="00033C90" w:rsidRDefault="009D1047" w:rsidP="001C1390">
      <w:pPr>
        <w:tabs>
          <w:tab w:val="left" w:leader="dot" w:pos="9072"/>
        </w:tabs>
        <w:spacing w:after="120" w:line="240" w:lineRule="auto"/>
      </w:pPr>
      <w:r w:rsidRPr="00033C90">
        <w:t>Kriminālprocesa likuma 449. panta trešās daļas nosacījumu piemērošana apelācijas instances tiesā (16. jūnija lēmums, lieta Nr. SKK-330/2009)</w:t>
      </w:r>
      <w:r w:rsidRPr="00033C90">
        <w:tab/>
        <w:t>K-168</w:t>
      </w:r>
    </w:p>
    <w:p w:rsidR="009D1047" w:rsidRPr="00033C90" w:rsidRDefault="009D1047" w:rsidP="001C1390">
      <w:pPr>
        <w:tabs>
          <w:tab w:val="left" w:leader="dot" w:pos="9072"/>
        </w:tabs>
        <w:spacing w:after="120" w:line="240" w:lineRule="auto"/>
      </w:pPr>
      <w:r w:rsidRPr="00033C90">
        <w:t>Kriminālprocesa likuma 499. panta piemērošana, ja lietā iesniegts izlīgums (22. septembra lēmums, lieta Nr. SKK-394/2009)</w:t>
      </w:r>
      <w:r w:rsidRPr="00033C90">
        <w:tab/>
        <w:t>K-172</w:t>
      </w:r>
    </w:p>
    <w:p w:rsidR="009D1047" w:rsidRPr="00033C90" w:rsidRDefault="009D1047" w:rsidP="009D1047">
      <w:pPr>
        <w:tabs>
          <w:tab w:val="left" w:leader="dot" w:pos="9072"/>
        </w:tabs>
        <w:spacing w:after="0" w:line="240" w:lineRule="auto"/>
      </w:pPr>
      <w:r w:rsidRPr="00033C90">
        <w:t xml:space="preserve">Cietušā viedoklis par pierādījumu pārbaudes neizdarīšanu </w:t>
      </w:r>
    </w:p>
    <w:p w:rsidR="009D1047" w:rsidRPr="00033C90" w:rsidRDefault="009D1047" w:rsidP="009D1047">
      <w:pPr>
        <w:tabs>
          <w:tab w:val="left" w:leader="dot" w:pos="9072"/>
        </w:tabs>
        <w:spacing w:after="120" w:line="240" w:lineRule="auto"/>
      </w:pPr>
      <w:r w:rsidRPr="00033C90">
        <w:t>(1. oktobra lēmums, lieta Nr. SKK-479/2009)</w:t>
      </w:r>
      <w:r w:rsidRPr="00033C90">
        <w:tab/>
        <w:t>K-176</w:t>
      </w:r>
    </w:p>
    <w:p w:rsidR="00BF6147" w:rsidRPr="00033C90" w:rsidRDefault="00BF6147" w:rsidP="009D1047">
      <w:pPr>
        <w:tabs>
          <w:tab w:val="left" w:leader="dot" w:pos="9072"/>
        </w:tabs>
        <w:spacing w:after="120" w:line="240" w:lineRule="auto"/>
      </w:pPr>
      <w:r w:rsidRPr="00033C90">
        <w:t>Pierādījumu ticamības izvērtēšana (29. oktobra lēmums, lieta Nr. SKK-514/2009)</w:t>
      </w:r>
      <w:r w:rsidRPr="00033C90">
        <w:tab/>
        <w:t>K-182</w:t>
      </w:r>
    </w:p>
    <w:p w:rsidR="00962D5A" w:rsidRPr="00033C90" w:rsidRDefault="00962D5A" w:rsidP="009D1047">
      <w:pPr>
        <w:tabs>
          <w:tab w:val="left" w:leader="dot" w:pos="9072"/>
        </w:tabs>
        <w:spacing w:after="120" w:line="240" w:lineRule="auto"/>
      </w:pPr>
      <w:r w:rsidRPr="00033C90">
        <w:t>Apsūdzības saturs (21. oktobra lēmums, lieta Nr. SKK-520/2009)</w:t>
      </w:r>
      <w:r w:rsidRPr="00033C90">
        <w:tab/>
        <w:t>K-189</w:t>
      </w:r>
    </w:p>
    <w:p w:rsidR="00962D5A" w:rsidRPr="00033C90" w:rsidRDefault="00962D5A" w:rsidP="009D1047">
      <w:pPr>
        <w:tabs>
          <w:tab w:val="left" w:leader="dot" w:pos="9072"/>
        </w:tabs>
        <w:spacing w:after="120" w:line="240" w:lineRule="auto"/>
      </w:pPr>
      <w:r w:rsidRPr="00033C90">
        <w:t>Kriminālprocesa likuma 63. nodaļas kārtībā izskatāmie tiesas nolēmumi (14. oktobra lēmums, lieta Nr. SKK-J-525/2009)</w:t>
      </w:r>
      <w:r w:rsidRPr="00033C90">
        <w:tab/>
        <w:t>K-198</w:t>
      </w:r>
    </w:p>
    <w:p w:rsidR="00962D5A" w:rsidRPr="00033C90" w:rsidRDefault="00962D5A" w:rsidP="009D1047">
      <w:pPr>
        <w:tabs>
          <w:tab w:val="left" w:leader="dot" w:pos="9072"/>
        </w:tabs>
        <w:spacing w:after="120" w:line="240" w:lineRule="auto"/>
      </w:pPr>
      <w:r w:rsidRPr="00033C90">
        <w:t>Pierādījumu pārbaudes neizdarīšana (1. oktobra lēmums, lieta Nr. SKK-544/2009)</w:t>
      </w:r>
      <w:r w:rsidRPr="00033C90">
        <w:tab/>
        <w:t>K-202</w:t>
      </w:r>
    </w:p>
    <w:p w:rsidR="00962D5A" w:rsidRPr="00033C90" w:rsidRDefault="00962D5A" w:rsidP="009D1047">
      <w:pPr>
        <w:tabs>
          <w:tab w:val="left" w:leader="dot" w:pos="9072"/>
        </w:tabs>
        <w:spacing w:after="120" w:line="240" w:lineRule="auto"/>
      </w:pPr>
      <w:r w:rsidRPr="00033C90">
        <w:t>Cietušā tiesības izteikt viedokli par vienošanās procesa iespējamo piemērošanu (4. novembra lēmums, lieta Nr. SKK-555/2009)</w:t>
      </w:r>
      <w:r w:rsidRPr="00033C90">
        <w:tab/>
        <w:t>K-205</w:t>
      </w:r>
    </w:p>
    <w:p w:rsidR="00AA7FD5" w:rsidRPr="00033C90" w:rsidRDefault="00AA7FD5" w:rsidP="009D1047">
      <w:pPr>
        <w:tabs>
          <w:tab w:val="left" w:leader="dot" w:pos="9072"/>
        </w:tabs>
        <w:spacing w:after="120" w:line="240" w:lineRule="auto"/>
      </w:pPr>
      <w:r w:rsidRPr="00033C90">
        <w:t>Tiesas nolēmuma pieejamības diena apsūdzētajam un viņa aizstāvim (4. novembra lēmums, lieta Nr. SKK-594/2009)</w:t>
      </w:r>
      <w:r w:rsidRPr="00033C90">
        <w:tab/>
        <w:t>K-209</w:t>
      </w:r>
    </w:p>
    <w:p w:rsidR="00AA7FD5" w:rsidRPr="00033C90" w:rsidRDefault="00AA7FD5" w:rsidP="009D1047">
      <w:pPr>
        <w:tabs>
          <w:tab w:val="left" w:leader="dot" w:pos="9072"/>
        </w:tabs>
        <w:spacing w:after="120" w:line="240" w:lineRule="auto"/>
      </w:pPr>
      <w:r w:rsidRPr="00033C90">
        <w:t>Tiesas pienākums paziņot apsūdzētajam par lietas iztiesāšanu rakstveida procesā (5. novembra lēmums, lieta Nr. SKK-597/2009)</w:t>
      </w:r>
      <w:r w:rsidRPr="00033C90">
        <w:tab/>
        <w:t>K-212</w:t>
      </w:r>
    </w:p>
    <w:p w:rsidR="00AA7FD5" w:rsidRPr="00033C90" w:rsidRDefault="00AA7FD5" w:rsidP="009D1047">
      <w:pPr>
        <w:tabs>
          <w:tab w:val="left" w:leader="dot" w:pos="9072"/>
        </w:tabs>
        <w:spacing w:after="120" w:line="240" w:lineRule="auto"/>
      </w:pPr>
      <w:r w:rsidRPr="00033C90">
        <w:t>Procesuālie izdevumi kā Kriminālprocesa likumā paredzētie apstākļi, kuriem ir nozīme konkrēto krimināltiesisko attiecību taisnīgā noregulēšanā (24. novembra lēmums, lieta Nr. SKK-620/2009)</w:t>
      </w:r>
      <w:r w:rsidRPr="00033C90">
        <w:tab/>
        <w:t>K-215</w:t>
      </w:r>
    </w:p>
    <w:p w:rsidR="00610269" w:rsidRPr="00033C90" w:rsidRDefault="00610269" w:rsidP="009D1047">
      <w:pPr>
        <w:tabs>
          <w:tab w:val="left" w:leader="dot" w:pos="9072"/>
        </w:tabs>
        <w:spacing w:after="120" w:line="240" w:lineRule="auto"/>
      </w:pPr>
      <w:r w:rsidRPr="00033C90">
        <w:t>Apelācijas instances tiesas tiesības uzlabot apsūdzētā stāvokli (3. decembra lēmums, lieta Nr. SKK-665/2009)</w:t>
      </w:r>
      <w:r w:rsidRPr="00033C90">
        <w:tab/>
        <w:t>K-219</w:t>
      </w:r>
    </w:p>
    <w:p w:rsidR="00E738E0" w:rsidRPr="00033C90" w:rsidRDefault="00E738E0" w:rsidP="009D1047">
      <w:pPr>
        <w:tabs>
          <w:tab w:val="left" w:leader="dot" w:pos="9072"/>
        </w:tabs>
        <w:spacing w:after="120" w:line="240" w:lineRule="auto"/>
      </w:pPr>
      <w:r w:rsidRPr="00033C90">
        <w:t>Apsūdzētā izraidīšana no tiesas sēžu zāles (21. decembra lēmums, lieta Nr. SKK-675/2009)</w:t>
      </w:r>
      <w:r w:rsidRPr="00033C90">
        <w:tab/>
        <w:t>K-223</w:t>
      </w:r>
    </w:p>
    <w:p w:rsidR="00E738E0" w:rsidRPr="00033C90" w:rsidRDefault="00E738E0" w:rsidP="009D1047">
      <w:pPr>
        <w:tabs>
          <w:tab w:val="left" w:leader="dot" w:pos="9072"/>
        </w:tabs>
        <w:spacing w:after="120" w:line="240" w:lineRule="auto"/>
      </w:pPr>
      <w:r w:rsidRPr="00033C90">
        <w:t>Nepaziņošana par lietas iztiesāšanas laiku un vietu rakstveida procesā kā apsūdzētā tiesību ierobežojums (9. decembra lēmums, lieta Nr. SKK-679/2009)</w:t>
      </w:r>
      <w:r w:rsidRPr="00033C90">
        <w:tab/>
        <w:t>K-229</w:t>
      </w:r>
    </w:p>
    <w:p w:rsidR="001C1390" w:rsidRPr="00033C90" w:rsidRDefault="001C1390" w:rsidP="001C1390">
      <w:pPr>
        <w:tabs>
          <w:tab w:val="left" w:leader="dot" w:pos="9072"/>
        </w:tabs>
        <w:spacing w:after="120" w:line="240" w:lineRule="auto"/>
      </w:pPr>
      <w:r w:rsidRPr="00033C90">
        <w:lastRenderedPageBreak/>
        <w:t>Jēdzienu alfabētiskais rādītājs</w:t>
      </w:r>
      <w:r w:rsidRPr="00033C90">
        <w:tab/>
        <w:t>K-232</w:t>
      </w:r>
    </w:p>
    <w:p w:rsidR="001C1390" w:rsidRPr="00033C90" w:rsidRDefault="001C1390" w:rsidP="001C1390">
      <w:pPr>
        <w:tabs>
          <w:tab w:val="left" w:leader="dot" w:pos="9072"/>
        </w:tabs>
        <w:spacing w:after="120" w:line="240" w:lineRule="auto"/>
      </w:pPr>
      <w:r w:rsidRPr="00033C90">
        <w:t>Tiesību aktu rādītājs</w:t>
      </w:r>
      <w:r w:rsidRPr="00033C90">
        <w:tab/>
        <w:t>K-250</w:t>
      </w:r>
    </w:p>
    <w:p w:rsidR="001C1390" w:rsidRPr="00033C90" w:rsidRDefault="001C1390" w:rsidP="001C1390">
      <w:pPr>
        <w:tabs>
          <w:tab w:val="left" w:leader="dot" w:pos="9072"/>
        </w:tabs>
        <w:spacing w:after="120" w:line="240" w:lineRule="auto"/>
      </w:pPr>
      <w:r w:rsidRPr="00033C90">
        <w:t>Tēžu rādītājs</w:t>
      </w:r>
      <w:r w:rsidRPr="00033C90">
        <w:tab/>
        <w:t>K-264</w:t>
      </w:r>
    </w:p>
    <w:p w:rsidR="001C1390" w:rsidRPr="00033C90" w:rsidRDefault="001C1390" w:rsidP="001C1390">
      <w:pPr>
        <w:tabs>
          <w:tab w:val="left" w:leader="dot" w:pos="9072"/>
        </w:tabs>
        <w:spacing w:after="120" w:line="240" w:lineRule="auto"/>
      </w:pPr>
      <w:r w:rsidRPr="00033C90">
        <w:t>Judikatūras un tiesu prakses rādītājs</w:t>
      </w:r>
      <w:r w:rsidRPr="00033C90">
        <w:tab/>
        <w:t>K-279</w:t>
      </w:r>
    </w:p>
    <w:p w:rsidR="001C1390" w:rsidRPr="00033C90" w:rsidRDefault="001C1390" w:rsidP="001C1390">
      <w:pPr>
        <w:tabs>
          <w:tab w:val="left" w:leader="dot" w:pos="9072"/>
        </w:tabs>
        <w:spacing w:after="120" w:line="240" w:lineRule="auto"/>
      </w:pPr>
      <w:r w:rsidRPr="00033C90">
        <w:t xml:space="preserve">Citu avotu rādītājs, uz kuriem publicētajos nolēmumos dotas atsauces </w:t>
      </w:r>
      <w:r w:rsidRPr="00033C90">
        <w:tab/>
      </w:r>
      <w:r w:rsidR="00E40546" w:rsidRPr="00033C90">
        <w:t>K-281</w:t>
      </w:r>
    </w:p>
    <w:p w:rsidR="001C1390" w:rsidRPr="00033C90" w:rsidRDefault="001C1390" w:rsidP="001C1390">
      <w:pPr>
        <w:tabs>
          <w:tab w:val="left" w:leader="dot" w:pos="9072"/>
        </w:tabs>
        <w:spacing w:after="120" w:line="240" w:lineRule="auto"/>
      </w:pPr>
      <w:r w:rsidRPr="00033C90">
        <w:t>Publicēto nolēmumu rādītājs pēc lietu numuriem</w:t>
      </w:r>
      <w:r w:rsidRPr="00033C90">
        <w:tab/>
      </w:r>
      <w:r w:rsidR="00E40546" w:rsidRPr="00033C90">
        <w:t>K-282</w:t>
      </w:r>
    </w:p>
    <w:p w:rsidR="00E40546" w:rsidRPr="00033C90" w:rsidRDefault="00E40546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</w:p>
    <w:p w:rsidR="001C361F" w:rsidRPr="00033C90" w:rsidRDefault="001C361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8727FB" w:rsidRPr="00033C90" w:rsidRDefault="008727F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8727FB" w:rsidRPr="00033C90" w:rsidRDefault="008727FB" w:rsidP="00147FA8">
      <w:pPr>
        <w:pStyle w:val="Heading2"/>
        <w:tabs>
          <w:tab w:val="left" w:leader="dot" w:pos="9072"/>
        </w:tabs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33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7FB" w:rsidRPr="00033C90" w:rsidRDefault="008727F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826A4A" w:rsidRPr="00421C8C" w:rsidRDefault="0056663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033C90">
        <w:rPr>
          <w:rFonts w:cs="Times New Roman"/>
          <w:szCs w:val="24"/>
        </w:rPr>
        <w:fldChar w:fldCharType="end"/>
      </w:r>
    </w:p>
    <w:p w:rsidR="008727FB" w:rsidRPr="00421C8C" w:rsidRDefault="008727F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106CEE" w:rsidRPr="00421C8C" w:rsidRDefault="00106CE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sectPr w:rsidR="00106CEE" w:rsidRPr="00421C8C" w:rsidSect="005B7A1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DED" w:rsidRDefault="00083DED" w:rsidP="00A20661">
      <w:pPr>
        <w:spacing w:after="0" w:line="240" w:lineRule="auto"/>
      </w:pPr>
      <w:r>
        <w:separator/>
      </w:r>
    </w:p>
  </w:endnote>
  <w:endnote w:type="continuationSeparator" w:id="0">
    <w:p w:rsidR="00083DED" w:rsidRDefault="00083DED" w:rsidP="00A2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DED" w:rsidRDefault="00083DED" w:rsidP="00A20661">
      <w:pPr>
        <w:spacing w:after="0" w:line="240" w:lineRule="auto"/>
      </w:pPr>
      <w:r>
        <w:separator/>
      </w:r>
    </w:p>
  </w:footnote>
  <w:footnote w:type="continuationSeparator" w:id="0">
    <w:p w:rsidR="00083DED" w:rsidRDefault="00083DED" w:rsidP="00A2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23D"/>
    <w:rsid w:val="00033C90"/>
    <w:rsid w:val="00044958"/>
    <w:rsid w:val="000738FF"/>
    <w:rsid w:val="00083DED"/>
    <w:rsid w:val="00086B61"/>
    <w:rsid w:val="000B0F36"/>
    <w:rsid w:val="000F42AF"/>
    <w:rsid w:val="00106CEE"/>
    <w:rsid w:val="001148FA"/>
    <w:rsid w:val="00115CDB"/>
    <w:rsid w:val="00120E6B"/>
    <w:rsid w:val="00126F57"/>
    <w:rsid w:val="0013745E"/>
    <w:rsid w:val="00143654"/>
    <w:rsid w:val="00147FA8"/>
    <w:rsid w:val="0015082D"/>
    <w:rsid w:val="001604C7"/>
    <w:rsid w:val="00166B6A"/>
    <w:rsid w:val="00166DB9"/>
    <w:rsid w:val="001775FC"/>
    <w:rsid w:val="00183E99"/>
    <w:rsid w:val="00190FE1"/>
    <w:rsid w:val="00191FED"/>
    <w:rsid w:val="001A6669"/>
    <w:rsid w:val="001C1390"/>
    <w:rsid w:val="001C361F"/>
    <w:rsid w:val="001E0477"/>
    <w:rsid w:val="00220217"/>
    <w:rsid w:val="00242641"/>
    <w:rsid w:val="00246960"/>
    <w:rsid w:val="00251234"/>
    <w:rsid w:val="00264077"/>
    <w:rsid w:val="002669BF"/>
    <w:rsid w:val="00272AE1"/>
    <w:rsid w:val="00272CC3"/>
    <w:rsid w:val="00287900"/>
    <w:rsid w:val="002A0863"/>
    <w:rsid w:val="002A2FCB"/>
    <w:rsid w:val="002B10DB"/>
    <w:rsid w:val="002C7B07"/>
    <w:rsid w:val="0032453F"/>
    <w:rsid w:val="00326B3A"/>
    <w:rsid w:val="00340893"/>
    <w:rsid w:val="00350102"/>
    <w:rsid w:val="00386C6D"/>
    <w:rsid w:val="00391B89"/>
    <w:rsid w:val="003A5581"/>
    <w:rsid w:val="003D6555"/>
    <w:rsid w:val="003E46BD"/>
    <w:rsid w:val="003F598B"/>
    <w:rsid w:val="0041381A"/>
    <w:rsid w:val="00416DCA"/>
    <w:rsid w:val="00421C8C"/>
    <w:rsid w:val="00440CF2"/>
    <w:rsid w:val="00445E8F"/>
    <w:rsid w:val="004624AE"/>
    <w:rsid w:val="00466489"/>
    <w:rsid w:val="00484033"/>
    <w:rsid w:val="004A10D4"/>
    <w:rsid w:val="004A4AF1"/>
    <w:rsid w:val="004C1059"/>
    <w:rsid w:val="004C57AC"/>
    <w:rsid w:val="004D5968"/>
    <w:rsid w:val="00500CA4"/>
    <w:rsid w:val="00512690"/>
    <w:rsid w:val="00517E6A"/>
    <w:rsid w:val="00566633"/>
    <w:rsid w:val="00567ED7"/>
    <w:rsid w:val="0059143B"/>
    <w:rsid w:val="005A11CE"/>
    <w:rsid w:val="005A7082"/>
    <w:rsid w:val="005B7A11"/>
    <w:rsid w:val="005C1481"/>
    <w:rsid w:val="005D31CE"/>
    <w:rsid w:val="005E33C8"/>
    <w:rsid w:val="00610269"/>
    <w:rsid w:val="0061656A"/>
    <w:rsid w:val="00636B5E"/>
    <w:rsid w:val="00637B69"/>
    <w:rsid w:val="006436F7"/>
    <w:rsid w:val="0065138D"/>
    <w:rsid w:val="0067238B"/>
    <w:rsid w:val="006823FE"/>
    <w:rsid w:val="006B298B"/>
    <w:rsid w:val="006F75F0"/>
    <w:rsid w:val="006F79DF"/>
    <w:rsid w:val="00700E7B"/>
    <w:rsid w:val="00702BC2"/>
    <w:rsid w:val="00704235"/>
    <w:rsid w:val="00706D09"/>
    <w:rsid w:val="007121CA"/>
    <w:rsid w:val="00713118"/>
    <w:rsid w:val="00735614"/>
    <w:rsid w:val="00736F9C"/>
    <w:rsid w:val="00737AB1"/>
    <w:rsid w:val="00774464"/>
    <w:rsid w:val="007769AE"/>
    <w:rsid w:val="00796B00"/>
    <w:rsid w:val="007A274D"/>
    <w:rsid w:val="007A4AB7"/>
    <w:rsid w:val="007B3300"/>
    <w:rsid w:val="007B7BC1"/>
    <w:rsid w:val="007C3F06"/>
    <w:rsid w:val="007D6EDE"/>
    <w:rsid w:val="007E110B"/>
    <w:rsid w:val="00814686"/>
    <w:rsid w:val="0082668C"/>
    <w:rsid w:val="00826A4A"/>
    <w:rsid w:val="00835F63"/>
    <w:rsid w:val="00851832"/>
    <w:rsid w:val="00864010"/>
    <w:rsid w:val="008727FB"/>
    <w:rsid w:val="00880663"/>
    <w:rsid w:val="008A1C8D"/>
    <w:rsid w:val="008C45E0"/>
    <w:rsid w:val="008F1905"/>
    <w:rsid w:val="00903E67"/>
    <w:rsid w:val="00904833"/>
    <w:rsid w:val="00921DF7"/>
    <w:rsid w:val="0093290D"/>
    <w:rsid w:val="00936862"/>
    <w:rsid w:val="0093738F"/>
    <w:rsid w:val="00944042"/>
    <w:rsid w:val="009477F0"/>
    <w:rsid w:val="009569E0"/>
    <w:rsid w:val="00962D5A"/>
    <w:rsid w:val="009631EE"/>
    <w:rsid w:val="00996484"/>
    <w:rsid w:val="009D1047"/>
    <w:rsid w:val="009D6B36"/>
    <w:rsid w:val="009E2A1D"/>
    <w:rsid w:val="00A008AD"/>
    <w:rsid w:val="00A20661"/>
    <w:rsid w:val="00A616E4"/>
    <w:rsid w:val="00A9350B"/>
    <w:rsid w:val="00AA7FD5"/>
    <w:rsid w:val="00AB2649"/>
    <w:rsid w:val="00AC05FE"/>
    <w:rsid w:val="00AC0608"/>
    <w:rsid w:val="00AE7418"/>
    <w:rsid w:val="00B233D3"/>
    <w:rsid w:val="00B70C07"/>
    <w:rsid w:val="00B831FA"/>
    <w:rsid w:val="00BA1D54"/>
    <w:rsid w:val="00BE7760"/>
    <w:rsid w:val="00BF6147"/>
    <w:rsid w:val="00BF6FAC"/>
    <w:rsid w:val="00C53DC9"/>
    <w:rsid w:val="00C93D35"/>
    <w:rsid w:val="00CA18B3"/>
    <w:rsid w:val="00CC5FC8"/>
    <w:rsid w:val="00CC74C5"/>
    <w:rsid w:val="00CD5932"/>
    <w:rsid w:val="00CE7A59"/>
    <w:rsid w:val="00CF4C50"/>
    <w:rsid w:val="00D0551D"/>
    <w:rsid w:val="00D073FB"/>
    <w:rsid w:val="00D33B14"/>
    <w:rsid w:val="00D41819"/>
    <w:rsid w:val="00D63A76"/>
    <w:rsid w:val="00D71E38"/>
    <w:rsid w:val="00D814AE"/>
    <w:rsid w:val="00D9395C"/>
    <w:rsid w:val="00DB11D9"/>
    <w:rsid w:val="00DE64EC"/>
    <w:rsid w:val="00DF20EB"/>
    <w:rsid w:val="00DF3274"/>
    <w:rsid w:val="00DF43A0"/>
    <w:rsid w:val="00E05516"/>
    <w:rsid w:val="00E13F96"/>
    <w:rsid w:val="00E40546"/>
    <w:rsid w:val="00E738E0"/>
    <w:rsid w:val="00E91494"/>
    <w:rsid w:val="00E94C6B"/>
    <w:rsid w:val="00EA11FD"/>
    <w:rsid w:val="00EB26FE"/>
    <w:rsid w:val="00EC523D"/>
    <w:rsid w:val="00ED079F"/>
    <w:rsid w:val="00ED70A3"/>
    <w:rsid w:val="00F120D4"/>
    <w:rsid w:val="00F165B3"/>
    <w:rsid w:val="00F32950"/>
    <w:rsid w:val="00F40F93"/>
    <w:rsid w:val="00F41D6C"/>
    <w:rsid w:val="00F64669"/>
    <w:rsid w:val="00F67BB9"/>
    <w:rsid w:val="00F7742C"/>
    <w:rsid w:val="00F867A5"/>
    <w:rsid w:val="00F86959"/>
    <w:rsid w:val="00F9665F"/>
    <w:rsid w:val="00FB09D4"/>
    <w:rsid w:val="00FC6475"/>
    <w:rsid w:val="00FE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4872-2FED-4F3B-AFBC-73157FC2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CEE"/>
  </w:style>
  <w:style w:type="paragraph" w:styleId="Heading1">
    <w:name w:val="heading 1"/>
    <w:basedOn w:val="Normal"/>
    <w:next w:val="Normal"/>
    <w:link w:val="Heading1Char"/>
    <w:uiPriority w:val="9"/>
    <w:qFormat/>
    <w:rsid w:val="00EC5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2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2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C523D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3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2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523D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2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F41D6C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1D6C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21C8C"/>
    <w:pPr>
      <w:tabs>
        <w:tab w:val="right" w:pos="9072"/>
      </w:tabs>
      <w:spacing w:after="0" w:line="240" w:lineRule="auto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727FB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727FB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727FB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727FB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727FB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727FB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727FB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06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06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0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B1FE6-085C-4E3C-88ED-2AFB7D50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8</Pages>
  <Words>10947</Words>
  <Characters>6241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Čerņenko</dc:creator>
  <cp:lastModifiedBy>Rasma Zvejniece</cp:lastModifiedBy>
  <cp:revision>10</cp:revision>
  <dcterms:created xsi:type="dcterms:W3CDTF">2016-02-02T13:28:00Z</dcterms:created>
  <dcterms:modified xsi:type="dcterms:W3CDTF">2025-09-13T20:10:00Z</dcterms:modified>
</cp:coreProperties>
</file>