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6FB1" w14:textId="77777777" w:rsidR="008247A7" w:rsidRPr="008647E7" w:rsidRDefault="008247A7" w:rsidP="008247A7">
      <w:pPr>
        <w:spacing w:line="276" w:lineRule="auto"/>
        <w:jc w:val="both"/>
        <w:rPr>
          <w:b/>
          <w:bCs/>
        </w:rPr>
      </w:pPr>
      <w:r w:rsidRPr="008647E7">
        <w:rPr>
          <w:b/>
          <w:bCs/>
        </w:rPr>
        <w:t>Nonāvēšana aiz neuzmanības</w:t>
      </w:r>
    </w:p>
    <w:p w14:paraId="07C991CD" w14:textId="77777777" w:rsidR="008247A7" w:rsidRDefault="008247A7" w:rsidP="008247A7">
      <w:pPr>
        <w:spacing w:line="276" w:lineRule="auto"/>
        <w:jc w:val="both"/>
      </w:pPr>
      <w:r w:rsidRPr="008647E7">
        <w:t>Lai noziedzīgo nodarījumu kvalificētu kā nonāvēšanu aiz neuzmanības, jākonstatē, ka apsūdzētajam nav bijis nodoma nedz nodarīt cietušajam miesas bojājumus, nedz arī viņu nonāvēt.</w:t>
      </w:r>
    </w:p>
    <w:p w14:paraId="0FC36A98" w14:textId="77777777" w:rsidR="008247A7" w:rsidRDefault="008247A7" w:rsidP="008247A7">
      <w:pPr>
        <w:spacing w:line="276" w:lineRule="auto"/>
        <w:jc w:val="both"/>
      </w:pPr>
    </w:p>
    <w:p w14:paraId="2004ECC1" w14:textId="77777777" w:rsidR="008247A7" w:rsidRPr="008647E7" w:rsidRDefault="008247A7" w:rsidP="008247A7">
      <w:pPr>
        <w:spacing w:line="276" w:lineRule="auto"/>
        <w:jc w:val="both"/>
        <w:rPr>
          <w:b/>
          <w:bCs/>
        </w:rPr>
      </w:pPr>
      <w:r w:rsidRPr="008647E7">
        <w:rPr>
          <w:b/>
          <w:bCs/>
        </w:rPr>
        <w:t>Noziedzīga nodarījuma kvalificēšana pēc Krimināllikuma 125. panta trešās daļas (tīša smaga miesas bojājuma nodarīšana, kas vainīgā neuzmanības dēļ bijis par iemeslu cietušā nāvei)</w:t>
      </w:r>
    </w:p>
    <w:p w14:paraId="77FB74FD" w14:textId="7C10563B" w:rsidR="008247A7" w:rsidRPr="008647E7" w:rsidRDefault="008247A7" w:rsidP="008247A7">
      <w:pPr>
        <w:spacing w:line="276" w:lineRule="auto"/>
        <w:jc w:val="both"/>
      </w:pPr>
      <w:r w:rsidRPr="008647E7">
        <w:t>1. Krimināllikuma 125. panta trešajā daļā paredzētā noziedzīgā nodarījuma (tīša smaga miesas bojājuma nodarīšana, kas vainīgā neuzmanības dēļ bijis par iemeslu cietušā nāvei) sastāvā ietverts divu veidu kaitējums personai – smagu miesas bojājumu nodarīšana un to rezultātā iestājusies cietušā nāve. Pret katru no normā paredzētajām sekām noteikta dažāda vainīgās personas psihiskā attieksme, proti, pret smagu miesas bojājumu – nodoms, bet pret nāvi</w:t>
      </w:r>
      <w:r w:rsidR="00403904">
        <w:t xml:space="preserve"> – n</w:t>
      </w:r>
      <w:r w:rsidRPr="008647E7">
        <w:t>euzmanība.</w:t>
      </w:r>
    </w:p>
    <w:p w14:paraId="04C3F5B1" w14:textId="7995AF11" w:rsidR="008247A7" w:rsidRPr="008647E7" w:rsidRDefault="008247A7" w:rsidP="008247A7">
      <w:pPr>
        <w:spacing w:line="276" w:lineRule="auto"/>
        <w:jc w:val="both"/>
      </w:pPr>
      <w:r w:rsidRPr="008647E7">
        <w:t>2. Krimināllikuma 125. panta trešajā daļā paredzētā noziedzīgā nodarījuma sastāva konstatēšanai jānosaka apsūdzētā nodoms gan pret smaga miesas bojājuma nodarīšanu, gan</w:t>
      </w:r>
      <w:r w:rsidR="00403904">
        <w:t xml:space="preserve"> pret</w:t>
      </w:r>
      <w:r w:rsidRPr="008647E7">
        <w:t xml:space="preserve"> nāvi.</w:t>
      </w:r>
    </w:p>
    <w:p w14:paraId="6CB52A71" w14:textId="77777777" w:rsidR="008247A7" w:rsidRPr="008647E7" w:rsidRDefault="008247A7" w:rsidP="008247A7">
      <w:pPr>
        <w:spacing w:line="276" w:lineRule="auto"/>
        <w:jc w:val="both"/>
      </w:pPr>
      <w:r w:rsidRPr="008647E7">
        <w:t>3. Kriminālatbildība par smagu miesas bojājumu nodarīšanu ar netiešu nodomu iestājas arī gadījumos, kad personas darbības vērstas uz jebkāda smaguma miesas bojājuma nodarīšanu.</w:t>
      </w:r>
    </w:p>
    <w:p w14:paraId="7D2A1228" w14:textId="6CC5B88D" w:rsidR="008247A7" w:rsidRPr="008647E7" w:rsidRDefault="008247A7" w:rsidP="008247A7">
      <w:pPr>
        <w:spacing w:line="276" w:lineRule="auto"/>
        <w:jc w:val="both"/>
      </w:pPr>
      <w:r w:rsidRPr="008647E7">
        <w:t>Ja vainīgais apzināti pielieto tādu vardarbību pret cietušo, kas vērsta uz jebkādu miesas bojājumu nodarīšanu, i</w:t>
      </w:r>
      <w:r w:rsidR="005E43D5">
        <w:t>esitot</w:t>
      </w:r>
      <w:r w:rsidRPr="008647E7">
        <w:t xml:space="preserve"> pa galvu, vainīgais paredz un apzināti pieļauj, ka cietušajam var iestāties dažāda smaguma miesas bojājumi. Šādā gadījumā vainīgajam ir jāatbild par sekām, kas ir loģisks un paredzams viņa darbību rezultāts.</w:t>
      </w:r>
    </w:p>
    <w:p w14:paraId="683D34CC" w14:textId="77777777" w:rsidR="008247A7" w:rsidRDefault="008247A7" w:rsidP="00B03803">
      <w:pPr>
        <w:spacing w:line="276" w:lineRule="auto"/>
        <w:jc w:val="center"/>
        <w:rPr>
          <w:b/>
          <w:bCs/>
        </w:rPr>
      </w:pPr>
    </w:p>
    <w:p w14:paraId="30EF74F0" w14:textId="22606CDE" w:rsidR="00447EE6" w:rsidRPr="00B03803" w:rsidRDefault="00447EE6" w:rsidP="00B03803">
      <w:pPr>
        <w:spacing w:line="276" w:lineRule="auto"/>
        <w:jc w:val="center"/>
        <w:rPr>
          <w:b/>
          <w:bCs/>
        </w:rPr>
      </w:pPr>
      <w:r w:rsidRPr="00B03803">
        <w:rPr>
          <w:b/>
          <w:bCs/>
        </w:rPr>
        <w:t>Latvijas Republikas Senāt</w:t>
      </w:r>
      <w:r w:rsidR="00B03803" w:rsidRPr="00B03803">
        <w:rPr>
          <w:b/>
          <w:bCs/>
        </w:rPr>
        <w:t>a</w:t>
      </w:r>
    </w:p>
    <w:p w14:paraId="371F0BC8" w14:textId="3A985AFC" w:rsidR="00B03803" w:rsidRPr="00B03803" w:rsidRDefault="00B03803" w:rsidP="00B03803">
      <w:pPr>
        <w:spacing w:line="276" w:lineRule="auto"/>
        <w:jc w:val="center"/>
        <w:rPr>
          <w:b/>
          <w:bCs/>
          <w:lang w:eastAsia="lv-LV"/>
        </w:rPr>
      </w:pPr>
      <w:r w:rsidRPr="00B03803">
        <w:rPr>
          <w:b/>
          <w:bCs/>
          <w:lang w:eastAsia="lv-LV"/>
        </w:rPr>
        <w:t>Krimināllietu departamenta</w:t>
      </w:r>
    </w:p>
    <w:p w14:paraId="78498E3E" w14:textId="527AA92A" w:rsidR="00B03803" w:rsidRPr="00B03803" w:rsidRDefault="00B03803" w:rsidP="00B03803">
      <w:pPr>
        <w:spacing w:line="276" w:lineRule="auto"/>
        <w:jc w:val="center"/>
        <w:rPr>
          <w:b/>
          <w:bCs/>
        </w:rPr>
      </w:pPr>
      <w:r w:rsidRPr="00B03803">
        <w:rPr>
          <w:b/>
          <w:bCs/>
        </w:rPr>
        <w:t>2025. gada 3. septembra</w:t>
      </w:r>
    </w:p>
    <w:p w14:paraId="6D65DEB2" w14:textId="21D88A5F" w:rsidR="00447EE6" w:rsidRPr="00B03803" w:rsidRDefault="00070008" w:rsidP="00B03803">
      <w:pPr>
        <w:spacing w:line="276" w:lineRule="auto"/>
        <w:jc w:val="center"/>
        <w:rPr>
          <w:b/>
          <w:bCs/>
        </w:rPr>
      </w:pPr>
      <w:r w:rsidRPr="00B03803">
        <w:rPr>
          <w:b/>
          <w:bCs/>
        </w:rPr>
        <w:t>LĒMUMS</w:t>
      </w:r>
    </w:p>
    <w:p w14:paraId="5D77F30A" w14:textId="77777777" w:rsidR="00B03803" w:rsidRPr="00B03803" w:rsidRDefault="00B03803" w:rsidP="00B03803">
      <w:pPr>
        <w:spacing w:line="276" w:lineRule="auto"/>
        <w:jc w:val="center"/>
        <w:rPr>
          <w:b/>
          <w:bCs/>
          <w:lang w:eastAsia="lv-LV"/>
        </w:rPr>
      </w:pPr>
      <w:r w:rsidRPr="00B03803">
        <w:rPr>
          <w:b/>
          <w:bCs/>
          <w:lang w:eastAsia="lv-LV"/>
        </w:rPr>
        <w:t>Lieta Nr. 11089085115, SKK</w:t>
      </w:r>
      <w:r w:rsidRPr="00B03803">
        <w:rPr>
          <w:b/>
          <w:bCs/>
          <w:lang w:eastAsia="lv-LV"/>
        </w:rPr>
        <w:noBreakHyphen/>
        <w:t>62/2025</w:t>
      </w:r>
    </w:p>
    <w:p w14:paraId="781D45C0" w14:textId="2013A656" w:rsidR="00447EE6" w:rsidRPr="00C76E1D" w:rsidRDefault="00B03803" w:rsidP="00B03803">
      <w:pPr>
        <w:spacing w:line="276" w:lineRule="auto"/>
        <w:jc w:val="center"/>
      </w:pPr>
      <w:hyperlink r:id="rId7" w:history="1">
        <w:r w:rsidRPr="00B03803">
          <w:rPr>
            <w:rStyle w:val="Hyperlink"/>
          </w:rPr>
          <w:t>ECLI:LV:AT:2025:0903.11089085115.5.L</w:t>
        </w:r>
      </w:hyperlink>
    </w:p>
    <w:p w14:paraId="48EB9CDA" w14:textId="77777777" w:rsidR="00070008" w:rsidRPr="00C76E1D" w:rsidRDefault="00070008" w:rsidP="00F05B72">
      <w:pPr>
        <w:spacing w:line="276" w:lineRule="auto"/>
        <w:ind w:firstLine="720"/>
        <w:jc w:val="center"/>
      </w:pPr>
    </w:p>
    <w:p w14:paraId="1609D6F5" w14:textId="388D0B7C" w:rsidR="00447EE6" w:rsidRPr="00C76E1D" w:rsidRDefault="00447EE6" w:rsidP="00F05B72">
      <w:pPr>
        <w:spacing w:line="276" w:lineRule="auto"/>
        <w:ind w:firstLine="720"/>
        <w:jc w:val="both"/>
      </w:pPr>
      <w:r w:rsidRPr="00C76E1D">
        <w:t>Senāts šādā sastāvā:</w:t>
      </w:r>
      <w:r w:rsidR="00070008" w:rsidRPr="00C76E1D">
        <w:t xml:space="preserve"> senators referents Aivars Uminskis, senatori Māris Leja un </w:t>
      </w:r>
      <w:r w:rsidR="00A656FE" w:rsidRPr="00C76E1D">
        <w:t>Inese Laura Zemīte</w:t>
      </w:r>
    </w:p>
    <w:p w14:paraId="5F6E26E1" w14:textId="77777777" w:rsidR="00070008" w:rsidRPr="00C76E1D" w:rsidRDefault="00070008" w:rsidP="00F05B72">
      <w:pPr>
        <w:spacing w:line="276" w:lineRule="auto"/>
        <w:ind w:firstLine="720"/>
        <w:jc w:val="both"/>
      </w:pPr>
    </w:p>
    <w:p w14:paraId="7F2316AA" w14:textId="5CCC94C7" w:rsidR="00070008" w:rsidRPr="00C76E1D" w:rsidRDefault="00070008" w:rsidP="00F05B72">
      <w:pPr>
        <w:spacing w:line="276" w:lineRule="auto"/>
        <w:ind w:firstLine="720"/>
        <w:jc w:val="both"/>
      </w:pPr>
      <w:r w:rsidRPr="00C76E1D">
        <w:t xml:space="preserve">rakstveida procesā izskatīja krimināllietu sakarā ar </w:t>
      </w:r>
      <w:r w:rsidR="0060505B" w:rsidRPr="00C76E1D">
        <w:t xml:space="preserve">Rīgas Austrumu prokuratūras prokurora Riharda Rumbenieka kasācijas protestu par </w:t>
      </w:r>
      <w:r w:rsidR="00A656FE" w:rsidRPr="00C76E1D">
        <w:t>Rīgas apgabaltiesas 2024. gada 6. jūnija lēmumu.</w:t>
      </w:r>
    </w:p>
    <w:p w14:paraId="553F63C4" w14:textId="77777777" w:rsidR="00070008" w:rsidRPr="00C76E1D" w:rsidRDefault="00070008" w:rsidP="00F05B72">
      <w:pPr>
        <w:spacing w:line="276" w:lineRule="auto"/>
        <w:ind w:firstLine="720"/>
        <w:jc w:val="both"/>
        <w:rPr>
          <w:lang w:eastAsia="lv-LV"/>
        </w:rPr>
      </w:pPr>
    </w:p>
    <w:p w14:paraId="12882064" w14:textId="77777777" w:rsidR="00447EE6" w:rsidRPr="00C76E1D" w:rsidRDefault="00447EE6" w:rsidP="00C76E1D">
      <w:pPr>
        <w:spacing w:line="276" w:lineRule="auto"/>
        <w:jc w:val="center"/>
        <w:rPr>
          <w:b/>
          <w:shd w:val="clear" w:color="auto" w:fill="FFFFFF"/>
        </w:rPr>
      </w:pPr>
      <w:r w:rsidRPr="00C76E1D">
        <w:rPr>
          <w:b/>
          <w:shd w:val="clear" w:color="auto" w:fill="FFFFFF"/>
        </w:rPr>
        <w:t>Aprakstošā daļa</w:t>
      </w:r>
    </w:p>
    <w:p w14:paraId="0D501CCF" w14:textId="77777777" w:rsidR="00A656FE" w:rsidRPr="00C76E1D" w:rsidRDefault="00A656FE" w:rsidP="00F05B72">
      <w:pPr>
        <w:spacing w:line="276" w:lineRule="auto"/>
        <w:ind w:firstLine="720"/>
        <w:jc w:val="center"/>
        <w:rPr>
          <w:bCs/>
          <w:shd w:val="clear" w:color="auto" w:fill="FFFFFF"/>
        </w:rPr>
      </w:pPr>
    </w:p>
    <w:p w14:paraId="0B4F5653" w14:textId="0C6C28B1" w:rsidR="00447EE6" w:rsidRPr="00C76E1D" w:rsidRDefault="00447EE6"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[1]</w:t>
      </w:r>
      <w:r w:rsidR="00A656FE" w:rsidRPr="00C76E1D">
        <w:rPr>
          <w:shd w:val="clear" w:color="auto" w:fill="FFFFFF"/>
        </w:rPr>
        <w:t> </w:t>
      </w:r>
      <w:r w:rsidR="004C66FC" w:rsidRPr="00C76E1D">
        <w:rPr>
          <w:shd w:val="clear" w:color="auto" w:fill="FFFFFF"/>
        </w:rPr>
        <w:t>Ar Rīgas pilsētas tiesas 2022. gada 30. septembra spriedumu</w:t>
      </w:r>
    </w:p>
    <w:p w14:paraId="3E031914" w14:textId="10F9B394" w:rsidR="004C66FC" w:rsidRPr="00C76E1D" w:rsidRDefault="00B03803" w:rsidP="00F05B72">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[pers. A]</w:t>
      </w:r>
      <w:r w:rsidR="004C66FC" w:rsidRPr="00C76E1D">
        <w:rPr>
          <w:shd w:val="clear" w:color="auto" w:fill="FFFFFF"/>
        </w:rPr>
        <w:t xml:space="preserve">, personas kods </w:t>
      </w:r>
      <w:r>
        <w:rPr>
          <w:shd w:val="clear" w:color="auto" w:fill="FFFFFF"/>
        </w:rPr>
        <w:t>[..]</w:t>
      </w:r>
      <w:r w:rsidR="004C66FC" w:rsidRPr="00C76E1D">
        <w:rPr>
          <w:shd w:val="clear" w:color="auto" w:fill="FFFFFF"/>
        </w:rPr>
        <w:t>,</w:t>
      </w:r>
    </w:p>
    <w:p w14:paraId="02E81342" w14:textId="3AC32A91" w:rsidR="004C66FC" w:rsidRPr="00C76E1D" w:rsidRDefault="004C66FC"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lastRenderedPageBreak/>
        <w:t>atzīts par vainīgu Krimināllikuma 125. panta trešajā daļā paredzētajā noziedzīgajā nodarījumā un</w:t>
      </w:r>
      <w:r w:rsidR="00F05B72">
        <w:rPr>
          <w:shd w:val="clear" w:color="auto" w:fill="FFFFFF"/>
        </w:rPr>
        <w:t>, piemērojot Krimināllikuma 49.</w:t>
      </w:r>
      <w:r w:rsidR="00F05B72" w:rsidRPr="00554C0F">
        <w:rPr>
          <w:shd w:val="clear" w:color="auto" w:fill="FFFFFF"/>
          <w:vertAlign w:val="superscript"/>
        </w:rPr>
        <w:t>1</w:t>
      </w:r>
      <w:r w:rsidR="00F05B72">
        <w:rPr>
          <w:shd w:val="clear" w:color="auto" w:fill="FFFFFF"/>
        </w:rPr>
        <w:t> panta pirmās daļas 1. punktu,</w:t>
      </w:r>
      <w:r w:rsidRPr="00C76E1D">
        <w:rPr>
          <w:shd w:val="clear" w:color="auto" w:fill="FFFFFF"/>
        </w:rPr>
        <w:t xml:space="preserve"> sodīts ar brīvības atņemšanu uz 4 gadiem.</w:t>
      </w:r>
    </w:p>
    <w:p w14:paraId="633AE1D1" w14:textId="77777777" w:rsidR="004C66FC" w:rsidRPr="00C76E1D" w:rsidRDefault="004C66FC" w:rsidP="00F05B72">
      <w:pPr>
        <w:pStyle w:val="NormalWeb"/>
        <w:shd w:val="clear" w:color="auto" w:fill="FFFFFF"/>
        <w:spacing w:before="0" w:beforeAutospacing="0" w:after="0" w:afterAutospacing="0" w:line="276" w:lineRule="auto"/>
        <w:ind w:firstLine="720"/>
        <w:jc w:val="both"/>
        <w:rPr>
          <w:shd w:val="clear" w:color="auto" w:fill="FFFFFF"/>
        </w:rPr>
      </w:pPr>
    </w:p>
    <w:p w14:paraId="4C7BD002" w14:textId="29D92A7E" w:rsidR="004C66FC" w:rsidRPr="00C76E1D" w:rsidRDefault="004C66FC"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[2] </w:t>
      </w:r>
      <w:r w:rsidR="009102D4" w:rsidRPr="00C76E1D">
        <w:rPr>
          <w:shd w:val="clear" w:color="auto" w:fill="FFFFFF"/>
        </w:rPr>
        <w:t xml:space="preserve">Ar pirmās instances tiesas spriedumu apsūdzētais </w:t>
      </w:r>
      <w:r w:rsidR="00B03803">
        <w:rPr>
          <w:shd w:val="clear" w:color="auto" w:fill="FFFFFF"/>
        </w:rPr>
        <w:t>[pers. A]</w:t>
      </w:r>
      <w:r w:rsidR="009102D4" w:rsidRPr="00C76E1D">
        <w:rPr>
          <w:shd w:val="clear" w:color="auto" w:fill="FFFFFF"/>
        </w:rPr>
        <w:t xml:space="preserve"> atzīts par vainīgu un sodīts pēc Krimināllikuma 125. panta trešās daļas par tīša smaga miesas bojājuma nodarīšanu, kas vainīgā neuzmanības dēļ bijis par iemeslu cietušā nāvei.</w:t>
      </w:r>
    </w:p>
    <w:p w14:paraId="5B8037BD" w14:textId="77777777" w:rsidR="009102D4" w:rsidRPr="00C76E1D" w:rsidRDefault="009102D4" w:rsidP="00F05B72">
      <w:pPr>
        <w:pStyle w:val="NormalWeb"/>
        <w:shd w:val="clear" w:color="auto" w:fill="FFFFFF"/>
        <w:spacing w:before="0" w:beforeAutospacing="0" w:after="0" w:afterAutospacing="0" w:line="276" w:lineRule="auto"/>
        <w:ind w:firstLine="720"/>
        <w:jc w:val="both"/>
        <w:rPr>
          <w:shd w:val="clear" w:color="auto" w:fill="FFFFFF"/>
        </w:rPr>
      </w:pPr>
    </w:p>
    <w:p w14:paraId="1FB7F89B" w14:textId="3D203530" w:rsidR="009102D4" w:rsidRPr="00C76E1D" w:rsidRDefault="009102D4"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[3] </w:t>
      </w:r>
      <w:r w:rsidR="00356F11" w:rsidRPr="00C76E1D">
        <w:rPr>
          <w:shd w:val="clear" w:color="auto" w:fill="FFFFFF"/>
        </w:rPr>
        <w:t xml:space="preserve">Ar Rīgas apgabaltiesas 2024. gada 6. jūnija lēmumu, iztiesājot lietu sakarā ar apsūdzētā </w:t>
      </w:r>
      <w:r w:rsidR="00B03803">
        <w:rPr>
          <w:shd w:val="clear" w:color="auto" w:fill="FFFFFF"/>
        </w:rPr>
        <w:t>[pers. A]</w:t>
      </w:r>
      <w:r w:rsidR="00356F11" w:rsidRPr="00C76E1D">
        <w:rPr>
          <w:shd w:val="clear" w:color="auto" w:fill="FFFFFF"/>
        </w:rPr>
        <w:t xml:space="preserve"> aizstāvja zvērināta advokāta Arta Gabruševa </w:t>
      </w:r>
      <w:r w:rsidR="00917E0B" w:rsidRPr="00C76E1D">
        <w:rPr>
          <w:shd w:val="clear" w:color="auto" w:fill="FFFFFF"/>
        </w:rPr>
        <w:t>apelācijas</w:t>
      </w:r>
      <w:r w:rsidR="00356F11" w:rsidRPr="00C76E1D">
        <w:rPr>
          <w:shd w:val="clear" w:color="auto" w:fill="FFFFFF"/>
        </w:rPr>
        <w:t xml:space="preserve"> sūdzību, Rīgas pilsētas tiesas 2022. gada 30. septembra spriedums atcelts pilnībā un lieta nosūtīta jaunai izskatīšanai pirmās instances tiesā.</w:t>
      </w:r>
    </w:p>
    <w:p w14:paraId="44E05F81" w14:textId="77777777" w:rsidR="00356F11" w:rsidRPr="00C76E1D" w:rsidRDefault="00356F11" w:rsidP="00F05B72">
      <w:pPr>
        <w:pStyle w:val="NormalWeb"/>
        <w:shd w:val="clear" w:color="auto" w:fill="FFFFFF"/>
        <w:spacing w:before="0" w:beforeAutospacing="0" w:after="0" w:afterAutospacing="0" w:line="276" w:lineRule="auto"/>
        <w:ind w:firstLine="720"/>
        <w:jc w:val="both"/>
        <w:rPr>
          <w:shd w:val="clear" w:color="auto" w:fill="FFFFFF"/>
        </w:rPr>
      </w:pPr>
    </w:p>
    <w:p w14:paraId="5695A819" w14:textId="25D1DB3D" w:rsidR="00356F11" w:rsidRPr="00C76E1D" w:rsidRDefault="00356F11" w:rsidP="00F05B72">
      <w:pPr>
        <w:pStyle w:val="NormalWeb"/>
        <w:shd w:val="clear" w:color="auto" w:fill="FFFFFF"/>
        <w:spacing w:before="0" w:beforeAutospacing="0" w:after="0" w:afterAutospacing="0" w:line="276" w:lineRule="auto"/>
        <w:ind w:firstLine="720"/>
        <w:jc w:val="both"/>
      </w:pPr>
      <w:r w:rsidRPr="00C76E1D">
        <w:rPr>
          <w:shd w:val="clear" w:color="auto" w:fill="FFFFFF"/>
        </w:rPr>
        <w:t>[4] </w:t>
      </w:r>
      <w:r w:rsidR="00AE3CB0" w:rsidRPr="00C76E1D">
        <w:rPr>
          <w:shd w:val="clear" w:color="auto" w:fill="FFFFFF"/>
        </w:rPr>
        <w:t xml:space="preserve">Par Rīgas apgabaltiesas 2024. gada 6. jūnija lēmumu kasācijas protestu iesniedzis </w:t>
      </w:r>
      <w:r w:rsidR="00AE3CB0" w:rsidRPr="00C76E1D">
        <w:t xml:space="preserve">Austrumzemgales prokuratūras prokurors R. Rumbenieks, kurā lūdzis apelācijas instances tiesas </w:t>
      </w:r>
      <w:r w:rsidR="006A2850">
        <w:t xml:space="preserve">lēmumu </w:t>
      </w:r>
      <w:r w:rsidR="00AE3CB0" w:rsidRPr="00C76E1D">
        <w:t>atcelt pilnībā un nosūtīt lietu jaunai izskatīšanai apelācijas instances tiesā.</w:t>
      </w:r>
    </w:p>
    <w:p w14:paraId="6E84940E" w14:textId="15C17A0B" w:rsidR="00AE3CB0" w:rsidRPr="00C76E1D" w:rsidRDefault="00AE3CB0" w:rsidP="00F05B72">
      <w:pPr>
        <w:spacing w:line="276" w:lineRule="auto"/>
        <w:ind w:firstLine="720"/>
        <w:jc w:val="both"/>
      </w:pPr>
      <w:r w:rsidRPr="00C76E1D">
        <w:t>Kasācijas protestā izteikto lūgumu prokurors pamatojis ar turpmāk norādītajiem argumentiem.</w:t>
      </w:r>
    </w:p>
    <w:p w14:paraId="03FF3E17" w14:textId="063D06DE" w:rsidR="00AE3CB0" w:rsidRPr="00C76E1D" w:rsidRDefault="005F58DE"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[4.1] </w:t>
      </w:r>
      <w:r w:rsidR="00C03B6C" w:rsidRPr="00C76E1D">
        <w:rPr>
          <w:shd w:val="clear" w:color="auto" w:fill="FFFFFF"/>
        </w:rPr>
        <w:t xml:space="preserve">Apelācijas instances tiesa nepamatoti atzinusi, ka pirmās instances tiesai bija jārodas saprātīgām šaubām par apsūdzētā </w:t>
      </w:r>
      <w:r w:rsidR="00B03803">
        <w:rPr>
          <w:shd w:val="clear" w:color="auto" w:fill="FFFFFF"/>
        </w:rPr>
        <w:t>[pers. A]</w:t>
      </w:r>
      <w:r w:rsidR="00C03B6C" w:rsidRPr="00C76E1D">
        <w:rPr>
          <w:shd w:val="clear" w:color="auto" w:fill="FFFFFF"/>
        </w:rPr>
        <w:t xml:space="preserve"> darbību kvalifikāciju pēc Krimināllikuma 125. panta trešās daļas.</w:t>
      </w:r>
    </w:p>
    <w:p w14:paraId="38423944" w14:textId="402E27C6" w:rsidR="0030273F" w:rsidRPr="00C76E1D" w:rsidRDefault="0030273F"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 xml:space="preserve">Tiesa </w:t>
      </w:r>
      <w:r w:rsidR="00277325" w:rsidRPr="00C76E1D">
        <w:rPr>
          <w:shd w:val="clear" w:color="auto" w:fill="FFFFFF"/>
        </w:rPr>
        <w:t xml:space="preserve">nepamatoti secinājusi, ka </w:t>
      </w:r>
      <w:r w:rsidR="00B03803">
        <w:rPr>
          <w:shd w:val="clear" w:color="auto" w:fill="FFFFFF"/>
        </w:rPr>
        <w:t>[pers. A]</w:t>
      </w:r>
      <w:r w:rsidR="00277325" w:rsidRPr="00C76E1D">
        <w:rPr>
          <w:shd w:val="clear" w:color="auto" w:fill="FFFFFF"/>
        </w:rPr>
        <w:t xml:space="preserve"> darbīb</w:t>
      </w:r>
      <w:r w:rsidR="00C8434F" w:rsidRPr="00C76E1D">
        <w:rPr>
          <w:shd w:val="clear" w:color="auto" w:fill="FFFFFF"/>
        </w:rPr>
        <w:t>ās nav konstatējams netiešs nodoms un viņa darbības</w:t>
      </w:r>
      <w:r w:rsidR="00277325" w:rsidRPr="00C76E1D">
        <w:rPr>
          <w:shd w:val="clear" w:color="auto" w:fill="FFFFFF"/>
        </w:rPr>
        <w:t xml:space="preserve"> kvalificējamas kā noziedzīgs nodarījums aiz neuzmanības</w:t>
      </w:r>
      <w:r w:rsidR="00C8434F" w:rsidRPr="00C76E1D">
        <w:rPr>
          <w:shd w:val="clear" w:color="auto" w:fill="FFFFFF"/>
        </w:rPr>
        <w:t>.</w:t>
      </w:r>
    </w:p>
    <w:p w14:paraId="4E3C5500" w14:textId="00567FAF" w:rsidR="00E67073" w:rsidRPr="00C76E1D" w:rsidRDefault="00DA701D"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 xml:space="preserve">Par apsūdzētā netiešu nodomu nodarīt cietušajam smagus miesas bojājumus liecina apsūdzētā faktiskās darbības – </w:t>
      </w:r>
      <w:r w:rsidR="006E16E1" w:rsidRPr="00C76E1D">
        <w:rPr>
          <w:shd w:val="clear" w:color="auto" w:fill="FFFFFF"/>
        </w:rPr>
        <w:t>sitiens ar</w:t>
      </w:r>
      <w:r w:rsidR="002E2F07">
        <w:rPr>
          <w:shd w:val="clear" w:color="auto" w:fill="FFFFFF"/>
        </w:rPr>
        <w:t xml:space="preserve"> </w:t>
      </w:r>
      <w:r w:rsidR="006E16E1" w:rsidRPr="00C76E1D">
        <w:rPr>
          <w:shd w:val="clear" w:color="auto" w:fill="FFFFFF"/>
        </w:rPr>
        <w:t xml:space="preserve">dūri pa </w:t>
      </w:r>
      <w:r w:rsidR="00B03803">
        <w:rPr>
          <w:shd w:val="clear" w:color="auto" w:fill="FFFFFF"/>
        </w:rPr>
        <w:t>[pers. B]</w:t>
      </w:r>
      <w:r w:rsidR="006E16E1" w:rsidRPr="00C76E1D">
        <w:rPr>
          <w:shd w:val="clear" w:color="auto" w:fill="FFFFFF"/>
        </w:rPr>
        <w:t xml:space="preserve"> seju kreisās acs apvidū, kā rezultātā </w:t>
      </w:r>
      <w:r w:rsidR="00B03803">
        <w:rPr>
          <w:shd w:val="clear" w:color="auto" w:fill="FFFFFF"/>
        </w:rPr>
        <w:t>[pers. B]</w:t>
      </w:r>
      <w:r w:rsidR="006E16E1" w:rsidRPr="00C76E1D">
        <w:rPr>
          <w:shd w:val="clear" w:color="auto" w:fill="FFFFFF"/>
        </w:rPr>
        <w:t xml:space="preserve"> krita un atsita galvas kreiso pusi paura apvidū pret asfalta segumu. </w:t>
      </w:r>
      <w:r w:rsidR="005F58DE" w:rsidRPr="00C76E1D">
        <w:rPr>
          <w:shd w:val="clear" w:color="auto" w:fill="FFFFFF"/>
        </w:rPr>
        <w:t>T</w:t>
      </w:r>
      <w:r w:rsidR="006E16E1" w:rsidRPr="00C76E1D">
        <w:rPr>
          <w:shd w:val="clear" w:color="auto" w:fill="FFFFFF"/>
        </w:rPr>
        <w:t xml:space="preserve">īši vēršoties pret cietušo ar vardarbību, </w:t>
      </w:r>
      <w:r w:rsidR="00B03803">
        <w:rPr>
          <w:shd w:val="clear" w:color="auto" w:fill="FFFFFF"/>
        </w:rPr>
        <w:t>[pers. A]</w:t>
      </w:r>
      <w:r w:rsidR="005F58DE" w:rsidRPr="00C76E1D">
        <w:rPr>
          <w:shd w:val="clear" w:color="auto" w:fill="FFFFFF"/>
        </w:rPr>
        <w:t xml:space="preserve"> </w:t>
      </w:r>
      <w:r w:rsidR="006E16E1" w:rsidRPr="00C76E1D">
        <w:rPr>
          <w:shd w:val="clear" w:color="auto" w:fill="FFFFFF"/>
        </w:rPr>
        <w:t xml:space="preserve">apzinājās savu darbību kaitīgumu un varēja paredzēt, ka cietušais </w:t>
      </w:r>
      <w:r w:rsidR="00B03803">
        <w:rPr>
          <w:shd w:val="clear" w:color="auto" w:fill="FFFFFF"/>
        </w:rPr>
        <w:t>[pers. B]</w:t>
      </w:r>
      <w:r w:rsidR="006E16E1" w:rsidRPr="00C76E1D">
        <w:rPr>
          <w:shd w:val="clear" w:color="auto" w:fill="FFFFFF"/>
        </w:rPr>
        <w:t xml:space="preserve"> pēc sitiena ar dūri var krist un atsisties ar galvu pret asfalta segumu.</w:t>
      </w:r>
    </w:p>
    <w:p w14:paraId="20AAF507" w14:textId="0E6178BF" w:rsidR="0030273F" w:rsidRPr="00C76E1D" w:rsidRDefault="006E16E1"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 xml:space="preserve">Savukārt </w:t>
      </w:r>
      <w:r w:rsidR="00B03803">
        <w:rPr>
          <w:shd w:val="clear" w:color="auto" w:fill="FFFFFF"/>
        </w:rPr>
        <w:t>[pers. A]</w:t>
      </w:r>
      <w:r w:rsidRPr="00C76E1D">
        <w:rPr>
          <w:shd w:val="clear" w:color="auto" w:fill="FFFFFF"/>
        </w:rPr>
        <w:t xml:space="preserve"> attieksme pret </w:t>
      </w:r>
      <w:r w:rsidR="00B03803">
        <w:rPr>
          <w:shd w:val="clear" w:color="auto" w:fill="FFFFFF"/>
        </w:rPr>
        <w:t>[pers. B]</w:t>
      </w:r>
      <w:r w:rsidRPr="00C76E1D">
        <w:rPr>
          <w:shd w:val="clear" w:color="auto" w:fill="FFFFFF"/>
        </w:rPr>
        <w:t xml:space="preserve"> nodarītajiem smagajiem miesas bojājumiem, kas bīstami dzīvībai un kā rezultātā iestājās </w:t>
      </w:r>
      <w:r w:rsidR="00B03803">
        <w:rPr>
          <w:shd w:val="clear" w:color="auto" w:fill="FFFFFF"/>
        </w:rPr>
        <w:t>[pers. B]</w:t>
      </w:r>
      <w:r w:rsidRPr="00C76E1D">
        <w:rPr>
          <w:shd w:val="clear" w:color="auto" w:fill="FFFFFF"/>
        </w:rPr>
        <w:t xml:space="preserve"> nāve, izpaudusies noziedzīgas nevērības formā, proti, </w:t>
      </w:r>
      <w:r w:rsidR="00B03803">
        <w:rPr>
          <w:shd w:val="clear" w:color="auto" w:fill="FFFFFF"/>
        </w:rPr>
        <w:t>[pers. A]</w:t>
      </w:r>
      <w:r w:rsidRPr="00C76E1D">
        <w:rPr>
          <w:shd w:val="clear" w:color="auto" w:fill="FFFFFF"/>
        </w:rPr>
        <w:t xml:space="preserve"> nav paredzējis savas darbības kaitīgo seku iestāšanās iespēju, kaut gan pēc nodarījuma konkrētajiem apstākļiem viņam vajadzēja un viņš varēja kaitīgās sekas paredzēt.</w:t>
      </w:r>
    </w:p>
    <w:p w14:paraId="7028533A" w14:textId="3D53794E" w:rsidR="00DC0017" w:rsidRPr="00C76E1D" w:rsidRDefault="00E67073"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Ievērojot minēto, apelācijas instances tiesa ir pieļāvusi Krimināllikuma 9. un 10. panta pārkāpumu</w:t>
      </w:r>
      <w:r w:rsidR="008C2EA7" w:rsidRPr="00C76E1D">
        <w:rPr>
          <w:shd w:val="clear" w:color="auto" w:fill="FFFFFF"/>
        </w:rPr>
        <w:t>.</w:t>
      </w:r>
    </w:p>
    <w:p w14:paraId="591D7219" w14:textId="13DCD072" w:rsidR="00DC0017" w:rsidRPr="00C76E1D" w:rsidRDefault="005F58DE"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[4.2] </w:t>
      </w:r>
      <w:r w:rsidR="00DC0017" w:rsidRPr="00C76E1D">
        <w:rPr>
          <w:shd w:val="clear" w:color="auto" w:fill="FFFFFF"/>
        </w:rPr>
        <w:t>Apelācijas instances tiesa nepamatoti atsaukusies uz Senāta lēmumā Nr. SKK</w:t>
      </w:r>
      <w:r w:rsidR="00DC0017" w:rsidRPr="00C76E1D">
        <w:rPr>
          <w:shd w:val="clear" w:color="auto" w:fill="FFFFFF"/>
        </w:rPr>
        <w:noBreakHyphen/>
        <w:t xml:space="preserve">126/2012 pausto atziņu, </w:t>
      </w:r>
      <w:r w:rsidR="007D5DE9" w:rsidRPr="00C76E1D">
        <w:rPr>
          <w:shd w:val="clear" w:color="auto" w:fill="FFFFFF"/>
        </w:rPr>
        <w:t xml:space="preserve">ka nonāvēšanas aiz neuzmanības gadījumā personai nav bijis nodoma nedz nodarīt cietušajam miesas bojājumus, nedz arī viņu nonāvēt, </w:t>
      </w:r>
      <w:r w:rsidR="00DC0017" w:rsidRPr="00C76E1D">
        <w:rPr>
          <w:shd w:val="clear" w:color="auto" w:fill="FFFFFF"/>
        </w:rPr>
        <w:t xml:space="preserve">jo tā ir pretrunā ar </w:t>
      </w:r>
      <w:r w:rsidR="00B03803">
        <w:rPr>
          <w:shd w:val="clear" w:color="auto" w:fill="FFFFFF"/>
        </w:rPr>
        <w:t>[pers. A]</w:t>
      </w:r>
      <w:r w:rsidR="004122CC" w:rsidRPr="00C76E1D">
        <w:rPr>
          <w:shd w:val="clear" w:color="auto" w:fill="FFFFFF"/>
        </w:rPr>
        <w:t xml:space="preserve"> celto apsūdzību un </w:t>
      </w:r>
      <w:r w:rsidR="00DC0017" w:rsidRPr="00C76E1D">
        <w:rPr>
          <w:shd w:val="clear" w:color="auto" w:fill="FFFFFF"/>
        </w:rPr>
        <w:t>izskatāmajā lietā esošajām ziņām par faktiem</w:t>
      </w:r>
      <w:r w:rsidR="00917E0B" w:rsidRPr="00C76E1D">
        <w:rPr>
          <w:shd w:val="clear" w:color="auto" w:fill="FFFFFF"/>
        </w:rPr>
        <w:t>, proti, ka apsūdzētais</w:t>
      </w:r>
      <w:r w:rsidR="00194AF3" w:rsidRPr="00C76E1D">
        <w:rPr>
          <w:shd w:val="clear" w:color="auto" w:fill="FFFFFF"/>
        </w:rPr>
        <w:t>,</w:t>
      </w:r>
      <w:r w:rsidR="00917E0B" w:rsidRPr="00C76E1D">
        <w:rPr>
          <w:shd w:val="clear" w:color="auto" w:fill="FFFFFF"/>
        </w:rPr>
        <w:t xml:space="preserve"> sitot ar dūri cietušajam pa seju</w:t>
      </w:r>
      <w:r w:rsidR="00194AF3" w:rsidRPr="00C76E1D">
        <w:rPr>
          <w:shd w:val="clear" w:color="auto" w:fill="FFFFFF"/>
        </w:rPr>
        <w:t>,</w:t>
      </w:r>
      <w:r w:rsidR="00917E0B" w:rsidRPr="00C76E1D">
        <w:rPr>
          <w:shd w:val="clear" w:color="auto" w:fill="FFFFFF"/>
        </w:rPr>
        <w:t xml:space="preserve"> </w:t>
      </w:r>
      <w:r w:rsidR="00194AF3" w:rsidRPr="00C76E1D">
        <w:rPr>
          <w:shd w:val="clear" w:color="auto" w:fill="FFFFFF"/>
        </w:rPr>
        <w:t>pieļāva jebkuru miesas bojājumu nodarīšanu</w:t>
      </w:r>
      <w:r w:rsidR="004122CC" w:rsidRPr="00C76E1D">
        <w:rPr>
          <w:shd w:val="clear" w:color="auto" w:fill="FFFFFF"/>
        </w:rPr>
        <w:t>.</w:t>
      </w:r>
    </w:p>
    <w:p w14:paraId="27E472C8" w14:textId="7C45011E" w:rsidR="007D5DE9" w:rsidRPr="00C76E1D" w:rsidRDefault="007D5DE9"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Tāpat tiesa kļūdaini atsaukusies uz Senāta lēmumu lietā Nr. SKK</w:t>
      </w:r>
      <w:r w:rsidRPr="00C76E1D">
        <w:rPr>
          <w:shd w:val="clear" w:color="auto" w:fill="FFFFFF"/>
        </w:rPr>
        <w:noBreakHyphen/>
        <w:t xml:space="preserve">429/2017, </w:t>
      </w:r>
      <w:r w:rsidR="00674648" w:rsidRPr="00C76E1D">
        <w:rPr>
          <w:shd w:val="clear" w:color="auto" w:fill="FFFFFF"/>
        </w:rPr>
        <w:t>jo</w:t>
      </w:r>
      <w:r w:rsidR="00D13A43" w:rsidRPr="00C76E1D">
        <w:rPr>
          <w:shd w:val="clear" w:color="auto" w:fill="FFFFFF"/>
        </w:rPr>
        <w:t xml:space="preserve"> Senāts nav vērtējis </w:t>
      </w:r>
      <w:r w:rsidR="00D13A43" w:rsidRPr="00C76E1D">
        <w:t>lietā konstatēto faktisko apstākļu atbilstību apsūdzētajam inkriminētā noziedzīgā nodarījuma juridiskajai kvalifikācijai.</w:t>
      </w:r>
    </w:p>
    <w:p w14:paraId="25DB542C" w14:textId="77777777" w:rsidR="003A4CFB" w:rsidRPr="00C76E1D" w:rsidRDefault="003A4CFB" w:rsidP="00F05B72">
      <w:pPr>
        <w:pStyle w:val="NormalWeb"/>
        <w:shd w:val="clear" w:color="auto" w:fill="FFFFFF"/>
        <w:spacing w:before="0" w:beforeAutospacing="0" w:after="0" w:afterAutospacing="0" w:line="276" w:lineRule="auto"/>
        <w:ind w:firstLine="720"/>
        <w:jc w:val="both"/>
        <w:rPr>
          <w:shd w:val="clear" w:color="auto" w:fill="FFFFFF"/>
        </w:rPr>
      </w:pPr>
    </w:p>
    <w:p w14:paraId="61B3390B" w14:textId="0233E0F2" w:rsidR="00C03B6C" w:rsidRPr="00C76E1D" w:rsidRDefault="006C0BCB" w:rsidP="00F05B72">
      <w:pPr>
        <w:pStyle w:val="NormalWeb"/>
        <w:shd w:val="clear" w:color="auto" w:fill="FFFFFF"/>
        <w:spacing w:before="0" w:beforeAutospacing="0" w:after="0" w:afterAutospacing="0" w:line="276" w:lineRule="auto"/>
        <w:ind w:firstLine="720"/>
        <w:jc w:val="both"/>
        <w:rPr>
          <w:shd w:val="clear" w:color="auto" w:fill="FFFFFF"/>
        </w:rPr>
      </w:pPr>
      <w:r w:rsidRPr="00C76E1D">
        <w:rPr>
          <w:shd w:val="clear" w:color="auto" w:fill="FFFFFF"/>
        </w:rPr>
        <w:t xml:space="preserve">[5] Sakarā ar prokurora kasācijas protestu apsūdzētā </w:t>
      </w:r>
      <w:r w:rsidR="00B03803">
        <w:rPr>
          <w:shd w:val="clear" w:color="auto" w:fill="FFFFFF"/>
        </w:rPr>
        <w:t>[pers. A]</w:t>
      </w:r>
      <w:r w:rsidRPr="00C76E1D">
        <w:rPr>
          <w:shd w:val="clear" w:color="auto" w:fill="FFFFFF"/>
        </w:rPr>
        <w:t xml:space="preserve"> aizstāvis A. Gabruševs iesniedzis paskaidrojumus</w:t>
      </w:r>
      <w:r w:rsidR="00882184" w:rsidRPr="00C76E1D">
        <w:rPr>
          <w:shd w:val="clear" w:color="auto" w:fill="FFFFFF"/>
        </w:rPr>
        <w:t xml:space="preserve">, kuros </w:t>
      </w:r>
      <w:r w:rsidR="00972CAE" w:rsidRPr="00C76E1D">
        <w:rPr>
          <w:shd w:val="clear" w:color="auto" w:fill="FFFFFF"/>
        </w:rPr>
        <w:t xml:space="preserve">norādījis, ka </w:t>
      </w:r>
      <w:r w:rsidR="00882184" w:rsidRPr="00C76E1D">
        <w:rPr>
          <w:shd w:val="clear" w:color="auto" w:fill="FFFFFF"/>
        </w:rPr>
        <w:t>kasācijas protest</w:t>
      </w:r>
      <w:r w:rsidR="00972CAE" w:rsidRPr="00C76E1D">
        <w:rPr>
          <w:shd w:val="clear" w:color="auto" w:fill="FFFFFF"/>
        </w:rPr>
        <w:t>s nav pamatots.</w:t>
      </w:r>
    </w:p>
    <w:p w14:paraId="740D10F7" w14:textId="77777777" w:rsidR="00A656FE" w:rsidRPr="00C76E1D" w:rsidRDefault="00A656FE" w:rsidP="00F05B72">
      <w:pPr>
        <w:pStyle w:val="NormalWeb"/>
        <w:shd w:val="clear" w:color="auto" w:fill="FFFFFF"/>
        <w:spacing w:before="0" w:beforeAutospacing="0" w:after="0" w:afterAutospacing="0" w:line="276" w:lineRule="auto"/>
        <w:ind w:firstLine="720"/>
        <w:jc w:val="both"/>
      </w:pPr>
    </w:p>
    <w:p w14:paraId="7DAF7841" w14:textId="77777777" w:rsidR="00447EE6" w:rsidRPr="00C76E1D" w:rsidRDefault="00447EE6" w:rsidP="00C76E1D">
      <w:pPr>
        <w:shd w:val="clear" w:color="auto" w:fill="FFFFFF"/>
        <w:spacing w:line="276" w:lineRule="auto"/>
        <w:jc w:val="center"/>
      </w:pPr>
      <w:r w:rsidRPr="00C76E1D">
        <w:rPr>
          <w:b/>
        </w:rPr>
        <w:t>Motīvu daļa</w:t>
      </w:r>
    </w:p>
    <w:p w14:paraId="1A249D7D" w14:textId="77777777" w:rsidR="00A656FE" w:rsidRPr="00C76E1D" w:rsidRDefault="00A656FE" w:rsidP="00C76E1D">
      <w:pPr>
        <w:shd w:val="clear" w:color="auto" w:fill="FFFFFF"/>
        <w:spacing w:line="276" w:lineRule="auto"/>
        <w:ind w:firstLine="720"/>
        <w:jc w:val="both"/>
      </w:pPr>
    </w:p>
    <w:p w14:paraId="15C2B7E9" w14:textId="329AE981" w:rsidR="0090149A" w:rsidRPr="00C8397B" w:rsidRDefault="00447EE6" w:rsidP="00C76E1D">
      <w:pPr>
        <w:shd w:val="clear" w:color="auto" w:fill="FFFFFF"/>
        <w:spacing w:line="276" w:lineRule="auto"/>
        <w:ind w:firstLine="720"/>
        <w:jc w:val="both"/>
      </w:pPr>
      <w:r w:rsidRPr="00C76E1D">
        <w:t>[</w:t>
      </w:r>
      <w:r w:rsidR="00961F6D" w:rsidRPr="00C76E1D">
        <w:t>6</w:t>
      </w:r>
      <w:r w:rsidRPr="00C76E1D">
        <w:t>]</w:t>
      </w:r>
      <w:r w:rsidR="00961F6D" w:rsidRPr="00C76E1D">
        <w:t> Kasācijas instances tiesas kompetencē izskatāmajā lietā ir sniegt atbildi, vai apelācijas instances tiesa</w:t>
      </w:r>
      <w:r w:rsidR="0090149A" w:rsidRPr="00C76E1D">
        <w:t xml:space="preserve">, atceļot pirmās </w:t>
      </w:r>
      <w:r w:rsidR="0090149A" w:rsidRPr="00C8397B">
        <w:t>instances tiesas spriedumu un atzīstot, ka pirmās instances tiesa pārkāpusi Kriminālprocesa likuma 499. pantu, ir ievērojusi Kriminālprocesa likuma 564. panta ceturto daļu.</w:t>
      </w:r>
    </w:p>
    <w:p w14:paraId="297ABC06" w14:textId="24390990" w:rsidR="001B6F0C" w:rsidRPr="00C76E1D" w:rsidRDefault="001B6F0C" w:rsidP="00C76E1D">
      <w:pPr>
        <w:shd w:val="clear" w:color="auto" w:fill="FFFFFF"/>
        <w:spacing w:line="276" w:lineRule="auto"/>
        <w:ind w:firstLine="720"/>
        <w:jc w:val="both"/>
      </w:pPr>
      <w:r w:rsidRPr="00C76E1D">
        <w:t>[6.1] Saskaņā ar</w:t>
      </w:r>
      <w:r w:rsidRPr="00C76E1D">
        <w:rPr>
          <w:b/>
          <w:bCs/>
        </w:rPr>
        <w:t xml:space="preserve"> </w:t>
      </w:r>
      <w:r w:rsidRPr="00C76E1D">
        <w:t>Kriminālprocesa likuma 564. panta ceturt</w:t>
      </w:r>
      <w:r w:rsidR="00277CDB" w:rsidRPr="00C76E1D">
        <w:t>o</w:t>
      </w:r>
      <w:r w:rsidRPr="00C76E1D">
        <w:t xml:space="preserve"> daļ</w:t>
      </w:r>
      <w:r w:rsidR="00277CDB" w:rsidRPr="00C76E1D">
        <w:t>u</w:t>
      </w:r>
      <w:r w:rsidRPr="00C76E1D">
        <w:t xml:space="preserve">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D9AFF06" w14:textId="4897A8AB" w:rsidR="0090149A" w:rsidRPr="00C76E1D" w:rsidRDefault="001B6F0C" w:rsidP="00C76E1D">
      <w:pPr>
        <w:shd w:val="clear" w:color="auto" w:fill="FFFFFF"/>
        <w:spacing w:line="276" w:lineRule="auto"/>
        <w:ind w:firstLine="720"/>
        <w:jc w:val="both"/>
      </w:pPr>
      <w:r w:rsidRPr="00C76E1D">
        <w:t>Senāts atzīst, ka apelācijas instances tiesa, iztiesājot lietu, š</w:t>
      </w:r>
      <w:r w:rsidR="00277CDB" w:rsidRPr="00C76E1D">
        <w:t>o</w:t>
      </w:r>
      <w:r w:rsidRPr="00C76E1D">
        <w:t xml:space="preserve"> tiesību norm</w:t>
      </w:r>
      <w:r w:rsidR="00277CDB" w:rsidRPr="00C76E1D">
        <w:t>u</w:t>
      </w:r>
      <w:r w:rsidRPr="00C76E1D">
        <w:t xml:space="preserve"> nav ievērojusi.</w:t>
      </w:r>
    </w:p>
    <w:p w14:paraId="34267938" w14:textId="39C52D9B" w:rsidR="00F45A81" w:rsidRPr="00C76E1D" w:rsidRDefault="00E75DB0" w:rsidP="00C76E1D">
      <w:pPr>
        <w:shd w:val="clear" w:color="auto" w:fill="FFFFFF"/>
        <w:spacing w:line="276" w:lineRule="auto"/>
        <w:ind w:firstLine="720"/>
        <w:jc w:val="both"/>
      </w:pPr>
      <w:r w:rsidRPr="00C76E1D">
        <w:t>[6.</w:t>
      </w:r>
      <w:r w:rsidR="001B6F0C" w:rsidRPr="00C76E1D">
        <w:t>2</w:t>
      </w:r>
      <w:r w:rsidRPr="00C76E1D">
        <w:t>] </w:t>
      </w:r>
      <w:r w:rsidR="00863615" w:rsidRPr="00C76E1D">
        <w:t xml:space="preserve">Apsūdzētajam </w:t>
      </w:r>
      <w:r w:rsidR="001858B8">
        <w:rPr>
          <w:shd w:val="clear" w:color="auto" w:fill="FFFFFF"/>
        </w:rPr>
        <w:t>[pers. A]</w:t>
      </w:r>
      <w:r w:rsidR="00863615" w:rsidRPr="00C76E1D">
        <w:t xml:space="preserve"> celta apsūdzība pēc Krimināllikuma 125. panta trešās daļas par </w:t>
      </w:r>
      <w:r w:rsidR="00863615" w:rsidRPr="00C76E1D">
        <w:rPr>
          <w:shd w:val="clear" w:color="auto" w:fill="FFFFFF"/>
        </w:rPr>
        <w:t>tīša smaga miesas bojājuma nodarīšanu, kas vainīgā neuzmanības dēļ bijis par iemeslu cietušā nāvei.</w:t>
      </w:r>
    </w:p>
    <w:p w14:paraId="64933C84" w14:textId="465E51E2" w:rsidR="00961F6D" w:rsidRPr="00C76E1D" w:rsidRDefault="004450ED" w:rsidP="00C76E1D">
      <w:pPr>
        <w:shd w:val="clear" w:color="auto" w:fill="FFFFFF"/>
        <w:spacing w:line="276" w:lineRule="auto"/>
        <w:ind w:firstLine="720"/>
        <w:jc w:val="both"/>
      </w:pPr>
      <w:r w:rsidRPr="00C76E1D">
        <w:t>Apelācijas instances tiesa atcēlusi pirmās instances tiesas spriedumu pilnībā, norādot, ka</w:t>
      </w:r>
      <w:r w:rsidR="00E75DB0" w:rsidRPr="00C76E1D">
        <w:t>, iepazīstoties ar lietas materiāliem,</w:t>
      </w:r>
      <w:r w:rsidRPr="00C76E1D">
        <w:t xml:space="preserve"> pirmās instances tiesai bija jārodas šaubām par </w:t>
      </w:r>
      <w:r w:rsidR="00E75DB0" w:rsidRPr="00C76E1D">
        <w:t xml:space="preserve">apsūdzētajam </w:t>
      </w:r>
      <w:r w:rsidR="001858B8">
        <w:rPr>
          <w:shd w:val="clear" w:color="auto" w:fill="FFFFFF"/>
        </w:rPr>
        <w:t>[pers. A]</w:t>
      </w:r>
      <w:r w:rsidRPr="00C76E1D">
        <w:t xml:space="preserve"> inkriminēto darbību juridisko kvalifikāciju</w:t>
      </w:r>
      <w:r w:rsidR="00E75DB0" w:rsidRPr="00C76E1D">
        <w:t xml:space="preserve"> un</w:t>
      </w:r>
      <w:r w:rsidRPr="00C76E1D">
        <w:t xml:space="preserve"> līdz ar to tai nebija tiesiska pamata iztiesāt lietu saskaņā ar Kriminālprocesa likuma 499.</w:t>
      </w:r>
      <w:r w:rsidR="00E75DB0" w:rsidRPr="00C76E1D">
        <w:t> </w:t>
      </w:r>
      <w:r w:rsidRPr="00C76E1D">
        <w:t>panta nosacījumiem</w:t>
      </w:r>
      <w:r w:rsidR="00E75DB0" w:rsidRPr="00C76E1D">
        <w:t>.</w:t>
      </w:r>
    </w:p>
    <w:p w14:paraId="5BAEFC3F" w14:textId="553A80B1" w:rsidR="00A40F42" w:rsidRPr="00C76E1D" w:rsidRDefault="00A40F42" w:rsidP="00C76E1D">
      <w:pPr>
        <w:shd w:val="clear" w:color="auto" w:fill="FFFFFF"/>
        <w:spacing w:line="276" w:lineRule="auto"/>
        <w:ind w:firstLine="720"/>
        <w:jc w:val="both"/>
      </w:pPr>
      <w:r w:rsidRPr="00C76E1D">
        <w:t>Apelācijas instances tiesa norādījusi, ka</w:t>
      </w:r>
      <w:r w:rsidR="006A2850">
        <w:t>,</w:t>
      </w:r>
      <w:r w:rsidRPr="00C76E1D">
        <w:t xml:space="preserve"> atzīstot apsūdzēto par vainīgu Krimināllikuma 125. panta trešajā daļā paredzētajā noziedzīgajā nodarījumā, pirmās instances tiesa nav ņēmusi vērā, ka apsūdzētais neparedzēja smagu miesas bojājumu iestāšanos cietušajam </w:t>
      </w:r>
      <w:r w:rsidR="001858B8">
        <w:rPr>
          <w:shd w:val="clear" w:color="auto" w:fill="FFFFFF"/>
        </w:rPr>
        <w:t>[pers. B]</w:t>
      </w:r>
      <w:r w:rsidRPr="00C76E1D">
        <w:t>, turklāt apsūdzētajam celtā apsūdzība ir pretrunīga, jo tajā norādīts, ka viņš smagus miesas bojājumus izdarījis ar netiešu nodomu, vienlaikus pieļaujot dažāda smaguma seku iestāšanās iespēju.</w:t>
      </w:r>
    </w:p>
    <w:p w14:paraId="0E8E158B" w14:textId="175F18B9" w:rsidR="00E82C81" w:rsidRPr="00C76E1D" w:rsidRDefault="00E82C81" w:rsidP="00C76E1D">
      <w:pPr>
        <w:shd w:val="clear" w:color="auto" w:fill="FFFFFF"/>
        <w:spacing w:line="276" w:lineRule="auto"/>
        <w:ind w:firstLine="720"/>
        <w:jc w:val="both"/>
      </w:pPr>
      <w:r w:rsidRPr="00C76E1D">
        <w:t>[</w:t>
      </w:r>
      <w:r w:rsidR="001B6F0C" w:rsidRPr="00C76E1D">
        <w:t>6.3</w:t>
      </w:r>
      <w:r w:rsidRPr="00C76E1D">
        <w:t>] </w:t>
      </w:r>
      <w:r w:rsidR="005E3A59" w:rsidRPr="00C76E1D">
        <w:t>Krimināllikuma 125. panta trešajā daļā paredzēta kriminālatbildība par tīša smaga miesas bojājuma nodarīšanu, kas vainīgā neuzmanības dēļ bijis par iemeslu cietušā nāvei.</w:t>
      </w:r>
    </w:p>
    <w:p w14:paraId="747890F5" w14:textId="7227FDDA" w:rsidR="003277DC" w:rsidRPr="00C76E1D" w:rsidRDefault="003277DC" w:rsidP="00C76E1D">
      <w:pPr>
        <w:shd w:val="clear" w:color="auto" w:fill="FFFFFF"/>
        <w:spacing w:line="276" w:lineRule="auto"/>
        <w:ind w:firstLine="720"/>
        <w:jc w:val="both"/>
      </w:pPr>
      <w:r w:rsidRPr="00C76E1D">
        <w:t>Minētā noziedzīgā nodarījuma sastāvā likumdevējs ir ietvēris divu veidu kaitējumu personai – smagu miesas bojājumu nodarīšanu un to rezultātā iestājušos cietušā nāvi</w:t>
      </w:r>
      <w:r w:rsidR="004A7B8F" w:rsidRPr="00C76E1D">
        <w:t xml:space="preserve">. Pret </w:t>
      </w:r>
      <w:r w:rsidRPr="00C76E1D">
        <w:t>katru no normā paredzētajām sekām notei</w:t>
      </w:r>
      <w:r w:rsidR="004A7B8F" w:rsidRPr="00C76E1D">
        <w:t>kta</w:t>
      </w:r>
      <w:r w:rsidRPr="00C76E1D">
        <w:t xml:space="preserve"> dažād</w:t>
      </w:r>
      <w:r w:rsidR="004A7B8F" w:rsidRPr="00C76E1D">
        <w:t>a</w:t>
      </w:r>
      <w:r w:rsidRPr="00C76E1D">
        <w:t xml:space="preserve"> vainīgās personas psihisk</w:t>
      </w:r>
      <w:r w:rsidR="004A7B8F" w:rsidRPr="00C76E1D">
        <w:t>ā</w:t>
      </w:r>
      <w:r w:rsidRPr="00C76E1D">
        <w:t xml:space="preserve"> attieksm</w:t>
      </w:r>
      <w:r w:rsidR="004A7B8F" w:rsidRPr="00C76E1D">
        <w:t>e</w:t>
      </w:r>
      <w:r w:rsidRPr="00C76E1D">
        <w:t>, proti, pret smagu miesas bojājumu – nodom</w:t>
      </w:r>
      <w:r w:rsidR="004A7B8F" w:rsidRPr="00C76E1D">
        <w:t>s</w:t>
      </w:r>
      <w:r w:rsidRPr="00C76E1D">
        <w:t>, bet pret nāvi – neuzmanīb</w:t>
      </w:r>
      <w:r w:rsidR="004A7B8F" w:rsidRPr="00C76E1D">
        <w:t>a</w:t>
      </w:r>
      <w:r w:rsidRPr="00C76E1D">
        <w:t>.</w:t>
      </w:r>
    </w:p>
    <w:p w14:paraId="22CFF613" w14:textId="21462F09" w:rsidR="002C486C" w:rsidRPr="00C76E1D" w:rsidRDefault="002C486C" w:rsidP="00C76E1D">
      <w:pPr>
        <w:shd w:val="clear" w:color="auto" w:fill="FFFFFF"/>
        <w:spacing w:line="276" w:lineRule="auto"/>
        <w:ind w:firstLine="720"/>
        <w:jc w:val="both"/>
      </w:pPr>
      <w:r w:rsidRPr="00C76E1D">
        <w:t>Krimināllikuma 8. panta otrā daļa noteic, ka, nosakot noziedzīgo nodarījumu izdarījušās personas vainas formu, jākonstatē šīs personas psihiskā attieksme pret noziedzīgā nodarījuma objektīvajām pazīmēm. Tas nozīmē, ka salikta sastāva noziedzīgos nodarījumos vainīgās personas subjektīvā attieksme jānosaka attiecībā gan pret prettiesisko darbību vai bezdarbību, gan pret tās izraisītajām kaitīgajām sekām [..]</w:t>
      </w:r>
      <w:r w:rsidR="004D44A3" w:rsidRPr="00C76E1D">
        <w:t>.</w:t>
      </w:r>
    </w:p>
    <w:p w14:paraId="6A4A2CCA" w14:textId="3E93C797" w:rsidR="00762D5E" w:rsidRPr="00C76E1D" w:rsidRDefault="00762D5E" w:rsidP="00C76E1D">
      <w:pPr>
        <w:shd w:val="clear" w:color="auto" w:fill="FFFFFF"/>
        <w:spacing w:line="276" w:lineRule="auto"/>
        <w:ind w:firstLine="720"/>
        <w:jc w:val="both"/>
      </w:pPr>
      <w:r w:rsidRPr="00C76E1D">
        <w:lastRenderedPageBreak/>
        <w:t>Līdz ar to Krimināllikuma 125. panta trešajā daļā paredzētā noziedzīgā nodarījuma sastāva konstatēšanai jānosaka apsūdzētā nodoms gan attiecībā pret smaga miesas bojājuma nodarīšanu, gan – nāvi.</w:t>
      </w:r>
    </w:p>
    <w:p w14:paraId="023CE652" w14:textId="07657A03" w:rsidR="00796547" w:rsidRPr="00C76E1D" w:rsidRDefault="00796547" w:rsidP="00C76E1D">
      <w:pPr>
        <w:shd w:val="clear" w:color="auto" w:fill="FFFFFF"/>
        <w:spacing w:line="276" w:lineRule="auto"/>
        <w:ind w:firstLine="720"/>
        <w:jc w:val="both"/>
      </w:pPr>
      <w:bookmarkStart w:id="0" w:name="_Hlk207023637"/>
      <w:r w:rsidRPr="00C76E1D">
        <w:t xml:space="preserve">Izskatāmajā lietā apsūdzētajam </w:t>
      </w:r>
      <w:r w:rsidR="001858B8">
        <w:rPr>
          <w:shd w:val="clear" w:color="auto" w:fill="FFFFFF"/>
        </w:rPr>
        <w:t>[pers. A]</w:t>
      </w:r>
      <w:r w:rsidRPr="00C76E1D">
        <w:t xml:space="preserve"> celta apsūdzība </w:t>
      </w:r>
      <w:r w:rsidR="00122F1A" w:rsidRPr="00C76E1D">
        <w:t xml:space="preserve">pēc Krimināllikuma 125. panta trešās daļas </w:t>
      </w:r>
      <w:r w:rsidRPr="00C76E1D">
        <w:t xml:space="preserve">par to, ka viņš ar netiešu nodomu, kas vērsts uz to, lai nodarītu nenoteiktu kaitējumu </w:t>
      </w:r>
      <w:r w:rsidR="001858B8">
        <w:rPr>
          <w:shd w:val="clear" w:color="auto" w:fill="FFFFFF"/>
        </w:rPr>
        <w:t>[pers. B]</w:t>
      </w:r>
      <w:r w:rsidRPr="00C76E1D">
        <w:t xml:space="preserve"> veselībai, un pieļaujot dažāda smaguma miesas bojājumu iespēju, ar labās rokas dūri, tīši, iesita </w:t>
      </w:r>
      <w:r w:rsidR="001858B8">
        <w:rPr>
          <w:shd w:val="clear" w:color="auto" w:fill="FFFFFF"/>
        </w:rPr>
        <w:t>[pers. B]</w:t>
      </w:r>
      <w:r w:rsidRPr="00C76E1D">
        <w:t xml:space="preserve"> pa seju kreisās acs apvidū, kā rezultātā </w:t>
      </w:r>
      <w:r w:rsidR="001858B8">
        <w:rPr>
          <w:shd w:val="clear" w:color="auto" w:fill="FFFFFF"/>
        </w:rPr>
        <w:t>[pers. B]</w:t>
      </w:r>
      <w:r w:rsidRPr="00C76E1D">
        <w:t xml:space="preserve"> krita un atsita galvas kreiso pakausi paura apvidū pret asfalta segumu, tādējādi </w:t>
      </w:r>
      <w:r w:rsidR="001858B8">
        <w:rPr>
          <w:shd w:val="clear" w:color="auto" w:fill="FFFFFF"/>
        </w:rPr>
        <w:t>[pers. B]</w:t>
      </w:r>
      <w:r w:rsidRPr="00C76E1D">
        <w:t xml:space="preserve"> tika nodarīti smagi miesas bojājumi, kas bīstami dzīvībai, kā rezultātā iestājās viņa nāve.</w:t>
      </w:r>
    </w:p>
    <w:bookmarkEnd w:id="0"/>
    <w:p w14:paraId="1270B764" w14:textId="628F4D87" w:rsidR="004D44A3" w:rsidRPr="00C76E1D" w:rsidRDefault="00B76444" w:rsidP="00C76E1D">
      <w:pPr>
        <w:shd w:val="clear" w:color="auto" w:fill="FFFFFF"/>
        <w:spacing w:line="276" w:lineRule="auto"/>
        <w:ind w:firstLine="720"/>
        <w:jc w:val="both"/>
      </w:pPr>
      <w:r w:rsidRPr="00C76E1D">
        <w:t>Krimināl</w:t>
      </w:r>
      <w:r w:rsidR="0085053E" w:rsidRPr="00C76E1D">
        <w:t>likuma 9. panta trešā daļa noteic, ka noziedzīgs nodarījums atzīstams par izdarītu ar netiešu nodomu, ja persona apzinājusies savas darbības vai bezdarbības kaitīgumu, paredzējusi nodarījuma kaitīgās sekas un, kaut arī šīs sekas nav vēlējusies, tomēr apzināti pieļāvusi to iestāšanos.</w:t>
      </w:r>
    </w:p>
    <w:p w14:paraId="19D59F03" w14:textId="6D652F99" w:rsidR="006136DC" w:rsidRPr="00C76E1D" w:rsidRDefault="006136DC" w:rsidP="00C76E1D">
      <w:pPr>
        <w:shd w:val="clear" w:color="auto" w:fill="FFFFFF"/>
        <w:spacing w:line="276" w:lineRule="auto"/>
        <w:ind w:firstLine="720"/>
        <w:jc w:val="both"/>
      </w:pPr>
      <w:r w:rsidRPr="00C76E1D">
        <w:t>Tiesību teorijā ir atzīts, ka gadījumā, ja vainīgā nodoms, nodarot miesas bojājumus, bijis nekonkretizēts, viņam jāatbild par faktiski nodarītajiem miesas bojājumiem (</w:t>
      </w:r>
      <w:r w:rsidRPr="00C76E1D">
        <w:rPr>
          <w:i/>
          <w:iCs/>
        </w:rPr>
        <w:t xml:space="preserve">Liholaja V. 125. panta komentārs. </w:t>
      </w:r>
      <w:r w:rsidR="00B76444">
        <w:rPr>
          <w:i/>
          <w:iCs/>
        </w:rPr>
        <w:t>Grām.:</w:t>
      </w:r>
      <w:r w:rsidR="007708C9">
        <w:rPr>
          <w:i/>
          <w:iCs/>
        </w:rPr>
        <w:t> </w:t>
      </w:r>
      <w:r w:rsidR="006F6EE0" w:rsidRPr="00C76E1D">
        <w:rPr>
          <w:i/>
          <w:iCs/>
        </w:rPr>
        <w:t>Krimināllikuma komentāri. Otrā daļa (IX</w:t>
      </w:r>
      <w:r w:rsidR="006F6EE0" w:rsidRPr="00C76E1D">
        <w:rPr>
          <w:i/>
          <w:iCs/>
        </w:rPr>
        <w:noBreakHyphen/>
        <w:t xml:space="preserve">XVII nodaļa). Trešais papildinātais izdevums. </w:t>
      </w:r>
      <w:r w:rsidR="00B76444" w:rsidRPr="00C76E1D">
        <w:rPr>
          <w:i/>
          <w:iCs/>
        </w:rPr>
        <w:t xml:space="preserve">Krastiņš U., Liholaja V. </w:t>
      </w:r>
      <w:r w:rsidR="006F6EE0" w:rsidRPr="00C76E1D">
        <w:rPr>
          <w:i/>
          <w:iCs/>
        </w:rPr>
        <w:t xml:space="preserve">Rīga: Tiesu namu aģentūra, 2022, </w:t>
      </w:r>
      <w:r w:rsidRPr="00C76E1D">
        <w:rPr>
          <w:i/>
          <w:iCs/>
        </w:rPr>
        <w:t>323. lpp.</w:t>
      </w:r>
      <w:r w:rsidRPr="00C76E1D">
        <w:t>).</w:t>
      </w:r>
    </w:p>
    <w:p w14:paraId="55CEC763" w14:textId="5DDFE00A" w:rsidR="004D44A3" w:rsidRPr="00C76E1D" w:rsidRDefault="00C20955" w:rsidP="00C76E1D">
      <w:pPr>
        <w:shd w:val="clear" w:color="auto" w:fill="FFFFFF"/>
        <w:spacing w:line="276" w:lineRule="auto"/>
        <w:ind w:firstLine="720"/>
        <w:jc w:val="both"/>
      </w:pPr>
      <w:r w:rsidRPr="00C76E1D">
        <w:t>Senāts jau iepriekš atzinis par pamatotu secinājumu, ka apsūdzētais, tīši iesitot cietušajam ar dūri pa dzīvībai svarīgu orgānu – galvu –, pieļauj, ka cietušais šīs traumatiskās iedarbības rezultātā nokritīs uz ielas, proti, uz asfalta seguma un atsitīsies ar galvu pret cietu segumu, kā rezultātā cietušajam var tikt nodarīti dzīvībai bīstami smagi miesas bojājumi (sk. </w:t>
      </w:r>
      <w:r w:rsidRPr="00C76E1D">
        <w:rPr>
          <w:i/>
          <w:iCs/>
        </w:rPr>
        <w:t>Senāta 2015. gada 25. septembra lēmumu lietā Nr. </w:t>
      </w:r>
      <w:hyperlink r:id="rId8" w:history="1">
        <w:r w:rsidRPr="00C76E1D">
          <w:rPr>
            <w:rStyle w:val="Hyperlink"/>
            <w:i/>
            <w:iCs/>
          </w:rPr>
          <w:t>SKK</w:t>
        </w:r>
        <w:r w:rsidRPr="00C76E1D">
          <w:rPr>
            <w:rStyle w:val="Hyperlink"/>
            <w:i/>
            <w:iCs/>
          </w:rPr>
          <w:noBreakHyphen/>
          <w:t>480/20</w:t>
        </w:r>
        <w:r w:rsidR="009D4F47" w:rsidRPr="00C76E1D">
          <w:rPr>
            <w:rStyle w:val="Hyperlink"/>
            <w:i/>
            <w:iCs/>
          </w:rPr>
          <w:t>1</w:t>
        </w:r>
        <w:r w:rsidRPr="00C76E1D">
          <w:rPr>
            <w:rStyle w:val="Hyperlink"/>
            <w:i/>
            <w:iCs/>
          </w:rPr>
          <w:t>5</w:t>
        </w:r>
      </w:hyperlink>
      <w:r w:rsidRPr="00C76E1D">
        <w:rPr>
          <w:i/>
          <w:iCs/>
        </w:rPr>
        <w:t>, 11210062014</w:t>
      </w:r>
      <w:r w:rsidRPr="00C76E1D">
        <w:t>).</w:t>
      </w:r>
    </w:p>
    <w:p w14:paraId="33D6513E" w14:textId="54E013D4" w:rsidR="00563B47" w:rsidRPr="00C76E1D" w:rsidRDefault="00B508EA" w:rsidP="00C76E1D">
      <w:pPr>
        <w:shd w:val="clear" w:color="auto" w:fill="FFFFFF"/>
        <w:spacing w:line="276" w:lineRule="auto"/>
        <w:ind w:firstLine="720"/>
        <w:jc w:val="both"/>
      </w:pPr>
      <w:r w:rsidRPr="00941635">
        <w:t xml:space="preserve">Ja vainīgais apzināti pielieto tādu vardarbību pret cietušo, </w:t>
      </w:r>
      <w:r w:rsidR="003D30E2" w:rsidRPr="00941635">
        <w:t>kas vērsta uz jebkādu miesas bojājumu nodarīšanu</w:t>
      </w:r>
      <w:r w:rsidR="004D1048">
        <w:t>, izdarot sitienu pa galvu</w:t>
      </w:r>
      <w:r w:rsidR="00941635">
        <w:t xml:space="preserve">, </w:t>
      </w:r>
      <w:r w:rsidRPr="00941635">
        <w:t>vainīga</w:t>
      </w:r>
      <w:r w:rsidR="003849EC" w:rsidRPr="004D1048">
        <w:t>is</w:t>
      </w:r>
      <w:r w:rsidRPr="00941635">
        <w:t xml:space="preserve"> paredz</w:t>
      </w:r>
      <w:r w:rsidR="0025745A" w:rsidRPr="004D1048">
        <w:t xml:space="preserve"> un apzināti pieļauj</w:t>
      </w:r>
      <w:r w:rsidR="00941635" w:rsidRPr="00941635">
        <w:t xml:space="preserve">, ka </w:t>
      </w:r>
      <w:r w:rsidR="00941635" w:rsidRPr="004D1048">
        <w:t>cietušajam var iestāties dažāda smaguma miesas bojājumi</w:t>
      </w:r>
      <w:r w:rsidR="0025745A" w:rsidRPr="004D1048">
        <w:t xml:space="preserve">. </w:t>
      </w:r>
      <w:r w:rsidR="004D1048">
        <w:t>Š</w:t>
      </w:r>
      <w:r w:rsidR="00563B47" w:rsidRPr="00941635">
        <w:t xml:space="preserve">ādā gadījumā </w:t>
      </w:r>
      <w:r w:rsidRPr="00941635">
        <w:t xml:space="preserve">vainīgajam </w:t>
      </w:r>
      <w:r w:rsidR="00563B47" w:rsidRPr="00941635">
        <w:t>ir jāatbild par sekām, kas ir loģisks un paredzams viņa darbību rezultāts.</w:t>
      </w:r>
    </w:p>
    <w:p w14:paraId="518990FC" w14:textId="6D0A7FE2" w:rsidR="004D7585" w:rsidRPr="00C76E1D" w:rsidRDefault="004D44A3" w:rsidP="00B76444">
      <w:pPr>
        <w:shd w:val="clear" w:color="auto" w:fill="FFFFFF"/>
        <w:spacing w:line="276" w:lineRule="auto"/>
        <w:ind w:firstLine="720"/>
        <w:jc w:val="both"/>
      </w:pPr>
      <w:r w:rsidRPr="00C76E1D">
        <w:t>Līdz ar to kriminālatbildība par smagu miesas bojājumu nodarīšanu ar netiešu nodomu iestājas arī gadījumos, kad personas darbības vērstas uz jebkāda smaguma miesas bojājuma nodarīšanu</w:t>
      </w:r>
      <w:r w:rsidR="004D1048">
        <w:t>.</w:t>
      </w:r>
    </w:p>
    <w:p w14:paraId="0B848BA5" w14:textId="6D4E40F2" w:rsidR="004D7585" w:rsidRPr="00C76E1D" w:rsidRDefault="00843FA4" w:rsidP="00C76E1D">
      <w:pPr>
        <w:shd w:val="clear" w:color="auto" w:fill="FFFFFF"/>
        <w:spacing w:line="276" w:lineRule="auto"/>
        <w:ind w:firstLine="720"/>
        <w:jc w:val="both"/>
      </w:pPr>
      <w:r w:rsidRPr="00C76E1D">
        <w:t xml:space="preserve">Ievērojot minēto, Senāts atzīst, ka </w:t>
      </w:r>
      <w:r w:rsidR="008E0D16" w:rsidRPr="00C76E1D">
        <w:t xml:space="preserve">izskatāmajā lietā </w:t>
      </w:r>
      <w:r w:rsidRPr="00C76E1D">
        <w:t xml:space="preserve">apelācijas instances tiesa </w:t>
      </w:r>
      <w:r w:rsidR="004D7585" w:rsidRPr="00C76E1D">
        <w:t>atzinumu, ka apsūdzētais, sitot ar dūri cietušajam pa seju</w:t>
      </w:r>
      <w:r w:rsidR="0050457F" w:rsidRPr="00C76E1D">
        <w:t>,</w:t>
      </w:r>
      <w:r w:rsidR="004D7585" w:rsidRPr="00C76E1D">
        <w:t xml:space="preserve"> neparedzēja </w:t>
      </w:r>
      <w:r w:rsidR="008E0D16">
        <w:t xml:space="preserve">smagu </w:t>
      </w:r>
      <w:r w:rsidR="004D7585" w:rsidRPr="00C76E1D">
        <w:t>miesas bojājumu nodarīšanu</w:t>
      </w:r>
      <w:r w:rsidR="0034571A" w:rsidRPr="00C76E1D">
        <w:t>,</w:t>
      </w:r>
      <w:r w:rsidR="004D7585" w:rsidRPr="00C76E1D">
        <w:t xml:space="preserve"> nav pamatojusi ar likumu </w:t>
      </w:r>
      <w:r w:rsidR="0050457F" w:rsidRPr="00C76E1D">
        <w:t>un judikatūru</w:t>
      </w:r>
      <w:r w:rsidR="004D7585" w:rsidRPr="00C76E1D">
        <w:t>.</w:t>
      </w:r>
      <w:r w:rsidR="0050457F" w:rsidRPr="00C76E1D">
        <w:t xml:space="preserve"> Tādējādi apelācijas instances tiesa nepamatoti konstatējusi, ka pirmās instances tiesai bija jārodas šaubām par apsūdzētajam </w:t>
      </w:r>
      <w:r w:rsidR="008705FE">
        <w:rPr>
          <w:shd w:val="clear" w:color="auto" w:fill="FFFFFF"/>
        </w:rPr>
        <w:t>[pers. A]</w:t>
      </w:r>
      <w:r w:rsidR="0050457F" w:rsidRPr="00C76E1D">
        <w:t xml:space="preserve"> inkriminēto darbību juridisko kvalifikāciju.</w:t>
      </w:r>
    </w:p>
    <w:p w14:paraId="1A716800" w14:textId="33659238" w:rsidR="004114AF" w:rsidRPr="00C76E1D" w:rsidRDefault="00BE476D" w:rsidP="00C76E1D">
      <w:pPr>
        <w:shd w:val="clear" w:color="auto" w:fill="FFFFFF"/>
        <w:spacing w:line="276" w:lineRule="auto"/>
        <w:ind w:firstLine="720"/>
        <w:jc w:val="both"/>
      </w:pPr>
      <w:r w:rsidRPr="00C76E1D">
        <w:t>[</w:t>
      </w:r>
      <w:r w:rsidR="001B6F0C" w:rsidRPr="00C76E1D">
        <w:t>6.4</w:t>
      </w:r>
      <w:r w:rsidRPr="00C76E1D">
        <w:t>] </w:t>
      </w:r>
      <w:r w:rsidR="0041144F" w:rsidRPr="00C76E1D">
        <w:t xml:space="preserve">Senāts </w:t>
      </w:r>
      <w:r w:rsidR="00A57E7E" w:rsidRPr="00C76E1D">
        <w:t>atzīst par pamatotu prokurora protestā norādīto</w:t>
      </w:r>
      <w:r w:rsidR="0041144F" w:rsidRPr="00C76E1D">
        <w:t>, ka apelācijas instances tiesa nepamatoti atsaukusies uz Senāta 2012. gada 8. marta lēmumā lietā Nr. SKK</w:t>
      </w:r>
      <w:r w:rsidR="0041144F" w:rsidRPr="00C76E1D">
        <w:noBreakHyphen/>
        <w:t xml:space="preserve">126/2012 paustajām atziņām, jo tās nav attiecināmas uz izskatāmajā lietā </w:t>
      </w:r>
      <w:r w:rsidR="00D27AD5">
        <w:t>konstatētajiem</w:t>
      </w:r>
      <w:r w:rsidR="00D27AD5" w:rsidRPr="00C76E1D">
        <w:t xml:space="preserve"> </w:t>
      </w:r>
      <w:r w:rsidR="0041144F" w:rsidRPr="00C76E1D">
        <w:t>faktiskajiem un juridiskajiem apstākļiem.</w:t>
      </w:r>
    </w:p>
    <w:p w14:paraId="6B240EC5" w14:textId="366B1A95" w:rsidR="004114AF" w:rsidRPr="00C76E1D" w:rsidRDefault="004114AF" w:rsidP="00C76E1D">
      <w:pPr>
        <w:shd w:val="clear" w:color="auto" w:fill="FFFFFF"/>
        <w:spacing w:line="276" w:lineRule="auto"/>
        <w:ind w:firstLine="720"/>
        <w:jc w:val="both"/>
      </w:pPr>
      <w:r w:rsidRPr="00C76E1D">
        <w:t>Minētajā lēmumā atzīts, ka nonāvēšanas aiz neuzmanības gadījumā personai nav bijis nodoma nedz nodarīt cietušajam miesas bojājumus, nedz arī viņu nonāvēt (</w:t>
      </w:r>
      <w:r w:rsidRPr="00C76E1D">
        <w:rPr>
          <w:i/>
          <w:iCs/>
        </w:rPr>
        <w:t>Senāta</w:t>
      </w:r>
      <w:r w:rsidR="00F712F8">
        <w:rPr>
          <w:i/>
          <w:iCs/>
        </w:rPr>
        <w:t> </w:t>
      </w:r>
      <w:r w:rsidRPr="00C76E1D">
        <w:rPr>
          <w:i/>
          <w:iCs/>
        </w:rPr>
        <w:t>2012. gada 8. marta lēmums lietā Nr. </w:t>
      </w:r>
      <w:bookmarkStart w:id="1" w:name="_Hlk207023740"/>
      <w:r>
        <w:fldChar w:fldCharType="begin"/>
      </w:r>
      <w:r>
        <w:instrText>HYPERLINK "https://www.at.gov.lv/downloadlawfile/3829"</w:instrText>
      </w:r>
      <w:r>
        <w:fldChar w:fldCharType="separate"/>
      </w:r>
      <w:r w:rsidRPr="00C76E1D">
        <w:rPr>
          <w:rStyle w:val="Hyperlink"/>
          <w:i/>
          <w:iCs/>
        </w:rPr>
        <w:t>SKK</w:t>
      </w:r>
      <w:r w:rsidRPr="00C76E1D">
        <w:rPr>
          <w:rStyle w:val="Hyperlink"/>
          <w:i/>
          <w:iCs/>
        </w:rPr>
        <w:noBreakHyphen/>
        <w:t>126/2012</w:t>
      </w:r>
      <w:r>
        <w:fldChar w:fldCharType="end"/>
      </w:r>
      <w:bookmarkEnd w:id="1"/>
      <w:r w:rsidRPr="00C76E1D">
        <w:rPr>
          <w:i/>
          <w:iCs/>
        </w:rPr>
        <w:t>, 11096104109</w:t>
      </w:r>
      <w:r w:rsidRPr="00C76E1D">
        <w:t>).</w:t>
      </w:r>
    </w:p>
    <w:p w14:paraId="3EF15309" w14:textId="42CC65D3" w:rsidR="004114AF" w:rsidRPr="00C76E1D" w:rsidRDefault="004114AF" w:rsidP="00C76E1D">
      <w:pPr>
        <w:shd w:val="clear" w:color="auto" w:fill="FFFFFF"/>
        <w:spacing w:line="276" w:lineRule="auto"/>
        <w:ind w:firstLine="720"/>
        <w:jc w:val="both"/>
      </w:pPr>
      <w:r w:rsidRPr="00C76E1D">
        <w:lastRenderedPageBreak/>
        <w:t xml:space="preserve">Arī tiesību teorijā atzīts, ka Krimināllikuma 125. panta trešajā daļā paredzētā smaga miesas bojājuma tīša nodarīšana, kas vainīgā neuzmanības dēļ bijis par iemeslu cietušā nāvei, jānorobežo no nonāvēšanas aiz neuzmanības, par ko </w:t>
      </w:r>
      <w:r w:rsidR="00F712F8" w:rsidRPr="00C76E1D">
        <w:t xml:space="preserve">atbildība </w:t>
      </w:r>
      <w:r w:rsidRPr="00C76E1D">
        <w:t>paredzēta Krimināllikuma 123. pantā, ņemot vērā, ka pēdējā gadījumā vainīgajam nav bijis nodoms nedz nodarīt smagus miesas bojājumus, nedz nonāvēt cietušo (</w:t>
      </w:r>
      <w:r w:rsidRPr="00C76E1D">
        <w:rPr>
          <w:i/>
          <w:iCs/>
        </w:rPr>
        <w:t xml:space="preserve">Liholaja V. 125. panta komentārs. </w:t>
      </w:r>
      <w:r w:rsidR="00F712F8">
        <w:rPr>
          <w:i/>
          <w:iCs/>
        </w:rPr>
        <w:t xml:space="preserve">Grām.: </w:t>
      </w:r>
      <w:r w:rsidRPr="00C76E1D">
        <w:rPr>
          <w:i/>
          <w:iCs/>
        </w:rPr>
        <w:t>Krimināllikuma komentāri. Otrā daļa (IX</w:t>
      </w:r>
      <w:r w:rsidRPr="00C76E1D">
        <w:rPr>
          <w:i/>
          <w:iCs/>
        </w:rPr>
        <w:noBreakHyphen/>
        <w:t xml:space="preserve">XVII nodaļa). </w:t>
      </w:r>
      <w:r w:rsidR="00F712F8">
        <w:rPr>
          <w:i/>
          <w:iCs/>
        </w:rPr>
        <w:t>Trešais</w:t>
      </w:r>
      <w:r w:rsidR="00F712F8" w:rsidRPr="00C76E1D">
        <w:rPr>
          <w:i/>
          <w:iCs/>
        </w:rPr>
        <w:t xml:space="preserve"> </w:t>
      </w:r>
      <w:r w:rsidRPr="00C76E1D">
        <w:rPr>
          <w:i/>
          <w:iCs/>
        </w:rPr>
        <w:t xml:space="preserve">papildinātais izdevums. </w:t>
      </w:r>
      <w:r w:rsidR="00F712F8" w:rsidRPr="00C76E1D">
        <w:rPr>
          <w:i/>
          <w:iCs/>
        </w:rPr>
        <w:t xml:space="preserve">Krastiņš U., Liholaja V. </w:t>
      </w:r>
      <w:r w:rsidRPr="00C76E1D">
        <w:rPr>
          <w:i/>
          <w:iCs/>
        </w:rPr>
        <w:t>Rīga: Tiesu namu aģentūra, 20</w:t>
      </w:r>
      <w:r w:rsidR="00F712F8">
        <w:rPr>
          <w:i/>
          <w:iCs/>
        </w:rPr>
        <w:t>22</w:t>
      </w:r>
      <w:r w:rsidRPr="00C76E1D">
        <w:rPr>
          <w:i/>
          <w:iCs/>
        </w:rPr>
        <w:t xml:space="preserve">, </w:t>
      </w:r>
      <w:r w:rsidR="00F712F8" w:rsidRPr="00C76E1D">
        <w:rPr>
          <w:i/>
          <w:iCs/>
        </w:rPr>
        <w:t>3</w:t>
      </w:r>
      <w:r w:rsidR="00F712F8">
        <w:rPr>
          <w:i/>
          <w:iCs/>
        </w:rPr>
        <w:t>40.</w:t>
      </w:r>
      <w:r w:rsidR="00F712F8">
        <w:rPr>
          <w:i/>
          <w:iCs/>
        </w:rPr>
        <w:noBreakHyphen/>
        <w:t>341</w:t>
      </w:r>
      <w:r w:rsidRPr="00C76E1D">
        <w:rPr>
          <w:i/>
          <w:iCs/>
        </w:rPr>
        <w:t>. lpp</w:t>
      </w:r>
      <w:r w:rsidRPr="00C76E1D">
        <w:t>).</w:t>
      </w:r>
    </w:p>
    <w:p w14:paraId="2FFE7C54" w14:textId="258500AF" w:rsidR="00C73011" w:rsidRPr="00C76E1D" w:rsidRDefault="004114AF" w:rsidP="00C76E1D">
      <w:pPr>
        <w:shd w:val="clear" w:color="auto" w:fill="FFFFFF"/>
        <w:spacing w:line="276" w:lineRule="auto"/>
        <w:ind w:firstLine="720"/>
        <w:jc w:val="both"/>
      </w:pPr>
      <w:r w:rsidRPr="00C76E1D">
        <w:t>Līdz ar to, l</w:t>
      </w:r>
      <w:r w:rsidR="00C73011" w:rsidRPr="00C76E1D">
        <w:t xml:space="preserve">ai nodarījumu kvalificētu kā nonāvēšanu aiz neuzmanības, tas ir, </w:t>
      </w:r>
      <w:r w:rsidR="0050457F" w:rsidRPr="00C76E1D">
        <w:t xml:space="preserve">pēc </w:t>
      </w:r>
      <w:r w:rsidR="00C73011" w:rsidRPr="00C76E1D">
        <w:t>Krimināllikuma 123. pant</w:t>
      </w:r>
      <w:r w:rsidR="0050457F" w:rsidRPr="00C76E1D">
        <w:t>a</w:t>
      </w:r>
      <w:r w:rsidR="00C73011" w:rsidRPr="00C76E1D">
        <w:t>, jākonstatē, ka vainīgajam nav bijis nodoma nedz nodarīt cietušajam miesas bojājumus, nedz arī viņu nonāvēt.</w:t>
      </w:r>
    </w:p>
    <w:p w14:paraId="4AB677D2" w14:textId="5E825CB0" w:rsidR="004114AF" w:rsidRPr="00C76E1D" w:rsidRDefault="004114AF" w:rsidP="00C76E1D">
      <w:pPr>
        <w:shd w:val="clear" w:color="auto" w:fill="FFFFFF"/>
        <w:spacing w:line="276" w:lineRule="auto"/>
        <w:ind w:firstLine="720"/>
        <w:jc w:val="both"/>
      </w:pPr>
      <w:r w:rsidRPr="00C76E1D">
        <w:t xml:space="preserve">Izskatāmajā lietā apsūdzētajam </w:t>
      </w:r>
      <w:r w:rsidR="001858B8">
        <w:rPr>
          <w:shd w:val="clear" w:color="auto" w:fill="FFFFFF"/>
        </w:rPr>
        <w:t>[pers. A]</w:t>
      </w:r>
      <w:r w:rsidRPr="00C76E1D">
        <w:t xml:space="preserve"> celtajā apsūdzībā norādīts, ka viņš cietušajam iesitis tīši, līdz ar to nav pamata secinājumam, ka apsūdzētajam nav bijis nodoma nodarīt cietušajam miesas bojājumus.</w:t>
      </w:r>
    </w:p>
    <w:p w14:paraId="08E547EA" w14:textId="428385F2" w:rsidR="0089154D" w:rsidRPr="00C76E1D" w:rsidRDefault="0089154D" w:rsidP="00C76E1D">
      <w:pPr>
        <w:shd w:val="clear" w:color="auto" w:fill="FFFFFF"/>
        <w:spacing w:line="276" w:lineRule="auto"/>
        <w:ind w:firstLine="720"/>
        <w:jc w:val="both"/>
      </w:pPr>
      <w:r w:rsidRPr="00C76E1D">
        <w:t>Senāts jau iepriekš ir norādījis, ka tiesai, pirms tā piemēro kasācijas instances tiesas judikatūrā izteiktās atziņas, ir jāizvērtē un jāsalīdzina lietas faktiskie un juridiskie apstākļi, un tikai pēc šo apstākļu izvērtēšanas tiesa savu atzinumu var pamatot ar judikatūrā izteiktu atziņu (</w:t>
      </w:r>
      <w:r w:rsidRPr="00C76E1D">
        <w:rPr>
          <w:i/>
          <w:iCs/>
        </w:rPr>
        <w:t>Senāta 2024. gada 27. jūnija lēmuma lietā Nr. SKK</w:t>
      </w:r>
      <w:r w:rsidRPr="00C76E1D">
        <w:rPr>
          <w:i/>
          <w:iCs/>
        </w:rPr>
        <w:noBreakHyphen/>
        <w:t xml:space="preserve">174/2024, </w:t>
      </w:r>
      <w:hyperlink r:id="rId9" w:history="1">
        <w:r w:rsidRPr="00C76E1D">
          <w:rPr>
            <w:rStyle w:val="Hyperlink"/>
            <w:i/>
            <w:iCs/>
          </w:rPr>
          <w:t>ECLI:LV:AT:2024:0627.15830002315.9.L</w:t>
        </w:r>
      </w:hyperlink>
      <w:r w:rsidRPr="00C76E1D">
        <w:rPr>
          <w:i/>
          <w:iCs/>
        </w:rPr>
        <w:t>, 8.4. punkts</w:t>
      </w:r>
      <w:r w:rsidRPr="00C76E1D">
        <w:t>).</w:t>
      </w:r>
    </w:p>
    <w:p w14:paraId="48D39AA8" w14:textId="07C51D70" w:rsidR="0089154D" w:rsidRPr="00C76E1D" w:rsidRDefault="000675B9" w:rsidP="00C76E1D">
      <w:pPr>
        <w:shd w:val="clear" w:color="auto" w:fill="FFFFFF"/>
        <w:spacing w:line="276" w:lineRule="auto"/>
        <w:ind w:firstLine="720"/>
        <w:jc w:val="both"/>
      </w:pPr>
      <w:r w:rsidRPr="00C76E1D">
        <w:t xml:space="preserve">Tāpat </w:t>
      </w:r>
      <w:r w:rsidR="00F05F1C" w:rsidRPr="00C76E1D">
        <w:t xml:space="preserve">apelācijas instances </w:t>
      </w:r>
      <w:r w:rsidRPr="00C76E1D">
        <w:t xml:space="preserve">tiesa nepamatoti atsaukusies uz </w:t>
      </w:r>
      <w:r w:rsidR="001B0213" w:rsidRPr="00C76E1D">
        <w:t xml:space="preserve">Senāta </w:t>
      </w:r>
      <w:r w:rsidR="00C1339A">
        <w:t xml:space="preserve">2017. gada 5. jūlija </w:t>
      </w:r>
      <w:r w:rsidR="001B0213" w:rsidRPr="00C76E1D">
        <w:t>lēmumu lietā Nr. </w:t>
      </w:r>
      <w:bookmarkStart w:id="2" w:name="_Hlk207023832"/>
      <w:r w:rsidR="001B0213" w:rsidRPr="00C76E1D">
        <w:t>SKK</w:t>
      </w:r>
      <w:r w:rsidR="001B0213" w:rsidRPr="00C76E1D">
        <w:noBreakHyphen/>
        <w:t>429/2017</w:t>
      </w:r>
      <w:bookmarkEnd w:id="2"/>
      <w:r w:rsidR="0089154D" w:rsidRPr="00C76E1D">
        <w:t>, jo</w:t>
      </w:r>
      <w:r w:rsidR="00AA67CB" w:rsidRPr="00C76E1D">
        <w:t xml:space="preserve">, </w:t>
      </w:r>
      <w:r w:rsidR="00B51ECD" w:rsidRPr="00C76E1D">
        <w:t>ievērojot</w:t>
      </w:r>
      <w:r w:rsidR="00AF5141" w:rsidRPr="00C76E1D">
        <w:t>, ka</w:t>
      </w:r>
      <w:r w:rsidR="00B51ECD" w:rsidRPr="00C76E1D">
        <w:t xml:space="preserve"> </w:t>
      </w:r>
      <w:r w:rsidR="00AF5141" w:rsidRPr="00C76E1D">
        <w:t>apsūdzība lietā celta un uzturēta pēc Krimināllikuma 123. panta pirmās daļas,</w:t>
      </w:r>
      <w:r w:rsidR="00AA67CB" w:rsidRPr="00C76E1D">
        <w:t xml:space="preserve"> Senāts</w:t>
      </w:r>
      <w:r w:rsidR="00AF5141" w:rsidRPr="00C76E1D">
        <w:t xml:space="preserve"> atbilstoši </w:t>
      </w:r>
      <w:r w:rsidR="00B51ECD" w:rsidRPr="00C76E1D">
        <w:t>Kriminālprocesa likuma 562. un 584. pantā noteikt</w:t>
      </w:r>
      <w:r w:rsidR="00AF5141" w:rsidRPr="00C76E1D">
        <w:t>ajam</w:t>
      </w:r>
      <w:r w:rsidR="00B51ECD" w:rsidRPr="00C76E1D">
        <w:t xml:space="preserve"> konkrētajā lietā nav vērtējis, vai apsūdzētā darbības nebūtu kvalificējamas kā smagāka noziedzīga nodarījuma izdarīšana</w:t>
      </w:r>
      <w:r w:rsidR="009F2152" w:rsidRPr="00C76E1D">
        <w:t xml:space="preserve">, </w:t>
      </w:r>
      <w:r w:rsidR="00B51ECD" w:rsidRPr="00C76E1D">
        <w:t>piemēram, pēc Krimināllikuma 125. panta trešās daļas</w:t>
      </w:r>
      <w:r w:rsidR="001B0213" w:rsidRPr="00C76E1D">
        <w:t>.</w:t>
      </w:r>
      <w:r w:rsidR="00AA67CB" w:rsidRPr="00C76E1D">
        <w:t xml:space="preserve"> </w:t>
      </w:r>
      <w:r w:rsidR="001B0213" w:rsidRPr="00C76E1D">
        <w:t>V</w:t>
      </w:r>
      <w:r w:rsidR="00AA67CB" w:rsidRPr="00C76E1D">
        <w:t>ienlaikus</w:t>
      </w:r>
      <w:r w:rsidR="00B51ECD" w:rsidRPr="00C76E1D">
        <w:t xml:space="preserve"> </w:t>
      </w:r>
      <w:r w:rsidR="001B0213" w:rsidRPr="00C76E1D">
        <w:t xml:space="preserve">Senāts lēmumā </w:t>
      </w:r>
      <w:r w:rsidR="003F1E34" w:rsidRPr="00C76E1D">
        <w:t>piebildis</w:t>
      </w:r>
      <w:r w:rsidR="00B51ECD" w:rsidRPr="00C76E1D">
        <w:t>, ka tīša sitiena izdarīšana, kura rezultātā nodarīts smags miesas bojājums, kā rezultātā vainīgā neuzmanības dēļ iestājusies cietušā nāve, judikatūrā parasti tiek kvalificēta kā Krimināllikuma 125. panta trešajā daļā paredzētais noziedzīgais nodarījums</w:t>
      </w:r>
      <w:r w:rsidR="00F86E71" w:rsidRPr="00C76E1D">
        <w:t>.</w:t>
      </w:r>
    </w:p>
    <w:p w14:paraId="6D236BB4" w14:textId="005A8DE6" w:rsidR="001D5925" w:rsidRPr="00C76E1D" w:rsidRDefault="00451521" w:rsidP="00F01221">
      <w:pPr>
        <w:shd w:val="clear" w:color="auto" w:fill="FFFFFF"/>
        <w:spacing w:line="276" w:lineRule="auto"/>
        <w:ind w:firstLine="720"/>
        <w:jc w:val="both"/>
      </w:pPr>
      <w:r w:rsidRPr="00C76E1D">
        <w:t>[</w:t>
      </w:r>
      <w:r w:rsidR="001B6F0C" w:rsidRPr="00C76E1D">
        <w:t>6.5</w:t>
      </w:r>
      <w:r w:rsidRPr="00C76E1D">
        <w:t>] </w:t>
      </w:r>
      <w:r w:rsidR="00DC2C20" w:rsidRPr="00C76E1D">
        <w:t>Senāts atzīst, ka apelācijas instances tiesas pieļaut</w:t>
      </w:r>
      <w:r w:rsidR="0050457F" w:rsidRPr="00C76E1D">
        <w:t>ais</w:t>
      </w:r>
      <w:r w:rsidR="00DC2C20" w:rsidRPr="00C76E1D">
        <w:t xml:space="preserve"> Kriminālprocesa likuma 564. panta ceturtās daļas pārkāpum</w:t>
      </w:r>
      <w:r w:rsidR="0050457F" w:rsidRPr="00C76E1D">
        <w:t>s</w:t>
      </w:r>
      <w:r w:rsidR="00DC2C20" w:rsidRPr="00C76E1D">
        <w:t xml:space="preserve"> ir atzīstam</w:t>
      </w:r>
      <w:r w:rsidR="0050457F" w:rsidRPr="00C76E1D">
        <w:t>s</w:t>
      </w:r>
      <w:r w:rsidR="00DC2C20" w:rsidRPr="00C76E1D">
        <w:t xml:space="preserve"> par Kriminālprocesa likuma būtisk</w:t>
      </w:r>
      <w:r w:rsidR="0050457F" w:rsidRPr="00C76E1D">
        <w:t>u</w:t>
      </w:r>
      <w:r w:rsidR="00DC2C20" w:rsidRPr="00C76E1D">
        <w:t xml:space="preserve"> pārkāpum</w:t>
      </w:r>
      <w:r w:rsidR="0050457F" w:rsidRPr="00C76E1D">
        <w:t>u</w:t>
      </w:r>
      <w:r w:rsidR="00DC2C20" w:rsidRPr="00C76E1D">
        <w:t xml:space="preserve"> šā likuma 575. panta trešās daļas izpratnē, kas ir novedi</w:t>
      </w:r>
      <w:r w:rsidR="0050457F" w:rsidRPr="00C76E1D">
        <w:t>s</w:t>
      </w:r>
      <w:r w:rsidR="00DC2C20" w:rsidRPr="00C76E1D">
        <w:t xml:space="preserve"> pie nelikumīga nolēmuma. Ievērojot minēto, </w:t>
      </w:r>
      <w:r w:rsidR="001D5925" w:rsidRPr="00C76E1D">
        <w:t xml:space="preserve">apelācijas instances tiesas </w:t>
      </w:r>
      <w:r w:rsidR="00F01221">
        <w:t>lēmums</w:t>
      </w:r>
      <w:r w:rsidR="00F01221" w:rsidRPr="00C76E1D">
        <w:t xml:space="preserve"> </w:t>
      </w:r>
      <w:r w:rsidR="001D5925" w:rsidRPr="00C76E1D">
        <w:t>ir atceļams pilnībā un lieta nosūtāma jaunai izskatīšanai apelācijas instances tiesā.</w:t>
      </w:r>
    </w:p>
    <w:p w14:paraId="2DCCAB84" w14:textId="77777777" w:rsidR="00F95DFA" w:rsidRPr="00C76E1D" w:rsidRDefault="00F95DFA" w:rsidP="00C76E1D">
      <w:pPr>
        <w:shd w:val="clear" w:color="auto" w:fill="FFFFFF"/>
        <w:spacing w:line="276" w:lineRule="auto"/>
        <w:ind w:firstLine="720"/>
        <w:jc w:val="both"/>
      </w:pPr>
    </w:p>
    <w:p w14:paraId="0E5AEE8D" w14:textId="38DE7F41" w:rsidR="00E75DB0" w:rsidRPr="00C76E1D" w:rsidRDefault="00E75DB0" w:rsidP="00C76E1D">
      <w:pPr>
        <w:shd w:val="clear" w:color="auto" w:fill="FFFFFF"/>
        <w:spacing w:line="276" w:lineRule="auto"/>
        <w:ind w:firstLine="720"/>
        <w:jc w:val="both"/>
      </w:pPr>
      <w:r w:rsidRPr="00C76E1D">
        <w:t>[</w:t>
      </w:r>
      <w:r w:rsidR="0034571A" w:rsidRPr="00C76E1D">
        <w:t>7</w:t>
      </w:r>
      <w:r w:rsidRPr="00C76E1D">
        <w:t>] Kriminālprocesa likuma 588. panta 3.</w:t>
      </w:r>
      <w:r w:rsidRPr="00C76E1D">
        <w:rPr>
          <w:vertAlign w:val="superscript"/>
        </w:rPr>
        <w:t>1</w:t>
      </w:r>
      <w:r w:rsidRPr="00C76E1D">
        <w:t> daļa noteic: ja kasācijas instances tiesa pieņem šā likuma 587. panta pirmās daļas 2. punktā paredzēto lēmumu, tā izlemj jautājumu arī par drošības līdzekli.</w:t>
      </w:r>
    </w:p>
    <w:p w14:paraId="52A1A178" w14:textId="7ABBBBFD" w:rsidR="00E75DB0" w:rsidRPr="00C76E1D" w:rsidRDefault="00E75DB0" w:rsidP="00C76E1D">
      <w:pPr>
        <w:pStyle w:val="NoSpacing"/>
        <w:widowControl w:val="0"/>
        <w:spacing w:line="276" w:lineRule="auto"/>
        <w:ind w:firstLine="720"/>
        <w:jc w:val="both"/>
        <w:rPr>
          <w:rFonts w:cs="Times New Roman"/>
          <w:szCs w:val="24"/>
        </w:rPr>
      </w:pPr>
      <w:r w:rsidRPr="00C76E1D">
        <w:rPr>
          <w:rFonts w:cs="Times New Roman"/>
          <w:szCs w:val="24"/>
        </w:rPr>
        <w:t xml:space="preserve">Apsūdzētajam </w:t>
      </w:r>
      <w:r w:rsidR="001858B8">
        <w:rPr>
          <w:shd w:val="clear" w:color="auto" w:fill="FFFFFF"/>
        </w:rPr>
        <w:t>[pers. A]</w:t>
      </w:r>
      <w:r w:rsidRPr="00C76E1D">
        <w:rPr>
          <w:rFonts w:cs="Times New Roman"/>
          <w:szCs w:val="24"/>
        </w:rPr>
        <w:t xml:space="preserve"> drošības līdzeklis kriminālprocesā nav piemērots. Senāts atzīst, ka drošības līdzekļa piemērošanai apsūdzētajam šajā kriminālprocesa stadijā nav tiesiska pamata.</w:t>
      </w:r>
    </w:p>
    <w:p w14:paraId="55AF41EF" w14:textId="77777777" w:rsidR="00A656FE" w:rsidRPr="00C76E1D" w:rsidRDefault="00A656FE" w:rsidP="00C76E1D">
      <w:pPr>
        <w:shd w:val="clear" w:color="auto" w:fill="FFFFFF"/>
        <w:spacing w:line="276" w:lineRule="auto"/>
        <w:ind w:firstLine="720"/>
        <w:jc w:val="both"/>
      </w:pPr>
    </w:p>
    <w:p w14:paraId="12CBFC44" w14:textId="3F813F32" w:rsidR="00447EE6" w:rsidRPr="00C76E1D" w:rsidRDefault="00447EE6" w:rsidP="00C76E1D">
      <w:pPr>
        <w:shd w:val="clear" w:color="auto" w:fill="FFFFFF"/>
        <w:spacing w:line="276" w:lineRule="auto"/>
        <w:jc w:val="center"/>
        <w:rPr>
          <w:b/>
        </w:rPr>
      </w:pPr>
      <w:r w:rsidRPr="00C76E1D">
        <w:rPr>
          <w:b/>
        </w:rPr>
        <w:t>Rezolutīvā daļa</w:t>
      </w:r>
    </w:p>
    <w:p w14:paraId="40FF95B5" w14:textId="77777777" w:rsidR="00A656FE" w:rsidRPr="00C76E1D" w:rsidRDefault="00A656FE" w:rsidP="00F05B72">
      <w:pPr>
        <w:shd w:val="clear" w:color="auto" w:fill="FFFFFF"/>
        <w:spacing w:line="276" w:lineRule="auto"/>
        <w:ind w:firstLine="720"/>
        <w:jc w:val="both"/>
      </w:pPr>
    </w:p>
    <w:p w14:paraId="5CE1399F" w14:textId="77777777" w:rsidR="00992963" w:rsidRPr="00C76E1D" w:rsidRDefault="00992963" w:rsidP="00F05B72">
      <w:pPr>
        <w:pStyle w:val="tv213"/>
        <w:widowControl w:val="0"/>
        <w:spacing w:before="0" w:beforeAutospacing="0" w:after="0" w:afterAutospacing="0" w:line="276" w:lineRule="auto"/>
        <w:ind w:firstLine="720"/>
        <w:jc w:val="both"/>
      </w:pPr>
      <w:r w:rsidRPr="00C76E1D">
        <w:t xml:space="preserve">Pamatojoties uz Kriminālprocesa likuma 585. un 587. panta pirmās daļas 2. punktu, </w:t>
      </w:r>
      <w:r w:rsidRPr="00C76E1D">
        <w:lastRenderedPageBreak/>
        <w:t>Senāts</w:t>
      </w:r>
    </w:p>
    <w:p w14:paraId="3B28DB94" w14:textId="77777777" w:rsidR="00447EE6" w:rsidRPr="00C76E1D" w:rsidRDefault="00447EE6" w:rsidP="00F05B72">
      <w:pPr>
        <w:shd w:val="clear" w:color="auto" w:fill="FFFFFF"/>
        <w:spacing w:line="276" w:lineRule="auto"/>
        <w:ind w:firstLine="720"/>
        <w:jc w:val="center"/>
        <w:rPr>
          <w:b/>
        </w:rPr>
      </w:pPr>
    </w:p>
    <w:p w14:paraId="297C80CD" w14:textId="6FF1C7F1" w:rsidR="00447EE6" w:rsidRPr="00C76E1D" w:rsidRDefault="00447EE6" w:rsidP="00C76E1D">
      <w:pPr>
        <w:shd w:val="clear" w:color="auto" w:fill="FFFFFF"/>
        <w:spacing w:line="276" w:lineRule="auto"/>
        <w:jc w:val="center"/>
        <w:rPr>
          <w:b/>
        </w:rPr>
      </w:pPr>
      <w:r w:rsidRPr="00C76E1D">
        <w:rPr>
          <w:b/>
        </w:rPr>
        <w:t>no</w:t>
      </w:r>
      <w:r w:rsidR="00A656FE" w:rsidRPr="00C76E1D">
        <w:rPr>
          <w:b/>
        </w:rPr>
        <w:t>lēma</w:t>
      </w:r>
    </w:p>
    <w:p w14:paraId="28660F9E" w14:textId="77777777" w:rsidR="00447EE6" w:rsidRPr="00C76E1D" w:rsidRDefault="00447EE6" w:rsidP="00F05B72">
      <w:pPr>
        <w:shd w:val="clear" w:color="auto" w:fill="FFFFFF"/>
        <w:spacing w:line="276" w:lineRule="auto"/>
        <w:ind w:firstLine="720"/>
        <w:jc w:val="center"/>
        <w:rPr>
          <w:bCs/>
        </w:rPr>
      </w:pPr>
    </w:p>
    <w:p w14:paraId="51D7F043" w14:textId="1D5E9EE0" w:rsidR="004E68AE" w:rsidRPr="00C76E1D" w:rsidRDefault="004E68AE" w:rsidP="00F05B72">
      <w:pPr>
        <w:widowControl w:val="0"/>
        <w:tabs>
          <w:tab w:val="left" w:pos="709"/>
        </w:tabs>
        <w:spacing w:line="276" w:lineRule="auto"/>
        <w:ind w:firstLine="720"/>
        <w:jc w:val="both"/>
      </w:pPr>
      <w:r w:rsidRPr="00C76E1D">
        <w:rPr>
          <w:rFonts w:eastAsia="Calibri"/>
          <w:iCs/>
        </w:rPr>
        <w:t xml:space="preserve">atcelt </w:t>
      </w:r>
      <w:r w:rsidRPr="00C76E1D">
        <w:t xml:space="preserve">Rīgas apgabaltiesas 2024. gada 6. jūnija lēmumu pilnībā un nosūtīt lietu jaunai izskatīšanai </w:t>
      </w:r>
      <w:r w:rsidR="0034571A" w:rsidRPr="00C76E1D">
        <w:t>Rīgas</w:t>
      </w:r>
      <w:r w:rsidRPr="00C76E1D">
        <w:t xml:space="preserve"> apgabaltiesā.</w:t>
      </w:r>
    </w:p>
    <w:p w14:paraId="0E6AB401" w14:textId="77777777" w:rsidR="00A656FE" w:rsidRPr="00C76E1D" w:rsidRDefault="00A656FE" w:rsidP="00F05B72">
      <w:pPr>
        <w:shd w:val="clear" w:color="auto" w:fill="FFFFFF"/>
        <w:spacing w:line="276" w:lineRule="auto"/>
        <w:ind w:firstLine="720"/>
        <w:jc w:val="center"/>
        <w:rPr>
          <w:bCs/>
        </w:rPr>
      </w:pPr>
    </w:p>
    <w:p w14:paraId="66EC6270" w14:textId="77777777" w:rsidR="00A656FE" w:rsidRPr="00C76E1D" w:rsidRDefault="00A656FE" w:rsidP="00F05B72">
      <w:pPr>
        <w:shd w:val="clear" w:color="auto" w:fill="FFFFFF"/>
        <w:spacing w:line="276" w:lineRule="auto"/>
        <w:ind w:firstLine="720"/>
        <w:jc w:val="both"/>
        <w:rPr>
          <w:bCs/>
        </w:rPr>
      </w:pPr>
      <w:r w:rsidRPr="00C76E1D">
        <w:rPr>
          <w:bCs/>
        </w:rPr>
        <w:t>Lēmums nav pārsūdzams.</w:t>
      </w:r>
    </w:p>
    <w:p w14:paraId="1DFB0213" w14:textId="77777777" w:rsidR="00A656FE" w:rsidRPr="00C76E1D" w:rsidRDefault="00A656FE" w:rsidP="00F05B72">
      <w:pPr>
        <w:shd w:val="clear" w:color="auto" w:fill="FFFFFF"/>
        <w:spacing w:line="276" w:lineRule="auto"/>
        <w:ind w:firstLine="720"/>
        <w:jc w:val="center"/>
        <w:rPr>
          <w:bCs/>
        </w:rPr>
      </w:pPr>
    </w:p>
    <w:p w14:paraId="4F44FB94" w14:textId="77777777" w:rsidR="00A656FE" w:rsidRPr="00C76E1D" w:rsidRDefault="00A656FE" w:rsidP="00F05B72">
      <w:pPr>
        <w:shd w:val="clear" w:color="auto" w:fill="FFFFFF"/>
        <w:spacing w:line="276" w:lineRule="auto"/>
        <w:ind w:firstLine="720"/>
        <w:jc w:val="center"/>
        <w:rPr>
          <w:bCs/>
        </w:rPr>
      </w:pPr>
    </w:p>
    <w:p w14:paraId="6E71DD63" w14:textId="77777777" w:rsidR="00447EE6" w:rsidRPr="00C76E1D" w:rsidRDefault="00447EE6" w:rsidP="00F05B72">
      <w:pPr>
        <w:spacing w:line="276" w:lineRule="auto"/>
        <w:ind w:firstLine="720"/>
      </w:pPr>
    </w:p>
    <w:p w14:paraId="049D1CB4" w14:textId="77777777" w:rsidR="00447EE6" w:rsidRPr="00C76E1D" w:rsidRDefault="00447EE6" w:rsidP="00C76E1D">
      <w:pPr>
        <w:tabs>
          <w:tab w:val="left" w:pos="2880"/>
        </w:tabs>
        <w:spacing w:line="276" w:lineRule="auto"/>
        <w:jc w:val="both"/>
      </w:pPr>
    </w:p>
    <w:sectPr w:rsidR="00447EE6" w:rsidRPr="00C76E1D" w:rsidSect="00C1339A">
      <w:footerReference w:type="default" r:id="rId10"/>
      <w:pgSz w:w="12240" w:h="15840"/>
      <w:pgMar w:top="1134" w:right="1701"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FF34A" w14:textId="77777777" w:rsidR="000C2C04" w:rsidRDefault="000C2C04" w:rsidP="005A4215">
      <w:r>
        <w:separator/>
      </w:r>
    </w:p>
  </w:endnote>
  <w:endnote w:type="continuationSeparator" w:id="0">
    <w:p w14:paraId="26F5D915" w14:textId="77777777" w:rsidR="000C2C04" w:rsidRDefault="000C2C04" w:rsidP="005A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382181"/>
      <w:docPartObj>
        <w:docPartGallery w:val="Page Numbers (Bottom of Page)"/>
        <w:docPartUnique/>
      </w:docPartObj>
    </w:sdtPr>
    <w:sdtEndPr/>
    <w:sdtContent>
      <w:sdt>
        <w:sdtPr>
          <w:id w:val="1728636285"/>
          <w:docPartObj>
            <w:docPartGallery w:val="Page Numbers (Top of Page)"/>
            <w:docPartUnique/>
          </w:docPartObj>
        </w:sdtPr>
        <w:sdtEndPr/>
        <w:sdtContent>
          <w:p w14:paraId="6A3D8B32" w14:textId="5EDCA7D0" w:rsidR="00806F18" w:rsidRDefault="00806F18" w:rsidP="00806F18">
            <w:pPr>
              <w:pStyle w:val="Footer"/>
              <w:jc w:val="center"/>
            </w:pPr>
            <w:r w:rsidRPr="00806F18">
              <w:rPr>
                <w:sz w:val="20"/>
                <w:szCs w:val="20"/>
              </w:rPr>
              <w:fldChar w:fldCharType="begin"/>
            </w:r>
            <w:r w:rsidRPr="00806F18">
              <w:rPr>
                <w:sz w:val="20"/>
                <w:szCs w:val="20"/>
              </w:rPr>
              <w:instrText xml:space="preserve"> PAGE </w:instrText>
            </w:r>
            <w:r w:rsidRPr="00806F18">
              <w:rPr>
                <w:sz w:val="20"/>
                <w:szCs w:val="20"/>
              </w:rPr>
              <w:fldChar w:fldCharType="separate"/>
            </w:r>
            <w:r w:rsidRPr="00806F18">
              <w:rPr>
                <w:noProof/>
                <w:sz w:val="20"/>
                <w:szCs w:val="20"/>
              </w:rPr>
              <w:t>2</w:t>
            </w:r>
            <w:r w:rsidRPr="00806F18">
              <w:rPr>
                <w:sz w:val="20"/>
                <w:szCs w:val="20"/>
              </w:rPr>
              <w:fldChar w:fldCharType="end"/>
            </w:r>
            <w:r w:rsidRPr="00806F18">
              <w:rPr>
                <w:sz w:val="20"/>
                <w:szCs w:val="20"/>
              </w:rPr>
              <w:t xml:space="preserve"> no </w:t>
            </w:r>
            <w:r w:rsidRPr="00806F18">
              <w:rPr>
                <w:sz w:val="20"/>
                <w:szCs w:val="20"/>
              </w:rPr>
              <w:fldChar w:fldCharType="begin"/>
            </w:r>
            <w:r w:rsidRPr="00806F18">
              <w:rPr>
                <w:sz w:val="20"/>
                <w:szCs w:val="20"/>
              </w:rPr>
              <w:instrText xml:space="preserve"> NUMPAGES  </w:instrText>
            </w:r>
            <w:r w:rsidRPr="00806F18">
              <w:rPr>
                <w:sz w:val="20"/>
                <w:szCs w:val="20"/>
              </w:rPr>
              <w:fldChar w:fldCharType="separate"/>
            </w:r>
            <w:r w:rsidRPr="00806F18">
              <w:rPr>
                <w:noProof/>
                <w:sz w:val="20"/>
                <w:szCs w:val="20"/>
              </w:rPr>
              <w:t>2</w:t>
            </w:r>
            <w:r w:rsidRPr="00806F18">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E5597" w14:textId="77777777" w:rsidR="000C2C04" w:rsidRDefault="000C2C04" w:rsidP="005A4215">
      <w:r>
        <w:separator/>
      </w:r>
    </w:p>
  </w:footnote>
  <w:footnote w:type="continuationSeparator" w:id="0">
    <w:p w14:paraId="52C9907F" w14:textId="77777777" w:rsidR="000C2C04" w:rsidRDefault="000C2C04" w:rsidP="005A4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6F08"/>
    <w:rsid w:val="0002036F"/>
    <w:rsid w:val="00041CD1"/>
    <w:rsid w:val="00060B18"/>
    <w:rsid w:val="00066E0B"/>
    <w:rsid w:val="000675B9"/>
    <w:rsid w:val="00070008"/>
    <w:rsid w:val="00091AF2"/>
    <w:rsid w:val="000A133D"/>
    <w:rsid w:val="000C2C04"/>
    <w:rsid w:val="000D7893"/>
    <w:rsid w:val="00115806"/>
    <w:rsid w:val="00117D43"/>
    <w:rsid w:val="00122F1A"/>
    <w:rsid w:val="00142DEB"/>
    <w:rsid w:val="0016085E"/>
    <w:rsid w:val="00173A8D"/>
    <w:rsid w:val="00177A7F"/>
    <w:rsid w:val="00180107"/>
    <w:rsid w:val="001858B8"/>
    <w:rsid w:val="00194AF3"/>
    <w:rsid w:val="001A65AA"/>
    <w:rsid w:val="001B0213"/>
    <w:rsid w:val="001B6F0C"/>
    <w:rsid w:val="001D3596"/>
    <w:rsid w:val="001D5925"/>
    <w:rsid w:val="001E1ECE"/>
    <w:rsid w:val="001F087A"/>
    <w:rsid w:val="002005AE"/>
    <w:rsid w:val="00201619"/>
    <w:rsid w:val="00213005"/>
    <w:rsid w:val="002162BB"/>
    <w:rsid w:val="00244C2C"/>
    <w:rsid w:val="0025745A"/>
    <w:rsid w:val="002630F0"/>
    <w:rsid w:val="00267386"/>
    <w:rsid w:val="00271213"/>
    <w:rsid w:val="00277325"/>
    <w:rsid w:val="00277CDB"/>
    <w:rsid w:val="0028595C"/>
    <w:rsid w:val="00294F0C"/>
    <w:rsid w:val="002C486C"/>
    <w:rsid w:val="002D2693"/>
    <w:rsid w:val="002D555F"/>
    <w:rsid w:val="002E19C3"/>
    <w:rsid w:val="002E2F07"/>
    <w:rsid w:val="002E5990"/>
    <w:rsid w:val="002E7073"/>
    <w:rsid w:val="002E759D"/>
    <w:rsid w:val="002F06BD"/>
    <w:rsid w:val="0030273F"/>
    <w:rsid w:val="003277DC"/>
    <w:rsid w:val="00332E4F"/>
    <w:rsid w:val="00335746"/>
    <w:rsid w:val="00340EBF"/>
    <w:rsid w:val="0034571A"/>
    <w:rsid w:val="00356F11"/>
    <w:rsid w:val="00362B06"/>
    <w:rsid w:val="0038172C"/>
    <w:rsid w:val="003849EC"/>
    <w:rsid w:val="00393124"/>
    <w:rsid w:val="003978A4"/>
    <w:rsid w:val="003A4CFB"/>
    <w:rsid w:val="003C2CFD"/>
    <w:rsid w:val="003D30E2"/>
    <w:rsid w:val="003E4D5B"/>
    <w:rsid w:val="003F1E34"/>
    <w:rsid w:val="00403904"/>
    <w:rsid w:val="004112CE"/>
    <w:rsid w:val="0041144F"/>
    <w:rsid w:val="004114AF"/>
    <w:rsid w:val="004122CC"/>
    <w:rsid w:val="004151BA"/>
    <w:rsid w:val="004215AB"/>
    <w:rsid w:val="00425987"/>
    <w:rsid w:val="00431297"/>
    <w:rsid w:val="00432643"/>
    <w:rsid w:val="00442441"/>
    <w:rsid w:val="004450ED"/>
    <w:rsid w:val="00447EE6"/>
    <w:rsid w:val="00451521"/>
    <w:rsid w:val="004752F7"/>
    <w:rsid w:val="0048225A"/>
    <w:rsid w:val="00497326"/>
    <w:rsid w:val="004A6BAD"/>
    <w:rsid w:val="004A7B8F"/>
    <w:rsid w:val="004B2A94"/>
    <w:rsid w:val="004C2BA1"/>
    <w:rsid w:val="004C5A7A"/>
    <w:rsid w:val="004C66FC"/>
    <w:rsid w:val="004D1048"/>
    <w:rsid w:val="004D3798"/>
    <w:rsid w:val="004D44A3"/>
    <w:rsid w:val="004D7585"/>
    <w:rsid w:val="004D7E96"/>
    <w:rsid w:val="004E4965"/>
    <w:rsid w:val="004E68AE"/>
    <w:rsid w:val="0050457F"/>
    <w:rsid w:val="0050767E"/>
    <w:rsid w:val="005115FD"/>
    <w:rsid w:val="00517013"/>
    <w:rsid w:val="00537913"/>
    <w:rsid w:val="00547C02"/>
    <w:rsid w:val="00550387"/>
    <w:rsid w:val="00554C0F"/>
    <w:rsid w:val="00556EC3"/>
    <w:rsid w:val="00560DF7"/>
    <w:rsid w:val="00563B47"/>
    <w:rsid w:val="00567624"/>
    <w:rsid w:val="00573D39"/>
    <w:rsid w:val="005849ED"/>
    <w:rsid w:val="0059626A"/>
    <w:rsid w:val="005A4215"/>
    <w:rsid w:val="005C6449"/>
    <w:rsid w:val="005E2A02"/>
    <w:rsid w:val="005E3A59"/>
    <w:rsid w:val="005E43D5"/>
    <w:rsid w:val="005E5310"/>
    <w:rsid w:val="005E73F0"/>
    <w:rsid w:val="005F2F81"/>
    <w:rsid w:val="005F58DE"/>
    <w:rsid w:val="006044BF"/>
    <w:rsid w:val="0060505B"/>
    <w:rsid w:val="006136DC"/>
    <w:rsid w:val="006266C1"/>
    <w:rsid w:val="00633226"/>
    <w:rsid w:val="006406D7"/>
    <w:rsid w:val="00656C1E"/>
    <w:rsid w:val="00664216"/>
    <w:rsid w:val="00672B09"/>
    <w:rsid w:val="00674648"/>
    <w:rsid w:val="00681151"/>
    <w:rsid w:val="00685D62"/>
    <w:rsid w:val="006A17A2"/>
    <w:rsid w:val="006A2850"/>
    <w:rsid w:val="006A7FA6"/>
    <w:rsid w:val="006B1494"/>
    <w:rsid w:val="006B1F8B"/>
    <w:rsid w:val="006C0BCB"/>
    <w:rsid w:val="006C33A7"/>
    <w:rsid w:val="006E16E1"/>
    <w:rsid w:val="006E5B90"/>
    <w:rsid w:val="006F2587"/>
    <w:rsid w:val="006F6EE0"/>
    <w:rsid w:val="00705476"/>
    <w:rsid w:val="007165DC"/>
    <w:rsid w:val="007272AA"/>
    <w:rsid w:val="0073780D"/>
    <w:rsid w:val="00760178"/>
    <w:rsid w:val="00762D5E"/>
    <w:rsid w:val="0076733E"/>
    <w:rsid w:val="007708C9"/>
    <w:rsid w:val="00796547"/>
    <w:rsid w:val="007B00FA"/>
    <w:rsid w:val="007C2276"/>
    <w:rsid w:val="007D3A73"/>
    <w:rsid w:val="007D5DE9"/>
    <w:rsid w:val="007E1997"/>
    <w:rsid w:val="00802EA5"/>
    <w:rsid w:val="00806F18"/>
    <w:rsid w:val="00816E90"/>
    <w:rsid w:val="008247A7"/>
    <w:rsid w:val="00840D6A"/>
    <w:rsid w:val="00843FA4"/>
    <w:rsid w:val="00845D20"/>
    <w:rsid w:val="008469FC"/>
    <w:rsid w:val="0085053E"/>
    <w:rsid w:val="00863615"/>
    <w:rsid w:val="008705FE"/>
    <w:rsid w:val="00872133"/>
    <w:rsid w:val="00882184"/>
    <w:rsid w:val="00890D24"/>
    <w:rsid w:val="0089154D"/>
    <w:rsid w:val="008B35ED"/>
    <w:rsid w:val="008B39E6"/>
    <w:rsid w:val="008C2EA7"/>
    <w:rsid w:val="008D283B"/>
    <w:rsid w:val="008E0D16"/>
    <w:rsid w:val="008F0317"/>
    <w:rsid w:val="0090149A"/>
    <w:rsid w:val="009102D4"/>
    <w:rsid w:val="00917E0B"/>
    <w:rsid w:val="00936EE4"/>
    <w:rsid w:val="00941635"/>
    <w:rsid w:val="00956A9D"/>
    <w:rsid w:val="00961F6D"/>
    <w:rsid w:val="009649AD"/>
    <w:rsid w:val="00964BAF"/>
    <w:rsid w:val="00972CAE"/>
    <w:rsid w:val="00980241"/>
    <w:rsid w:val="00992963"/>
    <w:rsid w:val="009A10D3"/>
    <w:rsid w:val="009A4AD5"/>
    <w:rsid w:val="009C0EAF"/>
    <w:rsid w:val="009D4F47"/>
    <w:rsid w:val="009F16D0"/>
    <w:rsid w:val="009F2152"/>
    <w:rsid w:val="00A34866"/>
    <w:rsid w:val="00A35BA9"/>
    <w:rsid w:val="00A40000"/>
    <w:rsid w:val="00A40F42"/>
    <w:rsid w:val="00A57E7E"/>
    <w:rsid w:val="00A656FE"/>
    <w:rsid w:val="00A72196"/>
    <w:rsid w:val="00A75223"/>
    <w:rsid w:val="00A81879"/>
    <w:rsid w:val="00A872CB"/>
    <w:rsid w:val="00A90399"/>
    <w:rsid w:val="00AA29ED"/>
    <w:rsid w:val="00AA67CB"/>
    <w:rsid w:val="00AD2307"/>
    <w:rsid w:val="00AE3CB0"/>
    <w:rsid w:val="00AE4652"/>
    <w:rsid w:val="00AF0FCC"/>
    <w:rsid w:val="00AF4622"/>
    <w:rsid w:val="00AF5141"/>
    <w:rsid w:val="00B00CC5"/>
    <w:rsid w:val="00B03803"/>
    <w:rsid w:val="00B03FF0"/>
    <w:rsid w:val="00B45E33"/>
    <w:rsid w:val="00B508EA"/>
    <w:rsid w:val="00B51ECD"/>
    <w:rsid w:val="00B54F4B"/>
    <w:rsid w:val="00B63D76"/>
    <w:rsid w:val="00B76444"/>
    <w:rsid w:val="00B80FE8"/>
    <w:rsid w:val="00B820E4"/>
    <w:rsid w:val="00B921DB"/>
    <w:rsid w:val="00B96B54"/>
    <w:rsid w:val="00BA5BF0"/>
    <w:rsid w:val="00BC6B67"/>
    <w:rsid w:val="00BE33BA"/>
    <w:rsid w:val="00BE476D"/>
    <w:rsid w:val="00BF1709"/>
    <w:rsid w:val="00C00ABC"/>
    <w:rsid w:val="00C03B6C"/>
    <w:rsid w:val="00C124BE"/>
    <w:rsid w:val="00C1339A"/>
    <w:rsid w:val="00C135B6"/>
    <w:rsid w:val="00C14BC6"/>
    <w:rsid w:val="00C20955"/>
    <w:rsid w:val="00C213A1"/>
    <w:rsid w:val="00C32DA1"/>
    <w:rsid w:val="00C40EDE"/>
    <w:rsid w:val="00C42FA8"/>
    <w:rsid w:val="00C43FD2"/>
    <w:rsid w:val="00C5023B"/>
    <w:rsid w:val="00C60316"/>
    <w:rsid w:val="00C61AD0"/>
    <w:rsid w:val="00C62588"/>
    <w:rsid w:val="00C62B42"/>
    <w:rsid w:val="00C6486B"/>
    <w:rsid w:val="00C73011"/>
    <w:rsid w:val="00C76E1D"/>
    <w:rsid w:val="00C80896"/>
    <w:rsid w:val="00C8397B"/>
    <w:rsid w:val="00C8434F"/>
    <w:rsid w:val="00C91B81"/>
    <w:rsid w:val="00C979F2"/>
    <w:rsid w:val="00CA0168"/>
    <w:rsid w:val="00CC3D60"/>
    <w:rsid w:val="00CE33A8"/>
    <w:rsid w:val="00D04600"/>
    <w:rsid w:val="00D13A43"/>
    <w:rsid w:val="00D14EB2"/>
    <w:rsid w:val="00D27121"/>
    <w:rsid w:val="00D27AD5"/>
    <w:rsid w:val="00D635F4"/>
    <w:rsid w:val="00D636CB"/>
    <w:rsid w:val="00D74F3E"/>
    <w:rsid w:val="00D82722"/>
    <w:rsid w:val="00D82C95"/>
    <w:rsid w:val="00D842F1"/>
    <w:rsid w:val="00DA701D"/>
    <w:rsid w:val="00DC0017"/>
    <w:rsid w:val="00DC2C20"/>
    <w:rsid w:val="00DC41D1"/>
    <w:rsid w:val="00E044C5"/>
    <w:rsid w:val="00E11010"/>
    <w:rsid w:val="00E17A86"/>
    <w:rsid w:val="00E22092"/>
    <w:rsid w:val="00E23405"/>
    <w:rsid w:val="00E4468F"/>
    <w:rsid w:val="00E67073"/>
    <w:rsid w:val="00E75DB0"/>
    <w:rsid w:val="00E82C81"/>
    <w:rsid w:val="00E87AD4"/>
    <w:rsid w:val="00E90D0C"/>
    <w:rsid w:val="00E96254"/>
    <w:rsid w:val="00EA236A"/>
    <w:rsid w:val="00EC1558"/>
    <w:rsid w:val="00EC4F44"/>
    <w:rsid w:val="00ED0B3F"/>
    <w:rsid w:val="00ED2616"/>
    <w:rsid w:val="00F01221"/>
    <w:rsid w:val="00F0279C"/>
    <w:rsid w:val="00F05B72"/>
    <w:rsid w:val="00F05F1C"/>
    <w:rsid w:val="00F307B7"/>
    <w:rsid w:val="00F45A81"/>
    <w:rsid w:val="00F5649F"/>
    <w:rsid w:val="00F602EB"/>
    <w:rsid w:val="00F70BB2"/>
    <w:rsid w:val="00F712F8"/>
    <w:rsid w:val="00F85849"/>
    <w:rsid w:val="00F86E71"/>
    <w:rsid w:val="00F95DFA"/>
    <w:rsid w:val="00FA10F1"/>
    <w:rsid w:val="00FB48B5"/>
    <w:rsid w:val="00FE149C"/>
    <w:rsid w:val="00FE1C38"/>
    <w:rsid w:val="00FF4600"/>
    <w:rsid w:val="00FF5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A656FE"/>
    <w:rPr>
      <w:sz w:val="16"/>
      <w:szCs w:val="16"/>
    </w:rPr>
  </w:style>
  <w:style w:type="paragraph" w:styleId="CommentText">
    <w:name w:val="annotation text"/>
    <w:basedOn w:val="Normal"/>
    <w:link w:val="CommentTextChar"/>
    <w:uiPriority w:val="99"/>
    <w:unhideWhenUsed/>
    <w:rsid w:val="00A656FE"/>
    <w:rPr>
      <w:sz w:val="20"/>
      <w:szCs w:val="20"/>
    </w:rPr>
  </w:style>
  <w:style w:type="character" w:customStyle="1" w:styleId="CommentTextChar">
    <w:name w:val="Comment Text Char"/>
    <w:basedOn w:val="DefaultParagraphFont"/>
    <w:link w:val="CommentText"/>
    <w:uiPriority w:val="99"/>
    <w:rsid w:val="00A656F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656FE"/>
    <w:rPr>
      <w:b/>
      <w:bCs/>
    </w:rPr>
  </w:style>
  <w:style w:type="character" w:customStyle="1" w:styleId="CommentSubjectChar">
    <w:name w:val="Comment Subject Char"/>
    <w:basedOn w:val="CommentTextChar"/>
    <w:link w:val="CommentSubject"/>
    <w:uiPriority w:val="99"/>
    <w:semiHidden/>
    <w:rsid w:val="00A656FE"/>
    <w:rPr>
      <w:rFonts w:eastAsia="Times New Roman" w:cs="Times New Roman"/>
      <w:b/>
      <w:bCs/>
      <w:sz w:val="20"/>
      <w:szCs w:val="20"/>
      <w:lang w:val="lv-LV" w:eastAsia="ru-RU"/>
    </w:rPr>
  </w:style>
  <w:style w:type="paragraph" w:customStyle="1" w:styleId="tv213">
    <w:name w:val="tv213"/>
    <w:basedOn w:val="Normal"/>
    <w:rsid w:val="00992963"/>
    <w:pPr>
      <w:spacing w:before="100" w:beforeAutospacing="1" w:after="100" w:afterAutospacing="1"/>
    </w:pPr>
    <w:rPr>
      <w:lang w:eastAsia="lv-LV"/>
    </w:rPr>
  </w:style>
  <w:style w:type="character" w:styleId="Hyperlink">
    <w:name w:val="Hyperlink"/>
    <w:basedOn w:val="DefaultParagraphFont"/>
    <w:uiPriority w:val="99"/>
    <w:unhideWhenUsed/>
    <w:rsid w:val="00E75DB0"/>
    <w:rPr>
      <w:color w:val="0563C1" w:themeColor="hyperlink"/>
      <w:u w:val="single"/>
    </w:rPr>
  </w:style>
  <w:style w:type="character" w:styleId="UnresolvedMention">
    <w:name w:val="Unresolved Mention"/>
    <w:basedOn w:val="DefaultParagraphFont"/>
    <w:uiPriority w:val="99"/>
    <w:semiHidden/>
    <w:unhideWhenUsed/>
    <w:rsid w:val="00E75DB0"/>
    <w:rPr>
      <w:color w:val="605E5C"/>
      <w:shd w:val="clear" w:color="auto" w:fill="E1DFDD"/>
    </w:rPr>
  </w:style>
  <w:style w:type="paragraph" w:styleId="NoSpacing">
    <w:name w:val="No Spacing"/>
    <w:uiPriority w:val="1"/>
    <w:qFormat/>
    <w:rsid w:val="00E75DB0"/>
    <w:pPr>
      <w:spacing w:after="0" w:line="240" w:lineRule="auto"/>
    </w:pPr>
    <w:rPr>
      <w:lang w:val="lv-LV"/>
    </w:rPr>
  </w:style>
  <w:style w:type="character" w:styleId="FootnoteReference">
    <w:name w:val="footnote reference"/>
    <w:aliases w:val="Footnote Reference Number,Footnote symbol"/>
    <w:basedOn w:val="DefaultParagraphFont"/>
    <w:uiPriority w:val="99"/>
    <w:semiHidden/>
    <w:unhideWhenUsed/>
    <w:rsid w:val="005A4215"/>
    <w:rPr>
      <w:rFonts w:ascii="Times New Roman" w:hAnsi="Times New Roman" w:cs="Times New Roman" w:hint="default"/>
      <w:vertAlign w:val="superscript"/>
    </w:rPr>
  </w:style>
  <w:style w:type="paragraph" w:styleId="Header">
    <w:name w:val="header"/>
    <w:basedOn w:val="Normal"/>
    <w:link w:val="HeaderChar"/>
    <w:uiPriority w:val="99"/>
    <w:unhideWhenUsed/>
    <w:rsid w:val="00806F18"/>
    <w:pPr>
      <w:tabs>
        <w:tab w:val="center" w:pos="4153"/>
        <w:tab w:val="right" w:pos="8306"/>
      </w:tabs>
    </w:pPr>
  </w:style>
  <w:style w:type="character" w:customStyle="1" w:styleId="HeaderChar">
    <w:name w:val="Header Char"/>
    <w:basedOn w:val="DefaultParagraphFont"/>
    <w:link w:val="Header"/>
    <w:uiPriority w:val="99"/>
    <w:rsid w:val="00806F18"/>
    <w:rPr>
      <w:rFonts w:eastAsia="Times New Roman" w:cs="Times New Roman"/>
      <w:szCs w:val="24"/>
      <w:lang w:val="lv-LV" w:eastAsia="ru-RU"/>
    </w:rPr>
  </w:style>
  <w:style w:type="paragraph" w:styleId="Footer">
    <w:name w:val="footer"/>
    <w:basedOn w:val="Normal"/>
    <w:link w:val="FooterChar"/>
    <w:uiPriority w:val="99"/>
    <w:unhideWhenUsed/>
    <w:rsid w:val="00806F18"/>
    <w:pPr>
      <w:tabs>
        <w:tab w:val="center" w:pos="4153"/>
        <w:tab w:val="right" w:pos="8306"/>
      </w:tabs>
    </w:pPr>
  </w:style>
  <w:style w:type="character" w:customStyle="1" w:styleId="FooterChar">
    <w:name w:val="Footer Char"/>
    <w:basedOn w:val="DefaultParagraphFont"/>
    <w:link w:val="Footer"/>
    <w:uiPriority w:val="99"/>
    <w:rsid w:val="00806F18"/>
    <w:rPr>
      <w:rFonts w:eastAsia="Times New Roman" w:cs="Times New Roman"/>
      <w:szCs w:val="24"/>
      <w:lang w:val="lv-LV" w:eastAsia="ru-RU"/>
    </w:rPr>
  </w:style>
  <w:style w:type="paragraph" w:styleId="Revision">
    <w:name w:val="Revision"/>
    <w:hidden/>
    <w:uiPriority w:val="99"/>
    <w:semiHidden/>
    <w:rsid w:val="002E19C3"/>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B76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233369.pdf" TargetMode="External"/><Relationship Id="rId3" Type="http://schemas.openxmlformats.org/officeDocument/2006/relationships/settings" Target="settings.xml"/><Relationship Id="rId7" Type="http://schemas.openxmlformats.org/officeDocument/2006/relationships/hyperlink" Target="https://gateway.elieta.lv/api/v1/PublicMaterialDownload/093e47be-39bd-49ea-9099-707a184ca66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24:0627.15830002315.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9510</Words>
  <Characters>5422</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2025-09-03T07:03:00Z</dcterms:created>
  <dcterms:modified xsi:type="dcterms:W3CDTF">2025-10-09T08:28:00Z</dcterms:modified>
</cp:coreProperties>
</file>