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9ED2" w14:textId="47A779EA" w:rsidR="0009600D" w:rsidRDefault="004B239C" w:rsidP="004B239C">
      <w:pPr>
        <w:autoSpaceDE w:val="0"/>
        <w:autoSpaceDN w:val="0"/>
        <w:adjustRightInd w:val="0"/>
        <w:spacing w:line="276" w:lineRule="auto"/>
        <w:jc w:val="both"/>
        <w:rPr>
          <w:b/>
          <w:bCs/>
        </w:rPr>
      </w:pPr>
      <w:r>
        <w:rPr>
          <w:b/>
          <w:bCs/>
        </w:rPr>
        <w:t xml:space="preserve">Sodu ietekmējošo apstākļu izvērtēšana, ja lieta tiek skatīta </w:t>
      </w:r>
      <w:r w:rsidRPr="00521263">
        <w:rPr>
          <w:b/>
          <w:bCs/>
        </w:rPr>
        <w:t>bez pierādījumu pārbaudes</w:t>
      </w:r>
    </w:p>
    <w:p w14:paraId="4CD048BF" w14:textId="77777777" w:rsidR="004B239C" w:rsidRDefault="004B239C" w:rsidP="004B239C">
      <w:pPr>
        <w:spacing w:line="276" w:lineRule="auto"/>
        <w:jc w:val="both"/>
      </w:pPr>
      <w:r>
        <w:t>Izskatot lietu saskaņā ar Kriminālprocesa likuma 499. panta nosacījumiem, tiesa nepārbauda pierādījumus par apsūdzētā vainīgumu, bet pārbauda pierādījumus daļā par sodu ietekmējošiem apstākļiem.</w:t>
      </w:r>
    </w:p>
    <w:p w14:paraId="13D4EBE1" w14:textId="6D83A1D3" w:rsidR="004B239C" w:rsidRDefault="004B239C" w:rsidP="004B239C">
      <w:pPr>
        <w:autoSpaceDE w:val="0"/>
        <w:autoSpaceDN w:val="0"/>
        <w:adjustRightInd w:val="0"/>
        <w:spacing w:line="276" w:lineRule="auto"/>
        <w:jc w:val="both"/>
      </w:pPr>
      <w:r>
        <w:t>J</w:t>
      </w:r>
      <w:r w:rsidRPr="00521263">
        <w:t xml:space="preserve">a lieta tiek skatīta </w:t>
      </w:r>
      <w:r w:rsidRPr="0071583A">
        <w:t>bez pierādījumu pārbaudes</w:t>
      </w:r>
      <w:r w:rsidRPr="00521263">
        <w:t>, tiesa</w:t>
      </w:r>
      <w:r>
        <w:t xml:space="preserve"> ņem vērā visus soda noteikšanas vispārīgos principus. Tiesa nolēmumā motivē, kāpēc tā piemēro konkrēto tiesību normu, konstatējot un atzīstot apsūdzētā atbildību mīkstinošu vai pastiprinošu apstākli lietā.</w:t>
      </w:r>
    </w:p>
    <w:p w14:paraId="56AB13F7" w14:textId="77777777" w:rsidR="004B239C" w:rsidRDefault="004B239C" w:rsidP="004B239C">
      <w:pPr>
        <w:autoSpaceDE w:val="0"/>
        <w:autoSpaceDN w:val="0"/>
        <w:adjustRightInd w:val="0"/>
        <w:spacing w:line="276" w:lineRule="auto"/>
        <w:jc w:val="both"/>
      </w:pPr>
    </w:p>
    <w:p w14:paraId="6CAE40F2" w14:textId="73FE75BA" w:rsidR="004B239C" w:rsidRPr="000A0BEB" w:rsidRDefault="004B239C" w:rsidP="004B239C">
      <w:pPr>
        <w:autoSpaceDE w:val="0"/>
        <w:autoSpaceDN w:val="0"/>
        <w:adjustRightInd w:val="0"/>
        <w:spacing w:line="276" w:lineRule="auto"/>
        <w:jc w:val="both"/>
        <w:rPr>
          <w:rFonts w:asciiTheme="majorBidi" w:hAnsiTheme="majorBidi" w:cstheme="majorBidi"/>
          <w:color w:val="000000"/>
        </w:rPr>
      </w:pPr>
      <w:r>
        <w:rPr>
          <w:b/>
          <w:bCs/>
        </w:rPr>
        <w:t>Tiesas tiesības konstatēt atbildību pastiprinošu apstākli</w:t>
      </w:r>
    </w:p>
    <w:p w14:paraId="0EC028BD" w14:textId="7AB64F89" w:rsidR="0009600D" w:rsidRPr="000A0BEB" w:rsidRDefault="0009600D" w:rsidP="004B239C">
      <w:pPr>
        <w:pStyle w:val="Textbody"/>
        <w:tabs>
          <w:tab w:val="left" w:pos="0"/>
        </w:tabs>
        <w:spacing w:after="0" w:line="276" w:lineRule="auto"/>
        <w:rPr>
          <w:rFonts w:asciiTheme="majorBidi" w:hAnsiTheme="majorBidi" w:cstheme="majorBidi"/>
        </w:rPr>
      </w:pPr>
    </w:p>
    <w:p w14:paraId="66C94581" w14:textId="77777777" w:rsidR="000F27D5" w:rsidRPr="004B239C" w:rsidRDefault="0009600D" w:rsidP="007E036C">
      <w:pPr>
        <w:autoSpaceDE w:val="0"/>
        <w:autoSpaceDN w:val="0"/>
        <w:adjustRightInd w:val="0"/>
        <w:spacing w:line="276" w:lineRule="auto"/>
        <w:jc w:val="center"/>
        <w:rPr>
          <w:rFonts w:asciiTheme="majorBidi" w:hAnsiTheme="majorBidi" w:cstheme="majorBidi"/>
          <w:b/>
          <w:bCs/>
          <w:color w:val="000000"/>
        </w:rPr>
      </w:pPr>
      <w:r w:rsidRPr="004B239C">
        <w:rPr>
          <w:rFonts w:asciiTheme="majorBidi" w:hAnsiTheme="majorBidi" w:cstheme="majorBidi"/>
          <w:b/>
          <w:bCs/>
          <w:color w:val="000000"/>
        </w:rPr>
        <w:t>Latvijas Republikas Senāt</w:t>
      </w:r>
      <w:r w:rsidR="000F27D5" w:rsidRPr="004B239C">
        <w:rPr>
          <w:rFonts w:asciiTheme="majorBidi" w:hAnsiTheme="majorBidi" w:cstheme="majorBidi"/>
          <w:b/>
          <w:bCs/>
          <w:color w:val="000000"/>
        </w:rPr>
        <w:t xml:space="preserve">a </w:t>
      </w:r>
    </w:p>
    <w:p w14:paraId="44B3F8CA" w14:textId="77777777" w:rsidR="000F27D5" w:rsidRPr="004B239C" w:rsidRDefault="000F27D5" w:rsidP="007E036C">
      <w:pPr>
        <w:autoSpaceDE w:val="0"/>
        <w:autoSpaceDN w:val="0"/>
        <w:adjustRightInd w:val="0"/>
        <w:spacing w:line="276" w:lineRule="auto"/>
        <w:jc w:val="center"/>
        <w:rPr>
          <w:rFonts w:asciiTheme="majorBidi" w:hAnsiTheme="majorBidi" w:cstheme="majorBidi"/>
          <w:b/>
          <w:bCs/>
          <w:color w:val="000000"/>
        </w:rPr>
      </w:pPr>
      <w:r w:rsidRPr="004B239C">
        <w:rPr>
          <w:rFonts w:asciiTheme="majorBidi" w:hAnsiTheme="majorBidi" w:cstheme="majorBidi"/>
          <w:b/>
          <w:bCs/>
          <w:color w:val="000000"/>
        </w:rPr>
        <w:t>Krimināllietu departamenta</w:t>
      </w:r>
    </w:p>
    <w:p w14:paraId="7CE78CC9" w14:textId="3B7B6F45" w:rsidR="0009600D" w:rsidRPr="004B239C" w:rsidRDefault="000F27D5" w:rsidP="007E036C">
      <w:pPr>
        <w:autoSpaceDE w:val="0"/>
        <w:autoSpaceDN w:val="0"/>
        <w:adjustRightInd w:val="0"/>
        <w:spacing w:line="276" w:lineRule="auto"/>
        <w:jc w:val="center"/>
        <w:rPr>
          <w:rFonts w:asciiTheme="majorBidi" w:hAnsiTheme="majorBidi" w:cstheme="majorBidi"/>
          <w:b/>
          <w:bCs/>
          <w:color w:val="000000"/>
        </w:rPr>
      </w:pPr>
      <w:r w:rsidRPr="004B239C">
        <w:rPr>
          <w:rFonts w:asciiTheme="majorBidi" w:hAnsiTheme="majorBidi" w:cstheme="majorBidi"/>
          <w:b/>
          <w:bCs/>
          <w:color w:val="000000"/>
        </w:rPr>
        <w:t xml:space="preserve">2024. gada </w:t>
      </w:r>
      <w:r w:rsidR="00AF2A4F">
        <w:rPr>
          <w:rFonts w:asciiTheme="majorBidi" w:hAnsiTheme="majorBidi" w:cstheme="majorBidi"/>
          <w:b/>
          <w:bCs/>
          <w:color w:val="000000"/>
        </w:rPr>
        <w:t>[..]</w:t>
      </w:r>
    </w:p>
    <w:p w14:paraId="5A10E8B7" w14:textId="4FA55973" w:rsidR="0009600D" w:rsidRPr="004B239C" w:rsidRDefault="0009600D" w:rsidP="007E036C">
      <w:pPr>
        <w:autoSpaceDE w:val="0"/>
        <w:autoSpaceDN w:val="0"/>
        <w:adjustRightInd w:val="0"/>
        <w:spacing w:line="276" w:lineRule="auto"/>
        <w:jc w:val="center"/>
        <w:rPr>
          <w:rFonts w:asciiTheme="majorBidi" w:hAnsiTheme="majorBidi" w:cstheme="majorBidi"/>
          <w:b/>
          <w:bCs/>
          <w:noProof/>
          <w:color w:val="000000"/>
        </w:rPr>
      </w:pPr>
      <w:r w:rsidRPr="004B239C">
        <w:rPr>
          <w:rFonts w:asciiTheme="majorBidi" w:hAnsiTheme="majorBidi" w:cstheme="majorBidi"/>
          <w:b/>
          <w:bCs/>
          <w:color w:val="000000"/>
        </w:rPr>
        <w:t>LĒMUMS</w:t>
      </w:r>
      <w:r w:rsidR="000F27D5" w:rsidRPr="004B239C">
        <w:rPr>
          <w:rStyle w:val="FootnoteReference"/>
          <w:rFonts w:asciiTheme="majorBidi" w:hAnsiTheme="majorBidi" w:cstheme="majorBidi"/>
          <w:b/>
          <w:bCs/>
          <w:color w:val="000000"/>
        </w:rPr>
        <w:footnoteReference w:id="1"/>
      </w:r>
    </w:p>
    <w:p w14:paraId="55BC8B52" w14:textId="498FAA42" w:rsidR="0009600D" w:rsidRPr="004B239C" w:rsidRDefault="000F27D5" w:rsidP="007E036C">
      <w:pPr>
        <w:autoSpaceDE w:val="0"/>
        <w:autoSpaceDN w:val="0"/>
        <w:adjustRightInd w:val="0"/>
        <w:spacing w:line="276" w:lineRule="auto"/>
        <w:jc w:val="center"/>
        <w:rPr>
          <w:rFonts w:asciiTheme="majorBidi" w:hAnsiTheme="majorBidi" w:cstheme="majorBidi"/>
          <w:b/>
          <w:bCs/>
          <w:color w:val="000000"/>
        </w:rPr>
      </w:pPr>
      <w:r w:rsidRPr="004B239C">
        <w:rPr>
          <w:rFonts w:asciiTheme="majorBidi" w:hAnsiTheme="majorBidi" w:cstheme="majorBidi"/>
          <w:b/>
          <w:bCs/>
          <w:color w:val="000000"/>
        </w:rPr>
        <w:t>Lieta Nr. </w:t>
      </w:r>
      <w:r w:rsidR="004B239C">
        <w:rPr>
          <w:rFonts w:asciiTheme="majorBidi" w:hAnsiTheme="majorBidi" w:cstheme="majorBidi"/>
          <w:b/>
          <w:bCs/>
          <w:color w:val="2B2B2B"/>
          <w:shd w:val="clear" w:color="auto" w:fill="FFFFFF"/>
        </w:rPr>
        <w:t>[..]</w:t>
      </w:r>
      <w:r w:rsidRPr="004B239C">
        <w:rPr>
          <w:rFonts w:asciiTheme="majorBidi" w:hAnsiTheme="majorBidi" w:cstheme="majorBidi"/>
          <w:b/>
          <w:bCs/>
          <w:color w:val="000000"/>
        </w:rPr>
        <w:t>, SKK</w:t>
      </w:r>
      <w:r w:rsidRPr="004B239C">
        <w:rPr>
          <w:rFonts w:asciiTheme="majorBidi" w:hAnsiTheme="majorBidi" w:cstheme="majorBidi"/>
          <w:b/>
          <w:bCs/>
          <w:color w:val="000000"/>
        </w:rPr>
        <w:noBreakHyphen/>
      </w:r>
      <w:r w:rsidR="004B239C">
        <w:rPr>
          <w:rFonts w:asciiTheme="majorBidi" w:hAnsiTheme="majorBidi" w:cstheme="majorBidi"/>
          <w:b/>
          <w:bCs/>
          <w:color w:val="000000"/>
        </w:rPr>
        <w:t>[B]</w:t>
      </w:r>
      <w:r w:rsidRPr="004B239C">
        <w:rPr>
          <w:rFonts w:asciiTheme="majorBidi" w:hAnsiTheme="majorBidi" w:cstheme="majorBidi"/>
          <w:b/>
          <w:bCs/>
          <w:color w:val="000000"/>
        </w:rPr>
        <w:t>/2024</w:t>
      </w:r>
    </w:p>
    <w:p w14:paraId="07AEBE4B" w14:textId="521FB722" w:rsidR="004B239C" w:rsidRPr="004B239C" w:rsidRDefault="004B239C" w:rsidP="007E036C">
      <w:pPr>
        <w:autoSpaceDE w:val="0"/>
        <w:autoSpaceDN w:val="0"/>
        <w:adjustRightInd w:val="0"/>
        <w:spacing w:line="276" w:lineRule="auto"/>
        <w:jc w:val="center"/>
        <w:rPr>
          <w:rFonts w:asciiTheme="majorBidi" w:hAnsiTheme="majorBidi" w:cstheme="majorBidi"/>
          <w:color w:val="000000"/>
        </w:rPr>
      </w:pPr>
      <w:r w:rsidRPr="004B239C">
        <w:rPr>
          <w:rFonts w:asciiTheme="majorBidi" w:hAnsiTheme="majorBidi" w:cstheme="majorBidi"/>
          <w:color w:val="000000"/>
          <w:shd w:val="clear" w:color="auto" w:fill="FFFFFF"/>
        </w:rPr>
        <w:t>ECLI:LV:AT:2024:</w:t>
      </w:r>
      <w:r>
        <w:rPr>
          <w:rFonts w:asciiTheme="majorBidi" w:hAnsiTheme="majorBidi" w:cstheme="majorBidi"/>
          <w:color w:val="000000"/>
          <w:shd w:val="clear" w:color="auto" w:fill="FFFFFF"/>
        </w:rPr>
        <w:t>[..]</w:t>
      </w:r>
    </w:p>
    <w:p w14:paraId="6B8B4F35" w14:textId="77777777" w:rsidR="0003340A" w:rsidRPr="00C91FEC"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3FB78854" w:rsidR="0003340A" w:rsidRPr="007E036C" w:rsidRDefault="007C5F15" w:rsidP="00E95249">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w:t>
      </w:r>
      <w:r w:rsidR="00CC1289">
        <w:rPr>
          <w:rFonts w:asciiTheme="majorBidi" w:hAnsiTheme="majorBidi" w:cstheme="majorBidi"/>
          <w:color w:val="000000"/>
        </w:rPr>
        <w:t>enāts</w:t>
      </w:r>
      <w:r w:rsidR="0009600D" w:rsidRPr="007E036C">
        <w:rPr>
          <w:rFonts w:asciiTheme="majorBidi" w:hAnsiTheme="majorBidi" w:cstheme="majorBidi"/>
          <w:color w:val="000000"/>
        </w:rPr>
        <w:t xml:space="preserve"> šādā sastāvā: senator</w:t>
      </w:r>
      <w:r w:rsidR="00526E55">
        <w:rPr>
          <w:rFonts w:asciiTheme="majorBidi" w:hAnsiTheme="majorBidi" w:cstheme="majorBidi"/>
          <w:color w:val="000000"/>
        </w:rPr>
        <w:t>e referente</w:t>
      </w:r>
      <w:r w:rsidR="0009600D" w:rsidRPr="007E036C">
        <w:rPr>
          <w:rFonts w:asciiTheme="majorBidi" w:hAnsiTheme="majorBidi" w:cstheme="majorBidi"/>
          <w:color w:val="000000"/>
        </w:rPr>
        <w:t xml:space="preserve"> </w:t>
      </w:r>
      <w:r w:rsidR="0003340A" w:rsidRPr="007E036C">
        <w:rPr>
          <w:rFonts w:asciiTheme="majorBidi" w:hAnsiTheme="majorBidi" w:cstheme="majorBidi"/>
          <w:color w:val="000000"/>
        </w:rPr>
        <w:t>Irīna Jansone</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sidR="00526E55">
        <w:rPr>
          <w:rFonts w:asciiTheme="majorBidi" w:hAnsiTheme="majorBidi" w:cstheme="majorBidi"/>
          <w:color w:val="000000"/>
        </w:rPr>
        <w:t>senator</w:t>
      </w:r>
      <w:r w:rsidR="004705FA">
        <w:rPr>
          <w:rFonts w:asciiTheme="majorBidi" w:hAnsiTheme="majorBidi" w:cstheme="majorBidi"/>
          <w:color w:val="000000"/>
        </w:rPr>
        <w:t xml:space="preserve">i </w:t>
      </w:r>
      <w:r w:rsidR="00197DE2">
        <w:rPr>
          <w:rFonts w:asciiTheme="majorBidi" w:hAnsiTheme="majorBidi" w:cstheme="majorBidi"/>
          <w:color w:val="000000"/>
        </w:rPr>
        <w:t>Inguna Radzeviča</w:t>
      </w:r>
      <w:r w:rsidR="00EA6A9E">
        <w:rPr>
          <w:rFonts w:asciiTheme="majorBidi" w:hAnsiTheme="majorBidi" w:cstheme="majorBidi"/>
          <w:color w:val="000000"/>
        </w:rPr>
        <w:t xml:space="preserve"> un Aivars Uminskis</w:t>
      </w:r>
    </w:p>
    <w:p w14:paraId="2DC9E866" w14:textId="77777777" w:rsidR="00484808" w:rsidRPr="007E036C" w:rsidRDefault="00484808" w:rsidP="00E95249">
      <w:pPr>
        <w:spacing w:line="276" w:lineRule="auto"/>
        <w:ind w:firstLine="720"/>
        <w:jc w:val="both"/>
        <w:rPr>
          <w:rFonts w:asciiTheme="majorBidi" w:hAnsiTheme="majorBidi" w:cstheme="majorBidi"/>
        </w:rPr>
      </w:pPr>
    </w:p>
    <w:p w14:paraId="3583FBCB" w14:textId="132EA009" w:rsidR="003A7EF6" w:rsidRDefault="00383188" w:rsidP="00E95249">
      <w:pPr>
        <w:spacing w:line="276" w:lineRule="auto"/>
        <w:ind w:firstLine="720"/>
        <w:jc w:val="both"/>
        <w:rPr>
          <w:rFonts w:asciiTheme="majorBidi" w:hAnsiTheme="majorBidi" w:cstheme="majorBidi"/>
          <w:color w:val="000000"/>
        </w:rPr>
      </w:pPr>
      <w:r>
        <w:rPr>
          <w:rFonts w:asciiTheme="majorBidi" w:hAnsiTheme="majorBidi" w:cstheme="majorBidi"/>
          <w:color w:val="000000"/>
        </w:rPr>
        <w:t>i</w:t>
      </w:r>
      <w:r w:rsidR="00C53047">
        <w:rPr>
          <w:rFonts w:asciiTheme="majorBidi" w:hAnsiTheme="majorBidi" w:cstheme="majorBidi"/>
          <w:color w:val="000000"/>
        </w:rPr>
        <w:t xml:space="preserve">zskatīja rakstveida procesā krimināllietu sakarā ar </w:t>
      </w:r>
      <w:r w:rsidR="004B239C">
        <w:rPr>
          <w:rFonts w:asciiTheme="majorBidi" w:hAnsiTheme="majorBidi" w:cstheme="majorBidi"/>
          <w:color w:val="000000"/>
        </w:rPr>
        <w:t>[..]</w:t>
      </w:r>
      <w:r w:rsidR="00EA6A9E">
        <w:rPr>
          <w:rFonts w:asciiTheme="majorBidi" w:hAnsiTheme="majorBidi" w:cstheme="majorBidi"/>
          <w:color w:val="000000"/>
        </w:rPr>
        <w:t xml:space="preserve"> prokuratūras</w:t>
      </w:r>
      <w:r w:rsidR="004705FA">
        <w:rPr>
          <w:rFonts w:asciiTheme="majorBidi" w:hAnsiTheme="majorBidi" w:cstheme="majorBidi"/>
          <w:color w:val="000000"/>
        </w:rPr>
        <w:t xml:space="preserve"> </w:t>
      </w:r>
      <w:r w:rsidR="00EA6A9E">
        <w:rPr>
          <w:rFonts w:asciiTheme="majorBidi" w:hAnsiTheme="majorBidi" w:cstheme="majorBidi"/>
          <w:color w:val="000000"/>
        </w:rPr>
        <w:t>prokurora</w:t>
      </w:r>
      <w:r w:rsidR="004705FA">
        <w:rPr>
          <w:rFonts w:asciiTheme="majorBidi" w:hAnsiTheme="majorBidi" w:cstheme="majorBidi"/>
          <w:color w:val="000000"/>
        </w:rPr>
        <w:t xml:space="preserve"> </w:t>
      </w:r>
      <w:r w:rsidR="00EA6A9E">
        <w:rPr>
          <w:rFonts w:asciiTheme="majorBidi" w:hAnsiTheme="majorBidi" w:cstheme="majorBidi"/>
          <w:color w:val="000000"/>
        </w:rPr>
        <w:t xml:space="preserve">Silvestra Sebra </w:t>
      </w:r>
      <w:r w:rsidR="004705FA">
        <w:rPr>
          <w:rFonts w:asciiTheme="majorBidi" w:hAnsiTheme="majorBidi" w:cstheme="majorBidi"/>
          <w:color w:val="000000"/>
        </w:rPr>
        <w:t xml:space="preserve">kasācijas </w:t>
      </w:r>
      <w:r w:rsidR="00EA6A9E">
        <w:rPr>
          <w:rFonts w:asciiTheme="majorBidi" w:hAnsiTheme="majorBidi" w:cstheme="majorBidi"/>
          <w:color w:val="000000"/>
        </w:rPr>
        <w:t>protestu</w:t>
      </w:r>
      <w:r w:rsidR="004705FA" w:rsidRPr="007E036C">
        <w:rPr>
          <w:rFonts w:asciiTheme="majorBidi" w:hAnsiTheme="majorBidi" w:cstheme="majorBidi"/>
          <w:color w:val="000000"/>
        </w:rPr>
        <w:t xml:space="preserve"> par </w:t>
      </w:r>
      <w:r w:rsidR="004B239C">
        <w:rPr>
          <w:rFonts w:asciiTheme="majorBidi" w:hAnsiTheme="majorBidi" w:cstheme="majorBidi"/>
          <w:color w:val="000000"/>
        </w:rPr>
        <w:t>[..]</w:t>
      </w:r>
      <w:r w:rsidR="004705FA">
        <w:rPr>
          <w:rFonts w:asciiTheme="majorBidi" w:hAnsiTheme="majorBidi" w:cstheme="majorBidi"/>
          <w:color w:val="000000"/>
        </w:rPr>
        <w:t xml:space="preserve"> apgabal</w:t>
      </w:r>
      <w:r w:rsidR="004705FA" w:rsidRPr="007E036C">
        <w:rPr>
          <w:rFonts w:asciiTheme="majorBidi" w:hAnsiTheme="majorBidi" w:cstheme="majorBidi"/>
          <w:color w:val="000000"/>
        </w:rPr>
        <w:t>tiesas 202</w:t>
      </w:r>
      <w:r w:rsidR="00EC3C71">
        <w:rPr>
          <w:rFonts w:asciiTheme="majorBidi" w:hAnsiTheme="majorBidi" w:cstheme="majorBidi"/>
          <w:color w:val="000000"/>
        </w:rPr>
        <w:t>3</w:t>
      </w:r>
      <w:r w:rsidR="004705FA">
        <w:rPr>
          <w:rFonts w:asciiTheme="majorBidi" w:hAnsiTheme="majorBidi" w:cstheme="majorBidi"/>
          <w:color w:val="000000"/>
        </w:rPr>
        <w:t>. gada</w:t>
      </w:r>
      <w:r w:rsidR="004705FA" w:rsidRPr="007E036C">
        <w:rPr>
          <w:rFonts w:asciiTheme="majorBidi" w:hAnsiTheme="majorBidi" w:cstheme="majorBidi"/>
          <w:color w:val="000000"/>
        </w:rPr>
        <w:t xml:space="preserve"> </w:t>
      </w:r>
      <w:r w:rsidR="004B239C">
        <w:rPr>
          <w:rFonts w:asciiTheme="majorBidi" w:hAnsiTheme="majorBidi" w:cstheme="majorBidi"/>
          <w:color w:val="000000"/>
        </w:rPr>
        <w:t>[..]</w:t>
      </w:r>
      <w:r w:rsidR="004705FA" w:rsidRPr="007E036C">
        <w:rPr>
          <w:rFonts w:asciiTheme="majorBidi" w:hAnsiTheme="majorBidi" w:cstheme="majorBidi"/>
          <w:color w:val="000000"/>
        </w:rPr>
        <w:t xml:space="preserve"> </w:t>
      </w:r>
      <w:r w:rsidR="004705FA">
        <w:rPr>
          <w:rFonts w:asciiTheme="majorBidi" w:hAnsiTheme="majorBidi" w:cstheme="majorBidi"/>
          <w:color w:val="000000"/>
        </w:rPr>
        <w:t>spriedumu</w:t>
      </w:r>
      <w:r w:rsidR="003A7EF6">
        <w:rPr>
          <w:rFonts w:asciiTheme="majorBidi" w:hAnsiTheme="majorBidi" w:cstheme="majorBidi"/>
          <w:color w:val="000000"/>
        </w:rPr>
        <w:t>.</w:t>
      </w:r>
    </w:p>
    <w:p w14:paraId="1D2B7125" w14:textId="77777777" w:rsidR="003A7EF6" w:rsidRDefault="003A7EF6" w:rsidP="00E95249">
      <w:pPr>
        <w:spacing w:line="276" w:lineRule="auto"/>
        <w:ind w:firstLine="720"/>
        <w:jc w:val="both"/>
        <w:rPr>
          <w:rFonts w:asciiTheme="majorBidi" w:hAnsiTheme="majorBidi" w:cstheme="majorBidi"/>
          <w:color w:val="000000"/>
        </w:rPr>
      </w:pPr>
    </w:p>
    <w:p w14:paraId="6BE058C8" w14:textId="79EBFE76" w:rsidR="003546A5" w:rsidRDefault="003A7EF6" w:rsidP="00CC1289">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B06A6" w:rsidRDefault="003A7EF6" w:rsidP="00E95249">
      <w:pPr>
        <w:spacing w:line="276" w:lineRule="auto"/>
        <w:ind w:firstLine="720"/>
        <w:jc w:val="both"/>
        <w:rPr>
          <w:rFonts w:asciiTheme="majorBidi" w:hAnsiTheme="majorBidi" w:cstheme="majorBidi"/>
          <w:bCs/>
        </w:rPr>
      </w:pPr>
    </w:p>
    <w:p w14:paraId="6AA99CB4" w14:textId="4519E17F" w:rsidR="00637B32" w:rsidRDefault="007605A9" w:rsidP="00E95249">
      <w:pPr>
        <w:widowControl/>
        <w:suppressAutoHyphens w:val="0"/>
        <w:spacing w:after="10" w:line="276" w:lineRule="auto"/>
        <w:ind w:right="6" w:firstLine="720"/>
        <w:jc w:val="both"/>
      </w:pPr>
      <w:r w:rsidRPr="00231AA4">
        <w:rPr>
          <w:rFonts w:asciiTheme="majorBidi" w:hAnsiTheme="majorBidi" w:cstheme="majorBidi"/>
          <w:color w:val="000000"/>
        </w:rPr>
        <w:t>[1</w:t>
      </w:r>
      <w:r w:rsidR="00E02876">
        <w:rPr>
          <w:rFonts w:asciiTheme="majorBidi" w:hAnsiTheme="majorBidi" w:cstheme="majorBidi"/>
          <w:color w:val="000000"/>
        </w:rPr>
        <w:t>] </w:t>
      </w:r>
      <w:r w:rsidR="00637B32">
        <w:t xml:space="preserve">Ar </w:t>
      </w:r>
      <w:r w:rsidR="004B239C">
        <w:t>[rajona (pilsētas)]</w:t>
      </w:r>
      <w:r w:rsidR="00637B32">
        <w:t xml:space="preserve"> tiesas 20</w:t>
      </w:r>
      <w:r w:rsidR="004705FA">
        <w:t>22</w:t>
      </w:r>
      <w:r w:rsidR="00637B32">
        <w:t xml:space="preserve">. gada </w:t>
      </w:r>
      <w:r w:rsidR="004B239C">
        <w:t>[..]</w:t>
      </w:r>
      <w:r w:rsidR="00637B32">
        <w:t xml:space="preserve"> spriedumu</w:t>
      </w:r>
    </w:p>
    <w:p w14:paraId="000DC4DB" w14:textId="403A3CFD" w:rsidR="00EC3C71" w:rsidRDefault="004B239C" w:rsidP="004B239C">
      <w:pPr>
        <w:widowControl/>
        <w:suppressAutoHyphens w:val="0"/>
        <w:spacing w:after="10" w:line="276" w:lineRule="auto"/>
        <w:ind w:right="6" w:firstLine="720"/>
        <w:jc w:val="both"/>
      </w:pPr>
      <w:r>
        <w:rPr>
          <w:rFonts w:ascii="TimesNewRomanPSMT" w:eastAsiaTheme="minorHAnsi" w:hAnsi="TimesNewRomanPSMT" w:cs="TimesNewRomanPSMT"/>
          <w:kern w:val="0"/>
          <w:lang w:eastAsia="en-US" w:bidi="ar-SA"/>
        </w:rPr>
        <w:t>[pers. </w:t>
      </w:r>
      <w:r>
        <w:t>A]</w:t>
      </w:r>
      <w:r w:rsidR="00637B32">
        <w:t xml:space="preserve">, personas kods </w:t>
      </w:r>
      <w:r>
        <w:t>[..]</w:t>
      </w:r>
      <w:r w:rsidR="00637B32">
        <w:t>,</w:t>
      </w:r>
    </w:p>
    <w:p w14:paraId="6CED20FC" w14:textId="7F8AE148" w:rsidR="00EC3C71" w:rsidRDefault="00637B32" w:rsidP="00E95249">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t>atzīt</w:t>
      </w:r>
      <w:r w:rsidR="00EC3C71">
        <w:t xml:space="preserve">a </w:t>
      </w:r>
      <w:r w:rsidR="00EC3C71" w:rsidRPr="00231AA4">
        <w:rPr>
          <w:rFonts w:ascii="TimesNewRomanPSMT" w:eastAsiaTheme="minorHAnsi" w:hAnsi="TimesNewRomanPSMT" w:cs="TimesNewRomanPSMT"/>
          <w:kern w:val="0"/>
          <w:lang w:eastAsia="en-US" w:bidi="ar-SA"/>
        </w:rPr>
        <w:t xml:space="preserve">par vainīgu Krimināllikuma </w:t>
      </w:r>
      <w:r w:rsidR="00EC3C71">
        <w:rPr>
          <w:rFonts w:ascii="TimesNewRomanPSMT" w:eastAsiaTheme="minorHAnsi" w:hAnsi="TimesNewRomanPSMT" w:cs="TimesNewRomanPSMT"/>
          <w:kern w:val="0"/>
          <w:lang w:eastAsia="en-US" w:bidi="ar-SA"/>
        </w:rPr>
        <w:t>125</w:t>
      </w:r>
      <w:r w:rsidR="00EC3C71" w:rsidRPr="00231AA4">
        <w:rPr>
          <w:rFonts w:ascii="TimesNewRomanPSMT" w:eastAsiaTheme="minorHAnsi" w:hAnsi="TimesNewRomanPSMT" w:cs="TimesNewRomanPSMT"/>
          <w:kern w:val="0"/>
          <w:lang w:eastAsia="en-US" w:bidi="ar-SA"/>
        </w:rPr>
        <w:t>.</w:t>
      </w:r>
      <w:r w:rsidR="00EC3C71">
        <w:rPr>
          <w:rFonts w:ascii="TimesNewRomanPSMT" w:eastAsiaTheme="minorHAnsi" w:hAnsi="TimesNewRomanPSMT" w:cs="TimesNewRomanPSMT"/>
          <w:kern w:val="0"/>
          <w:lang w:eastAsia="en-US" w:bidi="ar-SA"/>
        </w:rPr>
        <w:t> </w:t>
      </w:r>
      <w:r w:rsidR="00EC3C71" w:rsidRPr="00231AA4">
        <w:rPr>
          <w:rFonts w:ascii="TimesNewRomanPSMT" w:eastAsiaTheme="minorHAnsi" w:hAnsi="TimesNewRomanPSMT" w:cs="TimesNewRomanPSMT"/>
          <w:kern w:val="0"/>
          <w:lang w:eastAsia="en-US" w:bidi="ar-SA"/>
        </w:rPr>
        <w:t xml:space="preserve">panta </w:t>
      </w:r>
      <w:r w:rsidR="00EC3C71">
        <w:rPr>
          <w:rFonts w:ascii="TimesNewRomanPSMT" w:eastAsiaTheme="minorHAnsi" w:hAnsi="TimesNewRomanPSMT" w:cs="TimesNewRomanPSMT"/>
          <w:kern w:val="0"/>
          <w:lang w:eastAsia="en-US" w:bidi="ar-SA"/>
        </w:rPr>
        <w:t>trešajā</w:t>
      </w:r>
      <w:r w:rsidR="00EC3C71" w:rsidRPr="00231AA4">
        <w:rPr>
          <w:rFonts w:ascii="TimesNewRomanPSMT" w:eastAsiaTheme="minorHAnsi" w:hAnsi="TimesNewRomanPSMT" w:cs="TimesNewRomanPSMT"/>
          <w:kern w:val="0"/>
          <w:lang w:eastAsia="en-US" w:bidi="ar-SA"/>
        </w:rPr>
        <w:t xml:space="preserve"> daļā paredzētajā noziedzīgajā</w:t>
      </w:r>
      <w:r w:rsidR="00EC3C71">
        <w:rPr>
          <w:rFonts w:ascii="TimesNewRomanPSMT" w:eastAsiaTheme="minorHAnsi" w:hAnsi="TimesNewRomanPSMT" w:cs="TimesNewRomanPSMT"/>
          <w:kern w:val="0"/>
          <w:lang w:eastAsia="en-US" w:bidi="ar-SA"/>
        </w:rPr>
        <w:t xml:space="preserve"> </w:t>
      </w:r>
      <w:r w:rsidR="00EC3C71" w:rsidRPr="00231AA4">
        <w:rPr>
          <w:rFonts w:ascii="TimesNewRomanPSMT" w:eastAsiaTheme="minorHAnsi" w:hAnsi="TimesNewRomanPSMT" w:cs="TimesNewRomanPSMT"/>
          <w:kern w:val="0"/>
          <w:lang w:eastAsia="en-US" w:bidi="ar-SA"/>
        </w:rPr>
        <w:t>nodarījumā un sodīt</w:t>
      </w:r>
      <w:r w:rsidR="00EC3C71">
        <w:rPr>
          <w:rFonts w:ascii="TimesNewRomanPSMT" w:eastAsiaTheme="minorHAnsi" w:hAnsi="TimesNewRomanPSMT" w:cs="TimesNewRomanPSMT"/>
          <w:kern w:val="0"/>
          <w:lang w:eastAsia="en-US" w:bidi="ar-SA"/>
        </w:rPr>
        <w:t>a</w:t>
      </w:r>
      <w:r w:rsidR="00EC3C71" w:rsidRPr="00231AA4">
        <w:rPr>
          <w:rFonts w:ascii="TimesNewRomanPSMT" w:eastAsiaTheme="minorHAnsi" w:hAnsi="TimesNewRomanPSMT" w:cs="TimesNewRomanPSMT"/>
          <w:kern w:val="0"/>
          <w:lang w:eastAsia="en-US" w:bidi="ar-SA"/>
        </w:rPr>
        <w:t xml:space="preserve"> ar brīvības atņemšanu uz </w:t>
      </w:r>
      <w:r w:rsidR="00EC3C71">
        <w:rPr>
          <w:rFonts w:ascii="TimesNewRomanPSMT" w:eastAsiaTheme="minorHAnsi" w:hAnsi="TimesNewRomanPSMT" w:cs="TimesNewRomanPSMT"/>
          <w:kern w:val="0"/>
          <w:lang w:eastAsia="en-US" w:bidi="ar-SA"/>
        </w:rPr>
        <w:t>3</w:t>
      </w:r>
      <w:r w:rsidR="004441E1">
        <w:rPr>
          <w:rFonts w:ascii="TimesNewRomanPSMT" w:eastAsiaTheme="minorHAnsi" w:hAnsi="TimesNewRomanPSMT" w:cs="TimesNewRomanPSMT"/>
          <w:kern w:val="0"/>
          <w:lang w:eastAsia="en-US" w:bidi="ar-SA"/>
        </w:rPr>
        <w:t> </w:t>
      </w:r>
      <w:r w:rsidR="00EC3C71">
        <w:rPr>
          <w:rFonts w:ascii="TimesNewRomanPSMT" w:eastAsiaTheme="minorHAnsi" w:hAnsi="TimesNewRomanPSMT" w:cs="TimesNewRomanPSMT"/>
          <w:kern w:val="0"/>
          <w:lang w:eastAsia="en-US" w:bidi="ar-SA"/>
        </w:rPr>
        <w:t>gadiem 6</w:t>
      </w:r>
      <w:r w:rsidR="004441E1">
        <w:rPr>
          <w:rFonts w:ascii="TimesNewRomanPSMT" w:eastAsiaTheme="minorHAnsi" w:hAnsi="TimesNewRomanPSMT" w:cs="TimesNewRomanPSMT"/>
          <w:kern w:val="0"/>
          <w:lang w:eastAsia="en-US" w:bidi="ar-SA"/>
        </w:rPr>
        <w:t> </w:t>
      </w:r>
      <w:r w:rsidR="00EC3C71">
        <w:rPr>
          <w:rFonts w:ascii="TimesNewRomanPSMT" w:eastAsiaTheme="minorHAnsi" w:hAnsi="TimesNewRomanPSMT" w:cs="TimesNewRomanPSMT"/>
          <w:kern w:val="0"/>
          <w:lang w:eastAsia="en-US" w:bidi="ar-SA"/>
        </w:rPr>
        <w:t>mēnešiem un probācijas uzraudzību uz 1</w:t>
      </w:r>
      <w:r w:rsidR="00ED71B6">
        <w:rPr>
          <w:rFonts w:ascii="TimesNewRomanPSMT" w:eastAsiaTheme="minorHAnsi" w:hAnsi="TimesNewRomanPSMT" w:cs="TimesNewRomanPSMT"/>
          <w:kern w:val="0"/>
          <w:lang w:eastAsia="en-US" w:bidi="ar-SA"/>
        </w:rPr>
        <w:t> </w:t>
      </w:r>
      <w:r w:rsidR="00EC3C71">
        <w:rPr>
          <w:rFonts w:ascii="TimesNewRomanPSMT" w:eastAsiaTheme="minorHAnsi" w:hAnsi="TimesNewRomanPSMT" w:cs="TimesNewRomanPSMT"/>
          <w:kern w:val="0"/>
          <w:lang w:eastAsia="en-US" w:bidi="ar-SA"/>
        </w:rPr>
        <w:t>gadu 6</w:t>
      </w:r>
      <w:r w:rsidR="00ED71B6">
        <w:rPr>
          <w:rFonts w:ascii="TimesNewRomanPSMT" w:eastAsiaTheme="minorHAnsi" w:hAnsi="TimesNewRomanPSMT" w:cs="TimesNewRomanPSMT"/>
          <w:kern w:val="0"/>
          <w:lang w:eastAsia="en-US" w:bidi="ar-SA"/>
        </w:rPr>
        <w:t> </w:t>
      </w:r>
      <w:r w:rsidR="00EC3C71">
        <w:rPr>
          <w:rFonts w:ascii="TimesNewRomanPSMT" w:eastAsiaTheme="minorHAnsi" w:hAnsi="TimesNewRomanPSMT" w:cs="TimesNewRomanPSMT"/>
          <w:kern w:val="0"/>
          <w:lang w:eastAsia="en-US" w:bidi="ar-SA"/>
        </w:rPr>
        <w:t>mēnešiem.</w:t>
      </w:r>
    </w:p>
    <w:p w14:paraId="5E5E2354" w14:textId="77777777" w:rsidR="00EC3C71" w:rsidRDefault="00EC3C71" w:rsidP="00E95249">
      <w:pPr>
        <w:widowControl/>
        <w:suppressAutoHyphens w:val="0"/>
        <w:spacing w:after="10" w:line="276" w:lineRule="auto"/>
        <w:ind w:right="6" w:firstLine="720"/>
        <w:jc w:val="both"/>
      </w:pPr>
    </w:p>
    <w:p w14:paraId="211590A2" w14:textId="0B65C359" w:rsidR="002F19A4" w:rsidRDefault="00637B32" w:rsidP="00E95249">
      <w:pPr>
        <w:widowControl/>
        <w:suppressAutoHyphens w:val="0"/>
        <w:spacing w:after="10" w:line="276" w:lineRule="auto"/>
        <w:ind w:right="6" w:firstLine="720"/>
        <w:jc w:val="both"/>
      </w:pPr>
      <w:r>
        <w:rPr>
          <w:rFonts w:ascii="TimesNewRomanPSMT" w:eastAsiaTheme="minorHAnsi" w:hAnsi="TimesNewRomanPSMT" w:cs="TimesNewRomanPSMT"/>
          <w:kern w:val="0"/>
          <w:lang w:eastAsia="en-US" w:bidi="ar-SA"/>
        </w:rPr>
        <w:t>[2] </w:t>
      </w:r>
      <w:r>
        <w:t xml:space="preserve">Ar </w:t>
      </w:r>
      <w:r w:rsidR="00152719">
        <w:t>pirmās instances tiesas</w:t>
      </w:r>
      <w:r>
        <w:t xml:space="preserve"> spriedumu </w:t>
      </w:r>
      <w:r w:rsidR="004B239C">
        <w:t>[pers. A]</w:t>
      </w:r>
      <w:r w:rsidR="00EC3C71">
        <w:t xml:space="preserve"> </w:t>
      </w:r>
      <w:r w:rsidR="00EC3C71" w:rsidRPr="00231AA4">
        <w:rPr>
          <w:rFonts w:ascii="TimesNewRomanPSMT" w:eastAsiaTheme="minorHAnsi" w:hAnsi="TimesNewRomanPSMT" w:cs="TimesNewRomanPSMT"/>
          <w:kern w:val="0"/>
          <w:lang w:eastAsia="en-US" w:bidi="ar-SA"/>
        </w:rPr>
        <w:t>atzīt</w:t>
      </w:r>
      <w:r w:rsidR="00EC3C71">
        <w:rPr>
          <w:rFonts w:ascii="TimesNewRomanPSMT" w:eastAsiaTheme="minorHAnsi" w:hAnsi="TimesNewRomanPSMT" w:cs="TimesNewRomanPSMT"/>
          <w:kern w:val="0"/>
          <w:lang w:eastAsia="en-US" w:bidi="ar-SA"/>
        </w:rPr>
        <w:t>a</w:t>
      </w:r>
      <w:r w:rsidR="00EC3C71" w:rsidRPr="00231AA4">
        <w:rPr>
          <w:rFonts w:ascii="TimesNewRomanPSMT" w:eastAsiaTheme="minorHAnsi" w:hAnsi="TimesNewRomanPSMT" w:cs="TimesNewRomanPSMT"/>
          <w:kern w:val="0"/>
          <w:lang w:eastAsia="en-US" w:bidi="ar-SA"/>
        </w:rPr>
        <w:t xml:space="preserve"> par</w:t>
      </w:r>
      <w:r w:rsidR="00EC3C71">
        <w:rPr>
          <w:rFonts w:ascii="TimesNewRomanPSMT" w:eastAsiaTheme="minorHAnsi" w:hAnsi="TimesNewRomanPSMT" w:cs="TimesNewRomanPSMT"/>
          <w:kern w:val="0"/>
          <w:lang w:eastAsia="en-US" w:bidi="ar-SA"/>
        </w:rPr>
        <w:t xml:space="preserve"> </w:t>
      </w:r>
      <w:r w:rsidR="00EC3C71" w:rsidRPr="00231AA4">
        <w:rPr>
          <w:rFonts w:ascii="TimesNewRomanPSMT" w:eastAsiaTheme="minorHAnsi" w:hAnsi="TimesNewRomanPSMT" w:cs="TimesNewRomanPSMT"/>
          <w:kern w:val="0"/>
          <w:lang w:eastAsia="en-US" w:bidi="ar-SA"/>
        </w:rPr>
        <w:t>vainīg</w:t>
      </w:r>
      <w:r w:rsidR="00EC3C71">
        <w:rPr>
          <w:rFonts w:ascii="TimesNewRomanPSMT" w:eastAsiaTheme="minorHAnsi" w:hAnsi="TimesNewRomanPSMT" w:cs="TimesNewRomanPSMT"/>
          <w:kern w:val="0"/>
          <w:lang w:eastAsia="en-US" w:bidi="ar-SA"/>
        </w:rPr>
        <w:t>u un sodīta pēc Krimināllikuma 125. panta</w:t>
      </w:r>
      <w:r w:rsidR="00EC3C71" w:rsidRPr="00231AA4">
        <w:rPr>
          <w:rFonts w:ascii="TimesNewRomanPSMT" w:eastAsiaTheme="minorHAnsi" w:hAnsi="TimesNewRomanPSMT" w:cs="TimesNewRomanPSMT"/>
          <w:kern w:val="0"/>
          <w:lang w:eastAsia="en-US" w:bidi="ar-SA"/>
        </w:rPr>
        <w:t xml:space="preserve"> </w:t>
      </w:r>
      <w:r w:rsidR="00EC3C71">
        <w:rPr>
          <w:rFonts w:ascii="TimesNewRomanPSMT" w:eastAsiaTheme="minorHAnsi" w:hAnsi="TimesNewRomanPSMT" w:cs="TimesNewRomanPSMT"/>
          <w:kern w:val="0"/>
          <w:lang w:eastAsia="en-US" w:bidi="ar-SA"/>
        </w:rPr>
        <w:t>treš</w:t>
      </w:r>
      <w:r w:rsidR="00A0052E">
        <w:rPr>
          <w:rFonts w:ascii="TimesNewRomanPSMT" w:eastAsiaTheme="minorHAnsi" w:hAnsi="TimesNewRomanPSMT" w:cs="TimesNewRomanPSMT"/>
          <w:kern w:val="0"/>
          <w:lang w:eastAsia="en-US" w:bidi="ar-SA"/>
        </w:rPr>
        <w:t xml:space="preserve">ās </w:t>
      </w:r>
      <w:r w:rsidR="00EC3C71" w:rsidRPr="00231AA4">
        <w:rPr>
          <w:rFonts w:ascii="TimesNewRomanPSMT" w:eastAsiaTheme="minorHAnsi" w:hAnsi="TimesNewRomanPSMT" w:cs="TimesNewRomanPSMT"/>
          <w:kern w:val="0"/>
          <w:lang w:eastAsia="en-US" w:bidi="ar-SA"/>
        </w:rPr>
        <w:t>daļas</w:t>
      </w:r>
      <w:r w:rsidR="00EC3C71">
        <w:rPr>
          <w:rFonts w:ascii="TimesNewRomanPSMT" w:eastAsiaTheme="minorHAnsi" w:hAnsi="TimesNewRomanPSMT" w:cs="TimesNewRomanPSMT"/>
          <w:kern w:val="0"/>
          <w:lang w:eastAsia="en-US" w:bidi="ar-SA"/>
        </w:rPr>
        <w:t xml:space="preserve"> par tīšu smagu miesas bojājumu nodarīšanu, kas </w:t>
      </w:r>
      <w:r w:rsidR="000D2F44">
        <w:rPr>
          <w:rFonts w:ascii="TimesNewRomanPSMT" w:eastAsiaTheme="minorHAnsi" w:hAnsi="TimesNewRomanPSMT" w:cs="TimesNewRomanPSMT"/>
          <w:kern w:val="0"/>
          <w:lang w:eastAsia="en-US" w:bidi="ar-SA"/>
        </w:rPr>
        <w:t>viņas</w:t>
      </w:r>
      <w:r w:rsidR="00EC3C71">
        <w:rPr>
          <w:rFonts w:ascii="TimesNewRomanPSMT" w:eastAsiaTheme="minorHAnsi" w:hAnsi="TimesNewRomanPSMT" w:cs="TimesNewRomanPSMT"/>
          <w:kern w:val="0"/>
          <w:lang w:eastAsia="en-US" w:bidi="ar-SA"/>
        </w:rPr>
        <w:t xml:space="preserve"> neuzmanības dēļ bija par iemeslu cietušā nāvei.</w:t>
      </w:r>
    </w:p>
    <w:p w14:paraId="4E9C73BE" w14:textId="77777777" w:rsidR="002F19A4" w:rsidRPr="002F19A4" w:rsidRDefault="002F19A4" w:rsidP="00E95249">
      <w:pPr>
        <w:widowControl/>
        <w:suppressAutoHyphens w:val="0"/>
        <w:spacing w:after="10" w:line="276" w:lineRule="auto"/>
        <w:ind w:right="6" w:firstLine="720"/>
        <w:jc w:val="both"/>
      </w:pPr>
    </w:p>
    <w:p w14:paraId="542476AB" w14:textId="0A22D079" w:rsidR="00637B32" w:rsidRPr="00CC7010" w:rsidRDefault="00637B32" w:rsidP="004B239C">
      <w:pPr>
        <w:widowControl/>
        <w:suppressAutoHyphens w:val="0"/>
        <w:spacing w:after="10" w:line="268" w:lineRule="auto"/>
        <w:ind w:right="6" w:firstLine="720"/>
        <w:jc w:val="both"/>
      </w:pPr>
      <w:r>
        <w:t xml:space="preserve">[3] Ar </w:t>
      </w:r>
      <w:r w:rsidR="004B239C">
        <w:t>[..]</w:t>
      </w:r>
      <w:r>
        <w:t xml:space="preserve"> apgabaltiesas 202</w:t>
      </w:r>
      <w:r w:rsidR="002F19A4">
        <w:t>3</w:t>
      </w:r>
      <w:r>
        <w:t xml:space="preserve">. gada </w:t>
      </w:r>
      <w:r w:rsidR="004B239C">
        <w:t>[..]</w:t>
      </w:r>
      <w:r>
        <w:t xml:space="preserve"> </w:t>
      </w:r>
      <w:r w:rsidR="00B474B1">
        <w:t>spriedumu</w:t>
      </w:r>
      <w:r>
        <w:t xml:space="preserve">, izskatot krimināllietu apelācijas kārtībā sakarā ar </w:t>
      </w:r>
      <w:r w:rsidR="002F19A4">
        <w:t xml:space="preserve">apsūdzētās </w:t>
      </w:r>
      <w:r w:rsidR="004B239C">
        <w:t>[pers. A]</w:t>
      </w:r>
      <w:r w:rsidR="002F19A4">
        <w:t xml:space="preserve"> aizstāvja zvērināta advokāta Normunda </w:t>
      </w:r>
      <w:proofErr w:type="spellStart"/>
      <w:r w:rsidR="002F19A4">
        <w:t>Reča</w:t>
      </w:r>
      <w:proofErr w:type="spellEnd"/>
      <w:r>
        <w:t xml:space="preserve"> </w:t>
      </w:r>
      <w:r w:rsidRPr="00CC7010">
        <w:t xml:space="preserve">apelācijas </w:t>
      </w:r>
      <w:r w:rsidR="002F19A4" w:rsidRPr="00CC7010">
        <w:t>sūdzību</w:t>
      </w:r>
      <w:r w:rsidRPr="00CC7010">
        <w:t xml:space="preserve">, </w:t>
      </w:r>
      <w:r w:rsidR="004B239C">
        <w:t>[rajona (pilsētas)]</w:t>
      </w:r>
      <w:r w:rsidR="00B474B1" w:rsidRPr="00CC7010">
        <w:t xml:space="preserve"> tiesas 2022</w:t>
      </w:r>
      <w:r w:rsidRPr="00CC7010">
        <w:t xml:space="preserve">. gada </w:t>
      </w:r>
      <w:r w:rsidR="004B239C">
        <w:t>[..]</w:t>
      </w:r>
      <w:r w:rsidRPr="00CC7010">
        <w:t xml:space="preserve"> spriedums </w:t>
      </w:r>
      <w:r w:rsidR="00B474B1" w:rsidRPr="00CC7010">
        <w:t xml:space="preserve">atcelts </w:t>
      </w:r>
      <w:r w:rsidR="002F19A4" w:rsidRPr="00CC7010">
        <w:t xml:space="preserve">daļā par </w:t>
      </w:r>
      <w:r w:rsidR="004B239C">
        <w:t>[pers. A]</w:t>
      </w:r>
      <w:r w:rsidR="002F19A4" w:rsidRPr="00CC7010">
        <w:t xml:space="preserve"> noteikto sodu</w:t>
      </w:r>
      <w:r w:rsidRPr="00CC7010">
        <w:t xml:space="preserve">. </w:t>
      </w:r>
    </w:p>
    <w:p w14:paraId="09E33E8E" w14:textId="59F64D57" w:rsidR="002F19A4" w:rsidRPr="00CC7010" w:rsidRDefault="004B239C" w:rsidP="004B239C">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t>[Pers. A]</w:t>
      </w:r>
      <w:r w:rsidR="002F19A4" w:rsidRPr="00CC7010">
        <w:t xml:space="preserve"> </w:t>
      </w:r>
      <w:r w:rsidR="00BE6B0E">
        <w:t xml:space="preserve">par </w:t>
      </w:r>
      <w:r w:rsidR="0087363A" w:rsidRPr="00CC7010">
        <w:rPr>
          <w:rFonts w:ascii="TimesNewRomanPSMT" w:eastAsiaTheme="minorHAnsi" w:hAnsi="TimesNewRomanPSMT" w:cs="TimesNewRomanPSMT"/>
          <w:kern w:val="0"/>
          <w:lang w:eastAsia="en-US" w:bidi="ar-SA"/>
        </w:rPr>
        <w:t xml:space="preserve">Krimināllikuma </w:t>
      </w:r>
      <w:r w:rsidR="0087363A" w:rsidRPr="00CC7010">
        <w:t>1</w:t>
      </w:r>
      <w:r w:rsidR="002F19A4" w:rsidRPr="00CC7010">
        <w:t>25</w:t>
      </w:r>
      <w:r w:rsidR="0087363A" w:rsidRPr="00CC7010">
        <w:t>. panta</w:t>
      </w:r>
      <w:r w:rsidR="0087363A" w:rsidRPr="00CC7010">
        <w:rPr>
          <w:rFonts w:ascii="TimesNewRomanPSMT" w:eastAsiaTheme="minorHAnsi" w:hAnsi="TimesNewRomanPSMT" w:cs="TimesNewRomanPSMT"/>
          <w:kern w:val="0"/>
          <w:lang w:eastAsia="en-US" w:bidi="ar-SA"/>
        </w:rPr>
        <w:t xml:space="preserve"> </w:t>
      </w:r>
      <w:r w:rsidR="002F19A4" w:rsidRPr="00CC7010">
        <w:rPr>
          <w:rFonts w:ascii="TimesNewRomanPSMT" w:eastAsiaTheme="minorHAnsi" w:hAnsi="TimesNewRomanPSMT" w:cs="TimesNewRomanPSMT"/>
          <w:kern w:val="0"/>
          <w:lang w:eastAsia="en-US" w:bidi="ar-SA"/>
        </w:rPr>
        <w:t>tr</w:t>
      </w:r>
      <w:r w:rsidR="00BE6B0E">
        <w:rPr>
          <w:rFonts w:ascii="TimesNewRomanPSMT" w:eastAsiaTheme="minorHAnsi" w:hAnsi="TimesNewRomanPSMT" w:cs="TimesNewRomanPSMT"/>
          <w:kern w:val="0"/>
          <w:lang w:eastAsia="en-US" w:bidi="ar-SA"/>
        </w:rPr>
        <w:t>ešajā daļā paredzēto noziedzīgo nodarījumu sodīta</w:t>
      </w:r>
      <w:r w:rsidR="0087363A" w:rsidRPr="00CC7010">
        <w:rPr>
          <w:rFonts w:ascii="TimesNewRomanPSMT" w:eastAsiaTheme="minorHAnsi" w:hAnsi="TimesNewRomanPSMT" w:cs="TimesNewRomanPSMT"/>
          <w:kern w:val="0"/>
          <w:lang w:eastAsia="en-US" w:bidi="ar-SA"/>
        </w:rPr>
        <w:t xml:space="preserve"> ar </w:t>
      </w:r>
      <w:r w:rsidR="002F19A4" w:rsidRPr="00CC7010">
        <w:rPr>
          <w:rFonts w:ascii="TimesNewRomanPSMT" w:eastAsiaTheme="minorHAnsi" w:hAnsi="TimesNewRomanPSMT" w:cs="TimesNewRomanPSMT"/>
          <w:kern w:val="0"/>
          <w:lang w:eastAsia="en-US" w:bidi="ar-SA"/>
        </w:rPr>
        <w:t>brīvības atņemšanu uz 3</w:t>
      </w:r>
      <w:r w:rsidR="00ED71B6">
        <w:rPr>
          <w:rFonts w:ascii="TimesNewRomanPSMT" w:eastAsiaTheme="minorHAnsi" w:hAnsi="TimesNewRomanPSMT" w:cs="TimesNewRomanPSMT"/>
          <w:kern w:val="0"/>
          <w:lang w:eastAsia="en-US" w:bidi="ar-SA"/>
        </w:rPr>
        <w:t> </w:t>
      </w:r>
      <w:r w:rsidR="002F19A4" w:rsidRPr="00CC7010">
        <w:rPr>
          <w:rFonts w:ascii="TimesNewRomanPSMT" w:eastAsiaTheme="minorHAnsi" w:hAnsi="TimesNewRomanPSMT" w:cs="TimesNewRomanPSMT"/>
          <w:kern w:val="0"/>
          <w:lang w:eastAsia="en-US" w:bidi="ar-SA"/>
        </w:rPr>
        <w:t>gadiem.</w:t>
      </w:r>
    </w:p>
    <w:p w14:paraId="66001A2C" w14:textId="19F9805A" w:rsidR="004B3222" w:rsidRDefault="002F19A4" w:rsidP="004B239C">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rsidRPr="00CC7010">
        <w:rPr>
          <w:rFonts w:ascii="TimesNewRomanPSMT" w:eastAsiaTheme="minorHAnsi" w:hAnsi="TimesNewRomanPSMT" w:cs="TimesNewRomanPSMT"/>
          <w:kern w:val="0"/>
          <w:lang w:eastAsia="en-US" w:bidi="ar-SA"/>
        </w:rPr>
        <w:t xml:space="preserve">Saskaņā ar Krimināllikuma 55. pantu </w:t>
      </w:r>
      <w:r w:rsidR="004B239C">
        <w:rPr>
          <w:rFonts w:ascii="TimesNewRomanPSMT" w:eastAsiaTheme="minorHAnsi" w:hAnsi="TimesNewRomanPSMT" w:cs="TimesNewRomanPSMT"/>
          <w:kern w:val="0"/>
          <w:lang w:eastAsia="en-US" w:bidi="ar-SA"/>
        </w:rPr>
        <w:t>[pers. </w:t>
      </w:r>
      <w:r w:rsidR="004B239C">
        <w:t>A]</w:t>
      </w:r>
      <w:r w:rsidRPr="00CC7010">
        <w:rPr>
          <w:rFonts w:ascii="TimesNewRomanPSMT" w:eastAsiaTheme="minorHAnsi" w:hAnsi="TimesNewRomanPSMT" w:cs="TimesNewRomanPSMT"/>
          <w:kern w:val="0"/>
          <w:lang w:eastAsia="en-US" w:bidi="ar-SA"/>
        </w:rPr>
        <w:t xml:space="preserve"> </w:t>
      </w:r>
      <w:r w:rsidR="00CC7010" w:rsidRPr="00CC7010">
        <w:rPr>
          <w:rFonts w:ascii="TimesNewRomanPSMT" w:eastAsiaTheme="minorHAnsi" w:hAnsi="TimesNewRomanPSMT" w:cs="TimesNewRomanPSMT"/>
          <w:kern w:val="0"/>
          <w:lang w:eastAsia="en-US" w:bidi="ar-SA"/>
        </w:rPr>
        <w:t xml:space="preserve">notiesāta </w:t>
      </w:r>
      <w:r w:rsidRPr="00CC7010">
        <w:rPr>
          <w:rFonts w:ascii="TimesNewRomanPSMT" w:eastAsiaTheme="minorHAnsi" w:hAnsi="TimesNewRomanPSMT" w:cs="TimesNewRomanPSMT"/>
          <w:kern w:val="0"/>
          <w:lang w:eastAsia="en-US" w:bidi="ar-SA"/>
        </w:rPr>
        <w:t xml:space="preserve">nosacīti ar pārbaudes laiku uz </w:t>
      </w:r>
      <w:r w:rsidR="00CC7010" w:rsidRPr="00CC7010">
        <w:rPr>
          <w:rFonts w:ascii="TimesNewRomanPSMT" w:eastAsiaTheme="minorHAnsi" w:hAnsi="TimesNewRomanPSMT" w:cs="TimesNewRomanPSMT"/>
          <w:kern w:val="0"/>
          <w:lang w:eastAsia="en-US" w:bidi="ar-SA"/>
        </w:rPr>
        <w:t>3</w:t>
      </w:r>
      <w:r w:rsidR="00ED71B6">
        <w:rPr>
          <w:rFonts w:ascii="TimesNewRomanPSMT" w:eastAsiaTheme="minorHAnsi" w:hAnsi="TimesNewRomanPSMT" w:cs="TimesNewRomanPSMT"/>
          <w:kern w:val="0"/>
          <w:lang w:eastAsia="en-US" w:bidi="ar-SA"/>
        </w:rPr>
        <w:t> </w:t>
      </w:r>
      <w:r w:rsidRPr="00CC7010">
        <w:rPr>
          <w:rFonts w:ascii="TimesNewRomanPSMT" w:eastAsiaTheme="minorHAnsi" w:hAnsi="TimesNewRomanPSMT" w:cs="TimesNewRomanPSMT"/>
          <w:kern w:val="0"/>
          <w:lang w:eastAsia="en-US" w:bidi="ar-SA"/>
        </w:rPr>
        <w:t>gadiem.</w:t>
      </w:r>
    </w:p>
    <w:p w14:paraId="748F76F2" w14:textId="3DB76BE7" w:rsidR="001F4B45" w:rsidRPr="00CC7010" w:rsidRDefault="001F4B45" w:rsidP="00E95249">
      <w:pPr>
        <w:widowControl/>
        <w:suppressAutoHyphens w:val="0"/>
        <w:spacing w:after="10" w:line="276" w:lineRule="auto"/>
        <w:ind w:right="6" w:firstLine="720"/>
        <w:jc w:val="both"/>
      </w:pPr>
      <w:r>
        <w:rPr>
          <w:rFonts w:ascii="TimesNewRomanPSMT" w:eastAsiaTheme="minorHAnsi" w:hAnsi="TimesNewRomanPSMT" w:cs="TimesNewRomanPSMT"/>
          <w:kern w:val="0"/>
          <w:lang w:eastAsia="en-US" w:bidi="ar-SA"/>
        </w:rPr>
        <w:lastRenderedPageBreak/>
        <w:t>Pārējā daļā pirmās instances tiesas spriedums atstāts negrozīts.</w:t>
      </w:r>
    </w:p>
    <w:p w14:paraId="6B0CFD3E" w14:textId="77777777" w:rsidR="00CC7010" w:rsidRPr="00231AA4" w:rsidRDefault="00CC7010" w:rsidP="00E9524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62D6AF6C" w14:textId="09812404" w:rsidR="00FB429C" w:rsidRDefault="00FB429C" w:rsidP="004B239C">
      <w:pPr>
        <w:widowControl/>
        <w:suppressAutoHyphens w:val="0"/>
        <w:autoSpaceDE w:val="0"/>
        <w:autoSpaceDN w:val="0"/>
        <w:adjustRightInd w:val="0"/>
        <w:spacing w:line="276" w:lineRule="auto"/>
        <w:ind w:firstLine="720"/>
        <w:jc w:val="both"/>
      </w:pPr>
      <w:r>
        <w:rPr>
          <w:rFonts w:ascii="TimesNewRomanPSMT" w:eastAsiaTheme="minorHAnsi" w:hAnsi="TimesNewRomanPSMT" w:cs="TimesNewRomanPSMT"/>
          <w:kern w:val="0"/>
          <w:lang w:eastAsia="en-US" w:bidi="ar-SA"/>
        </w:rPr>
        <w:t>[</w:t>
      </w:r>
      <w:r w:rsidR="00633CEF">
        <w:rPr>
          <w:rFonts w:ascii="TimesNewRomanPSMT" w:eastAsiaTheme="minorHAnsi" w:hAnsi="TimesNewRomanPSMT" w:cs="TimesNewRomanPSMT"/>
          <w:kern w:val="0"/>
          <w:lang w:eastAsia="en-US" w:bidi="ar-SA"/>
        </w:rPr>
        <w:t>4</w:t>
      </w:r>
      <w:r w:rsidR="008D4F8B">
        <w:rPr>
          <w:rFonts w:ascii="TimesNewRomanPSMT" w:eastAsiaTheme="minorHAnsi" w:hAnsi="TimesNewRomanPSMT" w:cs="TimesNewRomanPSMT"/>
          <w:kern w:val="0"/>
          <w:lang w:eastAsia="en-US" w:bidi="ar-SA"/>
        </w:rPr>
        <w:t>] </w:t>
      </w:r>
      <w:r w:rsidR="00637B32">
        <w:t xml:space="preserve">Par </w:t>
      </w:r>
      <w:r w:rsidR="004B239C">
        <w:t>[..]</w:t>
      </w:r>
      <w:r w:rsidR="00637B32">
        <w:t xml:space="preserve"> apgabaltiesas 202</w:t>
      </w:r>
      <w:r w:rsidR="002F19A4">
        <w:t>3</w:t>
      </w:r>
      <w:r>
        <w:t xml:space="preserve">. gada </w:t>
      </w:r>
      <w:r w:rsidR="004B239C">
        <w:t>[..]</w:t>
      </w:r>
      <w:r w:rsidR="00637B32">
        <w:t xml:space="preserve"> </w:t>
      </w:r>
      <w:r w:rsidR="0087363A">
        <w:t>spriedumu</w:t>
      </w:r>
      <w:r w:rsidR="00637B32">
        <w:t xml:space="preserve"> </w:t>
      </w:r>
      <w:r w:rsidR="004B239C">
        <w:rPr>
          <w:rFonts w:asciiTheme="majorBidi" w:hAnsiTheme="majorBidi" w:cstheme="majorBidi"/>
          <w:color w:val="000000"/>
        </w:rPr>
        <w:t>[..]</w:t>
      </w:r>
      <w:r w:rsidR="00CC7010">
        <w:rPr>
          <w:rFonts w:asciiTheme="majorBidi" w:hAnsiTheme="majorBidi" w:cstheme="majorBidi"/>
          <w:color w:val="000000"/>
        </w:rPr>
        <w:t xml:space="preserve"> prokuratūras prokuror</w:t>
      </w:r>
      <w:r w:rsidR="00A15B13">
        <w:rPr>
          <w:rFonts w:asciiTheme="majorBidi" w:hAnsiTheme="majorBidi" w:cstheme="majorBidi"/>
          <w:color w:val="000000"/>
        </w:rPr>
        <w:t>s</w:t>
      </w:r>
      <w:r w:rsidR="00CC7010">
        <w:rPr>
          <w:rFonts w:asciiTheme="majorBidi" w:hAnsiTheme="majorBidi" w:cstheme="majorBidi"/>
          <w:color w:val="000000"/>
        </w:rPr>
        <w:t xml:space="preserve"> S. Sebris </w:t>
      </w:r>
      <w:r w:rsidR="0087363A">
        <w:rPr>
          <w:rFonts w:asciiTheme="majorBidi" w:hAnsiTheme="majorBidi" w:cstheme="majorBidi"/>
          <w:color w:val="000000"/>
        </w:rPr>
        <w:t xml:space="preserve">iesniedzis kasācijas </w:t>
      </w:r>
      <w:r w:rsidR="00CC7010">
        <w:rPr>
          <w:rFonts w:asciiTheme="majorBidi" w:hAnsiTheme="majorBidi" w:cstheme="majorBidi"/>
          <w:color w:val="000000"/>
        </w:rPr>
        <w:t>protestu</w:t>
      </w:r>
      <w:r w:rsidR="00637B32">
        <w:t xml:space="preserve">, kurā lūdz atcelt apelācijas instances tiesas </w:t>
      </w:r>
      <w:r>
        <w:t>spriedumu</w:t>
      </w:r>
      <w:r w:rsidR="00637B32">
        <w:t xml:space="preserve"> </w:t>
      </w:r>
      <w:r w:rsidR="00CC7010">
        <w:t xml:space="preserve">daļā par </w:t>
      </w:r>
      <w:r w:rsidR="004B239C">
        <w:t>[pers. A]</w:t>
      </w:r>
      <w:r w:rsidR="00CC7010">
        <w:t xml:space="preserve"> noteikto sodu un nosūtīt lietu jaunai izskatīšanai.</w:t>
      </w:r>
    </w:p>
    <w:p w14:paraId="2FC5A371" w14:textId="4C1BEF1B" w:rsidR="00A0052E" w:rsidRPr="00A0052E" w:rsidRDefault="002F19A4" w:rsidP="00A0052E">
      <w:pPr>
        <w:spacing w:line="276" w:lineRule="auto"/>
        <w:ind w:right="-143" w:firstLine="720"/>
        <w:jc w:val="both"/>
      </w:pPr>
      <w:r>
        <w:t>Kasācijas protestā izteiktais lūgums pamatots ar šādiem argumentiem.</w:t>
      </w:r>
    </w:p>
    <w:p w14:paraId="50D8F0D3" w14:textId="027952A3" w:rsidR="002F19A4" w:rsidRPr="00291303" w:rsidRDefault="002F19A4" w:rsidP="00E95249">
      <w:pPr>
        <w:spacing w:line="276" w:lineRule="auto"/>
        <w:ind w:firstLine="720"/>
        <w:jc w:val="both"/>
        <w:rPr>
          <w:rFonts w:ascii="TimesNewRomanPSMT" w:eastAsiaTheme="minorHAnsi" w:hAnsi="TimesNewRomanPSMT" w:cs="TimesNewRomanPSMT"/>
          <w:kern w:val="0"/>
          <w:lang w:eastAsia="en-US" w:bidi="ar-SA"/>
        </w:rPr>
      </w:pPr>
      <w:r>
        <w:rPr>
          <w:rFonts w:cs="Times New Roman"/>
        </w:rPr>
        <w:t>[</w:t>
      </w:r>
      <w:r w:rsidR="00A0052E">
        <w:rPr>
          <w:rFonts w:cs="Times New Roman"/>
        </w:rPr>
        <w:t>4.1</w:t>
      </w:r>
      <w:r>
        <w:rPr>
          <w:rFonts w:cs="Times New Roman"/>
        </w:rPr>
        <w:t>] </w:t>
      </w:r>
      <w:r>
        <w:rPr>
          <w:rFonts w:asciiTheme="majorBidi" w:hAnsiTheme="majorBidi" w:cstheme="majorBidi"/>
          <w:color w:val="000000"/>
        </w:rPr>
        <w:t xml:space="preserve">Apelācijas instances tiesa pieļāvusi Kriminālprocesa likuma </w:t>
      </w:r>
      <w:r w:rsidR="00745BB5">
        <w:rPr>
          <w:rFonts w:asciiTheme="majorBidi" w:hAnsiTheme="majorBidi" w:cstheme="majorBidi"/>
          <w:color w:val="000000"/>
        </w:rPr>
        <w:t>563. panta pirmās daļas 3. punkta un 564. panta ceturtās daļas pārkāpumu</w:t>
      </w:r>
      <w:r w:rsidR="00E861AC">
        <w:rPr>
          <w:rFonts w:asciiTheme="majorBidi" w:hAnsiTheme="majorBidi" w:cstheme="majorBidi"/>
          <w:color w:val="000000"/>
        </w:rPr>
        <w:t>s</w:t>
      </w:r>
      <w:r w:rsidR="00745BB5">
        <w:rPr>
          <w:rFonts w:asciiTheme="majorBidi" w:hAnsiTheme="majorBidi" w:cstheme="majorBidi"/>
          <w:color w:val="000000"/>
        </w:rPr>
        <w:t xml:space="preserve">, kas ir atzīstami par Kriminālprocesa likuma </w:t>
      </w:r>
      <w:r w:rsidR="00745BB5" w:rsidRPr="00291303">
        <w:rPr>
          <w:rFonts w:asciiTheme="majorBidi" w:hAnsiTheme="majorBidi" w:cstheme="majorBidi"/>
        </w:rPr>
        <w:t>būtiskiem pārk</w:t>
      </w:r>
      <w:r w:rsidR="008D5BD7" w:rsidRPr="00291303">
        <w:rPr>
          <w:rFonts w:asciiTheme="majorBidi" w:hAnsiTheme="majorBidi" w:cstheme="majorBidi"/>
        </w:rPr>
        <w:t>āpumiem</w:t>
      </w:r>
      <w:r w:rsidR="00A44F78">
        <w:rPr>
          <w:rFonts w:asciiTheme="majorBidi" w:hAnsiTheme="majorBidi" w:cstheme="majorBidi"/>
        </w:rPr>
        <w:t xml:space="preserve"> </w:t>
      </w:r>
      <w:r w:rsidR="00D370E3">
        <w:rPr>
          <w:rFonts w:asciiTheme="majorBidi" w:hAnsiTheme="majorBidi" w:cstheme="majorBidi"/>
        </w:rPr>
        <w:t xml:space="preserve">Kriminālprocesa likuma </w:t>
      </w:r>
      <w:r w:rsidR="00A44F78">
        <w:rPr>
          <w:rFonts w:asciiTheme="majorBidi" w:hAnsiTheme="majorBidi" w:cstheme="majorBidi"/>
        </w:rPr>
        <w:t>575. p</w:t>
      </w:r>
      <w:r w:rsidR="00D370E3">
        <w:rPr>
          <w:rFonts w:asciiTheme="majorBidi" w:hAnsiTheme="majorBidi" w:cstheme="majorBidi"/>
        </w:rPr>
        <w:t>anta trešās daļas izpratnē</w:t>
      </w:r>
      <w:r w:rsidR="00377C7E">
        <w:rPr>
          <w:rFonts w:asciiTheme="majorBidi" w:hAnsiTheme="majorBidi" w:cstheme="majorBidi"/>
        </w:rPr>
        <w:t xml:space="preserve"> un ir</w:t>
      </w:r>
      <w:r w:rsidR="008D5BD7" w:rsidRPr="00291303">
        <w:rPr>
          <w:kern w:val="1"/>
        </w:rPr>
        <w:t xml:space="preserve"> noveduši pie nelikumīga nolēmuma, kā arī pārkāp</w:t>
      </w:r>
      <w:r w:rsidR="00377C7E">
        <w:rPr>
          <w:kern w:val="1"/>
        </w:rPr>
        <w:t xml:space="preserve">usi </w:t>
      </w:r>
      <w:r w:rsidR="008D5BD7" w:rsidRPr="00291303">
        <w:rPr>
          <w:kern w:val="1"/>
        </w:rPr>
        <w:t>Krimināllikuma 46. panta trešajā daļā un 55. pantā noteikt</w:t>
      </w:r>
      <w:r w:rsidR="00377C7E">
        <w:rPr>
          <w:kern w:val="1"/>
        </w:rPr>
        <w:t>o</w:t>
      </w:r>
      <w:r w:rsidR="008D5BD7" w:rsidRPr="00291303">
        <w:rPr>
          <w:kern w:val="1"/>
        </w:rPr>
        <w:t>.</w:t>
      </w:r>
    </w:p>
    <w:p w14:paraId="332B2B48" w14:textId="06CBED56" w:rsidR="00075C97" w:rsidRPr="00FE45F0" w:rsidRDefault="00155396" w:rsidP="004B239C">
      <w:pPr>
        <w:spacing w:line="276" w:lineRule="auto"/>
        <w:ind w:firstLine="720"/>
        <w:jc w:val="both"/>
      </w:pPr>
      <w:r w:rsidRPr="00291303">
        <w:rPr>
          <w:kern w:val="1"/>
        </w:rPr>
        <w:t>[</w:t>
      </w:r>
      <w:r w:rsidR="00A0052E">
        <w:rPr>
          <w:kern w:val="1"/>
        </w:rPr>
        <w:t>4.2</w:t>
      </w:r>
      <w:r w:rsidRPr="00291303">
        <w:rPr>
          <w:kern w:val="1"/>
        </w:rPr>
        <w:t>] </w:t>
      </w:r>
      <w:r w:rsidR="0012756B">
        <w:t>Apelācijas instances tiesa nepamatoti secinājusi, ka pirmās instances tiesai nebija pamat</w:t>
      </w:r>
      <w:r w:rsidR="00377C7E">
        <w:t>a</w:t>
      </w:r>
      <w:r w:rsidR="0012756B">
        <w:t xml:space="preserve"> konstatēt atbildību pastiprinošu apstākļu esību, jo lēmumā par krimināllietas nodošanu tiesai tie </w:t>
      </w:r>
      <w:r w:rsidR="00377C7E">
        <w:t>nebija norādīti</w:t>
      </w:r>
      <w:r w:rsidR="0012756B">
        <w:t xml:space="preserve"> un krimināllieta pirmās instances tiesā iztiesāta</w:t>
      </w:r>
      <w:r w:rsidR="0086059C" w:rsidRPr="00584EA3">
        <w:t>,</w:t>
      </w:r>
      <w:r w:rsidR="0012756B">
        <w:t xml:space="preserve"> neizdarot pierādījumu pārbaudi. Pierādījumu pārbaudes neveikšanai lietā vai atbildību pastiprinoša apstākļa nenorādīšanai prokurora lēmumā par lietas nodošanu tiesai nevar būt izšķiroša nozīme, nosakot</w:t>
      </w:r>
      <w:r w:rsidR="0012756B" w:rsidRPr="00A15092">
        <w:t xml:space="preserve"> vainīgajai personai taisnīgu sodu</w:t>
      </w:r>
      <w:r w:rsidR="0012756B" w:rsidRPr="000A4210">
        <w:rPr>
          <w:bCs/>
          <w:i/>
          <w:iCs/>
          <w:kern w:val="1"/>
        </w:rPr>
        <w:t>.</w:t>
      </w:r>
      <w:r w:rsidR="0012756B">
        <w:t xml:space="preserve"> Arī Senāts lēmumā lietā Nr. SKK</w:t>
      </w:r>
      <w:r w:rsidR="0012756B">
        <w:noBreakHyphen/>
        <w:t>243/2008 ir atzinis, ka t</w:t>
      </w:r>
      <w:r w:rsidR="0012756B" w:rsidRPr="00DD49CF">
        <w:t xml:space="preserve">iesa, to motivējot, var atzīt atbildību pastiprinošu apstākli </w:t>
      </w:r>
      <w:r w:rsidR="0012756B">
        <w:t>pat</w:t>
      </w:r>
      <w:r w:rsidR="0012756B" w:rsidRPr="00DD49CF">
        <w:t xml:space="preserve"> tādā gadījumā, ja prokurors nav norādījis uz konkrētu apstākli kā atbildību pastiprinošu</w:t>
      </w:r>
      <w:r w:rsidR="0012756B">
        <w:t>.</w:t>
      </w:r>
      <w:r w:rsidR="00FE45F0">
        <w:t xml:space="preserve"> </w:t>
      </w:r>
      <w:bookmarkStart w:id="0" w:name="_Hlk159397504"/>
      <w:r w:rsidR="0000457F">
        <w:rPr>
          <w:kern w:val="1"/>
        </w:rPr>
        <w:t xml:space="preserve">Apelācijas instances tiesa, atceļot </w:t>
      </w:r>
      <w:r w:rsidR="0000457F" w:rsidRPr="001D0B7A">
        <w:rPr>
          <w:kern w:val="1"/>
        </w:rPr>
        <w:t xml:space="preserve">pirmās instances tiesas nolēmumu daļā </w:t>
      </w:r>
      <w:r w:rsidR="00377C7E">
        <w:rPr>
          <w:kern w:val="1"/>
        </w:rPr>
        <w:t xml:space="preserve">par apsūdzētajai </w:t>
      </w:r>
      <w:r w:rsidR="004B239C">
        <w:rPr>
          <w:kern w:val="1"/>
        </w:rPr>
        <w:t>[pers. </w:t>
      </w:r>
      <w:r w:rsidR="004B239C">
        <w:t>A]</w:t>
      </w:r>
      <w:r w:rsidR="00377C7E">
        <w:rPr>
          <w:kern w:val="1"/>
        </w:rPr>
        <w:t xml:space="preserve"> noteikto sodu</w:t>
      </w:r>
      <w:r w:rsidR="00377C7E" w:rsidRPr="001D0B7A">
        <w:rPr>
          <w:kern w:val="1"/>
        </w:rPr>
        <w:t xml:space="preserve"> </w:t>
      </w:r>
      <w:r w:rsidR="0000457F" w:rsidRPr="001D0B7A">
        <w:rPr>
          <w:kern w:val="1"/>
        </w:rPr>
        <w:t>un t</w:t>
      </w:r>
      <w:r w:rsidR="0000457F">
        <w:rPr>
          <w:kern w:val="1"/>
        </w:rPr>
        <w:t>aisot šajā daļā jaunu nolēmumu a</w:t>
      </w:r>
      <w:r w:rsidR="00D5569E">
        <w:rPr>
          <w:kern w:val="1"/>
        </w:rPr>
        <w:t>tbilstoši</w:t>
      </w:r>
      <w:r w:rsidR="00745BB5">
        <w:rPr>
          <w:kern w:val="1"/>
        </w:rPr>
        <w:t xml:space="preserve"> </w:t>
      </w:r>
      <w:r w:rsidR="00745BB5" w:rsidRPr="001D0B7A">
        <w:rPr>
          <w:kern w:val="1"/>
        </w:rPr>
        <w:t>Kriminālprocesa likuma 563.</w:t>
      </w:r>
      <w:r w:rsidR="00745BB5">
        <w:rPr>
          <w:kern w:val="1"/>
        </w:rPr>
        <w:t> </w:t>
      </w:r>
      <w:r w:rsidR="00745BB5" w:rsidRPr="001D0B7A">
        <w:rPr>
          <w:kern w:val="1"/>
        </w:rPr>
        <w:t>panta pirmās daļas 3.</w:t>
      </w:r>
      <w:r w:rsidR="00745BB5">
        <w:rPr>
          <w:kern w:val="1"/>
        </w:rPr>
        <w:t> </w:t>
      </w:r>
      <w:r w:rsidR="00D5569E">
        <w:rPr>
          <w:kern w:val="1"/>
        </w:rPr>
        <w:t>punktam</w:t>
      </w:r>
      <w:r w:rsidR="00ED71B6">
        <w:rPr>
          <w:kern w:val="1"/>
        </w:rPr>
        <w:t>,</w:t>
      </w:r>
      <w:r w:rsidR="0000457F">
        <w:rPr>
          <w:kern w:val="1"/>
        </w:rPr>
        <w:t xml:space="preserve"> </w:t>
      </w:r>
      <w:r w:rsidR="00C10625">
        <w:rPr>
          <w:kern w:val="1"/>
        </w:rPr>
        <w:t xml:space="preserve">nav </w:t>
      </w:r>
      <w:r w:rsidR="00745BB5">
        <w:rPr>
          <w:kern w:val="1"/>
        </w:rPr>
        <w:t xml:space="preserve">sniegusi </w:t>
      </w:r>
      <w:r w:rsidR="00377C7E">
        <w:rPr>
          <w:kern w:val="1"/>
        </w:rPr>
        <w:t xml:space="preserve">prokurora tiesas debatēs </w:t>
      </w:r>
      <w:r w:rsidR="00C10625" w:rsidRPr="001D0B7A">
        <w:rPr>
          <w:kern w:val="1"/>
        </w:rPr>
        <w:t>norādīto</w:t>
      </w:r>
      <w:r w:rsidR="00C10625">
        <w:rPr>
          <w:kern w:val="1"/>
        </w:rPr>
        <w:t xml:space="preserve"> atbildību pastiprinošo un mīkstinošo apstākļu</w:t>
      </w:r>
      <w:r w:rsidR="00C10625" w:rsidRPr="001D0B7A">
        <w:rPr>
          <w:kern w:val="1"/>
        </w:rPr>
        <w:t xml:space="preserve"> </w:t>
      </w:r>
      <w:r w:rsidR="00745BB5">
        <w:rPr>
          <w:kern w:val="1"/>
        </w:rPr>
        <w:t xml:space="preserve">pierādījumu </w:t>
      </w:r>
      <w:proofErr w:type="spellStart"/>
      <w:r w:rsidR="00745BB5">
        <w:rPr>
          <w:kern w:val="1"/>
        </w:rPr>
        <w:t>izvērtējumu</w:t>
      </w:r>
      <w:proofErr w:type="spellEnd"/>
      <w:r w:rsidR="00C10625">
        <w:rPr>
          <w:kern w:val="1"/>
        </w:rPr>
        <w:t>.</w:t>
      </w:r>
      <w:r>
        <w:rPr>
          <w:kern w:val="1"/>
        </w:rPr>
        <w:t xml:space="preserve"> </w:t>
      </w:r>
      <w:bookmarkEnd w:id="0"/>
      <w:r w:rsidR="00C10625">
        <w:rPr>
          <w:kern w:val="1"/>
        </w:rPr>
        <w:t>Turklāt apelācijas instances tiesai bija</w:t>
      </w:r>
      <w:r w:rsidR="00745BB5">
        <w:rPr>
          <w:kern w:val="1"/>
        </w:rPr>
        <w:t xml:space="preserve"> tiesības lietā veikt pierādījumu pārbaudi un analizēt </w:t>
      </w:r>
      <w:r w:rsidR="00075C97">
        <w:rPr>
          <w:kern w:val="1"/>
        </w:rPr>
        <w:t>tos pierādījumus</w:t>
      </w:r>
      <w:r w:rsidR="00745BB5">
        <w:rPr>
          <w:kern w:val="1"/>
        </w:rPr>
        <w:t>, kur</w:t>
      </w:r>
      <w:r w:rsidR="00075C97">
        <w:rPr>
          <w:kern w:val="1"/>
        </w:rPr>
        <w:t>i</w:t>
      </w:r>
      <w:r w:rsidR="00745BB5">
        <w:rPr>
          <w:kern w:val="1"/>
        </w:rPr>
        <w:t xml:space="preserve"> apstiprina prokurora tiesas debašu runā norādītos atbildību mīkstin</w:t>
      </w:r>
      <w:r w:rsidR="00075C97">
        <w:rPr>
          <w:kern w:val="1"/>
        </w:rPr>
        <w:t>oš</w:t>
      </w:r>
      <w:r w:rsidR="00B46CED">
        <w:rPr>
          <w:kern w:val="1"/>
        </w:rPr>
        <w:t>u</w:t>
      </w:r>
      <w:r w:rsidR="00075C97">
        <w:rPr>
          <w:kern w:val="1"/>
        </w:rPr>
        <w:t>s un pastiprinoš</w:t>
      </w:r>
      <w:r w:rsidR="00B46CED">
        <w:rPr>
          <w:kern w:val="1"/>
        </w:rPr>
        <w:t>u</w:t>
      </w:r>
      <w:r w:rsidR="00075C97">
        <w:rPr>
          <w:kern w:val="1"/>
        </w:rPr>
        <w:t xml:space="preserve">s apstākļus. </w:t>
      </w:r>
    </w:p>
    <w:p w14:paraId="767FBABC" w14:textId="1718F66B" w:rsidR="00557834" w:rsidRDefault="00ED71B6" w:rsidP="004B239C">
      <w:pPr>
        <w:spacing w:line="276" w:lineRule="auto"/>
        <w:ind w:firstLine="720"/>
        <w:jc w:val="both"/>
        <w:rPr>
          <w:kern w:val="1"/>
        </w:rPr>
      </w:pPr>
      <w:r>
        <w:rPr>
          <w:kern w:val="1"/>
        </w:rPr>
        <w:t>[4.</w:t>
      </w:r>
      <w:r w:rsidR="00FE45F0">
        <w:rPr>
          <w:kern w:val="1"/>
        </w:rPr>
        <w:t>2.1</w:t>
      </w:r>
      <w:r>
        <w:rPr>
          <w:kern w:val="1"/>
        </w:rPr>
        <w:t>] T</w:t>
      </w:r>
      <w:r w:rsidR="00A726CF">
        <w:rPr>
          <w:kern w:val="1"/>
        </w:rPr>
        <w:t xml:space="preserve">iesa </w:t>
      </w:r>
      <w:r w:rsidR="005448EC">
        <w:rPr>
          <w:kern w:val="1"/>
        </w:rPr>
        <w:t>nepamatoti nav konstatējusi Krimināllikuma 47. pirmās daļas 5. punktā norādīto atbildību mīkstin</w:t>
      </w:r>
      <w:r w:rsidR="005448EC" w:rsidRPr="00377C7E">
        <w:rPr>
          <w:kern w:val="1"/>
        </w:rPr>
        <w:t>oš</w:t>
      </w:r>
      <w:r w:rsidR="000D300B" w:rsidRPr="00377C7E">
        <w:rPr>
          <w:kern w:val="1"/>
        </w:rPr>
        <w:t>u</w:t>
      </w:r>
      <w:r w:rsidR="005448EC">
        <w:rPr>
          <w:kern w:val="1"/>
        </w:rPr>
        <w:t xml:space="preserve"> apstākli, jo </w:t>
      </w:r>
      <w:r w:rsidR="00A726CF">
        <w:rPr>
          <w:kern w:val="1"/>
        </w:rPr>
        <w:t xml:space="preserve">nav ņēmusi vērā, </w:t>
      </w:r>
      <w:r w:rsidR="00745BB5" w:rsidRPr="001D0B7A">
        <w:rPr>
          <w:kern w:val="1"/>
        </w:rPr>
        <w:t>ka pirms noziedzīga nodarījuma izdarīšanas starp</w:t>
      </w:r>
      <w:r w:rsidR="005448EC">
        <w:rPr>
          <w:kern w:val="1"/>
        </w:rPr>
        <w:t xml:space="preserve"> cietušo</w:t>
      </w:r>
      <w:r w:rsidR="00745BB5" w:rsidRPr="001D0B7A">
        <w:rPr>
          <w:kern w:val="1"/>
        </w:rPr>
        <w:t xml:space="preserve"> </w:t>
      </w:r>
      <w:r w:rsidR="004B239C">
        <w:rPr>
          <w:kern w:val="1"/>
        </w:rPr>
        <w:t>[pers. </w:t>
      </w:r>
      <w:r w:rsidR="004B239C">
        <w:t>B]</w:t>
      </w:r>
      <w:r w:rsidR="00FE45F0" w:rsidRPr="00F76243">
        <w:rPr>
          <w:kern w:val="1"/>
        </w:rPr>
        <w:t xml:space="preserve"> </w:t>
      </w:r>
      <w:r w:rsidR="00745BB5" w:rsidRPr="001D0B7A">
        <w:rPr>
          <w:kern w:val="1"/>
        </w:rPr>
        <w:t xml:space="preserve">un apsūdzēto </w:t>
      </w:r>
      <w:r w:rsidR="004B239C">
        <w:rPr>
          <w:kern w:val="1"/>
        </w:rPr>
        <w:t>[pers. A]</w:t>
      </w:r>
      <w:r w:rsidR="005448EC">
        <w:rPr>
          <w:kern w:val="1"/>
        </w:rPr>
        <w:t xml:space="preserve"> </w:t>
      </w:r>
      <w:r w:rsidR="00F76243" w:rsidRPr="00E43001">
        <w:rPr>
          <w:kern w:val="1"/>
        </w:rPr>
        <w:t>notika</w:t>
      </w:r>
      <w:r w:rsidR="00745BB5" w:rsidRPr="00E43001">
        <w:rPr>
          <w:kern w:val="1"/>
        </w:rPr>
        <w:t xml:space="preserve"> </w:t>
      </w:r>
      <w:r w:rsidR="00745BB5" w:rsidRPr="001D0B7A">
        <w:rPr>
          <w:kern w:val="1"/>
        </w:rPr>
        <w:t xml:space="preserve">sadzīvisks konflikts, kura laikā </w:t>
      </w:r>
      <w:r w:rsidR="004B239C">
        <w:rPr>
          <w:kern w:val="1"/>
        </w:rPr>
        <w:t>[pers. </w:t>
      </w:r>
      <w:r w:rsidR="004B239C">
        <w:t>B]</w:t>
      </w:r>
      <w:r w:rsidR="00745BB5" w:rsidRPr="001D0B7A">
        <w:rPr>
          <w:kern w:val="1"/>
        </w:rPr>
        <w:t xml:space="preserve"> turēj</w:t>
      </w:r>
      <w:r w:rsidR="00557834">
        <w:rPr>
          <w:kern w:val="1"/>
        </w:rPr>
        <w:t>a</w:t>
      </w:r>
      <w:r w:rsidR="00745BB5" w:rsidRPr="001D0B7A">
        <w:rPr>
          <w:kern w:val="1"/>
        </w:rPr>
        <w:t xml:space="preserve"> apsūdzēto iespiestu starp virtuves iebūvējamo iekārtu un virtuves galdu, tādējādi ierobežojot viņas brīvību un</w:t>
      </w:r>
      <w:r w:rsidR="00E43001">
        <w:rPr>
          <w:kern w:val="1"/>
        </w:rPr>
        <w:t xml:space="preserve"> pazemojot apsūdzēto</w:t>
      </w:r>
      <w:r w:rsidR="00745BB5">
        <w:rPr>
          <w:kern w:val="1"/>
        </w:rPr>
        <w:t>.</w:t>
      </w:r>
      <w:r w:rsidR="00745BB5" w:rsidRPr="001D0B7A">
        <w:rPr>
          <w:kern w:val="1"/>
        </w:rPr>
        <w:t xml:space="preserve"> </w:t>
      </w:r>
    </w:p>
    <w:p w14:paraId="07C84157" w14:textId="11B40C5B" w:rsidR="00745BB5" w:rsidRPr="000A18C1" w:rsidRDefault="00ED71B6" w:rsidP="00922205">
      <w:pPr>
        <w:spacing w:line="276" w:lineRule="auto"/>
        <w:ind w:firstLine="720"/>
        <w:jc w:val="both"/>
        <w:rPr>
          <w:rFonts w:eastAsiaTheme="minorHAnsi"/>
          <w:u w:val="double"/>
          <w:lang w:eastAsia="en-US"/>
        </w:rPr>
      </w:pPr>
      <w:r>
        <w:rPr>
          <w:kern w:val="1"/>
        </w:rPr>
        <w:t>[4.</w:t>
      </w:r>
      <w:r w:rsidR="00FE45F0">
        <w:rPr>
          <w:kern w:val="1"/>
        </w:rPr>
        <w:t>2</w:t>
      </w:r>
      <w:r>
        <w:rPr>
          <w:kern w:val="1"/>
        </w:rPr>
        <w:t>.2] T</w:t>
      </w:r>
      <w:r w:rsidR="00A726CF">
        <w:rPr>
          <w:kern w:val="1"/>
        </w:rPr>
        <w:t xml:space="preserve">iesa nav izvērtējusi </w:t>
      </w:r>
      <w:r w:rsidR="00A726CF" w:rsidRPr="00955B2C">
        <w:rPr>
          <w:kern w:val="1"/>
        </w:rPr>
        <w:t xml:space="preserve">Valsts policijas </w:t>
      </w:r>
      <w:r w:rsidR="00922205">
        <w:rPr>
          <w:kern w:val="1"/>
        </w:rPr>
        <w:t>[..]</w:t>
      </w:r>
      <w:r w:rsidR="00A726CF" w:rsidRPr="00955B2C">
        <w:rPr>
          <w:kern w:val="1"/>
        </w:rPr>
        <w:t xml:space="preserve"> reģiona pārvaldes </w:t>
      </w:r>
      <w:r w:rsidR="00922205">
        <w:rPr>
          <w:kern w:val="1"/>
        </w:rPr>
        <w:t xml:space="preserve">[..] </w:t>
      </w:r>
      <w:r w:rsidR="00A726CF" w:rsidRPr="00955B2C">
        <w:rPr>
          <w:kern w:val="1"/>
        </w:rPr>
        <w:t xml:space="preserve">iecirkņa Kārtības </w:t>
      </w:r>
      <w:r w:rsidR="00A726CF">
        <w:rPr>
          <w:kern w:val="1"/>
        </w:rPr>
        <w:t xml:space="preserve">policijas nodaļas inspektora </w:t>
      </w:r>
      <w:r w:rsidR="004B239C">
        <w:rPr>
          <w:kern w:val="1"/>
        </w:rPr>
        <w:t>[pers. </w:t>
      </w:r>
      <w:r w:rsidR="004B239C">
        <w:t>C]</w:t>
      </w:r>
      <w:r w:rsidR="00A726CF">
        <w:rPr>
          <w:kern w:val="1"/>
        </w:rPr>
        <w:t xml:space="preserve"> </w:t>
      </w:r>
      <w:r w:rsidR="00377C7E" w:rsidRPr="00955B2C">
        <w:rPr>
          <w:kern w:val="1"/>
        </w:rPr>
        <w:t>2021.</w:t>
      </w:r>
      <w:r w:rsidR="00377C7E">
        <w:rPr>
          <w:kern w:val="1"/>
        </w:rPr>
        <w:t> </w:t>
      </w:r>
      <w:r w:rsidR="00377C7E" w:rsidRPr="00955B2C">
        <w:rPr>
          <w:kern w:val="1"/>
        </w:rPr>
        <w:t xml:space="preserve">gada </w:t>
      </w:r>
      <w:r w:rsidR="004B239C">
        <w:rPr>
          <w:kern w:val="1"/>
        </w:rPr>
        <w:t>[..]</w:t>
      </w:r>
      <w:r w:rsidR="00377C7E" w:rsidRPr="00955B2C">
        <w:rPr>
          <w:kern w:val="1"/>
        </w:rPr>
        <w:t xml:space="preserve"> </w:t>
      </w:r>
      <w:r w:rsidR="00A726CF">
        <w:rPr>
          <w:kern w:val="1"/>
        </w:rPr>
        <w:t>ziņojum</w:t>
      </w:r>
      <w:r>
        <w:rPr>
          <w:kern w:val="1"/>
        </w:rPr>
        <w:t xml:space="preserve">ā </w:t>
      </w:r>
      <w:r w:rsidR="00A726CF">
        <w:rPr>
          <w:kern w:val="1"/>
        </w:rPr>
        <w:t>un</w:t>
      </w:r>
      <w:r w:rsidR="00A726CF" w:rsidRPr="00955B2C">
        <w:rPr>
          <w:kern w:val="1"/>
        </w:rPr>
        <w:t xml:space="preserve"> </w:t>
      </w:r>
      <w:r w:rsidR="004B239C">
        <w:rPr>
          <w:kern w:val="1"/>
        </w:rPr>
        <w:t>[pers. A]</w:t>
      </w:r>
      <w:r w:rsidR="00377C7E">
        <w:rPr>
          <w:kern w:val="1"/>
        </w:rPr>
        <w:t xml:space="preserve"> </w:t>
      </w:r>
      <w:r w:rsidR="00A726CF" w:rsidRPr="00955B2C">
        <w:rPr>
          <w:kern w:val="1"/>
        </w:rPr>
        <w:t>2021.</w:t>
      </w:r>
      <w:r w:rsidR="00A726CF">
        <w:rPr>
          <w:kern w:val="1"/>
        </w:rPr>
        <w:t> </w:t>
      </w:r>
      <w:r w:rsidR="00A726CF" w:rsidRPr="00955B2C">
        <w:rPr>
          <w:kern w:val="1"/>
        </w:rPr>
        <w:t xml:space="preserve">gada </w:t>
      </w:r>
      <w:r w:rsidR="00922205">
        <w:rPr>
          <w:kern w:val="1"/>
        </w:rPr>
        <w:t>[..]</w:t>
      </w:r>
      <w:r w:rsidR="00A726CF">
        <w:rPr>
          <w:kern w:val="1"/>
        </w:rPr>
        <w:t xml:space="preserve"> personas pārbaudes protokolā fiksētās ziņas</w:t>
      </w:r>
      <w:r>
        <w:rPr>
          <w:kern w:val="1"/>
        </w:rPr>
        <w:t xml:space="preserve"> par </w:t>
      </w:r>
      <w:r w:rsidR="00066F0E">
        <w:rPr>
          <w:kern w:val="1"/>
        </w:rPr>
        <w:t xml:space="preserve">konstatēto alkohola koncentrāciju </w:t>
      </w:r>
      <w:r w:rsidR="00A726CF">
        <w:rPr>
          <w:kern w:val="1"/>
        </w:rPr>
        <w:t xml:space="preserve">izelpotajā gaisā </w:t>
      </w:r>
      <w:r w:rsidR="00377C7E">
        <w:rPr>
          <w:kern w:val="1"/>
        </w:rPr>
        <w:t xml:space="preserve">un </w:t>
      </w:r>
      <w:r w:rsidR="00A726CF">
        <w:rPr>
          <w:kern w:val="1"/>
        </w:rPr>
        <w:t>tādējādi nepamatoti nav konstatējusi apsūdzētās a</w:t>
      </w:r>
      <w:r w:rsidR="00745BB5" w:rsidRPr="00955B2C">
        <w:rPr>
          <w:kern w:val="1"/>
        </w:rPr>
        <w:t>tbildību pastiprinoš</w:t>
      </w:r>
      <w:r w:rsidR="00A726CF">
        <w:rPr>
          <w:kern w:val="1"/>
        </w:rPr>
        <w:t>u</w:t>
      </w:r>
      <w:r w:rsidR="00745BB5" w:rsidRPr="00955B2C">
        <w:rPr>
          <w:kern w:val="1"/>
        </w:rPr>
        <w:t xml:space="preserve"> apstākli, ka noziedzīgs nodarījums izdarīts alkohola ietekmē</w:t>
      </w:r>
      <w:r w:rsidR="00A726CF">
        <w:rPr>
          <w:kern w:val="1"/>
        </w:rPr>
        <w:t>.</w:t>
      </w:r>
      <w:r w:rsidR="00745BB5" w:rsidRPr="00955B2C">
        <w:rPr>
          <w:kern w:val="1"/>
        </w:rPr>
        <w:t xml:space="preserve"> </w:t>
      </w:r>
      <w:r w:rsidR="00CA59EF">
        <w:rPr>
          <w:kern w:val="1"/>
        </w:rPr>
        <w:t xml:space="preserve">Turklāt tiesa nav konstatējusi arī </w:t>
      </w:r>
      <w:r w:rsidR="00745BB5" w:rsidRPr="001D0B7A">
        <w:rPr>
          <w:kern w:val="1"/>
        </w:rPr>
        <w:t>Krimināllikum</w:t>
      </w:r>
      <w:r w:rsidR="00557834">
        <w:rPr>
          <w:kern w:val="1"/>
        </w:rPr>
        <w:t>a</w:t>
      </w:r>
      <w:r w:rsidR="00745BB5" w:rsidRPr="001D0B7A">
        <w:rPr>
          <w:kern w:val="1"/>
        </w:rPr>
        <w:t xml:space="preserve"> 48. panta p</w:t>
      </w:r>
      <w:r w:rsidR="003206CA">
        <w:rPr>
          <w:kern w:val="1"/>
        </w:rPr>
        <w:t>irmās daļas 15. punktā paredzēto atbildību pastiprinoš</w:t>
      </w:r>
      <w:r w:rsidR="00E84B23" w:rsidRPr="00E43001">
        <w:rPr>
          <w:kern w:val="1"/>
        </w:rPr>
        <w:t>u</w:t>
      </w:r>
      <w:r w:rsidR="00745BB5" w:rsidRPr="001D0B7A">
        <w:rPr>
          <w:kern w:val="1"/>
        </w:rPr>
        <w:t xml:space="preserve"> apstākli</w:t>
      </w:r>
      <w:r w:rsidR="00CA59EF">
        <w:rPr>
          <w:kern w:val="1"/>
        </w:rPr>
        <w:t xml:space="preserve">, </w:t>
      </w:r>
      <w:r w:rsidR="006C6114">
        <w:rPr>
          <w:kern w:val="1"/>
        </w:rPr>
        <w:t>kuru</w:t>
      </w:r>
      <w:r w:rsidR="00A945D4">
        <w:rPr>
          <w:kern w:val="1"/>
        </w:rPr>
        <w:t xml:space="preserve"> apstiprina </w:t>
      </w:r>
      <w:r w:rsidR="00922205">
        <w:rPr>
          <w:kern w:val="1"/>
        </w:rPr>
        <w:t>[pers. A]</w:t>
      </w:r>
      <w:r w:rsidR="00A945D4">
        <w:rPr>
          <w:kern w:val="1"/>
        </w:rPr>
        <w:t xml:space="preserve"> liecinātais, ka cietušais </w:t>
      </w:r>
      <w:r w:rsidR="00922205">
        <w:rPr>
          <w:kern w:val="1"/>
        </w:rPr>
        <w:t>[pers. </w:t>
      </w:r>
      <w:r w:rsidR="00922205">
        <w:t>B]</w:t>
      </w:r>
      <w:r w:rsidR="00A945D4">
        <w:rPr>
          <w:kern w:val="1"/>
        </w:rPr>
        <w:t xml:space="preserve"> </w:t>
      </w:r>
      <w:r w:rsidR="00A945D4" w:rsidRPr="00E43001">
        <w:rPr>
          <w:kern w:val="1"/>
        </w:rPr>
        <w:t>bij</w:t>
      </w:r>
      <w:r w:rsidR="00F76243" w:rsidRPr="00E43001">
        <w:rPr>
          <w:kern w:val="1"/>
        </w:rPr>
        <w:t>a</w:t>
      </w:r>
      <w:r w:rsidR="00A945D4">
        <w:rPr>
          <w:kern w:val="1"/>
        </w:rPr>
        <w:t xml:space="preserve"> viņas laulātais. Minētais</w:t>
      </w:r>
      <w:r w:rsidR="00CA59EF">
        <w:rPr>
          <w:kern w:val="1"/>
        </w:rPr>
        <w:t xml:space="preserve"> </w:t>
      </w:r>
      <w:r w:rsidR="00A945D4">
        <w:rPr>
          <w:kern w:val="1"/>
        </w:rPr>
        <w:t>fakts</w:t>
      </w:r>
      <w:r w:rsidR="003206CA">
        <w:rPr>
          <w:rFonts w:eastAsiaTheme="minorHAnsi"/>
          <w:lang w:eastAsia="en-US"/>
        </w:rPr>
        <w:t xml:space="preserve"> </w:t>
      </w:r>
      <w:r w:rsidR="00745BB5">
        <w:rPr>
          <w:rFonts w:eastAsiaTheme="minorHAnsi"/>
          <w:lang w:eastAsia="en-US"/>
        </w:rPr>
        <w:t>kriminālprocesa gaitā nav apšaubīts</w:t>
      </w:r>
      <w:r w:rsidR="00377C7E">
        <w:rPr>
          <w:rFonts w:eastAsiaTheme="minorHAnsi"/>
          <w:lang w:eastAsia="en-US"/>
        </w:rPr>
        <w:t>.</w:t>
      </w:r>
      <w:r w:rsidR="00745BB5">
        <w:rPr>
          <w:rFonts w:eastAsiaTheme="minorHAnsi"/>
          <w:lang w:eastAsia="en-US"/>
        </w:rPr>
        <w:t xml:space="preserve"> </w:t>
      </w:r>
    </w:p>
    <w:p w14:paraId="377C1724" w14:textId="37AAC05A" w:rsidR="00745BB5" w:rsidRDefault="00066F0E" w:rsidP="00155396">
      <w:pPr>
        <w:spacing w:line="276" w:lineRule="auto"/>
        <w:ind w:firstLine="720"/>
        <w:jc w:val="both"/>
        <w:rPr>
          <w:kern w:val="1"/>
        </w:rPr>
      </w:pPr>
      <w:r>
        <w:rPr>
          <w:kern w:val="1"/>
        </w:rPr>
        <w:t>[4.</w:t>
      </w:r>
      <w:r w:rsidR="00A945D4">
        <w:rPr>
          <w:kern w:val="1"/>
        </w:rPr>
        <w:t>3</w:t>
      </w:r>
      <w:r>
        <w:rPr>
          <w:kern w:val="1"/>
        </w:rPr>
        <w:t>] </w:t>
      </w:r>
      <w:r w:rsidR="003206CA">
        <w:rPr>
          <w:kern w:val="1"/>
        </w:rPr>
        <w:t>Apelācijas instances tiesas spriedums ir</w:t>
      </w:r>
      <w:r w:rsidR="00745BB5">
        <w:rPr>
          <w:kern w:val="1"/>
        </w:rPr>
        <w:t xml:space="preserve"> pretrunīg</w:t>
      </w:r>
      <w:r w:rsidR="003206CA">
        <w:rPr>
          <w:kern w:val="1"/>
        </w:rPr>
        <w:t>s</w:t>
      </w:r>
      <w:r w:rsidR="00745BB5">
        <w:rPr>
          <w:kern w:val="1"/>
        </w:rPr>
        <w:t xml:space="preserve">, jo tiesa </w:t>
      </w:r>
      <w:r w:rsidR="003206CA">
        <w:rPr>
          <w:kern w:val="1"/>
        </w:rPr>
        <w:t>konstatēj</w:t>
      </w:r>
      <w:r w:rsidR="004441E1">
        <w:rPr>
          <w:kern w:val="1"/>
        </w:rPr>
        <w:t>usi</w:t>
      </w:r>
      <w:r w:rsidR="00745BB5">
        <w:rPr>
          <w:kern w:val="1"/>
        </w:rPr>
        <w:t xml:space="preserve"> vienu atbildību mīkstinošu apstākli</w:t>
      </w:r>
      <w:r w:rsidR="00155396">
        <w:rPr>
          <w:kern w:val="1"/>
        </w:rPr>
        <w:t>,</w:t>
      </w:r>
      <w:r w:rsidR="003206CA">
        <w:rPr>
          <w:kern w:val="1"/>
        </w:rPr>
        <w:t xml:space="preserve"> ka apsūdzētā atzīst vainu un nožēlo izdarīto</w:t>
      </w:r>
      <w:r w:rsidR="00745BB5">
        <w:rPr>
          <w:kern w:val="1"/>
        </w:rPr>
        <w:t xml:space="preserve">, </w:t>
      </w:r>
      <w:r w:rsidR="003206CA">
        <w:rPr>
          <w:kern w:val="1"/>
        </w:rPr>
        <w:t>bet</w:t>
      </w:r>
      <w:r w:rsidR="00745BB5">
        <w:rPr>
          <w:kern w:val="1"/>
        </w:rPr>
        <w:t xml:space="preserve"> otru atbildību mīkstinošu apstākli</w:t>
      </w:r>
      <w:r w:rsidR="00155396">
        <w:rPr>
          <w:kern w:val="1"/>
        </w:rPr>
        <w:t>, ka noziedzī</w:t>
      </w:r>
      <w:r w:rsidR="00155396" w:rsidRPr="00E43001">
        <w:rPr>
          <w:kern w:val="1"/>
        </w:rPr>
        <w:t>g</w:t>
      </w:r>
      <w:r w:rsidR="00F76243" w:rsidRPr="00E43001">
        <w:rPr>
          <w:kern w:val="1"/>
        </w:rPr>
        <w:t>ai</w:t>
      </w:r>
      <w:r w:rsidR="00155396" w:rsidRPr="00E43001">
        <w:rPr>
          <w:kern w:val="1"/>
        </w:rPr>
        <w:t>s</w:t>
      </w:r>
      <w:r w:rsidR="00155396">
        <w:rPr>
          <w:kern w:val="1"/>
        </w:rPr>
        <w:t xml:space="preserve"> nodarījums izdarīts cietušā amorālas uzvedības ietekmē</w:t>
      </w:r>
      <w:r w:rsidR="00CA59EF">
        <w:rPr>
          <w:kern w:val="1"/>
        </w:rPr>
        <w:t xml:space="preserve">, </w:t>
      </w:r>
      <w:r w:rsidR="00745BB5">
        <w:rPr>
          <w:kern w:val="1"/>
        </w:rPr>
        <w:t xml:space="preserve">un divus </w:t>
      </w:r>
      <w:r w:rsidR="006C6114">
        <w:rPr>
          <w:kern w:val="1"/>
        </w:rPr>
        <w:t xml:space="preserve">atbildību </w:t>
      </w:r>
      <w:r w:rsidR="00745BB5">
        <w:rPr>
          <w:kern w:val="1"/>
        </w:rPr>
        <w:t>pastip</w:t>
      </w:r>
      <w:r w:rsidR="003206CA">
        <w:rPr>
          <w:kern w:val="1"/>
        </w:rPr>
        <w:t>rinošus apstākļus</w:t>
      </w:r>
      <w:r w:rsidR="006C6114">
        <w:rPr>
          <w:kern w:val="1"/>
        </w:rPr>
        <w:t xml:space="preserve"> nav konstatējusi</w:t>
      </w:r>
      <w:r w:rsidR="003206CA">
        <w:rPr>
          <w:kern w:val="1"/>
        </w:rPr>
        <w:t>.</w:t>
      </w:r>
      <w:r w:rsidR="00155396">
        <w:rPr>
          <w:kern w:val="1"/>
        </w:rPr>
        <w:t xml:space="preserve"> </w:t>
      </w:r>
    </w:p>
    <w:p w14:paraId="3B3086B9" w14:textId="4D46EC87" w:rsidR="00656F0B" w:rsidRDefault="00155396" w:rsidP="00656F0B">
      <w:pPr>
        <w:spacing w:line="276" w:lineRule="auto"/>
        <w:ind w:firstLine="720"/>
        <w:jc w:val="both"/>
        <w:rPr>
          <w:kern w:val="1"/>
        </w:rPr>
      </w:pPr>
      <w:r>
        <w:rPr>
          <w:kern w:val="1"/>
        </w:rPr>
        <w:t>[</w:t>
      </w:r>
      <w:r w:rsidR="00AC1832">
        <w:rPr>
          <w:kern w:val="1"/>
        </w:rPr>
        <w:t>4</w:t>
      </w:r>
      <w:r>
        <w:rPr>
          <w:kern w:val="1"/>
        </w:rPr>
        <w:t>.</w:t>
      </w:r>
      <w:r w:rsidR="00A945D4">
        <w:rPr>
          <w:kern w:val="1"/>
        </w:rPr>
        <w:t>4</w:t>
      </w:r>
      <w:r>
        <w:rPr>
          <w:kern w:val="1"/>
        </w:rPr>
        <w:t>] </w:t>
      </w:r>
      <w:r w:rsidR="009C0078">
        <w:rPr>
          <w:kern w:val="1"/>
        </w:rPr>
        <w:t>Apelācijas instances tiesa nepamatoti nav konstatējusi atbildību pastiprinoš</w:t>
      </w:r>
      <w:r w:rsidR="00B46CED">
        <w:rPr>
          <w:kern w:val="1"/>
        </w:rPr>
        <w:t>u</w:t>
      </w:r>
      <w:r w:rsidR="009C0078">
        <w:rPr>
          <w:kern w:val="1"/>
        </w:rPr>
        <w:t>s apstākļus</w:t>
      </w:r>
      <w:r w:rsidR="006C6114">
        <w:rPr>
          <w:kern w:val="1"/>
        </w:rPr>
        <w:t xml:space="preserve"> un</w:t>
      </w:r>
      <w:r w:rsidR="009C0078">
        <w:rPr>
          <w:kern w:val="1"/>
        </w:rPr>
        <w:t xml:space="preserve"> tādējādi nelikumīgi noteikusi sodu,</w:t>
      </w:r>
      <w:r w:rsidR="009C0078" w:rsidRPr="009C0078">
        <w:rPr>
          <w:kern w:val="1"/>
        </w:rPr>
        <w:t xml:space="preserve"> </w:t>
      </w:r>
      <w:r w:rsidR="009C0078">
        <w:rPr>
          <w:kern w:val="1"/>
        </w:rPr>
        <w:t xml:space="preserve">kas </w:t>
      </w:r>
      <w:r w:rsidR="006C6114">
        <w:rPr>
          <w:kern w:val="1"/>
        </w:rPr>
        <w:t xml:space="preserve">atbilst </w:t>
      </w:r>
      <w:r w:rsidR="009C0078">
        <w:rPr>
          <w:kern w:val="1"/>
        </w:rPr>
        <w:t>Krimināllikuma 125. panta trešās daļas sankcijas minimāl</w:t>
      </w:r>
      <w:r w:rsidR="006C6114">
        <w:rPr>
          <w:kern w:val="1"/>
        </w:rPr>
        <w:t>ajai</w:t>
      </w:r>
      <w:r w:rsidR="009C0078">
        <w:rPr>
          <w:kern w:val="1"/>
        </w:rPr>
        <w:t xml:space="preserve"> robeža</w:t>
      </w:r>
      <w:r w:rsidR="006C6114">
        <w:rPr>
          <w:kern w:val="1"/>
        </w:rPr>
        <w:t>i</w:t>
      </w:r>
      <w:r w:rsidR="009C0078">
        <w:rPr>
          <w:kern w:val="1"/>
        </w:rPr>
        <w:t xml:space="preserve">. Atbilstoši </w:t>
      </w:r>
      <w:r w:rsidR="00745BB5" w:rsidRPr="00F265A9">
        <w:rPr>
          <w:kern w:val="1"/>
        </w:rPr>
        <w:t xml:space="preserve">Senāta </w:t>
      </w:r>
      <w:r w:rsidR="00AC1832">
        <w:rPr>
          <w:kern w:val="1"/>
        </w:rPr>
        <w:t xml:space="preserve">lēmumā lietā </w:t>
      </w:r>
      <w:r w:rsidR="00AC1832">
        <w:rPr>
          <w:kern w:val="1"/>
        </w:rPr>
        <w:lastRenderedPageBreak/>
        <w:t>Nr. SKK</w:t>
      </w:r>
      <w:r w:rsidR="00AC1832">
        <w:rPr>
          <w:kern w:val="1"/>
        </w:rPr>
        <w:noBreakHyphen/>
        <w:t>74/2006</w:t>
      </w:r>
      <w:r w:rsidR="00745BB5">
        <w:rPr>
          <w:kern w:val="1"/>
        </w:rPr>
        <w:t xml:space="preserve"> </w:t>
      </w:r>
      <w:r w:rsidR="006C6114">
        <w:rPr>
          <w:kern w:val="1"/>
        </w:rPr>
        <w:t xml:space="preserve">paustajai atziņai </w:t>
      </w:r>
      <w:r w:rsidR="00745BB5" w:rsidRPr="00206748">
        <w:rPr>
          <w:bCs/>
        </w:rPr>
        <w:t>Kriminā</w:t>
      </w:r>
      <w:r w:rsidR="00745BB5" w:rsidRPr="00206748">
        <w:rPr>
          <w:rFonts w:cs="Garamond"/>
          <w:bCs/>
        </w:rPr>
        <w:t>llikuma j</w:t>
      </w:r>
      <w:r w:rsidR="00745BB5" w:rsidRPr="00206748">
        <w:rPr>
          <w:bCs/>
        </w:rPr>
        <w:t>ē</w:t>
      </w:r>
      <w:r w:rsidR="00745BB5" w:rsidRPr="00206748">
        <w:rPr>
          <w:rFonts w:cs="Garamond"/>
          <w:bCs/>
        </w:rPr>
        <w:t>ga</w:t>
      </w:r>
      <w:r w:rsidR="00745BB5">
        <w:rPr>
          <w:rFonts w:cs="Garamond"/>
          <w:bCs/>
        </w:rPr>
        <w:t xml:space="preserve"> liedz </w:t>
      </w:r>
      <w:r w:rsidR="009C0078">
        <w:rPr>
          <w:rFonts w:cs="Garamond"/>
          <w:bCs/>
        </w:rPr>
        <w:t xml:space="preserve">noteikt </w:t>
      </w:r>
      <w:r w:rsidR="00745BB5">
        <w:rPr>
          <w:rFonts w:cs="Garamond"/>
          <w:bCs/>
        </w:rPr>
        <w:t>panta sankcijā paredzēto minimālo sodu, ja konstatēts kaut viens atbildību pastiprinošs apstāklis</w:t>
      </w:r>
      <w:r w:rsidR="00AC1832">
        <w:rPr>
          <w:kern w:val="1"/>
        </w:rPr>
        <w:t>.</w:t>
      </w:r>
    </w:p>
    <w:p w14:paraId="2DF1CF75" w14:textId="1AB630D0" w:rsidR="00745BB5" w:rsidRDefault="009C0078" w:rsidP="00656F0B">
      <w:pPr>
        <w:spacing w:line="276" w:lineRule="auto"/>
        <w:ind w:firstLine="720"/>
        <w:jc w:val="both"/>
        <w:rPr>
          <w:kern w:val="1"/>
        </w:rPr>
      </w:pPr>
      <w:r>
        <w:rPr>
          <w:kern w:val="1"/>
        </w:rPr>
        <w:t>Turklāt apelācijas instances tiesa</w:t>
      </w:r>
      <w:r w:rsidR="002D0FFA">
        <w:rPr>
          <w:kern w:val="1"/>
        </w:rPr>
        <w:t xml:space="preserve"> </w:t>
      </w:r>
      <w:r w:rsidR="00F10245" w:rsidRPr="00E43001">
        <w:rPr>
          <w:kern w:val="1"/>
        </w:rPr>
        <w:t>nepamatoti piemērojusi</w:t>
      </w:r>
      <w:r w:rsidR="00745BB5" w:rsidRPr="00E43001">
        <w:rPr>
          <w:kern w:val="1"/>
        </w:rPr>
        <w:t xml:space="preserve"> </w:t>
      </w:r>
      <w:r w:rsidR="00F10245" w:rsidRPr="00E43001">
        <w:rPr>
          <w:kern w:val="1"/>
        </w:rPr>
        <w:t xml:space="preserve">Krimināllikuma 55. pantu un </w:t>
      </w:r>
      <w:r w:rsidR="006C6114">
        <w:rPr>
          <w:kern w:val="1"/>
        </w:rPr>
        <w:t>notiesājusi apsūdzēto</w:t>
      </w:r>
      <w:r w:rsidR="00F10245" w:rsidRPr="00E43001">
        <w:rPr>
          <w:kern w:val="1"/>
        </w:rPr>
        <w:t xml:space="preserve"> nosacīt</w:t>
      </w:r>
      <w:r w:rsidR="002D0FFA" w:rsidRPr="00E43001">
        <w:rPr>
          <w:kern w:val="1"/>
        </w:rPr>
        <w:t>i</w:t>
      </w:r>
      <w:r w:rsidR="00F10245">
        <w:rPr>
          <w:kern w:val="1"/>
        </w:rPr>
        <w:t>.</w:t>
      </w:r>
      <w:r w:rsidR="00745BB5">
        <w:rPr>
          <w:kern w:val="1"/>
        </w:rPr>
        <w:t xml:space="preserve"> </w:t>
      </w:r>
      <w:r w:rsidR="00F10245">
        <w:rPr>
          <w:kern w:val="1"/>
        </w:rPr>
        <w:t>Atbilstoši m</w:t>
      </w:r>
      <w:r w:rsidR="00745BB5">
        <w:rPr>
          <w:kern w:val="1"/>
        </w:rPr>
        <w:t>inētā panta pirm</w:t>
      </w:r>
      <w:r w:rsidR="00F10245">
        <w:rPr>
          <w:kern w:val="1"/>
        </w:rPr>
        <w:t>ajai</w:t>
      </w:r>
      <w:r w:rsidR="00745BB5">
        <w:rPr>
          <w:kern w:val="1"/>
        </w:rPr>
        <w:t xml:space="preserve"> daļa</w:t>
      </w:r>
      <w:r w:rsidR="00F10245">
        <w:rPr>
          <w:kern w:val="1"/>
        </w:rPr>
        <w:t>i</w:t>
      </w:r>
      <w:r w:rsidR="00745BB5">
        <w:rPr>
          <w:kern w:val="1"/>
        </w:rPr>
        <w:t xml:space="preserve"> </w:t>
      </w:r>
      <w:r w:rsidR="00F10245">
        <w:rPr>
          <w:kern w:val="1"/>
        </w:rPr>
        <w:t xml:space="preserve">par </w:t>
      </w:r>
      <w:r w:rsidR="00745BB5">
        <w:rPr>
          <w:kern w:val="1"/>
        </w:rPr>
        <w:t>sevišķi smaga nozie</w:t>
      </w:r>
      <w:r w:rsidR="00F10245">
        <w:rPr>
          <w:kern w:val="1"/>
        </w:rPr>
        <w:t>dzīga nodarījuma izdarīšanu</w:t>
      </w:r>
      <w:r w:rsidR="00745BB5">
        <w:rPr>
          <w:kern w:val="1"/>
        </w:rPr>
        <w:t xml:space="preserve"> </w:t>
      </w:r>
      <w:r w:rsidR="00F10245">
        <w:rPr>
          <w:kern w:val="1"/>
        </w:rPr>
        <w:t xml:space="preserve">tiesa var </w:t>
      </w:r>
      <w:r w:rsidR="00557834">
        <w:rPr>
          <w:kern w:val="1"/>
        </w:rPr>
        <w:t>piemērot nosacītu notiesāšanu</w:t>
      </w:r>
      <w:r w:rsidR="00F10245">
        <w:rPr>
          <w:kern w:val="1"/>
        </w:rPr>
        <w:t xml:space="preserve"> </w:t>
      </w:r>
      <w:r w:rsidR="00745BB5">
        <w:rPr>
          <w:kern w:val="1"/>
        </w:rPr>
        <w:t xml:space="preserve">gadījumā, </w:t>
      </w:r>
      <w:r w:rsidR="00F10245">
        <w:rPr>
          <w:kern w:val="1"/>
        </w:rPr>
        <w:t>ja</w:t>
      </w:r>
      <w:r w:rsidR="00745BB5">
        <w:rPr>
          <w:kern w:val="1"/>
        </w:rPr>
        <w:t xml:space="preserve"> brīvības atņemšanas sods noteikts uz laiku līdz trim gadiem. </w:t>
      </w:r>
    </w:p>
    <w:p w14:paraId="4295B27A" w14:textId="77777777" w:rsidR="0087363A" w:rsidRDefault="0087363A" w:rsidP="00E95249">
      <w:pPr>
        <w:spacing w:line="276" w:lineRule="auto"/>
        <w:ind w:firstLine="720"/>
        <w:jc w:val="both"/>
        <w:rPr>
          <w:rFonts w:asciiTheme="majorBidi" w:hAnsiTheme="majorBidi" w:cstheme="majorBidi"/>
          <w:color w:val="000000"/>
        </w:rPr>
      </w:pPr>
    </w:p>
    <w:p w14:paraId="1A91A1FF" w14:textId="7E9CE67A" w:rsidR="00A263E6" w:rsidRDefault="0063237E" w:rsidP="00CC1289">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4441E1" w:rsidRDefault="00A263E6" w:rsidP="00E95249">
      <w:pPr>
        <w:spacing w:line="276" w:lineRule="auto"/>
        <w:ind w:firstLine="720"/>
        <w:jc w:val="both"/>
        <w:rPr>
          <w:rFonts w:asciiTheme="majorBidi" w:hAnsiTheme="majorBidi" w:cstheme="majorBidi"/>
          <w:color w:val="000000"/>
        </w:rPr>
      </w:pPr>
    </w:p>
    <w:p w14:paraId="5E5C7DA1" w14:textId="3E8E9176" w:rsidR="00B64F11" w:rsidRPr="00314D0E" w:rsidRDefault="00A263E6" w:rsidP="00157134">
      <w:pPr>
        <w:spacing w:line="276" w:lineRule="auto"/>
        <w:ind w:firstLine="720"/>
        <w:jc w:val="both"/>
        <w:rPr>
          <w:rFonts w:asciiTheme="majorBidi" w:hAnsiTheme="majorBidi" w:cstheme="majorBidi"/>
        </w:rPr>
      </w:pPr>
      <w:r w:rsidRPr="00314D0E">
        <w:rPr>
          <w:rFonts w:asciiTheme="majorBidi" w:hAnsiTheme="majorBidi" w:cstheme="majorBidi"/>
        </w:rPr>
        <w:t>[</w:t>
      </w:r>
      <w:r w:rsidR="001F4B45" w:rsidRPr="00314D0E">
        <w:rPr>
          <w:rFonts w:asciiTheme="majorBidi" w:hAnsiTheme="majorBidi" w:cstheme="majorBidi"/>
        </w:rPr>
        <w:t>5</w:t>
      </w:r>
      <w:r w:rsidR="00E02876" w:rsidRPr="00314D0E">
        <w:rPr>
          <w:rFonts w:asciiTheme="majorBidi" w:hAnsiTheme="majorBidi" w:cstheme="majorBidi"/>
        </w:rPr>
        <w:t>] </w:t>
      </w:r>
      <w:r w:rsidR="00157134" w:rsidRPr="00314D0E">
        <w:rPr>
          <w:rFonts w:asciiTheme="majorBidi" w:eastAsiaTheme="minorHAnsi" w:hAnsiTheme="majorBidi" w:cstheme="majorBidi"/>
          <w:kern w:val="0"/>
          <w:lang w:eastAsia="en-US" w:bidi="ar-SA"/>
        </w:rPr>
        <w:t xml:space="preserve">Izskatāmajā lietā tiesību jautājums, uz kuru jāatbild Senātam: </w:t>
      </w:r>
      <w:r w:rsidR="00605154" w:rsidRPr="00314D0E">
        <w:rPr>
          <w:rFonts w:asciiTheme="majorBidi" w:eastAsiaTheme="minorHAnsi" w:hAnsiTheme="majorBidi" w:cstheme="majorBidi"/>
          <w:kern w:val="0"/>
          <w:lang w:eastAsia="en-US" w:bidi="ar-SA"/>
        </w:rPr>
        <w:t>vai</w:t>
      </w:r>
      <w:r w:rsidR="00B64F11" w:rsidRPr="00314D0E">
        <w:rPr>
          <w:rFonts w:asciiTheme="majorBidi" w:hAnsiTheme="majorBidi" w:cstheme="majorBidi"/>
        </w:rPr>
        <w:t xml:space="preserve"> </w:t>
      </w:r>
      <w:r w:rsidR="00723B1D" w:rsidRPr="00314D0E">
        <w:rPr>
          <w:rFonts w:asciiTheme="majorBidi" w:hAnsiTheme="majorBidi" w:cstheme="majorBidi"/>
        </w:rPr>
        <w:t>Kriminālprocesa likuma 499. pant</w:t>
      </w:r>
      <w:r w:rsidR="004D714C" w:rsidRPr="00314D0E">
        <w:rPr>
          <w:rFonts w:asciiTheme="majorBidi" w:hAnsiTheme="majorBidi" w:cstheme="majorBidi"/>
        </w:rPr>
        <w:t xml:space="preserve">ā paredzētā kārtība par pierādījumu pārbaudes neizdarīšanu attiecībā uz visu apsūdzību vai tās patstāvīgu daļu </w:t>
      </w:r>
      <w:proofErr w:type="spellStart"/>
      <w:r w:rsidR="004D714C" w:rsidRPr="00314D0E">
        <w:rPr>
          <w:rFonts w:asciiTheme="majorBidi" w:hAnsiTheme="majorBidi" w:cstheme="majorBidi"/>
        </w:rPr>
        <w:t>prezumē</w:t>
      </w:r>
      <w:proofErr w:type="spellEnd"/>
      <w:r w:rsidR="004D714C" w:rsidRPr="00314D0E">
        <w:rPr>
          <w:rFonts w:asciiTheme="majorBidi" w:hAnsiTheme="majorBidi" w:cstheme="majorBidi"/>
        </w:rPr>
        <w:t xml:space="preserve"> pierādījumu pārbaudes neizdarīšanu arī daļā par sodu ietekmējošo apstākļu izvērtēšanu.</w:t>
      </w:r>
    </w:p>
    <w:p w14:paraId="3234FC8F" w14:textId="6CFBE0AE" w:rsidR="007C2CA7" w:rsidRPr="00157134" w:rsidRDefault="00B64F11" w:rsidP="00157134">
      <w:pPr>
        <w:widowControl/>
        <w:suppressAutoHyphens w:val="0"/>
        <w:autoSpaceDE w:val="0"/>
        <w:autoSpaceDN w:val="0"/>
        <w:adjustRightInd w:val="0"/>
        <w:spacing w:line="276" w:lineRule="auto"/>
        <w:ind w:firstLine="720"/>
        <w:jc w:val="both"/>
      </w:pPr>
      <w:r w:rsidRPr="00314D0E">
        <w:rPr>
          <w:rFonts w:asciiTheme="majorBidi" w:hAnsiTheme="majorBidi" w:cstheme="majorBidi"/>
        </w:rPr>
        <w:t>[5.1] </w:t>
      </w:r>
      <w:r w:rsidRPr="00314D0E">
        <w:rPr>
          <w:rFonts w:cs="Times New Roman"/>
        </w:rPr>
        <w:t>Senāts konstatē, ka p</w:t>
      </w:r>
      <w:r w:rsidR="007C2CA7" w:rsidRPr="00314D0E">
        <w:t>irmās instances tiesā lieta izskatīta saskaņā</w:t>
      </w:r>
      <w:r w:rsidR="007C2CA7">
        <w:t xml:space="preserve"> ar Kriminālprocesa likuma 499. panta </w:t>
      </w:r>
      <w:r w:rsidR="007C2CA7" w:rsidRPr="00070F31">
        <w:rPr>
          <w:rFonts w:asciiTheme="majorBidi" w:hAnsiTheme="majorBidi" w:cstheme="majorBidi"/>
        </w:rPr>
        <w:t xml:space="preserve">nosacījumiem, neizdarot pierādījumu pārbaudi. </w:t>
      </w:r>
    </w:p>
    <w:p w14:paraId="7CBD0695" w14:textId="77777777" w:rsidR="0055513C" w:rsidRPr="00070F31" w:rsidRDefault="0055513C" w:rsidP="0055513C">
      <w:pPr>
        <w:spacing w:line="276" w:lineRule="auto"/>
        <w:ind w:firstLine="720"/>
        <w:jc w:val="both"/>
        <w:rPr>
          <w:rFonts w:asciiTheme="majorBidi" w:hAnsiTheme="majorBidi" w:cstheme="majorBidi"/>
        </w:rPr>
      </w:pPr>
      <w:r w:rsidRPr="00070F31">
        <w:rPr>
          <w:rFonts w:asciiTheme="majorBidi" w:hAnsiTheme="majorBidi" w:cstheme="majorBidi"/>
        </w:rPr>
        <w:t>Atbilstoši Kriminālprocesa likuma 499. panta pirmajai daļai tiesa var pieņemt lēmumu par pierādījumu pārbaudes neizdarīšanu attiecībā uz visu apsūdzību vai tās patstāvīgu daļu tikai ar nosacījumu, ka: 1) apsūdzētais atzīst savu vainu visā viņam izvirzītajā apsūdzībā vai attiecīgā tās daļā; 2) tiesai pēc lietas materiālu pārbaudes nav šaubu par apsūdzētā vainu; 3) apsūdzētais, bet obligātās aizstāvības gadījumos arī viņa aizstāvis un pārstāvis, piekrīt šādas pārbaudes neizdarīšanai.</w:t>
      </w:r>
    </w:p>
    <w:p w14:paraId="3F6337CD" w14:textId="3077F020" w:rsidR="007517A7" w:rsidRDefault="007517A7" w:rsidP="00922205">
      <w:pPr>
        <w:spacing w:line="276" w:lineRule="auto"/>
        <w:ind w:firstLine="720"/>
        <w:jc w:val="both"/>
        <w:rPr>
          <w:rFonts w:ascii="TimesNewRomanPSMT" w:eastAsiaTheme="minorHAnsi" w:hAnsi="TimesNewRomanPSMT" w:cs="TimesNewRomanPSMT"/>
          <w:kern w:val="0"/>
          <w:lang w:eastAsia="en-US" w:bidi="ar-SA"/>
        </w:rPr>
      </w:pPr>
      <w:r w:rsidRPr="00070F31">
        <w:rPr>
          <w:rFonts w:asciiTheme="majorBidi" w:hAnsiTheme="majorBidi" w:cstheme="majorBidi"/>
        </w:rPr>
        <w:t xml:space="preserve">Pirmās instances tiesa, nosakot </w:t>
      </w:r>
      <w:r w:rsidR="00922205">
        <w:rPr>
          <w:rFonts w:asciiTheme="majorBidi" w:hAnsiTheme="majorBidi" w:cstheme="majorBidi"/>
        </w:rPr>
        <w:t>[pers. </w:t>
      </w:r>
      <w:r w:rsidR="00922205">
        <w:t>A]</w:t>
      </w:r>
      <w:r w:rsidRPr="00070F31">
        <w:rPr>
          <w:rFonts w:asciiTheme="majorBidi" w:hAnsiTheme="majorBidi" w:cstheme="majorBidi"/>
        </w:rPr>
        <w:t xml:space="preserve"> sodu, </w:t>
      </w:r>
      <w:r w:rsidR="007E692C">
        <w:rPr>
          <w:rFonts w:asciiTheme="majorBidi" w:hAnsiTheme="majorBidi" w:cstheme="majorBidi"/>
        </w:rPr>
        <w:t>izvērtējusi</w:t>
      </w:r>
      <w:r w:rsidRPr="00070F31">
        <w:rPr>
          <w:rFonts w:asciiTheme="majorBidi" w:hAnsiTheme="majorBidi" w:cstheme="majorBidi"/>
        </w:rPr>
        <w:t xml:space="preserve"> likumā paredzētos soda veida un mēra kritērijus</w:t>
      </w:r>
      <w:r w:rsidR="00B54553">
        <w:rPr>
          <w:rFonts w:asciiTheme="majorBidi" w:hAnsiTheme="majorBidi" w:cstheme="majorBidi"/>
        </w:rPr>
        <w:t> </w:t>
      </w:r>
      <w:r w:rsidRPr="00070F31">
        <w:rPr>
          <w:rFonts w:asciiTheme="majorBidi" w:hAnsiTheme="majorBidi" w:cstheme="majorBidi"/>
        </w:rPr>
        <w:t xml:space="preserve">– noziedzīgā nodarījuma raksturu un radīto kaitējumu, vainīgā personību, </w:t>
      </w:r>
      <w:r w:rsidR="00A44F78">
        <w:rPr>
          <w:rFonts w:asciiTheme="majorBidi" w:hAnsiTheme="majorBidi" w:cstheme="majorBidi"/>
        </w:rPr>
        <w:t xml:space="preserve">konstatējusi </w:t>
      </w:r>
      <w:r w:rsidRPr="00070F31">
        <w:rPr>
          <w:rFonts w:asciiTheme="majorBidi" w:hAnsiTheme="majorBidi" w:cstheme="majorBidi"/>
        </w:rPr>
        <w:t>viņas</w:t>
      </w:r>
      <w:r w:rsidRPr="00070F31">
        <w:rPr>
          <w:rFonts w:cs="Times New Roman"/>
        </w:rPr>
        <w:t xml:space="preserve"> </w:t>
      </w:r>
      <w:r w:rsidRPr="001C2767">
        <w:rPr>
          <w:rFonts w:cs="Times New Roman"/>
        </w:rPr>
        <w:t>atbildību mīkstinoš</w:t>
      </w:r>
      <w:r w:rsidR="00B46CED">
        <w:rPr>
          <w:rFonts w:cs="Times New Roman"/>
        </w:rPr>
        <w:t>u</w:t>
      </w:r>
      <w:r w:rsidRPr="001C2767">
        <w:rPr>
          <w:rFonts w:cs="Times New Roman"/>
        </w:rPr>
        <w:t>s un pastiprinoš</w:t>
      </w:r>
      <w:r w:rsidR="00B46CED">
        <w:rPr>
          <w:rFonts w:cs="Times New Roman"/>
        </w:rPr>
        <w:t>u</w:t>
      </w:r>
      <w:r w:rsidRPr="001C2767">
        <w:rPr>
          <w:rFonts w:cs="Times New Roman"/>
        </w:rPr>
        <w:t>s apstākļus.</w:t>
      </w:r>
      <w:r w:rsidR="00AE29C2">
        <w:rPr>
          <w:rFonts w:cs="Times New Roman"/>
        </w:rPr>
        <w:t xml:space="preserve"> Pirmās instances tiesa atbilstoši Krimināllikuma 47. panta pirmās daļas 5. punktam un otrajai daļai konstatējusi divus apsūdzētās </w:t>
      </w:r>
      <w:r w:rsidR="00922205">
        <w:rPr>
          <w:rFonts w:cs="Times New Roman"/>
        </w:rPr>
        <w:t>[pers. </w:t>
      </w:r>
      <w:r w:rsidR="00922205">
        <w:t>A]</w:t>
      </w:r>
      <w:r w:rsidR="00AE29C2">
        <w:rPr>
          <w:rFonts w:cs="Times New Roman"/>
        </w:rPr>
        <w:t xml:space="preserve"> atbildību mīkstinoš</w:t>
      </w:r>
      <w:r w:rsidR="00B46CED">
        <w:rPr>
          <w:rFonts w:cs="Times New Roman"/>
        </w:rPr>
        <w:t>u</w:t>
      </w:r>
      <w:r w:rsidR="00AE29C2">
        <w:rPr>
          <w:rFonts w:cs="Times New Roman"/>
        </w:rPr>
        <w:t xml:space="preserve">s apstākļus, </w:t>
      </w:r>
      <w:r w:rsidR="00AE29C2">
        <w:rPr>
          <w:rFonts w:ascii="TimesNewRomanPSMT" w:eastAsiaTheme="minorHAnsi" w:hAnsi="TimesNewRomanPSMT" w:cs="TimesNewRomanPSMT"/>
          <w:kern w:val="0"/>
          <w:lang w:eastAsia="en-US" w:bidi="ar-SA"/>
        </w:rPr>
        <w:t>ka noziedzīgais nodarījums izdarīts cietušā amorālas</w:t>
      </w:r>
      <w:r w:rsidR="00AE29C2">
        <w:rPr>
          <w:rFonts w:cs="Times New Roman"/>
        </w:rPr>
        <w:t xml:space="preserve"> </w:t>
      </w:r>
      <w:r w:rsidR="00AE29C2">
        <w:rPr>
          <w:rFonts w:ascii="TimesNewRomanPSMT" w:eastAsiaTheme="minorHAnsi" w:hAnsi="TimesNewRomanPSMT" w:cs="TimesNewRomanPSMT"/>
          <w:kern w:val="0"/>
          <w:lang w:eastAsia="en-US" w:bidi="ar-SA"/>
        </w:rPr>
        <w:t>uzvedības ietekmē un apsūdzētā atzin</w:t>
      </w:r>
      <w:r w:rsidR="00657F4B">
        <w:rPr>
          <w:rFonts w:ascii="TimesNewRomanPSMT" w:eastAsiaTheme="minorHAnsi" w:hAnsi="TimesNewRomanPSMT" w:cs="TimesNewRomanPSMT"/>
          <w:kern w:val="0"/>
          <w:lang w:eastAsia="en-US" w:bidi="ar-SA"/>
        </w:rPr>
        <w:t>a</w:t>
      </w:r>
      <w:r w:rsidR="00AE29C2">
        <w:rPr>
          <w:rFonts w:ascii="TimesNewRomanPSMT" w:eastAsiaTheme="minorHAnsi" w:hAnsi="TimesNewRomanPSMT" w:cs="TimesNewRomanPSMT"/>
          <w:kern w:val="0"/>
          <w:lang w:eastAsia="en-US" w:bidi="ar-SA"/>
        </w:rPr>
        <w:t xml:space="preserve"> savu vainu un nožēlo izdarīto. Savukārt par atbildību pastiprinošiem apstākļiem saskaņā ar Krimināllikuma 48. panta pirmās daļas 12. un 15. punktu tiesa atzinusi to, ka noziedzīg</w:t>
      </w:r>
      <w:r w:rsidR="00656F0B" w:rsidRPr="00E43001">
        <w:rPr>
          <w:rFonts w:ascii="TimesNewRomanPSMT" w:eastAsiaTheme="minorHAnsi" w:hAnsi="TimesNewRomanPSMT" w:cs="TimesNewRomanPSMT"/>
          <w:kern w:val="0"/>
          <w:lang w:eastAsia="en-US" w:bidi="ar-SA"/>
        </w:rPr>
        <w:t>ai</w:t>
      </w:r>
      <w:r w:rsidR="00AE29C2" w:rsidRPr="00E43001">
        <w:rPr>
          <w:rFonts w:ascii="TimesNewRomanPSMT" w:eastAsiaTheme="minorHAnsi" w:hAnsi="TimesNewRomanPSMT" w:cs="TimesNewRomanPSMT"/>
          <w:kern w:val="0"/>
          <w:lang w:eastAsia="en-US" w:bidi="ar-SA"/>
        </w:rPr>
        <w:t>s</w:t>
      </w:r>
      <w:r w:rsidR="00AE29C2">
        <w:rPr>
          <w:rFonts w:ascii="TimesNewRomanPSMT" w:eastAsiaTheme="minorHAnsi" w:hAnsi="TimesNewRomanPSMT" w:cs="TimesNewRomanPSMT"/>
          <w:kern w:val="0"/>
          <w:lang w:eastAsia="en-US" w:bidi="ar-SA"/>
        </w:rPr>
        <w:t xml:space="preserve"> nodarījums izdarīts alkohola ietekmē </w:t>
      </w:r>
      <w:r w:rsidR="00971B59">
        <w:rPr>
          <w:rFonts w:ascii="TimesNewRomanPSMT" w:eastAsiaTheme="minorHAnsi" w:hAnsi="TimesNewRomanPSMT" w:cs="TimesNewRomanPSMT"/>
          <w:kern w:val="0"/>
          <w:lang w:eastAsia="en-US" w:bidi="ar-SA"/>
        </w:rPr>
        <w:t>un</w:t>
      </w:r>
      <w:r w:rsidR="00AE29C2">
        <w:rPr>
          <w:rFonts w:ascii="TimesNewRomanPSMT" w:eastAsiaTheme="minorHAnsi" w:hAnsi="TimesNewRomanPSMT" w:cs="TimesNewRomanPSMT"/>
          <w:kern w:val="0"/>
          <w:lang w:eastAsia="en-US" w:bidi="ar-SA"/>
        </w:rPr>
        <w:t xml:space="preserve"> pret laulāto.</w:t>
      </w:r>
    </w:p>
    <w:p w14:paraId="5929C829" w14:textId="4FEC6B81" w:rsidR="00A533E4" w:rsidRPr="00A533E4" w:rsidRDefault="00A533E4" w:rsidP="00A533E4">
      <w:pPr>
        <w:spacing w:line="276" w:lineRule="auto"/>
        <w:ind w:firstLine="720"/>
        <w:jc w:val="both"/>
      </w:pPr>
      <w:r>
        <w:t>Saskaņā ar Kriminālprocesa likuma 499. panta ceturto daļu pirmās instances tiesas spriedumu apelācijas kārtībā var pārsūdzēt tikai daļā par tiesas piespriesto sodu, kompensāciju vai sakarā ar pieļautiem procesa pārkāpumiem. Senāts jau iepriekš norādījis, ka minētā tiesību norma nozīmē to, ka apelācijas instances tiesa nevāc un nepārbauda pierādījumus par apsūdzētā vainīgumu, bet izskata lietu tikai daļā par sodu, kompensāciju vai pieļautiem procesa pārkāpumiem (</w:t>
      </w:r>
      <w:bookmarkStart w:id="1" w:name="_Hlk163800374"/>
      <w:r w:rsidRPr="007C2CA7">
        <w:rPr>
          <w:i/>
          <w:iCs/>
        </w:rPr>
        <w:t>Senāta 2013. gada 12. marta lēmums lietā Nr. </w:t>
      </w:r>
      <w:hyperlink r:id="rId8" w:history="1">
        <w:r w:rsidRPr="00AF5530">
          <w:rPr>
            <w:rStyle w:val="Hyperlink"/>
            <w:i/>
            <w:iCs/>
          </w:rPr>
          <w:t>SKK</w:t>
        </w:r>
        <w:r w:rsidRPr="00AF5530">
          <w:rPr>
            <w:rStyle w:val="Hyperlink"/>
            <w:i/>
            <w:iCs/>
          </w:rPr>
          <w:noBreakHyphen/>
          <w:t>98/2013</w:t>
        </w:r>
      </w:hyperlink>
      <w:r w:rsidRPr="007C2CA7">
        <w:rPr>
          <w:i/>
          <w:iCs/>
        </w:rPr>
        <w:t>, 11519005410</w:t>
      </w:r>
      <w:bookmarkEnd w:id="1"/>
      <w:r>
        <w:t>).</w:t>
      </w:r>
    </w:p>
    <w:p w14:paraId="382BE926" w14:textId="71EC246C" w:rsidR="00BD5B0B" w:rsidRPr="004540C4" w:rsidRDefault="00157134" w:rsidP="00922205">
      <w:pPr>
        <w:spacing w:line="276" w:lineRule="auto"/>
        <w:ind w:firstLine="720"/>
        <w:jc w:val="both"/>
      </w:pPr>
      <w:r>
        <w:t xml:space="preserve">Apelācijas instances tiesa, iztiesājot krimināllietu apelācijas kārtībā sakarā ar apsūdzētās </w:t>
      </w:r>
      <w:r w:rsidR="00922205">
        <w:t>[pers. A]</w:t>
      </w:r>
      <w:r>
        <w:t xml:space="preserve"> aizstāvja N. </w:t>
      </w:r>
      <w:proofErr w:type="spellStart"/>
      <w:r>
        <w:t>Reča</w:t>
      </w:r>
      <w:proofErr w:type="spellEnd"/>
      <w:r>
        <w:t xml:space="preserve"> apelācijas sūdzību,</w:t>
      </w:r>
      <w:r w:rsidRPr="003072FB">
        <w:rPr>
          <w:rFonts w:asciiTheme="majorBidi" w:hAnsiTheme="majorBidi" w:cstheme="majorBidi"/>
        </w:rPr>
        <w:t xml:space="preserve"> atcēlusi pirmās instances tiesas notiesājošo spriedumu daļā</w:t>
      </w:r>
      <w:r w:rsidRPr="003072FB">
        <w:t xml:space="preserve"> par sodu un taisījusi </w:t>
      </w:r>
      <w:r>
        <w:t>šajā daļā jaunu spriedumu. Tiesa</w:t>
      </w:r>
      <w:r w:rsidR="007E692C">
        <w:t xml:space="preserve"> secinājusi, ka pirmās instances tiesa, lemjot par apsūdzētajai nosakāmo soda mēru, </w:t>
      </w:r>
      <w:r w:rsidR="007B1ACA" w:rsidRPr="00E43001">
        <w:t>ne</w:t>
      </w:r>
      <w:r w:rsidR="007E692C" w:rsidRPr="00E43001">
        <w:t xml:space="preserve">pamatoti </w:t>
      </w:r>
      <w:r w:rsidR="00860397" w:rsidRPr="00E43001">
        <w:t xml:space="preserve">par </w:t>
      </w:r>
      <w:r w:rsidR="007E692C" w:rsidRPr="00E43001">
        <w:t xml:space="preserve">atbildību mīkstinošu </w:t>
      </w:r>
      <w:r w:rsidR="00860397" w:rsidRPr="00E43001">
        <w:t xml:space="preserve">atzinusi </w:t>
      </w:r>
      <w:r w:rsidR="007E692C" w:rsidRPr="00E43001">
        <w:t>apstākli</w:t>
      </w:r>
      <w:r w:rsidR="007B1ACA">
        <w:t>, ka noziedzīgais nodarījums izdarīts cietušā amorālas uzvedības ietekmē</w:t>
      </w:r>
      <w:r w:rsidR="00DC480A">
        <w:t>,</w:t>
      </w:r>
      <w:r w:rsidR="00AD63CB">
        <w:t xml:space="preserve"> un nepamatoti konstatējusi divus atbildību pastiprinošus apstākļus.</w:t>
      </w:r>
      <w:r w:rsidR="004540C4">
        <w:t xml:space="preserve"> Apelācijas instances tiesa</w:t>
      </w:r>
      <w:r w:rsidR="00BD5B0B">
        <w:t xml:space="preserve"> </w:t>
      </w:r>
      <w:r w:rsidR="00BD5B0B" w:rsidRPr="00E57566">
        <w:t xml:space="preserve">atbilstoši Krimināllikuma 47. panta otrajai daļai konstatējusi vienu apsūdzētās </w:t>
      </w:r>
      <w:r w:rsidR="00922205">
        <w:t>[pers. A]</w:t>
      </w:r>
      <w:r w:rsidR="00BD5B0B" w:rsidRPr="00E57566">
        <w:t xml:space="preserve"> atbildību mīkstino</w:t>
      </w:r>
      <w:r w:rsidR="00BD5B0B" w:rsidRPr="00E43001">
        <w:t>š</w:t>
      </w:r>
      <w:r w:rsidR="00456686" w:rsidRPr="00E43001">
        <w:t>u</w:t>
      </w:r>
      <w:r w:rsidR="00BD5B0B" w:rsidRPr="00E57566">
        <w:t xml:space="preserve"> apstākli, ka apsūdzētā</w:t>
      </w:r>
      <w:r w:rsidR="00E43001">
        <w:t xml:space="preserve"> vaļsirdīgi atzinās un nožēloja izdarīto</w:t>
      </w:r>
      <w:r w:rsidR="004540C4">
        <w:t>, savukārt atbildību pastiprinoš</w:t>
      </w:r>
      <w:r w:rsidR="00B46CED">
        <w:t>u</w:t>
      </w:r>
      <w:r w:rsidR="004540C4">
        <w:t xml:space="preserve">s </w:t>
      </w:r>
      <w:r w:rsidR="004540C4">
        <w:lastRenderedPageBreak/>
        <w:t>apstākļus</w:t>
      </w:r>
      <w:r w:rsidR="00BD5B0B" w:rsidRPr="00E57566">
        <w:t xml:space="preserve"> </w:t>
      </w:r>
      <w:r w:rsidR="00971B59">
        <w:t>nav konstatējusi.</w:t>
      </w:r>
    </w:p>
    <w:p w14:paraId="73C3F31B" w14:textId="2B01B911" w:rsidR="00E57566" w:rsidRDefault="004540C4" w:rsidP="00922205">
      <w:pPr>
        <w:spacing w:line="276" w:lineRule="auto"/>
        <w:ind w:firstLine="720"/>
        <w:jc w:val="both"/>
      </w:pPr>
      <w:r>
        <w:t>Apelācijas instances tiesa p</w:t>
      </w:r>
      <w:r w:rsidR="00E57566" w:rsidRPr="00737DFB">
        <w:t xml:space="preserve">irmās instances tiesas sprieduma atcelšanu daļā par </w:t>
      </w:r>
      <w:r w:rsidR="00922205">
        <w:t>[pers. A]</w:t>
      </w:r>
      <w:r w:rsidR="00E57566" w:rsidRPr="00737DFB">
        <w:t xml:space="preserve"> noteikto sodu pamatojusi ar šādiem atzinumiem: </w:t>
      </w:r>
    </w:p>
    <w:p w14:paraId="331C0BEB" w14:textId="378F2C1D" w:rsidR="00BD5B0B" w:rsidRDefault="00E57566" w:rsidP="00A120B0">
      <w:pPr>
        <w:spacing w:line="276" w:lineRule="auto"/>
        <w:ind w:firstLine="720"/>
        <w:jc w:val="both"/>
        <w:rPr>
          <w:rFonts w:ascii="TimesNewRomanPSMT" w:eastAsiaTheme="minorHAnsi" w:hAnsi="TimesNewRomanPSMT" w:cs="TimesNewRomanPSMT"/>
          <w:kern w:val="0"/>
          <w:lang w:eastAsia="en-US" w:bidi="ar-SA"/>
        </w:rPr>
      </w:pPr>
      <w:r>
        <w:t>1) </w:t>
      </w:r>
      <w:r w:rsidR="00BD5B0B">
        <w:rPr>
          <w:rFonts w:ascii="TimesNewRomanPSMT" w:eastAsiaTheme="minorHAnsi" w:hAnsi="TimesNewRomanPSMT" w:cs="TimesNewRomanPSMT"/>
          <w:kern w:val="0"/>
          <w:lang w:eastAsia="en-US" w:bidi="ar-SA"/>
        </w:rPr>
        <w:t xml:space="preserve">prokurors, </w:t>
      </w:r>
      <w:r>
        <w:rPr>
          <w:rFonts w:ascii="TimesNewRomanPSMT" w:eastAsiaTheme="minorHAnsi" w:hAnsi="TimesNewRomanPSMT" w:cs="TimesNewRomanPSMT"/>
          <w:kern w:val="0"/>
          <w:lang w:eastAsia="en-US" w:bidi="ar-SA"/>
        </w:rPr>
        <w:t xml:space="preserve">nododot lietu tiesai, </w:t>
      </w:r>
      <w:r w:rsidR="00BD5B0B">
        <w:rPr>
          <w:rFonts w:ascii="TimesNewRomanPSMT" w:eastAsiaTheme="minorHAnsi" w:hAnsi="TimesNewRomanPSMT" w:cs="TimesNewRomanPSMT"/>
          <w:kern w:val="0"/>
          <w:lang w:eastAsia="en-US" w:bidi="ar-SA"/>
        </w:rPr>
        <w:t xml:space="preserve">lēmumā par krimināllietas nodošanu tiesai </w:t>
      </w:r>
      <w:r>
        <w:rPr>
          <w:rFonts w:ascii="TimesNewRomanPSMT" w:eastAsiaTheme="minorHAnsi" w:hAnsi="TimesNewRomanPSMT" w:cs="TimesNewRomanPSMT"/>
          <w:kern w:val="0"/>
          <w:lang w:eastAsia="en-US" w:bidi="ar-SA"/>
        </w:rPr>
        <w:t>nebija norādījis</w:t>
      </w:r>
      <w:r w:rsidR="00BD5B0B" w:rsidRPr="00BD5B0B">
        <w:rPr>
          <w:rFonts w:ascii="TimesNewRomanPSMT" w:eastAsiaTheme="minorHAnsi" w:hAnsi="TimesNewRomanPSMT" w:cs="TimesNewRomanPSMT"/>
          <w:kern w:val="0"/>
          <w:lang w:eastAsia="en-US" w:bidi="ar-SA"/>
        </w:rPr>
        <w:t xml:space="preserve"> </w:t>
      </w:r>
      <w:r w:rsidR="00BD5B0B">
        <w:rPr>
          <w:rFonts w:ascii="TimesNewRomanPSMT" w:eastAsiaTheme="minorHAnsi" w:hAnsi="TimesNewRomanPSMT" w:cs="TimesNewRomanPSMT"/>
          <w:kern w:val="0"/>
          <w:lang w:eastAsia="en-US" w:bidi="ar-SA"/>
        </w:rPr>
        <w:t>divus apsūdzētās atbildību pastiprino</w:t>
      </w:r>
      <w:r w:rsidR="00BD5B0B" w:rsidRPr="000E4A93">
        <w:rPr>
          <w:rFonts w:ascii="TimesNewRomanPSMT" w:eastAsiaTheme="minorHAnsi" w:hAnsi="TimesNewRomanPSMT" w:cs="TimesNewRomanPSMT"/>
          <w:kern w:val="0"/>
          <w:lang w:eastAsia="en-US" w:bidi="ar-SA"/>
        </w:rPr>
        <w:t>š</w:t>
      </w:r>
      <w:r w:rsidR="00B46CED">
        <w:rPr>
          <w:rFonts w:ascii="TimesNewRomanPSMT" w:eastAsiaTheme="minorHAnsi" w:hAnsi="TimesNewRomanPSMT" w:cs="TimesNewRomanPSMT"/>
          <w:kern w:val="0"/>
          <w:lang w:eastAsia="en-US" w:bidi="ar-SA"/>
        </w:rPr>
        <w:t>u</w:t>
      </w:r>
      <w:r w:rsidR="00BD5B0B" w:rsidRPr="000E4A93">
        <w:rPr>
          <w:rFonts w:ascii="TimesNewRomanPSMT" w:eastAsiaTheme="minorHAnsi" w:hAnsi="TimesNewRomanPSMT" w:cs="TimesNewRomanPSMT"/>
          <w:kern w:val="0"/>
          <w:lang w:eastAsia="en-US" w:bidi="ar-SA"/>
        </w:rPr>
        <w:t>s</w:t>
      </w:r>
      <w:r w:rsidR="00BD5B0B" w:rsidRPr="00BD5B0B">
        <w:rPr>
          <w:rFonts w:ascii="TimesNewRomanPSMT" w:eastAsiaTheme="minorHAnsi" w:hAnsi="TimesNewRomanPSMT" w:cs="TimesNewRomanPSMT"/>
          <w:kern w:val="0"/>
          <w:lang w:eastAsia="en-US" w:bidi="ar-SA"/>
        </w:rPr>
        <w:t xml:space="preserve"> </w:t>
      </w:r>
      <w:r w:rsidR="00BD5B0B">
        <w:rPr>
          <w:rFonts w:ascii="TimesNewRomanPSMT" w:eastAsiaTheme="minorHAnsi" w:hAnsi="TimesNewRomanPSMT" w:cs="TimesNewRomanPSMT"/>
          <w:kern w:val="0"/>
          <w:lang w:eastAsia="en-US" w:bidi="ar-SA"/>
        </w:rPr>
        <w:t>apstākļus</w:t>
      </w:r>
      <w:r>
        <w:rPr>
          <w:rFonts w:ascii="TimesNewRomanPSMT" w:eastAsiaTheme="minorHAnsi" w:hAnsi="TimesNewRomanPSMT" w:cs="TimesNewRomanPSMT"/>
          <w:kern w:val="0"/>
          <w:lang w:eastAsia="en-US" w:bidi="ar-SA"/>
        </w:rPr>
        <w:t>, lietā netika veikta pierādījumu pārbaude, un lūgums par</w:t>
      </w:r>
      <w:r w:rsidR="00BD5B0B">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šādu apstākļu konstatēšanu izteikts tikai tiesu debatēs</w:t>
      </w:r>
      <w:r w:rsidR="00DC480A">
        <w:rPr>
          <w:rFonts w:ascii="TimesNewRomanPSMT" w:eastAsiaTheme="minorHAnsi" w:hAnsi="TimesNewRomanPSMT" w:cs="TimesNewRomanPSMT"/>
          <w:kern w:val="0"/>
          <w:lang w:eastAsia="en-US" w:bidi="ar-SA"/>
        </w:rPr>
        <w:t>;</w:t>
      </w:r>
    </w:p>
    <w:p w14:paraId="1BA1B0AC" w14:textId="1AEB7865" w:rsidR="00E57566" w:rsidRPr="003072FB" w:rsidRDefault="00A120B0" w:rsidP="00BD5B0B">
      <w:pPr>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2</w:t>
      </w:r>
      <w:r w:rsidR="00BD5B0B">
        <w:rPr>
          <w:rFonts w:ascii="TimesNewRomanPSMT" w:eastAsiaTheme="minorHAnsi" w:hAnsi="TimesNewRomanPSMT" w:cs="TimesNewRomanPSMT"/>
          <w:kern w:val="0"/>
          <w:lang w:eastAsia="en-US" w:bidi="ar-SA"/>
        </w:rPr>
        <w:t>) </w:t>
      </w:r>
      <w:r w:rsidR="00E57566">
        <w:rPr>
          <w:rFonts w:ascii="TimesNewRomanPSMT" w:eastAsiaTheme="minorHAnsi" w:hAnsi="TimesNewRomanPSMT" w:cs="TimesNewRomanPSMT"/>
          <w:kern w:val="0"/>
          <w:lang w:eastAsia="en-US" w:bidi="ar-SA"/>
        </w:rPr>
        <w:t>neveicot pierādījumu pārbaudi, abus pirmās instances tiesas</w:t>
      </w:r>
      <w:r w:rsidR="00BD5B0B">
        <w:rPr>
          <w:rFonts w:ascii="TimesNewRomanPSMT" w:eastAsiaTheme="minorHAnsi" w:hAnsi="TimesNewRomanPSMT" w:cs="TimesNewRomanPSMT"/>
          <w:kern w:val="0"/>
          <w:lang w:eastAsia="en-US" w:bidi="ar-SA"/>
        </w:rPr>
        <w:t xml:space="preserve"> </w:t>
      </w:r>
      <w:r w:rsidR="00E57566">
        <w:rPr>
          <w:rFonts w:ascii="TimesNewRomanPSMT" w:eastAsiaTheme="minorHAnsi" w:hAnsi="TimesNewRomanPSMT" w:cs="TimesNewRomanPSMT"/>
          <w:kern w:val="0"/>
          <w:lang w:eastAsia="en-US" w:bidi="ar-SA"/>
        </w:rPr>
        <w:t>spriedumā norādītos apsūdzētās atbildību pastiprinoš</w:t>
      </w:r>
      <w:r w:rsidR="00B46CED">
        <w:rPr>
          <w:rFonts w:ascii="TimesNewRomanPSMT" w:eastAsiaTheme="minorHAnsi" w:hAnsi="TimesNewRomanPSMT" w:cs="TimesNewRomanPSMT"/>
          <w:kern w:val="0"/>
          <w:lang w:eastAsia="en-US" w:bidi="ar-SA"/>
        </w:rPr>
        <w:t>u</w:t>
      </w:r>
      <w:r w:rsidR="00E57566">
        <w:rPr>
          <w:rFonts w:ascii="TimesNewRomanPSMT" w:eastAsiaTheme="minorHAnsi" w:hAnsi="TimesNewRomanPSMT" w:cs="TimesNewRomanPSMT"/>
          <w:kern w:val="0"/>
          <w:lang w:eastAsia="en-US" w:bidi="ar-SA"/>
        </w:rPr>
        <w:t>s apstākļus, kā arī mīkstino</w:t>
      </w:r>
      <w:r w:rsidR="00E57566" w:rsidRPr="000E4A93">
        <w:rPr>
          <w:rFonts w:ascii="TimesNewRomanPSMT" w:eastAsiaTheme="minorHAnsi" w:hAnsi="TimesNewRomanPSMT" w:cs="TimesNewRomanPSMT"/>
          <w:kern w:val="0"/>
          <w:lang w:eastAsia="en-US" w:bidi="ar-SA"/>
        </w:rPr>
        <w:t>š</w:t>
      </w:r>
      <w:r w:rsidR="00456686" w:rsidRPr="000E4A93">
        <w:rPr>
          <w:rFonts w:ascii="TimesNewRomanPSMT" w:eastAsiaTheme="minorHAnsi" w:hAnsi="TimesNewRomanPSMT" w:cs="TimesNewRomanPSMT"/>
          <w:kern w:val="0"/>
          <w:lang w:eastAsia="en-US" w:bidi="ar-SA"/>
        </w:rPr>
        <w:t>u</w:t>
      </w:r>
      <w:r w:rsidR="00BD5B0B">
        <w:rPr>
          <w:rFonts w:ascii="TimesNewRomanPSMT" w:eastAsiaTheme="minorHAnsi" w:hAnsi="TimesNewRomanPSMT" w:cs="TimesNewRomanPSMT"/>
          <w:kern w:val="0"/>
          <w:lang w:eastAsia="en-US" w:bidi="ar-SA"/>
        </w:rPr>
        <w:t xml:space="preserve"> </w:t>
      </w:r>
      <w:r w:rsidR="00E57566">
        <w:rPr>
          <w:rFonts w:ascii="TimesNewRomanPSMT" w:eastAsiaTheme="minorHAnsi" w:hAnsi="TimesNewRomanPSMT" w:cs="TimesNewRomanPSMT"/>
          <w:kern w:val="0"/>
          <w:lang w:eastAsia="en-US" w:bidi="ar-SA"/>
        </w:rPr>
        <w:t>apstākli saskaņā ar Krimināllikuma 47.</w:t>
      </w:r>
      <w:r w:rsidR="00492EB4">
        <w:rPr>
          <w:rFonts w:ascii="TimesNewRomanPSMT" w:eastAsiaTheme="minorHAnsi" w:hAnsi="TimesNewRomanPSMT" w:cs="TimesNewRomanPSMT"/>
          <w:kern w:val="0"/>
          <w:lang w:eastAsia="en-US" w:bidi="ar-SA"/>
        </w:rPr>
        <w:t> </w:t>
      </w:r>
      <w:r w:rsidR="00E57566">
        <w:rPr>
          <w:rFonts w:ascii="TimesNewRomanPSMT" w:eastAsiaTheme="minorHAnsi" w:hAnsi="TimesNewRomanPSMT" w:cs="TimesNewRomanPSMT"/>
          <w:kern w:val="0"/>
          <w:lang w:eastAsia="en-US" w:bidi="ar-SA"/>
        </w:rPr>
        <w:t>panta pirmās daļas 5.</w:t>
      </w:r>
      <w:r w:rsidR="00492EB4">
        <w:rPr>
          <w:rFonts w:ascii="TimesNewRomanPSMT" w:eastAsiaTheme="minorHAnsi" w:hAnsi="TimesNewRomanPSMT" w:cs="TimesNewRomanPSMT"/>
          <w:kern w:val="0"/>
          <w:lang w:eastAsia="en-US" w:bidi="ar-SA"/>
        </w:rPr>
        <w:t> </w:t>
      </w:r>
      <w:r w:rsidR="00E57566">
        <w:rPr>
          <w:rFonts w:ascii="TimesNewRomanPSMT" w:eastAsiaTheme="minorHAnsi" w:hAnsi="TimesNewRomanPSMT" w:cs="TimesNewRomanPSMT"/>
          <w:kern w:val="0"/>
          <w:lang w:eastAsia="en-US" w:bidi="ar-SA"/>
        </w:rPr>
        <w:t>punktu nebija pamata</w:t>
      </w:r>
      <w:r w:rsidR="00BD5B0B">
        <w:rPr>
          <w:rFonts w:ascii="TimesNewRomanPSMT" w:eastAsiaTheme="minorHAnsi" w:hAnsi="TimesNewRomanPSMT" w:cs="TimesNewRomanPSMT"/>
          <w:kern w:val="0"/>
          <w:lang w:eastAsia="en-US" w:bidi="ar-SA"/>
        </w:rPr>
        <w:t xml:space="preserve"> </w:t>
      </w:r>
      <w:r w:rsidR="00E57566">
        <w:rPr>
          <w:rFonts w:ascii="TimesNewRomanPSMT" w:eastAsiaTheme="minorHAnsi" w:hAnsi="TimesNewRomanPSMT" w:cs="TimesNewRomanPSMT"/>
          <w:kern w:val="0"/>
          <w:lang w:eastAsia="en-US" w:bidi="ar-SA"/>
        </w:rPr>
        <w:t xml:space="preserve">konstatēt, bet tādus būtu </w:t>
      </w:r>
      <w:r w:rsidR="00E57566" w:rsidRPr="003072FB">
        <w:rPr>
          <w:rFonts w:ascii="TimesNewRomanPSMT" w:eastAsiaTheme="minorHAnsi" w:hAnsi="TimesNewRomanPSMT" w:cs="TimesNewRomanPSMT"/>
          <w:kern w:val="0"/>
          <w:lang w:eastAsia="en-US" w:bidi="ar-SA"/>
        </w:rPr>
        <w:t>pamats konstatēt, pamatojoties uz lietā veiktu pierādījumu</w:t>
      </w:r>
      <w:r w:rsidR="00BD5B0B" w:rsidRPr="003072FB">
        <w:rPr>
          <w:rFonts w:ascii="TimesNewRomanPSMT" w:eastAsiaTheme="minorHAnsi" w:hAnsi="TimesNewRomanPSMT" w:cs="TimesNewRomanPSMT"/>
          <w:kern w:val="0"/>
          <w:lang w:eastAsia="en-US" w:bidi="ar-SA"/>
        </w:rPr>
        <w:t xml:space="preserve"> </w:t>
      </w:r>
      <w:r w:rsidR="00E57566" w:rsidRPr="003072FB">
        <w:rPr>
          <w:rFonts w:ascii="TimesNewRomanPSMT" w:eastAsiaTheme="minorHAnsi" w:hAnsi="TimesNewRomanPSMT" w:cs="TimesNewRomanPSMT"/>
          <w:kern w:val="0"/>
          <w:lang w:eastAsia="en-US" w:bidi="ar-SA"/>
        </w:rPr>
        <w:t>pārbaudi, ja šādi apstākļi apstiprinātos.</w:t>
      </w:r>
    </w:p>
    <w:p w14:paraId="49CC55BA" w14:textId="7C7CEFA3" w:rsidR="00A120B0" w:rsidRPr="003072FB" w:rsidRDefault="00943B11" w:rsidP="00C50DD6">
      <w:pPr>
        <w:spacing w:line="276" w:lineRule="auto"/>
        <w:ind w:firstLine="720"/>
        <w:jc w:val="both"/>
      </w:pPr>
      <w:r w:rsidRPr="003072FB">
        <w:rPr>
          <w:bCs/>
        </w:rPr>
        <w:t>[5.</w:t>
      </w:r>
      <w:r w:rsidR="001E1DDF">
        <w:rPr>
          <w:bCs/>
        </w:rPr>
        <w:t>2</w:t>
      </w:r>
      <w:r w:rsidRPr="003072FB">
        <w:rPr>
          <w:bCs/>
        </w:rPr>
        <w:t>] </w:t>
      </w:r>
      <w:r w:rsidR="00C50DD6" w:rsidRPr="003072FB">
        <w:t xml:space="preserve">Senāts atzīst par kļūdainu apelācijas instances tiesas </w:t>
      </w:r>
      <w:r w:rsidR="00A120B0" w:rsidRPr="003072FB">
        <w:t>secināto</w:t>
      </w:r>
      <w:r w:rsidR="00C50DD6" w:rsidRPr="003072FB">
        <w:t>, ka Kriminālprocesa likuma 499. panta piemērošanas gadījumā, neveicot pierādījumu pārbaudi daļā par vainīgumu, tiesa nepārbauda arī pierādījumus daļā par sodu ietekmējošiem apstākļiem</w:t>
      </w:r>
      <w:r w:rsidR="00A120B0" w:rsidRPr="003072FB">
        <w:t>.</w:t>
      </w:r>
    </w:p>
    <w:p w14:paraId="7E83E5A3" w14:textId="2523B54F" w:rsidR="00C50DD6" w:rsidRPr="003072FB" w:rsidRDefault="00C50DD6" w:rsidP="00C50DD6">
      <w:pPr>
        <w:spacing w:line="276" w:lineRule="auto"/>
        <w:ind w:firstLine="720"/>
        <w:jc w:val="both"/>
      </w:pPr>
      <w:r w:rsidRPr="003072FB">
        <w:t>Senāts norāda, ka tiesai jāņem vērā visi soda noteikšanas vispārīgie principi, tajā skaitā Krimināllikuma 35. un 46. pantā noteiktais arī gadījumā, ja lieta skatīta, neveicot pierādījumu pārbaudi saskaņā ar Kriminālprocesa likuma 499. pantu. Senāts norāda, ka tiesai ir jāmotivē, kāpēc tā piemēro konkrēto tiesību normu, konstatējot un atzīstot apsūdzētā atbildību mīkstinošu vai pastiprinošu apstākli lietā.</w:t>
      </w:r>
    </w:p>
    <w:p w14:paraId="68BC26DC" w14:textId="77777777" w:rsidR="00FE2B9A" w:rsidRPr="00314D0E" w:rsidRDefault="00FE2B9A" w:rsidP="00FE2B9A">
      <w:pPr>
        <w:spacing w:line="276" w:lineRule="auto"/>
        <w:ind w:firstLine="720"/>
        <w:jc w:val="both"/>
        <w:rPr>
          <w:bCs/>
        </w:rPr>
      </w:pPr>
      <w:r w:rsidRPr="003072FB">
        <w:t xml:space="preserve">Senāts jau iepriekš paudis atziņu, ka tiesa, to motivējot, var atzīt apstākli par atbildību pastiprinošu arī tādā gadījumā, ja prokurors nav norādījis uz konkrētu apstākli kā atbildību </w:t>
      </w:r>
      <w:r w:rsidRPr="00314D0E">
        <w:t>pastiprinošu, kā arī tad, ja prokurors uzskata, ka konkrēts apstāklis nepastiprina apsūdzētā atbildību (</w:t>
      </w:r>
      <w:bookmarkStart w:id="2" w:name="_Hlk163800429"/>
      <w:r w:rsidRPr="00314D0E">
        <w:rPr>
          <w:i/>
          <w:iCs/>
        </w:rPr>
        <w:t>Senāta 2008. gada 23. aprīļa lēmums lietā Nr. </w:t>
      </w:r>
      <w:hyperlink r:id="rId9" w:history="1">
        <w:r w:rsidRPr="00314D0E">
          <w:rPr>
            <w:rStyle w:val="Hyperlink"/>
            <w:i/>
            <w:iCs/>
          </w:rPr>
          <w:t>SKK</w:t>
        </w:r>
        <w:r w:rsidRPr="00314D0E">
          <w:rPr>
            <w:rStyle w:val="Hyperlink"/>
            <w:i/>
            <w:iCs/>
          </w:rPr>
          <w:noBreakHyphen/>
          <w:t>243/2008</w:t>
        </w:r>
      </w:hyperlink>
      <w:r w:rsidRPr="00314D0E">
        <w:rPr>
          <w:i/>
          <w:iCs/>
        </w:rPr>
        <w:t>, 11810022204</w:t>
      </w:r>
      <w:r w:rsidRPr="00314D0E">
        <w:t>)</w:t>
      </w:r>
      <w:bookmarkEnd w:id="2"/>
      <w:r w:rsidRPr="00314D0E">
        <w:t xml:space="preserve">. </w:t>
      </w:r>
    </w:p>
    <w:p w14:paraId="250D8E03" w14:textId="7735DECD" w:rsidR="00C50DD6" w:rsidRPr="00314D0E" w:rsidRDefault="00C50DD6" w:rsidP="00C50DD6">
      <w:pPr>
        <w:spacing w:line="276" w:lineRule="auto"/>
        <w:ind w:firstLine="720"/>
        <w:jc w:val="both"/>
        <w:rPr>
          <w:shd w:val="clear" w:color="auto" w:fill="FFFFFF"/>
        </w:rPr>
      </w:pPr>
      <w:r w:rsidRPr="00314D0E">
        <w:rPr>
          <w:shd w:val="clear" w:color="auto" w:fill="FFFFFF"/>
        </w:rPr>
        <w:t xml:space="preserve">Senāts konstatē, ka apelācijas instances tiesa, izlemjot jautājumu par apsūdzētajai </w:t>
      </w:r>
      <w:r w:rsidR="00922205">
        <w:rPr>
          <w:shd w:val="clear" w:color="auto" w:fill="FFFFFF"/>
        </w:rPr>
        <w:t>[pers. A]</w:t>
      </w:r>
      <w:r w:rsidRPr="00314D0E">
        <w:rPr>
          <w:shd w:val="clear" w:color="auto" w:fill="FFFFFF"/>
        </w:rPr>
        <w:t xml:space="preserve"> nosakāmo soda veidu un mēru, </w:t>
      </w:r>
      <w:r w:rsidR="00F90693" w:rsidRPr="00314D0E">
        <w:rPr>
          <w:shd w:val="clear" w:color="auto" w:fill="FFFFFF"/>
        </w:rPr>
        <w:t xml:space="preserve">minēto </w:t>
      </w:r>
      <w:r w:rsidRPr="00314D0E">
        <w:rPr>
          <w:shd w:val="clear" w:color="auto" w:fill="FFFFFF"/>
        </w:rPr>
        <w:t>Senāta judikatūrā pausto atziņu lēmumā lietā Nr. SKK</w:t>
      </w:r>
      <w:r w:rsidRPr="00314D0E">
        <w:rPr>
          <w:shd w:val="clear" w:color="auto" w:fill="FFFFFF"/>
        </w:rPr>
        <w:noBreakHyphen/>
        <w:t xml:space="preserve">243/2008 </w:t>
      </w:r>
      <w:r w:rsidR="00F90693" w:rsidRPr="00314D0E">
        <w:rPr>
          <w:shd w:val="clear" w:color="auto" w:fill="FFFFFF"/>
        </w:rPr>
        <w:t>nav ievērojusi</w:t>
      </w:r>
      <w:r w:rsidRPr="00314D0E">
        <w:rPr>
          <w:shd w:val="clear" w:color="auto" w:fill="FFFFFF"/>
        </w:rPr>
        <w:t>.</w:t>
      </w:r>
    </w:p>
    <w:p w14:paraId="3F43DE48" w14:textId="16329254" w:rsidR="00943B11" w:rsidRDefault="00943B11" w:rsidP="00DC523F">
      <w:pPr>
        <w:spacing w:line="276" w:lineRule="auto"/>
        <w:ind w:firstLine="720"/>
        <w:jc w:val="both"/>
      </w:pPr>
      <w:r w:rsidRPr="00314D0E">
        <w:t>Tiesas pienākums motivēt savu nolēmumu izriet no tiesībām uz taisnīgu tiesu; to savā praksē ir uzsvērusi gan Satversmes</w:t>
      </w:r>
      <w:r>
        <w:t xml:space="preserve"> tiesa, gan Eiropas Cilvēktiesību tiesa, gan Senāts (piemēram, </w:t>
      </w:r>
      <w:bookmarkStart w:id="3" w:name="_Hlk163800455"/>
      <w:r w:rsidRPr="00943B11">
        <w:rPr>
          <w:i/>
          <w:iCs/>
        </w:rPr>
        <w:t>Satversmes tiesas 2018.</w:t>
      </w:r>
      <w:r w:rsidR="00DC523F">
        <w:rPr>
          <w:i/>
          <w:iCs/>
        </w:rPr>
        <w:t> </w:t>
      </w:r>
      <w:r w:rsidRPr="00943B11">
        <w:rPr>
          <w:i/>
          <w:iCs/>
        </w:rPr>
        <w:t>gada 14.</w:t>
      </w:r>
      <w:r w:rsidR="00DC523F">
        <w:rPr>
          <w:i/>
          <w:iCs/>
        </w:rPr>
        <w:t> </w:t>
      </w:r>
      <w:r w:rsidRPr="00943B11">
        <w:rPr>
          <w:i/>
          <w:iCs/>
        </w:rPr>
        <w:t>jūnija spriedums lietā Nr.</w:t>
      </w:r>
      <w:r w:rsidR="00DC523F">
        <w:rPr>
          <w:i/>
          <w:iCs/>
        </w:rPr>
        <w:t> </w:t>
      </w:r>
      <w:hyperlink r:id="rId10" w:anchor="search=2017-23-01" w:history="1">
        <w:r w:rsidRPr="00DC523F">
          <w:rPr>
            <w:rStyle w:val="Hyperlink"/>
            <w:i/>
            <w:iCs/>
          </w:rPr>
          <w:t>2017</w:t>
        </w:r>
        <w:r w:rsidR="00DC523F" w:rsidRPr="00DC523F">
          <w:rPr>
            <w:rStyle w:val="Hyperlink"/>
            <w:i/>
            <w:iCs/>
          </w:rPr>
          <w:t>-</w:t>
        </w:r>
        <w:r w:rsidRPr="00DC523F">
          <w:rPr>
            <w:rStyle w:val="Hyperlink"/>
            <w:i/>
            <w:iCs/>
          </w:rPr>
          <w:t>23</w:t>
        </w:r>
        <w:r w:rsidR="00DC523F" w:rsidRPr="00DC523F">
          <w:rPr>
            <w:rStyle w:val="Hyperlink"/>
            <w:i/>
            <w:iCs/>
          </w:rPr>
          <w:t>-</w:t>
        </w:r>
        <w:r w:rsidRPr="00DC523F">
          <w:rPr>
            <w:rStyle w:val="Hyperlink"/>
            <w:i/>
            <w:iCs/>
          </w:rPr>
          <w:t>01</w:t>
        </w:r>
      </w:hyperlink>
      <w:bookmarkEnd w:id="3"/>
      <w:r w:rsidRPr="00943B11">
        <w:rPr>
          <w:i/>
          <w:iCs/>
        </w:rPr>
        <w:t xml:space="preserve">, </w:t>
      </w:r>
      <w:bookmarkStart w:id="4" w:name="_Hlk163800482"/>
      <w:r w:rsidRPr="00943B11">
        <w:rPr>
          <w:i/>
          <w:iCs/>
        </w:rPr>
        <w:t>Eiropas Cilvēktiesību tiesas 1987.</w:t>
      </w:r>
      <w:r w:rsidR="00DC523F">
        <w:rPr>
          <w:i/>
          <w:iCs/>
        </w:rPr>
        <w:t> </w:t>
      </w:r>
      <w:r w:rsidRPr="00943B11">
        <w:rPr>
          <w:i/>
          <w:iCs/>
        </w:rPr>
        <w:t>gada 30.</w:t>
      </w:r>
      <w:r w:rsidR="00DC523F">
        <w:rPr>
          <w:i/>
          <w:iCs/>
        </w:rPr>
        <w:t> </w:t>
      </w:r>
      <w:r w:rsidRPr="00943B11">
        <w:rPr>
          <w:i/>
          <w:iCs/>
        </w:rPr>
        <w:t>novembra sprieduma lietā „H.</w:t>
      </w:r>
      <w:r w:rsidR="00DC523F">
        <w:rPr>
          <w:i/>
          <w:iCs/>
        </w:rPr>
        <w:t> </w:t>
      </w:r>
      <w:r w:rsidRPr="00943B11">
        <w:rPr>
          <w:i/>
          <w:iCs/>
        </w:rPr>
        <w:t xml:space="preserve">v. </w:t>
      </w:r>
      <w:proofErr w:type="spellStart"/>
      <w:r w:rsidRPr="00943B11">
        <w:rPr>
          <w:i/>
          <w:iCs/>
        </w:rPr>
        <w:t>Belgium</w:t>
      </w:r>
      <w:proofErr w:type="spellEnd"/>
      <w:r w:rsidRPr="00943B11">
        <w:rPr>
          <w:i/>
          <w:iCs/>
        </w:rPr>
        <w:t>”, iesnieguma Nr.</w:t>
      </w:r>
      <w:r w:rsidR="00DC523F">
        <w:rPr>
          <w:i/>
          <w:iCs/>
        </w:rPr>
        <w:t> </w:t>
      </w:r>
      <w:hyperlink r:id="rId11" w:anchor="{%22tabview%22:[%22document%22],%22itemid%22:[%22001-57501%22]}" w:history="1">
        <w:r w:rsidRPr="000C7E70">
          <w:rPr>
            <w:rStyle w:val="Hyperlink"/>
            <w:i/>
            <w:iCs/>
          </w:rPr>
          <w:t>8950/80</w:t>
        </w:r>
      </w:hyperlink>
      <w:r w:rsidRPr="00943B11">
        <w:rPr>
          <w:i/>
          <w:iCs/>
        </w:rPr>
        <w:t>, 53.</w:t>
      </w:r>
      <w:r w:rsidR="00DC523F">
        <w:rPr>
          <w:i/>
          <w:iCs/>
        </w:rPr>
        <w:t> </w:t>
      </w:r>
      <w:r w:rsidRPr="00943B11">
        <w:rPr>
          <w:i/>
          <w:iCs/>
        </w:rPr>
        <w:t>punkts, 2003.</w:t>
      </w:r>
      <w:r w:rsidR="00DC523F">
        <w:rPr>
          <w:i/>
          <w:iCs/>
        </w:rPr>
        <w:t> </w:t>
      </w:r>
      <w:r w:rsidRPr="00943B11">
        <w:rPr>
          <w:i/>
          <w:iCs/>
        </w:rPr>
        <w:t>gada 1.</w:t>
      </w:r>
      <w:r w:rsidR="00DC523F">
        <w:rPr>
          <w:i/>
          <w:iCs/>
        </w:rPr>
        <w:t> </w:t>
      </w:r>
      <w:r w:rsidRPr="00943B11">
        <w:rPr>
          <w:i/>
          <w:iCs/>
        </w:rPr>
        <w:t>jūlija sprieduma lietā „</w:t>
      </w:r>
      <w:proofErr w:type="spellStart"/>
      <w:r w:rsidRPr="00943B11">
        <w:rPr>
          <w:i/>
          <w:iCs/>
        </w:rPr>
        <w:t>Suominen</w:t>
      </w:r>
      <w:proofErr w:type="spellEnd"/>
      <w:r w:rsidRPr="00943B11">
        <w:rPr>
          <w:i/>
          <w:iCs/>
        </w:rPr>
        <w:t xml:space="preserve"> v. </w:t>
      </w:r>
      <w:proofErr w:type="spellStart"/>
      <w:r w:rsidRPr="00943B11">
        <w:rPr>
          <w:i/>
          <w:iCs/>
        </w:rPr>
        <w:t>Finland</w:t>
      </w:r>
      <w:proofErr w:type="spellEnd"/>
      <w:r w:rsidRPr="00943B11">
        <w:rPr>
          <w:i/>
          <w:iCs/>
        </w:rPr>
        <w:t>”, iesnieguma Nr.</w:t>
      </w:r>
      <w:r w:rsidR="00DC523F">
        <w:rPr>
          <w:i/>
          <w:iCs/>
        </w:rPr>
        <w:t> </w:t>
      </w:r>
      <w:hyperlink r:id="rId12" w:anchor="{%22tabview%22:[%22document%22],%22itemid%22:[%22001-61178%22]}" w:history="1">
        <w:r w:rsidRPr="000C7E70">
          <w:rPr>
            <w:rStyle w:val="Hyperlink"/>
            <w:i/>
            <w:iCs/>
          </w:rPr>
          <w:t>37801/97</w:t>
        </w:r>
      </w:hyperlink>
      <w:r w:rsidRPr="00943B11">
        <w:rPr>
          <w:i/>
          <w:iCs/>
        </w:rPr>
        <w:t>, 33.</w:t>
      </w:r>
      <w:r w:rsidR="00DC523F">
        <w:rPr>
          <w:i/>
          <w:iCs/>
        </w:rPr>
        <w:noBreakHyphen/>
      </w:r>
      <w:r w:rsidRPr="00943B11">
        <w:rPr>
          <w:i/>
          <w:iCs/>
        </w:rPr>
        <w:t>38.</w:t>
      </w:r>
      <w:r w:rsidR="00DC523F">
        <w:rPr>
          <w:i/>
          <w:iCs/>
        </w:rPr>
        <w:t> </w:t>
      </w:r>
      <w:r w:rsidRPr="00943B11">
        <w:rPr>
          <w:i/>
          <w:iCs/>
        </w:rPr>
        <w:t>punkts un 2016.</w:t>
      </w:r>
      <w:r w:rsidR="00DC523F">
        <w:rPr>
          <w:i/>
          <w:iCs/>
        </w:rPr>
        <w:t> </w:t>
      </w:r>
      <w:r w:rsidRPr="00943B11">
        <w:rPr>
          <w:i/>
          <w:iCs/>
        </w:rPr>
        <w:t>gada 29.</w:t>
      </w:r>
      <w:r w:rsidR="00DC523F">
        <w:rPr>
          <w:i/>
          <w:iCs/>
        </w:rPr>
        <w:t> </w:t>
      </w:r>
      <w:r w:rsidRPr="00943B11">
        <w:rPr>
          <w:i/>
          <w:iCs/>
        </w:rPr>
        <w:t>novembra sprieduma lietā „</w:t>
      </w:r>
      <w:proofErr w:type="spellStart"/>
      <w:r w:rsidRPr="00943B11">
        <w:rPr>
          <w:i/>
          <w:iCs/>
        </w:rPr>
        <w:t>Carmel</w:t>
      </w:r>
      <w:proofErr w:type="spellEnd"/>
      <w:r w:rsidRPr="00943B11">
        <w:rPr>
          <w:i/>
          <w:iCs/>
        </w:rPr>
        <w:t xml:space="preserve"> </w:t>
      </w:r>
      <w:proofErr w:type="spellStart"/>
      <w:r w:rsidRPr="00943B11">
        <w:rPr>
          <w:i/>
          <w:iCs/>
        </w:rPr>
        <w:t>Saliba</w:t>
      </w:r>
      <w:proofErr w:type="spellEnd"/>
      <w:r w:rsidRPr="00943B11">
        <w:rPr>
          <w:i/>
          <w:iCs/>
        </w:rPr>
        <w:t xml:space="preserve"> v.</w:t>
      </w:r>
      <w:r w:rsidR="00DC523F">
        <w:rPr>
          <w:i/>
          <w:iCs/>
        </w:rPr>
        <w:t> </w:t>
      </w:r>
      <w:r w:rsidRPr="00943B11">
        <w:rPr>
          <w:i/>
          <w:iCs/>
        </w:rPr>
        <w:t>Malta”, iesnieguma Nr.</w:t>
      </w:r>
      <w:r w:rsidR="00DC523F">
        <w:rPr>
          <w:i/>
          <w:iCs/>
        </w:rPr>
        <w:t> </w:t>
      </w:r>
      <w:hyperlink r:id="rId13" w:anchor="{%22tabview%22:[%22document%22],%22itemid%22:[%22001-169057%22]}" w:history="1">
        <w:r w:rsidRPr="000C7E70">
          <w:rPr>
            <w:rStyle w:val="Hyperlink"/>
            <w:i/>
            <w:iCs/>
          </w:rPr>
          <w:t>24221/13</w:t>
        </w:r>
      </w:hyperlink>
      <w:r w:rsidRPr="00943B11">
        <w:rPr>
          <w:i/>
          <w:iCs/>
        </w:rPr>
        <w:t>, 71.</w:t>
      </w:r>
      <w:r w:rsidR="000C7E70">
        <w:rPr>
          <w:i/>
          <w:iCs/>
        </w:rPr>
        <w:noBreakHyphen/>
      </w:r>
      <w:r w:rsidRPr="00943B11">
        <w:rPr>
          <w:i/>
          <w:iCs/>
        </w:rPr>
        <w:t>77.</w:t>
      </w:r>
      <w:r w:rsidR="000C7E70">
        <w:rPr>
          <w:i/>
          <w:iCs/>
        </w:rPr>
        <w:t> </w:t>
      </w:r>
      <w:r w:rsidRPr="00943B11">
        <w:rPr>
          <w:i/>
          <w:iCs/>
        </w:rPr>
        <w:t>punkts, Senāta 2019.</w:t>
      </w:r>
      <w:r w:rsidR="00DC523F">
        <w:rPr>
          <w:i/>
          <w:iCs/>
        </w:rPr>
        <w:t> </w:t>
      </w:r>
      <w:r w:rsidRPr="00943B11">
        <w:rPr>
          <w:i/>
          <w:iCs/>
        </w:rPr>
        <w:t>gada 29.</w:t>
      </w:r>
      <w:r w:rsidR="00DC523F">
        <w:rPr>
          <w:i/>
          <w:iCs/>
        </w:rPr>
        <w:t> </w:t>
      </w:r>
      <w:r w:rsidRPr="00943B11">
        <w:rPr>
          <w:i/>
          <w:iCs/>
        </w:rPr>
        <w:t>maija spriedums lietā Nr.</w:t>
      </w:r>
      <w:r w:rsidR="00DC523F">
        <w:rPr>
          <w:i/>
          <w:iCs/>
        </w:rPr>
        <w:t> </w:t>
      </w:r>
      <w:r w:rsidRPr="00943B11">
        <w:rPr>
          <w:i/>
          <w:iCs/>
        </w:rPr>
        <w:t>SKA</w:t>
      </w:r>
      <w:r w:rsidR="00DC523F">
        <w:rPr>
          <w:i/>
          <w:iCs/>
        </w:rPr>
        <w:noBreakHyphen/>
      </w:r>
      <w:r w:rsidRPr="00943B11">
        <w:rPr>
          <w:i/>
          <w:iCs/>
        </w:rPr>
        <w:t xml:space="preserve">274/2019, </w:t>
      </w:r>
      <w:hyperlink r:id="rId14" w:history="1">
        <w:r w:rsidRPr="00DC523F">
          <w:rPr>
            <w:rStyle w:val="Hyperlink"/>
            <w:i/>
            <w:iCs/>
          </w:rPr>
          <w:t>ECLI:LV:AT:2019:0529.A420367614.3.S</w:t>
        </w:r>
      </w:hyperlink>
      <w:r>
        <w:t>)</w:t>
      </w:r>
      <w:bookmarkEnd w:id="4"/>
      <w:r>
        <w:t xml:space="preserve">. </w:t>
      </w:r>
    </w:p>
    <w:p w14:paraId="7091D346" w14:textId="77777777" w:rsidR="004656F0" w:rsidRDefault="00B64F11" w:rsidP="004656F0">
      <w:pPr>
        <w:spacing w:line="276" w:lineRule="auto"/>
        <w:ind w:firstLine="720"/>
        <w:jc w:val="both"/>
        <w:rPr>
          <w:rFonts w:cs="Times New Roman"/>
        </w:rPr>
      </w:pPr>
      <w:r>
        <w:t>Senāts ir uzsvēris, ka tiesas nolēmuma pamatotība ir viens no procesuālā taisnīguma nodrošināšanas līdzekļiem, un atbilstoši tai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w:t>
      </w:r>
      <w:bookmarkStart w:id="5" w:name="_Hlk163800673"/>
      <w:r w:rsidRPr="00B64F11">
        <w:rPr>
          <w:i/>
          <w:iCs/>
        </w:rPr>
        <w:t>Senāta 2022.</w:t>
      </w:r>
      <w:r>
        <w:rPr>
          <w:i/>
          <w:iCs/>
        </w:rPr>
        <w:t> </w:t>
      </w:r>
      <w:r w:rsidRPr="00B64F11">
        <w:rPr>
          <w:i/>
          <w:iCs/>
        </w:rPr>
        <w:t>gada 5. jūlija lēmuma lietā Nr.</w:t>
      </w:r>
      <w:r w:rsidR="00657F4B">
        <w:rPr>
          <w:i/>
          <w:iCs/>
        </w:rPr>
        <w:t> </w:t>
      </w:r>
      <w:r w:rsidRPr="00B64F11">
        <w:rPr>
          <w:i/>
          <w:iCs/>
        </w:rPr>
        <w:t>SKK</w:t>
      </w:r>
      <w:r w:rsidRPr="00B64F11">
        <w:rPr>
          <w:i/>
          <w:iCs/>
        </w:rPr>
        <w:noBreakHyphen/>
        <w:t xml:space="preserve">1/2022, </w:t>
      </w:r>
      <w:hyperlink r:id="rId15" w:history="1">
        <w:r w:rsidRPr="002E53D2">
          <w:rPr>
            <w:rStyle w:val="Hyperlink"/>
            <w:i/>
            <w:iCs/>
          </w:rPr>
          <w:t>ECLI:LV:AT:2022:0705.11816006914.4.L</w:t>
        </w:r>
      </w:hyperlink>
      <w:r w:rsidRPr="00B64F11">
        <w:rPr>
          <w:i/>
          <w:iCs/>
        </w:rPr>
        <w:t xml:space="preserve">, </w:t>
      </w:r>
      <w:bookmarkEnd w:id="5"/>
      <w:r w:rsidRPr="00B64F11">
        <w:rPr>
          <w:i/>
          <w:iCs/>
        </w:rPr>
        <w:t>18. punkts</w:t>
      </w:r>
      <w:r>
        <w:t>).</w:t>
      </w:r>
    </w:p>
    <w:p w14:paraId="67AF2A87" w14:textId="77777777" w:rsidR="004656F0" w:rsidRDefault="004656F0" w:rsidP="004656F0">
      <w:pPr>
        <w:spacing w:line="276" w:lineRule="auto"/>
        <w:ind w:firstLine="720"/>
        <w:jc w:val="both"/>
        <w:rPr>
          <w:rFonts w:cs="Times New Roman"/>
        </w:rPr>
      </w:pPr>
    </w:p>
    <w:p w14:paraId="50DA1CF4" w14:textId="67B7C1C4" w:rsidR="004656F0" w:rsidRPr="004656F0" w:rsidRDefault="00A17D48" w:rsidP="004656F0">
      <w:pPr>
        <w:spacing w:line="276" w:lineRule="auto"/>
        <w:ind w:firstLine="720"/>
        <w:jc w:val="both"/>
        <w:rPr>
          <w:rFonts w:cs="Times New Roman"/>
        </w:rPr>
      </w:pPr>
      <w:r w:rsidRPr="00314D0E">
        <w:rPr>
          <w:rFonts w:cs="Times New Roman"/>
        </w:rPr>
        <w:lastRenderedPageBreak/>
        <w:t>[6] </w:t>
      </w:r>
      <w:r w:rsidR="004656F0">
        <w:t xml:space="preserve">Ievērojot minēto, Senāts atzīst, ka apelācijas instances tiesa, konstatējot, ka pirmās instances tiesa lietu iztiesājusi bez pierādījumu pārbaudes, nepareizi piemērojusi Kriminālprocesa likuma 499. pantu, norādot, ka pierādījumu pārbaudes neizdarīšana attiecināma arī uz sodu ietekmējošo apstākļu izvērtēšanu. Atbilstoši Kriminālprocesa likuma 575. panta trešajai daļai minētais atzīstams par Kriminālprocesa likuma būtisku pārkāpumu un ir par pamatu apelācijas instances tiesas nolēmuma atcelšanai daļā par </w:t>
      </w:r>
      <w:r w:rsidR="00922205">
        <w:t>[pers. A]</w:t>
      </w:r>
      <w:r w:rsidR="004656F0">
        <w:t xml:space="preserve"> noteikto sodu.</w:t>
      </w:r>
    </w:p>
    <w:p w14:paraId="4A57D12B" w14:textId="5A95A431" w:rsidR="000E4A93" w:rsidRPr="00595E39" w:rsidRDefault="000E4A93" w:rsidP="004656F0">
      <w:pPr>
        <w:spacing w:line="276" w:lineRule="auto"/>
        <w:ind w:firstLine="720"/>
        <w:jc w:val="both"/>
        <w:rPr>
          <w:rFonts w:cs="Times New Roman"/>
        </w:rPr>
      </w:pPr>
    </w:p>
    <w:p w14:paraId="7362F153" w14:textId="3ED1F06F" w:rsidR="000E4A93" w:rsidRDefault="000E4A93" w:rsidP="00C252BD">
      <w:pPr>
        <w:spacing w:line="276" w:lineRule="auto"/>
        <w:ind w:firstLine="720"/>
        <w:jc w:val="both"/>
        <w:rPr>
          <w:rFonts w:cs="Times New Roman"/>
        </w:rPr>
      </w:pPr>
      <w:r w:rsidRPr="00595E39">
        <w:rPr>
          <w:rFonts w:cs="Times New Roman"/>
        </w:rPr>
        <w:t>[7] Ņemot vērā, ka pārējie kasācijas protest</w:t>
      </w:r>
      <w:r w:rsidR="00B94778" w:rsidRPr="00595E39">
        <w:rPr>
          <w:rFonts w:cs="Times New Roman"/>
        </w:rPr>
        <w:t>ā</w:t>
      </w:r>
      <w:r w:rsidR="0080673E" w:rsidRPr="00595E39">
        <w:rPr>
          <w:rFonts w:cs="Times New Roman"/>
        </w:rPr>
        <w:t xml:space="preserve"> ietvertie argumenti </w:t>
      </w:r>
      <w:r w:rsidR="001E1DDF" w:rsidRPr="00595E39">
        <w:rPr>
          <w:rFonts w:cs="Times New Roman"/>
        </w:rPr>
        <w:t>par Krimināllikuma 55. panta nepareizu</w:t>
      </w:r>
      <w:r w:rsidR="00F90693" w:rsidRPr="00595E39">
        <w:rPr>
          <w:rFonts w:cs="Times New Roman"/>
        </w:rPr>
        <w:t xml:space="preserve"> piemērošanu </w:t>
      </w:r>
      <w:r w:rsidR="0080673E" w:rsidRPr="00595E39">
        <w:rPr>
          <w:rFonts w:cs="Times New Roman"/>
        </w:rPr>
        <w:t xml:space="preserve">ir saistīti ar sodu ietekmējošo apstākļu </w:t>
      </w:r>
      <w:proofErr w:type="spellStart"/>
      <w:r w:rsidR="0080673E" w:rsidRPr="00595E39">
        <w:rPr>
          <w:rFonts w:cs="Times New Roman"/>
        </w:rPr>
        <w:t>izvērtējumu</w:t>
      </w:r>
      <w:proofErr w:type="spellEnd"/>
      <w:r w:rsidR="0080673E" w:rsidRPr="00595E39">
        <w:rPr>
          <w:rFonts w:cs="Times New Roman"/>
        </w:rPr>
        <w:t xml:space="preserve">, Senāts šajā lēmumā </w:t>
      </w:r>
      <w:r w:rsidR="00B46CED" w:rsidRPr="00595E39">
        <w:rPr>
          <w:rFonts w:cs="Times New Roman"/>
        </w:rPr>
        <w:t xml:space="preserve">tos </w:t>
      </w:r>
      <w:r w:rsidR="0080673E" w:rsidRPr="00595E39">
        <w:rPr>
          <w:rFonts w:cs="Times New Roman"/>
        </w:rPr>
        <w:t>nevērtēs, jo lieta atkārtoti izskatāma apelācijas instances tiesā atbilstoši Kriminālprocesa likuma 53. nodaļā noteiktajam.</w:t>
      </w:r>
    </w:p>
    <w:p w14:paraId="3659097A" w14:textId="77777777" w:rsidR="0080673E" w:rsidRDefault="0080673E" w:rsidP="00C252BD">
      <w:pPr>
        <w:spacing w:line="276" w:lineRule="auto"/>
        <w:ind w:firstLine="720"/>
        <w:jc w:val="both"/>
        <w:rPr>
          <w:rFonts w:cs="Times New Roman"/>
        </w:rPr>
      </w:pPr>
    </w:p>
    <w:p w14:paraId="145F16B4" w14:textId="7A78FBF9" w:rsidR="00A515C0" w:rsidRDefault="0080673E" w:rsidP="00A515C0">
      <w:pPr>
        <w:spacing w:line="276" w:lineRule="auto"/>
        <w:ind w:firstLine="720"/>
        <w:jc w:val="both"/>
        <w:rPr>
          <w:rFonts w:asciiTheme="majorBidi" w:hAnsiTheme="majorBidi" w:cstheme="majorBidi"/>
          <w:color w:val="000000"/>
        </w:rPr>
      </w:pPr>
      <w:r>
        <w:rPr>
          <w:rFonts w:cs="Times New Roman"/>
        </w:rPr>
        <w:t>[8] </w:t>
      </w:r>
      <w:r w:rsidR="00A515C0">
        <w:rPr>
          <w:rFonts w:asciiTheme="majorBidi" w:hAnsiTheme="majorBidi" w:cstheme="majorBidi"/>
          <w:color w:val="000000"/>
        </w:rPr>
        <w:t xml:space="preserve">Apsūdzētajai </w:t>
      </w:r>
      <w:r w:rsidR="00922205">
        <w:rPr>
          <w:rFonts w:asciiTheme="majorBidi" w:hAnsiTheme="majorBidi" w:cstheme="majorBidi"/>
          <w:color w:val="000000"/>
        </w:rPr>
        <w:t>[pers. A]</w:t>
      </w:r>
      <w:r w:rsidR="00A515C0">
        <w:rPr>
          <w:rFonts w:asciiTheme="majorBidi" w:hAnsiTheme="majorBidi" w:cstheme="majorBidi"/>
          <w:color w:val="000000"/>
        </w:rPr>
        <w:t xml:space="preserve"> drošības līdzeklis nav piemērots.</w:t>
      </w:r>
    </w:p>
    <w:p w14:paraId="1EF6A254" w14:textId="2FEA86D1" w:rsidR="00A515C0" w:rsidRDefault="00A515C0" w:rsidP="00922205">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Senāts atzīst, ka drošības līdzekļa piemērošanai </w:t>
      </w:r>
      <w:r w:rsidR="00922205">
        <w:rPr>
          <w:rFonts w:asciiTheme="majorBidi" w:hAnsiTheme="majorBidi" w:cstheme="majorBidi"/>
          <w:color w:val="000000"/>
        </w:rPr>
        <w:t>[pers. </w:t>
      </w:r>
      <w:r w:rsidR="00922205">
        <w:t>A]</w:t>
      </w:r>
      <w:r>
        <w:rPr>
          <w:rFonts w:asciiTheme="majorBidi" w:hAnsiTheme="majorBidi" w:cstheme="majorBidi"/>
          <w:color w:val="000000"/>
        </w:rPr>
        <w:t xml:space="preserve"> šajā kriminālprocesa stadijā nav tiesiska pamata.</w:t>
      </w:r>
    </w:p>
    <w:p w14:paraId="209DC5C0" w14:textId="76BE270F" w:rsidR="00185858" w:rsidRPr="00657F4B" w:rsidRDefault="00185858" w:rsidP="00A515C0">
      <w:pPr>
        <w:spacing w:line="276" w:lineRule="auto"/>
        <w:ind w:firstLine="720"/>
        <w:jc w:val="both"/>
        <w:rPr>
          <w:rFonts w:asciiTheme="majorBidi" w:hAnsiTheme="majorBidi" w:cstheme="majorBidi"/>
          <w:color w:val="000000"/>
        </w:rPr>
      </w:pPr>
    </w:p>
    <w:p w14:paraId="19C64E4F" w14:textId="5EE209C5" w:rsidR="00617EB9" w:rsidRDefault="00AC1F19" w:rsidP="00CC1289">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57F4B" w:rsidRDefault="00617EB9" w:rsidP="00E95249">
      <w:pPr>
        <w:spacing w:line="276" w:lineRule="auto"/>
        <w:ind w:firstLine="720"/>
        <w:jc w:val="both"/>
        <w:rPr>
          <w:rFonts w:asciiTheme="majorBidi" w:hAnsiTheme="majorBidi" w:cstheme="majorBidi"/>
        </w:rPr>
      </w:pPr>
    </w:p>
    <w:p w14:paraId="6D5F844B" w14:textId="26B07732" w:rsidR="00617EB9" w:rsidRDefault="00617EB9" w:rsidP="00E95249">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0009600D"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0009600D" w:rsidRPr="007E036C">
        <w:rPr>
          <w:rFonts w:asciiTheme="majorBidi" w:hAnsiTheme="majorBidi" w:cstheme="majorBidi"/>
          <w:color w:val="000000"/>
        </w:rPr>
        <w:t>.</w:t>
      </w:r>
      <w:r>
        <w:rPr>
          <w:rFonts w:asciiTheme="majorBidi" w:hAnsiTheme="majorBidi" w:cstheme="majorBidi"/>
          <w:color w:val="000000"/>
        </w:rPr>
        <w:t xml:space="preserve"> un </w:t>
      </w:r>
      <w:r w:rsidR="0048046B" w:rsidRPr="00810F82">
        <w:rPr>
          <w:rFonts w:eastAsia="Times New Roman" w:cs="Times New Roman"/>
          <w:bCs/>
        </w:rPr>
        <w:t>587.</w:t>
      </w:r>
      <w:r w:rsidR="009C0BCD">
        <w:rPr>
          <w:rFonts w:eastAsia="Times New Roman" w:cs="Times New Roman"/>
          <w:bCs/>
        </w:rPr>
        <w:t> </w:t>
      </w:r>
      <w:r w:rsidR="0048046B" w:rsidRPr="00810F82">
        <w:rPr>
          <w:rFonts w:eastAsia="Times New Roman" w:cs="Times New Roman"/>
          <w:bCs/>
        </w:rPr>
        <w:t>pant</w:t>
      </w:r>
      <w:r w:rsidR="0048046B">
        <w:rPr>
          <w:rFonts w:eastAsia="Times New Roman" w:cs="Times New Roman"/>
          <w:bCs/>
        </w:rPr>
        <w:t>a pirmās daļas 2.</w:t>
      </w:r>
      <w:r w:rsidR="009C0BCD">
        <w:rPr>
          <w:rFonts w:eastAsia="Times New Roman" w:cs="Times New Roman"/>
          <w:bCs/>
        </w:rPr>
        <w:t> </w:t>
      </w:r>
      <w:r w:rsidR="0048046B">
        <w:rPr>
          <w:rFonts w:eastAsia="Times New Roman" w:cs="Times New Roman"/>
          <w:bCs/>
        </w:rPr>
        <w:t>punktu</w:t>
      </w:r>
      <w:r w:rsidR="007F55DA">
        <w:rPr>
          <w:rFonts w:asciiTheme="majorBidi" w:hAnsiTheme="majorBidi" w:cstheme="majorBidi"/>
          <w:color w:val="000000"/>
        </w:rPr>
        <w:t xml:space="preserve">, </w:t>
      </w:r>
      <w:r w:rsidR="00475D75">
        <w:rPr>
          <w:rFonts w:asciiTheme="majorBidi" w:hAnsiTheme="majorBidi" w:cstheme="majorBidi"/>
          <w:color w:val="000000"/>
        </w:rPr>
        <w:t>Senāts</w:t>
      </w:r>
    </w:p>
    <w:p w14:paraId="67E38EC5" w14:textId="77777777" w:rsidR="00617EB9" w:rsidRDefault="00617EB9" w:rsidP="00E95249">
      <w:pPr>
        <w:spacing w:line="276" w:lineRule="auto"/>
        <w:ind w:firstLine="720"/>
        <w:jc w:val="both"/>
        <w:rPr>
          <w:rFonts w:asciiTheme="majorBidi" w:hAnsiTheme="majorBidi" w:cstheme="majorBidi"/>
          <w:color w:val="000000"/>
        </w:rPr>
      </w:pPr>
    </w:p>
    <w:p w14:paraId="1D85F8B6" w14:textId="01026A1E" w:rsidR="008C2569" w:rsidRDefault="0009600D" w:rsidP="00CC1289">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E95249">
      <w:pPr>
        <w:spacing w:line="276" w:lineRule="auto"/>
        <w:ind w:firstLine="720"/>
        <w:jc w:val="both"/>
        <w:rPr>
          <w:rFonts w:asciiTheme="majorBidi" w:hAnsiTheme="majorBidi" w:cstheme="majorBidi"/>
        </w:rPr>
      </w:pPr>
    </w:p>
    <w:p w14:paraId="272AC198" w14:textId="1106AE85" w:rsidR="00A601D2" w:rsidRDefault="00617EB9" w:rsidP="00E95249">
      <w:pPr>
        <w:spacing w:line="276" w:lineRule="auto"/>
        <w:ind w:firstLine="720"/>
        <w:jc w:val="both"/>
      </w:pPr>
      <w:r>
        <w:rPr>
          <w:rFonts w:asciiTheme="majorBidi" w:hAnsiTheme="majorBidi" w:cstheme="majorBidi"/>
          <w:color w:val="000000"/>
        </w:rPr>
        <w:t xml:space="preserve">atcelt </w:t>
      </w:r>
      <w:r w:rsidR="00922205">
        <w:rPr>
          <w:rFonts w:asciiTheme="majorBidi" w:hAnsiTheme="majorBidi" w:cstheme="majorBidi"/>
          <w:color w:val="000000"/>
        </w:rPr>
        <w:t>[..]</w:t>
      </w:r>
      <w:r w:rsidR="00E140D6">
        <w:rPr>
          <w:rFonts w:asciiTheme="majorBidi" w:hAnsiTheme="majorBidi" w:cstheme="majorBidi"/>
          <w:color w:val="000000"/>
        </w:rPr>
        <w:t xml:space="preserve"> apgabaltiesas</w:t>
      </w:r>
      <w:r>
        <w:rPr>
          <w:rFonts w:asciiTheme="majorBidi" w:hAnsiTheme="majorBidi" w:cstheme="majorBidi"/>
          <w:color w:val="000000"/>
        </w:rPr>
        <w:t xml:space="preserve"> 202</w:t>
      </w:r>
      <w:r w:rsidR="00EA6A9E">
        <w:rPr>
          <w:rFonts w:asciiTheme="majorBidi" w:hAnsiTheme="majorBidi" w:cstheme="majorBidi"/>
          <w:color w:val="000000"/>
        </w:rPr>
        <w:t>3</w:t>
      </w:r>
      <w:r w:rsidR="00E07FE2">
        <w:rPr>
          <w:rFonts w:asciiTheme="majorBidi" w:hAnsiTheme="majorBidi" w:cstheme="majorBidi"/>
          <w:color w:val="000000"/>
        </w:rPr>
        <w:t>. gada</w:t>
      </w:r>
      <w:r>
        <w:rPr>
          <w:rFonts w:asciiTheme="majorBidi" w:hAnsiTheme="majorBidi" w:cstheme="majorBidi"/>
          <w:color w:val="000000"/>
        </w:rPr>
        <w:t xml:space="preserve"> </w:t>
      </w:r>
      <w:r w:rsidR="00922205">
        <w:rPr>
          <w:rFonts w:asciiTheme="majorBidi" w:hAnsiTheme="majorBidi" w:cstheme="majorBidi"/>
          <w:color w:val="000000"/>
        </w:rPr>
        <w:t>[..]</w:t>
      </w:r>
      <w:r w:rsidR="001354CE">
        <w:rPr>
          <w:rFonts w:asciiTheme="majorBidi" w:hAnsiTheme="majorBidi" w:cstheme="majorBidi"/>
          <w:color w:val="000000"/>
        </w:rPr>
        <w:t xml:space="preserve"> spriedumu</w:t>
      </w:r>
      <w:r w:rsidR="00CA59EF">
        <w:rPr>
          <w:rFonts w:asciiTheme="majorBidi" w:hAnsiTheme="majorBidi" w:cstheme="majorBidi"/>
          <w:color w:val="000000"/>
        </w:rPr>
        <w:t xml:space="preserve"> daļā </w:t>
      </w:r>
      <w:r w:rsidR="00A601D2">
        <w:t xml:space="preserve">par </w:t>
      </w:r>
      <w:r w:rsidR="00922205">
        <w:t>[pers. A]</w:t>
      </w:r>
      <w:r w:rsidR="00A601D2">
        <w:t xml:space="preserve"> noteikto sodu;</w:t>
      </w:r>
    </w:p>
    <w:p w14:paraId="5B6BEFBE" w14:textId="19D810D3" w:rsidR="00A601D2" w:rsidRDefault="00A601D2" w:rsidP="00E95249">
      <w:pPr>
        <w:spacing w:line="276" w:lineRule="auto"/>
        <w:ind w:firstLine="720"/>
        <w:jc w:val="both"/>
      </w:pPr>
      <w:r>
        <w:t xml:space="preserve">atceltajā daļā lietu nosūtīt jaunai izskatīšanai </w:t>
      </w:r>
      <w:r w:rsidR="00AF2A4F">
        <w:t>[..]</w:t>
      </w:r>
      <w:r>
        <w:t xml:space="preserve"> apgabaltiesā;</w:t>
      </w:r>
    </w:p>
    <w:p w14:paraId="3F94748B" w14:textId="550F60BE" w:rsidR="008C2569" w:rsidRDefault="00A601D2" w:rsidP="00E95249">
      <w:pPr>
        <w:spacing w:line="276" w:lineRule="auto"/>
        <w:ind w:firstLine="720"/>
        <w:jc w:val="both"/>
        <w:rPr>
          <w:rFonts w:asciiTheme="majorBidi" w:hAnsiTheme="majorBidi" w:cstheme="majorBidi"/>
          <w:color w:val="000000"/>
        </w:rPr>
      </w:pPr>
      <w:r>
        <w:t xml:space="preserve">pārējā daļā </w:t>
      </w:r>
      <w:r w:rsidR="00922205">
        <w:t>[..]</w:t>
      </w:r>
      <w:r>
        <w:t xml:space="preserve"> apgabaltiesas 2023. gada </w:t>
      </w:r>
      <w:r w:rsidR="00922205">
        <w:t>[..]</w:t>
      </w:r>
      <w:r>
        <w:t xml:space="preserve"> spriedumu atstāt negrozītu.</w:t>
      </w:r>
    </w:p>
    <w:p w14:paraId="7E452CA1" w14:textId="77777777" w:rsidR="00880DAC" w:rsidRDefault="00880DAC" w:rsidP="00E95249">
      <w:pPr>
        <w:spacing w:line="276" w:lineRule="auto"/>
        <w:ind w:firstLine="720"/>
        <w:jc w:val="both"/>
        <w:rPr>
          <w:rFonts w:asciiTheme="majorBidi" w:hAnsiTheme="majorBidi" w:cstheme="majorBidi"/>
          <w:color w:val="000000"/>
        </w:rPr>
      </w:pPr>
    </w:p>
    <w:p w14:paraId="67235768" w14:textId="49FF3C74" w:rsidR="00665D41" w:rsidRPr="00922205" w:rsidRDefault="0009600D" w:rsidP="00922205">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665D41" w:rsidRPr="00922205" w:rsidSect="008879EB">
      <w:footerReference w:type="default" r:id="rId16"/>
      <w:footerReference w:type="first" r:id="rId17"/>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7E670" w14:textId="77777777" w:rsidR="008879EB" w:rsidRDefault="008879EB" w:rsidP="00F7767B">
      <w:r>
        <w:separator/>
      </w:r>
    </w:p>
  </w:endnote>
  <w:endnote w:type="continuationSeparator" w:id="0">
    <w:p w14:paraId="52A048FC" w14:textId="77777777" w:rsidR="008879EB" w:rsidRDefault="008879EB"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22272" w14:textId="77777777" w:rsidR="008879EB" w:rsidRDefault="008879EB" w:rsidP="00F7767B">
      <w:r>
        <w:separator/>
      </w:r>
    </w:p>
  </w:footnote>
  <w:footnote w:type="continuationSeparator" w:id="0">
    <w:p w14:paraId="0879C466" w14:textId="77777777" w:rsidR="008879EB" w:rsidRDefault="008879EB" w:rsidP="00F7767B">
      <w:r>
        <w:continuationSeparator/>
      </w:r>
    </w:p>
  </w:footnote>
  <w:footnote w:id="1">
    <w:p w14:paraId="15656EBE" w14:textId="1594B85C" w:rsidR="000F27D5" w:rsidRPr="000F27D5" w:rsidRDefault="000F27D5">
      <w:pPr>
        <w:pStyle w:val="FootnoteText"/>
        <w:rPr>
          <w:rFonts w:asciiTheme="majorBidi" w:hAnsiTheme="majorBidi" w:cstheme="majorBidi"/>
          <w:lang w:val="lv-LV"/>
        </w:rPr>
      </w:pPr>
      <w:r w:rsidRPr="000F27D5">
        <w:rPr>
          <w:rStyle w:val="FootnoteReference"/>
          <w:rFonts w:asciiTheme="majorBidi" w:hAnsiTheme="majorBidi" w:cstheme="majorBidi"/>
        </w:rPr>
        <w:footnoteRef/>
      </w:r>
      <w:r w:rsidRPr="000F27D5">
        <w:rPr>
          <w:rFonts w:asciiTheme="majorBidi" w:hAnsiTheme="majorBidi" w:cstheme="majorBidi"/>
        </w:rPr>
        <w:t xml:space="preserve"> </w:t>
      </w:r>
      <w:r w:rsidRPr="000F27D5">
        <w:rPr>
          <w:rFonts w:asciiTheme="majorBidi" w:hAnsiTheme="majorBidi" w:cstheme="majorBidi"/>
          <w:lang w:val="lv-LV"/>
        </w:rPr>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0"/>
  </w:num>
  <w:num w:numId="2" w16cid:durableId="746464922">
    <w:abstractNumId w:val="14"/>
  </w:num>
  <w:num w:numId="3" w16cid:durableId="658651668">
    <w:abstractNumId w:val="1"/>
  </w:num>
  <w:num w:numId="4" w16cid:durableId="1546747788">
    <w:abstractNumId w:val="9"/>
  </w:num>
  <w:num w:numId="5" w16cid:durableId="1497646936">
    <w:abstractNumId w:val="12"/>
  </w:num>
  <w:num w:numId="6" w16cid:durableId="1692803277">
    <w:abstractNumId w:val="4"/>
  </w:num>
  <w:num w:numId="7" w16cid:durableId="1855924961">
    <w:abstractNumId w:val="2"/>
  </w:num>
  <w:num w:numId="8" w16cid:durableId="1748067462">
    <w:abstractNumId w:val="7"/>
  </w:num>
  <w:num w:numId="9" w16cid:durableId="939262886">
    <w:abstractNumId w:val="6"/>
  </w:num>
  <w:num w:numId="10" w16cid:durableId="969896419">
    <w:abstractNumId w:val="3"/>
  </w:num>
  <w:num w:numId="11" w16cid:durableId="2086417551">
    <w:abstractNumId w:val="15"/>
  </w:num>
  <w:num w:numId="12" w16cid:durableId="1288009559">
    <w:abstractNumId w:val="13"/>
  </w:num>
  <w:num w:numId="13" w16cid:durableId="19792153">
    <w:abstractNumId w:val="8"/>
  </w:num>
  <w:num w:numId="14" w16cid:durableId="1546019765">
    <w:abstractNumId w:val="5"/>
  </w:num>
  <w:num w:numId="15" w16cid:durableId="775642152">
    <w:abstractNumId w:val="10"/>
  </w:num>
  <w:num w:numId="16" w16cid:durableId="1885216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457F"/>
    <w:rsid w:val="000047EA"/>
    <w:rsid w:val="00006B05"/>
    <w:rsid w:val="000133AB"/>
    <w:rsid w:val="0001597C"/>
    <w:rsid w:val="00015A95"/>
    <w:rsid w:val="0001720E"/>
    <w:rsid w:val="00017F41"/>
    <w:rsid w:val="0002403E"/>
    <w:rsid w:val="000245FF"/>
    <w:rsid w:val="0003019E"/>
    <w:rsid w:val="0003340A"/>
    <w:rsid w:val="00034089"/>
    <w:rsid w:val="00036476"/>
    <w:rsid w:val="00041472"/>
    <w:rsid w:val="00041854"/>
    <w:rsid w:val="00045CAD"/>
    <w:rsid w:val="00046FCE"/>
    <w:rsid w:val="00051BBB"/>
    <w:rsid w:val="00055BB1"/>
    <w:rsid w:val="0005737A"/>
    <w:rsid w:val="000602A2"/>
    <w:rsid w:val="000613E9"/>
    <w:rsid w:val="00061F92"/>
    <w:rsid w:val="00064EE0"/>
    <w:rsid w:val="00066F0E"/>
    <w:rsid w:val="00070F31"/>
    <w:rsid w:val="00074160"/>
    <w:rsid w:val="00075C97"/>
    <w:rsid w:val="00081CFD"/>
    <w:rsid w:val="000908CF"/>
    <w:rsid w:val="0009600D"/>
    <w:rsid w:val="000A0BEB"/>
    <w:rsid w:val="000A2274"/>
    <w:rsid w:val="000A4492"/>
    <w:rsid w:val="000A6F2F"/>
    <w:rsid w:val="000B1B17"/>
    <w:rsid w:val="000B2D39"/>
    <w:rsid w:val="000B3EF6"/>
    <w:rsid w:val="000B6A76"/>
    <w:rsid w:val="000C0941"/>
    <w:rsid w:val="000C1115"/>
    <w:rsid w:val="000C199D"/>
    <w:rsid w:val="000C5079"/>
    <w:rsid w:val="000C56E7"/>
    <w:rsid w:val="000C6C19"/>
    <w:rsid w:val="000C7E70"/>
    <w:rsid w:val="000D0953"/>
    <w:rsid w:val="000D1CE9"/>
    <w:rsid w:val="000D2F44"/>
    <w:rsid w:val="000D300B"/>
    <w:rsid w:val="000E01C5"/>
    <w:rsid w:val="000E4A93"/>
    <w:rsid w:val="000E7B2E"/>
    <w:rsid w:val="000F27D5"/>
    <w:rsid w:val="000F4A2F"/>
    <w:rsid w:val="000F7707"/>
    <w:rsid w:val="001022A5"/>
    <w:rsid w:val="0010495D"/>
    <w:rsid w:val="00106F36"/>
    <w:rsid w:val="00107989"/>
    <w:rsid w:val="001121E1"/>
    <w:rsid w:val="00121043"/>
    <w:rsid w:val="00122A94"/>
    <w:rsid w:val="001230D6"/>
    <w:rsid w:val="0012756B"/>
    <w:rsid w:val="001319E5"/>
    <w:rsid w:val="00132382"/>
    <w:rsid w:val="00132511"/>
    <w:rsid w:val="001354CE"/>
    <w:rsid w:val="00141978"/>
    <w:rsid w:val="00144BB9"/>
    <w:rsid w:val="00152719"/>
    <w:rsid w:val="00152B10"/>
    <w:rsid w:val="001535AA"/>
    <w:rsid w:val="00154350"/>
    <w:rsid w:val="00154D2A"/>
    <w:rsid w:val="0015519C"/>
    <w:rsid w:val="00155396"/>
    <w:rsid w:val="00156FEA"/>
    <w:rsid w:val="00157134"/>
    <w:rsid w:val="00160123"/>
    <w:rsid w:val="001606ED"/>
    <w:rsid w:val="00161BF2"/>
    <w:rsid w:val="00162F13"/>
    <w:rsid w:val="00165E71"/>
    <w:rsid w:val="00167F0A"/>
    <w:rsid w:val="001748F5"/>
    <w:rsid w:val="001764B4"/>
    <w:rsid w:val="00177420"/>
    <w:rsid w:val="00182647"/>
    <w:rsid w:val="00182D44"/>
    <w:rsid w:val="00183703"/>
    <w:rsid w:val="00185858"/>
    <w:rsid w:val="00187B5C"/>
    <w:rsid w:val="001904F6"/>
    <w:rsid w:val="00192F9A"/>
    <w:rsid w:val="00197DE2"/>
    <w:rsid w:val="001A630D"/>
    <w:rsid w:val="001A7280"/>
    <w:rsid w:val="001B08D1"/>
    <w:rsid w:val="001B1A3A"/>
    <w:rsid w:val="001B1E76"/>
    <w:rsid w:val="001B250B"/>
    <w:rsid w:val="001C1171"/>
    <w:rsid w:val="001C2682"/>
    <w:rsid w:val="001C39E2"/>
    <w:rsid w:val="001C5C6F"/>
    <w:rsid w:val="001C6FF0"/>
    <w:rsid w:val="001C70C7"/>
    <w:rsid w:val="001D1BA5"/>
    <w:rsid w:val="001D6DEA"/>
    <w:rsid w:val="001E0FD4"/>
    <w:rsid w:val="001E1CFE"/>
    <w:rsid w:val="001E1DDF"/>
    <w:rsid w:val="001E3722"/>
    <w:rsid w:val="001F0270"/>
    <w:rsid w:val="001F4B45"/>
    <w:rsid w:val="001F7634"/>
    <w:rsid w:val="00204EFB"/>
    <w:rsid w:val="002050D0"/>
    <w:rsid w:val="00205F32"/>
    <w:rsid w:val="00206CB2"/>
    <w:rsid w:val="002146F5"/>
    <w:rsid w:val="0022248A"/>
    <w:rsid w:val="002225E5"/>
    <w:rsid w:val="002233B8"/>
    <w:rsid w:val="00223A1A"/>
    <w:rsid w:val="002265DC"/>
    <w:rsid w:val="00231AA4"/>
    <w:rsid w:val="00232416"/>
    <w:rsid w:val="002367F6"/>
    <w:rsid w:val="00243D9E"/>
    <w:rsid w:val="00244767"/>
    <w:rsid w:val="0024569B"/>
    <w:rsid w:val="0026010D"/>
    <w:rsid w:val="0026718E"/>
    <w:rsid w:val="0028010C"/>
    <w:rsid w:val="00282C9E"/>
    <w:rsid w:val="00283E0E"/>
    <w:rsid w:val="0028466A"/>
    <w:rsid w:val="00285528"/>
    <w:rsid w:val="00291303"/>
    <w:rsid w:val="0029172D"/>
    <w:rsid w:val="00297BD2"/>
    <w:rsid w:val="002A1966"/>
    <w:rsid w:val="002A470C"/>
    <w:rsid w:val="002B1400"/>
    <w:rsid w:val="002B2095"/>
    <w:rsid w:val="002C0913"/>
    <w:rsid w:val="002C44D5"/>
    <w:rsid w:val="002C5D67"/>
    <w:rsid w:val="002D0FFA"/>
    <w:rsid w:val="002D1C29"/>
    <w:rsid w:val="002D1F09"/>
    <w:rsid w:val="002D594E"/>
    <w:rsid w:val="002E1FEF"/>
    <w:rsid w:val="002E2079"/>
    <w:rsid w:val="002E36B8"/>
    <w:rsid w:val="002E53D2"/>
    <w:rsid w:val="002E608F"/>
    <w:rsid w:val="002F19A4"/>
    <w:rsid w:val="002F4284"/>
    <w:rsid w:val="002F432D"/>
    <w:rsid w:val="002F441B"/>
    <w:rsid w:val="0030103F"/>
    <w:rsid w:val="00307250"/>
    <w:rsid w:val="003072FB"/>
    <w:rsid w:val="00312276"/>
    <w:rsid w:val="00312E8E"/>
    <w:rsid w:val="00314D0E"/>
    <w:rsid w:val="00316A26"/>
    <w:rsid w:val="0031788E"/>
    <w:rsid w:val="003206CA"/>
    <w:rsid w:val="0032158A"/>
    <w:rsid w:val="0032169A"/>
    <w:rsid w:val="00324F0D"/>
    <w:rsid w:val="00330209"/>
    <w:rsid w:val="00333481"/>
    <w:rsid w:val="00335657"/>
    <w:rsid w:val="0033581D"/>
    <w:rsid w:val="0034499A"/>
    <w:rsid w:val="00344E32"/>
    <w:rsid w:val="00347CCD"/>
    <w:rsid w:val="003502E3"/>
    <w:rsid w:val="003527E3"/>
    <w:rsid w:val="003546A5"/>
    <w:rsid w:val="00356911"/>
    <w:rsid w:val="00362E20"/>
    <w:rsid w:val="00363985"/>
    <w:rsid w:val="003645E5"/>
    <w:rsid w:val="00366C0C"/>
    <w:rsid w:val="00366D92"/>
    <w:rsid w:val="00366E10"/>
    <w:rsid w:val="003708ED"/>
    <w:rsid w:val="00377C7E"/>
    <w:rsid w:val="00377FF4"/>
    <w:rsid w:val="00381DF2"/>
    <w:rsid w:val="00383188"/>
    <w:rsid w:val="003831C0"/>
    <w:rsid w:val="0038723C"/>
    <w:rsid w:val="00391144"/>
    <w:rsid w:val="00391C63"/>
    <w:rsid w:val="00394E49"/>
    <w:rsid w:val="00396781"/>
    <w:rsid w:val="00397807"/>
    <w:rsid w:val="003A196C"/>
    <w:rsid w:val="003A26BB"/>
    <w:rsid w:val="003A286B"/>
    <w:rsid w:val="003A2CD2"/>
    <w:rsid w:val="003A55E9"/>
    <w:rsid w:val="003A67A6"/>
    <w:rsid w:val="003A71EB"/>
    <w:rsid w:val="003A7EF6"/>
    <w:rsid w:val="003B06A6"/>
    <w:rsid w:val="003B178D"/>
    <w:rsid w:val="003B2FD3"/>
    <w:rsid w:val="003B5251"/>
    <w:rsid w:val="003C1AE6"/>
    <w:rsid w:val="003C267D"/>
    <w:rsid w:val="003C52E4"/>
    <w:rsid w:val="003C5874"/>
    <w:rsid w:val="003C5DF5"/>
    <w:rsid w:val="003D461D"/>
    <w:rsid w:val="003D7D30"/>
    <w:rsid w:val="003E377A"/>
    <w:rsid w:val="003E3B09"/>
    <w:rsid w:val="003E3CA9"/>
    <w:rsid w:val="003E6050"/>
    <w:rsid w:val="003E750B"/>
    <w:rsid w:val="003E7BB8"/>
    <w:rsid w:val="003F5611"/>
    <w:rsid w:val="00402F9D"/>
    <w:rsid w:val="004064AF"/>
    <w:rsid w:val="00406A0F"/>
    <w:rsid w:val="00407959"/>
    <w:rsid w:val="0041480E"/>
    <w:rsid w:val="00414CD3"/>
    <w:rsid w:val="004157FC"/>
    <w:rsid w:val="0041675A"/>
    <w:rsid w:val="00416973"/>
    <w:rsid w:val="00416A08"/>
    <w:rsid w:val="004173A4"/>
    <w:rsid w:val="0042147B"/>
    <w:rsid w:val="00421B15"/>
    <w:rsid w:val="00423081"/>
    <w:rsid w:val="004232F0"/>
    <w:rsid w:val="004234F0"/>
    <w:rsid w:val="00423D05"/>
    <w:rsid w:val="00425B68"/>
    <w:rsid w:val="00427C90"/>
    <w:rsid w:val="00427D7B"/>
    <w:rsid w:val="0043064A"/>
    <w:rsid w:val="00433216"/>
    <w:rsid w:val="00433B03"/>
    <w:rsid w:val="00434DFE"/>
    <w:rsid w:val="00440C78"/>
    <w:rsid w:val="0044192B"/>
    <w:rsid w:val="00443FE5"/>
    <w:rsid w:val="004441E1"/>
    <w:rsid w:val="004470C4"/>
    <w:rsid w:val="00451799"/>
    <w:rsid w:val="00451FFD"/>
    <w:rsid w:val="00452B2A"/>
    <w:rsid w:val="004540C4"/>
    <w:rsid w:val="00456686"/>
    <w:rsid w:val="004616FD"/>
    <w:rsid w:val="004656F0"/>
    <w:rsid w:val="0046615A"/>
    <w:rsid w:val="004705FA"/>
    <w:rsid w:val="004717D4"/>
    <w:rsid w:val="00475D75"/>
    <w:rsid w:val="0048046B"/>
    <w:rsid w:val="00481853"/>
    <w:rsid w:val="004818DE"/>
    <w:rsid w:val="00482514"/>
    <w:rsid w:val="004836C4"/>
    <w:rsid w:val="00484808"/>
    <w:rsid w:val="00485689"/>
    <w:rsid w:val="00485FBB"/>
    <w:rsid w:val="004870F0"/>
    <w:rsid w:val="0049031D"/>
    <w:rsid w:val="00491460"/>
    <w:rsid w:val="00492EB4"/>
    <w:rsid w:val="0049564B"/>
    <w:rsid w:val="004968DC"/>
    <w:rsid w:val="00497FA8"/>
    <w:rsid w:val="004A21A6"/>
    <w:rsid w:val="004A5F13"/>
    <w:rsid w:val="004A7333"/>
    <w:rsid w:val="004B239C"/>
    <w:rsid w:val="004B3222"/>
    <w:rsid w:val="004B3742"/>
    <w:rsid w:val="004B5A36"/>
    <w:rsid w:val="004C2E4F"/>
    <w:rsid w:val="004C3DD3"/>
    <w:rsid w:val="004C6AE8"/>
    <w:rsid w:val="004C7255"/>
    <w:rsid w:val="004D714C"/>
    <w:rsid w:val="004E026D"/>
    <w:rsid w:val="004E0A5D"/>
    <w:rsid w:val="004E1DD3"/>
    <w:rsid w:val="004F114A"/>
    <w:rsid w:val="004F486B"/>
    <w:rsid w:val="004F5473"/>
    <w:rsid w:val="00501754"/>
    <w:rsid w:val="00501819"/>
    <w:rsid w:val="00504312"/>
    <w:rsid w:val="005061F9"/>
    <w:rsid w:val="00506CDC"/>
    <w:rsid w:val="00507051"/>
    <w:rsid w:val="00517BF3"/>
    <w:rsid w:val="005208F4"/>
    <w:rsid w:val="00524DB8"/>
    <w:rsid w:val="00526E55"/>
    <w:rsid w:val="005308C0"/>
    <w:rsid w:val="0053283B"/>
    <w:rsid w:val="00532B32"/>
    <w:rsid w:val="00532CB0"/>
    <w:rsid w:val="005376E0"/>
    <w:rsid w:val="00540410"/>
    <w:rsid w:val="00541D88"/>
    <w:rsid w:val="005448EC"/>
    <w:rsid w:val="00544D17"/>
    <w:rsid w:val="00546144"/>
    <w:rsid w:val="0055431B"/>
    <w:rsid w:val="0055513C"/>
    <w:rsid w:val="00555A35"/>
    <w:rsid w:val="00557834"/>
    <w:rsid w:val="00560947"/>
    <w:rsid w:val="00562145"/>
    <w:rsid w:val="00562995"/>
    <w:rsid w:val="00562DCC"/>
    <w:rsid w:val="00567111"/>
    <w:rsid w:val="005677F8"/>
    <w:rsid w:val="005732C1"/>
    <w:rsid w:val="00576103"/>
    <w:rsid w:val="00576443"/>
    <w:rsid w:val="00576849"/>
    <w:rsid w:val="00576A1F"/>
    <w:rsid w:val="00580272"/>
    <w:rsid w:val="00584EA3"/>
    <w:rsid w:val="0058768D"/>
    <w:rsid w:val="00595485"/>
    <w:rsid w:val="00595E39"/>
    <w:rsid w:val="005979B5"/>
    <w:rsid w:val="005A089D"/>
    <w:rsid w:val="005A0901"/>
    <w:rsid w:val="005A46F1"/>
    <w:rsid w:val="005A6097"/>
    <w:rsid w:val="005A705D"/>
    <w:rsid w:val="005A7F6B"/>
    <w:rsid w:val="005B3478"/>
    <w:rsid w:val="005B5209"/>
    <w:rsid w:val="005C2758"/>
    <w:rsid w:val="005C646C"/>
    <w:rsid w:val="005D1201"/>
    <w:rsid w:val="005D3ED9"/>
    <w:rsid w:val="005D719B"/>
    <w:rsid w:val="005D725F"/>
    <w:rsid w:val="005E16A8"/>
    <w:rsid w:val="005E42B7"/>
    <w:rsid w:val="005E4ABE"/>
    <w:rsid w:val="005E4CFA"/>
    <w:rsid w:val="005E61E7"/>
    <w:rsid w:val="005F1E4B"/>
    <w:rsid w:val="005F52DF"/>
    <w:rsid w:val="005F7DC5"/>
    <w:rsid w:val="00605154"/>
    <w:rsid w:val="00610367"/>
    <w:rsid w:val="00612B45"/>
    <w:rsid w:val="00612E1B"/>
    <w:rsid w:val="00617EB9"/>
    <w:rsid w:val="0063237E"/>
    <w:rsid w:val="00633293"/>
    <w:rsid w:val="00633CEF"/>
    <w:rsid w:val="00634482"/>
    <w:rsid w:val="00637B32"/>
    <w:rsid w:val="00641421"/>
    <w:rsid w:val="0064148A"/>
    <w:rsid w:val="00642802"/>
    <w:rsid w:val="00646431"/>
    <w:rsid w:val="0064742A"/>
    <w:rsid w:val="006510CB"/>
    <w:rsid w:val="0065308F"/>
    <w:rsid w:val="00653FBB"/>
    <w:rsid w:val="00655CB5"/>
    <w:rsid w:val="0065602A"/>
    <w:rsid w:val="00656F0B"/>
    <w:rsid w:val="00657F4B"/>
    <w:rsid w:val="00657F89"/>
    <w:rsid w:val="006630DB"/>
    <w:rsid w:val="0066491C"/>
    <w:rsid w:val="00665D41"/>
    <w:rsid w:val="0066612F"/>
    <w:rsid w:val="00671F06"/>
    <w:rsid w:val="00673204"/>
    <w:rsid w:val="00682D8E"/>
    <w:rsid w:val="006840E8"/>
    <w:rsid w:val="00684239"/>
    <w:rsid w:val="00685F25"/>
    <w:rsid w:val="00686585"/>
    <w:rsid w:val="006876AB"/>
    <w:rsid w:val="0069085D"/>
    <w:rsid w:val="006927EB"/>
    <w:rsid w:val="00693E6F"/>
    <w:rsid w:val="006A0629"/>
    <w:rsid w:val="006A1177"/>
    <w:rsid w:val="006A7098"/>
    <w:rsid w:val="006B6967"/>
    <w:rsid w:val="006C0FBF"/>
    <w:rsid w:val="006C16AE"/>
    <w:rsid w:val="006C2861"/>
    <w:rsid w:val="006C38B4"/>
    <w:rsid w:val="006C4B6E"/>
    <w:rsid w:val="006C6114"/>
    <w:rsid w:val="006C67B8"/>
    <w:rsid w:val="006D0E24"/>
    <w:rsid w:val="006D1D62"/>
    <w:rsid w:val="006D6104"/>
    <w:rsid w:val="006E7909"/>
    <w:rsid w:val="00702F10"/>
    <w:rsid w:val="00703513"/>
    <w:rsid w:val="00703AD6"/>
    <w:rsid w:val="00706F14"/>
    <w:rsid w:val="00713060"/>
    <w:rsid w:val="00720A74"/>
    <w:rsid w:val="00723B1D"/>
    <w:rsid w:val="00727902"/>
    <w:rsid w:val="00730F3A"/>
    <w:rsid w:val="0073454D"/>
    <w:rsid w:val="007355DD"/>
    <w:rsid w:val="0073612E"/>
    <w:rsid w:val="00737266"/>
    <w:rsid w:val="00737281"/>
    <w:rsid w:val="00740391"/>
    <w:rsid w:val="00740A9F"/>
    <w:rsid w:val="00741F29"/>
    <w:rsid w:val="00744B07"/>
    <w:rsid w:val="007454E0"/>
    <w:rsid w:val="00745BB5"/>
    <w:rsid w:val="007517A7"/>
    <w:rsid w:val="00753CE8"/>
    <w:rsid w:val="00754DCA"/>
    <w:rsid w:val="00755FDF"/>
    <w:rsid w:val="007605A9"/>
    <w:rsid w:val="007619A9"/>
    <w:rsid w:val="00761F08"/>
    <w:rsid w:val="00762402"/>
    <w:rsid w:val="00764AC9"/>
    <w:rsid w:val="007672BE"/>
    <w:rsid w:val="00770C70"/>
    <w:rsid w:val="00773BE1"/>
    <w:rsid w:val="007745D6"/>
    <w:rsid w:val="00776B4B"/>
    <w:rsid w:val="00780A08"/>
    <w:rsid w:val="00782040"/>
    <w:rsid w:val="007930EF"/>
    <w:rsid w:val="007A19FC"/>
    <w:rsid w:val="007A37D5"/>
    <w:rsid w:val="007A483D"/>
    <w:rsid w:val="007B1ACA"/>
    <w:rsid w:val="007B450A"/>
    <w:rsid w:val="007B6847"/>
    <w:rsid w:val="007B69C2"/>
    <w:rsid w:val="007C2CA7"/>
    <w:rsid w:val="007C346A"/>
    <w:rsid w:val="007C5F15"/>
    <w:rsid w:val="007C6D2A"/>
    <w:rsid w:val="007C76AE"/>
    <w:rsid w:val="007D0472"/>
    <w:rsid w:val="007D222D"/>
    <w:rsid w:val="007D7A3B"/>
    <w:rsid w:val="007E036C"/>
    <w:rsid w:val="007E0C4E"/>
    <w:rsid w:val="007E3F50"/>
    <w:rsid w:val="007E50F7"/>
    <w:rsid w:val="007E5CB3"/>
    <w:rsid w:val="007E692C"/>
    <w:rsid w:val="007F0021"/>
    <w:rsid w:val="007F166B"/>
    <w:rsid w:val="007F3B01"/>
    <w:rsid w:val="007F3D94"/>
    <w:rsid w:val="007F41C4"/>
    <w:rsid w:val="007F55DA"/>
    <w:rsid w:val="007F5E95"/>
    <w:rsid w:val="0080202F"/>
    <w:rsid w:val="008037A5"/>
    <w:rsid w:val="0080487F"/>
    <w:rsid w:val="0080673E"/>
    <w:rsid w:val="00806AAC"/>
    <w:rsid w:val="008107C3"/>
    <w:rsid w:val="00814191"/>
    <w:rsid w:val="00816707"/>
    <w:rsid w:val="00817F13"/>
    <w:rsid w:val="00820EF1"/>
    <w:rsid w:val="00822812"/>
    <w:rsid w:val="008245EF"/>
    <w:rsid w:val="00834B77"/>
    <w:rsid w:val="0084228C"/>
    <w:rsid w:val="0084408D"/>
    <w:rsid w:val="00845AF1"/>
    <w:rsid w:val="008464E8"/>
    <w:rsid w:val="008509F5"/>
    <w:rsid w:val="00854A34"/>
    <w:rsid w:val="00860397"/>
    <w:rsid w:val="0086059C"/>
    <w:rsid w:val="00862FBC"/>
    <w:rsid w:val="00864254"/>
    <w:rsid w:val="00864895"/>
    <w:rsid w:val="00867140"/>
    <w:rsid w:val="00870691"/>
    <w:rsid w:val="00872009"/>
    <w:rsid w:val="008724B0"/>
    <w:rsid w:val="0087363A"/>
    <w:rsid w:val="00874C42"/>
    <w:rsid w:val="00875FEA"/>
    <w:rsid w:val="008765CD"/>
    <w:rsid w:val="00877168"/>
    <w:rsid w:val="00877D38"/>
    <w:rsid w:val="008807ED"/>
    <w:rsid w:val="00880DAC"/>
    <w:rsid w:val="00883809"/>
    <w:rsid w:val="008858CF"/>
    <w:rsid w:val="00886278"/>
    <w:rsid w:val="008879EB"/>
    <w:rsid w:val="00895332"/>
    <w:rsid w:val="008956C8"/>
    <w:rsid w:val="008A02D4"/>
    <w:rsid w:val="008A7DB9"/>
    <w:rsid w:val="008B515F"/>
    <w:rsid w:val="008B5B7E"/>
    <w:rsid w:val="008B5E19"/>
    <w:rsid w:val="008B78D2"/>
    <w:rsid w:val="008C0327"/>
    <w:rsid w:val="008C2569"/>
    <w:rsid w:val="008C3DA9"/>
    <w:rsid w:val="008C7F26"/>
    <w:rsid w:val="008D4F8B"/>
    <w:rsid w:val="008D5BD7"/>
    <w:rsid w:val="008D7B0C"/>
    <w:rsid w:val="008E4338"/>
    <w:rsid w:val="008F1384"/>
    <w:rsid w:val="008F47F1"/>
    <w:rsid w:val="008F5944"/>
    <w:rsid w:val="009049B1"/>
    <w:rsid w:val="00910069"/>
    <w:rsid w:val="00915129"/>
    <w:rsid w:val="00917E9F"/>
    <w:rsid w:val="0092110E"/>
    <w:rsid w:val="00922205"/>
    <w:rsid w:val="009225F3"/>
    <w:rsid w:val="00931001"/>
    <w:rsid w:val="009328A6"/>
    <w:rsid w:val="00936719"/>
    <w:rsid w:val="00943568"/>
    <w:rsid w:val="00943B11"/>
    <w:rsid w:val="00945ACD"/>
    <w:rsid w:val="00945B67"/>
    <w:rsid w:val="009501F4"/>
    <w:rsid w:val="00950A92"/>
    <w:rsid w:val="009518F3"/>
    <w:rsid w:val="009525BF"/>
    <w:rsid w:val="009547D9"/>
    <w:rsid w:val="009547DC"/>
    <w:rsid w:val="00955018"/>
    <w:rsid w:val="009555A0"/>
    <w:rsid w:val="0096784B"/>
    <w:rsid w:val="00971B59"/>
    <w:rsid w:val="0097536D"/>
    <w:rsid w:val="00980198"/>
    <w:rsid w:val="0098021A"/>
    <w:rsid w:val="00981BE7"/>
    <w:rsid w:val="00981FC8"/>
    <w:rsid w:val="009827B7"/>
    <w:rsid w:val="00983F2C"/>
    <w:rsid w:val="00990308"/>
    <w:rsid w:val="009A0DE9"/>
    <w:rsid w:val="009A18A9"/>
    <w:rsid w:val="009A1DB3"/>
    <w:rsid w:val="009A42CA"/>
    <w:rsid w:val="009A49BD"/>
    <w:rsid w:val="009A57B7"/>
    <w:rsid w:val="009B09A2"/>
    <w:rsid w:val="009B21FC"/>
    <w:rsid w:val="009C0078"/>
    <w:rsid w:val="009C0BCD"/>
    <w:rsid w:val="009C45F7"/>
    <w:rsid w:val="009C6ADF"/>
    <w:rsid w:val="009D1EB1"/>
    <w:rsid w:val="009D2AB8"/>
    <w:rsid w:val="009D448F"/>
    <w:rsid w:val="009D6234"/>
    <w:rsid w:val="009D6635"/>
    <w:rsid w:val="009D6F5D"/>
    <w:rsid w:val="009E3587"/>
    <w:rsid w:val="009E3A2A"/>
    <w:rsid w:val="009E6A27"/>
    <w:rsid w:val="009F147C"/>
    <w:rsid w:val="009F41F6"/>
    <w:rsid w:val="009F4D23"/>
    <w:rsid w:val="009F514F"/>
    <w:rsid w:val="009F65CE"/>
    <w:rsid w:val="009F6806"/>
    <w:rsid w:val="00A0052E"/>
    <w:rsid w:val="00A02AF0"/>
    <w:rsid w:val="00A05ADB"/>
    <w:rsid w:val="00A103AB"/>
    <w:rsid w:val="00A10525"/>
    <w:rsid w:val="00A120B0"/>
    <w:rsid w:val="00A13ABE"/>
    <w:rsid w:val="00A14AF5"/>
    <w:rsid w:val="00A155BE"/>
    <w:rsid w:val="00A15B13"/>
    <w:rsid w:val="00A17C5A"/>
    <w:rsid w:val="00A17D48"/>
    <w:rsid w:val="00A2239B"/>
    <w:rsid w:val="00A23320"/>
    <w:rsid w:val="00A263E6"/>
    <w:rsid w:val="00A30D0A"/>
    <w:rsid w:val="00A372CF"/>
    <w:rsid w:val="00A37B6A"/>
    <w:rsid w:val="00A404C7"/>
    <w:rsid w:val="00A40787"/>
    <w:rsid w:val="00A41CD2"/>
    <w:rsid w:val="00A44F78"/>
    <w:rsid w:val="00A4596C"/>
    <w:rsid w:val="00A459B3"/>
    <w:rsid w:val="00A47F95"/>
    <w:rsid w:val="00A515C0"/>
    <w:rsid w:val="00A533E4"/>
    <w:rsid w:val="00A54AF2"/>
    <w:rsid w:val="00A560E2"/>
    <w:rsid w:val="00A601D2"/>
    <w:rsid w:val="00A61360"/>
    <w:rsid w:val="00A62059"/>
    <w:rsid w:val="00A64175"/>
    <w:rsid w:val="00A6520A"/>
    <w:rsid w:val="00A658F0"/>
    <w:rsid w:val="00A67D3B"/>
    <w:rsid w:val="00A702D1"/>
    <w:rsid w:val="00A7134B"/>
    <w:rsid w:val="00A71741"/>
    <w:rsid w:val="00A726CF"/>
    <w:rsid w:val="00A73379"/>
    <w:rsid w:val="00A74DCC"/>
    <w:rsid w:val="00A75439"/>
    <w:rsid w:val="00A81D3E"/>
    <w:rsid w:val="00A81EA2"/>
    <w:rsid w:val="00A91D07"/>
    <w:rsid w:val="00A9236F"/>
    <w:rsid w:val="00A92724"/>
    <w:rsid w:val="00A945D4"/>
    <w:rsid w:val="00A9775C"/>
    <w:rsid w:val="00A97F70"/>
    <w:rsid w:val="00AA3DC4"/>
    <w:rsid w:val="00AA56FF"/>
    <w:rsid w:val="00AB0BAC"/>
    <w:rsid w:val="00AB27AD"/>
    <w:rsid w:val="00AB2E36"/>
    <w:rsid w:val="00AB41FF"/>
    <w:rsid w:val="00AC1594"/>
    <w:rsid w:val="00AC1832"/>
    <w:rsid w:val="00AC1F19"/>
    <w:rsid w:val="00AC2532"/>
    <w:rsid w:val="00AC2C5E"/>
    <w:rsid w:val="00AC51FD"/>
    <w:rsid w:val="00AC57C2"/>
    <w:rsid w:val="00AC687C"/>
    <w:rsid w:val="00AD085F"/>
    <w:rsid w:val="00AD359A"/>
    <w:rsid w:val="00AD3761"/>
    <w:rsid w:val="00AD63CB"/>
    <w:rsid w:val="00AE1DFC"/>
    <w:rsid w:val="00AE29C2"/>
    <w:rsid w:val="00AE3CE5"/>
    <w:rsid w:val="00AE5C9F"/>
    <w:rsid w:val="00AE63CC"/>
    <w:rsid w:val="00AF0854"/>
    <w:rsid w:val="00AF1491"/>
    <w:rsid w:val="00AF1906"/>
    <w:rsid w:val="00AF2A4F"/>
    <w:rsid w:val="00AF2CAB"/>
    <w:rsid w:val="00AF4886"/>
    <w:rsid w:val="00AF5530"/>
    <w:rsid w:val="00B00F98"/>
    <w:rsid w:val="00B021C2"/>
    <w:rsid w:val="00B04CAD"/>
    <w:rsid w:val="00B0702F"/>
    <w:rsid w:val="00B10EBB"/>
    <w:rsid w:val="00B16C57"/>
    <w:rsid w:val="00B174A1"/>
    <w:rsid w:val="00B20994"/>
    <w:rsid w:val="00B20ABD"/>
    <w:rsid w:val="00B213E2"/>
    <w:rsid w:val="00B278E1"/>
    <w:rsid w:val="00B3005D"/>
    <w:rsid w:val="00B34632"/>
    <w:rsid w:val="00B44AC5"/>
    <w:rsid w:val="00B44FFF"/>
    <w:rsid w:val="00B46CED"/>
    <w:rsid w:val="00B474B1"/>
    <w:rsid w:val="00B529A6"/>
    <w:rsid w:val="00B53B86"/>
    <w:rsid w:val="00B54553"/>
    <w:rsid w:val="00B556D8"/>
    <w:rsid w:val="00B60391"/>
    <w:rsid w:val="00B60DF7"/>
    <w:rsid w:val="00B611E2"/>
    <w:rsid w:val="00B64F11"/>
    <w:rsid w:val="00B71718"/>
    <w:rsid w:val="00B737E2"/>
    <w:rsid w:val="00B757D7"/>
    <w:rsid w:val="00B76208"/>
    <w:rsid w:val="00B80B91"/>
    <w:rsid w:val="00B814F6"/>
    <w:rsid w:val="00B83C84"/>
    <w:rsid w:val="00B83D3B"/>
    <w:rsid w:val="00B84DC1"/>
    <w:rsid w:val="00B872DA"/>
    <w:rsid w:val="00B87F76"/>
    <w:rsid w:val="00B924E2"/>
    <w:rsid w:val="00B94778"/>
    <w:rsid w:val="00B97D97"/>
    <w:rsid w:val="00BA7004"/>
    <w:rsid w:val="00BA7D90"/>
    <w:rsid w:val="00BB0A4C"/>
    <w:rsid w:val="00BB0C51"/>
    <w:rsid w:val="00BC2C0B"/>
    <w:rsid w:val="00BC4B7F"/>
    <w:rsid w:val="00BC4C1B"/>
    <w:rsid w:val="00BC6608"/>
    <w:rsid w:val="00BC7F17"/>
    <w:rsid w:val="00BD0827"/>
    <w:rsid w:val="00BD1E84"/>
    <w:rsid w:val="00BD5B0B"/>
    <w:rsid w:val="00BD61C7"/>
    <w:rsid w:val="00BD72B5"/>
    <w:rsid w:val="00BD7C12"/>
    <w:rsid w:val="00BE0B43"/>
    <w:rsid w:val="00BE6B0E"/>
    <w:rsid w:val="00BF0CFC"/>
    <w:rsid w:val="00BF1A6C"/>
    <w:rsid w:val="00BF3EBD"/>
    <w:rsid w:val="00C026AD"/>
    <w:rsid w:val="00C03A3F"/>
    <w:rsid w:val="00C1037C"/>
    <w:rsid w:val="00C10625"/>
    <w:rsid w:val="00C1491D"/>
    <w:rsid w:val="00C20458"/>
    <w:rsid w:val="00C22FB0"/>
    <w:rsid w:val="00C252BD"/>
    <w:rsid w:val="00C34010"/>
    <w:rsid w:val="00C40424"/>
    <w:rsid w:val="00C41547"/>
    <w:rsid w:val="00C50DD6"/>
    <w:rsid w:val="00C52F38"/>
    <w:rsid w:val="00C53047"/>
    <w:rsid w:val="00C55612"/>
    <w:rsid w:val="00C56003"/>
    <w:rsid w:val="00C578C9"/>
    <w:rsid w:val="00C61C24"/>
    <w:rsid w:val="00C63AC8"/>
    <w:rsid w:val="00C66C1E"/>
    <w:rsid w:val="00C70CB9"/>
    <w:rsid w:val="00C70EE8"/>
    <w:rsid w:val="00C71A19"/>
    <w:rsid w:val="00C80C39"/>
    <w:rsid w:val="00C82279"/>
    <w:rsid w:val="00C829CF"/>
    <w:rsid w:val="00C82D56"/>
    <w:rsid w:val="00C85997"/>
    <w:rsid w:val="00C91FEC"/>
    <w:rsid w:val="00C93F5F"/>
    <w:rsid w:val="00C947E4"/>
    <w:rsid w:val="00C95233"/>
    <w:rsid w:val="00CA0991"/>
    <w:rsid w:val="00CA4533"/>
    <w:rsid w:val="00CA4D3D"/>
    <w:rsid w:val="00CA5710"/>
    <w:rsid w:val="00CA59EF"/>
    <w:rsid w:val="00CB32F8"/>
    <w:rsid w:val="00CC1289"/>
    <w:rsid w:val="00CC175C"/>
    <w:rsid w:val="00CC5275"/>
    <w:rsid w:val="00CC5CEA"/>
    <w:rsid w:val="00CC5DD8"/>
    <w:rsid w:val="00CC6096"/>
    <w:rsid w:val="00CC6394"/>
    <w:rsid w:val="00CC6E1D"/>
    <w:rsid w:val="00CC7010"/>
    <w:rsid w:val="00CD1BBF"/>
    <w:rsid w:val="00CD1D3F"/>
    <w:rsid w:val="00CD4675"/>
    <w:rsid w:val="00CD562E"/>
    <w:rsid w:val="00CD7714"/>
    <w:rsid w:val="00CD7A67"/>
    <w:rsid w:val="00CE0682"/>
    <w:rsid w:val="00CF12AD"/>
    <w:rsid w:val="00CF132B"/>
    <w:rsid w:val="00CF3C7B"/>
    <w:rsid w:val="00D0193C"/>
    <w:rsid w:val="00D03B1A"/>
    <w:rsid w:val="00D04E22"/>
    <w:rsid w:val="00D06508"/>
    <w:rsid w:val="00D10C53"/>
    <w:rsid w:val="00D10EEF"/>
    <w:rsid w:val="00D13A36"/>
    <w:rsid w:val="00D17FAE"/>
    <w:rsid w:val="00D23561"/>
    <w:rsid w:val="00D25A11"/>
    <w:rsid w:val="00D30FBE"/>
    <w:rsid w:val="00D31962"/>
    <w:rsid w:val="00D35473"/>
    <w:rsid w:val="00D370E3"/>
    <w:rsid w:val="00D401B4"/>
    <w:rsid w:val="00D44468"/>
    <w:rsid w:val="00D45ACA"/>
    <w:rsid w:val="00D45F1C"/>
    <w:rsid w:val="00D46656"/>
    <w:rsid w:val="00D52AF1"/>
    <w:rsid w:val="00D54377"/>
    <w:rsid w:val="00D543D2"/>
    <w:rsid w:val="00D548EE"/>
    <w:rsid w:val="00D5569E"/>
    <w:rsid w:val="00D6052F"/>
    <w:rsid w:val="00D64BB0"/>
    <w:rsid w:val="00D67D90"/>
    <w:rsid w:val="00D73AAA"/>
    <w:rsid w:val="00D80CAF"/>
    <w:rsid w:val="00D816B3"/>
    <w:rsid w:val="00D83B43"/>
    <w:rsid w:val="00D87069"/>
    <w:rsid w:val="00D873B0"/>
    <w:rsid w:val="00D9530F"/>
    <w:rsid w:val="00D95613"/>
    <w:rsid w:val="00D97E62"/>
    <w:rsid w:val="00DA0608"/>
    <w:rsid w:val="00DA6F55"/>
    <w:rsid w:val="00DB6453"/>
    <w:rsid w:val="00DB7EA5"/>
    <w:rsid w:val="00DC22F5"/>
    <w:rsid w:val="00DC480A"/>
    <w:rsid w:val="00DC523F"/>
    <w:rsid w:val="00DC5C3D"/>
    <w:rsid w:val="00DC5F73"/>
    <w:rsid w:val="00DD0C5C"/>
    <w:rsid w:val="00DD0F12"/>
    <w:rsid w:val="00DD764C"/>
    <w:rsid w:val="00DE2BE2"/>
    <w:rsid w:val="00DE40DA"/>
    <w:rsid w:val="00DE5DB2"/>
    <w:rsid w:val="00DE5F0F"/>
    <w:rsid w:val="00DE6296"/>
    <w:rsid w:val="00DF726F"/>
    <w:rsid w:val="00E02876"/>
    <w:rsid w:val="00E05013"/>
    <w:rsid w:val="00E052B1"/>
    <w:rsid w:val="00E0574E"/>
    <w:rsid w:val="00E07FE2"/>
    <w:rsid w:val="00E110B7"/>
    <w:rsid w:val="00E11742"/>
    <w:rsid w:val="00E140D6"/>
    <w:rsid w:val="00E150E2"/>
    <w:rsid w:val="00E17E3F"/>
    <w:rsid w:val="00E214C3"/>
    <w:rsid w:val="00E23A8D"/>
    <w:rsid w:val="00E23F15"/>
    <w:rsid w:val="00E251E5"/>
    <w:rsid w:val="00E258EA"/>
    <w:rsid w:val="00E317A7"/>
    <w:rsid w:val="00E31B71"/>
    <w:rsid w:val="00E33CB3"/>
    <w:rsid w:val="00E36578"/>
    <w:rsid w:val="00E40321"/>
    <w:rsid w:val="00E43001"/>
    <w:rsid w:val="00E43082"/>
    <w:rsid w:val="00E43BA8"/>
    <w:rsid w:val="00E43D2F"/>
    <w:rsid w:val="00E52BD8"/>
    <w:rsid w:val="00E52E20"/>
    <w:rsid w:val="00E54F32"/>
    <w:rsid w:val="00E55B86"/>
    <w:rsid w:val="00E57566"/>
    <w:rsid w:val="00E6148F"/>
    <w:rsid w:val="00E61BB6"/>
    <w:rsid w:val="00E6269A"/>
    <w:rsid w:val="00E65B0B"/>
    <w:rsid w:val="00E72D27"/>
    <w:rsid w:val="00E814B7"/>
    <w:rsid w:val="00E82829"/>
    <w:rsid w:val="00E83A84"/>
    <w:rsid w:val="00E83FA0"/>
    <w:rsid w:val="00E84B23"/>
    <w:rsid w:val="00E8528C"/>
    <w:rsid w:val="00E861AC"/>
    <w:rsid w:val="00E8777F"/>
    <w:rsid w:val="00E878A3"/>
    <w:rsid w:val="00E9066B"/>
    <w:rsid w:val="00E909C2"/>
    <w:rsid w:val="00E95249"/>
    <w:rsid w:val="00EA497E"/>
    <w:rsid w:val="00EA6A9E"/>
    <w:rsid w:val="00EB1187"/>
    <w:rsid w:val="00EB1548"/>
    <w:rsid w:val="00EB35DA"/>
    <w:rsid w:val="00EB3D63"/>
    <w:rsid w:val="00EB43E2"/>
    <w:rsid w:val="00EB59DB"/>
    <w:rsid w:val="00EB641C"/>
    <w:rsid w:val="00EB7B40"/>
    <w:rsid w:val="00EB7CE2"/>
    <w:rsid w:val="00EC0BEA"/>
    <w:rsid w:val="00EC2D11"/>
    <w:rsid w:val="00EC3C71"/>
    <w:rsid w:val="00EC5C42"/>
    <w:rsid w:val="00ED05EA"/>
    <w:rsid w:val="00ED42EE"/>
    <w:rsid w:val="00ED7159"/>
    <w:rsid w:val="00ED71B6"/>
    <w:rsid w:val="00EE0D4E"/>
    <w:rsid w:val="00EE391B"/>
    <w:rsid w:val="00EE3BB7"/>
    <w:rsid w:val="00EE551D"/>
    <w:rsid w:val="00EE66E1"/>
    <w:rsid w:val="00EF0753"/>
    <w:rsid w:val="00EF2A02"/>
    <w:rsid w:val="00EF5527"/>
    <w:rsid w:val="00EF5C75"/>
    <w:rsid w:val="00EF6D5C"/>
    <w:rsid w:val="00EF725C"/>
    <w:rsid w:val="00EF78E0"/>
    <w:rsid w:val="00F075C2"/>
    <w:rsid w:val="00F10245"/>
    <w:rsid w:val="00F13873"/>
    <w:rsid w:val="00F14DE7"/>
    <w:rsid w:val="00F15227"/>
    <w:rsid w:val="00F2188F"/>
    <w:rsid w:val="00F2740B"/>
    <w:rsid w:val="00F27CA7"/>
    <w:rsid w:val="00F31AE4"/>
    <w:rsid w:val="00F32343"/>
    <w:rsid w:val="00F429F5"/>
    <w:rsid w:val="00F44A0C"/>
    <w:rsid w:val="00F45542"/>
    <w:rsid w:val="00F4653E"/>
    <w:rsid w:val="00F51BAC"/>
    <w:rsid w:val="00F60FE2"/>
    <w:rsid w:val="00F6578E"/>
    <w:rsid w:val="00F670FE"/>
    <w:rsid w:val="00F76243"/>
    <w:rsid w:val="00F7767B"/>
    <w:rsid w:val="00F80CA2"/>
    <w:rsid w:val="00F81283"/>
    <w:rsid w:val="00F8676F"/>
    <w:rsid w:val="00F87530"/>
    <w:rsid w:val="00F90693"/>
    <w:rsid w:val="00F90AA2"/>
    <w:rsid w:val="00F9102A"/>
    <w:rsid w:val="00FA062E"/>
    <w:rsid w:val="00FA30A5"/>
    <w:rsid w:val="00FA634A"/>
    <w:rsid w:val="00FA7528"/>
    <w:rsid w:val="00FB0F4D"/>
    <w:rsid w:val="00FB2F7D"/>
    <w:rsid w:val="00FB429C"/>
    <w:rsid w:val="00FB615E"/>
    <w:rsid w:val="00FB6CC9"/>
    <w:rsid w:val="00FC39D2"/>
    <w:rsid w:val="00FC5835"/>
    <w:rsid w:val="00FC5BC4"/>
    <w:rsid w:val="00FC6C54"/>
    <w:rsid w:val="00FC733D"/>
    <w:rsid w:val="00FC76F0"/>
    <w:rsid w:val="00FD442D"/>
    <w:rsid w:val="00FD5D82"/>
    <w:rsid w:val="00FD7FE8"/>
    <w:rsid w:val="00FE2B9A"/>
    <w:rsid w:val="00FE3D2E"/>
    <w:rsid w:val="00FE45F0"/>
    <w:rsid w:val="00FE4D1F"/>
    <w:rsid w:val="00FE6F4F"/>
    <w:rsid w:val="00FE7401"/>
    <w:rsid w:val="00FF011B"/>
    <w:rsid w:val="00FF1A1D"/>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76" TargetMode="External"/><Relationship Id="rId13" Type="http://schemas.openxmlformats.org/officeDocument/2006/relationships/hyperlink" Target="https://hudoc.echr.coe.int/e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hyperlink" Target="https://www.at.gov.lv/downloadlawfile/8555" TargetMode="External"/><Relationship Id="rId10" Type="http://schemas.openxmlformats.org/officeDocument/2006/relationships/hyperlink" Target="https://www.satv.tiesa.gov.lv/web/viewer.html?file=/wp-content/uploads/2017/09/2017-23-01_Spriedum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4076" TargetMode="External"/><Relationship Id="rId14" Type="http://schemas.openxmlformats.org/officeDocument/2006/relationships/hyperlink" Target="https://www.at.gov.lv/downloadlawfile/5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2024-04-12T05:32:00Z</dcterms:created>
  <dcterms:modified xsi:type="dcterms:W3CDTF">2024-04-12T05:32:00Z</dcterms:modified>
</cp:coreProperties>
</file>