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EE109" w14:textId="77777777" w:rsidR="00301CFA" w:rsidRDefault="00301CFA" w:rsidP="00C60D74">
      <w:pPr>
        <w:autoSpaceDE w:val="0"/>
        <w:autoSpaceDN w:val="0"/>
        <w:spacing w:line="276" w:lineRule="auto"/>
        <w:jc w:val="both"/>
        <w:rPr>
          <w:rFonts w:ascii="TimesNewRomanPSMT" w:hAnsi="TimesNewRomanPSMT"/>
          <w:b/>
          <w:bCs/>
          <w:lang w:eastAsia="lv-LV"/>
        </w:rPr>
      </w:pPr>
      <w:r>
        <w:rPr>
          <w:rFonts w:ascii="TimesNewRomanPSMT" w:hAnsi="TimesNewRomanPSMT"/>
          <w:b/>
          <w:bCs/>
          <w:color w:val="000000"/>
        </w:rPr>
        <w:t>Detālplānojuma izstrādes procesa mērķis</w:t>
      </w:r>
    </w:p>
    <w:p w14:paraId="5206FA22" w14:textId="233E62F8" w:rsidR="00301CFA" w:rsidRDefault="00301CFA" w:rsidP="00C60D74">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Izvērtēt plānotās būvniecības </w:t>
      </w:r>
      <w:proofErr w:type="spellStart"/>
      <w:r>
        <w:rPr>
          <w:rFonts w:ascii="TimesNewRomanPSMT" w:hAnsi="TimesNewRomanPSMT"/>
          <w:color w:val="000000"/>
        </w:rPr>
        <w:t>iederību</w:t>
      </w:r>
      <w:proofErr w:type="spellEnd"/>
      <w:r>
        <w:rPr>
          <w:rFonts w:ascii="TimesNewRomanPSMT" w:hAnsi="TimesNewRomanPSMT"/>
          <w:color w:val="000000"/>
        </w:rPr>
        <w:t xml:space="preserve"> un atbilstību teritorijas plānotajai (atļautajai) izmantošanai – ir detālplānojuma izstrādes procesa mērķis. Tieši detālplānojuma izstrādes process ļauj identificēt plānotās darbības draudus videi un ļaut sabiedrībai iesaistīties ar vidi saistītu lēmumu pieņemšanā – izteikt viedokli un bažas par tiem plānotās būvniecības aspektiem, kuriem sabiedrības ieskatā varētu būt būtiska nelabvēlīga ietekme uz apkārtējo vidi. Tad, kad detālplānojums stājies spēkā, zemesgabala īpašniekam ir tiesības sava īpašuma attīstībā uz to paļauties, bet sabiedrībai – pienākums to respektēt. Savukārt tas, ka pieteicēju vīzija par teritorijas attīstību nesakrīt ar teritorijas attīstītāju viedokli, nav iemesls uzskatīt, ka plānošanas procesa rezultāts neatbilst plānošanas principu prasībām.</w:t>
      </w:r>
    </w:p>
    <w:p w14:paraId="70B6D51F" w14:textId="77777777" w:rsidR="00301CFA" w:rsidRDefault="00301CFA" w:rsidP="00C60D74">
      <w:pPr>
        <w:autoSpaceDE w:val="0"/>
        <w:autoSpaceDN w:val="0"/>
        <w:spacing w:line="276" w:lineRule="auto"/>
        <w:jc w:val="both"/>
        <w:rPr>
          <w:rFonts w:ascii="TimesNewRomanPSMT" w:hAnsi="TimesNewRomanPSMT"/>
          <w:color w:val="000000"/>
        </w:rPr>
      </w:pPr>
    </w:p>
    <w:p w14:paraId="311B003F" w14:textId="77777777" w:rsidR="00301CFA" w:rsidRDefault="00301CFA" w:rsidP="00C60D74">
      <w:pPr>
        <w:autoSpaceDE w:val="0"/>
        <w:autoSpaceDN w:val="0"/>
        <w:spacing w:line="276" w:lineRule="auto"/>
        <w:jc w:val="both"/>
        <w:rPr>
          <w:rFonts w:ascii="TimesNewRomanPSMT" w:hAnsi="TimesNewRomanPSMT"/>
          <w:b/>
          <w:bCs/>
          <w:color w:val="000000"/>
        </w:rPr>
      </w:pPr>
      <w:r>
        <w:rPr>
          <w:rFonts w:ascii="TimesNewRomanPSMT" w:hAnsi="TimesNewRomanPSMT"/>
          <w:b/>
          <w:bCs/>
          <w:color w:val="000000"/>
        </w:rPr>
        <w:t xml:space="preserve">Zemesgabala īpašnieka tiesības </w:t>
      </w:r>
      <w:r>
        <w:rPr>
          <w:rFonts w:ascii="TimesNewRomanPSMT" w:hAnsi="TimesNewRomanPSMT"/>
          <w:b/>
          <w:bCs/>
        </w:rPr>
        <w:t>paļauties uz nekustamā īpašuma attīstību atbilstoši tiesību normu prasībām</w:t>
      </w:r>
    </w:p>
    <w:p w14:paraId="169F60D5" w14:textId="27292544" w:rsidR="008D4877" w:rsidRDefault="00301CFA" w:rsidP="00C60D74">
      <w:pPr>
        <w:autoSpaceDE w:val="0"/>
        <w:autoSpaceDN w:val="0"/>
        <w:spacing w:line="276" w:lineRule="auto"/>
        <w:jc w:val="both"/>
        <w:rPr>
          <w:rFonts w:ascii="TimesNewRomanPSMT" w:hAnsi="TimesNewRomanPSMT"/>
        </w:rPr>
      </w:pPr>
      <w:r>
        <w:rPr>
          <w:rFonts w:ascii="TimesNewRomanPSMT" w:hAnsi="TimesNewRomanPSMT"/>
        </w:rPr>
        <w:t xml:space="preserve">Jebkuras teritorijas attīstība ir </w:t>
      </w:r>
      <w:proofErr w:type="spellStart"/>
      <w:r>
        <w:rPr>
          <w:rFonts w:ascii="TimesNewRomanPSMT" w:hAnsi="TimesNewRomanPSMT"/>
        </w:rPr>
        <w:t>vairākpakāpju</w:t>
      </w:r>
      <w:proofErr w:type="spellEnd"/>
      <w:r>
        <w:rPr>
          <w:rFonts w:ascii="TimesNewRomanPSMT" w:hAnsi="TimesNewRomanPSMT"/>
        </w:rPr>
        <w:t xml:space="preserve"> interešu līdzsvarošanas process. Minētā mērķa sasniegšanai tiesību normas paredz virkni prasību un procedūru, lai teritorijas attīstībā pienācīgi apsvērtu un saskaņotu vides aizsardzības intereses un individuālu personu tiesības rīkoties ar savu īpašumu. Tas, atkarībā no plānotās ieceres, var paredzēt pienākumu izstrādāt detālplānojumu būvniecības īstenošanai, veikt ietekmes uz vidi novērtējumu, saņemt paredzētās darbības akceptu un veikt tiesību normās noteiktos pasākumus sabiedrības līdzdalības tiesību vai vides aizsardzības interešu nodrošināšanai. Zemesgabala īpašniekam ir pamats paļauties, ka nekustamā īpašuma attīstība būs iespējama atbilstoši tiesību normu prasībām. Līdz ar to iebildumiem pret citas personas iecerēto īpašuma attīstību jābūt konkrētiem, pārbaudāmiem un, kas jo īpaši svarīgi, – izteiktiem īstajam adresātam tajā procesā, kurā attiecīgie jautājumi pēc būtības ir risināmi. Tas vien, ka pašvaldība nav veikusi nepieciešamos vides kvalitātes uzlabošanas pasākumus, nevar būtu pamats pārcelt kompleksu risinājumu meklējumus uz privātpersonu, kas vēlas attīstīt savu īpašumu saskaņā ar tiesību normām un spēkā esošajiem teritorijas plānošanas dokumentiem.</w:t>
      </w:r>
    </w:p>
    <w:p w14:paraId="16878D19" w14:textId="77777777" w:rsidR="00C60D74" w:rsidRPr="00C60D74" w:rsidRDefault="00C60D74" w:rsidP="00C60D74">
      <w:pPr>
        <w:autoSpaceDE w:val="0"/>
        <w:autoSpaceDN w:val="0"/>
        <w:spacing w:line="276" w:lineRule="auto"/>
        <w:jc w:val="both"/>
        <w:rPr>
          <w:rFonts w:ascii="TimesNewRomanPSMT" w:hAnsi="TimesNewRomanPSMT"/>
        </w:rPr>
      </w:pPr>
    </w:p>
    <w:p w14:paraId="7B527A35" w14:textId="1E94A7CA" w:rsidR="008D4877" w:rsidRPr="00C60D74" w:rsidRDefault="008D4877" w:rsidP="00C60D74">
      <w:pPr>
        <w:spacing w:line="276" w:lineRule="auto"/>
        <w:jc w:val="center"/>
        <w:rPr>
          <w:b/>
        </w:rPr>
      </w:pPr>
      <w:r w:rsidRPr="00C60D74">
        <w:rPr>
          <w:b/>
        </w:rPr>
        <w:t>Latvijas Republikas Senāt</w:t>
      </w:r>
      <w:r w:rsidR="00301CFA" w:rsidRPr="00C60D74">
        <w:rPr>
          <w:b/>
        </w:rPr>
        <w:t>a</w:t>
      </w:r>
      <w:r w:rsidR="00C60D74" w:rsidRPr="00C60D74">
        <w:rPr>
          <w:b/>
        </w:rPr>
        <w:br/>
        <w:t xml:space="preserve">Administratīvo lietu departamenta </w:t>
      </w:r>
      <w:r w:rsidR="00C60D74" w:rsidRPr="00C60D74">
        <w:rPr>
          <w:b/>
        </w:rPr>
        <w:br/>
        <w:t>2023.gada 23.novembra</w:t>
      </w:r>
    </w:p>
    <w:p w14:paraId="693CA650" w14:textId="648FDECE" w:rsidR="00C60D74" w:rsidRPr="00C60D74" w:rsidRDefault="008D4877" w:rsidP="00C60D74">
      <w:pPr>
        <w:spacing w:line="276" w:lineRule="auto"/>
        <w:jc w:val="center"/>
        <w:rPr>
          <w:b/>
        </w:rPr>
      </w:pPr>
      <w:r w:rsidRPr="00C60D74">
        <w:rPr>
          <w:b/>
        </w:rPr>
        <w:t>SPRIEDUMS</w:t>
      </w:r>
      <w:r w:rsidR="00C60D74" w:rsidRPr="00C60D74">
        <w:rPr>
          <w:b/>
        </w:rPr>
        <w:br/>
      </w:r>
      <w:r w:rsidR="00C60D74" w:rsidRPr="00C60D74">
        <w:rPr>
          <w:b/>
          <w:lang w:eastAsia="lv-LV"/>
        </w:rPr>
        <w:t>Lieta Nr. A420158419, SKA-194/2023</w:t>
      </w:r>
    </w:p>
    <w:p w14:paraId="37EA614F" w14:textId="12BFABA3" w:rsidR="008D4877" w:rsidRDefault="00C60D74" w:rsidP="00C60D74">
      <w:pPr>
        <w:spacing w:line="276" w:lineRule="auto"/>
        <w:jc w:val="center"/>
      </w:pPr>
      <w:hyperlink r:id="rId7" w:history="1">
        <w:r w:rsidRPr="00C60D74">
          <w:rPr>
            <w:rStyle w:val="Hyperlink"/>
            <w:rFonts w:ascii="TimesNewRomanPSMT" w:eastAsiaTheme="minorHAnsi" w:hAnsi="TimesNewRomanPSMT" w:cs="TimesNewRomanPSMT"/>
            <w:lang w:eastAsia="en-US"/>
          </w:rPr>
          <w:t>ECLI:LV:AT:2023:1123.A420158419.17.S</w:t>
        </w:r>
      </w:hyperlink>
    </w:p>
    <w:p w14:paraId="4548039D" w14:textId="77777777" w:rsidR="00C60D74" w:rsidRPr="00005057" w:rsidRDefault="00C60D74" w:rsidP="00C60D74">
      <w:pPr>
        <w:spacing w:line="276" w:lineRule="auto"/>
        <w:jc w:val="center"/>
      </w:pPr>
    </w:p>
    <w:p w14:paraId="35A3D39D" w14:textId="13661C72" w:rsidR="008D4877" w:rsidRDefault="008D4877" w:rsidP="00C60D74">
      <w:pPr>
        <w:spacing w:line="276" w:lineRule="auto"/>
        <w:ind w:firstLine="720"/>
        <w:jc w:val="both"/>
      </w:pPr>
      <w:r w:rsidRPr="00005057">
        <w:t xml:space="preserve">Senāts šādā sastāvā: senatore referente </w:t>
      </w:r>
      <w:r w:rsidR="00562F99">
        <w:t>Veronika Krūmiņa</w:t>
      </w:r>
      <w:r w:rsidRPr="00005057">
        <w:t xml:space="preserve">, senatores </w:t>
      </w:r>
      <w:r w:rsidR="00856C3A">
        <w:t>Dzintra Amerika un Diāna Makarova</w:t>
      </w:r>
    </w:p>
    <w:p w14:paraId="11C343ED" w14:textId="77777777" w:rsidR="00BF4242" w:rsidRDefault="00BF4242" w:rsidP="00C60D74">
      <w:pPr>
        <w:spacing w:line="276" w:lineRule="auto"/>
        <w:ind w:firstLine="720"/>
        <w:jc w:val="both"/>
      </w:pPr>
    </w:p>
    <w:p w14:paraId="7E6EED35" w14:textId="3F673FA6" w:rsidR="00856C3A" w:rsidRDefault="00BF4242" w:rsidP="00C60D74">
      <w:pPr>
        <w:spacing w:line="276" w:lineRule="auto"/>
        <w:ind w:firstLine="720"/>
        <w:jc w:val="both"/>
      </w:pPr>
      <w:r>
        <w:t>rakstveida procesā izskatīja administratīvo lietu, kas ierosināta, pamatojoties uz</w:t>
      </w:r>
      <w:r w:rsidR="00301CFA">
        <w:t xml:space="preserve"> [pers. A]</w:t>
      </w:r>
      <w:r w:rsidRPr="00BF4242">
        <w:t xml:space="preserve">, </w:t>
      </w:r>
      <w:r w:rsidR="00301CFA">
        <w:t>[pers. </w:t>
      </w:r>
      <w:r w:rsidR="00301CFA">
        <w:t>B</w:t>
      </w:r>
      <w:r w:rsidR="00301CFA">
        <w:t>]</w:t>
      </w:r>
      <w:r w:rsidRPr="00BF4242">
        <w:t xml:space="preserve">, </w:t>
      </w:r>
      <w:r w:rsidR="00301CFA">
        <w:t>[pers. </w:t>
      </w:r>
      <w:r w:rsidR="00301CFA">
        <w:t>C</w:t>
      </w:r>
      <w:r w:rsidR="00301CFA">
        <w:t>]</w:t>
      </w:r>
      <w:r w:rsidRPr="00BF4242">
        <w:t xml:space="preserve">, </w:t>
      </w:r>
      <w:r w:rsidR="00301CFA">
        <w:t>[pers. </w:t>
      </w:r>
      <w:r w:rsidR="00301CFA">
        <w:t>D</w:t>
      </w:r>
      <w:r w:rsidR="00301CFA">
        <w:t>]</w:t>
      </w:r>
      <w:r w:rsidRPr="00BF4242">
        <w:t xml:space="preserve">, </w:t>
      </w:r>
      <w:r w:rsidR="00301CFA">
        <w:t>[pers. </w:t>
      </w:r>
      <w:r w:rsidR="00301CFA">
        <w:t>E</w:t>
      </w:r>
      <w:r w:rsidR="00301CFA">
        <w:t>]</w:t>
      </w:r>
      <w:r w:rsidRPr="00BF4242">
        <w:t xml:space="preserve">, </w:t>
      </w:r>
      <w:r w:rsidR="00301CFA">
        <w:t>[pers. </w:t>
      </w:r>
      <w:r w:rsidR="00301CFA">
        <w:t>F</w:t>
      </w:r>
      <w:r w:rsidR="00301CFA">
        <w:t>]</w:t>
      </w:r>
      <w:r w:rsidRPr="00BF4242">
        <w:t xml:space="preserve">, </w:t>
      </w:r>
      <w:r w:rsidR="00301CFA">
        <w:t>[pers. </w:t>
      </w:r>
      <w:r w:rsidR="00301CFA">
        <w:t>G</w:t>
      </w:r>
      <w:r w:rsidR="00301CFA">
        <w:t>]</w:t>
      </w:r>
      <w:r w:rsidRPr="00BF4242">
        <w:t xml:space="preserve">, </w:t>
      </w:r>
      <w:r w:rsidR="00301CFA">
        <w:t>[pers. </w:t>
      </w:r>
      <w:r w:rsidR="00301CFA">
        <w:t>H</w:t>
      </w:r>
      <w:r w:rsidR="00301CFA">
        <w:t>]</w:t>
      </w:r>
      <w:r w:rsidRPr="00BF4242">
        <w:t xml:space="preserve">, </w:t>
      </w:r>
      <w:r w:rsidR="00301CFA">
        <w:t>[pers. </w:t>
      </w:r>
      <w:r w:rsidR="00301CFA">
        <w:t>I</w:t>
      </w:r>
      <w:r w:rsidR="00301CFA">
        <w:t>]</w:t>
      </w:r>
      <w:r w:rsidRPr="00BF4242">
        <w:t xml:space="preserve">, </w:t>
      </w:r>
      <w:r w:rsidR="00301CFA">
        <w:t>[pers. </w:t>
      </w:r>
      <w:r w:rsidR="00301CFA">
        <w:t>J</w:t>
      </w:r>
      <w:r w:rsidR="00301CFA">
        <w:t>]</w:t>
      </w:r>
      <w:r w:rsidRPr="00BF4242">
        <w:t xml:space="preserve">, </w:t>
      </w:r>
      <w:r w:rsidR="00301CFA">
        <w:t>[pers. </w:t>
      </w:r>
      <w:r w:rsidR="00301CFA">
        <w:t>K</w:t>
      </w:r>
      <w:r w:rsidR="00301CFA">
        <w:t>]</w:t>
      </w:r>
      <w:r w:rsidRPr="00BF4242">
        <w:t xml:space="preserve">, </w:t>
      </w:r>
      <w:r w:rsidR="00301CFA">
        <w:t>[pers. </w:t>
      </w:r>
      <w:r w:rsidR="00301CFA">
        <w:t>L</w:t>
      </w:r>
      <w:r w:rsidR="00301CFA">
        <w:t>]</w:t>
      </w:r>
      <w:r w:rsidRPr="00BF4242">
        <w:t xml:space="preserve">, </w:t>
      </w:r>
      <w:r w:rsidR="00301CFA">
        <w:t>[pers. </w:t>
      </w:r>
      <w:r w:rsidR="00301CFA">
        <w:t>M</w:t>
      </w:r>
      <w:r w:rsidR="00301CFA">
        <w:t>]</w:t>
      </w:r>
      <w:r w:rsidRPr="00BF4242">
        <w:t xml:space="preserve">, </w:t>
      </w:r>
      <w:r w:rsidR="00301CFA">
        <w:t>[pers. </w:t>
      </w:r>
      <w:r w:rsidR="00301CFA">
        <w:t>N</w:t>
      </w:r>
      <w:r w:rsidR="00301CFA">
        <w:t>]</w:t>
      </w:r>
      <w:r w:rsidRPr="00BF4242">
        <w:t xml:space="preserve">, </w:t>
      </w:r>
      <w:r w:rsidR="00301CFA">
        <w:t>[pers. </w:t>
      </w:r>
      <w:r w:rsidR="00301CFA">
        <w:t>O</w:t>
      </w:r>
      <w:r w:rsidR="00301CFA">
        <w:t>]</w:t>
      </w:r>
      <w:r w:rsidRPr="00BF4242">
        <w:t xml:space="preserve">, </w:t>
      </w:r>
      <w:r w:rsidR="00301CFA">
        <w:t>[pers. </w:t>
      </w:r>
      <w:r w:rsidR="00301CFA">
        <w:t>P</w:t>
      </w:r>
      <w:r w:rsidR="00301CFA">
        <w:t>]</w:t>
      </w:r>
      <w:r w:rsidRPr="00BF4242">
        <w:t xml:space="preserve">, </w:t>
      </w:r>
      <w:r w:rsidR="00301CFA">
        <w:t>[pers. </w:t>
      </w:r>
      <w:r w:rsidR="00301CFA">
        <w:t>R</w:t>
      </w:r>
      <w:r w:rsidR="00301CFA">
        <w:t>]</w:t>
      </w:r>
      <w:r w:rsidRPr="00BF4242">
        <w:t xml:space="preserve">, </w:t>
      </w:r>
      <w:r w:rsidR="00301CFA">
        <w:t>[pers. </w:t>
      </w:r>
      <w:r w:rsidR="00301CFA">
        <w:t>S</w:t>
      </w:r>
      <w:r w:rsidR="00301CFA">
        <w:t>]</w:t>
      </w:r>
      <w:r w:rsidRPr="00BF4242">
        <w:t xml:space="preserve">, </w:t>
      </w:r>
      <w:r w:rsidR="00301CFA">
        <w:t>[pers. </w:t>
      </w:r>
      <w:r w:rsidR="00301CFA">
        <w:t>T</w:t>
      </w:r>
      <w:r w:rsidR="00301CFA">
        <w:t>]</w:t>
      </w:r>
      <w:r w:rsidRPr="00BF4242">
        <w:t xml:space="preserve">, </w:t>
      </w:r>
      <w:r w:rsidR="00301CFA">
        <w:t>[pers. </w:t>
      </w:r>
      <w:r w:rsidR="00301CFA">
        <w:t>U</w:t>
      </w:r>
      <w:r w:rsidR="00301CFA">
        <w:t>]</w:t>
      </w:r>
      <w:r w:rsidRPr="00BF4242">
        <w:t xml:space="preserve">, </w:t>
      </w:r>
      <w:r w:rsidR="00301CFA">
        <w:t>[pers. </w:t>
      </w:r>
      <w:r w:rsidR="00301CFA">
        <w:t>Z</w:t>
      </w:r>
      <w:r w:rsidR="00301CFA">
        <w:t>]</w:t>
      </w:r>
      <w:r w:rsidRPr="00BF4242">
        <w:t xml:space="preserve">, </w:t>
      </w:r>
      <w:r w:rsidR="00301CFA">
        <w:t>[pers. A</w:t>
      </w:r>
      <w:r w:rsidR="00301CFA">
        <w:t>A</w:t>
      </w:r>
      <w:r w:rsidR="00301CFA">
        <w:t>]</w:t>
      </w:r>
      <w:r w:rsidRPr="00BF4242">
        <w:t xml:space="preserve">, </w:t>
      </w:r>
      <w:r w:rsidR="00301CFA">
        <w:t>[pers. A</w:t>
      </w:r>
      <w:r w:rsidR="00301CFA">
        <w:t>B</w:t>
      </w:r>
      <w:r w:rsidR="00301CFA">
        <w:t>]</w:t>
      </w:r>
      <w:r w:rsidRPr="00BF4242">
        <w:t xml:space="preserve">, </w:t>
      </w:r>
      <w:r w:rsidR="00301CFA">
        <w:t>[pers. A</w:t>
      </w:r>
      <w:r w:rsidR="00C60D74">
        <w:t>C</w:t>
      </w:r>
      <w:r w:rsidR="00301CFA">
        <w:t>]</w:t>
      </w:r>
      <w:r w:rsidRPr="00BF4242">
        <w:t xml:space="preserve">, </w:t>
      </w:r>
      <w:r w:rsidR="00C60D74">
        <w:t>[pers. A</w:t>
      </w:r>
      <w:r w:rsidR="00C60D74">
        <w:t>D</w:t>
      </w:r>
      <w:r w:rsidR="00C60D74">
        <w:t>]</w:t>
      </w:r>
      <w:r w:rsidRPr="00BF4242">
        <w:t xml:space="preserve">, </w:t>
      </w:r>
      <w:r w:rsidR="00C60D74">
        <w:t>[pers. </w:t>
      </w:r>
      <w:r w:rsidR="00C60D74">
        <w:t>AE</w:t>
      </w:r>
      <w:r w:rsidR="00C60D74">
        <w:t>]</w:t>
      </w:r>
      <w:r w:rsidRPr="00BF4242">
        <w:t xml:space="preserve">, </w:t>
      </w:r>
      <w:r w:rsidR="00C60D74">
        <w:t>[pers. A</w:t>
      </w:r>
      <w:r w:rsidR="00C60D74">
        <w:t>F</w:t>
      </w:r>
      <w:r w:rsidR="00C60D74">
        <w:t>]</w:t>
      </w:r>
      <w:r w:rsidRPr="00BF4242">
        <w:t xml:space="preserve">, </w:t>
      </w:r>
      <w:r w:rsidR="00C60D74">
        <w:t>[pers. </w:t>
      </w:r>
      <w:r w:rsidR="00C60D74">
        <w:t>AG</w:t>
      </w:r>
      <w:r w:rsidR="00C60D74">
        <w:t>]</w:t>
      </w:r>
      <w:r w:rsidRPr="00BF4242">
        <w:t xml:space="preserve">, </w:t>
      </w:r>
      <w:r w:rsidR="00C60D74">
        <w:t>[pers. A</w:t>
      </w:r>
      <w:r w:rsidR="00C60D74">
        <w:t>H</w:t>
      </w:r>
      <w:r w:rsidR="00C60D74">
        <w:t>]</w:t>
      </w:r>
      <w:r w:rsidRPr="00BF4242">
        <w:t xml:space="preserve">, </w:t>
      </w:r>
      <w:r w:rsidR="00C60D74">
        <w:t>[pers. A</w:t>
      </w:r>
      <w:r w:rsidR="00C60D74">
        <w:t>I</w:t>
      </w:r>
      <w:r w:rsidR="00C60D74">
        <w:t>]</w:t>
      </w:r>
      <w:r w:rsidRPr="00BF4242">
        <w:t xml:space="preserve">, </w:t>
      </w:r>
      <w:r w:rsidR="00C60D74">
        <w:t>[pers. A</w:t>
      </w:r>
      <w:r w:rsidR="00C60D74">
        <w:t>J</w:t>
      </w:r>
      <w:r w:rsidR="00C60D74">
        <w:t>]</w:t>
      </w:r>
      <w:r w:rsidRPr="00BF4242">
        <w:t xml:space="preserve">, </w:t>
      </w:r>
      <w:r w:rsidR="00C60D74">
        <w:t>[pers. A</w:t>
      </w:r>
      <w:r w:rsidR="00C60D74">
        <w:t>K</w:t>
      </w:r>
      <w:r w:rsidR="00C60D74">
        <w:t>]</w:t>
      </w:r>
      <w:r w:rsidRPr="00BF4242">
        <w:t xml:space="preserve">, </w:t>
      </w:r>
      <w:r w:rsidR="00C60D74">
        <w:t>[pers. A</w:t>
      </w:r>
      <w:r w:rsidR="00C60D74">
        <w:t>L</w:t>
      </w:r>
      <w:r w:rsidR="00C60D74">
        <w:t>]</w:t>
      </w:r>
      <w:r w:rsidRPr="00BF4242">
        <w:t xml:space="preserve">, </w:t>
      </w:r>
      <w:r w:rsidR="00C60D74">
        <w:t>[pers. A</w:t>
      </w:r>
      <w:r w:rsidR="00C60D74">
        <w:t>M</w:t>
      </w:r>
      <w:r w:rsidR="00C60D74">
        <w:t>]</w:t>
      </w:r>
      <w:r w:rsidRPr="00BF4242">
        <w:t xml:space="preserve">, </w:t>
      </w:r>
      <w:r w:rsidR="00C60D74">
        <w:t>[pers. A</w:t>
      </w:r>
      <w:r w:rsidR="00C60D74">
        <w:t>N</w:t>
      </w:r>
      <w:r w:rsidR="00C60D74">
        <w:t>]</w:t>
      </w:r>
      <w:r w:rsidRPr="00BF4242">
        <w:t xml:space="preserve">, </w:t>
      </w:r>
      <w:r w:rsidR="00C60D74">
        <w:t>[pers. A</w:t>
      </w:r>
      <w:r w:rsidR="00C60D74">
        <w:t>O</w:t>
      </w:r>
      <w:r w:rsidR="00C60D74">
        <w:t>]</w:t>
      </w:r>
      <w:r w:rsidRPr="00BF4242">
        <w:t xml:space="preserve">, </w:t>
      </w:r>
      <w:r w:rsidR="00C60D74">
        <w:t>[pers. A</w:t>
      </w:r>
      <w:r w:rsidR="00C60D74">
        <w:t>P</w:t>
      </w:r>
      <w:r w:rsidR="00C60D74">
        <w:t>]</w:t>
      </w:r>
      <w:r w:rsidRPr="00BF4242">
        <w:t xml:space="preserve">, </w:t>
      </w:r>
      <w:r w:rsidR="00C60D74">
        <w:t>[pers. A</w:t>
      </w:r>
      <w:r w:rsidR="00C60D74">
        <w:t>R</w:t>
      </w:r>
      <w:r w:rsidR="00C60D74">
        <w:t>]</w:t>
      </w:r>
      <w:r w:rsidRPr="00BF4242">
        <w:t xml:space="preserve">, </w:t>
      </w:r>
      <w:r w:rsidR="00C60D74">
        <w:t>[pers. A</w:t>
      </w:r>
      <w:r w:rsidR="00C60D74">
        <w:t>S</w:t>
      </w:r>
      <w:r w:rsidR="00C60D74">
        <w:t>]</w:t>
      </w:r>
      <w:r w:rsidRPr="00BF4242">
        <w:t xml:space="preserve">, </w:t>
      </w:r>
      <w:r w:rsidR="00C60D74">
        <w:t>[pers. </w:t>
      </w:r>
      <w:r w:rsidR="00C60D74">
        <w:t>AT</w:t>
      </w:r>
      <w:r w:rsidR="00C60D74">
        <w:t>]</w:t>
      </w:r>
      <w:r w:rsidRPr="00BF4242">
        <w:t xml:space="preserve">, </w:t>
      </w:r>
      <w:r w:rsidR="00C60D74">
        <w:t>[pers. A</w:t>
      </w:r>
      <w:r w:rsidR="00C60D74">
        <w:t>U</w:t>
      </w:r>
      <w:r w:rsidR="00C60D74">
        <w:t>]</w:t>
      </w:r>
      <w:r w:rsidRPr="00BF4242">
        <w:t xml:space="preserve">, </w:t>
      </w:r>
      <w:r w:rsidR="00C60D74">
        <w:t>[pers. A</w:t>
      </w:r>
      <w:r w:rsidR="00C60D74">
        <w:t>Z</w:t>
      </w:r>
      <w:r w:rsidR="00C60D74">
        <w:t>]</w:t>
      </w:r>
      <w:r w:rsidRPr="00BF4242">
        <w:t xml:space="preserve">, </w:t>
      </w:r>
      <w:r w:rsidR="00C60D74">
        <w:t>[pers. </w:t>
      </w:r>
      <w:r w:rsidR="00C60D74">
        <w:t>B</w:t>
      </w:r>
      <w:r w:rsidR="00C60D74">
        <w:t>A]</w:t>
      </w:r>
      <w:r w:rsidRPr="00BF4242">
        <w:t xml:space="preserve">, </w:t>
      </w:r>
      <w:r w:rsidR="00C60D74">
        <w:t>[pers. B</w:t>
      </w:r>
      <w:r w:rsidR="00C60D74">
        <w:t>A</w:t>
      </w:r>
      <w:r w:rsidR="00C60D74">
        <w:t>]</w:t>
      </w:r>
      <w:r w:rsidRPr="00BF4242">
        <w:t xml:space="preserve">, </w:t>
      </w:r>
      <w:r w:rsidR="00C60D74">
        <w:t>[pers. B</w:t>
      </w:r>
      <w:r w:rsidR="00C60D74">
        <w:t>B</w:t>
      </w:r>
      <w:r w:rsidR="00C60D74">
        <w:t>]</w:t>
      </w:r>
      <w:r w:rsidRPr="00BF4242">
        <w:t xml:space="preserve">, </w:t>
      </w:r>
      <w:r w:rsidR="00C60D74">
        <w:t>[pers. B</w:t>
      </w:r>
      <w:r w:rsidR="00C60D74">
        <w:t>C</w:t>
      </w:r>
      <w:r w:rsidR="00C60D74">
        <w:t>]</w:t>
      </w:r>
      <w:r w:rsidRPr="00BF4242">
        <w:t xml:space="preserve">, </w:t>
      </w:r>
      <w:r w:rsidR="00C60D74">
        <w:t>[pers. B</w:t>
      </w:r>
      <w:r w:rsidR="00C60D74">
        <w:t>D</w:t>
      </w:r>
      <w:r w:rsidR="00C60D74">
        <w:t>]</w:t>
      </w:r>
      <w:r w:rsidR="00C60D74">
        <w:t xml:space="preserve"> </w:t>
      </w:r>
      <w:r w:rsidRPr="00BF4242">
        <w:t xml:space="preserve">un </w:t>
      </w:r>
      <w:r w:rsidR="00C60D74">
        <w:lastRenderedPageBreak/>
        <w:t>[pers. B</w:t>
      </w:r>
      <w:r w:rsidR="00C60D74">
        <w:t>E</w:t>
      </w:r>
      <w:r w:rsidR="00C60D74">
        <w:t>]</w:t>
      </w:r>
      <w:r w:rsidR="00C60D74">
        <w:t xml:space="preserve"> </w:t>
      </w:r>
      <w:r>
        <w:t>pieteikum</w:t>
      </w:r>
      <w:r w:rsidR="00893EA8">
        <w:t>u</w:t>
      </w:r>
      <w:r>
        <w:t xml:space="preserve"> par Rīgas domes Pilsētas attīstības departamenta 2019.gada 20.februāra lēmuma Nr.</w:t>
      </w:r>
      <w:r w:rsidR="00040116">
        <w:t> </w:t>
      </w:r>
      <w:r>
        <w:t xml:space="preserve">DA-19-168-ap atcelšanu, sakarā ar minēto </w:t>
      </w:r>
      <w:r w:rsidRPr="00680E36">
        <w:t>pieteicēju</w:t>
      </w:r>
      <w:r>
        <w:t xml:space="preserve"> kasācijas sūdzību par Administratīvās apgabaltiesas 2021.gada 8.jūnija spriedumu. </w:t>
      </w:r>
    </w:p>
    <w:p w14:paraId="126786AB" w14:textId="77777777" w:rsidR="007A1ECE" w:rsidRPr="00005057" w:rsidRDefault="007A1ECE" w:rsidP="00C60D74">
      <w:pPr>
        <w:spacing w:line="276" w:lineRule="auto"/>
        <w:ind w:firstLine="720"/>
        <w:jc w:val="both"/>
      </w:pPr>
    </w:p>
    <w:p w14:paraId="5098ACB0" w14:textId="77777777" w:rsidR="008D4877" w:rsidRPr="00005057" w:rsidRDefault="008D4877" w:rsidP="00C60D74">
      <w:pPr>
        <w:spacing w:line="276" w:lineRule="auto"/>
        <w:jc w:val="center"/>
        <w:rPr>
          <w:b/>
          <w:shd w:val="clear" w:color="auto" w:fill="FFFFFF"/>
        </w:rPr>
      </w:pPr>
      <w:r w:rsidRPr="00005057">
        <w:rPr>
          <w:b/>
          <w:shd w:val="clear" w:color="auto" w:fill="FFFFFF"/>
        </w:rPr>
        <w:t>Aprakstošā daļa</w:t>
      </w:r>
    </w:p>
    <w:p w14:paraId="0C25C823" w14:textId="77777777" w:rsidR="008D4877" w:rsidRPr="00005057" w:rsidRDefault="008D4877" w:rsidP="00C60D74">
      <w:pPr>
        <w:spacing w:line="276" w:lineRule="auto"/>
        <w:jc w:val="center"/>
        <w:rPr>
          <w:shd w:val="clear" w:color="auto" w:fill="FFFFFF"/>
        </w:rPr>
      </w:pPr>
    </w:p>
    <w:p w14:paraId="1CC31A1F" w14:textId="43C1775D" w:rsidR="008C6D43" w:rsidRDefault="008D4877" w:rsidP="00C60D74">
      <w:pPr>
        <w:pStyle w:val="NormalWeb"/>
        <w:shd w:val="clear" w:color="auto" w:fill="FFFFFF"/>
        <w:spacing w:before="0" w:beforeAutospacing="0" w:after="0" w:afterAutospacing="0" w:line="276" w:lineRule="auto"/>
        <w:ind w:firstLine="720"/>
        <w:jc w:val="both"/>
        <w:rPr>
          <w:shd w:val="clear" w:color="auto" w:fill="FFFFFF"/>
        </w:rPr>
      </w:pPr>
      <w:r w:rsidRPr="00005057">
        <w:rPr>
          <w:shd w:val="clear" w:color="auto" w:fill="FFFFFF"/>
        </w:rPr>
        <w:t>[1]</w:t>
      </w:r>
      <w:r w:rsidR="000153FD">
        <w:rPr>
          <w:shd w:val="clear" w:color="auto" w:fill="FFFFFF"/>
        </w:rPr>
        <w:t> </w:t>
      </w:r>
      <w:r w:rsidR="008C6D43">
        <w:rPr>
          <w:shd w:val="clear" w:color="auto" w:fill="FFFFFF"/>
        </w:rPr>
        <w:t>Trešajai personai SIA</w:t>
      </w:r>
      <w:r w:rsidR="00DD6CA3">
        <w:rPr>
          <w:shd w:val="clear" w:color="auto" w:fill="FFFFFF"/>
        </w:rPr>
        <w:t> </w:t>
      </w:r>
      <w:r w:rsidR="009D3FD6">
        <w:rPr>
          <w:shd w:val="clear" w:color="auto" w:fill="FFFFFF"/>
        </w:rPr>
        <w:t>„</w:t>
      </w:r>
      <w:r w:rsidR="008C6D43">
        <w:rPr>
          <w:shd w:val="clear" w:color="auto" w:fill="FFFFFF"/>
        </w:rPr>
        <w:t xml:space="preserve">Rīgas jahtu centrs </w:t>
      </w:r>
      <w:r w:rsidR="009D3FD6">
        <w:rPr>
          <w:shd w:val="clear" w:color="auto" w:fill="FFFFFF"/>
        </w:rPr>
        <w:t>„</w:t>
      </w:r>
      <w:r w:rsidR="008C6D43">
        <w:rPr>
          <w:shd w:val="clear" w:color="auto" w:fill="FFFFFF"/>
        </w:rPr>
        <w:t>Andrejosta</w:t>
      </w:r>
      <w:r w:rsidR="00893EA8">
        <w:rPr>
          <w:shd w:val="clear" w:color="auto" w:fill="FFFFFF"/>
        </w:rPr>
        <w:t>”</w:t>
      </w:r>
      <w:r w:rsidR="008C6D43">
        <w:rPr>
          <w:shd w:val="clear" w:color="auto" w:fill="FFFFFF"/>
        </w:rPr>
        <w:t>” 2018.gada decembrī izdotas divas būvatļaujas – būvatļauja viesnīcas jaunbūvei, piebraucamo ceļu un gājēju promenādes būvniecībai</w:t>
      </w:r>
      <w:r w:rsidR="00301CFA">
        <w:rPr>
          <w:shd w:val="clear" w:color="auto" w:fill="FFFFFF"/>
        </w:rPr>
        <w:t xml:space="preserve"> [Adrese A]</w:t>
      </w:r>
      <w:r w:rsidR="008C6D43">
        <w:rPr>
          <w:shd w:val="clear" w:color="auto" w:fill="FFFFFF"/>
        </w:rPr>
        <w:t>, un būvatļauja biroja ēkas jaunbūvei, piebraucamo ceļu un gājēju promenādes būvniecībai</w:t>
      </w:r>
      <w:r w:rsidR="00301CFA">
        <w:rPr>
          <w:shd w:val="clear" w:color="auto" w:fill="FFFFFF"/>
        </w:rPr>
        <w:t xml:space="preserve"> </w:t>
      </w:r>
      <w:r w:rsidR="00301CFA">
        <w:rPr>
          <w:shd w:val="clear" w:color="auto" w:fill="FFFFFF"/>
        </w:rPr>
        <w:t xml:space="preserve">[Adrese </w:t>
      </w:r>
      <w:r w:rsidR="00301CFA">
        <w:rPr>
          <w:shd w:val="clear" w:color="auto" w:fill="FFFFFF"/>
        </w:rPr>
        <w:t>B</w:t>
      </w:r>
      <w:r w:rsidR="00301CFA">
        <w:rPr>
          <w:shd w:val="clear" w:color="auto" w:fill="FFFFFF"/>
        </w:rPr>
        <w:t>]</w:t>
      </w:r>
      <w:r w:rsidR="00893EA8">
        <w:rPr>
          <w:shd w:val="clear" w:color="auto" w:fill="FFFFFF"/>
        </w:rPr>
        <w:t>.</w:t>
      </w:r>
    </w:p>
    <w:p w14:paraId="473269F4" w14:textId="1D1A1FAA" w:rsidR="008C6D43" w:rsidRDefault="008C6D43" w:rsidP="00C60D7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Pieteicēji – plānotajai apbūvei blakus esošo dzīvojamo māju iedzīvotāji – apstrīdēja šīs būvatļaujas. Izvērtējis pieteicēju iebildumus, Rīgas domes Pilsētas attīstības departaments </w:t>
      </w:r>
      <w:r w:rsidR="009E4C99">
        <w:rPr>
          <w:shd w:val="clear" w:color="auto" w:fill="FFFFFF"/>
        </w:rPr>
        <w:t xml:space="preserve">(turpmāk – departaments) </w:t>
      </w:r>
      <w:r>
        <w:rPr>
          <w:shd w:val="clear" w:color="auto" w:fill="FFFFFF"/>
        </w:rPr>
        <w:t>ar 2019.ga</w:t>
      </w:r>
      <w:r w:rsidR="00800D80">
        <w:rPr>
          <w:shd w:val="clear" w:color="auto" w:fill="FFFFFF"/>
        </w:rPr>
        <w:t>da 20.februāra lēmumu Nr. DA</w:t>
      </w:r>
      <w:r w:rsidR="00800D80">
        <w:rPr>
          <w:shd w:val="clear" w:color="auto" w:fill="FFFFFF"/>
        </w:rPr>
        <w:noBreakHyphen/>
        <w:t>19</w:t>
      </w:r>
      <w:r w:rsidR="00800D80">
        <w:rPr>
          <w:shd w:val="clear" w:color="auto" w:fill="FFFFFF"/>
        </w:rPr>
        <w:noBreakHyphen/>
      </w:r>
      <w:r>
        <w:rPr>
          <w:shd w:val="clear" w:color="auto" w:fill="FFFFFF"/>
        </w:rPr>
        <w:t xml:space="preserve">168-ap atstāja strīdus būvatļaujas negrozītas. </w:t>
      </w:r>
    </w:p>
    <w:p w14:paraId="2D910C9C" w14:textId="63DB795D" w:rsidR="008C6D43" w:rsidRDefault="008C6D43" w:rsidP="00C60D7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Iebilstot pret minēto lēmumu, pieteicēji vērsās Administratīvajā rajona tiesā.</w:t>
      </w:r>
    </w:p>
    <w:p w14:paraId="24BBAD88" w14:textId="77777777" w:rsidR="008C6D43" w:rsidRDefault="008C6D43" w:rsidP="00C60D74">
      <w:pPr>
        <w:pStyle w:val="NormalWeb"/>
        <w:shd w:val="clear" w:color="auto" w:fill="FFFFFF"/>
        <w:spacing w:before="0" w:beforeAutospacing="0" w:after="0" w:afterAutospacing="0" w:line="276" w:lineRule="auto"/>
        <w:ind w:firstLine="720"/>
        <w:jc w:val="both"/>
        <w:rPr>
          <w:shd w:val="clear" w:color="auto" w:fill="FFFFFF"/>
        </w:rPr>
      </w:pPr>
    </w:p>
    <w:p w14:paraId="2A18CD98" w14:textId="35E395E7" w:rsidR="00255F2A" w:rsidRPr="008C6D43" w:rsidRDefault="008C6D43" w:rsidP="00C60D7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0153FD">
        <w:rPr>
          <w:shd w:val="clear" w:color="auto" w:fill="FFFFFF"/>
        </w:rPr>
        <w:t> </w:t>
      </w:r>
      <w:r w:rsidR="00255F2A">
        <w:t>Administratīvā apgabaltiesa</w:t>
      </w:r>
      <w:r w:rsidR="00DD6CA3">
        <w:t xml:space="preserve"> </w:t>
      </w:r>
      <w:r w:rsidR="00255F2A">
        <w:t>ar 2021.gada 8.jūnija spriedumu noraidīja</w:t>
      </w:r>
      <w:r w:rsidR="000F7312">
        <w:t xml:space="preserve"> </w:t>
      </w:r>
      <w:r w:rsidR="00255F2A">
        <w:t>pieteikumu. Spriedums, ievērojot apgabaltiesas pievienošanos pirmās instances tiesas sprieduma motivācijai, pamatots ar turpmāk norādītajiem argumentiem.</w:t>
      </w:r>
    </w:p>
    <w:p w14:paraId="05FECDCA" w14:textId="184682BB" w:rsidR="000F7312" w:rsidRDefault="00255F2A" w:rsidP="00C60D74">
      <w:pPr>
        <w:pStyle w:val="NormalWeb"/>
        <w:shd w:val="clear" w:color="auto" w:fill="FFFFFF"/>
        <w:spacing w:before="0" w:beforeAutospacing="0" w:after="0" w:afterAutospacing="0" w:line="276" w:lineRule="auto"/>
        <w:ind w:firstLine="720"/>
        <w:jc w:val="both"/>
      </w:pPr>
      <w:r>
        <w:t>[2.1]</w:t>
      </w:r>
      <w:r w:rsidR="000153FD">
        <w:t> </w:t>
      </w:r>
      <w:r w:rsidR="000F7312">
        <w:t xml:space="preserve">Teritorijai, kurā paredzēts īstenot strīdus būvatļaujas, spēkā ir </w:t>
      </w:r>
      <w:r w:rsidR="0022683C">
        <w:t>ar Rīgas domes 2007.gada 18.decembra lēmumu ,,Par Andrejostai piegulošās teritorijas detālplānojuma apstiprināšanu” apstiprināts detālplānojums</w:t>
      </w:r>
      <w:r w:rsidR="005372C4">
        <w:t xml:space="preserve"> (turpmāk – Andrejostas detālplānojums)</w:t>
      </w:r>
      <w:r w:rsidR="0022683C">
        <w:t>, atbilstoši kuram prasības šīs teritorijas izmantošanai no</w:t>
      </w:r>
      <w:r w:rsidR="00543E7B">
        <w:t>saka</w:t>
      </w:r>
      <w:r w:rsidR="0022683C">
        <w:t xml:space="preserve"> Rīgas domes 2007.gada 18.decembra saistošie noteikumi Nr. 106 </w:t>
      </w:r>
      <w:r w:rsidR="00D17CDC">
        <w:t>„</w:t>
      </w:r>
      <w:r w:rsidR="0022683C">
        <w:t>Andrejostai piegulošās teritorijas izmantošanas un apbūves noteikumi” (turpmāk – Andrejostas teritorijas izmantošanas un apbūves noteikumi</w:t>
      </w:r>
      <w:r w:rsidR="005122EB">
        <w:t>).</w:t>
      </w:r>
      <w:r w:rsidR="0022683C">
        <w:t xml:space="preserve"> N</w:t>
      </w:r>
      <w:r w:rsidR="000F7312">
        <w:t>av konstatējams pamats atzīt Andrejostas detālplānojumu par nepiemērojamu sakarā ar tā neatbilstību augstāk</w:t>
      </w:r>
      <w:r w:rsidR="00D17CDC">
        <w:t>a</w:t>
      </w:r>
      <w:r w:rsidR="000F7312">
        <w:t xml:space="preserve"> juridiskā spēka normām. A</w:t>
      </w:r>
      <w:r w:rsidR="00777C9A">
        <w:t xml:space="preserve">pstāklis, ka pieteicēju ieskatā </w:t>
      </w:r>
      <w:r w:rsidR="000F7312">
        <w:t>Andrejostas detālplānojumā nav risināti daudzi nozīmīgi jautājumi, balstās pieteicēju izpratnē par šī plānošanas dokumenta saturu un attiecīgās teritorijas konceptuālu izmantošanu. Šie iebildumi nav pārbaudāmi konkrētās tiesvedības ietvaros.</w:t>
      </w:r>
    </w:p>
    <w:p w14:paraId="21020962" w14:textId="429E7BAA" w:rsidR="000F7312" w:rsidRDefault="000F7312" w:rsidP="00C60D74">
      <w:pPr>
        <w:pStyle w:val="NormalWeb"/>
        <w:shd w:val="clear" w:color="auto" w:fill="FFFFFF"/>
        <w:spacing w:before="0" w:beforeAutospacing="0" w:after="0" w:afterAutospacing="0" w:line="276" w:lineRule="auto"/>
        <w:ind w:firstLine="720"/>
        <w:jc w:val="both"/>
      </w:pPr>
      <w:r>
        <w:t>[2.2]</w:t>
      </w:r>
      <w:r w:rsidR="000153FD">
        <w:t> </w:t>
      </w:r>
      <w:r>
        <w:t>Tā kā Andrejostas detālplānojums ir spēkā</w:t>
      </w:r>
      <w:r w:rsidR="005122EB">
        <w:t xml:space="preserve">, </w:t>
      </w:r>
      <w:r>
        <w:t>atbilstoši Būvniecības likuma 14.panta piektajai daļai nebija rīkojama būvniecības ieceru publiska apspriešana.</w:t>
      </w:r>
      <w:r w:rsidR="00180589">
        <w:t xml:space="preserve"> </w:t>
      </w:r>
      <w:r>
        <w:t xml:space="preserve">Vienlaikus iestāde pamatoti nav konstatējusi, ka atļautā būvniecība pati par sevi radītu </w:t>
      </w:r>
      <w:r w:rsidR="00180589">
        <w:t xml:space="preserve">būtisku ietekmi, proti, </w:t>
      </w:r>
      <w:r>
        <w:t>smaku, troksni, vibrāciju vai cita veida piesārņojumu.</w:t>
      </w:r>
      <w:r w:rsidR="00180589">
        <w:t xml:space="preserve"> Šīs lietas kontekstā minēto faktoru būtiskums ir izvērtējams tikai attiecībā uz konkrēt</w:t>
      </w:r>
      <w:r w:rsidR="005122EB">
        <w:t>ajām</w:t>
      </w:r>
      <w:r w:rsidR="00180589">
        <w:t xml:space="preserve"> būvniecības iecer</w:t>
      </w:r>
      <w:r w:rsidR="005122EB">
        <w:t>ēm.</w:t>
      </w:r>
    </w:p>
    <w:p w14:paraId="4188A219" w14:textId="110E50E8" w:rsidR="00777C9A" w:rsidRDefault="000F7312" w:rsidP="00C60D74">
      <w:pPr>
        <w:pStyle w:val="NormalWeb"/>
        <w:shd w:val="clear" w:color="auto" w:fill="FFFFFF"/>
        <w:spacing w:before="0" w:beforeAutospacing="0" w:after="0" w:afterAutospacing="0" w:line="276" w:lineRule="auto"/>
        <w:ind w:firstLine="720"/>
        <w:jc w:val="both"/>
      </w:pPr>
      <w:r>
        <w:t>[2.3]</w:t>
      </w:r>
      <w:r w:rsidR="000153FD">
        <w:t> </w:t>
      </w:r>
      <w:r w:rsidR="00804D3B">
        <w:t xml:space="preserve">Pieteicēji ir norādījuši, ka trešās personas būvniecības iecerei bija jāveic ietekmes uz vidi sākotnējais izvērtējums, jo projektā paredzēts veidot piestātnes mazizmēra kuģošanas līdzekļiem un tas ir pamats piemērot likuma </w:t>
      </w:r>
      <w:r w:rsidR="00B56C4F">
        <w:t>„</w:t>
      </w:r>
      <w:r w:rsidR="00804D3B">
        <w:t>Par ietekmes uz vidi novērtējumu” 3.</w:t>
      </w:r>
      <w:r w:rsidR="00804D3B" w:rsidRPr="00804D3B">
        <w:rPr>
          <w:vertAlign w:val="superscript"/>
        </w:rPr>
        <w:t>2</w:t>
      </w:r>
      <w:r w:rsidR="00804D3B">
        <w:t xml:space="preserve">panta pirmās daļas 1. un 5.punktu, 2.pielikuma </w:t>
      </w:r>
      <w:r w:rsidR="007432D6">
        <w:t>12.punkta 2.apakšpunktu</w:t>
      </w:r>
      <w:r w:rsidR="00804D3B">
        <w:t xml:space="preserve">. Bez šo darbību veikšanas ir pārkāpts Būvniecības likuma 15.panta trešās daļas 2.punkts. </w:t>
      </w:r>
      <w:r w:rsidR="007432D6">
        <w:t>Pati trešā persona vispārīgi nenoliedz, ka minētais ir nākotnes iespēja, bet s</w:t>
      </w:r>
      <w:r>
        <w:t>trīdus būvatļaujas neparedz piestātnes izveidi.</w:t>
      </w:r>
      <w:r w:rsidRPr="000F7312">
        <w:t xml:space="preserve"> </w:t>
      </w:r>
      <w:r>
        <w:t>Var piekrist</w:t>
      </w:r>
      <w:r w:rsidR="00A821F0">
        <w:t>:</w:t>
      </w:r>
      <w:r>
        <w:t xml:space="preserve"> ja trešā persona veiktu visu teritorijas attīstīšanu vienlaikus, tad, iespējams, šī procedūra būtu piemērojama.</w:t>
      </w:r>
      <w:r w:rsidRPr="000F7312">
        <w:t xml:space="preserve"> </w:t>
      </w:r>
      <w:r>
        <w:t xml:space="preserve">Tomēr konkrētajā gadījumā trešā persona norāda tikai uz nākotnes plāniem. Minētais ir </w:t>
      </w:r>
      <w:r>
        <w:lastRenderedPageBreak/>
        <w:t>saprotams, jo teritorija, kuras daļēja attīstība piekrīt arī trešajai personai, ir apjomīga un prasa ne tikai konceptuālu, bet arī plānveida darbību kopumu tās attīstībai. Šīs lietas apstākļi arī neliecina par būvniecības ieceru mākslīgu sadalīšanu. Piestātnes būvniecība</w:t>
      </w:r>
      <w:r w:rsidR="007432D6">
        <w:t>, kā secināms no procesa Valsts vides dienestā</w:t>
      </w:r>
      <w:r w:rsidR="00B56C4F">
        <w:t>,</w:t>
      </w:r>
      <w:r w:rsidR="007432D6">
        <w:t xml:space="preserve"> </w:t>
      </w:r>
      <w:r>
        <w:t xml:space="preserve">tiek virzīta kā atsevišķa iecere, kurai ir piemērots sākotnējais izvērtējums. </w:t>
      </w:r>
      <w:r w:rsidR="00ED0775">
        <w:t>Savukārt saistībā ar konkrētajiem projektiem t</w:t>
      </w:r>
      <w:r>
        <w:t>rešā persona ir vērsusies Valsts vides dienestā</w:t>
      </w:r>
      <w:r w:rsidR="00ED0775">
        <w:t>, būvprojektiem ir pievienoti tehniskie noteikumi, kas tātad</w:t>
      </w:r>
      <w:r w:rsidR="003F0AD9">
        <w:t xml:space="preserve"> atbilstoši likuma </w:t>
      </w:r>
      <w:r w:rsidR="00B56C4F">
        <w:t>„</w:t>
      </w:r>
      <w:r w:rsidR="003F0AD9">
        <w:t>Par ietekmes uz vidi novērtējumu</w:t>
      </w:r>
      <w:r w:rsidR="007E0700">
        <w:t>”</w:t>
      </w:r>
      <w:r w:rsidR="003F0AD9">
        <w:t xml:space="preserve"> 13.panta otrajai daļai</w:t>
      </w:r>
      <w:r w:rsidR="00ED0775">
        <w:t xml:space="preserve"> apliecina, ka sākotnējais izvērtējums nebija veicams. </w:t>
      </w:r>
      <w:r>
        <w:t>Tā</w:t>
      </w:r>
      <w:r w:rsidR="00A821F0">
        <w:t xml:space="preserve">pēc </w:t>
      </w:r>
      <w:r w:rsidR="00F806D2">
        <w:t xml:space="preserve">būvvaldei bija pamats izdot strīdus būvatļaujas. </w:t>
      </w:r>
      <w:r w:rsidR="00894085">
        <w:t>Saistībā ar minēto arī noraidāms pieteicēju lūgums pieaicināt Valsts vides dienestu kā iestādi, kura savas kompetences ietvaros sniegtu atzinumu.</w:t>
      </w:r>
    </w:p>
    <w:p w14:paraId="1990EF5D" w14:textId="4B4D0F96" w:rsidR="00A821F0" w:rsidRDefault="009860E5" w:rsidP="00C60D74">
      <w:pPr>
        <w:pStyle w:val="NormalWeb"/>
        <w:shd w:val="clear" w:color="auto" w:fill="FFFFFF"/>
        <w:spacing w:before="0" w:beforeAutospacing="0" w:after="0" w:afterAutospacing="0" w:line="276" w:lineRule="auto"/>
        <w:ind w:firstLine="720"/>
        <w:jc w:val="both"/>
      </w:pPr>
      <w:r>
        <w:t>[2.</w:t>
      </w:r>
      <w:r w:rsidR="00894085">
        <w:t>4</w:t>
      </w:r>
      <w:r>
        <w:t>]</w:t>
      </w:r>
      <w:r w:rsidR="000153FD">
        <w:t> </w:t>
      </w:r>
      <w:r w:rsidR="00A821F0">
        <w:t xml:space="preserve">Andrejostas detālplānojuma grafiskā daļa un Andrejostas teritorijas izmantošanas un apbūves noteikumi paredz, ka strīdus būvatļauju teritoriju atļauts izmantot </w:t>
      </w:r>
      <w:r w:rsidR="000153FD">
        <w:t xml:space="preserve">arī </w:t>
      </w:r>
      <w:r w:rsidR="00A821F0">
        <w:t>darījumu iestādes un tirdzniecības un pakalpojumu objekta būvniecībai. Strīdus būvatļaujas atbilst šai izmantošanai.</w:t>
      </w:r>
    </w:p>
    <w:p w14:paraId="0A293586" w14:textId="78124205" w:rsidR="00A821F0" w:rsidRDefault="00A821F0" w:rsidP="00C60D74">
      <w:pPr>
        <w:pStyle w:val="NormalWeb"/>
        <w:shd w:val="clear" w:color="auto" w:fill="FFFFFF"/>
        <w:spacing w:before="0" w:beforeAutospacing="0" w:after="0" w:afterAutospacing="0" w:line="276" w:lineRule="auto"/>
        <w:ind w:firstLine="720"/>
        <w:jc w:val="both"/>
      </w:pPr>
      <w:r>
        <w:t>[2.</w:t>
      </w:r>
      <w:r w:rsidR="00894085">
        <w:t>5</w:t>
      </w:r>
      <w:r>
        <w:t>]</w:t>
      </w:r>
      <w:r w:rsidR="000153FD">
        <w:t> </w:t>
      </w:r>
      <w:r w:rsidR="009860E5">
        <w:t>Pieteicēji uzskata, ka plānotās būvniecības augstums un stāvu skaits neatbilst tiesību normu prasībām</w:t>
      </w:r>
      <w:r>
        <w:t>. Atbilstoši Andrejostas detālplānojumam</w:t>
      </w:r>
      <w:r w:rsidR="005122EB">
        <w:t xml:space="preserve"> un Andrejostas teritorijas izmantošanas un apbūves noteikumiem</w:t>
      </w:r>
      <w:r>
        <w:t xml:space="preserve"> teritorijās, kurās plānota strīdus būvniecība, maksimālais atļautais stāvu skaits ir seši stāvi, bet maksimālais augstums – 21</w:t>
      </w:r>
      <w:r w:rsidR="00715170">
        <w:t> </w:t>
      </w:r>
      <w:r>
        <w:t xml:space="preserve">metrs. </w:t>
      </w:r>
      <w:r w:rsidR="00543E7B">
        <w:t xml:space="preserve">Atbilstoši </w:t>
      </w:r>
      <w:r>
        <w:t>Andrejostas teritorijas izmantošanas un apbūves noteikumu 59.punkt</w:t>
      </w:r>
      <w:r w:rsidR="00543E7B">
        <w:t>am</w:t>
      </w:r>
      <w:r>
        <w:t xml:space="preserve"> bēniņus ieskaita stāvu skaitā, ja tos izmanto kādai atļautajai izmantošanai. </w:t>
      </w:r>
    </w:p>
    <w:p w14:paraId="58E6BD60" w14:textId="50A4112A" w:rsidR="00A821F0" w:rsidRDefault="00DB211F" w:rsidP="00C60D74">
      <w:pPr>
        <w:pStyle w:val="NormalWeb"/>
        <w:shd w:val="clear" w:color="auto" w:fill="FFFFFF"/>
        <w:spacing w:before="0" w:beforeAutospacing="0" w:after="0" w:afterAutospacing="0" w:line="276" w:lineRule="auto"/>
        <w:ind w:firstLine="720"/>
        <w:jc w:val="both"/>
      </w:pPr>
      <w:r>
        <w:t>B</w:t>
      </w:r>
      <w:r w:rsidR="00A821F0">
        <w:t>ūvprojekta aprēķin</w:t>
      </w:r>
      <w:r>
        <w:t>i</w:t>
      </w:r>
      <w:r w:rsidR="00A821F0">
        <w:t xml:space="preserve"> atbilst šīm prasībām. Papildus trešā persona </w:t>
      </w:r>
      <w:r w:rsidR="00715170">
        <w:t xml:space="preserve">strīdus būvprojektus </w:t>
      </w:r>
      <w:r w:rsidR="00A821F0">
        <w:t>bija nodevusi</w:t>
      </w:r>
      <w:r w:rsidR="00715170">
        <w:t xml:space="preserve"> ekspertīzei</w:t>
      </w:r>
      <w:r w:rsidR="00EE3F44">
        <w:t xml:space="preserve"> SIA</w:t>
      </w:r>
      <w:r w:rsidR="00E514FD">
        <w:t> </w:t>
      </w:r>
      <w:r>
        <w:t>„</w:t>
      </w:r>
      <w:r w:rsidR="00EE3F44">
        <w:t>Tilbro”</w:t>
      </w:r>
      <w:r w:rsidR="00715170">
        <w:t>. E</w:t>
      </w:r>
      <w:r w:rsidR="00EE3F44">
        <w:t xml:space="preserve">ksperts tos izvērtēja, pārbaudot apstākļus, uz ko attiecas pieteicēju iebildumi. Tādējādi apbūves kritēriju ievērošanas aprēķinus par pareiziem ir atzinis arī ekspertīzes veicējs, kas papildus apstiprina secinājumu, ka būvniecības iecere atbilst apbūves tehnisko rādītāju prasībām. </w:t>
      </w:r>
    </w:p>
    <w:p w14:paraId="7C3DA052" w14:textId="20881023" w:rsidR="00EE3F44" w:rsidRDefault="00EE3F44" w:rsidP="00C60D74">
      <w:pPr>
        <w:pStyle w:val="NormalWeb"/>
        <w:shd w:val="clear" w:color="auto" w:fill="FFFFFF"/>
        <w:spacing w:before="0" w:beforeAutospacing="0" w:after="0" w:afterAutospacing="0" w:line="276" w:lineRule="auto"/>
        <w:ind w:firstLine="720"/>
        <w:jc w:val="both"/>
      </w:pPr>
      <w:r>
        <w:t xml:space="preserve">Neskatoties uz minēto, pieteicēju galvenie iebildumi saistās ar to, ka </w:t>
      </w:r>
      <w:r w:rsidR="00DB211F">
        <w:t xml:space="preserve">attiecībā uz </w:t>
      </w:r>
      <w:r>
        <w:t>abām ēkām ir pārkāptas prasības par ēkas augstumu un stāvu skaitu. Pieteicēju iebildumi nav pamatoti. Kā liecina lietā esošie dokumenti, ēkas augstums ir norādīts atbilstoši tiesību normām, neskatoties uz pieteicēju nepiekrišanu</w:t>
      </w:r>
      <w:r w:rsidR="00C64DCD">
        <w:t xml:space="preserve"> tam</w:t>
      </w:r>
      <w:r>
        <w:t>, kā mērāms ēkas augstums un kāds ir stāvu skaits, tostarp attiecībā uz arhitektoniskā akcenta esību. To apstiprina arī SIA</w:t>
      </w:r>
      <w:r w:rsidR="00E514FD">
        <w:t> </w:t>
      </w:r>
      <w:r w:rsidR="00DB211F">
        <w:t>„</w:t>
      </w:r>
      <w:r>
        <w:t xml:space="preserve">Tilbro” ekspertīze. </w:t>
      </w:r>
    </w:p>
    <w:p w14:paraId="4AF19EDB" w14:textId="5A5A083F" w:rsidR="00A468BB" w:rsidRDefault="00EE3F44" w:rsidP="00C60D74">
      <w:pPr>
        <w:pStyle w:val="NormalWeb"/>
        <w:shd w:val="clear" w:color="auto" w:fill="FFFFFF"/>
        <w:spacing w:before="0" w:beforeAutospacing="0" w:after="0" w:afterAutospacing="0" w:line="276" w:lineRule="auto"/>
        <w:ind w:firstLine="720"/>
        <w:jc w:val="both"/>
      </w:pPr>
      <w:r>
        <w:t>Pieteicēji norādījuši, ka stāvu skaitā nepamatoti nav ieskaitīts jumta stāvs. Tomēr šajā jautājumā lielāka ticamība piešķirama SIA</w:t>
      </w:r>
      <w:r w:rsidR="00C64DCD">
        <w:t xml:space="preserve"> </w:t>
      </w:r>
      <w:r w:rsidR="00B86F12">
        <w:t>„</w:t>
      </w:r>
      <w:r>
        <w:t>Tilbro” eksperta atzītajam, ka biroja ēkas jumta augstumu veido arhitektoniskais akcents</w:t>
      </w:r>
      <w:r w:rsidR="00867547">
        <w:t>, ko norāda arī trešā persona, kamēr pieteicēju viedoklis par pretējo neapstiprinās. Būvprojekt</w:t>
      </w:r>
      <w:r w:rsidR="00A20A08">
        <w:t>ā</w:t>
      </w:r>
      <w:r w:rsidR="00867547">
        <w:t xml:space="preserve"> nav ziņu, ka šī ēkas daļa tiks izmantota kā dzīvojamās vai publiskās telpas.</w:t>
      </w:r>
      <w:r w:rsidR="00867547" w:rsidRPr="00867547">
        <w:t xml:space="preserve"> </w:t>
      </w:r>
      <w:r w:rsidR="00867547">
        <w:t>Minēto apstiprina arī SIA</w:t>
      </w:r>
      <w:r w:rsidR="00B86F12">
        <w:t> „</w:t>
      </w:r>
      <w:r w:rsidR="00867547">
        <w:t>Lejnieku projektēšanas birojs” atzinums par būvprojektu minimālā sastāvā</w:t>
      </w:r>
      <w:r w:rsidR="00804D3B">
        <w:t>.</w:t>
      </w:r>
      <w:r w:rsidR="00867547">
        <w:t xml:space="preserve"> Lai arī ir saprotamas pieteicēju šaubas, no kurām daļa ir arī pieteikuma pamatā, tām nav gūts apstiprinājums un tās ir pretrunā ar personu, kam ir speciālas zināšanas arhitektūras jomā, secinājumiem, kā arī ar </w:t>
      </w:r>
      <w:r w:rsidR="00B86F12">
        <w:t xml:space="preserve">dokumentiem, kurus ir pārbaudījusi </w:t>
      </w:r>
      <w:r w:rsidR="00867547">
        <w:t xml:space="preserve">tiesa. </w:t>
      </w:r>
    </w:p>
    <w:p w14:paraId="1351747A" w14:textId="52BCC759" w:rsidR="00867547" w:rsidRDefault="001670B1" w:rsidP="00C60D74">
      <w:pPr>
        <w:pStyle w:val="NormalWeb"/>
        <w:shd w:val="clear" w:color="auto" w:fill="FFFFFF"/>
        <w:spacing w:before="0" w:beforeAutospacing="0" w:after="0" w:afterAutospacing="0" w:line="276" w:lineRule="auto"/>
        <w:ind w:firstLine="720"/>
        <w:jc w:val="both"/>
      </w:pPr>
      <w:r w:rsidRPr="001670B1">
        <w:t xml:space="preserve">Tādējādi </w:t>
      </w:r>
      <w:r>
        <w:t>b</w:t>
      </w:r>
      <w:r w:rsidRPr="001670B1">
        <w:t>ūvniecības ieceres ir izstrādātas, pareizi interpretējot un ievērojot tiesību normas trešajai personai izdevīgā veidā, taču minētais ir profesionālu projektētāju darbs</w:t>
      </w:r>
      <w:r w:rsidR="00C64DCD">
        <w:t>,</w:t>
      </w:r>
      <w:r w:rsidRPr="001670B1">
        <w:t xml:space="preserve"> un pieteicēju redzējums no cita skatupunkta </w:t>
      </w:r>
      <w:r>
        <w:t xml:space="preserve">nav pamats atzīt strīdus būvatļaujas par prettiesiskām. </w:t>
      </w:r>
    </w:p>
    <w:p w14:paraId="4078B832" w14:textId="5C8720AA" w:rsidR="00245261" w:rsidRDefault="00867547" w:rsidP="00C60D74">
      <w:pPr>
        <w:pStyle w:val="NormalWeb"/>
        <w:shd w:val="clear" w:color="auto" w:fill="FFFFFF"/>
        <w:spacing w:before="0" w:beforeAutospacing="0" w:after="0" w:afterAutospacing="0" w:line="276" w:lineRule="auto"/>
        <w:ind w:firstLine="720"/>
        <w:jc w:val="both"/>
      </w:pPr>
      <w:r>
        <w:t>[2.</w:t>
      </w:r>
      <w:r w:rsidR="00894085">
        <w:t>6]</w:t>
      </w:r>
      <w:r w:rsidR="000153FD">
        <w:t> </w:t>
      </w:r>
      <w:r w:rsidR="00DB27DB">
        <w:t>Nav apstiprinājuma pieteicēju iebildumiem, ka būvniecības rezultātā palielināsies trokšņu līmenis konkrētajā apkaimē.</w:t>
      </w:r>
    </w:p>
    <w:p w14:paraId="18B51009" w14:textId="77777777" w:rsidR="00E62A4C" w:rsidRPr="00005057" w:rsidRDefault="00E62A4C" w:rsidP="00C60D74">
      <w:pPr>
        <w:pStyle w:val="NormalWeb"/>
        <w:shd w:val="clear" w:color="auto" w:fill="FFFFFF"/>
        <w:spacing w:before="0" w:beforeAutospacing="0" w:after="0" w:afterAutospacing="0" w:line="276" w:lineRule="auto"/>
        <w:jc w:val="both"/>
      </w:pPr>
    </w:p>
    <w:p w14:paraId="7534DA32" w14:textId="75B1B15B" w:rsidR="008D4877" w:rsidRDefault="008D4877" w:rsidP="00C60D74">
      <w:pPr>
        <w:pStyle w:val="NormalWeb"/>
        <w:shd w:val="clear" w:color="auto" w:fill="FFFFFF"/>
        <w:spacing w:before="0" w:beforeAutospacing="0" w:after="0" w:afterAutospacing="0" w:line="276" w:lineRule="auto"/>
        <w:ind w:firstLine="720"/>
        <w:jc w:val="both"/>
      </w:pPr>
      <w:r w:rsidRPr="00005057">
        <w:t>[3]</w:t>
      </w:r>
      <w:r w:rsidR="000153FD">
        <w:t> </w:t>
      </w:r>
      <w:r w:rsidRPr="00005057">
        <w:t>Pieteicēj</w:t>
      </w:r>
      <w:r w:rsidR="00D66643">
        <w:t>i</w:t>
      </w:r>
      <w:r w:rsidRPr="00005057">
        <w:t xml:space="preserve"> par apgabaltiesas spriedumu iesniedza kasācijas sūdzību. Tā pamatota ar turpmāk izklāstītajiem argumentiem.</w:t>
      </w:r>
    </w:p>
    <w:p w14:paraId="6FAB5CA0" w14:textId="13E21923" w:rsidR="00EA40B5" w:rsidRDefault="004F70BC" w:rsidP="00C60D74">
      <w:pPr>
        <w:pStyle w:val="NormalWeb"/>
        <w:shd w:val="clear" w:color="auto" w:fill="FFFFFF"/>
        <w:spacing w:before="0" w:beforeAutospacing="0" w:after="0" w:afterAutospacing="0" w:line="276" w:lineRule="auto"/>
        <w:ind w:firstLine="720"/>
        <w:jc w:val="both"/>
      </w:pPr>
      <w:r>
        <w:t>[3.1]</w:t>
      </w:r>
      <w:r w:rsidR="000153FD">
        <w:t> </w:t>
      </w:r>
      <w:r w:rsidR="00EA40B5">
        <w:t xml:space="preserve">Pieteicēji apelācijas sūdzībā neatkārtoja vairākus iepriekš pieteikumā un paskaidrojumos pirmās instances tiesā minētos apsvērumus, </w:t>
      </w:r>
      <w:r w:rsidR="00C64DCD">
        <w:t xml:space="preserve">bet </w:t>
      </w:r>
      <w:r w:rsidR="00EA40B5">
        <w:t xml:space="preserve">tā vietā </w:t>
      </w:r>
      <w:r w:rsidR="00C64DCD">
        <w:t xml:space="preserve">izvirzīja </w:t>
      </w:r>
      <w:r w:rsidR="00EA40B5">
        <w:t xml:space="preserve">vairākus jaunus apsvērumus. Piemēram, papildu pamatojumu par to, ka strīdus būvatļaujas ir tikai daļa no ievērojami plašākas būvniecības ieceres jeb projekta </w:t>
      </w:r>
      <w:r w:rsidR="00EA40B5" w:rsidRPr="00EA40B5">
        <w:rPr>
          <w:i/>
          <w:iCs/>
        </w:rPr>
        <w:t>Riga</w:t>
      </w:r>
      <w:r w:rsidR="00E514FD">
        <w:rPr>
          <w:i/>
          <w:iCs/>
        </w:rPr>
        <w:t> </w:t>
      </w:r>
      <w:r w:rsidR="00EA40B5" w:rsidRPr="00EA40B5">
        <w:rPr>
          <w:i/>
          <w:iCs/>
        </w:rPr>
        <w:t>Port</w:t>
      </w:r>
      <w:r w:rsidR="00E514FD">
        <w:rPr>
          <w:i/>
          <w:iCs/>
        </w:rPr>
        <w:t> </w:t>
      </w:r>
      <w:r w:rsidR="00EA40B5" w:rsidRPr="00EA40B5">
        <w:rPr>
          <w:i/>
          <w:iCs/>
        </w:rPr>
        <w:t>City</w:t>
      </w:r>
      <w:r w:rsidR="00D66643">
        <w:t xml:space="preserve">; </w:t>
      </w:r>
      <w:r w:rsidR="00EA40B5">
        <w:t>apsvērumus, kas pamato nepieciešamību veikt sākotnējo izvērtējumu</w:t>
      </w:r>
      <w:r w:rsidR="00D66643">
        <w:t>;</w:t>
      </w:r>
      <w:r w:rsidR="00EA40B5">
        <w:t xml:space="preserve"> pamatojumu, ka šīs lietas ietvaros jāņem vērā arī ar Rīgas domes 2009.gada 31.marta lēmumu </w:t>
      </w:r>
      <w:r w:rsidR="00AF6E8A">
        <w:t>„</w:t>
      </w:r>
      <w:r w:rsidR="00EA40B5">
        <w:t xml:space="preserve">Par Andrejsalas detālplānojuma apstiprināšanu” apstiprinātais Andrejsalas detālplānojums un attiecīgie 2009.gada 31.marta saistošie noteikumi Nr. 161-sn </w:t>
      </w:r>
      <w:r w:rsidR="00AF6E8A">
        <w:t>„</w:t>
      </w:r>
      <w:r w:rsidR="00EA40B5">
        <w:t>Andrejsalas teritorijas izmantošanas un apbūves saistošie noteikumi”</w:t>
      </w:r>
      <w:r w:rsidR="00D66643">
        <w:t xml:space="preserve">; </w:t>
      </w:r>
      <w:r w:rsidR="00EA40B5">
        <w:t>arī argumentus par strīdus būvprojektos paredzēto autostāvvietu neatbilstību Andrejostas teritorijas izmantošanas un apbūves noteikumiem. Atbildes uz minēto apgabaltiesas spriedumā nav sniegtas</w:t>
      </w:r>
      <w:r w:rsidR="00D66643">
        <w:t>, tādējādi tiesa pārkāpusi Administratīvā procesa likuma 302.pantu.</w:t>
      </w:r>
    </w:p>
    <w:p w14:paraId="00B7457E" w14:textId="62017FB1" w:rsidR="00B821DA" w:rsidRDefault="00EA40B5" w:rsidP="00C60D74">
      <w:pPr>
        <w:pStyle w:val="NormalWeb"/>
        <w:shd w:val="clear" w:color="auto" w:fill="FFFFFF"/>
        <w:spacing w:before="0" w:beforeAutospacing="0" w:after="0" w:afterAutospacing="0" w:line="276" w:lineRule="auto"/>
        <w:ind w:firstLine="720"/>
        <w:jc w:val="both"/>
      </w:pPr>
      <w:r>
        <w:t>[3.2]</w:t>
      </w:r>
      <w:r w:rsidR="000153FD">
        <w:t> </w:t>
      </w:r>
      <w:r>
        <w:t xml:space="preserve">Apgabaltiesas spriedums ir pretrunā Latvijas Republikas Satversmes (turpmāk – Satversme) 115.pantam. Gan sākotnējā izvērtējuma nepieciešamības kontekstā, gan būvatļaujas tiesiskuma izvērtējumā kopumā tiesa nav ņēmusi vērā esošos vides kvalitātes rādītājus pieteicēju dzīvesvietu tuvumā. Jau šobrīd šajā teritorijā ievērojami tiek pārsniegts normatīvajos aktos noteiktais piesārņojuma līmenis, konkrēti – trokšņa un gaisa piesārņojums. Pieteicēju esošo situāciju nevar uzskatīt par ierastu – mēraukla projekta atbilstībai vides prasībām nevar būt situācija, </w:t>
      </w:r>
      <w:r w:rsidR="00C64DCD">
        <w:t xml:space="preserve">kas </w:t>
      </w:r>
      <w:r>
        <w:t xml:space="preserve">pati par sevi neatbilst </w:t>
      </w:r>
      <w:r w:rsidR="003A5A62">
        <w:t xml:space="preserve">normatīvajiem aktiem un rada draudus pieteicēju veselībai. </w:t>
      </w:r>
    </w:p>
    <w:p w14:paraId="6C6B0060" w14:textId="3F14A48F" w:rsidR="003A5A62" w:rsidRDefault="00B821DA" w:rsidP="00C60D74">
      <w:pPr>
        <w:pStyle w:val="NormalWeb"/>
        <w:shd w:val="clear" w:color="auto" w:fill="FFFFFF"/>
        <w:spacing w:before="0" w:beforeAutospacing="0" w:after="0" w:afterAutospacing="0" w:line="276" w:lineRule="auto"/>
        <w:ind w:firstLine="720"/>
        <w:jc w:val="both"/>
      </w:pPr>
      <w:r>
        <w:t>[3.3]</w:t>
      </w:r>
      <w:r w:rsidR="000153FD">
        <w:t> </w:t>
      </w:r>
      <w:r>
        <w:t xml:space="preserve">Strīdus </w:t>
      </w:r>
      <w:r w:rsidR="003A5A62">
        <w:t xml:space="preserve">būvatļaujas ir tikai daļa no ievērojami apjomīgākas būvniecības ieceres – pilsētas mēroga projekta </w:t>
      </w:r>
      <w:r w:rsidR="003A5A62" w:rsidRPr="003A5A62">
        <w:rPr>
          <w:i/>
          <w:iCs/>
        </w:rPr>
        <w:t>Riga</w:t>
      </w:r>
      <w:r w:rsidR="00E514FD">
        <w:rPr>
          <w:i/>
          <w:iCs/>
        </w:rPr>
        <w:t> </w:t>
      </w:r>
      <w:r w:rsidR="003A5A62" w:rsidRPr="003A5A62">
        <w:rPr>
          <w:i/>
          <w:iCs/>
        </w:rPr>
        <w:t>Port</w:t>
      </w:r>
      <w:r w:rsidR="00E514FD">
        <w:rPr>
          <w:i/>
          <w:iCs/>
        </w:rPr>
        <w:t> </w:t>
      </w:r>
      <w:r w:rsidR="003A5A62" w:rsidRPr="003A5A62">
        <w:rPr>
          <w:i/>
          <w:iCs/>
        </w:rPr>
        <w:t>City</w:t>
      </w:r>
      <w:r w:rsidR="003A5A62">
        <w:t>. Minētā projekta īstenošanai izstrādā</w:t>
      </w:r>
      <w:r w:rsidR="003A5A62" w:rsidRPr="00F45736">
        <w:t>ti</w:t>
      </w:r>
      <w:r w:rsidR="003A5A62">
        <w:t xml:space="preserve"> Andrejostas un Andrejsalas detālplānojum</w:t>
      </w:r>
      <w:r w:rsidR="00F45736">
        <w:t>i</w:t>
      </w:r>
      <w:r w:rsidR="003A5A62">
        <w:t>. Šīs teritorijas attīstība ir vienots projekts. Šajā sakarā tiesa arī nav ņēmusi vērā Senāta 2014.gada 4</w:t>
      </w:r>
      <w:r w:rsidR="004678D9">
        <w:t>.jūlija spriedumā lietā Nr. SKA</w:t>
      </w:r>
      <w:r w:rsidR="004678D9">
        <w:noBreakHyphen/>
      </w:r>
      <w:r w:rsidR="003A5A62">
        <w:t xml:space="preserve">30/2014 paustās atziņas. </w:t>
      </w:r>
    </w:p>
    <w:p w14:paraId="0FA429E5" w14:textId="6823388B" w:rsidR="003A5A62" w:rsidRDefault="003A5A62" w:rsidP="00C60D74">
      <w:pPr>
        <w:pStyle w:val="NormalWeb"/>
        <w:shd w:val="clear" w:color="auto" w:fill="FFFFFF"/>
        <w:spacing w:before="0" w:beforeAutospacing="0" w:after="0" w:afterAutospacing="0" w:line="276" w:lineRule="auto"/>
        <w:ind w:firstLine="720"/>
        <w:jc w:val="both"/>
      </w:pPr>
      <w:r>
        <w:t>[3.</w:t>
      </w:r>
      <w:r w:rsidR="00B821DA">
        <w:t>4</w:t>
      </w:r>
      <w:r>
        <w:t>]</w:t>
      </w:r>
      <w:r w:rsidR="000153FD">
        <w:t> </w:t>
      </w:r>
      <w:r w:rsidRPr="003A5A62">
        <w:t xml:space="preserve">Andrejostas un Andrejsalas kopējai attīstības iecerei vismaz tiktāl, ciktāl tas tieši var ietekmēt vides apstākļus pie </w:t>
      </w:r>
      <w:r>
        <w:t>p</w:t>
      </w:r>
      <w:r w:rsidRPr="003A5A62">
        <w:t>ieteicēju mājām, pirms konkrētu būvniecības ieceru īstenošanas jāveic</w:t>
      </w:r>
      <w:r>
        <w:t xml:space="preserve"> sākotnējais izvērtējums. To paredz likuma </w:t>
      </w:r>
      <w:r w:rsidR="00B244A3">
        <w:t>„</w:t>
      </w:r>
      <w:r>
        <w:t xml:space="preserve">Par ietekmes uz vidi novērtējumu” 2.pielikuma </w:t>
      </w:r>
      <w:r w:rsidR="0056454F">
        <w:t>10.punkta 2.apakšpunkts</w:t>
      </w:r>
      <w:r w:rsidR="00543E7B">
        <w:t>. Atbilstoši minētajai normai</w:t>
      </w:r>
      <w:r>
        <w:t xml:space="preserve"> sākotnējais izvērtējums īstenojams pilsētvides attīstības projektam. </w:t>
      </w:r>
      <w:r w:rsidRPr="003A5A62">
        <w:t>Par to liecina arī valsts vides aizsardzības iestāžu prakse</w:t>
      </w:r>
      <w:r>
        <w:t xml:space="preserve"> sākotnējā izvērtējuma piemērošanā. Trešā persona, pēc iespējas cenšoties sadalīt projekta īstenošanu, ir virzījusi atsevišķas būvniecības ieceres. Tas nav pieļaujams. Jau šobrīd izvirzīti četri konkrēti attīstības projekti – divu viesnīcu, biroja ēkas un jahtu piestātnes būvniecība. Tehniskie noteikumi izdoti un prasīti tikai par biroja ēku un jahtu piestātni</w:t>
      </w:r>
      <w:r w:rsidR="0056454F">
        <w:t>.</w:t>
      </w:r>
      <w:r>
        <w:t xml:space="preserve"> </w:t>
      </w:r>
      <w:r w:rsidR="0056454F">
        <w:t>T</w:t>
      </w:r>
      <w:r>
        <w:t xml:space="preserve">urklāt tehnisko noteikumu izsniegšana notikusi dažādos laika periodos. Tādējādi nav izvērtēta būvniecības kopējā ietekme, ņemot vērā esošos konkrētās teritorijas vides kvalitātes rādītājus. Tas ir pretrunā ietekmes uz vidi novērtējuma mērķim un principiem. </w:t>
      </w:r>
    </w:p>
    <w:p w14:paraId="4C758EC3" w14:textId="47D0F921" w:rsidR="00C82F61" w:rsidRDefault="003A5A62" w:rsidP="00C60D74">
      <w:pPr>
        <w:pStyle w:val="NormalWeb"/>
        <w:shd w:val="clear" w:color="auto" w:fill="FFFFFF"/>
        <w:spacing w:before="0" w:beforeAutospacing="0" w:after="0" w:afterAutospacing="0" w:line="276" w:lineRule="auto"/>
        <w:ind w:firstLine="720"/>
        <w:jc w:val="both"/>
      </w:pPr>
      <w:r>
        <w:t>[3.</w:t>
      </w:r>
      <w:r w:rsidR="00B821DA">
        <w:t>5</w:t>
      </w:r>
      <w:r>
        <w:t>]</w:t>
      </w:r>
      <w:r w:rsidR="000153FD">
        <w:t> </w:t>
      </w:r>
      <w:r>
        <w:t xml:space="preserve">Tiesa nepamatoti nav konstatējusi Andrejostas detālplānojuma neatbilstību plānošanas principu prasībām, kas ir pamats uzskatīt šo detālplānojumu par nepiemērojamu. </w:t>
      </w:r>
      <w:r w:rsidR="00C82F61" w:rsidRPr="00496765">
        <w:t xml:space="preserve">Andrejostas detālplānojums nav piemērojams </w:t>
      </w:r>
      <w:r w:rsidR="00C82F61">
        <w:t>tāpēc</w:t>
      </w:r>
      <w:r w:rsidR="00C82F61" w:rsidRPr="00496765">
        <w:t xml:space="preserve">, ka tas ir nepilnīgs un faktiski vairs netiek </w:t>
      </w:r>
      <w:r w:rsidR="000153FD">
        <w:t>īstenots</w:t>
      </w:r>
      <w:r w:rsidR="00C82F61" w:rsidRPr="00496765">
        <w:t xml:space="preserve"> atbilstoši tā sākotnēji paredzētajai būtībai</w:t>
      </w:r>
      <w:r w:rsidR="00C82F61">
        <w:t xml:space="preserve">. </w:t>
      </w:r>
      <w:r w:rsidR="00B821DA">
        <w:t>Š</w:t>
      </w:r>
      <w:r w:rsidR="00C82F61">
        <w:t>is</w:t>
      </w:r>
      <w:r w:rsidR="00C82F61" w:rsidRPr="00496765">
        <w:t xml:space="preserve"> detālplānojums neparedz nekādu trokšņu un gaisa piesārņojuma izvērtējumu</w:t>
      </w:r>
      <w:r w:rsidR="00B821DA">
        <w:t xml:space="preserve">. </w:t>
      </w:r>
      <w:r>
        <w:t>Attiecīgi</w:t>
      </w:r>
      <w:r w:rsidR="00EB7E16">
        <w:t xml:space="preserve"> ir</w:t>
      </w:r>
      <w:r>
        <w:t xml:space="preserve"> </w:t>
      </w:r>
      <w:r>
        <w:lastRenderedPageBreak/>
        <w:t xml:space="preserve">nepamatoti </w:t>
      </w:r>
      <w:r w:rsidR="00A20A08">
        <w:t xml:space="preserve">arī </w:t>
      </w:r>
      <w:r>
        <w:t xml:space="preserve">secinājumi par to, ka strīdus būvatļauju izdošanai nebija rīkojama būvniecības ieceru publiska apspriešana. </w:t>
      </w:r>
    </w:p>
    <w:p w14:paraId="31D50BC6" w14:textId="7515BD1B" w:rsidR="00B821DA" w:rsidRDefault="00496765" w:rsidP="00C60D74">
      <w:pPr>
        <w:pStyle w:val="NormalWeb"/>
        <w:shd w:val="clear" w:color="auto" w:fill="FFFFFF"/>
        <w:spacing w:before="0" w:beforeAutospacing="0" w:after="0" w:afterAutospacing="0" w:line="276" w:lineRule="auto"/>
        <w:ind w:firstLine="720"/>
        <w:jc w:val="both"/>
      </w:pPr>
      <w:r>
        <w:t>[3.</w:t>
      </w:r>
      <w:r w:rsidR="00B821DA">
        <w:t>6</w:t>
      </w:r>
      <w:r>
        <w:t>]</w:t>
      </w:r>
      <w:r w:rsidR="000153FD">
        <w:t> </w:t>
      </w:r>
      <w:r w:rsidR="00C82F61">
        <w:t>A</w:t>
      </w:r>
      <w:r>
        <w:t>rī pēc būtības strīdus būvatļaujas neatbilst Andrejostas detālplānojumam un normatīvajiem aktiem</w:t>
      </w:r>
      <w:r w:rsidR="00836EA0">
        <w:t xml:space="preserve">. </w:t>
      </w:r>
      <w:r>
        <w:t xml:space="preserve">Tāpat tiesa nepamatoti secinājusi, ka </w:t>
      </w:r>
      <w:r w:rsidRPr="00496765">
        <w:t>Andrejostas detālplānojums pieļauj viesnīcas būvniecību ar attiecīgo detālplānojumu aptvertajā teritorijā</w:t>
      </w:r>
      <w:r>
        <w:t xml:space="preserve"> un to apstiprina Andrejsalas detālplānojumā lietotie atļautās izmantošanas apzīmējumi. </w:t>
      </w:r>
    </w:p>
    <w:p w14:paraId="0AD5D211" w14:textId="7333EA95" w:rsidR="00496765" w:rsidRDefault="00B821DA" w:rsidP="00C60D74">
      <w:pPr>
        <w:pStyle w:val="NormalWeb"/>
        <w:shd w:val="clear" w:color="auto" w:fill="FFFFFF"/>
        <w:spacing w:before="0" w:beforeAutospacing="0" w:after="0" w:afterAutospacing="0" w:line="276" w:lineRule="auto"/>
        <w:ind w:firstLine="720"/>
        <w:jc w:val="both"/>
      </w:pPr>
      <w:r>
        <w:t>[3.7]</w:t>
      </w:r>
      <w:r w:rsidR="000153FD">
        <w:t> </w:t>
      </w:r>
      <w:r w:rsidR="00496765">
        <w:t xml:space="preserve">Tiesa arī nav pienācīgi izvērtējusi pieteicēju argumentus par strīdus būvatļaujās atļautā stāvu skaita un augstuma </w:t>
      </w:r>
      <w:r w:rsidR="00836EA0">
        <w:t>pieļaujamību</w:t>
      </w:r>
      <w:r w:rsidR="00496765">
        <w:t>. Spriedumā nav nekād</w:t>
      </w:r>
      <w:r w:rsidR="00730F1A">
        <w:t>a</w:t>
      </w:r>
      <w:r w:rsidR="00496765">
        <w:t xml:space="preserve"> pamatojum</w:t>
      </w:r>
      <w:r w:rsidR="00730F1A">
        <w:t>a</w:t>
      </w:r>
      <w:r w:rsidR="00496765">
        <w:t xml:space="preserve"> tiesa</w:t>
      </w:r>
      <w:r w:rsidR="00730F1A">
        <w:t>s</w:t>
      </w:r>
      <w:r w:rsidR="00496765">
        <w:t xml:space="preserve"> secināju</w:t>
      </w:r>
      <w:r w:rsidR="00730F1A">
        <w:t>mam</w:t>
      </w:r>
      <w:r w:rsidR="00496765">
        <w:t xml:space="preserve">, ka lifta izvirzījums ir uzskatāms vienīgi par arhitektonisko akcentu, kas nav ņemams vērā augstuma un stāvu skaita noteikšanā. </w:t>
      </w:r>
    </w:p>
    <w:p w14:paraId="143345BB" w14:textId="1DC962C0" w:rsidR="00496765" w:rsidRDefault="00496765" w:rsidP="00C60D74">
      <w:pPr>
        <w:pStyle w:val="NormalWeb"/>
        <w:shd w:val="clear" w:color="auto" w:fill="FFFFFF"/>
        <w:spacing w:before="0" w:beforeAutospacing="0" w:after="0" w:afterAutospacing="0" w:line="276" w:lineRule="auto"/>
        <w:ind w:firstLine="720"/>
        <w:jc w:val="both"/>
      </w:pPr>
      <w:r>
        <w:t>[3.</w:t>
      </w:r>
      <w:r w:rsidR="00B821DA">
        <w:t>8</w:t>
      </w:r>
      <w:r>
        <w:t>]</w:t>
      </w:r>
      <w:r w:rsidR="000153FD">
        <w:t> </w:t>
      </w:r>
      <w:r>
        <w:t xml:space="preserve">Pieteicēji arī bija lūguši apgabaltiesai izskatīt lietu mutvārdu procesā un pieaicināt </w:t>
      </w:r>
      <w:r w:rsidR="0026403E">
        <w:t xml:space="preserve">Valsts vides dienestu atzinuma sniegšanai. </w:t>
      </w:r>
      <w:r w:rsidR="0026403E" w:rsidRPr="0026403E">
        <w:t>Lai arī formāli šie lūgumi tiesai nebija obligāti jāapmierina, tomēr konkrētās lietas apstākļi prasīja tiesai veikt padziļinātu lietas izvērtējumu publiskā mutvārdu procesā.</w:t>
      </w:r>
    </w:p>
    <w:p w14:paraId="3DE8A86F" w14:textId="51DE13C0" w:rsidR="001159D3" w:rsidRPr="00005057" w:rsidRDefault="001159D3" w:rsidP="00C60D74">
      <w:pPr>
        <w:pStyle w:val="NormalWeb"/>
        <w:shd w:val="clear" w:color="auto" w:fill="FFFFFF"/>
        <w:spacing w:before="0" w:beforeAutospacing="0" w:after="0" w:afterAutospacing="0" w:line="276" w:lineRule="auto"/>
        <w:ind w:firstLine="720"/>
        <w:jc w:val="both"/>
      </w:pPr>
    </w:p>
    <w:p w14:paraId="1651A710" w14:textId="1E6860F2" w:rsidR="00F11FAE" w:rsidRDefault="008D4877" w:rsidP="00C60D74">
      <w:pPr>
        <w:pStyle w:val="NormalWeb"/>
        <w:shd w:val="clear" w:color="auto" w:fill="FFFFFF"/>
        <w:spacing w:before="0" w:beforeAutospacing="0" w:after="0" w:afterAutospacing="0" w:line="276" w:lineRule="auto"/>
        <w:ind w:firstLine="720"/>
        <w:jc w:val="both"/>
        <w:rPr>
          <w:shd w:val="clear" w:color="auto" w:fill="FFFFFF"/>
        </w:rPr>
      </w:pPr>
      <w:r w:rsidRPr="00005057">
        <w:rPr>
          <w:shd w:val="clear" w:color="auto" w:fill="FFFFFF"/>
        </w:rPr>
        <w:t>[4]</w:t>
      </w:r>
      <w:r w:rsidR="000153FD">
        <w:rPr>
          <w:shd w:val="clear" w:color="auto" w:fill="FFFFFF"/>
        </w:rPr>
        <w:t> </w:t>
      </w:r>
      <w:r w:rsidR="00245261">
        <w:rPr>
          <w:shd w:val="clear" w:color="auto" w:fill="FFFFFF"/>
        </w:rPr>
        <w:t>Departaments iesniedzis paskaidrojumus par kasācijas sūdzību</w:t>
      </w:r>
      <w:r w:rsidR="00F11FAE">
        <w:rPr>
          <w:shd w:val="clear" w:color="auto" w:fill="FFFFFF"/>
        </w:rPr>
        <w:t>.</w:t>
      </w:r>
      <w:r w:rsidR="00245261">
        <w:rPr>
          <w:shd w:val="clear" w:color="auto" w:fill="FFFFFF"/>
        </w:rPr>
        <w:t xml:space="preserve"> Paskaidrojumos argumentēts, ka</w:t>
      </w:r>
      <w:r w:rsidR="008923EE">
        <w:rPr>
          <w:shd w:val="clear" w:color="auto" w:fill="FFFFFF"/>
        </w:rPr>
        <w:t xml:space="preserve"> pārsūdzētais</w:t>
      </w:r>
      <w:r w:rsidR="00245261">
        <w:rPr>
          <w:shd w:val="clear" w:color="auto" w:fill="FFFFFF"/>
        </w:rPr>
        <w:t xml:space="preserve"> spriedums ir tiesisks un pamatots. </w:t>
      </w:r>
      <w:r w:rsidR="000153FD">
        <w:rPr>
          <w:shd w:val="clear" w:color="auto" w:fill="FFFFFF"/>
        </w:rPr>
        <w:t>D</w:t>
      </w:r>
      <w:r w:rsidR="00F11FAE">
        <w:rPr>
          <w:shd w:val="clear" w:color="auto" w:fill="FFFFFF"/>
        </w:rPr>
        <w:t xml:space="preserve">epartaments </w:t>
      </w:r>
      <w:r w:rsidR="000153FD">
        <w:rPr>
          <w:shd w:val="clear" w:color="auto" w:fill="FFFFFF"/>
        </w:rPr>
        <w:t xml:space="preserve">arī </w:t>
      </w:r>
      <w:r w:rsidR="00F11FAE">
        <w:rPr>
          <w:shd w:val="clear" w:color="auto" w:fill="FFFFFF"/>
        </w:rPr>
        <w:t>uzsvēris, ka vērtējums par nepieciešamību piemērot sākotnējo izvērtējumu i</w:t>
      </w:r>
      <w:r w:rsidR="000153FD">
        <w:rPr>
          <w:shd w:val="clear" w:color="auto" w:fill="FFFFFF"/>
        </w:rPr>
        <w:t>r</w:t>
      </w:r>
      <w:r w:rsidR="00F11FAE">
        <w:rPr>
          <w:shd w:val="clear" w:color="auto" w:fill="FFFFFF"/>
        </w:rPr>
        <w:t xml:space="preserve"> Valsts vides dienesta kompetencē, bet pieteicēji faktiski vēlas uzsākt tādu patstāvīgu procesu, kura ietvaros tiktu skaidrots, vai attiecīgās procedūras piemērošana ir nepieciešama. Saistībā ar minēto departaments arī </w:t>
      </w:r>
      <w:r w:rsidR="00DB776D">
        <w:rPr>
          <w:shd w:val="clear" w:color="auto" w:fill="FFFFFF"/>
        </w:rPr>
        <w:t>norāda</w:t>
      </w:r>
      <w:r w:rsidR="00F11FAE">
        <w:rPr>
          <w:shd w:val="clear" w:color="auto" w:fill="FFFFFF"/>
        </w:rPr>
        <w:t xml:space="preserve">, ka pieteicēji nav apstrīdējuši izsniegtos tehniskos noteikumus. </w:t>
      </w:r>
    </w:p>
    <w:p w14:paraId="7DDEE954" w14:textId="77777777" w:rsidR="00F11FAE" w:rsidRDefault="00F11FAE" w:rsidP="00C60D74">
      <w:pPr>
        <w:pStyle w:val="NormalWeb"/>
        <w:shd w:val="clear" w:color="auto" w:fill="FFFFFF"/>
        <w:spacing w:before="0" w:beforeAutospacing="0" w:after="0" w:afterAutospacing="0" w:line="276" w:lineRule="auto"/>
        <w:ind w:firstLine="720"/>
        <w:jc w:val="both"/>
        <w:rPr>
          <w:shd w:val="clear" w:color="auto" w:fill="FFFFFF"/>
        </w:rPr>
      </w:pPr>
    </w:p>
    <w:p w14:paraId="3AE17E54" w14:textId="2CC8F329" w:rsidR="00106BC3" w:rsidRDefault="00F11FAE" w:rsidP="00C60D7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w:t>
      </w:r>
      <w:r w:rsidR="000153FD">
        <w:rPr>
          <w:shd w:val="clear" w:color="auto" w:fill="FFFFFF"/>
        </w:rPr>
        <w:t> </w:t>
      </w:r>
      <w:r>
        <w:rPr>
          <w:shd w:val="clear" w:color="auto" w:fill="FFFFFF"/>
        </w:rPr>
        <w:t>Arī trešā persona iesniegusi paskaidrojumus par kasācijas sūdzību</w:t>
      </w:r>
      <w:r w:rsidR="00F45736">
        <w:rPr>
          <w:shd w:val="clear" w:color="auto" w:fill="FFFFFF"/>
        </w:rPr>
        <w:t>. Paskaidrojumos</w:t>
      </w:r>
      <w:r>
        <w:rPr>
          <w:shd w:val="clear" w:color="auto" w:fill="FFFFFF"/>
        </w:rPr>
        <w:t xml:space="preserve"> plaši argumentēts, k</w:t>
      </w:r>
      <w:r w:rsidR="00F45736">
        <w:rPr>
          <w:shd w:val="clear" w:color="auto" w:fill="FFFFFF"/>
        </w:rPr>
        <w:t xml:space="preserve">a </w:t>
      </w:r>
      <w:r>
        <w:rPr>
          <w:shd w:val="clear" w:color="auto" w:fill="FFFFFF"/>
        </w:rPr>
        <w:t xml:space="preserve">pārsūdzētais spriedums ir </w:t>
      </w:r>
      <w:r w:rsidRPr="00F45736">
        <w:rPr>
          <w:shd w:val="clear" w:color="auto" w:fill="FFFFFF"/>
        </w:rPr>
        <w:t xml:space="preserve">tiesisks un </w:t>
      </w:r>
      <w:r w:rsidR="00F45736" w:rsidRPr="00F45736">
        <w:rPr>
          <w:shd w:val="clear" w:color="auto" w:fill="FFFFFF"/>
        </w:rPr>
        <w:t xml:space="preserve">ka </w:t>
      </w:r>
      <w:r w:rsidRPr="00F45736">
        <w:rPr>
          <w:shd w:val="clear" w:color="auto" w:fill="FFFFFF"/>
        </w:rPr>
        <w:t xml:space="preserve">tiesa </w:t>
      </w:r>
      <w:r w:rsidR="00F45736" w:rsidRPr="00F45736">
        <w:rPr>
          <w:shd w:val="clear" w:color="auto" w:fill="FFFFFF"/>
        </w:rPr>
        <w:t xml:space="preserve">ir </w:t>
      </w:r>
      <w:r w:rsidRPr="00F45736">
        <w:rPr>
          <w:shd w:val="clear" w:color="auto" w:fill="FFFFFF"/>
        </w:rPr>
        <w:t xml:space="preserve">pienācīgi izvērtējusi visus pieteicēju iebildumus, </w:t>
      </w:r>
      <w:r w:rsidR="00F45736" w:rsidRPr="00F45736">
        <w:rPr>
          <w:shd w:val="clear" w:color="auto" w:fill="FFFFFF"/>
        </w:rPr>
        <w:t>bet</w:t>
      </w:r>
      <w:r w:rsidRPr="00F45736">
        <w:rPr>
          <w:shd w:val="clear" w:color="auto" w:fill="FFFFFF"/>
        </w:rPr>
        <w:t xml:space="preserve"> pieteicēju kasācijas sūdzība </w:t>
      </w:r>
      <w:r w:rsidR="00F45736" w:rsidRPr="00F45736">
        <w:rPr>
          <w:shd w:val="clear" w:color="auto" w:fill="FFFFFF"/>
        </w:rPr>
        <w:t>ir</w:t>
      </w:r>
      <w:r w:rsidRPr="00F45736">
        <w:rPr>
          <w:shd w:val="clear" w:color="auto" w:fill="FFFFFF"/>
        </w:rPr>
        <w:t xml:space="preserve"> nepamatota.</w:t>
      </w:r>
      <w:r>
        <w:rPr>
          <w:shd w:val="clear" w:color="auto" w:fill="FFFFFF"/>
        </w:rPr>
        <w:t xml:space="preserve"> </w:t>
      </w:r>
      <w:r w:rsidR="000153FD">
        <w:rPr>
          <w:shd w:val="clear" w:color="auto" w:fill="FFFFFF"/>
        </w:rPr>
        <w:t>T</w:t>
      </w:r>
      <w:r>
        <w:rPr>
          <w:shd w:val="clear" w:color="auto" w:fill="FFFFFF"/>
        </w:rPr>
        <w:t xml:space="preserve">rešā persona </w:t>
      </w:r>
      <w:r w:rsidR="000153FD">
        <w:rPr>
          <w:shd w:val="clear" w:color="auto" w:fill="FFFFFF"/>
        </w:rPr>
        <w:t xml:space="preserve">arī </w:t>
      </w:r>
      <w:r>
        <w:rPr>
          <w:shd w:val="clear" w:color="auto" w:fill="FFFFFF"/>
        </w:rPr>
        <w:t xml:space="preserve">plaši pamato, kāpēc nav saskatāms, ka konkrētajos apstākļos tiek īstenots pilsētvides attīstības projekts likuma </w:t>
      </w:r>
      <w:r w:rsidR="00F37812">
        <w:rPr>
          <w:shd w:val="clear" w:color="auto" w:fill="FFFFFF"/>
        </w:rPr>
        <w:t>„</w:t>
      </w:r>
      <w:r>
        <w:rPr>
          <w:shd w:val="clear" w:color="auto" w:fill="FFFFFF"/>
        </w:rPr>
        <w:t>Par ietekmes uz vidi novērtējumu” 2.pielikuma 10.</w:t>
      </w:r>
      <w:r w:rsidR="00BE0B5D">
        <w:rPr>
          <w:shd w:val="clear" w:color="auto" w:fill="FFFFFF"/>
        </w:rPr>
        <w:t>punkta 2.</w:t>
      </w:r>
      <w:r>
        <w:rPr>
          <w:shd w:val="clear" w:color="auto" w:fill="FFFFFF"/>
        </w:rPr>
        <w:t>apakšpunkta izp</w:t>
      </w:r>
      <w:r w:rsidR="00DB776D">
        <w:rPr>
          <w:shd w:val="clear" w:color="auto" w:fill="FFFFFF"/>
        </w:rPr>
        <w:t>r</w:t>
      </w:r>
      <w:r>
        <w:rPr>
          <w:shd w:val="clear" w:color="auto" w:fill="FFFFFF"/>
        </w:rPr>
        <w:t xml:space="preserve">atnē, kā arī norāda, ka nav apstrīdēti trešajai personai izsniegtie tehniskie noteikumi. </w:t>
      </w:r>
    </w:p>
    <w:p w14:paraId="36D4D9C7" w14:textId="77777777" w:rsidR="00F11FAE" w:rsidRPr="00F11FAE" w:rsidRDefault="00F11FAE" w:rsidP="00C60D74">
      <w:pPr>
        <w:pStyle w:val="NormalWeb"/>
        <w:shd w:val="clear" w:color="auto" w:fill="FFFFFF"/>
        <w:spacing w:before="0" w:beforeAutospacing="0" w:after="0" w:afterAutospacing="0" w:line="276" w:lineRule="auto"/>
        <w:ind w:firstLine="720"/>
        <w:jc w:val="both"/>
        <w:rPr>
          <w:shd w:val="clear" w:color="auto" w:fill="FFFFFF"/>
        </w:rPr>
      </w:pPr>
    </w:p>
    <w:p w14:paraId="619B3B6B" w14:textId="77777777" w:rsidR="008D4877" w:rsidRDefault="008D4877" w:rsidP="00C60D74">
      <w:pPr>
        <w:shd w:val="clear" w:color="auto" w:fill="FFFFFF"/>
        <w:spacing w:line="276" w:lineRule="auto"/>
        <w:jc w:val="center"/>
        <w:rPr>
          <w:b/>
        </w:rPr>
      </w:pPr>
      <w:r w:rsidRPr="00005057">
        <w:rPr>
          <w:b/>
        </w:rPr>
        <w:t>Motīvu daļa</w:t>
      </w:r>
    </w:p>
    <w:p w14:paraId="7202E748" w14:textId="77777777" w:rsidR="00023BFA" w:rsidRDefault="00023BFA" w:rsidP="00C60D74">
      <w:pPr>
        <w:shd w:val="clear" w:color="auto" w:fill="FFFFFF"/>
        <w:spacing w:line="276" w:lineRule="auto"/>
        <w:jc w:val="center"/>
        <w:rPr>
          <w:b/>
        </w:rPr>
      </w:pPr>
    </w:p>
    <w:p w14:paraId="714F1CA2" w14:textId="2B3DCA18" w:rsidR="00774514" w:rsidRDefault="00023BFA" w:rsidP="00C60D74">
      <w:pPr>
        <w:shd w:val="clear" w:color="auto" w:fill="FFFFFF"/>
        <w:spacing w:line="276" w:lineRule="auto"/>
        <w:ind w:firstLine="720"/>
        <w:jc w:val="both"/>
        <w:rPr>
          <w:bCs/>
        </w:rPr>
      </w:pPr>
      <w:r w:rsidRPr="00023BFA">
        <w:rPr>
          <w:bCs/>
        </w:rPr>
        <w:t>[</w:t>
      </w:r>
      <w:r w:rsidR="00BF4242">
        <w:rPr>
          <w:bCs/>
        </w:rPr>
        <w:t>6</w:t>
      </w:r>
      <w:r w:rsidRPr="00023BFA">
        <w:rPr>
          <w:bCs/>
        </w:rPr>
        <w:t>]</w:t>
      </w:r>
      <w:r w:rsidR="000153FD">
        <w:rPr>
          <w:b/>
        </w:rPr>
        <w:t> </w:t>
      </w:r>
      <w:r w:rsidR="00562F99" w:rsidRPr="00562F99">
        <w:rPr>
          <w:bCs/>
        </w:rPr>
        <w:t>Lietā ir strīds, vai</w:t>
      </w:r>
      <w:r w:rsidR="00562F99">
        <w:rPr>
          <w:b/>
        </w:rPr>
        <w:t xml:space="preserve"> </w:t>
      </w:r>
      <w:r w:rsidR="00562F99">
        <w:rPr>
          <w:bCs/>
        </w:rPr>
        <w:t>trešajai personai izsniegtā</w:t>
      </w:r>
      <w:r w:rsidR="009E7210">
        <w:rPr>
          <w:bCs/>
        </w:rPr>
        <w:t xml:space="preserve">s strīdus būvatļaujas </w:t>
      </w:r>
      <w:r w:rsidR="00562F99">
        <w:rPr>
          <w:bCs/>
        </w:rPr>
        <w:t>atbilst būvniecību un vides aizsardzību reglamentējošo aktu prasībām.</w:t>
      </w:r>
      <w:r w:rsidR="00A20A08">
        <w:rPr>
          <w:bCs/>
        </w:rPr>
        <w:t xml:space="preserve"> </w:t>
      </w:r>
      <w:r w:rsidR="009933C1">
        <w:rPr>
          <w:bCs/>
        </w:rPr>
        <w:t xml:space="preserve">Kasācijas tiesvedības ietvaros izšķirams, vai apgabaltiesa, atzīstot </w:t>
      </w:r>
      <w:r w:rsidR="00774514">
        <w:rPr>
          <w:bCs/>
        </w:rPr>
        <w:t>strīdus būvatļaujas par tiesiskām, ir ievērojusi procesuāl</w:t>
      </w:r>
      <w:r w:rsidR="00E630E6">
        <w:rPr>
          <w:bCs/>
        </w:rPr>
        <w:t>o tiesību normas,</w:t>
      </w:r>
      <w:r w:rsidR="00774514">
        <w:rPr>
          <w:bCs/>
        </w:rPr>
        <w:t xml:space="preserve"> pareizi interpretējusi materiālo tiesību normas un īstenojusi pilnvērtīgu </w:t>
      </w:r>
      <w:r w:rsidR="00BC1A4D">
        <w:rPr>
          <w:bCs/>
        </w:rPr>
        <w:t xml:space="preserve">kontroli pār </w:t>
      </w:r>
      <w:r w:rsidR="00774514">
        <w:rPr>
          <w:bCs/>
        </w:rPr>
        <w:t>strīdus būvatļauju tiesiskum</w:t>
      </w:r>
      <w:r w:rsidR="00BC1A4D">
        <w:rPr>
          <w:bCs/>
        </w:rPr>
        <w:t>u.</w:t>
      </w:r>
    </w:p>
    <w:p w14:paraId="18368381" w14:textId="77777777" w:rsidR="005E2384" w:rsidRDefault="005E2384" w:rsidP="00C60D74">
      <w:pPr>
        <w:shd w:val="clear" w:color="auto" w:fill="FFFFFF"/>
        <w:spacing w:line="276" w:lineRule="auto"/>
        <w:ind w:firstLine="720"/>
        <w:jc w:val="both"/>
        <w:rPr>
          <w:bCs/>
        </w:rPr>
      </w:pPr>
    </w:p>
    <w:p w14:paraId="31CC3153" w14:textId="1413719B" w:rsidR="005E2384" w:rsidRDefault="005E2384" w:rsidP="00C60D74">
      <w:pPr>
        <w:shd w:val="clear" w:color="auto" w:fill="FFFFFF"/>
        <w:spacing w:line="276" w:lineRule="auto"/>
        <w:ind w:firstLine="720"/>
        <w:jc w:val="both"/>
        <w:rPr>
          <w:bCs/>
        </w:rPr>
      </w:pPr>
      <w:r>
        <w:rPr>
          <w:bCs/>
        </w:rPr>
        <w:t>[7]</w:t>
      </w:r>
      <w:r w:rsidR="000153FD">
        <w:rPr>
          <w:bCs/>
        </w:rPr>
        <w:t> </w:t>
      </w:r>
      <w:r>
        <w:rPr>
          <w:bCs/>
        </w:rPr>
        <w:t>Saistībā ar kasācijas sūdzības argumentiem Senāts vispirms uzskata par nepieciešamu uzsvērt</w:t>
      </w:r>
      <w:r w:rsidR="00746FCA">
        <w:rPr>
          <w:bCs/>
        </w:rPr>
        <w:t xml:space="preserve"> </w:t>
      </w:r>
      <w:r>
        <w:rPr>
          <w:bCs/>
        </w:rPr>
        <w:t>tiesas pienākumu pārbaudīt procesa dalībniek</w:t>
      </w:r>
      <w:r w:rsidR="00F45736">
        <w:rPr>
          <w:bCs/>
        </w:rPr>
        <w:t>u</w:t>
      </w:r>
      <w:r>
        <w:rPr>
          <w:bCs/>
        </w:rPr>
        <w:t xml:space="preserve"> argumentus un motivēt savu nolēmumu kontekstā ar apelācijas instances</w:t>
      </w:r>
      <w:r w:rsidR="00746FCA">
        <w:rPr>
          <w:bCs/>
        </w:rPr>
        <w:t xml:space="preserve"> tiesas</w:t>
      </w:r>
      <w:r>
        <w:rPr>
          <w:bCs/>
        </w:rPr>
        <w:t xml:space="preserve"> tiesībām pievienoties zemākas instances tiesas sprieduma motivācijai. </w:t>
      </w:r>
    </w:p>
    <w:p w14:paraId="018CFBDF" w14:textId="1036338B" w:rsidR="005E2384" w:rsidRDefault="005E2384" w:rsidP="00C60D74">
      <w:pPr>
        <w:shd w:val="clear" w:color="auto" w:fill="FFFFFF"/>
        <w:spacing w:line="276" w:lineRule="auto"/>
        <w:ind w:firstLine="720"/>
        <w:jc w:val="both"/>
        <w:rPr>
          <w:bCs/>
        </w:rPr>
      </w:pPr>
      <w:r w:rsidRPr="006D5F2E">
        <w:rPr>
          <w:bCs/>
        </w:rPr>
        <w:t>Administratīvā procesa likuma 251.panta piektā daļa, 302.panta pirmā daļa un</w:t>
      </w:r>
      <w:r>
        <w:rPr>
          <w:bCs/>
        </w:rPr>
        <w:t xml:space="preserve"> </w:t>
      </w:r>
      <w:r w:rsidRPr="006D5F2E">
        <w:rPr>
          <w:bCs/>
        </w:rPr>
        <w:t xml:space="preserve">307.panta ceturtā daļa </w:t>
      </w:r>
      <w:r w:rsidR="00543E7B">
        <w:rPr>
          <w:bCs/>
        </w:rPr>
        <w:t>nosaka</w:t>
      </w:r>
      <w:r w:rsidRPr="006D5F2E">
        <w:rPr>
          <w:bCs/>
        </w:rPr>
        <w:t xml:space="preserve"> apelācijas instances tiesas pienākumu izskatīt lietu pēc </w:t>
      </w:r>
      <w:r w:rsidRPr="006D5F2E">
        <w:rPr>
          <w:bCs/>
        </w:rPr>
        <w:lastRenderedPageBreak/>
        <w:t>būtības sakarā</w:t>
      </w:r>
      <w:r>
        <w:rPr>
          <w:bCs/>
        </w:rPr>
        <w:t xml:space="preserve"> </w:t>
      </w:r>
      <w:r w:rsidRPr="006D5F2E">
        <w:rPr>
          <w:bCs/>
        </w:rPr>
        <w:t>ar apelācijas sūdzību un sprieduma motīvos norādīt argumentus, kāpēc tiesa pieteikumu uzskatījusi</w:t>
      </w:r>
      <w:r>
        <w:rPr>
          <w:bCs/>
        </w:rPr>
        <w:t xml:space="preserve"> </w:t>
      </w:r>
      <w:r w:rsidRPr="006D5F2E">
        <w:rPr>
          <w:bCs/>
        </w:rPr>
        <w:t>par pamatotu vai nepamatotu, tostarp – procesa dalībnieku argumentu analīzi.</w:t>
      </w:r>
      <w:r>
        <w:rPr>
          <w:bCs/>
        </w:rPr>
        <w:t xml:space="preserve"> Tiesas pienākums</w:t>
      </w:r>
      <w:r w:rsidR="00F45736">
        <w:rPr>
          <w:bCs/>
        </w:rPr>
        <w:t xml:space="preserve"> ir</w:t>
      </w:r>
      <w:r>
        <w:rPr>
          <w:bCs/>
        </w:rPr>
        <w:t xml:space="preserve"> pārbaudīt procesa dalībniek</w:t>
      </w:r>
      <w:r w:rsidR="00F45736">
        <w:rPr>
          <w:bCs/>
        </w:rPr>
        <w:t>a</w:t>
      </w:r>
      <w:r>
        <w:rPr>
          <w:bCs/>
        </w:rPr>
        <w:t xml:space="preserve"> iebildumus un motivēt savu nolēmumu ir fundamentāla prasība, kuras</w:t>
      </w:r>
      <w:r w:rsidRPr="00EE00DB">
        <w:rPr>
          <w:bCs/>
        </w:rPr>
        <w:t xml:space="preserve"> </w:t>
      </w:r>
      <w:r>
        <w:rPr>
          <w:bCs/>
        </w:rPr>
        <w:t>nozīmi uzsvērusi gan Satversmes tiesa, gan Eiropas Cilvēktiesību tiesa, gan Senāts</w:t>
      </w:r>
      <w:r w:rsidR="00746FCA">
        <w:rPr>
          <w:bCs/>
        </w:rPr>
        <w:t xml:space="preserve">, </w:t>
      </w:r>
      <w:r w:rsidR="00EA722C">
        <w:rPr>
          <w:bCs/>
        </w:rPr>
        <w:t xml:space="preserve">akcentējot </w:t>
      </w:r>
      <w:r w:rsidR="00833AFE">
        <w:rPr>
          <w:bCs/>
        </w:rPr>
        <w:t xml:space="preserve">arī </w:t>
      </w:r>
      <w:r>
        <w:rPr>
          <w:bCs/>
        </w:rPr>
        <w:t>tiesas pienākumu atbildēt uz tiem procesa dalībniek</w:t>
      </w:r>
      <w:r w:rsidR="00F45736">
        <w:rPr>
          <w:bCs/>
        </w:rPr>
        <w:t>a</w:t>
      </w:r>
      <w:r>
        <w:rPr>
          <w:bCs/>
        </w:rPr>
        <w:t xml:space="preserve"> argumentiem, kuri ir būtiski un kurus procesa dalībniek</w:t>
      </w:r>
      <w:r w:rsidRPr="00F45736">
        <w:rPr>
          <w:bCs/>
        </w:rPr>
        <w:t>s</w:t>
      </w:r>
      <w:r>
        <w:rPr>
          <w:bCs/>
        </w:rPr>
        <w:t xml:space="preserve"> pats izvirzījis kā galvenos savas pozīcijas pamatošanai </w:t>
      </w:r>
      <w:r w:rsidRPr="001948C0">
        <w:rPr>
          <w:bCs/>
        </w:rPr>
        <w:t>(</w:t>
      </w:r>
      <w:r w:rsidR="00B05433">
        <w:rPr>
          <w:bCs/>
        </w:rPr>
        <w:t xml:space="preserve">piemēram, </w:t>
      </w:r>
      <w:r w:rsidRPr="005E2384">
        <w:rPr>
          <w:bCs/>
          <w:i/>
          <w:iCs/>
        </w:rPr>
        <w:t>Senāta 2022.gada 23.decembra spriedum</w:t>
      </w:r>
      <w:r w:rsidR="00B05433">
        <w:rPr>
          <w:bCs/>
          <w:i/>
          <w:iCs/>
        </w:rPr>
        <w:t>s</w:t>
      </w:r>
      <w:r w:rsidRPr="005E2384">
        <w:rPr>
          <w:bCs/>
          <w:i/>
          <w:iCs/>
        </w:rPr>
        <w:t xml:space="preserve"> lietā Nr.</w:t>
      </w:r>
      <w:r w:rsidR="00B05433">
        <w:rPr>
          <w:bCs/>
          <w:i/>
          <w:iCs/>
        </w:rPr>
        <w:t> </w:t>
      </w:r>
      <w:r w:rsidRPr="005E2384">
        <w:rPr>
          <w:bCs/>
          <w:i/>
          <w:iCs/>
        </w:rPr>
        <w:t xml:space="preserve">SKA-896/2022, </w:t>
      </w:r>
      <w:hyperlink r:id="rId8" w:history="1">
        <w:r w:rsidRPr="00B05433">
          <w:rPr>
            <w:rStyle w:val="Hyperlink"/>
            <w:bCs/>
            <w:i/>
            <w:iCs/>
          </w:rPr>
          <w:t>ECLI:LV:AT:2022:1223.A420260419.25.S</w:t>
        </w:r>
      </w:hyperlink>
      <w:r w:rsidRPr="005E2384">
        <w:rPr>
          <w:bCs/>
          <w:i/>
          <w:iCs/>
        </w:rPr>
        <w:t>,</w:t>
      </w:r>
      <w:r w:rsidRPr="001948C0">
        <w:rPr>
          <w:bCs/>
        </w:rPr>
        <w:t xml:space="preserve"> </w:t>
      </w:r>
      <w:r w:rsidRPr="00461E3E">
        <w:rPr>
          <w:bCs/>
          <w:i/>
          <w:iCs/>
        </w:rPr>
        <w:t>2020.gada 3.marta sprieduma lietā Nr.</w:t>
      </w:r>
      <w:r>
        <w:rPr>
          <w:bCs/>
          <w:i/>
          <w:iCs/>
        </w:rPr>
        <w:t> </w:t>
      </w:r>
      <w:r w:rsidRPr="00461E3E">
        <w:rPr>
          <w:bCs/>
          <w:i/>
          <w:iCs/>
        </w:rPr>
        <w:t>SKA</w:t>
      </w:r>
      <w:r>
        <w:rPr>
          <w:bCs/>
          <w:i/>
          <w:iCs/>
        </w:rPr>
        <w:noBreakHyphen/>
      </w:r>
      <w:r w:rsidRPr="00461E3E">
        <w:rPr>
          <w:bCs/>
          <w:i/>
          <w:iCs/>
        </w:rPr>
        <w:t xml:space="preserve">167/2020, </w:t>
      </w:r>
      <w:hyperlink r:id="rId9" w:history="1">
        <w:r w:rsidRPr="00B05433">
          <w:rPr>
            <w:rStyle w:val="Hyperlink"/>
            <w:bCs/>
            <w:i/>
            <w:iCs/>
          </w:rPr>
          <w:t>ECLI:LV:AT:2020:0303.A420266916.4.S</w:t>
        </w:r>
      </w:hyperlink>
      <w:r w:rsidRPr="00461E3E">
        <w:rPr>
          <w:bCs/>
          <w:i/>
          <w:iCs/>
        </w:rPr>
        <w:t xml:space="preserve">, 22.punkts </w:t>
      </w:r>
      <w:r w:rsidRPr="00A20A08">
        <w:rPr>
          <w:bCs/>
        </w:rPr>
        <w:t>un tajā minētā judikatūra</w:t>
      </w:r>
      <w:r w:rsidRPr="001948C0">
        <w:rPr>
          <w:bCs/>
        </w:rPr>
        <w:t>).</w:t>
      </w:r>
      <w:r w:rsidR="0048178A" w:rsidRPr="0048178A">
        <w:rPr>
          <w:bCs/>
        </w:rPr>
        <w:t xml:space="preserve"> </w:t>
      </w:r>
      <w:r w:rsidR="0048178A" w:rsidRPr="00816018">
        <w:rPr>
          <w:bCs/>
        </w:rPr>
        <w:t xml:space="preserve">Tiesa nav ierobežota sprieduma argumentāciju veidot tā, ka uz katru dalībnieka iebildumu nav sniegta atbilde tiešiem vārdiem. </w:t>
      </w:r>
      <w:r w:rsidR="00833AFE">
        <w:rPr>
          <w:bCs/>
        </w:rPr>
        <w:t>S</w:t>
      </w:r>
      <w:r w:rsidR="0048178A" w:rsidRPr="00816018">
        <w:rPr>
          <w:bCs/>
        </w:rPr>
        <w:t>varīgi</w:t>
      </w:r>
      <w:r w:rsidR="00833AFE">
        <w:rPr>
          <w:bCs/>
        </w:rPr>
        <w:t xml:space="preserve"> ir</w:t>
      </w:r>
      <w:r w:rsidR="0048178A" w:rsidRPr="00816018">
        <w:rPr>
          <w:bCs/>
        </w:rPr>
        <w:t>, lai visi būtiskie argumenti un apstākļi būtu aplūkoti pēc būtības un kopsakarā (</w:t>
      </w:r>
      <w:r w:rsidR="0048178A" w:rsidRPr="00816018">
        <w:rPr>
          <w:bCs/>
          <w:i/>
          <w:iCs/>
        </w:rPr>
        <w:t>Senāta 2019.gada 10.maija sprieduma lietā Nr.</w:t>
      </w:r>
      <w:r w:rsidR="0048178A">
        <w:rPr>
          <w:bCs/>
          <w:i/>
          <w:iCs/>
        </w:rPr>
        <w:t> </w:t>
      </w:r>
      <w:r w:rsidR="0048178A" w:rsidRPr="00816018">
        <w:rPr>
          <w:bCs/>
          <w:i/>
          <w:iCs/>
        </w:rPr>
        <w:t>SKA</w:t>
      </w:r>
      <w:r w:rsidR="0048178A">
        <w:rPr>
          <w:bCs/>
          <w:i/>
          <w:iCs/>
        </w:rPr>
        <w:noBreakHyphen/>
      </w:r>
      <w:r w:rsidR="0048178A" w:rsidRPr="00816018">
        <w:rPr>
          <w:bCs/>
          <w:i/>
          <w:iCs/>
        </w:rPr>
        <w:t xml:space="preserve">52/2019, </w:t>
      </w:r>
      <w:hyperlink r:id="rId10" w:history="1">
        <w:r w:rsidR="0048178A" w:rsidRPr="00B05433">
          <w:rPr>
            <w:rStyle w:val="Hyperlink"/>
            <w:bCs/>
            <w:i/>
            <w:iCs/>
          </w:rPr>
          <w:t>ECLI:LV:AT:2019:0510.A420148815.2.S</w:t>
        </w:r>
      </w:hyperlink>
      <w:r w:rsidR="0048178A" w:rsidRPr="00816018">
        <w:rPr>
          <w:bCs/>
          <w:i/>
          <w:iCs/>
        </w:rPr>
        <w:t>, 5.punkts</w:t>
      </w:r>
      <w:r w:rsidR="0048178A" w:rsidRPr="00816018">
        <w:rPr>
          <w:bCs/>
        </w:rPr>
        <w:t>).</w:t>
      </w:r>
      <w:r w:rsidR="00746FCA">
        <w:rPr>
          <w:bCs/>
        </w:rPr>
        <w:t xml:space="preserve"> </w:t>
      </w:r>
      <w:r w:rsidR="00D978E5">
        <w:rPr>
          <w:bCs/>
        </w:rPr>
        <w:t xml:space="preserve">Savukārt </w:t>
      </w:r>
      <w:r>
        <w:rPr>
          <w:bCs/>
        </w:rPr>
        <w:t xml:space="preserve">Administratīvā procesa likuma 307.panta ceturtās daļas, kas ļauj apelācijas instances tiesai pievienoties zemākas instances tiesas sprieduma motivācijai, mērķis ir procesuālā ekonomija un efektivitāte. Šis institūts ļauj apgabaltiesai sprieduma motīvu daļā nenorādīt savus argumentus, ja tā pēc </w:t>
      </w:r>
      <w:r w:rsidRPr="001B74A2">
        <w:rPr>
          <w:bCs/>
        </w:rPr>
        <w:t>visu lietas izskatīšanai būtisko elementu izvērtēšanas ir nonākusi pie tādiem pašiem secinājumiem, kādus jau izdarījusi pirmās instances tiesa</w:t>
      </w:r>
      <w:r>
        <w:rPr>
          <w:bCs/>
        </w:rPr>
        <w:t xml:space="preserve"> </w:t>
      </w:r>
      <w:r w:rsidRPr="001948C0">
        <w:rPr>
          <w:bCs/>
        </w:rPr>
        <w:t xml:space="preserve">(piemēram, </w:t>
      </w:r>
      <w:r w:rsidRPr="001948C0">
        <w:rPr>
          <w:bCs/>
          <w:i/>
          <w:iCs/>
        </w:rPr>
        <w:t>Senāta</w:t>
      </w:r>
      <w:r>
        <w:rPr>
          <w:bCs/>
          <w:i/>
          <w:iCs/>
        </w:rPr>
        <w:t xml:space="preserve"> 2022.gada 1.februāra rīcības sēdes lēmuma lietā Nr. SKA-646/2022, </w:t>
      </w:r>
      <w:hyperlink r:id="rId11" w:history="1">
        <w:r w:rsidRPr="00B05433">
          <w:rPr>
            <w:rStyle w:val="Hyperlink"/>
            <w:bCs/>
            <w:i/>
            <w:iCs/>
          </w:rPr>
          <w:t>ECLI:LV:AT:2022:0221.A420136019.14.L</w:t>
        </w:r>
      </w:hyperlink>
      <w:r w:rsidRPr="00816018">
        <w:rPr>
          <w:bCs/>
          <w:i/>
          <w:iCs/>
        </w:rPr>
        <w:t>, 5.punkts</w:t>
      </w:r>
      <w:r>
        <w:rPr>
          <w:bCs/>
          <w:i/>
          <w:iCs/>
        </w:rPr>
        <w:t>,</w:t>
      </w:r>
      <w:r w:rsidRPr="001948C0">
        <w:rPr>
          <w:bCs/>
          <w:i/>
          <w:iCs/>
        </w:rPr>
        <w:t xml:space="preserve"> 2021.gada 12.aprīļa sprieduma lietā Nr.</w:t>
      </w:r>
      <w:r>
        <w:rPr>
          <w:bCs/>
          <w:i/>
          <w:iCs/>
        </w:rPr>
        <w:t> </w:t>
      </w:r>
      <w:r w:rsidRPr="001948C0">
        <w:rPr>
          <w:bCs/>
          <w:i/>
          <w:iCs/>
        </w:rPr>
        <w:t>SKA</w:t>
      </w:r>
      <w:r>
        <w:rPr>
          <w:bCs/>
          <w:i/>
          <w:iCs/>
        </w:rPr>
        <w:noBreakHyphen/>
      </w:r>
      <w:r w:rsidRPr="001948C0">
        <w:rPr>
          <w:bCs/>
          <w:i/>
          <w:iCs/>
        </w:rPr>
        <w:t xml:space="preserve">156/2021, </w:t>
      </w:r>
      <w:hyperlink r:id="rId12" w:history="1">
        <w:r w:rsidRPr="00B05433">
          <w:rPr>
            <w:rStyle w:val="Hyperlink"/>
            <w:bCs/>
            <w:i/>
            <w:iCs/>
          </w:rPr>
          <w:t>ECLI:LV:AT:2021:0412.A420217416.10.S</w:t>
        </w:r>
      </w:hyperlink>
      <w:r w:rsidRPr="001948C0">
        <w:rPr>
          <w:bCs/>
          <w:i/>
          <w:iCs/>
        </w:rPr>
        <w:t>, 12.punkts</w:t>
      </w:r>
      <w:r w:rsidRPr="001948C0">
        <w:rPr>
          <w:bCs/>
        </w:rPr>
        <w:t>).</w:t>
      </w:r>
      <w:r>
        <w:rPr>
          <w:bCs/>
        </w:rPr>
        <w:t xml:space="preserve"> </w:t>
      </w:r>
    </w:p>
    <w:p w14:paraId="36C3CF05" w14:textId="0EAE6C8E" w:rsidR="005E2384" w:rsidRDefault="005E2384" w:rsidP="00C60D74">
      <w:pPr>
        <w:shd w:val="clear" w:color="auto" w:fill="FFFFFF"/>
        <w:spacing w:line="276" w:lineRule="auto"/>
        <w:ind w:firstLine="720"/>
        <w:jc w:val="both"/>
        <w:rPr>
          <w:bCs/>
        </w:rPr>
      </w:pPr>
      <w:r>
        <w:rPr>
          <w:bCs/>
        </w:rPr>
        <w:t xml:space="preserve">Vienlaikus jāņem vērā, ka </w:t>
      </w:r>
      <w:r w:rsidR="006F0939">
        <w:rPr>
          <w:bCs/>
        </w:rPr>
        <w:t xml:space="preserve">pieteicēja </w:t>
      </w:r>
      <w:r w:rsidR="006F0939" w:rsidRPr="00FD12A7">
        <w:rPr>
          <w:bCs/>
        </w:rPr>
        <w:t>iebildum</w:t>
      </w:r>
      <w:r w:rsidR="006461A7">
        <w:rPr>
          <w:bCs/>
        </w:rPr>
        <w:t>i</w:t>
      </w:r>
      <w:r w:rsidR="006F0939" w:rsidRPr="00FD12A7">
        <w:rPr>
          <w:bCs/>
        </w:rPr>
        <w:t xml:space="preserve"> būtībā var izgaismoties tieši kontekstā ar pirmās instances tiesas spriedumu</w:t>
      </w:r>
      <w:r w:rsidR="006F0939">
        <w:rPr>
          <w:bCs/>
        </w:rPr>
        <w:t xml:space="preserve"> – to, kā zemākas instances tiesa izpratusi pieteicēju vai kā pieteicēja un tiesas dialoga rezultātā izkristalizējies strīdus jautājums. </w:t>
      </w:r>
      <w:r w:rsidR="00E1729F">
        <w:rPr>
          <w:bCs/>
        </w:rPr>
        <w:t>P</w:t>
      </w:r>
      <w:r w:rsidR="006F0939">
        <w:rPr>
          <w:bCs/>
        </w:rPr>
        <w:t>ieteicēja apelācijas sūdzības iebildumi var būt vērsti tieši uz to, ka tiesa nepamatoti nav vērtējusi kādu pieteicēja</w:t>
      </w:r>
      <w:r w:rsidR="00833AFE">
        <w:rPr>
          <w:bCs/>
        </w:rPr>
        <w:t xml:space="preserve"> ieskatā</w:t>
      </w:r>
      <w:r w:rsidR="006F0939">
        <w:rPr>
          <w:bCs/>
        </w:rPr>
        <w:t xml:space="preserve"> lietas izšķiršanai būtisk</w:t>
      </w:r>
      <w:r w:rsidR="00031D3E">
        <w:rPr>
          <w:bCs/>
        </w:rPr>
        <w:t>u</w:t>
      </w:r>
      <w:r w:rsidR="006F0939">
        <w:rPr>
          <w:bCs/>
        </w:rPr>
        <w:t xml:space="preserve"> jautājumu. </w:t>
      </w:r>
      <w:r w:rsidR="00E1729F">
        <w:rPr>
          <w:bCs/>
        </w:rPr>
        <w:t>Tāpat a</w:t>
      </w:r>
      <w:r w:rsidR="006F0939">
        <w:rPr>
          <w:bCs/>
        </w:rPr>
        <w:t>pelācijas sūdzībā</w:t>
      </w:r>
      <w:r w:rsidR="00E1729F">
        <w:rPr>
          <w:bCs/>
        </w:rPr>
        <w:t xml:space="preserve">, kā iezīmējis Senāts, </w:t>
      </w:r>
      <w:r w:rsidR="006F0939">
        <w:rPr>
          <w:bCs/>
        </w:rPr>
        <w:t>var notikt ar pieteikuma pamatu saistīto argumentu attīstība (</w:t>
      </w:r>
      <w:r w:rsidR="006F0939" w:rsidRPr="00685FF4">
        <w:rPr>
          <w:bCs/>
        </w:rPr>
        <w:t xml:space="preserve">sal. </w:t>
      </w:r>
      <w:r w:rsidR="006F0939" w:rsidRPr="00CF59F6">
        <w:rPr>
          <w:bCs/>
          <w:i/>
          <w:iCs/>
        </w:rPr>
        <w:t>Senāta 2020.gada 3.marta sprieduma lietā Nr. SKA-235/2020,</w:t>
      </w:r>
      <w:r w:rsidR="006F0939">
        <w:rPr>
          <w:bCs/>
          <w:i/>
          <w:iCs/>
        </w:rPr>
        <w:t xml:space="preserve"> </w:t>
      </w:r>
      <w:hyperlink r:id="rId13" w:history="1">
        <w:r w:rsidR="006F0939" w:rsidRPr="005E4488">
          <w:rPr>
            <w:rStyle w:val="Hyperlink"/>
            <w:bCs/>
            <w:i/>
            <w:iCs/>
          </w:rPr>
          <w:t>ECLI:LV:AT:2020:0303.A420689310.8.S</w:t>
        </w:r>
      </w:hyperlink>
      <w:r w:rsidR="006F0939" w:rsidRPr="00CF59F6">
        <w:rPr>
          <w:bCs/>
          <w:i/>
          <w:iCs/>
        </w:rPr>
        <w:t>, 10.punkt</w:t>
      </w:r>
      <w:r w:rsidR="006461A7">
        <w:rPr>
          <w:bCs/>
          <w:i/>
          <w:iCs/>
        </w:rPr>
        <w:t>s</w:t>
      </w:r>
      <w:r w:rsidR="006F0939">
        <w:rPr>
          <w:bCs/>
        </w:rPr>
        <w:t xml:space="preserve">). </w:t>
      </w:r>
      <w:r>
        <w:rPr>
          <w:bCs/>
        </w:rPr>
        <w:t>Ja tas tā ir, vairs nevar uzskatīt, ka zemākas instances tiesas sprieduma motivācija sniedz atbildes uz apelācijas sūdzībā izvirzītajiem problēmjautājumiem un tiesas attieksme pret tiem ir skaidra.</w:t>
      </w:r>
    </w:p>
    <w:p w14:paraId="2B460D97" w14:textId="77777777" w:rsidR="00774514" w:rsidRDefault="00774514" w:rsidP="00C60D74">
      <w:pPr>
        <w:shd w:val="clear" w:color="auto" w:fill="FFFFFF"/>
        <w:spacing w:line="276" w:lineRule="auto"/>
        <w:jc w:val="both"/>
        <w:rPr>
          <w:bCs/>
        </w:rPr>
      </w:pPr>
    </w:p>
    <w:p w14:paraId="50D6BDB9" w14:textId="59394556" w:rsidR="004618CD" w:rsidRDefault="004618CD" w:rsidP="00C60D74">
      <w:pPr>
        <w:shd w:val="clear" w:color="auto" w:fill="FFFFFF"/>
        <w:spacing w:line="276" w:lineRule="auto"/>
        <w:jc w:val="center"/>
        <w:rPr>
          <w:b/>
        </w:rPr>
      </w:pPr>
      <w:r w:rsidRPr="004618CD">
        <w:rPr>
          <w:b/>
        </w:rPr>
        <w:t>I</w:t>
      </w:r>
    </w:p>
    <w:p w14:paraId="2A248B8D" w14:textId="13879A56" w:rsidR="00B17724" w:rsidRPr="00B17724" w:rsidRDefault="00B17724" w:rsidP="00C60D74">
      <w:pPr>
        <w:shd w:val="clear" w:color="auto" w:fill="FFFFFF"/>
        <w:spacing w:line="276" w:lineRule="auto"/>
        <w:jc w:val="center"/>
        <w:rPr>
          <w:bCs/>
          <w:i/>
          <w:iCs/>
        </w:rPr>
      </w:pPr>
      <w:r>
        <w:rPr>
          <w:bCs/>
          <w:i/>
          <w:iCs/>
        </w:rPr>
        <w:t>Par sākotnējo ietekmes uz vidi novērtējumu un tiesas vērtējumu</w:t>
      </w:r>
    </w:p>
    <w:p w14:paraId="1828D8BE" w14:textId="77777777" w:rsidR="004618CD" w:rsidRDefault="004618CD" w:rsidP="00C60D74">
      <w:pPr>
        <w:shd w:val="clear" w:color="auto" w:fill="FFFFFF"/>
        <w:spacing w:line="276" w:lineRule="auto"/>
        <w:ind w:firstLine="720"/>
        <w:jc w:val="center"/>
        <w:rPr>
          <w:b/>
        </w:rPr>
      </w:pPr>
    </w:p>
    <w:p w14:paraId="324EB67E" w14:textId="027EBF05" w:rsidR="00987929" w:rsidRDefault="004618CD" w:rsidP="00C60D74">
      <w:pPr>
        <w:shd w:val="clear" w:color="auto" w:fill="FFFFFF"/>
        <w:spacing w:line="276" w:lineRule="auto"/>
        <w:ind w:firstLine="720"/>
        <w:jc w:val="both"/>
        <w:rPr>
          <w:bCs/>
        </w:rPr>
      </w:pPr>
      <w:r w:rsidRPr="004618CD">
        <w:rPr>
          <w:bCs/>
        </w:rPr>
        <w:t>[</w:t>
      </w:r>
      <w:r w:rsidR="0048178A">
        <w:rPr>
          <w:bCs/>
        </w:rPr>
        <w:t>8</w:t>
      </w:r>
      <w:r w:rsidRPr="004618CD">
        <w:rPr>
          <w:bCs/>
        </w:rPr>
        <w:t>]</w:t>
      </w:r>
      <w:r w:rsidR="000153FD">
        <w:rPr>
          <w:bCs/>
        </w:rPr>
        <w:t> </w:t>
      </w:r>
      <w:r w:rsidR="00987929">
        <w:rPr>
          <w:bCs/>
        </w:rPr>
        <w:t>Atbilstoši Būvniecības likuma 15.panta trešās daļas 2.punktam būvatļauju neizdod, ja nav veikts paredzētās būvniecības sākotnējais izvērtējums vai ietekmes uz vidi novērtējums gadījumā, kad to nosaka normatīvie akti.</w:t>
      </w:r>
    </w:p>
    <w:p w14:paraId="5D92BFAE" w14:textId="0A6420F5" w:rsidR="00987929" w:rsidRDefault="00987929" w:rsidP="00C60D74">
      <w:pPr>
        <w:shd w:val="clear" w:color="auto" w:fill="FFFFFF"/>
        <w:spacing w:line="276" w:lineRule="auto"/>
        <w:ind w:firstLine="720"/>
        <w:jc w:val="both"/>
        <w:rPr>
          <w:bCs/>
        </w:rPr>
      </w:pPr>
      <w:r>
        <w:rPr>
          <w:bCs/>
        </w:rPr>
        <w:t xml:space="preserve">Gadījumi, kuros veicamas minētās procedūras, noteikti likumā </w:t>
      </w:r>
      <w:r w:rsidR="00631DD3">
        <w:rPr>
          <w:bCs/>
        </w:rPr>
        <w:t>„</w:t>
      </w:r>
      <w:r>
        <w:rPr>
          <w:bCs/>
        </w:rPr>
        <w:t xml:space="preserve">Par ietekmes uz vidi novērtējumu”. Šā likuma 4.panta </w:t>
      </w:r>
      <w:r w:rsidR="00630758">
        <w:rPr>
          <w:bCs/>
        </w:rPr>
        <w:t>pirmās daļas normas no</w:t>
      </w:r>
      <w:r w:rsidR="00833AFE">
        <w:rPr>
          <w:bCs/>
        </w:rPr>
        <w:t>saka</w:t>
      </w:r>
      <w:r w:rsidR="00630758">
        <w:rPr>
          <w:bCs/>
        </w:rPr>
        <w:t xml:space="preserve"> darbības, kurām nepieciešams ietekmes uz vidi novērtējums. Atbilstoši minētā panta pirmās daļas 2.punktam ietekmes novērtējums nepieciešams arī paredzētajām darbībām saskaņā ar sākotnējo izvērtējumu.</w:t>
      </w:r>
      <w:r>
        <w:rPr>
          <w:bCs/>
        </w:rPr>
        <w:t xml:space="preserve"> Darbības, kurām nepieciešams sākotnējais izvērtējums, no</w:t>
      </w:r>
      <w:r w:rsidR="00833AFE">
        <w:rPr>
          <w:bCs/>
        </w:rPr>
        <w:t>saka</w:t>
      </w:r>
      <w:r>
        <w:rPr>
          <w:bCs/>
        </w:rPr>
        <w:t xml:space="preserve"> likuma 3.</w:t>
      </w:r>
      <w:r w:rsidRPr="00427A7F">
        <w:rPr>
          <w:bCs/>
          <w:vertAlign w:val="superscript"/>
        </w:rPr>
        <w:t>2</w:t>
      </w:r>
      <w:r>
        <w:rPr>
          <w:bCs/>
        </w:rPr>
        <w:t>panta pirmās daļas normas.</w:t>
      </w:r>
      <w:r w:rsidR="003B012D">
        <w:rPr>
          <w:bCs/>
        </w:rPr>
        <w:t xml:space="preserve"> </w:t>
      </w:r>
      <w:r w:rsidR="0006673B">
        <w:rPr>
          <w:bCs/>
        </w:rPr>
        <w:t xml:space="preserve">Saskaņā ar </w:t>
      </w:r>
      <w:r>
        <w:rPr>
          <w:bCs/>
        </w:rPr>
        <w:t>minētā panta pirmās daļas 1.punkt</w:t>
      </w:r>
      <w:r w:rsidR="0006673B">
        <w:rPr>
          <w:bCs/>
        </w:rPr>
        <w:t>u</w:t>
      </w:r>
      <w:r>
        <w:rPr>
          <w:bCs/>
        </w:rPr>
        <w:t xml:space="preserve"> </w:t>
      </w:r>
      <w:r>
        <w:rPr>
          <w:bCs/>
        </w:rPr>
        <w:lastRenderedPageBreak/>
        <w:t>sākotnējais izvērtējums ir nepieciešams šā likuma 2.pielikumā paredzētajām darbībām, proti, minētais pielikums no</w:t>
      </w:r>
      <w:r w:rsidR="00833AFE">
        <w:rPr>
          <w:bCs/>
        </w:rPr>
        <w:t>saka</w:t>
      </w:r>
      <w:r>
        <w:rPr>
          <w:bCs/>
        </w:rPr>
        <w:t xml:space="preserve"> virkni patstāvīgu paredzēto darbību, kurām īstenojama šī procedūra. </w:t>
      </w:r>
    </w:p>
    <w:p w14:paraId="664D0CBC" w14:textId="0A12CE8D" w:rsidR="00A20A08" w:rsidRDefault="00A20A08" w:rsidP="00C60D74">
      <w:pPr>
        <w:shd w:val="clear" w:color="auto" w:fill="FFFFFF"/>
        <w:spacing w:line="276" w:lineRule="auto"/>
        <w:ind w:firstLine="720"/>
        <w:jc w:val="both"/>
        <w:rPr>
          <w:bCs/>
        </w:rPr>
      </w:pPr>
      <w:r w:rsidRPr="00A20A08">
        <w:rPr>
          <w:bCs/>
        </w:rPr>
        <w:t xml:space="preserve">Viens no pieteicēju centrālajiem </w:t>
      </w:r>
      <w:r>
        <w:rPr>
          <w:bCs/>
        </w:rPr>
        <w:t>kasācijas sūdzības</w:t>
      </w:r>
      <w:r w:rsidRPr="00A20A08">
        <w:rPr>
          <w:bCs/>
        </w:rPr>
        <w:t xml:space="preserve"> iebildumiem ir tāds, ka tiesa nav pienācīgi novērtējusi pieteicēju argumentus, ka teritorijas attīstībai nav veikts nepieciešamais sākotnējais izvērtējums. Turklāt uz vairākiem pieteicēju šajā sakarā apelācijas sūdzībā paustajiem argumentiem tiesa atbildi vispār nav sniegusi.</w:t>
      </w:r>
    </w:p>
    <w:p w14:paraId="79485192" w14:textId="77777777" w:rsidR="00CE4FD0" w:rsidRDefault="00CE4FD0" w:rsidP="00C60D74">
      <w:pPr>
        <w:shd w:val="clear" w:color="auto" w:fill="FFFFFF"/>
        <w:spacing w:line="276" w:lineRule="auto"/>
        <w:jc w:val="both"/>
        <w:rPr>
          <w:bCs/>
        </w:rPr>
      </w:pPr>
    </w:p>
    <w:p w14:paraId="212A08D0" w14:textId="71D379FD" w:rsidR="00CE61C0" w:rsidRDefault="00CE4FD0" w:rsidP="00C60D74">
      <w:pPr>
        <w:shd w:val="clear" w:color="auto" w:fill="FFFFFF"/>
        <w:spacing w:line="276" w:lineRule="auto"/>
        <w:ind w:firstLine="720"/>
        <w:jc w:val="both"/>
        <w:rPr>
          <w:bCs/>
        </w:rPr>
      </w:pPr>
      <w:r>
        <w:rPr>
          <w:bCs/>
        </w:rPr>
        <w:t>[</w:t>
      </w:r>
      <w:r w:rsidR="00BF4242">
        <w:rPr>
          <w:bCs/>
        </w:rPr>
        <w:t>9</w:t>
      </w:r>
      <w:r>
        <w:rPr>
          <w:bCs/>
        </w:rPr>
        <w:t>]</w:t>
      </w:r>
      <w:r w:rsidR="000153FD">
        <w:rPr>
          <w:bCs/>
        </w:rPr>
        <w:t> </w:t>
      </w:r>
      <w:r w:rsidR="007C6D34">
        <w:rPr>
          <w:bCs/>
        </w:rPr>
        <w:t xml:space="preserve">Apgabaltiesa </w:t>
      </w:r>
      <w:r w:rsidR="00781A5F">
        <w:rPr>
          <w:bCs/>
        </w:rPr>
        <w:t xml:space="preserve">spriedumā </w:t>
      </w:r>
      <w:r w:rsidR="007C6D34">
        <w:rPr>
          <w:bCs/>
        </w:rPr>
        <w:t xml:space="preserve">pievienojusies pirmās instances tiesas sprieduma motivācijai, </w:t>
      </w:r>
      <w:r w:rsidR="00781A5F">
        <w:rPr>
          <w:bCs/>
        </w:rPr>
        <w:t>atzīstot, ka strīdus būvatļauja</w:t>
      </w:r>
      <w:r w:rsidR="00562E5E">
        <w:rPr>
          <w:bCs/>
        </w:rPr>
        <w:t>s</w:t>
      </w:r>
      <w:r w:rsidR="00781A5F">
        <w:rPr>
          <w:bCs/>
        </w:rPr>
        <w:t xml:space="preserve"> saņemšanai nebija nepieciešams sākotnējais </w:t>
      </w:r>
      <w:r w:rsidR="00E1729F">
        <w:rPr>
          <w:bCs/>
        </w:rPr>
        <w:t>izvērtējums</w:t>
      </w:r>
      <w:r w:rsidR="00781A5F">
        <w:rPr>
          <w:bCs/>
        </w:rPr>
        <w:t xml:space="preserve">. </w:t>
      </w:r>
      <w:r w:rsidR="00F30803">
        <w:rPr>
          <w:bCs/>
        </w:rPr>
        <w:t xml:space="preserve">Cita vērtējuma </w:t>
      </w:r>
      <w:r w:rsidR="00CE61C0">
        <w:rPr>
          <w:bCs/>
        </w:rPr>
        <w:t xml:space="preserve">par </w:t>
      </w:r>
      <w:r w:rsidR="00A850DE">
        <w:rPr>
          <w:bCs/>
        </w:rPr>
        <w:t>šiem</w:t>
      </w:r>
      <w:r w:rsidR="00CE61C0">
        <w:rPr>
          <w:bCs/>
        </w:rPr>
        <w:t xml:space="preserve"> iebildumiem</w:t>
      </w:r>
      <w:r w:rsidR="00560D37">
        <w:rPr>
          <w:bCs/>
        </w:rPr>
        <w:t xml:space="preserve"> tieši</w:t>
      </w:r>
      <w:r w:rsidR="00CE61C0">
        <w:rPr>
          <w:bCs/>
        </w:rPr>
        <w:t xml:space="preserve"> apgabaltiesas spriedum</w:t>
      </w:r>
      <w:r w:rsidR="00562E5E">
        <w:rPr>
          <w:bCs/>
        </w:rPr>
        <w:t>a motīvu daļ</w:t>
      </w:r>
      <w:r w:rsidR="00833AFE">
        <w:rPr>
          <w:bCs/>
        </w:rPr>
        <w:t>ā</w:t>
      </w:r>
      <w:r w:rsidR="00CE61C0">
        <w:rPr>
          <w:bCs/>
        </w:rPr>
        <w:t xml:space="preserve"> </w:t>
      </w:r>
      <w:r w:rsidR="00833AFE">
        <w:rPr>
          <w:bCs/>
        </w:rPr>
        <w:t>nav</w:t>
      </w:r>
      <w:r w:rsidR="00CE61C0">
        <w:rPr>
          <w:bCs/>
        </w:rPr>
        <w:t xml:space="preserve">. </w:t>
      </w:r>
    </w:p>
    <w:p w14:paraId="0513B5D8" w14:textId="0103BE12" w:rsidR="00AB0820" w:rsidRDefault="00602D4F" w:rsidP="00C60D74">
      <w:pPr>
        <w:shd w:val="clear" w:color="auto" w:fill="FFFFFF"/>
        <w:spacing w:line="276" w:lineRule="auto"/>
        <w:ind w:firstLine="720"/>
        <w:jc w:val="both"/>
        <w:rPr>
          <w:bCs/>
        </w:rPr>
      </w:pPr>
      <w:r>
        <w:rPr>
          <w:bCs/>
        </w:rPr>
        <w:t xml:space="preserve">Vienlaikus jāņem vērā, ka pirmās instances tiesa kā </w:t>
      </w:r>
      <w:r w:rsidR="00AA3684">
        <w:rPr>
          <w:bCs/>
        </w:rPr>
        <w:t>pamatojumu pieteicēju šajā sakarā paustajiem iebildumiem</w:t>
      </w:r>
      <w:r w:rsidR="00781A5F">
        <w:rPr>
          <w:bCs/>
        </w:rPr>
        <w:t xml:space="preserve"> spriedumā</w:t>
      </w:r>
      <w:r w:rsidR="00AA3684">
        <w:rPr>
          <w:bCs/>
        </w:rPr>
        <w:t xml:space="preserve"> </w:t>
      </w:r>
      <w:r w:rsidR="00055C12">
        <w:rPr>
          <w:bCs/>
        </w:rPr>
        <w:t>saskatījusi</w:t>
      </w:r>
      <w:r w:rsidR="00933EE0">
        <w:rPr>
          <w:bCs/>
        </w:rPr>
        <w:t xml:space="preserve"> tikai</w:t>
      </w:r>
      <w:r w:rsidR="00845FAF">
        <w:rPr>
          <w:bCs/>
        </w:rPr>
        <w:t xml:space="preserve"> </w:t>
      </w:r>
      <w:r w:rsidR="00AA3684">
        <w:rPr>
          <w:bCs/>
        </w:rPr>
        <w:t xml:space="preserve">to, ka projektā esot paredzēts veidot piestātnes mazizmēra kuģošanas līdzekļiem un tas atbilstoši likuma </w:t>
      </w:r>
      <w:r w:rsidR="00BE46C9">
        <w:rPr>
          <w:bCs/>
        </w:rPr>
        <w:t>„</w:t>
      </w:r>
      <w:r w:rsidR="00AA3684">
        <w:rPr>
          <w:bCs/>
        </w:rPr>
        <w:t>Par ietekmes uz vidi novērtējumu”</w:t>
      </w:r>
      <w:r w:rsidR="00220422">
        <w:rPr>
          <w:bCs/>
        </w:rPr>
        <w:t xml:space="preserve"> 2.pielikuma 12.punkta 2.apakšpunktam</w:t>
      </w:r>
      <w:r w:rsidR="00AA3684">
        <w:rPr>
          <w:bCs/>
        </w:rPr>
        <w:t xml:space="preserve"> </w:t>
      </w:r>
      <w:r w:rsidR="00781A5F">
        <w:rPr>
          <w:bCs/>
        </w:rPr>
        <w:t>esot</w:t>
      </w:r>
      <w:r w:rsidR="00AA3684">
        <w:rPr>
          <w:bCs/>
        </w:rPr>
        <w:t xml:space="preserve"> pamats piemērot sākotnējā </w:t>
      </w:r>
      <w:r w:rsidR="00B04BE7">
        <w:rPr>
          <w:bCs/>
        </w:rPr>
        <w:t>izvērtējuma</w:t>
      </w:r>
      <w:r w:rsidR="00AA3684">
        <w:rPr>
          <w:bCs/>
        </w:rPr>
        <w:t xml:space="preserve"> procedūru</w:t>
      </w:r>
      <w:r w:rsidR="006271FC">
        <w:rPr>
          <w:bCs/>
        </w:rPr>
        <w:t>.</w:t>
      </w:r>
      <w:r w:rsidR="00AA3684">
        <w:rPr>
          <w:bCs/>
        </w:rPr>
        <w:t xml:space="preserve"> Attiecīgi pirmās instances tiesas izdarītie secinājumi</w:t>
      </w:r>
      <w:r w:rsidR="00933EE0">
        <w:rPr>
          <w:bCs/>
        </w:rPr>
        <w:t>, arī tie, kuros</w:t>
      </w:r>
      <w:r w:rsidR="005C3D0D">
        <w:rPr>
          <w:bCs/>
        </w:rPr>
        <w:t xml:space="preserve"> </w:t>
      </w:r>
      <w:r w:rsidR="00933EE0">
        <w:rPr>
          <w:bCs/>
        </w:rPr>
        <w:t>runāts par attīstības projekta mākslīgu sadalīšanu un teritorijas pakāpenisku attīstību,</w:t>
      </w:r>
      <w:r w:rsidR="00AA3684">
        <w:rPr>
          <w:bCs/>
        </w:rPr>
        <w:t xml:space="preserve"> ir saistīti tieši </w:t>
      </w:r>
      <w:r w:rsidR="006E15F3">
        <w:rPr>
          <w:bCs/>
        </w:rPr>
        <w:t xml:space="preserve">ar </w:t>
      </w:r>
      <w:r w:rsidR="00AA3684">
        <w:rPr>
          <w:bCs/>
        </w:rPr>
        <w:t xml:space="preserve">šo </w:t>
      </w:r>
      <w:r w:rsidR="006E15F3">
        <w:rPr>
          <w:bCs/>
        </w:rPr>
        <w:t xml:space="preserve">pieteicēju </w:t>
      </w:r>
      <w:r w:rsidR="00AA3684">
        <w:rPr>
          <w:bCs/>
        </w:rPr>
        <w:t>argumentācijas pamatu</w:t>
      </w:r>
      <w:r w:rsidR="00560D37">
        <w:rPr>
          <w:bCs/>
        </w:rPr>
        <w:t xml:space="preserve"> (</w:t>
      </w:r>
      <w:r w:rsidR="00560D37" w:rsidRPr="006271FC">
        <w:rPr>
          <w:bCs/>
          <w:i/>
          <w:iCs/>
        </w:rPr>
        <w:t>Administratīvās rajona tiesas 2020.gada 22.septembra sprieduma</w:t>
      </w:r>
      <w:r w:rsidR="00560D37">
        <w:rPr>
          <w:bCs/>
          <w:i/>
          <w:iCs/>
        </w:rPr>
        <w:t xml:space="preserve"> šajā lietā</w:t>
      </w:r>
      <w:r w:rsidR="00560D37" w:rsidRPr="006271FC">
        <w:rPr>
          <w:bCs/>
          <w:i/>
          <w:iCs/>
        </w:rPr>
        <w:t xml:space="preserve"> 8.punkts</w:t>
      </w:r>
      <w:r w:rsidR="00560D37">
        <w:rPr>
          <w:bCs/>
        </w:rPr>
        <w:t>)</w:t>
      </w:r>
      <w:r w:rsidR="00AA3684">
        <w:rPr>
          <w:bCs/>
        </w:rPr>
        <w:t>.</w:t>
      </w:r>
    </w:p>
    <w:p w14:paraId="436A15AC" w14:textId="2C0B635B" w:rsidR="00D604E4" w:rsidRDefault="006271FC" w:rsidP="00C60D74">
      <w:pPr>
        <w:shd w:val="clear" w:color="auto" w:fill="FFFFFF"/>
        <w:spacing w:line="276" w:lineRule="auto"/>
        <w:ind w:firstLine="720"/>
        <w:jc w:val="both"/>
        <w:rPr>
          <w:bCs/>
        </w:rPr>
      </w:pPr>
      <w:r>
        <w:rPr>
          <w:bCs/>
        </w:rPr>
        <w:t>Tomēr p</w:t>
      </w:r>
      <w:r w:rsidR="00220422">
        <w:rPr>
          <w:bCs/>
        </w:rPr>
        <w:t>ieteicēj</w:t>
      </w:r>
      <w:r w:rsidR="00AB0820">
        <w:rPr>
          <w:bCs/>
        </w:rPr>
        <w:t>i</w:t>
      </w:r>
      <w:r>
        <w:rPr>
          <w:bCs/>
        </w:rPr>
        <w:t xml:space="preserve"> </w:t>
      </w:r>
      <w:r w:rsidR="00220422">
        <w:rPr>
          <w:bCs/>
        </w:rPr>
        <w:t>ja</w:t>
      </w:r>
      <w:r w:rsidR="00E07DB3">
        <w:rPr>
          <w:bCs/>
        </w:rPr>
        <w:t>u</w:t>
      </w:r>
      <w:r w:rsidR="00220422">
        <w:rPr>
          <w:bCs/>
        </w:rPr>
        <w:t xml:space="preserve"> </w:t>
      </w:r>
      <w:r w:rsidR="00AB0820">
        <w:rPr>
          <w:bCs/>
        </w:rPr>
        <w:t xml:space="preserve">pirmās instances tiesā </w:t>
      </w:r>
      <w:r w:rsidR="00E07DB3">
        <w:rPr>
          <w:bCs/>
        </w:rPr>
        <w:t>(</w:t>
      </w:r>
      <w:r w:rsidR="00E07DB3" w:rsidRPr="006271FC">
        <w:rPr>
          <w:bCs/>
          <w:i/>
          <w:iCs/>
        </w:rPr>
        <w:t>tiesas 2020.gada 30.jūnija sēdes protokols,</w:t>
      </w:r>
      <w:r w:rsidR="005170F1">
        <w:rPr>
          <w:bCs/>
          <w:i/>
          <w:iCs/>
        </w:rPr>
        <w:t xml:space="preserve"> </w:t>
      </w:r>
      <w:r w:rsidR="00E07DB3" w:rsidRPr="006271FC">
        <w:rPr>
          <w:bCs/>
          <w:i/>
          <w:iCs/>
        </w:rPr>
        <w:t>pieteicēju pārstāvja paskaidrojumi</w:t>
      </w:r>
      <w:r w:rsidR="00E07DB3" w:rsidRPr="00E07DB3">
        <w:rPr>
          <w:bCs/>
        </w:rPr>
        <w:t xml:space="preserve">) </w:t>
      </w:r>
      <w:r w:rsidR="00AB0820">
        <w:rPr>
          <w:bCs/>
        </w:rPr>
        <w:t>norādīja</w:t>
      </w:r>
      <w:r w:rsidR="00984350">
        <w:rPr>
          <w:bCs/>
        </w:rPr>
        <w:t xml:space="preserve"> arī citu patstāvīgu pamatu sākotnējā </w:t>
      </w:r>
      <w:r w:rsidR="00BA22C4">
        <w:rPr>
          <w:bCs/>
        </w:rPr>
        <w:t>izvērtējuma</w:t>
      </w:r>
      <w:r w:rsidR="00984350">
        <w:rPr>
          <w:bCs/>
        </w:rPr>
        <w:t xml:space="preserve"> nepieciešamībai</w:t>
      </w:r>
      <w:r w:rsidR="00E07DB3">
        <w:rPr>
          <w:bCs/>
        </w:rPr>
        <w:t xml:space="preserve"> –</w:t>
      </w:r>
      <w:r w:rsidR="00984350">
        <w:rPr>
          <w:bCs/>
        </w:rPr>
        <w:t xml:space="preserve"> </w:t>
      </w:r>
      <w:r w:rsidR="00220422">
        <w:rPr>
          <w:bCs/>
        </w:rPr>
        <w:t>likuma ,,Par ietekmes uz vidi novērtējumu” 2.pielikuma 10.punkta 2.apakšpunktu</w:t>
      </w:r>
      <w:r w:rsidR="00E07DB3">
        <w:rPr>
          <w:bCs/>
        </w:rPr>
        <w:t xml:space="preserve">. </w:t>
      </w:r>
      <w:r w:rsidR="00984350">
        <w:rPr>
          <w:bCs/>
        </w:rPr>
        <w:t xml:space="preserve">Atbilstoši minētajai normai </w:t>
      </w:r>
      <w:r w:rsidR="00220422" w:rsidRPr="00926BD1">
        <w:rPr>
          <w:bCs/>
        </w:rPr>
        <w:t>infrastruktūras projekti – pilsētvides</w:t>
      </w:r>
      <w:r w:rsidR="00220422">
        <w:rPr>
          <w:bCs/>
        </w:rPr>
        <w:t xml:space="preserve"> </w:t>
      </w:r>
      <w:r w:rsidR="00220422" w:rsidRPr="00926BD1">
        <w:rPr>
          <w:bCs/>
        </w:rPr>
        <w:t>attīstības projekti (piemēram, tirdzniecības centri, jaunu ūdensapgādes vai kanalizācijas ārējo tīklu</w:t>
      </w:r>
      <w:r w:rsidR="00220422">
        <w:rPr>
          <w:bCs/>
        </w:rPr>
        <w:t xml:space="preserve"> </w:t>
      </w:r>
      <w:r w:rsidR="00220422" w:rsidRPr="00926BD1">
        <w:rPr>
          <w:bCs/>
        </w:rPr>
        <w:t>būvniecība, ja to kopgarums pārsniedz 20</w:t>
      </w:r>
      <w:r w:rsidR="006E15F3">
        <w:rPr>
          <w:bCs/>
        </w:rPr>
        <w:t> </w:t>
      </w:r>
      <w:r w:rsidR="00220422" w:rsidRPr="00926BD1">
        <w:rPr>
          <w:bCs/>
        </w:rPr>
        <w:t>kilometrus, vairāk nekā 300</w:t>
      </w:r>
      <w:r w:rsidR="00DD6CA3">
        <w:rPr>
          <w:bCs/>
        </w:rPr>
        <w:t> </w:t>
      </w:r>
      <w:r w:rsidR="00220422" w:rsidRPr="00926BD1">
        <w:rPr>
          <w:bCs/>
        </w:rPr>
        <w:t>automašīnām paredzētas</w:t>
      </w:r>
      <w:r w:rsidR="00220422">
        <w:rPr>
          <w:bCs/>
        </w:rPr>
        <w:t xml:space="preserve"> </w:t>
      </w:r>
      <w:r w:rsidR="00220422" w:rsidRPr="00926BD1">
        <w:rPr>
          <w:bCs/>
        </w:rPr>
        <w:t>autostāvvietas) – ir darbības, kurām nepieciešams sākotnējais izvērtējums</w:t>
      </w:r>
      <w:r w:rsidR="006D44B8">
        <w:rPr>
          <w:bCs/>
        </w:rPr>
        <w:t>.</w:t>
      </w:r>
      <w:r w:rsidR="00220422">
        <w:rPr>
          <w:bCs/>
        </w:rPr>
        <w:t xml:space="preserve"> </w:t>
      </w:r>
      <w:r w:rsidR="00560D37">
        <w:rPr>
          <w:bCs/>
        </w:rPr>
        <w:t>Pirmās instances t</w:t>
      </w:r>
      <w:r>
        <w:rPr>
          <w:bCs/>
        </w:rPr>
        <w:t>iesas spriedum</w:t>
      </w:r>
      <w:r w:rsidR="006E15F3">
        <w:rPr>
          <w:bCs/>
        </w:rPr>
        <w:t>ā</w:t>
      </w:r>
      <w:r w:rsidR="00984350">
        <w:rPr>
          <w:bCs/>
        </w:rPr>
        <w:t xml:space="preserve"> </w:t>
      </w:r>
      <w:r w:rsidR="006E15F3">
        <w:rPr>
          <w:bCs/>
        </w:rPr>
        <w:t xml:space="preserve">nav </w:t>
      </w:r>
      <w:r>
        <w:rPr>
          <w:bCs/>
        </w:rPr>
        <w:t>nekād</w:t>
      </w:r>
      <w:r w:rsidR="006E15F3">
        <w:rPr>
          <w:bCs/>
        </w:rPr>
        <w:t>a</w:t>
      </w:r>
      <w:r>
        <w:rPr>
          <w:bCs/>
        </w:rPr>
        <w:t xml:space="preserve"> vērtējum</w:t>
      </w:r>
      <w:r w:rsidR="006E15F3">
        <w:rPr>
          <w:bCs/>
        </w:rPr>
        <w:t>a</w:t>
      </w:r>
      <w:r>
        <w:rPr>
          <w:bCs/>
        </w:rPr>
        <w:t xml:space="preserve"> par pieteicēju argument</w:t>
      </w:r>
      <w:r w:rsidR="00D604E4">
        <w:rPr>
          <w:bCs/>
        </w:rPr>
        <w:t>iem</w:t>
      </w:r>
      <w:r>
        <w:rPr>
          <w:bCs/>
        </w:rPr>
        <w:t xml:space="preserve"> tieši minētās normas kontekstā.</w:t>
      </w:r>
    </w:p>
    <w:p w14:paraId="687723A5" w14:textId="0164CB19" w:rsidR="003B0A90" w:rsidRDefault="006271FC" w:rsidP="00C60D74">
      <w:pPr>
        <w:shd w:val="clear" w:color="auto" w:fill="FFFFFF"/>
        <w:spacing w:line="276" w:lineRule="auto"/>
        <w:ind w:firstLine="720"/>
        <w:jc w:val="both"/>
        <w:rPr>
          <w:bCs/>
        </w:rPr>
      </w:pPr>
      <w:r>
        <w:rPr>
          <w:bCs/>
        </w:rPr>
        <w:t xml:space="preserve">Attiecīgi arī apelācijas sūdzībā pieteicēji uzturēja šos argumentus, </w:t>
      </w:r>
      <w:r w:rsidR="003B0A90">
        <w:rPr>
          <w:bCs/>
        </w:rPr>
        <w:t>norādot virkni papildinošu argumentu, kāpēc ir saskatāms, ka tiek īstenots pilsētvides attīstības projekts, un norādot, ka pirmās instances tiesa nav pienācīgi novērtējusi pieteicēju iebildumus.</w:t>
      </w:r>
    </w:p>
    <w:p w14:paraId="3CBE8716" w14:textId="52FAF1EA" w:rsidR="00CE61C0" w:rsidRDefault="00055C12" w:rsidP="00C60D74">
      <w:pPr>
        <w:shd w:val="clear" w:color="auto" w:fill="FFFFFF"/>
        <w:spacing w:line="276" w:lineRule="auto"/>
        <w:ind w:firstLine="720"/>
        <w:jc w:val="both"/>
        <w:rPr>
          <w:bCs/>
        </w:rPr>
      </w:pPr>
      <w:r>
        <w:rPr>
          <w:bCs/>
        </w:rPr>
        <w:t xml:space="preserve">Tomēr apgabaltiesa pieteicēju iebildumus šādā kontekstā nav uzlūkojusi, bet spriedumā vienīgi </w:t>
      </w:r>
      <w:r w:rsidR="00571572">
        <w:rPr>
          <w:bCs/>
        </w:rPr>
        <w:t>atzinusi</w:t>
      </w:r>
      <w:r>
        <w:rPr>
          <w:bCs/>
        </w:rPr>
        <w:t>, ka pieteicēji apelācijas sūdzībā nav izteikuši tādus argumentus, kurus nebūtu vērtējusi pirmās instances tiesa.</w:t>
      </w:r>
    </w:p>
    <w:p w14:paraId="026F0931" w14:textId="77777777" w:rsidR="000729A4" w:rsidRDefault="000729A4" w:rsidP="00C60D74">
      <w:pPr>
        <w:shd w:val="clear" w:color="auto" w:fill="FFFFFF"/>
        <w:spacing w:line="276" w:lineRule="auto"/>
        <w:jc w:val="both"/>
        <w:rPr>
          <w:bCs/>
        </w:rPr>
      </w:pPr>
    </w:p>
    <w:p w14:paraId="5F29C740" w14:textId="1FCE85C9" w:rsidR="009C6A3C" w:rsidRDefault="000729A4" w:rsidP="00C60D74">
      <w:pPr>
        <w:shd w:val="clear" w:color="auto" w:fill="FFFFFF"/>
        <w:spacing w:line="276" w:lineRule="auto"/>
        <w:ind w:firstLine="720"/>
        <w:jc w:val="both"/>
        <w:rPr>
          <w:bCs/>
        </w:rPr>
      </w:pPr>
      <w:r>
        <w:rPr>
          <w:bCs/>
        </w:rPr>
        <w:t>[</w:t>
      </w:r>
      <w:r w:rsidR="00BF4242">
        <w:rPr>
          <w:bCs/>
        </w:rPr>
        <w:t>10</w:t>
      </w:r>
      <w:r>
        <w:rPr>
          <w:bCs/>
        </w:rPr>
        <w:t>]</w:t>
      </w:r>
      <w:r w:rsidR="000153FD">
        <w:rPr>
          <w:bCs/>
        </w:rPr>
        <w:t> </w:t>
      </w:r>
      <w:r>
        <w:rPr>
          <w:bCs/>
        </w:rPr>
        <w:t xml:space="preserve">Papildus spriedumā </w:t>
      </w:r>
      <w:r w:rsidR="009C6A3C">
        <w:rPr>
          <w:bCs/>
        </w:rPr>
        <w:t xml:space="preserve">noraidīts pieteicēju </w:t>
      </w:r>
      <w:r>
        <w:rPr>
          <w:bCs/>
        </w:rPr>
        <w:t>lūgums pieaicināt lietā Valsts vides dienestu kā iestādi, kura savas kompetences ietvaros sniegtu atzinumu</w:t>
      </w:r>
      <w:r w:rsidR="00FA509E">
        <w:rPr>
          <w:bCs/>
        </w:rPr>
        <w:t>.</w:t>
      </w:r>
      <w:r>
        <w:rPr>
          <w:bCs/>
        </w:rPr>
        <w:t xml:space="preserve"> Tiesa </w:t>
      </w:r>
      <w:r w:rsidR="00230D24">
        <w:rPr>
          <w:bCs/>
        </w:rPr>
        <w:t>secināja</w:t>
      </w:r>
      <w:r>
        <w:rPr>
          <w:bCs/>
        </w:rPr>
        <w:t xml:space="preserve">, ka lūgums esot pamatots ar </w:t>
      </w:r>
      <w:r w:rsidR="00540A1E">
        <w:rPr>
          <w:bCs/>
        </w:rPr>
        <w:t>to</w:t>
      </w:r>
      <w:r>
        <w:rPr>
          <w:bCs/>
        </w:rPr>
        <w:t xml:space="preserve">, ka </w:t>
      </w:r>
      <w:r w:rsidRPr="0042713C">
        <w:rPr>
          <w:bCs/>
        </w:rPr>
        <w:t>trešās personas būvniecības iecere ir vērtējama kopsakarā ar</w:t>
      </w:r>
      <w:r>
        <w:rPr>
          <w:bCs/>
        </w:rPr>
        <w:t xml:space="preserve"> </w:t>
      </w:r>
      <w:r w:rsidR="00197D38" w:rsidRPr="0042713C">
        <w:rPr>
          <w:bCs/>
          <w:i/>
          <w:iCs/>
        </w:rPr>
        <w:t>Riga</w:t>
      </w:r>
      <w:r w:rsidR="00DD6CA3">
        <w:rPr>
          <w:bCs/>
          <w:i/>
          <w:iCs/>
        </w:rPr>
        <w:t> </w:t>
      </w:r>
      <w:r w:rsidR="00197D38" w:rsidRPr="0042713C">
        <w:rPr>
          <w:bCs/>
          <w:i/>
          <w:iCs/>
        </w:rPr>
        <w:t>Port</w:t>
      </w:r>
      <w:r w:rsidR="00DD6CA3">
        <w:rPr>
          <w:bCs/>
          <w:i/>
          <w:iCs/>
        </w:rPr>
        <w:t> </w:t>
      </w:r>
      <w:r w:rsidR="00197D38" w:rsidRPr="0042713C">
        <w:rPr>
          <w:bCs/>
          <w:i/>
          <w:iCs/>
        </w:rPr>
        <w:t>City</w:t>
      </w:r>
      <w:r w:rsidR="00197D38" w:rsidRPr="0042713C">
        <w:rPr>
          <w:bCs/>
        </w:rPr>
        <w:t xml:space="preserve"> kopējo attīstības ieceri </w:t>
      </w:r>
      <w:r w:rsidR="00197D38">
        <w:rPr>
          <w:bCs/>
        </w:rPr>
        <w:t>un</w:t>
      </w:r>
      <w:r w:rsidR="00533B01">
        <w:rPr>
          <w:bCs/>
        </w:rPr>
        <w:t xml:space="preserve"> citām konkrētās teritorijas attīstīb</w:t>
      </w:r>
      <w:r w:rsidR="00A06D0A">
        <w:rPr>
          <w:bCs/>
        </w:rPr>
        <w:t>ai</w:t>
      </w:r>
      <w:r w:rsidR="00533B01">
        <w:rPr>
          <w:bCs/>
        </w:rPr>
        <w:t xml:space="preserve"> jau izsniegtajām būvatļaujām.</w:t>
      </w:r>
      <w:r w:rsidR="00197D38">
        <w:rPr>
          <w:bCs/>
        </w:rPr>
        <w:t xml:space="preserve"> </w:t>
      </w:r>
      <w:r w:rsidR="009C6A3C">
        <w:rPr>
          <w:bCs/>
        </w:rPr>
        <w:t>Arī</w:t>
      </w:r>
      <w:r w:rsidR="00A850DE">
        <w:rPr>
          <w:bCs/>
        </w:rPr>
        <w:t xml:space="preserve"> šajā sakarā tiesa norādīja, </w:t>
      </w:r>
      <w:r w:rsidR="009C6A3C">
        <w:rPr>
          <w:bCs/>
        </w:rPr>
        <w:t>ka pievienoj</w:t>
      </w:r>
      <w:r w:rsidR="00A850DE">
        <w:rPr>
          <w:bCs/>
        </w:rPr>
        <w:t>a</w:t>
      </w:r>
      <w:r w:rsidR="009C6A3C">
        <w:rPr>
          <w:bCs/>
        </w:rPr>
        <w:t xml:space="preserve">s pirmās instances tiesas </w:t>
      </w:r>
      <w:r w:rsidR="009C6A3C" w:rsidRPr="0042713C">
        <w:rPr>
          <w:bCs/>
        </w:rPr>
        <w:t>sprieduma motivācijai</w:t>
      </w:r>
      <w:r w:rsidR="009C6A3C">
        <w:rPr>
          <w:bCs/>
        </w:rPr>
        <w:t xml:space="preserve"> </w:t>
      </w:r>
      <w:r w:rsidR="009C6A3C" w:rsidRPr="0042713C">
        <w:rPr>
          <w:bCs/>
        </w:rPr>
        <w:t>par to, kādā apjomā būvniecības iecere ir pārbaudāma, kā arī tam, ka šādai</w:t>
      </w:r>
      <w:r w:rsidR="009C6A3C">
        <w:rPr>
          <w:bCs/>
        </w:rPr>
        <w:t xml:space="preserve"> </w:t>
      </w:r>
      <w:r w:rsidR="009C6A3C" w:rsidRPr="0042713C">
        <w:rPr>
          <w:bCs/>
        </w:rPr>
        <w:t>iecerei nebija jāveic sākotnējais izvērtējums.</w:t>
      </w:r>
    </w:p>
    <w:p w14:paraId="67B1BEE2" w14:textId="2B1F252A" w:rsidR="00477103" w:rsidRDefault="009C6A3C" w:rsidP="00C60D74">
      <w:pPr>
        <w:shd w:val="clear" w:color="auto" w:fill="FFFFFF"/>
        <w:spacing w:line="276" w:lineRule="auto"/>
        <w:ind w:firstLine="720"/>
        <w:jc w:val="both"/>
        <w:rPr>
          <w:bCs/>
        </w:rPr>
      </w:pPr>
      <w:r>
        <w:rPr>
          <w:bCs/>
        </w:rPr>
        <w:t>Pirmās instances tiesa spriedumā</w:t>
      </w:r>
      <w:r w:rsidR="0048178A">
        <w:rPr>
          <w:bCs/>
        </w:rPr>
        <w:t xml:space="preserve"> </w:t>
      </w:r>
      <w:r w:rsidR="00C35622">
        <w:rPr>
          <w:bCs/>
        </w:rPr>
        <w:t xml:space="preserve">atzina, ka </w:t>
      </w:r>
      <w:r w:rsidR="0048178A">
        <w:rPr>
          <w:bCs/>
        </w:rPr>
        <w:t>šīs tiesvedības ietvaros vērtējams tieši strīdus būvatļauju tiesiskums</w:t>
      </w:r>
      <w:r w:rsidR="000E4953">
        <w:rPr>
          <w:bCs/>
        </w:rPr>
        <w:t xml:space="preserve">. </w:t>
      </w:r>
      <w:r w:rsidR="0048178A">
        <w:rPr>
          <w:bCs/>
        </w:rPr>
        <w:t>T</w:t>
      </w:r>
      <w:r w:rsidR="00C35622">
        <w:rPr>
          <w:bCs/>
        </w:rPr>
        <w:t xml:space="preserve">aču </w:t>
      </w:r>
      <w:r w:rsidR="0048178A">
        <w:rPr>
          <w:bCs/>
        </w:rPr>
        <w:t xml:space="preserve">šie </w:t>
      </w:r>
      <w:r w:rsidR="00E609FB">
        <w:rPr>
          <w:bCs/>
        </w:rPr>
        <w:t>tiesas apsvērumi</w:t>
      </w:r>
      <w:r w:rsidR="0048178A">
        <w:rPr>
          <w:bCs/>
        </w:rPr>
        <w:t xml:space="preserve"> primāri saistīti ar jautājumu par Andrejostas detālplānojuma atbilstību teritorijas plānošanas principu prasībām</w:t>
      </w:r>
      <w:r w:rsidR="00861B54">
        <w:rPr>
          <w:bCs/>
        </w:rPr>
        <w:t xml:space="preserve"> un</w:t>
      </w:r>
      <w:r w:rsidR="000E4953">
        <w:rPr>
          <w:bCs/>
        </w:rPr>
        <w:t xml:space="preserve"> atļautās </w:t>
      </w:r>
      <w:r w:rsidR="000E4953">
        <w:rPr>
          <w:bCs/>
        </w:rPr>
        <w:lastRenderedPageBreak/>
        <w:t xml:space="preserve">apbūves kontekstā argumentēto būvniecības ietekmi uz vidi. </w:t>
      </w:r>
      <w:r w:rsidR="0048178A" w:rsidRPr="00490794">
        <w:rPr>
          <w:bCs/>
        </w:rPr>
        <w:t xml:space="preserve">Tomēr būvatļaujas </w:t>
      </w:r>
      <w:r w:rsidR="00CE7349" w:rsidRPr="00490794">
        <w:rPr>
          <w:bCs/>
        </w:rPr>
        <w:t>atbilstība detālplānojumam</w:t>
      </w:r>
      <w:r w:rsidR="00F77A83" w:rsidRPr="00490794">
        <w:rPr>
          <w:bCs/>
        </w:rPr>
        <w:t xml:space="preserve"> vai </w:t>
      </w:r>
      <w:r w:rsidR="005E4CB1" w:rsidRPr="00490794">
        <w:rPr>
          <w:bCs/>
        </w:rPr>
        <w:t xml:space="preserve">būvniecības procesu reglamentējošo </w:t>
      </w:r>
      <w:r w:rsidR="0048178A" w:rsidRPr="00490794">
        <w:rPr>
          <w:bCs/>
        </w:rPr>
        <w:t>normu prasībām</w:t>
      </w:r>
      <w:r w:rsidR="00CE7349" w:rsidRPr="00490794">
        <w:rPr>
          <w:bCs/>
        </w:rPr>
        <w:t xml:space="preserve"> un nepieciešamība </w:t>
      </w:r>
      <w:r w:rsidR="005E4CB1" w:rsidRPr="00490794">
        <w:rPr>
          <w:bCs/>
        </w:rPr>
        <w:t>būvniecības iecerei</w:t>
      </w:r>
      <w:r w:rsidR="00CE7349" w:rsidRPr="00490794">
        <w:rPr>
          <w:bCs/>
        </w:rPr>
        <w:t xml:space="preserve"> vai attīstības </w:t>
      </w:r>
      <w:r w:rsidR="005E4CB1" w:rsidRPr="00490794">
        <w:rPr>
          <w:bCs/>
        </w:rPr>
        <w:t>projektam</w:t>
      </w:r>
      <w:r w:rsidR="00CE7349" w:rsidRPr="00490794">
        <w:rPr>
          <w:bCs/>
        </w:rPr>
        <w:t xml:space="preserve"> īstenot sākotnējā izvērtējuma procedūru ir patstāvīgi pārbaudāmi jautājumi, </w:t>
      </w:r>
      <w:r w:rsidR="0068027E">
        <w:rPr>
          <w:bCs/>
        </w:rPr>
        <w:t>kuru</w:t>
      </w:r>
      <w:r w:rsidR="00BD0CEE" w:rsidRPr="00490794">
        <w:rPr>
          <w:bCs/>
        </w:rPr>
        <w:t xml:space="preserve"> </w:t>
      </w:r>
      <w:r w:rsidR="00CE7349" w:rsidRPr="00490794">
        <w:rPr>
          <w:bCs/>
        </w:rPr>
        <w:t>izvērtējumā jāņem vērā</w:t>
      </w:r>
      <w:r w:rsidR="006000AF" w:rsidRPr="00490794">
        <w:rPr>
          <w:bCs/>
        </w:rPr>
        <w:t xml:space="preserve"> tieši</w:t>
      </w:r>
      <w:r w:rsidR="008917CF" w:rsidRPr="00490794">
        <w:rPr>
          <w:bCs/>
        </w:rPr>
        <w:t xml:space="preserve"> attiecīgo</w:t>
      </w:r>
      <w:r w:rsidR="000E4953" w:rsidRPr="00490794">
        <w:rPr>
          <w:bCs/>
        </w:rPr>
        <w:t xml:space="preserve"> procesu reglamentējošās tiesību normas, to mērķis un atbilstošie principi.</w:t>
      </w:r>
      <w:r w:rsidR="008917CF">
        <w:rPr>
          <w:bCs/>
        </w:rPr>
        <w:t xml:space="preserve"> </w:t>
      </w:r>
    </w:p>
    <w:p w14:paraId="17F21557" w14:textId="29F11403" w:rsidR="00D604E4" w:rsidRDefault="00D604E4" w:rsidP="00C60D74">
      <w:pPr>
        <w:shd w:val="clear" w:color="auto" w:fill="FFFFFF"/>
        <w:spacing w:line="276" w:lineRule="auto"/>
        <w:ind w:firstLine="720"/>
        <w:jc w:val="both"/>
        <w:rPr>
          <w:bCs/>
        </w:rPr>
      </w:pPr>
      <w:r>
        <w:rPr>
          <w:bCs/>
        </w:rPr>
        <w:t xml:space="preserve">Šajā </w:t>
      </w:r>
      <w:r w:rsidR="00C35622">
        <w:rPr>
          <w:bCs/>
        </w:rPr>
        <w:t xml:space="preserve">sakarā </w:t>
      </w:r>
      <w:r>
        <w:rPr>
          <w:bCs/>
        </w:rPr>
        <w:t>jāņem vērā, ka pieteicēji apelācijas sūdzībā</w:t>
      </w:r>
      <w:r w:rsidR="00C35622">
        <w:rPr>
          <w:bCs/>
        </w:rPr>
        <w:t xml:space="preserve"> kā pamatu saviem iebildumiem </w:t>
      </w:r>
      <w:r w:rsidR="000E4953">
        <w:rPr>
          <w:bCs/>
        </w:rPr>
        <w:t xml:space="preserve">norādīja </w:t>
      </w:r>
      <w:r w:rsidR="00C35622">
        <w:rPr>
          <w:bCs/>
        </w:rPr>
        <w:t xml:space="preserve">arī </w:t>
      </w:r>
      <w:r>
        <w:rPr>
          <w:bCs/>
        </w:rPr>
        <w:t xml:space="preserve">likuma </w:t>
      </w:r>
      <w:r w:rsidR="006C5677">
        <w:rPr>
          <w:bCs/>
        </w:rPr>
        <w:t>„</w:t>
      </w:r>
      <w:r>
        <w:rPr>
          <w:bCs/>
        </w:rPr>
        <w:t>Par ietekmes uz vidi novērtējumu” 3.</w:t>
      </w:r>
      <w:r w:rsidRPr="00D604E4">
        <w:rPr>
          <w:bCs/>
          <w:vertAlign w:val="superscript"/>
        </w:rPr>
        <w:t>2</w:t>
      </w:r>
      <w:r>
        <w:rPr>
          <w:bCs/>
        </w:rPr>
        <w:t>panta pirmās daļas 4.punktu, atbilstoši kuram sākotnējais izvērtējums nepieciešams vairākām līdzīgām paredzētajām darbībām, kuras ietekmē vienu un to pašu teritoriju un kuru izmaiņu rezultātā summāri tiks sasniegtas šā likuma 1. vai 2.pielikumā minētās robežvērtības</w:t>
      </w:r>
      <w:r w:rsidR="00477103">
        <w:rPr>
          <w:bCs/>
        </w:rPr>
        <w:t>.</w:t>
      </w:r>
    </w:p>
    <w:p w14:paraId="54A99858" w14:textId="35A7CBC6" w:rsidR="00CE7349" w:rsidRDefault="00CE7349" w:rsidP="00C60D74">
      <w:pPr>
        <w:shd w:val="clear" w:color="auto" w:fill="FFFFFF"/>
        <w:spacing w:line="276" w:lineRule="auto"/>
        <w:ind w:firstLine="720"/>
        <w:jc w:val="both"/>
        <w:rPr>
          <w:bCs/>
        </w:rPr>
      </w:pPr>
      <w:r>
        <w:rPr>
          <w:bCs/>
        </w:rPr>
        <w:t>Līdz ar to</w:t>
      </w:r>
      <w:r w:rsidR="002C44A7">
        <w:rPr>
          <w:bCs/>
        </w:rPr>
        <w:t xml:space="preserve"> arī</w:t>
      </w:r>
      <w:r>
        <w:rPr>
          <w:bCs/>
        </w:rPr>
        <w:t xml:space="preserve"> šādā aspektā pirmās instances tiesas spriedum</w:t>
      </w:r>
      <w:r w:rsidR="000153FD">
        <w:rPr>
          <w:bCs/>
        </w:rPr>
        <w:t>ā</w:t>
      </w:r>
      <w:r>
        <w:rPr>
          <w:bCs/>
        </w:rPr>
        <w:t xml:space="preserve"> </w:t>
      </w:r>
      <w:r w:rsidR="000153FD">
        <w:rPr>
          <w:bCs/>
        </w:rPr>
        <w:t>nav</w:t>
      </w:r>
      <w:r>
        <w:rPr>
          <w:bCs/>
        </w:rPr>
        <w:t xml:space="preserve"> vērtējum</w:t>
      </w:r>
      <w:r w:rsidR="000153FD">
        <w:rPr>
          <w:bCs/>
        </w:rPr>
        <w:t>a</w:t>
      </w:r>
      <w:r>
        <w:rPr>
          <w:bCs/>
        </w:rPr>
        <w:t xml:space="preserve"> par pieteicēju apelācijas sūdzībā </w:t>
      </w:r>
      <w:r w:rsidR="006000AF">
        <w:rPr>
          <w:bCs/>
        </w:rPr>
        <w:t>argumentēto.</w:t>
      </w:r>
    </w:p>
    <w:p w14:paraId="5D00BF57" w14:textId="77777777" w:rsidR="00F147A8" w:rsidRDefault="00F147A8" w:rsidP="00C60D74">
      <w:pPr>
        <w:shd w:val="clear" w:color="auto" w:fill="FFFFFF"/>
        <w:spacing w:line="276" w:lineRule="auto"/>
        <w:ind w:firstLine="720"/>
        <w:jc w:val="both"/>
        <w:rPr>
          <w:bCs/>
        </w:rPr>
      </w:pPr>
    </w:p>
    <w:p w14:paraId="2F1B9703" w14:textId="3EDE1D5B" w:rsidR="00020B29" w:rsidRDefault="00F147A8" w:rsidP="00C60D74">
      <w:pPr>
        <w:shd w:val="clear" w:color="auto" w:fill="FFFFFF"/>
        <w:spacing w:line="276" w:lineRule="auto"/>
        <w:ind w:firstLine="720"/>
        <w:jc w:val="both"/>
        <w:rPr>
          <w:bCs/>
        </w:rPr>
      </w:pPr>
      <w:r>
        <w:rPr>
          <w:bCs/>
        </w:rPr>
        <w:t>[11]</w:t>
      </w:r>
      <w:r w:rsidR="000153FD">
        <w:rPr>
          <w:bCs/>
        </w:rPr>
        <w:t> Senāts atzīmē, ka</w:t>
      </w:r>
      <w:r w:rsidR="00926BD1">
        <w:rPr>
          <w:bCs/>
        </w:rPr>
        <w:t xml:space="preserve"> pašu pieteicēju </w:t>
      </w:r>
      <w:r w:rsidR="000E4953">
        <w:rPr>
          <w:bCs/>
        </w:rPr>
        <w:t xml:space="preserve">apelācijas sūdzības </w:t>
      </w:r>
      <w:r w:rsidR="00926BD1">
        <w:rPr>
          <w:bCs/>
        </w:rPr>
        <w:t>iebildumi šajā ziņā ir bijuši nekonsekventi. Pieteicēji</w:t>
      </w:r>
      <w:r w:rsidR="00BE0B5D">
        <w:rPr>
          <w:bCs/>
        </w:rPr>
        <w:t xml:space="preserve"> </w:t>
      </w:r>
      <w:r w:rsidR="00DA4B3F">
        <w:rPr>
          <w:bCs/>
        </w:rPr>
        <w:t xml:space="preserve">likuma </w:t>
      </w:r>
      <w:r w:rsidR="00301E2A">
        <w:rPr>
          <w:bCs/>
        </w:rPr>
        <w:t>„</w:t>
      </w:r>
      <w:r w:rsidR="00DA4B3F">
        <w:rPr>
          <w:bCs/>
        </w:rPr>
        <w:t xml:space="preserve">Par ietekmes uz vidi novērtējumu” 2.pielikuma 10.punkta 2.apakšpunktā ietverto jēdzienu </w:t>
      </w:r>
      <w:r w:rsidR="00301E2A">
        <w:rPr>
          <w:bCs/>
        </w:rPr>
        <w:t>„</w:t>
      </w:r>
      <w:r w:rsidR="00DA4B3F">
        <w:rPr>
          <w:bCs/>
        </w:rPr>
        <w:t>pilsētvides attīstības projekts”</w:t>
      </w:r>
      <w:r w:rsidR="00BA22C4">
        <w:rPr>
          <w:bCs/>
        </w:rPr>
        <w:t xml:space="preserve"> </w:t>
      </w:r>
      <w:r w:rsidR="00DA4B3F">
        <w:rPr>
          <w:bCs/>
        </w:rPr>
        <w:t xml:space="preserve">ir saistījuši gan ar visu plānoto </w:t>
      </w:r>
      <w:r w:rsidR="00DA4B3F" w:rsidRPr="004F3099">
        <w:rPr>
          <w:bCs/>
          <w:i/>
          <w:iCs/>
        </w:rPr>
        <w:t>Riga</w:t>
      </w:r>
      <w:r w:rsidR="00E514FD">
        <w:rPr>
          <w:bCs/>
          <w:i/>
          <w:iCs/>
        </w:rPr>
        <w:t> </w:t>
      </w:r>
      <w:r w:rsidR="00DA4B3F" w:rsidRPr="004F3099">
        <w:rPr>
          <w:bCs/>
          <w:i/>
          <w:iCs/>
        </w:rPr>
        <w:t>Port</w:t>
      </w:r>
      <w:r w:rsidR="00E514FD">
        <w:rPr>
          <w:bCs/>
          <w:i/>
          <w:iCs/>
        </w:rPr>
        <w:t> </w:t>
      </w:r>
      <w:r w:rsidR="00DA4B3F" w:rsidRPr="004F3099">
        <w:rPr>
          <w:bCs/>
          <w:i/>
          <w:iCs/>
        </w:rPr>
        <w:t>City</w:t>
      </w:r>
      <w:r w:rsidR="00DA4B3F">
        <w:rPr>
          <w:bCs/>
          <w:i/>
          <w:iCs/>
        </w:rPr>
        <w:t xml:space="preserve"> </w:t>
      </w:r>
      <w:r w:rsidR="00DA4B3F" w:rsidRPr="008E3319">
        <w:rPr>
          <w:bCs/>
        </w:rPr>
        <w:t>attīstību</w:t>
      </w:r>
      <w:r w:rsidR="00DA4B3F">
        <w:rPr>
          <w:bCs/>
        </w:rPr>
        <w:t xml:space="preserve">, gan </w:t>
      </w:r>
      <w:r w:rsidR="009A22AE">
        <w:rPr>
          <w:bCs/>
        </w:rPr>
        <w:t xml:space="preserve">ar </w:t>
      </w:r>
      <w:r w:rsidR="00020B29">
        <w:rPr>
          <w:bCs/>
        </w:rPr>
        <w:t xml:space="preserve">visām konkrētās teritorijas attīstībai izdotajām būvatļaujām, gan tieši </w:t>
      </w:r>
      <w:r w:rsidR="009A22AE">
        <w:rPr>
          <w:bCs/>
        </w:rPr>
        <w:t xml:space="preserve">ar </w:t>
      </w:r>
      <w:r w:rsidR="000E4953">
        <w:rPr>
          <w:bCs/>
        </w:rPr>
        <w:t>strīdus</w:t>
      </w:r>
      <w:r w:rsidR="00020B29">
        <w:rPr>
          <w:bCs/>
        </w:rPr>
        <w:t xml:space="preserve"> būvatļaujām. Tomēr šādā gadījumā tas ir tieši tiesas, kura izskata lietu pēc būtības, uzdevums noskaidrot un precizēt pieteicēju iebildumu būtību un atbilstoši minētajam izvērtēt iebildumu</w:t>
      </w:r>
      <w:r w:rsidR="007C0D85">
        <w:rPr>
          <w:bCs/>
        </w:rPr>
        <w:t xml:space="preserve"> </w:t>
      </w:r>
      <w:r w:rsidR="00020B29">
        <w:rPr>
          <w:bCs/>
        </w:rPr>
        <w:t>pamatotību. Tiesa to nav darījusi.</w:t>
      </w:r>
    </w:p>
    <w:p w14:paraId="5C2DB1D2" w14:textId="77777777" w:rsidR="00DA4B3F" w:rsidRDefault="00DA4B3F" w:rsidP="00C60D74">
      <w:pPr>
        <w:shd w:val="clear" w:color="auto" w:fill="FFFFFF"/>
        <w:spacing w:line="276" w:lineRule="auto"/>
        <w:ind w:firstLine="720"/>
        <w:jc w:val="both"/>
        <w:rPr>
          <w:bCs/>
        </w:rPr>
      </w:pPr>
    </w:p>
    <w:p w14:paraId="6E36E41E" w14:textId="75928BB1" w:rsidR="00492B0D" w:rsidRDefault="00DA4B3F" w:rsidP="00C60D74">
      <w:pPr>
        <w:shd w:val="clear" w:color="auto" w:fill="FFFFFF"/>
        <w:spacing w:line="276" w:lineRule="auto"/>
        <w:ind w:firstLine="720"/>
        <w:jc w:val="both"/>
        <w:rPr>
          <w:bCs/>
        </w:rPr>
      </w:pPr>
      <w:r>
        <w:rPr>
          <w:bCs/>
        </w:rPr>
        <w:t>[1</w:t>
      </w:r>
      <w:r w:rsidR="00C40EEF">
        <w:rPr>
          <w:bCs/>
        </w:rPr>
        <w:t>2</w:t>
      </w:r>
      <w:r>
        <w:rPr>
          <w:bCs/>
        </w:rPr>
        <w:t>]</w:t>
      </w:r>
      <w:r w:rsidR="000153FD">
        <w:rPr>
          <w:bCs/>
        </w:rPr>
        <w:t> </w:t>
      </w:r>
      <w:r w:rsidR="006000AF">
        <w:rPr>
          <w:bCs/>
        </w:rPr>
        <w:t xml:space="preserve">Vienlaikus jautājums par sākotnējā izvērtējuma nepieciešamību </w:t>
      </w:r>
      <w:r w:rsidR="00820DB2">
        <w:rPr>
          <w:bCs/>
        </w:rPr>
        <w:t>kopumā</w:t>
      </w:r>
      <w:r w:rsidR="006000AF">
        <w:rPr>
          <w:bCs/>
        </w:rPr>
        <w:t xml:space="preserve"> ir tāds, k</w:t>
      </w:r>
      <w:r w:rsidR="00114E22">
        <w:rPr>
          <w:bCs/>
        </w:rPr>
        <w:t xml:space="preserve">ura </w:t>
      </w:r>
      <w:r w:rsidR="00421C92">
        <w:rPr>
          <w:bCs/>
        </w:rPr>
        <w:t xml:space="preserve">pārbaude </w:t>
      </w:r>
      <w:r w:rsidR="00114E22">
        <w:rPr>
          <w:bCs/>
        </w:rPr>
        <w:t>pēc būtības</w:t>
      </w:r>
      <w:r w:rsidR="006000AF">
        <w:rPr>
          <w:bCs/>
        </w:rPr>
        <w:t xml:space="preserve"> ietilpst būvatļaujas kontroles tiesā tvērumā. </w:t>
      </w:r>
      <w:r w:rsidR="00820DB2">
        <w:rPr>
          <w:bCs/>
        </w:rPr>
        <w:t>To būtībā atzinusi arī pati tiesa, izvērtējot tos pieteicēju iebildumus, kas saistāmi ar attiecīgās novērtējuma procedūras nepieciešamību sakarā ar jahtu piestātnes būvniecības ieceri.</w:t>
      </w:r>
    </w:p>
    <w:p w14:paraId="20999180" w14:textId="5B643E9A" w:rsidR="007B77ED" w:rsidRDefault="00820DB2" w:rsidP="00C60D74">
      <w:pPr>
        <w:shd w:val="clear" w:color="auto" w:fill="FFFFFF"/>
        <w:spacing w:line="276" w:lineRule="auto"/>
        <w:ind w:firstLine="720"/>
        <w:jc w:val="both"/>
        <w:rPr>
          <w:bCs/>
        </w:rPr>
      </w:pPr>
      <w:r>
        <w:rPr>
          <w:bCs/>
        </w:rPr>
        <w:t>Departamenta paskaidrojumos par kasācijas sūdzību norādītais, ka</w:t>
      </w:r>
      <w:r w:rsidR="00421C92">
        <w:rPr>
          <w:bCs/>
        </w:rPr>
        <w:t xml:space="preserve"> sākotnējais</w:t>
      </w:r>
      <w:r>
        <w:rPr>
          <w:bCs/>
        </w:rPr>
        <w:t xml:space="preserve"> izvērtējum</w:t>
      </w:r>
      <w:r w:rsidR="00421C92">
        <w:rPr>
          <w:bCs/>
        </w:rPr>
        <w:t>s</w:t>
      </w:r>
      <w:r>
        <w:rPr>
          <w:bCs/>
        </w:rPr>
        <w:t xml:space="preserve"> ir Valsts vides dienesta kompetencē esošs jautājums, neietekmē </w:t>
      </w:r>
      <w:r w:rsidR="00747E47" w:rsidRPr="00421C92">
        <w:rPr>
          <w:bCs/>
        </w:rPr>
        <w:t>minēto</w:t>
      </w:r>
      <w:r w:rsidR="00747E47">
        <w:rPr>
          <w:bCs/>
        </w:rPr>
        <w:t xml:space="preserve">. </w:t>
      </w:r>
      <w:r>
        <w:rPr>
          <w:bCs/>
        </w:rPr>
        <w:t>Salīdzinājumam jānorāda, ka Senāta praksē jau iepriekš atzīts, ka sākotnējā izvērtējuma rezultātā pieņemts lēmums nepiemērot ietekmes uz vidi novērtējumu ir starplēmums un tā tiesiskums pārbaudāms attiecīgā administratīvā akta – paredzētās darbības akcepta vai būvatļaujas – kontroles tiesā ietvaros (</w:t>
      </w:r>
      <w:r w:rsidR="00DF0F92" w:rsidRPr="00540A1E">
        <w:rPr>
          <w:bCs/>
          <w:i/>
          <w:iCs/>
        </w:rPr>
        <w:t xml:space="preserve">Senāta 2012.gada 30.oktobra sprieduma lietā Nr. SKA-139/2012, </w:t>
      </w:r>
      <w:hyperlink r:id="rId14" w:history="1">
        <w:r w:rsidR="00DF0F92" w:rsidRPr="00540A1E">
          <w:rPr>
            <w:rStyle w:val="Hyperlink"/>
            <w:bCs/>
            <w:i/>
            <w:iCs/>
          </w:rPr>
          <w:t>A42991709</w:t>
        </w:r>
      </w:hyperlink>
      <w:r w:rsidR="00DF0F92" w:rsidRPr="000153FD">
        <w:rPr>
          <w:bCs/>
          <w:i/>
          <w:iCs/>
        </w:rPr>
        <w:t>, 8.</w:t>
      </w:r>
      <w:r w:rsidR="000153FD" w:rsidRPr="000153FD">
        <w:rPr>
          <w:bCs/>
          <w:i/>
          <w:iCs/>
        </w:rPr>
        <w:t>–</w:t>
      </w:r>
      <w:r w:rsidR="00DF0F92" w:rsidRPr="000153FD">
        <w:rPr>
          <w:bCs/>
          <w:i/>
          <w:iCs/>
        </w:rPr>
        <w:t>12.punkts,</w:t>
      </w:r>
      <w:r w:rsidR="00DF0F92" w:rsidRPr="00540A1E">
        <w:rPr>
          <w:bCs/>
          <w:i/>
          <w:iCs/>
        </w:rPr>
        <w:t xml:space="preserve"> 2018.gada 4.janvāra lēmuma lietā Nr.</w:t>
      </w:r>
      <w:r w:rsidR="00455F4D">
        <w:rPr>
          <w:bCs/>
          <w:i/>
          <w:iCs/>
        </w:rPr>
        <w:t> </w:t>
      </w:r>
      <w:r w:rsidRPr="00540A1E">
        <w:rPr>
          <w:bCs/>
          <w:i/>
          <w:iCs/>
        </w:rPr>
        <w:t>SKA-794</w:t>
      </w:r>
      <w:r w:rsidR="00DF0F92" w:rsidRPr="00540A1E">
        <w:rPr>
          <w:bCs/>
          <w:i/>
          <w:iCs/>
        </w:rPr>
        <w:t xml:space="preserve">/2018, </w:t>
      </w:r>
      <w:hyperlink r:id="rId15" w:history="1">
        <w:r w:rsidR="00DF0F92" w:rsidRPr="00540A1E">
          <w:rPr>
            <w:rStyle w:val="Hyperlink"/>
            <w:bCs/>
            <w:i/>
            <w:iCs/>
          </w:rPr>
          <w:t>ECLI:LV:AT:2018:0104.A420358914.5.L</w:t>
        </w:r>
      </w:hyperlink>
      <w:r w:rsidR="00DF0F92" w:rsidRPr="00540A1E">
        <w:rPr>
          <w:bCs/>
          <w:i/>
          <w:iCs/>
        </w:rPr>
        <w:t>, 6.punkts</w:t>
      </w:r>
      <w:r>
        <w:rPr>
          <w:bCs/>
        </w:rPr>
        <w:t>).</w:t>
      </w:r>
    </w:p>
    <w:p w14:paraId="272C4C5D" w14:textId="2E4229F5" w:rsidR="001D5A30" w:rsidRDefault="00492B0D" w:rsidP="00C60D74">
      <w:pPr>
        <w:shd w:val="clear" w:color="auto" w:fill="FFFFFF"/>
        <w:spacing w:line="276" w:lineRule="auto"/>
        <w:ind w:firstLine="720"/>
        <w:jc w:val="both"/>
      </w:pPr>
      <w:r>
        <w:rPr>
          <w:bCs/>
        </w:rPr>
        <w:t>N</w:t>
      </w:r>
      <w:r w:rsidR="007B77ED">
        <w:rPr>
          <w:bCs/>
        </w:rPr>
        <w:t>av</w:t>
      </w:r>
      <w:r w:rsidR="007C511F">
        <w:rPr>
          <w:bCs/>
        </w:rPr>
        <w:t xml:space="preserve"> arī</w:t>
      </w:r>
      <w:r w:rsidR="007B77ED">
        <w:rPr>
          <w:bCs/>
        </w:rPr>
        <w:t xml:space="preserve"> uzskatāms, ka vienīgais veids, kādā</w:t>
      </w:r>
      <w:r w:rsidR="000153FD">
        <w:rPr>
          <w:bCs/>
        </w:rPr>
        <w:t xml:space="preserve"> ir</w:t>
      </w:r>
      <w:r w:rsidR="007B77ED">
        <w:rPr>
          <w:bCs/>
        </w:rPr>
        <w:t xml:space="preserve"> iespējams iebilst pret sākotnējā novērtējuma procedūras trūkumu vai nepienācīgu īstenošanu, būtu apstrīdot un pārsūdzot attiecīgos </w:t>
      </w:r>
      <w:r w:rsidR="00820DB2">
        <w:rPr>
          <w:bCs/>
        </w:rPr>
        <w:t>Valsts vides dienesta izdot</w:t>
      </w:r>
      <w:r w:rsidR="007C511F">
        <w:rPr>
          <w:bCs/>
        </w:rPr>
        <w:t>os</w:t>
      </w:r>
      <w:r w:rsidR="00820DB2">
        <w:rPr>
          <w:bCs/>
        </w:rPr>
        <w:t xml:space="preserve"> tehnisk</w:t>
      </w:r>
      <w:r w:rsidR="007C511F">
        <w:rPr>
          <w:bCs/>
        </w:rPr>
        <w:t>os</w:t>
      </w:r>
      <w:r w:rsidR="00820DB2">
        <w:rPr>
          <w:bCs/>
        </w:rPr>
        <w:t xml:space="preserve"> noteikum</w:t>
      </w:r>
      <w:r w:rsidR="007C511F">
        <w:rPr>
          <w:bCs/>
        </w:rPr>
        <w:t>us</w:t>
      </w:r>
      <w:r w:rsidR="00820DB2">
        <w:rPr>
          <w:bCs/>
        </w:rPr>
        <w:t xml:space="preserve">. </w:t>
      </w:r>
      <w:r w:rsidR="007B77ED" w:rsidRPr="0068027E">
        <w:rPr>
          <w:bCs/>
        </w:rPr>
        <w:t>Atbilstoši likuma</w:t>
      </w:r>
      <w:r w:rsidR="00DD6CA3" w:rsidRPr="0068027E">
        <w:rPr>
          <w:bCs/>
        </w:rPr>
        <w:t xml:space="preserve"> </w:t>
      </w:r>
      <w:r w:rsidR="00D95E0D" w:rsidRPr="0068027E">
        <w:rPr>
          <w:bCs/>
        </w:rPr>
        <w:t>„</w:t>
      </w:r>
      <w:r w:rsidR="007B77ED" w:rsidRPr="0068027E">
        <w:rPr>
          <w:bCs/>
        </w:rPr>
        <w:t xml:space="preserve">Par ietekmes uz vidi novērtējumu” 13.panta pirmajai un otrajai daļai šādu noteikumu izsniegšana </w:t>
      </w:r>
      <w:r w:rsidR="007C511F" w:rsidRPr="0068027E">
        <w:rPr>
          <w:bCs/>
        </w:rPr>
        <w:t>var</w:t>
      </w:r>
      <w:r w:rsidR="00540A1E" w:rsidRPr="0068027E">
        <w:rPr>
          <w:bCs/>
        </w:rPr>
        <w:t xml:space="preserve"> būt</w:t>
      </w:r>
      <w:r w:rsidR="007C511F" w:rsidRPr="0068027E">
        <w:rPr>
          <w:bCs/>
        </w:rPr>
        <w:t xml:space="preserve"> nākamais solis pēc lēmuma </w:t>
      </w:r>
      <w:r w:rsidR="0068027E">
        <w:rPr>
          <w:bCs/>
        </w:rPr>
        <w:t xml:space="preserve">– </w:t>
      </w:r>
      <w:r w:rsidR="007B77ED" w:rsidRPr="0068027E">
        <w:rPr>
          <w:bCs/>
        </w:rPr>
        <w:t>nepiemērot paredzētās darbības ietekmes uz vidi novērtējuma procedūru</w:t>
      </w:r>
      <w:r w:rsidR="007C511F" w:rsidRPr="0068027E">
        <w:rPr>
          <w:bCs/>
        </w:rPr>
        <w:t xml:space="preserve"> </w:t>
      </w:r>
      <w:r w:rsidR="0068027E">
        <w:rPr>
          <w:bCs/>
        </w:rPr>
        <w:t xml:space="preserve">– </w:t>
      </w:r>
      <w:r w:rsidR="007C511F" w:rsidRPr="0068027E">
        <w:rPr>
          <w:bCs/>
        </w:rPr>
        <w:t>pieņemšanas</w:t>
      </w:r>
      <w:r w:rsidR="007B77ED" w:rsidRPr="0068027E">
        <w:rPr>
          <w:bCs/>
        </w:rPr>
        <w:t>.</w:t>
      </w:r>
      <w:r w:rsidR="007B77ED">
        <w:rPr>
          <w:bCs/>
        </w:rPr>
        <w:t xml:space="preserve"> Šie noteikumi atbilstoši </w:t>
      </w:r>
      <w:r w:rsidR="007B77ED" w:rsidRPr="009C7BAA">
        <w:t>Ministru kabineta 2015.gada 27.janvāra noteikum</w:t>
      </w:r>
      <w:r w:rsidR="007B77ED">
        <w:t>u</w:t>
      </w:r>
      <w:r w:rsidR="007B77ED" w:rsidRPr="009C7BAA">
        <w:t xml:space="preserve"> Nr.</w:t>
      </w:r>
      <w:r w:rsidR="000153FD">
        <w:t> </w:t>
      </w:r>
      <w:r w:rsidR="007B77ED" w:rsidRPr="009C7BAA">
        <w:t xml:space="preserve">30 </w:t>
      </w:r>
      <w:r w:rsidR="00D95E0D">
        <w:t>„</w:t>
      </w:r>
      <w:r w:rsidR="007B77ED" w:rsidRPr="009C7BAA">
        <w:t>Kārtība, kādā Valsts vides dienests izdod tehniskos noteikumus paredzētajai darbībai”</w:t>
      </w:r>
      <w:r w:rsidR="007B77ED">
        <w:t xml:space="preserve"> 28. un 29.punktam </w:t>
      </w:r>
      <w:r w:rsidR="00540A1E">
        <w:rPr>
          <w:bCs/>
        </w:rPr>
        <w:t xml:space="preserve">arī ir </w:t>
      </w:r>
      <w:r w:rsidR="007B77ED">
        <w:t xml:space="preserve">apstrīdami un pārsūdzami. Minētā mērķis primāri ir </w:t>
      </w:r>
      <w:r w:rsidR="00820DB2">
        <w:t xml:space="preserve">paredzētās darbības īstenotāja tiesību aizsardzība, </w:t>
      </w:r>
      <w:r w:rsidR="007B77ED">
        <w:t>kas gan ne</w:t>
      </w:r>
      <w:r w:rsidR="00747E47">
        <w:t>ierobežo</w:t>
      </w:r>
      <w:r w:rsidR="007B77ED">
        <w:t xml:space="preserve"> arī sabiedrības tiesības vides aizsardzības interešu nodrošināšanas nolūkā iebilst pret šiem noteikumiem</w:t>
      </w:r>
      <w:r w:rsidR="00747E47">
        <w:t>, ja</w:t>
      </w:r>
      <w:r w:rsidR="00421C92">
        <w:t xml:space="preserve"> uzskatāms</w:t>
      </w:r>
      <w:r w:rsidR="00747E47">
        <w:t>, ka tehniskie noteikumi izsniegti bez pienācīga sākotnējā izvērtējuma</w:t>
      </w:r>
      <w:r w:rsidR="00787196">
        <w:t xml:space="preserve">. </w:t>
      </w:r>
      <w:r w:rsidR="00820DB2">
        <w:t xml:space="preserve">Tomēr sekas tam, ka </w:t>
      </w:r>
      <w:r w:rsidR="00747E47">
        <w:t>tas nav darīts</w:t>
      </w:r>
      <w:r w:rsidR="00820DB2">
        <w:t xml:space="preserve">, ir aplūkojamas </w:t>
      </w:r>
      <w:r w:rsidR="00820DB2">
        <w:lastRenderedPageBreak/>
        <w:t>kontekstā ar konkrēto būvniecības kā vairākpakāpju procesa stadiju, vides aizsardzības nolūkā izteikto argumentu būtību, kā arī to, ka likumdevējs attiecībā uz tehniskajiem noteikumiem nav not</w:t>
      </w:r>
      <w:r w:rsidR="00D95E0D">
        <w:t>e</w:t>
      </w:r>
      <w:r w:rsidR="00820DB2">
        <w:t>icis tik stingras prasības sabiedrības informēšanai kā attiecībā uz būvatļauju.</w:t>
      </w:r>
      <w:r w:rsidR="00820DB2" w:rsidRPr="001D5A30">
        <w:t xml:space="preserve"> </w:t>
      </w:r>
      <w:r w:rsidR="00820DB2">
        <w:t>Tāpēc</w:t>
      </w:r>
      <w:r w:rsidR="00820DB2" w:rsidRPr="009C7BAA">
        <w:t>, ja vien nav konstatējami izņēmuma apstākļi, kuru dēļ no pieteicējiem bija sagaidāms, ka tie savus iebildumus</w:t>
      </w:r>
      <w:r w:rsidR="007C511F">
        <w:t xml:space="preserve"> </w:t>
      </w:r>
      <w:r w:rsidR="00820DB2" w:rsidRPr="009C7BAA">
        <w:t>izteiks jau tehnisko noteikumu apstrīdēšanas</w:t>
      </w:r>
      <w:r w:rsidR="00540A1E">
        <w:t xml:space="preserve"> un pārsūdzēšanas</w:t>
      </w:r>
      <w:r w:rsidR="00820DB2" w:rsidRPr="009C7BAA">
        <w:t xml:space="preserve"> procesā, </w:t>
      </w:r>
      <w:r w:rsidR="002E11BE">
        <w:t>attiecīgais strīdus jautājums</w:t>
      </w:r>
      <w:r w:rsidR="00820DB2" w:rsidRPr="009C7BAA">
        <w:t xml:space="preserve"> kopumā var tikt </w:t>
      </w:r>
      <w:r w:rsidR="002E11BE">
        <w:t>vērtēts</w:t>
      </w:r>
      <w:r w:rsidR="00820DB2" w:rsidRPr="009C7BAA">
        <w:t xml:space="preserve"> tad, kad </w:t>
      </w:r>
      <w:r w:rsidR="00820DB2">
        <w:t xml:space="preserve">iecere </w:t>
      </w:r>
      <w:r w:rsidR="00D95E0D">
        <w:t xml:space="preserve">ieguvusi </w:t>
      </w:r>
      <w:r w:rsidR="00820DB2" w:rsidRPr="009C7BAA">
        <w:t xml:space="preserve">reālu ietekmi </w:t>
      </w:r>
      <w:r w:rsidR="00820DB2">
        <w:t xml:space="preserve">un aprises </w:t>
      </w:r>
      <w:r w:rsidR="00820DB2" w:rsidRPr="009C7BAA">
        <w:t>– pieņemts paredzētās darbības akcepts vai izdota attiecīgā būvatļauja.</w:t>
      </w:r>
    </w:p>
    <w:p w14:paraId="55093CFA" w14:textId="77777777" w:rsidR="007B77ED" w:rsidRPr="007B77ED" w:rsidRDefault="007B77ED" w:rsidP="00C60D74">
      <w:pPr>
        <w:shd w:val="clear" w:color="auto" w:fill="FFFFFF"/>
        <w:spacing w:line="276" w:lineRule="auto"/>
        <w:ind w:firstLine="720"/>
        <w:jc w:val="both"/>
      </w:pPr>
    </w:p>
    <w:p w14:paraId="75A6AD39" w14:textId="1A7548C0" w:rsidR="00C3787D" w:rsidRDefault="00C3787D" w:rsidP="00C60D74">
      <w:pPr>
        <w:shd w:val="clear" w:color="auto" w:fill="FFFFFF"/>
        <w:spacing w:line="276" w:lineRule="auto"/>
        <w:ind w:firstLine="720"/>
        <w:jc w:val="both"/>
      </w:pPr>
      <w:r>
        <w:t>[1</w:t>
      </w:r>
      <w:r w:rsidR="00C40EEF">
        <w:t>3</w:t>
      </w:r>
      <w:r>
        <w:t>]</w:t>
      </w:r>
      <w:r w:rsidR="000153FD">
        <w:t> </w:t>
      </w:r>
      <w:r>
        <w:t xml:space="preserve">Ievērojot minēto, Senāts atzīst, ka tiesa nepamatoti atstājusi bez </w:t>
      </w:r>
      <w:r w:rsidR="00820DB2">
        <w:t>ievērības apelācijas sūdzības argumentus</w:t>
      </w:r>
      <w:r w:rsidR="00455F4D">
        <w:t xml:space="preserve"> saistībā ar to,</w:t>
      </w:r>
      <w:r w:rsidR="00820DB2">
        <w:t xml:space="preserve"> ka </w:t>
      </w:r>
      <w:r>
        <w:t xml:space="preserve">atbilstoši likuma </w:t>
      </w:r>
      <w:r w:rsidR="00D95E0D">
        <w:t>„</w:t>
      </w:r>
      <w:r>
        <w:t>Par ietekmes uz vidi novērtējumu” 2.pielikuma 10.punkta</w:t>
      </w:r>
      <w:r w:rsidR="003C310C">
        <w:t xml:space="preserve"> 2.apakšpunktam</w:t>
      </w:r>
      <w:r>
        <w:t xml:space="preserve"> pirms </w:t>
      </w:r>
      <w:r w:rsidR="0028633B">
        <w:t xml:space="preserve">strīdus </w:t>
      </w:r>
      <w:r>
        <w:t>būvatļauju izdošanas bija veicams sākotnējais izvērtējums. Tāpēc apgabaltiesas spriedums atceļams un lieta nododama jaunai izskatīšanai apelācijas instances tiesai.</w:t>
      </w:r>
    </w:p>
    <w:p w14:paraId="09F918DA" w14:textId="74D7A933" w:rsidR="0089334F" w:rsidRDefault="0089334F" w:rsidP="00C60D74">
      <w:pPr>
        <w:shd w:val="clear" w:color="auto" w:fill="FFFFFF"/>
        <w:spacing w:line="276" w:lineRule="auto"/>
        <w:ind w:firstLine="720"/>
        <w:jc w:val="both"/>
      </w:pPr>
      <w:r>
        <w:t>Vienlaikus kasācijas sūdzīb</w:t>
      </w:r>
      <w:r w:rsidR="00D95E0D">
        <w:t>ā</w:t>
      </w:r>
      <w:r>
        <w:t xml:space="preserve"> </w:t>
      </w:r>
      <w:r w:rsidR="00D95E0D">
        <w:t xml:space="preserve">ir </w:t>
      </w:r>
      <w:r>
        <w:t>virkn</w:t>
      </w:r>
      <w:r w:rsidR="00D95E0D">
        <w:t>e</w:t>
      </w:r>
      <w:r>
        <w:t xml:space="preserve"> argumentu arī par citiem trūkumiem tiesas vērtējum</w:t>
      </w:r>
      <w:r w:rsidR="00926822">
        <w:t>ā</w:t>
      </w:r>
      <w:r w:rsidR="000B63ED">
        <w:t xml:space="preserve">, kurus nepieciešams izvērtēt. </w:t>
      </w:r>
    </w:p>
    <w:p w14:paraId="0BAC60A6" w14:textId="77777777" w:rsidR="00C3787D" w:rsidRDefault="00C3787D" w:rsidP="00C60D74">
      <w:pPr>
        <w:shd w:val="clear" w:color="auto" w:fill="FFFFFF"/>
        <w:spacing w:line="276" w:lineRule="auto"/>
        <w:ind w:firstLine="720"/>
        <w:jc w:val="both"/>
      </w:pPr>
    </w:p>
    <w:p w14:paraId="17C69DBF" w14:textId="0CF76AC9" w:rsidR="00C3787D" w:rsidRDefault="00C3787D" w:rsidP="00C60D74">
      <w:pPr>
        <w:shd w:val="clear" w:color="auto" w:fill="FFFFFF"/>
        <w:spacing w:line="276" w:lineRule="auto"/>
        <w:jc w:val="center"/>
        <w:rPr>
          <w:b/>
          <w:bCs/>
        </w:rPr>
      </w:pPr>
      <w:r w:rsidRPr="00C3787D">
        <w:rPr>
          <w:b/>
          <w:bCs/>
        </w:rPr>
        <w:t>II</w:t>
      </w:r>
    </w:p>
    <w:p w14:paraId="3DF1A645" w14:textId="4F6F81A2" w:rsidR="002B5FF8" w:rsidRPr="002B5FF8" w:rsidRDefault="002B5FF8" w:rsidP="00C60D74">
      <w:pPr>
        <w:shd w:val="clear" w:color="auto" w:fill="FFFFFF"/>
        <w:spacing w:line="276" w:lineRule="auto"/>
        <w:jc w:val="center"/>
        <w:rPr>
          <w:i/>
          <w:iCs/>
        </w:rPr>
      </w:pPr>
      <w:r w:rsidRPr="002B5FF8">
        <w:rPr>
          <w:i/>
          <w:iCs/>
        </w:rPr>
        <w:t xml:space="preserve">Par </w:t>
      </w:r>
      <w:r w:rsidR="00E81D75">
        <w:rPr>
          <w:i/>
          <w:iCs/>
        </w:rPr>
        <w:t>strīdus būvatļauju tiesiskum</w:t>
      </w:r>
      <w:r w:rsidR="00150E78">
        <w:rPr>
          <w:i/>
          <w:iCs/>
        </w:rPr>
        <w:t>u un lietā</w:t>
      </w:r>
      <w:r w:rsidR="00E81D75">
        <w:rPr>
          <w:i/>
          <w:iCs/>
        </w:rPr>
        <w:t xml:space="preserve"> piemērojamo detālplānojumu</w:t>
      </w:r>
    </w:p>
    <w:p w14:paraId="47ED9666" w14:textId="5542230B" w:rsidR="00C6668B" w:rsidRDefault="00C6668B" w:rsidP="00C60D74">
      <w:pPr>
        <w:shd w:val="clear" w:color="auto" w:fill="FFFFFF"/>
        <w:spacing w:line="276" w:lineRule="auto"/>
        <w:ind w:firstLine="720"/>
        <w:jc w:val="both"/>
        <w:rPr>
          <w:bCs/>
        </w:rPr>
      </w:pPr>
    </w:p>
    <w:p w14:paraId="66A0F5B8" w14:textId="3E3571D1" w:rsidR="005D30FC" w:rsidRPr="009A461D" w:rsidRDefault="00C3787D" w:rsidP="00C60D74">
      <w:pPr>
        <w:shd w:val="clear" w:color="auto" w:fill="FFFFFF"/>
        <w:spacing w:line="276" w:lineRule="auto"/>
        <w:ind w:firstLine="720"/>
        <w:jc w:val="both"/>
        <w:rPr>
          <w:bCs/>
        </w:rPr>
      </w:pPr>
      <w:r>
        <w:rPr>
          <w:bCs/>
        </w:rPr>
        <w:t>[1</w:t>
      </w:r>
      <w:r w:rsidR="00C40EEF">
        <w:rPr>
          <w:bCs/>
        </w:rPr>
        <w:t>4</w:t>
      </w:r>
      <w:r>
        <w:rPr>
          <w:bCs/>
        </w:rPr>
        <w:t>]</w:t>
      </w:r>
      <w:r w:rsidR="000153FD">
        <w:rPr>
          <w:bCs/>
        </w:rPr>
        <w:t> </w:t>
      </w:r>
      <w:r w:rsidR="00DB419F">
        <w:rPr>
          <w:bCs/>
        </w:rPr>
        <w:t>Pieteicēju kasācijas sūdzībā ir daudz iebildumu par to</w:t>
      </w:r>
      <w:r w:rsidR="009A461D" w:rsidRPr="009A461D">
        <w:rPr>
          <w:bCs/>
        </w:rPr>
        <w:t>, ka tiesa nepamatoti neesot pārbaudījusi detālplānojuma atbilstību</w:t>
      </w:r>
      <w:r w:rsidR="00150E78">
        <w:rPr>
          <w:bCs/>
        </w:rPr>
        <w:t xml:space="preserve"> </w:t>
      </w:r>
      <w:r w:rsidR="009A461D">
        <w:rPr>
          <w:bCs/>
        </w:rPr>
        <w:t>teritorijas attīstības un plānošanas principiem.</w:t>
      </w:r>
      <w:r w:rsidR="009A461D" w:rsidRPr="009A461D">
        <w:rPr>
          <w:bCs/>
        </w:rPr>
        <w:t xml:space="preserve"> </w:t>
      </w:r>
    </w:p>
    <w:p w14:paraId="017B0EF9" w14:textId="0CB9033B" w:rsidR="00B079BD" w:rsidRPr="00946CCB" w:rsidRDefault="00967D6B" w:rsidP="00C60D74">
      <w:pPr>
        <w:shd w:val="clear" w:color="auto" w:fill="FFFFFF"/>
        <w:spacing w:line="276" w:lineRule="auto"/>
        <w:ind w:firstLine="720"/>
        <w:jc w:val="both"/>
        <w:rPr>
          <w:bCs/>
        </w:rPr>
      </w:pPr>
      <w:r>
        <w:rPr>
          <w:bCs/>
        </w:rPr>
        <w:t xml:space="preserve">Senāts piekrīt </w:t>
      </w:r>
      <w:r w:rsidR="009A461D">
        <w:rPr>
          <w:bCs/>
        </w:rPr>
        <w:t>pieteicēj</w:t>
      </w:r>
      <w:r w:rsidR="002548C3">
        <w:rPr>
          <w:bCs/>
        </w:rPr>
        <w:t xml:space="preserve">iem tiktāl, ka </w:t>
      </w:r>
      <w:r>
        <w:rPr>
          <w:bCs/>
        </w:rPr>
        <w:t>atbilstoši Administratīvā procesa likuma 104.panta pirmajai daļai tā ir tiesas kompetence, pārbaudot administratīvā akta vai faktiskās rīcības tiesiskumu, šaubu gadījumā pārliecināties, vai iestādes piemērotā vai administratīvajā tiesas procesā piemērojamā tiesību norma atbilst augstāka juridiskā spēka tiesību normām</w:t>
      </w:r>
      <w:r w:rsidR="00B079BD">
        <w:rPr>
          <w:bCs/>
        </w:rPr>
        <w:t>. Šajā ziņā būvatļaujas tiesiskuma kontroles process nav izņēmums</w:t>
      </w:r>
      <w:r w:rsidR="0068027E">
        <w:rPr>
          <w:bCs/>
        </w:rPr>
        <w:t>,</w:t>
      </w:r>
      <w:r w:rsidR="00B079BD">
        <w:rPr>
          <w:bCs/>
        </w:rPr>
        <w:t xml:space="preserve"> un tas vairākkārt akcentēts arī Senāta praksē</w:t>
      </w:r>
      <w:r>
        <w:rPr>
          <w:bCs/>
        </w:rPr>
        <w:t xml:space="preserve"> </w:t>
      </w:r>
      <w:r w:rsidR="00B079BD">
        <w:rPr>
          <w:bCs/>
        </w:rPr>
        <w:t>(</w:t>
      </w:r>
      <w:r w:rsidR="00150E78">
        <w:rPr>
          <w:bCs/>
        </w:rPr>
        <w:t xml:space="preserve">piemēram, </w:t>
      </w:r>
      <w:r w:rsidR="00946CCB" w:rsidRPr="00946CCB">
        <w:rPr>
          <w:bCs/>
          <w:i/>
          <w:iCs/>
        </w:rPr>
        <w:t>Senāta 2020.gada 26.jūnija spriedum</w:t>
      </w:r>
      <w:r w:rsidR="002B0A8F">
        <w:rPr>
          <w:bCs/>
          <w:i/>
          <w:iCs/>
        </w:rPr>
        <w:t>a</w:t>
      </w:r>
      <w:r w:rsidR="00946CCB" w:rsidRPr="00946CCB">
        <w:rPr>
          <w:bCs/>
          <w:i/>
          <w:iCs/>
        </w:rPr>
        <w:t xml:space="preserve"> lietā Nr. </w:t>
      </w:r>
      <w:r w:rsidR="00B079BD" w:rsidRPr="00946CCB">
        <w:rPr>
          <w:bCs/>
          <w:i/>
          <w:iCs/>
        </w:rPr>
        <w:t>SKA-137/2020</w:t>
      </w:r>
      <w:r w:rsidR="00946CCB" w:rsidRPr="00946CCB">
        <w:rPr>
          <w:bCs/>
          <w:i/>
          <w:iCs/>
        </w:rPr>
        <w:t>,</w:t>
      </w:r>
      <w:r w:rsidR="00946CCB" w:rsidRPr="00946CCB">
        <w:rPr>
          <w:i/>
          <w:iCs/>
        </w:rPr>
        <w:t xml:space="preserve"> </w:t>
      </w:r>
      <w:hyperlink r:id="rId16" w:history="1">
        <w:r w:rsidR="00946CCB" w:rsidRPr="00946CCB">
          <w:rPr>
            <w:rStyle w:val="Hyperlink"/>
            <w:bCs/>
            <w:i/>
            <w:iCs/>
          </w:rPr>
          <w:t>ECLI:LV:AT:2020:0626.A420400614.6.S</w:t>
        </w:r>
      </w:hyperlink>
      <w:r w:rsidR="00946CCB" w:rsidRPr="00946CCB">
        <w:rPr>
          <w:bCs/>
          <w:i/>
          <w:iCs/>
        </w:rPr>
        <w:t>, 5.</w:t>
      </w:r>
      <w:r w:rsidR="00DB419F" w:rsidRPr="000153FD">
        <w:rPr>
          <w:bCs/>
          <w:i/>
          <w:iCs/>
        </w:rPr>
        <w:t>–</w:t>
      </w:r>
      <w:r w:rsidR="00946CCB" w:rsidRPr="00946CCB">
        <w:rPr>
          <w:bCs/>
          <w:i/>
          <w:iCs/>
        </w:rPr>
        <w:t>8.punkts</w:t>
      </w:r>
      <w:r w:rsidR="00B079BD">
        <w:rPr>
          <w:bCs/>
        </w:rPr>
        <w:t xml:space="preserve">). Tāpat Senāts ir atzinis, ka nevar izslēgt, ka teritorijas plānošanas procesa </w:t>
      </w:r>
      <w:r w:rsidR="00B079BD" w:rsidRPr="00DC0C5D">
        <w:rPr>
          <w:bCs/>
        </w:rPr>
        <w:t>rezultāts var nonāk</w:t>
      </w:r>
      <w:r w:rsidR="002B0A8F">
        <w:rPr>
          <w:bCs/>
        </w:rPr>
        <w:t>t</w:t>
      </w:r>
      <w:r w:rsidR="00B079BD" w:rsidRPr="00DC0C5D">
        <w:rPr>
          <w:bCs/>
        </w:rPr>
        <w:t xml:space="preserve"> pretrunā gan teritorijas plānošanas principiem, gan vispārējiem tiesību principiem. Šādā gadījumā lielāka atbildība vides aizsardzības, harmoniskas apbūves un citu ar teritorijas plānošanas procesa būtību saistīto interešu nodrošināšanā tiek pārnesta uz būvatļaujas izdošanas procesu (</w:t>
      </w:r>
      <w:r w:rsidR="00946CCB">
        <w:rPr>
          <w:bCs/>
        </w:rPr>
        <w:t xml:space="preserve">piemēram, </w:t>
      </w:r>
      <w:r w:rsidR="00B079BD" w:rsidRPr="00DC0C5D">
        <w:rPr>
          <w:bCs/>
          <w:i/>
          <w:iCs/>
        </w:rPr>
        <w:t>Senāta 2019.gada 18.oktobra sprieduma lietā Nr.</w:t>
      </w:r>
      <w:r w:rsidR="00946CCB">
        <w:rPr>
          <w:bCs/>
          <w:i/>
          <w:iCs/>
        </w:rPr>
        <w:t> </w:t>
      </w:r>
      <w:r w:rsidR="00B079BD" w:rsidRPr="00DC0C5D">
        <w:rPr>
          <w:bCs/>
          <w:i/>
          <w:iCs/>
        </w:rPr>
        <w:t>SKA-82/2019</w:t>
      </w:r>
      <w:r w:rsidR="00946CCB">
        <w:rPr>
          <w:bCs/>
          <w:i/>
          <w:iCs/>
        </w:rPr>
        <w:t xml:space="preserve">, </w:t>
      </w:r>
      <w:hyperlink r:id="rId17" w:history="1">
        <w:r w:rsidR="00B079BD" w:rsidRPr="00946CCB">
          <w:rPr>
            <w:rStyle w:val="Hyperlink"/>
            <w:bCs/>
            <w:i/>
            <w:iCs/>
          </w:rPr>
          <w:t>ECLI:LV:AT:2019:1018.A420174415.2.S</w:t>
        </w:r>
      </w:hyperlink>
      <w:r w:rsidR="00946CCB">
        <w:rPr>
          <w:bCs/>
          <w:i/>
          <w:iCs/>
        </w:rPr>
        <w:t>,</w:t>
      </w:r>
      <w:r w:rsidR="00B079BD" w:rsidRPr="00DC0C5D">
        <w:rPr>
          <w:bCs/>
          <w:i/>
          <w:iCs/>
        </w:rPr>
        <w:t xml:space="preserve"> 7.punkts</w:t>
      </w:r>
      <w:r w:rsidR="00946CCB">
        <w:rPr>
          <w:bCs/>
        </w:rPr>
        <w:t>).</w:t>
      </w:r>
    </w:p>
    <w:p w14:paraId="71EBE750" w14:textId="6A7D22BB" w:rsidR="002548C3" w:rsidRDefault="009A461D" w:rsidP="00C60D74">
      <w:pPr>
        <w:shd w:val="clear" w:color="auto" w:fill="FFFFFF"/>
        <w:spacing w:line="276" w:lineRule="auto"/>
        <w:ind w:firstLine="720"/>
        <w:jc w:val="both"/>
        <w:rPr>
          <w:bCs/>
        </w:rPr>
      </w:pPr>
      <w:r>
        <w:rPr>
          <w:bCs/>
        </w:rPr>
        <w:t>Tomēr konkrētajā gadījumā Senāts nesaskata, ka pieteicēju iebildumi pēc jēgas būtu saistīti ar minēto</w:t>
      </w:r>
      <w:r w:rsidR="00DB419F">
        <w:rPr>
          <w:bCs/>
        </w:rPr>
        <w:t xml:space="preserve">. Senāts </w:t>
      </w:r>
      <w:r>
        <w:rPr>
          <w:bCs/>
        </w:rPr>
        <w:t xml:space="preserve">uzskata, ka </w:t>
      </w:r>
      <w:r w:rsidRPr="00001AD2">
        <w:rPr>
          <w:bCs/>
        </w:rPr>
        <w:t>pieteicēji šajā ziņā būvatļauj</w:t>
      </w:r>
      <w:r w:rsidR="000944B8">
        <w:rPr>
          <w:bCs/>
        </w:rPr>
        <w:t>u</w:t>
      </w:r>
      <w:r w:rsidRPr="00001AD2">
        <w:rPr>
          <w:bCs/>
        </w:rPr>
        <w:t xml:space="preserve"> pārsūdzību izmanto kā instrumentu, lai</w:t>
      </w:r>
      <w:r w:rsidR="002548C3">
        <w:rPr>
          <w:bCs/>
        </w:rPr>
        <w:t xml:space="preserve"> atkārtoti atvērtu konceptuālu jautājumu par konkrētās teritorijas attīstības virzienu. Tas nav </w:t>
      </w:r>
      <w:r w:rsidR="00D72DF7">
        <w:rPr>
          <w:bCs/>
        </w:rPr>
        <w:t xml:space="preserve">pieļaujams. </w:t>
      </w:r>
    </w:p>
    <w:p w14:paraId="638EA74E" w14:textId="77777777" w:rsidR="002548C3" w:rsidRDefault="002548C3" w:rsidP="00C60D74">
      <w:pPr>
        <w:shd w:val="clear" w:color="auto" w:fill="FFFFFF"/>
        <w:spacing w:line="276" w:lineRule="auto"/>
        <w:ind w:firstLine="720"/>
        <w:jc w:val="both"/>
        <w:rPr>
          <w:bCs/>
        </w:rPr>
      </w:pPr>
    </w:p>
    <w:p w14:paraId="027E6EA6" w14:textId="6BF1F37D" w:rsidR="00150E78" w:rsidRDefault="002548C3" w:rsidP="00C60D74">
      <w:pPr>
        <w:shd w:val="clear" w:color="auto" w:fill="FFFFFF"/>
        <w:spacing w:line="276" w:lineRule="auto"/>
        <w:ind w:firstLine="720"/>
        <w:jc w:val="both"/>
        <w:rPr>
          <w:bCs/>
        </w:rPr>
      </w:pPr>
      <w:r>
        <w:rPr>
          <w:bCs/>
        </w:rPr>
        <w:t>[1</w:t>
      </w:r>
      <w:r w:rsidR="00C40EEF">
        <w:rPr>
          <w:bCs/>
        </w:rPr>
        <w:t>5</w:t>
      </w:r>
      <w:r>
        <w:rPr>
          <w:bCs/>
        </w:rPr>
        <w:t>]</w:t>
      </w:r>
      <w:r w:rsidR="00DB419F">
        <w:rPr>
          <w:bCs/>
        </w:rPr>
        <w:t> </w:t>
      </w:r>
      <w:r>
        <w:rPr>
          <w:bCs/>
        </w:rPr>
        <w:t xml:space="preserve">Pieteicēju kasācijas sūdzībā plaši argumentētais viedoklis par detālplānojuma neatbilstību plānošanas principiem – interešu saskaņotības, daudzveidības un atklātības principiem – sakņojas pārliecībā, ka </w:t>
      </w:r>
      <w:r w:rsidR="00130EAA">
        <w:rPr>
          <w:bCs/>
        </w:rPr>
        <w:t xml:space="preserve">izvēlētais teritorijas attīstības virziens, kas </w:t>
      </w:r>
      <w:r w:rsidR="0079381D">
        <w:rPr>
          <w:bCs/>
        </w:rPr>
        <w:t xml:space="preserve">paredz </w:t>
      </w:r>
      <w:r w:rsidR="00130EAA">
        <w:rPr>
          <w:bCs/>
        </w:rPr>
        <w:t>samērā intensīvu teritorijas apbūvi, nav pieļaujams.</w:t>
      </w:r>
      <w:r w:rsidR="00130EAA" w:rsidRPr="00130EAA">
        <w:rPr>
          <w:bCs/>
        </w:rPr>
        <w:t xml:space="preserve"> </w:t>
      </w:r>
    </w:p>
    <w:p w14:paraId="33C90100" w14:textId="4688A488" w:rsidR="00E215A6" w:rsidRDefault="00130EAA" w:rsidP="00C60D74">
      <w:pPr>
        <w:shd w:val="clear" w:color="auto" w:fill="FFFFFF"/>
        <w:spacing w:line="276" w:lineRule="auto"/>
        <w:ind w:firstLine="720"/>
        <w:jc w:val="both"/>
        <w:rPr>
          <w:bCs/>
        </w:rPr>
      </w:pPr>
      <w:r>
        <w:rPr>
          <w:bCs/>
        </w:rPr>
        <w:lastRenderedPageBreak/>
        <w:t>Tomēr tieši minētais – izvērtēt plānotās būvniecības iederību un atbilstību teritorijas plānotajai (atļautajai) izmantošanai – ir detālplānojuma izstrādes procesa mērķis.</w:t>
      </w:r>
      <w:r w:rsidRPr="00130EAA">
        <w:rPr>
          <w:bCs/>
        </w:rPr>
        <w:t xml:space="preserve"> </w:t>
      </w:r>
      <w:r w:rsidR="00C73765">
        <w:rPr>
          <w:bCs/>
        </w:rPr>
        <w:t>T</w:t>
      </w:r>
      <w:r>
        <w:rPr>
          <w:bCs/>
        </w:rPr>
        <w:t xml:space="preserve">ieši detālplānojuma izstrādes process ļauj identificēt plānotās darbības draudus videi un ļaut </w:t>
      </w:r>
      <w:r w:rsidRPr="00001AD2">
        <w:rPr>
          <w:bCs/>
        </w:rPr>
        <w:t xml:space="preserve">sabiedrībai iesaistīties ar vidi saistītu lēmumu pieņemšanā </w:t>
      </w:r>
      <w:r>
        <w:rPr>
          <w:bCs/>
        </w:rPr>
        <w:t xml:space="preserve">– izteikt </w:t>
      </w:r>
      <w:r w:rsidRPr="00001AD2">
        <w:rPr>
          <w:bCs/>
        </w:rPr>
        <w:t>viedokli un bažas par tiem plānotās būvniecības aspektiem, kuriem sabiedrības ieskatā varētu būt būtiska nelabvēlīga ietekme uz apkārtējo vidi (</w:t>
      </w:r>
      <w:r>
        <w:rPr>
          <w:bCs/>
        </w:rPr>
        <w:t xml:space="preserve">piemēram, </w:t>
      </w:r>
      <w:r w:rsidRPr="00001AD2">
        <w:rPr>
          <w:bCs/>
          <w:i/>
          <w:iCs/>
        </w:rPr>
        <w:t xml:space="preserve">Senāta </w:t>
      </w:r>
      <w:r w:rsidR="006533C4">
        <w:rPr>
          <w:bCs/>
          <w:i/>
          <w:iCs/>
        </w:rPr>
        <w:t xml:space="preserve">2020.gada 5.novembra sprieduma lietā Nr. SKA-207/2020, </w:t>
      </w:r>
      <w:hyperlink r:id="rId18" w:history="1">
        <w:r w:rsidR="006533C4" w:rsidRPr="006533C4">
          <w:rPr>
            <w:rStyle w:val="Hyperlink"/>
            <w:bCs/>
            <w:i/>
            <w:iCs/>
          </w:rPr>
          <w:t>ECLI:LV:AT:2020:1105.A420316316.8.S</w:t>
        </w:r>
      </w:hyperlink>
      <w:r w:rsidR="006533C4">
        <w:rPr>
          <w:bCs/>
          <w:i/>
          <w:iCs/>
        </w:rPr>
        <w:t xml:space="preserve">, 8.punkts </w:t>
      </w:r>
      <w:r w:rsidR="006533C4" w:rsidRPr="00421C92">
        <w:rPr>
          <w:bCs/>
        </w:rPr>
        <w:t>un tajā norādītā judikatūra</w:t>
      </w:r>
      <w:r w:rsidRPr="00001AD2">
        <w:rPr>
          <w:bCs/>
        </w:rPr>
        <w:t>).</w:t>
      </w:r>
      <w:r w:rsidR="00E215A6">
        <w:rPr>
          <w:bCs/>
        </w:rPr>
        <w:t xml:space="preserve"> </w:t>
      </w:r>
      <w:r w:rsidR="00102291">
        <w:rPr>
          <w:bCs/>
        </w:rPr>
        <w:t>Tad, kad detālplānojums stājies spēkā</w:t>
      </w:r>
      <w:r w:rsidR="0079381D">
        <w:rPr>
          <w:bCs/>
        </w:rPr>
        <w:t>,</w:t>
      </w:r>
      <w:r w:rsidR="00102291">
        <w:rPr>
          <w:bCs/>
        </w:rPr>
        <w:t xml:space="preserve"> zemesgabala īpašniekam ir tiesības sava īpašuma attīstībā uz to paļauties, bet sabiedrībai – pienākums to respektēt. </w:t>
      </w:r>
      <w:r w:rsidR="00E215A6">
        <w:rPr>
          <w:bCs/>
        </w:rPr>
        <w:t>Savukārt tas, ka pieteicēju vīzija par teritorijas attīstību nesakrīt ar teritorijas attīstītāju viedokli, nav iemesl</w:t>
      </w:r>
      <w:r w:rsidR="006878AC">
        <w:rPr>
          <w:bCs/>
        </w:rPr>
        <w:t>s</w:t>
      </w:r>
      <w:r w:rsidR="00E215A6">
        <w:rPr>
          <w:bCs/>
        </w:rPr>
        <w:t xml:space="preserve"> uzskatīt, ka plānošanas procesa rezultāts neatbilst plānošanas principu prasībām</w:t>
      </w:r>
      <w:r w:rsidR="006533C4">
        <w:rPr>
          <w:bCs/>
        </w:rPr>
        <w:t>.</w:t>
      </w:r>
    </w:p>
    <w:p w14:paraId="49C51C66" w14:textId="2C11BB0F" w:rsidR="00533B01" w:rsidRDefault="00E514FD" w:rsidP="00C60D74">
      <w:pPr>
        <w:shd w:val="clear" w:color="auto" w:fill="FFFFFF"/>
        <w:spacing w:line="276" w:lineRule="auto"/>
        <w:ind w:firstLine="720"/>
        <w:jc w:val="both"/>
        <w:rPr>
          <w:bCs/>
        </w:rPr>
      </w:pPr>
      <w:r w:rsidRPr="00E514FD">
        <w:rPr>
          <w:bCs/>
        </w:rPr>
        <w:t xml:space="preserve">Tāpat Senāts nesaskata, ka tiesas secinājums par detālplānojuma piemērojamību būtu kļūdains pieteicēju norādītā iemesla dēļ, ka </w:t>
      </w:r>
      <w:r w:rsidR="00533B01">
        <w:rPr>
          <w:bCs/>
        </w:rPr>
        <w:t xml:space="preserve">detālplānojums neatbilstot tā iepriekš uzrādītajam mērķim – ostas attīstībai. </w:t>
      </w:r>
      <w:r w:rsidR="009C0007">
        <w:rPr>
          <w:bCs/>
        </w:rPr>
        <w:t>J</w:t>
      </w:r>
      <w:r w:rsidR="00533B01">
        <w:rPr>
          <w:bCs/>
        </w:rPr>
        <w:t xml:space="preserve">āņem vērā, ka tiesa ir konstatējusi, ka strīdus būvniecība </w:t>
      </w:r>
      <w:r w:rsidR="00F30803">
        <w:rPr>
          <w:bCs/>
        </w:rPr>
        <w:t xml:space="preserve">pati par sevi </w:t>
      </w:r>
      <w:r w:rsidR="00533B01">
        <w:rPr>
          <w:bCs/>
        </w:rPr>
        <w:t xml:space="preserve">atbilst Andrejostas detālplānojumā noteiktajai atļautajai izmantošanai. </w:t>
      </w:r>
      <w:r w:rsidR="009C0007">
        <w:rPr>
          <w:bCs/>
        </w:rPr>
        <w:t xml:space="preserve">Var piekrist pieteicējiem, ka Andrejostas detālplānojuma iezīmētā teritorijas attīstības virziena – </w:t>
      </w:r>
      <w:r w:rsidR="009C0007" w:rsidRPr="00E215A6">
        <w:rPr>
          <w:bCs/>
        </w:rPr>
        <w:t>veidot augstvērtīgu teritoriju ar kvalitatīvu labiekārtotu publisko ārtelpu kā papildinājumu Rīgas vēsturiskā centra un Vecrīgas tūrisma piesaistes un darījuma funkcijām</w:t>
      </w:r>
      <w:r w:rsidR="009C0007">
        <w:rPr>
          <w:bCs/>
        </w:rPr>
        <w:t xml:space="preserve"> – kodols patiešām ir </w:t>
      </w:r>
      <w:r w:rsidR="009C0007" w:rsidRPr="00E215A6">
        <w:rPr>
          <w:bCs/>
        </w:rPr>
        <w:t xml:space="preserve">jūras pasažieru transporta un tūrisma attīstība. Tomēr tas nekādā veidā nenozīmē, ka </w:t>
      </w:r>
      <w:r w:rsidR="009C0007">
        <w:rPr>
          <w:bCs/>
        </w:rPr>
        <w:t xml:space="preserve">šajā </w:t>
      </w:r>
      <w:r w:rsidR="009C0007" w:rsidRPr="00E215A6">
        <w:rPr>
          <w:bCs/>
        </w:rPr>
        <w:t>teritorijā vispirms īstenojama tieši ostas attīstība</w:t>
      </w:r>
      <w:r w:rsidR="009C0007">
        <w:rPr>
          <w:bCs/>
        </w:rPr>
        <w:t xml:space="preserve">. </w:t>
      </w:r>
      <w:r w:rsidR="00533B01">
        <w:rPr>
          <w:bCs/>
        </w:rPr>
        <w:t xml:space="preserve">Nedz viesnīca, nedz biroja ēka nav uzskatāma par </w:t>
      </w:r>
      <w:r w:rsidR="00C550E7" w:rsidRPr="00E215A6">
        <w:rPr>
          <w:bCs/>
        </w:rPr>
        <w:t xml:space="preserve">tādu </w:t>
      </w:r>
      <w:r w:rsidR="00C550E7">
        <w:rPr>
          <w:bCs/>
        </w:rPr>
        <w:t>objektu</w:t>
      </w:r>
      <w:r w:rsidR="00C550E7" w:rsidRPr="00E215A6">
        <w:rPr>
          <w:bCs/>
        </w:rPr>
        <w:t>, kas maina savu funkcionālo nozīmi, ietekmi vai vērtību atkarībā no tā, vai un kad tiek īstenota pasažieru ostas attīstība</w:t>
      </w:r>
      <w:r w:rsidR="009C0007">
        <w:rPr>
          <w:bCs/>
        </w:rPr>
        <w:t xml:space="preserve">. Tāpēc arī šie pieteicēju argumenti nevar ietekmēt secinājumus par detālplānojuma piemērošanu. </w:t>
      </w:r>
    </w:p>
    <w:p w14:paraId="0EA8ABAC" w14:textId="77777777" w:rsidR="002B5FF8" w:rsidRDefault="002B5FF8" w:rsidP="00C60D74">
      <w:pPr>
        <w:shd w:val="clear" w:color="auto" w:fill="FFFFFF"/>
        <w:spacing w:line="276" w:lineRule="auto"/>
        <w:ind w:firstLine="720"/>
        <w:jc w:val="both"/>
        <w:rPr>
          <w:bCs/>
        </w:rPr>
      </w:pPr>
    </w:p>
    <w:p w14:paraId="0B43F51C" w14:textId="19DAA136" w:rsidR="002D55AC" w:rsidRDefault="002B5FF8" w:rsidP="00C60D74">
      <w:pPr>
        <w:shd w:val="clear" w:color="auto" w:fill="FFFFFF"/>
        <w:spacing w:line="276" w:lineRule="auto"/>
        <w:ind w:firstLine="720"/>
        <w:jc w:val="both"/>
        <w:rPr>
          <w:bCs/>
        </w:rPr>
      </w:pPr>
      <w:r>
        <w:rPr>
          <w:bCs/>
        </w:rPr>
        <w:t>[1</w:t>
      </w:r>
      <w:r w:rsidR="00C40EEF">
        <w:rPr>
          <w:bCs/>
        </w:rPr>
        <w:t>6</w:t>
      </w:r>
      <w:r>
        <w:rPr>
          <w:bCs/>
        </w:rPr>
        <w:t>]</w:t>
      </w:r>
      <w:r w:rsidR="00DB419F">
        <w:rPr>
          <w:bCs/>
        </w:rPr>
        <w:t> </w:t>
      </w:r>
      <w:r>
        <w:rPr>
          <w:bCs/>
        </w:rPr>
        <w:t xml:space="preserve">Senāts </w:t>
      </w:r>
      <w:r w:rsidR="00C3474B">
        <w:rPr>
          <w:bCs/>
        </w:rPr>
        <w:t xml:space="preserve">arī nesaskata trūkumus tiesas vērtējumā </w:t>
      </w:r>
      <w:r w:rsidR="00D8308A">
        <w:rPr>
          <w:bCs/>
        </w:rPr>
        <w:t>tamdēļ</w:t>
      </w:r>
      <w:r w:rsidR="00C3474B">
        <w:rPr>
          <w:bCs/>
        </w:rPr>
        <w:t xml:space="preserve">, ka tiesa nav vērtējusi </w:t>
      </w:r>
      <w:r w:rsidR="00455F4D">
        <w:rPr>
          <w:bCs/>
        </w:rPr>
        <w:t xml:space="preserve">pašu </w:t>
      </w:r>
      <w:r w:rsidR="00C3474B">
        <w:rPr>
          <w:bCs/>
        </w:rPr>
        <w:t xml:space="preserve">strīdus būvatļauju atbilstību Andrejsalas detālplānojumam. </w:t>
      </w:r>
      <w:r w:rsidR="00D8308A">
        <w:rPr>
          <w:bCs/>
        </w:rPr>
        <w:t>Tiesai tas arī nebija jādara.</w:t>
      </w:r>
      <w:r w:rsidR="00455F4D">
        <w:rPr>
          <w:bCs/>
        </w:rPr>
        <w:t xml:space="preserve"> </w:t>
      </w:r>
      <w:r w:rsidR="002D55AC">
        <w:rPr>
          <w:bCs/>
        </w:rPr>
        <w:t xml:space="preserve">Ja teritorijas attīstībai izstrādāts detālplānojums, konkrētai būvniecības iecerei jāatbilst </w:t>
      </w:r>
      <w:r w:rsidR="0079381D">
        <w:rPr>
          <w:bCs/>
        </w:rPr>
        <w:t>šim</w:t>
      </w:r>
      <w:r w:rsidR="002D55AC">
        <w:rPr>
          <w:bCs/>
        </w:rPr>
        <w:t xml:space="preserve"> detālplānojumam, kam savukārt jāatbilst vietējās pašvaldības teritorijas plānojumam un teritorijas plānošanas procesa rezultātam – </w:t>
      </w:r>
      <w:r w:rsidR="00D8308A">
        <w:rPr>
          <w:bCs/>
        </w:rPr>
        <w:t>š</w:t>
      </w:r>
      <w:r w:rsidR="00DB419F">
        <w:rPr>
          <w:bCs/>
        </w:rPr>
        <w:t>ā</w:t>
      </w:r>
      <w:r w:rsidR="002D55AC">
        <w:rPr>
          <w:bCs/>
        </w:rPr>
        <w:t xml:space="preserve"> procesa mērķim un principiem. </w:t>
      </w:r>
      <w:r>
        <w:rPr>
          <w:bCs/>
        </w:rPr>
        <w:t>Kopumā teritorijas attīstību</w:t>
      </w:r>
      <w:r w:rsidR="002D55AC">
        <w:rPr>
          <w:bCs/>
        </w:rPr>
        <w:t xml:space="preserve"> detālplānojuma izstrādes procesā</w:t>
      </w:r>
      <w:r>
        <w:rPr>
          <w:bCs/>
        </w:rPr>
        <w:t xml:space="preserve"> ne tikai iespējams, bet pat vēlams </w:t>
      </w:r>
      <w:r w:rsidR="00D8308A">
        <w:rPr>
          <w:bCs/>
        </w:rPr>
        <w:t>apsvērt</w:t>
      </w:r>
      <w:r>
        <w:rPr>
          <w:bCs/>
        </w:rPr>
        <w:t xml:space="preserve"> kontekstā ar piegulošās teritorijas attīstību</w:t>
      </w:r>
      <w:r w:rsidR="002D55AC">
        <w:rPr>
          <w:bCs/>
        </w:rPr>
        <w:t>. Tas veicina harmonisku kopējo pilsētvides attīstību. Tomēr tam, ka Andrejsalas attīstībai šīs teritorijas detālplānojumā ir paredzētas</w:t>
      </w:r>
      <w:r w:rsidR="00421C92">
        <w:rPr>
          <w:bCs/>
        </w:rPr>
        <w:t xml:space="preserve"> citas</w:t>
      </w:r>
      <w:r w:rsidR="002D55AC">
        <w:rPr>
          <w:bCs/>
        </w:rPr>
        <w:t xml:space="preserve"> prasības nekā Andrejostas attīstībai</w:t>
      </w:r>
      <w:r w:rsidR="00D8308A">
        <w:rPr>
          <w:bCs/>
        </w:rPr>
        <w:t xml:space="preserve"> šīs teritorijas detālplānojumā</w:t>
      </w:r>
      <w:r w:rsidR="002D55AC">
        <w:rPr>
          <w:bCs/>
        </w:rPr>
        <w:t>, nav</w:t>
      </w:r>
      <w:r w:rsidR="0079381D">
        <w:rPr>
          <w:bCs/>
        </w:rPr>
        <w:t xml:space="preserve"> </w:t>
      </w:r>
      <w:r w:rsidR="002D55AC">
        <w:rPr>
          <w:bCs/>
        </w:rPr>
        <w:t xml:space="preserve">nozīmes strīdus būvatļauju tiesiskuma izvērtējumā. </w:t>
      </w:r>
    </w:p>
    <w:p w14:paraId="5904BF9C" w14:textId="5423C665" w:rsidR="001E3C20" w:rsidRDefault="002D55AC" w:rsidP="00C60D74">
      <w:pPr>
        <w:shd w:val="clear" w:color="auto" w:fill="FFFFFF"/>
        <w:spacing w:line="276" w:lineRule="auto"/>
        <w:ind w:firstLine="720"/>
        <w:jc w:val="both"/>
        <w:rPr>
          <w:bCs/>
        </w:rPr>
      </w:pPr>
      <w:r>
        <w:rPr>
          <w:bCs/>
        </w:rPr>
        <w:t>Citādi secinājumi</w:t>
      </w:r>
      <w:r w:rsidR="00BB2E4E">
        <w:rPr>
          <w:bCs/>
        </w:rPr>
        <w:t xml:space="preserve"> detālplānojuma piemērošanas sakarā</w:t>
      </w:r>
      <w:r>
        <w:rPr>
          <w:bCs/>
        </w:rPr>
        <w:t xml:space="preserve"> neizriet arī no pieteicēju vairākkārt piesauktā Senāta 2014.gada 4.jūlija sprieduma lietā </w:t>
      </w:r>
      <w:hyperlink r:id="rId19" w:history="1">
        <w:r w:rsidRPr="002D55AC">
          <w:rPr>
            <w:rStyle w:val="Hyperlink"/>
            <w:bCs/>
          </w:rPr>
          <w:t>Nr. SKA</w:t>
        </w:r>
        <w:r w:rsidRPr="002D55AC">
          <w:rPr>
            <w:rStyle w:val="Hyperlink"/>
            <w:bCs/>
          </w:rPr>
          <w:noBreakHyphen/>
          <w:t>30/2014</w:t>
        </w:r>
      </w:hyperlink>
      <w:r>
        <w:rPr>
          <w:bCs/>
        </w:rPr>
        <w:t xml:space="preserve">. Minētajā lietā pausto atziņu būtība ir tāda, ka nav pieļaujama </w:t>
      </w:r>
      <w:r w:rsidRPr="007D6B4B">
        <w:rPr>
          <w:bCs/>
        </w:rPr>
        <w:t>būvniecības ieceru</w:t>
      </w:r>
      <w:r>
        <w:rPr>
          <w:bCs/>
        </w:rPr>
        <w:t xml:space="preserve"> mākslīga sadalīšana, kas ļauj izvairīties no tiesiskas būvniecības īstenošanai izvirzāmajām prasībām </w:t>
      </w:r>
      <w:r w:rsidR="000737F0">
        <w:rPr>
          <w:bCs/>
        </w:rPr>
        <w:t xml:space="preserve">kompleksai apbūvei. </w:t>
      </w:r>
      <w:r w:rsidR="00E33DE4">
        <w:rPr>
          <w:bCs/>
        </w:rPr>
        <w:t xml:space="preserve"> Viena no prasībām kompleksas apbūves īstenošanai var būt arī detālplānojuma izstrāde.</w:t>
      </w:r>
      <w:r>
        <w:rPr>
          <w:bCs/>
        </w:rPr>
        <w:t xml:space="preserve"> Tomēr šīs atziņas nepamato, kāpēc </w:t>
      </w:r>
      <w:r w:rsidR="001E3C20">
        <w:rPr>
          <w:bCs/>
        </w:rPr>
        <w:t>un kādā aspektā vispār ir vērtējama</w:t>
      </w:r>
      <w:r w:rsidR="00455F4D">
        <w:rPr>
          <w:bCs/>
        </w:rPr>
        <w:t xml:space="preserve"> pašu</w:t>
      </w:r>
      <w:r w:rsidR="001E3C20">
        <w:rPr>
          <w:bCs/>
        </w:rPr>
        <w:t xml:space="preserve"> strīdus būvatļauju atbilstība Andrejsalas detālplānojumam</w:t>
      </w:r>
      <w:r w:rsidR="00602FF2">
        <w:rPr>
          <w:bCs/>
        </w:rPr>
        <w:t>, kas</w:t>
      </w:r>
      <w:r w:rsidR="001E3C20">
        <w:rPr>
          <w:bCs/>
        </w:rPr>
        <w:t xml:space="preserve"> </w:t>
      </w:r>
      <w:r w:rsidR="00602FF2">
        <w:rPr>
          <w:bCs/>
        </w:rPr>
        <w:t>neno</w:t>
      </w:r>
      <w:r w:rsidR="00ED02BE">
        <w:rPr>
          <w:bCs/>
        </w:rPr>
        <w:t>saka</w:t>
      </w:r>
      <w:r w:rsidR="001E3C20">
        <w:rPr>
          <w:bCs/>
        </w:rPr>
        <w:t xml:space="preserve"> nekādas prasības attiecībā uz teritoriju, kurā plānota ar strīdus būvatļaujām atļautā būvniecība.</w:t>
      </w:r>
    </w:p>
    <w:p w14:paraId="4317A8EB" w14:textId="7DBF538A" w:rsidR="001E3C20" w:rsidRDefault="001E3C20" w:rsidP="00C60D74">
      <w:pPr>
        <w:shd w:val="clear" w:color="auto" w:fill="FFFFFF"/>
        <w:spacing w:line="276" w:lineRule="auto"/>
        <w:ind w:firstLine="720"/>
        <w:jc w:val="both"/>
        <w:rPr>
          <w:bCs/>
        </w:rPr>
      </w:pPr>
      <w:r>
        <w:rPr>
          <w:bCs/>
        </w:rPr>
        <w:lastRenderedPageBreak/>
        <w:t>Savukārt pieteicēju norādītais, ka Andrejostas detālplānojumā un Andrejsalas detālplānojumā esot konstatējama neatbilstība – savstarpēji atšķirīgs tramvaja sliežu novietojums un joslu skaits Eksporta ielā –</w:t>
      </w:r>
      <w:r w:rsidR="00150E78">
        <w:rPr>
          <w:bCs/>
        </w:rPr>
        <w:t>,</w:t>
      </w:r>
      <w:r>
        <w:rPr>
          <w:bCs/>
        </w:rPr>
        <w:t xml:space="preserve"> nepadara šos plānošanas dokumentus par neatbilstošiem plānošanas principu prasībām. Tieši būvprojekta uzdevums ir līdz mēroga precizitātei noteikt plānotās būvniecības atrašanās vietu.</w:t>
      </w:r>
    </w:p>
    <w:p w14:paraId="23BB5909" w14:textId="7DB82652" w:rsidR="002D55AC" w:rsidRDefault="001E3C20" w:rsidP="00C60D74">
      <w:pPr>
        <w:shd w:val="clear" w:color="auto" w:fill="FFFFFF"/>
        <w:spacing w:line="276" w:lineRule="auto"/>
        <w:ind w:firstLine="720"/>
        <w:jc w:val="both"/>
        <w:rPr>
          <w:bCs/>
        </w:rPr>
      </w:pPr>
      <w:r>
        <w:rPr>
          <w:bCs/>
        </w:rPr>
        <w:t xml:space="preserve"> </w:t>
      </w:r>
    </w:p>
    <w:p w14:paraId="5A7D3F5B" w14:textId="459D3BB0" w:rsidR="002B5FF8" w:rsidRDefault="001E3C20" w:rsidP="00C60D74">
      <w:pPr>
        <w:shd w:val="clear" w:color="auto" w:fill="FFFFFF"/>
        <w:spacing w:line="276" w:lineRule="auto"/>
        <w:ind w:firstLine="720"/>
        <w:jc w:val="both"/>
        <w:rPr>
          <w:bCs/>
        </w:rPr>
      </w:pPr>
      <w:r>
        <w:rPr>
          <w:bCs/>
        </w:rPr>
        <w:t>[1</w:t>
      </w:r>
      <w:r w:rsidR="00C40EEF">
        <w:rPr>
          <w:bCs/>
        </w:rPr>
        <w:t>7</w:t>
      </w:r>
      <w:r>
        <w:rPr>
          <w:bCs/>
        </w:rPr>
        <w:t>]</w:t>
      </w:r>
      <w:r w:rsidR="00ED02BE">
        <w:rPr>
          <w:bCs/>
        </w:rPr>
        <w:t> </w:t>
      </w:r>
      <w:r>
        <w:rPr>
          <w:bCs/>
        </w:rPr>
        <w:t>Ievērojot minēto, Senāts atzīst, ka apgabaltiesa kopumā pamatoti secinājusi, k</w:t>
      </w:r>
      <w:r w:rsidR="0079381D">
        <w:rPr>
          <w:bCs/>
        </w:rPr>
        <w:t xml:space="preserve">a Andrejostas detālplānojums ir piemērojams. Tā kā teritorijai, kuras attīstībai izdotas strīdus būvatļaujas, ir spēkā esošs detālplānojums, tiesa arī pamatoti atbilstoši Būvniecības likuma 14.panta piektajai daļai noraidīja šajā sakarā paustos pieteicēju iebildumus par sabiedriskās apspriešanas </w:t>
      </w:r>
      <w:r w:rsidR="007D6B4B">
        <w:rPr>
          <w:bCs/>
        </w:rPr>
        <w:t>trūkumu.</w:t>
      </w:r>
      <w:r w:rsidR="0079381D">
        <w:rPr>
          <w:bCs/>
        </w:rPr>
        <w:t xml:space="preserve"> </w:t>
      </w:r>
    </w:p>
    <w:p w14:paraId="5D222793" w14:textId="77777777" w:rsidR="00150E78" w:rsidRDefault="00150E78" w:rsidP="00C60D74">
      <w:pPr>
        <w:shd w:val="clear" w:color="auto" w:fill="FFFFFF"/>
        <w:spacing w:line="276" w:lineRule="auto"/>
        <w:ind w:firstLine="720"/>
        <w:jc w:val="both"/>
        <w:rPr>
          <w:bCs/>
        </w:rPr>
      </w:pPr>
    </w:p>
    <w:p w14:paraId="6688B24E" w14:textId="63A49920" w:rsidR="002B5FF8" w:rsidRDefault="002B5FF8" w:rsidP="00C60D74">
      <w:pPr>
        <w:shd w:val="clear" w:color="auto" w:fill="FFFFFF"/>
        <w:spacing w:line="276" w:lineRule="auto"/>
        <w:jc w:val="center"/>
        <w:rPr>
          <w:b/>
        </w:rPr>
      </w:pPr>
      <w:r w:rsidRPr="002B5FF8">
        <w:rPr>
          <w:b/>
        </w:rPr>
        <w:t>III</w:t>
      </w:r>
    </w:p>
    <w:p w14:paraId="1ECB02B2" w14:textId="44BAA866" w:rsidR="0079381D" w:rsidRPr="0079381D" w:rsidRDefault="0079381D" w:rsidP="00C60D74">
      <w:pPr>
        <w:shd w:val="clear" w:color="auto" w:fill="FFFFFF"/>
        <w:spacing w:line="276" w:lineRule="auto"/>
        <w:jc w:val="center"/>
        <w:rPr>
          <w:bCs/>
          <w:i/>
          <w:iCs/>
        </w:rPr>
      </w:pPr>
      <w:r w:rsidRPr="0079381D">
        <w:rPr>
          <w:bCs/>
          <w:i/>
          <w:iCs/>
        </w:rPr>
        <w:t>Par strīdus būvatļauju atbilstību Andrejostas detālplānojumam</w:t>
      </w:r>
    </w:p>
    <w:p w14:paraId="474F04C6" w14:textId="77777777" w:rsidR="002B5FF8" w:rsidRDefault="002B5FF8" w:rsidP="00C60D74">
      <w:pPr>
        <w:shd w:val="clear" w:color="auto" w:fill="FFFFFF"/>
        <w:spacing w:line="276" w:lineRule="auto"/>
        <w:ind w:firstLine="720"/>
        <w:jc w:val="center"/>
        <w:rPr>
          <w:b/>
        </w:rPr>
      </w:pPr>
    </w:p>
    <w:p w14:paraId="19DCDAC8" w14:textId="5E8E5D97" w:rsidR="002B5FF8" w:rsidRDefault="002B5FF8" w:rsidP="00C60D74">
      <w:pPr>
        <w:shd w:val="clear" w:color="auto" w:fill="FFFFFF"/>
        <w:spacing w:line="276" w:lineRule="auto"/>
        <w:ind w:firstLine="720"/>
        <w:jc w:val="both"/>
        <w:rPr>
          <w:bCs/>
        </w:rPr>
      </w:pPr>
      <w:r w:rsidRPr="002B5FF8">
        <w:rPr>
          <w:bCs/>
        </w:rPr>
        <w:t>[1</w:t>
      </w:r>
      <w:r w:rsidR="00C40EEF">
        <w:rPr>
          <w:bCs/>
        </w:rPr>
        <w:t>8</w:t>
      </w:r>
      <w:r w:rsidRPr="002B5FF8">
        <w:rPr>
          <w:bCs/>
        </w:rPr>
        <w:t>]</w:t>
      </w:r>
      <w:r w:rsidR="008151A5">
        <w:rPr>
          <w:bCs/>
        </w:rPr>
        <w:t> </w:t>
      </w:r>
      <w:r>
        <w:rPr>
          <w:bCs/>
        </w:rPr>
        <w:t>Kasācijas sūdzībā norādīti arī vairāki argumenti saistībā ar būvniecības atbilstību Andrejostas detālplānojumam.</w:t>
      </w:r>
    </w:p>
    <w:p w14:paraId="00DFA7BD" w14:textId="71FFE62D" w:rsidR="002B5FF8" w:rsidRDefault="002B5FF8" w:rsidP="00C60D74">
      <w:pPr>
        <w:shd w:val="clear" w:color="auto" w:fill="FFFFFF"/>
        <w:spacing w:line="276" w:lineRule="auto"/>
        <w:ind w:firstLine="720"/>
        <w:jc w:val="both"/>
        <w:rPr>
          <w:bCs/>
        </w:rPr>
      </w:pPr>
      <w:r>
        <w:rPr>
          <w:bCs/>
        </w:rPr>
        <w:t xml:space="preserve">Šo argumentu sakarā Senāts vispirms uzskata par nepieciešamu </w:t>
      </w:r>
      <w:r w:rsidR="001641B8">
        <w:rPr>
          <w:bCs/>
        </w:rPr>
        <w:t>atgādināt kasācijas instances tiesas kompetenci. Kasācijas instances tiesas uzdevums ir zemākas instances tiesas sprieduma pareizības pārbaude, nevis pārsūdzētā administratīvā akta tiesiskuma izvērtējums</w:t>
      </w:r>
      <w:r w:rsidR="00FA5337">
        <w:rPr>
          <w:bCs/>
        </w:rPr>
        <w:t xml:space="preserve"> pēc būtības.</w:t>
      </w:r>
      <w:r w:rsidR="001641B8">
        <w:rPr>
          <w:bCs/>
        </w:rPr>
        <w:t xml:space="preserve"> Līdz ar to tie pieteicēju argumenti, kas </w:t>
      </w:r>
      <w:r w:rsidR="00C83CF9">
        <w:rPr>
          <w:bCs/>
        </w:rPr>
        <w:t xml:space="preserve">neatspoguļo </w:t>
      </w:r>
      <w:r w:rsidR="001641B8">
        <w:rPr>
          <w:bCs/>
        </w:rPr>
        <w:t xml:space="preserve">pamatojumu par tiesas pieļautiem pārkāpumiem, bet </w:t>
      </w:r>
      <w:r w:rsidR="006638B0">
        <w:rPr>
          <w:bCs/>
        </w:rPr>
        <w:t xml:space="preserve">vienīgi pamatojumu par </w:t>
      </w:r>
      <w:r w:rsidR="00454C67">
        <w:rPr>
          <w:bCs/>
        </w:rPr>
        <w:t>strīdus būvatļauju tiesiskumu</w:t>
      </w:r>
      <w:r w:rsidR="00FA5337">
        <w:rPr>
          <w:bCs/>
        </w:rPr>
        <w:t>,</w:t>
      </w:r>
      <w:r w:rsidR="00454C67">
        <w:rPr>
          <w:bCs/>
        </w:rPr>
        <w:t xml:space="preserve"> </w:t>
      </w:r>
      <w:r w:rsidR="001641B8">
        <w:rPr>
          <w:bCs/>
        </w:rPr>
        <w:t>neveido kasācijas kārtībā pārbaudāmus argumentus</w:t>
      </w:r>
      <w:r w:rsidR="007D6B4B">
        <w:rPr>
          <w:bCs/>
        </w:rPr>
        <w:t>,</w:t>
      </w:r>
      <w:r w:rsidR="00FA5337">
        <w:rPr>
          <w:bCs/>
        </w:rPr>
        <w:t xml:space="preserve"> un Senāts uz tiem nesniegs atbildi. </w:t>
      </w:r>
    </w:p>
    <w:p w14:paraId="2F709360" w14:textId="77777777" w:rsidR="00774DF5" w:rsidRDefault="00774DF5" w:rsidP="00C60D74">
      <w:pPr>
        <w:shd w:val="clear" w:color="auto" w:fill="FFFFFF"/>
        <w:spacing w:line="276" w:lineRule="auto"/>
        <w:ind w:firstLine="720"/>
        <w:jc w:val="both"/>
        <w:rPr>
          <w:bCs/>
        </w:rPr>
      </w:pPr>
    </w:p>
    <w:p w14:paraId="68AE8000" w14:textId="2CB59B82" w:rsidR="002114C5" w:rsidRDefault="00774DF5" w:rsidP="00C60D74">
      <w:pPr>
        <w:shd w:val="clear" w:color="auto" w:fill="FFFFFF"/>
        <w:spacing w:line="276" w:lineRule="auto"/>
        <w:ind w:firstLine="720"/>
        <w:jc w:val="both"/>
        <w:rPr>
          <w:bCs/>
        </w:rPr>
      </w:pPr>
      <w:r>
        <w:rPr>
          <w:bCs/>
        </w:rPr>
        <w:t>[1</w:t>
      </w:r>
      <w:r w:rsidR="00C40EEF">
        <w:rPr>
          <w:bCs/>
        </w:rPr>
        <w:t>9</w:t>
      </w:r>
      <w:r>
        <w:rPr>
          <w:bCs/>
        </w:rPr>
        <w:t>]</w:t>
      </w:r>
      <w:r w:rsidR="008151A5">
        <w:rPr>
          <w:bCs/>
        </w:rPr>
        <w:t> </w:t>
      </w:r>
      <w:r w:rsidR="007B4394">
        <w:rPr>
          <w:bCs/>
        </w:rPr>
        <w:t xml:space="preserve">Pieteicēji kasācijas sūdzībā </w:t>
      </w:r>
      <w:r w:rsidR="0069012E">
        <w:rPr>
          <w:bCs/>
        </w:rPr>
        <w:t xml:space="preserve">iebilst, ka tiesa kļūdaini secinājusi, ka </w:t>
      </w:r>
      <w:r w:rsidR="004569A4">
        <w:rPr>
          <w:bCs/>
        </w:rPr>
        <w:t>viesnīcas būvniecība atbilst Andrejostas detālplānojum</w:t>
      </w:r>
      <w:r w:rsidR="00FF4FD2">
        <w:rPr>
          <w:bCs/>
        </w:rPr>
        <w:t>ā paredzētajai</w:t>
      </w:r>
      <w:r w:rsidR="004569A4">
        <w:rPr>
          <w:bCs/>
        </w:rPr>
        <w:t xml:space="preserve"> atļautajai izmantošanai</w:t>
      </w:r>
      <w:r w:rsidR="0069012E">
        <w:rPr>
          <w:bCs/>
        </w:rPr>
        <w:t>. Šo iebildumu pamat</w:t>
      </w:r>
      <w:r w:rsidR="009A4FCE">
        <w:rPr>
          <w:bCs/>
        </w:rPr>
        <w:t>ā ir uzskats, ka Andrejostas detālplānojuma</w:t>
      </w:r>
      <w:r w:rsidR="00FF4FD2">
        <w:rPr>
          <w:bCs/>
        </w:rPr>
        <w:t xml:space="preserve"> normu</w:t>
      </w:r>
      <w:r w:rsidR="009A4FCE">
        <w:rPr>
          <w:bCs/>
        </w:rPr>
        <w:t xml:space="preserve"> iztulkošanā jāņem </w:t>
      </w:r>
      <w:r w:rsidR="002114C5">
        <w:rPr>
          <w:bCs/>
        </w:rPr>
        <w:t xml:space="preserve">vērā </w:t>
      </w:r>
      <w:r w:rsidR="009A4FCE">
        <w:rPr>
          <w:bCs/>
        </w:rPr>
        <w:t xml:space="preserve">tas, </w:t>
      </w:r>
      <w:r w:rsidR="0069012E">
        <w:rPr>
          <w:bCs/>
        </w:rPr>
        <w:t xml:space="preserve">kādi apzīmējumi teritorijas atļautajai izmantošanai lietoti Andrejsalas detālplānojumā. </w:t>
      </w:r>
      <w:r w:rsidR="00D55293">
        <w:rPr>
          <w:bCs/>
        </w:rPr>
        <w:t>Senāts piekrīt</w:t>
      </w:r>
      <w:r w:rsidR="0069012E">
        <w:rPr>
          <w:bCs/>
        </w:rPr>
        <w:t xml:space="preserve"> pieteicējiem tiktāl</w:t>
      </w:r>
      <w:r w:rsidR="00D55293">
        <w:rPr>
          <w:bCs/>
        </w:rPr>
        <w:t xml:space="preserve">, ka pašvaldībai teritorijas plānošanas procesā jēdzieni un apzīmējami jālieto tā, lai nodrošinātu, ka plānošanas procesa rezultāts ir skaidrs un saprotams (sal. </w:t>
      </w:r>
      <w:r w:rsidR="00D55293" w:rsidRPr="003A5BC5">
        <w:rPr>
          <w:bCs/>
          <w:i/>
          <w:iCs/>
        </w:rPr>
        <w:t xml:space="preserve">Satversmes tiesas 2011.gada 12.maija sprieduma lietā </w:t>
      </w:r>
      <w:hyperlink r:id="rId20" w:anchor="search=" w:history="1">
        <w:r w:rsidR="00D55293" w:rsidRPr="00E6704E">
          <w:rPr>
            <w:rStyle w:val="Hyperlink"/>
            <w:bCs/>
            <w:i/>
            <w:iCs/>
          </w:rPr>
          <w:t>Nr.</w:t>
        </w:r>
        <w:r w:rsidR="009F3713" w:rsidRPr="00E6704E">
          <w:rPr>
            <w:rStyle w:val="Hyperlink"/>
            <w:bCs/>
            <w:i/>
            <w:iCs/>
          </w:rPr>
          <w:t> </w:t>
        </w:r>
        <w:r w:rsidR="00D55293" w:rsidRPr="00E6704E">
          <w:rPr>
            <w:rStyle w:val="Hyperlink"/>
            <w:bCs/>
            <w:i/>
            <w:iCs/>
          </w:rPr>
          <w:t>2010-56-03</w:t>
        </w:r>
      </w:hyperlink>
      <w:r w:rsidR="00D55293" w:rsidRPr="003A5BC5">
        <w:rPr>
          <w:bCs/>
          <w:i/>
          <w:iCs/>
        </w:rPr>
        <w:t xml:space="preserve"> 19.3.punkts</w:t>
      </w:r>
      <w:r w:rsidR="00D55293">
        <w:rPr>
          <w:bCs/>
        </w:rPr>
        <w:t>).</w:t>
      </w:r>
      <w:r w:rsidR="0069012E">
        <w:rPr>
          <w:bCs/>
        </w:rPr>
        <w:t xml:space="preserve"> Minētais ir cieši saistīts arī ar sabiedrības līdzdalības tiesību</w:t>
      </w:r>
      <w:r w:rsidR="00E6704E">
        <w:rPr>
          <w:bCs/>
        </w:rPr>
        <w:t xml:space="preserve"> efektīvu</w:t>
      </w:r>
      <w:r w:rsidR="0069012E">
        <w:rPr>
          <w:bCs/>
        </w:rPr>
        <w:t xml:space="preserve"> īstenošanu. Tomēr </w:t>
      </w:r>
      <w:r w:rsidR="002114C5">
        <w:rPr>
          <w:bCs/>
        </w:rPr>
        <w:t>Senāts nesaskata, kāpēc to Andrejostas detālplānojuma normu iztulkojumā, kas no</w:t>
      </w:r>
      <w:r w:rsidR="00543E7B">
        <w:rPr>
          <w:bCs/>
        </w:rPr>
        <w:t>saka</w:t>
      </w:r>
      <w:r w:rsidR="002114C5">
        <w:rPr>
          <w:bCs/>
        </w:rPr>
        <w:t xml:space="preserve"> teritorijas atļauto izmantošanu, neskaidrību </w:t>
      </w:r>
      <w:r w:rsidR="00E6704E">
        <w:rPr>
          <w:bCs/>
        </w:rPr>
        <w:t xml:space="preserve">varētu </w:t>
      </w:r>
      <w:r w:rsidR="002114C5">
        <w:rPr>
          <w:bCs/>
        </w:rPr>
        <w:t>radīt gandrīz divus gadus vēlāk pieņemtajā Andrejsalas detālplānojumā lietotie atļautās izmantošanas apzīmējumi.</w:t>
      </w:r>
      <w:r w:rsidR="000D13F1">
        <w:rPr>
          <w:bCs/>
        </w:rPr>
        <w:t xml:space="preserve"> Līdz ar to minētie pieteicēju iebildumi nenorāda uz kļūdām tiesas secinājumos. </w:t>
      </w:r>
    </w:p>
    <w:p w14:paraId="4C9520CA" w14:textId="77777777" w:rsidR="00D55293" w:rsidRDefault="00D55293" w:rsidP="00C60D74">
      <w:pPr>
        <w:shd w:val="clear" w:color="auto" w:fill="FFFFFF"/>
        <w:spacing w:line="276" w:lineRule="auto"/>
        <w:jc w:val="both"/>
        <w:rPr>
          <w:bCs/>
        </w:rPr>
      </w:pPr>
    </w:p>
    <w:p w14:paraId="7C49F9BB" w14:textId="26D8ABD8" w:rsidR="00D55293" w:rsidRDefault="00D55293" w:rsidP="00C60D74">
      <w:pPr>
        <w:shd w:val="clear" w:color="auto" w:fill="FFFFFF"/>
        <w:spacing w:line="276" w:lineRule="auto"/>
        <w:ind w:firstLine="720"/>
        <w:jc w:val="both"/>
        <w:rPr>
          <w:bCs/>
        </w:rPr>
      </w:pPr>
      <w:r>
        <w:rPr>
          <w:bCs/>
        </w:rPr>
        <w:t>[</w:t>
      </w:r>
      <w:r w:rsidR="00C40EEF">
        <w:rPr>
          <w:bCs/>
        </w:rPr>
        <w:t>20</w:t>
      </w:r>
      <w:r>
        <w:rPr>
          <w:bCs/>
        </w:rPr>
        <w:t>]</w:t>
      </w:r>
      <w:r w:rsidR="00543E7B">
        <w:rPr>
          <w:bCs/>
        </w:rPr>
        <w:t> </w:t>
      </w:r>
      <w:r>
        <w:rPr>
          <w:bCs/>
        </w:rPr>
        <w:t>Vienlaikus Senāts piekrīt pieteicēju kasācijas sūdzībā norādītajam, ka tiesa nav pienācīgi izvērtējusi pieteicēju iebildumus par to, ka strīdus būvprojekti neatbilst Andrejostas detālplānojuma prasībām par ēku maksimālo augstumu un stāvu skaitu.</w:t>
      </w:r>
    </w:p>
    <w:p w14:paraId="5B506B90" w14:textId="779493CD" w:rsidR="00BE2821" w:rsidRDefault="00BE2821" w:rsidP="00C60D74">
      <w:pPr>
        <w:shd w:val="clear" w:color="auto" w:fill="FFFFFF"/>
        <w:spacing w:line="276" w:lineRule="auto"/>
        <w:ind w:firstLine="720"/>
        <w:jc w:val="both"/>
        <w:rPr>
          <w:bCs/>
        </w:rPr>
      </w:pPr>
      <w:r>
        <w:rPr>
          <w:bCs/>
        </w:rPr>
        <w:t>Atbilstoši Andrejostas teritorijas izmantošanas un apbūves noteikumu 5</w:t>
      </w:r>
      <w:r w:rsidR="0036327E">
        <w:rPr>
          <w:bCs/>
        </w:rPr>
        <w:t>7</w:t>
      </w:r>
      <w:r>
        <w:rPr>
          <w:bCs/>
        </w:rPr>
        <w:t xml:space="preserve">.punktam maksimālais stāvu skaits </w:t>
      </w:r>
      <w:r w:rsidR="0036327E">
        <w:rPr>
          <w:bCs/>
        </w:rPr>
        <w:t xml:space="preserve">teritorijā, kuras apbūvei izdotas strīdus būvatļaujas, ir seši stāvi, bet atbilstoši minēto noteikumu 58.punktam maksimālais ēkas augstums – </w:t>
      </w:r>
      <w:r w:rsidR="0036327E">
        <w:rPr>
          <w:bCs/>
        </w:rPr>
        <w:lastRenderedPageBreak/>
        <w:t>21</w:t>
      </w:r>
      <w:r w:rsidR="00C55481">
        <w:rPr>
          <w:bCs/>
        </w:rPr>
        <w:t> </w:t>
      </w:r>
      <w:r w:rsidR="0036327E">
        <w:rPr>
          <w:bCs/>
        </w:rPr>
        <w:t xml:space="preserve">metrs. </w:t>
      </w:r>
      <w:r>
        <w:rPr>
          <w:bCs/>
        </w:rPr>
        <w:t>Atbilstoši minēto noteikumu 59.</w:t>
      </w:r>
      <w:r w:rsidR="0036327E">
        <w:rPr>
          <w:bCs/>
        </w:rPr>
        <w:t>1.apakš</w:t>
      </w:r>
      <w:r>
        <w:rPr>
          <w:bCs/>
        </w:rPr>
        <w:t xml:space="preserve">punktam </w:t>
      </w:r>
      <w:r w:rsidRPr="00D55293">
        <w:rPr>
          <w:bCs/>
        </w:rPr>
        <w:t xml:space="preserve">bēniņus ieskaita stāvu skaitā, ja tos izmanto </w:t>
      </w:r>
      <w:r w:rsidR="000737F0">
        <w:rPr>
          <w:bCs/>
        </w:rPr>
        <w:t xml:space="preserve">saskaņā ar atļauju. </w:t>
      </w:r>
      <w:r>
        <w:rPr>
          <w:bCs/>
        </w:rPr>
        <w:t xml:space="preserve"> </w:t>
      </w:r>
    </w:p>
    <w:p w14:paraId="31B828A3" w14:textId="4C54B57F" w:rsidR="00B46D05" w:rsidRDefault="00BE2821" w:rsidP="00C60D74">
      <w:pPr>
        <w:shd w:val="clear" w:color="auto" w:fill="FFFFFF"/>
        <w:spacing w:line="276" w:lineRule="auto"/>
        <w:ind w:firstLine="720"/>
        <w:jc w:val="both"/>
        <w:rPr>
          <w:bCs/>
        </w:rPr>
      </w:pPr>
      <w:r w:rsidRPr="00B0464D">
        <w:rPr>
          <w:bCs/>
        </w:rPr>
        <w:t>Pieteicēju šajā sakarā pausto iebildumu būtīb</w:t>
      </w:r>
      <w:r w:rsidR="003F293B" w:rsidRPr="00B0464D">
        <w:rPr>
          <w:bCs/>
        </w:rPr>
        <w:t>a</w:t>
      </w:r>
      <w:r w:rsidRPr="00B0464D">
        <w:rPr>
          <w:bCs/>
        </w:rPr>
        <w:t xml:space="preserve"> tiesvedības gaitā bija, ka nepamatoti ēkas stāvu skaitā nav ieskaitīts jumta stāvs. </w:t>
      </w:r>
      <w:r w:rsidR="00B46D05" w:rsidRPr="00B0464D">
        <w:rPr>
          <w:bCs/>
        </w:rPr>
        <w:t xml:space="preserve">Minētā sakarā pieteicēji iebilda pret to, ka attiecīgais jumta stāva paaugstinājums tiek vērtēts vienīgi kā arhitektoniskais akcents, </w:t>
      </w:r>
      <w:r w:rsidR="000737F0" w:rsidRPr="00B0464D">
        <w:rPr>
          <w:bCs/>
        </w:rPr>
        <w:t xml:space="preserve">kā argumentu minot faktu, </w:t>
      </w:r>
      <w:r w:rsidR="00B46D05" w:rsidRPr="00B0464D">
        <w:rPr>
          <w:bCs/>
        </w:rPr>
        <w:t>ka konkrētā situācija neliecina par to, ka jumta stāvu paredzēts izmantot tikai kā tehnisko stāvu.</w:t>
      </w:r>
    </w:p>
    <w:p w14:paraId="5985D7F8" w14:textId="68C39DE1" w:rsidR="001B3E35" w:rsidRDefault="00D55293" w:rsidP="00C60D74">
      <w:pPr>
        <w:shd w:val="clear" w:color="auto" w:fill="FFFFFF"/>
        <w:spacing w:line="276" w:lineRule="auto"/>
        <w:ind w:firstLine="720"/>
        <w:jc w:val="both"/>
        <w:rPr>
          <w:bCs/>
        </w:rPr>
      </w:pPr>
      <w:r>
        <w:rPr>
          <w:bCs/>
        </w:rPr>
        <w:t xml:space="preserve">Vērtējot pieteicēju iebildumus, tiesa spriedumā </w:t>
      </w:r>
      <w:r w:rsidR="00FC548A">
        <w:rPr>
          <w:bCs/>
        </w:rPr>
        <w:t xml:space="preserve">atreferējusi </w:t>
      </w:r>
      <w:r>
        <w:rPr>
          <w:bCs/>
        </w:rPr>
        <w:t xml:space="preserve">virkni </w:t>
      </w:r>
      <w:r w:rsidR="00FC548A">
        <w:rPr>
          <w:bCs/>
        </w:rPr>
        <w:t>tiesību normu, kas dažādās situācijās reglamentē, kā mērāms būves augstums</w:t>
      </w:r>
      <w:r w:rsidR="00B0464D">
        <w:rPr>
          <w:bCs/>
        </w:rPr>
        <w:t>,</w:t>
      </w:r>
      <w:r w:rsidR="00FC548A">
        <w:rPr>
          <w:bCs/>
        </w:rPr>
        <w:t xml:space="preserve"> un </w:t>
      </w:r>
      <w:r w:rsidR="009D225C">
        <w:rPr>
          <w:bCs/>
        </w:rPr>
        <w:t xml:space="preserve">vispārīgi </w:t>
      </w:r>
      <w:r w:rsidR="00FC548A">
        <w:rPr>
          <w:bCs/>
        </w:rPr>
        <w:t xml:space="preserve">norādījusi: </w:t>
      </w:r>
      <w:r w:rsidR="000277DB">
        <w:rPr>
          <w:bCs/>
        </w:rPr>
        <w:t xml:space="preserve">kā liecina lietā esošie dokumenti, ēkas </w:t>
      </w:r>
      <w:r w:rsidR="000277DB" w:rsidRPr="000277DB">
        <w:rPr>
          <w:bCs/>
        </w:rPr>
        <w:t xml:space="preserve">augstums ir norādīts atbilstoši tiesību normām un atbilst </w:t>
      </w:r>
      <w:r w:rsidR="00BE2821">
        <w:rPr>
          <w:bCs/>
        </w:rPr>
        <w:t xml:space="preserve">Andrejostas teritorijas izmantošanas un apbūves noteikumu prasībām, </w:t>
      </w:r>
      <w:r w:rsidR="000277DB" w:rsidRPr="000277DB">
        <w:rPr>
          <w:bCs/>
        </w:rPr>
        <w:t xml:space="preserve">neskatoties uz pieteicēju nepiekrišanu </w:t>
      </w:r>
      <w:r w:rsidR="00B0464D">
        <w:rPr>
          <w:bCs/>
        </w:rPr>
        <w:t>tam</w:t>
      </w:r>
      <w:r w:rsidR="000277DB" w:rsidRPr="000277DB">
        <w:rPr>
          <w:bCs/>
        </w:rPr>
        <w:t>, kā mērāms ēkas augstums un kāds ir stāvu</w:t>
      </w:r>
      <w:r w:rsidR="000277DB">
        <w:rPr>
          <w:bCs/>
        </w:rPr>
        <w:t xml:space="preserve"> </w:t>
      </w:r>
      <w:r w:rsidR="000277DB" w:rsidRPr="000277DB">
        <w:rPr>
          <w:bCs/>
        </w:rPr>
        <w:t>skaits, tostarp attiecībā uz arhitektoniskā akcenta esību.</w:t>
      </w:r>
      <w:r w:rsidR="000277DB">
        <w:rPr>
          <w:bCs/>
        </w:rPr>
        <w:t xml:space="preserve"> Tālāk tiesa gan ēkas augstuma, gan stāvu skaita izvērtējumā atsaukusies uz rakstveida pierādījumu – trešās personas iesniegto SIA</w:t>
      </w:r>
      <w:r w:rsidR="00BE2821">
        <w:rPr>
          <w:bCs/>
        </w:rPr>
        <w:t> </w:t>
      </w:r>
      <w:r w:rsidR="003F293B">
        <w:rPr>
          <w:bCs/>
        </w:rPr>
        <w:t>„</w:t>
      </w:r>
      <w:r w:rsidR="000277DB">
        <w:rPr>
          <w:bCs/>
        </w:rPr>
        <w:t xml:space="preserve">Tilbro” veikto būvprojekta novērtējumu –, ko tiesa </w:t>
      </w:r>
      <w:r w:rsidR="00FC548A">
        <w:rPr>
          <w:bCs/>
        </w:rPr>
        <w:t xml:space="preserve">dēvējusi par </w:t>
      </w:r>
      <w:r w:rsidR="000277DB">
        <w:rPr>
          <w:bCs/>
        </w:rPr>
        <w:t xml:space="preserve">būvprojekta ekspertīzi. </w:t>
      </w:r>
      <w:r w:rsidR="00CF7B2C">
        <w:rPr>
          <w:bCs/>
        </w:rPr>
        <w:t>Saistībā ar minēto</w:t>
      </w:r>
      <w:r w:rsidR="00FC548A">
        <w:rPr>
          <w:bCs/>
        </w:rPr>
        <w:t xml:space="preserve"> tiesa norādījusi, ka </w:t>
      </w:r>
      <w:r w:rsidR="000277DB" w:rsidRPr="000277DB">
        <w:rPr>
          <w:bCs/>
        </w:rPr>
        <w:t>šajā jautājumā piešķir lielāku ticamību eksperta</w:t>
      </w:r>
      <w:r w:rsidR="000277DB">
        <w:rPr>
          <w:bCs/>
        </w:rPr>
        <w:t xml:space="preserve"> </w:t>
      </w:r>
      <w:r w:rsidR="000277DB" w:rsidRPr="000277DB">
        <w:rPr>
          <w:bCs/>
        </w:rPr>
        <w:t>atzītajam, ka biroju ēkas jumta augstumu veido arhitektoniskais akcents</w:t>
      </w:r>
      <w:r w:rsidR="000277DB">
        <w:rPr>
          <w:bCs/>
        </w:rPr>
        <w:t xml:space="preserve">, kamēr pieteicēju viedoklis par pretējo neapstiprinās. </w:t>
      </w:r>
      <w:r w:rsidR="00FC548A">
        <w:rPr>
          <w:bCs/>
        </w:rPr>
        <w:t xml:space="preserve">Tālāk tiesa izdarījusi vispārīgu secinājumu, ka </w:t>
      </w:r>
      <w:r w:rsidR="000277DB">
        <w:rPr>
          <w:bCs/>
        </w:rPr>
        <w:t>būvprojekt</w:t>
      </w:r>
      <w:r w:rsidR="00421C92">
        <w:rPr>
          <w:bCs/>
        </w:rPr>
        <w:t>ā</w:t>
      </w:r>
      <w:r w:rsidR="000277DB">
        <w:rPr>
          <w:bCs/>
        </w:rPr>
        <w:t xml:space="preserve"> nav ziņu, ka šī ēkas daļa tiks izmantota kā dzīvojamās vai publiskās telpas</w:t>
      </w:r>
      <w:r w:rsidR="00C55481">
        <w:rPr>
          <w:bCs/>
        </w:rPr>
        <w:t>,</w:t>
      </w:r>
      <w:r w:rsidR="00FC548A">
        <w:rPr>
          <w:bCs/>
        </w:rPr>
        <w:t xml:space="preserve"> un papildus tam atsaukusies arī uz citā trešās personas iesniegtajā rakstveida pierādījumā – </w:t>
      </w:r>
      <w:r w:rsidR="001B3E35" w:rsidRPr="001B3E35">
        <w:rPr>
          <w:bCs/>
        </w:rPr>
        <w:t>SIA</w:t>
      </w:r>
      <w:r w:rsidR="00DD6CA3">
        <w:rPr>
          <w:bCs/>
        </w:rPr>
        <w:t> </w:t>
      </w:r>
      <w:r w:rsidR="00FC548A">
        <w:rPr>
          <w:bCs/>
        </w:rPr>
        <w:t>,,</w:t>
      </w:r>
      <w:r w:rsidR="001B3E35" w:rsidRPr="001B3E35">
        <w:rPr>
          <w:bCs/>
        </w:rPr>
        <w:t>Lejnieku</w:t>
      </w:r>
      <w:r w:rsidR="001B3E35">
        <w:rPr>
          <w:bCs/>
        </w:rPr>
        <w:t xml:space="preserve"> </w:t>
      </w:r>
      <w:r w:rsidR="001B3E35" w:rsidRPr="001B3E35">
        <w:rPr>
          <w:bCs/>
        </w:rPr>
        <w:t xml:space="preserve">projektēšanas birojs” </w:t>
      </w:r>
      <w:r w:rsidR="001B3E35">
        <w:rPr>
          <w:bCs/>
        </w:rPr>
        <w:t>atzinumā – secināto, ka būvprojekts atbilst tiesību normu prasībām.</w:t>
      </w:r>
      <w:r w:rsidR="00CF7B2C">
        <w:rPr>
          <w:bCs/>
        </w:rPr>
        <w:t xml:space="preserve"> Šo rakstveida pierādījumu sakar</w:t>
      </w:r>
      <w:r w:rsidR="003F293B">
        <w:rPr>
          <w:bCs/>
        </w:rPr>
        <w:t>ā</w:t>
      </w:r>
      <w:r w:rsidR="00CF7B2C">
        <w:rPr>
          <w:bCs/>
        </w:rPr>
        <w:t xml:space="preserve"> tiesa arī akcentējusi šo</w:t>
      </w:r>
      <w:r w:rsidR="008E79FF">
        <w:rPr>
          <w:bCs/>
        </w:rPr>
        <w:t xml:space="preserve"> dokumentu</w:t>
      </w:r>
      <w:r w:rsidR="00CF7B2C">
        <w:rPr>
          <w:bCs/>
        </w:rPr>
        <w:t xml:space="preserve"> sagatavotāju autoritāti un to, ka nepastāv pamats apšaubīt šo sagatavotāju objektivitāti.</w:t>
      </w:r>
    </w:p>
    <w:p w14:paraId="5B35A8E5" w14:textId="733C7422" w:rsidR="001B3E35" w:rsidRDefault="001B3E35" w:rsidP="00C60D74">
      <w:pPr>
        <w:shd w:val="clear" w:color="auto" w:fill="FFFFFF"/>
        <w:spacing w:line="276" w:lineRule="auto"/>
        <w:ind w:firstLine="720"/>
        <w:jc w:val="both"/>
        <w:rPr>
          <w:bCs/>
        </w:rPr>
      </w:pPr>
      <w:r>
        <w:rPr>
          <w:bCs/>
        </w:rPr>
        <w:t xml:space="preserve">Rezumējot minēto, tiesa secinājusi, ka pieteicēju šaubām nav gūts apstiprinājums </w:t>
      </w:r>
      <w:r w:rsidRPr="001B3E35">
        <w:rPr>
          <w:bCs/>
        </w:rPr>
        <w:t>un tās ir pretrunā ar personu, kam ir speciālas zināšanas</w:t>
      </w:r>
      <w:r>
        <w:rPr>
          <w:bCs/>
        </w:rPr>
        <w:t xml:space="preserve"> </w:t>
      </w:r>
      <w:r w:rsidRPr="001B3E35">
        <w:rPr>
          <w:bCs/>
        </w:rPr>
        <w:t xml:space="preserve">arhitektūras jomā, izdarītiem secinājumiem, kā arī </w:t>
      </w:r>
      <w:r w:rsidR="003F293B">
        <w:rPr>
          <w:bCs/>
        </w:rPr>
        <w:t xml:space="preserve">dokumentiem, kurus pārbaudījusi </w:t>
      </w:r>
      <w:r w:rsidRPr="001B3E35">
        <w:rPr>
          <w:bCs/>
        </w:rPr>
        <w:t>tiesa</w:t>
      </w:r>
      <w:r w:rsidR="00FC548A">
        <w:rPr>
          <w:bCs/>
        </w:rPr>
        <w:t>.</w:t>
      </w:r>
    </w:p>
    <w:p w14:paraId="3E48D81A" w14:textId="13652A06" w:rsidR="00BF1D6E" w:rsidRDefault="001B3E35" w:rsidP="00C60D74">
      <w:pPr>
        <w:shd w:val="clear" w:color="auto" w:fill="FFFFFF"/>
        <w:spacing w:line="276" w:lineRule="auto"/>
        <w:ind w:firstLine="720"/>
        <w:jc w:val="both"/>
        <w:rPr>
          <w:bCs/>
        </w:rPr>
      </w:pPr>
      <w:r>
        <w:rPr>
          <w:bCs/>
        </w:rPr>
        <w:t>Tomēr, kā pamatoti</w:t>
      </w:r>
      <w:r w:rsidR="00B364AF">
        <w:rPr>
          <w:bCs/>
        </w:rPr>
        <w:t xml:space="preserve"> norādīts kasācijas sūdzībā, šādi tiesas secinājumi nav balstīti pilnvērtīgā</w:t>
      </w:r>
      <w:r w:rsidR="009D225C">
        <w:rPr>
          <w:bCs/>
        </w:rPr>
        <w:t xml:space="preserve"> pieteicēj</w:t>
      </w:r>
      <w:r w:rsidR="003F293B">
        <w:rPr>
          <w:bCs/>
        </w:rPr>
        <w:t>u</w:t>
      </w:r>
      <w:r w:rsidR="009D225C">
        <w:rPr>
          <w:bCs/>
        </w:rPr>
        <w:t xml:space="preserve"> iebildumu un pierādījumu novērtējumā.</w:t>
      </w:r>
      <w:r w:rsidR="00B364AF">
        <w:rPr>
          <w:bCs/>
        </w:rPr>
        <w:t xml:space="preserve"> </w:t>
      </w:r>
      <w:r w:rsidR="00BE2821">
        <w:rPr>
          <w:bCs/>
        </w:rPr>
        <w:t xml:space="preserve">Tā vietā tiesas secinājumi būtībā pamatoti ar </w:t>
      </w:r>
      <w:r w:rsidR="00B364AF">
        <w:rPr>
          <w:bCs/>
        </w:rPr>
        <w:t>nekritiski pārņemtiem trešās personas iesniegtajos rakstveida pierādījumos izteiktajiem argumentiem</w:t>
      </w:r>
      <w:r w:rsidR="009D225C">
        <w:rPr>
          <w:bCs/>
        </w:rPr>
        <w:t xml:space="preserve"> par to, ka ēkas augstumu </w:t>
      </w:r>
      <w:r w:rsidR="00BE0048">
        <w:rPr>
          <w:bCs/>
        </w:rPr>
        <w:t xml:space="preserve">un stāvu skaitu </w:t>
      </w:r>
      <w:r w:rsidR="009D225C">
        <w:rPr>
          <w:bCs/>
        </w:rPr>
        <w:t>veido arhitektoniskais akcents</w:t>
      </w:r>
      <w:r w:rsidR="00A06D0A">
        <w:rPr>
          <w:bCs/>
        </w:rPr>
        <w:t xml:space="preserve">. </w:t>
      </w:r>
      <w:r w:rsidR="00DA3447">
        <w:rPr>
          <w:bCs/>
        </w:rPr>
        <w:t>Proti, tiesa</w:t>
      </w:r>
      <w:r w:rsidR="009B5F0A">
        <w:rPr>
          <w:bCs/>
        </w:rPr>
        <w:t xml:space="preserve"> savus</w:t>
      </w:r>
      <w:r w:rsidR="00DA3447">
        <w:rPr>
          <w:bCs/>
        </w:rPr>
        <w:t xml:space="preserve"> secinājumus, ka strīdus elementam nav piešķirama cit</w:t>
      </w:r>
      <w:r w:rsidR="00A95AD3">
        <w:rPr>
          <w:bCs/>
        </w:rPr>
        <w:t xml:space="preserve">a, bet vienīgi </w:t>
      </w:r>
      <w:r w:rsidR="00DA3447">
        <w:rPr>
          <w:bCs/>
        </w:rPr>
        <w:t xml:space="preserve">arhitektoniskā akcenta funkcija, balstījusi tajā, ka to apgalvo personas, kam ir speciālas zināšanas arhitektūras jomā. </w:t>
      </w:r>
      <w:r w:rsidR="00A95AD3">
        <w:rPr>
          <w:bCs/>
        </w:rPr>
        <w:t>Taču t</w:t>
      </w:r>
      <w:r w:rsidR="00B364AF">
        <w:rPr>
          <w:bCs/>
        </w:rPr>
        <w:t>as</w:t>
      </w:r>
      <w:r w:rsidR="00B364AF" w:rsidRPr="001B3E35">
        <w:rPr>
          <w:bCs/>
        </w:rPr>
        <w:t xml:space="preserve">, vai </w:t>
      </w:r>
      <w:r w:rsidR="00B364AF">
        <w:rPr>
          <w:bCs/>
        </w:rPr>
        <w:t>būvprojektā paredzēti</w:t>
      </w:r>
      <w:r w:rsidR="00007542">
        <w:rPr>
          <w:bCs/>
        </w:rPr>
        <w:t>e</w:t>
      </w:r>
      <w:r w:rsidR="00B364AF">
        <w:rPr>
          <w:bCs/>
        </w:rPr>
        <w:t xml:space="preserve"> risinājumi nepārkāpj tiesību normu prasības, ir </w:t>
      </w:r>
      <w:r w:rsidR="009D225C">
        <w:rPr>
          <w:bCs/>
        </w:rPr>
        <w:t xml:space="preserve">pārbaudāms, atklājot, kādas </w:t>
      </w:r>
      <w:r w:rsidR="00B364AF">
        <w:rPr>
          <w:bCs/>
        </w:rPr>
        <w:t>prasības būvniecībai izvirza attiecīgās tiesību normas</w:t>
      </w:r>
      <w:r w:rsidR="00C801CA">
        <w:rPr>
          <w:bCs/>
        </w:rPr>
        <w:t>,</w:t>
      </w:r>
      <w:r w:rsidR="00B364AF">
        <w:rPr>
          <w:bCs/>
        </w:rPr>
        <w:t xml:space="preserve"> un šo normu mērķa gaismā izvērtē</w:t>
      </w:r>
      <w:r w:rsidR="009D225C">
        <w:rPr>
          <w:bCs/>
        </w:rPr>
        <w:t>jot</w:t>
      </w:r>
      <w:r w:rsidR="00B364AF">
        <w:rPr>
          <w:bCs/>
        </w:rPr>
        <w:t>, vai strīdus risinājums pēc jēgas tām atbilst.</w:t>
      </w:r>
      <w:r w:rsidR="00BF1D6E">
        <w:rPr>
          <w:bCs/>
        </w:rPr>
        <w:t xml:space="preserve"> </w:t>
      </w:r>
      <w:r w:rsidR="00A95AD3">
        <w:rPr>
          <w:bCs/>
        </w:rPr>
        <w:t xml:space="preserve">Šāds novērtējums ir tiesas kompetencē. </w:t>
      </w:r>
      <w:r w:rsidR="00BF1D6E">
        <w:rPr>
          <w:bCs/>
        </w:rPr>
        <w:t>Šajā gadījumā tiesa pati vispār nav pievērsusies pieteicēj</w:t>
      </w:r>
      <w:r w:rsidR="003F293B">
        <w:rPr>
          <w:bCs/>
        </w:rPr>
        <w:t>u</w:t>
      </w:r>
      <w:r w:rsidR="00BF1D6E">
        <w:rPr>
          <w:bCs/>
        </w:rPr>
        <w:t xml:space="preserve"> iebildumiem pēc būtības par jumta stāva izmantošanu</w:t>
      </w:r>
      <w:r w:rsidR="008E79FF">
        <w:rPr>
          <w:bCs/>
        </w:rPr>
        <w:t>, kā arī nav</w:t>
      </w:r>
      <w:r w:rsidR="009E7DF6">
        <w:rPr>
          <w:bCs/>
        </w:rPr>
        <w:t xml:space="preserve"> </w:t>
      </w:r>
      <w:r w:rsidR="00DA3447">
        <w:rPr>
          <w:bCs/>
        </w:rPr>
        <w:t xml:space="preserve">šo iebildumu </w:t>
      </w:r>
      <w:r w:rsidR="009B5F0A">
        <w:rPr>
          <w:bCs/>
        </w:rPr>
        <w:t>kontekstā</w:t>
      </w:r>
      <w:r w:rsidR="00073EED">
        <w:rPr>
          <w:bCs/>
        </w:rPr>
        <w:t xml:space="preserve"> vērtējusi, vai strīdus elementi patiešām ir tikai arhitektonisks akcents, proti, kāda ir to funkcija, raksturojums un nozīme.</w:t>
      </w:r>
      <w:r w:rsidR="008E79FF">
        <w:rPr>
          <w:bCs/>
        </w:rPr>
        <w:t xml:space="preserve"> </w:t>
      </w:r>
      <w:r w:rsidR="00BF1D6E">
        <w:rPr>
          <w:bCs/>
        </w:rPr>
        <w:t xml:space="preserve">Tā vietā tiesa atspēkojusi pieteicēju iebildumus ar argumentiem, ka tie ir pretrunā ar personu, kam ir speciālas zināšanas arhitektūras jomā, izdarītajiem secinājumiem. Tas neatbilst prasībām par procesa dalībnieku apsvērumu un pierādījumu novērtējumu. </w:t>
      </w:r>
    </w:p>
    <w:p w14:paraId="1745744E" w14:textId="17A43E7D" w:rsidR="001B3E35" w:rsidRDefault="001B3E35" w:rsidP="00C60D74">
      <w:pPr>
        <w:shd w:val="clear" w:color="auto" w:fill="FFFFFF"/>
        <w:spacing w:line="276" w:lineRule="auto"/>
        <w:jc w:val="both"/>
        <w:rPr>
          <w:bCs/>
        </w:rPr>
      </w:pPr>
    </w:p>
    <w:p w14:paraId="41AC18A7" w14:textId="2A9453C8" w:rsidR="0048462B" w:rsidRDefault="001B3E35" w:rsidP="00C60D74">
      <w:pPr>
        <w:shd w:val="clear" w:color="auto" w:fill="FFFFFF"/>
        <w:spacing w:line="276" w:lineRule="auto"/>
        <w:ind w:firstLine="720"/>
        <w:jc w:val="both"/>
        <w:rPr>
          <w:bCs/>
        </w:rPr>
      </w:pPr>
      <w:r>
        <w:rPr>
          <w:bCs/>
        </w:rPr>
        <w:t>[2</w:t>
      </w:r>
      <w:r w:rsidR="00C40EEF">
        <w:rPr>
          <w:bCs/>
        </w:rPr>
        <w:t>1</w:t>
      </w:r>
      <w:r>
        <w:rPr>
          <w:bCs/>
        </w:rPr>
        <w:t>]</w:t>
      </w:r>
      <w:r w:rsidR="00543E7B">
        <w:rPr>
          <w:bCs/>
        </w:rPr>
        <w:t> </w:t>
      </w:r>
      <w:r>
        <w:rPr>
          <w:bCs/>
        </w:rPr>
        <w:t xml:space="preserve">Senāts </w:t>
      </w:r>
      <w:r w:rsidR="00543E7B">
        <w:rPr>
          <w:bCs/>
        </w:rPr>
        <w:t xml:space="preserve">arī </w:t>
      </w:r>
      <w:r>
        <w:rPr>
          <w:bCs/>
        </w:rPr>
        <w:t xml:space="preserve">piekrīt pieteicēju kasācijas sūdzības </w:t>
      </w:r>
      <w:r w:rsidR="00E44EC1">
        <w:rPr>
          <w:bCs/>
        </w:rPr>
        <w:t>argumentiem</w:t>
      </w:r>
      <w:r>
        <w:rPr>
          <w:bCs/>
        </w:rPr>
        <w:t>, ka tiesas spriedum</w:t>
      </w:r>
      <w:r w:rsidR="002F1D99">
        <w:rPr>
          <w:bCs/>
        </w:rPr>
        <w:t xml:space="preserve">ā nav pausta apgabaltiesas attieksme pret pieteicēju iebildumiem </w:t>
      </w:r>
      <w:r>
        <w:rPr>
          <w:bCs/>
        </w:rPr>
        <w:t>saistībā ar</w:t>
      </w:r>
      <w:r w:rsidR="00454C67">
        <w:rPr>
          <w:bCs/>
        </w:rPr>
        <w:t xml:space="preserve"> </w:t>
      </w:r>
      <w:r w:rsidR="00B1319C">
        <w:rPr>
          <w:bCs/>
        </w:rPr>
        <w:lastRenderedPageBreak/>
        <w:t>paredzētajiem autonovietņu risinājumiem un to atbilstību Andrejostas detālplānojumam.</w:t>
      </w:r>
      <w:r w:rsidR="00454C67">
        <w:rPr>
          <w:bCs/>
        </w:rPr>
        <w:t xml:space="preserve"> </w:t>
      </w:r>
      <w:r>
        <w:rPr>
          <w:bCs/>
        </w:rPr>
        <w:t>Šie, kā norāda pieteicēji</w:t>
      </w:r>
      <w:r w:rsidR="00455F4D">
        <w:rPr>
          <w:bCs/>
        </w:rPr>
        <w:t xml:space="preserve">, </w:t>
      </w:r>
      <w:r>
        <w:rPr>
          <w:bCs/>
        </w:rPr>
        <w:t xml:space="preserve">bija pieteicēju apelācijas sūdzībā </w:t>
      </w:r>
      <w:r w:rsidR="00454C67">
        <w:rPr>
          <w:bCs/>
        </w:rPr>
        <w:t>no jauna ietvertie iebildumi. Tomēr apelācijas instances sprieduma motīvu daļ</w:t>
      </w:r>
      <w:r w:rsidR="00A077B1">
        <w:rPr>
          <w:bCs/>
        </w:rPr>
        <w:t xml:space="preserve">ā nav </w:t>
      </w:r>
      <w:r w:rsidR="00454C67">
        <w:rPr>
          <w:bCs/>
        </w:rPr>
        <w:t>nekād</w:t>
      </w:r>
      <w:r w:rsidR="00A077B1">
        <w:rPr>
          <w:bCs/>
        </w:rPr>
        <w:t>a</w:t>
      </w:r>
      <w:r w:rsidR="00454C67">
        <w:rPr>
          <w:bCs/>
        </w:rPr>
        <w:t xml:space="preserve"> vērtējum</w:t>
      </w:r>
      <w:r w:rsidR="00A077B1">
        <w:rPr>
          <w:bCs/>
        </w:rPr>
        <w:t>a</w:t>
      </w:r>
      <w:r w:rsidR="00454C67">
        <w:rPr>
          <w:bCs/>
        </w:rPr>
        <w:t xml:space="preserve"> nedz par šo iebildum</w:t>
      </w:r>
      <w:r w:rsidR="00B05433">
        <w:rPr>
          <w:bCs/>
        </w:rPr>
        <w:t>u</w:t>
      </w:r>
      <w:r w:rsidR="00454C67">
        <w:rPr>
          <w:bCs/>
        </w:rPr>
        <w:t xml:space="preserve"> pieļaujamību, nedz pamatotību. </w:t>
      </w:r>
    </w:p>
    <w:p w14:paraId="1536FED5" w14:textId="77777777" w:rsidR="002F1D99" w:rsidRDefault="002F1D99" w:rsidP="00C60D74">
      <w:pPr>
        <w:shd w:val="clear" w:color="auto" w:fill="FFFFFF"/>
        <w:spacing w:line="276" w:lineRule="auto"/>
        <w:ind w:firstLine="720"/>
        <w:jc w:val="both"/>
        <w:rPr>
          <w:bCs/>
        </w:rPr>
      </w:pPr>
    </w:p>
    <w:p w14:paraId="1F71E873" w14:textId="6D7251D4" w:rsidR="0048462B" w:rsidRDefault="0048462B" w:rsidP="00C60D74">
      <w:pPr>
        <w:shd w:val="clear" w:color="auto" w:fill="FFFFFF"/>
        <w:spacing w:line="276" w:lineRule="auto"/>
        <w:jc w:val="center"/>
        <w:rPr>
          <w:b/>
        </w:rPr>
      </w:pPr>
      <w:r w:rsidRPr="0048462B">
        <w:rPr>
          <w:b/>
        </w:rPr>
        <w:t>I</w:t>
      </w:r>
      <w:r w:rsidR="00DB3648">
        <w:rPr>
          <w:b/>
        </w:rPr>
        <w:t>V</w:t>
      </w:r>
    </w:p>
    <w:p w14:paraId="08BB20FB" w14:textId="79D5FF84" w:rsidR="00DB3648" w:rsidRPr="00DB3648" w:rsidRDefault="00DB3648" w:rsidP="00C60D74">
      <w:pPr>
        <w:shd w:val="clear" w:color="auto" w:fill="FFFFFF"/>
        <w:spacing w:line="276" w:lineRule="auto"/>
        <w:jc w:val="center"/>
        <w:rPr>
          <w:bCs/>
          <w:i/>
          <w:iCs/>
        </w:rPr>
      </w:pPr>
      <w:r w:rsidRPr="00DB3648">
        <w:rPr>
          <w:bCs/>
          <w:i/>
          <w:iCs/>
        </w:rPr>
        <w:t>Noslēguma secinājumi</w:t>
      </w:r>
    </w:p>
    <w:p w14:paraId="065E0765" w14:textId="77777777" w:rsidR="00B741C8" w:rsidRDefault="00B741C8" w:rsidP="00C60D74">
      <w:pPr>
        <w:shd w:val="clear" w:color="auto" w:fill="FFFFFF"/>
        <w:spacing w:line="276" w:lineRule="auto"/>
        <w:ind w:firstLine="720"/>
        <w:jc w:val="both"/>
        <w:rPr>
          <w:bCs/>
          <w:i/>
          <w:iCs/>
        </w:rPr>
      </w:pPr>
    </w:p>
    <w:p w14:paraId="764E34F6" w14:textId="13A116AD" w:rsidR="00942BCA" w:rsidRDefault="00DB3648" w:rsidP="00C60D74">
      <w:pPr>
        <w:shd w:val="clear" w:color="auto" w:fill="FFFFFF"/>
        <w:spacing w:line="276" w:lineRule="auto"/>
        <w:ind w:firstLine="720"/>
        <w:jc w:val="both"/>
        <w:rPr>
          <w:bCs/>
        </w:rPr>
      </w:pPr>
      <w:r>
        <w:rPr>
          <w:bCs/>
        </w:rPr>
        <w:t>[2</w:t>
      </w:r>
      <w:r w:rsidR="00C40EEF">
        <w:rPr>
          <w:bCs/>
        </w:rPr>
        <w:t>2</w:t>
      </w:r>
      <w:r>
        <w:rPr>
          <w:bCs/>
        </w:rPr>
        <w:t>]</w:t>
      </w:r>
      <w:r w:rsidR="00543E7B">
        <w:rPr>
          <w:bCs/>
        </w:rPr>
        <w:t> </w:t>
      </w:r>
      <w:r>
        <w:rPr>
          <w:bCs/>
        </w:rPr>
        <w:t xml:space="preserve">Pieteicēji </w:t>
      </w:r>
      <w:r w:rsidR="009C5B7C">
        <w:rPr>
          <w:bCs/>
        </w:rPr>
        <w:t xml:space="preserve">kasācijas sūdzībā </w:t>
      </w:r>
      <w:r>
        <w:rPr>
          <w:bCs/>
        </w:rPr>
        <w:t xml:space="preserve">arī plaši skaidrojuši, kāpēc uzskata, ka </w:t>
      </w:r>
      <w:r w:rsidR="009C5B7C">
        <w:rPr>
          <w:bCs/>
        </w:rPr>
        <w:t xml:space="preserve">strīdus </w:t>
      </w:r>
      <w:r w:rsidR="00942BCA">
        <w:rPr>
          <w:bCs/>
        </w:rPr>
        <w:t>būvatļaujas pārkāpj pieteicēju Satversmes 115.pantā nostiprinātās tiesības dzīvot labvēlīgā vidē.</w:t>
      </w:r>
    </w:p>
    <w:p w14:paraId="29FF0538" w14:textId="1E37F1F4" w:rsidR="006738C9" w:rsidRDefault="00942BCA" w:rsidP="00C60D74">
      <w:pPr>
        <w:shd w:val="clear" w:color="auto" w:fill="FFFFFF"/>
        <w:spacing w:line="276" w:lineRule="auto"/>
        <w:ind w:firstLine="720"/>
        <w:jc w:val="both"/>
        <w:rPr>
          <w:bCs/>
        </w:rPr>
      </w:pPr>
      <w:r>
        <w:rPr>
          <w:bCs/>
        </w:rPr>
        <w:t xml:space="preserve">Saistībā ar minēto Senāts </w:t>
      </w:r>
      <w:r w:rsidR="009C5B7C">
        <w:rPr>
          <w:bCs/>
        </w:rPr>
        <w:t>uzsver:</w:t>
      </w:r>
      <w:r>
        <w:rPr>
          <w:bCs/>
        </w:rPr>
        <w:t xml:space="preserve"> jebkuras teritorijas attīstība ir vairākpakāpju interešu līdzsvarošanas process</w:t>
      </w:r>
      <w:r w:rsidR="004D2F4C">
        <w:rPr>
          <w:bCs/>
        </w:rPr>
        <w:t xml:space="preserve">. </w:t>
      </w:r>
      <w:r w:rsidR="009C5B7C">
        <w:rPr>
          <w:bCs/>
        </w:rPr>
        <w:t>Minētā mērķa sasniegšanai t</w:t>
      </w:r>
      <w:r w:rsidR="004D2F4C">
        <w:rPr>
          <w:bCs/>
        </w:rPr>
        <w:t xml:space="preserve">iesību normas paredz virkni </w:t>
      </w:r>
      <w:r w:rsidR="00D54E78">
        <w:rPr>
          <w:bCs/>
        </w:rPr>
        <w:t xml:space="preserve">prasību un </w:t>
      </w:r>
      <w:r w:rsidR="004D2F4C">
        <w:rPr>
          <w:bCs/>
        </w:rPr>
        <w:t>procedūru, lai</w:t>
      </w:r>
      <w:r w:rsidR="009C5B7C">
        <w:rPr>
          <w:bCs/>
        </w:rPr>
        <w:t xml:space="preserve"> teritorijas attīstībā pienācīgi apsvērtu un saskaņotu</w:t>
      </w:r>
      <w:r w:rsidR="00294CB0">
        <w:rPr>
          <w:bCs/>
        </w:rPr>
        <w:t xml:space="preserve"> </w:t>
      </w:r>
      <w:r w:rsidR="009C5B7C">
        <w:rPr>
          <w:bCs/>
        </w:rPr>
        <w:t>vides aizsardzības intereses un individuālu personu tiesības rīkoties ar savu īpašumu. Tas, atkarībā no plānotās ieceres, var paredzēt pienākumu izstrādāt detālplānojumu būvniecības īstenošanai, veikt ietekmes uz vidi novērtējum</w:t>
      </w:r>
      <w:r w:rsidR="0018553B">
        <w:rPr>
          <w:bCs/>
        </w:rPr>
        <w:t>u</w:t>
      </w:r>
      <w:r w:rsidR="009C5B7C">
        <w:rPr>
          <w:bCs/>
        </w:rPr>
        <w:t xml:space="preserve">, saņemt paredzētās darbības akceptu un </w:t>
      </w:r>
      <w:r w:rsidR="0018553B">
        <w:rPr>
          <w:bCs/>
        </w:rPr>
        <w:t>veikt</w:t>
      </w:r>
      <w:r w:rsidR="009C5B7C">
        <w:rPr>
          <w:bCs/>
        </w:rPr>
        <w:t xml:space="preserve"> tiesību normās noteiktos pasākumus sabiedrības līdzdalības tiesību</w:t>
      </w:r>
      <w:r w:rsidR="0018553B">
        <w:rPr>
          <w:bCs/>
        </w:rPr>
        <w:t xml:space="preserve"> vai vides aizsardzības interešu nodrošināšanai. </w:t>
      </w:r>
      <w:r w:rsidR="00D54E78">
        <w:rPr>
          <w:bCs/>
        </w:rPr>
        <w:t>Z</w:t>
      </w:r>
      <w:r w:rsidR="0018553B">
        <w:rPr>
          <w:bCs/>
        </w:rPr>
        <w:t xml:space="preserve">emesgabala īpašniekam ir pamats paļauties, </w:t>
      </w:r>
      <w:r w:rsidR="00D54E78">
        <w:rPr>
          <w:bCs/>
        </w:rPr>
        <w:t>ka nekustamā īpašuma attīstība būs iespējama atbilstoši tiesību normu prasībām.</w:t>
      </w:r>
    </w:p>
    <w:p w14:paraId="6C292075" w14:textId="3E4D1719" w:rsidR="0018553B" w:rsidRDefault="0018553B" w:rsidP="00C60D74">
      <w:pPr>
        <w:shd w:val="clear" w:color="auto" w:fill="FFFFFF"/>
        <w:spacing w:line="276" w:lineRule="auto"/>
        <w:ind w:firstLine="720"/>
        <w:jc w:val="both"/>
        <w:rPr>
          <w:bCs/>
        </w:rPr>
      </w:pPr>
      <w:r>
        <w:rPr>
          <w:bCs/>
        </w:rPr>
        <w:t xml:space="preserve">Līdz ar to iebildumiem pret </w:t>
      </w:r>
      <w:r w:rsidR="0036327E">
        <w:rPr>
          <w:bCs/>
        </w:rPr>
        <w:t xml:space="preserve">citas </w:t>
      </w:r>
      <w:r>
        <w:rPr>
          <w:bCs/>
        </w:rPr>
        <w:t>personas iecerēto</w:t>
      </w:r>
      <w:r w:rsidR="0036327E">
        <w:rPr>
          <w:bCs/>
        </w:rPr>
        <w:t xml:space="preserve"> </w:t>
      </w:r>
      <w:r>
        <w:rPr>
          <w:bCs/>
        </w:rPr>
        <w:t>īpašuma attīstību jābūt konkrētiem, pārbaudāmiem un</w:t>
      </w:r>
      <w:r w:rsidR="009F7A02">
        <w:rPr>
          <w:bCs/>
        </w:rPr>
        <w:t>, kas jo īpaši</w:t>
      </w:r>
      <w:r>
        <w:rPr>
          <w:bCs/>
        </w:rPr>
        <w:t xml:space="preserve"> </w:t>
      </w:r>
      <w:r w:rsidR="006738C9">
        <w:rPr>
          <w:bCs/>
        </w:rPr>
        <w:t>svarīgi</w:t>
      </w:r>
      <w:r w:rsidR="009F7A02">
        <w:rPr>
          <w:bCs/>
        </w:rPr>
        <w:t>,</w:t>
      </w:r>
      <w:r>
        <w:rPr>
          <w:bCs/>
        </w:rPr>
        <w:t xml:space="preserve"> – izteiktiem īstajam adresātam tajā procesā, kurā </w:t>
      </w:r>
      <w:r w:rsidR="006738C9">
        <w:rPr>
          <w:bCs/>
        </w:rPr>
        <w:t>attiecīgie</w:t>
      </w:r>
      <w:r>
        <w:rPr>
          <w:bCs/>
        </w:rPr>
        <w:t xml:space="preserve"> jautājumi pēc būtības ir risināmi. Nevar piekrist pieteicēju kasācijas sūdzības pozīcijai, ka tāpēc vien, ka pašvaldība nav veikusi nepieciešamos vides kvalitātes uzlabošanas pasākumus, </w:t>
      </w:r>
      <w:r w:rsidR="007810B2">
        <w:rPr>
          <w:bCs/>
        </w:rPr>
        <w:t>minētais</w:t>
      </w:r>
      <w:r>
        <w:rPr>
          <w:bCs/>
        </w:rPr>
        <w:t xml:space="preserve"> būtu pamats pārcelt kompleksu risinājumu meklējumus uz privātpersonu, kas</w:t>
      </w:r>
      <w:r w:rsidR="00421C92">
        <w:rPr>
          <w:bCs/>
        </w:rPr>
        <w:t xml:space="preserve"> vēlas</w:t>
      </w:r>
      <w:r>
        <w:rPr>
          <w:bCs/>
        </w:rPr>
        <w:t xml:space="preserve"> attīstīt savu īpašumu saskaņā ar tiesību normām un spēkā esošajiem teritorijas plānošanas </w:t>
      </w:r>
      <w:r w:rsidR="007C57F6">
        <w:rPr>
          <w:bCs/>
        </w:rPr>
        <w:t>dokumentiem.</w:t>
      </w:r>
    </w:p>
    <w:p w14:paraId="3A33BF49" w14:textId="55AC6863" w:rsidR="0018553B" w:rsidRDefault="0018553B" w:rsidP="00C60D74">
      <w:pPr>
        <w:shd w:val="clear" w:color="auto" w:fill="FFFFFF"/>
        <w:spacing w:line="276" w:lineRule="auto"/>
        <w:ind w:firstLine="720"/>
        <w:jc w:val="both"/>
        <w:rPr>
          <w:bCs/>
        </w:rPr>
      </w:pPr>
      <w:r>
        <w:rPr>
          <w:bCs/>
        </w:rPr>
        <w:t>Vienlaikus</w:t>
      </w:r>
      <w:r w:rsidR="009B5F0A">
        <w:rPr>
          <w:bCs/>
        </w:rPr>
        <w:t>,</w:t>
      </w:r>
      <w:r w:rsidR="00245868">
        <w:rPr>
          <w:bCs/>
        </w:rPr>
        <w:t xml:space="preserve"> tā kā</w:t>
      </w:r>
      <w:r>
        <w:rPr>
          <w:bCs/>
        </w:rPr>
        <w:t xml:space="preserve"> Senāts</w:t>
      </w:r>
      <w:r w:rsidR="009E7DF6">
        <w:rPr>
          <w:bCs/>
        </w:rPr>
        <w:t xml:space="preserve"> iepriekš</w:t>
      </w:r>
      <w:r>
        <w:rPr>
          <w:bCs/>
        </w:rPr>
        <w:t xml:space="preserve"> secin</w:t>
      </w:r>
      <w:r w:rsidR="00245868">
        <w:rPr>
          <w:bCs/>
        </w:rPr>
        <w:t>āja</w:t>
      </w:r>
      <w:r>
        <w:rPr>
          <w:bCs/>
        </w:rPr>
        <w:t xml:space="preserve">, ka apgabaltiesa spriedumā nepamatoti atstājusi bez ievērības pieteicēju iebildumus par to, ka pirms </w:t>
      </w:r>
      <w:r w:rsidR="00455F4D">
        <w:rPr>
          <w:bCs/>
        </w:rPr>
        <w:t xml:space="preserve">strīdus </w:t>
      </w:r>
      <w:r>
        <w:rPr>
          <w:bCs/>
        </w:rPr>
        <w:t>būvatļauju izsniegšanas bija veicama sākotnējā izvērtējuma procedūra</w:t>
      </w:r>
      <w:r w:rsidR="00245868">
        <w:rPr>
          <w:bCs/>
        </w:rPr>
        <w:t xml:space="preserve">, apgabaltiesai var nākties vērtēt arī </w:t>
      </w:r>
      <w:r>
        <w:rPr>
          <w:bCs/>
        </w:rPr>
        <w:t xml:space="preserve">virkni pieteicēju norādīto strīdus būvniecības ietekmes aspektu. Līdz ar to pieteicēju norādītie ar vides kvalitāti </w:t>
      </w:r>
      <w:r w:rsidR="0036327E">
        <w:rPr>
          <w:bCs/>
        </w:rPr>
        <w:t xml:space="preserve">un būvniecības ietekmi </w:t>
      </w:r>
      <w:r>
        <w:rPr>
          <w:bCs/>
        </w:rPr>
        <w:t xml:space="preserve">saistītie jautājumi var būt pārbaudāmi, izskatot lietu no jauna apelācijas instances tiesā. </w:t>
      </w:r>
    </w:p>
    <w:p w14:paraId="211370BC" w14:textId="77777777" w:rsidR="0018553B" w:rsidRDefault="0018553B" w:rsidP="00C60D74">
      <w:pPr>
        <w:shd w:val="clear" w:color="auto" w:fill="FFFFFF"/>
        <w:spacing w:line="276" w:lineRule="auto"/>
        <w:ind w:firstLine="720"/>
        <w:jc w:val="both"/>
        <w:rPr>
          <w:bCs/>
        </w:rPr>
      </w:pPr>
    </w:p>
    <w:p w14:paraId="6ED390C9" w14:textId="75AD9B68" w:rsidR="0018553B" w:rsidRDefault="0018553B" w:rsidP="00C60D74">
      <w:pPr>
        <w:shd w:val="clear" w:color="auto" w:fill="FFFFFF"/>
        <w:spacing w:line="276" w:lineRule="auto"/>
        <w:ind w:firstLine="720"/>
        <w:jc w:val="both"/>
        <w:rPr>
          <w:bCs/>
        </w:rPr>
      </w:pPr>
      <w:r>
        <w:rPr>
          <w:bCs/>
        </w:rPr>
        <w:t>[2</w:t>
      </w:r>
      <w:r w:rsidR="00C40EEF">
        <w:rPr>
          <w:bCs/>
        </w:rPr>
        <w:t>3</w:t>
      </w:r>
      <w:r>
        <w:rPr>
          <w:bCs/>
        </w:rPr>
        <w:t>]</w:t>
      </w:r>
      <w:r w:rsidR="00543E7B">
        <w:rPr>
          <w:bCs/>
        </w:rPr>
        <w:t> </w:t>
      </w:r>
      <w:r w:rsidRPr="0018553B">
        <w:rPr>
          <w:bCs/>
        </w:rPr>
        <w:t>Rezumējot minēto, apgabaltiesas spriedums ir atceļams un lieta nododama jaunai izskatīšanai apelācijas instances tiesai.</w:t>
      </w:r>
    </w:p>
    <w:p w14:paraId="486BF6A3" w14:textId="77777777" w:rsidR="00005057" w:rsidRDefault="00005057" w:rsidP="00C60D74">
      <w:pPr>
        <w:shd w:val="clear" w:color="auto" w:fill="FFFFFF"/>
        <w:spacing w:line="276" w:lineRule="auto"/>
        <w:rPr>
          <w:b/>
        </w:rPr>
      </w:pPr>
    </w:p>
    <w:p w14:paraId="27B11F5D" w14:textId="2947F418" w:rsidR="008D4877" w:rsidRPr="00005057" w:rsidRDefault="008D4877" w:rsidP="00C60D74">
      <w:pPr>
        <w:shd w:val="clear" w:color="auto" w:fill="FFFFFF"/>
        <w:spacing w:line="276" w:lineRule="auto"/>
        <w:jc w:val="center"/>
        <w:rPr>
          <w:b/>
        </w:rPr>
      </w:pPr>
      <w:r w:rsidRPr="00005057">
        <w:rPr>
          <w:b/>
        </w:rPr>
        <w:t>Rezolutīvā daļa</w:t>
      </w:r>
    </w:p>
    <w:p w14:paraId="510CF9E4" w14:textId="77777777" w:rsidR="008D4877" w:rsidRPr="00005057" w:rsidRDefault="008D4877" w:rsidP="00C60D74">
      <w:pPr>
        <w:shd w:val="clear" w:color="auto" w:fill="FFFFFF"/>
        <w:spacing w:line="276" w:lineRule="auto"/>
        <w:jc w:val="center"/>
        <w:rPr>
          <w:b/>
        </w:rPr>
      </w:pPr>
    </w:p>
    <w:p w14:paraId="79DB8820" w14:textId="66FDDA1C" w:rsidR="008D4877" w:rsidRPr="00005057" w:rsidRDefault="008D4877" w:rsidP="00C60D74">
      <w:pPr>
        <w:shd w:val="clear" w:color="auto" w:fill="FFFFFF"/>
        <w:spacing w:line="276" w:lineRule="auto"/>
        <w:ind w:firstLine="720"/>
        <w:jc w:val="both"/>
      </w:pPr>
      <w:r w:rsidRPr="00005057">
        <w:t>Pamatojoties uz Administratīvā procesa likuma</w:t>
      </w:r>
      <w:r w:rsidR="00B05433">
        <w:t xml:space="preserve"> </w:t>
      </w:r>
      <w:r w:rsidR="00B05433" w:rsidRPr="00BE7BE8">
        <w:t>129.</w:t>
      </w:r>
      <w:r w:rsidR="00B05433" w:rsidRPr="00BE7BE8">
        <w:rPr>
          <w:vertAlign w:val="superscript"/>
        </w:rPr>
        <w:t>1</w:t>
      </w:r>
      <w:r w:rsidR="00B05433" w:rsidRPr="00BE7BE8">
        <w:t>panta pirmās daļas 1.punktu</w:t>
      </w:r>
      <w:r w:rsidR="00B05433">
        <w:t>,</w:t>
      </w:r>
      <w:r w:rsidRPr="00005057">
        <w:t xml:space="preserve"> 348.panta pirmās daļas </w:t>
      </w:r>
      <w:r w:rsidR="00B05433">
        <w:t>2</w:t>
      </w:r>
      <w:r w:rsidRPr="00005057">
        <w:t>.punktu un 351.pantu, Senāts</w:t>
      </w:r>
    </w:p>
    <w:p w14:paraId="76022DD4" w14:textId="77777777" w:rsidR="008D4877" w:rsidRPr="00005057" w:rsidRDefault="008D4877" w:rsidP="00C60D74">
      <w:pPr>
        <w:shd w:val="clear" w:color="auto" w:fill="FFFFFF"/>
        <w:spacing w:line="276" w:lineRule="auto"/>
        <w:jc w:val="center"/>
        <w:rPr>
          <w:b/>
        </w:rPr>
      </w:pPr>
    </w:p>
    <w:p w14:paraId="4CA5281C" w14:textId="77777777" w:rsidR="008D4877" w:rsidRPr="00005057" w:rsidRDefault="008D4877" w:rsidP="00C60D74">
      <w:pPr>
        <w:shd w:val="clear" w:color="auto" w:fill="FFFFFF"/>
        <w:spacing w:line="276" w:lineRule="auto"/>
        <w:jc w:val="center"/>
        <w:rPr>
          <w:b/>
        </w:rPr>
      </w:pPr>
      <w:r w:rsidRPr="00005057">
        <w:rPr>
          <w:b/>
        </w:rPr>
        <w:t>nosprieda</w:t>
      </w:r>
    </w:p>
    <w:p w14:paraId="77008B04" w14:textId="77777777" w:rsidR="008D4877" w:rsidRPr="00005057" w:rsidRDefault="008D4877" w:rsidP="00C60D74">
      <w:pPr>
        <w:shd w:val="clear" w:color="auto" w:fill="FFFFFF"/>
        <w:spacing w:line="276" w:lineRule="auto"/>
        <w:jc w:val="center"/>
        <w:rPr>
          <w:b/>
        </w:rPr>
      </w:pPr>
    </w:p>
    <w:p w14:paraId="7ECA577F" w14:textId="62368EF7" w:rsidR="008D4877" w:rsidRDefault="007810B2" w:rsidP="00C60D74">
      <w:pPr>
        <w:spacing w:line="276" w:lineRule="auto"/>
        <w:ind w:firstLine="709"/>
        <w:jc w:val="both"/>
        <w:rPr>
          <w:lang w:eastAsia="lv-LV"/>
        </w:rPr>
      </w:pPr>
      <w:r>
        <w:rPr>
          <w:lang w:eastAsia="lv-LV"/>
        </w:rPr>
        <w:t>atcelt</w:t>
      </w:r>
      <w:r w:rsidR="00A104E7" w:rsidRPr="00005057">
        <w:rPr>
          <w:lang w:eastAsia="lv-LV"/>
        </w:rPr>
        <w:t xml:space="preserve"> </w:t>
      </w:r>
      <w:r w:rsidR="008D4877" w:rsidRPr="00005057">
        <w:rPr>
          <w:lang w:eastAsia="lv-LV"/>
        </w:rPr>
        <w:t xml:space="preserve">Administratīvās apgabaltiesas </w:t>
      </w:r>
      <w:r>
        <w:rPr>
          <w:lang w:eastAsia="lv-LV"/>
        </w:rPr>
        <w:t xml:space="preserve">2021.gada 8.jūnija spriedumu un nodot lietu jaunai izskatīšanai </w:t>
      </w:r>
      <w:r w:rsidR="0036327E">
        <w:rPr>
          <w:lang w:eastAsia="lv-LV"/>
        </w:rPr>
        <w:t>Administratīvajai apgabaltiesai</w:t>
      </w:r>
      <w:r>
        <w:rPr>
          <w:lang w:eastAsia="lv-LV"/>
        </w:rPr>
        <w:t>;</w:t>
      </w:r>
    </w:p>
    <w:p w14:paraId="310B8AC4" w14:textId="4725E5E0" w:rsidR="007810B2" w:rsidRPr="00005057" w:rsidRDefault="007810B2" w:rsidP="00C60D74">
      <w:pPr>
        <w:spacing w:line="276" w:lineRule="auto"/>
        <w:ind w:firstLine="709"/>
        <w:jc w:val="both"/>
        <w:rPr>
          <w:lang w:eastAsia="lv-LV"/>
        </w:rPr>
      </w:pPr>
      <w:r>
        <w:rPr>
          <w:lang w:eastAsia="lv-LV"/>
        </w:rPr>
        <w:lastRenderedPageBreak/>
        <w:t xml:space="preserve">atmaksāt </w:t>
      </w:r>
      <w:r w:rsidR="0036327E">
        <w:rPr>
          <w:lang w:eastAsia="lv-LV"/>
        </w:rPr>
        <w:t>SIA</w:t>
      </w:r>
      <w:r w:rsidR="00543E7B">
        <w:rPr>
          <w:lang w:eastAsia="lv-LV"/>
        </w:rPr>
        <w:t> </w:t>
      </w:r>
      <w:r w:rsidR="0036327E">
        <w:rPr>
          <w:lang w:eastAsia="lv-LV"/>
        </w:rPr>
        <w:t xml:space="preserve">,,Zvērinātu advokātu birojs Šķiņķis Pētersons” par </w:t>
      </w:r>
      <w:r w:rsidR="0036327E" w:rsidRPr="00680E36">
        <w:rPr>
          <w:lang w:eastAsia="lv-LV"/>
        </w:rPr>
        <w:t>pieteicēju</w:t>
      </w:r>
      <w:r w:rsidR="0036327E">
        <w:rPr>
          <w:lang w:eastAsia="lv-LV"/>
        </w:rPr>
        <w:t xml:space="preserve"> kasācijas sūdzību iemaksāto</w:t>
      </w:r>
      <w:r>
        <w:rPr>
          <w:lang w:eastAsia="lv-LV"/>
        </w:rPr>
        <w:t xml:space="preserve"> drošības naudu 70</w:t>
      </w:r>
      <w:r w:rsidR="00E514FD">
        <w:rPr>
          <w:lang w:eastAsia="lv-LV"/>
        </w:rPr>
        <w:t> </w:t>
      </w:r>
      <w:r w:rsidRPr="007810B2">
        <w:rPr>
          <w:i/>
          <w:iCs/>
          <w:lang w:eastAsia="lv-LV"/>
        </w:rPr>
        <w:t>euro</w:t>
      </w:r>
      <w:r>
        <w:rPr>
          <w:lang w:eastAsia="lv-LV"/>
        </w:rPr>
        <w:t xml:space="preserve">. </w:t>
      </w:r>
    </w:p>
    <w:p w14:paraId="0E651999" w14:textId="77777777" w:rsidR="008D4877" w:rsidRPr="00005057" w:rsidRDefault="008D4877" w:rsidP="00C60D74">
      <w:pPr>
        <w:spacing w:line="276" w:lineRule="auto"/>
        <w:ind w:firstLine="709"/>
        <w:jc w:val="both"/>
      </w:pPr>
    </w:p>
    <w:p w14:paraId="5793BD2D" w14:textId="77777777" w:rsidR="008D4877" w:rsidRPr="00005057" w:rsidRDefault="008D4877" w:rsidP="00C60D74">
      <w:pPr>
        <w:spacing w:line="276" w:lineRule="auto"/>
        <w:ind w:firstLine="709"/>
      </w:pPr>
      <w:r w:rsidRPr="00005057">
        <w:t>Spriedums nav pārsūdzams.</w:t>
      </w:r>
    </w:p>
    <w:p w14:paraId="59CD42D5" w14:textId="77777777" w:rsidR="008D4877" w:rsidRPr="00005057" w:rsidRDefault="008D4877" w:rsidP="008D4877">
      <w:pPr>
        <w:spacing w:line="276" w:lineRule="auto"/>
        <w:ind w:firstLine="709"/>
      </w:pPr>
    </w:p>
    <w:p w14:paraId="3289DD44" w14:textId="77777777" w:rsidR="008D4877" w:rsidRPr="00005057" w:rsidRDefault="008D4877" w:rsidP="008D4877">
      <w:pPr>
        <w:spacing w:line="276" w:lineRule="auto"/>
        <w:ind w:firstLine="709"/>
      </w:pPr>
    </w:p>
    <w:p w14:paraId="6DFA4527" w14:textId="77777777" w:rsidR="008D4877" w:rsidRPr="00005057" w:rsidRDefault="008D4877" w:rsidP="008D4877">
      <w:pPr>
        <w:spacing w:line="276" w:lineRule="auto"/>
        <w:ind w:firstLine="709"/>
      </w:pPr>
    </w:p>
    <w:p w14:paraId="353BE600" w14:textId="77777777" w:rsidR="008D4877" w:rsidRPr="00005057" w:rsidRDefault="008D4877" w:rsidP="008D4877">
      <w:pPr>
        <w:spacing w:line="276" w:lineRule="auto"/>
        <w:ind w:firstLine="709"/>
      </w:pPr>
    </w:p>
    <w:p w14:paraId="5B122B46" w14:textId="77777777" w:rsidR="002E6479" w:rsidRPr="00C676E6" w:rsidRDefault="002E6479"/>
    <w:sectPr w:rsidR="002E6479" w:rsidRPr="00C676E6" w:rsidSect="00B87616">
      <w:footerReference w:type="default" r:id="rId21"/>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44654" w14:textId="77777777" w:rsidR="00A37085" w:rsidRDefault="00A37085" w:rsidP="00D567C8">
      <w:r>
        <w:separator/>
      </w:r>
    </w:p>
  </w:endnote>
  <w:endnote w:type="continuationSeparator" w:id="0">
    <w:p w14:paraId="1A4192DC" w14:textId="77777777" w:rsidR="00A37085" w:rsidRDefault="00A37085" w:rsidP="00D5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0368985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79570D2" w14:textId="77777777" w:rsidR="00F500F3" w:rsidRPr="00D943DB" w:rsidRDefault="00F500F3" w:rsidP="00454486">
            <w:pPr>
              <w:pStyle w:val="Footer"/>
              <w:jc w:val="center"/>
              <w:rPr>
                <w:sz w:val="20"/>
                <w:szCs w:val="20"/>
              </w:rPr>
            </w:pPr>
            <w:r w:rsidRPr="00D943DB">
              <w:rPr>
                <w:bCs/>
                <w:sz w:val="20"/>
                <w:szCs w:val="20"/>
              </w:rPr>
              <w:fldChar w:fldCharType="begin"/>
            </w:r>
            <w:r w:rsidRPr="00D943DB">
              <w:rPr>
                <w:bCs/>
                <w:sz w:val="20"/>
                <w:szCs w:val="20"/>
              </w:rPr>
              <w:instrText xml:space="preserve"> PAGE </w:instrText>
            </w:r>
            <w:r w:rsidRPr="00D943DB">
              <w:rPr>
                <w:bCs/>
                <w:sz w:val="20"/>
                <w:szCs w:val="20"/>
              </w:rPr>
              <w:fldChar w:fldCharType="separate"/>
            </w:r>
            <w:r w:rsidR="00D55CB5">
              <w:rPr>
                <w:bCs/>
                <w:noProof/>
                <w:sz w:val="20"/>
                <w:szCs w:val="20"/>
              </w:rPr>
              <w:t>13</w:t>
            </w:r>
            <w:r w:rsidRPr="00D943DB">
              <w:rPr>
                <w:bCs/>
                <w:sz w:val="20"/>
                <w:szCs w:val="20"/>
              </w:rPr>
              <w:fldChar w:fldCharType="end"/>
            </w:r>
            <w:r w:rsidRPr="00D943DB">
              <w:rPr>
                <w:sz w:val="20"/>
                <w:szCs w:val="20"/>
              </w:rPr>
              <w:t xml:space="preserve"> no </w:t>
            </w:r>
            <w:r w:rsidRPr="00D943DB">
              <w:rPr>
                <w:bCs/>
                <w:sz w:val="20"/>
                <w:szCs w:val="20"/>
              </w:rPr>
              <w:fldChar w:fldCharType="begin"/>
            </w:r>
            <w:r w:rsidRPr="00D943DB">
              <w:rPr>
                <w:bCs/>
                <w:sz w:val="20"/>
                <w:szCs w:val="20"/>
              </w:rPr>
              <w:instrText xml:space="preserve"> NUMPAGES  </w:instrText>
            </w:r>
            <w:r w:rsidRPr="00D943DB">
              <w:rPr>
                <w:bCs/>
                <w:sz w:val="20"/>
                <w:szCs w:val="20"/>
              </w:rPr>
              <w:fldChar w:fldCharType="separate"/>
            </w:r>
            <w:r w:rsidR="00D55CB5">
              <w:rPr>
                <w:bCs/>
                <w:noProof/>
                <w:sz w:val="20"/>
                <w:szCs w:val="20"/>
              </w:rPr>
              <w:t>13</w:t>
            </w:r>
            <w:r w:rsidRPr="00D943D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C73C" w14:textId="77777777" w:rsidR="00A37085" w:rsidRDefault="00A37085" w:rsidP="00D567C8">
      <w:r>
        <w:separator/>
      </w:r>
    </w:p>
  </w:footnote>
  <w:footnote w:type="continuationSeparator" w:id="0">
    <w:p w14:paraId="6A8ADE81" w14:textId="77777777" w:rsidR="00A37085" w:rsidRDefault="00A37085" w:rsidP="00D56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CF"/>
    <w:rsid w:val="00000EA2"/>
    <w:rsid w:val="00001026"/>
    <w:rsid w:val="00001AD2"/>
    <w:rsid w:val="0000399A"/>
    <w:rsid w:val="00003AD6"/>
    <w:rsid w:val="00005057"/>
    <w:rsid w:val="000057F5"/>
    <w:rsid w:val="00007542"/>
    <w:rsid w:val="0001172E"/>
    <w:rsid w:val="00013F22"/>
    <w:rsid w:val="00014712"/>
    <w:rsid w:val="00014DC7"/>
    <w:rsid w:val="000153FD"/>
    <w:rsid w:val="0001656A"/>
    <w:rsid w:val="00017220"/>
    <w:rsid w:val="00020B29"/>
    <w:rsid w:val="0002220F"/>
    <w:rsid w:val="00023BFA"/>
    <w:rsid w:val="000277DB"/>
    <w:rsid w:val="00031D3E"/>
    <w:rsid w:val="0003539B"/>
    <w:rsid w:val="00037749"/>
    <w:rsid w:val="00040116"/>
    <w:rsid w:val="000406FB"/>
    <w:rsid w:val="00040E07"/>
    <w:rsid w:val="00046CCD"/>
    <w:rsid w:val="00051AAE"/>
    <w:rsid w:val="00052F5D"/>
    <w:rsid w:val="00055C12"/>
    <w:rsid w:val="000605BB"/>
    <w:rsid w:val="0006090F"/>
    <w:rsid w:val="00061D8C"/>
    <w:rsid w:val="0006402D"/>
    <w:rsid w:val="00064432"/>
    <w:rsid w:val="00064858"/>
    <w:rsid w:val="0006673B"/>
    <w:rsid w:val="000729A4"/>
    <w:rsid w:val="000737F0"/>
    <w:rsid w:val="00073EED"/>
    <w:rsid w:val="00075FD0"/>
    <w:rsid w:val="0008528A"/>
    <w:rsid w:val="00086118"/>
    <w:rsid w:val="0009401B"/>
    <w:rsid w:val="000944B8"/>
    <w:rsid w:val="00094FA3"/>
    <w:rsid w:val="00095FAE"/>
    <w:rsid w:val="0009622D"/>
    <w:rsid w:val="000968FF"/>
    <w:rsid w:val="000A1775"/>
    <w:rsid w:val="000A1E39"/>
    <w:rsid w:val="000A29EB"/>
    <w:rsid w:val="000A7923"/>
    <w:rsid w:val="000B0B1C"/>
    <w:rsid w:val="000B18B2"/>
    <w:rsid w:val="000B6103"/>
    <w:rsid w:val="000B63ED"/>
    <w:rsid w:val="000C0A21"/>
    <w:rsid w:val="000D0FF6"/>
    <w:rsid w:val="000D13F1"/>
    <w:rsid w:val="000D369D"/>
    <w:rsid w:val="000D38FC"/>
    <w:rsid w:val="000D3C8A"/>
    <w:rsid w:val="000E24F9"/>
    <w:rsid w:val="000E2973"/>
    <w:rsid w:val="000E4953"/>
    <w:rsid w:val="000E5A65"/>
    <w:rsid w:val="000E751F"/>
    <w:rsid w:val="000E77B1"/>
    <w:rsid w:val="000F1121"/>
    <w:rsid w:val="000F4F9C"/>
    <w:rsid w:val="000F55A3"/>
    <w:rsid w:val="000F69AE"/>
    <w:rsid w:val="000F7312"/>
    <w:rsid w:val="000F7B50"/>
    <w:rsid w:val="00102291"/>
    <w:rsid w:val="00106BC3"/>
    <w:rsid w:val="00107E43"/>
    <w:rsid w:val="00112297"/>
    <w:rsid w:val="00114D21"/>
    <w:rsid w:val="00114E22"/>
    <w:rsid w:val="001159D3"/>
    <w:rsid w:val="00115E9C"/>
    <w:rsid w:val="0012125F"/>
    <w:rsid w:val="00121B38"/>
    <w:rsid w:val="001275E5"/>
    <w:rsid w:val="00130EAA"/>
    <w:rsid w:val="001324B4"/>
    <w:rsid w:val="00132909"/>
    <w:rsid w:val="00134361"/>
    <w:rsid w:val="00142384"/>
    <w:rsid w:val="00144F94"/>
    <w:rsid w:val="00150312"/>
    <w:rsid w:val="00150E78"/>
    <w:rsid w:val="0015188F"/>
    <w:rsid w:val="0015296F"/>
    <w:rsid w:val="00153CE8"/>
    <w:rsid w:val="00154792"/>
    <w:rsid w:val="00157F91"/>
    <w:rsid w:val="00160ED4"/>
    <w:rsid w:val="00161B24"/>
    <w:rsid w:val="00162D9A"/>
    <w:rsid w:val="001641B8"/>
    <w:rsid w:val="00166166"/>
    <w:rsid w:val="00166CCF"/>
    <w:rsid w:val="001670B1"/>
    <w:rsid w:val="00171036"/>
    <w:rsid w:val="00171757"/>
    <w:rsid w:val="00171E46"/>
    <w:rsid w:val="00172D6A"/>
    <w:rsid w:val="00172FE1"/>
    <w:rsid w:val="00180589"/>
    <w:rsid w:val="0018307B"/>
    <w:rsid w:val="0018553B"/>
    <w:rsid w:val="00187E8D"/>
    <w:rsid w:val="00190056"/>
    <w:rsid w:val="0019190E"/>
    <w:rsid w:val="001948C0"/>
    <w:rsid w:val="001972C0"/>
    <w:rsid w:val="00197D38"/>
    <w:rsid w:val="001A2701"/>
    <w:rsid w:val="001B3E35"/>
    <w:rsid w:val="001B74A2"/>
    <w:rsid w:val="001C2CCD"/>
    <w:rsid w:val="001C394D"/>
    <w:rsid w:val="001C726A"/>
    <w:rsid w:val="001D3D48"/>
    <w:rsid w:val="001D3E54"/>
    <w:rsid w:val="001D47C1"/>
    <w:rsid w:val="001D5A30"/>
    <w:rsid w:val="001E3C20"/>
    <w:rsid w:val="001E554B"/>
    <w:rsid w:val="001E76C7"/>
    <w:rsid w:val="00200895"/>
    <w:rsid w:val="00201307"/>
    <w:rsid w:val="00201A70"/>
    <w:rsid w:val="002022A5"/>
    <w:rsid w:val="002114C5"/>
    <w:rsid w:val="00216863"/>
    <w:rsid w:val="00220422"/>
    <w:rsid w:val="00220B59"/>
    <w:rsid w:val="00221950"/>
    <w:rsid w:val="00225987"/>
    <w:rsid w:val="0022683C"/>
    <w:rsid w:val="00230C0E"/>
    <w:rsid w:val="00230D24"/>
    <w:rsid w:val="002359B0"/>
    <w:rsid w:val="002361DD"/>
    <w:rsid w:val="002423A9"/>
    <w:rsid w:val="00245261"/>
    <w:rsid w:val="00245868"/>
    <w:rsid w:val="00245A4E"/>
    <w:rsid w:val="00250A8D"/>
    <w:rsid w:val="00252A6E"/>
    <w:rsid w:val="002535E7"/>
    <w:rsid w:val="0025426B"/>
    <w:rsid w:val="002548C3"/>
    <w:rsid w:val="00254D32"/>
    <w:rsid w:val="00255F2A"/>
    <w:rsid w:val="002566E4"/>
    <w:rsid w:val="00257178"/>
    <w:rsid w:val="00261FCA"/>
    <w:rsid w:val="0026314F"/>
    <w:rsid w:val="0026403E"/>
    <w:rsid w:val="00270E76"/>
    <w:rsid w:val="002765E3"/>
    <w:rsid w:val="00281B5F"/>
    <w:rsid w:val="00284CE3"/>
    <w:rsid w:val="0028633B"/>
    <w:rsid w:val="00286CB4"/>
    <w:rsid w:val="0029071D"/>
    <w:rsid w:val="00290950"/>
    <w:rsid w:val="00293943"/>
    <w:rsid w:val="00294CB0"/>
    <w:rsid w:val="00297DA5"/>
    <w:rsid w:val="002A1595"/>
    <w:rsid w:val="002A21B6"/>
    <w:rsid w:val="002A345F"/>
    <w:rsid w:val="002A4F56"/>
    <w:rsid w:val="002A557C"/>
    <w:rsid w:val="002B0A8F"/>
    <w:rsid w:val="002B191D"/>
    <w:rsid w:val="002B1D47"/>
    <w:rsid w:val="002B392E"/>
    <w:rsid w:val="002B4EEC"/>
    <w:rsid w:val="002B52F4"/>
    <w:rsid w:val="002B5FF8"/>
    <w:rsid w:val="002C44A7"/>
    <w:rsid w:val="002C5B8F"/>
    <w:rsid w:val="002D1F82"/>
    <w:rsid w:val="002D225B"/>
    <w:rsid w:val="002D4F43"/>
    <w:rsid w:val="002D55AC"/>
    <w:rsid w:val="002D7795"/>
    <w:rsid w:val="002D7A70"/>
    <w:rsid w:val="002E0DA9"/>
    <w:rsid w:val="002E11BE"/>
    <w:rsid w:val="002E1A59"/>
    <w:rsid w:val="002E4899"/>
    <w:rsid w:val="002E6479"/>
    <w:rsid w:val="002E667B"/>
    <w:rsid w:val="002E784A"/>
    <w:rsid w:val="002F0B35"/>
    <w:rsid w:val="002F1D99"/>
    <w:rsid w:val="002F2AB3"/>
    <w:rsid w:val="002F631F"/>
    <w:rsid w:val="002F66AC"/>
    <w:rsid w:val="00301629"/>
    <w:rsid w:val="00301CFA"/>
    <w:rsid w:val="00301E2A"/>
    <w:rsid w:val="00304A6D"/>
    <w:rsid w:val="003126A1"/>
    <w:rsid w:val="00314850"/>
    <w:rsid w:val="00315D81"/>
    <w:rsid w:val="0031767F"/>
    <w:rsid w:val="0032244F"/>
    <w:rsid w:val="00325614"/>
    <w:rsid w:val="0032615F"/>
    <w:rsid w:val="00330532"/>
    <w:rsid w:val="00331436"/>
    <w:rsid w:val="00334330"/>
    <w:rsid w:val="00335098"/>
    <w:rsid w:val="00340A90"/>
    <w:rsid w:val="0034164D"/>
    <w:rsid w:val="00347FD3"/>
    <w:rsid w:val="00351662"/>
    <w:rsid w:val="0035267E"/>
    <w:rsid w:val="00353A10"/>
    <w:rsid w:val="003569D3"/>
    <w:rsid w:val="00357D44"/>
    <w:rsid w:val="00361E01"/>
    <w:rsid w:val="00361F0F"/>
    <w:rsid w:val="0036327E"/>
    <w:rsid w:val="00366701"/>
    <w:rsid w:val="00373C34"/>
    <w:rsid w:val="003849F3"/>
    <w:rsid w:val="00390ED3"/>
    <w:rsid w:val="003944A1"/>
    <w:rsid w:val="00394B91"/>
    <w:rsid w:val="003A0018"/>
    <w:rsid w:val="003A5A62"/>
    <w:rsid w:val="003A5BC5"/>
    <w:rsid w:val="003B012D"/>
    <w:rsid w:val="003B0A90"/>
    <w:rsid w:val="003B159E"/>
    <w:rsid w:val="003B26AE"/>
    <w:rsid w:val="003B33F0"/>
    <w:rsid w:val="003B5F1D"/>
    <w:rsid w:val="003C01B9"/>
    <w:rsid w:val="003C1AA7"/>
    <w:rsid w:val="003C310C"/>
    <w:rsid w:val="003C56BF"/>
    <w:rsid w:val="003D1641"/>
    <w:rsid w:val="003D3188"/>
    <w:rsid w:val="003D48E6"/>
    <w:rsid w:val="003D5CBE"/>
    <w:rsid w:val="003D7440"/>
    <w:rsid w:val="003E0036"/>
    <w:rsid w:val="003E0190"/>
    <w:rsid w:val="003E07EE"/>
    <w:rsid w:val="003F0AD9"/>
    <w:rsid w:val="003F293B"/>
    <w:rsid w:val="003F662D"/>
    <w:rsid w:val="003F6B72"/>
    <w:rsid w:val="003F722B"/>
    <w:rsid w:val="004015A2"/>
    <w:rsid w:val="00405F08"/>
    <w:rsid w:val="004117C0"/>
    <w:rsid w:val="00411AAE"/>
    <w:rsid w:val="0041376A"/>
    <w:rsid w:val="004208C1"/>
    <w:rsid w:val="00421C92"/>
    <w:rsid w:val="004221B9"/>
    <w:rsid w:val="0042589A"/>
    <w:rsid w:val="0042713C"/>
    <w:rsid w:val="00427A7F"/>
    <w:rsid w:val="00434A16"/>
    <w:rsid w:val="00434DB2"/>
    <w:rsid w:val="004359BB"/>
    <w:rsid w:val="0044148B"/>
    <w:rsid w:val="00443367"/>
    <w:rsid w:val="004445E7"/>
    <w:rsid w:val="00451460"/>
    <w:rsid w:val="00454486"/>
    <w:rsid w:val="00454C67"/>
    <w:rsid w:val="00455F4D"/>
    <w:rsid w:val="004569A4"/>
    <w:rsid w:val="00456FF1"/>
    <w:rsid w:val="00461665"/>
    <w:rsid w:val="004618CD"/>
    <w:rsid w:val="00461E3E"/>
    <w:rsid w:val="004678D9"/>
    <w:rsid w:val="00477103"/>
    <w:rsid w:val="0048178A"/>
    <w:rsid w:val="0048462B"/>
    <w:rsid w:val="00485F82"/>
    <w:rsid w:val="00487795"/>
    <w:rsid w:val="00490794"/>
    <w:rsid w:val="00491523"/>
    <w:rsid w:val="0049263F"/>
    <w:rsid w:val="00492646"/>
    <w:rsid w:val="00492B0D"/>
    <w:rsid w:val="0049438B"/>
    <w:rsid w:val="00494DF1"/>
    <w:rsid w:val="00496765"/>
    <w:rsid w:val="004974BE"/>
    <w:rsid w:val="00497EF6"/>
    <w:rsid w:val="004A1A7D"/>
    <w:rsid w:val="004A23FA"/>
    <w:rsid w:val="004A3FE1"/>
    <w:rsid w:val="004A41C9"/>
    <w:rsid w:val="004B077C"/>
    <w:rsid w:val="004B1E24"/>
    <w:rsid w:val="004B64F5"/>
    <w:rsid w:val="004B6901"/>
    <w:rsid w:val="004C2751"/>
    <w:rsid w:val="004D2F4C"/>
    <w:rsid w:val="004D3544"/>
    <w:rsid w:val="004E01F2"/>
    <w:rsid w:val="004E14E5"/>
    <w:rsid w:val="004E15D0"/>
    <w:rsid w:val="004E2FC0"/>
    <w:rsid w:val="004F3099"/>
    <w:rsid w:val="004F4D08"/>
    <w:rsid w:val="004F4FD9"/>
    <w:rsid w:val="004F5D0E"/>
    <w:rsid w:val="004F70BC"/>
    <w:rsid w:val="00501C46"/>
    <w:rsid w:val="00502C30"/>
    <w:rsid w:val="00502C52"/>
    <w:rsid w:val="00511910"/>
    <w:rsid w:val="005122EB"/>
    <w:rsid w:val="00515A30"/>
    <w:rsid w:val="005162AF"/>
    <w:rsid w:val="00516A31"/>
    <w:rsid w:val="005170F1"/>
    <w:rsid w:val="005201DD"/>
    <w:rsid w:val="005262CB"/>
    <w:rsid w:val="00531D5A"/>
    <w:rsid w:val="00531F4C"/>
    <w:rsid w:val="00533B01"/>
    <w:rsid w:val="005372C4"/>
    <w:rsid w:val="005378AB"/>
    <w:rsid w:val="00540A1E"/>
    <w:rsid w:val="00543E7B"/>
    <w:rsid w:val="00552861"/>
    <w:rsid w:val="00554064"/>
    <w:rsid w:val="00556E4D"/>
    <w:rsid w:val="00560D37"/>
    <w:rsid w:val="005628E2"/>
    <w:rsid w:val="00562E5E"/>
    <w:rsid w:val="00562F99"/>
    <w:rsid w:val="0056454F"/>
    <w:rsid w:val="00571572"/>
    <w:rsid w:val="00575370"/>
    <w:rsid w:val="00575D7C"/>
    <w:rsid w:val="00577AD6"/>
    <w:rsid w:val="0058128B"/>
    <w:rsid w:val="005850B2"/>
    <w:rsid w:val="005854C7"/>
    <w:rsid w:val="00587AC0"/>
    <w:rsid w:val="00594319"/>
    <w:rsid w:val="00594BCA"/>
    <w:rsid w:val="005969DD"/>
    <w:rsid w:val="00596F7F"/>
    <w:rsid w:val="005A0C97"/>
    <w:rsid w:val="005A3554"/>
    <w:rsid w:val="005A500D"/>
    <w:rsid w:val="005A6C0E"/>
    <w:rsid w:val="005B3245"/>
    <w:rsid w:val="005B51FF"/>
    <w:rsid w:val="005C3ACB"/>
    <w:rsid w:val="005C3D0D"/>
    <w:rsid w:val="005C3DDE"/>
    <w:rsid w:val="005C443C"/>
    <w:rsid w:val="005C5A61"/>
    <w:rsid w:val="005C63C6"/>
    <w:rsid w:val="005C6FCE"/>
    <w:rsid w:val="005D0B31"/>
    <w:rsid w:val="005D30FC"/>
    <w:rsid w:val="005D3171"/>
    <w:rsid w:val="005D5043"/>
    <w:rsid w:val="005E2384"/>
    <w:rsid w:val="005E2FF8"/>
    <w:rsid w:val="005E4488"/>
    <w:rsid w:val="005E4CB1"/>
    <w:rsid w:val="005E5920"/>
    <w:rsid w:val="005E6ADC"/>
    <w:rsid w:val="005E76F3"/>
    <w:rsid w:val="005F3B37"/>
    <w:rsid w:val="006000AF"/>
    <w:rsid w:val="00602D4F"/>
    <w:rsid w:val="00602FF2"/>
    <w:rsid w:val="00605DA0"/>
    <w:rsid w:val="00606E5A"/>
    <w:rsid w:val="00607715"/>
    <w:rsid w:val="0061258D"/>
    <w:rsid w:val="00613B3A"/>
    <w:rsid w:val="00613CCB"/>
    <w:rsid w:val="00615EA1"/>
    <w:rsid w:val="00616871"/>
    <w:rsid w:val="00620A99"/>
    <w:rsid w:val="006245D9"/>
    <w:rsid w:val="006271FC"/>
    <w:rsid w:val="00630758"/>
    <w:rsid w:val="00631DD3"/>
    <w:rsid w:val="006351CA"/>
    <w:rsid w:val="00645A52"/>
    <w:rsid w:val="006461A7"/>
    <w:rsid w:val="00647E9C"/>
    <w:rsid w:val="00652726"/>
    <w:rsid w:val="006533C4"/>
    <w:rsid w:val="006608E0"/>
    <w:rsid w:val="00661B98"/>
    <w:rsid w:val="00661D0E"/>
    <w:rsid w:val="00663482"/>
    <w:rsid w:val="006638B0"/>
    <w:rsid w:val="00672F81"/>
    <w:rsid w:val="0067331F"/>
    <w:rsid w:val="006738C9"/>
    <w:rsid w:val="0068027E"/>
    <w:rsid w:val="00680E36"/>
    <w:rsid w:val="00680F31"/>
    <w:rsid w:val="00681712"/>
    <w:rsid w:val="00685FF4"/>
    <w:rsid w:val="00687214"/>
    <w:rsid w:val="00687735"/>
    <w:rsid w:val="006878AC"/>
    <w:rsid w:val="00690050"/>
    <w:rsid w:val="0069012E"/>
    <w:rsid w:val="00690202"/>
    <w:rsid w:val="00696AF0"/>
    <w:rsid w:val="006A4403"/>
    <w:rsid w:val="006B6977"/>
    <w:rsid w:val="006B6EA2"/>
    <w:rsid w:val="006C3FC7"/>
    <w:rsid w:val="006C5677"/>
    <w:rsid w:val="006C6843"/>
    <w:rsid w:val="006C7776"/>
    <w:rsid w:val="006C7D0A"/>
    <w:rsid w:val="006D44B8"/>
    <w:rsid w:val="006D5F2E"/>
    <w:rsid w:val="006E15F3"/>
    <w:rsid w:val="006E5B40"/>
    <w:rsid w:val="006E5B92"/>
    <w:rsid w:val="006F0939"/>
    <w:rsid w:val="006F1E64"/>
    <w:rsid w:val="006F429D"/>
    <w:rsid w:val="006F687D"/>
    <w:rsid w:val="006F7401"/>
    <w:rsid w:val="0070052B"/>
    <w:rsid w:val="00705D54"/>
    <w:rsid w:val="00707A8D"/>
    <w:rsid w:val="00713FD6"/>
    <w:rsid w:val="00715170"/>
    <w:rsid w:val="007160A3"/>
    <w:rsid w:val="00716CF5"/>
    <w:rsid w:val="00717515"/>
    <w:rsid w:val="0072247A"/>
    <w:rsid w:val="007239A6"/>
    <w:rsid w:val="00727223"/>
    <w:rsid w:val="00730F1A"/>
    <w:rsid w:val="007314D5"/>
    <w:rsid w:val="007353EE"/>
    <w:rsid w:val="007362A8"/>
    <w:rsid w:val="007432D6"/>
    <w:rsid w:val="00746FCA"/>
    <w:rsid w:val="00747E47"/>
    <w:rsid w:val="00752E23"/>
    <w:rsid w:val="00753320"/>
    <w:rsid w:val="007556B7"/>
    <w:rsid w:val="00755A5B"/>
    <w:rsid w:val="00757332"/>
    <w:rsid w:val="007616FC"/>
    <w:rsid w:val="007634CC"/>
    <w:rsid w:val="00763AA3"/>
    <w:rsid w:val="00770EA4"/>
    <w:rsid w:val="00772789"/>
    <w:rsid w:val="00773800"/>
    <w:rsid w:val="00773D85"/>
    <w:rsid w:val="00774514"/>
    <w:rsid w:val="00774DF5"/>
    <w:rsid w:val="00775B0B"/>
    <w:rsid w:val="00775B46"/>
    <w:rsid w:val="00777C9A"/>
    <w:rsid w:val="00780357"/>
    <w:rsid w:val="00780579"/>
    <w:rsid w:val="00780E6F"/>
    <w:rsid w:val="007810B2"/>
    <w:rsid w:val="00781A5F"/>
    <w:rsid w:val="00782913"/>
    <w:rsid w:val="00783F8C"/>
    <w:rsid w:val="00786FFD"/>
    <w:rsid w:val="00787196"/>
    <w:rsid w:val="007903D3"/>
    <w:rsid w:val="0079381D"/>
    <w:rsid w:val="00797774"/>
    <w:rsid w:val="007A120E"/>
    <w:rsid w:val="007A1ECE"/>
    <w:rsid w:val="007A3B9D"/>
    <w:rsid w:val="007A6B68"/>
    <w:rsid w:val="007B4394"/>
    <w:rsid w:val="007B5E76"/>
    <w:rsid w:val="007B70C6"/>
    <w:rsid w:val="007B74EF"/>
    <w:rsid w:val="007B77ED"/>
    <w:rsid w:val="007C0CFC"/>
    <w:rsid w:val="007C0D85"/>
    <w:rsid w:val="007C17BD"/>
    <w:rsid w:val="007C1971"/>
    <w:rsid w:val="007C25E6"/>
    <w:rsid w:val="007C2FE2"/>
    <w:rsid w:val="007C37F2"/>
    <w:rsid w:val="007C4555"/>
    <w:rsid w:val="007C511F"/>
    <w:rsid w:val="007C57F6"/>
    <w:rsid w:val="007C6D34"/>
    <w:rsid w:val="007D6B4B"/>
    <w:rsid w:val="007E01A6"/>
    <w:rsid w:val="007E0700"/>
    <w:rsid w:val="007E2F66"/>
    <w:rsid w:val="007E35EA"/>
    <w:rsid w:val="007E4F84"/>
    <w:rsid w:val="007E7B26"/>
    <w:rsid w:val="007F6ECD"/>
    <w:rsid w:val="007F7F88"/>
    <w:rsid w:val="00800D80"/>
    <w:rsid w:val="008022A5"/>
    <w:rsid w:val="00804D3B"/>
    <w:rsid w:val="00806499"/>
    <w:rsid w:val="00806BC5"/>
    <w:rsid w:val="008105D5"/>
    <w:rsid w:val="00810ECA"/>
    <w:rsid w:val="008148CE"/>
    <w:rsid w:val="008151A5"/>
    <w:rsid w:val="00815549"/>
    <w:rsid w:val="00816018"/>
    <w:rsid w:val="008167CF"/>
    <w:rsid w:val="00817572"/>
    <w:rsid w:val="00820DB2"/>
    <w:rsid w:val="00820EA1"/>
    <w:rsid w:val="00824533"/>
    <w:rsid w:val="00827C86"/>
    <w:rsid w:val="00833AFE"/>
    <w:rsid w:val="00835BF9"/>
    <w:rsid w:val="00836EA0"/>
    <w:rsid w:val="008406F2"/>
    <w:rsid w:val="00840D78"/>
    <w:rsid w:val="00842EFD"/>
    <w:rsid w:val="008442C0"/>
    <w:rsid w:val="00845FAF"/>
    <w:rsid w:val="00856C3A"/>
    <w:rsid w:val="00857A15"/>
    <w:rsid w:val="00857C29"/>
    <w:rsid w:val="00861003"/>
    <w:rsid w:val="00861B54"/>
    <w:rsid w:val="00866E15"/>
    <w:rsid w:val="00867547"/>
    <w:rsid w:val="00870578"/>
    <w:rsid w:val="00870CB8"/>
    <w:rsid w:val="00871EA1"/>
    <w:rsid w:val="00873EC8"/>
    <w:rsid w:val="00875C09"/>
    <w:rsid w:val="00877A7B"/>
    <w:rsid w:val="00884110"/>
    <w:rsid w:val="008845A2"/>
    <w:rsid w:val="00885C6A"/>
    <w:rsid w:val="00891767"/>
    <w:rsid w:val="008917CF"/>
    <w:rsid w:val="008923EE"/>
    <w:rsid w:val="0089253F"/>
    <w:rsid w:val="00892C7A"/>
    <w:rsid w:val="00892CC7"/>
    <w:rsid w:val="0089334F"/>
    <w:rsid w:val="00893EA8"/>
    <w:rsid w:val="00894085"/>
    <w:rsid w:val="00894438"/>
    <w:rsid w:val="00894F87"/>
    <w:rsid w:val="008974C0"/>
    <w:rsid w:val="008A3561"/>
    <w:rsid w:val="008A39C6"/>
    <w:rsid w:val="008C0C77"/>
    <w:rsid w:val="008C1123"/>
    <w:rsid w:val="008C6D43"/>
    <w:rsid w:val="008C78F4"/>
    <w:rsid w:val="008D06C4"/>
    <w:rsid w:val="008D34B9"/>
    <w:rsid w:val="008D4877"/>
    <w:rsid w:val="008D5861"/>
    <w:rsid w:val="008E155A"/>
    <w:rsid w:val="008E1757"/>
    <w:rsid w:val="008E3319"/>
    <w:rsid w:val="008E5BA1"/>
    <w:rsid w:val="008E6D28"/>
    <w:rsid w:val="008E79FF"/>
    <w:rsid w:val="008F4DFB"/>
    <w:rsid w:val="008F501B"/>
    <w:rsid w:val="008F6073"/>
    <w:rsid w:val="008F640A"/>
    <w:rsid w:val="00900292"/>
    <w:rsid w:val="00903EF2"/>
    <w:rsid w:val="00907315"/>
    <w:rsid w:val="009078ED"/>
    <w:rsid w:val="00910E57"/>
    <w:rsid w:val="009126C0"/>
    <w:rsid w:val="00917A64"/>
    <w:rsid w:val="00922DAB"/>
    <w:rsid w:val="0092429F"/>
    <w:rsid w:val="00926822"/>
    <w:rsid w:val="00926BD1"/>
    <w:rsid w:val="009313D3"/>
    <w:rsid w:val="0093161B"/>
    <w:rsid w:val="00933EE0"/>
    <w:rsid w:val="00936422"/>
    <w:rsid w:val="009364BF"/>
    <w:rsid w:val="0093690D"/>
    <w:rsid w:val="0094270C"/>
    <w:rsid w:val="00942BCA"/>
    <w:rsid w:val="0094348F"/>
    <w:rsid w:val="00946CCB"/>
    <w:rsid w:val="00950115"/>
    <w:rsid w:val="00950250"/>
    <w:rsid w:val="0095167D"/>
    <w:rsid w:val="009541E6"/>
    <w:rsid w:val="009544E4"/>
    <w:rsid w:val="009547CE"/>
    <w:rsid w:val="00956C56"/>
    <w:rsid w:val="00960DE8"/>
    <w:rsid w:val="00964EB0"/>
    <w:rsid w:val="00967D01"/>
    <w:rsid w:val="00967D6B"/>
    <w:rsid w:val="0097119C"/>
    <w:rsid w:val="00984350"/>
    <w:rsid w:val="0098438B"/>
    <w:rsid w:val="009860E5"/>
    <w:rsid w:val="00987929"/>
    <w:rsid w:val="00992F55"/>
    <w:rsid w:val="009933C1"/>
    <w:rsid w:val="00993A5A"/>
    <w:rsid w:val="00994966"/>
    <w:rsid w:val="00995F59"/>
    <w:rsid w:val="009A1272"/>
    <w:rsid w:val="009A22AE"/>
    <w:rsid w:val="009A461D"/>
    <w:rsid w:val="009A4FCE"/>
    <w:rsid w:val="009A68BA"/>
    <w:rsid w:val="009A7309"/>
    <w:rsid w:val="009B56B4"/>
    <w:rsid w:val="009B5F0A"/>
    <w:rsid w:val="009C0007"/>
    <w:rsid w:val="009C1D6F"/>
    <w:rsid w:val="009C26A2"/>
    <w:rsid w:val="009C5B7C"/>
    <w:rsid w:val="009C6A3C"/>
    <w:rsid w:val="009C7825"/>
    <w:rsid w:val="009C7BAA"/>
    <w:rsid w:val="009C7DBB"/>
    <w:rsid w:val="009D225C"/>
    <w:rsid w:val="009D3FD6"/>
    <w:rsid w:val="009D7B1E"/>
    <w:rsid w:val="009E154E"/>
    <w:rsid w:val="009E3B7C"/>
    <w:rsid w:val="009E4C99"/>
    <w:rsid w:val="009E7210"/>
    <w:rsid w:val="009E7DF6"/>
    <w:rsid w:val="009F342E"/>
    <w:rsid w:val="009F3713"/>
    <w:rsid w:val="009F3B87"/>
    <w:rsid w:val="009F3C32"/>
    <w:rsid w:val="009F7022"/>
    <w:rsid w:val="009F7A02"/>
    <w:rsid w:val="00A014AC"/>
    <w:rsid w:val="00A01E5F"/>
    <w:rsid w:val="00A054F3"/>
    <w:rsid w:val="00A06D0A"/>
    <w:rsid w:val="00A077B1"/>
    <w:rsid w:val="00A104E7"/>
    <w:rsid w:val="00A12DC9"/>
    <w:rsid w:val="00A13DFC"/>
    <w:rsid w:val="00A165B3"/>
    <w:rsid w:val="00A20A08"/>
    <w:rsid w:val="00A269D6"/>
    <w:rsid w:val="00A323F0"/>
    <w:rsid w:val="00A33799"/>
    <w:rsid w:val="00A366FC"/>
    <w:rsid w:val="00A36B9A"/>
    <w:rsid w:val="00A37085"/>
    <w:rsid w:val="00A468BB"/>
    <w:rsid w:val="00A51F79"/>
    <w:rsid w:val="00A5339A"/>
    <w:rsid w:val="00A6027D"/>
    <w:rsid w:val="00A61932"/>
    <w:rsid w:val="00A65F98"/>
    <w:rsid w:val="00A66DAB"/>
    <w:rsid w:val="00A6790C"/>
    <w:rsid w:val="00A71F70"/>
    <w:rsid w:val="00A734B9"/>
    <w:rsid w:val="00A77666"/>
    <w:rsid w:val="00A821F0"/>
    <w:rsid w:val="00A83310"/>
    <w:rsid w:val="00A850DE"/>
    <w:rsid w:val="00A92F43"/>
    <w:rsid w:val="00A9401B"/>
    <w:rsid w:val="00A94D38"/>
    <w:rsid w:val="00A95AD3"/>
    <w:rsid w:val="00AA3684"/>
    <w:rsid w:val="00AA6015"/>
    <w:rsid w:val="00AB0820"/>
    <w:rsid w:val="00AB0CB3"/>
    <w:rsid w:val="00AC4A7D"/>
    <w:rsid w:val="00AC4E5F"/>
    <w:rsid w:val="00AC5415"/>
    <w:rsid w:val="00AC679E"/>
    <w:rsid w:val="00AD0B65"/>
    <w:rsid w:val="00AD235B"/>
    <w:rsid w:val="00AD54DC"/>
    <w:rsid w:val="00AD5ABB"/>
    <w:rsid w:val="00AF073E"/>
    <w:rsid w:val="00AF11EE"/>
    <w:rsid w:val="00AF1FCB"/>
    <w:rsid w:val="00AF25A5"/>
    <w:rsid w:val="00AF5AE3"/>
    <w:rsid w:val="00AF62C4"/>
    <w:rsid w:val="00AF6E8A"/>
    <w:rsid w:val="00B03089"/>
    <w:rsid w:val="00B0464D"/>
    <w:rsid w:val="00B0498D"/>
    <w:rsid w:val="00B04BE7"/>
    <w:rsid w:val="00B05433"/>
    <w:rsid w:val="00B079BD"/>
    <w:rsid w:val="00B1319C"/>
    <w:rsid w:val="00B17724"/>
    <w:rsid w:val="00B23014"/>
    <w:rsid w:val="00B244A3"/>
    <w:rsid w:val="00B2645D"/>
    <w:rsid w:val="00B26B67"/>
    <w:rsid w:val="00B33752"/>
    <w:rsid w:val="00B346C0"/>
    <w:rsid w:val="00B35E4E"/>
    <w:rsid w:val="00B364AF"/>
    <w:rsid w:val="00B36D31"/>
    <w:rsid w:val="00B376FE"/>
    <w:rsid w:val="00B37B74"/>
    <w:rsid w:val="00B4007A"/>
    <w:rsid w:val="00B40988"/>
    <w:rsid w:val="00B42349"/>
    <w:rsid w:val="00B46D05"/>
    <w:rsid w:val="00B516FE"/>
    <w:rsid w:val="00B54652"/>
    <w:rsid w:val="00B54C52"/>
    <w:rsid w:val="00B55307"/>
    <w:rsid w:val="00B5659D"/>
    <w:rsid w:val="00B56C4F"/>
    <w:rsid w:val="00B63DFD"/>
    <w:rsid w:val="00B647D2"/>
    <w:rsid w:val="00B6543F"/>
    <w:rsid w:val="00B65D6D"/>
    <w:rsid w:val="00B6727D"/>
    <w:rsid w:val="00B741C8"/>
    <w:rsid w:val="00B81AE0"/>
    <w:rsid w:val="00B821DA"/>
    <w:rsid w:val="00B82F96"/>
    <w:rsid w:val="00B86F12"/>
    <w:rsid w:val="00B87616"/>
    <w:rsid w:val="00B9108F"/>
    <w:rsid w:val="00B9348F"/>
    <w:rsid w:val="00B972CC"/>
    <w:rsid w:val="00BA0A55"/>
    <w:rsid w:val="00BA1378"/>
    <w:rsid w:val="00BA22C4"/>
    <w:rsid w:val="00BA256E"/>
    <w:rsid w:val="00BA3F75"/>
    <w:rsid w:val="00BB2E4E"/>
    <w:rsid w:val="00BB487B"/>
    <w:rsid w:val="00BB5777"/>
    <w:rsid w:val="00BC01BA"/>
    <w:rsid w:val="00BC1A4D"/>
    <w:rsid w:val="00BC41A7"/>
    <w:rsid w:val="00BC7E8F"/>
    <w:rsid w:val="00BD0CEE"/>
    <w:rsid w:val="00BD0FFB"/>
    <w:rsid w:val="00BD1425"/>
    <w:rsid w:val="00BD4CF4"/>
    <w:rsid w:val="00BD5A36"/>
    <w:rsid w:val="00BD7CC0"/>
    <w:rsid w:val="00BD7EF4"/>
    <w:rsid w:val="00BE0048"/>
    <w:rsid w:val="00BE0B5D"/>
    <w:rsid w:val="00BE2821"/>
    <w:rsid w:val="00BE3914"/>
    <w:rsid w:val="00BE46C9"/>
    <w:rsid w:val="00BE4AEC"/>
    <w:rsid w:val="00BE591E"/>
    <w:rsid w:val="00BE6E1A"/>
    <w:rsid w:val="00BE7754"/>
    <w:rsid w:val="00BF07AA"/>
    <w:rsid w:val="00BF0F19"/>
    <w:rsid w:val="00BF1D6E"/>
    <w:rsid w:val="00BF2252"/>
    <w:rsid w:val="00BF2575"/>
    <w:rsid w:val="00BF4242"/>
    <w:rsid w:val="00BF777B"/>
    <w:rsid w:val="00C057E1"/>
    <w:rsid w:val="00C14326"/>
    <w:rsid w:val="00C14A0E"/>
    <w:rsid w:val="00C1722E"/>
    <w:rsid w:val="00C21CD0"/>
    <w:rsid w:val="00C2283E"/>
    <w:rsid w:val="00C3474B"/>
    <w:rsid w:val="00C35622"/>
    <w:rsid w:val="00C37543"/>
    <w:rsid w:val="00C3787D"/>
    <w:rsid w:val="00C37B33"/>
    <w:rsid w:val="00C40EEF"/>
    <w:rsid w:val="00C453E2"/>
    <w:rsid w:val="00C46D90"/>
    <w:rsid w:val="00C50150"/>
    <w:rsid w:val="00C55096"/>
    <w:rsid w:val="00C550E7"/>
    <w:rsid w:val="00C55481"/>
    <w:rsid w:val="00C6098A"/>
    <w:rsid w:val="00C60D74"/>
    <w:rsid w:val="00C610CF"/>
    <w:rsid w:val="00C61735"/>
    <w:rsid w:val="00C64DCD"/>
    <w:rsid w:val="00C65EAF"/>
    <w:rsid w:val="00C6668B"/>
    <w:rsid w:val="00C676E6"/>
    <w:rsid w:val="00C72627"/>
    <w:rsid w:val="00C73765"/>
    <w:rsid w:val="00C801CA"/>
    <w:rsid w:val="00C80DC8"/>
    <w:rsid w:val="00C82F61"/>
    <w:rsid w:val="00C83CF9"/>
    <w:rsid w:val="00C84D54"/>
    <w:rsid w:val="00C90E2C"/>
    <w:rsid w:val="00C970B0"/>
    <w:rsid w:val="00C97BAA"/>
    <w:rsid w:val="00CA1209"/>
    <w:rsid w:val="00CA149B"/>
    <w:rsid w:val="00CB2288"/>
    <w:rsid w:val="00CB27B6"/>
    <w:rsid w:val="00CB576B"/>
    <w:rsid w:val="00CB6BFD"/>
    <w:rsid w:val="00CC2A9A"/>
    <w:rsid w:val="00CC438A"/>
    <w:rsid w:val="00CC6498"/>
    <w:rsid w:val="00CC6D9F"/>
    <w:rsid w:val="00CC7001"/>
    <w:rsid w:val="00CD2573"/>
    <w:rsid w:val="00CE0286"/>
    <w:rsid w:val="00CE4FD0"/>
    <w:rsid w:val="00CE6177"/>
    <w:rsid w:val="00CE61C0"/>
    <w:rsid w:val="00CE7349"/>
    <w:rsid w:val="00CF09DD"/>
    <w:rsid w:val="00CF1E58"/>
    <w:rsid w:val="00CF59F6"/>
    <w:rsid w:val="00CF7B2C"/>
    <w:rsid w:val="00D020B9"/>
    <w:rsid w:val="00D06D14"/>
    <w:rsid w:val="00D11243"/>
    <w:rsid w:val="00D127C5"/>
    <w:rsid w:val="00D13D8F"/>
    <w:rsid w:val="00D14C7D"/>
    <w:rsid w:val="00D15476"/>
    <w:rsid w:val="00D17CDC"/>
    <w:rsid w:val="00D2072B"/>
    <w:rsid w:val="00D211EA"/>
    <w:rsid w:val="00D321D6"/>
    <w:rsid w:val="00D34CBB"/>
    <w:rsid w:val="00D41C6F"/>
    <w:rsid w:val="00D4412A"/>
    <w:rsid w:val="00D466A4"/>
    <w:rsid w:val="00D47124"/>
    <w:rsid w:val="00D508F5"/>
    <w:rsid w:val="00D517DF"/>
    <w:rsid w:val="00D51C05"/>
    <w:rsid w:val="00D52B49"/>
    <w:rsid w:val="00D54E78"/>
    <w:rsid w:val="00D55293"/>
    <w:rsid w:val="00D55CB5"/>
    <w:rsid w:val="00D567C8"/>
    <w:rsid w:val="00D56A32"/>
    <w:rsid w:val="00D604E4"/>
    <w:rsid w:val="00D625A5"/>
    <w:rsid w:val="00D638CF"/>
    <w:rsid w:val="00D64F6F"/>
    <w:rsid w:val="00D66643"/>
    <w:rsid w:val="00D72DF7"/>
    <w:rsid w:val="00D8308A"/>
    <w:rsid w:val="00D84733"/>
    <w:rsid w:val="00D864A4"/>
    <w:rsid w:val="00D94F44"/>
    <w:rsid w:val="00D95E0D"/>
    <w:rsid w:val="00D978E5"/>
    <w:rsid w:val="00DA12B4"/>
    <w:rsid w:val="00DA1E2D"/>
    <w:rsid w:val="00DA2234"/>
    <w:rsid w:val="00DA3447"/>
    <w:rsid w:val="00DA35F5"/>
    <w:rsid w:val="00DA4B3F"/>
    <w:rsid w:val="00DA53D0"/>
    <w:rsid w:val="00DA6E82"/>
    <w:rsid w:val="00DA76D3"/>
    <w:rsid w:val="00DB199C"/>
    <w:rsid w:val="00DB211F"/>
    <w:rsid w:val="00DB27DB"/>
    <w:rsid w:val="00DB2AA1"/>
    <w:rsid w:val="00DB3648"/>
    <w:rsid w:val="00DB419F"/>
    <w:rsid w:val="00DB5C8D"/>
    <w:rsid w:val="00DB776D"/>
    <w:rsid w:val="00DB77B4"/>
    <w:rsid w:val="00DB7CCD"/>
    <w:rsid w:val="00DC0C5D"/>
    <w:rsid w:val="00DC2865"/>
    <w:rsid w:val="00DC5100"/>
    <w:rsid w:val="00DC66C3"/>
    <w:rsid w:val="00DD1EA9"/>
    <w:rsid w:val="00DD3410"/>
    <w:rsid w:val="00DD4117"/>
    <w:rsid w:val="00DD63A3"/>
    <w:rsid w:val="00DD6CA3"/>
    <w:rsid w:val="00DE07CC"/>
    <w:rsid w:val="00DE27C5"/>
    <w:rsid w:val="00DE293E"/>
    <w:rsid w:val="00DF0D29"/>
    <w:rsid w:val="00DF0F92"/>
    <w:rsid w:val="00DF172C"/>
    <w:rsid w:val="00DF31CA"/>
    <w:rsid w:val="00DF3E0E"/>
    <w:rsid w:val="00DF4B8A"/>
    <w:rsid w:val="00DF4D9A"/>
    <w:rsid w:val="00E015AE"/>
    <w:rsid w:val="00E01DA4"/>
    <w:rsid w:val="00E03AEC"/>
    <w:rsid w:val="00E06651"/>
    <w:rsid w:val="00E070D3"/>
    <w:rsid w:val="00E07DB3"/>
    <w:rsid w:val="00E1537B"/>
    <w:rsid w:val="00E164B0"/>
    <w:rsid w:val="00E1729F"/>
    <w:rsid w:val="00E1750A"/>
    <w:rsid w:val="00E215A6"/>
    <w:rsid w:val="00E305FE"/>
    <w:rsid w:val="00E32A9F"/>
    <w:rsid w:val="00E33AAD"/>
    <w:rsid w:val="00E33DE4"/>
    <w:rsid w:val="00E35E93"/>
    <w:rsid w:val="00E44126"/>
    <w:rsid w:val="00E44EC1"/>
    <w:rsid w:val="00E45088"/>
    <w:rsid w:val="00E45365"/>
    <w:rsid w:val="00E47914"/>
    <w:rsid w:val="00E514FD"/>
    <w:rsid w:val="00E53E1C"/>
    <w:rsid w:val="00E57905"/>
    <w:rsid w:val="00E609FB"/>
    <w:rsid w:val="00E62A4C"/>
    <w:rsid w:val="00E630E6"/>
    <w:rsid w:val="00E6704E"/>
    <w:rsid w:val="00E72908"/>
    <w:rsid w:val="00E76C8A"/>
    <w:rsid w:val="00E8095B"/>
    <w:rsid w:val="00E81D75"/>
    <w:rsid w:val="00E82FB1"/>
    <w:rsid w:val="00E83DA7"/>
    <w:rsid w:val="00E87554"/>
    <w:rsid w:val="00EA34C4"/>
    <w:rsid w:val="00EA40B5"/>
    <w:rsid w:val="00EA722C"/>
    <w:rsid w:val="00EA7603"/>
    <w:rsid w:val="00EB7E16"/>
    <w:rsid w:val="00EC1348"/>
    <w:rsid w:val="00EC182F"/>
    <w:rsid w:val="00EC1C61"/>
    <w:rsid w:val="00EC32ED"/>
    <w:rsid w:val="00EC3B41"/>
    <w:rsid w:val="00ED014A"/>
    <w:rsid w:val="00ED02BE"/>
    <w:rsid w:val="00ED0775"/>
    <w:rsid w:val="00ED44F0"/>
    <w:rsid w:val="00ED5F19"/>
    <w:rsid w:val="00ED7268"/>
    <w:rsid w:val="00EE00DB"/>
    <w:rsid w:val="00EE2FC1"/>
    <w:rsid w:val="00EE3F44"/>
    <w:rsid w:val="00EE3F7A"/>
    <w:rsid w:val="00EE6F1F"/>
    <w:rsid w:val="00EE7E67"/>
    <w:rsid w:val="00EF1BD1"/>
    <w:rsid w:val="00EF2CC6"/>
    <w:rsid w:val="00EF528B"/>
    <w:rsid w:val="00EF66C5"/>
    <w:rsid w:val="00F02BFE"/>
    <w:rsid w:val="00F0533C"/>
    <w:rsid w:val="00F059CD"/>
    <w:rsid w:val="00F0664C"/>
    <w:rsid w:val="00F06D81"/>
    <w:rsid w:val="00F07D37"/>
    <w:rsid w:val="00F10351"/>
    <w:rsid w:val="00F11FAE"/>
    <w:rsid w:val="00F128F0"/>
    <w:rsid w:val="00F13104"/>
    <w:rsid w:val="00F147A8"/>
    <w:rsid w:val="00F1638C"/>
    <w:rsid w:val="00F24BDB"/>
    <w:rsid w:val="00F25185"/>
    <w:rsid w:val="00F2586E"/>
    <w:rsid w:val="00F26B8F"/>
    <w:rsid w:val="00F30803"/>
    <w:rsid w:val="00F31122"/>
    <w:rsid w:val="00F33B5E"/>
    <w:rsid w:val="00F342A7"/>
    <w:rsid w:val="00F37812"/>
    <w:rsid w:val="00F404FA"/>
    <w:rsid w:val="00F40E13"/>
    <w:rsid w:val="00F42109"/>
    <w:rsid w:val="00F421A6"/>
    <w:rsid w:val="00F449E2"/>
    <w:rsid w:val="00F45736"/>
    <w:rsid w:val="00F47CD1"/>
    <w:rsid w:val="00F500F3"/>
    <w:rsid w:val="00F5258C"/>
    <w:rsid w:val="00F56918"/>
    <w:rsid w:val="00F60879"/>
    <w:rsid w:val="00F6416A"/>
    <w:rsid w:val="00F7076C"/>
    <w:rsid w:val="00F77A83"/>
    <w:rsid w:val="00F806D2"/>
    <w:rsid w:val="00F81288"/>
    <w:rsid w:val="00F9101C"/>
    <w:rsid w:val="00F91DEA"/>
    <w:rsid w:val="00F93BB4"/>
    <w:rsid w:val="00F9430D"/>
    <w:rsid w:val="00F9572A"/>
    <w:rsid w:val="00F95FEC"/>
    <w:rsid w:val="00FA509E"/>
    <w:rsid w:val="00FA5337"/>
    <w:rsid w:val="00FC22EF"/>
    <w:rsid w:val="00FC235E"/>
    <w:rsid w:val="00FC548A"/>
    <w:rsid w:val="00FD12A7"/>
    <w:rsid w:val="00FD1E99"/>
    <w:rsid w:val="00FD4AFE"/>
    <w:rsid w:val="00FD7C7E"/>
    <w:rsid w:val="00FE156D"/>
    <w:rsid w:val="00FE4E14"/>
    <w:rsid w:val="00FE5728"/>
    <w:rsid w:val="00FE583D"/>
    <w:rsid w:val="00FF1AE1"/>
    <w:rsid w:val="00FF2636"/>
    <w:rsid w:val="00FF333E"/>
    <w:rsid w:val="00FF4FD2"/>
    <w:rsid w:val="00FF524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1B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7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877"/>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4877"/>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8D4877"/>
    <w:rPr>
      <w:sz w:val="16"/>
      <w:szCs w:val="16"/>
    </w:rPr>
  </w:style>
  <w:style w:type="paragraph" w:styleId="CommentText">
    <w:name w:val="annotation text"/>
    <w:basedOn w:val="Normal"/>
    <w:link w:val="CommentTextChar"/>
    <w:uiPriority w:val="99"/>
    <w:unhideWhenUsed/>
    <w:rsid w:val="008D4877"/>
    <w:rPr>
      <w:sz w:val="20"/>
      <w:szCs w:val="20"/>
    </w:rPr>
  </w:style>
  <w:style w:type="character" w:customStyle="1" w:styleId="CommentTextChar">
    <w:name w:val="Comment Text Char"/>
    <w:basedOn w:val="DefaultParagraphFont"/>
    <w:link w:val="CommentText"/>
    <w:uiPriority w:val="99"/>
    <w:rsid w:val="008D4877"/>
    <w:rPr>
      <w:rFonts w:eastAsia="Times New Roman" w:cs="Times New Roman"/>
      <w:sz w:val="20"/>
      <w:szCs w:val="20"/>
      <w:lang w:eastAsia="ru-RU"/>
    </w:rPr>
  </w:style>
  <w:style w:type="paragraph" w:styleId="Header">
    <w:name w:val="header"/>
    <w:basedOn w:val="Normal"/>
    <w:link w:val="HeaderChar"/>
    <w:uiPriority w:val="99"/>
    <w:unhideWhenUsed/>
    <w:rsid w:val="008D4877"/>
    <w:pPr>
      <w:tabs>
        <w:tab w:val="center" w:pos="4153"/>
        <w:tab w:val="right" w:pos="8306"/>
      </w:tabs>
    </w:pPr>
  </w:style>
  <w:style w:type="character" w:customStyle="1" w:styleId="HeaderChar">
    <w:name w:val="Header Char"/>
    <w:basedOn w:val="DefaultParagraphFont"/>
    <w:link w:val="Header"/>
    <w:uiPriority w:val="99"/>
    <w:rsid w:val="008D4877"/>
    <w:rPr>
      <w:rFonts w:eastAsia="Times New Roman" w:cs="Times New Roman"/>
      <w:szCs w:val="24"/>
      <w:lang w:eastAsia="ru-RU"/>
    </w:rPr>
  </w:style>
  <w:style w:type="paragraph" w:styleId="Footer">
    <w:name w:val="footer"/>
    <w:basedOn w:val="Normal"/>
    <w:link w:val="FooterChar"/>
    <w:uiPriority w:val="99"/>
    <w:unhideWhenUsed/>
    <w:rsid w:val="008D4877"/>
    <w:pPr>
      <w:tabs>
        <w:tab w:val="center" w:pos="4153"/>
        <w:tab w:val="right" w:pos="8306"/>
      </w:tabs>
    </w:pPr>
  </w:style>
  <w:style w:type="character" w:customStyle="1" w:styleId="FooterChar">
    <w:name w:val="Footer Char"/>
    <w:basedOn w:val="DefaultParagraphFont"/>
    <w:link w:val="Footer"/>
    <w:uiPriority w:val="99"/>
    <w:rsid w:val="008D4877"/>
    <w:rPr>
      <w:rFonts w:eastAsia="Times New Roman" w:cs="Times New Roman"/>
      <w:szCs w:val="24"/>
      <w:lang w:eastAsia="ru-RU"/>
    </w:rPr>
  </w:style>
  <w:style w:type="character" w:styleId="Hyperlink">
    <w:name w:val="Hyperlink"/>
    <w:basedOn w:val="DefaultParagraphFont"/>
    <w:uiPriority w:val="99"/>
    <w:unhideWhenUsed/>
    <w:qFormat/>
    <w:rsid w:val="008D4877"/>
    <w:rPr>
      <w:color w:val="0563C1" w:themeColor="hyperlink"/>
      <w:u w:val="single"/>
    </w:rPr>
  </w:style>
  <w:style w:type="paragraph" w:styleId="BalloonText">
    <w:name w:val="Balloon Text"/>
    <w:basedOn w:val="Normal"/>
    <w:link w:val="BalloonTextChar"/>
    <w:uiPriority w:val="99"/>
    <w:semiHidden/>
    <w:unhideWhenUsed/>
    <w:rsid w:val="008D4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877"/>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D567C8"/>
    <w:rPr>
      <w:sz w:val="20"/>
      <w:szCs w:val="20"/>
    </w:rPr>
  </w:style>
  <w:style w:type="character" w:customStyle="1" w:styleId="EndnoteTextChar">
    <w:name w:val="Endnote Text Char"/>
    <w:basedOn w:val="DefaultParagraphFont"/>
    <w:link w:val="EndnoteText"/>
    <w:uiPriority w:val="99"/>
    <w:semiHidden/>
    <w:rsid w:val="00D567C8"/>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D567C8"/>
    <w:rPr>
      <w:vertAlign w:val="superscript"/>
    </w:rPr>
  </w:style>
  <w:style w:type="paragraph" w:styleId="CommentSubject">
    <w:name w:val="annotation subject"/>
    <w:basedOn w:val="CommentText"/>
    <w:next w:val="CommentText"/>
    <w:link w:val="CommentSubjectChar"/>
    <w:uiPriority w:val="99"/>
    <w:semiHidden/>
    <w:unhideWhenUsed/>
    <w:rsid w:val="00E1537B"/>
    <w:rPr>
      <w:b/>
      <w:bCs/>
    </w:rPr>
  </w:style>
  <w:style w:type="character" w:customStyle="1" w:styleId="CommentSubjectChar">
    <w:name w:val="Comment Subject Char"/>
    <w:basedOn w:val="CommentTextChar"/>
    <w:link w:val="CommentSubject"/>
    <w:uiPriority w:val="99"/>
    <w:semiHidden/>
    <w:rsid w:val="00E1537B"/>
    <w:rPr>
      <w:rFonts w:eastAsia="Times New Roman" w:cs="Times New Roman"/>
      <w:b/>
      <w:bCs/>
      <w:sz w:val="20"/>
      <w:szCs w:val="20"/>
      <w:lang w:eastAsia="ru-RU"/>
    </w:rPr>
  </w:style>
  <w:style w:type="paragraph" w:styleId="Revision">
    <w:name w:val="Revision"/>
    <w:hidden/>
    <w:uiPriority w:val="99"/>
    <w:semiHidden/>
    <w:rsid w:val="00D466A4"/>
    <w:pPr>
      <w:spacing w:after="0" w:line="240" w:lineRule="auto"/>
    </w:pPr>
    <w:rPr>
      <w:rFonts w:eastAsia="Times New Roman" w:cs="Times New Roman"/>
      <w:szCs w:val="24"/>
      <w:lang w:eastAsia="ru-RU"/>
    </w:rPr>
  </w:style>
  <w:style w:type="character" w:customStyle="1" w:styleId="UnresolvedMention1">
    <w:name w:val="Unresolved Mention1"/>
    <w:basedOn w:val="DefaultParagraphFont"/>
    <w:uiPriority w:val="99"/>
    <w:semiHidden/>
    <w:unhideWhenUsed/>
    <w:rsid w:val="00225987"/>
    <w:rPr>
      <w:color w:val="605E5C"/>
      <w:shd w:val="clear" w:color="auto" w:fill="E1DFDD"/>
    </w:rPr>
  </w:style>
  <w:style w:type="character" w:styleId="FollowedHyperlink">
    <w:name w:val="FollowedHyperlink"/>
    <w:basedOn w:val="DefaultParagraphFont"/>
    <w:uiPriority w:val="99"/>
    <w:semiHidden/>
    <w:unhideWhenUsed/>
    <w:rsid w:val="00DF0F92"/>
    <w:rPr>
      <w:color w:val="954F72" w:themeColor="followedHyperlink"/>
      <w:u w:val="single"/>
    </w:rPr>
  </w:style>
  <w:style w:type="character" w:styleId="UnresolvedMention">
    <w:name w:val="Unresolved Mention"/>
    <w:basedOn w:val="DefaultParagraphFont"/>
    <w:uiPriority w:val="99"/>
    <w:semiHidden/>
    <w:unhideWhenUsed/>
    <w:rsid w:val="00C60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443/eTiesasMvc/nolemumi/pdf/495056.pdf" TargetMode="External"/><Relationship Id="rId13" Type="http://schemas.openxmlformats.org/officeDocument/2006/relationships/hyperlink" Target="https://manas.tiesas.lv:443/eTiesasMvc/nolemumi/pdf/406673.pdf" TargetMode="External"/><Relationship Id="rId18" Type="http://schemas.openxmlformats.org/officeDocument/2006/relationships/hyperlink" Target="https://manas.tiesas.lv:443/eTiesasMvc/nolemumi/pdf/424471.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anas.tiesas.lv/eTiesasMvc/nolemumi/pdf/518823.pdf" TargetMode="External"/><Relationship Id="rId12" Type="http://schemas.openxmlformats.org/officeDocument/2006/relationships/hyperlink" Target="https://manas.tiesas.lv:443/eTiesasMvc/nolemumi/pdf/445381.pdf" TargetMode="External"/><Relationship Id="rId17" Type="http://schemas.openxmlformats.org/officeDocument/2006/relationships/hyperlink" Target="https://manas.tiesas.lv:443/eTiesasMvc/nolemumi/pdf/392650.pdf" TargetMode="External"/><Relationship Id="rId2" Type="http://schemas.openxmlformats.org/officeDocument/2006/relationships/styles" Target="styles.xml"/><Relationship Id="rId16" Type="http://schemas.openxmlformats.org/officeDocument/2006/relationships/hyperlink" Target="https://manas.tiesas.lv:443/eTiesasMvc/nolemumi/pdf/417618.pdf" TargetMode="External"/><Relationship Id="rId20" Type="http://schemas.openxmlformats.org/officeDocument/2006/relationships/hyperlink" Target="https://www.satv.tiesa.gov.lv/web/viewer.html?file=/wp-content/uploads/2016/02/2010-56-03_Spriedums.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443/eTiesasMvc/nolemumi/pdf/471174.pdf" TargetMode="External"/><Relationship Id="rId5" Type="http://schemas.openxmlformats.org/officeDocument/2006/relationships/footnotes" Target="footnotes.xml"/><Relationship Id="rId15" Type="http://schemas.openxmlformats.org/officeDocument/2006/relationships/hyperlink" Target="https://manas.tiesas.lv:443/eTiesasMvc/nolemumi/pdf/346916.pdf" TargetMode="External"/><Relationship Id="rId23" Type="http://schemas.openxmlformats.org/officeDocument/2006/relationships/theme" Target="theme/theme1.xml"/><Relationship Id="rId10" Type="http://schemas.openxmlformats.org/officeDocument/2006/relationships/hyperlink" Target="https://manas.tiesas.lv:443/eTiesasMvc/nolemumi/pdf/382394.pdf" TargetMode="External"/><Relationship Id="rId19" Type="http://schemas.openxmlformats.org/officeDocument/2006/relationships/hyperlink" Target="https://tiesas.lv/nolemumi/pdf/178444.pdf" TargetMode="External"/><Relationship Id="rId4" Type="http://schemas.openxmlformats.org/officeDocument/2006/relationships/webSettings" Target="webSettings.xml"/><Relationship Id="rId9" Type="http://schemas.openxmlformats.org/officeDocument/2006/relationships/hyperlink" Target="https://manas.tiesas.lv:443/eTiesasMvc/nolemumi/pdf/406835.pdf" TargetMode="External"/><Relationship Id="rId14" Type="http://schemas.openxmlformats.org/officeDocument/2006/relationships/hyperlink" Target="https://atprod.dev6.case.lv/downloadlawfile/460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F067-D31E-43BE-9862-FA97E4A7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28535</Words>
  <Characters>16265</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2024-04-02T12:26:00Z</dcterms:created>
  <dcterms:modified xsi:type="dcterms:W3CDTF">2024-04-02T12:43:00Z</dcterms:modified>
</cp:coreProperties>
</file>