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2F98" w14:textId="34113A4F" w:rsidR="00BB08B3" w:rsidRPr="00A41040" w:rsidRDefault="00A41040" w:rsidP="002A5839">
      <w:pPr>
        <w:spacing w:line="276" w:lineRule="auto"/>
        <w:jc w:val="both"/>
        <w:rPr>
          <w:b/>
          <w:bCs/>
          <w:szCs w:val="22"/>
          <w:lang w:eastAsia="lv-LV"/>
        </w:rPr>
      </w:pPr>
      <w:r>
        <w:rPr>
          <w:b/>
          <w:bCs/>
          <w:lang w:eastAsia="en-US"/>
        </w:rPr>
        <w:t>T</w:t>
      </w:r>
      <w:r>
        <w:rPr>
          <w:b/>
          <w:bCs/>
        </w:rPr>
        <w:t>iesai ir piešķirti pietiekami procesuālie instrumenti, lai līdzsvarotu personai noteikto tiesību uz taisnīgu tiesu ierobežojumu un nodrošinātu valsts noslēpumu saturoša dokumenta pārbaudi neatkarīgā un objektīvā tiesā</w:t>
      </w:r>
    </w:p>
    <w:p w14:paraId="12B94867" w14:textId="08F5F170" w:rsidR="00A41040" w:rsidRPr="002A03F7" w:rsidRDefault="00BB08B3" w:rsidP="002A5839">
      <w:pPr>
        <w:spacing w:before="240" w:line="276" w:lineRule="auto"/>
        <w:jc w:val="center"/>
        <w:rPr>
          <w:b/>
        </w:rPr>
      </w:pPr>
      <w:r w:rsidRPr="002A03F7">
        <w:rPr>
          <w:b/>
        </w:rPr>
        <w:t>Latvijas Republikas Senāt</w:t>
      </w:r>
      <w:r w:rsidR="00A41040">
        <w:rPr>
          <w:b/>
        </w:rPr>
        <w:t>a</w:t>
      </w:r>
      <w:r w:rsidR="00A41040">
        <w:rPr>
          <w:b/>
        </w:rPr>
        <w:br/>
        <w:t xml:space="preserve">Administratīvo lietu departamenta </w:t>
      </w:r>
      <w:r w:rsidR="00A41040">
        <w:rPr>
          <w:b/>
        </w:rPr>
        <w:br/>
        <w:t>2023.gada 12.decembra</w:t>
      </w:r>
    </w:p>
    <w:p w14:paraId="7593852E" w14:textId="25E97893" w:rsidR="00ED6A52" w:rsidRDefault="00ED6A52" w:rsidP="002A5839">
      <w:pPr>
        <w:spacing w:line="276" w:lineRule="auto"/>
        <w:jc w:val="center"/>
        <w:rPr>
          <w:b/>
        </w:rPr>
      </w:pPr>
      <w:r w:rsidRPr="002B5FE8">
        <w:rPr>
          <w:b/>
        </w:rPr>
        <w:t>SPRIEDUMS</w:t>
      </w:r>
    </w:p>
    <w:p w14:paraId="5EB7D0F6" w14:textId="77777777" w:rsidR="00A41040" w:rsidRPr="0072266A" w:rsidRDefault="00A41040" w:rsidP="002A5839">
      <w:pPr>
        <w:spacing w:line="276" w:lineRule="auto"/>
        <w:jc w:val="center"/>
        <w:rPr>
          <w:rFonts w:eastAsiaTheme="minorEastAsia"/>
          <w:b/>
          <w:bCs/>
          <w:lang w:eastAsia="en-US"/>
        </w:rPr>
      </w:pPr>
      <w:r w:rsidRPr="0072266A">
        <w:rPr>
          <w:rFonts w:eastAsiaTheme="minorEastAsia"/>
          <w:b/>
          <w:bCs/>
          <w:lang w:eastAsia="en-US"/>
        </w:rPr>
        <w:t>Lieta Nr. </w:t>
      </w:r>
      <w:r w:rsidRPr="0072266A">
        <w:rPr>
          <w:b/>
          <w:bCs/>
        </w:rPr>
        <w:t>A420149520</w:t>
      </w:r>
      <w:r w:rsidRPr="0072266A">
        <w:rPr>
          <w:rFonts w:eastAsiaTheme="minorEastAsia"/>
          <w:b/>
          <w:bCs/>
          <w:lang w:eastAsia="en-US"/>
        </w:rPr>
        <w:t>, SKA</w:t>
      </w:r>
      <w:r w:rsidRPr="0072266A">
        <w:rPr>
          <w:rFonts w:eastAsiaTheme="minorEastAsia"/>
          <w:b/>
          <w:bCs/>
          <w:lang w:eastAsia="en-US"/>
        </w:rPr>
        <w:noBreakHyphen/>
        <w:t>182/2023</w:t>
      </w:r>
    </w:p>
    <w:p w14:paraId="05151667" w14:textId="7F8746B8" w:rsidR="00A41040" w:rsidRPr="002B5FE8" w:rsidRDefault="0072266A" w:rsidP="002A5839">
      <w:pPr>
        <w:spacing w:line="276" w:lineRule="auto"/>
        <w:jc w:val="center"/>
      </w:pPr>
      <w:hyperlink r:id="rId8" w:history="1">
        <w:r w:rsidRPr="0072266A">
          <w:rPr>
            <w:rStyle w:val="Hyperlink"/>
            <w:rFonts w:ascii="TimesNewRomanPSMT" w:eastAsiaTheme="minorHAnsi" w:hAnsi="TimesNewRomanPSMT" w:cs="TimesNewRomanPSMT"/>
            <w:lang w:eastAsia="en-US"/>
          </w:rPr>
          <w:t>ECLI:LV:AT:2023:1212.A420149520.11.S</w:t>
        </w:r>
      </w:hyperlink>
    </w:p>
    <w:p w14:paraId="1B490BC7" w14:textId="77777777" w:rsidR="00667CD3" w:rsidRPr="002B5FE8" w:rsidRDefault="00667CD3" w:rsidP="002A5839">
      <w:pPr>
        <w:spacing w:line="276" w:lineRule="auto"/>
        <w:ind w:firstLine="567"/>
        <w:jc w:val="both"/>
        <w:rPr>
          <w:noProof/>
        </w:rPr>
      </w:pPr>
    </w:p>
    <w:p w14:paraId="5C558A3D" w14:textId="4B446CFA" w:rsidR="00667CD3" w:rsidRPr="002B5FE8" w:rsidRDefault="002C3EB7" w:rsidP="002A5839">
      <w:pPr>
        <w:spacing w:line="276" w:lineRule="auto"/>
        <w:ind w:firstLine="720"/>
        <w:jc w:val="both"/>
      </w:pPr>
      <w:r w:rsidRPr="002B5FE8">
        <w:t>Senāts</w:t>
      </w:r>
      <w:r w:rsidR="00667CD3" w:rsidRPr="002B5FE8">
        <w:t xml:space="preserve"> šādā sastāvā: senator</w:t>
      </w:r>
      <w:r w:rsidRPr="002B5FE8">
        <w:t>e</w:t>
      </w:r>
      <w:r w:rsidR="00425FE8">
        <w:t xml:space="preserve"> referente</w:t>
      </w:r>
      <w:r w:rsidR="00667CD3" w:rsidRPr="002B5FE8">
        <w:t xml:space="preserve"> Līvija </w:t>
      </w:r>
      <w:r w:rsidR="00667CD3" w:rsidRPr="00BA7292">
        <w:t xml:space="preserve">Slica, </w:t>
      </w:r>
      <w:r w:rsidR="00425FE8" w:rsidRPr="00BA7292">
        <w:t>senator</w:t>
      </w:r>
      <w:r w:rsidR="008A1DB6" w:rsidRPr="00BA7292">
        <w:t>i</w:t>
      </w:r>
      <w:r w:rsidR="00425FE8" w:rsidRPr="00BA7292">
        <w:t xml:space="preserve"> </w:t>
      </w:r>
      <w:r w:rsidR="008A1DB6" w:rsidRPr="00BA7292">
        <w:t>Ermīns Darapoļskis</w:t>
      </w:r>
      <w:r w:rsidR="00F87949" w:rsidRPr="00BA7292">
        <w:t xml:space="preserve"> un Indra Meldere</w:t>
      </w:r>
    </w:p>
    <w:p w14:paraId="58A521CC" w14:textId="77777777" w:rsidR="00667CD3" w:rsidRPr="002B5FE8" w:rsidRDefault="00667CD3" w:rsidP="002A5839">
      <w:pPr>
        <w:spacing w:line="276" w:lineRule="auto"/>
        <w:ind w:firstLine="720"/>
        <w:jc w:val="both"/>
        <w:rPr>
          <w:noProof/>
        </w:rPr>
      </w:pPr>
    </w:p>
    <w:p w14:paraId="279D8D3A" w14:textId="6CCB135F" w:rsidR="003E11BA" w:rsidRPr="002B5FE8" w:rsidRDefault="003E11BA" w:rsidP="002A5839">
      <w:pPr>
        <w:spacing w:line="276" w:lineRule="auto"/>
        <w:ind w:firstLine="720"/>
        <w:jc w:val="both"/>
        <w:rPr>
          <w:noProof/>
        </w:rPr>
      </w:pPr>
      <w:r w:rsidRPr="002B5FE8">
        <w:rPr>
          <w:noProof/>
        </w:rPr>
        <w:t xml:space="preserve">rakstveida procesā izskatīja administratīvo lietu, kas ierosināta, pamatojoties uz </w:t>
      </w:r>
      <w:r w:rsidR="0072266A">
        <w:t xml:space="preserve">[pers. A] </w:t>
      </w:r>
      <w:r w:rsidR="00323DF2">
        <w:t>pieteikum</w:t>
      </w:r>
      <w:r w:rsidR="00E76D58">
        <w:t>u</w:t>
      </w:r>
      <w:r w:rsidR="00323DF2">
        <w:t xml:space="preserve"> par </w:t>
      </w:r>
      <w:proofErr w:type="spellStart"/>
      <w:r w:rsidR="00323DF2">
        <w:t>iekšlietu</w:t>
      </w:r>
      <w:proofErr w:type="spellEnd"/>
      <w:r w:rsidR="00323DF2">
        <w:t xml:space="preserve"> ministra atteikuma sniegt piekrišanu </w:t>
      </w:r>
      <w:r w:rsidR="0072266A">
        <w:t xml:space="preserve">[pers. A] </w:t>
      </w:r>
      <w:r w:rsidR="00323DF2">
        <w:t xml:space="preserve">iecelšanai </w:t>
      </w:r>
      <w:r w:rsidR="0072266A">
        <w:t xml:space="preserve">[Nosaukums] </w:t>
      </w:r>
      <w:r w:rsidR="00323DF2">
        <w:t>novada pašvaldības policijas priekšnieka vietnieka amatā atzīšanu par prettiesisku un zaudējumu un nemantiskā kaitējuma atlīdzināšanu</w:t>
      </w:r>
      <w:r w:rsidR="006E1142">
        <w:t xml:space="preserve">, sakarā ar </w:t>
      </w:r>
      <w:r w:rsidR="0072266A">
        <w:t xml:space="preserve">[pers. A] </w:t>
      </w:r>
      <w:r w:rsidRPr="002B5FE8">
        <w:rPr>
          <w:noProof/>
        </w:rPr>
        <w:t>kasācijas sūdzību par Administratīvās apgabaltiesas 202</w:t>
      </w:r>
      <w:r w:rsidR="00D10B13">
        <w:rPr>
          <w:noProof/>
        </w:rPr>
        <w:t>1</w:t>
      </w:r>
      <w:r w:rsidRPr="002B5FE8">
        <w:rPr>
          <w:noProof/>
        </w:rPr>
        <w:t xml:space="preserve">.gada </w:t>
      </w:r>
      <w:r w:rsidR="00323DF2">
        <w:rPr>
          <w:noProof/>
        </w:rPr>
        <w:t>13</w:t>
      </w:r>
      <w:r w:rsidR="00B0441E" w:rsidRPr="002B5FE8">
        <w:rPr>
          <w:noProof/>
        </w:rPr>
        <w:t>.</w:t>
      </w:r>
      <w:r w:rsidR="00323DF2">
        <w:rPr>
          <w:noProof/>
        </w:rPr>
        <w:t>maija</w:t>
      </w:r>
      <w:r w:rsidRPr="002B5FE8">
        <w:rPr>
          <w:noProof/>
        </w:rPr>
        <w:t xml:space="preserve"> spriedumu.</w:t>
      </w:r>
    </w:p>
    <w:p w14:paraId="1D28D5A8" w14:textId="77777777" w:rsidR="00A138AE" w:rsidRPr="002B5FE8" w:rsidRDefault="00A138AE" w:rsidP="002A5839">
      <w:pPr>
        <w:spacing w:line="276" w:lineRule="auto"/>
        <w:ind w:firstLine="720"/>
        <w:jc w:val="both"/>
        <w:rPr>
          <w:noProof/>
        </w:rPr>
      </w:pPr>
    </w:p>
    <w:p w14:paraId="4299530A" w14:textId="77777777" w:rsidR="00A138AE" w:rsidRPr="00BF1843" w:rsidRDefault="00A138AE" w:rsidP="002A5839">
      <w:pPr>
        <w:spacing w:line="276" w:lineRule="auto"/>
        <w:jc w:val="center"/>
        <w:rPr>
          <w:b/>
          <w:bCs/>
          <w:noProof/>
        </w:rPr>
      </w:pPr>
      <w:r w:rsidRPr="00BF1843">
        <w:rPr>
          <w:b/>
          <w:bCs/>
        </w:rPr>
        <w:t>Aprakstošā</w:t>
      </w:r>
      <w:r w:rsidRPr="00BF1843">
        <w:rPr>
          <w:b/>
          <w:bCs/>
          <w:noProof/>
        </w:rPr>
        <w:t xml:space="preserve"> daļa</w:t>
      </w:r>
    </w:p>
    <w:p w14:paraId="0F138BA4" w14:textId="77777777" w:rsidR="00A138AE" w:rsidRPr="002B5FE8" w:rsidRDefault="00A138AE" w:rsidP="002A5839">
      <w:pPr>
        <w:spacing w:line="276" w:lineRule="auto"/>
        <w:ind w:firstLine="720"/>
        <w:jc w:val="both"/>
        <w:rPr>
          <w:noProof/>
        </w:rPr>
      </w:pPr>
    </w:p>
    <w:p w14:paraId="0275EA18" w14:textId="1A453B95" w:rsidR="00B82FD3" w:rsidRDefault="00DE1574" w:rsidP="002A5839">
      <w:pPr>
        <w:spacing w:line="276" w:lineRule="auto"/>
        <w:ind w:firstLine="720"/>
        <w:jc w:val="both"/>
      </w:pPr>
      <w:r w:rsidRPr="002B5FE8">
        <w:rPr>
          <w:color w:val="000000"/>
        </w:rPr>
        <w:t>[1] </w:t>
      </w:r>
      <w:r w:rsidR="00323DF2">
        <w:t xml:space="preserve">2019.gada 30.jūlijā </w:t>
      </w:r>
      <w:r w:rsidR="0072266A">
        <w:t xml:space="preserve">[Nosaukums] </w:t>
      </w:r>
      <w:r w:rsidR="00323DF2">
        <w:t xml:space="preserve">novada dome vērsās </w:t>
      </w:r>
      <w:proofErr w:type="spellStart"/>
      <w:r w:rsidR="00323DF2">
        <w:t>Iekšlietu</w:t>
      </w:r>
      <w:proofErr w:type="spellEnd"/>
      <w:r w:rsidR="00323DF2">
        <w:t xml:space="preserve"> ministrijā (turpmāk – ministrija) ar lūgumu sniegt rakstveida piekrišanu pieteicēja </w:t>
      </w:r>
      <w:r w:rsidR="0072266A">
        <w:t xml:space="preserve">[pers. A] </w:t>
      </w:r>
      <w:r w:rsidR="00323DF2">
        <w:t xml:space="preserve">iecelšanai </w:t>
      </w:r>
      <w:r w:rsidR="0072266A">
        <w:t xml:space="preserve">[Nosaukums] </w:t>
      </w:r>
      <w:r w:rsidR="00323DF2">
        <w:t>novada pašvaldības policijas priekšnieka vietnieka amatā. Minētais lūgums tika nodots izskatīšanai Valsts policijai un Valsts drošības dienestam.</w:t>
      </w:r>
    </w:p>
    <w:p w14:paraId="72F36188" w14:textId="661DA84F" w:rsidR="00323DF2" w:rsidRDefault="00323DF2" w:rsidP="002A5839">
      <w:pPr>
        <w:spacing w:line="276" w:lineRule="auto"/>
        <w:ind w:firstLine="720"/>
        <w:jc w:val="both"/>
      </w:pPr>
      <w:r>
        <w:t xml:space="preserve">Valsts policija 2019.gada 10.septembra vēstulē Nr. 20/1594-IP ministrijai nerekomendēja pieteicēju </w:t>
      </w:r>
      <w:r w:rsidR="0072266A">
        <w:t xml:space="preserve">[Nosaukums] </w:t>
      </w:r>
      <w:r>
        <w:t>novada pašvaldības policijas priekšnieka vietnieka amatam, jo iestādes rīcībā ir informācija par pieteicēja iespējamiem augstiem sabiedriskās kārtības un drošības apdraudējuma riskiem. Pamatojums tam ir operatīva rakstura informācija, kas ir klasificēta kā slepena, un tās aprite ir ierobežota saskaņā ar likumu „Par valsts noslēpumu”.</w:t>
      </w:r>
    </w:p>
    <w:p w14:paraId="7CEA2F17" w14:textId="501CDD7B" w:rsidR="00B82FD3" w:rsidRDefault="00323DF2" w:rsidP="002A5839">
      <w:pPr>
        <w:spacing w:line="276" w:lineRule="auto"/>
        <w:ind w:firstLine="720"/>
        <w:jc w:val="both"/>
      </w:pPr>
      <w:r>
        <w:t xml:space="preserve">Iekšlietu ministrs nepiekrita pieteicēja iecelšanai </w:t>
      </w:r>
      <w:r w:rsidR="0072266A">
        <w:t xml:space="preserve">[Nosaukums] </w:t>
      </w:r>
      <w:r>
        <w:t>novada pašvaldības policijas priekšnieka vietnieka amatā, rakstveida atteikumu noformējot ministrijas 2019.gada 30.septembra lēmuma Nr. 1-38/2339 (turpmāk –</w:t>
      </w:r>
      <w:r w:rsidR="007E2FD6">
        <w:t xml:space="preserve"> ministra</w:t>
      </w:r>
      <w:r>
        <w:t xml:space="preserve"> </w:t>
      </w:r>
      <w:r w:rsidR="00FF702E">
        <w:t>atteikums</w:t>
      </w:r>
      <w:r>
        <w:t>) formā.</w:t>
      </w:r>
    </w:p>
    <w:p w14:paraId="6C146AD7" w14:textId="77777777" w:rsidR="00323DF2" w:rsidRPr="002B5FE8" w:rsidRDefault="00323DF2" w:rsidP="002A5839">
      <w:pPr>
        <w:spacing w:line="276" w:lineRule="auto"/>
        <w:ind w:firstLine="720"/>
        <w:jc w:val="both"/>
        <w:rPr>
          <w:color w:val="000000"/>
        </w:rPr>
      </w:pPr>
    </w:p>
    <w:p w14:paraId="5D342BE0" w14:textId="529311CB" w:rsidR="00DE1574" w:rsidRPr="002B5FE8" w:rsidRDefault="00DE1574" w:rsidP="002A5839">
      <w:pPr>
        <w:spacing w:line="276" w:lineRule="auto"/>
        <w:ind w:firstLine="720"/>
        <w:jc w:val="both"/>
        <w:rPr>
          <w:color w:val="000000"/>
        </w:rPr>
      </w:pPr>
      <w:r w:rsidRPr="002B5FE8">
        <w:rPr>
          <w:color w:val="000000"/>
        </w:rPr>
        <w:t>[</w:t>
      </w:r>
      <w:r w:rsidR="0063692F" w:rsidRPr="002B5FE8">
        <w:rPr>
          <w:color w:val="000000"/>
        </w:rPr>
        <w:t>2</w:t>
      </w:r>
      <w:r w:rsidRPr="002B5FE8">
        <w:rPr>
          <w:color w:val="000000"/>
        </w:rPr>
        <w:t>] </w:t>
      </w:r>
      <w:r w:rsidR="002C36E4" w:rsidRPr="002C36E4">
        <w:rPr>
          <w:color w:val="000000"/>
        </w:rPr>
        <w:t>Pieteicēj</w:t>
      </w:r>
      <w:r w:rsidR="003E0991">
        <w:rPr>
          <w:color w:val="000000"/>
        </w:rPr>
        <w:t>s</w:t>
      </w:r>
      <w:r w:rsidR="002C36E4" w:rsidRPr="002C36E4">
        <w:rPr>
          <w:color w:val="000000"/>
        </w:rPr>
        <w:t xml:space="preserve"> vērsās </w:t>
      </w:r>
      <w:r w:rsidR="006E1142" w:rsidRPr="002C36E4">
        <w:rPr>
          <w:color w:val="000000"/>
        </w:rPr>
        <w:t>Administratīvajā rajona tiesā</w:t>
      </w:r>
      <w:r w:rsidR="00323DF2">
        <w:rPr>
          <w:color w:val="000000"/>
        </w:rPr>
        <w:t xml:space="preserve"> </w:t>
      </w:r>
      <w:r w:rsidR="00323DF2">
        <w:t>ar pieteikumu par</w:t>
      </w:r>
      <w:r w:rsidR="00B0298A">
        <w:t xml:space="preserve"> ministra</w:t>
      </w:r>
      <w:r w:rsidR="00323DF2">
        <w:t xml:space="preserve"> </w:t>
      </w:r>
      <w:r w:rsidR="00FF702E">
        <w:t>atteikuma</w:t>
      </w:r>
      <w:r w:rsidR="00323DF2">
        <w:t xml:space="preserve"> tiesiskumu un zaudējumu un nemantiskā kaitējuma atlīdzināšanu</w:t>
      </w:r>
      <w:r w:rsidR="002C36E4" w:rsidRPr="002C36E4">
        <w:rPr>
          <w:color w:val="000000"/>
        </w:rPr>
        <w:t>.</w:t>
      </w:r>
    </w:p>
    <w:p w14:paraId="5EBF5C29" w14:textId="345DB0DB" w:rsidR="0077297A" w:rsidRPr="002B5FE8" w:rsidRDefault="0077297A" w:rsidP="002A5839">
      <w:pPr>
        <w:spacing w:line="276" w:lineRule="auto"/>
        <w:ind w:firstLine="720"/>
        <w:jc w:val="both"/>
        <w:rPr>
          <w:color w:val="000000"/>
        </w:rPr>
      </w:pPr>
    </w:p>
    <w:p w14:paraId="594A8A93" w14:textId="00A44284" w:rsidR="00827F83" w:rsidRPr="002B5FE8" w:rsidRDefault="0077297A" w:rsidP="002A5839">
      <w:pPr>
        <w:spacing w:line="276" w:lineRule="auto"/>
        <w:ind w:firstLine="720"/>
        <w:jc w:val="both"/>
        <w:rPr>
          <w:color w:val="000000"/>
        </w:rPr>
      </w:pPr>
      <w:r w:rsidRPr="002B5FE8">
        <w:rPr>
          <w:color w:val="000000"/>
        </w:rPr>
        <w:t>[</w:t>
      </w:r>
      <w:r w:rsidR="0063692F" w:rsidRPr="002B5FE8">
        <w:rPr>
          <w:color w:val="000000"/>
        </w:rPr>
        <w:t>3</w:t>
      </w:r>
      <w:r w:rsidRPr="002B5FE8">
        <w:rPr>
          <w:color w:val="000000"/>
        </w:rPr>
        <w:t>] </w:t>
      </w:r>
      <w:r w:rsidR="0079521F" w:rsidRPr="002B5FE8">
        <w:rPr>
          <w:rFonts w:eastAsiaTheme="minorEastAsia"/>
          <w:lang w:eastAsia="en-US"/>
        </w:rPr>
        <w:t>Administratīvā apgabaltiesa</w:t>
      </w:r>
      <w:r w:rsidR="00CD728B" w:rsidRPr="002B5FE8">
        <w:rPr>
          <w:rFonts w:eastAsiaTheme="minorEastAsia"/>
          <w:lang w:eastAsia="en-US"/>
        </w:rPr>
        <w:t xml:space="preserve"> ar</w:t>
      </w:r>
      <w:r w:rsidR="0079521F" w:rsidRPr="002B5FE8">
        <w:rPr>
          <w:rFonts w:eastAsiaTheme="minorEastAsia"/>
          <w:lang w:eastAsia="en-US"/>
        </w:rPr>
        <w:t xml:space="preserve"> </w:t>
      </w:r>
      <w:r w:rsidR="00CE0547" w:rsidRPr="002B5FE8">
        <w:rPr>
          <w:noProof/>
        </w:rPr>
        <w:t>202</w:t>
      </w:r>
      <w:r w:rsidR="003E0991">
        <w:rPr>
          <w:noProof/>
        </w:rPr>
        <w:t>1</w:t>
      </w:r>
      <w:r w:rsidR="00CE0547" w:rsidRPr="002B5FE8">
        <w:rPr>
          <w:noProof/>
        </w:rPr>
        <w:t xml:space="preserve">.gada </w:t>
      </w:r>
      <w:r w:rsidR="00323DF2">
        <w:rPr>
          <w:noProof/>
        </w:rPr>
        <w:t>13</w:t>
      </w:r>
      <w:r w:rsidR="002C36E4">
        <w:rPr>
          <w:noProof/>
        </w:rPr>
        <w:t>.</w:t>
      </w:r>
      <w:r w:rsidR="00323DF2">
        <w:rPr>
          <w:noProof/>
        </w:rPr>
        <w:t>maija</w:t>
      </w:r>
      <w:r w:rsidR="00CE0547" w:rsidRPr="002B5FE8">
        <w:rPr>
          <w:noProof/>
        </w:rPr>
        <w:t xml:space="preserve"> </w:t>
      </w:r>
      <w:r w:rsidR="0079521F" w:rsidRPr="002B5FE8">
        <w:rPr>
          <w:rFonts w:eastAsiaTheme="minorEastAsia"/>
          <w:lang w:eastAsia="en-US"/>
        </w:rPr>
        <w:t xml:space="preserve">spriedumu </w:t>
      </w:r>
      <w:r w:rsidR="00B767F2">
        <w:rPr>
          <w:rFonts w:eastAsiaTheme="minorEastAsia"/>
          <w:lang w:eastAsia="en-US"/>
        </w:rPr>
        <w:t>noraidīja</w:t>
      </w:r>
      <w:r w:rsidR="0079521F" w:rsidRPr="002B5FE8">
        <w:rPr>
          <w:rFonts w:eastAsiaTheme="minorEastAsia"/>
          <w:lang w:eastAsia="en-US"/>
        </w:rPr>
        <w:t xml:space="preserve"> pieteicēj</w:t>
      </w:r>
      <w:r w:rsidR="00477B63" w:rsidRPr="002B5FE8">
        <w:rPr>
          <w:rFonts w:eastAsiaTheme="minorEastAsia"/>
          <w:lang w:eastAsia="en-US"/>
        </w:rPr>
        <w:t xml:space="preserve">a </w:t>
      </w:r>
      <w:r w:rsidR="0079521F" w:rsidRPr="002B5FE8">
        <w:rPr>
          <w:rFonts w:eastAsiaTheme="minorEastAsia"/>
          <w:lang w:eastAsia="en-US"/>
        </w:rPr>
        <w:t>pieteikum</w:t>
      </w:r>
      <w:r w:rsidR="00477B63" w:rsidRPr="002B5FE8">
        <w:rPr>
          <w:rFonts w:eastAsiaTheme="minorEastAsia"/>
          <w:lang w:eastAsia="en-US"/>
        </w:rPr>
        <w:t>u</w:t>
      </w:r>
      <w:r w:rsidR="002F1513">
        <w:rPr>
          <w:rFonts w:eastAsiaTheme="minorEastAsia"/>
          <w:lang w:eastAsia="en-US"/>
        </w:rPr>
        <w:t>.</w:t>
      </w:r>
      <w:r w:rsidR="00827F83" w:rsidRPr="002B5FE8">
        <w:rPr>
          <w:color w:val="000000"/>
        </w:rPr>
        <w:t xml:space="preserve"> </w:t>
      </w:r>
      <w:r w:rsidR="00A639CB" w:rsidRPr="002B5FE8">
        <w:rPr>
          <w:color w:val="000000"/>
        </w:rPr>
        <w:t xml:space="preserve">Apgabaltiesa </w:t>
      </w:r>
      <w:r w:rsidR="00730FC9" w:rsidRPr="002B5FE8">
        <w:rPr>
          <w:color w:val="000000"/>
        </w:rPr>
        <w:t xml:space="preserve">pievienojās pirmās instances </w:t>
      </w:r>
      <w:r w:rsidR="003673DB">
        <w:rPr>
          <w:color w:val="000000"/>
        </w:rPr>
        <w:t xml:space="preserve">tiesas </w:t>
      </w:r>
      <w:r w:rsidR="00730FC9" w:rsidRPr="002B5FE8">
        <w:rPr>
          <w:color w:val="000000"/>
        </w:rPr>
        <w:t>sprieduma motivācijai un pamatoja spriedumu ar turpmāk minētajiem argumentiem.</w:t>
      </w:r>
    </w:p>
    <w:p w14:paraId="69AC14CA" w14:textId="2C1F2055" w:rsidR="005460B3" w:rsidRPr="00180D9A" w:rsidRDefault="00730FC9" w:rsidP="002A5839">
      <w:pPr>
        <w:spacing w:line="276" w:lineRule="auto"/>
        <w:ind w:firstLine="720"/>
        <w:jc w:val="both"/>
      </w:pPr>
      <w:r w:rsidRPr="002B5FE8">
        <w:rPr>
          <w:color w:val="000000"/>
        </w:rPr>
        <w:t>[</w:t>
      </w:r>
      <w:r w:rsidR="005045DD" w:rsidRPr="002B5FE8">
        <w:rPr>
          <w:color w:val="000000"/>
        </w:rPr>
        <w:t>3</w:t>
      </w:r>
      <w:r w:rsidRPr="002B5FE8">
        <w:rPr>
          <w:color w:val="000000"/>
        </w:rPr>
        <w:t>.1]</w:t>
      </w:r>
      <w:r w:rsidR="00BD5DDB" w:rsidRPr="002B5FE8">
        <w:rPr>
          <w:color w:val="000000"/>
        </w:rPr>
        <w:t> </w:t>
      </w:r>
      <w:r w:rsidR="00CC7BA6">
        <w:t xml:space="preserve">Likums „Par policiju” papildus citām prasībām paredz obligātu iekšlietu ministra piekrišanu pašvaldības policijas priekšnieka (arī vietnieka) pieņemšanai darbā. </w:t>
      </w:r>
      <w:r w:rsidR="00CC7BA6">
        <w:lastRenderedPageBreak/>
        <w:t>Izskatāmajā lietā ministrs nav devis piekrišanu, jo Valsts policijas rīcībā ir informācija par pieteicēja iespējamiem augstiem sabiedriskās kārtības un drošības apdraudējuma riskiem</w:t>
      </w:r>
      <w:r w:rsidR="00DF1B15">
        <w:t>. Minētais secinājums pamatots</w:t>
      </w:r>
      <w:r w:rsidR="00CC7BA6">
        <w:t xml:space="preserve"> ar operatīva rakstura informāciju, kas ir klasificēta kā slepena, un tās aprite ir ierobežota saskaņā ar likumu „Par valsts noslēpumu”.</w:t>
      </w:r>
    </w:p>
    <w:p w14:paraId="4E0159F0" w14:textId="1F9172F4" w:rsidR="00C32C1C" w:rsidRDefault="005045DD" w:rsidP="002A5839">
      <w:pPr>
        <w:spacing w:line="276" w:lineRule="auto"/>
        <w:ind w:firstLine="720"/>
        <w:jc w:val="both"/>
      </w:pPr>
      <w:r w:rsidRPr="002B5FE8">
        <w:rPr>
          <w:color w:val="000000"/>
        </w:rPr>
        <w:t>[</w:t>
      </w:r>
      <w:r w:rsidR="00BC46D4" w:rsidRPr="002B5FE8">
        <w:rPr>
          <w:color w:val="000000"/>
        </w:rPr>
        <w:t>3</w:t>
      </w:r>
      <w:r w:rsidRPr="002B5FE8">
        <w:rPr>
          <w:color w:val="000000"/>
        </w:rPr>
        <w:t>.</w:t>
      </w:r>
      <w:r w:rsidR="008A363A" w:rsidRPr="002B5FE8">
        <w:rPr>
          <w:color w:val="000000"/>
        </w:rPr>
        <w:t>2</w:t>
      </w:r>
      <w:r w:rsidRPr="002B5FE8">
        <w:rPr>
          <w:color w:val="000000"/>
        </w:rPr>
        <w:t>] </w:t>
      </w:r>
      <w:r w:rsidR="00CC7BA6">
        <w:t>Tiesa aicināja ministriju padziļināti pēc būtības</w:t>
      </w:r>
      <w:r w:rsidR="00DF1B15" w:rsidRPr="00DF1B15">
        <w:t xml:space="preserve"> </w:t>
      </w:r>
      <w:r w:rsidR="00DF1B15">
        <w:t>izvērtēt</w:t>
      </w:r>
      <w:r w:rsidR="00CC7BA6">
        <w:t xml:space="preserve"> konstatēt</w:t>
      </w:r>
      <w:r w:rsidR="00DF1B15">
        <w:t>o</w:t>
      </w:r>
      <w:r w:rsidR="00CC7BA6">
        <w:t xml:space="preserve"> apdraudējum</w:t>
      </w:r>
      <w:r w:rsidR="00DF1B15">
        <w:t>u</w:t>
      </w:r>
      <w:r w:rsidR="00CC7BA6">
        <w:t xml:space="preserve">. Tāpat iestādēm, ņemot vērā Satversmes tiesas spriedumus un ministrijā pastāvošo praksi lietās par pielaidi valsts noslēpumam, tika uzdots atkārtoti izvērtēt pieteicēja tiesības tikt plašāk informētam par lietas apstākļiem vai to kopsavilkumu. Tādējādi, lai arī lēmuma pieņemšanas procesā sākotnēji </w:t>
      </w:r>
      <w:r w:rsidR="007F1726">
        <w:t xml:space="preserve">bija </w:t>
      </w:r>
      <w:r w:rsidR="00CC7BA6">
        <w:t>konstatē</w:t>
      </w:r>
      <w:r w:rsidR="007F1726">
        <w:t>ts</w:t>
      </w:r>
      <w:r w:rsidR="00CC7BA6">
        <w:t xml:space="preserve"> pietiekama pamatojuma trūkum</w:t>
      </w:r>
      <w:r w:rsidR="007F1726">
        <w:t>s</w:t>
      </w:r>
      <w:r w:rsidR="00CC7BA6">
        <w:t>, lietas izskatīšanas gaitā tas tika novērsts.</w:t>
      </w:r>
    </w:p>
    <w:p w14:paraId="40FA0435" w14:textId="229C3BBA" w:rsidR="00CC7BA6" w:rsidRPr="002B5FE8" w:rsidRDefault="00CC7BA6" w:rsidP="002A5839">
      <w:pPr>
        <w:spacing w:line="276" w:lineRule="auto"/>
        <w:ind w:firstLine="720"/>
        <w:jc w:val="both"/>
        <w:rPr>
          <w:color w:val="000000"/>
        </w:rPr>
      </w:pPr>
      <w:r>
        <w:t>No Operatīvās darbības likuma 2.panta pirmās daļas 8.punkta un 24.panta trešās daļas secinā</w:t>
      </w:r>
      <w:r w:rsidR="007F1726">
        <w:t>ms</w:t>
      </w:r>
      <w:r>
        <w:t>, ka operatīvā veidā iegūta informācija ir izmantojama, lai novērtētu personas atbilstību amatam, ja likums ir paredzējis iekšlietu ministra un līdz ar to par valsts un sabiedrības drošību atbildīgo iestāžu saskaņojumu.</w:t>
      </w:r>
    </w:p>
    <w:p w14:paraId="7272C693" w14:textId="2D44F3D4" w:rsidR="00582C9A" w:rsidRDefault="00BC46D4" w:rsidP="002A5839">
      <w:pPr>
        <w:spacing w:line="276" w:lineRule="auto"/>
        <w:ind w:firstLine="720"/>
        <w:jc w:val="both"/>
      </w:pPr>
      <w:r w:rsidRPr="002B5FE8">
        <w:rPr>
          <w:color w:val="000000"/>
        </w:rPr>
        <w:t>[3.</w:t>
      </w:r>
      <w:r w:rsidR="008A363A" w:rsidRPr="002B5FE8">
        <w:rPr>
          <w:color w:val="000000"/>
        </w:rPr>
        <w:t>3</w:t>
      </w:r>
      <w:r w:rsidRPr="002B5FE8">
        <w:rPr>
          <w:color w:val="000000"/>
        </w:rPr>
        <w:t>] </w:t>
      </w:r>
      <w:r w:rsidR="007F1726">
        <w:t>No</w:t>
      </w:r>
      <w:r w:rsidR="00CC7BA6">
        <w:t xml:space="preserve"> Valsts policijas rīcībā esoš</w:t>
      </w:r>
      <w:r w:rsidR="007F1726">
        <w:t>ās</w:t>
      </w:r>
      <w:r w:rsidR="00CC7BA6">
        <w:t xml:space="preserve"> informācij</w:t>
      </w:r>
      <w:r w:rsidR="007F1726">
        <w:t>as</w:t>
      </w:r>
      <w:r w:rsidR="00CC7BA6">
        <w:t xml:space="preserve"> </w:t>
      </w:r>
      <w:r w:rsidR="007F1726">
        <w:t>secināms</w:t>
      </w:r>
      <w:r w:rsidR="00CC7BA6">
        <w:t>, ka pieteicēja sociālie kontakti un vide noteiktā laika posmā norāda uz būtiskiem riskiem saistībā ar pašvaldības policijas priekšnieka vietnieka amata pildīšanu, ņemot vērā šā amata specifiku, pilnvaras un pieeju informācijai.</w:t>
      </w:r>
    </w:p>
    <w:p w14:paraId="680FBFE1" w14:textId="3F6CCB70" w:rsidR="003509EF" w:rsidRDefault="003509EF" w:rsidP="002A5839">
      <w:pPr>
        <w:spacing w:line="276" w:lineRule="auto"/>
        <w:ind w:firstLine="720"/>
        <w:jc w:val="both"/>
      </w:pPr>
      <w:r>
        <w:t xml:space="preserve">Reputācijas izvērtēšanā svarīgs ir faktu kopums, kas </w:t>
      </w:r>
      <w:r w:rsidR="004A10C4">
        <w:t>veido pamatu</w:t>
      </w:r>
      <w:r>
        <w:t xml:space="preserve"> šaubīties par personas uzticamību un godprātību, tādēļ reputācijas izvērtēšanas kontekstā ir nepieciešams balstīties uz ziņām par faktiem, kurus no juridiskā viedokļa ir iespējams izvērtēt. </w:t>
      </w:r>
    </w:p>
    <w:p w14:paraId="6EA0899C" w14:textId="6DB4D186" w:rsidR="00CC7BA6" w:rsidRDefault="00CC7BA6" w:rsidP="002A5839">
      <w:pPr>
        <w:spacing w:line="276" w:lineRule="auto"/>
        <w:ind w:firstLine="720"/>
        <w:jc w:val="both"/>
        <w:rPr>
          <w:color w:val="000000"/>
        </w:rPr>
      </w:pPr>
      <w:r>
        <w:t xml:space="preserve">Valsts policija ir izvērtējusi iegūto informāciju, ņemot vērā savu kompetenci un pieredzi, un objektīvi saskatījusi augstus riskus sabiedriskajai kārtībai un drošībai, ieceļot pieteicēju amatā. </w:t>
      </w:r>
      <w:r w:rsidR="004A10C4">
        <w:t>N</w:t>
      </w:r>
      <w:r>
        <w:t xml:space="preserve">av </w:t>
      </w:r>
      <w:r w:rsidR="004A10C4">
        <w:t>pamata uzskatīt</w:t>
      </w:r>
      <w:r>
        <w:t>, ka</w:t>
      </w:r>
      <w:r w:rsidR="007E2FD6">
        <w:t xml:space="preserve"> ministra</w:t>
      </w:r>
      <w:r>
        <w:t xml:space="preserve"> </w:t>
      </w:r>
      <w:r w:rsidR="00FF702E">
        <w:t>atteikums</w:t>
      </w:r>
      <w:r>
        <w:t xml:space="preserve"> pieņemts, balstoties uz subjektīviem, personiskiem vai politiskiem apsvērumiem. Tiesas sēdē uzklausītā </w:t>
      </w:r>
      <w:r w:rsidR="0072266A">
        <w:t xml:space="preserve">[pers. B] </w:t>
      </w:r>
      <w:r>
        <w:t xml:space="preserve">liecība nav sniegusi papildu pierādījumus </w:t>
      </w:r>
      <w:r w:rsidR="004A10C4">
        <w:t xml:space="preserve">par </w:t>
      </w:r>
      <w:r>
        <w:t>lietā izskatāmajiem apstākļiem.</w:t>
      </w:r>
    </w:p>
    <w:p w14:paraId="66A6933B" w14:textId="6AED360E" w:rsidR="00582C9A" w:rsidRDefault="008445A9" w:rsidP="002A5839">
      <w:pPr>
        <w:spacing w:line="276" w:lineRule="auto"/>
        <w:ind w:firstLine="720"/>
        <w:jc w:val="both"/>
      </w:pPr>
      <w:r w:rsidRPr="002B5FE8">
        <w:rPr>
          <w:color w:val="000000"/>
        </w:rPr>
        <w:t>[3.</w:t>
      </w:r>
      <w:r w:rsidR="008A363A" w:rsidRPr="002B5FE8">
        <w:rPr>
          <w:color w:val="000000"/>
        </w:rPr>
        <w:t>4</w:t>
      </w:r>
      <w:r w:rsidR="005045DD" w:rsidRPr="002B5FE8">
        <w:rPr>
          <w:color w:val="000000"/>
        </w:rPr>
        <w:t>] </w:t>
      </w:r>
      <w:r w:rsidR="007E2FD6">
        <w:rPr>
          <w:color w:val="000000"/>
        </w:rPr>
        <w:t>Ministra a</w:t>
      </w:r>
      <w:r w:rsidR="00FF702E">
        <w:rPr>
          <w:color w:val="000000"/>
        </w:rPr>
        <w:t>tteikums</w:t>
      </w:r>
      <w:r w:rsidR="00CC7BA6">
        <w:rPr>
          <w:color w:val="000000"/>
        </w:rPr>
        <w:t xml:space="preserve"> </w:t>
      </w:r>
      <w:r w:rsidR="00CC7BA6">
        <w:t>nav būtiski ierobežojis pieteicēja tiesības brīvi izvēlēties nodarbošanos atbilstoši savām spējām un kvalifikācijai</w:t>
      </w:r>
      <w:r w:rsidR="004A10C4">
        <w:t>.</w:t>
      </w:r>
      <w:r w:rsidR="00CC7BA6">
        <w:t xml:space="preserve"> Tāpat pieteicējam nav liegts strādāt citu </w:t>
      </w:r>
      <w:r w:rsidR="00DF1B15">
        <w:t>darbu</w:t>
      </w:r>
      <w:r w:rsidR="00CC7BA6">
        <w:t xml:space="preserve"> gan publiskajā, gan privātajā sektorā. Tādējādi pieteicēja tiesību ierobežojums tikt pieņemtam darbā par pašvaldības policijas priekšnieka vietnieku ir samērīgs, jo apdraudējums sabiedriskajai kārtībai un drošībai ir būtiskāks par iespējamo pieteicēja pamattiesību ierobežojumu.</w:t>
      </w:r>
    </w:p>
    <w:p w14:paraId="2DA8D327" w14:textId="2FCB49F4" w:rsidR="004E305F" w:rsidRDefault="0078266E" w:rsidP="002A5839">
      <w:pPr>
        <w:spacing w:line="276" w:lineRule="auto"/>
        <w:ind w:firstLine="720"/>
        <w:jc w:val="both"/>
      </w:pPr>
      <w:r>
        <w:t>[3.5] </w:t>
      </w:r>
      <w:r w:rsidR="00CC7BA6">
        <w:t>Konkrētajā lietā no operatīvās informācijas nav iespējams nodalīt kādu daļu, lai pēc tam nesagrautu tās valstij svarīgās intereses, kāpēc šāda informācija ir klasificēta. Līdz ar to šīs informācijas izvērtēšana ir pakļauta tiesas kontrolei.</w:t>
      </w:r>
    </w:p>
    <w:p w14:paraId="629745B1" w14:textId="6403FBB9" w:rsidR="001218C4" w:rsidRDefault="004E305F" w:rsidP="002A5839">
      <w:pPr>
        <w:spacing w:line="276" w:lineRule="auto"/>
        <w:ind w:firstLine="720"/>
        <w:jc w:val="both"/>
      </w:pPr>
      <w:r>
        <w:t>[3.6] </w:t>
      </w:r>
      <w:r w:rsidR="001167DC">
        <w:t xml:space="preserve">Administratīvais process ministrijā nebija ierosināts pēc pieteicēja iesnieguma. </w:t>
      </w:r>
      <w:r w:rsidR="002A5839">
        <w:t xml:space="preserve">[Nosaukums] </w:t>
      </w:r>
      <w:r w:rsidR="001167DC">
        <w:t>novada dome kā pieteicēja darba devēj</w:t>
      </w:r>
      <w:r w:rsidR="00DF1B15">
        <w:t>a</w:t>
      </w:r>
      <w:r w:rsidR="001167DC">
        <w:t xml:space="preserve"> vērsās ministrijā ar lūgumu sniegt iekšlietu ministra rakstisku piekrišanu pieteicēja iecelšanai </w:t>
      </w:r>
      <w:r w:rsidR="002A5839">
        <w:t xml:space="preserve">[Nosaukums] </w:t>
      </w:r>
      <w:r w:rsidR="001167DC">
        <w:t xml:space="preserve"> novada pašvaldības policijas priekšnieka vietnieka amatā, jo 2019.gada 23.jūlijā ar pieteicēju tika noslēgts darba līgums par darba tiesisko attiecību uzsākšanu no 2019.gada 29.jūlija, ar pārbaudes laiku uz trim mēnešiem. Tas nozīmē, ka ministrijai nebija pienākum</w:t>
      </w:r>
      <w:r w:rsidR="00C90075">
        <w:t>a</w:t>
      </w:r>
      <w:r w:rsidR="001167DC">
        <w:t xml:space="preserve"> uzklausīt pieteicēju procesā, kas tika uzsākts, saņemot pašvaldības lūgumu un uz tā pamata uzsākot pārbaudi ar attiecīgu situācijas analīzi. Savukārt darba tiesiskās attiecības tika pārtrauktas no 2019.gada 1.oktobra, pusēm savstarpēji vienojoties.</w:t>
      </w:r>
    </w:p>
    <w:p w14:paraId="4F603BEA" w14:textId="0D4BC3E9" w:rsidR="004A10C4" w:rsidRDefault="004A10C4" w:rsidP="002A5839">
      <w:pPr>
        <w:spacing w:line="276" w:lineRule="auto"/>
        <w:ind w:firstLine="720"/>
        <w:jc w:val="both"/>
      </w:pPr>
      <w:r>
        <w:lastRenderedPageBreak/>
        <w:t>[3.7] P</w:t>
      </w:r>
      <w:r w:rsidR="001167DC">
        <w:t>ieteicēja ierobežojum</w:t>
      </w:r>
      <w:r w:rsidR="00C90075">
        <w:t>a</w:t>
      </w:r>
      <w:r w:rsidR="001167DC">
        <w:t xml:space="preserve"> izteikties tiesā par </w:t>
      </w:r>
      <w:r w:rsidR="00C90075">
        <w:t>lietas</w:t>
      </w:r>
      <w:r w:rsidR="001167DC">
        <w:t xml:space="preserve"> apstākļiem pamatā ir saņemtās informācijas kā valsts noslēpuma objekta statuss.</w:t>
      </w:r>
      <w:r w:rsidRPr="004A10C4">
        <w:t xml:space="preserve"> </w:t>
      </w:r>
      <w:r>
        <w:t>Tiesa nav tiesīga atklāt iegūto informāciju tās statusa dēļ, kā to noteic Administratīvā procesa likuma 108.</w:t>
      </w:r>
      <w:r w:rsidRPr="00FF702E">
        <w:rPr>
          <w:vertAlign w:val="superscript"/>
        </w:rPr>
        <w:t>1</w:t>
      </w:r>
      <w:r>
        <w:t>panta trešā daļa.</w:t>
      </w:r>
    </w:p>
    <w:p w14:paraId="78062940" w14:textId="0F51E81C" w:rsidR="001167DC" w:rsidRDefault="001167DC" w:rsidP="002A5839">
      <w:pPr>
        <w:spacing w:line="276" w:lineRule="auto"/>
        <w:ind w:firstLine="720"/>
        <w:jc w:val="both"/>
      </w:pPr>
      <w:r>
        <w:t>Satversmes tiesa, atsaucoties uz Eiropas Cilvēktiesību tiesas judikatūru, atzinusi, ka personai iegūt informāciju par sevi, kura ir valsts drošības iestāžu rīcībā, var tikt liegts, lai aizsargātu šīs informācijas konfidencialitāti vai citu personu tiesības, tomēr personai ir jābūt iespējai sakarā ar šādu atteikumu vērsties neatkarīgā iestādē.</w:t>
      </w:r>
    </w:p>
    <w:p w14:paraId="71F7B06B" w14:textId="75FD2EC5" w:rsidR="001167DC" w:rsidRDefault="001167DC" w:rsidP="002A5839">
      <w:pPr>
        <w:spacing w:line="276" w:lineRule="auto"/>
        <w:ind w:firstLine="720"/>
        <w:jc w:val="both"/>
      </w:pPr>
      <w:r>
        <w:t>Izskatāmajā gadījumā pieteicējam tika nodrošinātas iespējas vērsties tiesā, lai tiesa pārbaudītu</w:t>
      </w:r>
      <w:r w:rsidR="00C90075">
        <w:t xml:space="preserve"> ministra</w:t>
      </w:r>
      <w:r>
        <w:t xml:space="preserve"> atteikuma tiesiskumu</w:t>
      </w:r>
      <w:r w:rsidR="004A10C4">
        <w:t>. G</w:t>
      </w:r>
      <w:r>
        <w:t>an pirmās instances tiesa, gan apgabaltiesa pārbaudīja Valsts policijas rīcībā esošo informāciju par pieteicēju un atzina to par pietiekamu, lai atteiktu pieteicējam tiesības ieņemt pašvaldības policijas priekšnieka vietnieka amatu.</w:t>
      </w:r>
    </w:p>
    <w:p w14:paraId="5F50D127" w14:textId="55ABC1DC" w:rsidR="00FF702E" w:rsidRDefault="001167DC" w:rsidP="002A5839">
      <w:pPr>
        <w:spacing w:line="276" w:lineRule="auto"/>
        <w:ind w:firstLine="720"/>
        <w:jc w:val="both"/>
      </w:pPr>
      <w:r>
        <w:t>[3.</w:t>
      </w:r>
      <w:r w:rsidR="004A10C4">
        <w:t>8</w:t>
      </w:r>
      <w:r>
        <w:t>] </w:t>
      </w:r>
      <w:r w:rsidR="007E2FD6">
        <w:t>Ministra a</w:t>
      </w:r>
      <w:r w:rsidR="00FF702E">
        <w:t>tteikums ir tiesisks, tādējādi nav konstatējams pamats zaudējumu un nemantiskā kaitējuma atlīdzināšanai atbilstoši Administratīvā procesa likuma 92.pant</w:t>
      </w:r>
      <w:r w:rsidR="00C90075">
        <w:t>am</w:t>
      </w:r>
      <w:r w:rsidR="00FF702E">
        <w:t>.</w:t>
      </w:r>
    </w:p>
    <w:p w14:paraId="2A2231D6" w14:textId="10E0FD48" w:rsidR="00F57DB3" w:rsidRPr="002B5FE8" w:rsidRDefault="00F57DB3" w:rsidP="002A5839">
      <w:pPr>
        <w:spacing w:line="276" w:lineRule="auto"/>
        <w:ind w:firstLine="720"/>
        <w:jc w:val="both"/>
      </w:pPr>
    </w:p>
    <w:p w14:paraId="7943CA1E" w14:textId="02B2E45F" w:rsidR="00A36843" w:rsidRPr="002B5FE8" w:rsidRDefault="00A36843" w:rsidP="002A5839">
      <w:pPr>
        <w:spacing w:line="276" w:lineRule="auto"/>
        <w:ind w:firstLine="720"/>
        <w:jc w:val="both"/>
      </w:pPr>
      <w:r w:rsidRPr="002B5FE8">
        <w:t>[</w:t>
      </w:r>
      <w:r w:rsidR="0063692F" w:rsidRPr="002B5FE8">
        <w:t>4</w:t>
      </w:r>
      <w:r w:rsidRPr="002B5FE8">
        <w:t>] </w:t>
      </w:r>
      <w:r w:rsidR="00B767F2">
        <w:t>Pieteicēj</w:t>
      </w:r>
      <w:r w:rsidR="003E0991">
        <w:t>s</w:t>
      </w:r>
      <w:r w:rsidR="00827F83" w:rsidRPr="002B5FE8">
        <w:t xml:space="preserve"> i</w:t>
      </w:r>
      <w:r w:rsidRPr="002B5FE8">
        <w:t>esniedza kasācijas sūdzību par apgabaltiesas spriedumu</w:t>
      </w:r>
      <w:r w:rsidR="00827F83" w:rsidRPr="002B5FE8">
        <w:t xml:space="preserve">. Kasācijas sūdzībā </w:t>
      </w:r>
      <w:r w:rsidRPr="002B5FE8">
        <w:t>norād</w:t>
      </w:r>
      <w:r w:rsidR="00827F83" w:rsidRPr="002B5FE8">
        <w:t>īti</w:t>
      </w:r>
      <w:r w:rsidRPr="002B5FE8">
        <w:t xml:space="preserve"> turpmāk minēt</w:t>
      </w:r>
      <w:r w:rsidR="00827F83" w:rsidRPr="002B5FE8">
        <w:t>ie</w:t>
      </w:r>
      <w:r w:rsidRPr="002B5FE8">
        <w:t xml:space="preserve"> argument</w:t>
      </w:r>
      <w:r w:rsidR="00827F83" w:rsidRPr="002B5FE8">
        <w:t>i</w:t>
      </w:r>
      <w:r w:rsidRPr="002B5FE8">
        <w:t>.</w:t>
      </w:r>
    </w:p>
    <w:p w14:paraId="4A6FC73A" w14:textId="003FC8F7" w:rsidR="00E019E5" w:rsidRDefault="00F97200" w:rsidP="002A5839">
      <w:pPr>
        <w:tabs>
          <w:tab w:val="left" w:pos="0"/>
        </w:tabs>
        <w:spacing w:line="276" w:lineRule="auto"/>
        <w:ind w:right="78" w:firstLine="720"/>
        <w:jc w:val="both"/>
      </w:pPr>
      <w:r w:rsidRPr="002B5FE8">
        <w:t>[</w:t>
      </w:r>
      <w:r w:rsidR="005045DD" w:rsidRPr="002B5FE8">
        <w:t>4</w:t>
      </w:r>
      <w:r w:rsidRPr="002B5FE8">
        <w:t>.1</w:t>
      </w:r>
      <w:r w:rsidR="00984884" w:rsidRPr="002B5FE8">
        <w:t>] </w:t>
      </w:r>
      <w:r w:rsidR="00DF2C74">
        <w:t>A</w:t>
      </w:r>
      <w:r w:rsidR="00884890">
        <w:t>pgabaltiesa nav izlēmusi pieteicēja pieteiktos lūgumus</w:t>
      </w:r>
      <w:r w:rsidR="00DF2C74">
        <w:t xml:space="preserve"> iepazīties ar visiem lietas materiāliem</w:t>
      </w:r>
      <w:r w:rsidR="00884890">
        <w:t xml:space="preserve"> </w:t>
      </w:r>
      <w:r w:rsidR="00884890" w:rsidRPr="00884890">
        <w:t>atbilstoši Administratīvā procesa likuma 158.pantam</w:t>
      </w:r>
      <w:r w:rsidR="00884890">
        <w:t>.</w:t>
      </w:r>
      <w:r w:rsidR="00E019E5">
        <w:t xml:space="preserve"> Apgabalt</w:t>
      </w:r>
      <w:r w:rsidR="00884890">
        <w:t xml:space="preserve">iesa, atsaucoties uz Senāta judikatūru, izvēlējusies neatbildēt uz pieteicēja lūgumiem, tostarp, vai </w:t>
      </w:r>
      <w:r w:rsidR="00884890" w:rsidRPr="00884890">
        <w:t>lietā būtu bijis jāpieaicina Valsts drošības iestādes pārstāvis, kas dotu savu izvērtējumu par Valsts policijas rīcībā esoš</w:t>
      </w:r>
      <w:r w:rsidR="00E019E5">
        <w:t>o</w:t>
      </w:r>
      <w:r w:rsidR="00884890" w:rsidRPr="00884890">
        <w:t xml:space="preserve"> operatīv</w:t>
      </w:r>
      <w:r w:rsidR="00E019E5">
        <w:t>a</w:t>
      </w:r>
      <w:r w:rsidR="00884890" w:rsidRPr="00884890">
        <w:t xml:space="preserve"> rakstura informācij</w:t>
      </w:r>
      <w:r w:rsidR="00E019E5">
        <w:t>u</w:t>
      </w:r>
      <w:r w:rsidR="00884890" w:rsidRPr="00884890">
        <w:t xml:space="preserve"> par pieteicēju un šīs informācijas izmantošanu administratīvajā aktā</w:t>
      </w:r>
      <w:r w:rsidR="00884890">
        <w:t>.</w:t>
      </w:r>
    </w:p>
    <w:p w14:paraId="4878C633" w14:textId="2FA5429B" w:rsidR="009334ED" w:rsidRPr="00DB791D" w:rsidRDefault="00984884" w:rsidP="002A5839">
      <w:pPr>
        <w:tabs>
          <w:tab w:val="left" w:pos="0"/>
        </w:tabs>
        <w:spacing w:line="276" w:lineRule="auto"/>
        <w:ind w:right="78" w:firstLine="720"/>
        <w:jc w:val="both"/>
        <w:rPr>
          <w:color w:val="000000"/>
        </w:rPr>
      </w:pPr>
      <w:r w:rsidRPr="002B5FE8">
        <w:rPr>
          <w:color w:val="000000"/>
        </w:rPr>
        <w:t>[4.2] </w:t>
      </w:r>
      <w:r w:rsidR="00E019E5">
        <w:t>Apgabaltiesa</w:t>
      </w:r>
      <w:r w:rsidR="00445D4E">
        <w:rPr>
          <w:color w:val="000000"/>
        </w:rPr>
        <w:t xml:space="preserve"> nav vērtējusi lielāko daļu pieteicēja pieteikuma un apelācijas sūdzības argumentu, kā arī ierobežojusi pieteicēja tiesības izteikties tiesā par tiem apstākļiem, kas bija par pamatu </w:t>
      </w:r>
      <w:r w:rsidR="007E2FD6">
        <w:rPr>
          <w:color w:val="000000"/>
        </w:rPr>
        <w:t xml:space="preserve">ministra </w:t>
      </w:r>
      <w:r w:rsidR="00445D4E">
        <w:rPr>
          <w:color w:val="000000"/>
        </w:rPr>
        <w:t>atteikumam, tādējādi pārkāpjot Administratīvā procesa likuma 103.panta otro daļu, 107.panta ceturto daļu un 150.pantu. No apgabaltiesas sprieduma nav saprotams</w:t>
      </w:r>
      <w:r w:rsidR="00B76911">
        <w:rPr>
          <w:color w:val="000000"/>
        </w:rPr>
        <w:t>,</w:t>
      </w:r>
      <w:r w:rsidR="00445D4E">
        <w:rPr>
          <w:color w:val="000000"/>
        </w:rPr>
        <w:t xml:space="preserve"> kā tiesa vērtēja pierādījumus, neskatoties uz to, ka Eiropas Cilvēktiesību tiesas judikatūrā ir atzīts, ka </w:t>
      </w:r>
      <w:r w:rsidR="00445D4E" w:rsidRPr="00445D4E">
        <w:rPr>
          <w:color w:val="000000"/>
        </w:rPr>
        <w:t>operatīvās darbības pasākumu gaitā iegūto ziņu izmantošanas pieļaujamību</w:t>
      </w:r>
      <w:r w:rsidR="00445D4E">
        <w:rPr>
          <w:color w:val="000000"/>
        </w:rPr>
        <w:t xml:space="preserve"> vai </w:t>
      </w:r>
      <w:r w:rsidR="00445D4E" w:rsidRPr="00445D4E">
        <w:rPr>
          <w:color w:val="000000"/>
        </w:rPr>
        <w:t>nepieļaujamību</w:t>
      </w:r>
      <w:r w:rsidR="00445D4E">
        <w:rPr>
          <w:color w:val="000000"/>
        </w:rPr>
        <w:t xml:space="preserve"> nepieciešams rūpīgi pārbaudīt.</w:t>
      </w:r>
      <w:r w:rsidR="002570CD">
        <w:rPr>
          <w:color w:val="000000"/>
        </w:rPr>
        <w:t xml:space="preserve"> Operatīvās darbības likuma normas nav saskaņotas ar cilvēktiesību normām, jo iegūtās ziņas netiek pārbaudītas noteiktā procesuālā kārtībā.</w:t>
      </w:r>
      <w:r w:rsidR="00C335A7">
        <w:rPr>
          <w:color w:val="000000"/>
        </w:rPr>
        <w:t xml:space="preserve"> Arī Satversmes tiesa ir norādījusi, ka </w:t>
      </w:r>
      <w:r w:rsidR="00C335A7" w:rsidRPr="00C335A7">
        <w:rPr>
          <w:color w:val="000000"/>
        </w:rPr>
        <w:t>tādā gadījumā, kad lēmums pieņemts valsts drošības apsvērumu dēļ, tiesības tikt uzklausītam nedrīkst tikt atņemtas pēc būtības un nepieciešams paziņot vismaz tādas informācijas kopsavilkumu, kas neapdraud valsts drošību.</w:t>
      </w:r>
    </w:p>
    <w:p w14:paraId="36FDB6A7" w14:textId="7C64F4B3" w:rsidR="00EB71F8" w:rsidRDefault="00EB71F8" w:rsidP="002A5839">
      <w:pPr>
        <w:autoSpaceDE w:val="0"/>
        <w:autoSpaceDN w:val="0"/>
        <w:adjustRightInd w:val="0"/>
        <w:spacing w:line="276" w:lineRule="auto"/>
        <w:ind w:firstLine="720"/>
        <w:jc w:val="both"/>
        <w:rPr>
          <w:color w:val="000000"/>
        </w:rPr>
      </w:pPr>
      <w:r w:rsidRPr="00DB791D">
        <w:rPr>
          <w:color w:val="000000"/>
        </w:rPr>
        <w:t>Gadījumos, kad Iekšlietu ministrs atbilstoši likuma „Par policiju” 21.panta prasībām nedo</w:t>
      </w:r>
      <w:r>
        <w:rPr>
          <w:color w:val="000000"/>
        </w:rPr>
        <w:t>d</w:t>
      </w:r>
      <w:r w:rsidRPr="00DB791D">
        <w:rPr>
          <w:color w:val="000000"/>
        </w:rPr>
        <w:t xml:space="preserve"> savu rakstveida piekrišanu personas iecelšanai par pašvaldības policijas priekšnieku vai priekšnieka vietnieku</w:t>
      </w:r>
      <w:r>
        <w:rPr>
          <w:color w:val="000000"/>
        </w:rPr>
        <w:t>,</w:t>
      </w:r>
      <w:r w:rsidRPr="00DB791D">
        <w:rPr>
          <w:color w:val="000000"/>
        </w:rPr>
        <w:t xml:space="preserve"> netiek nodrošināta pārsūdzības kārtība, kas </w:t>
      </w:r>
      <w:r>
        <w:rPr>
          <w:color w:val="000000"/>
        </w:rPr>
        <w:t>dotu</w:t>
      </w:r>
      <w:r w:rsidRPr="00DB791D">
        <w:rPr>
          <w:color w:val="000000"/>
        </w:rPr>
        <w:t xml:space="preserve"> tiesības vismaz rakstveidā iesniegt savus apsvērumus</w:t>
      </w:r>
      <w:r w:rsidR="00B76911">
        <w:rPr>
          <w:color w:val="000000"/>
        </w:rPr>
        <w:t xml:space="preserve">, tādējādi pārkāpjot </w:t>
      </w:r>
      <w:r>
        <w:rPr>
          <w:color w:val="000000"/>
        </w:rPr>
        <w:t xml:space="preserve">Latvijas Republikas </w:t>
      </w:r>
      <w:r w:rsidRPr="00DB791D">
        <w:rPr>
          <w:color w:val="000000"/>
        </w:rPr>
        <w:t xml:space="preserve">Satversmes </w:t>
      </w:r>
      <w:r>
        <w:rPr>
          <w:color w:val="000000"/>
        </w:rPr>
        <w:t xml:space="preserve">(turpmāk – Satversme) </w:t>
      </w:r>
      <w:r w:rsidRPr="00DB791D">
        <w:rPr>
          <w:color w:val="000000"/>
        </w:rPr>
        <w:t>92.panta pirmaj</w:t>
      </w:r>
      <w:r w:rsidR="00B76911">
        <w:rPr>
          <w:color w:val="000000"/>
        </w:rPr>
        <w:t>ā</w:t>
      </w:r>
      <w:r w:rsidRPr="00DB791D">
        <w:rPr>
          <w:color w:val="000000"/>
        </w:rPr>
        <w:t xml:space="preserve"> teikum</w:t>
      </w:r>
      <w:r w:rsidR="00B76911">
        <w:rPr>
          <w:color w:val="000000"/>
        </w:rPr>
        <w:t>ā garantētās tiesības</w:t>
      </w:r>
      <w:r w:rsidRPr="00DB791D">
        <w:rPr>
          <w:color w:val="000000"/>
        </w:rPr>
        <w:t>.</w:t>
      </w:r>
      <w:r>
        <w:rPr>
          <w:color w:val="000000"/>
        </w:rPr>
        <w:t xml:space="preserve"> Tāpat tiesa nepamatoti nevērsās Satversmes tiesā ar pieteikumu, konstatējot, ka piemērojamā tiesību norma neatbilst Satversmei.</w:t>
      </w:r>
    </w:p>
    <w:p w14:paraId="468C33F1" w14:textId="7DFC119B" w:rsidR="00DE62FD" w:rsidRPr="00DB791D" w:rsidRDefault="009334ED" w:rsidP="002A5839">
      <w:pPr>
        <w:autoSpaceDE w:val="0"/>
        <w:autoSpaceDN w:val="0"/>
        <w:adjustRightInd w:val="0"/>
        <w:spacing w:line="276" w:lineRule="auto"/>
        <w:ind w:firstLine="720"/>
        <w:jc w:val="both"/>
        <w:rPr>
          <w:color w:val="000000"/>
        </w:rPr>
      </w:pPr>
      <w:r w:rsidRPr="00DB791D">
        <w:rPr>
          <w:color w:val="000000"/>
        </w:rPr>
        <w:t>[4.3] </w:t>
      </w:r>
      <w:r w:rsidR="00581B23">
        <w:rPr>
          <w:color w:val="000000"/>
        </w:rPr>
        <w:t>Ap</w:t>
      </w:r>
      <w:r w:rsidR="00581B23" w:rsidRPr="00581B23">
        <w:rPr>
          <w:color w:val="000000"/>
        </w:rPr>
        <w:t>gabaltiesa neņēma vērā to, ka operatīvās informācijas izmantošana, lai novērtētu personas atbilstību amatam</w:t>
      </w:r>
      <w:r w:rsidR="00E019E5">
        <w:rPr>
          <w:color w:val="000000"/>
        </w:rPr>
        <w:t>,</w:t>
      </w:r>
      <w:r w:rsidR="00581B23" w:rsidRPr="00581B23">
        <w:rPr>
          <w:color w:val="000000"/>
        </w:rPr>
        <w:t xml:space="preserve"> nenotika atbilstoši Eiropas Savienības Padomes </w:t>
      </w:r>
      <w:r w:rsidR="00581B23" w:rsidRPr="00581B23">
        <w:rPr>
          <w:color w:val="000000"/>
        </w:rPr>
        <w:lastRenderedPageBreak/>
        <w:t>2013.gada 23.septembra lēmuma par drošības noteikumiem Eiropas Savienības klasificētas informācijas aizsardzībai (2013/488/ES) I pielikum</w:t>
      </w:r>
      <w:r w:rsidR="00581B23">
        <w:rPr>
          <w:color w:val="000000"/>
        </w:rPr>
        <w:t>a 25.punktam.</w:t>
      </w:r>
    </w:p>
    <w:p w14:paraId="5F872BC7" w14:textId="4657333F" w:rsidR="00D94A1C" w:rsidRDefault="00D94A1C" w:rsidP="002A5839">
      <w:pPr>
        <w:autoSpaceDE w:val="0"/>
        <w:autoSpaceDN w:val="0"/>
        <w:adjustRightInd w:val="0"/>
        <w:spacing w:line="276" w:lineRule="auto"/>
        <w:ind w:firstLine="720"/>
        <w:jc w:val="both"/>
      </w:pPr>
      <w:r>
        <w:t xml:space="preserve">[4.4] Apgabaltiesa neņēma vērā pieteicēja tiesisko paļāvību, ka, dibinot darba tiesiskās attiecības ar </w:t>
      </w:r>
      <w:r w:rsidR="002A5839">
        <w:t xml:space="preserve">[Nosaukums] </w:t>
      </w:r>
      <w:r>
        <w:t>novada domi, pieteicējs paļāvās, ka ir saņemta iekšlietu ministra piekrišana</w:t>
      </w:r>
      <w:r w:rsidR="0005690E">
        <w:t xml:space="preserve"> pieteicēja</w:t>
      </w:r>
      <w:r>
        <w:t xml:space="preserve"> iecelšanai pašvaldības policijas priekšnieka vietnieka amatā.</w:t>
      </w:r>
    </w:p>
    <w:p w14:paraId="54C06A12" w14:textId="6262DB97" w:rsidR="00DE62FD" w:rsidRDefault="00DE62FD" w:rsidP="002A5839">
      <w:pPr>
        <w:autoSpaceDE w:val="0"/>
        <w:autoSpaceDN w:val="0"/>
        <w:adjustRightInd w:val="0"/>
        <w:spacing w:line="276" w:lineRule="auto"/>
        <w:ind w:firstLine="720"/>
        <w:jc w:val="both"/>
      </w:pPr>
      <w:r>
        <w:t>[4.</w:t>
      </w:r>
      <w:r w:rsidR="00D94A1C">
        <w:t>5</w:t>
      </w:r>
      <w:r>
        <w:t>] </w:t>
      </w:r>
      <w:r w:rsidR="00581B23">
        <w:t>Pieteicējam netika nodrošinātas tiesības uz aizstāvību atbilstoši Satversmes 92.pantam. Pieteicējam netika atklāta informācija, uz kā pamata tika pieņemts</w:t>
      </w:r>
      <w:r w:rsidR="007E2FD6">
        <w:t xml:space="preserve"> ministra</w:t>
      </w:r>
      <w:r w:rsidR="00581B23">
        <w:t xml:space="preserve"> atteikums, kā arī šāda informācija netiktu atklāta arī tad, ja pieteicējs pilnvarotu zvērinātu advokātu iepazīties ar konkrēto informāciju. Līdz ar to tiesa nav norādījusi, kā tieši pieteicējs var aizstāvēt savas tiesības.</w:t>
      </w:r>
    </w:p>
    <w:p w14:paraId="614F2B1C" w14:textId="32E5D2C5" w:rsidR="00B76911" w:rsidRDefault="00B76911" w:rsidP="002A5839">
      <w:pPr>
        <w:autoSpaceDE w:val="0"/>
        <w:autoSpaceDN w:val="0"/>
        <w:adjustRightInd w:val="0"/>
        <w:spacing w:line="276" w:lineRule="auto"/>
        <w:ind w:firstLine="720"/>
        <w:jc w:val="both"/>
      </w:pPr>
      <w:r>
        <w:t>[4.</w:t>
      </w:r>
      <w:r w:rsidR="00D94A1C">
        <w:t>6</w:t>
      </w:r>
      <w:r>
        <w:t>] A</w:t>
      </w:r>
      <w:r w:rsidRPr="00B76911">
        <w:t>pgabaltiesa nevērtēja</w:t>
      </w:r>
      <w:r>
        <w:t>,</w:t>
      </w:r>
      <w:r w:rsidRPr="00B76911">
        <w:t xml:space="preserve"> vai </w:t>
      </w:r>
      <w:r>
        <w:t xml:space="preserve">pieteicēja </w:t>
      </w:r>
      <w:r w:rsidRPr="00B76911">
        <w:t>pamattiesību ierobežojums tika noteikts ar pienācīgā kārtībā pieņemtu likumu, vai ierobežojumam ir leģitīms mērķis un vai ierobežojums ir samērīgs ar tā leģitīmo mērķi</w:t>
      </w:r>
      <w:r>
        <w:t>.</w:t>
      </w:r>
    </w:p>
    <w:p w14:paraId="52F064D2" w14:textId="77777777" w:rsidR="009334ED" w:rsidRPr="002B5FE8" w:rsidRDefault="009334ED" w:rsidP="002A5839">
      <w:pPr>
        <w:autoSpaceDE w:val="0"/>
        <w:autoSpaceDN w:val="0"/>
        <w:adjustRightInd w:val="0"/>
        <w:spacing w:line="276" w:lineRule="auto"/>
        <w:ind w:firstLine="720"/>
        <w:jc w:val="both"/>
      </w:pPr>
    </w:p>
    <w:p w14:paraId="18258232" w14:textId="6B3C9B36" w:rsidR="00463F83" w:rsidRPr="002B5FE8" w:rsidRDefault="00463F83" w:rsidP="002A5839">
      <w:pPr>
        <w:tabs>
          <w:tab w:val="left" w:pos="8820"/>
        </w:tabs>
        <w:spacing w:line="276" w:lineRule="auto"/>
        <w:ind w:right="78" w:firstLine="720"/>
        <w:jc w:val="both"/>
      </w:pPr>
      <w:r w:rsidRPr="008A1DB6">
        <w:t>[5] </w:t>
      </w:r>
      <w:r w:rsidR="00323DF2">
        <w:t>Valsts policija</w:t>
      </w:r>
      <w:r w:rsidRPr="008A1DB6">
        <w:t xml:space="preserve"> paskaidrojumā par kasācijas sūdzību norād</w:t>
      </w:r>
      <w:r w:rsidR="00C90075">
        <w:t>īts</w:t>
      </w:r>
      <w:r w:rsidRPr="008A1DB6">
        <w:t>, ka tā nav pamatota.</w:t>
      </w:r>
    </w:p>
    <w:p w14:paraId="125DA2D1" w14:textId="77777777" w:rsidR="00A138AE" w:rsidRPr="00BF1843" w:rsidRDefault="00A138AE" w:rsidP="002A5839">
      <w:pPr>
        <w:spacing w:line="276" w:lineRule="auto"/>
      </w:pPr>
    </w:p>
    <w:p w14:paraId="2D3BD7AF" w14:textId="77777777" w:rsidR="00A138AE" w:rsidRPr="00BF1843" w:rsidRDefault="00A138AE" w:rsidP="002A5839">
      <w:pPr>
        <w:spacing w:line="276" w:lineRule="auto"/>
        <w:jc w:val="center"/>
        <w:rPr>
          <w:b/>
          <w:bCs/>
          <w:noProof/>
        </w:rPr>
      </w:pPr>
      <w:r w:rsidRPr="00BF1843">
        <w:rPr>
          <w:b/>
          <w:bCs/>
        </w:rPr>
        <w:t>Motīvu</w:t>
      </w:r>
      <w:r w:rsidRPr="00BF1843">
        <w:rPr>
          <w:b/>
          <w:bCs/>
          <w:noProof/>
        </w:rPr>
        <w:t xml:space="preserve"> daļa</w:t>
      </w:r>
    </w:p>
    <w:p w14:paraId="77EB350D" w14:textId="555F54DB" w:rsidR="007B3FE3" w:rsidRPr="002B5FE8" w:rsidRDefault="007B3FE3" w:rsidP="002A5839">
      <w:pPr>
        <w:spacing w:line="276" w:lineRule="auto"/>
        <w:ind w:firstLine="720"/>
        <w:jc w:val="both"/>
      </w:pPr>
    </w:p>
    <w:p w14:paraId="7128329B" w14:textId="39A08095" w:rsidR="00D94A1C" w:rsidRDefault="00027710" w:rsidP="002A5839">
      <w:pPr>
        <w:spacing w:line="276" w:lineRule="auto"/>
        <w:ind w:firstLine="720"/>
        <w:contextualSpacing/>
        <w:jc w:val="both"/>
      </w:pPr>
      <w:r w:rsidRPr="002B5FE8">
        <w:t>[</w:t>
      </w:r>
      <w:r w:rsidR="00C37823">
        <w:t>6</w:t>
      </w:r>
      <w:r w:rsidRPr="002B5FE8">
        <w:t>]</w:t>
      </w:r>
      <w:r w:rsidR="009862D1" w:rsidRPr="002B5FE8">
        <w:t> </w:t>
      </w:r>
      <w:r w:rsidR="00CC3CCD">
        <w:t xml:space="preserve">Lietā ir strīds par iekšlietu ministra atteikuma dod piekrišanu pieņemt pieteicēju darbā par pašvaldības policijas priekšnieka vietnieku tiesiskumu un pieteicēja tiesībām iepazīties </w:t>
      </w:r>
      <w:r w:rsidR="00CC3CCD" w:rsidRPr="00554A8F">
        <w:t xml:space="preserve">ar </w:t>
      </w:r>
      <w:r w:rsidR="007E2FD6" w:rsidRPr="00554A8F">
        <w:t>informāciju</w:t>
      </w:r>
      <w:r w:rsidR="00CC3CCD" w:rsidRPr="00554A8F">
        <w:t>, kas</w:t>
      </w:r>
      <w:r w:rsidR="002E101A">
        <w:t xml:space="preserve"> bija </w:t>
      </w:r>
      <w:r w:rsidR="00CC3CCD">
        <w:t>pamat</w:t>
      </w:r>
      <w:r w:rsidR="002E101A">
        <w:t>ā</w:t>
      </w:r>
      <w:r w:rsidR="00CC3CCD">
        <w:t xml:space="preserve"> </w:t>
      </w:r>
      <w:r w:rsidR="002E101A">
        <w:t>minētajam</w:t>
      </w:r>
      <w:r w:rsidR="00CC3CCD">
        <w:t xml:space="preserve"> </w:t>
      </w:r>
      <w:r w:rsidR="007E2FD6">
        <w:t xml:space="preserve">ministra </w:t>
      </w:r>
      <w:r w:rsidR="00CC3CCD">
        <w:t>atteikum</w:t>
      </w:r>
      <w:r w:rsidR="00417DE9">
        <w:t>a</w:t>
      </w:r>
      <w:r w:rsidR="00CC3CCD">
        <w:t xml:space="preserve">m. </w:t>
      </w:r>
    </w:p>
    <w:p w14:paraId="56D10E57" w14:textId="77777777" w:rsidR="002E101A" w:rsidRDefault="002E101A" w:rsidP="002A5839">
      <w:pPr>
        <w:pStyle w:val="tv213"/>
        <w:shd w:val="clear" w:color="auto" w:fill="FFFFFF"/>
        <w:spacing w:before="0" w:beforeAutospacing="0" w:after="0" w:afterAutospacing="0" w:line="276" w:lineRule="auto"/>
        <w:ind w:firstLine="720"/>
        <w:jc w:val="both"/>
      </w:pPr>
    </w:p>
    <w:p w14:paraId="0935F582" w14:textId="183C27D6" w:rsidR="00CC3CCD" w:rsidRDefault="00CC3CCD" w:rsidP="002A5839">
      <w:pPr>
        <w:pStyle w:val="tv213"/>
        <w:shd w:val="clear" w:color="auto" w:fill="FFFFFF"/>
        <w:spacing w:before="0" w:beforeAutospacing="0" w:after="0" w:afterAutospacing="0" w:line="276" w:lineRule="auto"/>
        <w:ind w:firstLine="720"/>
        <w:jc w:val="both"/>
      </w:pPr>
      <w:r w:rsidRPr="00CC3CCD">
        <w:t>[</w:t>
      </w:r>
      <w:r w:rsidR="00A01613">
        <w:t>7</w:t>
      </w:r>
      <w:r w:rsidRPr="00CC3CCD">
        <w:t>]</w:t>
      </w:r>
      <w:r>
        <w:t> </w:t>
      </w:r>
      <w:bookmarkStart w:id="0" w:name="_Hlk152599686"/>
      <w:r w:rsidRPr="00CC3CCD">
        <w:t xml:space="preserve">Likuma „Par policiju” 21.panta trešā daļa </w:t>
      </w:r>
      <w:bookmarkEnd w:id="0"/>
      <w:r w:rsidRPr="00CC3CCD">
        <w:t>noteic, ka pašvaldības policijas priekšnieku un viņa vietnieku pieņem darbā, ja saņemta iekšlietu ministra rakstveida piekrišana. Iekšlietu ministrs rakstveida piekrišanu nedod, ja ir pietiekams pamats uzskatīt, ka persona rada draudus valsts drošībai vai sabiedriskajai kārtībai un drošībai.</w:t>
      </w:r>
    </w:p>
    <w:p w14:paraId="79021B2F" w14:textId="1C1F73BE" w:rsidR="006F1CA2" w:rsidRDefault="008D7505" w:rsidP="002A5839">
      <w:pPr>
        <w:spacing w:line="276" w:lineRule="auto"/>
        <w:ind w:firstLine="720"/>
        <w:contextualSpacing/>
        <w:jc w:val="both"/>
        <w:rPr>
          <w:color w:val="000000"/>
        </w:rPr>
      </w:pPr>
      <w:r>
        <w:t xml:space="preserve">Senāts </w:t>
      </w:r>
      <w:r w:rsidR="00417DE9">
        <w:t>atzīst</w:t>
      </w:r>
      <w:r>
        <w:t xml:space="preserve">, ka prasība saņemt ministra piekrišanu personas pieņemšanai darbā par </w:t>
      </w:r>
      <w:r w:rsidRPr="00CC3CCD">
        <w:t xml:space="preserve">pašvaldības policijas priekšnieku </w:t>
      </w:r>
      <w:r w:rsidR="002E101A">
        <w:t>vai</w:t>
      </w:r>
      <w:r w:rsidRPr="00CC3CCD">
        <w:t xml:space="preserve"> viņa vietnieku</w:t>
      </w:r>
      <w:r>
        <w:t xml:space="preserve">, var ierobežot personas Satversmes </w:t>
      </w:r>
      <w:r w:rsidRPr="00317FD0">
        <w:rPr>
          <w:lang w:eastAsia="lv-LV"/>
        </w:rPr>
        <w:t>106.panta pirm</w:t>
      </w:r>
      <w:r>
        <w:rPr>
          <w:lang w:eastAsia="lv-LV"/>
        </w:rPr>
        <w:t>ajā</w:t>
      </w:r>
      <w:r w:rsidRPr="00317FD0">
        <w:rPr>
          <w:lang w:eastAsia="lv-LV"/>
        </w:rPr>
        <w:t xml:space="preserve"> teikum</w:t>
      </w:r>
      <w:r>
        <w:rPr>
          <w:lang w:eastAsia="lv-LV"/>
        </w:rPr>
        <w:t>ā paredzētās tiesības i</w:t>
      </w:r>
      <w:r w:rsidRPr="00317FD0">
        <w:rPr>
          <w:lang w:eastAsia="lv-LV"/>
        </w:rPr>
        <w:t>kvienam brīvi</w:t>
      </w:r>
      <w:r>
        <w:rPr>
          <w:lang w:eastAsia="lv-LV"/>
        </w:rPr>
        <w:t xml:space="preserve"> </w:t>
      </w:r>
      <w:r w:rsidRPr="00317FD0">
        <w:rPr>
          <w:lang w:eastAsia="lv-LV"/>
        </w:rPr>
        <w:t>izvēlēties</w:t>
      </w:r>
      <w:r>
        <w:rPr>
          <w:lang w:eastAsia="lv-LV"/>
        </w:rPr>
        <w:t xml:space="preserve"> </w:t>
      </w:r>
      <w:r w:rsidRPr="00317FD0">
        <w:rPr>
          <w:lang w:eastAsia="lv-LV"/>
        </w:rPr>
        <w:t>nodarbošanos</w:t>
      </w:r>
      <w:r>
        <w:rPr>
          <w:lang w:eastAsia="lv-LV"/>
        </w:rPr>
        <w:t xml:space="preserve"> </w:t>
      </w:r>
      <w:r w:rsidRPr="00317FD0">
        <w:rPr>
          <w:lang w:eastAsia="lv-LV"/>
        </w:rPr>
        <w:t>un</w:t>
      </w:r>
      <w:r>
        <w:rPr>
          <w:lang w:eastAsia="lv-LV"/>
        </w:rPr>
        <w:t xml:space="preserve"> </w:t>
      </w:r>
      <w:r w:rsidRPr="00317FD0">
        <w:rPr>
          <w:lang w:eastAsia="lv-LV"/>
        </w:rPr>
        <w:t>darbavietu</w:t>
      </w:r>
      <w:r>
        <w:rPr>
          <w:lang w:eastAsia="lv-LV"/>
        </w:rPr>
        <w:t xml:space="preserve"> </w:t>
      </w:r>
      <w:r w:rsidRPr="00317FD0">
        <w:rPr>
          <w:lang w:eastAsia="lv-LV"/>
        </w:rPr>
        <w:t>atbilstoši savām</w:t>
      </w:r>
      <w:r>
        <w:rPr>
          <w:lang w:eastAsia="lv-LV"/>
        </w:rPr>
        <w:t xml:space="preserve"> </w:t>
      </w:r>
      <w:r w:rsidRPr="00317FD0">
        <w:rPr>
          <w:lang w:eastAsia="lv-LV"/>
        </w:rPr>
        <w:t>spējām</w:t>
      </w:r>
      <w:r>
        <w:rPr>
          <w:lang w:eastAsia="lv-LV"/>
        </w:rPr>
        <w:t xml:space="preserve"> </w:t>
      </w:r>
      <w:r w:rsidRPr="00317FD0">
        <w:rPr>
          <w:lang w:eastAsia="lv-LV"/>
        </w:rPr>
        <w:t>un kvalifikācijai.</w:t>
      </w:r>
      <w:r w:rsidRPr="00BE03B6">
        <w:rPr>
          <w:lang w:eastAsia="lv-LV"/>
        </w:rPr>
        <w:t xml:space="preserve"> </w:t>
      </w:r>
      <w:r>
        <w:rPr>
          <w:lang w:eastAsia="lv-LV"/>
        </w:rPr>
        <w:t>Šī norma</w:t>
      </w:r>
      <w:r w:rsidRPr="00317FD0">
        <w:rPr>
          <w:lang w:eastAsia="lv-LV"/>
        </w:rPr>
        <w:t xml:space="preserve"> tieši negarantē tiesības uz darbu, bet gan tiesības brīvi izvēlēties nodarbošanos un darbavietu</w:t>
      </w:r>
      <w:r w:rsidRPr="00BE03B6">
        <w:rPr>
          <w:lang w:eastAsia="lv-LV"/>
        </w:rPr>
        <w:t xml:space="preserve"> </w:t>
      </w:r>
      <w:r w:rsidRPr="00317FD0">
        <w:rPr>
          <w:lang w:eastAsia="lv-LV"/>
        </w:rPr>
        <w:t>(</w:t>
      </w:r>
      <w:r w:rsidRPr="00317FD0">
        <w:rPr>
          <w:i/>
          <w:iCs/>
          <w:lang w:eastAsia="lv-LV"/>
        </w:rPr>
        <w:t>Satversmes tiesas</w:t>
      </w:r>
      <w:r w:rsidRPr="0032223A">
        <w:rPr>
          <w:i/>
          <w:iCs/>
          <w:lang w:eastAsia="lv-LV"/>
        </w:rPr>
        <w:t xml:space="preserve"> </w:t>
      </w:r>
      <w:r w:rsidRPr="00317FD0">
        <w:rPr>
          <w:i/>
          <w:iCs/>
          <w:lang w:eastAsia="lv-LV"/>
        </w:rPr>
        <w:t>2021.gada</w:t>
      </w:r>
      <w:r w:rsidRPr="0032223A">
        <w:rPr>
          <w:i/>
          <w:iCs/>
          <w:lang w:eastAsia="lv-LV"/>
        </w:rPr>
        <w:t xml:space="preserve"> </w:t>
      </w:r>
      <w:r w:rsidRPr="00317FD0">
        <w:rPr>
          <w:i/>
          <w:iCs/>
          <w:lang w:eastAsia="lv-LV"/>
        </w:rPr>
        <w:t>25.marta</w:t>
      </w:r>
      <w:r>
        <w:rPr>
          <w:i/>
          <w:iCs/>
          <w:lang w:eastAsia="lv-LV"/>
        </w:rPr>
        <w:t xml:space="preserve"> </w:t>
      </w:r>
      <w:r w:rsidRPr="00317FD0">
        <w:rPr>
          <w:i/>
          <w:iCs/>
          <w:lang w:eastAsia="lv-LV"/>
        </w:rPr>
        <w:t>sprieduma lietā Nr.</w:t>
      </w:r>
      <w:r>
        <w:rPr>
          <w:i/>
          <w:iCs/>
          <w:lang w:eastAsia="lv-LV"/>
        </w:rPr>
        <w:t> </w:t>
      </w:r>
      <w:hyperlink r:id="rId9" w:history="1">
        <w:r w:rsidRPr="00D34BAE">
          <w:rPr>
            <w:rStyle w:val="Hyperlink"/>
            <w:i/>
            <w:iCs/>
            <w:lang w:eastAsia="lv-LV"/>
          </w:rPr>
          <w:t>2020-36-01</w:t>
        </w:r>
      </w:hyperlink>
      <w:r w:rsidRPr="00317FD0">
        <w:rPr>
          <w:i/>
          <w:iCs/>
          <w:lang w:eastAsia="lv-LV"/>
        </w:rPr>
        <w:t xml:space="preserve"> 12.punkt</w:t>
      </w:r>
      <w:r>
        <w:rPr>
          <w:i/>
          <w:iCs/>
          <w:lang w:eastAsia="lv-LV"/>
        </w:rPr>
        <w:t>s</w:t>
      </w:r>
      <w:r w:rsidRPr="00317FD0">
        <w:rPr>
          <w:lang w:eastAsia="lv-LV"/>
        </w:rPr>
        <w:t>).</w:t>
      </w:r>
      <w:r w:rsidR="006F1CA2">
        <w:rPr>
          <w:lang w:eastAsia="lv-LV"/>
        </w:rPr>
        <w:t xml:space="preserve"> </w:t>
      </w:r>
      <w:r w:rsidRPr="00345E7C">
        <w:rPr>
          <w:color w:val="000000"/>
        </w:rPr>
        <w:t xml:space="preserve">Vienlaikus šīs personas pamattiesības nav absolūtas, un Satversmes 116.pants pieļauj Satversmes </w:t>
      </w:r>
      <w:r w:rsidR="006F1CA2">
        <w:rPr>
          <w:color w:val="000000"/>
        </w:rPr>
        <w:t>106</w:t>
      </w:r>
      <w:r w:rsidRPr="00345E7C">
        <w:rPr>
          <w:color w:val="000000"/>
        </w:rPr>
        <w:t>.pantā ietverto pamattiesību ierobežošanu</w:t>
      </w:r>
      <w:r w:rsidR="004823AC" w:rsidRPr="004823AC">
        <w:t xml:space="preserve"> </w:t>
      </w:r>
      <w:r w:rsidR="004823AC" w:rsidRPr="00141747">
        <w:t>likumā paredzētajos gadījumos, lai aizsargātu citu cilvēku tiesības, demokrātisko valsts iekārtu, sabiedrības drošību, labklājību un tikumību.</w:t>
      </w:r>
      <w:r w:rsidR="006F1CA2">
        <w:rPr>
          <w:color w:val="000000"/>
        </w:rPr>
        <w:t xml:space="preserve"> </w:t>
      </w:r>
    </w:p>
    <w:p w14:paraId="12BDBEA2" w14:textId="504E07BC" w:rsidR="008D7505" w:rsidRDefault="006F1CA2" w:rsidP="002A5839">
      <w:pPr>
        <w:spacing w:line="276" w:lineRule="auto"/>
        <w:ind w:firstLine="720"/>
        <w:contextualSpacing/>
        <w:jc w:val="both"/>
      </w:pPr>
      <w:r>
        <w:rPr>
          <w:color w:val="000000"/>
        </w:rPr>
        <w:t>Senāts atzīst, ka nav pamatot</w:t>
      </w:r>
      <w:r w:rsidR="00417DE9">
        <w:rPr>
          <w:color w:val="000000"/>
        </w:rPr>
        <w:t>s</w:t>
      </w:r>
      <w:r>
        <w:rPr>
          <w:color w:val="000000"/>
        </w:rPr>
        <w:t xml:space="preserve"> pieteicēja </w:t>
      </w:r>
      <w:r w:rsidR="00417DE9">
        <w:rPr>
          <w:color w:val="000000"/>
        </w:rPr>
        <w:t>arguments</w:t>
      </w:r>
      <w:r>
        <w:rPr>
          <w:color w:val="000000"/>
        </w:rPr>
        <w:t xml:space="preserve">, ka </w:t>
      </w:r>
      <w:r w:rsidR="00C90075">
        <w:t>l</w:t>
      </w:r>
      <w:r w:rsidR="00C90075" w:rsidRPr="00CC3CCD">
        <w:t xml:space="preserve">ikuma „Par policiju” 21.panta trešā daļa </w:t>
      </w:r>
      <w:r>
        <w:rPr>
          <w:color w:val="000000"/>
        </w:rPr>
        <w:t>ierobežo pieteicēja Satversmes 92.panta paredzētās tiesības uz taisnīgu tiesu</w:t>
      </w:r>
      <w:r w:rsidR="00417DE9">
        <w:rPr>
          <w:color w:val="000000"/>
        </w:rPr>
        <w:t xml:space="preserve">, </w:t>
      </w:r>
      <w:r w:rsidR="002E101A">
        <w:rPr>
          <w:color w:val="000000"/>
        </w:rPr>
        <w:t>ko</w:t>
      </w:r>
      <w:r w:rsidR="00417DE9">
        <w:rPr>
          <w:color w:val="000000"/>
        </w:rPr>
        <w:t xml:space="preserve"> pi</w:t>
      </w:r>
      <w:r w:rsidR="00943AE8">
        <w:rPr>
          <w:color w:val="000000"/>
        </w:rPr>
        <w:t>eteicējs saista ar ierobežo</w:t>
      </w:r>
      <w:r w:rsidR="00417DE9">
        <w:rPr>
          <w:color w:val="000000"/>
        </w:rPr>
        <w:t>jumu iepazīties ar visu</w:t>
      </w:r>
      <w:r w:rsidR="00943AE8">
        <w:rPr>
          <w:color w:val="000000"/>
        </w:rPr>
        <w:t xml:space="preserve"> informācijai, kas bija pamatā </w:t>
      </w:r>
      <w:r w:rsidR="007E2FD6">
        <w:rPr>
          <w:color w:val="000000"/>
        </w:rPr>
        <w:t xml:space="preserve">ministra </w:t>
      </w:r>
      <w:r w:rsidR="00943AE8">
        <w:rPr>
          <w:color w:val="000000"/>
        </w:rPr>
        <w:t>atteikumam.</w:t>
      </w:r>
      <w:r w:rsidR="00417DE9">
        <w:rPr>
          <w:color w:val="000000"/>
        </w:rPr>
        <w:t xml:space="preserve"> </w:t>
      </w:r>
      <w:r w:rsidR="00C90075">
        <w:t>Minētajā tiesību normā</w:t>
      </w:r>
      <w:r w:rsidR="00417DE9">
        <w:t xml:space="preserve"> nav paredzēts ierobežojums iepazīties ar informāciju, </w:t>
      </w:r>
      <w:r w:rsidR="007E2FD6">
        <w:t>uz kuras pamata ministrs izlemj dot vai nedod piekrišanu personas darba</w:t>
      </w:r>
      <w:r w:rsidR="00554A8F">
        <w:t>m</w:t>
      </w:r>
      <w:r w:rsidR="007E2FD6">
        <w:t xml:space="preserve"> par pašvaldības policijas priekšnieku vai viņa vietnieku. Tas, vai</w:t>
      </w:r>
      <w:r w:rsidR="00554A8F">
        <w:t xml:space="preserve"> un kādā apjomā</w:t>
      </w:r>
      <w:r w:rsidR="007E2FD6">
        <w:t xml:space="preserve"> šī informācija ir atklājama personai, par kuru tiek lemts, ir atkarīg</w:t>
      </w:r>
      <w:r w:rsidR="00554A8F">
        <w:t>s</w:t>
      </w:r>
      <w:r w:rsidR="007E2FD6">
        <w:t xml:space="preserve"> no informācijas </w:t>
      </w:r>
      <w:r w:rsidR="00D241A8">
        <w:t>klasifikācijas un regulē</w:t>
      </w:r>
      <w:r w:rsidR="00554A8F">
        <w:t>juma par</w:t>
      </w:r>
      <w:r w:rsidR="00D241A8">
        <w:t xml:space="preserve"> attiecīgās informācija</w:t>
      </w:r>
      <w:r w:rsidR="00554A8F">
        <w:t xml:space="preserve">s izmantošanas kārtību un </w:t>
      </w:r>
      <w:r w:rsidR="00554A8F">
        <w:lastRenderedPageBreak/>
        <w:t>aizsardzību</w:t>
      </w:r>
      <w:r w:rsidR="00D241A8">
        <w:t>. Konkrētajā gadījumā</w:t>
      </w:r>
      <w:r w:rsidR="00554A8F">
        <w:t xml:space="preserve"> to regulē</w:t>
      </w:r>
      <w:r w:rsidR="00C90075">
        <w:t xml:space="preserve"> Operatīvās darbības likums un </w:t>
      </w:r>
      <w:r w:rsidR="00D241A8">
        <w:t>likum</w:t>
      </w:r>
      <w:r w:rsidR="00C90075">
        <w:t>s</w:t>
      </w:r>
      <w:r w:rsidR="00D241A8">
        <w:t xml:space="preserve"> „Par valsts noslēpumu”</w:t>
      </w:r>
      <w:r w:rsidR="00554A8F">
        <w:t>, jo informācija klasificēta kā slepena</w:t>
      </w:r>
      <w:r w:rsidR="00C90075">
        <w:t xml:space="preserve"> un ir valsts noslēpums</w:t>
      </w:r>
      <w:r w:rsidR="00D241A8">
        <w:t>.</w:t>
      </w:r>
    </w:p>
    <w:p w14:paraId="1A1EAA34" w14:textId="66BB8E98" w:rsidR="006F1CA2" w:rsidRPr="00345E7C" w:rsidRDefault="00417DE9" w:rsidP="002A5839">
      <w:pPr>
        <w:spacing w:line="276" w:lineRule="auto"/>
        <w:ind w:firstLine="720"/>
        <w:contextualSpacing/>
        <w:jc w:val="both"/>
        <w:rPr>
          <w:color w:val="000000"/>
        </w:rPr>
      </w:pPr>
      <w:r>
        <w:t>Taču</w:t>
      </w:r>
      <w:r w:rsidR="00554A8F">
        <w:t>,</w:t>
      </w:r>
      <w:r>
        <w:t xml:space="preserve"> ņemot vērā to, ka </w:t>
      </w:r>
      <w:r w:rsidR="006F1CA2" w:rsidRPr="00345E7C">
        <w:rPr>
          <w:color w:val="000000"/>
        </w:rPr>
        <w:t>piemērot</w:t>
      </w:r>
      <w:r w:rsidR="006F1CA2">
        <w:rPr>
          <w:color w:val="000000"/>
        </w:rPr>
        <w:t>ā</w:t>
      </w:r>
      <w:r w:rsidR="003673DB">
        <w:rPr>
          <w:color w:val="000000"/>
        </w:rPr>
        <w:t xml:space="preserve"> likuma</w:t>
      </w:r>
      <w:r w:rsidR="006F1CA2" w:rsidRPr="00345E7C">
        <w:rPr>
          <w:color w:val="000000"/>
        </w:rPr>
        <w:t xml:space="preserve"> </w:t>
      </w:r>
      <w:r w:rsidR="006F1CA2" w:rsidRPr="00CC3CCD">
        <w:t>„Par policiju” 21.panta trešā daļ</w:t>
      </w:r>
      <w:r w:rsidR="006F1CA2">
        <w:t>a</w:t>
      </w:r>
      <w:r w:rsidR="006F1CA2" w:rsidRPr="00345E7C">
        <w:rPr>
          <w:color w:val="000000"/>
        </w:rPr>
        <w:t xml:space="preserve"> paredz personas pamattiesību ierobežojumu</w:t>
      </w:r>
      <w:r>
        <w:rPr>
          <w:color w:val="000000"/>
        </w:rPr>
        <w:t xml:space="preserve"> un pieteicējs kasācijas sūdzībā izteicis argumentu</w:t>
      </w:r>
      <w:r w:rsidR="00C90075">
        <w:rPr>
          <w:color w:val="000000"/>
        </w:rPr>
        <w:t>s</w:t>
      </w:r>
      <w:r>
        <w:rPr>
          <w:color w:val="000000"/>
        </w:rPr>
        <w:t xml:space="preserve">, ka </w:t>
      </w:r>
      <w:r>
        <w:t>minētā tiesību norma neatbilst Satversmei un ka tiesa nepamatoti nav vērsusies Satversmes tiesā</w:t>
      </w:r>
      <w:r w:rsidR="006F1CA2" w:rsidRPr="00345E7C">
        <w:rPr>
          <w:color w:val="000000"/>
        </w:rPr>
        <w:t xml:space="preserve">, Senāts pats pārbaudīs </w:t>
      </w:r>
      <w:r w:rsidR="006F1CA2">
        <w:rPr>
          <w:color w:val="000000"/>
        </w:rPr>
        <w:t>tās</w:t>
      </w:r>
      <w:r w:rsidR="006F1CA2" w:rsidRPr="00345E7C">
        <w:rPr>
          <w:color w:val="000000"/>
        </w:rPr>
        <w:t xml:space="preserve"> atbilstību Satversmei.</w:t>
      </w:r>
    </w:p>
    <w:p w14:paraId="6699E68D" w14:textId="77777777" w:rsidR="006F1CA2" w:rsidRPr="00345E7C" w:rsidRDefault="006F1CA2" w:rsidP="002A5839">
      <w:pPr>
        <w:spacing w:line="276" w:lineRule="auto"/>
        <w:ind w:firstLine="720"/>
        <w:contextualSpacing/>
        <w:jc w:val="both"/>
        <w:rPr>
          <w:color w:val="000000"/>
        </w:rPr>
      </w:pPr>
    </w:p>
    <w:p w14:paraId="076F73E9" w14:textId="2749FF41" w:rsidR="0084103D" w:rsidRDefault="0084103D" w:rsidP="002A5839">
      <w:pPr>
        <w:spacing w:line="276" w:lineRule="auto"/>
        <w:ind w:firstLine="720"/>
        <w:jc w:val="both"/>
        <w:rPr>
          <w:shd w:val="clear" w:color="auto" w:fill="FFFFFF"/>
        </w:rPr>
      </w:pPr>
      <w:r>
        <w:t>[8] </w:t>
      </w:r>
      <w:r w:rsidRPr="00B04858">
        <w:rPr>
          <w:shd w:val="clear" w:color="auto" w:fill="FFFFFF"/>
        </w:rPr>
        <w:t xml:space="preserve">Noskaidrojot, vai ar </w:t>
      </w:r>
      <w:r>
        <w:rPr>
          <w:shd w:val="clear" w:color="auto" w:fill="FFFFFF"/>
        </w:rPr>
        <w:t xml:space="preserve">tiesību </w:t>
      </w:r>
      <w:r w:rsidRPr="00B04858">
        <w:rPr>
          <w:shd w:val="clear" w:color="auto" w:fill="FFFFFF"/>
        </w:rPr>
        <w:t>normu noteiktais personas tiesību ierobežojums ir attaisnojams, ir jāvērtē:</w:t>
      </w:r>
    </w:p>
    <w:p w14:paraId="59BE639F" w14:textId="77777777" w:rsidR="0084103D" w:rsidRDefault="0084103D" w:rsidP="002A5839">
      <w:pPr>
        <w:spacing w:line="276" w:lineRule="auto"/>
        <w:ind w:firstLine="720"/>
        <w:jc w:val="both"/>
        <w:rPr>
          <w:shd w:val="clear" w:color="auto" w:fill="FFFFFF"/>
        </w:rPr>
      </w:pPr>
      <w:r w:rsidRPr="00B04858">
        <w:rPr>
          <w:shd w:val="clear" w:color="auto" w:fill="FFFFFF"/>
        </w:rPr>
        <w:t>1)</w:t>
      </w:r>
      <w:r>
        <w:rPr>
          <w:shd w:val="clear" w:color="auto" w:fill="FFFFFF"/>
        </w:rPr>
        <w:t> </w:t>
      </w:r>
      <w:r w:rsidRPr="00B04858">
        <w:rPr>
          <w:shd w:val="clear" w:color="auto" w:fill="FFFFFF"/>
        </w:rPr>
        <w:t>vai pamattiesību ierobežojums ir noteikts ar likumu;</w:t>
      </w:r>
    </w:p>
    <w:p w14:paraId="7800AA84" w14:textId="77777777" w:rsidR="0084103D" w:rsidRDefault="0084103D" w:rsidP="002A5839">
      <w:pPr>
        <w:spacing w:line="276" w:lineRule="auto"/>
        <w:ind w:firstLine="720"/>
        <w:jc w:val="both"/>
        <w:rPr>
          <w:shd w:val="clear" w:color="auto" w:fill="FFFFFF"/>
        </w:rPr>
      </w:pPr>
      <w:r w:rsidRPr="00B04858">
        <w:rPr>
          <w:shd w:val="clear" w:color="auto" w:fill="FFFFFF"/>
        </w:rPr>
        <w:t>2)</w:t>
      </w:r>
      <w:r>
        <w:rPr>
          <w:shd w:val="clear" w:color="auto" w:fill="FFFFFF"/>
        </w:rPr>
        <w:t> </w:t>
      </w:r>
      <w:r w:rsidRPr="00B04858">
        <w:rPr>
          <w:shd w:val="clear" w:color="auto" w:fill="FFFFFF"/>
        </w:rPr>
        <w:t>vai ierobežojumam ir leģitīms mērķis;</w:t>
      </w:r>
    </w:p>
    <w:p w14:paraId="4C9A8F66" w14:textId="15B4A52D" w:rsidR="0084103D" w:rsidRPr="00B04858" w:rsidRDefault="0084103D" w:rsidP="002A5839">
      <w:pPr>
        <w:spacing w:line="276" w:lineRule="auto"/>
        <w:ind w:firstLine="720"/>
        <w:jc w:val="both"/>
      </w:pPr>
      <w:r w:rsidRPr="00B04858">
        <w:rPr>
          <w:shd w:val="clear" w:color="auto" w:fill="FFFFFF"/>
        </w:rPr>
        <w:t>3)</w:t>
      </w:r>
      <w:r>
        <w:rPr>
          <w:shd w:val="clear" w:color="auto" w:fill="FFFFFF"/>
        </w:rPr>
        <w:t> </w:t>
      </w:r>
      <w:r w:rsidRPr="00B04858">
        <w:rPr>
          <w:shd w:val="clear" w:color="auto" w:fill="FFFFFF"/>
        </w:rPr>
        <w:t>vai ierobežojums ir samērīgs ar tā leģitīmo mērķi (</w:t>
      </w:r>
      <w:r w:rsidRPr="000D30F5">
        <w:rPr>
          <w:i/>
          <w:iCs/>
          <w:shd w:val="clear" w:color="auto" w:fill="FFFFFF"/>
        </w:rPr>
        <w:t xml:space="preserve">Satversmes tiesas 2022.gada 15.decembra sprieduma lietā </w:t>
      </w:r>
      <w:r w:rsidRPr="000D30F5">
        <w:rPr>
          <w:i/>
          <w:iCs/>
        </w:rPr>
        <w:t>Nr.</w:t>
      </w:r>
      <w:r>
        <w:rPr>
          <w:i/>
          <w:iCs/>
        </w:rPr>
        <w:t> </w:t>
      </w:r>
      <w:hyperlink r:id="rId10" w:history="1">
        <w:r w:rsidRPr="000957E4">
          <w:rPr>
            <w:rStyle w:val="Hyperlink"/>
            <w:i/>
            <w:iCs/>
          </w:rPr>
          <w:t>2021-41-01</w:t>
        </w:r>
      </w:hyperlink>
      <w:r w:rsidRPr="000D30F5">
        <w:rPr>
          <w:i/>
          <w:iCs/>
        </w:rPr>
        <w:t xml:space="preserve"> 13.punkts</w:t>
      </w:r>
      <w:r w:rsidRPr="00B04858">
        <w:t>).</w:t>
      </w:r>
    </w:p>
    <w:p w14:paraId="36295158" w14:textId="6B1D6802" w:rsidR="0084103D" w:rsidRDefault="006C6414" w:rsidP="002A5839">
      <w:pPr>
        <w:spacing w:line="276" w:lineRule="auto"/>
        <w:ind w:firstLine="720"/>
        <w:contextualSpacing/>
        <w:jc w:val="both"/>
      </w:pPr>
      <w:r>
        <w:t>L</w:t>
      </w:r>
      <w:r w:rsidRPr="00CC3CCD">
        <w:t>ikuma „Par policiju” 21.pant</w:t>
      </w:r>
      <w:r>
        <w:t xml:space="preserve">a trešā daļa izteikta jaunā redakcijā </w:t>
      </w:r>
      <w:r w:rsidRPr="00CC3CCD">
        <w:t xml:space="preserve">ar 2018.gada 11.oktobra grozījumiem likumā. </w:t>
      </w:r>
      <w:r w:rsidR="0084103D" w:rsidRPr="00345E7C">
        <w:rPr>
          <w:color w:val="000000"/>
        </w:rPr>
        <w:t xml:space="preserve">Senāts nav konstatējis apstākļus, kas varētu būt par pamatu tam, lai uzskatītu, ka likumdevējs </w:t>
      </w:r>
      <w:r w:rsidR="002F106D">
        <w:rPr>
          <w:color w:val="000000"/>
        </w:rPr>
        <w:t>prasību pēc iekšlietu ministra piekrišanas darbam par pašvaldības policijas priekšnieku vai viņa vietnieku</w:t>
      </w:r>
      <w:r w:rsidR="0084103D" w:rsidRPr="00345E7C">
        <w:rPr>
          <w:color w:val="000000"/>
        </w:rPr>
        <w:t xml:space="preserve"> nebūtu noteicis pienācīgā kārtībā. Attiecīgā</w:t>
      </w:r>
      <w:r w:rsidR="00381ADD">
        <w:rPr>
          <w:color w:val="000000"/>
        </w:rPr>
        <w:t>s</w:t>
      </w:r>
      <w:r w:rsidR="0084103D" w:rsidRPr="00345E7C">
        <w:rPr>
          <w:color w:val="000000"/>
        </w:rPr>
        <w:t xml:space="preserve"> tiesību norma</w:t>
      </w:r>
      <w:r w:rsidR="00381ADD">
        <w:rPr>
          <w:color w:val="000000"/>
        </w:rPr>
        <w:t>s</w:t>
      </w:r>
      <w:r w:rsidR="0084103D" w:rsidRPr="00345E7C">
        <w:rPr>
          <w:color w:val="000000"/>
        </w:rPr>
        <w:t xml:space="preserve"> ir pieņemtas un izsludinātas atbilstoši normatīvo aktu prasībām un ir publiski pieejamas.</w:t>
      </w:r>
      <w:r w:rsidR="002F106D" w:rsidRPr="002F106D">
        <w:t xml:space="preserve"> </w:t>
      </w:r>
      <w:r w:rsidR="002F106D" w:rsidRPr="006A4F72">
        <w:t xml:space="preserve">Tāpat </w:t>
      </w:r>
      <w:r w:rsidR="00381ADD">
        <w:t xml:space="preserve">konkrētā </w:t>
      </w:r>
      <w:r w:rsidR="002F106D" w:rsidRPr="006A4F72">
        <w:t>tiesību norma ir pietiekami s</w:t>
      </w:r>
      <w:r w:rsidR="002F106D" w:rsidRPr="006A4F72">
        <w:rPr>
          <w:shd w:val="clear" w:color="auto" w:fill="FFFFFF"/>
        </w:rPr>
        <w:t>kaidri formulēta, lai persona varētu izprast no tā</w:t>
      </w:r>
      <w:r w:rsidR="002F106D">
        <w:rPr>
          <w:shd w:val="clear" w:color="auto" w:fill="FFFFFF"/>
        </w:rPr>
        <w:t>s</w:t>
      </w:r>
      <w:r w:rsidR="002F106D" w:rsidRPr="006A4F72">
        <w:rPr>
          <w:shd w:val="clear" w:color="auto" w:fill="FFFFFF"/>
        </w:rPr>
        <w:t xml:space="preserve"> izrietošo tiesību un</w:t>
      </w:r>
      <w:r w:rsidR="002F106D">
        <w:rPr>
          <w:shd w:val="clear" w:color="auto" w:fill="FFFFFF"/>
        </w:rPr>
        <w:t xml:space="preserve"> </w:t>
      </w:r>
      <w:r w:rsidR="002F106D" w:rsidRPr="006A4F72">
        <w:rPr>
          <w:shd w:val="clear" w:color="auto" w:fill="FFFFFF"/>
        </w:rPr>
        <w:t>pienākumu</w:t>
      </w:r>
      <w:r w:rsidR="002F106D">
        <w:rPr>
          <w:shd w:val="clear" w:color="auto" w:fill="FFFFFF"/>
        </w:rPr>
        <w:t xml:space="preserve"> </w:t>
      </w:r>
      <w:r w:rsidR="002F106D" w:rsidRPr="006A4F72">
        <w:rPr>
          <w:shd w:val="clear" w:color="auto" w:fill="FFFFFF"/>
        </w:rPr>
        <w:t>saturu</w:t>
      </w:r>
      <w:r w:rsidR="002F106D">
        <w:rPr>
          <w:shd w:val="clear" w:color="auto" w:fill="FFFFFF"/>
        </w:rPr>
        <w:t xml:space="preserve"> </w:t>
      </w:r>
      <w:r w:rsidR="002F106D" w:rsidRPr="006A4F72">
        <w:rPr>
          <w:shd w:val="clear" w:color="auto" w:fill="FFFFFF"/>
        </w:rPr>
        <w:t>un</w:t>
      </w:r>
      <w:r w:rsidR="002F106D">
        <w:rPr>
          <w:shd w:val="clear" w:color="auto" w:fill="FFFFFF"/>
        </w:rPr>
        <w:t xml:space="preserve"> </w:t>
      </w:r>
      <w:r w:rsidR="002F106D" w:rsidRPr="006A4F72">
        <w:rPr>
          <w:shd w:val="clear" w:color="auto" w:fill="FFFFFF"/>
        </w:rPr>
        <w:t>paredzēt</w:t>
      </w:r>
      <w:r w:rsidR="002F106D">
        <w:rPr>
          <w:shd w:val="clear" w:color="auto" w:fill="FFFFFF"/>
        </w:rPr>
        <w:t xml:space="preserve"> </w:t>
      </w:r>
      <w:r w:rsidR="002F106D" w:rsidRPr="006A4F72">
        <w:rPr>
          <w:shd w:val="clear" w:color="auto" w:fill="FFFFFF"/>
        </w:rPr>
        <w:t>tā</w:t>
      </w:r>
      <w:r w:rsidR="002F106D">
        <w:rPr>
          <w:shd w:val="clear" w:color="auto" w:fill="FFFFFF"/>
        </w:rPr>
        <w:t xml:space="preserve">s </w:t>
      </w:r>
      <w:r w:rsidR="002F106D" w:rsidRPr="006A4F72">
        <w:rPr>
          <w:shd w:val="clear" w:color="auto" w:fill="FFFFFF"/>
        </w:rPr>
        <w:t>piemērošanas</w:t>
      </w:r>
      <w:r w:rsidR="002F106D">
        <w:rPr>
          <w:shd w:val="clear" w:color="auto" w:fill="FFFFFF"/>
        </w:rPr>
        <w:t xml:space="preserve"> </w:t>
      </w:r>
      <w:r w:rsidR="002F106D" w:rsidRPr="006A4F72">
        <w:rPr>
          <w:shd w:val="clear" w:color="auto" w:fill="FFFFFF"/>
        </w:rPr>
        <w:t>sekas.</w:t>
      </w:r>
      <w:r w:rsidR="002F106D" w:rsidRPr="002F106D">
        <w:t xml:space="preserve"> </w:t>
      </w:r>
      <w:r w:rsidR="002F106D" w:rsidRPr="006A4F72">
        <w:t>Tāpēc Senāts uzskata, ka ierobežojums ir noteikts ar likumu</w:t>
      </w:r>
      <w:r w:rsidR="002F106D">
        <w:t>.</w:t>
      </w:r>
    </w:p>
    <w:p w14:paraId="2B038FD1" w14:textId="77777777" w:rsidR="0005690E" w:rsidRDefault="006C6414" w:rsidP="002A5839">
      <w:pPr>
        <w:pStyle w:val="tv213"/>
        <w:shd w:val="clear" w:color="auto" w:fill="FFFFFF"/>
        <w:spacing w:before="0" w:beforeAutospacing="0" w:after="0" w:afterAutospacing="0" w:line="276" w:lineRule="auto"/>
        <w:ind w:firstLine="720"/>
        <w:jc w:val="both"/>
        <w:rPr>
          <w:color w:val="000000"/>
          <w:shd w:val="clear" w:color="auto" w:fill="FFFFFF"/>
        </w:rPr>
      </w:pPr>
      <w:r>
        <w:t xml:space="preserve">Minēto </w:t>
      </w:r>
      <w:r w:rsidR="00CC3CCD" w:rsidRPr="00CC3CCD">
        <w:t>likuma</w:t>
      </w:r>
      <w:r>
        <w:t xml:space="preserve"> grozījumu</w:t>
      </w:r>
      <w:r w:rsidR="00CC3CCD" w:rsidRPr="00CC3CCD">
        <w:t xml:space="preserve"> anotācijā </w:t>
      </w:r>
      <w:r w:rsidR="00CC3CCD">
        <w:t>norādīts, ka</w:t>
      </w:r>
      <w:r w:rsidR="00CC3CCD" w:rsidRPr="00CC3CCD">
        <w:t xml:space="preserve"> </w:t>
      </w:r>
      <w:r w:rsidR="00CC3CCD">
        <w:t>p</w:t>
      </w:r>
      <w:r w:rsidR="00CC3CCD" w:rsidRPr="00CC3CCD">
        <w:t xml:space="preserve">ašvaldības policija savas funkcijas un uzdevumus pilda sadarbībā ar Valsts policiju un Drošības policiju, kā arī tiešā kontaktā ar sabiedrību, līdz ar to pašvaldības policijas vadītājam un </w:t>
      </w:r>
      <w:r w:rsidR="002D687A">
        <w:t>viņa</w:t>
      </w:r>
      <w:r w:rsidR="00CC3CCD" w:rsidRPr="00CC3CCD">
        <w:t xml:space="preserve"> vietniekam ir jānodrošina iestādes funkciju un uzdevumu profesionāla izpilde, kā arī Valsts pārvaldes iekārtas likumā noteikto valsts pārvaldes principu ievērošanu, ar savu darbību veicinot sabiedrības uzticību policijai.</w:t>
      </w:r>
      <w:r w:rsidR="00CC3CCD" w:rsidRPr="00CC3CCD">
        <w:rPr>
          <w:color w:val="000000"/>
          <w:sz w:val="22"/>
          <w:szCs w:val="22"/>
          <w:shd w:val="clear" w:color="auto" w:fill="FFFFFF"/>
        </w:rPr>
        <w:t xml:space="preserve"> </w:t>
      </w:r>
      <w:r w:rsidR="00CC3CCD" w:rsidRPr="00CC3CCD">
        <w:rPr>
          <w:color w:val="000000"/>
          <w:shd w:val="clear" w:color="auto" w:fill="FFFFFF"/>
        </w:rPr>
        <w:t>Līdz ar to likuma „Par policiju” 21.panta trešā daļa ir precizējama, paredzot kritērijus iekšlietu ministra rakstveida piekrišanas došanai pirms pašvaldības policijas priekšnieka un viņa vietnieka pieņemšanas darbā. Proti, iekšlietu ministrs rakstveida piekrišanu nedos, ja Valsts policijai vai Drošības policijai ir pietiekams pamats uzskatīt, ka persona rada draudus valsts drošībai vai sabiedriskajai kārtībai un</w:t>
      </w:r>
      <w:r>
        <w:rPr>
          <w:color w:val="000000"/>
          <w:shd w:val="clear" w:color="auto" w:fill="FFFFFF"/>
        </w:rPr>
        <w:t xml:space="preserve"> </w:t>
      </w:r>
      <w:r w:rsidR="00CC3CCD" w:rsidRPr="00CC3CCD">
        <w:rPr>
          <w:color w:val="000000"/>
          <w:shd w:val="clear" w:color="auto" w:fill="FFFFFF"/>
        </w:rPr>
        <w:t>drošībai</w:t>
      </w:r>
      <w:r w:rsidR="00CC3CCD">
        <w:rPr>
          <w:color w:val="000000"/>
          <w:shd w:val="clear" w:color="auto" w:fill="FFFFFF"/>
        </w:rPr>
        <w:t xml:space="preserve"> </w:t>
      </w:r>
      <w:r w:rsidR="0005690E">
        <w:rPr>
          <w:color w:val="000000"/>
          <w:shd w:val="clear" w:color="auto" w:fill="FFFFFF"/>
        </w:rPr>
        <w:t xml:space="preserve">(sk. </w:t>
      </w:r>
      <w:r w:rsidR="0005690E" w:rsidRPr="0005690E">
        <w:rPr>
          <w:i/>
          <w:iCs/>
          <w:color w:val="000000"/>
          <w:shd w:val="clear" w:color="auto" w:fill="FFFFFF"/>
        </w:rPr>
        <w:t xml:space="preserve">12.Saeimas likumprojekta Nr. 1269/Lp12 „Grozījumi likumā „Par policiju”” </w:t>
      </w:r>
      <w:hyperlink r:id="rId11" w:history="1">
        <w:r w:rsidR="0005690E" w:rsidRPr="0005690E">
          <w:rPr>
            <w:rStyle w:val="Hyperlink"/>
            <w:i/>
            <w:iCs/>
            <w:shd w:val="clear" w:color="auto" w:fill="FFFFFF"/>
          </w:rPr>
          <w:t>anotācija</w:t>
        </w:r>
      </w:hyperlink>
      <w:r w:rsidR="0005690E">
        <w:rPr>
          <w:color w:val="000000"/>
          <w:shd w:val="clear" w:color="auto" w:fill="FFFFFF"/>
        </w:rPr>
        <w:t>)</w:t>
      </w:r>
      <w:r w:rsidR="0005690E" w:rsidRPr="00CC3CCD">
        <w:rPr>
          <w:color w:val="000000"/>
          <w:shd w:val="clear" w:color="auto" w:fill="FFFFFF"/>
        </w:rPr>
        <w:t>.</w:t>
      </w:r>
    </w:p>
    <w:p w14:paraId="6049FFE4" w14:textId="5D9B0C05" w:rsidR="002D687A" w:rsidRDefault="006C6414" w:rsidP="002A5839">
      <w:pPr>
        <w:pStyle w:val="tv213"/>
        <w:shd w:val="clear" w:color="auto" w:fill="FFFFFF"/>
        <w:spacing w:before="0" w:beforeAutospacing="0" w:after="0" w:afterAutospacing="0" w:line="276" w:lineRule="auto"/>
        <w:ind w:firstLine="720"/>
        <w:jc w:val="both"/>
      </w:pPr>
      <w:r>
        <w:t xml:space="preserve">Tātad </w:t>
      </w:r>
      <w:r w:rsidRPr="00CC3CCD">
        <w:rPr>
          <w:color w:val="000000"/>
          <w:shd w:val="clear" w:color="auto" w:fill="FFFFFF"/>
        </w:rPr>
        <w:t>likuma „Par policiju” 21.panta treš</w:t>
      </w:r>
      <w:r>
        <w:rPr>
          <w:color w:val="000000"/>
          <w:shd w:val="clear" w:color="auto" w:fill="FFFFFF"/>
        </w:rPr>
        <w:t>aj</w:t>
      </w:r>
      <w:r w:rsidRPr="00CC3CCD">
        <w:rPr>
          <w:color w:val="000000"/>
          <w:shd w:val="clear" w:color="auto" w:fill="FFFFFF"/>
        </w:rPr>
        <w:t>ā daļ</w:t>
      </w:r>
      <w:r>
        <w:rPr>
          <w:color w:val="000000"/>
          <w:shd w:val="clear" w:color="auto" w:fill="FFFFFF"/>
        </w:rPr>
        <w:t>ā</w:t>
      </w:r>
      <w:r w:rsidR="000D3A17" w:rsidRPr="008F286E">
        <w:rPr>
          <w:shd w:val="clear" w:color="auto" w:fill="FFFFFF"/>
        </w:rPr>
        <w:t xml:space="preserve"> ietvertajam pamattiesību ierobežojumam</w:t>
      </w:r>
      <w:r w:rsidR="000D3A17" w:rsidRPr="009B06A2">
        <w:rPr>
          <w:shd w:val="clear" w:color="auto" w:fill="FFFFFF"/>
        </w:rPr>
        <w:t xml:space="preserve"> ir leģitīms mērķis –</w:t>
      </w:r>
      <w:r w:rsidR="00C42EA7">
        <w:rPr>
          <w:shd w:val="clear" w:color="auto" w:fill="FFFFFF"/>
        </w:rPr>
        <w:t xml:space="preserve"> aizsargāt</w:t>
      </w:r>
      <w:r w:rsidR="000D3A17" w:rsidRPr="009B06A2">
        <w:rPr>
          <w:shd w:val="clear" w:color="auto" w:fill="FFFFFF"/>
        </w:rPr>
        <w:t xml:space="preserve"> </w:t>
      </w:r>
      <w:r w:rsidR="00C42EA7" w:rsidRPr="00CC3CCD">
        <w:t>valsts drošīb</w:t>
      </w:r>
      <w:r w:rsidR="00C42EA7">
        <w:t>u</w:t>
      </w:r>
      <w:r w:rsidR="00C42EA7" w:rsidRPr="00CC3CCD">
        <w:t xml:space="preserve"> </w:t>
      </w:r>
      <w:r w:rsidR="00C42EA7">
        <w:t>un</w:t>
      </w:r>
      <w:r w:rsidR="00C42EA7" w:rsidRPr="00CC3CCD">
        <w:t xml:space="preserve"> sabiedrisk</w:t>
      </w:r>
      <w:r w:rsidR="00C42EA7">
        <w:t>o</w:t>
      </w:r>
      <w:r w:rsidR="00C42EA7" w:rsidRPr="00CC3CCD">
        <w:t xml:space="preserve"> kārtīb</w:t>
      </w:r>
      <w:r w:rsidR="00C42EA7">
        <w:t>u</w:t>
      </w:r>
      <w:r w:rsidR="00C42EA7" w:rsidRPr="00CC3CCD">
        <w:t xml:space="preserve"> un drošīb</w:t>
      </w:r>
      <w:r w:rsidR="00C42EA7">
        <w:t>u.</w:t>
      </w:r>
    </w:p>
    <w:p w14:paraId="798707E8" w14:textId="3ADDF04B" w:rsidR="004C1784" w:rsidRDefault="004C1784" w:rsidP="002A5839">
      <w:pPr>
        <w:spacing w:line="276" w:lineRule="auto"/>
        <w:ind w:firstLine="720"/>
        <w:jc w:val="both"/>
      </w:pPr>
      <w:r>
        <w:t>Tāpat l</w:t>
      </w:r>
      <w:r w:rsidR="00C42EA7" w:rsidRPr="00345E7C">
        <w:rPr>
          <w:color w:val="000000"/>
        </w:rPr>
        <w:t>ikumdevējs ir izvērtējis attiecīgā personas pamattiesību ierobežojuma samērīgumu</w:t>
      </w:r>
      <w:r w:rsidR="002B53C5">
        <w:rPr>
          <w:color w:val="000000"/>
        </w:rPr>
        <w:t>. No tiesību normu izstrādes materiāliem izriet, ka likumdevējs</w:t>
      </w:r>
      <w:r w:rsidR="00F6185C">
        <w:rPr>
          <w:color w:val="000000"/>
        </w:rPr>
        <w:t xml:space="preserve"> </w:t>
      </w:r>
      <w:r w:rsidR="0005690E">
        <w:rPr>
          <w:color w:val="000000"/>
        </w:rPr>
        <w:t xml:space="preserve">ir </w:t>
      </w:r>
      <w:r w:rsidR="00F6185C">
        <w:rPr>
          <w:color w:val="000000"/>
        </w:rPr>
        <w:t>ņēmis</w:t>
      </w:r>
      <w:r w:rsidR="002B53C5">
        <w:rPr>
          <w:color w:val="000000"/>
        </w:rPr>
        <w:t xml:space="preserve"> vēr</w:t>
      </w:r>
      <w:r w:rsidR="00C463A9">
        <w:rPr>
          <w:color w:val="000000"/>
        </w:rPr>
        <w:t>ā</w:t>
      </w:r>
      <w:r w:rsidR="002B53C5">
        <w:rPr>
          <w:color w:val="000000"/>
        </w:rPr>
        <w:t xml:space="preserve"> </w:t>
      </w:r>
      <w:r w:rsidR="002B53C5" w:rsidRPr="00CC3CCD">
        <w:t>pašvaldības policijas</w:t>
      </w:r>
      <w:r w:rsidR="002B53C5">
        <w:t xml:space="preserve"> priekšnieka </w:t>
      </w:r>
      <w:r w:rsidR="002B53C5" w:rsidRPr="00CC3CCD">
        <w:t xml:space="preserve">un </w:t>
      </w:r>
      <w:r w:rsidR="002B53C5">
        <w:t>viņa</w:t>
      </w:r>
      <w:r w:rsidR="002B53C5" w:rsidRPr="00CC3CCD">
        <w:t xml:space="preserve"> vietnieka </w:t>
      </w:r>
      <w:r w:rsidR="002B53C5">
        <w:t>darba pienākumu</w:t>
      </w:r>
      <w:r w:rsidR="00F6185C">
        <w:t xml:space="preserve">s – </w:t>
      </w:r>
      <w:r w:rsidR="00C42EA7" w:rsidRPr="00CC3CCD">
        <w:t>nodrošin</w:t>
      </w:r>
      <w:r w:rsidR="00C42EA7">
        <w:t>āt</w:t>
      </w:r>
      <w:r w:rsidR="00C42EA7" w:rsidRPr="00CC3CCD">
        <w:t xml:space="preserve"> iestādes funkciju un uzdevumu profesionāl</w:t>
      </w:r>
      <w:r w:rsidR="00C42EA7">
        <w:t>u</w:t>
      </w:r>
      <w:r w:rsidR="00C42EA7" w:rsidRPr="00CC3CCD">
        <w:t xml:space="preserve"> izpild</w:t>
      </w:r>
      <w:r w:rsidR="00C42EA7">
        <w:t>i</w:t>
      </w:r>
      <w:r w:rsidR="00C42EA7" w:rsidRPr="00CC3CCD">
        <w:t xml:space="preserve">, </w:t>
      </w:r>
      <w:r w:rsidR="00F6185C">
        <w:t>ievērot</w:t>
      </w:r>
      <w:r w:rsidR="00C42EA7" w:rsidRPr="00CC3CCD">
        <w:t xml:space="preserve"> Valsts pārvaldes iekārtas likumā noteikto</w:t>
      </w:r>
      <w:r w:rsidR="00F6185C">
        <w:t>s</w:t>
      </w:r>
      <w:r w:rsidR="00C42EA7" w:rsidRPr="00CC3CCD">
        <w:t xml:space="preserve"> valsts pārvaldes principu</w:t>
      </w:r>
      <w:r w:rsidR="00F6185C">
        <w:t xml:space="preserve">s, </w:t>
      </w:r>
      <w:r w:rsidR="00C42EA7" w:rsidRPr="00CC3CCD">
        <w:t>veicin</w:t>
      </w:r>
      <w:r w:rsidR="00F6185C">
        <w:t>ā</w:t>
      </w:r>
      <w:r w:rsidR="00C42EA7" w:rsidRPr="00CC3CCD">
        <w:t>t sabiedrības uzticību policijai.</w:t>
      </w:r>
      <w:r w:rsidR="00C42EA7">
        <w:t xml:space="preserve"> </w:t>
      </w:r>
      <w:r w:rsidRPr="00345E7C">
        <w:rPr>
          <w:color w:val="000000"/>
        </w:rPr>
        <w:t>Likumdevējs ir piešķīris iekšlietu ministram rīcības brīvību informācij</w:t>
      </w:r>
      <w:r w:rsidR="002B53C5">
        <w:rPr>
          <w:color w:val="000000"/>
        </w:rPr>
        <w:t>as par attiecīgā amata kandidātu izvērtēšanai</w:t>
      </w:r>
      <w:r w:rsidRPr="00345E7C">
        <w:rPr>
          <w:color w:val="000000"/>
        </w:rPr>
        <w:t xml:space="preserve"> un konkrētajam gadījumam atbilstoša lēmuma pieņemšanai</w:t>
      </w:r>
      <w:r w:rsidR="002B53C5">
        <w:rPr>
          <w:color w:val="000000"/>
        </w:rPr>
        <w:t>.</w:t>
      </w:r>
      <w:r w:rsidR="00F6185C">
        <w:rPr>
          <w:color w:val="000000"/>
        </w:rPr>
        <w:t xml:space="preserve"> </w:t>
      </w:r>
      <w:r w:rsidR="00C463A9">
        <w:rPr>
          <w:color w:val="000000"/>
        </w:rPr>
        <w:t xml:space="preserve">Atteikumam dod piekrišanu personas pieņemšanai darbā par pašvaldības policijas </w:t>
      </w:r>
      <w:r w:rsidR="00C463A9">
        <w:rPr>
          <w:color w:val="000000"/>
        </w:rPr>
        <w:lastRenderedPageBreak/>
        <w:t xml:space="preserve">priekšnieku vai viņa vietnieku jābūt individuāli izvērtētam. </w:t>
      </w:r>
      <w:r w:rsidR="00F6185C">
        <w:rPr>
          <w:color w:val="000000"/>
        </w:rPr>
        <w:t>Savukārt personai ir</w:t>
      </w:r>
      <w:r w:rsidR="00C463A9">
        <w:rPr>
          <w:color w:val="000000"/>
        </w:rPr>
        <w:t xml:space="preserve"> nodrošinātas tiesības </w:t>
      </w:r>
      <w:r w:rsidR="00F6185C">
        <w:rPr>
          <w:color w:val="000000"/>
        </w:rPr>
        <w:t>sev nelabvēlīgu ministra lēmumu pārsūdzēt administratīvajā tiesā.</w:t>
      </w:r>
    </w:p>
    <w:p w14:paraId="3EC7C252" w14:textId="728CF1B6" w:rsidR="00C42EA7" w:rsidRDefault="00C42EA7" w:rsidP="002A5839">
      <w:pPr>
        <w:spacing w:line="276" w:lineRule="auto"/>
        <w:ind w:firstLine="720"/>
        <w:jc w:val="both"/>
      </w:pPr>
      <w:r>
        <w:t xml:space="preserve">Ņemot vērā minēto, Senāts atzīst, ka piemērotā </w:t>
      </w:r>
      <w:r w:rsidRPr="00CC3CCD">
        <w:rPr>
          <w:color w:val="000000"/>
          <w:shd w:val="clear" w:color="auto" w:fill="FFFFFF"/>
        </w:rPr>
        <w:t>likuma „Par policiju” 21.panta trešā daļ</w:t>
      </w:r>
      <w:r>
        <w:rPr>
          <w:color w:val="000000"/>
          <w:shd w:val="clear" w:color="auto" w:fill="FFFFFF"/>
        </w:rPr>
        <w:t>a atbilst Satversmei. Līdz ar to nav pamata vērsties Satversmes tiesā ar attiecīgu pieteikumu.</w:t>
      </w:r>
    </w:p>
    <w:p w14:paraId="0748B4CC" w14:textId="77777777" w:rsidR="00F6185C" w:rsidRDefault="00F6185C" w:rsidP="002A5839">
      <w:pPr>
        <w:spacing w:line="276" w:lineRule="auto"/>
        <w:ind w:firstLine="720"/>
        <w:jc w:val="both"/>
      </w:pPr>
    </w:p>
    <w:p w14:paraId="662E0016" w14:textId="78310D4D" w:rsidR="00E64CE3" w:rsidRDefault="00C42EA7" w:rsidP="002A5839">
      <w:pPr>
        <w:spacing w:line="276" w:lineRule="auto"/>
        <w:ind w:firstLine="720"/>
        <w:jc w:val="both"/>
      </w:pPr>
      <w:r>
        <w:t>[9] </w:t>
      </w:r>
      <w:r w:rsidR="00F53619">
        <w:t>Senāts, izvērtējot kasācijas sūdzības argumentus, kas attiecas uz neizlemto lūgumu iepazīties ar visiem lieta</w:t>
      </w:r>
      <w:r w:rsidR="0005690E">
        <w:t>s</w:t>
      </w:r>
      <w:r w:rsidR="00F53619">
        <w:t xml:space="preserve"> materiāliem, </w:t>
      </w:r>
      <w:r w:rsidR="00403F6B">
        <w:t>objektīvās izmeklēšanas principa un procesuālā taisnīguma principa pārkāpumu</w:t>
      </w:r>
      <w:r w:rsidR="00F456B9">
        <w:t>, pārsūdzības nodrošināšanu ar tiesībām sniegt apsvērumus un tiesībām uz aizstāvību, secina, ka tie visi saistīti ar informācijas, kas bija pamat</w:t>
      </w:r>
      <w:r w:rsidR="00E64CE3">
        <w:t>ā</w:t>
      </w:r>
      <w:r w:rsidR="00F456B9">
        <w:t xml:space="preserve"> ministra atteikumam, </w:t>
      </w:r>
      <w:r w:rsidR="00E64CE3">
        <w:t>pieejamību</w:t>
      </w:r>
      <w:r w:rsidR="00F456B9">
        <w:t xml:space="preserve"> pieteicējam. Proti, pieteicējs argumentē, ka ierobežojums iepazīties ar </w:t>
      </w:r>
      <w:r w:rsidR="00E64CE3">
        <w:t>šo</w:t>
      </w:r>
      <w:r w:rsidR="00F456B9">
        <w:t xml:space="preserve"> informāciju pilnā apjomā, ir novedis pie minētajiem pieteicēja tiesību ierobežojumiem un tiesību normu pārkāpumiem apgabaltiesas spriedumā.</w:t>
      </w:r>
    </w:p>
    <w:p w14:paraId="1053E2AC" w14:textId="6D998FA1" w:rsidR="00F53619" w:rsidRDefault="00E64CE3" w:rsidP="002A5839">
      <w:pPr>
        <w:spacing w:line="276" w:lineRule="auto"/>
        <w:ind w:firstLine="720"/>
        <w:jc w:val="both"/>
      </w:pPr>
      <w:r>
        <w:t>Senāts atzīst, ka minētie argumenti nav pamatoti.</w:t>
      </w:r>
      <w:r w:rsidR="00F53619">
        <w:t xml:space="preserve"> </w:t>
      </w:r>
    </w:p>
    <w:p w14:paraId="4C04B4A2" w14:textId="7094B6BC" w:rsidR="00320607" w:rsidRDefault="00C42EA7" w:rsidP="002A5839">
      <w:pPr>
        <w:spacing w:line="276" w:lineRule="auto"/>
        <w:ind w:firstLine="720"/>
        <w:jc w:val="both"/>
      </w:pPr>
      <w:r>
        <w:t xml:space="preserve">Pieteicējs kļūdaini uzskata, </w:t>
      </w:r>
      <w:r w:rsidR="00E64CE3">
        <w:t>ka viņa lūgums iepazīties ar visiem lietas materiāliem</w:t>
      </w:r>
      <w:r w:rsidR="00B20C83">
        <w:t xml:space="preserve"> </w:t>
      </w:r>
      <w:r w:rsidR="00E64CE3">
        <w:t>apgabal</w:t>
      </w:r>
      <w:r>
        <w:t>tiesai bija jāizlemj saskaņā ar Administratīvā procesa likuma 158.panta noteikumiem</w:t>
      </w:r>
      <w:r w:rsidR="00E64CE3">
        <w:t>,</w:t>
      </w:r>
      <w:r w:rsidR="006B533E">
        <w:t xml:space="preserve"> jo šajā pantā ir regulēta kārtība, kādā izskatāms lūgums par pierādījumu nodrošināšanu pēc lietas ierosināšanas tiesā nevis </w:t>
      </w:r>
      <w:r w:rsidR="00E64CE3">
        <w:t xml:space="preserve">par </w:t>
      </w:r>
      <w:r w:rsidR="006B533E">
        <w:t>iepazīšanos ar lietas materiāliem</w:t>
      </w:r>
      <w:r>
        <w:t>.</w:t>
      </w:r>
      <w:r w:rsidR="00320607">
        <w:t xml:space="preserve"> </w:t>
      </w:r>
      <w:r w:rsidR="00F53619">
        <w:t xml:space="preserve">Jautājums par </w:t>
      </w:r>
      <w:r w:rsidR="00E64CE3">
        <w:t xml:space="preserve">pieteicēja </w:t>
      </w:r>
      <w:r w:rsidR="00F53619">
        <w:t xml:space="preserve">tiesībām iepazīties </w:t>
      </w:r>
      <w:r w:rsidR="00E64CE3">
        <w:t xml:space="preserve">ar </w:t>
      </w:r>
      <w:r w:rsidR="00C90075">
        <w:t xml:space="preserve">informāciju, kas bija pamatā ministra atteikumam, </w:t>
      </w:r>
      <w:r w:rsidR="00F53619">
        <w:t>ir vērtēts</w:t>
      </w:r>
      <w:r w:rsidR="00E64CE3">
        <w:t xml:space="preserve"> </w:t>
      </w:r>
      <w:r w:rsidR="00320607">
        <w:t xml:space="preserve">apgabaltiesas </w:t>
      </w:r>
      <w:r w:rsidR="00E64CE3">
        <w:t>spriedumā</w:t>
      </w:r>
      <w:r w:rsidR="00C90075">
        <w:t>, līdz ar to nav pamata secināt, ka pieteicēja lūgums nav izlemts</w:t>
      </w:r>
      <w:r w:rsidR="00E64CE3">
        <w:t>.</w:t>
      </w:r>
    </w:p>
    <w:p w14:paraId="1C8962AF" w14:textId="2F620BFF" w:rsidR="00320607" w:rsidRDefault="00320607" w:rsidP="002A5839">
      <w:pPr>
        <w:spacing w:line="276" w:lineRule="auto"/>
        <w:ind w:firstLine="720"/>
        <w:jc w:val="both"/>
      </w:pPr>
      <w:r>
        <w:t>Turklāt p</w:t>
      </w:r>
      <w:r w:rsidR="00E64CE3">
        <w:t>irmās instances tiesa, kuras sprieduma motivācijai pievienojās apgabaltiesa, lietas izskatīšana</w:t>
      </w:r>
      <w:r w:rsidR="003673DB">
        <w:t>s</w:t>
      </w:r>
      <w:r w:rsidR="00E64CE3">
        <w:t xml:space="preserve"> laikā </w:t>
      </w:r>
      <w:r w:rsidR="00B20C83">
        <w:t xml:space="preserve">lūdza iestādei vēlreiz izvērtēt pieteicēja tiesības tikt plašāk informētam par lietas apstākļiem vai to kopsavilkumu, </w:t>
      </w:r>
      <w:r w:rsidRPr="00345E7C">
        <w:rPr>
          <w:color w:val="000000"/>
        </w:rPr>
        <w:t>ciktāl to pieļauj likuma „Par valsts noslēpumu” un citu informācijas aizsardzību regulējošo normatīvo aktu prasības</w:t>
      </w:r>
      <w:r>
        <w:rPr>
          <w:color w:val="000000"/>
        </w:rPr>
        <w:t>.</w:t>
      </w:r>
      <w:r w:rsidR="00C90075">
        <w:rPr>
          <w:color w:val="000000"/>
        </w:rPr>
        <w:t xml:space="preserve"> Pieteicējam tika sniegts informācijas kopsavilkums, p</w:t>
      </w:r>
      <w:r>
        <w:rPr>
          <w:color w:val="000000"/>
        </w:rPr>
        <w:t>roti, ka ministra atteikuma pamatā ir operatīvā informācija par pieteicēja sociālajiem kontaktiem un vidi noteiktā laika posmā.</w:t>
      </w:r>
      <w:r w:rsidR="00C90075">
        <w:rPr>
          <w:color w:val="000000"/>
        </w:rPr>
        <w:t xml:space="preserve"> Minētais apliecina, ka, pretēji kasācijas sūdzībā norādītajam,</w:t>
      </w:r>
      <w:r w:rsidR="00B20C83">
        <w:t xml:space="preserve"> tiesa piemēroja objektīvās izmeklēšanas principu</w:t>
      </w:r>
      <w:r>
        <w:t>.</w:t>
      </w:r>
      <w:r w:rsidR="00B20C83">
        <w:t xml:space="preserve"> </w:t>
      </w:r>
      <w:r>
        <w:t>Nav arī pamata atzīt, ka ir pārkāpts procesuālā taisnīguma princips, jo, sniedzot p</w:t>
      </w:r>
      <w:r w:rsidR="00B20C83">
        <w:t xml:space="preserve">ieteicējam </w:t>
      </w:r>
      <w:r>
        <w:t>plašāku i</w:t>
      </w:r>
      <w:r w:rsidR="00E64CE3">
        <w:t>nform</w:t>
      </w:r>
      <w:r>
        <w:t xml:space="preserve">āciju, tika nodrošinātas pieteicēja tiesības sniegt savus apsvērumus par </w:t>
      </w:r>
      <w:r w:rsidR="00C90075">
        <w:t>šiem</w:t>
      </w:r>
      <w:r>
        <w:t xml:space="preserve"> apstākļiem.</w:t>
      </w:r>
    </w:p>
    <w:p w14:paraId="1B3AB294" w14:textId="47306A59" w:rsidR="00C42EA7" w:rsidRDefault="00320607" w:rsidP="002A5839">
      <w:pPr>
        <w:spacing w:line="276" w:lineRule="auto"/>
        <w:ind w:firstLine="720"/>
        <w:jc w:val="both"/>
        <w:rPr>
          <w:color w:val="000000"/>
        </w:rPr>
      </w:pPr>
      <w:r>
        <w:t xml:space="preserve">Savukārt pieteicēja arguments par Satversmes 92.panta pārkāpumu saistībā ar tiesībām uz advokāta palīdzību un tiesībām uzaicināt Administratīvā procesa likuma 29.pantā minēto pārstāvi ir izteikts apgalvojuma formā bez pamatojuma, kā apgabaltiesa jebkādā veidā būtu ierobežojusi pieteicēja tiesības uz aizstāvību. </w:t>
      </w:r>
    </w:p>
    <w:p w14:paraId="3B7C213A" w14:textId="77777777" w:rsidR="00320607" w:rsidRDefault="00320607" w:rsidP="002A5839">
      <w:pPr>
        <w:spacing w:line="276" w:lineRule="auto"/>
        <w:ind w:firstLine="720"/>
        <w:contextualSpacing/>
        <w:jc w:val="both"/>
        <w:rPr>
          <w:color w:val="000000"/>
        </w:rPr>
      </w:pPr>
    </w:p>
    <w:p w14:paraId="4471B577" w14:textId="5AAC2431" w:rsidR="00703DF1" w:rsidRDefault="00320607" w:rsidP="002A5839">
      <w:pPr>
        <w:spacing w:line="276" w:lineRule="auto"/>
        <w:ind w:firstLine="720"/>
        <w:jc w:val="both"/>
      </w:pPr>
      <w:r w:rsidRPr="00AD4D5D">
        <w:t>[10] </w:t>
      </w:r>
      <w:r w:rsidR="00AD4D5D">
        <w:t xml:space="preserve">Pieteicējs izsaka argumentu, ka </w:t>
      </w:r>
      <w:r w:rsidR="00AD4D5D" w:rsidRPr="00AD4D5D">
        <w:t>informācij</w:t>
      </w:r>
      <w:r w:rsidR="00AD4D5D">
        <w:t>as</w:t>
      </w:r>
      <w:r w:rsidR="00AD4D5D" w:rsidRPr="00AD4D5D">
        <w:t>, kas</w:t>
      </w:r>
      <w:r w:rsidR="00AD4D5D">
        <w:t xml:space="preserve"> klasificēta kā slepena un kuras aprite ir ierobežot</w:t>
      </w:r>
      <w:r w:rsidR="00703DF1">
        <w:t>a</w:t>
      </w:r>
      <w:r w:rsidR="00AD4D5D">
        <w:t xml:space="preserve"> saskaņā ar likumu „Par </w:t>
      </w:r>
      <w:r w:rsidR="00AD4D5D" w:rsidRPr="00AD4D5D">
        <w:t>valsts noslēpum</w:t>
      </w:r>
      <w:r w:rsidR="00AD4D5D">
        <w:t xml:space="preserve">u”, </w:t>
      </w:r>
      <w:r w:rsidR="00AD4D5D" w:rsidRPr="00AD4D5D">
        <w:t>nepieejamība neļauj uzzināt pilnu ministra atteikuma pamatojumu un pienācīgi aizstāvēt savas tiesības tiesā, kas ir Satversmes 92.panta pirmajā teikumā nostiprināto tiesību uz taisnīgu tiesu ierobežojums.</w:t>
      </w:r>
    </w:p>
    <w:p w14:paraId="6800D14B" w14:textId="77777777" w:rsidR="002C0C58" w:rsidRDefault="002C0C58" w:rsidP="002A5839">
      <w:pPr>
        <w:spacing w:line="276" w:lineRule="auto"/>
        <w:ind w:firstLine="720"/>
        <w:contextualSpacing/>
        <w:jc w:val="both"/>
        <w:rPr>
          <w:color w:val="000000"/>
        </w:rPr>
      </w:pPr>
      <w:r w:rsidRPr="00513A94">
        <w:rPr>
          <w:color w:val="000000"/>
        </w:rPr>
        <w:t xml:space="preserve">Satversmes 92.pantā minētais jēdziens </w:t>
      </w:r>
      <w:r>
        <w:rPr>
          <w:color w:val="000000"/>
        </w:rPr>
        <w:t>„</w:t>
      </w:r>
      <w:r w:rsidRPr="00513A94">
        <w:rPr>
          <w:color w:val="000000"/>
        </w:rPr>
        <w:t>taisnīga tiesa</w:t>
      </w:r>
      <w:r>
        <w:rPr>
          <w:color w:val="000000"/>
        </w:rPr>
        <w:t>”</w:t>
      </w:r>
      <w:r w:rsidRPr="00513A94">
        <w:rPr>
          <w:color w:val="000000"/>
        </w:rPr>
        <w:t xml:space="preserve"> ietver divus aspektus, proti, </w:t>
      </w:r>
      <w:r>
        <w:rPr>
          <w:color w:val="000000"/>
        </w:rPr>
        <w:t>„</w:t>
      </w:r>
      <w:r w:rsidRPr="00513A94">
        <w:rPr>
          <w:color w:val="000000"/>
        </w:rPr>
        <w:t>taisnīga tiesa</w:t>
      </w:r>
      <w:r>
        <w:rPr>
          <w:color w:val="000000"/>
        </w:rPr>
        <w:t>”</w:t>
      </w:r>
      <w:r w:rsidRPr="00513A94">
        <w:rPr>
          <w:color w:val="000000"/>
        </w:rPr>
        <w:t xml:space="preserve"> kā neatkarīga tiesu varas institūcija, kas izskata lietu, un </w:t>
      </w:r>
      <w:r>
        <w:rPr>
          <w:color w:val="000000"/>
        </w:rPr>
        <w:t>„</w:t>
      </w:r>
      <w:r w:rsidRPr="00513A94">
        <w:rPr>
          <w:color w:val="000000"/>
        </w:rPr>
        <w:t>taisnīga tiesa</w:t>
      </w:r>
      <w:r>
        <w:rPr>
          <w:color w:val="000000"/>
        </w:rPr>
        <w:t>”</w:t>
      </w:r>
      <w:r w:rsidRPr="00513A94">
        <w:rPr>
          <w:color w:val="000000"/>
        </w:rPr>
        <w:t xml:space="preserve"> kā pienācīgs, tiesiskai valstij atbilstošs process, kurā šī lieta tiek izskatīta. Tātad šai Satversmes normai ir gan materiāls, gan procesuāls raksturs. Tas nozīmē, ka ikvienam ir </w:t>
      </w:r>
      <w:r w:rsidRPr="00513A94">
        <w:rPr>
          <w:color w:val="000000"/>
        </w:rPr>
        <w:lastRenderedPageBreak/>
        <w:t>tiesības ne tikai uz taisnīgu tiesas procesu, bet arī uz pieeju tiesai (</w:t>
      </w:r>
      <w:r w:rsidRPr="00C331C0">
        <w:rPr>
          <w:i/>
          <w:iCs/>
          <w:color w:val="000000"/>
        </w:rPr>
        <w:t>Satversmes tiesas 2002.gada 5.marta sprieduma lietā Nr. </w:t>
      </w:r>
      <w:hyperlink r:id="rId12" w:history="1">
        <w:r w:rsidRPr="00EA5CA3">
          <w:rPr>
            <w:rStyle w:val="Hyperlink"/>
            <w:i/>
            <w:iCs/>
          </w:rPr>
          <w:t>2001-10-01</w:t>
        </w:r>
      </w:hyperlink>
      <w:r>
        <w:rPr>
          <w:i/>
          <w:iCs/>
          <w:color w:val="000000"/>
        </w:rPr>
        <w:t xml:space="preserve"> secinājumu daļas</w:t>
      </w:r>
      <w:r w:rsidRPr="00C331C0">
        <w:rPr>
          <w:i/>
          <w:iCs/>
          <w:color w:val="000000"/>
        </w:rPr>
        <w:t xml:space="preserve"> 2.punkt</w:t>
      </w:r>
      <w:r>
        <w:rPr>
          <w:i/>
          <w:iCs/>
          <w:color w:val="000000"/>
        </w:rPr>
        <w:t>s</w:t>
      </w:r>
      <w:r w:rsidRPr="00C331C0">
        <w:rPr>
          <w:i/>
          <w:iCs/>
          <w:color w:val="000000"/>
        </w:rPr>
        <w:t xml:space="preserve"> un 2005.gada 17.oktobra sprieduma lietā Nr. </w:t>
      </w:r>
      <w:hyperlink r:id="rId13" w:history="1">
        <w:r w:rsidRPr="00EA5CA3">
          <w:rPr>
            <w:rStyle w:val="Hyperlink"/>
            <w:i/>
            <w:iCs/>
          </w:rPr>
          <w:t>2005-07-01</w:t>
        </w:r>
      </w:hyperlink>
      <w:r w:rsidRPr="00C331C0">
        <w:rPr>
          <w:i/>
          <w:iCs/>
          <w:color w:val="000000"/>
        </w:rPr>
        <w:t xml:space="preserve"> 6.punkt</w:t>
      </w:r>
      <w:r>
        <w:rPr>
          <w:i/>
          <w:iCs/>
          <w:color w:val="000000"/>
        </w:rPr>
        <w:t>s</w:t>
      </w:r>
      <w:r w:rsidRPr="00513A94">
        <w:rPr>
          <w:color w:val="000000"/>
        </w:rPr>
        <w:t>).</w:t>
      </w:r>
    </w:p>
    <w:p w14:paraId="026A24AF" w14:textId="77777777" w:rsidR="002C0C58" w:rsidRDefault="002C0C58" w:rsidP="002A5839">
      <w:pPr>
        <w:spacing w:line="276" w:lineRule="auto"/>
        <w:ind w:firstLine="720"/>
        <w:jc w:val="both"/>
        <w:rPr>
          <w:color w:val="000000"/>
        </w:rPr>
      </w:pPr>
      <w:r w:rsidRPr="00345E7C">
        <w:rPr>
          <w:color w:val="000000"/>
        </w:rPr>
        <w:t>Senāts pārbaudīs pieteicēja apsvērumu pamatotību, lai gūtu pārliecību, ka ir ievērotas pieteicēja tiesības uz taisnīgu tiesu</w:t>
      </w:r>
      <w:r>
        <w:rPr>
          <w:color w:val="000000"/>
        </w:rPr>
        <w:t>.</w:t>
      </w:r>
    </w:p>
    <w:p w14:paraId="35B11ABC" w14:textId="77777777" w:rsidR="001A1F0C" w:rsidRDefault="001A1F0C" w:rsidP="002A5839">
      <w:pPr>
        <w:spacing w:line="276" w:lineRule="auto"/>
        <w:ind w:firstLine="720"/>
        <w:jc w:val="both"/>
      </w:pPr>
    </w:p>
    <w:p w14:paraId="4FAC769F" w14:textId="77777777" w:rsidR="002C0C58" w:rsidRDefault="001A1F0C" w:rsidP="002A5839">
      <w:pPr>
        <w:spacing w:line="276" w:lineRule="auto"/>
        <w:ind w:firstLine="720"/>
        <w:jc w:val="both"/>
      </w:pPr>
      <w:r>
        <w:rPr>
          <w:color w:val="000000"/>
        </w:rPr>
        <w:t>[11] </w:t>
      </w:r>
      <w:r w:rsidR="002C0C58" w:rsidRPr="00345E7C">
        <w:rPr>
          <w:color w:val="000000"/>
        </w:rPr>
        <w:t>Satversmes tiesa atzinusi, ka likumdevējs var paredzēt personas tiesību uz taisnīgu tiesu ierobežojumus, lai nodrošinātu informācijas, kas ir valsts noslēpums, aizsardzību (</w:t>
      </w:r>
      <w:r w:rsidR="002C0C58" w:rsidRPr="00345E7C">
        <w:rPr>
          <w:i/>
          <w:iCs/>
          <w:color w:val="000000"/>
        </w:rPr>
        <w:t>Satversmes tiesas 2020.gada 25.</w:t>
      </w:r>
      <w:r w:rsidR="002C0C58" w:rsidRPr="00EA48DF">
        <w:rPr>
          <w:i/>
          <w:iCs/>
          <w:color w:val="000000"/>
        </w:rPr>
        <w:t>septembra sprieduma lietā Nr. </w:t>
      </w:r>
      <w:hyperlink r:id="rId14" w:history="1">
        <w:r w:rsidR="002C0C58" w:rsidRPr="00EA48DF">
          <w:rPr>
            <w:i/>
            <w:iCs/>
            <w:color w:val="0000FF"/>
            <w:u w:val="single"/>
          </w:rPr>
          <w:t>2019-35-01</w:t>
        </w:r>
      </w:hyperlink>
      <w:r w:rsidR="002C0C58" w:rsidRPr="00EA48DF">
        <w:rPr>
          <w:i/>
          <w:iCs/>
          <w:color w:val="000000"/>
        </w:rPr>
        <w:t xml:space="preserve"> 15.punkts</w:t>
      </w:r>
      <w:r w:rsidR="002C0C58" w:rsidRPr="00EA48DF">
        <w:rPr>
          <w:color w:val="000000"/>
        </w:rPr>
        <w:t>).</w:t>
      </w:r>
    </w:p>
    <w:p w14:paraId="264F981E" w14:textId="77777777" w:rsidR="002C0C58" w:rsidRDefault="002C0C58" w:rsidP="002A5839">
      <w:pPr>
        <w:spacing w:line="276" w:lineRule="auto"/>
        <w:ind w:firstLine="720"/>
        <w:contextualSpacing/>
        <w:jc w:val="both"/>
        <w:rPr>
          <w:color w:val="000000"/>
        </w:rPr>
      </w:pPr>
      <w:r w:rsidRPr="00EA48DF">
        <w:rPr>
          <w:color w:val="000000"/>
        </w:rPr>
        <w:t>Vienlaikus, lai arī tiesību uz taisnīgu tiesu piemērošanas robežas var tikt sašaurinātas lietās, kas attiecas uz valsts drošību, tomēr arī šādās lietās ir jāpastāv noteiktām tiesību aizsardzības garantijām (</w:t>
      </w:r>
      <w:r w:rsidRPr="00EA48DF">
        <w:rPr>
          <w:i/>
          <w:iCs/>
          <w:color w:val="000000"/>
        </w:rPr>
        <w:t>Satversmes tiesas 2004.gada 6.decembra sprieduma lietā Nr. </w:t>
      </w:r>
      <w:hyperlink r:id="rId15" w:history="1">
        <w:r w:rsidRPr="00EA48DF">
          <w:rPr>
            <w:i/>
            <w:iCs/>
            <w:color w:val="0000FF"/>
            <w:u w:val="single"/>
          </w:rPr>
          <w:t>2004-14-01</w:t>
        </w:r>
      </w:hyperlink>
      <w:r w:rsidRPr="00EA48DF">
        <w:rPr>
          <w:i/>
          <w:iCs/>
          <w:color w:val="000000"/>
        </w:rPr>
        <w:t xml:space="preserve"> 10.punkts</w:t>
      </w:r>
      <w:r w:rsidRPr="00EA48DF">
        <w:rPr>
          <w:color w:val="000000"/>
        </w:rPr>
        <w:t>).</w:t>
      </w:r>
      <w:r>
        <w:rPr>
          <w:color w:val="000000"/>
        </w:rPr>
        <w:t xml:space="preserve"> </w:t>
      </w:r>
      <w:r w:rsidRPr="00923CE7">
        <w:rPr>
          <w:color w:val="000000"/>
        </w:rPr>
        <w:t>Tiesiskas valsts princips prasa, lai lietas tiktu izskatītas tādā kārtībā, kas nodrošinātu to taisnīgu un objektīvu izspriešanu (</w:t>
      </w:r>
      <w:r w:rsidRPr="00923CE7">
        <w:rPr>
          <w:i/>
          <w:iCs/>
          <w:color w:val="000000"/>
        </w:rPr>
        <w:t>Satversmes tiesas 2014.gada 9.janvāra sprieduma lietā Nr. </w:t>
      </w:r>
      <w:hyperlink r:id="rId16" w:history="1">
        <w:r w:rsidRPr="00EA5CA3">
          <w:rPr>
            <w:rStyle w:val="Hyperlink"/>
            <w:i/>
            <w:iCs/>
          </w:rPr>
          <w:t>2013-08-01</w:t>
        </w:r>
      </w:hyperlink>
      <w:r w:rsidRPr="00923CE7">
        <w:rPr>
          <w:i/>
          <w:iCs/>
          <w:color w:val="000000"/>
        </w:rPr>
        <w:t xml:space="preserve"> 6.punkt</w:t>
      </w:r>
      <w:r>
        <w:rPr>
          <w:i/>
          <w:iCs/>
          <w:color w:val="000000"/>
        </w:rPr>
        <w:t>s</w:t>
      </w:r>
      <w:r w:rsidRPr="00923CE7">
        <w:rPr>
          <w:color w:val="000000"/>
        </w:rPr>
        <w:t>).</w:t>
      </w:r>
    </w:p>
    <w:p w14:paraId="568B6F05" w14:textId="77777777" w:rsidR="002C0C58" w:rsidRDefault="002C0C58" w:rsidP="002A5839">
      <w:pPr>
        <w:spacing w:line="276" w:lineRule="auto"/>
        <w:ind w:firstLine="720"/>
        <w:contextualSpacing/>
        <w:jc w:val="both"/>
        <w:rPr>
          <w:color w:val="000000"/>
        </w:rPr>
      </w:pPr>
      <w:r w:rsidRPr="00345E7C">
        <w:rPr>
          <w:color w:val="000000"/>
        </w:rPr>
        <w:t>Lai pārbaudītu, vai ar noteikto ierobežojumu pieteicēja</w:t>
      </w:r>
      <w:r>
        <w:rPr>
          <w:color w:val="000000"/>
        </w:rPr>
        <w:t>m</w:t>
      </w:r>
      <w:r w:rsidRPr="00345E7C">
        <w:rPr>
          <w:color w:val="000000"/>
        </w:rPr>
        <w:t xml:space="preserve"> iepazīties ar informāciju, kas ir </w:t>
      </w:r>
      <w:r w:rsidRPr="00327C58">
        <w:rPr>
          <w:color w:val="000000"/>
        </w:rPr>
        <w:t>valsts noslēpums</w:t>
      </w:r>
      <w:r w:rsidRPr="00345E7C">
        <w:rPr>
          <w:color w:val="000000"/>
        </w:rPr>
        <w:t>, nav pārkāptas tiesības uz taisnīgu tiesu, ir nepieciešams izvērtēt visu procesu kopumā, ievērojot arī noteikto ierobežojumu līdzsvarojošos pasākumus (</w:t>
      </w:r>
      <w:r w:rsidRPr="00345E7C">
        <w:rPr>
          <w:i/>
          <w:iCs/>
          <w:color w:val="000000"/>
        </w:rPr>
        <w:t>Eiropas Cilvēktiesību tiesas (Lielā palāta) 2017.gada 19.septembra sprieduma lietā „</w:t>
      </w:r>
      <w:proofErr w:type="spellStart"/>
      <w:r w:rsidRPr="00345E7C">
        <w:rPr>
          <w:i/>
          <w:iCs/>
          <w:color w:val="000000"/>
        </w:rPr>
        <w:t>Regner</w:t>
      </w:r>
      <w:proofErr w:type="spellEnd"/>
      <w:r w:rsidRPr="00345E7C">
        <w:rPr>
          <w:i/>
          <w:iCs/>
          <w:color w:val="000000"/>
        </w:rPr>
        <w:t xml:space="preserve"> v. </w:t>
      </w:r>
      <w:proofErr w:type="spellStart"/>
      <w:r w:rsidRPr="00345E7C">
        <w:rPr>
          <w:i/>
          <w:iCs/>
          <w:color w:val="000000"/>
        </w:rPr>
        <w:t>the</w:t>
      </w:r>
      <w:proofErr w:type="spellEnd"/>
      <w:r w:rsidRPr="00345E7C">
        <w:rPr>
          <w:i/>
          <w:iCs/>
          <w:color w:val="000000"/>
        </w:rPr>
        <w:t xml:space="preserve"> </w:t>
      </w:r>
      <w:proofErr w:type="spellStart"/>
      <w:r w:rsidRPr="00345E7C">
        <w:rPr>
          <w:i/>
          <w:iCs/>
          <w:color w:val="000000"/>
        </w:rPr>
        <w:t>Czech</w:t>
      </w:r>
      <w:proofErr w:type="spellEnd"/>
      <w:r w:rsidRPr="00345E7C">
        <w:rPr>
          <w:i/>
          <w:iCs/>
          <w:color w:val="000000"/>
        </w:rPr>
        <w:t xml:space="preserve"> </w:t>
      </w:r>
      <w:proofErr w:type="spellStart"/>
      <w:r w:rsidRPr="00345E7C">
        <w:rPr>
          <w:i/>
          <w:iCs/>
          <w:color w:val="000000"/>
        </w:rPr>
        <w:t>Republic</w:t>
      </w:r>
      <w:proofErr w:type="spellEnd"/>
      <w:r w:rsidRPr="00345E7C">
        <w:rPr>
          <w:i/>
          <w:iCs/>
          <w:color w:val="000000"/>
        </w:rPr>
        <w:t>”, pieteikuma Nr. </w:t>
      </w:r>
      <w:hyperlink r:id="rId17" w:anchor="{%22languageisocode%22:[%22ENG%22],%22appno%22:[%2235289/11%22],%22documentcollectionid2%22:[%22GRANDCHAMBER%22],%22itemid%22:[%22001-177299%22]}" w:history="1">
        <w:r w:rsidRPr="00345E7C">
          <w:rPr>
            <w:i/>
            <w:iCs/>
            <w:color w:val="0000FF"/>
            <w:u w:val="single"/>
          </w:rPr>
          <w:t>35289/11</w:t>
        </w:r>
      </w:hyperlink>
      <w:r w:rsidRPr="00345E7C">
        <w:rPr>
          <w:i/>
          <w:iCs/>
          <w:color w:val="000000"/>
        </w:rPr>
        <w:t>, 150.</w:t>
      </w:r>
      <w:r w:rsidRPr="007C5BBB">
        <w:rPr>
          <w:i/>
          <w:iCs/>
          <w:color w:val="000000"/>
        </w:rPr>
        <w:t>–</w:t>
      </w:r>
      <w:r w:rsidRPr="00345E7C">
        <w:rPr>
          <w:i/>
          <w:iCs/>
          <w:color w:val="000000"/>
        </w:rPr>
        <w:t>151.punkts</w:t>
      </w:r>
      <w:r w:rsidRPr="00345E7C">
        <w:rPr>
          <w:color w:val="000000"/>
        </w:rPr>
        <w:t>).</w:t>
      </w:r>
    </w:p>
    <w:p w14:paraId="7FC026A2" w14:textId="3E2EEE87" w:rsidR="0024295F" w:rsidRDefault="0024295F" w:rsidP="002A5839">
      <w:pPr>
        <w:spacing w:line="276" w:lineRule="auto"/>
        <w:ind w:firstLine="720"/>
        <w:jc w:val="both"/>
      </w:pPr>
    </w:p>
    <w:p w14:paraId="18977BA6" w14:textId="4C23C859" w:rsidR="0024295F" w:rsidRDefault="0024295F" w:rsidP="002A5839">
      <w:pPr>
        <w:spacing w:line="276" w:lineRule="auto"/>
        <w:ind w:firstLine="720"/>
        <w:contextualSpacing/>
        <w:jc w:val="both"/>
        <w:rPr>
          <w:color w:val="000000"/>
        </w:rPr>
      </w:pPr>
      <w:r>
        <w:t>[12] </w:t>
      </w:r>
      <w:r w:rsidR="00703DF1" w:rsidRPr="0024295F">
        <w:t>Pirmkārt,</w:t>
      </w:r>
      <w:r w:rsidRPr="0024295F">
        <w:t xml:space="preserve"> </w:t>
      </w:r>
      <w:r w:rsidRPr="00345E7C">
        <w:rPr>
          <w:color w:val="000000"/>
        </w:rPr>
        <w:t>Senāts pārbaudīs, vai informācijai, kas nav pieejama pieteicēja</w:t>
      </w:r>
      <w:r>
        <w:rPr>
          <w:color w:val="000000"/>
        </w:rPr>
        <w:t>m,</w:t>
      </w:r>
      <w:r w:rsidRPr="00345E7C">
        <w:rPr>
          <w:color w:val="000000"/>
        </w:rPr>
        <w:t xml:space="preserve"> valsts noslēpuma statuss ir noteikts pamatoti</w:t>
      </w:r>
      <w:r>
        <w:rPr>
          <w:color w:val="000000"/>
        </w:rPr>
        <w:t>.</w:t>
      </w:r>
    </w:p>
    <w:p w14:paraId="74188FE2" w14:textId="43C9530F" w:rsidR="0024295F" w:rsidRDefault="0024295F" w:rsidP="002A5839">
      <w:pPr>
        <w:spacing w:line="276" w:lineRule="auto"/>
        <w:ind w:firstLine="720"/>
        <w:contextualSpacing/>
        <w:jc w:val="both"/>
        <w:rPr>
          <w:color w:val="000000"/>
        </w:rPr>
      </w:pPr>
      <w:r w:rsidRPr="0024295F">
        <w:t>Administratīvā procesa likuma 108.</w:t>
      </w:r>
      <w:r w:rsidRPr="0024295F">
        <w:rPr>
          <w:vertAlign w:val="superscript"/>
        </w:rPr>
        <w:t>1</w:t>
      </w:r>
      <w:r w:rsidRPr="0024295F">
        <w:t>panta trešā daļa noteic, ka lietas materiāliem nepievieno un tiesa nolēmumā neatspoguļo informāciju, kas ir valsts noslēpuma objekts, bet norāda, ka ar šo informāciju, ir iepazinusies.</w:t>
      </w:r>
      <w:r>
        <w:t xml:space="preserve"> </w:t>
      </w:r>
      <w:r w:rsidRPr="0024295F">
        <w:t>Gan pirmās instances tiesa, gan apelācijas instances tiesa lietas izskatīšanas gaitā iepazinās ar Valsts policijas operatīvās izstrādes lietas materiālu, kas ir valsts noslēpum</w:t>
      </w:r>
      <w:r w:rsidR="001C04C2">
        <w:t>s</w:t>
      </w:r>
      <w:r w:rsidR="001A1F0C">
        <w:t xml:space="preserve">, </w:t>
      </w:r>
      <w:r w:rsidR="001A1F0C" w:rsidRPr="0024295F">
        <w:t>pilnu saturu</w:t>
      </w:r>
      <w:r w:rsidRPr="0024295F">
        <w:t>. Arī Senāts ir iepazinies ar šiem materiāliem.</w:t>
      </w:r>
    </w:p>
    <w:p w14:paraId="7F9E4613" w14:textId="70A4DAE9" w:rsidR="0024295F" w:rsidRPr="00AD4D5D" w:rsidRDefault="008D62FD" w:rsidP="002A5839">
      <w:pPr>
        <w:spacing w:line="276" w:lineRule="auto"/>
        <w:ind w:firstLine="720"/>
        <w:jc w:val="both"/>
      </w:pPr>
      <w:r>
        <w:rPr>
          <w:color w:val="000000"/>
        </w:rPr>
        <w:t xml:space="preserve">Saskaņā ar </w:t>
      </w:r>
      <w:r w:rsidRPr="00AD4D5D">
        <w:t>Operatīvās darbības likuma</w:t>
      </w:r>
      <w:r>
        <w:t xml:space="preserve"> 24.panta pirmo daļu </w:t>
      </w:r>
      <w:r w:rsidR="002041F9">
        <w:t>o</w:t>
      </w:r>
      <w:r w:rsidRPr="00AD4D5D">
        <w:rPr>
          <w:shd w:val="clear" w:color="auto" w:fill="FFFFFF"/>
        </w:rPr>
        <w:t>peratīvās darbības pasākumu gaitā iegūtā informācija ir klasificējama kā ierobežotas pieejamības informācija vai valsts noslēpuma objekts</w:t>
      </w:r>
      <w:r w:rsidR="001C04C2">
        <w:rPr>
          <w:shd w:val="clear" w:color="auto" w:fill="FFFFFF"/>
        </w:rPr>
        <w:t>. Saskaņā ar likuma „Par valsts noslēpumu” 4.panta trešo daļu par</w:t>
      </w:r>
      <w:r w:rsidR="0024295F" w:rsidRPr="00AD4D5D">
        <w:t xml:space="preserve"> slepenu atzīstama tāda informācija, kura </w:t>
      </w:r>
      <w:proofErr w:type="spellStart"/>
      <w:r w:rsidR="001C04C2">
        <w:t>citstarp</w:t>
      </w:r>
      <w:proofErr w:type="spellEnd"/>
      <w:r w:rsidR="001C04C2">
        <w:t xml:space="preserve"> </w:t>
      </w:r>
      <w:r w:rsidR="0024295F" w:rsidRPr="00AD4D5D">
        <w:t>attiecas uz operatīvo darbību un kuras nozaudēšana vai nelikumīga izpaušana var izraisīt operatīvās darbības subjektu darba organizācijas, metožu, taktikas vai operatīvās uzskaites satura atklāšanu</w:t>
      </w:r>
      <w:r w:rsidR="001C04C2">
        <w:t xml:space="preserve"> (</w:t>
      </w:r>
      <w:r w:rsidR="001C04C2" w:rsidRPr="001C04C2">
        <w:rPr>
          <w:i/>
          <w:iCs/>
        </w:rPr>
        <w:t>4.punkts</w:t>
      </w:r>
      <w:r w:rsidR="001C04C2">
        <w:t xml:space="preserve">) vai </w:t>
      </w:r>
      <w:r w:rsidR="0024295F" w:rsidRPr="00AD4D5D">
        <w:t>svarīgu operatīvās darbības pasākumu plānu vai šajā darbībā iesaistīto personu identitātes atklāšanu</w:t>
      </w:r>
      <w:r w:rsidR="001C04C2">
        <w:t xml:space="preserve"> (</w:t>
      </w:r>
      <w:r w:rsidR="001C04C2" w:rsidRPr="001C04C2">
        <w:rPr>
          <w:i/>
          <w:iCs/>
        </w:rPr>
        <w:t>5.punkts</w:t>
      </w:r>
      <w:r w:rsidR="001C04C2">
        <w:t>).</w:t>
      </w:r>
    </w:p>
    <w:p w14:paraId="3581CF58" w14:textId="531647E0" w:rsidR="00703DF1" w:rsidRDefault="00CF2FA6" w:rsidP="002A5839">
      <w:pPr>
        <w:spacing w:line="276" w:lineRule="auto"/>
        <w:ind w:firstLine="720"/>
        <w:contextualSpacing/>
        <w:jc w:val="both"/>
        <w:rPr>
          <w:color w:val="000000"/>
        </w:rPr>
      </w:pPr>
      <w:r>
        <w:rPr>
          <w:color w:val="000000"/>
        </w:rPr>
        <w:t xml:space="preserve">Iepazīstoties ar informāciju, kas bija pamatā ministra atteikumam, apgabaltiesa ir atzinusi, ka no operatīvās informācijas nav iespējams nodalīt kādu daļu, lai pēc tam nesagrautu tās valstij svarīgās intereses, kāpēc informācija ir klasificēta kā slepena. Senāts atzīst par pamatotu </w:t>
      </w:r>
      <w:r w:rsidR="00302266">
        <w:rPr>
          <w:color w:val="000000"/>
        </w:rPr>
        <w:t xml:space="preserve">minēto </w:t>
      </w:r>
      <w:r>
        <w:rPr>
          <w:color w:val="000000"/>
        </w:rPr>
        <w:t xml:space="preserve">apgabaltiesas secinājumu, jo no </w:t>
      </w:r>
      <w:r w:rsidR="00703DF1" w:rsidRPr="00345E7C">
        <w:rPr>
          <w:color w:val="000000"/>
        </w:rPr>
        <w:t>šīs informācijas pieteicēj</w:t>
      </w:r>
      <w:r>
        <w:rPr>
          <w:color w:val="000000"/>
        </w:rPr>
        <w:t>s</w:t>
      </w:r>
      <w:r w:rsidR="00703DF1" w:rsidRPr="00345E7C">
        <w:rPr>
          <w:color w:val="000000"/>
        </w:rPr>
        <w:t xml:space="preserve"> varētu noskaidrot, kas </w:t>
      </w:r>
      <w:r>
        <w:rPr>
          <w:color w:val="000000"/>
        </w:rPr>
        <w:t>Valsts policijai ir</w:t>
      </w:r>
      <w:r w:rsidR="00703DF1" w:rsidRPr="00345E7C">
        <w:rPr>
          <w:color w:val="000000"/>
        </w:rPr>
        <w:t xml:space="preserve"> zinām</w:t>
      </w:r>
      <w:r w:rsidR="000B0176">
        <w:rPr>
          <w:color w:val="000000"/>
        </w:rPr>
        <w:t>s</w:t>
      </w:r>
      <w:r w:rsidR="00703DF1" w:rsidRPr="00345E7C">
        <w:rPr>
          <w:color w:val="000000"/>
        </w:rPr>
        <w:t xml:space="preserve"> par viņu, šīs informācijas avotu un iespējamās ieguves metodes. Šajā gadījumā attiecīgais ierobežojums ir pamatots un nepieciešams.</w:t>
      </w:r>
    </w:p>
    <w:p w14:paraId="0B62F776" w14:textId="77777777" w:rsidR="00302266" w:rsidRDefault="00302266" w:rsidP="002A5839">
      <w:pPr>
        <w:spacing w:line="276" w:lineRule="auto"/>
        <w:ind w:firstLine="720"/>
        <w:contextualSpacing/>
        <w:jc w:val="both"/>
        <w:rPr>
          <w:color w:val="000000"/>
        </w:rPr>
      </w:pPr>
    </w:p>
    <w:p w14:paraId="6D34F0C5" w14:textId="77777777" w:rsidR="002C0C58" w:rsidRDefault="00302266" w:rsidP="002A5839">
      <w:pPr>
        <w:spacing w:line="276" w:lineRule="auto"/>
        <w:ind w:firstLine="720"/>
        <w:jc w:val="both"/>
      </w:pPr>
      <w:r w:rsidRPr="00302266">
        <w:lastRenderedPageBreak/>
        <w:t>[13] </w:t>
      </w:r>
      <w:r w:rsidR="00703DF1" w:rsidRPr="00302266">
        <w:t>Otrkārt,</w:t>
      </w:r>
      <w:r w:rsidR="00AE2ADC" w:rsidRPr="00AE2ADC">
        <w:t xml:space="preserve"> </w:t>
      </w:r>
      <w:r w:rsidR="00AE2ADC">
        <w:t>Senāts vērtēs, vai</w:t>
      </w:r>
      <w:r w:rsidR="00AE2ADC" w:rsidRPr="00EE0C90">
        <w:t xml:space="preserve"> p</w:t>
      </w:r>
      <w:r w:rsidR="00AE2ADC">
        <w:t>ieteicēja</w:t>
      </w:r>
      <w:r w:rsidR="00AE2ADC" w:rsidRPr="00EE0C90">
        <w:t xml:space="preserve"> tiesības tikt informēta</w:t>
      </w:r>
      <w:r w:rsidR="00AE2ADC">
        <w:t>m</w:t>
      </w:r>
      <w:r w:rsidR="00AE2ADC" w:rsidRPr="00EE0C90">
        <w:t xml:space="preserve"> par </w:t>
      </w:r>
      <w:r w:rsidR="00AE2ADC">
        <w:t>ministra atteikuma p</w:t>
      </w:r>
      <w:r w:rsidR="00AE2ADC" w:rsidRPr="00EE0C90">
        <w:t>amatā esošajiem apstākļiem, tāpat kā tiesības tikt uzklausīta</w:t>
      </w:r>
      <w:r w:rsidR="00AE2ADC">
        <w:t>m</w:t>
      </w:r>
      <w:r w:rsidR="00AE2ADC" w:rsidRPr="00EE0C90">
        <w:t>, ir nodrošinā</w:t>
      </w:r>
      <w:r w:rsidR="00AE2ADC">
        <w:t>tas</w:t>
      </w:r>
      <w:r w:rsidR="00AE2ADC" w:rsidRPr="00EE0C90">
        <w:t xml:space="preserve"> tādā apjomā, lai p</w:t>
      </w:r>
      <w:r w:rsidR="00AE2ADC">
        <w:t>ieteicējs</w:t>
      </w:r>
      <w:r w:rsidR="00AE2ADC" w:rsidRPr="00EE0C90">
        <w:t xml:space="preserve"> varētu īstenot savas tiesības uz taisnīgu tiesu. Piemēram, </w:t>
      </w:r>
      <w:r w:rsidR="00AE2ADC">
        <w:t>Eiropas Cilvēktiesību tiesa</w:t>
      </w:r>
      <w:r w:rsidR="00AE2ADC" w:rsidRPr="00EE0C90">
        <w:t xml:space="preserve"> ir secinājusi, ka valsts drošības interešu aizsardzības labad kompetentās valsts iestādes var aizklāt sensitīvo informāciju vai nodrošināt personu ar būtisko faktu </w:t>
      </w:r>
      <w:r w:rsidR="002C0C58" w:rsidRPr="00EE0C90">
        <w:t xml:space="preserve">kopsavilkumu (sal.: </w:t>
      </w:r>
      <w:r w:rsidR="002C0C58" w:rsidRPr="00EE0C90">
        <w:rPr>
          <w:i/>
          <w:iCs/>
        </w:rPr>
        <w:t xml:space="preserve">Eiropas Cilvēktiesību tiesas </w:t>
      </w:r>
      <w:r w:rsidR="002C0C58">
        <w:rPr>
          <w:i/>
          <w:iCs/>
        </w:rPr>
        <w:t>(</w:t>
      </w:r>
      <w:r w:rsidR="002C0C58" w:rsidRPr="00EE0C90">
        <w:rPr>
          <w:i/>
          <w:iCs/>
        </w:rPr>
        <w:t>Lielā palāta</w:t>
      </w:r>
      <w:r w:rsidR="002C0C58">
        <w:rPr>
          <w:i/>
          <w:iCs/>
        </w:rPr>
        <w:t>)</w:t>
      </w:r>
      <w:r w:rsidR="002C0C58" w:rsidRPr="00EE0C90">
        <w:rPr>
          <w:i/>
          <w:iCs/>
        </w:rPr>
        <w:t xml:space="preserve"> 2013.gada 21.oktobra sprieduma lietā „</w:t>
      </w:r>
      <w:proofErr w:type="spellStart"/>
      <w:r w:rsidR="002C0C58" w:rsidRPr="00EE0C90">
        <w:rPr>
          <w:i/>
          <w:iCs/>
        </w:rPr>
        <w:t>Janowiec</w:t>
      </w:r>
      <w:proofErr w:type="spellEnd"/>
      <w:r w:rsidR="002C0C58" w:rsidRPr="00EE0C90">
        <w:rPr>
          <w:i/>
          <w:iCs/>
        </w:rPr>
        <w:t xml:space="preserve"> </w:t>
      </w:r>
      <w:proofErr w:type="spellStart"/>
      <w:r w:rsidR="002C0C58" w:rsidRPr="00EE0C90">
        <w:rPr>
          <w:i/>
          <w:iCs/>
        </w:rPr>
        <w:t>and</w:t>
      </w:r>
      <w:proofErr w:type="spellEnd"/>
      <w:r w:rsidR="002C0C58" w:rsidRPr="00EE0C90">
        <w:rPr>
          <w:i/>
          <w:iCs/>
        </w:rPr>
        <w:t xml:space="preserve"> </w:t>
      </w:r>
      <w:proofErr w:type="spellStart"/>
      <w:r w:rsidR="002C0C58" w:rsidRPr="00EE0C90">
        <w:rPr>
          <w:i/>
          <w:iCs/>
        </w:rPr>
        <w:t>others</w:t>
      </w:r>
      <w:proofErr w:type="spellEnd"/>
      <w:r w:rsidR="002C0C58" w:rsidRPr="00EE0C90">
        <w:rPr>
          <w:i/>
          <w:iCs/>
        </w:rPr>
        <w:t xml:space="preserve"> v. </w:t>
      </w:r>
      <w:proofErr w:type="spellStart"/>
      <w:r w:rsidR="002C0C58" w:rsidRPr="00EE0C90">
        <w:rPr>
          <w:i/>
          <w:iCs/>
        </w:rPr>
        <w:t>Russia</w:t>
      </w:r>
      <w:proofErr w:type="spellEnd"/>
      <w:r w:rsidR="002C0C58" w:rsidRPr="00EE0C90">
        <w:rPr>
          <w:i/>
          <w:iCs/>
        </w:rPr>
        <w:t>”, pieteikum</w:t>
      </w:r>
      <w:r w:rsidR="002C0C58">
        <w:rPr>
          <w:i/>
          <w:iCs/>
        </w:rPr>
        <w:t>i Nr. </w:t>
      </w:r>
      <w:hyperlink r:id="rId18" w:history="1">
        <w:r w:rsidR="002C0C58" w:rsidRPr="006266B9">
          <w:rPr>
            <w:rStyle w:val="Hyperlink"/>
            <w:i/>
            <w:iCs/>
          </w:rPr>
          <w:t>55508/07</w:t>
        </w:r>
      </w:hyperlink>
      <w:r w:rsidR="002C0C58">
        <w:rPr>
          <w:i/>
          <w:iCs/>
        </w:rPr>
        <w:t xml:space="preserve"> un</w:t>
      </w:r>
      <w:r w:rsidR="002C0C58" w:rsidRPr="00EE0C90">
        <w:rPr>
          <w:i/>
          <w:iCs/>
        </w:rPr>
        <w:t xml:space="preserve"> Nr. </w:t>
      </w:r>
      <w:hyperlink r:id="rId19" w:history="1">
        <w:r w:rsidR="002C0C58" w:rsidRPr="006266B9">
          <w:rPr>
            <w:rStyle w:val="Hyperlink"/>
            <w:i/>
            <w:iCs/>
          </w:rPr>
          <w:t>29520/09</w:t>
        </w:r>
      </w:hyperlink>
      <w:r w:rsidR="002C0C58" w:rsidRPr="00EE0C90">
        <w:rPr>
          <w:i/>
          <w:iCs/>
        </w:rPr>
        <w:t>, 206.punkts</w:t>
      </w:r>
      <w:r w:rsidR="002C0C58" w:rsidRPr="00EE0C90">
        <w:t>).</w:t>
      </w:r>
    </w:p>
    <w:p w14:paraId="60F1B299" w14:textId="2A27AFBB" w:rsidR="002C0C58" w:rsidRDefault="00703DF1" w:rsidP="002A5839">
      <w:pPr>
        <w:spacing w:line="276" w:lineRule="auto"/>
        <w:ind w:firstLine="720"/>
        <w:contextualSpacing/>
        <w:jc w:val="both"/>
      </w:pPr>
      <w:r w:rsidRPr="00302266">
        <w:t xml:space="preserve">Senāts </w:t>
      </w:r>
      <w:r w:rsidR="00AE2ADC">
        <w:t>konstatē</w:t>
      </w:r>
      <w:r w:rsidRPr="00302266">
        <w:t xml:space="preserve">, ka </w:t>
      </w:r>
      <w:r w:rsidR="00302266" w:rsidRPr="00302266">
        <w:t xml:space="preserve">tiesvedības laikā jau pirmās instances tiesā, kuras sprieduma motivācijai pievienojās apgabaltiesa, </w:t>
      </w:r>
      <w:r w:rsidRPr="00302266">
        <w:t>pieteicēja</w:t>
      </w:r>
      <w:r w:rsidR="00302266" w:rsidRPr="00302266">
        <w:t>m</w:t>
      </w:r>
      <w:r w:rsidRPr="00302266">
        <w:t xml:space="preserve"> ir darīti zināmi</w:t>
      </w:r>
      <w:r w:rsidR="00311630">
        <w:t xml:space="preserve"> apsvērumi</w:t>
      </w:r>
      <w:r w:rsidRPr="00302266">
        <w:t xml:space="preserve">, kāpēc </w:t>
      </w:r>
      <w:r w:rsidR="00302266" w:rsidRPr="00302266">
        <w:t>ir pieņemts ministra atteikums</w:t>
      </w:r>
      <w:r w:rsidRPr="00302266">
        <w:t xml:space="preserve">, cik vien to pieļauj valsts noslēpuma aizsardzība </w:t>
      </w:r>
      <w:r w:rsidR="002C0C58" w:rsidRPr="00302266">
        <w:t xml:space="preserve">(sal. </w:t>
      </w:r>
      <w:r w:rsidR="002C0C58" w:rsidRPr="00302266">
        <w:rPr>
          <w:i/>
          <w:iCs/>
        </w:rPr>
        <w:t xml:space="preserve">Eiropas Cilvēktiesību tiesas (Lielā palāta) 2020.gada 15.oktobra sprieduma lietā „Muhammad </w:t>
      </w:r>
      <w:proofErr w:type="spellStart"/>
      <w:r w:rsidR="002C0C58" w:rsidRPr="00302266">
        <w:rPr>
          <w:i/>
          <w:iCs/>
        </w:rPr>
        <w:t>and</w:t>
      </w:r>
      <w:proofErr w:type="spellEnd"/>
      <w:r w:rsidR="002C0C58" w:rsidRPr="00302266">
        <w:rPr>
          <w:i/>
          <w:iCs/>
        </w:rPr>
        <w:t xml:space="preserve"> Muhammad v. </w:t>
      </w:r>
      <w:proofErr w:type="spellStart"/>
      <w:r w:rsidR="002C0C58" w:rsidRPr="00302266">
        <w:rPr>
          <w:i/>
          <w:iCs/>
        </w:rPr>
        <w:t>Romania</w:t>
      </w:r>
      <w:proofErr w:type="spellEnd"/>
      <w:r w:rsidR="002C0C58" w:rsidRPr="00302266">
        <w:rPr>
          <w:i/>
          <w:iCs/>
        </w:rPr>
        <w:t>”, pieteikuma Nr. </w:t>
      </w:r>
      <w:hyperlink r:id="rId20" w:history="1">
        <w:r w:rsidR="002C0C58" w:rsidRPr="006266B9">
          <w:rPr>
            <w:rStyle w:val="Hyperlink"/>
            <w:i/>
            <w:iCs/>
          </w:rPr>
          <w:t>80982/12</w:t>
        </w:r>
      </w:hyperlink>
      <w:r w:rsidR="002C0C58" w:rsidRPr="00302266">
        <w:rPr>
          <w:i/>
          <w:iCs/>
        </w:rPr>
        <w:t>, 151.punkts</w:t>
      </w:r>
      <w:r w:rsidR="002C0C58" w:rsidRPr="00302266">
        <w:t>).</w:t>
      </w:r>
    </w:p>
    <w:p w14:paraId="661F10C1" w14:textId="652938AA" w:rsidR="00AE2ADC" w:rsidRDefault="00AE2ADC" w:rsidP="002A5839">
      <w:pPr>
        <w:spacing w:line="276" w:lineRule="auto"/>
        <w:ind w:firstLine="720"/>
        <w:jc w:val="both"/>
      </w:pPr>
      <w:r w:rsidRPr="00311630">
        <w:t>Arī pieteicēj</w:t>
      </w:r>
      <w:r w:rsidR="0005690E" w:rsidRPr="00311630">
        <w:t>a</w:t>
      </w:r>
      <w:r w:rsidRPr="00311630">
        <w:t xml:space="preserve"> kasācijas sūdzībā minētajā Satversme tiesas 2020.gada 25.septembra sprieduma lietā </w:t>
      </w:r>
      <w:r w:rsidR="002C0C58" w:rsidRPr="00311630">
        <w:t>Nr. </w:t>
      </w:r>
      <w:hyperlink r:id="rId21" w:history="1">
        <w:r w:rsidR="002C0C58" w:rsidRPr="00311630">
          <w:rPr>
            <w:rStyle w:val="Hyperlink"/>
          </w:rPr>
          <w:t>2019-35-01</w:t>
        </w:r>
      </w:hyperlink>
      <w:r w:rsidR="002C0C58" w:rsidRPr="00311630">
        <w:t xml:space="preserve"> 1</w:t>
      </w:r>
      <w:r w:rsidRPr="00311630">
        <w:t>5.punktā ir ietveras līdzīgas atziņas</w:t>
      </w:r>
      <w:r w:rsidR="00311630" w:rsidRPr="00311630">
        <w:t xml:space="preserve">. Proti, </w:t>
      </w:r>
      <w:r w:rsidRPr="00311630">
        <w:t>persona</w:t>
      </w:r>
      <w:r w:rsidR="00311630">
        <w:t>i ir</w:t>
      </w:r>
      <w:r w:rsidRPr="00311630">
        <w:t xml:space="preserve"> tiesības būt informēta</w:t>
      </w:r>
      <w:r w:rsidR="00311630">
        <w:t>i</w:t>
      </w:r>
      <w:r w:rsidRPr="00311630">
        <w:t xml:space="preserve"> par lēmuma pamatā esošajiem apstākļiem, izņemot tādu</w:t>
      </w:r>
      <w:r w:rsidR="00311630">
        <w:t>s</w:t>
      </w:r>
      <w:r w:rsidRPr="00311630">
        <w:t>, kuru izpaušanas var apdraudēt valsts drošību.</w:t>
      </w:r>
      <w:r>
        <w:t xml:space="preserve"> </w:t>
      </w:r>
    </w:p>
    <w:p w14:paraId="2BAE164A" w14:textId="799A3F45" w:rsidR="00302266" w:rsidRPr="00302266" w:rsidRDefault="00AE2ADC" w:rsidP="002A5839">
      <w:pPr>
        <w:spacing w:line="276" w:lineRule="auto"/>
        <w:ind w:firstLine="720"/>
        <w:contextualSpacing/>
        <w:jc w:val="both"/>
      </w:pPr>
      <w:r>
        <w:t xml:space="preserve">Konkrētajā gadījumā </w:t>
      </w:r>
      <w:r w:rsidR="00302266" w:rsidRPr="00302266">
        <w:t xml:space="preserve">pieteicējs tika iepazīstināts ar informācijas </w:t>
      </w:r>
      <w:r w:rsidR="00311630">
        <w:t xml:space="preserve">kopsavilkumu (pieteicēja sociālie kontakti un vide noteiktā laika posmā norāda uz būtiskiem riskiem saistībā ar pašvaldības policijas priekšnieka vietnieka amata pildīšanu, ņemot vērā šā amata specifiku, pilnvaras un pieeju informācijai) </w:t>
      </w:r>
      <w:r w:rsidR="00302266" w:rsidRPr="00302266">
        <w:t>tādā apjomā, kas neskar tās intereses, kuru dēļ informācija</w:t>
      </w:r>
      <w:r w:rsidR="00311630">
        <w:rPr>
          <w:color w:val="000000"/>
        </w:rPr>
        <w:t xml:space="preserve"> ir klasificēta kā slepena</w:t>
      </w:r>
      <w:r w:rsidR="00302266" w:rsidRPr="00302266">
        <w:t>. Līdz ar to pieteicējam bija iespēja izteikt savu</w:t>
      </w:r>
      <w:r w:rsidR="0005690E">
        <w:t>s</w:t>
      </w:r>
      <w:r w:rsidR="00302266" w:rsidRPr="00302266">
        <w:t xml:space="preserve"> argumentus tiesā.</w:t>
      </w:r>
    </w:p>
    <w:p w14:paraId="1D0A2AF6" w14:textId="77777777" w:rsidR="00AE2ADC" w:rsidRDefault="00AE2ADC" w:rsidP="002A5839">
      <w:pPr>
        <w:spacing w:line="276" w:lineRule="auto"/>
        <w:ind w:firstLine="720"/>
        <w:contextualSpacing/>
        <w:jc w:val="both"/>
        <w:rPr>
          <w:color w:val="000000"/>
        </w:rPr>
      </w:pPr>
    </w:p>
    <w:p w14:paraId="34707519" w14:textId="77777777" w:rsidR="002C0C58" w:rsidRPr="004D3ACB" w:rsidRDefault="00302266" w:rsidP="002A5839">
      <w:pPr>
        <w:spacing w:line="276" w:lineRule="auto"/>
        <w:ind w:firstLine="720"/>
        <w:jc w:val="both"/>
      </w:pPr>
      <w:r w:rsidRPr="004D3ACB">
        <w:t>[14] </w:t>
      </w:r>
      <w:r w:rsidR="00AE2ADC" w:rsidRPr="004D3ACB">
        <w:t xml:space="preserve">Treškārt, Senāts ņem vērā, ka gan pirmās instances tiesai, gan apelācijas instances tiesai, gan Senātam ir tiesības </w:t>
      </w:r>
      <w:r w:rsidR="006B533E" w:rsidRPr="004D3ACB">
        <w:t xml:space="preserve">pieprasīt un iepazīties ar visiem lietā nepieciešamajiem materiāliem, arī tādiem, kas ir valsts noslēpums. Konkrētajā lietā </w:t>
      </w:r>
      <w:r w:rsidR="00AE2ADC" w:rsidRPr="004D3ACB">
        <w:t xml:space="preserve">tiesa divās tiesu instancēs, izskatot lietu pēc būtības, ir </w:t>
      </w:r>
      <w:r w:rsidR="006B533E" w:rsidRPr="004D3ACB">
        <w:t>izvērtē</w:t>
      </w:r>
      <w:r w:rsidR="00AE2ADC" w:rsidRPr="004D3ACB">
        <w:t>jusi</w:t>
      </w:r>
      <w:r w:rsidR="006B533E" w:rsidRPr="004D3ACB">
        <w:t xml:space="preserve"> visus nepieciešamos materiālus, lai uz to pamata pārbaudītu pārsūdzētā </w:t>
      </w:r>
      <w:r w:rsidR="00AE2ADC" w:rsidRPr="004D3ACB">
        <w:t>ministra atteikuma</w:t>
      </w:r>
      <w:r w:rsidR="006B533E" w:rsidRPr="004D3ACB">
        <w:t xml:space="preserve"> pamatotību un tiesiskumu. Šis uzskatāms par svarīgu un nepieciešamu līdzsvarojošu pasākumu personas tiesību uz taisnīgu tiesu ierobežojumam, kas konkrētajā procesā ticis </w:t>
      </w:r>
      <w:r w:rsidR="002C0C58" w:rsidRPr="004D3ACB">
        <w:t xml:space="preserve">nodrošināts (sal. </w:t>
      </w:r>
      <w:r w:rsidR="002C0C58" w:rsidRPr="00345E7C">
        <w:rPr>
          <w:i/>
          <w:iCs/>
          <w:color w:val="000000"/>
        </w:rPr>
        <w:t>Eiropas Cilvēktiesību tiesas (Lielā palāta) 2017.gada 19.septembra sprieduma lietā „</w:t>
      </w:r>
      <w:proofErr w:type="spellStart"/>
      <w:r w:rsidR="002C0C58" w:rsidRPr="00345E7C">
        <w:rPr>
          <w:i/>
          <w:iCs/>
          <w:color w:val="000000"/>
        </w:rPr>
        <w:t>Regner</w:t>
      </w:r>
      <w:proofErr w:type="spellEnd"/>
      <w:r w:rsidR="002C0C58" w:rsidRPr="00345E7C">
        <w:rPr>
          <w:i/>
          <w:iCs/>
          <w:color w:val="000000"/>
        </w:rPr>
        <w:t xml:space="preserve"> v. </w:t>
      </w:r>
      <w:proofErr w:type="spellStart"/>
      <w:r w:rsidR="002C0C58" w:rsidRPr="00345E7C">
        <w:rPr>
          <w:i/>
          <w:iCs/>
          <w:color w:val="000000"/>
        </w:rPr>
        <w:t>the</w:t>
      </w:r>
      <w:proofErr w:type="spellEnd"/>
      <w:r w:rsidR="002C0C58" w:rsidRPr="00345E7C">
        <w:rPr>
          <w:i/>
          <w:iCs/>
          <w:color w:val="000000"/>
        </w:rPr>
        <w:t xml:space="preserve"> </w:t>
      </w:r>
      <w:proofErr w:type="spellStart"/>
      <w:r w:rsidR="002C0C58" w:rsidRPr="00345E7C">
        <w:rPr>
          <w:i/>
          <w:iCs/>
          <w:color w:val="000000"/>
        </w:rPr>
        <w:t>Czech</w:t>
      </w:r>
      <w:proofErr w:type="spellEnd"/>
      <w:r w:rsidR="002C0C58" w:rsidRPr="00345E7C">
        <w:rPr>
          <w:i/>
          <w:iCs/>
          <w:color w:val="000000"/>
        </w:rPr>
        <w:t xml:space="preserve"> </w:t>
      </w:r>
      <w:proofErr w:type="spellStart"/>
      <w:r w:rsidR="002C0C58" w:rsidRPr="00345E7C">
        <w:rPr>
          <w:i/>
          <w:iCs/>
          <w:color w:val="000000"/>
        </w:rPr>
        <w:t>Republic</w:t>
      </w:r>
      <w:proofErr w:type="spellEnd"/>
      <w:r w:rsidR="002C0C58" w:rsidRPr="00345E7C">
        <w:rPr>
          <w:i/>
          <w:iCs/>
          <w:color w:val="000000"/>
        </w:rPr>
        <w:t>”, pieteikuma Nr. </w:t>
      </w:r>
      <w:hyperlink r:id="rId22" w:anchor="{%22languageisocode%22:[%22ENG%22],%22appno%22:[%2235289/11%22],%22documentcollectionid2%22:[%22GRANDCHAMBER%22],%22itemid%22:[%22001-177299%22]}" w:history="1">
        <w:r w:rsidR="002C0C58" w:rsidRPr="00345E7C">
          <w:rPr>
            <w:i/>
            <w:iCs/>
            <w:color w:val="0000FF"/>
            <w:u w:val="single"/>
          </w:rPr>
          <w:t>35289/11</w:t>
        </w:r>
      </w:hyperlink>
      <w:r w:rsidR="002C0C58" w:rsidRPr="004D3ACB">
        <w:rPr>
          <w:i/>
          <w:iCs/>
        </w:rPr>
        <w:t>, 152.punkts</w:t>
      </w:r>
      <w:r w:rsidR="002C0C58" w:rsidRPr="004D3ACB">
        <w:t>).</w:t>
      </w:r>
    </w:p>
    <w:p w14:paraId="796F2133" w14:textId="46F78D7D" w:rsidR="004D3ACB" w:rsidRDefault="00AE2ADC" w:rsidP="002A5839">
      <w:pPr>
        <w:spacing w:line="276" w:lineRule="auto"/>
        <w:ind w:firstLine="720"/>
        <w:contextualSpacing/>
        <w:jc w:val="both"/>
      </w:pPr>
      <w:r w:rsidRPr="004D3ACB">
        <w:t xml:space="preserve">Šajā sakarā nav pamatota pieteicēja atsauce uz Eiropas Cilvēktiesību tiesas 2013.gada 8.janvāra spriedumu lietā „Baltiņš pret Latviju”, pieteikuma </w:t>
      </w:r>
      <w:r w:rsidR="002C0C58" w:rsidRPr="004D3ACB">
        <w:t>Nr. </w:t>
      </w:r>
      <w:hyperlink r:id="rId23" w:history="1">
        <w:r w:rsidR="002C0C58" w:rsidRPr="006266B9">
          <w:rPr>
            <w:rStyle w:val="Hyperlink"/>
          </w:rPr>
          <w:t>25282/07</w:t>
        </w:r>
      </w:hyperlink>
      <w:r w:rsidRPr="004D3ACB">
        <w:t>, jo šajā lietā Eiropas Cilvēktiesību tiesa konstatēja atšķirīgus apstākļus</w:t>
      </w:r>
      <w:r w:rsidR="004D3ACB">
        <w:t>. P</w:t>
      </w:r>
      <w:r w:rsidRPr="004D3ACB">
        <w:t>roti,</w:t>
      </w:r>
      <w:r w:rsidR="004D3ACB">
        <w:t xml:space="preserve"> lai gan nacionālajām tiesām bija iespējams iepazīties ar slepenajiem operatīvo lietu materiāliem, no krimināllietas materiāliem nevar</w:t>
      </w:r>
      <w:r w:rsidR="0005690E">
        <w:t>ēja</w:t>
      </w:r>
      <w:r w:rsidR="004D3ACB">
        <w:t xml:space="preserve"> secināt, ka tiesas būtu mēģinājušas to darīt.</w:t>
      </w:r>
    </w:p>
    <w:p w14:paraId="64C74DAE" w14:textId="77777777" w:rsidR="004D3ACB" w:rsidRPr="004D3ACB" w:rsidRDefault="004D3ACB" w:rsidP="002A5839">
      <w:pPr>
        <w:spacing w:line="276" w:lineRule="auto"/>
        <w:ind w:firstLine="720"/>
        <w:contextualSpacing/>
        <w:jc w:val="both"/>
      </w:pPr>
    </w:p>
    <w:p w14:paraId="78EE0268" w14:textId="39F6361E" w:rsidR="004D3ACB" w:rsidRPr="004D3ACB" w:rsidRDefault="004D3ACB" w:rsidP="002A5839">
      <w:pPr>
        <w:spacing w:line="276" w:lineRule="auto"/>
        <w:ind w:firstLine="720"/>
        <w:contextualSpacing/>
        <w:jc w:val="both"/>
        <w:rPr>
          <w:shd w:val="clear" w:color="auto" w:fill="FFFFFF"/>
        </w:rPr>
      </w:pPr>
      <w:r w:rsidRPr="004D3ACB">
        <w:t>[15]</w:t>
      </w:r>
      <w:r>
        <w:t xml:space="preserve"> Ievērojot iepriekš minēto, Senāts atzīst, ka tiesai </w:t>
      </w:r>
      <w:r w:rsidR="006B533E" w:rsidRPr="004D3ACB">
        <w:t xml:space="preserve">ir piešķirti pietiekami procesuālie instrumenti, lai tiesas procesā līdzsvarotu pieteicējai noteikto tiesību uz taisnīgu tiesu ierobežojumu un nodrošinātu </w:t>
      </w:r>
      <w:r>
        <w:t xml:space="preserve">ministra atteikuma </w:t>
      </w:r>
      <w:r w:rsidR="006B533E" w:rsidRPr="004D3ACB">
        <w:t>pārbaudi neatkarīgā un objektīvā tiesā, ko prasa Satversmes 92.panta pirmais teikums</w:t>
      </w:r>
      <w:r>
        <w:t>.</w:t>
      </w:r>
    </w:p>
    <w:p w14:paraId="519723D5" w14:textId="77777777" w:rsidR="000D3A17" w:rsidRPr="004D3ACB" w:rsidRDefault="000D3A17" w:rsidP="002A5839">
      <w:pPr>
        <w:spacing w:line="276" w:lineRule="auto"/>
        <w:ind w:firstLine="720"/>
        <w:jc w:val="both"/>
      </w:pPr>
    </w:p>
    <w:p w14:paraId="5AEEFFF3" w14:textId="269940DB" w:rsidR="001438FC" w:rsidRDefault="001D2FE0" w:rsidP="002A5839">
      <w:pPr>
        <w:spacing w:line="276" w:lineRule="auto"/>
        <w:ind w:firstLine="720"/>
        <w:jc w:val="both"/>
        <w:rPr>
          <w:shd w:val="clear" w:color="auto" w:fill="FFFFFF"/>
        </w:rPr>
      </w:pPr>
      <w:r w:rsidRPr="005B7DAD">
        <w:t>[</w:t>
      </w:r>
      <w:r w:rsidR="004D3ACB">
        <w:t>16</w:t>
      </w:r>
      <w:r w:rsidRPr="005B7DAD">
        <w:t xml:space="preserve">] Pieteicējs </w:t>
      </w:r>
      <w:r w:rsidR="00786221" w:rsidRPr="005B7DAD">
        <w:t xml:space="preserve">norāda, ka operatīvās informācijas izmantošana, lai novērtētu pieteicēja atbilstību amatam nenotika atbilstoši </w:t>
      </w:r>
      <w:r w:rsidR="005B7DAD" w:rsidRPr="005B7DAD">
        <w:t xml:space="preserve">Eiropas Savienības Padomes 2013.gada </w:t>
      </w:r>
      <w:r w:rsidR="005B7DAD" w:rsidRPr="005B7DAD">
        <w:lastRenderedPageBreak/>
        <w:t>23.septembra lēmuma par drošības noteikumiem Eiropas Savienības klasificētas informācijas aizsardzībai (2013/488/ES) I</w:t>
      </w:r>
      <w:r w:rsidR="005B7DAD">
        <w:t> </w:t>
      </w:r>
      <w:r w:rsidR="005B7DAD" w:rsidRPr="005B7DAD">
        <w:t>pielikuma 25.punktam</w:t>
      </w:r>
      <w:r w:rsidR="001438FC">
        <w:t xml:space="preserve">. Minētais punkts runā par </w:t>
      </w:r>
      <w:r w:rsidR="001438FC" w:rsidRPr="001438FC">
        <w:t xml:space="preserve">lēmumu </w:t>
      </w:r>
      <w:r w:rsidR="001438FC" w:rsidRPr="001438FC">
        <w:rPr>
          <w:shd w:val="clear" w:color="auto" w:fill="FFFFFF"/>
        </w:rPr>
        <w:t>atsaukt vai apturēt Padomes Ģenerālsekretariāta ierēdņa vai cita darbinieka atļauju piekļūt ES klasificētais informācijai</w:t>
      </w:r>
      <w:r w:rsidR="001438FC">
        <w:rPr>
          <w:shd w:val="clear" w:color="auto" w:fill="FFFFFF"/>
        </w:rPr>
        <w:t xml:space="preserve"> un tā pārsūdzēšanu.</w:t>
      </w:r>
    </w:p>
    <w:p w14:paraId="38915AE6" w14:textId="3D95267E" w:rsidR="005B7DAD" w:rsidRDefault="005B7DAD" w:rsidP="002A5839">
      <w:pPr>
        <w:spacing w:line="276" w:lineRule="auto"/>
        <w:ind w:firstLine="720"/>
        <w:jc w:val="both"/>
      </w:pPr>
      <w:r>
        <w:rPr>
          <w:shd w:val="clear" w:color="auto" w:fill="FFFFFF"/>
        </w:rPr>
        <w:t xml:space="preserve">Pieteicējs kasācijas sūdzībā nav paskaidrojis, kā minētais attiecas uz izskatāmās lietas apstākļiem, jo ministra atteikums nav salīdzināms ar lēmumu atsaukt vai apturēt piekļuvi </w:t>
      </w:r>
      <w:r w:rsidRPr="005B7DAD">
        <w:rPr>
          <w:shd w:val="clear" w:color="auto" w:fill="FFFFFF"/>
        </w:rPr>
        <w:t>ES</w:t>
      </w:r>
      <w:r>
        <w:rPr>
          <w:shd w:val="clear" w:color="auto" w:fill="FFFFFF"/>
        </w:rPr>
        <w:t xml:space="preserve"> klasificētais informācijai. Savukārt pieteicēja tiesības iepazīties ar operatīv</w:t>
      </w:r>
      <w:r w:rsidR="003F2583">
        <w:rPr>
          <w:shd w:val="clear" w:color="auto" w:fill="FFFFFF"/>
        </w:rPr>
        <w:t>a rakstura informāciju tika izvērtētas.</w:t>
      </w:r>
      <w:r>
        <w:rPr>
          <w:shd w:val="clear" w:color="auto" w:fill="FFFFFF"/>
        </w:rPr>
        <w:t xml:space="preserve"> </w:t>
      </w:r>
    </w:p>
    <w:p w14:paraId="71838A8D" w14:textId="77777777" w:rsidR="005B7DAD" w:rsidRPr="005B7DAD" w:rsidRDefault="005B7DAD" w:rsidP="002A5839">
      <w:pPr>
        <w:spacing w:line="276" w:lineRule="auto"/>
        <w:ind w:firstLine="720"/>
        <w:jc w:val="both"/>
      </w:pPr>
    </w:p>
    <w:p w14:paraId="27199057" w14:textId="1F9E209A" w:rsidR="0075305B" w:rsidRDefault="00E960F7" w:rsidP="002A5839">
      <w:pPr>
        <w:spacing w:line="276" w:lineRule="auto"/>
        <w:ind w:firstLine="720"/>
        <w:jc w:val="both"/>
      </w:pPr>
      <w:r w:rsidRPr="005B7DAD">
        <w:t>[</w:t>
      </w:r>
      <w:r w:rsidR="004D3ACB">
        <w:t>17</w:t>
      </w:r>
      <w:r w:rsidRPr="005B7DAD">
        <w:t>] Pieteicējs kasācijas sūdzībā norāda, ka</w:t>
      </w:r>
      <w:r>
        <w:t xml:space="preserve"> apgabaltiesa nav vērtējusi to, ka pieteicējs jau strādāja </w:t>
      </w:r>
      <w:r w:rsidR="002A5839">
        <w:t>[Nosaukums]</w:t>
      </w:r>
      <w:r>
        <w:t xml:space="preserve"> pašvaldības policijas priekšnieka vietnieka amatā, kad iekšlietu ministr</w:t>
      </w:r>
      <w:r w:rsidR="001D2FE0">
        <w:t>s</w:t>
      </w:r>
      <w:r>
        <w:t xml:space="preserve"> atteic</w:t>
      </w:r>
      <w:r w:rsidR="0075305B">
        <w:t>a</w:t>
      </w:r>
      <w:r>
        <w:t xml:space="preserve"> do</w:t>
      </w:r>
      <w:r w:rsidR="0005690E">
        <w:t>t</w:t>
      </w:r>
      <w:r>
        <w:t xml:space="preserve"> piekrišanu pieteicēja apstiprināšanai šajā amatā. Pieteicējs nebij</w:t>
      </w:r>
      <w:r w:rsidR="0075305B">
        <w:t>a</w:t>
      </w:r>
      <w:r>
        <w:t xml:space="preserve"> informēts, ka </w:t>
      </w:r>
      <w:r w:rsidR="0075305B">
        <w:t>pašvaldība nav saskaņojusi viņa pieņemšanu darbā ar iekšlietu ministru. Apgabaltiesa neesot vērtējusi pieteicēj</w:t>
      </w:r>
      <w:r w:rsidR="0005690E">
        <w:t>a</w:t>
      </w:r>
      <w:r w:rsidR="0075305B">
        <w:t xml:space="preserve"> tiesisko paļāvību. </w:t>
      </w:r>
    </w:p>
    <w:p w14:paraId="399C1CE5" w14:textId="740C62A2" w:rsidR="00E960F7" w:rsidRDefault="0075305B" w:rsidP="002A5839">
      <w:pPr>
        <w:spacing w:line="276" w:lineRule="auto"/>
        <w:ind w:firstLine="720"/>
        <w:jc w:val="both"/>
      </w:pPr>
      <w:r>
        <w:t>Minētie argumenti nav pamatoti. Apgabaltiesai nebija jāvērtē pieteicēja darba tiesisko attiecību nodibināšanas apstākļi</w:t>
      </w:r>
      <w:r w:rsidR="0005690E">
        <w:t>. Darba tiesiskās attiecības</w:t>
      </w:r>
      <w:r w:rsidR="001D2FE0">
        <w:t xml:space="preserve"> regulē Darba likums</w:t>
      </w:r>
      <w:r w:rsidR="00CF6E48">
        <w:t>,</w:t>
      </w:r>
      <w:r w:rsidR="001D2FE0">
        <w:t xml:space="preserve"> un tās nav pakļautas administratīvās tiesas kontrolei</w:t>
      </w:r>
      <w:r>
        <w:t>.</w:t>
      </w:r>
      <w:r w:rsidR="001D2FE0">
        <w:t xml:space="preserve"> Pieteikuma priekšmets ir ministra atteikums, kura tiesiskums tika pārbaudīts izskatāmajā lietā.</w:t>
      </w:r>
    </w:p>
    <w:p w14:paraId="4FBE34EE" w14:textId="77777777" w:rsidR="004D3ACB" w:rsidRDefault="004D3ACB" w:rsidP="002A5839">
      <w:pPr>
        <w:spacing w:line="276" w:lineRule="auto"/>
        <w:ind w:firstLine="720"/>
        <w:jc w:val="both"/>
      </w:pPr>
    </w:p>
    <w:p w14:paraId="69850F65" w14:textId="10D3D3DC" w:rsidR="00E956B2" w:rsidRPr="00562544" w:rsidRDefault="004D3ACB" w:rsidP="002A5839">
      <w:pPr>
        <w:shd w:val="clear" w:color="auto" w:fill="FFFFFF"/>
        <w:spacing w:line="276" w:lineRule="auto"/>
        <w:ind w:firstLine="720"/>
        <w:jc w:val="both"/>
      </w:pPr>
      <w:r>
        <w:t>[18]</w:t>
      </w:r>
      <w:r w:rsidR="00E956B2">
        <w:t> </w:t>
      </w:r>
      <w:r w:rsidR="001438FC">
        <w:t>Tādējādi Senāts</w:t>
      </w:r>
      <w:r w:rsidR="00E956B2" w:rsidRPr="00562544">
        <w:t xml:space="preserve">, izvērtējot kasācijas sūdzībā norādītos </w:t>
      </w:r>
      <w:r w:rsidR="00E956B2">
        <w:t>argumentus</w:t>
      </w:r>
      <w:r w:rsidR="00E956B2" w:rsidRPr="00562544">
        <w:t xml:space="preserve">, nekonstatē, ka apgabaltiesa būtu </w:t>
      </w:r>
      <w:r w:rsidR="003673DB">
        <w:t xml:space="preserve">pieļāvusi </w:t>
      </w:r>
      <w:r w:rsidR="00E956B2" w:rsidRPr="00562544">
        <w:t xml:space="preserve">būtiskus materiālo un procesuālo </w:t>
      </w:r>
      <w:r w:rsidR="00E956B2">
        <w:t xml:space="preserve">tiesību </w:t>
      </w:r>
      <w:r w:rsidR="00E956B2" w:rsidRPr="00562544">
        <w:t xml:space="preserve">normu pārkāpumus. Tāpēc apgabaltiesas spriedums atstājams negrozīts, bet </w:t>
      </w:r>
      <w:r w:rsidR="00E956B2">
        <w:t>pieteicēja</w:t>
      </w:r>
      <w:r w:rsidR="00E956B2" w:rsidRPr="00562544">
        <w:t xml:space="preserve"> kasācijas sūdzība noraidāma.</w:t>
      </w:r>
    </w:p>
    <w:p w14:paraId="2BB95C65" w14:textId="77777777" w:rsidR="008554C6" w:rsidRDefault="008554C6" w:rsidP="002A5839">
      <w:pPr>
        <w:spacing w:line="276" w:lineRule="auto"/>
        <w:ind w:firstLine="720"/>
        <w:jc w:val="both"/>
      </w:pPr>
    </w:p>
    <w:p w14:paraId="4F961887" w14:textId="77777777" w:rsidR="00A138AE" w:rsidRPr="00BF1843" w:rsidRDefault="00A138AE" w:rsidP="002A5839">
      <w:pPr>
        <w:spacing w:line="276" w:lineRule="auto"/>
        <w:jc w:val="center"/>
        <w:rPr>
          <w:b/>
          <w:bCs/>
        </w:rPr>
      </w:pPr>
      <w:r w:rsidRPr="00BF1843">
        <w:rPr>
          <w:b/>
          <w:bCs/>
        </w:rPr>
        <w:t>Rezolutīvā daļa</w:t>
      </w:r>
    </w:p>
    <w:p w14:paraId="4C37D726" w14:textId="77777777" w:rsidR="00A138AE" w:rsidRPr="002B5FE8" w:rsidRDefault="00A138AE" w:rsidP="002A5839">
      <w:pPr>
        <w:spacing w:line="276" w:lineRule="auto"/>
        <w:ind w:firstLine="567"/>
        <w:jc w:val="both"/>
        <w:rPr>
          <w:noProof/>
        </w:rPr>
      </w:pPr>
    </w:p>
    <w:p w14:paraId="74AF72D1" w14:textId="77777777" w:rsidR="00E956B2" w:rsidRPr="00253EDD" w:rsidRDefault="00E956B2" w:rsidP="002A5839">
      <w:pPr>
        <w:shd w:val="clear" w:color="auto" w:fill="FFFFFF"/>
        <w:spacing w:line="276" w:lineRule="auto"/>
        <w:ind w:firstLine="720"/>
        <w:jc w:val="both"/>
      </w:pPr>
      <w:r w:rsidRPr="00562544">
        <w:t>Pamatojoties uz Administratīvā procesa likuma 348.panta pirmās daļas 1.punktu un 351.pantu, Senāts</w:t>
      </w:r>
    </w:p>
    <w:p w14:paraId="312601AD" w14:textId="77777777" w:rsidR="00E956B2" w:rsidRDefault="00E956B2" w:rsidP="002A5839">
      <w:pPr>
        <w:spacing w:line="276" w:lineRule="auto"/>
        <w:jc w:val="center"/>
        <w:rPr>
          <w:b/>
          <w:bCs/>
        </w:rPr>
      </w:pPr>
    </w:p>
    <w:p w14:paraId="2571B7CC" w14:textId="374019AE" w:rsidR="00A138AE" w:rsidRPr="00BF1843" w:rsidRDefault="00A138AE" w:rsidP="002A5839">
      <w:pPr>
        <w:spacing w:line="276" w:lineRule="auto"/>
        <w:jc w:val="center"/>
        <w:rPr>
          <w:b/>
          <w:bCs/>
        </w:rPr>
      </w:pPr>
      <w:r w:rsidRPr="00BF1843">
        <w:rPr>
          <w:b/>
          <w:bCs/>
        </w:rPr>
        <w:t>nosprieda</w:t>
      </w:r>
    </w:p>
    <w:p w14:paraId="16A4C2C3" w14:textId="77777777" w:rsidR="00A138AE" w:rsidRPr="002B5FE8" w:rsidRDefault="00A138AE" w:rsidP="002A5839">
      <w:pPr>
        <w:spacing w:line="276" w:lineRule="auto"/>
        <w:jc w:val="center"/>
        <w:rPr>
          <w:b/>
        </w:rPr>
      </w:pPr>
    </w:p>
    <w:p w14:paraId="3CF8334A" w14:textId="6C7190DB" w:rsidR="00E956B2" w:rsidRPr="002F147D" w:rsidRDefault="00E956B2" w:rsidP="002A5839">
      <w:pPr>
        <w:spacing w:line="276" w:lineRule="auto"/>
        <w:ind w:firstLine="709"/>
        <w:jc w:val="both"/>
      </w:pPr>
      <w:r w:rsidRPr="002F147D">
        <w:rPr>
          <w:lang w:eastAsia="lv-LV"/>
        </w:rPr>
        <w:t xml:space="preserve">atstāt negrozītu Administratīvās apgabaltiesas 2021.gada </w:t>
      </w:r>
      <w:r>
        <w:rPr>
          <w:lang w:eastAsia="lv-LV"/>
        </w:rPr>
        <w:t>13.maija</w:t>
      </w:r>
      <w:r w:rsidRPr="002F147D">
        <w:rPr>
          <w:lang w:eastAsia="lv-LV"/>
        </w:rPr>
        <w:t xml:space="preserve"> spriedumu, bet </w:t>
      </w:r>
      <w:r w:rsidR="0072266A">
        <w:t xml:space="preserve">[pers. A] </w:t>
      </w:r>
      <w:r w:rsidRPr="002F147D">
        <w:rPr>
          <w:lang w:eastAsia="lv-LV"/>
        </w:rPr>
        <w:t>kasācijas sūdzību noraidīt</w:t>
      </w:r>
      <w:r w:rsidRPr="002F147D">
        <w:t>.</w:t>
      </w:r>
    </w:p>
    <w:p w14:paraId="012C7EDE" w14:textId="77777777" w:rsidR="00BD5DDB" w:rsidRPr="002B5FE8" w:rsidRDefault="00BD5DDB" w:rsidP="002A5839">
      <w:pPr>
        <w:tabs>
          <w:tab w:val="left" w:pos="2700"/>
          <w:tab w:val="left" w:pos="6660"/>
        </w:tabs>
        <w:spacing w:line="276" w:lineRule="auto"/>
        <w:ind w:firstLine="720"/>
      </w:pPr>
    </w:p>
    <w:p w14:paraId="00D9FC2A" w14:textId="1D73DE86" w:rsidR="00A138AE" w:rsidRPr="002B5FE8" w:rsidRDefault="00645643" w:rsidP="002A5839">
      <w:pPr>
        <w:tabs>
          <w:tab w:val="left" w:pos="2700"/>
          <w:tab w:val="left" w:pos="6660"/>
        </w:tabs>
        <w:spacing w:line="276" w:lineRule="auto"/>
        <w:ind w:firstLine="720"/>
      </w:pPr>
      <w:r w:rsidRPr="002B5FE8">
        <w:t>Spriedums nav pārsūdzams</w:t>
      </w:r>
      <w:r w:rsidR="00404241" w:rsidRPr="002B5FE8">
        <w:t>.</w:t>
      </w:r>
    </w:p>
    <w:p w14:paraId="567FA0AC" w14:textId="1075B699" w:rsidR="001D63D8" w:rsidRPr="002B5FE8" w:rsidRDefault="001D63D8" w:rsidP="00C37823">
      <w:pPr>
        <w:tabs>
          <w:tab w:val="left" w:pos="2700"/>
          <w:tab w:val="left" w:pos="6660"/>
        </w:tabs>
        <w:spacing w:line="276" w:lineRule="auto"/>
        <w:ind w:firstLine="720"/>
      </w:pPr>
    </w:p>
    <w:p w14:paraId="160C849E" w14:textId="16E33133" w:rsidR="001D63D8" w:rsidRDefault="001D63D8" w:rsidP="00C37823">
      <w:pPr>
        <w:tabs>
          <w:tab w:val="left" w:pos="2700"/>
          <w:tab w:val="left" w:pos="6660"/>
        </w:tabs>
        <w:spacing w:line="276" w:lineRule="auto"/>
        <w:ind w:firstLine="720"/>
      </w:pPr>
    </w:p>
    <w:p w14:paraId="24E32EAC" w14:textId="77777777" w:rsidR="005777CB" w:rsidRPr="002B5FE8" w:rsidRDefault="005777CB" w:rsidP="00C37823">
      <w:pPr>
        <w:tabs>
          <w:tab w:val="left" w:pos="2700"/>
          <w:tab w:val="left" w:pos="6660"/>
        </w:tabs>
        <w:spacing w:line="276" w:lineRule="auto"/>
        <w:ind w:firstLine="720"/>
      </w:pPr>
    </w:p>
    <w:p w14:paraId="45AB7B60" w14:textId="77777777" w:rsidR="00A138AE" w:rsidRPr="002B5FE8" w:rsidRDefault="00A138AE" w:rsidP="00C37823">
      <w:pPr>
        <w:tabs>
          <w:tab w:val="left" w:pos="1380"/>
          <w:tab w:val="left" w:pos="1845"/>
          <w:tab w:val="center" w:pos="4819"/>
          <w:tab w:val="left" w:pos="7170"/>
          <w:tab w:val="left" w:pos="7350"/>
          <w:tab w:val="left" w:pos="7860"/>
        </w:tabs>
        <w:spacing w:line="276" w:lineRule="auto"/>
        <w:ind w:firstLine="567"/>
        <w:jc w:val="center"/>
        <w:rPr>
          <w:noProof/>
        </w:rPr>
      </w:pPr>
    </w:p>
    <w:p w14:paraId="0A56FBC6" w14:textId="77777777" w:rsidR="002222B5" w:rsidRPr="00614CC2" w:rsidRDefault="002222B5" w:rsidP="00C37823">
      <w:pPr>
        <w:spacing w:line="276" w:lineRule="auto"/>
        <w:jc w:val="both"/>
        <w:rPr>
          <w:rFonts w:eastAsiaTheme="minorEastAsia"/>
          <w:lang w:eastAsia="en-US"/>
        </w:rPr>
      </w:pPr>
    </w:p>
    <w:sectPr w:rsidR="002222B5" w:rsidRPr="00614CC2" w:rsidSect="00425FE8">
      <w:footerReference w:type="default" r:id="rId2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FDEA" w14:textId="77777777" w:rsidR="00207B08" w:rsidRDefault="00207B08">
      <w:r>
        <w:separator/>
      </w:r>
    </w:p>
  </w:endnote>
  <w:endnote w:type="continuationSeparator" w:id="0">
    <w:p w14:paraId="31BE23E6" w14:textId="77777777" w:rsidR="00207B08" w:rsidRDefault="0020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A650" w14:textId="46389BC6"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404241"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656524">
      <w:rPr>
        <w:rStyle w:val="PageNumber"/>
        <w:noProof/>
        <w:sz w:val="20"/>
        <w:szCs w:val="20"/>
      </w:rPr>
      <w:t>9</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EBC3" w14:textId="77777777" w:rsidR="00207B08" w:rsidRDefault="00207B08">
      <w:r>
        <w:separator/>
      </w:r>
    </w:p>
  </w:footnote>
  <w:footnote w:type="continuationSeparator" w:id="0">
    <w:p w14:paraId="64E4B5C3" w14:textId="77777777" w:rsidR="00207B08" w:rsidRDefault="0020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412122413">
    <w:abstractNumId w:val="2"/>
  </w:num>
  <w:num w:numId="2" w16cid:durableId="863639642">
    <w:abstractNumId w:val="3"/>
  </w:num>
  <w:num w:numId="3" w16cid:durableId="1249845962">
    <w:abstractNumId w:val="0"/>
  </w:num>
  <w:num w:numId="4" w16cid:durableId="73270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051F"/>
    <w:rsid w:val="00002034"/>
    <w:rsid w:val="00004297"/>
    <w:rsid w:val="00005AD7"/>
    <w:rsid w:val="00005E58"/>
    <w:rsid w:val="0001088B"/>
    <w:rsid w:val="00012304"/>
    <w:rsid w:val="000154E7"/>
    <w:rsid w:val="00015DCA"/>
    <w:rsid w:val="000167F5"/>
    <w:rsid w:val="000171C8"/>
    <w:rsid w:val="00017714"/>
    <w:rsid w:val="00017749"/>
    <w:rsid w:val="00021417"/>
    <w:rsid w:val="00022026"/>
    <w:rsid w:val="00023617"/>
    <w:rsid w:val="000276EB"/>
    <w:rsid w:val="00027710"/>
    <w:rsid w:val="000309D3"/>
    <w:rsid w:val="00030BE9"/>
    <w:rsid w:val="0003327C"/>
    <w:rsid w:val="00033A54"/>
    <w:rsid w:val="000342C9"/>
    <w:rsid w:val="00036046"/>
    <w:rsid w:val="0003780E"/>
    <w:rsid w:val="0004121D"/>
    <w:rsid w:val="00041837"/>
    <w:rsid w:val="00042148"/>
    <w:rsid w:val="00044E17"/>
    <w:rsid w:val="00046E00"/>
    <w:rsid w:val="0004718C"/>
    <w:rsid w:val="00047387"/>
    <w:rsid w:val="00050EDF"/>
    <w:rsid w:val="00051652"/>
    <w:rsid w:val="00053CFA"/>
    <w:rsid w:val="0005690E"/>
    <w:rsid w:val="0005781F"/>
    <w:rsid w:val="00067F76"/>
    <w:rsid w:val="00067FF7"/>
    <w:rsid w:val="000707F2"/>
    <w:rsid w:val="00070FE4"/>
    <w:rsid w:val="0007151A"/>
    <w:rsid w:val="000729E1"/>
    <w:rsid w:val="00074C30"/>
    <w:rsid w:val="00075134"/>
    <w:rsid w:val="00080C59"/>
    <w:rsid w:val="0008224C"/>
    <w:rsid w:val="00082836"/>
    <w:rsid w:val="000859AC"/>
    <w:rsid w:val="000861B3"/>
    <w:rsid w:val="000866EB"/>
    <w:rsid w:val="000943E5"/>
    <w:rsid w:val="00096131"/>
    <w:rsid w:val="000A278C"/>
    <w:rsid w:val="000A3654"/>
    <w:rsid w:val="000A44F2"/>
    <w:rsid w:val="000A6BFE"/>
    <w:rsid w:val="000B0176"/>
    <w:rsid w:val="000B2427"/>
    <w:rsid w:val="000B5510"/>
    <w:rsid w:val="000C007D"/>
    <w:rsid w:val="000C015F"/>
    <w:rsid w:val="000C149C"/>
    <w:rsid w:val="000C69C9"/>
    <w:rsid w:val="000D3A17"/>
    <w:rsid w:val="000D4377"/>
    <w:rsid w:val="000D45A8"/>
    <w:rsid w:val="000D687E"/>
    <w:rsid w:val="000D7424"/>
    <w:rsid w:val="000E4AAC"/>
    <w:rsid w:val="000E60FF"/>
    <w:rsid w:val="000F51D6"/>
    <w:rsid w:val="000F6CD3"/>
    <w:rsid w:val="00103576"/>
    <w:rsid w:val="001079B4"/>
    <w:rsid w:val="00110021"/>
    <w:rsid w:val="001102BE"/>
    <w:rsid w:val="001123CC"/>
    <w:rsid w:val="00112DF9"/>
    <w:rsid w:val="001167DC"/>
    <w:rsid w:val="00120F90"/>
    <w:rsid w:val="001218C4"/>
    <w:rsid w:val="00121C25"/>
    <w:rsid w:val="00125A46"/>
    <w:rsid w:val="001302D3"/>
    <w:rsid w:val="0013243D"/>
    <w:rsid w:val="00134D65"/>
    <w:rsid w:val="00136CE3"/>
    <w:rsid w:val="00137983"/>
    <w:rsid w:val="00140F9F"/>
    <w:rsid w:val="00142439"/>
    <w:rsid w:val="001425CB"/>
    <w:rsid w:val="00142D06"/>
    <w:rsid w:val="001438FC"/>
    <w:rsid w:val="0014564E"/>
    <w:rsid w:val="001505AA"/>
    <w:rsid w:val="00152974"/>
    <w:rsid w:val="00152CCA"/>
    <w:rsid w:val="00161218"/>
    <w:rsid w:val="00161D2B"/>
    <w:rsid w:val="001633E5"/>
    <w:rsid w:val="00166F06"/>
    <w:rsid w:val="00170216"/>
    <w:rsid w:val="00171662"/>
    <w:rsid w:val="00174F30"/>
    <w:rsid w:val="00177666"/>
    <w:rsid w:val="00180D9A"/>
    <w:rsid w:val="001837F4"/>
    <w:rsid w:val="00184670"/>
    <w:rsid w:val="001855FB"/>
    <w:rsid w:val="00186094"/>
    <w:rsid w:val="00186867"/>
    <w:rsid w:val="00186989"/>
    <w:rsid w:val="001938F1"/>
    <w:rsid w:val="001A1F0C"/>
    <w:rsid w:val="001A2F02"/>
    <w:rsid w:val="001A3239"/>
    <w:rsid w:val="001A469F"/>
    <w:rsid w:val="001B1533"/>
    <w:rsid w:val="001B1907"/>
    <w:rsid w:val="001B7758"/>
    <w:rsid w:val="001B7D51"/>
    <w:rsid w:val="001C04C2"/>
    <w:rsid w:val="001C16FF"/>
    <w:rsid w:val="001C24EC"/>
    <w:rsid w:val="001C5292"/>
    <w:rsid w:val="001C5FE9"/>
    <w:rsid w:val="001C72DF"/>
    <w:rsid w:val="001D288F"/>
    <w:rsid w:val="001D2FE0"/>
    <w:rsid w:val="001D38B4"/>
    <w:rsid w:val="001D4EFE"/>
    <w:rsid w:val="001D63D8"/>
    <w:rsid w:val="001D65E9"/>
    <w:rsid w:val="001E5220"/>
    <w:rsid w:val="001E5BB3"/>
    <w:rsid w:val="001E6464"/>
    <w:rsid w:val="001E67B2"/>
    <w:rsid w:val="001E741D"/>
    <w:rsid w:val="001F1587"/>
    <w:rsid w:val="001F6F7F"/>
    <w:rsid w:val="001F7B15"/>
    <w:rsid w:val="00201584"/>
    <w:rsid w:val="002041F9"/>
    <w:rsid w:val="00204554"/>
    <w:rsid w:val="00207B08"/>
    <w:rsid w:val="002102B0"/>
    <w:rsid w:val="00210781"/>
    <w:rsid w:val="002120B0"/>
    <w:rsid w:val="00212509"/>
    <w:rsid w:val="00212B51"/>
    <w:rsid w:val="00212CA3"/>
    <w:rsid w:val="002159CB"/>
    <w:rsid w:val="00221AF9"/>
    <w:rsid w:val="002222B5"/>
    <w:rsid w:val="00223AFD"/>
    <w:rsid w:val="002253DA"/>
    <w:rsid w:val="00225F09"/>
    <w:rsid w:val="00225F0B"/>
    <w:rsid w:val="00230686"/>
    <w:rsid w:val="00231704"/>
    <w:rsid w:val="00232569"/>
    <w:rsid w:val="002356BE"/>
    <w:rsid w:val="00237922"/>
    <w:rsid w:val="00240C6D"/>
    <w:rsid w:val="0024295F"/>
    <w:rsid w:val="002445AC"/>
    <w:rsid w:val="00251A2F"/>
    <w:rsid w:val="00254457"/>
    <w:rsid w:val="002557DE"/>
    <w:rsid w:val="002570CD"/>
    <w:rsid w:val="0026054C"/>
    <w:rsid w:val="00260C4D"/>
    <w:rsid w:val="0026495A"/>
    <w:rsid w:val="00272B3E"/>
    <w:rsid w:val="00272C94"/>
    <w:rsid w:val="00273456"/>
    <w:rsid w:val="00274193"/>
    <w:rsid w:val="00274875"/>
    <w:rsid w:val="00276936"/>
    <w:rsid w:val="002774C0"/>
    <w:rsid w:val="002776EF"/>
    <w:rsid w:val="002903CA"/>
    <w:rsid w:val="00294E25"/>
    <w:rsid w:val="002A014E"/>
    <w:rsid w:val="002A03DE"/>
    <w:rsid w:val="002A4CFE"/>
    <w:rsid w:val="002A5839"/>
    <w:rsid w:val="002A5E04"/>
    <w:rsid w:val="002A6FC6"/>
    <w:rsid w:val="002A79BA"/>
    <w:rsid w:val="002B01AA"/>
    <w:rsid w:val="002B0379"/>
    <w:rsid w:val="002B1064"/>
    <w:rsid w:val="002B34CA"/>
    <w:rsid w:val="002B53C5"/>
    <w:rsid w:val="002B5FE8"/>
    <w:rsid w:val="002C0C58"/>
    <w:rsid w:val="002C1747"/>
    <w:rsid w:val="002C1C26"/>
    <w:rsid w:val="002C351B"/>
    <w:rsid w:val="002C36E4"/>
    <w:rsid w:val="002C3EB7"/>
    <w:rsid w:val="002C5865"/>
    <w:rsid w:val="002D08AD"/>
    <w:rsid w:val="002D0A02"/>
    <w:rsid w:val="002D2CEC"/>
    <w:rsid w:val="002D36C3"/>
    <w:rsid w:val="002D5156"/>
    <w:rsid w:val="002D5478"/>
    <w:rsid w:val="002D58B2"/>
    <w:rsid w:val="002D687A"/>
    <w:rsid w:val="002D757F"/>
    <w:rsid w:val="002D7A2C"/>
    <w:rsid w:val="002E101A"/>
    <w:rsid w:val="002E1308"/>
    <w:rsid w:val="002E14E3"/>
    <w:rsid w:val="002E676A"/>
    <w:rsid w:val="002F106D"/>
    <w:rsid w:val="002F1513"/>
    <w:rsid w:val="002F27E6"/>
    <w:rsid w:val="002F3C99"/>
    <w:rsid w:val="002F6138"/>
    <w:rsid w:val="002F6A61"/>
    <w:rsid w:val="00300B71"/>
    <w:rsid w:val="00302266"/>
    <w:rsid w:val="00305CD6"/>
    <w:rsid w:val="00306B39"/>
    <w:rsid w:val="0031024F"/>
    <w:rsid w:val="00311630"/>
    <w:rsid w:val="0031364E"/>
    <w:rsid w:val="00313F0F"/>
    <w:rsid w:val="003166F3"/>
    <w:rsid w:val="003178DC"/>
    <w:rsid w:val="00320607"/>
    <w:rsid w:val="00321260"/>
    <w:rsid w:val="00321C0D"/>
    <w:rsid w:val="00323DF2"/>
    <w:rsid w:val="0032579F"/>
    <w:rsid w:val="00325D64"/>
    <w:rsid w:val="00326788"/>
    <w:rsid w:val="00327C58"/>
    <w:rsid w:val="00327FE1"/>
    <w:rsid w:val="0033091D"/>
    <w:rsid w:val="00331138"/>
    <w:rsid w:val="003314E5"/>
    <w:rsid w:val="00331F5A"/>
    <w:rsid w:val="00332291"/>
    <w:rsid w:val="00333737"/>
    <w:rsid w:val="00337753"/>
    <w:rsid w:val="003405EB"/>
    <w:rsid w:val="00341433"/>
    <w:rsid w:val="0034214B"/>
    <w:rsid w:val="00342273"/>
    <w:rsid w:val="0034289F"/>
    <w:rsid w:val="00346BA5"/>
    <w:rsid w:val="00347C77"/>
    <w:rsid w:val="003509EF"/>
    <w:rsid w:val="003512CC"/>
    <w:rsid w:val="00352249"/>
    <w:rsid w:val="003557C8"/>
    <w:rsid w:val="00355DBF"/>
    <w:rsid w:val="00360AC5"/>
    <w:rsid w:val="00361D10"/>
    <w:rsid w:val="00363766"/>
    <w:rsid w:val="003673DB"/>
    <w:rsid w:val="00371776"/>
    <w:rsid w:val="00374617"/>
    <w:rsid w:val="003766E2"/>
    <w:rsid w:val="00381ADD"/>
    <w:rsid w:val="003824E3"/>
    <w:rsid w:val="003829F3"/>
    <w:rsid w:val="00382C4E"/>
    <w:rsid w:val="003845DD"/>
    <w:rsid w:val="00387422"/>
    <w:rsid w:val="003876C5"/>
    <w:rsid w:val="00390996"/>
    <w:rsid w:val="003A4636"/>
    <w:rsid w:val="003A4939"/>
    <w:rsid w:val="003B2933"/>
    <w:rsid w:val="003B3712"/>
    <w:rsid w:val="003B3DFA"/>
    <w:rsid w:val="003B6309"/>
    <w:rsid w:val="003C02F7"/>
    <w:rsid w:val="003C0D18"/>
    <w:rsid w:val="003C16E5"/>
    <w:rsid w:val="003C16EB"/>
    <w:rsid w:val="003C1C9A"/>
    <w:rsid w:val="003C2A07"/>
    <w:rsid w:val="003C7293"/>
    <w:rsid w:val="003D29B7"/>
    <w:rsid w:val="003D46D9"/>
    <w:rsid w:val="003E0991"/>
    <w:rsid w:val="003E11BA"/>
    <w:rsid w:val="003E69B8"/>
    <w:rsid w:val="003E6E3B"/>
    <w:rsid w:val="003F08F8"/>
    <w:rsid w:val="003F2583"/>
    <w:rsid w:val="003F5A84"/>
    <w:rsid w:val="00403F6B"/>
    <w:rsid w:val="00404241"/>
    <w:rsid w:val="00405BD6"/>
    <w:rsid w:val="00407AAA"/>
    <w:rsid w:val="00410058"/>
    <w:rsid w:val="00417041"/>
    <w:rsid w:val="004178FE"/>
    <w:rsid w:val="00417B10"/>
    <w:rsid w:val="00417DE9"/>
    <w:rsid w:val="00423377"/>
    <w:rsid w:val="00425FE8"/>
    <w:rsid w:val="00427483"/>
    <w:rsid w:val="00431678"/>
    <w:rsid w:val="00436C65"/>
    <w:rsid w:val="00436D52"/>
    <w:rsid w:val="0044019E"/>
    <w:rsid w:val="00440CF1"/>
    <w:rsid w:val="00442184"/>
    <w:rsid w:val="00445784"/>
    <w:rsid w:val="00445D4E"/>
    <w:rsid w:val="00447C09"/>
    <w:rsid w:val="00461F74"/>
    <w:rsid w:val="00463412"/>
    <w:rsid w:val="00463537"/>
    <w:rsid w:val="00463976"/>
    <w:rsid w:val="00463F83"/>
    <w:rsid w:val="00477B63"/>
    <w:rsid w:val="00480DEE"/>
    <w:rsid w:val="004823AC"/>
    <w:rsid w:val="00490D74"/>
    <w:rsid w:val="00491506"/>
    <w:rsid w:val="004945AA"/>
    <w:rsid w:val="00495AC9"/>
    <w:rsid w:val="00495BA7"/>
    <w:rsid w:val="00497F1D"/>
    <w:rsid w:val="004A10C4"/>
    <w:rsid w:val="004A127A"/>
    <w:rsid w:val="004A1D03"/>
    <w:rsid w:val="004A1D3C"/>
    <w:rsid w:val="004A33FF"/>
    <w:rsid w:val="004A3B2C"/>
    <w:rsid w:val="004A4F91"/>
    <w:rsid w:val="004A620F"/>
    <w:rsid w:val="004A7244"/>
    <w:rsid w:val="004B11F1"/>
    <w:rsid w:val="004B144C"/>
    <w:rsid w:val="004B1F23"/>
    <w:rsid w:val="004B36FD"/>
    <w:rsid w:val="004B5DDC"/>
    <w:rsid w:val="004B5F8C"/>
    <w:rsid w:val="004C02F2"/>
    <w:rsid w:val="004C1784"/>
    <w:rsid w:val="004C1825"/>
    <w:rsid w:val="004C3392"/>
    <w:rsid w:val="004C5620"/>
    <w:rsid w:val="004D0A3A"/>
    <w:rsid w:val="004D1170"/>
    <w:rsid w:val="004D293D"/>
    <w:rsid w:val="004D3ACB"/>
    <w:rsid w:val="004D3E69"/>
    <w:rsid w:val="004D63D7"/>
    <w:rsid w:val="004D6D0A"/>
    <w:rsid w:val="004E2222"/>
    <w:rsid w:val="004E305F"/>
    <w:rsid w:val="004E3FAA"/>
    <w:rsid w:val="004E4D18"/>
    <w:rsid w:val="004E696E"/>
    <w:rsid w:val="004E6C6E"/>
    <w:rsid w:val="004F3234"/>
    <w:rsid w:val="005045DD"/>
    <w:rsid w:val="005052C5"/>
    <w:rsid w:val="00506557"/>
    <w:rsid w:val="00511CEE"/>
    <w:rsid w:val="005128CE"/>
    <w:rsid w:val="00513A94"/>
    <w:rsid w:val="005153E1"/>
    <w:rsid w:val="00515B61"/>
    <w:rsid w:val="00520571"/>
    <w:rsid w:val="00522BC3"/>
    <w:rsid w:val="00524DF1"/>
    <w:rsid w:val="00525150"/>
    <w:rsid w:val="00525D15"/>
    <w:rsid w:val="00533EF6"/>
    <w:rsid w:val="005341B2"/>
    <w:rsid w:val="00535597"/>
    <w:rsid w:val="00535B99"/>
    <w:rsid w:val="0053614D"/>
    <w:rsid w:val="00540B29"/>
    <w:rsid w:val="00540DA9"/>
    <w:rsid w:val="00540DAB"/>
    <w:rsid w:val="00545CA7"/>
    <w:rsid w:val="005460B3"/>
    <w:rsid w:val="00550AD3"/>
    <w:rsid w:val="00551CF2"/>
    <w:rsid w:val="005530E9"/>
    <w:rsid w:val="005534A6"/>
    <w:rsid w:val="0055355D"/>
    <w:rsid w:val="00554A8F"/>
    <w:rsid w:val="00556A8E"/>
    <w:rsid w:val="005624A6"/>
    <w:rsid w:val="0056451F"/>
    <w:rsid w:val="00566CED"/>
    <w:rsid w:val="0057214E"/>
    <w:rsid w:val="00572792"/>
    <w:rsid w:val="005735BD"/>
    <w:rsid w:val="00575FCE"/>
    <w:rsid w:val="005777CB"/>
    <w:rsid w:val="00577D8C"/>
    <w:rsid w:val="00580EDE"/>
    <w:rsid w:val="00581B23"/>
    <w:rsid w:val="00582C9A"/>
    <w:rsid w:val="00582D1D"/>
    <w:rsid w:val="00587D3C"/>
    <w:rsid w:val="00592C13"/>
    <w:rsid w:val="0059307C"/>
    <w:rsid w:val="00594557"/>
    <w:rsid w:val="005A23BC"/>
    <w:rsid w:val="005A4AF9"/>
    <w:rsid w:val="005A5C37"/>
    <w:rsid w:val="005A5E04"/>
    <w:rsid w:val="005A5F0C"/>
    <w:rsid w:val="005B1BC9"/>
    <w:rsid w:val="005B1C11"/>
    <w:rsid w:val="005B396C"/>
    <w:rsid w:val="005B4B9F"/>
    <w:rsid w:val="005B56B9"/>
    <w:rsid w:val="005B7DAD"/>
    <w:rsid w:val="005C0D2F"/>
    <w:rsid w:val="005C18F2"/>
    <w:rsid w:val="005C3931"/>
    <w:rsid w:val="005C4D64"/>
    <w:rsid w:val="005C56AE"/>
    <w:rsid w:val="005C5893"/>
    <w:rsid w:val="005C7FA2"/>
    <w:rsid w:val="005D2865"/>
    <w:rsid w:val="005D5CF3"/>
    <w:rsid w:val="005E0678"/>
    <w:rsid w:val="005E1C24"/>
    <w:rsid w:val="005E402C"/>
    <w:rsid w:val="005E5BF5"/>
    <w:rsid w:val="005E71FB"/>
    <w:rsid w:val="005F0188"/>
    <w:rsid w:val="005F1403"/>
    <w:rsid w:val="005F2700"/>
    <w:rsid w:val="005F3924"/>
    <w:rsid w:val="005F7E99"/>
    <w:rsid w:val="00601263"/>
    <w:rsid w:val="0060669C"/>
    <w:rsid w:val="00606B7F"/>
    <w:rsid w:val="00610931"/>
    <w:rsid w:val="00611AF7"/>
    <w:rsid w:val="00614CC2"/>
    <w:rsid w:val="0061555F"/>
    <w:rsid w:val="00616B9C"/>
    <w:rsid w:val="006176D9"/>
    <w:rsid w:val="00617983"/>
    <w:rsid w:val="0062005D"/>
    <w:rsid w:val="006200D7"/>
    <w:rsid w:val="00622D58"/>
    <w:rsid w:val="00623043"/>
    <w:rsid w:val="0062309B"/>
    <w:rsid w:val="00626674"/>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DB7"/>
    <w:rsid w:val="00656524"/>
    <w:rsid w:val="00661B45"/>
    <w:rsid w:val="00664748"/>
    <w:rsid w:val="00667CD3"/>
    <w:rsid w:val="00672D75"/>
    <w:rsid w:val="00673674"/>
    <w:rsid w:val="00673B72"/>
    <w:rsid w:val="006776F3"/>
    <w:rsid w:val="006776FA"/>
    <w:rsid w:val="006820EF"/>
    <w:rsid w:val="00683028"/>
    <w:rsid w:val="00684537"/>
    <w:rsid w:val="0068558E"/>
    <w:rsid w:val="00691066"/>
    <w:rsid w:val="006A0BE0"/>
    <w:rsid w:val="006B1EF9"/>
    <w:rsid w:val="006B28C4"/>
    <w:rsid w:val="006B28EA"/>
    <w:rsid w:val="006B533E"/>
    <w:rsid w:val="006B56AF"/>
    <w:rsid w:val="006C1FA3"/>
    <w:rsid w:val="006C4FE3"/>
    <w:rsid w:val="006C6414"/>
    <w:rsid w:val="006C73F1"/>
    <w:rsid w:val="006D1CD8"/>
    <w:rsid w:val="006D21DF"/>
    <w:rsid w:val="006D3E59"/>
    <w:rsid w:val="006E0512"/>
    <w:rsid w:val="006E1142"/>
    <w:rsid w:val="006E1CB8"/>
    <w:rsid w:val="006E2548"/>
    <w:rsid w:val="006E76A4"/>
    <w:rsid w:val="006F0378"/>
    <w:rsid w:val="006F1CA2"/>
    <w:rsid w:val="006F5956"/>
    <w:rsid w:val="006F5A5D"/>
    <w:rsid w:val="006F6775"/>
    <w:rsid w:val="007017A6"/>
    <w:rsid w:val="00703D38"/>
    <w:rsid w:val="00703DF1"/>
    <w:rsid w:val="007050B6"/>
    <w:rsid w:val="007067D4"/>
    <w:rsid w:val="007068BB"/>
    <w:rsid w:val="00707523"/>
    <w:rsid w:val="00710510"/>
    <w:rsid w:val="00711BA0"/>
    <w:rsid w:val="00717B1B"/>
    <w:rsid w:val="00720DC3"/>
    <w:rsid w:val="0072266A"/>
    <w:rsid w:val="00723510"/>
    <w:rsid w:val="00727882"/>
    <w:rsid w:val="00730FC9"/>
    <w:rsid w:val="00731455"/>
    <w:rsid w:val="007320E1"/>
    <w:rsid w:val="00733601"/>
    <w:rsid w:val="00736364"/>
    <w:rsid w:val="0074084E"/>
    <w:rsid w:val="007450A6"/>
    <w:rsid w:val="00746629"/>
    <w:rsid w:val="0075305B"/>
    <w:rsid w:val="007533E9"/>
    <w:rsid w:val="007565BA"/>
    <w:rsid w:val="007637CA"/>
    <w:rsid w:val="00766C4C"/>
    <w:rsid w:val="00767C82"/>
    <w:rsid w:val="0077297A"/>
    <w:rsid w:val="0077352A"/>
    <w:rsid w:val="00773AD6"/>
    <w:rsid w:val="00775CE7"/>
    <w:rsid w:val="007761C7"/>
    <w:rsid w:val="00776502"/>
    <w:rsid w:val="0078255B"/>
    <w:rsid w:val="0078266E"/>
    <w:rsid w:val="00783C11"/>
    <w:rsid w:val="00784B85"/>
    <w:rsid w:val="00786221"/>
    <w:rsid w:val="00787E6A"/>
    <w:rsid w:val="007945CC"/>
    <w:rsid w:val="0079521F"/>
    <w:rsid w:val="00796210"/>
    <w:rsid w:val="007A0186"/>
    <w:rsid w:val="007A2896"/>
    <w:rsid w:val="007A3D34"/>
    <w:rsid w:val="007A497A"/>
    <w:rsid w:val="007B1359"/>
    <w:rsid w:val="007B2662"/>
    <w:rsid w:val="007B31D6"/>
    <w:rsid w:val="007B3FE3"/>
    <w:rsid w:val="007B4123"/>
    <w:rsid w:val="007B4C29"/>
    <w:rsid w:val="007B642A"/>
    <w:rsid w:val="007B70BE"/>
    <w:rsid w:val="007B749D"/>
    <w:rsid w:val="007B76B8"/>
    <w:rsid w:val="007C0694"/>
    <w:rsid w:val="007C1E38"/>
    <w:rsid w:val="007C5E25"/>
    <w:rsid w:val="007C7981"/>
    <w:rsid w:val="007D1CB5"/>
    <w:rsid w:val="007D2697"/>
    <w:rsid w:val="007D3034"/>
    <w:rsid w:val="007D3B90"/>
    <w:rsid w:val="007D5B16"/>
    <w:rsid w:val="007D6646"/>
    <w:rsid w:val="007D7829"/>
    <w:rsid w:val="007E27A5"/>
    <w:rsid w:val="007E2FD6"/>
    <w:rsid w:val="007E3D8E"/>
    <w:rsid w:val="007F14D2"/>
    <w:rsid w:val="007F1726"/>
    <w:rsid w:val="007F6367"/>
    <w:rsid w:val="007F66B0"/>
    <w:rsid w:val="007F74E0"/>
    <w:rsid w:val="0080204F"/>
    <w:rsid w:val="00802943"/>
    <w:rsid w:val="00802D45"/>
    <w:rsid w:val="00805168"/>
    <w:rsid w:val="00811555"/>
    <w:rsid w:val="00813F95"/>
    <w:rsid w:val="00816E5E"/>
    <w:rsid w:val="00817D11"/>
    <w:rsid w:val="00820359"/>
    <w:rsid w:val="00820F3F"/>
    <w:rsid w:val="00822A85"/>
    <w:rsid w:val="008230A3"/>
    <w:rsid w:val="008234C8"/>
    <w:rsid w:val="00827F83"/>
    <w:rsid w:val="008339E5"/>
    <w:rsid w:val="00835A1C"/>
    <w:rsid w:val="0084103D"/>
    <w:rsid w:val="008445A9"/>
    <w:rsid w:val="008446A5"/>
    <w:rsid w:val="00846640"/>
    <w:rsid w:val="0084723C"/>
    <w:rsid w:val="00851C99"/>
    <w:rsid w:val="008554C6"/>
    <w:rsid w:val="00855D60"/>
    <w:rsid w:val="00855ECB"/>
    <w:rsid w:val="00856E34"/>
    <w:rsid w:val="0086002F"/>
    <w:rsid w:val="00861FBF"/>
    <w:rsid w:val="008647B8"/>
    <w:rsid w:val="008662AE"/>
    <w:rsid w:val="0086714A"/>
    <w:rsid w:val="00871619"/>
    <w:rsid w:val="00877ECE"/>
    <w:rsid w:val="00884890"/>
    <w:rsid w:val="00886204"/>
    <w:rsid w:val="0088779A"/>
    <w:rsid w:val="00892747"/>
    <w:rsid w:val="00894834"/>
    <w:rsid w:val="008A1DB6"/>
    <w:rsid w:val="008A363A"/>
    <w:rsid w:val="008A478A"/>
    <w:rsid w:val="008B1376"/>
    <w:rsid w:val="008B2121"/>
    <w:rsid w:val="008B4652"/>
    <w:rsid w:val="008B49CF"/>
    <w:rsid w:val="008B7358"/>
    <w:rsid w:val="008C1D3A"/>
    <w:rsid w:val="008C3612"/>
    <w:rsid w:val="008C5558"/>
    <w:rsid w:val="008C5E96"/>
    <w:rsid w:val="008D29FD"/>
    <w:rsid w:val="008D6041"/>
    <w:rsid w:val="008D6262"/>
    <w:rsid w:val="008D62FD"/>
    <w:rsid w:val="008D6C57"/>
    <w:rsid w:val="008D7505"/>
    <w:rsid w:val="008E52B3"/>
    <w:rsid w:val="008E6222"/>
    <w:rsid w:val="008E62F8"/>
    <w:rsid w:val="008E698D"/>
    <w:rsid w:val="008F21EE"/>
    <w:rsid w:val="008F3E71"/>
    <w:rsid w:val="008F5062"/>
    <w:rsid w:val="008F5D18"/>
    <w:rsid w:val="008F7B9F"/>
    <w:rsid w:val="0090123B"/>
    <w:rsid w:val="00902868"/>
    <w:rsid w:val="00902B5B"/>
    <w:rsid w:val="009126EA"/>
    <w:rsid w:val="00913C55"/>
    <w:rsid w:val="009143BB"/>
    <w:rsid w:val="009179F9"/>
    <w:rsid w:val="00923CE7"/>
    <w:rsid w:val="00924766"/>
    <w:rsid w:val="009247BA"/>
    <w:rsid w:val="00926FF3"/>
    <w:rsid w:val="009334ED"/>
    <w:rsid w:val="00935503"/>
    <w:rsid w:val="00935971"/>
    <w:rsid w:val="009370D0"/>
    <w:rsid w:val="00937CD2"/>
    <w:rsid w:val="0094332B"/>
    <w:rsid w:val="00943AE8"/>
    <w:rsid w:val="00945305"/>
    <w:rsid w:val="009466AE"/>
    <w:rsid w:val="00947B1F"/>
    <w:rsid w:val="00950E1B"/>
    <w:rsid w:val="00952946"/>
    <w:rsid w:val="0096323C"/>
    <w:rsid w:val="00963555"/>
    <w:rsid w:val="00966D0E"/>
    <w:rsid w:val="00970368"/>
    <w:rsid w:val="00970455"/>
    <w:rsid w:val="009710D1"/>
    <w:rsid w:val="0097146F"/>
    <w:rsid w:val="00972CC2"/>
    <w:rsid w:val="0097438B"/>
    <w:rsid w:val="00974779"/>
    <w:rsid w:val="00974F83"/>
    <w:rsid w:val="00974FCB"/>
    <w:rsid w:val="009754D4"/>
    <w:rsid w:val="00980310"/>
    <w:rsid w:val="00980463"/>
    <w:rsid w:val="00983DB3"/>
    <w:rsid w:val="00984327"/>
    <w:rsid w:val="009844DA"/>
    <w:rsid w:val="00984884"/>
    <w:rsid w:val="0098621A"/>
    <w:rsid w:val="009862D1"/>
    <w:rsid w:val="0098651B"/>
    <w:rsid w:val="00986585"/>
    <w:rsid w:val="00986CDE"/>
    <w:rsid w:val="009871F3"/>
    <w:rsid w:val="00990CD6"/>
    <w:rsid w:val="009958D6"/>
    <w:rsid w:val="0099603B"/>
    <w:rsid w:val="009A6D73"/>
    <w:rsid w:val="009A74B2"/>
    <w:rsid w:val="009B140D"/>
    <w:rsid w:val="009B2598"/>
    <w:rsid w:val="009B3B7C"/>
    <w:rsid w:val="009B4CE6"/>
    <w:rsid w:val="009C4C3E"/>
    <w:rsid w:val="009C50E9"/>
    <w:rsid w:val="009C611C"/>
    <w:rsid w:val="009C6E79"/>
    <w:rsid w:val="009D3C84"/>
    <w:rsid w:val="009D3C8B"/>
    <w:rsid w:val="009D447D"/>
    <w:rsid w:val="009E2FFF"/>
    <w:rsid w:val="009E3957"/>
    <w:rsid w:val="009F0253"/>
    <w:rsid w:val="009F0C88"/>
    <w:rsid w:val="009F0F79"/>
    <w:rsid w:val="009F391C"/>
    <w:rsid w:val="009F71BB"/>
    <w:rsid w:val="00A005A3"/>
    <w:rsid w:val="00A01613"/>
    <w:rsid w:val="00A0617E"/>
    <w:rsid w:val="00A101A3"/>
    <w:rsid w:val="00A10F9A"/>
    <w:rsid w:val="00A1325A"/>
    <w:rsid w:val="00A138AE"/>
    <w:rsid w:val="00A16F44"/>
    <w:rsid w:val="00A20358"/>
    <w:rsid w:val="00A20611"/>
    <w:rsid w:val="00A20F8B"/>
    <w:rsid w:val="00A217C4"/>
    <w:rsid w:val="00A21D52"/>
    <w:rsid w:val="00A21EB3"/>
    <w:rsid w:val="00A2241B"/>
    <w:rsid w:val="00A22AF6"/>
    <w:rsid w:val="00A23774"/>
    <w:rsid w:val="00A272A9"/>
    <w:rsid w:val="00A27FFA"/>
    <w:rsid w:val="00A30A84"/>
    <w:rsid w:val="00A32C43"/>
    <w:rsid w:val="00A32EAC"/>
    <w:rsid w:val="00A35900"/>
    <w:rsid w:val="00A36843"/>
    <w:rsid w:val="00A4017E"/>
    <w:rsid w:val="00A40AF4"/>
    <w:rsid w:val="00A40B62"/>
    <w:rsid w:val="00A41039"/>
    <w:rsid w:val="00A41040"/>
    <w:rsid w:val="00A41670"/>
    <w:rsid w:val="00A42B41"/>
    <w:rsid w:val="00A42F5F"/>
    <w:rsid w:val="00A433AB"/>
    <w:rsid w:val="00A44421"/>
    <w:rsid w:val="00A45454"/>
    <w:rsid w:val="00A46D72"/>
    <w:rsid w:val="00A50947"/>
    <w:rsid w:val="00A50B5F"/>
    <w:rsid w:val="00A51D24"/>
    <w:rsid w:val="00A57393"/>
    <w:rsid w:val="00A6299B"/>
    <w:rsid w:val="00A639CB"/>
    <w:rsid w:val="00A671BF"/>
    <w:rsid w:val="00A67BD7"/>
    <w:rsid w:val="00A73398"/>
    <w:rsid w:val="00A73505"/>
    <w:rsid w:val="00A8187C"/>
    <w:rsid w:val="00A8352B"/>
    <w:rsid w:val="00A83F09"/>
    <w:rsid w:val="00A847D8"/>
    <w:rsid w:val="00A848B1"/>
    <w:rsid w:val="00A86C25"/>
    <w:rsid w:val="00A93D60"/>
    <w:rsid w:val="00A93F54"/>
    <w:rsid w:val="00A94A5C"/>
    <w:rsid w:val="00AA005E"/>
    <w:rsid w:val="00AA05EE"/>
    <w:rsid w:val="00AA092E"/>
    <w:rsid w:val="00AA1F3C"/>
    <w:rsid w:val="00AA3E54"/>
    <w:rsid w:val="00AA5353"/>
    <w:rsid w:val="00AA5CFD"/>
    <w:rsid w:val="00AA699D"/>
    <w:rsid w:val="00AA7D47"/>
    <w:rsid w:val="00AB3000"/>
    <w:rsid w:val="00AB3207"/>
    <w:rsid w:val="00AB6E93"/>
    <w:rsid w:val="00AC53D6"/>
    <w:rsid w:val="00AC7CBA"/>
    <w:rsid w:val="00AD4D5D"/>
    <w:rsid w:val="00AD70B2"/>
    <w:rsid w:val="00AD7C8E"/>
    <w:rsid w:val="00AE02DA"/>
    <w:rsid w:val="00AE2ADC"/>
    <w:rsid w:val="00AE4B8C"/>
    <w:rsid w:val="00AF0BF6"/>
    <w:rsid w:val="00AF1308"/>
    <w:rsid w:val="00AF2004"/>
    <w:rsid w:val="00AF3B57"/>
    <w:rsid w:val="00AF3CC2"/>
    <w:rsid w:val="00B00371"/>
    <w:rsid w:val="00B01DA4"/>
    <w:rsid w:val="00B0298A"/>
    <w:rsid w:val="00B038CD"/>
    <w:rsid w:val="00B03DD6"/>
    <w:rsid w:val="00B0441E"/>
    <w:rsid w:val="00B04EC7"/>
    <w:rsid w:val="00B11EA8"/>
    <w:rsid w:val="00B13302"/>
    <w:rsid w:val="00B158FA"/>
    <w:rsid w:val="00B20C83"/>
    <w:rsid w:val="00B21184"/>
    <w:rsid w:val="00B23343"/>
    <w:rsid w:val="00B2481D"/>
    <w:rsid w:val="00B2777B"/>
    <w:rsid w:val="00B27E27"/>
    <w:rsid w:val="00B30269"/>
    <w:rsid w:val="00B3352C"/>
    <w:rsid w:val="00B342C0"/>
    <w:rsid w:val="00B35168"/>
    <w:rsid w:val="00B37467"/>
    <w:rsid w:val="00B41412"/>
    <w:rsid w:val="00B41A9F"/>
    <w:rsid w:val="00B4364D"/>
    <w:rsid w:val="00B43CE3"/>
    <w:rsid w:val="00B46827"/>
    <w:rsid w:val="00B46B92"/>
    <w:rsid w:val="00B54797"/>
    <w:rsid w:val="00B557EE"/>
    <w:rsid w:val="00B55B06"/>
    <w:rsid w:val="00B61FA0"/>
    <w:rsid w:val="00B63047"/>
    <w:rsid w:val="00B63A12"/>
    <w:rsid w:val="00B65576"/>
    <w:rsid w:val="00B659E4"/>
    <w:rsid w:val="00B70E09"/>
    <w:rsid w:val="00B719C9"/>
    <w:rsid w:val="00B73846"/>
    <w:rsid w:val="00B738C0"/>
    <w:rsid w:val="00B7451A"/>
    <w:rsid w:val="00B74C8B"/>
    <w:rsid w:val="00B767F2"/>
    <w:rsid w:val="00B76911"/>
    <w:rsid w:val="00B82FD3"/>
    <w:rsid w:val="00B84C2F"/>
    <w:rsid w:val="00B85ACB"/>
    <w:rsid w:val="00B876C3"/>
    <w:rsid w:val="00B902A0"/>
    <w:rsid w:val="00B906B5"/>
    <w:rsid w:val="00B91AB0"/>
    <w:rsid w:val="00B93AA7"/>
    <w:rsid w:val="00B94182"/>
    <w:rsid w:val="00BA1646"/>
    <w:rsid w:val="00BA1A71"/>
    <w:rsid w:val="00BA6EEF"/>
    <w:rsid w:val="00BA7292"/>
    <w:rsid w:val="00BA7C70"/>
    <w:rsid w:val="00BB08B3"/>
    <w:rsid w:val="00BB3B4F"/>
    <w:rsid w:val="00BB56EC"/>
    <w:rsid w:val="00BB7B36"/>
    <w:rsid w:val="00BC46D4"/>
    <w:rsid w:val="00BC526D"/>
    <w:rsid w:val="00BC5B7B"/>
    <w:rsid w:val="00BD1CC0"/>
    <w:rsid w:val="00BD2123"/>
    <w:rsid w:val="00BD4EB0"/>
    <w:rsid w:val="00BD58F4"/>
    <w:rsid w:val="00BD5958"/>
    <w:rsid w:val="00BD5DDB"/>
    <w:rsid w:val="00BD6B9F"/>
    <w:rsid w:val="00BD78BE"/>
    <w:rsid w:val="00BD7C65"/>
    <w:rsid w:val="00BE2732"/>
    <w:rsid w:val="00BE3B2F"/>
    <w:rsid w:val="00BE41D7"/>
    <w:rsid w:val="00BE6A61"/>
    <w:rsid w:val="00BE6AD6"/>
    <w:rsid w:val="00BF0D34"/>
    <w:rsid w:val="00BF1309"/>
    <w:rsid w:val="00BF1843"/>
    <w:rsid w:val="00BF4F0A"/>
    <w:rsid w:val="00C0542B"/>
    <w:rsid w:val="00C05F0B"/>
    <w:rsid w:val="00C077DB"/>
    <w:rsid w:val="00C10B2E"/>
    <w:rsid w:val="00C12B55"/>
    <w:rsid w:val="00C13D1E"/>
    <w:rsid w:val="00C2198E"/>
    <w:rsid w:val="00C22FB1"/>
    <w:rsid w:val="00C258D8"/>
    <w:rsid w:val="00C30BEA"/>
    <w:rsid w:val="00C32C1C"/>
    <w:rsid w:val="00C32E5D"/>
    <w:rsid w:val="00C331C0"/>
    <w:rsid w:val="00C335A7"/>
    <w:rsid w:val="00C355E4"/>
    <w:rsid w:val="00C3630C"/>
    <w:rsid w:val="00C37823"/>
    <w:rsid w:val="00C37A69"/>
    <w:rsid w:val="00C37F39"/>
    <w:rsid w:val="00C42942"/>
    <w:rsid w:val="00C42EA7"/>
    <w:rsid w:val="00C4454A"/>
    <w:rsid w:val="00C463A9"/>
    <w:rsid w:val="00C46F21"/>
    <w:rsid w:val="00C50B35"/>
    <w:rsid w:val="00C51115"/>
    <w:rsid w:val="00C52CC8"/>
    <w:rsid w:val="00C54CEF"/>
    <w:rsid w:val="00C55334"/>
    <w:rsid w:val="00C56B80"/>
    <w:rsid w:val="00C61DB6"/>
    <w:rsid w:val="00C64FF5"/>
    <w:rsid w:val="00C6657F"/>
    <w:rsid w:val="00C70696"/>
    <w:rsid w:val="00C711D9"/>
    <w:rsid w:val="00C7409C"/>
    <w:rsid w:val="00C7542A"/>
    <w:rsid w:val="00C76C11"/>
    <w:rsid w:val="00C81286"/>
    <w:rsid w:val="00C812DD"/>
    <w:rsid w:val="00C818D7"/>
    <w:rsid w:val="00C824AD"/>
    <w:rsid w:val="00C8481E"/>
    <w:rsid w:val="00C84BA0"/>
    <w:rsid w:val="00C90075"/>
    <w:rsid w:val="00C91090"/>
    <w:rsid w:val="00C92305"/>
    <w:rsid w:val="00C930F1"/>
    <w:rsid w:val="00C93E5E"/>
    <w:rsid w:val="00C94B7B"/>
    <w:rsid w:val="00C965C4"/>
    <w:rsid w:val="00C97525"/>
    <w:rsid w:val="00CA15BA"/>
    <w:rsid w:val="00CA5712"/>
    <w:rsid w:val="00CB08D4"/>
    <w:rsid w:val="00CB397B"/>
    <w:rsid w:val="00CB667E"/>
    <w:rsid w:val="00CB7318"/>
    <w:rsid w:val="00CC3CCD"/>
    <w:rsid w:val="00CC4204"/>
    <w:rsid w:val="00CC6C84"/>
    <w:rsid w:val="00CC71D7"/>
    <w:rsid w:val="00CC7B56"/>
    <w:rsid w:val="00CC7BA6"/>
    <w:rsid w:val="00CD09A0"/>
    <w:rsid w:val="00CD0EEB"/>
    <w:rsid w:val="00CD3377"/>
    <w:rsid w:val="00CD40FF"/>
    <w:rsid w:val="00CD50BF"/>
    <w:rsid w:val="00CD6623"/>
    <w:rsid w:val="00CD728B"/>
    <w:rsid w:val="00CE0547"/>
    <w:rsid w:val="00CE112A"/>
    <w:rsid w:val="00CE35FF"/>
    <w:rsid w:val="00CE3C90"/>
    <w:rsid w:val="00CF0B9A"/>
    <w:rsid w:val="00CF269B"/>
    <w:rsid w:val="00CF2FA6"/>
    <w:rsid w:val="00CF5D49"/>
    <w:rsid w:val="00CF6E48"/>
    <w:rsid w:val="00CF7928"/>
    <w:rsid w:val="00D00737"/>
    <w:rsid w:val="00D01890"/>
    <w:rsid w:val="00D0408C"/>
    <w:rsid w:val="00D059AB"/>
    <w:rsid w:val="00D100DD"/>
    <w:rsid w:val="00D10B13"/>
    <w:rsid w:val="00D145EA"/>
    <w:rsid w:val="00D21DFF"/>
    <w:rsid w:val="00D241A8"/>
    <w:rsid w:val="00D25C54"/>
    <w:rsid w:val="00D26074"/>
    <w:rsid w:val="00D269DD"/>
    <w:rsid w:val="00D3043C"/>
    <w:rsid w:val="00D31531"/>
    <w:rsid w:val="00D31D29"/>
    <w:rsid w:val="00D326B8"/>
    <w:rsid w:val="00D335F6"/>
    <w:rsid w:val="00D349E9"/>
    <w:rsid w:val="00D36ADC"/>
    <w:rsid w:val="00D36EF1"/>
    <w:rsid w:val="00D379CB"/>
    <w:rsid w:val="00D37B36"/>
    <w:rsid w:val="00D37EE9"/>
    <w:rsid w:val="00D401BA"/>
    <w:rsid w:val="00D4510A"/>
    <w:rsid w:val="00D46B1B"/>
    <w:rsid w:val="00D47466"/>
    <w:rsid w:val="00D5312D"/>
    <w:rsid w:val="00D53C72"/>
    <w:rsid w:val="00D55454"/>
    <w:rsid w:val="00D55A01"/>
    <w:rsid w:val="00D56DC5"/>
    <w:rsid w:val="00D57BE4"/>
    <w:rsid w:val="00D6232A"/>
    <w:rsid w:val="00D6327F"/>
    <w:rsid w:val="00D650F2"/>
    <w:rsid w:val="00D65409"/>
    <w:rsid w:val="00D66272"/>
    <w:rsid w:val="00D6790D"/>
    <w:rsid w:val="00D72B33"/>
    <w:rsid w:val="00D72E14"/>
    <w:rsid w:val="00D74304"/>
    <w:rsid w:val="00D77DB5"/>
    <w:rsid w:val="00D844CC"/>
    <w:rsid w:val="00D864B9"/>
    <w:rsid w:val="00D91887"/>
    <w:rsid w:val="00D91BB1"/>
    <w:rsid w:val="00D93408"/>
    <w:rsid w:val="00D9382A"/>
    <w:rsid w:val="00D94A1C"/>
    <w:rsid w:val="00D958BC"/>
    <w:rsid w:val="00DA07EE"/>
    <w:rsid w:val="00DA0E15"/>
    <w:rsid w:val="00DA0FDE"/>
    <w:rsid w:val="00DA227D"/>
    <w:rsid w:val="00DA4881"/>
    <w:rsid w:val="00DA5B75"/>
    <w:rsid w:val="00DA7E6D"/>
    <w:rsid w:val="00DB10B5"/>
    <w:rsid w:val="00DB71B8"/>
    <w:rsid w:val="00DB731C"/>
    <w:rsid w:val="00DB791D"/>
    <w:rsid w:val="00DC030F"/>
    <w:rsid w:val="00DC2B34"/>
    <w:rsid w:val="00DC514C"/>
    <w:rsid w:val="00DD1D1C"/>
    <w:rsid w:val="00DD351F"/>
    <w:rsid w:val="00DD3FE5"/>
    <w:rsid w:val="00DE02B4"/>
    <w:rsid w:val="00DE1574"/>
    <w:rsid w:val="00DE62FD"/>
    <w:rsid w:val="00DF14B5"/>
    <w:rsid w:val="00DF1B15"/>
    <w:rsid w:val="00DF1F32"/>
    <w:rsid w:val="00DF292B"/>
    <w:rsid w:val="00DF2C74"/>
    <w:rsid w:val="00DF3712"/>
    <w:rsid w:val="00DF419D"/>
    <w:rsid w:val="00DF7748"/>
    <w:rsid w:val="00DF7A64"/>
    <w:rsid w:val="00E00F3B"/>
    <w:rsid w:val="00E01181"/>
    <w:rsid w:val="00E019E5"/>
    <w:rsid w:val="00E01F93"/>
    <w:rsid w:val="00E02A1F"/>
    <w:rsid w:val="00E0792F"/>
    <w:rsid w:val="00E1180F"/>
    <w:rsid w:val="00E15866"/>
    <w:rsid w:val="00E15DAD"/>
    <w:rsid w:val="00E2000F"/>
    <w:rsid w:val="00E247F9"/>
    <w:rsid w:val="00E31160"/>
    <w:rsid w:val="00E327CE"/>
    <w:rsid w:val="00E33103"/>
    <w:rsid w:val="00E33586"/>
    <w:rsid w:val="00E335C3"/>
    <w:rsid w:val="00E34C2A"/>
    <w:rsid w:val="00E350B9"/>
    <w:rsid w:val="00E36E5B"/>
    <w:rsid w:val="00E42E3D"/>
    <w:rsid w:val="00E439FB"/>
    <w:rsid w:val="00E46236"/>
    <w:rsid w:val="00E5092B"/>
    <w:rsid w:val="00E53AD7"/>
    <w:rsid w:val="00E56044"/>
    <w:rsid w:val="00E57F0F"/>
    <w:rsid w:val="00E63445"/>
    <w:rsid w:val="00E636FE"/>
    <w:rsid w:val="00E63BFE"/>
    <w:rsid w:val="00E64CE3"/>
    <w:rsid w:val="00E67FBF"/>
    <w:rsid w:val="00E71B94"/>
    <w:rsid w:val="00E730D2"/>
    <w:rsid w:val="00E73A2D"/>
    <w:rsid w:val="00E75127"/>
    <w:rsid w:val="00E7644C"/>
    <w:rsid w:val="00E76D58"/>
    <w:rsid w:val="00E8278F"/>
    <w:rsid w:val="00E82FDD"/>
    <w:rsid w:val="00E84FB6"/>
    <w:rsid w:val="00E86BBC"/>
    <w:rsid w:val="00E87449"/>
    <w:rsid w:val="00E903B7"/>
    <w:rsid w:val="00E956B2"/>
    <w:rsid w:val="00E960F7"/>
    <w:rsid w:val="00EA0256"/>
    <w:rsid w:val="00EA0638"/>
    <w:rsid w:val="00EA180B"/>
    <w:rsid w:val="00EA4BFA"/>
    <w:rsid w:val="00EB172B"/>
    <w:rsid w:val="00EB3C3F"/>
    <w:rsid w:val="00EB4531"/>
    <w:rsid w:val="00EB71F8"/>
    <w:rsid w:val="00EC0D8C"/>
    <w:rsid w:val="00EC0ECB"/>
    <w:rsid w:val="00EC20BD"/>
    <w:rsid w:val="00EC2E1F"/>
    <w:rsid w:val="00EC30AF"/>
    <w:rsid w:val="00EC326A"/>
    <w:rsid w:val="00EC37A1"/>
    <w:rsid w:val="00EC4CC2"/>
    <w:rsid w:val="00ED24B1"/>
    <w:rsid w:val="00ED33F0"/>
    <w:rsid w:val="00ED477F"/>
    <w:rsid w:val="00ED6401"/>
    <w:rsid w:val="00ED6A52"/>
    <w:rsid w:val="00EE0C90"/>
    <w:rsid w:val="00EE3DCC"/>
    <w:rsid w:val="00EE7741"/>
    <w:rsid w:val="00EF0E80"/>
    <w:rsid w:val="00EF49D4"/>
    <w:rsid w:val="00EF542C"/>
    <w:rsid w:val="00EF568C"/>
    <w:rsid w:val="00EF5BE7"/>
    <w:rsid w:val="00EF5C73"/>
    <w:rsid w:val="00EF7901"/>
    <w:rsid w:val="00F00410"/>
    <w:rsid w:val="00F02056"/>
    <w:rsid w:val="00F07595"/>
    <w:rsid w:val="00F1054E"/>
    <w:rsid w:val="00F12662"/>
    <w:rsid w:val="00F12D49"/>
    <w:rsid w:val="00F177A4"/>
    <w:rsid w:val="00F21B22"/>
    <w:rsid w:val="00F221B2"/>
    <w:rsid w:val="00F243DC"/>
    <w:rsid w:val="00F2513F"/>
    <w:rsid w:val="00F349A0"/>
    <w:rsid w:val="00F359D2"/>
    <w:rsid w:val="00F36123"/>
    <w:rsid w:val="00F364F5"/>
    <w:rsid w:val="00F36748"/>
    <w:rsid w:val="00F42523"/>
    <w:rsid w:val="00F446FF"/>
    <w:rsid w:val="00F456B9"/>
    <w:rsid w:val="00F457AF"/>
    <w:rsid w:val="00F468F7"/>
    <w:rsid w:val="00F46DDD"/>
    <w:rsid w:val="00F514ED"/>
    <w:rsid w:val="00F51FE0"/>
    <w:rsid w:val="00F53619"/>
    <w:rsid w:val="00F57C02"/>
    <w:rsid w:val="00F57DB3"/>
    <w:rsid w:val="00F6185C"/>
    <w:rsid w:val="00F626DE"/>
    <w:rsid w:val="00F6562B"/>
    <w:rsid w:val="00F6627A"/>
    <w:rsid w:val="00F7138B"/>
    <w:rsid w:val="00F7159E"/>
    <w:rsid w:val="00F7223D"/>
    <w:rsid w:val="00F72277"/>
    <w:rsid w:val="00F73996"/>
    <w:rsid w:val="00F74589"/>
    <w:rsid w:val="00F76A8B"/>
    <w:rsid w:val="00F77138"/>
    <w:rsid w:val="00F80B3B"/>
    <w:rsid w:val="00F81A6C"/>
    <w:rsid w:val="00F81D39"/>
    <w:rsid w:val="00F81ED1"/>
    <w:rsid w:val="00F85485"/>
    <w:rsid w:val="00F854FA"/>
    <w:rsid w:val="00F856B4"/>
    <w:rsid w:val="00F861A9"/>
    <w:rsid w:val="00F87949"/>
    <w:rsid w:val="00F87C54"/>
    <w:rsid w:val="00F87F3D"/>
    <w:rsid w:val="00F91AEC"/>
    <w:rsid w:val="00F97200"/>
    <w:rsid w:val="00F9789B"/>
    <w:rsid w:val="00FA07F1"/>
    <w:rsid w:val="00FB4E5E"/>
    <w:rsid w:val="00FB53CB"/>
    <w:rsid w:val="00FC0A73"/>
    <w:rsid w:val="00FC0AC8"/>
    <w:rsid w:val="00FC1212"/>
    <w:rsid w:val="00FC12B0"/>
    <w:rsid w:val="00FC30B1"/>
    <w:rsid w:val="00FC437A"/>
    <w:rsid w:val="00FC444F"/>
    <w:rsid w:val="00FC537B"/>
    <w:rsid w:val="00FD069B"/>
    <w:rsid w:val="00FD1C3D"/>
    <w:rsid w:val="00FD2316"/>
    <w:rsid w:val="00FD31BB"/>
    <w:rsid w:val="00FD526D"/>
    <w:rsid w:val="00FD7CF7"/>
    <w:rsid w:val="00FD7E44"/>
    <w:rsid w:val="00FE0306"/>
    <w:rsid w:val="00FE3188"/>
    <w:rsid w:val="00FE4BCA"/>
    <w:rsid w:val="00FE6598"/>
    <w:rsid w:val="00FE7483"/>
    <w:rsid w:val="00FF0A0F"/>
    <w:rsid w:val="00FF0C6A"/>
    <w:rsid w:val="00FF1C62"/>
    <w:rsid w:val="00FF1FBC"/>
    <w:rsid w:val="00FF3317"/>
    <w:rsid w:val="00FF5A0C"/>
    <w:rsid w:val="00FF6DC1"/>
    <w:rsid w:val="00FF7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64109041">
      <w:bodyDiv w:val="1"/>
      <w:marLeft w:val="0"/>
      <w:marRight w:val="0"/>
      <w:marTop w:val="0"/>
      <w:marBottom w:val="0"/>
      <w:divBdr>
        <w:top w:val="none" w:sz="0" w:space="0" w:color="auto"/>
        <w:left w:val="none" w:sz="0" w:space="0" w:color="auto"/>
        <w:bottom w:val="none" w:sz="0" w:space="0" w:color="auto"/>
        <w:right w:val="none" w:sz="0" w:space="0" w:color="auto"/>
      </w:divBdr>
      <w:divsChild>
        <w:div w:id="312024639">
          <w:marLeft w:val="0"/>
          <w:marRight w:val="0"/>
          <w:marTop w:val="15"/>
          <w:marBottom w:val="0"/>
          <w:divBdr>
            <w:top w:val="single" w:sz="48" w:space="0" w:color="auto"/>
            <w:left w:val="single" w:sz="48" w:space="0" w:color="auto"/>
            <w:bottom w:val="single" w:sz="48" w:space="0" w:color="auto"/>
            <w:right w:val="single" w:sz="48" w:space="0" w:color="auto"/>
          </w:divBdr>
          <w:divsChild>
            <w:div w:id="1277829389">
              <w:marLeft w:val="0"/>
              <w:marRight w:val="0"/>
              <w:marTop w:val="0"/>
              <w:marBottom w:val="0"/>
              <w:divBdr>
                <w:top w:val="none" w:sz="0" w:space="0" w:color="auto"/>
                <w:left w:val="none" w:sz="0" w:space="0" w:color="auto"/>
                <w:bottom w:val="none" w:sz="0" w:space="0" w:color="auto"/>
                <w:right w:val="none" w:sz="0" w:space="0" w:color="auto"/>
              </w:divBdr>
            </w:div>
          </w:divsChild>
        </w:div>
        <w:div w:id="681585680">
          <w:marLeft w:val="0"/>
          <w:marRight w:val="0"/>
          <w:marTop w:val="15"/>
          <w:marBottom w:val="0"/>
          <w:divBdr>
            <w:top w:val="single" w:sz="48" w:space="0" w:color="auto"/>
            <w:left w:val="single" w:sz="48" w:space="0" w:color="auto"/>
            <w:bottom w:val="single" w:sz="48" w:space="0" w:color="auto"/>
            <w:right w:val="single" w:sz="48" w:space="0" w:color="auto"/>
          </w:divBdr>
          <w:divsChild>
            <w:div w:id="1700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343">
      <w:bodyDiv w:val="1"/>
      <w:marLeft w:val="0"/>
      <w:marRight w:val="0"/>
      <w:marTop w:val="0"/>
      <w:marBottom w:val="0"/>
      <w:divBdr>
        <w:top w:val="none" w:sz="0" w:space="0" w:color="auto"/>
        <w:left w:val="none" w:sz="0" w:space="0" w:color="auto"/>
        <w:bottom w:val="none" w:sz="0" w:space="0" w:color="auto"/>
        <w:right w:val="none" w:sz="0" w:space="0" w:color="auto"/>
      </w:divBdr>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35613540">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737746592">
      <w:bodyDiv w:val="1"/>
      <w:marLeft w:val="0"/>
      <w:marRight w:val="0"/>
      <w:marTop w:val="0"/>
      <w:marBottom w:val="0"/>
      <w:divBdr>
        <w:top w:val="none" w:sz="0" w:space="0" w:color="auto"/>
        <w:left w:val="none" w:sz="0" w:space="0" w:color="auto"/>
        <w:bottom w:val="none" w:sz="0" w:space="0" w:color="auto"/>
        <w:right w:val="none" w:sz="0" w:space="0" w:color="auto"/>
      </w:divBdr>
    </w:div>
    <w:div w:id="866066046">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991131512">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15913356">
      <w:bodyDiv w:val="1"/>
      <w:marLeft w:val="0"/>
      <w:marRight w:val="0"/>
      <w:marTop w:val="0"/>
      <w:marBottom w:val="0"/>
      <w:divBdr>
        <w:top w:val="none" w:sz="0" w:space="0" w:color="auto"/>
        <w:left w:val="none" w:sz="0" w:space="0" w:color="auto"/>
        <w:bottom w:val="none" w:sz="0" w:space="0" w:color="auto"/>
        <w:right w:val="none" w:sz="0" w:space="0" w:color="auto"/>
      </w:divBdr>
    </w:div>
    <w:div w:id="1326325170">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409304927">
      <w:bodyDiv w:val="1"/>
      <w:marLeft w:val="0"/>
      <w:marRight w:val="0"/>
      <w:marTop w:val="0"/>
      <w:marBottom w:val="0"/>
      <w:divBdr>
        <w:top w:val="none" w:sz="0" w:space="0" w:color="auto"/>
        <w:left w:val="none" w:sz="0" w:space="0" w:color="auto"/>
        <w:bottom w:val="none" w:sz="0" w:space="0" w:color="auto"/>
        <w:right w:val="none" w:sz="0" w:space="0" w:color="auto"/>
      </w:divBdr>
      <w:divsChild>
        <w:div w:id="325132604">
          <w:marLeft w:val="0"/>
          <w:marRight w:val="0"/>
          <w:marTop w:val="15"/>
          <w:marBottom w:val="0"/>
          <w:divBdr>
            <w:top w:val="single" w:sz="48" w:space="0" w:color="auto"/>
            <w:left w:val="single" w:sz="48" w:space="0" w:color="auto"/>
            <w:bottom w:val="single" w:sz="48" w:space="0" w:color="auto"/>
            <w:right w:val="single" w:sz="48" w:space="0" w:color="auto"/>
          </w:divBdr>
          <w:divsChild>
            <w:div w:id="96952234">
              <w:marLeft w:val="0"/>
              <w:marRight w:val="0"/>
              <w:marTop w:val="0"/>
              <w:marBottom w:val="0"/>
              <w:divBdr>
                <w:top w:val="none" w:sz="0" w:space="0" w:color="auto"/>
                <w:left w:val="none" w:sz="0" w:space="0" w:color="auto"/>
                <w:bottom w:val="none" w:sz="0" w:space="0" w:color="auto"/>
                <w:right w:val="none" w:sz="0" w:space="0" w:color="auto"/>
              </w:divBdr>
            </w:div>
          </w:divsChild>
        </w:div>
        <w:div w:id="1179201428">
          <w:marLeft w:val="0"/>
          <w:marRight w:val="0"/>
          <w:marTop w:val="15"/>
          <w:marBottom w:val="0"/>
          <w:divBdr>
            <w:top w:val="single" w:sz="48" w:space="0" w:color="auto"/>
            <w:left w:val="single" w:sz="48" w:space="0" w:color="auto"/>
            <w:bottom w:val="single" w:sz="48" w:space="0" w:color="auto"/>
            <w:right w:val="single" w:sz="48" w:space="0" w:color="auto"/>
          </w:divBdr>
          <w:divsChild>
            <w:div w:id="3853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5500">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4">
          <w:marLeft w:val="0"/>
          <w:marRight w:val="0"/>
          <w:marTop w:val="15"/>
          <w:marBottom w:val="0"/>
          <w:divBdr>
            <w:top w:val="single" w:sz="48" w:space="0" w:color="auto"/>
            <w:left w:val="single" w:sz="48" w:space="0" w:color="auto"/>
            <w:bottom w:val="single" w:sz="48" w:space="0" w:color="auto"/>
            <w:right w:val="single" w:sz="48" w:space="0" w:color="auto"/>
          </w:divBdr>
          <w:divsChild>
            <w:div w:id="1769693726">
              <w:marLeft w:val="0"/>
              <w:marRight w:val="0"/>
              <w:marTop w:val="0"/>
              <w:marBottom w:val="0"/>
              <w:divBdr>
                <w:top w:val="none" w:sz="0" w:space="0" w:color="auto"/>
                <w:left w:val="none" w:sz="0" w:space="0" w:color="auto"/>
                <w:bottom w:val="none" w:sz="0" w:space="0" w:color="auto"/>
                <w:right w:val="none" w:sz="0" w:space="0" w:color="auto"/>
              </w:divBdr>
            </w:div>
          </w:divsChild>
        </w:div>
        <w:div w:id="2088725043">
          <w:marLeft w:val="0"/>
          <w:marRight w:val="0"/>
          <w:marTop w:val="15"/>
          <w:marBottom w:val="0"/>
          <w:divBdr>
            <w:top w:val="single" w:sz="48" w:space="0" w:color="auto"/>
            <w:left w:val="single" w:sz="48" w:space="0" w:color="auto"/>
            <w:bottom w:val="single" w:sz="48" w:space="0" w:color="auto"/>
            <w:right w:val="single" w:sz="48" w:space="0" w:color="auto"/>
          </w:divBdr>
          <w:divsChild>
            <w:div w:id="21421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72008014">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381.pdf" TargetMode="External"/><Relationship Id="rId13" Type="http://schemas.openxmlformats.org/officeDocument/2006/relationships/hyperlink" Target="https://likumi.lv/ta/id/119363-par-likuma-par-valsts-noslepumu-11-panta-sestas-dalas-atbilstibu-latvijas-republikas-satversmes-92-pantam" TargetMode="External"/><Relationship Id="rId18" Type="http://schemas.openxmlformats.org/officeDocument/2006/relationships/hyperlink" Target="https://hudoc.echr.coe.int/eng?i=001-1276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317628-par-imigracijas-likuma-61-panta-astotas-dalas-un-63-panta-septitas-dalas-atbilstibu-latvijas-republikas-satversmes-92-panta" TargetMode="External"/><Relationship Id="rId7" Type="http://schemas.openxmlformats.org/officeDocument/2006/relationships/endnotes" Target="endnotes.xml"/><Relationship Id="rId12" Type="http://schemas.openxmlformats.org/officeDocument/2006/relationships/hyperlink" Target="https://likumi.lv/ta/id/59566-par-latvijas-kriminalprocesa-kodeksa-390-392-2-panta-un-1997-gada-20-februara-likuma-grozijumi-latvijas-kriminalprocesa-kodeksa" TargetMode="External"/><Relationship Id="rId17" Type="http://schemas.openxmlformats.org/officeDocument/2006/relationships/hyperlink" Target="https://hudoc.echr.coe.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63675-par-civilprocesa-likuma-483-un-484-panta-atbilstibu-latvijas-republikas-satversmes-92-panta-pirmajam-teikumam" TargetMode="External"/><Relationship Id="rId20" Type="http://schemas.openxmlformats.org/officeDocument/2006/relationships/hyperlink" Target="https://hudoc.echr.coe.int/?i=001-2055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2/SaeimaLIVS12.nsf/0/3B73AE993EF5DF53C225829500494119?OpenDocu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97554-par-imigracijas-likuma-61-panta-sestas-dalas-atbilstibu-latvijas-republikas-satversmes-92-pantam" TargetMode="External"/><Relationship Id="rId23" Type="http://schemas.openxmlformats.org/officeDocument/2006/relationships/hyperlink" Target="https://hudoc.echr.coe.int/eng?i=001-115853" TargetMode="External"/><Relationship Id="rId10" Type="http://schemas.openxmlformats.org/officeDocument/2006/relationships/hyperlink" Target="https://likumi.lv/ta/id/338094-par-likuma-par-tiesu-varu-55-panta-3-punkta-atbilstibu-latvijas-republikas-satversmes-101-panta-pirmajai-dalai-un-106-panta" TargetMode="External"/><Relationship Id="rId19" Type="http://schemas.openxmlformats.org/officeDocument/2006/relationships/hyperlink" Target="https://hudoc.echr.coe.int/eng?i=001-127684" TargetMode="External"/><Relationship Id="rId4" Type="http://schemas.openxmlformats.org/officeDocument/2006/relationships/settings" Target="settings.xml"/><Relationship Id="rId9" Type="http://schemas.openxmlformats.org/officeDocument/2006/relationships/hyperlink" Target="https://likumi.lv/ta/id/322004-par-bernu-tiesibu-aizsardzibas-likuma-72-panta-piektas-dalas-1-punkta-atbilstibu-latvijas-republikas-satversmes-91-panta-pirmajam" TargetMode="External"/><Relationship Id="rId14" Type="http://schemas.openxmlformats.org/officeDocument/2006/relationships/hyperlink" Target="https://likumi.lv/ta/id/317628-par-imigracijas-likuma-61-panta-astotas-dalas-un-63-panta-septitas-dalas-atbilstibu-latvijas-republikas-satversmes-92-panta" TargetMode="External"/><Relationship Id="rId22" Type="http://schemas.openxmlformats.org/officeDocument/2006/relationships/hyperlink" Target="https://hudoc.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472C-8048-41CA-92BF-F6A83141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19289</Words>
  <Characters>10995</Characters>
  <Application>Microsoft Office Word</Application>
  <DocSecurity>0</DocSecurity>
  <Lines>91</Lines>
  <Paragraphs>60</Paragraphs>
  <ScaleCrop>false</ScaleCrop>
  <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2024-02-22T17:05:00Z</dcterms:created>
  <dcterms:modified xsi:type="dcterms:W3CDTF">2024-02-22T17:05:00Z</dcterms:modified>
</cp:coreProperties>
</file>