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71C0" w14:textId="5686D2E3" w:rsidR="00894744" w:rsidRDefault="00A028FD" w:rsidP="00FB4E33">
      <w:pPr>
        <w:spacing w:line="276" w:lineRule="auto"/>
        <w:jc w:val="both"/>
        <w:rPr>
          <w:b/>
          <w:bCs/>
          <w:lang w:eastAsia="zh-CN"/>
        </w:rPr>
      </w:pPr>
      <w:bookmarkStart w:id="0" w:name="OLE_LINK1"/>
      <w:bookmarkStart w:id="1" w:name="OLE_LINK2"/>
      <w:r>
        <w:rPr>
          <w:b/>
          <w:bCs/>
        </w:rPr>
        <w:t>R</w:t>
      </w:r>
      <w:r w:rsidR="00894744">
        <w:rPr>
          <w:b/>
          <w:bCs/>
        </w:rPr>
        <w:t>īcībspējas ierobežojumu noteikšana</w:t>
      </w:r>
      <w:r>
        <w:rPr>
          <w:b/>
          <w:bCs/>
        </w:rPr>
        <w:t xml:space="preserve"> rīcībai ar mantu personas garīga rakstura vai citu veselības traucējumu dēļ</w:t>
      </w:r>
    </w:p>
    <w:p w14:paraId="215C7006" w14:textId="0A1AA157" w:rsidR="00894744" w:rsidRDefault="00A028FD" w:rsidP="00FB4E33">
      <w:pPr>
        <w:spacing w:line="276" w:lineRule="auto"/>
        <w:jc w:val="both"/>
      </w:pPr>
      <w:r>
        <w:t>Nosakot rīcībspējas ierobežojumu rīcībai ar mantu p</w:t>
      </w:r>
      <w:r w:rsidR="00894744">
        <w:t>ersona</w:t>
      </w:r>
      <w:r>
        <w:t>s garīga rakstura vai citu veselības traucējumu dēļ, vērtējams, vai persona būtu spējīga rīkoties ar mantu</w:t>
      </w:r>
      <w:r w:rsidR="00E92E55">
        <w:t xml:space="preserve"> un to pārvaldīt</w:t>
      </w:r>
      <w:r>
        <w:t>, ja viņai tāda būtu, nevis tas</w:t>
      </w:r>
      <w:r w:rsidR="00894744">
        <w:t xml:space="preserve">, kāda manta un vai vispār </w:t>
      </w:r>
      <w:r>
        <w:t>personai</w:t>
      </w:r>
      <w:r w:rsidR="00894744">
        <w:t xml:space="preserve"> pieder lietas izskatīšanas laikā.</w:t>
      </w:r>
    </w:p>
    <w:p w14:paraId="1281CCA9" w14:textId="77777777" w:rsidR="00894744" w:rsidRDefault="00894744" w:rsidP="00894744">
      <w:pPr>
        <w:spacing w:line="276" w:lineRule="auto"/>
        <w:jc w:val="both"/>
      </w:pPr>
    </w:p>
    <w:p w14:paraId="7A4AF5E5" w14:textId="77777777" w:rsidR="00EB63B4" w:rsidRDefault="00EB63B4" w:rsidP="00EB63B4">
      <w:pPr>
        <w:pStyle w:val="NoSpacing"/>
        <w:spacing w:line="276" w:lineRule="auto"/>
        <w:jc w:val="center"/>
        <w:rPr>
          <w:b/>
        </w:rPr>
      </w:pPr>
      <w:r w:rsidRPr="00417BF0">
        <w:rPr>
          <w:b/>
        </w:rPr>
        <w:t>Latvijas Republikas Senāta</w:t>
      </w:r>
    </w:p>
    <w:p w14:paraId="28C857B7" w14:textId="77777777" w:rsidR="00EB63B4" w:rsidRPr="00A06212" w:rsidRDefault="00EB63B4" w:rsidP="00EB63B4">
      <w:pPr>
        <w:spacing w:line="276" w:lineRule="auto"/>
        <w:jc w:val="center"/>
        <w:rPr>
          <w:b/>
          <w:bCs/>
        </w:rPr>
      </w:pPr>
      <w:r w:rsidRPr="00A06212">
        <w:rPr>
          <w:b/>
          <w:bCs/>
        </w:rPr>
        <w:t>Civillietu departamenta</w:t>
      </w:r>
    </w:p>
    <w:p w14:paraId="28D9D555" w14:textId="37544AB1" w:rsidR="00EB63B4" w:rsidRPr="00417BF0" w:rsidRDefault="00EB63B4" w:rsidP="00EB63B4">
      <w:pPr>
        <w:pStyle w:val="NoSpacing"/>
        <w:spacing w:line="276" w:lineRule="auto"/>
        <w:jc w:val="center"/>
        <w:rPr>
          <w:b/>
          <w:bCs/>
        </w:rPr>
      </w:pPr>
      <w:r w:rsidRPr="00417BF0">
        <w:rPr>
          <w:b/>
          <w:bCs/>
        </w:rPr>
        <w:t>202</w:t>
      </w:r>
      <w:r>
        <w:rPr>
          <w:b/>
          <w:bCs/>
        </w:rPr>
        <w:t>4</w:t>
      </w:r>
      <w:r w:rsidRPr="00417BF0">
        <w:rPr>
          <w:b/>
          <w:bCs/>
        </w:rPr>
        <w:t>.</w:t>
      </w:r>
      <w:r>
        <w:rPr>
          <w:b/>
          <w:bCs/>
        </w:rPr>
        <w:t> </w:t>
      </w:r>
      <w:r w:rsidRPr="00417BF0">
        <w:rPr>
          <w:b/>
          <w:bCs/>
        </w:rPr>
        <w:t>gada [..]</w:t>
      </w:r>
    </w:p>
    <w:p w14:paraId="47D9ED27" w14:textId="77777777" w:rsidR="00EB63B4" w:rsidRPr="00417BF0" w:rsidRDefault="00EB63B4" w:rsidP="00EB63B4">
      <w:pPr>
        <w:tabs>
          <w:tab w:val="left" w:pos="0"/>
        </w:tabs>
        <w:ind w:right="26"/>
        <w:jc w:val="center"/>
        <w:rPr>
          <w:b/>
        </w:rPr>
      </w:pPr>
      <w:r w:rsidRPr="002D2FA0">
        <w:rPr>
          <w:b/>
        </w:rPr>
        <w:t xml:space="preserve">RĪCĪBAS </w:t>
      </w:r>
      <w:r w:rsidRPr="000F33DB">
        <w:rPr>
          <w:b/>
        </w:rPr>
        <w:t xml:space="preserve">SĒDES </w:t>
      </w:r>
      <w:r w:rsidRPr="00417BF0">
        <w:rPr>
          <w:b/>
        </w:rPr>
        <w:t>LĒMUMS</w:t>
      </w:r>
      <w:r w:rsidRPr="00417BF0">
        <w:rPr>
          <w:rStyle w:val="FootnoteReference"/>
          <w:b/>
        </w:rPr>
        <w:footnoteReference w:id="1"/>
      </w:r>
    </w:p>
    <w:p w14:paraId="0E6BD1C1" w14:textId="77777777" w:rsidR="00EB63B4" w:rsidRPr="00417BF0" w:rsidRDefault="00EB63B4" w:rsidP="00EB63B4">
      <w:pPr>
        <w:tabs>
          <w:tab w:val="left" w:pos="0"/>
        </w:tabs>
        <w:ind w:right="26"/>
        <w:jc w:val="center"/>
        <w:rPr>
          <w:bCs/>
        </w:rPr>
      </w:pPr>
      <w:r w:rsidRPr="00417BF0">
        <w:rPr>
          <w:b/>
        </w:rPr>
        <w:t>Lieta Nr. [..], SKC</w:t>
      </w:r>
      <w:r w:rsidRPr="00417BF0">
        <w:rPr>
          <w:b/>
        </w:rPr>
        <w:noBreakHyphen/>
        <w:t>[</w:t>
      </w:r>
      <w:r>
        <w:rPr>
          <w:b/>
        </w:rPr>
        <w:t>A</w:t>
      </w:r>
      <w:r w:rsidRPr="00417BF0">
        <w:rPr>
          <w:b/>
        </w:rPr>
        <w:t>]/202</w:t>
      </w:r>
      <w:r>
        <w:rPr>
          <w:b/>
        </w:rPr>
        <w:t>3</w:t>
      </w:r>
    </w:p>
    <w:p w14:paraId="6FBA0345" w14:textId="4DB6AE83" w:rsidR="00EB63B4" w:rsidRPr="004D353E" w:rsidRDefault="00EB63B4" w:rsidP="00EB63B4">
      <w:pPr>
        <w:spacing w:after="240" w:line="276" w:lineRule="auto"/>
        <w:jc w:val="center"/>
      </w:pPr>
      <w:r w:rsidRPr="00EB63B4">
        <w:t>ECLI:LV:AT:2024:</w:t>
      </w:r>
      <w:r w:rsidRPr="00417BF0">
        <w:t>[</w:t>
      </w:r>
      <w:r w:rsidRPr="00417BF0">
        <w:rPr>
          <w:color w:val="000000"/>
        </w:rPr>
        <w:t>..]</w:t>
      </w:r>
    </w:p>
    <w:bookmarkEnd w:id="0"/>
    <w:bookmarkEnd w:id="1"/>
    <w:p w14:paraId="7BA05C90" w14:textId="77777777" w:rsidR="006D56BE" w:rsidRDefault="00DA0234" w:rsidP="00DB5B6D">
      <w:pPr>
        <w:spacing w:line="276" w:lineRule="auto"/>
        <w:ind w:firstLine="709"/>
        <w:jc w:val="both"/>
      </w:pPr>
      <w:r>
        <w:t>Senāta senatoru</w:t>
      </w:r>
      <w:r w:rsidRPr="00F87CB3">
        <w:t xml:space="preserve"> kolēģija šādā sastāvā: se</w:t>
      </w:r>
      <w:r>
        <w:t>natore referente</w:t>
      </w:r>
      <w:r w:rsidRPr="00F87CB3">
        <w:t xml:space="preserve"> Z</w:t>
      </w:r>
      <w:r>
        <w:t xml:space="preserve">ane </w:t>
      </w:r>
      <w:r w:rsidRPr="00F87CB3">
        <w:t>Pētersone</w:t>
      </w:r>
      <w:r w:rsidR="00D44F3D">
        <w:t>,</w:t>
      </w:r>
      <w:r>
        <w:t xml:space="preserve"> senatori</w:t>
      </w:r>
      <w:r w:rsidRPr="00F87CB3">
        <w:t xml:space="preserve"> </w:t>
      </w:r>
      <w:r w:rsidR="00BD59B9">
        <w:t>Kaspars Balodis</w:t>
      </w:r>
      <w:r>
        <w:t xml:space="preserve"> un Marika Senkāne</w:t>
      </w:r>
    </w:p>
    <w:p w14:paraId="29615272" w14:textId="26BC2A2D" w:rsidR="00DA0234" w:rsidRDefault="00DA0234" w:rsidP="0031190B">
      <w:pPr>
        <w:ind w:firstLine="709"/>
        <w:jc w:val="both"/>
      </w:pPr>
    </w:p>
    <w:p w14:paraId="0D3F5D19" w14:textId="079CE2AF" w:rsidR="00F442A8" w:rsidRDefault="00F07B0E" w:rsidP="00ED3B19">
      <w:pPr>
        <w:autoSpaceDE w:val="0"/>
        <w:autoSpaceDN w:val="0"/>
        <w:adjustRightInd w:val="0"/>
        <w:spacing w:line="276" w:lineRule="auto"/>
        <w:ind w:firstLine="709"/>
        <w:jc w:val="both"/>
      </w:pPr>
      <w:r w:rsidRPr="004D353E">
        <w:t xml:space="preserve">izskatīja </w:t>
      </w:r>
      <w:r w:rsidR="001A4DA5" w:rsidRPr="004D353E">
        <w:t xml:space="preserve">rīcības sēdē </w:t>
      </w:r>
      <w:r w:rsidR="00EB63B4">
        <w:t>[..]</w:t>
      </w:r>
      <w:r w:rsidR="00ED3B19">
        <w:t xml:space="preserve"> prokuratūras prokurores </w:t>
      </w:r>
      <w:r w:rsidR="00EB63B4">
        <w:t>[..]</w:t>
      </w:r>
      <w:r w:rsidR="00602C6E">
        <w:t xml:space="preserve"> </w:t>
      </w:r>
      <w:r w:rsidR="003E338E" w:rsidRPr="004D353E">
        <w:rPr>
          <w:lang w:eastAsia="lv-LV"/>
        </w:rPr>
        <w:t xml:space="preserve">kasācijas </w:t>
      </w:r>
      <w:r w:rsidR="00ED3B19">
        <w:rPr>
          <w:lang w:eastAsia="lv-LV"/>
        </w:rPr>
        <w:t>protestu</w:t>
      </w:r>
      <w:r w:rsidR="000762EE" w:rsidRPr="004D353E">
        <w:rPr>
          <w:lang w:eastAsia="lv-LV"/>
        </w:rPr>
        <w:t xml:space="preserve"> par </w:t>
      </w:r>
      <w:bookmarkStart w:id="2" w:name="_Hlk146120533"/>
      <w:r w:rsidR="00EB63B4">
        <w:rPr>
          <w:lang w:eastAsia="lv-LV"/>
        </w:rPr>
        <w:t>[..]</w:t>
      </w:r>
      <w:r w:rsidR="002725B7">
        <w:rPr>
          <w:lang w:eastAsia="lv-LV"/>
        </w:rPr>
        <w:t xml:space="preserve"> </w:t>
      </w:r>
      <w:r w:rsidR="009F18BF" w:rsidRPr="004D353E">
        <w:rPr>
          <w:lang w:eastAsia="lv-LV"/>
        </w:rPr>
        <w:t>apgabal</w:t>
      </w:r>
      <w:r w:rsidR="003E5B39" w:rsidRPr="004D353E">
        <w:rPr>
          <w:lang w:eastAsia="lv-LV"/>
        </w:rPr>
        <w:t>tiesas</w:t>
      </w:r>
      <w:r w:rsidR="00944D87" w:rsidRPr="004D353E">
        <w:rPr>
          <w:lang w:eastAsia="lv-LV"/>
        </w:rPr>
        <w:t xml:space="preserve"> </w:t>
      </w:r>
      <w:r w:rsidR="003E5B39" w:rsidRPr="004D353E">
        <w:rPr>
          <w:lang w:eastAsia="lv-LV"/>
        </w:rPr>
        <w:t>20</w:t>
      </w:r>
      <w:r w:rsidR="00B41E51" w:rsidRPr="004D353E">
        <w:rPr>
          <w:lang w:eastAsia="lv-LV"/>
        </w:rPr>
        <w:t>2</w:t>
      </w:r>
      <w:r w:rsidR="00C05FFD">
        <w:rPr>
          <w:lang w:eastAsia="lv-LV"/>
        </w:rPr>
        <w:t>3</w:t>
      </w:r>
      <w:r w:rsidR="003E5B39" w:rsidRPr="004D353E">
        <w:rPr>
          <w:lang w:eastAsia="lv-LV"/>
        </w:rPr>
        <w:t>.</w:t>
      </w:r>
      <w:r w:rsidR="00EB63B4">
        <w:rPr>
          <w:lang w:eastAsia="lv-LV"/>
        </w:rPr>
        <w:t> </w:t>
      </w:r>
      <w:r w:rsidR="003E5B39" w:rsidRPr="004D353E">
        <w:rPr>
          <w:lang w:eastAsia="lv-LV"/>
        </w:rPr>
        <w:t xml:space="preserve">gada </w:t>
      </w:r>
      <w:r w:rsidR="00EB63B4">
        <w:rPr>
          <w:lang w:eastAsia="lv-LV"/>
        </w:rPr>
        <w:t>[..]</w:t>
      </w:r>
      <w:r w:rsidR="003A7AB0" w:rsidRPr="004D353E">
        <w:rPr>
          <w:lang w:eastAsia="lv-LV"/>
        </w:rPr>
        <w:t xml:space="preserve"> spriedumu civillietā</w:t>
      </w:r>
      <w:r w:rsidR="00F87CB3" w:rsidRPr="004D353E">
        <w:rPr>
          <w:lang w:eastAsia="lv-LV"/>
        </w:rPr>
        <w:t xml:space="preserve"> </w:t>
      </w:r>
      <w:bookmarkEnd w:id="2"/>
      <w:r w:rsidR="00EB63B4">
        <w:t xml:space="preserve">[pers. A] </w:t>
      </w:r>
      <w:r w:rsidR="00ED3B19">
        <w:t xml:space="preserve">pieteikumā par </w:t>
      </w:r>
      <w:r w:rsidR="00EB63B4">
        <w:t xml:space="preserve">[pers. B] </w:t>
      </w:r>
      <w:r w:rsidR="00ED3B19">
        <w:t>rīcībspējas ierobežojuma pārskatīšanu</w:t>
      </w:r>
      <w:r w:rsidR="00070234">
        <w:t>.</w:t>
      </w:r>
      <w:r w:rsidR="003455B3">
        <w:t xml:space="preserve"> </w:t>
      </w:r>
    </w:p>
    <w:p w14:paraId="100D7AAC" w14:textId="77777777" w:rsidR="00070234" w:rsidRPr="004D353E" w:rsidRDefault="00070234" w:rsidP="00ED3B19">
      <w:pPr>
        <w:autoSpaceDE w:val="0"/>
        <w:autoSpaceDN w:val="0"/>
        <w:adjustRightInd w:val="0"/>
        <w:spacing w:line="276" w:lineRule="auto"/>
        <w:ind w:firstLine="709"/>
        <w:jc w:val="both"/>
      </w:pPr>
    </w:p>
    <w:p w14:paraId="0D101DA2" w14:textId="599F0E52" w:rsidR="00DB5B6D" w:rsidRDefault="00070234" w:rsidP="00C307B7">
      <w:pPr>
        <w:jc w:val="center"/>
        <w:rPr>
          <w:b/>
        </w:rPr>
      </w:pPr>
      <w:r>
        <w:rPr>
          <w:b/>
        </w:rPr>
        <w:t>Aprakstošā daļa</w:t>
      </w:r>
    </w:p>
    <w:p w14:paraId="1569D689" w14:textId="4BDE74FA" w:rsidR="001A777A" w:rsidRPr="004D353E" w:rsidRDefault="00935ABA" w:rsidP="00C307B7">
      <w:pPr>
        <w:jc w:val="center"/>
        <w:rPr>
          <w:b/>
        </w:rPr>
      </w:pPr>
      <w:r w:rsidRPr="004D353E">
        <w:rPr>
          <w:b/>
        </w:rPr>
        <w:t xml:space="preserve"> </w:t>
      </w:r>
    </w:p>
    <w:p w14:paraId="04ADF026" w14:textId="02FE773E" w:rsidR="003B64B8" w:rsidRDefault="00070234" w:rsidP="00070234">
      <w:pPr>
        <w:spacing w:line="276" w:lineRule="auto"/>
        <w:ind w:firstLine="709"/>
        <w:jc w:val="both"/>
        <w:rPr>
          <w:lang w:eastAsia="lv-LV"/>
        </w:rPr>
      </w:pPr>
      <w:r>
        <w:t xml:space="preserve">[1] Ar </w:t>
      </w:r>
      <w:r w:rsidR="000E3F1A">
        <w:rPr>
          <w:lang w:eastAsia="lv-LV"/>
        </w:rPr>
        <w:t>[</w:t>
      </w:r>
      <w:r w:rsidR="00707C79">
        <w:rPr>
          <w:lang w:eastAsia="lv-LV"/>
        </w:rPr>
        <w:t>..</w:t>
      </w:r>
      <w:r w:rsidR="000E3F1A">
        <w:rPr>
          <w:lang w:eastAsia="lv-LV"/>
        </w:rPr>
        <w:t>]</w:t>
      </w:r>
      <w:r>
        <w:rPr>
          <w:lang w:eastAsia="lv-LV"/>
        </w:rPr>
        <w:t xml:space="preserve"> </w:t>
      </w:r>
      <w:r w:rsidRPr="004D353E">
        <w:rPr>
          <w:lang w:eastAsia="lv-LV"/>
        </w:rPr>
        <w:t xml:space="preserve">apgabaltiesas </w:t>
      </w:r>
      <w:proofErr w:type="gramStart"/>
      <w:r w:rsidRPr="004D353E">
        <w:rPr>
          <w:lang w:eastAsia="lv-LV"/>
        </w:rPr>
        <w:t>202</w:t>
      </w:r>
      <w:r>
        <w:rPr>
          <w:lang w:eastAsia="lv-LV"/>
        </w:rPr>
        <w:t>3</w:t>
      </w:r>
      <w:r w:rsidRPr="004D353E">
        <w:rPr>
          <w:lang w:eastAsia="lv-LV"/>
        </w:rPr>
        <w:t>.gada</w:t>
      </w:r>
      <w:proofErr w:type="gramEnd"/>
      <w:r w:rsidRPr="004D353E">
        <w:rPr>
          <w:lang w:eastAsia="lv-LV"/>
        </w:rPr>
        <w:t xml:space="preserve"> </w:t>
      </w:r>
      <w:r w:rsidR="000E3F1A">
        <w:rPr>
          <w:lang w:eastAsia="lv-LV"/>
        </w:rPr>
        <w:t>[..]</w:t>
      </w:r>
      <w:r w:rsidRPr="004D353E">
        <w:rPr>
          <w:lang w:eastAsia="lv-LV"/>
        </w:rPr>
        <w:t xml:space="preserve"> spriedumu</w:t>
      </w:r>
      <w:r>
        <w:rPr>
          <w:lang w:eastAsia="lv-LV"/>
        </w:rPr>
        <w:t xml:space="preserve"> apmierināts </w:t>
      </w:r>
      <w:r w:rsidR="00EB63B4">
        <w:t>[pers. A]</w:t>
      </w:r>
      <w:r>
        <w:rPr>
          <w:lang w:eastAsia="lv-LV"/>
        </w:rPr>
        <w:t xml:space="preserve"> pieteikums par </w:t>
      </w:r>
      <w:r w:rsidR="00EB63B4">
        <w:t xml:space="preserve">[pers. B] </w:t>
      </w:r>
      <w:r>
        <w:rPr>
          <w:lang w:eastAsia="lv-LV"/>
        </w:rPr>
        <w:t>rīcībspējas ierobežojuma pārskatīšanu. Tiesa nosprieda</w:t>
      </w:r>
      <w:r w:rsidR="003B64B8">
        <w:rPr>
          <w:lang w:eastAsia="lv-LV"/>
        </w:rPr>
        <w:t>:</w:t>
      </w:r>
    </w:p>
    <w:p w14:paraId="08CACB83" w14:textId="11157E02" w:rsidR="00070234" w:rsidRDefault="00707C79" w:rsidP="00070234">
      <w:pPr>
        <w:spacing w:line="276" w:lineRule="auto"/>
        <w:ind w:firstLine="709"/>
        <w:jc w:val="both"/>
        <w:rPr>
          <w:lang w:eastAsia="lv-LV"/>
        </w:rPr>
      </w:pPr>
      <w:r>
        <w:rPr>
          <w:lang w:eastAsia="lv-LV"/>
        </w:rPr>
        <w:t>[..].</w:t>
      </w:r>
    </w:p>
    <w:p w14:paraId="1857FE1E" w14:textId="50250B6A" w:rsidR="00843DF7" w:rsidRDefault="00070234" w:rsidP="00070234">
      <w:pPr>
        <w:spacing w:line="276" w:lineRule="auto"/>
        <w:ind w:firstLine="709"/>
        <w:jc w:val="both"/>
      </w:pPr>
      <w:r>
        <w:t xml:space="preserve">[2] </w:t>
      </w:r>
      <w:r w:rsidR="00437FD3">
        <w:t xml:space="preserve">Par šo spriedumu </w:t>
      </w:r>
      <w:r w:rsidR="000E3F1A">
        <w:t>[..]</w:t>
      </w:r>
      <w:r w:rsidR="00ED3B19">
        <w:t xml:space="preserve"> prokuratūras prokurore </w:t>
      </w:r>
      <w:r w:rsidR="000E3F1A">
        <w:t>[..]</w:t>
      </w:r>
      <w:r w:rsidR="00ED3B19">
        <w:t xml:space="preserve"> </w:t>
      </w:r>
      <w:r w:rsidR="003455B3">
        <w:t>iesnie</w:t>
      </w:r>
      <w:r w:rsidR="00437FD3">
        <w:t>dza</w:t>
      </w:r>
      <w:r w:rsidR="003455B3">
        <w:t xml:space="preserve"> </w:t>
      </w:r>
      <w:r w:rsidR="003455B3" w:rsidRPr="004D353E">
        <w:rPr>
          <w:lang w:eastAsia="lv-LV"/>
        </w:rPr>
        <w:t xml:space="preserve">kasācijas </w:t>
      </w:r>
      <w:r w:rsidR="00ED3B19">
        <w:rPr>
          <w:lang w:eastAsia="lv-LV"/>
        </w:rPr>
        <w:t>protestu</w:t>
      </w:r>
      <w:r w:rsidR="00437FD3">
        <w:rPr>
          <w:lang w:eastAsia="lv-LV"/>
        </w:rPr>
        <w:t xml:space="preserve"> daļā par rīcībspējas ierobežojuma noteikšanu rīcīb</w:t>
      </w:r>
      <w:r w:rsidR="00F30089">
        <w:rPr>
          <w:lang w:eastAsia="lv-LV"/>
        </w:rPr>
        <w:t>ai</w:t>
      </w:r>
      <w:r w:rsidR="00437FD3">
        <w:rPr>
          <w:lang w:eastAsia="lv-LV"/>
        </w:rPr>
        <w:t xml:space="preserve"> ar mantu un tās pārvaldīb</w:t>
      </w:r>
      <w:r w:rsidR="00F30089">
        <w:rPr>
          <w:lang w:eastAsia="lv-LV"/>
        </w:rPr>
        <w:t>u</w:t>
      </w:r>
      <w:r w:rsidR="00437FD3">
        <w:rPr>
          <w:lang w:eastAsia="lv-LV"/>
        </w:rPr>
        <w:t>, tostarp nekustamā īpašuma atsavināšan</w:t>
      </w:r>
      <w:r w:rsidR="00F30089">
        <w:rPr>
          <w:lang w:eastAsia="lv-LV"/>
        </w:rPr>
        <w:t>ai</w:t>
      </w:r>
      <w:r w:rsidR="00437FD3">
        <w:rPr>
          <w:lang w:eastAsia="lv-LV"/>
        </w:rPr>
        <w:t>, ieķīlāšan</w:t>
      </w:r>
      <w:r w:rsidR="00F30089">
        <w:rPr>
          <w:lang w:eastAsia="lv-LV"/>
        </w:rPr>
        <w:t>ai</w:t>
      </w:r>
      <w:r w:rsidR="00437FD3">
        <w:rPr>
          <w:lang w:eastAsia="lv-LV"/>
        </w:rPr>
        <w:t xml:space="preserve"> un apgrūtināšan</w:t>
      </w:r>
      <w:r w:rsidR="00F30089">
        <w:rPr>
          <w:lang w:eastAsia="lv-LV"/>
        </w:rPr>
        <w:t>ai</w:t>
      </w:r>
      <w:r w:rsidR="00437FD3">
        <w:rPr>
          <w:lang w:eastAsia="lv-LV"/>
        </w:rPr>
        <w:t xml:space="preserve"> ar lietu tiesībām</w:t>
      </w:r>
      <w:r w:rsidR="00BA3B77">
        <w:t>.</w:t>
      </w:r>
    </w:p>
    <w:p w14:paraId="374D591F" w14:textId="77777777" w:rsidR="00437FD3" w:rsidRDefault="00437FD3" w:rsidP="00070234">
      <w:pPr>
        <w:spacing w:line="276" w:lineRule="auto"/>
        <w:ind w:firstLine="709"/>
        <w:jc w:val="both"/>
      </w:pPr>
    </w:p>
    <w:p w14:paraId="1C3AF800" w14:textId="77777777" w:rsidR="00437FD3" w:rsidRDefault="00437FD3" w:rsidP="00437FD3">
      <w:pPr>
        <w:jc w:val="center"/>
        <w:rPr>
          <w:b/>
        </w:rPr>
      </w:pPr>
      <w:r>
        <w:rPr>
          <w:b/>
        </w:rPr>
        <w:t>Motīvu daļa</w:t>
      </w:r>
    </w:p>
    <w:p w14:paraId="1D48CA0E" w14:textId="77777777" w:rsidR="00437FD3" w:rsidRPr="004D353E" w:rsidRDefault="00437FD3" w:rsidP="00437FD3">
      <w:pPr>
        <w:spacing w:line="276" w:lineRule="auto"/>
        <w:ind w:firstLine="709"/>
        <w:jc w:val="both"/>
        <w:rPr>
          <w:lang w:eastAsia="lv-LV"/>
        </w:rPr>
      </w:pPr>
    </w:p>
    <w:p w14:paraId="0C7C3B74" w14:textId="342B510E" w:rsidR="00437FD3" w:rsidRDefault="00437FD3" w:rsidP="00437FD3">
      <w:pPr>
        <w:spacing w:line="276" w:lineRule="auto"/>
        <w:ind w:firstLine="709"/>
        <w:jc w:val="both"/>
      </w:pPr>
      <w:r>
        <w:t xml:space="preserve">[3] Izskatījusi kasācijas </w:t>
      </w:r>
      <w:r w:rsidR="00195EAA">
        <w:t>protest</w:t>
      </w:r>
      <w:r>
        <w:t>u Senāta</w:t>
      </w:r>
      <w:r w:rsidRPr="00CE0717">
        <w:t xml:space="preserve"> rīcības sēdē, lai izlemtu jautājumu par kasācijas tiesvedības ierosināšanu, kā to nosaka Civilprocesa likuma 464.</w:t>
      </w:r>
      <w:r w:rsidR="000E3F1A">
        <w:t> </w:t>
      </w:r>
      <w:r w:rsidRPr="00CE0717">
        <w:t xml:space="preserve">panta pirmā daļa, </w:t>
      </w:r>
      <w:r>
        <w:rPr>
          <w:lang w:eastAsia="lv-LV"/>
        </w:rPr>
        <w:t>senatoru</w:t>
      </w:r>
      <w:r>
        <w:t xml:space="preserve"> </w:t>
      </w:r>
      <w:r w:rsidRPr="00CE0717">
        <w:t>kolēģija a</w:t>
      </w:r>
      <w:r>
        <w:t>tzīst</w:t>
      </w:r>
      <w:r w:rsidRPr="00CE0717">
        <w:t>, ka kasācijas tiesvedības ierosināšana ir atsakāma.</w:t>
      </w:r>
    </w:p>
    <w:p w14:paraId="150185BE" w14:textId="7CD161B8" w:rsidR="00437FD3" w:rsidRPr="005323FC" w:rsidRDefault="00437FD3" w:rsidP="00437FD3">
      <w:pPr>
        <w:spacing w:line="276" w:lineRule="auto"/>
        <w:ind w:right="-1" w:firstLine="709"/>
        <w:jc w:val="both"/>
      </w:pPr>
      <w:r w:rsidRPr="005323FC">
        <w:t>[</w:t>
      </w:r>
      <w:r>
        <w:t>3</w:t>
      </w:r>
      <w:r w:rsidRPr="005323FC">
        <w:t>.1] Civilprocesa likuma 450.</w:t>
      </w:r>
      <w:r w:rsidR="000E3F1A">
        <w:t> </w:t>
      </w:r>
      <w:r w:rsidRPr="005323FC">
        <w:t>panta trešā daļa paredz, ka kasācijas kārtībā var pārsūdzēt [..] apelācijas instances tiesas spriedumu, ja tiesa nepareizi piemērojusi</w:t>
      </w:r>
      <w:proofErr w:type="gramStart"/>
      <w:r w:rsidRPr="005323FC">
        <w:t xml:space="preserve"> vai iztulkojusi materiālo tiesību normu, pārkāpusi procesuālo tiesību normu vai, izskatot lietu, pārsniegusi savas kompetences robežas</w:t>
      </w:r>
      <w:proofErr w:type="gramEnd"/>
      <w:r w:rsidRPr="005323FC">
        <w:t xml:space="preserve">. </w:t>
      </w:r>
    </w:p>
    <w:p w14:paraId="76749121" w14:textId="77777777" w:rsidR="00437FD3" w:rsidRPr="005323FC" w:rsidRDefault="00437FD3" w:rsidP="00437FD3">
      <w:pPr>
        <w:spacing w:line="276" w:lineRule="auto"/>
        <w:ind w:right="-1" w:firstLine="709"/>
        <w:jc w:val="both"/>
      </w:pPr>
      <w:r w:rsidRPr="005323FC">
        <w:t xml:space="preserve">Latvijā pastāvošā kasācijas institūta būtiska iezīme ir tā, ka kasācijas instancē izšķiroša nozīme ir nevis pušu interesēm, kas ir pietiekami aizsargātas, civillietu pēc būtības caurlūkojot pirmajās divās tiesu instancēs, bet gan publiski tiesiskajām interesēm. Kasācijas instancē tiek skatīti tikai </w:t>
      </w:r>
      <w:proofErr w:type="spellStart"/>
      <w:r w:rsidRPr="005323FC">
        <w:rPr>
          <w:i/>
        </w:rPr>
        <w:t>quaestiones</w:t>
      </w:r>
      <w:proofErr w:type="spellEnd"/>
      <w:r w:rsidRPr="005323FC">
        <w:rPr>
          <w:i/>
        </w:rPr>
        <w:t xml:space="preserve"> </w:t>
      </w:r>
      <w:proofErr w:type="spellStart"/>
      <w:r w:rsidRPr="005323FC">
        <w:rPr>
          <w:i/>
        </w:rPr>
        <w:t>iuris</w:t>
      </w:r>
      <w:proofErr w:type="spellEnd"/>
      <w:r w:rsidRPr="005323FC">
        <w:t>, proti, jautājumi par materiālo tiesību normu piemērošanas un interpretācijas pareizību, kā arī par procesuālo tiesību normu pārkāpumiem.</w:t>
      </w:r>
    </w:p>
    <w:p w14:paraId="70F08749" w14:textId="54B987D6" w:rsidR="00437FD3" w:rsidRPr="005323FC" w:rsidRDefault="00437FD3" w:rsidP="00437FD3">
      <w:pPr>
        <w:spacing w:line="276" w:lineRule="auto"/>
        <w:ind w:right="-1" w:firstLine="709"/>
        <w:jc w:val="both"/>
      </w:pPr>
      <w:r w:rsidRPr="005323FC">
        <w:lastRenderedPageBreak/>
        <w:t>Tiesības iesniegt kasācijas sūdzību</w:t>
      </w:r>
      <w:proofErr w:type="gramStart"/>
      <w:r w:rsidRPr="005323FC">
        <w:t xml:space="preserve"> </w:t>
      </w:r>
      <w:r w:rsidR="000F5ECE">
        <w:t xml:space="preserve">vai protestu </w:t>
      </w:r>
      <w:r w:rsidRPr="005323FC">
        <w:t>nenozīmē obligātu kasācijas tiesvedības</w:t>
      </w:r>
      <w:proofErr w:type="gramEnd"/>
      <w:r w:rsidRPr="005323FC">
        <w:t xml:space="preserve"> ierosināšanu. Uz to norāda Civilprocesa likuma 464.</w:t>
      </w:r>
      <w:r w:rsidRPr="005323FC">
        <w:rPr>
          <w:vertAlign w:val="superscript"/>
        </w:rPr>
        <w:t>1</w:t>
      </w:r>
      <w:r w:rsidR="000E3F1A">
        <w:rPr>
          <w:vertAlign w:val="superscript"/>
        </w:rPr>
        <w:t> </w:t>
      </w:r>
      <w:r w:rsidRPr="005323FC">
        <w:t xml:space="preserve">pants, kas nosaka pamatu atteikumam ierosināt kasācijas tiesvedību. </w:t>
      </w:r>
    </w:p>
    <w:p w14:paraId="5682F5BA" w14:textId="6C9CFEF9" w:rsidR="00437FD3" w:rsidRPr="005323FC" w:rsidRDefault="00437FD3" w:rsidP="00437FD3">
      <w:pPr>
        <w:spacing w:line="276" w:lineRule="auto"/>
        <w:ind w:right="-1" w:firstLine="709"/>
        <w:jc w:val="both"/>
      </w:pPr>
      <w:r w:rsidRPr="005323FC">
        <w:t>Civilprocesa likuma 464.</w:t>
      </w:r>
      <w:r w:rsidRPr="005323FC">
        <w:rPr>
          <w:vertAlign w:val="superscript"/>
        </w:rPr>
        <w:t>1</w:t>
      </w:r>
      <w:r w:rsidR="000E3F1A">
        <w:rPr>
          <w:vertAlign w:val="superscript"/>
        </w:rPr>
        <w:t> </w:t>
      </w:r>
      <w:r w:rsidRPr="005323FC">
        <w:t>panta pirmā daļa paredz, ka tiesnešu kolēģija atsakās ierosināt kasācijas tiesvedību, ja kasācijas sūdzība neatbilst šā likuma 450.–454.</w:t>
      </w:r>
      <w:r w:rsidR="000E3F1A">
        <w:t> </w:t>
      </w:r>
      <w:r w:rsidRPr="005323FC">
        <w:t>panta prasībām.</w:t>
      </w:r>
    </w:p>
    <w:p w14:paraId="7919C44C" w14:textId="20177CC5" w:rsidR="00437FD3" w:rsidRPr="005323FC" w:rsidRDefault="00437FD3" w:rsidP="00437FD3">
      <w:pPr>
        <w:spacing w:line="276" w:lineRule="auto"/>
        <w:ind w:right="-1" w:firstLine="709"/>
        <w:jc w:val="both"/>
      </w:pPr>
      <w:r w:rsidRPr="005323FC">
        <w:rPr>
          <w:rFonts w:ascii="TimesNewRomanPSMT" w:hAnsi="TimesNewRomanPSMT" w:cs="TimesNewRomanPSMT"/>
          <w:lang w:eastAsia="lv-LV"/>
        </w:rPr>
        <w:t xml:space="preserve">Civilprocesa likuma </w:t>
      </w:r>
      <w:r w:rsidRPr="005323FC">
        <w:t>464.</w:t>
      </w:r>
      <w:r w:rsidRPr="005323FC">
        <w:rPr>
          <w:vertAlign w:val="superscript"/>
        </w:rPr>
        <w:t>1</w:t>
      </w:r>
      <w:r w:rsidR="000E3F1A">
        <w:rPr>
          <w:vertAlign w:val="superscript"/>
        </w:rPr>
        <w:t> </w:t>
      </w:r>
      <w:r w:rsidRPr="005323FC">
        <w:t>panta otrā daļa noteic, ka, ja kasācijas sūdzība formāli atbilst šā panta pirmajā daļā minētajām prasībām un ja tiesa, kas taisījusi pārsūdzēto spriedumu, nav pieļāvusi šā likuma 452.</w:t>
      </w:r>
      <w:r w:rsidR="000E3F1A">
        <w:t> </w:t>
      </w:r>
      <w:r w:rsidRPr="005323FC">
        <w:t>panta trešās daļas noteikumu pārkāpumu, tiesnešu kolēģija var atteikties ierosināt kasācijas tiesvedību arī šādos gadījumos:</w:t>
      </w:r>
    </w:p>
    <w:p w14:paraId="6C8C8EBE" w14:textId="77777777" w:rsidR="00437FD3" w:rsidRPr="005323FC" w:rsidRDefault="00437FD3" w:rsidP="00437FD3">
      <w:pPr>
        <w:spacing w:line="276" w:lineRule="auto"/>
        <w:ind w:firstLine="709"/>
        <w:jc w:val="both"/>
      </w:pPr>
      <w:r w:rsidRPr="005323FC">
        <w:t>1) kasācijas sūdzībā norādītajos tiesību normu piemērošanas jautājumos ir izveidojusies Augstākās tiesas judikatūra, un pārsūdzētais spriedums tai atbilst;</w:t>
      </w:r>
    </w:p>
    <w:p w14:paraId="674D0808" w14:textId="77777777" w:rsidR="00437FD3" w:rsidRDefault="00437FD3" w:rsidP="00437FD3">
      <w:pPr>
        <w:spacing w:line="276" w:lineRule="auto"/>
        <w:ind w:firstLine="709"/>
        <w:jc w:val="both"/>
      </w:pPr>
      <w:r w:rsidRPr="005323FC">
        <w:t xml:space="preserve">2) izvērtējot kasācijas sūdzībā minētos argumentus, nav acīmredzama pamata uzskatīt, ka pārsūdzētajā spriedumā ietvertais lietas iznākums ir nepareizs un ka izskatāmajai lietai ir būtiska nozīme vienotas tiesu prakses nodrošināšanā vai tiesību </w:t>
      </w:r>
      <w:proofErr w:type="spellStart"/>
      <w:r w:rsidRPr="005323FC">
        <w:t>tālākveidošanā</w:t>
      </w:r>
      <w:proofErr w:type="spellEnd"/>
      <w:r w:rsidRPr="005323FC">
        <w:t>.</w:t>
      </w:r>
    </w:p>
    <w:p w14:paraId="4F523C4F" w14:textId="401A4AF6" w:rsidR="000F5ECE" w:rsidRPr="005323FC" w:rsidRDefault="000F5ECE" w:rsidP="00437FD3">
      <w:pPr>
        <w:spacing w:line="276" w:lineRule="auto"/>
        <w:ind w:firstLine="709"/>
        <w:jc w:val="both"/>
      </w:pPr>
      <w:r>
        <w:t>Atbilstoši Civilprocesa likuma 450.</w:t>
      </w:r>
      <w:r w:rsidR="000E3F1A">
        <w:t> </w:t>
      </w:r>
      <w:r>
        <w:t>panta otrajai daļai kasācijas protests iesniedzams</w:t>
      </w:r>
      <w:proofErr w:type="gramStart"/>
      <w:r>
        <w:t xml:space="preserve"> un</w:t>
      </w:r>
      <w:proofErr w:type="gramEnd"/>
      <w:r>
        <w:t xml:space="preserve"> izskatāms tādā pašā kārtībā kā kasācijas sūdzība, ja vien Civilprocesa likuma Kasācijas tiesvedības sadaļā nav noteikts citādi.</w:t>
      </w:r>
    </w:p>
    <w:p w14:paraId="113A023C" w14:textId="4BBA9E73" w:rsidR="00437FD3" w:rsidRPr="005323FC" w:rsidRDefault="00437FD3" w:rsidP="00437FD3">
      <w:pPr>
        <w:spacing w:line="276" w:lineRule="auto"/>
        <w:ind w:right="-1" w:firstLine="709"/>
        <w:jc w:val="both"/>
      </w:pPr>
      <w:r w:rsidRPr="005323FC">
        <w:t>[</w:t>
      </w:r>
      <w:r>
        <w:t>3</w:t>
      </w:r>
      <w:r w:rsidRPr="005323FC">
        <w:t xml:space="preserve">.2] Izvērtējusi </w:t>
      </w:r>
      <w:r w:rsidRPr="005323FC">
        <w:rPr>
          <w:lang w:eastAsia="lv-LV"/>
        </w:rPr>
        <w:t xml:space="preserve">kasācijas </w:t>
      </w:r>
      <w:r>
        <w:rPr>
          <w:lang w:eastAsia="lv-LV"/>
        </w:rPr>
        <w:t>protest</w:t>
      </w:r>
      <w:r w:rsidRPr="005323FC">
        <w:rPr>
          <w:lang w:eastAsia="lv-LV"/>
        </w:rPr>
        <w:t xml:space="preserve">u </w:t>
      </w:r>
      <w:r w:rsidRPr="005323FC">
        <w:t xml:space="preserve">pēc formas un satura, senatoru kolēģija konstatē, ka tajā ir norādes uz </w:t>
      </w:r>
      <w:r w:rsidRPr="005323FC">
        <w:rPr>
          <w:lang w:eastAsia="lv-LV"/>
        </w:rPr>
        <w:t>materiālo tiesību normu nepareizu piemērošanu un procesuālo tiesību normu pārkāpumiem</w:t>
      </w:r>
      <w:r w:rsidRPr="005323FC">
        <w:t xml:space="preserve">, kādēļ kasācijas </w:t>
      </w:r>
      <w:r w:rsidR="00C05D78">
        <w:t>protests</w:t>
      </w:r>
      <w:r w:rsidRPr="005323FC">
        <w:t xml:space="preserve"> formāli atbilst Civilprocesa likuma 450.</w:t>
      </w:r>
      <w:r w:rsidRPr="005323FC">
        <w:rPr>
          <w:i/>
        </w:rPr>
        <w:t>–</w:t>
      </w:r>
      <w:r w:rsidRPr="005323FC">
        <w:t>454.</w:t>
      </w:r>
      <w:r w:rsidR="000E3F1A">
        <w:t> </w:t>
      </w:r>
      <w:r w:rsidRPr="005323FC">
        <w:t>panta prasībām.</w:t>
      </w:r>
    </w:p>
    <w:p w14:paraId="79747DC7" w14:textId="0D3EECD6" w:rsidR="00437FD3" w:rsidRPr="004D353E" w:rsidRDefault="00437FD3" w:rsidP="00437FD3">
      <w:pPr>
        <w:spacing w:line="276" w:lineRule="auto"/>
        <w:ind w:firstLine="709"/>
        <w:jc w:val="both"/>
        <w:rPr>
          <w:lang w:eastAsia="lv-LV"/>
        </w:rPr>
      </w:pPr>
      <w:r>
        <w:t>Tomēr s</w:t>
      </w:r>
      <w:r w:rsidRPr="004D353E">
        <w:t xml:space="preserve">enatoru kolēģija atzīst, ka </w:t>
      </w:r>
      <w:r w:rsidR="002051C1">
        <w:t>pastāv</w:t>
      </w:r>
      <w:r w:rsidRPr="004D353E">
        <w:t xml:space="preserve"> Civilprocesa likuma 464.</w:t>
      </w:r>
      <w:r w:rsidRPr="004D353E">
        <w:rPr>
          <w:vertAlign w:val="superscript"/>
        </w:rPr>
        <w:t>1</w:t>
      </w:r>
      <w:r w:rsidR="000E3F1A">
        <w:rPr>
          <w:vertAlign w:val="superscript"/>
        </w:rPr>
        <w:t> </w:t>
      </w:r>
      <w:r w:rsidRPr="004D353E">
        <w:t>panta otrās daļas 2.</w:t>
      </w:r>
      <w:r w:rsidR="000E3F1A">
        <w:t> </w:t>
      </w:r>
      <w:r w:rsidRPr="004D353E">
        <w:t xml:space="preserve">punktā norādītais pamats atteikt ierosināt kasācijas tiesvedību, jo kasācijas </w:t>
      </w:r>
      <w:r w:rsidR="00C05D78">
        <w:t>protesta</w:t>
      </w:r>
      <w:r w:rsidRPr="004D353E">
        <w:t xml:space="preserve"> argumenti nerada pamatu uzskatīt, ka pārsūdzētajā spriedumā ietvertais lietas rezultāts ir nepareizs un ka izskatāmajai lietai ir būtiska nozīme vienotas tiesu prakses nodrošināšanā vai tiesību </w:t>
      </w:r>
      <w:proofErr w:type="spellStart"/>
      <w:r w:rsidRPr="004D353E">
        <w:t>tālākveidošanā</w:t>
      </w:r>
      <w:proofErr w:type="spellEnd"/>
      <w:r w:rsidRPr="004D353E">
        <w:t>.</w:t>
      </w:r>
    </w:p>
    <w:p w14:paraId="599A361E" w14:textId="0608CD27" w:rsidR="00DC0390" w:rsidRDefault="00437FD3" w:rsidP="00437FD3">
      <w:pPr>
        <w:spacing w:line="276" w:lineRule="auto"/>
        <w:ind w:firstLine="709"/>
        <w:jc w:val="both"/>
      </w:pPr>
      <w:r>
        <w:t>[3.3]</w:t>
      </w:r>
      <w:r w:rsidR="00DC0390">
        <w:t xml:space="preserve"> Kasācijas protestā norādīts, ka nav strīda par faktiskajiem apstākļiem, tostarp</w:t>
      </w:r>
      <w:r w:rsidR="002051C1">
        <w:t xml:space="preserve"> par to</w:t>
      </w:r>
      <w:r w:rsidR="00DC0390">
        <w:t xml:space="preserve">, ka </w:t>
      </w:r>
      <w:r w:rsidR="000E3F1A">
        <w:t xml:space="preserve">[pers. B] </w:t>
      </w:r>
      <w:r w:rsidR="00DC0390">
        <w:t xml:space="preserve">ir veselības traucējumi, kuru dēļ viņa nespēj saprast savas darbības nozīmi un nespēj to vadīt. </w:t>
      </w:r>
      <w:r w:rsidR="000E3F1A">
        <w:t>[</w:t>
      </w:r>
      <w:r w:rsidR="004C6539">
        <w:t>..]</w:t>
      </w:r>
      <w:r w:rsidR="00DC0390">
        <w:t>.</w:t>
      </w:r>
    </w:p>
    <w:p w14:paraId="6E60AEBF" w14:textId="1FB7B4BB" w:rsidR="00DC0390" w:rsidRDefault="00DC0390" w:rsidP="00437FD3">
      <w:pPr>
        <w:spacing w:line="276" w:lineRule="auto"/>
        <w:ind w:firstLine="709"/>
        <w:jc w:val="both"/>
      </w:pPr>
      <w:r>
        <w:t xml:space="preserve">Taču prokurore uzskata, ka </w:t>
      </w:r>
      <w:r w:rsidR="000E3F1A">
        <w:t>[pers. B]</w:t>
      </w:r>
      <w:r>
        <w:t xml:space="preserve"> nav nosakāms rīcībspējas ierobežojums attiecībā uz mantu un tās pārvaldību tādēļ, ka viņai nav radinieku</w:t>
      </w:r>
      <w:r w:rsidR="00973CDF">
        <w:t xml:space="preserve"> un</w:t>
      </w:r>
      <w:r>
        <w:t xml:space="preserve"> mantas</w:t>
      </w:r>
      <w:r w:rsidR="00973CDF">
        <w:t>, tostarp</w:t>
      </w:r>
      <w:r>
        <w:t xml:space="preserve"> nekustamo īpašumu. </w:t>
      </w:r>
    </w:p>
    <w:p w14:paraId="47B315A1" w14:textId="77777777" w:rsidR="000F7686" w:rsidRDefault="00DC0390" w:rsidP="000F7686">
      <w:pPr>
        <w:spacing w:line="276" w:lineRule="auto"/>
        <w:ind w:firstLine="709"/>
        <w:jc w:val="both"/>
      </w:pPr>
      <w:r>
        <w:t>Senatoru kolēģija</w:t>
      </w:r>
      <w:r w:rsidR="000F7686">
        <w:t xml:space="preserve"> atzīst, ka šāds viedoklis nav pamatots. </w:t>
      </w:r>
    </w:p>
    <w:p w14:paraId="4B23E343" w14:textId="4A6D525D" w:rsidR="000F7686" w:rsidRPr="00CF7B56" w:rsidRDefault="000F7686" w:rsidP="00CF7B56">
      <w:pPr>
        <w:spacing w:line="276" w:lineRule="auto"/>
        <w:ind w:firstLine="709"/>
        <w:jc w:val="both"/>
        <w:rPr>
          <w:rFonts w:ascii="Arial" w:hAnsi="Arial" w:cs="Arial"/>
          <w:color w:val="414142"/>
          <w:sz w:val="20"/>
          <w:szCs w:val="20"/>
          <w:shd w:val="clear" w:color="auto" w:fill="FFFFFF"/>
        </w:rPr>
      </w:pPr>
      <w:r>
        <w:t xml:space="preserve">[3.3.1] </w:t>
      </w:r>
      <w:r w:rsidRPr="000F7686">
        <w:rPr>
          <w:rFonts w:asciiTheme="majorBidi" w:hAnsiTheme="majorBidi" w:cstheme="majorBidi"/>
        </w:rPr>
        <w:t>Atbilstoši Civillikuma 357.</w:t>
      </w:r>
      <w:r w:rsidR="004C6539">
        <w:rPr>
          <w:rFonts w:asciiTheme="majorBidi" w:hAnsiTheme="majorBidi" w:cstheme="majorBidi"/>
        </w:rPr>
        <w:t> </w:t>
      </w:r>
      <w:r w:rsidRPr="000F7686">
        <w:rPr>
          <w:rFonts w:asciiTheme="majorBidi" w:hAnsiTheme="majorBidi" w:cstheme="majorBidi"/>
        </w:rPr>
        <w:t xml:space="preserve">pantam, ja personai ir garīga rakstura vai citi veselības traucējumi, tās rīcībspēju var ierobežot, ja tas nepieciešams šīs personas interesēs un ir vienīgais veids, kā tās aizsargāt. </w:t>
      </w:r>
      <w:bookmarkStart w:id="3" w:name="p358_1"/>
      <w:bookmarkStart w:id="4" w:name="p-453807"/>
      <w:bookmarkEnd w:id="3"/>
      <w:bookmarkEnd w:id="4"/>
      <w:r w:rsidR="00C05D78">
        <w:rPr>
          <w:rFonts w:asciiTheme="majorBidi" w:hAnsiTheme="majorBidi" w:cstheme="majorBidi"/>
        </w:rPr>
        <w:t xml:space="preserve">Saskaņā </w:t>
      </w:r>
      <w:proofErr w:type="gramStart"/>
      <w:r w:rsidR="00C05D78">
        <w:rPr>
          <w:rFonts w:asciiTheme="majorBidi" w:hAnsiTheme="majorBidi" w:cstheme="majorBidi"/>
        </w:rPr>
        <w:t xml:space="preserve">ar </w:t>
      </w:r>
      <w:r w:rsidRPr="000F7686">
        <w:rPr>
          <w:rFonts w:asciiTheme="majorBidi" w:hAnsiTheme="majorBidi" w:cstheme="majorBidi"/>
        </w:rPr>
        <w:t>Civillikuma 358.</w:t>
      </w:r>
      <w:r w:rsidRPr="000F7686">
        <w:rPr>
          <w:rFonts w:asciiTheme="majorBidi" w:hAnsiTheme="majorBidi" w:cstheme="majorBidi"/>
          <w:vertAlign w:val="superscript"/>
        </w:rPr>
        <w:t>1</w:t>
      </w:r>
      <w:r w:rsidR="004C6539">
        <w:rPr>
          <w:rFonts w:asciiTheme="majorBidi" w:hAnsiTheme="majorBidi" w:cstheme="majorBidi"/>
          <w:vertAlign w:val="superscript"/>
        </w:rPr>
        <w:t> </w:t>
      </w:r>
      <w:r w:rsidRPr="000F7686">
        <w:rPr>
          <w:rFonts w:asciiTheme="majorBidi" w:hAnsiTheme="majorBidi" w:cstheme="majorBidi"/>
        </w:rPr>
        <w:t>pant</w:t>
      </w:r>
      <w:r w:rsidR="00C05D78">
        <w:rPr>
          <w:rFonts w:asciiTheme="majorBidi" w:hAnsiTheme="majorBidi" w:cstheme="majorBidi"/>
        </w:rPr>
        <w:t>u</w:t>
      </w:r>
      <w:r w:rsidRPr="000F7686">
        <w:rPr>
          <w:rFonts w:asciiTheme="majorBidi" w:hAnsiTheme="majorBidi" w:cstheme="majorBidi"/>
        </w:rPr>
        <w:t xml:space="preserve"> rīcībspēja</w:t>
      </w:r>
      <w:proofErr w:type="gramEnd"/>
      <w:r w:rsidRPr="000F7686">
        <w:rPr>
          <w:rFonts w:asciiTheme="majorBidi" w:hAnsiTheme="majorBidi" w:cstheme="majorBidi"/>
        </w:rPr>
        <w:t xml:space="preserve"> personai ar garīga rakstura vai citiem veselības traucējumiem var tikt ierobežota tādā apjomā, kādā tā nespēj saprast savas darbības nozīmi vai nespēj savu darbību vadīt.</w:t>
      </w:r>
      <w:r>
        <w:rPr>
          <w:rFonts w:asciiTheme="majorBidi" w:hAnsiTheme="majorBidi" w:cstheme="majorBidi"/>
        </w:rPr>
        <w:t xml:space="preserve"> </w:t>
      </w:r>
      <w:r w:rsidR="00CF7B56" w:rsidRPr="00CF7B56">
        <w:rPr>
          <w:rFonts w:asciiTheme="majorBidi" w:hAnsiTheme="majorBidi" w:cstheme="majorBidi"/>
          <w:shd w:val="clear" w:color="auto" w:fill="FFFFFF"/>
        </w:rPr>
        <w:t xml:space="preserve">Tiesa, izvērtējot personas spējas, </w:t>
      </w:r>
      <w:r w:rsidRPr="00CF7B56">
        <w:rPr>
          <w:rFonts w:asciiTheme="majorBidi" w:hAnsiTheme="majorBidi" w:cstheme="majorBidi"/>
        </w:rPr>
        <w:t>nosaka, vai un kādā apjomā aizgādnis rīkosies patstāvīgi.</w:t>
      </w:r>
    </w:p>
    <w:p w14:paraId="00131806" w14:textId="363DA124" w:rsidR="00DC0390" w:rsidRDefault="000F7686" w:rsidP="00437FD3">
      <w:pPr>
        <w:spacing w:line="276" w:lineRule="auto"/>
        <w:ind w:firstLine="709"/>
        <w:jc w:val="both"/>
      </w:pPr>
      <w:r>
        <w:t xml:space="preserve">[3.3.2] </w:t>
      </w:r>
      <w:r w:rsidR="00D779AE">
        <w:t xml:space="preserve">Senatoru kolēģijas </w:t>
      </w:r>
      <w:r w:rsidR="00DC0390">
        <w:t xml:space="preserve">ieskatā vispārīgi </w:t>
      </w:r>
      <w:r w:rsidR="00D779AE">
        <w:t xml:space="preserve">ir </w:t>
      </w:r>
      <w:r w:rsidR="00DC0390">
        <w:t>pareiz</w:t>
      </w:r>
      <w:r w:rsidR="00D779AE">
        <w:t xml:space="preserve">s protestā norādītais, ka atbilstoši minētajām normām </w:t>
      </w:r>
      <w:r w:rsidR="00973CDF">
        <w:t>rīcībspējas i</w:t>
      </w:r>
      <w:r w:rsidR="00D779AE">
        <w:t>erobežojums jānosaka iespējami mazākā apmērā</w:t>
      </w:r>
      <w:r w:rsidR="00DC0390">
        <w:t xml:space="preserve"> un katra situācija prasa individuāl</w:t>
      </w:r>
      <w:r w:rsidR="00973CDF">
        <w:t>u</w:t>
      </w:r>
      <w:r w:rsidR="00DC0390">
        <w:t xml:space="preserve"> izvērtējum</w:t>
      </w:r>
      <w:r w:rsidR="00973CDF">
        <w:t>u</w:t>
      </w:r>
      <w:r w:rsidR="00DC0390">
        <w:t>.</w:t>
      </w:r>
    </w:p>
    <w:p w14:paraId="7200CB08" w14:textId="2DA600F7" w:rsidR="00437FD3" w:rsidRDefault="00437FD3" w:rsidP="00437FD3">
      <w:pPr>
        <w:spacing w:line="276" w:lineRule="auto"/>
        <w:ind w:firstLine="709"/>
        <w:jc w:val="both"/>
      </w:pPr>
      <w:r>
        <w:lastRenderedPageBreak/>
        <w:t>T</w:t>
      </w:r>
      <w:r w:rsidR="00D779AE">
        <w:t xml:space="preserve">aču </w:t>
      </w:r>
      <w:r>
        <w:t xml:space="preserve">prokurore kļūdaini </w:t>
      </w:r>
      <w:r w:rsidR="00D779AE">
        <w:t xml:space="preserve">uzskata, ka personas mantas stāvoklis pieteikuma izskatīšanas brīdī ir kritērijs rīcībspējas ierobežojumu noteikšanai un ka gadījumā, ja personai tajā brīdī nav mantas, tad </w:t>
      </w:r>
      <w:proofErr w:type="gramStart"/>
      <w:r w:rsidR="00D779AE">
        <w:t>rīcību</w:t>
      </w:r>
      <w:proofErr w:type="gramEnd"/>
      <w:r w:rsidR="00D779AE">
        <w:t xml:space="preserve"> ar mantu nav jāierobežo.</w:t>
      </w:r>
      <w:r>
        <w:t xml:space="preserve"> </w:t>
      </w:r>
    </w:p>
    <w:p w14:paraId="152CE807" w14:textId="12EC53DD" w:rsidR="00B71788" w:rsidRDefault="00D779AE" w:rsidP="00437FD3">
      <w:pPr>
        <w:spacing w:line="276" w:lineRule="auto"/>
        <w:ind w:firstLine="709"/>
        <w:jc w:val="both"/>
      </w:pPr>
      <w:r>
        <w:t xml:space="preserve">Pretēji prokurores ieskatam </w:t>
      </w:r>
      <w:r w:rsidR="00C05D78">
        <w:t>s</w:t>
      </w:r>
      <w:r w:rsidR="00437FD3">
        <w:t xml:space="preserve">enatoru kolēģija </w:t>
      </w:r>
      <w:r>
        <w:t xml:space="preserve">atzīst par pareizu apgabaltiesas sniegto </w:t>
      </w:r>
      <w:r w:rsidR="00A937CA">
        <w:t>lietā piemērojamo</w:t>
      </w:r>
      <w:r>
        <w:t xml:space="preserve"> tiesību normu iztulkojumu. Proti, personas rīcībspēja apspriežama nevis </w:t>
      </w:r>
      <w:proofErr w:type="gramStart"/>
      <w:r>
        <w:t>pēc tā, kāda manta</w:t>
      </w:r>
      <w:proofErr w:type="gramEnd"/>
      <w:r>
        <w:t xml:space="preserve"> </w:t>
      </w:r>
      <w:r w:rsidR="002051C1">
        <w:t xml:space="preserve">un vai vispār </w:t>
      </w:r>
      <w:r>
        <w:t xml:space="preserve">viņai pieder </w:t>
      </w:r>
      <w:r w:rsidR="00B71788">
        <w:t xml:space="preserve">lietas izskatīšanas </w:t>
      </w:r>
      <w:r w:rsidR="0042719B">
        <w:t>laikā</w:t>
      </w:r>
      <w:r w:rsidR="00B71788">
        <w:t>, bet gan pēc tā, vai persona būtu spējīga rīkoties ar šo mantu, ja viņai tāda būtu.</w:t>
      </w:r>
    </w:p>
    <w:p w14:paraId="16EC5853" w14:textId="0F3DCAE8" w:rsidR="00437FD3" w:rsidRDefault="00A211BF" w:rsidP="00437FD3">
      <w:pPr>
        <w:spacing w:line="276" w:lineRule="auto"/>
        <w:ind w:firstLine="709"/>
        <w:jc w:val="both"/>
      </w:pPr>
      <w:r>
        <w:t xml:space="preserve">Arī Senāta nolēmumā, uz kuru prokurore atsaukusies, uzsvērta tieši nepieciešamība vērtēt personas spējas. Proti, tiesas nolēmumam par rīcībspējas ierobežojumu jāpierāda saikne starp faktiskajām spējām un rīcībspējas ierobežošanu (sk. </w:t>
      </w:r>
      <w:r w:rsidRPr="00A211BF">
        <w:rPr>
          <w:i/>
          <w:iCs/>
        </w:rPr>
        <w:t xml:space="preserve">Senāta </w:t>
      </w:r>
      <w:proofErr w:type="gramStart"/>
      <w:r w:rsidRPr="00A211BF">
        <w:rPr>
          <w:i/>
          <w:iCs/>
        </w:rPr>
        <w:t>2017.gada</w:t>
      </w:r>
      <w:proofErr w:type="gramEnd"/>
      <w:r w:rsidRPr="00A211BF">
        <w:rPr>
          <w:i/>
          <w:iCs/>
        </w:rPr>
        <w:t xml:space="preserve"> [..] sprieduma lietā Nr. SKC-[I]/2017 7.2.punktu</w:t>
      </w:r>
      <w:r>
        <w:t>).</w:t>
      </w:r>
      <w:r w:rsidR="00A937CA">
        <w:t xml:space="preserve"> </w:t>
      </w:r>
    </w:p>
    <w:p w14:paraId="663FC49F" w14:textId="284C0D2C" w:rsidR="000A5275" w:rsidRDefault="000A5275" w:rsidP="00437FD3">
      <w:pPr>
        <w:spacing w:line="276" w:lineRule="auto"/>
        <w:ind w:firstLine="709"/>
        <w:jc w:val="both"/>
      </w:pPr>
      <w:r>
        <w:t xml:space="preserve">Nodibināts fakts, ka persona garīga rakstura vai citu veselības traucējumu dēļ nav spējīga rīkoties ar mantu un to pārvaldīt, ir pietiekams, lai noteiktu personai rīcībspējas ierobežojumu attiecīgajā jomā, un tiesiska nozīme nav piešķirama tam, vai personai sprieduma taisīšanas brīdī pieder attiecīga manta </w:t>
      </w:r>
      <w:proofErr w:type="gramStart"/>
      <w:r>
        <w:t>(</w:t>
      </w:r>
      <w:proofErr w:type="gramEnd"/>
      <w:r>
        <w:t xml:space="preserve">sk. </w:t>
      </w:r>
      <w:r w:rsidRPr="00A211BF">
        <w:rPr>
          <w:i/>
          <w:iCs/>
        </w:rPr>
        <w:t>Senāta 20</w:t>
      </w:r>
      <w:r>
        <w:rPr>
          <w:i/>
          <w:iCs/>
        </w:rPr>
        <w:t>24</w:t>
      </w:r>
      <w:r w:rsidRPr="00A211BF">
        <w:rPr>
          <w:i/>
          <w:iCs/>
        </w:rPr>
        <w:t>.</w:t>
      </w:r>
      <w:r w:rsidR="00022EA8">
        <w:rPr>
          <w:i/>
          <w:iCs/>
        </w:rPr>
        <w:t> </w:t>
      </w:r>
      <w:r w:rsidRPr="00A211BF">
        <w:rPr>
          <w:i/>
          <w:iCs/>
        </w:rPr>
        <w:t xml:space="preserve">gada </w:t>
      </w:r>
      <w:r w:rsidR="00022EA8" w:rsidRPr="00707C79">
        <w:rPr>
          <w:i/>
          <w:iCs/>
        </w:rPr>
        <w:t>[..]</w:t>
      </w:r>
      <w:r w:rsidRPr="00A211BF">
        <w:rPr>
          <w:i/>
          <w:iCs/>
        </w:rPr>
        <w:t xml:space="preserve"> </w:t>
      </w:r>
      <w:r>
        <w:rPr>
          <w:i/>
          <w:iCs/>
        </w:rPr>
        <w:t>rīcības sēdes lēm</w:t>
      </w:r>
      <w:r w:rsidRPr="00A211BF">
        <w:rPr>
          <w:i/>
          <w:iCs/>
        </w:rPr>
        <w:t>uma lietā Nr. </w:t>
      </w:r>
      <w:r w:rsidRPr="00707C79">
        <w:rPr>
          <w:i/>
          <w:iCs/>
        </w:rPr>
        <w:t>SKC</w:t>
      </w:r>
      <w:r w:rsidRPr="00707C79">
        <w:rPr>
          <w:i/>
          <w:iCs/>
        </w:rPr>
        <w:noBreakHyphen/>
        <w:t>219/2024</w:t>
      </w:r>
      <w:r>
        <w:rPr>
          <w:i/>
          <w:iCs/>
        </w:rPr>
        <w:t xml:space="preserve">, </w:t>
      </w:r>
      <w:hyperlink r:id="rId8" w:history="1">
        <w:r w:rsidRPr="000A5275">
          <w:rPr>
            <w:rStyle w:val="Hyperlink"/>
            <w:rFonts w:asciiTheme="majorBidi" w:hAnsiTheme="majorBidi" w:cstheme="majorBidi"/>
            <w:i/>
            <w:iCs/>
            <w:color w:val="auto"/>
            <w:u w:val="none"/>
            <w:shd w:val="clear" w:color="auto" w:fill="FFFFFF"/>
          </w:rPr>
          <w:t>ECLI:LV:AT:2024:</w:t>
        </w:r>
      </w:hyperlink>
      <w:r w:rsidR="00022EA8">
        <w:rPr>
          <w:rStyle w:val="Hyperlink"/>
          <w:rFonts w:asciiTheme="majorBidi" w:hAnsiTheme="majorBidi" w:cstheme="majorBidi"/>
          <w:i/>
          <w:iCs/>
          <w:color w:val="auto"/>
          <w:u w:val="none"/>
          <w:shd w:val="clear" w:color="auto" w:fill="FFFFFF"/>
        </w:rPr>
        <w:t>[..]</w:t>
      </w:r>
      <w:r>
        <w:rPr>
          <w:i/>
          <w:iCs/>
        </w:rPr>
        <w:t xml:space="preserve"> </w:t>
      </w:r>
      <w:r w:rsidRPr="000A5275">
        <w:rPr>
          <w:i/>
          <w:iCs/>
        </w:rPr>
        <w:t>1.punktu</w:t>
      </w:r>
      <w:r>
        <w:t>)</w:t>
      </w:r>
      <w:r w:rsidR="00022EA8">
        <w:t xml:space="preserve"> </w:t>
      </w:r>
      <w:r w:rsidR="00022EA8" w:rsidRPr="00022EA8">
        <w:t>(slēgtā sēdē pieņemts nolēmums)</w:t>
      </w:r>
      <w:r w:rsidRPr="00022EA8">
        <w:t>.</w:t>
      </w:r>
    </w:p>
    <w:p w14:paraId="5045EDBF" w14:textId="10E3F0BE" w:rsidR="00683F78" w:rsidRPr="004D353E" w:rsidRDefault="00683F78" w:rsidP="00683F78">
      <w:pPr>
        <w:spacing w:line="276" w:lineRule="auto"/>
        <w:ind w:firstLine="709"/>
        <w:jc w:val="both"/>
        <w:rPr>
          <w:lang w:eastAsia="lv-LV"/>
        </w:rPr>
      </w:pPr>
      <w:r>
        <w:t xml:space="preserve">[3.4] </w:t>
      </w:r>
      <w:r w:rsidR="00C97534">
        <w:t xml:space="preserve">Apgabaltiesa ir rūpīgi izvērtējusi </w:t>
      </w:r>
      <w:r w:rsidR="000E3F1A">
        <w:t>[pers. B]</w:t>
      </w:r>
      <w:r w:rsidR="00C97534">
        <w:t xml:space="preserve"> </w:t>
      </w:r>
      <w:r w:rsidR="00C97534" w:rsidRPr="000F7686">
        <w:rPr>
          <w:rFonts w:asciiTheme="majorBidi" w:hAnsiTheme="majorBidi" w:cstheme="majorBidi"/>
        </w:rPr>
        <w:t>spēj</w:t>
      </w:r>
      <w:r w:rsidR="00C97534">
        <w:rPr>
          <w:rFonts w:asciiTheme="majorBidi" w:hAnsiTheme="majorBidi" w:cstheme="majorBidi"/>
        </w:rPr>
        <w:t>as</w:t>
      </w:r>
      <w:r w:rsidR="00C97534" w:rsidRPr="000F7686">
        <w:rPr>
          <w:rFonts w:asciiTheme="majorBidi" w:hAnsiTheme="majorBidi" w:cstheme="majorBidi"/>
        </w:rPr>
        <w:t xml:space="preserve"> saprast savas darbības nozīmi </w:t>
      </w:r>
      <w:r w:rsidR="00C97534">
        <w:rPr>
          <w:rFonts w:asciiTheme="majorBidi" w:hAnsiTheme="majorBidi" w:cstheme="majorBidi"/>
        </w:rPr>
        <w:t>un to</w:t>
      </w:r>
      <w:r w:rsidR="00C97534" w:rsidRPr="000F7686">
        <w:rPr>
          <w:rFonts w:asciiTheme="majorBidi" w:hAnsiTheme="majorBidi" w:cstheme="majorBidi"/>
        </w:rPr>
        <w:t xml:space="preserve"> vadīt</w:t>
      </w:r>
      <w:r w:rsidR="00626BAD">
        <w:rPr>
          <w:rFonts w:asciiTheme="majorBidi" w:hAnsiTheme="majorBidi" w:cstheme="majorBidi"/>
        </w:rPr>
        <w:t xml:space="preserve"> un tām atbilstošāko rīcībspējas ierobežojumu apjomu</w:t>
      </w:r>
      <w:r w:rsidR="00C97534">
        <w:rPr>
          <w:rFonts w:asciiTheme="majorBidi" w:hAnsiTheme="majorBidi" w:cstheme="majorBidi"/>
        </w:rPr>
        <w:t xml:space="preserve">, </w:t>
      </w:r>
      <w:r w:rsidR="00626BAD">
        <w:rPr>
          <w:rFonts w:asciiTheme="majorBidi" w:hAnsiTheme="majorBidi" w:cstheme="majorBidi"/>
        </w:rPr>
        <w:t>bet</w:t>
      </w:r>
      <w:r w:rsidR="00C97534">
        <w:rPr>
          <w:rFonts w:asciiTheme="majorBidi" w:hAnsiTheme="majorBidi" w:cstheme="majorBidi"/>
        </w:rPr>
        <w:t xml:space="preserve"> </w:t>
      </w:r>
      <w:r w:rsidRPr="004D353E">
        <w:t xml:space="preserve">kasācijas </w:t>
      </w:r>
      <w:r w:rsidR="00881EBF">
        <w:t>protesta</w:t>
      </w:r>
      <w:r w:rsidRPr="004D353E">
        <w:t xml:space="preserve"> argumenti </w:t>
      </w:r>
      <w:r w:rsidR="000A5275">
        <w:t xml:space="preserve">iepriekšminēto iemeslu dēļ </w:t>
      </w:r>
      <w:r w:rsidRPr="004D353E">
        <w:t>n</w:t>
      </w:r>
      <w:r>
        <w:t xml:space="preserve">erada </w:t>
      </w:r>
      <w:r w:rsidRPr="004D353E">
        <w:t>pamat</w:t>
      </w:r>
      <w:r>
        <w:t>u</w:t>
      </w:r>
      <w:r w:rsidRPr="004D353E">
        <w:t xml:space="preserve"> uzskatīt, ka pārsūdzēta</w:t>
      </w:r>
      <w:r>
        <w:t>is</w:t>
      </w:r>
      <w:r w:rsidRPr="004D353E">
        <w:t xml:space="preserve"> spriedum</w:t>
      </w:r>
      <w:r>
        <w:t>s būtu nepareizs</w:t>
      </w:r>
      <w:r w:rsidRPr="004D353E">
        <w:t xml:space="preserve">. </w:t>
      </w:r>
    </w:p>
    <w:p w14:paraId="56413069" w14:textId="25BE90F4" w:rsidR="00683F78" w:rsidRDefault="00683F78" w:rsidP="00437FD3">
      <w:pPr>
        <w:spacing w:line="276" w:lineRule="auto"/>
        <w:ind w:firstLine="709"/>
        <w:jc w:val="both"/>
      </w:pPr>
    </w:p>
    <w:p w14:paraId="04052BAB" w14:textId="77777777" w:rsidR="00437FD3" w:rsidRDefault="00437FD3" w:rsidP="00437FD3">
      <w:pPr>
        <w:jc w:val="center"/>
        <w:rPr>
          <w:b/>
        </w:rPr>
      </w:pPr>
      <w:r>
        <w:rPr>
          <w:b/>
        </w:rPr>
        <w:t>Rezolutīvā daļa</w:t>
      </w:r>
    </w:p>
    <w:p w14:paraId="5568E57C" w14:textId="77777777" w:rsidR="00437FD3" w:rsidRPr="004D353E" w:rsidRDefault="00437FD3" w:rsidP="00437FD3">
      <w:pPr>
        <w:spacing w:line="276" w:lineRule="auto"/>
        <w:ind w:firstLine="709"/>
        <w:jc w:val="both"/>
        <w:rPr>
          <w:lang w:eastAsia="lv-LV"/>
        </w:rPr>
      </w:pPr>
    </w:p>
    <w:p w14:paraId="34389FE3" w14:textId="619BEA7A" w:rsidR="00437FD3" w:rsidRDefault="00437FD3" w:rsidP="00437FD3">
      <w:pPr>
        <w:spacing w:line="276" w:lineRule="auto"/>
        <w:ind w:firstLine="709"/>
        <w:jc w:val="both"/>
      </w:pPr>
      <w:r>
        <w:t>Ņemot vērā minēto un</w:t>
      </w:r>
      <w:proofErr w:type="gramStart"/>
      <w:r>
        <w:t xml:space="preserve"> p</w:t>
      </w:r>
      <w:r w:rsidRPr="004D353E">
        <w:t>amatojoties uz Civilprocesa likuma 464.</w:t>
      </w:r>
      <w:r w:rsidR="004C6539">
        <w:t> </w:t>
      </w:r>
      <w:r w:rsidRPr="004D353E">
        <w:t>panta trešo daļu</w:t>
      </w:r>
      <w:r>
        <w:t xml:space="preserve"> un</w:t>
      </w:r>
      <w:r w:rsidRPr="004D353E">
        <w:t xml:space="preserve"> 464.</w:t>
      </w:r>
      <w:r w:rsidRPr="004D353E">
        <w:rPr>
          <w:vertAlign w:val="superscript"/>
        </w:rPr>
        <w:t>1</w:t>
      </w:r>
      <w:r w:rsidR="004C6539">
        <w:rPr>
          <w:vertAlign w:val="superscript"/>
        </w:rPr>
        <w:t> </w:t>
      </w:r>
      <w:r w:rsidRPr="004D353E">
        <w:t>panta otr</w:t>
      </w:r>
      <w:r>
        <w:t>ās</w:t>
      </w:r>
      <w:r w:rsidRPr="004D353E">
        <w:t xml:space="preserve"> daļ</w:t>
      </w:r>
      <w:r>
        <w:t>as 2.</w:t>
      </w:r>
      <w:r w:rsidR="004C6539">
        <w:t> </w:t>
      </w:r>
      <w:r>
        <w:t>punkt</w:t>
      </w:r>
      <w:r w:rsidRPr="004D353E">
        <w:t>u</w:t>
      </w:r>
      <w:proofErr w:type="gramEnd"/>
      <w:r w:rsidRPr="004D353E">
        <w:t>, senatoru kolēģija</w:t>
      </w:r>
    </w:p>
    <w:p w14:paraId="7B5A9922" w14:textId="77777777" w:rsidR="00437FD3" w:rsidRPr="004D353E" w:rsidRDefault="00437FD3" w:rsidP="00437FD3">
      <w:pPr>
        <w:spacing w:line="276" w:lineRule="auto"/>
        <w:ind w:firstLine="709"/>
        <w:jc w:val="both"/>
        <w:rPr>
          <w:b/>
        </w:rPr>
      </w:pPr>
    </w:p>
    <w:p w14:paraId="5DB1AD1A" w14:textId="77777777" w:rsidR="00437FD3" w:rsidRPr="004D353E" w:rsidRDefault="00437FD3" w:rsidP="00437FD3">
      <w:pPr>
        <w:pStyle w:val="BodyText"/>
        <w:spacing w:after="240" w:line="276" w:lineRule="auto"/>
        <w:jc w:val="center"/>
        <w:rPr>
          <w:b/>
        </w:rPr>
      </w:pPr>
      <w:r w:rsidRPr="004D353E">
        <w:rPr>
          <w:b/>
        </w:rPr>
        <w:t xml:space="preserve">nolēma </w:t>
      </w:r>
    </w:p>
    <w:p w14:paraId="43A5EA1F" w14:textId="610558EA" w:rsidR="007F6765" w:rsidRDefault="004C7093" w:rsidP="00BD0C68">
      <w:pPr>
        <w:spacing w:line="276" w:lineRule="auto"/>
        <w:ind w:firstLine="709"/>
        <w:jc w:val="both"/>
        <w:rPr>
          <w:lang w:eastAsia="lv-LV"/>
        </w:rPr>
      </w:pPr>
      <w:r w:rsidRPr="004D353E">
        <w:t>a</w:t>
      </w:r>
      <w:r w:rsidR="0032589A" w:rsidRPr="004D353E">
        <w:t>tteikt i</w:t>
      </w:r>
      <w:r w:rsidR="001A777A" w:rsidRPr="004D353E">
        <w:t xml:space="preserve">erosināt </w:t>
      </w:r>
      <w:r w:rsidR="00F62A94" w:rsidRPr="004D353E">
        <w:t>kasācijas</w:t>
      </w:r>
      <w:r w:rsidR="001A777A" w:rsidRPr="004D353E">
        <w:t xml:space="preserve"> tiesvedību</w:t>
      </w:r>
      <w:r w:rsidR="001A777A" w:rsidRPr="004D353E">
        <w:rPr>
          <w:b/>
        </w:rPr>
        <w:t xml:space="preserve"> </w:t>
      </w:r>
      <w:r w:rsidR="003A7AB0" w:rsidRPr="004D353E">
        <w:t xml:space="preserve">sakarā ar </w:t>
      </w:r>
      <w:r w:rsidR="004C6539">
        <w:t>[..]</w:t>
      </w:r>
      <w:r w:rsidR="00ED3B19">
        <w:t xml:space="preserve"> prokuratūras prokurores </w:t>
      </w:r>
      <w:r w:rsidR="004C6539">
        <w:t>[..]</w:t>
      </w:r>
      <w:r w:rsidR="00ED3B19">
        <w:t xml:space="preserve"> </w:t>
      </w:r>
      <w:r w:rsidR="00ED3B19" w:rsidRPr="004D353E">
        <w:rPr>
          <w:lang w:eastAsia="lv-LV"/>
        </w:rPr>
        <w:t xml:space="preserve">kasācijas </w:t>
      </w:r>
      <w:r w:rsidR="00ED3B19">
        <w:rPr>
          <w:lang w:eastAsia="lv-LV"/>
        </w:rPr>
        <w:t>protestu</w:t>
      </w:r>
      <w:r w:rsidR="00ED3B19" w:rsidRPr="004D353E">
        <w:rPr>
          <w:lang w:eastAsia="lv-LV"/>
        </w:rPr>
        <w:t xml:space="preserve"> par </w:t>
      </w:r>
      <w:r w:rsidR="004C6539">
        <w:rPr>
          <w:lang w:eastAsia="lv-LV"/>
        </w:rPr>
        <w:t>[..]</w:t>
      </w:r>
      <w:r w:rsidR="00ED3B19">
        <w:rPr>
          <w:lang w:eastAsia="lv-LV"/>
        </w:rPr>
        <w:t xml:space="preserve"> </w:t>
      </w:r>
      <w:r w:rsidR="00ED3B19" w:rsidRPr="004D353E">
        <w:rPr>
          <w:lang w:eastAsia="lv-LV"/>
        </w:rPr>
        <w:t>apgabaltiesas 202</w:t>
      </w:r>
      <w:r w:rsidR="00ED3B19">
        <w:rPr>
          <w:lang w:eastAsia="lv-LV"/>
        </w:rPr>
        <w:t>3</w:t>
      </w:r>
      <w:r w:rsidR="00ED3B19" w:rsidRPr="004D353E">
        <w:rPr>
          <w:lang w:eastAsia="lv-LV"/>
        </w:rPr>
        <w:t>.</w:t>
      </w:r>
      <w:r w:rsidR="004C6539">
        <w:rPr>
          <w:lang w:eastAsia="lv-LV"/>
        </w:rPr>
        <w:t> </w:t>
      </w:r>
      <w:r w:rsidR="00ED3B19" w:rsidRPr="004D353E">
        <w:rPr>
          <w:lang w:eastAsia="lv-LV"/>
        </w:rPr>
        <w:t xml:space="preserve">gada </w:t>
      </w:r>
      <w:r w:rsidR="004C6539">
        <w:rPr>
          <w:lang w:eastAsia="lv-LV"/>
        </w:rPr>
        <w:t>[..]</w:t>
      </w:r>
      <w:r w:rsidR="00ED3B19" w:rsidRPr="004D353E">
        <w:rPr>
          <w:lang w:eastAsia="lv-LV"/>
        </w:rPr>
        <w:t xml:space="preserve"> spriedumu</w:t>
      </w:r>
      <w:r w:rsidR="00481FBC" w:rsidRPr="004D353E">
        <w:rPr>
          <w:lang w:eastAsia="lv-LV"/>
        </w:rPr>
        <w:t>.</w:t>
      </w:r>
    </w:p>
    <w:p w14:paraId="2B0E2023" w14:textId="77777777" w:rsidR="00D44F3D" w:rsidRPr="004D353E" w:rsidRDefault="00D44F3D" w:rsidP="0031190B">
      <w:pPr>
        <w:ind w:firstLine="709"/>
        <w:jc w:val="both"/>
        <w:rPr>
          <w:lang w:eastAsia="lv-LV"/>
        </w:rPr>
      </w:pPr>
    </w:p>
    <w:p w14:paraId="1407E1AC" w14:textId="4C0F4580" w:rsidR="00B00147" w:rsidRDefault="001A777A" w:rsidP="002226E8">
      <w:pPr>
        <w:spacing w:after="240" w:line="276" w:lineRule="auto"/>
        <w:ind w:firstLine="709"/>
        <w:jc w:val="both"/>
      </w:pPr>
      <w:r w:rsidRPr="004D353E">
        <w:t>Lēmums nav pārsūdzams</w:t>
      </w:r>
      <w:r w:rsidR="00FB4E33">
        <w:t>.</w:t>
      </w:r>
    </w:p>
    <w:sectPr w:rsidR="00B00147" w:rsidSect="00F16F56">
      <w:footerReference w:type="default" r:id="rId9"/>
      <w:pgSz w:w="11906" w:h="16838"/>
      <w:pgMar w:top="1134" w:right="1701" w:bottom="1134" w:left="170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A215" w14:textId="77777777" w:rsidR="00F16F56" w:rsidRDefault="00F16F56">
      <w:r>
        <w:separator/>
      </w:r>
    </w:p>
  </w:endnote>
  <w:endnote w:type="continuationSeparator" w:id="0">
    <w:p w14:paraId="6C17E38E" w14:textId="77777777" w:rsidR="00F16F56" w:rsidRDefault="00F1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0CE4" w14:textId="77777777" w:rsidR="00FB4E33" w:rsidRDefault="00FB4E33" w:rsidP="00FB4E33">
    <w:pPr>
      <w:pStyle w:val="Footer"/>
      <w:jc w:val="center"/>
    </w:pPr>
    <w:r w:rsidRPr="0077001A">
      <w:rPr>
        <w:sz w:val="20"/>
        <w:szCs w:val="20"/>
      </w:rPr>
      <w:fldChar w:fldCharType="begin"/>
    </w:r>
    <w:r w:rsidRPr="0077001A">
      <w:rPr>
        <w:sz w:val="20"/>
        <w:szCs w:val="20"/>
      </w:rPr>
      <w:instrText xml:space="preserve"> PAGE </w:instrText>
    </w:r>
    <w:r w:rsidRPr="0077001A">
      <w:rPr>
        <w:sz w:val="20"/>
        <w:szCs w:val="20"/>
      </w:rPr>
      <w:fldChar w:fldCharType="separate"/>
    </w:r>
    <w:r>
      <w:rPr>
        <w:sz w:val="20"/>
        <w:szCs w:val="20"/>
      </w:rPr>
      <w:t>1</w:t>
    </w:r>
    <w:r w:rsidRPr="0077001A">
      <w:rPr>
        <w:sz w:val="20"/>
        <w:szCs w:val="20"/>
      </w:rPr>
      <w:fldChar w:fldCharType="end"/>
    </w:r>
    <w:r w:rsidRPr="0077001A">
      <w:rPr>
        <w:sz w:val="20"/>
        <w:szCs w:val="20"/>
      </w:rPr>
      <w:t xml:space="preserve"> no </w:t>
    </w:r>
    <w:r w:rsidRPr="0077001A">
      <w:rPr>
        <w:sz w:val="20"/>
        <w:szCs w:val="20"/>
      </w:rPr>
      <w:fldChar w:fldCharType="begin"/>
    </w:r>
    <w:r w:rsidRPr="0077001A">
      <w:rPr>
        <w:sz w:val="20"/>
        <w:szCs w:val="20"/>
      </w:rPr>
      <w:instrText xml:space="preserve"> NUMPAGES  </w:instrText>
    </w:r>
    <w:r w:rsidRPr="0077001A">
      <w:rPr>
        <w:sz w:val="20"/>
        <w:szCs w:val="20"/>
      </w:rPr>
      <w:fldChar w:fldCharType="separate"/>
    </w:r>
    <w:r>
      <w:rPr>
        <w:sz w:val="20"/>
        <w:szCs w:val="20"/>
      </w:rPr>
      <w:t>4</w:t>
    </w:r>
    <w:r w:rsidRPr="007700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276A" w14:textId="77777777" w:rsidR="00F16F56" w:rsidRDefault="00F16F56">
      <w:r>
        <w:separator/>
      </w:r>
    </w:p>
  </w:footnote>
  <w:footnote w:type="continuationSeparator" w:id="0">
    <w:p w14:paraId="5DA7748E" w14:textId="77777777" w:rsidR="00F16F56" w:rsidRDefault="00F16F56">
      <w:r>
        <w:continuationSeparator/>
      </w:r>
    </w:p>
  </w:footnote>
  <w:footnote w:id="1">
    <w:p w14:paraId="0296A59C" w14:textId="77777777" w:rsidR="00EB63B4" w:rsidRDefault="00EB63B4" w:rsidP="00EB63B4">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t>Publicēti</w:t>
      </w:r>
      <w:proofErr w:type="spellEnd"/>
      <w:r>
        <w:t xml:space="preserve"> </w:t>
      </w:r>
      <w:proofErr w:type="spellStart"/>
      <w:r>
        <w:t>izvilkumi</w:t>
      </w:r>
      <w:proofErr w:type="spellEnd"/>
      <w:r>
        <w:t xml:space="preserve"> no </w:t>
      </w:r>
      <w:proofErr w:type="spellStart"/>
      <w:r>
        <w:t>rīcības</w:t>
      </w:r>
      <w:proofErr w:type="spellEnd"/>
      <w:r>
        <w:t xml:space="preserve"> </w:t>
      </w:r>
      <w:proofErr w:type="spellStart"/>
      <w:r>
        <w:t>sēdes</w:t>
      </w:r>
      <w:proofErr w:type="spellEnd"/>
      <w:r>
        <w:t xml:space="preserve"> </w:t>
      </w:r>
      <w:proofErr w:type="spellStart"/>
      <w:r>
        <w:t>lēmuma</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458330229">
    <w:abstractNumId w:val="0"/>
  </w:num>
  <w:num w:numId="2" w16cid:durableId="1527061600">
    <w:abstractNumId w:val="2"/>
  </w:num>
  <w:num w:numId="3" w16cid:durableId="54861927">
    <w:abstractNumId w:val="6"/>
  </w:num>
  <w:num w:numId="4" w16cid:durableId="1294139797">
    <w:abstractNumId w:val="5"/>
  </w:num>
  <w:num w:numId="5" w16cid:durableId="1961302562">
    <w:abstractNumId w:val="1"/>
  </w:num>
  <w:num w:numId="6" w16cid:durableId="2146580153">
    <w:abstractNumId w:val="4"/>
  </w:num>
  <w:num w:numId="7" w16cid:durableId="1768423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F7A"/>
    <w:rsid w:val="000032F2"/>
    <w:rsid w:val="0000359A"/>
    <w:rsid w:val="00003857"/>
    <w:rsid w:val="00004EDF"/>
    <w:rsid w:val="00011EBB"/>
    <w:rsid w:val="000134B7"/>
    <w:rsid w:val="000203A3"/>
    <w:rsid w:val="0002161B"/>
    <w:rsid w:val="00022EA8"/>
    <w:rsid w:val="00024533"/>
    <w:rsid w:val="00030254"/>
    <w:rsid w:val="0003069C"/>
    <w:rsid w:val="000347FC"/>
    <w:rsid w:val="0006175C"/>
    <w:rsid w:val="0006281E"/>
    <w:rsid w:val="00070234"/>
    <w:rsid w:val="00073A5E"/>
    <w:rsid w:val="000740B7"/>
    <w:rsid w:val="000762EE"/>
    <w:rsid w:val="00083A0F"/>
    <w:rsid w:val="000904C9"/>
    <w:rsid w:val="00090C20"/>
    <w:rsid w:val="00094FC8"/>
    <w:rsid w:val="000A4F37"/>
    <w:rsid w:val="000A5250"/>
    <w:rsid w:val="000A5275"/>
    <w:rsid w:val="000C3948"/>
    <w:rsid w:val="000C5658"/>
    <w:rsid w:val="000C7102"/>
    <w:rsid w:val="000D2D2E"/>
    <w:rsid w:val="000E2E8A"/>
    <w:rsid w:val="000E3F1A"/>
    <w:rsid w:val="000E422C"/>
    <w:rsid w:val="000E6142"/>
    <w:rsid w:val="000E6EEC"/>
    <w:rsid w:val="000F0720"/>
    <w:rsid w:val="000F22F7"/>
    <w:rsid w:val="000F345B"/>
    <w:rsid w:val="000F5ECE"/>
    <w:rsid w:val="000F7591"/>
    <w:rsid w:val="000F7686"/>
    <w:rsid w:val="00103087"/>
    <w:rsid w:val="00104F59"/>
    <w:rsid w:val="001050D5"/>
    <w:rsid w:val="00106C28"/>
    <w:rsid w:val="00107000"/>
    <w:rsid w:val="001130D7"/>
    <w:rsid w:val="00114B9A"/>
    <w:rsid w:val="00120D26"/>
    <w:rsid w:val="001241A7"/>
    <w:rsid w:val="001338CB"/>
    <w:rsid w:val="00135098"/>
    <w:rsid w:val="0013540B"/>
    <w:rsid w:val="00137B87"/>
    <w:rsid w:val="0015778E"/>
    <w:rsid w:val="00162485"/>
    <w:rsid w:val="00162FB7"/>
    <w:rsid w:val="00170A8F"/>
    <w:rsid w:val="00173535"/>
    <w:rsid w:val="001832C1"/>
    <w:rsid w:val="00194739"/>
    <w:rsid w:val="00195EAA"/>
    <w:rsid w:val="00197567"/>
    <w:rsid w:val="001A4DA5"/>
    <w:rsid w:val="001A777A"/>
    <w:rsid w:val="001B5922"/>
    <w:rsid w:val="001C22B0"/>
    <w:rsid w:val="001C60A4"/>
    <w:rsid w:val="001D1F41"/>
    <w:rsid w:val="001D2AE6"/>
    <w:rsid w:val="001E0FBC"/>
    <w:rsid w:val="001E20B5"/>
    <w:rsid w:val="001F1EDA"/>
    <w:rsid w:val="001F1F3F"/>
    <w:rsid w:val="001F6076"/>
    <w:rsid w:val="002051C1"/>
    <w:rsid w:val="00210671"/>
    <w:rsid w:val="0021270F"/>
    <w:rsid w:val="002134B1"/>
    <w:rsid w:val="0021682C"/>
    <w:rsid w:val="002206F3"/>
    <w:rsid w:val="002226E8"/>
    <w:rsid w:val="0022274A"/>
    <w:rsid w:val="00227182"/>
    <w:rsid w:val="00231896"/>
    <w:rsid w:val="00232691"/>
    <w:rsid w:val="002420E2"/>
    <w:rsid w:val="002507F9"/>
    <w:rsid w:val="0025348F"/>
    <w:rsid w:val="002551A9"/>
    <w:rsid w:val="00260249"/>
    <w:rsid w:val="002623C3"/>
    <w:rsid w:val="002725B7"/>
    <w:rsid w:val="00276D78"/>
    <w:rsid w:val="00277356"/>
    <w:rsid w:val="00280617"/>
    <w:rsid w:val="00285EB6"/>
    <w:rsid w:val="002905D9"/>
    <w:rsid w:val="00294511"/>
    <w:rsid w:val="00294F41"/>
    <w:rsid w:val="002974F1"/>
    <w:rsid w:val="002A1E37"/>
    <w:rsid w:val="002A52B1"/>
    <w:rsid w:val="002C1747"/>
    <w:rsid w:val="002C422C"/>
    <w:rsid w:val="002D0633"/>
    <w:rsid w:val="002D1C53"/>
    <w:rsid w:val="002D202E"/>
    <w:rsid w:val="002E4BE2"/>
    <w:rsid w:val="00303ADE"/>
    <w:rsid w:val="00304538"/>
    <w:rsid w:val="0031190B"/>
    <w:rsid w:val="00316C2F"/>
    <w:rsid w:val="00321E5C"/>
    <w:rsid w:val="0032589A"/>
    <w:rsid w:val="00330601"/>
    <w:rsid w:val="0034460F"/>
    <w:rsid w:val="003455B3"/>
    <w:rsid w:val="003537B8"/>
    <w:rsid w:val="0035679B"/>
    <w:rsid w:val="0036340F"/>
    <w:rsid w:val="00364FDF"/>
    <w:rsid w:val="00374BBC"/>
    <w:rsid w:val="00385EB5"/>
    <w:rsid w:val="003955EC"/>
    <w:rsid w:val="00396BDD"/>
    <w:rsid w:val="003A0770"/>
    <w:rsid w:val="003A1D62"/>
    <w:rsid w:val="003A5A39"/>
    <w:rsid w:val="003A7AB0"/>
    <w:rsid w:val="003A7CCB"/>
    <w:rsid w:val="003B64B8"/>
    <w:rsid w:val="003B72AA"/>
    <w:rsid w:val="003B774B"/>
    <w:rsid w:val="003B78FD"/>
    <w:rsid w:val="003C1983"/>
    <w:rsid w:val="003C3CFC"/>
    <w:rsid w:val="003D6BD3"/>
    <w:rsid w:val="003E204D"/>
    <w:rsid w:val="003E338E"/>
    <w:rsid w:val="003E51CB"/>
    <w:rsid w:val="003E5B39"/>
    <w:rsid w:val="003E76E3"/>
    <w:rsid w:val="003F3ED6"/>
    <w:rsid w:val="003F567C"/>
    <w:rsid w:val="003F6C56"/>
    <w:rsid w:val="00405C79"/>
    <w:rsid w:val="00406ABC"/>
    <w:rsid w:val="00412B77"/>
    <w:rsid w:val="00416CCD"/>
    <w:rsid w:val="004216F0"/>
    <w:rsid w:val="0042719B"/>
    <w:rsid w:val="004277A8"/>
    <w:rsid w:val="00427A02"/>
    <w:rsid w:val="00427F25"/>
    <w:rsid w:val="00437FD3"/>
    <w:rsid w:val="00447E0B"/>
    <w:rsid w:val="00450626"/>
    <w:rsid w:val="00455938"/>
    <w:rsid w:val="00455A87"/>
    <w:rsid w:val="00467873"/>
    <w:rsid w:val="004707B0"/>
    <w:rsid w:val="00473011"/>
    <w:rsid w:val="00481FBC"/>
    <w:rsid w:val="004835CD"/>
    <w:rsid w:val="004934B7"/>
    <w:rsid w:val="00496D67"/>
    <w:rsid w:val="004A1015"/>
    <w:rsid w:val="004A2464"/>
    <w:rsid w:val="004A5BF9"/>
    <w:rsid w:val="004B6033"/>
    <w:rsid w:val="004C47EE"/>
    <w:rsid w:val="004C6539"/>
    <w:rsid w:val="004C7093"/>
    <w:rsid w:val="004D02B2"/>
    <w:rsid w:val="004D0CF4"/>
    <w:rsid w:val="004D353E"/>
    <w:rsid w:val="004D3747"/>
    <w:rsid w:val="004D37D0"/>
    <w:rsid w:val="004D5A11"/>
    <w:rsid w:val="00501191"/>
    <w:rsid w:val="0050163D"/>
    <w:rsid w:val="00501D1F"/>
    <w:rsid w:val="005044F5"/>
    <w:rsid w:val="00511C8B"/>
    <w:rsid w:val="00516406"/>
    <w:rsid w:val="00523D0A"/>
    <w:rsid w:val="00523EFE"/>
    <w:rsid w:val="00525D40"/>
    <w:rsid w:val="00525DD0"/>
    <w:rsid w:val="0052694C"/>
    <w:rsid w:val="00531C60"/>
    <w:rsid w:val="00535537"/>
    <w:rsid w:val="00540A2E"/>
    <w:rsid w:val="005462FB"/>
    <w:rsid w:val="00547C5F"/>
    <w:rsid w:val="00560337"/>
    <w:rsid w:val="0056112A"/>
    <w:rsid w:val="00562724"/>
    <w:rsid w:val="00563BAB"/>
    <w:rsid w:val="00571014"/>
    <w:rsid w:val="00577824"/>
    <w:rsid w:val="00581D44"/>
    <w:rsid w:val="00592631"/>
    <w:rsid w:val="00593957"/>
    <w:rsid w:val="005A3845"/>
    <w:rsid w:val="005B78C0"/>
    <w:rsid w:val="005C0D38"/>
    <w:rsid w:val="005C2AF9"/>
    <w:rsid w:val="005C64D2"/>
    <w:rsid w:val="005D09D9"/>
    <w:rsid w:val="005D646C"/>
    <w:rsid w:val="005E3161"/>
    <w:rsid w:val="005E5485"/>
    <w:rsid w:val="005E7D71"/>
    <w:rsid w:val="005F4819"/>
    <w:rsid w:val="00600D35"/>
    <w:rsid w:val="00602C6E"/>
    <w:rsid w:val="00614172"/>
    <w:rsid w:val="00615AF6"/>
    <w:rsid w:val="00620ADA"/>
    <w:rsid w:val="00621F03"/>
    <w:rsid w:val="006234CB"/>
    <w:rsid w:val="00626BAD"/>
    <w:rsid w:val="00630EA0"/>
    <w:rsid w:val="00634BA4"/>
    <w:rsid w:val="00635DBD"/>
    <w:rsid w:val="006364DA"/>
    <w:rsid w:val="00640FA7"/>
    <w:rsid w:val="00645182"/>
    <w:rsid w:val="0065047B"/>
    <w:rsid w:val="006509D0"/>
    <w:rsid w:val="00653318"/>
    <w:rsid w:val="00656982"/>
    <w:rsid w:val="00660251"/>
    <w:rsid w:val="00660975"/>
    <w:rsid w:val="00660BA7"/>
    <w:rsid w:val="00660CEC"/>
    <w:rsid w:val="00661923"/>
    <w:rsid w:val="00662288"/>
    <w:rsid w:val="006644BA"/>
    <w:rsid w:val="00670D3B"/>
    <w:rsid w:val="0067201C"/>
    <w:rsid w:val="00674873"/>
    <w:rsid w:val="00674964"/>
    <w:rsid w:val="00682234"/>
    <w:rsid w:val="00683F78"/>
    <w:rsid w:val="00686510"/>
    <w:rsid w:val="00690A4E"/>
    <w:rsid w:val="006921FE"/>
    <w:rsid w:val="006935D4"/>
    <w:rsid w:val="0069371C"/>
    <w:rsid w:val="006A4FC8"/>
    <w:rsid w:val="006A5E57"/>
    <w:rsid w:val="006A712C"/>
    <w:rsid w:val="006B25E9"/>
    <w:rsid w:val="006B4CF3"/>
    <w:rsid w:val="006B7E64"/>
    <w:rsid w:val="006D56BE"/>
    <w:rsid w:val="006E171E"/>
    <w:rsid w:val="006E385E"/>
    <w:rsid w:val="006E7188"/>
    <w:rsid w:val="006F0E7D"/>
    <w:rsid w:val="006F14BF"/>
    <w:rsid w:val="0070169A"/>
    <w:rsid w:val="00707C79"/>
    <w:rsid w:val="00714A06"/>
    <w:rsid w:val="00714D26"/>
    <w:rsid w:val="007240E1"/>
    <w:rsid w:val="0072476C"/>
    <w:rsid w:val="00727AFC"/>
    <w:rsid w:val="0073423C"/>
    <w:rsid w:val="00740E8C"/>
    <w:rsid w:val="00743A7B"/>
    <w:rsid w:val="007455C0"/>
    <w:rsid w:val="00755303"/>
    <w:rsid w:val="007572EB"/>
    <w:rsid w:val="007645A9"/>
    <w:rsid w:val="007665D7"/>
    <w:rsid w:val="00766829"/>
    <w:rsid w:val="00766857"/>
    <w:rsid w:val="007724A9"/>
    <w:rsid w:val="0078569B"/>
    <w:rsid w:val="00790B87"/>
    <w:rsid w:val="007919A0"/>
    <w:rsid w:val="00791FAE"/>
    <w:rsid w:val="0079393D"/>
    <w:rsid w:val="00793A40"/>
    <w:rsid w:val="00795DD3"/>
    <w:rsid w:val="00795E9D"/>
    <w:rsid w:val="0079794D"/>
    <w:rsid w:val="007A045D"/>
    <w:rsid w:val="007C23C9"/>
    <w:rsid w:val="007D1E39"/>
    <w:rsid w:val="007E5B5A"/>
    <w:rsid w:val="007F1891"/>
    <w:rsid w:val="007F6765"/>
    <w:rsid w:val="00801352"/>
    <w:rsid w:val="00802DB5"/>
    <w:rsid w:val="00803F7E"/>
    <w:rsid w:val="00810B55"/>
    <w:rsid w:val="00816512"/>
    <w:rsid w:val="00820702"/>
    <w:rsid w:val="00820A19"/>
    <w:rsid w:val="00824A30"/>
    <w:rsid w:val="008270D9"/>
    <w:rsid w:val="00832FAB"/>
    <w:rsid w:val="00834C8D"/>
    <w:rsid w:val="008370EE"/>
    <w:rsid w:val="008411B2"/>
    <w:rsid w:val="00841FAE"/>
    <w:rsid w:val="00843DF7"/>
    <w:rsid w:val="008530E1"/>
    <w:rsid w:val="00854E87"/>
    <w:rsid w:val="00855789"/>
    <w:rsid w:val="0085778F"/>
    <w:rsid w:val="008664A1"/>
    <w:rsid w:val="0087057B"/>
    <w:rsid w:val="00881EBF"/>
    <w:rsid w:val="00884E90"/>
    <w:rsid w:val="0088595D"/>
    <w:rsid w:val="00885E36"/>
    <w:rsid w:val="00894744"/>
    <w:rsid w:val="0089533E"/>
    <w:rsid w:val="008A07A9"/>
    <w:rsid w:val="008A19C3"/>
    <w:rsid w:val="008A6A11"/>
    <w:rsid w:val="008B6DBA"/>
    <w:rsid w:val="008C5DE9"/>
    <w:rsid w:val="008C62E8"/>
    <w:rsid w:val="008C7F0D"/>
    <w:rsid w:val="008D095A"/>
    <w:rsid w:val="008D2977"/>
    <w:rsid w:val="008D5C17"/>
    <w:rsid w:val="008D60D5"/>
    <w:rsid w:val="008E242A"/>
    <w:rsid w:val="008E5805"/>
    <w:rsid w:val="008E64A5"/>
    <w:rsid w:val="008F600F"/>
    <w:rsid w:val="00900BFC"/>
    <w:rsid w:val="009139F7"/>
    <w:rsid w:val="009227B3"/>
    <w:rsid w:val="009251A3"/>
    <w:rsid w:val="009268E9"/>
    <w:rsid w:val="00927754"/>
    <w:rsid w:val="00933635"/>
    <w:rsid w:val="00935ABA"/>
    <w:rsid w:val="00937294"/>
    <w:rsid w:val="00937F48"/>
    <w:rsid w:val="009400C4"/>
    <w:rsid w:val="009402CE"/>
    <w:rsid w:val="00944D87"/>
    <w:rsid w:val="009460BF"/>
    <w:rsid w:val="00960008"/>
    <w:rsid w:val="009622D7"/>
    <w:rsid w:val="00973CDF"/>
    <w:rsid w:val="00991652"/>
    <w:rsid w:val="00993336"/>
    <w:rsid w:val="00994432"/>
    <w:rsid w:val="00996621"/>
    <w:rsid w:val="009A0919"/>
    <w:rsid w:val="009A263E"/>
    <w:rsid w:val="009A3AD6"/>
    <w:rsid w:val="009A4311"/>
    <w:rsid w:val="009A44FE"/>
    <w:rsid w:val="009A4E62"/>
    <w:rsid w:val="009A5136"/>
    <w:rsid w:val="009A6144"/>
    <w:rsid w:val="009B1092"/>
    <w:rsid w:val="009B1BA6"/>
    <w:rsid w:val="009B78D8"/>
    <w:rsid w:val="009C6F43"/>
    <w:rsid w:val="009D1130"/>
    <w:rsid w:val="009D3D81"/>
    <w:rsid w:val="009D694E"/>
    <w:rsid w:val="009D6C42"/>
    <w:rsid w:val="009E23A6"/>
    <w:rsid w:val="009E696F"/>
    <w:rsid w:val="009F18BF"/>
    <w:rsid w:val="009F3CAD"/>
    <w:rsid w:val="00A02829"/>
    <w:rsid w:val="00A028FD"/>
    <w:rsid w:val="00A03993"/>
    <w:rsid w:val="00A110F2"/>
    <w:rsid w:val="00A147A1"/>
    <w:rsid w:val="00A14F25"/>
    <w:rsid w:val="00A15FD1"/>
    <w:rsid w:val="00A20171"/>
    <w:rsid w:val="00A20419"/>
    <w:rsid w:val="00A2098C"/>
    <w:rsid w:val="00A211BF"/>
    <w:rsid w:val="00A23155"/>
    <w:rsid w:val="00A24115"/>
    <w:rsid w:val="00A24690"/>
    <w:rsid w:val="00A32A74"/>
    <w:rsid w:val="00A330E0"/>
    <w:rsid w:val="00A378E2"/>
    <w:rsid w:val="00A41202"/>
    <w:rsid w:val="00A41886"/>
    <w:rsid w:val="00A44A59"/>
    <w:rsid w:val="00A45467"/>
    <w:rsid w:val="00A45A20"/>
    <w:rsid w:val="00A50A27"/>
    <w:rsid w:val="00A6538A"/>
    <w:rsid w:val="00A67FA3"/>
    <w:rsid w:val="00A71FCE"/>
    <w:rsid w:val="00A824FA"/>
    <w:rsid w:val="00A85A29"/>
    <w:rsid w:val="00A85DC0"/>
    <w:rsid w:val="00A875A5"/>
    <w:rsid w:val="00A90024"/>
    <w:rsid w:val="00A937CA"/>
    <w:rsid w:val="00A95159"/>
    <w:rsid w:val="00A965E5"/>
    <w:rsid w:val="00A97204"/>
    <w:rsid w:val="00AA3426"/>
    <w:rsid w:val="00AA4272"/>
    <w:rsid w:val="00AC11F9"/>
    <w:rsid w:val="00AC4812"/>
    <w:rsid w:val="00AD50A7"/>
    <w:rsid w:val="00AF0C8B"/>
    <w:rsid w:val="00AF3A23"/>
    <w:rsid w:val="00AF5265"/>
    <w:rsid w:val="00B00147"/>
    <w:rsid w:val="00B25A3C"/>
    <w:rsid w:val="00B26F1D"/>
    <w:rsid w:val="00B349AF"/>
    <w:rsid w:val="00B40F77"/>
    <w:rsid w:val="00B413A5"/>
    <w:rsid w:val="00B41E51"/>
    <w:rsid w:val="00B43861"/>
    <w:rsid w:val="00B560DF"/>
    <w:rsid w:val="00B60E2A"/>
    <w:rsid w:val="00B64AD7"/>
    <w:rsid w:val="00B6680C"/>
    <w:rsid w:val="00B71788"/>
    <w:rsid w:val="00B73C66"/>
    <w:rsid w:val="00B75171"/>
    <w:rsid w:val="00B77831"/>
    <w:rsid w:val="00B803AE"/>
    <w:rsid w:val="00B81904"/>
    <w:rsid w:val="00B94C21"/>
    <w:rsid w:val="00BA065F"/>
    <w:rsid w:val="00BA3B77"/>
    <w:rsid w:val="00BB3071"/>
    <w:rsid w:val="00BB4261"/>
    <w:rsid w:val="00BC03E6"/>
    <w:rsid w:val="00BC3BC9"/>
    <w:rsid w:val="00BC7C7D"/>
    <w:rsid w:val="00BD0C68"/>
    <w:rsid w:val="00BD409C"/>
    <w:rsid w:val="00BD414F"/>
    <w:rsid w:val="00BD59B9"/>
    <w:rsid w:val="00BD5AD1"/>
    <w:rsid w:val="00C02293"/>
    <w:rsid w:val="00C05D78"/>
    <w:rsid w:val="00C05FFD"/>
    <w:rsid w:val="00C06494"/>
    <w:rsid w:val="00C13466"/>
    <w:rsid w:val="00C15FAD"/>
    <w:rsid w:val="00C219FC"/>
    <w:rsid w:val="00C26723"/>
    <w:rsid w:val="00C307B7"/>
    <w:rsid w:val="00C356C2"/>
    <w:rsid w:val="00C42544"/>
    <w:rsid w:val="00C73E78"/>
    <w:rsid w:val="00C836A2"/>
    <w:rsid w:val="00C8625F"/>
    <w:rsid w:val="00C9185E"/>
    <w:rsid w:val="00C942E6"/>
    <w:rsid w:val="00C96018"/>
    <w:rsid w:val="00C97534"/>
    <w:rsid w:val="00CA59D8"/>
    <w:rsid w:val="00CB2B9A"/>
    <w:rsid w:val="00CC6A23"/>
    <w:rsid w:val="00CD17BD"/>
    <w:rsid w:val="00CD2162"/>
    <w:rsid w:val="00CD2401"/>
    <w:rsid w:val="00CD3A5C"/>
    <w:rsid w:val="00CE052A"/>
    <w:rsid w:val="00CE5B1D"/>
    <w:rsid w:val="00CE70FE"/>
    <w:rsid w:val="00CF5947"/>
    <w:rsid w:val="00CF7B56"/>
    <w:rsid w:val="00D04BAE"/>
    <w:rsid w:val="00D07788"/>
    <w:rsid w:val="00D07C19"/>
    <w:rsid w:val="00D101A9"/>
    <w:rsid w:val="00D10DE5"/>
    <w:rsid w:val="00D146F7"/>
    <w:rsid w:val="00D155B9"/>
    <w:rsid w:val="00D21A54"/>
    <w:rsid w:val="00D22F8E"/>
    <w:rsid w:val="00D24144"/>
    <w:rsid w:val="00D24B75"/>
    <w:rsid w:val="00D25122"/>
    <w:rsid w:val="00D305B3"/>
    <w:rsid w:val="00D33381"/>
    <w:rsid w:val="00D33F3E"/>
    <w:rsid w:val="00D43336"/>
    <w:rsid w:val="00D43357"/>
    <w:rsid w:val="00D4477B"/>
    <w:rsid w:val="00D44F3D"/>
    <w:rsid w:val="00D4669E"/>
    <w:rsid w:val="00D46D41"/>
    <w:rsid w:val="00D503B7"/>
    <w:rsid w:val="00D52B44"/>
    <w:rsid w:val="00D56DCC"/>
    <w:rsid w:val="00D725FF"/>
    <w:rsid w:val="00D73678"/>
    <w:rsid w:val="00D739AF"/>
    <w:rsid w:val="00D779AE"/>
    <w:rsid w:val="00D8010A"/>
    <w:rsid w:val="00D84061"/>
    <w:rsid w:val="00D8487C"/>
    <w:rsid w:val="00D9037A"/>
    <w:rsid w:val="00D95FAB"/>
    <w:rsid w:val="00D96340"/>
    <w:rsid w:val="00DA0234"/>
    <w:rsid w:val="00DA285C"/>
    <w:rsid w:val="00DA3E53"/>
    <w:rsid w:val="00DA71C5"/>
    <w:rsid w:val="00DB0361"/>
    <w:rsid w:val="00DB1AC1"/>
    <w:rsid w:val="00DB4163"/>
    <w:rsid w:val="00DB5B6D"/>
    <w:rsid w:val="00DB7438"/>
    <w:rsid w:val="00DC0390"/>
    <w:rsid w:val="00DC11ED"/>
    <w:rsid w:val="00DC777D"/>
    <w:rsid w:val="00DD24F1"/>
    <w:rsid w:val="00DE0F9D"/>
    <w:rsid w:val="00DE1A6C"/>
    <w:rsid w:val="00DE4B84"/>
    <w:rsid w:val="00DF128C"/>
    <w:rsid w:val="00DF3D88"/>
    <w:rsid w:val="00E00403"/>
    <w:rsid w:val="00E03E11"/>
    <w:rsid w:val="00E042B7"/>
    <w:rsid w:val="00E11282"/>
    <w:rsid w:val="00E12D10"/>
    <w:rsid w:val="00E14B32"/>
    <w:rsid w:val="00E15F37"/>
    <w:rsid w:val="00E2043F"/>
    <w:rsid w:val="00E20F67"/>
    <w:rsid w:val="00E21CBE"/>
    <w:rsid w:val="00E2673B"/>
    <w:rsid w:val="00E35135"/>
    <w:rsid w:val="00E426E8"/>
    <w:rsid w:val="00E4513B"/>
    <w:rsid w:val="00E5003A"/>
    <w:rsid w:val="00E51CE2"/>
    <w:rsid w:val="00E55466"/>
    <w:rsid w:val="00E55598"/>
    <w:rsid w:val="00E568F7"/>
    <w:rsid w:val="00E679F5"/>
    <w:rsid w:val="00E729E4"/>
    <w:rsid w:val="00E72ED5"/>
    <w:rsid w:val="00E748ED"/>
    <w:rsid w:val="00E752BF"/>
    <w:rsid w:val="00E7561E"/>
    <w:rsid w:val="00E86664"/>
    <w:rsid w:val="00E91202"/>
    <w:rsid w:val="00E91D14"/>
    <w:rsid w:val="00E92161"/>
    <w:rsid w:val="00E92E55"/>
    <w:rsid w:val="00E945AD"/>
    <w:rsid w:val="00E95215"/>
    <w:rsid w:val="00E97BD6"/>
    <w:rsid w:val="00EA1335"/>
    <w:rsid w:val="00EA298E"/>
    <w:rsid w:val="00EA4A53"/>
    <w:rsid w:val="00EA566E"/>
    <w:rsid w:val="00EB06A9"/>
    <w:rsid w:val="00EB2B34"/>
    <w:rsid w:val="00EB63B4"/>
    <w:rsid w:val="00EC0AD8"/>
    <w:rsid w:val="00EC0E22"/>
    <w:rsid w:val="00EC1EAD"/>
    <w:rsid w:val="00EC634D"/>
    <w:rsid w:val="00ED0A55"/>
    <w:rsid w:val="00ED3B19"/>
    <w:rsid w:val="00ED4D27"/>
    <w:rsid w:val="00EE3B9D"/>
    <w:rsid w:val="00EE7455"/>
    <w:rsid w:val="00EF5D7A"/>
    <w:rsid w:val="00EF6609"/>
    <w:rsid w:val="00F00ABC"/>
    <w:rsid w:val="00F03068"/>
    <w:rsid w:val="00F0379A"/>
    <w:rsid w:val="00F04C4C"/>
    <w:rsid w:val="00F05E6C"/>
    <w:rsid w:val="00F07B0E"/>
    <w:rsid w:val="00F10D78"/>
    <w:rsid w:val="00F128CD"/>
    <w:rsid w:val="00F16F56"/>
    <w:rsid w:val="00F20E1F"/>
    <w:rsid w:val="00F20F8A"/>
    <w:rsid w:val="00F2131D"/>
    <w:rsid w:val="00F23D68"/>
    <w:rsid w:val="00F27C84"/>
    <w:rsid w:val="00F30089"/>
    <w:rsid w:val="00F40B63"/>
    <w:rsid w:val="00F442A8"/>
    <w:rsid w:val="00F4493C"/>
    <w:rsid w:val="00F47E78"/>
    <w:rsid w:val="00F55599"/>
    <w:rsid w:val="00F62A94"/>
    <w:rsid w:val="00F70A84"/>
    <w:rsid w:val="00F7120E"/>
    <w:rsid w:val="00F75EE5"/>
    <w:rsid w:val="00F83C7D"/>
    <w:rsid w:val="00F879E5"/>
    <w:rsid w:val="00F87CB3"/>
    <w:rsid w:val="00F94760"/>
    <w:rsid w:val="00FA18D4"/>
    <w:rsid w:val="00FB1B8D"/>
    <w:rsid w:val="00FB4E33"/>
    <w:rsid w:val="00FB54B1"/>
    <w:rsid w:val="00FB7C05"/>
    <w:rsid w:val="00FC607A"/>
    <w:rsid w:val="00FD4154"/>
    <w:rsid w:val="00FD7C60"/>
    <w:rsid w:val="00FE5573"/>
    <w:rsid w:val="00FE7BC8"/>
    <w:rsid w:val="00FF2467"/>
    <w:rsid w:val="00FF31F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AED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uiPriority w:val="99"/>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table" w:styleId="TableGrid">
    <w:name w:val="Table Grid"/>
    <w:basedOn w:val="TableNormal"/>
    <w:uiPriority w:val="39"/>
    <w:rsid w:val="00D44F3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FD3"/>
    <w:rPr>
      <w:color w:val="0000FF"/>
      <w:u w:val="single"/>
    </w:rPr>
  </w:style>
  <w:style w:type="paragraph" w:customStyle="1" w:styleId="tv213">
    <w:name w:val="tv213"/>
    <w:basedOn w:val="Normal"/>
    <w:rsid w:val="000F7686"/>
    <w:pPr>
      <w:spacing w:before="100" w:beforeAutospacing="1" w:after="100" w:afterAutospacing="1"/>
    </w:pPr>
    <w:rPr>
      <w:lang w:eastAsia="lv-LV"/>
    </w:rPr>
  </w:style>
  <w:style w:type="paragraph" w:customStyle="1" w:styleId="labojumupamats">
    <w:name w:val="labojumu_pamats"/>
    <w:basedOn w:val="Normal"/>
    <w:rsid w:val="000F7686"/>
    <w:pPr>
      <w:spacing w:before="100" w:beforeAutospacing="1" w:after="100" w:afterAutospacing="1"/>
    </w:pPr>
    <w:rPr>
      <w:lang w:eastAsia="lv-LV"/>
    </w:rPr>
  </w:style>
  <w:style w:type="character" w:customStyle="1" w:styleId="fontsize2">
    <w:name w:val="fontsize2"/>
    <w:basedOn w:val="DefaultParagraphFont"/>
    <w:rsid w:val="000F7686"/>
  </w:style>
  <w:style w:type="paragraph" w:styleId="FootnoteText">
    <w:name w:val="footnote text"/>
    <w:basedOn w:val="Normal"/>
    <w:link w:val="FootnoteTextChar"/>
    <w:uiPriority w:val="99"/>
    <w:unhideWhenUsed/>
    <w:rsid w:val="00EB63B4"/>
    <w:rPr>
      <w:sz w:val="20"/>
      <w:szCs w:val="20"/>
      <w:lang w:val="en-GB"/>
    </w:rPr>
  </w:style>
  <w:style w:type="character" w:customStyle="1" w:styleId="FootnoteTextChar">
    <w:name w:val="Footnote Text Char"/>
    <w:basedOn w:val="DefaultParagraphFont"/>
    <w:link w:val="FootnoteText"/>
    <w:uiPriority w:val="99"/>
    <w:rsid w:val="00EB63B4"/>
    <w:rPr>
      <w:lang w:val="en-GB" w:eastAsia="en-US"/>
    </w:rPr>
  </w:style>
  <w:style w:type="paragraph" w:styleId="NoSpacing">
    <w:name w:val="No Spacing"/>
    <w:uiPriority w:val="1"/>
    <w:qFormat/>
    <w:rsid w:val="00EB63B4"/>
    <w:rPr>
      <w:sz w:val="24"/>
      <w:szCs w:val="24"/>
      <w:lang w:eastAsia="ru-RU"/>
    </w:rPr>
  </w:style>
  <w:style w:type="character" w:styleId="FootnoteReference">
    <w:name w:val="footnote reference"/>
    <w:unhideWhenUsed/>
    <w:rsid w:val="00EB63B4"/>
    <w:rPr>
      <w:vertAlign w:val="superscript"/>
    </w:rPr>
  </w:style>
  <w:style w:type="character" w:styleId="CommentReference">
    <w:name w:val="annotation reference"/>
    <w:basedOn w:val="DefaultParagraphFont"/>
    <w:uiPriority w:val="99"/>
    <w:unhideWhenUsed/>
    <w:rsid w:val="00FB4E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069878">
      <w:bodyDiv w:val="1"/>
      <w:marLeft w:val="0"/>
      <w:marRight w:val="0"/>
      <w:marTop w:val="0"/>
      <w:marBottom w:val="0"/>
      <w:divBdr>
        <w:top w:val="none" w:sz="0" w:space="0" w:color="auto"/>
        <w:left w:val="none" w:sz="0" w:space="0" w:color="auto"/>
        <w:bottom w:val="none" w:sz="0" w:space="0" w:color="auto"/>
        <w:right w:val="none" w:sz="0" w:space="0" w:color="auto"/>
      </w:divBdr>
      <w:divsChild>
        <w:div w:id="1522163490">
          <w:marLeft w:val="0"/>
          <w:marRight w:val="0"/>
          <w:marTop w:val="0"/>
          <w:marBottom w:val="0"/>
          <w:divBdr>
            <w:top w:val="none" w:sz="0" w:space="0" w:color="auto"/>
            <w:left w:val="none" w:sz="0" w:space="0" w:color="auto"/>
            <w:bottom w:val="none" w:sz="0" w:space="0" w:color="auto"/>
            <w:right w:val="none" w:sz="0" w:space="0" w:color="auto"/>
          </w:divBdr>
        </w:div>
        <w:div w:id="994916196">
          <w:marLeft w:val="0"/>
          <w:marRight w:val="0"/>
          <w:marTop w:val="0"/>
          <w:marBottom w:val="0"/>
          <w:divBdr>
            <w:top w:val="none" w:sz="0" w:space="0" w:color="auto"/>
            <w:left w:val="none" w:sz="0" w:space="0" w:color="auto"/>
            <w:bottom w:val="none" w:sz="0" w:space="0" w:color="auto"/>
            <w:right w:val="none" w:sz="0" w:space="0" w:color="auto"/>
          </w:divBdr>
        </w:div>
        <w:div w:id="387842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9327468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3%26procnum%3D1200%26sort%3D1%26liststep%3D10%26%3DPar%25C4%2581d%25C4%25ABt%26plparam1%3Dlist%26pljmimetype%3D1%26%3DIzdruk%25C4%2581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0DCAE-D5C6-489B-AEFB-F3BCFED7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2024-01-24T08:25:00Z</dcterms:created>
  <dcterms:modified xsi:type="dcterms:W3CDTF">2024-01-31T09:39:00Z</dcterms:modified>
</cp:coreProperties>
</file>