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3516" w14:textId="68E1C9A6" w:rsidR="00EB7374" w:rsidRDefault="0078192A" w:rsidP="0078192A">
      <w:pPr>
        <w:spacing w:after="0" w:line="276" w:lineRule="auto"/>
        <w:jc w:val="both"/>
        <w:rPr>
          <w:b/>
          <w:bCs/>
          <w:color w:val="000000"/>
          <w:shd w:val="clear" w:color="auto" w:fill="FFFFFF"/>
        </w:rPr>
      </w:pPr>
      <w:r>
        <w:rPr>
          <w:b/>
          <w:bCs/>
          <w:color w:val="000000"/>
          <w:shd w:val="clear" w:color="auto" w:fill="FFFFFF"/>
        </w:rPr>
        <w:t>Tiesības liecināt paša izvēlētajā apjomā</w:t>
      </w:r>
    </w:p>
    <w:p w14:paraId="26251EA0" w14:textId="77777777" w:rsidR="0078192A" w:rsidRDefault="0078192A" w:rsidP="0078192A">
      <w:pPr>
        <w:spacing w:after="0" w:line="276" w:lineRule="auto"/>
        <w:jc w:val="both"/>
        <w:rPr>
          <w:b/>
          <w:bCs/>
          <w:color w:val="000000"/>
          <w:shd w:val="clear" w:color="auto" w:fill="FFFFFF"/>
        </w:rPr>
      </w:pPr>
    </w:p>
    <w:p w14:paraId="354167DA" w14:textId="667BADD0" w:rsidR="00EB7374" w:rsidRDefault="0078192A" w:rsidP="0078192A">
      <w:pPr>
        <w:spacing w:after="0" w:line="276" w:lineRule="auto"/>
        <w:jc w:val="both"/>
        <w:rPr>
          <w:rFonts w:cs="Times New Roman"/>
          <w:szCs w:val="24"/>
        </w:rPr>
      </w:pPr>
      <w:r>
        <w:rPr>
          <w:b/>
          <w:bCs/>
          <w:color w:val="000000"/>
          <w:bdr w:val="none" w:sz="0" w:space="0" w:color="auto" w:frame="1"/>
        </w:rPr>
        <w:t xml:space="preserve">Krimināllikuma 48. panta pirmās daļas 12. punktā paredzētā atbildību pastiprinošā apstākļa – noziedzīgais nodarījums izdarīts narkotisko vielu ietekmē – konstatēšana, </w:t>
      </w:r>
      <w:r>
        <w:rPr>
          <w:b/>
          <w:bCs/>
          <w:bdr w:val="none" w:sz="0" w:space="0" w:color="auto" w:frame="1"/>
        </w:rPr>
        <w:t xml:space="preserve">ja apsūdzētajam ir piemērots administratīvais sods par narkotisko </w:t>
      </w:r>
      <w:r>
        <w:rPr>
          <w:b/>
          <w:bCs/>
          <w:color w:val="000000"/>
          <w:bdr w:val="none" w:sz="0" w:space="0" w:color="auto" w:frame="1"/>
        </w:rPr>
        <w:t>vielu neatļautu lietošanu</w:t>
      </w:r>
    </w:p>
    <w:p w14:paraId="5E9185B9" w14:textId="77777777" w:rsidR="0078192A" w:rsidRPr="0078192A" w:rsidRDefault="0078192A" w:rsidP="0078192A">
      <w:pPr>
        <w:spacing w:after="0" w:line="276" w:lineRule="auto"/>
        <w:rPr>
          <w:rFonts w:cs="Times New Roman"/>
          <w:szCs w:val="24"/>
        </w:rPr>
      </w:pPr>
    </w:p>
    <w:p w14:paraId="0B412CCC" w14:textId="77777777" w:rsidR="0078192A" w:rsidRPr="0078192A" w:rsidRDefault="00EB7374" w:rsidP="00EB7374">
      <w:pPr>
        <w:spacing w:after="0" w:line="276" w:lineRule="auto"/>
        <w:jc w:val="center"/>
        <w:rPr>
          <w:rFonts w:cs="Times New Roman"/>
          <w:b/>
          <w:szCs w:val="24"/>
        </w:rPr>
      </w:pPr>
      <w:r w:rsidRPr="0078192A">
        <w:rPr>
          <w:rFonts w:cs="Times New Roman"/>
          <w:b/>
          <w:szCs w:val="24"/>
        </w:rPr>
        <w:t>Latvijas Republikas Senāt</w:t>
      </w:r>
      <w:r w:rsidR="0078192A" w:rsidRPr="0078192A">
        <w:rPr>
          <w:rFonts w:cs="Times New Roman"/>
          <w:b/>
          <w:szCs w:val="24"/>
        </w:rPr>
        <w:t xml:space="preserve">a </w:t>
      </w:r>
    </w:p>
    <w:p w14:paraId="33F510F0" w14:textId="77777777" w:rsidR="0078192A" w:rsidRPr="0078192A" w:rsidRDefault="0078192A" w:rsidP="00EB7374">
      <w:pPr>
        <w:spacing w:after="0" w:line="276" w:lineRule="auto"/>
        <w:jc w:val="center"/>
        <w:rPr>
          <w:rFonts w:cs="Times New Roman"/>
          <w:b/>
          <w:szCs w:val="24"/>
        </w:rPr>
      </w:pPr>
      <w:r w:rsidRPr="0078192A">
        <w:rPr>
          <w:rFonts w:cs="Times New Roman"/>
          <w:b/>
          <w:szCs w:val="24"/>
        </w:rPr>
        <w:t>Krimināllietu departamenta</w:t>
      </w:r>
    </w:p>
    <w:p w14:paraId="2939F595" w14:textId="08AB7004" w:rsidR="00EB7374" w:rsidRPr="0078192A" w:rsidRDefault="0078192A" w:rsidP="00EB7374">
      <w:pPr>
        <w:spacing w:after="0" w:line="276" w:lineRule="auto"/>
        <w:jc w:val="center"/>
        <w:rPr>
          <w:rFonts w:cs="Times New Roman"/>
          <w:b/>
          <w:szCs w:val="24"/>
        </w:rPr>
      </w:pPr>
      <w:r w:rsidRPr="0078192A">
        <w:rPr>
          <w:rFonts w:cs="Times New Roman"/>
          <w:b/>
          <w:szCs w:val="24"/>
        </w:rPr>
        <w:t>2023. gada 28. novembra</w:t>
      </w:r>
    </w:p>
    <w:p w14:paraId="2F8F115F" w14:textId="77777777" w:rsidR="00EB7374" w:rsidRPr="0078192A" w:rsidRDefault="00EB7374" w:rsidP="00EB7374">
      <w:pPr>
        <w:spacing w:after="0" w:line="276" w:lineRule="auto"/>
        <w:jc w:val="center"/>
        <w:rPr>
          <w:rFonts w:cs="Times New Roman"/>
          <w:b/>
          <w:szCs w:val="24"/>
        </w:rPr>
      </w:pPr>
      <w:r w:rsidRPr="0078192A">
        <w:rPr>
          <w:rFonts w:cs="Times New Roman"/>
          <w:b/>
          <w:szCs w:val="24"/>
        </w:rPr>
        <w:t>LĒMUMS</w:t>
      </w:r>
    </w:p>
    <w:p w14:paraId="1E9A44DA" w14:textId="0BD8819C" w:rsidR="00EB7374" w:rsidRPr="0078192A" w:rsidRDefault="0078192A" w:rsidP="00EB7374">
      <w:pPr>
        <w:spacing w:after="0" w:line="276" w:lineRule="auto"/>
        <w:jc w:val="center"/>
        <w:rPr>
          <w:rFonts w:cs="Times New Roman"/>
          <w:szCs w:val="24"/>
        </w:rPr>
      </w:pPr>
      <w:r w:rsidRPr="0078192A">
        <w:rPr>
          <w:rFonts w:cs="Times New Roman"/>
          <w:b/>
          <w:szCs w:val="24"/>
        </w:rPr>
        <w:t>Lieta Nr. 11095026719, SKK-515/2023</w:t>
      </w:r>
    </w:p>
    <w:p w14:paraId="3779984B" w14:textId="38D33A0C" w:rsidR="0078192A" w:rsidRPr="0078192A" w:rsidRDefault="00B53320" w:rsidP="00EB7374">
      <w:pPr>
        <w:spacing w:after="0" w:line="276" w:lineRule="auto"/>
        <w:jc w:val="center"/>
        <w:rPr>
          <w:rFonts w:cs="Times New Roman"/>
          <w:szCs w:val="24"/>
        </w:rPr>
      </w:pPr>
      <w:hyperlink r:id="rId6" w:history="1">
        <w:r w:rsidR="0078192A" w:rsidRPr="0078192A">
          <w:rPr>
            <w:rStyle w:val="Hyperlink"/>
            <w:rFonts w:cs="Times New Roman"/>
            <w:szCs w:val="24"/>
            <w:shd w:val="clear" w:color="auto" w:fill="FFFFFF"/>
          </w:rPr>
          <w:t>ECLI:LV:AT:2023:1128.11095026719.4.L</w:t>
        </w:r>
      </w:hyperlink>
    </w:p>
    <w:p w14:paraId="1F5022C8" w14:textId="77777777" w:rsidR="00EB7374" w:rsidRPr="001E08F7" w:rsidRDefault="00EB7374" w:rsidP="00EB7374">
      <w:pPr>
        <w:spacing w:after="0" w:line="276" w:lineRule="auto"/>
        <w:jc w:val="center"/>
      </w:pPr>
    </w:p>
    <w:p w14:paraId="60532659" w14:textId="46DE09AE" w:rsidR="00EB7374" w:rsidRPr="001E08F7" w:rsidRDefault="00EB7374" w:rsidP="00EB7374">
      <w:pPr>
        <w:suppressAutoHyphens/>
        <w:spacing w:after="0" w:line="276" w:lineRule="auto"/>
        <w:ind w:firstLine="720"/>
        <w:contextualSpacing/>
        <w:jc w:val="both"/>
      </w:pPr>
      <w:r w:rsidRPr="001E08F7">
        <w:t>Senāts šādā sastāvā: senatori Sandra Kaija, Inguna Radzeviča,</w:t>
      </w:r>
      <w:r w:rsidR="000D6CAF" w:rsidRPr="001E08F7">
        <w:t xml:space="preserve"> Aivars Uminskis,</w:t>
      </w:r>
    </w:p>
    <w:p w14:paraId="70F32069" w14:textId="77777777" w:rsidR="00EB7374" w:rsidRPr="001E08F7" w:rsidRDefault="00EB7374" w:rsidP="00EB7374">
      <w:pPr>
        <w:suppressAutoHyphens/>
        <w:spacing w:after="0" w:line="276" w:lineRule="auto"/>
        <w:ind w:firstLine="720"/>
        <w:contextualSpacing/>
        <w:jc w:val="both"/>
        <w:rPr>
          <w:rFonts w:eastAsia="Calibri"/>
        </w:rPr>
      </w:pPr>
    </w:p>
    <w:p w14:paraId="3A2F548E" w14:textId="66319278" w:rsidR="00EB7374" w:rsidRPr="001E08F7" w:rsidRDefault="00EB7374" w:rsidP="00EB7374">
      <w:pPr>
        <w:spacing w:after="0" w:line="276" w:lineRule="auto"/>
        <w:ind w:firstLine="720"/>
        <w:contextualSpacing/>
        <w:jc w:val="both"/>
      </w:pPr>
      <w:r w:rsidRPr="001E08F7">
        <w:t>iepazinies ar</w:t>
      </w:r>
      <w:r w:rsidR="000D6CAF" w:rsidRPr="001E08F7">
        <w:t xml:space="preserve"> </w:t>
      </w:r>
      <w:r w:rsidRPr="001E08F7">
        <w:t xml:space="preserve">apsūdzētā </w:t>
      </w:r>
      <w:r w:rsidR="0078192A">
        <w:t>[pers. A]</w:t>
      </w:r>
      <w:r w:rsidRPr="001E08F7">
        <w:t xml:space="preserve"> un viņa aizstāv</w:t>
      </w:r>
      <w:r w:rsidR="000D6CAF" w:rsidRPr="001E08F7">
        <w:t>es</w:t>
      </w:r>
      <w:r w:rsidRPr="001E08F7">
        <w:t xml:space="preserve"> zvērināta</w:t>
      </w:r>
      <w:r w:rsidR="000D6CAF" w:rsidRPr="001E08F7">
        <w:t>s</w:t>
      </w:r>
      <w:r w:rsidRPr="001E08F7">
        <w:t xml:space="preserve"> advokāt</w:t>
      </w:r>
      <w:r w:rsidR="000D6CAF" w:rsidRPr="001E08F7">
        <w:t>es</w:t>
      </w:r>
      <w:r w:rsidRPr="001E08F7">
        <w:t xml:space="preserve"> </w:t>
      </w:r>
      <w:r w:rsidR="000D6CAF" w:rsidRPr="001E08F7">
        <w:t xml:space="preserve">Ivetas Jansones, kā arī apsūdzētā </w:t>
      </w:r>
      <w:r w:rsidR="0078192A">
        <w:t>[pers. B]</w:t>
      </w:r>
      <w:r w:rsidR="000D6CAF" w:rsidRPr="001E08F7">
        <w:t xml:space="preserve"> aizstāvja zvērināta advokāta Artūra Zvejsalnieka</w:t>
      </w:r>
      <w:r w:rsidRPr="001E08F7">
        <w:t xml:space="preserve"> kasācijas sūdzībām par Rīgas apgabaltiesas 2023. gada 2</w:t>
      </w:r>
      <w:r w:rsidR="000D6CAF" w:rsidRPr="001E08F7">
        <w:t>2</w:t>
      </w:r>
      <w:r w:rsidRPr="001E08F7">
        <w:t>. </w:t>
      </w:r>
      <w:r w:rsidR="000D6CAF" w:rsidRPr="001E08F7">
        <w:t>maija</w:t>
      </w:r>
      <w:r w:rsidRPr="001E08F7">
        <w:t xml:space="preserve"> lēmumu, atzīst, ka ir pamats atteikt ierosināt kasācijas tiesvedību.</w:t>
      </w:r>
    </w:p>
    <w:p w14:paraId="3700A918" w14:textId="77777777" w:rsidR="00251095" w:rsidRPr="001E08F7" w:rsidRDefault="00251095" w:rsidP="00251095">
      <w:pPr>
        <w:pStyle w:val="NoSpacing"/>
        <w:spacing w:line="276" w:lineRule="auto"/>
        <w:ind w:firstLine="720"/>
        <w:jc w:val="both"/>
        <w:rPr>
          <w:szCs w:val="24"/>
        </w:rPr>
      </w:pPr>
      <w:r w:rsidRPr="001E08F7">
        <w:rPr>
          <w:szCs w:val="24"/>
        </w:rPr>
        <w:t>Saskaņā ar Kriminālprocesa likuma 573.</w:t>
      </w:r>
      <w:r w:rsidRPr="001E08F7">
        <w:rPr>
          <w:szCs w:val="24"/>
          <w:vertAlign w:val="superscript"/>
        </w:rPr>
        <w:t>1</w:t>
      </w:r>
      <w:r w:rsidRPr="001E08F7">
        <w:rPr>
          <w:szCs w:val="24"/>
        </w:rPr>
        <w:t> panta otrās daļas 2. punktu tiesa var atteikties ierosināt kasācijas tiesvedību, ja, izvērtējot kasācijas sūdzībā vai protestā minētos argumentus, nerodas šaubas par pārsūdzētā nolēmuma tiesiskumu un izskatāmajai lietai nav būtiskas nozīmes judikatūras veidošanā.</w:t>
      </w:r>
    </w:p>
    <w:p w14:paraId="2D3B88B7" w14:textId="614D6DB5" w:rsidR="0000128D" w:rsidRDefault="00EB7374" w:rsidP="0000128D">
      <w:pPr>
        <w:spacing w:after="0" w:line="276" w:lineRule="auto"/>
        <w:ind w:firstLine="720"/>
        <w:contextualSpacing/>
        <w:jc w:val="both"/>
        <w:rPr>
          <w:rFonts w:eastAsia="Calibri" w:cs="Times New Roman"/>
          <w:szCs w:val="24"/>
        </w:rPr>
      </w:pPr>
      <w:bookmarkStart w:id="0" w:name="_Hlk130549515"/>
      <w:bookmarkStart w:id="1" w:name="_Hlk85009661"/>
      <w:r w:rsidRPr="001E08F7">
        <w:rPr>
          <w:rFonts w:eastAsia="Calibri" w:cs="Times New Roman"/>
          <w:szCs w:val="24"/>
        </w:rPr>
        <w:t xml:space="preserve">Apsūdzētais </w:t>
      </w:r>
      <w:r w:rsidR="0078192A">
        <w:t>[pers. A]</w:t>
      </w:r>
      <w:r w:rsidR="000D6CAF" w:rsidRPr="001E08F7">
        <w:t xml:space="preserve"> </w:t>
      </w:r>
      <w:r w:rsidRPr="001E08F7">
        <w:rPr>
          <w:rFonts w:eastAsia="Calibri" w:cs="Times New Roman"/>
          <w:szCs w:val="24"/>
        </w:rPr>
        <w:t xml:space="preserve">kasācijas sūdzībā lūdz </w:t>
      </w:r>
      <w:r w:rsidR="000D6CAF" w:rsidRPr="001E08F7">
        <w:rPr>
          <w:rFonts w:eastAsia="Calibri" w:cs="Times New Roman"/>
          <w:szCs w:val="24"/>
        </w:rPr>
        <w:t xml:space="preserve">atcelt apelācijas instances tiesas lēmumu un lietu nosūtīt jaunai izskatīšanai. </w:t>
      </w:r>
      <w:r w:rsidRPr="001E08F7">
        <w:rPr>
          <w:rFonts w:eastAsia="Calibri" w:cs="Times New Roman"/>
          <w:szCs w:val="24"/>
        </w:rPr>
        <w:t xml:space="preserve">Pamatojot savu lūgumu, apsūdzētais norāda, ka </w:t>
      </w:r>
      <w:r w:rsidR="00952C29" w:rsidRPr="001E08F7">
        <w:rPr>
          <w:rFonts w:eastAsia="Calibri" w:cs="Times New Roman"/>
          <w:szCs w:val="24"/>
        </w:rPr>
        <w:t>apelācijas instances tiesa</w:t>
      </w:r>
      <w:r w:rsidR="00D00F4C">
        <w:rPr>
          <w:rFonts w:eastAsia="Calibri" w:cs="Times New Roman"/>
          <w:szCs w:val="24"/>
        </w:rPr>
        <w:t>:</w:t>
      </w:r>
      <w:r w:rsidR="00952C29" w:rsidRPr="001E08F7">
        <w:rPr>
          <w:rFonts w:eastAsia="Calibri" w:cs="Times New Roman"/>
          <w:szCs w:val="24"/>
        </w:rPr>
        <w:t xml:space="preserve"> </w:t>
      </w:r>
      <w:r w:rsidR="004265D7" w:rsidRPr="001E08F7">
        <w:rPr>
          <w:rFonts w:eastAsia="Calibri" w:cs="Times New Roman"/>
          <w:szCs w:val="24"/>
        </w:rPr>
        <w:t>1)</w:t>
      </w:r>
      <w:r w:rsidR="00212BD9">
        <w:rPr>
          <w:rFonts w:eastAsia="Calibri" w:cs="Times New Roman"/>
          <w:szCs w:val="24"/>
        </w:rPr>
        <w:t> </w:t>
      </w:r>
      <w:r w:rsidR="00251095" w:rsidRPr="001E08F7">
        <w:rPr>
          <w:rFonts w:eastAsia="Calibri" w:cs="Times New Roman"/>
          <w:szCs w:val="24"/>
        </w:rPr>
        <w:t xml:space="preserve">apmierinot aizstāves lūgumu, ir pārbaudījusi pret </w:t>
      </w:r>
      <w:r w:rsidR="0078192A">
        <w:rPr>
          <w:rFonts w:eastAsia="Calibri" w:cs="Times New Roman"/>
          <w:szCs w:val="24"/>
        </w:rPr>
        <w:t>[pers. B]</w:t>
      </w:r>
      <w:r w:rsidR="00251095" w:rsidRPr="001E08F7">
        <w:rPr>
          <w:rFonts w:eastAsia="Calibri" w:cs="Times New Roman"/>
          <w:szCs w:val="24"/>
        </w:rPr>
        <w:t xml:space="preserve"> veikto speciālo izmeklēšanas darbību ierosinājumus, taču nekādus secinājumus par tiem lēmumā nav norādījus</w:t>
      </w:r>
      <w:r w:rsidR="000026CE" w:rsidRPr="001E08F7">
        <w:rPr>
          <w:rFonts w:eastAsia="Calibri" w:cs="Times New Roman"/>
          <w:szCs w:val="24"/>
        </w:rPr>
        <w:t>i</w:t>
      </w:r>
      <w:r w:rsidR="004265D7" w:rsidRPr="001E08F7">
        <w:rPr>
          <w:rFonts w:eastAsia="Calibri" w:cs="Times New Roman"/>
          <w:szCs w:val="24"/>
        </w:rPr>
        <w:t>; 2)</w:t>
      </w:r>
      <w:r w:rsidR="00212BD9">
        <w:rPr>
          <w:rFonts w:eastAsia="Calibri" w:cs="Times New Roman"/>
          <w:szCs w:val="24"/>
        </w:rPr>
        <w:t> </w:t>
      </w:r>
      <w:r w:rsidR="000026CE" w:rsidRPr="001E08F7">
        <w:rPr>
          <w:rFonts w:eastAsia="Calibri" w:cs="Times New Roman"/>
          <w:szCs w:val="24"/>
        </w:rPr>
        <w:t>faktiski ir sniegusi jaunu noziedzīgā nodarījuma aprakstu, bez pamatojuma norādot, ka pirms kratīšanas izdarīšanas policijas darbinieku rīcībā bija informācija par viņa veiktajām nelikumīgajām darbībām ar narkotiskajām vielām</w:t>
      </w:r>
      <w:r w:rsidR="004265D7" w:rsidRPr="001E08F7">
        <w:rPr>
          <w:rFonts w:eastAsia="Calibri" w:cs="Times New Roman"/>
          <w:szCs w:val="24"/>
        </w:rPr>
        <w:t>; 3)</w:t>
      </w:r>
      <w:r w:rsidR="00212BD9">
        <w:rPr>
          <w:rFonts w:eastAsia="Calibri" w:cs="Times New Roman"/>
          <w:szCs w:val="24"/>
        </w:rPr>
        <w:t> </w:t>
      </w:r>
      <w:r w:rsidR="00070595" w:rsidRPr="001E08F7">
        <w:rPr>
          <w:szCs w:val="24"/>
        </w:rPr>
        <w:t xml:space="preserve">ir ieguvusi liecības pret apsūdzētā gribu, proti, situācijā, kad apsūdzētais norādīja, ka nevēlas liecināt, tiesa ieguva liecības no </w:t>
      </w:r>
      <w:r w:rsidR="001F4F1B">
        <w:rPr>
          <w:szCs w:val="24"/>
        </w:rPr>
        <w:t xml:space="preserve">viņa </w:t>
      </w:r>
      <w:r w:rsidR="00070595" w:rsidRPr="001E08F7">
        <w:rPr>
          <w:szCs w:val="24"/>
        </w:rPr>
        <w:t>atbildēm uz jautājumiem</w:t>
      </w:r>
      <w:r w:rsidR="0000128D">
        <w:rPr>
          <w:szCs w:val="24"/>
        </w:rPr>
        <w:t>.</w:t>
      </w:r>
    </w:p>
    <w:p w14:paraId="23746747" w14:textId="3606B209" w:rsidR="005F4F43" w:rsidRPr="001E08F7" w:rsidRDefault="00E571D4" w:rsidP="0000128D">
      <w:pPr>
        <w:spacing w:after="0" w:line="276" w:lineRule="auto"/>
        <w:ind w:firstLine="720"/>
        <w:contextualSpacing/>
        <w:jc w:val="both"/>
        <w:rPr>
          <w:szCs w:val="24"/>
        </w:rPr>
      </w:pPr>
      <w:r w:rsidRPr="001E08F7">
        <w:rPr>
          <w:szCs w:val="24"/>
        </w:rPr>
        <w:t>Senāts atzīst, ka apsūdzētā</w:t>
      </w:r>
      <w:r w:rsidRPr="001E08F7">
        <w:t xml:space="preserve"> </w:t>
      </w:r>
      <w:r w:rsidR="0078192A">
        <w:t>[pers. A]</w:t>
      </w:r>
      <w:r w:rsidRPr="001E08F7">
        <w:t xml:space="preserve"> </w:t>
      </w:r>
      <w:r w:rsidRPr="001E08F7">
        <w:rPr>
          <w:szCs w:val="24"/>
        </w:rPr>
        <w:t xml:space="preserve">kasācijas sūdzības argumenti šajā daļā nerada šaubas par apelācijas instances tiesas lēmuma tiesiskumu. </w:t>
      </w:r>
      <w:r w:rsidR="005F4F43" w:rsidRPr="001E08F7">
        <w:t>Turklāt izskatāmajai lietai nav būtiskas nozīmes judikatūras veidošanā, jo kasācijas sūdzības argumenti nav saistīti ar tiesu praksē nozīmīgu tiesību normu interpretāciju.</w:t>
      </w:r>
    </w:p>
    <w:p w14:paraId="00C50A98" w14:textId="58CAA8BC" w:rsidR="00D16F46" w:rsidRPr="001E08F7" w:rsidRDefault="00D16F46" w:rsidP="00D16F46">
      <w:pPr>
        <w:pStyle w:val="NoSpacing"/>
        <w:spacing w:line="276" w:lineRule="auto"/>
        <w:ind w:firstLine="720"/>
        <w:jc w:val="both"/>
        <w:rPr>
          <w:rFonts w:cs="Times New Roman"/>
          <w:szCs w:val="24"/>
        </w:rPr>
      </w:pPr>
      <w:r w:rsidRPr="001E08F7">
        <w:rPr>
          <w:szCs w:val="24"/>
        </w:rPr>
        <w:t>Kriminālprocesa likuma 562 panta pirmā daļa noteic</w:t>
      </w:r>
      <w:r w:rsidRPr="001E08F7">
        <w:rPr>
          <w:rFonts w:cs="Times New Roman"/>
          <w:szCs w:val="24"/>
        </w:rPr>
        <w:t>,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7C7D303C" w14:textId="319D6D46" w:rsidR="00073E97" w:rsidRPr="001E08F7" w:rsidRDefault="00073E97" w:rsidP="003153D5">
      <w:pPr>
        <w:pStyle w:val="NoSpacing"/>
        <w:spacing w:line="276" w:lineRule="auto"/>
        <w:ind w:firstLine="720"/>
        <w:jc w:val="both"/>
      </w:pPr>
      <w:r w:rsidRPr="001E08F7">
        <w:rPr>
          <w:szCs w:val="24"/>
        </w:rPr>
        <w:t xml:space="preserve">No apelācijas instances tiesas lēmuma satura </w:t>
      </w:r>
      <w:r w:rsidR="001F4F1B">
        <w:rPr>
          <w:szCs w:val="24"/>
        </w:rPr>
        <w:t>konstatējams</w:t>
      </w:r>
      <w:r w:rsidRPr="001E08F7">
        <w:rPr>
          <w:szCs w:val="24"/>
        </w:rPr>
        <w:t xml:space="preserve">, ka apelācijas instances tiesa ir izvērtējusi apsūdzētā </w:t>
      </w:r>
      <w:r w:rsidR="0078192A">
        <w:t>[pers. A]</w:t>
      </w:r>
      <w:r w:rsidRPr="001E08F7">
        <w:t xml:space="preserve"> aizstāves apelācijas sūdzību tikai daļā par apsūdzētajam noteikto sodu, jo </w:t>
      </w:r>
      <w:r w:rsidR="001B485B">
        <w:t xml:space="preserve">pārējā daļā </w:t>
      </w:r>
      <w:r w:rsidRPr="001E08F7">
        <w:rPr>
          <w:szCs w:val="24"/>
        </w:rPr>
        <w:t>a</w:t>
      </w:r>
      <w:r w:rsidRPr="001E08F7">
        <w:rPr>
          <w:rFonts w:eastAsia="Calibri" w:cs="Times New Roman"/>
          <w:szCs w:val="24"/>
        </w:rPr>
        <w:t xml:space="preserve">psūdzētais </w:t>
      </w:r>
      <w:r w:rsidR="0078192A">
        <w:t>[pers. A]</w:t>
      </w:r>
      <w:r w:rsidRPr="001E08F7">
        <w:t xml:space="preserve"> un viņa aizstāve apelācijas sūdzību atsauca</w:t>
      </w:r>
      <w:r w:rsidR="003153D5">
        <w:t>.</w:t>
      </w:r>
      <w:r w:rsidR="00BB015D">
        <w:t xml:space="preserve"> </w:t>
      </w:r>
    </w:p>
    <w:p w14:paraId="65D34F98" w14:textId="5F0F6FB6" w:rsidR="00B31D5C" w:rsidRPr="001E08F7" w:rsidRDefault="00251095" w:rsidP="005E68E3">
      <w:pPr>
        <w:pStyle w:val="NoSpacing"/>
        <w:spacing w:line="276" w:lineRule="auto"/>
        <w:ind w:firstLine="720"/>
        <w:jc w:val="both"/>
        <w:rPr>
          <w:szCs w:val="24"/>
        </w:rPr>
      </w:pPr>
      <w:r w:rsidRPr="001E08F7">
        <w:rPr>
          <w:szCs w:val="24"/>
        </w:rPr>
        <w:lastRenderedPageBreak/>
        <w:t xml:space="preserve">Senāts konstatē, ka apsūdzētā </w:t>
      </w:r>
      <w:r w:rsidR="0078192A">
        <w:t>[pers. A]</w:t>
      </w:r>
      <w:r w:rsidR="00D16F46" w:rsidRPr="001E08F7">
        <w:t xml:space="preserve"> </w:t>
      </w:r>
      <w:r w:rsidRPr="001E08F7">
        <w:rPr>
          <w:szCs w:val="24"/>
        </w:rPr>
        <w:t xml:space="preserve">kasācijas sūdzībā paustie apgalvojumi, ka </w:t>
      </w:r>
      <w:r w:rsidR="00D16F46" w:rsidRPr="001E08F7">
        <w:rPr>
          <w:szCs w:val="24"/>
        </w:rPr>
        <w:t>apelācijas</w:t>
      </w:r>
      <w:r w:rsidRPr="001E08F7">
        <w:rPr>
          <w:szCs w:val="24"/>
        </w:rPr>
        <w:t xml:space="preserve"> instances tiesa</w:t>
      </w:r>
      <w:r w:rsidR="00D16F46" w:rsidRPr="001E08F7">
        <w:rPr>
          <w:szCs w:val="24"/>
        </w:rPr>
        <w:t xml:space="preserve"> sniegusi jaunu</w:t>
      </w:r>
      <w:r w:rsidR="003153D5" w:rsidRPr="001E08F7">
        <w:rPr>
          <w:szCs w:val="24"/>
        </w:rPr>
        <w:t xml:space="preserve"> </w:t>
      </w:r>
      <w:r w:rsidR="00D16F46" w:rsidRPr="001E08F7">
        <w:rPr>
          <w:szCs w:val="24"/>
        </w:rPr>
        <w:t>pierādīt</w:t>
      </w:r>
      <w:r w:rsidR="00BB015D">
        <w:rPr>
          <w:szCs w:val="24"/>
        </w:rPr>
        <w:t>ā</w:t>
      </w:r>
      <w:r w:rsidR="00D16F46" w:rsidRPr="001E08F7">
        <w:rPr>
          <w:szCs w:val="24"/>
        </w:rPr>
        <w:t xml:space="preserve"> noziedzīgā nodarījuma aprakstu</w:t>
      </w:r>
      <w:r w:rsidR="003153D5">
        <w:rPr>
          <w:szCs w:val="24"/>
        </w:rPr>
        <w:t>,</w:t>
      </w:r>
      <w:r w:rsidR="00E0386B" w:rsidRPr="001E08F7">
        <w:rPr>
          <w:szCs w:val="24"/>
        </w:rPr>
        <w:t xml:space="preserve"> ir </w:t>
      </w:r>
      <w:r w:rsidRPr="001E08F7">
        <w:rPr>
          <w:szCs w:val="24"/>
        </w:rPr>
        <w:t xml:space="preserve">pretrunā ar </w:t>
      </w:r>
      <w:r w:rsidR="00E0386B" w:rsidRPr="001E08F7">
        <w:rPr>
          <w:szCs w:val="24"/>
        </w:rPr>
        <w:t>apelācijas</w:t>
      </w:r>
      <w:r w:rsidRPr="001E08F7">
        <w:rPr>
          <w:szCs w:val="24"/>
        </w:rPr>
        <w:t xml:space="preserve"> instances tiesas</w:t>
      </w:r>
      <w:r w:rsidR="00E0386B" w:rsidRPr="001E08F7">
        <w:rPr>
          <w:szCs w:val="24"/>
        </w:rPr>
        <w:t xml:space="preserve"> lēmuma</w:t>
      </w:r>
      <w:r w:rsidRPr="001E08F7">
        <w:rPr>
          <w:szCs w:val="24"/>
        </w:rPr>
        <w:t xml:space="preserve"> saturu. </w:t>
      </w:r>
      <w:r w:rsidR="005E68E3">
        <w:rPr>
          <w:szCs w:val="24"/>
        </w:rPr>
        <w:t xml:space="preserve">Turklāt Senāts </w:t>
      </w:r>
      <w:r w:rsidR="005E68E3" w:rsidRPr="001E08F7">
        <w:rPr>
          <w:rFonts w:asciiTheme="majorBidi" w:hAnsiTheme="majorBidi" w:cstheme="majorBidi"/>
          <w:szCs w:val="24"/>
          <w14:ligatures w14:val="standardContextual"/>
        </w:rPr>
        <w:t>jau agrāk ir atzinis</w:t>
      </w:r>
      <w:r w:rsidR="005E68E3">
        <w:rPr>
          <w:rFonts w:asciiTheme="majorBidi" w:hAnsiTheme="majorBidi" w:cstheme="majorBidi"/>
          <w:szCs w:val="24"/>
          <w14:ligatures w14:val="standardContextual"/>
        </w:rPr>
        <w:t>, ka t</w:t>
      </w:r>
      <w:r w:rsidR="005E68E3">
        <w:rPr>
          <w:szCs w:val="24"/>
        </w:rPr>
        <w:t xml:space="preserve">iesas sprieduma motīvu daļā izteiktie atzinumi nav pierādītā noziedzīgā nodarījuma apraksts Kriminālprocesa likuma 527. panta pirmās daļas izpratnē un šajā pirmās instances tiesas sprieduma daļā tiesas izteiktie motīvi un atzinumi nepaplašina pret personu celto apsūdzību. </w:t>
      </w:r>
      <w:r w:rsidR="005E68E3" w:rsidRPr="0000128D">
        <w:t>(</w:t>
      </w:r>
      <w:r w:rsidR="005E68E3">
        <w:rPr>
          <w:i/>
          <w:iCs/>
          <w:color w:val="000000"/>
        </w:rPr>
        <w:t>Senāta 2014. gada 6. novembra lēmums lietā Nr. </w:t>
      </w:r>
      <w:hyperlink r:id="rId7" w:history="1">
        <w:r w:rsidR="005E68E3">
          <w:rPr>
            <w:rStyle w:val="Hyperlink"/>
            <w:i/>
            <w:iCs/>
          </w:rPr>
          <w:t>SKK-505/2014 </w:t>
        </w:r>
      </w:hyperlink>
      <w:r w:rsidR="005E68E3">
        <w:rPr>
          <w:color w:val="000000"/>
        </w:rPr>
        <w:t xml:space="preserve">, </w:t>
      </w:r>
      <w:r w:rsidR="005E68E3">
        <w:rPr>
          <w:i/>
          <w:iCs/>
          <w:color w:val="000000"/>
          <w:spacing w:val="-2"/>
        </w:rPr>
        <w:t>11240010812</w:t>
      </w:r>
      <w:r w:rsidR="005E68E3">
        <w:rPr>
          <w:color w:val="000000"/>
        </w:rPr>
        <w:t>).</w:t>
      </w:r>
    </w:p>
    <w:p w14:paraId="48772D14" w14:textId="5029987A" w:rsidR="00B31D5C" w:rsidRPr="001E08F7" w:rsidRDefault="005E68E3" w:rsidP="00B31D5C">
      <w:pPr>
        <w:pStyle w:val="NoSpacing"/>
        <w:spacing w:line="276" w:lineRule="auto"/>
        <w:ind w:firstLine="720"/>
        <w:jc w:val="both"/>
        <w:rPr>
          <w:rFonts w:eastAsia="Times New Roman" w:cs="Times New Roman"/>
          <w:szCs w:val="24"/>
        </w:rPr>
      </w:pPr>
      <w:r>
        <w:rPr>
          <w:rFonts w:asciiTheme="majorBidi" w:hAnsiTheme="majorBidi" w:cstheme="majorBidi"/>
          <w:szCs w:val="24"/>
          <w14:ligatures w14:val="standardContextual"/>
        </w:rPr>
        <w:t xml:space="preserve">Tāpat </w:t>
      </w:r>
      <w:r w:rsidR="00B31D5C" w:rsidRPr="001E08F7">
        <w:rPr>
          <w:rFonts w:asciiTheme="majorBidi" w:hAnsiTheme="majorBidi" w:cstheme="majorBidi"/>
          <w:szCs w:val="24"/>
          <w14:ligatures w14:val="standardContextual"/>
        </w:rPr>
        <w:t>Senāts ir atzinis, ka t</w:t>
      </w:r>
      <w:r w:rsidR="00B31D5C" w:rsidRPr="001E08F7">
        <w:t xml:space="preserve">iesības neliecināt ietver gan tiesības atteikties sniegt liecības pavisam jeb tiesības klusēt, gan tiesības sniegt liecības paša izvēlētajā apjomā, gan tiesības neatbildēt uz konkrētiem jautājumiem. Tādējādi personai, kurai ir tiesības uz aizstāvību, ir tiesības izvēlēties, vai izmantot tai piešķirtās tiesības neliecināt, kā arī izvēlēties, cik lielā apmērā un kurā brīdī tās izmantot, savukārt amatpersonām, kuras veic kriminālprocesu, ir pienākums respektēt personas izvēli </w:t>
      </w:r>
      <w:proofErr w:type="gramStart"/>
      <w:r w:rsidR="00B31D5C" w:rsidRPr="0000128D">
        <w:t>(</w:t>
      </w:r>
      <w:proofErr w:type="gramEnd"/>
      <w:r w:rsidR="00B31D5C" w:rsidRPr="004A2510">
        <w:rPr>
          <w:rFonts w:cs="Times New Roman"/>
          <w:i/>
          <w:iCs/>
          <w:szCs w:val="24"/>
        </w:rPr>
        <w:t>Senāta</w:t>
      </w:r>
      <w:r w:rsidR="00B31D5C" w:rsidRPr="004A2510">
        <w:rPr>
          <w:rFonts w:eastAsia="Times New Roman" w:cs="Times New Roman"/>
          <w:i/>
          <w:iCs/>
          <w:szCs w:val="24"/>
        </w:rPr>
        <w:t xml:space="preserve"> 2022. gada 14. decembra</w:t>
      </w:r>
      <w:r w:rsidR="004A2510">
        <w:rPr>
          <w:rFonts w:eastAsia="Times New Roman" w:cs="Times New Roman"/>
          <w:i/>
          <w:iCs/>
          <w:szCs w:val="24"/>
        </w:rPr>
        <w:t xml:space="preserve"> lēmuma</w:t>
      </w:r>
      <w:r w:rsidR="00B31D5C" w:rsidRPr="004A2510">
        <w:rPr>
          <w:rFonts w:cs="Times New Roman"/>
          <w:i/>
          <w:iCs/>
          <w:szCs w:val="24"/>
        </w:rPr>
        <w:t xml:space="preserve"> </w:t>
      </w:r>
      <w:r w:rsidR="004A2510">
        <w:rPr>
          <w:rFonts w:eastAsia="Times New Roman" w:cs="Times New Roman"/>
          <w:i/>
          <w:iCs/>
          <w:szCs w:val="24"/>
        </w:rPr>
        <w:t>lietā Nr. </w:t>
      </w:r>
      <w:hyperlink r:id="rId8" w:history="1">
        <w:r w:rsidR="004A2510" w:rsidRPr="00140E89">
          <w:rPr>
            <w:rStyle w:val="Hyperlink"/>
            <w:rFonts w:eastAsia="Times New Roman" w:cs="Times New Roman"/>
            <w:i/>
            <w:iCs/>
            <w:color w:val="000000" w:themeColor="text1"/>
            <w:szCs w:val="24"/>
            <w:u w:val="none"/>
          </w:rPr>
          <w:t>SKK-90/2022</w:t>
        </w:r>
      </w:hyperlink>
      <w:r w:rsidR="004A2510">
        <w:rPr>
          <w:rFonts w:eastAsia="Times New Roman" w:cs="Times New Roman"/>
          <w:i/>
          <w:iCs/>
          <w:szCs w:val="24"/>
        </w:rPr>
        <w:t>,</w:t>
      </w:r>
      <w:r w:rsidR="00B31D5C" w:rsidRPr="004A2510">
        <w:rPr>
          <w:rFonts w:eastAsia="Times New Roman" w:cs="Times New Roman"/>
          <w:i/>
          <w:iCs/>
          <w:szCs w:val="24"/>
        </w:rPr>
        <w:t xml:space="preserve"> </w:t>
      </w:r>
      <w:hyperlink r:id="rId9" w:history="1">
        <w:r w:rsidR="00140E89" w:rsidRPr="00140E89">
          <w:rPr>
            <w:rStyle w:val="Hyperlink"/>
            <w:rFonts w:eastAsia="Times New Roman" w:cs="Times New Roman"/>
            <w:i/>
            <w:iCs/>
            <w:szCs w:val="24"/>
          </w:rPr>
          <w:t>ECLI:LV:AT:2022:1214.11815004818.7L</w:t>
        </w:r>
      </w:hyperlink>
      <w:r w:rsidR="00140E89" w:rsidRPr="00140E89">
        <w:rPr>
          <w:rFonts w:eastAsia="Times New Roman" w:cs="Times New Roman"/>
          <w:i/>
          <w:iCs/>
          <w:szCs w:val="24"/>
        </w:rPr>
        <w:t>,</w:t>
      </w:r>
      <w:r w:rsidR="00140E89">
        <w:rPr>
          <w:rFonts w:eastAsia="Times New Roman" w:cs="Times New Roman"/>
          <w:i/>
          <w:iCs/>
          <w:szCs w:val="24"/>
        </w:rPr>
        <w:t xml:space="preserve"> </w:t>
      </w:r>
      <w:r w:rsidR="00B31D5C" w:rsidRPr="004A2510">
        <w:rPr>
          <w:rFonts w:asciiTheme="majorBidi" w:hAnsiTheme="majorBidi" w:cstheme="majorBidi"/>
          <w:i/>
          <w:iCs/>
          <w:szCs w:val="24"/>
          <w14:ligatures w14:val="standardContextual"/>
        </w:rPr>
        <w:t>11. punkts</w:t>
      </w:r>
      <w:r w:rsidR="00B31D5C" w:rsidRPr="0000128D">
        <w:rPr>
          <w:rFonts w:asciiTheme="majorBidi" w:hAnsiTheme="majorBidi" w:cstheme="majorBidi"/>
          <w:szCs w:val="24"/>
          <w14:ligatures w14:val="standardContextual"/>
        </w:rPr>
        <w:t>).</w:t>
      </w:r>
      <w:r w:rsidR="00B31D5C" w:rsidRPr="001E08F7">
        <w:rPr>
          <w:rFonts w:asciiTheme="majorBidi" w:hAnsiTheme="majorBidi" w:cstheme="majorBidi"/>
          <w:szCs w:val="24"/>
          <w14:ligatures w14:val="standardContextual"/>
        </w:rPr>
        <w:t xml:space="preserve"> Izskatāmajā lietā no apelācijas instances tiesas 2023. gada 23. novembra tiesas sēdes </w:t>
      </w:r>
      <w:proofErr w:type="spellStart"/>
      <w:r w:rsidR="00B31D5C" w:rsidRPr="001E08F7">
        <w:rPr>
          <w:rFonts w:asciiTheme="majorBidi" w:hAnsiTheme="majorBidi" w:cstheme="majorBidi"/>
          <w:szCs w:val="24"/>
          <w14:ligatures w14:val="standardContextual"/>
        </w:rPr>
        <w:t>audioprotokola</w:t>
      </w:r>
      <w:proofErr w:type="spellEnd"/>
      <w:r w:rsidR="00B31D5C" w:rsidRPr="001E08F7">
        <w:rPr>
          <w:rFonts w:asciiTheme="majorBidi" w:hAnsiTheme="majorBidi" w:cstheme="majorBidi"/>
          <w:szCs w:val="24"/>
          <w14:ligatures w14:val="standardContextual"/>
        </w:rPr>
        <w:t xml:space="preserve"> konstatējams, ka </w:t>
      </w:r>
      <w:r w:rsidR="0078192A">
        <w:t>[pers. A]</w:t>
      </w:r>
      <w:r w:rsidR="00B31D5C" w:rsidRPr="001E08F7">
        <w:t xml:space="preserve"> ir izmantojis tiesības </w:t>
      </w:r>
      <w:r w:rsidR="00E571D4" w:rsidRPr="001E08F7">
        <w:t xml:space="preserve">liecināt </w:t>
      </w:r>
      <w:r w:rsidR="00B31D5C" w:rsidRPr="001E08F7">
        <w:t xml:space="preserve">paša izvēlētajā apjomā, proti, norādījis, ka nevēlas sniegt liecību, apstiprina savas iepriekš sniegtās liecības, </w:t>
      </w:r>
      <w:r w:rsidR="00E571D4" w:rsidRPr="001E08F7">
        <w:t>bet</w:t>
      </w:r>
      <w:r w:rsidR="00B31D5C" w:rsidRPr="001E08F7">
        <w:t xml:space="preserve"> piekrīt atbildēt uz </w:t>
      </w:r>
      <w:r w:rsidR="001F4F1B">
        <w:t xml:space="preserve">uzdotajiem </w:t>
      </w:r>
      <w:r w:rsidR="00B31D5C" w:rsidRPr="001E08F7">
        <w:t>jautājumiem.</w:t>
      </w:r>
      <w:r w:rsidR="00B31D5C" w:rsidRPr="001E08F7">
        <w:rPr>
          <w:rFonts w:eastAsia="Times New Roman" w:cs="Times New Roman"/>
          <w:szCs w:val="24"/>
        </w:rPr>
        <w:t xml:space="preserve"> </w:t>
      </w:r>
    </w:p>
    <w:p w14:paraId="725F216F" w14:textId="68CCE442" w:rsidR="00251095" w:rsidRPr="001E08F7" w:rsidRDefault="00251095" w:rsidP="0012781F">
      <w:pPr>
        <w:pStyle w:val="NoSpacing"/>
        <w:spacing w:line="276" w:lineRule="auto"/>
        <w:ind w:firstLine="720"/>
        <w:jc w:val="both"/>
        <w:rPr>
          <w:szCs w:val="24"/>
        </w:rPr>
      </w:pPr>
      <w:r w:rsidRPr="001E08F7">
        <w:rPr>
          <w:szCs w:val="24"/>
        </w:rPr>
        <w:t>Ievērojot minēto, Senāts atzīst, ka šajā daļā konstatējams Kriminālprocesa likuma 573.</w:t>
      </w:r>
      <w:r w:rsidRPr="001E08F7">
        <w:rPr>
          <w:szCs w:val="24"/>
          <w:vertAlign w:val="superscript"/>
        </w:rPr>
        <w:t>1</w:t>
      </w:r>
      <w:r w:rsidRPr="001E08F7">
        <w:rPr>
          <w:szCs w:val="24"/>
        </w:rPr>
        <w:t xml:space="preserve"> panta otrās daļas </w:t>
      </w:r>
      <w:bookmarkStart w:id="2" w:name="_Hlk151634588"/>
      <w:r w:rsidRPr="001E08F7">
        <w:rPr>
          <w:szCs w:val="24"/>
        </w:rPr>
        <w:t>2. punktā</w:t>
      </w:r>
      <w:bookmarkEnd w:id="2"/>
      <w:r w:rsidRPr="001E08F7">
        <w:rPr>
          <w:szCs w:val="24"/>
        </w:rPr>
        <w:t xml:space="preserve"> paredzētais pamats atteikumam ierosināt kasācijas tiesvedību.</w:t>
      </w:r>
    </w:p>
    <w:p w14:paraId="0E0541F2" w14:textId="77777777" w:rsidR="0000128D" w:rsidRDefault="00EF22B0" w:rsidP="0000128D">
      <w:pPr>
        <w:pStyle w:val="NoSpacing"/>
        <w:spacing w:line="276" w:lineRule="auto"/>
        <w:ind w:firstLine="720"/>
        <w:jc w:val="both"/>
        <w:rPr>
          <w:rFonts w:asciiTheme="majorBidi" w:hAnsiTheme="majorBidi" w:cstheme="majorBidi"/>
          <w:szCs w:val="24"/>
        </w:rPr>
      </w:pPr>
      <w:r w:rsidRPr="001E08F7">
        <w:rPr>
          <w:rFonts w:asciiTheme="majorBidi" w:hAnsiTheme="majorBidi" w:cstheme="majorBidi"/>
          <w:szCs w:val="24"/>
        </w:rPr>
        <w:t>Saskaņā ar Kriminālprocesa likuma 573.</w:t>
      </w:r>
      <w:r w:rsidRPr="001E08F7">
        <w:rPr>
          <w:rFonts w:asciiTheme="majorBidi" w:hAnsiTheme="majorBidi" w:cstheme="majorBidi"/>
          <w:szCs w:val="24"/>
          <w:vertAlign w:val="superscript"/>
        </w:rPr>
        <w:t>1</w:t>
      </w:r>
      <w:r w:rsidRPr="001E08F7">
        <w:rPr>
          <w:rFonts w:asciiTheme="majorBidi" w:hAnsiTheme="majorBidi" w:cstheme="majorBidi"/>
          <w:szCs w:val="24"/>
        </w:rPr>
        <w:t> panta pirmo daļu tiesa atsakās ierosināt kasācijas tiesvedību, ja kasācijas sūdzība vai protests neatbilst šā likuma 569., 571., 572. pantā un 573. panta pirmajā daļā minētajām prasībām.</w:t>
      </w:r>
    </w:p>
    <w:p w14:paraId="13B69B5B" w14:textId="77777777" w:rsidR="0000128D" w:rsidRDefault="0000128D" w:rsidP="0000128D">
      <w:pPr>
        <w:pStyle w:val="NoSpacing"/>
        <w:spacing w:line="276" w:lineRule="auto"/>
        <w:ind w:firstLine="720"/>
        <w:jc w:val="both"/>
      </w:pPr>
      <w:r>
        <w:t>Kriminālprocesa likuma 573. panta pirmā daļa noteic, ka nolēmumu tiesiskumu kasācijas kārtībā pārbauda tikai tādā gadījumā, ja kasācijas sūdzībā vai protestā izteiktā prasība pamatota ar Krimināllikuma pārkāpumu vai Kriminālprocesa likuma būtisku pārkāpumu.</w:t>
      </w:r>
    </w:p>
    <w:p w14:paraId="3EC6813B" w14:textId="32991F7E" w:rsidR="003554B6" w:rsidRPr="001E08F7" w:rsidRDefault="003554B6" w:rsidP="0000128D">
      <w:pPr>
        <w:pStyle w:val="NoSpacing"/>
        <w:spacing w:line="276" w:lineRule="auto"/>
        <w:ind w:firstLine="720"/>
        <w:jc w:val="both"/>
        <w:rPr>
          <w:szCs w:val="24"/>
        </w:rPr>
      </w:pPr>
      <w:r w:rsidRPr="001E08F7">
        <w:rPr>
          <w:szCs w:val="24"/>
        </w:rPr>
        <w:t xml:space="preserve">Apsūdzētais </w:t>
      </w:r>
      <w:r w:rsidR="0078192A">
        <w:t>[pers. A]</w:t>
      </w:r>
      <w:r w:rsidRPr="001E08F7">
        <w:t xml:space="preserve"> kasācijas sūdzībā norādījis</w:t>
      </w:r>
      <w:r w:rsidRPr="001E08F7">
        <w:rPr>
          <w:szCs w:val="24"/>
        </w:rPr>
        <w:t>, ka</w:t>
      </w:r>
      <w:r w:rsidR="001F4F1B">
        <w:rPr>
          <w:szCs w:val="24"/>
        </w:rPr>
        <w:t>,</w:t>
      </w:r>
      <w:r w:rsidRPr="001E08F7">
        <w:rPr>
          <w:szCs w:val="24"/>
        </w:rPr>
        <w:t xml:space="preserve"> nesaņemot iepriekšēju paziņojumu par to, ka </w:t>
      </w:r>
      <w:r w:rsidRPr="001E08F7">
        <w:rPr>
          <w:rFonts w:asciiTheme="majorBidi" w:hAnsiTheme="majorBidi" w:cstheme="majorBidi"/>
          <w:szCs w:val="24"/>
          <w14:ligatures w14:val="standardContextual"/>
        </w:rPr>
        <w:t>2023. gada 23. novembrī</w:t>
      </w:r>
      <w:r w:rsidRPr="001E08F7">
        <w:rPr>
          <w:szCs w:val="24"/>
        </w:rPr>
        <w:t xml:space="preserve"> a</w:t>
      </w:r>
      <w:r w:rsidRPr="001E08F7">
        <w:rPr>
          <w:rFonts w:asciiTheme="majorBidi" w:hAnsiTheme="majorBidi" w:cstheme="majorBidi"/>
          <w:szCs w:val="24"/>
          <w14:ligatures w14:val="standardContextual"/>
        </w:rPr>
        <w:t>pelācijas instances tiesa sāks skatīt lietu no jauna, viņš nav varējis sagatavoties</w:t>
      </w:r>
      <w:r w:rsidR="001F4F1B">
        <w:rPr>
          <w:rFonts w:asciiTheme="majorBidi" w:hAnsiTheme="majorBidi" w:cstheme="majorBidi"/>
          <w:szCs w:val="24"/>
          <w14:ligatures w14:val="standardContextual"/>
        </w:rPr>
        <w:t xml:space="preserve"> iztiesāšanai</w:t>
      </w:r>
      <w:r w:rsidRPr="001E08F7">
        <w:rPr>
          <w:rFonts w:asciiTheme="majorBidi" w:hAnsiTheme="majorBidi" w:cstheme="majorBidi"/>
          <w:szCs w:val="24"/>
          <w14:ligatures w14:val="standardContextual"/>
        </w:rPr>
        <w:t xml:space="preserve">, </w:t>
      </w:r>
      <w:r w:rsidR="0052729A">
        <w:rPr>
          <w:rFonts w:asciiTheme="majorBidi" w:hAnsiTheme="majorBidi" w:cstheme="majorBidi"/>
          <w:szCs w:val="24"/>
          <w14:ligatures w14:val="standardContextual"/>
        </w:rPr>
        <w:t xml:space="preserve">savā runā </w:t>
      </w:r>
      <w:r w:rsidRPr="001E08F7">
        <w:rPr>
          <w:rFonts w:asciiTheme="majorBidi" w:hAnsiTheme="majorBidi" w:cstheme="majorBidi"/>
          <w:szCs w:val="24"/>
          <w14:ligatures w14:val="standardContextual"/>
        </w:rPr>
        <w:t>ir pieļāvis daudz kļūdu</w:t>
      </w:r>
      <w:r w:rsidR="0052729A">
        <w:rPr>
          <w:rFonts w:asciiTheme="majorBidi" w:hAnsiTheme="majorBidi" w:cstheme="majorBidi"/>
          <w:szCs w:val="24"/>
          <w14:ligatures w14:val="standardContextual"/>
        </w:rPr>
        <w:t>,</w:t>
      </w:r>
      <w:r w:rsidRPr="001E08F7">
        <w:rPr>
          <w:rFonts w:asciiTheme="majorBidi" w:hAnsiTheme="majorBidi" w:cstheme="majorBidi"/>
          <w:szCs w:val="24"/>
          <w14:ligatures w14:val="standardContextual"/>
        </w:rPr>
        <w:t xml:space="preserve"> un to apelācijas instances tiesa izmantojusi</w:t>
      </w:r>
      <w:r w:rsidR="003153D5" w:rsidRPr="001E08F7">
        <w:rPr>
          <w:rFonts w:asciiTheme="majorBidi" w:hAnsiTheme="majorBidi" w:cstheme="majorBidi"/>
          <w:szCs w:val="24"/>
          <w14:ligatures w14:val="standardContextual"/>
        </w:rPr>
        <w:t xml:space="preserve"> </w:t>
      </w:r>
      <w:r w:rsidRPr="001E08F7">
        <w:rPr>
          <w:rFonts w:asciiTheme="majorBidi" w:hAnsiTheme="majorBidi" w:cstheme="majorBidi"/>
          <w:szCs w:val="24"/>
          <w14:ligatures w14:val="standardContextual"/>
        </w:rPr>
        <w:t>nolēmumā. Minētais novedis pie apsūdzētā tiesību uz taisnīgu tiesu pārkāpuma.</w:t>
      </w:r>
      <w:r w:rsidRPr="001E08F7">
        <w:rPr>
          <w:szCs w:val="24"/>
        </w:rPr>
        <w:t xml:space="preserve"> </w:t>
      </w:r>
    </w:p>
    <w:p w14:paraId="60589B02" w14:textId="03CB583E" w:rsidR="003554B6" w:rsidRPr="001E08F7" w:rsidRDefault="003554B6" w:rsidP="003554B6">
      <w:pPr>
        <w:pStyle w:val="NoSpacing"/>
        <w:spacing w:line="276" w:lineRule="auto"/>
        <w:ind w:firstLine="720"/>
        <w:jc w:val="both"/>
      </w:pPr>
      <w:r w:rsidRPr="001E08F7">
        <w:t xml:space="preserve">Senāts </w:t>
      </w:r>
      <w:r w:rsidRPr="001E08F7">
        <w:rPr>
          <w:rFonts w:asciiTheme="majorBidi" w:hAnsiTheme="majorBidi" w:cstheme="majorBidi"/>
          <w:szCs w:val="24"/>
        </w:rPr>
        <w:t>atzīst</w:t>
      </w:r>
      <w:r w:rsidRPr="001E08F7">
        <w:t xml:space="preserve">, ka apsūdzētā </w:t>
      </w:r>
      <w:r w:rsidR="0078192A">
        <w:t>[pers. A]</w:t>
      </w:r>
      <w:r w:rsidRPr="001E08F7">
        <w:t xml:space="preserve"> kasācijas sūdzība šajā daļā neatbilst Kriminālprocesa likuma 573. panta pirmās daļas prasībām, jo apsūdzētais</w:t>
      </w:r>
      <w:r w:rsidR="001F4F1B">
        <w:t xml:space="preserve">, </w:t>
      </w:r>
      <w:r w:rsidR="002A7AE5" w:rsidRPr="001E08F7">
        <w:t>aprobežoj</w:t>
      </w:r>
      <w:r w:rsidR="001F4F1B">
        <w:t>ot</w:t>
      </w:r>
      <w:r w:rsidR="002A7AE5" w:rsidRPr="001E08F7">
        <w:t xml:space="preserve">ies </w:t>
      </w:r>
      <w:r w:rsidR="002A7AE5">
        <w:t xml:space="preserve">tikai </w:t>
      </w:r>
      <w:r w:rsidR="002A7AE5" w:rsidRPr="001E08F7">
        <w:t>ar vispārīgu apgalvojumu</w:t>
      </w:r>
      <w:r w:rsidR="001F4F1B">
        <w:t>,</w:t>
      </w:r>
      <w:r w:rsidRPr="001E08F7">
        <w:t xml:space="preserve"> nav pamatojis, kādu Krimināllikuma pārkāpumu vai Kriminālprocesa likuma normu būtisku pārkāpumu apelācijas instances tiesa, </w:t>
      </w:r>
      <w:proofErr w:type="gramStart"/>
      <w:r w:rsidRPr="001E08F7">
        <w:t>atstājot pirmās instances tiesas</w:t>
      </w:r>
      <w:proofErr w:type="gramEnd"/>
      <w:r w:rsidRPr="001E08F7">
        <w:t xml:space="preserve"> spriedumu negrozītu, pieļāvusi un kādus nozīmīgus aizstāvības argumentus, kas varēja ietekmēt tiesvedības iznākumu, viņš nav varējis tiesai iesniegt</w:t>
      </w:r>
      <w:r w:rsidR="002A7AE5">
        <w:t>.</w:t>
      </w:r>
    </w:p>
    <w:p w14:paraId="1F7B4E1E" w14:textId="77777777" w:rsidR="00B20CB4" w:rsidRPr="001E08F7" w:rsidRDefault="00B20CB4" w:rsidP="00B20CB4">
      <w:pPr>
        <w:spacing w:after="0" w:line="276" w:lineRule="auto"/>
        <w:ind w:firstLine="720"/>
        <w:contextualSpacing/>
        <w:jc w:val="both"/>
      </w:pPr>
      <w:r w:rsidRPr="001E08F7">
        <w:t xml:space="preserve">Atbilstoši Kriminālprocesa likuma 569. panta pirmajai daļai pārsūdzēšana kasācijas kārtībā ir rakstveida kasācijas protesta vai sūdzības iesniegšana Augstākajā tiesā par tāda apelācijas instances tiesas nolēmuma tiesiskumu, </w:t>
      </w:r>
      <w:proofErr w:type="gramStart"/>
      <w:r w:rsidRPr="001E08F7">
        <w:t>kurš vēl nav stājies spēkā, nolūkā panākt tā atcelšanu pilnībā vai kādā tā daļā</w:t>
      </w:r>
      <w:proofErr w:type="gramEnd"/>
      <w:r w:rsidRPr="001E08F7">
        <w:t xml:space="preserve"> vai arī tā grozīšanu juridisku iemeslu </w:t>
      </w:r>
      <w:r w:rsidRPr="001E08F7">
        <w:lastRenderedPageBreak/>
        <w:t>dēļ. Šā panta trešā daļa noteic, ka kasācijas instances tiesa pierādījumus lietā no jauna neizvērtē.</w:t>
      </w:r>
    </w:p>
    <w:p w14:paraId="41887943" w14:textId="446A2DBD" w:rsidR="00FE47FA" w:rsidRPr="001E08F7" w:rsidRDefault="00B20CB4" w:rsidP="0000128D">
      <w:pPr>
        <w:pStyle w:val="NoSpacing"/>
        <w:spacing w:line="276" w:lineRule="auto"/>
        <w:ind w:firstLine="720"/>
        <w:jc w:val="both"/>
        <w:rPr>
          <w:szCs w:val="24"/>
        </w:rPr>
      </w:pPr>
      <w:r w:rsidRPr="001E08F7">
        <w:rPr>
          <w:szCs w:val="24"/>
        </w:rPr>
        <w:t>A</w:t>
      </w:r>
      <w:r w:rsidR="0012781F" w:rsidRPr="001E08F7">
        <w:rPr>
          <w:szCs w:val="24"/>
        </w:rPr>
        <w:t xml:space="preserve">psūdzētais </w:t>
      </w:r>
      <w:r w:rsidR="0078192A">
        <w:t>[pers. A]</w:t>
      </w:r>
      <w:r w:rsidR="0012781F" w:rsidRPr="001E08F7">
        <w:t xml:space="preserve"> kasācijas sūdzībā norādījis</w:t>
      </w:r>
      <w:r w:rsidR="0012781F" w:rsidRPr="001E08F7">
        <w:rPr>
          <w:szCs w:val="24"/>
        </w:rPr>
        <w:t xml:space="preserve">, ka </w:t>
      </w:r>
      <w:r w:rsidR="004F05F5" w:rsidRPr="001E08F7">
        <w:rPr>
          <w:szCs w:val="24"/>
        </w:rPr>
        <w:t>a</w:t>
      </w:r>
      <w:r w:rsidR="00FE47FA" w:rsidRPr="001E08F7">
        <w:rPr>
          <w:szCs w:val="24"/>
        </w:rPr>
        <w:t xml:space="preserve">pelācijas instances tiesa pieļāvusi Kriminālprocesa likuma 564. panta ceturtās daļas pārkāpumu, jo nav izvērtējusi apelācijas sūdzības argumentu, ka </w:t>
      </w:r>
      <w:r w:rsidR="0078192A">
        <w:t>[pers. A]</w:t>
      </w:r>
      <w:r w:rsidR="00FE47FA" w:rsidRPr="001E08F7">
        <w:t xml:space="preserve"> </w:t>
      </w:r>
      <w:r w:rsidR="00FE47FA" w:rsidRPr="001E08F7">
        <w:rPr>
          <w:szCs w:val="24"/>
        </w:rPr>
        <w:t>atbildību pastiprinošie apstāk</w:t>
      </w:r>
      <w:r w:rsidR="00C044AB" w:rsidRPr="001E08F7">
        <w:rPr>
          <w:szCs w:val="24"/>
        </w:rPr>
        <w:t>ļ</w:t>
      </w:r>
      <w:r w:rsidR="00FE47FA" w:rsidRPr="001E08F7">
        <w:rPr>
          <w:szCs w:val="24"/>
        </w:rPr>
        <w:t>i pamatoti ar ziņām</w:t>
      </w:r>
      <w:r w:rsidR="001E08F7">
        <w:rPr>
          <w:szCs w:val="24"/>
        </w:rPr>
        <w:t xml:space="preserve">, kas iegūtas </w:t>
      </w:r>
      <w:r w:rsidR="001E08F7" w:rsidRPr="001E08F7">
        <w:rPr>
          <w:szCs w:val="24"/>
        </w:rPr>
        <w:t>p</w:t>
      </w:r>
      <w:r w:rsidR="00FE47FA" w:rsidRPr="001E08F7">
        <w:rPr>
          <w:rFonts w:eastAsia="Calibri" w:cs="Times New Roman"/>
          <w:szCs w:val="24"/>
        </w:rPr>
        <w:t xml:space="preserve">ret </w:t>
      </w:r>
      <w:r w:rsidR="0078192A">
        <w:rPr>
          <w:rFonts w:eastAsia="Calibri" w:cs="Times New Roman"/>
          <w:szCs w:val="24"/>
        </w:rPr>
        <w:t>[pers. B]</w:t>
      </w:r>
      <w:r w:rsidR="00FE47FA" w:rsidRPr="001E08F7">
        <w:rPr>
          <w:rFonts w:eastAsia="Calibri" w:cs="Times New Roman"/>
          <w:szCs w:val="24"/>
        </w:rPr>
        <w:t xml:space="preserve"> veikt</w:t>
      </w:r>
      <w:r w:rsidR="00073E97" w:rsidRPr="001E08F7">
        <w:rPr>
          <w:rFonts w:eastAsia="Calibri" w:cs="Times New Roman"/>
          <w:szCs w:val="24"/>
        </w:rPr>
        <w:t>ā</w:t>
      </w:r>
      <w:r w:rsidR="00FE47FA" w:rsidRPr="001E08F7">
        <w:rPr>
          <w:rFonts w:eastAsia="Calibri" w:cs="Times New Roman"/>
          <w:szCs w:val="24"/>
        </w:rPr>
        <w:t xml:space="preserve"> speciāl</w:t>
      </w:r>
      <w:r w:rsidR="00073E97" w:rsidRPr="001E08F7">
        <w:rPr>
          <w:rFonts w:eastAsia="Calibri" w:cs="Times New Roman"/>
          <w:szCs w:val="24"/>
        </w:rPr>
        <w:t>ā</w:t>
      </w:r>
      <w:r w:rsidR="00FE47FA" w:rsidRPr="001E08F7">
        <w:rPr>
          <w:rFonts w:eastAsia="Calibri" w:cs="Times New Roman"/>
          <w:szCs w:val="24"/>
        </w:rPr>
        <w:t xml:space="preserve"> izmeklēšanas eksperiment</w:t>
      </w:r>
      <w:r w:rsidR="00073E97" w:rsidRPr="001E08F7">
        <w:rPr>
          <w:rFonts w:eastAsia="Calibri" w:cs="Times New Roman"/>
          <w:szCs w:val="24"/>
        </w:rPr>
        <w:t>a</w:t>
      </w:r>
      <w:r w:rsidR="001E08F7" w:rsidRPr="001E08F7">
        <w:rPr>
          <w:rFonts w:eastAsia="Calibri" w:cs="Times New Roman"/>
          <w:szCs w:val="24"/>
        </w:rPr>
        <w:t xml:space="preserve"> rezultātā</w:t>
      </w:r>
      <w:r w:rsidR="00FE47FA" w:rsidRPr="001E08F7">
        <w:rPr>
          <w:rFonts w:eastAsia="Calibri" w:cs="Times New Roman"/>
          <w:szCs w:val="24"/>
        </w:rPr>
        <w:t>.</w:t>
      </w:r>
      <w:r w:rsidRPr="001E08F7">
        <w:rPr>
          <w:rFonts w:eastAsia="Calibri" w:cs="Times New Roman"/>
          <w:szCs w:val="24"/>
        </w:rPr>
        <w:t xml:space="preserve"> </w:t>
      </w:r>
      <w:r w:rsidR="0000128D">
        <w:rPr>
          <w:rFonts w:eastAsia="Calibri" w:cs="Times New Roman"/>
          <w:szCs w:val="24"/>
        </w:rPr>
        <w:t xml:space="preserve">Tiesa </w:t>
      </w:r>
      <w:r w:rsidR="0000128D" w:rsidRPr="001E08F7">
        <w:rPr>
          <w:szCs w:val="24"/>
        </w:rPr>
        <w:t>nav konstatējusi Krimināllikuma 47. panta pirmās daļa 4. punktā paredzēto atbildību mīkstinošo apstākli</w:t>
      </w:r>
      <w:r w:rsidR="0000128D">
        <w:rPr>
          <w:szCs w:val="24"/>
        </w:rPr>
        <w:t>,</w:t>
      </w:r>
      <w:r w:rsidR="0000128D" w:rsidRPr="001E08F7">
        <w:rPr>
          <w:szCs w:val="24"/>
        </w:rPr>
        <w:t xml:space="preserve"> </w:t>
      </w:r>
      <w:r w:rsidR="0029059E">
        <w:rPr>
          <w:szCs w:val="24"/>
        </w:rPr>
        <w:t xml:space="preserve">jo nav </w:t>
      </w:r>
      <w:r w:rsidR="0000128D" w:rsidRPr="001E08F7">
        <w:rPr>
          <w:szCs w:val="24"/>
        </w:rPr>
        <w:t>izpras</w:t>
      </w:r>
      <w:r w:rsidR="0029059E">
        <w:rPr>
          <w:szCs w:val="24"/>
        </w:rPr>
        <w:t>ījusi</w:t>
      </w:r>
      <w:r w:rsidR="0000128D" w:rsidRPr="001E08F7">
        <w:rPr>
          <w:szCs w:val="24"/>
        </w:rPr>
        <w:t xml:space="preserve"> operatīvo lietu, </w:t>
      </w:r>
      <w:r w:rsidR="0029059E">
        <w:rPr>
          <w:szCs w:val="24"/>
        </w:rPr>
        <w:t>no kuras izriet, ka</w:t>
      </w:r>
      <w:r w:rsidR="0000128D" w:rsidRPr="001E08F7">
        <w:rPr>
          <w:szCs w:val="24"/>
        </w:rPr>
        <w:t xml:space="preserve"> viņš bija sadarbojies ar policiju</w:t>
      </w:r>
      <w:r w:rsidR="0000128D">
        <w:rPr>
          <w:szCs w:val="24"/>
        </w:rPr>
        <w:t xml:space="preserve">. </w:t>
      </w:r>
      <w:bookmarkStart w:id="3" w:name="_Hlk156462682"/>
      <w:r w:rsidRPr="001E08F7">
        <w:rPr>
          <w:szCs w:val="24"/>
        </w:rPr>
        <w:t xml:space="preserve">Apsūdzētais nepiekrīt tiesas atzinumam, ka lietā nav pieļauts apsūdzētā tiesību uz kriminālprocesa pabeigšanu saprātīgā termiņā pārkāpums, </w:t>
      </w:r>
      <w:r w:rsidR="0029059E">
        <w:rPr>
          <w:szCs w:val="24"/>
        </w:rPr>
        <w:t xml:space="preserve">jo </w:t>
      </w:r>
      <w:r w:rsidRPr="001E08F7">
        <w:rPr>
          <w:szCs w:val="24"/>
        </w:rPr>
        <w:t xml:space="preserve">tiesa nav ņēmusi vērā, ka kriminālprocesa kopējais ilgums ir četri gadi un nepilni pieci mēneši, turklāt apelācijas instances tiesa lietas iztiesāšanu sāka no jauna. </w:t>
      </w:r>
      <w:bookmarkEnd w:id="3"/>
      <w:r w:rsidRPr="001E08F7">
        <w:rPr>
          <w:szCs w:val="24"/>
        </w:rPr>
        <w:t xml:space="preserve">Tiesa nav analizējusi apsūdzētajam noteiktās brīvības atņemšanas atbilstību soda mērķim, nav ņēmusi vērā, ka </w:t>
      </w:r>
      <w:r w:rsidR="001F4F1B">
        <w:t>nodarījumam</w:t>
      </w:r>
      <w:r w:rsidR="001F4F1B" w:rsidRPr="001E08F7">
        <w:rPr>
          <w:szCs w:val="24"/>
        </w:rPr>
        <w:t xml:space="preserve"> </w:t>
      </w:r>
      <w:r w:rsidRPr="001E08F7">
        <w:rPr>
          <w:szCs w:val="24"/>
        </w:rPr>
        <w:t xml:space="preserve">ir gadījuma raksturs, viņš ir labojies, iepriekš </w:t>
      </w:r>
      <w:r w:rsidR="002A7AE5">
        <w:rPr>
          <w:szCs w:val="24"/>
        </w:rPr>
        <w:t xml:space="preserve">nav </w:t>
      </w:r>
      <w:r w:rsidRPr="001E08F7">
        <w:rPr>
          <w:szCs w:val="24"/>
        </w:rPr>
        <w:t>sodīts, st</w:t>
      </w:r>
      <w:r w:rsidR="00E67733" w:rsidRPr="001E08F7">
        <w:rPr>
          <w:szCs w:val="24"/>
        </w:rPr>
        <w:t>r</w:t>
      </w:r>
      <w:r w:rsidRPr="001E08F7">
        <w:rPr>
          <w:szCs w:val="24"/>
        </w:rPr>
        <w:t>ādā</w:t>
      </w:r>
      <w:r w:rsidR="00E67733" w:rsidRPr="001E08F7">
        <w:rPr>
          <w:szCs w:val="24"/>
        </w:rPr>
        <w:t xml:space="preserve"> un viņam</w:t>
      </w:r>
      <w:r w:rsidRPr="001E08F7">
        <w:rPr>
          <w:szCs w:val="24"/>
        </w:rPr>
        <w:t xml:space="preserve"> </w:t>
      </w:r>
      <w:r w:rsidR="00E67733" w:rsidRPr="001E08F7">
        <w:rPr>
          <w:szCs w:val="24"/>
        </w:rPr>
        <w:t>ir ģimene.</w:t>
      </w:r>
    </w:p>
    <w:p w14:paraId="79934340" w14:textId="5671EA9A" w:rsidR="00E67733" w:rsidRPr="0025579A" w:rsidRDefault="00E67733" w:rsidP="00E67733">
      <w:pPr>
        <w:pStyle w:val="NoSpacing"/>
        <w:spacing w:line="276" w:lineRule="auto"/>
        <w:ind w:firstLine="720"/>
        <w:jc w:val="both"/>
        <w:rPr>
          <w:rFonts w:asciiTheme="majorBidi" w:hAnsiTheme="majorBidi" w:cstheme="majorBidi"/>
        </w:rPr>
      </w:pPr>
      <w:r w:rsidRPr="001E08F7">
        <w:rPr>
          <w:szCs w:val="24"/>
        </w:rPr>
        <w:t xml:space="preserve">Apsūdzētā </w:t>
      </w:r>
      <w:r w:rsidR="0078192A">
        <w:t>[pers. A]</w:t>
      </w:r>
      <w:r w:rsidRPr="001E08F7">
        <w:t xml:space="preserve"> aizstāve kasācijas sūdzībā norādījusi</w:t>
      </w:r>
      <w:r w:rsidRPr="001E08F7">
        <w:rPr>
          <w:szCs w:val="24"/>
        </w:rPr>
        <w:t>, ka nepiekrīt apelācijas instances tiesas atzinumam par saprātīgā termiņa pārkāpuma neesību, norādot, ka kriminālprocess nav vērtējams</w:t>
      </w:r>
      <w:proofErr w:type="gramStart"/>
      <w:r w:rsidRPr="001E08F7">
        <w:rPr>
          <w:szCs w:val="24"/>
        </w:rPr>
        <w:t xml:space="preserve"> kā sarežģīts</w:t>
      </w:r>
      <w:proofErr w:type="gramEnd"/>
      <w:r w:rsidRPr="001E08F7">
        <w:rPr>
          <w:szCs w:val="24"/>
        </w:rPr>
        <w:t xml:space="preserve"> un apjomīgs, turklāt procesu novilcinājusi arī apelācijas instances tiesa, sākot lietu skatīt no jauna. Apelācijas instances tiesa atbilstoši Krimināllikuma </w:t>
      </w:r>
      <w:r w:rsidR="0059381D" w:rsidRPr="001E08F7">
        <w:rPr>
          <w:szCs w:val="24"/>
        </w:rPr>
        <w:t>49.</w:t>
      </w:r>
      <w:r w:rsidR="0059381D" w:rsidRPr="001E08F7">
        <w:rPr>
          <w:szCs w:val="24"/>
          <w:vertAlign w:val="superscript"/>
        </w:rPr>
        <w:t>1</w:t>
      </w:r>
      <w:r w:rsidR="0059381D" w:rsidRPr="001E08F7">
        <w:rPr>
          <w:szCs w:val="24"/>
        </w:rPr>
        <w:t xml:space="preserve"> panta </w:t>
      </w:r>
      <w:r w:rsidRPr="001E08F7">
        <w:rPr>
          <w:szCs w:val="24"/>
        </w:rPr>
        <w:t xml:space="preserve">prasībām nav </w:t>
      </w:r>
      <w:r w:rsidRPr="0025579A">
        <w:rPr>
          <w:rFonts w:asciiTheme="majorBidi" w:hAnsiTheme="majorBidi" w:cstheme="majorBidi"/>
          <w:szCs w:val="24"/>
        </w:rPr>
        <w:t>izvērtējusi nepieciešamību samazināt apsūdzētajam sodu, kā arī iespēju noteikt vieglāku soda veidu. Tāpat tiesa nav vērtējusi Krimināllikuma 55. panta piemērošanas iespēj</w:t>
      </w:r>
      <w:r w:rsidR="001F4F1B" w:rsidRPr="0025579A">
        <w:rPr>
          <w:rFonts w:asciiTheme="majorBidi" w:hAnsiTheme="majorBidi" w:cstheme="majorBidi"/>
          <w:szCs w:val="24"/>
        </w:rPr>
        <w:t>u,</w:t>
      </w:r>
      <w:r w:rsidR="00156C45" w:rsidRPr="0025579A">
        <w:rPr>
          <w:rFonts w:asciiTheme="majorBidi" w:hAnsiTheme="majorBidi" w:cstheme="majorBidi"/>
          <w:szCs w:val="24"/>
        </w:rPr>
        <w:t xml:space="preserve"> kā arī nav sniegusi novērtējumu </w:t>
      </w:r>
      <w:r w:rsidR="0078192A">
        <w:rPr>
          <w:rFonts w:asciiTheme="majorBidi" w:hAnsiTheme="majorBidi" w:cstheme="majorBidi"/>
        </w:rPr>
        <w:t>[pers. A]</w:t>
      </w:r>
      <w:r w:rsidR="00156C45" w:rsidRPr="0025579A">
        <w:rPr>
          <w:rFonts w:asciiTheme="majorBidi" w:hAnsiTheme="majorBidi" w:cstheme="majorBidi"/>
        </w:rPr>
        <w:t xml:space="preserve"> sabiedriskajai bīstamībai.</w:t>
      </w:r>
    </w:p>
    <w:p w14:paraId="080E992B" w14:textId="27A36CAD" w:rsidR="00AF22B9" w:rsidRPr="0025579A" w:rsidRDefault="00AF22B9" w:rsidP="00AF22B9">
      <w:pPr>
        <w:pStyle w:val="NoSpacing"/>
        <w:spacing w:line="276" w:lineRule="auto"/>
        <w:ind w:firstLine="720"/>
        <w:jc w:val="both"/>
        <w:rPr>
          <w:rFonts w:asciiTheme="majorBidi" w:hAnsiTheme="majorBidi" w:cstheme="majorBidi"/>
          <w:szCs w:val="24"/>
        </w:rPr>
      </w:pPr>
      <w:r w:rsidRPr="0025579A">
        <w:rPr>
          <w:rFonts w:asciiTheme="majorBidi" w:hAnsiTheme="majorBidi" w:cstheme="majorBidi"/>
          <w:szCs w:val="24"/>
        </w:rPr>
        <w:t xml:space="preserve">Apsūdzētā </w:t>
      </w:r>
      <w:r w:rsidR="0078192A">
        <w:rPr>
          <w:rFonts w:asciiTheme="majorBidi" w:hAnsiTheme="majorBidi" w:cstheme="majorBidi"/>
        </w:rPr>
        <w:t>[pers. B]</w:t>
      </w:r>
      <w:r w:rsidRPr="0025579A">
        <w:rPr>
          <w:rFonts w:asciiTheme="majorBidi" w:hAnsiTheme="majorBidi" w:cstheme="majorBidi"/>
        </w:rPr>
        <w:t xml:space="preserve"> aizstāvis kasācijas sūdzībā </w:t>
      </w:r>
      <w:r w:rsidRPr="0025579A">
        <w:rPr>
          <w:rFonts w:asciiTheme="majorBidi" w:eastAsia="Calibri" w:hAnsiTheme="majorBidi" w:cstheme="majorBidi"/>
          <w:szCs w:val="24"/>
        </w:rPr>
        <w:t xml:space="preserve">lūdz atcelt apelācijas instances tiesas lēmumu daļā par </w:t>
      </w:r>
      <w:r w:rsidR="0078192A">
        <w:rPr>
          <w:rFonts w:asciiTheme="majorBidi" w:eastAsia="Calibri" w:hAnsiTheme="majorBidi" w:cstheme="majorBidi"/>
          <w:szCs w:val="24"/>
        </w:rPr>
        <w:t>[pers. B]</w:t>
      </w:r>
      <w:r w:rsidRPr="0025579A">
        <w:rPr>
          <w:rFonts w:asciiTheme="majorBidi" w:eastAsia="Calibri" w:hAnsiTheme="majorBidi" w:cstheme="majorBidi"/>
          <w:szCs w:val="24"/>
        </w:rPr>
        <w:t xml:space="preserve"> noteikto sodu un lietu šajā daļā nosūtīt jaunai izskatīšanai</w:t>
      </w:r>
      <w:r w:rsidRPr="0025579A">
        <w:rPr>
          <w:rFonts w:asciiTheme="majorBidi" w:hAnsiTheme="majorBidi" w:cstheme="majorBidi"/>
        </w:rPr>
        <w:t xml:space="preserve"> apelācijas instances tiesā. Aizstāvis nepiekrīt tiesas atzinumam, ka nav pieļauts </w:t>
      </w:r>
      <w:r w:rsidR="0078192A">
        <w:rPr>
          <w:rFonts w:asciiTheme="majorBidi" w:hAnsiTheme="majorBidi" w:cstheme="majorBidi"/>
        </w:rPr>
        <w:t>[pers. B]</w:t>
      </w:r>
      <w:r w:rsidRPr="0025579A">
        <w:rPr>
          <w:rFonts w:asciiTheme="majorBidi" w:hAnsiTheme="majorBidi" w:cstheme="majorBidi"/>
        </w:rPr>
        <w:t xml:space="preserve"> tiesību uz kriminālprocesa pabeigšanu saprātīgā termiņā</w:t>
      </w:r>
      <w:r w:rsidR="001F4F1B" w:rsidRPr="0025579A">
        <w:rPr>
          <w:rFonts w:asciiTheme="majorBidi" w:hAnsiTheme="majorBidi" w:cstheme="majorBidi"/>
        </w:rPr>
        <w:t xml:space="preserve"> pārkāpums</w:t>
      </w:r>
      <w:r w:rsidRPr="0025579A">
        <w:rPr>
          <w:rFonts w:asciiTheme="majorBidi" w:hAnsiTheme="majorBidi" w:cstheme="majorBidi"/>
        </w:rPr>
        <w:t xml:space="preserve">. Aizstāvis norādījis, ka </w:t>
      </w:r>
      <w:r w:rsidR="0078192A">
        <w:rPr>
          <w:rFonts w:asciiTheme="majorBidi" w:hAnsiTheme="majorBidi" w:cstheme="majorBidi"/>
        </w:rPr>
        <w:t>[pers. </w:t>
      </w:r>
      <w:r w:rsidR="0078192A">
        <w:t>B]</w:t>
      </w:r>
      <w:r w:rsidRPr="0025579A">
        <w:rPr>
          <w:rFonts w:asciiTheme="majorBidi" w:hAnsiTheme="majorBidi" w:cstheme="majorBidi"/>
        </w:rPr>
        <w:t xml:space="preserve"> </w:t>
      </w:r>
      <w:proofErr w:type="gramStart"/>
      <w:r w:rsidRPr="0025579A">
        <w:rPr>
          <w:rFonts w:asciiTheme="majorBidi" w:hAnsiTheme="majorBidi" w:cstheme="majorBidi"/>
        </w:rPr>
        <w:t>kā aizdomās turētā</w:t>
      </w:r>
      <w:proofErr w:type="gramEnd"/>
      <w:r w:rsidRPr="0025579A">
        <w:rPr>
          <w:rFonts w:asciiTheme="majorBidi" w:hAnsiTheme="majorBidi" w:cstheme="majorBidi"/>
        </w:rPr>
        <w:t xml:space="preserve"> nopratināšana veikta 2019. gada 7. maijā, bet nāk</w:t>
      </w:r>
      <w:r w:rsidR="005C2B22" w:rsidRPr="0025579A">
        <w:rPr>
          <w:rFonts w:asciiTheme="majorBidi" w:hAnsiTheme="majorBidi" w:cstheme="majorBidi"/>
        </w:rPr>
        <w:t>am</w:t>
      </w:r>
      <w:r w:rsidRPr="0025579A">
        <w:rPr>
          <w:rFonts w:asciiTheme="majorBidi" w:hAnsiTheme="majorBidi" w:cstheme="majorBidi"/>
        </w:rPr>
        <w:t xml:space="preserve">ā procesuālā darbība </w:t>
      </w:r>
      <w:r w:rsidR="001F4F1B" w:rsidRPr="0025579A">
        <w:rPr>
          <w:rFonts w:asciiTheme="majorBidi" w:hAnsiTheme="majorBidi" w:cstheme="majorBidi"/>
        </w:rPr>
        <w:t xml:space="preserve">veikta </w:t>
      </w:r>
      <w:r w:rsidRPr="0025579A">
        <w:rPr>
          <w:rFonts w:asciiTheme="majorBidi" w:hAnsiTheme="majorBidi" w:cstheme="majorBidi"/>
        </w:rPr>
        <w:t xml:space="preserve">vien 2020. gada 8. jūnijā, tādējādi vairāk nekā gadu kriminālprocesā nav notikušas aktīvas darbības. Apelācijas instances tiesā mainīts tiesas sastāvs, lieta vairākkārt atlikta. Tas novedis pie nesamērīgi ilgas lietas izskatīšanas, kas pārsniedz četrus gadus un četrus mēnešus. Tiesai bija jāpiemēro </w:t>
      </w:r>
      <w:r w:rsidRPr="0025579A">
        <w:rPr>
          <w:rFonts w:asciiTheme="majorBidi" w:hAnsiTheme="majorBidi" w:cstheme="majorBidi"/>
          <w:szCs w:val="24"/>
        </w:rPr>
        <w:t>Krimināllikuma 49.</w:t>
      </w:r>
      <w:r w:rsidRPr="0025579A">
        <w:rPr>
          <w:rFonts w:asciiTheme="majorBidi" w:hAnsiTheme="majorBidi" w:cstheme="majorBidi"/>
          <w:szCs w:val="24"/>
          <w:vertAlign w:val="superscript"/>
        </w:rPr>
        <w:t>1</w:t>
      </w:r>
      <w:r w:rsidRPr="0025579A">
        <w:rPr>
          <w:rFonts w:asciiTheme="majorBidi" w:hAnsiTheme="majorBidi" w:cstheme="majorBidi"/>
          <w:szCs w:val="24"/>
        </w:rPr>
        <w:t> panta nosacījumi, tādējādi arī zustu šķēršļi Krimināllikuma 55.</w:t>
      </w:r>
      <w:r w:rsidR="003A2356" w:rsidRPr="0025579A">
        <w:rPr>
          <w:rFonts w:asciiTheme="majorBidi" w:hAnsiTheme="majorBidi" w:cstheme="majorBidi"/>
          <w:szCs w:val="24"/>
        </w:rPr>
        <w:t> </w:t>
      </w:r>
      <w:r w:rsidRPr="0025579A">
        <w:rPr>
          <w:rFonts w:asciiTheme="majorBidi" w:hAnsiTheme="majorBidi" w:cstheme="majorBidi"/>
          <w:szCs w:val="24"/>
        </w:rPr>
        <w:t>panta piemērošanai.</w:t>
      </w:r>
    </w:p>
    <w:p w14:paraId="4BCA3DD5" w14:textId="2972D077" w:rsidR="004E005A" w:rsidRPr="0025579A" w:rsidRDefault="00FC0520" w:rsidP="004E005A">
      <w:pPr>
        <w:spacing w:after="0" w:line="276" w:lineRule="auto"/>
        <w:ind w:firstLine="720"/>
        <w:jc w:val="both"/>
        <w:rPr>
          <w:rFonts w:asciiTheme="majorBidi" w:eastAsia="Calibri" w:hAnsiTheme="majorBidi" w:cstheme="majorBidi"/>
          <w:szCs w:val="24"/>
        </w:rPr>
      </w:pPr>
      <w:r w:rsidRPr="0025579A">
        <w:rPr>
          <w:rFonts w:asciiTheme="majorBidi" w:hAnsiTheme="majorBidi" w:cstheme="majorBidi"/>
        </w:rPr>
        <w:t>Senāts konstatē, ka kasācijas sūdzībā</w:t>
      </w:r>
      <w:r w:rsidR="009351EB" w:rsidRPr="0025579A">
        <w:rPr>
          <w:rFonts w:asciiTheme="majorBidi" w:hAnsiTheme="majorBidi" w:cstheme="majorBidi"/>
        </w:rPr>
        <w:t>s faktiski</w:t>
      </w:r>
      <w:r w:rsidRPr="0025579A">
        <w:rPr>
          <w:rFonts w:asciiTheme="majorBidi" w:hAnsiTheme="majorBidi" w:cstheme="majorBidi"/>
        </w:rPr>
        <w:t xml:space="preserve"> atkārtoti apelācijas </w:t>
      </w:r>
      <w:r w:rsidR="009351EB" w:rsidRPr="0025579A">
        <w:rPr>
          <w:rFonts w:asciiTheme="majorBidi" w:hAnsiTheme="majorBidi" w:cstheme="majorBidi"/>
        </w:rPr>
        <w:t>sūdzībās</w:t>
      </w:r>
      <w:r w:rsidRPr="0025579A">
        <w:rPr>
          <w:rFonts w:asciiTheme="majorBidi" w:hAnsiTheme="majorBidi" w:cstheme="majorBidi"/>
        </w:rPr>
        <w:t xml:space="preserve"> minētie argumenti par tiesību uz kriminālprocesa pabeigšanu saprātīgā termiņā pārkāpumu, kur</w:t>
      </w:r>
      <w:r w:rsidR="003554B6" w:rsidRPr="0025579A">
        <w:rPr>
          <w:rFonts w:asciiTheme="majorBidi" w:hAnsiTheme="majorBidi" w:cstheme="majorBidi"/>
        </w:rPr>
        <w:t xml:space="preserve">us apelācijas instances tiesas </w:t>
      </w:r>
      <w:r w:rsidRPr="0025579A">
        <w:rPr>
          <w:rFonts w:asciiTheme="majorBidi" w:hAnsiTheme="majorBidi" w:cstheme="majorBidi"/>
        </w:rPr>
        <w:t>izvērtē</w:t>
      </w:r>
      <w:r w:rsidR="003554B6" w:rsidRPr="0025579A">
        <w:rPr>
          <w:rFonts w:asciiTheme="majorBidi" w:hAnsiTheme="majorBidi" w:cstheme="majorBidi"/>
        </w:rPr>
        <w:t>jusi</w:t>
      </w:r>
      <w:r w:rsidR="005C2B22" w:rsidRPr="0025579A">
        <w:rPr>
          <w:rFonts w:asciiTheme="majorBidi" w:hAnsiTheme="majorBidi" w:cstheme="majorBidi"/>
        </w:rPr>
        <w:t xml:space="preserve"> un</w:t>
      </w:r>
      <w:r w:rsidRPr="0025579A">
        <w:rPr>
          <w:rFonts w:asciiTheme="majorBidi" w:hAnsiTheme="majorBidi" w:cstheme="majorBidi"/>
        </w:rPr>
        <w:t xml:space="preserve"> noraidī</w:t>
      </w:r>
      <w:r w:rsidR="003554B6" w:rsidRPr="0025579A">
        <w:rPr>
          <w:rFonts w:asciiTheme="majorBidi" w:hAnsiTheme="majorBidi" w:cstheme="majorBidi"/>
        </w:rPr>
        <w:t>jusi</w:t>
      </w:r>
      <w:r w:rsidR="005C2B22" w:rsidRPr="0025579A">
        <w:rPr>
          <w:rFonts w:asciiTheme="majorBidi" w:hAnsiTheme="majorBidi" w:cstheme="majorBidi"/>
        </w:rPr>
        <w:t xml:space="preserve">, </w:t>
      </w:r>
      <w:r w:rsidR="00BB6C63" w:rsidRPr="0025579A">
        <w:rPr>
          <w:rFonts w:asciiTheme="majorBidi" w:hAnsiTheme="majorBidi" w:cstheme="majorBidi"/>
        </w:rPr>
        <w:t>atz</w:t>
      </w:r>
      <w:r w:rsidR="005C2B22" w:rsidRPr="0025579A">
        <w:rPr>
          <w:rFonts w:asciiTheme="majorBidi" w:hAnsiTheme="majorBidi" w:cstheme="majorBidi"/>
        </w:rPr>
        <w:t>īstot</w:t>
      </w:r>
      <w:r w:rsidR="00BB6C63" w:rsidRPr="0025579A">
        <w:rPr>
          <w:rFonts w:asciiTheme="majorBidi" w:hAnsiTheme="majorBidi" w:cstheme="majorBidi"/>
        </w:rPr>
        <w:t>, ka nav pamata Krimināllikuma 49.</w:t>
      </w:r>
      <w:r w:rsidR="00BB6C63" w:rsidRPr="0025579A">
        <w:rPr>
          <w:rFonts w:asciiTheme="majorBidi" w:hAnsiTheme="majorBidi" w:cstheme="majorBidi"/>
          <w:vertAlign w:val="superscript"/>
        </w:rPr>
        <w:t>1 </w:t>
      </w:r>
      <w:r w:rsidR="00BB6C63" w:rsidRPr="0025579A">
        <w:rPr>
          <w:rFonts w:asciiTheme="majorBidi" w:hAnsiTheme="majorBidi" w:cstheme="majorBidi"/>
        </w:rPr>
        <w:t>panta piemērošanai.</w:t>
      </w:r>
      <w:r w:rsidR="00914DF7" w:rsidRPr="0025579A">
        <w:rPr>
          <w:rFonts w:asciiTheme="majorBidi" w:hAnsiTheme="majorBidi" w:cstheme="majorBidi"/>
        </w:rPr>
        <w:t xml:space="preserve"> </w:t>
      </w:r>
      <w:r w:rsidR="00BB6C63" w:rsidRPr="0025579A">
        <w:rPr>
          <w:rFonts w:asciiTheme="majorBidi" w:hAnsiTheme="majorBidi" w:cstheme="majorBidi"/>
          <w:szCs w:val="24"/>
        </w:rPr>
        <w:t xml:space="preserve">Tiesa nolēmumā hronoloģiskā secībā izklāstījusi izskatāmajā kriminālprocesā veiktās procesuālās darbības, sākot no kriminālprocesa uzsākšanas un beidzot ar lietas saņemšanu apelācijas instances tiesā, un </w:t>
      </w:r>
      <w:r w:rsidR="002A7AE5" w:rsidRPr="0025579A">
        <w:rPr>
          <w:rFonts w:asciiTheme="majorBidi" w:hAnsiTheme="majorBidi" w:cstheme="majorBidi"/>
          <w:szCs w:val="24"/>
        </w:rPr>
        <w:t>secinājusi, ka krimināllieta izmeklēta un iztiesāta saprātīgā termiņā, nepieļaujot</w:t>
      </w:r>
      <w:r w:rsidR="002A7AE5" w:rsidRPr="0025579A">
        <w:rPr>
          <w:rFonts w:asciiTheme="majorBidi" w:hAnsiTheme="majorBidi" w:cstheme="majorBidi"/>
        </w:rPr>
        <w:t xml:space="preserve"> apsūdzēto </w:t>
      </w:r>
      <w:r w:rsidR="0078192A">
        <w:rPr>
          <w:rFonts w:asciiTheme="majorBidi" w:hAnsiTheme="majorBidi" w:cstheme="majorBidi"/>
        </w:rPr>
        <w:t>[pers. A]</w:t>
      </w:r>
      <w:r w:rsidR="002A7AE5" w:rsidRPr="0025579A">
        <w:rPr>
          <w:rFonts w:asciiTheme="majorBidi" w:hAnsiTheme="majorBidi" w:cstheme="majorBidi"/>
        </w:rPr>
        <w:t xml:space="preserve"> un </w:t>
      </w:r>
      <w:r w:rsidR="0078192A">
        <w:rPr>
          <w:rFonts w:asciiTheme="majorBidi" w:eastAsia="Calibri" w:hAnsiTheme="majorBidi" w:cstheme="majorBidi"/>
          <w:szCs w:val="24"/>
        </w:rPr>
        <w:t>[pers. B]</w:t>
      </w:r>
      <w:r w:rsidR="002A7AE5" w:rsidRPr="0025579A">
        <w:rPr>
          <w:rFonts w:asciiTheme="majorBidi" w:eastAsia="Calibri" w:hAnsiTheme="majorBidi" w:cstheme="majorBidi"/>
          <w:szCs w:val="24"/>
        </w:rPr>
        <w:t xml:space="preserve"> tiesību uz kriminālprocesa pabeigšanu saprātīgā termiņā pārkāpumu</w:t>
      </w:r>
      <w:r w:rsidR="00BB6C63" w:rsidRPr="0025579A">
        <w:rPr>
          <w:rFonts w:asciiTheme="majorBidi" w:eastAsia="Calibri" w:hAnsiTheme="majorBidi" w:cstheme="majorBidi"/>
          <w:szCs w:val="24"/>
        </w:rPr>
        <w:t>.</w:t>
      </w:r>
    </w:p>
    <w:p w14:paraId="39B601D9" w14:textId="7E1CFF63" w:rsidR="002A7AE5" w:rsidRPr="0025579A" w:rsidRDefault="001E3BC2" w:rsidP="002A7AE5">
      <w:pPr>
        <w:spacing w:after="0" w:line="276" w:lineRule="auto"/>
        <w:ind w:firstLine="720"/>
        <w:jc w:val="both"/>
        <w:rPr>
          <w:rFonts w:asciiTheme="majorBidi" w:hAnsiTheme="majorBidi" w:cstheme="majorBidi"/>
        </w:rPr>
      </w:pPr>
      <w:r w:rsidRPr="0025579A">
        <w:rPr>
          <w:rFonts w:asciiTheme="majorBidi" w:eastAsia="Calibri" w:hAnsiTheme="majorBidi" w:cstheme="majorBidi"/>
          <w:szCs w:val="24"/>
        </w:rPr>
        <w:t>Pretēj</w:t>
      </w:r>
      <w:r w:rsidR="008641E4" w:rsidRPr="0025579A">
        <w:rPr>
          <w:rFonts w:asciiTheme="majorBidi" w:eastAsia="Calibri" w:hAnsiTheme="majorBidi" w:cstheme="majorBidi"/>
          <w:szCs w:val="24"/>
        </w:rPr>
        <w:t>i</w:t>
      </w:r>
      <w:r w:rsidRPr="0025579A">
        <w:rPr>
          <w:rFonts w:asciiTheme="majorBidi" w:eastAsia="Calibri" w:hAnsiTheme="majorBidi" w:cstheme="majorBidi"/>
          <w:szCs w:val="24"/>
        </w:rPr>
        <w:t xml:space="preserve"> kasācijas sūdzībās norādītajam a</w:t>
      </w:r>
      <w:r w:rsidR="00914DF7" w:rsidRPr="0025579A">
        <w:rPr>
          <w:rFonts w:asciiTheme="majorBidi" w:hAnsiTheme="majorBidi" w:cstheme="majorBidi"/>
          <w:szCs w:val="24"/>
        </w:rPr>
        <w:t xml:space="preserve">pelācijas instances tiesa atzinusi, ka pirmās instances tiesa, </w:t>
      </w:r>
      <w:proofErr w:type="gramStart"/>
      <w:r w:rsidR="00914DF7" w:rsidRPr="0025579A">
        <w:rPr>
          <w:rFonts w:asciiTheme="majorBidi" w:hAnsiTheme="majorBidi" w:cstheme="majorBidi"/>
          <w:szCs w:val="24"/>
        </w:rPr>
        <w:t xml:space="preserve">nosakot </w:t>
      </w:r>
      <w:r w:rsidRPr="0025579A">
        <w:rPr>
          <w:rFonts w:asciiTheme="majorBidi" w:hAnsiTheme="majorBidi" w:cstheme="majorBidi"/>
          <w:szCs w:val="24"/>
        </w:rPr>
        <w:t>apsūdzētajiem</w:t>
      </w:r>
      <w:proofErr w:type="gramEnd"/>
      <w:r w:rsidR="00914DF7" w:rsidRPr="0025579A">
        <w:rPr>
          <w:rFonts w:asciiTheme="majorBidi" w:hAnsiTheme="majorBidi" w:cstheme="majorBidi"/>
          <w:szCs w:val="24"/>
        </w:rPr>
        <w:t xml:space="preserve"> soda veidu, ir izvērtējusi Krimināllikuma 46.</w:t>
      </w:r>
      <w:r w:rsidRPr="0025579A">
        <w:rPr>
          <w:rFonts w:asciiTheme="majorBidi" w:hAnsiTheme="majorBidi" w:cstheme="majorBidi"/>
          <w:szCs w:val="24"/>
        </w:rPr>
        <w:t> </w:t>
      </w:r>
      <w:r w:rsidR="00914DF7" w:rsidRPr="0025579A">
        <w:rPr>
          <w:rFonts w:asciiTheme="majorBidi" w:hAnsiTheme="majorBidi" w:cstheme="majorBidi"/>
          <w:szCs w:val="24"/>
        </w:rPr>
        <w:t>panta otrajā daļā norādītos soda veidu</w:t>
      </w:r>
      <w:r w:rsidRPr="0025579A">
        <w:rPr>
          <w:rFonts w:asciiTheme="majorBidi" w:hAnsiTheme="majorBidi" w:cstheme="majorBidi"/>
          <w:szCs w:val="24"/>
        </w:rPr>
        <w:t xml:space="preserve"> </w:t>
      </w:r>
      <w:r w:rsidR="00914DF7" w:rsidRPr="0025579A">
        <w:rPr>
          <w:rFonts w:asciiTheme="majorBidi" w:hAnsiTheme="majorBidi" w:cstheme="majorBidi"/>
          <w:szCs w:val="24"/>
        </w:rPr>
        <w:t>ietekmējošos apstākļus, un, ievērojot Krimināllikuma 35.</w:t>
      </w:r>
      <w:r w:rsidRPr="0025579A">
        <w:rPr>
          <w:rFonts w:asciiTheme="majorBidi" w:hAnsiTheme="majorBidi" w:cstheme="majorBidi"/>
          <w:szCs w:val="24"/>
        </w:rPr>
        <w:t> </w:t>
      </w:r>
      <w:r w:rsidR="00914DF7" w:rsidRPr="0025579A">
        <w:rPr>
          <w:rFonts w:asciiTheme="majorBidi" w:hAnsiTheme="majorBidi" w:cstheme="majorBidi"/>
          <w:szCs w:val="24"/>
        </w:rPr>
        <w:t>pantā norādīto soda mērķi, katr</w:t>
      </w:r>
      <w:r w:rsidRPr="0025579A">
        <w:rPr>
          <w:rFonts w:asciiTheme="majorBidi" w:hAnsiTheme="majorBidi" w:cstheme="majorBidi"/>
          <w:szCs w:val="24"/>
        </w:rPr>
        <w:t>am no apsūdzētajiem</w:t>
      </w:r>
      <w:r w:rsidR="00914DF7" w:rsidRPr="0025579A">
        <w:rPr>
          <w:rFonts w:asciiTheme="majorBidi" w:hAnsiTheme="majorBidi" w:cstheme="majorBidi"/>
          <w:szCs w:val="24"/>
        </w:rPr>
        <w:t xml:space="preserve"> pamatoti noteikusi sodu brīvības atņemšanas veidā. </w:t>
      </w:r>
      <w:r w:rsidRPr="0025579A">
        <w:rPr>
          <w:rFonts w:asciiTheme="majorBidi" w:hAnsiTheme="majorBidi" w:cstheme="majorBidi"/>
          <w:szCs w:val="24"/>
        </w:rPr>
        <w:t>Tiesa uzsvēru</w:t>
      </w:r>
      <w:r w:rsidR="00222A96" w:rsidRPr="0025579A">
        <w:rPr>
          <w:rFonts w:asciiTheme="majorBidi" w:hAnsiTheme="majorBidi" w:cstheme="majorBidi"/>
          <w:szCs w:val="24"/>
        </w:rPr>
        <w:t>si</w:t>
      </w:r>
      <w:r w:rsidRPr="0025579A">
        <w:rPr>
          <w:rFonts w:asciiTheme="majorBidi" w:hAnsiTheme="majorBidi" w:cstheme="majorBidi"/>
          <w:szCs w:val="24"/>
        </w:rPr>
        <w:t>, ka apsūdzētie izdarījuši sevišķi smagu noziegumu</w:t>
      </w:r>
      <w:r w:rsidR="00222A96" w:rsidRPr="0025579A">
        <w:rPr>
          <w:rFonts w:asciiTheme="majorBidi" w:hAnsiTheme="majorBidi" w:cstheme="majorBidi"/>
          <w:szCs w:val="24"/>
        </w:rPr>
        <w:t xml:space="preserve">, apdraudējuši sabiedrības veselību un vispārējo drošību narkotisko un psihotropo vielu aprites </w:t>
      </w:r>
      <w:r w:rsidR="00385A0A" w:rsidRPr="0025579A">
        <w:rPr>
          <w:rFonts w:asciiTheme="majorBidi" w:hAnsiTheme="majorBidi" w:cstheme="majorBidi"/>
          <w:szCs w:val="24"/>
        </w:rPr>
        <w:t>jom</w:t>
      </w:r>
      <w:r w:rsidR="00222A96" w:rsidRPr="0025579A">
        <w:rPr>
          <w:rFonts w:asciiTheme="majorBidi" w:hAnsiTheme="majorBidi" w:cstheme="majorBidi"/>
          <w:szCs w:val="24"/>
        </w:rPr>
        <w:t xml:space="preserve">ā, atsavinātās narkotiskās vielas daudzums vairāk </w:t>
      </w:r>
      <w:r w:rsidR="002A7AE5" w:rsidRPr="0025579A">
        <w:rPr>
          <w:rFonts w:asciiTheme="majorBidi" w:hAnsiTheme="majorBidi" w:cstheme="majorBidi"/>
          <w:szCs w:val="24"/>
        </w:rPr>
        <w:t>k</w:t>
      </w:r>
      <w:r w:rsidR="00222A96" w:rsidRPr="0025579A">
        <w:rPr>
          <w:rFonts w:asciiTheme="majorBidi" w:hAnsiTheme="majorBidi" w:cstheme="majorBidi"/>
          <w:szCs w:val="24"/>
        </w:rPr>
        <w:t xml:space="preserve">ā divas reizes pārsniedz lielus apmērus. </w:t>
      </w:r>
      <w:r w:rsidR="00914DF7" w:rsidRPr="0025579A">
        <w:rPr>
          <w:rFonts w:asciiTheme="majorBidi" w:hAnsiTheme="majorBidi" w:cstheme="majorBidi"/>
          <w:szCs w:val="24"/>
        </w:rPr>
        <w:t xml:space="preserve">Tiesa </w:t>
      </w:r>
      <w:r w:rsidRPr="0025579A">
        <w:rPr>
          <w:rFonts w:asciiTheme="majorBidi" w:hAnsiTheme="majorBidi" w:cstheme="majorBidi"/>
          <w:szCs w:val="24"/>
        </w:rPr>
        <w:t>izvērtējusi arī lietā esošās ziņas par apsūdzēto personīb</w:t>
      </w:r>
      <w:r w:rsidR="008641E4" w:rsidRPr="0025579A">
        <w:rPr>
          <w:rFonts w:asciiTheme="majorBidi" w:hAnsiTheme="majorBidi" w:cstheme="majorBidi"/>
          <w:szCs w:val="24"/>
        </w:rPr>
        <w:t xml:space="preserve">u, tai skaitā ņēmusi vērā, ka </w:t>
      </w:r>
      <w:r w:rsidR="0078192A">
        <w:rPr>
          <w:rFonts w:asciiTheme="majorBidi" w:hAnsiTheme="majorBidi" w:cstheme="majorBidi"/>
        </w:rPr>
        <w:t>[pers. A]</w:t>
      </w:r>
      <w:r w:rsidR="008641E4" w:rsidRPr="0025579A">
        <w:rPr>
          <w:rFonts w:asciiTheme="majorBidi" w:hAnsiTheme="majorBidi" w:cstheme="majorBidi"/>
        </w:rPr>
        <w:t xml:space="preserve"> agrāk nav sodīts, strādā, rūpējas par vecomāti. Apelācijas instances tiesā jaunas </w:t>
      </w:r>
      <w:r w:rsidR="0078192A">
        <w:rPr>
          <w:rFonts w:asciiTheme="majorBidi" w:hAnsiTheme="majorBidi" w:cstheme="majorBidi"/>
        </w:rPr>
        <w:t>[pers. A]</w:t>
      </w:r>
      <w:r w:rsidR="008641E4" w:rsidRPr="0025579A">
        <w:rPr>
          <w:rFonts w:asciiTheme="majorBidi" w:hAnsiTheme="majorBidi" w:cstheme="majorBidi"/>
        </w:rPr>
        <w:t xml:space="preserve"> raksturojošas ziņas nav iesniegtas.</w:t>
      </w:r>
      <w:r w:rsidR="002A60DA" w:rsidRPr="0025579A">
        <w:rPr>
          <w:rFonts w:asciiTheme="majorBidi" w:hAnsiTheme="majorBidi" w:cstheme="majorBidi"/>
        </w:rPr>
        <w:t xml:space="preserve"> </w:t>
      </w:r>
    </w:p>
    <w:p w14:paraId="3079F042" w14:textId="18FF96BB" w:rsidR="00270001" w:rsidRPr="0025579A" w:rsidRDefault="002A60DA" w:rsidP="00270001">
      <w:pPr>
        <w:spacing w:after="0" w:line="276" w:lineRule="auto"/>
        <w:ind w:firstLine="720"/>
        <w:jc w:val="both"/>
        <w:rPr>
          <w:rFonts w:asciiTheme="majorBidi" w:hAnsiTheme="majorBidi" w:cstheme="majorBidi"/>
          <w:szCs w:val="24"/>
          <w14:ligatures w14:val="standardContextual"/>
        </w:rPr>
      </w:pPr>
      <w:r w:rsidRPr="0025579A">
        <w:rPr>
          <w:rFonts w:asciiTheme="majorBidi" w:hAnsiTheme="majorBidi" w:cstheme="majorBidi"/>
        </w:rPr>
        <w:t xml:space="preserve">Tāpat apelācijas instances tiesa ir izvērtējusi </w:t>
      </w:r>
      <w:r w:rsidR="00C6606B" w:rsidRPr="0025579A">
        <w:rPr>
          <w:rFonts w:asciiTheme="majorBidi" w:hAnsiTheme="majorBidi" w:cstheme="majorBidi"/>
          <w:szCs w:val="24"/>
        </w:rPr>
        <w:t xml:space="preserve">apsūdzētā </w:t>
      </w:r>
      <w:r w:rsidR="0078192A">
        <w:rPr>
          <w:rFonts w:asciiTheme="majorBidi" w:hAnsiTheme="majorBidi" w:cstheme="majorBidi"/>
        </w:rPr>
        <w:t>[pers. A]</w:t>
      </w:r>
      <w:r w:rsidR="00C6606B" w:rsidRPr="0025579A">
        <w:rPr>
          <w:rFonts w:asciiTheme="majorBidi" w:hAnsiTheme="majorBidi" w:cstheme="majorBidi"/>
        </w:rPr>
        <w:t xml:space="preserve"> aizstāves </w:t>
      </w:r>
      <w:r w:rsidRPr="0025579A">
        <w:rPr>
          <w:rFonts w:asciiTheme="majorBidi" w:hAnsiTheme="majorBidi" w:cstheme="majorBidi"/>
        </w:rPr>
        <w:t xml:space="preserve">apelācijas sūdzības argumentus par </w:t>
      </w:r>
      <w:r w:rsidR="0078192A">
        <w:rPr>
          <w:rFonts w:asciiTheme="majorBidi" w:hAnsiTheme="majorBidi" w:cstheme="majorBidi"/>
        </w:rPr>
        <w:t>[pers. A]</w:t>
      </w:r>
      <w:r w:rsidRPr="0025579A">
        <w:rPr>
          <w:rFonts w:asciiTheme="majorBidi" w:hAnsiTheme="majorBidi" w:cstheme="majorBidi"/>
        </w:rPr>
        <w:t xml:space="preserve"> atbildību pastiprinošiem apstākļiem un atzinusi, ka mantkārīgu nolūku pamato </w:t>
      </w:r>
      <w:r w:rsidR="003961CC" w:rsidRPr="0025579A">
        <w:rPr>
          <w:rFonts w:asciiTheme="majorBidi" w:hAnsiTheme="majorBidi" w:cstheme="majorBidi"/>
          <w:szCs w:val="24"/>
        </w:rPr>
        <w:t xml:space="preserve">paša </w:t>
      </w:r>
      <w:r w:rsidR="0078192A">
        <w:rPr>
          <w:rFonts w:asciiTheme="majorBidi" w:hAnsiTheme="majorBidi" w:cstheme="majorBidi"/>
          <w:szCs w:val="24"/>
        </w:rPr>
        <w:t>[pers. A]</w:t>
      </w:r>
      <w:r w:rsidR="003961CC" w:rsidRPr="0025579A">
        <w:rPr>
          <w:rFonts w:asciiTheme="majorBidi" w:hAnsiTheme="majorBidi" w:cstheme="majorBidi"/>
          <w:szCs w:val="24"/>
        </w:rPr>
        <w:t xml:space="preserve"> liecībās sniegtās ziņas par iespējamo rīcību ar naudu.</w:t>
      </w:r>
      <w:r w:rsidR="004E005A" w:rsidRPr="0025579A">
        <w:rPr>
          <w:rFonts w:asciiTheme="majorBidi" w:hAnsiTheme="majorBidi" w:cstheme="majorBidi"/>
          <w:szCs w:val="24"/>
        </w:rPr>
        <w:t xml:space="preserve"> Tiesa arī konstatējusi, ka </w:t>
      </w:r>
      <w:r w:rsidR="004E005A" w:rsidRPr="0025579A">
        <w:rPr>
          <w:rFonts w:asciiTheme="majorBidi" w:hAnsiTheme="majorBidi" w:cstheme="majorBidi"/>
          <w:szCs w:val="24"/>
          <w14:ligatures w14:val="standardContextual"/>
        </w:rPr>
        <w:t xml:space="preserve">narkotisko vielu ietekme </w:t>
      </w:r>
      <w:r w:rsidR="0078192A">
        <w:rPr>
          <w:rFonts w:asciiTheme="majorBidi" w:hAnsiTheme="majorBidi" w:cstheme="majorBidi"/>
          <w:szCs w:val="24"/>
        </w:rPr>
        <w:t>[pers. A]</w:t>
      </w:r>
      <w:r w:rsidR="004E005A" w:rsidRPr="0025579A">
        <w:rPr>
          <w:rFonts w:asciiTheme="majorBidi" w:hAnsiTheme="majorBidi" w:cstheme="majorBidi"/>
          <w:szCs w:val="24"/>
        </w:rPr>
        <w:t xml:space="preserve"> konstatēta, pamatojoties uz </w:t>
      </w:r>
      <w:r w:rsidR="004E005A" w:rsidRPr="0025579A">
        <w:rPr>
          <w:rFonts w:asciiTheme="majorBidi" w:hAnsiTheme="majorBidi" w:cstheme="majorBidi"/>
          <w:szCs w:val="24"/>
          <w14:ligatures w14:val="standardContextual"/>
        </w:rPr>
        <w:t>medicīniskās pārbaudes protokolā un ķīmiski toksikoloģiskās izmeklēšanas rezultātos norādītajām ziņām.</w:t>
      </w:r>
    </w:p>
    <w:p w14:paraId="0CE29EAE" w14:textId="7E0C7C03" w:rsidR="00270001" w:rsidRPr="00270001" w:rsidRDefault="0000128D" w:rsidP="00270001">
      <w:pPr>
        <w:spacing w:after="0" w:line="276" w:lineRule="auto"/>
        <w:ind w:firstLine="720"/>
        <w:jc w:val="both"/>
        <w:rPr>
          <w:szCs w:val="24"/>
        </w:rPr>
      </w:pPr>
      <w:r w:rsidRPr="0025579A">
        <w:rPr>
          <w:rFonts w:asciiTheme="majorBidi" w:hAnsiTheme="majorBidi" w:cstheme="majorBidi"/>
          <w:szCs w:val="24"/>
          <w14:ligatures w14:val="standardContextual"/>
        </w:rPr>
        <w:t>Savukārt, i</w:t>
      </w:r>
      <w:r w:rsidRPr="0025579A">
        <w:rPr>
          <w:rFonts w:asciiTheme="majorBidi" w:hAnsiTheme="majorBidi" w:cstheme="majorBidi"/>
          <w:szCs w:val="24"/>
        </w:rPr>
        <w:t xml:space="preserve">zvērtējot </w:t>
      </w:r>
      <w:r w:rsidR="00A27ECE" w:rsidRPr="0025579A">
        <w:rPr>
          <w:rFonts w:asciiTheme="majorBidi" w:hAnsiTheme="majorBidi" w:cstheme="majorBidi"/>
          <w:szCs w:val="24"/>
        </w:rPr>
        <w:t xml:space="preserve">lūgumu </w:t>
      </w:r>
      <w:r w:rsidR="0043119A" w:rsidRPr="0025579A">
        <w:rPr>
          <w:rFonts w:asciiTheme="majorBidi" w:hAnsiTheme="majorBidi" w:cstheme="majorBidi"/>
          <w:szCs w:val="24"/>
        </w:rPr>
        <w:t xml:space="preserve">konstatēt lietā </w:t>
      </w:r>
      <w:r w:rsidR="0078192A">
        <w:rPr>
          <w:rFonts w:asciiTheme="majorBidi" w:hAnsiTheme="majorBidi" w:cstheme="majorBidi"/>
        </w:rPr>
        <w:t>[pers. A]</w:t>
      </w:r>
      <w:r w:rsidR="00A27ECE" w:rsidRPr="0025579A">
        <w:rPr>
          <w:rFonts w:asciiTheme="majorBidi" w:hAnsiTheme="majorBidi" w:cstheme="majorBidi"/>
          <w:szCs w:val="24"/>
        </w:rPr>
        <w:t xml:space="preserve"> atbildību mīkstinošo apstākli</w:t>
      </w:r>
      <w:r w:rsidR="00065E13" w:rsidRPr="0025579A">
        <w:rPr>
          <w:rFonts w:asciiTheme="majorBidi" w:hAnsiTheme="majorBidi" w:cstheme="majorBidi"/>
          <w:szCs w:val="24"/>
        </w:rPr>
        <w:t xml:space="preserve"> –</w:t>
      </w:r>
      <w:r w:rsidR="00270001" w:rsidRPr="0025579A">
        <w:rPr>
          <w:rFonts w:asciiTheme="majorBidi" w:hAnsiTheme="majorBidi" w:cstheme="majorBidi"/>
          <w:szCs w:val="24"/>
        </w:rPr>
        <w:t xml:space="preserve"> </w:t>
      </w:r>
      <w:r w:rsidR="00A27ECE" w:rsidRPr="0025579A">
        <w:rPr>
          <w:rFonts w:asciiTheme="majorBidi" w:hAnsiTheme="majorBidi" w:cstheme="majorBidi"/>
          <w:szCs w:val="24"/>
          <w:shd w:val="clear" w:color="auto" w:fill="FFFFFF"/>
        </w:rPr>
        <w:t>vainīgais sekmējis citas personas nozieguma atklāšanu</w:t>
      </w:r>
      <w:r w:rsidR="00065E13" w:rsidRPr="0025579A">
        <w:rPr>
          <w:rFonts w:asciiTheme="majorBidi" w:hAnsiTheme="majorBidi" w:cstheme="majorBidi"/>
          <w:szCs w:val="24"/>
          <w:shd w:val="clear" w:color="auto" w:fill="FFFFFF"/>
        </w:rPr>
        <w:t xml:space="preserve"> –</w:t>
      </w:r>
      <w:r w:rsidR="00A27ECE" w:rsidRPr="0025579A">
        <w:rPr>
          <w:rFonts w:asciiTheme="majorBidi" w:hAnsiTheme="majorBidi" w:cstheme="majorBidi"/>
          <w:szCs w:val="24"/>
        </w:rPr>
        <w:t>, a</w:t>
      </w:r>
      <w:r w:rsidRPr="0025579A">
        <w:rPr>
          <w:rFonts w:asciiTheme="majorBidi" w:hAnsiTheme="majorBidi" w:cstheme="majorBidi"/>
          <w:szCs w:val="24"/>
        </w:rPr>
        <w:t>pelācijas instances tiesa</w:t>
      </w:r>
      <w:r w:rsidR="00270001" w:rsidRPr="0025579A">
        <w:rPr>
          <w:rFonts w:asciiTheme="majorBidi" w:hAnsiTheme="majorBidi" w:cstheme="majorBidi"/>
          <w:szCs w:val="24"/>
        </w:rPr>
        <w:t xml:space="preserve"> </w:t>
      </w:r>
      <w:proofErr w:type="gramStart"/>
      <w:r w:rsidRPr="0025579A">
        <w:rPr>
          <w:rFonts w:asciiTheme="majorBidi" w:hAnsiTheme="majorBidi" w:cstheme="majorBidi"/>
          <w:szCs w:val="24"/>
        </w:rPr>
        <w:t>motivēti</w:t>
      </w:r>
      <w:proofErr w:type="gramEnd"/>
      <w:r w:rsidRPr="0025579A">
        <w:rPr>
          <w:rFonts w:asciiTheme="majorBidi" w:hAnsiTheme="majorBidi" w:cstheme="majorBidi"/>
          <w:szCs w:val="24"/>
        </w:rPr>
        <w:t xml:space="preserve"> norādījusi</w:t>
      </w:r>
      <w:r w:rsidR="00385A0A" w:rsidRPr="0025579A">
        <w:rPr>
          <w:rFonts w:asciiTheme="majorBidi" w:hAnsiTheme="majorBidi" w:cstheme="majorBidi"/>
          <w:szCs w:val="24"/>
        </w:rPr>
        <w:t>, ka</w:t>
      </w:r>
      <w:r w:rsidR="00270001" w:rsidRPr="0025579A">
        <w:rPr>
          <w:rFonts w:asciiTheme="majorBidi" w:hAnsiTheme="majorBidi" w:cstheme="majorBidi"/>
          <w:szCs w:val="24"/>
        </w:rPr>
        <w:t xml:space="preserve"> lietā nav </w:t>
      </w:r>
      <w:r w:rsidR="00270001" w:rsidRPr="0025579A">
        <w:rPr>
          <w:rFonts w:asciiTheme="majorBidi" w:hAnsiTheme="majorBidi" w:cstheme="majorBidi"/>
          <w:szCs w:val="24"/>
          <w14:ligatures w14:val="standardContextual"/>
        </w:rPr>
        <w:t>procesuāla nolēmuma</w:t>
      </w:r>
      <w:r w:rsidR="00270001" w:rsidRPr="00270001">
        <w:rPr>
          <w:rFonts w:asciiTheme="majorBidi" w:hAnsiTheme="majorBidi" w:cstheme="majorBidi"/>
          <w:szCs w:val="24"/>
          <w14:ligatures w14:val="standardContextual"/>
        </w:rPr>
        <w:t>, kas šādas ziņas apstiprinātu.</w:t>
      </w:r>
    </w:p>
    <w:p w14:paraId="2984300B" w14:textId="709485EC" w:rsidR="00FC0520" w:rsidRPr="00270001" w:rsidRDefault="003153D5" w:rsidP="00270001">
      <w:pPr>
        <w:spacing w:after="0" w:line="276" w:lineRule="auto"/>
        <w:ind w:firstLine="720"/>
        <w:jc w:val="both"/>
        <w:rPr>
          <w:szCs w:val="24"/>
          <w:highlight w:val="yellow"/>
        </w:rPr>
      </w:pPr>
      <w:r w:rsidRPr="00270001">
        <w:t>Tiesa ir izvērtējusi iespēju piemērot apsūdzētajiem Krimināllikuma 55. panta nosacījumus</w:t>
      </w:r>
      <w:r w:rsidRPr="003153D5">
        <w:t xml:space="preserve"> un atzinusi, ka apsūdzēto notiesāšanai nosacīti nav tiesiska pamata, jo katram no apsūdzētajiem konstatēti divi atbildību pastiprinoši apstākļi, kas liedz noteikt viņiem panta sankcijā paredzēto minimālo sodu – brīvības atņemšanu uz 5 gadiem.</w:t>
      </w:r>
      <w:r w:rsidRPr="001E08F7" w:rsidDel="003153D5">
        <w:rPr>
          <w:rFonts w:cs="Times New Roman"/>
          <w:szCs w:val="24"/>
          <w14:ligatures w14:val="standardContextual"/>
        </w:rPr>
        <w:t xml:space="preserve"> </w:t>
      </w:r>
      <w:r w:rsidR="003C3D66" w:rsidRPr="001E08F7">
        <w:t xml:space="preserve">Ievērojot minēto, </w:t>
      </w:r>
      <w:r w:rsidR="00FC0520" w:rsidRPr="001E08F7">
        <w:t xml:space="preserve">Senāts konstatē, ka apelācijas instances tiesas lēmums </w:t>
      </w:r>
      <w:r w:rsidR="004E005A" w:rsidRPr="001E08F7">
        <w:t xml:space="preserve">šajā daļā </w:t>
      </w:r>
      <w:r w:rsidR="00FC0520" w:rsidRPr="001E08F7">
        <w:t>ir apstrīdēts nolūkā panākt tā atcelšanu nevis juridisku, bet gan faktisku iemeslu dēļ, kas ir pretrunā Kriminālprocesa likuma 569.</w:t>
      </w:r>
      <w:r w:rsidR="004E005A" w:rsidRPr="001E08F7">
        <w:t> </w:t>
      </w:r>
      <w:r w:rsidR="00FC0520" w:rsidRPr="001E08F7">
        <w:t xml:space="preserve">panta </w:t>
      </w:r>
      <w:r w:rsidR="004E005A" w:rsidRPr="001E08F7">
        <w:t>prasībām</w:t>
      </w:r>
      <w:r w:rsidR="00FC0520" w:rsidRPr="001E08F7">
        <w:t>.</w:t>
      </w:r>
    </w:p>
    <w:p w14:paraId="03974B13" w14:textId="77777777" w:rsidR="004E005A" w:rsidRPr="001E08F7" w:rsidRDefault="004E005A" w:rsidP="004E005A">
      <w:pPr>
        <w:pStyle w:val="NoSpacing"/>
        <w:spacing w:line="276" w:lineRule="auto"/>
        <w:ind w:firstLine="720"/>
        <w:jc w:val="both"/>
        <w:rPr>
          <w:rFonts w:asciiTheme="majorBidi" w:hAnsiTheme="majorBidi" w:cstheme="majorBidi"/>
          <w:szCs w:val="24"/>
        </w:rPr>
      </w:pPr>
      <w:r w:rsidRPr="001E08F7">
        <w:rPr>
          <w:szCs w:val="24"/>
        </w:rPr>
        <w:t>Tādējādi šajā daļā konstatējams Kriminālprocesa likuma 573.</w:t>
      </w:r>
      <w:r w:rsidRPr="001E08F7">
        <w:rPr>
          <w:szCs w:val="24"/>
          <w:vertAlign w:val="superscript"/>
        </w:rPr>
        <w:t>1</w:t>
      </w:r>
      <w:r w:rsidRPr="001E08F7">
        <w:rPr>
          <w:szCs w:val="24"/>
        </w:rPr>
        <w:t> panta pirmajā daļā paredzētais pamats atteikumam ierosināt kasācijas tiesvedību.</w:t>
      </w:r>
    </w:p>
    <w:p w14:paraId="655280AC" w14:textId="77777777" w:rsidR="00385A0A" w:rsidRDefault="00FC0520" w:rsidP="00385A0A">
      <w:pPr>
        <w:spacing w:after="0" w:line="276" w:lineRule="auto"/>
        <w:ind w:firstLine="720"/>
        <w:jc w:val="both"/>
      </w:pPr>
      <w:r w:rsidRPr="001E08F7">
        <w:t>Kriminālprocesa likuma</w:t>
      </w:r>
      <w:r w:rsidR="00AF22B9" w:rsidRPr="001E08F7">
        <w:t xml:space="preserve"> 573</w:t>
      </w:r>
      <w:r w:rsidR="00AF22B9" w:rsidRPr="001E08F7">
        <w:rPr>
          <w:szCs w:val="24"/>
        </w:rPr>
        <w:t>.</w:t>
      </w:r>
      <w:r w:rsidR="00AF22B9" w:rsidRPr="001E08F7">
        <w:rPr>
          <w:szCs w:val="24"/>
          <w:vertAlign w:val="superscript"/>
        </w:rPr>
        <w:t>1</w:t>
      </w:r>
      <w:r w:rsidR="00AF22B9" w:rsidRPr="001E08F7">
        <w:rPr>
          <w:szCs w:val="24"/>
        </w:rPr>
        <w:t xml:space="preserve"> panta </w:t>
      </w:r>
      <w:r w:rsidRPr="001E08F7">
        <w:t>otrās daļas 1.</w:t>
      </w:r>
      <w:r w:rsidR="00B673BB">
        <w:t> </w:t>
      </w:r>
      <w:r w:rsidRPr="001E08F7">
        <w:t xml:space="preserve">punkts noteic, ka tiesa var atteikties ierosināt kasācijas tiesvedību, ja kasācijas sūdzībā vai protestā norādītajos tiesību normu piemērošanas jautājumos ir izveidojusies Augstākās tiesas judikatūra un pārsūdzētais nolēmums tai atbilst. </w:t>
      </w:r>
    </w:p>
    <w:p w14:paraId="33335421" w14:textId="3178A6B0" w:rsidR="00770FA0" w:rsidRPr="003153D5" w:rsidRDefault="00AF22B9" w:rsidP="003153D5">
      <w:pPr>
        <w:spacing w:after="0" w:line="276" w:lineRule="auto"/>
        <w:ind w:firstLine="720"/>
        <w:jc w:val="both"/>
      </w:pPr>
      <w:r w:rsidRPr="001E08F7">
        <w:rPr>
          <w:szCs w:val="24"/>
        </w:rPr>
        <w:t xml:space="preserve">Apsūdzētā </w:t>
      </w:r>
      <w:r w:rsidR="0078192A">
        <w:t>[pers. B]</w:t>
      </w:r>
      <w:r w:rsidRPr="001E08F7">
        <w:t xml:space="preserve"> aizstāvis kasācijas sūdzībā </w:t>
      </w:r>
      <w:r w:rsidR="0059381D" w:rsidRPr="001E08F7">
        <w:rPr>
          <w:szCs w:val="24"/>
        </w:rPr>
        <w:t>norādījis, ka lietā</w:t>
      </w:r>
      <w:r w:rsidR="003153D5" w:rsidRPr="001E08F7">
        <w:rPr>
          <w:szCs w:val="24"/>
        </w:rPr>
        <w:t xml:space="preserve"> </w:t>
      </w:r>
      <w:r w:rsidR="0059381D" w:rsidRPr="001E08F7">
        <w:rPr>
          <w:szCs w:val="24"/>
        </w:rPr>
        <w:t xml:space="preserve">nepamatoti konstatēti </w:t>
      </w:r>
      <w:r w:rsidR="0043119A">
        <w:rPr>
          <w:szCs w:val="24"/>
        </w:rPr>
        <w:t xml:space="preserve">apsūdzētā </w:t>
      </w:r>
      <w:r w:rsidR="0059381D" w:rsidRPr="001E08F7">
        <w:rPr>
          <w:szCs w:val="24"/>
        </w:rPr>
        <w:t>atbildību pastiprinoši apstākļi</w:t>
      </w:r>
      <w:r w:rsidR="00A9775D" w:rsidRPr="001E08F7">
        <w:rPr>
          <w:szCs w:val="24"/>
        </w:rPr>
        <w:t xml:space="preserve"> </w:t>
      </w:r>
      <w:r w:rsidR="00B47A36">
        <w:rPr>
          <w:szCs w:val="24"/>
        </w:rPr>
        <w:t>–</w:t>
      </w:r>
      <w:r w:rsidR="003153D5">
        <w:rPr>
          <w:szCs w:val="24"/>
        </w:rPr>
        <w:t xml:space="preserve"> </w:t>
      </w:r>
      <w:r w:rsidR="00A9775D" w:rsidRPr="001E08F7">
        <w:rPr>
          <w:rFonts w:cs="Times New Roman"/>
        </w:rPr>
        <w:t>Krimināllikuma 48. panta pirmās daļas 11.</w:t>
      </w:r>
      <w:r w:rsidR="00B673BB">
        <w:rPr>
          <w:rFonts w:cs="Times New Roman"/>
        </w:rPr>
        <w:t> </w:t>
      </w:r>
      <w:r w:rsidR="00A9775D" w:rsidRPr="001E08F7">
        <w:rPr>
          <w:rFonts w:cs="Times New Roman"/>
        </w:rPr>
        <w:t>punkt</w:t>
      </w:r>
      <w:r w:rsidR="00B47A36">
        <w:rPr>
          <w:rFonts w:cs="Times New Roman"/>
        </w:rPr>
        <w:t>ā norādītais atbildību pastiprinošais apstāklis –</w:t>
      </w:r>
      <w:r w:rsidR="003153D5">
        <w:rPr>
          <w:rFonts w:cs="Times New Roman"/>
        </w:rPr>
        <w:t xml:space="preserve"> </w:t>
      </w:r>
      <w:r w:rsidR="00A9775D" w:rsidRPr="001E08F7">
        <w:rPr>
          <w:rFonts w:cs="Times New Roman"/>
        </w:rPr>
        <w:t xml:space="preserve">noziedzīgais nodarījums izdarīts </w:t>
      </w:r>
      <w:r w:rsidR="00385A0A">
        <w:t>mantkārīgu tieksmju dēļ</w:t>
      </w:r>
      <w:r w:rsidR="00B47A36">
        <w:t xml:space="preserve"> –,</w:t>
      </w:r>
      <w:r w:rsidR="003153D5">
        <w:t xml:space="preserve"> </w:t>
      </w:r>
      <w:r w:rsidR="00A9775D" w:rsidRPr="001E08F7">
        <w:rPr>
          <w:rFonts w:cs="Times New Roman"/>
        </w:rPr>
        <w:t>kā arī Krimināllikuma 48. panta pirmās daļas 12. punkt</w:t>
      </w:r>
      <w:r w:rsidR="00B47A36">
        <w:rPr>
          <w:rFonts w:cs="Times New Roman"/>
        </w:rPr>
        <w:t>ā norādītais atbildību pastiprinošais apstāklis</w:t>
      </w:r>
      <w:r w:rsidR="00A9775D" w:rsidRPr="001E08F7">
        <w:rPr>
          <w:rFonts w:cs="Times New Roman"/>
        </w:rPr>
        <w:t xml:space="preserve"> – noziedzīgais nodarījums izdarīts narkotisko vielu ietekmē. Aizstāvis norādījis, ka nepiekrīt tiesu praksei</w:t>
      </w:r>
      <w:r w:rsidR="001D2B62" w:rsidRPr="001E08F7">
        <w:rPr>
          <w:rFonts w:cs="Times New Roman"/>
        </w:rPr>
        <w:t xml:space="preserve"> šajos jautājumos</w:t>
      </w:r>
      <w:r w:rsidR="00B47A36">
        <w:rPr>
          <w:rFonts w:cs="Times New Roman"/>
        </w:rPr>
        <w:t>, jo</w:t>
      </w:r>
      <w:r w:rsidR="007E37A6" w:rsidRPr="001E08F7">
        <w:rPr>
          <w:rFonts w:cs="Times New Roman"/>
        </w:rPr>
        <w:t xml:space="preserve"> mantkārīga nolūka kā īpaši sodāma nolūka izpratne krimināltiesībās ir saglabājusies no padomju laikiem, </w:t>
      </w:r>
      <w:r w:rsidR="00B47A36">
        <w:rPr>
          <w:rFonts w:cs="Times New Roman"/>
        </w:rPr>
        <w:t xml:space="preserve">un </w:t>
      </w:r>
      <w:r w:rsidR="007E37A6" w:rsidRPr="001E08F7">
        <w:rPr>
          <w:rFonts w:cs="Times New Roman"/>
        </w:rPr>
        <w:t>nav nekāda pamatojuma, kāpēc noziedzīgā nodarījuma izdarīšana mantkārīgā nolūkā būtu sliktāka vai labāka, vai vairāk bīstama nekā noziedzīgā nodarījuma izdarīšana, piemēram, aiz huligāniskiem vai sadistiskiem motīviem. Aizstāvis arī norādījis, ka atbildība par narkotisko vielu pārdošanu jau ir paredzēta Krimināllikuma 253.</w:t>
      </w:r>
      <w:r w:rsidR="007E37A6" w:rsidRPr="001E08F7">
        <w:rPr>
          <w:rFonts w:cs="Times New Roman"/>
          <w:vertAlign w:val="superscript"/>
        </w:rPr>
        <w:t>1 </w:t>
      </w:r>
      <w:r w:rsidR="007E37A6" w:rsidRPr="001E08F7">
        <w:rPr>
          <w:rFonts w:cs="Times New Roman"/>
        </w:rPr>
        <w:t>pantā, tādēļ mantkārība kā papildu atbildību pastiprinošs apstāklis nebūtu konstatējams.</w:t>
      </w:r>
      <w:r w:rsidR="002A7AE5">
        <w:rPr>
          <w:rFonts w:cs="Times New Roman"/>
        </w:rPr>
        <w:t xml:space="preserve"> </w:t>
      </w:r>
      <w:r w:rsidR="007E37A6" w:rsidRPr="001E08F7">
        <w:rPr>
          <w:rFonts w:cs="Times New Roman"/>
        </w:rPr>
        <w:t xml:space="preserve">Aizstāvis </w:t>
      </w:r>
      <w:r w:rsidR="002A7AE5">
        <w:rPr>
          <w:rFonts w:cs="Times New Roman"/>
        </w:rPr>
        <w:t>apgalvojis</w:t>
      </w:r>
      <w:r w:rsidR="007E37A6" w:rsidRPr="001E08F7">
        <w:rPr>
          <w:rFonts w:cs="Times New Roman"/>
        </w:rPr>
        <w:t>, ka par atbildību pastiprinošiem var atzīt tikai tādus apstākļus, kam ir ietekme uz noziedzīgo nodarījumu</w:t>
      </w:r>
      <w:r w:rsidR="00770FA0" w:rsidRPr="001E08F7">
        <w:rPr>
          <w:rFonts w:cs="Times New Roman"/>
        </w:rPr>
        <w:t xml:space="preserve">, padarot to bīstamāku vai kaitīgāku. Izskatāmajā lietā apstāklis, ka </w:t>
      </w:r>
      <w:r w:rsidR="00622278">
        <w:rPr>
          <w:rFonts w:cs="Times New Roman"/>
        </w:rPr>
        <w:t>[pers. B]</w:t>
      </w:r>
      <w:r w:rsidR="00770FA0" w:rsidRPr="001E08F7">
        <w:rPr>
          <w:rFonts w:cs="Times New Roman"/>
        </w:rPr>
        <w:t xml:space="preserve"> ķermenī konstatētas narkotiskās vielas lietošanas pēdas, noziedzīgo nodarījumu nekādi nav ietekmējis.</w:t>
      </w:r>
      <w:r w:rsidR="00222E1D" w:rsidRPr="001E08F7">
        <w:rPr>
          <w:rFonts w:cs="Times New Roman"/>
        </w:rPr>
        <w:t xml:space="preserve"> Turklāt par narkotisko vielu lietošanu </w:t>
      </w:r>
      <w:r w:rsidR="00622278">
        <w:rPr>
          <w:rFonts w:cs="Times New Roman"/>
        </w:rPr>
        <w:t>[pers. B]</w:t>
      </w:r>
      <w:r w:rsidR="00222E1D" w:rsidRPr="001E08F7">
        <w:rPr>
          <w:rFonts w:cs="Times New Roman"/>
        </w:rPr>
        <w:t xml:space="preserve"> ir saukts pie administratīvās atbildības, tādējādi atzīstot par atbildību pastiprinošu apstākli,</w:t>
      </w:r>
      <w:r w:rsidR="002A7AE5">
        <w:rPr>
          <w:rFonts w:cs="Times New Roman"/>
        </w:rPr>
        <w:t xml:space="preserve"> ka</w:t>
      </w:r>
      <w:r w:rsidR="00222E1D" w:rsidRPr="001E08F7">
        <w:rPr>
          <w:rFonts w:cs="Times New Roman"/>
        </w:rPr>
        <w:t xml:space="preserve"> noziedzīgais nodarījums izdarīts narkotisko vielu ietekmē, pieļauts personas dubultās sodīšanas aizlieguma pārkāpums.</w:t>
      </w:r>
    </w:p>
    <w:p w14:paraId="47DB5F36" w14:textId="517FCF7F" w:rsidR="00D5527B" w:rsidRPr="001E08F7" w:rsidRDefault="00D5527B" w:rsidP="00140E89">
      <w:pPr>
        <w:spacing w:after="0" w:line="276" w:lineRule="auto"/>
        <w:ind w:firstLine="720"/>
        <w:jc w:val="both"/>
        <w:rPr>
          <w:rFonts w:asciiTheme="majorBidi" w:hAnsiTheme="majorBidi" w:cstheme="majorBidi"/>
          <w:szCs w:val="24"/>
        </w:rPr>
      </w:pPr>
      <w:r w:rsidRPr="001E08F7">
        <w:rPr>
          <w:rFonts w:cs="Times New Roman"/>
        </w:rPr>
        <w:t xml:space="preserve">Senāts </w:t>
      </w:r>
      <w:r w:rsidR="002A7AE5" w:rsidRPr="001E08F7">
        <w:rPr>
          <w:rFonts w:asciiTheme="majorBidi" w:hAnsiTheme="majorBidi" w:cstheme="majorBidi"/>
          <w:szCs w:val="24"/>
        </w:rPr>
        <w:t xml:space="preserve">jau iepriekš </w:t>
      </w:r>
      <w:r w:rsidRPr="001E08F7">
        <w:rPr>
          <w:rFonts w:cs="Times New Roman"/>
        </w:rPr>
        <w:t>ir atzinis, ka i</w:t>
      </w:r>
      <w:r w:rsidRPr="001E08F7">
        <w:rPr>
          <w:rFonts w:asciiTheme="majorBidi" w:hAnsiTheme="majorBidi" w:cstheme="majorBidi"/>
          <w:szCs w:val="24"/>
        </w:rPr>
        <w:t>evērojot to, ka narkotisko vielu tālāk nodošana var notikt arī ar tādiem paņēmieniem, kuru mērķis nav materiālo labumu iegūšana vai izvairīšanās no materiāliem izdevumiem, atzīstams, ka mantkārība nav Krimināllikuma 253.</w:t>
      </w:r>
      <w:r w:rsidRPr="001E08F7">
        <w:rPr>
          <w:rFonts w:asciiTheme="majorBidi" w:hAnsiTheme="majorBidi" w:cstheme="majorBidi"/>
          <w:szCs w:val="24"/>
          <w:vertAlign w:val="superscript"/>
        </w:rPr>
        <w:t>1 </w:t>
      </w:r>
      <w:r w:rsidRPr="001E08F7">
        <w:rPr>
          <w:rFonts w:asciiTheme="majorBidi" w:hAnsiTheme="majorBidi" w:cstheme="majorBidi"/>
          <w:szCs w:val="24"/>
        </w:rPr>
        <w:t>pantā paredzētā noziedzīgā nodarījuma sastāva pazīme, tāpēc gadījumos, kad attiecīgās darbības veiktas aiz mantkārības, tiesa var konstatēt Krimināllikuma 48.</w:t>
      </w:r>
      <w:r w:rsidR="00530FA1">
        <w:rPr>
          <w:rFonts w:asciiTheme="majorBidi" w:hAnsiTheme="majorBidi" w:cstheme="majorBidi"/>
          <w:szCs w:val="24"/>
        </w:rPr>
        <w:t> </w:t>
      </w:r>
      <w:r w:rsidRPr="001E08F7">
        <w:rPr>
          <w:rFonts w:asciiTheme="majorBidi" w:hAnsiTheme="majorBidi" w:cstheme="majorBidi"/>
          <w:szCs w:val="24"/>
        </w:rPr>
        <w:t>panta pirmās daļas 11.</w:t>
      </w:r>
      <w:r w:rsidR="00530FA1">
        <w:rPr>
          <w:rFonts w:asciiTheme="majorBidi" w:hAnsiTheme="majorBidi" w:cstheme="majorBidi"/>
          <w:szCs w:val="24"/>
        </w:rPr>
        <w:t> </w:t>
      </w:r>
      <w:r w:rsidRPr="001E08F7">
        <w:rPr>
          <w:rFonts w:asciiTheme="majorBidi" w:hAnsiTheme="majorBidi" w:cstheme="majorBidi"/>
          <w:szCs w:val="24"/>
        </w:rPr>
        <w:t>punktā paredzēto atbildību pastiprinošo apstākli (</w:t>
      </w:r>
      <w:bookmarkStart w:id="4" w:name="_Hlk93315587"/>
      <w:r w:rsidR="00140E89" w:rsidRPr="00530FA1">
        <w:rPr>
          <w:rFonts w:eastAsia="Calibri" w:cs="Times New Roman"/>
          <w:i/>
          <w:iCs/>
          <w:szCs w:val="24"/>
        </w:rPr>
        <w:t>Senāta 2021.</w:t>
      </w:r>
      <w:r w:rsidR="00140E89">
        <w:rPr>
          <w:rFonts w:eastAsia="Calibri" w:cs="Times New Roman"/>
          <w:i/>
          <w:iCs/>
          <w:szCs w:val="24"/>
        </w:rPr>
        <w:t> </w:t>
      </w:r>
      <w:r w:rsidR="00140E89" w:rsidRPr="00530FA1">
        <w:rPr>
          <w:rFonts w:eastAsia="Calibri" w:cs="Times New Roman"/>
          <w:i/>
          <w:iCs/>
          <w:szCs w:val="24"/>
        </w:rPr>
        <w:t>gada 16.</w:t>
      </w:r>
      <w:r w:rsidR="00140E89">
        <w:rPr>
          <w:rFonts w:eastAsia="Calibri" w:cs="Times New Roman"/>
          <w:i/>
          <w:iCs/>
          <w:szCs w:val="24"/>
        </w:rPr>
        <w:t> </w:t>
      </w:r>
      <w:r w:rsidR="00140E89" w:rsidRPr="00530FA1">
        <w:rPr>
          <w:rFonts w:eastAsia="Calibri" w:cs="Times New Roman"/>
          <w:i/>
          <w:iCs/>
          <w:szCs w:val="24"/>
        </w:rPr>
        <w:t>novembra</w:t>
      </w:r>
      <w:r w:rsidR="00140E89">
        <w:rPr>
          <w:rFonts w:eastAsia="Calibri" w:cs="Times New Roman"/>
          <w:i/>
          <w:iCs/>
          <w:szCs w:val="24"/>
        </w:rPr>
        <w:t xml:space="preserve"> lēmuma lietā Nr. </w:t>
      </w:r>
      <w:hyperlink r:id="rId10" w:history="1">
        <w:r w:rsidR="00140E89" w:rsidRPr="00140E89">
          <w:rPr>
            <w:rStyle w:val="Hyperlink"/>
            <w:rFonts w:eastAsia="Calibri" w:cs="Times New Roman"/>
            <w:i/>
            <w:iCs/>
            <w:color w:val="000000" w:themeColor="text1"/>
            <w:szCs w:val="24"/>
            <w:u w:val="none"/>
          </w:rPr>
          <w:t>SKK-126/2021</w:t>
        </w:r>
      </w:hyperlink>
      <w:r w:rsidR="00140E89">
        <w:rPr>
          <w:rFonts w:eastAsia="Calibri" w:cs="Times New Roman"/>
          <w:i/>
          <w:iCs/>
          <w:szCs w:val="24"/>
        </w:rPr>
        <w:t>,</w:t>
      </w:r>
      <w:r w:rsidR="00140E89">
        <w:rPr>
          <w:rFonts w:eastAsia="Calibri" w:cs="Times New Roman"/>
          <w:bCs/>
          <w:i/>
          <w:iCs/>
          <w:szCs w:val="24"/>
        </w:rPr>
        <w:t xml:space="preserve"> </w:t>
      </w:r>
      <w:hyperlink r:id="rId11" w:history="1">
        <w:r w:rsidR="00140E89" w:rsidRPr="00140E89">
          <w:rPr>
            <w:rStyle w:val="Hyperlink"/>
            <w:rFonts w:eastAsia="Calibri" w:cs="Times New Roman"/>
            <w:bCs/>
            <w:i/>
            <w:iCs/>
            <w:szCs w:val="24"/>
          </w:rPr>
          <w:t>ECLI:LV:AT:2021:1116.11353039018.3.L</w:t>
        </w:r>
      </w:hyperlink>
      <w:r w:rsidR="00140E89" w:rsidRPr="00530FA1">
        <w:rPr>
          <w:rStyle w:val="Hyperlink"/>
          <w:rFonts w:cs="Times New Roman"/>
          <w:i/>
          <w:iCs/>
          <w:color w:val="auto"/>
          <w:szCs w:val="24"/>
          <w:u w:val="none"/>
          <w:shd w:val="clear" w:color="auto" w:fill="FFFFFF"/>
        </w:rPr>
        <w:t>,</w:t>
      </w:r>
      <w:r w:rsidR="00140E89">
        <w:rPr>
          <w:rStyle w:val="Hyperlink"/>
          <w:rFonts w:cs="Times New Roman"/>
          <w:i/>
          <w:iCs/>
          <w:color w:val="auto"/>
          <w:szCs w:val="24"/>
          <w:u w:val="none"/>
          <w:shd w:val="clear" w:color="auto" w:fill="FFFFFF"/>
        </w:rPr>
        <w:t xml:space="preserve"> </w:t>
      </w:r>
      <w:r w:rsidR="00140E89" w:rsidRPr="00530FA1">
        <w:rPr>
          <w:rFonts w:asciiTheme="majorBidi" w:hAnsiTheme="majorBidi" w:cstheme="majorBidi"/>
          <w:i/>
          <w:iCs/>
          <w:szCs w:val="24"/>
        </w:rPr>
        <w:t>6.1.</w:t>
      </w:r>
      <w:r w:rsidR="00140E89">
        <w:rPr>
          <w:rFonts w:asciiTheme="majorBidi" w:hAnsiTheme="majorBidi" w:cstheme="majorBidi"/>
          <w:i/>
          <w:iCs/>
          <w:szCs w:val="24"/>
        </w:rPr>
        <w:t> </w:t>
      </w:r>
      <w:r w:rsidR="00140E89" w:rsidRPr="00530FA1">
        <w:rPr>
          <w:rFonts w:asciiTheme="majorBidi" w:hAnsiTheme="majorBidi" w:cstheme="majorBidi"/>
          <w:i/>
          <w:iCs/>
          <w:szCs w:val="24"/>
        </w:rPr>
        <w:t>p</w:t>
      </w:r>
      <w:r w:rsidR="00140E89">
        <w:rPr>
          <w:rFonts w:asciiTheme="majorBidi" w:hAnsiTheme="majorBidi" w:cstheme="majorBidi"/>
          <w:i/>
          <w:iCs/>
          <w:szCs w:val="24"/>
        </w:rPr>
        <w:t>unkts</w:t>
      </w:r>
      <w:r w:rsidR="00140E89">
        <w:rPr>
          <w:rFonts w:asciiTheme="majorBidi" w:hAnsiTheme="majorBidi" w:cstheme="majorBidi"/>
          <w:szCs w:val="24"/>
        </w:rPr>
        <w:t xml:space="preserve">, </w:t>
      </w:r>
      <w:r w:rsidR="00530FA1">
        <w:rPr>
          <w:rFonts w:asciiTheme="majorBidi" w:hAnsiTheme="majorBidi" w:cstheme="majorBidi"/>
          <w:i/>
          <w:iCs/>
          <w:szCs w:val="24"/>
        </w:rPr>
        <w:t>Senāta</w:t>
      </w:r>
      <w:r w:rsidRPr="001E08F7">
        <w:rPr>
          <w:rFonts w:asciiTheme="majorBidi" w:hAnsiTheme="majorBidi" w:cstheme="majorBidi"/>
          <w:i/>
          <w:iCs/>
          <w:szCs w:val="24"/>
        </w:rPr>
        <w:t xml:space="preserve"> 2014.</w:t>
      </w:r>
      <w:r w:rsidR="00530FA1">
        <w:rPr>
          <w:rFonts w:asciiTheme="majorBidi" w:hAnsiTheme="majorBidi" w:cstheme="majorBidi"/>
          <w:i/>
          <w:iCs/>
          <w:szCs w:val="24"/>
        </w:rPr>
        <w:t> </w:t>
      </w:r>
      <w:r w:rsidRPr="001E08F7">
        <w:rPr>
          <w:rFonts w:asciiTheme="majorBidi" w:hAnsiTheme="majorBidi" w:cstheme="majorBidi"/>
          <w:i/>
          <w:iCs/>
          <w:szCs w:val="24"/>
        </w:rPr>
        <w:t>gada 14.</w:t>
      </w:r>
      <w:r w:rsidR="00530FA1">
        <w:rPr>
          <w:rFonts w:asciiTheme="majorBidi" w:hAnsiTheme="majorBidi" w:cstheme="majorBidi"/>
          <w:i/>
          <w:iCs/>
          <w:szCs w:val="24"/>
        </w:rPr>
        <w:t> </w:t>
      </w:r>
      <w:r w:rsidRPr="001E08F7">
        <w:rPr>
          <w:rFonts w:asciiTheme="majorBidi" w:hAnsiTheme="majorBidi" w:cstheme="majorBidi"/>
          <w:i/>
          <w:iCs/>
          <w:szCs w:val="24"/>
        </w:rPr>
        <w:t>marta lēmums lietā Nr. </w:t>
      </w:r>
      <w:hyperlink r:id="rId12" w:history="1">
        <w:r w:rsidRPr="00AC3606">
          <w:rPr>
            <w:rStyle w:val="Hyperlink"/>
            <w:rFonts w:asciiTheme="majorBidi" w:hAnsiTheme="majorBidi" w:cstheme="majorBidi"/>
            <w:i/>
            <w:iCs/>
            <w:szCs w:val="24"/>
          </w:rPr>
          <w:t>SKK-56/2014</w:t>
        </w:r>
      </w:hyperlink>
      <w:r w:rsidR="00530FA1">
        <w:rPr>
          <w:rFonts w:asciiTheme="majorBidi" w:hAnsiTheme="majorBidi" w:cstheme="majorBidi"/>
          <w:i/>
          <w:iCs/>
          <w:szCs w:val="24"/>
        </w:rPr>
        <w:t xml:space="preserve">, </w:t>
      </w:r>
      <w:r w:rsidRPr="001E08F7">
        <w:rPr>
          <w:rFonts w:asciiTheme="majorBidi" w:hAnsiTheme="majorBidi" w:cstheme="majorBidi"/>
          <w:i/>
          <w:iCs/>
          <w:szCs w:val="24"/>
        </w:rPr>
        <w:t>11815005009</w:t>
      </w:r>
      <w:r w:rsidRPr="001E08F7">
        <w:rPr>
          <w:rFonts w:asciiTheme="majorBidi" w:hAnsiTheme="majorBidi" w:cstheme="majorBidi"/>
          <w:szCs w:val="24"/>
        </w:rPr>
        <w:t xml:space="preserve">). </w:t>
      </w:r>
      <w:bookmarkEnd w:id="4"/>
    </w:p>
    <w:p w14:paraId="4651B850" w14:textId="77777777" w:rsidR="00F576C9" w:rsidRDefault="00D5527B" w:rsidP="00F576C9">
      <w:pPr>
        <w:pStyle w:val="NoSpacing"/>
        <w:spacing w:line="276" w:lineRule="auto"/>
        <w:ind w:firstLine="709"/>
        <w:jc w:val="both"/>
        <w:rPr>
          <w:rFonts w:asciiTheme="majorBidi" w:hAnsiTheme="majorBidi" w:cstheme="majorBidi"/>
          <w:szCs w:val="24"/>
        </w:rPr>
      </w:pPr>
      <w:r w:rsidRPr="001E08F7">
        <w:rPr>
          <w:rFonts w:asciiTheme="majorBidi" w:hAnsiTheme="majorBidi" w:cstheme="majorBidi"/>
          <w:szCs w:val="24"/>
        </w:rPr>
        <w:t xml:space="preserve">Senāts </w:t>
      </w:r>
      <w:r w:rsidR="001D2B62" w:rsidRPr="001E08F7">
        <w:rPr>
          <w:rFonts w:asciiTheme="majorBidi" w:hAnsiTheme="majorBidi" w:cstheme="majorBidi"/>
          <w:szCs w:val="24"/>
        </w:rPr>
        <w:t xml:space="preserve">arī </w:t>
      </w:r>
      <w:r w:rsidRPr="001E08F7">
        <w:rPr>
          <w:rFonts w:asciiTheme="majorBidi" w:hAnsiTheme="majorBidi" w:cstheme="majorBidi"/>
          <w:szCs w:val="24"/>
        </w:rPr>
        <w:t>norādījis, ka no Krimināllikuma 48.</w:t>
      </w:r>
      <w:r w:rsidR="001D2B62" w:rsidRPr="001E08F7">
        <w:rPr>
          <w:rFonts w:asciiTheme="majorBidi" w:hAnsiTheme="majorBidi" w:cstheme="majorBidi"/>
          <w:szCs w:val="24"/>
        </w:rPr>
        <w:t> </w:t>
      </w:r>
      <w:r w:rsidRPr="001E08F7">
        <w:rPr>
          <w:rFonts w:asciiTheme="majorBidi" w:hAnsiTheme="majorBidi" w:cstheme="majorBidi"/>
          <w:szCs w:val="24"/>
        </w:rPr>
        <w:t>panta pirmās daļas 12.</w:t>
      </w:r>
      <w:r w:rsidR="002A7AE5">
        <w:rPr>
          <w:rFonts w:asciiTheme="majorBidi" w:hAnsiTheme="majorBidi" w:cstheme="majorBidi"/>
          <w:szCs w:val="24"/>
        </w:rPr>
        <w:t> </w:t>
      </w:r>
      <w:r w:rsidRPr="001E08F7">
        <w:rPr>
          <w:rFonts w:asciiTheme="majorBidi" w:hAnsiTheme="majorBidi" w:cstheme="majorBidi"/>
          <w:szCs w:val="24"/>
        </w:rPr>
        <w:t xml:space="preserve">punkta normas satura un jēgas izriet, ka šajā likuma normā paredzētā atbildību pastiprinoša apstākļa konstatēšana ir saistīta tikai ar fakta konstatēšanu, ka noziedzīgā nodarījuma izdarīšanas laikā vainīgā persona atradusies alkohola, narkotisko, psihotropo, toksisko vai citu apreibinošu vielu ietekmē </w:t>
      </w:r>
      <w:r w:rsidR="00F576C9" w:rsidRPr="001E08F7">
        <w:rPr>
          <w:rFonts w:asciiTheme="majorBidi" w:hAnsiTheme="majorBidi" w:cstheme="majorBidi"/>
          <w:szCs w:val="24"/>
        </w:rPr>
        <w:t>(</w:t>
      </w:r>
      <w:r w:rsidR="00F576C9">
        <w:rPr>
          <w:rFonts w:asciiTheme="majorBidi" w:hAnsiTheme="majorBidi" w:cstheme="majorBidi"/>
          <w:i/>
          <w:iCs/>
          <w:szCs w:val="24"/>
        </w:rPr>
        <w:t>Senāta</w:t>
      </w:r>
      <w:r w:rsidR="00F576C9" w:rsidRPr="001E08F7">
        <w:rPr>
          <w:rFonts w:asciiTheme="majorBidi" w:hAnsiTheme="majorBidi" w:cstheme="majorBidi"/>
          <w:i/>
          <w:iCs/>
          <w:szCs w:val="24"/>
        </w:rPr>
        <w:t xml:space="preserve"> 2012.</w:t>
      </w:r>
      <w:r w:rsidR="00F576C9">
        <w:t> </w:t>
      </w:r>
      <w:r w:rsidR="00F576C9" w:rsidRPr="001E08F7">
        <w:rPr>
          <w:rFonts w:asciiTheme="majorBidi" w:hAnsiTheme="majorBidi" w:cstheme="majorBidi"/>
          <w:i/>
          <w:iCs/>
          <w:szCs w:val="24"/>
        </w:rPr>
        <w:t>gada 8.</w:t>
      </w:r>
      <w:r w:rsidR="00F576C9">
        <w:rPr>
          <w:rFonts w:asciiTheme="majorBidi" w:hAnsiTheme="majorBidi" w:cstheme="majorBidi"/>
          <w:i/>
          <w:iCs/>
          <w:szCs w:val="24"/>
        </w:rPr>
        <w:t> </w:t>
      </w:r>
      <w:r w:rsidR="00F576C9" w:rsidRPr="001E08F7">
        <w:rPr>
          <w:rFonts w:asciiTheme="majorBidi" w:hAnsiTheme="majorBidi" w:cstheme="majorBidi"/>
          <w:i/>
          <w:iCs/>
          <w:szCs w:val="24"/>
        </w:rPr>
        <w:t>novembra lēmums lietā Nr. </w:t>
      </w:r>
      <w:hyperlink r:id="rId13" w:history="1">
        <w:r w:rsidR="00F576C9" w:rsidRPr="00955C72">
          <w:rPr>
            <w:rStyle w:val="Hyperlink"/>
            <w:rFonts w:asciiTheme="majorBidi" w:hAnsiTheme="majorBidi" w:cstheme="majorBidi"/>
            <w:i/>
            <w:iCs/>
            <w:szCs w:val="24"/>
          </w:rPr>
          <w:t>SKK-456/2012</w:t>
        </w:r>
      </w:hyperlink>
      <w:r w:rsidR="00F576C9">
        <w:rPr>
          <w:rFonts w:asciiTheme="majorBidi" w:hAnsiTheme="majorBidi" w:cstheme="majorBidi"/>
          <w:i/>
          <w:iCs/>
          <w:szCs w:val="24"/>
        </w:rPr>
        <w:t>,</w:t>
      </w:r>
      <w:r w:rsidR="00F576C9" w:rsidRPr="001E08F7">
        <w:rPr>
          <w:rFonts w:asciiTheme="majorBidi" w:hAnsiTheme="majorBidi" w:cstheme="majorBidi"/>
          <w:i/>
          <w:iCs/>
          <w:szCs w:val="24"/>
        </w:rPr>
        <w:t>11221085210</w:t>
      </w:r>
      <w:r w:rsidR="00F576C9" w:rsidRPr="001E08F7">
        <w:rPr>
          <w:rFonts w:asciiTheme="majorBidi" w:hAnsiTheme="majorBidi" w:cstheme="majorBidi"/>
          <w:szCs w:val="24"/>
        </w:rPr>
        <w:t xml:space="preserve">). </w:t>
      </w:r>
    </w:p>
    <w:p w14:paraId="3E47E749" w14:textId="1D0EC564" w:rsidR="00D5527B" w:rsidRPr="001C09CF" w:rsidRDefault="001D2B62" w:rsidP="00F576C9">
      <w:pPr>
        <w:pStyle w:val="NoSpacing"/>
        <w:spacing w:line="276" w:lineRule="auto"/>
        <w:ind w:firstLine="709"/>
        <w:jc w:val="both"/>
        <w:rPr>
          <w:rFonts w:cs="Times New Roman"/>
          <w:szCs w:val="24"/>
        </w:rPr>
      </w:pPr>
      <w:r w:rsidRPr="001E08F7">
        <w:rPr>
          <w:rFonts w:asciiTheme="majorBidi" w:hAnsiTheme="majorBidi" w:cstheme="majorBidi"/>
          <w:szCs w:val="24"/>
        </w:rPr>
        <w:t xml:space="preserve">Tāpat </w:t>
      </w:r>
      <w:r w:rsidR="00D5527B" w:rsidRPr="001E08F7">
        <w:rPr>
          <w:rFonts w:asciiTheme="majorBidi" w:hAnsiTheme="majorBidi" w:cstheme="majorBidi"/>
          <w:szCs w:val="24"/>
        </w:rPr>
        <w:t xml:space="preserve">Senāts jau iepriekš </w:t>
      </w:r>
      <w:r w:rsidRPr="001E08F7">
        <w:rPr>
          <w:rFonts w:asciiTheme="majorBidi" w:hAnsiTheme="majorBidi" w:cstheme="majorBidi"/>
          <w:szCs w:val="24"/>
        </w:rPr>
        <w:t>atzinis</w:t>
      </w:r>
      <w:r w:rsidR="00D5527B" w:rsidRPr="001E08F7">
        <w:rPr>
          <w:rFonts w:asciiTheme="majorBidi" w:hAnsiTheme="majorBidi" w:cstheme="majorBidi"/>
          <w:szCs w:val="24"/>
        </w:rPr>
        <w:t>, ka atbildību pastiprinoša apstākļa konstatēšana saskaņā ar Krimināllikuma 48.</w:t>
      </w:r>
      <w:r w:rsidRPr="001E08F7">
        <w:rPr>
          <w:rFonts w:asciiTheme="majorBidi" w:hAnsiTheme="majorBidi" w:cstheme="majorBidi"/>
          <w:szCs w:val="24"/>
        </w:rPr>
        <w:t> </w:t>
      </w:r>
      <w:r w:rsidR="00D5527B" w:rsidRPr="001E08F7">
        <w:rPr>
          <w:rFonts w:asciiTheme="majorBidi" w:hAnsiTheme="majorBidi" w:cstheme="majorBidi"/>
          <w:szCs w:val="24"/>
        </w:rPr>
        <w:t>panta prasībām nav personas sodīšana Kriminālprocesa likuma 25.</w:t>
      </w:r>
      <w:r w:rsidRPr="001E08F7">
        <w:rPr>
          <w:rFonts w:asciiTheme="majorBidi" w:hAnsiTheme="majorBidi" w:cstheme="majorBidi"/>
          <w:szCs w:val="24"/>
        </w:rPr>
        <w:t> </w:t>
      </w:r>
      <w:r w:rsidR="00D5527B" w:rsidRPr="001E08F7">
        <w:rPr>
          <w:rFonts w:asciiTheme="majorBidi" w:hAnsiTheme="majorBidi" w:cstheme="majorBidi"/>
          <w:szCs w:val="24"/>
        </w:rPr>
        <w:t>panta izpratnē</w:t>
      </w:r>
      <w:r w:rsidR="00C85192">
        <w:rPr>
          <w:rFonts w:asciiTheme="majorBidi" w:hAnsiTheme="majorBidi" w:cstheme="majorBidi"/>
          <w:szCs w:val="24"/>
        </w:rPr>
        <w:t xml:space="preserve"> </w:t>
      </w:r>
      <w:r w:rsidR="00D5527B" w:rsidRPr="001E08F7">
        <w:rPr>
          <w:rFonts w:asciiTheme="majorBidi" w:hAnsiTheme="majorBidi" w:cstheme="majorBidi"/>
          <w:szCs w:val="24"/>
        </w:rPr>
        <w:t>(</w:t>
      </w:r>
      <w:r w:rsidR="007750F1">
        <w:rPr>
          <w:rFonts w:asciiTheme="majorBidi" w:hAnsiTheme="majorBidi" w:cstheme="majorBidi"/>
          <w:i/>
          <w:iCs/>
          <w:szCs w:val="24"/>
        </w:rPr>
        <w:t>Senāta</w:t>
      </w:r>
      <w:r w:rsidR="00D5527B" w:rsidRPr="001E08F7">
        <w:rPr>
          <w:rFonts w:asciiTheme="majorBidi" w:hAnsiTheme="majorBidi" w:cstheme="majorBidi"/>
          <w:i/>
          <w:iCs/>
          <w:szCs w:val="24"/>
        </w:rPr>
        <w:t xml:space="preserve"> 2012.</w:t>
      </w:r>
      <w:r w:rsidR="007750F1">
        <w:t> </w:t>
      </w:r>
      <w:r w:rsidR="00D5527B" w:rsidRPr="001E08F7">
        <w:rPr>
          <w:rFonts w:asciiTheme="majorBidi" w:hAnsiTheme="majorBidi" w:cstheme="majorBidi"/>
          <w:i/>
          <w:iCs/>
          <w:szCs w:val="24"/>
        </w:rPr>
        <w:t>gada 8.</w:t>
      </w:r>
      <w:r w:rsidR="007750F1">
        <w:rPr>
          <w:rFonts w:asciiTheme="majorBidi" w:hAnsiTheme="majorBidi" w:cstheme="majorBidi"/>
          <w:i/>
          <w:iCs/>
          <w:szCs w:val="24"/>
        </w:rPr>
        <w:t> </w:t>
      </w:r>
      <w:r w:rsidR="00D5527B" w:rsidRPr="001E08F7">
        <w:rPr>
          <w:rFonts w:asciiTheme="majorBidi" w:hAnsiTheme="majorBidi" w:cstheme="majorBidi"/>
          <w:i/>
          <w:iCs/>
          <w:szCs w:val="24"/>
        </w:rPr>
        <w:t>novembra lēmums lietā Nr. </w:t>
      </w:r>
      <w:hyperlink r:id="rId14" w:history="1">
        <w:r w:rsidR="00D5527B" w:rsidRPr="00955C72">
          <w:rPr>
            <w:rStyle w:val="Hyperlink"/>
            <w:rFonts w:asciiTheme="majorBidi" w:hAnsiTheme="majorBidi" w:cstheme="majorBidi"/>
            <w:i/>
            <w:iCs/>
            <w:szCs w:val="24"/>
          </w:rPr>
          <w:t>SKK-456/2012</w:t>
        </w:r>
      </w:hyperlink>
      <w:r w:rsidR="00955C72">
        <w:rPr>
          <w:rFonts w:asciiTheme="majorBidi" w:hAnsiTheme="majorBidi" w:cstheme="majorBidi"/>
          <w:i/>
          <w:iCs/>
          <w:szCs w:val="24"/>
        </w:rPr>
        <w:t>,</w:t>
      </w:r>
      <w:r w:rsidR="00D5527B" w:rsidRPr="001E08F7">
        <w:rPr>
          <w:rFonts w:asciiTheme="majorBidi" w:hAnsiTheme="majorBidi" w:cstheme="majorBidi"/>
          <w:i/>
          <w:iCs/>
          <w:szCs w:val="24"/>
        </w:rPr>
        <w:t>11221085210</w:t>
      </w:r>
      <w:r w:rsidR="00D5527B" w:rsidRPr="001E08F7">
        <w:rPr>
          <w:rFonts w:asciiTheme="majorBidi" w:hAnsiTheme="majorBidi" w:cstheme="majorBidi"/>
          <w:szCs w:val="24"/>
        </w:rPr>
        <w:t>). Saistībā ar Krimināllikuma 253.</w:t>
      </w:r>
      <w:r w:rsidR="00D5527B" w:rsidRPr="001E08F7">
        <w:rPr>
          <w:rFonts w:asciiTheme="majorBidi" w:hAnsiTheme="majorBidi" w:cstheme="majorBidi"/>
          <w:szCs w:val="24"/>
          <w:vertAlign w:val="superscript"/>
        </w:rPr>
        <w:t>1 </w:t>
      </w:r>
      <w:r w:rsidR="00D5527B" w:rsidRPr="001E08F7">
        <w:rPr>
          <w:rFonts w:asciiTheme="majorBidi" w:hAnsiTheme="majorBidi" w:cstheme="majorBidi"/>
          <w:szCs w:val="24"/>
        </w:rPr>
        <w:t xml:space="preserve">pantā paredzēto noziedzīgo nodarījumu jāņem vērā, ka administratīvā pārkāpuma lietā </w:t>
      </w:r>
      <w:r w:rsidR="00D5527B" w:rsidRPr="001C09CF">
        <w:rPr>
          <w:rFonts w:cs="Times New Roman"/>
          <w:szCs w:val="24"/>
        </w:rPr>
        <w:t>persona tiek sodīta par narkotisko vai psihotropo vielu neatļautu lietošanu, savukārt kriminālprocesā Krimināllikuma 48.</w:t>
      </w:r>
      <w:r w:rsidRPr="001C09CF">
        <w:rPr>
          <w:rFonts w:cs="Times New Roman"/>
          <w:szCs w:val="24"/>
        </w:rPr>
        <w:t> </w:t>
      </w:r>
      <w:r w:rsidR="00D5527B" w:rsidRPr="001C09CF">
        <w:rPr>
          <w:rFonts w:cs="Times New Roman"/>
          <w:szCs w:val="24"/>
        </w:rPr>
        <w:t>panta pirmās daļas 12.</w:t>
      </w:r>
      <w:r w:rsidR="00C85192" w:rsidRPr="001C09CF">
        <w:rPr>
          <w:rFonts w:cs="Times New Roman"/>
          <w:szCs w:val="24"/>
        </w:rPr>
        <w:t> </w:t>
      </w:r>
      <w:r w:rsidR="00D5527B" w:rsidRPr="001C09CF">
        <w:rPr>
          <w:rFonts w:cs="Times New Roman"/>
          <w:szCs w:val="24"/>
        </w:rPr>
        <w:t xml:space="preserve">punktā norādītais atbildību pastiprinošais apstāklis tiek konstatēts, ja persona, </w:t>
      </w:r>
      <w:proofErr w:type="gramStart"/>
      <w:r w:rsidR="00D5527B" w:rsidRPr="001C09CF">
        <w:rPr>
          <w:rFonts w:cs="Times New Roman"/>
          <w:szCs w:val="24"/>
        </w:rPr>
        <w:t>atrodoties šo</w:t>
      </w:r>
      <w:proofErr w:type="gramEnd"/>
      <w:r w:rsidR="00D5527B" w:rsidRPr="001C09CF">
        <w:rPr>
          <w:rFonts w:cs="Times New Roman"/>
          <w:szCs w:val="24"/>
        </w:rPr>
        <w:t xml:space="preserve"> vielu ietekmē, ir izdarījusi noziedzīgu nodarījumu (</w:t>
      </w:r>
      <w:r w:rsidR="00955C72" w:rsidRPr="001C09CF">
        <w:rPr>
          <w:rFonts w:eastAsia="Calibri" w:cs="Times New Roman"/>
          <w:i/>
          <w:iCs/>
          <w:szCs w:val="24"/>
        </w:rPr>
        <w:t xml:space="preserve">Senāta </w:t>
      </w:r>
      <w:r w:rsidR="00D5527B" w:rsidRPr="001C09CF">
        <w:rPr>
          <w:rFonts w:eastAsia="Calibri" w:cs="Times New Roman"/>
          <w:i/>
          <w:iCs/>
          <w:szCs w:val="24"/>
        </w:rPr>
        <w:t>2021.</w:t>
      </w:r>
      <w:r w:rsidR="00955C72" w:rsidRPr="001C09CF">
        <w:rPr>
          <w:rFonts w:eastAsia="Calibri" w:cs="Times New Roman"/>
          <w:i/>
          <w:iCs/>
          <w:szCs w:val="24"/>
        </w:rPr>
        <w:t> </w:t>
      </w:r>
      <w:r w:rsidR="00D5527B" w:rsidRPr="001C09CF">
        <w:rPr>
          <w:rFonts w:eastAsia="Calibri" w:cs="Times New Roman"/>
          <w:i/>
          <w:iCs/>
          <w:szCs w:val="24"/>
        </w:rPr>
        <w:t>gada 16.</w:t>
      </w:r>
      <w:r w:rsidR="00955C72" w:rsidRPr="001C09CF">
        <w:rPr>
          <w:rFonts w:eastAsia="Calibri" w:cs="Times New Roman"/>
          <w:i/>
          <w:iCs/>
          <w:szCs w:val="24"/>
        </w:rPr>
        <w:t> </w:t>
      </w:r>
      <w:r w:rsidR="00D5527B" w:rsidRPr="001C09CF">
        <w:rPr>
          <w:rFonts w:eastAsia="Calibri" w:cs="Times New Roman"/>
          <w:i/>
          <w:iCs/>
          <w:szCs w:val="24"/>
        </w:rPr>
        <w:t>novembra</w:t>
      </w:r>
      <w:r w:rsidR="00955C72" w:rsidRPr="001C09CF">
        <w:rPr>
          <w:rFonts w:eastAsia="Calibri" w:cs="Times New Roman"/>
          <w:i/>
          <w:iCs/>
          <w:szCs w:val="24"/>
        </w:rPr>
        <w:t xml:space="preserve"> lēmuma lietā </w:t>
      </w:r>
      <w:r w:rsidR="00D5527B" w:rsidRPr="001C09CF">
        <w:rPr>
          <w:rFonts w:eastAsia="Calibri" w:cs="Times New Roman"/>
          <w:i/>
          <w:iCs/>
          <w:szCs w:val="24"/>
        </w:rPr>
        <w:t>Nr.</w:t>
      </w:r>
      <w:r w:rsidR="00955C72" w:rsidRPr="001C09CF">
        <w:rPr>
          <w:rFonts w:eastAsia="Calibri" w:cs="Times New Roman"/>
          <w:i/>
          <w:iCs/>
          <w:szCs w:val="24"/>
        </w:rPr>
        <w:t> </w:t>
      </w:r>
      <w:hyperlink r:id="rId15" w:history="1">
        <w:r w:rsidR="00955C72" w:rsidRPr="001C09CF">
          <w:rPr>
            <w:rStyle w:val="Hyperlink"/>
            <w:rFonts w:eastAsia="Calibri" w:cs="Times New Roman"/>
            <w:i/>
            <w:iCs/>
            <w:color w:val="000000" w:themeColor="text1"/>
            <w:szCs w:val="24"/>
            <w:u w:val="none"/>
          </w:rPr>
          <w:t>SKK-126/2021</w:t>
        </w:r>
      </w:hyperlink>
      <w:r w:rsidR="00955C72" w:rsidRPr="001C09CF">
        <w:rPr>
          <w:rFonts w:eastAsia="Calibri" w:cs="Times New Roman"/>
          <w:i/>
          <w:iCs/>
          <w:color w:val="000000" w:themeColor="text1"/>
          <w:szCs w:val="24"/>
        </w:rPr>
        <w:t>,</w:t>
      </w:r>
      <w:r w:rsidR="00A141F1" w:rsidRPr="001C09CF">
        <w:rPr>
          <w:rFonts w:eastAsia="Calibri" w:cs="Times New Roman"/>
          <w:i/>
          <w:iCs/>
          <w:szCs w:val="24"/>
        </w:rPr>
        <w:t xml:space="preserve"> </w:t>
      </w:r>
      <w:hyperlink r:id="rId16" w:history="1">
        <w:r w:rsidR="00140E89" w:rsidRPr="001C09CF">
          <w:rPr>
            <w:rStyle w:val="Hyperlink"/>
            <w:rFonts w:eastAsia="Calibri" w:cs="Times New Roman"/>
            <w:bCs/>
            <w:i/>
            <w:iCs/>
            <w:szCs w:val="24"/>
          </w:rPr>
          <w:t>ECLI:LV:AT:2021:1116.11353039018.3.L</w:t>
        </w:r>
      </w:hyperlink>
      <w:r w:rsidR="00C85192" w:rsidRPr="001C09CF">
        <w:rPr>
          <w:rStyle w:val="Hyperlink"/>
          <w:rFonts w:cs="Times New Roman"/>
          <w:i/>
          <w:iCs/>
          <w:color w:val="auto"/>
          <w:szCs w:val="24"/>
          <w:u w:val="none"/>
          <w:shd w:val="clear" w:color="auto" w:fill="FFFFFF"/>
        </w:rPr>
        <w:t>,</w:t>
      </w:r>
      <w:r w:rsidR="00D5527B" w:rsidRPr="001C09CF">
        <w:rPr>
          <w:rStyle w:val="Hyperlink"/>
          <w:rFonts w:cs="Times New Roman"/>
          <w:i/>
          <w:iCs/>
          <w:color w:val="auto"/>
          <w:szCs w:val="24"/>
          <w:u w:val="none"/>
          <w:shd w:val="clear" w:color="auto" w:fill="FFFFFF"/>
        </w:rPr>
        <w:t xml:space="preserve"> </w:t>
      </w:r>
      <w:r w:rsidR="00D5527B" w:rsidRPr="001C09CF">
        <w:rPr>
          <w:rFonts w:cs="Times New Roman"/>
          <w:i/>
          <w:iCs/>
          <w:szCs w:val="24"/>
        </w:rPr>
        <w:t>6.2.</w:t>
      </w:r>
      <w:r w:rsidR="00955C72" w:rsidRPr="001C09CF">
        <w:rPr>
          <w:rFonts w:cs="Times New Roman"/>
          <w:i/>
          <w:iCs/>
          <w:szCs w:val="24"/>
        </w:rPr>
        <w:t> </w:t>
      </w:r>
      <w:r w:rsidR="00D5527B" w:rsidRPr="001C09CF">
        <w:rPr>
          <w:rFonts w:cs="Times New Roman"/>
          <w:i/>
          <w:iCs/>
          <w:szCs w:val="24"/>
        </w:rPr>
        <w:t>p</w:t>
      </w:r>
      <w:r w:rsidR="00955C72" w:rsidRPr="001C09CF">
        <w:rPr>
          <w:rFonts w:cs="Times New Roman"/>
          <w:i/>
          <w:iCs/>
          <w:szCs w:val="24"/>
        </w:rPr>
        <w:t>unkts</w:t>
      </w:r>
      <w:r w:rsidR="00D5527B" w:rsidRPr="001C09CF">
        <w:rPr>
          <w:rFonts w:cs="Times New Roman"/>
          <w:szCs w:val="24"/>
        </w:rPr>
        <w:t>).</w:t>
      </w:r>
    </w:p>
    <w:p w14:paraId="19B11210" w14:textId="10CB6819" w:rsidR="001D2B62" w:rsidRPr="001C09CF" w:rsidRDefault="001D2B62" w:rsidP="001D2B62">
      <w:pPr>
        <w:spacing w:after="0" w:line="276" w:lineRule="auto"/>
        <w:ind w:firstLine="720"/>
        <w:jc w:val="both"/>
        <w:rPr>
          <w:rFonts w:cs="Times New Roman"/>
        </w:rPr>
      </w:pPr>
      <w:r w:rsidRPr="001C09CF">
        <w:rPr>
          <w:rFonts w:cs="Times New Roman"/>
        </w:rPr>
        <w:t xml:space="preserve">Ievērojot minēto, Senāts atzīst, ka kasācijas sūdzībā norādītajos tiesību normu piemērošanas jautājumos ir izveidojusies Augstākās tiesas judikatūra un pārsūdzētais nolēmums tai atbilst. Savukārt </w:t>
      </w:r>
      <w:r w:rsidR="00DC237D" w:rsidRPr="001C09CF">
        <w:rPr>
          <w:rFonts w:cs="Times New Roman"/>
        </w:rPr>
        <w:t>kasācijas sūdzības iesniedzēja citādam viedoklim nav izšķirošas nozīmes atbildību pastiprinošu apstākļu konstatēšanā.</w:t>
      </w:r>
    </w:p>
    <w:p w14:paraId="465CC431" w14:textId="0D30DBBE" w:rsidR="00026681" w:rsidRPr="001E08F7" w:rsidRDefault="00026681" w:rsidP="00026681">
      <w:pPr>
        <w:pStyle w:val="NoSpacing"/>
        <w:spacing w:line="276" w:lineRule="auto"/>
        <w:ind w:firstLine="709"/>
        <w:jc w:val="both"/>
        <w:rPr>
          <w:rFonts w:asciiTheme="majorBidi" w:hAnsiTheme="majorBidi" w:cstheme="majorBidi"/>
          <w:szCs w:val="24"/>
        </w:rPr>
      </w:pPr>
      <w:r w:rsidRPr="001C09CF">
        <w:rPr>
          <w:rFonts w:cs="Times New Roman"/>
          <w:szCs w:val="24"/>
        </w:rPr>
        <w:t>Tādējādi šajā daļā konstatējams Kriminālprocesa likuma 573.</w:t>
      </w:r>
      <w:r w:rsidRPr="001C09CF">
        <w:rPr>
          <w:rFonts w:cs="Times New Roman"/>
          <w:szCs w:val="24"/>
          <w:vertAlign w:val="superscript"/>
        </w:rPr>
        <w:t>1</w:t>
      </w:r>
      <w:r w:rsidRPr="001C09CF">
        <w:rPr>
          <w:rFonts w:cs="Times New Roman"/>
          <w:szCs w:val="24"/>
        </w:rPr>
        <w:t xml:space="preserve"> panta </w:t>
      </w:r>
      <w:bookmarkStart w:id="5" w:name="_Hlk151634547"/>
      <w:r w:rsidRPr="001C09CF">
        <w:rPr>
          <w:rFonts w:cs="Times New Roman"/>
          <w:szCs w:val="24"/>
          <w14:ligatures w14:val="standardContextual"/>
        </w:rPr>
        <w:t>otrās daļas 1.</w:t>
      </w:r>
      <w:r w:rsidR="00C85192" w:rsidRPr="001C09CF">
        <w:rPr>
          <w:rFonts w:cs="Times New Roman"/>
          <w:szCs w:val="24"/>
          <w14:ligatures w14:val="standardContextual"/>
        </w:rPr>
        <w:t> </w:t>
      </w:r>
      <w:r w:rsidRPr="001C09CF">
        <w:rPr>
          <w:rFonts w:cs="Times New Roman"/>
          <w:szCs w:val="24"/>
          <w14:ligatures w14:val="standardContextual"/>
        </w:rPr>
        <w:t xml:space="preserve">punktā </w:t>
      </w:r>
      <w:bookmarkEnd w:id="5"/>
      <w:r w:rsidRPr="001C09CF">
        <w:rPr>
          <w:rFonts w:cs="Times New Roman"/>
          <w:szCs w:val="24"/>
          <w14:ligatures w14:val="standardContextual"/>
        </w:rPr>
        <w:t>paredzētais pamats atteikumam ierosināt kasācijas</w:t>
      </w:r>
      <w:r w:rsidRPr="001E08F7">
        <w:rPr>
          <w:rFonts w:ascii="TimesNewRomanPSMT" w:hAnsi="TimesNewRomanPSMT" w:cs="TimesNewRomanPSMT"/>
          <w:szCs w:val="24"/>
          <w14:ligatures w14:val="standardContextual"/>
        </w:rPr>
        <w:t xml:space="preserve"> tiesvedību lietā.</w:t>
      </w:r>
    </w:p>
    <w:p w14:paraId="7B6F046B" w14:textId="58994735" w:rsidR="00EB7374" w:rsidRDefault="00E0386B" w:rsidP="00140E89">
      <w:pPr>
        <w:pStyle w:val="NoSpacing"/>
        <w:spacing w:line="276" w:lineRule="auto"/>
        <w:ind w:firstLine="720"/>
        <w:jc w:val="both"/>
        <w:rPr>
          <w:szCs w:val="24"/>
        </w:rPr>
      </w:pPr>
      <w:r w:rsidRPr="001E08F7">
        <w:rPr>
          <w:szCs w:val="24"/>
        </w:rPr>
        <w:t>Pamatojoties uz Kriminālprocesa likuma 573. panta trešo un piekto daļu un 573.</w:t>
      </w:r>
      <w:r w:rsidRPr="001E08F7">
        <w:rPr>
          <w:szCs w:val="24"/>
          <w:vertAlign w:val="superscript"/>
        </w:rPr>
        <w:t>1</w:t>
      </w:r>
      <w:r w:rsidRPr="001E08F7">
        <w:rPr>
          <w:szCs w:val="24"/>
        </w:rPr>
        <w:t> pantu, Senāts</w:t>
      </w:r>
      <w:bookmarkEnd w:id="0"/>
      <w:bookmarkEnd w:id="1"/>
    </w:p>
    <w:p w14:paraId="6D0965D8" w14:textId="77777777" w:rsidR="00EB7374" w:rsidRPr="001E08F7" w:rsidRDefault="00EB7374" w:rsidP="00EB7374">
      <w:pPr>
        <w:tabs>
          <w:tab w:val="left" w:pos="3686"/>
        </w:tabs>
        <w:spacing w:after="0" w:line="276" w:lineRule="auto"/>
        <w:jc w:val="center"/>
        <w:rPr>
          <w:b/>
        </w:rPr>
      </w:pPr>
      <w:r w:rsidRPr="001E08F7">
        <w:rPr>
          <w:b/>
        </w:rPr>
        <w:t>nolēma</w:t>
      </w:r>
    </w:p>
    <w:p w14:paraId="1C94FBBE" w14:textId="77777777" w:rsidR="00EB7374" w:rsidRPr="001E08F7" w:rsidRDefault="00EB7374" w:rsidP="00EB7374">
      <w:pPr>
        <w:tabs>
          <w:tab w:val="left" w:pos="3686"/>
        </w:tabs>
        <w:spacing w:after="0" w:line="276" w:lineRule="auto"/>
        <w:jc w:val="center"/>
        <w:rPr>
          <w:b/>
        </w:rPr>
      </w:pPr>
    </w:p>
    <w:p w14:paraId="1A8A6DA2" w14:textId="77777777" w:rsidR="00EB7374" w:rsidRPr="001E08F7" w:rsidRDefault="00EB7374" w:rsidP="00EB7374">
      <w:pPr>
        <w:spacing w:after="0" w:line="276" w:lineRule="auto"/>
        <w:ind w:firstLine="720"/>
        <w:contextualSpacing/>
        <w:jc w:val="both"/>
      </w:pPr>
      <w:r w:rsidRPr="001E08F7">
        <w:t>atteikt ierosināt kasācijas tiesvedību.</w:t>
      </w:r>
    </w:p>
    <w:p w14:paraId="4B9CAFE0" w14:textId="77777777" w:rsidR="00EB7374" w:rsidRPr="001E08F7" w:rsidRDefault="00EB7374" w:rsidP="00EB7374">
      <w:pPr>
        <w:spacing w:after="0" w:line="276" w:lineRule="auto"/>
        <w:ind w:firstLine="720"/>
        <w:contextualSpacing/>
      </w:pPr>
    </w:p>
    <w:p w14:paraId="75025FF6" w14:textId="7C9F84ED" w:rsidR="000026CE" w:rsidRPr="00622278" w:rsidRDefault="00EB7374" w:rsidP="00622278">
      <w:pPr>
        <w:spacing w:after="0" w:line="276" w:lineRule="auto"/>
        <w:ind w:firstLine="720"/>
        <w:contextualSpacing/>
      </w:pPr>
      <w:r w:rsidRPr="001E08F7">
        <w:t>Lēmums nav pārsūdzams.</w:t>
      </w:r>
    </w:p>
    <w:sectPr w:rsidR="000026CE" w:rsidRPr="00622278" w:rsidSect="00D000AE">
      <w:foot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1595" w14:textId="77777777" w:rsidR="00857192" w:rsidRDefault="00857192">
      <w:pPr>
        <w:spacing w:after="0" w:line="240" w:lineRule="auto"/>
      </w:pPr>
      <w:r>
        <w:separator/>
      </w:r>
    </w:p>
  </w:endnote>
  <w:endnote w:type="continuationSeparator" w:id="0">
    <w:p w14:paraId="1066089A" w14:textId="77777777" w:rsidR="00857192" w:rsidRDefault="0085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30761"/>
      <w:docPartObj>
        <w:docPartGallery w:val="Page Numbers (Bottom of Page)"/>
        <w:docPartUnique/>
      </w:docPartObj>
    </w:sdtPr>
    <w:sdtEndPr>
      <w:rPr>
        <w:noProof/>
      </w:rPr>
    </w:sdtEndPr>
    <w:sdtContent>
      <w:p w14:paraId="7012A1BD" w14:textId="314D7B91" w:rsidR="00C044AB" w:rsidRDefault="00C044AB" w:rsidP="005A2575">
        <w:pPr>
          <w:pStyle w:val="Footer"/>
          <w:jc w:val="center"/>
        </w:pPr>
        <w:r w:rsidRPr="00946CE4">
          <w:rPr>
            <w:sz w:val="20"/>
            <w:szCs w:val="20"/>
          </w:rPr>
          <w:fldChar w:fldCharType="begin"/>
        </w:r>
        <w:r w:rsidRPr="00946CE4">
          <w:rPr>
            <w:sz w:val="20"/>
            <w:szCs w:val="20"/>
          </w:rPr>
          <w:instrText xml:space="preserve"> PAGE   \* MERGEFORMAT </w:instrText>
        </w:r>
        <w:r w:rsidRPr="00946CE4">
          <w:rPr>
            <w:sz w:val="20"/>
            <w:szCs w:val="20"/>
          </w:rPr>
          <w:fldChar w:fldCharType="separate"/>
        </w:r>
        <w:r w:rsidRPr="00946CE4">
          <w:rPr>
            <w:noProof/>
            <w:sz w:val="20"/>
            <w:szCs w:val="20"/>
          </w:rPr>
          <w:t>2</w:t>
        </w:r>
        <w:r w:rsidRPr="00946CE4">
          <w:rPr>
            <w:noProof/>
            <w:sz w:val="20"/>
            <w:szCs w:val="20"/>
          </w:rPr>
          <w:fldChar w:fldCharType="end"/>
        </w:r>
        <w:r w:rsidRPr="00946CE4">
          <w:rPr>
            <w:noProof/>
            <w:sz w:val="20"/>
            <w:szCs w:val="20"/>
          </w:rPr>
          <w:t xml:space="preserve"> no </w:t>
        </w:r>
        <w:r w:rsidR="00B41A58">
          <w:rPr>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86DC" w14:textId="77777777" w:rsidR="00857192" w:rsidRDefault="00857192">
      <w:pPr>
        <w:spacing w:after="0" w:line="240" w:lineRule="auto"/>
      </w:pPr>
      <w:r>
        <w:separator/>
      </w:r>
    </w:p>
  </w:footnote>
  <w:footnote w:type="continuationSeparator" w:id="0">
    <w:p w14:paraId="2D50D450" w14:textId="77777777" w:rsidR="00857192" w:rsidRDefault="008571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74"/>
    <w:rsid w:val="0000128D"/>
    <w:rsid w:val="000026CE"/>
    <w:rsid w:val="00026681"/>
    <w:rsid w:val="0004106F"/>
    <w:rsid w:val="00065E13"/>
    <w:rsid w:val="00070595"/>
    <w:rsid w:val="00073E97"/>
    <w:rsid w:val="000D6CAF"/>
    <w:rsid w:val="00120F04"/>
    <w:rsid w:val="0012781F"/>
    <w:rsid w:val="00140E89"/>
    <w:rsid w:val="00147AB9"/>
    <w:rsid w:val="00156C45"/>
    <w:rsid w:val="001A1A4C"/>
    <w:rsid w:val="001B485B"/>
    <w:rsid w:val="001C09CF"/>
    <w:rsid w:val="001D2049"/>
    <w:rsid w:val="001D2B62"/>
    <w:rsid w:val="001E08F7"/>
    <w:rsid w:val="001E3BC2"/>
    <w:rsid w:val="001E3E00"/>
    <w:rsid w:val="001F4F1B"/>
    <w:rsid w:val="00212BD9"/>
    <w:rsid w:val="00222A96"/>
    <w:rsid w:val="00222E1D"/>
    <w:rsid w:val="00243E89"/>
    <w:rsid w:val="00251095"/>
    <w:rsid w:val="002544A2"/>
    <w:rsid w:val="0025579A"/>
    <w:rsid w:val="00270001"/>
    <w:rsid w:val="0029059E"/>
    <w:rsid w:val="00290604"/>
    <w:rsid w:val="002A60DA"/>
    <w:rsid w:val="002A7AE5"/>
    <w:rsid w:val="003153D5"/>
    <w:rsid w:val="00344409"/>
    <w:rsid w:val="003554B6"/>
    <w:rsid w:val="0036413F"/>
    <w:rsid w:val="00385A0A"/>
    <w:rsid w:val="003961CC"/>
    <w:rsid w:val="003A2356"/>
    <w:rsid w:val="003C3D66"/>
    <w:rsid w:val="003D4BEC"/>
    <w:rsid w:val="003E0309"/>
    <w:rsid w:val="004265D7"/>
    <w:rsid w:val="0043119A"/>
    <w:rsid w:val="004A2510"/>
    <w:rsid w:val="004C7001"/>
    <w:rsid w:val="004E005A"/>
    <w:rsid w:val="004F05F5"/>
    <w:rsid w:val="0052729A"/>
    <w:rsid w:val="00530FA1"/>
    <w:rsid w:val="00556619"/>
    <w:rsid w:val="0059381D"/>
    <w:rsid w:val="005C2B22"/>
    <w:rsid w:val="005E68E3"/>
    <w:rsid w:val="005F4F43"/>
    <w:rsid w:val="005F71B8"/>
    <w:rsid w:val="00621D04"/>
    <w:rsid w:val="00622278"/>
    <w:rsid w:val="006E2E38"/>
    <w:rsid w:val="00770FA0"/>
    <w:rsid w:val="007750F1"/>
    <w:rsid w:val="0078192A"/>
    <w:rsid w:val="007859BA"/>
    <w:rsid w:val="007C13FD"/>
    <w:rsid w:val="007E37A6"/>
    <w:rsid w:val="00857192"/>
    <w:rsid w:val="008641E4"/>
    <w:rsid w:val="008F5098"/>
    <w:rsid w:val="00914DF7"/>
    <w:rsid w:val="009351EB"/>
    <w:rsid w:val="00952C29"/>
    <w:rsid w:val="00955C72"/>
    <w:rsid w:val="0096166F"/>
    <w:rsid w:val="00991DA3"/>
    <w:rsid w:val="00A141F1"/>
    <w:rsid w:val="00A15D71"/>
    <w:rsid w:val="00A27ECE"/>
    <w:rsid w:val="00A33184"/>
    <w:rsid w:val="00A52163"/>
    <w:rsid w:val="00A9775D"/>
    <w:rsid w:val="00AC3606"/>
    <w:rsid w:val="00AF22B9"/>
    <w:rsid w:val="00B112D3"/>
    <w:rsid w:val="00B20CB4"/>
    <w:rsid w:val="00B31D5C"/>
    <w:rsid w:val="00B41A58"/>
    <w:rsid w:val="00B47A36"/>
    <w:rsid w:val="00B53320"/>
    <w:rsid w:val="00B673BB"/>
    <w:rsid w:val="00B86427"/>
    <w:rsid w:val="00BB015D"/>
    <w:rsid w:val="00BB6C63"/>
    <w:rsid w:val="00BF677F"/>
    <w:rsid w:val="00C020B5"/>
    <w:rsid w:val="00C044AB"/>
    <w:rsid w:val="00C11047"/>
    <w:rsid w:val="00C6606B"/>
    <w:rsid w:val="00C85192"/>
    <w:rsid w:val="00C972F7"/>
    <w:rsid w:val="00CC03C1"/>
    <w:rsid w:val="00CD6B7A"/>
    <w:rsid w:val="00D00F4C"/>
    <w:rsid w:val="00D16F46"/>
    <w:rsid w:val="00D5527B"/>
    <w:rsid w:val="00D81DC5"/>
    <w:rsid w:val="00DC237D"/>
    <w:rsid w:val="00DE5983"/>
    <w:rsid w:val="00E0386B"/>
    <w:rsid w:val="00E571D4"/>
    <w:rsid w:val="00E67733"/>
    <w:rsid w:val="00EB7374"/>
    <w:rsid w:val="00EF22B0"/>
    <w:rsid w:val="00F26C4B"/>
    <w:rsid w:val="00F30262"/>
    <w:rsid w:val="00F5147A"/>
    <w:rsid w:val="00F576C9"/>
    <w:rsid w:val="00FC0520"/>
    <w:rsid w:val="00FC354D"/>
    <w:rsid w:val="00FE47FA"/>
    <w:rsid w:val="00FF7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0F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74"/>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74"/>
    <w:pPr>
      <w:ind w:left="720"/>
      <w:contextualSpacing/>
    </w:pPr>
  </w:style>
  <w:style w:type="table" w:styleId="TableGrid">
    <w:name w:val="Table Grid"/>
    <w:basedOn w:val="TableNormal"/>
    <w:uiPriority w:val="39"/>
    <w:rsid w:val="00EB7374"/>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73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7374"/>
    <w:rPr>
      <w:kern w:val="0"/>
      <w:lang w:val="lv-LV"/>
      <w14:ligatures w14:val="none"/>
    </w:rPr>
  </w:style>
  <w:style w:type="paragraph" w:styleId="NoSpacing">
    <w:name w:val="No Spacing"/>
    <w:uiPriority w:val="1"/>
    <w:qFormat/>
    <w:rsid w:val="00EB7374"/>
    <w:pPr>
      <w:spacing w:after="0" w:line="240" w:lineRule="auto"/>
    </w:pPr>
    <w:rPr>
      <w:kern w:val="0"/>
      <w:lang w:val="lv-LV"/>
      <w14:ligatures w14:val="none"/>
    </w:rPr>
  </w:style>
  <w:style w:type="paragraph" w:customStyle="1" w:styleId="tv213">
    <w:name w:val="tv213"/>
    <w:basedOn w:val="Normal"/>
    <w:rsid w:val="00D16F46"/>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B31D5C"/>
    <w:rPr>
      <w:color w:val="0563C1"/>
      <w:u w:val="single"/>
    </w:rPr>
  </w:style>
  <w:style w:type="paragraph" w:styleId="Header">
    <w:name w:val="header"/>
    <w:basedOn w:val="Normal"/>
    <w:link w:val="HeaderChar"/>
    <w:uiPriority w:val="99"/>
    <w:unhideWhenUsed/>
    <w:rsid w:val="00FC3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4D"/>
    <w:rPr>
      <w:kern w:val="0"/>
      <w:lang w:val="lv-LV"/>
      <w14:ligatures w14:val="none"/>
    </w:rPr>
  </w:style>
  <w:style w:type="character" w:styleId="UnresolvedMention">
    <w:name w:val="Unresolved Mention"/>
    <w:basedOn w:val="DefaultParagraphFont"/>
    <w:uiPriority w:val="99"/>
    <w:semiHidden/>
    <w:unhideWhenUsed/>
    <w:rsid w:val="004A2510"/>
    <w:rPr>
      <w:color w:val="605E5C"/>
      <w:shd w:val="clear" w:color="auto" w:fill="E1DFDD"/>
    </w:rPr>
  </w:style>
  <w:style w:type="character" w:styleId="FollowedHyperlink">
    <w:name w:val="FollowedHyperlink"/>
    <w:basedOn w:val="DefaultParagraphFont"/>
    <w:uiPriority w:val="99"/>
    <w:semiHidden/>
    <w:unhideWhenUsed/>
    <w:rsid w:val="004A2510"/>
    <w:rPr>
      <w:color w:val="954F72" w:themeColor="followedHyperlink"/>
      <w:u w:val="single"/>
    </w:rPr>
  </w:style>
  <w:style w:type="character" w:styleId="CommentReference">
    <w:name w:val="annotation reference"/>
    <w:basedOn w:val="DefaultParagraphFont"/>
    <w:uiPriority w:val="99"/>
    <w:semiHidden/>
    <w:unhideWhenUsed/>
    <w:rsid w:val="00FF7A3A"/>
    <w:rPr>
      <w:sz w:val="16"/>
      <w:szCs w:val="16"/>
    </w:rPr>
  </w:style>
  <w:style w:type="paragraph" w:styleId="CommentText">
    <w:name w:val="annotation text"/>
    <w:basedOn w:val="Normal"/>
    <w:link w:val="CommentTextChar"/>
    <w:uiPriority w:val="99"/>
    <w:semiHidden/>
    <w:unhideWhenUsed/>
    <w:rsid w:val="00FF7A3A"/>
    <w:pPr>
      <w:spacing w:line="240" w:lineRule="auto"/>
    </w:pPr>
    <w:rPr>
      <w:sz w:val="20"/>
      <w:szCs w:val="20"/>
    </w:rPr>
  </w:style>
  <w:style w:type="character" w:customStyle="1" w:styleId="CommentTextChar">
    <w:name w:val="Comment Text Char"/>
    <w:basedOn w:val="DefaultParagraphFont"/>
    <w:link w:val="CommentText"/>
    <w:uiPriority w:val="99"/>
    <w:semiHidden/>
    <w:rsid w:val="00FF7A3A"/>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FF7A3A"/>
    <w:rPr>
      <w:b/>
      <w:bCs/>
    </w:rPr>
  </w:style>
  <w:style w:type="character" w:customStyle="1" w:styleId="CommentSubjectChar">
    <w:name w:val="Comment Subject Char"/>
    <w:basedOn w:val="CommentTextChar"/>
    <w:link w:val="CommentSubject"/>
    <w:uiPriority w:val="99"/>
    <w:semiHidden/>
    <w:rsid w:val="00FF7A3A"/>
    <w:rPr>
      <w:b/>
      <w:bCs/>
      <w:kern w:val="0"/>
      <w:sz w:val="20"/>
      <w:szCs w:val="20"/>
      <w:lang w:val="lv-LV"/>
      <w14:ligatures w14:val="none"/>
    </w:rPr>
  </w:style>
  <w:style w:type="paragraph" w:styleId="Revision">
    <w:name w:val="Revision"/>
    <w:hidden/>
    <w:uiPriority w:val="99"/>
    <w:semiHidden/>
    <w:rsid w:val="001B485B"/>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859" TargetMode="External"/><Relationship Id="rId13" Type="http://schemas.openxmlformats.org/officeDocument/2006/relationships/hyperlink" Target="https://www.at.gov.lv/downloadlawfile/383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t.gov.lv/downloadlawfile/3712" TargetMode="External"/><Relationship Id="rId12" Type="http://schemas.openxmlformats.org/officeDocument/2006/relationships/hyperlink" Target="https://www.at.gov.lv/downloadlawfile/372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at.gov.lv/downloadlawfile/8139" TargetMode="External"/><Relationship Id="rId1" Type="http://schemas.openxmlformats.org/officeDocument/2006/relationships/styles" Target="styles.xml"/><Relationship Id="rId6" Type="http://schemas.openxmlformats.org/officeDocument/2006/relationships/hyperlink" Target="https://manas.tiesas.lv/eTiesasMvc/nolemumi/pdf/519343.pdf" TargetMode="External"/><Relationship Id="rId11" Type="http://schemas.openxmlformats.org/officeDocument/2006/relationships/hyperlink" Target="https://www.at.gov.lv/downloadlawfile/8139" TargetMode="External"/><Relationship Id="rId5" Type="http://schemas.openxmlformats.org/officeDocument/2006/relationships/endnotes" Target="endnotes.xml"/><Relationship Id="rId15" Type="http://schemas.openxmlformats.org/officeDocument/2006/relationships/hyperlink" Target="https://www.at.gov.lv/downloadlawfile/8139" TargetMode="External"/><Relationship Id="rId10" Type="http://schemas.openxmlformats.org/officeDocument/2006/relationships/hyperlink" Target="https://www.at.gov.lv/downloadlawfile/813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at.gov.lv/downloadlawfile/8859" TargetMode="External"/><Relationship Id="rId14" Type="http://schemas.openxmlformats.org/officeDocument/2006/relationships/hyperlink" Target="https://www.at.gov.lv/downloadlawfile/3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10887</Words>
  <Characters>6206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2024-01-19T12:43:00Z</dcterms:created>
  <dcterms:modified xsi:type="dcterms:W3CDTF">2024-01-19T12:43:00Z</dcterms:modified>
</cp:coreProperties>
</file>