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88CD" w14:textId="4DFB0CFD" w:rsidR="00112AFC" w:rsidRPr="004172C6" w:rsidRDefault="00112AFC" w:rsidP="004172C6">
      <w:pPr>
        <w:spacing w:after="0" w:line="276" w:lineRule="auto"/>
        <w:jc w:val="both"/>
        <w:rPr>
          <w:rFonts w:cs="Times New Roman"/>
          <w:b/>
          <w:bCs/>
          <w:szCs w:val="24"/>
        </w:rPr>
      </w:pPr>
      <w:r w:rsidRPr="004172C6">
        <w:rPr>
          <w:b/>
          <w:bCs/>
        </w:rPr>
        <w:t>Operatīvās sarunu noklausīšanās laikā iegūto ziņu par faktiem izmantošana pierādīšanā, ja mazāk smags noziegums, kura atklāšanai tika akceptēts šis sevišķajā veidā veicamais operatīvās darbības pasākums, pārkvalificēts uz kriminālpārkāpumu</w:t>
      </w:r>
    </w:p>
    <w:p w14:paraId="02C8E5DB" w14:textId="332E2FB6" w:rsidR="00112AFC" w:rsidRPr="004172C6" w:rsidRDefault="00112AFC" w:rsidP="004172C6">
      <w:pPr>
        <w:spacing w:after="0" w:line="276" w:lineRule="auto"/>
        <w:jc w:val="both"/>
      </w:pPr>
      <w:r w:rsidRPr="004172C6">
        <w:t xml:space="preserve">Ja operatīvās darbības pasākumu akceptēšanas laikā </w:t>
      </w:r>
      <w:r w:rsidRPr="005F3229">
        <w:t xml:space="preserve">par mazāk smagu noziegumu ziņu iegūšanas iespējamība bija noteikta ar likumu, taču nozieguma pārkvalificēšanas uz kriminālpārkāpumu gadījumā šo ziņu izmantošanas mērķis ir mainījies uz tādu, kas nav pamatots ar likumu, tad mainās arī tas, cik attaisnojams ir personas pamattiesību ierobežojums jaunā mērķa sasniegšanai. </w:t>
      </w:r>
    </w:p>
    <w:p w14:paraId="2565F6A8" w14:textId="77777777" w:rsidR="00A5727A" w:rsidRDefault="00A5727A" w:rsidP="004172C6">
      <w:pPr>
        <w:spacing w:after="0" w:line="276" w:lineRule="auto"/>
        <w:jc w:val="both"/>
        <w:rPr>
          <w:b/>
          <w:bCs/>
        </w:rPr>
      </w:pPr>
    </w:p>
    <w:p w14:paraId="7026A21A" w14:textId="0DD7A873" w:rsidR="00112AFC" w:rsidRPr="005F3229" w:rsidRDefault="00112AFC" w:rsidP="004172C6">
      <w:pPr>
        <w:spacing w:after="0" w:line="276" w:lineRule="auto"/>
        <w:jc w:val="both"/>
        <w:rPr>
          <w:b/>
          <w:bCs/>
        </w:rPr>
      </w:pPr>
      <w:r w:rsidRPr="005F3229">
        <w:rPr>
          <w:b/>
          <w:bCs/>
        </w:rPr>
        <w:t>Nosacījumi operatīvās darbības pasākumos iegūto ziņu par faktiem izmantošanai pierādīšanā</w:t>
      </w:r>
    </w:p>
    <w:p w14:paraId="1525AB59" w14:textId="77777777" w:rsidR="00112AFC" w:rsidRDefault="00112AFC" w:rsidP="004172C6">
      <w:pPr>
        <w:spacing w:after="0" w:line="276" w:lineRule="auto"/>
        <w:jc w:val="both"/>
      </w:pPr>
      <w:r w:rsidRPr="005F3229">
        <w:t>Operatīvās darbības pasākumos iegūtās ziņas par faktiem var tikt izmantotas kā pierādījumi tad, ja tās ir iegūtas likumā paredzētajā kārtībā, nostiprinātas noteiktā procesuālajā formā, atbilst Kriminālprocesa likuma 127.</w:t>
      </w:r>
      <w:r>
        <w:t> </w:t>
      </w:r>
      <w:r w:rsidRPr="005F3229">
        <w:t>panta otrajā un trešajā daļā noteiktajām prasībām, proti, ir attiecināmas, pieļaujamas un ticamas, kā arī ziņas iespējams pārbaudīt Kriminālprocesa likuma noteiktajā procesuālajā kārtībā.</w:t>
      </w:r>
    </w:p>
    <w:p w14:paraId="2CDD7759" w14:textId="77777777" w:rsidR="00714E7C" w:rsidRDefault="00714E7C" w:rsidP="004172C6">
      <w:pPr>
        <w:spacing w:after="0" w:line="276" w:lineRule="auto"/>
        <w:rPr>
          <w:rFonts w:asciiTheme="majorBidi" w:eastAsia="Calibri" w:hAnsiTheme="majorBidi" w:cstheme="majorBidi"/>
          <w:b/>
          <w:szCs w:val="24"/>
        </w:rPr>
      </w:pPr>
    </w:p>
    <w:p w14:paraId="2F83E95A" w14:textId="77777777" w:rsidR="00112AFC" w:rsidRPr="0069475E" w:rsidRDefault="00CC34E7" w:rsidP="00CC34E7">
      <w:pPr>
        <w:spacing w:after="0" w:line="276" w:lineRule="auto"/>
        <w:jc w:val="center"/>
        <w:rPr>
          <w:rFonts w:eastAsia="Calibri" w:cs="Times New Roman"/>
          <w:b/>
          <w:szCs w:val="24"/>
        </w:rPr>
      </w:pPr>
      <w:r w:rsidRPr="0069475E">
        <w:rPr>
          <w:rFonts w:eastAsia="Calibri" w:cs="Times New Roman"/>
          <w:b/>
          <w:szCs w:val="24"/>
        </w:rPr>
        <w:t>Latvijas Republikas Senāt</w:t>
      </w:r>
      <w:r w:rsidR="00112AFC" w:rsidRPr="0069475E">
        <w:rPr>
          <w:rFonts w:eastAsia="Calibri" w:cs="Times New Roman"/>
          <w:b/>
          <w:szCs w:val="24"/>
        </w:rPr>
        <w:t xml:space="preserve">a </w:t>
      </w:r>
    </w:p>
    <w:p w14:paraId="3770E753" w14:textId="77777777" w:rsidR="00112AFC" w:rsidRPr="0069475E" w:rsidRDefault="00112AFC" w:rsidP="00CC34E7">
      <w:pPr>
        <w:spacing w:after="0" w:line="276" w:lineRule="auto"/>
        <w:jc w:val="center"/>
        <w:rPr>
          <w:rFonts w:eastAsia="Calibri" w:cs="Times New Roman"/>
          <w:b/>
          <w:szCs w:val="24"/>
        </w:rPr>
      </w:pPr>
      <w:r w:rsidRPr="0069475E">
        <w:rPr>
          <w:rFonts w:eastAsia="Calibri" w:cs="Times New Roman"/>
          <w:b/>
          <w:szCs w:val="24"/>
        </w:rPr>
        <w:t>Krimināllietu departamenta</w:t>
      </w:r>
    </w:p>
    <w:p w14:paraId="77329896" w14:textId="04687C30" w:rsidR="00CC34E7" w:rsidRPr="0069475E" w:rsidRDefault="00112AFC" w:rsidP="00CC34E7">
      <w:pPr>
        <w:spacing w:after="0" w:line="276" w:lineRule="auto"/>
        <w:jc w:val="center"/>
        <w:rPr>
          <w:rFonts w:eastAsia="Calibri" w:cs="Times New Roman"/>
          <w:b/>
          <w:szCs w:val="24"/>
        </w:rPr>
      </w:pPr>
      <w:r w:rsidRPr="0069475E">
        <w:rPr>
          <w:rFonts w:eastAsia="Calibri" w:cs="Times New Roman"/>
          <w:b/>
          <w:szCs w:val="24"/>
        </w:rPr>
        <w:t>2023. gada 17. oktobra</w:t>
      </w:r>
    </w:p>
    <w:p w14:paraId="6B14A37B" w14:textId="77777777" w:rsidR="00CC34E7" w:rsidRPr="0069475E" w:rsidRDefault="00CC34E7" w:rsidP="00CC34E7">
      <w:pPr>
        <w:spacing w:after="0" w:line="276" w:lineRule="auto"/>
        <w:jc w:val="center"/>
        <w:rPr>
          <w:rFonts w:eastAsia="Calibri" w:cs="Times New Roman"/>
          <w:b/>
          <w:szCs w:val="24"/>
        </w:rPr>
      </w:pPr>
      <w:r w:rsidRPr="0069475E">
        <w:rPr>
          <w:rFonts w:eastAsia="Calibri" w:cs="Times New Roman"/>
          <w:b/>
          <w:szCs w:val="24"/>
        </w:rPr>
        <w:t>LĒMUMS</w:t>
      </w:r>
    </w:p>
    <w:p w14:paraId="11D0A298" w14:textId="2E1A141F" w:rsidR="00CC34E7" w:rsidRPr="0069475E" w:rsidRDefault="00112AFC" w:rsidP="00CC34E7">
      <w:pPr>
        <w:spacing w:after="0" w:line="276" w:lineRule="auto"/>
        <w:jc w:val="center"/>
        <w:rPr>
          <w:rFonts w:eastAsia="Calibri" w:cs="Times New Roman"/>
          <w:b/>
          <w:szCs w:val="24"/>
        </w:rPr>
      </w:pPr>
      <w:r w:rsidRPr="0069475E">
        <w:rPr>
          <w:rFonts w:eastAsia="Calibri" w:cs="Times New Roman"/>
          <w:b/>
          <w:szCs w:val="24"/>
        </w:rPr>
        <w:t>Lieta Nr. 11210096815, SKK</w:t>
      </w:r>
      <w:r w:rsidRPr="0069475E">
        <w:rPr>
          <w:rFonts w:eastAsia="Calibri" w:cs="Times New Roman"/>
          <w:b/>
          <w:szCs w:val="24"/>
        </w:rPr>
        <w:noBreakHyphen/>
        <w:t>90/2023</w:t>
      </w:r>
    </w:p>
    <w:p w14:paraId="655052F9" w14:textId="118162CF" w:rsidR="00112AFC" w:rsidRPr="0069475E" w:rsidRDefault="00586D37" w:rsidP="00CC34E7">
      <w:pPr>
        <w:spacing w:after="0" w:line="276" w:lineRule="auto"/>
        <w:jc w:val="center"/>
        <w:rPr>
          <w:rFonts w:eastAsia="Calibri" w:cs="Times New Roman"/>
          <w:szCs w:val="24"/>
        </w:rPr>
      </w:pPr>
      <w:hyperlink r:id="rId8" w:history="1">
        <w:r w:rsidR="0069475E" w:rsidRPr="008B01E9">
          <w:rPr>
            <w:rStyle w:val="Hyperlink"/>
            <w:rFonts w:cs="Times New Roman"/>
            <w:szCs w:val="24"/>
            <w:shd w:val="clear" w:color="auto" w:fill="FFFFFF"/>
          </w:rPr>
          <w:t>ECLI:LV:AT:2023:1017.11210096815.6.L</w:t>
        </w:r>
      </w:hyperlink>
    </w:p>
    <w:p w14:paraId="0BFA4CE8" w14:textId="77777777" w:rsidR="00CC34E7" w:rsidRPr="004674CF" w:rsidRDefault="00CC34E7" w:rsidP="00CC34E7">
      <w:pPr>
        <w:spacing w:after="0" w:line="276" w:lineRule="auto"/>
        <w:rPr>
          <w:rFonts w:asciiTheme="majorBidi" w:eastAsia="Calibri" w:hAnsiTheme="majorBidi" w:cstheme="majorBidi"/>
          <w:szCs w:val="24"/>
        </w:rPr>
      </w:pPr>
    </w:p>
    <w:p w14:paraId="1C650FCA" w14:textId="77777777" w:rsidR="00CC34E7" w:rsidRPr="004674CF" w:rsidRDefault="00CC34E7" w:rsidP="00CC34E7">
      <w:pPr>
        <w:spacing w:after="0" w:line="276" w:lineRule="auto"/>
        <w:ind w:firstLine="720"/>
        <w:jc w:val="both"/>
        <w:rPr>
          <w:rFonts w:asciiTheme="majorBidi" w:eastAsia="Calibri" w:hAnsiTheme="majorBidi" w:cstheme="majorBidi"/>
          <w:szCs w:val="24"/>
        </w:rPr>
      </w:pPr>
      <w:r w:rsidRPr="004674CF">
        <w:rPr>
          <w:rFonts w:asciiTheme="majorBidi" w:eastAsia="Calibri" w:hAnsiTheme="majorBidi" w:cstheme="majorBidi"/>
          <w:szCs w:val="24"/>
        </w:rPr>
        <w:t>Senāts šādā sastāvā: senatore referente Inese Laura Zemīte, senator</w:t>
      </w:r>
      <w:r>
        <w:rPr>
          <w:rFonts w:asciiTheme="majorBidi" w:eastAsia="Calibri" w:hAnsiTheme="majorBidi" w:cstheme="majorBidi"/>
          <w:szCs w:val="24"/>
        </w:rPr>
        <w:t>es</w:t>
      </w:r>
      <w:r w:rsidRPr="004674CF">
        <w:rPr>
          <w:rFonts w:asciiTheme="majorBidi" w:eastAsia="Calibri" w:hAnsiTheme="majorBidi" w:cstheme="majorBidi"/>
          <w:szCs w:val="24"/>
        </w:rPr>
        <w:t xml:space="preserve"> </w:t>
      </w:r>
      <w:r>
        <w:rPr>
          <w:rFonts w:asciiTheme="majorBidi" w:eastAsia="Calibri" w:hAnsiTheme="majorBidi" w:cstheme="majorBidi"/>
          <w:szCs w:val="24"/>
        </w:rPr>
        <w:t>Irīna Jansone un Anita Poļakova</w:t>
      </w:r>
    </w:p>
    <w:p w14:paraId="6C1B7200" w14:textId="77777777" w:rsidR="00CC34E7" w:rsidRPr="004674CF" w:rsidRDefault="00CC34E7" w:rsidP="00CC34E7">
      <w:pPr>
        <w:spacing w:after="0" w:line="276" w:lineRule="auto"/>
        <w:jc w:val="both"/>
        <w:rPr>
          <w:rFonts w:asciiTheme="majorBidi" w:eastAsia="Calibri" w:hAnsiTheme="majorBidi" w:cstheme="majorBidi"/>
          <w:szCs w:val="24"/>
        </w:rPr>
      </w:pPr>
      <w:r w:rsidRPr="004674CF">
        <w:rPr>
          <w:rFonts w:asciiTheme="majorBidi" w:eastAsia="Calibri" w:hAnsiTheme="majorBidi" w:cstheme="majorBidi"/>
          <w:szCs w:val="24"/>
        </w:rPr>
        <w:tab/>
      </w:r>
    </w:p>
    <w:p w14:paraId="73F15DFC" w14:textId="77777777" w:rsidR="00CC34E7" w:rsidRPr="004674CF" w:rsidRDefault="00CC34E7" w:rsidP="00CC34E7">
      <w:pPr>
        <w:spacing w:after="0" w:line="276" w:lineRule="auto"/>
        <w:jc w:val="both"/>
        <w:rPr>
          <w:rFonts w:asciiTheme="majorBidi" w:eastAsia="Calibri" w:hAnsiTheme="majorBidi" w:cstheme="majorBidi"/>
          <w:szCs w:val="24"/>
        </w:rPr>
      </w:pPr>
      <w:r w:rsidRPr="004674CF">
        <w:rPr>
          <w:rFonts w:asciiTheme="majorBidi" w:eastAsia="Calibri" w:hAnsiTheme="majorBidi" w:cstheme="majorBidi"/>
          <w:szCs w:val="24"/>
        </w:rPr>
        <w:tab/>
        <w:t>izskatīja rakstveida procesā krimināllietu sakarā ar</w:t>
      </w:r>
      <w:r w:rsidRPr="004674CF">
        <w:t xml:space="preserve"> </w:t>
      </w:r>
      <w:r>
        <w:rPr>
          <w:rFonts w:asciiTheme="majorBidi" w:eastAsia="Calibri" w:hAnsiTheme="majorBidi" w:cstheme="majorBidi"/>
          <w:szCs w:val="24"/>
        </w:rPr>
        <w:t xml:space="preserve">Austrumzemgales </w:t>
      </w:r>
      <w:r w:rsidRPr="004674CF">
        <w:rPr>
          <w:rFonts w:asciiTheme="majorBidi" w:eastAsia="Calibri" w:hAnsiTheme="majorBidi" w:cstheme="majorBidi"/>
          <w:szCs w:val="24"/>
        </w:rPr>
        <w:t xml:space="preserve">prokuratūras </w:t>
      </w:r>
      <w:r>
        <w:rPr>
          <w:rFonts w:asciiTheme="majorBidi" w:eastAsia="Calibri" w:hAnsiTheme="majorBidi" w:cstheme="majorBidi"/>
          <w:szCs w:val="24"/>
        </w:rPr>
        <w:t>prokurores</w:t>
      </w:r>
      <w:r w:rsidRPr="004674CF">
        <w:rPr>
          <w:rFonts w:asciiTheme="majorBidi" w:eastAsia="Calibri" w:hAnsiTheme="majorBidi" w:cstheme="majorBidi"/>
          <w:szCs w:val="24"/>
        </w:rPr>
        <w:t xml:space="preserve"> </w:t>
      </w:r>
      <w:r>
        <w:rPr>
          <w:rFonts w:asciiTheme="majorBidi" w:eastAsia="Calibri" w:hAnsiTheme="majorBidi" w:cstheme="majorBidi"/>
          <w:szCs w:val="24"/>
        </w:rPr>
        <w:t xml:space="preserve">Ainas </w:t>
      </w:r>
      <w:proofErr w:type="spellStart"/>
      <w:r>
        <w:rPr>
          <w:rFonts w:asciiTheme="majorBidi" w:eastAsia="Calibri" w:hAnsiTheme="majorBidi" w:cstheme="majorBidi"/>
          <w:szCs w:val="24"/>
        </w:rPr>
        <w:t>Šafares</w:t>
      </w:r>
      <w:proofErr w:type="spellEnd"/>
      <w:r w:rsidRPr="004674CF">
        <w:rPr>
          <w:rFonts w:asciiTheme="majorBidi" w:eastAsia="Calibri" w:hAnsiTheme="majorBidi" w:cstheme="majorBidi"/>
          <w:szCs w:val="24"/>
        </w:rPr>
        <w:t xml:space="preserve"> kasācijas protestu </w:t>
      </w:r>
      <w:bookmarkStart w:id="0" w:name="_Hlk123138813"/>
      <w:r>
        <w:rPr>
          <w:rFonts w:asciiTheme="majorBidi" w:eastAsia="Calibri" w:hAnsiTheme="majorBidi" w:cstheme="majorBidi"/>
          <w:szCs w:val="24"/>
        </w:rPr>
        <w:t xml:space="preserve">un Valsts ieņēmumu dienesta kasācijas sūdzību </w:t>
      </w:r>
      <w:r w:rsidRPr="004674CF">
        <w:rPr>
          <w:rFonts w:asciiTheme="majorBidi" w:eastAsia="Calibri" w:hAnsiTheme="majorBidi" w:cstheme="majorBidi"/>
          <w:szCs w:val="24"/>
        </w:rPr>
        <w:t xml:space="preserve">par </w:t>
      </w:r>
      <w:bookmarkStart w:id="1" w:name="_Hlk131170371"/>
      <w:bookmarkEnd w:id="0"/>
      <w:r>
        <w:rPr>
          <w:rFonts w:asciiTheme="majorBidi" w:eastAsia="Calibri" w:hAnsiTheme="majorBidi" w:cstheme="majorBidi"/>
          <w:szCs w:val="24"/>
        </w:rPr>
        <w:t>Zemgales</w:t>
      </w:r>
      <w:r w:rsidRPr="004674CF">
        <w:rPr>
          <w:rFonts w:asciiTheme="majorBidi" w:eastAsia="Calibri" w:hAnsiTheme="majorBidi" w:cstheme="majorBidi"/>
          <w:szCs w:val="24"/>
        </w:rPr>
        <w:t xml:space="preserve"> apgabaltiesas </w:t>
      </w:r>
      <w:bookmarkStart w:id="2" w:name="_Hlk127977178"/>
      <w:r w:rsidRPr="004674CF">
        <w:rPr>
          <w:rFonts w:asciiTheme="majorBidi" w:eastAsia="Calibri" w:hAnsiTheme="majorBidi" w:cstheme="majorBidi"/>
          <w:szCs w:val="24"/>
        </w:rPr>
        <w:t>2022</w:t>
      </w:r>
      <w:r>
        <w:rPr>
          <w:rFonts w:asciiTheme="majorBidi" w:eastAsia="Calibri" w:hAnsiTheme="majorBidi" w:cstheme="majorBidi"/>
          <w:szCs w:val="24"/>
        </w:rPr>
        <w:t>.</w:t>
      </w:r>
      <w:r w:rsidRPr="004674CF">
        <w:rPr>
          <w:rFonts w:asciiTheme="majorBidi" w:eastAsia="Calibri" w:hAnsiTheme="majorBidi" w:cstheme="majorBidi"/>
          <w:szCs w:val="24"/>
        </w:rPr>
        <w:t> gada 2</w:t>
      </w:r>
      <w:r>
        <w:rPr>
          <w:rFonts w:asciiTheme="majorBidi" w:eastAsia="Calibri" w:hAnsiTheme="majorBidi" w:cstheme="majorBidi"/>
          <w:szCs w:val="24"/>
        </w:rPr>
        <w:t>3. septembra</w:t>
      </w:r>
      <w:r w:rsidRPr="004674CF">
        <w:rPr>
          <w:rFonts w:asciiTheme="majorBidi" w:eastAsia="Calibri" w:hAnsiTheme="majorBidi" w:cstheme="majorBidi"/>
          <w:szCs w:val="24"/>
        </w:rPr>
        <w:t xml:space="preserve"> </w:t>
      </w:r>
      <w:bookmarkEnd w:id="2"/>
      <w:r w:rsidRPr="004674CF">
        <w:rPr>
          <w:rFonts w:asciiTheme="majorBidi" w:eastAsia="Calibri" w:hAnsiTheme="majorBidi" w:cstheme="majorBidi"/>
          <w:szCs w:val="24"/>
        </w:rPr>
        <w:t>spriedumu</w:t>
      </w:r>
      <w:r>
        <w:rPr>
          <w:rFonts w:asciiTheme="majorBidi" w:eastAsia="Calibri" w:hAnsiTheme="majorBidi" w:cstheme="majorBidi"/>
          <w:szCs w:val="24"/>
        </w:rPr>
        <w:t>. </w:t>
      </w:r>
    </w:p>
    <w:bookmarkEnd w:id="1"/>
    <w:p w14:paraId="0DAF93A5" w14:textId="77777777" w:rsidR="00CC34E7" w:rsidRPr="004674CF" w:rsidRDefault="00CC34E7" w:rsidP="00CC34E7">
      <w:pPr>
        <w:keepNext/>
        <w:spacing w:after="0" w:line="276" w:lineRule="auto"/>
        <w:ind w:left="-360"/>
        <w:jc w:val="center"/>
        <w:outlineLvl w:val="1"/>
        <w:rPr>
          <w:rFonts w:asciiTheme="majorBidi" w:eastAsia="Calibri" w:hAnsiTheme="majorBidi" w:cstheme="majorBidi"/>
          <w:b/>
          <w:bCs/>
          <w:iCs/>
          <w:szCs w:val="24"/>
        </w:rPr>
      </w:pPr>
    </w:p>
    <w:p w14:paraId="23BFE79A" w14:textId="77777777" w:rsidR="00CC34E7" w:rsidRPr="004674CF" w:rsidRDefault="00CC34E7" w:rsidP="00CC34E7">
      <w:pPr>
        <w:keepNext/>
        <w:spacing w:after="0" w:line="276" w:lineRule="auto"/>
        <w:jc w:val="center"/>
        <w:outlineLvl w:val="1"/>
        <w:rPr>
          <w:rFonts w:asciiTheme="majorBidi" w:eastAsia="Calibri" w:hAnsiTheme="majorBidi" w:cstheme="majorBidi"/>
          <w:b/>
          <w:bCs/>
          <w:iCs/>
          <w:szCs w:val="24"/>
        </w:rPr>
      </w:pPr>
      <w:r w:rsidRPr="004674CF">
        <w:rPr>
          <w:rFonts w:asciiTheme="majorBidi" w:eastAsia="Calibri" w:hAnsiTheme="majorBidi" w:cstheme="majorBidi"/>
          <w:b/>
          <w:bCs/>
          <w:iCs/>
          <w:szCs w:val="24"/>
        </w:rPr>
        <w:t>Aprakstošā daļa</w:t>
      </w:r>
    </w:p>
    <w:p w14:paraId="1424BD70" w14:textId="77777777" w:rsidR="00CC34E7" w:rsidRPr="004674CF" w:rsidRDefault="00CC34E7" w:rsidP="00CC34E7">
      <w:pPr>
        <w:spacing w:after="0" w:line="276" w:lineRule="auto"/>
        <w:jc w:val="both"/>
        <w:rPr>
          <w:rFonts w:asciiTheme="majorBidi" w:eastAsia="Calibri" w:hAnsiTheme="majorBidi" w:cstheme="majorBidi"/>
          <w:szCs w:val="24"/>
        </w:rPr>
      </w:pPr>
    </w:p>
    <w:p w14:paraId="608437E5" w14:textId="77777777" w:rsidR="00CC34E7" w:rsidRPr="004674CF" w:rsidRDefault="00CC34E7" w:rsidP="00CC34E7">
      <w:pPr>
        <w:tabs>
          <w:tab w:val="left" w:pos="3402"/>
        </w:tabs>
        <w:spacing w:after="0" w:line="276" w:lineRule="auto"/>
        <w:ind w:firstLine="709"/>
        <w:jc w:val="both"/>
        <w:rPr>
          <w:rFonts w:asciiTheme="majorBidi" w:eastAsia="Calibri" w:hAnsiTheme="majorBidi" w:cstheme="majorBidi"/>
          <w:szCs w:val="24"/>
        </w:rPr>
      </w:pPr>
      <w:r w:rsidRPr="004674CF">
        <w:rPr>
          <w:rFonts w:asciiTheme="majorBidi" w:eastAsia="Calibri" w:hAnsiTheme="majorBidi" w:cstheme="majorBidi"/>
          <w:szCs w:val="24"/>
        </w:rPr>
        <w:t>[1] </w:t>
      </w:r>
      <w:bookmarkStart w:id="3" w:name="_Hlk123132324"/>
      <w:r w:rsidRPr="004674CF">
        <w:rPr>
          <w:rFonts w:asciiTheme="majorBidi" w:eastAsia="Calibri" w:hAnsiTheme="majorBidi" w:cstheme="majorBidi"/>
          <w:szCs w:val="24"/>
        </w:rPr>
        <w:t xml:space="preserve">Ar </w:t>
      </w:r>
      <w:r>
        <w:rPr>
          <w:rFonts w:asciiTheme="majorBidi" w:eastAsia="Calibri" w:hAnsiTheme="majorBidi" w:cstheme="majorBidi"/>
          <w:szCs w:val="24"/>
        </w:rPr>
        <w:t>Zemgales rajona</w:t>
      </w:r>
      <w:r w:rsidRPr="004674CF">
        <w:rPr>
          <w:rFonts w:asciiTheme="majorBidi" w:eastAsia="Calibri" w:hAnsiTheme="majorBidi" w:cstheme="majorBidi"/>
          <w:szCs w:val="24"/>
        </w:rPr>
        <w:t xml:space="preserve"> tiesas 202</w:t>
      </w:r>
      <w:r>
        <w:rPr>
          <w:rFonts w:asciiTheme="majorBidi" w:eastAsia="Calibri" w:hAnsiTheme="majorBidi" w:cstheme="majorBidi"/>
          <w:szCs w:val="24"/>
        </w:rPr>
        <w:t>0. </w:t>
      </w:r>
      <w:r w:rsidRPr="004674CF">
        <w:rPr>
          <w:rFonts w:asciiTheme="majorBidi" w:eastAsia="Calibri" w:hAnsiTheme="majorBidi" w:cstheme="majorBidi"/>
          <w:szCs w:val="24"/>
        </w:rPr>
        <w:t xml:space="preserve">gada </w:t>
      </w:r>
      <w:r>
        <w:rPr>
          <w:rFonts w:asciiTheme="majorBidi" w:eastAsia="Calibri" w:hAnsiTheme="majorBidi" w:cstheme="majorBidi"/>
          <w:szCs w:val="24"/>
        </w:rPr>
        <w:t>27. augusta</w:t>
      </w:r>
      <w:r w:rsidRPr="004674CF">
        <w:rPr>
          <w:rFonts w:asciiTheme="majorBidi" w:eastAsia="Calibri" w:hAnsiTheme="majorBidi" w:cstheme="majorBidi"/>
          <w:szCs w:val="24"/>
        </w:rPr>
        <w:t xml:space="preserve"> spriedumu </w:t>
      </w:r>
    </w:p>
    <w:p w14:paraId="4B612D99" w14:textId="56340B6A" w:rsidR="00CC34E7" w:rsidRPr="004674CF" w:rsidRDefault="00CC34E7" w:rsidP="00CC34E7">
      <w:pPr>
        <w:tabs>
          <w:tab w:val="left" w:pos="720"/>
          <w:tab w:val="left" w:pos="1440"/>
          <w:tab w:val="left" w:pos="2160"/>
          <w:tab w:val="left" w:pos="2880"/>
          <w:tab w:val="left" w:pos="3600"/>
          <w:tab w:val="center" w:pos="4607"/>
        </w:tabs>
        <w:spacing w:after="0" w:line="276" w:lineRule="auto"/>
        <w:ind w:firstLine="709"/>
        <w:jc w:val="both"/>
        <w:rPr>
          <w:rFonts w:asciiTheme="majorBidi" w:eastAsia="Calibri" w:hAnsiTheme="majorBidi" w:cstheme="majorBidi"/>
          <w:szCs w:val="24"/>
        </w:rPr>
      </w:pPr>
      <w:r>
        <w:rPr>
          <w:rFonts w:asciiTheme="majorBidi" w:eastAsia="Calibri" w:hAnsiTheme="majorBidi" w:cstheme="majorBidi"/>
          <w:szCs w:val="24"/>
        </w:rPr>
        <w:t>[1.1] </w:t>
      </w:r>
      <w:r w:rsidR="0069475E">
        <w:rPr>
          <w:rFonts w:asciiTheme="majorBidi" w:eastAsia="Calibri" w:hAnsiTheme="majorBidi" w:cstheme="majorBidi"/>
          <w:szCs w:val="24"/>
        </w:rPr>
        <w:t>[pers. </w:t>
      </w:r>
      <w:r w:rsidR="0069475E">
        <w:t>A]</w:t>
      </w:r>
      <w:r w:rsidRPr="004674CF">
        <w:rPr>
          <w:rFonts w:asciiTheme="majorBidi" w:eastAsia="Calibri" w:hAnsiTheme="majorBidi" w:cstheme="majorBidi"/>
          <w:szCs w:val="24"/>
        </w:rPr>
        <w:t xml:space="preserve">, personas kods </w:t>
      </w:r>
      <w:r w:rsidR="0069475E">
        <w:rPr>
          <w:rFonts w:asciiTheme="majorBidi" w:eastAsia="Calibri" w:hAnsiTheme="majorBidi" w:cstheme="majorBidi"/>
          <w:szCs w:val="24"/>
        </w:rPr>
        <w:t>[..]</w:t>
      </w:r>
      <w:r w:rsidRPr="004674CF">
        <w:rPr>
          <w:rFonts w:asciiTheme="majorBidi" w:eastAsia="Calibri" w:hAnsiTheme="majorBidi" w:cstheme="majorBidi"/>
          <w:szCs w:val="24"/>
        </w:rPr>
        <w:t>,</w:t>
      </w:r>
    </w:p>
    <w:p w14:paraId="6A1F2584" w14:textId="77777777" w:rsidR="00CC34E7" w:rsidRPr="004674CF" w:rsidRDefault="00CC34E7" w:rsidP="00CC34E7">
      <w:pPr>
        <w:tabs>
          <w:tab w:val="left" w:pos="720"/>
          <w:tab w:val="left" w:pos="1440"/>
          <w:tab w:val="left" w:pos="2160"/>
          <w:tab w:val="left" w:pos="2880"/>
          <w:tab w:val="left" w:pos="3600"/>
          <w:tab w:val="center" w:pos="4607"/>
        </w:tabs>
        <w:spacing w:after="0" w:line="276" w:lineRule="auto"/>
        <w:ind w:firstLine="709"/>
        <w:jc w:val="both"/>
        <w:rPr>
          <w:rFonts w:asciiTheme="majorBidi" w:eastAsia="Calibri" w:hAnsiTheme="majorBidi" w:cstheme="majorBidi"/>
          <w:szCs w:val="24"/>
        </w:rPr>
      </w:pPr>
      <w:r w:rsidRPr="004674CF">
        <w:rPr>
          <w:rFonts w:asciiTheme="majorBidi" w:eastAsia="Calibri" w:hAnsiTheme="majorBidi" w:cstheme="majorBidi"/>
          <w:szCs w:val="24"/>
        </w:rPr>
        <w:tab/>
        <w:t xml:space="preserve">atzīts par vainīgu Krimināllikuma </w:t>
      </w:r>
      <w:r>
        <w:rPr>
          <w:rFonts w:asciiTheme="majorBidi" w:eastAsia="Calibri" w:hAnsiTheme="majorBidi" w:cstheme="majorBidi"/>
          <w:szCs w:val="24"/>
        </w:rPr>
        <w:t>20. panta otrajā daļā un 221. panta pirmajā daļā (likuma redakcijā līdz 2015. gada 2. decembrim)</w:t>
      </w:r>
      <w:r w:rsidRPr="004674CF">
        <w:rPr>
          <w:rFonts w:asciiTheme="majorBidi" w:eastAsia="Calibri" w:hAnsiTheme="majorBidi" w:cstheme="majorBidi"/>
          <w:szCs w:val="24"/>
        </w:rPr>
        <w:t xml:space="preserve"> paredzētajā noziedzīgajā nodarījumā un sodīts ar naudas sodu </w:t>
      </w:r>
      <w:r>
        <w:rPr>
          <w:rFonts w:asciiTheme="majorBidi" w:eastAsia="Calibri" w:hAnsiTheme="majorBidi" w:cstheme="majorBidi"/>
          <w:szCs w:val="24"/>
        </w:rPr>
        <w:t>6</w:t>
      </w:r>
      <w:r w:rsidRPr="004674CF">
        <w:rPr>
          <w:rFonts w:asciiTheme="majorBidi" w:eastAsia="Calibri" w:hAnsiTheme="majorBidi" w:cstheme="majorBidi"/>
          <w:szCs w:val="24"/>
        </w:rPr>
        <w:t xml:space="preserve"> minimālo mēnešalgu apmērā, tas ir, </w:t>
      </w:r>
      <w:r>
        <w:rPr>
          <w:rFonts w:asciiTheme="majorBidi" w:eastAsia="Calibri" w:hAnsiTheme="majorBidi" w:cstheme="majorBidi"/>
          <w:szCs w:val="24"/>
        </w:rPr>
        <w:t>2580</w:t>
      </w:r>
      <w:r w:rsidRPr="004674CF">
        <w:rPr>
          <w:rFonts w:asciiTheme="majorBidi" w:eastAsia="Calibri" w:hAnsiTheme="majorBidi" w:cstheme="majorBidi"/>
          <w:szCs w:val="24"/>
        </w:rPr>
        <w:t> </w:t>
      </w:r>
      <w:r w:rsidRPr="004674CF">
        <w:rPr>
          <w:rFonts w:asciiTheme="majorBidi" w:eastAsia="Calibri" w:hAnsiTheme="majorBidi" w:cstheme="majorBidi"/>
          <w:i/>
          <w:iCs/>
          <w:szCs w:val="24"/>
        </w:rPr>
        <w:t>euro</w:t>
      </w:r>
      <w:r>
        <w:rPr>
          <w:rFonts w:asciiTheme="majorBidi" w:eastAsia="Calibri" w:hAnsiTheme="majorBidi" w:cstheme="majorBidi"/>
          <w:szCs w:val="24"/>
        </w:rPr>
        <w:t>. </w:t>
      </w:r>
    </w:p>
    <w:p w14:paraId="47EF181D" w14:textId="048F623D" w:rsidR="00CC34E7" w:rsidRDefault="00CC34E7" w:rsidP="00CC34E7">
      <w:pPr>
        <w:tabs>
          <w:tab w:val="left" w:pos="720"/>
          <w:tab w:val="left" w:pos="1440"/>
          <w:tab w:val="left" w:pos="2160"/>
          <w:tab w:val="left" w:pos="2880"/>
          <w:tab w:val="left" w:pos="3600"/>
          <w:tab w:val="center" w:pos="4607"/>
        </w:tabs>
        <w:spacing w:after="0" w:line="276" w:lineRule="auto"/>
        <w:ind w:firstLine="709"/>
        <w:jc w:val="both"/>
        <w:rPr>
          <w:rFonts w:asciiTheme="majorBidi" w:eastAsia="Calibri" w:hAnsiTheme="majorBidi" w:cstheme="majorBidi"/>
          <w:szCs w:val="24"/>
        </w:rPr>
      </w:pPr>
      <w:r>
        <w:rPr>
          <w:rFonts w:asciiTheme="majorBidi" w:eastAsia="Calibri" w:hAnsiTheme="majorBidi" w:cstheme="majorBidi"/>
          <w:szCs w:val="24"/>
        </w:rPr>
        <w:t>[1.2] </w:t>
      </w:r>
      <w:r w:rsidR="0069475E">
        <w:rPr>
          <w:rFonts w:asciiTheme="majorBidi" w:eastAsia="Calibri" w:hAnsiTheme="majorBidi" w:cstheme="majorBidi"/>
          <w:szCs w:val="24"/>
        </w:rPr>
        <w:t>[Pers. </w:t>
      </w:r>
      <w:r w:rsidR="0069475E">
        <w:t>B]</w:t>
      </w:r>
      <w:r>
        <w:rPr>
          <w:rFonts w:asciiTheme="majorBidi" w:eastAsia="Calibri" w:hAnsiTheme="majorBidi" w:cstheme="majorBidi"/>
          <w:szCs w:val="24"/>
        </w:rPr>
        <w:t xml:space="preserve">, personas kods </w:t>
      </w:r>
      <w:r w:rsidR="0069475E">
        <w:rPr>
          <w:rFonts w:asciiTheme="majorBidi" w:eastAsia="Calibri" w:hAnsiTheme="majorBidi" w:cstheme="majorBidi"/>
          <w:szCs w:val="24"/>
        </w:rPr>
        <w:t>[..]</w:t>
      </w:r>
      <w:r>
        <w:rPr>
          <w:rFonts w:asciiTheme="majorBidi" w:eastAsia="Calibri" w:hAnsiTheme="majorBidi" w:cstheme="majorBidi"/>
          <w:szCs w:val="24"/>
        </w:rPr>
        <w:t xml:space="preserve">, </w:t>
      </w:r>
    </w:p>
    <w:p w14:paraId="3A7CDE3D" w14:textId="77777777" w:rsidR="00CC34E7" w:rsidRDefault="00CC34E7" w:rsidP="00CC34E7">
      <w:pPr>
        <w:tabs>
          <w:tab w:val="left" w:pos="720"/>
          <w:tab w:val="left" w:pos="1440"/>
          <w:tab w:val="left" w:pos="2160"/>
          <w:tab w:val="left" w:pos="2880"/>
          <w:tab w:val="left" w:pos="3600"/>
          <w:tab w:val="center" w:pos="4607"/>
        </w:tabs>
        <w:spacing w:after="0" w:line="276" w:lineRule="auto"/>
        <w:ind w:firstLine="709"/>
        <w:jc w:val="both"/>
        <w:rPr>
          <w:rFonts w:asciiTheme="majorBidi" w:eastAsia="Calibri" w:hAnsiTheme="majorBidi" w:cstheme="majorBidi"/>
          <w:szCs w:val="24"/>
        </w:rPr>
      </w:pPr>
      <w:r w:rsidRPr="004674CF">
        <w:rPr>
          <w:rFonts w:asciiTheme="majorBidi" w:eastAsia="Calibri" w:hAnsiTheme="majorBidi" w:cstheme="majorBidi"/>
          <w:szCs w:val="24"/>
        </w:rPr>
        <w:t xml:space="preserve">atzīts par vainīgu Krimināllikuma </w:t>
      </w:r>
      <w:r>
        <w:rPr>
          <w:rFonts w:asciiTheme="majorBidi" w:eastAsia="Calibri" w:hAnsiTheme="majorBidi" w:cstheme="majorBidi"/>
          <w:szCs w:val="24"/>
        </w:rPr>
        <w:t>221. panta pirmajā daļā (likuma redakcijā līdz 2015. gada 2. decembrim)</w:t>
      </w:r>
      <w:r w:rsidRPr="004674CF">
        <w:rPr>
          <w:rFonts w:asciiTheme="majorBidi" w:eastAsia="Calibri" w:hAnsiTheme="majorBidi" w:cstheme="majorBidi"/>
          <w:szCs w:val="24"/>
        </w:rPr>
        <w:t xml:space="preserve"> paredzētajā noziedzīgajā nodarījumā un sodīts ar </w:t>
      </w:r>
      <w:r>
        <w:rPr>
          <w:rFonts w:asciiTheme="majorBidi" w:eastAsia="Calibri" w:hAnsiTheme="majorBidi" w:cstheme="majorBidi"/>
          <w:szCs w:val="24"/>
        </w:rPr>
        <w:t>piespiedu darbu uz 160 stundām. </w:t>
      </w:r>
    </w:p>
    <w:p w14:paraId="63668B7F" w14:textId="009DCF62" w:rsidR="00CC34E7" w:rsidRDefault="00CC34E7" w:rsidP="00CC34E7">
      <w:pPr>
        <w:tabs>
          <w:tab w:val="left" w:pos="720"/>
          <w:tab w:val="left" w:pos="1440"/>
          <w:tab w:val="left" w:pos="2160"/>
          <w:tab w:val="left" w:pos="2880"/>
          <w:tab w:val="left" w:pos="3600"/>
          <w:tab w:val="center" w:pos="4607"/>
        </w:tabs>
        <w:spacing w:after="0" w:line="276" w:lineRule="auto"/>
        <w:ind w:firstLine="709"/>
        <w:jc w:val="both"/>
        <w:rPr>
          <w:rFonts w:asciiTheme="majorBidi" w:eastAsia="Calibri" w:hAnsiTheme="majorBidi" w:cstheme="majorBidi"/>
          <w:szCs w:val="24"/>
        </w:rPr>
      </w:pPr>
      <w:r w:rsidRPr="003552E8">
        <w:rPr>
          <w:rFonts w:asciiTheme="majorBidi" w:eastAsia="Calibri" w:hAnsiTheme="majorBidi" w:cstheme="majorBidi"/>
          <w:szCs w:val="24"/>
        </w:rPr>
        <w:t>Saskaņā ar Krimināllikuma 52</w:t>
      </w:r>
      <w:r>
        <w:rPr>
          <w:rFonts w:asciiTheme="majorBidi" w:eastAsia="Calibri" w:hAnsiTheme="majorBidi" w:cstheme="majorBidi"/>
          <w:szCs w:val="24"/>
        </w:rPr>
        <w:t>. </w:t>
      </w:r>
      <w:r w:rsidRPr="003552E8">
        <w:rPr>
          <w:rFonts w:asciiTheme="majorBidi" w:eastAsia="Calibri" w:hAnsiTheme="majorBidi" w:cstheme="majorBidi"/>
          <w:szCs w:val="24"/>
        </w:rPr>
        <w:t>panta piekto daļu soda termiņā ieskaitīt</w:t>
      </w:r>
      <w:r>
        <w:rPr>
          <w:rFonts w:asciiTheme="majorBidi" w:eastAsia="Calibri" w:hAnsiTheme="majorBidi" w:cstheme="majorBidi"/>
          <w:szCs w:val="24"/>
        </w:rPr>
        <w:t xml:space="preserve">a aizturēšana </w:t>
      </w:r>
      <w:r w:rsidRPr="003552E8">
        <w:rPr>
          <w:rFonts w:asciiTheme="majorBidi" w:eastAsia="Calibri" w:hAnsiTheme="majorBidi" w:cstheme="majorBidi"/>
          <w:szCs w:val="24"/>
        </w:rPr>
        <w:t>no 2015</w:t>
      </w:r>
      <w:r>
        <w:rPr>
          <w:rFonts w:asciiTheme="majorBidi" w:eastAsia="Calibri" w:hAnsiTheme="majorBidi" w:cstheme="majorBidi"/>
          <w:szCs w:val="24"/>
        </w:rPr>
        <w:t>. </w:t>
      </w:r>
      <w:r w:rsidRPr="003552E8">
        <w:rPr>
          <w:rFonts w:asciiTheme="majorBidi" w:eastAsia="Calibri" w:hAnsiTheme="majorBidi" w:cstheme="majorBidi"/>
          <w:szCs w:val="24"/>
        </w:rPr>
        <w:t>gada</w:t>
      </w:r>
      <w:r>
        <w:rPr>
          <w:rFonts w:asciiTheme="majorBidi" w:eastAsia="Calibri" w:hAnsiTheme="majorBidi" w:cstheme="majorBidi"/>
          <w:szCs w:val="24"/>
        </w:rPr>
        <w:t xml:space="preserve"> </w:t>
      </w:r>
      <w:r w:rsidRPr="003552E8">
        <w:rPr>
          <w:rFonts w:asciiTheme="majorBidi" w:eastAsia="Calibri" w:hAnsiTheme="majorBidi" w:cstheme="majorBidi"/>
          <w:szCs w:val="24"/>
        </w:rPr>
        <w:t>9</w:t>
      </w:r>
      <w:r>
        <w:rPr>
          <w:rFonts w:asciiTheme="majorBidi" w:eastAsia="Calibri" w:hAnsiTheme="majorBidi" w:cstheme="majorBidi"/>
          <w:szCs w:val="24"/>
        </w:rPr>
        <w:t>. </w:t>
      </w:r>
      <w:r w:rsidRPr="003552E8">
        <w:rPr>
          <w:rFonts w:asciiTheme="majorBidi" w:eastAsia="Calibri" w:hAnsiTheme="majorBidi" w:cstheme="majorBidi"/>
          <w:szCs w:val="24"/>
        </w:rPr>
        <w:t>līdz 10</w:t>
      </w:r>
      <w:r>
        <w:rPr>
          <w:rFonts w:asciiTheme="majorBidi" w:eastAsia="Calibri" w:hAnsiTheme="majorBidi" w:cstheme="majorBidi"/>
          <w:szCs w:val="24"/>
        </w:rPr>
        <w:t>. </w:t>
      </w:r>
      <w:r w:rsidRPr="003552E8">
        <w:rPr>
          <w:rFonts w:asciiTheme="majorBidi" w:eastAsia="Calibri" w:hAnsiTheme="majorBidi" w:cstheme="majorBidi"/>
          <w:szCs w:val="24"/>
        </w:rPr>
        <w:t>novembrim, atzī</w:t>
      </w:r>
      <w:r>
        <w:rPr>
          <w:rFonts w:asciiTheme="majorBidi" w:eastAsia="Calibri" w:hAnsiTheme="majorBidi" w:cstheme="majorBidi"/>
          <w:szCs w:val="24"/>
        </w:rPr>
        <w:t>stot</w:t>
      </w:r>
      <w:r w:rsidRPr="003552E8">
        <w:rPr>
          <w:rFonts w:asciiTheme="majorBidi" w:eastAsia="Calibri" w:hAnsiTheme="majorBidi" w:cstheme="majorBidi"/>
          <w:szCs w:val="24"/>
        </w:rPr>
        <w:t xml:space="preserve">, ka </w:t>
      </w:r>
      <w:r w:rsidR="0069475E">
        <w:rPr>
          <w:rFonts w:asciiTheme="majorBidi" w:eastAsia="Calibri" w:hAnsiTheme="majorBidi" w:cstheme="majorBidi"/>
          <w:szCs w:val="24"/>
        </w:rPr>
        <w:t>[pers. B]</w:t>
      </w:r>
      <w:r w:rsidRPr="003552E8">
        <w:rPr>
          <w:rFonts w:asciiTheme="majorBidi" w:eastAsia="Calibri" w:hAnsiTheme="majorBidi" w:cstheme="majorBidi"/>
          <w:szCs w:val="24"/>
        </w:rPr>
        <w:t xml:space="preserve"> ir izcietis 8</w:t>
      </w:r>
      <w:r>
        <w:rPr>
          <w:rFonts w:asciiTheme="majorBidi" w:eastAsia="Calibri" w:hAnsiTheme="majorBidi" w:cstheme="majorBidi"/>
          <w:szCs w:val="24"/>
        </w:rPr>
        <w:t> </w:t>
      </w:r>
      <w:r w:rsidRPr="003552E8">
        <w:rPr>
          <w:rFonts w:asciiTheme="majorBidi" w:eastAsia="Calibri" w:hAnsiTheme="majorBidi" w:cstheme="majorBidi"/>
          <w:szCs w:val="24"/>
        </w:rPr>
        <w:t>piespiedu darba stundas</w:t>
      </w:r>
      <w:r>
        <w:rPr>
          <w:rFonts w:asciiTheme="majorBidi" w:eastAsia="Calibri" w:hAnsiTheme="majorBidi" w:cstheme="majorBidi"/>
          <w:szCs w:val="24"/>
        </w:rPr>
        <w:t>. </w:t>
      </w:r>
    </w:p>
    <w:p w14:paraId="70026FF5" w14:textId="238C5CC6" w:rsidR="00CC34E7" w:rsidRDefault="00CC34E7" w:rsidP="00CC34E7">
      <w:pPr>
        <w:tabs>
          <w:tab w:val="left" w:pos="720"/>
          <w:tab w:val="left" w:pos="1440"/>
          <w:tab w:val="left" w:pos="2160"/>
          <w:tab w:val="left" w:pos="2880"/>
          <w:tab w:val="left" w:pos="3600"/>
          <w:tab w:val="center" w:pos="4607"/>
        </w:tabs>
        <w:spacing w:after="0" w:line="276" w:lineRule="auto"/>
        <w:ind w:firstLine="709"/>
        <w:jc w:val="both"/>
        <w:rPr>
          <w:rFonts w:asciiTheme="majorBidi" w:eastAsia="Calibri" w:hAnsiTheme="majorBidi" w:cstheme="majorBidi"/>
          <w:szCs w:val="24"/>
        </w:rPr>
      </w:pPr>
      <w:r>
        <w:rPr>
          <w:rFonts w:asciiTheme="majorBidi" w:eastAsia="Calibri" w:hAnsiTheme="majorBidi" w:cstheme="majorBidi"/>
          <w:szCs w:val="24"/>
        </w:rPr>
        <w:lastRenderedPageBreak/>
        <w:t xml:space="preserve">[1.3] No </w:t>
      </w:r>
      <w:r w:rsidR="0069475E">
        <w:rPr>
          <w:rFonts w:asciiTheme="majorBidi" w:eastAsia="Calibri" w:hAnsiTheme="majorBidi" w:cstheme="majorBidi"/>
          <w:szCs w:val="24"/>
        </w:rPr>
        <w:t>[pers. B]</w:t>
      </w:r>
      <w:r>
        <w:rPr>
          <w:rFonts w:asciiTheme="majorBidi" w:eastAsia="Calibri" w:hAnsiTheme="majorBidi" w:cstheme="majorBidi"/>
          <w:szCs w:val="24"/>
        </w:rPr>
        <w:t xml:space="preserve"> un </w:t>
      </w:r>
      <w:r w:rsidR="0069475E">
        <w:rPr>
          <w:rFonts w:asciiTheme="majorBidi" w:eastAsia="Calibri" w:hAnsiTheme="majorBidi" w:cstheme="majorBidi"/>
          <w:szCs w:val="24"/>
        </w:rPr>
        <w:t>[pers. A]</w:t>
      </w:r>
      <w:r>
        <w:rPr>
          <w:rFonts w:asciiTheme="majorBidi" w:eastAsia="Calibri" w:hAnsiTheme="majorBidi" w:cstheme="majorBidi"/>
          <w:szCs w:val="24"/>
        </w:rPr>
        <w:t xml:space="preserve"> </w:t>
      </w:r>
      <w:r w:rsidRPr="00C618C1">
        <w:rPr>
          <w:rFonts w:asciiTheme="majorBidi" w:eastAsia="Calibri" w:hAnsiTheme="majorBidi" w:cstheme="majorBidi"/>
          <w:szCs w:val="24"/>
        </w:rPr>
        <w:t xml:space="preserve">solidāri </w:t>
      </w:r>
      <w:r>
        <w:rPr>
          <w:rFonts w:asciiTheme="majorBidi" w:eastAsia="Calibri" w:hAnsiTheme="majorBidi" w:cstheme="majorBidi"/>
          <w:szCs w:val="24"/>
        </w:rPr>
        <w:t>piedzīta kaitējuma kompensācija 12 541,17 </w:t>
      </w:r>
      <w:r w:rsidRPr="00E56F85">
        <w:rPr>
          <w:rFonts w:asciiTheme="majorBidi" w:eastAsia="Calibri" w:hAnsiTheme="majorBidi" w:cstheme="majorBidi"/>
          <w:i/>
          <w:iCs/>
          <w:szCs w:val="24"/>
        </w:rPr>
        <w:t>euro</w:t>
      </w:r>
      <w:r w:rsidRPr="00077EA9">
        <w:rPr>
          <w:rFonts w:asciiTheme="majorBidi" w:eastAsia="Calibri" w:hAnsiTheme="majorBidi" w:cstheme="majorBidi"/>
          <w:szCs w:val="24"/>
        </w:rPr>
        <w:t xml:space="preserve"> </w:t>
      </w:r>
      <w:r>
        <w:rPr>
          <w:rFonts w:asciiTheme="majorBidi" w:eastAsia="Calibri" w:hAnsiTheme="majorBidi" w:cstheme="majorBidi"/>
          <w:szCs w:val="24"/>
        </w:rPr>
        <w:t>valsts labā.</w:t>
      </w:r>
    </w:p>
    <w:p w14:paraId="288E0EA1" w14:textId="77777777" w:rsidR="00CC34E7" w:rsidRDefault="00CC34E7" w:rsidP="00CC34E7">
      <w:pPr>
        <w:spacing w:after="0" w:line="276" w:lineRule="auto"/>
        <w:jc w:val="both"/>
        <w:rPr>
          <w:rFonts w:asciiTheme="majorBidi" w:eastAsia="Calibri" w:hAnsiTheme="majorBidi" w:cstheme="majorBidi"/>
          <w:szCs w:val="24"/>
        </w:rPr>
      </w:pPr>
    </w:p>
    <w:p w14:paraId="6CD3FD71" w14:textId="7474345E" w:rsidR="00CC34E7" w:rsidRDefault="00CC34E7" w:rsidP="00CC34E7">
      <w:pPr>
        <w:spacing w:after="0" w:line="276" w:lineRule="auto"/>
        <w:ind w:firstLine="709"/>
        <w:jc w:val="both"/>
        <w:rPr>
          <w:rFonts w:asciiTheme="majorBidi" w:eastAsia="Calibri" w:hAnsiTheme="majorBidi" w:cstheme="majorBidi"/>
          <w:szCs w:val="24"/>
        </w:rPr>
      </w:pPr>
      <w:r w:rsidRPr="004674CF">
        <w:rPr>
          <w:rFonts w:asciiTheme="majorBidi" w:eastAsia="Calibri" w:hAnsiTheme="majorBidi" w:cstheme="majorBidi"/>
          <w:szCs w:val="24"/>
        </w:rPr>
        <w:t xml:space="preserve">[2] Ar pirmās instances tiesas spriedumu </w:t>
      </w:r>
      <w:r w:rsidR="0069475E">
        <w:rPr>
          <w:rFonts w:asciiTheme="majorBidi" w:eastAsia="Calibri" w:hAnsiTheme="majorBidi" w:cstheme="majorBidi"/>
          <w:szCs w:val="24"/>
        </w:rPr>
        <w:t>[pers. A]</w:t>
      </w:r>
      <w:r w:rsidRPr="004674CF">
        <w:rPr>
          <w:rFonts w:asciiTheme="majorBidi" w:eastAsia="Calibri" w:hAnsiTheme="majorBidi" w:cstheme="majorBidi"/>
          <w:szCs w:val="24"/>
        </w:rPr>
        <w:t xml:space="preserve"> atzīts par vainīgu un sodīts par </w:t>
      </w:r>
      <w:r w:rsidRPr="00E56F85">
        <w:rPr>
          <w:rFonts w:asciiTheme="majorBidi" w:eastAsia="Calibri" w:hAnsiTheme="majorBidi" w:cstheme="majorBidi"/>
          <w:szCs w:val="24"/>
        </w:rPr>
        <w:t>tabakas izstrādājumu nelikumīg</w:t>
      </w:r>
      <w:r>
        <w:rPr>
          <w:rFonts w:asciiTheme="majorBidi" w:eastAsia="Calibri" w:hAnsiTheme="majorBidi" w:cstheme="majorBidi"/>
          <w:szCs w:val="24"/>
        </w:rPr>
        <w:t>as</w:t>
      </w:r>
      <w:r w:rsidRPr="00E56F85">
        <w:rPr>
          <w:rFonts w:asciiTheme="majorBidi" w:eastAsia="Calibri" w:hAnsiTheme="majorBidi" w:cstheme="majorBidi"/>
          <w:szCs w:val="24"/>
        </w:rPr>
        <w:t xml:space="preserve"> pārvietošan</w:t>
      </w:r>
      <w:r>
        <w:rPr>
          <w:rFonts w:asciiTheme="majorBidi" w:eastAsia="Calibri" w:hAnsiTheme="majorBidi" w:cstheme="majorBidi"/>
          <w:szCs w:val="24"/>
        </w:rPr>
        <w:t>as</w:t>
      </w:r>
      <w:r w:rsidRPr="00E56F85">
        <w:rPr>
          <w:rFonts w:asciiTheme="majorBidi" w:eastAsia="Calibri" w:hAnsiTheme="majorBidi" w:cstheme="majorBidi"/>
          <w:szCs w:val="24"/>
        </w:rPr>
        <w:t xml:space="preserve"> (pārvadāšan</w:t>
      </w:r>
      <w:r>
        <w:rPr>
          <w:rFonts w:asciiTheme="majorBidi" w:eastAsia="Calibri" w:hAnsiTheme="majorBidi" w:cstheme="majorBidi"/>
          <w:szCs w:val="24"/>
        </w:rPr>
        <w:t>as</w:t>
      </w:r>
      <w:r w:rsidRPr="00E56F85">
        <w:rPr>
          <w:rFonts w:asciiTheme="majorBidi" w:eastAsia="Calibri" w:hAnsiTheme="majorBidi" w:cstheme="majorBidi"/>
          <w:szCs w:val="24"/>
        </w:rPr>
        <w:t xml:space="preserve">) </w:t>
      </w:r>
      <w:r>
        <w:rPr>
          <w:rFonts w:asciiTheme="majorBidi" w:eastAsia="Calibri" w:hAnsiTheme="majorBidi" w:cstheme="majorBidi"/>
          <w:szCs w:val="24"/>
        </w:rPr>
        <w:t>organizēšanu,</w:t>
      </w:r>
      <w:r w:rsidRPr="00E56F85">
        <w:rPr>
          <w:rFonts w:asciiTheme="majorBidi" w:eastAsia="Calibri" w:hAnsiTheme="majorBidi" w:cstheme="majorBidi"/>
          <w:szCs w:val="24"/>
        </w:rPr>
        <w:t xml:space="preserve"> rad</w:t>
      </w:r>
      <w:r>
        <w:rPr>
          <w:rFonts w:asciiTheme="majorBidi" w:eastAsia="Calibri" w:hAnsiTheme="majorBidi" w:cstheme="majorBidi"/>
          <w:szCs w:val="24"/>
        </w:rPr>
        <w:t>ot</w:t>
      </w:r>
      <w:r w:rsidRPr="00E56F85">
        <w:rPr>
          <w:rFonts w:asciiTheme="majorBidi" w:eastAsia="Calibri" w:hAnsiTheme="majorBidi" w:cstheme="majorBidi"/>
          <w:szCs w:val="24"/>
        </w:rPr>
        <w:t xml:space="preserve"> būtisk</w:t>
      </w:r>
      <w:r>
        <w:rPr>
          <w:rFonts w:asciiTheme="majorBidi" w:eastAsia="Calibri" w:hAnsiTheme="majorBidi" w:cstheme="majorBidi"/>
          <w:szCs w:val="24"/>
        </w:rPr>
        <w:t>u</w:t>
      </w:r>
      <w:r w:rsidRPr="00E56F85">
        <w:rPr>
          <w:rFonts w:asciiTheme="majorBidi" w:eastAsia="Calibri" w:hAnsiTheme="majorBidi" w:cstheme="majorBidi"/>
          <w:szCs w:val="24"/>
        </w:rPr>
        <w:t xml:space="preserve"> kaitējum</w:t>
      </w:r>
      <w:r>
        <w:rPr>
          <w:rFonts w:asciiTheme="majorBidi" w:eastAsia="Calibri" w:hAnsiTheme="majorBidi" w:cstheme="majorBidi"/>
          <w:szCs w:val="24"/>
        </w:rPr>
        <w:t>u.</w:t>
      </w:r>
    </w:p>
    <w:p w14:paraId="1BAED8C8" w14:textId="311805C8" w:rsidR="00CC34E7" w:rsidRDefault="00CC34E7" w:rsidP="00CC34E7">
      <w:pPr>
        <w:spacing w:after="0" w:line="276" w:lineRule="auto"/>
        <w:ind w:firstLine="709"/>
        <w:jc w:val="both"/>
        <w:rPr>
          <w:rFonts w:asciiTheme="majorBidi" w:eastAsia="Calibri" w:hAnsiTheme="majorBidi" w:cstheme="majorBidi"/>
          <w:szCs w:val="24"/>
        </w:rPr>
      </w:pPr>
      <w:r>
        <w:rPr>
          <w:rFonts w:asciiTheme="majorBidi" w:eastAsia="Calibri" w:hAnsiTheme="majorBidi" w:cstheme="majorBidi"/>
          <w:szCs w:val="24"/>
        </w:rPr>
        <w:t xml:space="preserve">Savukārt </w:t>
      </w:r>
      <w:r w:rsidR="0069475E">
        <w:rPr>
          <w:rFonts w:asciiTheme="majorBidi" w:eastAsia="Calibri" w:hAnsiTheme="majorBidi" w:cstheme="majorBidi"/>
          <w:szCs w:val="24"/>
        </w:rPr>
        <w:t>[pers. </w:t>
      </w:r>
      <w:r w:rsidR="0069475E">
        <w:t>B]</w:t>
      </w:r>
      <w:r>
        <w:rPr>
          <w:rFonts w:asciiTheme="majorBidi" w:eastAsia="Calibri" w:hAnsiTheme="majorBidi" w:cstheme="majorBidi"/>
          <w:szCs w:val="24"/>
        </w:rPr>
        <w:t xml:space="preserve"> </w:t>
      </w:r>
      <w:r w:rsidRPr="004674CF">
        <w:rPr>
          <w:rFonts w:asciiTheme="majorBidi" w:eastAsia="Calibri" w:hAnsiTheme="majorBidi" w:cstheme="majorBidi"/>
          <w:szCs w:val="24"/>
        </w:rPr>
        <w:t>atzīts par vainīgu un sodīts</w:t>
      </w:r>
      <w:r>
        <w:rPr>
          <w:rFonts w:asciiTheme="majorBidi" w:eastAsia="Calibri" w:hAnsiTheme="majorBidi" w:cstheme="majorBidi"/>
          <w:szCs w:val="24"/>
        </w:rPr>
        <w:t xml:space="preserve"> par </w:t>
      </w:r>
      <w:r w:rsidRPr="00B94665">
        <w:rPr>
          <w:rFonts w:asciiTheme="majorBidi" w:eastAsia="Calibri" w:hAnsiTheme="majorBidi" w:cstheme="majorBidi"/>
          <w:szCs w:val="24"/>
        </w:rPr>
        <w:t>nelikumīg</w:t>
      </w:r>
      <w:r>
        <w:rPr>
          <w:rFonts w:asciiTheme="majorBidi" w:eastAsia="Calibri" w:hAnsiTheme="majorBidi" w:cstheme="majorBidi"/>
          <w:szCs w:val="24"/>
        </w:rPr>
        <w:t>u</w:t>
      </w:r>
      <w:r w:rsidRPr="00B94665">
        <w:rPr>
          <w:rFonts w:asciiTheme="majorBidi" w:eastAsia="Calibri" w:hAnsiTheme="majorBidi" w:cstheme="majorBidi"/>
          <w:szCs w:val="24"/>
        </w:rPr>
        <w:t xml:space="preserve"> tabakas izstrādājumu pārvieto</w:t>
      </w:r>
      <w:r>
        <w:rPr>
          <w:rFonts w:asciiTheme="majorBidi" w:eastAsia="Calibri" w:hAnsiTheme="majorBidi" w:cstheme="majorBidi"/>
          <w:szCs w:val="24"/>
        </w:rPr>
        <w:t xml:space="preserve">šanu </w:t>
      </w:r>
      <w:r w:rsidRPr="00B94665">
        <w:rPr>
          <w:rFonts w:asciiTheme="majorBidi" w:eastAsia="Calibri" w:hAnsiTheme="majorBidi" w:cstheme="majorBidi"/>
          <w:szCs w:val="24"/>
        </w:rPr>
        <w:t>(pārvadā</w:t>
      </w:r>
      <w:r>
        <w:rPr>
          <w:rFonts w:asciiTheme="majorBidi" w:eastAsia="Calibri" w:hAnsiTheme="majorBidi" w:cstheme="majorBidi"/>
          <w:szCs w:val="24"/>
        </w:rPr>
        <w:t>šanu</w:t>
      </w:r>
      <w:r w:rsidRPr="00B94665">
        <w:rPr>
          <w:rFonts w:asciiTheme="majorBidi" w:eastAsia="Calibri" w:hAnsiTheme="majorBidi" w:cstheme="majorBidi"/>
          <w:szCs w:val="24"/>
        </w:rPr>
        <w:t xml:space="preserve">), </w:t>
      </w:r>
      <w:r w:rsidRPr="000725F2">
        <w:rPr>
          <w:rFonts w:asciiTheme="majorBidi" w:eastAsia="Calibri" w:hAnsiTheme="majorBidi" w:cstheme="majorBidi"/>
          <w:szCs w:val="24"/>
        </w:rPr>
        <w:t>radot būtisku kaitējumu</w:t>
      </w:r>
      <w:r>
        <w:rPr>
          <w:rFonts w:asciiTheme="majorBidi" w:eastAsia="Calibri" w:hAnsiTheme="majorBidi" w:cstheme="majorBidi"/>
          <w:szCs w:val="24"/>
        </w:rPr>
        <w:t>. </w:t>
      </w:r>
    </w:p>
    <w:p w14:paraId="1DBF2688" w14:textId="77777777" w:rsidR="00CC34E7" w:rsidRPr="004674CF" w:rsidRDefault="00CC34E7" w:rsidP="00CC34E7">
      <w:pPr>
        <w:tabs>
          <w:tab w:val="left" w:pos="720"/>
          <w:tab w:val="left" w:pos="1440"/>
          <w:tab w:val="left" w:pos="2160"/>
          <w:tab w:val="left" w:pos="2880"/>
          <w:tab w:val="left" w:pos="3600"/>
          <w:tab w:val="center" w:pos="4607"/>
        </w:tabs>
        <w:spacing w:after="0" w:line="276" w:lineRule="auto"/>
        <w:ind w:firstLine="709"/>
        <w:jc w:val="both"/>
        <w:rPr>
          <w:rFonts w:asciiTheme="majorBidi" w:eastAsia="Calibri" w:hAnsiTheme="majorBidi" w:cstheme="majorBidi"/>
          <w:szCs w:val="24"/>
        </w:rPr>
      </w:pPr>
    </w:p>
    <w:p w14:paraId="4935F9E2" w14:textId="06D1ECC5" w:rsidR="00CC34E7" w:rsidRDefault="00CC34E7" w:rsidP="00CC34E7">
      <w:pPr>
        <w:tabs>
          <w:tab w:val="left" w:pos="3402"/>
        </w:tabs>
        <w:spacing w:after="0" w:line="276" w:lineRule="auto"/>
        <w:ind w:firstLine="709"/>
        <w:jc w:val="both"/>
        <w:rPr>
          <w:rFonts w:asciiTheme="majorBidi" w:eastAsia="Calibri" w:hAnsiTheme="majorBidi" w:cstheme="majorBidi"/>
          <w:szCs w:val="24"/>
        </w:rPr>
      </w:pPr>
      <w:r w:rsidRPr="004674CF">
        <w:rPr>
          <w:rFonts w:asciiTheme="majorBidi" w:eastAsia="Calibri" w:hAnsiTheme="majorBidi" w:cstheme="majorBidi"/>
          <w:szCs w:val="24"/>
        </w:rPr>
        <w:t xml:space="preserve">[3] Ar </w:t>
      </w:r>
      <w:bookmarkStart w:id="4" w:name="_Hlk127977878"/>
      <w:r w:rsidRPr="009A6C61">
        <w:rPr>
          <w:rFonts w:cs="Times New Roman"/>
          <w:szCs w:val="24"/>
        </w:rPr>
        <w:t xml:space="preserve">Zemgales apgabaltiesas </w:t>
      </w:r>
      <w:r w:rsidRPr="009A6C61">
        <w:rPr>
          <w:rFonts w:eastAsia="Calibri" w:cs="Times New Roman"/>
          <w:szCs w:val="24"/>
        </w:rPr>
        <w:t>2022. gada 23.</w:t>
      </w:r>
      <w:r>
        <w:rPr>
          <w:rFonts w:asciiTheme="majorBidi" w:eastAsia="Calibri" w:hAnsiTheme="majorBidi" w:cstheme="majorBidi"/>
          <w:szCs w:val="24"/>
        </w:rPr>
        <w:t> septembra</w:t>
      </w:r>
      <w:r w:rsidRPr="004674CF">
        <w:rPr>
          <w:rFonts w:asciiTheme="majorBidi" w:eastAsia="Calibri" w:hAnsiTheme="majorBidi" w:cstheme="majorBidi"/>
          <w:szCs w:val="24"/>
        </w:rPr>
        <w:t xml:space="preserve"> spriedumu</w:t>
      </w:r>
      <w:bookmarkEnd w:id="3"/>
      <w:bookmarkEnd w:id="4"/>
      <w:r w:rsidRPr="004674CF">
        <w:rPr>
          <w:rFonts w:asciiTheme="majorBidi" w:eastAsia="Calibri" w:hAnsiTheme="majorBidi" w:cstheme="majorBidi"/>
          <w:szCs w:val="24"/>
        </w:rPr>
        <w:t>, izskatot krimināllietu apelācijas kārtībā sakarā ar</w:t>
      </w:r>
      <w:r w:rsidRPr="00A17F56">
        <w:t xml:space="preserve"> </w:t>
      </w:r>
      <w:r w:rsidRPr="00A17F56">
        <w:rPr>
          <w:rFonts w:asciiTheme="majorBidi" w:eastAsia="Calibri" w:hAnsiTheme="majorBidi" w:cstheme="majorBidi"/>
          <w:szCs w:val="24"/>
        </w:rPr>
        <w:t xml:space="preserve">apsūdzētā </w:t>
      </w:r>
      <w:r w:rsidR="0069475E">
        <w:rPr>
          <w:rFonts w:asciiTheme="majorBidi" w:eastAsia="Calibri" w:hAnsiTheme="majorBidi" w:cstheme="majorBidi"/>
          <w:szCs w:val="24"/>
        </w:rPr>
        <w:t>[pers. A]</w:t>
      </w:r>
      <w:r>
        <w:rPr>
          <w:rFonts w:asciiTheme="majorBidi" w:eastAsia="Calibri" w:hAnsiTheme="majorBidi" w:cstheme="majorBidi"/>
          <w:szCs w:val="24"/>
        </w:rPr>
        <w:t xml:space="preserve"> </w:t>
      </w:r>
      <w:r w:rsidRPr="00A17F56">
        <w:rPr>
          <w:rFonts w:asciiTheme="majorBidi" w:eastAsia="Calibri" w:hAnsiTheme="majorBidi" w:cstheme="majorBidi"/>
          <w:szCs w:val="24"/>
        </w:rPr>
        <w:t xml:space="preserve">aizstāves Zentas </w:t>
      </w:r>
      <w:proofErr w:type="spellStart"/>
      <w:r w:rsidRPr="00A17F56">
        <w:rPr>
          <w:rFonts w:asciiTheme="majorBidi" w:eastAsia="Calibri" w:hAnsiTheme="majorBidi" w:cstheme="majorBidi"/>
          <w:szCs w:val="24"/>
        </w:rPr>
        <w:t>Bičkovičas</w:t>
      </w:r>
      <w:proofErr w:type="spellEnd"/>
      <w:r w:rsidRPr="00A17F56">
        <w:rPr>
          <w:rFonts w:asciiTheme="majorBidi" w:eastAsia="Calibri" w:hAnsiTheme="majorBidi" w:cstheme="majorBidi"/>
          <w:szCs w:val="24"/>
        </w:rPr>
        <w:t xml:space="preserve"> apelācijas sūdzību</w:t>
      </w:r>
      <w:r w:rsidRPr="004674CF">
        <w:rPr>
          <w:rFonts w:asciiTheme="majorBidi" w:eastAsia="Calibri" w:hAnsiTheme="majorBidi" w:cstheme="majorBidi"/>
          <w:szCs w:val="24"/>
        </w:rPr>
        <w:t xml:space="preserve">, </w:t>
      </w:r>
      <w:r w:rsidRPr="00A17F56">
        <w:rPr>
          <w:rFonts w:asciiTheme="majorBidi" w:eastAsia="Calibri" w:hAnsiTheme="majorBidi" w:cstheme="majorBidi"/>
          <w:szCs w:val="24"/>
        </w:rPr>
        <w:t>Zemgales rajona tiesas 2020</w:t>
      </w:r>
      <w:r>
        <w:rPr>
          <w:rFonts w:asciiTheme="majorBidi" w:eastAsia="Calibri" w:hAnsiTheme="majorBidi" w:cstheme="majorBidi"/>
          <w:szCs w:val="24"/>
        </w:rPr>
        <w:t>. </w:t>
      </w:r>
      <w:r w:rsidRPr="00A17F56">
        <w:rPr>
          <w:rFonts w:asciiTheme="majorBidi" w:eastAsia="Calibri" w:hAnsiTheme="majorBidi" w:cstheme="majorBidi"/>
          <w:szCs w:val="24"/>
        </w:rPr>
        <w:t>gada 27</w:t>
      </w:r>
      <w:r>
        <w:rPr>
          <w:rFonts w:asciiTheme="majorBidi" w:eastAsia="Calibri" w:hAnsiTheme="majorBidi" w:cstheme="majorBidi"/>
          <w:szCs w:val="24"/>
        </w:rPr>
        <w:t>. </w:t>
      </w:r>
      <w:r w:rsidRPr="00A17F56">
        <w:rPr>
          <w:rFonts w:asciiTheme="majorBidi" w:eastAsia="Calibri" w:hAnsiTheme="majorBidi" w:cstheme="majorBidi"/>
          <w:szCs w:val="24"/>
        </w:rPr>
        <w:t>augusta</w:t>
      </w:r>
      <w:r>
        <w:rPr>
          <w:rFonts w:asciiTheme="majorBidi" w:eastAsia="Calibri" w:hAnsiTheme="majorBidi" w:cstheme="majorBidi"/>
          <w:szCs w:val="24"/>
        </w:rPr>
        <w:t xml:space="preserve"> </w:t>
      </w:r>
      <w:r w:rsidRPr="004674CF">
        <w:rPr>
          <w:rFonts w:asciiTheme="majorBidi" w:eastAsia="Calibri" w:hAnsiTheme="majorBidi" w:cstheme="majorBidi"/>
          <w:szCs w:val="24"/>
        </w:rPr>
        <w:t>spriedums atcelts</w:t>
      </w:r>
      <w:r>
        <w:rPr>
          <w:rFonts w:asciiTheme="majorBidi" w:eastAsia="Calibri" w:hAnsiTheme="majorBidi" w:cstheme="majorBidi"/>
          <w:szCs w:val="24"/>
        </w:rPr>
        <w:t>. </w:t>
      </w:r>
    </w:p>
    <w:p w14:paraId="36C04212" w14:textId="09F2FE87" w:rsidR="00CC34E7" w:rsidRDefault="0069475E" w:rsidP="00CC34E7">
      <w:pPr>
        <w:tabs>
          <w:tab w:val="left" w:pos="3402"/>
        </w:tabs>
        <w:spacing w:after="0" w:line="276" w:lineRule="auto"/>
        <w:ind w:firstLine="709"/>
        <w:jc w:val="both"/>
        <w:rPr>
          <w:rFonts w:asciiTheme="majorBidi" w:eastAsia="Calibri" w:hAnsiTheme="majorBidi" w:cstheme="majorBidi"/>
          <w:szCs w:val="24"/>
        </w:rPr>
      </w:pPr>
      <w:r>
        <w:rPr>
          <w:rFonts w:asciiTheme="majorBidi" w:eastAsia="Calibri" w:hAnsiTheme="majorBidi" w:cstheme="majorBidi"/>
          <w:szCs w:val="24"/>
        </w:rPr>
        <w:t>[Pers. A]</w:t>
      </w:r>
      <w:r w:rsidR="00CC34E7">
        <w:rPr>
          <w:rFonts w:asciiTheme="majorBidi" w:eastAsia="Calibri" w:hAnsiTheme="majorBidi" w:cstheme="majorBidi"/>
          <w:szCs w:val="24"/>
        </w:rPr>
        <w:t xml:space="preserve"> </w:t>
      </w:r>
      <w:r w:rsidR="00CC34E7" w:rsidRPr="00CE1044">
        <w:rPr>
          <w:rFonts w:asciiTheme="majorBidi" w:eastAsia="Calibri" w:hAnsiTheme="majorBidi" w:cstheme="majorBidi"/>
          <w:szCs w:val="24"/>
        </w:rPr>
        <w:t>atzīt</w:t>
      </w:r>
      <w:r w:rsidR="00CC34E7">
        <w:rPr>
          <w:rFonts w:asciiTheme="majorBidi" w:eastAsia="Calibri" w:hAnsiTheme="majorBidi" w:cstheme="majorBidi"/>
          <w:szCs w:val="24"/>
        </w:rPr>
        <w:t xml:space="preserve">s </w:t>
      </w:r>
      <w:r w:rsidR="00CC34E7" w:rsidRPr="00CE1044">
        <w:rPr>
          <w:rFonts w:asciiTheme="majorBidi" w:eastAsia="Calibri" w:hAnsiTheme="majorBidi" w:cstheme="majorBidi"/>
          <w:szCs w:val="24"/>
        </w:rPr>
        <w:t>par nevainīgu un attaisnot</w:t>
      </w:r>
      <w:r w:rsidR="00CC34E7">
        <w:rPr>
          <w:rFonts w:asciiTheme="majorBidi" w:eastAsia="Calibri" w:hAnsiTheme="majorBidi" w:cstheme="majorBidi"/>
          <w:szCs w:val="24"/>
        </w:rPr>
        <w:t>s</w:t>
      </w:r>
      <w:r w:rsidR="00CC34E7" w:rsidRPr="00CE1044">
        <w:rPr>
          <w:rFonts w:asciiTheme="majorBidi" w:eastAsia="Calibri" w:hAnsiTheme="majorBidi" w:cstheme="majorBidi"/>
          <w:szCs w:val="24"/>
        </w:rPr>
        <w:t xml:space="preserve"> pret viņu celtajā apsūdzībā pēc Krimināllikuma</w:t>
      </w:r>
      <w:r w:rsidR="00CC34E7">
        <w:rPr>
          <w:rFonts w:asciiTheme="majorBidi" w:eastAsia="Calibri" w:hAnsiTheme="majorBidi" w:cstheme="majorBidi"/>
          <w:szCs w:val="24"/>
        </w:rPr>
        <w:t xml:space="preserve"> </w:t>
      </w:r>
      <w:r w:rsidR="00CC34E7" w:rsidRPr="00CE1044">
        <w:rPr>
          <w:rFonts w:asciiTheme="majorBidi" w:eastAsia="Calibri" w:hAnsiTheme="majorBidi" w:cstheme="majorBidi"/>
          <w:szCs w:val="24"/>
        </w:rPr>
        <w:t>20</w:t>
      </w:r>
      <w:r w:rsidR="00CC34E7">
        <w:rPr>
          <w:rFonts w:asciiTheme="majorBidi" w:eastAsia="Calibri" w:hAnsiTheme="majorBidi" w:cstheme="majorBidi"/>
          <w:szCs w:val="24"/>
        </w:rPr>
        <w:t>. </w:t>
      </w:r>
      <w:r w:rsidR="00CC34E7" w:rsidRPr="00CE1044">
        <w:rPr>
          <w:rFonts w:asciiTheme="majorBidi" w:eastAsia="Calibri" w:hAnsiTheme="majorBidi" w:cstheme="majorBidi"/>
          <w:szCs w:val="24"/>
        </w:rPr>
        <w:t>panta otrās daļas un 221</w:t>
      </w:r>
      <w:r w:rsidR="00CC34E7">
        <w:rPr>
          <w:rFonts w:asciiTheme="majorBidi" w:eastAsia="Calibri" w:hAnsiTheme="majorBidi" w:cstheme="majorBidi"/>
          <w:szCs w:val="24"/>
        </w:rPr>
        <w:t>. </w:t>
      </w:r>
      <w:r w:rsidR="00CC34E7" w:rsidRPr="00CE1044">
        <w:rPr>
          <w:rFonts w:asciiTheme="majorBidi" w:eastAsia="Calibri" w:hAnsiTheme="majorBidi" w:cstheme="majorBidi"/>
          <w:szCs w:val="24"/>
        </w:rPr>
        <w:t>panta pirmās daļas (likuma redakcijā</w:t>
      </w:r>
      <w:r w:rsidR="00F16ACD">
        <w:rPr>
          <w:rFonts w:asciiTheme="majorBidi" w:eastAsia="Calibri" w:hAnsiTheme="majorBidi" w:cstheme="majorBidi"/>
          <w:szCs w:val="24"/>
        </w:rPr>
        <w:t xml:space="preserve"> </w:t>
      </w:r>
      <w:r w:rsidR="00CC34E7" w:rsidRPr="00CE1044">
        <w:rPr>
          <w:rFonts w:asciiTheme="majorBidi" w:eastAsia="Calibri" w:hAnsiTheme="majorBidi" w:cstheme="majorBidi"/>
          <w:szCs w:val="24"/>
        </w:rPr>
        <w:t>līdz 2015</w:t>
      </w:r>
      <w:r w:rsidR="00CC34E7">
        <w:rPr>
          <w:rFonts w:asciiTheme="majorBidi" w:eastAsia="Calibri" w:hAnsiTheme="majorBidi" w:cstheme="majorBidi"/>
          <w:szCs w:val="24"/>
        </w:rPr>
        <w:t>. </w:t>
      </w:r>
      <w:r w:rsidR="00CC34E7" w:rsidRPr="00CE1044">
        <w:rPr>
          <w:rFonts w:asciiTheme="majorBidi" w:eastAsia="Calibri" w:hAnsiTheme="majorBidi" w:cstheme="majorBidi"/>
          <w:szCs w:val="24"/>
        </w:rPr>
        <w:t>gada</w:t>
      </w:r>
      <w:r w:rsidR="00CC34E7">
        <w:rPr>
          <w:rFonts w:asciiTheme="majorBidi" w:eastAsia="Calibri" w:hAnsiTheme="majorBidi" w:cstheme="majorBidi"/>
          <w:szCs w:val="24"/>
        </w:rPr>
        <w:t xml:space="preserve"> </w:t>
      </w:r>
      <w:r w:rsidR="00CC34E7" w:rsidRPr="00CE1044">
        <w:rPr>
          <w:rFonts w:asciiTheme="majorBidi" w:eastAsia="Calibri" w:hAnsiTheme="majorBidi" w:cstheme="majorBidi"/>
          <w:szCs w:val="24"/>
        </w:rPr>
        <w:t>2</w:t>
      </w:r>
      <w:r w:rsidR="00CC34E7">
        <w:rPr>
          <w:rFonts w:asciiTheme="majorBidi" w:eastAsia="Calibri" w:hAnsiTheme="majorBidi" w:cstheme="majorBidi"/>
          <w:szCs w:val="24"/>
        </w:rPr>
        <w:t>. </w:t>
      </w:r>
      <w:r w:rsidR="00CC34E7" w:rsidRPr="00CE1044">
        <w:rPr>
          <w:rFonts w:asciiTheme="majorBidi" w:eastAsia="Calibri" w:hAnsiTheme="majorBidi" w:cstheme="majorBidi"/>
          <w:szCs w:val="24"/>
        </w:rPr>
        <w:t>decembrim)</w:t>
      </w:r>
      <w:r w:rsidR="00CC34E7">
        <w:rPr>
          <w:rFonts w:asciiTheme="majorBidi" w:eastAsia="Calibri" w:hAnsiTheme="majorBidi" w:cstheme="majorBidi"/>
          <w:szCs w:val="24"/>
        </w:rPr>
        <w:t>. </w:t>
      </w:r>
    </w:p>
    <w:p w14:paraId="08B386C2" w14:textId="4A5098AF" w:rsidR="00CC34E7" w:rsidRDefault="0069475E" w:rsidP="00CC34E7">
      <w:pPr>
        <w:tabs>
          <w:tab w:val="left" w:pos="3402"/>
        </w:tabs>
        <w:spacing w:after="0" w:line="276" w:lineRule="auto"/>
        <w:ind w:firstLine="709"/>
        <w:jc w:val="both"/>
        <w:rPr>
          <w:rFonts w:asciiTheme="majorBidi" w:eastAsia="Calibri" w:hAnsiTheme="majorBidi" w:cstheme="majorBidi"/>
          <w:szCs w:val="24"/>
        </w:rPr>
      </w:pPr>
      <w:r>
        <w:rPr>
          <w:rFonts w:asciiTheme="majorBidi" w:eastAsia="Calibri" w:hAnsiTheme="majorBidi" w:cstheme="majorBidi"/>
          <w:szCs w:val="24"/>
        </w:rPr>
        <w:t>[Pers. </w:t>
      </w:r>
      <w:r>
        <w:t>B]</w:t>
      </w:r>
      <w:r w:rsidR="00CC34E7" w:rsidRPr="00FF61D2">
        <w:rPr>
          <w:rFonts w:asciiTheme="majorBidi" w:eastAsia="Calibri" w:hAnsiTheme="majorBidi" w:cstheme="majorBidi"/>
          <w:szCs w:val="24"/>
        </w:rPr>
        <w:t xml:space="preserve"> atzīt</w:t>
      </w:r>
      <w:r w:rsidR="00CC34E7">
        <w:rPr>
          <w:rFonts w:asciiTheme="majorBidi" w:eastAsia="Calibri" w:hAnsiTheme="majorBidi" w:cstheme="majorBidi"/>
          <w:szCs w:val="24"/>
        </w:rPr>
        <w:t>s</w:t>
      </w:r>
      <w:r w:rsidR="00CC34E7" w:rsidRPr="00FF61D2">
        <w:rPr>
          <w:rFonts w:asciiTheme="majorBidi" w:eastAsia="Calibri" w:hAnsiTheme="majorBidi" w:cstheme="majorBidi"/>
          <w:szCs w:val="24"/>
        </w:rPr>
        <w:t xml:space="preserve"> par vainīgu Krimināllikuma 221</w:t>
      </w:r>
      <w:r w:rsidR="00CC34E7">
        <w:rPr>
          <w:rFonts w:asciiTheme="majorBidi" w:eastAsia="Calibri" w:hAnsiTheme="majorBidi" w:cstheme="majorBidi"/>
          <w:szCs w:val="24"/>
        </w:rPr>
        <w:t>. </w:t>
      </w:r>
      <w:r w:rsidR="00CC34E7" w:rsidRPr="00FF61D2">
        <w:rPr>
          <w:rFonts w:asciiTheme="majorBidi" w:eastAsia="Calibri" w:hAnsiTheme="majorBidi" w:cstheme="majorBidi"/>
          <w:szCs w:val="24"/>
        </w:rPr>
        <w:t>panta pirmajā daļā (likuma redakcijā līdz 2015</w:t>
      </w:r>
      <w:r w:rsidR="00CC34E7">
        <w:rPr>
          <w:rFonts w:asciiTheme="majorBidi" w:eastAsia="Calibri" w:hAnsiTheme="majorBidi" w:cstheme="majorBidi"/>
          <w:szCs w:val="24"/>
        </w:rPr>
        <w:t>. </w:t>
      </w:r>
      <w:r w:rsidR="00CC34E7" w:rsidRPr="00FF61D2">
        <w:rPr>
          <w:rFonts w:asciiTheme="majorBidi" w:eastAsia="Calibri" w:hAnsiTheme="majorBidi" w:cstheme="majorBidi"/>
          <w:szCs w:val="24"/>
        </w:rPr>
        <w:t>gada 2</w:t>
      </w:r>
      <w:r w:rsidR="00CC34E7">
        <w:rPr>
          <w:rFonts w:asciiTheme="majorBidi" w:eastAsia="Calibri" w:hAnsiTheme="majorBidi" w:cstheme="majorBidi"/>
          <w:szCs w:val="24"/>
        </w:rPr>
        <w:t>. </w:t>
      </w:r>
      <w:r w:rsidR="00CC34E7" w:rsidRPr="00FF61D2">
        <w:rPr>
          <w:rFonts w:asciiTheme="majorBidi" w:eastAsia="Calibri" w:hAnsiTheme="majorBidi" w:cstheme="majorBidi"/>
          <w:szCs w:val="24"/>
        </w:rPr>
        <w:t>decembrim) paredzēt</w:t>
      </w:r>
      <w:r w:rsidR="00CC34E7">
        <w:rPr>
          <w:rFonts w:asciiTheme="majorBidi" w:eastAsia="Calibri" w:hAnsiTheme="majorBidi" w:cstheme="majorBidi"/>
          <w:szCs w:val="24"/>
        </w:rPr>
        <w:t>aj</w:t>
      </w:r>
      <w:r w:rsidR="00CC34E7" w:rsidRPr="00FF61D2">
        <w:rPr>
          <w:rFonts w:asciiTheme="majorBidi" w:eastAsia="Calibri" w:hAnsiTheme="majorBidi" w:cstheme="majorBidi"/>
          <w:szCs w:val="24"/>
        </w:rPr>
        <w:t>ā noziedzīg</w:t>
      </w:r>
      <w:r w:rsidR="00CC34E7">
        <w:rPr>
          <w:rFonts w:asciiTheme="majorBidi" w:eastAsia="Calibri" w:hAnsiTheme="majorBidi" w:cstheme="majorBidi"/>
          <w:szCs w:val="24"/>
        </w:rPr>
        <w:t>aj</w:t>
      </w:r>
      <w:r w:rsidR="00CC34E7" w:rsidRPr="00FF61D2">
        <w:rPr>
          <w:rFonts w:asciiTheme="majorBidi" w:eastAsia="Calibri" w:hAnsiTheme="majorBidi" w:cstheme="majorBidi"/>
          <w:szCs w:val="24"/>
        </w:rPr>
        <w:t>ā nodarījumā un sodīt</w:t>
      </w:r>
      <w:r w:rsidR="00CC34E7">
        <w:rPr>
          <w:rFonts w:asciiTheme="majorBidi" w:eastAsia="Calibri" w:hAnsiTheme="majorBidi" w:cstheme="majorBidi"/>
          <w:szCs w:val="24"/>
        </w:rPr>
        <w:t xml:space="preserve">s </w:t>
      </w:r>
      <w:r w:rsidR="00CC34E7" w:rsidRPr="00FF61D2">
        <w:rPr>
          <w:rFonts w:asciiTheme="majorBidi" w:eastAsia="Calibri" w:hAnsiTheme="majorBidi" w:cstheme="majorBidi"/>
          <w:szCs w:val="24"/>
        </w:rPr>
        <w:t>ar sabiedrisko darbu uz 160</w:t>
      </w:r>
      <w:r w:rsidR="00CC34E7">
        <w:rPr>
          <w:rFonts w:asciiTheme="majorBidi" w:eastAsia="Calibri" w:hAnsiTheme="majorBidi" w:cstheme="majorBidi"/>
          <w:szCs w:val="24"/>
        </w:rPr>
        <w:t> </w:t>
      </w:r>
      <w:r w:rsidR="00CC34E7" w:rsidRPr="00FF61D2">
        <w:rPr>
          <w:rFonts w:asciiTheme="majorBidi" w:eastAsia="Calibri" w:hAnsiTheme="majorBidi" w:cstheme="majorBidi"/>
          <w:szCs w:val="24"/>
        </w:rPr>
        <w:t>stundām</w:t>
      </w:r>
      <w:r w:rsidR="00CC34E7">
        <w:rPr>
          <w:rFonts w:asciiTheme="majorBidi" w:eastAsia="Calibri" w:hAnsiTheme="majorBidi" w:cstheme="majorBidi"/>
          <w:szCs w:val="24"/>
        </w:rPr>
        <w:t xml:space="preserve">. Saskaņā ar </w:t>
      </w:r>
      <w:r w:rsidR="00CC34E7" w:rsidRPr="003552E8">
        <w:rPr>
          <w:rFonts w:asciiTheme="majorBidi" w:eastAsia="Calibri" w:hAnsiTheme="majorBidi" w:cstheme="majorBidi"/>
          <w:szCs w:val="24"/>
        </w:rPr>
        <w:t>Krimināllikuma 52</w:t>
      </w:r>
      <w:r w:rsidR="00CC34E7">
        <w:rPr>
          <w:rFonts w:asciiTheme="majorBidi" w:eastAsia="Calibri" w:hAnsiTheme="majorBidi" w:cstheme="majorBidi"/>
          <w:szCs w:val="24"/>
        </w:rPr>
        <w:t>. </w:t>
      </w:r>
      <w:r w:rsidR="00CC34E7" w:rsidRPr="003552E8">
        <w:rPr>
          <w:rFonts w:asciiTheme="majorBidi" w:eastAsia="Calibri" w:hAnsiTheme="majorBidi" w:cstheme="majorBidi"/>
          <w:szCs w:val="24"/>
        </w:rPr>
        <w:t>panta piekt</w:t>
      </w:r>
      <w:r w:rsidR="00CC34E7">
        <w:rPr>
          <w:rFonts w:asciiTheme="majorBidi" w:eastAsia="Calibri" w:hAnsiTheme="majorBidi" w:cstheme="majorBidi"/>
          <w:szCs w:val="24"/>
        </w:rPr>
        <w:t xml:space="preserve">o </w:t>
      </w:r>
      <w:r w:rsidR="00CC34E7" w:rsidRPr="003552E8">
        <w:rPr>
          <w:rFonts w:asciiTheme="majorBidi" w:eastAsia="Calibri" w:hAnsiTheme="majorBidi" w:cstheme="majorBidi"/>
          <w:szCs w:val="24"/>
        </w:rPr>
        <w:t>daļ</w:t>
      </w:r>
      <w:r w:rsidR="00CC34E7">
        <w:rPr>
          <w:rFonts w:asciiTheme="majorBidi" w:eastAsia="Calibri" w:hAnsiTheme="majorBidi" w:cstheme="majorBidi"/>
          <w:szCs w:val="24"/>
        </w:rPr>
        <w:t>u</w:t>
      </w:r>
      <w:r w:rsidR="00CC34E7" w:rsidRPr="003552E8">
        <w:rPr>
          <w:rFonts w:asciiTheme="majorBidi" w:eastAsia="Calibri" w:hAnsiTheme="majorBidi" w:cstheme="majorBidi"/>
          <w:szCs w:val="24"/>
        </w:rPr>
        <w:t xml:space="preserve"> soda termiņā ieskaitīt</w:t>
      </w:r>
      <w:r w:rsidR="00CC34E7">
        <w:rPr>
          <w:rFonts w:asciiTheme="majorBidi" w:eastAsia="Calibri" w:hAnsiTheme="majorBidi" w:cstheme="majorBidi"/>
          <w:szCs w:val="24"/>
        </w:rPr>
        <w:t>a</w:t>
      </w:r>
      <w:r w:rsidR="00CC34E7" w:rsidRPr="003552E8">
        <w:rPr>
          <w:rFonts w:asciiTheme="majorBidi" w:eastAsia="Calibri" w:hAnsiTheme="majorBidi" w:cstheme="majorBidi"/>
          <w:szCs w:val="24"/>
        </w:rPr>
        <w:t xml:space="preserve"> aizturēšan</w:t>
      </w:r>
      <w:r w:rsidR="00CC34E7">
        <w:rPr>
          <w:rFonts w:asciiTheme="majorBidi" w:eastAsia="Calibri" w:hAnsiTheme="majorBidi" w:cstheme="majorBidi"/>
          <w:szCs w:val="24"/>
        </w:rPr>
        <w:t>a</w:t>
      </w:r>
      <w:r w:rsidR="00CC34E7" w:rsidRPr="003552E8">
        <w:rPr>
          <w:rFonts w:asciiTheme="majorBidi" w:eastAsia="Calibri" w:hAnsiTheme="majorBidi" w:cstheme="majorBidi"/>
          <w:szCs w:val="24"/>
        </w:rPr>
        <w:t xml:space="preserve"> no 2015</w:t>
      </w:r>
      <w:r w:rsidR="00CC34E7">
        <w:rPr>
          <w:rFonts w:asciiTheme="majorBidi" w:eastAsia="Calibri" w:hAnsiTheme="majorBidi" w:cstheme="majorBidi"/>
          <w:szCs w:val="24"/>
        </w:rPr>
        <w:t>. </w:t>
      </w:r>
      <w:r w:rsidR="00CC34E7" w:rsidRPr="003552E8">
        <w:rPr>
          <w:rFonts w:asciiTheme="majorBidi" w:eastAsia="Calibri" w:hAnsiTheme="majorBidi" w:cstheme="majorBidi"/>
          <w:szCs w:val="24"/>
        </w:rPr>
        <w:t>gada 9</w:t>
      </w:r>
      <w:r w:rsidR="00CC34E7">
        <w:rPr>
          <w:rFonts w:asciiTheme="majorBidi" w:eastAsia="Calibri" w:hAnsiTheme="majorBidi" w:cstheme="majorBidi"/>
          <w:szCs w:val="24"/>
        </w:rPr>
        <w:t>. </w:t>
      </w:r>
      <w:r w:rsidR="00CC34E7" w:rsidRPr="003552E8">
        <w:rPr>
          <w:rFonts w:asciiTheme="majorBidi" w:eastAsia="Calibri" w:hAnsiTheme="majorBidi" w:cstheme="majorBidi"/>
          <w:szCs w:val="24"/>
        </w:rPr>
        <w:t>līdz</w:t>
      </w:r>
      <w:r w:rsidR="00CC34E7">
        <w:rPr>
          <w:rFonts w:asciiTheme="majorBidi" w:eastAsia="Calibri" w:hAnsiTheme="majorBidi" w:cstheme="majorBidi"/>
          <w:szCs w:val="24"/>
        </w:rPr>
        <w:t xml:space="preserve"> </w:t>
      </w:r>
      <w:r w:rsidR="00CC34E7" w:rsidRPr="003552E8">
        <w:rPr>
          <w:rFonts w:asciiTheme="majorBidi" w:eastAsia="Calibri" w:hAnsiTheme="majorBidi" w:cstheme="majorBidi"/>
          <w:szCs w:val="24"/>
        </w:rPr>
        <w:t>10</w:t>
      </w:r>
      <w:r w:rsidR="00CC34E7">
        <w:rPr>
          <w:rFonts w:asciiTheme="majorBidi" w:eastAsia="Calibri" w:hAnsiTheme="majorBidi" w:cstheme="majorBidi"/>
          <w:szCs w:val="24"/>
        </w:rPr>
        <w:t>. </w:t>
      </w:r>
      <w:r w:rsidR="00CC34E7" w:rsidRPr="003552E8">
        <w:rPr>
          <w:rFonts w:asciiTheme="majorBidi" w:eastAsia="Calibri" w:hAnsiTheme="majorBidi" w:cstheme="majorBidi"/>
          <w:szCs w:val="24"/>
        </w:rPr>
        <w:t xml:space="preserve">novembrim, </w:t>
      </w:r>
      <w:r w:rsidR="00CC34E7">
        <w:rPr>
          <w:rFonts w:asciiTheme="majorBidi" w:eastAsia="Calibri" w:hAnsiTheme="majorBidi" w:cstheme="majorBidi"/>
          <w:szCs w:val="24"/>
        </w:rPr>
        <w:t>kas atbilst</w:t>
      </w:r>
      <w:r w:rsidR="00CC34E7" w:rsidRPr="003552E8">
        <w:rPr>
          <w:rFonts w:asciiTheme="majorBidi" w:eastAsia="Calibri" w:hAnsiTheme="majorBidi" w:cstheme="majorBidi"/>
          <w:szCs w:val="24"/>
        </w:rPr>
        <w:t xml:space="preserve"> 16</w:t>
      </w:r>
      <w:r w:rsidR="00CC34E7">
        <w:rPr>
          <w:rFonts w:asciiTheme="majorBidi" w:eastAsia="Calibri" w:hAnsiTheme="majorBidi" w:cstheme="majorBidi"/>
          <w:szCs w:val="24"/>
        </w:rPr>
        <w:t> </w:t>
      </w:r>
      <w:r w:rsidR="00CC34E7" w:rsidRPr="003552E8">
        <w:rPr>
          <w:rFonts w:asciiTheme="majorBidi" w:eastAsia="Calibri" w:hAnsiTheme="majorBidi" w:cstheme="majorBidi"/>
          <w:szCs w:val="24"/>
        </w:rPr>
        <w:t>sabiedriskā</w:t>
      </w:r>
      <w:r w:rsidR="00CC34E7">
        <w:rPr>
          <w:rFonts w:asciiTheme="majorBidi" w:eastAsia="Calibri" w:hAnsiTheme="majorBidi" w:cstheme="majorBidi"/>
          <w:szCs w:val="24"/>
        </w:rPr>
        <w:t xml:space="preserve"> </w:t>
      </w:r>
      <w:r w:rsidR="00CC34E7" w:rsidRPr="003552E8">
        <w:rPr>
          <w:rFonts w:asciiTheme="majorBidi" w:eastAsia="Calibri" w:hAnsiTheme="majorBidi" w:cstheme="majorBidi"/>
          <w:szCs w:val="24"/>
        </w:rPr>
        <w:t>darba stund</w:t>
      </w:r>
      <w:r w:rsidR="00CC34E7">
        <w:rPr>
          <w:rFonts w:asciiTheme="majorBidi" w:eastAsia="Calibri" w:hAnsiTheme="majorBidi" w:cstheme="majorBidi"/>
          <w:szCs w:val="24"/>
        </w:rPr>
        <w:t>ām. </w:t>
      </w:r>
    </w:p>
    <w:p w14:paraId="6A456843" w14:textId="13C294E1" w:rsidR="00CC34E7" w:rsidRDefault="00CC34E7" w:rsidP="00CC34E7">
      <w:pPr>
        <w:tabs>
          <w:tab w:val="left" w:pos="3402"/>
        </w:tabs>
        <w:spacing w:after="0" w:line="276" w:lineRule="auto"/>
        <w:ind w:firstLine="709"/>
        <w:jc w:val="both"/>
        <w:rPr>
          <w:rFonts w:asciiTheme="majorBidi" w:eastAsia="Calibri" w:hAnsiTheme="majorBidi" w:cstheme="majorBidi"/>
          <w:szCs w:val="24"/>
        </w:rPr>
      </w:pPr>
      <w:r>
        <w:rPr>
          <w:rFonts w:asciiTheme="majorBidi" w:eastAsia="Calibri" w:hAnsiTheme="majorBidi" w:cstheme="majorBidi"/>
          <w:szCs w:val="24"/>
        </w:rPr>
        <w:t xml:space="preserve">Kaitējuma kompensācija </w:t>
      </w:r>
      <w:r w:rsidRPr="003552E8">
        <w:rPr>
          <w:rFonts w:asciiTheme="majorBidi" w:eastAsia="Calibri" w:hAnsiTheme="majorBidi" w:cstheme="majorBidi"/>
          <w:szCs w:val="24"/>
        </w:rPr>
        <w:t>12</w:t>
      </w:r>
      <w:r>
        <w:rPr>
          <w:rFonts w:asciiTheme="majorBidi" w:eastAsia="Calibri" w:hAnsiTheme="majorBidi" w:cstheme="majorBidi"/>
          <w:szCs w:val="24"/>
        </w:rPr>
        <w:t> </w:t>
      </w:r>
      <w:r w:rsidRPr="003552E8">
        <w:rPr>
          <w:rFonts w:asciiTheme="majorBidi" w:eastAsia="Calibri" w:hAnsiTheme="majorBidi" w:cstheme="majorBidi"/>
          <w:szCs w:val="24"/>
        </w:rPr>
        <w:t>541,17</w:t>
      </w:r>
      <w:r>
        <w:rPr>
          <w:rFonts w:asciiTheme="majorBidi" w:eastAsia="Calibri" w:hAnsiTheme="majorBidi" w:cstheme="majorBidi"/>
          <w:szCs w:val="24"/>
        </w:rPr>
        <w:t> </w:t>
      </w:r>
      <w:r w:rsidRPr="003552E8">
        <w:rPr>
          <w:rFonts w:asciiTheme="majorBidi" w:eastAsia="Calibri" w:hAnsiTheme="majorBidi" w:cstheme="majorBidi"/>
          <w:i/>
          <w:iCs/>
          <w:szCs w:val="24"/>
        </w:rPr>
        <w:t>euro</w:t>
      </w:r>
      <w:r>
        <w:rPr>
          <w:rFonts w:asciiTheme="majorBidi" w:eastAsia="Calibri" w:hAnsiTheme="majorBidi" w:cstheme="majorBidi"/>
          <w:szCs w:val="24"/>
        </w:rPr>
        <w:t xml:space="preserve"> valsts labā piedzīta no apsūdzētā </w:t>
      </w:r>
      <w:r w:rsidR="0069475E">
        <w:rPr>
          <w:rFonts w:asciiTheme="majorBidi" w:eastAsia="Calibri" w:hAnsiTheme="majorBidi" w:cstheme="majorBidi"/>
          <w:szCs w:val="24"/>
        </w:rPr>
        <w:t>[pers. B]</w:t>
      </w:r>
      <w:r>
        <w:rPr>
          <w:rFonts w:asciiTheme="majorBidi" w:eastAsia="Calibri" w:hAnsiTheme="majorBidi" w:cstheme="majorBidi"/>
          <w:szCs w:val="24"/>
        </w:rPr>
        <w:t>. </w:t>
      </w:r>
    </w:p>
    <w:p w14:paraId="03BDBD7E" w14:textId="77777777" w:rsidR="00CC34E7" w:rsidRPr="004674CF" w:rsidRDefault="00CC34E7" w:rsidP="00CC34E7">
      <w:pPr>
        <w:spacing w:after="0" w:line="276" w:lineRule="auto"/>
        <w:jc w:val="both"/>
        <w:rPr>
          <w:rFonts w:asciiTheme="majorBidi" w:hAnsiTheme="majorBidi" w:cstheme="majorBidi"/>
          <w:szCs w:val="24"/>
        </w:rPr>
      </w:pPr>
    </w:p>
    <w:p w14:paraId="211B3483" w14:textId="77777777" w:rsidR="00CC34E7" w:rsidRPr="00CF00D8" w:rsidRDefault="00CC34E7" w:rsidP="00CC34E7">
      <w:pPr>
        <w:spacing w:after="0" w:line="276" w:lineRule="auto"/>
        <w:ind w:firstLine="709"/>
        <w:jc w:val="both"/>
        <w:rPr>
          <w:rFonts w:cs="Times New Roman"/>
          <w:szCs w:val="24"/>
        </w:rPr>
      </w:pPr>
      <w:r w:rsidRPr="00CF00D8">
        <w:rPr>
          <w:rFonts w:cs="Times New Roman"/>
          <w:szCs w:val="24"/>
        </w:rPr>
        <w:t xml:space="preserve">[4] Par Zemgales apgabaltiesas </w:t>
      </w:r>
      <w:r w:rsidRPr="00CF00D8">
        <w:rPr>
          <w:rFonts w:eastAsia="Calibri" w:cs="Times New Roman"/>
          <w:szCs w:val="24"/>
        </w:rPr>
        <w:t>2022. gada 23. septembra spriedumu</w:t>
      </w:r>
      <w:r w:rsidRPr="00CF00D8">
        <w:rPr>
          <w:rFonts w:cs="Times New Roman"/>
          <w:szCs w:val="24"/>
        </w:rPr>
        <w:t xml:space="preserve"> </w:t>
      </w:r>
      <w:r w:rsidRPr="00CF00D8">
        <w:rPr>
          <w:rFonts w:eastAsia="Calibri" w:cs="Times New Roman"/>
          <w:szCs w:val="24"/>
        </w:rPr>
        <w:t>Austrumzemgales prokuratūras prokurore A. </w:t>
      </w:r>
      <w:proofErr w:type="spellStart"/>
      <w:r w:rsidRPr="00CF00D8">
        <w:rPr>
          <w:rFonts w:eastAsia="Calibri" w:cs="Times New Roman"/>
          <w:szCs w:val="24"/>
        </w:rPr>
        <w:t>Šafare</w:t>
      </w:r>
      <w:proofErr w:type="spellEnd"/>
      <w:r w:rsidRPr="00CF00D8">
        <w:rPr>
          <w:rFonts w:eastAsia="Calibri" w:cs="Times New Roman"/>
          <w:szCs w:val="24"/>
        </w:rPr>
        <w:t xml:space="preserve"> iesniegusi kasācijas protestu</w:t>
      </w:r>
      <w:r w:rsidRPr="00CF00D8">
        <w:rPr>
          <w:rFonts w:cs="Times New Roman"/>
          <w:szCs w:val="24"/>
        </w:rPr>
        <w:t xml:space="preserve">, bet Valsts ieņēmumu dienests – kasācijas sūdzību.  </w:t>
      </w:r>
    </w:p>
    <w:p w14:paraId="2BBA3FBC" w14:textId="77777777" w:rsidR="00CC34E7" w:rsidRPr="00CF00D8" w:rsidRDefault="00CC34E7" w:rsidP="00CC34E7">
      <w:pPr>
        <w:spacing w:after="0" w:line="276" w:lineRule="auto"/>
        <w:ind w:firstLine="709"/>
        <w:jc w:val="both"/>
        <w:rPr>
          <w:rFonts w:cs="Times New Roman"/>
          <w:szCs w:val="24"/>
        </w:rPr>
      </w:pPr>
    </w:p>
    <w:p w14:paraId="232BE757" w14:textId="4BFCB597" w:rsidR="00CC34E7" w:rsidRPr="00106284" w:rsidRDefault="00CC34E7" w:rsidP="00CC34E7">
      <w:pPr>
        <w:spacing w:after="0" w:line="276" w:lineRule="auto"/>
        <w:ind w:firstLine="709"/>
        <w:jc w:val="both"/>
        <w:rPr>
          <w:rFonts w:cs="Times New Roman"/>
          <w:szCs w:val="24"/>
        </w:rPr>
      </w:pPr>
      <w:r w:rsidRPr="00CF00D8">
        <w:rPr>
          <w:rFonts w:cs="Times New Roman"/>
          <w:szCs w:val="24"/>
        </w:rPr>
        <w:t>[5] </w:t>
      </w:r>
      <w:r w:rsidRPr="00CF00D8">
        <w:rPr>
          <w:rFonts w:eastAsia="Calibri" w:cs="Times New Roman"/>
          <w:szCs w:val="24"/>
        </w:rPr>
        <w:t xml:space="preserve">Prokurore kasācijas protestā lūdz </w:t>
      </w:r>
      <w:r w:rsidRPr="00CF00D8">
        <w:rPr>
          <w:rFonts w:cs="Times New Roman"/>
          <w:szCs w:val="24"/>
        </w:rPr>
        <w:t xml:space="preserve">atcelt apelācijas instances tiesas spriedumu daļā par </w:t>
      </w:r>
      <w:r w:rsidR="0069475E">
        <w:rPr>
          <w:rFonts w:cs="Times New Roman"/>
          <w:szCs w:val="24"/>
        </w:rPr>
        <w:t>[pers. A]</w:t>
      </w:r>
      <w:r w:rsidRPr="00CF00D8">
        <w:rPr>
          <w:rFonts w:cs="Times New Roman"/>
          <w:szCs w:val="24"/>
        </w:rPr>
        <w:t xml:space="preserve"> atzīšanu par nevainīgu</w:t>
      </w:r>
      <w:r>
        <w:rPr>
          <w:rFonts w:cs="Times New Roman"/>
          <w:szCs w:val="24"/>
        </w:rPr>
        <w:t xml:space="preserve"> pret viņu celtajā apsūdzībā pēc</w:t>
      </w:r>
      <w:r w:rsidRPr="00CF00D8">
        <w:rPr>
          <w:rFonts w:cs="Times New Roman"/>
          <w:szCs w:val="24"/>
        </w:rPr>
        <w:t xml:space="preserve"> Krimināllikuma 20. panta otrās daļas un 221. panta pirmās daļas un attaisnošanu un lietu šajā </w:t>
      </w:r>
      <w:r w:rsidRPr="00106284">
        <w:rPr>
          <w:rFonts w:cs="Times New Roman"/>
          <w:szCs w:val="24"/>
        </w:rPr>
        <w:t>daļā nosūtīt jaunai izskatīšanai apelācijas instances tiesā.</w:t>
      </w:r>
    </w:p>
    <w:p w14:paraId="6656B87D" w14:textId="7DD379FF" w:rsidR="00CC34E7" w:rsidRPr="00106284" w:rsidRDefault="00CC34E7" w:rsidP="00CC34E7">
      <w:pPr>
        <w:spacing w:after="0" w:line="276" w:lineRule="auto"/>
        <w:ind w:firstLine="709"/>
        <w:jc w:val="both"/>
        <w:rPr>
          <w:rFonts w:cs="Times New Roman"/>
          <w:szCs w:val="24"/>
        </w:rPr>
      </w:pPr>
      <w:r w:rsidRPr="00106284">
        <w:rPr>
          <w:rFonts w:cs="Times New Roman"/>
          <w:szCs w:val="24"/>
        </w:rPr>
        <w:tab/>
        <w:t>Apelācijas instances tiesa pieļāvusi Kriminālprocesa likuma 128. panta otrās daļas, 130. panta otrās daļas, 511. panta otrās daļas, 512. panta, 525. panta otrās daļas 2. un 3. punkta, 564. panta ceturtās daļas pārkāpumus, kas</w:t>
      </w:r>
      <w:r w:rsidRPr="00106284">
        <w:t xml:space="preserve"> atzīstami par Kriminālprocesa likuma būtiskiem pārkāpumiem šā likuma 575.</w:t>
      </w:r>
      <w:r w:rsidR="00F16ACD">
        <w:t> </w:t>
      </w:r>
      <w:r w:rsidRPr="00106284">
        <w:t>panta trešās daļas izpratnē un noveduši pie nelikumīga nolēmuma</w:t>
      </w:r>
      <w:r w:rsidR="00736C50">
        <w:t>,</w:t>
      </w:r>
      <w:r w:rsidRPr="00106284">
        <w:rPr>
          <w:rFonts w:cs="Times New Roman"/>
          <w:szCs w:val="24"/>
        </w:rPr>
        <w:t xml:space="preserve"> un ir par pamatu sprieduma atcelšanai šajā daļā.</w:t>
      </w:r>
    </w:p>
    <w:p w14:paraId="27F082FB" w14:textId="77777777" w:rsidR="00CC34E7" w:rsidRPr="004674CF" w:rsidRDefault="00CC34E7" w:rsidP="00CC34E7">
      <w:pPr>
        <w:spacing w:after="0" w:line="276" w:lineRule="auto"/>
        <w:ind w:firstLine="709"/>
        <w:jc w:val="both"/>
        <w:rPr>
          <w:rFonts w:asciiTheme="majorBidi" w:eastAsia="Calibri" w:hAnsiTheme="majorBidi" w:cstheme="majorBidi"/>
          <w:szCs w:val="24"/>
        </w:rPr>
      </w:pPr>
      <w:r w:rsidRPr="004674CF">
        <w:rPr>
          <w:rFonts w:asciiTheme="majorBidi" w:eastAsia="Calibri" w:hAnsiTheme="majorBidi" w:cstheme="majorBidi"/>
          <w:szCs w:val="24"/>
        </w:rPr>
        <w:t>Kasācijas protest</w:t>
      </w:r>
      <w:r>
        <w:rPr>
          <w:rFonts w:asciiTheme="majorBidi" w:eastAsia="Calibri" w:hAnsiTheme="majorBidi" w:cstheme="majorBidi"/>
          <w:szCs w:val="24"/>
        </w:rPr>
        <w:t>s</w:t>
      </w:r>
      <w:r w:rsidRPr="004674CF">
        <w:rPr>
          <w:rFonts w:asciiTheme="majorBidi" w:eastAsia="Calibri" w:hAnsiTheme="majorBidi" w:cstheme="majorBidi"/>
          <w:szCs w:val="24"/>
        </w:rPr>
        <w:t xml:space="preserve"> pamato</w:t>
      </w:r>
      <w:r>
        <w:rPr>
          <w:rFonts w:asciiTheme="majorBidi" w:eastAsia="Calibri" w:hAnsiTheme="majorBidi" w:cstheme="majorBidi"/>
          <w:szCs w:val="24"/>
        </w:rPr>
        <w:t>ts ar</w:t>
      </w:r>
      <w:r w:rsidRPr="004674CF">
        <w:rPr>
          <w:rFonts w:asciiTheme="majorBidi" w:eastAsia="Calibri" w:hAnsiTheme="majorBidi" w:cstheme="majorBidi"/>
          <w:szCs w:val="24"/>
        </w:rPr>
        <w:t xml:space="preserve"> šādi</w:t>
      </w:r>
      <w:r>
        <w:rPr>
          <w:rFonts w:asciiTheme="majorBidi" w:eastAsia="Calibri" w:hAnsiTheme="majorBidi" w:cstheme="majorBidi"/>
          <w:szCs w:val="24"/>
        </w:rPr>
        <w:t>em</w:t>
      </w:r>
      <w:r w:rsidRPr="004674CF">
        <w:rPr>
          <w:rFonts w:asciiTheme="majorBidi" w:eastAsia="Calibri" w:hAnsiTheme="majorBidi" w:cstheme="majorBidi"/>
          <w:szCs w:val="24"/>
        </w:rPr>
        <w:t xml:space="preserve"> argumenti</w:t>
      </w:r>
      <w:r>
        <w:rPr>
          <w:rFonts w:asciiTheme="majorBidi" w:eastAsia="Calibri" w:hAnsiTheme="majorBidi" w:cstheme="majorBidi"/>
          <w:szCs w:val="24"/>
        </w:rPr>
        <w:t>em. </w:t>
      </w:r>
    </w:p>
    <w:p w14:paraId="50DD9C6B" w14:textId="46D10270" w:rsidR="00CC34E7" w:rsidRDefault="00CC34E7" w:rsidP="00CC34E7">
      <w:pPr>
        <w:spacing w:after="0" w:line="276" w:lineRule="auto"/>
        <w:ind w:firstLine="709"/>
        <w:jc w:val="both"/>
        <w:rPr>
          <w:rFonts w:asciiTheme="majorBidi" w:hAnsiTheme="majorBidi" w:cstheme="majorBidi"/>
          <w:szCs w:val="24"/>
        </w:rPr>
      </w:pPr>
      <w:r>
        <w:rPr>
          <w:rFonts w:asciiTheme="majorBidi" w:hAnsiTheme="majorBidi" w:cstheme="majorBidi"/>
          <w:szCs w:val="24"/>
        </w:rPr>
        <w:t>[5.1] Apelācijas instances tiesa sašaurināti tulkojusi Kriminālprocesa likuma 127. pantu, atzīstot, ka</w:t>
      </w:r>
      <w:r w:rsidRPr="005B6512">
        <w:rPr>
          <w:rFonts w:asciiTheme="majorBidi" w:hAnsiTheme="majorBidi" w:cstheme="majorBidi"/>
          <w:szCs w:val="24"/>
        </w:rPr>
        <w:t xml:space="preserve"> </w:t>
      </w:r>
      <w:r>
        <w:rPr>
          <w:rFonts w:asciiTheme="majorBidi" w:hAnsiTheme="majorBidi" w:cstheme="majorBidi"/>
          <w:szCs w:val="24"/>
        </w:rPr>
        <w:t xml:space="preserve">iegūto ziņu par </w:t>
      </w:r>
      <w:r w:rsidR="00F16ACD">
        <w:rPr>
          <w:rFonts w:asciiTheme="majorBidi" w:hAnsiTheme="majorBidi" w:cstheme="majorBidi"/>
          <w:szCs w:val="24"/>
        </w:rPr>
        <w:t xml:space="preserve">telefona </w:t>
      </w:r>
      <w:r>
        <w:rPr>
          <w:rFonts w:asciiTheme="majorBidi" w:hAnsiTheme="majorBidi" w:cstheme="majorBidi"/>
          <w:szCs w:val="24"/>
        </w:rPr>
        <w:t xml:space="preserve">sarunu noklausīšanos operatīvās darbības pasākumu laikā izmantošana nav pieļaujama, jo pirmās instances tiesa apsūdzētajiem inkriminēto noziedzīgo nodarījumu </w:t>
      </w:r>
      <w:r w:rsidR="00F16ACD">
        <w:rPr>
          <w:rFonts w:asciiTheme="majorBidi" w:hAnsiTheme="majorBidi" w:cstheme="majorBidi"/>
          <w:szCs w:val="24"/>
        </w:rPr>
        <w:t>pārkvalificējusi uz</w:t>
      </w:r>
      <w:r>
        <w:rPr>
          <w:rFonts w:asciiTheme="majorBidi" w:hAnsiTheme="majorBidi" w:cstheme="majorBidi"/>
          <w:szCs w:val="24"/>
        </w:rPr>
        <w:t xml:space="preserve"> kriminālpārkāpumu.</w:t>
      </w:r>
    </w:p>
    <w:p w14:paraId="60C6886A" w14:textId="77777777" w:rsidR="00CC34E7" w:rsidRDefault="00CC34E7" w:rsidP="00CC34E7">
      <w:pPr>
        <w:spacing w:after="0" w:line="276" w:lineRule="auto"/>
        <w:ind w:firstLine="709"/>
        <w:jc w:val="both"/>
        <w:rPr>
          <w:rFonts w:asciiTheme="majorBidi" w:hAnsiTheme="majorBidi" w:cstheme="majorBidi"/>
          <w:szCs w:val="24"/>
        </w:rPr>
      </w:pPr>
      <w:r>
        <w:rPr>
          <w:rFonts w:asciiTheme="majorBidi" w:hAnsiTheme="majorBidi" w:cstheme="majorBidi"/>
          <w:szCs w:val="24"/>
        </w:rPr>
        <w:t>No Kriminālprocesa likuma 127. panta trešās daļas secināms, ka likumā noteikts tikai viens nosacījums operatīvās darbības pasākumos iegūto ziņu par faktiem izmantošanai pierādīšanā, tas ir, ja tās iespējams pārbaudīt šajā likumā noteiktajā procesuālajā kārtībā.</w:t>
      </w:r>
    </w:p>
    <w:p w14:paraId="3B6C38A7" w14:textId="2A2BBB96" w:rsidR="00CC34E7" w:rsidRDefault="00CC34E7" w:rsidP="00CC34E7">
      <w:pPr>
        <w:spacing w:after="0" w:line="276" w:lineRule="auto"/>
        <w:ind w:firstLine="709"/>
        <w:jc w:val="both"/>
        <w:rPr>
          <w:rFonts w:asciiTheme="majorBidi" w:hAnsiTheme="majorBidi" w:cstheme="majorBidi"/>
          <w:szCs w:val="24"/>
        </w:rPr>
      </w:pPr>
      <w:r>
        <w:rPr>
          <w:rFonts w:asciiTheme="majorBidi" w:hAnsiTheme="majorBidi" w:cstheme="majorBidi"/>
          <w:szCs w:val="24"/>
        </w:rPr>
        <w:lastRenderedPageBreak/>
        <w:t>Izskatāmajā lietā konstatēts, ka telefona sarunu noklausīšanās veikta, ievērojot Operatīvās darbības likuma 17. panta pirmās daļas 3. punktā noteiktos priekšnosacījumus.</w:t>
      </w:r>
      <w:r w:rsidR="00F4082F">
        <w:rPr>
          <w:rFonts w:asciiTheme="majorBidi" w:hAnsiTheme="majorBidi" w:cstheme="majorBidi"/>
          <w:szCs w:val="24"/>
        </w:rPr>
        <w:t xml:space="preserve"> </w:t>
      </w:r>
      <w:r>
        <w:rPr>
          <w:rFonts w:asciiTheme="majorBidi" w:hAnsiTheme="majorBidi" w:cstheme="majorBidi"/>
          <w:szCs w:val="24"/>
        </w:rPr>
        <w:t>Pirmās instances tiesa atbilstoši Kriminālprocesa likuma 500. panta ceturtajai daļai</w:t>
      </w:r>
      <w:r w:rsidR="00F16ACD">
        <w:rPr>
          <w:rFonts w:asciiTheme="majorBidi" w:hAnsiTheme="majorBidi" w:cstheme="majorBidi"/>
          <w:szCs w:val="24"/>
        </w:rPr>
        <w:t xml:space="preserve"> (tā laika aktuālajā redakcijā)</w:t>
      </w:r>
      <w:r>
        <w:rPr>
          <w:rFonts w:asciiTheme="majorBidi" w:hAnsiTheme="majorBidi" w:cstheme="majorBidi"/>
          <w:szCs w:val="24"/>
        </w:rPr>
        <w:t xml:space="preserve"> ir iepazinusies ar operatīvās izstrādes lietu un nav konstatējusi kriminālprocesa pamatprincipu vai personu konstitucionālo tiesību pārkāpumus.</w:t>
      </w:r>
      <w:r w:rsidR="00F4082F">
        <w:rPr>
          <w:rFonts w:asciiTheme="majorBidi" w:hAnsiTheme="majorBidi" w:cstheme="majorBidi"/>
          <w:szCs w:val="24"/>
        </w:rPr>
        <w:t xml:space="preserve"> </w:t>
      </w:r>
      <w:r>
        <w:rPr>
          <w:rFonts w:asciiTheme="majorBidi" w:hAnsiTheme="majorBidi" w:cstheme="majorBidi"/>
          <w:szCs w:val="24"/>
        </w:rPr>
        <w:t>Līdz ar to nav pamata atzīt par nepieļaujamu pierādījumu šo darbību ietvaros iegūtās ziņas par faktiem tikai tādēļ, ka tās tiek izmantotas kriminālpārkāpuma pierādīšanā.</w:t>
      </w:r>
    </w:p>
    <w:p w14:paraId="41C638F5" w14:textId="5925942C" w:rsidR="00CC34E7" w:rsidRPr="008378F2" w:rsidRDefault="00CC34E7" w:rsidP="00CC34E7">
      <w:pPr>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Apelācijas instances tiesa operatīvās darbības pasākumu laikā iegūtās ziņas par </w:t>
      </w:r>
      <w:r w:rsidR="00F16ACD">
        <w:rPr>
          <w:rFonts w:asciiTheme="majorBidi" w:hAnsiTheme="majorBidi" w:cstheme="majorBidi"/>
          <w:szCs w:val="24"/>
        </w:rPr>
        <w:t xml:space="preserve">telefona </w:t>
      </w:r>
      <w:r>
        <w:rPr>
          <w:rFonts w:asciiTheme="majorBidi" w:hAnsiTheme="majorBidi" w:cstheme="majorBidi"/>
          <w:szCs w:val="24"/>
        </w:rPr>
        <w:t xml:space="preserve">sarunu </w:t>
      </w:r>
      <w:r w:rsidRPr="00462F28">
        <w:rPr>
          <w:rFonts w:asciiTheme="majorBidi" w:hAnsiTheme="majorBidi" w:cstheme="majorBidi"/>
          <w:szCs w:val="24"/>
        </w:rPr>
        <w:t xml:space="preserve">noklausīšanos vērtējusi formāli, aprobežojoties tikai ar </w:t>
      </w:r>
      <w:r w:rsidR="00D36898" w:rsidRPr="00462F28">
        <w:rPr>
          <w:rFonts w:asciiTheme="majorBidi" w:hAnsiTheme="majorBidi" w:cstheme="majorBidi"/>
          <w:szCs w:val="24"/>
        </w:rPr>
        <w:t>to, ka pirmās instances tiesa apsūdzēto</w:t>
      </w:r>
      <w:r w:rsidR="00CB3071" w:rsidRPr="00462F28">
        <w:rPr>
          <w:rFonts w:asciiTheme="majorBidi" w:hAnsiTheme="majorBidi" w:cstheme="majorBidi"/>
          <w:szCs w:val="24"/>
        </w:rPr>
        <w:t>s atzinusi par vainīgiem kriminālpārkāpumu izdarīšanā.</w:t>
      </w:r>
      <w:r w:rsidRPr="00462F28">
        <w:rPr>
          <w:rFonts w:asciiTheme="majorBidi" w:hAnsiTheme="majorBidi" w:cstheme="majorBidi"/>
          <w:szCs w:val="24"/>
        </w:rPr>
        <w:t xml:space="preserve"> Pretēji pirmās instances tiesai apelācijas instances tiesa nav vērtējusi, vai šo</w:t>
      </w:r>
      <w:r>
        <w:rPr>
          <w:rFonts w:asciiTheme="majorBidi" w:hAnsiTheme="majorBidi" w:cstheme="majorBidi"/>
          <w:szCs w:val="24"/>
        </w:rPr>
        <w:t xml:space="preserve"> sarunu noklausīšanās laikā iegūto ziņu par faktiem izmantošana pierādīšanā: 1)</w:t>
      </w:r>
      <w:r>
        <w:t> </w:t>
      </w:r>
      <w:r>
        <w:rPr>
          <w:rFonts w:asciiTheme="majorBidi" w:hAnsiTheme="majorBidi" w:cstheme="majorBidi"/>
          <w:szCs w:val="24"/>
        </w:rPr>
        <w:t xml:space="preserve">ir samērīga ar izdarīto noziedzīgo nodarījumu raksturu un bīstamību; 2) vai ar to netiek </w:t>
      </w:r>
      <w:r w:rsidRPr="008378F2">
        <w:rPr>
          <w:rFonts w:asciiTheme="majorBidi" w:hAnsiTheme="majorBidi" w:cstheme="majorBidi"/>
          <w:szCs w:val="24"/>
        </w:rPr>
        <w:t>aizskartas personas konstitucionālās tiesības; 3) vai netiek pieļauta nesamērīga iejaukšanās personas privātajā dzīvē.  </w:t>
      </w:r>
    </w:p>
    <w:p w14:paraId="6C83E41F" w14:textId="77777777" w:rsidR="00CC34E7" w:rsidRPr="00106284" w:rsidRDefault="00CC34E7" w:rsidP="00CC34E7">
      <w:pPr>
        <w:spacing w:after="0" w:line="276" w:lineRule="auto"/>
        <w:ind w:firstLine="709"/>
        <w:jc w:val="both"/>
        <w:rPr>
          <w:rFonts w:asciiTheme="majorBidi" w:hAnsiTheme="majorBidi" w:cstheme="majorBidi"/>
          <w:szCs w:val="24"/>
        </w:rPr>
      </w:pPr>
      <w:r w:rsidRPr="008378F2">
        <w:rPr>
          <w:rFonts w:asciiTheme="majorBidi" w:hAnsiTheme="majorBidi" w:cstheme="majorBidi"/>
          <w:szCs w:val="24"/>
        </w:rPr>
        <w:t xml:space="preserve">Apelācijas instances tiesas </w:t>
      </w:r>
      <w:r>
        <w:rPr>
          <w:rFonts w:asciiTheme="majorBidi" w:hAnsiTheme="majorBidi" w:cstheme="majorBidi"/>
          <w:szCs w:val="24"/>
        </w:rPr>
        <w:t>atzinums par minētā pierādījuma nepieļaujamību</w:t>
      </w:r>
      <w:r w:rsidRPr="008378F2">
        <w:rPr>
          <w:rFonts w:asciiTheme="majorBidi" w:hAnsiTheme="majorBidi" w:cstheme="majorBidi"/>
          <w:szCs w:val="24"/>
        </w:rPr>
        <w:t xml:space="preserve"> ir </w:t>
      </w:r>
      <w:r w:rsidRPr="00106284">
        <w:rPr>
          <w:rFonts w:asciiTheme="majorBidi" w:hAnsiTheme="majorBidi" w:cstheme="majorBidi"/>
          <w:szCs w:val="24"/>
        </w:rPr>
        <w:t>pretrunā Senāta judikatūras atziņām jautājumos par operatīvo darbību pasākumu laikā iegūtu ziņu par faktiem izvērtēšanu un izmantošanu kriminālpārkāpuma pierādīšanai.</w:t>
      </w:r>
    </w:p>
    <w:p w14:paraId="1AD3604A" w14:textId="6CD51068" w:rsidR="00CC34E7" w:rsidRPr="00106284" w:rsidRDefault="00CC34E7" w:rsidP="00CC34E7">
      <w:pPr>
        <w:spacing w:after="0" w:line="276" w:lineRule="auto"/>
        <w:ind w:firstLine="709"/>
        <w:jc w:val="both"/>
        <w:rPr>
          <w:rFonts w:asciiTheme="majorBidi" w:hAnsiTheme="majorBidi" w:cstheme="majorBidi"/>
          <w:szCs w:val="24"/>
        </w:rPr>
      </w:pPr>
      <w:r w:rsidRPr="00106284">
        <w:rPr>
          <w:rFonts w:asciiTheme="majorBidi" w:hAnsiTheme="majorBidi" w:cstheme="majorBidi"/>
          <w:szCs w:val="24"/>
        </w:rPr>
        <w:t xml:space="preserve">Vērtējot, vai ir pieļaujams likumīgi operatīvās darbības pasākumu rezultātā iegūtās ziņas izmantot kriminālpārkāpuma izdarīšanā, jānoskaidro, vai iegūto rezultātu izmantošana atbilst attiecīgo noziedzīgo nodarījumu raksturam un bīstamībai un vai ar to netiek aizskartas personas konstitucionālās tiesības un netiek pieļauta nesamērīga iejaukšanās personas dzīvē </w:t>
      </w:r>
      <w:proofErr w:type="gramStart"/>
      <w:r w:rsidRPr="00106284">
        <w:rPr>
          <w:rFonts w:asciiTheme="majorBidi" w:hAnsiTheme="majorBidi" w:cstheme="majorBidi"/>
          <w:szCs w:val="24"/>
        </w:rPr>
        <w:t>(</w:t>
      </w:r>
      <w:proofErr w:type="gramEnd"/>
      <w:r w:rsidRPr="00106284">
        <w:rPr>
          <w:rFonts w:asciiTheme="majorBidi" w:hAnsiTheme="majorBidi" w:cstheme="majorBidi"/>
          <w:i/>
          <w:iCs/>
          <w:szCs w:val="24"/>
        </w:rPr>
        <w:t>Senāta 2021. gada 2. februāra lēmuma lietā N. SKK-1/2021 9. punkts</w:t>
      </w:r>
      <w:r w:rsidRPr="00106284">
        <w:rPr>
          <w:rFonts w:asciiTheme="majorBidi" w:hAnsiTheme="majorBidi" w:cstheme="majorBidi"/>
          <w:szCs w:val="24"/>
        </w:rPr>
        <w:t xml:space="preserve">). </w:t>
      </w:r>
    </w:p>
    <w:p w14:paraId="3A21C76E" w14:textId="548259AF" w:rsidR="00CC34E7" w:rsidRDefault="00CC34E7" w:rsidP="00CC34E7">
      <w:pPr>
        <w:spacing w:after="0" w:line="276" w:lineRule="auto"/>
        <w:ind w:firstLine="709"/>
        <w:jc w:val="both"/>
        <w:rPr>
          <w:rFonts w:asciiTheme="majorBidi" w:hAnsiTheme="majorBidi" w:cstheme="majorBidi"/>
          <w:szCs w:val="24"/>
        </w:rPr>
      </w:pPr>
      <w:r w:rsidRPr="00106284">
        <w:rPr>
          <w:rFonts w:asciiTheme="majorBidi" w:eastAsia="Times New Roman" w:hAnsiTheme="majorBidi" w:cstheme="majorBidi"/>
          <w:szCs w:val="24"/>
          <w:lang w:eastAsia="lv-LV"/>
        </w:rPr>
        <w:t xml:space="preserve">Valsts apsūdzības ieskatā apelācijas instances tiesa nepamatoti bez ievērības atstājusi tos kritērijus, kas raksturo tieši </w:t>
      </w:r>
      <w:r w:rsidRPr="00B75866">
        <w:rPr>
          <w:rFonts w:asciiTheme="majorBidi" w:eastAsia="Times New Roman" w:hAnsiTheme="majorBidi" w:cstheme="majorBidi"/>
          <w:color w:val="000000"/>
          <w:szCs w:val="24"/>
          <w:lang w:eastAsia="lv-LV"/>
        </w:rPr>
        <w:t>inkriminēto noziedzīgo nodarījumu</w:t>
      </w:r>
      <w:r>
        <w:rPr>
          <w:rFonts w:asciiTheme="majorBidi" w:eastAsia="Times New Roman" w:hAnsiTheme="majorBidi" w:cstheme="majorBidi"/>
          <w:color w:val="000000"/>
          <w:szCs w:val="24"/>
          <w:lang w:eastAsia="lv-LV"/>
        </w:rPr>
        <w:t>. P</w:t>
      </w:r>
      <w:r w:rsidRPr="00B75866">
        <w:rPr>
          <w:rFonts w:asciiTheme="majorBidi" w:eastAsia="Times New Roman" w:hAnsiTheme="majorBidi" w:cstheme="majorBidi"/>
          <w:color w:val="000000"/>
          <w:szCs w:val="24"/>
          <w:lang w:eastAsia="lv-LV"/>
        </w:rPr>
        <w:t>roti,</w:t>
      </w:r>
      <w:r>
        <w:rPr>
          <w:rFonts w:asciiTheme="majorBidi" w:eastAsia="Times New Roman" w:hAnsiTheme="majorBidi" w:cstheme="majorBidi"/>
          <w:color w:val="000000"/>
          <w:szCs w:val="24"/>
          <w:lang w:eastAsia="lv-LV"/>
        </w:rPr>
        <w:t xml:space="preserve"> </w:t>
      </w:r>
      <w:r w:rsidR="00DF4596">
        <w:rPr>
          <w:rFonts w:asciiTheme="majorBidi" w:hAnsiTheme="majorBidi" w:cstheme="majorBidi"/>
          <w:szCs w:val="24"/>
        </w:rPr>
        <w:t>[pers. A]</w:t>
      </w:r>
      <w:r>
        <w:rPr>
          <w:rFonts w:asciiTheme="majorBidi" w:hAnsiTheme="majorBidi" w:cstheme="majorBidi"/>
          <w:szCs w:val="24"/>
        </w:rPr>
        <w:t xml:space="preserve"> ar pirmās instances tiesas spriedumu atzīts par vainīgu noziedzīgajā nodarījumā, k</w:t>
      </w:r>
      <w:r w:rsidR="00F16ACD">
        <w:rPr>
          <w:rFonts w:asciiTheme="majorBidi" w:hAnsiTheme="majorBidi" w:cstheme="majorBidi"/>
          <w:szCs w:val="24"/>
        </w:rPr>
        <w:t>ura</w:t>
      </w:r>
      <w:r>
        <w:rPr>
          <w:rFonts w:asciiTheme="majorBidi" w:hAnsiTheme="majorBidi" w:cstheme="majorBidi"/>
          <w:szCs w:val="24"/>
        </w:rPr>
        <w:t xml:space="preserve"> rezultātā </w:t>
      </w:r>
      <w:r w:rsidRPr="008F7806">
        <w:rPr>
          <w:rFonts w:asciiTheme="majorBidi" w:hAnsiTheme="majorBidi" w:cstheme="majorBidi"/>
          <w:szCs w:val="24"/>
        </w:rPr>
        <w:t>nodarīts būtisks kaitējums – 12 541,17 </w:t>
      </w:r>
      <w:r w:rsidRPr="008F7806">
        <w:rPr>
          <w:rFonts w:asciiTheme="majorBidi" w:hAnsiTheme="majorBidi" w:cstheme="majorBidi"/>
          <w:i/>
          <w:iCs/>
          <w:szCs w:val="24"/>
        </w:rPr>
        <w:t>euro</w:t>
      </w:r>
      <w:r>
        <w:rPr>
          <w:rFonts w:asciiTheme="majorBidi" w:hAnsiTheme="majorBidi" w:cstheme="majorBidi"/>
          <w:szCs w:val="24"/>
        </w:rPr>
        <w:t xml:space="preserve"> nenomaksāto nodokļu veidā –, kas atbilstoši likumam „Par Krimināllikuma spēkā stāšanās un piemērošanas kārtību” </w:t>
      </w:r>
      <w:proofErr w:type="gramStart"/>
      <w:r>
        <w:rPr>
          <w:rFonts w:asciiTheme="majorBidi" w:hAnsiTheme="majorBidi" w:cstheme="majorBidi"/>
          <w:szCs w:val="24"/>
        </w:rPr>
        <w:t>(</w:t>
      </w:r>
      <w:proofErr w:type="gramEnd"/>
      <w:r>
        <w:rPr>
          <w:rFonts w:asciiTheme="majorBidi" w:hAnsiTheme="majorBidi" w:cstheme="majorBidi"/>
          <w:szCs w:val="24"/>
        </w:rPr>
        <w:t>likuma redakcijā līdz 2015. gada 2. decembrim) atzīstams par ievērojamu mantisku zaudējumu, kā arī izdarītais noziedzīgais nodarījums izkropļo tirgus dalībnieku konkurenci un apdraud valsts ekonomiskās intereses un valsts budžeta veidošanas pamatprincipus, kā arī liedz pilnīgi kontrolēt tabakas aprites kārtību. </w:t>
      </w:r>
    </w:p>
    <w:p w14:paraId="3CECAAEA" w14:textId="3B2A7306" w:rsidR="00CC34E7" w:rsidRPr="00106284" w:rsidRDefault="00CC34E7" w:rsidP="00CC34E7">
      <w:pPr>
        <w:spacing w:after="0" w:line="276" w:lineRule="auto"/>
        <w:ind w:firstLine="709"/>
        <w:jc w:val="both"/>
        <w:rPr>
          <w:rFonts w:asciiTheme="majorBidi" w:hAnsiTheme="majorBidi" w:cstheme="majorBidi"/>
          <w:szCs w:val="24"/>
        </w:rPr>
      </w:pPr>
      <w:r w:rsidRPr="00106284">
        <w:rPr>
          <w:rFonts w:asciiTheme="majorBidi" w:hAnsiTheme="majorBidi" w:cstheme="majorBidi"/>
          <w:szCs w:val="24"/>
        </w:rPr>
        <w:t xml:space="preserve">Tādējādi </w:t>
      </w:r>
      <w:r w:rsidR="00AF7EAD">
        <w:rPr>
          <w:rFonts w:asciiTheme="majorBidi" w:hAnsiTheme="majorBidi" w:cstheme="majorBidi"/>
          <w:szCs w:val="24"/>
        </w:rPr>
        <w:t>a</w:t>
      </w:r>
      <w:r w:rsidRPr="00106284">
        <w:rPr>
          <w:rFonts w:asciiTheme="majorBidi" w:hAnsiTheme="majorBidi" w:cstheme="majorBidi"/>
          <w:szCs w:val="24"/>
        </w:rPr>
        <w:t>pelācijas instances tiesa,</w:t>
      </w:r>
      <w:r w:rsidRPr="00106284">
        <w:rPr>
          <w:rFonts w:cs="Times New Roman"/>
          <w:szCs w:val="24"/>
        </w:rPr>
        <w:t xml:space="preserve"> vērtējot operatīvo pasākumu laikā iegūto ziņu par faktiem pieļaujamību,</w:t>
      </w:r>
      <w:r w:rsidRPr="00106284">
        <w:rPr>
          <w:rFonts w:asciiTheme="majorBidi" w:hAnsiTheme="majorBidi" w:cstheme="majorBidi"/>
          <w:szCs w:val="24"/>
        </w:rPr>
        <w:t xml:space="preserve"> pieļāvusi Kriminālprocesa likuma 130.</w:t>
      </w:r>
      <w:r w:rsidR="00AF7EAD">
        <w:rPr>
          <w:rFonts w:asciiTheme="majorBidi" w:hAnsiTheme="majorBidi" w:cstheme="majorBidi"/>
          <w:szCs w:val="24"/>
        </w:rPr>
        <w:t> </w:t>
      </w:r>
      <w:r w:rsidRPr="00106284">
        <w:rPr>
          <w:rFonts w:asciiTheme="majorBidi" w:hAnsiTheme="majorBidi" w:cstheme="majorBidi"/>
          <w:szCs w:val="24"/>
        </w:rPr>
        <w:t xml:space="preserve">panta </w:t>
      </w:r>
      <w:r w:rsidRPr="00462F28">
        <w:rPr>
          <w:rFonts w:asciiTheme="majorBidi" w:hAnsiTheme="majorBidi" w:cstheme="majorBidi"/>
          <w:szCs w:val="24"/>
        </w:rPr>
        <w:t>pārkāpumu.</w:t>
      </w:r>
    </w:p>
    <w:p w14:paraId="5E65B8AF" w14:textId="35FAB87F" w:rsidR="00CC34E7" w:rsidRPr="00106284" w:rsidRDefault="00CC34E7" w:rsidP="00CC34E7">
      <w:pPr>
        <w:spacing w:after="0" w:line="276" w:lineRule="auto"/>
        <w:ind w:firstLine="709"/>
        <w:jc w:val="both"/>
        <w:rPr>
          <w:rFonts w:asciiTheme="majorBidi" w:hAnsiTheme="majorBidi" w:cstheme="majorBidi"/>
          <w:szCs w:val="24"/>
        </w:rPr>
      </w:pPr>
      <w:r w:rsidRPr="00106284">
        <w:rPr>
          <w:rFonts w:asciiTheme="majorBidi" w:hAnsiTheme="majorBidi" w:cstheme="majorBidi"/>
          <w:szCs w:val="24"/>
        </w:rPr>
        <w:t xml:space="preserve">[5.2] Apelācijas instances tiesa atzinusi, ka atbilstoši Kriminālprocesa likuma 130. pantā noteiktajam apsūdzētā </w:t>
      </w:r>
      <w:r w:rsidR="00DF4596">
        <w:rPr>
          <w:rFonts w:asciiTheme="majorBidi" w:hAnsiTheme="majorBidi" w:cstheme="majorBidi"/>
          <w:szCs w:val="24"/>
        </w:rPr>
        <w:t>[pers. A]</w:t>
      </w:r>
      <w:r w:rsidRPr="00106284">
        <w:rPr>
          <w:rFonts w:asciiTheme="majorBidi" w:hAnsiTheme="majorBidi" w:cstheme="majorBidi"/>
          <w:szCs w:val="24"/>
        </w:rPr>
        <w:t xml:space="preserve">, liecinieku </w:t>
      </w:r>
      <w:r w:rsidR="00DF4596">
        <w:rPr>
          <w:rFonts w:asciiTheme="majorBidi" w:hAnsiTheme="majorBidi" w:cstheme="majorBidi"/>
          <w:szCs w:val="24"/>
        </w:rPr>
        <w:t>[pers. C]</w:t>
      </w:r>
      <w:r w:rsidRPr="00106284">
        <w:rPr>
          <w:rFonts w:asciiTheme="majorBidi" w:hAnsiTheme="majorBidi" w:cstheme="majorBidi"/>
          <w:szCs w:val="24"/>
        </w:rPr>
        <w:t xml:space="preserve"> un </w:t>
      </w:r>
      <w:r w:rsidR="00DF4596">
        <w:rPr>
          <w:rFonts w:asciiTheme="majorBidi" w:hAnsiTheme="majorBidi" w:cstheme="majorBidi"/>
          <w:szCs w:val="24"/>
        </w:rPr>
        <w:t>[pers. D]</w:t>
      </w:r>
      <w:r w:rsidRPr="00106284">
        <w:rPr>
          <w:rFonts w:asciiTheme="majorBidi" w:hAnsiTheme="majorBidi" w:cstheme="majorBidi"/>
          <w:szCs w:val="24"/>
        </w:rPr>
        <w:t xml:space="preserve"> liecības pirmstiesas kriminālprocesā ir ierobežoti pieļaujami pierādījumi</w:t>
      </w:r>
      <w:proofErr w:type="gramStart"/>
      <w:r w:rsidRPr="00106284">
        <w:rPr>
          <w:rFonts w:asciiTheme="majorBidi" w:hAnsiTheme="majorBidi" w:cstheme="majorBidi"/>
          <w:szCs w:val="24"/>
        </w:rPr>
        <w:t xml:space="preserve"> un</w:t>
      </w:r>
      <w:proofErr w:type="gramEnd"/>
      <w:r w:rsidRPr="00106284">
        <w:rPr>
          <w:rFonts w:asciiTheme="majorBidi" w:hAnsiTheme="majorBidi" w:cstheme="majorBidi"/>
          <w:szCs w:val="24"/>
        </w:rPr>
        <w:t xml:space="preserve"> pierādīšanā nav izmantojamas šajās liecībās sniegtās ziņas par faktiem, kas attiecas uz operatīvās sarunu noklausīšanās laikā iegūtajām ziņām.</w:t>
      </w:r>
    </w:p>
    <w:p w14:paraId="7F6AFE11" w14:textId="620EC711" w:rsidR="00CC34E7" w:rsidRPr="00106284" w:rsidRDefault="002F7C20" w:rsidP="00CC34E7">
      <w:pPr>
        <w:spacing w:after="0" w:line="276" w:lineRule="auto"/>
        <w:ind w:firstLine="709"/>
        <w:jc w:val="both"/>
        <w:rPr>
          <w:rFonts w:asciiTheme="majorBidi" w:hAnsiTheme="majorBidi" w:cstheme="majorBidi"/>
          <w:szCs w:val="24"/>
        </w:rPr>
      </w:pPr>
      <w:bookmarkStart w:id="5" w:name="_Hlk148363909"/>
      <w:r w:rsidRPr="00106284">
        <w:rPr>
          <w:rFonts w:asciiTheme="majorBidi" w:hAnsiTheme="majorBidi" w:cstheme="majorBidi"/>
          <w:szCs w:val="24"/>
        </w:rPr>
        <w:t>[5.3] </w:t>
      </w:r>
      <w:r w:rsidR="00CC34E7" w:rsidRPr="00106284">
        <w:rPr>
          <w:rFonts w:asciiTheme="majorBidi" w:hAnsiTheme="majorBidi" w:cstheme="majorBidi"/>
          <w:szCs w:val="24"/>
        </w:rPr>
        <w:t xml:space="preserve">Apelācijas instances tiesa </w:t>
      </w:r>
      <w:r w:rsidR="00C853C7">
        <w:rPr>
          <w:rFonts w:asciiTheme="majorBidi" w:hAnsiTheme="majorBidi" w:cstheme="majorBidi"/>
          <w:szCs w:val="24"/>
        </w:rPr>
        <w:t>pretēji</w:t>
      </w:r>
      <w:r w:rsidR="00CC34E7" w:rsidRPr="00106284">
        <w:rPr>
          <w:rFonts w:asciiTheme="majorBidi" w:hAnsiTheme="majorBidi" w:cstheme="majorBidi"/>
          <w:szCs w:val="24"/>
        </w:rPr>
        <w:t xml:space="preserve"> Kriminālprocesa likuma 128. panta otrajā daļā noteiktajam apsūdzēto </w:t>
      </w:r>
      <w:r w:rsidR="00DF4596">
        <w:rPr>
          <w:rFonts w:asciiTheme="majorBidi" w:hAnsiTheme="majorBidi" w:cstheme="majorBidi"/>
          <w:szCs w:val="24"/>
        </w:rPr>
        <w:t>[pers. A]</w:t>
      </w:r>
      <w:r w:rsidR="00CC34E7" w:rsidRPr="00106284">
        <w:rPr>
          <w:rFonts w:asciiTheme="majorBidi" w:hAnsiTheme="majorBidi" w:cstheme="majorBidi"/>
          <w:szCs w:val="24"/>
        </w:rPr>
        <w:t xml:space="preserve"> un </w:t>
      </w:r>
      <w:r w:rsidR="00DF4596">
        <w:rPr>
          <w:rFonts w:asciiTheme="majorBidi" w:hAnsiTheme="majorBidi" w:cstheme="majorBidi"/>
          <w:szCs w:val="24"/>
        </w:rPr>
        <w:t>[pers. B]</w:t>
      </w:r>
      <w:r w:rsidR="00CC34E7" w:rsidRPr="00106284">
        <w:rPr>
          <w:rFonts w:asciiTheme="majorBidi" w:hAnsiTheme="majorBidi" w:cstheme="majorBidi"/>
          <w:szCs w:val="24"/>
        </w:rPr>
        <w:t xml:space="preserve"> liecību ticamību nav izvērtējusi kopumā un savstarpējā sakarībā ar citiem kriminālprocesā iegūtajiem pierādījumiem, tajā skaitā ar lietā iegūtajiem netiešajiem pierādījumiem, kuros ir ziņas par </w:t>
      </w:r>
      <w:r w:rsidR="00DF4596">
        <w:rPr>
          <w:rFonts w:asciiTheme="majorBidi" w:hAnsiTheme="majorBidi" w:cstheme="majorBidi"/>
          <w:szCs w:val="24"/>
        </w:rPr>
        <w:t>[pers. A]</w:t>
      </w:r>
      <w:r w:rsidR="00CC34E7" w:rsidRPr="00106284">
        <w:rPr>
          <w:rFonts w:asciiTheme="majorBidi" w:hAnsiTheme="majorBidi" w:cstheme="majorBidi"/>
          <w:szCs w:val="24"/>
        </w:rPr>
        <w:t xml:space="preserve"> lomu un līdzdalību</w:t>
      </w:r>
      <w:r w:rsidR="006154A0">
        <w:rPr>
          <w:rFonts w:asciiTheme="majorBidi" w:hAnsiTheme="majorBidi" w:cstheme="majorBidi"/>
          <w:szCs w:val="24"/>
        </w:rPr>
        <w:t xml:space="preserve"> inkriminētajā</w:t>
      </w:r>
      <w:r w:rsidR="00CC34E7" w:rsidRPr="00106284">
        <w:rPr>
          <w:rFonts w:asciiTheme="majorBidi" w:hAnsiTheme="majorBidi" w:cstheme="majorBidi"/>
          <w:szCs w:val="24"/>
        </w:rPr>
        <w:t xml:space="preserve"> Krimināllikuma 221. panta pirmajā daļā paredzētajā noziedzīgajā nodarījumā</w:t>
      </w:r>
      <w:r w:rsidR="00CC34E7" w:rsidRPr="00462F28">
        <w:rPr>
          <w:rFonts w:asciiTheme="majorBidi" w:hAnsiTheme="majorBidi" w:cstheme="majorBidi"/>
          <w:szCs w:val="24"/>
        </w:rPr>
        <w:t xml:space="preserve">, proti, par </w:t>
      </w:r>
      <w:r w:rsidR="00576F47" w:rsidRPr="00462F28">
        <w:rPr>
          <w:rFonts w:asciiTheme="majorBidi" w:hAnsiTheme="majorBidi" w:cstheme="majorBidi"/>
          <w:szCs w:val="24"/>
        </w:rPr>
        <w:t xml:space="preserve">iepriekšēju vienošanos pārdot </w:t>
      </w:r>
      <w:r w:rsidR="00CC34E7" w:rsidRPr="00462F28">
        <w:rPr>
          <w:rFonts w:asciiTheme="majorBidi" w:hAnsiTheme="majorBidi" w:cstheme="majorBidi"/>
          <w:szCs w:val="24"/>
        </w:rPr>
        <w:t>nelegālās tabakas izstrādājumu</w:t>
      </w:r>
      <w:r w:rsidR="00576F47" w:rsidRPr="00462F28">
        <w:rPr>
          <w:rFonts w:asciiTheme="majorBidi" w:hAnsiTheme="majorBidi" w:cstheme="majorBidi"/>
          <w:szCs w:val="24"/>
        </w:rPr>
        <w:t xml:space="preserve">s </w:t>
      </w:r>
      <w:r w:rsidR="00CC34E7" w:rsidRPr="00462F28">
        <w:rPr>
          <w:rFonts w:asciiTheme="majorBidi" w:hAnsiTheme="majorBidi" w:cstheme="majorBidi"/>
          <w:szCs w:val="24"/>
        </w:rPr>
        <w:t>un šo izstrādājumu</w:t>
      </w:r>
      <w:r w:rsidR="00CC34E7" w:rsidRPr="00106284">
        <w:rPr>
          <w:rFonts w:asciiTheme="majorBidi" w:hAnsiTheme="majorBidi" w:cstheme="majorBidi"/>
          <w:szCs w:val="24"/>
        </w:rPr>
        <w:t xml:space="preserve"> pārvadāšanas koordinēšanu.</w:t>
      </w:r>
    </w:p>
    <w:bookmarkEnd w:id="5"/>
    <w:p w14:paraId="46A1D2FA" w14:textId="77777777" w:rsidR="00CC34E7" w:rsidRPr="00106284" w:rsidRDefault="00CC34E7" w:rsidP="00CC34E7">
      <w:pPr>
        <w:spacing w:after="0" w:line="276" w:lineRule="auto"/>
        <w:ind w:firstLine="709"/>
        <w:jc w:val="both"/>
        <w:rPr>
          <w:rFonts w:asciiTheme="majorBidi" w:hAnsiTheme="majorBidi" w:cstheme="majorBidi"/>
          <w:szCs w:val="24"/>
        </w:rPr>
      </w:pPr>
    </w:p>
    <w:p w14:paraId="4927A3F3" w14:textId="532D3CA2" w:rsidR="00CC34E7" w:rsidRDefault="00CC34E7" w:rsidP="00CC34E7">
      <w:pPr>
        <w:spacing w:after="0" w:line="276" w:lineRule="auto"/>
        <w:ind w:firstLine="709"/>
        <w:jc w:val="both"/>
        <w:rPr>
          <w:rFonts w:asciiTheme="majorBidi" w:hAnsiTheme="majorBidi" w:cstheme="majorBidi"/>
          <w:szCs w:val="24"/>
        </w:rPr>
      </w:pPr>
      <w:r w:rsidRPr="00106284">
        <w:rPr>
          <w:rFonts w:asciiTheme="majorBidi" w:hAnsiTheme="majorBidi" w:cstheme="majorBidi"/>
          <w:szCs w:val="24"/>
        </w:rPr>
        <w:t>[6] Valsts ieņēmumu dienests kasācijas sūdzībā lūdz atcelt apelācijas in</w:t>
      </w:r>
      <w:r>
        <w:rPr>
          <w:rFonts w:asciiTheme="majorBidi" w:hAnsiTheme="majorBidi" w:cstheme="majorBidi"/>
          <w:szCs w:val="24"/>
        </w:rPr>
        <w:t xml:space="preserve">stances tiesas spriedumu daļā par </w:t>
      </w:r>
      <w:r w:rsidR="00DF4596">
        <w:rPr>
          <w:rFonts w:asciiTheme="majorBidi" w:hAnsiTheme="majorBidi" w:cstheme="majorBidi"/>
          <w:szCs w:val="24"/>
        </w:rPr>
        <w:t>[pers. A]</w:t>
      </w:r>
      <w:r>
        <w:rPr>
          <w:rFonts w:asciiTheme="majorBidi" w:hAnsiTheme="majorBidi" w:cstheme="majorBidi"/>
          <w:szCs w:val="24"/>
        </w:rPr>
        <w:t xml:space="preserve"> attaisnošanu un lietu šajā daļā nosūtīt jaunai izskatīšanai apelācijas instances tiesā. </w:t>
      </w:r>
    </w:p>
    <w:p w14:paraId="10C98708" w14:textId="77777777" w:rsidR="00CC34E7" w:rsidRDefault="00CC34E7" w:rsidP="00CC34E7">
      <w:pPr>
        <w:spacing w:after="0" w:line="276" w:lineRule="auto"/>
        <w:ind w:firstLine="709"/>
        <w:jc w:val="both"/>
        <w:rPr>
          <w:rFonts w:asciiTheme="majorBidi" w:hAnsiTheme="majorBidi" w:cstheme="majorBidi"/>
          <w:szCs w:val="24"/>
        </w:rPr>
      </w:pPr>
      <w:r>
        <w:rPr>
          <w:rFonts w:asciiTheme="majorBidi" w:hAnsiTheme="majorBidi" w:cstheme="majorBidi"/>
          <w:szCs w:val="24"/>
        </w:rPr>
        <w:t>Apelācijas instances tiesa pieļāvusi Kriminālprocesa likuma 1., 22., 350. panta pirmās un otrās daļas, 511. panta otrās daļas un 512. panta pirmās daļas pārkāpumus, kas atzīstami par Kriminālprocesa likuma būtiskiem pārkāpumiem šā likuma 575. panta trešās daļas izpratnē. </w:t>
      </w:r>
    </w:p>
    <w:p w14:paraId="1E4E0B03" w14:textId="50F2A046" w:rsidR="00CC34E7" w:rsidRDefault="00CC34E7" w:rsidP="00CC34E7">
      <w:pPr>
        <w:spacing w:after="0" w:line="276" w:lineRule="auto"/>
        <w:ind w:firstLine="709"/>
        <w:jc w:val="both"/>
        <w:rPr>
          <w:rFonts w:asciiTheme="majorBidi" w:hAnsiTheme="majorBidi" w:cstheme="majorBidi"/>
          <w:szCs w:val="24"/>
        </w:rPr>
      </w:pPr>
      <w:r>
        <w:rPr>
          <w:rFonts w:asciiTheme="majorBidi" w:hAnsiTheme="majorBidi" w:cstheme="majorBidi"/>
          <w:szCs w:val="24"/>
        </w:rPr>
        <w:t>Kasācijas sūdzīb</w:t>
      </w:r>
      <w:r w:rsidR="00AF7EAD">
        <w:rPr>
          <w:rFonts w:asciiTheme="majorBidi" w:hAnsiTheme="majorBidi" w:cstheme="majorBidi"/>
          <w:szCs w:val="24"/>
        </w:rPr>
        <w:t>a</w:t>
      </w:r>
      <w:r>
        <w:rPr>
          <w:rFonts w:asciiTheme="majorBidi" w:hAnsiTheme="majorBidi" w:cstheme="majorBidi"/>
          <w:szCs w:val="24"/>
        </w:rPr>
        <w:t xml:space="preserve"> pamato</w:t>
      </w:r>
      <w:r w:rsidR="00AF7EAD">
        <w:rPr>
          <w:rFonts w:asciiTheme="majorBidi" w:hAnsiTheme="majorBidi" w:cstheme="majorBidi"/>
          <w:szCs w:val="24"/>
        </w:rPr>
        <w:t>ta ar</w:t>
      </w:r>
      <w:r>
        <w:rPr>
          <w:rFonts w:asciiTheme="majorBidi" w:hAnsiTheme="majorBidi" w:cstheme="majorBidi"/>
          <w:szCs w:val="24"/>
        </w:rPr>
        <w:t xml:space="preserve"> šādi</w:t>
      </w:r>
      <w:r w:rsidR="00AF7EAD">
        <w:rPr>
          <w:rFonts w:asciiTheme="majorBidi" w:hAnsiTheme="majorBidi" w:cstheme="majorBidi"/>
          <w:szCs w:val="24"/>
        </w:rPr>
        <w:t>em</w:t>
      </w:r>
      <w:r>
        <w:rPr>
          <w:rFonts w:asciiTheme="majorBidi" w:hAnsiTheme="majorBidi" w:cstheme="majorBidi"/>
          <w:szCs w:val="24"/>
        </w:rPr>
        <w:t xml:space="preserve"> argumenti</w:t>
      </w:r>
      <w:r w:rsidR="00AF7EAD">
        <w:rPr>
          <w:rFonts w:asciiTheme="majorBidi" w:hAnsiTheme="majorBidi" w:cstheme="majorBidi"/>
          <w:szCs w:val="24"/>
        </w:rPr>
        <w:t>em</w:t>
      </w:r>
      <w:r>
        <w:rPr>
          <w:rFonts w:asciiTheme="majorBidi" w:hAnsiTheme="majorBidi" w:cstheme="majorBidi"/>
          <w:szCs w:val="24"/>
        </w:rPr>
        <w:t>. </w:t>
      </w:r>
    </w:p>
    <w:p w14:paraId="3309220C" w14:textId="771E6F1E" w:rsidR="00CC34E7" w:rsidRPr="002E2C51" w:rsidRDefault="00CC34E7" w:rsidP="00CC34E7">
      <w:pPr>
        <w:spacing w:after="0" w:line="276" w:lineRule="auto"/>
        <w:ind w:firstLine="709"/>
        <w:jc w:val="both"/>
        <w:rPr>
          <w:rFonts w:asciiTheme="majorBidi" w:hAnsiTheme="majorBidi" w:cstheme="majorBidi"/>
          <w:szCs w:val="24"/>
        </w:rPr>
      </w:pPr>
      <w:r w:rsidRPr="002E2C51">
        <w:rPr>
          <w:rFonts w:asciiTheme="majorBidi" w:hAnsiTheme="majorBidi" w:cstheme="majorBidi"/>
          <w:szCs w:val="24"/>
        </w:rPr>
        <w:t>[6</w:t>
      </w:r>
      <w:r>
        <w:rPr>
          <w:rFonts w:asciiTheme="majorBidi" w:hAnsiTheme="majorBidi" w:cstheme="majorBidi"/>
          <w:szCs w:val="24"/>
        </w:rPr>
        <w:t>.</w:t>
      </w:r>
      <w:r w:rsidRPr="002E2C51">
        <w:rPr>
          <w:rFonts w:asciiTheme="majorBidi" w:hAnsiTheme="majorBidi" w:cstheme="majorBidi"/>
          <w:szCs w:val="24"/>
        </w:rPr>
        <w:t>1]</w:t>
      </w:r>
      <w:r>
        <w:rPr>
          <w:rFonts w:asciiTheme="majorBidi" w:hAnsiTheme="majorBidi" w:cstheme="majorBidi"/>
          <w:szCs w:val="24"/>
        </w:rPr>
        <w:t> </w:t>
      </w:r>
      <w:r w:rsidRPr="002E2C51">
        <w:rPr>
          <w:rFonts w:asciiTheme="majorBidi" w:hAnsiTheme="majorBidi" w:cstheme="majorBidi"/>
          <w:szCs w:val="24"/>
        </w:rPr>
        <w:t xml:space="preserve">Apelācijas instances tiesa nepamatoti atzinusi, ka </w:t>
      </w:r>
      <w:r w:rsidRPr="00B75866">
        <w:rPr>
          <w:rFonts w:asciiTheme="majorBidi" w:eastAsia="Times New Roman" w:hAnsiTheme="majorBidi" w:cstheme="majorBidi"/>
          <w:color w:val="000000"/>
          <w:szCs w:val="24"/>
          <w:lang w:eastAsia="lv-LV"/>
        </w:rPr>
        <w:t>operatīvās darbības pasākum</w:t>
      </w:r>
      <w:r>
        <w:rPr>
          <w:rFonts w:asciiTheme="majorBidi" w:eastAsia="Times New Roman" w:hAnsiTheme="majorBidi" w:cstheme="majorBidi"/>
          <w:color w:val="000000"/>
          <w:szCs w:val="24"/>
          <w:lang w:eastAsia="lv-LV"/>
        </w:rPr>
        <w:t>a</w:t>
      </w:r>
      <w:r w:rsidRPr="00B75866">
        <w:rPr>
          <w:rFonts w:asciiTheme="majorBidi" w:eastAsia="Times New Roman" w:hAnsiTheme="majorBidi" w:cstheme="majorBidi"/>
          <w:color w:val="000000"/>
          <w:szCs w:val="24"/>
          <w:lang w:eastAsia="lv-LV"/>
        </w:rPr>
        <w:t xml:space="preserve"> rezultāt</w:t>
      </w:r>
      <w:r>
        <w:rPr>
          <w:rFonts w:asciiTheme="majorBidi" w:eastAsia="Times New Roman" w:hAnsiTheme="majorBidi" w:cstheme="majorBidi"/>
          <w:color w:val="000000"/>
          <w:szCs w:val="24"/>
          <w:lang w:eastAsia="lv-LV"/>
        </w:rPr>
        <w:t>ā iegūtās telefon</w:t>
      </w:r>
      <w:r w:rsidR="00AF7EAD">
        <w:rPr>
          <w:rFonts w:asciiTheme="majorBidi" w:eastAsia="Times New Roman" w:hAnsiTheme="majorBidi" w:cstheme="majorBidi"/>
          <w:color w:val="000000"/>
          <w:szCs w:val="24"/>
          <w:lang w:eastAsia="lv-LV"/>
        </w:rPr>
        <w:t xml:space="preserve">a </w:t>
      </w:r>
      <w:r>
        <w:rPr>
          <w:rFonts w:asciiTheme="majorBidi" w:eastAsia="Times New Roman" w:hAnsiTheme="majorBidi" w:cstheme="majorBidi"/>
          <w:color w:val="000000"/>
          <w:szCs w:val="24"/>
          <w:lang w:eastAsia="lv-LV"/>
        </w:rPr>
        <w:t>sarunas</w:t>
      </w:r>
      <w:r w:rsidRPr="002E2C51">
        <w:rPr>
          <w:rFonts w:asciiTheme="majorBidi" w:hAnsiTheme="majorBidi" w:cstheme="majorBidi"/>
          <w:szCs w:val="24"/>
        </w:rPr>
        <w:t xml:space="preserve"> nav izmantojamas pierādīšanā</w:t>
      </w:r>
      <w:r>
        <w:rPr>
          <w:rFonts w:asciiTheme="majorBidi" w:hAnsiTheme="majorBidi" w:cstheme="majorBidi"/>
          <w:szCs w:val="24"/>
        </w:rPr>
        <w:t>. </w:t>
      </w:r>
    </w:p>
    <w:p w14:paraId="006BE36E" w14:textId="78930F19" w:rsidR="00CC34E7" w:rsidRPr="002E2C51" w:rsidRDefault="00CC34E7" w:rsidP="00CC34E7">
      <w:pPr>
        <w:spacing w:after="0" w:line="276" w:lineRule="auto"/>
        <w:ind w:firstLine="709"/>
        <w:jc w:val="both"/>
        <w:rPr>
          <w:rFonts w:asciiTheme="majorBidi" w:hAnsiTheme="majorBidi" w:cstheme="majorBidi"/>
          <w:szCs w:val="24"/>
        </w:rPr>
      </w:pPr>
      <w:r w:rsidRPr="002E2C51">
        <w:rPr>
          <w:rFonts w:asciiTheme="majorBidi" w:hAnsiTheme="majorBidi" w:cstheme="majorBidi"/>
          <w:szCs w:val="24"/>
        </w:rPr>
        <w:t>Apelācijas instances tiesa</w:t>
      </w:r>
      <w:r w:rsidR="000859FE">
        <w:rPr>
          <w:rFonts w:asciiTheme="majorBidi" w:hAnsiTheme="majorBidi" w:cstheme="majorBidi"/>
          <w:szCs w:val="24"/>
        </w:rPr>
        <w:t>, izdarot atzinumu</w:t>
      </w:r>
      <w:r w:rsidRPr="002E2C51">
        <w:rPr>
          <w:rFonts w:asciiTheme="majorBidi" w:hAnsiTheme="majorBidi" w:cstheme="majorBidi"/>
          <w:szCs w:val="24"/>
        </w:rPr>
        <w:t xml:space="preserve"> </w:t>
      </w:r>
      <w:r>
        <w:rPr>
          <w:rFonts w:asciiTheme="majorBidi" w:hAnsiTheme="majorBidi" w:cstheme="majorBidi"/>
          <w:szCs w:val="24"/>
        </w:rPr>
        <w:t>par minēto</w:t>
      </w:r>
      <w:r w:rsidRPr="002E2C51">
        <w:rPr>
          <w:rFonts w:asciiTheme="majorBidi" w:hAnsiTheme="majorBidi" w:cstheme="majorBidi"/>
          <w:szCs w:val="24"/>
        </w:rPr>
        <w:t xml:space="preserve"> ziņu</w:t>
      </w:r>
      <w:r>
        <w:rPr>
          <w:rFonts w:asciiTheme="majorBidi" w:hAnsiTheme="majorBidi" w:cstheme="majorBidi"/>
          <w:szCs w:val="24"/>
        </w:rPr>
        <w:t xml:space="preserve"> par faktiem</w:t>
      </w:r>
      <w:r w:rsidRPr="002E2C51">
        <w:rPr>
          <w:rFonts w:asciiTheme="majorBidi" w:hAnsiTheme="majorBidi" w:cstheme="majorBidi"/>
          <w:szCs w:val="24"/>
        </w:rPr>
        <w:t xml:space="preserve"> nepieļaujamību</w:t>
      </w:r>
      <w:r>
        <w:rPr>
          <w:rFonts w:asciiTheme="majorBidi" w:hAnsiTheme="majorBidi" w:cstheme="majorBidi"/>
          <w:szCs w:val="24"/>
        </w:rPr>
        <w:t xml:space="preserve"> pierādīšanā</w:t>
      </w:r>
      <w:r w:rsidR="000859FE">
        <w:rPr>
          <w:rFonts w:asciiTheme="majorBidi" w:hAnsiTheme="majorBidi" w:cstheme="majorBidi"/>
          <w:szCs w:val="24"/>
        </w:rPr>
        <w:t>,</w:t>
      </w:r>
      <w:r w:rsidRPr="002E2C51">
        <w:rPr>
          <w:rFonts w:asciiTheme="majorBidi" w:hAnsiTheme="majorBidi" w:cstheme="majorBidi"/>
          <w:szCs w:val="24"/>
        </w:rPr>
        <w:t xml:space="preserve"> nepamatoti atsauksies uz Senāta atziņām lēmumos lietā</w:t>
      </w:r>
      <w:r w:rsidR="00A650F8">
        <w:rPr>
          <w:rFonts w:asciiTheme="majorBidi" w:hAnsiTheme="majorBidi" w:cstheme="majorBidi"/>
          <w:szCs w:val="24"/>
        </w:rPr>
        <w:t>s</w:t>
      </w:r>
      <w:r w:rsidRPr="002E2C51">
        <w:rPr>
          <w:rFonts w:asciiTheme="majorBidi" w:hAnsiTheme="majorBidi" w:cstheme="majorBidi"/>
          <w:szCs w:val="24"/>
        </w:rPr>
        <w:t xml:space="preserve"> Nr</w:t>
      </w:r>
      <w:r>
        <w:rPr>
          <w:rFonts w:asciiTheme="majorBidi" w:hAnsiTheme="majorBidi" w:cstheme="majorBidi"/>
          <w:szCs w:val="24"/>
        </w:rPr>
        <w:t>. </w:t>
      </w:r>
      <w:r w:rsidRPr="002E2C51">
        <w:rPr>
          <w:rFonts w:asciiTheme="majorBidi" w:hAnsiTheme="majorBidi" w:cstheme="majorBidi"/>
          <w:szCs w:val="24"/>
        </w:rPr>
        <w:t>SKK</w:t>
      </w:r>
      <w:r w:rsidRPr="002E2C51">
        <w:rPr>
          <w:rFonts w:asciiTheme="majorBidi" w:hAnsiTheme="majorBidi" w:cstheme="majorBidi"/>
          <w:szCs w:val="24"/>
        </w:rPr>
        <w:noBreakHyphen/>
        <w:t>375/2013 un Nr</w:t>
      </w:r>
      <w:r>
        <w:rPr>
          <w:rFonts w:asciiTheme="majorBidi" w:hAnsiTheme="majorBidi" w:cstheme="majorBidi"/>
          <w:szCs w:val="24"/>
        </w:rPr>
        <w:t>. </w:t>
      </w:r>
      <w:r w:rsidRPr="002E2C51">
        <w:rPr>
          <w:rFonts w:asciiTheme="majorBidi" w:hAnsiTheme="majorBidi" w:cstheme="majorBidi"/>
          <w:szCs w:val="24"/>
        </w:rPr>
        <w:t>SKK</w:t>
      </w:r>
      <w:r w:rsidRPr="002E2C51">
        <w:rPr>
          <w:rFonts w:asciiTheme="majorBidi" w:hAnsiTheme="majorBidi" w:cstheme="majorBidi"/>
          <w:szCs w:val="24"/>
        </w:rPr>
        <w:noBreakHyphen/>
      </w:r>
      <w:r>
        <w:rPr>
          <w:rFonts w:asciiTheme="majorBidi" w:hAnsiTheme="majorBidi" w:cstheme="majorBidi"/>
          <w:szCs w:val="24"/>
        </w:rPr>
        <w:t>1</w:t>
      </w:r>
      <w:r w:rsidRPr="002E2C51">
        <w:rPr>
          <w:rFonts w:asciiTheme="majorBidi" w:hAnsiTheme="majorBidi" w:cstheme="majorBidi"/>
          <w:szCs w:val="24"/>
        </w:rPr>
        <w:t>/20</w:t>
      </w:r>
      <w:r>
        <w:rPr>
          <w:rFonts w:asciiTheme="majorBidi" w:hAnsiTheme="majorBidi" w:cstheme="majorBidi"/>
          <w:szCs w:val="24"/>
        </w:rPr>
        <w:t>21. Š</w:t>
      </w:r>
      <w:r w:rsidRPr="002E2C51">
        <w:rPr>
          <w:rFonts w:asciiTheme="majorBidi" w:hAnsiTheme="majorBidi" w:cstheme="majorBidi"/>
          <w:szCs w:val="24"/>
        </w:rPr>
        <w:t>ajos lēmumos konstatēti citi faktiskie apstākļi, proti, operatīvās izstrādes lieta, kuras ietvaros veikts operatīvās darbības pasākums, ierosināta saistībā ar citas personas iespējamām prettiesiskām darbībām, kā arī minētie kriminālprocesi uzsākti, jo informācija par iespējamu noziedzīgu nodarījumu iegūta operatīvās izstrādes lietā, kura bija uzsākta pret citu personu</w:t>
      </w:r>
      <w:r>
        <w:rPr>
          <w:rFonts w:asciiTheme="majorBidi" w:hAnsiTheme="majorBidi" w:cstheme="majorBidi"/>
          <w:szCs w:val="24"/>
        </w:rPr>
        <w:t>. </w:t>
      </w:r>
      <w:r w:rsidRPr="002E2C51">
        <w:rPr>
          <w:rFonts w:asciiTheme="majorBidi" w:hAnsiTheme="majorBidi" w:cstheme="majorBidi"/>
          <w:szCs w:val="24"/>
        </w:rPr>
        <w:t xml:space="preserve">Savukārt izskatāmajā lietā šādi pārkāpumi netika konstatēti, </w:t>
      </w:r>
      <w:r>
        <w:rPr>
          <w:rFonts w:asciiTheme="majorBidi" w:hAnsiTheme="majorBidi" w:cstheme="majorBidi"/>
          <w:szCs w:val="24"/>
        </w:rPr>
        <w:t xml:space="preserve">jo </w:t>
      </w:r>
      <w:r w:rsidRPr="002E2C51">
        <w:rPr>
          <w:rFonts w:asciiTheme="majorBidi" w:hAnsiTheme="majorBidi" w:cstheme="majorBidi"/>
          <w:szCs w:val="24"/>
        </w:rPr>
        <w:t xml:space="preserve">operatīvās </w:t>
      </w:r>
      <w:r>
        <w:rPr>
          <w:rFonts w:asciiTheme="majorBidi" w:hAnsiTheme="majorBidi" w:cstheme="majorBidi"/>
          <w:szCs w:val="24"/>
        </w:rPr>
        <w:t>darbības pasākumi</w:t>
      </w:r>
      <w:r w:rsidRPr="002E2C51">
        <w:rPr>
          <w:rFonts w:asciiTheme="majorBidi" w:hAnsiTheme="majorBidi" w:cstheme="majorBidi"/>
          <w:szCs w:val="24"/>
        </w:rPr>
        <w:t xml:space="preserve"> veikt</w:t>
      </w:r>
      <w:r>
        <w:rPr>
          <w:rFonts w:asciiTheme="majorBidi" w:hAnsiTheme="majorBidi" w:cstheme="majorBidi"/>
          <w:szCs w:val="24"/>
        </w:rPr>
        <w:t>i</w:t>
      </w:r>
      <w:r w:rsidRPr="002E2C51">
        <w:rPr>
          <w:rFonts w:asciiTheme="majorBidi" w:hAnsiTheme="majorBidi" w:cstheme="majorBidi"/>
          <w:szCs w:val="24"/>
        </w:rPr>
        <w:t xml:space="preserve"> pamatoti, ievērojot Operatīvās darbības likuma prasības, kā to atzinusi arī apelācijas instances tiesa</w:t>
      </w:r>
      <w:r>
        <w:rPr>
          <w:rFonts w:asciiTheme="majorBidi" w:hAnsiTheme="majorBidi" w:cstheme="majorBidi"/>
          <w:szCs w:val="24"/>
        </w:rPr>
        <w:t>.</w:t>
      </w:r>
    </w:p>
    <w:p w14:paraId="4600A7DC" w14:textId="2C114B53" w:rsidR="00CC34E7" w:rsidRDefault="00CC34E7" w:rsidP="00CC34E7">
      <w:pPr>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Apelācijas instances tiesa, vērtējot </w:t>
      </w:r>
      <w:r w:rsidRPr="00462F28">
        <w:rPr>
          <w:rFonts w:asciiTheme="majorBidi" w:hAnsiTheme="majorBidi" w:cstheme="majorBidi"/>
          <w:szCs w:val="24"/>
        </w:rPr>
        <w:t>operatīv</w:t>
      </w:r>
      <w:r w:rsidR="00D36898" w:rsidRPr="00462F28">
        <w:rPr>
          <w:rFonts w:asciiTheme="majorBidi" w:hAnsiTheme="majorBidi" w:cstheme="majorBidi"/>
          <w:szCs w:val="24"/>
        </w:rPr>
        <w:t>ās</w:t>
      </w:r>
      <w:r w:rsidRPr="00462F28">
        <w:rPr>
          <w:rFonts w:asciiTheme="majorBidi" w:hAnsiTheme="majorBidi" w:cstheme="majorBidi"/>
          <w:szCs w:val="24"/>
        </w:rPr>
        <w:t xml:space="preserve"> </w:t>
      </w:r>
      <w:r w:rsidR="00D36898" w:rsidRPr="00462F28">
        <w:rPr>
          <w:rFonts w:asciiTheme="majorBidi" w:hAnsiTheme="majorBidi" w:cstheme="majorBidi"/>
          <w:szCs w:val="24"/>
        </w:rPr>
        <w:t xml:space="preserve">darbības </w:t>
      </w:r>
      <w:r w:rsidRPr="00462F28">
        <w:rPr>
          <w:rFonts w:asciiTheme="majorBidi" w:hAnsiTheme="majorBidi" w:cstheme="majorBidi"/>
          <w:szCs w:val="24"/>
        </w:rPr>
        <w:t>pasākumu rezultātā</w:t>
      </w:r>
      <w:r>
        <w:rPr>
          <w:rFonts w:asciiTheme="majorBidi" w:hAnsiTheme="majorBidi" w:cstheme="majorBidi"/>
          <w:szCs w:val="24"/>
        </w:rPr>
        <w:t xml:space="preserve"> iegūto ziņu par faktiem pieļaujamību, atzinusi, ka minēto ziņu izmantošana šajā</w:t>
      </w:r>
      <w:r w:rsidRPr="00114ABE">
        <w:rPr>
          <w:rFonts w:asciiTheme="majorBidi" w:hAnsiTheme="majorBidi" w:cstheme="majorBidi"/>
          <w:szCs w:val="24"/>
        </w:rPr>
        <w:t xml:space="preserve"> lietā neatbilst pirmās instances tiesas </w:t>
      </w:r>
      <w:r>
        <w:rPr>
          <w:rFonts w:asciiTheme="majorBidi" w:hAnsiTheme="majorBidi" w:cstheme="majorBidi"/>
          <w:szCs w:val="24"/>
        </w:rPr>
        <w:t>vērtētajam</w:t>
      </w:r>
      <w:r w:rsidRPr="00114ABE">
        <w:rPr>
          <w:rFonts w:asciiTheme="majorBidi" w:hAnsiTheme="majorBidi" w:cstheme="majorBidi"/>
          <w:szCs w:val="24"/>
        </w:rPr>
        <w:t xml:space="preserve"> kriminālpārkāpum</w:t>
      </w:r>
      <w:r>
        <w:rPr>
          <w:rFonts w:asciiTheme="majorBidi" w:hAnsiTheme="majorBidi" w:cstheme="majorBidi"/>
          <w:szCs w:val="24"/>
        </w:rPr>
        <w:t>a</w:t>
      </w:r>
      <w:r w:rsidRPr="00114ABE">
        <w:rPr>
          <w:rFonts w:asciiTheme="majorBidi" w:hAnsiTheme="majorBidi" w:cstheme="majorBidi"/>
          <w:szCs w:val="24"/>
        </w:rPr>
        <w:t xml:space="preserve"> raksturam un bīstamībai</w:t>
      </w:r>
      <w:r>
        <w:rPr>
          <w:rFonts w:asciiTheme="majorBidi" w:hAnsiTheme="majorBidi" w:cstheme="majorBidi"/>
          <w:szCs w:val="24"/>
        </w:rPr>
        <w:t xml:space="preserve">, un neargumentējot norādījusi, ka </w:t>
      </w:r>
      <w:r w:rsidRPr="00114ABE">
        <w:rPr>
          <w:rFonts w:asciiTheme="majorBidi" w:hAnsiTheme="majorBidi" w:cstheme="majorBidi"/>
          <w:szCs w:val="24"/>
        </w:rPr>
        <w:t>ar to tiek aizskartas personu konstitucionālās tiesības un tiek pieļauta nesamērīga iejaukšanās personas dzīvē</w:t>
      </w:r>
      <w:r>
        <w:rPr>
          <w:rFonts w:asciiTheme="majorBidi" w:hAnsiTheme="majorBidi" w:cstheme="majorBidi"/>
          <w:szCs w:val="24"/>
        </w:rPr>
        <w:t xml:space="preserve">. Apelācijas instances tiesa nav izvērtējusi, ka </w:t>
      </w:r>
      <w:r w:rsidR="00DF4596">
        <w:rPr>
          <w:rFonts w:asciiTheme="majorBidi" w:hAnsiTheme="majorBidi" w:cstheme="majorBidi"/>
          <w:szCs w:val="24"/>
        </w:rPr>
        <w:t>[pers. A]</w:t>
      </w:r>
      <w:r>
        <w:rPr>
          <w:rFonts w:asciiTheme="majorBidi" w:hAnsiTheme="majorBidi" w:cstheme="majorBidi"/>
          <w:szCs w:val="24"/>
        </w:rPr>
        <w:t xml:space="preserve"> atzīts par vainīgu </w:t>
      </w:r>
      <w:r w:rsidRPr="00BC11BE">
        <w:rPr>
          <w:rFonts w:asciiTheme="majorBidi" w:hAnsiTheme="majorBidi" w:cstheme="majorBidi"/>
          <w:szCs w:val="24"/>
        </w:rPr>
        <w:t>nelikumīgu tabakas izstrādājumu pārvadāšanas (pārvietošan</w:t>
      </w:r>
      <w:r>
        <w:rPr>
          <w:rFonts w:asciiTheme="majorBidi" w:hAnsiTheme="majorBidi" w:cstheme="majorBidi"/>
          <w:szCs w:val="24"/>
        </w:rPr>
        <w:t>as</w:t>
      </w:r>
      <w:r w:rsidRPr="00BC11BE">
        <w:rPr>
          <w:rFonts w:asciiTheme="majorBidi" w:hAnsiTheme="majorBidi" w:cstheme="majorBidi"/>
          <w:szCs w:val="24"/>
        </w:rPr>
        <w:t>) organizēšan</w:t>
      </w:r>
      <w:r>
        <w:rPr>
          <w:rFonts w:asciiTheme="majorBidi" w:hAnsiTheme="majorBidi" w:cstheme="majorBidi"/>
          <w:szCs w:val="24"/>
        </w:rPr>
        <w:t>ā</w:t>
      </w:r>
      <w:r w:rsidRPr="00BC11BE">
        <w:rPr>
          <w:rFonts w:asciiTheme="majorBidi" w:hAnsiTheme="majorBidi" w:cstheme="majorBidi"/>
          <w:szCs w:val="24"/>
        </w:rPr>
        <w:t xml:space="preserve">, kas ir uzskatāma par kaitīgāku darbību </w:t>
      </w:r>
      <w:r>
        <w:rPr>
          <w:rFonts w:asciiTheme="majorBidi" w:hAnsiTheme="majorBidi" w:cstheme="majorBidi"/>
          <w:szCs w:val="24"/>
        </w:rPr>
        <w:t>salīdzinājumā ar</w:t>
      </w:r>
      <w:r w:rsidRPr="00BC11BE">
        <w:rPr>
          <w:rFonts w:asciiTheme="majorBidi" w:hAnsiTheme="majorBidi" w:cstheme="majorBidi"/>
          <w:szCs w:val="24"/>
        </w:rPr>
        <w:t xml:space="preserve"> nelikumīgu tabakas izstrādājumu pārvadāšan</w:t>
      </w:r>
      <w:r>
        <w:rPr>
          <w:rFonts w:asciiTheme="majorBidi" w:hAnsiTheme="majorBidi" w:cstheme="majorBidi"/>
          <w:szCs w:val="24"/>
        </w:rPr>
        <w:t xml:space="preserve">u.  </w:t>
      </w:r>
    </w:p>
    <w:p w14:paraId="223485E8" w14:textId="29DEC85E" w:rsidR="00CC34E7" w:rsidRDefault="00CC34E7" w:rsidP="00CC34E7">
      <w:pPr>
        <w:spacing w:after="0" w:line="276" w:lineRule="auto"/>
        <w:ind w:firstLine="709"/>
        <w:jc w:val="both"/>
        <w:rPr>
          <w:rFonts w:asciiTheme="majorBidi" w:hAnsiTheme="majorBidi" w:cstheme="majorBidi"/>
          <w:szCs w:val="24"/>
        </w:rPr>
      </w:pPr>
      <w:r>
        <w:rPr>
          <w:rFonts w:asciiTheme="majorBidi" w:hAnsiTheme="majorBidi" w:cstheme="majorBidi"/>
          <w:szCs w:val="24"/>
        </w:rPr>
        <w:t>[6.2] Atsaucoties uz Kriminālprocesa likuma 1., 22.</w:t>
      </w:r>
      <w:r w:rsidR="006930BB">
        <w:rPr>
          <w:rFonts w:asciiTheme="majorBidi" w:hAnsiTheme="majorBidi" w:cstheme="majorBidi"/>
          <w:szCs w:val="24"/>
        </w:rPr>
        <w:t> pantu</w:t>
      </w:r>
      <w:r>
        <w:rPr>
          <w:rFonts w:asciiTheme="majorBidi" w:hAnsiTheme="majorBidi" w:cstheme="majorBidi"/>
          <w:szCs w:val="24"/>
        </w:rPr>
        <w:t xml:space="preserve">, 350. panta pirmo un otro daļu, kasācijas sūdzībā norādīts, ka apelācijas instances tiesa, nepamatoti attaisnojot </w:t>
      </w:r>
      <w:r w:rsidR="00DF4596">
        <w:rPr>
          <w:rFonts w:asciiTheme="majorBidi" w:hAnsiTheme="majorBidi" w:cstheme="majorBidi"/>
          <w:szCs w:val="24"/>
        </w:rPr>
        <w:t>[pers. A]</w:t>
      </w:r>
      <w:r>
        <w:rPr>
          <w:rFonts w:asciiTheme="majorBidi" w:hAnsiTheme="majorBidi" w:cstheme="majorBidi"/>
          <w:szCs w:val="24"/>
        </w:rPr>
        <w:t xml:space="preserve">, ir aizskārusi cietušā tiesības saņemt kaitējuma kompensāciju no visām personām, kuras kopīgi izdarījušas noziedzīgu nodarījumu, ar kuru radīts kaitējums cietušajai, kā arī pārkāpusi ar likumu garantētās tiesības saņemt kaitējuma kompensāciju </w:t>
      </w:r>
      <w:r w:rsidR="00B73655">
        <w:rPr>
          <w:rFonts w:asciiTheme="majorBidi" w:hAnsiTheme="majorBidi" w:cstheme="majorBidi"/>
          <w:szCs w:val="24"/>
        </w:rPr>
        <w:t>k</w:t>
      </w:r>
      <w:r>
        <w:rPr>
          <w:rFonts w:asciiTheme="majorBidi" w:hAnsiTheme="majorBidi" w:cstheme="majorBidi"/>
          <w:szCs w:val="24"/>
        </w:rPr>
        <w:t>riminālprocesa ietvaros, neradot papildu apgrūtinājumus savu tiesību īstenošanā. </w:t>
      </w:r>
    </w:p>
    <w:p w14:paraId="5401D232" w14:textId="77777777" w:rsidR="00CC34E7" w:rsidRPr="004674CF" w:rsidRDefault="00CC34E7" w:rsidP="00CC34E7">
      <w:pPr>
        <w:tabs>
          <w:tab w:val="left" w:pos="3097"/>
        </w:tabs>
        <w:spacing w:after="0" w:line="276" w:lineRule="auto"/>
        <w:ind w:firstLine="709"/>
        <w:jc w:val="both"/>
        <w:rPr>
          <w:szCs w:val="24"/>
        </w:rPr>
      </w:pPr>
      <w:r>
        <w:rPr>
          <w:szCs w:val="24"/>
        </w:rPr>
        <w:tab/>
      </w:r>
    </w:p>
    <w:p w14:paraId="64E9BBDA" w14:textId="77777777" w:rsidR="00CC34E7" w:rsidRPr="004674CF" w:rsidRDefault="00CC34E7" w:rsidP="00CC34E7">
      <w:pPr>
        <w:spacing w:after="0" w:line="276" w:lineRule="auto"/>
        <w:jc w:val="center"/>
        <w:rPr>
          <w:rFonts w:asciiTheme="majorBidi" w:eastAsia="Times New Roman" w:hAnsiTheme="majorBidi" w:cstheme="majorBidi"/>
          <w:b/>
          <w:szCs w:val="24"/>
        </w:rPr>
      </w:pPr>
      <w:r w:rsidRPr="004674CF">
        <w:rPr>
          <w:rFonts w:asciiTheme="majorBidi" w:eastAsia="Times New Roman" w:hAnsiTheme="majorBidi" w:cstheme="majorBidi"/>
          <w:b/>
          <w:szCs w:val="24"/>
        </w:rPr>
        <w:t>Motīvu daļa</w:t>
      </w:r>
    </w:p>
    <w:p w14:paraId="75D8856A" w14:textId="77777777" w:rsidR="00CC34E7" w:rsidRPr="004674CF" w:rsidRDefault="00CC34E7" w:rsidP="00CC34E7">
      <w:pPr>
        <w:spacing w:after="0" w:line="276" w:lineRule="auto"/>
        <w:jc w:val="center"/>
        <w:rPr>
          <w:rFonts w:asciiTheme="majorBidi" w:eastAsia="Times New Roman" w:hAnsiTheme="majorBidi" w:cstheme="majorBidi"/>
          <w:b/>
          <w:szCs w:val="24"/>
        </w:rPr>
      </w:pPr>
    </w:p>
    <w:p w14:paraId="0E8330F1" w14:textId="55C1DD00" w:rsidR="00CC34E7" w:rsidRPr="00DC0DD2" w:rsidRDefault="00CC34E7" w:rsidP="00CC34E7">
      <w:pPr>
        <w:spacing w:after="0" w:line="276" w:lineRule="auto"/>
        <w:ind w:firstLine="720"/>
        <w:jc w:val="both"/>
      </w:pPr>
      <w:r w:rsidRPr="004674CF">
        <w:rPr>
          <w:rFonts w:asciiTheme="majorBidi" w:eastAsia="Times New Roman" w:hAnsiTheme="majorBidi" w:cstheme="majorBidi"/>
          <w:bCs/>
          <w:szCs w:val="24"/>
        </w:rPr>
        <w:t>[</w:t>
      </w:r>
      <w:r>
        <w:rPr>
          <w:rFonts w:asciiTheme="majorBidi" w:eastAsia="Times New Roman" w:hAnsiTheme="majorBidi" w:cstheme="majorBidi"/>
          <w:bCs/>
          <w:szCs w:val="24"/>
        </w:rPr>
        <w:t>7</w:t>
      </w:r>
      <w:r w:rsidRPr="004674CF">
        <w:rPr>
          <w:rFonts w:asciiTheme="majorBidi" w:eastAsia="Times New Roman" w:hAnsiTheme="majorBidi" w:cstheme="majorBidi"/>
          <w:bCs/>
          <w:szCs w:val="24"/>
        </w:rPr>
        <w:t>] </w:t>
      </w:r>
      <w:r w:rsidRPr="004674CF">
        <w:t>Senāts konstatē, ka izskatāmajā lietā kasācijas instances tiesas kompetencē ir sniegt atbildi uz jautājumiem</w:t>
      </w:r>
      <w:r>
        <w:t>:</w:t>
      </w:r>
      <w:r w:rsidRPr="004674CF">
        <w:t xml:space="preserve"> </w:t>
      </w:r>
      <w:bookmarkStart w:id="6" w:name="_Hlk131415671"/>
      <w:r>
        <w:t>1</w:t>
      </w:r>
      <w:r w:rsidRPr="00DC0DD2">
        <w:t xml:space="preserve">)  vai kriminālprocesā par kriminālpārkāpumu operatīvās darbības pasākumu laikā iegūtās telefona sarunas pamatoti saskaņā ar Kriminālprocesa likuma 130. panta otrās daļas 4. punktu atzītas par nepieļaujamu pierādījumu; 2) vai apsūdzētā </w:t>
      </w:r>
      <w:r w:rsidR="00DF4596">
        <w:rPr>
          <w:rFonts w:asciiTheme="majorBidi" w:hAnsiTheme="majorBidi" w:cstheme="majorBidi"/>
          <w:szCs w:val="24"/>
        </w:rPr>
        <w:t>[pers. A]</w:t>
      </w:r>
      <w:r w:rsidRPr="00DC0DD2">
        <w:rPr>
          <w:rFonts w:asciiTheme="majorBidi" w:hAnsiTheme="majorBidi" w:cstheme="majorBidi"/>
          <w:szCs w:val="24"/>
        </w:rPr>
        <w:t xml:space="preserve"> 2016. gada 28. janvāra liecības un liecinieku </w:t>
      </w:r>
      <w:r w:rsidR="00DF4596">
        <w:rPr>
          <w:rFonts w:asciiTheme="majorBidi" w:hAnsiTheme="majorBidi" w:cstheme="majorBidi"/>
          <w:szCs w:val="24"/>
        </w:rPr>
        <w:t>[pers. C]</w:t>
      </w:r>
      <w:r w:rsidRPr="00DC0DD2">
        <w:rPr>
          <w:rFonts w:asciiTheme="majorBidi" w:hAnsiTheme="majorBidi" w:cstheme="majorBidi"/>
          <w:szCs w:val="24"/>
        </w:rPr>
        <w:t xml:space="preserve"> 2016. gada 27. aprīļa un </w:t>
      </w:r>
      <w:r w:rsidR="00DF4596">
        <w:rPr>
          <w:rFonts w:asciiTheme="majorBidi" w:hAnsiTheme="majorBidi" w:cstheme="majorBidi"/>
          <w:szCs w:val="24"/>
        </w:rPr>
        <w:t>[pers. D]</w:t>
      </w:r>
      <w:r w:rsidRPr="00DC0DD2">
        <w:rPr>
          <w:rFonts w:asciiTheme="majorBidi" w:hAnsiTheme="majorBidi" w:cstheme="majorBidi"/>
          <w:szCs w:val="24"/>
        </w:rPr>
        <w:t xml:space="preserve"> liecības </w:t>
      </w:r>
      <w:r w:rsidRPr="00DC0DD2">
        <w:t>pamatoti atzītas par ierobežoti pieļaujamiem pierādījumiem</w:t>
      </w:r>
      <w:r w:rsidRPr="00DC0DD2">
        <w:rPr>
          <w:rFonts w:asciiTheme="majorBidi" w:hAnsiTheme="majorBidi" w:cstheme="majorBidi"/>
          <w:szCs w:val="24"/>
        </w:rPr>
        <w:t>; 3)</w:t>
      </w:r>
      <w:r w:rsidR="00F4082F">
        <w:rPr>
          <w:rFonts w:asciiTheme="majorBidi" w:hAnsiTheme="majorBidi" w:cstheme="majorBidi"/>
          <w:szCs w:val="24"/>
        </w:rPr>
        <w:t> </w:t>
      </w:r>
      <w:r w:rsidRPr="00DC0DD2">
        <w:rPr>
          <w:rFonts w:asciiTheme="majorBidi" w:hAnsiTheme="majorBidi" w:cstheme="majorBidi"/>
          <w:szCs w:val="24"/>
        </w:rPr>
        <w:t>vai lietā iegūtie pierādījumi izvērtēti atbilstoši Kriminālprocesa likuma 128. panta otrajai daļai.</w:t>
      </w:r>
    </w:p>
    <w:bookmarkEnd w:id="6"/>
    <w:p w14:paraId="59F943B9" w14:textId="77777777" w:rsidR="00CC34E7" w:rsidRPr="004674CF" w:rsidRDefault="00CC34E7" w:rsidP="00CC34E7">
      <w:pPr>
        <w:autoSpaceDE w:val="0"/>
        <w:autoSpaceDN w:val="0"/>
        <w:adjustRightInd w:val="0"/>
        <w:spacing w:after="0" w:line="276" w:lineRule="auto"/>
        <w:ind w:firstLine="720"/>
        <w:jc w:val="both"/>
      </w:pPr>
      <w:r>
        <w:t xml:space="preserve"> </w:t>
      </w:r>
    </w:p>
    <w:p w14:paraId="5604E8B5" w14:textId="3C76486E" w:rsidR="00985FF6" w:rsidRDefault="00CC34E7" w:rsidP="00CC34E7">
      <w:pPr>
        <w:autoSpaceDE w:val="0"/>
        <w:autoSpaceDN w:val="0"/>
        <w:adjustRightInd w:val="0"/>
        <w:spacing w:after="0" w:line="276" w:lineRule="auto"/>
        <w:ind w:firstLine="720"/>
        <w:jc w:val="both"/>
      </w:pPr>
      <w:r>
        <w:t>[8] </w:t>
      </w:r>
      <w:r w:rsidR="00501AA4">
        <w:t xml:space="preserve">Senāts atzīst par nepamatotu </w:t>
      </w:r>
      <w:r w:rsidR="00FD4A1C">
        <w:t>prokuror</w:t>
      </w:r>
      <w:r w:rsidR="00AF7EAD">
        <w:t>es</w:t>
      </w:r>
      <w:r w:rsidR="00FD4A1C">
        <w:t xml:space="preserve"> kasācijas protestā</w:t>
      </w:r>
      <w:proofErr w:type="gramStart"/>
      <w:r w:rsidR="00501AA4">
        <w:t xml:space="preserve"> </w:t>
      </w:r>
      <w:r w:rsidR="00FD4A1C">
        <w:t>un</w:t>
      </w:r>
      <w:proofErr w:type="gramEnd"/>
      <w:r w:rsidR="00FD4A1C">
        <w:t xml:space="preserve"> Valsts ieņēmumu dienesta kasācijas sūdzībā </w:t>
      </w:r>
      <w:r w:rsidR="00501AA4">
        <w:t xml:space="preserve">pausto iebildumu, ka apelācijas instances tiesa </w:t>
      </w:r>
      <w:r w:rsidR="00985FF6">
        <w:t>nav izvērtējusi operatīvās darbības pasākumu rezultātā iegūto ziņu par faktiem izmantošanu kriminālpārkāpuma</w:t>
      </w:r>
      <w:r w:rsidR="00501AA4">
        <w:t xml:space="preserve"> </w:t>
      </w:r>
      <w:r w:rsidR="00985FF6">
        <w:t>pierādīšanā.</w:t>
      </w:r>
    </w:p>
    <w:p w14:paraId="4AA7F68F" w14:textId="1201E6C1" w:rsidR="00CC34E7" w:rsidRDefault="00AE5131" w:rsidP="00CC34E7">
      <w:pPr>
        <w:autoSpaceDE w:val="0"/>
        <w:autoSpaceDN w:val="0"/>
        <w:adjustRightInd w:val="0"/>
        <w:spacing w:after="0" w:line="276" w:lineRule="auto"/>
        <w:ind w:firstLine="720"/>
        <w:jc w:val="both"/>
      </w:pPr>
      <w:r>
        <w:t>[8.1] </w:t>
      </w:r>
      <w:r w:rsidR="00CC34E7">
        <w:t>Kriminālprocesa likuma 130. pantā ir noteikta pierādījumu pieļaujamība.</w:t>
      </w:r>
    </w:p>
    <w:p w14:paraId="28AAAA6F" w14:textId="09D2E5CD" w:rsidR="00CC34E7" w:rsidRDefault="00CC34E7" w:rsidP="00CC34E7">
      <w:pPr>
        <w:autoSpaceDE w:val="0"/>
        <w:autoSpaceDN w:val="0"/>
        <w:adjustRightInd w:val="0"/>
        <w:spacing w:after="0" w:line="276" w:lineRule="auto"/>
        <w:ind w:firstLine="720"/>
        <w:jc w:val="both"/>
      </w:pPr>
      <w:r>
        <w:t xml:space="preserve">Šā panta pirmā daļa noteic, ka kriminālprocesa laikā iegūtās ziņas par faktiem ir pieļaujams izmantot </w:t>
      </w:r>
      <w:r w:rsidR="00AF7EAD">
        <w:t>pierādīšanā</w:t>
      </w:r>
      <w:r>
        <w:t>, ja tās ir iegūtas un procesuāli nostiprinātas šajā likumā noteiktajā kārtībā. Savukārt panta otrā daļa noteic, kādos gadījumos ziņas par faktiem atzīstamas par nepieļaujamām un pierādīšanā neizmantojamām. Kriminālprocesa likuma 130. panta otrās daļas 3. punkts noteic, ka par nepieļaujamām un pierādīšanā neizmantojamām atzīstamas tādas ziņas par faktiem, kuras iegūtas, pieļaujot šajā likumā īpaši norādītos pārkāpumus, kas liedz konkrētā pierādījuma izmantošanu. Savukārt šā panta otrās daļas 4. punkts noteic, ka par nepieļaujamām un pierādīšanā neizmantojamām atzīstamas ziņas par faktiem, kuras iegūtas, pārkāpjot kriminālprocesa pamatprincipus.</w:t>
      </w:r>
    </w:p>
    <w:p w14:paraId="3659400A" w14:textId="3046E20D" w:rsidR="00CC34E7" w:rsidRDefault="00CC34E7" w:rsidP="00CC34E7">
      <w:pPr>
        <w:autoSpaceDE w:val="0"/>
        <w:autoSpaceDN w:val="0"/>
        <w:adjustRightInd w:val="0"/>
        <w:spacing w:after="0" w:line="276" w:lineRule="auto"/>
        <w:ind w:firstLine="720"/>
        <w:jc w:val="both"/>
      </w:pPr>
      <w:r>
        <w:t xml:space="preserve">Cilvēktiesību ievērošana, spīdzināšanas un pazemošanas aizliegums, kriminālprocesuālā imunitāte, kriminālprocesā lietojamā valoda, tiesības uz objektīvu kriminālprocesa norisi, tiesības uz aizstāvību, nevainīguma prezumpcija un visbeidzot tiesības uz lietas izskatīšanu tiesā, kas paredz taisnīgu tiesas procesu, ir principi, kuri noteikti var tikt aizskarti procesuālo pārkāpumu rezultātā </w:t>
      </w:r>
      <w:proofErr w:type="gramStart"/>
      <w:r>
        <w:t>(</w:t>
      </w:r>
      <w:proofErr w:type="gramEnd"/>
      <w:r>
        <w:rPr>
          <w:i/>
          <w:iCs/>
        </w:rPr>
        <w:t>Strada-Rozenberga</w:t>
      </w:r>
      <w:r w:rsidR="004B045A">
        <w:rPr>
          <w:i/>
          <w:iCs/>
        </w:rPr>
        <w:t> </w:t>
      </w:r>
      <w:r>
        <w:rPr>
          <w:i/>
          <w:iCs/>
        </w:rPr>
        <w:t>K</w:t>
      </w:r>
      <w:r w:rsidRPr="00CE70F1">
        <w:rPr>
          <w:i/>
          <w:iCs/>
        </w:rPr>
        <w:t xml:space="preserve">. </w:t>
      </w:r>
      <w:r>
        <w:rPr>
          <w:i/>
          <w:iCs/>
        </w:rPr>
        <w:t>130</w:t>
      </w:r>
      <w:r w:rsidRPr="00CE70F1">
        <w:rPr>
          <w:i/>
          <w:iCs/>
        </w:rPr>
        <w:t>.</w:t>
      </w:r>
      <w:r>
        <w:rPr>
          <w:i/>
          <w:iCs/>
        </w:rPr>
        <w:t> </w:t>
      </w:r>
      <w:r w:rsidRPr="00CE70F1">
        <w:rPr>
          <w:i/>
          <w:iCs/>
        </w:rPr>
        <w:t xml:space="preserve">panta komentārs. </w:t>
      </w:r>
      <w:proofErr w:type="spellStart"/>
      <w:r w:rsidRPr="00CE70F1">
        <w:rPr>
          <w:i/>
          <w:iCs/>
        </w:rPr>
        <w:t>Grām</w:t>
      </w:r>
      <w:proofErr w:type="spellEnd"/>
      <w:r w:rsidRPr="00CE70F1">
        <w:rPr>
          <w:i/>
          <w:iCs/>
        </w:rPr>
        <w:t>.:</w:t>
      </w:r>
      <w:r>
        <w:t xml:space="preserve"> </w:t>
      </w:r>
      <w:r w:rsidRPr="00DE7DCE">
        <w:rPr>
          <w:i/>
          <w:iCs/>
        </w:rPr>
        <w:t xml:space="preserve">Kriminālprocesa likuma komentāri. A daļa. Zinātniska monogrāfija prof. Kristīnes </w:t>
      </w:r>
      <w:proofErr w:type="spellStart"/>
      <w:r w:rsidRPr="00DE7DCE">
        <w:rPr>
          <w:i/>
          <w:iCs/>
        </w:rPr>
        <w:t>Stradas-Rozenbergas</w:t>
      </w:r>
      <w:proofErr w:type="spellEnd"/>
      <w:r w:rsidRPr="00DE7DCE">
        <w:rPr>
          <w:i/>
          <w:iCs/>
        </w:rPr>
        <w:t xml:space="preserve"> zinātniskā redakcijā. Rīga: Latvijas Vēstnesis, 2019, </w:t>
      </w:r>
      <w:r>
        <w:rPr>
          <w:i/>
          <w:iCs/>
        </w:rPr>
        <w:t>444</w:t>
      </w:r>
      <w:r w:rsidRPr="00DE7DCE">
        <w:rPr>
          <w:i/>
          <w:iCs/>
        </w:rPr>
        <w:t>.</w:t>
      </w:r>
      <w:r>
        <w:rPr>
          <w:i/>
          <w:iCs/>
        </w:rPr>
        <w:t> </w:t>
      </w:r>
      <w:r w:rsidRPr="00DE7DCE">
        <w:rPr>
          <w:i/>
          <w:iCs/>
        </w:rPr>
        <w:t>lpp</w:t>
      </w:r>
      <w:r>
        <w:rPr>
          <w:i/>
          <w:iCs/>
        </w:rPr>
        <w:t>.</w:t>
      </w:r>
      <w:r>
        <w:t>).</w:t>
      </w:r>
    </w:p>
    <w:p w14:paraId="18FA7FB3" w14:textId="77777777" w:rsidR="00CC34E7" w:rsidRPr="007D2FE4" w:rsidRDefault="00CC34E7" w:rsidP="00CC34E7">
      <w:pPr>
        <w:autoSpaceDE w:val="0"/>
        <w:autoSpaceDN w:val="0"/>
        <w:adjustRightInd w:val="0"/>
        <w:spacing w:after="0" w:line="276" w:lineRule="auto"/>
        <w:ind w:firstLine="720"/>
        <w:jc w:val="both"/>
      </w:pPr>
      <w:r>
        <w:t xml:space="preserve">Kriminālprocesa likuma 12. panta pirmā daļa noteic, ka kriminālprocesu veic, ievērojot starptautiski atzītās cilvēktiesības un nepieļaujot neattaisnotu kriminālprocesuālo pienākumu uzlikšanu vai nesamērīgu iejaukšanos personas dzīvē. Savukārt minētā panta otrā daļa noteic, ka cilvēktiesības var ierobežot tikai tajos gadījumos, kad to prasa sabiedrības drošības apsvērumi, un tikai šajā </w:t>
      </w:r>
      <w:proofErr w:type="gramStart"/>
      <w:r>
        <w:t>likumā</w:t>
      </w:r>
      <w:proofErr w:type="gramEnd"/>
      <w:r>
        <w:t xml:space="preserve"> noteiktajā kārtībā </w:t>
      </w:r>
      <w:r w:rsidRPr="007D2FE4">
        <w:t>atbilstoši noziedzīgā nodarījuma raksturam un bīstamībai.</w:t>
      </w:r>
    </w:p>
    <w:p w14:paraId="5D01B51E" w14:textId="3BEAB35D" w:rsidR="00CC34E7" w:rsidRPr="004B045A" w:rsidRDefault="00CC34E7" w:rsidP="00CC34E7">
      <w:pPr>
        <w:spacing w:after="0" w:line="276" w:lineRule="auto"/>
        <w:ind w:firstLine="720"/>
        <w:jc w:val="both"/>
        <w:rPr>
          <w:rFonts w:asciiTheme="majorBidi" w:eastAsia="Times New Roman" w:hAnsiTheme="majorBidi" w:cstheme="majorBidi"/>
          <w:szCs w:val="24"/>
          <w:lang w:eastAsia="lv-LV"/>
        </w:rPr>
      </w:pPr>
      <w:r w:rsidRPr="007D2FE4">
        <w:rPr>
          <w:rFonts w:asciiTheme="majorBidi" w:eastAsia="Times New Roman" w:hAnsiTheme="majorBidi" w:cstheme="majorBidi"/>
          <w:szCs w:val="24"/>
          <w:lang w:eastAsia="lv-LV"/>
        </w:rPr>
        <w:t>Operatīvās darbības pasākumi atbilstoši aktuālajam un vēsturiskajam regulējumam atļauti tikai Operatīvās darbības likuma 2.</w:t>
      </w:r>
      <w:r w:rsidR="00F4082F">
        <w:rPr>
          <w:rFonts w:asciiTheme="majorBidi" w:eastAsia="Times New Roman" w:hAnsiTheme="majorBidi" w:cstheme="majorBidi"/>
          <w:szCs w:val="24"/>
          <w:lang w:eastAsia="lv-LV"/>
        </w:rPr>
        <w:t> </w:t>
      </w:r>
      <w:r w:rsidRPr="007D2FE4">
        <w:rPr>
          <w:rFonts w:asciiTheme="majorBidi" w:eastAsia="Times New Roman" w:hAnsiTheme="majorBidi" w:cstheme="majorBidi"/>
          <w:szCs w:val="24"/>
          <w:lang w:eastAsia="lv-LV"/>
        </w:rPr>
        <w:t xml:space="preserve">panta pirmajā daļā </w:t>
      </w:r>
      <w:r w:rsidR="00AF7EAD">
        <w:rPr>
          <w:rFonts w:asciiTheme="majorBidi" w:eastAsia="Times New Roman" w:hAnsiTheme="majorBidi" w:cstheme="majorBidi"/>
          <w:szCs w:val="24"/>
          <w:lang w:eastAsia="lv-LV"/>
        </w:rPr>
        <w:t>paredzēto</w:t>
      </w:r>
      <w:r w:rsidRPr="007D2FE4">
        <w:rPr>
          <w:rFonts w:asciiTheme="majorBidi" w:eastAsia="Times New Roman" w:hAnsiTheme="majorBidi" w:cstheme="majorBidi"/>
          <w:szCs w:val="24"/>
          <w:lang w:eastAsia="lv-LV"/>
        </w:rPr>
        <w:t xml:space="preserve"> uzdevumu sasniegšanai, turklāt ievērojot minētā likuma 4.</w:t>
      </w:r>
      <w:r w:rsidR="00F4082F">
        <w:rPr>
          <w:rFonts w:asciiTheme="majorBidi" w:eastAsia="Times New Roman" w:hAnsiTheme="majorBidi" w:cstheme="majorBidi"/>
          <w:szCs w:val="24"/>
          <w:lang w:eastAsia="lv-LV"/>
        </w:rPr>
        <w:t> </w:t>
      </w:r>
      <w:r w:rsidRPr="007D2FE4">
        <w:rPr>
          <w:rFonts w:asciiTheme="majorBidi" w:eastAsia="Times New Roman" w:hAnsiTheme="majorBidi" w:cstheme="majorBidi"/>
          <w:szCs w:val="24"/>
          <w:lang w:eastAsia="lv-LV"/>
        </w:rPr>
        <w:t xml:space="preserve">pantā noteiktos operatīvās darbības principus. Minētā likuma 4. panta trešā daļa noteic, ka operatīvās darbības pasākumiem, to </w:t>
      </w:r>
      <w:r w:rsidRPr="007D2FE4">
        <w:rPr>
          <w:rFonts w:asciiTheme="majorBidi" w:eastAsia="Times New Roman" w:hAnsiTheme="majorBidi" w:cstheme="majorBidi"/>
          <w:spacing w:val="-1"/>
          <w:szCs w:val="24"/>
          <w:lang w:eastAsia="lv-LV"/>
        </w:rPr>
        <w:t xml:space="preserve">veikšanas </w:t>
      </w:r>
      <w:r w:rsidRPr="00A04E45">
        <w:rPr>
          <w:rFonts w:asciiTheme="majorBidi" w:eastAsia="Times New Roman" w:hAnsiTheme="majorBidi" w:cstheme="majorBidi"/>
          <w:color w:val="000000" w:themeColor="text1"/>
          <w:spacing w:val="-1"/>
          <w:szCs w:val="24"/>
          <w:lang w:eastAsia="lv-LV"/>
        </w:rPr>
        <w:t>veidam, apjomam un intensitātei ir jāatbilst apdraudējuma veidam un bīstamības pakāpei</w:t>
      </w:r>
      <w:r>
        <w:rPr>
          <w:rFonts w:asciiTheme="majorBidi" w:eastAsia="Times New Roman" w:hAnsiTheme="majorBidi" w:cstheme="majorBidi"/>
          <w:color w:val="000000" w:themeColor="text1"/>
          <w:spacing w:val="-1"/>
          <w:szCs w:val="24"/>
          <w:lang w:eastAsia="lv-LV"/>
        </w:rPr>
        <w:t xml:space="preserve"> un</w:t>
      </w:r>
      <w:r>
        <w:rPr>
          <w:rFonts w:asciiTheme="majorBidi" w:eastAsia="Times New Roman" w:hAnsiTheme="majorBidi" w:cstheme="majorBidi"/>
          <w:color w:val="000000" w:themeColor="text1"/>
          <w:szCs w:val="24"/>
          <w:lang w:eastAsia="lv-LV"/>
        </w:rPr>
        <w:t xml:space="preserve"> iespējami mazāk iejaucoties personu pamattiesībās.</w:t>
      </w:r>
    </w:p>
    <w:p w14:paraId="258E177E" w14:textId="77EAAC73" w:rsidR="00CC34E7" w:rsidRPr="007D2FE4" w:rsidRDefault="00CC34E7" w:rsidP="00CC34E7">
      <w:pPr>
        <w:widowControl w:val="0"/>
        <w:shd w:val="clear" w:color="auto" w:fill="FFFFFF"/>
        <w:autoSpaceDE w:val="0"/>
        <w:autoSpaceDN w:val="0"/>
        <w:adjustRightInd w:val="0"/>
        <w:spacing w:after="0" w:line="276" w:lineRule="auto"/>
        <w:ind w:right="10" w:firstLine="709"/>
        <w:jc w:val="both"/>
        <w:rPr>
          <w:rFonts w:asciiTheme="majorBidi" w:eastAsia="Times New Roman" w:hAnsiTheme="majorBidi" w:cstheme="majorBidi"/>
          <w:szCs w:val="24"/>
          <w:lang w:eastAsia="lv-LV"/>
        </w:rPr>
      </w:pPr>
      <w:r w:rsidRPr="00A04E45">
        <w:rPr>
          <w:rFonts w:asciiTheme="majorBidi" w:eastAsia="Times New Roman" w:hAnsiTheme="majorBidi" w:cstheme="majorBidi"/>
          <w:color w:val="000000" w:themeColor="text1"/>
          <w:szCs w:val="24"/>
          <w:lang w:eastAsia="lv-LV"/>
        </w:rPr>
        <w:t xml:space="preserve">No Operatīvās darbības </w:t>
      </w:r>
      <w:r w:rsidRPr="007D2FE4">
        <w:rPr>
          <w:rFonts w:asciiTheme="majorBidi" w:eastAsia="Times New Roman" w:hAnsiTheme="majorBidi" w:cstheme="majorBidi"/>
          <w:szCs w:val="24"/>
          <w:lang w:eastAsia="lv-LV"/>
        </w:rPr>
        <w:t>likuma 7. panta trešās un ceturtās daļas izriet</w:t>
      </w:r>
      <w:r w:rsidRPr="00A04E45">
        <w:rPr>
          <w:rFonts w:asciiTheme="majorBidi" w:eastAsia="Times New Roman" w:hAnsiTheme="majorBidi" w:cstheme="majorBidi"/>
          <w:color w:val="000000" w:themeColor="text1"/>
          <w:szCs w:val="24"/>
          <w:lang w:eastAsia="lv-LV"/>
        </w:rPr>
        <w:t>, ka operatīvā nepublisku sarunu slepena noklausīšanās</w:t>
      </w:r>
      <w:r>
        <w:rPr>
          <w:rFonts w:asciiTheme="majorBidi" w:eastAsia="Times New Roman" w:hAnsiTheme="majorBidi" w:cstheme="majorBidi"/>
          <w:color w:val="000000" w:themeColor="text1"/>
          <w:szCs w:val="24"/>
          <w:lang w:eastAsia="lv-LV"/>
        </w:rPr>
        <w:t xml:space="preserve"> (arī pa tālruni</w:t>
      </w:r>
      <w:r w:rsidR="0018015E">
        <w:rPr>
          <w:rFonts w:asciiTheme="majorBidi" w:eastAsia="Times New Roman" w:hAnsiTheme="majorBidi" w:cstheme="majorBidi"/>
          <w:color w:val="000000" w:themeColor="text1"/>
          <w:szCs w:val="24"/>
          <w:lang w:eastAsia="lv-LV"/>
        </w:rPr>
        <w:t xml:space="preserve"> </w:t>
      </w:r>
      <w:r>
        <w:rPr>
          <w:rFonts w:asciiTheme="majorBidi" w:eastAsia="Times New Roman" w:hAnsiTheme="majorBidi" w:cstheme="majorBidi"/>
          <w:color w:val="000000" w:themeColor="text1"/>
          <w:szCs w:val="24"/>
          <w:lang w:eastAsia="lv-LV"/>
        </w:rPr>
        <w:t xml:space="preserve">[..]) </w:t>
      </w:r>
      <w:r w:rsidRPr="00A04E45">
        <w:rPr>
          <w:rFonts w:asciiTheme="majorBidi" w:eastAsia="Times New Roman" w:hAnsiTheme="majorBidi" w:cstheme="majorBidi"/>
          <w:color w:val="000000" w:themeColor="text1"/>
          <w:szCs w:val="24"/>
          <w:lang w:eastAsia="lv-LV"/>
        </w:rPr>
        <w:t xml:space="preserve">ir operatīvās darbības pasākums, kas veicams </w:t>
      </w:r>
      <w:r w:rsidRPr="00814E27">
        <w:rPr>
          <w:rFonts w:asciiTheme="majorBidi" w:eastAsia="Times New Roman" w:hAnsiTheme="majorBidi" w:cstheme="majorBidi"/>
          <w:color w:val="000000" w:themeColor="text1"/>
          <w:szCs w:val="24"/>
          <w:lang w:eastAsia="lv-LV"/>
        </w:rPr>
        <w:t>sevišķajā</w:t>
      </w:r>
      <w:r w:rsidRPr="00A04E45">
        <w:rPr>
          <w:rFonts w:asciiTheme="majorBidi" w:eastAsia="Times New Roman" w:hAnsiTheme="majorBidi" w:cstheme="majorBidi"/>
          <w:color w:val="000000" w:themeColor="text1"/>
          <w:szCs w:val="24"/>
          <w:lang w:eastAsia="lv-LV"/>
        </w:rPr>
        <w:t xml:space="preserve"> veidā un ar Augstākās tiesas priekšsēdētāja vai viņa īpaši pilnvarota Augstākās tiesas tiesneša akceptu, jo šī operatīvās darbības pasākuma gaitā </w:t>
      </w:r>
      <w:r w:rsidRPr="007D2FE4">
        <w:rPr>
          <w:rFonts w:asciiTheme="majorBidi" w:eastAsia="Times New Roman" w:hAnsiTheme="majorBidi" w:cstheme="majorBidi"/>
          <w:szCs w:val="24"/>
          <w:lang w:eastAsia="lv-LV"/>
        </w:rPr>
        <w:t>tiek būtiski aizskartas personas pamattiesības.</w:t>
      </w:r>
    </w:p>
    <w:p w14:paraId="5727FD36" w14:textId="690ECD66" w:rsidR="00CC34E7" w:rsidRPr="007D2FE4" w:rsidRDefault="00CC34E7" w:rsidP="00CC34E7">
      <w:pPr>
        <w:spacing w:after="0" w:line="276" w:lineRule="auto"/>
        <w:ind w:firstLine="720"/>
        <w:jc w:val="both"/>
        <w:rPr>
          <w:rFonts w:asciiTheme="majorBidi" w:hAnsiTheme="majorBidi" w:cstheme="majorBidi"/>
          <w:szCs w:val="24"/>
        </w:rPr>
      </w:pPr>
      <w:r w:rsidRPr="007D2FE4">
        <w:rPr>
          <w:rFonts w:asciiTheme="majorBidi" w:eastAsia="Times New Roman" w:hAnsiTheme="majorBidi" w:cstheme="majorBidi"/>
          <w:szCs w:val="24"/>
          <w:lang w:eastAsia="lv-LV"/>
        </w:rPr>
        <w:t>Operatīvās darbības likumā ir noteikti arī specifiski nosacījumi konkrētiem operatīvās darbības pasākumiem, tajā skaitā operatīv</w:t>
      </w:r>
      <w:r w:rsidR="000619B3">
        <w:rPr>
          <w:rFonts w:asciiTheme="majorBidi" w:eastAsia="Times New Roman" w:hAnsiTheme="majorBidi" w:cstheme="majorBidi"/>
          <w:szCs w:val="24"/>
          <w:lang w:eastAsia="lv-LV"/>
        </w:rPr>
        <w:t>ā</w:t>
      </w:r>
      <w:r w:rsidR="0018015E">
        <w:rPr>
          <w:rFonts w:asciiTheme="majorBidi" w:eastAsia="Times New Roman" w:hAnsiTheme="majorBidi" w:cstheme="majorBidi"/>
          <w:szCs w:val="24"/>
          <w:lang w:eastAsia="lv-LV"/>
        </w:rPr>
        <w:t>s</w:t>
      </w:r>
      <w:r w:rsidRPr="007D2FE4">
        <w:rPr>
          <w:rFonts w:asciiTheme="majorBidi" w:eastAsia="Times New Roman" w:hAnsiTheme="majorBidi" w:cstheme="majorBidi"/>
          <w:szCs w:val="24"/>
          <w:lang w:eastAsia="lv-LV"/>
        </w:rPr>
        <w:t xml:space="preserve"> nepublisk</w:t>
      </w:r>
      <w:r w:rsidR="0018015E">
        <w:rPr>
          <w:rFonts w:asciiTheme="majorBidi" w:eastAsia="Times New Roman" w:hAnsiTheme="majorBidi" w:cstheme="majorBidi"/>
          <w:szCs w:val="24"/>
          <w:lang w:eastAsia="lv-LV"/>
        </w:rPr>
        <w:t>u</w:t>
      </w:r>
      <w:r w:rsidRPr="007D2FE4">
        <w:rPr>
          <w:rFonts w:asciiTheme="majorBidi" w:eastAsia="Times New Roman" w:hAnsiTheme="majorBidi" w:cstheme="majorBidi"/>
          <w:szCs w:val="24"/>
          <w:lang w:eastAsia="lv-LV"/>
        </w:rPr>
        <w:t xml:space="preserve"> sarunu slepenas noklausīšanās pasākumā, turklāt jāņem vērā, ka likumā lietoti termini „noziedzīgs nodarījums” un „noziegums”.</w:t>
      </w:r>
    </w:p>
    <w:p w14:paraId="3429E28D" w14:textId="58807A11" w:rsidR="00CC34E7" w:rsidRDefault="00CC34E7" w:rsidP="00CC34E7">
      <w:pPr>
        <w:spacing w:after="0" w:line="276" w:lineRule="auto"/>
        <w:ind w:firstLine="709"/>
        <w:jc w:val="both"/>
      </w:pPr>
      <w:r w:rsidRPr="007D2FE4">
        <w:t xml:space="preserve">Atbilstoši Operatīvās </w:t>
      </w:r>
      <w:r>
        <w:t xml:space="preserve">darbības likuma 17. panta pirmās daļas 3. punktā noteiktajam gan tā aktuālajā redakcijā, gan šā likuma vēsturiskajā redakcijā, kas bija spēkā operatīvās darbības pasākuma veikšanas laikā, operatīvā sarunu noklausīšanās ir atļauta tikai tajā gadījumā, ja operatīvās darbības subjekta rīcībā ir pamatotas ziņas par personas saistību ar noziegumu, kā arī valsts vai sabiedrības drošības apdraudējumu. </w:t>
      </w:r>
    </w:p>
    <w:p w14:paraId="45E4FE35" w14:textId="19F9F014" w:rsidR="00CC34E7" w:rsidRDefault="00CC34E7" w:rsidP="00CC34E7">
      <w:pPr>
        <w:spacing w:after="0" w:line="276" w:lineRule="auto"/>
        <w:ind w:firstLine="709"/>
        <w:jc w:val="both"/>
        <w:rPr>
          <w:rFonts w:asciiTheme="majorBidi" w:hAnsiTheme="majorBidi" w:cstheme="majorBidi"/>
          <w:color w:val="000000" w:themeColor="text1"/>
          <w:szCs w:val="24"/>
        </w:rPr>
      </w:pPr>
      <w:r w:rsidRPr="002F7C20">
        <w:rPr>
          <w:rFonts w:asciiTheme="majorBidi" w:hAnsiTheme="majorBidi" w:cstheme="majorBidi"/>
          <w:szCs w:val="24"/>
        </w:rPr>
        <w:t>Augstākās tiesas judikatūrā izteikts atzinums</w:t>
      </w:r>
      <w:r w:rsidR="000619B3">
        <w:rPr>
          <w:rFonts w:asciiTheme="majorBidi" w:hAnsiTheme="majorBidi" w:cstheme="majorBidi"/>
          <w:szCs w:val="24"/>
        </w:rPr>
        <w:t>, ka</w:t>
      </w:r>
      <w:r w:rsidRPr="002F7C20">
        <w:rPr>
          <w:rFonts w:asciiTheme="majorBidi" w:hAnsiTheme="majorBidi" w:cstheme="majorBidi"/>
          <w:szCs w:val="24"/>
        </w:rPr>
        <w:t xml:space="preserve"> no Kriminālprocesa likuma un Operatīvās darbības likuma normām izriet, ka operatīvā sarunu noklausīšanās nav pieļaujama, lai atklātu kriminālpārkāpumus. Ja operatīvās darbības pasākumos iegūtās ziņas par faktiem tiek izmantotas kriminālprocesā par kriminālpārkāpumu, būtiski ir izvērtēt, vai, izmantojot šīs ziņas konkrētajā lietā kā apsūdzētā vainīguma pierādījumu, nav pieļauts Kriminālprocesa likuma 12. pantā noteiktais cilvēktiesību garantēšanas principa pārkāpums </w:t>
      </w:r>
      <w:proofErr w:type="gramStart"/>
      <w:r w:rsidRPr="002F7C20">
        <w:rPr>
          <w:rFonts w:asciiTheme="majorBidi" w:hAnsiTheme="majorBidi" w:cstheme="majorBidi"/>
          <w:szCs w:val="24"/>
        </w:rPr>
        <w:t>(</w:t>
      </w:r>
      <w:proofErr w:type="gramEnd"/>
      <w:r w:rsidR="00F4082F">
        <w:rPr>
          <w:rFonts w:asciiTheme="majorBidi" w:hAnsiTheme="majorBidi" w:cstheme="majorBidi"/>
          <w:i/>
          <w:iCs/>
          <w:szCs w:val="24"/>
        </w:rPr>
        <w:t>Senāta</w:t>
      </w:r>
      <w:r>
        <w:rPr>
          <w:rFonts w:asciiTheme="majorBidi" w:hAnsiTheme="majorBidi" w:cstheme="majorBidi"/>
          <w:i/>
          <w:iCs/>
          <w:color w:val="000000" w:themeColor="text1"/>
          <w:szCs w:val="24"/>
        </w:rPr>
        <w:t xml:space="preserve"> </w:t>
      </w:r>
      <w:r w:rsidRPr="00A04E45">
        <w:rPr>
          <w:rFonts w:asciiTheme="majorBidi" w:hAnsiTheme="majorBidi" w:cstheme="majorBidi"/>
          <w:i/>
          <w:iCs/>
          <w:color w:val="000000" w:themeColor="text1"/>
          <w:szCs w:val="24"/>
        </w:rPr>
        <w:t>2021.</w:t>
      </w:r>
      <w:r>
        <w:rPr>
          <w:rFonts w:asciiTheme="majorBidi" w:hAnsiTheme="majorBidi" w:cstheme="majorBidi"/>
          <w:i/>
          <w:iCs/>
          <w:color w:val="000000" w:themeColor="text1"/>
          <w:szCs w:val="24"/>
        </w:rPr>
        <w:t> </w:t>
      </w:r>
      <w:r w:rsidRPr="00A04E45">
        <w:rPr>
          <w:rFonts w:asciiTheme="majorBidi" w:hAnsiTheme="majorBidi" w:cstheme="majorBidi"/>
          <w:i/>
          <w:iCs/>
          <w:color w:val="000000" w:themeColor="text1"/>
          <w:szCs w:val="24"/>
        </w:rPr>
        <w:t>gada 2.</w:t>
      </w:r>
      <w:r>
        <w:rPr>
          <w:rFonts w:asciiTheme="majorBidi" w:hAnsiTheme="majorBidi" w:cstheme="majorBidi"/>
          <w:i/>
          <w:iCs/>
          <w:color w:val="000000" w:themeColor="text1"/>
          <w:szCs w:val="24"/>
        </w:rPr>
        <w:t> </w:t>
      </w:r>
      <w:r w:rsidRPr="00A04E45">
        <w:rPr>
          <w:rFonts w:asciiTheme="majorBidi" w:hAnsiTheme="majorBidi" w:cstheme="majorBidi"/>
          <w:i/>
          <w:iCs/>
          <w:color w:val="000000" w:themeColor="text1"/>
          <w:szCs w:val="24"/>
        </w:rPr>
        <w:t>februāra lēmums</w:t>
      </w:r>
      <w:r w:rsidRPr="00A04E45">
        <w:rPr>
          <w:rFonts w:asciiTheme="majorBidi" w:hAnsiTheme="majorBidi" w:cstheme="majorBidi"/>
          <w:color w:val="000000" w:themeColor="text1"/>
          <w:szCs w:val="24"/>
        </w:rPr>
        <w:t xml:space="preserve"> </w:t>
      </w:r>
      <w:r w:rsidRPr="00967396">
        <w:rPr>
          <w:rFonts w:asciiTheme="majorBidi" w:hAnsiTheme="majorBidi" w:cstheme="majorBidi"/>
          <w:i/>
          <w:iCs/>
          <w:color w:val="000000" w:themeColor="text1"/>
          <w:szCs w:val="24"/>
        </w:rPr>
        <w:t>lietā Nr.</w:t>
      </w:r>
      <w:r w:rsidRPr="00A04E45">
        <w:rPr>
          <w:rFonts w:asciiTheme="majorBidi" w:hAnsiTheme="majorBidi" w:cstheme="majorBidi"/>
          <w:color w:val="000000" w:themeColor="text1"/>
          <w:szCs w:val="24"/>
        </w:rPr>
        <w:t> </w:t>
      </w:r>
      <w:r w:rsidRPr="00A04E45">
        <w:rPr>
          <w:rFonts w:asciiTheme="majorBidi" w:hAnsiTheme="majorBidi" w:cstheme="majorBidi"/>
          <w:i/>
          <w:iCs/>
          <w:color w:val="000000" w:themeColor="text1"/>
          <w:szCs w:val="24"/>
        </w:rPr>
        <w:t>SKK</w:t>
      </w:r>
      <w:r>
        <w:rPr>
          <w:rFonts w:asciiTheme="majorBidi" w:hAnsiTheme="majorBidi" w:cstheme="majorBidi"/>
          <w:i/>
          <w:iCs/>
          <w:color w:val="000000" w:themeColor="text1"/>
          <w:szCs w:val="24"/>
        </w:rPr>
        <w:t>-</w:t>
      </w:r>
      <w:r w:rsidRPr="00A04E45">
        <w:rPr>
          <w:rFonts w:asciiTheme="majorBidi" w:hAnsiTheme="majorBidi" w:cstheme="majorBidi"/>
          <w:i/>
          <w:iCs/>
          <w:color w:val="000000" w:themeColor="text1"/>
          <w:szCs w:val="24"/>
        </w:rPr>
        <w:t>1/2021</w:t>
      </w:r>
      <w:r>
        <w:rPr>
          <w:rFonts w:asciiTheme="majorBidi" w:hAnsiTheme="majorBidi" w:cstheme="majorBidi"/>
          <w:i/>
          <w:iCs/>
          <w:color w:val="000000" w:themeColor="text1"/>
          <w:szCs w:val="24"/>
        </w:rPr>
        <w:t>,</w:t>
      </w:r>
      <w:r w:rsidRPr="00A04E45">
        <w:rPr>
          <w:rFonts w:asciiTheme="majorBidi" w:hAnsiTheme="majorBidi" w:cstheme="majorBidi"/>
          <w:i/>
          <w:iCs/>
          <w:color w:val="000000" w:themeColor="text1"/>
          <w:szCs w:val="24"/>
        </w:rPr>
        <w:t xml:space="preserve"> </w:t>
      </w:r>
      <w:hyperlink r:id="rId9" w:history="1">
        <w:r w:rsidRPr="0062189E">
          <w:rPr>
            <w:rStyle w:val="Hyperlink"/>
            <w:rFonts w:asciiTheme="majorBidi" w:hAnsiTheme="majorBidi" w:cstheme="majorBidi"/>
            <w:i/>
            <w:iCs/>
            <w:szCs w:val="24"/>
          </w:rPr>
          <w:t>ECLI:LV:AT:2021:0202.12812001312.4.L</w:t>
        </w:r>
      </w:hyperlink>
      <w:r>
        <w:rPr>
          <w:rFonts w:asciiTheme="majorBidi" w:hAnsiTheme="majorBidi" w:cstheme="majorBidi"/>
          <w:i/>
          <w:iCs/>
          <w:color w:val="000000" w:themeColor="text1"/>
          <w:szCs w:val="24"/>
        </w:rPr>
        <w:t>, 9. punkts, 2014. gada 2. decembra lēmums lietā Nr. SKK-802/2014, 11517024607, 2014. gada 7. aprīļa lēmums lietā Nr. SKK</w:t>
      </w:r>
      <w:r w:rsidR="004B045A">
        <w:rPr>
          <w:rFonts w:asciiTheme="majorBidi" w:hAnsiTheme="majorBidi" w:cstheme="majorBidi"/>
          <w:i/>
          <w:iCs/>
          <w:color w:val="000000" w:themeColor="text1"/>
          <w:szCs w:val="24"/>
        </w:rPr>
        <w:noBreakHyphen/>
      </w:r>
      <w:r>
        <w:rPr>
          <w:rFonts w:asciiTheme="majorBidi" w:hAnsiTheme="majorBidi" w:cstheme="majorBidi"/>
          <w:i/>
          <w:iCs/>
          <w:color w:val="000000" w:themeColor="text1"/>
          <w:szCs w:val="24"/>
        </w:rPr>
        <w:t>78/2014, 11517024607,</w:t>
      </w:r>
      <w:r w:rsidRPr="00A04E45">
        <w:rPr>
          <w:rFonts w:asciiTheme="majorBidi" w:hAnsiTheme="majorBidi" w:cstheme="majorBidi"/>
          <w:color w:val="000000" w:themeColor="text1"/>
          <w:szCs w:val="24"/>
        </w:rPr>
        <w:t xml:space="preserve"> </w:t>
      </w:r>
      <w:r w:rsidRPr="00A04E45">
        <w:rPr>
          <w:rFonts w:asciiTheme="majorBidi" w:hAnsiTheme="majorBidi" w:cstheme="majorBidi"/>
          <w:i/>
          <w:iCs/>
          <w:color w:val="000000" w:themeColor="text1"/>
          <w:szCs w:val="24"/>
        </w:rPr>
        <w:t>2013.</w:t>
      </w:r>
      <w:r>
        <w:rPr>
          <w:rFonts w:asciiTheme="majorBidi" w:hAnsiTheme="majorBidi" w:cstheme="majorBidi"/>
          <w:i/>
          <w:iCs/>
          <w:color w:val="000000" w:themeColor="text1"/>
          <w:szCs w:val="24"/>
        </w:rPr>
        <w:t> </w:t>
      </w:r>
      <w:r w:rsidRPr="00A04E45">
        <w:rPr>
          <w:rFonts w:asciiTheme="majorBidi" w:hAnsiTheme="majorBidi" w:cstheme="majorBidi"/>
          <w:i/>
          <w:iCs/>
          <w:color w:val="000000" w:themeColor="text1"/>
          <w:szCs w:val="24"/>
        </w:rPr>
        <w:t>gada 11.</w:t>
      </w:r>
      <w:r>
        <w:rPr>
          <w:rFonts w:asciiTheme="majorBidi" w:hAnsiTheme="majorBidi" w:cstheme="majorBidi"/>
          <w:i/>
          <w:iCs/>
          <w:color w:val="000000" w:themeColor="text1"/>
          <w:szCs w:val="24"/>
        </w:rPr>
        <w:t> </w:t>
      </w:r>
      <w:r w:rsidRPr="00A04E45">
        <w:rPr>
          <w:rFonts w:asciiTheme="majorBidi" w:hAnsiTheme="majorBidi" w:cstheme="majorBidi"/>
          <w:i/>
          <w:iCs/>
          <w:color w:val="000000" w:themeColor="text1"/>
          <w:szCs w:val="24"/>
        </w:rPr>
        <w:t>novembra lēmums lietā Nr. SKK</w:t>
      </w:r>
      <w:r w:rsidR="004B045A">
        <w:rPr>
          <w:rFonts w:asciiTheme="majorBidi" w:hAnsiTheme="majorBidi" w:cstheme="majorBidi"/>
          <w:i/>
          <w:iCs/>
          <w:color w:val="000000" w:themeColor="text1"/>
          <w:szCs w:val="24"/>
        </w:rPr>
        <w:noBreakHyphen/>
      </w:r>
      <w:r w:rsidRPr="00A04E45">
        <w:rPr>
          <w:rFonts w:asciiTheme="majorBidi" w:hAnsiTheme="majorBidi" w:cstheme="majorBidi"/>
          <w:i/>
          <w:iCs/>
          <w:color w:val="000000" w:themeColor="text1"/>
          <w:szCs w:val="24"/>
        </w:rPr>
        <w:t>375/2013</w:t>
      </w:r>
      <w:r>
        <w:rPr>
          <w:rFonts w:asciiTheme="majorBidi" w:hAnsiTheme="majorBidi" w:cstheme="majorBidi"/>
          <w:i/>
          <w:iCs/>
          <w:color w:val="000000" w:themeColor="text1"/>
          <w:szCs w:val="24"/>
        </w:rPr>
        <w:t xml:space="preserve">, </w:t>
      </w:r>
      <w:r w:rsidRPr="00A04E45">
        <w:rPr>
          <w:rFonts w:asciiTheme="majorBidi" w:hAnsiTheme="majorBidi" w:cstheme="majorBidi"/>
          <w:i/>
          <w:iCs/>
          <w:color w:val="000000" w:themeColor="text1"/>
          <w:szCs w:val="24"/>
        </w:rPr>
        <w:t>11840004811</w:t>
      </w:r>
      <w:r>
        <w:rPr>
          <w:rFonts w:asciiTheme="majorBidi" w:hAnsiTheme="majorBidi" w:cstheme="majorBidi"/>
          <w:i/>
          <w:iCs/>
          <w:color w:val="000000" w:themeColor="text1"/>
          <w:szCs w:val="24"/>
        </w:rPr>
        <w:t>,</w:t>
      </w:r>
      <w:r w:rsidRPr="003F25E5">
        <w:rPr>
          <w:rFonts w:asciiTheme="majorBidi" w:hAnsiTheme="majorBidi" w:cstheme="majorBidi"/>
          <w:i/>
          <w:iCs/>
          <w:color w:val="000000" w:themeColor="text1"/>
          <w:szCs w:val="24"/>
        </w:rPr>
        <w:t xml:space="preserve"> </w:t>
      </w:r>
      <w:r w:rsidRPr="00A04E45">
        <w:rPr>
          <w:rFonts w:asciiTheme="majorBidi" w:hAnsiTheme="majorBidi" w:cstheme="majorBidi"/>
          <w:i/>
          <w:iCs/>
          <w:color w:val="000000" w:themeColor="text1"/>
          <w:szCs w:val="24"/>
        </w:rPr>
        <w:t>2013.</w:t>
      </w:r>
      <w:r>
        <w:rPr>
          <w:rFonts w:asciiTheme="majorBidi" w:hAnsiTheme="majorBidi" w:cstheme="majorBidi"/>
          <w:i/>
          <w:iCs/>
          <w:color w:val="000000" w:themeColor="text1"/>
          <w:szCs w:val="24"/>
        </w:rPr>
        <w:t> </w:t>
      </w:r>
      <w:r w:rsidRPr="00A04E45">
        <w:rPr>
          <w:rFonts w:asciiTheme="majorBidi" w:hAnsiTheme="majorBidi" w:cstheme="majorBidi"/>
          <w:i/>
          <w:iCs/>
          <w:color w:val="000000" w:themeColor="text1"/>
          <w:szCs w:val="24"/>
        </w:rPr>
        <w:t>gada 11.</w:t>
      </w:r>
      <w:r>
        <w:rPr>
          <w:rFonts w:asciiTheme="majorBidi" w:hAnsiTheme="majorBidi" w:cstheme="majorBidi"/>
          <w:i/>
          <w:iCs/>
          <w:color w:val="000000" w:themeColor="text1"/>
          <w:szCs w:val="24"/>
        </w:rPr>
        <w:t> </w:t>
      </w:r>
      <w:r w:rsidRPr="00A04E45">
        <w:rPr>
          <w:rFonts w:asciiTheme="majorBidi" w:hAnsiTheme="majorBidi" w:cstheme="majorBidi"/>
          <w:i/>
          <w:iCs/>
          <w:color w:val="000000" w:themeColor="text1"/>
          <w:szCs w:val="24"/>
        </w:rPr>
        <w:t>novembra lēmums lietā Nr. SKK</w:t>
      </w:r>
      <w:r w:rsidR="004B045A">
        <w:rPr>
          <w:rFonts w:asciiTheme="majorBidi" w:hAnsiTheme="majorBidi" w:cstheme="majorBidi"/>
          <w:i/>
          <w:iCs/>
          <w:color w:val="000000" w:themeColor="text1"/>
          <w:szCs w:val="24"/>
        </w:rPr>
        <w:t> </w:t>
      </w:r>
      <w:r>
        <w:rPr>
          <w:rFonts w:asciiTheme="majorBidi" w:hAnsiTheme="majorBidi" w:cstheme="majorBidi"/>
          <w:i/>
          <w:iCs/>
          <w:color w:val="000000" w:themeColor="text1"/>
          <w:szCs w:val="24"/>
        </w:rPr>
        <w:t>289</w:t>
      </w:r>
      <w:r w:rsidRPr="00A04E45">
        <w:rPr>
          <w:rFonts w:asciiTheme="majorBidi" w:hAnsiTheme="majorBidi" w:cstheme="majorBidi"/>
          <w:i/>
          <w:iCs/>
          <w:color w:val="000000" w:themeColor="text1"/>
          <w:szCs w:val="24"/>
        </w:rPr>
        <w:t>/2013</w:t>
      </w:r>
      <w:r>
        <w:rPr>
          <w:rFonts w:asciiTheme="majorBidi" w:hAnsiTheme="majorBidi" w:cstheme="majorBidi"/>
          <w:i/>
          <w:iCs/>
          <w:color w:val="000000" w:themeColor="text1"/>
          <w:szCs w:val="24"/>
        </w:rPr>
        <w:t>, 11819002111</w:t>
      </w:r>
      <w:r w:rsidRPr="00A04E45">
        <w:rPr>
          <w:rFonts w:asciiTheme="majorBidi" w:hAnsiTheme="majorBidi" w:cstheme="majorBidi"/>
          <w:color w:val="000000" w:themeColor="text1"/>
          <w:szCs w:val="24"/>
        </w:rPr>
        <w:t>).</w:t>
      </w:r>
    </w:p>
    <w:p w14:paraId="7CF91FED" w14:textId="11A11AC6" w:rsidR="00CC34E7" w:rsidRPr="004E0C9F" w:rsidRDefault="00CC34E7" w:rsidP="004E0C9F">
      <w:pPr>
        <w:spacing w:after="0" w:line="276" w:lineRule="auto"/>
        <w:ind w:firstLine="709"/>
        <w:jc w:val="both"/>
        <w:rPr>
          <w:rFonts w:asciiTheme="majorBidi" w:hAnsiTheme="majorBidi" w:cstheme="majorBidi"/>
          <w:b/>
          <w:i/>
          <w:iCs/>
          <w:szCs w:val="24"/>
        </w:rPr>
      </w:pPr>
      <w:r w:rsidRPr="00A04E45">
        <w:rPr>
          <w:rFonts w:asciiTheme="majorBidi" w:hAnsiTheme="majorBidi" w:cstheme="majorBidi"/>
          <w:color w:val="000000" w:themeColor="text1"/>
          <w:szCs w:val="24"/>
        </w:rPr>
        <w:t xml:space="preserve">Senāts </w:t>
      </w:r>
      <w:r>
        <w:rPr>
          <w:rFonts w:asciiTheme="majorBidi" w:hAnsiTheme="majorBidi" w:cstheme="majorBidi"/>
          <w:color w:val="000000" w:themeColor="text1"/>
          <w:szCs w:val="24"/>
        </w:rPr>
        <w:t>jau iepriekš atzinis,</w:t>
      </w:r>
      <w:r w:rsidRPr="00A04E45">
        <w:rPr>
          <w:rFonts w:asciiTheme="majorBidi" w:hAnsiTheme="majorBidi" w:cstheme="majorBidi"/>
          <w:color w:val="000000" w:themeColor="text1"/>
          <w:szCs w:val="24"/>
        </w:rPr>
        <w:t xml:space="preserve"> ka</w:t>
      </w:r>
      <w:r>
        <w:rPr>
          <w:rFonts w:asciiTheme="majorBidi" w:hAnsiTheme="majorBidi" w:cstheme="majorBidi"/>
          <w:color w:val="000000" w:themeColor="text1"/>
          <w:szCs w:val="24"/>
        </w:rPr>
        <w:t xml:space="preserve"> </w:t>
      </w:r>
      <w:r w:rsidRPr="00A04E45">
        <w:rPr>
          <w:rFonts w:asciiTheme="majorBidi" w:hAnsiTheme="majorBidi" w:cstheme="majorBidi"/>
          <w:color w:val="000000" w:themeColor="text1"/>
          <w:szCs w:val="24"/>
        </w:rPr>
        <w:t xml:space="preserve">valstij svarīgas intereses </w:t>
      </w:r>
      <w:r>
        <w:rPr>
          <w:rFonts w:asciiTheme="majorBidi" w:hAnsiTheme="majorBidi" w:cstheme="majorBidi"/>
          <w:color w:val="000000" w:themeColor="text1"/>
          <w:szCs w:val="24"/>
        </w:rPr>
        <w:t>nevar</w:t>
      </w:r>
      <w:r w:rsidRPr="00A04E45">
        <w:rPr>
          <w:rFonts w:asciiTheme="majorBidi" w:hAnsiTheme="majorBidi" w:cstheme="majorBidi"/>
          <w:color w:val="000000" w:themeColor="text1"/>
          <w:szCs w:val="24"/>
        </w:rPr>
        <w:t xml:space="preserve"> apdraudēt tādā mērā un radīt tādu valsts vai sabiedrības drošības apdraudējumu, lai kriminālpārkāpumu atklāšanai un novēršanai būtu jāizmanto sevišķā veidā veicamie operatīvās darbības pasākumi. </w:t>
      </w:r>
      <w:r>
        <w:rPr>
          <w:rFonts w:asciiTheme="majorBidi" w:hAnsiTheme="majorBidi" w:cstheme="majorBidi"/>
          <w:color w:val="000000" w:themeColor="text1"/>
          <w:szCs w:val="24"/>
        </w:rPr>
        <w:t>[..]</w:t>
      </w:r>
      <w:r w:rsidRPr="00A04E45">
        <w:rPr>
          <w:rFonts w:asciiTheme="majorBidi" w:hAnsiTheme="majorBidi" w:cstheme="majorBidi"/>
          <w:color w:val="000000" w:themeColor="text1"/>
          <w:szCs w:val="24"/>
        </w:rPr>
        <w:t xml:space="preserve"> </w:t>
      </w:r>
      <w:r w:rsidR="0018015E">
        <w:rPr>
          <w:rFonts w:asciiTheme="majorBidi" w:hAnsiTheme="majorBidi" w:cstheme="majorBidi"/>
          <w:color w:val="000000" w:themeColor="text1"/>
          <w:szCs w:val="24"/>
        </w:rPr>
        <w:t>o</w:t>
      </w:r>
      <w:r w:rsidRPr="00A04E45">
        <w:rPr>
          <w:rFonts w:asciiTheme="majorBidi" w:hAnsiTheme="majorBidi" w:cstheme="majorBidi"/>
          <w:color w:val="000000" w:themeColor="text1"/>
          <w:szCs w:val="24"/>
        </w:rPr>
        <w:t>peratīvā</w:t>
      </w:r>
      <w:r w:rsidRPr="00A04E45">
        <w:rPr>
          <w:rFonts w:asciiTheme="majorBidi" w:eastAsia="Times New Roman" w:hAnsiTheme="majorBidi" w:cstheme="majorBidi"/>
          <w:color w:val="000000" w:themeColor="text1"/>
          <w:szCs w:val="24"/>
          <w:lang w:eastAsia="lv-LV"/>
        </w:rPr>
        <w:t xml:space="preserve"> nepublisku sarunu slepena noklausīšanās ir operatīvās darbības pasākums, kura gaitā tiek būtiski aizskartas personas pamattiesības. </w:t>
      </w:r>
      <w:r w:rsidRPr="00A04E45">
        <w:rPr>
          <w:rFonts w:asciiTheme="majorBidi" w:hAnsiTheme="majorBidi" w:cstheme="majorBidi"/>
          <w:color w:val="000000" w:themeColor="text1"/>
          <w:szCs w:val="24"/>
        </w:rPr>
        <w:t>Tādēļ jau likumdevējs ir noteicis kritērijus gan Operatīvās darbības likumā, gan arī Kriminālprocesa likuma 210.</w:t>
      </w:r>
      <w:r>
        <w:rPr>
          <w:rFonts w:asciiTheme="majorBidi" w:hAnsiTheme="majorBidi" w:cstheme="majorBidi"/>
          <w:color w:val="000000" w:themeColor="text1"/>
          <w:szCs w:val="24"/>
        </w:rPr>
        <w:t> </w:t>
      </w:r>
      <w:r w:rsidRPr="00A04E45">
        <w:rPr>
          <w:rFonts w:asciiTheme="majorBidi" w:hAnsiTheme="majorBidi" w:cstheme="majorBidi"/>
          <w:color w:val="000000" w:themeColor="text1"/>
          <w:szCs w:val="24"/>
        </w:rPr>
        <w:t>panta trešajā daļā, proti, noziedzīgajam nodarījumam ir jāsasniedz vismaz mazāk smaga nozieguma statuss</w:t>
      </w:r>
      <w:r>
        <w:rPr>
          <w:rFonts w:asciiTheme="majorBidi" w:hAnsiTheme="majorBidi" w:cstheme="majorBidi"/>
          <w:color w:val="000000" w:themeColor="text1"/>
          <w:szCs w:val="24"/>
        </w:rPr>
        <w:t xml:space="preserve"> </w:t>
      </w:r>
      <w:proofErr w:type="gramStart"/>
      <w:r>
        <w:rPr>
          <w:rFonts w:asciiTheme="majorBidi" w:hAnsiTheme="majorBidi" w:cstheme="majorBidi"/>
          <w:color w:val="000000" w:themeColor="text1"/>
          <w:szCs w:val="24"/>
        </w:rPr>
        <w:t>(</w:t>
      </w:r>
      <w:proofErr w:type="gramEnd"/>
      <w:r w:rsidR="00F4082F">
        <w:rPr>
          <w:rFonts w:asciiTheme="majorBidi" w:hAnsiTheme="majorBidi" w:cstheme="majorBidi"/>
          <w:i/>
          <w:iCs/>
          <w:color w:val="000000" w:themeColor="text1"/>
          <w:szCs w:val="24"/>
        </w:rPr>
        <w:t>Senāta</w:t>
      </w:r>
      <w:r>
        <w:rPr>
          <w:rFonts w:asciiTheme="majorBidi" w:hAnsiTheme="majorBidi" w:cstheme="majorBidi"/>
          <w:i/>
          <w:iCs/>
          <w:color w:val="000000" w:themeColor="text1"/>
          <w:szCs w:val="24"/>
        </w:rPr>
        <w:t xml:space="preserve"> </w:t>
      </w:r>
      <w:r w:rsidRPr="00A04E45">
        <w:rPr>
          <w:rFonts w:asciiTheme="majorBidi" w:hAnsiTheme="majorBidi" w:cstheme="majorBidi"/>
          <w:i/>
          <w:iCs/>
          <w:color w:val="000000" w:themeColor="text1"/>
          <w:szCs w:val="24"/>
        </w:rPr>
        <w:t>202</w:t>
      </w:r>
      <w:r>
        <w:rPr>
          <w:rFonts w:asciiTheme="majorBidi" w:hAnsiTheme="majorBidi" w:cstheme="majorBidi"/>
          <w:i/>
          <w:iCs/>
          <w:color w:val="000000" w:themeColor="text1"/>
          <w:szCs w:val="24"/>
        </w:rPr>
        <w:t>2</w:t>
      </w:r>
      <w:r w:rsidRPr="00A04E45">
        <w:rPr>
          <w:rFonts w:asciiTheme="majorBidi" w:hAnsiTheme="majorBidi" w:cstheme="majorBidi"/>
          <w:i/>
          <w:iCs/>
          <w:color w:val="000000" w:themeColor="text1"/>
          <w:szCs w:val="24"/>
        </w:rPr>
        <w:t>.</w:t>
      </w:r>
      <w:r w:rsidR="00F4082F">
        <w:rPr>
          <w:rFonts w:asciiTheme="majorBidi" w:hAnsiTheme="majorBidi" w:cstheme="majorBidi"/>
          <w:i/>
          <w:iCs/>
          <w:color w:val="000000" w:themeColor="text1"/>
          <w:szCs w:val="24"/>
        </w:rPr>
        <w:t> </w:t>
      </w:r>
      <w:r w:rsidRPr="00A04E45">
        <w:rPr>
          <w:rFonts w:asciiTheme="majorBidi" w:hAnsiTheme="majorBidi" w:cstheme="majorBidi"/>
          <w:i/>
          <w:iCs/>
          <w:color w:val="000000" w:themeColor="text1"/>
          <w:szCs w:val="24"/>
        </w:rPr>
        <w:t>gada 2.</w:t>
      </w:r>
      <w:r w:rsidR="00F4082F">
        <w:rPr>
          <w:rFonts w:asciiTheme="majorBidi" w:hAnsiTheme="majorBidi" w:cstheme="majorBidi"/>
          <w:i/>
          <w:iCs/>
          <w:color w:val="000000" w:themeColor="text1"/>
          <w:szCs w:val="24"/>
        </w:rPr>
        <w:t> </w:t>
      </w:r>
      <w:r>
        <w:t>decembra</w:t>
      </w:r>
      <w:r w:rsidRPr="00A04E45">
        <w:rPr>
          <w:rFonts w:asciiTheme="majorBidi" w:hAnsiTheme="majorBidi" w:cstheme="majorBidi"/>
          <w:i/>
          <w:iCs/>
          <w:color w:val="000000" w:themeColor="text1"/>
          <w:szCs w:val="24"/>
        </w:rPr>
        <w:t xml:space="preserve"> lēmums</w:t>
      </w:r>
      <w:r w:rsidRPr="00A04E45">
        <w:rPr>
          <w:rFonts w:asciiTheme="majorBidi" w:hAnsiTheme="majorBidi" w:cstheme="majorBidi"/>
          <w:color w:val="000000" w:themeColor="text1"/>
          <w:szCs w:val="24"/>
        </w:rPr>
        <w:t xml:space="preserve"> </w:t>
      </w:r>
      <w:r w:rsidRPr="00967396">
        <w:rPr>
          <w:rFonts w:asciiTheme="majorBidi" w:hAnsiTheme="majorBidi" w:cstheme="majorBidi"/>
          <w:i/>
          <w:iCs/>
          <w:color w:val="000000" w:themeColor="text1"/>
          <w:szCs w:val="24"/>
        </w:rPr>
        <w:t>lietā Nr.</w:t>
      </w:r>
      <w:r w:rsidRPr="00A04E45">
        <w:rPr>
          <w:rFonts w:asciiTheme="majorBidi" w:hAnsiTheme="majorBidi" w:cstheme="majorBidi"/>
          <w:color w:val="000000" w:themeColor="text1"/>
          <w:szCs w:val="24"/>
        </w:rPr>
        <w:t> </w:t>
      </w:r>
      <w:r w:rsidRPr="00A04E45">
        <w:rPr>
          <w:rFonts w:asciiTheme="majorBidi" w:hAnsiTheme="majorBidi" w:cstheme="majorBidi"/>
          <w:i/>
          <w:iCs/>
          <w:color w:val="000000" w:themeColor="text1"/>
          <w:szCs w:val="24"/>
        </w:rPr>
        <w:t>SKK</w:t>
      </w:r>
      <w:r>
        <w:rPr>
          <w:rFonts w:asciiTheme="majorBidi" w:hAnsiTheme="majorBidi" w:cstheme="majorBidi"/>
          <w:i/>
          <w:iCs/>
          <w:color w:val="000000" w:themeColor="text1"/>
          <w:szCs w:val="24"/>
        </w:rPr>
        <w:t>-244</w:t>
      </w:r>
      <w:r w:rsidRPr="00A04E45">
        <w:rPr>
          <w:rFonts w:asciiTheme="majorBidi" w:hAnsiTheme="majorBidi" w:cstheme="majorBidi"/>
          <w:i/>
          <w:iCs/>
          <w:color w:val="000000" w:themeColor="text1"/>
          <w:szCs w:val="24"/>
        </w:rPr>
        <w:t>/202</w:t>
      </w:r>
      <w:r>
        <w:rPr>
          <w:rFonts w:asciiTheme="majorBidi" w:hAnsiTheme="majorBidi" w:cstheme="majorBidi"/>
          <w:i/>
          <w:iCs/>
          <w:color w:val="000000" w:themeColor="text1"/>
          <w:szCs w:val="24"/>
        </w:rPr>
        <w:t xml:space="preserve">2, </w:t>
      </w:r>
      <w:hyperlink r:id="rId10" w:history="1">
        <w:r w:rsidR="004E0C9F" w:rsidRPr="004E0C9F">
          <w:rPr>
            <w:rStyle w:val="Hyperlink"/>
            <w:rFonts w:asciiTheme="majorBidi" w:hAnsiTheme="majorBidi" w:cstheme="majorBidi"/>
            <w:i/>
            <w:iCs/>
            <w:szCs w:val="24"/>
          </w:rPr>
          <w:t>ECLI:LV:AT:2022:1214.12812001312.7.L</w:t>
        </w:r>
      </w:hyperlink>
      <w:r>
        <w:rPr>
          <w:rFonts w:asciiTheme="majorBidi" w:hAnsiTheme="majorBidi" w:cstheme="majorBidi"/>
          <w:i/>
          <w:iCs/>
          <w:color w:val="000000" w:themeColor="text1"/>
          <w:szCs w:val="24"/>
        </w:rPr>
        <w:t>, 13.4</w:t>
      </w:r>
      <w:r w:rsidR="0018015E">
        <w:rPr>
          <w:rFonts w:asciiTheme="majorBidi" w:hAnsiTheme="majorBidi" w:cstheme="majorBidi"/>
          <w:i/>
          <w:iCs/>
          <w:color w:val="000000" w:themeColor="text1"/>
          <w:szCs w:val="24"/>
        </w:rPr>
        <w:t>.</w:t>
      </w:r>
      <w:r>
        <w:rPr>
          <w:rFonts w:asciiTheme="majorBidi" w:hAnsiTheme="majorBidi" w:cstheme="majorBidi"/>
          <w:i/>
          <w:iCs/>
          <w:color w:val="000000" w:themeColor="text1"/>
          <w:szCs w:val="24"/>
        </w:rPr>
        <w:t> punkts</w:t>
      </w:r>
      <w:r>
        <w:rPr>
          <w:rFonts w:asciiTheme="majorBidi" w:hAnsiTheme="majorBidi" w:cstheme="majorBidi"/>
          <w:color w:val="000000" w:themeColor="text1"/>
          <w:szCs w:val="24"/>
        </w:rPr>
        <w:t>)</w:t>
      </w:r>
      <w:r w:rsidRPr="00A04E45">
        <w:rPr>
          <w:rFonts w:asciiTheme="majorBidi" w:hAnsiTheme="majorBidi" w:cstheme="majorBidi"/>
          <w:color w:val="000000" w:themeColor="text1"/>
          <w:szCs w:val="24"/>
        </w:rPr>
        <w:t>.</w:t>
      </w:r>
    </w:p>
    <w:p w14:paraId="7C4ABDC8" w14:textId="3ECAAF4D" w:rsidR="00CC34E7" w:rsidRPr="006869E3" w:rsidRDefault="00CC34E7" w:rsidP="00CC34E7">
      <w:pPr>
        <w:spacing w:after="0" w:line="276" w:lineRule="auto"/>
        <w:ind w:firstLine="709"/>
        <w:jc w:val="both"/>
        <w:rPr>
          <w:rFonts w:asciiTheme="majorBidi" w:hAnsiTheme="majorBidi" w:cstheme="majorBidi"/>
          <w:szCs w:val="24"/>
        </w:rPr>
      </w:pPr>
      <w:r w:rsidRPr="006869E3">
        <w:rPr>
          <w:rFonts w:asciiTheme="majorBidi" w:hAnsiTheme="majorBidi" w:cstheme="majorBidi"/>
          <w:szCs w:val="24"/>
        </w:rPr>
        <w:t>Norādītajam atzinumam izteikts atbalsts arī tiesību zinātnē</w:t>
      </w:r>
      <w:r w:rsidR="00F8056E">
        <w:rPr>
          <w:rFonts w:asciiTheme="majorBidi" w:hAnsiTheme="majorBidi" w:cstheme="majorBidi"/>
          <w:szCs w:val="24"/>
        </w:rPr>
        <w:t>,</w:t>
      </w:r>
      <w:r w:rsidR="0052149F" w:rsidRPr="006869E3">
        <w:rPr>
          <w:rFonts w:asciiTheme="majorBidi" w:hAnsiTheme="majorBidi" w:cstheme="majorBidi"/>
          <w:szCs w:val="24"/>
        </w:rPr>
        <w:t xml:space="preserve"> un</w:t>
      </w:r>
      <w:r w:rsidRPr="006869E3">
        <w:rPr>
          <w:rFonts w:asciiTheme="majorBidi" w:hAnsiTheme="majorBidi" w:cstheme="majorBidi"/>
          <w:szCs w:val="24"/>
        </w:rPr>
        <w:t xml:space="preserve"> tam pamatā piekrīt arī tiesību normu piemērotāji. Profesors Aldis Lieljuksis norādījis, ka Augstākās tiesas judikatūrā pamatoti atzīts, ka no Kriminālprocesa likuma un Operatīvās darbības likuma normām izriet, ka operatīvā sarunu noklausīšanās nav pieļaujama, lai atklātu kriminālpārkāpumus. Ja operatīv</w:t>
      </w:r>
      <w:r w:rsidR="000619B3">
        <w:rPr>
          <w:rFonts w:asciiTheme="majorBidi" w:hAnsiTheme="majorBidi" w:cstheme="majorBidi"/>
          <w:szCs w:val="24"/>
        </w:rPr>
        <w:t>ā</w:t>
      </w:r>
      <w:r w:rsidRPr="006869E3">
        <w:rPr>
          <w:rFonts w:asciiTheme="majorBidi" w:hAnsiTheme="majorBidi" w:cstheme="majorBidi"/>
          <w:szCs w:val="24"/>
        </w:rPr>
        <w:t xml:space="preserve">s darbības pasākumos iegūtās ziņas par faktiem tiek izmantotas kriminālprocesā par kriminālpārkāpumu, būtiski ir izvērtēt, vai, izmantojot šīs ziņas konkrētajā lietā kā apsūdzētā vainīguma pierādījumu, nav pieļauts Kriminālprocesa likuma 12. pantā noteiktais cilvēktiesību garantēšanas principa pārkāpums. Šī atziņa ir svarīga, ņemot vērā nozieguma pārkvalifikācijas uz kriminālpārkāpumu iespējamību </w:t>
      </w:r>
      <w:proofErr w:type="gramStart"/>
      <w:r w:rsidRPr="006869E3">
        <w:rPr>
          <w:rFonts w:asciiTheme="majorBidi" w:hAnsiTheme="majorBidi" w:cstheme="majorBidi"/>
          <w:szCs w:val="24"/>
        </w:rPr>
        <w:t>(</w:t>
      </w:r>
      <w:proofErr w:type="gramEnd"/>
      <w:r w:rsidRPr="006869E3">
        <w:rPr>
          <w:rFonts w:asciiTheme="majorBidi" w:hAnsiTheme="majorBidi" w:cstheme="majorBidi"/>
          <w:i/>
          <w:iCs/>
          <w:szCs w:val="24"/>
        </w:rPr>
        <w:t>Lieljuksis</w:t>
      </w:r>
      <w:r w:rsidR="004B045A">
        <w:rPr>
          <w:rFonts w:asciiTheme="majorBidi" w:hAnsiTheme="majorBidi" w:cstheme="majorBidi"/>
          <w:i/>
          <w:iCs/>
          <w:szCs w:val="24"/>
        </w:rPr>
        <w:t> </w:t>
      </w:r>
      <w:r w:rsidRPr="006869E3">
        <w:rPr>
          <w:rFonts w:asciiTheme="majorBidi" w:hAnsiTheme="majorBidi" w:cstheme="majorBidi"/>
          <w:i/>
          <w:iCs/>
          <w:szCs w:val="24"/>
        </w:rPr>
        <w:t>A. Operatīvās darbības tiesiskās un praktiskās problēmas. Rīga: RSU, 2021, 27.</w:t>
      </w:r>
      <w:r w:rsidR="00F8056E">
        <w:rPr>
          <w:rFonts w:asciiTheme="majorBidi" w:hAnsiTheme="majorBidi" w:cstheme="majorBidi"/>
          <w:i/>
          <w:iCs/>
          <w:szCs w:val="24"/>
        </w:rPr>
        <w:t>–</w:t>
      </w:r>
      <w:r w:rsidRPr="006869E3">
        <w:rPr>
          <w:rFonts w:asciiTheme="majorBidi" w:hAnsiTheme="majorBidi" w:cstheme="majorBidi"/>
          <w:i/>
          <w:iCs/>
          <w:szCs w:val="24"/>
        </w:rPr>
        <w:t>28.</w:t>
      </w:r>
      <w:r w:rsidR="00F8056E">
        <w:rPr>
          <w:rFonts w:asciiTheme="majorBidi" w:hAnsiTheme="majorBidi" w:cstheme="majorBidi"/>
          <w:i/>
          <w:iCs/>
          <w:szCs w:val="24"/>
        </w:rPr>
        <w:t> </w:t>
      </w:r>
      <w:r w:rsidRPr="006869E3">
        <w:rPr>
          <w:rFonts w:asciiTheme="majorBidi" w:hAnsiTheme="majorBidi" w:cstheme="majorBidi"/>
          <w:i/>
          <w:iCs/>
          <w:szCs w:val="24"/>
        </w:rPr>
        <w:t>lpp.</w:t>
      </w:r>
      <w:r w:rsidRPr="006869E3">
        <w:rPr>
          <w:rFonts w:asciiTheme="majorBidi" w:hAnsiTheme="majorBidi" w:cstheme="majorBidi"/>
          <w:szCs w:val="24"/>
        </w:rPr>
        <w:t>).</w:t>
      </w:r>
    </w:p>
    <w:p w14:paraId="06599454" w14:textId="63D759E8" w:rsidR="00794FCF" w:rsidRPr="006869E3" w:rsidRDefault="00AE5131" w:rsidP="00794FCF">
      <w:pPr>
        <w:spacing w:after="0" w:line="276" w:lineRule="auto"/>
        <w:ind w:firstLine="709"/>
        <w:jc w:val="both"/>
        <w:rPr>
          <w:rFonts w:asciiTheme="majorBidi" w:eastAsia="Times New Roman" w:hAnsiTheme="majorBidi" w:cstheme="majorBidi"/>
          <w:szCs w:val="24"/>
          <w:lang w:eastAsia="lv-LV"/>
        </w:rPr>
      </w:pPr>
      <w:r w:rsidRPr="006869E3">
        <w:rPr>
          <w:rFonts w:asciiTheme="majorBidi" w:hAnsiTheme="majorBidi" w:cstheme="majorBidi"/>
          <w:szCs w:val="24"/>
        </w:rPr>
        <w:t>[8.2] </w:t>
      </w:r>
      <w:r w:rsidR="009222D7" w:rsidRPr="006869E3">
        <w:rPr>
          <w:rFonts w:asciiTheme="majorBidi" w:hAnsiTheme="majorBidi" w:cstheme="majorBidi"/>
          <w:szCs w:val="24"/>
        </w:rPr>
        <w:t xml:space="preserve">No lietas materiāliem konstatējams, ka izskatāmajā lietā </w:t>
      </w:r>
      <w:r w:rsidR="009222D7" w:rsidRPr="006869E3">
        <w:rPr>
          <w:rFonts w:asciiTheme="majorBidi" w:eastAsia="Times New Roman" w:hAnsiTheme="majorBidi" w:cstheme="majorBidi"/>
          <w:szCs w:val="24"/>
          <w:lang w:eastAsia="lv-LV"/>
        </w:rPr>
        <w:t>sevišķā veidā veicamais operatīvās darbības pasākums sankcionēts ar mērķi atklāt mazāk smagu noziegumu, bet šajā pasākumā iegūtās ziņas par faktiem tiek izmantotas kriminālpārkāpuma pierādīšanā.</w:t>
      </w:r>
    </w:p>
    <w:p w14:paraId="6E4644AE" w14:textId="39A69E43" w:rsidR="00794FCF" w:rsidRPr="006869E3" w:rsidRDefault="00985FF6" w:rsidP="00794FCF">
      <w:pPr>
        <w:spacing w:after="0" w:line="276" w:lineRule="auto"/>
        <w:ind w:firstLine="709"/>
        <w:jc w:val="both"/>
        <w:rPr>
          <w:rFonts w:asciiTheme="majorBidi" w:eastAsia="Times New Roman" w:hAnsiTheme="majorBidi" w:cstheme="majorBidi"/>
          <w:szCs w:val="24"/>
          <w:lang w:eastAsia="lv-LV"/>
        </w:rPr>
      </w:pPr>
      <w:r>
        <w:rPr>
          <w:rFonts w:asciiTheme="majorBidi" w:eastAsia="Times New Roman" w:hAnsiTheme="majorBidi" w:cstheme="majorBidi"/>
          <w:szCs w:val="24"/>
          <w:lang w:eastAsia="lv-LV"/>
        </w:rPr>
        <w:t>Senāts norāda: j</w:t>
      </w:r>
      <w:r w:rsidR="00794FCF" w:rsidRPr="006869E3">
        <w:rPr>
          <w:rFonts w:asciiTheme="majorBidi" w:eastAsia="Times New Roman" w:hAnsiTheme="majorBidi" w:cstheme="majorBidi"/>
          <w:szCs w:val="24"/>
          <w:lang w:eastAsia="lv-LV"/>
        </w:rPr>
        <w:t>a</w:t>
      </w:r>
      <w:r w:rsidR="009222D7" w:rsidRPr="006869E3">
        <w:rPr>
          <w:rFonts w:asciiTheme="majorBidi" w:eastAsia="Times New Roman" w:hAnsiTheme="majorBidi" w:cstheme="majorBidi"/>
          <w:szCs w:val="24"/>
          <w:lang w:eastAsia="lv-LV"/>
        </w:rPr>
        <w:t xml:space="preserve"> </w:t>
      </w:r>
      <w:r w:rsidR="00794FCF" w:rsidRPr="006869E3">
        <w:rPr>
          <w:rFonts w:asciiTheme="majorBidi" w:eastAsia="Times New Roman" w:hAnsiTheme="majorBidi" w:cstheme="majorBidi"/>
          <w:szCs w:val="24"/>
          <w:lang w:eastAsia="lv-LV"/>
        </w:rPr>
        <w:t>operatīvo pasākumu</w:t>
      </w:r>
      <w:r w:rsidR="009222D7" w:rsidRPr="006869E3">
        <w:rPr>
          <w:rFonts w:asciiTheme="majorBidi" w:eastAsia="Times New Roman" w:hAnsiTheme="majorBidi" w:cstheme="majorBidi"/>
          <w:szCs w:val="24"/>
          <w:lang w:eastAsia="lv-LV"/>
        </w:rPr>
        <w:t xml:space="preserve"> </w:t>
      </w:r>
      <w:r w:rsidR="00794FCF" w:rsidRPr="006869E3">
        <w:rPr>
          <w:rFonts w:asciiTheme="majorBidi" w:eastAsia="Times New Roman" w:hAnsiTheme="majorBidi" w:cstheme="majorBidi"/>
          <w:szCs w:val="24"/>
          <w:lang w:eastAsia="lv-LV"/>
        </w:rPr>
        <w:t xml:space="preserve">sankcionēšanas laikā ziņu iegūšanas iespējamība </w:t>
      </w:r>
      <w:r w:rsidR="009222D7" w:rsidRPr="006869E3">
        <w:rPr>
          <w:rFonts w:asciiTheme="majorBidi" w:eastAsia="Times New Roman" w:hAnsiTheme="majorBidi" w:cstheme="majorBidi"/>
          <w:szCs w:val="24"/>
          <w:lang w:eastAsia="lv-LV"/>
        </w:rPr>
        <w:t>bija noteikta ar likumu</w:t>
      </w:r>
      <w:r w:rsidR="00794FCF" w:rsidRPr="006869E3">
        <w:rPr>
          <w:rFonts w:asciiTheme="majorBidi" w:eastAsia="Times New Roman" w:hAnsiTheme="majorBidi" w:cstheme="majorBidi"/>
          <w:szCs w:val="24"/>
          <w:lang w:eastAsia="lv-LV"/>
        </w:rPr>
        <w:t>, taču</w:t>
      </w:r>
      <w:r w:rsidR="009222D7" w:rsidRPr="006869E3">
        <w:rPr>
          <w:rFonts w:asciiTheme="majorBidi" w:eastAsia="Times New Roman" w:hAnsiTheme="majorBidi" w:cstheme="majorBidi"/>
          <w:szCs w:val="24"/>
          <w:lang w:eastAsia="lv-LV"/>
        </w:rPr>
        <w:t xml:space="preserve"> </w:t>
      </w:r>
      <w:r w:rsidR="00BF0164" w:rsidRPr="006869E3">
        <w:rPr>
          <w:rFonts w:asciiTheme="majorBidi" w:hAnsiTheme="majorBidi" w:cstheme="majorBidi"/>
          <w:szCs w:val="24"/>
        </w:rPr>
        <w:t>nozieguma pārkvalificēšanas gadījumā no nozieguma uz kriminālpārkāpumu</w:t>
      </w:r>
      <w:r w:rsidR="00BF0164" w:rsidRPr="006869E3">
        <w:rPr>
          <w:rFonts w:asciiTheme="majorBidi" w:eastAsia="Times New Roman" w:hAnsiTheme="majorBidi" w:cstheme="majorBidi"/>
          <w:szCs w:val="24"/>
          <w:lang w:eastAsia="lv-LV"/>
        </w:rPr>
        <w:t xml:space="preserve"> </w:t>
      </w:r>
      <w:r w:rsidR="009222D7" w:rsidRPr="006869E3">
        <w:rPr>
          <w:rFonts w:asciiTheme="majorBidi" w:eastAsia="Times New Roman" w:hAnsiTheme="majorBidi" w:cstheme="majorBidi"/>
          <w:szCs w:val="24"/>
          <w:lang w:eastAsia="lv-LV"/>
        </w:rPr>
        <w:t>šo ziņu izmantošanas mērķis ir mainījies</w:t>
      </w:r>
      <w:r w:rsidR="00794FCF" w:rsidRPr="006869E3">
        <w:rPr>
          <w:rFonts w:asciiTheme="majorBidi" w:eastAsia="Times New Roman" w:hAnsiTheme="majorBidi" w:cstheme="majorBidi"/>
          <w:szCs w:val="24"/>
          <w:lang w:eastAsia="lv-LV"/>
        </w:rPr>
        <w:t xml:space="preserve"> uz tādu, kas nav pamatots ar likumu,</w:t>
      </w:r>
      <w:r w:rsidR="009222D7" w:rsidRPr="006869E3">
        <w:rPr>
          <w:rFonts w:asciiTheme="majorBidi" w:eastAsia="Times New Roman" w:hAnsiTheme="majorBidi" w:cstheme="majorBidi"/>
          <w:szCs w:val="24"/>
          <w:lang w:eastAsia="lv-LV"/>
        </w:rPr>
        <w:t xml:space="preserve"> mainās arī tas, cik attaisnojams ir </w:t>
      </w:r>
      <w:r w:rsidR="00794FCF" w:rsidRPr="006869E3">
        <w:rPr>
          <w:rFonts w:asciiTheme="majorBidi" w:eastAsia="Times New Roman" w:hAnsiTheme="majorBidi" w:cstheme="majorBidi"/>
          <w:szCs w:val="24"/>
          <w:lang w:eastAsia="lv-LV"/>
        </w:rPr>
        <w:t>personas pamattiesību ierobežojums jaunā mērķa sasniegšanai.</w:t>
      </w:r>
    </w:p>
    <w:p w14:paraId="1C2C9198" w14:textId="4E94E57F" w:rsidR="00CC34E7" w:rsidRDefault="00CC34E7" w:rsidP="007C5A41">
      <w:pPr>
        <w:autoSpaceDE w:val="0"/>
        <w:autoSpaceDN w:val="0"/>
        <w:adjustRightInd w:val="0"/>
        <w:spacing w:after="0" w:line="276" w:lineRule="auto"/>
        <w:ind w:firstLine="720"/>
        <w:jc w:val="both"/>
      </w:pPr>
      <w:r w:rsidRPr="006869E3">
        <w:t>Senāts konstatē, ka apelācijas instances tiesa</w:t>
      </w:r>
      <w:r w:rsidR="00BF0164" w:rsidRPr="006869E3">
        <w:t xml:space="preserve"> </w:t>
      </w:r>
      <w:r w:rsidR="008D4182" w:rsidRPr="006869E3">
        <w:t>secinājusi</w:t>
      </w:r>
      <w:r w:rsidR="00BF0164" w:rsidRPr="006869E3">
        <w:t>, ka operatīvā sarunu noklausīšanās veikta</w:t>
      </w:r>
      <w:r w:rsidR="008D4182" w:rsidRPr="006869E3">
        <w:t>, ievērojot Operatīvās darbības likuma prasības</w:t>
      </w:r>
      <w:r w:rsidR="007C5A41" w:rsidRPr="006869E3">
        <w:t>, un, izvērtējot to izmantošanas un pieļaujamības samērīgumu izskatāmajā lietā, secinājusi, ka operatīvās izstrādes lietas ietvaros noklausīt</w:t>
      </w:r>
      <w:r w:rsidR="000619B3">
        <w:t>o</w:t>
      </w:r>
      <w:r w:rsidR="007C5A41" w:rsidRPr="006869E3">
        <w:t xml:space="preserve"> telefon</w:t>
      </w:r>
      <w:r w:rsidR="000619B3">
        <w:t xml:space="preserve">a </w:t>
      </w:r>
      <w:r w:rsidR="007C5A41" w:rsidRPr="006869E3">
        <w:t xml:space="preserve">sarunu izmantošana kriminālpārkāpuma pierādīšanā nesamērīgi ierobežotu apsūdzētā </w:t>
      </w:r>
      <w:r w:rsidR="001A16E4">
        <w:t>[pers. A]</w:t>
      </w:r>
      <w:r w:rsidR="007C5A41" w:rsidRPr="006869E3">
        <w:t xml:space="preserve"> konstitucionālās tiesības.</w:t>
      </w:r>
      <w:r w:rsidR="008D4182" w:rsidRPr="006869E3">
        <w:t xml:space="preserve"> A</w:t>
      </w:r>
      <w:r w:rsidRPr="006869E3">
        <w:t>tsaucoties uz Kriminālprocesa likuma 12. un 15. pantā nostiprinātajiem kriminālprocesa pamatprincipiem</w:t>
      </w:r>
      <w:r>
        <w:t xml:space="preserve">, </w:t>
      </w:r>
      <w:r w:rsidR="008D4182">
        <w:t xml:space="preserve">tiesa </w:t>
      </w:r>
      <w:r>
        <w:t>atzin</w:t>
      </w:r>
      <w:r w:rsidR="008D4182">
        <w:t>usi</w:t>
      </w:r>
      <w:r>
        <w:t xml:space="preserve">, ka </w:t>
      </w:r>
      <w:r w:rsidR="000619B3">
        <w:t xml:space="preserve">kriminālprocesā par kriminālpārkāpumu </w:t>
      </w:r>
      <w:r>
        <w:t>operatīvās darbības rezultātā noklausīt</w:t>
      </w:r>
      <w:r w:rsidR="007C5A41">
        <w:t>aj</w:t>
      </w:r>
      <w:r>
        <w:t>ās telefon</w:t>
      </w:r>
      <w:r w:rsidR="000619B3">
        <w:t xml:space="preserve">a </w:t>
      </w:r>
      <w:r>
        <w:t xml:space="preserve">sarunās </w:t>
      </w:r>
      <w:r w:rsidR="000619B3">
        <w:t>iegūtās ziņas par faktiem</w:t>
      </w:r>
      <w:r>
        <w:t xml:space="preserve"> nav pieļaujamas un pierādīšanā n</w:t>
      </w:r>
      <w:r w:rsidR="00BF0164">
        <w:t xml:space="preserve">av </w:t>
      </w:r>
      <w:r>
        <w:t>izmantojamas saskaņā ar Kriminālprocesa likuma 130. panta otrās daļas 3. punktu.</w:t>
      </w:r>
    </w:p>
    <w:p w14:paraId="74DA2272" w14:textId="3212643E" w:rsidR="00CC34E7" w:rsidRDefault="00CC34E7" w:rsidP="00CC34E7">
      <w:pPr>
        <w:autoSpaceDE w:val="0"/>
        <w:autoSpaceDN w:val="0"/>
        <w:adjustRightInd w:val="0"/>
        <w:spacing w:after="0" w:line="276" w:lineRule="auto"/>
        <w:ind w:firstLine="720"/>
        <w:jc w:val="both"/>
      </w:pPr>
      <w:r>
        <w:t>Senāts atzīst, ka apelācijas instances tiesa</w:t>
      </w:r>
      <w:r w:rsidR="007C5A41">
        <w:t>, motivējot atzinumu,</w:t>
      </w:r>
      <w:r>
        <w:t xml:space="preserve"> </w:t>
      </w:r>
      <w:r w:rsidR="00F82A46">
        <w:t xml:space="preserve">pamatoti </w:t>
      </w:r>
      <w:r w:rsidR="008D4182">
        <w:t>norādījusi</w:t>
      </w:r>
      <w:r>
        <w:t>, ka operatīvās izstrādes lietas ietvaros noklausītās telefon</w:t>
      </w:r>
      <w:r w:rsidR="000619B3">
        <w:t xml:space="preserve">a </w:t>
      </w:r>
      <w:r>
        <w:t xml:space="preserve">sarunas ir </w:t>
      </w:r>
      <w:r w:rsidR="00985FF6">
        <w:t>uzskatāmas</w:t>
      </w:r>
      <w:r>
        <w:t xml:space="preserve"> par nepieļaujamiem un pierādīšanā neizmantojamiem pierādījumiem</w:t>
      </w:r>
      <w:r w:rsidR="007C5A41">
        <w:t>. V</w:t>
      </w:r>
      <w:r>
        <w:t xml:space="preserve">ienlaikus </w:t>
      </w:r>
      <w:r w:rsidR="008D4182">
        <w:t>norādāms,</w:t>
      </w:r>
      <w:r>
        <w:t xml:space="preserve"> ka </w:t>
      </w:r>
      <w:r w:rsidR="007C5A41">
        <w:t>ziņas par faktiem operatīvās darbības rezultātā noklausītajās telefon</w:t>
      </w:r>
      <w:r w:rsidR="004010D4">
        <w:t xml:space="preserve">a </w:t>
      </w:r>
      <w:r w:rsidR="007C5A41">
        <w:t xml:space="preserve">sarunās </w:t>
      </w:r>
      <w:r>
        <w:t>atzīstamas par nepieļaujamiem pierādījumiem saskaņā ar Kriminālprocesa likuma 130. panta otrās daļas 4. punktu.</w:t>
      </w:r>
      <w:r w:rsidR="007536A8">
        <w:t xml:space="preserve"> Apelācijas instances tiesas atsauce uz Kriminālprocesa likuma 130. panta otrās daļas 3. punktu nav uzskatāma par būtisku kriminālprocesuālo pārkāpumu, </w:t>
      </w:r>
      <w:r w:rsidR="004010D4">
        <w:t>un tas</w:t>
      </w:r>
      <w:r w:rsidR="007536A8">
        <w:t xml:space="preserve"> pats par sevi </w:t>
      </w:r>
      <w:r w:rsidR="004010D4">
        <w:t>nav</w:t>
      </w:r>
      <w:r w:rsidR="007536A8">
        <w:t xml:space="preserve"> pamats spieduma atcelšanai.</w:t>
      </w:r>
    </w:p>
    <w:p w14:paraId="5665C3EE" w14:textId="48F30414" w:rsidR="00604A8F" w:rsidRDefault="00AE5131" w:rsidP="00976DFF">
      <w:pPr>
        <w:widowControl w:val="0"/>
        <w:shd w:val="clear" w:color="auto" w:fill="FFFFFF"/>
        <w:autoSpaceDE w:val="0"/>
        <w:autoSpaceDN w:val="0"/>
        <w:adjustRightInd w:val="0"/>
        <w:spacing w:after="0" w:line="276" w:lineRule="auto"/>
        <w:ind w:right="10" w:firstLine="709"/>
        <w:jc w:val="both"/>
        <w:rPr>
          <w:rFonts w:asciiTheme="majorBidi" w:hAnsiTheme="majorBidi" w:cstheme="majorBidi"/>
          <w:szCs w:val="24"/>
        </w:rPr>
      </w:pPr>
      <w:r>
        <w:rPr>
          <w:rFonts w:asciiTheme="majorBidi" w:eastAsia="Times New Roman" w:hAnsiTheme="majorBidi" w:cstheme="majorBidi"/>
          <w:color w:val="000000" w:themeColor="text1"/>
          <w:szCs w:val="24"/>
          <w:lang w:eastAsia="lv-LV"/>
        </w:rPr>
        <w:t>[8.3]</w:t>
      </w:r>
      <w:r w:rsidR="00F4082F">
        <w:rPr>
          <w:rFonts w:asciiTheme="majorBidi" w:eastAsia="Times New Roman" w:hAnsiTheme="majorBidi" w:cstheme="majorBidi"/>
          <w:color w:val="000000" w:themeColor="text1"/>
          <w:szCs w:val="24"/>
          <w:lang w:eastAsia="lv-LV"/>
        </w:rPr>
        <w:t> </w:t>
      </w:r>
      <w:r w:rsidR="00976DFF">
        <w:rPr>
          <w:rFonts w:asciiTheme="majorBidi" w:eastAsia="Times New Roman" w:hAnsiTheme="majorBidi" w:cstheme="majorBidi"/>
          <w:color w:val="000000" w:themeColor="text1"/>
          <w:szCs w:val="24"/>
          <w:lang w:eastAsia="lv-LV"/>
        </w:rPr>
        <w:t>Senāts atzīst par nepamatotu prokuror</w:t>
      </w:r>
      <w:r w:rsidR="004010D4">
        <w:rPr>
          <w:rFonts w:asciiTheme="majorBidi" w:eastAsia="Times New Roman" w:hAnsiTheme="majorBidi" w:cstheme="majorBidi"/>
          <w:color w:val="000000" w:themeColor="text1"/>
          <w:szCs w:val="24"/>
          <w:lang w:eastAsia="lv-LV"/>
        </w:rPr>
        <w:t>es</w:t>
      </w:r>
      <w:r w:rsidR="00976DFF">
        <w:rPr>
          <w:rFonts w:asciiTheme="majorBidi" w:eastAsia="Times New Roman" w:hAnsiTheme="majorBidi" w:cstheme="majorBidi"/>
          <w:color w:val="000000" w:themeColor="text1"/>
          <w:szCs w:val="24"/>
          <w:lang w:eastAsia="lv-LV"/>
        </w:rPr>
        <w:t xml:space="preserve"> kasācijas protesta argumentu, ka </w:t>
      </w:r>
      <w:r w:rsidR="00976DFF">
        <w:rPr>
          <w:rFonts w:asciiTheme="majorBidi" w:hAnsiTheme="majorBidi" w:cstheme="majorBidi"/>
          <w:szCs w:val="24"/>
        </w:rPr>
        <w:t xml:space="preserve">operatīvā sarunu </w:t>
      </w:r>
      <w:r w:rsidR="00604A8F">
        <w:rPr>
          <w:rFonts w:asciiTheme="majorBidi" w:hAnsiTheme="majorBidi" w:cstheme="majorBidi"/>
          <w:szCs w:val="24"/>
        </w:rPr>
        <w:t>izmantošana pierādīšanā ir</w:t>
      </w:r>
      <w:r w:rsidR="00976DFF">
        <w:rPr>
          <w:rFonts w:asciiTheme="majorBidi" w:hAnsiTheme="majorBidi" w:cstheme="majorBidi"/>
          <w:szCs w:val="24"/>
        </w:rPr>
        <w:t xml:space="preserve"> samērīga ar </w:t>
      </w:r>
      <w:r w:rsidR="004010D4">
        <w:rPr>
          <w:rFonts w:asciiTheme="majorBidi" w:hAnsiTheme="majorBidi" w:cstheme="majorBidi"/>
          <w:szCs w:val="24"/>
        </w:rPr>
        <w:t>izdarīto kriminālpārkāpumu</w:t>
      </w:r>
      <w:r w:rsidR="00976DFF">
        <w:rPr>
          <w:rFonts w:asciiTheme="majorBidi" w:hAnsiTheme="majorBidi" w:cstheme="majorBidi"/>
          <w:szCs w:val="24"/>
        </w:rPr>
        <w:t xml:space="preserve">, jo </w:t>
      </w:r>
      <w:r w:rsidR="00604A8F">
        <w:rPr>
          <w:rFonts w:asciiTheme="majorBidi" w:hAnsiTheme="majorBidi" w:cstheme="majorBidi"/>
          <w:szCs w:val="24"/>
        </w:rPr>
        <w:t xml:space="preserve">tā </w:t>
      </w:r>
      <w:r w:rsidR="00976DFF">
        <w:rPr>
          <w:rFonts w:asciiTheme="majorBidi" w:hAnsiTheme="majorBidi" w:cstheme="majorBidi"/>
          <w:szCs w:val="24"/>
        </w:rPr>
        <w:t xml:space="preserve">rezultātā </w:t>
      </w:r>
      <w:r w:rsidR="00976DFF" w:rsidRPr="008F7806">
        <w:rPr>
          <w:rFonts w:asciiTheme="majorBidi" w:hAnsiTheme="majorBidi" w:cstheme="majorBidi"/>
          <w:szCs w:val="24"/>
        </w:rPr>
        <w:t>nodarīts būtisks kaitējums – 12 541,17 </w:t>
      </w:r>
      <w:r w:rsidR="00976DFF" w:rsidRPr="008F7806">
        <w:rPr>
          <w:rFonts w:asciiTheme="majorBidi" w:hAnsiTheme="majorBidi" w:cstheme="majorBidi"/>
          <w:i/>
          <w:iCs/>
          <w:szCs w:val="24"/>
        </w:rPr>
        <w:t>euro</w:t>
      </w:r>
      <w:r w:rsidR="00976DFF">
        <w:rPr>
          <w:rFonts w:asciiTheme="majorBidi" w:hAnsiTheme="majorBidi" w:cstheme="majorBidi"/>
          <w:szCs w:val="24"/>
        </w:rPr>
        <w:t xml:space="preserve"> nenomaksāto nodokļu veidā. Senāts norāda, ka minēto apstākli pašu par sevi </w:t>
      </w:r>
      <w:r w:rsidR="00604A8F">
        <w:rPr>
          <w:rFonts w:asciiTheme="majorBidi" w:hAnsiTheme="majorBidi" w:cstheme="majorBidi"/>
          <w:szCs w:val="24"/>
        </w:rPr>
        <w:t>nevar uzskatīt</w:t>
      </w:r>
      <w:r w:rsidR="00976DFF">
        <w:rPr>
          <w:rFonts w:asciiTheme="majorBidi" w:hAnsiTheme="majorBidi" w:cstheme="majorBidi"/>
          <w:szCs w:val="24"/>
        </w:rPr>
        <w:t xml:space="preserve"> par tādu, kas ļautu izmantot operatīvās izstrādes lietas ietvaros noklausītās telefon</w:t>
      </w:r>
      <w:r w:rsidR="004010D4">
        <w:rPr>
          <w:rFonts w:asciiTheme="majorBidi" w:hAnsiTheme="majorBidi" w:cstheme="majorBidi"/>
          <w:szCs w:val="24"/>
        </w:rPr>
        <w:t xml:space="preserve">a </w:t>
      </w:r>
      <w:r w:rsidR="00976DFF">
        <w:rPr>
          <w:rFonts w:asciiTheme="majorBidi" w:hAnsiTheme="majorBidi" w:cstheme="majorBidi"/>
          <w:szCs w:val="24"/>
        </w:rPr>
        <w:t>sarunas kriminālpārkāpuma pierādīšanā. Minētais</w:t>
      </w:r>
      <w:r w:rsidR="00604A8F">
        <w:rPr>
          <w:rFonts w:asciiTheme="majorBidi" w:hAnsiTheme="majorBidi" w:cstheme="majorBidi"/>
          <w:szCs w:val="24"/>
        </w:rPr>
        <w:t xml:space="preserve"> kaitējuma apmērs</w:t>
      </w:r>
      <w:r w:rsidR="00976DFF">
        <w:rPr>
          <w:rFonts w:asciiTheme="majorBidi" w:hAnsiTheme="majorBidi" w:cstheme="majorBidi"/>
          <w:szCs w:val="24"/>
        </w:rPr>
        <w:t xml:space="preserve"> veidoja Krimināllikuma 221. panta pirmajā daļā paredzētā noziedzīgā nodarījuma sastāva pazīmi</w:t>
      </w:r>
      <w:r w:rsidR="004B045A">
        <w:rPr>
          <w:rFonts w:asciiTheme="majorBidi" w:hAnsiTheme="majorBidi" w:cstheme="majorBidi"/>
          <w:szCs w:val="24"/>
        </w:rPr>
        <w:t> </w:t>
      </w:r>
      <w:r w:rsidR="00976DFF">
        <w:rPr>
          <w:rFonts w:asciiTheme="majorBidi" w:hAnsiTheme="majorBidi" w:cstheme="majorBidi"/>
          <w:szCs w:val="24"/>
        </w:rPr>
        <w:t>– būtisku kaitējumu</w:t>
      </w:r>
      <w:r w:rsidR="004B045A">
        <w:rPr>
          <w:rFonts w:asciiTheme="majorBidi" w:hAnsiTheme="majorBidi" w:cstheme="majorBidi"/>
          <w:szCs w:val="24"/>
        </w:rPr>
        <w:t> </w:t>
      </w:r>
      <w:r w:rsidR="00976DFF">
        <w:rPr>
          <w:rFonts w:asciiTheme="majorBidi" w:hAnsiTheme="majorBidi" w:cstheme="majorBidi"/>
          <w:szCs w:val="24"/>
        </w:rPr>
        <w:t>–</w:t>
      </w:r>
      <w:r>
        <w:rPr>
          <w:rFonts w:asciiTheme="majorBidi" w:hAnsiTheme="majorBidi" w:cstheme="majorBidi"/>
          <w:szCs w:val="24"/>
        </w:rPr>
        <w:t xml:space="preserve">, </w:t>
      </w:r>
      <w:r w:rsidR="00976DFF">
        <w:rPr>
          <w:rFonts w:asciiTheme="majorBidi" w:hAnsiTheme="majorBidi" w:cstheme="majorBidi"/>
          <w:szCs w:val="24"/>
        </w:rPr>
        <w:t>un</w:t>
      </w:r>
      <w:r w:rsidR="00604A8F">
        <w:rPr>
          <w:rFonts w:asciiTheme="majorBidi" w:hAnsiTheme="majorBidi" w:cstheme="majorBidi"/>
          <w:szCs w:val="24"/>
        </w:rPr>
        <w:t xml:space="preserve"> </w:t>
      </w:r>
      <w:r w:rsidR="00976DFF">
        <w:rPr>
          <w:rFonts w:asciiTheme="majorBidi" w:hAnsiTheme="majorBidi" w:cstheme="majorBidi"/>
          <w:szCs w:val="24"/>
        </w:rPr>
        <w:t xml:space="preserve">šāds noziedzīgs nodarījums </w:t>
      </w:r>
      <w:r>
        <w:rPr>
          <w:rFonts w:asciiTheme="majorBidi" w:hAnsiTheme="majorBidi" w:cstheme="majorBidi"/>
          <w:szCs w:val="24"/>
        </w:rPr>
        <w:t>saskaņā ar Krimināllikuma 7.</w:t>
      </w:r>
      <w:r w:rsidR="00F4082F">
        <w:rPr>
          <w:rFonts w:asciiTheme="majorBidi" w:hAnsiTheme="majorBidi" w:cstheme="majorBidi"/>
          <w:szCs w:val="24"/>
        </w:rPr>
        <w:t> </w:t>
      </w:r>
      <w:r>
        <w:rPr>
          <w:rFonts w:asciiTheme="majorBidi" w:hAnsiTheme="majorBidi" w:cstheme="majorBidi"/>
          <w:szCs w:val="24"/>
        </w:rPr>
        <w:t xml:space="preserve">panta otro daļu (2012. gada 13. decembra likuma redakcijā) </w:t>
      </w:r>
      <w:r w:rsidR="00976DFF">
        <w:rPr>
          <w:rFonts w:asciiTheme="majorBidi" w:hAnsiTheme="majorBidi" w:cstheme="majorBidi"/>
          <w:szCs w:val="24"/>
        </w:rPr>
        <w:t xml:space="preserve">bija </w:t>
      </w:r>
      <w:r w:rsidR="00604A8F">
        <w:rPr>
          <w:rFonts w:asciiTheme="majorBidi" w:hAnsiTheme="majorBidi" w:cstheme="majorBidi"/>
          <w:szCs w:val="24"/>
        </w:rPr>
        <w:t>klasificējams kā kriminālpārkāpums.</w:t>
      </w:r>
    </w:p>
    <w:p w14:paraId="3AA83603" w14:textId="5C13B4A0" w:rsidR="002A2BD4" w:rsidRDefault="002A2BD4" w:rsidP="00CC34E7">
      <w:pPr>
        <w:widowControl w:val="0"/>
        <w:shd w:val="clear" w:color="auto" w:fill="FFFFFF"/>
        <w:autoSpaceDE w:val="0"/>
        <w:autoSpaceDN w:val="0"/>
        <w:adjustRightInd w:val="0"/>
        <w:spacing w:after="0" w:line="276" w:lineRule="auto"/>
        <w:ind w:right="10" w:firstLine="709"/>
        <w:jc w:val="both"/>
        <w:rPr>
          <w:rFonts w:asciiTheme="majorBidi" w:hAnsiTheme="majorBidi" w:cstheme="majorBidi"/>
          <w:szCs w:val="24"/>
        </w:rPr>
      </w:pPr>
      <w:r>
        <w:rPr>
          <w:rFonts w:asciiTheme="majorBidi" w:hAnsiTheme="majorBidi" w:cstheme="majorBidi"/>
          <w:szCs w:val="24"/>
        </w:rPr>
        <w:t>Senāts nepiekrīt</w:t>
      </w:r>
      <w:r w:rsidR="00CC34E7">
        <w:rPr>
          <w:rFonts w:asciiTheme="majorBidi" w:hAnsiTheme="majorBidi" w:cstheme="majorBidi"/>
          <w:szCs w:val="24"/>
        </w:rPr>
        <w:t xml:space="preserve"> kasācijas protestā paust</w:t>
      </w:r>
      <w:r>
        <w:rPr>
          <w:rFonts w:asciiTheme="majorBidi" w:hAnsiTheme="majorBidi" w:cstheme="majorBidi"/>
          <w:szCs w:val="24"/>
        </w:rPr>
        <w:t>ajam</w:t>
      </w:r>
      <w:r w:rsidR="00CC34E7">
        <w:rPr>
          <w:rFonts w:asciiTheme="majorBidi" w:hAnsiTheme="majorBidi" w:cstheme="majorBidi"/>
          <w:szCs w:val="24"/>
        </w:rPr>
        <w:t xml:space="preserve"> viedokli</w:t>
      </w:r>
      <w:r>
        <w:rPr>
          <w:rFonts w:asciiTheme="majorBidi" w:hAnsiTheme="majorBidi" w:cstheme="majorBidi"/>
          <w:szCs w:val="24"/>
        </w:rPr>
        <w:t>m</w:t>
      </w:r>
      <w:r w:rsidR="00CC34E7">
        <w:rPr>
          <w:rFonts w:asciiTheme="majorBidi" w:hAnsiTheme="majorBidi" w:cstheme="majorBidi"/>
          <w:szCs w:val="24"/>
        </w:rPr>
        <w:t>, ka Kriminālprocesa likuma 127. pant</w:t>
      </w:r>
      <w:r>
        <w:rPr>
          <w:rFonts w:asciiTheme="majorBidi" w:hAnsiTheme="majorBidi" w:cstheme="majorBidi"/>
          <w:szCs w:val="24"/>
        </w:rPr>
        <w:t>ā ir tikai viens nosacījums operatīvās darbības pasākumos iegūto ziņu izmantošanai pierādīšanā</w:t>
      </w:r>
      <w:r w:rsidR="004B045A">
        <w:rPr>
          <w:rFonts w:asciiTheme="majorBidi" w:hAnsiTheme="majorBidi" w:cstheme="majorBidi"/>
          <w:szCs w:val="24"/>
        </w:rPr>
        <w:t> </w:t>
      </w:r>
      <w:r>
        <w:rPr>
          <w:rFonts w:asciiTheme="majorBidi" w:hAnsiTheme="majorBidi" w:cstheme="majorBidi"/>
          <w:szCs w:val="24"/>
        </w:rPr>
        <w:t>– ja šīs ziņas iespējams pārbaudīt Kriminālprocesa likumā noteiktajā procesuālajā kārtībā</w:t>
      </w:r>
      <w:r w:rsidR="004B045A">
        <w:rPr>
          <w:rFonts w:asciiTheme="majorBidi" w:hAnsiTheme="majorBidi" w:cstheme="majorBidi"/>
          <w:szCs w:val="24"/>
        </w:rPr>
        <w:t> </w:t>
      </w:r>
      <w:r>
        <w:rPr>
          <w:rFonts w:asciiTheme="majorBidi" w:hAnsiTheme="majorBidi" w:cstheme="majorBidi"/>
          <w:szCs w:val="24"/>
        </w:rPr>
        <w:t>–</w:t>
      </w:r>
      <w:r w:rsidR="00623E77">
        <w:rPr>
          <w:rFonts w:asciiTheme="majorBidi" w:hAnsiTheme="majorBidi" w:cstheme="majorBidi"/>
          <w:szCs w:val="24"/>
        </w:rPr>
        <w:t>,</w:t>
      </w:r>
      <w:r>
        <w:rPr>
          <w:rFonts w:asciiTheme="majorBidi" w:hAnsiTheme="majorBidi" w:cstheme="majorBidi"/>
          <w:szCs w:val="24"/>
        </w:rPr>
        <w:t xml:space="preserve"> kā to noteic </w:t>
      </w:r>
      <w:r w:rsidR="007B752B">
        <w:rPr>
          <w:rFonts w:asciiTheme="majorBidi" w:hAnsiTheme="majorBidi" w:cstheme="majorBidi"/>
          <w:szCs w:val="24"/>
        </w:rPr>
        <w:t xml:space="preserve">minētā panta </w:t>
      </w:r>
      <w:r>
        <w:rPr>
          <w:rFonts w:asciiTheme="majorBidi" w:hAnsiTheme="majorBidi" w:cstheme="majorBidi"/>
          <w:szCs w:val="24"/>
        </w:rPr>
        <w:t xml:space="preserve">trešā daļa. </w:t>
      </w:r>
    </w:p>
    <w:p w14:paraId="0622A244" w14:textId="2E6D2BCB" w:rsidR="004010D4" w:rsidRDefault="004010D4" w:rsidP="006820AF">
      <w:pPr>
        <w:widowControl w:val="0"/>
        <w:shd w:val="clear" w:color="auto" w:fill="FFFFFF"/>
        <w:autoSpaceDE w:val="0"/>
        <w:autoSpaceDN w:val="0"/>
        <w:adjustRightInd w:val="0"/>
        <w:spacing w:after="0" w:line="276" w:lineRule="auto"/>
        <w:ind w:right="10" w:firstLine="709"/>
        <w:jc w:val="both"/>
        <w:rPr>
          <w:rFonts w:asciiTheme="majorBidi" w:hAnsiTheme="majorBidi" w:cstheme="majorBidi"/>
          <w:szCs w:val="24"/>
        </w:rPr>
      </w:pPr>
      <w:r>
        <w:rPr>
          <w:rFonts w:asciiTheme="majorBidi" w:hAnsiTheme="majorBidi" w:cstheme="majorBidi"/>
          <w:szCs w:val="24"/>
        </w:rPr>
        <w:t>Lietas materiālos ir konstatējamas ziņas, ka pirmās instances tiesa</w:t>
      </w:r>
      <w:r w:rsidRPr="004010D4">
        <w:rPr>
          <w:rFonts w:asciiTheme="majorBidi" w:hAnsiTheme="majorBidi" w:cstheme="majorBidi"/>
          <w:szCs w:val="24"/>
        </w:rPr>
        <w:t xml:space="preserve"> </w:t>
      </w:r>
      <w:r>
        <w:rPr>
          <w:rFonts w:asciiTheme="majorBidi" w:hAnsiTheme="majorBidi" w:cstheme="majorBidi"/>
          <w:szCs w:val="24"/>
        </w:rPr>
        <w:t>saskaņā ar Kriminālprocesa likuma 500. panta ceturto daļu (likuma redakcijā līdz 2017. gada 1.</w:t>
      </w:r>
      <w:r>
        <w:t> </w:t>
      </w:r>
      <w:r>
        <w:rPr>
          <w:rFonts w:asciiTheme="majorBidi" w:hAnsiTheme="majorBidi" w:cstheme="majorBidi"/>
          <w:szCs w:val="24"/>
        </w:rPr>
        <w:t>augustam) iepazinās un izvērtēja operatīvās izstrādes lietas materiālus.</w:t>
      </w:r>
    </w:p>
    <w:p w14:paraId="45972955" w14:textId="5A685448" w:rsidR="006820AF" w:rsidRDefault="002A2BD4" w:rsidP="006820AF">
      <w:pPr>
        <w:widowControl w:val="0"/>
        <w:shd w:val="clear" w:color="auto" w:fill="FFFFFF"/>
        <w:autoSpaceDE w:val="0"/>
        <w:autoSpaceDN w:val="0"/>
        <w:adjustRightInd w:val="0"/>
        <w:spacing w:after="0" w:line="276" w:lineRule="auto"/>
        <w:ind w:right="10" w:firstLine="709"/>
        <w:jc w:val="both"/>
        <w:rPr>
          <w:rFonts w:asciiTheme="majorBidi" w:hAnsiTheme="majorBidi" w:cstheme="majorBidi"/>
          <w:szCs w:val="24"/>
        </w:rPr>
      </w:pPr>
      <w:r>
        <w:rPr>
          <w:rFonts w:asciiTheme="majorBidi" w:hAnsiTheme="majorBidi" w:cstheme="majorBidi"/>
          <w:szCs w:val="24"/>
        </w:rPr>
        <w:t xml:space="preserve">Neraugoties uz to, ka </w:t>
      </w:r>
      <w:r w:rsidR="006869E3">
        <w:rPr>
          <w:rFonts w:asciiTheme="majorBidi" w:hAnsiTheme="majorBidi" w:cstheme="majorBidi"/>
          <w:szCs w:val="24"/>
        </w:rPr>
        <w:t xml:space="preserve">pirmās instances tiesā </w:t>
      </w:r>
      <w:r w:rsidR="00CC34E7">
        <w:rPr>
          <w:rFonts w:asciiTheme="majorBidi" w:hAnsiTheme="majorBidi" w:cstheme="majorBidi"/>
          <w:szCs w:val="24"/>
        </w:rPr>
        <w:t>ir izpildīti Kriminālprocesa likum</w:t>
      </w:r>
      <w:r w:rsidR="004010D4">
        <w:rPr>
          <w:rFonts w:asciiTheme="majorBidi" w:hAnsiTheme="majorBidi" w:cstheme="majorBidi"/>
          <w:szCs w:val="24"/>
        </w:rPr>
        <w:t>a 127. panta trešajā daļā</w:t>
      </w:r>
      <w:r w:rsidR="00CC34E7">
        <w:rPr>
          <w:rFonts w:asciiTheme="majorBidi" w:hAnsiTheme="majorBidi" w:cstheme="majorBidi"/>
          <w:szCs w:val="24"/>
        </w:rPr>
        <w:t xml:space="preserve"> paredzētie nosacījumi</w:t>
      </w:r>
      <w:r w:rsidR="007B752B" w:rsidRPr="007B752B">
        <w:rPr>
          <w:rFonts w:asciiTheme="majorBidi" w:hAnsiTheme="majorBidi" w:cstheme="majorBidi"/>
          <w:szCs w:val="24"/>
        </w:rPr>
        <w:t xml:space="preserve"> </w:t>
      </w:r>
      <w:r w:rsidR="007B752B">
        <w:rPr>
          <w:rFonts w:asciiTheme="majorBidi" w:hAnsiTheme="majorBidi" w:cstheme="majorBidi"/>
          <w:szCs w:val="24"/>
        </w:rPr>
        <w:t xml:space="preserve">par šo operatīvās darbības pasākumos iegūto ziņu par faktiem </w:t>
      </w:r>
      <w:r w:rsidR="00A80D19">
        <w:rPr>
          <w:rFonts w:asciiTheme="majorBidi" w:hAnsiTheme="majorBidi" w:cstheme="majorBidi"/>
          <w:szCs w:val="24"/>
        </w:rPr>
        <w:t>pārbaudi</w:t>
      </w:r>
      <w:r w:rsidR="007B752B">
        <w:rPr>
          <w:rFonts w:asciiTheme="majorBidi" w:hAnsiTheme="majorBidi" w:cstheme="majorBidi"/>
          <w:szCs w:val="24"/>
        </w:rPr>
        <w:t xml:space="preserve"> izskatāmajā kriminālprocesā</w:t>
      </w:r>
      <w:r>
        <w:rPr>
          <w:rFonts w:asciiTheme="majorBidi" w:hAnsiTheme="majorBidi" w:cstheme="majorBidi"/>
          <w:szCs w:val="24"/>
        </w:rPr>
        <w:t xml:space="preserve">, </w:t>
      </w:r>
      <w:r w:rsidR="00A80D19">
        <w:rPr>
          <w:rFonts w:asciiTheme="majorBidi" w:hAnsiTheme="majorBidi" w:cstheme="majorBidi"/>
          <w:szCs w:val="24"/>
        </w:rPr>
        <w:t xml:space="preserve">šis pierādījums </w:t>
      </w:r>
      <w:r w:rsidR="007B752B">
        <w:t>jāvērtē</w:t>
      </w:r>
      <w:r w:rsidR="00CC34E7">
        <w:rPr>
          <w:rFonts w:asciiTheme="majorBidi" w:hAnsiTheme="majorBidi" w:cstheme="majorBidi"/>
          <w:szCs w:val="24"/>
        </w:rPr>
        <w:t xml:space="preserve"> </w:t>
      </w:r>
      <w:r w:rsidR="007B752B">
        <w:rPr>
          <w:rFonts w:asciiTheme="majorBidi" w:hAnsiTheme="majorBidi" w:cstheme="majorBidi"/>
          <w:szCs w:val="24"/>
        </w:rPr>
        <w:t>atbilstoši Kriminālprocesa likuma 127.</w:t>
      </w:r>
      <w:r w:rsidR="006820AF">
        <w:rPr>
          <w:rFonts w:asciiTheme="majorBidi" w:hAnsiTheme="majorBidi" w:cstheme="majorBidi"/>
          <w:szCs w:val="24"/>
        </w:rPr>
        <w:t> </w:t>
      </w:r>
      <w:r w:rsidR="007B752B">
        <w:rPr>
          <w:rFonts w:asciiTheme="majorBidi" w:hAnsiTheme="majorBidi" w:cstheme="majorBidi"/>
          <w:szCs w:val="24"/>
        </w:rPr>
        <w:t>panta</w:t>
      </w:r>
      <w:r w:rsidR="00A80D19">
        <w:rPr>
          <w:rFonts w:asciiTheme="majorBidi" w:hAnsiTheme="majorBidi" w:cstheme="majorBidi"/>
          <w:szCs w:val="24"/>
        </w:rPr>
        <w:t xml:space="preserve"> citām daļām, kas </w:t>
      </w:r>
      <w:r w:rsidR="007B752B">
        <w:rPr>
          <w:rFonts w:asciiTheme="majorBidi" w:hAnsiTheme="majorBidi" w:cstheme="majorBidi"/>
          <w:szCs w:val="24"/>
        </w:rPr>
        <w:t>noteic, kādas ziņas par faktiem var tikt</w:t>
      </w:r>
      <w:proofErr w:type="gramStart"/>
      <w:r w:rsidR="007B752B">
        <w:rPr>
          <w:rFonts w:asciiTheme="majorBidi" w:hAnsiTheme="majorBidi" w:cstheme="majorBidi"/>
          <w:szCs w:val="24"/>
        </w:rPr>
        <w:t xml:space="preserve"> uzskatītas par pierādījumiem un kādām īpašībām </w:t>
      </w:r>
      <w:r w:rsidR="00A80D19">
        <w:rPr>
          <w:rFonts w:asciiTheme="majorBidi" w:hAnsiTheme="majorBidi" w:cstheme="majorBidi"/>
          <w:szCs w:val="24"/>
        </w:rPr>
        <w:t>šiem pierādījumiem</w:t>
      </w:r>
      <w:proofErr w:type="gramEnd"/>
      <w:r w:rsidR="00A80D19">
        <w:rPr>
          <w:rFonts w:asciiTheme="majorBidi" w:hAnsiTheme="majorBidi" w:cstheme="majorBidi"/>
          <w:szCs w:val="24"/>
        </w:rPr>
        <w:t xml:space="preserve"> ir</w:t>
      </w:r>
      <w:r w:rsidR="007B752B">
        <w:rPr>
          <w:rFonts w:asciiTheme="majorBidi" w:hAnsiTheme="majorBidi" w:cstheme="majorBidi"/>
          <w:szCs w:val="24"/>
        </w:rPr>
        <w:t xml:space="preserve"> jāpiemīt, proti</w:t>
      </w:r>
      <w:r w:rsidR="00623E77">
        <w:rPr>
          <w:rFonts w:asciiTheme="majorBidi" w:hAnsiTheme="majorBidi" w:cstheme="majorBidi"/>
          <w:szCs w:val="24"/>
        </w:rPr>
        <w:t xml:space="preserve">, </w:t>
      </w:r>
      <w:r w:rsidR="007B752B">
        <w:rPr>
          <w:rFonts w:asciiTheme="majorBidi" w:hAnsiTheme="majorBidi" w:cstheme="majorBidi"/>
          <w:szCs w:val="24"/>
        </w:rPr>
        <w:t>ticamībai, attiecināmībai un pieļaujamībai,</w:t>
      </w:r>
      <w:r w:rsidR="007B752B" w:rsidRPr="00391CA4">
        <w:rPr>
          <w:rFonts w:asciiTheme="majorBidi" w:hAnsiTheme="majorBidi" w:cstheme="majorBidi"/>
          <w:szCs w:val="24"/>
        </w:rPr>
        <w:t xml:space="preserve"> </w:t>
      </w:r>
      <w:r w:rsidR="007B752B">
        <w:rPr>
          <w:rFonts w:asciiTheme="majorBidi" w:hAnsiTheme="majorBidi" w:cstheme="majorBidi"/>
          <w:szCs w:val="24"/>
        </w:rPr>
        <w:t>un tās ir norādītas šīs normas otrajā daļā.</w:t>
      </w:r>
    </w:p>
    <w:p w14:paraId="35B07ED3" w14:textId="14B65415" w:rsidR="002A2BD4" w:rsidRPr="00B75866" w:rsidRDefault="002A2BD4" w:rsidP="006820AF">
      <w:pPr>
        <w:widowControl w:val="0"/>
        <w:shd w:val="clear" w:color="auto" w:fill="FFFFFF"/>
        <w:autoSpaceDE w:val="0"/>
        <w:autoSpaceDN w:val="0"/>
        <w:adjustRightInd w:val="0"/>
        <w:spacing w:after="0" w:line="276" w:lineRule="auto"/>
        <w:ind w:right="10" w:firstLine="709"/>
        <w:jc w:val="both"/>
        <w:rPr>
          <w:rFonts w:asciiTheme="majorBidi" w:eastAsia="Times New Roman" w:hAnsiTheme="majorBidi" w:cstheme="majorBidi"/>
          <w:color w:val="000000"/>
          <w:szCs w:val="24"/>
          <w:lang w:eastAsia="lv-LV"/>
        </w:rPr>
      </w:pPr>
      <w:r w:rsidRPr="00B75866">
        <w:rPr>
          <w:rFonts w:asciiTheme="majorBidi" w:eastAsia="Times New Roman" w:hAnsiTheme="majorBidi" w:cstheme="majorBidi"/>
          <w:color w:val="000000"/>
          <w:spacing w:val="-1"/>
          <w:szCs w:val="24"/>
          <w:lang w:eastAsia="lv-LV"/>
        </w:rPr>
        <w:t>Pierādījumu ticamība skaidrota Kriminālprocesa likuma 128.</w:t>
      </w:r>
      <w:r w:rsidR="00F4082F">
        <w:rPr>
          <w:rFonts w:asciiTheme="majorBidi" w:eastAsia="Times New Roman" w:hAnsiTheme="majorBidi" w:cstheme="majorBidi"/>
          <w:color w:val="000000"/>
          <w:spacing w:val="-1"/>
          <w:szCs w:val="24"/>
          <w:lang w:eastAsia="lv-LV"/>
        </w:rPr>
        <w:t> </w:t>
      </w:r>
      <w:r w:rsidRPr="00B75866">
        <w:rPr>
          <w:rFonts w:asciiTheme="majorBidi" w:eastAsia="Times New Roman" w:hAnsiTheme="majorBidi" w:cstheme="majorBidi"/>
          <w:color w:val="000000"/>
          <w:spacing w:val="-1"/>
          <w:szCs w:val="24"/>
          <w:lang w:eastAsia="lv-LV"/>
        </w:rPr>
        <w:t>pantā. Kriminālprocesa likuma</w:t>
      </w:r>
      <w:r w:rsidR="00F4082F">
        <w:rPr>
          <w:rFonts w:asciiTheme="majorBidi" w:eastAsia="Times New Roman" w:hAnsiTheme="majorBidi" w:cstheme="majorBidi"/>
          <w:color w:val="000000"/>
          <w:spacing w:val="-1"/>
          <w:szCs w:val="24"/>
          <w:lang w:eastAsia="lv-LV"/>
        </w:rPr>
        <w:t xml:space="preserve"> </w:t>
      </w:r>
      <w:r w:rsidRPr="00B75866">
        <w:rPr>
          <w:rFonts w:asciiTheme="majorBidi" w:eastAsia="Times New Roman" w:hAnsiTheme="majorBidi" w:cstheme="majorBidi"/>
          <w:color w:val="000000"/>
          <w:szCs w:val="24"/>
          <w:lang w:eastAsia="lv-LV"/>
        </w:rPr>
        <w:t>129.</w:t>
      </w:r>
      <w:r w:rsidR="00F4082F">
        <w:rPr>
          <w:rFonts w:asciiTheme="majorBidi" w:eastAsia="Times New Roman" w:hAnsiTheme="majorBidi" w:cstheme="majorBidi"/>
          <w:color w:val="000000"/>
          <w:szCs w:val="24"/>
          <w:lang w:eastAsia="lv-LV"/>
        </w:rPr>
        <w:t> </w:t>
      </w:r>
      <w:r w:rsidRPr="00B75866">
        <w:rPr>
          <w:rFonts w:asciiTheme="majorBidi" w:eastAsia="Times New Roman" w:hAnsiTheme="majorBidi" w:cstheme="majorBidi"/>
          <w:color w:val="000000"/>
          <w:szCs w:val="24"/>
          <w:lang w:eastAsia="lv-LV"/>
        </w:rPr>
        <w:t>pantā ir skaidrota pierādījumu attiecināmība, savukārt pierādījumu pieļaujamība</w:t>
      </w:r>
      <w:r w:rsidR="004B045A">
        <w:rPr>
          <w:rFonts w:asciiTheme="majorBidi" w:eastAsia="Times New Roman" w:hAnsiTheme="majorBidi" w:cstheme="majorBidi"/>
          <w:color w:val="000000"/>
          <w:szCs w:val="24"/>
          <w:lang w:eastAsia="lv-LV"/>
        </w:rPr>
        <w:t> </w:t>
      </w:r>
      <w:r w:rsidRPr="00B75866">
        <w:rPr>
          <w:rFonts w:asciiTheme="majorBidi" w:eastAsia="Times New Roman" w:hAnsiTheme="majorBidi" w:cstheme="majorBidi"/>
          <w:color w:val="000000"/>
          <w:szCs w:val="24"/>
          <w:lang w:eastAsia="lv-LV"/>
        </w:rPr>
        <w:t>– Kriminālprocesa likuma 130.</w:t>
      </w:r>
      <w:r w:rsidR="00F4082F">
        <w:rPr>
          <w:rFonts w:asciiTheme="majorBidi" w:eastAsia="Times New Roman" w:hAnsiTheme="majorBidi" w:cstheme="majorBidi"/>
          <w:color w:val="000000"/>
          <w:szCs w:val="24"/>
          <w:lang w:eastAsia="lv-LV"/>
        </w:rPr>
        <w:t> </w:t>
      </w:r>
      <w:r w:rsidRPr="00B75866">
        <w:rPr>
          <w:rFonts w:asciiTheme="majorBidi" w:eastAsia="Times New Roman" w:hAnsiTheme="majorBidi" w:cstheme="majorBidi"/>
          <w:color w:val="000000"/>
          <w:szCs w:val="24"/>
          <w:lang w:eastAsia="lv-LV"/>
        </w:rPr>
        <w:t>pantā</w:t>
      </w:r>
      <w:r w:rsidR="006820AF">
        <w:rPr>
          <w:rFonts w:asciiTheme="majorBidi" w:eastAsia="Times New Roman" w:hAnsiTheme="majorBidi" w:cstheme="majorBidi"/>
          <w:color w:val="000000"/>
          <w:szCs w:val="24"/>
          <w:lang w:eastAsia="lv-LV"/>
        </w:rPr>
        <w:t>, un tā ir tikai viena no pierādījuma pazīmēm</w:t>
      </w:r>
      <w:r w:rsidRPr="00B75866">
        <w:rPr>
          <w:rFonts w:asciiTheme="majorBidi" w:eastAsia="Times New Roman" w:hAnsiTheme="majorBidi" w:cstheme="majorBidi"/>
          <w:color w:val="000000"/>
          <w:szCs w:val="24"/>
          <w:lang w:eastAsia="lv-LV"/>
        </w:rPr>
        <w:t>.</w:t>
      </w:r>
    </w:p>
    <w:p w14:paraId="2C781D7A" w14:textId="16F22EBD" w:rsidR="007E5693" w:rsidRDefault="00391CA4" w:rsidP="007E5693">
      <w:pPr>
        <w:widowControl w:val="0"/>
        <w:shd w:val="clear" w:color="auto" w:fill="FFFFFF"/>
        <w:autoSpaceDE w:val="0"/>
        <w:autoSpaceDN w:val="0"/>
        <w:adjustRightInd w:val="0"/>
        <w:spacing w:after="0" w:line="276" w:lineRule="auto"/>
        <w:ind w:right="10" w:firstLine="709"/>
        <w:jc w:val="both"/>
        <w:rPr>
          <w:rFonts w:asciiTheme="majorBidi" w:hAnsiTheme="majorBidi" w:cstheme="majorBidi"/>
          <w:szCs w:val="24"/>
        </w:rPr>
      </w:pPr>
      <w:r>
        <w:rPr>
          <w:rFonts w:asciiTheme="majorBidi" w:hAnsiTheme="majorBidi" w:cstheme="majorBidi"/>
          <w:szCs w:val="24"/>
        </w:rPr>
        <w:t>Tiesību doktrīnā norādīts:</w:t>
      </w:r>
      <w:r w:rsidR="00623E77">
        <w:rPr>
          <w:rFonts w:asciiTheme="majorBidi" w:hAnsiTheme="majorBidi" w:cstheme="majorBidi"/>
          <w:szCs w:val="24"/>
        </w:rPr>
        <w:t xml:space="preserve"> l</w:t>
      </w:r>
      <w:r>
        <w:rPr>
          <w:rFonts w:asciiTheme="majorBidi" w:hAnsiTheme="majorBidi" w:cstheme="majorBidi"/>
          <w:szCs w:val="24"/>
        </w:rPr>
        <w:t>ai arī kādā procesuālā formā ziņas būtu iekļautas, tām jāatbilst noteiktām prasībām, sauktām arī par pierādījumu pazīmēm jeb īpašībām</w:t>
      </w:r>
      <w:r w:rsidR="004B045A">
        <w:rPr>
          <w:rFonts w:asciiTheme="majorBidi" w:hAnsiTheme="majorBidi" w:cstheme="majorBidi"/>
          <w:szCs w:val="24"/>
        </w:rPr>
        <w:t> </w:t>
      </w:r>
      <w:r>
        <w:rPr>
          <w:rFonts w:asciiTheme="majorBidi" w:hAnsiTheme="majorBidi" w:cstheme="majorBidi"/>
          <w:szCs w:val="24"/>
        </w:rPr>
        <w:t>– ticamībai, attiecināmībai un pieļaujamībai. Pieļaujamība raksturo pierādījumu ārējo formu, kuras neesamība liedz to izmantot pierādīšanā pat tad, ja pierādījums šķiet ticams</w:t>
      </w:r>
      <w:r w:rsidR="00623E77">
        <w:rPr>
          <w:rFonts w:asciiTheme="majorBidi" w:hAnsiTheme="majorBidi" w:cstheme="majorBidi"/>
          <w:szCs w:val="24"/>
        </w:rPr>
        <w:t xml:space="preserve"> </w:t>
      </w:r>
      <w:proofErr w:type="gramStart"/>
      <w:r>
        <w:rPr>
          <w:rFonts w:asciiTheme="majorBidi" w:hAnsiTheme="majorBidi" w:cstheme="majorBidi"/>
          <w:i/>
          <w:iCs/>
          <w:szCs w:val="24"/>
        </w:rPr>
        <w:t>(</w:t>
      </w:r>
      <w:proofErr w:type="gramEnd"/>
      <w:r>
        <w:rPr>
          <w:i/>
          <w:iCs/>
        </w:rPr>
        <w:t>Strada-Rozenberga</w:t>
      </w:r>
      <w:r w:rsidR="004B045A">
        <w:rPr>
          <w:i/>
          <w:iCs/>
        </w:rPr>
        <w:t> </w:t>
      </w:r>
      <w:r>
        <w:rPr>
          <w:i/>
          <w:iCs/>
        </w:rPr>
        <w:t>K</w:t>
      </w:r>
      <w:r w:rsidRPr="00CE70F1">
        <w:rPr>
          <w:i/>
          <w:iCs/>
        </w:rPr>
        <w:t xml:space="preserve">. </w:t>
      </w:r>
      <w:r>
        <w:rPr>
          <w:i/>
          <w:iCs/>
        </w:rPr>
        <w:t>127</w:t>
      </w:r>
      <w:r w:rsidRPr="00CE70F1">
        <w:rPr>
          <w:i/>
          <w:iCs/>
        </w:rPr>
        <w:t>.</w:t>
      </w:r>
      <w:r>
        <w:rPr>
          <w:i/>
          <w:iCs/>
        </w:rPr>
        <w:t> </w:t>
      </w:r>
      <w:r w:rsidRPr="00CE70F1">
        <w:rPr>
          <w:i/>
          <w:iCs/>
        </w:rPr>
        <w:t xml:space="preserve">panta komentārs. </w:t>
      </w:r>
      <w:proofErr w:type="spellStart"/>
      <w:r w:rsidRPr="00CE70F1">
        <w:rPr>
          <w:i/>
          <w:iCs/>
        </w:rPr>
        <w:t>Grām</w:t>
      </w:r>
      <w:proofErr w:type="spellEnd"/>
      <w:r w:rsidRPr="00CE70F1">
        <w:rPr>
          <w:i/>
          <w:iCs/>
        </w:rPr>
        <w:t>.:</w:t>
      </w:r>
      <w:r>
        <w:t xml:space="preserve"> </w:t>
      </w:r>
      <w:r w:rsidRPr="00DE7DCE">
        <w:rPr>
          <w:i/>
          <w:iCs/>
        </w:rPr>
        <w:t>Kriminālprocesa likuma komentāri. A</w:t>
      </w:r>
      <w:r w:rsidR="004B045A">
        <w:rPr>
          <w:i/>
          <w:iCs/>
        </w:rPr>
        <w:t> </w:t>
      </w:r>
      <w:r w:rsidRPr="00DE7DCE">
        <w:rPr>
          <w:i/>
          <w:iCs/>
        </w:rPr>
        <w:t xml:space="preserve">daļa. Zinātniska monogrāfija prof. Kristīnes </w:t>
      </w:r>
      <w:proofErr w:type="spellStart"/>
      <w:r w:rsidRPr="00DE7DCE">
        <w:rPr>
          <w:i/>
          <w:iCs/>
        </w:rPr>
        <w:t>Stradas-Rozenbergas</w:t>
      </w:r>
      <w:proofErr w:type="spellEnd"/>
      <w:r w:rsidRPr="00DE7DCE">
        <w:rPr>
          <w:i/>
          <w:iCs/>
        </w:rPr>
        <w:t xml:space="preserve"> zinātniskā redakcijā. Rīga: Latvijas Vēstnesis, 2019, </w:t>
      </w:r>
      <w:r>
        <w:rPr>
          <w:i/>
          <w:iCs/>
        </w:rPr>
        <w:t>432</w:t>
      </w:r>
      <w:r w:rsidRPr="00DE7DCE">
        <w:rPr>
          <w:i/>
          <w:iCs/>
        </w:rPr>
        <w:t>.</w:t>
      </w:r>
      <w:r>
        <w:rPr>
          <w:i/>
          <w:iCs/>
        </w:rPr>
        <w:t> </w:t>
      </w:r>
      <w:r w:rsidRPr="00DE7DCE">
        <w:rPr>
          <w:i/>
          <w:iCs/>
        </w:rPr>
        <w:t>lpp</w:t>
      </w:r>
      <w:r>
        <w:rPr>
          <w:rFonts w:asciiTheme="majorBidi" w:hAnsiTheme="majorBidi" w:cstheme="majorBidi"/>
          <w:szCs w:val="24"/>
        </w:rPr>
        <w:t>.</w:t>
      </w:r>
      <w:r>
        <w:rPr>
          <w:rFonts w:asciiTheme="majorBidi" w:hAnsiTheme="majorBidi" w:cstheme="majorBidi"/>
          <w:i/>
          <w:iCs/>
          <w:szCs w:val="24"/>
        </w:rPr>
        <w:t xml:space="preserve">). </w:t>
      </w:r>
      <w:r w:rsidR="007E5693">
        <w:rPr>
          <w:rFonts w:asciiTheme="majorBidi" w:hAnsiTheme="majorBidi" w:cstheme="majorBidi"/>
          <w:szCs w:val="24"/>
        </w:rPr>
        <w:t xml:space="preserve">Operatīvās darbības pasākumos </w:t>
      </w:r>
      <w:bookmarkStart w:id="7" w:name="_Hlk148425343"/>
      <w:r w:rsidR="007E5693">
        <w:rPr>
          <w:rFonts w:asciiTheme="majorBidi" w:hAnsiTheme="majorBidi" w:cstheme="majorBidi"/>
          <w:szCs w:val="24"/>
        </w:rPr>
        <w:t>iegūtas ziņas par faktiem arī var tikt izmantotas kā pierādījumi, bet tiem</w:t>
      </w:r>
      <w:r w:rsidR="009C358A">
        <w:rPr>
          <w:rFonts w:asciiTheme="majorBidi" w:hAnsiTheme="majorBidi" w:cstheme="majorBidi"/>
          <w:szCs w:val="24"/>
        </w:rPr>
        <w:t xml:space="preserve">, </w:t>
      </w:r>
      <w:r w:rsidR="007E5693">
        <w:rPr>
          <w:rFonts w:asciiTheme="majorBidi" w:hAnsiTheme="majorBidi" w:cstheme="majorBidi"/>
          <w:szCs w:val="24"/>
        </w:rPr>
        <w:t>tāpat kā citiem lietā iegūtajiem pierādījumiem</w:t>
      </w:r>
      <w:r w:rsidR="009C358A">
        <w:rPr>
          <w:rFonts w:asciiTheme="majorBidi" w:hAnsiTheme="majorBidi" w:cstheme="majorBidi"/>
          <w:szCs w:val="24"/>
        </w:rPr>
        <w:t>,</w:t>
      </w:r>
      <w:r w:rsidR="007E5693">
        <w:rPr>
          <w:rFonts w:asciiTheme="majorBidi" w:hAnsiTheme="majorBidi" w:cstheme="majorBidi"/>
          <w:szCs w:val="24"/>
        </w:rPr>
        <w:t xml:space="preserve"> ir jābūt likumā paredzēt</w:t>
      </w:r>
      <w:r w:rsidR="009C358A">
        <w:rPr>
          <w:rFonts w:asciiTheme="majorBidi" w:hAnsiTheme="majorBidi" w:cstheme="majorBidi"/>
          <w:szCs w:val="24"/>
        </w:rPr>
        <w:t>aj</w:t>
      </w:r>
      <w:r w:rsidR="007E5693">
        <w:rPr>
          <w:rFonts w:asciiTheme="majorBidi" w:hAnsiTheme="majorBidi" w:cstheme="majorBidi"/>
          <w:szCs w:val="24"/>
        </w:rPr>
        <w:t>ā kārtībā iegūtiem un noteiktā procesuālajā formā nostiprinātiem</w:t>
      </w:r>
      <w:bookmarkEnd w:id="7"/>
      <w:r w:rsidR="007E5693">
        <w:rPr>
          <w:rFonts w:asciiTheme="majorBidi" w:hAnsiTheme="majorBidi" w:cstheme="majorBidi"/>
          <w:szCs w:val="24"/>
        </w:rPr>
        <w:t xml:space="preserve">, ar nosacījumu, ka </w:t>
      </w:r>
      <w:r w:rsidR="008F661D">
        <w:rPr>
          <w:rFonts w:asciiTheme="majorBidi" w:hAnsiTheme="majorBidi" w:cstheme="majorBidi"/>
          <w:szCs w:val="24"/>
        </w:rPr>
        <w:t xml:space="preserve">minētās </w:t>
      </w:r>
      <w:r w:rsidR="007E5693">
        <w:rPr>
          <w:rFonts w:asciiTheme="majorBidi" w:hAnsiTheme="majorBidi" w:cstheme="majorBidi"/>
          <w:szCs w:val="24"/>
        </w:rPr>
        <w:t xml:space="preserve">ziņas iespējams pārbaudīt šajā likumā noteiktajā procesuālajā kārtībā, kā to noteic </w:t>
      </w:r>
      <w:r w:rsidR="008F661D">
        <w:rPr>
          <w:rFonts w:asciiTheme="majorBidi" w:hAnsiTheme="majorBidi" w:cstheme="majorBidi"/>
          <w:szCs w:val="24"/>
        </w:rPr>
        <w:t xml:space="preserve">Kriminālprocesa likuma 127. panta </w:t>
      </w:r>
      <w:r w:rsidR="007E5693">
        <w:rPr>
          <w:rFonts w:asciiTheme="majorBidi" w:hAnsiTheme="majorBidi" w:cstheme="majorBidi"/>
          <w:szCs w:val="24"/>
        </w:rPr>
        <w:t>trešā daļa</w:t>
      </w:r>
      <w:r w:rsidR="008F661D">
        <w:rPr>
          <w:rFonts w:asciiTheme="majorBidi" w:hAnsiTheme="majorBidi" w:cstheme="majorBidi"/>
          <w:szCs w:val="24"/>
        </w:rPr>
        <w:t xml:space="preserve"> un</w:t>
      </w:r>
      <w:r w:rsidR="008F661D" w:rsidRPr="008F661D">
        <w:rPr>
          <w:rFonts w:asciiTheme="majorBidi" w:hAnsiTheme="majorBidi" w:cstheme="majorBidi"/>
          <w:szCs w:val="24"/>
        </w:rPr>
        <w:t xml:space="preserve"> </w:t>
      </w:r>
      <w:r w:rsidR="008F661D">
        <w:rPr>
          <w:rFonts w:asciiTheme="majorBidi" w:hAnsiTheme="majorBidi" w:cstheme="majorBidi"/>
          <w:szCs w:val="24"/>
        </w:rPr>
        <w:t>Operatīvās darbības likuma 24. pants</w:t>
      </w:r>
      <w:r w:rsidR="007E5693">
        <w:rPr>
          <w:rFonts w:asciiTheme="majorBidi" w:hAnsiTheme="majorBidi" w:cstheme="majorBidi"/>
          <w:szCs w:val="24"/>
        </w:rPr>
        <w:t>. Tas ir papildu kritērijs</w:t>
      </w:r>
      <w:r w:rsidR="00363B1F">
        <w:rPr>
          <w:rFonts w:asciiTheme="majorBidi" w:hAnsiTheme="majorBidi" w:cstheme="majorBidi"/>
          <w:szCs w:val="24"/>
        </w:rPr>
        <w:t xml:space="preserve"> šādu ziņu izmantošanai pierādīšanā</w:t>
      </w:r>
      <w:r w:rsidR="007E5693">
        <w:rPr>
          <w:rFonts w:asciiTheme="majorBidi" w:hAnsiTheme="majorBidi" w:cstheme="majorBidi"/>
          <w:szCs w:val="24"/>
        </w:rPr>
        <w:t xml:space="preserve"> iepriekš tiesību normā </w:t>
      </w:r>
      <w:r w:rsidR="008F661D">
        <w:rPr>
          <w:rFonts w:asciiTheme="majorBidi" w:hAnsiTheme="majorBidi" w:cstheme="majorBidi"/>
          <w:szCs w:val="24"/>
        </w:rPr>
        <w:t>norādītajām</w:t>
      </w:r>
      <w:r w:rsidR="007E5693">
        <w:rPr>
          <w:rFonts w:asciiTheme="majorBidi" w:hAnsiTheme="majorBidi" w:cstheme="majorBidi"/>
          <w:szCs w:val="24"/>
        </w:rPr>
        <w:t xml:space="preserve"> pierādījumu īpašībām</w:t>
      </w:r>
      <w:r w:rsidR="00363B1F">
        <w:rPr>
          <w:rFonts w:asciiTheme="majorBidi" w:hAnsiTheme="majorBidi" w:cstheme="majorBidi"/>
          <w:szCs w:val="24"/>
        </w:rPr>
        <w:t>.</w:t>
      </w:r>
    </w:p>
    <w:p w14:paraId="39DD05CE" w14:textId="77777777" w:rsidR="00363B1F" w:rsidRDefault="00363B1F" w:rsidP="00CC34E7">
      <w:pPr>
        <w:spacing w:after="0" w:line="276" w:lineRule="auto"/>
        <w:ind w:firstLine="720"/>
        <w:jc w:val="both"/>
        <w:rPr>
          <w:rFonts w:asciiTheme="majorBidi" w:eastAsia="Times New Roman" w:hAnsiTheme="majorBidi" w:cstheme="majorBidi"/>
          <w:bCs/>
          <w:szCs w:val="24"/>
        </w:rPr>
      </w:pPr>
    </w:p>
    <w:p w14:paraId="59AFB796" w14:textId="1BB133BE" w:rsidR="006820AF" w:rsidRDefault="00CC34E7" w:rsidP="006820AF">
      <w:pPr>
        <w:spacing w:after="0" w:line="276" w:lineRule="auto"/>
        <w:ind w:firstLine="720"/>
        <w:jc w:val="both"/>
        <w:rPr>
          <w:rFonts w:asciiTheme="majorBidi" w:eastAsia="Times New Roman" w:hAnsiTheme="majorBidi" w:cstheme="majorBidi"/>
          <w:bCs/>
          <w:szCs w:val="24"/>
        </w:rPr>
      </w:pPr>
      <w:r>
        <w:rPr>
          <w:rFonts w:asciiTheme="majorBidi" w:eastAsia="Times New Roman" w:hAnsiTheme="majorBidi" w:cstheme="majorBidi"/>
          <w:bCs/>
          <w:szCs w:val="24"/>
        </w:rPr>
        <w:t>[9] </w:t>
      </w:r>
      <w:r w:rsidR="006820AF">
        <w:rPr>
          <w:rFonts w:asciiTheme="majorBidi" w:eastAsia="Times New Roman" w:hAnsiTheme="majorBidi" w:cstheme="majorBidi"/>
          <w:bCs/>
          <w:szCs w:val="24"/>
        </w:rPr>
        <w:t xml:space="preserve">Senāts atzīst par pamatotu kasācijas protesta argumentu </w:t>
      </w:r>
      <w:r w:rsidR="00F82A46">
        <w:rPr>
          <w:rFonts w:asciiTheme="majorBidi" w:eastAsia="Times New Roman" w:hAnsiTheme="majorBidi" w:cstheme="majorBidi"/>
          <w:bCs/>
          <w:szCs w:val="24"/>
        </w:rPr>
        <w:t xml:space="preserve">par </w:t>
      </w:r>
      <w:r w:rsidR="006820AF">
        <w:rPr>
          <w:rFonts w:asciiTheme="majorBidi" w:eastAsia="Times New Roman" w:hAnsiTheme="majorBidi" w:cstheme="majorBidi"/>
          <w:bCs/>
          <w:szCs w:val="24"/>
        </w:rPr>
        <w:t>apelācijas instances tiesas pieļauto Kriminālprocesa likuma 130.</w:t>
      </w:r>
      <w:r w:rsidR="00F4082F">
        <w:rPr>
          <w:rFonts w:asciiTheme="majorBidi" w:eastAsia="Times New Roman" w:hAnsiTheme="majorBidi" w:cstheme="majorBidi"/>
          <w:bCs/>
          <w:szCs w:val="24"/>
        </w:rPr>
        <w:t> </w:t>
      </w:r>
      <w:r w:rsidR="006820AF">
        <w:rPr>
          <w:rFonts w:asciiTheme="majorBidi" w:eastAsia="Times New Roman" w:hAnsiTheme="majorBidi" w:cstheme="majorBidi"/>
          <w:bCs/>
          <w:szCs w:val="24"/>
        </w:rPr>
        <w:t>panta pārkāpumu, atzīstot liecības par ierobežoti pieļaujamām.</w:t>
      </w:r>
    </w:p>
    <w:p w14:paraId="64E3C251" w14:textId="1B731D8E" w:rsidR="00CC34E7" w:rsidRPr="000A6207" w:rsidRDefault="00CC34E7" w:rsidP="00CC34E7">
      <w:pPr>
        <w:spacing w:after="0" w:line="276" w:lineRule="auto"/>
        <w:ind w:firstLine="720"/>
        <w:jc w:val="both"/>
        <w:rPr>
          <w:rFonts w:cs="Times New Roman"/>
          <w:szCs w:val="24"/>
        </w:rPr>
      </w:pPr>
      <w:r w:rsidRPr="000A6207">
        <w:rPr>
          <w:rFonts w:cs="Times New Roman"/>
          <w:szCs w:val="24"/>
        </w:rPr>
        <w:t>Kriminālprocesa likuma 130. panta pirmā daļa noteic, ka kriminālprocesa laikā iegūtās ziņas par faktiem ir pieļaujams izmantot kā pierādījumus, ja tās iegūtas un procesuāli nostiprinātas šajā likumā noteiktajā kārtībā. Atbilstoši minētā panta trešajai daļai ziņas par faktiem, kuras iegūtas, pieļaujot citus procesuālos pārkāpumus, uzskatāmas par ierobežoti pieļaujamām un var tikt izmantotas pierādīšanā tikai tādā gadījumā, ja pieļautie procesuālie pārkāpumi ir nebūtiski vai var tikt novērsti, tie nevarēja ietekmēt iegūto ziņu patiesumu vai ja to ticamību apstiprina pārējās procesā iegūtās ziņas.</w:t>
      </w:r>
    </w:p>
    <w:p w14:paraId="0C5D2FB9" w14:textId="0745CB8F" w:rsidR="00CB3071" w:rsidRPr="009C161B" w:rsidRDefault="00CB3071" w:rsidP="00CB3071">
      <w:pPr>
        <w:spacing w:after="0" w:line="276" w:lineRule="auto"/>
        <w:ind w:firstLine="720"/>
        <w:jc w:val="both"/>
        <w:rPr>
          <w:rFonts w:eastAsia="Times New Roman" w:cs="Times New Roman"/>
          <w:bCs/>
          <w:szCs w:val="24"/>
        </w:rPr>
      </w:pPr>
      <w:r w:rsidRPr="009C161B">
        <w:rPr>
          <w:rFonts w:eastAsia="Times New Roman" w:cs="Times New Roman"/>
          <w:bCs/>
          <w:szCs w:val="24"/>
        </w:rPr>
        <w:t xml:space="preserve">Senāts jau iepriekš ir atzinis, ka </w:t>
      </w:r>
      <w:r w:rsidRPr="009C161B">
        <w:rPr>
          <w:rFonts w:cs="Times New Roman"/>
          <w:szCs w:val="24"/>
        </w:rPr>
        <w:t xml:space="preserve">Latvijā atzītajā tiesību doktrīnā nav izmantojama „saindētā koka augļu” teorija </w:t>
      </w:r>
      <w:proofErr w:type="gramStart"/>
      <w:r w:rsidRPr="009C161B">
        <w:rPr>
          <w:rFonts w:cs="Times New Roman"/>
          <w:szCs w:val="24"/>
        </w:rPr>
        <w:t>(</w:t>
      </w:r>
      <w:proofErr w:type="gramEnd"/>
      <w:r w:rsidRPr="00DB4D51">
        <w:rPr>
          <w:rFonts w:cs="Times New Roman"/>
          <w:i/>
          <w:iCs/>
          <w:szCs w:val="24"/>
        </w:rPr>
        <w:t>Senāta 2022. gada 6. septembra lēmums lietā Nr. SKK</w:t>
      </w:r>
      <w:r w:rsidR="009C358A">
        <w:rPr>
          <w:rFonts w:cs="Times New Roman"/>
          <w:i/>
          <w:iCs/>
          <w:szCs w:val="24"/>
        </w:rPr>
        <w:noBreakHyphen/>
      </w:r>
      <w:r w:rsidRPr="00DB4D51">
        <w:rPr>
          <w:rFonts w:cs="Times New Roman"/>
          <w:i/>
          <w:iCs/>
          <w:szCs w:val="24"/>
        </w:rPr>
        <w:t xml:space="preserve">29/2022, </w:t>
      </w:r>
      <w:hyperlink r:id="rId11" w:history="1">
        <w:r w:rsidRPr="00DB4D51">
          <w:rPr>
            <w:rStyle w:val="Hyperlink"/>
            <w:rFonts w:cs="Times New Roman"/>
            <w:i/>
            <w:iCs/>
            <w:szCs w:val="24"/>
          </w:rPr>
          <w:t>ECLI:LV:AT:2022:0906.11360006513.7.L</w:t>
        </w:r>
      </w:hyperlink>
      <w:r w:rsidRPr="00DB4D51">
        <w:rPr>
          <w:rFonts w:cs="Times New Roman"/>
          <w:i/>
          <w:iCs/>
          <w:color w:val="000081"/>
          <w:szCs w:val="24"/>
        </w:rPr>
        <w:t xml:space="preserve">, </w:t>
      </w:r>
      <w:r w:rsidRPr="00DB4D51">
        <w:rPr>
          <w:rFonts w:cs="Times New Roman"/>
          <w:i/>
          <w:iCs/>
          <w:szCs w:val="24"/>
        </w:rPr>
        <w:t>12.3</w:t>
      </w:r>
      <w:r>
        <w:rPr>
          <w:rFonts w:cs="Times New Roman"/>
          <w:i/>
          <w:iCs/>
          <w:szCs w:val="24"/>
        </w:rPr>
        <w:t>.</w:t>
      </w:r>
      <w:r w:rsidRPr="00DB4D51">
        <w:rPr>
          <w:rFonts w:cs="Times New Roman"/>
          <w:i/>
          <w:iCs/>
          <w:szCs w:val="24"/>
        </w:rPr>
        <w:t> punkts, 2021. gada 10. maija lēmums lietā Nr. SKK</w:t>
      </w:r>
      <w:r w:rsidR="004B045A">
        <w:rPr>
          <w:rFonts w:cs="Times New Roman"/>
          <w:i/>
          <w:iCs/>
          <w:szCs w:val="24"/>
        </w:rPr>
        <w:noBreakHyphen/>
      </w:r>
      <w:r w:rsidRPr="00DB4D51">
        <w:rPr>
          <w:rFonts w:cs="Times New Roman"/>
          <w:i/>
          <w:iCs/>
          <w:szCs w:val="24"/>
        </w:rPr>
        <w:t xml:space="preserve">25/2021, </w:t>
      </w:r>
      <w:hyperlink r:id="rId12" w:history="1">
        <w:r w:rsidRPr="00DB4D51">
          <w:rPr>
            <w:rStyle w:val="Hyperlink"/>
            <w:rFonts w:cs="Times New Roman"/>
            <w:i/>
            <w:iCs/>
            <w:szCs w:val="24"/>
          </w:rPr>
          <w:t>ECLI:LV:AT:2021:0510.11096061617.10.L</w:t>
        </w:r>
      </w:hyperlink>
      <w:r w:rsidRPr="00DB4D51">
        <w:rPr>
          <w:rFonts w:cs="Times New Roman"/>
          <w:i/>
          <w:iCs/>
          <w:szCs w:val="24"/>
        </w:rPr>
        <w:t>, 8.5</w:t>
      </w:r>
      <w:r>
        <w:rPr>
          <w:rFonts w:cs="Times New Roman"/>
          <w:i/>
          <w:iCs/>
          <w:szCs w:val="24"/>
        </w:rPr>
        <w:t>.</w:t>
      </w:r>
      <w:r w:rsidRPr="00DB4D51">
        <w:rPr>
          <w:rFonts w:cs="Times New Roman"/>
          <w:i/>
          <w:iCs/>
          <w:szCs w:val="24"/>
        </w:rPr>
        <w:t> punkts,</w:t>
      </w:r>
      <w:r w:rsidR="009C358A">
        <w:rPr>
          <w:rFonts w:cs="Times New Roman"/>
          <w:i/>
          <w:iCs/>
          <w:szCs w:val="24"/>
        </w:rPr>
        <w:t xml:space="preserve"> </w:t>
      </w:r>
      <w:r w:rsidRPr="00DB4D51">
        <w:rPr>
          <w:rFonts w:cs="Times New Roman"/>
          <w:i/>
          <w:iCs/>
          <w:szCs w:val="24"/>
        </w:rPr>
        <w:t>2019. gada 7. novembra lēmums lietā Nr. SKK</w:t>
      </w:r>
      <w:r w:rsidR="004344BC">
        <w:rPr>
          <w:rFonts w:cs="Times New Roman"/>
          <w:i/>
          <w:iCs/>
          <w:szCs w:val="24"/>
        </w:rPr>
        <w:noBreakHyphen/>
      </w:r>
      <w:r w:rsidRPr="00DB4D51">
        <w:rPr>
          <w:rFonts w:cs="Times New Roman"/>
          <w:i/>
          <w:iCs/>
          <w:szCs w:val="24"/>
        </w:rPr>
        <w:t xml:space="preserve">325/2019. </w:t>
      </w:r>
      <w:hyperlink r:id="rId13" w:history="1">
        <w:r w:rsidRPr="00DB4D51">
          <w:rPr>
            <w:rStyle w:val="Hyperlink"/>
            <w:rFonts w:cs="Times New Roman"/>
            <w:i/>
            <w:iCs/>
            <w:szCs w:val="24"/>
          </w:rPr>
          <w:t>ECLI:LV:AT:2019:1107.11087064813.5.L</w:t>
        </w:r>
      </w:hyperlink>
      <w:r w:rsidRPr="00DB4D51">
        <w:rPr>
          <w:rFonts w:cs="Times New Roman"/>
          <w:i/>
          <w:iCs/>
          <w:color w:val="000081"/>
          <w:szCs w:val="24"/>
        </w:rPr>
        <w:t>,</w:t>
      </w:r>
      <w:r w:rsidRPr="00DB4D51">
        <w:rPr>
          <w:rFonts w:cs="Times New Roman"/>
          <w:i/>
          <w:iCs/>
          <w:szCs w:val="24"/>
        </w:rPr>
        <w:t xml:space="preserve"> 7.2</w:t>
      </w:r>
      <w:r>
        <w:rPr>
          <w:rFonts w:cs="Times New Roman"/>
          <w:i/>
          <w:iCs/>
          <w:szCs w:val="24"/>
        </w:rPr>
        <w:t>.</w:t>
      </w:r>
      <w:r w:rsidRPr="00DB4D51">
        <w:rPr>
          <w:rFonts w:cs="Times New Roman"/>
          <w:i/>
          <w:iCs/>
          <w:szCs w:val="24"/>
        </w:rPr>
        <w:t> punkts, 2015. gada 19. marta lēmums lietā Nr. SKK-17/2015, 11120115906</w:t>
      </w:r>
      <w:r w:rsidRPr="009C161B">
        <w:rPr>
          <w:rFonts w:cs="Times New Roman"/>
          <w:szCs w:val="24"/>
        </w:rPr>
        <w:t>)</w:t>
      </w:r>
      <w:r>
        <w:rPr>
          <w:rFonts w:cs="Times New Roman"/>
          <w:szCs w:val="24"/>
        </w:rPr>
        <w:t>.</w:t>
      </w:r>
    </w:p>
    <w:p w14:paraId="10A28DAC" w14:textId="1618EEAD" w:rsidR="00CC34E7" w:rsidRDefault="00CC34E7" w:rsidP="00741CE2">
      <w:pPr>
        <w:spacing w:after="0" w:line="276" w:lineRule="auto"/>
        <w:ind w:firstLine="720"/>
        <w:jc w:val="both"/>
      </w:pPr>
      <w:r w:rsidRPr="000A6207">
        <w:t xml:space="preserve">Kā norādījusi </w:t>
      </w:r>
      <w:r>
        <w:t>profesore K.</w:t>
      </w:r>
      <w:r w:rsidR="00741CE2">
        <w:t> </w:t>
      </w:r>
      <w:r>
        <w:t>Strada-Rozenberga,</w:t>
      </w:r>
      <w:r w:rsidR="00741CE2">
        <w:t xml:space="preserve"> </w:t>
      </w:r>
      <w:proofErr w:type="gramStart"/>
      <w:r w:rsidR="00741CE2">
        <w:t>ar pierādījumu pieļaujamību saistīta</w:t>
      </w:r>
      <w:proofErr w:type="gramEnd"/>
      <w:r>
        <w:t xml:space="preserve"> ir problēma par tādu ziņu izmantošanu pierādīšanā, kuras pašas nav iegūtas, pieļaujot procesuālus pārkāpumus, bet kuru iegūšanas iespējamību ir nosacījušas procesuāli defektīvas ziņas. Šo jautājumu skata tā sauktā saindētā koka augļu doktrīna. [..] Ar „saindētā koka augļu” gadījumu apzīmē situācijas, kad pašas ziņas iegūtas procesuāli pareizi, taču to iegūšana ir saistīta ar citu ziņu izmantošanu, kas savukārt ir procesuāli defektīvas. Saskaņā ar minēto doktrīnu arī pēdējās ziņas uzskatāmas par nepieļaujamām. „Saindētā koka augļu” doktrīnu pazīst daudzās valstīs, ka, piemēram, ASV un Nīderlandē. Tomēr daudzās Rietumeiropas valstīs, kā, piemēram, Dānijā, Anglijā un Velsā šāda doktrīna nedarbojas. [..] „Saindētā koka augļu” doktrīnu Latvijā patlaban neatzīst. Līdz ar to pierādījumi, kas iegūti, izmantojot procesuāli defektīvas ziņas, ir pieļaujami </w:t>
      </w:r>
      <w:proofErr w:type="gramStart"/>
      <w:r>
        <w:t>(</w:t>
      </w:r>
      <w:proofErr w:type="gramEnd"/>
      <w:r w:rsidRPr="00DB4D51">
        <w:rPr>
          <w:i/>
          <w:iCs/>
        </w:rPr>
        <w:t>Strada</w:t>
      </w:r>
      <w:r w:rsidR="004B045A">
        <w:rPr>
          <w:i/>
          <w:iCs/>
        </w:rPr>
        <w:noBreakHyphen/>
      </w:r>
      <w:r w:rsidRPr="00DB4D51">
        <w:rPr>
          <w:i/>
          <w:iCs/>
        </w:rPr>
        <w:t>Rozenberga</w:t>
      </w:r>
      <w:r w:rsidR="004B045A">
        <w:rPr>
          <w:i/>
          <w:iCs/>
        </w:rPr>
        <w:t> </w:t>
      </w:r>
      <w:r w:rsidRPr="00DB4D51">
        <w:rPr>
          <w:i/>
          <w:iCs/>
        </w:rPr>
        <w:t>K. Pierādīšanas teorija kriminālprocesā. Rīga:</w:t>
      </w:r>
      <w:r w:rsidR="00741CE2">
        <w:rPr>
          <w:i/>
          <w:iCs/>
        </w:rPr>
        <w:t> </w:t>
      </w:r>
      <w:r>
        <w:rPr>
          <w:rFonts w:cs="Times New Roman"/>
          <w:i/>
          <w:iCs/>
        </w:rPr>
        <w:t>„</w:t>
      </w:r>
      <w:r w:rsidRPr="00DB4D51">
        <w:rPr>
          <w:i/>
          <w:iCs/>
        </w:rPr>
        <w:t>Biznesa augstskola Turība”</w:t>
      </w:r>
      <w:r>
        <w:rPr>
          <w:i/>
          <w:iCs/>
        </w:rPr>
        <w:t xml:space="preserve"> </w:t>
      </w:r>
      <w:r w:rsidRPr="00DB4D51">
        <w:rPr>
          <w:i/>
          <w:iCs/>
        </w:rPr>
        <w:t>SIA, 2002</w:t>
      </w:r>
      <w:r>
        <w:rPr>
          <w:i/>
          <w:iCs/>
        </w:rPr>
        <w:t>,</w:t>
      </w:r>
      <w:r w:rsidRPr="00DB4D51">
        <w:rPr>
          <w:i/>
          <w:iCs/>
        </w:rPr>
        <w:t xml:space="preserve"> 231.</w:t>
      </w:r>
      <w:r w:rsidR="00741CE2">
        <w:rPr>
          <w:i/>
          <w:iCs/>
        </w:rPr>
        <w:t>–</w:t>
      </w:r>
      <w:r w:rsidRPr="00DB4D51">
        <w:rPr>
          <w:i/>
          <w:iCs/>
        </w:rPr>
        <w:t>232.</w:t>
      </w:r>
      <w:r w:rsidR="00741CE2">
        <w:rPr>
          <w:i/>
          <w:iCs/>
        </w:rPr>
        <w:t> </w:t>
      </w:r>
      <w:r w:rsidRPr="00DB4D51">
        <w:rPr>
          <w:i/>
          <w:iCs/>
        </w:rPr>
        <w:t>lpp.</w:t>
      </w:r>
      <w:r>
        <w:t xml:space="preserve">). </w:t>
      </w:r>
    </w:p>
    <w:p w14:paraId="5E5B494E" w14:textId="19548853" w:rsidR="00AD05ED" w:rsidRDefault="002635E5" w:rsidP="00AD05ED">
      <w:pPr>
        <w:autoSpaceDE w:val="0"/>
        <w:autoSpaceDN w:val="0"/>
        <w:adjustRightInd w:val="0"/>
        <w:spacing w:after="0" w:line="276" w:lineRule="auto"/>
        <w:ind w:firstLine="720"/>
        <w:jc w:val="both"/>
        <w:rPr>
          <w:rFonts w:cs="Times New Roman"/>
          <w:szCs w:val="24"/>
        </w:rPr>
      </w:pPr>
      <w:r>
        <w:rPr>
          <w:rFonts w:asciiTheme="majorBidi" w:eastAsia="Times New Roman" w:hAnsiTheme="majorBidi" w:cstheme="majorBidi"/>
          <w:bCs/>
          <w:szCs w:val="24"/>
        </w:rPr>
        <w:t>Senāts konstatē, ka a</w:t>
      </w:r>
      <w:r w:rsidR="00671F1E" w:rsidRPr="006979D6">
        <w:rPr>
          <w:rFonts w:cs="Times New Roman"/>
          <w:szCs w:val="24"/>
        </w:rPr>
        <w:t xml:space="preserve">pelācijas instances tiesa, </w:t>
      </w:r>
      <w:r w:rsidR="00671F1E">
        <w:rPr>
          <w:rFonts w:cs="Times New Roman"/>
          <w:szCs w:val="24"/>
        </w:rPr>
        <w:t>iz</w:t>
      </w:r>
      <w:r w:rsidR="00671F1E" w:rsidRPr="006979D6">
        <w:rPr>
          <w:rFonts w:cs="Times New Roman"/>
          <w:szCs w:val="24"/>
        </w:rPr>
        <w:t xml:space="preserve">vērtējot </w:t>
      </w:r>
      <w:r w:rsidR="00671F1E">
        <w:rPr>
          <w:rFonts w:cs="Times New Roman"/>
          <w:szCs w:val="24"/>
        </w:rPr>
        <w:t xml:space="preserve">lietā iegūtos </w:t>
      </w:r>
      <w:r w:rsidR="00671F1E" w:rsidRPr="006979D6">
        <w:rPr>
          <w:rFonts w:cs="Times New Roman"/>
          <w:szCs w:val="24"/>
        </w:rPr>
        <w:t>pierādījumus, ar kuriem pirmās instances tiesa</w:t>
      </w:r>
      <w:r w:rsidR="00671F1E">
        <w:rPr>
          <w:rFonts w:cs="Times New Roman"/>
          <w:szCs w:val="24"/>
        </w:rPr>
        <w:t xml:space="preserve"> </w:t>
      </w:r>
      <w:r w:rsidR="00671F1E" w:rsidRPr="006979D6">
        <w:rPr>
          <w:rFonts w:cs="Times New Roman"/>
          <w:szCs w:val="24"/>
        </w:rPr>
        <w:t>pamato</w:t>
      </w:r>
      <w:r w:rsidR="00671F1E">
        <w:rPr>
          <w:rFonts w:cs="Times New Roman"/>
          <w:szCs w:val="24"/>
        </w:rPr>
        <w:t>jusi</w:t>
      </w:r>
      <w:r w:rsidR="00671F1E" w:rsidRPr="006979D6">
        <w:rPr>
          <w:rFonts w:cs="Times New Roman"/>
          <w:szCs w:val="24"/>
        </w:rPr>
        <w:t xml:space="preserve"> apsūdzēt</w:t>
      </w:r>
      <w:r w:rsidR="00671F1E">
        <w:rPr>
          <w:rFonts w:cs="Times New Roman"/>
          <w:szCs w:val="24"/>
        </w:rPr>
        <w:t xml:space="preserve">ā </w:t>
      </w:r>
      <w:r w:rsidR="001A16E4">
        <w:rPr>
          <w:rFonts w:cs="Times New Roman"/>
          <w:szCs w:val="24"/>
        </w:rPr>
        <w:t>[pers. A]</w:t>
      </w:r>
      <w:r w:rsidR="00671F1E" w:rsidRPr="006979D6">
        <w:rPr>
          <w:rFonts w:cs="Times New Roman"/>
          <w:szCs w:val="24"/>
        </w:rPr>
        <w:t xml:space="preserve"> vainīgum</w:t>
      </w:r>
      <w:r w:rsidR="00671F1E">
        <w:rPr>
          <w:rFonts w:cs="Times New Roman"/>
          <w:szCs w:val="24"/>
        </w:rPr>
        <w:t>u</w:t>
      </w:r>
      <w:r w:rsidR="00671F1E" w:rsidRPr="006979D6">
        <w:rPr>
          <w:rFonts w:cs="Times New Roman"/>
          <w:szCs w:val="24"/>
        </w:rPr>
        <w:t xml:space="preserve"> </w:t>
      </w:r>
      <w:r w:rsidR="00671F1E">
        <w:rPr>
          <w:rFonts w:cs="Times New Roman"/>
          <w:szCs w:val="24"/>
        </w:rPr>
        <w:t xml:space="preserve">inkriminētajā </w:t>
      </w:r>
      <w:r w:rsidR="00671F1E" w:rsidRPr="006979D6">
        <w:rPr>
          <w:rFonts w:cs="Times New Roman"/>
          <w:szCs w:val="24"/>
        </w:rPr>
        <w:t>noziedzīg</w:t>
      </w:r>
      <w:r w:rsidR="00671F1E">
        <w:rPr>
          <w:rFonts w:cs="Times New Roman"/>
          <w:szCs w:val="24"/>
        </w:rPr>
        <w:t>ajā</w:t>
      </w:r>
      <w:r w:rsidR="00671F1E" w:rsidRPr="006979D6">
        <w:rPr>
          <w:rFonts w:cs="Times New Roman"/>
          <w:szCs w:val="24"/>
        </w:rPr>
        <w:t xml:space="preserve"> nodarījumā, atzin</w:t>
      </w:r>
      <w:r w:rsidR="00671F1E">
        <w:rPr>
          <w:rFonts w:cs="Times New Roman"/>
          <w:szCs w:val="24"/>
        </w:rPr>
        <w:t>usi</w:t>
      </w:r>
      <w:r w:rsidR="00671F1E" w:rsidRPr="006979D6">
        <w:rPr>
          <w:rFonts w:cs="Times New Roman"/>
          <w:szCs w:val="24"/>
        </w:rPr>
        <w:t xml:space="preserve">, ka liecinieku, tajā skaitā </w:t>
      </w:r>
      <w:r w:rsidR="001A16E4">
        <w:rPr>
          <w:rFonts w:cs="Times New Roman"/>
          <w:szCs w:val="24"/>
        </w:rPr>
        <w:t>[pers. C]</w:t>
      </w:r>
      <w:r w:rsidR="00671F1E" w:rsidRPr="006979D6">
        <w:rPr>
          <w:rFonts w:cs="Times New Roman"/>
          <w:szCs w:val="24"/>
        </w:rPr>
        <w:t xml:space="preserve"> pirmstiesas </w:t>
      </w:r>
      <w:r w:rsidR="00671F1E">
        <w:rPr>
          <w:rFonts w:cs="Times New Roman"/>
          <w:szCs w:val="24"/>
        </w:rPr>
        <w:t>kriminālproces</w:t>
      </w:r>
      <w:r w:rsidR="00671F1E" w:rsidRPr="006979D6">
        <w:rPr>
          <w:rFonts w:cs="Times New Roman"/>
          <w:szCs w:val="24"/>
        </w:rPr>
        <w:t>ā 2016. gada 27. aprī</w:t>
      </w:r>
      <w:r w:rsidR="00671F1E">
        <w:rPr>
          <w:rFonts w:cs="Times New Roman"/>
          <w:szCs w:val="24"/>
        </w:rPr>
        <w:t>ļa</w:t>
      </w:r>
      <w:r w:rsidR="00671F1E" w:rsidRPr="006979D6">
        <w:rPr>
          <w:rFonts w:cs="Times New Roman"/>
          <w:szCs w:val="24"/>
        </w:rPr>
        <w:t xml:space="preserve"> liecības</w:t>
      </w:r>
      <w:r w:rsidR="00671F1E">
        <w:rPr>
          <w:rFonts w:cs="Times New Roman"/>
          <w:szCs w:val="24"/>
        </w:rPr>
        <w:t xml:space="preserve"> un</w:t>
      </w:r>
      <w:r w:rsidR="00671F1E" w:rsidRPr="006979D6">
        <w:rPr>
          <w:rFonts w:cs="Times New Roman"/>
          <w:szCs w:val="24"/>
        </w:rPr>
        <w:t xml:space="preserve"> </w:t>
      </w:r>
      <w:proofErr w:type="gramStart"/>
      <w:r w:rsidR="001A16E4">
        <w:rPr>
          <w:rFonts w:cs="Times New Roman"/>
          <w:szCs w:val="24"/>
        </w:rPr>
        <w:t>[</w:t>
      </w:r>
      <w:proofErr w:type="gramEnd"/>
      <w:r w:rsidR="001A16E4">
        <w:rPr>
          <w:rFonts w:cs="Times New Roman"/>
          <w:szCs w:val="24"/>
        </w:rPr>
        <w:t>pers. D]</w:t>
      </w:r>
      <w:r w:rsidR="00671F1E" w:rsidRPr="006979D6">
        <w:rPr>
          <w:rFonts w:cs="Times New Roman"/>
          <w:szCs w:val="24"/>
        </w:rPr>
        <w:t xml:space="preserve"> liecības ir vērtējamas kā ierobežoti pieļaujamas Kriminālprocesa likuma 130.</w:t>
      </w:r>
      <w:r w:rsidR="00F4082F">
        <w:rPr>
          <w:rFonts w:cs="Times New Roman"/>
          <w:szCs w:val="24"/>
        </w:rPr>
        <w:t> </w:t>
      </w:r>
      <w:r w:rsidR="00671F1E" w:rsidRPr="006979D6">
        <w:rPr>
          <w:rFonts w:cs="Times New Roman"/>
          <w:szCs w:val="24"/>
        </w:rPr>
        <w:t xml:space="preserve">panta izpratnē, proti, pierādīšanā nav izmantojama liecinieku liecību daļa, kas attiecas uz noklausītām telefonsarunām. Arī apsūdzētā </w:t>
      </w:r>
      <w:r w:rsidR="001A16E4">
        <w:rPr>
          <w:rFonts w:cs="Times New Roman"/>
          <w:szCs w:val="24"/>
        </w:rPr>
        <w:t>[pers. A]</w:t>
      </w:r>
      <w:r w:rsidR="00671F1E" w:rsidRPr="006979D6">
        <w:rPr>
          <w:rFonts w:cs="Times New Roman"/>
          <w:szCs w:val="24"/>
        </w:rPr>
        <w:t xml:space="preserve"> pirmstiesas </w:t>
      </w:r>
      <w:r w:rsidR="00671F1E">
        <w:rPr>
          <w:rFonts w:cs="Times New Roman"/>
          <w:szCs w:val="24"/>
        </w:rPr>
        <w:t>kriminālprocesā</w:t>
      </w:r>
      <w:r w:rsidR="00671F1E" w:rsidRPr="006979D6">
        <w:rPr>
          <w:rFonts w:cs="Times New Roman"/>
          <w:szCs w:val="24"/>
        </w:rPr>
        <w:t xml:space="preserve"> 2016. gada 28. </w:t>
      </w:r>
      <w:r w:rsidR="00671F1E" w:rsidRPr="005D4DC2">
        <w:rPr>
          <w:rFonts w:cs="Times New Roman"/>
          <w:szCs w:val="24"/>
        </w:rPr>
        <w:t xml:space="preserve">janvāra liecībās sniegtās ziņas attiecas uz sankcionētajām operatīvā pasākuma ietvaros slepeni noklausītajām telefona sarunām, kas nav izmantojamas pierādīšanā </w:t>
      </w:r>
      <w:r w:rsidR="00671F1E">
        <w:rPr>
          <w:rFonts w:cs="Times New Roman"/>
          <w:szCs w:val="24"/>
        </w:rPr>
        <w:t>izskatāmajā lietā</w:t>
      </w:r>
      <w:r w:rsidR="00671F1E" w:rsidRPr="005D4DC2">
        <w:rPr>
          <w:rFonts w:cs="Times New Roman"/>
          <w:szCs w:val="24"/>
        </w:rPr>
        <w:t>.</w:t>
      </w:r>
    </w:p>
    <w:p w14:paraId="482A1EEB" w14:textId="5CC6C306" w:rsidR="00DA07AF" w:rsidRDefault="00DA07AF" w:rsidP="002635E5">
      <w:pPr>
        <w:autoSpaceDE w:val="0"/>
        <w:autoSpaceDN w:val="0"/>
        <w:adjustRightInd w:val="0"/>
        <w:spacing w:after="0" w:line="276" w:lineRule="auto"/>
        <w:ind w:firstLine="720"/>
        <w:jc w:val="both"/>
        <w:rPr>
          <w:rFonts w:asciiTheme="majorBidi" w:hAnsiTheme="majorBidi" w:cstheme="majorBidi"/>
          <w:szCs w:val="24"/>
        </w:rPr>
      </w:pPr>
      <w:r w:rsidRPr="00462F28">
        <w:rPr>
          <w:rFonts w:asciiTheme="majorBidi" w:hAnsiTheme="majorBidi" w:cstheme="majorBidi"/>
          <w:szCs w:val="24"/>
        </w:rPr>
        <w:t>Senāts šajā nolēmumā jau iepriekš norādīja uz tiesību zinātnē un judikatūrā pausto atziņu</w:t>
      </w:r>
      <w:r w:rsidRPr="00462F28">
        <w:rPr>
          <w:rFonts w:eastAsia="Times New Roman" w:cs="Times New Roman"/>
          <w:bCs/>
          <w:szCs w:val="24"/>
        </w:rPr>
        <w:t xml:space="preserve"> par to, ka </w:t>
      </w:r>
      <w:r w:rsidRPr="00462F28">
        <w:rPr>
          <w:rFonts w:cs="Times New Roman"/>
          <w:szCs w:val="24"/>
        </w:rPr>
        <w:t>Latvijā atzītajā tiesību doktrīnā nav izmantojama „saindētā koka augļu” teorija</w:t>
      </w:r>
      <w:r w:rsidR="00E035A5">
        <w:rPr>
          <w:rFonts w:cs="Times New Roman"/>
          <w:szCs w:val="24"/>
        </w:rPr>
        <w:t>,</w:t>
      </w:r>
      <w:r w:rsidRPr="00462F28">
        <w:rPr>
          <w:rFonts w:asciiTheme="majorBidi" w:hAnsiTheme="majorBidi" w:cstheme="majorBidi"/>
          <w:szCs w:val="24"/>
        </w:rPr>
        <w:t xml:space="preserve"> un pilnībā pievienojas tai. </w:t>
      </w:r>
      <w:r w:rsidR="005730D2" w:rsidRPr="00462F28">
        <w:rPr>
          <w:rFonts w:asciiTheme="majorBidi" w:hAnsiTheme="majorBidi" w:cstheme="majorBidi"/>
          <w:szCs w:val="24"/>
        </w:rPr>
        <w:t xml:space="preserve">Senāts konstatē, ka </w:t>
      </w:r>
      <w:r w:rsidR="00561243" w:rsidRPr="00462F28">
        <w:rPr>
          <w:rFonts w:asciiTheme="majorBidi" w:hAnsiTheme="majorBidi" w:cstheme="majorBidi"/>
          <w:szCs w:val="24"/>
        </w:rPr>
        <w:t>tiesa nav konstatējusi Kriminālprocesa likuma 130.</w:t>
      </w:r>
      <w:r w:rsidR="003A0EE7" w:rsidRPr="00462F28">
        <w:rPr>
          <w:rFonts w:asciiTheme="majorBidi" w:hAnsiTheme="majorBidi" w:cstheme="majorBidi"/>
          <w:szCs w:val="24"/>
        </w:rPr>
        <w:t> </w:t>
      </w:r>
      <w:r w:rsidR="00561243" w:rsidRPr="00462F28">
        <w:t xml:space="preserve">panta trešajā daļā norādītos kritērijus pierādījumu atzīšanai par ierobežoti pieļaujamiem, bet savus atzinumus pamatojusi tikai ar </w:t>
      </w:r>
      <w:r w:rsidR="00561243" w:rsidRPr="00462F28">
        <w:rPr>
          <w:rFonts w:asciiTheme="majorBidi" w:hAnsiTheme="majorBidi" w:cstheme="majorBidi"/>
          <w:szCs w:val="24"/>
        </w:rPr>
        <w:t>„saindētā koka augļu” teoriju, k</w:t>
      </w:r>
      <w:r w:rsidR="003A0EE7" w:rsidRPr="00462F28">
        <w:rPr>
          <w:rFonts w:asciiTheme="majorBidi" w:hAnsiTheme="majorBidi" w:cstheme="majorBidi"/>
          <w:szCs w:val="24"/>
        </w:rPr>
        <w:t>as</w:t>
      </w:r>
      <w:r w:rsidR="00561243" w:rsidRPr="00462F28">
        <w:rPr>
          <w:rFonts w:asciiTheme="majorBidi" w:hAnsiTheme="majorBidi" w:cstheme="majorBidi"/>
          <w:szCs w:val="24"/>
        </w:rPr>
        <w:t>, kā norādīts iepriekš, atzīstama par nepiemērojamu.</w:t>
      </w:r>
    </w:p>
    <w:p w14:paraId="6B045816" w14:textId="456F8CE1" w:rsidR="003A0EE7" w:rsidRPr="00462F28" w:rsidRDefault="004809DF" w:rsidP="002635E5">
      <w:pPr>
        <w:autoSpaceDE w:val="0"/>
        <w:autoSpaceDN w:val="0"/>
        <w:adjustRightInd w:val="0"/>
        <w:spacing w:after="0" w:line="276" w:lineRule="auto"/>
        <w:ind w:firstLine="720"/>
        <w:jc w:val="both"/>
      </w:pPr>
      <w:r w:rsidRPr="00462F28">
        <w:rPr>
          <w:rFonts w:asciiTheme="majorBidi" w:hAnsiTheme="majorBidi" w:cstheme="majorBidi"/>
          <w:szCs w:val="24"/>
        </w:rPr>
        <w:t xml:space="preserve">Tādējādi Senāts atzīst, ka </w:t>
      </w:r>
      <w:r w:rsidR="003A0EE7" w:rsidRPr="00462F28">
        <w:rPr>
          <w:rFonts w:asciiTheme="majorBidi" w:hAnsiTheme="majorBidi" w:cstheme="majorBidi"/>
          <w:szCs w:val="24"/>
        </w:rPr>
        <w:t xml:space="preserve">apelācijas instances tiesa pieļāvusi Kriminālprocesa likuma </w:t>
      </w:r>
      <w:bookmarkStart w:id="8" w:name="_Hlk148104420"/>
      <w:r w:rsidR="003A0EE7" w:rsidRPr="00462F28">
        <w:rPr>
          <w:rFonts w:asciiTheme="majorBidi" w:hAnsiTheme="majorBidi" w:cstheme="majorBidi"/>
          <w:szCs w:val="24"/>
        </w:rPr>
        <w:t xml:space="preserve">130. panta trešās daļas </w:t>
      </w:r>
      <w:bookmarkEnd w:id="8"/>
      <w:r w:rsidR="003A0EE7" w:rsidRPr="00462F28">
        <w:rPr>
          <w:rFonts w:asciiTheme="majorBidi" w:hAnsiTheme="majorBidi" w:cstheme="majorBidi"/>
          <w:szCs w:val="24"/>
        </w:rPr>
        <w:t>pārkāpumu.</w:t>
      </w:r>
    </w:p>
    <w:p w14:paraId="655027A1" w14:textId="77777777" w:rsidR="000A6207" w:rsidRPr="00462F28" w:rsidRDefault="000A6207" w:rsidP="002635E5">
      <w:pPr>
        <w:autoSpaceDE w:val="0"/>
        <w:autoSpaceDN w:val="0"/>
        <w:adjustRightInd w:val="0"/>
        <w:spacing w:after="0" w:line="276" w:lineRule="auto"/>
        <w:ind w:firstLine="720"/>
        <w:jc w:val="both"/>
        <w:rPr>
          <w:rFonts w:cs="Times New Roman"/>
          <w:szCs w:val="24"/>
        </w:rPr>
      </w:pPr>
    </w:p>
    <w:p w14:paraId="7FDBF30A" w14:textId="1401C9BE" w:rsidR="00DB0168" w:rsidRPr="00462F28" w:rsidRDefault="00671F1E" w:rsidP="00DB0168">
      <w:pPr>
        <w:widowControl w:val="0"/>
        <w:tabs>
          <w:tab w:val="left" w:pos="709"/>
        </w:tabs>
        <w:spacing w:after="0" w:line="276" w:lineRule="auto"/>
        <w:ind w:firstLine="680"/>
        <w:jc w:val="both"/>
        <w:rPr>
          <w:rFonts w:asciiTheme="majorBidi" w:hAnsiTheme="majorBidi" w:cstheme="majorBidi"/>
          <w:szCs w:val="24"/>
        </w:rPr>
      </w:pPr>
      <w:r w:rsidRPr="00462F28">
        <w:rPr>
          <w:rFonts w:cs="Times New Roman"/>
          <w:szCs w:val="24"/>
        </w:rPr>
        <w:t>[</w:t>
      </w:r>
      <w:r w:rsidR="000A6207" w:rsidRPr="00462F28">
        <w:rPr>
          <w:rFonts w:cs="Times New Roman"/>
          <w:szCs w:val="24"/>
        </w:rPr>
        <w:t>10</w:t>
      </w:r>
      <w:r w:rsidRPr="00462F28">
        <w:rPr>
          <w:rFonts w:cs="Times New Roman"/>
          <w:szCs w:val="24"/>
        </w:rPr>
        <w:t>]</w:t>
      </w:r>
      <w:r w:rsidR="00664D36" w:rsidRPr="00462F28">
        <w:rPr>
          <w:rFonts w:cs="Times New Roman"/>
          <w:szCs w:val="24"/>
        </w:rPr>
        <w:t> </w:t>
      </w:r>
      <w:r w:rsidR="00DB0168" w:rsidRPr="00462F28">
        <w:rPr>
          <w:rFonts w:asciiTheme="majorBidi" w:hAnsiTheme="majorBidi" w:cstheme="majorBidi"/>
          <w:szCs w:val="24"/>
        </w:rPr>
        <w:t xml:space="preserve">Saskaņā ar Kriminālprocesa likuma 128. panta otro daļu to, cik ticamas ir pierādīšanā izmantojamās ziņas par faktiem, izvērtē, aplūkojot visus kriminālprocesa laikā iegūtos faktus vai ziņas par faktiem kopumā un savstarpējā sakarībā. Šā panta trešā daļa noteic, ka nevienam no pierādījumiem nav iepriekš noteikta augstāka ticamības pakāpe nekā pārējiem pierādījumiem. </w:t>
      </w:r>
    </w:p>
    <w:p w14:paraId="0B31C338" w14:textId="2B4E43F2" w:rsidR="00E26789" w:rsidRDefault="00E26789" w:rsidP="002635E5">
      <w:pPr>
        <w:autoSpaceDE w:val="0"/>
        <w:autoSpaceDN w:val="0"/>
        <w:adjustRightInd w:val="0"/>
        <w:spacing w:after="0" w:line="276" w:lineRule="auto"/>
        <w:ind w:firstLine="720"/>
        <w:jc w:val="both"/>
        <w:rPr>
          <w:rFonts w:cs="Times New Roman"/>
          <w:szCs w:val="24"/>
        </w:rPr>
      </w:pPr>
      <w:r w:rsidRPr="00462F28">
        <w:rPr>
          <w:rFonts w:cs="Times New Roman"/>
          <w:szCs w:val="24"/>
        </w:rPr>
        <w:t xml:space="preserve">Senāts konstatē, ka apelācijas instances tiesa, izvērtējot apsūdzēto </w:t>
      </w:r>
      <w:r w:rsidR="001A16E4">
        <w:rPr>
          <w:rFonts w:cs="Times New Roman"/>
          <w:szCs w:val="24"/>
        </w:rPr>
        <w:t>[pers. A]</w:t>
      </w:r>
      <w:r w:rsidRPr="00462F28">
        <w:rPr>
          <w:rFonts w:cs="Times New Roman"/>
          <w:szCs w:val="24"/>
        </w:rPr>
        <w:t xml:space="preserve"> un </w:t>
      </w:r>
      <w:r w:rsidR="001A16E4">
        <w:rPr>
          <w:rFonts w:cs="Times New Roman"/>
          <w:szCs w:val="24"/>
        </w:rPr>
        <w:t>[pers. B]</w:t>
      </w:r>
      <w:r w:rsidRPr="00462F28">
        <w:rPr>
          <w:rFonts w:cs="Times New Roman"/>
          <w:szCs w:val="24"/>
        </w:rPr>
        <w:t xml:space="preserve"> liecības, tām </w:t>
      </w:r>
      <w:r w:rsidR="00E035A5">
        <w:rPr>
          <w:rFonts w:cs="Times New Roman"/>
          <w:szCs w:val="24"/>
        </w:rPr>
        <w:t>noteikusi</w:t>
      </w:r>
      <w:r w:rsidRPr="00462F28">
        <w:rPr>
          <w:rFonts w:cs="Times New Roman"/>
          <w:szCs w:val="24"/>
        </w:rPr>
        <w:t xml:space="preserve"> augstāku ticamības pakāpi, kā arī tās nav vērtējusi kopumā un savstarpējā sakarībā ar lietā iegūtajiem citiem pierādījumiem, tajā skaitā ar netiešajiem pierādījumiem, kas attiecas uz apsūdzētā </w:t>
      </w:r>
      <w:proofErr w:type="gramStart"/>
      <w:r w:rsidR="001F26EE">
        <w:rPr>
          <w:rFonts w:cs="Times New Roman"/>
          <w:szCs w:val="24"/>
        </w:rPr>
        <w:t>[</w:t>
      </w:r>
      <w:proofErr w:type="gramEnd"/>
      <w:r w:rsidR="001F26EE">
        <w:rPr>
          <w:rFonts w:cs="Times New Roman"/>
          <w:szCs w:val="24"/>
        </w:rPr>
        <w:t>pers. A]</w:t>
      </w:r>
      <w:r w:rsidRPr="00462F28">
        <w:rPr>
          <w:rFonts w:cs="Times New Roman"/>
          <w:szCs w:val="24"/>
        </w:rPr>
        <w:t xml:space="preserve"> lomu un līdzdalību celtajā apsūdzībā un izpaudās kā inkriminēt</w:t>
      </w:r>
      <w:r w:rsidR="006154A0" w:rsidRPr="00462F28">
        <w:rPr>
          <w:rFonts w:cs="Times New Roman"/>
          <w:szCs w:val="24"/>
        </w:rPr>
        <w:t>aj</w:t>
      </w:r>
      <w:r w:rsidRPr="00462F28">
        <w:rPr>
          <w:rFonts w:cs="Times New Roman"/>
          <w:szCs w:val="24"/>
        </w:rPr>
        <w:t>ā noziedzīgajā nodarījumā iesaistīto personu koordinēšana.</w:t>
      </w:r>
    </w:p>
    <w:p w14:paraId="486A9758" w14:textId="1B652C4F" w:rsidR="000A6207" w:rsidRDefault="00CC34E7" w:rsidP="00851BF6">
      <w:pPr>
        <w:spacing w:after="0" w:line="276" w:lineRule="auto"/>
        <w:ind w:firstLine="720"/>
        <w:jc w:val="both"/>
      </w:pPr>
      <w:bookmarkStart w:id="9" w:name="_Hlk148366522"/>
      <w:r>
        <w:t>Senāts</w:t>
      </w:r>
      <w:r w:rsidR="00CF2B70">
        <w:t xml:space="preserve"> </w:t>
      </w:r>
      <w:r>
        <w:t xml:space="preserve">jau vairākkārt </w:t>
      </w:r>
      <w:r w:rsidR="00CF2B70">
        <w:t xml:space="preserve">ir </w:t>
      </w:r>
      <w:r>
        <w:t xml:space="preserve">norādījis, ka, vērtējot pierādījumu pietiekamību un ticamību, ņemams vērā Kriminālprocesa likumā noteiktais pierādīšanas </w:t>
      </w:r>
      <w:r w:rsidR="00CF2B70">
        <w:t>standarts</w:t>
      </w:r>
      <w:r>
        <w:t>, kādā jābūt pierādītiem pierādīšanas priekšmetā ietilpstošiem faktiem</w:t>
      </w:r>
      <w:bookmarkEnd w:id="9"/>
      <w:r>
        <w:t xml:space="preserve">. Kriminālprocesa likuma 124. panta piektajā daļā noteikts, ka pierādīšanas priekšmetā ietilpstošie apstākļi uzskatāmi par pierādītiem, </w:t>
      </w:r>
      <w:proofErr w:type="gramStart"/>
      <w:r>
        <w:t>ja pierādīšanas gaitā izslēgtas</w:t>
      </w:r>
      <w:proofErr w:type="gramEnd"/>
      <w:r>
        <w:t xml:space="preserve"> jebkādas saprātīgas šaubas par to esamību vai neesamību. Turklāt nevainīguma prezumpcijas elements jāpiemēro tikai pēc visu pierādījumu novērtēšanas. Tas nav piemērojams attiecībā uz atsevišķiem pierādījumiem </w:t>
      </w:r>
      <w:proofErr w:type="gramStart"/>
      <w:r>
        <w:t>(</w:t>
      </w:r>
      <w:proofErr w:type="gramEnd"/>
      <w:r w:rsidRPr="00DB4D51">
        <w:rPr>
          <w:i/>
          <w:iCs/>
        </w:rPr>
        <w:t xml:space="preserve">Senāta 2020. gada 14. maija lēmums lietā Nr. SKK-256/2020, </w:t>
      </w:r>
      <w:hyperlink r:id="rId14" w:history="1">
        <w:r w:rsidRPr="00DB4D51">
          <w:rPr>
            <w:rStyle w:val="Hyperlink"/>
            <w:i/>
            <w:iCs/>
          </w:rPr>
          <w:t>ECLI:LV:AT:2020:0514.11519014416.18.L</w:t>
        </w:r>
      </w:hyperlink>
      <w:r w:rsidR="00FD4437" w:rsidRPr="00FD4437">
        <w:rPr>
          <w:rStyle w:val="Hyperlink"/>
          <w:i/>
          <w:iCs/>
          <w:color w:val="auto"/>
        </w:rPr>
        <w:t>,</w:t>
      </w:r>
      <w:r w:rsidRPr="00DB4D51">
        <w:rPr>
          <w:i/>
          <w:iCs/>
        </w:rPr>
        <w:t xml:space="preserve"> 6.5. punkts, 2021. gada 13. maija lēmums lietā Nr. SKK-89/2021, </w:t>
      </w:r>
      <w:hyperlink r:id="rId15" w:history="1">
        <w:r w:rsidR="00851BF6" w:rsidRPr="00851BF6">
          <w:rPr>
            <w:rStyle w:val="Hyperlink"/>
            <w:i/>
            <w:iCs/>
          </w:rPr>
          <w:t>ECLI:LV:AT:2021:0513.11091099518.5.L</w:t>
        </w:r>
      </w:hyperlink>
      <w:r w:rsidR="00FD4437" w:rsidRPr="00FD4437">
        <w:rPr>
          <w:rStyle w:val="Hyperlink"/>
          <w:rFonts w:cs="Times New Roman"/>
          <w:i/>
          <w:iCs/>
          <w:color w:val="auto"/>
          <w:szCs w:val="24"/>
        </w:rPr>
        <w:t>,</w:t>
      </w:r>
      <w:r w:rsidRPr="00FD4437">
        <w:rPr>
          <w:i/>
          <w:iCs/>
        </w:rPr>
        <w:t xml:space="preserve"> </w:t>
      </w:r>
      <w:r w:rsidRPr="00DB4D51">
        <w:rPr>
          <w:i/>
          <w:iCs/>
        </w:rPr>
        <w:t>5.1. punkts</w:t>
      </w:r>
      <w:r>
        <w:t>).</w:t>
      </w:r>
    </w:p>
    <w:p w14:paraId="48B3BE4A" w14:textId="3B6F72B9" w:rsidR="000A6207" w:rsidRPr="00462F28" w:rsidRDefault="001B25BB" w:rsidP="00DB0168">
      <w:pPr>
        <w:spacing w:after="0" w:line="276" w:lineRule="auto"/>
        <w:ind w:firstLine="720"/>
        <w:jc w:val="both"/>
      </w:pPr>
      <w:bookmarkStart w:id="10" w:name="_Hlk148366856"/>
      <w:r w:rsidRPr="00462F28">
        <w:t>Senāts atzīst, ka apelācijas instances tiesa</w:t>
      </w:r>
      <w:r w:rsidR="00DB0168" w:rsidRPr="00462F28">
        <w:t xml:space="preserve">, </w:t>
      </w:r>
      <w:r w:rsidR="00A56AD9">
        <w:t>nosakot</w:t>
      </w:r>
      <w:r w:rsidR="00DB0168" w:rsidRPr="00462F28">
        <w:t xml:space="preserve"> </w:t>
      </w:r>
      <w:r w:rsidR="00DB0168" w:rsidRPr="00462F28">
        <w:rPr>
          <w:rFonts w:cs="Times New Roman"/>
          <w:szCs w:val="24"/>
        </w:rPr>
        <w:t xml:space="preserve">apsūdzēto </w:t>
      </w:r>
      <w:r w:rsidR="001F26EE">
        <w:rPr>
          <w:rFonts w:cs="Times New Roman"/>
          <w:szCs w:val="24"/>
        </w:rPr>
        <w:t>[pers. A]</w:t>
      </w:r>
      <w:r w:rsidR="00DB0168" w:rsidRPr="00462F28">
        <w:rPr>
          <w:rFonts w:cs="Times New Roman"/>
          <w:szCs w:val="24"/>
        </w:rPr>
        <w:t xml:space="preserve"> un </w:t>
      </w:r>
      <w:r w:rsidR="001F26EE">
        <w:rPr>
          <w:rFonts w:cs="Times New Roman"/>
          <w:szCs w:val="24"/>
        </w:rPr>
        <w:t>[pers. B]</w:t>
      </w:r>
      <w:r w:rsidR="00DB0168" w:rsidRPr="00462F28">
        <w:rPr>
          <w:rFonts w:cs="Times New Roman"/>
          <w:szCs w:val="24"/>
        </w:rPr>
        <w:t xml:space="preserve"> liecībām augstāku ticamības pakāpi un </w:t>
      </w:r>
      <w:r w:rsidR="00DB0168" w:rsidRPr="00462F28">
        <w:t xml:space="preserve">neizvērtējot tās </w:t>
      </w:r>
      <w:r w:rsidR="00DB0168" w:rsidRPr="00462F28">
        <w:rPr>
          <w:rFonts w:cs="Times New Roman"/>
          <w:szCs w:val="24"/>
        </w:rPr>
        <w:t>kopumā un savstarpējā sakarībā ar pārējiem lietā iegūtajiem pierādījumiem,</w:t>
      </w:r>
      <w:r w:rsidRPr="00462F28">
        <w:t xml:space="preserve"> </w:t>
      </w:r>
      <w:r w:rsidR="00DB0168" w:rsidRPr="00462F28">
        <w:t>pieļāvusi</w:t>
      </w:r>
      <w:r w:rsidRPr="00462F28">
        <w:t xml:space="preserve"> Kriminālprocesa likuma 128. panta otrās</w:t>
      </w:r>
      <w:r w:rsidR="00DB0168" w:rsidRPr="00462F28">
        <w:t xml:space="preserve"> un trešās</w:t>
      </w:r>
      <w:r w:rsidRPr="00462F28">
        <w:t xml:space="preserve"> daļas pārkāpumu</w:t>
      </w:r>
      <w:bookmarkEnd w:id="10"/>
      <w:r w:rsidRPr="00462F28">
        <w:t xml:space="preserve">. </w:t>
      </w:r>
    </w:p>
    <w:p w14:paraId="4DC9197E" w14:textId="77777777" w:rsidR="00FC2FC2" w:rsidRPr="00462F28" w:rsidRDefault="00FC2FC2" w:rsidP="000A6207">
      <w:pPr>
        <w:spacing w:after="0" w:line="276" w:lineRule="auto"/>
        <w:ind w:firstLine="720"/>
        <w:jc w:val="both"/>
      </w:pPr>
    </w:p>
    <w:p w14:paraId="38449F6E" w14:textId="798C9CF3" w:rsidR="000A6207" w:rsidRPr="00462F28" w:rsidRDefault="000A6207" w:rsidP="000A6207">
      <w:pPr>
        <w:spacing w:after="0" w:line="276" w:lineRule="auto"/>
        <w:ind w:firstLine="720"/>
        <w:jc w:val="both"/>
      </w:pPr>
      <w:r w:rsidRPr="00462F28">
        <w:t>[11] Ievērojot minēto, Senāts atzīst, ka apelācijas instances tiesa</w:t>
      </w:r>
      <w:r w:rsidR="009531B0" w:rsidRPr="00462F28">
        <w:t xml:space="preserve"> pieļ</w:t>
      </w:r>
      <w:r w:rsidR="000C446C" w:rsidRPr="00462F28">
        <w:t xml:space="preserve">āvusi Kriminālprocesa likuma 128. panta otrās un trešās daļas </w:t>
      </w:r>
      <w:r w:rsidR="000C446C" w:rsidRPr="00462F28">
        <w:rPr>
          <w:rFonts w:asciiTheme="majorBidi" w:hAnsiTheme="majorBidi" w:cstheme="majorBidi"/>
          <w:szCs w:val="24"/>
        </w:rPr>
        <w:t xml:space="preserve">un 130. panta trešās daļas </w:t>
      </w:r>
      <w:r w:rsidR="000C446C" w:rsidRPr="00462F28">
        <w:t xml:space="preserve">pārkāpumus, kas </w:t>
      </w:r>
      <w:r w:rsidRPr="00462F28">
        <w:t>atzīstami par Kriminālprocesa likuma būtiskiem pārkāpumiem šā likuma 575.</w:t>
      </w:r>
      <w:r w:rsidR="00F4082F" w:rsidRPr="00462F28">
        <w:t> </w:t>
      </w:r>
      <w:r w:rsidRPr="00462F28">
        <w:t>panta trešās daļas izpratnē</w:t>
      </w:r>
      <w:r w:rsidR="0090501B" w:rsidRPr="00462F28">
        <w:t>. Minētie pārkāpumi noveduši pie nelikumīga nolēmuma</w:t>
      </w:r>
      <w:r w:rsidR="000C446C" w:rsidRPr="00462F28">
        <w:t xml:space="preserve"> un</w:t>
      </w:r>
      <w:r w:rsidRPr="00462F28">
        <w:t xml:space="preserve"> ir</w:t>
      </w:r>
      <w:r w:rsidR="000C446C" w:rsidRPr="00462F28">
        <w:t xml:space="preserve"> </w:t>
      </w:r>
      <w:r w:rsidRPr="00462F28">
        <w:t>pamat</w:t>
      </w:r>
      <w:r w:rsidR="0090501B" w:rsidRPr="00462F28">
        <w:t>s</w:t>
      </w:r>
      <w:r w:rsidRPr="00462F28">
        <w:t xml:space="preserve"> apelācijas instances tiesas sprieduma atcelšanai daļā</w:t>
      </w:r>
      <w:r w:rsidR="00CD2530" w:rsidRPr="00462F28">
        <w:t xml:space="preserve"> par </w:t>
      </w:r>
      <w:r w:rsidR="001F26EE">
        <w:t>[pers. A]</w:t>
      </w:r>
      <w:r w:rsidR="00CD2530" w:rsidRPr="00462F28">
        <w:t xml:space="preserve"> </w:t>
      </w:r>
      <w:r w:rsidR="009531B0" w:rsidRPr="00462F28">
        <w:t xml:space="preserve">attaisnošanu </w:t>
      </w:r>
      <w:r w:rsidR="00CD2530" w:rsidRPr="00462F28">
        <w:rPr>
          <w:rFonts w:asciiTheme="majorBidi" w:hAnsiTheme="majorBidi" w:cstheme="majorBidi"/>
          <w:color w:val="000000"/>
        </w:rPr>
        <w:t>pēc Krimināllikuma 20. panta otrās daļas un 221. panta pirmās daļas (likuma redakcijā līdz 2015.</w:t>
      </w:r>
      <w:r w:rsidR="00364290">
        <w:rPr>
          <w:rFonts w:asciiTheme="majorBidi" w:hAnsiTheme="majorBidi" w:cstheme="majorBidi"/>
          <w:color w:val="000000"/>
        </w:rPr>
        <w:t> </w:t>
      </w:r>
      <w:r w:rsidR="00CD2530" w:rsidRPr="00462F28">
        <w:rPr>
          <w:rFonts w:asciiTheme="majorBidi" w:hAnsiTheme="majorBidi" w:cstheme="majorBidi"/>
          <w:color w:val="000000"/>
        </w:rPr>
        <w:t>gada 2.</w:t>
      </w:r>
      <w:r w:rsidR="00364290">
        <w:rPr>
          <w:rFonts w:asciiTheme="majorBidi" w:hAnsiTheme="majorBidi" w:cstheme="majorBidi"/>
          <w:color w:val="000000"/>
        </w:rPr>
        <w:t> </w:t>
      </w:r>
      <w:r w:rsidR="00CD2530" w:rsidRPr="00462F28">
        <w:rPr>
          <w:rFonts w:asciiTheme="majorBidi" w:hAnsiTheme="majorBidi" w:cstheme="majorBidi"/>
          <w:color w:val="000000"/>
        </w:rPr>
        <w:t>decembrim)</w:t>
      </w:r>
      <w:r w:rsidRPr="00462F28">
        <w:t>.</w:t>
      </w:r>
    </w:p>
    <w:p w14:paraId="6FE783E6" w14:textId="0598EB8F" w:rsidR="00106284" w:rsidRDefault="00CE574D" w:rsidP="009531B0">
      <w:pPr>
        <w:tabs>
          <w:tab w:val="left" w:pos="3402"/>
        </w:tabs>
        <w:spacing w:after="0" w:line="276" w:lineRule="auto"/>
        <w:ind w:firstLine="709"/>
        <w:jc w:val="both"/>
        <w:rPr>
          <w:rFonts w:asciiTheme="majorBidi" w:eastAsia="Calibri" w:hAnsiTheme="majorBidi" w:cstheme="majorBidi"/>
          <w:szCs w:val="24"/>
        </w:rPr>
      </w:pPr>
      <w:r w:rsidRPr="00462F28">
        <w:rPr>
          <w:rFonts w:asciiTheme="majorBidi" w:hAnsiTheme="majorBidi" w:cstheme="majorBidi"/>
          <w:szCs w:val="24"/>
        </w:rPr>
        <w:t>Ņ</w:t>
      </w:r>
      <w:r w:rsidR="009531B0" w:rsidRPr="00462F28">
        <w:rPr>
          <w:rFonts w:asciiTheme="majorBidi" w:hAnsiTheme="majorBidi" w:cstheme="majorBidi"/>
          <w:szCs w:val="24"/>
        </w:rPr>
        <w:t>emot vērā</w:t>
      </w:r>
      <w:r w:rsidR="004053EF" w:rsidRPr="00462F28">
        <w:rPr>
          <w:rFonts w:asciiTheme="majorBidi" w:hAnsiTheme="majorBidi" w:cstheme="majorBidi"/>
          <w:szCs w:val="24"/>
        </w:rPr>
        <w:t xml:space="preserve">, ka </w:t>
      </w:r>
      <w:r w:rsidR="00106284" w:rsidRPr="00462F28">
        <w:t>Zemgales apgabal</w:t>
      </w:r>
      <w:r w:rsidR="00CC34E7" w:rsidRPr="00462F28">
        <w:t>tiesas</w:t>
      </w:r>
      <w:r w:rsidR="00106284" w:rsidRPr="00462F28">
        <w:t xml:space="preserve"> 2022.</w:t>
      </w:r>
      <w:r w:rsidR="00F4082F" w:rsidRPr="00462F28">
        <w:t> </w:t>
      </w:r>
      <w:r w:rsidR="00106284" w:rsidRPr="00462F28">
        <w:t>gada 23.</w:t>
      </w:r>
      <w:r w:rsidR="00F4082F" w:rsidRPr="00462F28">
        <w:t> </w:t>
      </w:r>
      <w:r w:rsidR="00106284" w:rsidRPr="00462F28">
        <w:t>septembra</w:t>
      </w:r>
      <w:r w:rsidR="00CC34E7" w:rsidRPr="00462F28">
        <w:t xml:space="preserve"> spriedums</w:t>
      </w:r>
      <w:r w:rsidR="004053EF" w:rsidRPr="00462F28">
        <w:t xml:space="preserve"> tiek atcelts daļā par </w:t>
      </w:r>
      <w:r w:rsidR="001F26EE">
        <w:rPr>
          <w:rFonts w:asciiTheme="majorBidi" w:hAnsiTheme="majorBidi" w:cstheme="majorBidi"/>
          <w:color w:val="000000"/>
        </w:rPr>
        <w:t>[pers. A]</w:t>
      </w:r>
      <w:r w:rsidR="009531B0" w:rsidRPr="00462F28">
        <w:rPr>
          <w:rFonts w:asciiTheme="majorBidi" w:hAnsiTheme="majorBidi" w:cstheme="majorBidi"/>
          <w:color w:val="000000"/>
        </w:rPr>
        <w:t xml:space="preserve"> </w:t>
      </w:r>
      <w:r w:rsidR="004053EF" w:rsidRPr="00462F28">
        <w:rPr>
          <w:rFonts w:asciiTheme="majorBidi" w:hAnsiTheme="majorBidi" w:cstheme="majorBidi"/>
          <w:color w:val="000000"/>
        </w:rPr>
        <w:t xml:space="preserve">atzīšanu par nevainīgu pret viņu celtajā apsūdzībā pēc Krimināllikuma 20. panta otrās daļas un 221. panta pirmās daļas (likuma redakcijā līdz </w:t>
      </w:r>
      <w:proofErr w:type="gramStart"/>
      <w:r w:rsidR="004053EF" w:rsidRPr="00462F28">
        <w:rPr>
          <w:rFonts w:asciiTheme="majorBidi" w:hAnsiTheme="majorBidi" w:cstheme="majorBidi"/>
          <w:color w:val="000000"/>
        </w:rPr>
        <w:t>2015.gada</w:t>
      </w:r>
      <w:proofErr w:type="gramEnd"/>
      <w:r w:rsidR="004053EF" w:rsidRPr="00462F28">
        <w:rPr>
          <w:rFonts w:asciiTheme="majorBidi" w:hAnsiTheme="majorBidi" w:cstheme="majorBidi"/>
          <w:color w:val="000000"/>
        </w:rPr>
        <w:t xml:space="preserve"> 2.decembrim)</w:t>
      </w:r>
      <w:r w:rsidR="009531B0" w:rsidRPr="00462F28">
        <w:rPr>
          <w:rFonts w:asciiTheme="majorBidi" w:hAnsiTheme="majorBidi" w:cstheme="majorBidi"/>
          <w:color w:val="000000"/>
        </w:rPr>
        <w:t xml:space="preserve"> un </w:t>
      </w:r>
      <w:r w:rsidRPr="00462F28">
        <w:rPr>
          <w:rFonts w:asciiTheme="majorBidi" w:hAnsiTheme="majorBidi" w:cstheme="majorBidi"/>
          <w:color w:val="000000"/>
        </w:rPr>
        <w:t>krimināllietā cietušais ir iesniedzis pieteikumu par radītā kaitējuma kompensāciju,</w:t>
      </w:r>
      <w:r w:rsidR="009531B0" w:rsidRPr="00462F28">
        <w:rPr>
          <w:rFonts w:asciiTheme="majorBidi" w:hAnsiTheme="majorBidi" w:cstheme="majorBidi"/>
          <w:color w:val="000000"/>
        </w:rPr>
        <w:t xml:space="preserve"> </w:t>
      </w:r>
      <w:r w:rsidR="004053EF" w:rsidRPr="00462F28">
        <w:rPr>
          <w:rFonts w:asciiTheme="majorBidi" w:hAnsiTheme="majorBidi" w:cstheme="majorBidi"/>
          <w:color w:val="000000"/>
        </w:rPr>
        <w:t xml:space="preserve">apelācijas instances tiesas </w:t>
      </w:r>
      <w:r w:rsidR="00364290">
        <w:rPr>
          <w:rFonts w:asciiTheme="majorBidi" w:hAnsiTheme="majorBidi" w:cstheme="majorBidi"/>
          <w:color w:val="000000"/>
        </w:rPr>
        <w:t xml:space="preserve">spriedums </w:t>
      </w:r>
      <w:r w:rsidR="00CC34E7" w:rsidRPr="00462F28">
        <w:t xml:space="preserve">atceļams arī daļā par </w:t>
      </w:r>
      <w:r w:rsidR="00106284" w:rsidRPr="00462F28">
        <w:rPr>
          <w:rFonts w:asciiTheme="majorBidi" w:eastAsia="Calibri" w:hAnsiTheme="majorBidi" w:cstheme="majorBidi"/>
          <w:szCs w:val="24"/>
        </w:rPr>
        <w:t>kaitējuma kompensācijas 12 541,17 </w:t>
      </w:r>
      <w:r w:rsidR="00106284" w:rsidRPr="00462F28">
        <w:rPr>
          <w:rFonts w:asciiTheme="majorBidi" w:eastAsia="Calibri" w:hAnsiTheme="majorBidi" w:cstheme="majorBidi"/>
          <w:i/>
          <w:iCs/>
          <w:szCs w:val="24"/>
        </w:rPr>
        <w:t>euro</w:t>
      </w:r>
      <w:r w:rsidR="00106284" w:rsidRPr="00462F28">
        <w:rPr>
          <w:rFonts w:asciiTheme="majorBidi" w:eastAsia="Calibri" w:hAnsiTheme="majorBidi" w:cstheme="majorBidi"/>
          <w:szCs w:val="24"/>
        </w:rPr>
        <w:t xml:space="preserve"> valsts labā piedziņu no apsūdzētā </w:t>
      </w:r>
      <w:r w:rsidR="001F26EE">
        <w:rPr>
          <w:rFonts w:asciiTheme="majorBidi" w:eastAsia="Calibri" w:hAnsiTheme="majorBidi" w:cstheme="majorBidi"/>
          <w:szCs w:val="24"/>
        </w:rPr>
        <w:t>[pers. B]</w:t>
      </w:r>
      <w:r w:rsidR="00106284" w:rsidRPr="00462F28">
        <w:rPr>
          <w:rFonts w:asciiTheme="majorBidi" w:eastAsia="Calibri" w:hAnsiTheme="majorBidi" w:cstheme="majorBidi"/>
          <w:szCs w:val="24"/>
        </w:rPr>
        <w:t>. Pārējā daļā apelācijas instances tiesas spriedums atstājams negrozīts.</w:t>
      </w:r>
    </w:p>
    <w:p w14:paraId="29F0730E" w14:textId="1FBC028C" w:rsidR="00CC34E7" w:rsidRPr="00C238F9" w:rsidRDefault="00CC34E7" w:rsidP="00FD4A1C">
      <w:pPr>
        <w:spacing w:after="0" w:line="276" w:lineRule="auto"/>
        <w:ind w:firstLine="720"/>
        <w:jc w:val="both"/>
        <w:rPr>
          <w:rFonts w:cs="Times New Roman"/>
          <w:szCs w:val="24"/>
        </w:rPr>
      </w:pPr>
    </w:p>
    <w:p w14:paraId="75C9B25F" w14:textId="3F8EC386" w:rsidR="00294F4D" w:rsidRPr="00C238F9" w:rsidRDefault="00CC34E7" w:rsidP="00294F4D">
      <w:pPr>
        <w:autoSpaceDE w:val="0"/>
        <w:autoSpaceDN w:val="0"/>
        <w:adjustRightInd w:val="0"/>
        <w:spacing w:after="0" w:line="276" w:lineRule="auto"/>
        <w:ind w:firstLine="720"/>
        <w:jc w:val="both"/>
        <w:rPr>
          <w:rFonts w:cs="Times New Roman"/>
          <w:szCs w:val="24"/>
        </w:rPr>
      </w:pPr>
      <w:r w:rsidRPr="00C238F9">
        <w:rPr>
          <w:rFonts w:cs="Times New Roman"/>
          <w:szCs w:val="24"/>
        </w:rPr>
        <w:t>[</w:t>
      </w:r>
      <w:r w:rsidR="00F13A61">
        <w:rPr>
          <w:rFonts w:cs="Times New Roman"/>
          <w:szCs w:val="24"/>
        </w:rPr>
        <w:t>1</w:t>
      </w:r>
      <w:r w:rsidR="002D0F03">
        <w:rPr>
          <w:rFonts w:cs="Times New Roman"/>
          <w:szCs w:val="24"/>
        </w:rPr>
        <w:t>2]</w:t>
      </w:r>
      <w:r w:rsidRPr="00C238F9">
        <w:rPr>
          <w:rFonts w:cs="Times New Roman"/>
          <w:szCs w:val="24"/>
        </w:rPr>
        <w:t> </w:t>
      </w:r>
      <w:r w:rsidR="0071046E" w:rsidRPr="00C238F9">
        <w:rPr>
          <w:rFonts w:asciiTheme="majorBidi" w:hAnsiTheme="majorBidi" w:cstheme="majorBidi"/>
          <w:szCs w:val="24"/>
        </w:rPr>
        <w:t xml:space="preserve">Senāts atzīst, ka, atceļot apelācijas instances tiesas spriedumu un nosūtot lietu jaunai izskatīšanai Zemgales apgabaltiesā, apsūdzētajam </w:t>
      </w:r>
      <w:r w:rsidR="001F26EE">
        <w:rPr>
          <w:rFonts w:eastAsia="Times New Roman" w:cs="Times New Roman"/>
        </w:rPr>
        <w:t>[pers. B]</w:t>
      </w:r>
      <w:r w:rsidR="0071046E" w:rsidRPr="00C238F9">
        <w:rPr>
          <w:rFonts w:eastAsia="Times New Roman" w:cs="Times New Roman"/>
        </w:rPr>
        <w:t xml:space="preserve"> </w:t>
      </w:r>
      <w:r w:rsidR="0071046E" w:rsidRPr="00C238F9">
        <w:rPr>
          <w:rFonts w:asciiTheme="majorBidi" w:hAnsiTheme="majorBidi" w:cstheme="majorBidi"/>
          <w:szCs w:val="24"/>
        </w:rPr>
        <w:t>ir turpināma drošības līdzekļa – uzturēšanās noteiktā vietā – piemērošana.</w:t>
      </w:r>
      <w:r w:rsidR="0071046E" w:rsidRPr="00C238F9">
        <w:rPr>
          <w:rFonts w:asciiTheme="majorBidi" w:hAnsiTheme="majorBidi" w:cstheme="majorBidi"/>
        </w:rPr>
        <w:t xml:space="preserve"> Minētais drošības līdzeklis ir samērīgs ar viņam inkriminētā noziedzīgā nodarījuma raksturu un kaitīgumu, kā arī nav konstatēts Kriminālprocesa likuma 249. panta pirmajā daļā norādītais pamats piemērotā drošības līdzekļa atcelšanai vai grozīšanai</w:t>
      </w:r>
      <w:r w:rsidR="00294F4D" w:rsidRPr="00C238F9">
        <w:rPr>
          <w:rFonts w:asciiTheme="majorBidi" w:hAnsiTheme="majorBidi" w:cstheme="majorBidi"/>
        </w:rPr>
        <w:t>.</w:t>
      </w:r>
    </w:p>
    <w:p w14:paraId="4F70C52D" w14:textId="1E141FC1" w:rsidR="0071046E" w:rsidRPr="00C238F9" w:rsidRDefault="0071046E" w:rsidP="00294F4D">
      <w:pPr>
        <w:autoSpaceDE w:val="0"/>
        <w:autoSpaceDN w:val="0"/>
        <w:adjustRightInd w:val="0"/>
        <w:spacing w:after="0" w:line="276" w:lineRule="auto"/>
        <w:ind w:firstLine="720"/>
        <w:jc w:val="both"/>
        <w:rPr>
          <w:rFonts w:cs="Times New Roman"/>
          <w:szCs w:val="24"/>
        </w:rPr>
      </w:pPr>
      <w:r w:rsidRPr="00C238F9">
        <w:t xml:space="preserve">Senāts konstatē, ka </w:t>
      </w:r>
      <w:r w:rsidRPr="00C238F9">
        <w:rPr>
          <w:rFonts w:eastAsia="Times New Roman" w:cs="Times New Roman"/>
        </w:rPr>
        <w:t xml:space="preserve">apsūdzētajam </w:t>
      </w:r>
      <w:r w:rsidR="001F26EE">
        <w:rPr>
          <w:rFonts w:eastAsia="Times New Roman" w:cs="Times New Roman"/>
        </w:rPr>
        <w:t>[pers. A]</w:t>
      </w:r>
      <w:r w:rsidRPr="00C238F9">
        <w:t xml:space="preserve"> piemērotais drošības līdzeklis</w:t>
      </w:r>
      <w:r w:rsidR="004B045A">
        <w:t> </w:t>
      </w:r>
      <w:r w:rsidRPr="00C238F9">
        <w:t>– dzīvesvietas maiņas paziņošana</w:t>
      </w:r>
      <w:r w:rsidR="004B045A">
        <w:t> </w:t>
      </w:r>
      <w:r w:rsidRPr="00C238F9">
        <w:t>– ar apelācijas instances tiesas spriedumu ir atcelts.</w:t>
      </w:r>
      <w:r w:rsidR="00294F4D" w:rsidRPr="00C238F9">
        <w:t xml:space="preserve"> </w:t>
      </w:r>
      <w:r w:rsidRPr="00C238F9">
        <w:t xml:space="preserve">Senāts atzīst, ka šajā procesa stadijā nav pamata </w:t>
      </w:r>
      <w:r w:rsidR="001F26EE">
        <w:rPr>
          <w:rFonts w:eastAsia="Times New Roman" w:cs="Times New Roman"/>
        </w:rPr>
        <w:t>[pers. A]</w:t>
      </w:r>
      <w:r w:rsidRPr="00C238F9">
        <w:t xml:space="preserve"> piemērot drošības līdzekli.</w:t>
      </w:r>
    </w:p>
    <w:p w14:paraId="53C735C4" w14:textId="77777777" w:rsidR="00CC34E7" w:rsidRPr="00C238F9" w:rsidRDefault="00CC34E7" w:rsidP="00CC34E7">
      <w:pPr>
        <w:autoSpaceDE w:val="0"/>
        <w:autoSpaceDN w:val="0"/>
        <w:adjustRightInd w:val="0"/>
        <w:spacing w:after="0" w:line="276" w:lineRule="auto"/>
        <w:ind w:firstLine="720"/>
        <w:jc w:val="both"/>
        <w:rPr>
          <w:rFonts w:eastAsia="Times New Roman" w:cs="Times New Roman"/>
          <w:bCs/>
          <w:szCs w:val="24"/>
        </w:rPr>
      </w:pPr>
    </w:p>
    <w:p w14:paraId="1C6689EE" w14:textId="77777777" w:rsidR="00CC34E7" w:rsidRPr="004674CF" w:rsidRDefault="00CC34E7" w:rsidP="00CC34E7">
      <w:pPr>
        <w:spacing w:after="0" w:line="276" w:lineRule="auto"/>
        <w:contextualSpacing/>
        <w:jc w:val="center"/>
        <w:rPr>
          <w:rFonts w:asciiTheme="majorBidi" w:eastAsia="Calibri" w:hAnsiTheme="majorBidi" w:cstheme="majorBidi"/>
          <w:szCs w:val="24"/>
        </w:rPr>
      </w:pPr>
      <w:r w:rsidRPr="004674CF">
        <w:rPr>
          <w:rFonts w:asciiTheme="majorBidi" w:eastAsia="Calibri" w:hAnsiTheme="majorBidi" w:cstheme="majorBidi"/>
          <w:b/>
          <w:szCs w:val="24"/>
        </w:rPr>
        <w:t>Rezolutīvā daļa</w:t>
      </w:r>
    </w:p>
    <w:p w14:paraId="24C62E41" w14:textId="77777777" w:rsidR="00CC34E7" w:rsidRPr="004674CF" w:rsidRDefault="00CC34E7" w:rsidP="00CC34E7">
      <w:pPr>
        <w:suppressAutoHyphens/>
        <w:autoSpaceDN w:val="0"/>
        <w:spacing w:after="0" w:line="276" w:lineRule="auto"/>
        <w:ind w:left="2880" w:firstLine="720"/>
        <w:contextualSpacing/>
        <w:jc w:val="both"/>
        <w:textAlignment w:val="baseline"/>
        <w:rPr>
          <w:rFonts w:asciiTheme="majorBidi" w:eastAsia="Calibri" w:hAnsiTheme="majorBidi" w:cstheme="majorBidi"/>
          <w:b/>
          <w:szCs w:val="24"/>
        </w:rPr>
      </w:pPr>
    </w:p>
    <w:p w14:paraId="61E92F54" w14:textId="77777777" w:rsidR="00CC34E7" w:rsidRPr="004674CF" w:rsidRDefault="00CC34E7" w:rsidP="00CC34E7">
      <w:pPr>
        <w:spacing w:after="0" w:line="276" w:lineRule="auto"/>
        <w:ind w:firstLine="720"/>
        <w:jc w:val="both"/>
        <w:rPr>
          <w:rFonts w:asciiTheme="majorBidi" w:hAnsiTheme="majorBidi" w:cstheme="majorBidi"/>
          <w:szCs w:val="24"/>
        </w:rPr>
      </w:pPr>
      <w:r w:rsidRPr="004674CF">
        <w:rPr>
          <w:rFonts w:asciiTheme="majorBidi" w:hAnsiTheme="majorBidi" w:cstheme="majorBidi"/>
          <w:szCs w:val="24"/>
        </w:rPr>
        <w:t>Pamatojoties uz Kriminālprocesa likuma 585</w:t>
      </w:r>
      <w:r>
        <w:rPr>
          <w:rFonts w:asciiTheme="majorBidi" w:hAnsiTheme="majorBidi" w:cstheme="majorBidi"/>
          <w:szCs w:val="24"/>
        </w:rPr>
        <w:t>. </w:t>
      </w:r>
      <w:r w:rsidRPr="004674CF">
        <w:rPr>
          <w:rFonts w:asciiTheme="majorBidi" w:hAnsiTheme="majorBidi" w:cstheme="majorBidi"/>
          <w:szCs w:val="24"/>
        </w:rPr>
        <w:t xml:space="preserve"> un 587</w:t>
      </w:r>
      <w:r>
        <w:rPr>
          <w:rFonts w:asciiTheme="majorBidi" w:hAnsiTheme="majorBidi" w:cstheme="majorBidi"/>
          <w:szCs w:val="24"/>
        </w:rPr>
        <w:t>. </w:t>
      </w:r>
      <w:r w:rsidRPr="004674CF">
        <w:rPr>
          <w:rFonts w:asciiTheme="majorBidi" w:hAnsiTheme="majorBidi" w:cstheme="majorBidi"/>
          <w:szCs w:val="24"/>
        </w:rPr>
        <w:t>pantu, Senāts</w:t>
      </w:r>
    </w:p>
    <w:p w14:paraId="49C9A0CD" w14:textId="77777777" w:rsidR="00CC34E7" w:rsidRPr="004674CF" w:rsidRDefault="00CC34E7" w:rsidP="00CC34E7">
      <w:pPr>
        <w:spacing w:after="0" w:line="276" w:lineRule="auto"/>
        <w:ind w:firstLine="720"/>
        <w:jc w:val="both"/>
        <w:rPr>
          <w:rFonts w:asciiTheme="majorBidi" w:hAnsiTheme="majorBidi" w:cstheme="majorBidi"/>
          <w:szCs w:val="24"/>
        </w:rPr>
      </w:pPr>
    </w:p>
    <w:p w14:paraId="572AB8E7" w14:textId="77777777" w:rsidR="00CC34E7" w:rsidRPr="004674CF" w:rsidRDefault="00CC34E7" w:rsidP="00714E7C">
      <w:pPr>
        <w:spacing w:after="0" w:line="276" w:lineRule="auto"/>
        <w:jc w:val="center"/>
        <w:rPr>
          <w:rFonts w:asciiTheme="majorBidi" w:eastAsia="Calibri" w:hAnsiTheme="majorBidi" w:cstheme="majorBidi"/>
          <w:b/>
          <w:szCs w:val="24"/>
        </w:rPr>
      </w:pPr>
      <w:r w:rsidRPr="004674CF">
        <w:rPr>
          <w:rFonts w:asciiTheme="majorBidi" w:eastAsia="Calibri" w:hAnsiTheme="majorBidi" w:cstheme="majorBidi"/>
          <w:b/>
          <w:szCs w:val="24"/>
        </w:rPr>
        <w:t>nolēma</w:t>
      </w:r>
    </w:p>
    <w:p w14:paraId="4DE40410" w14:textId="32A5BE42" w:rsidR="00CC34E7" w:rsidRPr="004674CF" w:rsidRDefault="00CC34E7" w:rsidP="00BD165D">
      <w:pPr>
        <w:spacing w:after="0" w:line="276" w:lineRule="auto"/>
        <w:jc w:val="both"/>
        <w:rPr>
          <w:rFonts w:asciiTheme="majorBidi" w:hAnsiTheme="majorBidi" w:cstheme="majorBidi"/>
          <w:szCs w:val="24"/>
        </w:rPr>
      </w:pPr>
    </w:p>
    <w:p w14:paraId="281D1A27" w14:textId="74ABBC1E" w:rsidR="00294F4D" w:rsidRDefault="00CC34E7" w:rsidP="00CC34E7">
      <w:pPr>
        <w:spacing w:after="0" w:line="276" w:lineRule="auto"/>
        <w:jc w:val="both"/>
        <w:rPr>
          <w:rFonts w:asciiTheme="majorBidi" w:hAnsiTheme="majorBidi" w:cstheme="majorBidi"/>
          <w:color w:val="000000"/>
        </w:rPr>
      </w:pPr>
      <w:r w:rsidRPr="004674CF">
        <w:rPr>
          <w:rFonts w:asciiTheme="majorBidi" w:hAnsiTheme="majorBidi" w:cstheme="majorBidi"/>
          <w:szCs w:val="24"/>
        </w:rPr>
        <w:tab/>
      </w:r>
      <w:r>
        <w:rPr>
          <w:rFonts w:asciiTheme="majorBidi" w:hAnsiTheme="majorBidi" w:cstheme="majorBidi"/>
          <w:color w:val="000000"/>
        </w:rPr>
        <w:t>atcelt Zemgales apgabaltiesas 2022. gada 23. septembra spriedumu</w:t>
      </w:r>
      <w:r w:rsidR="00294F4D">
        <w:rPr>
          <w:rFonts w:asciiTheme="majorBidi" w:hAnsiTheme="majorBidi" w:cstheme="majorBidi"/>
          <w:color w:val="000000"/>
        </w:rPr>
        <w:t xml:space="preserve"> daļā par </w:t>
      </w:r>
      <w:r w:rsidR="001F26EE">
        <w:rPr>
          <w:rFonts w:asciiTheme="majorBidi" w:hAnsiTheme="majorBidi" w:cstheme="majorBidi"/>
          <w:color w:val="000000"/>
        </w:rPr>
        <w:t>[pers. A]</w:t>
      </w:r>
      <w:r w:rsidR="00294F4D">
        <w:rPr>
          <w:rFonts w:asciiTheme="majorBidi" w:hAnsiTheme="majorBidi" w:cstheme="majorBidi"/>
          <w:color w:val="000000"/>
        </w:rPr>
        <w:t xml:space="preserve"> atzīšanu par nevainīgu pret viņu celtajā apsūdzībā pēc Krimināllikuma 20. panta otrās daļas un 221. panta pirmās daļas (likuma redakcijā līdz 2015.</w:t>
      </w:r>
      <w:r w:rsidR="00BD165D">
        <w:rPr>
          <w:rFonts w:asciiTheme="majorBidi" w:hAnsiTheme="majorBidi" w:cstheme="majorBidi"/>
          <w:color w:val="000000"/>
        </w:rPr>
        <w:t> </w:t>
      </w:r>
      <w:r w:rsidR="00294F4D">
        <w:rPr>
          <w:rFonts w:asciiTheme="majorBidi" w:hAnsiTheme="majorBidi" w:cstheme="majorBidi"/>
          <w:color w:val="000000"/>
        </w:rPr>
        <w:t>gada 2.</w:t>
      </w:r>
      <w:r w:rsidR="00BD165D">
        <w:rPr>
          <w:rFonts w:asciiTheme="majorBidi" w:hAnsiTheme="majorBidi" w:cstheme="majorBidi"/>
          <w:color w:val="000000"/>
        </w:rPr>
        <w:t> </w:t>
      </w:r>
      <w:r w:rsidR="00294F4D">
        <w:rPr>
          <w:rFonts w:asciiTheme="majorBidi" w:hAnsiTheme="majorBidi" w:cstheme="majorBidi"/>
          <w:color w:val="000000"/>
        </w:rPr>
        <w:t xml:space="preserve">decembrim) un par </w:t>
      </w:r>
      <w:r w:rsidR="00294F4D">
        <w:rPr>
          <w:rFonts w:asciiTheme="majorBidi" w:eastAsia="Calibri" w:hAnsiTheme="majorBidi" w:cstheme="majorBidi"/>
          <w:szCs w:val="24"/>
        </w:rPr>
        <w:t xml:space="preserve">kaitējuma kompensācijas </w:t>
      </w:r>
      <w:r w:rsidR="00294F4D" w:rsidRPr="003552E8">
        <w:rPr>
          <w:rFonts w:asciiTheme="majorBidi" w:eastAsia="Calibri" w:hAnsiTheme="majorBidi" w:cstheme="majorBidi"/>
          <w:szCs w:val="24"/>
        </w:rPr>
        <w:t>12</w:t>
      </w:r>
      <w:r w:rsidR="00294F4D">
        <w:rPr>
          <w:rFonts w:asciiTheme="majorBidi" w:eastAsia="Calibri" w:hAnsiTheme="majorBidi" w:cstheme="majorBidi"/>
          <w:szCs w:val="24"/>
        </w:rPr>
        <w:t> </w:t>
      </w:r>
      <w:r w:rsidR="00294F4D" w:rsidRPr="003552E8">
        <w:rPr>
          <w:rFonts w:asciiTheme="majorBidi" w:eastAsia="Calibri" w:hAnsiTheme="majorBidi" w:cstheme="majorBidi"/>
          <w:szCs w:val="24"/>
        </w:rPr>
        <w:t>541,17</w:t>
      </w:r>
      <w:r w:rsidR="00294F4D">
        <w:rPr>
          <w:rFonts w:asciiTheme="majorBidi" w:eastAsia="Calibri" w:hAnsiTheme="majorBidi" w:cstheme="majorBidi"/>
          <w:szCs w:val="24"/>
        </w:rPr>
        <w:t> </w:t>
      </w:r>
      <w:r w:rsidR="00294F4D" w:rsidRPr="003552E8">
        <w:rPr>
          <w:rFonts w:asciiTheme="majorBidi" w:eastAsia="Calibri" w:hAnsiTheme="majorBidi" w:cstheme="majorBidi"/>
          <w:i/>
          <w:iCs/>
          <w:szCs w:val="24"/>
        </w:rPr>
        <w:t>euro</w:t>
      </w:r>
      <w:r w:rsidR="00294F4D">
        <w:rPr>
          <w:rFonts w:asciiTheme="majorBidi" w:eastAsia="Calibri" w:hAnsiTheme="majorBidi" w:cstheme="majorBidi"/>
          <w:szCs w:val="24"/>
        </w:rPr>
        <w:t xml:space="preserve"> valsts labā piedziņu no apsūdzētā </w:t>
      </w:r>
      <w:proofErr w:type="gramStart"/>
      <w:r w:rsidR="001F26EE">
        <w:rPr>
          <w:rFonts w:asciiTheme="majorBidi" w:eastAsia="Calibri" w:hAnsiTheme="majorBidi" w:cstheme="majorBidi"/>
          <w:szCs w:val="24"/>
        </w:rPr>
        <w:t>[</w:t>
      </w:r>
      <w:proofErr w:type="gramEnd"/>
      <w:r w:rsidR="001F26EE">
        <w:rPr>
          <w:rFonts w:asciiTheme="majorBidi" w:eastAsia="Calibri" w:hAnsiTheme="majorBidi" w:cstheme="majorBidi"/>
          <w:szCs w:val="24"/>
        </w:rPr>
        <w:t>pers. B]</w:t>
      </w:r>
      <w:r w:rsidR="00294F4D">
        <w:rPr>
          <w:rFonts w:asciiTheme="majorBidi" w:eastAsia="Calibri" w:hAnsiTheme="majorBidi" w:cstheme="majorBidi"/>
          <w:szCs w:val="24"/>
        </w:rPr>
        <w:t>;</w:t>
      </w:r>
    </w:p>
    <w:p w14:paraId="68CE48B6" w14:textId="77777777" w:rsidR="00294F4D" w:rsidRPr="00E92F00" w:rsidRDefault="00294F4D" w:rsidP="00294F4D">
      <w:pPr>
        <w:spacing w:after="0" w:line="276" w:lineRule="auto"/>
        <w:ind w:firstLine="709"/>
        <w:jc w:val="both"/>
        <w:rPr>
          <w:rFonts w:asciiTheme="majorBidi" w:hAnsiTheme="majorBidi" w:cstheme="majorBidi"/>
          <w:szCs w:val="24"/>
        </w:rPr>
      </w:pPr>
      <w:r w:rsidRPr="00E92F00">
        <w:rPr>
          <w:rFonts w:asciiTheme="majorBidi" w:hAnsiTheme="majorBidi" w:cstheme="majorBidi"/>
          <w:szCs w:val="24"/>
        </w:rPr>
        <w:t xml:space="preserve">atceltajā daļā nosūtīt lietu jaunai izskatīšanai Zemgales apgabaltiesā; </w:t>
      </w:r>
    </w:p>
    <w:p w14:paraId="44D34BED" w14:textId="77777777" w:rsidR="00294F4D" w:rsidRDefault="00294F4D" w:rsidP="00294F4D">
      <w:pPr>
        <w:spacing w:after="0" w:line="276" w:lineRule="auto"/>
        <w:ind w:firstLine="709"/>
        <w:jc w:val="both"/>
        <w:rPr>
          <w:rFonts w:asciiTheme="majorBidi" w:hAnsiTheme="majorBidi" w:cstheme="majorBidi"/>
          <w:szCs w:val="24"/>
        </w:rPr>
      </w:pPr>
      <w:r w:rsidRPr="00E92F00">
        <w:rPr>
          <w:rFonts w:asciiTheme="majorBidi" w:hAnsiTheme="majorBidi" w:cstheme="majorBidi"/>
          <w:szCs w:val="24"/>
        </w:rPr>
        <w:t xml:space="preserve">pārējā daļā Zemgales apgabaltiesas 2022. gada </w:t>
      </w:r>
      <w:r>
        <w:rPr>
          <w:rFonts w:asciiTheme="majorBidi" w:hAnsiTheme="majorBidi" w:cstheme="majorBidi"/>
          <w:color w:val="000000"/>
        </w:rPr>
        <w:t xml:space="preserve">23. septembra </w:t>
      </w:r>
      <w:r w:rsidRPr="00E92F00">
        <w:rPr>
          <w:rFonts w:asciiTheme="majorBidi" w:hAnsiTheme="majorBidi" w:cstheme="majorBidi"/>
          <w:szCs w:val="24"/>
        </w:rPr>
        <w:t>spriedumu atstāt negrozītu;</w:t>
      </w:r>
    </w:p>
    <w:p w14:paraId="234706CF" w14:textId="7ABF1CEF" w:rsidR="00F4082F" w:rsidRPr="00E92F00" w:rsidRDefault="00294F4D" w:rsidP="00F4082F">
      <w:pPr>
        <w:spacing w:after="0" w:line="276" w:lineRule="auto"/>
        <w:ind w:firstLine="709"/>
        <w:jc w:val="both"/>
        <w:rPr>
          <w:rFonts w:asciiTheme="majorBidi" w:hAnsiTheme="majorBidi" w:cstheme="majorBidi"/>
          <w:szCs w:val="24"/>
        </w:rPr>
      </w:pPr>
      <w:r>
        <w:rPr>
          <w:rFonts w:asciiTheme="majorBidi" w:hAnsiTheme="majorBidi" w:cstheme="majorBidi"/>
          <w:color w:val="000000"/>
        </w:rPr>
        <w:t xml:space="preserve">apsūdzētajam </w:t>
      </w:r>
      <w:r w:rsidR="001F26EE">
        <w:rPr>
          <w:rFonts w:asciiTheme="majorBidi" w:hAnsiTheme="majorBidi" w:cstheme="majorBidi"/>
          <w:color w:val="000000"/>
        </w:rPr>
        <w:t>[pers. B]</w:t>
      </w:r>
      <w:r>
        <w:rPr>
          <w:rFonts w:asciiTheme="majorBidi" w:hAnsiTheme="majorBidi" w:cstheme="majorBidi"/>
          <w:color w:val="000000"/>
        </w:rPr>
        <w:t xml:space="preserve"> </w:t>
      </w:r>
      <w:r w:rsidR="00F4082F" w:rsidRPr="00E92F00">
        <w:rPr>
          <w:rFonts w:asciiTheme="majorBidi" w:hAnsiTheme="majorBidi" w:cstheme="majorBidi"/>
          <w:szCs w:val="24"/>
        </w:rPr>
        <w:t>turpināt piemērot drošības līdzek</w:t>
      </w:r>
      <w:r w:rsidR="00F4082F">
        <w:rPr>
          <w:rFonts w:asciiTheme="majorBidi" w:hAnsiTheme="majorBidi" w:cstheme="majorBidi"/>
          <w:szCs w:val="24"/>
        </w:rPr>
        <w:t>li</w:t>
      </w:r>
      <w:r w:rsidR="00F4082F" w:rsidRPr="00E92F00">
        <w:rPr>
          <w:rFonts w:asciiTheme="majorBidi" w:hAnsiTheme="majorBidi" w:cstheme="majorBidi"/>
          <w:szCs w:val="24"/>
        </w:rPr>
        <w:t> – uzturēšanos noteiktā vietā.</w:t>
      </w:r>
    </w:p>
    <w:p w14:paraId="224028E3" w14:textId="77777777" w:rsidR="00F4082F" w:rsidRDefault="00F4082F" w:rsidP="00CC34E7">
      <w:pPr>
        <w:spacing w:after="0" w:line="276" w:lineRule="auto"/>
        <w:ind w:firstLine="720"/>
        <w:jc w:val="both"/>
        <w:rPr>
          <w:rFonts w:asciiTheme="majorBidi" w:hAnsiTheme="majorBidi" w:cstheme="majorBidi"/>
          <w:szCs w:val="24"/>
        </w:rPr>
      </w:pPr>
    </w:p>
    <w:p w14:paraId="76F6D127" w14:textId="3DC88FC3" w:rsidR="00851BF6" w:rsidRPr="001F26EE" w:rsidRDefault="00CC34E7" w:rsidP="001F26EE">
      <w:pPr>
        <w:spacing w:after="0" w:line="276" w:lineRule="auto"/>
        <w:ind w:firstLine="720"/>
        <w:jc w:val="both"/>
        <w:rPr>
          <w:rFonts w:asciiTheme="majorBidi" w:hAnsiTheme="majorBidi" w:cstheme="majorBidi"/>
          <w:szCs w:val="24"/>
        </w:rPr>
      </w:pPr>
      <w:r w:rsidRPr="004674CF">
        <w:rPr>
          <w:rFonts w:asciiTheme="majorBidi" w:hAnsiTheme="majorBidi" w:cstheme="majorBidi"/>
          <w:szCs w:val="24"/>
        </w:rPr>
        <w:t>Lēmums nav pārsūdzams</w:t>
      </w:r>
      <w:r>
        <w:rPr>
          <w:rFonts w:asciiTheme="majorBidi" w:hAnsiTheme="majorBidi" w:cstheme="majorBidi"/>
          <w:szCs w:val="24"/>
        </w:rPr>
        <w:t>.</w:t>
      </w:r>
    </w:p>
    <w:sectPr w:rsidR="00851BF6" w:rsidRPr="001F26EE" w:rsidSect="00271872">
      <w:footerReference w:type="default" r:id="rId16"/>
      <w:pgSz w:w="11907" w:h="16840" w:code="9"/>
      <w:pgMar w:top="1134" w:right="1701" w:bottom="1134" w:left="1701" w:header="68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879E" w14:textId="77777777" w:rsidR="003A36D8" w:rsidRDefault="003A36D8">
      <w:pPr>
        <w:spacing w:after="0" w:line="240" w:lineRule="auto"/>
      </w:pPr>
      <w:r>
        <w:separator/>
      </w:r>
    </w:p>
  </w:endnote>
  <w:endnote w:type="continuationSeparator" w:id="0">
    <w:p w14:paraId="3BF4A192" w14:textId="77777777" w:rsidR="003A36D8" w:rsidRDefault="003A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190210"/>
      <w:docPartObj>
        <w:docPartGallery w:val="Page Numbers (Bottom of Page)"/>
        <w:docPartUnique/>
      </w:docPartObj>
    </w:sdtPr>
    <w:sdtEndPr/>
    <w:sdtContent>
      <w:sdt>
        <w:sdtPr>
          <w:id w:val="-1459789891"/>
          <w:docPartObj>
            <w:docPartGallery w:val="Page Numbers (Top of Page)"/>
            <w:docPartUnique/>
          </w:docPartObj>
        </w:sdtPr>
        <w:sdtEndPr/>
        <w:sdtContent>
          <w:p w14:paraId="4DD6F5C3" w14:textId="77777777" w:rsidR="00F23331" w:rsidRDefault="00714E7C" w:rsidP="000169A2">
            <w:pPr>
              <w:pStyle w:val="Footer"/>
              <w:tabs>
                <w:tab w:val="clear" w:pos="4513"/>
                <w:tab w:val="left" w:pos="3243"/>
                <w:tab w:val="center" w:pos="4536"/>
              </w:tabs>
            </w:pPr>
            <w:r>
              <w:tab/>
            </w:r>
            <w:r>
              <w:tab/>
            </w:r>
            <w:r w:rsidRPr="00EA176A">
              <w:rPr>
                <w:bCs/>
              </w:rPr>
              <w:fldChar w:fldCharType="begin"/>
            </w:r>
            <w:r w:rsidRPr="00EA176A">
              <w:rPr>
                <w:bCs/>
              </w:rPr>
              <w:instrText xml:space="preserve"> PAGE </w:instrText>
            </w:r>
            <w:r w:rsidRPr="00EA176A">
              <w:rPr>
                <w:bCs/>
              </w:rPr>
              <w:fldChar w:fldCharType="separate"/>
            </w:r>
            <w:r>
              <w:rPr>
                <w:bCs/>
                <w:noProof/>
              </w:rPr>
              <w:t>6</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Pr>
                <w:bCs/>
                <w:noProof/>
              </w:rPr>
              <w:t>6</w:t>
            </w:r>
            <w:r w:rsidRPr="00EA176A">
              <w:rPr>
                <w:bCs/>
              </w:rPr>
              <w:fldChar w:fldCharType="end"/>
            </w:r>
          </w:p>
        </w:sdtContent>
      </w:sdt>
    </w:sdtContent>
  </w:sdt>
  <w:p w14:paraId="4A9F1853" w14:textId="77777777" w:rsidR="00F23331" w:rsidRDefault="00F23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76EC" w14:textId="77777777" w:rsidR="003A36D8" w:rsidRDefault="003A36D8">
      <w:pPr>
        <w:spacing w:after="0" w:line="240" w:lineRule="auto"/>
      </w:pPr>
      <w:r>
        <w:separator/>
      </w:r>
    </w:p>
  </w:footnote>
  <w:footnote w:type="continuationSeparator" w:id="0">
    <w:p w14:paraId="0E3CA079" w14:textId="77777777" w:rsidR="003A36D8" w:rsidRDefault="003A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15870"/>
    <w:multiLevelType w:val="hybridMultilevel"/>
    <w:tmpl w:val="26584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19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E7"/>
    <w:rsid w:val="000619B3"/>
    <w:rsid w:val="000819D0"/>
    <w:rsid w:val="000859FE"/>
    <w:rsid w:val="000A6207"/>
    <w:rsid w:val="000C446C"/>
    <w:rsid w:val="000C62AC"/>
    <w:rsid w:val="00106284"/>
    <w:rsid w:val="00112AFC"/>
    <w:rsid w:val="00116D24"/>
    <w:rsid w:val="00155B48"/>
    <w:rsid w:val="00156471"/>
    <w:rsid w:val="0016576C"/>
    <w:rsid w:val="0018015E"/>
    <w:rsid w:val="001A16E4"/>
    <w:rsid w:val="001B25BB"/>
    <w:rsid w:val="001B3C1F"/>
    <w:rsid w:val="001F25F5"/>
    <w:rsid w:val="001F26EE"/>
    <w:rsid w:val="002008A6"/>
    <w:rsid w:val="00205F1B"/>
    <w:rsid w:val="002635E5"/>
    <w:rsid w:val="00294F4D"/>
    <w:rsid w:val="002A2BD4"/>
    <w:rsid w:val="002D0F03"/>
    <w:rsid w:val="002D7ECB"/>
    <w:rsid w:val="002F7C20"/>
    <w:rsid w:val="003435AB"/>
    <w:rsid w:val="00363B1F"/>
    <w:rsid w:val="00364290"/>
    <w:rsid w:val="003779BC"/>
    <w:rsid w:val="00391CA4"/>
    <w:rsid w:val="00395DC5"/>
    <w:rsid w:val="003A0EE7"/>
    <w:rsid w:val="003A36D8"/>
    <w:rsid w:val="004010D4"/>
    <w:rsid w:val="004053EF"/>
    <w:rsid w:val="004172C6"/>
    <w:rsid w:val="004344BC"/>
    <w:rsid w:val="00446980"/>
    <w:rsid w:val="00462F28"/>
    <w:rsid w:val="0046328B"/>
    <w:rsid w:val="004809DF"/>
    <w:rsid w:val="004823EC"/>
    <w:rsid w:val="004B045A"/>
    <w:rsid w:val="004D625F"/>
    <w:rsid w:val="004E0C9F"/>
    <w:rsid w:val="00501AA4"/>
    <w:rsid w:val="00521352"/>
    <w:rsid w:val="0052149F"/>
    <w:rsid w:val="00561243"/>
    <w:rsid w:val="005730D2"/>
    <w:rsid w:val="00576F47"/>
    <w:rsid w:val="00586D37"/>
    <w:rsid w:val="005D4DC2"/>
    <w:rsid w:val="005E255A"/>
    <w:rsid w:val="005E609D"/>
    <w:rsid w:val="005F3F41"/>
    <w:rsid w:val="00604A8F"/>
    <w:rsid w:val="006154A0"/>
    <w:rsid w:val="0062059F"/>
    <w:rsid w:val="00623E77"/>
    <w:rsid w:val="00643A31"/>
    <w:rsid w:val="00652A19"/>
    <w:rsid w:val="00664D36"/>
    <w:rsid w:val="00665D56"/>
    <w:rsid w:val="00671F1E"/>
    <w:rsid w:val="00676563"/>
    <w:rsid w:val="006820AF"/>
    <w:rsid w:val="006869E3"/>
    <w:rsid w:val="006930BB"/>
    <w:rsid w:val="0069475E"/>
    <w:rsid w:val="006C6C83"/>
    <w:rsid w:val="006C6ECA"/>
    <w:rsid w:val="0071046E"/>
    <w:rsid w:val="00714E7C"/>
    <w:rsid w:val="00732996"/>
    <w:rsid w:val="00736C50"/>
    <w:rsid w:val="00741CE2"/>
    <w:rsid w:val="0074727C"/>
    <w:rsid w:val="00747A5B"/>
    <w:rsid w:val="007536A8"/>
    <w:rsid w:val="00772298"/>
    <w:rsid w:val="00794FCF"/>
    <w:rsid w:val="007B752B"/>
    <w:rsid w:val="007C5A41"/>
    <w:rsid w:val="007E5693"/>
    <w:rsid w:val="00825A9F"/>
    <w:rsid w:val="00851BF6"/>
    <w:rsid w:val="00867EB7"/>
    <w:rsid w:val="008B01E9"/>
    <w:rsid w:val="008D4182"/>
    <w:rsid w:val="008F661D"/>
    <w:rsid w:val="0090501B"/>
    <w:rsid w:val="009222D7"/>
    <w:rsid w:val="00935B25"/>
    <w:rsid w:val="009531B0"/>
    <w:rsid w:val="00976DFF"/>
    <w:rsid w:val="00985FF6"/>
    <w:rsid w:val="009C358A"/>
    <w:rsid w:val="00A41931"/>
    <w:rsid w:val="00A56AD9"/>
    <w:rsid w:val="00A5727A"/>
    <w:rsid w:val="00A650F8"/>
    <w:rsid w:val="00A80D19"/>
    <w:rsid w:val="00AA7B0D"/>
    <w:rsid w:val="00AD05ED"/>
    <w:rsid w:val="00AD0F33"/>
    <w:rsid w:val="00AE5131"/>
    <w:rsid w:val="00AF7EAD"/>
    <w:rsid w:val="00B0497A"/>
    <w:rsid w:val="00B4006D"/>
    <w:rsid w:val="00B505F9"/>
    <w:rsid w:val="00B54B85"/>
    <w:rsid w:val="00B62F3D"/>
    <w:rsid w:val="00B73655"/>
    <w:rsid w:val="00B775E3"/>
    <w:rsid w:val="00BD165D"/>
    <w:rsid w:val="00BF0164"/>
    <w:rsid w:val="00C238F9"/>
    <w:rsid w:val="00C853C7"/>
    <w:rsid w:val="00C927E8"/>
    <w:rsid w:val="00CB3071"/>
    <w:rsid w:val="00CC34E7"/>
    <w:rsid w:val="00CD2530"/>
    <w:rsid w:val="00CE574D"/>
    <w:rsid w:val="00CF2B70"/>
    <w:rsid w:val="00D36898"/>
    <w:rsid w:val="00D415D1"/>
    <w:rsid w:val="00D45BCD"/>
    <w:rsid w:val="00DA07AF"/>
    <w:rsid w:val="00DB0168"/>
    <w:rsid w:val="00DC53B8"/>
    <w:rsid w:val="00DF4596"/>
    <w:rsid w:val="00E035A5"/>
    <w:rsid w:val="00E26789"/>
    <w:rsid w:val="00E73F7F"/>
    <w:rsid w:val="00E858A4"/>
    <w:rsid w:val="00F12DBA"/>
    <w:rsid w:val="00F13A61"/>
    <w:rsid w:val="00F16ACD"/>
    <w:rsid w:val="00F23331"/>
    <w:rsid w:val="00F4082F"/>
    <w:rsid w:val="00F426EC"/>
    <w:rsid w:val="00F8056E"/>
    <w:rsid w:val="00F82546"/>
    <w:rsid w:val="00F82A46"/>
    <w:rsid w:val="00FC2FC2"/>
    <w:rsid w:val="00FD4437"/>
    <w:rsid w:val="00FD4A1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93E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4E7"/>
    <w:pPr>
      <w:spacing w:after="160" w:line="259"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3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4E7"/>
  </w:style>
  <w:style w:type="character" w:styleId="Hyperlink">
    <w:name w:val="Hyperlink"/>
    <w:basedOn w:val="DefaultParagraphFont"/>
    <w:uiPriority w:val="99"/>
    <w:unhideWhenUsed/>
    <w:rsid w:val="00CC34E7"/>
    <w:rPr>
      <w:color w:val="0563C1" w:themeColor="hyperlink"/>
      <w:u w:val="single"/>
    </w:rPr>
  </w:style>
  <w:style w:type="character" w:styleId="CommentReference">
    <w:name w:val="annotation reference"/>
    <w:basedOn w:val="DefaultParagraphFont"/>
    <w:uiPriority w:val="99"/>
    <w:semiHidden/>
    <w:unhideWhenUsed/>
    <w:rsid w:val="00CC34E7"/>
    <w:rPr>
      <w:sz w:val="16"/>
      <w:szCs w:val="16"/>
    </w:rPr>
  </w:style>
  <w:style w:type="paragraph" w:styleId="CommentText">
    <w:name w:val="annotation text"/>
    <w:basedOn w:val="Normal"/>
    <w:link w:val="CommentTextChar"/>
    <w:uiPriority w:val="99"/>
    <w:semiHidden/>
    <w:unhideWhenUsed/>
    <w:rsid w:val="00CC34E7"/>
    <w:pPr>
      <w:spacing w:line="240" w:lineRule="auto"/>
    </w:pPr>
    <w:rPr>
      <w:sz w:val="20"/>
      <w:szCs w:val="20"/>
    </w:rPr>
  </w:style>
  <w:style w:type="character" w:customStyle="1" w:styleId="CommentTextChar">
    <w:name w:val="Comment Text Char"/>
    <w:basedOn w:val="DefaultParagraphFont"/>
    <w:link w:val="CommentText"/>
    <w:uiPriority w:val="99"/>
    <w:semiHidden/>
    <w:rsid w:val="00CC34E7"/>
    <w:rPr>
      <w:sz w:val="20"/>
      <w:szCs w:val="20"/>
    </w:rPr>
  </w:style>
  <w:style w:type="paragraph" w:styleId="CommentSubject">
    <w:name w:val="annotation subject"/>
    <w:basedOn w:val="CommentText"/>
    <w:next w:val="CommentText"/>
    <w:link w:val="CommentSubjectChar"/>
    <w:uiPriority w:val="99"/>
    <w:semiHidden/>
    <w:unhideWhenUsed/>
    <w:rsid w:val="000859FE"/>
    <w:rPr>
      <w:b/>
      <w:bCs/>
    </w:rPr>
  </w:style>
  <w:style w:type="character" w:customStyle="1" w:styleId="CommentSubjectChar">
    <w:name w:val="Comment Subject Char"/>
    <w:basedOn w:val="CommentTextChar"/>
    <w:link w:val="CommentSubject"/>
    <w:uiPriority w:val="99"/>
    <w:semiHidden/>
    <w:rsid w:val="000859FE"/>
    <w:rPr>
      <w:b/>
      <w:bCs/>
      <w:sz w:val="20"/>
      <w:szCs w:val="20"/>
    </w:rPr>
  </w:style>
  <w:style w:type="paragraph" w:styleId="Revision">
    <w:name w:val="Revision"/>
    <w:hidden/>
    <w:uiPriority w:val="99"/>
    <w:semiHidden/>
    <w:rsid w:val="000859FE"/>
    <w:pPr>
      <w:spacing w:line="240" w:lineRule="auto"/>
      <w:ind w:firstLine="0"/>
      <w:jc w:val="left"/>
    </w:pPr>
  </w:style>
  <w:style w:type="character" w:styleId="FollowedHyperlink">
    <w:name w:val="FollowedHyperlink"/>
    <w:basedOn w:val="DefaultParagraphFont"/>
    <w:uiPriority w:val="99"/>
    <w:semiHidden/>
    <w:unhideWhenUsed/>
    <w:rsid w:val="001F25F5"/>
    <w:rPr>
      <w:color w:val="954F72" w:themeColor="followedHyperlink"/>
      <w:u w:val="single"/>
    </w:rPr>
  </w:style>
  <w:style w:type="character" w:styleId="UnresolvedMention">
    <w:name w:val="Unresolved Mention"/>
    <w:basedOn w:val="DefaultParagraphFont"/>
    <w:uiPriority w:val="99"/>
    <w:semiHidden/>
    <w:unhideWhenUsed/>
    <w:rsid w:val="004E0C9F"/>
    <w:rPr>
      <w:color w:val="605E5C"/>
      <w:shd w:val="clear" w:color="auto" w:fill="E1DFDD"/>
    </w:rPr>
  </w:style>
  <w:style w:type="paragraph" w:styleId="Header">
    <w:name w:val="header"/>
    <w:basedOn w:val="Normal"/>
    <w:link w:val="HeaderChar"/>
    <w:uiPriority w:val="99"/>
    <w:unhideWhenUsed/>
    <w:rsid w:val="00D415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7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5995.pdf" TargetMode="External"/><Relationship Id="rId13" Type="http://schemas.openxmlformats.org/officeDocument/2006/relationships/hyperlink" Target="https://manas.tiesas.lv/eTiesasMvc/nolemumi/pdf/39465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44885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485372.pdf" TargetMode="External"/><Relationship Id="rId5" Type="http://schemas.openxmlformats.org/officeDocument/2006/relationships/webSettings" Target="webSettings.xml"/><Relationship Id="rId15" Type="http://schemas.openxmlformats.org/officeDocument/2006/relationships/hyperlink" Target="https://manas.tiesas.lv/eTiesasMvc/nolemumi/pdf/448867.pdf" TargetMode="External"/><Relationship Id="rId10" Type="http://schemas.openxmlformats.org/officeDocument/2006/relationships/hyperlink" Target="https://manas.tiesas.lv/eTiesasMvc/nolemumi/pdf/494954.pdf" TargetMode="External"/><Relationship Id="rId4" Type="http://schemas.openxmlformats.org/officeDocument/2006/relationships/settings" Target="settings.xml"/><Relationship Id="rId9" Type="http://schemas.openxmlformats.org/officeDocument/2006/relationships/hyperlink" Target="https://manas.tiesas.lv/eTiesasMvc/nolemumi/pdf/438824.pdf" TargetMode="External"/><Relationship Id="rId14" Type="http://schemas.openxmlformats.org/officeDocument/2006/relationships/hyperlink" Target="https://manas.tiesas.lv/eTiesasMvc/nolemumi/pdf/4142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312C6-F772-4BCE-9DD1-9798420E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20768</Words>
  <Characters>11838</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2024-01-16T09:46:00Z</dcterms:created>
  <dcterms:modified xsi:type="dcterms:W3CDTF">2024-01-16T09:46:00Z</dcterms:modified>
</cp:coreProperties>
</file>