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9953C" w14:textId="77777777" w:rsidR="004B50A9" w:rsidRDefault="004B50A9" w:rsidP="002F3C38">
      <w:pPr>
        <w:autoSpaceDE w:val="0"/>
        <w:autoSpaceDN w:val="0"/>
        <w:spacing w:line="276" w:lineRule="auto"/>
        <w:rPr>
          <w:rFonts w:ascii="TimesNewRomanPSMT" w:hAnsi="TimesNewRomanPSMT"/>
          <w:b/>
          <w:bCs/>
          <w:lang w:eastAsia="en-US"/>
        </w:rPr>
      </w:pPr>
      <w:r>
        <w:rPr>
          <w:rFonts w:ascii="TimesNewRomanPSMT" w:hAnsi="TimesNewRomanPSMT"/>
          <w:b/>
          <w:bCs/>
        </w:rPr>
        <w:t xml:space="preserve">Pieteikuma atzīšana par acīmredzami nepamatotu un no tā izrietošās tiesiskās sekas </w:t>
      </w:r>
    </w:p>
    <w:p w14:paraId="268ED44C" w14:textId="77777777" w:rsidR="004B50A9" w:rsidRDefault="004B50A9" w:rsidP="002F3C38">
      <w:pPr>
        <w:autoSpaceDE w:val="0"/>
        <w:autoSpaceDN w:val="0"/>
        <w:spacing w:line="276" w:lineRule="auto"/>
        <w:jc w:val="both"/>
        <w:rPr>
          <w:rFonts w:ascii="TimesNewRomanPSMT" w:hAnsi="TimesNewRomanPSMT"/>
          <w:color w:val="000000"/>
        </w:rPr>
      </w:pPr>
      <w:r>
        <w:rPr>
          <w:rFonts w:ascii="TimesNewRomanPSMT" w:hAnsi="TimesNewRomanPSMT"/>
          <w:color w:val="000000"/>
        </w:rPr>
        <w:t>Administratīvā procesa likuma 191.</w:t>
      </w:r>
      <w:r>
        <w:rPr>
          <w:rFonts w:ascii="TimesNewRomanPSMT" w:hAnsi="TimesNewRomanPSMT"/>
          <w:color w:val="000000"/>
          <w:vertAlign w:val="superscript"/>
        </w:rPr>
        <w:t>1</w:t>
      </w:r>
      <w:r>
        <w:rPr>
          <w:rFonts w:ascii="TimesNewRomanPSMT" w:hAnsi="TimesNewRomanPSMT"/>
          <w:color w:val="000000"/>
        </w:rPr>
        <w:t>panta pirmajā daļā paredzētā iespēja atteikt acīmredzami nepamatota pieteikuma izskatīšanu ļauj tiesnesim no pieteikuma izrietošo tiesisko strīdu izšķirt pēc būtības jau pieteikuma stadijā, faktiski noraidot prasījumu bez tiesvedības ierosināšanas.</w:t>
      </w:r>
    </w:p>
    <w:p w14:paraId="5073359C" w14:textId="77777777" w:rsidR="004B50A9" w:rsidRDefault="004B50A9" w:rsidP="002F3C38">
      <w:pPr>
        <w:autoSpaceDE w:val="0"/>
        <w:autoSpaceDN w:val="0"/>
        <w:spacing w:line="276" w:lineRule="auto"/>
        <w:jc w:val="both"/>
        <w:rPr>
          <w:rFonts w:ascii="TimesNewRomanPSMT" w:hAnsi="TimesNewRomanPSMT"/>
          <w:color w:val="000000"/>
        </w:rPr>
      </w:pPr>
      <w:r>
        <w:rPr>
          <w:rFonts w:ascii="TimesNewRomanPSMT" w:hAnsi="TimesNewRomanPSMT"/>
          <w:color w:val="000000"/>
        </w:rPr>
        <w:t>Šāds regulējums ierobežo procesa dalībnieka tiesības uz lietas izskatīšanu pilnvērtīgā tiesas procesā. Turklāt situācijā, kad lietas ierosināšanas gadījumā to pēc būtības skatītu triju tiesnešu, nevis viena tiesneša sastāvā, tiek ierobežotas procesa dalībnieka tiesības ne tikai uz lietas izskatīšanu tiesas sēdē, bet arī uz to, ka lietu izskata koleģiāls tiesas sastāvs.</w:t>
      </w:r>
    </w:p>
    <w:p w14:paraId="1BFC7C72" w14:textId="7DEBB8B6" w:rsidR="004B50A9" w:rsidRPr="004B50A9" w:rsidRDefault="004B50A9" w:rsidP="002F3C38">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Tāpēc attiecīgās normas piemērošana var būt attaisnojama vienīgi tad, ja pieteikuma nepamatotība ir tik acīmredzama, ka par to nevarētu būt nekādu saprātīgu šaubu un jēdzīgu diskusiju. </w:t>
      </w:r>
      <w:bookmarkStart w:id="0" w:name="_GoBack"/>
      <w:bookmarkEnd w:id="0"/>
    </w:p>
    <w:p w14:paraId="465FF627" w14:textId="77777777" w:rsidR="004B50A9" w:rsidRDefault="004B50A9" w:rsidP="002F3C38">
      <w:pPr>
        <w:autoSpaceDE w:val="0"/>
        <w:autoSpaceDN w:val="0"/>
        <w:spacing w:line="276" w:lineRule="auto"/>
        <w:jc w:val="both"/>
        <w:rPr>
          <w:rFonts w:ascii="TimesNewRomanPSMT" w:hAnsi="TimesNewRomanPSMT"/>
          <w:b/>
          <w:bCs/>
          <w:color w:val="0070C0"/>
        </w:rPr>
      </w:pPr>
    </w:p>
    <w:p w14:paraId="6A731F24" w14:textId="77777777" w:rsidR="004B50A9" w:rsidRDefault="004B50A9" w:rsidP="002F3C38">
      <w:pPr>
        <w:autoSpaceDE w:val="0"/>
        <w:autoSpaceDN w:val="0"/>
        <w:spacing w:line="276" w:lineRule="auto"/>
        <w:jc w:val="both"/>
        <w:rPr>
          <w:rFonts w:ascii="TimesNewRomanPSMT" w:hAnsi="TimesNewRomanPSMT"/>
          <w:b/>
          <w:bCs/>
          <w:color w:val="000000"/>
        </w:rPr>
      </w:pPr>
      <w:r>
        <w:rPr>
          <w:rFonts w:ascii="TimesNewRomanPSMT" w:hAnsi="TimesNewRomanPSMT"/>
          <w:b/>
          <w:bCs/>
          <w:color w:val="000000"/>
        </w:rPr>
        <w:t xml:space="preserve">Līguma publiski tiesiskās dabas konstatēšanas priekšnoteikumi </w:t>
      </w:r>
    </w:p>
    <w:p w14:paraId="32CB6499" w14:textId="571A1793" w:rsidR="004B50A9" w:rsidRDefault="004B50A9" w:rsidP="002F3C38">
      <w:pPr>
        <w:autoSpaceDE w:val="0"/>
        <w:autoSpaceDN w:val="0"/>
        <w:spacing w:line="276" w:lineRule="auto"/>
        <w:jc w:val="both"/>
        <w:rPr>
          <w:rFonts w:ascii="TimesNewRomanPSMT" w:hAnsi="TimesNewRomanPSMT"/>
        </w:rPr>
      </w:pPr>
      <w:r>
        <w:rPr>
          <w:rFonts w:ascii="TimesNewRomanPSMT" w:hAnsi="TimesNewRomanPSMT"/>
        </w:rPr>
        <w:t>Līguma publiski tiesiskas dabas konstatēšanai nav obligāts priekšnoteikums tas, ka ar konkrēto līgumu privātpersonai ir piešķirta (nodota) publiska funkcija; līgums var tikt atzīts par publiski tiesisku arī tad, ja tā noslēgšanas mērķis ir publiski tiesiskas funkcijas izpildes nodrošināšana. Lai nošķirtu publisko tiesību līgumu no privāttiesiska līguma, izšķirošais ir līguma priekšmets, kam jābūt publisko tiesību jomā, līguma kopējais raksturs un tajā ietvertie svarīgākie punkti. Svarīgi ir novērtēt arī līguma mērķi (publisko tiesību līgumu mērķis – efektīva valsts pārvaldes funkciju veikšana un sabiedrības labuma iegūšana) un konstatēt, vai eksistē cieša sasaiste ar publiski tiesiskajām tiesībām un pienākumiem.</w:t>
      </w:r>
    </w:p>
    <w:p w14:paraId="3FDF1EDE" w14:textId="77777777" w:rsidR="004B50A9" w:rsidRDefault="004B50A9" w:rsidP="002F3C38">
      <w:pPr>
        <w:autoSpaceDE w:val="0"/>
        <w:autoSpaceDN w:val="0"/>
        <w:spacing w:line="276" w:lineRule="auto"/>
        <w:jc w:val="both"/>
        <w:rPr>
          <w:rFonts w:ascii="TimesNewRomanPSMT" w:hAnsi="TimesNewRomanPSMT"/>
        </w:rPr>
      </w:pPr>
    </w:p>
    <w:p w14:paraId="6DB009F4" w14:textId="77777777" w:rsidR="004B50A9" w:rsidRDefault="004B50A9" w:rsidP="002F3C38">
      <w:pPr>
        <w:autoSpaceDE w:val="0"/>
        <w:autoSpaceDN w:val="0"/>
        <w:spacing w:line="276" w:lineRule="auto"/>
        <w:jc w:val="both"/>
        <w:rPr>
          <w:rFonts w:ascii="TimesNewRomanPSMT" w:hAnsi="TimesNewRomanPSMT"/>
          <w:b/>
          <w:bCs/>
        </w:rPr>
      </w:pPr>
      <w:r>
        <w:rPr>
          <w:rFonts w:ascii="TimesNewRomanPSMT" w:hAnsi="TimesNewRomanPSMT"/>
          <w:b/>
          <w:bCs/>
        </w:rPr>
        <w:t>Līgums par tiesību piešķiršanu komersantam sniegt pasažieriem sabiedriskā transporta pakalpojumus ir publisko tiesību līgums</w:t>
      </w:r>
    </w:p>
    <w:p w14:paraId="18A3A626" w14:textId="4EEF2BDC" w:rsidR="004B50A9" w:rsidRPr="004B50A9" w:rsidRDefault="004B50A9" w:rsidP="002F3C38">
      <w:pPr>
        <w:autoSpaceDE w:val="0"/>
        <w:autoSpaceDN w:val="0"/>
        <w:spacing w:line="276" w:lineRule="auto"/>
        <w:jc w:val="both"/>
        <w:rPr>
          <w:rFonts w:ascii="TimesNewRomanPSMT" w:hAnsi="TimesNewRomanPSMT"/>
        </w:rPr>
      </w:pPr>
      <w:r>
        <w:rPr>
          <w:rFonts w:ascii="TimesNewRomanPSMT" w:hAnsi="TimesNewRomanPSMT"/>
        </w:rPr>
        <w:t xml:space="preserve">Ar sabiedriskā transporta pakalpojumu sniegšanas līgumiem publisko tiesību subjekts piešķir tiesības (būtībā – atļauju) konkrētam komersantam reģionālās nozīmes maršrutos sniegt pasažieriem sabiedriskā transporta pakalpojumus. Tiesību sniegt sabiedriskā transporta pakalpojumus piešķiršana ir veids, kādā pasūtītāja (iestāde) pilda tai uzticēto publisko funkciju – organizēt sabiedriskā transporta pakalpojumus reģionālās nozīmes maršrutos. Tādējādi, piešķirot privātpersonām tiesības sniegt sabiedriskā transporta pakalpojumus reģionālās nozīmes maršrutos, pasūtītāja nodrošina, ka minētā publiskā funkcija tiek pildīta – tiek organizēta sabiedriskā transporta pakalpojumu sniegšana reģionālās nozīmes maršrutos. Tas liecina, ka līguma priekšmets ir vērsts uz publiskas funkcijas izpildi, tā mērķis ir nodrošināt sabiedrības interesi uz sabiedriskā transporta pakalpojumu pieejamību. Tas ir pamats iepirkuma līgumus, kuri piešķir tiesības konkrētam komersantam sniegt iedzīvotājiem sabiedriskā transporta pakalpojumus, vērtēt kā publisko tiesību līgumus. </w:t>
      </w:r>
    </w:p>
    <w:p w14:paraId="56B7B27E" w14:textId="3DF2219A" w:rsidR="004B50A9" w:rsidRPr="00011547" w:rsidRDefault="004B50A9" w:rsidP="002F3C38">
      <w:pPr>
        <w:spacing w:before="240" w:line="276" w:lineRule="auto"/>
        <w:jc w:val="center"/>
        <w:rPr>
          <w:b/>
        </w:rPr>
      </w:pPr>
      <w:r>
        <w:rPr>
          <w:b/>
        </w:rPr>
        <w:t>Latvijas Republikas Senāta</w:t>
      </w:r>
      <w:r>
        <w:rPr>
          <w:b/>
        </w:rPr>
        <w:br/>
        <w:t>Administratīvo lietu departamenta</w:t>
      </w:r>
      <w:r>
        <w:rPr>
          <w:b/>
        </w:rPr>
        <w:br/>
        <w:t>2023.gada 13.septembra</w:t>
      </w:r>
    </w:p>
    <w:p w14:paraId="5C7B231E" w14:textId="77777777" w:rsidR="00B657A1" w:rsidRDefault="00B657A1" w:rsidP="002F3C38">
      <w:pPr>
        <w:spacing w:line="276" w:lineRule="auto"/>
        <w:jc w:val="center"/>
      </w:pPr>
      <w:r>
        <w:rPr>
          <w:b/>
        </w:rPr>
        <w:t>LĒMUMS</w:t>
      </w:r>
    </w:p>
    <w:p w14:paraId="4A739385" w14:textId="77777777" w:rsidR="004B50A9" w:rsidRPr="004B50A9" w:rsidRDefault="004B50A9" w:rsidP="002F3C38">
      <w:pPr>
        <w:spacing w:line="276" w:lineRule="auto"/>
        <w:ind w:firstLine="567"/>
        <w:jc w:val="center"/>
        <w:rPr>
          <w:b/>
        </w:rPr>
      </w:pPr>
      <w:r w:rsidRPr="004B50A9">
        <w:rPr>
          <w:b/>
        </w:rPr>
        <w:t xml:space="preserve">Lieta </w:t>
      </w:r>
      <w:r w:rsidRPr="004B50A9">
        <w:rPr>
          <w:b/>
        </w:rPr>
        <w:t>Nr. </w:t>
      </w:r>
      <w:r w:rsidRPr="004B50A9">
        <w:rPr>
          <w:rFonts w:ascii="TimesNewRomanPSMT" w:eastAsiaTheme="minorHAnsi" w:hAnsi="TimesNewRomanPSMT" w:cs="TimesNewRomanPSMT"/>
          <w:b/>
          <w:lang w:eastAsia="en-US"/>
          <w14:ligatures w14:val="standardContextual"/>
        </w:rPr>
        <w:t>680024923</w:t>
      </w:r>
      <w:r w:rsidRPr="004B50A9">
        <w:rPr>
          <w:b/>
        </w:rPr>
        <w:t>, SKA-779/2023</w:t>
      </w:r>
    </w:p>
    <w:p w14:paraId="2761A7F2" w14:textId="1287032E" w:rsidR="00B657A1" w:rsidRDefault="002F3C38" w:rsidP="002F3C38">
      <w:pPr>
        <w:spacing w:line="276" w:lineRule="auto"/>
        <w:ind w:firstLine="567"/>
        <w:jc w:val="center"/>
      </w:pPr>
      <w:hyperlink r:id="rId8" w:history="1">
        <w:r w:rsidR="004B50A9" w:rsidRPr="002F3C38">
          <w:rPr>
            <w:rStyle w:val="Hyperlink"/>
            <w:rFonts w:ascii="TimesNewRomanPSMT" w:eastAsiaTheme="minorHAnsi" w:hAnsi="TimesNewRomanPSMT" w:cs="TimesNewRomanPSMT"/>
            <w:lang w:val="en-US" w:eastAsia="en-US"/>
            <w14:ligatures w14:val="standardContextual"/>
          </w:rPr>
          <w:t>ECLI:LV:AT:2023:0913.SKA077923.4.L</w:t>
        </w:r>
      </w:hyperlink>
    </w:p>
    <w:p w14:paraId="4F8BC1F4" w14:textId="77777777" w:rsidR="004B50A9" w:rsidRPr="00F902DB" w:rsidRDefault="004B50A9" w:rsidP="002F3C38">
      <w:pPr>
        <w:spacing w:line="276" w:lineRule="auto"/>
        <w:ind w:firstLine="567"/>
        <w:jc w:val="center"/>
      </w:pPr>
    </w:p>
    <w:p w14:paraId="6874AA54" w14:textId="72D38473" w:rsidR="00B657A1" w:rsidRPr="00A42959" w:rsidRDefault="007D0866" w:rsidP="002F3C38">
      <w:pPr>
        <w:spacing w:line="276" w:lineRule="auto"/>
        <w:ind w:firstLine="720"/>
        <w:jc w:val="both"/>
      </w:pPr>
      <w:r>
        <w:t xml:space="preserve">Senāts </w:t>
      </w:r>
      <w:r w:rsidR="00B657A1" w:rsidRPr="00A42959">
        <w:t>šādā sastāvā: senatore</w:t>
      </w:r>
      <w:r w:rsidR="00B657A1">
        <w:t xml:space="preserve"> referente </w:t>
      </w:r>
      <w:r w:rsidR="00B657A1" w:rsidRPr="00A42959">
        <w:t xml:space="preserve">Ieva Višķere, </w:t>
      </w:r>
      <w:r w:rsidR="00B657A1">
        <w:t>senatores Ilze Freimane un Rudīte Vīduša</w:t>
      </w:r>
    </w:p>
    <w:p w14:paraId="5EB75A4A" w14:textId="77777777" w:rsidR="00B657A1" w:rsidRPr="00A42959" w:rsidRDefault="00B657A1" w:rsidP="002F3C38">
      <w:pPr>
        <w:spacing w:line="276" w:lineRule="auto"/>
        <w:ind w:firstLine="720"/>
        <w:jc w:val="both"/>
      </w:pPr>
    </w:p>
    <w:p w14:paraId="3B0FB9CD" w14:textId="48ADE49B" w:rsidR="00B657A1" w:rsidRDefault="00B657A1" w:rsidP="002F3C38">
      <w:pPr>
        <w:spacing w:line="276" w:lineRule="auto"/>
        <w:ind w:firstLine="720"/>
        <w:jc w:val="both"/>
      </w:pPr>
      <w:r w:rsidRPr="00A42959">
        <w:t xml:space="preserve">rakstveida procesā izskatīja </w:t>
      </w:r>
      <w:r>
        <w:t>SIA „Gulbenes autobuss”</w:t>
      </w:r>
      <w:r w:rsidRPr="00A42959">
        <w:t xml:space="preserve"> blakus sūdzību par Administratīvās rajona tiesas tiesneša 202</w:t>
      </w:r>
      <w:r>
        <w:t>3.</w:t>
      </w:r>
      <w:r w:rsidRPr="00A42959">
        <w:t xml:space="preserve">gada </w:t>
      </w:r>
      <w:r>
        <w:t>23.maija</w:t>
      </w:r>
      <w:r w:rsidRPr="00A42959">
        <w:t xml:space="preserve"> lēmumu, ar kuru atteikts </w:t>
      </w:r>
      <w:r>
        <w:t>izskatīt</w:t>
      </w:r>
      <w:r w:rsidRPr="00B657A1">
        <w:t xml:space="preserve"> </w:t>
      </w:r>
      <w:r>
        <w:t>SIA</w:t>
      </w:r>
      <w:r w:rsidR="001D0D45">
        <w:t> </w:t>
      </w:r>
      <w:r>
        <w:t>„Gulbenes autobuss”</w:t>
      </w:r>
      <w:r w:rsidRPr="00A42959">
        <w:t xml:space="preserve"> pieteikumu.</w:t>
      </w:r>
    </w:p>
    <w:p w14:paraId="6557BD0B" w14:textId="77777777" w:rsidR="00B657A1" w:rsidRDefault="00B657A1" w:rsidP="002F3C38">
      <w:pPr>
        <w:spacing w:line="276" w:lineRule="auto"/>
        <w:ind w:firstLine="720"/>
        <w:jc w:val="both"/>
      </w:pPr>
    </w:p>
    <w:p w14:paraId="71FC4B73" w14:textId="77777777" w:rsidR="00B657A1" w:rsidRPr="009D6594" w:rsidRDefault="00B657A1" w:rsidP="002F3C38">
      <w:pPr>
        <w:spacing w:line="276" w:lineRule="auto"/>
        <w:jc w:val="center"/>
        <w:rPr>
          <w:b/>
        </w:rPr>
      </w:pPr>
      <w:r w:rsidRPr="009D6594">
        <w:rPr>
          <w:b/>
        </w:rPr>
        <w:t>Aprakstošā daļa</w:t>
      </w:r>
    </w:p>
    <w:p w14:paraId="76E76FAA" w14:textId="77777777" w:rsidR="00B657A1" w:rsidRDefault="00B657A1" w:rsidP="002F3C38">
      <w:pPr>
        <w:spacing w:line="276" w:lineRule="auto"/>
        <w:ind w:firstLine="567"/>
        <w:jc w:val="both"/>
      </w:pPr>
    </w:p>
    <w:p w14:paraId="3E8D428A" w14:textId="31B8D433" w:rsidR="00160BE6" w:rsidRDefault="00B657A1" w:rsidP="002F3C38">
      <w:pPr>
        <w:autoSpaceDE w:val="0"/>
        <w:autoSpaceDN w:val="0"/>
        <w:adjustRightInd w:val="0"/>
        <w:spacing w:line="276" w:lineRule="auto"/>
        <w:ind w:firstLine="720"/>
        <w:jc w:val="both"/>
        <w:rPr>
          <w:rFonts w:eastAsia="TimesNewRomanPSMT"/>
          <w:lang w:eastAsia="en-US"/>
          <w14:ligatures w14:val="standardContextual"/>
        </w:rPr>
      </w:pPr>
      <w:r w:rsidRPr="004D1202">
        <w:t>[1]</w:t>
      </w:r>
      <w:r w:rsidR="00B362FE">
        <w:t xml:space="preserve"> </w:t>
      </w:r>
      <w:r w:rsidR="00F00AE7">
        <w:rPr>
          <w:rFonts w:eastAsia="TimesNewRomanPSMT"/>
          <w:lang w:eastAsia="en-US"/>
          <w14:ligatures w14:val="standardContextual"/>
        </w:rPr>
        <w:t>P</w:t>
      </w:r>
      <w:r w:rsidR="00F00AE7" w:rsidRPr="00F00AE7">
        <w:rPr>
          <w:rFonts w:eastAsia="TimesNewRomanPSMT"/>
          <w:lang w:eastAsia="en-US"/>
          <w14:ligatures w14:val="standardContextual"/>
        </w:rPr>
        <w:t xml:space="preserve">asūtītāja </w:t>
      </w:r>
      <w:r w:rsidR="00F00AE7">
        <w:rPr>
          <w:rFonts w:eastAsia="TimesNewRomanPSMT"/>
          <w:lang w:eastAsia="en-US"/>
          <w14:ligatures w14:val="standardContextual"/>
        </w:rPr>
        <w:t>valsts SIA</w:t>
      </w:r>
      <w:r w:rsidR="001D0D45">
        <w:rPr>
          <w:rFonts w:eastAsia="TimesNewRomanPSMT"/>
          <w:lang w:eastAsia="en-US"/>
          <w14:ligatures w14:val="standardContextual"/>
        </w:rPr>
        <w:t> </w:t>
      </w:r>
      <w:r w:rsidR="00F00AE7">
        <w:rPr>
          <w:rFonts w:eastAsia="TimesNewRomanPSMT"/>
          <w:lang w:eastAsia="en-US"/>
          <w14:ligatures w14:val="standardContextual"/>
        </w:rPr>
        <w:t xml:space="preserve">„Autotransporta direkcija” </w:t>
      </w:r>
      <w:r w:rsidR="00F00AE7" w:rsidRPr="00F00AE7">
        <w:rPr>
          <w:rFonts w:eastAsia="TimesNewRomanPSMT"/>
          <w:lang w:eastAsia="en-US"/>
          <w14:ligatures w14:val="standardContextual"/>
        </w:rPr>
        <w:t>izsludināj</w:t>
      </w:r>
      <w:r w:rsidR="00160BE6">
        <w:rPr>
          <w:rFonts w:eastAsia="TimesNewRomanPSMT"/>
          <w:lang w:eastAsia="en-US"/>
          <w14:ligatures w14:val="standardContextual"/>
        </w:rPr>
        <w:t>a</w:t>
      </w:r>
      <w:r w:rsidR="00F00AE7" w:rsidRPr="00F00AE7">
        <w:rPr>
          <w:rFonts w:eastAsia="TimesNewRomanPSMT"/>
          <w:lang w:eastAsia="en-US"/>
          <w14:ligatures w14:val="standardContextual"/>
        </w:rPr>
        <w:t xml:space="preserve"> atklātu konkursu „Par tiesību piešķiršanu sabiedriskā transporta pakalpojumu</w:t>
      </w:r>
      <w:r w:rsidR="00F00AE7">
        <w:rPr>
          <w:rFonts w:eastAsia="TimesNewRomanPSMT"/>
          <w:lang w:eastAsia="en-US"/>
          <w14:ligatures w14:val="standardContextual"/>
        </w:rPr>
        <w:t xml:space="preserve"> </w:t>
      </w:r>
      <w:r w:rsidR="00F00AE7" w:rsidRPr="00F00AE7">
        <w:rPr>
          <w:rFonts w:eastAsia="TimesNewRomanPSMT"/>
          <w:lang w:eastAsia="en-US"/>
          <w14:ligatures w14:val="standardContextual"/>
        </w:rPr>
        <w:t>sniegšanai ar autobusiem reģionālās nozīmes maršrutu tīklā” (identifikācijas Nr.</w:t>
      </w:r>
      <w:r w:rsidR="00100F80">
        <w:rPr>
          <w:rFonts w:eastAsia="TimesNewRomanPSMT"/>
          <w:lang w:eastAsia="en-US"/>
          <w14:ligatures w14:val="standardContextual"/>
        </w:rPr>
        <w:t> </w:t>
      </w:r>
      <w:r w:rsidR="00F00AE7" w:rsidRPr="00F00AE7">
        <w:rPr>
          <w:rFonts w:eastAsia="TimesNewRomanPSMT"/>
          <w:lang w:eastAsia="en-US"/>
          <w14:ligatures w14:val="standardContextual"/>
        </w:rPr>
        <w:t>AD 2021/9)</w:t>
      </w:r>
      <w:r w:rsidR="00FF4B7D">
        <w:rPr>
          <w:rFonts w:eastAsia="TimesNewRomanPSMT"/>
          <w:lang w:eastAsia="en-US"/>
          <w14:ligatures w14:val="standardContextual"/>
        </w:rPr>
        <w:t xml:space="preserve">. Iepirkuma priekšmets bija </w:t>
      </w:r>
      <w:r w:rsidR="00F00AE7" w:rsidRPr="00F00AE7">
        <w:rPr>
          <w:rFonts w:eastAsia="TimesNewRomanPSMT"/>
          <w:lang w:eastAsia="en-US"/>
          <w14:ligatures w14:val="standardContextual"/>
        </w:rPr>
        <w:t xml:space="preserve">sadalīts </w:t>
      </w:r>
      <w:r w:rsidR="00FF4B7D">
        <w:rPr>
          <w:rFonts w:eastAsia="TimesNewRomanPSMT"/>
          <w:lang w:eastAsia="en-US"/>
          <w14:ligatures w14:val="standardContextual"/>
        </w:rPr>
        <w:t>septiņās</w:t>
      </w:r>
      <w:r w:rsidR="00F00AE7" w:rsidRPr="00F00AE7">
        <w:rPr>
          <w:rFonts w:eastAsia="TimesNewRomanPSMT"/>
          <w:lang w:eastAsia="en-US"/>
          <w14:ligatures w14:val="standardContextual"/>
        </w:rPr>
        <w:t xml:space="preserve"> reģionālās nozīmes maršrutu tīkla daļās</w:t>
      </w:r>
      <w:r w:rsidR="00F00AE7">
        <w:rPr>
          <w:rFonts w:eastAsia="TimesNewRomanPSMT"/>
          <w:lang w:eastAsia="en-US"/>
          <w14:ligatures w14:val="standardContextual"/>
        </w:rPr>
        <w:t xml:space="preserve"> </w:t>
      </w:r>
      <w:r w:rsidR="00F00AE7" w:rsidRPr="00F00AE7">
        <w:rPr>
          <w:rFonts w:eastAsia="TimesNewRomanPSMT"/>
          <w:lang w:eastAsia="en-US"/>
          <w14:ligatures w14:val="standardContextual"/>
        </w:rPr>
        <w:t>(lotēs): 1.</w:t>
      </w:r>
      <w:r w:rsidR="007C528B">
        <w:rPr>
          <w:rFonts w:eastAsia="TimesNewRomanPSMT"/>
          <w:lang w:eastAsia="en-US"/>
          <w14:ligatures w14:val="standardContextual"/>
        </w:rPr>
        <w:t>lote</w:t>
      </w:r>
      <w:r w:rsidR="00FF4B7D">
        <w:rPr>
          <w:rFonts w:eastAsia="TimesNewRomanPSMT"/>
          <w:lang w:eastAsia="en-US"/>
          <w14:ligatures w14:val="standardContextual"/>
        </w:rPr>
        <w:t xml:space="preserve"> – </w:t>
      </w:r>
      <w:r w:rsidR="00F00AE7" w:rsidRPr="00F00AE7">
        <w:rPr>
          <w:rFonts w:eastAsia="TimesNewRomanPSMT"/>
          <w:lang w:eastAsia="en-US"/>
          <w14:ligatures w14:val="standardContextual"/>
        </w:rPr>
        <w:t>„Gulbene, Alūksne, Balvi”, 2.</w:t>
      </w:r>
      <w:r w:rsidR="007C528B">
        <w:rPr>
          <w:rFonts w:eastAsia="TimesNewRomanPSMT"/>
          <w:lang w:eastAsia="en-US"/>
          <w14:ligatures w14:val="standardContextual"/>
        </w:rPr>
        <w:t>lote</w:t>
      </w:r>
      <w:r w:rsidR="00FF4B7D">
        <w:rPr>
          <w:rFonts w:eastAsia="TimesNewRomanPSMT"/>
          <w:lang w:eastAsia="en-US"/>
          <w14:ligatures w14:val="standardContextual"/>
        </w:rPr>
        <w:t xml:space="preserve"> – </w:t>
      </w:r>
      <w:r w:rsidR="00F00AE7" w:rsidRPr="00F00AE7">
        <w:rPr>
          <w:rFonts w:eastAsia="TimesNewRomanPSMT"/>
          <w:lang w:eastAsia="en-US"/>
          <w14:ligatures w14:val="standardContextual"/>
        </w:rPr>
        <w:t>„Jelgava, Dobele”, 3.</w:t>
      </w:r>
      <w:r w:rsidR="007C528B">
        <w:rPr>
          <w:rFonts w:eastAsia="TimesNewRomanPSMT"/>
          <w:lang w:eastAsia="en-US"/>
          <w14:ligatures w14:val="standardContextual"/>
        </w:rPr>
        <w:t>lote</w:t>
      </w:r>
      <w:r w:rsidR="00F00AE7" w:rsidRPr="00F00AE7">
        <w:rPr>
          <w:rFonts w:eastAsia="TimesNewRomanPSMT"/>
          <w:lang w:eastAsia="en-US"/>
          <w14:ligatures w14:val="standardContextual"/>
        </w:rPr>
        <w:t xml:space="preserve"> </w:t>
      </w:r>
      <w:r w:rsidR="00FF4B7D">
        <w:rPr>
          <w:rFonts w:eastAsia="TimesNewRomanPSMT"/>
          <w:lang w:eastAsia="en-US"/>
          <w14:ligatures w14:val="standardContextual"/>
        </w:rPr>
        <w:t xml:space="preserve">– </w:t>
      </w:r>
      <w:r w:rsidR="00F00AE7" w:rsidRPr="00F00AE7">
        <w:rPr>
          <w:rFonts w:eastAsia="TimesNewRomanPSMT"/>
          <w:lang w:eastAsia="en-US"/>
          <w14:ligatures w14:val="standardContextual"/>
        </w:rPr>
        <w:t>„Madona”, 4.</w:t>
      </w:r>
      <w:r w:rsidR="007C528B">
        <w:rPr>
          <w:rFonts w:eastAsia="TimesNewRomanPSMT"/>
          <w:lang w:eastAsia="en-US"/>
          <w14:ligatures w14:val="standardContextual"/>
        </w:rPr>
        <w:t>lote</w:t>
      </w:r>
      <w:r w:rsidR="00FF4B7D">
        <w:rPr>
          <w:rFonts w:eastAsia="TimesNewRomanPSMT"/>
          <w:lang w:eastAsia="en-US"/>
          <w14:ligatures w14:val="standardContextual"/>
        </w:rPr>
        <w:t xml:space="preserve"> – </w:t>
      </w:r>
      <w:r w:rsidR="00F00AE7" w:rsidRPr="00F00AE7">
        <w:rPr>
          <w:rFonts w:eastAsia="TimesNewRomanPSMT"/>
          <w:lang w:eastAsia="en-US"/>
          <w14:ligatures w14:val="standardContextual"/>
        </w:rPr>
        <w:t>„Rēzekne, Ludza”, 5.</w:t>
      </w:r>
      <w:r w:rsidR="007C528B">
        <w:rPr>
          <w:rFonts w:eastAsia="TimesNewRomanPSMT"/>
          <w:lang w:eastAsia="en-US"/>
          <w14:ligatures w14:val="standardContextual"/>
        </w:rPr>
        <w:t>lote</w:t>
      </w:r>
      <w:r w:rsidR="00F00AE7" w:rsidRPr="00F00AE7">
        <w:rPr>
          <w:rFonts w:eastAsia="TimesNewRomanPSMT"/>
          <w:lang w:eastAsia="en-US"/>
          <w14:ligatures w14:val="standardContextual"/>
        </w:rPr>
        <w:t xml:space="preserve"> </w:t>
      </w:r>
      <w:r w:rsidR="00FF4B7D">
        <w:rPr>
          <w:rFonts w:eastAsia="TimesNewRomanPSMT"/>
          <w:lang w:eastAsia="en-US"/>
          <w14:ligatures w14:val="standardContextual"/>
        </w:rPr>
        <w:t xml:space="preserve">–  </w:t>
      </w:r>
      <w:r w:rsidR="00F00AE7" w:rsidRPr="00F00AE7">
        <w:rPr>
          <w:rFonts w:eastAsia="TimesNewRomanPSMT"/>
          <w:lang w:eastAsia="en-US"/>
          <w14:ligatures w14:val="standardContextual"/>
        </w:rPr>
        <w:t>„Talsi, Tukums”, 6.</w:t>
      </w:r>
      <w:r w:rsidR="007C528B">
        <w:rPr>
          <w:rFonts w:eastAsia="TimesNewRomanPSMT"/>
          <w:lang w:eastAsia="en-US"/>
          <w14:ligatures w14:val="standardContextual"/>
        </w:rPr>
        <w:t>lote</w:t>
      </w:r>
      <w:r w:rsidR="00F00AE7" w:rsidRPr="00F00AE7">
        <w:rPr>
          <w:rFonts w:eastAsia="TimesNewRomanPSMT"/>
          <w:lang w:eastAsia="en-US"/>
          <w14:ligatures w14:val="standardContextual"/>
        </w:rPr>
        <w:t xml:space="preserve"> </w:t>
      </w:r>
      <w:r w:rsidR="00FF4B7D">
        <w:rPr>
          <w:rFonts w:eastAsia="TimesNewRomanPSMT"/>
          <w:lang w:eastAsia="en-US"/>
          <w14:ligatures w14:val="standardContextual"/>
        </w:rPr>
        <w:t xml:space="preserve">– </w:t>
      </w:r>
      <w:r w:rsidR="00F00AE7" w:rsidRPr="00F00AE7">
        <w:rPr>
          <w:rFonts w:eastAsia="TimesNewRomanPSMT"/>
          <w:lang w:eastAsia="en-US"/>
          <w14:ligatures w14:val="standardContextual"/>
        </w:rPr>
        <w:t>„Valmiera, Valka, Smiltene”, 7.</w:t>
      </w:r>
      <w:r w:rsidR="007C528B">
        <w:rPr>
          <w:rFonts w:eastAsia="TimesNewRomanPSMT"/>
          <w:lang w:eastAsia="en-US"/>
          <w14:ligatures w14:val="standardContextual"/>
        </w:rPr>
        <w:t>lote</w:t>
      </w:r>
      <w:r w:rsidR="00FF4B7D">
        <w:rPr>
          <w:rFonts w:eastAsia="TimesNewRomanPSMT"/>
          <w:lang w:eastAsia="en-US"/>
          <w14:ligatures w14:val="standardContextual"/>
        </w:rPr>
        <w:t xml:space="preserve"> – </w:t>
      </w:r>
      <w:r w:rsidR="00F00AE7" w:rsidRPr="00F00AE7">
        <w:rPr>
          <w:rFonts w:eastAsia="TimesNewRomanPSMT"/>
          <w:lang w:eastAsia="en-US"/>
          <w14:ligatures w14:val="standardContextual"/>
        </w:rPr>
        <w:t>„Ventspils”.</w:t>
      </w:r>
      <w:r w:rsidR="00F00AE7">
        <w:rPr>
          <w:rFonts w:eastAsia="TimesNewRomanPSMT"/>
          <w:lang w:eastAsia="en-US"/>
          <w14:ligatures w14:val="standardContextual"/>
        </w:rPr>
        <w:t xml:space="preserve"> </w:t>
      </w:r>
    </w:p>
    <w:p w14:paraId="009235AC" w14:textId="5CEBB218" w:rsidR="000574A9" w:rsidRDefault="00F00AE7" w:rsidP="002F3C38">
      <w:pPr>
        <w:autoSpaceDE w:val="0"/>
        <w:autoSpaceDN w:val="0"/>
        <w:adjustRightInd w:val="0"/>
        <w:spacing w:line="276" w:lineRule="auto"/>
        <w:ind w:firstLine="720"/>
        <w:jc w:val="both"/>
        <w:rPr>
          <w:rFonts w:eastAsia="TimesNewRomanPSMT"/>
          <w:lang w:eastAsia="en-US"/>
          <w14:ligatures w14:val="standardContextual"/>
        </w:rPr>
      </w:pPr>
      <w:r w:rsidRPr="00F00AE7">
        <w:rPr>
          <w:rFonts w:eastAsia="TimesNewRomanPSMT"/>
          <w:lang w:eastAsia="en-US"/>
          <w14:ligatures w14:val="standardContextual"/>
        </w:rPr>
        <w:t xml:space="preserve">Pieteicēja </w:t>
      </w:r>
      <w:r w:rsidR="00160BE6">
        <w:t>SIA</w:t>
      </w:r>
      <w:r w:rsidR="001D0D45">
        <w:t> </w:t>
      </w:r>
      <w:r w:rsidR="00160BE6">
        <w:t xml:space="preserve">„Gulbenes autobuss” </w:t>
      </w:r>
      <w:r w:rsidRPr="00F00AE7">
        <w:rPr>
          <w:rFonts w:eastAsia="TimesNewRomanPSMT"/>
          <w:lang w:eastAsia="en-US"/>
          <w14:ligatures w14:val="standardContextual"/>
        </w:rPr>
        <w:t xml:space="preserve">iesniedza piedāvājumu </w:t>
      </w:r>
      <w:r w:rsidR="00160BE6">
        <w:rPr>
          <w:rFonts w:eastAsia="TimesNewRomanPSMT"/>
          <w:lang w:eastAsia="en-US"/>
          <w14:ligatures w14:val="standardContextual"/>
        </w:rPr>
        <w:t>1.</w:t>
      </w:r>
      <w:r w:rsidR="00192D5C">
        <w:rPr>
          <w:rFonts w:eastAsia="TimesNewRomanPSMT"/>
          <w:lang w:eastAsia="en-US"/>
          <w14:ligatures w14:val="standardContextual"/>
        </w:rPr>
        <w:t>lotē</w:t>
      </w:r>
      <w:r w:rsidRPr="00F00AE7">
        <w:rPr>
          <w:rFonts w:eastAsia="TimesNewRomanPSMT"/>
          <w:lang w:eastAsia="en-US"/>
          <w14:ligatures w14:val="standardContextual"/>
        </w:rPr>
        <w:t xml:space="preserve">. </w:t>
      </w:r>
    </w:p>
    <w:p w14:paraId="7000708B" w14:textId="1B0A98BC" w:rsidR="00192D5C" w:rsidRDefault="00F00AE7" w:rsidP="002F3C38">
      <w:pPr>
        <w:autoSpaceDE w:val="0"/>
        <w:autoSpaceDN w:val="0"/>
        <w:adjustRightInd w:val="0"/>
        <w:spacing w:line="276" w:lineRule="auto"/>
        <w:ind w:firstLine="720"/>
        <w:jc w:val="both"/>
        <w:rPr>
          <w:rFonts w:eastAsia="TimesNewRomanPSMT"/>
          <w:lang w:eastAsia="en-US"/>
          <w14:ligatures w14:val="standardContextual"/>
        </w:rPr>
      </w:pPr>
      <w:r w:rsidRPr="00F00AE7">
        <w:rPr>
          <w:rFonts w:eastAsia="TimesNewRomanPSMT"/>
          <w:lang w:eastAsia="en-US"/>
          <w14:ligatures w14:val="standardContextual"/>
        </w:rPr>
        <w:t>Par konkursa uzvarētāj</w:t>
      </w:r>
      <w:r w:rsidR="00160BE6">
        <w:rPr>
          <w:rFonts w:eastAsia="TimesNewRomanPSMT"/>
          <w:lang w:eastAsia="en-US"/>
          <w14:ligatures w14:val="standardContextual"/>
        </w:rPr>
        <w:t>iem tika atzīti citi komersanti, ar kuriem 2023.gad</w:t>
      </w:r>
      <w:r w:rsidR="00DB6A2A">
        <w:rPr>
          <w:rFonts w:eastAsia="TimesNewRomanPSMT"/>
          <w:lang w:eastAsia="en-US"/>
          <w14:ligatures w14:val="standardContextual"/>
        </w:rPr>
        <w:t>a martā un aprīlī</w:t>
      </w:r>
      <w:r w:rsidR="00160BE6">
        <w:rPr>
          <w:rFonts w:eastAsia="TimesNewRomanPSMT"/>
          <w:lang w:eastAsia="en-US"/>
          <w14:ligatures w14:val="standardContextual"/>
        </w:rPr>
        <w:t xml:space="preserve"> tika noslēgti </w:t>
      </w:r>
      <w:r w:rsidR="006927CE">
        <w:rPr>
          <w:rFonts w:eastAsia="TimesNewRomanPSMT"/>
          <w:lang w:eastAsia="en-US"/>
          <w14:ligatures w14:val="standardContextual"/>
        </w:rPr>
        <w:t xml:space="preserve">iepirkuma </w:t>
      </w:r>
      <w:r w:rsidR="00160BE6">
        <w:rPr>
          <w:rFonts w:eastAsia="TimesNewRomanPSMT"/>
          <w:lang w:eastAsia="en-US"/>
          <w14:ligatures w14:val="standardContextual"/>
        </w:rPr>
        <w:t xml:space="preserve">līgumi. </w:t>
      </w:r>
    </w:p>
    <w:p w14:paraId="348B4F07" w14:textId="77777777" w:rsidR="002F50DD" w:rsidRDefault="002F50DD" w:rsidP="002F3C38">
      <w:pPr>
        <w:autoSpaceDE w:val="0"/>
        <w:autoSpaceDN w:val="0"/>
        <w:adjustRightInd w:val="0"/>
        <w:spacing w:line="276" w:lineRule="auto"/>
        <w:ind w:firstLine="720"/>
        <w:jc w:val="both"/>
        <w:rPr>
          <w:rFonts w:eastAsia="TimesNewRomanPSMT"/>
          <w:lang w:eastAsia="en-US"/>
          <w14:ligatures w14:val="standardContextual"/>
        </w:rPr>
      </w:pPr>
    </w:p>
    <w:p w14:paraId="225A38EA" w14:textId="4C1E725E" w:rsidR="000D236D" w:rsidRDefault="002F50DD" w:rsidP="002F3C38">
      <w:pPr>
        <w:autoSpaceDE w:val="0"/>
        <w:autoSpaceDN w:val="0"/>
        <w:adjustRightInd w:val="0"/>
        <w:spacing w:line="276" w:lineRule="auto"/>
        <w:ind w:firstLine="720"/>
        <w:jc w:val="both"/>
        <w:rPr>
          <w:rFonts w:eastAsia="TimesNewRomanPSMT"/>
          <w:lang w:eastAsia="en-US"/>
          <w14:ligatures w14:val="standardContextual"/>
        </w:rPr>
      </w:pPr>
      <w:r>
        <w:rPr>
          <w:rFonts w:eastAsia="TimesNewRomanPSMT"/>
          <w:lang w:eastAsia="en-US"/>
          <w14:ligatures w14:val="standardContextual"/>
        </w:rPr>
        <w:lastRenderedPageBreak/>
        <w:t xml:space="preserve">[2] </w:t>
      </w:r>
      <w:r w:rsidR="00192D5C" w:rsidRPr="00192D5C">
        <w:rPr>
          <w:rFonts w:eastAsia="TimesNewRomanPSMT"/>
          <w:lang w:eastAsia="en-US"/>
          <w14:ligatures w14:val="standardContextual"/>
        </w:rPr>
        <w:t xml:space="preserve">Pieteicēja vērsās tiesā </w:t>
      </w:r>
      <w:r w:rsidR="006732AE">
        <w:rPr>
          <w:rFonts w:eastAsia="TimesNewRomanPSMT"/>
          <w:lang w:eastAsia="en-US"/>
          <w14:ligatures w14:val="standardContextual"/>
        </w:rPr>
        <w:t xml:space="preserve">ar </w:t>
      </w:r>
      <w:r w:rsidR="00192D5C" w:rsidRPr="00192D5C">
        <w:rPr>
          <w:rFonts w:eastAsia="TimesNewRomanPSMT"/>
          <w:lang w:eastAsia="en-US"/>
          <w14:ligatures w14:val="standardContextual"/>
        </w:rPr>
        <w:t xml:space="preserve">pieteikumu, lūdzot atzīt par spēkā neesošiem </w:t>
      </w:r>
      <w:r w:rsidR="00192D5C">
        <w:rPr>
          <w:rFonts w:eastAsia="TimesNewRomanPSMT"/>
          <w:lang w:eastAsia="en-US"/>
          <w14:ligatures w14:val="standardContextual"/>
        </w:rPr>
        <w:t>iepirkum</w:t>
      </w:r>
      <w:r w:rsidR="00DB6A2A">
        <w:rPr>
          <w:rFonts w:eastAsia="TimesNewRomanPSMT"/>
          <w:lang w:eastAsia="en-US"/>
          <w14:ligatures w14:val="standardContextual"/>
        </w:rPr>
        <w:t>a</w:t>
      </w:r>
      <w:r w:rsidR="00192D5C">
        <w:rPr>
          <w:rFonts w:eastAsia="TimesNewRomanPSMT"/>
          <w:lang w:eastAsia="en-US"/>
          <w14:ligatures w14:val="standardContextual"/>
        </w:rPr>
        <w:t xml:space="preserve"> līgum</w:t>
      </w:r>
      <w:r w:rsidR="006421E7">
        <w:rPr>
          <w:rFonts w:eastAsia="TimesNewRomanPSMT"/>
          <w:lang w:eastAsia="en-US"/>
          <w14:ligatures w14:val="standardContextual"/>
        </w:rPr>
        <w:t>us,</w:t>
      </w:r>
      <w:r w:rsidR="00192D5C">
        <w:rPr>
          <w:rFonts w:eastAsia="TimesNewRomanPSMT"/>
          <w:lang w:eastAsia="en-US"/>
          <w14:ligatures w14:val="standardContextual"/>
        </w:rPr>
        <w:t xml:space="preserve"> kas noslēgti par kon</w:t>
      </w:r>
      <w:r w:rsidR="00FF4B7D">
        <w:rPr>
          <w:rFonts w:eastAsia="TimesNewRomanPSMT"/>
          <w:lang w:eastAsia="en-US"/>
          <w14:ligatures w14:val="standardContextual"/>
        </w:rPr>
        <w:t>k</w:t>
      </w:r>
      <w:r w:rsidR="00192D5C">
        <w:rPr>
          <w:rFonts w:eastAsia="TimesNewRomanPSMT"/>
          <w:lang w:eastAsia="en-US"/>
          <w14:ligatures w14:val="standardContextual"/>
        </w:rPr>
        <w:t>ursa 1., 2., 4., 5.</w:t>
      </w:r>
      <w:r w:rsidR="00FF4B7D">
        <w:rPr>
          <w:rFonts w:eastAsia="TimesNewRomanPSMT"/>
          <w:lang w:eastAsia="en-US"/>
          <w14:ligatures w14:val="standardContextual"/>
        </w:rPr>
        <w:t xml:space="preserve"> un</w:t>
      </w:r>
      <w:r w:rsidR="00192D5C">
        <w:rPr>
          <w:rFonts w:eastAsia="TimesNewRomanPSMT"/>
          <w:lang w:eastAsia="en-US"/>
          <w14:ligatures w14:val="standardContextual"/>
        </w:rPr>
        <w:t xml:space="preserve"> 7</w:t>
      </w:r>
      <w:r w:rsidR="00FF4B7D">
        <w:rPr>
          <w:rFonts w:eastAsia="TimesNewRomanPSMT"/>
          <w:lang w:eastAsia="en-US"/>
          <w14:ligatures w14:val="standardContextual"/>
        </w:rPr>
        <w:t>.loti</w:t>
      </w:r>
      <w:r w:rsidR="006421E7">
        <w:rPr>
          <w:rFonts w:eastAsia="TimesNewRomanPSMT"/>
          <w:lang w:eastAsia="en-US"/>
          <w14:ligatures w14:val="standardContextual"/>
        </w:rPr>
        <w:t>, vai saīsināt tiem termiņus</w:t>
      </w:r>
      <w:r w:rsidR="00FF4B7D">
        <w:rPr>
          <w:rFonts w:eastAsia="TimesNewRomanPSMT"/>
          <w:lang w:eastAsia="en-US"/>
          <w14:ligatures w14:val="standardContextual"/>
        </w:rPr>
        <w:t>.</w:t>
      </w:r>
    </w:p>
    <w:p w14:paraId="5FD17264" w14:textId="591C2D1E" w:rsidR="006732AE" w:rsidRDefault="00FF4B7D" w:rsidP="002F3C38">
      <w:pPr>
        <w:autoSpaceDE w:val="0"/>
        <w:autoSpaceDN w:val="0"/>
        <w:adjustRightInd w:val="0"/>
        <w:spacing w:line="276" w:lineRule="auto"/>
        <w:ind w:firstLine="720"/>
        <w:jc w:val="both"/>
        <w:rPr>
          <w:rFonts w:eastAsia="TimesNewRomanPSMT"/>
          <w:lang w:eastAsia="en-US"/>
          <w14:ligatures w14:val="standardContextual"/>
        </w:rPr>
      </w:pPr>
      <w:r>
        <w:rPr>
          <w:rFonts w:eastAsia="TimesNewRomanPSMT"/>
          <w:lang w:eastAsia="en-US"/>
          <w14:ligatures w14:val="standardContextual"/>
        </w:rPr>
        <w:t xml:space="preserve">Pieteikums pamatots ar to, ka šajos līgumos noteiktais termiņš pakalpojumu sniegšanas uzsākšanai </w:t>
      </w:r>
      <w:r w:rsidR="006732AE" w:rsidRPr="006732AE">
        <w:rPr>
          <w:rFonts w:eastAsia="TimesNewRomanPSMT"/>
          <w:lang w:eastAsia="en-US"/>
          <w14:ligatures w14:val="standardContextual"/>
        </w:rPr>
        <w:t xml:space="preserve">pakalpojumu sniedzējiem dod ilgāku laiku, lai sagatavotos līguma pildīšanai, nekā bija paredzēts konkursa nolikumā. </w:t>
      </w:r>
      <w:r w:rsidR="000D236D">
        <w:rPr>
          <w:rFonts w:eastAsia="TimesNewRomanPSMT"/>
          <w:lang w:eastAsia="en-US"/>
          <w14:ligatures w14:val="standardContextual"/>
        </w:rPr>
        <w:t xml:space="preserve">Proti, atbilstoši konkursa nolikuma 3.7.punktam (ņemot vērā arī skaidrojumu, ko pasūtītāja sniegusi par šo strīdus normu iepriekšējā analogā iepirkumā) </w:t>
      </w:r>
      <w:r w:rsidR="000D236D" w:rsidRPr="006732AE">
        <w:rPr>
          <w:rFonts w:eastAsiaTheme="minorHAnsi"/>
          <w:lang w:eastAsia="en-US"/>
          <w14:ligatures w14:val="standardContextual"/>
        </w:rPr>
        <w:t>maksimālais</w:t>
      </w:r>
      <w:r w:rsidR="000D236D">
        <w:rPr>
          <w:rFonts w:eastAsiaTheme="minorHAnsi"/>
          <w:lang w:eastAsia="en-US"/>
          <w14:ligatures w14:val="standardContextual"/>
        </w:rPr>
        <w:t xml:space="preserve"> laiks, k</w:t>
      </w:r>
      <w:r w:rsidR="000D236D" w:rsidRPr="006732AE">
        <w:rPr>
          <w:rFonts w:eastAsiaTheme="minorHAnsi"/>
          <w:lang w:eastAsia="en-US"/>
          <w14:ligatures w14:val="standardContextual"/>
        </w:rPr>
        <w:t xml:space="preserve">āds </w:t>
      </w:r>
      <w:r w:rsidR="000D236D">
        <w:rPr>
          <w:rFonts w:eastAsiaTheme="minorHAnsi"/>
          <w:lang w:eastAsia="en-US"/>
          <w14:ligatures w14:val="standardContextual"/>
        </w:rPr>
        <w:t xml:space="preserve">varēja tikt dots </w:t>
      </w:r>
      <w:r w:rsidR="000D236D" w:rsidRPr="006732AE">
        <w:rPr>
          <w:rFonts w:eastAsiaTheme="minorHAnsi"/>
          <w:lang w:eastAsia="en-US"/>
          <w14:ligatures w14:val="standardContextual"/>
        </w:rPr>
        <w:t>pakalpojumu sniegšanas uzsākšanai, bija 13 mēneši</w:t>
      </w:r>
      <w:r w:rsidR="000D236D">
        <w:rPr>
          <w:rFonts w:eastAsiaTheme="minorHAnsi"/>
          <w:lang w:eastAsia="en-US"/>
          <w14:ligatures w14:val="standardContextual"/>
        </w:rPr>
        <w:t xml:space="preserve"> </w:t>
      </w:r>
      <w:r w:rsidR="000D236D" w:rsidRPr="006732AE">
        <w:rPr>
          <w:rFonts w:eastAsiaTheme="minorHAnsi"/>
          <w:lang w:eastAsia="en-US"/>
          <w14:ligatures w14:val="standardContextual"/>
        </w:rPr>
        <w:t>no līguma noslēgšanas.</w:t>
      </w:r>
      <w:r w:rsidR="000D236D">
        <w:rPr>
          <w:rFonts w:eastAsiaTheme="minorHAnsi"/>
          <w:lang w:eastAsia="en-US"/>
          <w14:ligatures w14:val="standardContextual"/>
        </w:rPr>
        <w:t xml:space="preserve"> Tomēr strīdus līgumos noteikts tāds pakalpojumu sniegšanas uzsākšanas termiņš</w:t>
      </w:r>
      <w:r w:rsidR="000574A9">
        <w:rPr>
          <w:rFonts w:eastAsiaTheme="minorHAnsi"/>
          <w:lang w:eastAsia="en-US"/>
          <w14:ligatures w14:val="standardContextual"/>
        </w:rPr>
        <w:t xml:space="preserve"> (</w:t>
      </w:r>
      <w:r w:rsidR="000D236D">
        <w:rPr>
          <w:rFonts w:eastAsiaTheme="minorHAnsi"/>
          <w:lang w:eastAsia="en-US"/>
          <w14:ligatures w14:val="standardContextual"/>
        </w:rPr>
        <w:t>15 līdz 21 mēnesi</w:t>
      </w:r>
      <w:r w:rsidR="000574A9">
        <w:rPr>
          <w:rFonts w:eastAsiaTheme="minorHAnsi"/>
          <w:lang w:eastAsia="en-US"/>
          <w14:ligatures w14:val="standardContextual"/>
        </w:rPr>
        <w:t>s no līguma noslēgšanas), kas faktiski dod</w:t>
      </w:r>
      <w:r w:rsidR="000D236D">
        <w:rPr>
          <w:rFonts w:eastAsiaTheme="minorHAnsi"/>
          <w:lang w:eastAsia="en-US"/>
          <w14:ligatures w14:val="standardContextual"/>
        </w:rPr>
        <w:t xml:space="preserve"> ilg</w:t>
      </w:r>
      <w:r w:rsidR="000574A9">
        <w:rPr>
          <w:rFonts w:eastAsiaTheme="minorHAnsi"/>
          <w:lang w:eastAsia="en-US"/>
          <w14:ligatures w14:val="standardContextual"/>
        </w:rPr>
        <w:t>āku</w:t>
      </w:r>
      <w:r w:rsidR="000D236D">
        <w:rPr>
          <w:rFonts w:eastAsiaTheme="minorHAnsi"/>
          <w:lang w:eastAsia="en-US"/>
          <w14:ligatures w14:val="standardContextual"/>
        </w:rPr>
        <w:t xml:space="preserve"> sagatavošanās laiku.</w:t>
      </w:r>
      <w:r w:rsidR="000D236D" w:rsidRPr="006732AE">
        <w:rPr>
          <w:rFonts w:eastAsia="TimesNewRomanPSMT"/>
          <w:lang w:eastAsia="en-US"/>
          <w14:ligatures w14:val="standardContextual"/>
        </w:rPr>
        <w:t xml:space="preserve"> </w:t>
      </w:r>
      <w:r w:rsidR="00EF6964">
        <w:rPr>
          <w:rFonts w:eastAsia="TimesNewRomanPSMT"/>
          <w:lang w:eastAsia="en-US"/>
          <w14:ligatures w14:val="standardContextual"/>
        </w:rPr>
        <w:t xml:space="preserve">Šāda atkāpe no nolikuma prasībām būtībā nozīmē, ka </w:t>
      </w:r>
      <w:r w:rsidR="006732AE" w:rsidRPr="006732AE">
        <w:rPr>
          <w:rFonts w:eastAsia="TimesNewRomanPSMT"/>
          <w:lang w:eastAsia="en-US"/>
          <w14:ligatures w14:val="standardContextual"/>
        </w:rPr>
        <w:t>pārsūdzētie līgumi</w:t>
      </w:r>
      <w:r w:rsidR="006732AE" w:rsidRPr="006732AE">
        <w:rPr>
          <w:rFonts w:eastAsia="Calibri"/>
          <w:bCs/>
        </w:rPr>
        <w:t xml:space="preserve"> faktiski ir citi līgumi, nevis tie, par kuriem bija izsludināta konkursa procedūra.</w:t>
      </w:r>
      <w:r w:rsidR="00EF6964">
        <w:rPr>
          <w:rFonts w:eastAsia="Calibri"/>
          <w:bCs/>
        </w:rPr>
        <w:t xml:space="preserve"> </w:t>
      </w:r>
      <w:r w:rsidR="00EF6964" w:rsidRPr="006732AE">
        <w:rPr>
          <w:rFonts w:eastAsia="TimesNewRomanPSMT"/>
          <w:lang w:eastAsia="en-US"/>
          <w14:ligatures w14:val="standardContextual"/>
        </w:rPr>
        <w:t xml:space="preserve">Pretendenti, izvērtējot savas iespējas </w:t>
      </w:r>
      <w:r w:rsidR="00EF6964">
        <w:rPr>
          <w:rFonts w:eastAsia="TimesNewRomanPSMT"/>
          <w:lang w:eastAsia="en-US"/>
          <w14:ligatures w14:val="standardContextual"/>
        </w:rPr>
        <w:t>piedalīties konkursā, bija rēķinājušies ar to, ka sagatavošanās</w:t>
      </w:r>
      <w:r w:rsidR="00C56AFA">
        <w:rPr>
          <w:rFonts w:eastAsia="TimesNewRomanPSMT"/>
          <w:lang w:eastAsia="en-US"/>
          <w14:ligatures w14:val="standardContextual"/>
        </w:rPr>
        <w:t xml:space="preserve"> </w:t>
      </w:r>
      <w:r w:rsidR="00EF6964">
        <w:rPr>
          <w:rFonts w:eastAsia="TimesNewRomanPSMT"/>
          <w:lang w:eastAsia="en-US"/>
          <w14:ligatures w14:val="standardContextual"/>
        </w:rPr>
        <w:lastRenderedPageBreak/>
        <w:t xml:space="preserve">laiks līgumu pildīšanai tiks noteikts atbilstoši nolikumam. Ja pieteicēja būtu zinājusi, ka faktiski tiks dots ilgāks sagatavošanās laiks, tā būtu varējusi iesniegt cita satura piedāvājumu vai piedalīties arī citās </w:t>
      </w:r>
      <w:r w:rsidR="00C56AFA">
        <w:rPr>
          <w:rFonts w:eastAsia="TimesNewRomanPSMT"/>
          <w:lang w:eastAsia="en-US"/>
          <w14:ligatures w14:val="standardContextual"/>
        </w:rPr>
        <w:t xml:space="preserve">konkursa </w:t>
      </w:r>
      <w:r w:rsidR="00EF6964">
        <w:rPr>
          <w:rFonts w:eastAsia="TimesNewRomanPSMT"/>
          <w:lang w:eastAsia="en-US"/>
          <w14:ligatures w14:val="standardContextual"/>
        </w:rPr>
        <w:t>lotēs.</w:t>
      </w:r>
      <w:r w:rsidR="00EF6964" w:rsidRPr="006732AE">
        <w:rPr>
          <w:rFonts w:eastAsia="TimesNewRomanPSMT"/>
          <w:lang w:eastAsia="en-US"/>
          <w14:ligatures w14:val="standardContextual"/>
        </w:rPr>
        <w:t xml:space="preserve"> </w:t>
      </w:r>
      <w:r w:rsidR="00EF6964">
        <w:rPr>
          <w:rFonts w:eastAsia="TimesNewRomanPSMT"/>
          <w:lang w:eastAsia="en-US"/>
          <w14:ligatures w14:val="standardContextual"/>
        </w:rPr>
        <w:t xml:space="preserve"> </w:t>
      </w:r>
    </w:p>
    <w:p w14:paraId="4410F0E7" w14:textId="3F665242" w:rsidR="00EF6964" w:rsidRDefault="00EF6964" w:rsidP="002F3C38">
      <w:pPr>
        <w:autoSpaceDE w:val="0"/>
        <w:autoSpaceDN w:val="0"/>
        <w:adjustRightInd w:val="0"/>
        <w:spacing w:line="276" w:lineRule="auto"/>
        <w:ind w:firstLine="720"/>
        <w:jc w:val="both"/>
        <w:rPr>
          <w:rFonts w:eastAsia="TimesNewRomanPSMT"/>
          <w:lang w:eastAsia="en-US"/>
          <w14:ligatures w14:val="standardContextual"/>
        </w:rPr>
      </w:pPr>
      <w:r>
        <w:rPr>
          <w:rFonts w:eastAsia="TimesNewRomanPSMT"/>
          <w:lang w:eastAsia="en-US"/>
          <w14:ligatures w14:val="standardContextual"/>
        </w:rPr>
        <w:t xml:space="preserve">Pieteicēja arī uzsvēra, ka līdzīgā lietā </w:t>
      </w:r>
      <w:r w:rsidR="00C56AFA">
        <w:rPr>
          <w:rFonts w:eastAsia="TimesNewRomanPSMT"/>
          <w:lang w:eastAsia="en-US"/>
          <w14:ligatures w14:val="standardContextual"/>
        </w:rPr>
        <w:t>– lietā Nr. </w:t>
      </w:r>
      <w:r w:rsidR="00C56AFA" w:rsidRPr="00F33A7D">
        <w:t>A420235522</w:t>
      </w:r>
      <w:r w:rsidR="00C56AFA">
        <w:t xml:space="preserve"> – </w:t>
      </w:r>
      <w:r>
        <w:rPr>
          <w:rFonts w:eastAsia="TimesNewRomanPSMT"/>
          <w:lang w:eastAsia="en-US"/>
          <w14:ligatures w14:val="standardContextual"/>
        </w:rPr>
        <w:t xml:space="preserve">ir stājies spēkā tiesas spriedums, atzīstot, ka līgumi, ar kuriem pakalpojuma sniedzējam tiek dots ilgāks laiks </w:t>
      </w:r>
      <w:r w:rsidR="00AC2707">
        <w:rPr>
          <w:rFonts w:eastAsia="TimesNewRomanPSMT"/>
          <w:lang w:eastAsia="en-US"/>
          <w14:ligatures w14:val="standardContextual"/>
        </w:rPr>
        <w:t xml:space="preserve">pakalpojumu sniegšanas uzsākšanai </w:t>
      </w:r>
      <w:r>
        <w:rPr>
          <w:rFonts w:eastAsia="TimesNewRomanPSMT"/>
          <w:lang w:eastAsia="en-US"/>
          <w14:ligatures w14:val="standardContextual"/>
        </w:rPr>
        <w:t>nekā 13 mēneši, ir prettiesiski.</w:t>
      </w:r>
    </w:p>
    <w:p w14:paraId="27898831" w14:textId="77777777" w:rsidR="00C56AFA" w:rsidRPr="006732AE" w:rsidRDefault="00C56AFA" w:rsidP="002F3C38">
      <w:pPr>
        <w:autoSpaceDE w:val="0"/>
        <w:autoSpaceDN w:val="0"/>
        <w:adjustRightInd w:val="0"/>
        <w:spacing w:line="276" w:lineRule="auto"/>
        <w:ind w:firstLine="720"/>
        <w:jc w:val="both"/>
      </w:pPr>
    </w:p>
    <w:p w14:paraId="3EF28363" w14:textId="1B223E27" w:rsidR="002F50DD" w:rsidRDefault="00B657A1" w:rsidP="002F3C38">
      <w:pPr>
        <w:pStyle w:val="Default"/>
        <w:spacing w:line="276" w:lineRule="auto"/>
        <w:ind w:firstLine="720"/>
        <w:jc w:val="both"/>
      </w:pPr>
      <w:r w:rsidRPr="002F50DD">
        <w:t>[</w:t>
      </w:r>
      <w:r w:rsidR="002F50DD" w:rsidRPr="002F50DD">
        <w:t>3</w:t>
      </w:r>
      <w:r w:rsidRPr="002F50DD">
        <w:t xml:space="preserve">] </w:t>
      </w:r>
      <w:r w:rsidR="00C56AFA" w:rsidRPr="002F50DD">
        <w:t>Administratīvās rajona tiesas tiesnesis ar 2023.gada 23.maija lēmumu atteicās izskatīt pieteicējas pieteikumu. Tiesneša lēmums pamatots ar turpmāk izklāstītajiem argumentiem.</w:t>
      </w:r>
    </w:p>
    <w:p w14:paraId="5B73567E" w14:textId="5A76F5FD" w:rsidR="00BB3C15" w:rsidRDefault="00C56AFA" w:rsidP="002F3C38">
      <w:pPr>
        <w:pStyle w:val="Default"/>
        <w:spacing w:line="276" w:lineRule="auto"/>
        <w:ind w:firstLine="720"/>
        <w:jc w:val="both"/>
        <w:rPr>
          <w14:ligatures w14:val="standardContextual"/>
        </w:rPr>
      </w:pPr>
      <w:r w:rsidRPr="002F50DD">
        <w:t>[</w:t>
      </w:r>
      <w:r w:rsidR="00AC2707">
        <w:t>3</w:t>
      </w:r>
      <w:r w:rsidRPr="002F50DD">
        <w:t xml:space="preserve">.1] </w:t>
      </w:r>
      <w:r w:rsidR="003A68E4">
        <w:rPr>
          <w14:ligatures w14:val="standardContextual"/>
        </w:rPr>
        <w:t>K</w:t>
      </w:r>
      <w:r w:rsidR="002F50DD" w:rsidRPr="002F50DD">
        <w:rPr>
          <w14:ligatures w14:val="standardContextual"/>
        </w:rPr>
        <w:t>onkursa nolikuma 3.7.punkt</w:t>
      </w:r>
      <w:r w:rsidR="00BB3C15">
        <w:rPr>
          <w14:ligatures w14:val="standardContextual"/>
        </w:rPr>
        <w:t>s</w:t>
      </w:r>
      <w:r w:rsidR="002F50DD">
        <w:rPr>
          <w14:ligatures w14:val="standardContextual"/>
        </w:rPr>
        <w:t xml:space="preserve"> </w:t>
      </w:r>
      <w:r w:rsidR="002F50DD" w:rsidRPr="002F50DD">
        <w:rPr>
          <w14:ligatures w14:val="standardContextual"/>
        </w:rPr>
        <w:t>paredz, ka konkrēts pakalpojumu uzsākšanas datums tiks noteikts</w:t>
      </w:r>
      <w:r w:rsidR="00AC2707">
        <w:rPr>
          <w14:ligatures w14:val="standardContextual"/>
        </w:rPr>
        <w:t xml:space="preserve"> </w:t>
      </w:r>
      <w:r w:rsidR="00AC2707" w:rsidRPr="002F50DD">
        <w:rPr>
          <w14:ligatures w14:val="standardContextual"/>
        </w:rPr>
        <w:t>iepirkuma līguma noslēgšanas</w:t>
      </w:r>
      <w:r w:rsidR="00AC2707">
        <w:rPr>
          <w14:ligatures w14:val="standardContextual"/>
        </w:rPr>
        <w:t xml:space="preserve"> </w:t>
      </w:r>
      <w:r w:rsidR="00AC2707" w:rsidRPr="002F50DD">
        <w:rPr>
          <w14:ligatures w14:val="standardContextual"/>
        </w:rPr>
        <w:t>brīdī</w:t>
      </w:r>
      <w:r w:rsidR="002F50DD" w:rsidRPr="002F50DD">
        <w:rPr>
          <w14:ligatures w14:val="standardContextual"/>
        </w:rPr>
        <w:t>, vienojoties ar pretendentu</w:t>
      </w:r>
      <w:r w:rsidR="00BB3C15">
        <w:rPr>
          <w14:ligatures w14:val="standardContextual"/>
        </w:rPr>
        <w:t xml:space="preserve"> – konkursa uzvarētāju</w:t>
      </w:r>
      <w:r w:rsidR="002F50DD" w:rsidRPr="002F50DD">
        <w:rPr>
          <w14:ligatures w14:val="standardContextual"/>
        </w:rPr>
        <w:t>. Pasūtītāj</w:t>
      </w:r>
      <w:r w:rsidR="006421E7">
        <w:rPr>
          <w14:ligatures w14:val="standardContextual"/>
        </w:rPr>
        <w:t>a</w:t>
      </w:r>
      <w:r w:rsidR="002F50DD" w:rsidRPr="002F50DD">
        <w:rPr>
          <w14:ligatures w14:val="standardContextual"/>
        </w:rPr>
        <w:t xml:space="preserve"> bez pretendenta piekrišanas nenoteiks sagatavošanās laiku mazāku par 13</w:t>
      </w:r>
      <w:r w:rsidR="002F50DD">
        <w:rPr>
          <w14:ligatures w14:val="standardContextual"/>
        </w:rPr>
        <w:t xml:space="preserve"> </w:t>
      </w:r>
      <w:r w:rsidR="002F50DD" w:rsidRPr="002F50DD">
        <w:rPr>
          <w14:ligatures w14:val="standardContextual"/>
        </w:rPr>
        <w:lastRenderedPageBreak/>
        <w:t>mēnešiem no iepirkuma līguma noslēgšanas dienas.</w:t>
      </w:r>
      <w:r w:rsidR="002F50DD">
        <w:rPr>
          <w14:ligatures w14:val="standardContextual"/>
        </w:rPr>
        <w:t xml:space="preserve"> </w:t>
      </w:r>
      <w:r w:rsidR="002F50DD" w:rsidRPr="002F50DD">
        <w:rPr>
          <w14:ligatures w14:val="standardContextual"/>
        </w:rPr>
        <w:t xml:space="preserve">No </w:t>
      </w:r>
      <w:r w:rsidR="00BB3C15">
        <w:rPr>
          <w14:ligatures w14:val="standardContextual"/>
        </w:rPr>
        <w:t xml:space="preserve">šīs nolikuma normas </w:t>
      </w:r>
      <w:r w:rsidR="002F50DD" w:rsidRPr="002F50DD">
        <w:rPr>
          <w14:ligatures w14:val="standardContextual"/>
        </w:rPr>
        <w:t>nepārprotami konstatējams, ka pasūtītāj</w:t>
      </w:r>
      <w:r w:rsidR="006421E7">
        <w:rPr>
          <w14:ligatures w14:val="standardContextual"/>
        </w:rPr>
        <w:t>a</w:t>
      </w:r>
      <w:r w:rsidR="002F50DD" w:rsidRPr="002F50DD">
        <w:rPr>
          <w14:ligatures w14:val="standardContextual"/>
        </w:rPr>
        <w:t xml:space="preserve"> 13</w:t>
      </w:r>
      <w:r w:rsidR="002F50DD">
        <w:rPr>
          <w14:ligatures w14:val="standardContextual"/>
        </w:rPr>
        <w:t xml:space="preserve"> </w:t>
      </w:r>
      <w:r w:rsidR="002F50DD" w:rsidRPr="002F50DD">
        <w:rPr>
          <w14:ligatures w14:val="standardContextual"/>
        </w:rPr>
        <w:t>mēnešu termiņu</w:t>
      </w:r>
      <w:r w:rsidR="006421E7">
        <w:rPr>
          <w14:ligatures w14:val="standardContextual"/>
        </w:rPr>
        <w:t xml:space="preserve"> </w:t>
      </w:r>
      <w:r w:rsidR="006421E7" w:rsidRPr="002F50DD">
        <w:rPr>
          <w14:ligatures w14:val="standardContextual"/>
        </w:rPr>
        <w:t>no iepirkuma līguma noslēgšanas brīža</w:t>
      </w:r>
      <w:r w:rsidR="002F50DD" w:rsidRPr="002F50DD">
        <w:rPr>
          <w14:ligatures w14:val="standardContextual"/>
        </w:rPr>
        <w:t xml:space="preserve"> ir notei</w:t>
      </w:r>
      <w:r w:rsidR="006421E7">
        <w:rPr>
          <w14:ligatures w14:val="standardContextual"/>
        </w:rPr>
        <w:t>kusi</w:t>
      </w:r>
      <w:r w:rsidR="002F50DD" w:rsidRPr="002F50DD">
        <w:rPr>
          <w14:ligatures w14:val="standardContextual"/>
        </w:rPr>
        <w:t xml:space="preserve"> kā sagatavošanās laik</w:t>
      </w:r>
      <w:r w:rsidR="004963CD">
        <w:rPr>
          <w14:ligatures w14:val="standardContextual"/>
        </w:rPr>
        <w:t>u</w:t>
      </w:r>
      <w:r w:rsidR="002F50DD" w:rsidRPr="002F50DD">
        <w:rPr>
          <w14:ligatures w14:val="standardContextual"/>
        </w:rPr>
        <w:t>,</w:t>
      </w:r>
      <w:r w:rsidR="002F50DD">
        <w:rPr>
          <w14:ligatures w14:val="standardContextual"/>
        </w:rPr>
        <w:t xml:space="preserve"> </w:t>
      </w:r>
      <w:r w:rsidR="002F50DD" w:rsidRPr="002F50DD">
        <w:rPr>
          <w14:ligatures w14:val="standardContextual"/>
        </w:rPr>
        <w:t>pēc kura pretendentam ir jābūt gatavam uzsākt pakalpojum</w:t>
      </w:r>
      <w:r w:rsidR="004963CD">
        <w:rPr>
          <w14:ligatures w14:val="standardContextual"/>
        </w:rPr>
        <w:t>u</w:t>
      </w:r>
      <w:r w:rsidR="002F50DD" w:rsidRPr="002F50DD">
        <w:rPr>
          <w14:ligatures w14:val="standardContextual"/>
        </w:rPr>
        <w:t xml:space="preserve"> sniegšanu pasūtītāja</w:t>
      </w:r>
      <w:r w:rsidR="005D5AE1">
        <w:rPr>
          <w14:ligatures w14:val="standardContextual"/>
        </w:rPr>
        <w:t>i</w:t>
      </w:r>
      <w:r w:rsidR="004963CD">
        <w:rPr>
          <w14:ligatures w14:val="standardContextual"/>
        </w:rPr>
        <w:t xml:space="preserve"> vajadzīgajā termiņā</w:t>
      </w:r>
      <w:r w:rsidR="002F50DD" w:rsidRPr="002F50DD">
        <w:rPr>
          <w14:ligatures w14:val="standardContextual"/>
        </w:rPr>
        <w:t>. Tā</w:t>
      </w:r>
      <w:r w:rsidR="00BB3C15">
        <w:rPr>
          <w14:ligatures w14:val="standardContextual"/>
        </w:rPr>
        <w:t>dējādi</w:t>
      </w:r>
      <w:r w:rsidR="002F50DD" w:rsidRPr="002F50DD">
        <w:rPr>
          <w14:ligatures w14:val="standardContextual"/>
        </w:rPr>
        <w:t xml:space="preserve"> sagatavošanās laiks konkrētajā nolikuma apakšpunktā nav noteikts vienāds ar pakalpojum</w:t>
      </w:r>
      <w:r w:rsidR="004963CD">
        <w:rPr>
          <w14:ligatures w14:val="standardContextual"/>
        </w:rPr>
        <w:t>u sniegšanas</w:t>
      </w:r>
      <w:r w:rsidR="002F50DD">
        <w:rPr>
          <w14:ligatures w14:val="standardContextual"/>
        </w:rPr>
        <w:t xml:space="preserve"> </w:t>
      </w:r>
      <w:r w:rsidR="002F50DD" w:rsidRPr="002F50DD">
        <w:rPr>
          <w14:ligatures w14:val="standardContextual"/>
        </w:rPr>
        <w:t xml:space="preserve">uzsākšanas laiku. </w:t>
      </w:r>
      <w:r w:rsidR="004963CD">
        <w:rPr>
          <w14:ligatures w14:val="standardContextual"/>
        </w:rPr>
        <w:t>Proti, v</w:t>
      </w:r>
      <w:r w:rsidR="002F50DD" w:rsidRPr="002F50DD">
        <w:rPr>
          <w14:ligatures w14:val="standardContextual"/>
        </w:rPr>
        <w:t>isiem pretendentiem pasūtītāja ir devusi 13 mēnešu termiņu, kura laikā</w:t>
      </w:r>
      <w:r w:rsidR="002F50DD">
        <w:rPr>
          <w14:ligatures w14:val="standardContextual"/>
        </w:rPr>
        <w:t xml:space="preserve"> </w:t>
      </w:r>
      <w:r w:rsidR="002F50DD" w:rsidRPr="002F50DD">
        <w:rPr>
          <w14:ligatures w14:val="standardContextual"/>
        </w:rPr>
        <w:t>tiem jābūt gataviem uzsākt pakalpojum</w:t>
      </w:r>
      <w:r w:rsidR="00BB3C15">
        <w:rPr>
          <w14:ligatures w14:val="standardContextual"/>
        </w:rPr>
        <w:t>u</w:t>
      </w:r>
      <w:r w:rsidR="002F50DD" w:rsidRPr="002F50DD">
        <w:rPr>
          <w14:ligatures w14:val="standardContextual"/>
        </w:rPr>
        <w:t xml:space="preserve"> sniegšan</w:t>
      </w:r>
      <w:r w:rsidR="008F59AF">
        <w:rPr>
          <w14:ligatures w14:val="standardContextual"/>
        </w:rPr>
        <w:t xml:space="preserve">u, bet pakalpojuma sniegšana būs jāuzsāk </w:t>
      </w:r>
      <w:r w:rsidR="002F50DD" w:rsidRPr="002F50DD">
        <w:rPr>
          <w14:ligatures w14:val="standardContextual"/>
        </w:rPr>
        <w:t>brīdī, kad tas būs nepieciešams pasūtītāja</w:t>
      </w:r>
      <w:r w:rsidR="004963CD">
        <w:rPr>
          <w14:ligatures w14:val="standardContextual"/>
        </w:rPr>
        <w:t>i</w:t>
      </w:r>
      <w:r w:rsidR="002F50DD" w:rsidRPr="002F50DD">
        <w:rPr>
          <w14:ligatures w14:val="standardContextual"/>
        </w:rPr>
        <w:t>.</w:t>
      </w:r>
      <w:r w:rsidR="002F50DD">
        <w:rPr>
          <w14:ligatures w14:val="standardContextual"/>
        </w:rPr>
        <w:t xml:space="preserve"> </w:t>
      </w:r>
      <w:r w:rsidR="002F50DD" w:rsidRPr="002F50DD">
        <w:rPr>
          <w14:ligatures w14:val="standardContextual"/>
        </w:rPr>
        <w:t xml:space="preserve">Ievērojot </w:t>
      </w:r>
      <w:r w:rsidR="008F59AF">
        <w:rPr>
          <w14:ligatures w14:val="standardContextual"/>
        </w:rPr>
        <w:t>minēto</w:t>
      </w:r>
      <w:r w:rsidR="002F50DD" w:rsidRPr="002F50DD">
        <w:rPr>
          <w14:ligatures w14:val="standardContextual"/>
        </w:rPr>
        <w:t>, pakalpojumu uzsākšanas</w:t>
      </w:r>
      <w:r w:rsidR="002F50DD">
        <w:rPr>
          <w14:ligatures w14:val="standardContextual"/>
        </w:rPr>
        <w:t xml:space="preserve"> </w:t>
      </w:r>
      <w:r w:rsidR="002F50DD" w:rsidRPr="002F50DD">
        <w:rPr>
          <w14:ligatures w14:val="standardContextual"/>
        </w:rPr>
        <w:t>datuma noteikšana 15 līdz 21 mēnešus no iepirkuma līguma noslēgšanas brīža atbilst nolikuma</w:t>
      </w:r>
      <w:r w:rsidR="002F50DD">
        <w:rPr>
          <w14:ligatures w14:val="standardContextual"/>
        </w:rPr>
        <w:t xml:space="preserve"> </w:t>
      </w:r>
      <w:r w:rsidR="002F50DD" w:rsidRPr="002F50DD">
        <w:rPr>
          <w14:ligatures w14:val="standardContextual"/>
        </w:rPr>
        <w:t>3.7.punktā noteiktajam.</w:t>
      </w:r>
      <w:r w:rsidR="002F50DD">
        <w:rPr>
          <w14:ligatures w14:val="standardContextual"/>
        </w:rPr>
        <w:t xml:space="preserve"> </w:t>
      </w:r>
    </w:p>
    <w:p w14:paraId="0DC4CE83" w14:textId="25AC5984" w:rsidR="002F50DD" w:rsidRDefault="00BB3C15" w:rsidP="002F3C38">
      <w:pPr>
        <w:pStyle w:val="Default"/>
        <w:spacing w:line="276" w:lineRule="auto"/>
        <w:ind w:firstLine="720"/>
        <w:jc w:val="both"/>
        <w:rPr>
          <w14:ligatures w14:val="standardContextual"/>
        </w:rPr>
      </w:pPr>
      <w:r>
        <w:rPr>
          <w14:ligatures w14:val="standardContextual"/>
        </w:rPr>
        <w:t>[</w:t>
      </w:r>
      <w:r w:rsidR="00AC2707">
        <w:rPr>
          <w14:ligatures w14:val="standardContextual"/>
        </w:rPr>
        <w:t>3</w:t>
      </w:r>
      <w:r>
        <w:rPr>
          <w14:ligatures w14:val="standardContextual"/>
        </w:rPr>
        <w:t xml:space="preserve">.2] Pasūtītājas iepriekšējos konkursos sniegts skaidrojums par analogu nolikuma normu </w:t>
      </w:r>
      <w:r>
        <w:rPr>
          <w:rFonts w:eastAsia="TimesNewRomanPSMT"/>
          <w14:ligatures w14:val="standardContextual"/>
        </w:rPr>
        <w:t xml:space="preserve">vispārīgi nav attiecināms uz strīdus konkursu. Turklāt </w:t>
      </w:r>
      <w:r w:rsidR="00DB6A2A">
        <w:rPr>
          <w:rFonts w:eastAsia="TimesNewRomanPSMT"/>
          <w14:ligatures w14:val="standardContextual"/>
        </w:rPr>
        <w:t>pieteicējas norādītais</w:t>
      </w:r>
      <w:r>
        <w:rPr>
          <w:rFonts w:eastAsia="TimesNewRomanPSMT"/>
          <w14:ligatures w14:val="standardContextual"/>
        </w:rPr>
        <w:t xml:space="preserve"> pasūtītājas skaidrojums </w:t>
      </w:r>
      <w:r w:rsidR="008F59AF">
        <w:rPr>
          <w:rFonts w:eastAsia="TimesNewRomanPSMT"/>
          <w14:ligatures w14:val="standardContextual"/>
        </w:rPr>
        <w:t xml:space="preserve">nav pretrunā interpretācijai, ka </w:t>
      </w:r>
      <w:r>
        <w:rPr>
          <w:rFonts w:eastAsia="TimesNewRomanPSMT"/>
          <w14:ligatures w14:val="standardContextual"/>
        </w:rPr>
        <w:lastRenderedPageBreak/>
        <w:t>strīdus norm</w:t>
      </w:r>
      <w:r w:rsidR="008F59AF">
        <w:rPr>
          <w:rFonts w:eastAsia="TimesNewRomanPSMT"/>
          <w14:ligatures w14:val="standardContextual"/>
        </w:rPr>
        <w:t xml:space="preserve">ā </w:t>
      </w:r>
      <w:r>
        <w:rPr>
          <w:rFonts w:eastAsia="TimesNewRomanPSMT"/>
          <w14:ligatures w14:val="standardContextual"/>
        </w:rPr>
        <w:t xml:space="preserve">13 mēnešu termiņš </w:t>
      </w:r>
      <w:r w:rsidR="008F59AF">
        <w:rPr>
          <w:rFonts w:eastAsia="TimesNewRomanPSMT"/>
          <w14:ligatures w14:val="standardContextual"/>
        </w:rPr>
        <w:t xml:space="preserve">paredzēts </w:t>
      </w:r>
      <w:r>
        <w:rPr>
          <w:rFonts w:eastAsia="TimesNewRomanPSMT"/>
          <w14:ligatures w14:val="standardContextual"/>
        </w:rPr>
        <w:t xml:space="preserve">sagatavošanās laikam, bet tas neliedz pakalpojuma uzsākšanai noteikt jebkādu citu laiku pēc pasūtītājas ieskatiem. </w:t>
      </w:r>
      <w:r w:rsidR="008F59AF">
        <w:rPr>
          <w:rFonts w:eastAsia="TimesNewRomanPSMT"/>
          <w14:ligatures w14:val="standardContextual"/>
        </w:rPr>
        <w:t>Pat j</w:t>
      </w:r>
      <w:r>
        <w:rPr>
          <w:rFonts w:eastAsia="TimesNewRomanPSMT"/>
          <w14:ligatures w14:val="standardContextual"/>
        </w:rPr>
        <w:t>a pasūtītājas attiecīgais skaidrojums</w:t>
      </w:r>
      <w:r w:rsidR="002F50DD" w:rsidRPr="002F50DD">
        <w:rPr>
          <w14:ligatures w14:val="standardContextual"/>
        </w:rPr>
        <w:t xml:space="preserve"> </w:t>
      </w:r>
      <w:r>
        <w:rPr>
          <w14:ligatures w14:val="standardContextual"/>
        </w:rPr>
        <w:t xml:space="preserve">tomēr </w:t>
      </w:r>
      <w:r w:rsidR="002F50DD" w:rsidRPr="002F50DD">
        <w:rPr>
          <w14:ligatures w14:val="standardContextual"/>
        </w:rPr>
        <w:t>būtu</w:t>
      </w:r>
      <w:r w:rsidR="002F50DD">
        <w:rPr>
          <w14:ligatures w14:val="standardContextual"/>
        </w:rPr>
        <w:t xml:space="preserve"> </w:t>
      </w:r>
      <w:r w:rsidR="002F50DD" w:rsidRPr="002F50DD">
        <w:rPr>
          <w14:ligatures w14:val="standardContextual"/>
        </w:rPr>
        <w:t xml:space="preserve">interpretējams </w:t>
      </w:r>
      <w:r>
        <w:rPr>
          <w14:ligatures w14:val="standardContextual"/>
        </w:rPr>
        <w:t xml:space="preserve">tā, kā tas atzīts </w:t>
      </w:r>
      <w:r w:rsidR="002F50DD" w:rsidRPr="002F50DD">
        <w:rPr>
          <w14:ligatures w14:val="standardContextual"/>
        </w:rPr>
        <w:t>Administratīvās rajona tiesas 2023.gada 2.marta spriedumā lietā Nr.</w:t>
      </w:r>
      <w:r w:rsidR="00100F80">
        <w:rPr>
          <w14:ligatures w14:val="standardContextual"/>
        </w:rPr>
        <w:t> </w:t>
      </w:r>
      <w:r w:rsidR="002F50DD" w:rsidRPr="002F50DD">
        <w:rPr>
          <w14:ligatures w14:val="standardContextual"/>
        </w:rPr>
        <w:t>A420235522,</w:t>
      </w:r>
      <w:r w:rsidR="002F50DD">
        <w:rPr>
          <w14:ligatures w14:val="standardContextual"/>
        </w:rPr>
        <w:t xml:space="preserve"> </w:t>
      </w:r>
      <w:r w:rsidR="008F59AF">
        <w:rPr>
          <w14:ligatures w14:val="standardContextual"/>
        </w:rPr>
        <w:t xml:space="preserve">šāds skaidrojums nevar būt pamats interpretēt nolikuma normu </w:t>
      </w:r>
      <w:r w:rsidR="002F50DD" w:rsidRPr="002F50DD">
        <w:rPr>
          <w14:ligatures w14:val="standardContextual"/>
        </w:rPr>
        <w:t xml:space="preserve">pretrunā </w:t>
      </w:r>
      <w:r w:rsidR="008F59AF">
        <w:rPr>
          <w14:ligatures w14:val="standardContextual"/>
        </w:rPr>
        <w:t>tās</w:t>
      </w:r>
      <w:r w:rsidR="002F50DD" w:rsidRPr="002F50DD">
        <w:rPr>
          <w14:ligatures w14:val="standardContextual"/>
        </w:rPr>
        <w:t xml:space="preserve"> vārdiskajam tvērumam.</w:t>
      </w:r>
      <w:r w:rsidR="002F50DD">
        <w:rPr>
          <w14:ligatures w14:val="standardContextual"/>
        </w:rPr>
        <w:t xml:space="preserve"> </w:t>
      </w:r>
    </w:p>
    <w:p w14:paraId="7306B8CA" w14:textId="078D6FAF" w:rsidR="002F50DD" w:rsidRPr="002F50DD" w:rsidRDefault="008F59AF" w:rsidP="002F3C38">
      <w:pPr>
        <w:pStyle w:val="Default"/>
        <w:spacing w:line="276" w:lineRule="auto"/>
        <w:ind w:firstLine="720"/>
        <w:jc w:val="both"/>
      </w:pPr>
      <w:r>
        <w:rPr>
          <w14:ligatures w14:val="standardContextual"/>
        </w:rPr>
        <w:t>[</w:t>
      </w:r>
      <w:r w:rsidR="00AC2707">
        <w:rPr>
          <w14:ligatures w14:val="standardContextual"/>
        </w:rPr>
        <w:t>3</w:t>
      </w:r>
      <w:r>
        <w:rPr>
          <w14:ligatures w14:val="standardContextual"/>
        </w:rPr>
        <w:t xml:space="preserve">.3] </w:t>
      </w:r>
      <w:r w:rsidR="000574A9">
        <w:rPr>
          <w14:ligatures w14:val="standardContextual"/>
        </w:rPr>
        <w:t>Ņemot vērā</w:t>
      </w:r>
      <w:r w:rsidR="005D5AE1">
        <w:rPr>
          <w14:ligatures w14:val="standardContextual"/>
        </w:rPr>
        <w:t xml:space="preserve"> minēto, secināms, ka</w:t>
      </w:r>
      <w:r w:rsidR="002F50DD" w:rsidRPr="002F50DD">
        <w:rPr>
          <w14:ligatures w14:val="standardContextual"/>
        </w:rPr>
        <w:t xml:space="preserve"> </w:t>
      </w:r>
      <w:r>
        <w:rPr>
          <w14:ligatures w14:val="standardContextual"/>
        </w:rPr>
        <w:t>pārsūdzētie l</w:t>
      </w:r>
      <w:r w:rsidR="00DB6A2A">
        <w:rPr>
          <w14:ligatures w14:val="standardContextual"/>
        </w:rPr>
        <w:t>īgumi</w:t>
      </w:r>
      <w:r>
        <w:rPr>
          <w14:ligatures w14:val="standardContextual"/>
        </w:rPr>
        <w:t xml:space="preserve"> noslēgti, ievērojot iepirkuma procedūru</w:t>
      </w:r>
      <w:r w:rsidR="005D5AE1">
        <w:rPr>
          <w14:ligatures w14:val="standardContextual"/>
        </w:rPr>
        <w:t xml:space="preserve">. Tāpēc </w:t>
      </w:r>
      <w:r w:rsidR="002F50DD" w:rsidRPr="002F50DD">
        <w:rPr>
          <w14:ligatures w14:val="standardContextual"/>
        </w:rPr>
        <w:t xml:space="preserve">pieteicējas pieteikumu </w:t>
      </w:r>
      <w:r w:rsidR="000574A9">
        <w:rPr>
          <w14:ligatures w14:val="standardContextual"/>
        </w:rPr>
        <w:t>atbilstoši</w:t>
      </w:r>
      <w:r w:rsidR="000574A9" w:rsidRPr="002F50DD">
        <w:t xml:space="preserve"> Administratīvā procesa likuma 191.</w:t>
      </w:r>
      <w:r w:rsidR="000574A9" w:rsidRPr="002F50DD">
        <w:rPr>
          <w:vertAlign w:val="superscript"/>
        </w:rPr>
        <w:t>1</w:t>
      </w:r>
      <w:r w:rsidR="000574A9" w:rsidRPr="002F50DD">
        <w:t>panta pirm</w:t>
      </w:r>
      <w:r w:rsidR="000574A9">
        <w:t xml:space="preserve">ajai daļai </w:t>
      </w:r>
      <w:r w:rsidR="002F50DD" w:rsidRPr="002F50DD">
        <w:rPr>
          <w14:ligatures w14:val="standardContextual"/>
        </w:rPr>
        <w:t>atsakāms izskatīt kā</w:t>
      </w:r>
      <w:r w:rsidR="002F50DD">
        <w:rPr>
          <w14:ligatures w14:val="standardContextual"/>
        </w:rPr>
        <w:t xml:space="preserve"> </w:t>
      </w:r>
      <w:r w:rsidR="002F50DD" w:rsidRPr="002F50DD">
        <w:rPr>
          <w14:ligatures w14:val="standardContextual"/>
        </w:rPr>
        <w:t>acīmredzami noraidāmu pēc būtības.</w:t>
      </w:r>
    </w:p>
    <w:p w14:paraId="32247ACE" w14:textId="77777777" w:rsidR="00B657A1" w:rsidRPr="00970F52" w:rsidRDefault="00B657A1" w:rsidP="002F3C38">
      <w:pPr>
        <w:spacing w:line="276" w:lineRule="auto"/>
        <w:ind w:firstLine="720"/>
        <w:jc w:val="both"/>
      </w:pPr>
    </w:p>
    <w:p w14:paraId="466C62A8" w14:textId="6FFA6F14" w:rsidR="00B657A1" w:rsidRDefault="00B657A1" w:rsidP="002F3C38">
      <w:pPr>
        <w:spacing w:line="276" w:lineRule="auto"/>
        <w:ind w:firstLine="720"/>
        <w:jc w:val="both"/>
      </w:pPr>
      <w:r>
        <w:t>[4]</w:t>
      </w:r>
      <w:r w:rsidR="00B362FE">
        <w:t xml:space="preserve"> </w:t>
      </w:r>
      <w:r>
        <w:t>Pieteicēj</w:t>
      </w:r>
      <w:r w:rsidR="00AC2707">
        <w:t>a</w:t>
      </w:r>
      <w:r>
        <w:t xml:space="preserve"> par minēto lēmumu iesniedza blakus sūdzību, kas pamatota ar turpmāk norādītajiem apsvērumiem.</w:t>
      </w:r>
    </w:p>
    <w:p w14:paraId="752ACB6F" w14:textId="6640CBD4" w:rsidR="00B657A1" w:rsidRDefault="00B657A1" w:rsidP="002F3C38">
      <w:pPr>
        <w:pStyle w:val="Default"/>
        <w:spacing w:line="276" w:lineRule="auto"/>
        <w:ind w:firstLine="720"/>
        <w:jc w:val="both"/>
      </w:pPr>
      <w:r>
        <w:lastRenderedPageBreak/>
        <w:t>[4.1] </w:t>
      </w:r>
      <w:r w:rsidR="006D1D8A">
        <w:t>Tiesnesis nepamatoti uzskatījis, ka ir pamats atteikt pieteikuma izskatīšanu</w:t>
      </w:r>
      <w:r w:rsidR="00972F6A">
        <w:t xml:space="preserve"> pēc būtības</w:t>
      </w:r>
      <w:r w:rsidR="006D1D8A">
        <w:t xml:space="preserve">. Pieteikums atbilst pieteikuma pieļaujamības prasībām, tajā </w:t>
      </w:r>
      <w:r w:rsidR="008A3FD6">
        <w:t>ir</w:t>
      </w:r>
      <w:r w:rsidR="006D1D8A">
        <w:t xml:space="preserve"> </w:t>
      </w:r>
      <w:r w:rsidR="00726304">
        <w:t xml:space="preserve">saprātīgi pamatota </w:t>
      </w:r>
      <w:r w:rsidR="006D1D8A">
        <w:t>Publisko iepirkumu likuma 74.pantā paredzēt</w:t>
      </w:r>
      <w:r w:rsidR="00726304">
        <w:t>a</w:t>
      </w:r>
      <w:r w:rsidR="006D1D8A">
        <w:t xml:space="preserve"> </w:t>
      </w:r>
      <w:r w:rsidR="008A3FD6">
        <w:t>pārkāpum</w:t>
      </w:r>
      <w:r w:rsidR="00726304">
        <w:t>a esība</w:t>
      </w:r>
      <w:r w:rsidR="006D1D8A">
        <w:t>, kas ļauj administratīvajā tiesā prasīt iepirkuma līguma atzīšanu par spēkā neesošu vai tā termiņa saīsināšanu.</w:t>
      </w:r>
      <w:r w:rsidR="00972F6A">
        <w:t xml:space="preserve"> </w:t>
      </w:r>
      <w:r w:rsidR="00726304">
        <w:t>T</w:t>
      </w:r>
      <w:r w:rsidR="008A3FD6">
        <w:t>iesai pieteikuma pamatotība būtu jāpārbauda, izskatot lietu pēc būtības.</w:t>
      </w:r>
      <w:r w:rsidR="00726304">
        <w:t xml:space="preserve"> Tiesneša lēmums liedz pieteicējai tiesības uz taisnīgu tiesu.</w:t>
      </w:r>
    </w:p>
    <w:p w14:paraId="497519E6" w14:textId="529099A7" w:rsidR="00972F6A" w:rsidRPr="00A215EE" w:rsidRDefault="00972F6A" w:rsidP="002F3C38">
      <w:pPr>
        <w:pStyle w:val="Default"/>
        <w:spacing w:line="276" w:lineRule="auto"/>
        <w:ind w:firstLine="720"/>
        <w:jc w:val="both"/>
      </w:pPr>
      <w:r>
        <w:t xml:space="preserve">[4.2] </w:t>
      </w:r>
      <w:r w:rsidR="00A80D19">
        <w:t>Tiesneša</w:t>
      </w:r>
      <w:r w:rsidR="00726304">
        <w:t xml:space="preserve"> secinājums</w:t>
      </w:r>
      <w:r w:rsidR="00A80D19">
        <w:t xml:space="preserve">, ka pieteicējas pieteikums ir acīmredzami noraidāms pēc būtības, ir balstīts tiesneša </w:t>
      </w:r>
      <w:r w:rsidR="00BD0997">
        <w:t xml:space="preserve">kļūdainā </w:t>
      </w:r>
      <w:r w:rsidR="00A80D19">
        <w:t>uzskatā, ka konkursa nolikumā termiņš, lai sagatavotos līguma izpildei, un termiņš, kurā jāuzsāk līguma izpilde, ir savstarpēji n</w:t>
      </w:r>
      <w:r w:rsidR="00726304">
        <w:t>odalāmi</w:t>
      </w:r>
      <w:r w:rsidR="00A80D19">
        <w:t xml:space="preserve">. </w:t>
      </w:r>
      <w:r w:rsidR="00BD0997">
        <w:t>Proti, t</w:t>
      </w:r>
      <w:r w:rsidR="00A80D19">
        <w:t>iesnesis atzinis</w:t>
      </w:r>
      <w:r>
        <w:t xml:space="preserve">, ka </w:t>
      </w:r>
      <w:r w:rsidR="008A3FD6">
        <w:t xml:space="preserve">konkursa nolikums </w:t>
      </w:r>
      <w:r w:rsidR="00726304">
        <w:t xml:space="preserve">prasa, lai pakalpojuma sniedzējs būtu gatavs sniegt pakalpojumus ne vēlāk kā 13 mēnešus pēc līguma noslēgšanas, bet vienlaikus tas </w:t>
      </w:r>
      <w:r w:rsidR="008A3FD6">
        <w:t>neliedz</w:t>
      </w:r>
      <w:r w:rsidR="005D5AE1">
        <w:t>ot</w:t>
      </w:r>
      <w:r>
        <w:t xml:space="preserve"> pasūtītājai kā pakalpojumu </w:t>
      </w:r>
      <w:r w:rsidRPr="00A215EE">
        <w:t xml:space="preserve">sniegšanas uzsākšanas termiņu noteikt jebkādu termiņu, kas ilgāks par 13 mēnešiem no līguma noslēgšanas dienas. </w:t>
      </w:r>
    </w:p>
    <w:p w14:paraId="0070A46C" w14:textId="29FF14FE" w:rsidR="00A215EE" w:rsidRPr="00A215EE" w:rsidRDefault="00726304" w:rsidP="002F3C38">
      <w:pPr>
        <w:pStyle w:val="Default"/>
        <w:spacing w:line="276" w:lineRule="auto"/>
        <w:ind w:firstLine="720"/>
        <w:jc w:val="both"/>
      </w:pPr>
      <w:r w:rsidRPr="00A215EE">
        <w:t xml:space="preserve">Šāda strīdus normas izpratne neatbilst ne sagatavošanās laika </w:t>
      </w:r>
      <w:r w:rsidRPr="00A215EE">
        <w:rPr>
          <w:lang w:eastAsia="ru-RU"/>
        </w:rPr>
        <w:t>prasības jēgai, ne arī nozarē pastāvošajai izpratnei. Ir loģiski, ka laiks, kas paredzēts, lai pakalpojuma sniedzējs sagatavotos līguma izpildei</w:t>
      </w:r>
      <w:r w:rsidR="00A215EE" w:rsidRPr="00A215EE">
        <w:rPr>
          <w:lang w:eastAsia="ru-RU"/>
        </w:rPr>
        <w:t>, ir laiks līdz pakalpojumu sniegšanas uzsākšanai. Šāda nolikuma normu izpratne ir bijusi arī iepriekšējos analogos iepirkumos, kuros bija tādas pašas nolikuma prasības. Par šādu nolikuma prasības izpratni liecina arī pārsūdzēto līgumu 7.10.punktā ietvertais nosacījums</w:t>
      </w:r>
      <w:r w:rsidR="00A215EE" w:rsidRPr="00A215EE">
        <w:t>.</w:t>
      </w:r>
    </w:p>
    <w:p w14:paraId="68D53B8C" w14:textId="6A6C3404" w:rsidR="00726304" w:rsidRPr="00845CC2" w:rsidRDefault="00BD0997" w:rsidP="002F3C38">
      <w:pPr>
        <w:pStyle w:val="Default"/>
        <w:spacing w:line="276" w:lineRule="auto"/>
        <w:ind w:firstLine="720"/>
        <w:jc w:val="both"/>
      </w:pPr>
      <w:r>
        <w:rPr>
          <w:lang w:eastAsia="ru-RU"/>
        </w:rPr>
        <w:t>Tad</w:t>
      </w:r>
      <w:r w:rsidR="00726304" w:rsidRPr="00A215EE">
        <w:rPr>
          <w:lang w:eastAsia="ru-RU"/>
        </w:rPr>
        <w:t>, ja sagatavošanās laiks n</w:t>
      </w:r>
      <w:r>
        <w:rPr>
          <w:lang w:eastAsia="ru-RU"/>
        </w:rPr>
        <w:t>etiktu</w:t>
      </w:r>
      <w:r w:rsidR="00726304" w:rsidRPr="00A215EE">
        <w:rPr>
          <w:lang w:eastAsia="ru-RU"/>
        </w:rPr>
        <w:t xml:space="preserve"> piesaistīts līguma izpildes uzsākšanas laikam, veidotos no saimnieciskās darbības viedokļa nejēdzīga situācija, ka </w:t>
      </w:r>
      <w:r w:rsidR="00726304" w:rsidRPr="00A215EE">
        <w:t xml:space="preserve">noteiktā termiņā pakalpojumu sniedzēja rīcībā jau jābūt visiem nepieciešamiem resursiem (autobusiem), bet tie ilgstoši </w:t>
      </w:r>
      <w:r w:rsidR="005D5AE1">
        <w:t xml:space="preserve">(vairākus mēnešus) </w:t>
      </w:r>
      <w:r w:rsidR="00726304" w:rsidRPr="00A215EE">
        <w:t>netiktu izmantoti. Šāda autobusu dīkstāve radītu ievērojamus zaudējumus katru mēnesi. Nolikuma finanšu piedāvājuma forma neparedzēja šāda veida izmaksas iekļaut piedāvājuma cenā.</w:t>
      </w:r>
      <w:r w:rsidR="00726304" w:rsidRPr="00B04DA5">
        <w:t xml:space="preserve"> </w:t>
      </w:r>
    </w:p>
    <w:p w14:paraId="6BACDC4B" w14:textId="77777777" w:rsidR="00726304" w:rsidRPr="0046387B" w:rsidRDefault="00726304" w:rsidP="002F3C38">
      <w:pPr>
        <w:pStyle w:val="Default"/>
        <w:spacing w:line="276" w:lineRule="auto"/>
        <w:ind w:firstLine="567"/>
        <w:jc w:val="both"/>
      </w:pPr>
    </w:p>
    <w:p w14:paraId="6366EC72" w14:textId="77777777" w:rsidR="00B657A1" w:rsidRDefault="00B657A1" w:rsidP="002F3C38">
      <w:pPr>
        <w:spacing w:line="276" w:lineRule="auto"/>
        <w:jc w:val="center"/>
        <w:rPr>
          <w:b/>
        </w:rPr>
      </w:pPr>
      <w:r>
        <w:rPr>
          <w:b/>
        </w:rPr>
        <w:t>Motīvu daļa</w:t>
      </w:r>
    </w:p>
    <w:p w14:paraId="7E89D00A" w14:textId="77777777" w:rsidR="00B657A1" w:rsidRDefault="00B657A1" w:rsidP="002F3C38">
      <w:pPr>
        <w:spacing w:line="276" w:lineRule="auto"/>
        <w:ind w:firstLine="567"/>
        <w:jc w:val="center"/>
      </w:pPr>
    </w:p>
    <w:p w14:paraId="6B5E4D7D" w14:textId="02FC3440" w:rsidR="004B2ACB" w:rsidRDefault="00A215EE" w:rsidP="002F3C38">
      <w:pPr>
        <w:spacing w:line="276" w:lineRule="auto"/>
        <w:ind w:firstLine="720"/>
        <w:jc w:val="both"/>
        <w:rPr>
          <w:rFonts w:eastAsia="Calibri"/>
        </w:rPr>
      </w:pPr>
      <w:r>
        <w:rPr>
          <w:rFonts w:eastAsia="Calibri"/>
        </w:rPr>
        <w:t>[5] Senātam jāizšķir, vai tiesnesis konkrētajā gadījumā pamatoti piemērojis Administratīvā procesa likuma 191.</w:t>
      </w:r>
      <w:r w:rsidRPr="00A215EE">
        <w:rPr>
          <w:rFonts w:eastAsia="Calibri"/>
          <w:vertAlign w:val="superscript"/>
        </w:rPr>
        <w:t>1</w:t>
      </w:r>
      <w:r>
        <w:rPr>
          <w:rFonts w:eastAsia="Calibri"/>
        </w:rPr>
        <w:t xml:space="preserve">panta normu, atsakot pieteikuma izskatīšanu </w:t>
      </w:r>
      <w:r w:rsidR="00BD0997">
        <w:rPr>
          <w:rFonts w:eastAsia="Calibri"/>
        </w:rPr>
        <w:t>(tiesvedības ierosināšanu lietas izskatīšanai</w:t>
      </w:r>
      <w:r>
        <w:rPr>
          <w:rFonts w:eastAsia="Calibri"/>
        </w:rPr>
        <w:t xml:space="preserve"> pēc būtības</w:t>
      </w:r>
      <w:r w:rsidR="00BD0997">
        <w:rPr>
          <w:rFonts w:eastAsia="Calibri"/>
        </w:rPr>
        <w:t>)</w:t>
      </w:r>
      <w:r>
        <w:rPr>
          <w:rFonts w:eastAsia="Calibri"/>
        </w:rPr>
        <w:t>.</w:t>
      </w:r>
    </w:p>
    <w:p w14:paraId="53010592" w14:textId="77777777" w:rsidR="004B2ACB" w:rsidRDefault="004B2ACB" w:rsidP="002F3C38">
      <w:pPr>
        <w:spacing w:line="276" w:lineRule="auto"/>
        <w:ind w:firstLine="720"/>
        <w:jc w:val="both"/>
        <w:rPr>
          <w:rFonts w:eastAsia="Calibri"/>
        </w:rPr>
      </w:pPr>
    </w:p>
    <w:p w14:paraId="3CE404E7" w14:textId="2B74BC22" w:rsidR="00AE6AB3" w:rsidRDefault="00A215EE" w:rsidP="002F3C38">
      <w:pPr>
        <w:spacing w:line="276" w:lineRule="auto"/>
        <w:ind w:firstLine="720"/>
        <w:jc w:val="both"/>
        <w:rPr>
          <w:rFonts w:eastAsia="Calibri"/>
        </w:rPr>
      </w:pPr>
      <w:r>
        <w:rPr>
          <w:rFonts w:eastAsia="Calibri"/>
        </w:rPr>
        <w:t xml:space="preserve">[6] </w:t>
      </w:r>
      <w:r w:rsidR="00AE6AB3">
        <w:rPr>
          <w:rFonts w:eastAsia="Calibri"/>
        </w:rPr>
        <w:t xml:space="preserve">Saskaņā ar </w:t>
      </w:r>
      <w:r w:rsidR="004B2ACB" w:rsidRPr="00DF5778">
        <w:rPr>
          <w:rFonts w:eastAsia="Calibri"/>
        </w:rPr>
        <w:t>Administratīvā procesa likuma 191.</w:t>
      </w:r>
      <w:r w:rsidR="004B2ACB" w:rsidRPr="000149F0">
        <w:rPr>
          <w:rFonts w:eastAsia="Calibri"/>
          <w:vertAlign w:val="superscript"/>
        </w:rPr>
        <w:t>1</w:t>
      </w:r>
      <w:r w:rsidR="004B2ACB" w:rsidRPr="00DF5778">
        <w:rPr>
          <w:rFonts w:eastAsia="Calibri"/>
        </w:rPr>
        <w:t>panta pirm</w:t>
      </w:r>
      <w:r w:rsidR="00AE6AB3">
        <w:rPr>
          <w:rFonts w:eastAsia="Calibri"/>
        </w:rPr>
        <w:t>o</w:t>
      </w:r>
      <w:r w:rsidR="004B2ACB">
        <w:rPr>
          <w:rFonts w:eastAsia="Calibri"/>
        </w:rPr>
        <w:t xml:space="preserve"> daļ</w:t>
      </w:r>
      <w:r w:rsidR="00AE6AB3">
        <w:rPr>
          <w:rFonts w:eastAsia="Calibri"/>
        </w:rPr>
        <w:t>u tiesnesis var atteikt</w:t>
      </w:r>
      <w:r w:rsidR="004B2ACB">
        <w:rPr>
          <w:rFonts w:eastAsia="Calibri"/>
        </w:rPr>
        <w:t xml:space="preserve"> </w:t>
      </w:r>
      <w:r w:rsidR="00AE6AB3">
        <w:rPr>
          <w:rFonts w:eastAsia="Calibri"/>
        </w:rPr>
        <w:t>pieteikuma izskatīšanu</w:t>
      </w:r>
      <w:r w:rsidR="004B2ACB">
        <w:rPr>
          <w:rFonts w:eastAsia="Calibri"/>
        </w:rPr>
        <w:t xml:space="preserve">, ja tas ir acīmredzami nepamatots </w:t>
      </w:r>
      <w:r w:rsidR="00AE6AB3">
        <w:rPr>
          <w:rFonts w:eastAsia="Calibri"/>
        </w:rPr>
        <w:t xml:space="preserve">– </w:t>
      </w:r>
      <w:r w:rsidR="004B2ACB">
        <w:rPr>
          <w:rFonts w:eastAsia="Calibri"/>
        </w:rPr>
        <w:t>acīmredzami</w:t>
      </w:r>
      <w:r w:rsidR="00AE6AB3">
        <w:rPr>
          <w:rFonts w:eastAsia="Calibri"/>
        </w:rPr>
        <w:t xml:space="preserve"> </w:t>
      </w:r>
      <w:r w:rsidR="004B2ACB">
        <w:rPr>
          <w:rFonts w:eastAsia="Calibri"/>
        </w:rPr>
        <w:t xml:space="preserve">noraidāms pēc būtības. </w:t>
      </w:r>
      <w:r w:rsidR="008534C7">
        <w:rPr>
          <w:rFonts w:eastAsia="Calibri"/>
        </w:rPr>
        <w:t xml:space="preserve">Tādējādi </w:t>
      </w:r>
      <w:r w:rsidR="00AE6AB3">
        <w:rPr>
          <w:rFonts w:eastAsia="Calibri"/>
        </w:rPr>
        <w:t xml:space="preserve">šis regulējums </w:t>
      </w:r>
      <w:r w:rsidR="00AE6AB3" w:rsidRPr="00DF5778">
        <w:rPr>
          <w:rFonts w:eastAsia="Calibri"/>
        </w:rPr>
        <w:t>ļauj</w:t>
      </w:r>
      <w:r w:rsidR="00AE6AB3">
        <w:rPr>
          <w:rFonts w:eastAsia="Calibri"/>
        </w:rPr>
        <w:t xml:space="preserve"> </w:t>
      </w:r>
      <w:r w:rsidR="00AE6AB3" w:rsidRPr="00DF5778">
        <w:rPr>
          <w:rFonts w:eastAsia="Calibri"/>
        </w:rPr>
        <w:t>tiesnesim</w:t>
      </w:r>
      <w:r w:rsidR="00AE6AB3">
        <w:rPr>
          <w:rFonts w:eastAsia="Calibri"/>
        </w:rPr>
        <w:t xml:space="preserve"> no pieteikuma izrietošo </w:t>
      </w:r>
      <w:r w:rsidR="00AE6AB3" w:rsidRPr="00DF5778">
        <w:rPr>
          <w:rFonts w:eastAsia="Calibri"/>
        </w:rPr>
        <w:t xml:space="preserve">tiesisko strīdu </w:t>
      </w:r>
      <w:r w:rsidR="00AE6AB3">
        <w:rPr>
          <w:rFonts w:eastAsia="Calibri"/>
        </w:rPr>
        <w:t xml:space="preserve">izšķirt </w:t>
      </w:r>
      <w:r w:rsidR="00A2177A">
        <w:rPr>
          <w:rFonts w:eastAsia="Calibri"/>
        </w:rPr>
        <w:t xml:space="preserve">pēc būtības </w:t>
      </w:r>
      <w:r w:rsidR="00AE6AB3" w:rsidRPr="00DF5778">
        <w:rPr>
          <w:rFonts w:eastAsia="Calibri"/>
        </w:rPr>
        <w:t>jau pieteikuma stadijā</w:t>
      </w:r>
      <w:r w:rsidR="00AE6AB3">
        <w:rPr>
          <w:rFonts w:eastAsia="Calibri"/>
        </w:rPr>
        <w:t xml:space="preserve">, faktiski noraidot prasījumu bez </w:t>
      </w:r>
      <w:r w:rsidR="00AE6AB3" w:rsidRPr="00DF5778">
        <w:rPr>
          <w:rFonts w:eastAsia="Calibri"/>
        </w:rPr>
        <w:t>tiesvedības ierosināšanas</w:t>
      </w:r>
      <w:r w:rsidR="00BD0997">
        <w:rPr>
          <w:rFonts w:eastAsia="Calibri"/>
        </w:rPr>
        <w:t xml:space="preserve"> (sal. </w:t>
      </w:r>
      <w:r w:rsidR="00BD0997" w:rsidRPr="005964E3">
        <w:rPr>
          <w:rFonts w:eastAsia="Calibri"/>
          <w:i/>
          <w:iCs/>
        </w:rPr>
        <w:t xml:space="preserve">Senāta </w:t>
      </w:r>
      <w:r w:rsidR="00BD0997" w:rsidRPr="005964E3">
        <w:rPr>
          <w:i/>
          <w:iCs/>
        </w:rPr>
        <w:t xml:space="preserve">2022.gada 1.februāra rīcības sēdes lēmuma lietā Nr. SKA-635/2022, </w:t>
      </w:r>
      <w:hyperlink r:id="rId9" w:history="1">
        <w:r w:rsidR="00BD0997" w:rsidRPr="00375B45">
          <w:rPr>
            <w:rStyle w:val="Hyperlink"/>
            <w:i/>
            <w:iCs/>
          </w:rPr>
          <w:t>ECLI:LV:AT:2022:0201.SKA063522.6.L</w:t>
        </w:r>
      </w:hyperlink>
      <w:r w:rsidR="00BD0997" w:rsidRPr="005964E3">
        <w:rPr>
          <w:i/>
          <w:iCs/>
        </w:rPr>
        <w:t>, 4.punkts</w:t>
      </w:r>
      <w:r w:rsidR="00BD0997">
        <w:t>)</w:t>
      </w:r>
      <w:r w:rsidR="00AE6AB3">
        <w:rPr>
          <w:rFonts w:eastAsia="Calibri"/>
        </w:rPr>
        <w:t xml:space="preserve">. </w:t>
      </w:r>
    </w:p>
    <w:p w14:paraId="5FBF182C" w14:textId="6C8CAA26" w:rsidR="00AE6AB3" w:rsidRDefault="005964E3" w:rsidP="002F3C38">
      <w:pPr>
        <w:spacing w:line="276" w:lineRule="auto"/>
        <w:ind w:firstLine="720"/>
        <w:jc w:val="both"/>
        <w:rPr>
          <w:rFonts w:eastAsia="Calibri"/>
        </w:rPr>
      </w:pPr>
      <w:r>
        <w:rPr>
          <w:rFonts w:eastAsia="Calibri"/>
        </w:rPr>
        <w:t xml:space="preserve"> Šāds regulējums neapšaubāmi ierobežo procesa dalībnieka tiesības uz </w:t>
      </w:r>
      <w:r w:rsidR="00A9709D">
        <w:rPr>
          <w:rFonts w:eastAsia="Calibri"/>
        </w:rPr>
        <w:t xml:space="preserve">lietas izskatīšanu pilnvērtīgā tiesas procesā </w:t>
      </w:r>
      <w:r>
        <w:rPr>
          <w:rFonts w:eastAsia="Calibri"/>
        </w:rPr>
        <w:t xml:space="preserve">(piemēram, tiesības uz lietas izskatīšanu mutvārdu procesā). </w:t>
      </w:r>
      <w:r w:rsidR="00AE6AB3">
        <w:rPr>
          <w:rFonts w:eastAsia="Calibri"/>
        </w:rPr>
        <w:t>Tomēr l</w:t>
      </w:r>
      <w:r>
        <w:rPr>
          <w:rFonts w:eastAsia="Calibri"/>
        </w:rPr>
        <w:t xml:space="preserve">ikumdevējs šādu tiesību uz taisnīgu tiesu ierobežojumu ir pieļāvis leģitīma mērķa labad – lai </w:t>
      </w:r>
      <w:r w:rsidR="00A9709D">
        <w:rPr>
          <w:rFonts w:eastAsia="Calibri"/>
        </w:rPr>
        <w:t>nodrošinātu sabiedrības interesi uz tiesu darbības efektivitāti</w:t>
      </w:r>
      <w:r>
        <w:rPr>
          <w:rFonts w:eastAsia="Calibri"/>
        </w:rPr>
        <w:t xml:space="preserve">, </w:t>
      </w:r>
      <w:r w:rsidR="00AE6AB3">
        <w:rPr>
          <w:rFonts w:eastAsia="Calibri"/>
        </w:rPr>
        <w:t>samazinot tiesu noslodzi, netērējot tiesu sistēmas resursus</w:t>
      </w:r>
      <w:r>
        <w:rPr>
          <w:rFonts w:eastAsia="Calibri"/>
        </w:rPr>
        <w:t xml:space="preserve"> acīmredzami nepamatotu pieteikumu skatīšanai</w:t>
      </w:r>
      <w:r w:rsidR="00AE6AB3">
        <w:rPr>
          <w:rFonts w:eastAsia="Calibri"/>
        </w:rPr>
        <w:t xml:space="preserve"> un</w:t>
      </w:r>
      <w:r>
        <w:rPr>
          <w:rFonts w:eastAsia="Calibri"/>
        </w:rPr>
        <w:t xml:space="preserve"> </w:t>
      </w:r>
      <w:r w:rsidR="00AE6AB3">
        <w:rPr>
          <w:rFonts w:eastAsia="Calibri"/>
        </w:rPr>
        <w:t xml:space="preserve">tādējādi – </w:t>
      </w:r>
      <w:r w:rsidR="00A9709D">
        <w:rPr>
          <w:rFonts w:eastAsia="Calibri"/>
        </w:rPr>
        <w:t xml:space="preserve">gādājot par </w:t>
      </w:r>
      <w:r w:rsidR="00AE6AB3">
        <w:rPr>
          <w:rFonts w:eastAsia="Calibri"/>
        </w:rPr>
        <w:t xml:space="preserve">šo resursu pietiekamību lietu izskatīšanai saprātīgā termiņā (sal. </w:t>
      </w:r>
      <w:r w:rsidR="00A359DA" w:rsidRPr="00A359DA">
        <w:rPr>
          <w:rFonts w:eastAsia="Calibri"/>
          <w:i/>
          <w:iCs/>
        </w:rPr>
        <w:t xml:space="preserve">Senāta </w:t>
      </w:r>
      <w:r w:rsidR="00AE6AB3" w:rsidRPr="00A9709D">
        <w:rPr>
          <w:i/>
          <w:iCs/>
        </w:rPr>
        <w:t>2017.gada 31.janvāra lēmuma lietā Nr.</w:t>
      </w:r>
      <w:r w:rsidR="00100F80">
        <w:rPr>
          <w:i/>
          <w:iCs/>
        </w:rPr>
        <w:t> </w:t>
      </w:r>
      <w:hyperlink r:id="rId10" w:history="1">
        <w:r w:rsidR="00AE6AB3" w:rsidRPr="001125E2">
          <w:rPr>
            <w:rStyle w:val="Hyperlink"/>
            <w:i/>
            <w:iCs/>
          </w:rPr>
          <w:t>SKA-686/2017</w:t>
        </w:r>
      </w:hyperlink>
      <w:r w:rsidR="00AE6AB3" w:rsidRPr="00A9709D">
        <w:rPr>
          <w:i/>
          <w:iCs/>
        </w:rPr>
        <w:t>, 670019416, 8.punkts</w:t>
      </w:r>
      <w:r w:rsidR="00AE6AB3">
        <w:t>)</w:t>
      </w:r>
      <w:r w:rsidR="00AE6AB3">
        <w:rPr>
          <w:rFonts w:eastAsia="Calibri"/>
        </w:rPr>
        <w:t xml:space="preserve">. </w:t>
      </w:r>
    </w:p>
    <w:p w14:paraId="57046D5A" w14:textId="08CE7C52" w:rsidR="00AC2707" w:rsidRDefault="00A9709D" w:rsidP="002F3C38">
      <w:pPr>
        <w:spacing w:line="276" w:lineRule="auto"/>
        <w:ind w:firstLine="720"/>
        <w:jc w:val="both"/>
        <w:rPr>
          <w:rFonts w:eastAsia="Calibri"/>
        </w:rPr>
      </w:pPr>
      <w:r>
        <w:rPr>
          <w:rFonts w:eastAsia="Calibri"/>
        </w:rPr>
        <w:t xml:space="preserve">Ievērojot minēto, Senāts uzsver, ka </w:t>
      </w:r>
      <w:r w:rsidR="005D5AE1">
        <w:rPr>
          <w:rFonts w:eastAsia="Calibri"/>
        </w:rPr>
        <w:t xml:space="preserve">vispārīgi nav izslēgts, ka tiek atteikta pieteikuma pieļaujamības prasībām atbilstoša pieteikuma izskatīšana pēc būtības. Tomēr </w:t>
      </w:r>
      <w:r>
        <w:rPr>
          <w:rFonts w:eastAsia="Calibri"/>
        </w:rPr>
        <w:t xml:space="preserve">konkrētās </w:t>
      </w:r>
      <w:r w:rsidR="005D5AE1">
        <w:rPr>
          <w:rFonts w:eastAsia="Calibri"/>
        </w:rPr>
        <w:t xml:space="preserve">Administratīvā procesa likuma </w:t>
      </w:r>
      <w:r>
        <w:rPr>
          <w:rFonts w:eastAsia="Calibri"/>
        </w:rPr>
        <w:t xml:space="preserve">normas kā atkāpes no pilnvērtīga tiesas procesa piemērošana ir </w:t>
      </w:r>
      <w:r w:rsidR="005D5AE1">
        <w:rPr>
          <w:rFonts w:eastAsia="Calibri"/>
        </w:rPr>
        <w:t>p</w:t>
      </w:r>
      <w:r w:rsidR="002C741C">
        <w:rPr>
          <w:rFonts w:eastAsia="Calibri"/>
        </w:rPr>
        <w:t>a</w:t>
      </w:r>
      <w:r w:rsidR="005D5AE1">
        <w:rPr>
          <w:rFonts w:eastAsia="Calibri"/>
        </w:rPr>
        <w:t>matota</w:t>
      </w:r>
      <w:r>
        <w:rPr>
          <w:rFonts w:eastAsia="Calibri"/>
        </w:rPr>
        <w:t xml:space="preserve"> tikai </w:t>
      </w:r>
      <w:r w:rsidR="004963CD">
        <w:rPr>
          <w:rFonts w:eastAsia="Calibri"/>
        </w:rPr>
        <w:t xml:space="preserve">tādā </w:t>
      </w:r>
      <w:r w:rsidR="00AE6AB3">
        <w:rPr>
          <w:rFonts w:eastAsia="Calibri"/>
        </w:rPr>
        <w:t xml:space="preserve">situācijā, </w:t>
      </w:r>
      <w:r w:rsidR="004963CD">
        <w:rPr>
          <w:rFonts w:eastAsia="Calibri"/>
        </w:rPr>
        <w:t>kad</w:t>
      </w:r>
      <w:r w:rsidR="00AE6AB3">
        <w:rPr>
          <w:rFonts w:eastAsia="Calibri"/>
        </w:rPr>
        <w:t xml:space="preserve"> </w:t>
      </w:r>
      <w:r w:rsidR="00AE6AB3" w:rsidRPr="002E48A9">
        <w:t>lietas sagaidāmais iznākums</w:t>
      </w:r>
      <w:r w:rsidR="00AE6AB3">
        <w:t xml:space="preserve"> </w:t>
      </w:r>
      <w:r>
        <w:t xml:space="preserve">tiešām jau pieteikuma stadijā </w:t>
      </w:r>
      <w:r w:rsidR="00AE6AB3">
        <w:t>ir acīmredzami skaidrs.</w:t>
      </w:r>
      <w:r>
        <w:t xml:space="preserve"> </w:t>
      </w:r>
      <w:r w:rsidR="00A2177A">
        <w:t>Citiem vārdiem sakot,</w:t>
      </w:r>
      <w:r>
        <w:t xml:space="preserve"> attiecīgās normas piemērošana var būt attaisnojama vienīgi tad, ja pieteikuma nepamatotība ir tik acīmredzama, ka par to nevarētu būt nekādu saprātīgu šaubu un </w:t>
      </w:r>
      <w:r w:rsidR="00853F81">
        <w:rPr>
          <w:rFonts w:eastAsia="Calibri"/>
        </w:rPr>
        <w:t>jēdzīg</w:t>
      </w:r>
      <w:r>
        <w:rPr>
          <w:rFonts w:eastAsia="Calibri"/>
        </w:rPr>
        <w:t>u</w:t>
      </w:r>
      <w:r w:rsidR="00853F81">
        <w:rPr>
          <w:rFonts w:eastAsia="Calibri"/>
        </w:rPr>
        <w:t xml:space="preserve"> diskusij</w:t>
      </w:r>
      <w:r>
        <w:rPr>
          <w:rFonts w:eastAsia="Calibri"/>
        </w:rPr>
        <w:t>u</w:t>
      </w:r>
      <w:r w:rsidR="00853F81">
        <w:rPr>
          <w:rFonts w:eastAsia="Calibri"/>
        </w:rPr>
        <w:t>.</w:t>
      </w:r>
      <w:r w:rsidR="00AC2707">
        <w:rPr>
          <w:rFonts w:eastAsia="Calibri"/>
        </w:rPr>
        <w:t xml:space="preserve"> </w:t>
      </w:r>
    </w:p>
    <w:p w14:paraId="6FAB2F4A" w14:textId="48237851" w:rsidR="00A9709D" w:rsidRDefault="00A2177A" w:rsidP="002F3C38">
      <w:pPr>
        <w:spacing w:line="276" w:lineRule="auto"/>
        <w:ind w:firstLine="720"/>
        <w:jc w:val="both"/>
        <w:rPr>
          <w:rFonts w:eastAsia="Calibri"/>
        </w:rPr>
      </w:pPr>
      <w:r>
        <w:rPr>
          <w:rFonts w:eastAsia="Calibri"/>
        </w:rPr>
        <w:t>T</w:t>
      </w:r>
      <w:r w:rsidR="00A9709D">
        <w:rPr>
          <w:rFonts w:eastAsia="Calibri"/>
        </w:rPr>
        <w:t>iesnesim, pieteikuma izlemšanas stadijā apsverot iespēju atteikt pieteikuma izskatīšanu tā acīmredzamas nepamatotības dēļ</w:t>
      </w:r>
      <w:r>
        <w:rPr>
          <w:rFonts w:eastAsia="Calibri"/>
        </w:rPr>
        <w:t xml:space="preserve">, minētais ir jāapzinās. Jo īpaši būtiski tas ir situācijā (kāda ir arī izskatāmajā lietā), kad lietas ierosināšanas gadījumā to pēc būtības skatītu triju tiesnešu, nevis viena tiesneša sastāvā, jo šādā situācijā tiek ierobežotas procesa dalībnieka tiesības ne tikai uz lietas izskatīšanu tiesas sēdē, bet arī uz to, ka lietu izskata koleģiāls tiesas sastāvs. </w:t>
      </w:r>
    </w:p>
    <w:p w14:paraId="2AF2AE57" w14:textId="77777777" w:rsidR="00A2177A" w:rsidRDefault="00A2177A" w:rsidP="002F3C38">
      <w:pPr>
        <w:spacing w:line="276" w:lineRule="auto"/>
        <w:ind w:firstLine="720"/>
        <w:jc w:val="both"/>
        <w:rPr>
          <w:rFonts w:eastAsia="Calibri"/>
        </w:rPr>
      </w:pPr>
    </w:p>
    <w:p w14:paraId="597EB43B" w14:textId="1BD4C36D" w:rsidR="00A2177A" w:rsidRDefault="00A2177A" w:rsidP="002F3C38">
      <w:pPr>
        <w:spacing w:line="276" w:lineRule="auto"/>
        <w:ind w:firstLine="720"/>
        <w:jc w:val="both"/>
        <w:rPr>
          <w:rFonts w:eastAsia="Calibri"/>
        </w:rPr>
      </w:pPr>
      <w:r>
        <w:rPr>
          <w:rFonts w:eastAsia="Calibri"/>
        </w:rPr>
        <w:t xml:space="preserve">[7] Senāts secina, ka tiesneša lēmuma pamatojums nepārliecina, ka konkrētās lietas iznākums ir acīmredzami skaidrs un ka </w:t>
      </w:r>
      <w:r>
        <w:t xml:space="preserve">par to nevarētu būt nekādu saprātīgu šaubu un </w:t>
      </w:r>
      <w:r>
        <w:rPr>
          <w:rFonts w:eastAsia="Calibri"/>
        </w:rPr>
        <w:t xml:space="preserve">jēdzīgu diskusiju. </w:t>
      </w:r>
      <w:r w:rsidR="008534C7">
        <w:rPr>
          <w:rFonts w:eastAsia="Calibri"/>
        </w:rPr>
        <w:t>Minētais pamatojams ar turpmāk norādīto.</w:t>
      </w:r>
    </w:p>
    <w:p w14:paraId="4C319473" w14:textId="6CD53065" w:rsidR="00A2177A" w:rsidRDefault="00A2177A" w:rsidP="002F3C38">
      <w:pPr>
        <w:spacing w:line="276" w:lineRule="auto"/>
        <w:ind w:firstLine="720"/>
        <w:jc w:val="both"/>
        <w:rPr>
          <w:rFonts w:eastAsia="Calibri"/>
        </w:rPr>
      </w:pPr>
    </w:p>
    <w:p w14:paraId="293C58BE" w14:textId="669C0D5F" w:rsidR="00351688" w:rsidRDefault="00A2177A" w:rsidP="002F3C38">
      <w:pPr>
        <w:pStyle w:val="Default"/>
        <w:spacing w:line="276" w:lineRule="auto"/>
        <w:ind w:firstLine="720"/>
        <w:jc w:val="both"/>
      </w:pPr>
      <w:r>
        <w:t xml:space="preserve">[8] </w:t>
      </w:r>
      <w:bookmarkStart w:id="1" w:name="_Hlk144390572"/>
      <w:r>
        <w:t xml:space="preserve">Tiesnesis </w:t>
      </w:r>
      <w:r w:rsidR="00EB0859">
        <w:t>konstatējis</w:t>
      </w:r>
      <w:r>
        <w:t xml:space="preserve">, ka strīdus </w:t>
      </w:r>
      <w:r w:rsidR="008A3FD6">
        <w:t>konkursa nolikum</w:t>
      </w:r>
      <w:r w:rsidR="00A80D19">
        <w:t>s prasa, lai pakalpojumu sniedzējs būtu gatavs sniegt pakalpojumus ne vēlāk kā 13 mēnešus pēc līguma noslēgšanas dienas</w:t>
      </w:r>
      <w:r w:rsidR="008534C7">
        <w:t>, t</w:t>
      </w:r>
      <w:r w:rsidR="00BD0997">
        <w:t xml:space="preserve">omēr nolikums </w:t>
      </w:r>
      <w:r w:rsidR="00351688">
        <w:t>neliedz</w:t>
      </w:r>
      <w:r w:rsidR="00BD0997">
        <w:t>ot</w:t>
      </w:r>
      <w:r w:rsidR="00351688">
        <w:t xml:space="preserve"> līgumā kā pakalpojumu sniegšanas uzsākšanas termiņu noteikt jebkādu termiņu, kas ilgāks par 13 mēnešiem no līguma noslēgšanas dienas. </w:t>
      </w:r>
      <w:r w:rsidR="008534C7">
        <w:t>Šā iemesla dēļ tiesnesis atzinis: tas, ka pārsūdzētajos līgumos pakalpojumu sniegšanas termiņš noteikts 15 līdz 21 mēnesi pēc līguma noslēgšanas, nedod pakalpojumu sniedzējiem ilgāku sagatavošanās laiku</w:t>
      </w:r>
      <w:r w:rsidR="003F7AC2">
        <w:t>,</w:t>
      </w:r>
      <w:r w:rsidR="008534C7">
        <w:t xml:space="preserve"> nekā paredzēts nolikumā.</w:t>
      </w:r>
    </w:p>
    <w:p w14:paraId="58B5BFDA" w14:textId="41FAE458" w:rsidR="00EC60EE" w:rsidRPr="00EF7880" w:rsidRDefault="00351688" w:rsidP="002F3C38">
      <w:pPr>
        <w:pStyle w:val="Default"/>
        <w:spacing w:line="276" w:lineRule="auto"/>
        <w:ind w:firstLine="720"/>
        <w:jc w:val="both"/>
      </w:pPr>
      <w:r>
        <w:t xml:space="preserve">Minētos secinājumus tiesnesis izdarījis, pievēršoties tikai nolikuma 3.7.punkta vārdiskajam formulējumam. Tiesnesis nav analizējis šādas nolikuma normu izpratnes </w:t>
      </w:r>
      <w:r w:rsidR="00184A3D">
        <w:t>paredzamību</w:t>
      </w:r>
      <w:r>
        <w:t xml:space="preserve"> konkrētās </w:t>
      </w:r>
      <w:r w:rsidR="004963CD">
        <w:t>pakalpojumu sniegšanas nozares</w:t>
      </w:r>
      <w:r>
        <w:t xml:space="preserve"> specifikas kontekstā; tāpat tiesnesis </w:t>
      </w:r>
      <w:r w:rsidR="00EC60EE">
        <w:t xml:space="preserve">nav pārliecinājies par šādu </w:t>
      </w:r>
      <w:r>
        <w:t xml:space="preserve">nolikuma strīdus normas jēgu kopsakarā ar citām nolikuma normām vai </w:t>
      </w:r>
      <w:r w:rsidRPr="00EF7880">
        <w:t>līgum</w:t>
      </w:r>
      <w:r w:rsidR="00BD0997" w:rsidRPr="00EF7880">
        <w:t>u</w:t>
      </w:r>
      <w:r w:rsidRPr="00EF7880">
        <w:t xml:space="preserve"> noteikumiem. </w:t>
      </w:r>
    </w:p>
    <w:p w14:paraId="1F834963" w14:textId="77777777" w:rsidR="00EC60EE" w:rsidRPr="00EF7880" w:rsidRDefault="00EC60EE" w:rsidP="002F3C38">
      <w:pPr>
        <w:pStyle w:val="Default"/>
        <w:spacing w:line="276" w:lineRule="auto"/>
        <w:ind w:firstLine="720"/>
        <w:jc w:val="both"/>
      </w:pPr>
    </w:p>
    <w:p w14:paraId="5800156A" w14:textId="5116EE24" w:rsidR="00EC60EE" w:rsidRPr="00EF7880" w:rsidRDefault="00EC60EE" w:rsidP="002F3C38">
      <w:pPr>
        <w:pStyle w:val="Default"/>
        <w:spacing w:line="276" w:lineRule="auto"/>
        <w:ind w:firstLine="720"/>
        <w:jc w:val="both"/>
      </w:pPr>
      <w:r w:rsidRPr="00EF7880">
        <w:t xml:space="preserve">[9] Senāts piekrīt pieteicējai, ka </w:t>
      </w:r>
      <w:r w:rsidR="00BD0997" w:rsidRPr="00EF7880">
        <w:t>t</w:t>
      </w:r>
      <w:r w:rsidRPr="00EF7880">
        <w:t>āda nolikuma normu interpretācija, kas noliedz sasaist</w:t>
      </w:r>
      <w:r w:rsidR="00BD0997" w:rsidRPr="00EF7880">
        <w:t>es nepieciešamību</w:t>
      </w:r>
      <w:r w:rsidRPr="00EF7880">
        <w:t xml:space="preserve"> starp konkursa nolikum</w:t>
      </w:r>
      <w:r w:rsidR="00EF7880">
        <w:t>a 3.7.punktā</w:t>
      </w:r>
      <w:r w:rsidRPr="00EF7880">
        <w:t xml:space="preserve"> noteikto sagatavošanās termiņu un līguma pildīšanas uzsākšanas termiņu, var radīt saprātīgus jautājumus. </w:t>
      </w:r>
    </w:p>
    <w:p w14:paraId="3FB28748" w14:textId="52F1B391" w:rsidR="00BD0997" w:rsidRPr="00EF7880" w:rsidRDefault="00EC60EE" w:rsidP="002F3C38">
      <w:pPr>
        <w:spacing w:line="276" w:lineRule="auto"/>
        <w:ind w:firstLine="720"/>
        <w:jc w:val="both"/>
      </w:pPr>
      <w:r w:rsidRPr="00EF7880">
        <w:t xml:space="preserve">Kā jau minēts, tiesnesis ir atzinis, ka ikvienam pakalpojumu sniedzējam, ar kuru tiek noslēgts līgums, atbilstoši konkursa nolikuma prasībām būtu jānodrošina, ka ne vēlāk kā 13 mēnešus pēc līguma noslēgšanas </w:t>
      </w:r>
      <w:r w:rsidR="00BD0997" w:rsidRPr="00EF7880">
        <w:t>tas</w:t>
      </w:r>
      <w:r w:rsidRPr="00EF7880">
        <w:t xml:space="preserve"> ir gatavs uzsākt pakalpojumu sniegšanu. </w:t>
      </w:r>
      <w:r w:rsidR="00BD0997" w:rsidRPr="00EF7880">
        <w:t>Tiesnesis uzsvēris, ka šī prasība vienlīdz attiecas uz visiem pakalpojumu sniedzējiem, ar kuriem noslēgti pārsūdzētie l</w:t>
      </w:r>
      <w:r w:rsidR="00EF7880">
        <w:t>īgumi</w:t>
      </w:r>
      <w:r w:rsidR="00BD0997" w:rsidRPr="00EF7880">
        <w:t xml:space="preserve">, tāpēc neesot pamata uzskatīt, ka </w:t>
      </w:r>
      <w:r w:rsidR="00EF7880">
        <w:t>attiecīgajiem komersantiem</w:t>
      </w:r>
      <w:r w:rsidR="00BD0997" w:rsidRPr="00EF7880">
        <w:t xml:space="preserve"> ticis dots ilgāks sagatavošanās laiks, nekā tas, ar ko rēķinājās pieteicēja. </w:t>
      </w:r>
      <w:r w:rsidRPr="00EF7880">
        <w:t>Vienlaikus tiesnesis nav norādījis uz kādām nolikuma vai līguma normām, kuras paredzētu, ka pasūtītāja jebkādā veidā pārliecinās</w:t>
      </w:r>
      <w:r w:rsidR="00BD0997" w:rsidRPr="00EF7880">
        <w:t>ies</w:t>
      </w:r>
      <w:r w:rsidRPr="00EF7880">
        <w:t xml:space="preserve"> par to, vai pakalpojuma sniedzējs ir gatavs sniegt pakalpojumus</w:t>
      </w:r>
      <w:r w:rsidR="00BD0997" w:rsidRPr="00EF7880">
        <w:t xml:space="preserve"> </w:t>
      </w:r>
      <w:r w:rsidR="004963CD">
        <w:t>ne vēlāk kā</w:t>
      </w:r>
      <w:r w:rsidR="00BD0997" w:rsidRPr="00EF7880">
        <w:t xml:space="preserve"> 13 mēnešus pēc līguma noslēgšanas. </w:t>
      </w:r>
      <w:r w:rsidRPr="00EF7880">
        <w:t>Kā pamatoti norādījusi pieteicēja, pārsūdzēto l</w:t>
      </w:r>
      <w:r w:rsidR="00EF7880">
        <w:t>īgumu</w:t>
      </w:r>
      <w:r w:rsidRPr="00EF7880">
        <w:t xml:space="preserve"> 7.10.punktā ir noteikts kas cits, proti, ka autobusiem, kas nepieciešami sabiedriskā transporta pakalpojumu nodrošināšanai, jābūt </w:t>
      </w:r>
      <w:r w:rsidR="00792690" w:rsidRPr="00EF7880">
        <w:t>pakalpojumu sniedzēja (vai tā a</w:t>
      </w:r>
      <w:r w:rsidRPr="00EF7880">
        <w:t>pakšuzņēmuma</w:t>
      </w:r>
      <w:r w:rsidR="00792690" w:rsidRPr="00EF7880">
        <w:t>)</w:t>
      </w:r>
      <w:r w:rsidRPr="00EF7880">
        <w:t xml:space="preserve"> īpašumā, valdījumā vai turējumā ne vēlāk kā 30 dienas pirms pakalpojum</w:t>
      </w:r>
      <w:r w:rsidR="00184A3D">
        <w:t>u sniegšanas</w:t>
      </w:r>
      <w:r w:rsidRPr="00EF7880">
        <w:t xml:space="preserve"> uzsākšanas dienas</w:t>
      </w:r>
      <w:bookmarkStart w:id="2" w:name="_Hlk66101199"/>
      <w:r w:rsidR="00BD0997" w:rsidRPr="00EF7880">
        <w:t xml:space="preserve"> </w:t>
      </w:r>
      <w:r w:rsidR="00EF7880">
        <w:t>(</w:t>
      </w:r>
      <w:r w:rsidR="00BD0997" w:rsidRPr="00EF7880">
        <w:t>un š</w:t>
      </w:r>
      <w:bookmarkEnd w:id="2"/>
      <w:r w:rsidR="00792690" w:rsidRPr="00EF7880">
        <w:t>ī nosacījuma neizpilde ir pamats pasūtītāja</w:t>
      </w:r>
      <w:r w:rsidR="00EF7880">
        <w:t>i</w:t>
      </w:r>
      <w:r w:rsidR="00792690" w:rsidRPr="00EF7880">
        <w:t xml:space="preserve"> izbeigt līgumu</w:t>
      </w:r>
      <w:r w:rsidR="00EF7880">
        <w:t>)</w:t>
      </w:r>
      <w:r w:rsidR="00792690" w:rsidRPr="00EF7880">
        <w:t>.</w:t>
      </w:r>
      <w:r w:rsidR="00EF7880" w:rsidRPr="00EF7880">
        <w:t xml:space="preserve"> Analogs nosacījums paredzēts arī konkursa nolikuma 24.3.4.punktā.</w:t>
      </w:r>
    </w:p>
    <w:p w14:paraId="14C83A94" w14:textId="1D8294EC" w:rsidR="00EF7880" w:rsidRDefault="00BD0997" w:rsidP="002F3C38">
      <w:pPr>
        <w:pStyle w:val="Default"/>
        <w:spacing w:line="276" w:lineRule="auto"/>
        <w:ind w:firstLine="720"/>
        <w:jc w:val="both"/>
      </w:pPr>
      <w:r w:rsidRPr="00EF7880">
        <w:t xml:space="preserve">Tādējādi gan </w:t>
      </w:r>
      <w:r w:rsidR="00184A3D">
        <w:t xml:space="preserve">minētā </w:t>
      </w:r>
      <w:r w:rsidRPr="00EF7880">
        <w:t>nolikum</w:t>
      </w:r>
      <w:r w:rsidR="00184A3D">
        <w:t>a norma</w:t>
      </w:r>
      <w:r w:rsidRPr="00EF7880">
        <w:t xml:space="preserve">, gan pārsūdzēto līgumu noteikumi paredz, ka </w:t>
      </w:r>
      <w:r w:rsidR="00EF7880">
        <w:t>līguma izpildei nepieciešamajiem resursiem – autobusiem – ir jābūt pakalpojuma sniedzēja rīcībā tad, kad līdz līguma izpildes uzsākšanai atlikušas 30 dienas.</w:t>
      </w:r>
      <w:r w:rsidRPr="00EF7880">
        <w:t xml:space="preserve"> </w:t>
      </w:r>
      <w:r w:rsidR="00EF7880">
        <w:t xml:space="preserve">Minētais </w:t>
      </w:r>
      <w:r w:rsidR="004963CD">
        <w:t>liek secināt</w:t>
      </w:r>
      <w:r w:rsidR="00EF7880">
        <w:t xml:space="preserve">, ka gadījumā, ja līgumā tiek noteikts, piemēram, ka pakalpojumu sniegšana uzsākama 21 mēnesi pēc līguma noslēgšanas, </w:t>
      </w:r>
      <w:r w:rsidR="00EF7880" w:rsidRPr="00EF7880">
        <w:t xml:space="preserve">pakalpojuma sniedzējs faktiski var rēķināties, ka tam jābūt gatavam līguma pildīšanai nevis </w:t>
      </w:r>
      <w:r w:rsidR="004963CD">
        <w:t xml:space="preserve">pēc </w:t>
      </w:r>
      <w:r w:rsidR="00EF7880" w:rsidRPr="00EF7880">
        <w:t>13 mēneš</w:t>
      </w:r>
      <w:r w:rsidR="004963CD">
        <w:t xml:space="preserve">iem no </w:t>
      </w:r>
      <w:r w:rsidR="00EF7880" w:rsidRPr="00EF7880">
        <w:t xml:space="preserve">līguma noslēgšanas, bet gan </w:t>
      </w:r>
      <w:r w:rsidR="004963CD">
        <w:t>vēlāk</w:t>
      </w:r>
      <w:r w:rsidR="00EF7880" w:rsidRPr="00EF7880">
        <w:t xml:space="preserve"> </w:t>
      </w:r>
      <w:r w:rsidR="00EF7880">
        <w:t>–</w:t>
      </w:r>
      <w:r w:rsidR="00EF7880" w:rsidRPr="00EF7880">
        <w:t xml:space="preserve"> </w:t>
      </w:r>
      <w:r w:rsidR="004963CD">
        <w:t xml:space="preserve">pēc </w:t>
      </w:r>
      <w:r w:rsidR="00EF7880">
        <w:t>20 mēneš</w:t>
      </w:r>
      <w:r w:rsidR="004963CD">
        <w:t>iem no</w:t>
      </w:r>
      <w:r w:rsidR="00EF7880">
        <w:t xml:space="preserve"> līguma noslēgšanas.</w:t>
      </w:r>
      <w:r w:rsidR="00EC60EE">
        <w:t xml:space="preserve"> </w:t>
      </w:r>
      <w:r w:rsidR="00EF7880">
        <w:t>Tāpat m</w:t>
      </w:r>
      <w:r w:rsidR="00EF7880" w:rsidRPr="00EF7880">
        <w:t>inētais vedina domāt, ka</w:t>
      </w:r>
      <w:r w:rsidR="00EF7880">
        <w:t xml:space="preserve"> nolikums</w:t>
      </w:r>
      <w:r w:rsidR="004963CD">
        <w:t xml:space="preserve"> tomēr</w:t>
      </w:r>
      <w:r w:rsidR="00EF7880">
        <w:t xml:space="preserve"> sasaista termiņu, kāds dots pakalpojuma sniedzējam, lai tas sagatavotos līguma izpildei, ar termiņu, kurā jāuzsāk pakalpojuma sniegšana. Kā pamatoti norāda pieteicēja,</w:t>
      </w:r>
      <w:r w:rsidR="004963CD">
        <w:t xml:space="preserve"> </w:t>
      </w:r>
      <w:r w:rsidR="00EF7880">
        <w:t xml:space="preserve">šāda kārtība ir arī ekonomiski pamatota, jo neprasa pakalpojuma sniedzējam ilgstoši dīkstāvē turēt pakalpojuma sniegšanai nepieciešamos resursus. </w:t>
      </w:r>
    </w:p>
    <w:p w14:paraId="45583910" w14:textId="77777777" w:rsidR="00EF7880" w:rsidRDefault="00EF7880" w:rsidP="002F3C38">
      <w:pPr>
        <w:pStyle w:val="Default"/>
        <w:spacing w:line="276" w:lineRule="auto"/>
        <w:ind w:firstLine="720"/>
        <w:jc w:val="both"/>
      </w:pPr>
    </w:p>
    <w:p w14:paraId="5C23A720" w14:textId="7847C478" w:rsidR="00CC0582" w:rsidRDefault="00EF7880" w:rsidP="002F3C38">
      <w:pPr>
        <w:pStyle w:val="Default"/>
        <w:spacing w:line="276" w:lineRule="auto"/>
        <w:ind w:firstLine="720"/>
        <w:jc w:val="both"/>
        <w:rPr>
          <w:rFonts w:eastAsia="Calibri"/>
        </w:rPr>
      </w:pPr>
      <w:r>
        <w:t>[10] Senāts atzīst, ka minētie apsvērumi ir pietiekami, lai secinātu, ka strīd</w:t>
      </w:r>
      <w:r w:rsidR="00184A3D">
        <w:t>u</w:t>
      </w:r>
      <w:r>
        <w:t>s jautājuma izšķiršana nav acīmredzami skaidra un tā prasa pienācīgu iedziļināšanos, kādu var nodrošināt lietas izskatīšana pēc būtības. Turklāt nevar neņemt vērā, ka līdzīgā lietā (proti, iepirkuma lietā, kurā konkursa nolikuma normas bija pēc būtības analoga</w:t>
      </w:r>
      <w:r w:rsidR="002C741C">
        <w:t>s</w:t>
      </w:r>
      <w:r>
        <w:t xml:space="preserve"> izskatāmās lietas konkursa nolikumam) ar spēkā stājušos tiesas spriedumu </w:t>
      </w:r>
      <w:r w:rsidR="002C741C">
        <w:t>(</w:t>
      </w:r>
      <w:r w:rsidR="002C741C" w:rsidRPr="002F50DD">
        <w:rPr>
          <w14:ligatures w14:val="standardContextual"/>
        </w:rPr>
        <w:t>Administratīvās rajona tiesas 2023.gada 2.marta spriedum</w:t>
      </w:r>
      <w:r w:rsidR="00184A3D">
        <w:rPr>
          <w14:ligatures w14:val="standardContextual"/>
        </w:rPr>
        <w:t>u</w:t>
      </w:r>
      <w:r w:rsidR="002C741C" w:rsidRPr="002F50DD">
        <w:rPr>
          <w14:ligatures w14:val="standardContextual"/>
        </w:rPr>
        <w:t xml:space="preserve"> lietā Nr.</w:t>
      </w:r>
      <w:r w:rsidR="00100F80">
        <w:rPr>
          <w14:ligatures w14:val="standardContextual"/>
        </w:rPr>
        <w:t> </w:t>
      </w:r>
      <w:r w:rsidR="002C741C" w:rsidRPr="002F50DD">
        <w:rPr>
          <w14:ligatures w14:val="standardContextual"/>
        </w:rPr>
        <w:t>A420235522</w:t>
      </w:r>
      <w:r w:rsidR="002C741C">
        <w:rPr>
          <w14:ligatures w14:val="standardContextual"/>
        </w:rPr>
        <w:t xml:space="preserve">) </w:t>
      </w:r>
      <w:r>
        <w:t>ir atzīts, ka tas, ka pasūtītāja pakalpojuma sniedzējam deva ilgāku sagatavošanās laiku līguma izpildes uzsākšanai nekā 13 mēneši, ir pietiekams pamats līguma atzīšanai par prettiesisku.</w:t>
      </w:r>
      <w:r w:rsidR="00FD5EB6">
        <w:t xml:space="preserve"> Šis apstāklis pats par sevi ir tāds, kas var radīt vismaz jēdzīgas diskusijas par to, vai izskatāmās lietas iznākum</w:t>
      </w:r>
      <w:r w:rsidR="002C741C">
        <w:t>s</w:t>
      </w:r>
      <w:r w:rsidR="00FD5EB6">
        <w:t xml:space="preserve"> ir tik acīmredzami skaidrs, kā tas norādīts pārsūdzētajā tiesneša lēmumā.</w:t>
      </w:r>
      <w:bookmarkEnd w:id="1"/>
    </w:p>
    <w:p w14:paraId="084E6B3B" w14:textId="77777777" w:rsidR="00B657A1" w:rsidRDefault="00B657A1" w:rsidP="002F3C38">
      <w:pPr>
        <w:spacing w:line="276" w:lineRule="auto"/>
        <w:ind w:firstLine="720"/>
        <w:jc w:val="both"/>
      </w:pPr>
    </w:p>
    <w:p w14:paraId="43747752" w14:textId="460D5324" w:rsidR="00B657A1" w:rsidRDefault="00B657A1" w:rsidP="002F3C38">
      <w:pPr>
        <w:spacing w:line="276" w:lineRule="auto"/>
        <w:ind w:firstLine="720"/>
        <w:jc w:val="both"/>
      </w:pPr>
      <w:r>
        <w:t>[</w:t>
      </w:r>
      <w:r w:rsidR="00FD5EB6">
        <w:t>11</w:t>
      </w:r>
      <w:r>
        <w:t>]</w:t>
      </w:r>
      <w:r w:rsidR="00B362FE">
        <w:t xml:space="preserve"> </w:t>
      </w:r>
      <w:r>
        <w:t>Rezumējot minēto, Senāts atzīst, ka tiesne</w:t>
      </w:r>
      <w:r w:rsidR="004963CD">
        <w:t>sis nepamatoti piemērojis Administratīvā procesa likuma 191.</w:t>
      </w:r>
      <w:r w:rsidR="004963CD" w:rsidRPr="004963CD">
        <w:rPr>
          <w:vertAlign w:val="superscript"/>
        </w:rPr>
        <w:t>1</w:t>
      </w:r>
      <w:r w:rsidR="004963CD">
        <w:t>panta pirmās daļas normu un tiesneša</w:t>
      </w:r>
      <w:r>
        <w:t xml:space="preserve"> lēmums par atteikšanos </w:t>
      </w:r>
      <w:r w:rsidR="00FD5EB6">
        <w:t xml:space="preserve">izskatīt </w:t>
      </w:r>
      <w:r>
        <w:t xml:space="preserve">pieteikumu ir atceļams. </w:t>
      </w:r>
    </w:p>
    <w:p w14:paraId="6D498D1E" w14:textId="77777777" w:rsidR="004963CD" w:rsidRDefault="004963CD" w:rsidP="002F3C38">
      <w:pPr>
        <w:spacing w:line="276" w:lineRule="auto"/>
        <w:ind w:firstLine="720"/>
        <w:jc w:val="both"/>
      </w:pPr>
    </w:p>
    <w:p w14:paraId="248D432B" w14:textId="06485E62" w:rsidR="008049FB" w:rsidRPr="00964883" w:rsidRDefault="004963CD" w:rsidP="002F3C38">
      <w:pPr>
        <w:spacing w:line="276" w:lineRule="auto"/>
        <w:ind w:firstLine="720"/>
        <w:jc w:val="both"/>
      </w:pPr>
      <w:r w:rsidRPr="00964883">
        <w:t xml:space="preserve">[12] Lai arī tam </w:t>
      </w:r>
      <w:r w:rsidR="000A05C7">
        <w:t>blakus sūdzības tiesvedības ietvaros</w:t>
      </w:r>
      <w:r w:rsidRPr="00964883">
        <w:t xml:space="preserve"> nav izšķirošas nozīmes, Senāts uzskata par lietderīgu papildus vērst uzmanību, ka tiesnesis </w:t>
      </w:r>
      <w:r w:rsidR="008049FB" w:rsidRPr="00964883">
        <w:t xml:space="preserve">lēmumā </w:t>
      </w:r>
      <w:r w:rsidRPr="00964883">
        <w:t>kļūdaini atzinis, ka pārsūdzētie līgumi ir privāto tiesību, nevis publisko tiesību līgumi.</w:t>
      </w:r>
      <w:r w:rsidR="00E210F2" w:rsidRPr="00964883">
        <w:t xml:space="preserve"> </w:t>
      </w:r>
    </w:p>
    <w:p w14:paraId="475E6188" w14:textId="1003DDA6" w:rsidR="00D67E49" w:rsidRPr="00964883" w:rsidRDefault="00E210F2" w:rsidP="002F3C38">
      <w:pPr>
        <w:spacing w:line="276" w:lineRule="auto"/>
        <w:ind w:firstLine="720"/>
        <w:jc w:val="both"/>
        <w:rPr>
          <w:rFonts w:eastAsiaTheme="minorHAnsi"/>
          <w:lang w:eastAsia="en-US"/>
          <w14:ligatures w14:val="standardContextual"/>
        </w:rPr>
      </w:pPr>
      <w:r w:rsidRPr="00964883">
        <w:t xml:space="preserve">Šādu secinājumu tiesnesis pamatojis ar to, ka </w:t>
      </w:r>
      <w:r w:rsidR="00D67E49" w:rsidRPr="00964883">
        <w:t xml:space="preserve">publiska funkcija ir sabiedriskā transporta pakalpojumu </w:t>
      </w:r>
      <w:r w:rsidR="00F96CB1">
        <w:t>sniegšanas</w:t>
      </w:r>
      <w:r w:rsidR="00D67E49" w:rsidRPr="00964883">
        <w:t xml:space="preserve"> organizēšana, bet ar pārsūdzētajiem līgumiem privātpersonām </w:t>
      </w:r>
      <w:r w:rsidR="00D67E49" w:rsidRPr="00964883">
        <w:rPr>
          <w:rFonts w:eastAsiaTheme="minorHAnsi"/>
          <w:lang w:eastAsia="en-US"/>
          <w14:ligatures w14:val="standardContextual"/>
        </w:rPr>
        <w:t>netiek piešķirtas sabiedriskā transporta pakalpojumu organizēšanas tiesības.</w:t>
      </w:r>
      <w:r w:rsidR="008049FB" w:rsidRPr="00964883">
        <w:rPr>
          <w:rFonts w:eastAsiaTheme="minorHAnsi"/>
          <w:lang w:eastAsia="en-US"/>
          <w14:ligatures w14:val="standardContextual"/>
        </w:rPr>
        <w:t xml:space="preserve"> P</w:t>
      </w:r>
      <w:r w:rsidRPr="00964883">
        <w:rPr>
          <w:rFonts w:eastAsiaTheme="minorHAnsi"/>
          <w:lang w:eastAsia="en-US"/>
          <w14:ligatures w14:val="standardContextual"/>
        </w:rPr>
        <w:t>ārsūdzēt</w:t>
      </w:r>
      <w:r w:rsidR="008049FB" w:rsidRPr="00964883">
        <w:rPr>
          <w:rFonts w:eastAsiaTheme="minorHAnsi"/>
          <w:lang w:eastAsia="en-US"/>
          <w14:ligatures w14:val="standardContextual"/>
        </w:rPr>
        <w:t xml:space="preserve">ie </w:t>
      </w:r>
      <w:r w:rsidRPr="00964883">
        <w:rPr>
          <w:rFonts w:eastAsiaTheme="minorHAnsi"/>
          <w:lang w:eastAsia="en-US"/>
          <w14:ligatures w14:val="standardContextual"/>
        </w:rPr>
        <w:t xml:space="preserve">līgumi noslēgti par </w:t>
      </w:r>
      <w:r w:rsidR="00D67E49" w:rsidRPr="00964883">
        <w:rPr>
          <w:rFonts w:eastAsiaTheme="minorHAnsi"/>
          <w:lang w:eastAsia="en-US"/>
          <w14:ligatures w14:val="standardContextual"/>
        </w:rPr>
        <w:t>sabiedriskā transporta pakalpojumu sniegšanu iedzīvotājiem</w:t>
      </w:r>
      <w:r w:rsidR="00964883">
        <w:rPr>
          <w:rFonts w:eastAsiaTheme="minorHAnsi"/>
          <w:lang w:eastAsia="en-US"/>
          <w14:ligatures w14:val="standardContextual"/>
        </w:rPr>
        <w:t xml:space="preserve">, un </w:t>
      </w:r>
      <w:r w:rsidRPr="00964883">
        <w:rPr>
          <w:rFonts w:eastAsiaTheme="minorHAnsi"/>
          <w:lang w:eastAsia="en-US"/>
          <w14:ligatures w14:val="standardContextual"/>
        </w:rPr>
        <w:t xml:space="preserve">pasažieru pārvadājumu </w:t>
      </w:r>
      <w:r w:rsidR="008049FB" w:rsidRPr="00964883">
        <w:rPr>
          <w:rFonts w:eastAsiaTheme="minorHAnsi"/>
          <w:lang w:eastAsia="en-US"/>
          <w14:ligatures w14:val="standardContextual"/>
        </w:rPr>
        <w:t>nodrošināšan</w:t>
      </w:r>
      <w:r w:rsidR="00964883">
        <w:rPr>
          <w:rFonts w:eastAsiaTheme="minorHAnsi"/>
          <w:lang w:eastAsia="en-US"/>
          <w14:ligatures w14:val="standardContextual"/>
        </w:rPr>
        <w:t>a</w:t>
      </w:r>
      <w:r w:rsidRPr="00964883">
        <w:rPr>
          <w:rFonts w:eastAsiaTheme="minorHAnsi"/>
          <w:lang w:eastAsia="en-US"/>
          <w14:ligatures w14:val="standardContextual"/>
        </w:rPr>
        <w:t xml:space="preserve"> </w:t>
      </w:r>
      <w:r w:rsidR="00F96CB1">
        <w:rPr>
          <w:rFonts w:eastAsiaTheme="minorHAnsi"/>
          <w:lang w:eastAsia="en-US"/>
          <w14:ligatures w14:val="standardContextual"/>
        </w:rPr>
        <w:t>esot</w:t>
      </w:r>
      <w:r w:rsidRPr="00964883">
        <w:rPr>
          <w:rFonts w:eastAsiaTheme="minorHAnsi"/>
          <w:lang w:eastAsia="en-US"/>
          <w14:ligatures w14:val="standardContextual"/>
        </w:rPr>
        <w:t xml:space="preserve"> tipiska privāttiesiska rakstura darbība</w:t>
      </w:r>
      <w:r w:rsidR="00D67E49" w:rsidRPr="00964883">
        <w:rPr>
          <w:rFonts w:eastAsiaTheme="minorHAnsi"/>
          <w:lang w:eastAsia="en-US"/>
          <w14:ligatures w14:val="standardContextual"/>
        </w:rPr>
        <w:t>.</w:t>
      </w:r>
      <w:r w:rsidRPr="00964883">
        <w:rPr>
          <w:rFonts w:eastAsiaTheme="minorHAnsi"/>
          <w:lang w:eastAsia="en-US"/>
          <w14:ligatures w14:val="standardContextual"/>
        </w:rPr>
        <w:t xml:space="preserve"> </w:t>
      </w:r>
    </w:p>
    <w:p w14:paraId="534618C6" w14:textId="5C7155D7" w:rsidR="00D67E49" w:rsidRPr="00964883" w:rsidRDefault="008049FB" w:rsidP="002F3C38">
      <w:pPr>
        <w:spacing w:line="276" w:lineRule="auto"/>
        <w:ind w:firstLine="720"/>
        <w:jc w:val="both"/>
      </w:pPr>
      <w:r w:rsidRPr="00964883">
        <w:rPr>
          <w:rFonts w:eastAsiaTheme="minorHAnsi"/>
          <w:lang w:eastAsia="en-US"/>
          <w14:ligatures w14:val="standardContextual"/>
        </w:rPr>
        <w:t xml:space="preserve">Tomēr tiesnesis nav ņēmis vērā, ka </w:t>
      </w:r>
      <w:r w:rsidR="00F96CB1">
        <w:rPr>
          <w:rFonts w:eastAsiaTheme="minorHAnsi"/>
          <w:lang w:eastAsia="en-US"/>
          <w14:ligatures w14:val="standardContextual"/>
        </w:rPr>
        <w:t xml:space="preserve">līguma publiski tiesiskas dabas konstatēšanai nav obligāts priekšnoteikums tas, ka </w:t>
      </w:r>
      <w:r w:rsidRPr="00964883">
        <w:rPr>
          <w:rFonts w:eastAsiaTheme="minorHAnsi"/>
          <w:lang w:eastAsia="en-US"/>
          <w14:ligatures w14:val="standardContextual"/>
        </w:rPr>
        <w:t xml:space="preserve">ar konkrēto līgumu privātpersonai ir </w:t>
      </w:r>
      <w:r w:rsidR="00D67E49" w:rsidRPr="00964883">
        <w:rPr>
          <w:rFonts w:eastAsiaTheme="minorHAnsi"/>
          <w:lang w:eastAsia="en-US"/>
          <w14:ligatures w14:val="standardContextual"/>
        </w:rPr>
        <w:t>piešķirta</w:t>
      </w:r>
      <w:r w:rsidRPr="00964883">
        <w:rPr>
          <w:rFonts w:eastAsiaTheme="minorHAnsi"/>
          <w:lang w:eastAsia="en-US"/>
          <w14:ligatures w14:val="standardContextual"/>
        </w:rPr>
        <w:t xml:space="preserve"> </w:t>
      </w:r>
      <w:r w:rsidR="00964883">
        <w:rPr>
          <w:rFonts w:eastAsiaTheme="minorHAnsi"/>
          <w:lang w:eastAsia="en-US"/>
          <w14:ligatures w14:val="standardContextual"/>
        </w:rPr>
        <w:t xml:space="preserve">(nodota) </w:t>
      </w:r>
      <w:r w:rsidRPr="00964883">
        <w:rPr>
          <w:rFonts w:eastAsiaTheme="minorHAnsi"/>
          <w:lang w:eastAsia="en-US"/>
          <w14:ligatures w14:val="standardContextual"/>
        </w:rPr>
        <w:t xml:space="preserve">publiska funkcija; līgums var tikt atzīts par publiski tiesisku arī tad, ja tā noslēgšanas mērķis ir publiski tiesiskas funkcijas izpildes nodrošināšana. </w:t>
      </w:r>
      <w:r w:rsidR="00D67E49" w:rsidRPr="00964883">
        <w:t xml:space="preserve">Lai nošķirtu publisko tiesību </w:t>
      </w:r>
      <w:smartTag w:uri="schemas-tilde-lv/tildestengine" w:element="veidnes">
        <w:smartTagPr>
          <w:attr w:name="text" w:val="līgumu"/>
          <w:attr w:name="id" w:val="-1"/>
          <w:attr w:name="baseform" w:val="līgum|s"/>
        </w:smartTagPr>
        <w:r w:rsidR="00D67E49" w:rsidRPr="00964883">
          <w:t>līgumu</w:t>
        </w:r>
      </w:smartTag>
      <w:r w:rsidR="00D67E49" w:rsidRPr="00964883">
        <w:t xml:space="preserve"> no privāttiesiska </w:t>
      </w:r>
      <w:smartTag w:uri="schemas-tilde-lv/tildestengine" w:element="veidnes">
        <w:smartTagPr>
          <w:attr w:name="text" w:val="līguma"/>
          <w:attr w:name="id" w:val="-1"/>
          <w:attr w:name="baseform" w:val="līgum|s"/>
        </w:smartTagPr>
        <w:r w:rsidR="00D67E49" w:rsidRPr="00964883">
          <w:t>līguma</w:t>
        </w:r>
      </w:smartTag>
      <w:r w:rsidR="00D67E49" w:rsidRPr="00964883">
        <w:t xml:space="preserve">, izšķirošais ir </w:t>
      </w:r>
      <w:smartTag w:uri="schemas-tilde-lv/tildestengine" w:element="veidnes">
        <w:smartTagPr>
          <w:attr w:name="text" w:val="līguma"/>
          <w:attr w:name="id" w:val="-1"/>
          <w:attr w:name="baseform" w:val="līgum|s"/>
        </w:smartTagPr>
        <w:r w:rsidR="00D67E49" w:rsidRPr="00964883">
          <w:t>līguma</w:t>
        </w:r>
      </w:smartTag>
      <w:r w:rsidR="00D67E49" w:rsidRPr="00964883">
        <w:t xml:space="preserve"> priekšmets, kam jābūt publisko tiesību jomā, </w:t>
      </w:r>
      <w:smartTag w:uri="schemas-tilde-lv/tildestengine" w:element="veidnes">
        <w:smartTagPr>
          <w:attr w:name="text" w:val="līguma"/>
          <w:attr w:name="id" w:val="-1"/>
          <w:attr w:name="baseform" w:val="līgum|s"/>
        </w:smartTagPr>
        <w:r w:rsidR="00D67E49" w:rsidRPr="00964883">
          <w:t>līguma</w:t>
        </w:r>
      </w:smartTag>
      <w:r w:rsidR="00D67E49" w:rsidRPr="00964883">
        <w:t xml:space="preserve"> kopējais raksturs un tajā ietvertie svarīgākie punkti. Svarīgi ir novērtēt arī </w:t>
      </w:r>
      <w:smartTag w:uri="schemas-tilde-lv/tildestengine" w:element="veidnes">
        <w:smartTagPr>
          <w:attr w:name="text" w:val="līguma"/>
          <w:attr w:name="id" w:val="-1"/>
          <w:attr w:name="baseform" w:val="līgum|s"/>
        </w:smartTagPr>
        <w:r w:rsidR="00D67E49" w:rsidRPr="00964883">
          <w:t>līguma</w:t>
        </w:r>
      </w:smartTag>
      <w:r w:rsidR="00D67E49" w:rsidRPr="00964883">
        <w:t xml:space="preserve"> mērķi (publisko tiesību </w:t>
      </w:r>
      <w:smartTag w:uri="schemas-tilde-lv/tildestengine" w:element="veidnes">
        <w:smartTagPr>
          <w:attr w:name="text" w:val="līgumu"/>
          <w:attr w:name="id" w:val="-1"/>
          <w:attr w:name="baseform" w:val="līgum|s"/>
        </w:smartTagPr>
        <w:r w:rsidR="00D67E49" w:rsidRPr="00964883">
          <w:t>līgumu</w:t>
        </w:r>
      </w:smartTag>
      <w:r w:rsidR="00D67E49" w:rsidRPr="00964883">
        <w:t xml:space="preserve"> mērķis – efektīva valsts pārvaldes funkciju veikšana un sabiedrības labuma iegūšana) un konstatēt, vai eksistē cieša sasaiste ar publiski tiesiskajām tiesībām un pienākumiem. </w:t>
      </w:r>
    </w:p>
    <w:p w14:paraId="40485F7E" w14:textId="0D0CAD1C" w:rsidR="00E210F2" w:rsidRPr="00964883" w:rsidRDefault="00D67E49" w:rsidP="002F3C38">
      <w:pPr>
        <w:spacing w:line="276" w:lineRule="auto"/>
        <w:ind w:firstLine="720"/>
        <w:jc w:val="both"/>
      </w:pPr>
      <w:r w:rsidRPr="00964883">
        <w:rPr>
          <w:rFonts w:eastAsiaTheme="minorHAnsi"/>
          <w:lang w:eastAsia="en-US"/>
          <w14:ligatures w14:val="standardContextual"/>
        </w:rPr>
        <w:t xml:space="preserve">Nav šaubu, ka attiecības starp sabiedriskā transporta pakalpojumu sniedzējiem un šo pakalpojumu lietotājiem – pasažieriem, ir privāttiesiskas, un attiecīgi līgumi, kurus pakalpojumu sniedzēji slēdz ar pasažieriem (pārdodot tiem biļetes un nodrošinot pārvadājumu) ir privāttiesiski. </w:t>
      </w:r>
      <w:r w:rsidR="002B2A70" w:rsidRPr="00964883">
        <w:rPr>
          <w:rFonts w:eastAsiaTheme="minorHAnsi"/>
          <w:lang w:eastAsia="en-US"/>
          <w14:ligatures w14:val="standardContextual"/>
        </w:rPr>
        <w:t>Tomēr k</w:t>
      </w:r>
      <w:r w:rsidRPr="00964883">
        <w:rPr>
          <w:rFonts w:eastAsiaTheme="minorHAnsi"/>
          <w:lang w:eastAsia="en-US"/>
          <w14:ligatures w14:val="standardContextual"/>
        </w:rPr>
        <w:t>onkrētie līgumi netiek slēgti starp pakalpojumu sniedzējiem un pasažieriem</w:t>
      </w:r>
      <w:r w:rsidR="002B2A70" w:rsidRPr="00964883">
        <w:rPr>
          <w:rFonts w:eastAsiaTheme="minorHAnsi"/>
          <w:lang w:eastAsia="en-US"/>
          <w14:ligatures w14:val="standardContextual"/>
        </w:rPr>
        <w:t xml:space="preserve">; tāpat ar </w:t>
      </w:r>
      <w:r w:rsidR="00964883">
        <w:rPr>
          <w:rFonts w:eastAsiaTheme="minorHAnsi"/>
          <w:lang w:eastAsia="en-US"/>
          <w14:ligatures w14:val="standardContextual"/>
        </w:rPr>
        <w:t>tiem</w:t>
      </w:r>
      <w:r w:rsidR="008049FB" w:rsidRPr="00964883">
        <w:rPr>
          <w:rFonts w:eastAsiaTheme="minorHAnsi"/>
          <w:lang w:eastAsia="en-US"/>
          <w14:ligatures w14:val="standardContextual"/>
        </w:rPr>
        <w:t xml:space="preserve"> nav paredzēta pakalpojumu sniegšana pasūtītājai</w:t>
      </w:r>
      <w:r w:rsidRPr="00964883">
        <w:rPr>
          <w:rFonts w:eastAsiaTheme="minorHAnsi"/>
          <w:lang w:eastAsia="en-US"/>
          <w14:ligatures w14:val="standardContextual"/>
        </w:rPr>
        <w:t xml:space="preserve">. Ar </w:t>
      </w:r>
      <w:r w:rsidR="008049FB" w:rsidRPr="00964883">
        <w:rPr>
          <w:rFonts w:eastAsiaTheme="minorHAnsi"/>
          <w:lang w:eastAsia="en-US"/>
          <w14:ligatures w14:val="standardContextual"/>
        </w:rPr>
        <w:t>konkrētajiem līgumiem publisko tiesību subjekts</w:t>
      </w:r>
      <w:r w:rsidR="002B2A70" w:rsidRPr="00964883">
        <w:rPr>
          <w:rFonts w:eastAsiaTheme="minorHAnsi"/>
          <w:lang w:eastAsia="en-US"/>
          <w14:ligatures w14:val="standardContextual"/>
        </w:rPr>
        <w:t xml:space="preserve"> piešķir tiesības (būtībā – atļauju) konkrētam komersantam reģionālās nozīmes maršrutos sniegt pasažieriem sabiedriskā transporta pakalpojumus. Kompetenci pasūtītājai piešķirt komersantiem šādas tiesības paredz Sabiedriskā transporta pakalpojumu likuma 8.panta pirmā daļa. T</w:t>
      </w:r>
      <w:r w:rsidR="002B2A70" w:rsidRPr="00964883">
        <w:rPr>
          <w:shd w:val="clear" w:color="auto" w:fill="FFFFFF"/>
        </w:rPr>
        <w:t>iesību sniegt sabiedriskā transporta pakalpojumus piešķiršana ir veid</w:t>
      </w:r>
      <w:r w:rsidR="00964883">
        <w:rPr>
          <w:shd w:val="clear" w:color="auto" w:fill="FFFFFF"/>
        </w:rPr>
        <w:t>s</w:t>
      </w:r>
      <w:r w:rsidR="002B2A70" w:rsidRPr="00964883">
        <w:rPr>
          <w:shd w:val="clear" w:color="auto" w:fill="FFFFFF"/>
        </w:rPr>
        <w:t xml:space="preserve">, kādā pasūtītāja pilda minētā likuma 5.panta trešās daļas 3.punktā tai uzticēto publisko funkciju </w:t>
      </w:r>
      <w:r w:rsidR="003F7AC2">
        <w:rPr>
          <w:shd w:val="clear" w:color="auto" w:fill="FFFFFF"/>
        </w:rPr>
        <w:t>–</w:t>
      </w:r>
      <w:r w:rsidR="003F7AC2" w:rsidRPr="00964883">
        <w:rPr>
          <w:shd w:val="clear" w:color="auto" w:fill="FFFFFF"/>
        </w:rPr>
        <w:t xml:space="preserve"> </w:t>
      </w:r>
      <w:r w:rsidR="002B2A70" w:rsidRPr="00964883">
        <w:rPr>
          <w:shd w:val="clear" w:color="auto" w:fill="FFFFFF"/>
        </w:rPr>
        <w:t>organizēt sabiedriskā transporta pakalpojumus reģionālās nozīmes maršrutos.</w:t>
      </w:r>
      <w:r w:rsidR="00964883" w:rsidRPr="00964883">
        <w:rPr>
          <w:shd w:val="clear" w:color="auto" w:fill="FFFFFF"/>
        </w:rPr>
        <w:t xml:space="preserve"> Tādējādi, piešķirot privātpersonām tiesības sniegt sabiedriskā transporta pakalpojumus reģionālās nozīmes maršrutos, pasūtītāja nodrošina, ka minētā publiskā funkcija tiek pildīta – tiek organizēta sabiedriskā transporta pakalpojumu </w:t>
      </w:r>
      <w:r w:rsidR="00964883">
        <w:rPr>
          <w:shd w:val="clear" w:color="auto" w:fill="FFFFFF"/>
        </w:rPr>
        <w:t>sniegšana</w:t>
      </w:r>
      <w:r w:rsidR="00964883" w:rsidRPr="00964883">
        <w:rPr>
          <w:shd w:val="clear" w:color="auto" w:fill="FFFFFF"/>
        </w:rPr>
        <w:t xml:space="preserve"> reģionālās nozīmes maršrutos.</w:t>
      </w:r>
      <w:r w:rsidR="00964883">
        <w:rPr>
          <w:shd w:val="clear" w:color="auto" w:fill="FFFFFF"/>
        </w:rPr>
        <w:t xml:space="preserve"> Minētais liecina, ka līguma priekšmets ir vērsts uz publiskas funkcijas izpildi, tā mērķis ir nodrošināt sabiedrības interesi uz sabiedriskā transporta pakalpojumu pieejamību.</w:t>
      </w:r>
      <w:r w:rsidR="00F96CB1">
        <w:rPr>
          <w:shd w:val="clear" w:color="auto" w:fill="FFFFFF"/>
        </w:rPr>
        <w:t xml:space="preserve"> Tas ir pamats strīdus līgumus vērtēt kā publisko tiesību līgumus (salīdzinājumam </w:t>
      </w:r>
      <w:r w:rsidR="00F96CB1" w:rsidRPr="00F96CB1">
        <w:rPr>
          <w:i/>
          <w:iCs/>
          <w:shd w:val="clear" w:color="auto" w:fill="FFFFFF"/>
        </w:rPr>
        <w:t>– Senāta 2013.gada 6.septembra lēmums lietā Nr.</w:t>
      </w:r>
      <w:r w:rsidR="00100F80">
        <w:rPr>
          <w:i/>
          <w:iCs/>
          <w:shd w:val="clear" w:color="auto" w:fill="FFFFFF"/>
        </w:rPr>
        <w:t> </w:t>
      </w:r>
      <w:hyperlink r:id="rId11" w:history="1">
        <w:r w:rsidR="00F96CB1" w:rsidRPr="001125E2">
          <w:rPr>
            <w:rStyle w:val="Hyperlink"/>
            <w:i/>
            <w:iCs/>
            <w:shd w:val="clear" w:color="auto" w:fill="FFFFFF"/>
          </w:rPr>
          <w:t>SKA-793/2013</w:t>
        </w:r>
      </w:hyperlink>
      <w:r w:rsidR="00F96CB1" w:rsidRPr="00F96CB1">
        <w:rPr>
          <w:i/>
          <w:iCs/>
          <w:shd w:val="clear" w:color="auto" w:fill="FFFFFF"/>
        </w:rPr>
        <w:t xml:space="preserve">, </w:t>
      </w:r>
      <w:r w:rsidR="00F96CB1" w:rsidRPr="00F96CB1">
        <w:rPr>
          <w:i/>
          <w:iCs/>
        </w:rPr>
        <w:t xml:space="preserve">670010313, </w:t>
      </w:r>
      <w:r w:rsidR="00F96CB1" w:rsidRPr="00F96CB1">
        <w:rPr>
          <w:i/>
          <w:iCs/>
          <w:shd w:val="clear" w:color="auto" w:fill="FFFFFF"/>
        </w:rPr>
        <w:t>par atkritumu apsaimniekošanas pakalpojumu sniegšanas tiesību piešķiršanu</w:t>
      </w:r>
      <w:r w:rsidR="00F96CB1">
        <w:rPr>
          <w:shd w:val="clear" w:color="auto" w:fill="FFFFFF"/>
        </w:rPr>
        <w:t>).</w:t>
      </w:r>
    </w:p>
    <w:p w14:paraId="66126A2A" w14:textId="77777777" w:rsidR="00B657A1" w:rsidRDefault="00B657A1" w:rsidP="002F3C38">
      <w:pPr>
        <w:spacing w:line="276" w:lineRule="auto"/>
        <w:ind w:firstLine="567"/>
        <w:jc w:val="center"/>
        <w:rPr>
          <w:b/>
        </w:rPr>
      </w:pPr>
    </w:p>
    <w:p w14:paraId="6B7FC43E" w14:textId="77777777" w:rsidR="00B657A1" w:rsidRPr="00E44582" w:rsidRDefault="00B657A1" w:rsidP="002F3C38">
      <w:pPr>
        <w:spacing w:line="276" w:lineRule="auto"/>
        <w:jc w:val="center"/>
        <w:rPr>
          <w:b/>
        </w:rPr>
      </w:pPr>
      <w:r>
        <w:rPr>
          <w:b/>
        </w:rPr>
        <w:t>Rezolutīvā daļa</w:t>
      </w:r>
    </w:p>
    <w:p w14:paraId="1F986973" w14:textId="77777777" w:rsidR="00B657A1" w:rsidRDefault="00B657A1" w:rsidP="002F3C38">
      <w:pPr>
        <w:spacing w:line="276" w:lineRule="auto"/>
        <w:ind w:firstLine="567"/>
        <w:jc w:val="both"/>
        <w:rPr>
          <w:bCs/>
          <w:spacing w:val="70"/>
        </w:rPr>
      </w:pPr>
    </w:p>
    <w:p w14:paraId="35121C0C" w14:textId="35028422" w:rsidR="00B657A1" w:rsidRDefault="00B657A1" w:rsidP="002F3C38">
      <w:pPr>
        <w:spacing w:line="276" w:lineRule="auto"/>
        <w:ind w:firstLine="720"/>
        <w:jc w:val="both"/>
      </w:pPr>
      <w:r w:rsidRPr="00F8473C">
        <w:t xml:space="preserve">Pamatojoties uz </w:t>
      </w:r>
      <w:r w:rsidRPr="00523010">
        <w:t xml:space="preserve">Administratīvā </w:t>
      </w:r>
      <w:r w:rsidRPr="00A747B7">
        <w:t xml:space="preserve">procesa likuma </w:t>
      </w:r>
      <w:r w:rsidRPr="00EF37B7">
        <w:t>129.</w:t>
      </w:r>
      <w:r w:rsidRPr="00EF37B7">
        <w:rPr>
          <w:vertAlign w:val="superscript"/>
        </w:rPr>
        <w:t>1</w:t>
      </w:r>
      <w:r w:rsidRPr="00EF37B7">
        <w:t>panta pirmās daļas 1.punktu,</w:t>
      </w:r>
      <w:r w:rsidRPr="00A747B7">
        <w:t xml:space="preserve"> 323.panta pirmās daļas </w:t>
      </w:r>
      <w:r>
        <w:t xml:space="preserve">2.punktu </w:t>
      </w:r>
      <w:r w:rsidRPr="00A747B7">
        <w:t>un 324.panta pirmo daļu</w:t>
      </w:r>
      <w:r w:rsidRPr="00E70B6A">
        <w:t xml:space="preserve">, </w:t>
      </w:r>
      <w:r w:rsidRPr="00216940">
        <w:t>Senāts</w:t>
      </w:r>
    </w:p>
    <w:p w14:paraId="12CAC5D7" w14:textId="77777777" w:rsidR="00B657A1" w:rsidRDefault="00B657A1" w:rsidP="002F3C38">
      <w:pPr>
        <w:spacing w:line="276" w:lineRule="auto"/>
        <w:ind w:firstLine="567"/>
        <w:jc w:val="both"/>
      </w:pPr>
    </w:p>
    <w:p w14:paraId="2C347D24" w14:textId="77777777" w:rsidR="00B657A1" w:rsidRPr="001F40A0" w:rsidRDefault="00B657A1" w:rsidP="002F3C38">
      <w:pPr>
        <w:spacing w:line="276" w:lineRule="auto"/>
        <w:jc w:val="center"/>
        <w:rPr>
          <w:b/>
        </w:rPr>
      </w:pPr>
      <w:r w:rsidRPr="001F40A0">
        <w:rPr>
          <w:b/>
        </w:rPr>
        <w:t>nolēma</w:t>
      </w:r>
    </w:p>
    <w:p w14:paraId="74B19F73" w14:textId="77777777" w:rsidR="00B657A1" w:rsidRDefault="00B657A1" w:rsidP="002F3C38">
      <w:pPr>
        <w:spacing w:line="276" w:lineRule="auto"/>
        <w:ind w:firstLine="567"/>
        <w:jc w:val="both"/>
      </w:pPr>
    </w:p>
    <w:p w14:paraId="5D3EE2A8" w14:textId="59268890" w:rsidR="00B657A1" w:rsidRDefault="00B657A1" w:rsidP="002F3C38">
      <w:pPr>
        <w:spacing w:line="276" w:lineRule="auto"/>
        <w:ind w:firstLine="720"/>
        <w:jc w:val="both"/>
      </w:pPr>
      <w:r>
        <w:t>atcelt Administratīvās rajona tiesas tiesneša 202</w:t>
      </w:r>
      <w:r w:rsidR="0051468F">
        <w:t>3</w:t>
      </w:r>
      <w:r>
        <w:t>.gada 2</w:t>
      </w:r>
      <w:r w:rsidR="0051468F">
        <w:t>3</w:t>
      </w:r>
      <w:r>
        <w:t>.</w:t>
      </w:r>
      <w:r w:rsidR="0051468F">
        <w:t>maija</w:t>
      </w:r>
      <w:r>
        <w:t xml:space="preserve"> lēmumu un nodot jautājumu par pieteikuma virzību jaunai izskatīšanai Administratīvajai rajona tiesai</w:t>
      </w:r>
      <w:r w:rsidR="00D53964">
        <w:t>;</w:t>
      </w:r>
    </w:p>
    <w:p w14:paraId="508A25D1" w14:textId="1CDE5693" w:rsidR="00B657A1" w:rsidRDefault="00D53964" w:rsidP="002F3C38">
      <w:pPr>
        <w:spacing w:line="276" w:lineRule="auto"/>
        <w:ind w:firstLine="720"/>
        <w:jc w:val="both"/>
      </w:pPr>
      <w:r>
        <w:t>a</w:t>
      </w:r>
      <w:r w:rsidR="00B657A1">
        <w:t xml:space="preserve">tmaksāt </w:t>
      </w:r>
      <w:r w:rsidR="00813CA7">
        <w:t>SIA</w:t>
      </w:r>
      <w:r w:rsidR="00100F80">
        <w:t> </w:t>
      </w:r>
      <w:r w:rsidR="00813CA7">
        <w:t>„Gulbenes autobuss”</w:t>
      </w:r>
      <w:r w:rsidR="00B657A1">
        <w:t xml:space="preserve"> drošības naudu 15 </w:t>
      </w:r>
      <w:r w:rsidR="00B657A1" w:rsidRPr="001A2A87">
        <w:rPr>
          <w:i/>
        </w:rPr>
        <w:t>euro</w:t>
      </w:r>
      <w:r w:rsidR="00B657A1">
        <w:t>.</w:t>
      </w:r>
    </w:p>
    <w:p w14:paraId="5ED99426" w14:textId="77777777" w:rsidR="00B657A1" w:rsidRDefault="00B657A1" w:rsidP="002F3C38">
      <w:pPr>
        <w:spacing w:line="276" w:lineRule="auto"/>
        <w:ind w:firstLine="720"/>
        <w:jc w:val="both"/>
      </w:pPr>
    </w:p>
    <w:p w14:paraId="5C154BBF" w14:textId="77777777" w:rsidR="00B657A1" w:rsidRPr="001F40A0" w:rsidRDefault="00B657A1" w:rsidP="002F3C38">
      <w:pPr>
        <w:spacing w:line="276" w:lineRule="auto"/>
        <w:ind w:firstLine="720"/>
        <w:jc w:val="both"/>
      </w:pPr>
      <w:r>
        <w:t>Lēmums nav pārsūdzams.</w:t>
      </w:r>
    </w:p>
    <w:p w14:paraId="3807C557" w14:textId="77777777" w:rsidR="00B657A1" w:rsidRDefault="00B657A1" w:rsidP="00184A3D">
      <w:pPr>
        <w:spacing w:line="276" w:lineRule="auto"/>
        <w:ind w:firstLine="567"/>
        <w:jc w:val="both"/>
        <w:rPr>
          <w:bCs/>
        </w:rPr>
      </w:pPr>
    </w:p>
    <w:p w14:paraId="1D2A641D" w14:textId="77777777" w:rsidR="00B657A1" w:rsidRDefault="00B657A1" w:rsidP="00184A3D">
      <w:pPr>
        <w:spacing w:line="276" w:lineRule="auto"/>
        <w:ind w:firstLine="567"/>
        <w:jc w:val="both"/>
        <w:rPr>
          <w:bCs/>
        </w:rPr>
      </w:pPr>
    </w:p>
    <w:p w14:paraId="7E4F6747" w14:textId="77777777" w:rsidR="00B657A1" w:rsidRDefault="00B657A1" w:rsidP="00184A3D">
      <w:pPr>
        <w:spacing w:line="276" w:lineRule="auto"/>
        <w:ind w:firstLine="567"/>
        <w:jc w:val="both"/>
        <w:rPr>
          <w:bCs/>
        </w:rPr>
      </w:pPr>
    </w:p>
    <w:p w14:paraId="69DAEAD4" w14:textId="77777777" w:rsidR="00B657A1" w:rsidRPr="00D7028E" w:rsidRDefault="00B657A1" w:rsidP="00F96CB1">
      <w:pPr>
        <w:tabs>
          <w:tab w:val="left" w:pos="2880"/>
          <w:tab w:val="left" w:pos="4680"/>
          <w:tab w:val="left" w:pos="6660"/>
        </w:tabs>
        <w:spacing w:line="276" w:lineRule="auto"/>
        <w:jc w:val="both"/>
        <w:rPr>
          <w:color w:val="000000"/>
        </w:rPr>
      </w:pPr>
    </w:p>
    <w:p w14:paraId="0E6FB5EA" w14:textId="77777777" w:rsidR="00B657A1" w:rsidRDefault="00B657A1" w:rsidP="00184A3D">
      <w:pPr>
        <w:spacing w:line="276" w:lineRule="auto"/>
        <w:ind w:firstLine="567"/>
      </w:pPr>
    </w:p>
    <w:p w14:paraId="3D900335" w14:textId="77777777" w:rsidR="004A2D7D" w:rsidRDefault="004A2D7D" w:rsidP="00184A3D">
      <w:pPr>
        <w:ind w:firstLine="567"/>
      </w:pPr>
    </w:p>
    <w:sectPr w:rsidR="004A2D7D" w:rsidSect="00235A67">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79318" w14:textId="77777777" w:rsidR="00A372AD" w:rsidRDefault="00A372AD" w:rsidP="00813CA7">
      <w:r>
        <w:separator/>
      </w:r>
    </w:p>
  </w:endnote>
  <w:endnote w:type="continuationSeparator" w:id="0">
    <w:p w14:paraId="3F658496" w14:textId="77777777" w:rsidR="00A372AD" w:rsidRDefault="00A372AD" w:rsidP="0081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8101" w14:textId="7098A116" w:rsidR="00A258BC" w:rsidRPr="00B147BF" w:rsidRDefault="00A258BC" w:rsidP="00F43FAD">
    <w:pPr>
      <w:pStyle w:val="Footer"/>
      <w:tabs>
        <w:tab w:val="clear" w:pos="4153"/>
        <w:tab w:val="clear" w:pos="8306"/>
      </w:tabs>
      <w:jc w:val="center"/>
      <w:rPr>
        <w:sz w:val="20"/>
        <w:szCs w:val="20"/>
      </w:rPr>
    </w:pPr>
    <w:r w:rsidRPr="00B147BF">
      <w:rPr>
        <w:rStyle w:val="PageNumber"/>
        <w:sz w:val="20"/>
        <w:szCs w:val="20"/>
      </w:rPr>
      <w:fldChar w:fldCharType="begin"/>
    </w:r>
    <w:r w:rsidRPr="00B147BF">
      <w:rPr>
        <w:rStyle w:val="PageNumber"/>
        <w:sz w:val="20"/>
        <w:szCs w:val="20"/>
      </w:rPr>
      <w:instrText xml:space="preserve">PAGE  </w:instrText>
    </w:r>
    <w:r w:rsidRPr="00B147BF">
      <w:rPr>
        <w:rStyle w:val="PageNumber"/>
        <w:sz w:val="20"/>
        <w:szCs w:val="20"/>
      </w:rPr>
      <w:fldChar w:fldCharType="separate"/>
    </w:r>
    <w:r w:rsidR="00F54E72">
      <w:rPr>
        <w:rStyle w:val="PageNumber"/>
        <w:noProof/>
        <w:sz w:val="20"/>
        <w:szCs w:val="20"/>
      </w:rPr>
      <w:t>3</w:t>
    </w:r>
    <w:r w:rsidRPr="00B147BF">
      <w:rPr>
        <w:rStyle w:val="PageNumber"/>
        <w:sz w:val="20"/>
        <w:szCs w:val="20"/>
      </w:rPr>
      <w:fldChar w:fldCharType="end"/>
    </w:r>
    <w:r w:rsidRPr="00B147BF">
      <w:rPr>
        <w:rStyle w:val="PageNumber"/>
        <w:sz w:val="20"/>
        <w:szCs w:val="20"/>
      </w:rPr>
      <w:t xml:space="preserve"> no </w:t>
    </w:r>
    <w:r w:rsidRPr="00B147BF">
      <w:rPr>
        <w:rStyle w:val="PageNumber"/>
        <w:noProof/>
        <w:sz w:val="20"/>
        <w:szCs w:val="20"/>
      </w:rPr>
      <w:fldChar w:fldCharType="begin"/>
    </w:r>
    <w:r w:rsidRPr="00B147BF">
      <w:rPr>
        <w:rStyle w:val="PageNumber"/>
        <w:noProof/>
        <w:sz w:val="20"/>
        <w:szCs w:val="20"/>
      </w:rPr>
      <w:instrText xml:space="preserve"> SECTIONPAGES   \* MERGEFORMAT </w:instrText>
    </w:r>
    <w:r w:rsidRPr="00B147BF">
      <w:rPr>
        <w:rStyle w:val="PageNumber"/>
        <w:noProof/>
        <w:sz w:val="20"/>
        <w:szCs w:val="20"/>
      </w:rPr>
      <w:fldChar w:fldCharType="separate"/>
    </w:r>
    <w:r w:rsidR="00F54E72">
      <w:rPr>
        <w:rStyle w:val="PageNumber"/>
        <w:noProof/>
        <w:sz w:val="20"/>
        <w:szCs w:val="20"/>
      </w:rPr>
      <w:t>7</w:t>
    </w:r>
    <w:r w:rsidRPr="00B147BF">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F8CD5" w14:textId="77777777" w:rsidR="00A372AD" w:rsidRDefault="00A372AD" w:rsidP="00813CA7">
      <w:r>
        <w:separator/>
      </w:r>
    </w:p>
  </w:footnote>
  <w:footnote w:type="continuationSeparator" w:id="0">
    <w:p w14:paraId="4488BC54" w14:textId="77777777" w:rsidR="00A372AD" w:rsidRDefault="00A372AD" w:rsidP="00813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26FA"/>
    <w:multiLevelType w:val="multilevel"/>
    <w:tmpl w:val="BA6EAD8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080" w:hanging="360"/>
      </w:pPr>
      <w:rPr>
        <w:rFonts w:hint="default"/>
        <w:b w:val="0"/>
        <w:color w:val="000000" w:themeColor="text1"/>
      </w:rPr>
    </w:lvl>
    <w:lvl w:ilvl="2">
      <w:start w:val="1"/>
      <w:numFmt w:val="decimal"/>
      <w:isLgl/>
      <w:lvlText w:val="%1.%2.%3."/>
      <w:lvlJc w:val="left"/>
      <w:pPr>
        <w:ind w:left="1146" w:hanging="720"/>
      </w:pPr>
      <w:rPr>
        <w:rFonts w:ascii="Times New Roman" w:hAnsi="Times New Roman" w:cs="Times New Roman" w:hint="default"/>
        <w:b w:val="0"/>
        <w:sz w:val="24"/>
        <w:szCs w:val="24"/>
      </w:rPr>
    </w:lvl>
    <w:lvl w:ilvl="3">
      <w:start w:val="1"/>
      <w:numFmt w:val="decimal"/>
      <w:isLgl/>
      <w:lvlText w:val="%1.%2.%3.%4."/>
      <w:lvlJc w:val="left"/>
      <w:pPr>
        <w:ind w:left="1288"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036E4D7E"/>
    <w:multiLevelType w:val="multilevel"/>
    <w:tmpl w:val="C7E2ABA4"/>
    <w:lvl w:ilvl="0">
      <w:start w:val="3"/>
      <w:numFmt w:val="decimal"/>
      <w:lvlText w:val="%1."/>
      <w:lvlJc w:val="left"/>
      <w:pPr>
        <w:ind w:left="2771" w:hanging="360"/>
      </w:pPr>
      <w:rPr>
        <w:rFonts w:hint="default"/>
        <w:b/>
        <w:bCs/>
        <w:i w:val="0"/>
        <w:iCs/>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E10CAC"/>
    <w:multiLevelType w:val="hybridMultilevel"/>
    <w:tmpl w:val="EE6A12EA"/>
    <w:lvl w:ilvl="0" w:tplc="44CEE3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7D4D39A0"/>
    <w:multiLevelType w:val="multilevel"/>
    <w:tmpl w:val="CBCAAAD8"/>
    <w:lvl w:ilvl="0">
      <w:start w:val="1"/>
      <w:numFmt w:val="decimal"/>
      <w:lvlText w:val="[%1]"/>
      <w:lvlJc w:val="left"/>
      <w:pPr>
        <w:tabs>
          <w:tab w:val="num" w:pos="851"/>
        </w:tabs>
        <w:ind w:left="0" w:firstLine="851"/>
      </w:pPr>
      <w:rPr>
        <w:rFonts w:hint="default"/>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A1"/>
    <w:rsid w:val="000574A9"/>
    <w:rsid w:val="000A05C7"/>
    <w:rsid w:val="000D236D"/>
    <w:rsid w:val="000E0BBD"/>
    <w:rsid w:val="00100F80"/>
    <w:rsid w:val="001125E2"/>
    <w:rsid w:val="00160BE6"/>
    <w:rsid w:val="00184A3D"/>
    <w:rsid w:val="00192D5C"/>
    <w:rsid w:val="001D0D45"/>
    <w:rsid w:val="002221DD"/>
    <w:rsid w:val="00235A67"/>
    <w:rsid w:val="002B2A70"/>
    <w:rsid w:val="002C741C"/>
    <w:rsid w:val="002F3C38"/>
    <w:rsid w:val="002F50DD"/>
    <w:rsid w:val="00351688"/>
    <w:rsid w:val="00375B45"/>
    <w:rsid w:val="003A68E4"/>
    <w:rsid w:val="003B6D12"/>
    <w:rsid w:val="003F7AC2"/>
    <w:rsid w:val="004738EE"/>
    <w:rsid w:val="004963CD"/>
    <w:rsid w:val="004A2D7D"/>
    <w:rsid w:val="004B2ACB"/>
    <w:rsid w:val="004B50A9"/>
    <w:rsid w:val="004F1837"/>
    <w:rsid w:val="0051468F"/>
    <w:rsid w:val="005964E3"/>
    <w:rsid w:val="005D5AE1"/>
    <w:rsid w:val="006264DB"/>
    <w:rsid w:val="006421E7"/>
    <w:rsid w:val="006524F2"/>
    <w:rsid w:val="006732AE"/>
    <w:rsid w:val="006927CE"/>
    <w:rsid w:val="006D1D8A"/>
    <w:rsid w:val="006E2AAB"/>
    <w:rsid w:val="00726304"/>
    <w:rsid w:val="007440F0"/>
    <w:rsid w:val="00792690"/>
    <w:rsid w:val="007C528B"/>
    <w:rsid w:val="007D0866"/>
    <w:rsid w:val="008049FB"/>
    <w:rsid w:val="00813CA7"/>
    <w:rsid w:val="008534C7"/>
    <w:rsid w:val="00853F81"/>
    <w:rsid w:val="008A3FD6"/>
    <w:rsid w:val="008F59AF"/>
    <w:rsid w:val="00964883"/>
    <w:rsid w:val="00972F6A"/>
    <w:rsid w:val="00A215EE"/>
    <w:rsid w:val="00A2177A"/>
    <w:rsid w:val="00A258BC"/>
    <w:rsid w:val="00A359DA"/>
    <w:rsid w:val="00A372AD"/>
    <w:rsid w:val="00A80D19"/>
    <w:rsid w:val="00A9709D"/>
    <w:rsid w:val="00AC2707"/>
    <w:rsid w:val="00AD4E59"/>
    <w:rsid w:val="00AE6AB3"/>
    <w:rsid w:val="00AF55AA"/>
    <w:rsid w:val="00B362FE"/>
    <w:rsid w:val="00B657A1"/>
    <w:rsid w:val="00B82459"/>
    <w:rsid w:val="00BB3C15"/>
    <w:rsid w:val="00BC1C94"/>
    <w:rsid w:val="00BD0997"/>
    <w:rsid w:val="00C44F7C"/>
    <w:rsid w:val="00C56AFA"/>
    <w:rsid w:val="00CA4EF8"/>
    <w:rsid w:val="00CC0582"/>
    <w:rsid w:val="00D53964"/>
    <w:rsid w:val="00D66D06"/>
    <w:rsid w:val="00D67E49"/>
    <w:rsid w:val="00DB6A2A"/>
    <w:rsid w:val="00E210F2"/>
    <w:rsid w:val="00E27D89"/>
    <w:rsid w:val="00EB0859"/>
    <w:rsid w:val="00EC60EE"/>
    <w:rsid w:val="00EF6964"/>
    <w:rsid w:val="00EF7880"/>
    <w:rsid w:val="00F00AE7"/>
    <w:rsid w:val="00F3080C"/>
    <w:rsid w:val="00F50F3E"/>
    <w:rsid w:val="00F54E72"/>
    <w:rsid w:val="00F96CB1"/>
    <w:rsid w:val="00FA219A"/>
    <w:rsid w:val="00FA56B7"/>
    <w:rsid w:val="00FD5EB6"/>
    <w:rsid w:val="00FF4B7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BA234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7A1"/>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657A1"/>
    <w:pPr>
      <w:tabs>
        <w:tab w:val="center" w:pos="4153"/>
        <w:tab w:val="right" w:pos="8306"/>
      </w:tabs>
    </w:pPr>
  </w:style>
  <w:style w:type="character" w:customStyle="1" w:styleId="FooterChar">
    <w:name w:val="Footer Char"/>
    <w:basedOn w:val="DefaultParagraphFont"/>
    <w:link w:val="Footer"/>
    <w:rsid w:val="00B657A1"/>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B657A1"/>
  </w:style>
  <w:style w:type="character" w:styleId="Hyperlink">
    <w:name w:val="Hyperlink"/>
    <w:basedOn w:val="DefaultParagraphFont"/>
    <w:uiPriority w:val="99"/>
    <w:unhideWhenUsed/>
    <w:rsid w:val="00B657A1"/>
    <w:rPr>
      <w:color w:val="0000FF"/>
      <w:u w:val="single"/>
    </w:rPr>
  </w:style>
  <w:style w:type="paragraph" w:customStyle="1" w:styleId="Default">
    <w:name w:val="Default"/>
    <w:rsid w:val="00B657A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v213">
    <w:name w:val="tv213"/>
    <w:basedOn w:val="Normal"/>
    <w:rsid w:val="00B657A1"/>
    <w:pPr>
      <w:spacing w:before="100" w:beforeAutospacing="1" w:after="100" w:afterAutospacing="1"/>
    </w:pPr>
    <w:rPr>
      <w:lang w:eastAsia="lv-LV"/>
    </w:rPr>
  </w:style>
  <w:style w:type="character" w:styleId="CommentReference">
    <w:name w:val="annotation reference"/>
    <w:semiHidden/>
    <w:rsid w:val="00B657A1"/>
    <w:rPr>
      <w:sz w:val="16"/>
      <w:szCs w:val="16"/>
    </w:rPr>
  </w:style>
  <w:style w:type="paragraph" w:styleId="FootnoteText">
    <w:name w:val="footnote text"/>
    <w:aliases w:val="Footnote,Fußnote,Fußnote Char Char,Fußnote Char Char Char Char Char Char"/>
    <w:basedOn w:val="Normal"/>
    <w:link w:val="FootnoteTextChar"/>
    <w:uiPriority w:val="99"/>
    <w:unhideWhenUsed/>
    <w:rsid w:val="00813CA7"/>
    <w:rPr>
      <w:rFonts w:eastAsiaTheme="minorHAnsi" w:cstheme="minorBidi"/>
      <w:sz w:val="20"/>
      <w:szCs w:val="20"/>
      <w:lang w:eastAsia="en-US"/>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813CA7"/>
    <w:rPr>
      <w:rFonts w:ascii="Times New Roman" w:hAnsi="Times New Roman"/>
      <w:kern w:val="0"/>
      <w:sz w:val="20"/>
      <w:szCs w:val="20"/>
      <w14:ligatures w14:val="none"/>
    </w:rPr>
  </w:style>
  <w:style w:type="character" w:styleId="FootnoteReference">
    <w:name w:val="footnote reference"/>
    <w:aliases w:val="Footnote symbol,Footnote Reference Number"/>
    <w:basedOn w:val="DefaultParagraphFont"/>
    <w:uiPriority w:val="99"/>
    <w:unhideWhenUsed/>
    <w:rsid w:val="00813CA7"/>
    <w:rPr>
      <w:vertAlign w:val="superscript"/>
    </w:rPr>
  </w:style>
  <w:style w:type="paragraph" w:styleId="ListParagraph">
    <w:name w:val="List Paragraph"/>
    <w:aliases w:val="2"/>
    <w:basedOn w:val="Normal"/>
    <w:link w:val="ListParagraphChar"/>
    <w:uiPriority w:val="34"/>
    <w:qFormat/>
    <w:rsid w:val="00CA4EF8"/>
    <w:pPr>
      <w:ind w:left="720"/>
      <w:contextualSpacing/>
    </w:pPr>
  </w:style>
  <w:style w:type="character" w:customStyle="1" w:styleId="ListParagraphChar">
    <w:name w:val="List Paragraph Char"/>
    <w:aliases w:val="2 Char"/>
    <w:link w:val="ListParagraph"/>
    <w:uiPriority w:val="34"/>
    <w:locked/>
    <w:rsid w:val="00EC60EE"/>
    <w:rPr>
      <w:rFonts w:ascii="Times New Roman" w:eastAsia="Times New Roman" w:hAnsi="Times New Roman" w:cs="Times New Roman"/>
      <w:kern w:val="0"/>
      <w:sz w:val="24"/>
      <w:szCs w:val="24"/>
      <w:lang w:eastAsia="ru-RU"/>
      <w14:ligatures w14:val="none"/>
    </w:rPr>
  </w:style>
  <w:style w:type="paragraph" w:styleId="Revision">
    <w:name w:val="Revision"/>
    <w:hidden/>
    <w:uiPriority w:val="99"/>
    <w:semiHidden/>
    <w:rsid w:val="008534C7"/>
    <w:pPr>
      <w:spacing w:after="0" w:line="240" w:lineRule="auto"/>
    </w:pPr>
    <w:rPr>
      <w:rFonts w:ascii="Times New Roman" w:eastAsia="Times New Roman" w:hAnsi="Times New Roman" w:cs="Times New Roman"/>
      <w:kern w:val="0"/>
      <w:sz w:val="24"/>
      <w:szCs w:val="24"/>
      <w:lang w:eastAsia="ru-RU"/>
      <w14:ligatures w14:val="none"/>
    </w:rPr>
  </w:style>
  <w:style w:type="paragraph" w:styleId="CommentText">
    <w:name w:val="annotation text"/>
    <w:basedOn w:val="Normal"/>
    <w:link w:val="CommentTextChar"/>
    <w:uiPriority w:val="99"/>
    <w:semiHidden/>
    <w:unhideWhenUsed/>
    <w:rsid w:val="00F96CB1"/>
    <w:rPr>
      <w:sz w:val="20"/>
      <w:szCs w:val="20"/>
    </w:rPr>
  </w:style>
  <w:style w:type="character" w:customStyle="1" w:styleId="CommentTextChar">
    <w:name w:val="Comment Text Char"/>
    <w:basedOn w:val="DefaultParagraphFont"/>
    <w:link w:val="CommentText"/>
    <w:uiPriority w:val="99"/>
    <w:semiHidden/>
    <w:rsid w:val="00F96CB1"/>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F96CB1"/>
    <w:rPr>
      <w:b/>
      <w:bCs/>
    </w:rPr>
  </w:style>
  <w:style w:type="character" w:customStyle="1" w:styleId="CommentSubjectChar">
    <w:name w:val="Comment Subject Char"/>
    <w:basedOn w:val="CommentTextChar"/>
    <w:link w:val="CommentSubject"/>
    <w:uiPriority w:val="99"/>
    <w:semiHidden/>
    <w:rsid w:val="00F96CB1"/>
    <w:rPr>
      <w:rFonts w:ascii="Times New Roman" w:eastAsia="Times New Roman" w:hAnsi="Times New Roman" w:cs="Times New Roman"/>
      <w:b/>
      <w:bCs/>
      <w:kern w:val="0"/>
      <w:sz w:val="20"/>
      <w:szCs w:val="20"/>
      <w:lang w:eastAsia="ru-RU"/>
      <w14:ligatures w14:val="none"/>
    </w:rPr>
  </w:style>
  <w:style w:type="character" w:customStyle="1" w:styleId="UnresolvedMention">
    <w:name w:val="Unresolved Mention"/>
    <w:basedOn w:val="DefaultParagraphFont"/>
    <w:uiPriority w:val="99"/>
    <w:semiHidden/>
    <w:unhideWhenUsed/>
    <w:rsid w:val="00375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3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373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348789.pdf" TargetMode="External"/><Relationship Id="rId5" Type="http://schemas.openxmlformats.org/officeDocument/2006/relationships/webSettings" Target="webSettings.xml"/><Relationship Id="rId10" Type="http://schemas.openxmlformats.org/officeDocument/2006/relationships/hyperlink" Target="https://manas.tiesas.lv/eTiesasMvc/nolemumi/pdf/376309.pdf" TargetMode="External"/><Relationship Id="rId4" Type="http://schemas.openxmlformats.org/officeDocument/2006/relationships/settings" Target="settings.xml"/><Relationship Id="rId9" Type="http://schemas.openxmlformats.org/officeDocument/2006/relationships/hyperlink" Target="https://manas.tiesas.lv/eTiesasMvc/eclinolemumi/ECLI:LV:AT:2022:0201.SKA063522.6.L"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92BFD-6BB3-4582-B228-EF287F7A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3107</Words>
  <Characters>17713</Characters>
  <Application>Microsoft Office Word</Application>
  <DocSecurity>0</DocSecurity>
  <Lines>147</Lines>
  <Paragraphs>41</Paragraphs>
  <ScaleCrop>false</ScaleCrop>
  <Company/>
  <LinksUpToDate>false</LinksUpToDate>
  <CharactersWithSpaces>20779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2023-11-21T06:45:00Z</dcterms:created>
  <dcterms:modified xsi:type="dcterms:W3CDTF">2023-11-21T06:45:00Z</dcterms:modified>
</cp:coreProperties>
</file>