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37B6" w14:textId="77777777" w:rsidR="009B1420" w:rsidRPr="00A20FD7" w:rsidRDefault="009B1420" w:rsidP="009B1420">
      <w:pPr>
        <w:spacing w:after="0"/>
        <w:jc w:val="both"/>
        <w:rPr>
          <w:b/>
          <w:bCs/>
        </w:rPr>
      </w:pPr>
      <w:r w:rsidRPr="00A20FD7">
        <w:rPr>
          <w:b/>
          <w:bCs/>
        </w:rPr>
        <w:t xml:space="preserve">Kriminālatbildība par datorprogrammas </w:t>
      </w:r>
      <w:r w:rsidRPr="00A20FD7">
        <w:rPr>
          <w:b/>
          <w:bCs/>
          <w:color w:val="000000"/>
        </w:rPr>
        <w:t xml:space="preserve">neatļautu </w:t>
      </w:r>
      <w:r w:rsidRPr="00A20FD7">
        <w:rPr>
          <w:b/>
          <w:bCs/>
        </w:rPr>
        <w:t xml:space="preserve">reproducēšanu </w:t>
      </w:r>
    </w:p>
    <w:p w14:paraId="7CFECF7B" w14:textId="13A842BF" w:rsidR="00D62C56" w:rsidRPr="00B14CA7" w:rsidRDefault="009B1420" w:rsidP="009B1420">
      <w:pPr>
        <w:widowControl w:val="0"/>
        <w:spacing w:after="0"/>
        <w:jc w:val="both"/>
        <w:rPr>
          <w:rFonts w:cs="Times New Roman"/>
          <w:color w:val="000000" w:themeColor="text1"/>
          <w:szCs w:val="24"/>
        </w:rPr>
      </w:pPr>
      <w:r w:rsidRPr="00A20FD7">
        <w:t>Lemjot par personas saukšanu pie kriminālatbildības pēc Krimināllikuma 148. panta par datorprogrammas autora tiesību pārkāpšanu, tiesai ir jāizvērtē, vai persona ar datorprogrammu ir veikusi tādas darbības, kuru veikšanai saskaņā ar Autortiesību likumu ir jāsaņem autortiesību subjekta atļauja. Bez autortiesību subjekta atļaujas nav veicama datorprogrammas reproducēšana, ar ko jāsaprot arī darba fiksēšana (ietveršana) elektroniskā datu nesējā. Datorprogrammas glabāšana datorā, arī tās izmēģinājuma versijas nedzēšana no datorsistēmas pēc licences līgumā noteiktā termiņa beigām, pati par sevi nav datorprogrammas reproducēšana, tāpēc nav atzīstama par autortiesību vai blakustiesību pārkāpšanu Krimināllikuma 148.</w:t>
      </w:r>
      <w:r>
        <w:t> </w:t>
      </w:r>
      <w:r w:rsidRPr="00A20FD7">
        <w:t>panta izpratnē.</w:t>
      </w:r>
    </w:p>
    <w:p w14:paraId="51C34ACD" w14:textId="193605C2" w:rsidR="00D62C56" w:rsidRPr="00B14CA7" w:rsidRDefault="00D62C56" w:rsidP="009B1420">
      <w:pPr>
        <w:pStyle w:val="BodyText2"/>
        <w:widowControl w:val="0"/>
        <w:spacing w:line="276" w:lineRule="auto"/>
        <w:jc w:val="both"/>
        <w:rPr>
          <w:rFonts w:ascii="Times New Roman" w:hAnsi="Times New Roman"/>
          <w:color w:val="000000" w:themeColor="text1"/>
          <w:sz w:val="24"/>
          <w:szCs w:val="24"/>
        </w:rPr>
      </w:pPr>
    </w:p>
    <w:p w14:paraId="66A69B29" w14:textId="77777777" w:rsidR="009B1420" w:rsidRPr="009B1420" w:rsidRDefault="00D62C56" w:rsidP="00EB59BC">
      <w:pPr>
        <w:widowControl w:val="0"/>
        <w:spacing w:after="0"/>
        <w:jc w:val="center"/>
        <w:rPr>
          <w:rFonts w:cs="Times New Roman"/>
          <w:b/>
          <w:color w:val="000000" w:themeColor="text1"/>
          <w:szCs w:val="24"/>
        </w:rPr>
      </w:pPr>
      <w:r w:rsidRPr="009B1420">
        <w:rPr>
          <w:rFonts w:cs="Times New Roman"/>
          <w:b/>
          <w:color w:val="000000" w:themeColor="text1"/>
          <w:szCs w:val="24"/>
        </w:rPr>
        <w:t>Latvijas Republikas Senāt</w:t>
      </w:r>
      <w:r w:rsidR="009B1420" w:rsidRPr="009B1420">
        <w:rPr>
          <w:rFonts w:cs="Times New Roman"/>
          <w:b/>
          <w:color w:val="000000" w:themeColor="text1"/>
          <w:szCs w:val="24"/>
        </w:rPr>
        <w:t xml:space="preserve">a </w:t>
      </w:r>
    </w:p>
    <w:p w14:paraId="0B9F79A4" w14:textId="77777777" w:rsidR="009B1420" w:rsidRPr="009B1420" w:rsidRDefault="009B1420" w:rsidP="00EB59BC">
      <w:pPr>
        <w:widowControl w:val="0"/>
        <w:spacing w:after="0"/>
        <w:jc w:val="center"/>
        <w:rPr>
          <w:rFonts w:cs="Times New Roman"/>
          <w:b/>
          <w:color w:val="000000" w:themeColor="text1"/>
          <w:szCs w:val="24"/>
        </w:rPr>
      </w:pPr>
      <w:r w:rsidRPr="009B1420">
        <w:rPr>
          <w:rFonts w:cs="Times New Roman"/>
          <w:b/>
          <w:color w:val="000000" w:themeColor="text1"/>
          <w:szCs w:val="24"/>
        </w:rPr>
        <w:t>Krimināllietu departamenta</w:t>
      </w:r>
    </w:p>
    <w:p w14:paraId="4C198D1D" w14:textId="47A7CE3B" w:rsidR="00D62C56" w:rsidRPr="009B1420" w:rsidRDefault="009B1420" w:rsidP="00EB59BC">
      <w:pPr>
        <w:widowControl w:val="0"/>
        <w:spacing w:after="0"/>
        <w:jc w:val="center"/>
        <w:rPr>
          <w:rFonts w:cs="Times New Roman"/>
          <w:b/>
          <w:color w:val="000000" w:themeColor="text1"/>
          <w:szCs w:val="24"/>
        </w:rPr>
      </w:pPr>
      <w:r w:rsidRPr="009B1420">
        <w:rPr>
          <w:rFonts w:cs="Times New Roman"/>
          <w:b/>
          <w:color w:val="000000" w:themeColor="text1"/>
          <w:szCs w:val="24"/>
        </w:rPr>
        <w:t>2023. gada 12. septembra</w:t>
      </w:r>
    </w:p>
    <w:p w14:paraId="0B4767EE" w14:textId="77777777" w:rsidR="00D62C56" w:rsidRPr="009B1420" w:rsidRDefault="00D62C56" w:rsidP="00EB59BC">
      <w:pPr>
        <w:widowControl w:val="0"/>
        <w:spacing w:after="0"/>
        <w:jc w:val="center"/>
        <w:rPr>
          <w:rFonts w:cs="Times New Roman"/>
          <w:b/>
          <w:color w:val="000000" w:themeColor="text1"/>
          <w:szCs w:val="24"/>
        </w:rPr>
      </w:pPr>
      <w:r w:rsidRPr="009B1420">
        <w:rPr>
          <w:rFonts w:cs="Times New Roman"/>
          <w:b/>
          <w:color w:val="000000" w:themeColor="text1"/>
          <w:szCs w:val="24"/>
        </w:rPr>
        <w:t>LĒMUMS</w:t>
      </w:r>
    </w:p>
    <w:p w14:paraId="4D6AD97F" w14:textId="5B23237A" w:rsidR="00D62C56" w:rsidRPr="009B1420" w:rsidRDefault="009B1420" w:rsidP="00EB59BC">
      <w:pPr>
        <w:widowControl w:val="0"/>
        <w:spacing w:after="0"/>
        <w:jc w:val="center"/>
        <w:rPr>
          <w:rFonts w:cs="Times New Roman"/>
          <w:b/>
          <w:color w:val="000000" w:themeColor="text1"/>
          <w:szCs w:val="24"/>
        </w:rPr>
      </w:pPr>
      <w:r w:rsidRPr="009B1420">
        <w:rPr>
          <w:rFonts w:cs="Times New Roman"/>
          <w:b/>
          <w:color w:val="000000" w:themeColor="text1"/>
          <w:szCs w:val="24"/>
        </w:rPr>
        <w:t>Lieta Nr. 11816005315, SKK-61/2023</w:t>
      </w:r>
    </w:p>
    <w:p w14:paraId="33E6C885" w14:textId="551F301D" w:rsidR="009B1420" w:rsidRPr="009B1420" w:rsidRDefault="00511763" w:rsidP="00EB59BC">
      <w:pPr>
        <w:widowControl w:val="0"/>
        <w:spacing w:after="0"/>
        <w:jc w:val="center"/>
        <w:rPr>
          <w:rFonts w:cs="Times New Roman"/>
          <w:color w:val="000000" w:themeColor="text1"/>
          <w:szCs w:val="24"/>
        </w:rPr>
      </w:pPr>
      <w:hyperlink r:id="rId8" w:history="1">
        <w:r w:rsidR="009B1420" w:rsidRPr="009B1420">
          <w:rPr>
            <w:rStyle w:val="Hyperlink"/>
            <w:rFonts w:cs="Times New Roman"/>
            <w:szCs w:val="24"/>
            <w:shd w:val="clear" w:color="auto" w:fill="FFFFFF"/>
          </w:rPr>
          <w:t>ECLI:LV:AT:2023:0912.11816005315.6.L</w:t>
        </w:r>
      </w:hyperlink>
    </w:p>
    <w:p w14:paraId="0AB214CC" w14:textId="77777777" w:rsidR="00C90982" w:rsidRPr="00B14CA7" w:rsidRDefault="00C90982" w:rsidP="00EB59BC">
      <w:pPr>
        <w:widowControl w:val="0"/>
        <w:spacing w:after="0"/>
        <w:ind w:firstLine="720"/>
        <w:jc w:val="center"/>
        <w:rPr>
          <w:rFonts w:cs="Times New Roman"/>
          <w:color w:val="000000" w:themeColor="text1"/>
          <w:szCs w:val="24"/>
        </w:rPr>
      </w:pPr>
    </w:p>
    <w:p w14:paraId="1726B448" w14:textId="293AE352" w:rsidR="00D62C56" w:rsidRDefault="00B82848" w:rsidP="00EB59BC">
      <w:pPr>
        <w:widowControl w:val="0"/>
        <w:spacing w:after="0"/>
        <w:ind w:firstLine="720"/>
        <w:jc w:val="both"/>
        <w:rPr>
          <w:rFonts w:cs="Times New Roman"/>
          <w:color w:val="000000" w:themeColor="text1"/>
          <w:szCs w:val="24"/>
        </w:rPr>
      </w:pPr>
      <w:r>
        <w:rPr>
          <w:rFonts w:cs="Times New Roman"/>
          <w:color w:val="000000" w:themeColor="text1"/>
          <w:szCs w:val="24"/>
        </w:rPr>
        <w:t>Senāts</w:t>
      </w:r>
      <w:r w:rsidR="00D62C56" w:rsidRPr="00B14CA7">
        <w:rPr>
          <w:rFonts w:cs="Times New Roman"/>
          <w:color w:val="000000" w:themeColor="text1"/>
          <w:szCs w:val="24"/>
        </w:rPr>
        <w:t xml:space="preserve"> šādā sastāvā: senator</w:t>
      </w:r>
      <w:r>
        <w:rPr>
          <w:rFonts w:cs="Times New Roman"/>
          <w:color w:val="000000" w:themeColor="text1"/>
          <w:szCs w:val="24"/>
        </w:rPr>
        <w:t>e referente</w:t>
      </w:r>
      <w:r w:rsidR="00D62C56" w:rsidRPr="00B14CA7">
        <w:rPr>
          <w:rFonts w:cs="Times New Roman"/>
          <w:color w:val="000000" w:themeColor="text1"/>
          <w:szCs w:val="24"/>
        </w:rPr>
        <w:t xml:space="preserve"> </w:t>
      </w:r>
      <w:r w:rsidR="00BD59B9">
        <w:t xml:space="preserve">Inguna Radzeviča, </w:t>
      </w:r>
      <w:r>
        <w:t>senatori</w:t>
      </w:r>
      <w:r w:rsidR="004F2D35">
        <w:t xml:space="preserve"> </w:t>
      </w:r>
      <w:r w:rsidR="00233BDC">
        <w:t>Aivars Uminskis</w:t>
      </w:r>
      <w:r w:rsidR="004F2D35">
        <w:t xml:space="preserve"> un Inese Laura Zemīte</w:t>
      </w:r>
    </w:p>
    <w:p w14:paraId="6CD49DBD" w14:textId="77777777" w:rsidR="00C90982" w:rsidRPr="00B14CA7" w:rsidRDefault="00C90982" w:rsidP="00EB59BC">
      <w:pPr>
        <w:widowControl w:val="0"/>
        <w:spacing w:after="0"/>
        <w:ind w:firstLine="720"/>
        <w:jc w:val="both"/>
        <w:rPr>
          <w:rFonts w:cs="Times New Roman"/>
          <w:color w:val="000000" w:themeColor="text1"/>
          <w:szCs w:val="24"/>
        </w:rPr>
      </w:pPr>
    </w:p>
    <w:p w14:paraId="42DEEB26" w14:textId="36E8BC20" w:rsidR="00D62C56" w:rsidRPr="00B14CA7" w:rsidRDefault="00D62C56" w:rsidP="00EB59BC">
      <w:pPr>
        <w:widowControl w:val="0"/>
        <w:spacing w:after="0"/>
        <w:ind w:firstLine="720"/>
        <w:jc w:val="both"/>
        <w:rPr>
          <w:rFonts w:cs="Times New Roman"/>
          <w:color w:val="000000" w:themeColor="text1"/>
          <w:szCs w:val="24"/>
        </w:rPr>
      </w:pPr>
      <w:r w:rsidRPr="00B14CA7">
        <w:rPr>
          <w:rFonts w:cs="Times New Roman"/>
          <w:color w:val="000000" w:themeColor="text1"/>
          <w:szCs w:val="24"/>
        </w:rPr>
        <w:t>izskatīja rakstveida procesā krimināllietu sakarā ar</w:t>
      </w:r>
      <w:r w:rsidR="004F2D35">
        <w:rPr>
          <w:rFonts w:cs="Times New Roman"/>
          <w:color w:val="000000" w:themeColor="text1"/>
          <w:szCs w:val="24"/>
        </w:rPr>
        <w:t xml:space="preserve"> Nodokļu un muitas lietu prokuratūras prokurora Roberta Dūdiņa kasācijas protestu un </w:t>
      </w:r>
      <w:r w:rsidR="00154E75">
        <w:rPr>
          <w:rFonts w:cs="Times New Roman"/>
          <w:color w:val="000000" w:themeColor="text1"/>
          <w:szCs w:val="24"/>
        </w:rPr>
        <w:t>apsūdzētā</w:t>
      </w:r>
      <w:r w:rsidR="004F2D35">
        <w:rPr>
          <w:rFonts w:cs="Times New Roman"/>
          <w:color w:val="000000" w:themeColor="text1"/>
          <w:szCs w:val="24"/>
        </w:rPr>
        <w:t xml:space="preserve"> </w:t>
      </w:r>
      <w:r w:rsidR="009B1420">
        <w:rPr>
          <w:rFonts w:cs="Times New Roman"/>
          <w:color w:val="000000" w:themeColor="text1"/>
          <w:szCs w:val="24"/>
        </w:rPr>
        <w:t>[pers. </w:t>
      </w:r>
      <w:r w:rsidR="009B1420">
        <w:t>A]</w:t>
      </w:r>
      <w:r w:rsidR="004F2D35">
        <w:rPr>
          <w:rFonts w:cs="Times New Roman"/>
          <w:color w:val="000000" w:themeColor="text1"/>
          <w:szCs w:val="24"/>
        </w:rPr>
        <w:t xml:space="preserve"> aizstāvja </w:t>
      </w:r>
      <w:r w:rsidR="00B82848">
        <w:rPr>
          <w:rFonts w:cs="Times New Roman"/>
          <w:color w:val="000000" w:themeColor="text1"/>
          <w:szCs w:val="24"/>
        </w:rPr>
        <w:t xml:space="preserve">zvērināta advokāta </w:t>
      </w:r>
      <w:r w:rsidR="004F2D35">
        <w:rPr>
          <w:rFonts w:cs="Times New Roman"/>
          <w:color w:val="000000" w:themeColor="text1"/>
          <w:szCs w:val="24"/>
        </w:rPr>
        <w:t>Māra Gruduļa</w:t>
      </w:r>
      <w:r w:rsidR="00F3246C">
        <w:rPr>
          <w:rFonts w:cs="Times New Roman"/>
          <w:color w:val="000000" w:themeColor="text1"/>
          <w:szCs w:val="24"/>
        </w:rPr>
        <w:t xml:space="preserve"> </w:t>
      </w:r>
      <w:r w:rsidR="00154E75">
        <w:rPr>
          <w:rFonts w:cs="Times New Roman"/>
          <w:color w:val="000000" w:themeColor="text1"/>
          <w:szCs w:val="24"/>
        </w:rPr>
        <w:t>kasācijas sūdzīb</w:t>
      </w:r>
      <w:r w:rsidR="00B82848">
        <w:rPr>
          <w:rFonts w:cs="Times New Roman"/>
          <w:color w:val="000000" w:themeColor="text1"/>
          <w:szCs w:val="24"/>
        </w:rPr>
        <w:t>u</w:t>
      </w:r>
      <w:r w:rsidR="00836D37">
        <w:rPr>
          <w:rFonts w:cs="Times New Roman"/>
          <w:color w:val="000000" w:themeColor="text1"/>
          <w:szCs w:val="24"/>
        </w:rPr>
        <w:t xml:space="preserve"> par</w:t>
      </w:r>
      <w:r w:rsidR="004F2D35">
        <w:rPr>
          <w:rFonts w:cs="Times New Roman"/>
          <w:color w:val="000000" w:themeColor="text1"/>
          <w:szCs w:val="24"/>
        </w:rPr>
        <w:t xml:space="preserve"> Rīgas </w:t>
      </w:r>
      <w:r w:rsidR="00A34C3D" w:rsidRPr="00B14CA7">
        <w:rPr>
          <w:rFonts w:cs="Times New Roman"/>
          <w:color w:val="000000" w:themeColor="text1"/>
          <w:szCs w:val="24"/>
        </w:rPr>
        <w:t>apgabaltiesas 20</w:t>
      </w:r>
      <w:r w:rsidR="00154E75">
        <w:rPr>
          <w:rFonts w:cs="Times New Roman"/>
          <w:color w:val="000000" w:themeColor="text1"/>
          <w:szCs w:val="24"/>
        </w:rPr>
        <w:t>2</w:t>
      </w:r>
      <w:r w:rsidR="00B82848">
        <w:rPr>
          <w:rFonts w:cs="Times New Roman"/>
          <w:color w:val="000000" w:themeColor="text1"/>
          <w:szCs w:val="24"/>
        </w:rPr>
        <w:t>2</w:t>
      </w:r>
      <w:r w:rsidR="00A34C3D" w:rsidRPr="00B14CA7">
        <w:rPr>
          <w:rFonts w:cs="Times New Roman"/>
          <w:color w:val="000000" w:themeColor="text1"/>
          <w:szCs w:val="24"/>
        </w:rPr>
        <w:t>.</w:t>
      </w:r>
      <w:r w:rsidR="00B82848">
        <w:rPr>
          <w:rFonts w:cs="Times New Roman"/>
          <w:color w:val="000000" w:themeColor="text1"/>
          <w:szCs w:val="24"/>
        </w:rPr>
        <w:t> </w:t>
      </w:r>
      <w:r w:rsidR="00A34C3D" w:rsidRPr="00B14CA7">
        <w:rPr>
          <w:rFonts w:cs="Times New Roman"/>
          <w:color w:val="000000" w:themeColor="text1"/>
          <w:szCs w:val="24"/>
        </w:rPr>
        <w:t xml:space="preserve">gada </w:t>
      </w:r>
      <w:r w:rsidR="00B82848">
        <w:rPr>
          <w:rFonts w:cs="Times New Roman"/>
          <w:color w:val="000000" w:themeColor="text1"/>
          <w:szCs w:val="24"/>
        </w:rPr>
        <w:t>9. ma</w:t>
      </w:r>
      <w:r w:rsidR="004F2D35">
        <w:rPr>
          <w:rFonts w:cs="Times New Roman"/>
          <w:color w:val="000000" w:themeColor="text1"/>
          <w:szCs w:val="24"/>
        </w:rPr>
        <w:t>ij</w:t>
      </w:r>
      <w:r w:rsidR="00B82848">
        <w:rPr>
          <w:rFonts w:cs="Times New Roman"/>
          <w:color w:val="000000" w:themeColor="text1"/>
          <w:szCs w:val="24"/>
        </w:rPr>
        <w:t>a</w:t>
      </w:r>
      <w:r w:rsidR="00A34C3D" w:rsidRPr="00B14CA7">
        <w:rPr>
          <w:rFonts w:cs="Times New Roman"/>
          <w:color w:val="000000" w:themeColor="text1"/>
          <w:szCs w:val="24"/>
        </w:rPr>
        <w:t xml:space="preserve"> </w:t>
      </w:r>
      <w:r w:rsidR="00B36D8F">
        <w:rPr>
          <w:rFonts w:cs="Times New Roman"/>
          <w:color w:val="000000" w:themeColor="text1"/>
          <w:szCs w:val="24"/>
        </w:rPr>
        <w:t>spriedumu</w:t>
      </w:r>
      <w:r w:rsidR="00A34C3D" w:rsidRPr="00B14CA7">
        <w:rPr>
          <w:rFonts w:cs="Times New Roman"/>
          <w:color w:val="000000" w:themeColor="text1"/>
          <w:szCs w:val="24"/>
        </w:rPr>
        <w:t>.</w:t>
      </w:r>
    </w:p>
    <w:p w14:paraId="7CEFE518" w14:textId="77777777" w:rsidR="00F05D2B" w:rsidRPr="00B14CA7" w:rsidRDefault="00F05D2B" w:rsidP="00EB59BC">
      <w:pPr>
        <w:widowControl w:val="0"/>
        <w:spacing w:after="0"/>
        <w:ind w:firstLine="720"/>
        <w:jc w:val="both"/>
        <w:rPr>
          <w:rFonts w:cs="Times New Roman"/>
          <w:color w:val="000000" w:themeColor="text1"/>
          <w:szCs w:val="24"/>
        </w:rPr>
      </w:pPr>
    </w:p>
    <w:p w14:paraId="1A34D730" w14:textId="77777777" w:rsidR="00D62C56" w:rsidRPr="00B14CA7" w:rsidRDefault="00D62C56" w:rsidP="00EB59BC">
      <w:pPr>
        <w:widowControl w:val="0"/>
        <w:autoSpaceDE w:val="0"/>
        <w:autoSpaceDN w:val="0"/>
        <w:adjustRightInd w:val="0"/>
        <w:spacing w:after="0"/>
        <w:jc w:val="center"/>
        <w:rPr>
          <w:rFonts w:cs="Times New Roman"/>
          <w:b/>
          <w:bCs/>
          <w:color w:val="000000" w:themeColor="text1"/>
          <w:szCs w:val="24"/>
        </w:rPr>
      </w:pPr>
      <w:r w:rsidRPr="00B14CA7">
        <w:rPr>
          <w:rFonts w:cs="Times New Roman"/>
          <w:b/>
          <w:bCs/>
          <w:color w:val="000000" w:themeColor="text1"/>
          <w:szCs w:val="24"/>
        </w:rPr>
        <w:t>Aprakstošā daļa</w:t>
      </w:r>
    </w:p>
    <w:p w14:paraId="782FFD83" w14:textId="77777777" w:rsidR="00D62C56" w:rsidRPr="00B14CA7" w:rsidRDefault="00D62C56" w:rsidP="00EB59BC">
      <w:pPr>
        <w:widowControl w:val="0"/>
        <w:autoSpaceDE w:val="0"/>
        <w:autoSpaceDN w:val="0"/>
        <w:adjustRightInd w:val="0"/>
        <w:spacing w:after="0"/>
        <w:ind w:firstLine="720"/>
        <w:jc w:val="center"/>
        <w:rPr>
          <w:rFonts w:cs="Times New Roman"/>
          <w:b/>
          <w:bCs/>
          <w:color w:val="000000" w:themeColor="text1"/>
          <w:szCs w:val="24"/>
        </w:rPr>
      </w:pPr>
    </w:p>
    <w:p w14:paraId="641D89D1" w14:textId="7BC62709" w:rsidR="00D62C56" w:rsidRPr="00B14CA7" w:rsidRDefault="00D62C56" w:rsidP="00EB59BC">
      <w:pPr>
        <w:widowControl w:val="0"/>
        <w:spacing w:after="0"/>
        <w:ind w:firstLine="720"/>
        <w:jc w:val="both"/>
        <w:rPr>
          <w:rFonts w:cs="Times New Roman"/>
          <w:color w:val="000000" w:themeColor="text1"/>
          <w:szCs w:val="24"/>
        </w:rPr>
      </w:pPr>
      <w:r w:rsidRPr="00B14CA7">
        <w:rPr>
          <w:rFonts w:cs="Times New Roman"/>
          <w:color w:val="000000" w:themeColor="text1"/>
          <w:szCs w:val="24"/>
        </w:rPr>
        <w:t>[1]</w:t>
      </w:r>
      <w:r w:rsidR="004C3DEC">
        <w:rPr>
          <w:rFonts w:cs="Times New Roman"/>
          <w:color w:val="000000" w:themeColor="text1"/>
          <w:szCs w:val="24"/>
        </w:rPr>
        <w:t> </w:t>
      </w:r>
      <w:r w:rsidRPr="00B14CA7">
        <w:rPr>
          <w:rFonts w:cs="Times New Roman"/>
          <w:color w:val="000000" w:themeColor="text1"/>
          <w:szCs w:val="24"/>
        </w:rPr>
        <w:t xml:space="preserve">Ar </w:t>
      </w:r>
      <w:r w:rsidR="004F2D35">
        <w:rPr>
          <w:rFonts w:cs="Times New Roman"/>
          <w:color w:val="000000" w:themeColor="text1"/>
          <w:szCs w:val="24"/>
        </w:rPr>
        <w:t>Rīgas</w:t>
      </w:r>
      <w:r w:rsidR="00296E1F">
        <w:rPr>
          <w:rFonts w:cs="Times New Roman"/>
          <w:color w:val="000000" w:themeColor="text1"/>
          <w:szCs w:val="24"/>
        </w:rPr>
        <w:t xml:space="preserve"> </w:t>
      </w:r>
      <w:r w:rsidR="00182AEE" w:rsidRPr="00B14CA7">
        <w:rPr>
          <w:rFonts w:cs="Times New Roman"/>
          <w:color w:val="000000" w:themeColor="text1"/>
          <w:szCs w:val="24"/>
        </w:rPr>
        <w:t>rajona tiesas 20</w:t>
      </w:r>
      <w:r w:rsidR="00296E1F">
        <w:rPr>
          <w:rFonts w:cs="Times New Roman"/>
          <w:color w:val="000000" w:themeColor="text1"/>
          <w:szCs w:val="24"/>
        </w:rPr>
        <w:t>1</w:t>
      </w:r>
      <w:r w:rsidR="004F2D35">
        <w:rPr>
          <w:rFonts w:cs="Times New Roman"/>
          <w:color w:val="000000" w:themeColor="text1"/>
          <w:szCs w:val="24"/>
        </w:rPr>
        <w:t>6</w:t>
      </w:r>
      <w:r w:rsidR="00182AEE" w:rsidRPr="00B14CA7">
        <w:rPr>
          <w:rFonts w:cs="Times New Roman"/>
          <w:color w:val="000000" w:themeColor="text1"/>
          <w:szCs w:val="24"/>
        </w:rPr>
        <w:t>.</w:t>
      </w:r>
      <w:r w:rsidR="00296E1F">
        <w:rPr>
          <w:rFonts w:cs="Times New Roman"/>
          <w:color w:val="000000" w:themeColor="text1"/>
          <w:szCs w:val="24"/>
        </w:rPr>
        <w:t> </w:t>
      </w:r>
      <w:r w:rsidR="00182AEE" w:rsidRPr="00B14CA7">
        <w:rPr>
          <w:rFonts w:cs="Times New Roman"/>
          <w:color w:val="000000" w:themeColor="text1"/>
          <w:szCs w:val="24"/>
        </w:rPr>
        <w:t xml:space="preserve">gada </w:t>
      </w:r>
      <w:r w:rsidR="004F2D35">
        <w:rPr>
          <w:rFonts w:cs="Times New Roman"/>
          <w:color w:val="000000" w:themeColor="text1"/>
          <w:szCs w:val="24"/>
        </w:rPr>
        <w:t>2. decembra</w:t>
      </w:r>
      <w:r w:rsidRPr="00B14CA7">
        <w:rPr>
          <w:rFonts w:cs="Times New Roman"/>
          <w:color w:val="000000" w:themeColor="text1"/>
          <w:szCs w:val="24"/>
        </w:rPr>
        <w:t xml:space="preserve"> spriedumu</w:t>
      </w:r>
    </w:p>
    <w:p w14:paraId="5C3D013F" w14:textId="485BD462" w:rsidR="00182AEE" w:rsidRPr="00B14CA7" w:rsidRDefault="009B1420" w:rsidP="00EB59BC">
      <w:pPr>
        <w:widowControl w:val="0"/>
        <w:spacing w:after="0"/>
        <w:ind w:firstLine="720"/>
        <w:jc w:val="both"/>
        <w:rPr>
          <w:rFonts w:cs="Times New Roman"/>
          <w:color w:val="000000" w:themeColor="text1"/>
          <w:szCs w:val="24"/>
        </w:rPr>
      </w:pPr>
      <w:r>
        <w:rPr>
          <w:rFonts w:cs="Times New Roman"/>
          <w:color w:val="000000" w:themeColor="text1"/>
          <w:szCs w:val="24"/>
        </w:rPr>
        <w:t>[pers. A]</w:t>
      </w:r>
      <w:r w:rsidR="00182AEE" w:rsidRPr="00B14CA7">
        <w:rPr>
          <w:rFonts w:cs="Times New Roman"/>
          <w:color w:val="000000" w:themeColor="text1"/>
          <w:szCs w:val="24"/>
        </w:rPr>
        <w:t xml:space="preserve">, personas kods </w:t>
      </w:r>
      <w:r>
        <w:rPr>
          <w:rFonts w:cs="Times New Roman"/>
          <w:color w:val="000000" w:themeColor="text1"/>
          <w:szCs w:val="24"/>
        </w:rPr>
        <w:t>[..]</w:t>
      </w:r>
      <w:r w:rsidR="00182AEE" w:rsidRPr="00B14CA7">
        <w:rPr>
          <w:rFonts w:cs="Times New Roman"/>
          <w:color w:val="000000" w:themeColor="text1"/>
          <w:szCs w:val="24"/>
        </w:rPr>
        <w:t>,</w:t>
      </w:r>
    </w:p>
    <w:p w14:paraId="6A4EB2EF" w14:textId="77693C5E" w:rsidR="00666DD8" w:rsidRDefault="004F2D35" w:rsidP="00EB59BC">
      <w:pPr>
        <w:widowControl w:val="0"/>
        <w:spacing w:after="0"/>
        <w:ind w:firstLine="720"/>
        <w:jc w:val="both"/>
        <w:rPr>
          <w:rFonts w:cs="Times New Roman"/>
          <w:color w:val="000000" w:themeColor="text1"/>
          <w:szCs w:val="24"/>
        </w:rPr>
      </w:pPr>
      <w:r>
        <w:rPr>
          <w:rFonts w:cs="Times New Roman"/>
          <w:color w:val="000000" w:themeColor="text1"/>
          <w:szCs w:val="24"/>
        </w:rPr>
        <w:t>atzīts par vainīgu Krimināllikuma 148. panta trešajā daļā paredzētajā noziedzīgajā nodarījumā un sodīts ar brīvības atņemšanu uz 6 mēnešiem, atņemot tiesības pildīt amata pienākumus, kas saistīti ar likumīgu datorprogrammu iegādes un izmantošanas kontroli, datorsistēmu un datorprogrammu darba kārtības nodrošināšanu, inženieru un citu darbinieku, kas izmanto datorsistēmas ar datorprogrammām, uzraudzību un darba organizēšanu</w:t>
      </w:r>
      <w:r w:rsidR="00F7579E">
        <w:rPr>
          <w:rFonts w:cs="Times New Roman"/>
          <w:color w:val="000000" w:themeColor="text1"/>
          <w:szCs w:val="24"/>
        </w:rPr>
        <w:t xml:space="preserve"> SIA</w:t>
      </w:r>
      <w:r w:rsidR="00583888">
        <w:rPr>
          <w:rFonts w:cs="Times New Roman"/>
          <w:color w:val="000000" w:themeColor="text1"/>
          <w:szCs w:val="24"/>
        </w:rPr>
        <w:t> „</w:t>
      </w:r>
      <w:r w:rsidR="009B1420">
        <w:rPr>
          <w:rFonts w:cs="Times New Roman"/>
          <w:color w:val="000000" w:themeColor="text1"/>
          <w:szCs w:val="24"/>
        </w:rPr>
        <w:t>[Nosaukums A]</w:t>
      </w:r>
      <w:r w:rsidR="00F7579E">
        <w:rPr>
          <w:rFonts w:cs="Times New Roman"/>
          <w:color w:val="000000" w:themeColor="text1"/>
          <w:szCs w:val="24"/>
        </w:rPr>
        <w:t>”</w:t>
      </w:r>
      <w:r>
        <w:rPr>
          <w:rFonts w:cs="Times New Roman"/>
          <w:color w:val="000000" w:themeColor="text1"/>
          <w:szCs w:val="24"/>
        </w:rPr>
        <w:t xml:space="preserve"> uz 1 gadu.</w:t>
      </w:r>
    </w:p>
    <w:p w14:paraId="371E629A" w14:textId="0E46FDD4" w:rsidR="00762680" w:rsidRDefault="004F2D35" w:rsidP="00EB59BC">
      <w:pPr>
        <w:widowControl w:val="0"/>
        <w:spacing w:after="0"/>
        <w:ind w:firstLine="720"/>
        <w:jc w:val="both"/>
        <w:rPr>
          <w:rFonts w:cs="Times New Roman"/>
          <w:color w:val="000000" w:themeColor="text1"/>
          <w:szCs w:val="24"/>
        </w:rPr>
      </w:pPr>
      <w:r>
        <w:rPr>
          <w:rFonts w:cs="Times New Roman"/>
          <w:color w:val="000000" w:themeColor="text1"/>
          <w:szCs w:val="24"/>
        </w:rPr>
        <w:t>Saskaņā ar Krimināllikuma 55.</w:t>
      </w:r>
      <w:r w:rsidR="00762680">
        <w:rPr>
          <w:rFonts w:cs="Times New Roman"/>
          <w:color w:val="000000" w:themeColor="text1"/>
          <w:szCs w:val="24"/>
        </w:rPr>
        <w:t> </w:t>
      </w:r>
      <w:r>
        <w:rPr>
          <w:rFonts w:cs="Times New Roman"/>
          <w:color w:val="000000" w:themeColor="text1"/>
          <w:szCs w:val="24"/>
        </w:rPr>
        <w:t xml:space="preserve">pantu ar brīvības atņemšanu </w:t>
      </w:r>
      <w:r w:rsidR="009B1420">
        <w:rPr>
          <w:rFonts w:cs="Times New Roman"/>
          <w:color w:val="000000" w:themeColor="text1"/>
          <w:szCs w:val="24"/>
        </w:rPr>
        <w:t>[pers. A]</w:t>
      </w:r>
      <w:r w:rsidR="00762680">
        <w:rPr>
          <w:rFonts w:cs="Times New Roman"/>
          <w:color w:val="000000" w:themeColor="text1"/>
          <w:szCs w:val="24"/>
        </w:rPr>
        <w:t xml:space="preserve"> notiesāts nosacīti ar pārbaudes laiku uz 6 mēnešiem.</w:t>
      </w:r>
    </w:p>
    <w:p w14:paraId="5C921772" w14:textId="325FC036" w:rsidR="004F2D35" w:rsidRDefault="00762680" w:rsidP="00EB59BC">
      <w:pPr>
        <w:widowControl w:val="0"/>
        <w:spacing w:after="0"/>
        <w:ind w:firstLine="720"/>
        <w:jc w:val="both"/>
        <w:rPr>
          <w:rFonts w:cs="Times New Roman"/>
          <w:color w:val="000000" w:themeColor="text1"/>
          <w:szCs w:val="24"/>
        </w:rPr>
      </w:pPr>
      <w:r>
        <w:rPr>
          <w:rFonts w:cs="Times New Roman"/>
          <w:color w:val="000000" w:themeColor="text1"/>
          <w:szCs w:val="24"/>
        </w:rPr>
        <w:t xml:space="preserve">Lietvedība par cietušo </w:t>
      </w:r>
      <w:r w:rsidR="00583888">
        <w:rPr>
          <w:rFonts w:cs="Times New Roman"/>
          <w:color w:val="000000" w:themeColor="text1"/>
          <w:szCs w:val="24"/>
        </w:rPr>
        <w:t>„</w:t>
      </w:r>
      <w:bookmarkStart w:id="0" w:name="_Hlk145056583"/>
      <w:proofErr w:type="spellStart"/>
      <w:r>
        <w:rPr>
          <w:rFonts w:cs="Times New Roman"/>
          <w:color w:val="000000" w:themeColor="text1"/>
          <w:szCs w:val="24"/>
        </w:rPr>
        <w:t>Dassault</w:t>
      </w:r>
      <w:proofErr w:type="spellEnd"/>
      <w:r>
        <w:rPr>
          <w:rFonts w:cs="Times New Roman"/>
          <w:color w:val="000000" w:themeColor="text1"/>
          <w:szCs w:val="24"/>
        </w:rPr>
        <w:t xml:space="preserve"> </w:t>
      </w:r>
      <w:proofErr w:type="spellStart"/>
      <w:r>
        <w:rPr>
          <w:rFonts w:cs="Times New Roman"/>
          <w:color w:val="000000" w:themeColor="text1"/>
          <w:szCs w:val="24"/>
        </w:rPr>
        <w:t>Systemes</w:t>
      </w:r>
      <w:proofErr w:type="spellEnd"/>
      <w:r>
        <w:rPr>
          <w:rFonts w:cs="Times New Roman"/>
          <w:color w:val="000000" w:themeColor="text1"/>
          <w:szCs w:val="24"/>
        </w:rPr>
        <w:t xml:space="preserve"> </w:t>
      </w:r>
      <w:proofErr w:type="spellStart"/>
      <w:r>
        <w:rPr>
          <w:rFonts w:cs="Times New Roman"/>
          <w:color w:val="000000" w:themeColor="text1"/>
          <w:szCs w:val="24"/>
        </w:rPr>
        <w:t>SolidWorks</w:t>
      </w:r>
      <w:bookmarkEnd w:id="0"/>
      <w:proofErr w:type="spellEnd"/>
      <w:r>
        <w:rPr>
          <w:rFonts w:cs="Times New Roman"/>
          <w:color w:val="000000" w:themeColor="text1"/>
          <w:szCs w:val="24"/>
        </w:rPr>
        <w:t xml:space="preserve"> </w:t>
      </w:r>
      <w:proofErr w:type="spellStart"/>
      <w:r>
        <w:rPr>
          <w:rFonts w:cs="Times New Roman"/>
          <w:color w:val="000000" w:themeColor="text1"/>
          <w:szCs w:val="24"/>
        </w:rPr>
        <w:t>Corporation</w:t>
      </w:r>
      <w:proofErr w:type="spellEnd"/>
      <w:r>
        <w:rPr>
          <w:rFonts w:cs="Times New Roman"/>
          <w:color w:val="000000" w:themeColor="text1"/>
          <w:szCs w:val="24"/>
        </w:rPr>
        <w:t>”, SIA</w:t>
      </w:r>
      <w:r w:rsidR="00583888">
        <w:rPr>
          <w:rFonts w:cs="Times New Roman"/>
          <w:color w:val="000000" w:themeColor="text1"/>
          <w:szCs w:val="24"/>
        </w:rPr>
        <w:t> „</w:t>
      </w:r>
      <w:r>
        <w:rPr>
          <w:rFonts w:cs="Times New Roman"/>
          <w:color w:val="000000" w:themeColor="text1"/>
          <w:szCs w:val="24"/>
        </w:rPr>
        <w:t xml:space="preserve">Tilde” un </w:t>
      </w:r>
      <w:r w:rsidR="00583888">
        <w:rPr>
          <w:rFonts w:cs="Times New Roman"/>
          <w:color w:val="000000" w:themeColor="text1"/>
          <w:szCs w:val="24"/>
        </w:rPr>
        <w:t>„</w:t>
      </w:r>
      <w:r>
        <w:rPr>
          <w:rFonts w:cs="Times New Roman"/>
          <w:color w:val="000000" w:themeColor="text1"/>
          <w:szCs w:val="24"/>
        </w:rPr>
        <w:t xml:space="preserve">Microsoft </w:t>
      </w:r>
      <w:proofErr w:type="spellStart"/>
      <w:r>
        <w:rPr>
          <w:rFonts w:cs="Times New Roman"/>
          <w:color w:val="000000" w:themeColor="text1"/>
          <w:szCs w:val="24"/>
        </w:rPr>
        <w:t>Corporation</w:t>
      </w:r>
      <w:proofErr w:type="spellEnd"/>
      <w:r>
        <w:rPr>
          <w:rFonts w:cs="Times New Roman"/>
          <w:color w:val="000000" w:themeColor="text1"/>
          <w:szCs w:val="24"/>
        </w:rPr>
        <w:t>” kaitējuma kompensācijas pieteikumiem izbeigta.</w:t>
      </w:r>
    </w:p>
    <w:p w14:paraId="7EF4E299" w14:textId="77777777" w:rsidR="004F2D35" w:rsidRDefault="004F2D35" w:rsidP="00EB59BC">
      <w:pPr>
        <w:widowControl w:val="0"/>
        <w:spacing w:after="0"/>
        <w:ind w:firstLine="720"/>
        <w:jc w:val="both"/>
        <w:rPr>
          <w:rFonts w:cs="Times New Roman"/>
          <w:color w:val="000000" w:themeColor="text1"/>
          <w:szCs w:val="24"/>
        </w:rPr>
      </w:pPr>
    </w:p>
    <w:p w14:paraId="61DC0EE8" w14:textId="09D4EA88" w:rsidR="004F2D35" w:rsidRDefault="00762680" w:rsidP="00EB59BC">
      <w:pPr>
        <w:widowControl w:val="0"/>
        <w:spacing w:after="0"/>
        <w:ind w:firstLine="720"/>
        <w:jc w:val="both"/>
        <w:rPr>
          <w:rFonts w:cs="Times New Roman"/>
          <w:color w:val="000000" w:themeColor="text1"/>
          <w:szCs w:val="24"/>
        </w:rPr>
      </w:pPr>
      <w:r>
        <w:rPr>
          <w:rFonts w:cs="Times New Roman"/>
          <w:color w:val="000000" w:themeColor="text1"/>
          <w:szCs w:val="24"/>
        </w:rPr>
        <w:t>[2]</w:t>
      </w:r>
      <w:r w:rsidR="00583888">
        <w:rPr>
          <w:rFonts w:cs="Times New Roman"/>
          <w:color w:val="000000" w:themeColor="text1"/>
          <w:szCs w:val="24"/>
        </w:rPr>
        <w:t> </w:t>
      </w:r>
      <w:r>
        <w:rPr>
          <w:rFonts w:cs="Times New Roman"/>
          <w:color w:val="000000" w:themeColor="text1"/>
          <w:szCs w:val="24"/>
        </w:rPr>
        <w:t xml:space="preserve">Ar pirmās instances tiesas spriedumu apsūdzētais </w:t>
      </w:r>
      <w:r w:rsidR="009B1420">
        <w:rPr>
          <w:rFonts w:cs="Times New Roman"/>
          <w:color w:val="000000" w:themeColor="text1"/>
          <w:szCs w:val="24"/>
        </w:rPr>
        <w:t>[pers. A]</w:t>
      </w:r>
      <w:r>
        <w:rPr>
          <w:rFonts w:cs="Times New Roman"/>
          <w:color w:val="000000" w:themeColor="text1"/>
          <w:szCs w:val="24"/>
        </w:rPr>
        <w:t xml:space="preserve"> atzīts par vainīgu un sodīts pēc Krimināllikuma 148. panta trešās daļas par autortiesību pārkāpšanu lielā apmērā.</w:t>
      </w:r>
    </w:p>
    <w:p w14:paraId="38F875A9" w14:textId="77777777" w:rsidR="00762680" w:rsidRDefault="00762680" w:rsidP="00EB59BC">
      <w:pPr>
        <w:widowControl w:val="0"/>
        <w:spacing w:after="0"/>
        <w:ind w:firstLine="720"/>
        <w:jc w:val="both"/>
        <w:rPr>
          <w:rFonts w:cs="Times New Roman"/>
          <w:color w:val="000000" w:themeColor="text1"/>
          <w:szCs w:val="24"/>
        </w:rPr>
      </w:pPr>
    </w:p>
    <w:p w14:paraId="57EE4ED1" w14:textId="26699018" w:rsidR="002201C2" w:rsidRDefault="00A35245" w:rsidP="00EB59BC">
      <w:pPr>
        <w:widowControl w:val="0"/>
        <w:spacing w:after="0"/>
        <w:ind w:firstLine="720"/>
        <w:jc w:val="both"/>
        <w:rPr>
          <w:rFonts w:cs="Times New Roman"/>
          <w:color w:val="000000" w:themeColor="text1"/>
          <w:szCs w:val="24"/>
        </w:rPr>
      </w:pPr>
      <w:r w:rsidRPr="006F5492">
        <w:rPr>
          <w:rFonts w:asciiTheme="majorBidi" w:hAnsiTheme="majorBidi" w:cstheme="majorBidi"/>
          <w:color w:val="000000" w:themeColor="text1"/>
          <w:szCs w:val="24"/>
        </w:rPr>
        <w:lastRenderedPageBreak/>
        <w:t>[</w:t>
      </w:r>
      <w:r w:rsidR="00762680">
        <w:rPr>
          <w:rFonts w:asciiTheme="majorBidi" w:hAnsiTheme="majorBidi" w:cstheme="majorBidi"/>
          <w:color w:val="000000" w:themeColor="text1"/>
          <w:szCs w:val="24"/>
        </w:rPr>
        <w:t>3</w:t>
      </w:r>
      <w:r w:rsidRPr="006F5492">
        <w:rPr>
          <w:rFonts w:asciiTheme="majorBidi" w:hAnsiTheme="majorBidi" w:cstheme="majorBidi"/>
          <w:color w:val="000000" w:themeColor="text1"/>
          <w:szCs w:val="24"/>
        </w:rPr>
        <w:t>] </w:t>
      </w:r>
      <w:r w:rsidR="002201C2" w:rsidRPr="00B14CA7">
        <w:rPr>
          <w:rFonts w:cs="Times New Roman"/>
          <w:color w:val="000000" w:themeColor="text1"/>
          <w:szCs w:val="24"/>
        </w:rPr>
        <w:t>Ar</w:t>
      </w:r>
      <w:r w:rsidR="00762680">
        <w:rPr>
          <w:rFonts w:cs="Times New Roman"/>
          <w:color w:val="000000" w:themeColor="text1"/>
          <w:szCs w:val="24"/>
        </w:rPr>
        <w:t xml:space="preserve"> Rīgas</w:t>
      </w:r>
      <w:r w:rsidR="00296E1F">
        <w:rPr>
          <w:rFonts w:cs="Times New Roman"/>
          <w:color w:val="000000" w:themeColor="text1"/>
          <w:szCs w:val="24"/>
        </w:rPr>
        <w:t xml:space="preserve"> apgabaltiesas</w:t>
      </w:r>
      <w:r w:rsidR="002201C2" w:rsidRPr="00B14CA7">
        <w:rPr>
          <w:rFonts w:cs="Times New Roman"/>
          <w:color w:val="000000" w:themeColor="text1"/>
          <w:szCs w:val="24"/>
        </w:rPr>
        <w:t xml:space="preserve"> 20</w:t>
      </w:r>
      <w:r w:rsidR="00296E1F">
        <w:rPr>
          <w:rFonts w:cs="Times New Roman"/>
          <w:color w:val="000000" w:themeColor="text1"/>
          <w:szCs w:val="24"/>
        </w:rPr>
        <w:t>1</w:t>
      </w:r>
      <w:r w:rsidR="00762680">
        <w:rPr>
          <w:rFonts w:cs="Times New Roman"/>
          <w:color w:val="000000" w:themeColor="text1"/>
          <w:szCs w:val="24"/>
        </w:rPr>
        <w:t>9</w:t>
      </w:r>
      <w:r w:rsidR="002201C2" w:rsidRPr="00B14CA7">
        <w:rPr>
          <w:rFonts w:cs="Times New Roman"/>
          <w:color w:val="000000" w:themeColor="text1"/>
          <w:szCs w:val="24"/>
        </w:rPr>
        <w:t>.</w:t>
      </w:r>
      <w:r w:rsidR="00296E1F">
        <w:rPr>
          <w:rFonts w:cs="Times New Roman"/>
          <w:color w:val="000000" w:themeColor="text1"/>
          <w:szCs w:val="24"/>
        </w:rPr>
        <w:t> </w:t>
      </w:r>
      <w:r w:rsidR="002201C2" w:rsidRPr="00B14CA7">
        <w:rPr>
          <w:rFonts w:cs="Times New Roman"/>
          <w:color w:val="000000" w:themeColor="text1"/>
          <w:szCs w:val="24"/>
        </w:rPr>
        <w:t xml:space="preserve">gada </w:t>
      </w:r>
      <w:r w:rsidR="00762680">
        <w:rPr>
          <w:rFonts w:cs="Times New Roman"/>
          <w:color w:val="000000" w:themeColor="text1"/>
          <w:szCs w:val="24"/>
        </w:rPr>
        <w:t>4</w:t>
      </w:r>
      <w:r w:rsidR="00296E1F">
        <w:rPr>
          <w:rFonts w:cs="Times New Roman"/>
          <w:color w:val="000000" w:themeColor="text1"/>
          <w:szCs w:val="24"/>
        </w:rPr>
        <w:t>. oktobra</w:t>
      </w:r>
      <w:r w:rsidR="00666DD8">
        <w:rPr>
          <w:rFonts w:cs="Times New Roman"/>
          <w:color w:val="000000" w:themeColor="text1"/>
          <w:szCs w:val="24"/>
        </w:rPr>
        <w:t xml:space="preserve"> </w:t>
      </w:r>
      <w:r w:rsidR="00903632">
        <w:rPr>
          <w:rFonts w:cs="Times New Roman"/>
          <w:color w:val="000000" w:themeColor="text1"/>
          <w:szCs w:val="24"/>
        </w:rPr>
        <w:t>spriedumu</w:t>
      </w:r>
      <w:r w:rsidR="002201C2" w:rsidRPr="00B14CA7">
        <w:rPr>
          <w:rFonts w:cs="Times New Roman"/>
          <w:color w:val="000000" w:themeColor="text1"/>
          <w:szCs w:val="24"/>
        </w:rPr>
        <w:t xml:space="preserve">, iztiesājot krimināllietu </w:t>
      </w:r>
      <w:r w:rsidR="002201C2" w:rsidRPr="0081516D">
        <w:rPr>
          <w:rFonts w:cs="Times New Roman"/>
          <w:color w:val="000000" w:themeColor="text1"/>
          <w:szCs w:val="24"/>
        </w:rPr>
        <w:t>apelācijas kārtībā sakarā a</w:t>
      </w:r>
      <w:r w:rsidR="00762680">
        <w:rPr>
          <w:rFonts w:cs="Times New Roman"/>
          <w:color w:val="000000" w:themeColor="text1"/>
          <w:szCs w:val="24"/>
        </w:rPr>
        <w:t xml:space="preserve">r </w:t>
      </w:r>
      <w:r w:rsidR="00903632">
        <w:rPr>
          <w:rFonts w:cs="Times New Roman"/>
          <w:color w:val="000000" w:themeColor="text1"/>
          <w:szCs w:val="24"/>
        </w:rPr>
        <w:t>apsūdzētā</w:t>
      </w:r>
      <w:r w:rsidR="00762680">
        <w:rPr>
          <w:rFonts w:cs="Times New Roman"/>
          <w:color w:val="000000" w:themeColor="text1"/>
          <w:szCs w:val="24"/>
        </w:rPr>
        <w:t xml:space="preserve"> </w:t>
      </w:r>
      <w:r w:rsidR="009B1420">
        <w:rPr>
          <w:rFonts w:cs="Times New Roman"/>
          <w:color w:val="000000" w:themeColor="text1"/>
          <w:szCs w:val="24"/>
        </w:rPr>
        <w:t>[pers. </w:t>
      </w:r>
      <w:r w:rsidR="009B1420">
        <w:t>A]</w:t>
      </w:r>
      <w:r w:rsidR="00762680">
        <w:rPr>
          <w:rFonts w:cs="Times New Roman"/>
          <w:color w:val="000000" w:themeColor="text1"/>
          <w:szCs w:val="24"/>
        </w:rPr>
        <w:t xml:space="preserve"> </w:t>
      </w:r>
      <w:r w:rsidR="00903632">
        <w:rPr>
          <w:rFonts w:cs="Times New Roman"/>
          <w:color w:val="000000" w:themeColor="text1"/>
          <w:szCs w:val="24"/>
        </w:rPr>
        <w:t>aizstāvja</w:t>
      </w:r>
      <w:r w:rsidR="00762680">
        <w:rPr>
          <w:rFonts w:cs="Times New Roman"/>
          <w:color w:val="000000" w:themeColor="text1"/>
          <w:szCs w:val="24"/>
        </w:rPr>
        <w:t xml:space="preserve"> M. Gruduļa </w:t>
      </w:r>
      <w:r w:rsidR="00903632">
        <w:rPr>
          <w:rFonts w:cs="Times New Roman"/>
          <w:color w:val="000000" w:themeColor="text1"/>
          <w:szCs w:val="24"/>
        </w:rPr>
        <w:t>apelācijas sūdzīb</w:t>
      </w:r>
      <w:r w:rsidR="00762680">
        <w:rPr>
          <w:rFonts w:cs="Times New Roman"/>
          <w:color w:val="000000" w:themeColor="text1"/>
          <w:szCs w:val="24"/>
        </w:rPr>
        <w:t>u</w:t>
      </w:r>
      <w:r w:rsidR="00903632">
        <w:rPr>
          <w:rFonts w:cs="Times New Roman"/>
          <w:color w:val="000000" w:themeColor="text1"/>
          <w:szCs w:val="24"/>
        </w:rPr>
        <w:t xml:space="preserve">, </w:t>
      </w:r>
      <w:r w:rsidR="00762680">
        <w:rPr>
          <w:rFonts w:cs="Times New Roman"/>
          <w:color w:val="000000" w:themeColor="text1"/>
          <w:szCs w:val="24"/>
        </w:rPr>
        <w:t xml:space="preserve">Rīgas </w:t>
      </w:r>
      <w:r w:rsidR="00903632">
        <w:rPr>
          <w:rFonts w:cs="Times New Roman"/>
          <w:color w:val="000000" w:themeColor="text1"/>
          <w:szCs w:val="24"/>
        </w:rPr>
        <w:t>rajona tiesas 201</w:t>
      </w:r>
      <w:r w:rsidR="00762680">
        <w:rPr>
          <w:rFonts w:cs="Times New Roman"/>
          <w:color w:val="000000" w:themeColor="text1"/>
          <w:szCs w:val="24"/>
        </w:rPr>
        <w:t>6</w:t>
      </w:r>
      <w:r w:rsidR="00903632">
        <w:rPr>
          <w:rFonts w:cs="Times New Roman"/>
          <w:color w:val="000000" w:themeColor="text1"/>
          <w:szCs w:val="24"/>
        </w:rPr>
        <w:t xml:space="preserve">. gada </w:t>
      </w:r>
      <w:r w:rsidR="00762680">
        <w:rPr>
          <w:rFonts w:cs="Times New Roman"/>
          <w:color w:val="000000" w:themeColor="text1"/>
          <w:szCs w:val="24"/>
        </w:rPr>
        <w:t>2. decembra</w:t>
      </w:r>
      <w:r w:rsidR="00903632">
        <w:rPr>
          <w:rFonts w:cs="Times New Roman"/>
          <w:color w:val="000000" w:themeColor="text1"/>
          <w:szCs w:val="24"/>
        </w:rPr>
        <w:t xml:space="preserve"> spriedums atcelts</w:t>
      </w:r>
      <w:r w:rsidR="00762680">
        <w:rPr>
          <w:rFonts w:cs="Times New Roman"/>
          <w:color w:val="000000" w:themeColor="text1"/>
          <w:szCs w:val="24"/>
        </w:rPr>
        <w:t xml:space="preserve"> daļā par </w:t>
      </w:r>
      <w:r w:rsidR="009B1420">
        <w:rPr>
          <w:rFonts w:cs="Times New Roman"/>
          <w:color w:val="000000" w:themeColor="text1"/>
          <w:szCs w:val="24"/>
        </w:rPr>
        <w:t>[pers. A]</w:t>
      </w:r>
      <w:r w:rsidR="00762680">
        <w:rPr>
          <w:rFonts w:cs="Times New Roman"/>
          <w:color w:val="000000" w:themeColor="text1"/>
          <w:szCs w:val="24"/>
        </w:rPr>
        <w:t xml:space="preserve"> atzīšanu par vainīgu un sodīšanu pēc Krimināllikuma 148. panta trešās daļas.</w:t>
      </w:r>
    </w:p>
    <w:p w14:paraId="75BD1933" w14:textId="3843E42D" w:rsidR="00903632" w:rsidRDefault="009B1420" w:rsidP="00EB59BC">
      <w:pPr>
        <w:widowControl w:val="0"/>
        <w:spacing w:after="0"/>
        <w:ind w:firstLine="720"/>
        <w:jc w:val="both"/>
        <w:rPr>
          <w:rFonts w:cs="Times New Roman"/>
          <w:color w:val="000000" w:themeColor="text1"/>
          <w:szCs w:val="24"/>
        </w:rPr>
      </w:pPr>
      <w:r>
        <w:rPr>
          <w:rFonts w:cs="Times New Roman"/>
          <w:color w:val="000000" w:themeColor="text1"/>
          <w:szCs w:val="24"/>
        </w:rPr>
        <w:t>[Pers. A]</w:t>
      </w:r>
      <w:r w:rsidR="00903632">
        <w:rPr>
          <w:rFonts w:cs="Times New Roman"/>
          <w:color w:val="000000" w:themeColor="text1"/>
          <w:szCs w:val="24"/>
        </w:rPr>
        <w:t xml:space="preserve"> atzīts par vainīgu Krimināllikuma 148. panta trešajā daļā paredzētajā noziedzīgajā nodarījumā</w:t>
      </w:r>
      <w:r w:rsidR="00774864">
        <w:rPr>
          <w:rFonts w:cs="Times New Roman"/>
          <w:color w:val="000000" w:themeColor="text1"/>
          <w:szCs w:val="24"/>
        </w:rPr>
        <w:t xml:space="preserve"> un sodīts, piemērojot Krimināllikuma 49.</w:t>
      </w:r>
      <w:r w:rsidR="00774864">
        <w:rPr>
          <w:rFonts w:cs="Times New Roman"/>
          <w:color w:val="000000" w:themeColor="text1"/>
          <w:szCs w:val="24"/>
          <w:vertAlign w:val="superscript"/>
        </w:rPr>
        <w:t>1 </w:t>
      </w:r>
      <w:r w:rsidR="00774864">
        <w:rPr>
          <w:rFonts w:cs="Times New Roman"/>
          <w:color w:val="000000" w:themeColor="text1"/>
          <w:szCs w:val="24"/>
        </w:rPr>
        <w:t>panta pirmās daļas 1. punktu, ar brīvības atņemšanu uz 4 mēnešiem, atņemot tiesības pildīt amata pienākumus, kas saistīti ar likumīgu datorprogrammu iegādes un izmantošanas kontroli, datorsistēmu un datorprogrammu darba kārtības nodrošināšanu, inženieru un citu darbinieku, kas izmanto datorsistēmas ar datorprogrammām, uzraudzību un darba organizēšanu</w:t>
      </w:r>
      <w:r w:rsidR="00F7579E">
        <w:rPr>
          <w:rFonts w:cs="Times New Roman"/>
          <w:color w:val="000000" w:themeColor="text1"/>
          <w:szCs w:val="24"/>
        </w:rPr>
        <w:t xml:space="preserve"> SIA</w:t>
      </w:r>
      <w:r w:rsidR="00F35638">
        <w:rPr>
          <w:rFonts w:cs="Times New Roman"/>
          <w:color w:val="000000" w:themeColor="text1"/>
          <w:szCs w:val="24"/>
        </w:rPr>
        <w:t> „</w:t>
      </w:r>
      <w:r w:rsidR="00885397">
        <w:rPr>
          <w:rFonts w:cs="Times New Roman"/>
          <w:color w:val="000000" w:themeColor="text1"/>
          <w:szCs w:val="24"/>
        </w:rPr>
        <w:t>[Nosaukums A]</w:t>
      </w:r>
      <w:r w:rsidR="00F7579E">
        <w:rPr>
          <w:rFonts w:cs="Times New Roman"/>
          <w:color w:val="000000" w:themeColor="text1"/>
          <w:szCs w:val="24"/>
        </w:rPr>
        <w:t>”</w:t>
      </w:r>
      <w:r w:rsidR="00774864">
        <w:rPr>
          <w:rFonts w:cs="Times New Roman"/>
          <w:color w:val="000000" w:themeColor="text1"/>
          <w:szCs w:val="24"/>
        </w:rPr>
        <w:t xml:space="preserve"> uz 1 gadu.</w:t>
      </w:r>
    </w:p>
    <w:p w14:paraId="1865B211" w14:textId="0A94679C" w:rsidR="00696783" w:rsidRDefault="00903632" w:rsidP="00EB59BC">
      <w:pPr>
        <w:widowControl w:val="0"/>
        <w:spacing w:after="0"/>
        <w:ind w:firstLine="720"/>
        <w:jc w:val="both"/>
        <w:rPr>
          <w:rFonts w:cs="Times New Roman"/>
          <w:color w:val="000000" w:themeColor="text1"/>
          <w:szCs w:val="24"/>
        </w:rPr>
      </w:pPr>
      <w:r>
        <w:rPr>
          <w:rFonts w:cs="Times New Roman"/>
          <w:color w:val="000000" w:themeColor="text1"/>
          <w:szCs w:val="24"/>
        </w:rPr>
        <w:t xml:space="preserve">Saskaņā ar Krimināllikuma 55. pantu </w:t>
      </w:r>
      <w:r w:rsidR="00885397">
        <w:rPr>
          <w:rFonts w:cs="Times New Roman"/>
          <w:color w:val="000000" w:themeColor="text1"/>
          <w:szCs w:val="24"/>
        </w:rPr>
        <w:t>[pers. A]</w:t>
      </w:r>
      <w:r w:rsidR="00696783">
        <w:rPr>
          <w:rFonts w:cs="Times New Roman"/>
          <w:color w:val="000000" w:themeColor="text1"/>
          <w:szCs w:val="24"/>
        </w:rPr>
        <w:t xml:space="preserve"> </w:t>
      </w:r>
      <w:r>
        <w:rPr>
          <w:rFonts w:cs="Times New Roman"/>
          <w:color w:val="000000" w:themeColor="text1"/>
          <w:szCs w:val="24"/>
        </w:rPr>
        <w:t>ar brīvības atņemšanu</w:t>
      </w:r>
      <w:r w:rsidR="00696783">
        <w:rPr>
          <w:rFonts w:cs="Times New Roman"/>
          <w:color w:val="000000" w:themeColor="text1"/>
          <w:szCs w:val="24"/>
        </w:rPr>
        <w:t xml:space="preserve"> </w:t>
      </w:r>
      <w:r w:rsidR="001B24A6">
        <w:rPr>
          <w:rFonts w:cs="Times New Roman"/>
          <w:color w:val="000000" w:themeColor="text1"/>
          <w:szCs w:val="24"/>
        </w:rPr>
        <w:t xml:space="preserve">notiesāts nosacīti ar pārbaudes laiku uz </w:t>
      </w:r>
      <w:r w:rsidR="00774864">
        <w:rPr>
          <w:rFonts w:cs="Times New Roman"/>
          <w:color w:val="000000" w:themeColor="text1"/>
          <w:szCs w:val="24"/>
        </w:rPr>
        <w:t>6 mēnešiem</w:t>
      </w:r>
      <w:r w:rsidR="001B24A6">
        <w:rPr>
          <w:rFonts w:cs="Times New Roman"/>
          <w:color w:val="000000" w:themeColor="text1"/>
          <w:szCs w:val="24"/>
        </w:rPr>
        <w:t>.</w:t>
      </w:r>
    </w:p>
    <w:p w14:paraId="29F9DB07" w14:textId="28DA348C" w:rsidR="00774864" w:rsidRDefault="00774864" w:rsidP="00EB59BC">
      <w:pPr>
        <w:widowControl w:val="0"/>
        <w:spacing w:after="0"/>
        <w:ind w:firstLine="720"/>
        <w:jc w:val="both"/>
        <w:rPr>
          <w:rFonts w:cs="Times New Roman"/>
          <w:color w:val="000000" w:themeColor="text1"/>
          <w:szCs w:val="24"/>
        </w:rPr>
      </w:pPr>
      <w:r>
        <w:rPr>
          <w:rFonts w:cs="Times New Roman"/>
          <w:color w:val="000000" w:themeColor="text1"/>
          <w:szCs w:val="24"/>
        </w:rPr>
        <w:t>Pārējā daļā pirmās instances tiesas spriedums atstāts negrozīts.</w:t>
      </w:r>
    </w:p>
    <w:p w14:paraId="00340567" w14:textId="77777777" w:rsidR="00774864" w:rsidRDefault="00774864" w:rsidP="00EB59BC">
      <w:pPr>
        <w:widowControl w:val="0"/>
        <w:spacing w:after="0"/>
        <w:ind w:firstLine="720"/>
        <w:jc w:val="both"/>
        <w:rPr>
          <w:rFonts w:cs="Times New Roman"/>
          <w:color w:val="000000" w:themeColor="text1"/>
          <w:szCs w:val="24"/>
        </w:rPr>
      </w:pPr>
    </w:p>
    <w:p w14:paraId="1C3B7964" w14:textId="63589210" w:rsidR="008F7D57" w:rsidRPr="000C5646" w:rsidRDefault="00C21435" w:rsidP="00EB59BC">
      <w:pPr>
        <w:widowControl w:val="0"/>
        <w:spacing w:after="0"/>
        <w:ind w:firstLine="720"/>
        <w:jc w:val="both"/>
        <w:rPr>
          <w:rFonts w:asciiTheme="majorBidi" w:hAnsiTheme="majorBidi" w:cstheme="majorBidi"/>
          <w:szCs w:val="24"/>
        </w:rPr>
      </w:pPr>
      <w:r w:rsidRPr="00B14CA7">
        <w:rPr>
          <w:rFonts w:cs="Times New Roman"/>
          <w:color w:val="000000" w:themeColor="text1"/>
          <w:szCs w:val="24"/>
        </w:rPr>
        <w:t>[</w:t>
      </w:r>
      <w:r w:rsidR="00666DD8">
        <w:rPr>
          <w:rFonts w:cs="Times New Roman"/>
          <w:color w:val="000000" w:themeColor="text1"/>
          <w:szCs w:val="24"/>
        </w:rPr>
        <w:t>4</w:t>
      </w:r>
      <w:r w:rsidRPr="00B14CA7">
        <w:rPr>
          <w:rFonts w:cs="Times New Roman"/>
          <w:color w:val="000000" w:themeColor="text1"/>
          <w:szCs w:val="24"/>
        </w:rPr>
        <w:t>]</w:t>
      </w:r>
      <w:r w:rsidR="00E011E9">
        <w:rPr>
          <w:rFonts w:cs="Times New Roman"/>
          <w:color w:val="000000" w:themeColor="text1"/>
          <w:szCs w:val="24"/>
        </w:rPr>
        <w:t> </w:t>
      </w:r>
      <w:r w:rsidR="00E011E9">
        <w:t>Ar Senāta 20</w:t>
      </w:r>
      <w:r w:rsidR="00774864">
        <w:t>21</w:t>
      </w:r>
      <w:r w:rsidR="00E011E9">
        <w:t>.</w:t>
      </w:r>
      <w:r w:rsidR="000C5646">
        <w:t> </w:t>
      </w:r>
      <w:r w:rsidR="00E011E9">
        <w:t xml:space="preserve">gada </w:t>
      </w:r>
      <w:r w:rsidR="00774864">
        <w:t>21. septembra</w:t>
      </w:r>
      <w:r w:rsidR="00E011E9">
        <w:t xml:space="preserve"> lēmumu,</w:t>
      </w:r>
      <w:r w:rsidR="000C5646">
        <w:t xml:space="preserve"> izskatot lietu kasācijas kārtībā sakarā ar apsūdzētā </w:t>
      </w:r>
      <w:r w:rsidR="00885397">
        <w:t>[pers. A]</w:t>
      </w:r>
      <w:r w:rsidR="000C5646">
        <w:t xml:space="preserve"> aizstāvja </w:t>
      </w:r>
      <w:r w:rsidR="00774864">
        <w:t>M. Gruduļa</w:t>
      </w:r>
      <w:r w:rsidR="000C5646">
        <w:t xml:space="preserve"> kasācijas sūdzību,</w:t>
      </w:r>
      <w:r w:rsidR="00774864">
        <w:t xml:space="preserve"> Rīgas</w:t>
      </w:r>
      <w:r w:rsidR="000C5646">
        <w:t xml:space="preserve"> apgabaltiesas 201</w:t>
      </w:r>
      <w:r w:rsidR="00774864">
        <w:t>9</w:t>
      </w:r>
      <w:r w:rsidR="000C5646">
        <w:t>.</w:t>
      </w:r>
      <w:r w:rsidR="00D52DD7">
        <w:t> </w:t>
      </w:r>
      <w:r w:rsidR="000C5646">
        <w:t xml:space="preserve">gada </w:t>
      </w:r>
      <w:r w:rsidR="00774864">
        <w:t>4</w:t>
      </w:r>
      <w:r w:rsidR="000C5646">
        <w:t>.</w:t>
      </w:r>
      <w:r w:rsidR="00D52DD7">
        <w:t> </w:t>
      </w:r>
      <w:r w:rsidR="000C5646">
        <w:t>oktobra spriedums atcelts pilnībā</w:t>
      </w:r>
      <w:proofErr w:type="gramStart"/>
      <w:r w:rsidR="000C5646">
        <w:t xml:space="preserve"> un</w:t>
      </w:r>
      <w:proofErr w:type="gramEnd"/>
      <w:r w:rsidR="000C5646">
        <w:t xml:space="preserve"> lieta nosūtīta jaunai izskatīšanai </w:t>
      </w:r>
      <w:r w:rsidR="00774864">
        <w:t>Rīgas apgabal</w:t>
      </w:r>
      <w:r w:rsidR="000C5646">
        <w:t>tiesā.</w:t>
      </w:r>
    </w:p>
    <w:p w14:paraId="3A34FA09" w14:textId="77777777" w:rsidR="00CD45FD" w:rsidRDefault="00CD45FD" w:rsidP="00EB59BC">
      <w:pPr>
        <w:widowControl w:val="0"/>
        <w:spacing w:after="0"/>
        <w:ind w:firstLine="720"/>
        <w:jc w:val="both"/>
        <w:rPr>
          <w:szCs w:val="24"/>
        </w:rPr>
      </w:pPr>
    </w:p>
    <w:p w14:paraId="689E6333" w14:textId="359810C6" w:rsidR="00BE2FE8" w:rsidRDefault="007D24C2" w:rsidP="00EB59BC">
      <w:pPr>
        <w:widowControl w:val="0"/>
        <w:spacing w:after="0"/>
        <w:ind w:firstLine="720"/>
        <w:jc w:val="both"/>
        <w:rPr>
          <w:rFonts w:cs="Times New Roman"/>
          <w:color w:val="000000" w:themeColor="text1"/>
          <w:szCs w:val="24"/>
        </w:rPr>
      </w:pPr>
      <w:r>
        <w:rPr>
          <w:szCs w:val="24"/>
        </w:rPr>
        <w:t>[5] </w:t>
      </w:r>
      <w:r>
        <w:t xml:space="preserve">Ar </w:t>
      </w:r>
      <w:r w:rsidR="00774864">
        <w:t xml:space="preserve">Rīgas </w:t>
      </w:r>
      <w:r w:rsidR="00BE2FE8">
        <w:t xml:space="preserve">apgabaltiesas </w:t>
      </w:r>
      <w:r>
        <w:t>202</w:t>
      </w:r>
      <w:r w:rsidR="00774864">
        <w:t>2</w:t>
      </w:r>
      <w:r>
        <w:t>.</w:t>
      </w:r>
      <w:r w:rsidR="00BE2FE8">
        <w:t> </w:t>
      </w:r>
      <w:r>
        <w:t xml:space="preserve">gada </w:t>
      </w:r>
      <w:r w:rsidR="00774864">
        <w:t>9. maija</w:t>
      </w:r>
      <w:r>
        <w:t xml:space="preserve"> spriedumu, iztiesājot krimināllietu no jauna apelācijas kārtībā sakarā ar</w:t>
      </w:r>
      <w:r w:rsidR="00A93C27" w:rsidRPr="00B14CA7">
        <w:rPr>
          <w:rFonts w:cs="Times New Roman"/>
          <w:color w:val="000000" w:themeColor="text1"/>
          <w:szCs w:val="24"/>
        </w:rPr>
        <w:t xml:space="preserve"> </w:t>
      </w:r>
      <w:r w:rsidR="00680413">
        <w:rPr>
          <w:rFonts w:cs="Times New Roman"/>
          <w:color w:val="000000" w:themeColor="text1"/>
          <w:szCs w:val="24"/>
        </w:rPr>
        <w:t xml:space="preserve">apsūdzētā </w:t>
      </w:r>
      <w:r w:rsidR="00885397">
        <w:rPr>
          <w:rFonts w:cs="Times New Roman"/>
          <w:color w:val="000000" w:themeColor="text1"/>
          <w:szCs w:val="24"/>
        </w:rPr>
        <w:t>[pers. </w:t>
      </w:r>
      <w:r w:rsidR="00885397">
        <w:t>A]</w:t>
      </w:r>
      <w:r w:rsidR="00680413">
        <w:rPr>
          <w:rFonts w:cs="Times New Roman"/>
          <w:color w:val="000000" w:themeColor="text1"/>
          <w:szCs w:val="24"/>
        </w:rPr>
        <w:t xml:space="preserve"> aizstāvja M. Gruduļa </w:t>
      </w:r>
      <w:r w:rsidR="00BE2FE8">
        <w:rPr>
          <w:rFonts w:cs="Times New Roman"/>
          <w:color w:val="000000" w:themeColor="text1"/>
          <w:szCs w:val="24"/>
        </w:rPr>
        <w:t>apelācijas sūdzīb</w:t>
      </w:r>
      <w:r w:rsidR="00680413">
        <w:rPr>
          <w:rFonts w:cs="Times New Roman"/>
          <w:color w:val="000000" w:themeColor="text1"/>
          <w:szCs w:val="24"/>
        </w:rPr>
        <w:t>u</w:t>
      </w:r>
      <w:r w:rsidR="00BE2FE8">
        <w:rPr>
          <w:rFonts w:cs="Times New Roman"/>
          <w:color w:val="000000" w:themeColor="text1"/>
          <w:szCs w:val="24"/>
        </w:rPr>
        <w:t xml:space="preserve">, </w:t>
      </w:r>
      <w:r w:rsidR="00680413">
        <w:rPr>
          <w:rFonts w:cs="Times New Roman"/>
          <w:color w:val="000000" w:themeColor="text1"/>
          <w:szCs w:val="24"/>
        </w:rPr>
        <w:t>Rīgas</w:t>
      </w:r>
      <w:r w:rsidR="00BE2FE8">
        <w:rPr>
          <w:rFonts w:cs="Times New Roman"/>
          <w:color w:val="000000" w:themeColor="text1"/>
          <w:szCs w:val="24"/>
        </w:rPr>
        <w:t xml:space="preserve"> rajona tiesas 201</w:t>
      </w:r>
      <w:r w:rsidR="00680413">
        <w:rPr>
          <w:rFonts w:cs="Times New Roman"/>
          <w:color w:val="000000" w:themeColor="text1"/>
          <w:szCs w:val="24"/>
        </w:rPr>
        <w:t>6</w:t>
      </w:r>
      <w:r w:rsidR="00BE2FE8">
        <w:rPr>
          <w:rFonts w:cs="Times New Roman"/>
          <w:color w:val="000000" w:themeColor="text1"/>
          <w:szCs w:val="24"/>
        </w:rPr>
        <w:t xml:space="preserve">. gada </w:t>
      </w:r>
      <w:r w:rsidR="00680413">
        <w:rPr>
          <w:rFonts w:cs="Times New Roman"/>
          <w:color w:val="000000" w:themeColor="text1"/>
          <w:szCs w:val="24"/>
        </w:rPr>
        <w:t>2. decembra</w:t>
      </w:r>
      <w:r w:rsidR="00BE2FE8">
        <w:rPr>
          <w:rFonts w:cs="Times New Roman"/>
          <w:color w:val="000000" w:themeColor="text1"/>
          <w:szCs w:val="24"/>
        </w:rPr>
        <w:t xml:space="preserve"> spriedums atcelts</w:t>
      </w:r>
      <w:r w:rsidR="00680413">
        <w:rPr>
          <w:rFonts w:cs="Times New Roman"/>
          <w:color w:val="000000" w:themeColor="text1"/>
          <w:szCs w:val="24"/>
        </w:rPr>
        <w:t xml:space="preserve"> daļā par </w:t>
      </w:r>
      <w:r w:rsidR="00885397">
        <w:rPr>
          <w:rFonts w:cs="Times New Roman"/>
          <w:color w:val="000000" w:themeColor="text1"/>
          <w:szCs w:val="24"/>
        </w:rPr>
        <w:t>[pers. A]</w:t>
      </w:r>
      <w:r w:rsidR="00680413">
        <w:rPr>
          <w:rFonts w:cs="Times New Roman"/>
          <w:color w:val="000000" w:themeColor="text1"/>
          <w:szCs w:val="24"/>
        </w:rPr>
        <w:t xml:space="preserve"> atzīšanu par vainīgu un sodīšanu pēc Krimināllikuma 148. panta trešās daļas.</w:t>
      </w:r>
    </w:p>
    <w:p w14:paraId="618980C4" w14:textId="658BF226" w:rsidR="00680413" w:rsidRDefault="00885397" w:rsidP="00EB59BC">
      <w:pPr>
        <w:widowControl w:val="0"/>
        <w:spacing w:after="0"/>
        <w:ind w:firstLine="720"/>
        <w:jc w:val="both"/>
        <w:rPr>
          <w:rFonts w:cs="Times New Roman"/>
          <w:color w:val="000000" w:themeColor="text1"/>
          <w:szCs w:val="24"/>
        </w:rPr>
      </w:pPr>
      <w:r>
        <w:rPr>
          <w:rFonts w:cs="Times New Roman"/>
          <w:color w:val="000000" w:themeColor="text1"/>
          <w:szCs w:val="24"/>
        </w:rPr>
        <w:t>[Pers. A]</w:t>
      </w:r>
      <w:r w:rsidR="00680413">
        <w:rPr>
          <w:rFonts w:cs="Times New Roman"/>
          <w:color w:val="000000" w:themeColor="text1"/>
          <w:szCs w:val="24"/>
        </w:rPr>
        <w:t xml:space="preserve"> atzīts par vainīgu Krimināllikuma 148. panta trešajā daļā paredzētajā noziedzīgajā nodarījumā un sodīts, piemērojot Krimināllikuma 49.</w:t>
      </w:r>
      <w:r w:rsidR="00680413">
        <w:rPr>
          <w:rFonts w:cs="Times New Roman"/>
          <w:color w:val="000000" w:themeColor="text1"/>
          <w:szCs w:val="24"/>
          <w:vertAlign w:val="superscript"/>
        </w:rPr>
        <w:t>1</w:t>
      </w:r>
      <w:r w:rsidR="00680413">
        <w:rPr>
          <w:rFonts w:cs="Times New Roman"/>
          <w:color w:val="000000" w:themeColor="text1"/>
          <w:szCs w:val="24"/>
        </w:rPr>
        <w:t> panta pirmās daļas 1. punktu, ar brīvības atņemšanu uz 3 mēnešiem, atņemot tiesības</w:t>
      </w:r>
      <w:r w:rsidR="00692785">
        <w:rPr>
          <w:rFonts w:cs="Times New Roman"/>
          <w:color w:val="000000" w:themeColor="text1"/>
          <w:szCs w:val="24"/>
        </w:rPr>
        <w:t xml:space="preserve"> </w:t>
      </w:r>
      <w:r w:rsidR="00680413">
        <w:rPr>
          <w:rFonts w:cs="Times New Roman"/>
          <w:color w:val="000000" w:themeColor="text1"/>
          <w:szCs w:val="24"/>
        </w:rPr>
        <w:t>pildīt amata pienākumus, kas saistīti ar likumīgu datorprogrammu iegādes un izmantošanas kontroli, datorsistēmu un datorprogramm</w:t>
      </w:r>
      <w:r w:rsidR="00692785">
        <w:rPr>
          <w:rFonts w:cs="Times New Roman"/>
          <w:color w:val="000000" w:themeColor="text1"/>
          <w:szCs w:val="24"/>
        </w:rPr>
        <w:t>u</w:t>
      </w:r>
      <w:r w:rsidR="00680413">
        <w:rPr>
          <w:rFonts w:cs="Times New Roman"/>
          <w:color w:val="000000" w:themeColor="text1"/>
          <w:szCs w:val="24"/>
        </w:rPr>
        <w:t xml:space="preserve"> darba kārtības nodrošināšanu, inženieru un citu darbinieku, kas izmanto datorsistēmas ar datorprogrammām, uzraudzību un darba organizēšanu</w:t>
      </w:r>
      <w:r w:rsidR="00692785">
        <w:rPr>
          <w:rFonts w:cs="Times New Roman"/>
          <w:color w:val="000000" w:themeColor="text1"/>
          <w:szCs w:val="24"/>
        </w:rPr>
        <w:t xml:space="preserve"> SIA</w:t>
      </w:r>
      <w:r w:rsidR="00F35638">
        <w:rPr>
          <w:rFonts w:cs="Times New Roman"/>
          <w:color w:val="000000" w:themeColor="text1"/>
          <w:szCs w:val="24"/>
        </w:rPr>
        <w:t> „</w:t>
      </w:r>
      <w:r>
        <w:rPr>
          <w:rFonts w:cs="Times New Roman"/>
          <w:color w:val="000000" w:themeColor="text1"/>
          <w:szCs w:val="24"/>
        </w:rPr>
        <w:t>[Nosaukums </w:t>
      </w:r>
      <w:r>
        <w:t>A]</w:t>
      </w:r>
      <w:r w:rsidR="00692785">
        <w:rPr>
          <w:rFonts w:cs="Times New Roman"/>
          <w:color w:val="000000" w:themeColor="text1"/>
          <w:szCs w:val="24"/>
        </w:rPr>
        <w:t>”</w:t>
      </w:r>
      <w:r w:rsidR="00680413">
        <w:rPr>
          <w:rFonts w:cs="Times New Roman"/>
          <w:color w:val="000000" w:themeColor="text1"/>
          <w:szCs w:val="24"/>
        </w:rPr>
        <w:t xml:space="preserve"> uz 1 gadu.</w:t>
      </w:r>
    </w:p>
    <w:p w14:paraId="6A67657E" w14:textId="0A3F8FDD" w:rsidR="00680413" w:rsidRDefault="00680413" w:rsidP="00EB59BC">
      <w:pPr>
        <w:widowControl w:val="0"/>
        <w:spacing w:after="0"/>
        <w:ind w:firstLine="720"/>
        <w:jc w:val="both"/>
        <w:rPr>
          <w:rFonts w:cs="Times New Roman"/>
          <w:color w:val="000000" w:themeColor="text1"/>
          <w:szCs w:val="24"/>
        </w:rPr>
      </w:pPr>
      <w:r>
        <w:rPr>
          <w:rFonts w:cs="Times New Roman"/>
          <w:color w:val="000000" w:themeColor="text1"/>
          <w:szCs w:val="24"/>
        </w:rPr>
        <w:t xml:space="preserve">Saskaņā ar Krimināllikuma 55. pantu ar brīvības atņemšanu </w:t>
      </w:r>
      <w:r w:rsidR="00885397">
        <w:rPr>
          <w:rFonts w:cs="Times New Roman"/>
          <w:color w:val="000000" w:themeColor="text1"/>
          <w:szCs w:val="24"/>
        </w:rPr>
        <w:t>[pers. </w:t>
      </w:r>
      <w:r w:rsidR="00885397">
        <w:t>A]</w:t>
      </w:r>
      <w:r>
        <w:rPr>
          <w:rFonts w:cs="Times New Roman"/>
          <w:color w:val="000000" w:themeColor="text1"/>
          <w:szCs w:val="24"/>
        </w:rPr>
        <w:t xml:space="preserve"> notiesāts nosacīti ar pārbaudes laiku uz 6 mēnešiem.</w:t>
      </w:r>
    </w:p>
    <w:p w14:paraId="56EB1D9D" w14:textId="31AFBED1" w:rsidR="00680413" w:rsidRDefault="00680413" w:rsidP="00EB59BC">
      <w:pPr>
        <w:widowControl w:val="0"/>
        <w:spacing w:after="0"/>
        <w:ind w:firstLine="720"/>
        <w:jc w:val="both"/>
        <w:rPr>
          <w:rFonts w:cs="Times New Roman"/>
          <w:color w:val="000000" w:themeColor="text1"/>
          <w:szCs w:val="24"/>
        </w:rPr>
      </w:pPr>
      <w:r>
        <w:rPr>
          <w:rFonts w:cs="Times New Roman"/>
          <w:color w:val="000000" w:themeColor="text1"/>
          <w:szCs w:val="24"/>
        </w:rPr>
        <w:t xml:space="preserve">Pārējā daļā pirmās instances tiesas </w:t>
      </w:r>
      <w:r w:rsidR="00C6423C">
        <w:rPr>
          <w:rFonts w:cs="Times New Roman"/>
          <w:color w:val="000000" w:themeColor="text1"/>
          <w:szCs w:val="24"/>
        </w:rPr>
        <w:t>spriedums atstāts negrozīts.</w:t>
      </w:r>
    </w:p>
    <w:p w14:paraId="6247052E" w14:textId="777D259E" w:rsidR="00680413" w:rsidRPr="00680413" w:rsidRDefault="00680413" w:rsidP="00EB59BC">
      <w:pPr>
        <w:widowControl w:val="0"/>
        <w:spacing w:after="0"/>
        <w:ind w:firstLine="720"/>
        <w:jc w:val="both"/>
        <w:rPr>
          <w:rFonts w:cs="Times New Roman"/>
          <w:color w:val="000000" w:themeColor="text1"/>
          <w:szCs w:val="24"/>
        </w:rPr>
      </w:pPr>
    </w:p>
    <w:p w14:paraId="327EF604" w14:textId="6F9DC6BE" w:rsidR="00153F7D" w:rsidRDefault="00CE368A" w:rsidP="00EB59BC">
      <w:pPr>
        <w:widowControl w:val="0"/>
        <w:spacing w:after="0"/>
        <w:ind w:firstLine="720"/>
        <w:jc w:val="both"/>
        <w:rPr>
          <w:rFonts w:cs="Times New Roman"/>
          <w:color w:val="000000" w:themeColor="text1"/>
          <w:szCs w:val="24"/>
        </w:rPr>
      </w:pPr>
      <w:r>
        <w:rPr>
          <w:rFonts w:cs="Times New Roman"/>
          <w:color w:val="000000" w:themeColor="text1"/>
          <w:szCs w:val="24"/>
        </w:rPr>
        <w:t>[</w:t>
      </w:r>
      <w:r w:rsidR="00C6423C">
        <w:rPr>
          <w:rFonts w:cs="Times New Roman"/>
          <w:color w:val="000000" w:themeColor="text1"/>
          <w:szCs w:val="24"/>
        </w:rPr>
        <w:t>6</w:t>
      </w:r>
      <w:r>
        <w:rPr>
          <w:rFonts w:cs="Times New Roman"/>
          <w:color w:val="000000" w:themeColor="text1"/>
          <w:szCs w:val="24"/>
        </w:rPr>
        <w:t>]</w:t>
      </w:r>
      <w:r w:rsidR="00735FA4">
        <w:rPr>
          <w:rFonts w:cs="Times New Roman"/>
          <w:color w:val="000000" w:themeColor="text1"/>
          <w:szCs w:val="24"/>
        </w:rPr>
        <w:t> </w:t>
      </w:r>
      <w:r>
        <w:rPr>
          <w:rFonts w:cs="Times New Roman"/>
          <w:color w:val="000000" w:themeColor="text1"/>
          <w:szCs w:val="24"/>
        </w:rPr>
        <w:t xml:space="preserve">Par </w:t>
      </w:r>
      <w:r w:rsidR="00C6423C">
        <w:rPr>
          <w:rFonts w:cs="Times New Roman"/>
          <w:color w:val="000000" w:themeColor="text1"/>
          <w:szCs w:val="24"/>
        </w:rPr>
        <w:t xml:space="preserve">Rīgas </w:t>
      </w:r>
      <w:r>
        <w:rPr>
          <w:rFonts w:cs="Times New Roman"/>
          <w:color w:val="000000" w:themeColor="text1"/>
          <w:szCs w:val="24"/>
        </w:rPr>
        <w:t xml:space="preserve">apgabaltiesas </w:t>
      </w:r>
      <w:r w:rsidR="00153F7D">
        <w:rPr>
          <w:rFonts w:cs="Times New Roman"/>
          <w:color w:val="000000" w:themeColor="text1"/>
          <w:szCs w:val="24"/>
        </w:rPr>
        <w:t>2022. gada 9. ma</w:t>
      </w:r>
      <w:r w:rsidR="00C6423C">
        <w:rPr>
          <w:rFonts w:cs="Times New Roman"/>
          <w:color w:val="000000" w:themeColor="text1"/>
          <w:szCs w:val="24"/>
        </w:rPr>
        <w:t>ij</w:t>
      </w:r>
      <w:r w:rsidR="00153F7D">
        <w:rPr>
          <w:rFonts w:cs="Times New Roman"/>
          <w:color w:val="000000" w:themeColor="text1"/>
          <w:szCs w:val="24"/>
        </w:rPr>
        <w:t xml:space="preserve">a spriedumu </w:t>
      </w:r>
      <w:r w:rsidR="00C6423C">
        <w:rPr>
          <w:rFonts w:cs="Times New Roman"/>
          <w:color w:val="000000" w:themeColor="text1"/>
          <w:szCs w:val="24"/>
        </w:rPr>
        <w:t>Nodokļu un muitas lietu prokuratūras prokurors R. </w:t>
      </w:r>
      <w:proofErr w:type="spellStart"/>
      <w:r w:rsidR="00C6423C">
        <w:rPr>
          <w:rFonts w:cs="Times New Roman"/>
          <w:color w:val="000000" w:themeColor="text1"/>
          <w:szCs w:val="24"/>
        </w:rPr>
        <w:t>Dūdiņš</w:t>
      </w:r>
      <w:proofErr w:type="spellEnd"/>
      <w:r w:rsidR="00C6423C">
        <w:rPr>
          <w:rFonts w:cs="Times New Roman"/>
          <w:color w:val="000000" w:themeColor="text1"/>
          <w:szCs w:val="24"/>
        </w:rPr>
        <w:t xml:space="preserve"> iesniedzis kasācijas protestu, kurā lūdz atcelt tiesas spriedumu pilnībā un nosūtīt lietu jaunai izskatīšanai apelācijas instances tiesā.</w:t>
      </w:r>
    </w:p>
    <w:p w14:paraId="38AA8A5E" w14:textId="65C72725" w:rsidR="00153F7D" w:rsidRDefault="00153F7D" w:rsidP="00EB59BC">
      <w:pPr>
        <w:widowControl w:val="0"/>
        <w:spacing w:after="0"/>
        <w:ind w:firstLine="720"/>
        <w:jc w:val="both"/>
        <w:rPr>
          <w:rFonts w:cs="Times New Roman"/>
          <w:color w:val="000000" w:themeColor="text1"/>
          <w:szCs w:val="24"/>
        </w:rPr>
      </w:pPr>
      <w:r>
        <w:rPr>
          <w:rFonts w:cs="Times New Roman"/>
          <w:color w:val="000000" w:themeColor="text1"/>
          <w:szCs w:val="24"/>
        </w:rPr>
        <w:t xml:space="preserve">Savu lūgumu </w:t>
      </w:r>
      <w:r w:rsidR="00C6423C">
        <w:rPr>
          <w:rFonts w:cs="Times New Roman"/>
          <w:color w:val="000000" w:themeColor="text1"/>
          <w:szCs w:val="24"/>
        </w:rPr>
        <w:t>prokurors pamatojis</w:t>
      </w:r>
      <w:r>
        <w:rPr>
          <w:rFonts w:cs="Times New Roman"/>
          <w:color w:val="000000" w:themeColor="text1"/>
          <w:szCs w:val="24"/>
        </w:rPr>
        <w:t xml:space="preserve"> ar šādiem argumentiem.</w:t>
      </w:r>
    </w:p>
    <w:p w14:paraId="485B0181" w14:textId="0F2BC941" w:rsidR="0044708F" w:rsidRDefault="00153F7D" w:rsidP="00EB59BC">
      <w:pPr>
        <w:widowControl w:val="0"/>
        <w:spacing w:after="0"/>
        <w:ind w:firstLine="720"/>
        <w:jc w:val="both"/>
        <w:rPr>
          <w:rFonts w:cs="Times New Roman"/>
          <w:color w:val="000000" w:themeColor="text1"/>
          <w:szCs w:val="24"/>
        </w:rPr>
      </w:pPr>
      <w:r>
        <w:rPr>
          <w:rFonts w:cs="Times New Roman"/>
          <w:color w:val="000000" w:themeColor="text1"/>
          <w:szCs w:val="24"/>
        </w:rPr>
        <w:t>[</w:t>
      </w:r>
      <w:r w:rsidR="00C6423C">
        <w:rPr>
          <w:rFonts w:cs="Times New Roman"/>
          <w:color w:val="000000" w:themeColor="text1"/>
          <w:szCs w:val="24"/>
        </w:rPr>
        <w:t>6</w:t>
      </w:r>
      <w:r>
        <w:rPr>
          <w:rFonts w:cs="Times New Roman"/>
          <w:color w:val="000000" w:themeColor="text1"/>
          <w:szCs w:val="24"/>
        </w:rPr>
        <w:t>.1]</w:t>
      </w:r>
      <w:r w:rsidR="00660296">
        <w:rPr>
          <w:rFonts w:cs="Times New Roman"/>
          <w:color w:val="000000" w:themeColor="text1"/>
          <w:szCs w:val="24"/>
        </w:rPr>
        <w:t> </w:t>
      </w:r>
      <w:r w:rsidR="0000298C">
        <w:rPr>
          <w:rFonts w:cs="Times New Roman"/>
          <w:color w:val="000000" w:themeColor="text1"/>
          <w:szCs w:val="24"/>
        </w:rPr>
        <w:t>Apelācijas instances tiesa</w:t>
      </w:r>
      <w:r w:rsidR="005C5354">
        <w:rPr>
          <w:rFonts w:cs="Times New Roman"/>
          <w:color w:val="000000" w:themeColor="text1"/>
          <w:szCs w:val="24"/>
        </w:rPr>
        <w:t xml:space="preserve">, </w:t>
      </w:r>
      <w:r w:rsidR="0000298C">
        <w:rPr>
          <w:rFonts w:cs="Times New Roman"/>
          <w:color w:val="000000" w:themeColor="text1"/>
          <w:szCs w:val="24"/>
        </w:rPr>
        <w:t>atzīstot, ka SIA</w:t>
      </w:r>
      <w:r w:rsidR="00660296">
        <w:rPr>
          <w:rFonts w:cs="Times New Roman"/>
          <w:color w:val="000000" w:themeColor="text1"/>
          <w:szCs w:val="24"/>
        </w:rPr>
        <w:t> „</w:t>
      </w:r>
      <w:r w:rsidR="00885397">
        <w:rPr>
          <w:rFonts w:cs="Times New Roman"/>
          <w:color w:val="000000" w:themeColor="text1"/>
          <w:szCs w:val="24"/>
        </w:rPr>
        <w:t>[Nosaukums </w:t>
      </w:r>
      <w:r w:rsidR="00885397">
        <w:t>A]</w:t>
      </w:r>
      <w:r w:rsidR="0000298C">
        <w:rPr>
          <w:rFonts w:cs="Times New Roman"/>
          <w:color w:val="000000" w:themeColor="text1"/>
          <w:szCs w:val="24"/>
        </w:rPr>
        <w:t xml:space="preserve">” datorsistēmā tika instalēta datorprogrammas </w:t>
      </w:r>
      <w:r w:rsidR="00660296">
        <w:rPr>
          <w:rFonts w:cs="Times New Roman"/>
          <w:color w:val="000000" w:themeColor="text1"/>
          <w:szCs w:val="24"/>
        </w:rPr>
        <w:t>„</w:t>
      </w:r>
      <w:proofErr w:type="spellStart"/>
      <w:r w:rsidR="0000298C">
        <w:rPr>
          <w:rFonts w:cs="Times New Roman"/>
          <w:color w:val="000000" w:themeColor="text1"/>
          <w:szCs w:val="24"/>
        </w:rPr>
        <w:t>SolidWorks</w:t>
      </w:r>
      <w:proofErr w:type="spellEnd"/>
      <w:r w:rsidR="0000298C">
        <w:rPr>
          <w:rFonts w:cs="Times New Roman"/>
          <w:color w:val="000000" w:themeColor="text1"/>
          <w:szCs w:val="24"/>
        </w:rPr>
        <w:t xml:space="preserve"> </w:t>
      </w:r>
      <w:proofErr w:type="spellStart"/>
      <w:r w:rsidR="0000298C">
        <w:rPr>
          <w:rFonts w:cs="Times New Roman"/>
          <w:color w:val="000000" w:themeColor="text1"/>
          <w:szCs w:val="24"/>
        </w:rPr>
        <w:t>Electrical</w:t>
      </w:r>
      <w:proofErr w:type="spellEnd"/>
      <w:r w:rsidR="0000298C">
        <w:rPr>
          <w:rFonts w:cs="Times New Roman"/>
          <w:color w:val="000000" w:themeColor="text1"/>
          <w:szCs w:val="24"/>
        </w:rPr>
        <w:t xml:space="preserve"> 2014” izmēģinājuma versija, kas iegūta legālā veidā, nepamatoti izslēgusi šo programmu no apsūdzības, samazinot arī autortiesību subjektam </w:t>
      </w:r>
      <w:r w:rsidR="00660296">
        <w:rPr>
          <w:rFonts w:cs="Times New Roman"/>
          <w:color w:val="000000" w:themeColor="text1"/>
          <w:szCs w:val="24"/>
        </w:rPr>
        <w:t>„</w:t>
      </w:r>
      <w:proofErr w:type="spellStart"/>
      <w:r w:rsidR="0000298C">
        <w:rPr>
          <w:rFonts w:cs="Times New Roman"/>
          <w:color w:val="000000" w:themeColor="text1"/>
          <w:szCs w:val="24"/>
        </w:rPr>
        <w:t>Dassault</w:t>
      </w:r>
      <w:proofErr w:type="spellEnd"/>
      <w:r w:rsidR="0000298C">
        <w:rPr>
          <w:rFonts w:cs="Times New Roman"/>
          <w:color w:val="000000" w:themeColor="text1"/>
          <w:szCs w:val="24"/>
        </w:rPr>
        <w:t xml:space="preserve"> </w:t>
      </w:r>
      <w:proofErr w:type="spellStart"/>
      <w:r w:rsidR="0000298C">
        <w:rPr>
          <w:rFonts w:cs="Times New Roman"/>
          <w:color w:val="000000" w:themeColor="text1"/>
          <w:szCs w:val="24"/>
        </w:rPr>
        <w:t>Systemes</w:t>
      </w:r>
      <w:proofErr w:type="spellEnd"/>
      <w:r w:rsidR="0000298C">
        <w:rPr>
          <w:rFonts w:cs="Times New Roman"/>
          <w:color w:val="000000" w:themeColor="text1"/>
          <w:szCs w:val="24"/>
        </w:rPr>
        <w:t xml:space="preserve"> </w:t>
      </w:r>
      <w:proofErr w:type="spellStart"/>
      <w:r w:rsidR="0000298C">
        <w:rPr>
          <w:rFonts w:cs="Times New Roman"/>
          <w:color w:val="000000" w:themeColor="text1"/>
          <w:szCs w:val="24"/>
        </w:rPr>
        <w:t>SolidWorks</w:t>
      </w:r>
      <w:proofErr w:type="spellEnd"/>
      <w:r w:rsidR="0000298C">
        <w:rPr>
          <w:rFonts w:cs="Times New Roman"/>
          <w:color w:val="000000" w:themeColor="text1"/>
          <w:szCs w:val="24"/>
        </w:rPr>
        <w:t xml:space="preserve"> </w:t>
      </w:r>
      <w:proofErr w:type="spellStart"/>
      <w:r w:rsidR="0000298C">
        <w:rPr>
          <w:rFonts w:cs="Times New Roman"/>
          <w:color w:val="000000" w:themeColor="text1"/>
          <w:szCs w:val="24"/>
        </w:rPr>
        <w:t>Corporation</w:t>
      </w:r>
      <w:proofErr w:type="spellEnd"/>
      <w:r w:rsidR="0000298C">
        <w:rPr>
          <w:rFonts w:cs="Times New Roman"/>
          <w:color w:val="000000" w:themeColor="text1"/>
          <w:szCs w:val="24"/>
        </w:rPr>
        <w:t>” nodarīto mantisko zaudējumu par 10</w:t>
      </w:r>
      <w:r w:rsidR="00660296">
        <w:rPr>
          <w:rFonts w:cs="Times New Roman"/>
          <w:color w:val="000000" w:themeColor="text1"/>
          <w:szCs w:val="24"/>
        </w:rPr>
        <w:t> </w:t>
      </w:r>
      <w:r w:rsidR="0000298C">
        <w:rPr>
          <w:rFonts w:cs="Times New Roman"/>
          <w:color w:val="000000" w:themeColor="text1"/>
          <w:szCs w:val="24"/>
        </w:rPr>
        <w:t>200</w:t>
      </w:r>
      <w:r w:rsidR="00660296">
        <w:rPr>
          <w:rFonts w:cs="Times New Roman"/>
          <w:color w:val="000000" w:themeColor="text1"/>
          <w:szCs w:val="24"/>
        </w:rPr>
        <w:t> </w:t>
      </w:r>
      <w:proofErr w:type="spellStart"/>
      <w:r w:rsidR="0000298C">
        <w:rPr>
          <w:rFonts w:cs="Times New Roman"/>
          <w:i/>
          <w:iCs/>
          <w:color w:val="000000" w:themeColor="text1"/>
          <w:szCs w:val="24"/>
        </w:rPr>
        <w:t>euro</w:t>
      </w:r>
      <w:proofErr w:type="spellEnd"/>
      <w:r w:rsidR="0000298C">
        <w:rPr>
          <w:rFonts w:cs="Times New Roman"/>
          <w:color w:val="000000" w:themeColor="text1"/>
          <w:szCs w:val="24"/>
        </w:rPr>
        <w:t xml:space="preserve">. Pamatojot šādu atzinumu, </w:t>
      </w:r>
      <w:r w:rsidR="0044708F">
        <w:rPr>
          <w:rFonts w:cs="Times New Roman"/>
          <w:color w:val="000000" w:themeColor="text1"/>
          <w:szCs w:val="24"/>
        </w:rPr>
        <w:t xml:space="preserve">apelācijas instances </w:t>
      </w:r>
      <w:r w:rsidR="0000298C">
        <w:rPr>
          <w:rFonts w:cs="Times New Roman"/>
          <w:color w:val="000000" w:themeColor="text1"/>
          <w:szCs w:val="24"/>
        </w:rPr>
        <w:t xml:space="preserve">tiesa norādījusi, ka </w:t>
      </w:r>
      <w:r w:rsidR="00C60E25">
        <w:rPr>
          <w:rFonts w:cs="Times New Roman"/>
          <w:color w:val="000000" w:themeColor="text1"/>
          <w:szCs w:val="24"/>
        </w:rPr>
        <w:t>i</w:t>
      </w:r>
      <w:r w:rsidR="00A31065">
        <w:rPr>
          <w:rFonts w:cs="Times New Roman"/>
          <w:color w:val="000000" w:themeColor="text1"/>
          <w:szCs w:val="24"/>
        </w:rPr>
        <w:t xml:space="preserve">zmēģinājuma versija ir datorprogrammas versija, kuras lejupielādi internetā atļāvis pats tiesību īpašnieks, un to noteiktu laiku atļauts izmantot bez maksas. </w:t>
      </w:r>
      <w:r w:rsidR="00A31065">
        <w:rPr>
          <w:rFonts w:cs="Times New Roman"/>
          <w:color w:val="000000" w:themeColor="text1"/>
          <w:szCs w:val="24"/>
        </w:rPr>
        <w:lastRenderedPageBreak/>
        <w:t xml:space="preserve">Gadījumā, ja lietotājs vēlas šo programmu izmantot arī turpmāk, viņam ir jāiegādājas attiecīga licence, savukārt gadījumā, ja lietotājs nevēlas iegādāties licenci, viņam ir pienākums lejupielādēto programmu no datora dzēst. </w:t>
      </w:r>
      <w:r w:rsidR="0044708F">
        <w:rPr>
          <w:rFonts w:cs="Times New Roman"/>
          <w:color w:val="000000" w:themeColor="text1"/>
          <w:szCs w:val="24"/>
        </w:rPr>
        <w:t xml:space="preserve">Ievērojot to, ka šis pienākums neizriet no likuma, bet no datorprogrammas izmēģinājuma versijas licences, </w:t>
      </w:r>
      <w:r w:rsidR="00F7579E">
        <w:rPr>
          <w:rFonts w:cs="Times New Roman"/>
          <w:color w:val="000000" w:themeColor="text1"/>
          <w:szCs w:val="24"/>
        </w:rPr>
        <w:t>apelācijas instances tiesa atzinusi</w:t>
      </w:r>
      <w:r w:rsidR="0044708F">
        <w:rPr>
          <w:rFonts w:cs="Times New Roman"/>
          <w:color w:val="000000" w:themeColor="text1"/>
          <w:szCs w:val="24"/>
        </w:rPr>
        <w:t>, ka tā ir līgumiska</w:t>
      </w:r>
      <w:r w:rsidR="00D77A9F">
        <w:rPr>
          <w:rFonts w:cs="Times New Roman"/>
          <w:color w:val="000000" w:themeColor="text1"/>
          <w:szCs w:val="24"/>
        </w:rPr>
        <w:t>,</w:t>
      </w:r>
      <w:r w:rsidR="0044708F">
        <w:rPr>
          <w:rFonts w:cs="Times New Roman"/>
          <w:color w:val="000000" w:themeColor="text1"/>
          <w:szCs w:val="24"/>
        </w:rPr>
        <w:t xml:space="preserve"> nevis likum</w:t>
      </w:r>
      <w:r w:rsidR="00407EF7">
        <w:rPr>
          <w:rFonts w:cs="Times New Roman"/>
          <w:color w:val="000000" w:themeColor="text1"/>
          <w:szCs w:val="24"/>
        </w:rPr>
        <w:t>iska</w:t>
      </w:r>
      <w:r w:rsidR="0044708F">
        <w:rPr>
          <w:rFonts w:cs="Times New Roman"/>
          <w:color w:val="000000" w:themeColor="text1"/>
          <w:szCs w:val="24"/>
        </w:rPr>
        <w:t xml:space="preserve"> prasība, līdz ar to datorprogrammas izmēģinājuma versijas nedzēšana no datorsistēmas nerada pamatu kriminālatbildībai.</w:t>
      </w:r>
    </w:p>
    <w:p w14:paraId="0856F7F6" w14:textId="58A601E8" w:rsidR="001C0133" w:rsidRDefault="00D77A9F" w:rsidP="00EB59BC">
      <w:pPr>
        <w:widowControl w:val="0"/>
        <w:spacing w:after="0"/>
        <w:ind w:firstLine="720"/>
        <w:jc w:val="both"/>
        <w:rPr>
          <w:rFonts w:cs="Times New Roman"/>
          <w:color w:val="000000" w:themeColor="text1"/>
          <w:szCs w:val="24"/>
        </w:rPr>
      </w:pPr>
      <w:r>
        <w:rPr>
          <w:rFonts w:cs="Times New Roman"/>
          <w:color w:val="000000" w:themeColor="text1"/>
          <w:szCs w:val="24"/>
        </w:rPr>
        <w:t xml:space="preserve">Tādējādi apelācijas instances tiesa savus secinājumus par datorprogrammas </w:t>
      </w:r>
      <w:r w:rsidR="00504B31">
        <w:rPr>
          <w:rFonts w:cs="Times New Roman"/>
          <w:color w:val="000000" w:themeColor="text1"/>
          <w:szCs w:val="24"/>
        </w:rPr>
        <w:t>„</w:t>
      </w:r>
      <w:proofErr w:type="spellStart"/>
      <w:r>
        <w:rPr>
          <w:rFonts w:cs="Times New Roman"/>
          <w:color w:val="000000" w:themeColor="text1"/>
          <w:szCs w:val="24"/>
        </w:rPr>
        <w:t>SolidWorks</w:t>
      </w:r>
      <w:proofErr w:type="spellEnd"/>
      <w:r>
        <w:rPr>
          <w:rFonts w:cs="Times New Roman"/>
          <w:color w:val="000000" w:themeColor="text1"/>
          <w:szCs w:val="24"/>
        </w:rPr>
        <w:t xml:space="preserve"> </w:t>
      </w:r>
      <w:proofErr w:type="spellStart"/>
      <w:r>
        <w:rPr>
          <w:rFonts w:cs="Times New Roman"/>
          <w:color w:val="000000" w:themeColor="text1"/>
          <w:szCs w:val="24"/>
        </w:rPr>
        <w:t>Electrical</w:t>
      </w:r>
      <w:proofErr w:type="spellEnd"/>
      <w:r>
        <w:rPr>
          <w:rFonts w:cs="Times New Roman"/>
          <w:color w:val="000000" w:themeColor="text1"/>
          <w:szCs w:val="24"/>
        </w:rPr>
        <w:t xml:space="preserve"> 2014” atbilstību izmēģinājuma versijai, datorprogramm</w:t>
      </w:r>
      <w:r w:rsidR="00F7579E">
        <w:rPr>
          <w:rFonts w:cs="Times New Roman"/>
          <w:color w:val="000000" w:themeColor="text1"/>
          <w:szCs w:val="24"/>
        </w:rPr>
        <w:t>as</w:t>
      </w:r>
      <w:r>
        <w:rPr>
          <w:rFonts w:cs="Times New Roman"/>
          <w:color w:val="000000" w:themeColor="text1"/>
          <w:szCs w:val="24"/>
        </w:rPr>
        <w:t xml:space="preserve"> izmēģinājumu versij</w:t>
      </w:r>
      <w:r w:rsidR="00F7579E">
        <w:rPr>
          <w:rFonts w:cs="Times New Roman"/>
          <w:color w:val="000000" w:themeColor="text1"/>
          <w:szCs w:val="24"/>
        </w:rPr>
        <w:t>as</w:t>
      </w:r>
      <w:r>
        <w:rPr>
          <w:rFonts w:cs="Times New Roman"/>
          <w:color w:val="000000" w:themeColor="text1"/>
          <w:szCs w:val="24"/>
        </w:rPr>
        <w:t xml:space="preserve"> iegūšanu, uzstādīšanu</w:t>
      </w:r>
      <w:r w:rsidR="00F86907">
        <w:rPr>
          <w:rFonts w:cs="Times New Roman"/>
          <w:color w:val="000000" w:themeColor="text1"/>
          <w:szCs w:val="24"/>
        </w:rPr>
        <w:t xml:space="preserve">, </w:t>
      </w:r>
      <w:r>
        <w:rPr>
          <w:rFonts w:cs="Times New Roman"/>
          <w:color w:val="000000" w:themeColor="text1"/>
          <w:szCs w:val="24"/>
        </w:rPr>
        <w:t>uzglabāšanu</w:t>
      </w:r>
      <w:r w:rsidR="00F86907">
        <w:rPr>
          <w:rFonts w:cs="Times New Roman"/>
          <w:color w:val="000000" w:themeColor="text1"/>
          <w:szCs w:val="24"/>
        </w:rPr>
        <w:t xml:space="preserve"> un</w:t>
      </w:r>
      <w:r>
        <w:rPr>
          <w:rFonts w:cs="Times New Roman"/>
          <w:color w:val="000000" w:themeColor="text1"/>
          <w:szCs w:val="24"/>
        </w:rPr>
        <w:t xml:space="preserve"> datorprogramm</w:t>
      </w:r>
      <w:r w:rsidR="00F7579E">
        <w:rPr>
          <w:rFonts w:cs="Times New Roman"/>
          <w:color w:val="000000" w:themeColor="text1"/>
          <w:szCs w:val="24"/>
        </w:rPr>
        <w:t>as</w:t>
      </w:r>
      <w:r>
        <w:rPr>
          <w:rFonts w:cs="Times New Roman"/>
          <w:color w:val="000000" w:themeColor="text1"/>
          <w:szCs w:val="24"/>
        </w:rPr>
        <w:t xml:space="preserve"> izmēģinājuma versij</w:t>
      </w:r>
      <w:r w:rsidR="00F86907">
        <w:rPr>
          <w:rFonts w:cs="Times New Roman"/>
          <w:color w:val="000000" w:themeColor="text1"/>
          <w:szCs w:val="24"/>
        </w:rPr>
        <w:t>as</w:t>
      </w:r>
      <w:r>
        <w:rPr>
          <w:rFonts w:cs="Times New Roman"/>
          <w:color w:val="000000" w:themeColor="text1"/>
          <w:szCs w:val="24"/>
        </w:rPr>
        <w:t xml:space="preserve"> licen</w:t>
      </w:r>
      <w:r w:rsidR="00F86907">
        <w:rPr>
          <w:rFonts w:cs="Times New Roman"/>
          <w:color w:val="000000" w:themeColor="text1"/>
          <w:szCs w:val="24"/>
        </w:rPr>
        <w:t>ces</w:t>
      </w:r>
      <w:r>
        <w:rPr>
          <w:rFonts w:cs="Times New Roman"/>
          <w:color w:val="000000" w:themeColor="text1"/>
          <w:szCs w:val="24"/>
        </w:rPr>
        <w:t xml:space="preserve"> iegūšanu</w:t>
      </w:r>
      <w:r w:rsidR="00F86907">
        <w:rPr>
          <w:rFonts w:cs="Times New Roman"/>
          <w:color w:val="000000" w:themeColor="text1"/>
          <w:szCs w:val="24"/>
        </w:rPr>
        <w:t xml:space="preserve"> </w:t>
      </w:r>
      <w:r>
        <w:rPr>
          <w:rFonts w:cs="Times New Roman"/>
          <w:color w:val="000000" w:themeColor="text1"/>
          <w:szCs w:val="24"/>
        </w:rPr>
        <w:t>nav pamatojusi ar likumā paredzētajā kārtībā iegūtām un noteiktā procesuālā formā nostiprinātām ziņām, kā arī licences noteikumu pārkāpumus nepamatoti reducējusi uz līgumiskiem pārkāpumiem iepretim administratīvi vai krimināli sodāmai rīcībai. No Autortiesību likuma 68. panta pirmās daļas 1. punkta, 40. panta otrās daļas, 41. panta pirmās daļas un 42. panta pirmās daļas izriet, ka</w:t>
      </w:r>
      <w:r w:rsidR="009F0E0B">
        <w:rPr>
          <w:rFonts w:cs="Times New Roman"/>
          <w:color w:val="000000" w:themeColor="text1"/>
          <w:szCs w:val="24"/>
        </w:rPr>
        <w:t xml:space="preserve"> autortiesību subjekts dod savu piekrišanu, pamatojoties uz licenci vai licences līgumu, pieļaujot iespēju paredzēt tajos konkrētu izmantošanas veidu un noteikumus. Tādējādi autortiesību pārkāpuma, kas saistīts ar licences nesaņemšanu vai licences līguma nenoslēgšanu, nošķiršanai no autortiesību pārkāpuma, kas saistīts ar licences vai licences līguma</w:t>
      </w:r>
      <w:r w:rsidR="001C0133">
        <w:rPr>
          <w:rFonts w:cs="Times New Roman"/>
          <w:color w:val="000000" w:themeColor="text1"/>
          <w:szCs w:val="24"/>
        </w:rPr>
        <w:t xml:space="preserve"> nosacījumu pārkāpšanu, krimināltiesiskā kontekstā nav objektīva pamata, un rīcība ar autortiesību objektu pretēji licences vai licences līguma noteikumiem ir pielīdzināma situācijai, kad nav saņemta autortiesību subjekta piekrišana. Turklāt apelācijas instances tiesa savus secinājumus par to, ka datorsistēmā ir uzstādīta datorprogrammas </w:t>
      </w:r>
      <w:r w:rsidR="00504B31">
        <w:rPr>
          <w:rFonts w:cs="Times New Roman"/>
          <w:color w:val="000000" w:themeColor="text1"/>
          <w:szCs w:val="24"/>
        </w:rPr>
        <w:t>„</w:t>
      </w:r>
      <w:proofErr w:type="spellStart"/>
      <w:r w:rsidR="001C0133">
        <w:rPr>
          <w:rFonts w:cs="Times New Roman"/>
          <w:color w:val="000000" w:themeColor="text1"/>
          <w:szCs w:val="24"/>
        </w:rPr>
        <w:t>SolidWorks</w:t>
      </w:r>
      <w:proofErr w:type="spellEnd"/>
      <w:r w:rsidR="001C0133">
        <w:rPr>
          <w:rFonts w:cs="Times New Roman"/>
          <w:color w:val="000000" w:themeColor="text1"/>
          <w:szCs w:val="24"/>
        </w:rPr>
        <w:t xml:space="preserve"> </w:t>
      </w:r>
      <w:proofErr w:type="spellStart"/>
      <w:r w:rsidR="001C0133">
        <w:rPr>
          <w:rFonts w:cs="Times New Roman"/>
          <w:color w:val="000000" w:themeColor="text1"/>
          <w:szCs w:val="24"/>
        </w:rPr>
        <w:t>Electrical</w:t>
      </w:r>
      <w:proofErr w:type="spellEnd"/>
      <w:r w:rsidR="001C0133">
        <w:rPr>
          <w:rFonts w:cs="Times New Roman"/>
          <w:color w:val="000000" w:themeColor="text1"/>
          <w:szCs w:val="24"/>
        </w:rPr>
        <w:t xml:space="preserve"> 2014” izmēģinājuma versija, pamatojusi tikai ar apsūdzētā </w:t>
      </w:r>
      <w:r w:rsidR="00885397">
        <w:rPr>
          <w:rFonts w:cs="Times New Roman"/>
          <w:color w:val="000000" w:themeColor="text1"/>
          <w:szCs w:val="24"/>
        </w:rPr>
        <w:t>[pers. A]</w:t>
      </w:r>
      <w:r w:rsidR="001C0133">
        <w:rPr>
          <w:rFonts w:cs="Times New Roman"/>
          <w:color w:val="000000" w:themeColor="text1"/>
          <w:szCs w:val="24"/>
        </w:rPr>
        <w:t xml:space="preserve"> liecībām. Ievērojot to, ka apsūdzētais </w:t>
      </w:r>
      <w:r w:rsidR="00885397">
        <w:rPr>
          <w:rFonts w:cs="Times New Roman"/>
          <w:color w:val="000000" w:themeColor="text1"/>
          <w:szCs w:val="24"/>
        </w:rPr>
        <w:t>[pers. A]</w:t>
      </w:r>
      <w:r w:rsidR="001C0133">
        <w:rPr>
          <w:rFonts w:cs="Times New Roman"/>
          <w:color w:val="000000" w:themeColor="text1"/>
          <w:szCs w:val="24"/>
        </w:rPr>
        <w:t xml:space="preserve"> nevarēja iesniegt licenci, licences līgumu vai citus dokumentus par autortiesību subjekta atļaujas saņemšanu, apsūdzētā vispārīg</w:t>
      </w:r>
      <w:r w:rsidR="00D66115">
        <w:rPr>
          <w:rFonts w:cs="Times New Roman"/>
          <w:color w:val="000000" w:themeColor="text1"/>
          <w:szCs w:val="24"/>
        </w:rPr>
        <w:t>ās</w:t>
      </w:r>
      <w:r w:rsidR="001C0133">
        <w:rPr>
          <w:rFonts w:cs="Times New Roman"/>
          <w:color w:val="000000" w:themeColor="text1"/>
          <w:szCs w:val="24"/>
        </w:rPr>
        <w:t xml:space="preserve"> norādes par autortiesību iegūšanu izmēģinājuma versijas veidā nav atzīstamas par tādām, kas ticami izskaidro vai pamato autortiesību iegūšanu, līdz ar to ir piemērojama Krimināl</w:t>
      </w:r>
      <w:r w:rsidR="007342FF">
        <w:rPr>
          <w:rFonts w:cs="Times New Roman"/>
          <w:color w:val="000000" w:themeColor="text1"/>
          <w:szCs w:val="24"/>
        </w:rPr>
        <w:t xml:space="preserve">procesa </w:t>
      </w:r>
      <w:r w:rsidR="001C0133">
        <w:rPr>
          <w:rFonts w:cs="Times New Roman"/>
          <w:color w:val="000000" w:themeColor="text1"/>
          <w:szCs w:val="24"/>
        </w:rPr>
        <w:t>likuma 125. panta otrajā daļā paredzētā fakta legālā prezumpcija.</w:t>
      </w:r>
    </w:p>
    <w:p w14:paraId="23CD33F1" w14:textId="34FF3C10" w:rsidR="00761DF0" w:rsidRDefault="00E5065B" w:rsidP="00EB59BC">
      <w:pPr>
        <w:widowControl w:val="0"/>
        <w:spacing w:after="0"/>
        <w:ind w:firstLine="720"/>
        <w:jc w:val="both"/>
        <w:rPr>
          <w:rFonts w:cs="Times New Roman"/>
          <w:color w:val="000000" w:themeColor="text1"/>
          <w:szCs w:val="24"/>
        </w:rPr>
      </w:pPr>
      <w:r>
        <w:rPr>
          <w:rFonts w:cs="Times New Roman"/>
          <w:color w:val="000000" w:themeColor="text1"/>
          <w:szCs w:val="24"/>
        </w:rPr>
        <w:t xml:space="preserve">Tādējādi apelācijas instances tiesas motivācija daļā par datorprogrammu </w:t>
      </w:r>
      <w:r w:rsidR="007342FF">
        <w:rPr>
          <w:rFonts w:cs="Times New Roman"/>
          <w:color w:val="000000" w:themeColor="text1"/>
          <w:szCs w:val="24"/>
        </w:rPr>
        <w:t>„</w:t>
      </w:r>
      <w:proofErr w:type="spellStart"/>
      <w:r>
        <w:rPr>
          <w:rFonts w:cs="Times New Roman"/>
          <w:color w:val="000000" w:themeColor="text1"/>
          <w:szCs w:val="24"/>
        </w:rPr>
        <w:t>SolidWorks</w:t>
      </w:r>
      <w:proofErr w:type="spellEnd"/>
      <w:r>
        <w:rPr>
          <w:rFonts w:cs="Times New Roman"/>
          <w:color w:val="000000" w:themeColor="text1"/>
          <w:szCs w:val="24"/>
        </w:rPr>
        <w:t xml:space="preserve"> </w:t>
      </w:r>
      <w:proofErr w:type="spellStart"/>
      <w:r>
        <w:rPr>
          <w:rFonts w:cs="Times New Roman"/>
          <w:color w:val="000000" w:themeColor="text1"/>
          <w:szCs w:val="24"/>
        </w:rPr>
        <w:t>Electrical</w:t>
      </w:r>
      <w:proofErr w:type="spellEnd"/>
      <w:r w:rsidR="005C5354">
        <w:rPr>
          <w:rFonts w:cs="Times New Roman"/>
          <w:color w:val="000000" w:themeColor="text1"/>
          <w:szCs w:val="24"/>
        </w:rPr>
        <w:t xml:space="preserve"> 2014” un tās izslēgšanu no apsūdzības, samazinot autortiesību īpašniekam </w:t>
      </w:r>
      <w:r w:rsidR="007342FF">
        <w:rPr>
          <w:rFonts w:cs="Times New Roman"/>
          <w:color w:val="000000" w:themeColor="text1"/>
          <w:szCs w:val="24"/>
        </w:rPr>
        <w:t>„</w:t>
      </w:r>
      <w:proofErr w:type="spellStart"/>
      <w:r w:rsidR="005C5354">
        <w:rPr>
          <w:rFonts w:cs="Times New Roman"/>
          <w:color w:val="000000" w:themeColor="text1"/>
          <w:szCs w:val="24"/>
        </w:rPr>
        <w:t>Dassault</w:t>
      </w:r>
      <w:proofErr w:type="spellEnd"/>
      <w:r w:rsidR="005C5354">
        <w:rPr>
          <w:rFonts w:cs="Times New Roman"/>
          <w:color w:val="000000" w:themeColor="text1"/>
          <w:szCs w:val="24"/>
        </w:rPr>
        <w:t xml:space="preserve"> </w:t>
      </w:r>
      <w:proofErr w:type="spellStart"/>
      <w:r w:rsidR="005C5354">
        <w:rPr>
          <w:rFonts w:cs="Times New Roman"/>
          <w:color w:val="000000" w:themeColor="text1"/>
          <w:szCs w:val="24"/>
        </w:rPr>
        <w:t>Systemes</w:t>
      </w:r>
      <w:proofErr w:type="spellEnd"/>
      <w:r w:rsidR="005C5354">
        <w:rPr>
          <w:rFonts w:cs="Times New Roman"/>
          <w:color w:val="000000" w:themeColor="text1"/>
          <w:szCs w:val="24"/>
        </w:rPr>
        <w:t xml:space="preserve"> </w:t>
      </w:r>
      <w:proofErr w:type="spellStart"/>
      <w:r w:rsidR="005C5354">
        <w:rPr>
          <w:rFonts w:cs="Times New Roman"/>
          <w:color w:val="000000" w:themeColor="text1"/>
          <w:szCs w:val="24"/>
        </w:rPr>
        <w:t>SolidWorks</w:t>
      </w:r>
      <w:proofErr w:type="spellEnd"/>
      <w:r w:rsidR="005C5354">
        <w:rPr>
          <w:rFonts w:cs="Times New Roman"/>
          <w:color w:val="000000" w:themeColor="text1"/>
          <w:szCs w:val="24"/>
        </w:rPr>
        <w:t xml:space="preserve"> </w:t>
      </w:r>
      <w:proofErr w:type="spellStart"/>
      <w:r w:rsidR="005C5354">
        <w:rPr>
          <w:rFonts w:cs="Times New Roman"/>
          <w:color w:val="000000" w:themeColor="text1"/>
          <w:szCs w:val="24"/>
        </w:rPr>
        <w:t>Corporation</w:t>
      </w:r>
      <w:proofErr w:type="spellEnd"/>
      <w:r w:rsidR="005C5354">
        <w:rPr>
          <w:rFonts w:cs="Times New Roman"/>
          <w:color w:val="000000" w:themeColor="text1"/>
          <w:szCs w:val="24"/>
        </w:rPr>
        <w:t>” nodarīto mantisko zaudējumu par 10 200</w:t>
      </w:r>
      <w:r w:rsidR="007342FF">
        <w:rPr>
          <w:rFonts w:cs="Times New Roman"/>
          <w:color w:val="000000" w:themeColor="text1"/>
          <w:szCs w:val="24"/>
        </w:rPr>
        <w:t> </w:t>
      </w:r>
      <w:proofErr w:type="spellStart"/>
      <w:r w:rsidR="005C5354">
        <w:rPr>
          <w:rFonts w:cs="Times New Roman"/>
          <w:i/>
          <w:iCs/>
          <w:color w:val="000000" w:themeColor="text1"/>
          <w:szCs w:val="24"/>
        </w:rPr>
        <w:t>euro</w:t>
      </w:r>
      <w:proofErr w:type="spellEnd"/>
      <w:r w:rsidR="005C5354">
        <w:rPr>
          <w:rFonts w:cs="Times New Roman"/>
          <w:color w:val="000000" w:themeColor="text1"/>
          <w:szCs w:val="24"/>
        </w:rPr>
        <w:t>, neatbilst Kriminālprocesa likuma 320. panta ceturtās daļas, 511. panta otrās daļas, 512. panta un 564. panta ceturtās daļas prasībām, kas novedis pie nelikumīga nolēmuma</w:t>
      </w:r>
      <w:r w:rsidR="00761DF0">
        <w:rPr>
          <w:rFonts w:cs="Times New Roman"/>
          <w:color w:val="000000" w:themeColor="text1"/>
          <w:szCs w:val="24"/>
        </w:rPr>
        <w:t xml:space="preserve"> šajā daļā.</w:t>
      </w:r>
    </w:p>
    <w:p w14:paraId="6E041AC7" w14:textId="2D451F05" w:rsidR="00AA7A3A" w:rsidRDefault="00761DF0" w:rsidP="00EB59BC">
      <w:pPr>
        <w:widowControl w:val="0"/>
        <w:spacing w:after="0"/>
        <w:ind w:firstLine="720"/>
        <w:jc w:val="both"/>
        <w:rPr>
          <w:rFonts w:cs="Times New Roman"/>
          <w:color w:val="000000" w:themeColor="text1"/>
          <w:szCs w:val="24"/>
        </w:rPr>
      </w:pPr>
      <w:r>
        <w:rPr>
          <w:rFonts w:cs="Times New Roman"/>
          <w:color w:val="000000" w:themeColor="text1"/>
          <w:szCs w:val="24"/>
        </w:rPr>
        <w:t>[6.2] </w:t>
      </w:r>
      <w:r w:rsidR="00F205FF">
        <w:rPr>
          <w:rFonts w:cs="Times New Roman"/>
          <w:color w:val="000000" w:themeColor="text1"/>
          <w:szCs w:val="24"/>
        </w:rPr>
        <w:t>Apelācijas instances tiesa nepamatoti atzinusi, ka personas saukšanai</w:t>
      </w:r>
      <w:r w:rsidR="005C5354">
        <w:rPr>
          <w:rFonts w:cs="Times New Roman"/>
          <w:color w:val="000000" w:themeColor="text1"/>
          <w:szCs w:val="24"/>
        </w:rPr>
        <w:t xml:space="preserve"> </w:t>
      </w:r>
      <w:r w:rsidR="00AA7A3A">
        <w:rPr>
          <w:rFonts w:cs="Times New Roman"/>
          <w:color w:val="000000" w:themeColor="text1"/>
          <w:szCs w:val="24"/>
        </w:rPr>
        <w:t xml:space="preserve">pie kriminālatbildības pēc Krimināllikuma 148. panta trešās daļas nepieciešams konstatēt, ka mantisks zaudējums lielā apmērā nodarīts katram autortiesību subjektam, un līdz ar to nepamatoti izslēgusi no apsūdzības datorprogrammas </w:t>
      </w:r>
      <w:r w:rsidR="007342FF">
        <w:rPr>
          <w:rFonts w:cs="Times New Roman"/>
          <w:color w:val="000000" w:themeColor="text1"/>
          <w:szCs w:val="24"/>
        </w:rPr>
        <w:t>„</w:t>
      </w:r>
      <w:r w:rsidR="00AA7A3A">
        <w:rPr>
          <w:rFonts w:cs="Times New Roman"/>
          <w:color w:val="000000" w:themeColor="text1"/>
          <w:szCs w:val="24"/>
        </w:rPr>
        <w:t xml:space="preserve">Microsoft </w:t>
      </w:r>
      <w:proofErr w:type="spellStart"/>
      <w:r w:rsidR="00AA7A3A">
        <w:rPr>
          <w:rFonts w:cs="Times New Roman"/>
          <w:color w:val="000000" w:themeColor="text1"/>
          <w:szCs w:val="24"/>
        </w:rPr>
        <w:t>Office</w:t>
      </w:r>
      <w:proofErr w:type="spellEnd"/>
      <w:r w:rsidR="00AA7A3A">
        <w:rPr>
          <w:rFonts w:cs="Times New Roman"/>
          <w:color w:val="000000" w:themeColor="text1"/>
          <w:szCs w:val="24"/>
        </w:rPr>
        <w:t xml:space="preserve"> </w:t>
      </w:r>
      <w:proofErr w:type="spellStart"/>
      <w:r w:rsidR="00AA7A3A">
        <w:rPr>
          <w:rFonts w:cs="Times New Roman"/>
          <w:color w:val="000000" w:themeColor="text1"/>
          <w:szCs w:val="24"/>
        </w:rPr>
        <w:t>Enterprise</w:t>
      </w:r>
      <w:proofErr w:type="spellEnd"/>
      <w:r w:rsidR="00AA7A3A">
        <w:rPr>
          <w:rFonts w:cs="Times New Roman"/>
          <w:color w:val="000000" w:themeColor="text1"/>
          <w:szCs w:val="24"/>
        </w:rPr>
        <w:t xml:space="preserve"> 2007” un </w:t>
      </w:r>
      <w:r w:rsidR="007342FF">
        <w:rPr>
          <w:rFonts w:cs="Times New Roman"/>
          <w:color w:val="000000" w:themeColor="text1"/>
          <w:szCs w:val="24"/>
        </w:rPr>
        <w:t>„</w:t>
      </w:r>
      <w:r w:rsidR="00AA7A3A">
        <w:rPr>
          <w:rFonts w:cs="Times New Roman"/>
          <w:color w:val="000000" w:themeColor="text1"/>
          <w:szCs w:val="24"/>
        </w:rPr>
        <w:t>Tildes Birojs 2008</w:t>
      </w:r>
      <w:r w:rsidR="00E53E11">
        <w:rPr>
          <w:rFonts w:cs="Times New Roman"/>
          <w:color w:val="000000" w:themeColor="text1"/>
          <w:szCs w:val="24"/>
        </w:rPr>
        <w:t>”</w:t>
      </w:r>
      <w:r w:rsidR="00AA7A3A">
        <w:rPr>
          <w:rFonts w:cs="Times New Roman"/>
          <w:color w:val="000000" w:themeColor="text1"/>
          <w:szCs w:val="24"/>
        </w:rPr>
        <w:t>.</w:t>
      </w:r>
      <w:r w:rsidR="00F86907">
        <w:rPr>
          <w:rFonts w:cs="Times New Roman"/>
          <w:color w:val="000000" w:themeColor="text1"/>
          <w:szCs w:val="24"/>
        </w:rPr>
        <w:t xml:space="preserve"> A</w:t>
      </w:r>
      <w:r w:rsidR="00B85022">
        <w:rPr>
          <w:rFonts w:cs="Times New Roman"/>
          <w:color w:val="000000" w:themeColor="text1"/>
          <w:szCs w:val="24"/>
        </w:rPr>
        <w:t xml:space="preserve">pelācijas instances tiesas motivācija </w:t>
      </w:r>
      <w:r w:rsidR="00F86907">
        <w:rPr>
          <w:rFonts w:cs="Times New Roman"/>
          <w:color w:val="000000" w:themeColor="text1"/>
          <w:szCs w:val="24"/>
        </w:rPr>
        <w:t xml:space="preserve">šajā </w:t>
      </w:r>
      <w:r w:rsidR="008D6D81">
        <w:rPr>
          <w:rFonts w:cs="Times New Roman"/>
          <w:color w:val="000000" w:themeColor="text1"/>
          <w:szCs w:val="24"/>
        </w:rPr>
        <w:t>daļā neatbilst Kriminālprocesa likuma 320. panta ceturtās daļas, 511. panta otrās daļas, 512. panta un 564. panta ceturtās daļas prasībām, kas novedis pie nelikumīga nolēmuma.</w:t>
      </w:r>
    </w:p>
    <w:p w14:paraId="37A4C52A" w14:textId="34F05AB4" w:rsidR="001159E4" w:rsidRDefault="00901BB5" w:rsidP="00EB59BC">
      <w:pPr>
        <w:widowControl w:val="0"/>
        <w:spacing w:after="0"/>
        <w:ind w:firstLine="720"/>
        <w:jc w:val="both"/>
        <w:rPr>
          <w:rFonts w:cs="Times New Roman"/>
          <w:color w:val="000000" w:themeColor="text1"/>
          <w:szCs w:val="24"/>
        </w:rPr>
      </w:pPr>
      <w:r>
        <w:rPr>
          <w:rFonts w:cs="Times New Roman"/>
          <w:color w:val="000000" w:themeColor="text1"/>
          <w:szCs w:val="24"/>
        </w:rPr>
        <w:t>[6.</w:t>
      </w:r>
      <w:r w:rsidR="0091532C">
        <w:rPr>
          <w:rFonts w:cs="Times New Roman"/>
          <w:color w:val="000000" w:themeColor="text1"/>
          <w:szCs w:val="24"/>
        </w:rPr>
        <w:t>3</w:t>
      </w:r>
      <w:r>
        <w:rPr>
          <w:rFonts w:cs="Times New Roman"/>
          <w:color w:val="000000" w:themeColor="text1"/>
          <w:szCs w:val="24"/>
        </w:rPr>
        <w:t>] </w:t>
      </w:r>
      <w:r w:rsidR="00C6423C">
        <w:rPr>
          <w:rFonts w:cs="Times New Roman"/>
          <w:color w:val="000000" w:themeColor="text1"/>
          <w:szCs w:val="24"/>
        </w:rPr>
        <w:t xml:space="preserve">Apelācijas instances tiesa, nosakot apsūdzētajam </w:t>
      </w:r>
      <w:r w:rsidR="00885397">
        <w:rPr>
          <w:rFonts w:cs="Times New Roman"/>
          <w:color w:val="000000" w:themeColor="text1"/>
          <w:szCs w:val="24"/>
        </w:rPr>
        <w:t>[pers. A]</w:t>
      </w:r>
      <w:r w:rsidR="00C6423C">
        <w:rPr>
          <w:rFonts w:cs="Times New Roman"/>
          <w:color w:val="000000" w:themeColor="text1"/>
          <w:szCs w:val="24"/>
        </w:rPr>
        <w:t xml:space="preserve"> pamatsodu brīvības atņemšanu uz 3 mēnešiem nosacīti, </w:t>
      </w:r>
      <w:r w:rsidR="00B13170">
        <w:rPr>
          <w:rFonts w:cs="Times New Roman"/>
          <w:color w:val="000000" w:themeColor="text1"/>
          <w:szCs w:val="24"/>
        </w:rPr>
        <w:t>nepareizi piemērojusi Krimināllikuma 55. panta pirmo daļu, kas gan noziedzīgā nodarījuma izdarīšanas laikā, gan šobrīd noteic, ka</w:t>
      </w:r>
      <w:r w:rsidR="001159E4">
        <w:rPr>
          <w:rFonts w:cs="Times New Roman"/>
          <w:color w:val="000000" w:themeColor="text1"/>
          <w:szCs w:val="24"/>
        </w:rPr>
        <w:t xml:space="preserve"> vainīgo var notiesāt nosacīti, ja brīvības atņemšanas sods tiek noteikts uz laiku, kas ilgāks par 3 mēnešiem.</w:t>
      </w:r>
    </w:p>
    <w:p w14:paraId="16237C52" w14:textId="01CCB514" w:rsidR="008D6D81" w:rsidRDefault="001159E4" w:rsidP="00EB59BC">
      <w:pPr>
        <w:widowControl w:val="0"/>
        <w:spacing w:after="0"/>
        <w:ind w:firstLine="720"/>
        <w:jc w:val="both"/>
        <w:rPr>
          <w:rFonts w:cs="Times New Roman"/>
          <w:color w:val="000000" w:themeColor="text1"/>
          <w:szCs w:val="24"/>
        </w:rPr>
      </w:pPr>
      <w:r>
        <w:rPr>
          <w:rFonts w:cs="Times New Roman"/>
          <w:color w:val="000000" w:themeColor="text1"/>
          <w:szCs w:val="24"/>
        </w:rPr>
        <w:t>[6.</w:t>
      </w:r>
      <w:r w:rsidR="0091532C">
        <w:rPr>
          <w:rFonts w:cs="Times New Roman"/>
          <w:color w:val="000000" w:themeColor="text1"/>
          <w:szCs w:val="24"/>
        </w:rPr>
        <w:t>4</w:t>
      </w:r>
      <w:r>
        <w:rPr>
          <w:rFonts w:cs="Times New Roman"/>
          <w:color w:val="000000" w:themeColor="text1"/>
          <w:szCs w:val="24"/>
        </w:rPr>
        <w:t>]</w:t>
      </w:r>
      <w:r w:rsidR="006547FF">
        <w:rPr>
          <w:rFonts w:cs="Times New Roman"/>
          <w:color w:val="000000" w:themeColor="text1"/>
          <w:szCs w:val="24"/>
        </w:rPr>
        <w:t> </w:t>
      </w:r>
      <w:r w:rsidR="007C5139">
        <w:rPr>
          <w:rFonts w:cs="Times New Roman"/>
          <w:color w:val="000000" w:themeColor="text1"/>
          <w:szCs w:val="24"/>
        </w:rPr>
        <w:t>Apelācijas instances tiesa, konstatējot apsūdzētā tiesību uz kriminālprocesa pabeigšanu saprātīgā termiņā pārkāpumu, nav pamatojusi, kādēļ tas uzskatāms par tik būtisku, lai, piemērojot Krimināllikuma 49.</w:t>
      </w:r>
      <w:r w:rsidR="007C5139">
        <w:rPr>
          <w:rFonts w:cs="Times New Roman"/>
          <w:color w:val="000000" w:themeColor="text1"/>
          <w:szCs w:val="24"/>
          <w:vertAlign w:val="superscript"/>
        </w:rPr>
        <w:t>1</w:t>
      </w:r>
      <w:r w:rsidR="007C5139">
        <w:rPr>
          <w:rFonts w:cs="Times New Roman"/>
          <w:color w:val="000000" w:themeColor="text1"/>
          <w:szCs w:val="24"/>
        </w:rPr>
        <w:t> panta pirmās daļas 1.</w:t>
      </w:r>
      <w:r w:rsidR="006547FF">
        <w:rPr>
          <w:rFonts w:cs="Times New Roman"/>
          <w:color w:val="000000" w:themeColor="text1"/>
          <w:szCs w:val="24"/>
        </w:rPr>
        <w:t> </w:t>
      </w:r>
      <w:r w:rsidR="007C5139">
        <w:rPr>
          <w:rFonts w:cs="Times New Roman"/>
          <w:color w:val="000000" w:themeColor="text1"/>
          <w:szCs w:val="24"/>
        </w:rPr>
        <w:t>punktu, samazinātu apsūdzētajam noteikto brīvības atņemšanas sodu</w:t>
      </w:r>
      <w:r w:rsidR="00240DB9">
        <w:rPr>
          <w:rFonts w:cs="Times New Roman"/>
          <w:color w:val="000000" w:themeColor="text1"/>
          <w:szCs w:val="24"/>
        </w:rPr>
        <w:t xml:space="preserve"> līdz Krimināllikuma 148. panta trešās daļas sankcijā paredzētā brīvības atņemšanas soda minimālajai robežai.</w:t>
      </w:r>
      <w:r w:rsidR="007C5139">
        <w:rPr>
          <w:rFonts w:cs="Times New Roman"/>
          <w:color w:val="000000" w:themeColor="text1"/>
          <w:szCs w:val="24"/>
        </w:rPr>
        <w:t xml:space="preserve"> </w:t>
      </w:r>
      <w:r w:rsidR="00240DB9">
        <w:rPr>
          <w:rFonts w:cs="Times New Roman"/>
          <w:color w:val="000000" w:themeColor="text1"/>
          <w:szCs w:val="24"/>
        </w:rPr>
        <w:t>Tāpat tiesa nav izvērtējusi, vai šāds sods sasniegs Krimināllikuma 35. pantā norādīto soda mērķi.</w:t>
      </w:r>
    </w:p>
    <w:p w14:paraId="42C2149F" w14:textId="77777777" w:rsidR="008D6D81" w:rsidRDefault="008D6D81" w:rsidP="00EB59BC">
      <w:pPr>
        <w:widowControl w:val="0"/>
        <w:spacing w:after="0"/>
        <w:ind w:firstLine="720"/>
        <w:jc w:val="both"/>
        <w:rPr>
          <w:rFonts w:cs="Times New Roman"/>
          <w:color w:val="000000" w:themeColor="text1"/>
          <w:szCs w:val="24"/>
        </w:rPr>
      </w:pPr>
    </w:p>
    <w:p w14:paraId="0AA8F755" w14:textId="55C39714" w:rsidR="008D6D81" w:rsidRDefault="008D6D81" w:rsidP="00EB59BC">
      <w:pPr>
        <w:widowControl w:val="0"/>
        <w:spacing w:after="0"/>
        <w:ind w:firstLine="720"/>
        <w:jc w:val="both"/>
        <w:rPr>
          <w:rFonts w:cs="Times New Roman"/>
          <w:color w:val="000000" w:themeColor="text1"/>
          <w:szCs w:val="24"/>
        </w:rPr>
      </w:pPr>
      <w:r>
        <w:rPr>
          <w:rFonts w:cs="Times New Roman"/>
          <w:color w:val="000000" w:themeColor="text1"/>
          <w:szCs w:val="24"/>
        </w:rPr>
        <w:t>[7]</w:t>
      </w:r>
      <w:r w:rsidR="006547FF">
        <w:rPr>
          <w:rFonts w:cs="Times New Roman"/>
          <w:color w:val="000000" w:themeColor="text1"/>
          <w:szCs w:val="24"/>
        </w:rPr>
        <w:t> </w:t>
      </w:r>
      <w:r>
        <w:rPr>
          <w:rFonts w:cs="Times New Roman"/>
          <w:color w:val="000000" w:themeColor="text1"/>
          <w:szCs w:val="24"/>
        </w:rPr>
        <w:t xml:space="preserve">Par Rīgas apgabaltiesas 2022. gada 9. maija spriedumu apsūdzētā </w:t>
      </w:r>
      <w:r w:rsidR="00885397">
        <w:rPr>
          <w:rFonts w:cs="Times New Roman"/>
          <w:color w:val="000000" w:themeColor="text1"/>
          <w:szCs w:val="24"/>
        </w:rPr>
        <w:t>[pers. A]</w:t>
      </w:r>
      <w:r>
        <w:rPr>
          <w:rFonts w:cs="Times New Roman"/>
          <w:color w:val="000000" w:themeColor="text1"/>
          <w:szCs w:val="24"/>
        </w:rPr>
        <w:t xml:space="preserve"> aizstāvis M. Grudulis iesniedzis kasācijas sūdzību, kurā lūdz atcelt tiesas spriedumu pilnībā un nosūtīt lietu jaunai izskatīšanai apelācijas instances tiesā.</w:t>
      </w:r>
    </w:p>
    <w:p w14:paraId="295F7927" w14:textId="33099D4C" w:rsidR="008D6D81" w:rsidRDefault="008D6D81" w:rsidP="00EB59BC">
      <w:pPr>
        <w:widowControl w:val="0"/>
        <w:spacing w:after="0"/>
        <w:ind w:firstLine="720"/>
        <w:jc w:val="both"/>
        <w:rPr>
          <w:rFonts w:cs="Times New Roman"/>
          <w:color w:val="000000" w:themeColor="text1"/>
          <w:szCs w:val="24"/>
        </w:rPr>
      </w:pPr>
      <w:r>
        <w:rPr>
          <w:rFonts w:cs="Times New Roman"/>
          <w:color w:val="000000" w:themeColor="text1"/>
          <w:szCs w:val="24"/>
        </w:rPr>
        <w:t>Savu lūgumu aizstāvis pamatojis ar šādiem argumentiem.</w:t>
      </w:r>
    </w:p>
    <w:p w14:paraId="5636AC13" w14:textId="17E94D53" w:rsidR="008D6D81" w:rsidRDefault="008D6D81" w:rsidP="00EB59BC">
      <w:pPr>
        <w:widowControl w:val="0"/>
        <w:spacing w:after="0"/>
        <w:ind w:firstLine="720"/>
        <w:jc w:val="both"/>
        <w:rPr>
          <w:rFonts w:cs="Times New Roman"/>
          <w:color w:val="000000" w:themeColor="text1"/>
          <w:szCs w:val="24"/>
        </w:rPr>
      </w:pPr>
      <w:r>
        <w:rPr>
          <w:rFonts w:cs="Times New Roman"/>
          <w:color w:val="000000" w:themeColor="text1"/>
          <w:szCs w:val="24"/>
        </w:rPr>
        <w:t>[7.1] </w:t>
      </w:r>
      <w:r w:rsidR="00237133">
        <w:rPr>
          <w:rFonts w:cs="Times New Roman"/>
          <w:color w:val="000000" w:themeColor="text1"/>
          <w:szCs w:val="24"/>
        </w:rPr>
        <w:t>Lietā nav pierādīta inkriminētā noziedzīgā nodarījuma objektīvā puse.</w:t>
      </w:r>
    </w:p>
    <w:p w14:paraId="4199FFB0" w14:textId="10383C24" w:rsidR="00237133" w:rsidRDefault="00237133" w:rsidP="00EB59BC">
      <w:pPr>
        <w:widowControl w:val="0"/>
        <w:spacing w:after="0"/>
        <w:ind w:firstLine="720"/>
        <w:jc w:val="both"/>
        <w:rPr>
          <w:rFonts w:cs="Times New Roman"/>
          <w:color w:val="000000" w:themeColor="text1"/>
          <w:szCs w:val="24"/>
        </w:rPr>
      </w:pPr>
      <w:r>
        <w:rPr>
          <w:rFonts w:cs="Times New Roman"/>
          <w:color w:val="000000" w:themeColor="text1"/>
          <w:szCs w:val="24"/>
        </w:rPr>
        <w:t>Atbilstoši tiesas sniegtajam pierādītā noziedzīgā nodarījuma aprakstam inkrimin</w:t>
      </w:r>
      <w:r w:rsidR="009231F5">
        <w:rPr>
          <w:rFonts w:cs="Times New Roman"/>
          <w:color w:val="000000" w:themeColor="text1"/>
          <w:szCs w:val="24"/>
        </w:rPr>
        <w:t>ē</w:t>
      </w:r>
      <w:r>
        <w:rPr>
          <w:rFonts w:cs="Times New Roman"/>
          <w:color w:val="000000" w:themeColor="text1"/>
          <w:szCs w:val="24"/>
        </w:rPr>
        <w:t>tā noziedzīgā nodarījuma objektīvā puse izpaudusies</w:t>
      </w:r>
      <w:r w:rsidR="009231F5">
        <w:rPr>
          <w:rFonts w:cs="Times New Roman"/>
          <w:color w:val="000000" w:themeColor="text1"/>
          <w:szCs w:val="24"/>
        </w:rPr>
        <w:t xml:space="preserve"> tādējādi, ka apsūdzētais </w:t>
      </w:r>
      <w:r w:rsidR="00885397">
        <w:rPr>
          <w:rFonts w:cs="Times New Roman"/>
          <w:color w:val="000000" w:themeColor="text1"/>
          <w:szCs w:val="24"/>
        </w:rPr>
        <w:t>[pers. A]</w:t>
      </w:r>
      <w:r>
        <w:rPr>
          <w:rFonts w:cs="Times New Roman"/>
          <w:color w:val="000000" w:themeColor="text1"/>
          <w:szCs w:val="24"/>
        </w:rPr>
        <w:t xml:space="preserve"> kā SIA</w:t>
      </w:r>
      <w:r w:rsidR="00FF17B1">
        <w:rPr>
          <w:rFonts w:cs="Times New Roman"/>
          <w:color w:val="000000" w:themeColor="text1"/>
          <w:szCs w:val="24"/>
        </w:rPr>
        <w:t> „</w:t>
      </w:r>
      <w:r w:rsidR="00885397">
        <w:rPr>
          <w:rFonts w:cs="Times New Roman"/>
          <w:color w:val="000000" w:themeColor="text1"/>
          <w:szCs w:val="24"/>
        </w:rPr>
        <w:t>[Nosaukums A]</w:t>
      </w:r>
      <w:r>
        <w:rPr>
          <w:rFonts w:cs="Times New Roman"/>
          <w:color w:val="000000" w:themeColor="text1"/>
          <w:szCs w:val="24"/>
        </w:rPr>
        <w:t>” atbildīgā amatpersona</w:t>
      </w:r>
      <w:r w:rsidR="0059039F">
        <w:rPr>
          <w:rFonts w:cs="Times New Roman"/>
          <w:color w:val="000000" w:themeColor="text1"/>
          <w:szCs w:val="24"/>
        </w:rPr>
        <w:t xml:space="preserve"> </w:t>
      </w:r>
      <w:r w:rsidR="009231F5">
        <w:rPr>
          <w:rFonts w:cs="Times New Roman"/>
          <w:color w:val="000000" w:themeColor="text1"/>
          <w:szCs w:val="24"/>
        </w:rPr>
        <w:t>apzināti pārkāpa datorprogrammu reproducēšanas kārtību, nenodrošinot SIA</w:t>
      </w:r>
      <w:r w:rsidR="00FF17B1">
        <w:rPr>
          <w:rFonts w:cs="Times New Roman"/>
          <w:color w:val="000000" w:themeColor="text1"/>
          <w:szCs w:val="24"/>
        </w:rPr>
        <w:t> „</w:t>
      </w:r>
      <w:r w:rsidR="00885397">
        <w:rPr>
          <w:rFonts w:cs="Times New Roman"/>
          <w:color w:val="000000" w:themeColor="text1"/>
          <w:szCs w:val="24"/>
        </w:rPr>
        <w:t>[Nosaukums A]</w:t>
      </w:r>
      <w:r w:rsidR="009231F5">
        <w:rPr>
          <w:rFonts w:cs="Times New Roman"/>
          <w:color w:val="000000" w:themeColor="text1"/>
          <w:szCs w:val="24"/>
        </w:rPr>
        <w:t>” datorsistēmas ar uzņēmējdarbības veikšanai nepieciešamajām licencētajām datorprogrammām un apzināti nododot SIA</w:t>
      </w:r>
      <w:r w:rsidR="00FF17B1">
        <w:rPr>
          <w:rFonts w:cs="Times New Roman"/>
          <w:color w:val="000000" w:themeColor="text1"/>
          <w:szCs w:val="24"/>
        </w:rPr>
        <w:t> „</w:t>
      </w:r>
      <w:r w:rsidR="00885397">
        <w:rPr>
          <w:rFonts w:cs="Times New Roman"/>
          <w:color w:val="000000" w:themeColor="text1"/>
          <w:szCs w:val="24"/>
        </w:rPr>
        <w:t>[Nosaukums </w:t>
      </w:r>
      <w:r w:rsidR="00885397">
        <w:t>A]</w:t>
      </w:r>
      <w:r w:rsidR="009231F5">
        <w:rPr>
          <w:rFonts w:cs="Times New Roman"/>
          <w:color w:val="000000" w:themeColor="text1"/>
          <w:szCs w:val="24"/>
        </w:rPr>
        <w:t>” darbiniekiem lietošanai datorsistēmas, kurās tika reproducētas (uzglabātas elektroniskā veidā) datorprogrammas bez tiesiskā īpašnieka atļaujas.</w:t>
      </w:r>
    </w:p>
    <w:p w14:paraId="02214568" w14:textId="7CB528DA" w:rsidR="00C522B1" w:rsidRDefault="0059039F" w:rsidP="00EB59BC">
      <w:pPr>
        <w:widowControl w:val="0"/>
        <w:spacing w:after="0"/>
        <w:ind w:firstLine="720"/>
        <w:jc w:val="both"/>
        <w:rPr>
          <w:rFonts w:cs="Times New Roman"/>
          <w:color w:val="000000" w:themeColor="text1"/>
          <w:szCs w:val="24"/>
        </w:rPr>
      </w:pPr>
      <w:r>
        <w:rPr>
          <w:rFonts w:cs="Times New Roman"/>
          <w:color w:val="000000" w:themeColor="text1"/>
          <w:szCs w:val="24"/>
        </w:rPr>
        <w:t>Ievērojot juridiskajā literatūrā pausto atziņu, ka autortiesību pārkāpšana – autortiesību</w:t>
      </w:r>
      <w:r w:rsidR="00692785">
        <w:rPr>
          <w:rFonts w:cs="Times New Roman"/>
          <w:color w:val="000000" w:themeColor="text1"/>
          <w:szCs w:val="24"/>
        </w:rPr>
        <w:t xml:space="preserve"> objekta</w:t>
      </w:r>
      <w:r>
        <w:rPr>
          <w:rFonts w:cs="Times New Roman"/>
          <w:color w:val="000000" w:themeColor="text1"/>
          <w:szCs w:val="24"/>
        </w:rPr>
        <w:t xml:space="preserve"> reproducēšana – raksturojas ar darbību, tiesas secinājums, ka apsūdzētais ir izdarījis inkriminēto noziedzīgo nodarījumu, nenodrošinot SIA</w:t>
      </w:r>
      <w:r w:rsidR="00E53E11">
        <w:rPr>
          <w:rFonts w:cs="Times New Roman"/>
          <w:color w:val="000000" w:themeColor="text1"/>
          <w:szCs w:val="24"/>
        </w:rPr>
        <w:t> „</w:t>
      </w:r>
      <w:r w:rsidR="00885397">
        <w:rPr>
          <w:rFonts w:cs="Times New Roman"/>
          <w:color w:val="000000" w:themeColor="text1"/>
          <w:szCs w:val="24"/>
        </w:rPr>
        <w:t>[Nosaukums </w:t>
      </w:r>
      <w:r w:rsidR="00885397">
        <w:t>A]</w:t>
      </w:r>
      <w:r>
        <w:rPr>
          <w:rFonts w:cs="Times New Roman"/>
          <w:color w:val="000000" w:themeColor="text1"/>
          <w:szCs w:val="24"/>
        </w:rPr>
        <w:t xml:space="preserve">” datorsistēmas ar uzņēmējdarbības veikšanai nepieciešamajām licencētajām datorprogrammām, neatbilst Krimināllikuma 148. pantā paredzētā noziedzīgā nodarījuma objektīvajai pusei. </w:t>
      </w:r>
      <w:r w:rsidR="00D66115">
        <w:rPr>
          <w:rFonts w:cs="Times New Roman"/>
          <w:color w:val="000000" w:themeColor="text1"/>
          <w:szCs w:val="24"/>
        </w:rPr>
        <w:t>Savukārt tiesas secinājums par to, ka apsūdzētais ir izdarījis inkriminēto noziedzīgo nodarījumu, apzināti nododot SIA</w:t>
      </w:r>
      <w:r w:rsidR="00E53E11">
        <w:rPr>
          <w:rFonts w:cs="Times New Roman"/>
          <w:color w:val="000000" w:themeColor="text1"/>
          <w:szCs w:val="24"/>
        </w:rPr>
        <w:t> „</w:t>
      </w:r>
      <w:r w:rsidR="00885397">
        <w:rPr>
          <w:rFonts w:cs="Times New Roman"/>
          <w:color w:val="000000" w:themeColor="text1"/>
          <w:szCs w:val="24"/>
        </w:rPr>
        <w:t>[Nosaukums </w:t>
      </w:r>
      <w:r w:rsidR="00885397">
        <w:t>A]</w:t>
      </w:r>
      <w:r w:rsidR="00D66115">
        <w:rPr>
          <w:rFonts w:cs="Times New Roman"/>
          <w:color w:val="000000" w:themeColor="text1"/>
          <w:szCs w:val="24"/>
        </w:rPr>
        <w:t>” darbiniekiem lietošanai datorsistēmas, kurās tika reproducētas (uzglabātas elektroniskā veidā) datorprogrammas bez tiesiskā īpašnieka atļaujas, ir nekonkrēts, jo no tā nav saprotams, vai datorsistēmu apzināta nodošana SIA</w:t>
      </w:r>
      <w:r w:rsidR="002213FE">
        <w:rPr>
          <w:rFonts w:cs="Times New Roman"/>
          <w:color w:val="000000" w:themeColor="text1"/>
          <w:szCs w:val="24"/>
        </w:rPr>
        <w:t> „</w:t>
      </w:r>
      <w:r w:rsidR="00885397">
        <w:rPr>
          <w:rFonts w:cs="Times New Roman"/>
          <w:color w:val="000000" w:themeColor="text1"/>
          <w:szCs w:val="24"/>
        </w:rPr>
        <w:t>[Nosaukums </w:t>
      </w:r>
      <w:r w:rsidR="00885397">
        <w:t>A]</w:t>
      </w:r>
      <w:r w:rsidR="00D66115">
        <w:rPr>
          <w:rFonts w:cs="Times New Roman"/>
          <w:color w:val="000000" w:themeColor="text1"/>
          <w:szCs w:val="24"/>
        </w:rPr>
        <w:t xml:space="preserve">” darbiniekiem lietošanai </w:t>
      </w:r>
      <w:r w:rsidR="00C32E6A">
        <w:rPr>
          <w:rFonts w:cs="Times New Roman"/>
          <w:color w:val="000000" w:themeColor="text1"/>
          <w:szCs w:val="24"/>
        </w:rPr>
        <w:t>tika veikta pirms vai pēc datorprogrammu nelikumīgas reproducēšanas. Gadījumā, ja tiek konstatēta datorsistēmu nodošana bez nelikumīgi reproducētām datorprogrammām, nav pamata atzīt, ka apsūdzētais ar savām darbībām ir izdarījis Krimināllikuma 148. pantā paredzēto noziedzīgo nodarījumu. Savukārt gadījumā, ja datorsistēmas tika nodotas ar jau reproducētām datorprogrammām, ir jāizvērtē, vai nodošanas brīdī apsūdzētais zināja vai viņam vajadzēja zināt, ka datorsistēmās atrodas nelikumīgi reproducētas datorprogrammas. Tiesas spriedumā nav norādīti pierādījumi, kas pamatotu tiesas atzinumus šajā daļā.</w:t>
      </w:r>
    </w:p>
    <w:p w14:paraId="3FBAD91C" w14:textId="2ED6BD74" w:rsidR="002B1E8C" w:rsidRDefault="00C522B1" w:rsidP="00EB59BC">
      <w:pPr>
        <w:widowControl w:val="0"/>
        <w:spacing w:after="0"/>
        <w:ind w:firstLine="720"/>
        <w:jc w:val="both"/>
        <w:rPr>
          <w:rFonts w:cs="Times New Roman"/>
          <w:color w:val="000000" w:themeColor="text1"/>
          <w:szCs w:val="24"/>
        </w:rPr>
      </w:pPr>
      <w:r>
        <w:rPr>
          <w:rFonts w:cs="Times New Roman"/>
          <w:color w:val="000000" w:themeColor="text1"/>
          <w:szCs w:val="24"/>
        </w:rPr>
        <w:t xml:space="preserve">Turklāt tiesas sniegtajā pierādītā noziedzīgā nodarījuma aprakstā un sprieduma motīvu daļā ir izklāstītas pretrunīgas atziņas par to, vai apsūdzētais </w:t>
      </w:r>
      <w:r w:rsidR="00885397">
        <w:rPr>
          <w:rFonts w:cs="Times New Roman"/>
          <w:color w:val="000000" w:themeColor="text1"/>
          <w:szCs w:val="24"/>
        </w:rPr>
        <w:t>[pers. A]</w:t>
      </w:r>
      <w:r>
        <w:rPr>
          <w:rFonts w:cs="Times New Roman"/>
          <w:color w:val="000000" w:themeColor="text1"/>
          <w:szCs w:val="24"/>
        </w:rPr>
        <w:t xml:space="preserve"> nodeva SIA</w:t>
      </w:r>
      <w:r w:rsidR="002213FE">
        <w:rPr>
          <w:rFonts w:cs="Times New Roman"/>
          <w:color w:val="000000" w:themeColor="text1"/>
          <w:szCs w:val="24"/>
        </w:rPr>
        <w:t> „</w:t>
      </w:r>
      <w:r w:rsidR="00885397">
        <w:rPr>
          <w:rFonts w:cs="Times New Roman"/>
          <w:color w:val="000000" w:themeColor="text1"/>
          <w:szCs w:val="24"/>
        </w:rPr>
        <w:t>[Nosaukums </w:t>
      </w:r>
      <w:r w:rsidR="00885397">
        <w:t>A]</w:t>
      </w:r>
      <w:r>
        <w:rPr>
          <w:rFonts w:cs="Times New Roman"/>
          <w:color w:val="000000" w:themeColor="text1"/>
          <w:szCs w:val="24"/>
        </w:rPr>
        <w:t xml:space="preserve">” darbiniekiem lietošanai datorsistēmas vai datorprogrammas. Arī sprieduma motīvu daļā pausti pretrunīgi atzinumi par to, vai apsūdzētais autortiesību pārkāpumu </w:t>
      </w:r>
      <w:r w:rsidR="002B1E8C">
        <w:rPr>
          <w:rFonts w:cs="Times New Roman"/>
          <w:color w:val="000000" w:themeColor="text1"/>
          <w:szCs w:val="24"/>
        </w:rPr>
        <w:t>izdarījis ar darbību vai bezdarbību. S</w:t>
      </w:r>
      <w:r>
        <w:rPr>
          <w:rFonts w:cs="Times New Roman"/>
          <w:color w:val="000000" w:themeColor="text1"/>
          <w:szCs w:val="24"/>
        </w:rPr>
        <w:t>avukārt pretrunīgs spriedums nevar tikt atzīts par tiesisku un pamatotu Kriminālprocesa likuma 511. panta otrās daļas izpratnē.</w:t>
      </w:r>
    </w:p>
    <w:p w14:paraId="4B06845E" w14:textId="1ED7EA3D" w:rsidR="002B1E8C" w:rsidRDefault="002B1E8C" w:rsidP="00EB59BC">
      <w:pPr>
        <w:widowControl w:val="0"/>
        <w:spacing w:after="0"/>
        <w:ind w:firstLine="720"/>
        <w:jc w:val="both"/>
        <w:rPr>
          <w:rFonts w:cs="Times New Roman"/>
          <w:color w:val="000000" w:themeColor="text1"/>
          <w:szCs w:val="24"/>
        </w:rPr>
      </w:pPr>
      <w:r>
        <w:rPr>
          <w:rFonts w:cs="Times New Roman"/>
          <w:color w:val="000000" w:themeColor="text1"/>
          <w:szCs w:val="24"/>
        </w:rPr>
        <w:t>[7.2]</w:t>
      </w:r>
      <w:r w:rsidR="002213FE">
        <w:rPr>
          <w:rFonts w:cs="Times New Roman"/>
          <w:color w:val="000000" w:themeColor="text1"/>
          <w:szCs w:val="24"/>
        </w:rPr>
        <w:t> </w:t>
      </w:r>
      <w:r w:rsidR="007331E3">
        <w:rPr>
          <w:rFonts w:cs="Times New Roman"/>
          <w:color w:val="000000" w:themeColor="text1"/>
          <w:szCs w:val="24"/>
        </w:rPr>
        <w:t>Tiesa nepareizi interpretējusi reproducēšanas jēdzienu.</w:t>
      </w:r>
    </w:p>
    <w:p w14:paraId="217A1D8E" w14:textId="2949F11C" w:rsidR="00226648" w:rsidRPr="00692785" w:rsidRDefault="00485B9F" w:rsidP="00EB59BC">
      <w:pPr>
        <w:widowControl w:val="0"/>
        <w:spacing w:after="0"/>
        <w:ind w:firstLine="720"/>
        <w:jc w:val="both"/>
        <w:rPr>
          <w:rFonts w:ascii="TimesNewRomanPSMT" w:hAnsi="TimesNewRomanPSMT" w:cs="TimesNewRomanPSMT"/>
          <w:szCs w:val="24"/>
        </w:rPr>
      </w:pPr>
      <w:r>
        <w:rPr>
          <w:rFonts w:cs="Times New Roman"/>
          <w:color w:val="000000" w:themeColor="text1"/>
          <w:szCs w:val="24"/>
        </w:rPr>
        <w:t>Senāts 2021. gada 21. septembra lēmumā šajā lietā ir norādījis, ka izvērtējot, vai apsūdzētais ir veicis datorprogrammu reproducēšanu bez autortiesību subjekta atļaujas</w:t>
      </w:r>
      <w:r w:rsidR="00226648">
        <w:rPr>
          <w:rFonts w:cs="Times New Roman"/>
          <w:color w:val="000000" w:themeColor="text1"/>
          <w:szCs w:val="24"/>
        </w:rPr>
        <w:t xml:space="preserve">, jāņem vērā datorprogrammu reproducēšanas jēdziens, kāds tas noteikts </w:t>
      </w:r>
      <w:r w:rsidR="00692785">
        <w:rPr>
          <w:rFonts w:ascii="TimesNewRomanPSMT" w:hAnsi="TimesNewRomanPSMT" w:cs="TimesNewRomanPSMT"/>
          <w:szCs w:val="24"/>
        </w:rPr>
        <w:t xml:space="preserve">Eiropas Parlamenta un Padomes 2009. gada 23. aprīļa Direktīvas 2009/24/EK par datorprogrammu tiesisko aizsardzību </w:t>
      </w:r>
      <w:proofErr w:type="gramStart"/>
      <w:r w:rsidR="00692785">
        <w:rPr>
          <w:rFonts w:ascii="TimesNewRomanPSMT" w:hAnsi="TimesNewRomanPSMT" w:cs="TimesNewRomanPSMT"/>
          <w:szCs w:val="24"/>
        </w:rPr>
        <w:t>(</w:t>
      </w:r>
      <w:proofErr w:type="gramEnd"/>
      <w:r w:rsidR="00692785">
        <w:rPr>
          <w:rFonts w:ascii="TimesNewRomanPSMT" w:hAnsi="TimesNewRomanPSMT" w:cs="TimesNewRomanPSMT"/>
          <w:szCs w:val="24"/>
        </w:rPr>
        <w:t>turpmāk –</w:t>
      </w:r>
      <w:r w:rsidR="00692785">
        <w:rPr>
          <w:rFonts w:cs="Times New Roman"/>
          <w:color w:val="000000" w:themeColor="text1"/>
          <w:szCs w:val="24"/>
        </w:rPr>
        <w:t xml:space="preserve"> </w:t>
      </w:r>
      <w:r w:rsidR="00226648">
        <w:rPr>
          <w:rFonts w:cs="Times New Roman"/>
          <w:color w:val="000000" w:themeColor="text1"/>
          <w:szCs w:val="24"/>
        </w:rPr>
        <w:t>Direktīva 2009/24/EK</w:t>
      </w:r>
      <w:r w:rsidR="00692785">
        <w:rPr>
          <w:rFonts w:cs="Times New Roman"/>
          <w:color w:val="000000" w:themeColor="text1"/>
          <w:szCs w:val="24"/>
        </w:rPr>
        <w:t>)</w:t>
      </w:r>
      <w:r w:rsidR="00226648">
        <w:rPr>
          <w:rFonts w:cs="Times New Roman"/>
          <w:color w:val="000000" w:themeColor="text1"/>
          <w:szCs w:val="24"/>
        </w:rPr>
        <w:t xml:space="preserve"> 4. panta 1. punkta a</w:t>
      </w:r>
      <w:r w:rsidR="009C1AE9">
        <w:rPr>
          <w:rFonts w:cs="Times New Roman"/>
          <w:color w:val="000000" w:themeColor="text1"/>
          <w:szCs w:val="24"/>
        </w:rPr>
        <w:t>)</w:t>
      </w:r>
      <w:r w:rsidR="00226648">
        <w:rPr>
          <w:rFonts w:cs="Times New Roman"/>
          <w:color w:val="000000" w:themeColor="text1"/>
          <w:szCs w:val="24"/>
        </w:rPr>
        <w:t xml:space="preserve"> apakšpunktā. </w:t>
      </w:r>
      <w:r w:rsidR="007B0C72">
        <w:rPr>
          <w:rFonts w:cs="Times New Roman"/>
          <w:color w:val="000000" w:themeColor="text1"/>
          <w:szCs w:val="24"/>
        </w:rPr>
        <w:t xml:space="preserve">Šī Direktīvas </w:t>
      </w:r>
      <w:r w:rsidR="002213FE">
        <w:rPr>
          <w:rFonts w:cs="Times New Roman"/>
          <w:color w:val="000000" w:themeColor="text1"/>
          <w:szCs w:val="24"/>
        </w:rPr>
        <w:t xml:space="preserve">2009/24/EK </w:t>
      </w:r>
      <w:r w:rsidR="007B0C72">
        <w:rPr>
          <w:rFonts w:cs="Times New Roman"/>
          <w:color w:val="000000" w:themeColor="text1"/>
          <w:szCs w:val="24"/>
        </w:rPr>
        <w:t>norma paredz, ka tiesību īpašnieka ekskluzīvajās tiesībās ietilpst tiesības uz šādu rīcību vai tiesības atļaut šādu rīcību: uz visiem laikiem vai uz laiku pavairot datorprogrammu ar visiem līdzekļiem un visās formās, pa daļai vai kopumā. Ciktāl datorprogrammas uzlādēšana, demonstrācija, lietošana, pārraidīšana vai glabāšana prasa to pavairot, šādu rīcību sankcionē tiesību īpašnieks.</w:t>
      </w:r>
    </w:p>
    <w:p w14:paraId="103EBB6D" w14:textId="06AA461D" w:rsidR="004762B5" w:rsidRDefault="006D3437" w:rsidP="00EB59BC">
      <w:pPr>
        <w:widowControl w:val="0"/>
        <w:spacing w:after="0"/>
        <w:ind w:firstLine="720"/>
        <w:jc w:val="both"/>
        <w:rPr>
          <w:rFonts w:cs="Times New Roman"/>
          <w:color w:val="000000" w:themeColor="text1"/>
          <w:szCs w:val="24"/>
        </w:rPr>
      </w:pPr>
      <w:r>
        <w:rPr>
          <w:rFonts w:cs="Times New Roman"/>
          <w:color w:val="000000" w:themeColor="text1"/>
          <w:szCs w:val="24"/>
        </w:rPr>
        <w:t>Tādējādi Direktīvas</w:t>
      </w:r>
      <w:r w:rsidR="00692785">
        <w:rPr>
          <w:rFonts w:cs="Times New Roman"/>
          <w:color w:val="000000" w:themeColor="text1"/>
          <w:szCs w:val="24"/>
        </w:rPr>
        <w:t xml:space="preserve"> </w:t>
      </w:r>
      <w:r w:rsidR="00586028">
        <w:rPr>
          <w:rFonts w:cs="Times New Roman"/>
          <w:color w:val="000000" w:themeColor="text1"/>
          <w:szCs w:val="24"/>
        </w:rPr>
        <w:t>2009/24/EK</w:t>
      </w:r>
      <w:r>
        <w:rPr>
          <w:rFonts w:cs="Times New Roman"/>
          <w:color w:val="000000" w:themeColor="text1"/>
          <w:szCs w:val="24"/>
        </w:rPr>
        <w:t xml:space="preserve"> 4. panta 1. punkta a</w:t>
      </w:r>
      <w:r w:rsidR="009C1AE9">
        <w:rPr>
          <w:rFonts w:cs="Times New Roman"/>
          <w:color w:val="000000" w:themeColor="text1"/>
          <w:szCs w:val="24"/>
        </w:rPr>
        <w:t>)</w:t>
      </w:r>
      <w:r>
        <w:rPr>
          <w:rFonts w:cs="Times New Roman"/>
          <w:color w:val="000000" w:themeColor="text1"/>
          <w:szCs w:val="24"/>
        </w:rPr>
        <w:t xml:space="preserve"> apakšpunkta pirmais teikums neattiecas uz </w:t>
      </w:r>
      <w:r w:rsidR="00885397">
        <w:rPr>
          <w:rFonts w:cs="Times New Roman"/>
          <w:color w:val="000000" w:themeColor="text1"/>
          <w:szCs w:val="24"/>
        </w:rPr>
        <w:t>[pers. A]</w:t>
      </w:r>
      <w:r>
        <w:rPr>
          <w:rFonts w:cs="Times New Roman"/>
          <w:color w:val="000000" w:themeColor="text1"/>
          <w:szCs w:val="24"/>
        </w:rPr>
        <w:t xml:space="preserve"> celto apsūdzību, </w:t>
      </w:r>
      <w:proofErr w:type="gramStart"/>
      <w:r>
        <w:rPr>
          <w:rFonts w:cs="Times New Roman"/>
          <w:color w:val="000000" w:themeColor="text1"/>
          <w:szCs w:val="24"/>
        </w:rPr>
        <w:t>jo viņam netiek</w:t>
      </w:r>
      <w:proofErr w:type="gramEnd"/>
      <w:r>
        <w:rPr>
          <w:rFonts w:cs="Times New Roman"/>
          <w:color w:val="000000" w:themeColor="text1"/>
          <w:szCs w:val="24"/>
        </w:rPr>
        <w:t xml:space="preserve"> inkriminēta datorprogrammu pavairošana. Savukārt otrā teikuma formulējums nepārprotami norāda uz to, ka tiesību īpašnieka atļauja ir jāsaņem datorprogrammu pavairošanai, bet pārējās šajā teikumā minētās darbības – </w:t>
      </w:r>
      <w:r w:rsidR="00BA0860">
        <w:rPr>
          <w:rFonts w:cs="Times New Roman"/>
          <w:color w:val="000000" w:themeColor="text1"/>
          <w:szCs w:val="24"/>
        </w:rPr>
        <w:t>uzlādēšana, demonstrācija, lietošana, pārraidīšana un glabāšana – ir rīcības veidi, kas neietilpst autortiesību īpašnieka ekskluzīvajās tiesībās. Tie ir rīcības veidi, kas ir saistīti ar nepieciešamību pavairot (reproducēt) datorprogrammu. Tieši pavairošana (reproducēšana) ir darbība, uz kuru ekskluzīvas tiesības ir autortiesību īpašniekam. Savukārt tās darbības ar datorprogrammu, kas seko reproducēšanai, piemēram, datorprogrammas lietošana, var tikt veiktas bez tiesību īpašnieka atļaujas. Arī Senāts 2021. gada 21. septembra lēmumā šajā lietā ir norādījis, ka atbilstoši Autortiesību likuma 1</w:t>
      </w:r>
      <w:r w:rsidR="004762B5">
        <w:rPr>
          <w:rFonts w:cs="Times New Roman"/>
          <w:color w:val="000000" w:themeColor="text1"/>
          <w:szCs w:val="24"/>
        </w:rPr>
        <w:t>5. panta otrās daļas 4. punktam tiesības datorprogrammu reproducēt ir vienas no autortiesību subjekta izņēmuma tiesībām, tādēļ personai, kas datorprogrammu reproducē, ir jāsaņem autortiesību subjekta atļauja saskaņā ar Autortiesību likuma 40. panta pirmo daļu. Vienlaikus, kā izriet no Autortiesību likuma 15. panta otrās daļas 4. punkta, kurā transponēta</w:t>
      </w:r>
      <w:r w:rsidR="00BC16B3">
        <w:rPr>
          <w:rFonts w:cs="Times New Roman"/>
          <w:color w:val="000000" w:themeColor="text1"/>
          <w:szCs w:val="24"/>
        </w:rPr>
        <w:t xml:space="preserve"> </w:t>
      </w:r>
      <w:r w:rsidR="004762B5">
        <w:rPr>
          <w:rFonts w:cs="Times New Roman"/>
          <w:color w:val="000000" w:themeColor="text1"/>
          <w:szCs w:val="24"/>
        </w:rPr>
        <w:t>Direktīvas 2009/24/EK 4. panta 1. punkta a</w:t>
      </w:r>
      <w:r w:rsidR="009C1AE9">
        <w:rPr>
          <w:rFonts w:cs="Times New Roman"/>
          <w:color w:val="000000" w:themeColor="text1"/>
          <w:szCs w:val="24"/>
        </w:rPr>
        <w:t>)</w:t>
      </w:r>
      <w:r w:rsidR="00BD2070">
        <w:rPr>
          <w:rFonts w:cs="Times New Roman"/>
          <w:color w:val="000000" w:themeColor="text1"/>
          <w:szCs w:val="24"/>
        </w:rPr>
        <w:t> </w:t>
      </w:r>
      <w:r w:rsidR="004762B5">
        <w:rPr>
          <w:rFonts w:cs="Times New Roman"/>
          <w:color w:val="000000" w:themeColor="text1"/>
          <w:szCs w:val="24"/>
        </w:rPr>
        <w:t>apakšpunkta norma, autortiesību subjekta atļauja ir nepieciešama arī datorprogrammas attēlošanai uz ekrāna, izmantošanai un glabāšanai, bet tikai tad, ja šo darbību veikšanai datorprogrammu bija nepieciešams reproducēt.</w:t>
      </w:r>
    </w:p>
    <w:p w14:paraId="4863EC6B" w14:textId="16A4864D" w:rsidR="00BC16B3" w:rsidRDefault="004762B5" w:rsidP="00EB59BC">
      <w:pPr>
        <w:widowControl w:val="0"/>
        <w:spacing w:after="0"/>
        <w:ind w:firstLine="720"/>
        <w:jc w:val="both"/>
        <w:rPr>
          <w:rFonts w:cs="Times New Roman"/>
          <w:color w:val="000000" w:themeColor="text1"/>
          <w:szCs w:val="24"/>
        </w:rPr>
      </w:pPr>
      <w:r>
        <w:rPr>
          <w:rFonts w:cs="Times New Roman"/>
          <w:color w:val="000000" w:themeColor="text1"/>
          <w:szCs w:val="24"/>
        </w:rPr>
        <w:t xml:space="preserve">Ievērojot to, ka </w:t>
      </w:r>
      <w:r w:rsidR="00885397">
        <w:rPr>
          <w:rFonts w:cs="Times New Roman"/>
          <w:color w:val="000000" w:themeColor="text1"/>
          <w:szCs w:val="24"/>
        </w:rPr>
        <w:t>[pers. A]</w:t>
      </w:r>
      <w:r>
        <w:rPr>
          <w:rFonts w:cs="Times New Roman"/>
          <w:color w:val="000000" w:themeColor="text1"/>
          <w:szCs w:val="24"/>
        </w:rPr>
        <w:t xml:space="preserve"> netiek inkriminēta datorprogrammu reproducēšana, atzīstams, ka viņš nav pārkāpis tiesību īpašnieka ekskluzīvās tiesības un līdz ar to nav izdarījis Krimināllikuma 148. pantā paredzētā noziedzīgā nodarījuma sastāva objektīvās puses darbības.</w:t>
      </w:r>
    </w:p>
    <w:p w14:paraId="6D05308D" w14:textId="7580F60A" w:rsidR="007B51B8" w:rsidRDefault="007B51B8" w:rsidP="00EB59BC">
      <w:pPr>
        <w:widowControl w:val="0"/>
        <w:spacing w:after="0"/>
        <w:ind w:firstLine="720"/>
        <w:jc w:val="both"/>
        <w:rPr>
          <w:rFonts w:cs="Times New Roman"/>
          <w:color w:val="000000" w:themeColor="text1"/>
          <w:szCs w:val="24"/>
        </w:rPr>
      </w:pPr>
      <w:r>
        <w:rPr>
          <w:rFonts w:cs="Times New Roman"/>
          <w:color w:val="000000" w:themeColor="text1"/>
          <w:szCs w:val="24"/>
        </w:rPr>
        <w:t>Apelācijas instances tiesa, atzīstot, ka autortiesību pārkāpumu veido jau tas vien, ka datorprogramma bez attiecīgas licences tiek uzglabāta, nepareizi interpretējusi Autortiesību likuma 1. panta 17. punktu.</w:t>
      </w:r>
    </w:p>
    <w:p w14:paraId="0EC08858" w14:textId="07C173FE" w:rsidR="00705D44" w:rsidRDefault="00BC16B3" w:rsidP="00EB59BC">
      <w:pPr>
        <w:widowControl w:val="0"/>
        <w:spacing w:after="0"/>
        <w:ind w:firstLine="720"/>
        <w:jc w:val="both"/>
        <w:rPr>
          <w:rFonts w:cs="Times New Roman"/>
          <w:color w:val="000000" w:themeColor="text1"/>
          <w:szCs w:val="24"/>
        </w:rPr>
      </w:pPr>
      <w:r>
        <w:rPr>
          <w:rFonts w:cs="Times New Roman"/>
          <w:color w:val="000000" w:themeColor="text1"/>
          <w:szCs w:val="24"/>
        </w:rPr>
        <w:t>[7.</w:t>
      </w:r>
      <w:r w:rsidR="00254803">
        <w:rPr>
          <w:rFonts w:cs="Times New Roman"/>
          <w:color w:val="000000" w:themeColor="text1"/>
          <w:szCs w:val="24"/>
        </w:rPr>
        <w:t>3</w:t>
      </w:r>
      <w:r>
        <w:rPr>
          <w:rFonts w:cs="Times New Roman"/>
          <w:color w:val="000000" w:themeColor="text1"/>
          <w:szCs w:val="24"/>
        </w:rPr>
        <w:t>]</w:t>
      </w:r>
      <w:r w:rsidR="002213FE">
        <w:rPr>
          <w:rFonts w:cs="Times New Roman"/>
          <w:color w:val="000000" w:themeColor="text1"/>
          <w:szCs w:val="24"/>
        </w:rPr>
        <w:t> </w:t>
      </w:r>
      <w:r w:rsidR="007B51B8">
        <w:rPr>
          <w:rFonts w:cs="Times New Roman"/>
          <w:color w:val="000000" w:themeColor="text1"/>
          <w:szCs w:val="24"/>
        </w:rPr>
        <w:t xml:space="preserve">Tiesa </w:t>
      </w:r>
      <w:r w:rsidR="002213FE">
        <w:rPr>
          <w:rFonts w:cs="Times New Roman"/>
          <w:color w:val="000000" w:themeColor="text1"/>
          <w:szCs w:val="24"/>
        </w:rPr>
        <w:t xml:space="preserve">apsūdzētajam </w:t>
      </w:r>
      <w:r w:rsidR="00885397">
        <w:rPr>
          <w:rFonts w:cs="Times New Roman"/>
          <w:color w:val="000000" w:themeColor="text1"/>
          <w:szCs w:val="24"/>
        </w:rPr>
        <w:t>[pers. A]</w:t>
      </w:r>
      <w:r w:rsidR="007B51B8">
        <w:rPr>
          <w:rFonts w:cs="Times New Roman"/>
          <w:color w:val="000000" w:themeColor="text1"/>
          <w:szCs w:val="24"/>
        </w:rPr>
        <w:t xml:space="preserve"> inkriminēto bezdarbību nepareizi kvalificējusi kā ilgstošu noziedzīgu nodarījumu.</w:t>
      </w:r>
    </w:p>
    <w:p w14:paraId="098E4ED0" w14:textId="05E273C4" w:rsidR="00600091" w:rsidRDefault="00017C54" w:rsidP="00EB59BC">
      <w:pPr>
        <w:widowControl w:val="0"/>
        <w:spacing w:after="0"/>
        <w:ind w:firstLine="720"/>
        <w:jc w:val="both"/>
        <w:rPr>
          <w:rFonts w:cs="Times New Roman"/>
          <w:color w:val="000000" w:themeColor="text1"/>
          <w:szCs w:val="24"/>
        </w:rPr>
      </w:pPr>
      <w:r>
        <w:rPr>
          <w:rFonts w:cs="Times New Roman"/>
          <w:color w:val="000000" w:themeColor="text1"/>
          <w:szCs w:val="24"/>
        </w:rPr>
        <w:t>T</w:t>
      </w:r>
      <w:r w:rsidR="00A346E4">
        <w:rPr>
          <w:rFonts w:cs="Times New Roman"/>
          <w:color w:val="000000" w:themeColor="text1"/>
          <w:szCs w:val="24"/>
        </w:rPr>
        <w:t>iesas secinājums, ka apsūdzētajam inkriminētais noziedzīgais nodarījums atzīstams par ilgstošu, ir pretrunā a</w:t>
      </w:r>
      <w:r w:rsidR="00600091">
        <w:rPr>
          <w:rFonts w:cs="Times New Roman"/>
          <w:color w:val="000000" w:themeColor="text1"/>
          <w:szCs w:val="24"/>
        </w:rPr>
        <w:t>r Krimināllikuma 23. panta ceturtajā daļā ietverto ilgstoša noziedzīga nodarījuma izpratni. Kvalificējot apsūdzētajam inkriminētās darbības kā ilgstošu noziedzīgu nodarījumu, tiesa</w:t>
      </w:r>
      <w:r w:rsidR="00527F12">
        <w:rPr>
          <w:rFonts w:cs="Times New Roman"/>
          <w:color w:val="000000" w:themeColor="text1"/>
          <w:szCs w:val="24"/>
        </w:rPr>
        <w:t xml:space="preserve"> arī</w:t>
      </w:r>
      <w:r w:rsidR="00600091">
        <w:rPr>
          <w:rFonts w:cs="Times New Roman"/>
          <w:color w:val="000000" w:themeColor="text1"/>
          <w:szCs w:val="24"/>
        </w:rPr>
        <w:t xml:space="preserve"> nepareizi noteikusi</w:t>
      </w:r>
      <w:r w:rsidR="00527F12">
        <w:rPr>
          <w:rFonts w:cs="Times New Roman"/>
          <w:color w:val="000000" w:themeColor="text1"/>
          <w:szCs w:val="24"/>
        </w:rPr>
        <w:t>, ka</w:t>
      </w:r>
      <w:r w:rsidR="00600091">
        <w:rPr>
          <w:rFonts w:cs="Times New Roman"/>
          <w:color w:val="000000" w:themeColor="text1"/>
          <w:szCs w:val="24"/>
        </w:rPr>
        <w:t xml:space="preserve"> š</w:t>
      </w:r>
      <w:r w:rsidR="00527F12">
        <w:rPr>
          <w:rFonts w:cs="Times New Roman"/>
          <w:color w:val="000000" w:themeColor="text1"/>
          <w:szCs w:val="24"/>
        </w:rPr>
        <w:t>is</w:t>
      </w:r>
      <w:r w:rsidR="00600091">
        <w:rPr>
          <w:rFonts w:cs="Times New Roman"/>
          <w:color w:val="000000" w:themeColor="text1"/>
          <w:szCs w:val="24"/>
        </w:rPr>
        <w:t xml:space="preserve"> noziedzīg</w:t>
      </w:r>
      <w:r w:rsidR="00527F12">
        <w:rPr>
          <w:rFonts w:cs="Times New Roman"/>
          <w:color w:val="000000" w:themeColor="text1"/>
          <w:szCs w:val="24"/>
        </w:rPr>
        <w:t>ais</w:t>
      </w:r>
      <w:r w:rsidR="00600091">
        <w:rPr>
          <w:rFonts w:cs="Times New Roman"/>
          <w:color w:val="000000" w:themeColor="text1"/>
          <w:szCs w:val="24"/>
        </w:rPr>
        <w:t xml:space="preserve"> nodarījum</w:t>
      </w:r>
      <w:r w:rsidR="00527F12">
        <w:rPr>
          <w:rFonts w:cs="Times New Roman"/>
          <w:color w:val="000000" w:themeColor="text1"/>
          <w:szCs w:val="24"/>
        </w:rPr>
        <w:t xml:space="preserve">s tika </w:t>
      </w:r>
      <w:r w:rsidR="00600091">
        <w:rPr>
          <w:rFonts w:cs="Times New Roman"/>
          <w:color w:val="000000" w:themeColor="text1"/>
          <w:szCs w:val="24"/>
        </w:rPr>
        <w:t>pabeig</w:t>
      </w:r>
      <w:r w:rsidR="00527F12">
        <w:rPr>
          <w:rFonts w:cs="Times New Roman"/>
          <w:color w:val="000000" w:themeColor="text1"/>
          <w:szCs w:val="24"/>
        </w:rPr>
        <w:t>ts</w:t>
      </w:r>
      <w:r w:rsidR="00600091">
        <w:rPr>
          <w:rFonts w:cs="Times New Roman"/>
          <w:color w:val="000000" w:themeColor="text1"/>
          <w:szCs w:val="24"/>
        </w:rPr>
        <w:t xml:space="preserve"> 2015. gada 12. martā, proti, dienā, kad policijas darbinieki veica datorprogrammu legalitātes pārbaudi.</w:t>
      </w:r>
    </w:p>
    <w:p w14:paraId="3710C3E8" w14:textId="2D4B06C9" w:rsidR="00600091" w:rsidRDefault="00600091" w:rsidP="00EB59BC">
      <w:pPr>
        <w:widowControl w:val="0"/>
        <w:spacing w:after="0"/>
        <w:ind w:firstLine="720"/>
        <w:jc w:val="both"/>
        <w:rPr>
          <w:rFonts w:cs="Times New Roman"/>
          <w:color w:val="000000" w:themeColor="text1"/>
          <w:szCs w:val="24"/>
        </w:rPr>
      </w:pPr>
      <w:r>
        <w:rPr>
          <w:rFonts w:cs="Times New Roman"/>
          <w:color w:val="000000" w:themeColor="text1"/>
          <w:szCs w:val="24"/>
        </w:rPr>
        <w:t>[7.</w:t>
      </w:r>
      <w:r w:rsidR="007C422C">
        <w:rPr>
          <w:rFonts w:cs="Times New Roman"/>
          <w:color w:val="000000" w:themeColor="text1"/>
          <w:szCs w:val="24"/>
        </w:rPr>
        <w:t>4</w:t>
      </w:r>
      <w:r>
        <w:rPr>
          <w:rFonts w:cs="Times New Roman"/>
          <w:color w:val="000000" w:themeColor="text1"/>
          <w:szCs w:val="24"/>
        </w:rPr>
        <w:t>] Tiesa nepareizi piemērojusi fakta legālo prezumpciju.</w:t>
      </w:r>
    </w:p>
    <w:p w14:paraId="02D1ADE9" w14:textId="45B404D9" w:rsidR="00697E98" w:rsidRDefault="00600091" w:rsidP="00EB59BC">
      <w:pPr>
        <w:widowControl w:val="0"/>
        <w:spacing w:after="0"/>
        <w:ind w:firstLine="720"/>
        <w:jc w:val="both"/>
      </w:pPr>
      <w:r>
        <w:rPr>
          <w:rFonts w:cs="Times New Roman"/>
          <w:color w:val="000000" w:themeColor="text1"/>
          <w:szCs w:val="24"/>
        </w:rPr>
        <w:t>Tiesa nepareizi interpretējusi Kriminālprocesa likuma 125. panta otro daļu, jo fakta legālā prezumpcija izskatāmajā lietā ir attiecināma uz pārkāpuma esību, nevis uz personas vainu Krimināllikuma 148. panta izpratnē. Lietā netiek apstrīdēts, ka ir pārkāptas autortiesību īpašnieka tiesības, tomēr tas nav pietiekoši, lai pārkāpumā</w:t>
      </w:r>
      <w:r w:rsidR="00697E98">
        <w:rPr>
          <w:rFonts w:cs="Times New Roman"/>
          <w:color w:val="000000" w:themeColor="text1"/>
          <w:szCs w:val="24"/>
        </w:rPr>
        <w:t xml:space="preserve"> vainotu tieši apsūdzēto, jo lietā nav konstatēts, ka apsūdzētais ir zinājis, ka uzņēmuma datoros ir nelikumīgi instalētas datorprogrammas.</w:t>
      </w:r>
      <w:r>
        <w:rPr>
          <w:rFonts w:cs="Times New Roman"/>
          <w:color w:val="000000" w:themeColor="text1"/>
          <w:szCs w:val="24"/>
        </w:rPr>
        <w:t xml:space="preserve"> </w:t>
      </w:r>
      <w:r w:rsidR="00697E98">
        <w:rPr>
          <w:rFonts w:cs="Times New Roman"/>
          <w:color w:val="000000" w:themeColor="text1"/>
          <w:szCs w:val="24"/>
        </w:rPr>
        <w:t>Fakts, ka apsūdzētajam kā uzņēmuma valdes loceklim bija pienākums sekot līdzi uzņēmumā notiekošajam, nevar būt par pietiekamu pamatu tam, lai šī pienākuma neizpildīšanas gadījumā viņa bezdarbību kvalificētu kā noziedzīgu nodarījumu saskaņā ar Krimināllikuma 148.</w:t>
      </w:r>
      <w:r w:rsidR="00527F12">
        <w:rPr>
          <w:rFonts w:cs="Times New Roman"/>
          <w:color w:val="000000" w:themeColor="text1"/>
          <w:szCs w:val="24"/>
        </w:rPr>
        <w:t> </w:t>
      </w:r>
      <w:r w:rsidR="00697E98">
        <w:t>pantu. Krimināllikuma 148. pants paredz atbildību par konkrētu darbību – autortiesību pārkāpšanu –, nevis bezdarbību, kas izpaudusies paviršā uzņēmuma valdes locekļa pienākumu pildīšanā.</w:t>
      </w:r>
    </w:p>
    <w:p w14:paraId="44573084" w14:textId="65DCD1ED" w:rsidR="00854618" w:rsidRDefault="00697E98" w:rsidP="00EB59BC">
      <w:pPr>
        <w:widowControl w:val="0"/>
        <w:spacing w:after="0"/>
        <w:ind w:firstLine="720"/>
        <w:jc w:val="both"/>
        <w:rPr>
          <w:rFonts w:cs="Times New Roman"/>
          <w:color w:val="000000" w:themeColor="text1"/>
          <w:szCs w:val="24"/>
        </w:rPr>
      </w:pPr>
      <w:r>
        <w:t>[7.</w:t>
      </w:r>
      <w:r w:rsidR="007C422C">
        <w:t>5</w:t>
      </w:r>
      <w:r>
        <w:t>]</w:t>
      </w:r>
      <w:r w:rsidR="00527F12">
        <w:t> </w:t>
      </w:r>
      <w:r>
        <w:t>Tiesa nepamatoti atzinusi vienota nodoma pastāvēšanu.</w:t>
      </w:r>
    </w:p>
    <w:p w14:paraId="38E52526" w14:textId="6B62A8CB" w:rsidR="00854618" w:rsidRDefault="00854618" w:rsidP="00EB59BC">
      <w:pPr>
        <w:widowControl w:val="0"/>
        <w:spacing w:after="0"/>
        <w:ind w:firstLine="720"/>
        <w:jc w:val="both"/>
        <w:rPr>
          <w:rFonts w:cs="Times New Roman"/>
          <w:color w:val="000000" w:themeColor="text1"/>
          <w:szCs w:val="24"/>
        </w:rPr>
      </w:pPr>
      <w:r>
        <w:rPr>
          <w:rFonts w:cs="Times New Roman"/>
          <w:color w:val="000000" w:themeColor="text1"/>
          <w:szCs w:val="24"/>
        </w:rPr>
        <w:t xml:space="preserve">Apelācijas instances tiesa konstatējusi, ka visas četras datorprogrammas uzstādītas dažādā laikā ar intervālu, kas pārsniedz trīs gadus. Savus atzinumus par to, </w:t>
      </w:r>
      <w:proofErr w:type="gramStart"/>
      <w:r>
        <w:rPr>
          <w:rFonts w:cs="Times New Roman"/>
          <w:color w:val="000000" w:themeColor="text1"/>
          <w:szCs w:val="24"/>
        </w:rPr>
        <w:t>ka šādas darbības aptver apsūdzētā</w:t>
      </w:r>
      <w:proofErr w:type="gramEnd"/>
      <w:r>
        <w:rPr>
          <w:rFonts w:cs="Times New Roman"/>
          <w:color w:val="000000" w:themeColor="text1"/>
          <w:szCs w:val="24"/>
        </w:rPr>
        <w:t xml:space="preserve"> vienots nodoms, tiesa nav pamatojusi ar lietā iegūtajiem pierādījumiem.</w:t>
      </w:r>
    </w:p>
    <w:p w14:paraId="458DBF73" w14:textId="2EE399F0" w:rsidR="00854618" w:rsidRDefault="00854618" w:rsidP="00EB59BC">
      <w:pPr>
        <w:widowControl w:val="0"/>
        <w:spacing w:after="0"/>
        <w:ind w:firstLine="720"/>
        <w:jc w:val="both"/>
        <w:rPr>
          <w:rFonts w:cs="Times New Roman"/>
          <w:color w:val="000000" w:themeColor="text1"/>
          <w:szCs w:val="24"/>
        </w:rPr>
      </w:pPr>
      <w:r>
        <w:rPr>
          <w:rFonts w:cs="Times New Roman"/>
          <w:color w:val="000000" w:themeColor="text1"/>
          <w:szCs w:val="24"/>
        </w:rPr>
        <w:t>[7.</w:t>
      </w:r>
      <w:r w:rsidR="007C422C">
        <w:rPr>
          <w:rFonts w:cs="Times New Roman"/>
          <w:color w:val="000000" w:themeColor="text1"/>
          <w:szCs w:val="24"/>
        </w:rPr>
        <w:t>6</w:t>
      </w:r>
      <w:r>
        <w:rPr>
          <w:rFonts w:cs="Times New Roman"/>
          <w:color w:val="000000" w:themeColor="text1"/>
          <w:szCs w:val="24"/>
        </w:rPr>
        <w:t>] </w:t>
      </w:r>
      <w:r w:rsidR="00D60790">
        <w:rPr>
          <w:rFonts w:cs="Times New Roman"/>
          <w:color w:val="000000" w:themeColor="text1"/>
          <w:szCs w:val="24"/>
        </w:rPr>
        <w:t xml:space="preserve">Tiesa nav izvērtējusi </w:t>
      </w:r>
      <w:r w:rsidR="00D52F7F">
        <w:rPr>
          <w:rFonts w:cs="Times New Roman"/>
          <w:color w:val="000000" w:themeColor="text1"/>
          <w:szCs w:val="24"/>
        </w:rPr>
        <w:t xml:space="preserve">apelācijas sūdzības argumentus par </w:t>
      </w:r>
      <w:r w:rsidR="00D60790">
        <w:rPr>
          <w:rFonts w:cs="Times New Roman"/>
          <w:color w:val="000000" w:themeColor="text1"/>
          <w:szCs w:val="24"/>
        </w:rPr>
        <w:t>pie</w:t>
      </w:r>
      <w:r w:rsidR="00D52F7F">
        <w:rPr>
          <w:rFonts w:cs="Times New Roman"/>
          <w:color w:val="000000" w:themeColor="text1"/>
          <w:szCs w:val="24"/>
        </w:rPr>
        <w:t>rādījumu pieļaujamību.</w:t>
      </w:r>
    </w:p>
    <w:p w14:paraId="45FF9F17" w14:textId="06BE2F72" w:rsidR="00554E7F" w:rsidRDefault="00554E7F" w:rsidP="00EB59BC">
      <w:pPr>
        <w:widowControl w:val="0"/>
        <w:spacing w:after="0"/>
        <w:ind w:firstLine="720"/>
        <w:jc w:val="both"/>
        <w:rPr>
          <w:rFonts w:cs="Times New Roman"/>
          <w:color w:val="000000" w:themeColor="text1"/>
          <w:szCs w:val="24"/>
        </w:rPr>
      </w:pPr>
      <w:r>
        <w:rPr>
          <w:rFonts w:cs="Times New Roman"/>
          <w:color w:val="000000" w:themeColor="text1"/>
          <w:szCs w:val="24"/>
        </w:rPr>
        <w:t>Aizstāvība apelācijas sūdzībā bija norādījusi, ka saskaņā ar Kriminālprocesa likuma 130. panta otrās daļas 2.</w:t>
      </w:r>
      <w:r w:rsidR="00527F12">
        <w:rPr>
          <w:rFonts w:cs="Times New Roman"/>
          <w:color w:val="000000" w:themeColor="text1"/>
          <w:szCs w:val="24"/>
        </w:rPr>
        <w:t> </w:t>
      </w:r>
      <w:r>
        <w:rPr>
          <w:rFonts w:cs="Times New Roman"/>
          <w:color w:val="000000" w:themeColor="text1"/>
          <w:szCs w:val="24"/>
        </w:rPr>
        <w:t>punktu par nepieļaujamām un pierādīšanā neizmantojamām atzīstamas ziņas, kas iegūtas, veicot datorprogrammas legalitātes pārbaudi, jo šo pārbaudi nav veikušas Kriminālprocesa likumā norādītās personas un tā netika veikta Kriminālprocesa likumā noteiktajā kārtībā. Apelācijas instances tiesa šos aizstāvības argumentus nav izvērtējusi</w:t>
      </w:r>
      <w:r w:rsidR="00290815">
        <w:rPr>
          <w:rFonts w:cs="Times New Roman"/>
          <w:color w:val="000000" w:themeColor="text1"/>
          <w:szCs w:val="24"/>
        </w:rPr>
        <w:t xml:space="preserve"> un tādējādi pārkāpusi apsūdzētā tiesības uz taisnīgu tiesu un prasību par pamatotu spriedumu.</w:t>
      </w:r>
    </w:p>
    <w:p w14:paraId="3E57A31E" w14:textId="77777777" w:rsidR="00554E7F" w:rsidRDefault="00554E7F" w:rsidP="00EB59BC">
      <w:pPr>
        <w:widowControl w:val="0"/>
        <w:spacing w:after="0"/>
        <w:ind w:firstLine="720"/>
        <w:jc w:val="both"/>
        <w:rPr>
          <w:rFonts w:cs="Times New Roman"/>
          <w:color w:val="000000" w:themeColor="text1"/>
          <w:szCs w:val="24"/>
        </w:rPr>
      </w:pPr>
    </w:p>
    <w:p w14:paraId="1A7B40DC" w14:textId="601262C4" w:rsidR="00EC72C2" w:rsidRDefault="00EC72C2" w:rsidP="00EB59BC">
      <w:pPr>
        <w:widowControl w:val="0"/>
        <w:spacing w:after="0"/>
        <w:jc w:val="center"/>
        <w:rPr>
          <w:rFonts w:cs="Times New Roman"/>
          <w:b/>
          <w:color w:val="000000" w:themeColor="text1"/>
          <w:szCs w:val="24"/>
        </w:rPr>
      </w:pPr>
      <w:r w:rsidRPr="00B14CA7">
        <w:rPr>
          <w:rFonts w:cs="Times New Roman"/>
          <w:b/>
          <w:color w:val="000000" w:themeColor="text1"/>
          <w:szCs w:val="24"/>
        </w:rPr>
        <w:t>Motīvu daļa</w:t>
      </w:r>
    </w:p>
    <w:p w14:paraId="64875259" w14:textId="77777777" w:rsidR="00FA76AC" w:rsidRPr="00D9662B" w:rsidRDefault="00FA76AC" w:rsidP="00EB59BC">
      <w:pPr>
        <w:widowControl w:val="0"/>
        <w:spacing w:after="0"/>
        <w:ind w:firstLine="720"/>
        <w:jc w:val="center"/>
      </w:pPr>
    </w:p>
    <w:p w14:paraId="541761FB" w14:textId="325B67CD" w:rsidR="00FA76AC" w:rsidRDefault="009D60A0"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w:t>
      </w:r>
      <w:r w:rsidR="00D9662B">
        <w:rPr>
          <w:rFonts w:cs="Times New Roman"/>
          <w:color w:val="000000" w:themeColor="text1"/>
          <w:szCs w:val="24"/>
        </w:rPr>
        <w:t>8</w:t>
      </w:r>
      <w:r>
        <w:rPr>
          <w:rFonts w:cs="Times New Roman"/>
          <w:color w:val="000000" w:themeColor="text1"/>
          <w:szCs w:val="24"/>
        </w:rPr>
        <w:t>]</w:t>
      </w:r>
      <w:r w:rsidR="00527F12">
        <w:rPr>
          <w:rFonts w:cs="Times New Roman"/>
          <w:color w:val="000000" w:themeColor="text1"/>
          <w:szCs w:val="24"/>
        </w:rPr>
        <w:t> </w:t>
      </w:r>
      <w:r w:rsidR="00D9662B">
        <w:rPr>
          <w:rFonts w:cs="Times New Roman"/>
          <w:color w:val="000000" w:themeColor="text1"/>
          <w:szCs w:val="24"/>
        </w:rPr>
        <w:t xml:space="preserve">Senāts atzīst, ka apelācijas instances tiesas spriedums ir atceļams </w:t>
      </w:r>
      <w:r w:rsidR="00900191">
        <w:rPr>
          <w:rFonts w:cs="Times New Roman"/>
          <w:color w:val="000000" w:themeColor="text1"/>
          <w:szCs w:val="24"/>
        </w:rPr>
        <w:t>pilnībā un lieta nosūtāma jaunai izskatīšanai apelācijas instances tiesā.</w:t>
      </w:r>
    </w:p>
    <w:p w14:paraId="4EF29C9B" w14:textId="46455FBE" w:rsidR="00E67B49" w:rsidRDefault="00CC2BF8"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[8.1]</w:t>
      </w:r>
      <w:r w:rsidR="00ED2469">
        <w:rPr>
          <w:rFonts w:cs="Times New Roman"/>
          <w:color w:val="000000" w:themeColor="text1"/>
          <w:szCs w:val="24"/>
        </w:rPr>
        <w:t> </w:t>
      </w:r>
      <w:r w:rsidR="00900191">
        <w:rPr>
          <w:rFonts w:cs="Times New Roman"/>
          <w:color w:val="000000" w:themeColor="text1"/>
          <w:szCs w:val="24"/>
        </w:rPr>
        <w:t>Senāts atzīst, ka apelācijas instances tiesa</w:t>
      </w:r>
      <w:r w:rsidR="00E67B49">
        <w:rPr>
          <w:rFonts w:cs="Times New Roman"/>
          <w:color w:val="000000" w:themeColor="text1"/>
          <w:szCs w:val="24"/>
        </w:rPr>
        <w:t xml:space="preserve"> nepareizi piemērojusi Krimināllikuma 148. panta trešo daļu.</w:t>
      </w:r>
    </w:p>
    <w:p w14:paraId="706AA73A" w14:textId="52EDB248" w:rsidR="000114E0" w:rsidRDefault="00E67B49" w:rsidP="00EB59BC">
      <w:pPr>
        <w:pStyle w:val="ListBullet"/>
        <w:widowControl w:val="0"/>
        <w:numPr>
          <w:ilvl w:val="0"/>
          <w:numId w:val="0"/>
        </w:numPr>
        <w:spacing w:after="0"/>
        <w:ind w:firstLine="720"/>
        <w:contextualSpacing w:val="0"/>
        <w:jc w:val="both"/>
        <w:rPr>
          <w:rFonts w:ascii="TimesNewRomanPSMT" w:hAnsi="TimesNewRomanPSMT" w:cs="TimesNewRomanPSMT"/>
          <w:szCs w:val="24"/>
        </w:rPr>
      </w:pPr>
      <w:r>
        <w:rPr>
          <w:rFonts w:cs="Times New Roman"/>
          <w:color w:val="000000" w:themeColor="text1"/>
          <w:szCs w:val="24"/>
        </w:rPr>
        <w:t xml:space="preserve">Apelācijas instances tiesa konstatējusi, ka </w:t>
      </w:r>
      <w:r>
        <w:rPr>
          <w:rFonts w:ascii="TimesNewRomanPSMT" w:hAnsi="TimesNewRomanPSMT" w:cs="TimesNewRomanPSMT"/>
          <w:szCs w:val="24"/>
        </w:rPr>
        <w:t>2015. gada 12. martā SIA</w:t>
      </w:r>
      <w:r w:rsidR="00527F12">
        <w:rPr>
          <w:rFonts w:ascii="TimesNewRomanPSMT" w:hAnsi="TimesNewRomanPSMT" w:cs="TimesNewRomanPSMT"/>
          <w:szCs w:val="24"/>
        </w:rPr>
        <w:t> „</w:t>
      </w:r>
      <w:r w:rsidR="00885397">
        <w:rPr>
          <w:rFonts w:ascii="TimesNewRomanPSMT" w:hAnsi="TimesNewRomanPSMT" w:cs="TimesNewRomanPSMT"/>
          <w:szCs w:val="24"/>
        </w:rPr>
        <w:t>[Nosaukums A]</w:t>
      </w:r>
      <w:r>
        <w:rPr>
          <w:rFonts w:ascii="TimesNewRomanPSMT" w:hAnsi="TimesNewRomanPSMT" w:cs="TimesNewRomanPSMT"/>
          <w:szCs w:val="24"/>
        </w:rPr>
        <w:t>” tika veikta programmnodrošinājuma legalitātes un ar to saistīto grāmatvedības dokumentu pārbaude un tās laikā atklāts, ka</w:t>
      </w:r>
      <w:r w:rsidR="007D329B">
        <w:rPr>
          <w:rFonts w:ascii="TimesNewRomanPSMT" w:hAnsi="TimesNewRomanPSMT" w:cs="TimesNewRomanPSMT"/>
          <w:szCs w:val="24"/>
        </w:rPr>
        <w:t xml:space="preserve"> SIA</w:t>
      </w:r>
      <w:r w:rsidR="00527F12">
        <w:rPr>
          <w:rFonts w:ascii="TimesNewRomanPSMT" w:hAnsi="TimesNewRomanPSMT" w:cs="TimesNewRomanPSMT"/>
          <w:szCs w:val="24"/>
        </w:rPr>
        <w:t> „</w:t>
      </w:r>
      <w:r w:rsidR="00885397">
        <w:rPr>
          <w:rFonts w:ascii="TimesNewRomanPSMT" w:hAnsi="TimesNewRomanPSMT" w:cs="TimesNewRomanPSMT"/>
          <w:szCs w:val="24"/>
        </w:rPr>
        <w:t>[Nosaukums A]</w:t>
      </w:r>
      <w:r w:rsidR="007D329B">
        <w:rPr>
          <w:rFonts w:ascii="TimesNewRomanPSMT" w:hAnsi="TimesNewRomanPSMT" w:cs="TimesNewRomanPSMT"/>
          <w:szCs w:val="24"/>
        </w:rPr>
        <w:t>” datorsistēmās instalētas datorprogrammas, kuru izcelsmes dokum</w:t>
      </w:r>
      <w:r w:rsidR="00172979">
        <w:rPr>
          <w:rFonts w:ascii="TimesNewRomanPSMT" w:hAnsi="TimesNewRomanPSMT" w:cs="TimesNewRomanPSMT"/>
          <w:szCs w:val="24"/>
        </w:rPr>
        <w:t>enti netika uzrādīti</w:t>
      </w:r>
      <w:r w:rsidR="007D329B">
        <w:rPr>
          <w:rFonts w:ascii="TimesNewRomanPSMT" w:hAnsi="TimesNewRomanPSMT" w:cs="TimesNewRomanPSMT"/>
          <w:szCs w:val="24"/>
        </w:rPr>
        <w:t>. Tiesa akceptēj</w:t>
      </w:r>
      <w:r w:rsidR="00462282">
        <w:rPr>
          <w:rFonts w:ascii="TimesNewRomanPSMT" w:hAnsi="TimesNewRomanPSMT" w:cs="TimesNewRomanPSMT"/>
          <w:szCs w:val="24"/>
        </w:rPr>
        <w:t xml:space="preserve">usi </w:t>
      </w:r>
      <w:r w:rsidR="007D329B">
        <w:rPr>
          <w:rFonts w:ascii="TimesNewRomanPSMT" w:hAnsi="TimesNewRomanPSMT" w:cs="TimesNewRomanPSMT"/>
          <w:szCs w:val="24"/>
        </w:rPr>
        <w:t xml:space="preserve">apsūdzību, ka tādējādi </w:t>
      </w:r>
      <w:r w:rsidR="00462282">
        <w:rPr>
          <w:rFonts w:ascii="TimesNewRomanPSMT" w:hAnsi="TimesNewRomanPSMT" w:cs="TimesNewRomanPSMT"/>
          <w:szCs w:val="24"/>
        </w:rPr>
        <w:t xml:space="preserve">notikusi </w:t>
      </w:r>
      <w:r w:rsidR="00172979">
        <w:rPr>
          <w:rFonts w:ascii="TimesNewRomanPSMT" w:hAnsi="TimesNewRomanPSMT" w:cs="TimesNewRomanPSMT"/>
          <w:szCs w:val="24"/>
        </w:rPr>
        <w:t xml:space="preserve">šo </w:t>
      </w:r>
      <w:r w:rsidR="00462282">
        <w:rPr>
          <w:rFonts w:ascii="TimesNewRomanPSMT" w:hAnsi="TimesNewRomanPSMT" w:cs="TimesNewRomanPSMT"/>
          <w:szCs w:val="24"/>
        </w:rPr>
        <w:t>datorprogrammu reproducēšana, kas izpaudusies</w:t>
      </w:r>
      <w:r w:rsidR="00172979">
        <w:rPr>
          <w:rFonts w:ascii="TimesNewRomanPSMT" w:hAnsi="TimesNewRomanPSMT" w:cs="TimesNewRomanPSMT"/>
          <w:szCs w:val="24"/>
        </w:rPr>
        <w:t xml:space="preserve"> </w:t>
      </w:r>
      <w:r w:rsidR="00462282">
        <w:rPr>
          <w:rFonts w:ascii="TimesNewRomanPSMT" w:hAnsi="TimesNewRomanPSMT" w:cs="TimesNewRomanPSMT"/>
          <w:szCs w:val="24"/>
        </w:rPr>
        <w:t>datorprogrammu</w:t>
      </w:r>
      <w:r w:rsidR="00172979">
        <w:rPr>
          <w:rFonts w:ascii="TimesNewRomanPSMT" w:hAnsi="TimesNewRomanPSMT" w:cs="TimesNewRomanPSMT"/>
          <w:szCs w:val="24"/>
        </w:rPr>
        <w:t xml:space="preserve"> uzglabāšanā elektroniskā veidā.</w:t>
      </w:r>
      <w:r w:rsidR="00462282">
        <w:rPr>
          <w:rFonts w:ascii="TimesNewRomanPSMT" w:hAnsi="TimesNewRomanPSMT" w:cs="TimesNewRomanPSMT"/>
          <w:szCs w:val="24"/>
        </w:rPr>
        <w:t xml:space="preserve"> </w:t>
      </w:r>
      <w:r w:rsidR="00172979">
        <w:rPr>
          <w:rFonts w:ascii="TimesNewRomanPSMT" w:hAnsi="TimesNewRomanPSMT" w:cs="TimesNewRomanPSMT"/>
          <w:szCs w:val="24"/>
        </w:rPr>
        <w:t xml:space="preserve">Pamatojot savu viedokli šajā daļā, apelācijas instances tiesa atsaukusies uz Autortiesību likuma 1. panta 17. punktu, kas noteic, ka reproducēšana ir autortiesību vai blakustiesību objekta vienas kopijas vai vairāku kopiju izgatavošana ar jebkuriem līdzekļiem jebkādā formā un mērogā, pilnībā vai daļēji, arī autortiesību vai blakustiesību objekta vai tā daļas īslaicīga vai pastāvīga uzglabāšana elektroniskā veidā, kā arī trīsdimensiju kopijas izgatavošana no divdimensiju objekta vai divdimensiju kopijas izgatavošana no trīsdimensiju objekta. Interpretējot </w:t>
      </w:r>
      <w:r w:rsidR="000114E0">
        <w:rPr>
          <w:rFonts w:ascii="TimesNewRomanPSMT" w:hAnsi="TimesNewRomanPSMT" w:cs="TimesNewRomanPSMT"/>
          <w:szCs w:val="24"/>
        </w:rPr>
        <w:t>Autortiesību likuma 1. panta 17. punktu</w:t>
      </w:r>
      <w:r w:rsidR="00172979">
        <w:rPr>
          <w:rFonts w:ascii="TimesNewRomanPSMT" w:hAnsi="TimesNewRomanPSMT" w:cs="TimesNewRomanPSMT"/>
          <w:szCs w:val="24"/>
        </w:rPr>
        <w:t xml:space="preserve">, apelācijas instances tiesa </w:t>
      </w:r>
      <w:r w:rsidR="000114E0">
        <w:rPr>
          <w:rFonts w:ascii="TimesNewRomanPSMT" w:hAnsi="TimesNewRomanPSMT" w:cs="TimesNewRomanPSMT"/>
          <w:szCs w:val="24"/>
        </w:rPr>
        <w:t>atzinusi, ka ar reproducēšanu šīs tiesību normas izpratnē jāsaprot arī ar kopēšanas faktu nesaistīta autortiesību vai blakustiesību objekta īslaicīga vai pastāvīga uzglabāšana datu nesējā.</w:t>
      </w:r>
    </w:p>
    <w:p w14:paraId="791E7EF8" w14:textId="5DB49CEC" w:rsidR="00900191" w:rsidRDefault="00682EA8" w:rsidP="00EB59BC">
      <w:pPr>
        <w:pStyle w:val="ListBullet"/>
        <w:widowControl w:val="0"/>
        <w:numPr>
          <w:ilvl w:val="0"/>
          <w:numId w:val="0"/>
        </w:numPr>
        <w:spacing w:after="0"/>
        <w:ind w:firstLine="720"/>
        <w:contextualSpacing w:val="0"/>
        <w:jc w:val="both"/>
        <w:rPr>
          <w:rFonts w:ascii="TimesNewRomanPSMT" w:hAnsi="TimesNewRomanPSMT" w:cs="TimesNewRomanPSMT"/>
          <w:szCs w:val="24"/>
        </w:rPr>
      </w:pPr>
      <w:r>
        <w:rPr>
          <w:rFonts w:ascii="TimesNewRomanPSMT" w:hAnsi="TimesNewRomanPSMT" w:cs="TimesNewRomanPSMT"/>
          <w:szCs w:val="24"/>
        </w:rPr>
        <w:t>Senāts atzīst, ka apelācijas instances tiesa nepareizi interpretējusi Autortiesību likuma 1. panta 17. punktu un līdz ar to nonākusi pie nepamatota secinājuma par reproducēšanas jēdzien</w:t>
      </w:r>
      <w:r w:rsidR="00527F12">
        <w:rPr>
          <w:rFonts w:ascii="TimesNewRomanPSMT" w:hAnsi="TimesNewRomanPSMT" w:cs="TimesNewRomanPSMT"/>
          <w:szCs w:val="24"/>
        </w:rPr>
        <w:t>a</w:t>
      </w:r>
      <w:r>
        <w:rPr>
          <w:rFonts w:ascii="TimesNewRomanPSMT" w:hAnsi="TimesNewRomanPSMT" w:cs="TimesNewRomanPSMT"/>
          <w:szCs w:val="24"/>
        </w:rPr>
        <w:t xml:space="preserve"> būtību.</w:t>
      </w:r>
    </w:p>
    <w:p w14:paraId="7AAD3DEE" w14:textId="736E9D09" w:rsidR="00053C11" w:rsidRDefault="00053C11" w:rsidP="00EB59BC">
      <w:pPr>
        <w:pStyle w:val="ListBullet"/>
        <w:widowControl w:val="0"/>
        <w:numPr>
          <w:ilvl w:val="0"/>
          <w:numId w:val="0"/>
        </w:numPr>
        <w:spacing w:after="0"/>
        <w:ind w:firstLine="720"/>
        <w:contextualSpacing w:val="0"/>
        <w:jc w:val="both"/>
        <w:rPr>
          <w:rFonts w:ascii="TimesNewRomanPSMT" w:hAnsi="TimesNewRomanPSMT" w:cs="TimesNewRomanPSMT"/>
          <w:szCs w:val="24"/>
        </w:rPr>
      </w:pPr>
      <w:r>
        <w:rPr>
          <w:rFonts w:ascii="TimesNewRomanPSMT" w:hAnsi="TimesNewRomanPSMT" w:cs="TimesNewRomanPSMT"/>
          <w:szCs w:val="24"/>
        </w:rPr>
        <w:t>Senāts konstatē, ka apelācijas instances tiesa, interpretējot minētajā tiesību normā ietverto reproducēšanas jēdzienu, izmantojusi vienīgi gramatisk</w:t>
      </w:r>
      <w:r w:rsidR="00F10E8F">
        <w:rPr>
          <w:rFonts w:ascii="TimesNewRomanPSMT" w:hAnsi="TimesNewRomanPSMT" w:cs="TimesNewRomanPSMT"/>
          <w:szCs w:val="24"/>
        </w:rPr>
        <w:t>ās iztulkošanas</w:t>
      </w:r>
      <w:r>
        <w:rPr>
          <w:rFonts w:ascii="TimesNewRomanPSMT" w:hAnsi="TimesNewRomanPSMT" w:cs="TimesNewRomanPSMT"/>
          <w:szCs w:val="24"/>
        </w:rPr>
        <w:t xml:space="preserve"> metodi, turklāt nepilnā apjomā, jo </w:t>
      </w:r>
      <w:r w:rsidR="00F10E8F">
        <w:rPr>
          <w:rFonts w:ascii="TimesNewRomanPSMT" w:hAnsi="TimesNewRomanPSMT" w:cs="TimesNewRomanPSMT"/>
          <w:szCs w:val="24"/>
        </w:rPr>
        <w:t>skaidrojusi vienīgi tiesību normas vārdisko saturu, bet atstājusi bez ievērības tiesību normu veidojošā teikuma uzbūvi, kas atklāj loģisko saikni starp visām teikuma daļām</w:t>
      </w:r>
      <w:r w:rsidR="00897497">
        <w:rPr>
          <w:rFonts w:ascii="TimesNewRomanPSMT" w:hAnsi="TimesNewRomanPSMT" w:cs="TimesNewRomanPSMT"/>
          <w:szCs w:val="24"/>
        </w:rPr>
        <w:t>.</w:t>
      </w:r>
      <w:r w:rsidR="00F10E8F">
        <w:rPr>
          <w:rFonts w:ascii="TimesNewRomanPSMT" w:hAnsi="TimesNewRomanPSMT" w:cs="TimesNewRomanPSMT"/>
          <w:szCs w:val="24"/>
        </w:rPr>
        <w:t xml:space="preserve"> Turklāt apelācijas instances tiesa nav izmantojusi</w:t>
      </w:r>
      <w:r w:rsidR="00AB2C8F">
        <w:rPr>
          <w:rFonts w:ascii="TimesNewRomanPSMT" w:hAnsi="TimesNewRomanPSMT" w:cs="TimesNewRomanPSMT"/>
          <w:szCs w:val="24"/>
        </w:rPr>
        <w:t xml:space="preserve"> citas iztulkošanas metodes, proti, nav veikusi tiesību normas tālāku izpēti un analīzi kontekstā ar citām normām, likumiem un principiem, kā arī nav veikusi iztulkošanu saskaņā ar normas saskatāmajiem nolūkiem un pamatprincipiem. </w:t>
      </w:r>
      <w:r w:rsidR="00897497">
        <w:rPr>
          <w:rFonts w:ascii="TimesNewRomanPSMT" w:hAnsi="TimesNewRomanPSMT" w:cs="TimesNewRomanPSMT"/>
          <w:szCs w:val="24"/>
        </w:rPr>
        <w:t>Minētais novedis pie kļūdainas Autortiesību likuma 1. panta 17.</w:t>
      </w:r>
      <w:r w:rsidR="00897497">
        <w:t>punktā sniegtā reproducēšanas jēdziena izpratnes.</w:t>
      </w:r>
    </w:p>
    <w:p w14:paraId="5A6E00B5" w14:textId="05EED63D" w:rsidR="00254803" w:rsidRPr="0044765B" w:rsidRDefault="00254803" w:rsidP="00EB59BC">
      <w:pPr>
        <w:pStyle w:val="ListBullet"/>
        <w:widowControl w:val="0"/>
        <w:numPr>
          <w:ilvl w:val="0"/>
          <w:numId w:val="0"/>
        </w:numPr>
        <w:spacing w:after="0"/>
        <w:ind w:firstLine="720"/>
        <w:contextualSpacing w:val="0"/>
        <w:jc w:val="both"/>
        <w:rPr>
          <w:rFonts w:ascii="TimesNewRomanPSMT" w:hAnsi="TimesNewRomanPSMT" w:cs="TimesNewRomanPSMT"/>
          <w:szCs w:val="24"/>
        </w:rPr>
      </w:pPr>
      <w:r>
        <w:rPr>
          <w:rFonts w:ascii="TimesNewRomanPSMT" w:hAnsi="TimesNewRomanPSMT" w:cs="TimesNewRomanPSMT"/>
          <w:szCs w:val="24"/>
        </w:rPr>
        <w:t>Juridiskajā literatūrā ir norādīts</w:t>
      </w:r>
      <w:r w:rsidR="0044765B">
        <w:rPr>
          <w:rFonts w:ascii="TimesNewRomanPSMT" w:hAnsi="TimesNewRomanPSMT" w:cs="TimesNewRomanPSMT"/>
          <w:szCs w:val="24"/>
        </w:rPr>
        <w:t xml:space="preserve">, ka ar autortiesībām aizsargāts darbs ir nemateriāls intelektuālās darbības rezultāts, savukārt šāda darba ietveršana materializētā formā ir atzīstama par tā (pirmo) reprodukciju </w:t>
      </w:r>
      <w:proofErr w:type="gramStart"/>
      <w:r w:rsidR="0044765B">
        <w:rPr>
          <w:rFonts w:ascii="TimesNewRomanPSMT" w:hAnsi="TimesNewRomanPSMT" w:cs="TimesNewRomanPSMT"/>
          <w:szCs w:val="24"/>
        </w:rPr>
        <w:t>(</w:t>
      </w:r>
      <w:proofErr w:type="gramEnd"/>
      <w:r w:rsidR="0044765B">
        <w:rPr>
          <w:rFonts w:ascii="TimesNewRomanPSMT" w:hAnsi="TimesNewRomanPSMT" w:cs="TimesNewRomanPSMT"/>
          <w:i/>
          <w:iCs/>
          <w:szCs w:val="24"/>
        </w:rPr>
        <w:t xml:space="preserve">Von </w:t>
      </w:r>
      <w:proofErr w:type="spellStart"/>
      <w:r w:rsidR="0044765B">
        <w:rPr>
          <w:rFonts w:ascii="TimesNewRomanPSMT" w:hAnsi="TimesNewRomanPSMT" w:cs="TimesNewRomanPSMT"/>
          <w:i/>
          <w:iCs/>
          <w:szCs w:val="24"/>
        </w:rPr>
        <w:t>Lewinski</w:t>
      </w:r>
      <w:proofErr w:type="spellEnd"/>
      <w:r w:rsidR="0044765B">
        <w:rPr>
          <w:rFonts w:ascii="TimesNewRomanPSMT" w:hAnsi="TimesNewRomanPSMT" w:cs="TimesNewRomanPSMT"/>
          <w:i/>
          <w:iCs/>
          <w:szCs w:val="24"/>
        </w:rPr>
        <w:t xml:space="preserve"> S., </w:t>
      </w:r>
      <w:proofErr w:type="spellStart"/>
      <w:r w:rsidR="0044765B">
        <w:rPr>
          <w:rFonts w:ascii="TimesNewRomanPSMT" w:hAnsi="TimesNewRomanPSMT" w:cs="TimesNewRomanPSMT"/>
          <w:i/>
          <w:iCs/>
          <w:szCs w:val="24"/>
        </w:rPr>
        <w:t>Walter</w:t>
      </w:r>
      <w:proofErr w:type="spellEnd"/>
      <w:r w:rsidR="0044765B">
        <w:rPr>
          <w:rFonts w:ascii="TimesNewRomanPSMT" w:hAnsi="TimesNewRomanPSMT" w:cs="TimesNewRomanPSMT"/>
          <w:i/>
          <w:iCs/>
          <w:szCs w:val="24"/>
        </w:rPr>
        <w:t xml:space="preserve"> M.M. (</w:t>
      </w:r>
      <w:proofErr w:type="spellStart"/>
      <w:r w:rsidR="0044765B">
        <w:rPr>
          <w:rFonts w:ascii="TimesNewRomanPSMT" w:hAnsi="TimesNewRomanPSMT" w:cs="TimesNewRomanPSMT"/>
          <w:i/>
          <w:iCs/>
          <w:szCs w:val="24"/>
        </w:rPr>
        <w:t>ed</w:t>
      </w:r>
      <w:proofErr w:type="spellEnd"/>
      <w:r w:rsidR="0044765B">
        <w:rPr>
          <w:rFonts w:ascii="TimesNewRomanPSMT" w:hAnsi="TimesNewRomanPSMT" w:cs="TimesNewRomanPSMT"/>
          <w:i/>
          <w:iCs/>
          <w:szCs w:val="24"/>
        </w:rPr>
        <w:t xml:space="preserve">.). </w:t>
      </w:r>
      <w:proofErr w:type="spellStart"/>
      <w:r w:rsidR="0044765B">
        <w:rPr>
          <w:rFonts w:ascii="TimesNewRomanPSMT" w:hAnsi="TimesNewRomanPSMT" w:cs="TimesNewRomanPSMT"/>
          <w:i/>
          <w:iCs/>
          <w:szCs w:val="24"/>
        </w:rPr>
        <w:t>European</w:t>
      </w:r>
      <w:proofErr w:type="spellEnd"/>
      <w:r w:rsidR="0044765B">
        <w:rPr>
          <w:rFonts w:ascii="TimesNewRomanPSMT" w:hAnsi="TimesNewRomanPSMT" w:cs="TimesNewRomanPSMT"/>
          <w:i/>
          <w:iCs/>
          <w:szCs w:val="24"/>
        </w:rPr>
        <w:t xml:space="preserve"> </w:t>
      </w:r>
      <w:proofErr w:type="spellStart"/>
      <w:r w:rsidR="0044765B">
        <w:rPr>
          <w:rFonts w:ascii="TimesNewRomanPSMT" w:hAnsi="TimesNewRomanPSMT" w:cs="TimesNewRomanPSMT"/>
          <w:i/>
          <w:iCs/>
          <w:szCs w:val="24"/>
        </w:rPr>
        <w:t>Copyright</w:t>
      </w:r>
      <w:proofErr w:type="spellEnd"/>
      <w:r w:rsidR="0044765B">
        <w:rPr>
          <w:rFonts w:ascii="TimesNewRomanPSMT" w:hAnsi="TimesNewRomanPSMT" w:cs="TimesNewRomanPSMT"/>
          <w:i/>
          <w:iCs/>
          <w:szCs w:val="24"/>
        </w:rPr>
        <w:t xml:space="preserve"> </w:t>
      </w:r>
      <w:proofErr w:type="spellStart"/>
      <w:r w:rsidR="0044765B">
        <w:rPr>
          <w:rFonts w:ascii="TimesNewRomanPSMT" w:hAnsi="TimesNewRomanPSMT" w:cs="TimesNewRomanPSMT"/>
          <w:i/>
          <w:iCs/>
          <w:szCs w:val="24"/>
        </w:rPr>
        <w:t>Law</w:t>
      </w:r>
      <w:proofErr w:type="spellEnd"/>
      <w:r w:rsidR="0044765B">
        <w:rPr>
          <w:rFonts w:ascii="TimesNewRomanPSMT" w:hAnsi="TimesNewRomanPSMT" w:cs="TimesNewRomanPSMT"/>
          <w:i/>
          <w:iCs/>
          <w:szCs w:val="24"/>
        </w:rPr>
        <w:t xml:space="preserve">. A </w:t>
      </w:r>
      <w:proofErr w:type="spellStart"/>
      <w:r w:rsidR="0044765B">
        <w:rPr>
          <w:rFonts w:ascii="TimesNewRomanPSMT" w:hAnsi="TimesNewRomanPSMT" w:cs="TimesNewRomanPSMT"/>
          <w:i/>
          <w:iCs/>
          <w:szCs w:val="24"/>
        </w:rPr>
        <w:t>Commentary</w:t>
      </w:r>
      <w:proofErr w:type="spellEnd"/>
      <w:r w:rsidR="0044765B">
        <w:rPr>
          <w:rFonts w:ascii="TimesNewRomanPSMT" w:hAnsi="TimesNewRomanPSMT" w:cs="TimesNewRomanPSMT"/>
          <w:i/>
          <w:iCs/>
          <w:szCs w:val="24"/>
        </w:rPr>
        <w:t xml:space="preserve">. </w:t>
      </w:r>
      <w:proofErr w:type="spellStart"/>
      <w:r w:rsidR="0044765B">
        <w:rPr>
          <w:rFonts w:ascii="TimesNewRomanPSMT" w:hAnsi="TimesNewRomanPSMT" w:cs="TimesNewRomanPSMT"/>
          <w:i/>
          <w:iCs/>
          <w:szCs w:val="24"/>
        </w:rPr>
        <w:t>Oxford</w:t>
      </w:r>
      <w:proofErr w:type="spellEnd"/>
      <w:r w:rsidR="0044765B">
        <w:rPr>
          <w:rFonts w:ascii="TimesNewRomanPSMT" w:hAnsi="TimesNewRomanPSMT" w:cs="TimesNewRomanPSMT"/>
          <w:i/>
          <w:iCs/>
          <w:szCs w:val="24"/>
        </w:rPr>
        <w:t xml:space="preserve">: </w:t>
      </w:r>
      <w:proofErr w:type="spellStart"/>
      <w:r w:rsidR="0044765B">
        <w:rPr>
          <w:rFonts w:ascii="TimesNewRomanPSMT" w:hAnsi="TimesNewRomanPSMT" w:cs="TimesNewRomanPSMT"/>
          <w:i/>
          <w:iCs/>
          <w:szCs w:val="24"/>
        </w:rPr>
        <w:t>University</w:t>
      </w:r>
      <w:proofErr w:type="spellEnd"/>
      <w:r w:rsidR="0044765B">
        <w:rPr>
          <w:rFonts w:ascii="TimesNewRomanPSMT" w:hAnsi="TimesNewRomanPSMT" w:cs="TimesNewRomanPSMT"/>
          <w:i/>
          <w:iCs/>
          <w:szCs w:val="24"/>
        </w:rPr>
        <w:t xml:space="preserve"> </w:t>
      </w:r>
      <w:proofErr w:type="spellStart"/>
      <w:r w:rsidR="0044765B">
        <w:rPr>
          <w:rFonts w:ascii="TimesNewRomanPSMT" w:hAnsi="TimesNewRomanPSMT" w:cs="TimesNewRomanPSMT"/>
          <w:i/>
          <w:iCs/>
          <w:szCs w:val="24"/>
        </w:rPr>
        <w:t>Press</w:t>
      </w:r>
      <w:proofErr w:type="spellEnd"/>
      <w:r w:rsidR="0044765B">
        <w:rPr>
          <w:rFonts w:ascii="TimesNewRomanPSMT" w:hAnsi="TimesNewRomanPSMT" w:cs="TimesNewRomanPSMT"/>
          <w:i/>
          <w:iCs/>
          <w:szCs w:val="24"/>
        </w:rPr>
        <w:t>, 2010, p. 964, Nr. 11.2.5.</w:t>
      </w:r>
      <w:r w:rsidR="0044765B">
        <w:rPr>
          <w:rFonts w:ascii="TimesNewRomanPSMT" w:hAnsi="TimesNewRomanPSMT" w:cs="TimesNewRomanPSMT"/>
          <w:szCs w:val="24"/>
        </w:rPr>
        <w:t>). Arī darba turpmāko reprodukciju</w:t>
      </w:r>
      <w:r w:rsidR="00874A0A">
        <w:rPr>
          <w:rFonts w:ascii="TimesNewRomanPSMT" w:hAnsi="TimesNewRomanPSMT" w:cs="TimesNewRomanPSMT"/>
          <w:szCs w:val="24"/>
        </w:rPr>
        <w:t xml:space="preserve"> (kopiju) izveide izpaužas kā darba vai tā daļas ietveršana materializētā formā.</w:t>
      </w:r>
    </w:p>
    <w:p w14:paraId="52CB5BDD" w14:textId="548F1739" w:rsidR="009978CF" w:rsidRPr="00B404B5" w:rsidRDefault="00AF2849" w:rsidP="00EB59BC">
      <w:pPr>
        <w:pStyle w:val="ListBullet"/>
        <w:widowControl w:val="0"/>
        <w:numPr>
          <w:ilvl w:val="0"/>
          <w:numId w:val="0"/>
        </w:numPr>
        <w:spacing w:after="0"/>
        <w:ind w:firstLine="720"/>
        <w:contextualSpacing w:val="0"/>
        <w:jc w:val="both"/>
        <w:rPr>
          <w:rFonts w:ascii="TimesNewRomanPSMT" w:hAnsi="TimesNewRomanPSMT" w:cs="TimesNewRomanPSMT"/>
          <w:i/>
          <w:iCs/>
          <w:szCs w:val="24"/>
        </w:rPr>
      </w:pPr>
      <w:r>
        <w:rPr>
          <w:rFonts w:ascii="TimesNewRomanPSMT" w:hAnsi="TimesNewRomanPSMT" w:cs="TimesNewRomanPSMT"/>
          <w:szCs w:val="24"/>
        </w:rPr>
        <w:t xml:space="preserve">Autora tiesības reproducēt darbu </w:t>
      </w:r>
      <w:r w:rsidR="00B404B5">
        <w:rPr>
          <w:rFonts w:ascii="TimesNewRomanPSMT" w:hAnsi="TimesNewRomanPSMT" w:cs="TimesNewRomanPSMT"/>
          <w:szCs w:val="24"/>
        </w:rPr>
        <w:t xml:space="preserve">attiecībā uz datorprogrammām </w:t>
      </w:r>
      <w:r>
        <w:rPr>
          <w:rFonts w:ascii="TimesNewRomanPSMT" w:hAnsi="TimesNewRomanPSMT" w:cs="TimesNewRomanPSMT"/>
          <w:szCs w:val="24"/>
        </w:rPr>
        <w:t xml:space="preserve">ir </w:t>
      </w:r>
      <w:r w:rsidR="007C422C">
        <w:rPr>
          <w:rFonts w:ascii="TimesNewRomanPSMT" w:hAnsi="TimesNewRomanPSMT" w:cs="TimesNewRomanPSMT"/>
          <w:szCs w:val="24"/>
        </w:rPr>
        <w:t xml:space="preserve">noteiktas </w:t>
      </w:r>
      <w:r w:rsidR="009978CF">
        <w:rPr>
          <w:rFonts w:ascii="TimesNewRomanPSMT" w:hAnsi="TimesNewRomanPSMT" w:cs="TimesNewRomanPSMT"/>
          <w:szCs w:val="24"/>
        </w:rPr>
        <w:t>Direktīvas 2009/24/EK par datorprogrammu tiesisko aizsardzību 4. panta 1. punktā</w:t>
      </w:r>
      <w:r w:rsidR="00B404B5">
        <w:rPr>
          <w:rFonts w:ascii="TimesNewRomanPSMT" w:hAnsi="TimesNewRomanPSMT" w:cs="TimesNewRomanPSMT"/>
          <w:szCs w:val="24"/>
        </w:rPr>
        <w:t xml:space="preserve">, kas noteic, </w:t>
      </w:r>
      <w:r w:rsidR="00C87815">
        <w:rPr>
          <w:rFonts w:ascii="TimesNewRomanPSMT" w:hAnsi="TimesNewRomanPSMT" w:cs="TimesNewRomanPSMT"/>
          <w:szCs w:val="24"/>
        </w:rPr>
        <w:t xml:space="preserve">ka autortiesību subjektam ir izņēmuma tiesības īslaicīgi vai pastāvīgi reproducēt datorprogrammu ar jebkādiem līdzekļiem un jebkādā formā, </w:t>
      </w:r>
      <w:proofErr w:type="gramStart"/>
      <w:r w:rsidR="00C87815">
        <w:rPr>
          <w:rFonts w:ascii="TimesNewRomanPSMT" w:hAnsi="TimesNewRomanPSMT" w:cs="TimesNewRomanPSMT"/>
          <w:szCs w:val="24"/>
        </w:rPr>
        <w:t>pilnīgi vai daļēji</w:t>
      </w:r>
      <w:proofErr w:type="gramEnd"/>
      <w:r w:rsidR="00C87815">
        <w:rPr>
          <w:rFonts w:ascii="TimesNewRomanPSMT" w:hAnsi="TimesNewRomanPSMT" w:cs="TimesNewRomanPSMT"/>
          <w:szCs w:val="24"/>
        </w:rPr>
        <w:t xml:space="preserve">. </w:t>
      </w:r>
      <w:r w:rsidR="00B404B5">
        <w:rPr>
          <w:rFonts w:ascii="TimesNewRomanPSMT" w:hAnsi="TimesNewRomanPSMT" w:cs="TimesNewRomanPSMT"/>
          <w:szCs w:val="24"/>
        </w:rPr>
        <w:t>C</w:t>
      </w:r>
      <w:r w:rsidR="008D3932">
        <w:rPr>
          <w:rFonts w:ascii="TimesNewRomanPSMT" w:hAnsi="TimesNewRomanPSMT" w:cs="TimesNewRomanPSMT"/>
          <w:szCs w:val="24"/>
        </w:rPr>
        <w:t>iktāl datorprogrammas ielādei, attēlošanai uz ekrāna (demonstrēšanai), lietošanai, pārraidīšanai vai [</w:t>
      </w:r>
      <w:proofErr w:type="spellStart"/>
      <w:r w:rsidR="008D3932">
        <w:rPr>
          <w:rFonts w:ascii="TimesNewRomanPSMT" w:hAnsi="TimesNewRomanPSMT" w:cs="TimesNewRomanPSMT"/>
          <w:szCs w:val="24"/>
        </w:rPr>
        <w:t>sa]glabāšanai</w:t>
      </w:r>
      <w:proofErr w:type="spellEnd"/>
      <w:r w:rsidR="008D3932">
        <w:rPr>
          <w:rFonts w:ascii="TimesNewRomanPSMT" w:hAnsi="TimesNewRomanPSMT" w:cs="TimesNewRomanPSMT"/>
          <w:szCs w:val="24"/>
        </w:rPr>
        <w:t xml:space="preserve"> (</w:t>
      </w:r>
      <w:proofErr w:type="spellStart"/>
      <w:r w:rsidR="008D3932">
        <w:rPr>
          <w:rFonts w:ascii="TimesNewRomanPSMT" w:hAnsi="TimesNewRomanPSMT" w:cs="TimesNewRomanPSMT"/>
          <w:i/>
          <w:iCs/>
          <w:szCs w:val="24"/>
        </w:rPr>
        <w:t>storage</w:t>
      </w:r>
      <w:proofErr w:type="spellEnd"/>
      <w:r w:rsidR="008D3932">
        <w:rPr>
          <w:rFonts w:ascii="TimesNewRomanPSMT" w:hAnsi="TimesNewRomanPSMT" w:cs="TimesNewRomanPSMT"/>
          <w:szCs w:val="24"/>
        </w:rPr>
        <w:t>,</w:t>
      </w:r>
      <w:r w:rsidR="008D3932">
        <w:rPr>
          <w:rFonts w:ascii="TimesNewRomanPSMT" w:hAnsi="TimesNewRomanPSMT" w:cs="TimesNewRomanPSMT"/>
          <w:i/>
          <w:iCs/>
          <w:szCs w:val="24"/>
        </w:rPr>
        <w:t xml:space="preserve"> </w:t>
      </w:r>
      <w:proofErr w:type="spellStart"/>
      <w:r w:rsidR="008D3932">
        <w:rPr>
          <w:rFonts w:ascii="TimesNewRomanPSMT" w:hAnsi="TimesNewRomanPSMT" w:cs="TimesNewRomanPSMT"/>
          <w:i/>
          <w:iCs/>
          <w:szCs w:val="24"/>
        </w:rPr>
        <w:t>le</w:t>
      </w:r>
      <w:proofErr w:type="spellEnd"/>
      <w:r w:rsidR="008D3932">
        <w:rPr>
          <w:rFonts w:ascii="TimesNewRomanPSMT" w:hAnsi="TimesNewRomanPSMT" w:cs="TimesNewRomanPSMT"/>
          <w:i/>
          <w:iCs/>
          <w:szCs w:val="24"/>
        </w:rPr>
        <w:t xml:space="preserve"> </w:t>
      </w:r>
      <w:proofErr w:type="spellStart"/>
      <w:r w:rsidR="008D3932">
        <w:rPr>
          <w:rFonts w:ascii="TimesNewRomanPSMT" w:hAnsi="TimesNewRomanPSMT" w:cs="TimesNewRomanPSMT"/>
          <w:i/>
          <w:iCs/>
          <w:szCs w:val="24"/>
        </w:rPr>
        <w:t>stockage</w:t>
      </w:r>
      <w:proofErr w:type="spellEnd"/>
      <w:r w:rsidR="008D3932">
        <w:rPr>
          <w:rFonts w:ascii="TimesNewRomanPSMT" w:hAnsi="TimesNewRomanPSMT" w:cs="TimesNewRomanPSMT"/>
          <w:szCs w:val="24"/>
        </w:rPr>
        <w:t xml:space="preserve">, </w:t>
      </w:r>
      <w:proofErr w:type="spellStart"/>
      <w:r w:rsidR="008D3932">
        <w:rPr>
          <w:rFonts w:ascii="TimesNewRomanPSMT" w:hAnsi="TimesNewRomanPSMT" w:cs="TimesNewRomanPSMT"/>
          <w:i/>
          <w:iCs/>
          <w:szCs w:val="24"/>
        </w:rPr>
        <w:t>Speichern</w:t>
      </w:r>
      <w:proofErr w:type="spellEnd"/>
      <w:r w:rsidR="008D3932">
        <w:rPr>
          <w:rFonts w:ascii="TimesNewRomanPSMT" w:hAnsi="TimesNewRomanPSMT" w:cs="TimesNewRomanPSMT"/>
          <w:szCs w:val="24"/>
        </w:rPr>
        <w:t>) nepieciešama tās reproducēšana, šādām darbībām jāsaņem autortiesību subjekta atļauja.</w:t>
      </w:r>
    </w:p>
    <w:p w14:paraId="399E4597" w14:textId="1A6F0E02" w:rsidR="00B404B5" w:rsidRDefault="00500E9E" w:rsidP="00EB59BC">
      <w:pPr>
        <w:pStyle w:val="ListBullet"/>
        <w:widowControl w:val="0"/>
        <w:numPr>
          <w:ilvl w:val="0"/>
          <w:numId w:val="0"/>
        </w:numPr>
        <w:spacing w:after="0"/>
        <w:ind w:firstLine="720"/>
        <w:contextualSpacing w:val="0"/>
        <w:jc w:val="both"/>
        <w:rPr>
          <w:rFonts w:ascii="TimesNewRomanPSMT" w:hAnsi="TimesNewRomanPSMT" w:cs="TimesNewRomanPSMT"/>
          <w:szCs w:val="24"/>
        </w:rPr>
      </w:pPr>
      <w:r>
        <w:rPr>
          <w:rFonts w:ascii="TimesNewRomanPSMT" w:hAnsi="TimesNewRomanPSMT" w:cs="TimesNewRomanPSMT"/>
          <w:szCs w:val="24"/>
        </w:rPr>
        <w:t>Tādējādi n</w:t>
      </w:r>
      <w:r w:rsidR="00CC738F">
        <w:rPr>
          <w:rFonts w:ascii="TimesNewRomanPSMT" w:hAnsi="TimesNewRomanPSMT" w:cs="TimesNewRomanPSMT"/>
          <w:szCs w:val="24"/>
        </w:rPr>
        <w:t xml:space="preserve">o Direktīvas 2009/24/EK 4. panta 1. punkta a) apakšpunktā sniegtā regulējuma izriet, ka </w:t>
      </w:r>
      <w:r w:rsidR="00BF7957">
        <w:rPr>
          <w:rFonts w:ascii="TimesNewRomanPSMT" w:hAnsi="TimesNewRomanPSMT" w:cs="TimesNewRomanPSMT"/>
          <w:szCs w:val="24"/>
        </w:rPr>
        <w:t>šajā tiesību normā norādīto darbību veikšanai autortiesību subjekta atļauja jāsaņem tikai tad, ja ar konkrēto darbību tiek īstenota datorprogrammas reproducēšana. Tas nozīmē, ka norādītās darbības Direktīvā</w:t>
      </w:r>
      <w:r w:rsidR="00736CDA">
        <w:rPr>
          <w:rFonts w:ascii="TimesNewRomanPSMT" w:hAnsi="TimesNewRomanPSMT" w:cs="TimesNewRomanPSMT"/>
          <w:szCs w:val="24"/>
        </w:rPr>
        <w:t xml:space="preserve"> 2009/24/EK</w:t>
      </w:r>
      <w:r w:rsidR="00BF7957">
        <w:rPr>
          <w:rFonts w:ascii="TimesNewRomanPSMT" w:hAnsi="TimesNewRomanPSMT" w:cs="TimesNewRomanPSMT"/>
          <w:szCs w:val="24"/>
        </w:rPr>
        <w:t xml:space="preserve"> netiek regulētas kā patstāvīgi datorprogrammas izmantošanas veidi autortiesību izpratnē.</w:t>
      </w:r>
      <w:r w:rsidR="00874A0A">
        <w:rPr>
          <w:rFonts w:ascii="TimesNewRomanPSMT" w:hAnsi="TimesNewRomanPSMT" w:cs="TimesNewRomanPSMT"/>
          <w:szCs w:val="24"/>
        </w:rPr>
        <w:t xml:space="preserve"> Ievērojot to, ka reproducēšanas tiesības attiecas uz darba ietveršanu materializētā formā, un to, ka reproducēšana ir pabeigta ar brīdi, kad darbs ir ietverts materializētā formā, </w:t>
      </w:r>
      <w:r w:rsidR="00586028">
        <w:rPr>
          <w:rFonts w:ascii="TimesNewRomanPSMT" w:hAnsi="TimesNewRomanPSMT" w:cs="TimesNewRomanPSMT"/>
          <w:szCs w:val="24"/>
        </w:rPr>
        <w:t xml:space="preserve">Senāts atzīst, ka </w:t>
      </w:r>
      <w:r w:rsidR="00874A0A">
        <w:rPr>
          <w:rFonts w:ascii="TimesNewRomanPSMT" w:hAnsi="TimesNewRomanPSMT" w:cs="TimesNewRomanPSMT"/>
          <w:szCs w:val="24"/>
        </w:rPr>
        <w:t>nav pamata autora izņēmuma tiesības uz darba reproducēšanu attiecināt uz darba glabāšanu materializētā formā.</w:t>
      </w:r>
    </w:p>
    <w:p w14:paraId="30E800EC" w14:textId="5B73A2BF" w:rsidR="00D4298F" w:rsidRDefault="00FC3234" w:rsidP="00EB59BC">
      <w:pPr>
        <w:pStyle w:val="ListBullet"/>
        <w:widowControl w:val="0"/>
        <w:numPr>
          <w:ilvl w:val="0"/>
          <w:numId w:val="0"/>
        </w:numPr>
        <w:spacing w:after="0"/>
        <w:ind w:firstLine="720"/>
        <w:contextualSpacing w:val="0"/>
        <w:jc w:val="both"/>
        <w:rPr>
          <w:rFonts w:ascii="TimesNewRomanPSMT" w:hAnsi="TimesNewRomanPSMT" w:cs="TimesNewRomanPSMT"/>
          <w:szCs w:val="24"/>
        </w:rPr>
      </w:pPr>
      <w:r>
        <w:rPr>
          <w:rFonts w:ascii="TimesNewRomanPSMT" w:hAnsi="TimesNewRomanPSMT" w:cs="TimesNewRomanPSMT"/>
          <w:szCs w:val="24"/>
        </w:rPr>
        <w:t>Uz to, ka, izvērtējot, vai apsūdzētais ir veicis datorprogrammu reproducēšanu bez autortiesību subjekta atļaujas, tiesai ir jāņem vērā Direktīvas 2009/24/EK 4. panta 1. punkta a)</w:t>
      </w:r>
      <w:r w:rsidR="00064F40">
        <w:rPr>
          <w:rFonts w:ascii="TimesNewRomanPSMT" w:hAnsi="TimesNewRomanPSMT" w:cs="TimesNewRomanPSMT"/>
          <w:szCs w:val="24"/>
        </w:rPr>
        <w:t> </w:t>
      </w:r>
      <w:r>
        <w:rPr>
          <w:rFonts w:ascii="TimesNewRomanPSMT" w:hAnsi="TimesNewRomanPSMT" w:cs="TimesNewRomanPSMT"/>
          <w:szCs w:val="24"/>
        </w:rPr>
        <w:t xml:space="preserve">apakšpunktā noteiktais datorprogrammu reproducēšanas jēdziens, Senāts bija norādījis jau 2021. gada 21. septembra lēmumā, taču apelācijas instances tiesa šo norādi atstājusi bez ievērības, spriedumā atkārtojot iepriekšējā apelācijas instances tiesas nolēmumā paustās </w:t>
      </w:r>
      <w:r w:rsidR="005F7D83">
        <w:rPr>
          <w:rFonts w:ascii="TimesNewRomanPSMT" w:hAnsi="TimesNewRomanPSMT" w:cs="TimesNewRomanPSMT"/>
          <w:szCs w:val="24"/>
        </w:rPr>
        <w:t>kļūdainās</w:t>
      </w:r>
      <w:r>
        <w:rPr>
          <w:rFonts w:ascii="TimesNewRomanPSMT" w:hAnsi="TimesNewRomanPSMT" w:cs="TimesNewRomanPSMT"/>
          <w:szCs w:val="24"/>
        </w:rPr>
        <w:t xml:space="preserve"> atziņas.</w:t>
      </w:r>
    </w:p>
    <w:p w14:paraId="52C3BC81" w14:textId="7AA4A300" w:rsidR="00F84D45" w:rsidRDefault="00D4298F" w:rsidP="00EB59BC">
      <w:pPr>
        <w:pStyle w:val="ListBullet"/>
        <w:widowControl w:val="0"/>
        <w:numPr>
          <w:ilvl w:val="0"/>
          <w:numId w:val="0"/>
        </w:numPr>
        <w:spacing w:after="0"/>
        <w:ind w:firstLine="720"/>
        <w:contextualSpacing w:val="0"/>
        <w:jc w:val="both"/>
        <w:rPr>
          <w:rFonts w:ascii="TimesNewRomanPSMT" w:hAnsi="TimesNewRomanPSMT" w:cs="TimesNewRomanPSMT"/>
          <w:szCs w:val="24"/>
        </w:rPr>
      </w:pPr>
      <w:r>
        <w:rPr>
          <w:rFonts w:ascii="TimesNewRomanPSMT" w:hAnsi="TimesNewRomanPSMT" w:cs="TimesNewRomanPSMT"/>
          <w:szCs w:val="24"/>
        </w:rPr>
        <w:t>Saskaņā ar Pasaules intelektuālā īpašuma</w:t>
      </w:r>
      <w:r w:rsidR="00F84D45">
        <w:rPr>
          <w:rFonts w:ascii="TimesNewRomanPSMT" w:hAnsi="TimesNewRomanPSMT" w:cs="TimesNewRomanPSMT"/>
          <w:szCs w:val="24"/>
        </w:rPr>
        <w:t xml:space="preserve"> organizācijas</w:t>
      </w:r>
      <w:r>
        <w:rPr>
          <w:rFonts w:ascii="TimesNewRomanPSMT" w:hAnsi="TimesNewRomanPSMT" w:cs="TimesNewRomanPSMT"/>
          <w:szCs w:val="24"/>
        </w:rPr>
        <w:t xml:space="preserve"> (WIPO) </w:t>
      </w:r>
      <w:r w:rsidR="00F84D45">
        <w:rPr>
          <w:rFonts w:ascii="TimesNewRomanPSMT" w:hAnsi="TimesNewRomanPSMT" w:cs="TimesNewRomanPSMT"/>
          <w:szCs w:val="24"/>
        </w:rPr>
        <w:t>līguma par autortiesībām 1. panta 4. punktu šo līgumu noslēgušajām valstīm ir jāievēro Bernes konvencijas par literāro un mākslas darbu aizsardzību (turpmāk – Bernes konvencija) 1.– 21. pants un pielikums. Tas nozīmē, ka šīm valstīm jāievēro arī Bernes konvencijas 9. pants, kas paredz autoru izņēmuma tiesības reproducēt darbus.</w:t>
      </w:r>
    </w:p>
    <w:p w14:paraId="29FFFE1F" w14:textId="38385AF2" w:rsidR="00020C14" w:rsidRDefault="00F84D45" w:rsidP="00EB59BC">
      <w:pPr>
        <w:pStyle w:val="ListBullet"/>
        <w:widowControl w:val="0"/>
        <w:numPr>
          <w:ilvl w:val="0"/>
          <w:numId w:val="0"/>
        </w:numPr>
        <w:spacing w:after="0"/>
        <w:ind w:firstLine="720"/>
        <w:contextualSpacing w:val="0"/>
        <w:jc w:val="both"/>
        <w:rPr>
          <w:rFonts w:ascii="TimesNewRomanPSMT" w:hAnsi="TimesNewRomanPSMT" w:cs="TimesNewRomanPSMT"/>
          <w:szCs w:val="24"/>
        </w:rPr>
      </w:pPr>
      <w:bookmarkStart w:id="1" w:name="_Hlk145060459"/>
      <w:r>
        <w:rPr>
          <w:rFonts w:ascii="TimesNewRomanPSMT" w:hAnsi="TimesNewRomanPSMT" w:cs="TimesNewRomanPSMT"/>
          <w:szCs w:val="24"/>
        </w:rPr>
        <w:t>Juridiskajā literatūrā ir norādīts, ka jau no pagājušā gadsimta septiņdesmitajiem gadiem, bet noteikti no 1982. gada</w:t>
      </w:r>
      <w:r w:rsidR="00064F40">
        <w:rPr>
          <w:rFonts w:ascii="TimesNewRomanPSMT" w:hAnsi="TimesNewRomanPSMT" w:cs="TimesNewRomanPSMT"/>
          <w:szCs w:val="24"/>
        </w:rPr>
        <w:t>,</w:t>
      </w:r>
      <w:r>
        <w:rPr>
          <w:rFonts w:ascii="TimesNewRomanPSMT" w:hAnsi="TimesNewRomanPSMT" w:cs="TimesNewRomanPSMT"/>
          <w:szCs w:val="24"/>
        </w:rPr>
        <w:t xml:space="preserve"> ir atzīts, ka darbu saglabāšana elektroniskajā atmiņā (</w:t>
      </w:r>
      <w:proofErr w:type="spellStart"/>
      <w:r>
        <w:rPr>
          <w:rFonts w:ascii="TimesNewRomanPSMT" w:hAnsi="TimesNewRomanPSMT" w:cs="TimesNewRomanPSMT"/>
          <w:i/>
          <w:iCs/>
          <w:szCs w:val="24"/>
        </w:rPr>
        <w:t>electronic</w:t>
      </w:r>
      <w:proofErr w:type="spellEnd"/>
      <w:r>
        <w:rPr>
          <w:rFonts w:ascii="TimesNewRomanPSMT" w:hAnsi="TimesNewRomanPSMT" w:cs="TimesNewRomanPSMT"/>
          <w:i/>
          <w:iCs/>
          <w:szCs w:val="24"/>
        </w:rPr>
        <w:t xml:space="preserve"> </w:t>
      </w:r>
      <w:proofErr w:type="spellStart"/>
      <w:r>
        <w:rPr>
          <w:rFonts w:ascii="TimesNewRomanPSMT" w:hAnsi="TimesNewRomanPSMT" w:cs="TimesNewRomanPSMT"/>
          <w:i/>
          <w:iCs/>
          <w:szCs w:val="24"/>
        </w:rPr>
        <w:t>memories</w:t>
      </w:r>
      <w:proofErr w:type="spellEnd"/>
      <w:r>
        <w:rPr>
          <w:rFonts w:ascii="TimesNewRomanPSMT" w:hAnsi="TimesNewRomanPSMT" w:cs="TimesNewRomanPSMT"/>
          <w:szCs w:val="24"/>
        </w:rPr>
        <w:t>) ir reproducēšana</w:t>
      </w:r>
      <w:bookmarkEnd w:id="1"/>
      <w:r>
        <w:rPr>
          <w:rFonts w:ascii="TimesNewRomanPSMT" w:hAnsi="TimesNewRomanPSMT" w:cs="TimesNewRomanPSMT"/>
          <w:szCs w:val="24"/>
        </w:rPr>
        <w:t>.</w:t>
      </w:r>
      <w:r w:rsidR="00CC2BF8">
        <w:rPr>
          <w:rFonts w:ascii="TimesNewRomanPSMT" w:hAnsi="TimesNewRomanPSMT" w:cs="TimesNewRomanPSMT"/>
          <w:szCs w:val="24"/>
        </w:rPr>
        <w:t xml:space="preserve"> Šāda saglabāšana pilnībā atbilst reproducēšanas konceptam, kas ietverts Bernes konvencijā: tā nodrošina iespēju darbu netieši publiskot vai radīt turpmāku reprodukciju </w:t>
      </w:r>
      <w:proofErr w:type="gramStart"/>
      <w:r w:rsidR="00CC2BF8">
        <w:rPr>
          <w:rFonts w:ascii="TimesNewRomanPSMT" w:hAnsi="TimesNewRomanPSMT" w:cs="TimesNewRomanPSMT"/>
          <w:szCs w:val="24"/>
        </w:rPr>
        <w:t>(</w:t>
      </w:r>
      <w:proofErr w:type="gramEnd"/>
      <w:r w:rsidR="00CC2BF8">
        <w:rPr>
          <w:rFonts w:ascii="TimesNewRomanPSMT" w:hAnsi="TimesNewRomanPSMT" w:cs="TimesNewRomanPSMT"/>
          <w:szCs w:val="24"/>
        </w:rPr>
        <w:t>izveidot jaunu fiksāciju). Faktam, ka darba kopiju, kas ir saglabāta (</w:t>
      </w:r>
      <w:proofErr w:type="spellStart"/>
      <w:r w:rsidR="00CC2BF8">
        <w:rPr>
          <w:rFonts w:ascii="TimesNewRomanPSMT" w:hAnsi="TimesNewRomanPSMT" w:cs="TimesNewRomanPSMT"/>
          <w:i/>
          <w:iCs/>
          <w:szCs w:val="24"/>
        </w:rPr>
        <w:t>stored</w:t>
      </w:r>
      <w:proofErr w:type="spellEnd"/>
      <w:r w:rsidR="00CC2BF8">
        <w:rPr>
          <w:rFonts w:ascii="TimesNewRomanPSMT" w:hAnsi="TimesNewRomanPSMT" w:cs="TimesNewRomanPSMT"/>
          <w:szCs w:val="24"/>
        </w:rPr>
        <w:t>) elektroniskajā atmiņā, nevar uztvert tieši, bet tikai izmantojot piemērotu aprīkojumu, nav nozīmes; tā arvien atbilst visām kopijas pazīmēm (</w:t>
      </w:r>
      <w:proofErr w:type="spellStart"/>
      <w:r w:rsidR="00CC2BF8">
        <w:rPr>
          <w:rFonts w:ascii="TimesNewRomanPSMT" w:hAnsi="TimesNewRomanPSMT" w:cs="TimesNewRomanPSMT"/>
          <w:i/>
          <w:iCs/>
          <w:szCs w:val="24"/>
        </w:rPr>
        <w:t>Ficsor</w:t>
      </w:r>
      <w:proofErr w:type="spellEnd"/>
      <w:r w:rsidR="00CC2BF8">
        <w:rPr>
          <w:rFonts w:ascii="TimesNewRomanPSMT" w:hAnsi="TimesNewRomanPSMT" w:cs="TimesNewRomanPSMT"/>
          <w:i/>
          <w:iCs/>
          <w:szCs w:val="24"/>
        </w:rPr>
        <w:t xml:space="preserve"> M. </w:t>
      </w:r>
      <w:proofErr w:type="spellStart"/>
      <w:r w:rsidR="00CC2BF8">
        <w:rPr>
          <w:rFonts w:ascii="TimesNewRomanPSMT" w:hAnsi="TimesNewRomanPSMT" w:cs="TimesNewRomanPSMT"/>
          <w:i/>
          <w:iCs/>
          <w:szCs w:val="24"/>
        </w:rPr>
        <w:t>Guide</w:t>
      </w:r>
      <w:proofErr w:type="spellEnd"/>
      <w:r w:rsidR="00CC2BF8">
        <w:rPr>
          <w:rFonts w:ascii="TimesNewRomanPSMT" w:hAnsi="TimesNewRomanPSMT" w:cs="TimesNewRomanPSMT"/>
          <w:i/>
          <w:iCs/>
          <w:szCs w:val="24"/>
        </w:rPr>
        <w:t xml:space="preserve"> to </w:t>
      </w:r>
      <w:proofErr w:type="spellStart"/>
      <w:r w:rsidR="00CC2BF8">
        <w:rPr>
          <w:rFonts w:ascii="TimesNewRomanPSMT" w:hAnsi="TimesNewRomanPSMT" w:cs="TimesNewRomanPSMT"/>
          <w:i/>
          <w:iCs/>
          <w:szCs w:val="24"/>
        </w:rPr>
        <w:t>the</w:t>
      </w:r>
      <w:proofErr w:type="spellEnd"/>
      <w:r w:rsidR="00CC2BF8">
        <w:rPr>
          <w:rFonts w:ascii="TimesNewRomanPSMT" w:hAnsi="TimesNewRomanPSMT" w:cs="TimesNewRomanPSMT"/>
          <w:i/>
          <w:iCs/>
          <w:szCs w:val="24"/>
        </w:rPr>
        <w:t xml:space="preserve"> </w:t>
      </w:r>
      <w:proofErr w:type="spellStart"/>
      <w:r w:rsidR="00CC2BF8">
        <w:rPr>
          <w:rFonts w:ascii="TimesNewRomanPSMT" w:hAnsi="TimesNewRomanPSMT" w:cs="TimesNewRomanPSMT"/>
          <w:i/>
          <w:iCs/>
          <w:szCs w:val="24"/>
        </w:rPr>
        <w:t>Copyright</w:t>
      </w:r>
      <w:proofErr w:type="spellEnd"/>
      <w:r w:rsidR="00CC2BF8">
        <w:rPr>
          <w:rFonts w:ascii="TimesNewRomanPSMT" w:hAnsi="TimesNewRomanPSMT" w:cs="TimesNewRomanPSMT"/>
          <w:i/>
          <w:iCs/>
          <w:szCs w:val="24"/>
        </w:rPr>
        <w:t xml:space="preserve"> </w:t>
      </w:r>
      <w:proofErr w:type="spellStart"/>
      <w:r w:rsidR="00CC2BF8">
        <w:rPr>
          <w:rFonts w:ascii="TimesNewRomanPSMT" w:hAnsi="TimesNewRomanPSMT" w:cs="TimesNewRomanPSMT"/>
          <w:i/>
          <w:iCs/>
          <w:szCs w:val="24"/>
        </w:rPr>
        <w:t>and</w:t>
      </w:r>
      <w:proofErr w:type="spellEnd"/>
      <w:r w:rsidR="00CC2BF8">
        <w:rPr>
          <w:rFonts w:ascii="TimesNewRomanPSMT" w:hAnsi="TimesNewRomanPSMT" w:cs="TimesNewRomanPSMT"/>
          <w:i/>
          <w:iCs/>
          <w:szCs w:val="24"/>
        </w:rPr>
        <w:t xml:space="preserve"> </w:t>
      </w:r>
      <w:proofErr w:type="spellStart"/>
      <w:r w:rsidR="00CC2BF8">
        <w:rPr>
          <w:rFonts w:ascii="TimesNewRomanPSMT" w:hAnsi="TimesNewRomanPSMT" w:cs="TimesNewRomanPSMT"/>
          <w:i/>
          <w:iCs/>
          <w:szCs w:val="24"/>
        </w:rPr>
        <w:t>Related</w:t>
      </w:r>
      <w:proofErr w:type="spellEnd"/>
      <w:r w:rsidR="00CC2BF8">
        <w:rPr>
          <w:rFonts w:ascii="TimesNewRomanPSMT" w:hAnsi="TimesNewRomanPSMT" w:cs="TimesNewRomanPSMT"/>
          <w:i/>
          <w:iCs/>
          <w:szCs w:val="24"/>
        </w:rPr>
        <w:t xml:space="preserve"> </w:t>
      </w:r>
      <w:proofErr w:type="spellStart"/>
      <w:r w:rsidR="00CC2BF8">
        <w:rPr>
          <w:rFonts w:ascii="TimesNewRomanPSMT" w:hAnsi="TimesNewRomanPSMT" w:cs="TimesNewRomanPSMT"/>
          <w:i/>
          <w:iCs/>
          <w:szCs w:val="24"/>
        </w:rPr>
        <w:t>Rights</w:t>
      </w:r>
      <w:proofErr w:type="spellEnd"/>
      <w:r w:rsidR="00CC2BF8">
        <w:rPr>
          <w:rFonts w:ascii="TimesNewRomanPSMT" w:hAnsi="TimesNewRomanPSMT" w:cs="TimesNewRomanPSMT"/>
          <w:i/>
          <w:iCs/>
          <w:szCs w:val="24"/>
        </w:rPr>
        <w:t xml:space="preserve"> </w:t>
      </w:r>
      <w:proofErr w:type="spellStart"/>
      <w:r w:rsidR="00CC2BF8">
        <w:rPr>
          <w:rFonts w:ascii="TimesNewRomanPSMT" w:hAnsi="TimesNewRomanPSMT" w:cs="TimesNewRomanPSMT"/>
          <w:i/>
          <w:iCs/>
          <w:szCs w:val="24"/>
        </w:rPr>
        <w:t>Treaties</w:t>
      </w:r>
      <w:proofErr w:type="spellEnd"/>
      <w:r w:rsidR="00CC2BF8">
        <w:rPr>
          <w:rFonts w:ascii="TimesNewRomanPSMT" w:hAnsi="TimesNewRomanPSMT" w:cs="TimesNewRomanPSMT"/>
          <w:i/>
          <w:iCs/>
          <w:szCs w:val="24"/>
        </w:rPr>
        <w:t xml:space="preserve"> </w:t>
      </w:r>
      <w:proofErr w:type="spellStart"/>
      <w:r w:rsidR="00CC2BF8">
        <w:rPr>
          <w:rFonts w:ascii="TimesNewRomanPSMT" w:hAnsi="TimesNewRomanPSMT" w:cs="TimesNewRomanPSMT"/>
          <w:i/>
          <w:iCs/>
          <w:szCs w:val="24"/>
        </w:rPr>
        <w:t>Administered</w:t>
      </w:r>
      <w:proofErr w:type="spellEnd"/>
      <w:r w:rsidR="00020C14">
        <w:rPr>
          <w:rFonts w:ascii="TimesNewRomanPSMT" w:hAnsi="TimesNewRomanPSMT" w:cs="TimesNewRomanPSMT"/>
          <w:i/>
          <w:iCs/>
          <w:szCs w:val="24"/>
        </w:rPr>
        <w:t xml:space="preserve"> </w:t>
      </w:r>
      <w:proofErr w:type="spellStart"/>
      <w:r w:rsidR="00020C14">
        <w:rPr>
          <w:rFonts w:ascii="TimesNewRomanPSMT" w:hAnsi="TimesNewRomanPSMT" w:cs="TimesNewRomanPSMT"/>
          <w:i/>
          <w:iCs/>
          <w:szCs w:val="24"/>
        </w:rPr>
        <w:t>by</w:t>
      </w:r>
      <w:proofErr w:type="spellEnd"/>
      <w:r w:rsidR="00020C14">
        <w:rPr>
          <w:rFonts w:ascii="TimesNewRomanPSMT" w:hAnsi="TimesNewRomanPSMT" w:cs="TimesNewRomanPSMT"/>
          <w:i/>
          <w:iCs/>
          <w:szCs w:val="24"/>
        </w:rPr>
        <w:t xml:space="preserve"> WIPO </w:t>
      </w:r>
      <w:proofErr w:type="spellStart"/>
      <w:r w:rsidR="00020C14">
        <w:rPr>
          <w:rFonts w:ascii="TimesNewRomanPSMT" w:hAnsi="TimesNewRomanPSMT" w:cs="TimesNewRomanPSMT"/>
          <w:i/>
          <w:iCs/>
          <w:szCs w:val="24"/>
        </w:rPr>
        <w:t>and</w:t>
      </w:r>
      <w:proofErr w:type="spellEnd"/>
      <w:r w:rsidR="00020C14">
        <w:rPr>
          <w:rFonts w:ascii="TimesNewRomanPSMT" w:hAnsi="TimesNewRomanPSMT" w:cs="TimesNewRomanPSMT"/>
          <w:i/>
          <w:iCs/>
          <w:szCs w:val="24"/>
        </w:rPr>
        <w:t xml:space="preserve"> </w:t>
      </w:r>
      <w:proofErr w:type="spellStart"/>
      <w:r w:rsidR="00020C14">
        <w:rPr>
          <w:rFonts w:ascii="TimesNewRomanPSMT" w:hAnsi="TimesNewRomanPSMT" w:cs="TimesNewRomanPSMT"/>
          <w:i/>
          <w:iCs/>
          <w:szCs w:val="24"/>
        </w:rPr>
        <w:t>Glossary</w:t>
      </w:r>
      <w:proofErr w:type="spellEnd"/>
      <w:r w:rsidR="00020C14">
        <w:rPr>
          <w:rFonts w:ascii="TimesNewRomanPSMT" w:hAnsi="TimesNewRomanPSMT" w:cs="TimesNewRomanPSMT"/>
          <w:i/>
          <w:iCs/>
          <w:szCs w:val="24"/>
        </w:rPr>
        <w:t xml:space="preserve"> </w:t>
      </w:r>
      <w:proofErr w:type="spellStart"/>
      <w:r w:rsidR="00020C14">
        <w:rPr>
          <w:rFonts w:ascii="TimesNewRomanPSMT" w:hAnsi="TimesNewRomanPSMT" w:cs="TimesNewRomanPSMT"/>
          <w:i/>
          <w:iCs/>
          <w:szCs w:val="24"/>
        </w:rPr>
        <w:t>of</w:t>
      </w:r>
      <w:proofErr w:type="spellEnd"/>
      <w:r w:rsidR="00020C14">
        <w:rPr>
          <w:rFonts w:ascii="TimesNewRomanPSMT" w:hAnsi="TimesNewRomanPSMT" w:cs="TimesNewRomanPSMT"/>
          <w:i/>
          <w:iCs/>
          <w:szCs w:val="24"/>
        </w:rPr>
        <w:t xml:space="preserve"> </w:t>
      </w:r>
      <w:proofErr w:type="spellStart"/>
      <w:r w:rsidR="00020C14">
        <w:rPr>
          <w:rFonts w:ascii="TimesNewRomanPSMT" w:hAnsi="TimesNewRomanPSMT" w:cs="TimesNewRomanPSMT"/>
          <w:i/>
          <w:iCs/>
          <w:szCs w:val="24"/>
        </w:rPr>
        <w:t>Copyright</w:t>
      </w:r>
      <w:proofErr w:type="spellEnd"/>
      <w:r w:rsidR="00020C14">
        <w:rPr>
          <w:rFonts w:ascii="TimesNewRomanPSMT" w:hAnsi="TimesNewRomanPSMT" w:cs="TimesNewRomanPSMT"/>
          <w:i/>
          <w:iCs/>
          <w:szCs w:val="24"/>
        </w:rPr>
        <w:t xml:space="preserve"> </w:t>
      </w:r>
      <w:proofErr w:type="spellStart"/>
      <w:r w:rsidR="00020C14">
        <w:rPr>
          <w:rFonts w:ascii="TimesNewRomanPSMT" w:hAnsi="TimesNewRomanPSMT" w:cs="TimesNewRomanPSMT"/>
          <w:i/>
          <w:iCs/>
          <w:szCs w:val="24"/>
        </w:rPr>
        <w:t>and</w:t>
      </w:r>
      <w:proofErr w:type="spellEnd"/>
      <w:r w:rsidR="00020C14">
        <w:rPr>
          <w:rFonts w:ascii="TimesNewRomanPSMT" w:hAnsi="TimesNewRomanPSMT" w:cs="TimesNewRomanPSMT"/>
          <w:i/>
          <w:iCs/>
          <w:szCs w:val="24"/>
        </w:rPr>
        <w:t xml:space="preserve"> </w:t>
      </w:r>
      <w:proofErr w:type="spellStart"/>
      <w:r w:rsidR="00020C14">
        <w:rPr>
          <w:rFonts w:ascii="TimesNewRomanPSMT" w:hAnsi="TimesNewRomanPSMT" w:cs="TimesNewRomanPSMT"/>
          <w:i/>
          <w:iCs/>
          <w:szCs w:val="24"/>
        </w:rPr>
        <w:t>Related</w:t>
      </w:r>
      <w:proofErr w:type="spellEnd"/>
      <w:r w:rsidR="00020C14">
        <w:rPr>
          <w:rFonts w:ascii="TimesNewRomanPSMT" w:hAnsi="TimesNewRomanPSMT" w:cs="TimesNewRomanPSMT"/>
          <w:i/>
          <w:iCs/>
          <w:szCs w:val="24"/>
        </w:rPr>
        <w:t xml:space="preserve"> </w:t>
      </w:r>
      <w:proofErr w:type="spellStart"/>
      <w:r w:rsidR="00020C14">
        <w:rPr>
          <w:rFonts w:ascii="TimesNewRomanPSMT" w:hAnsi="TimesNewRomanPSMT" w:cs="TimesNewRomanPSMT"/>
          <w:i/>
          <w:iCs/>
          <w:szCs w:val="24"/>
        </w:rPr>
        <w:t>Rights</w:t>
      </w:r>
      <w:proofErr w:type="spellEnd"/>
      <w:r w:rsidR="00020C14">
        <w:rPr>
          <w:rFonts w:ascii="TimesNewRomanPSMT" w:hAnsi="TimesNewRomanPSMT" w:cs="TimesNewRomanPSMT"/>
          <w:i/>
          <w:iCs/>
          <w:szCs w:val="24"/>
        </w:rPr>
        <w:t xml:space="preserve"> Terms. WIPO </w:t>
      </w:r>
      <w:proofErr w:type="spellStart"/>
      <w:r w:rsidR="00020C14">
        <w:rPr>
          <w:rFonts w:ascii="TimesNewRomanPSMT" w:hAnsi="TimesNewRomanPSMT" w:cs="TimesNewRomanPSMT"/>
          <w:i/>
          <w:iCs/>
          <w:szCs w:val="24"/>
        </w:rPr>
        <w:t>Publication</w:t>
      </w:r>
      <w:proofErr w:type="spellEnd"/>
      <w:r w:rsidR="00020C14">
        <w:rPr>
          <w:rFonts w:ascii="TimesNewRomanPSMT" w:hAnsi="TimesNewRomanPSMT" w:cs="TimesNewRomanPSMT"/>
          <w:i/>
          <w:iCs/>
          <w:szCs w:val="24"/>
        </w:rPr>
        <w:t xml:space="preserve"> No. 891 (E). </w:t>
      </w:r>
      <w:proofErr w:type="spellStart"/>
      <w:r w:rsidR="00020C14">
        <w:rPr>
          <w:rFonts w:ascii="TimesNewRomanPSMT" w:hAnsi="TimesNewRomanPSMT" w:cs="TimesNewRomanPSMT"/>
          <w:i/>
          <w:iCs/>
          <w:szCs w:val="24"/>
        </w:rPr>
        <w:t>Geneva</w:t>
      </w:r>
      <w:proofErr w:type="spellEnd"/>
      <w:r w:rsidR="00020C14">
        <w:rPr>
          <w:rFonts w:ascii="TimesNewRomanPSMT" w:hAnsi="TimesNewRomanPSMT" w:cs="TimesNewRomanPSMT"/>
          <w:i/>
          <w:iCs/>
          <w:szCs w:val="24"/>
        </w:rPr>
        <w:t xml:space="preserve">: </w:t>
      </w:r>
      <w:proofErr w:type="spellStart"/>
      <w:r w:rsidR="00020C14">
        <w:rPr>
          <w:rFonts w:ascii="TimesNewRomanPSMT" w:hAnsi="TimesNewRomanPSMT" w:cs="TimesNewRomanPSMT"/>
          <w:i/>
          <w:iCs/>
          <w:szCs w:val="24"/>
        </w:rPr>
        <w:t>World</w:t>
      </w:r>
      <w:proofErr w:type="spellEnd"/>
      <w:r w:rsidR="00020C14">
        <w:rPr>
          <w:rFonts w:ascii="TimesNewRomanPSMT" w:hAnsi="TimesNewRomanPSMT" w:cs="TimesNewRomanPSMT"/>
          <w:i/>
          <w:iCs/>
          <w:szCs w:val="24"/>
        </w:rPr>
        <w:t xml:space="preserve"> </w:t>
      </w:r>
      <w:proofErr w:type="spellStart"/>
      <w:r w:rsidR="00020C14">
        <w:rPr>
          <w:rFonts w:ascii="TimesNewRomanPSMT" w:hAnsi="TimesNewRomanPSMT" w:cs="TimesNewRomanPSMT"/>
          <w:i/>
          <w:iCs/>
          <w:szCs w:val="24"/>
        </w:rPr>
        <w:t>Intellectual</w:t>
      </w:r>
      <w:proofErr w:type="spellEnd"/>
      <w:r w:rsidR="00020C14">
        <w:rPr>
          <w:rFonts w:ascii="TimesNewRomanPSMT" w:hAnsi="TimesNewRomanPSMT" w:cs="TimesNewRomanPSMT"/>
          <w:i/>
          <w:iCs/>
          <w:szCs w:val="24"/>
        </w:rPr>
        <w:t xml:space="preserve"> </w:t>
      </w:r>
      <w:proofErr w:type="spellStart"/>
      <w:r w:rsidR="00020C14">
        <w:rPr>
          <w:rFonts w:ascii="TimesNewRomanPSMT" w:hAnsi="TimesNewRomanPSMT" w:cs="TimesNewRomanPSMT"/>
          <w:i/>
          <w:iCs/>
          <w:szCs w:val="24"/>
        </w:rPr>
        <w:t>Property</w:t>
      </w:r>
      <w:proofErr w:type="spellEnd"/>
      <w:r w:rsidR="00020C14">
        <w:rPr>
          <w:rFonts w:ascii="TimesNewRomanPSMT" w:hAnsi="TimesNewRomanPSMT" w:cs="TimesNewRomanPSMT"/>
          <w:i/>
          <w:iCs/>
          <w:szCs w:val="24"/>
        </w:rPr>
        <w:t xml:space="preserve"> </w:t>
      </w:r>
      <w:proofErr w:type="spellStart"/>
      <w:r w:rsidR="00020C14">
        <w:rPr>
          <w:rFonts w:ascii="TimesNewRomanPSMT" w:hAnsi="TimesNewRomanPSMT" w:cs="TimesNewRomanPSMT"/>
          <w:i/>
          <w:iCs/>
          <w:szCs w:val="24"/>
        </w:rPr>
        <w:t>Organization</w:t>
      </w:r>
      <w:proofErr w:type="spellEnd"/>
      <w:r w:rsidR="00020C14">
        <w:rPr>
          <w:rFonts w:ascii="TimesNewRomanPSMT" w:hAnsi="TimesNewRomanPSMT" w:cs="TimesNewRomanPSMT"/>
          <w:i/>
          <w:iCs/>
          <w:szCs w:val="24"/>
        </w:rPr>
        <w:t>, 2003, p. 194–195, CT-1.42. Pieejams</w:t>
      </w:r>
      <w:r w:rsidR="00020C14" w:rsidRPr="00020C14">
        <w:rPr>
          <w:rFonts w:ascii="TimesNewRomanPSMT" w:hAnsi="TimesNewRomanPSMT" w:cs="TimesNewRomanPSMT"/>
          <w:i/>
          <w:iCs/>
          <w:color w:val="000000" w:themeColor="text1"/>
          <w:szCs w:val="24"/>
        </w:rPr>
        <w:t xml:space="preserve">: </w:t>
      </w:r>
      <w:hyperlink r:id="rId9" w:history="1">
        <w:r w:rsidR="007C422C" w:rsidRPr="006E1D47">
          <w:rPr>
            <w:rStyle w:val="Hyperlink"/>
            <w:rFonts w:ascii="TimesNewRomanPSMT" w:hAnsi="TimesNewRomanPSMT" w:cs="TimesNewRomanPSMT"/>
            <w:i/>
            <w:iCs/>
            <w:color w:val="auto"/>
            <w:szCs w:val="24"/>
            <w:u w:val="none"/>
          </w:rPr>
          <w:t>https://www.wipo.int/edocs/pubdocs/en/copyright/891/wipo_pub_891.pdf</w:t>
        </w:r>
      </w:hyperlink>
      <w:r w:rsidR="00020C14" w:rsidRPr="00020C14">
        <w:rPr>
          <w:rFonts w:ascii="TimesNewRomanPSMT" w:hAnsi="TimesNewRomanPSMT" w:cs="TimesNewRomanPSMT"/>
          <w:color w:val="000000" w:themeColor="text1"/>
          <w:szCs w:val="24"/>
        </w:rPr>
        <w:t>).</w:t>
      </w:r>
    </w:p>
    <w:p w14:paraId="76562BC7" w14:textId="1BBDC585" w:rsidR="00083061" w:rsidRDefault="00020C14" w:rsidP="00EB59BC">
      <w:pPr>
        <w:pStyle w:val="ListBullet"/>
        <w:widowControl w:val="0"/>
        <w:numPr>
          <w:ilvl w:val="0"/>
          <w:numId w:val="0"/>
        </w:numPr>
        <w:spacing w:after="0"/>
        <w:ind w:firstLine="720"/>
        <w:contextualSpacing w:val="0"/>
        <w:jc w:val="both"/>
        <w:rPr>
          <w:rFonts w:ascii="TimesNewRomanPSMT" w:hAnsi="TimesNewRomanPSMT" w:cs="TimesNewRomanPSMT"/>
          <w:i/>
          <w:iCs/>
          <w:szCs w:val="24"/>
        </w:rPr>
      </w:pPr>
      <w:r>
        <w:rPr>
          <w:rFonts w:ascii="TimesNewRomanPSMT" w:hAnsi="TimesNewRomanPSMT" w:cs="TimesNewRomanPSMT"/>
          <w:szCs w:val="24"/>
        </w:rPr>
        <w:t xml:space="preserve">Atbilstoši </w:t>
      </w:r>
      <w:r w:rsidR="004B78A2">
        <w:rPr>
          <w:rFonts w:ascii="TimesNewRomanPSMT" w:hAnsi="TimesNewRomanPSMT" w:cs="TimesNewRomanPSMT"/>
          <w:szCs w:val="24"/>
        </w:rPr>
        <w:t>Valdību ekspertu otrās komitejas, kuru UNESCO un WIPO kopīgi izveidoja autortiesību problēmu, kas rodas</w:t>
      </w:r>
      <w:r w:rsidR="005C3FB2">
        <w:rPr>
          <w:rFonts w:ascii="TimesNewRomanPSMT" w:hAnsi="TimesNewRomanPSMT" w:cs="TimesNewRomanPSMT"/>
          <w:szCs w:val="24"/>
        </w:rPr>
        <w:t>,</w:t>
      </w:r>
      <w:r w:rsidR="004B78A2">
        <w:rPr>
          <w:rFonts w:ascii="TimesNewRomanPSMT" w:hAnsi="TimesNewRomanPSMT" w:cs="TimesNewRomanPSMT"/>
          <w:szCs w:val="24"/>
        </w:rPr>
        <w:t xml:space="preserve"> izmantojot datorus piekļuvei darbiem vai to radīšanai, </w:t>
      </w:r>
      <w:r w:rsidR="00D87247">
        <w:rPr>
          <w:rFonts w:ascii="TimesNewRomanPSMT" w:hAnsi="TimesNewRomanPSMT" w:cs="TimesNewRomanPSMT"/>
          <w:szCs w:val="24"/>
        </w:rPr>
        <w:t xml:space="preserve">1982. gada 7.–11. jūnija </w:t>
      </w:r>
      <w:r w:rsidR="004B78A2">
        <w:rPr>
          <w:rFonts w:ascii="TimesNewRomanPSMT" w:hAnsi="TimesNewRomanPSMT" w:cs="TimesNewRomanPSMT"/>
          <w:szCs w:val="24"/>
        </w:rPr>
        <w:t>sesij</w:t>
      </w:r>
      <w:r w:rsidR="00D87247">
        <w:rPr>
          <w:rFonts w:ascii="TimesNewRomanPSMT" w:hAnsi="TimesNewRomanPSMT" w:cs="TimesNewRomanPSMT"/>
          <w:szCs w:val="24"/>
        </w:rPr>
        <w:t>as</w:t>
      </w:r>
      <w:r w:rsidR="008803EE">
        <w:rPr>
          <w:rFonts w:ascii="TimesNewRomanPSMT" w:hAnsi="TimesNewRomanPSMT" w:cs="TimesNewRomanPSMT"/>
          <w:szCs w:val="24"/>
        </w:rPr>
        <w:t xml:space="preserve"> </w:t>
      </w:r>
      <w:r w:rsidR="00D87247">
        <w:rPr>
          <w:rFonts w:ascii="TimesNewRomanPSMT" w:hAnsi="TimesNewRomanPSMT" w:cs="TimesNewRomanPSMT"/>
          <w:szCs w:val="24"/>
        </w:rPr>
        <w:t xml:space="preserve">ziņojumam </w:t>
      </w:r>
      <w:r w:rsidR="004B78A2">
        <w:rPr>
          <w:rFonts w:ascii="TimesNewRomanPSMT" w:hAnsi="TimesNewRomanPSMT" w:cs="TimesNewRomanPSMT"/>
          <w:szCs w:val="24"/>
        </w:rPr>
        <w:t>saglabāšana (</w:t>
      </w:r>
      <w:proofErr w:type="spellStart"/>
      <w:r w:rsidR="004B78A2">
        <w:rPr>
          <w:rFonts w:ascii="TimesNewRomanPSMT" w:hAnsi="TimesNewRomanPSMT" w:cs="TimesNewRomanPSMT"/>
          <w:i/>
          <w:iCs/>
          <w:szCs w:val="24"/>
        </w:rPr>
        <w:t>storage</w:t>
      </w:r>
      <w:proofErr w:type="spellEnd"/>
      <w:r w:rsidR="004B78A2">
        <w:rPr>
          <w:rFonts w:ascii="TimesNewRomanPSMT" w:hAnsi="TimesNewRomanPSMT" w:cs="TimesNewRomanPSMT"/>
          <w:szCs w:val="24"/>
        </w:rPr>
        <w:t>) tiek aplūkota kā [datu] ievades akts (</w:t>
      </w:r>
      <w:proofErr w:type="spellStart"/>
      <w:r w:rsidR="004B78A2">
        <w:rPr>
          <w:rFonts w:ascii="TimesNewRomanPSMT" w:hAnsi="TimesNewRomanPSMT" w:cs="TimesNewRomanPSMT"/>
          <w:i/>
          <w:iCs/>
          <w:szCs w:val="24"/>
        </w:rPr>
        <w:t>act</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of</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input</w:t>
      </w:r>
      <w:proofErr w:type="spellEnd"/>
      <w:r w:rsidR="004B78A2">
        <w:rPr>
          <w:rFonts w:ascii="TimesNewRomanPSMT" w:hAnsi="TimesNewRomanPSMT" w:cs="TimesNewRomanPSMT"/>
          <w:szCs w:val="24"/>
        </w:rPr>
        <w:t>) (</w:t>
      </w:r>
      <w:proofErr w:type="spellStart"/>
      <w:r w:rsidR="004B78A2">
        <w:rPr>
          <w:rFonts w:ascii="TimesNewRomanPSMT" w:hAnsi="TimesNewRomanPSMT" w:cs="TimesNewRomanPSMT"/>
          <w:i/>
          <w:iCs/>
          <w:szCs w:val="24"/>
        </w:rPr>
        <w:t>Second</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Committee</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of</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Governmental</w:t>
      </w:r>
      <w:proofErr w:type="spellEnd"/>
      <w:r w:rsidR="004B78A2">
        <w:rPr>
          <w:rFonts w:ascii="TimesNewRomanPSMT" w:hAnsi="TimesNewRomanPSMT" w:cs="TimesNewRomanPSMT"/>
          <w:i/>
          <w:iCs/>
          <w:szCs w:val="24"/>
        </w:rPr>
        <w:t xml:space="preserve"> Eksperts </w:t>
      </w:r>
      <w:proofErr w:type="spellStart"/>
      <w:r w:rsidR="004B78A2">
        <w:rPr>
          <w:rFonts w:ascii="TimesNewRomanPSMT" w:hAnsi="TimesNewRomanPSMT" w:cs="TimesNewRomanPSMT"/>
          <w:i/>
          <w:iCs/>
          <w:szCs w:val="24"/>
        </w:rPr>
        <w:t>on</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Copyright</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Problems</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Arising</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from</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the</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Use</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of</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Computers</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for</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Access</w:t>
      </w:r>
      <w:proofErr w:type="spellEnd"/>
      <w:r w:rsidR="004B78A2">
        <w:rPr>
          <w:rFonts w:ascii="TimesNewRomanPSMT" w:hAnsi="TimesNewRomanPSMT" w:cs="TimesNewRomanPSMT"/>
          <w:i/>
          <w:iCs/>
          <w:szCs w:val="24"/>
        </w:rPr>
        <w:t xml:space="preserve"> to </w:t>
      </w:r>
      <w:proofErr w:type="spellStart"/>
      <w:r w:rsidR="004B78A2">
        <w:rPr>
          <w:rFonts w:ascii="TimesNewRomanPSMT" w:hAnsi="TimesNewRomanPSMT" w:cs="TimesNewRomanPSMT"/>
          <w:i/>
          <w:iCs/>
          <w:szCs w:val="24"/>
        </w:rPr>
        <w:t>or</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the</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Creation</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of</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Works</w:t>
      </w:r>
      <w:proofErr w:type="spellEnd"/>
      <w:r w:rsidR="004B78A2">
        <w:rPr>
          <w:rFonts w:ascii="TimesNewRomanPSMT" w:hAnsi="TimesNewRomanPSMT" w:cs="TimesNewRomanPSMT"/>
          <w:i/>
          <w:iCs/>
          <w:szCs w:val="24"/>
        </w:rPr>
        <w:t xml:space="preserve">. </w:t>
      </w:r>
      <w:proofErr w:type="spellStart"/>
      <w:r w:rsidR="004B78A2">
        <w:rPr>
          <w:rFonts w:ascii="TimesNewRomanPSMT" w:hAnsi="TimesNewRomanPSMT" w:cs="TimesNewRomanPSMT"/>
          <w:i/>
          <w:iCs/>
          <w:szCs w:val="24"/>
        </w:rPr>
        <w:t>Report</w:t>
      </w:r>
      <w:proofErr w:type="spellEnd"/>
      <w:r w:rsidR="004B78A2">
        <w:rPr>
          <w:rFonts w:ascii="TimesNewRomanPSMT" w:hAnsi="TimesNewRomanPSMT" w:cs="TimesNewRomanPSMT"/>
          <w:i/>
          <w:iCs/>
          <w:szCs w:val="24"/>
        </w:rPr>
        <w:t xml:space="preserve">. (Paris, </w:t>
      </w:r>
      <w:proofErr w:type="spellStart"/>
      <w:r w:rsidR="004B78A2">
        <w:rPr>
          <w:rFonts w:ascii="TimesNewRomanPSMT" w:hAnsi="TimesNewRomanPSMT" w:cs="TimesNewRomanPSMT"/>
          <w:i/>
          <w:iCs/>
          <w:szCs w:val="24"/>
        </w:rPr>
        <w:t>June</w:t>
      </w:r>
      <w:proofErr w:type="spellEnd"/>
      <w:r w:rsidR="004B78A2">
        <w:rPr>
          <w:rFonts w:ascii="TimesNewRomanPSMT" w:hAnsi="TimesNewRomanPSMT" w:cs="TimesNewRomanPSMT"/>
          <w:i/>
          <w:iCs/>
          <w:szCs w:val="24"/>
        </w:rPr>
        <w:t xml:space="preserve"> 7 to 11, 1982).</w:t>
      </w:r>
      <w:r w:rsidR="00FA0821">
        <w:rPr>
          <w:rFonts w:ascii="TimesNewRomanPSMT" w:hAnsi="TimesNewRomanPSMT" w:cs="TimesNewRomanPSMT"/>
          <w:i/>
          <w:iCs/>
          <w:szCs w:val="24"/>
        </w:rPr>
        <w:t xml:space="preserve"> </w:t>
      </w:r>
      <w:proofErr w:type="spellStart"/>
      <w:r w:rsidR="00FA0821">
        <w:rPr>
          <w:rFonts w:ascii="TimesNewRomanPSMT" w:hAnsi="TimesNewRomanPSMT" w:cs="TimesNewRomanPSMT"/>
          <w:i/>
          <w:iCs/>
          <w:szCs w:val="24"/>
        </w:rPr>
        <w:t>Copyright</w:t>
      </w:r>
      <w:proofErr w:type="spellEnd"/>
      <w:r w:rsidR="00FA0821">
        <w:rPr>
          <w:rFonts w:ascii="TimesNewRomanPSMT" w:hAnsi="TimesNewRomanPSMT" w:cs="TimesNewRomanPSMT"/>
          <w:i/>
          <w:iCs/>
          <w:szCs w:val="24"/>
        </w:rPr>
        <w:t xml:space="preserve"> (</w:t>
      </w:r>
      <w:proofErr w:type="spellStart"/>
      <w:r w:rsidR="00FA0821">
        <w:rPr>
          <w:rFonts w:ascii="TimesNewRomanPSMT" w:hAnsi="TimesNewRomanPSMT" w:cs="TimesNewRomanPSMT"/>
          <w:i/>
          <w:iCs/>
          <w:szCs w:val="24"/>
        </w:rPr>
        <w:t>WIPO’s</w:t>
      </w:r>
      <w:proofErr w:type="spellEnd"/>
      <w:r w:rsidR="00FA0821">
        <w:rPr>
          <w:rFonts w:ascii="TimesNewRomanPSMT" w:hAnsi="TimesNewRomanPSMT" w:cs="TimesNewRomanPSMT"/>
          <w:i/>
          <w:iCs/>
          <w:szCs w:val="24"/>
        </w:rPr>
        <w:t xml:space="preserve"> </w:t>
      </w:r>
      <w:proofErr w:type="spellStart"/>
      <w:r w:rsidR="00FA0821">
        <w:rPr>
          <w:rFonts w:ascii="TimesNewRomanPSMT" w:hAnsi="TimesNewRomanPSMT" w:cs="TimesNewRomanPSMT"/>
          <w:i/>
          <w:iCs/>
          <w:szCs w:val="24"/>
        </w:rPr>
        <w:t>monthly</w:t>
      </w:r>
      <w:proofErr w:type="spellEnd"/>
      <w:r w:rsidR="00FA0821">
        <w:rPr>
          <w:rFonts w:ascii="TimesNewRomanPSMT" w:hAnsi="TimesNewRomanPSMT" w:cs="TimesNewRomanPSMT"/>
          <w:i/>
          <w:iCs/>
          <w:szCs w:val="24"/>
        </w:rPr>
        <w:t xml:space="preserve"> </w:t>
      </w:r>
      <w:proofErr w:type="spellStart"/>
      <w:r w:rsidR="00FA0821">
        <w:rPr>
          <w:rFonts w:ascii="TimesNewRomanPSMT" w:hAnsi="TimesNewRomanPSMT" w:cs="TimesNewRomanPSMT"/>
          <w:i/>
          <w:iCs/>
          <w:szCs w:val="24"/>
        </w:rPr>
        <w:t>review</w:t>
      </w:r>
      <w:proofErr w:type="spellEnd"/>
      <w:r w:rsidR="00FA0821">
        <w:rPr>
          <w:rFonts w:ascii="TimesNewRomanPSMT" w:hAnsi="TimesNewRomanPSMT" w:cs="TimesNewRomanPSMT"/>
          <w:i/>
          <w:iCs/>
          <w:szCs w:val="24"/>
        </w:rPr>
        <w:t xml:space="preserve">), </w:t>
      </w:r>
      <w:proofErr w:type="spellStart"/>
      <w:r w:rsidR="00FA0821">
        <w:rPr>
          <w:rFonts w:ascii="TimesNewRomanPSMT" w:hAnsi="TimesNewRomanPSMT" w:cs="TimesNewRomanPSMT"/>
          <w:i/>
          <w:iCs/>
          <w:szCs w:val="24"/>
        </w:rPr>
        <w:t>September</w:t>
      </w:r>
      <w:proofErr w:type="spellEnd"/>
      <w:r w:rsidR="00FA0821">
        <w:rPr>
          <w:rFonts w:ascii="TimesNewRomanPSMT" w:hAnsi="TimesNewRomanPSMT" w:cs="TimesNewRomanPSMT"/>
          <w:i/>
          <w:iCs/>
          <w:szCs w:val="24"/>
        </w:rPr>
        <w:t xml:space="preserve"> 1982 </w:t>
      </w:r>
      <w:proofErr w:type="spellStart"/>
      <w:r w:rsidR="00FA0821">
        <w:rPr>
          <w:rFonts w:ascii="TimesNewRomanPSMT" w:hAnsi="TimesNewRomanPSMT" w:cs="TimesNewRomanPSMT"/>
          <w:i/>
          <w:iCs/>
          <w:szCs w:val="24"/>
        </w:rPr>
        <w:t>issue</w:t>
      </w:r>
      <w:proofErr w:type="spellEnd"/>
      <w:r w:rsidR="007C422C">
        <w:rPr>
          <w:rFonts w:ascii="TimesNewRomanPSMT" w:hAnsi="TimesNewRomanPSMT" w:cs="TimesNewRomanPSMT"/>
          <w:i/>
          <w:iCs/>
          <w:szCs w:val="24"/>
        </w:rPr>
        <w:t xml:space="preserve"> No. 9</w:t>
      </w:r>
      <w:r w:rsidR="00FA0821">
        <w:rPr>
          <w:rFonts w:ascii="TimesNewRomanPSMT" w:hAnsi="TimesNewRomanPSMT" w:cs="TimesNewRomanPSMT"/>
          <w:i/>
          <w:iCs/>
          <w:szCs w:val="24"/>
        </w:rPr>
        <w:t xml:space="preserve">, p. 242. Pieejams: </w:t>
      </w:r>
      <w:hyperlink r:id="rId10" w:history="1">
        <w:r w:rsidR="00083061" w:rsidRPr="00083061">
          <w:rPr>
            <w:rStyle w:val="Hyperlink"/>
            <w:rFonts w:ascii="TimesNewRomanPSMT" w:hAnsi="TimesNewRomanPSMT" w:cs="TimesNewRomanPSMT"/>
            <w:i/>
            <w:iCs/>
            <w:color w:val="000000" w:themeColor="text1"/>
            <w:szCs w:val="24"/>
            <w:u w:val="none"/>
          </w:rPr>
          <w:t>https://www.wipo.int/edocs/pubdocs/en/copyright/120/wipo_pub_120_1982_09.pdf</w:t>
        </w:r>
      </w:hyperlink>
      <w:r w:rsidR="00FA0821" w:rsidRPr="00083061">
        <w:rPr>
          <w:rStyle w:val="Hyperlink"/>
          <w:color w:val="000000" w:themeColor="text1"/>
          <w:u w:val="none"/>
        </w:rPr>
        <w:t>)</w:t>
      </w:r>
      <w:r w:rsidR="00FA0821">
        <w:rPr>
          <w:rFonts w:ascii="TimesNewRomanPSMT" w:hAnsi="TimesNewRomanPSMT" w:cs="TimesNewRomanPSMT"/>
          <w:i/>
          <w:iCs/>
          <w:szCs w:val="24"/>
        </w:rPr>
        <w:t>.</w:t>
      </w:r>
    </w:p>
    <w:p w14:paraId="6AD35E85" w14:textId="6B736B1C" w:rsidR="008B17BD" w:rsidRDefault="00FA0821" w:rsidP="00EB59BC">
      <w:pPr>
        <w:pStyle w:val="ListBullet"/>
        <w:widowControl w:val="0"/>
        <w:numPr>
          <w:ilvl w:val="0"/>
          <w:numId w:val="0"/>
        </w:numPr>
        <w:spacing w:after="0"/>
        <w:ind w:firstLine="720"/>
        <w:contextualSpacing w:val="0"/>
        <w:jc w:val="both"/>
        <w:rPr>
          <w:rFonts w:ascii="TimesNewRomanPSMT" w:hAnsi="TimesNewRomanPSMT" w:cs="TimesNewRomanPSMT"/>
          <w:szCs w:val="24"/>
        </w:rPr>
      </w:pPr>
      <w:r>
        <w:rPr>
          <w:rFonts w:ascii="TimesNewRomanPSMT" w:hAnsi="TimesNewRomanPSMT" w:cs="TimesNewRomanPSMT"/>
          <w:szCs w:val="24"/>
        </w:rPr>
        <w:t>Komitejas rekomendācijās norādīts, ka saglabāšana datorsistēmās var skart arī darbu reproducēšanas tiesības (</w:t>
      </w:r>
      <w:r w:rsidR="00921014" w:rsidRPr="00921014">
        <w:rPr>
          <w:rFonts w:ascii="TimesNewRomanPSMT" w:hAnsi="TimesNewRomanPSMT" w:cs="TimesNewRomanPSMT"/>
          <w:i/>
          <w:iCs/>
          <w:szCs w:val="24"/>
        </w:rPr>
        <w:t>t</w:t>
      </w:r>
      <w:r w:rsidRPr="00921014">
        <w:rPr>
          <w:rFonts w:ascii="TimesNewRomanPSMT" w:hAnsi="TimesNewRomanPSMT" w:cs="TimesNewRomanPSMT"/>
          <w:i/>
          <w:iCs/>
          <w:szCs w:val="24"/>
        </w:rPr>
        <w:t>urpat</w:t>
      </w:r>
      <w:r>
        <w:rPr>
          <w:rFonts w:ascii="TimesNewRomanPSMT" w:hAnsi="TimesNewRomanPSMT" w:cs="TimesNewRomanPSMT"/>
          <w:i/>
          <w:iCs/>
          <w:szCs w:val="24"/>
        </w:rPr>
        <w:t xml:space="preserve">, </w:t>
      </w:r>
      <w:proofErr w:type="spellStart"/>
      <w:r>
        <w:rPr>
          <w:rFonts w:ascii="TimesNewRomanPSMT" w:hAnsi="TimesNewRomanPSMT" w:cs="TimesNewRomanPSMT"/>
          <w:i/>
          <w:iCs/>
          <w:szCs w:val="24"/>
        </w:rPr>
        <w:t>Recommendations</w:t>
      </w:r>
      <w:proofErr w:type="spellEnd"/>
      <w:r>
        <w:rPr>
          <w:rFonts w:ascii="TimesNewRomanPSMT" w:hAnsi="TimesNewRomanPSMT" w:cs="TimesNewRomanPSMT"/>
          <w:i/>
          <w:iCs/>
          <w:szCs w:val="24"/>
        </w:rPr>
        <w:t xml:space="preserve"> </w:t>
      </w:r>
      <w:proofErr w:type="spellStart"/>
      <w:r>
        <w:rPr>
          <w:rFonts w:ascii="TimesNewRomanPSMT" w:hAnsi="TimesNewRomanPSMT" w:cs="TimesNewRomanPSMT"/>
          <w:i/>
          <w:iCs/>
          <w:szCs w:val="24"/>
        </w:rPr>
        <w:t>for</w:t>
      </w:r>
      <w:proofErr w:type="spellEnd"/>
      <w:r>
        <w:rPr>
          <w:rFonts w:ascii="TimesNewRomanPSMT" w:hAnsi="TimesNewRomanPSMT" w:cs="TimesNewRomanPSMT"/>
          <w:i/>
          <w:iCs/>
          <w:szCs w:val="24"/>
        </w:rPr>
        <w:t xml:space="preserve"> </w:t>
      </w:r>
      <w:proofErr w:type="spellStart"/>
      <w:r>
        <w:rPr>
          <w:rFonts w:ascii="TimesNewRomanPSMT" w:hAnsi="TimesNewRomanPSMT" w:cs="TimesNewRomanPSMT"/>
          <w:i/>
          <w:iCs/>
          <w:szCs w:val="24"/>
        </w:rPr>
        <w:t>Settlement</w:t>
      </w:r>
      <w:proofErr w:type="spellEnd"/>
      <w:r>
        <w:rPr>
          <w:rFonts w:ascii="TimesNewRomanPSMT" w:hAnsi="TimesNewRomanPSMT" w:cs="TimesNewRomanPSMT"/>
          <w:i/>
          <w:iCs/>
          <w:szCs w:val="24"/>
        </w:rPr>
        <w:t xml:space="preserve"> </w:t>
      </w:r>
      <w:proofErr w:type="spellStart"/>
      <w:r>
        <w:rPr>
          <w:rFonts w:ascii="TimesNewRomanPSMT" w:hAnsi="TimesNewRomanPSMT" w:cs="TimesNewRomanPSMT"/>
          <w:i/>
          <w:iCs/>
          <w:szCs w:val="24"/>
        </w:rPr>
        <w:t>of</w:t>
      </w:r>
      <w:proofErr w:type="spellEnd"/>
      <w:r>
        <w:rPr>
          <w:rFonts w:ascii="TimesNewRomanPSMT" w:hAnsi="TimesNewRomanPSMT" w:cs="TimesNewRomanPSMT"/>
          <w:i/>
          <w:iCs/>
          <w:szCs w:val="24"/>
        </w:rPr>
        <w:t xml:space="preserve"> </w:t>
      </w:r>
      <w:proofErr w:type="spellStart"/>
      <w:r>
        <w:rPr>
          <w:rFonts w:ascii="TimesNewRomanPSMT" w:hAnsi="TimesNewRomanPSMT" w:cs="TimesNewRomanPSMT"/>
          <w:i/>
          <w:iCs/>
          <w:szCs w:val="24"/>
        </w:rPr>
        <w:t>Copyright</w:t>
      </w:r>
      <w:proofErr w:type="spellEnd"/>
      <w:r>
        <w:rPr>
          <w:rFonts w:ascii="TimesNewRomanPSMT" w:hAnsi="TimesNewRomanPSMT" w:cs="TimesNewRomanPSMT"/>
          <w:i/>
          <w:iCs/>
          <w:szCs w:val="24"/>
        </w:rPr>
        <w:t xml:space="preserve"> </w:t>
      </w:r>
      <w:proofErr w:type="spellStart"/>
      <w:r>
        <w:rPr>
          <w:rFonts w:ascii="TimesNewRomanPSMT" w:hAnsi="TimesNewRomanPSMT" w:cs="TimesNewRomanPSMT"/>
          <w:i/>
          <w:iCs/>
          <w:szCs w:val="24"/>
        </w:rPr>
        <w:t>Problems</w:t>
      </w:r>
      <w:proofErr w:type="spellEnd"/>
      <w:r>
        <w:rPr>
          <w:rFonts w:ascii="TimesNewRomanPSMT" w:hAnsi="TimesNewRomanPSMT" w:cs="TimesNewRomanPSMT"/>
          <w:i/>
          <w:iCs/>
          <w:szCs w:val="24"/>
        </w:rPr>
        <w:t xml:space="preserve"> </w:t>
      </w:r>
      <w:proofErr w:type="spellStart"/>
      <w:r>
        <w:rPr>
          <w:rFonts w:ascii="TimesNewRomanPSMT" w:hAnsi="TimesNewRomanPSMT" w:cs="TimesNewRomanPSMT"/>
          <w:i/>
          <w:iCs/>
          <w:szCs w:val="24"/>
        </w:rPr>
        <w:t>Arising</w:t>
      </w:r>
      <w:proofErr w:type="spellEnd"/>
      <w:r>
        <w:rPr>
          <w:rFonts w:ascii="TimesNewRomanPSMT" w:hAnsi="TimesNewRomanPSMT" w:cs="TimesNewRomanPSMT"/>
          <w:i/>
          <w:iCs/>
          <w:szCs w:val="24"/>
        </w:rPr>
        <w:t xml:space="preserve"> </w:t>
      </w:r>
      <w:proofErr w:type="spellStart"/>
      <w:r>
        <w:rPr>
          <w:rFonts w:ascii="TimesNewRomanPSMT" w:hAnsi="TimesNewRomanPSMT" w:cs="TimesNewRomanPSMT"/>
          <w:i/>
          <w:iCs/>
          <w:szCs w:val="24"/>
        </w:rPr>
        <w:t>from</w:t>
      </w:r>
      <w:proofErr w:type="spellEnd"/>
      <w:r>
        <w:rPr>
          <w:rFonts w:ascii="TimesNewRomanPSMT" w:hAnsi="TimesNewRomanPSMT" w:cs="TimesNewRomanPSMT"/>
          <w:i/>
          <w:iCs/>
          <w:szCs w:val="24"/>
        </w:rPr>
        <w:t xml:space="preserve"> </w:t>
      </w:r>
      <w:proofErr w:type="spellStart"/>
      <w:r>
        <w:rPr>
          <w:rFonts w:ascii="TimesNewRomanPSMT" w:hAnsi="TimesNewRomanPSMT" w:cs="TimesNewRomanPSMT"/>
          <w:i/>
          <w:iCs/>
          <w:szCs w:val="24"/>
        </w:rPr>
        <w:t>the</w:t>
      </w:r>
      <w:proofErr w:type="spellEnd"/>
      <w:r>
        <w:rPr>
          <w:rFonts w:ascii="TimesNewRomanPSMT" w:hAnsi="TimesNewRomanPSMT" w:cs="TimesNewRomanPSMT"/>
          <w:i/>
          <w:iCs/>
          <w:szCs w:val="24"/>
        </w:rPr>
        <w:t xml:space="preserve"> </w:t>
      </w:r>
      <w:proofErr w:type="spellStart"/>
      <w:r>
        <w:rPr>
          <w:rFonts w:ascii="TimesNewRomanPSMT" w:hAnsi="TimesNewRomanPSMT" w:cs="TimesNewRomanPSMT"/>
          <w:i/>
          <w:iCs/>
          <w:szCs w:val="24"/>
        </w:rPr>
        <w:t>Use</w:t>
      </w:r>
      <w:proofErr w:type="spellEnd"/>
      <w:r>
        <w:rPr>
          <w:rFonts w:ascii="TimesNewRomanPSMT" w:hAnsi="TimesNewRomanPSMT" w:cs="TimesNewRomanPSMT"/>
          <w:i/>
          <w:iCs/>
          <w:szCs w:val="24"/>
        </w:rPr>
        <w:t xml:space="preserve"> </w:t>
      </w:r>
      <w:proofErr w:type="spellStart"/>
      <w:r>
        <w:rPr>
          <w:rFonts w:ascii="TimesNewRomanPSMT" w:hAnsi="TimesNewRomanPSMT" w:cs="TimesNewRomanPSMT"/>
          <w:i/>
          <w:iCs/>
          <w:szCs w:val="24"/>
        </w:rPr>
        <w:t>of</w:t>
      </w:r>
      <w:proofErr w:type="spellEnd"/>
      <w:r>
        <w:rPr>
          <w:rFonts w:ascii="TimesNewRomanPSMT" w:hAnsi="TimesNewRomanPSMT" w:cs="TimesNewRomanPSMT"/>
          <w:i/>
          <w:iCs/>
          <w:szCs w:val="24"/>
        </w:rPr>
        <w:t xml:space="preserve"> </w:t>
      </w:r>
      <w:proofErr w:type="spellStart"/>
      <w:r>
        <w:rPr>
          <w:rFonts w:ascii="TimesNewRomanPSMT" w:hAnsi="TimesNewRomanPSMT" w:cs="TimesNewRomanPSMT"/>
          <w:i/>
          <w:iCs/>
          <w:szCs w:val="24"/>
        </w:rPr>
        <w:t>Computer</w:t>
      </w:r>
      <w:proofErr w:type="spellEnd"/>
      <w:r>
        <w:rPr>
          <w:rFonts w:ascii="TimesNewRomanPSMT" w:hAnsi="TimesNewRomanPSMT" w:cs="TimesNewRomanPSMT"/>
          <w:i/>
          <w:iCs/>
          <w:szCs w:val="24"/>
        </w:rPr>
        <w:t xml:space="preserve"> </w:t>
      </w:r>
      <w:proofErr w:type="spellStart"/>
      <w:r>
        <w:rPr>
          <w:rFonts w:ascii="TimesNewRomanPSMT" w:hAnsi="TimesNewRomanPSMT" w:cs="TimesNewRomanPSMT"/>
          <w:i/>
          <w:iCs/>
          <w:szCs w:val="24"/>
        </w:rPr>
        <w:t>Sistems</w:t>
      </w:r>
      <w:proofErr w:type="spellEnd"/>
      <w:r>
        <w:rPr>
          <w:rFonts w:ascii="TimesNewRomanPSMT" w:hAnsi="TimesNewRomanPSMT" w:cs="TimesNewRomanPSMT"/>
          <w:i/>
          <w:iCs/>
          <w:szCs w:val="24"/>
        </w:rPr>
        <w:t xml:space="preserve"> </w:t>
      </w:r>
      <w:proofErr w:type="spellStart"/>
      <w:r w:rsidR="008B17BD">
        <w:rPr>
          <w:rFonts w:ascii="TimesNewRomanPSMT" w:hAnsi="TimesNewRomanPSMT" w:cs="TimesNewRomanPSMT"/>
          <w:i/>
          <w:iCs/>
          <w:szCs w:val="24"/>
        </w:rPr>
        <w:t>for</w:t>
      </w:r>
      <w:proofErr w:type="spellEnd"/>
      <w:r w:rsidR="008B17BD">
        <w:rPr>
          <w:rFonts w:ascii="TimesNewRomanPSMT" w:hAnsi="TimesNewRomanPSMT" w:cs="TimesNewRomanPSMT"/>
          <w:i/>
          <w:iCs/>
          <w:szCs w:val="24"/>
        </w:rPr>
        <w:t xml:space="preserve"> </w:t>
      </w:r>
      <w:proofErr w:type="spellStart"/>
      <w:r w:rsidR="008B17BD">
        <w:rPr>
          <w:rFonts w:ascii="TimesNewRomanPSMT" w:hAnsi="TimesNewRomanPSMT" w:cs="TimesNewRomanPSMT"/>
          <w:i/>
          <w:iCs/>
          <w:szCs w:val="24"/>
        </w:rPr>
        <w:t>Access</w:t>
      </w:r>
      <w:proofErr w:type="spellEnd"/>
      <w:r w:rsidR="008B17BD">
        <w:rPr>
          <w:rFonts w:ascii="TimesNewRomanPSMT" w:hAnsi="TimesNewRomanPSMT" w:cs="TimesNewRomanPSMT"/>
          <w:i/>
          <w:iCs/>
          <w:szCs w:val="24"/>
        </w:rPr>
        <w:t xml:space="preserve"> to </w:t>
      </w:r>
      <w:proofErr w:type="spellStart"/>
      <w:r w:rsidR="008B17BD">
        <w:rPr>
          <w:rFonts w:ascii="TimesNewRomanPSMT" w:hAnsi="TimesNewRomanPSMT" w:cs="TimesNewRomanPSMT"/>
          <w:i/>
          <w:iCs/>
          <w:szCs w:val="24"/>
        </w:rPr>
        <w:t>or</w:t>
      </w:r>
      <w:proofErr w:type="spellEnd"/>
      <w:r w:rsidR="008B17BD">
        <w:rPr>
          <w:rFonts w:ascii="TimesNewRomanPSMT" w:hAnsi="TimesNewRomanPSMT" w:cs="TimesNewRomanPSMT"/>
          <w:i/>
          <w:iCs/>
          <w:szCs w:val="24"/>
        </w:rPr>
        <w:t xml:space="preserve"> </w:t>
      </w:r>
      <w:proofErr w:type="spellStart"/>
      <w:r w:rsidR="008B17BD">
        <w:rPr>
          <w:rFonts w:ascii="TimesNewRomanPSMT" w:hAnsi="TimesNewRomanPSMT" w:cs="TimesNewRomanPSMT"/>
          <w:i/>
          <w:iCs/>
          <w:szCs w:val="24"/>
        </w:rPr>
        <w:t>the</w:t>
      </w:r>
      <w:proofErr w:type="spellEnd"/>
      <w:r w:rsidR="008B17BD">
        <w:rPr>
          <w:rFonts w:ascii="TimesNewRomanPSMT" w:hAnsi="TimesNewRomanPSMT" w:cs="TimesNewRomanPSMT"/>
          <w:i/>
          <w:iCs/>
          <w:szCs w:val="24"/>
        </w:rPr>
        <w:t xml:space="preserve"> </w:t>
      </w:r>
      <w:proofErr w:type="spellStart"/>
      <w:r w:rsidR="008B17BD">
        <w:rPr>
          <w:rFonts w:ascii="TimesNewRomanPSMT" w:hAnsi="TimesNewRomanPSMT" w:cs="TimesNewRomanPSMT"/>
          <w:i/>
          <w:iCs/>
          <w:szCs w:val="24"/>
        </w:rPr>
        <w:t>Creation</w:t>
      </w:r>
      <w:proofErr w:type="spellEnd"/>
      <w:r w:rsidR="008B17BD">
        <w:rPr>
          <w:rFonts w:ascii="TimesNewRomanPSMT" w:hAnsi="TimesNewRomanPSMT" w:cs="TimesNewRomanPSMT"/>
          <w:i/>
          <w:iCs/>
          <w:szCs w:val="24"/>
        </w:rPr>
        <w:t xml:space="preserve"> </w:t>
      </w:r>
      <w:proofErr w:type="spellStart"/>
      <w:r w:rsidR="008B17BD">
        <w:rPr>
          <w:rFonts w:ascii="TimesNewRomanPSMT" w:hAnsi="TimesNewRomanPSMT" w:cs="TimesNewRomanPSMT"/>
          <w:i/>
          <w:iCs/>
          <w:szCs w:val="24"/>
        </w:rPr>
        <w:t>of</w:t>
      </w:r>
      <w:proofErr w:type="spellEnd"/>
      <w:r w:rsidR="008B17BD">
        <w:rPr>
          <w:rFonts w:ascii="TimesNewRomanPSMT" w:hAnsi="TimesNewRomanPSMT" w:cs="TimesNewRomanPSMT"/>
          <w:i/>
          <w:iCs/>
          <w:szCs w:val="24"/>
        </w:rPr>
        <w:t xml:space="preserve"> </w:t>
      </w:r>
      <w:proofErr w:type="spellStart"/>
      <w:r w:rsidR="008B17BD">
        <w:rPr>
          <w:rFonts w:ascii="TimesNewRomanPSMT" w:hAnsi="TimesNewRomanPSMT" w:cs="TimesNewRomanPSMT"/>
          <w:i/>
          <w:iCs/>
          <w:szCs w:val="24"/>
        </w:rPr>
        <w:t>Works</w:t>
      </w:r>
      <w:proofErr w:type="spellEnd"/>
      <w:r w:rsidR="008B17BD">
        <w:rPr>
          <w:rFonts w:ascii="TimesNewRomanPSMT" w:hAnsi="TimesNewRomanPSMT" w:cs="TimesNewRomanPSMT"/>
          <w:i/>
          <w:iCs/>
          <w:szCs w:val="24"/>
        </w:rPr>
        <w:t>, p. 245</w:t>
      </w:r>
      <w:r w:rsidR="008B17BD">
        <w:rPr>
          <w:rFonts w:ascii="TimesNewRomanPSMT" w:hAnsi="TimesNewRomanPSMT" w:cs="TimesNewRomanPSMT"/>
          <w:szCs w:val="24"/>
        </w:rPr>
        <w:t>).</w:t>
      </w:r>
    </w:p>
    <w:p w14:paraId="38C5806B" w14:textId="50B6EE89" w:rsidR="00E977D9" w:rsidRDefault="008B17BD" w:rsidP="00EB59BC">
      <w:pPr>
        <w:pStyle w:val="ListBullet"/>
        <w:widowControl w:val="0"/>
        <w:numPr>
          <w:ilvl w:val="0"/>
          <w:numId w:val="0"/>
        </w:numPr>
        <w:spacing w:after="0"/>
        <w:ind w:firstLine="720"/>
        <w:contextualSpacing w:val="0"/>
        <w:jc w:val="both"/>
        <w:rPr>
          <w:rFonts w:ascii="TimesNewRomanPSMT" w:hAnsi="TimesNewRomanPSMT" w:cs="TimesNewRomanPSMT"/>
          <w:szCs w:val="24"/>
        </w:rPr>
      </w:pPr>
      <w:r>
        <w:rPr>
          <w:rFonts w:ascii="TimesNewRomanPSMT" w:hAnsi="TimesNewRomanPSMT" w:cs="TimesNewRomanPSMT"/>
          <w:szCs w:val="24"/>
        </w:rPr>
        <w:t>Ievērojot minēto, atzīstams, ka ar saglabāšanu (</w:t>
      </w:r>
      <w:proofErr w:type="spellStart"/>
      <w:r w:rsidRPr="008B17BD">
        <w:rPr>
          <w:rFonts w:ascii="TimesNewRomanPSMT" w:hAnsi="TimesNewRomanPSMT" w:cs="TimesNewRomanPSMT"/>
          <w:i/>
          <w:iCs/>
          <w:szCs w:val="24"/>
        </w:rPr>
        <w:t>storage</w:t>
      </w:r>
      <w:proofErr w:type="spellEnd"/>
      <w:r>
        <w:rPr>
          <w:rFonts w:ascii="TimesNewRomanPSMT" w:hAnsi="TimesNewRomanPSMT" w:cs="TimesNewRomanPSMT"/>
          <w:szCs w:val="24"/>
        </w:rPr>
        <w:t>) iepriekš norādīt</w:t>
      </w:r>
      <w:r w:rsidR="005F7D83">
        <w:rPr>
          <w:rFonts w:ascii="TimesNewRomanPSMT" w:hAnsi="TimesNewRomanPSMT" w:cs="TimesNewRomanPSMT"/>
          <w:szCs w:val="24"/>
        </w:rPr>
        <w:t>ā</w:t>
      </w:r>
      <w:r>
        <w:rPr>
          <w:rFonts w:ascii="TimesNewRomanPSMT" w:hAnsi="TimesNewRomanPSMT" w:cs="TimesNewRomanPSMT"/>
          <w:szCs w:val="24"/>
        </w:rPr>
        <w:t xml:space="preserve"> starptautisk</w:t>
      </w:r>
      <w:r w:rsidR="005F7D83">
        <w:rPr>
          <w:rFonts w:ascii="TimesNewRomanPSMT" w:hAnsi="TimesNewRomanPSMT" w:cs="TimesNewRomanPSMT"/>
          <w:szCs w:val="24"/>
        </w:rPr>
        <w:t>ā regulējuma</w:t>
      </w:r>
      <w:r w:rsidR="00E45B05">
        <w:rPr>
          <w:rFonts w:ascii="TimesNewRomanPSMT" w:hAnsi="TimesNewRomanPSMT" w:cs="TimesNewRomanPSMT"/>
          <w:szCs w:val="24"/>
        </w:rPr>
        <w:t xml:space="preserve"> izpratnē</w:t>
      </w:r>
      <w:r>
        <w:rPr>
          <w:rFonts w:ascii="TimesNewRomanPSMT" w:hAnsi="TimesNewRomanPSMT" w:cs="TimesNewRomanPSMT"/>
          <w:szCs w:val="24"/>
        </w:rPr>
        <w:t xml:space="preserve">, </w:t>
      </w:r>
      <w:r w:rsidR="00E45B05">
        <w:rPr>
          <w:rFonts w:ascii="TimesNewRomanPSMT" w:hAnsi="TimesNewRomanPSMT" w:cs="TimesNewRomanPSMT"/>
          <w:szCs w:val="24"/>
        </w:rPr>
        <w:t>tai skaitā</w:t>
      </w:r>
      <w:r>
        <w:rPr>
          <w:rFonts w:ascii="TimesNewRomanPSMT" w:hAnsi="TimesNewRomanPSMT" w:cs="TimesNewRomanPSMT"/>
          <w:szCs w:val="24"/>
        </w:rPr>
        <w:t xml:space="preserve"> </w:t>
      </w:r>
      <w:r w:rsidR="00E45B05">
        <w:rPr>
          <w:rFonts w:ascii="TimesNewRomanPSMT" w:hAnsi="TimesNewRomanPSMT" w:cs="TimesNewRomanPSMT"/>
          <w:szCs w:val="24"/>
        </w:rPr>
        <w:t xml:space="preserve">atbilstoši </w:t>
      </w:r>
      <w:r>
        <w:rPr>
          <w:rFonts w:ascii="TimesNewRomanPSMT" w:hAnsi="TimesNewRomanPSMT" w:cs="TimesNewRomanPSMT"/>
          <w:szCs w:val="24"/>
        </w:rPr>
        <w:t>Direktīvas 2009/24/EK 4. panta 1. punkta a) apakšpunkta</w:t>
      </w:r>
      <w:r w:rsidR="00E45B05">
        <w:rPr>
          <w:rFonts w:ascii="TimesNewRomanPSMT" w:hAnsi="TimesNewRomanPSMT" w:cs="TimesNewRomanPSMT"/>
          <w:szCs w:val="24"/>
        </w:rPr>
        <w:t xml:space="preserve">m, </w:t>
      </w:r>
      <w:r>
        <w:rPr>
          <w:rFonts w:ascii="TimesNewRomanPSMT" w:hAnsi="TimesNewRomanPSMT" w:cs="TimesNewRomanPSMT"/>
          <w:szCs w:val="24"/>
        </w:rPr>
        <w:t>ir jāsaprot darba fiksēšana (ietveršana) elektroniskā datu nesējā. Nav pamata secināt, ka Eiropas Savienības likumdevējs būtu vēlējies attiecināt datorprogrammas autora izņēmuma tiesības uz darba glabāšanu kā tādu.</w:t>
      </w:r>
    </w:p>
    <w:p w14:paraId="0B8EB6B6" w14:textId="02C933BE" w:rsidR="00E977D9" w:rsidRDefault="00E977D9" w:rsidP="00EB59BC">
      <w:pPr>
        <w:pStyle w:val="ListBullet"/>
        <w:widowControl w:val="0"/>
        <w:numPr>
          <w:ilvl w:val="0"/>
          <w:numId w:val="0"/>
        </w:numPr>
        <w:spacing w:after="0"/>
        <w:ind w:firstLine="720"/>
        <w:contextualSpacing w:val="0"/>
        <w:jc w:val="both"/>
        <w:rPr>
          <w:rFonts w:ascii="TimesNewRomanPSMT" w:hAnsi="TimesNewRomanPSMT" w:cs="TimesNewRomanPSMT"/>
          <w:szCs w:val="24"/>
        </w:rPr>
      </w:pPr>
      <w:r>
        <w:rPr>
          <w:rFonts w:ascii="TimesNewRomanPSMT" w:hAnsi="TimesNewRomanPSMT" w:cs="TimesNewRomanPSMT"/>
          <w:szCs w:val="24"/>
        </w:rPr>
        <w:t xml:space="preserve">Saskaņā ar Eiropas Savienības Tiesas pastāvīgo judikatūru valsts tiesai saskaņā ar valsts tiesību atbilstīgas interpretācijas principu ir pienākums šīs tiesības, cik vien iespējams, interpretēt atbilstoši Eiropas Savienības tiesību prasībām, un tādējādi savas kompetences ietvaros nodrošināt Eiropas Savienības tiesību pilnīgu efektivitāti, iztiesājot tai iesniegto lietu </w:t>
      </w:r>
      <w:proofErr w:type="gramStart"/>
      <w:r>
        <w:rPr>
          <w:rFonts w:ascii="TimesNewRomanPSMT" w:hAnsi="TimesNewRomanPSMT" w:cs="TimesNewRomanPSMT"/>
          <w:szCs w:val="24"/>
        </w:rPr>
        <w:t>(</w:t>
      </w:r>
      <w:proofErr w:type="gramEnd"/>
      <w:r>
        <w:rPr>
          <w:rFonts w:ascii="TimesNewRomanPSMT" w:hAnsi="TimesNewRomanPSMT" w:cs="TimesNewRomanPSMT"/>
          <w:i/>
          <w:iCs/>
          <w:szCs w:val="24"/>
        </w:rPr>
        <w:t xml:space="preserve">Eiropas Savienības Tiesas 2019. gada 18. decembra sprieduma lietā </w:t>
      </w:r>
      <w:r w:rsidR="00921014">
        <w:rPr>
          <w:rFonts w:ascii="TimesNewRomanPSMT" w:hAnsi="TimesNewRomanPSMT" w:cs="TimesNewRomanPSMT"/>
          <w:i/>
          <w:iCs/>
          <w:szCs w:val="24"/>
        </w:rPr>
        <w:t>„</w:t>
      </w:r>
      <w:r>
        <w:rPr>
          <w:rFonts w:ascii="TimesNewRomanPSMT" w:hAnsi="TimesNewRomanPSMT" w:cs="TimesNewRomanPSMT"/>
          <w:i/>
          <w:iCs/>
          <w:szCs w:val="24"/>
        </w:rPr>
        <w:t xml:space="preserve">IT </w:t>
      </w:r>
      <w:proofErr w:type="spellStart"/>
      <w:r>
        <w:rPr>
          <w:rFonts w:ascii="TimesNewRomanPSMT" w:hAnsi="TimesNewRomanPSMT" w:cs="TimesNewRomanPSMT"/>
          <w:i/>
          <w:iCs/>
          <w:szCs w:val="24"/>
        </w:rPr>
        <w:t>Development</w:t>
      </w:r>
      <w:proofErr w:type="spellEnd"/>
      <w:r w:rsidR="00921014">
        <w:rPr>
          <w:rFonts w:ascii="TimesNewRomanPSMT" w:hAnsi="TimesNewRomanPSMT" w:cs="TimesNewRomanPSMT"/>
          <w:i/>
          <w:iCs/>
          <w:szCs w:val="24"/>
        </w:rPr>
        <w:t xml:space="preserve"> SAS</w:t>
      </w:r>
      <w:r>
        <w:rPr>
          <w:rFonts w:ascii="TimesNewRomanPSMT" w:hAnsi="TimesNewRomanPSMT" w:cs="TimesNewRomanPSMT"/>
          <w:i/>
          <w:iCs/>
          <w:szCs w:val="24"/>
        </w:rPr>
        <w:t xml:space="preserve">”, C-666/18, </w:t>
      </w:r>
      <w:hyperlink r:id="rId11" w:history="1">
        <w:r w:rsidRPr="006E1D47">
          <w:rPr>
            <w:rStyle w:val="Hyperlink"/>
            <w:rFonts w:ascii="TimesNewRomanPSMT" w:hAnsi="TimesNewRomanPSMT" w:cs="TimesNewRomanPSMT"/>
            <w:i/>
            <w:iCs/>
            <w:color w:val="auto"/>
            <w:szCs w:val="24"/>
            <w:u w:val="none"/>
          </w:rPr>
          <w:t>ECLI:EU:C:2019:1099</w:t>
        </w:r>
      </w:hyperlink>
      <w:r>
        <w:rPr>
          <w:rFonts w:ascii="TimesNewRomanPSMT" w:hAnsi="TimesNewRomanPSMT" w:cs="TimesNewRomanPSMT"/>
          <w:i/>
          <w:iCs/>
          <w:szCs w:val="24"/>
        </w:rPr>
        <w:t>, 48. punkts</w:t>
      </w:r>
      <w:r>
        <w:rPr>
          <w:rFonts w:ascii="TimesNewRomanPSMT" w:hAnsi="TimesNewRomanPSMT" w:cs="TimesNewRomanPSMT"/>
          <w:szCs w:val="24"/>
        </w:rPr>
        <w:t>).</w:t>
      </w:r>
      <w:r w:rsidR="00551DC4">
        <w:rPr>
          <w:rFonts w:ascii="TimesNewRomanPSMT" w:hAnsi="TimesNewRomanPSMT" w:cs="TimesNewRomanPSMT"/>
          <w:szCs w:val="24"/>
        </w:rPr>
        <w:t xml:space="preserve"> Tādējādi, iztulkojot Autortiesību likuma 1. panta 17. punktu, ir jāņem vērā Eiropas Savienības tiesībās pastāvošā izpratne par reproducēšanas tiesību tvērumu.</w:t>
      </w:r>
    </w:p>
    <w:p w14:paraId="4CC5AB5B" w14:textId="08AB53C6" w:rsidR="00F82B1C" w:rsidRDefault="007C422C" w:rsidP="00EB59BC">
      <w:pPr>
        <w:pStyle w:val="ListBullet"/>
        <w:widowControl w:val="0"/>
        <w:numPr>
          <w:ilvl w:val="0"/>
          <w:numId w:val="0"/>
        </w:numPr>
        <w:spacing w:after="0"/>
        <w:ind w:firstLine="720"/>
        <w:contextualSpacing w:val="0"/>
        <w:jc w:val="both"/>
        <w:rPr>
          <w:rFonts w:ascii="TimesNewRomanPSMT" w:hAnsi="TimesNewRomanPSMT" w:cs="TimesNewRomanPSMT"/>
          <w:szCs w:val="24"/>
        </w:rPr>
      </w:pPr>
      <w:r>
        <w:rPr>
          <w:rFonts w:ascii="TimesNewRomanPSMT" w:hAnsi="TimesNewRomanPSMT" w:cs="TimesNewRomanPSMT"/>
          <w:szCs w:val="24"/>
        </w:rPr>
        <w:t>Turklāt n</w:t>
      </w:r>
      <w:r w:rsidR="00B0608B">
        <w:rPr>
          <w:rFonts w:ascii="TimesNewRomanPSMT" w:hAnsi="TimesNewRomanPSMT" w:cs="TimesNewRomanPSMT"/>
          <w:szCs w:val="24"/>
        </w:rPr>
        <w:t xml:space="preserve">o </w:t>
      </w:r>
      <w:r>
        <w:rPr>
          <w:rFonts w:ascii="TimesNewRomanPSMT" w:hAnsi="TimesNewRomanPSMT" w:cs="TimesNewRomanPSMT"/>
          <w:szCs w:val="24"/>
        </w:rPr>
        <w:t>Autortiesību likuma 1. </w:t>
      </w:r>
      <w:r w:rsidR="00B0608B">
        <w:rPr>
          <w:rFonts w:ascii="TimesNewRomanPSMT" w:hAnsi="TimesNewRomanPSMT" w:cs="TimesNewRomanPSMT"/>
          <w:szCs w:val="24"/>
        </w:rPr>
        <w:t>panta</w:t>
      </w:r>
      <w:r>
        <w:rPr>
          <w:rFonts w:ascii="TimesNewRomanPSMT" w:hAnsi="TimesNewRomanPSMT" w:cs="TimesNewRomanPSMT"/>
          <w:szCs w:val="24"/>
        </w:rPr>
        <w:t xml:space="preserve"> 17. punkta</w:t>
      </w:r>
      <w:r w:rsidR="00B0608B">
        <w:rPr>
          <w:rFonts w:ascii="TimesNewRomanPSMT" w:hAnsi="TimesNewRomanPSMT" w:cs="TimesNewRomanPSMT"/>
          <w:szCs w:val="24"/>
        </w:rPr>
        <w:t xml:space="preserve"> </w:t>
      </w:r>
      <w:r w:rsidR="00740AF5">
        <w:rPr>
          <w:rFonts w:ascii="TimesNewRomanPSMT" w:hAnsi="TimesNewRomanPSMT" w:cs="TimesNewRomanPSMT"/>
          <w:szCs w:val="24"/>
        </w:rPr>
        <w:t xml:space="preserve">uzbūves </w:t>
      </w:r>
      <w:r w:rsidR="00B0608B">
        <w:rPr>
          <w:rFonts w:ascii="TimesNewRomanPSMT" w:hAnsi="TimesNewRomanPSMT" w:cs="TimesNewRomanPSMT"/>
          <w:szCs w:val="24"/>
        </w:rPr>
        <w:t xml:space="preserve">un </w:t>
      </w:r>
      <w:r w:rsidR="00911C8B">
        <w:rPr>
          <w:rFonts w:ascii="TimesNewRomanPSMT" w:hAnsi="TimesNewRomanPSMT" w:cs="TimesNewRomanPSMT"/>
          <w:szCs w:val="24"/>
        </w:rPr>
        <w:t>formulējum</w:t>
      </w:r>
      <w:r w:rsidR="00B0608B">
        <w:rPr>
          <w:rFonts w:ascii="TimesNewRomanPSMT" w:hAnsi="TimesNewRomanPSMT" w:cs="TimesNewRomanPSMT"/>
          <w:szCs w:val="24"/>
        </w:rPr>
        <w:t>a</w:t>
      </w:r>
      <w:r w:rsidR="00911C8B">
        <w:rPr>
          <w:rFonts w:ascii="TimesNewRomanPSMT" w:hAnsi="TimesNewRomanPSMT" w:cs="TimesNewRomanPSMT"/>
          <w:szCs w:val="24"/>
        </w:rPr>
        <w:t xml:space="preserve"> </w:t>
      </w:r>
      <w:r w:rsidR="00B0608B">
        <w:rPr>
          <w:rFonts w:ascii="TimesNewRomanPSMT" w:hAnsi="TimesNewRomanPSMT" w:cs="TimesNewRomanPSMT"/>
          <w:szCs w:val="24"/>
        </w:rPr>
        <w:t>izriet arī</w:t>
      </w:r>
      <w:r w:rsidR="00911C8B">
        <w:rPr>
          <w:rFonts w:ascii="TimesNewRomanPSMT" w:hAnsi="TimesNewRomanPSMT" w:cs="TimesNewRomanPSMT"/>
          <w:szCs w:val="24"/>
        </w:rPr>
        <w:t xml:space="preserve"> </w:t>
      </w:r>
      <w:r w:rsidR="00B0608B">
        <w:rPr>
          <w:rFonts w:ascii="TimesNewRomanPSMT" w:hAnsi="TimesNewRomanPSMT" w:cs="TimesNewRomanPSMT"/>
          <w:szCs w:val="24"/>
        </w:rPr>
        <w:t xml:space="preserve">Latvijas </w:t>
      </w:r>
      <w:r w:rsidR="00911C8B">
        <w:rPr>
          <w:rFonts w:ascii="TimesNewRomanPSMT" w:hAnsi="TimesNewRomanPSMT" w:cs="TimesNewRomanPSMT"/>
          <w:szCs w:val="24"/>
        </w:rPr>
        <w:t>likumdevēj</w:t>
      </w:r>
      <w:r w:rsidR="00F04BF7">
        <w:rPr>
          <w:rFonts w:ascii="TimesNewRomanPSMT" w:hAnsi="TimesNewRomanPSMT" w:cs="TimesNewRomanPSMT"/>
          <w:szCs w:val="24"/>
        </w:rPr>
        <w:t>a</w:t>
      </w:r>
      <w:r w:rsidR="00911C8B">
        <w:rPr>
          <w:rFonts w:ascii="TimesNewRomanPSMT" w:hAnsi="TimesNewRomanPSMT" w:cs="TimesNewRomanPSMT"/>
          <w:szCs w:val="24"/>
        </w:rPr>
        <w:t xml:space="preserve"> </w:t>
      </w:r>
      <w:r w:rsidR="00F04BF7">
        <w:rPr>
          <w:rFonts w:ascii="TimesNewRomanPSMT" w:hAnsi="TimesNewRomanPSMT" w:cs="TimesNewRomanPSMT"/>
          <w:szCs w:val="24"/>
        </w:rPr>
        <w:t>grib</w:t>
      </w:r>
      <w:r w:rsidR="00B0608B">
        <w:rPr>
          <w:rFonts w:ascii="TimesNewRomanPSMT" w:hAnsi="TimesNewRomanPSMT" w:cs="TimesNewRomanPSMT"/>
          <w:szCs w:val="24"/>
        </w:rPr>
        <w:t>a</w:t>
      </w:r>
      <w:r w:rsidR="00D87247">
        <w:rPr>
          <w:rFonts w:ascii="TimesNewRomanPSMT" w:hAnsi="TimesNewRomanPSMT" w:cs="TimesNewRomanPSMT"/>
          <w:szCs w:val="24"/>
        </w:rPr>
        <w:t xml:space="preserve"> autortiesību </w:t>
      </w:r>
      <w:r w:rsidR="00D87247" w:rsidRPr="008106AA">
        <w:rPr>
          <w:rFonts w:ascii="TimesNewRomanPSMT" w:hAnsi="TimesNewRomanPSMT" w:cs="TimesNewRomanPSMT"/>
          <w:szCs w:val="24"/>
        </w:rPr>
        <w:t>vai blakustiesību objekta</w:t>
      </w:r>
      <w:r w:rsidR="00D87247">
        <w:rPr>
          <w:rFonts w:ascii="TimesNewRomanPSMT" w:hAnsi="TimesNewRomanPSMT" w:cs="TimesNewRomanPSMT"/>
          <w:szCs w:val="24"/>
        </w:rPr>
        <w:t xml:space="preserve">, vai tā daļas </w:t>
      </w:r>
      <w:r w:rsidR="00911C8B">
        <w:rPr>
          <w:rFonts w:ascii="TimesNewRomanPSMT" w:hAnsi="TimesNewRomanPSMT" w:cs="TimesNewRomanPSMT"/>
          <w:szCs w:val="24"/>
        </w:rPr>
        <w:t>reproducēšan</w:t>
      </w:r>
      <w:r w:rsidR="005C3FB2">
        <w:rPr>
          <w:rFonts w:ascii="TimesNewRomanPSMT" w:hAnsi="TimesNewRomanPSMT" w:cs="TimesNewRomanPSMT"/>
          <w:szCs w:val="24"/>
        </w:rPr>
        <w:t>as jēdzienu</w:t>
      </w:r>
      <w:r w:rsidR="00911C8B">
        <w:rPr>
          <w:rFonts w:ascii="TimesNewRomanPSMT" w:hAnsi="TimesNewRomanPSMT" w:cs="TimesNewRomanPSMT"/>
          <w:szCs w:val="24"/>
        </w:rPr>
        <w:t xml:space="preserve"> </w:t>
      </w:r>
      <w:r w:rsidR="00551DC4">
        <w:rPr>
          <w:rFonts w:ascii="TimesNewRomanPSMT" w:hAnsi="TimesNewRomanPSMT" w:cs="TimesNewRomanPSMT"/>
          <w:szCs w:val="24"/>
        </w:rPr>
        <w:t>saistīt ar</w:t>
      </w:r>
      <w:r w:rsidR="00090DB2">
        <w:rPr>
          <w:rFonts w:ascii="TimesNewRomanPSMT" w:hAnsi="TimesNewRomanPSMT" w:cs="TimesNewRomanPSMT"/>
          <w:szCs w:val="24"/>
        </w:rPr>
        <w:t xml:space="preserve"> darbību, k</w:t>
      </w:r>
      <w:r w:rsidR="00B0608B">
        <w:rPr>
          <w:rFonts w:ascii="TimesNewRomanPSMT" w:hAnsi="TimesNewRomanPSMT" w:cs="TimesNewRomanPSMT"/>
          <w:szCs w:val="24"/>
        </w:rPr>
        <w:t xml:space="preserve">uras rezultātā tiek radīta autortiesību </w:t>
      </w:r>
      <w:r w:rsidR="00740AF5">
        <w:rPr>
          <w:rFonts w:ascii="TimesNewRomanPSMT" w:hAnsi="TimesNewRomanPSMT" w:cs="TimesNewRomanPSMT"/>
          <w:szCs w:val="24"/>
        </w:rPr>
        <w:t xml:space="preserve">vai blakustiesību objekta, </w:t>
      </w:r>
      <w:r w:rsidR="00B0608B">
        <w:rPr>
          <w:rFonts w:ascii="TimesNewRomanPSMT" w:hAnsi="TimesNewRomanPSMT" w:cs="TimesNewRomanPSMT"/>
          <w:szCs w:val="24"/>
        </w:rPr>
        <w:t xml:space="preserve">vai tā daļas </w:t>
      </w:r>
      <w:r w:rsidR="00740AF5">
        <w:rPr>
          <w:rFonts w:ascii="TimesNewRomanPSMT" w:hAnsi="TimesNewRomanPSMT" w:cs="TimesNewRomanPSMT"/>
          <w:szCs w:val="24"/>
        </w:rPr>
        <w:t xml:space="preserve">jebkāda </w:t>
      </w:r>
      <w:r w:rsidR="00B0608B">
        <w:rPr>
          <w:rFonts w:ascii="TimesNewRomanPSMT" w:hAnsi="TimesNewRomanPSMT" w:cs="TimesNewRomanPSMT"/>
          <w:szCs w:val="24"/>
        </w:rPr>
        <w:t>kopija, ta</w:t>
      </w:r>
      <w:r w:rsidR="00740AF5">
        <w:rPr>
          <w:rFonts w:ascii="TimesNewRomanPSMT" w:hAnsi="TimesNewRomanPSMT" w:cs="TimesNewRomanPSMT"/>
          <w:szCs w:val="24"/>
        </w:rPr>
        <w:t>i</w:t>
      </w:r>
      <w:r w:rsidR="00B0608B">
        <w:rPr>
          <w:rFonts w:ascii="TimesNewRomanPSMT" w:hAnsi="TimesNewRomanPSMT" w:cs="TimesNewRomanPSMT"/>
          <w:szCs w:val="24"/>
        </w:rPr>
        <w:t xml:space="preserve"> skaitā arī </w:t>
      </w:r>
      <w:r w:rsidR="00911C8B">
        <w:rPr>
          <w:rFonts w:ascii="TimesNewRomanPSMT" w:hAnsi="TimesNewRomanPSMT" w:cs="TimesNewRomanPSMT"/>
          <w:szCs w:val="24"/>
        </w:rPr>
        <w:t xml:space="preserve">formā, kas pastāv neilgu </w:t>
      </w:r>
      <w:r w:rsidR="00053C11">
        <w:rPr>
          <w:rFonts w:ascii="TimesNewRomanPSMT" w:hAnsi="TimesNewRomanPSMT" w:cs="TimesNewRomanPSMT"/>
          <w:szCs w:val="24"/>
        </w:rPr>
        <w:t>brīdi.</w:t>
      </w:r>
      <w:r w:rsidR="00B0608B">
        <w:rPr>
          <w:rFonts w:ascii="TimesNewRomanPSMT" w:hAnsi="TimesNewRomanPSMT" w:cs="TimesNewRomanPSMT"/>
          <w:szCs w:val="24"/>
        </w:rPr>
        <w:t xml:space="preserve"> Tādējādi</w:t>
      </w:r>
      <w:r w:rsidR="00D072AB">
        <w:rPr>
          <w:rFonts w:ascii="TimesNewRomanPSMT" w:hAnsi="TimesNewRomanPSMT" w:cs="TimesNewRomanPSMT"/>
          <w:szCs w:val="24"/>
        </w:rPr>
        <w:t>,</w:t>
      </w:r>
      <w:r w:rsidR="00B0608B">
        <w:rPr>
          <w:rFonts w:ascii="TimesNewRomanPSMT" w:hAnsi="TimesNewRomanPSMT" w:cs="TimesNewRomanPSMT"/>
          <w:szCs w:val="24"/>
        </w:rPr>
        <w:t xml:space="preserve"> kā jau norādīts iepriekš, datorprogrammas glabāšana bez autortiesību subjekta atļaujas nevar tikt atzīta par autortiesību pārkāpumu, jo datorprogrammas glabāšana pati par sevi nav reproducēšana – darbība, kuras īstenošanai saskaņā ar Autortiesību likumu būtu jāsaņem autortiesību subjekta atļauja.</w:t>
      </w:r>
    </w:p>
    <w:p w14:paraId="38E38DA0" w14:textId="2B4D3C3F" w:rsidR="0042579C" w:rsidRDefault="00F82B1C" w:rsidP="00EB59BC">
      <w:pPr>
        <w:pStyle w:val="ListBullet"/>
        <w:widowControl w:val="0"/>
        <w:numPr>
          <w:ilvl w:val="0"/>
          <w:numId w:val="0"/>
        </w:numPr>
        <w:spacing w:after="0"/>
        <w:ind w:firstLine="720"/>
        <w:contextualSpacing w:val="0"/>
        <w:jc w:val="both"/>
        <w:rPr>
          <w:rFonts w:ascii="TimesNewRomanPSMT" w:hAnsi="TimesNewRomanPSMT" w:cs="TimesNewRomanPSMT"/>
          <w:szCs w:val="24"/>
        </w:rPr>
      </w:pPr>
      <w:r>
        <w:rPr>
          <w:rFonts w:ascii="TimesNewRomanPSMT" w:hAnsi="TimesNewRomanPSMT" w:cs="TimesNewRomanPSMT"/>
          <w:szCs w:val="24"/>
        </w:rPr>
        <w:t xml:space="preserve">Ievērojot to, ka Krimināllikuma 148. panta trešās daļas dispozīcija ir </w:t>
      </w:r>
      <w:proofErr w:type="spellStart"/>
      <w:r>
        <w:rPr>
          <w:rFonts w:ascii="TimesNewRomanPSMT" w:hAnsi="TimesNewRomanPSMT" w:cs="TimesNewRomanPSMT"/>
          <w:szCs w:val="24"/>
        </w:rPr>
        <w:t>blanketa</w:t>
      </w:r>
      <w:proofErr w:type="spellEnd"/>
      <w:r w:rsidR="00517126">
        <w:rPr>
          <w:rFonts w:ascii="TimesNewRomanPSMT" w:hAnsi="TimesNewRomanPSMT" w:cs="TimesNewRomanPSMT"/>
          <w:szCs w:val="24"/>
        </w:rPr>
        <w:t xml:space="preserve"> un nodarījuma juridiskā kvalifikācija veicama saskaņā ar Autortiesību likuma normām</w:t>
      </w:r>
      <w:r>
        <w:rPr>
          <w:rFonts w:ascii="TimesNewRomanPSMT" w:hAnsi="TimesNewRomanPSMT" w:cs="TimesNewRomanPSMT"/>
          <w:szCs w:val="24"/>
        </w:rPr>
        <w:t>, Senāts atzīst, ka apelācijas instances tiesa, nepareizi interpretējot Autortiesību likuma 1. panta 17. punktu, nepareizi piemērojusi Krimināllikuma 148. panta trešo daļu.</w:t>
      </w:r>
    </w:p>
    <w:p w14:paraId="4B5F79D8" w14:textId="264C85F1" w:rsidR="00105476" w:rsidRDefault="0042579C"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ascii="TimesNewRomanPSMT" w:hAnsi="TimesNewRomanPSMT" w:cs="TimesNewRomanPSMT"/>
          <w:szCs w:val="24"/>
        </w:rPr>
        <w:t>[8.2]</w:t>
      </w:r>
      <w:r w:rsidR="00B72927">
        <w:rPr>
          <w:rFonts w:ascii="TimesNewRomanPSMT" w:hAnsi="TimesNewRomanPSMT" w:cs="TimesNewRomanPSMT"/>
          <w:szCs w:val="24"/>
        </w:rPr>
        <w:t> </w:t>
      </w:r>
      <w:r>
        <w:rPr>
          <w:rFonts w:ascii="TimesNewRomanPSMT" w:hAnsi="TimesNewRomanPSMT" w:cs="TimesNewRomanPSMT"/>
          <w:szCs w:val="24"/>
        </w:rPr>
        <w:t xml:space="preserve">Senāts atzīst, ka </w:t>
      </w:r>
      <w:r w:rsidR="00105476">
        <w:rPr>
          <w:rFonts w:ascii="TimesNewRomanPSMT" w:hAnsi="TimesNewRomanPSMT" w:cs="TimesNewRomanPSMT"/>
          <w:szCs w:val="24"/>
        </w:rPr>
        <w:t xml:space="preserve">nav pamata apmierināt prokurora kasācijas protestu saistībā ar apelācijas instances tiesas atzinumu, </w:t>
      </w:r>
      <w:r w:rsidR="00105476">
        <w:rPr>
          <w:rFonts w:cs="Times New Roman"/>
          <w:color w:val="000000" w:themeColor="text1"/>
          <w:szCs w:val="24"/>
        </w:rPr>
        <w:t>ka SIA</w:t>
      </w:r>
      <w:r w:rsidR="00D072AB">
        <w:rPr>
          <w:rFonts w:cs="Times New Roman"/>
          <w:color w:val="000000" w:themeColor="text1"/>
          <w:szCs w:val="24"/>
        </w:rPr>
        <w:t> „</w:t>
      </w:r>
      <w:r w:rsidR="00885397">
        <w:rPr>
          <w:rFonts w:cs="Times New Roman"/>
          <w:color w:val="000000" w:themeColor="text1"/>
          <w:szCs w:val="24"/>
        </w:rPr>
        <w:t>[Nosaukums </w:t>
      </w:r>
      <w:r w:rsidR="00885397">
        <w:t>A]</w:t>
      </w:r>
      <w:r w:rsidR="00105476">
        <w:rPr>
          <w:rFonts w:cs="Times New Roman"/>
          <w:color w:val="000000" w:themeColor="text1"/>
          <w:szCs w:val="24"/>
        </w:rPr>
        <w:t xml:space="preserve">” datorsistēmā tika instalēta datorprogrammas </w:t>
      </w:r>
      <w:r w:rsidR="00D072AB">
        <w:rPr>
          <w:rFonts w:cs="Times New Roman"/>
          <w:color w:val="000000" w:themeColor="text1"/>
          <w:szCs w:val="24"/>
        </w:rPr>
        <w:t>„</w:t>
      </w:r>
      <w:proofErr w:type="spellStart"/>
      <w:r w:rsidR="00105476">
        <w:rPr>
          <w:rFonts w:cs="Times New Roman"/>
          <w:color w:val="000000" w:themeColor="text1"/>
          <w:szCs w:val="24"/>
        </w:rPr>
        <w:t>SolidWorks</w:t>
      </w:r>
      <w:proofErr w:type="spellEnd"/>
      <w:r w:rsidR="00105476">
        <w:rPr>
          <w:rFonts w:cs="Times New Roman"/>
          <w:color w:val="000000" w:themeColor="text1"/>
          <w:szCs w:val="24"/>
        </w:rPr>
        <w:t xml:space="preserve"> </w:t>
      </w:r>
      <w:proofErr w:type="spellStart"/>
      <w:r w:rsidR="00105476">
        <w:rPr>
          <w:rFonts w:cs="Times New Roman"/>
          <w:color w:val="000000" w:themeColor="text1"/>
          <w:szCs w:val="24"/>
        </w:rPr>
        <w:t>Electrical</w:t>
      </w:r>
      <w:proofErr w:type="spellEnd"/>
      <w:r w:rsidR="00105476">
        <w:rPr>
          <w:rFonts w:cs="Times New Roman"/>
          <w:color w:val="000000" w:themeColor="text1"/>
          <w:szCs w:val="24"/>
        </w:rPr>
        <w:t xml:space="preserve"> 2014” izmēģinājuma versija, kas iegūta legālā veidā.</w:t>
      </w:r>
    </w:p>
    <w:p w14:paraId="4B9551FE" w14:textId="74E034A3" w:rsidR="008C79CB" w:rsidRDefault="00105476" w:rsidP="00EB59BC">
      <w:pPr>
        <w:pStyle w:val="ListBullet"/>
        <w:widowControl w:val="0"/>
        <w:numPr>
          <w:ilvl w:val="0"/>
          <w:numId w:val="0"/>
        </w:numPr>
        <w:spacing w:after="0"/>
        <w:ind w:firstLine="720"/>
        <w:contextualSpacing w:val="0"/>
        <w:jc w:val="both"/>
        <w:rPr>
          <w:rFonts w:ascii="TimesNewRomanPSMT" w:hAnsi="TimesNewRomanPSMT" w:cs="TimesNewRomanPSMT"/>
          <w:i/>
          <w:iCs/>
          <w:szCs w:val="24"/>
        </w:rPr>
      </w:pPr>
      <w:r>
        <w:rPr>
          <w:rFonts w:cs="Times New Roman"/>
          <w:color w:val="000000" w:themeColor="text1"/>
          <w:szCs w:val="24"/>
        </w:rPr>
        <w:t xml:space="preserve">No lietas materiāliem redzams, ka ar pirmās instances tiesas spriedumu apsūdzētais </w:t>
      </w:r>
      <w:r w:rsidR="00885397">
        <w:rPr>
          <w:rFonts w:cs="Times New Roman"/>
          <w:color w:val="000000" w:themeColor="text1"/>
          <w:szCs w:val="24"/>
        </w:rPr>
        <w:t>[pers. </w:t>
      </w:r>
      <w:r w:rsidR="00885397">
        <w:t>A]</w:t>
      </w:r>
      <w:r>
        <w:rPr>
          <w:rFonts w:cs="Times New Roman"/>
          <w:color w:val="000000" w:themeColor="text1"/>
          <w:szCs w:val="24"/>
        </w:rPr>
        <w:t xml:space="preserve"> atzīts par vainīgu pēc Krimināllikuma 148. panta trešās daļas par autortiesību pārkāpšanu </w:t>
      </w:r>
      <w:r w:rsidR="008C79CB">
        <w:rPr>
          <w:rFonts w:cs="Times New Roman"/>
          <w:color w:val="000000" w:themeColor="text1"/>
          <w:szCs w:val="24"/>
        </w:rPr>
        <w:t xml:space="preserve">lielā apmērā </w:t>
      </w:r>
      <w:r>
        <w:rPr>
          <w:rFonts w:cs="Times New Roman"/>
          <w:color w:val="000000" w:themeColor="text1"/>
          <w:szCs w:val="24"/>
        </w:rPr>
        <w:t>arī saistībā ar SIA</w:t>
      </w:r>
      <w:r w:rsidR="00D072AB">
        <w:rPr>
          <w:rFonts w:cs="Times New Roman"/>
          <w:color w:val="000000" w:themeColor="text1"/>
          <w:szCs w:val="24"/>
        </w:rPr>
        <w:t> „</w:t>
      </w:r>
      <w:r w:rsidR="00885397">
        <w:rPr>
          <w:rFonts w:cs="Times New Roman"/>
          <w:color w:val="000000" w:themeColor="text1"/>
          <w:szCs w:val="24"/>
        </w:rPr>
        <w:t>[Nosaukums </w:t>
      </w:r>
      <w:r w:rsidR="00885397">
        <w:t>A]</w:t>
      </w:r>
      <w:r>
        <w:rPr>
          <w:rFonts w:cs="Times New Roman"/>
          <w:color w:val="000000" w:themeColor="text1"/>
          <w:szCs w:val="24"/>
        </w:rPr>
        <w:t>”</w:t>
      </w:r>
      <w:r>
        <w:rPr>
          <w:rFonts w:ascii="TimesNewRomanPSMT" w:hAnsi="TimesNewRomanPSMT" w:cs="TimesNewRomanPSMT"/>
          <w:szCs w:val="24"/>
        </w:rPr>
        <w:t xml:space="preserve"> </w:t>
      </w:r>
      <w:r w:rsidR="008C79CB">
        <w:rPr>
          <w:rFonts w:ascii="TimesNewRomanPSMT" w:hAnsi="TimesNewRomanPSMT" w:cs="TimesNewRomanPSMT"/>
          <w:szCs w:val="24"/>
        </w:rPr>
        <w:t xml:space="preserve">2014. gada 27. februārī uzstādīto datorprogrammu </w:t>
      </w:r>
      <w:r w:rsidR="00D072AB">
        <w:rPr>
          <w:rFonts w:ascii="TimesNewRomanPSMT" w:hAnsi="TimesNewRomanPSMT" w:cs="TimesNewRomanPSMT"/>
          <w:szCs w:val="24"/>
        </w:rPr>
        <w:t>„</w:t>
      </w:r>
      <w:proofErr w:type="spellStart"/>
      <w:r w:rsidR="008C79CB">
        <w:rPr>
          <w:rFonts w:ascii="TimesNewRomanPSMT" w:hAnsi="TimesNewRomanPSMT" w:cs="TimesNewRomanPSMT"/>
          <w:szCs w:val="24"/>
        </w:rPr>
        <w:t>SolidWorks</w:t>
      </w:r>
      <w:proofErr w:type="spellEnd"/>
      <w:r w:rsidR="008C79CB">
        <w:rPr>
          <w:rFonts w:ascii="TimesNewRomanPSMT" w:hAnsi="TimesNewRomanPSMT" w:cs="TimesNewRomanPSMT"/>
          <w:szCs w:val="24"/>
        </w:rPr>
        <w:t xml:space="preserve"> </w:t>
      </w:r>
      <w:proofErr w:type="spellStart"/>
      <w:r w:rsidR="008C79CB">
        <w:rPr>
          <w:rFonts w:ascii="TimesNewRomanPSMT" w:hAnsi="TimesNewRomanPSMT" w:cs="TimesNewRomanPSMT"/>
          <w:szCs w:val="24"/>
        </w:rPr>
        <w:t>Electrical</w:t>
      </w:r>
      <w:proofErr w:type="spellEnd"/>
      <w:r w:rsidR="008C79CB">
        <w:rPr>
          <w:rFonts w:ascii="TimesNewRomanPSMT" w:hAnsi="TimesNewRomanPSMT" w:cs="TimesNewRomanPSMT"/>
          <w:szCs w:val="24"/>
        </w:rPr>
        <w:t xml:space="preserve"> 2014”.</w:t>
      </w:r>
    </w:p>
    <w:p w14:paraId="7B94ED38" w14:textId="5EB1D462" w:rsidR="008F7818" w:rsidRDefault="008C79CB"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 xml:space="preserve">Ar apelācijas instances tiesas 2019. gada 4. oktobra spriedumu pirmās instances tiesas spriedums daļā par apsūdzētā </w:t>
      </w:r>
      <w:r w:rsidR="00885397">
        <w:rPr>
          <w:rFonts w:cs="Times New Roman"/>
          <w:color w:val="000000" w:themeColor="text1"/>
          <w:szCs w:val="24"/>
        </w:rPr>
        <w:t>[pers. A]</w:t>
      </w:r>
      <w:r>
        <w:rPr>
          <w:rFonts w:cs="Times New Roman"/>
          <w:color w:val="000000" w:themeColor="text1"/>
          <w:szCs w:val="24"/>
        </w:rPr>
        <w:t xml:space="preserve"> atzīšanu par vainīgu un sodīšanu pēc Krimināllikuma 148. panta trešās daļas atcelts un šajā daļā taisīts jauns spriedums</w:t>
      </w:r>
      <w:r w:rsidR="008F7818">
        <w:rPr>
          <w:rFonts w:cs="Times New Roman"/>
          <w:color w:val="000000" w:themeColor="text1"/>
          <w:szCs w:val="24"/>
        </w:rPr>
        <w:t>, ar kuru apelācijas instances tiesa</w:t>
      </w:r>
      <w:proofErr w:type="gramStart"/>
      <w:r w:rsidR="008F7818">
        <w:rPr>
          <w:rFonts w:cs="Times New Roman"/>
          <w:color w:val="000000" w:themeColor="text1"/>
          <w:szCs w:val="24"/>
        </w:rPr>
        <w:t xml:space="preserve"> cita starpā atzinusi</w:t>
      </w:r>
      <w:proofErr w:type="gramEnd"/>
      <w:r w:rsidR="008F7818">
        <w:rPr>
          <w:rFonts w:cs="Times New Roman"/>
          <w:color w:val="000000" w:themeColor="text1"/>
          <w:szCs w:val="24"/>
        </w:rPr>
        <w:t xml:space="preserve">, </w:t>
      </w:r>
      <w:r>
        <w:rPr>
          <w:rFonts w:cs="Times New Roman"/>
          <w:color w:val="000000" w:themeColor="text1"/>
          <w:szCs w:val="24"/>
        </w:rPr>
        <w:t xml:space="preserve">ka </w:t>
      </w:r>
      <w:r w:rsidR="00665AD5">
        <w:rPr>
          <w:rFonts w:cs="Times New Roman"/>
          <w:color w:val="000000" w:themeColor="text1"/>
          <w:szCs w:val="24"/>
        </w:rPr>
        <w:t>SIA</w:t>
      </w:r>
      <w:r w:rsidR="00D072AB">
        <w:rPr>
          <w:rFonts w:cs="Times New Roman"/>
          <w:color w:val="000000" w:themeColor="text1"/>
          <w:szCs w:val="24"/>
        </w:rPr>
        <w:t> „</w:t>
      </w:r>
      <w:r w:rsidR="00885397">
        <w:rPr>
          <w:rFonts w:cs="Times New Roman"/>
          <w:color w:val="000000" w:themeColor="text1"/>
          <w:szCs w:val="24"/>
        </w:rPr>
        <w:t>[Nosaukums </w:t>
      </w:r>
      <w:r w:rsidR="00885397">
        <w:t>A]</w:t>
      </w:r>
      <w:r w:rsidR="00665AD5">
        <w:rPr>
          <w:rFonts w:cs="Times New Roman"/>
          <w:color w:val="000000" w:themeColor="text1"/>
          <w:szCs w:val="24"/>
        </w:rPr>
        <w:t>” datorsistēmā tika instalēta</w:t>
      </w:r>
      <w:r w:rsidR="008F7818">
        <w:rPr>
          <w:rFonts w:cs="Times New Roman"/>
          <w:color w:val="000000" w:themeColor="text1"/>
          <w:szCs w:val="24"/>
        </w:rPr>
        <w:t xml:space="preserve"> datorprogrammas </w:t>
      </w:r>
      <w:r w:rsidR="00D072AB">
        <w:rPr>
          <w:rFonts w:cs="Times New Roman"/>
          <w:color w:val="000000" w:themeColor="text1"/>
          <w:szCs w:val="24"/>
        </w:rPr>
        <w:t>„</w:t>
      </w:r>
      <w:proofErr w:type="spellStart"/>
      <w:r w:rsidR="008F7818">
        <w:rPr>
          <w:rFonts w:cs="Times New Roman"/>
          <w:color w:val="000000" w:themeColor="text1"/>
          <w:szCs w:val="24"/>
        </w:rPr>
        <w:t>SolidWorks</w:t>
      </w:r>
      <w:proofErr w:type="spellEnd"/>
      <w:r w:rsidR="008F7818">
        <w:rPr>
          <w:rFonts w:cs="Times New Roman"/>
          <w:color w:val="000000" w:themeColor="text1"/>
          <w:szCs w:val="24"/>
        </w:rPr>
        <w:t xml:space="preserve"> </w:t>
      </w:r>
      <w:proofErr w:type="spellStart"/>
      <w:r w:rsidR="008F7818">
        <w:rPr>
          <w:rFonts w:cs="Times New Roman"/>
          <w:color w:val="000000" w:themeColor="text1"/>
          <w:szCs w:val="24"/>
        </w:rPr>
        <w:t>Electrical</w:t>
      </w:r>
      <w:proofErr w:type="spellEnd"/>
      <w:r w:rsidR="008F7818">
        <w:rPr>
          <w:rFonts w:cs="Times New Roman"/>
          <w:color w:val="000000" w:themeColor="text1"/>
          <w:szCs w:val="24"/>
        </w:rPr>
        <w:t xml:space="preserve"> 2014”</w:t>
      </w:r>
      <w:r w:rsidR="00665AD5">
        <w:rPr>
          <w:rFonts w:cs="Times New Roman"/>
          <w:color w:val="000000" w:themeColor="text1"/>
          <w:szCs w:val="24"/>
        </w:rPr>
        <w:t xml:space="preserve"> izmēģinājuma versija, no kuras SIA</w:t>
      </w:r>
      <w:r w:rsidR="00D072AB">
        <w:rPr>
          <w:rFonts w:cs="Times New Roman"/>
          <w:color w:val="000000" w:themeColor="text1"/>
          <w:szCs w:val="24"/>
        </w:rPr>
        <w:t> „</w:t>
      </w:r>
      <w:r w:rsidR="00885397">
        <w:rPr>
          <w:rFonts w:cs="Times New Roman"/>
          <w:color w:val="000000" w:themeColor="text1"/>
          <w:szCs w:val="24"/>
        </w:rPr>
        <w:t>[Nosaukums </w:t>
      </w:r>
      <w:r w:rsidR="00885397">
        <w:t>A]</w:t>
      </w:r>
      <w:r w:rsidR="00665AD5">
        <w:rPr>
          <w:rFonts w:cs="Times New Roman"/>
          <w:color w:val="000000" w:themeColor="text1"/>
          <w:szCs w:val="24"/>
        </w:rPr>
        <w:t>” bija atteikusies, bet nebija izdzēsusi to no datorsistēmas.</w:t>
      </w:r>
    </w:p>
    <w:p w14:paraId="7DE10CD5" w14:textId="2FCBEB33" w:rsidR="008F7818" w:rsidRDefault="008F7818"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 xml:space="preserve">Prokurors kasācijas protestu par šo apelācijas instances tiesas spriedumu nebija iesniedzis, un lieta kasācijas kārtībā izskatīta vienīgi saistībā ar apsūdzētā </w:t>
      </w:r>
      <w:r w:rsidR="00885397">
        <w:rPr>
          <w:rFonts w:cs="Times New Roman"/>
          <w:color w:val="000000" w:themeColor="text1"/>
          <w:szCs w:val="24"/>
        </w:rPr>
        <w:t>[pers. </w:t>
      </w:r>
      <w:r w:rsidR="00885397">
        <w:t>A]</w:t>
      </w:r>
      <w:r>
        <w:rPr>
          <w:rFonts w:cs="Times New Roman"/>
          <w:color w:val="000000" w:themeColor="text1"/>
          <w:szCs w:val="24"/>
        </w:rPr>
        <w:t xml:space="preserve"> aizstāvja M. Gruduļa kasācijas sūdzību. Ar Senāta lēmumu apelācijas instances tiesas 2019. gada 4. oktobra spriedums atcelts pilnībā un lieta nosūtīta jaunai izskatīšanai apelācijas instances tiesā. Senāts izskatījis lietu aizstāvja kasācijas sūdzībā norādītajā apjomā un ietvaros un konstatējis, ka apelācijas instances tiesa pieļāvusi Kriminālprocesa likuma 511. panta otrās daļas un 512. panta pārkāpumu.</w:t>
      </w:r>
    </w:p>
    <w:p w14:paraId="040AB4D8" w14:textId="7B3BA1E5" w:rsidR="005367DF" w:rsidRDefault="008F7818"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Iztiesājot lietu no jauna apelācijas kārtībā, apelācijas instances tiesa ar apstrīdēto spriedumu atkārtoti atzinusi, ka</w:t>
      </w:r>
      <w:r w:rsidR="005367DF">
        <w:rPr>
          <w:rFonts w:cs="Times New Roman"/>
          <w:color w:val="000000" w:themeColor="text1"/>
          <w:szCs w:val="24"/>
        </w:rPr>
        <w:t xml:space="preserve"> SIA</w:t>
      </w:r>
      <w:r w:rsidR="00D072AB">
        <w:rPr>
          <w:rFonts w:cs="Times New Roman"/>
          <w:color w:val="000000" w:themeColor="text1"/>
          <w:szCs w:val="24"/>
        </w:rPr>
        <w:t> „</w:t>
      </w:r>
      <w:r w:rsidR="00885397">
        <w:rPr>
          <w:rFonts w:cs="Times New Roman"/>
          <w:color w:val="000000" w:themeColor="text1"/>
          <w:szCs w:val="24"/>
        </w:rPr>
        <w:t>[Nosaukums </w:t>
      </w:r>
      <w:r w:rsidR="00885397">
        <w:t>A]</w:t>
      </w:r>
      <w:r w:rsidR="005367DF">
        <w:rPr>
          <w:rFonts w:cs="Times New Roman"/>
          <w:color w:val="000000" w:themeColor="text1"/>
          <w:szCs w:val="24"/>
        </w:rPr>
        <w:t xml:space="preserve">” datorsistēmā tika instalēta datorprogrammas </w:t>
      </w:r>
      <w:r w:rsidR="00D072AB">
        <w:rPr>
          <w:rFonts w:cs="Times New Roman"/>
          <w:color w:val="000000" w:themeColor="text1"/>
          <w:szCs w:val="24"/>
        </w:rPr>
        <w:t>„</w:t>
      </w:r>
      <w:proofErr w:type="spellStart"/>
      <w:r w:rsidR="005367DF">
        <w:rPr>
          <w:rFonts w:cs="Times New Roman"/>
          <w:color w:val="000000" w:themeColor="text1"/>
          <w:szCs w:val="24"/>
        </w:rPr>
        <w:t>SolidWorks</w:t>
      </w:r>
      <w:proofErr w:type="spellEnd"/>
      <w:r w:rsidR="005367DF">
        <w:rPr>
          <w:rFonts w:cs="Times New Roman"/>
          <w:color w:val="000000" w:themeColor="text1"/>
          <w:szCs w:val="24"/>
        </w:rPr>
        <w:t xml:space="preserve"> </w:t>
      </w:r>
      <w:proofErr w:type="spellStart"/>
      <w:r w:rsidR="005367DF">
        <w:rPr>
          <w:rFonts w:cs="Times New Roman"/>
          <w:color w:val="000000" w:themeColor="text1"/>
          <w:szCs w:val="24"/>
        </w:rPr>
        <w:t>Electrical</w:t>
      </w:r>
      <w:proofErr w:type="spellEnd"/>
      <w:r w:rsidR="005367DF">
        <w:rPr>
          <w:rFonts w:cs="Times New Roman"/>
          <w:color w:val="000000" w:themeColor="text1"/>
          <w:szCs w:val="24"/>
        </w:rPr>
        <w:t xml:space="preserve"> 2014” izmēģinājuma jeb demo versija, kas iegūta legālā veidā.</w:t>
      </w:r>
    </w:p>
    <w:p w14:paraId="002C08FE" w14:textId="4875DF03" w:rsidR="005367DF" w:rsidRDefault="005367DF"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Lietas izskatīšana pēc sprieduma vai lēmuma atcelšanas reglamentēta Kriminālprocesa likuma 591. pantā. Šā panta otrā daļa noteic, ka soda pastiprināšana vai likuma piemērošana par smagāku noziedzīgu nodarījumu, izskatot lietu no jauna, pieļaujama tikai tad, ja spriedums</w:t>
      </w:r>
      <w:proofErr w:type="gramStart"/>
      <w:r>
        <w:rPr>
          <w:rFonts w:cs="Times New Roman"/>
          <w:color w:val="000000" w:themeColor="text1"/>
          <w:szCs w:val="24"/>
        </w:rPr>
        <w:t xml:space="preserve"> atcelts soda mīkstuma dēļ vai sakarā ar to</w:t>
      </w:r>
      <w:proofErr w:type="gramEnd"/>
      <w:r>
        <w:rPr>
          <w:rFonts w:cs="Times New Roman"/>
          <w:color w:val="000000" w:themeColor="text1"/>
          <w:szCs w:val="24"/>
        </w:rPr>
        <w:t>, ka pēc prokurora protesta vai pēc cietušā sūdzības bija nepieciešams piemērot likumu par smagāku noziedzīgu nodarījumu.</w:t>
      </w:r>
    </w:p>
    <w:p w14:paraId="66DB7B84" w14:textId="5950D016" w:rsidR="00EC45E7" w:rsidRDefault="005367DF"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Ievērojot to, ka prokurors apelācijas instances tiesas 2019. gada 4.</w:t>
      </w:r>
      <w:r w:rsidR="00017C54">
        <w:rPr>
          <w:rFonts w:cs="Times New Roman"/>
          <w:color w:val="000000" w:themeColor="text1"/>
          <w:szCs w:val="24"/>
        </w:rPr>
        <w:t> </w:t>
      </w:r>
      <w:r>
        <w:rPr>
          <w:rFonts w:cs="Times New Roman"/>
          <w:color w:val="000000" w:themeColor="text1"/>
          <w:szCs w:val="24"/>
        </w:rPr>
        <w:t>oktobra spriedumu daļā par tiesas atzinumu, ka SIA</w:t>
      </w:r>
      <w:r w:rsidR="00D072AB">
        <w:rPr>
          <w:rFonts w:cs="Times New Roman"/>
          <w:color w:val="000000" w:themeColor="text1"/>
          <w:szCs w:val="24"/>
        </w:rPr>
        <w:t> „</w:t>
      </w:r>
      <w:r w:rsidR="00885397">
        <w:rPr>
          <w:rFonts w:cs="Times New Roman"/>
          <w:color w:val="000000" w:themeColor="text1"/>
          <w:szCs w:val="24"/>
        </w:rPr>
        <w:t>[Nosaukums </w:t>
      </w:r>
      <w:r w:rsidR="00885397">
        <w:t>A]</w:t>
      </w:r>
      <w:r>
        <w:rPr>
          <w:rFonts w:cs="Times New Roman"/>
          <w:color w:val="000000" w:themeColor="text1"/>
          <w:szCs w:val="24"/>
        </w:rPr>
        <w:t xml:space="preserve">” datorsistēmā tika instalēta datorprogrammas </w:t>
      </w:r>
      <w:r w:rsidR="00D072AB">
        <w:rPr>
          <w:rFonts w:cs="Times New Roman"/>
          <w:color w:val="000000" w:themeColor="text1"/>
          <w:szCs w:val="24"/>
        </w:rPr>
        <w:t>„</w:t>
      </w:r>
      <w:proofErr w:type="spellStart"/>
      <w:r>
        <w:rPr>
          <w:rFonts w:cs="Times New Roman"/>
          <w:color w:val="000000" w:themeColor="text1"/>
          <w:szCs w:val="24"/>
        </w:rPr>
        <w:t>SolidWorks</w:t>
      </w:r>
      <w:proofErr w:type="spellEnd"/>
      <w:r>
        <w:rPr>
          <w:rFonts w:cs="Times New Roman"/>
          <w:color w:val="000000" w:themeColor="text1"/>
          <w:szCs w:val="24"/>
        </w:rPr>
        <w:t xml:space="preserve"> </w:t>
      </w:r>
      <w:proofErr w:type="spellStart"/>
      <w:r>
        <w:rPr>
          <w:rFonts w:cs="Times New Roman"/>
          <w:color w:val="000000" w:themeColor="text1"/>
          <w:szCs w:val="24"/>
        </w:rPr>
        <w:t>Electrical</w:t>
      </w:r>
      <w:proofErr w:type="spellEnd"/>
      <w:r>
        <w:rPr>
          <w:rFonts w:cs="Times New Roman"/>
          <w:color w:val="000000" w:themeColor="text1"/>
          <w:szCs w:val="24"/>
        </w:rPr>
        <w:t xml:space="preserve"> 2014” izmēģinājuma versija, kas iegūta legālā veidā, </w:t>
      </w:r>
      <w:proofErr w:type="gramStart"/>
      <w:r>
        <w:rPr>
          <w:rFonts w:cs="Times New Roman"/>
          <w:color w:val="000000" w:themeColor="text1"/>
          <w:szCs w:val="24"/>
        </w:rPr>
        <w:t>nebija apst</w:t>
      </w:r>
      <w:r w:rsidR="00EC45E7">
        <w:rPr>
          <w:rFonts w:cs="Times New Roman"/>
          <w:color w:val="000000" w:themeColor="text1"/>
          <w:szCs w:val="24"/>
        </w:rPr>
        <w:t>r</w:t>
      </w:r>
      <w:r>
        <w:rPr>
          <w:rFonts w:cs="Times New Roman"/>
          <w:color w:val="000000" w:themeColor="text1"/>
          <w:szCs w:val="24"/>
        </w:rPr>
        <w:t>īdējis</w:t>
      </w:r>
      <w:proofErr w:type="gramEnd"/>
      <w:r w:rsidR="00EC45E7">
        <w:rPr>
          <w:rFonts w:cs="Times New Roman"/>
          <w:color w:val="000000" w:themeColor="text1"/>
          <w:szCs w:val="24"/>
        </w:rPr>
        <w:t xml:space="preserve">, </w:t>
      </w:r>
      <w:r>
        <w:rPr>
          <w:rFonts w:cs="Times New Roman"/>
          <w:color w:val="000000" w:themeColor="text1"/>
          <w:szCs w:val="24"/>
        </w:rPr>
        <w:t>Senāts atzīst, ka kasācijas protesta iesniegšana par pārsūdzēto spriedumu šajā daļā, ievērojot Kriminālprocesa likuma 591. panta otrajā daļā sniegto regulējumu, ir novēlota.</w:t>
      </w:r>
    </w:p>
    <w:p w14:paraId="334F8D77" w14:textId="28DF49BC" w:rsidR="006C2B1D" w:rsidRDefault="00EC45E7"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Vienlaikus Senāts konstatē, ka apelācijas instances tiesa,</w:t>
      </w:r>
      <w:r w:rsidR="005367DF">
        <w:rPr>
          <w:rFonts w:cs="Times New Roman"/>
          <w:color w:val="000000" w:themeColor="text1"/>
          <w:szCs w:val="24"/>
        </w:rPr>
        <w:t xml:space="preserve"> </w:t>
      </w:r>
      <w:r>
        <w:rPr>
          <w:rFonts w:cs="Times New Roman"/>
          <w:color w:val="000000" w:themeColor="text1"/>
          <w:szCs w:val="24"/>
        </w:rPr>
        <w:t>atzīstot, ka datorprogrammas izmēģinājuma versijas uzglabāšana datorā pēc noteiktā termiņa</w:t>
      </w:r>
      <w:r w:rsidR="00193F9A">
        <w:rPr>
          <w:rFonts w:cs="Times New Roman"/>
          <w:color w:val="000000" w:themeColor="text1"/>
          <w:szCs w:val="24"/>
        </w:rPr>
        <w:t xml:space="preserve"> nerada autortiesību pārkāpumu, savu viedokli nav pienācīgi pamatojusi, ievērojot lietā iegūtos pierādījumus un Autortiesību likumā sniegto regulējumu. Tiesa nav sniegusi skaidru atbildi, vai šajā gadījumā ir notikusi </w:t>
      </w:r>
      <w:r w:rsidR="006C2B1D">
        <w:rPr>
          <w:rFonts w:cs="Times New Roman"/>
          <w:color w:val="000000" w:themeColor="text1"/>
          <w:szCs w:val="24"/>
        </w:rPr>
        <w:t xml:space="preserve">krimināli sodāma </w:t>
      </w:r>
      <w:r w:rsidR="00193F9A">
        <w:rPr>
          <w:rFonts w:cs="Times New Roman"/>
          <w:color w:val="000000" w:themeColor="text1"/>
          <w:szCs w:val="24"/>
        </w:rPr>
        <w:t xml:space="preserve">datorprogrammas reproducēšana, kā tas norādīts </w:t>
      </w:r>
      <w:r w:rsidR="00885397">
        <w:rPr>
          <w:rFonts w:cs="Times New Roman"/>
          <w:color w:val="000000" w:themeColor="text1"/>
          <w:szCs w:val="24"/>
        </w:rPr>
        <w:t>[pers. A]</w:t>
      </w:r>
      <w:r w:rsidR="00193F9A">
        <w:rPr>
          <w:rFonts w:cs="Times New Roman"/>
          <w:color w:val="000000" w:themeColor="text1"/>
          <w:szCs w:val="24"/>
        </w:rPr>
        <w:t xml:space="preserve"> celtajā apsūdzībā</w:t>
      </w:r>
      <w:r w:rsidR="006C2B1D">
        <w:rPr>
          <w:rFonts w:cs="Times New Roman"/>
          <w:color w:val="000000" w:themeColor="text1"/>
          <w:szCs w:val="24"/>
        </w:rPr>
        <w:t>, reducējot lietotāja pārkāpumu vienīgi uz līguma prasību neievērošanu.</w:t>
      </w:r>
      <w:r w:rsidR="007C422C">
        <w:rPr>
          <w:rFonts w:cs="Times New Roman"/>
          <w:color w:val="000000" w:themeColor="text1"/>
          <w:szCs w:val="24"/>
        </w:rPr>
        <w:t xml:space="preserve"> Senāts norāda, ka tas, vai pieļautais licences līguma pārkāpums vienlaikus veido arī Autortiesību likuma pārkāpumu, pārbaudāms, izvērtējot, vai lietotājs ir veicis tādas darbības, kuru veikšanai saskaņā ar Autortiesību likuma 40. pantu jāsaņem autortiesību subjekta vai blakustiesību subjekta atļauja, vai arī veicis kādu no citām Autortiesību likuma 68. panta pirmajā daļā tieši uzskaitītajām darbībām.</w:t>
      </w:r>
    </w:p>
    <w:p w14:paraId="4AC9CDC7" w14:textId="0895860A" w:rsidR="00D86BA8" w:rsidRDefault="006C2B1D"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Senāts atzīst, ka tādējādi apelācijas instances tiesa pārkāpusi Kriminālprocesa lik</w:t>
      </w:r>
      <w:r w:rsidR="00D86BA8">
        <w:rPr>
          <w:rFonts w:cs="Times New Roman"/>
          <w:color w:val="000000" w:themeColor="text1"/>
          <w:szCs w:val="24"/>
        </w:rPr>
        <w:t>uma</w:t>
      </w:r>
      <w:r>
        <w:rPr>
          <w:rFonts w:cs="Times New Roman"/>
          <w:color w:val="000000" w:themeColor="text1"/>
          <w:szCs w:val="24"/>
        </w:rPr>
        <w:t xml:space="preserve"> 512. panta pirmo daļu, kas noteic, ka tiesa, taisot spriedumu, pamatojas </w:t>
      </w:r>
      <w:r w:rsidR="00D86BA8">
        <w:rPr>
          <w:rFonts w:cs="Times New Roman"/>
          <w:color w:val="000000" w:themeColor="text1"/>
          <w:szCs w:val="24"/>
        </w:rPr>
        <w:t>uz materiālo un procesuālo tiesību normām, kā arī 564. panta ceturto daļu, kas noteic,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19853D42" w14:textId="6B43DAF6" w:rsidR="00457D37" w:rsidRDefault="00D86BA8"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Senāts atzīst, ka apelācijas instances tiesas pieļautie likuma pārkāpumi atzīstami par Kriminālprocesa likuma būtiskiem pārkāpumiem šā likuma 575. panta trešās daļas izpratnē, kuru dēļ apelācijas instances tiesas spriedumu šajā daļā nevar atzīt par tiesisku un pamatot</w:t>
      </w:r>
      <w:r w:rsidR="00457D37">
        <w:rPr>
          <w:rFonts w:cs="Times New Roman"/>
          <w:color w:val="000000" w:themeColor="text1"/>
          <w:szCs w:val="24"/>
        </w:rPr>
        <w:t>u.</w:t>
      </w:r>
    </w:p>
    <w:p w14:paraId="3678A9F2" w14:textId="28F7657B" w:rsidR="00D4298F" w:rsidRPr="00EC45E7" w:rsidRDefault="00457D37"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[8.3]</w:t>
      </w:r>
      <w:r w:rsidR="00645D82">
        <w:rPr>
          <w:rFonts w:cs="Times New Roman"/>
          <w:color w:val="000000" w:themeColor="text1"/>
          <w:szCs w:val="24"/>
        </w:rPr>
        <w:t> </w:t>
      </w:r>
      <w:r>
        <w:rPr>
          <w:rFonts w:cs="Times New Roman"/>
          <w:color w:val="000000" w:themeColor="text1"/>
          <w:szCs w:val="24"/>
        </w:rPr>
        <w:t xml:space="preserve">Senāts atzīst par pamatotu prokurora kasācijas </w:t>
      </w:r>
      <w:r w:rsidR="008628C1">
        <w:rPr>
          <w:rFonts w:cs="Times New Roman"/>
          <w:color w:val="000000" w:themeColor="text1"/>
          <w:szCs w:val="24"/>
        </w:rPr>
        <w:t>protestā</w:t>
      </w:r>
      <w:r>
        <w:rPr>
          <w:rFonts w:cs="Times New Roman"/>
          <w:color w:val="000000" w:themeColor="text1"/>
          <w:szCs w:val="24"/>
        </w:rPr>
        <w:t xml:space="preserve"> norādīto argumentu, ka apelācijas instances tiesa, nosakot apsūdzētajam </w:t>
      </w:r>
      <w:r w:rsidR="00885397">
        <w:rPr>
          <w:rFonts w:cs="Times New Roman"/>
          <w:color w:val="000000" w:themeColor="text1"/>
          <w:szCs w:val="24"/>
        </w:rPr>
        <w:t>[pers. A]</w:t>
      </w:r>
      <w:r>
        <w:rPr>
          <w:rFonts w:cs="Times New Roman"/>
          <w:color w:val="000000" w:themeColor="text1"/>
          <w:szCs w:val="24"/>
        </w:rPr>
        <w:t xml:space="preserve"> sodu, nepareizi piemērojusi Krimināllikuma normas.</w:t>
      </w:r>
    </w:p>
    <w:p w14:paraId="3E5E74E2" w14:textId="4CCB7E79" w:rsidR="00FA76AC" w:rsidRPr="00457D37" w:rsidRDefault="00FA76AC" w:rsidP="00EB59BC">
      <w:pPr>
        <w:pStyle w:val="ListBullet"/>
        <w:widowControl w:val="0"/>
        <w:numPr>
          <w:ilvl w:val="0"/>
          <w:numId w:val="0"/>
        </w:numPr>
        <w:spacing w:after="0"/>
        <w:ind w:firstLine="720"/>
        <w:contextualSpacing w:val="0"/>
        <w:jc w:val="both"/>
        <w:rPr>
          <w:rFonts w:ascii="TimesNewRomanPSMT" w:hAnsi="TimesNewRomanPSMT" w:cs="TimesNewRomanPSMT"/>
          <w:szCs w:val="24"/>
        </w:rPr>
      </w:pPr>
      <w:r>
        <w:rPr>
          <w:rFonts w:cs="Times New Roman"/>
          <w:color w:val="000000" w:themeColor="text1"/>
          <w:szCs w:val="24"/>
        </w:rPr>
        <w:t xml:space="preserve">Ar apelācijas instances tiesas spriedumu apsūdzētais </w:t>
      </w:r>
      <w:r w:rsidR="00885397">
        <w:rPr>
          <w:rFonts w:cs="Times New Roman"/>
          <w:color w:val="000000" w:themeColor="text1"/>
          <w:szCs w:val="24"/>
        </w:rPr>
        <w:t>[pers. A]</w:t>
      </w:r>
      <w:r>
        <w:rPr>
          <w:rFonts w:cs="Times New Roman"/>
          <w:color w:val="000000" w:themeColor="text1"/>
          <w:szCs w:val="24"/>
        </w:rPr>
        <w:t xml:space="preserve"> par Krimināllikuma 148. panta trešajā daļā paredzēto noziedzīgo nodarījumu sodīts ar brīvības atņemšanu uz 3 mēnešiem, atņemot tiesības pildīt amata pienākumus, kas saistīti ar likumīgu datorprogrammu iegādes un izmantošanas kontroli, datorsistēmu un datorprogrammas darba kārtības nodrošināšanu, inženieru un citu darbinieku, kas izmanto datorsistēmas ar datorprogrammām, uzraudzību un darba organizēšanu</w:t>
      </w:r>
      <w:r w:rsidR="00457D37">
        <w:rPr>
          <w:rFonts w:cs="Times New Roman"/>
          <w:color w:val="000000" w:themeColor="text1"/>
          <w:szCs w:val="24"/>
        </w:rPr>
        <w:t xml:space="preserve"> SIA</w:t>
      </w:r>
      <w:r w:rsidR="00645D82">
        <w:rPr>
          <w:rFonts w:cs="Times New Roman"/>
          <w:color w:val="000000" w:themeColor="text1"/>
          <w:szCs w:val="24"/>
        </w:rPr>
        <w:t> „</w:t>
      </w:r>
      <w:r w:rsidR="00885397">
        <w:rPr>
          <w:rFonts w:cs="Times New Roman"/>
          <w:color w:val="000000" w:themeColor="text1"/>
          <w:szCs w:val="24"/>
        </w:rPr>
        <w:t>[Nosaukums </w:t>
      </w:r>
      <w:r w:rsidR="00885397">
        <w:t>A]</w:t>
      </w:r>
      <w:r w:rsidR="00457D37">
        <w:rPr>
          <w:rFonts w:cs="Times New Roman"/>
          <w:color w:val="000000" w:themeColor="text1"/>
          <w:szCs w:val="24"/>
        </w:rPr>
        <w:t>”</w:t>
      </w:r>
      <w:r>
        <w:rPr>
          <w:rFonts w:cs="Times New Roman"/>
          <w:color w:val="000000" w:themeColor="text1"/>
          <w:szCs w:val="24"/>
        </w:rPr>
        <w:t xml:space="preserve"> uz 1 gadu.</w:t>
      </w:r>
    </w:p>
    <w:p w14:paraId="48B6CF94" w14:textId="336D216C" w:rsidR="00FA76AC" w:rsidRDefault="00FA76AC" w:rsidP="00EB59BC">
      <w:pPr>
        <w:widowControl w:val="0"/>
        <w:spacing w:after="0"/>
        <w:ind w:firstLine="720"/>
        <w:jc w:val="both"/>
        <w:rPr>
          <w:rFonts w:cs="Times New Roman"/>
          <w:color w:val="000000" w:themeColor="text1"/>
          <w:szCs w:val="24"/>
        </w:rPr>
      </w:pPr>
      <w:r>
        <w:rPr>
          <w:rFonts w:cs="Times New Roman"/>
          <w:color w:val="000000" w:themeColor="text1"/>
          <w:szCs w:val="24"/>
        </w:rPr>
        <w:t xml:space="preserve">Saskaņā ar Krimināllikuma 55. pantu ar brīvības atņemšanu </w:t>
      </w:r>
      <w:r w:rsidR="00885397">
        <w:rPr>
          <w:rFonts w:cs="Times New Roman"/>
          <w:color w:val="000000" w:themeColor="text1"/>
          <w:szCs w:val="24"/>
        </w:rPr>
        <w:t>[pers. A]</w:t>
      </w:r>
      <w:r>
        <w:rPr>
          <w:rFonts w:cs="Times New Roman"/>
          <w:color w:val="000000" w:themeColor="text1"/>
          <w:szCs w:val="24"/>
        </w:rPr>
        <w:t xml:space="preserve"> notiesāts nosacīti ar pārbaudes laiku uz 6 mēnešiem.</w:t>
      </w:r>
    </w:p>
    <w:p w14:paraId="5F2DF254" w14:textId="1DFCA857" w:rsidR="002D5FF3" w:rsidRDefault="00FA76AC" w:rsidP="00EB59BC">
      <w:pPr>
        <w:widowControl w:val="0"/>
        <w:spacing w:after="0"/>
        <w:ind w:firstLine="720"/>
        <w:jc w:val="both"/>
        <w:rPr>
          <w:rFonts w:cs="Times New Roman"/>
          <w:color w:val="000000" w:themeColor="text1"/>
          <w:szCs w:val="24"/>
        </w:rPr>
      </w:pPr>
      <w:r>
        <w:rPr>
          <w:rFonts w:cs="Times New Roman"/>
          <w:color w:val="000000" w:themeColor="text1"/>
          <w:szCs w:val="24"/>
        </w:rPr>
        <w:t>Nosacītas notiesāšanas piemērošanu reglamentē Krimināllikuma 55. pants. Šā panta pirmā daļa tās aktuālajā redakcijā, kas bija spēkā arī noziedzīgā nodarījuma izdarīšanas laikā, noteic</w:t>
      </w:r>
      <w:r w:rsidR="002D5FF3">
        <w:rPr>
          <w:rFonts w:cs="Times New Roman"/>
          <w:color w:val="000000" w:themeColor="text1"/>
          <w:szCs w:val="24"/>
        </w:rPr>
        <w:t xml:space="preserve">: ja, nosakot sodu – brīvības atņemšana – ilgāku par </w:t>
      </w:r>
      <w:r w:rsidR="00645D82">
        <w:rPr>
          <w:rFonts w:cs="Times New Roman"/>
          <w:color w:val="000000" w:themeColor="text1"/>
          <w:szCs w:val="24"/>
        </w:rPr>
        <w:t xml:space="preserve">3 </w:t>
      </w:r>
      <w:r w:rsidR="002D5FF3">
        <w:rPr>
          <w:rFonts w:cs="Times New Roman"/>
          <w:color w:val="000000" w:themeColor="text1"/>
          <w:szCs w:val="24"/>
        </w:rPr>
        <w:t xml:space="preserve">mēnešiem, bet ne ilgāku par </w:t>
      </w:r>
      <w:r w:rsidR="00645D82">
        <w:rPr>
          <w:rFonts w:cs="Times New Roman"/>
          <w:color w:val="000000" w:themeColor="text1"/>
          <w:szCs w:val="24"/>
        </w:rPr>
        <w:t xml:space="preserve">5 </w:t>
      </w:r>
      <w:r w:rsidR="002D5FF3">
        <w:rPr>
          <w:rFonts w:cs="Times New Roman"/>
          <w:color w:val="000000" w:themeColor="text1"/>
          <w:szCs w:val="24"/>
        </w:rPr>
        <w:t>gadiem, tiesa, ņemot vērā izdarītā noziedzīgā nodarījuma raksturu un radīto kaitējumu, vainīgā personību un citus lietas apstākļus, iegūst pārliecību, ka vainīgais, sodu neizciešot, turpmāk neizdarīs likumpārkāpumus, tā vainīgo var notiesāt nosacīti.</w:t>
      </w:r>
    </w:p>
    <w:p w14:paraId="33A07EB1" w14:textId="56A54EB4" w:rsidR="002D5FF3" w:rsidRDefault="002D5FF3" w:rsidP="00EB59BC">
      <w:pPr>
        <w:widowControl w:val="0"/>
        <w:spacing w:after="0"/>
        <w:ind w:firstLine="720"/>
        <w:jc w:val="both"/>
        <w:rPr>
          <w:rFonts w:cs="Times New Roman"/>
          <w:color w:val="000000" w:themeColor="text1"/>
          <w:szCs w:val="24"/>
        </w:rPr>
      </w:pPr>
      <w:r>
        <w:rPr>
          <w:rFonts w:cs="Times New Roman"/>
          <w:color w:val="000000" w:themeColor="text1"/>
          <w:szCs w:val="24"/>
        </w:rPr>
        <w:t xml:space="preserve">No šī tiesiskā regulējum izriet, ka tiesa var notiesāt vainīgo nosacīti tikai tajā gadījumā, ja tā noteikusi vainīgajam sodu – brīvības atņemšanu – uz laiku, kas pārsniedz </w:t>
      </w:r>
      <w:r w:rsidR="00645D82">
        <w:rPr>
          <w:rFonts w:cs="Times New Roman"/>
          <w:color w:val="000000" w:themeColor="text1"/>
          <w:szCs w:val="24"/>
        </w:rPr>
        <w:t xml:space="preserve">3 </w:t>
      </w:r>
      <w:r>
        <w:rPr>
          <w:rFonts w:cs="Times New Roman"/>
          <w:color w:val="000000" w:themeColor="text1"/>
          <w:szCs w:val="24"/>
        </w:rPr>
        <w:t>mēnešus.</w:t>
      </w:r>
    </w:p>
    <w:p w14:paraId="5B1BC6F2" w14:textId="327DD32D" w:rsidR="00457D37" w:rsidRDefault="0011465B" w:rsidP="00EB59BC">
      <w:pPr>
        <w:widowControl w:val="0"/>
        <w:spacing w:after="0"/>
        <w:ind w:firstLine="720"/>
        <w:jc w:val="both"/>
      </w:pPr>
      <w:r>
        <w:rPr>
          <w:rFonts w:cs="Times New Roman"/>
          <w:color w:val="000000" w:themeColor="text1"/>
          <w:szCs w:val="24"/>
        </w:rPr>
        <w:t xml:space="preserve">Ievērojot to, ka apelācijas instances tiesa notiesājusi apsūdzēto </w:t>
      </w:r>
      <w:r w:rsidR="00885397">
        <w:rPr>
          <w:rFonts w:cs="Times New Roman"/>
          <w:color w:val="000000" w:themeColor="text1"/>
          <w:szCs w:val="24"/>
        </w:rPr>
        <w:t>[pers. A]</w:t>
      </w:r>
      <w:r>
        <w:t xml:space="preserve"> nosacīti, nosakot viņam sodu – brīvības atņemšanu – uz </w:t>
      </w:r>
      <w:r w:rsidR="00645D82">
        <w:t xml:space="preserve">3 </w:t>
      </w:r>
      <w:r>
        <w:t xml:space="preserve">mēnešiem, atzīstams, ka tiesa soda noteikšanā nav ievērojusi Krimināllikuma 55. panta pirmās daļas nosacījumus. </w:t>
      </w:r>
      <w:r w:rsidR="00B9191F">
        <w:t xml:space="preserve">Savukārt sodu, kas noteikts, pārkāpjot Krimināllikuma normas, </w:t>
      </w:r>
      <w:r>
        <w:t>nevar atzīt par tiesisku.</w:t>
      </w:r>
    </w:p>
    <w:p w14:paraId="08129ACD" w14:textId="5E8F2593" w:rsidR="00AE1CD4" w:rsidRDefault="00457D37" w:rsidP="00EB59BC">
      <w:pPr>
        <w:widowControl w:val="0"/>
        <w:spacing w:after="0"/>
        <w:ind w:firstLine="720"/>
        <w:jc w:val="both"/>
      </w:pPr>
      <w:r>
        <w:t>[8.4]</w:t>
      </w:r>
      <w:r w:rsidR="00645D82">
        <w:t> </w:t>
      </w:r>
      <w:r>
        <w:t xml:space="preserve">Senāts atzīst, ka minēto apelācijas instances tiesas pieļauto Krimināllikuma pārkāpumu un Kriminālprocesa likuma būtisko pārkāpumu dēļ </w:t>
      </w:r>
      <w:r w:rsidR="00AE1CD4">
        <w:t>apelācijas instances tiesas spriedums atceļams pilnībā un lieta nosūtāma jaunai izskatīšanai apelācijas instances tiesā.</w:t>
      </w:r>
    </w:p>
    <w:p w14:paraId="15C78662" w14:textId="151D2620" w:rsidR="00AE1CD4" w:rsidRDefault="00AE1CD4" w:rsidP="00EB59BC">
      <w:pPr>
        <w:widowControl w:val="0"/>
        <w:spacing w:after="0"/>
        <w:ind w:firstLine="720"/>
        <w:jc w:val="both"/>
        <w:rPr>
          <w:rFonts w:cs="Times New Roman"/>
          <w:color w:val="000000" w:themeColor="text1"/>
          <w:szCs w:val="24"/>
        </w:rPr>
      </w:pPr>
      <w:r>
        <w:t xml:space="preserve">Iztiesājot lietu no jauna, apelācijas instances tiesai jāņem vērā arī tas, ka </w:t>
      </w:r>
      <w:r>
        <w:rPr>
          <w:rFonts w:cs="Times New Roman"/>
          <w:color w:val="000000" w:themeColor="text1"/>
          <w:szCs w:val="24"/>
        </w:rPr>
        <w:t xml:space="preserve">uz autortiesību, blakustiesību un tiesību uz preču zīmi pārkāpumiem </w:t>
      </w:r>
      <w:r w:rsidR="00645D82">
        <w:rPr>
          <w:rFonts w:cs="Times New Roman"/>
          <w:color w:val="000000" w:themeColor="text1"/>
          <w:szCs w:val="24"/>
        </w:rPr>
        <w:t xml:space="preserve">attiecas </w:t>
      </w:r>
      <w:r>
        <w:rPr>
          <w:rFonts w:cs="Times New Roman"/>
          <w:color w:val="000000" w:themeColor="text1"/>
          <w:szCs w:val="24"/>
        </w:rPr>
        <w:t>Kriminālprocesa likuma 125. panta otrajā daļā norādītais fakta legālās prezumpcijas princips, kas noteic, ka ir uzskatāms par pierādītu, ka persona ir pārkāpusi tiesiskā īpašnieka autortiesības, blakustiesības vai tiesības uz preču zīmi, ja vien tā nespēj ticami izskaidrot vai pamatot šo tiesību iegūšanu vai izcelsmi. Tas nozīmē, ka gadījumā, ja tiek fiksēts, ka persona izmanto autortiesību objektu, tai ir pienākums pierādīt šo tiesību legālu iegūšanu. Pretējā gadījumā tiek prezumēts, ka persona ir pārkāpusi tiesiskā īpašnieka autortiesības.</w:t>
      </w:r>
    </w:p>
    <w:p w14:paraId="62D9B3CD" w14:textId="0B74D23A" w:rsidR="00AE1CD4" w:rsidRDefault="00AE1CD4"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Savukārt saistība starp vainojamās fiziskās personas darbību vai bezdarbību un juridiskās personas faktiskajām darbībām noteikta Krimināllikuma 12. pantā. Saskaņā ar šo tiesību normu par noziedzīgu nodarījumu, ko privāto tiesību juridiskās personas interesēs, šīs personas labā vai tās nepienācīgas pārraudzības vai kontroles rezultātā izdarījusi fiziskā persona, attiecīgā fiziskā persona saucama pie kriminālatbildības, savukārt juridiskajai personai var piemērot šajā likumā paredzētos piespiedu ietekmēšanas līdzekļus. Tas nozīmē, ka kriminālā kārtā</w:t>
      </w:r>
      <w:r w:rsidR="008628C1">
        <w:rPr>
          <w:rFonts w:cs="Times New Roman"/>
          <w:color w:val="000000" w:themeColor="text1"/>
          <w:szCs w:val="24"/>
        </w:rPr>
        <w:t xml:space="preserve"> juridiskās personas vietā</w:t>
      </w:r>
      <w:r>
        <w:rPr>
          <w:rFonts w:cs="Times New Roman"/>
          <w:color w:val="000000" w:themeColor="text1"/>
          <w:szCs w:val="24"/>
        </w:rPr>
        <w:t xml:space="preserve"> atbild fiziska persona, kura vainojama noziedzīgajā nodarījumā saistībā ar juridiskās personas darbību.</w:t>
      </w:r>
    </w:p>
    <w:p w14:paraId="54D3B7F5" w14:textId="77777777" w:rsidR="00AE1CD4" w:rsidRDefault="00AE1CD4"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 xml:space="preserve">Tiesību doktrīnā pamatoti norādīts, ka fiziskā persona vainojama tajā ziņā, ka viņa juridiskās personas prettiesisko vai tiesisko interesi ar savu darbību vai bezdarbību realizē tiesiski neatļautā veidā, par ko Krimināllikuma Sevišķās daļas kādā no pantiem ir noteikta kriminālatbildība </w:t>
      </w:r>
      <w:proofErr w:type="gramStart"/>
      <w:r>
        <w:rPr>
          <w:rFonts w:cs="Times New Roman"/>
          <w:color w:val="000000" w:themeColor="text1"/>
          <w:szCs w:val="24"/>
        </w:rPr>
        <w:t>(</w:t>
      </w:r>
      <w:proofErr w:type="gramEnd"/>
      <w:r w:rsidRPr="001F5BF6">
        <w:rPr>
          <w:rFonts w:cs="Times New Roman"/>
          <w:color w:val="000000" w:themeColor="text1"/>
          <w:szCs w:val="24"/>
        </w:rPr>
        <w:t xml:space="preserve">sk. </w:t>
      </w:r>
      <w:r>
        <w:rPr>
          <w:rFonts w:cs="Times New Roman"/>
          <w:i/>
          <w:iCs/>
          <w:color w:val="000000" w:themeColor="text1"/>
          <w:szCs w:val="24"/>
        </w:rPr>
        <w:t>U. Krastiņš. Krimināltiesību teorija un prakse: viedokļi, problēmas risinājumi. 2009–2014. Rīga: Latvijas Vēstnesis, 2015, 216. lpp.</w:t>
      </w:r>
      <w:r>
        <w:rPr>
          <w:rFonts w:cs="Times New Roman"/>
          <w:color w:val="000000" w:themeColor="text1"/>
          <w:szCs w:val="24"/>
        </w:rPr>
        <w:t>).</w:t>
      </w:r>
    </w:p>
    <w:p w14:paraId="31594A3F" w14:textId="77777777" w:rsidR="00AE1CD4" w:rsidRDefault="00AE1CD4" w:rsidP="00EB59BC">
      <w:pPr>
        <w:pStyle w:val="ListBullet"/>
        <w:widowControl w:val="0"/>
        <w:numPr>
          <w:ilvl w:val="0"/>
          <w:numId w:val="0"/>
        </w:numPr>
        <w:spacing w:after="0"/>
        <w:ind w:firstLine="720"/>
        <w:contextualSpacing w:val="0"/>
        <w:jc w:val="both"/>
        <w:rPr>
          <w:rFonts w:cs="Times New Roman"/>
          <w:color w:val="000000" w:themeColor="text1"/>
          <w:szCs w:val="24"/>
        </w:rPr>
      </w:pPr>
    </w:p>
    <w:p w14:paraId="6F71D0DD" w14:textId="65147AB2" w:rsidR="00D9662B" w:rsidRPr="00AE1CD4" w:rsidRDefault="00AE1CD4"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[9]</w:t>
      </w:r>
      <w:r w:rsidR="00645D82">
        <w:rPr>
          <w:rFonts w:cs="Times New Roman"/>
          <w:color w:val="000000" w:themeColor="text1"/>
          <w:szCs w:val="24"/>
        </w:rPr>
        <w:t> </w:t>
      </w:r>
      <w:r>
        <w:rPr>
          <w:rFonts w:cs="Times New Roman"/>
          <w:color w:val="000000" w:themeColor="text1"/>
          <w:szCs w:val="24"/>
        </w:rPr>
        <w:t xml:space="preserve">Vienlaikus </w:t>
      </w:r>
      <w:r w:rsidR="00B9191F">
        <w:rPr>
          <w:rFonts w:cs="Times New Roman"/>
          <w:color w:val="000000" w:themeColor="text1"/>
          <w:szCs w:val="24"/>
        </w:rPr>
        <w:t xml:space="preserve">Senāts atzīst, ka nav pamata apmierināt prokurora </w:t>
      </w:r>
      <w:r w:rsidR="0081312B">
        <w:rPr>
          <w:rFonts w:cs="Times New Roman"/>
          <w:color w:val="000000" w:themeColor="text1"/>
          <w:szCs w:val="24"/>
        </w:rPr>
        <w:t xml:space="preserve">kasācijas </w:t>
      </w:r>
      <w:r w:rsidR="00B9191F">
        <w:rPr>
          <w:rFonts w:cs="Times New Roman"/>
          <w:color w:val="000000" w:themeColor="text1"/>
          <w:szCs w:val="24"/>
        </w:rPr>
        <w:t xml:space="preserve">protestu daļā par </w:t>
      </w:r>
      <w:r w:rsidR="00C804A2">
        <w:rPr>
          <w:rFonts w:cs="Times New Roman"/>
          <w:color w:val="000000" w:themeColor="text1"/>
          <w:szCs w:val="24"/>
        </w:rPr>
        <w:t xml:space="preserve">datorprogrammu </w:t>
      </w:r>
      <w:r w:rsidR="00645D82">
        <w:rPr>
          <w:rFonts w:cs="Times New Roman"/>
          <w:color w:val="000000" w:themeColor="text1"/>
          <w:szCs w:val="24"/>
        </w:rPr>
        <w:t>„</w:t>
      </w:r>
      <w:r w:rsidR="00C804A2">
        <w:rPr>
          <w:rFonts w:cs="Times New Roman"/>
          <w:color w:val="000000" w:themeColor="text1"/>
          <w:szCs w:val="24"/>
        </w:rPr>
        <w:t xml:space="preserve">Microsoft </w:t>
      </w:r>
      <w:proofErr w:type="spellStart"/>
      <w:r w:rsidR="00C804A2">
        <w:rPr>
          <w:rFonts w:cs="Times New Roman"/>
          <w:color w:val="000000" w:themeColor="text1"/>
          <w:szCs w:val="24"/>
        </w:rPr>
        <w:t>Office</w:t>
      </w:r>
      <w:proofErr w:type="spellEnd"/>
      <w:r w:rsidR="00C804A2">
        <w:rPr>
          <w:rFonts w:cs="Times New Roman"/>
          <w:color w:val="000000" w:themeColor="text1"/>
          <w:szCs w:val="24"/>
        </w:rPr>
        <w:t xml:space="preserve"> </w:t>
      </w:r>
      <w:proofErr w:type="spellStart"/>
      <w:r w:rsidR="00C804A2">
        <w:rPr>
          <w:rFonts w:cs="Times New Roman"/>
          <w:color w:val="000000" w:themeColor="text1"/>
          <w:szCs w:val="24"/>
        </w:rPr>
        <w:t>Enterprise</w:t>
      </w:r>
      <w:proofErr w:type="spellEnd"/>
      <w:r w:rsidR="00C804A2">
        <w:rPr>
          <w:rFonts w:cs="Times New Roman"/>
          <w:color w:val="000000" w:themeColor="text1"/>
          <w:szCs w:val="24"/>
        </w:rPr>
        <w:t xml:space="preserve"> 2007” un </w:t>
      </w:r>
      <w:r w:rsidR="00645D82">
        <w:rPr>
          <w:rFonts w:cs="Times New Roman"/>
          <w:color w:val="000000" w:themeColor="text1"/>
          <w:szCs w:val="24"/>
        </w:rPr>
        <w:t>„</w:t>
      </w:r>
      <w:r w:rsidR="00C804A2">
        <w:rPr>
          <w:rFonts w:cs="Times New Roman"/>
          <w:color w:val="000000" w:themeColor="text1"/>
          <w:szCs w:val="24"/>
        </w:rPr>
        <w:t xml:space="preserve">Tildes Birojs 2008” izslēgšanu no </w:t>
      </w:r>
      <w:r w:rsidR="00094E76">
        <w:rPr>
          <w:rFonts w:cs="Times New Roman"/>
          <w:color w:val="000000" w:themeColor="text1"/>
          <w:szCs w:val="24"/>
        </w:rPr>
        <w:t>pierādītā noziedzīgā nodarījuma apraksta.</w:t>
      </w:r>
    </w:p>
    <w:p w14:paraId="29C9BEC0" w14:textId="4063FE94" w:rsidR="00546F71" w:rsidRDefault="00C804A2"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No lietas materiāliem redzams, ka</w:t>
      </w:r>
      <w:r w:rsidR="00546F71">
        <w:rPr>
          <w:rFonts w:cs="Times New Roman"/>
          <w:color w:val="000000" w:themeColor="text1"/>
          <w:szCs w:val="24"/>
        </w:rPr>
        <w:t xml:space="preserve"> ar pirmās instances tiesas spriedumu apsūdzētais </w:t>
      </w:r>
      <w:r w:rsidR="00885397">
        <w:rPr>
          <w:rFonts w:cs="Times New Roman"/>
          <w:color w:val="000000" w:themeColor="text1"/>
          <w:szCs w:val="24"/>
        </w:rPr>
        <w:t>[pers. A]</w:t>
      </w:r>
      <w:r w:rsidR="00546F71">
        <w:rPr>
          <w:rFonts w:cs="Times New Roman"/>
          <w:color w:val="000000" w:themeColor="text1"/>
          <w:szCs w:val="24"/>
        </w:rPr>
        <w:t xml:space="preserve"> atzīts par vainīgu pēc Krimināllikuma 148. panta</w:t>
      </w:r>
      <w:r w:rsidR="00645D82">
        <w:rPr>
          <w:rFonts w:cs="Times New Roman"/>
          <w:color w:val="000000" w:themeColor="text1"/>
          <w:szCs w:val="24"/>
        </w:rPr>
        <w:t xml:space="preserve"> </w:t>
      </w:r>
      <w:r w:rsidR="00546F71">
        <w:rPr>
          <w:rFonts w:cs="Times New Roman"/>
          <w:color w:val="000000" w:themeColor="text1"/>
          <w:szCs w:val="24"/>
        </w:rPr>
        <w:t xml:space="preserve">trešās daļas par autortiesību pārkāpšanu lielā apmērā arī saistībā ar </w:t>
      </w:r>
      <w:r w:rsidR="00094E76">
        <w:rPr>
          <w:rFonts w:cs="Times New Roman"/>
          <w:color w:val="000000" w:themeColor="text1"/>
          <w:szCs w:val="24"/>
        </w:rPr>
        <w:t>SIA</w:t>
      </w:r>
      <w:r w:rsidR="00645D82">
        <w:rPr>
          <w:rFonts w:cs="Times New Roman"/>
          <w:color w:val="000000" w:themeColor="text1"/>
          <w:szCs w:val="24"/>
        </w:rPr>
        <w:t> „</w:t>
      </w:r>
      <w:r w:rsidR="00885397">
        <w:rPr>
          <w:rFonts w:cs="Times New Roman"/>
          <w:color w:val="000000" w:themeColor="text1"/>
          <w:szCs w:val="24"/>
        </w:rPr>
        <w:t>[Nosaukums A]</w:t>
      </w:r>
      <w:r w:rsidR="00094E76">
        <w:rPr>
          <w:rFonts w:cs="Times New Roman"/>
          <w:color w:val="000000" w:themeColor="text1"/>
          <w:szCs w:val="24"/>
        </w:rPr>
        <w:t xml:space="preserve">” datorsistēmās 2011. gada 17. jūlijā uzstādīto </w:t>
      </w:r>
      <w:r w:rsidR="00546F71">
        <w:rPr>
          <w:rFonts w:cs="Times New Roman"/>
          <w:color w:val="000000" w:themeColor="text1"/>
          <w:szCs w:val="24"/>
        </w:rPr>
        <w:t xml:space="preserve">datorprogrammu </w:t>
      </w:r>
      <w:r w:rsidR="00645D82">
        <w:rPr>
          <w:rFonts w:cs="Times New Roman"/>
          <w:color w:val="000000" w:themeColor="text1"/>
          <w:szCs w:val="24"/>
        </w:rPr>
        <w:t>„</w:t>
      </w:r>
      <w:r w:rsidR="00546F71">
        <w:rPr>
          <w:rFonts w:cs="Times New Roman"/>
          <w:color w:val="000000" w:themeColor="text1"/>
          <w:szCs w:val="24"/>
        </w:rPr>
        <w:t xml:space="preserve">Microsoft </w:t>
      </w:r>
      <w:proofErr w:type="spellStart"/>
      <w:r w:rsidR="00546F71">
        <w:rPr>
          <w:rFonts w:cs="Times New Roman"/>
          <w:color w:val="000000" w:themeColor="text1"/>
          <w:szCs w:val="24"/>
        </w:rPr>
        <w:t>Office</w:t>
      </w:r>
      <w:proofErr w:type="spellEnd"/>
      <w:r w:rsidR="00546F71">
        <w:rPr>
          <w:rFonts w:cs="Times New Roman"/>
          <w:color w:val="000000" w:themeColor="text1"/>
          <w:szCs w:val="24"/>
        </w:rPr>
        <w:t xml:space="preserve"> </w:t>
      </w:r>
      <w:proofErr w:type="spellStart"/>
      <w:r w:rsidR="00546F71">
        <w:rPr>
          <w:rFonts w:cs="Times New Roman"/>
          <w:color w:val="000000" w:themeColor="text1"/>
          <w:szCs w:val="24"/>
        </w:rPr>
        <w:t>Enterprise</w:t>
      </w:r>
      <w:proofErr w:type="spellEnd"/>
      <w:r w:rsidR="00546F71">
        <w:rPr>
          <w:rFonts w:cs="Times New Roman"/>
          <w:color w:val="000000" w:themeColor="text1"/>
          <w:szCs w:val="24"/>
        </w:rPr>
        <w:t xml:space="preserve"> 2007”,</w:t>
      </w:r>
      <w:r w:rsidR="00094E76">
        <w:rPr>
          <w:rFonts w:cs="Times New Roman"/>
          <w:color w:val="000000" w:themeColor="text1"/>
          <w:szCs w:val="24"/>
        </w:rPr>
        <w:t xml:space="preserve"> 2013. gada 10. aprīlī</w:t>
      </w:r>
      <w:r w:rsidR="00546F71">
        <w:rPr>
          <w:rFonts w:cs="Times New Roman"/>
          <w:color w:val="000000" w:themeColor="text1"/>
          <w:szCs w:val="24"/>
        </w:rPr>
        <w:t xml:space="preserve"> </w:t>
      </w:r>
      <w:r w:rsidR="00094E76">
        <w:rPr>
          <w:rFonts w:cs="Times New Roman"/>
          <w:color w:val="000000" w:themeColor="text1"/>
          <w:szCs w:val="24"/>
        </w:rPr>
        <w:t xml:space="preserve">uzstādīto </w:t>
      </w:r>
      <w:r w:rsidR="00546F71">
        <w:rPr>
          <w:rFonts w:cs="Times New Roman"/>
          <w:color w:val="000000" w:themeColor="text1"/>
          <w:szCs w:val="24"/>
        </w:rPr>
        <w:t xml:space="preserve">datorprogrammu </w:t>
      </w:r>
      <w:r w:rsidR="00645D82">
        <w:rPr>
          <w:rFonts w:cs="Times New Roman"/>
          <w:color w:val="000000" w:themeColor="text1"/>
          <w:szCs w:val="24"/>
        </w:rPr>
        <w:t>„</w:t>
      </w:r>
      <w:r w:rsidR="00546F71">
        <w:rPr>
          <w:rFonts w:cs="Times New Roman"/>
          <w:color w:val="000000" w:themeColor="text1"/>
          <w:szCs w:val="24"/>
        </w:rPr>
        <w:t xml:space="preserve">Microsoft </w:t>
      </w:r>
      <w:proofErr w:type="spellStart"/>
      <w:r w:rsidR="00546F71">
        <w:rPr>
          <w:rFonts w:cs="Times New Roman"/>
          <w:color w:val="000000" w:themeColor="text1"/>
          <w:szCs w:val="24"/>
        </w:rPr>
        <w:t>Office</w:t>
      </w:r>
      <w:proofErr w:type="spellEnd"/>
      <w:r w:rsidR="00546F71">
        <w:rPr>
          <w:rFonts w:cs="Times New Roman"/>
          <w:color w:val="000000" w:themeColor="text1"/>
          <w:szCs w:val="24"/>
        </w:rPr>
        <w:t xml:space="preserve"> </w:t>
      </w:r>
      <w:proofErr w:type="spellStart"/>
      <w:r w:rsidR="00546F71">
        <w:rPr>
          <w:rFonts w:cs="Times New Roman"/>
          <w:color w:val="000000" w:themeColor="text1"/>
          <w:szCs w:val="24"/>
        </w:rPr>
        <w:t>Enterprise</w:t>
      </w:r>
      <w:proofErr w:type="spellEnd"/>
      <w:r w:rsidR="00546F71">
        <w:rPr>
          <w:rFonts w:cs="Times New Roman"/>
          <w:color w:val="000000" w:themeColor="text1"/>
          <w:szCs w:val="24"/>
        </w:rPr>
        <w:t xml:space="preserve"> 2007” un </w:t>
      </w:r>
      <w:r w:rsidR="00094E76">
        <w:rPr>
          <w:rFonts w:cs="Times New Roman"/>
          <w:color w:val="000000" w:themeColor="text1"/>
          <w:szCs w:val="24"/>
        </w:rPr>
        <w:t xml:space="preserve">2010. gada 9. novembrī uzstādīto </w:t>
      </w:r>
      <w:r w:rsidR="00546F71">
        <w:rPr>
          <w:rFonts w:cs="Times New Roman"/>
          <w:color w:val="000000" w:themeColor="text1"/>
          <w:szCs w:val="24"/>
        </w:rPr>
        <w:t xml:space="preserve">datorprogrammu </w:t>
      </w:r>
      <w:r w:rsidR="00645D82">
        <w:rPr>
          <w:rFonts w:cs="Times New Roman"/>
          <w:color w:val="000000" w:themeColor="text1"/>
          <w:szCs w:val="24"/>
        </w:rPr>
        <w:t>„</w:t>
      </w:r>
      <w:r w:rsidR="00546F71">
        <w:rPr>
          <w:rFonts w:cs="Times New Roman"/>
          <w:color w:val="000000" w:themeColor="text1"/>
          <w:szCs w:val="24"/>
        </w:rPr>
        <w:t>Tildes Birojs 2008</w:t>
      </w:r>
      <w:r w:rsidR="00094E76">
        <w:rPr>
          <w:rFonts w:cs="Times New Roman"/>
          <w:color w:val="000000" w:themeColor="text1"/>
          <w:szCs w:val="24"/>
        </w:rPr>
        <w:t>”.</w:t>
      </w:r>
    </w:p>
    <w:p w14:paraId="5E935520" w14:textId="42B3DB99" w:rsidR="00052C37" w:rsidRDefault="00C47537"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 xml:space="preserve">Ar apelācijas instances tiesas 2019. gada 4. oktobra spriedumu pirmās instances tiesas spriedums daļā par apsūdzētā </w:t>
      </w:r>
      <w:r w:rsidR="00885397">
        <w:rPr>
          <w:rFonts w:cs="Times New Roman"/>
          <w:color w:val="000000" w:themeColor="text1"/>
          <w:szCs w:val="24"/>
        </w:rPr>
        <w:t>[pers. A]</w:t>
      </w:r>
      <w:r>
        <w:rPr>
          <w:rFonts w:cs="Times New Roman"/>
          <w:color w:val="000000" w:themeColor="text1"/>
          <w:szCs w:val="24"/>
        </w:rPr>
        <w:t xml:space="preserve"> atzīšanu par vainīgu un sodīšanu pēc Krimināllikuma 148. panta trešās daļas atcelts un šajā daļā taisīts jauns spriedums</w:t>
      </w:r>
      <w:r w:rsidR="00817130">
        <w:rPr>
          <w:rFonts w:cs="Times New Roman"/>
          <w:color w:val="000000" w:themeColor="text1"/>
          <w:szCs w:val="24"/>
        </w:rPr>
        <w:t>. Atzīstot apsūdzēto par vainīgu Krimināllikuma 148. panta trešajā daļā paredzētajā noziedzīgajā nodarījumā, apelācijas instances tiesa, atsaucoties uz Senāta</w:t>
      </w:r>
      <w:r w:rsidR="00506A95">
        <w:rPr>
          <w:rFonts w:cs="Times New Roman"/>
          <w:color w:val="000000" w:themeColor="text1"/>
          <w:szCs w:val="24"/>
        </w:rPr>
        <w:t xml:space="preserve"> 2017. gada 28. septembra lēmumā lietā Nr. SKK-426/2017 paustajām atziņām, secinājusi, ka iepriekšminēto datorprogrammu īpašniecēm – korporācijai </w:t>
      </w:r>
      <w:r w:rsidR="00E4308F">
        <w:rPr>
          <w:rFonts w:cs="Times New Roman"/>
          <w:color w:val="000000" w:themeColor="text1"/>
          <w:szCs w:val="24"/>
        </w:rPr>
        <w:t>„</w:t>
      </w:r>
      <w:r w:rsidR="00506A95">
        <w:rPr>
          <w:rFonts w:cs="Times New Roman"/>
          <w:color w:val="000000" w:themeColor="text1"/>
          <w:szCs w:val="24"/>
        </w:rPr>
        <w:t xml:space="preserve">Microsoft </w:t>
      </w:r>
      <w:proofErr w:type="spellStart"/>
      <w:r w:rsidR="00506A95">
        <w:rPr>
          <w:rFonts w:cs="Times New Roman"/>
          <w:color w:val="000000" w:themeColor="text1"/>
          <w:szCs w:val="24"/>
        </w:rPr>
        <w:t>Corporation</w:t>
      </w:r>
      <w:proofErr w:type="spellEnd"/>
      <w:r w:rsidR="00506A95">
        <w:rPr>
          <w:rFonts w:cs="Times New Roman"/>
          <w:color w:val="000000" w:themeColor="text1"/>
          <w:szCs w:val="24"/>
        </w:rPr>
        <w:t>” un SIA</w:t>
      </w:r>
      <w:r w:rsidR="00E4308F">
        <w:rPr>
          <w:rFonts w:cs="Times New Roman"/>
          <w:color w:val="000000" w:themeColor="text1"/>
          <w:szCs w:val="24"/>
        </w:rPr>
        <w:t> „</w:t>
      </w:r>
      <w:r w:rsidR="00506A95">
        <w:rPr>
          <w:rFonts w:cs="Times New Roman"/>
          <w:color w:val="000000" w:themeColor="text1"/>
          <w:szCs w:val="24"/>
        </w:rPr>
        <w:t xml:space="preserve">Tilde” – nodarītais mantiskais kaitējums nesasniedz lielu apmēru likuma </w:t>
      </w:r>
      <w:r w:rsidR="00E4308F">
        <w:rPr>
          <w:rFonts w:cs="Times New Roman"/>
          <w:color w:val="000000" w:themeColor="text1"/>
          <w:szCs w:val="24"/>
        </w:rPr>
        <w:t>„</w:t>
      </w:r>
      <w:r w:rsidR="00506A95">
        <w:rPr>
          <w:rFonts w:cs="Times New Roman"/>
          <w:color w:val="000000" w:themeColor="text1"/>
          <w:szCs w:val="24"/>
        </w:rPr>
        <w:t xml:space="preserve">Par Krimināllikuma spēkā stāšanās un piemērošanas kārtību” 20. panta izpratnē, </w:t>
      </w:r>
      <w:r w:rsidR="00190145">
        <w:rPr>
          <w:rFonts w:cs="Times New Roman"/>
          <w:color w:val="000000" w:themeColor="text1"/>
          <w:szCs w:val="24"/>
        </w:rPr>
        <w:t>un izslēgusi šo autortiesību subjektu datorprogrammas no pierādītā noziedzīgā nodarījuma apraksta.</w:t>
      </w:r>
    </w:p>
    <w:p w14:paraId="42CFE190" w14:textId="12684B4D" w:rsidR="00CF6D67" w:rsidRDefault="00052C37"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 xml:space="preserve">Prokurors kasācijas protestu par apelācijas instances tiesas </w:t>
      </w:r>
      <w:r w:rsidR="006F45B3">
        <w:rPr>
          <w:rFonts w:cs="Times New Roman"/>
          <w:color w:val="000000" w:themeColor="text1"/>
          <w:szCs w:val="24"/>
        </w:rPr>
        <w:t xml:space="preserve">2019. gada 4. oktobra </w:t>
      </w:r>
      <w:r>
        <w:rPr>
          <w:rFonts w:cs="Times New Roman"/>
          <w:color w:val="000000" w:themeColor="text1"/>
          <w:szCs w:val="24"/>
        </w:rPr>
        <w:t>spriedumu</w:t>
      </w:r>
      <w:r w:rsidR="00C908E5">
        <w:rPr>
          <w:rFonts w:cs="Times New Roman"/>
          <w:color w:val="000000" w:themeColor="text1"/>
          <w:szCs w:val="24"/>
        </w:rPr>
        <w:t xml:space="preserve"> </w:t>
      </w:r>
      <w:r>
        <w:rPr>
          <w:rFonts w:cs="Times New Roman"/>
          <w:color w:val="000000" w:themeColor="text1"/>
          <w:szCs w:val="24"/>
        </w:rPr>
        <w:t>n</w:t>
      </w:r>
      <w:r w:rsidR="006F45B3">
        <w:rPr>
          <w:rFonts w:cs="Times New Roman"/>
          <w:color w:val="000000" w:themeColor="text1"/>
          <w:szCs w:val="24"/>
        </w:rPr>
        <w:t xml:space="preserve">ebija </w:t>
      </w:r>
      <w:r>
        <w:rPr>
          <w:rFonts w:cs="Times New Roman"/>
          <w:color w:val="000000" w:themeColor="text1"/>
          <w:szCs w:val="24"/>
        </w:rPr>
        <w:t>iesniedzis</w:t>
      </w:r>
      <w:r w:rsidR="0010088C">
        <w:rPr>
          <w:rFonts w:cs="Times New Roman"/>
          <w:color w:val="000000" w:themeColor="text1"/>
          <w:szCs w:val="24"/>
        </w:rPr>
        <w:t>,</w:t>
      </w:r>
      <w:r>
        <w:rPr>
          <w:rFonts w:cs="Times New Roman"/>
          <w:color w:val="000000" w:themeColor="text1"/>
          <w:szCs w:val="24"/>
        </w:rPr>
        <w:t xml:space="preserve"> un lieta kasācijas kārtībā izskatīta vienīgi saistībā ar apsūdzētā </w:t>
      </w:r>
      <w:r w:rsidR="00885397">
        <w:rPr>
          <w:rFonts w:cs="Times New Roman"/>
          <w:color w:val="000000" w:themeColor="text1"/>
          <w:szCs w:val="24"/>
        </w:rPr>
        <w:t>[pers. A]</w:t>
      </w:r>
      <w:r>
        <w:rPr>
          <w:rFonts w:cs="Times New Roman"/>
          <w:color w:val="000000" w:themeColor="text1"/>
          <w:szCs w:val="24"/>
        </w:rPr>
        <w:t xml:space="preserve"> aizstāvja M. Gruduļa kasācijas sūdzību. Ar Senāta lēmumu apelācijas instances tiesas 2019. gada 4. oktobra spriedums atcelts pilnībā un lieta nosūtīta jaunai izskatīšanai apelācijas instances tiesā.</w:t>
      </w:r>
    </w:p>
    <w:p w14:paraId="5E34A305" w14:textId="0E2ED7F3" w:rsidR="00C908E5" w:rsidRDefault="00CF6D67"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Iztiesājot lietu no jauna apelācijas kārtībā, apelācijas instances tiesa ar apstrīdēto spriedumu</w:t>
      </w:r>
      <w:r w:rsidR="00C908E5">
        <w:rPr>
          <w:rFonts w:cs="Times New Roman"/>
          <w:color w:val="000000" w:themeColor="text1"/>
          <w:szCs w:val="24"/>
        </w:rPr>
        <w:t>, atsaucoties uz Senāta 2017. gada 28. septembra lēmumā lietā Nr. SKK</w:t>
      </w:r>
      <w:r w:rsidR="00C908E5">
        <w:rPr>
          <w:rFonts w:cs="Times New Roman"/>
          <w:color w:val="000000" w:themeColor="text1"/>
          <w:szCs w:val="24"/>
        </w:rPr>
        <w:noBreakHyphen/>
        <w:t xml:space="preserve">426/2017 paustajām atziņām, atkārtoti secinājusi, ka datorprogrammas </w:t>
      </w:r>
      <w:r w:rsidR="00E4308F">
        <w:rPr>
          <w:rFonts w:cs="Times New Roman"/>
          <w:color w:val="000000" w:themeColor="text1"/>
          <w:szCs w:val="24"/>
        </w:rPr>
        <w:t>„</w:t>
      </w:r>
      <w:r w:rsidR="00C908E5">
        <w:rPr>
          <w:rFonts w:cs="Times New Roman"/>
          <w:color w:val="000000" w:themeColor="text1"/>
          <w:szCs w:val="24"/>
        </w:rPr>
        <w:t xml:space="preserve">Microsoft </w:t>
      </w:r>
      <w:proofErr w:type="spellStart"/>
      <w:r w:rsidR="00C908E5">
        <w:rPr>
          <w:rFonts w:cs="Times New Roman"/>
          <w:color w:val="000000" w:themeColor="text1"/>
          <w:szCs w:val="24"/>
        </w:rPr>
        <w:t>Office</w:t>
      </w:r>
      <w:proofErr w:type="spellEnd"/>
      <w:r w:rsidR="00C908E5">
        <w:rPr>
          <w:rFonts w:cs="Times New Roman"/>
          <w:color w:val="000000" w:themeColor="text1"/>
          <w:szCs w:val="24"/>
        </w:rPr>
        <w:t xml:space="preserve"> </w:t>
      </w:r>
      <w:proofErr w:type="spellStart"/>
      <w:r w:rsidR="00C908E5">
        <w:rPr>
          <w:rFonts w:cs="Times New Roman"/>
          <w:color w:val="000000" w:themeColor="text1"/>
          <w:szCs w:val="24"/>
        </w:rPr>
        <w:t>Enterprise</w:t>
      </w:r>
      <w:proofErr w:type="spellEnd"/>
      <w:r w:rsidR="00C908E5">
        <w:rPr>
          <w:rFonts w:cs="Times New Roman"/>
          <w:color w:val="000000" w:themeColor="text1"/>
          <w:szCs w:val="24"/>
        </w:rPr>
        <w:t xml:space="preserve"> 2007” īpašniecei – korporācijai </w:t>
      </w:r>
      <w:r w:rsidR="00E4308F">
        <w:rPr>
          <w:rFonts w:cs="Times New Roman"/>
          <w:color w:val="000000" w:themeColor="text1"/>
          <w:szCs w:val="24"/>
        </w:rPr>
        <w:t>„</w:t>
      </w:r>
      <w:r w:rsidR="00C908E5">
        <w:rPr>
          <w:rFonts w:cs="Times New Roman"/>
          <w:color w:val="000000" w:themeColor="text1"/>
          <w:szCs w:val="24"/>
        </w:rPr>
        <w:t xml:space="preserve">Microsoft </w:t>
      </w:r>
      <w:proofErr w:type="spellStart"/>
      <w:r w:rsidR="00C908E5">
        <w:rPr>
          <w:rFonts w:cs="Times New Roman"/>
          <w:color w:val="000000" w:themeColor="text1"/>
          <w:szCs w:val="24"/>
        </w:rPr>
        <w:t>Corporation</w:t>
      </w:r>
      <w:proofErr w:type="spellEnd"/>
      <w:r w:rsidR="00C908E5">
        <w:rPr>
          <w:rFonts w:cs="Times New Roman"/>
          <w:color w:val="000000" w:themeColor="text1"/>
          <w:szCs w:val="24"/>
        </w:rPr>
        <w:t>”</w:t>
      </w:r>
      <w:r w:rsidR="00E4308F">
        <w:rPr>
          <w:rFonts w:cs="Times New Roman"/>
          <w:color w:val="000000" w:themeColor="text1"/>
          <w:szCs w:val="24"/>
        </w:rPr>
        <w:t> </w:t>
      </w:r>
      <w:r w:rsidR="00C908E5">
        <w:rPr>
          <w:rFonts w:cs="Times New Roman"/>
          <w:color w:val="000000" w:themeColor="text1"/>
          <w:szCs w:val="24"/>
        </w:rPr>
        <w:t xml:space="preserve">– un datorprogrammas </w:t>
      </w:r>
      <w:r w:rsidR="00E4308F">
        <w:rPr>
          <w:rFonts w:cs="Times New Roman"/>
          <w:color w:val="000000" w:themeColor="text1"/>
          <w:szCs w:val="24"/>
        </w:rPr>
        <w:t>„</w:t>
      </w:r>
      <w:r w:rsidR="00C908E5">
        <w:rPr>
          <w:rFonts w:cs="Times New Roman"/>
          <w:color w:val="000000" w:themeColor="text1"/>
          <w:szCs w:val="24"/>
        </w:rPr>
        <w:t>Tildes Birojs 2008” īpašniecei – SIA</w:t>
      </w:r>
      <w:r w:rsidR="00E4308F">
        <w:rPr>
          <w:rFonts w:cs="Times New Roman"/>
          <w:color w:val="000000" w:themeColor="text1"/>
          <w:szCs w:val="24"/>
        </w:rPr>
        <w:t> „</w:t>
      </w:r>
      <w:r w:rsidR="00C908E5">
        <w:rPr>
          <w:rFonts w:cs="Times New Roman"/>
          <w:color w:val="000000" w:themeColor="text1"/>
          <w:szCs w:val="24"/>
        </w:rPr>
        <w:t xml:space="preserve">Tilde” – nodarītais mantiskais kaitējums nesasniedz lielu apmēru likuma </w:t>
      </w:r>
      <w:r w:rsidR="00E4308F">
        <w:rPr>
          <w:rFonts w:cs="Times New Roman"/>
          <w:color w:val="000000" w:themeColor="text1"/>
          <w:szCs w:val="24"/>
        </w:rPr>
        <w:t>„</w:t>
      </w:r>
      <w:r w:rsidR="00C908E5">
        <w:rPr>
          <w:rFonts w:cs="Times New Roman"/>
          <w:color w:val="000000" w:themeColor="text1"/>
          <w:szCs w:val="24"/>
        </w:rPr>
        <w:t>Par Krimināllikuma spēkā stāšanās un piemērošanas kārtību” 20. panta izpratnē, un atkārtoti izslēgusi šo autortiesību subjektu datorprogrammas no pierādītā noziedzīgā nodarījuma apraksta.</w:t>
      </w:r>
    </w:p>
    <w:p w14:paraId="61870570" w14:textId="4510028D" w:rsidR="00563B3D" w:rsidRDefault="00563B3D"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 xml:space="preserve">Ievērojot to, ka prokurors </w:t>
      </w:r>
      <w:r w:rsidR="001A109E">
        <w:rPr>
          <w:rFonts w:cs="Times New Roman"/>
          <w:color w:val="000000" w:themeColor="text1"/>
          <w:szCs w:val="24"/>
        </w:rPr>
        <w:t xml:space="preserve">apelācijas </w:t>
      </w:r>
      <w:r>
        <w:rPr>
          <w:rFonts w:cs="Times New Roman"/>
          <w:color w:val="000000" w:themeColor="text1"/>
          <w:szCs w:val="24"/>
        </w:rPr>
        <w:t>instances tiesas 2019. gada 4.</w:t>
      </w:r>
      <w:r w:rsidR="00ED2469">
        <w:rPr>
          <w:rFonts w:cs="Times New Roman"/>
          <w:color w:val="000000" w:themeColor="text1"/>
          <w:szCs w:val="24"/>
        </w:rPr>
        <w:t> </w:t>
      </w:r>
      <w:r>
        <w:rPr>
          <w:rFonts w:cs="Times New Roman"/>
          <w:color w:val="000000" w:themeColor="text1"/>
          <w:szCs w:val="24"/>
        </w:rPr>
        <w:t xml:space="preserve">oktobra spriedumu daļā par korporācijas </w:t>
      </w:r>
      <w:r w:rsidR="00E4308F">
        <w:rPr>
          <w:rFonts w:cs="Times New Roman"/>
          <w:color w:val="000000" w:themeColor="text1"/>
          <w:szCs w:val="24"/>
        </w:rPr>
        <w:t>„</w:t>
      </w:r>
      <w:r>
        <w:rPr>
          <w:rFonts w:cs="Times New Roman"/>
          <w:color w:val="000000" w:themeColor="text1"/>
          <w:szCs w:val="24"/>
        </w:rPr>
        <w:t xml:space="preserve">Microsoft </w:t>
      </w:r>
      <w:proofErr w:type="spellStart"/>
      <w:r>
        <w:rPr>
          <w:rFonts w:cs="Times New Roman"/>
          <w:color w:val="000000" w:themeColor="text1"/>
          <w:szCs w:val="24"/>
        </w:rPr>
        <w:t>Corporation</w:t>
      </w:r>
      <w:proofErr w:type="spellEnd"/>
      <w:r>
        <w:rPr>
          <w:rFonts w:cs="Times New Roman"/>
          <w:color w:val="000000" w:themeColor="text1"/>
          <w:szCs w:val="24"/>
        </w:rPr>
        <w:t xml:space="preserve">” datorprogrammas </w:t>
      </w:r>
      <w:r w:rsidR="00E4308F">
        <w:rPr>
          <w:rFonts w:cs="Times New Roman"/>
          <w:color w:val="000000" w:themeColor="text1"/>
          <w:szCs w:val="24"/>
        </w:rPr>
        <w:t>„</w:t>
      </w:r>
      <w:r>
        <w:rPr>
          <w:rFonts w:cs="Times New Roman"/>
          <w:color w:val="000000" w:themeColor="text1"/>
          <w:szCs w:val="24"/>
        </w:rPr>
        <w:t xml:space="preserve">Microsoft </w:t>
      </w:r>
      <w:proofErr w:type="spellStart"/>
      <w:r>
        <w:rPr>
          <w:rFonts w:cs="Times New Roman"/>
          <w:color w:val="000000" w:themeColor="text1"/>
          <w:szCs w:val="24"/>
        </w:rPr>
        <w:t>Office</w:t>
      </w:r>
      <w:proofErr w:type="spellEnd"/>
      <w:r>
        <w:rPr>
          <w:rFonts w:cs="Times New Roman"/>
          <w:color w:val="000000" w:themeColor="text1"/>
          <w:szCs w:val="24"/>
        </w:rPr>
        <w:t xml:space="preserve"> </w:t>
      </w:r>
      <w:proofErr w:type="spellStart"/>
      <w:r>
        <w:rPr>
          <w:rFonts w:cs="Times New Roman"/>
          <w:color w:val="000000" w:themeColor="text1"/>
          <w:szCs w:val="24"/>
        </w:rPr>
        <w:t>Enterprise</w:t>
      </w:r>
      <w:proofErr w:type="spellEnd"/>
      <w:r>
        <w:rPr>
          <w:rFonts w:cs="Times New Roman"/>
          <w:color w:val="000000" w:themeColor="text1"/>
          <w:szCs w:val="24"/>
        </w:rPr>
        <w:t xml:space="preserve"> 2007” un SIA</w:t>
      </w:r>
      <w:r w:rsidR="00E4308F">
        <w:rPr>
          <w:rFonts w:cs="Times New Roman"/>
          <w:color w:val="000000" w:themeColor="text1"/>
          <w:szCs w:val="24"/>
        </w:rPr>
        <w:t> „</w:t>
      </w:r>
      <w:r>
        <w:rPr>
          <w:rFonts w:cs="Times New Roman"/>
          <w:color w:val="000000" w:themeColor="text1"/>
          <w:szCs w:val="24"/>
        </w:rPr>
        <w:t xml:space="preserve">Tilde” datorprogrammas </w:t>
      </w:r>
      <w:r w:rsidR="00E4308F">
        <w:rPr>
          <w:rFonts w:cs="Times New Roman"/>
          <w:color w:val="000000" w:themeColor="text1"/>
          <w:szCs w:val="24"/>
        </w:rPr>
        <w:t>„</w:t>
      </w:r>
      <w:r>
        <w:rPr>
          <w:rFonts w:cs="Times New Roman"/>
          <w:color w:val="000000" w:themeColor="text1"/>
          <w:szCs w:val="24"/>
        </w:rPr>
        <w:t>Tilde Birojs 2008”</w:t>
      </w:r>
      <w:r w:rsidR="002E4326">
        <w:rPr>
          <w:rFonts w:cs="Times New Roman"/>
          <w:color w:val="000000" w:themeColor="text1"/>
          <w:szCs w:val="24"/>
        </w:rPr>
        <w:t xml:space="preserve"> </w:t>
      </w:r>
      <w:r>
        <w:rPr>
          <w:rFonts w:cs="Times New Roman"/>
          <w:color w:val="000000" w:themeColor="text1"/>
          <w:szCs w:val="24"/>
        </w:rPr>
        <w:t>izslēgšanu no pierādītā noziedzīgā nodarījuma apraksta</w:t>
      </w:r>
      <w:r w:rsidR="002E4326">
        <w:rPr>
          <w:rFonts w:cs="Times New Roman"/>
          <w:color w:val="000000" w:themeColor="text1"/>
          <w:szCs w:val="24"/>
        </w:rPr>
        <w:t xml:space="preserve"> nebija apstrīdējis, Senāts atzīst, ka kasācijas </w:t>
      </w:r>
      <w:r w:rsidR="0010088C">
        <w:rPr>
          <w:rFonts w:cs="Times New Roman"/>
          <w:color w:val="000000" w:themeColor="text1"/>
          <w:szCs w:val="24"/>
        </w:rPr>
        <w:t>protesta</w:t>
      </w:r>
      <w:r w:rsidR="002E4326">
        <w:rPr>
          <w:rFonts w:cs="Times New Roman"/>
          <w:color w:val="000000" w:themeColor="text1"/>
          <w:szCs w:val="24"/>
        </w:rPr>
        <w:t xml:space="preserve"> iesniegšana par pārsūdzēto spriedumu</w:t>
      </w:r>
      <w:r w:rsidR="006F45B3">
        <w:rPr>
          <w:rFonts w:cs="Times New Roman"/>
          <w:color w:val="000000" w:themeColor="text1"/>
          <w:szCs w:val="24"/>
        </w:rPr>
        <w:t xml:space="preserve"> </w:t>
      </w:r>
      <w:r w:rsidR="001A109E">
        <w:rPr>
          <w:rFonts w:cs="Times New Roman"/>
          <w:color w:val="000000" w:themeColor="text1"/>
          <w:szCs w:val="24"/>
        </w:rPr>
        <w:t xml:space="preserve">arī </w:t>
      </w:r>
      <w:r w:rsidR="002E4326">
        <w:rPr>
          <w:rFonts w:cs="Times New Roman"/>
          <w:color w:val="000000" w:themeColor="text1"/>
          <w:szCs w:val="24"/>
        </w:rPr>
        <w:t>šajā daļā</w:t>
      </w:r>
      <w:r w:rsidR="0084415A">
        <w:rPr>
          <w:rFonts w:cs="Times New Roman"/>
          <w:color w:val="000000" w:themeColor="text1"/>
          <w:szCs w:val="24"/>
        </w:rPr>
        <w:t>, ievērojot Kriminālprocesa likuma 591. panta otrajā daļā</w:t>
      </w:r>
      <w:r w:rsidR="002E4326">
        <w:rPr>
          <w:rFonts w:cs="Times New Roman"/>
          <w:color w:val="000000" w:themeColor="text1"/>
          <w:szCs w:val="24"/>
        </w:rPr>
        <w:t xml:space="preserve"> </w:t>
      </w:r>
      <w:r w:rsidR="0084415A">
        <w:rPr>
          <w:rFonts w:cs="Times New Roman"/>
          <w:color w:val="000000" w:themeColor="text1"/>
          <w:szCs w:val="24"/>
        </w:rPr>
        <w:t xml:space="preserve">sniegto regulējumu, </w:t>
      </w:r>
      <w:r w:rsidR="006F45B3">
        <w:rPr>
          <w:rFonts w:cs="Times New Roman"/>
          <w:color w:val="000000" w:themeColor="text1"/>
          <w:szCs w:val="24"/>
        </w:rPr>
        <w:t xml:space="preserve">atzīstama par </w:t>
      </w:r>
      <w:r w:rsidR="002E4326">
        <w:rPr>
          <w:rFonts w:cs="Times New Roman"/>
          <w:color w:val="000000" w:themeColor="text1"/>
          <w:szCs w:val="24"/>
        </w:rPr>
        <w:t>novēlot</w:t>
      </w:r>
      <w:r w:rsidR="001A109E">
        <w:rPr>
          <w:rFonts w:cs="Times New Roman"/>
          <w:color w:val="000000" w:themeColor="text1"/>
          <w:szCs w:val="24"/>
        </w:rPr>
        <w:t>u</w:t>
      </w:r>
      <w:r w:rsidR="002E4326">
        <w:rPr>
          <w:rFonts w:cs="Times New Roman"/>
          <w:color w:val="000000" w:themeColor="text1"/>
          <w:szCs w:val="24"/>
        </w:rPr>
        <w:t>.</w:t>
      </w:r>
    </w:p>
    <w:p w14:paraId="5A49CCAF" w14:textId="77777777" w:rsidR="00304415" w:rsidRDefault="00304415" w:rsidP="00EB59BC">
      <w:pPr>
        <w:pStyle w:val="ListBullet"/>
        <w:widowControl w:val="0"/>
        <w:numPr>
          <w:ilvl w:val="0"/>
          <w:numId w:val="0"/>
        </w:numPr>
        <w:spacing w:after="0"/>
        <w:ind w:firstLine="720"/>
        <w:contextualSpacing w:val="0"/>
        <w:jc w:val="both"/>
        <w:rPr>
          <w:rFonts w:cs="Times New Roman"/>
          <w:color w:val="000000" w:themeColor="text1"/>
          <w:szCs w:val="24"/>
        </w:rPr>
      </w:pPr>
    </w:p>
    <w:p w14:paraId="4CB75F8A" w14:textId="380DDBA9" w:rsidR="00AB681D" w:rsidRDefault="00304415"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[10]</w:t>
      </w:r>
      <w:r w:rsidR="00E4308F">
        <w:rPr>
          <w:rFonts w:cs="Times New Roman"/>
          <w:color w:val="000000" w:themeColor="text1"/>
          <w:szCs w:val="24"/>
        </w:rPr>
        <w:t> </w:t>
      </w:r>
      <w:r w:rsidR="007A30C6">
        <w:rPr>
          <w:rFonts w:cs="Times New Roman"/>
          <w:color w:val="000000" w:themeColor="text1"/>
          <w:szCs w:val="24"/>
        </w:rPr>
        <w:t xml:space="preserve">Senāts atzīst par nepamatotiem apsūdzētā </w:t>
      </w:r>
      <w:r w:rsidR="00885397">
        <w:rPr>
          <w:rFonts w:cs="Times New Roman"/>
          <w:color w:val="000000" w:themeColor="text1"/>
          <w:szCs w:val="24"/>
        </w:rPr>
        <w:t>[pers. A]</w:t>
      </w:r>
      <w:r w:rsidR="007A30C6">
        <w:rPr>
          <w:rFonts w:cs="Times New Roman"/>
          <w:color w:val="000000" w:themeColor="text1"/>
          <w:szCs w:val="24"/>
        </w:rPr>
        <w:t xml:space="preserve"> aizstāvja kasācijas sūdzībā norādītos argumentus par to, ka ziņas, kas iegūtas, veicot datorprogrammu legalitātes pārbaudi SIA</w:t>
      </w:r>
      <w:r w:rsidR="00E4308F">
        <w:rPr>
          <w:rFonts w:cs="Times New Roman"/>
          <w:color w:val="000000" w:themeColor="text1"/>
          <w:szCs w:val="24"/>
        </w:rPr>
        <w:t> „</w:t>
      </w:r>
      <w:r w:rsidR="00885397">
        <w:rPr>
          <w:rFonts w:cs="Times New Roman"/>
          <w:color w:val="000000" w:themeColor="text1"/>
          <w:szCs w:val="24"/>
        </w:rPr>
        <w:t>[Nosaukums </w:t>
      </w:r>
      <w:r w:rsidR="00885397">
        <w:t>A]</w:t>
      </w:r>
      <w:r w:rsidR="007A30C6">
        <w:rPr>
          <w:rFonts w:cs="Times New Roman"/>
          <w:color w:val="000000" w:themeColor="text1"/>
          <w:szCs w:val="24"/>
        </w:rPr>
        <w:t>”, saskaņā ar Kriminālprocesa likuma 130. panta otrās daļas 2. punktu atzīstamas par nepieļaujamām un nav izmantojamas pierādīšanā.</w:t>
      </w:r>
    </w:p>
    <w:p w14:paraId="5DD1F2AA" w14:textId="5D8ED1AB" w:rsidR="00304415" w:rsidRDefault="00AB681D"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cs="Times New Roman"/>
          <w:color w:val="000000" w:themeColor="text1"/>
          <w:szCs w:val="24"/>
        </w:rPr>
        <w:t>Kriminālprocesa likuma 130. panta otrās daļas 2. punkts noteic, ka par nepieļaujamām un pierādīšanā neizmantojamām atzīstamas tādas ziņas par faktiem, kuras iegūtas procesuālajā darbībā, ko veikusi persona, kurai saskaņā ar šo likumu nebija tiesību to veikt.</w:t>
      </w:r>
    </w:p>
    <w:p w14:paraId="57A3D773" w14:textId="162D20C5" w:rsidR="00BF3A38" w:rsidRPr="00304415" w:rsidRDefault="00AA0203" w:rsidP="00EB59BC">
      <w:pPr>
        <w:pStyle w:val="ListBullet"/>
        <w:widowControl w:val="0"/>
        <w:numPr>
          <w:ilvl w:val="0"/>
          <w:numId w:val="0"/>
        </w:numPr>
        <w:spacing w:after="0"/>
        <w:ind w:firstLine="720"/>
        <w:contextualSpacing w:val="0"/>
        <w:jc w:val="both"/>
        <w:rPr>
          <w:rFonts w:cs="Times New Roman"/>
          <w:color w:val="000000" w:themeColor="text1"/>
          <w:szCs w:val="24"/>
        </w:rPr>
      </w:pPr>
      <w:r>
        <w:rPr>
          <w:rFonts w:ascii="TimesNewRomanPSMT" w:hAnsi="TimesNewRomanPSMT" w:cs="TimesNewRomanPSMT"/>
          <w:szCs w:val="24"/>
        </w:rPr>
        <w:t>No lietas materiāliem pievienotā 2015. gada 12. marta pārbaudes akta redzams, ka programmnodrošinājuma legalitātes un ar to saistīto grāmatvedības dokumentu pārbaudi SIA</w:t>
      </w:r>
      <w:r w:rsidR="00583888">
        <w:rPr>
          <w:rFonts w:ascii="TimesNewRomanPSMT" w:hAnsi="TimesNewRomanPSMT" w:cs="TimesNewRomanPSMT"/>
          <w:szCs w:val="24"/>
        </w:rPr>
        <w:t> „</w:t>
      </w:r>
      <w:r w:rsidR="00885397">
        <w:rPr>
          <w:rFonts w:ascii="TimesNewRomanPSMT" w:hAnsi="TimesNewRomanPSMT" w:cs="TimesNewRomanPSMT"/>
          <w:szCs w:val="24"/>
        </w:rPr>
        <w:t>[Nosaukums A]</w:t>
      </w:r>
      <w:r>
        <w:rPr>
          <w:rFonts w:ascii="TimesNewRomanPSMT" w:hAnsi="TimesNewRomanPSMT" w:cs="TimesNewRomanPSMT"/>
          <w:szCs w:val="24"/>
        </w:rPr>
        <w:t xml:space="preserve">” Valsts policijas Galvenās </w:t>
      </w:r>
      <w:r w:rsidR="00164601">
        <w:rPr>
          <w:rFonts w:ascii="TimesNewRomanPSMT" w:hAnsi="TimesNewRomanPSMT" w:cs="TimesNewRomanPSMT"/>
          <w:szCs w:val="24"/>
        </w:rPr>
        <w:t>k</w:t>
      </w:r>
      <w:r>
        <w:rPr>
          <w:rFonts w:ascii="TimesNewRomanPSMT" w:hAnsi="TimesNewRomanPSMT" w:cs="TimesNewRomanPSMT"/>
          <w:szCs w:val="24"/>
        </w:rPr>
        <w:t xml:space="preserve">riminālpolicijas pārvaldes Ekonomisko noziegumu apkarošanas pārvaldes 4. nodaļas </w:t>
      </w:r>
      <w:r w:rsidR="005C1B5D">
        <w:rPr>
          <w:rFonts w:ascii="TimesNewRomanPSMT" w:hAnsi="TimesNewRomanPSMT" w:cs="TimesNewRomanPSMT"/>
          <w:szCs w:val="24"/>
        </w:rPr>
        <w:t xml:space="preserve">vecākie inspektori </w:t>
      </w:r>
      <w:r w:rsidR="00885397">
        <w:rPr>
          <w:rFonts w:ascii="TimesNewRomanPSMT" w:hAnsi="TimesNewRomanPSMT" w:cs="TimesNewRomanPSMT"/>
          <w:szCs w:val="24"/>
        </w:rPr>
        <w:t>[pers. </w:t>
      </w:r>
      <w:r w:rsidR="00885397">
        <w:t>B]</w:t>
      </w:r>
      <w:r w:rsidR="005C1B5D">
        <w:rPr>
          <w:rFonts w:ascii="TimesNewRomanPSMT" w:hAnsi="TimesNewRomanPSMT" w:cs="TimesNewRomanPSMT"/>
          <w:szCs w:val="24"/>
        </w:rPr>
        <w:t xml:space="preserve"> un </w:t>
      </w:r>
      <w:proofErr w:type="gramStart"/>
      <w:r w:rsidR="00885397">
        <w:rPr>
          <w:rFonts w:ascii="TimesNewRomanPSMT" w:hAnsi="TimesNewRomanPSMT" w:cs="TimesNewRomanPSMT"/>
          <w:szCs w:val="24"/>
        </w:rPr>
        <w:t>[</w:t>
      </w:r>
      <w:proofErr w:type="gramEnd"/>
      <w:r w:rsidR="00885397">
        <w:rPr>
          <w:rFonts w:ascii="TimesNewRomanPSMT" w:hAnsi="TimesNewRomanPSMT" w:cs="TimesNewRomanPSMT"/>
          <w:szCs w:val="24"/>
        </w:rPr>
        <w:t>pers. </w:t>
      </w:r>
      <w:r w:rsidR="00885397">
        <w:t>C]</w:t>
      </w:r>
      <w:r w:rsidR="005C1B5D">
        <w:rPr>
          <w:rFonts w:ascii="TimesNewRomanPSMT" w:hAnsi="TimesNewRomanPSMT" w:cs="TimesNewRomanPSMT"/>
          <w:szCs w:val="24"/>
        </w:rPr>
        <w:t xml:space="preserve"> veikuši, pamatojoties uz likuma </w:t>
      </w:r>
      <w:r w:rsidR="00583888">
        <w:rPr>
          <w:rFonts w:ascii="TimesNewRomanPSMT" w:hAnsi="TimesNewRomanPSMT" w:cs="TimesNewRomanPSMT"/>
          <w:szCs w:val="24"/>
        </w:rPr>
        <w:t>„</w:t>
      </w:r>
      <w:r w:rsidR="005C1B5D">
        <w:rPr>
          <w:rFonts w:ascii="TimesNewRomanPSMT" w:hAnsi="TimesNewRomanPSMT" w:cs="TimesNewRomanPSMT"/>
          <w:szCs w:val="24"/>
        </w:rPr>
        <w:t>Par policiju” 12. panta 23. daļu</w:t>
      </w:r>
      <w:r w:rsidR="008F5D5E">
        <w:rPr>
          <w:rFonts w:ascii="TimesNewRomanPSMT" w:hAnsi="TimesNewRomanPSMT" w:cs="TimesNewRomanPSMT"/>
          <w:szCs w:val="24"/>
        </w:rPr>
        <w:t xml:space="preserve"> (domājams – 12. panta pirmās daļas 23. punktu)</w:t>
      </w:r>
      <w:r w:rsidR="005C1B5D">
        <w:rPr>
          <w:rFonts w:ascii="TimesNewRomanPSMT" w:hAnsi="TimesNewRomanPSMT" w:cs="TimesNewRomanPSMT"/>
          <w:szCs w:val="24"/>
        </w:rPr>
        <w:t>.</w:t>
      </w:r>
    </w:p>
    <w:p w14:paraId="1A2D3378" w14:textId="0AEEFADA" w:rsidR="00BF3A38" w:rsidRDefault="005C1B5D" w:rsidP="00EB59BC">
      <w:pPr>
        <w:widowControl w:val="0"/>
        <w:spacing w:after="0"/>
        <w:ind w:firstLine="720"/>
        <w:jc w:val="both"/>
        <w:rPr>
          <w:rFonts w:ascii="TimesNewRomanPSMT" w:hAnsi="TimesNewRomanPSMT" w:cs="TimesNewRomanPSMT"/>
          <w:szCs w:val="24"/>
        </w:rPr>
      </w:pPr>
      <w:r>
        <w:rPr>
          <w:rFonts w:ascii="TimesNewRomanPSMT" w:hAnsi="TimesNewRomanPSMT" w:cs="TimesNewRomanPSMT"/>
          <w:szCs w:val="24"/>
        </w:rPr>
        <w:t>Pārbaudes laikā tika konstatēts, ka SIA</w:t>
      </w:r>
      <w:r w:rsidR="00583888">
        <w:rPr>
          <w:rFonts w:ascii="TimesNewRomanPSMT" w:hAnsi="TimesNewRomanPSMT" w:cs="TimesNewRomanPSMT"/>
          <w:szCs w:val="24"/>
        </w:rPr>
        <w:t> „</w:t>
      </w:r>
      <w:r w:rsidR="00885397">
        <w:rPr>
          <w:rFonts w:ascii="TimesNewRomanPSMT" w:hAnsi="TimesNewRomanPSMT" w:cs="TimesNewRomanPSMT"/>
          <w:szCs w:val="24"/>
        </w:rPr>
        <w:t>[Nosaukums </w:t>
      </w:r>
      <w:r w:rsidR="00885397">
        <w:t>A]</w:t>
      </w:r>
      <w:r>
        <w:rPr>
          <w:rFonts w:ascii="TimesNewRomanPSMT" w:hAnsi="TimesNewRomanPSMT" w:cs="TimesNewRomanPSMT"/>
          <w:szCs w:val="24"/>
        </w:rPr>
        <w:t>” saimnieciskajā darbībā izmanto 19 datorsistēmas</w:t>
      </w:r>
      <w:r w:rsidR="00195456">
        <w:rPr>
          <w:rFonts w:ascii="TimesNewRomanPSMT" w:hAnsi="TimesNewRomanPSMT" w:cs="TimesNewRomanPSMT"/>
          <w:szCs w:val="24"/>
        </w:rPr>
        <w:t>,</w:t>
      </w:r>
      <w:r w:rsidR="00BF3A38">
        <w:rPr>
          <w:rFonts w:ascii="TimesNewRomanPSMT" w:hAnsi="TimesNewRomanPSMT" w:cs="TimesNewRomanPSMT"/>
          <w:szCs w:val="24"/>
        </w:rPr>
        <w:t xml:space="preserve"> no kurām 3 nav darba kārtībā,</w:t>
      </w:r>
      <w:r w:rsidR="00195456">
        <w:rPr>
          <w:rFonts w:ascii="TimesNewRomanPSMT" w:hAnsi="TimesNewRomanPSMT" w:cs="TimesNewRomanPSMT"/>
          <w:szCs w:val="24"/>
        </w:rPr>
        <w:t xml:space="preserve"> bet datorsistēmās instalētā programmnodrošinājuma izcelsmes dokumenti tiek uzrādīti nepilnīgi.</w:t>
      </w:r>
    </w:p>
    <w:p w14:paraId="43304019" w14:textId="337C5DF5" w:rsidR="0084415A" w:rsidRDefault="00195456" w:rsidP="00EB59BC">
      <w:pPr>
        <w:widowControl w:val="0"/>
        <w:spacing w:after="0"/>
        <w:ind w:firstLine="720"/>
        <w:jc w:val="both"/>
        <w:rPr>
          <w:rFonts w:ascii="TimesNewRomanPSMT" w:hAnsi="TimesNewRomanPSMT" w:cs="TimesNewRomanPSMT"/>
          <w:szCs w:val="24"/>
        </w:rPr>
      </w:pPr>
      <w:r>
        <w:rPr>
          <w:rFonts w:ascii="TimesNewRomanPSMT" w:hAnsi="TimesNewRomanPSMT" w:cs="TimesNewRomanPSMT"/>
          <w:szCs w:val="24"/>
        </w:rPr>
        <w:t>Pamatojoties uz minēto un pastāvot aizdomām par autortiesību pārkāpumu, atbilstoši Latvijas Administratīvo pārkāpumu kodeksa 155.</w:t>
      </w:r>
      <w:r>
        <w:rPr>
          <w:rFonts w:ascii="TimesNewRomanPSMT" w:hAnsi="TimesNewRomanPSMT" w:cs="TimesNewRomanPSMT"/>
          <w:szCs w:val="24"/>
          <w:vertAlign w:val="superscript"/>
        </w:rPr>
        <w:t>8</w:t>
      </w:r>
      <w:r>
        <w:rPr>
          <w:rFonts w:ascii="TimesNewRomanPSMT" w:hAnsi="TimesNewRomanPSMT" w:cs="TimesNewRomanPSMT"/>
          <w:szCs w:val="24"/>
        </w:rPr>
        <w:t xml:space="preserve"> un 238.</w:t>
      </w:r>
      <w:r>
        <w:rPr>
          <w:rFonts w:ascii="TimesNewRomanPSMT" w:hAnsi="TimesNewRomanPSMT" w:cs="TimesNewRomanPSMT"/>
          <w:szCs w:val="24"/>
          <w:vertAlign w:val="superscript"/>
        </w:rPr>
        <w:t>1</w:t>
      </w:r>
      <w:r>
        <w:rPr>
          <w:rFonts w:ascii="TimesNewRomanPSMT" w:hAnsi="TimesNewRomanPSMT" w:cs="TimesNewRomanPSMT"/>
          <w:szCs w:val="24"/>
        </w:rPr>
        <w:t xml:space="preserve"> panta nosacījumiem tika pieņemts lēmums par administratīvā pārkāpuma lietvedības uzsākšanu un </w:t>
      </w:r>
      <w:r w:rsidR="00BF3A38">
        <w:rPr>
          <w:rFonts w:ascii="TimesNewRomanPSMT" w:hAnsi="TimesNewRomanPSMT" w:cs="TimesNewRomanPSMT"/>
          <w:szCs w:val="24"/>
        </w:rPr>
        <w:t xml:space="preserve">tika apskatītas 16 </w:t>
      </w:r>
      <w:proofErr w:type="gramStart"/>
      <w:r w:rsidR="00BF3A38">
        <w:rPr>
          <w:rFonts w:ascii="TimesNewRomanPSMT" w:hAnsi="TimesNewRomanPSMT" w:cs="TimesNewRomanPSMT"/>
          <w:szCs w:val="24"/>
        </w:rPr>
        <w:t>datorsistēmas</w:t>
      </w:r>
      <w:proofErr w:type="gramEnd"/>
      <w:r w:rsidR="00BF3A38">
        <w:rPr>
          <w:rFonts w:ascii="TimesNewRomanPSMT" w:hAnsi="TimesNewRomanPSMT" w:cs="TimesNewRomanPSMT"/>
          <w:szCs w:val="24"/>
        </w:rPr>
        <w:t xml:space="preserve"> un tajās instalētais programmnodrošinājums</w:t>
      </w:r>
      <w:r w:rsidR="002E4326">
        <w:rPr>
          <w:rFonts w:ascii="TimesNewRomanPSMT" w:hAnsi="TimesNewRomanPSMT" w:cs="TimesNewRomanPSMT"/>
          <w:szCs w:val="24"/>
        </w:rPr>
        <w:t xml:space="preserve">, kā arī </w:t>
      </w:r>
      <w:r w:rsidR="00F372DE">
        <w:rPr>
          <w:rFonts w:ascii="TimesNewRomanPSMT" w:hAnsi="TimesNewRomanPSMT" w:cs="TimesNewRomanPSMT"/>
          <w:szCs w:val="24"/>
        </w:rPr>
        <w:t>izņemti 5 datorsistēmu datu nesēji</w:t>
      </w:r>
      <w:r w:rsidR="00121A43">
        <w:rPr>
          <w:rFonts w:ascii="TimesNewRomanPSMT" w:hAnsi="TimesNewRomanPSMT" w:cs="TimesNewRomanPSMT"/>
          <w:szCs w:val="24"/>
        </w:rPr>
        <w:t xml:space="preserve"> (</w:t>
      </w:r>
      <w:r w:rsidR="00121A43">
        <w:rPr>
          <w:rFonts w:ascii="TimesNewRomanPSMT" w:hAnsi="TimesNewRomanPSMT" w:cs="TimesNewRomanPSMT"/>
          <w:i/>
          <w:iCs/>
          <w:szCs w:val="24"/>
        </w:rPr>
        <w:t>1.</w:t>
      </w:r>
      <w:r w:rsidR="00E4308F">
        <w:rPr>
          <w:rFonts w:ascii="TimesNewRomanPSMT" w:hAnsi="TimesNewRomanPSMT" w:cs="TimesNewRomanPSMT"/>
          <w:i/>
          <w:iCs/>
          <w:szCs w:val="24"/>
        </w:rPr>
        <w:t> </w:t>
      </w:r>
      <w:r w:rsidR="00121A43">
        <w:rPr>
          <w:rFonts w:ascii="TimesNewRomanPSMT" w:hAnsi="TimesNewRomanPSMT" w:cs="TimesNewRomanPSMT"/>
          <w:i/>
          <w:iCs/>
          <w:szCs w:val="24"/>
        </w:rPr>
        <w:t>sējuma 17. lapa</w:t>
      </w:r>
      <w:r w:rsidR="00121A43">
        <w:rPr>
          <w:rFonts w:ascii="TimesNewRomanPSMT" w:hAnsi="TimesNewRomanPSMT" w:cs="TimesNewRomanPSMT"/>
          <w:szCs w:val="24"/>
        </w:rPr>
        <w:t>).</w:t>
      </w:r>
    </w:p>
    <w:p w14:paraId="10ACC5E5" w14:textId="2936E9A3" w:rsidR="00D42F15" w:rsidRDefault="00F819A8" w:rsidP="00EB59BC">
      <w:pPr>
        <w:widowControl w:val="0"/>
        <w:spacing w:after="0"/>
        <w:ind w:firstLine="720"/>
        <w:jc w:val="both"/>
        <w:rPr>
          <w:rFonts w:ascii="TimesNewRomanPSMT" w:hAnsi="TimesNewRomanPSMT" w:cs="TimesNewRomanPSMT"/>
          <w:szCs w:val="24"/>
        </w:rPr>
      </w:pPr>
      <w:r>
        <w:rPr>
          <w:rFonts w:ascii="TimesNewRomanPSMT" w:hAnsi="TimesNewRomanPSMT" w:cs="TimesNewRomanPSMT"/>
          <w:szCs w:val="24"/>
        </w:rPr>
        <w:t xml:space="preserve">Ar kompetentas amatpersonas </w:t>
      </w:r>
      <w:r w:rsidR="00DB4E07">
        <w:rPr>
          <w:rFonts w:ascii="TimesNewRomanPSMT" w:hAnsi="TimesNewRomanPSMT" w:cs="TimesNewRomanPSMT"/>
          <w:szCs w:val="24"/>
        </w:rPr>
        <w:t>2015. gada 24. aprīļa lēmumu, pamatojoties uz Administratīvo pārkāpumu kodeksa</w:t>
      </w:r>
      <w:r w:rsidR="0010088C">
        <w:rPr>
          <w:rFonts w:ascii="TimesNewRomanPSMT" w:hAnsi="TimesNewRomanPSMT" w:cs="TimesNewRomanPSMT"/>
          <w:szCs w:val="24"/>
        </w:rPr>
        <w:t xml:space="preserve"> 239. panta 8. punktu, 275. panta trešo daļu, 276. pantu, Kriminālprocesa likuma 369.–372. pantu, </w:t>
      </w:r>
      <w:r w:rsidR="00125E43">
        <w:rPr>
          <w:rFonts w:ascii="TimesNewRomanPSMT" w:hAnsi="TimesNewRomanPSMT" w:cs="TimesNewRomanPSMT"/>
          <w:szCs w:val="24"/>
        </w:rPr>
        <w:t>lietvedība administratīvā pārkāpuma lietā izbeigta</w:t>
      </w:r>
      <w:r w:rsidR="00416FC2">
        <w:rPr>
          <w:rFonts w:ascii="TimesNewRomanPSMT" w:hAnsi="TimesNewRomanPSMT" w:cs="TimesNewRomanPSMT"/>
          <w:szCs w:val="24"/>
        </w:rPr>
        <w:t>,</w:t>
      </w:r>
      <w:r w:rsidR="00125E43">
        <w:rPr>
          <w:rFonts w:ascii="TimesNewRomanPSMT" w:hAnsi="TimesNewRomanPSMT" w:cs="TimesNewRomanPSMT"/>
          <w:szCs w:val="24"/>
        </w:rPr>
        <w:t xml:space="preserve"> un uzsākts kriminālprocess</w:t>
      </w:r>
      <w:r w:rsidR="00D42F15">
        <w:rPr>
          <w:rFonts w:ascii="TimesNewRomanPSMT" w:hAnsi="TimesNewRomanPSMT" w:cs="TimesNewRomanPSMT"/>
          <w:szCs w:val="24"/>
        </w:rPr>
        <w:t>.</w:t>
      </w:r>
    </w:p>
    <w:p w14:paraId="767B16E5" w14:textId="3D68A69D" w:rsidR="00FA6BD1" w:rsidRDefault="00D42F15" w:rsidP="00EB59BC">
      <w:pPr>
        <w:widowControl w:val="0"/>
        <w:spacing w:after="0"/>
        <w:ind w:firstLine="720"/>
        <w:jc w:val="both"/>
        <w:rPr>
          <w:rFonts w:ascii="TimesNewRomanPSMT" w:hAnsi="TimesNewRomanPSMT" w:cs="TimesNewRomanPSMT"/>
          <w:szCs w:val="24"/>
        </w:rPr>
      </w:pPr>
      <w:r>
        <w:rPr>
          <w:rFonts w:ascii="TimesNewRomanPSMT" w:hAnsi="TimesNewRomanPSMT" w:cs="TimesNewRomanPSMT"/>
          <w:szCs w:val="24"/>
        </w:rPr>
        <w:t xml:space="preserve">Pretēji apsūdzētā </w:t>
      </w:r>
      <w:r w:rsidR="00885397">
        <w:rPr>
          <w:rFonts w:ascii="TimesNewRomanPSMT" w:hAnsi="TimesNewRomanPSMT" w:cs="TimesNewRomanPSMT"/>
          <w:szCs w:val="24"/>
        </w:rPr>
        <w:t>[pers. A]</w:t>
      </w:r>
      <w:r>
        <w:rPr>
          <w:rFonts w:ascii="TimesNewRomanPSMT" w:hAnsi="TimesNewRomanPSMT" w:cs="TimesNewRomanPSMT"/>
          <w:szCs w:val="24"/>
        </w:rPr>
        <w:t xml:space="preserve"> aizstāvja kasācijas sūdzībā norādītajam apelācijas instances tiesa ir izvērtējusi aizstāvja apelācijas sūdzīb</w:t>
      </w:r>
      <w:r w:rsidR="00AB681D">
        <w:rPr>
          <w:rFonts w:ascii="TimesNewRomanPSMT" w:hAnsi="TimesNewRomanPSMT" w:cs="TimesNewRomanPSMT"/>
          <w:szCs w:val="24"/>
        </w:rPr>
        <w:t>ā norādītos un kasācijas sūdzībā atkārtotos argumentus par SIA</w:t>
      </w:r>
      <w:r w:rsidR="00583888">
        <w:rPr>
          <w:rFonts w:ascii="TimesNewRomanPSMT" w:hAnsi="TimesNewRomanPSMT" w:cs="TimesNewRomanPSMT"/>
          <w:szCs w:val="24"/>
        </w:rPr>
        <w:t> „</w:t>
      </w:r>
      <w:r w:rsidR="00885397">
        <w:rPr>
          <w:rFonts w:ascii="TimesNewRomanPSMT" w:hAnsi="TimesNewRomanPSMT" w:cs="TimesNewRomanPSMT"/>
          <w:szCs w:val="24"/>
        </w:rPr>
        <w:t>[Nosaukums </w:t>
      </w:r>
      <w:r w:rsidR="00885397">
        <w:t>A]</w:t>
      </w:r>
      <w:r w:rsidR="00AB681D">
        <w:rPr>
          <w:rFonts w:ascii="TimesNewRomanPSMT" w:hAnsi="TimesNewRomanPSMT" w:cs="TimesNewRomanPSMT"/>
          <w:szCs w:val="24"/>
        </w:rPr>
        <w:t xml:space="preserve">” datorprogrammu legalitātes pārbaudē iegūto ziņu </w:t>
      </w:r>
      <w:r w:rsidR="00017C54">
        <w:rPr>
          <w:rFonts w:ascii="TimesNewRomanPSMT" w:hAnsi="TimesNewRomanPSMT" w:cs="TimesNewRomanPSMT"/>
          <w:szCs w:val="24"/>
        </w:rPr>
        <w:t>ne</w:t>
      </w:r>
      <w:r w:rsidR="00AB681D">
        <w:rPr>
          <w:rFonts w:ascii="TimesNewRomanPSMT" w:hAnsi="TimesNewRomanPSMT" w:cs="TimesNewRomanPSMT"/>
          <w:szCs w:val="24"/>
        </w:rPr>
        <w:t xml:space="preserve">pieļaujamību un motivēti tos noraidījusi. Tiesa </w:t>
      </w:r>
      <w:proofErr w:type="gramStart"/>
      <w:r w:rsidR="00AB681D">
        <w:rPr>
          <w:rFonts w:ascii="TimesNewRomanPSMT" w:hAnsi="TimesNewRomanPSMT" w:cs="TimesNewRomanPSMT"/>
          <w:szCs w:val="24"/>
        </w:rPr>
        <w:t>argumentēti</w:t>
      </w:r>
      <w:proofErr w:type="gramEnd"/>
      <w:r w:rsidR="00AB681D">
        <w:rPr>
          <w:rFonts w:ascii="TimesNewRomanPSMT" w:hAnsi="TimesNewRomanPSMT" w:cs="TimesNewRomanPSMT"/>
          <w:szCs w:val="24"/>
        </w:rPr>
        <w:t xml:space="preserve"> atzinusi, ka procesuālās darbības – 16 datorsistēmu un tajās instalētā programmnodrošinājuma apskati un 5 datorsistēmu datu nesēju izņemšanu – veikušas kompetentas policijas amatpersonas administratīvā pārkāpuma procesa ietvaros atbilstoši tajā laikā spēkā esošā Latvijas Administratīvo pārkāpumu kodeksa 243., 252., 256., 257. panta prasībām</w:t>
      </w:r>
      <w:r w:rsidR="00FA6BD1">
        <w:rPr>
          <w:rFonts w:ascii="TimesNewRomanPSMT" w:hAnsi="TimesNewRomanPSMT" w:cs="TimesNewRomanPSMT"/>
          <w:szCs w:val="24"/>
        </w:rPr>
        <w:t>, līdz ar to šo procesuālo darbību rezultātā iegūtās ziņas ir izmantojamas pierādīšanā</w:t>
      </w:r>
      <w:r w:rsidR="004874F7">
        <w:rPr>
          <w:rFonts w:ascii="TimesNewRomanPSMT" w:hAnsi="TimesNewRomanPSMT" w:cs="TimesNewRomanPSMT"/>
          <w:szCs w:val="24"/>
        </w:rPr>
        <w:t>.</w:t>
      </w:r>
    </w:p>
    <w:p w14:paraId="5812150B" w14:textId="4904C927" w:rsidR="00AB681D" w:rsidRDefault="00481044" w:rsidP="00EB59BC">
      <w:pPr>
        <w:widowControl w:val="0"/>
        <w:spacing w:after="0"/>
        <w:ind w:firstLine="720"/>
        <w:jc w:val="both"/>
        <w:rPr>
          <w:rFonts w:ascii="TimesNewRomanPSMT" w:hAnsi="TimesNewRomanPSMT" w:cs="TimesNewRomanPSMT"/>
          <w:szCs w:val="24"/>
        </w:rPr>
      </w:pPr>
      <w:r>
        <w:rPr>
          <w:rFonts w:ascii="TimesNewRomanPSMT" w:hAnsi="TimesNewRomanPSMT" w:cs="TimesNewRomanPSMT"/>
          <w:szCs w:val="24"/>
        </w:rPr>
        <w:t>I</w:t>
      </w:r>
      <w:r w:rsidR="00FA6BD1">
        <w:rPr>
          <w:rFonts w:ascii="TimesNewRomanPSMT" w:hAnsi="TimesNewRomanPSMT" w:cs="TimesNewRomanPSMT"/>
          <w:szCs w:val="24"/>
        </w:rPr>
        <w:t>zvērtējot</w:t>
      </w:r>
      <w:r w:rsidR="004874F7">
        <w:rPr>
          <w:rFonts w:ascii="TimesNewRomanPSMT" w:hAnsi="TimesNewRomanPSMT" w:cs="TimesNewRomanPSMT"/>
          <w:szCs w:val="24"/>
        </w:rPr>
        <w:t xml:space="preserve"> Kriminālprocesa likuma 127. panta pirmo daļu, kas definē pierādījumus, kopsakarā ar šā likuma 369. pantu, kas noteic kriminālprocesa uzsākšanas iemeslus</w:t>
      </w:r>
      <w:proofErr w:type="gramStart"/>
      <w:r w:rsidR="004874F7">
        <w:rPr>
          <w:rFonts w:ascii="TimesNewRomanPSMT" w:hAnsi="TimesNewRomanPSMT" w:cs="TimesNewRomanPSMT"/>
          <w:szCs w:val="24"/>
        </w:rPr>
        <w:t xml:space="preserve">, un 190. panta </w:t>
      </w:r>
      <w:r>
        <w:rPr>
          <w:rFonts w:ascii="TimesNewRomanPSMT" w:hAnsi="TimesNewRomanPSMT" w:cs="TimesNewRomanPSMT"/>
          <w:szCs w:val="24"/>
        </w:rPr>
        <w:t>piekto daļu</w:t>
      </w:r>
      <w:proofErr w:type="gramEnd"/>
      <w:r>
        <w:rPr>
          <w:rFonts w:ascii="TimesNewRomanPSMT" w:hAnsi="TimesNewRomanPSMT" w:cs="TimesNewRomanPSMT"/>
          <w:szCs w:val="24"/>
        </w:rPr>
        <w:t xml:space="preserve">, kurā paredzētas procesa virzītāja tiesības pieprasīt kriminālprocesam nozīmīgus dokumentus, tai skaitā tādus, kas atrodas administratīvā pārkāpumā lietā, Senātam </w:t>
      </w:r>
      <w:r w:rsidR="00FA6BD1">
        <w:rPr>
          <w:rFonts w:ascii="TimesNewRomanPSMT" w:hAnsi="TimesNewRomanPSMT" w:cs="TimesNewRomanPSMT"/>
          <w:szCs w:val="24"/>
        </w:rPr>
        <w:t>nav pamata apšaubīt</w:t>
      </w:r>
      <w:r>
        <w:rPr>
          <w:rFonts w:ascii="TimesNewRomanPSMT" w:hAnsi="TimesNewRomanPSMT" w:cs="TimesNewRomanPSMT"/>
          <w:szCs w:val="24"/>
        </w:rPr>
        <w:t xml:space="preserve"> apelācijas instances tiesas atzinumu,</w:t>
      </w:r>
      <w:r w:rsidR="00FA6BD1">
        <w:rPr>
          <w:rFonts w:ascii="TimesNewRomanPSMT" w:hAnsi="TimesNewRomanPSMT" w:cs="TimesNewRomanPSMT"/>
          <w:szCs w:val="24"/>
        </w:rPr>
        <w:t xml:space="preserve"> ka</w:t>
      </w:r>
      <w:r>
        <w:rPr>
          <w:rFonts w:ascii="TimesNewRomanPSMT" w:hAnsi="TimesNewRomanPSMT" w:cs="TimesNewRomanPSMT"/>
          <w:szCs w:val="24"/>
        </w:rPr>
        <w:t xml:space="preserve"> likumā noteiktā kārtībā administratīvā pārkāpuma lietā iegūtās ziņas ir izmantojamas pierādīšanā kriminālprocesa ietvaros, lai arī tās nav iegūtas izmeklēšanas darbību rezultātā.</w:t>
      </w:r>
    </w:p>
    <w:p w14:paraId="039103AD" w14:textId="251662C9" w:rsidR="00AB681D" w:rsidRDefault="00AB681D" w:rsidP="00EB59BC">
      <w:pPr>
        <w:widowControl w:val="0"/>
        <w:spacing w:after="0"/>
        <w:ind w:firstLine="720"/>
        <w:jc w:val="both"/>
        <w:rPr>
          <w:rFonts w:ascii="TimesNewRomanPSMT" w:hAnsi="TimesNewRomanPSMT" w:cs="TimesNewRomanPSMT"/>
          <w:szCs w:val="24"/>
        </w:rPr>
      </w:pPr>
    </w:p>
    <w:p w14:paraId="6D5D1E7E" w14:textId="2D422C86" w:rsidR="00304415" w:rsidRPr="00481044" w:rsidRDefault="00304415" w:rsidP="00EB59BC">
      <w:pPr>
        <w:widowControl w:val="0"/>
        <w:spacing w:after="0"/>
        <w:ind w:firstLine="720"/>
        <w:jc w:val="both"/>
        <w:rPr>
          <w:rFonts w:ascii="TimesNewRomanPSMT" w:hAnsi="TimesNewRomanPSMT" w:cs="TimesNewRomanPSMT"/>
          <w:szCs w:val="24"/>
        </w:rPr>
      </w:pPr>
      <w:r>
        <w:t>[11]</w:t>
      </w:r>
      <w:r w:rsidR="00583888">
        <w:t> </w:t>
      </w:r>
      <w:r>
        <w:t>Ņemot vērā, ka apelācijas instances tiesas lēmums tiek atcelts pilnībā un lieta apelācijas instances tiesā jāizskata no jauna atbilstoši Kriminālprocesa likuma 53.</w:t>
      </w:r>
      <w:r w:rsidR="005756EE">
        <w:t> </w:t>
      </w:r>
      <w:r>
        <w:t xml:space="preserve">nodaļas normu prasībām, pārējie prokurora kasācijas protestā un apsūdzētā </w:t>
      </w:r>
      <w:r w:rsidR="00885397">
        <w:t>[pers. A]</w:t>
      </w:r>
      <w:r>
        <w:t xml:space="preserve"> aizstāvja kasācijas sūdzībā norādītie argumenti ir izvērtējami, iztiesājot lietu no jauna apelācijas instances tiesā.</w:t>
      </w:r>
    </w:p>
    <w:p w14:paraId="0F205E39" w14:textId="75975D5D" w:rsidR="00481044" w:rsidRDefault="00481044" w:rsidP="00EB59BC">
      <w:pPr>
        <w:pStyle w:val="NoSpacing"/>
        <w:widowControl w:val="0"/>
        <w:spacing w:line="276" w:lineRule="auto"/>
        <w:ind w:firstLine="720"/>
        <w:jc w:val="both"/>
      </w:pPr>
    </w:p>
    <w:p w14:paraId="53FA3308" w14:textId="3395D2AC" w:rsidR="00304415" w:rsidRDefault="00304415" w:rsidP="00EB59BC">
      <w:pPr>
        <w:pStyle w:val="NoSpacing"/>
        <w:widowControl w:val="0"/>
        <w:spacing w:line="276" w:lineRule="auto"/>
        <w:ind w:firstLine="720"/>
        <w:jc w:val="both"/>
      </w:pPr>
      <w:r>
        <w:t>[12] Kriminālprocesa likuma 588. panta 3.</w:t>
      </w:r>
      <w:r>
        <w:rPr>
          <w:vertAlign w:val="superscript"/>
        </w:rPr>
        <w:t>1 </w:t>
      </w:r>
      <w:r>
        <w:t>daļa noteic, ka gadījumā, ja kasācijas instances tiesa pieņem šā likuma 587. panta pirmās daļas 2. punktā paredzēto lēmumu, tā izlemj jautājumu arī par drošības līdzekli.</w:t>
      </w:r>
    </w:p>
    <w:p w14:paraId="533096F9" w14:textId="0AE693DA" w:rsidR="00304415" w:rsidRDefault="00304415" w:rsidP="00EB59BC">
      <w:pPr>
        <w:pStyle w:val="NoSpacing"/>
        <w:widowControl w:val="0"/>
        <w:spacing w:line="276" w:lineRule="auto"/>
        <w:ind w:firstLine="720"/>
        <w:jc w:val="both"/>
      </w:pPr>
      <w:r>
        <w:t xml:space="preserve">Apsūdzētajam </w:t>
      </w:r>
      <w:r w:rsidR="00885397">
        <w:t>[pers. A]</w:t>
      </w:r>
      <w:r>
        <w:t xml:space="preserve"> drošības līdzeklis izskatāmajā lietā nav piemērots.</w:t>
      </w:r>
    </w:p>
    <w:p w14:paraId="0A1CA30E" w14:textId="77777777" w:rsidR="00304415" w:rsidRDefault="00304415" w:rsidP="00EB59BC">
      <w:pPr>
        <w:pStyle w:val="NoSpacing"/>
        <w:widowControl w:val="0"/>
        <w:spacing w:line="276" w:lineRule="auto"/>
        <w:ind w:firstLine="720"/>
        <w:jc w:val="both"/>
      </w:pPr>
      <w:r>
        <w:t>Senāts atzīst, ka drošības līdzekļa piemērošanai apsūdzētajam šajā kriminālprocesa stadijā nav tiesiska pamata.</w:t>
      </w:r>
    </w:p>
    <w:p w14:paraId="7C60EC66" w14:textId="77777777" w:rsidR="00AA0203" w:rsidRDefault="00AA0203" w:rsidP="00EB59BC">
      <w:pPr>
        <w:widowControl w:val="0"/>
        <w:spacing w:after="0"/>
        <w:ind w:firstLine="720"/>
        <w:jc w:val="both"/>
        <w:rPr>
          <w:rFonts w:ascii="TimesNewRomanPSMT" w:hAnsi="TimesNewRomanPSMT" w:cs="TimesNewRomanPSMT"/>
          <w:szCs w:val="24"/>
        </w:rPr>
      </w:pPr>
    </w:p>
    <w:p w14:paraId="3849781B" w14:textId="0480ABAF" w:rsidR="00491894" w:rsidRPr="0011009D" w:rsidRDefault="00491894" w:rsidP="00EB59BC">
      <w:pPr>
        <w:pStyle w:val="ListBullet"/>
        <w:widowControl w:val="0"/>
        <w:numPr>
          <w:ilvl w:val="0"/>
          <w:numId w:val="0"/>
        </w:numPr>
        <w:spacing w:after="0"/>
        <w:contextualSpacing w:val="0"/>
        <w:jc w:val="center"/>
      </w:pPr>
      <w:r w:rsidRPr="00B14CA7">
        <w:rPr>
          <w:rFonts w:cs="Times New Roman"/>
          <w:b/>
          <w:color w:val="000000" w:themeColor="text1"/>
          <w:szCs w:val="24"/>
        </w:rPr>
        <w:t>Rezolutīvā daļa</w:t>
      </w:r>
    </w:p>
    <w:p w14:paraId="75916AB0" w14:textId="77777777" w:rsidR="00491894" w:rsidRPr="00B14CA7" w:rsidRDefault="00491894" w:rsidP="00EB59BC">
      <w:pPr>
        <w:widowControl w:val="0"/>
        <w:spacing w:after="0"/>
        <w:ind w:firstLine="720"/>
        <w:jc w:val="center"/>
        <w:rPr>
          <w:rFonts w:cs="Times New Roman"/>
          <w:b/>
          <w:color w:val="000000" w:themeColor="text1"/>
          <w:szCs w:val="24"/>
        </w:rPr>
      </w:pPr>
    </w:p>
    <w:p w14:paraId="66B6DBB2" w14:textId="087F79AF" w:rsidR="00491894" w:rsidRPr="00B14CA7" w:rsidRDefault="00491894" w:rsidP="00EB59BC">
      <w:pPr>
        <w:widowControl w:val="0"/>
        <w:spacing w:after="0"/>
        <w:ind w:firstLine="720"/>
        <w:jc w:val="both"/>
        <w:rPr>
          <w:rFonts w:cs="Times New Roman"/>
          <w:color w:val="000000" w:themeColor="text1"/>
          <w:szCs w:val="24"/>
        </w:rPr>
      </w:pPr>
      <w:r w:rsidRPr="00B14CA7">
        <w:rPr>
          <w:rFonts w:cs="Times New Roman"/>
          <w:color w:val="000000" w:themeColor="text1"/>
          <w:szCs w:val="24"/>
        </w:rPr>
        <w:t>Pamatojoties uz Kriminālprocesa likuma 585. un 587.</w:t>
      </w:r>
      <w:r w:rsidR="00344BFC">
        <w:rPr>
          <w:rFonts w:cs="Times New Roman"/>
          <w:color w:val="000000" w:themeColor="text1"/>
          <w:szCs w:val="24"/>
        </w:rPr>
        <w:t> </w:t>
      </w:r>
      <w:r w:rsidRPr="00B14CA7">
        <w:rPr>
          <w:rFonts w:cs="Times New Roman"/>
          <w:color w:val="000000" w:themeColor="text1"/>
          <w:szCs w:val="24"/>
        </w:rPr>
        <w:t>pant</w:t>
      </w:r>
      <w:r w:rsidR="00A4062D">
        <w:rPr>
          <w:rFonts w:cs="Times New Roman"/>
          <w:color w:val="000000" w:themeColor="text1"/>
          <w:szCs w:val="24"/>
        </w:rPr>
        <w:t xml:space="preserve">a pirmās daļas </w:t>
      </w:r>
      <w:r w:rsidR="008628C1">
        <w:rPr>
          <w:rFonts w:cs="Times New Roman"/>
          <w:color w:val="000000" w:themeColor="text1"/>
          <w:szCs w:val="24"/>
        </w:rPr>
        <w:t>2</w:t>
      </w:r>
      <w:r w:rsidR="00A4062D">
        <w:rPr>
          <w:rFonts w:cs="Times New Roman"/>
          <w:color w:val="000000" w:themeColor="text1"/>
          <w:szCs w:val="24"/>
        </w:rPr>
        <w:t>.</w:t>
      </w:r>
      <w:r w:rsidR="0011009D">
        <w:rPr>
          <w:rFonts w:cs="Times New Roman"/>
          <w:color w:val="000000" w:themeColor="text1"/>
          <w:szCs w:val="24"/>
        </w:rPr>
        <w:t> </w:t>
      </w:r>
      <w:r w:rsidR="00A4062D">
        <w:rPr>
          <w:rFonts w:cs="Times New Roman"/>
          <w:color w:val="000000" w:themeColor="text1"/>
          <w:szCs w:val="24"/>
        </w:rPr>
        <w:t>punktu</w:t>
      </w:r>
      <w:r w:rsidRPr="00B14CA7">
        <w:rPr>
          <w:rFonts w:cs="Times New Roman"/>
          <w:color w:val="000000" w:themeColor="text1"/>
          <w:szCs w:val="24"/>
        </w:rPr>
        <w:t xml:space="preserve">, </w:t>
      </w:r>
      <w:r w:rsidR="00426462">
        <w:rPr>
          <w:rFonts w:cs="Times New Roman"/>
          <w:color w:val="000000" w:themeColor="text1"/>
          <w:szCs w:val="24"/>
        </w:rPr>
        <w:t>Senāts</w:t>
      </w:r>
    </w:p>
    <w:p w14:paraId="10171BF3" w14:textId="77777777" w:rsidR="00491894" w:rsidRPr="00B14CA7" w:rsidRDefault="00491894" w:rsidP="00EB59BC">
      <w:pPr>
        <w:widowControl w:val="0"/>
        <w:spacing w:after="0"/>
        <w:ind w:firstLine="720"/>
        <w:rPr>
          <w:rFonts w:cs="Times New Roman"/>
          <w:color w:val="000000" w:themeColor="text1"/>
          <w:szCs w:val="24"/>
        </w:rPr>
      </w:pPr>
    </w:p>
    <w:p w14:paraId="6197FC69" w14:textId="7E0A0E02" w:rsidR="00491894" w:rsidRDefault="007C0E2A" w:rsidP="00EB59BC">
      <w:pPr>
        <w:widowControl w:val="0"/>
        <w:spacing w:after="0"/>
        <w:jc w:val="center"/>
        <w:rPr>
          <w:rFonts w:cs="Times New Roman"/>
          <w:b/>
          <w:color w:val="000000" w:themeColor="text1"/>
          <w:szCs w:val="24"/>
        </w:rPr>
      </w:pPr>
      <w:r>
        <w:rPr>
          <w:rFonts w:cs="Times New Roman"/>
          <w:b/>
          <w:color w:val="000000" w:themeColor="text1"/>
          <w:szCs w:val="24"/>
        </w:rPr>
        <w:t>n</w:t>
      </w:r>
      <w:r w:rsidR="00491894" w:rsidRPr="00B14CA7">
        <w:rPr>
          <w:rFonts w:cs="Times New Roman"/>
          <w:b/>
          <w:color w:val="000000" w:themeColor="text1"/>
          <w:szCs w:val="24"/>
        </w:rPr>
        <w:t>olēma</w:t>
      </w:r>
    </w:p>
    <w:p w14:paraId="62C84B8D" w14:textId="39073E8F" w:rsidR="007C0E2A" w:rsidRDefault="007C0E2A" w:rsidP="00EB59BC">
      <w:pPr>
        <w:widowControl w:val="0"/>
        <w:spacing w:after="0"/>
        <w:ind w:firstLine="720"/>
        <w:jc w:val="center"/>
        <w:rPr>
          <w:rFonts w:cs="Times New Roman"/>
          <w:b/>
          <w:color w:val="000000" w:themeColor="text1"/>
          <w:szCs w:val="24"/>
        </w:rPr>
      </w:pPr>
    </w:p>
    <w:p w14:paraId="5EC3CCAD" w14:textId="198E45DA" w:rsidR="007C0E2A" w:rsidRPr="007C0E2A" w:rsidRDefault="007C0E2A" w:rsidP="00EB59BC">
      <w:pPr>
        <w:widowControl w:val="0"/>
        <w:spacing w:after="0"/>
        <w:ind w:firstLine="720"/>
        <w:jc w:val="both"/>
        <w:rPr>
          <w:rFonts w:cs="Times New Roman"/>
          <w:bCs/>
          <w:color w:val="000000" w:themeColor="text1"/>
          <w:szCs w:val="24"/>
        </w:rPr>
      </w:pPr>
      <w:r>
        <w:rPr>
          <w:rFonts w:cs="Times New Roman"/>
          <w:bCs/>
          <w:color w:val="000000" w:themeColor="text1"/>
          <w:szCs w:val="24"/>
        </w:rPr>
        <w:t>at</w:t>
      </w:r>
      <w:r w:rsidR="008628C1">
        <w:rPr>
          <w:rFonts w:cs="Times New Roman"/>
          <w:bCs/>
          <w:color w:val="000000" w:themeColor="text1"/>
          <w:szCs w:val="24"/>
        </w:rPr>
        <w:t xml:space="preserve">celt Rīgas </w:t>
      </w:r>
      <w:r>
        <w:rPr>
          <w:rFonts w:cs="Times New Roman"/>
          <w:bCs/>
          <w:color w:val="000000" w:themeColor="text1"/>
          <w:szCs w:val="24"/>
        </w:rPr>
        <w:t>apgabaltiesas 2022. gada 9. ma</w:t>
      </w:r>
      <w:r w:rsidR="008628C1">
        <w:rPr>
          <w:rFonts w:cs="Times New Roman"/>
          <w:bCs/>
          <w:color w:val="000000" w:themeColor="text1"/>
          <w:szCs w:val="24"/>
        </w:rPr>
        <w:t>ija</w:t>
      </w:r>
      <w:r>
        <w:rPr>
          <w:rFonts w:cs="Times New Roman"/>
          <w:bCs/>
          <w:color w:val="000000" w:themeColor="text1"/>
          <w:szCs w:val="24"/>
        </w:rPr>
        <w:t xml:space="preserve"> spriedumu</w:t>
      </w:r>
      <w:r w:rsidR="008628C1">
        <w:rPr>
          <w:rFonts w:cs="Times New Roman"/>
          <w:bCs/>
          <w:color w:val="000000" w:themeColor="text1"/>
          <w:szCs w:val="24"/>
        </w:rPr>
        <w:t xml:space="preserve"> pilnībā un nosūtīt lietu jaunai izskatīšanai Rīgas apgabaltiesā.</w:t>
      </w:r>
    </w:p>
    <w:p w14:paraId="29C6B5D6" w14:textId="77777777" w:rsidR="007C0E2A" w:rsidRDefault="007C0E2A" w:rsidP="00EB59BC">
      <w:pPr>
        <w:widowControl w:val="0"/>
        <w:spacing w:after="0"/>
        <w:ind w:firstLine="720"/>
        <w:jc w:val="both"/>
        <w:rPr>
          <w:rFonts w:cs="Times New Roman"/>
          <w:b/>
          <w:color w:val="000000" w:themeColor="text1"/>
          <w:szCs w:val="24"/>
        </w:rPr>
      </w:pPr>
    </w:p>
    <w:p w14:paraId="6C3E97ED" w14:textId="2E0C1ED0" w:rsidR="00570A66" w:rsidRDefault="00874A74" w:rsidP="00885397">
      <w:pPr>
        <w:widowControl w:val="0"/>
        <w:spacing w:after="0"/>
        <w:ind w:firstLine="720"/>
        <w:jc w:val="both"/>
        <w:rPr>
          <w:rFonts w:cs="Times New Roman"/>
          <w:color w:val="000000" w:themeColor="text1"/>
          <w:szCs w:val="24"/>
        </w:rPr>
      </w:pPr>
      <w:r w:rsidRPr="00F81E7B">
        <w:rPr>
          <w:color w:val="000000"/>
        </w:rPr>
        <w:t>Lēmums nav pārsūdzams</w:t>
      </w:r>
      <w:r w:rsidR="00491894" w:rsidRPr="00B14CA7">
        <w:rPr>
          <w:rFonts w:cs="Times New Roman"/>
          <w:color w:val="000000" w:themeColor="text1"/>
          <w:szCs w:val="24"/>
        </w:rPr>
        <w:t>.</w:t>
      </w:r>
    </w:p>
    <w:sectPr w:rsidR="00570A66" w:rsidSect="00884834">
      <w:footerReference w:type="default" r:id="rId12"/>
      <w:pgSz w:w="11906" w:h="16838" w:code="9"/>
      <w:pgMar w:top="1134"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E5DCD" w14:textId="77777777" w:rsidR="00D46459" w:rsidRDefault="00D46459" w:rsidP="00233790">
      <w:pPr>
        <w:spacing w:after="0" w:line="240" w:lineRule="auto"/>
      </w:pPr>
      <w:r>
        <w:separator/>
      </w:r>
    </w:p>
  </w:endnote>
  <w:endnote w:type="continuationSeparator" w:id="0">
    <w:p w14:paraId="3657433D" w14:textId="77777777" w:rsidR="00D46459" w:rsidRDefault="00D46459" w:rsidP="0023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819982"/>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68E62F2E" w14:textId="676F6C74" w:rsidR="009F1719" w:rsidRPr="00426462" w:rsidRDefault="009F1719" w:rsidP="00426462">
            <w:pPr>
              <w:pStyle w:val="Footer"/>
              <w:jc w:val="center"/>
              <w:rPr>
                <w:sz w:val="20"/>
                <w:szCs w:val="20"/>
              </w:rPr>
            </w:pPr>
            <w:r w:rsidRPr="00426462">
              <w:rPr>
                <w:bCs/>
                <w:sz w:val="20"/>
                <w:szCs w:val="20"/>
              </w:rPr>
              <w:fldChar w:fldCharType="begin"/>
            </w:r>
            <w:r w:rsidRPr="00426462">
              <w:rPr>
                <w:bCs/>
                <w:sz w:val="20"/>
                <w:szCs w:val="20"/>
              </w:rPr>
              <w:instrText xml:space="preserve"> PAGE </w:instrText>
            </w:r>
            <w:r w:rsidRPr="00426462">
              <w:rPr>
                <w:bCs/>
                <w:sz w:val="20"/>
                <w:szCs w:val="20"/>
              </w:rPr>
              <w:fldChar w:fldCharType="separate"/>
            </w:r>
            <w:r w:rsidR="008741DC" w:rsidRPr="00426462">
              <w:rPr>
                <w:bCs/>
                <w:noProof/>
                <w:sz w:val="20"/>
                <w:szCs w:val="20"/>
              </w:rPr>
              <w:t>3</w:t>
            </w:r>
            <w:r w:rsidRPr="00426462">
              <w:rPr>
                <w:bCs/>
                <w:sz w:val="20"/>
                <w:szCs w:val="20"/>
              </w:rPr>
              <w:fldChar w:fldCharType="end"/>
            </w:r>
            <w:r w:rsidRPr="00426462">
              <w:rPr>
                <w:sz w:val="20"/>
                <w:szCs w:val="20"/>
              </w:rPr>
              <w:t xml:space="preserve"> no </w:t>
            </w:r>
            <w:r w:rsidRPr="00426462">
              <w:rPr>
                <w:bCs/>
                <w:sz w:val="20"/>
                <w:szCs w:val="20"/>
              </w:rPr>
              <w:fldChar w:fldCharType="begin"/>
            </w:r>
            <w:r w:rsidRPr="00426462">
              <w:rPr>
                <w:bCs/>
                <w:sz w:val="20"/>
                <w:szCs w:val="20"/>
              </w:rPr>
              <w:instrText xml:space="preserve"> NUMPAGES  </w:instrText>
            </w:r>
            <w:r w:rsidRPr="00426462">
              <w:rPr>
                <w:bCs/>
                <w:sz w:val="20"/>
                <w:szCs w:val="20"/>
              </w:rPr>
              <w:fldChar w:fldCharType="separate"/>
            </w:r>
            <w:r w:rsidR="008741DC" w:rsidRPr="00426462">
              <w:rPr>
                <w:bCs/>
                <w:noProof/>
                <w:sz w:val="20"/>
                <w:szCs w:val="20"/>
              </w:rPr>
              <w:t>4</w:t>
            </w:r>
            <w:r w:rsidRPr="00426462">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6E2A" w14:textId="77777777" w:rsidR="00D46459" w:rsidRDefault="00D46459" w:rsidP="00233790">
      <w:pPr>
        <w:spacing w:after="0" w:line="240" w:lineRule="auto"/>
      </w:pPr>
      <w:r>
        <w:separator/>
      </w:r>
    </w:p>
  </w:footnote>
  <w:footnote w:type="continuationSeparator" w:id="0">
    <w:p w14:paraId="622D1534" w14:textId="77777777" w:rsidR="00D46459" w:rsidRDefault="00D46459" w:rsidP="00233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284D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A3E0B47"/>
    <w:multiLevelType w:val="multilevel"/>
    <w:tmpl w:val="9ADC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682495"/>
    <w:multiLevelType w:val="hybridMultilevel"/>
    <w:tmpl w:val="D67C0194"/>
    <w:lvl w:ilvl="0" w:tplc="6A164328">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16cid:durableId="1860241121">
    <w:abstractNumId w:val="0"/>
  </w:num>
  <w:num w:numId="2" w16cid:durableId="476924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4457704">
    <w:abstractNumId w:val="1"/>
  </w:num>
  <w:num w:numId="4" w16cid:durableId="81599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56"/>
    <w:rsid w:val="00000851"/>
    <w:rsid w:val="00002164"/>
    <w:rsid w:val="0000298C"/>
    <w:rsid w:val="000047C1"/>
    <w:rsid w:val="00005AD5"/>
    <w:rsid w:val="0001035C"/>
    <w:rsid w:val="00011014"/>
    <w:rsid w:val="000114E0"/>
    <w:rsid w:val="000128AA"/>
    <w:rsid w:val="00015FF4"/>
    <w:rsid w:val="000162A3"/>
    <w:rsid w:val="0001788C"/>
    <w:rsid w:val="00017C54"/>
    <w:rsid w:val="00017DA3"/>
    <w:rsid w:val="00020AC7"/>
    <w:rsid w:val="00020C14"/>
    <w:rsid w:val="00021D1B"/>
    <w:rsid w:val="0002216E"/>
    <w:rsid w:val="00023CBB"/>
    <w:rsid w:val="000240BA"/>
    <w:rsid w:val="0002492A"/>
    <w:rsid w:val="000268A3"/>
    <w:rsid w:val="00026A58"/>
    <w:rsid w:val="0002731F"/>
    <w:rsid w:val="00027FA2"/>
    <w:rsid w:val="000361F9"/>
    <w:rsid w:val="00040989"/>
    <w:rsid w:val="000413D2"/>
    <w:rsid w:val="00042B16"/>
    <w:rsid w:val="000433E0"/>
    <w:rsid w:val="00052C37"/>
    <w:rsid w:val="00053C11"/>
    <w:rsid w:val="0005566A"/>
    <w:rsid w:val="00060288"/>
    <w:rsid w:val="00060E93"/>
    <w:rsid w:val="000623E1"/>
    <w:rsid w:val="00064D7E"/>
    <w:rsid w:val="00064F40"/>
    <w:rsid w:val="00071E84"/>
    <w:rsid w:val="000738EA"/>
    <w:rsid w:val="000811D0"/>
    <w:rsid w:val="00081C39"/>
    <w:rsid w:val="00082033"/>
    <w:rsid w:val="00082652"/>
    <w:rsid w:val="00083061"/>
    <w:rsid w:val="00083B9A"/>
    <w:rsid w:val="00084A08"/>
    <w:rsid w:val="0008648F"/>
    <w:rsid w:val="00087AD9"/>
    <w:rsid w:val="00090DB2"/>
    <w:rsid w:val="00092E98"/>
    <w:rsid w:val="00093CF5"/>
    <w:rsid w:val="00094E76"/>
    <w:rsid w:val="000978F1"/>
    <w:rsid w:val="000A0716"/>
    <w:rsid w:val="000A1B31"/>
    <w:rsid w:val="000A326A"/>
    <w:rsid w:val="000A62B8"/>
    <w:rsid w:val="000B1205"/>
    <w:rsid w:val="000B1D77"/>
    <w:rsid w:val="000B2E3F"/>
    <w:rsid w:val="000B34BC"/>
    <w:rsid w:val="000B3CB7"/>
    <w:rsid w:val="000B492F"/>
    <w:rsid w:val="000B5C96"/>
    <w:rsid w:val="000B6E4A"/>
    <w:rsid w:val="000C144C"/>
    <w:rsid w:val="000C4867"/>
    <w:rsid w:val="000C55D2"/>
    <w:rsid w:val="000C5646"/>
    <w:rsid w:val="000D025D"/>
    <w:rsid w:val="000D10B4"/>
    <w:rsid w:val="000D721C"/>
    <w:rsid w:val="000E1ADC"/>
    <w:rsid w:val="000F5207"/>
    <w:rsid w:val="0010088C"/>
    <w:rsid w:val="0010125A"/>
    <w:rsid w:val="0010252C"/>
    <w:rsid w:val="00104998"/>
    <w:rsid w:val="00104AA1"/>
    <w:rsid w:val="00105476"/>
    <w:rsid w:val="0011009D"/>
    <w:rsid w:val="001113D6"/>
    <w:rsid w:val="00112019"/>
    <w:rsid w:val="0011249A"/>
    <w:rsid w:val="0011465B"/>
    <w:rsid w:val="00114C29"/>
    <w:rsid w:val="001159E4"/>
    <w:rsid w:val="00117EC3"/>
    <w:rsid w:val="00120549"/>
    <w:rsid w:val="00121A43"/>
    <w:rsid w:val="00124DB7"/>
    <w:rsid w:val="00125E43"/>
    <w:rsid w:val="00126D01"/>
    <w:rsid w:val="00127098"/>
    <w:rsid w:val="001327FF"/>
    <w:rsid w:val="00132C7D"/>
    <w:rsid w:val="00133090"/>
    <w:rsid w:val="00133121"/>
    <w:rsid w:val="00142039"/>
    <w:rsid w:val="00142EDC"/>
    <w:rsid w:val="0014353C"/>
    <w:rsid w:val="00143888"/>
    <w:rsid w:val="00143F74"/>
    <w:rsid w:val="00144FC1"/>
    <w:rsid w:val="00151388"/>
    <w:rsid w:val="001515E6"/>
    <w:rsid w:val="001530E3"/>
    <w:rsid w:val="00153F7D"/>
    <w:rsid w:val="00154E75"/>
    <w:rsid w:val="001563C7"/>
    <w:rsid w:val="00157A7A"/>
    <w:rsid w:val="00161D9F"/>
    <w:rsid w:val="00161E14"/>
    <w:rsid w:val="00162AD9"/>
    <w:rsid w:val="00162D12"/>
    <w:rsid w:val="00164601"/>
    <w:rsid w:val="00165389"/>
    <w:rsid w:val="00165CE0"/>
    <w:rsid w:val="001717AC"/>
    <w:rsid w:val="00172979"/>
    <w:rsid w:val="00175B84"/>
    <w:rsid w:val="0018069F"/>
    <w:rsid w:val="00182AEE"/>
    <w:rsid w:val="001832E2"/>
    <w:rsid w:val="00184E66"/>
    <w:rsid w:val="00190145"/>
    <w:rsid w:val="00191A44"/>
    <w:rsid w:val="00193F9A"/>
    <w:rsid w:val="00195456"/>
    <w:rsid w:val="0019585E"/>
    <w:rsid w:val="001971C9"/>
    <w:rsid w:val="001A0DA5"/>
    <w:rsid w:val="001A109E"/>
    <w:rsid w:val="001A639F"/>
    <w:rsid w:val="001B24A6"/>
    <w:rsid w:val="001B5D96"/>
    <w:rsid w:val="001B6F02"/>
    <w:rsid w:val="001B7687"/>
    <w:rsid w:val="001C0133"/>
    <w:rsid w:val="001C069A"/>
    <w:rsid w:val="001C15C6"/>
    <w:rsid w:val="001D0903"/>
    <w:rsid w:val="001D0B73"/>
    <w:rsid w:val="001D1E24"/>
    <w:rsid w:val="001D2E43"/>
    <w:rsid w:val="001D3715"/>
    <w:rsid w:val="001D38F5"/>
    <w:rsid w:val="001D5799"/>
    <w:rsid w:val="001D5989"/>
    <w:rsid w:val="001D5B68"/>
    <w:rsid w:val="001D6EE0"/>
    <w:rsid w:val="001D780B"/>
    <w:rsid w:val="001E2EFC"/>
    <w:rsid w:val="001E7062"/>
    <w:rsid w:val="001F078D"/>
    <w:rsid w:val="001F08EF"/>
    <w:rsid w:val="001F13B9"/>
    <w:rsid w:val="001F1752"/>
    <w:rsid w:val="001F4DF3"/>
    <w:rsid w:val="001F56EA"/>
    <w:rsid w:val="001F5BF6"/>
    <w:rsid w:val="001F5DD9"/>
    <w:rsid w:val="001F7BDB"/>
    <w:rsid w:val="00200024"/>
    <w:rsid w:val="002010F8"/>
    <w:rsid w:val="00201E42"/>
    <w:rsid w:val="00203A46"/>
    <w:rsid w:val="00204EEF"/>
    <w:rsid w:val="0020511B"/>
    <w:rsid w:val="002054EC"/>
    <w:rsid w:val="002169C2"/>
    <w:rsid w:val="002201C2"/>
    <w:rsid w:val="002213FE"/>
    <w:rsid w:val="00221767"/>
    <w:rsid w:val="00223382"/>
    <w:rsid w:val="00226648"/>
    <w:rsid w:val="00226B63"/>
    <w:rsid w:val="00233790"/>
    <w:rsid w:val="00233BDC"/>
    <w:rsid w:val="00233F3E"/>
    <w:rsid w:val="00235346"/>
    <w:rsid w:val="00237133"/>
    <w:rsid w:val="0023735B"/>
    <w:rsid w:val="002407F1"/>
    <w:rsid w:val="00240DB9"/>
    <w:rsid w:val="002424B5"/>
    <w:rsid w:val="00246CB1"/>
    <w:rsid w:val="00250471"/>
    <w:rsid w:val="002542A0"/>
    <w:rsid w:val="00254803"/>
    <w:rsid w:val="002558A3"/>
    <w:rsid w:val="00255EBB"/>
    <w:rsid w:val="002562DE"/>
    <w:rsid w:val="00262813"/>
    <w:rsid w:val="00264C17"/>
    <w:rsid w:val="00265769"/>
    <w:rsid w:val="0026661A"/>
    <w:rsid w:val="0026766E"/>
    <w:rsid w:val="00271624"/>
    <w:rsid w:val="002806A8"/>
    <w:rsid w:val="00285485"/>
    <w:rsid w:val="00290815"/>
    <w:rsid w:val="00291512"/>
    <w:rsid w:val="0029208D"/>
    <w:rsid w:val="002932C0"/>
    <w:rsid w:val="00293470"/>
    <w:rsid w:val="002936C1"/>
    <w:rsid w:val="00296E1F"/>
    <w:rsid w:val="002A041B"/>
    <w:rsid w:val="002A1BDE"/>
    <w:rsid w:val="002A3EEC"/>
    <w:rsid w:val="002A4F71"/>
    <w:rsid w:val="002B05D4"/>
    <w:rsid w:val="002B1562"/>
    <w:rsid w:val="002B1E8C"/>
    <w:rsid w:val="002B28BC"/>
    <w:rsid w:val="002B29CC"/>
    <w:rsid w:val="002B568D"/>
    <w:rsid w:val="002B5E56"/>
    <w:rsid w:val="002B5EBC"/>
    <w:rsid w:val="002B7BC0"/>
    <w:rsid w:val="002C19AA"/>
    <w:rsid w:val="002C3022"/>
    <w:rsid w:val="002C331E"/>
    <w:rsid w:val="002C4BA3"/>
    <w:rsid w:val="002C61B7"/>
    <w:rsid w:val="002C6B2B"/>
    <w:rsid w:val="002D5FF3"/>
    <w:rsid w:val="002D6A13"/>
    <w:rsid w:val="002D710C"/>
    <w:rsid w:val="002E0448"/>
    <w:rsid w:val="002E0988"/>
    <w:rsid w:val="002E1016"/>
    <w:rsid w:val="002E161D"/>
    <w:rsid w:val="002E4326"/>
    <w:rsid w:val="002F27D1"/>
    <w:rsid w:val="002F3024"/>
    <w:rsid w:val="002F467C"/>
    <w:rsid w:val="00301584"/>
    <w:rsid w:val="00304415"/>
    <w:rsid w:val="00304D8E"/>
    <w:rsid w:val="00306A15"/>
    <w:rsid w:val="00306CB6"/>
    <w:rsid w:val="00310F23"/>
    <w:rsid w:val="0031204E"/>
    <w:rsid w:val="003125C4"/>
    <w:rsid w:val="00315A20"/>
    <w:rsid w:val="00316BFE"/>
    <w:rsid w:val="003235C9"/>
    <w:rsid w:val="00324BB6"/>
    <w:rsid w:val="003256B2"/>
    <w:rsid w:val="0033083D"/>
    <w:rsid w:val="00330EF3"/>
    <w:rsid w:val="003352A8"/>
    <w:rsid w:val="003379DC"/>
    <w:rsid w:val="00340C81"/>
    <w:rsid w:val="0034474A"/>
    <w:rsid w:val="00344BFC"/>
    <w:rsid w:val="00345039"/>
    <w:rsid w:val="00350260"/>
    <w:rsid w:val="00353A3A"/>
    <w:rsid w:val="00354DBE"/>
    <w:rsid w:val="0035521F"/>
    <w:rsid w:val="00355379"/>
    <w:rsid w:val="00361094"/>
    <w:rsid w:val="00366B93"/>
    <w:rsid w:val="0037069B"/>
    <w:rsid w:val="00371AC2"/>
    <w:rsid w:val="00373C7A"/>
    <w:rsid w:val="00376452"/>
    <w:rsid w:val="00377452"/>
    <w:rsid w:val="00377C12"/>
    <w:rsid w:val="00380028"/>
    <w:rsid w:val="003827D9"/>
    <w:rsid w:val="00393FBC"/>
    <w:rsid w:val="003955DD"/>
    <w:rsid w:val="003B0E6A"/>
    <w:rsid w:val="003B1387"/>
    <w:rsid w:val="003B1E6D"/>
    <w:rsid w:val="003B342E"/>
    <w:rsid w:val="003B49C7"/>
    <w:rsid w:val="003C2F25"/>
    <w:rsid w:val="003C37BA"/>
    <w:rsid w:val="003C4B59"/>
    <w:rsid w:val="003C58A7"/>
    <w:rsid w:val="003C65F9"/>
    <w:rsid w:val="003C7852"/>
    <w:rsid w:val="003D3228"/>
    <w:rsid w:val="003D3734"/>
    <w:rsid w:val="003D5152"/>
    <w:rsid w:val="003D5816"/>
    <w:rsid w:val="003E1AB7"/>
    <w:rsid w:val="003E4179"/>
    <w:rsid w:val="003E593C"/>
    <w:rsid w:val="003E743A"/>
    <w:rsid w:val="003F08B1"/>
    <w:rsid w:val="003F339A"/>
    <w:rsid w:val="003F3769"/>
    <w:rsid w:val="003F5314"/>
    <w:rsid w:val="003F6D84"/>
    <w:rsid w:val="00400363"/>
    <w:rsid w:val="0040050D"/>
    <w:rsid w:val="00402B53"/>
    <w:rsid w:val="00403FF6"/>
    <w:rsid w:val="004049C6"/>
    <w:rsid w:val="00407576"/>
    <w:rsid w:val="00407EF7"/>
    <w:rsid w:val="00412F42"/>
    <w:rsid w:val="00415E44"/>
    <w:rsid w:val="00416EA7"/>
    <w:rsid w:val="00416FC2"/>
    <w:rsid w:val="00417503"/>
    <w:rsid w:val="004179FB"/>
    <w:rsid w:val="004226EF"/>
    <w:rsid w:val="0042503F"/>
    <w:rsid w:val="0042579C"/>
    <w:rsid w:val="00426462"/>
    <w:rsid w:val="00431FFF"/>
    <w:rsid w:val="00434325"/>
    <w:rsid w:val="00434AF3"/>
    <w:rsid w:val="0043509F"/>
    <w:rsid w:val="004402FF"/>
    <w:rsid w:val="004416FE"/>
    <w:rsid w:val="0044269A"/>
    <w:rsid w:val="00444C00"/>
    <w:rsid w:val="00446B79"/>
    <w:rsid w:val="0044708F"/>
    <w:rsid w:val="0044765B"/>
    <w:rsid w:val="00451447"/>
    <w:rsid w:val="0045672C"/>
    <w:rsid w:val="00457D37"/>
    <w:rsid w:val="00457EB8"/>
    <w:rsid w:val="00461304"/>
    <w:rsid w:val="00461970"/>
    <w:rsid w:val="00462282"/>
    <w:rsid w:val="00464218"/>
    <w:rsid w:val="0046432C"/>
    <w:rsid w:val="00466C0C"/>
    <w:rsid w:val="00470233"/>
    <w:rsid w:val="004708FF"/>
    <w:rsid w:val="00471B72"/>
    <w:rsid w:val="00472445"/>
    <w:rsid w:val="0047369C"/>
    <w:rsid w:val="0047477B"/>
    <w:rsid w:val="00474B81"/>
    <w:rsid w:val="004762B5"/>
    <w:rsid w:val="0048058A"/>
    <w:rsid w:val="00481044"/>
    <w:rsid w:val="0048192D"/>
    <w:rsid w:val="00485B9F"/>
    <w:rsid w:val="00485F61"/>
    <w:rsid w:val="004874F7"/>
    <w:rsid w:val="004904F3"/>
    <w:rsid w:val="00491894"/>
    <w:rsid w:val="004930D1"/>
    <w:rsid w:val="004945B8"/>
    <w:rsid w:val="00494E20"/>
    <w:rsid w:val="00495E38"/>
    <w:rsid w:val="00496F55"/>
    <w:rsid w:val="004A374B"/>
    <w:rsid w:val="004A4F4F"/>
    <w:rsid w:val="004A6A93"/>
    <w:rsid w:val="004A7C94"/>
    <w:rsid w:val="004B0621"/>
    <w:rsid w:val="004B1E1B"/>
    <w:rsid w:val="004B4F68"/>
    <w:rsid w:val="004B78A2"/>
    <w:rsid w:val="004C09DD"/>
    <w:rsid w:val="004C3DEC"/>
    <w:rsid w:val="004C4688"/>
    <w:rsid w:val="004C5122"/>
    <w:rsid w:val="004C531E"/>
    <w:rsid w:val="004C5E14"/>
    <w:rsid w:val="004D1387"/>
    <w:rsid w:val="004D3BC1"/>
    <w:rsid w:val="004D4F25"/>
    <w:rsid w:val="004E0662"/>
    <w:rsid w:val="004E0CC0"/>
    <w:rsid w:val="004E14AF"/>
    <w:rsid w:val="004E260F"/>
    <w:rsid w:val="004E61D2"/>
    <w:rsid w:val="004E63DC"/>
    <w:rsid w:val="004E7ACC"/>
    <w:rsid w:val="004F022F"/>
    <w:rsid w:val="004F098E"/>
    <w:rsid w:val="004F2D35"/>
    <w:rsid w:val="004F2F49"/>
    <w:rsid w:val="004F6863"/>
    <w:rsid w:val="004F6AD8"/>
    <w:rsid w:val="00500E9E"/>
    <w:rsid w:val="00501172"/>
    <w:rsid w:val="005025C8"/>
    <w:rsid w:val="00504B31"/>
    <w:rsid w:val="00504DC9"/>
    <w:rsid w:val="00506815"/>
    <w:rsid w:val="00506A95"/>
    <w:rsid w:val="00513E96"/>
    <w:rsid w:val="0051688E"/>
    <w:rsid w:val="00517126"/>
    <w:rsid w:val="0051737B"/>
    <w:rsid w:val="00520BC1"/>
    <w:rsid w:val="005214FB"/>
    <w:rsid w:val="00521CD0"/>
    <w:rsid w:val="00527F12"/>
    <w:rsid w:val="005312A3"/>
    <w:rsid w:val="00533499"/>
    <w:rsid w:val="00533AD9"/>
    <w:rsid w:val="00534182"/>
    <w:rsid w:val="005352DA"/>
    <w:rsid w:val="005367DF"/>
    <w:rsid w:val="00536B73"/>
    <w:rsid w:val="00540B24"/>
    <w:rsid w:val="005415E8"/>
    <w:rsid w:val="00541B97"/>
    <w:rsid w:val="00544234"/>
    <w:rsid w:val="00544CAD"/>
    <w:rsid w:val="0054503A"/>
    <w:rsid w:val="00546F71"/>
    <w:rsid w:val="0054708F"/>
    <w:rsid w:val="00550870"/>
    <w:rsid w:val="005508D4"/>
    <w:rsid w:val="00551DC4"/>
    <w:rsid w:val="00552525"/>
    <w:rsid w:val="00554831"/>
    <w:rsid w:val="00554E7F"/>
    <w:rsid w:val="005617D7"/>
    <w:rsid w:val="00562090"/>
    <w:rsid w:val="00563B3D"/>
    <w:rsid w:val="00566517"/>
    <w:rsid w:val="00566C49"/>
    <w:rsid w:val="00570A66"/>
    <w:rsid w:val="00570C26"/>
    <w:rsid w:val="00571845"/>
    <w:rsid w:val="00571D67"/>
    <w:rsid w:val="0057294F"/>
    <w:rsid w:val="00575406"/>
    <w:rsid w:val="005756EE"/>
    <w:rsid w:val="00583888"/>
    <w:rsid w:val="00583DEF"/>
    <w:rsid w:val="005853E7"/>
    <w:rsid w:val="00586028"/>
    <w:rsid w:val="0059039F"/>
    <w:rsid w:val="00590911"/>
    <w:rsid w:val="00592D3A"/>
    <w:rsid w:val="005938C1"/>
    <w:rsid w:val="00595B62"/>
    <w:rsid w:val="00596DF3"/>
    <w:rsid w:val="0059774D"/>
    <w:rsid w:val="00597D80"/>
    <w:rsid w:val="005A0E33"/>
    <w:rsid w:val="005A3605"/>
    <w:rsid w:val="005A7FB5"/>
    <w:rsid w:val="005B1AB4"/>
    <w:rsid w:val="005B3190"/>
    <w:rsid w:val="005B3D19"/>
    <w:rsid w:val="005B4FD5"/>
    <w:rsid w:val="005C1725"/>
    <w:rsid w:val="005C1B5D"/>
    <w:rsid w:val="005C3A10"/>
    <w:rsid w:val="005C3FB2"/>
    <w:rsid w:val="005C5354"/>
    <w:rsid w:val="005D36C3"/>
    <w:rsid w:val="005D3B3B"/>
    <w:rsid w:val="005D40AE"/>
    <w:rsid w:val="005E0EEA"/>
    <w:rsid w:val="005E67DA"/>
    <w:rsid w:val="005F7D83"/>
    <w:rsid w:val="00600091"/>
    <w:rsid w:val="00602CEC"/>
    <w:rsid w:val="00607C27"/>
    <w:rsid w:val="00607DEF"/>
    <w:rsid w:val="00607EAF"/>
    <w:rsid w:val="00620B79"/>
    <w:rsid w:val="0062737B"/>
    <w:rsid w:val="006353D8"/>
    <w:rsid w:val="0063745A"/>
    <w:rsid w:val="0064078C"/>
    <w:rsid w:val="006415F8"/>
    <w:rsid w:val="006436D6"/>
    <w:rsid w:val="00645D82"/>
    <w:rsid w:val="00646074"/>
    <w:rsid w:val="006510BC"/>
    <w:rsid w:val="0065284B"/>
    <w:rsid w:val="006544BD"/>
    <w:rsid w:val="006547FF"/>
    <w:rsid w:val="00654DB1"/>
    <w:rsid w:val="006560B3"/>
    <w:rsid w:val="00660296"/>
    <w:rsid w:val="00665449"/>
    <w:rsid w:val="006659DB"/>
    <w:rsid w:val="00665AD5"/>
    <w:rsid w:val="00666DD8"/>
    <w:rsid w:val="006674AD"/>
    <w:rsid w:val="00671480"/>
    <w:rsid w:val="0067486D"/>
    <w:rsid w:val="006748D3"/>
    <w:rsid w:val="00677C57"/>
    <w:rsid w:val="00680413"/>
    <w:rsid w:val="00681F30"/>
    <w:rsid w:val="00682EA8"/>
    <w:rsid w:val="00683858"/>
    <w:rsid w:val="00684E73"/>
    <w:rsid w:val="00687A58"/>
    <w:rsid w:val="0069086A"/>
    <w:rsid w:val="00691528"/>
    <w:rsid w:val="006915C1"/>
    <w:rsid w:val="006919F1"/>
    <w:rsid w:val="00691D5A"/>
    <w:rsid w:val="00692785"/>
    <w:rsid w:val="00695EFC"/>
    <w:rsid w:val="00696756"/>
    <w:rsid w:val="00696783"/>
    <w:rsid w:val="00696CAA"/>
    <w:rsid w:val="00697DA0"/>
    <w:rsid w:val="00697E98"/>
    <w:rsid w:val="006A0D59"/>
    <w:rsid w:val="006A588F"/>
    <w:rsid w:val="006B3171"/>
    <w:rsid w:val="006B687F"/>
    <w:rsid w:val="006C0CC8"/>
    <w:rsid w:val="006C0EAA"/>
    <w:rsid w:val="006C23AC"/>
    <w:rsid w:val="006C2659"/>
    <w:rsid w:val="006C2B1D"/>
    <w:rsid w:val="006C52A0"/>
    <w:rsid w:val="006D2A97"/>
    <w:rsid w:val="006D3437"/>
    <w:rsid w:val="006D6F30"/>
    <w:rsid w:val="006E1D47"/>
    <w:rsid w:val="006E1F24"/>
    <w:rsid w:val="006E2245"/>
    <w:rsid w:val="006E2CCD"/>
    <w:rsid w:val="006E57FE"/>
    <w:rsid w:val="006E7878"/>
    <w:rsid w:val="006F1A51"/>
    <w:rsid w:val="006F20AA"/>
    <w:rsid w:val="006F45B3"/>
    <w:rsid w:val="006F5492"/>
    <w:rsid w:val="00701D2B"/>
    <w:rsid w:val="007025FD"/>
    <w:rsid w:val="007049E2"/>
    <w:rsid w:val="00704CE2"/>
    <w:rsid w:val="00705D44"/>
    <w:rsid w:val="00706FA1"/>
    <w:rsid w:val="00710DA1"/>
    <w:rsid w:val="00711165"/>
    <w:rsid w:val="007112D0"/>
    <w:rsid w:val="00711A84"/>
    <w:rsid w:val="0071590B"/>
    <w:rsid w:val="007175B4"/>
    <w:rsid w:val="00720B9F"/>
    <w:rsid w:val="007301E0"/>
    <w:rsid w:val="0073058D"/>
    <w:rsid w:val="007331E3"/>
    <w:rsid w:val="00733E60"/>
    <w:rsid w:val="007342FF"/>
    <w:rsid w:val="00735B3B"/>
    <w:rsid w:val="00735FA4"/>
    <w:rsid w:val="0073667A"/>
    <w:rsid w:val="00736CDA"/>
    <w:rsid w:val="0074076D"/>
    <w:rsid w:val="00740AF5"/>
    <w:rsid w:val="00743788"/>
    <w:rsid w:val="00744123"/>
    <w:rsid w:val="007448FA"/>
    <w:rsid w:val="00745FBE"/>
    <w:rsid w:val="00746247"/>
    <w:rsid w:val="00755C03"/>
    <w:rsid w:val="007563E5"/>
    <w:rsid w:val="00756827"/>
    <w:rsid w:val="00756F58"/>
    <w:rsid w:val="00760DBC"/>
    <w:rsid w:val="00761CE8"/>
    <w:rsid w:val="00761DF0"/>
    <w:rsid w:val="00762680"/>
    <w:rsid w:val="00771658"/>
    <w:rsid w:val="00774864"/>
    <w:rsid w:val="007816BA"/>
    <w:rsid w:val="00781ADB"/>
    <w:rsid w:val="00795A16"/>
    <w:rsid w:val="00797538"/>
    <w:rsid w:val="007A30C6"/>
    <w:rsid w:val="007A5BD3"/>
    <w:rsid w:val="007A7DBB"/>
    <w:rsid w:val="007B0C72"/>
    <w:rsid w:val="007B28A4"/>
    <w:rsid w:val="007B4E3B"/>
    <w:rsid w:val="007B51B8"/>
    <w:rsid w:val="007B69CF"/>
    <w:rsid w:val="007B6F31"/>
    <w:rsid w:val="007B744A"/>
    <w:rsid w:val="007C07AA"/>
    <w:rsid w:val="007C0E2A"/>
    <w:rsid w:val="007C0FEA"/>
    <w:rsid w:val="007C1E7E"/>
    <w:rsid w:val="007C406C"/>
    <w:rsid w:val="007C41E2"/>
    <w:rsid w:val="007C422C"/>
    <w:rsid w:val="007C5139"/>
    <w:rsid w:val="007D036A"/>
    <w:rsid w:val="007D1FDC"/>
    <w:rsid w:val="007D24C2"/>
    <w:rsid w:val="007D329B"/>
    <w:rsid w:val="007D4DF0"/>
    <w:rsid w:val="007D5238"/>
    <w:rsid w:val="007D555C"/>
    <w:rsid w:val="007E06FA"/>
    <w:rsid w:val="007E0925"/>
    <w:rsid w:val="007E6953"/>
    <w:rsid w:val="007E7DB9"/>
    <w:rsid w:val="007E7DEA"/>
    <w:rsid w:val="007F1965"/>
    <w:rsid w:val="007F19FE"/>
    <w:rsid w:val="007F341C"/>
    <w:rsid w:val="007F4123"/>
    <w:rsid w:val="007F47A8"/>
    <w:rsid w:val="007F4BA1"/>
    <w:rsid w:val="007F4FFE"/>
    <w:rsid w:val="007F62FD"/>
    <w:rsid w:val="007F7A87"/>
    <w:rsid w:val="008003FA"/>
    <w:rsid w:val="00803ABE"/>
    <w:rsid w:val="0080632B"/>
    <w:rsid w:val="00811E1E"/>
    <w:rsid w:val="00812099"/>
    <w:rsid w:val="00812E83"/>
    <w:rsid w:val="00813091"/>
    <w:rsid w:val="0081312B"/>
    <w:rsid w:val="0081327D"/>
    <w:rsid w:val="008136B3"/>
    <w:rsid w:val="008144DC"/>
    <w:rsid w:val="00814606"/>
    <w:rsid w:val="00814768"/>
    <w:rsid w:val="0081516D"/>
    <w:rsid w:val="00816130"/>
    <w:rsid w:val="00817130"/>
    <w:rsid w:val="00824B8C"/>
    <w:rsid w:val="0082609A"/>
    <w:rsid w:val="008276AA"/>
    <w:rsid w:val="008278B8"/>
    <w:rsid w:val="008325D4"/>
    <w:rsid w:val="00834C50"/>
    <w:rsid w:val="00835A57"/>
    <w:rsid w:val="00835D46"/>
    <w:rsid w:val="00836D37"/>
    <w:rsid w:val="008400E5"/>
    <w:rsid w:val="008402FD"/>
    <w:rsid w:val="008424EB"/>
    <w:rsid w:val="0084415A"/>
    <w:rsid w:val="00845830"/>
    <w:rsid w:val="008469FB"/>
    <w:rsid w:val="00847413"/>
    <w:rsid w:val="0085067E"/>
    <w:rsid w:val="008508B7"/>
    <w:rsid w:val="0085310C"/>
    <w:rsid w:val="00854618"/>
    <w:rsid w:val="008556B2"/>
    <w:rsid w:val="00855D1C"/>
    <w:rsid w:val="00855E8B"/>
    <w:rsid w:val="00856DBD"/>
    <w:rsid w:val="008621BA"/>
    <w:rsid w:val="008628C1"/>
    <w:rsid w:val="00863FF1"/>
    <w:rsid w:val="00864BE8"/>
    <w:rsid w:val="00865025"/>
    <w:rsid w:val="00865627"/>
    <w:rsid w:val="00865986"/>
    <w:rsid w:val="00870C70"/>
    <w:rsid w:val="008733CA"/>
    <w:rsid w:val="0087382D"/>
    <w:rsid w:val="00873C21"/>
    <w:rsid w:val="008741DC"/>
    <w:rsid w:val="0087432B"/>
    <w:rsid w:val="00874A0A"/>
    <w:rsid w:val="00874A74"/>
    <w:rsid w:val="008755BF"/>
    <w:rsid w:val="00875B5D"/>
    <w:rsid w:val="008803EE"/>
    <w:rsid w:val="00880B8F"/>
    <w:rsid w:val="0088196C"/>
    <w:rsid w:val="00884834"/>
    <w:rsid w:val="00884AF6"/>
    <w:rsid w:val="00885397"/>
    <w:rsid w:val="00885BA5"/>
    <w:rsid w:val="00886FD7"/>
    <w:rsid w:val="0089461A"/>
    <w:rsid w:val="00894852"/>
    <w:rsid w:val="00896AF7"/>
    <w:rsid w:val="00897497"/>
    <w:rsid w:val="008977C0"/>
    <w:rsid w:val="008A219A"/>
    <w:rsid w:val="008A283E"/>
    <w:rsid w:val="008A3AC4"/>
    <w:rsid w:val="008A3EBF"/>
    <w:rsid w:val="008A6DDD"/>
    <w:rsid w:val="008A7764"/>
    <w:rsid w:val="008B037C"/>
    <w:rsid w:val="008B17BD"/>
    <w:rsid w:val="008B3A11"/>
    <w:rsid w:val="008B5395"/>
    <w:rsid w:val="008B53E1"/>
    <w:rsid w:val="008B556E"/>
    <w:rsid w:val="008B7641"/>
    <w:rsid w:val="008C1673"/>
    <w:rsid w:val="008C5DC4"/>
    <w:rsid w:val="008C6176"/>
    <w:rsid w:val="008C73CA"/>
    <w:rsid w:val="008C79CB"/>
    <w:rsid w:val="008D3932"/>
    <w:rsid w:val="008D4D77"/>
    <w:rsid w:val="008D6861"/>
    <w:rsid w:val="008D6D81"/>
    <w:rsid w:val="008E13AA"/>
    <w:rsid w:val="008E13F7"/>
    <w:rsid w:val="008E636E"/>
    <w:rsid w:val="008E63CE"/>
    <w:rsid w:val="008E702A"/>
    <w:rsid w:val="008E71B3"/>
    <w:rsid w:val="008E73CF"/>
    <w:rsid w:val="008E762A"/>
    <w:rsid w:val="008F16D9"/>
    <w:rsid w:val="008F4D5E"/>
    <w:rsid w:val="008F5D5E"/>
    <w:rsid w:val="008F5F37"/>
    <w:rsid w:val="008F717B"/>
    <w:rsid w:val="008F7818"/>
    <w:rsid w:val="008F7D57"/>
    <w:rsid w:val="00900191"/>
    <w:rsid w:val="009010D6"/>
    <w:rsid w:val="00901BB5"/>
    <w:rsid w:val="00901D65"/>
    <w:rsid w:val="00902C60"/>
    <w:rsid w:val="00903632"/>
    <w:rsid w:val="0090578E"/>
    <w:rsid w:val="0090690E"/>
    <w:rsid w:val="00911131"/>
    <w:rsid w:val="00911C8B"/>
    <w:rsid w:val="00912EDB"/>
    <w:rsid w:val="00914988"/>
    <w:rsid w:val="0091532C"/>
    <w:rsid w:val="009176AC"/>
    <w:rsid w:val="00920084"/>
    <w:rsid w:val="00921014"/>
    <w:rsid w:val="009231F5"/>
    <w:rsid w:val="00924EC2"/>
    <w:rsid w:val="00933799"/>
    <w:rsid w:val="00933C1C"/>
    <w:rsid w:val="00934CF8"/>
    <w:rsid w:val="009365A1"/>
    <w:rsid w:val="00940404"/>
    <w:rsid w:val="009410C4"/>
    <w:rsid w:val="00941A46"/>
    <w:rsid w:val="009430DA"/>
    <w:rsid w:val="0094486C"/>
    <w:rsid w:val="00947BFF"/>
    <w:rsid w:val="00954864"/>
    <w:rsid w:val="009620D1"/>
    <w:rsid w:val="00965CA9"/>
    <w:rsid w:val="00970C3C"/>
    <w:rsid w:val="00971C2D"/>
    <w:rsid w:val="009721A7"/>
    <w:rsid w:val="0097700A"/>
    <w:rsid w:val="0098097A"/>
    <w:rsid w:val="00983DB5"/>
    <w:rsid w:val="00990C56"/>
    <w:rsid w:val="00991B75"/>
    <w:rsid w:val="00994136"/>
    <w:rsid w:val="00994837"/>
    <w:rsid w:val="009978CF"/>
    <w:rsid w:val="009A1D30"/>
    <w:rsid w:val="009A35D0"/>
    <w:rsid w:val="009A76FC"/>
    <w:rsid w:val="009B1420"/>
    <w:rsid w:val="009B5A35"/>
    <w:rsid w:val="009B5E83"/>
    <w:rsid w:val="009B62D6"/>
    <w:rsid w:val="009C0BCD"/>
    <w:rsid w:val="009C1AE9"/>
    <w:rsid w:val="009C6A08"/>
    <w:rsid w:val="009C6D39"/>
    <w:rsid w:val="009C7ADC"/>
    <w:rsid w:val="009D0AF0"/>
    <w:rsid w:val="009D1FF3"/>
    <w:rsid w:val="009D3C36"/>
    <w:rsid w:val="009D60A0"/>
    <w:rsid w:val="009E28DE"/>
    <w:rsid w:val="009E5053"/>
    <w:rsid w:val="009E5CEE"/>
    <w:rsid w:val="009F0CC0"/>
    <w:rsid w:val="009F0E0B"/>
    <w:rsid w:val="009F1061"/>
    <w:rsid w:val="009F1719"/>
    <w:rsid w:val="009F5DD6"/>
    <w:rsid w:val="00A00520"/>
    <w:rsid w:val="00A01EC2"/>
    <w:rsid w:val="00A0362A"/>
    <w:rsid w:val="00A044E8"/>
    <w:rsid w:val="00A05ACA"/>
    <w:rsid w:val="00A060D7"/>
    <w:rsid w:val="00A104E7"/>
    <w:rsid w:val="00A11020"/>
    <w:rsid w:val="00A13825"/>
    <w:rsid w:val="00A156EC"/>
    <w:rsid w:val="00A200B7"/>
    <w:rsid w:val="00A20663"/>
    <w:rsid w:val="00A21135"/>
    <w:rsid w:val="00A23651"/>
    <w:rsid w:val="00A237FC"/>
    <w:rsid w:val="00A24EBD"/>
    <w:rsid w:val="00A252BF"/>
    <w:rsid w:val="00A25A2E"/>
    <w:rsid w:val="00A26EB4"/>
    <w:rsid w:val="00A2744F"/>
    <w:rsid w:val="00A31065"/>
    <w:rsid w:val="00A3179F"/>
    <w:rsid w:val="00A33EDA"/>
    <w:rsid w:val="00A346E4"/>
    <w:rsid w:val="00A34C3D"/>
    <w:rsid w:val="00A35245"/>
    <w:rsid w:val="00A4062D"/>
    <w:rsid w:val="00A42488"/>
    <w:rsid w:val="00A45EF3"/>
    <w:rsid w:val="00A475C4"/>
    <w:rsid w:val="00A5215F"/>
    <w:rsid w:val="00A55110"/>
    <w:rsid w:val="00A5772D"/>
    <w:rsid w:val="00A57FB2"/>
    <w:rsid w:val="00A60AB3"/>
    <w:rsid w:val="00A62777"/>
    <w:rsid w:val="00A64646"/>
    <w:rsid w:val="00A64F49"/>
    <w:rsid w:val="00A75C07"/>
    <w:rsid w:val="00A76B83"/>
    <w:rsid w:val="00A813F3"/>
    <w:rsid w:val="00A8227F"/>
    <w:rsid w:val="00A823C7"/>
    <w:rsid w:val="00A86EC0"/>
    <w:rsid w:val="00A91674"/>
    <w:rsid w:val="00A92670"/>
    <w:rsid w:val="00A93C27"/>
    <w:rsid w:val="00A95F9A"/>
    <w:rsid w:val="00AA0203"/>
    <w:rsid w:val="00AA1727"/>
    <w:rsid w:val="00AA4751"/>
    <w:rsid w:val="00AA49A7"/>
    <w:rsid w:val="00AA5366"/>
    <w:rsid w:val="00AA7A3A"/>
    <w:rsid w:val="00AB295B"/>
    <w:rsid w:val="00AB2C8F"/>
    <w:rsid w:val="00AB45CF"/>
    <w:rsid w:val="00AB4C10"/>
    <w:rsid w:val="00AB6205"/>
    <w:rsid w:val="00AB6474"/>
    <w:rsid w:val="00AB681D"/>
    <w:rsid w:val="00AB6E02"/>
    <w:rsid w:val="00AC20F0"/>
    <w:rsid w:val="00AC3BD3"/>
    <w:rsid w:val="00AC4D5D"/>
    <w:rsid w:val="00AC5C42"/>
    <w:rsid w:val="00AC6769"/>
    <w:rsid w:val="00AC6A1D"/>
    <w:rsid w:val="00AD1BB2"/>
    <w:rsid w:val="00AD36BE"/>
    <w:rsid w:val="00AD36C9"/>
    <w:rsid w:val="00AD4906"/>
    <w:rsid w:val="00AD5B53"/>
    <w:rsid w:val="00AD69D3"/>
    <w:rsid w:val="00AE1CD4"/>
    <w:rsid w:val="00AE2C67"/>
    <w:rsid w:val="00AF215A"/>
    <w:rsid w:val="00AF2849"/>
    <w:rsid w:val="00AF3F3B"/>
    <w:rsid w:val="00AF596F"/>
    <w:rsid w:val="00AF7FBB"/>
    <w:rsid w:val="00B010E1"/>
    <w:rsid w:val="00B01736"/>
    <w:rsid w:val="00B04989"/>
    <w:rsid w:val="00B0608B"/>
    <w:rsid w:val="00B128CE"/>
    <w:rsid w:val="00B13170"/>
    <w:rsid w:val="00B1332F"/>
    <w:rsid w:val="00B140A4"/>
    <w:rsid w:val="00B14CA7"/>
    <w:rsid w:val="00B15226"/>
    <w:rsid w:val="00B172AB"/>
    <w:rsid w:val="00B174B1"/>
    <w:rsid w:val="00B1792A"/>
    <w:rsid w:val="00B228EE"/>
    <w:rsid w:val="00B22E09"/>
    <w:rsid w:val="00B256F1"/>
    <w:rsid w:val="00B2584D"/>
    <w:rsid w:val="00B270CE"/>
    <w:rsid w:val="00B3170D"/>
    <w:rsid w:val="00B32519"/>
    <w:rsid w:val="00B32C20"/>
    <w:rsid w:val="00B3652B"/>
    <w:rsid w:val="00B36D8F"/>
    <w:rsid w:val="00B401E5"/>
    <w:rsid w:val="00B404B5"/>
    <w:rsid w:val="00B41803"/>
    <w:rsid w:val="00B419C2"/>
    <w:rsid w:val="00B41C61"/>
    <w:rsid w:val="00B4211D"/>
    <w:rsid w:val="00B459EF"/>
    <w:rsid w:val="00B4716D"/>
    <w:rsid w:val="00B47899"/>
    <w:rsid w:val="00B47F6A"/>
    <w:rsid w:val="00B53A3E"/>
    <w:rsid w:val="00B55100"/>
    <w:rsid w:val="00B57DF2"/>
    <w:rsid w:val="00B61A6C"/>
    <w:rsid w:val="00B6229A"/>
    <w:rsid w:val="00B62658"/>
    <w:rsid w:val="00B63AC5"/>
    <w:rsid w:val="00B6592B"/>
    <w:rsid w:val="00B67099"/>
    <w:rsid w:val="00B6740D"/>
    <w:rsid w:val="00B72927"/>
    <w:rsid w:val="00B74DB9"/>
    <w:rsid w:val="00B8047F"/>
    <w:rsid w:val="00B81B67"/>
    <w:rsid w:val="00B82042"/>
    <w:rsid w:val="00B82366"/>
    <w:rsid w:val="00B82848"/>
    <w:rsid w:val="00B83DB7"/>
    <w:rsid w:val="00B85022"/>
    <w:rsid w:val="00B8596A"/>
    <w:rsid w:val="00B87324"/>
    <w:rsid w:val="00B910BC"/>
    <w:rsid w:val="00B9191F"/>
    <w:rsid w:val="00B926D8"/>
    <w:rsid w:val="00B927B5"/>
    <w:rsid w:val="00B927EB"/>
    <w:rsid w:val="00B93094"/>
    <w:rsid w:val="00B952F9"/>
    <w:rsid w:val="00B96170"/>
    <w:rsid w:val="00B97D97"/>
    <w:rsid w:val="00BA0860"/>
    <w:rsid w:val="00BA6A42"/>
    <w:rsid w:val="00BB0A7A"/>
    <w:rsid w:val="00BB36D7"/>
    <w:rsid w:val="00BB5E1B"/>
    <w:rsid w:val="00BC16B3"/>
    <w:rsid w:val="00BC2013"/>
    <w:rsid w:val="00BC4F9E"/>
    <w:rsid w:val="00BD01B4"/>
    <w:rsid w:val="00BD0E74"/>
    <w:rsid w:val="00BD2070"/>
    <w:rsid w:val="00BD25F6"/>
    <w:rsid w:val="00BD59B9"/>
    <w:rsid w:val="00BD78CA"/>
    <w:rsid w:val="00BD7EF2"/>
    <w:rsid w:val="00BE03C1"/>
    <w:rsid w:val="00BE19C0"/>
    <w:rsid w:val="00BE2D7E"/>
    <w:rsid w:val="00BE2FE8"/>
    <w:rsid w:val="00BE378D"/>
    <w:rsid w:val="00BE3EE4"/>
    <w:rsid w:val="00BE4BB0"/>
    <w:rsid w:val="00BE6A13"/>
    <w:rsid w:val="00BE7350"/>
    <w:rsid w:val="00BF21F8"/>
    <w:rsid w:val="00BF26CA"/>
    <w:rsid w:val="00BF3A38"/>
    <w:rsid w:val="00BF3A86"/>
    <w:rsid w:val="00BF4A56"/>
    <w:rsid w:val="00BF7957"/>
    <w:rsid w:val="00C00AC8"/>
    <w:rsid w:val="00C02A3E"/>
    <w:rsid w:val="00C046B9"/>
    <w:rsid w:val="00C05619"/>
    <w:rsid w:val="00C05EE5"/>
    <w:rsid w:val="00C07681"/>
    <w:rsid w:val="00C07E8A"/>
    <w:rsid w:val="00C12029"/>
    <w:rsid w:val="00C12F47"/>
    <w:rsid w:val="00C152C3"/>
    <w:rsid w:val="00C1534E"/>
    <w:rsid w:val="00C15D5A"/>
    <w:rsid w:val="00C21435"/>
    <w:rsid w:val="00C2241F"/>
    <w:rsid w:val="00C25821"/>
    <w:rsid w:val="00C27F56"/>
    <w:rsid w:val="00C305BD"/>
    <w:rsid w:val="00C30763"/>
    <w:rsid w:val="00C32E6A"/>
    <w:rsid w:val="00C36CA2"/>
    <w:rsid w:val="00C4087B"/>
    <w:rsid w:val="00C41B8D"/>
    <w:rsid w:val="00C42518"/>
    <w:rsid w:val="00C42FAA"/>
    <w:rsid w:val="00C447F2"/>
    <w:rsid w:val="00C4480B"/>
    <w:rsid w:val="00C45A4A"/>
    <w:rsid w:val="00C47537"/>
    <w:rsid w:val="00C47B65"/>
    <w:rsid w:val="00C47C9C"/>
    <w:rsid w:val="00C47F22"/>
    <w:rsid w:val="00C5093E"/>
    <w:rsid w:val="00C522B1"/>
    <w:rsid w:val="00C529F0"/>
    <w:rsid w:val="00C52FA4"/>
    <w:rsid w:val="00C5362F"/>
    <w:rsid w:val="00C5421F"/>
    <w:rsid w:val="00C60459"/>
    <w:rsid w:val="00C604F4"/>
    <w:rsid w:val="00C60E25"/>
    <w:rsid w:val="00C62A76"/>
    <w:rsid w:val="00C63D14"/>
    <w:rsid w:val="00C6423C"/>
    <w:rsid w:val="00C6611B"/>
    <w:rsid w:val="00C6672C"/>
    <w:rsid w:val="00C6686C"/>
    <w:rsid w:val="00C67EA6"/>
    <w:rsid w:val="00C70492"/>
    <w:rsid w:val="00C76479"/>
    <w:rsid w:val="00C779E2"/>
    <w:rsid w:val="00C804A2"/>
    <w:rsid w:val="00C80F61"/>
    <w:rsid w:val="00C81982"/>
    <w:rsid w:val="00C81FDC"/>
    <w:rsid w:val="00C86122"/>
    <w:rsid w:val="00C86DFB"/>
    <w:rsid w:val="00C87815"/>
    <w:rsid w:val="00C9079E"/>
    <w:rsid w:val="00C908E5"/>
    <w:rsid w:val="00C90982"/>
    <w:rsid w:val="00C91EDF"/>
    <w:rsid w:val="00C9706E"/>
    <w:rsid w:val="00CA049B"/>
    <w:rsid w:val="00CA1455"/>
    <w:rsid w:val="00CA1BDF"/>
    <w:rsid w:val="00CA35EA"/>
    <w:rsid w:val="00CA4912"/>
    <w:rsid w:val="00CB287B"/>
    <w:rsid w:val="00CB3AAC"/>
    <w:rsid w:val="00CB4D46"/>
    <w:rsid w:val="00CB4FFB"/>
    <w:rsid w:val="00CB6248"/>
    <w:rsid w:val="00CB67F7"/>
    <w:rsid w:val="00CB6984"/>
    <w:rsid w:val="00CB7290"/>
    <w:rsid w:val="00CB7770"/>
    <w:rsid w:val="00CC02BD"/>
    <w:rsid w:val="00CC25B8"/>
    <w:rsid w:val="00CC2BF8"/>
    <w:rsid w:val="00CC2F12"/>
    <w:rsid w:val="00CC4879"/>
    <w:rsid w:val="00CC50CC"/>
    <w:rsid w:val="00CC738F"/>
    <w:rsid w:val="00CD325F"/>
    <w:rsid w:val="00CD45FD"/>
    <w:rsid w:val="00CD46B1"/>
    <w:rsid w:val="00CD610D"/>
    <w:rsid w:val="00CD638E"/>
    <w:rsid w:val="00CD6CEE"/>
    <w:rsid w:val="00CD6DC2"/>
    <w:rsid w:val="00CE0FC0"/>
    <w:rsid w:val="00CE368A"/>
    <w:rsid w:val="00CE5C26"/>
    <w:rsid w:val="00CF05ED"/>
    <w:rsid w:val="00CF24D1"/>
    <w:rsid w:val="00CF2D53"/>
    <w:rsid w:val="00CF4803"/>
    <w:rsid w:val="00CF50AC"/>
    <w:rsid w:val="00CF61D7"/>
    <w:rsid w:val="00CF6665"/>
    <w:rsid w:val="00CF6D67"/>
    <w:rsid w:val="00D02F2C"/>
    <w:rsid w:val="00D05323"/>
    <w:rsid w:val="00D063DC"/>
    <w:rsid w:val="00D06BDB"/>
    <w:rsid w:val="00D072AB"/>
    <w:rsid w:val="00D13D80"/>
    <w:rsid w:val="00D213FA"/>
    <w:rsid w:val="00D2690E"/>
    <w:rsid w:val="00D27CAA"/>
    <w:rsid w:val="00D3051D"/>
    <w:rsid w:val="00D309D4"/>
    <w:rsid w:val="00D31F3B"/>
    <w:rsid w:val="00D36985"/>
    <w:rsid w:val="00D411A8"/>
    <w:rsid w:val="00D4298F"/>
    <w:rsid w:val="00D42F15"/>
    <w:rsid w:val="00D43438"/>
    <w:rsid w:val="00D4414F"/>
    <w:rsid w:val="00D45B2E"/>
    <w:rsid w:val="00D46459"/>
    <w:rsid w:val="00D479AC"/>
    <w:rsid w:val="00D520D3"/>
    <w:rsid w:val="00D52DD7"/>
    <w:rsid w:val="00D52F7F"/>
    <w:rsid w:val="00D53C3F"/>
    <w:rsid w:val="00D53ECA"/>
    <w:rsid w:val="00D56D4E"/>
    <w:rsid w:val="00D57B5C"/>
    <w:rsid w:val="00D6057C"/>
    <w:rsid w:val="00D60790"/>
    <w:rsid w:val="00D61806"/>
    <w:rsid w:val="00D61D11"/>
    <w:rsid w:val="00D62156"/>
    <w:rsid w:val="00D62C56"/>
    <w:rsid w:val="00D66115"/>
    <w:rsid w:val="00D66E68"/>
    <w:rsid w:val="00D670DF"/>
    <w:rsid w:val="00D71C66"/>
    <w:rsid w:val="00D71D9D"/>
    <w:rsid w:val="00D72F9F"/>
    <w:rsid w:val="00D73191"/>
    <w:rsid w:val="00D749DE"/>
    <w:rsid w:val="00D76559"/>
    <w:rsid w:val="00D77A9F"/>
    <w:rsid w:val="00D80900"/>
    <w:rsid w:val="00D81D97"/>
    <w:rsid w:val="00D82557"/>
    <w:rsid w:val="00D83021"/>
    <w:rsid w:val="00D838F6"/>
    <w:rsid w:val="00D84C2B"/>
    <w:rsid w:val="00D86BA8"/>
    <w:rsid w:val="00D87247"/>
    <w:rsid w:val="00D87513"/>
    <w:rsid w:val="00D87E97"/>
    <w:rsid w:val="00D94936"/>
    <w:rsid w:val="00D950B6"/>
    <w:rsid w:val="00D961A6"/>
    <w:rsid w:val="00D9662B"/>
    <w:rsid w:val="00D97833"/>
    <w:rsid w:val="00D97C6A"/>
    <w:rsid w:val="00DA30A6"/>
    <w:rsid w:val="00DA417D"/>
    <w:rsid w:val="00DA42DE"/>
    <w:rsid w:val="00DA483C"/>
    <w:rsid w:val="00DA5A37"/>
    <w:rsid w:val="00DA6A03"/>
    <w:rsid w:val="00DA6C6B"/>
    <w:rsid w:val="00DB0C0A"/>
    <w:rsid w:val="00DB2997"/>
    <w:rsid w:val="00DB3E88"/>
    <w:rsid w:val="00DB4E07"/>
    <w:rsid w:val="00DB4F0F"/>
    <w:rsid w:val="00DC0152"/>
    <w:rsid w:val="00DC1102"/>
    <w:rsid w:val="00DC13A1"/>
    <w:rsid w:val="00DC1CD2"/>
    <w:rsid w:val="00DC68EB"/>
    <w:rsid w:val="00DD0B84"/>
    <w:rsid w:val="00DD2BD7"/>
    <w:rsid w:val="00DE06D3"/>
    <w:rsid w:val="00DE0E28"/>
    <w:rsid w:val="00DE5245"/>
    <w:rsid w:val="00DF04CB"/>
    <w:rsid w:val="00DF0834"/>
    <w:rsid w:val="00DF083C"/>
    <w:rsid w:val="00DF2921"/>
    <w:rsid w:val="00DF5993"/>
    <w:rsid w:val="00DF618A"/>
    <w:rsid w:val="00DF6A05"/>
    <w:rsid w:val="00DF7A93"/>
    <w:rsid w:val="00E011E9"/>
    <w:rsid w:val="00E0365F"/>
    <w:rsid w:val="00E04177"/>
    <w:rsid w:val="00E04D21"/>
    <w:rsid w:val="00E04F0D"/>
    <w:rsid w:val="00E07644"/>
    <w:rsid w:val="00E10A4A"/>
    <w:rsid w:val="00E11D87"/>
    <w:rsid w:val="00E129AE"/>
    <w:rsid w:val="00E13260"/>
    <w:rsid w:val="00E1643B"/>
    <w:rsid w:val="00E17882"/>
    <w:rsid w:val="00E21453"/>
    <w:rsid w:val="00E2220F"/>
    <w:rsid w:val="00E27CFA"/>
    <w:rsid w:val="00E35EA2"/>
    <w:rsid w:val="00E36751"/>
    <w:rsid w:val="00E37CFB"/>
    <w:rsid w:val="00E407C0"/>
    <w:rsid w:val="00E42A54"/>
    <w:rsid w:val="00E4308F"/>
    <w:rsid w:val="00E436F8"/>
    <w:rsid w:val="00E439E9"/>
    <w:rsid w:val="00E45B05"/>
    <w:rsid w:val="00E461AA"/>
    <w:rsid w:val="00E46A7D"/>
    <w:rsid w:val="00E5065B"/>
    <w:rsid w:val="00E52013"/>
    <w:rsid w:val="00E53E11"/>
    <w:rsid w:val="00E57E9F"/>
    <w:rsid w:val="00E60371"/>
    <w:rsid w:val="00E61E8B"/>
    <w:rsid w:val="00E622A1"/>
    <w:rsid w:val="00E62D7C"/>
    <w:rsid w:val="00E63832"/>
    <w:rsid w:val="00E64E79"/>
    <w:rsid w:val="00E66DF0"/>
    <w:rsid w:val="00E67B49"/>
    <w:rsid w:val="00E7007F"/>
    <w:rsid w:val="00E700FC"/>
    <w:rsid w:val="00E70C0A"/>
    <w:rsid w:val="00E70C1A"/>
    <w:rsid w:val="00E74447"/>
    <w:rsid w:val="00E80125"/>
    <w:rsid w:val="00E8099F"/>
    <w:rsid w:val="00E834F8"/>
    <w:rsid w:val="00E84B4C"/>
    <w:rsid w:val="00E85A60"/>
    <w:rsid w:val="00E87D40"/>
    <w:rsid w:val="00E90AEE"/>
    <w:rsid w:val="00E9186B"/>
    <w:rsid w:val="00E977D9"/>
    <w:rsid w:val="00EA0493"/>
    <w:rsid w:val="00EA3043"/>
    <w:rsid w:val="00EA317A"/>
    <w:rsid w:val="00EA3B07"/>
    <w:rsid w:val="00EA4D64"/>
    <w:rsid w:val="00EA521C"/>
    <w:rsid w:val="00EA7050"/>
    <w:rsid w:val="00EA747D"/>
    <w:rsid w:val="00EA7711"/>
    <w:rsid w:val="00EB0AF3"/>
    <w:rsid w:val="00EB35B7"/>
    <w:rsid w:val="00EB3914"/>
    <w:rsid w:val="00EB59BC"/>
    <w:rsid w:val="00EB627F"/>
    <w:rsid w:val="00EB6C61"/>
    <w:rsid w:val="00EC2499"/>
    <w:rsid w:val="00EC45E7"/>
    <w:rsid w:val="00EC4B8F"/>
    <w:rsid w:val="00EC72C2"/>
    <w:rsid w:val="00EC76BF"/>
    <w:rsid w:val="00ED019F"/>
    <w:rsid w:val="00ED2469"/>
    <w:rsid w:val="00ED5627"/>
    <w:rsid w:val="00EF1127"/>
    <w:rsid w:val="00EF118D"/>
    <w:rsid w:val="00EF1FB1"/>
    <w:rsid w:val="00EF314F"/>
    <w:rsid w:val="00EF3F11"/>
    <w:rsid w:val="00EF4036"/>
    <w:rsid w:val="00EF4DF5"/>
    <w:rsid w:val="00EF5889"/>
    <w:rsid w:val="00EF599E"/>
    <w:rsid w:val="00EF5A1E"/>
    <w:rsid w:val="00EF5D58"/>
    <w:rsid w:val="00EF66F3"/>
    <w:rsid w:val="00F025EA"/>
    <w:rsid w:val="00F03769"/>
    <w:rsid w:val="00F04BF7"/>
    <w:rsid w:val="00F050AA"/>
    <w:rsid w:val="00F05D2B"/>
    <w:rsid w:val="00F06614"/>
    <w:rsid w:val="00F06BB1"/>
    <w:rsid w:val="00F07101"/>
    <w:rsid w:val="00F102D2"/>
    <w:rsid w:val="00F10996"/>
    <w:rsid w:val="00F10E8F"/>
    <w:rsid w:val="00F205FF"/>
    <w:rsid w:val="00F2289D"/>
    <w:rsid w:val="00F241B3"/>
    <w:rsid w:val="00F254EF"/>
    <w:rsid w:val="00F3246C"/>
    <w:rsid w:val="00F32482"/>
    <w:rsid w:val="00F3436B"/>
    <w:rsid w:val="00F35638"/>
    <w:rsid w:val="00F372DE"/>
    <w:rsid w:val="00F43481"/>
    <w:rsid w:val="00F46DB9"/>
    <w:rsid w:val="00F47C99"/>
    <w:rsid w:val="00F51A23"/>
    <w:rsid w:val="00F521A3"/>
    <w:rsid w:val="00F52FC5"/>
    <w:rsid w:val="00F53435"/>
    <w:rsid w:val="00F54DCC"/>
    <w:rsid w:val="00F57C20"/>
    <w:rsid w:val="00F57D6E"/>
    <w:rsid w:val="00F602E4"/>
    <w:rsid w:val="00F631A0"/>
    <w:rsid w:val="00F678DA"/>
    <w:rsid w:val="00F713CA"/>
    <w:rsid w:val="00F72B0C"/>
    <w:rsid w:val="00F7579E"/>
    <w:rsid w:val="00F819A8"/>
    <w:rsid w:val="00F81DE9"/>
    <w:rsid w:val="00F82B1C"/>
    <w:rsid w:val="00F84D45"/>
    <w:rsid w:val="00F85378"/>
    <w:rsid w:val="00F86907"/>
    <w:rsid w:val="00F87593"/>
    <w:rsid w:val="00F87A99"/>
    <w:rsid w:val="00F908C0"/>
    <w:rsid w:val="00F915CC"/>
    <w:rsid w:val="00F91DA4"/>
    <w:rsid w:val="00F938CF"/>
    <w:rsid w:val="00F95131"/>
    <w:rsid w:val="00FA0821"/>
    <w:rsid w:val="00FA6BD1"/>
    <w:rsid w:val="00FA76AC"/>
    <w:rsid w:val="00FB06EC"/>
    <w:rsid w:val="00FB20C9"/>
    <w:rsid w:val="00FB33BF"/>
    <w:rsid w:val="00FB45FA"/>
    <w:rsid w:val="00FB6F88"/>
    <w:rsid w:val="00FC3234"/>
    <w:rsid w:val="00FC4612"/>
    <w:rsid w:val="00FC7F58"/>
    <w:rsid w:val="00FD164E"/>
    <w:rsid w:val="00FD37AC"/>
    <w:rsid w:val="00FE00E0"/>
    <w:rsid w:val="00FE0CD6"/>
    <w:rsid w:val="00FE4BDF"/>
    <w:rsid w:val="00FF10E6"/>
    <w:rsid w:val="00FF17B1"/>
    <w:rsid w:val="00FF440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8B4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56"/>
    <w:pPr>
      <w:spacing w:after="200" w:line="276" w:lineRule="auto"/>
    </w:pPr>
  </w:style>
  <w:style w:type="paragraph" w:styleId="Heading3">
    <w:name w:val="heading 3"/>
    <w:basedOn w:val="Normal"/>
    <w:link w:val="Heading3Char"/>
    <w:uiPriority w:val="9"/>
    <w:qFormat/>
    <w:rsid w:val="00540B24"/>
    <w:pPr>
      <w:spacing w:before="100" w:beforeAutospacing="1" w:after="100" w:afterAutospacing="1" w:line="240" w:lineRule="auto"/>
      <w:outlineLvl w:val="2"/>
    </w:pPr>
    <w:rPr>
      <w:rFonts w:eastAsia="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C56"/>
    <w:pPr>
      <w:spacing w:before="100" w:beforeAutospacing="1" w:after="100" w:afterAutospacing="1" w:line="240" w:lineRule="auto"/>
    </w:pPr>
    <w:rPr>
      <w:rFonts w:eastAsia="Times New Roman" w:cs="Times New Roman"/>
      <w:szCs w:val="24"/>
    </w:rPr>
  </w:style>
  <w:style w:type="paragraph" w:styleId="BodyText2">
    <w:name w:val="Body Text 2"/>
    <w:basedOn w:val="Normal"/>
    <w:link w:val="BodyText2Char"/>
    <w:uiPriority w:val="99"/>
    <w:semiHidden/>
    <w:unhideWhenUsed/>
    <w:rsid w:val="00D62C56"/>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uiPriority w:val="99"/>
    <w:semiHidden/>
    <w:rsid w:val="00D62C56"/>
    <w:rPr>
      <w:rFonts w:ascii="Garamond" w:eastAsia="Times New Roman" w:hAnsi="Garamond" w:cs="Times New Roman"/>
      <w:sz w:val="28"/>
      <w:szCs w:val="28"/>
    </w:rPr>
  </w:style>
  <w:style w:type="paragraph" w:customStyle="1" w:styleId="Default">
    <w:name w:val="Default"/>
    <w:uiPriority w:val="99"/>
    <w:rsid w:val="00D62C56"/>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2337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3790"/>
    <w:rPr>
      <w:lang w:val="en-US"/>
    </w:rPr>
  </w:style>
  <w:style w:type="paragraph" w:styleId="Footer">
    <w:name w:val="footer"/>
    <w:basedOn w:val="Normal"/>
    <w:link w:val="FooterChar"/>
    <w:uiPriority w:val="99"/>
    <w:unhideWhenUsed/>
    <w:rsid w:val="002337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3790"/>
    <w:rPr>
      <w:lang w:val="en-US"/>
    </w:rPr>
  </w:style>
  <w:style w:type="character" w:styleId="Hyperlink">
    <w:name w:val="Hyperlink"/>
    <w:basedOn w:val="DefaultParagraphFont"/>
    <w:uiPriority w:val="99"/>
    <w:unhideWhenUsed/>
    <w:rsid w:val="000162A3"/>
    <w:rPr>
      <w:color w:val="0563C1" w:themeColor="hyperlink"/>
      <w:u w:val="single"/>
    </w:rPr>
  </w:style>
  <w:style w:type="paragraph" w:styleId="BalloonText">
    <w:name w:val="Balloon Text"/>
    <w:basedOn w:val="Normal"/>
    <w:link w:val="BalloonTextChar"/>
    <w:uiPriority w:val="99"/>
    <w:semiHidden/>
    <w:unhideWhenUsed/>
    <w:rsid w:val="009C0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BCD"/>
    <w:rPr>
      <w:rFonts w:ascii="Segoe UI" w:hAnsi="Segoe UI" w:cs="Segoe UI"/>
      <w:sz w:val="18"/>
      <w:szCs w:val="18"/>
      <w:lang w:val="en-US"/>
    </w:rPr>
  </w:style>
  <w:style w:type="character" w:styleId="CommentReference">
    <w:name w:val="annotation reference"/>
    <w:basedOn w:val="DefaultParagraphFont"/>
    <w:uiPriority w:val="99"/>
    <w:semiHidden/>
    <w:unhideWhenUsed/>
    <w:rsid w:val="003C37BA"/>
    <w:rPr>
      <w:sz w:val="16"/>
      <w:szCs w:val="16"/>
    </w:rPr>
  </w:style>
  <w:style w:type="paragraph" w:styleId="CommentText">
    <w:name w:val="annotation text"/>
    <w:basedOn w:val="Normal"/>
    <w:link w:val="CommentTextChar"/>
    <w:uiPriority w:val="99"/>
    <w:semiHidden/>
    <w:unhideWhenUsed/>
    <w:rsid w:val="003C37BA"/>
    <w:pPr>
      <w:spacing w:line="240" w:lineRule="auto"/>
    </w:pPr>
    <w:rPr>
      <w:sz w:val="20"/>
      <w:szCs w:val="20"/>
    </w:rPr>
  </w:style>
  <w:style w:type="character" w:customStyle="1" w:styleId="CommentTextChar">
    <w:name w:val="Comment Text Char"/>
    <w:basedOn w:val="DefaultParagraphFont"/>
    <w:link w:val="CommentText"/>
    <w:uiPriority w:val="99"/>
    <w:semiHidden/>
    <w:rsid w:val="003C37BA"/>
    <w:rPr>
      <w:sz w:val="20"/>
      <w:szCs w:val="20"/>
    </w:rPr>
  </w:style>
  <w:style w:type="paragraph" w:styleId="CommentSubject">
    <w:name w:val="annotation subject"/>
    <w:basedOn w:val="CommentText"/>
    <w:next w:val="CommentText"/>
    <w:link w:val="CommentSubjectChar"/>
    <w:uiPriority w:val="99"/>
    <w:semiHidden/>
    <w:unhideWhenUsed/>
    <w:rsid w:val="003C37BA"/>
    <w:rPr>
      <w:b/>
      <w:bCs/>
    </w:rPr>
  </w:style>
  <w:style w:type="character" w:customStyle="1" w:styleId="CommentSubjectChar">
    <w:name w:val="Comment Subject Char"/>
    <w:basedOn w:val="CommentTextChar"/>
    <w:link w:val="CommentSubject"/>
    <w:uiPriority w:val="99"/>
    <w:semiHidden/>
    <w:rsid w:val="003C37BA"/>
    <w:rPr>
      <w:b/>
      <w:bCs/>
      <w:sz w:val="20"/>
      <w:szCs w:val="20"/>
    </w:rPr>
  </w:style>
  <w:style w:type="character" w:customStyle="1" w:styleId="CharStyle10">
    <w:name w:val="Char Style 10"/>
    <w:basedOn w:val="DefaultParagraphFont"/>
    <w:link w:val="Style2"/>
    <w:uiPriority w:val="99"/>
    <w:rsid w:val="005352DA"/>
    <w:rPr>
      <w:shd w:val="clear" w:color="auto" w:fill="FFFFFF"/>
    </w:rPr>
  </w:style>
  <w:style w:type="paragraph" w:customStyle="1" w:styleId="Style2">
    <w:name w:val="Style 2"/>
    <w:basedOn w:val="Normal"/>
    <w:link w:val="CharStyle10"/>
    <w:uiPriority w:val="99"/>
    <w:qFormat/>
    <w:rsid w:val="005352DA"/>
    <w:pPr>
      <w:widowControl w:val="0"/>
      <w:shd w:val="clear" w:color="auto" w:fill="FFFFFF"/>
      <w:spacing w:before="280" w:after="280" w:line="274" w:lineRule="exact"/>
      <w:jc w:val="both"/>
    </w:pPr>
  </w:style>
  <w:style w:type="paragraph" w:customStyle="1" w:styleId="tv213">
    <w:name w:val="tv213"/>
    <w:basedOn w:val="Normal"/>
    <w:rsid w:val="006674AD"/>
    <w:pPr>
      <w:spacing w:before="100" w:beforeAutospacing="1" w:after="100" w:afterAutospacing="1" w:line="240" w:lineRule="auto"/>
    </w:pPr>
    <w:rPr>
      <w:rFonts w:eastAsia="Times New Roman" w:cs="Times New Roman"/>
      <w:szCs w:val="24"/>
      <w:lang w:eastAsia="lv-LV"/>
    </w:rPr>
  </w:style>
  <w:style w:type="character" w:customStyle="1" w:styleId="Heading3Char">
    <w:name w:val="Heading 3 Char"/>
    <w:basedOn w:val="DefaultParagraphFont"/>
    <w:link w:val="Heading3"/>
    <w:uiPriority w:val="9"/>
    <w:rsid w:val="00540B24"/>
    <w:rPr>
      <w:rFonts w:eastAsia="Times New Roman" w:cs="Times New Roman"/>
      <w:b/>
      <w:bCs/>
      <w:sz w:val="27"/>
      <w:szCs w:val="27"/>
      <w:lang w:eastAsia="lv-LV"/>
    </w:rPr>
  </w:style>
  <w:style w:type="character" w:styleId="Strong">
    <w:name w:val="Strong"/>
    <w:basedOn w:val="DefaultParagraphFont"/>
    <w:uiPriority w:val="22"/>
    <w:qFormat/>
    <w:rsid w:val="00540B24"/>
    <w:rPr>
      <w:b/>
      <w:bCs/>
    </w:rPr>
  </w:style>
  <w:style w:type="paragraph" w:styleId="ListParagraph">
    <w:name w:val="List Paragraph"/>
    <w:basedOn w:val="Normal"/>
    <w:uiPriority w:val="34"/>
    <w:qFormat/>
    <w:rsid w:val="00DF5993"/>
    <w:pPr>
      <w:ind w:left="720"/>
      <w:contextualSpacing/>
    </w:pPr>
  </w:style>
  <w:style w:type="paragraph" w:styleId="NoSpacing">
    <w:name w:val="No Spacing"/>
    <w:uiPriority w:val="1"/>
    <w:qFormat/>
    <w:rsid w:val="007B744A"/>
    <w:pPr>
      <w:spacing w:after="0" w:line="240" w:lineRule="auto"/>
    </w:pPr>
  </w:style>
  <w:style w:type="paragraph" w:styleId="Revision">
    <w:name w:val="Revision"/>
    <w:hidden/>
    <w:uiPriority w:val="99"/>
    <w:semiHidden/>
    <w:rsid w:val="007C0FEA"/>
    <w:pPr>
      <w:spacing w:after="0" w:line="240" w:lineRule="auto"/>
    </w:pPr>
  </w:style>
  <w:style w:type="paragraph" w:styleId="ListBullet">
    <w:name w:val="List Bullet"/>
    <w:basedOn w:val="Normal"/>
    <w:uiPriority w:val="99"/>
    <w:unhideWhenUsed/>
    <w:rsid w:val="00D520D3"/>
    <w:pPr>
      <w:numPr>
        <w:numId w:val="1"/>
      </w:numPr>
      <w:contextualSpacing/>
    </w:pPr>
  </w:style>
  <w:style w:type="paragraph" w:styleId="BodyText">
    <w:name w:val="Body Text"/>
    <w:basedOn w:val="Normal"/>
    <w:link w:val="BodyTextChar"/>
    <w:uiPriority w:val="99"/>
    <w:semiHidden/>
    <w:unhideWhenUsed/>
    <w:rsid w:val="00CA35EA"/>
    <w:pPr>
      <w:spacing w:after="120"/>
    </w:pPr>
  </w:style>
  <w:style w:type="character" w:customStyle="1" w:styleId="BodyTextChar">
    <w:name w:val="Body Text Char"/>
    <w:basedOn w:val="DefaultParagraphFont"/>
    <w:link w:val="BodyText"/>
    <w:uiPriority w:val="99"/>
    <w:semiHidden/>
    <w:rsid w:val="00CA35EA"/>
  </w:style>
  <w:style w:type="paragraph" w:styleId="FootnoteText">
    <w:name w:val="footnote text"/>
    <w:basedOn w:val="Normal"/>
    <w:link w:val="FootnoteTextChar"/>
    <w:semiHidden/>
    <w:unhideWhenUsed/>
    <w:rsid w:val="00495E38"/>
    <w:pPr>
      <w:spacing w:after="0" w:line="240" w:lineRule="auto"/>
    </w:pPr>
    <w:rPr>
      <w:rFonts w:ascii="Cambria" w:eastAsia="MS Mincho" w:hAnsi="Cambria" w:cs="Times New Roman"/>
      <w:szCs w:val="24"/>
      <w:lang w:eastAsia="x-none"/>
    </w:rPr>
  </w:style>
  <w:style w:type="character" w:customStyle="1" w:styleId="FootnoteTextChar">
    <w:name w:val="Footnote Text Char"/>
    <w:basedOn w:val="DefaultParagraphFont"/>
    <w:link w:val="FootnoteText"/>
    <w:semiHidden/>
    <w:rsid w:val="00495E38"/>
    <w:rPr>
      <w:rFonts w:ascii="Cambria" w:eastAsia="MS Mincho" w:hAnsi="Cambria" w:cs="Times New Roman"/>
      <w:szCs w:val="24"/>
      <w:lang w:eastAsia="x-none"/>
    </w:rPr>
  </w:style>
  <w:style w:type="character" w:styleId="FootnoteReference">
    <w:name w:val="footnote reference"/>
    <w:semiHidden/>
    <w:unhideWhenUsed/>
    <w:rsid w:val="00495E38"/>
    <w:rPr>
      <w:vertAlign w:val="superscript"/>
    </w:rPr>
  </w:style>
  <w:style w:type="character" w:customStyle="1" w:styleId="apple-style-span">
    <w:name w:val="apple-style-span"/>
    <w:rsid w:val="00495E38"/>
  </w:style>
  <w:style w:type="character" w:styleId="UnresolvedMention">
    <w:name w:val="Unresolved Mention"/>
    <w:basedOn w:val="DefaultParagraphFont"/>
    <w:uiPriority w:val="99"/>
    <w:semiHidden/>
    <w:unhideWhenUsed/>
    <w:rsid w:val="00020C14"/>
    <w:rPr>
      <w:color w:val="605E5C"/>
      <w:shd w:val="clear" w:color="auto" w:fill="E1DFDD"/>
    </w:rPr>
  </w:style>
  <w:style w:type="character" w:styleId="FollowedHyperlink">
    <w:name w:val="FollowedHyperlink"/>
    <w:basedOn w:val="DefaultParagraphFont"/>
    <w:uiPriority w:val="99"/>
    <w:semiHidden/>
    <w:unhideWhenUsed/>
    <w:rsid w:val="00090D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2005">
      <w:bodyDiv w:val="1"/>
      <w:marLeft w:val="0"/>
      <w:marRight w:val="0"/>
      <w:marTop w:val="0"/>
      <w:marBottom w:val="0"/>
      <w:divBdr>
        <w:top w:val="none" w:sz="0" w:space="0" w:color="auto"/>
        <w:left w:val="none" w:sz="0" w:space="0" w:color="auto"/>
        <w:bottom w:val="none" w:sz="0" w:space="0" w:color="auto"/>
        <w:right w:val="none" w:sz="0" w:space="0" w:color="auto"/>
      </w:divBdr>
    </w:div>
    <w:div w:id="88696286">
      <w:bodyDiv w:val="1"/>
      <w:marLeft w:val="0"/>
      <w:marRight w:val="0"/>
      <w:marTop w:val="0"/>
      <w:marBottom w:val="0"/>
      <w:divBdr>
        <w:top w:val="none" w:sz="0" w:space="0" w:color="auto"/>
        <w:left w:val="none" w:sz="0" w:space="0" w:color="auto"/>
        <w:bottom w:val="none" w:sz="0" w:space="0" w:color="auto"/>
        <w:right w:val="none" w:sz="0" w:space="0" w:color="auto"/>
      </w:divBdr>
    </w:div>
    <w:div w:id="352534953">
      <w:bodyDiv w:val="1"/>
      <w:marLeft w:val="0"/>
      <w:marRight w:val="0"/>
      <w:marTop w:val="0"/>
      <w:marBottom w:val="0"/>
      <w:divBdr>
        <w:top w:val="none" w:sz="0" w:space="0" w:color="auto"/>
        <w:left w:val="none" w:sz="0" w:space="0" w:color="auto"/>
        <w:bottom w:val="none" w:sz="0" w:space="0" w:color="auto"/>
        <w:right w:val="none" w:sz="0" w:space="0" w:color="auto"/>
      </w:divBdr>
    </w:div>
    <w:div w:id="428161895">
      <w:bodyDiv w:val="1"/>
      <w:marLeft w:val="0"/>
      <w:marRight w:val="0"/>
      <w:marTop w:val="0"/>
      <w:marBottom w:val="0"/>
      <w:divBdr>
        <w:top w:val="none" w:sz="0" w:space="0" w:color="auto"/>
        <w:left w:val="none" w:sz="0" w:space="0" w:color="auto"/>
        <w:bottom w:val="none" w:sz="0" w:space="0" w:color="auto"/>
        <w:right w:val="none" w:sz="0" w:space="0" w:color="auto"/>
      </w:divBdr>
    </w:div>
    <w:div w:id="473302298">
      <w:bodyDiv w:val="1"/>
      <w:marLeft w:val="0"/>
      <w:marRight w:val="0"/>
      <w:marTop w:val="0"/>
      <w:marBottom w:val="0"/>
      <w:divBdr>
        <w:top w:val="none" w:sz="0" w:space="0" w:color="auto"/>
        <w:left w:val="none" w:sz="0" w:space="0" w:color="auto"/>
        <w:bottom w:val="none" w:sz="0" w:space="0" w:color="auto"/>
        <w:right w:val="none" w:sz="0" w:space="0" w:color="auto"/>
      </w:divBdr>
    </w:div>
    <w:div w:id="697704626">
      <w:bodyDiv w:val="1"/>
      <w:marLeft w:val="0"/>
      <w:marRight w:val="0"/>
      <w:marTop w:val="0"/>
      <w:marBottom w:val="0"/>
      <w:divBdr>
        <w:top w:val="none" w:sz="0" w:space="0" w:color="auto"/>
        <w:left w:val="none" w:sz="0" w:space="0" w:color="auto"/>
        <w:bottom w:val="none" w:sz="0" w:space="0" w:color="auto"/>
        <w:right w:val="none" w:sz="0" w:space="0" w:color="auto"/>
      </w:divBdr>
    </w:div>
    <w:div w:id="776411377">
      <w:bodyDiv w:val="1"/>
      <w:marLeft w:val="0"/>
      <w:marRight w:val="0"/>
      <w:marTop w:val="0"/>
      <w:marBottom w:val="0"/>
      <w:divBdr>
        <w:top w:val="none" w:sz="0" w:space="0" w:color="auto"/>
        <w:left w:val="none" w:sz="0" w:space="0" w:color="auto"/>
        <w:bottom w:val="none" w:sz="0" w:space="0" w:color="auto"/>
        <w:right w:val="none" w:sz="0" w:space="0" w:color="auto"/>
      </w:divBdr>
    </w:div>
    <w:div w:id="829979326">
      <w:bodyDiv w:val="1"/>
      <w:marLeft w:val="0"/>
      <w:marRight w:val="0"/>
      <w:marTop w:val="0"/>
      <w:marBottom w:val="0"/>
      <w:divBdr>
        <w:top w:val="none" w:sz="0" w:space="0" w:color="auto"/>
        <w:left w:val="none" w:sz="0" w:space="0" w:color="auto"/>
        <w:bottom w:val="none" w:sz="0" w:space="0" w:color="auto"/>
        <w:right w:val="none" w:sz="0" w:space="0" w:color="auto"/>
      </w:divBdr>
    </w:div>
    <w:div w:id="864948397">
      <w:bodyDiv w:val="1"/>
      <w:marLeft w:val="0"/>
      <w:marRight w:val="0"/>
      <w:marTop w:val="0"/>
      <w:marBottom w:val="0"/>
      <w:divBdr>
        <w:top w:val="none" w:sz="0" w:space="0" w:color="auto"/>
        <w:left w:val="none" w:sz="0" w:space="0" w:color="auto"/>
        <w:bottom w:val="none" w:sz="0" w:space="0" w:color="auto"/>
        <w:right w:val="none" w:sz="0" w:space="0" w:color="auto"/>
      </w:divBdr>
    </w:div>
    <w:div w:id="970135001">
      <w:bodyDiv w:val="1"/>
      <w:marLeft w:val="0"/>
      <w:marRight w:val="0"/>
      <w:marTop w:val="0"/>
      <w:marBottom w:val="0"/>
      <w:divBdr>
        <w:top w:val="none" w:sz="0" w:space="0" w:color="auto"/>
        <w:left w:val="none" w:sz="0" w:space="0" w:color="auto"/>
        <w:bottom w:val="none" w:sz="0" w:space="0" w:color="auto"/>
        <w:right w:val="none" w:sz="0" w:space="0" w:color="auto"/>
      </w:divBdr>
    </w:div>
    <w:div w:id="1087729230">
      <w:bodyDiv w:val="1"/>
      <w:marLeft w:val="0"/>
      <w:marRight w:val="0"/>
      <w:marTop w:val="0"/>
      <w:marBottom w:val="0"/>
      <w:divBdr>
        <w:top w:val="none" w:sz="0" w:space="0" w:color="auto"/>
        <w:left w:val="none" w:sz="0" w:space="0" w:color="auto"/>
        <w:bottom w:val="none" w:sz="0" w:space="0" w:color="auto"/>
        <w:right w:val="none" w:sz="0" w:space="0" w:color="auto"/>
      </w:divBdr>
    </w:div>
    <w:div w:id="1226143539">
      <w:bodyDiv w:val="1"/>
      <w:marLeft w:val="0"/>
      <w:marRight w:val="0"/>
      <w:marTop w:val="0"/>
      <w:marBottom w:val="0"/>
      <w:divBdr>
        <w:top w:val="none" w:sz="0" w:space="0" w:color="auto"/>
        <w:left w:val="none" w:sz="0" w:space="0" w:color="auto"/>
        <w:bottom w:val="none" w:sz="0" w:space="0" w:color="auto"/>
        <w:right w:val="none" w:sz="0" w:space="0" w:color="auto"/>
      </w:divBdr>
    </w:div>
    <w:div w:id="1229342224">
      <w:bodyDiv w:val="1"/>
      <w:marLeft w:val="0"/>
      <w:marRight w:val="0"/>
      <w:marTop w:val="0"/>
      <w:marBottom w:val="0"/>
      <w:divBdr>
        <w:top w:val="none" w:sz="0" w:space="0" w:color="auto"/>
        <w:left w:val="none" w:sz="0" w:space="0" w:color="auto"/>
        <w:bottom w:val="none" w:sz="0" w:space="0" w:color="auto"/>
        <w:right w:val="none" w:sz="0" w:space="0" w:color="auto"/>
      </w:divBdr>
    </w:div>
    <w:div w:id="1249190386">
      <w:bodyDiv w:val="1"/>
      <w:marLeft w:val="0"/>
      <w:marRight w:val="0"/>
      <w:marTop w:val="0"/>
      <w:marBottom w:val="0"/>
      <w:divBdr>
        <w:top w:val="none" w:sz="0" w:space="0" w:color="auto"/>
        <w:left w:val="none" w:sz="0" w:space="0" w:color="auto"/>
        <w:bottom w:val="none" w:sz="0" w:space="0" w:color="auto"/>
        <w:right w:val="none" w:sz="0" w:space="0" w:color="auto"/>
      </w:divBdr>
    </w:div>
    <w:div w:id="1365793768">
      <w:bodyDiv w:val="1"/>
      <w:marLeft w:val="0"/>
      <w:marRight w:val="0"/>
      <w:marTop w:val="0"/>
      <w:marBottom w:val="0"/>
      <w:divBdr>
        <w:top w:val="none" w:sz="0" w:space="0" w:color="auto"/>
        <w:left w:val="none" w:sz="0" w:space="0" w:color="auto"/>
        <w:bottom w:val="none" w:sz="0" w:space="0" w:color="auto"/>
        <w:right w:val="none" w:sz="0" w:space="0" w:color="auto"/>
      </w:divBdr>
    </w:div>
    <w:div w:id="1434517685">
      <w:bodyDiv w:val="1"/>
      <w:marLeft w:val="0"/>
      <w:marRight w:val="0"/>
      <w:marTop w:val="0"/>
      <w:marBottom w:val="0"/>
      <w:divBdr>
        <w:top w:val="none" w:sz="0" w:space="0" w:color="auto"/>
        <w:left w:val="none" w:sz="0" w:space="0" w:color="auto"/>
        <w:bottom w:val="none" w:sz="0" w:space="0" w:color="auto"/>
        <w:right w:val="none" w:sz="0" w:space="0" w:color="auto"/>
      </w:divBdr>
    </w:div>
    <w:div w:id="1530144512">
      <w:bodyDiv w:val="1"/>
      <w:marLeft w:val="0"/>
      <w:marRight w:val="0"/>
      <w:marTop w:val="0"/>
      <w:marBottom w:val="0"/>
      <w:divBdr>
        <w:top w:val="none" w:sz="0" w:space="0" w:color="auto"/>
        <w:left w:val="none" w:sz="0" w:space="0" w:color="auto"/>
        <w:bottom w:val="none" w:sz="0" w:space="0" w:color="auto"/>
        <w:right w:val="none" w:sz="0" w:space="0" w:color="auto"/>
      </w:divBdr>
    </w:div>
    <w:div w:id="1609658709">
      <w:bodyDiv w:val="1"/>
      <w:marLeft w:val="0"/>
      <w:marRight w:val="0"/>
      <w:marTop w:val="0"/>
      <w:marBottom w:val="0"/>
      <w:divBdr>
        <w:top w:val="none" w:sz="0" w:space="0" w:color="auto"/>
        <w:left w:val="none" w:sz="0" w:space="0" w:color="auto"/>
        <w:bottom w:val="none" w:sz="0" w:space="0" w:color="auto"/>
        <w:right w:val="none" w:sz="0" w:space="0" w:color="auto"/>
      </w:divBdr>
    </w:div>
    <w:div w:id="1919824693">
      <w:bodyDiv w:val="1"/>
      <w:marLeft w:val="0"/>
      <w:marRight w:val="0"/>
      <w:marTop w:val="0"/>
      <w:marBottom w:val="0"/>
      <w:divBdr>
        <w:top w:val="none" w:sz="0" w:space="0" w:color="auto"/>
        <w:left w:val="none" w:sz="0" w:space="0" w:color="auto"/>
        <w:bottom w:val="none" w:sz="0" w:space="0" w:color="auto"/>
        <w:right w:val="none" w:sz="0" w:space="0" w:color="auto"/>
      </w:divBdr>
    </w:div>
    <w:div w:id="20935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372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document/document.jsf;jsessionid=2EAA33145976599BF88F46C0A59B56C8?text=&amp;docid=221722&amp;pageIndex=0&amp;doclang=LV&amp;mode=lst&amp;dir=&amp;occ=first&amp;part=1&amp;cid=290474" TargetMode="External"/><Relationship Id="rId5" Type="http://schemas.openxmlformats.org/officeDocument/2006/relationships/webSettings" Target="webSettings.xml"/><Relationship Id="rId10" Type="http://schemas.openxmlformats.org/officeDocument/2006/relationships/hyperlink" Target="https://www.wipo.int/edocs/pubdocs/en/copyright/120/wipo_pub_120_1982_09.pdf" TargetMode="External"/><Relationship Id="rId4" Type="http://schemas.openxmlformats.org/officeDocument/2006/relationships/settings" Target="settings.xml"/><Relationship Id="rId9" Type="http://schemas.openxmlformats.org/officeDocument/2006/relationships/hyperlink" Target="https://www.wipo.int/edocs/pubdocs/en/copyright/891/wipo_pub_89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B4B53-D8FE-49AD-8418-6A58B5B5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27764</Words>
  <Characters>15827</Characters>
  <Application>Microsoft Office Word</Application>
  <DocSecurity>0</DocSecurity>
  <Lines>131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2023-10-27T08:28:00Z</dcterms:created>
  <dcterms:modified xsi:type="dcterms:W3CDTF">2023-10-27T08:28:00Z</dcterms:modified>
</cp:coreProperties>
</file>