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2D990" w14:textId="7C9B5313" w:rsidR="00C02C2C" w:rsidRPr="00C02C2C" w:rsidRDefault="00C02C2C" w:rsidP="00C02C2C">
      <w:pPr>
        <w:spacing w:after="0" w:line="276" w:lineRule="auto"/>
        <w:jc w:val="both"/>
        <w:rPr>
          <w:b/>
        </w:rPr>
      </w:pPr>
      <w:bookmarkStart w:id="0" w:name="OLE_LINK2"/>
      <w:bookmarkStart w:id="1" w:name="OLE_LINK1"/>
      <w:r w:rsidRPr="00C02C2C">
        <w:rPr>
          <w:b/>
        </w:rPr>
        <w:t>Tiesību aizsardzības mehānismi iepirkuma procedūru pārkāpumu gadījumos</w:t>
      </w:r>
    </w:p>
    <w:p w14:paraId="6DCEEEF2" w14:textId="3B76D0E1" w:rsidR="00C02C2C" w:rsidRDefault="00C02C2C" w:rsidP="00C02C2C">
      <w:pPr>
        <w:spacing w:after="0" w:line="276" w:lineRule="auto"/>
        <w:jc w:val="both"/>
      </w:pPr>
      <w:r>
        <w:rPr>
          <w:rFonts w:ascii="TimesNewRomanPSMT" w:hAnsi="TimesNewRomanPSMT"/>
          <w:szCs w:val="24"/>
        </w:rPr>
        <w:t>Pasūtītājas lēmuma atzīšana par prettiesisku rada pamatu zaudējumu atlīdzināšanai, un tā nav tikai formāla vai šķietama tiesību aizsardzības iespēja. Lai arī tas pilnībā var nenovērst prettiesiskumu (nenotiek pilnīga restitūcija un jauns tiesisks iepirkums), arī spriedums par prettiesiskumu un ar to pamatota zaudējumu atlīdzība ir tiesību aizsardzības mehānismi. Ierobežojot iespēju jebkura pārkāpuma gadījumā atzīt par spēkā neesošu noslēgto līgumu, likumdevējs ir līdzsvarojis dažādas intereses – gan sabiedrības intereses uz tiesiskām un pārskatāmām iepirkumu procedūrām, gan sabiedrības intereses saņemt pakalpojumus, gan sabiedrisko pakalpojumu sniedzēju intereses sniegt pakalpojumus, gan komersantu intereses slēgt līgumus ar sabiedrisko pakalpojumu sniedzējiem un tādējādi veikt savu komercdarbību. Līguma atzīšana par spēkā neesošu var būtiski ietekmēt visas šīs intereses, un šāda tiesību aizsardzības instrumenta izmantošana ir paredzēta tikai būtiskos iepirkumu principu pārkāpumu gadījumos un tikai tad, ja līgumcena sasniedz noteiktu robežvērtību</w:t>
      </w:r>
    </w:p>
    <w:p w14:paraId="178FDB9E" w14:textId="58381A29" w:rsidR="008614E0" w:rsidRPr="00937C0B" w:rsidRDefault="008614E0" w:rsidP="00C02C2C">
      <w:pPr>
        <w:spacing w:after="0" w:line="276" w:lineRule="auto"/>
        <w:rPr>
          <w:rFonts w:eastAsia="Times New Roman" w:cs="Times New Roman"/>
          <w:szCs w:val="24"/>
          <w:lang w:eastAsia="ru-RU"/>
        </w:rPr>
      </w:pPr>
    </w:p>
    <w:p w14:paraId="04E8F92B" w14:textId="3FFA7F91" w:rsidR="008614E0" w:rsidRPr="00C02C2C" w:rsidRDefault="00C02C2C" w:rsidP="00E140DA">
      <w:pPr>
        <w:spacing w:after="0" w:line="276" w:lineRule="auto"/>
        <w:jc w:val="center"/>
        <w:rPr>
          <w:rFonts w:eastAsia="Times New Roman" w:cs="Times New Roman"/>
          <w:b/>
          <w:szCs w:val="24"/>
          <w:lang w:eastAsia="ru-RU"/>
        </w:rPr>
      </w:pPr>
      <w:r w:rsidRPr="00C02C2C">
        <w:rPr>
          <w:rFonts w:eastAsia="Times New Roman" w:cs="Times New Roman"/>
          <w:b/>
          <w:szCs w:val="24"/>
          <w:lang w:eastAsia="ru-RU"/>
        </w:rPr>
        <w:t>Latvijas Republikas Senāta</w:t>
      </w:r>
    </w:p>
    <w:p w14:paraId="54EF124A" w14:textId="05917A14" w:rsidR="00C02C2C" w:rsidRPr="00C02C2C" w:rsidRDefault="00C02C2C" w:rsidP="00E140DA">
      <w:pPr>
        <w:spacing w:after="0" w:line="276" w:lineRule="auto"/>
        <w:jc w:val="center"/>
        <w:rPr>
          <w:rFonts w:eastAsia="Times New Roman" w:cs="Times New Roman"/>
          <w:b/>
          <w:szCs w:val="24"/>
          <w:lang w:eastAsia="ru-RU"/>
        </w:rPr>
      </w:pPr>
      <w:r w:rsidRPr="00C02C2C">
        <w:rPr>
          <w:rFonts w:eastAsia="Times New Roman" w:cs="Times New Roman"/>
          <w:b/>
          <w:szCs w:val="24"/>
          <w:lang w:eastAsia="ru-RU"/>
        </w:rPr>
        <w:t xml:space="preserve">Administratīvo lietu departamenta </w:t>
      </w:r>
    </w:p>
    <w:p w14:paraId="56E23AE6" w14:textId="07FCBABE" w:rsidR="00C02C2C" w:rsidRPr="00C02C2C" w:rsidRDefault="00C02C2C" w:rsidP="00E140DA">
      <w:pPr>
        <w:spacing w:after="0" w:line="276" w:lineRule="auto"/>
        <w:jc w:val="center"/>
        <w:rPr>
          <w:rFonts w:eastAsia="Times New Roman" w:cs="Times New Roman"/>
          <w:b/>
          <w:szCs w:val="24"/>
          <w:lang w:eastAsia="ru-RU"/>
        </w:rPr>
      </w:pPr>
      <w:r w:rsidRPr="00C02C2C">
        <w:rPr>
          <w:rFonts w:eastAsia="Times New Roman" w:cs="Times New Roman"/>
          <w:b/>
          <w:szCs w:val="24"/>
          <w:lang w:eastAsia="ru-RU"/>
        </w:rPr>
        <w:t>2023.gada 16.augusta</w:t>
      </w:r>
    </w:p>
    <w:p w14:paraId="78ABA602" w14:textId="77777777" w:rsidR="008614E0" w:rsidRPr="00C02C2C" w:rsidRDefault="008614E0" w:rsidP="00700EB6">
      <w:pPr>
        <w:spacing w:after="0" w:line="276" w:lineRule="auto"/>
        <w:jc w:val="center"/>
        <w:rPr>
          <w:rFonts w:eastAsia="Times New Roman" w:cs="Times New Roman"/>
          <w:b/>
          <w:szCs w:val="24"/>
          <w:lang w:eastAsia="ru-RU"/>
        </w:rPr>
      </w:pPr>
      <w:r w:rsidRPr="00C02C2C">
        <w:rPr>
          <w:rFonts w:eastAsia="Times New Roman" w:cs="Times New Roman"/>
          <w:b/>
          <w:szCs w:val="24"/>
          <w:lang w:eastAsia="ru-RU"/>
        </w:rPr>
        <w:t>RĪCĪBAS SĒDES LĒMUMS</w:t>
      </w:r>
    </w:p>
    <w:p w14:paraId="5C7BEDB6" w14:textId="77777777" w:rsidR="00C02C2C" w:rsidRPr="00C02C2C" w:rsidRDefault="00C02C2C" w:rsidP="00C02C2C">
      <w:pPr>
        <w:spacing w:after="0" w:line="276" w:lineRule="auto"/>
        <w:jc w:val="center"/>
        <w:rPr>
          <w:rFonts w:eastAsia="Times New Roman" w:cs="Times New Roman"/>
          <w:b/>
          <w:szCs w:val="24"/>
          <w:lang w:eastAsia="ru-RU"/>
        </w:rPr>
      </w:pPr>
      <w:r w:rsidRPr="00C02C2C">
        <w:rPr>
          <w:rFonts w:eastAsia="Times New Roman" w:cs="Times New Roman"/>
          <w:b/>
          <w:szCs w:val="24"/>
          <w:lang w:eastAsia="ru-RU"/>
        </w:rPr>
        <w:t>Lieta Nr. A420190923, SKA-888/2023</w:t>
      </w:r>
    </w:p>
    <w:p w14:paraId="6D1969E5" w14:textId="1E9F00D1" w:rsidR="00C02C2C" w:rsidRPr="006A517F" w:rsidRDefault="00C02C2C" w:rsidP="00700EB6">
      <w:pPr>
        <w:spacing w:after="0" w:line="276" w:lineRule="auto"/>
        <w:jc w:val="center"/>
        <w:rPr>
          <w:rFonts w:eastAsia="Times New Roman" w:cs="Times New Roman"/>
          <w:b/>
          <w:szCs w:val="24"/>
          <w:lang w:eastAsia="ru-RU"/>
        </w:rPr>
      </w:pPr>
      <w:hyperlink r:id="rId8" w:history="1">
        <w:r w:rsidRPr="00C02C2C">
          <w:rPr>
            <w:rStyle w:val="Hyperlink"/>
            <w:rFonts w:ascii="TimesNewRomanPSMT" w:hAnsi="TimesNewRomanPSMT" w:cs="TimesNewRomanPSMT"/>
            <w:szCs w:val="24"/>
            <w:lang w:val="en-US"/>
          </w:rPr>
          <w:t>ECLI:LV:AT:2023:0816.A420190923.6.L</w:t>
        </w:r>
      </w:hyperlink>
    </w:p>
    <w:bookmarkEnd w:id="0"/>
    <w:bookmarkEnd w:id="1"/>
    <w:p w14:paraId="38B7C432" w14:textId="77777777" w:rsidR="008614E0" w:rsidRPr="00D429B8" w:rsidRDefault="008614E0" w:rsidP="00A84D84">
      <w:pPr>
        <w:spacing w:after="0" w:line="276" w:lineRule="auto"/>
        <w:ind w:firstLine="720"/>
        <w:jc w:val="both"/>
        <w:rPr>
          <w:rFonts w:asciiTheme="majorBidi" w:eastAsia="Times New Roman" w:hAnsiTheme="majorBidi" w:cstheme="majorBidi"/>
          <w:szCs w:val="24"/>
          <w:lang w:eastAsia="ru-RU"/>
        </w:rPr>
      </w:pPr>
    </w:p>
    <w:p w14:paraId="19EE2478" w14:textId="08704EBB" w:rsidR="005B32CA" w:rsidRDefault="00B17FBB" w:rsidP="00A84D84">
      <w:pPr>
        <w:spacing w:after="0" w:line="276" w:lineRule="auto"/>
        <w:ind w:firstLine="720"/>
        <w:jc w:val="both"/>
        <w:rPr>
          <w:rFonts w:asciiTheme="majorBidi" w:eastAsia="Times New Roman" w:hAnsiTheme="majorBidi" w:cstheme="majorBidi"/>
          <w:szCs w:val="24"/>
          <w:lang w:eastAsia="ru-RU"/>
        </w:rPr>
      </w:pPr>
      <w:r w:rsidRPr="00D429B8">
        <w:rPr>
          <w:rFonts w:asciiTheme="majorBidi" w:eastAsia="Times New Roman" w:hAnsiTheme="majorBidi" w:cstheme="majorBidi"/>
          <w:szCs w:val="24"/>
          <w:lang w:eastAsia="ru-RU"/>
        </w:rPr>
        <w:t>[1]</w:t>
      </w:r>
      <w:r w:rsidR="007354DC">
        <w:rPr>
          <w:rFonts w:asciiTheme="majorBidi" w:eastAsia="Times New Roman" w:hAnsiTheme="majorBidi" w:cstheme="majorBidi"/>
          <w:szCs w:val="24"/>
          <w:lang w:eastAsia="ru-RU"/>
        </w:rPr>
        <w:t xml:space="preserve"> </w:t>
      </w:r>
      <w:r w:rsidR="00F9691E" w:rsidRPr="00D429B8">
        <w:rPr>
          <w:rFonts w:asciiTheme="majorBidi" w:eastAsia="Times New Roman" w:hAnsiTheme="majorBidi" w:cstheme="majorBidi"/>
          <w:szCs w:val="24"/>
          <w:lang w:eastAsia="ru-RU"/>
        </w:rPr>
        <w:t>Senātā saņemta</w:t>
      </w:r>
      <w:r w:rsidR="00571127" w:rsidRPr="00D429B8">
        <w:rPr>
          <w:rFonts w:asciiTheme="majorBidi" w:eastAsia="Times New Roman" w:hAnsiTheme="majorBidi" w:cstheme="majorBidi"/>
          <w:szCs w:val="24"/>
          <w:lang w:eastAsia="ru-RU"/>
        </w:rPr>
        <w:t xml:space="preserve"> pieteicēja</w:t>
      </w:r>
      <w:r w:rsidR="00E140DA" w:rsidRPr="00D429B8">
        <w:rPr>
          <w:rFonts w:asciiTheme="majorBidi" w:eastAsia="Times New Roman" w:hAnsiTheme="majorBidi" w:cstheme="majorBidi"/>
          <w:szCs w:val="24"/>
          <w:lang w:eastAsia="ru-RU"/>
        </w:rPr>
        <w:t>s</w:t>
      </w:r>
      <w:r w:rsidR="00184C7B" w:rsidRPr="00D429B8">
        <w:rPr>
          <w:rFonts w:asciiTheme="majorBidi" w:eastAsia="Times New Roman" w:hAnsiTheme="majorBidi" w:cstheme="majorBidi"/>
          <w:szCs w:val="24"/>
          <w:lang w:eastAsia="ru-RU"/>
        </w:rPr>
        <w:t xml:space="preserve"> </w:t>
      </w:r>
      <w:r w:rsidR="003B2D73">
        <w:rPr>
          <w:rFonts w:asciiTheme="majorBidi" w:eastAsia="Times New Roman" w:hAnsiTheme="majorBidi" w:cstheme="majorBidi"/>
          <w:szCs w:val="24"/>
          <w:lang w:eastAsia="ru-RU"/>
        </w:rPr>
        <w:t>UAB ,,Atomeksim”</w:t>
      </w:r>
      <w:r w:rsidR="00184C7B" w:rsidRPr="00D429B8">
        <w:rPr>
          <w:rFonts w:asciiTheme="majorBidi" w:eastAsia="Times New Roman" w:hAnsiTheme="majorBidi" w:cstheme="majorBidi"/>
          <w:szCs w:val="24"/>
          <w:lang w:eastAsia="ru-RU"/>
        </w:rPr>
        <w:t xml:space="preserve"> </w:t>
      </w:r>
      <w:r w:rsidR="00F9691E" w:rsidRPr="00D429B8">
        <w:rPr>
          <w:rFonts w:asciiTheme="majorBidi" w:eastAsia="Times New Roman" w:hAnsiTheme="majorBidi" w:cstheme="majorBidi"/>
          <w:szCs w:val="24"/>
          <w:lang w:eastAsia="ru-RU"/>
        </w:rPr>
        <w:t xml:space="preserve">blakus sūdzība par Administratīvās </w:t>
      </w:r>
      <w:r w:rsidR="007E2B9C" w:rsidRPr="00D429B8">
        <w:rPr>
          <w:rFonts w:asciiTheme="majorBidi" w:eastAsia="Times New Roman" w:hAnsiTheme="majorBidi" w:cstheme="majorBidi"/>
          <w:szCs w:val="24"/>
          <w:lang w:eastAsia="ru-RU"/>
        </w:rPr>
        <w:t>rajona tiesas</w:t>
      </w:r>
      <w:r w:rsidR="00F9691E" w:rsidRPr="00D429B8">
        <w:rPr>
          <w:rFonts w:asciiTheme="majorBidi" w:eastAsia="Times New Roman" w:hAnsiTheme="majorBidi" w:cstheme="majorBidi"/>
          <w:szCs w:val="24"/>
          <w:lang w:eastAsia="ru-RU"/>
        </w:rPr>
        <w:t xml:space="preserve"> tiesneša 202</w:t>
      </w:r>
      <w:r w:rsidR="00700EB6" w:rsidRPr="00D429B8">
        <w:rPr>
          <w:rFonts w:asciiTheme="majorBidi" w:eastAsia="Times New Roman" w:hAnsiTheme="majorBidi" w:cstheme="majorBidi"/>
          <w:szCs w:val="24"/>
          <w:lang w:eastAsia="ru-RU"/>
        </w:rPr>
        <w:t>3</w:t>
      </w:r>
      <w:r w:rsidR="00F9691E" w:rsidRPr="00D429B8">
        <w:rPr>
          <w:rFonts w:asciiTheme="majorBidi" w:eastAsia="Times New Roman" w:hAnsiTheme="majorBidi" w:cstheme="majorBidi"/>
          <w:szCs w:val="24"/>
          <w:lang w:eastAsia="ru-RU"/>
        </w:rPr>
        <w:t xml:space="preserve">.gada </w:t>
      </w:r>
      <w:r w:rsidR="003B2D73">
        <w:rPr>
          <w:rFonts w:asciiTheme="majorBidi" w:eastAsia="Times New Roman" w:hAnsiTheme="majorBidi" w:cstheme="majorBidi"/>
          <w:szCs w:val="24"/>
          <w:lang w:eastAsia="ru-RU"/>
        </w:rPr>
        <w:t>21</w:t>
      </w:r>
      <w:r w:rsidR="00184C7B" w:rsidRPr="00D429B8">
        <w:rPr>
          <w:rFonts w:asciiTheme="majorBidi" w:eastAsia="Times New Roman" w:hAnsiTheme="majorBidi" w:cstheme="majorBidi"/>
          <w:szCs w:val="24"/>
          <w:lang w:eastAsia="ru-RU"/>
        </w:rPr>
        <w:t>.</w:t>
      </w:r>
      <w:r w:rsidR="003B2D73">
        <w:rPr>
          <w:rFonts w:asciiTheme="majorBidi" w:eastAsia="Times New Roman" w:hAnsiTheme="majorBidi" w:cstheme="majorBidi"/>
          <w:szCs w:val="24"/>
          <w:lang w:eastAsia="ru-RU"/>
        </w:rPr>
        <w:t>jūlija</w:t>
      </w:r>
      <w:r w:rsidR="00D522DA" w:rsidRPr="00D429B8">
        <w:rPr>
          <w:rFonts w:asciiTheme="majorBidi" w:eastAsia="Times New Roman" w:hAnsiTheme="majorBidi" w:cstheme="majorBidi"/>
          <w:szCs w:val="24"/>
          <w:lang w:eastAsia="ru-RU"/>
        </w:rPr>
        <w:t xml:space="preserve"> </w:t>
      </w:r>
      <w:r w:rsidR="00F9691E" w:rsidRPr="00D429B8">
        <w:rPr>
          <w:rFonts w:asciiTheme="majorBidi" w:eastAsia="Times New Roman" w:hAnsiTheme="majorBidi" w:cstheme="majorBidi"/>
          <w:szCs w:val="24"/>
          <w:lang w:eastAsia="ru-RU"/>
        </w:rPr>
        <w:t>lēmumu</w:t>
      </w:r>
      <w:r w:rsidR="00A20A52">
        <w:rPr>
          <w:rFonts w:asciiTheme="majorBidi" w:eastAsia="Times New Roman" w:hAnsiTheme="majorBidi" w:cstheme="majorBidi"/>
          <w:szCs w:val="24"/>
          <w:lang w:eastAsia="ru-RU"/>
        </w:rPr>
        <w:t xml:space="preserve"> daļā</w:t>
      </w:r>
      <w:r w:rsidR="00700EB6" w:rsidRPr="00D429B8">
        <w:rPr>
          <w:rFonts w:asciiTheme="majorBidi" w:eastAsia="Times New Roman" w:hAnsiTheme="majorBidi" w:cstheme="majorBidi"/>
          <w:szCs w:val="24"/>
          <w:lang w:eastAsia="ru-RU"/>
        </w:rPr>
        <w:t xml:space="preserve">, ar kuru atteikts pieņemt </w:t>
      </w:r>
      <w:r w:rsidR="00E71F77">
        <w:rPr>
          <w:rFonts w:asciiTheme="majorBidi" w:eastAsia="Times New Roman" w:hAnsiTheme="majorBidi" w:cstheme="majorBidi"/>
          <w:szCs w:val="24"/>
          <w:lang w:eastAsia="ru-RU"/>
        </w:rPr>
        <w:t xml:space="preserve">pieteicējas </w:t>
      </w:r>
      <w:r w:rsidR="00700EB6" w:rsidRPr="00D429B8">
        <w:rPr>
          <w:rFonts w:asciiTheme="majorBidi" w:eastAsia="Times New Roman" w:hAnsiTheme="majorBidi" w:cstheme="majorBidi"/>
          <w:szCs w:val="24"/>
          <w:lang w:eastAsia="ru-RU"/>
        </w:rPr>
        <w:t>pieteikumu</w:t>
      </w:r>
      <w:r w:rsidR="001418C2">
        <w:rPr>
          <w:rFonts w:asciiTheme="majorBidi" w:eastAsia="Times New Roman" w:hAnsiTheme="majorBidi" w:cstheme="majorBidi"/>
          <w:szCs w:val="24"/>
          <w:lang w:eastAsia="ru-RU"/>
        </w:rPr>
        <w:t xml:space="preserve"> u</w:t>
      </w:r>
      <w:r w:rsidR="00DE35D6">
        <w:t>n lūgumu par pagaidu noregulējuma piemērošanu</w:t>
      </w:r>
      <w:r w:rsidR="00D429B8" w:rsidRPr="00D429B8">
        <w:rPr>
          <w:rFonts w:asciiTheme="majorBidi" w:eastAsia="Times New Roman" w:hAnsiTheme="majorBidi" w:cstheme="majorBidi"/>
          <w:szCs w:val="24"/>
          <w:lang w:eastAsia="ru-RU"/>
        </w:rPr>
        <w:t>.</w:t>
      </w:r>
      <w:r w:rsidR="005B32CA" w:rsidRPr="00D429B8">
        <w:rPr>
          <w:rFonts w:asciiTheme="majorBidi" w:eastAsia="Times New Roman" w:hAnsiTheme="majorBidi" w:cstheme="majorBidi"/>
          <w:szCs w:val="24"/>
          <w:lang w:eastAsia="ru-RU"/>
        </w:rPr>
        <w:t xml:space="preserve"> </w:t>
      </w:r>
    </w:p>
    <w:p w14:paraId="2D9E9752" w14:textId="77777777" w:rsidR="00007043" w:rsidRPr="00D429B8" w:rsidRDefault="00007043" w:rsidP="00A84D84">
      <w:pPr>
        <w:spacing w:after="0" w:line="276" w:lineRule="auto"/>
        <w:ind w:firstLine="720"/>
        <w:jc w:val="both"/>
        <w:rPr>
          <w:rFonts w:asciiTheme="majorBidi" w:eastAsia="Times New Roman" w:hAnsiTheme="majorBidi" w:cstheme="majorBidi"/>
          <w:szCs w:val="24"/>
          <w:lang w:eastAsia="ru-RU"/>
        </w:rPr>
      </w:pPr>
    </w:p>
    <w:p w14:paraId="55F413D1" w14:textId="2EF393C3" w:rsidR="00007043" w:rsidRPr="00D429B8" w:rsidRDefault="00007043" w:rsidP="00A84D84">
      <w:pPr>
        <w:spacing w:after="0" w:line="276" w:lineRule="auto"/>
        <w:ind w:firstLine="720"/>
        <w:jc w:val="both"/>
        <w:rPr>
          <w:rFonts w:asciiTheme="majorBidi" w:eastAsia="Times New Roman" w:hAnsiTheme="majorBidi" w:cstheme="majorBidi"/>
          <w:szCs w:val="24"/>
          <w:lang w:eastAsia="ru-RU"/>
        </w:rPr>
      </w:pPr>
      <w:r w:rsidRPr="00D429B8">
        <w:rPr>
          <w:rFonts w:asciiTheme="majorBidi" w:eastAsia="Times New Roman" w:hAnsiTheme="majorBidi" w:cstheme="majorBidi"/>
          <w:szCs w:val="24"/>
          <w:lang w:eastAsia="ru-RU"/>
        </w:rPr>
        <w:t>[2]</w:t>
      </w:r>
      <w:r w:rsidR="007354DC">
        <w:rPr>
          <w:rFonts w:asciiTheme="majorBidi" w:eastAsia="Times New Roman" w:hAnsiTheme="majorBidi" w:cstheme="majorBidi"/>
          <w:szCs w:val="24"/>
          <w:lang w:eastAsia="ru-RU"/>
        </w:rPr>
        <w:t xml:space="preserve"> </w:t>
      </w:r>
      <w:r w:rsidRPr="00D429B8">
        <w:rPr>
          <w:rFonts w:asciiTheme="majorBidi" w:hAnsiTheme="majorBidi" w:cstheme="majorBidi"/>
          <w:szCs w:val="24"/>
        </w:rPr>
        <w:t>Pārbaudot tiesneša lēmumu</w:t>
      </w:r>
      <w:r w:rsidR="003B2D73">
        <w:rPr>
          <w:rFonts w:asciiTheme="majorBidi" w:hAnsiTheme="majorBidi" w:cstheme="majorBidi"/>
          <w:szCs w:val="24"/>
        </w:rPr>
        <w:t xml:space="preserve"> tā pārsūdzētajā daļā</w:t>
      </w:r>
      <w:r w:rsidRPr="00D429B8">
        <w:rPr>
          <w:rFonts w:asciiTheme="majorBidi" w:hAnsiTheme="majorBidi" w:cstheme="majorBidi"/>
          <w:szCs w:val="24"/>
        </w:rPr>
        <w:t xml:space="preserve"> un blakus sūdzību, senatoru kolēģija pieteicēja</w:t>
      </w:r>
      <w:r w:rsidR="00E140DA" w:rsidRPr="00D429B8">
        <w:rPr>
          <w:rFonts w:asciiTheme="majorBidi" w:hAnsiTheme="majorBidi" w:cstheme="majorBidi"/>
          <w:szCs w:val="24"/>
        </w:rPr>
        <w:t>s</w:t>
      </w:r>
      <w:r w:rsidRPr="00D429B8">
        <w:rPr>
          <w:rFonts w:asciiTheme="majorBidi" w:hAnsiTheme="majorBidi" w:cstheme="majorBidi"/>
          <w:szCs w:val="24"/>
        </w:rPr>
        <w:t xml:space="preserve"> blakus sūdzību </w:t>
      </w:r>
      <w:r w:rsidR="00376C4B" w:rsidRPr="00D429B8">
        <w:rPr>
          <w:rFonts w:asciiTheme="majorBidi" w:hAnsiTheme="majorBidi" w:cstheme="majorBidi"/>
          <w:szCs w:val="24"/>
        </w:rPr>
        <w:t>atzīst</w:t>
      </w:r>
      <w:r w:rsidRPr="00D429B8">
        <w:rPr>
          <w:rFonts w:asciiTheme="majorBidi" w:hAnsiTheme="majorBidi" w:cstheme="majorBidi"/>
          <w:szCs w:val="24"/>
        </w:rPr>
        <w:t xml:space="preserve"> par acīmredzami nepamatotu.</w:t>
      </w:r>
    </w:p>
    <w:p w14:paraId="095FAA42" w14:textId="77777777" w:rsidR="00AD4F92" w:rsidRPr="00D429B8" w:rsidRDefault="00AD4F92" w:rsidP="00A84D84">
      <w:pPr>
        <w:spacing w:after="0" w:line="276" w:lineRule="auto"/>
        <w:ind w:firstLine="720"/>
        <w:jc w:val="both"/>
        <w:rPr>
          <w:rFonts w:asciiTheme="majorBidi" w:eastAsia="Times New Roman" w:hAnsiTheme="majorBidi" w:cstheme="majorBidi"/>
          <w:szCs w:val="24"/>
          <w:lang w:eastAsia="ru-RU"/>
        </w:rPr>
      </w:pPr>
    </w:p>
    <w:p w14:paraId="4AC2961D" w14:textId="790D7351" w:rsidR="00A65826" w:rsidRPr="00256382" w:rsidRDefault="00AD4F92" w:rsidP="00A84D84">
      <w:pPr>
        <w:spacing w:after="0" w:line="276" w:lineRule="auto"/>
        <w:ind w:firstLine="720"/>
        <w:jc w:val="both"/>
        <w:rPr>
          <w:rFonts w:asciiTheme="majorBidi" w:eastAsia="Times New Roman" w:hAnsiTheme="majorBidi" w:cstheme="majorBidi"/>
          <w:szCs w:val="24"/>
          <w:lang w:eastAsia="ru-RU"/>
        </w:rPr>
      </w:pPr>
      <w:r w:rsidRPr="00D429B8">
        <w:rPr>
          <w:rFonts w:asciiTheme="majorBidi" w:eastAsia="Times New Roman" w:hAnsiTheme="majorBidi" w:cstheme="majorBidi"/>
          <w:szCs w:val="24"/>
          <w:lang w:eastAsia="ru-RU"/>
        </w:rPr>
        <w:t>[3]</w:t>
      </w:r>
      <w:r w:rsidR="007354DC">
        <w:rPr>
          <w:rFonts w:asciiTheme="majorBidi" w:eastAsia="Times New Roman" w:hAnsiTheme="majorBidi" w:cstheme="majorBidi"/>
          <w:szCs w:val="24"/>
          <w:lang w:eastAsia="ru-RU"/>
        </w:rPr>
        <w:t xml:space="preserve"> </w:t>
      </w:r>
      <w:r w:rsidR="00700EB6" w:rsidRPr="00D429B8">
        <w:rPr>
          <w:rFonts w:asciiTheme="majorBidi" w:eastAsia="Times New Roman" w:hAnsiTheme="majorBidi" w:cstheme="majorBidi"/>
          <w:szCs w:val="24"/>
          <w:lang w:eastAsia="ru-RU"/>
        </w:rPr>
        <w:t>Tiesnesis</w:t>
      </w:r>
      <w:r w:rsidR="005312C5" w:rsidRPr="00D429B8">
        <w:rPr>
          <w:rFonts w:asciiTheme="majorBidi" w:eastAsia="Times New Roman" w:hAnsiTheme="majorBidi" w:cstheme="majorBidi"/>
          <w:szCs w:val="24"/>
          <w:lang w:eastAsia="ru-RU"/>
        </w:rPr>
        <w:t xml:space="preserve"> </w:t>
      </w:r>
      <w:r w:rsidR="00A65826">
        <w:rPr>
          <w:rFonts w:asciiTheme="majorBidi" w:eastAsia="Times New Roman" w:hAnsiTheme="majorBidi" w:cstheme="majorBidi"/>
          <w:szCs w:val="24"/>
          <w:lang w:eastAsia="ru-RU"/>
        </w:rPr>
        <w:t>lēmumā</w:t>
      </w:r>
      <w:r w:rsidR="005312C5" w:rsidRPr="00D429B8">
        <w:rPr>
          <w:rFonts w:asciiTheme="majorBidi" w:eastAsia="Times New Roman" w:hAnsiTheme="majorBidi" w:cstheme="majorBidi"/>
          <w:szCs w:val="24"/>
          <w:lang w:eastAsia="ru-RU"/>
        </w:rPr>
        <w:t xml:space="preserve"> </w:t>
      </w:r>
      <w:r w:rsidR="00A65826">
        <w:rPr>
          <w:rFonts w:asciiTheme="majorBidi" w:eastAsia="Times New Roman" w:hAnsiTheme="majorBidi" w:cstheme="majorBidi"/>
          <w:szCs w:val="24"/>
          <w:lang w:eastAsia="ru-RU"/>
        </w:rPr>
        <w:t xml:space="preserve">konstatēja, ka </w:t>
      </w:r>
      <w:r w:rsidR="00A65826">
        <w:t>valsts akciju sabiedrība</w:t>
      </w:r>
      <w:r w:rsidR="004C5824">
        <w:t> </w:t>
      </w:r>
      <w:r w:rsidR="00A65826">
        <w:t>,,Latvijas dzelzceļš” (turpmāk – pasūtītāja) izsludināja sarunu procedūr</w:t>
      </w:r>
      <w:r w:rsidR="0081254C">
        <w:t>u</w:t>
      </w:r>
      <w:r w:rsidR="00A65826">
        <w:t xml:space="preserve"> ar publikāciju </w:t>
      </w:r>
      <w:r w:rsidR="00170706">
        <w:t>„</w:t>
      </w:r>
      <w:r w:rsidR="00A65826">
        <w:t xml:space="preserve">Dzelzceļa luksoforu, gaismas diožu sistēmu, to piederumu un rezerves daļu piegāde” (id. Nr. 2023/51-SPAV). </w:t>
      </w:r>
      <w:r w:rsidR="00742FC8">
        <w:t xml:space="preserve">Pasūtītāja </w:t>
      </w:r>
      <w:r w:rsidR="00A65826">
        <w:t>2023.gada 19.maijā pieņ</w:t>
      </w:r>
      <w:r w:rsidR="00742FC8">
        <w:t>ē</w:t>
      </w:r>
      <w:r w:rsidR="00A65826">
        <w:t>m</w:t>
      </w:r>
      <w:r w:rsidR="00742FC8">
        <w:t>a</w:t>
      </w:r>
      <w:r w:rsidR="00A65826">
        <w:t xml:space="preserve"> lēmum</w:t>
      </w:r>
      <w:r w:rsidR="00742FC8">
        <w:t>u</w:t>
      </w:r>
      <w:r w:rsidR="00A65826">
        <w:t xml:space="preserve">, ar kuru sarunu procedūras priekšmeta 3.daļā </w:t>
      </w:r>
      <w:r w:rsidR="006535A7">
        <w:t>,,G</w:t>
      </w:r>
      <w:r w:rsidR="00A65826">
        <w:t>aismas diožu galviņ</w:t>
      </w:r>
      <w:r w:rsidR="006535A7">
        <w:t>as</w:t>
      </w:r>
      <w:r w:rsidR="00A65826">
        <w:t xml:space="preserve"> un sistēm</w:t>
      </w:r>
      <w:r w:rsidR="006535A7">
        <w:t>as”</w:t>
      </w:r>
      <w:r w:rsidR="00A65826">
        <w:t xml:space="preserve"> par uzvarētāju </w:t>
      </w:r>
      <w:r w:rsidR="006535A7">
        <w:t>atzina</w:t>
      </w:r>
      <w:r w:rsidR="00A65826">
        <w:t xml:space="preserve"> </w:t>
      </w:r>
      <w:r w:rsidR="00742FC8">
        <w:t>treš</w:t>
      </w:r>
      <w:r w:rsidR="006535A7">
        <w:t>o</w:t>
      </w:r>
      <w:r w:rsidR="00742FC8">
        <w:t xml:space="preserve"> person</w:t>
      </w:r>
      <w:r w:rsidR="006535A7">
        <w:t>u</w:t>
      </w:r>
      <w:r w:rsidR="00742FC8">
        <w:t xml:space="preserve">, un </w:t>
      </w:r>
      <w:r w:rsidR="00A65826">
        <w:t xml:space="preserve">2023.gada 12.jūnijā ar </w:t>
      </w:r>
      <w:r w:rsidR="006535A7">
        <w:t>uzvarētāju</w:t>
      </w:r>
      <w:r w:rsidR="00A65826">
        <w:t xml:space="preserve"> noslē</w:t>
      </w:r>
      <w:r w:rsidR="00742FC8">
        <w:t>dza</w:t>
      </w:r>
      <w:r w:rsidR="00A65826">
        <w:t xml:space="preserve"> iepirkuma līgum</w:t>
      </w:r>
      <w:r w:rsidR="00742FC8">
        <w:t>u</w:t>
      </w:r>
      <w:r w:rsidR="00746E5F">
        <w:t xml:space="preserve"> (turpmāk – iepirkuma līgums)</w:t>
      </w:r>
      <w:r w:rsidR="00742FC8">
        <w:t>.</w:t>
      </w:r>
      <w:r w:rsidR="00A65826">
        <w:t xml:space="preserve"> </w:t>
      </w:r>
      <w:r w:rsidR="006535A7">
        <w:t>Pieteicēja vērsās tiesā</w:t>
      </w:r>
      <w:r w:rsidR="00256382">
        <w:t xml:space="preserve"> ar pieteikumu par</w:t>
      </w:r>
      <w:r w:rsidR="00765C36">
        <w:t xml:space="preserve"> minētā</w:t>
      </w:r>
      <w:r w:rsidR="00256382">
        <w:t xml:space="preserve"> pasūtītājas lēmuma atzīšanu par prettiesisku, noslēgtā </w:t>
      </w:r>
      <w:r w:rsidR="006535A7">
        <w:t>iepirkuma līgum</w:t>
      </w:r>
      <w:r w:rsidR="00256382">
        <w:t>a</w:t>
      </w:r>
      <w:r w:rsidR="006535A7">
        <w:t xml:space="preserve"> atzī</w:t>
      </w:r>
      <w:r w:rsidR="00256382">
        <w:t>šanu</w:t>
      </w:r>
      <w:r w:rsidR="006535A7">
        <w:t xml:space="preserve"> par spēkā neesošu</w:t>
      </w:r>
      <w:r w:rsidR="009E4EF3">
        <w:t xml:space="preserve">, </w:t>
      </w:r>
      <w:r w:rsidR="00256382">
        <w:t xml:space="preserve">kā arī </w:t>
      </w:r>
      <w:r w:rsidR="009E4EF3">
        <w:t>v</w:t>
      </w:r>
      <w:r w:rsidR="006535A7">
        <w:t xml:space="preserve">ienlaikus lūdza piemērot pagaidu noregulējumu, </w:t>
      </w:r>
      <w:r w:rsidR="009D3039">
        <w:t xml:space="preserve">ar kuru tiktu </w:t>
      </w:r>
      <w:r w:rsidR="006535A7">
        <w:t>aptur</w:t>
      </w:r>
      <w:r w:rsidR="009D3039">
        <w:t>ēta</w:t>
      </w:r>
      <w:r w:rsidR="006535A7">
        <w:t xml:space="preserve"> noslēgtā iepirkuma līguma darbīb</w:t>
      </w:r>
      <w:r w:rsidR="009D3039">
        <w:t>a</w:t>
      </w:r>
      <w:r w:rsidR="006535A7">
        <w:t>.</w:t>
      </w:r>
    </w:p>
    <w:p w14:paraId="129D4C7F" w14:textId="392FDAE6" w:rsidR="006524F1" w:rsidRDefault="00AE7836" w:rsidP="00A84D84">
      <w:pPr>
        <w:spacing w:after="0" w:line="276" w:lineRule="auto"/>
        <w:ind w:firstLine="720"/>
        <w:jc w:val="both"/>
      </w:pPr>
      <w:r>
        <w:t>Tiesnesis ierosināja tiesvedību par lēmuma atzīšanu par prettiesisku. Savukārt saistībā ar pārējiem prasījumiem no</w:t>
      </w:r>
      <w:r>
        <w:lastRenderedPageBreak/>
        <w:t xml:space="preserve">rādīja, </w:t>
      </w:r>
      <w:r w:rsidR="00AA064E" w:rsidRPr="00D51F9B">
        <w:rPr>
          <w:rFonts w:cs="Times New Roman"/>
          <w:szCs w:val="24"/>
        </w:rPr>
        <w:t>ka Sabiedrisko pakalpojumu sniedzēju iepirkum</w:t>
      </w:r>
      <w:r w:rsidR="007354DC">
        <w:rPr>
          <w:rFonts w:cs="Times New Roman"/>
          <w:szCs w:val="24"/>
        </w:rPr>
        <w:t>u</w:t>
      </w:r>
      <w:r w:rsidR="00AA064E" w:rsidRPr="00D51F9B">
        <w:rPr>
          <w:rFonts w:cs="Times New Roman"/>
          <w:szCs w:val="24"/>
        </w:rPr>
        <w:t xml:space="preserve"> likuma 78.panta pirmajā daļā </w:t>
      </w:r>
      <w:r w:rsidR="00D51F9B" w:rsidRPr="00D51F9B">
        <w:rPr>
          <w:rFonts w:cs="Times New Roman"/>
          <w:szCs w:val="24"/>
        </w:rPr>
        <w:t xml:space="preserve">ir izsmeļoši </w:t>
      </w:r>
      <w:r w:rsidR="00AA064E" w:rsidRPr="00D51F9B">
        <w:rPr>
          <w:rFonts w:cs="Times New Roman"/>
          <w:szCs w:val="24"/>
        </w:rPr>
        <w:t>noteikti</w:t>
      </w:r>
      <w:r w:rsidR="00D51F9B" w:rsidRPr="00D51F9B">
        <w:rPr>
          <w:rFonts w:cs="Times New Roman"/>
          <w:szCs w:val="24"/>
        </w:rPr>
        <w:t xml:space="preserve"> tie</w:t>
      </w:r>
      <w:r w:rsidR="00AA064E" w:rsidRPr="00D51F9B">
        <w:rPr>
          <w:rFonts w:cs="Times New Roman"/>
          <w:szCs w:val="24"/>
        </w:rPr>
        <w:t xml:space="preserve"> gadījumi, kad administratīvā tiesa var atzīt iepirkuma līgumu vai vispārīgo vienošanos par spēkā neesošu, grozīt vai atcelt to noteikumus vai saīsināt to termiņu</w:t>
      </w:r>
      <w:r w:rsidR="006331A2">
        <w:rPr>
          <w:rFonts w:cs="Times New Roman"/>
          <w:szCs w:val="24"/>
        </w:rPr>
        <w:t>.</w:t>
      </w:r>
      <w:r w:rsidR="00AA064E" w:rsidRPr="00D51F9B">
        <w:rPr>
          <w:rFonts w:cs="Times New Roman"/>
          <w:szCs w:val="24"/>
        </w:rPr>
        <w:t xml:space="preserve"> </w:t>
      </w:r>
      <w:r w:rsidR="006331A2">
        <w:rPr>
          <w:rFonts w:cs="Times New Roman"/>
          <w:szCs w:val="24"/>
        </w:rPr>
        <w:t>Minētie noteikumi</w:t>
      </w:r>
      <w:r w:rsidR="00D51F9B" w:rsidRPr="00D51F9B">
        <w:rPr>
          <w:rFonts w:cs="Times New Roman"/>
          <w:szCs w:val="24"/>
        </w:rPr>
        <w:t xml:space="preserve"> </w:t>
      </w:r>
      <w:r w:rsidR="00AA064E" w:rsidRPr="00D51F9B">
        <w:rPr>
          <w:rFonts w:cs="Times New Roman"/>
          <w:szCs w:val="24"/>
        </w:rPr>
        <w:t xml:space="preserve">nevar attiekties uz </w:t>
      </w:r>
      <w:r w:rsidR="006524F1">
        <w:t>sabiedrisko pakalpojumu sniedzēja iepirkuma līgumu, kas noslēgts iepirkuma rezultātā, kas nesasniedz Ministru kabineta noteikto robežvērtību</w:t>
      </w:r>
      <w:r w:rsidR="00E0097F">
        <w:t>,</w:t>
      </w:r>
      <w:r w:rsidR="006524F1">
        <w:t xml:space="preserve"> </w:t>
      </w:r>
      <w:r w:rsidR="00E0097F">
        <w:t>jeb</w:t>
      </w:r>
      <w:r w:rsidR="006524F1" w:rsidRPr="00D51F9B">
        <w:rPr>
          <w:rFonts w:cs="Times New Roman"/>
          <w:szCs w:val="24"/>
        </w:rPr>
        <w:t xml:space="preserve"> tā saukt</w:t>
      </w:r>
      <w:r w:rsidR="001C4ABB">
        <w:rPr>
          <w:rFonts w:cs="Times New Roman"/>
          <w:szCs w:val="24"/>
        </w:rPr>
        <w:t>o</w:t>
      </w:r>
      <w:r w:rsidR="006524F1" w:rsidRPr="00D51F9B">
        <w:rPr>
          <w:rFonts w:cs="Times New Roman"/>
          <w:szCs w:val="24"/>
        </w:rPr>
        <w:t xml:space="preserve"> maz</w:t>
      </w:r>
      <w:r w:rsidR="001C4ABB">
        <w:rPr>
          <w:rFonts w:cs="Times New Roman"/>
          <w:szCs w:val="24"/>
        </w:rPr>
        <w:t>o</w:t>
      </w:r>
      <w:r w:rsidR="006524F1" w:rsidRPr="00D51F9B">
        <w:rPr>
          <w:rFonts w:cs="Times New Roman"/>
          <w:szCs w:val="24"/>
        </w:rPr>
        <w:t xml:space="preserve"> iepirkum</w:t>
      </w:r>
      <w:r w:rsidR="001C4ABB">
        <w:rPr>
          <w:rFonts w:cs="Times New Roman"/>
          <w:szCs w:val="24"/>
        </w:rPr>
        <w:t>u</w:t>
      </w:r>
      <w:r w:rsidR="006524F1">
        <w:rPr>
          <w:rFonts w:cs="Times New Roman"/>
          <w:szCs w:val="24"/>
        </w:rPr>
        <w:t xml:space="preserve">, kāds ir konkrētais iepirkums. </w:t>
      </w:r>
    </w:p>
    <w:p w14:paraId="08D8F984" w14:textId="583A6412" w:rsidR="006524F1" w:rsidRDefault="006524F1" w:rsidP="00A84D84">
      <w:pPr>
        <w:spacing w:after="0" w:line="276" w:lineRule="auto"/>
        <w:ind w:firstLine="720"/>
        <w:jc w:val="both"/>
      </w:pPr>
      <w:r>
        <w:t>Tāpēc tiesnesis atzina, ka pieteicējas pieteikums atzīt iepirkuma līgumu par spēkā neesošu no noslēgšanas brīža nav izskatāms administratīvā procesa kārtībā (</w:t>
      </w:r>
      <w:r w:rsidRPr="00671677">
        <w:rPr>
          <w:i/>
          <w:iCs/>
        </w:rPr>
        <w:t>Administratīvā procesa likuma 191.panta pirmās daļas 1.punkts</w:t>
      </w:r>
      <w:r>
        <w:t xml:space="preserve">). Tiesnesis norādīja, ka lūgums par pagaidu noregulējuma piemērošanu (līguma darbības apturēšanu) ir pakārtots pamatprasījumam par līguma atzīšanu par spēkā neesošu. Tā kā tiek atteikts pieņemt pamatprasījumu, nav arī pieļaujams pieteicējas lūgums par pagaidu noregulējumu. </w:t>
      </w:r>
    </w:p>
    <w:p w14:paraId="0123D10E" w14:textId="06E8E99D" w:rsidR="006524F1" w:rsidRDefault="006524F1" w:rsidP="00A84D84">
      <w:pPr>
        <w:spacing w:after="0" w:line="276" w:lineRule="auto"/>
        <w:ind w:firstLine="720"/>
        <w:jc w:val="both"/>
        <w:rPr>
          <w:rFonts w:cs="Times New Roman"/>
          <w:szCs w:val="24"/>
        </w:rPr>
      </w:pPr>
    </w:p>
    <w:p w14:paraId="42527B81" w14:textId="6C1D175B" w:rsidR="00F21145" w:rsidRPr="001C4ABB" w:rsidRDefault="006174DC" w:rsidP="00A84D84">
      <w:pPr>
        <w:spacing w:after="0" w:line="276" w:lineRule="auto"/>
        <w:ind w:firstLine="720"/>
        <w:jc w:val="both"/>
        <w:rPr>
          <w:rFonts w:asciiTheme="majorBidi" w:eastAsia="Times New Roman" w:hAnsiTheme="majorBidi" w:cstheme="majorBidi"/>
          <w:szCs w:val="24"/>
          <w:lang w:eastAsia="ru-RU"/>
        </w:rPr>
      </w:pPr>
      <w:r w:rsidRPr="00F21145">
        <w:rPr>
          <w:rFonts w:asciiTheme="majorBidi" w:eastAsia="Times New Roman" w:hAnsiTheme="majorBidi" w:cstheme="majorBidi"/>
          <w:szCs w:val="24"/>
          <w:lang w:eastAsia="ru-RU"/>
        </w:rPr>
        <w:t>[4]</w:t>
      </w:r>
      <w:r w:rsidR="00C15C17">
        <w:rPr>
          <w:rFonts w:asciiTheme="majorBidi" w:eastAsia="Times New Roman" w:hAnsiTheme="majorBidi" w:cstheme="majorBidi"/>
          <w:szCs w:val="24"/>
          <w:lang w:eastAsia="ru-RU"/>
        </w:rPr>
        <w:t xml:space="preserve"> </w:t>
      </w:r>
      <w:r w:rsidRPr="00F21145">
        <w:rPr>
          <w:rFonts w:asciiTheme="majorBidi" w:eastAsia="Times New Roman" w:hAnsiTheme="majorBidi" w:cstheme="majorBidi"/>
          <w:szCs w:val="24"/>
          <w:lang w:eastAsia="ru-RU"/>
        </w:rPr>
        <w:t xml:space="preserve">Pieteicēja blakus sūdzībā </w:t>
      </w:r>
      <w:r w:rsidR="008C201A" w:rsidRPr="00F21145">
        <w:rPr>
          <w:rFonts w:asciiTheme="majorBidi" w:eastAsia="Times New Roman" w:hAnsiTheme="majorBidi" w:cstheme="majorBidi"/>
          <w:szCs w:val="24"/>
          <w:lang w:eastAsia="ru-RU"/>
        </w:rPr>
        <w:t xml:space="preserve">norādījusi, ka tiesnesis nav </w:t>
      </w:r>
      <w:r w:rsidR="00F72FEF" w:rsidRPr="00F21145">
        <w:rPr>
          <w:rFonts w:asciiTheme="majorBidi" w:eastAsia="Times New Roman" w:hAnsiTheme="majorBidi" w:cstheme="majorBidi"/>
          <w:szCs w:val="24"/>
          <w:lang w:eastAsia="ru-RU"/>
        </w:rPr>
        <w:t>ņēmis vērā</w:t>
      </w:r>
      <w:r w:rsidR="00C86140" w:rsidRPr="00F21145">
        <w:rPr>
          <w:rFonts w:asciiTheme="majorBidi" w:eastAsia="Times New Roman" w:hAnsiTheme="majorBidi" w:cstheme="majorBidi"/>
          <w:szCs w:val="24"/>
          <w:lang w:eastAsia="ru-RU"/>
        </w:rPr>
        <w:t xml:space="preserve"> Senāta atzīto, ka </w:t>
      </w:r>
      <w:r w:rsidR="00E0097F">
        <w:rPr>
          <w:szCs w:val="24"/>
        </w:rPr>
        <w:t>a</w:t>
      </w:r>
      <w:r w:rsidR="006237EC" w:rsidRPr="00F21145">
        <w:rPr>
          <w:szCs w:val="24"/>
        </w:rPr>
        <w:t>dministratīvās tiesas kontrolei ir pakļauti arī tie sabiedrisko pakalpojumu sniedzēju iepirkumi, kuru paredzamā līgumcena nesasniedz Ministru kabineta noteikto</w:t>
      </w:r>
      <w:r w:rsidR="00746E5F">
        <w:rPr>
          <w:szCs w:val="24"/>
        </w:rPr>
        <w:t xml:space="preserve"> robežvērtību</w:t>
      </w:r>
      <w:r w:rsidR="006237EC" w:rsidRPr="00F21145">
        <w:rPr>
          <w:szCs w:val="24"/>
        </w:rPr>
        <w:t xml:space="preserve">. </w:t>
      </w:r>
      <w:r w:rsidR="00F21145" w:rsidRPr="00F21145">
        <w:rPr>
          <w:rFonts w:asciiTheme="majorBidi" w:eastAsia="Times New Roman" w:hAnsiTheme="majorBidi" w:cstheme="majorBidi"/>
          <w:szCs w:val="24"/>
          <w:lang w:eastAsia="ru-RU"/>
        </w:rPr>
        <w:t>Pieteicējas ieskatā</w:t>
      </w:r>
      <w:r w:rsidR="001F02E6">
        <w:rPr>
          <w:rFonts w:asciiTheme="majorBidi" w:eastAsia="Times New Roman" w:hAnsiTheme="majorBidi" w:cstheme="majorBidi"/>
          <w:szCs w:val="24"/>
          <w:lang w:eastAsia="ru-RU"/>
        </w:rPr>
        <w:t>,</w:t>
      </w:r>
      <w:r w:rsidR="00F21145" w:rsidRPr="00F21145">
        <w:rPr>
          <w:rFonts w:asciiTheme="majorBidi" w:eastAsia="Times New Roman" w:hAnsiTheme="majorBidi" w:cstheme="majorBidi"/>
          <w:szCs w:val="24"/>
          <w:lang w:eastAsia="ru-RU"/>
        </w:rPr>
        <w:t xml:space="preserve"> apstākļos, kad </w:t>
      </w:r>
      <w:r w:rsidR="00F21145" w:rsidRPr="00F21145">
        <w:rPr>
          <w:szCs w:val="24"/>
        </w:rPr>
        <w:t>likumdevējs ir paredzējis ierobežotus gadījumus, kad iepirkuma līgumu var atcelt, un tā regulējums ir nepilnīgs, tiesai bija šāds likuma robs jākonstatē un jānovērš, piemērojot analoģiju. Proti, pieteicējas ieskatā</w:t>
      </w:r>
      <w:r w:rsidR="001F02E6">
        <w:rPr>
          <w:szCs w:val="24"/>
        </w:rPr>
        <w:t>,</w:t>
      </w:r>
      <w:r w:rsidR="00F21145" w:rsidRPr="00F21145">
        <w:rPr>
          <w:szCs w:val="24"/>
        </w:rPr>
        <w:t xml:space="preserve"> konkrētais gadījums bija jāizlemj, pamatojoties uz vispār</w:t>
      </w:r>
      <w:r w:rsidR="007712B9">
        <w:rPr>
          <w:szCs w:val="24"/>
        </w:rPr>
        <w:t>ējiem</w:t>
      </w:r>
      <w:r w:rsidR="00F21145" w:rsidRPr="00F21145">
        <w:rPr>
          <w:szCs w:val="24"/>
        </w:rPr>
        <w:t xml:space="preserve"> tiesību principiem.</w:t>
      </w:r>
    </w:p>
    <w:p w14:paraId="38964947" w14:textId="72739D25" w:rsidR="00F21145" w:rsidRDefault="00765C36" w:rsidP="00A84D84">
      <w:pPr>
        <w:spacing w:after="0" w:line="276" w:lineRule="auto"/>
        <w:ind w:firstLine="720"/>
        <w:jc w:val="both"/>
        <w:rPr>
          <w:szCs w:val="24"/>
        </w:rPr>
      </w:pPr>
      <w:r>
        <w:rPr>
          <w:szCs w:val="24"/>
        </w:rPr>
        <w:t>Senatoru kolēģija atzīst, ka p</w:t>
      </w:r>
      <w:r w:rsidR="00F21145">
        <w:rPr>
          <w:szCs w:val="24"/>
        </w:rPr>
        <w:t>ieteicējas argumenti nerada šaubas par rajona tiesas tiesneša lēmuma pamatotību.</w:t>
      </w:r>
    </w:p>
    <w:p w14:paraId="021BEB44" w14:textId="4E01362D" w:rsidR="00B415D3" w:rsidRDefault="001D6396" w:rsidP="00A84D84">
      <w:pPr>
        <w:autoSpaceDE w:val="0"/>
        <w:autoSpaceDN w:val="0"/>
        <w:adjustRightInd w:val="0"/>
        <w:spacing w:after="0" w:line="276" w:lineRule="auto"/>
        <w:ind w:firstLine="720"/>
        <w:jc w:val="both"/>
      </w:pPr>
      <w:r>
        <w:t xml:space="preserve">Tiesnesis ir ņēmis vērā </w:t>
      </w:r>
      <w:r w:rsidR="007D212C">
        <w:rPr>
          <w:rFonts w:asciiTheme="majorBidi" w:hAnsiTheme="majorBidi" w:cstheme="majorBidi"/>
          <w:szCs w:val="24"/>
        </w:rPr>
        <w:t xml:space="preserve">Senāta judikatūrā </w:t>
      </w:r>
      <w:r w:rsidR="001C4ABB">
        <w:rPr>
          <w:rFonts w:asciiTheme="majorBidi" w:hAnsiTheme="majorBidi" w:cstheme="majorBidi"/>
          <w:szCs w:val="24"/>
        </w:rPr>
        <w:t>nostiprināto atziņu</w:t>
      </w:r>
      <w:r w:rsidR="007D212C">
        <w:rPr>
          <w:rFonts w:asciiTheme="majorBidi" w:hAnsiTheme="majorBidi" w:cstheme="majorBidi"/>
          <w:szCs w:val="24"/>
        </w:rPr>
        <w:t>, ka</w:t>
      </w:r>
      <w:r w:rsidR="00B415D3">
        <w:rPr>
          <w:rFonts w:asciiTheme="majorBidi" w:hAnsiTheme="majorBidi" w:cstheme="majorBidi"/>
          <w:szCs w:val="24"/>
        </w:rPr>
        <w:t xml:space="preserve"> a</w:t>
      </w:r>
      <w:r w:rsidR="00B415D3">
        <w:t>dministratīvās tiesas kontrolei ir pakļauti arī tie sabiedrisko pakalpojumu sniedzēju iepirkumi, kuru pare</w:t>
      </w:r>
      <w:r w:rsidR="00B415D3">
        <w:lastRenderedPageBreak/>
        <w:t>dzamā līgumcena nesasniedz Ministru kabineta noteikto</w:t>
      </w:r>
      <w:r w:rsidR="007D212C">
        <w:t xml:space="preserve"> robežvērtību</w:t>
      </w:r>
      <w:r w:rsidR="00B415D3">
        <w:t>. Senāts atzinis, ka uz šiem iepirkumiem pēc analoģijas attiecināms tiesību aizsardzības mehānisms, kurš paredzēts Publisko iepirkumu likuma 9.pantā, proti, t.s. mazā iepirkuma procedūras kontrole (</w:t>
      </w:r>
      <w:r w:rsidR="00B415D3" w:rsidRPr="001D4954">
        <w:rPr>
          <w:i/>
          <w:iCs/>
        </w:rPr>
        <w:t xml:space="preserve">Senāta 2013.gada 1.jūlija lēmums lietā </w:t>
      </w:r>
      <w:hyperlink r:id="rId9" w:history="1">
        <w:r w:rsidR="00B415D3" w:rsidRPr="00A71DD3">
          <w:rPr>
            <w:rStyle w:val="Hyperlink"/>
            <w:i/>
            <w:iCs/>
          </w:rPr>
          <w:t>Nr. SKA-524/2013</w:t>
        </w:r>
      </w:hyperlink>
      <w:r w:rsidR="00B415D3" w:rsidRPr="001D4954">
        <w:rPr>
          <w:i/>
          <w:iCs/>
        </w:rPr>
        <w:t>, 670003813; 2018.gada 27.augusta lēmuma lietā Nr. SKA-1329/2018</w:t>
      </w:r>
      <w:r w:rsidR="001D4954">
        <w:rPr>
          <w:i/>
          <w:iCs/>
        </w:rPr>
        <w:t xml:space="preserve">, </w:t>
      </w:r>
      <w:hyperlink r:id="rId10" w:history="1">
        <w:r w:rsidR="00B415D3" w:rsidRPr="00A71DD3">
          <w:rPr>
            <w:rStyle w:val="Hyperlink"/>
            <w:i/>
            <w:iCs/>
          </w:rPr>
          <w:t>ECLI:LV:AT:2018:0827.A420134917.4.L</w:t>
        </w:r>
      </w:hyperlink>
      <w:r w:rsidR="001D4954">
        <w:rPr>
          <w:i/>
          <w:iCs/>
        </w:rPr>
        <w:t>,</w:t>
      </w:r>
      <w:r w:rsidR="00B415D3" w:rsidRPr="001D4954">
        <w:rPr>
          <w:i/>
          <w:iCs/>
        </w:rPr>
        <w:t xml:space="preserve"> 4.punkts</w:t>
      </w:r>
      <w:r w:rsidR="00B415D3">
        <w:t>).</w:t>
      </w:r>
    </w:p>
    <w:p w14:paraId="5872AD02" w14:textId="49F75629" w:rsidR="00256382" w:rsidRDefault="007712B9" w:rsidP="00A84D84">
      <w:pPr>
        <w:autoSpaceDE w:val="0"/>
        <w:autoSpaceDN w:val="0"/>
        <w:adjustRightInd w:val="0"/>
        <w:spacing w:after="0" w:line="276" w:lineRule="auto"/>
        <w:ind w:firstLine="720"/>
        <w:jc w:val="both"/>
        <w:rPr>
          <w:rFonts w:asciiTheme="majorBidi" w:hAnsiTheme="majorBidi" w:cstheme="majorBidi"/>
          <w:szCs w:val="24"/>
        </w:rPr>
      </w:pPr>
      <w:r>
        <w:t xml:space="preserve">Vienlaikus </w:t>
      </w:r>
      <w:r>
        <w:rPr>
          <w:rFonts w:asciiTheme="majorBidi" w:hAnsiTheme="majorBidi" w:cstheme="majorBidi"/>
          <w:szCs w:val="24"/>
        </w:rPr>
        <w:t>t</w:t>
      </w:r>
      <w:r w:rsidR="00B415D3">
        <w:rPr>
          <w:rFonts w:asciiTheme="majorBidi" w:hAnsiTheme="majorBidi" w:cstheme="majorBidi"/>
          <w:szCs w:val="24"/>
        </w:rPr>
        <w:t>iesnesis pareizi secinā</w:t>
      </w:r>
      <w:r>
        <w:rPr>
          <w:rFonts w:asciiTheme="majorBidi" w:hAnsiTheme="majorBidi" w:cstheme="majorBidi"/>
          <w:szCs w:val="24"/>
        </w:rPr>
        <w:t>ja</w:t>
      </w:r>
      <w:r w:rsidR="00B415D3">
        <w:rPr>
          <w:rFonts w:asciiTheme="majorBidi" w:hAnsiTheme="majorBidi" w:cstheme="majorBidi"/>
          <w:szCs w:val="24"/>
        </w:rPr>
        <w:t xml:space="preserve">, ka </w:t>
      </w:r>
      <w:r w:rsidR="00B415D3" w:rsidRPr="00B415D3">
        <w:rPr>
          <w:szCs w:val="24"/>
        </w:rPr>
        <w:t xml:space="preserve">pieteikumu daļā par līguma atzīšanu par spēkā neesošu ir atsakāms pieņemt, jo uz t.s. mazajiem iepirkumiem ne sistēmiski, ne saturiski nav attiecināms neviens no </w:t>
      </w:r>
      <w:r w:rsidR="00671677">
        <w:rPr>
          <w:szCs w:val="24"/>
        </w:rPr>
        <w:t>Sabiedrisko pakalpojumu sniedzēju iepirkumu</w:t>
      </w:r>
      <w:r w:rsidR="00B415D3" w:rsidRPr="00B415D3">
        <w:rPr>
          <w:szCs w:val="24"/>
        </w:rPr>
        <w:t xml:space="preserve"> likuma </w:t>
      </w:r>
      <w:r w:rsidR="002306BB">
        <w:rPr>
          <w:szCs w:val="24"/>
        </w:rPr>
        <w:t>7</w:t>
      </w:r>
      <w:r w:rsidR="00671677">
        <w:rPr>
          <w:szCs w:val="24"/>
        </w:rPr>
        <w:t>8</w:t>
      </w:r>
      <w:r w:rsidR="002306BB">
        <w:rPr>
          <w:szCs w:val="24"/>
        </w:rPr>
        <w:t xml:space="preserve">.panta </w:t>
      </w:r>
      <w:r w:rsidR="00B415D3" w:rsidRPr="00B415D3">
        <w:rPr>
          <w:rFonts w:eastAsia="Times New Roman" w:cs="Times New Roman"/>
          <w:color w:val="000000"/>
          <w:szCs w:val="24"/>
          <w:lang w:eastAsia="lv-LV"/>
        </w:rPr>
        <w:t>pirmajā daļā</w:t>
      </w:r>
      <w:r w:rsidR="00B415D3">
        <w:rPr>
          <w:rFonts w:eastAsia="Times New Roman" w:cs="Times New Roman"/>
          <w:color w:val="000000"/>
          <w:szCs w:val="24"/>
          <w:lang w:eastAsia="lv-LV"/>
        </w:rPr>
        <w:t xml:space="preserve"> </w:t>
      </w:r>
      <w:r w:rsidR="00B415D3" w:rsidRPr="0017624E">
        <w:rPr>
          <w:rFonts w:asciiTheme="majorBidi" w:hAnsiTheme="majorBidi" w:cstheme="majorBidi"/>
          <w:szCs w:val="24"/>
        </w:rPr>
        <w:t>uzskaitītajiem pamatiem šā iepirkuma rezultātā noslēgtā iepirkuma līguma atzīšanai par spēkā neesošu</w:t>
      </w:r>
      <w:r w:rsidR="00230983">
        <w:rPr>
          <w:rFonts w:asciiTheme="majorBidi" w:hAnsiTheme="majorBidi" w:cstheme="majorBidi"/>
          <w:szCs w:val="24"/>
        </w:rPr>
        <w:t xml:space="preserve">. </w:t>
      </w:r>
      <w:r w:rsidR="00E253ED" w:rsidRPr="00230983">
        <w:rPr>
          <w:szCs w:val="24"/>
        </w:rPr>
        <w:t xml:space="preserve">Atšķirīgu prasību izvirzīšana iepirkuma norisei un atšķirīga tiesas kontrole attiecībā uz </w:t>
      </w:r>
      <w:r w:rsidR="00E253ED">
        <w:rPr>
          <w:szCs w:val="24"/>
        </w:rPr>
        <w:t xml:space="preserve">t.s. </w:t>
      </w:r>
      <w:r w:rsidR="00E253ED" w:rsidRPr="00230983">
        <w:rPr>
          <w:szCs w:val="24"/>
        </w:rPr>
        <w:t>mazajiem iepirkumiem ir skaidra un konsekventa likumdevēja izšķiršanās</w:t>
      </w:r>
      <w:r w:rsidR="001C4ABB">
        <w:rPr>
          <w:szCs w:val="24"/>
        </w:rPr>
        <w:t xml:space="preserve"> </w:t>
      </w:r>
      <w:r w:rsidR="001C4ABB" w:rsidRPr="0017624E">
        <w:rPr>
          <w:rFonts w:asciiTheme="majorBidi" w:hAnsiTheme="majorBidi" w:cstheme="majorBidi"/>
          <w:szCs w:val="24"/>
        </w:rPr>
        <w:t>(</w:t>
      </w:r>
      <w:r w:rsidR="001C4ABB" w:rsidRPr="001F02E6">
        <w:rPr>
          <w:rFonts w:asciiTheme="majorBidi" w:hAnsiTheme="majorBidi" w:cstheme="majorBidi"/>
          <w:szCs w:val="24"/>
        </w:rPr>
        <w:t>s</w:t>
      </w:r>
      <w:r w:rsidR="00472827">
        <w:rPr>
          <w:rFonts w:asciiTheme="majorBidi" w:hAnsiTheme="majorBidi" w:cstheme="majorBidi"/>
          <w:szCs w:val="24"/>
        </w:rPr>
        <w:t>al</w:t>
      </w:r>
      <w:r w:rsidR="001C4ABB" w:rsidRPr="001F02E6">
        <w:rPr>
          <w:rFonts w:asciiTheme="majorBidi" w:hAnsiTheme="majorBidi" w:cstheme="majorBidi"/>
          <w:szCs w:val="24"/>
        </w:rPr>
        <w:t>.</w:t>
      </w:r>
      <w:r w:rsidR="00472827">
        <w:rPr>
          <w:rFonts w:asciiTheme="majorBidi" w:hAnsiTheme="majorBidi" w:cstheme="majorBidi"/>
          <w:szCs w:val="24"/>
        </w:rPr>
        <w:t xml:space="preserve"> attiecībā uz analoģisku </w:t>
      </w:r>
      <w:r w:rsidR="00472827">
        <w:rPr>
          <w:rFonts w:asciiTheme="majorBidi" w:hAnsiTheme="majorBidi" w:cstheme="majorBidi"/>
          <w:szCs w:val="24"/>
        </w:rPr>
        <w:lastRenderedPageBreak/>
        <w:t>principu Publisko iepirkumu likumā:</w:t>
      </w:r>
      <w:r w:rsidR="001C4ABB" w:rsidRPr="0017624E">
        <w:rPr>
          <w:rFonts w:asciiTheme="majorBidi" w:hAnsiTheme="majorBidi" w:cstheme="majorBidi"/>
          <w:i/>
          <w:iCs/>
          <w:szCs w:val="24"/>
        </w:rPr>
        <w:t xml:space="preserve"> Senāta 2016.gada 7.aprīļa lēmum</w:t>
      </w:r>
      <w:r w:rsidR="001C4ABB">
        <w:rPr>
          <w:rFonts w:asciiTheme="majorBidi" w:hAnsiTheme="majorBidi" w:cstheme="majorBidi"/>
          <w:i/>
          <w:iCs/>
          <w:szCs w:val="24"/>
        </w:rPr>
        <w:t>a</w:t>
      </w:r>
      <w:r w:rsidR="001C4ABB" w:rsidRPr="0017624E">
        <w:rPr>
          <w:rFonts w:asciiTheme="majorBidi" w:hAnsiTheme="majorBidi" w:cstheme="majorBidi"/>
          <w:i/>
          <w:iCs/>
          <w:szCs w:val="24"/>
        </w:rPr>
        <w:t xml:space="preserve"> lietā</w:t>
      </w:r>
      <w:r w:rsidR="001C4ABB" w:rsidRPr="0017624E">
        <w:rPr>
          <w:rFonts w:asciiTheme="majorBidi" w:hAnsiTheme="majorBidi" w:cstheme="majorBidi"/>
          <w:szCs w:val="24"/>
        </w:rPr>
        <w:t xml:space="preserve"> </w:t>
      </w:r>
      <w:hyperlink r:id="rId11" w:history="1">
        <w:r w:rsidR="001C4ABB" w:rsidRPr="00A71DD3">
          <w:rPr>
            <w:rStyle w:val="Hyperlink"/>
            <w:rFonts w:asciiTheme="majorBidi" w:hAnsiTheme="majorBidi" w:cstheme="majorBidi"/>
            <w:i/>
            <w:iCs/>
            <w:szCs w:val="24"/>
          </w:rPr>
          <w:t>Nr. SKA-882/2016</w:t>
        </w:r>
      </w:hyperlink>
      <w:r w:rsidR="001C4ABB">
        <w:rPr>
          <w:rFonts w:asciiTheme="majorBidi" w:hAnsiTheme="majorBidi" w:cstheme="majorBidi"/>
          <w:i/>
          <w:iCs/>
          <w:szCs w:val="24"/>
        </w:rPr>
        <w:t>,</w:t>
      </w:r>
      <w:r w:rsidR="001C4ABB" w:rsidRPr="0017624E">
        <w:rPr>
          <w:rFonts w:asciiTheme="majorBidi" w:hAnsiTheme="majorBidi" w:cstheme="majorBidi"/>
          <w:i/>
          <w:iCs/>
          <w:szCs w:val="24"/>
        </w:rPr>
        <w:t xml:space="preserve"> A420147316</w:t>
      </w:r>
      <w:r w:rsidR="001C4ABB">
        <w:rPr>
          <w:rFonts w:asciiTheme="majorBidi" w:hAnsiTheme="majorBidi" w:cstheme="majorBidi"/>
          <w:i/>
          <w:iCs/>
          <w:szCs w:val="24"/>
        </w:rPr>
        <w:t>, 6. un 7.punkt</w:t>
      </w:r>
      <w:r w:rsidR="00D87191">
        <w:rPr>
          <w:rFonts w:asciiTheme="majorBidi" w:hAnsiTheme="majorBidi" w:cstheme="majorBidi"/>
          <w:i/>
          <w:iCs/>
          <w:szCs w:val="24"/>
        </w:rPr>
        <w:t>s</w:t>
      </w:r>
      <w:r w:rsidR="001C4ABB" w:rsidRPr="0017624E">
        <w:rPr>
          <w:rFonts w:asciiTheme="majorBidi" w:hAnsiTheme="majorBidi" w:cstheme="majorBidi"/>
          <w:szCs w:val="24"/>
        </w:rPr>
        <w:t>)</w:t>
      </w:r>
      <w:r w:rsidR="00256382">
        <w:rPr>
          <w:rFonts w:asciiTheme="majorBidi" w:hAnsiTheme="majorBidi" w:cstheme="majorBidi"/>
          <w:szCs w:val="24"/>
        </w:rPr>
        <w:t>.</w:t>
      </w:r>
      <w:r>
        <w:rPr>
          <w:rFonts w:asciiTheme="majorBidi" w:hAnsiTheme="majorBidi" w:cstheme="majorBidi"/>
          <w:szCs w:val="24"/>
        </w:rPr>
        <w:t xml:space="preserve"> </w:t>
      </w:r>
      <w:r w:rsidR="00256382" w:rsidRPr="0017624E">
        <w:rPr>
          <w:rFonts w:asciiTheme="majorBidi" w:eastAsia="Times New Roman" w:hAnsiTheme="majorBidi" w:cstheme="majorBidi"/>
          <w:color w:val="000000"/>
          <w:szCs w:val="24"/>
          <w:lang w:eastAsia="lv-LV"/>
        </w:rPr>
        <w:t>Secīgi tiesnesis pareizi atzin</w:t>
      </w:r>
      <w:r>
        <w:rPr>
          <w:rFonts w:asciiTheme="majorBidi" w:eastAsia="Times New Roman" w:hAnsiTheme="majorBidi" w:cstheme="majorBidi"/>
          <w:color w:val="000000"/>
          <w:szCs w:val="24"/>
          <w:lang w:eastAsia="lv-LV"/>
        </w:rPr>
        <w:t>a</w:t>
      </w:r>
      <w:r w:rsidR="00256382" w:rsidRPr="0017624E">
        <w:rPr>
          <w:rFonts w:asciiTheme="majorBidi" w:eastAsia="Times New Roman" w:hAnsiTheme="majorBidi" w:cstheme="majorBidi"/>
          <w:color w:val="000000"/>
          <w:szCs w:val="24"/>
          <w:lang w:eastAsia="lv-LV"/>
        </w:rPr>
        <w:t xml:space="preserve">, ka atsakāms pieņemt arī pagaidu </w:t>
      </w:r>
      <w:r w:rsidR="00541711">
        <w:rPr>
          <w:rFonts w:asciiTheme="majorBidi" w:eastAsia="Times New Roman" w:hAnsiTheme="majorBidi" w:cstheme="majorBidi"/>
          <w:color w:val="000000"/>
          <w:szCs w:val="24"/>
          <w:lang w:eastAsia="lv-LV"/>
        </w:rPr>
        <w:t>noregulējuma</w:t>
      </w:r>
      <w:r w:rsidR="00256382" w:rsidRPr="0017624E">
        <w:rPr>
          <w:rFonts w:asciiTheme="majorBidi" w:eastAsia="Times New Roman" w:hAnsiTheme="majorBidi" w:cstheme="majorBidi"/>
          <w:color w:val="000000"/>
          <w:szCs w:val="24"/>
          <w:lang w:eastAsia="lv-LV"/>
        </w:rPr>
        <w:t xml:space="preserve"> lūgumu, jo </w:t>
      </w:r>
      <w:r>
        <w:rPr>
          <w:rFonts w:asciiTheme="majorBidi" w:eastAsia="Times New Roman" w:hAnsiTheme="majorBidi" w:cstheme="majorBidi"/>
          <w:color w:val="000000"/>
          <w:szCs w:val="24"/>
          <w:lang w:eastAsia="lv-LV"/>
        </w:rPr>
        <w:t xml:space="preserve">tas ir pakārtots pamatprasījumam, kā arī </w:t>
      </w:r>
      <w:r w:rsidR="00256382" w:rsidRPr="0017624E">
        <w:rPr>
          <w:rFonts w:asciiTheme="majorBidi" w:eastAsia="Times New Roman" w:hAnsiTheme="majorBidi" w:cstheme="majorBidi"/>
          <w:color w:val="000000"/>
          <w:szCs w:val="24"/>
          <w:lang w:eastAsia="lv-LV"/>
        </w:rPr>
        <w:t>prasītais līdzeklis pārsniedz prasījuma robežas pieteikuma daļā, kurā tiesvedība ir ierosināta.</w:t>
      </w:r>
    </w:p>
    <w:p w14:paraId="1D8E1337" w14:textId="77777777" w:rsidR="00C15C17" w:rsidRDefault="00C15C17" w:rsidP="00A84D84">
      <w:pPr>
        <w:autoSpaceDE w:val="0"/>
        <w:autoSpaceDN w:val="0"/>
        <w:adjustRightInd w:val="0"/>
        <w:spacing w:after="0" w:line="276" w:lineRule="auto"/>
        <w:ind w:firstLine="720"/>
        <w:jc w:val="both"/>
        <w:rPr>
          <w:rFonts w:asciiTheme="majorBidi" w:hAnsiTheme="majorBidi" w:cstheme="majorBidi"/>
          <w:szCs w:val="24"/>
        </w:rPr>
      </w:pPr>
    </w:p>
    <w:p w14:paraId="24A9996F" w14:textId="65E50539" w:rsidR="00C15C17" w:rsidRDefault="00C15C17" w:rsidP="00A84D84">
      <w:pPr>
        <w:autoSpaceDE w:val="0"/>
        <w:autoSpaceDN w:val="0"/>
        <w:adjustRightInd w:val="0"/>
        <w:spacing w:after="0" w:line="276" w:lineRule="auto"/>
        <w:ind w:firstLine="720"/>
        <w:jc w:val="both"/>
      </w:pPr>
      <w:r>
        <w:rPr>
          <w:rFonts w:asciiTheme="majorBidi" w:hAnsiTheme="majorBidi" w:cstheme="majorBidi"/>
          <w:szCs w:val="24"/>
        </w:rPr>
        <w:t>[5] P</w:t>
      </w:r>
      <w:r w:rsidR="00E253ED">
        <w:rPr>
          <w:rFonts w:asciiTheme="majorBidi" w:hAnsiTheme="majorBidi" w:cstheme="majorBidi"/>
          <w:szCs w:val="24"/>
        </w:rPr>
        <w:t xml:space="preserve">ieteicēja </w:t>
      </w:r>
      <w:r w:rsidR="007A16DB">
        <w:rPr>
          <w:rFonts w:asciiTheme="majorBidi" w:hAnsiTheme="majorBidi" w:cstheme="majorBidi"/>
          <w:szCs w:val="24"/>
        </w:rPr>
        <w:t xml:space="preserve">blakus sūdzībā </w:t>
      </w:r>
      <w:r>
        <w:rPr>
          <w:rFonts w:asciiTheme="majorBidi" w:hAnsiTheme="majorBidi" w:cstheme="majorBidi"/>
          <w:szCs w:val="24"/>
        </w:rPr>
        <w:t>argumentē</w:t>
      </w:r>
      <w:r w:rsidR="00E253ED">
        <w:rPr>
          <w:rFonts w:asciiTheme="majorBidi" w:hAnsiTheme="majorBidi" w:cstheme="majorBidi"/>
          <w:szCs w:val="24"/>
        </w:rPr>
        <w:t xml:space="preserve">, ka nav nozīmes </w:t>
      </w:r>
      <w:r w:rsidR="00E253ED">
        <w:t>pasūtītājas 2023.gada 19.maija lēmuma tiesiskuma vērtējumam tiesā</w:t>
      </w:r>
      <w:r w:rsidR="00256382">
        <w:t>, jo</w:t>
      </w:r>
      <w:r w:rsidR="001F02E6">
        <w:t>,</w:t>
      </w:r>
      <w:r>
        <w:t xml:space="preserve"> pieteicējas ieskatā</w:t>
      </w:r>
      <w:r w:rsidR="001F02E6">
        <w:t>,</w:t>
      </w:r>
      <w:r w:rsidR="00256382">
        <w:t xml:space="preserve"> tas nenovērsīs </w:t>
      </w:r>
      <w:r>
        <w:t>tā</w:t>
      </w:r>
      <w:r w:rsidR="00256382">
        <w:t>s tiesību aizskārumu</w:t>
      </w:r>
      <w:r w:rsidR="00E253ED">
        <w:t xml:space="preserve">. </w:t>
      </w:r>
    </w:p>
    <w:p w14:paraId="0577E439" w14:textId="1800E056" w:rsidR="00E253ED" w:rsidRPr="00C15C17" w:rsidRDefault="00CB3BFF" w:rsidP="00A84D84">
      <w:pPr>
        <w:autoSpaceDE w:val="0"/>
        <w:autoSpaceDN w:val="0"/>
        <w:adjustRightInd w:val="0"/>
        <w:spacing w:after="0" w:line="276" w:lineRule="auto"/>
        <w:ind w:firstLine="720"/>
        <w:jc w:val="both"/>
      </w:pPr>
      <w:r w:rsidRPr="007372FE">
        <w:rPr>
          <w:szCs w:val="24"/>
        </w:rPr>
        <w:t>P</w:t>
      </w:r>
      <w:r w:rsidR="00C15C17" w:rsidRPr="007372FE">
        <w:rPr>
          <w:szCs w:val="24"/>
        </w:rPr>
        <w:t>asūtītāja</w:t>
      </w:r>
      <w:r w:rsidR="002306BB" w:rsidRPr="007372FE">
        <w:rPr>
          <w:szCs w:val="24"/>
        </w:rPr>
        <w:t>s</w:t>
      </w:r>
      <w:r w:rsidR="00C15C17" w:rsidRPr="007372FE">
        <w:rPr>
          <w:szCs w:val="24"/>
        </w:rPr>
        <w:t xml:space="preserve"> lēmuma atzīšana par prettiesisku ra</w:t>
      </w:r>
      <w:r w:rsidR="002306BB" w:rsidRPr="007372FE">
        <w:rPr>
          <w:szCs w:val="24"/>
        </w:rPr>
        <w:t>dī</w:t>
      </w:r>
      <w:r w:rsidR="001F02E6" w:rsidRPr="007372FE">
        <w:rPr>
          <w:szCs w:val="24"/>
        </w:rPr>
        <w:t>tu</w:t>
      </w:r>
      <w:r w:rsidR="00C15C17" w:rsidRPr="007372FE">
        <w:rPr>
          <w:szCs w:val="24"/>
        </w:rPr>
        <w:t xml:space="preserve"> pamatu zaudējumu atlīdzināšanai, </w:t>
      </w:r>
      <w:r w:rsidR="00A553C7" w:rsidRPr="007372FE">
        <w:rPr>
          <w:szCs w:val="24"/>
        </w:rPr>
        <w:t>un tā nav</w:t>
      </w:r>
      <w:r w:rsidR="00C15C17" w:rsidRPr="007372FE">
        <w:rPr>
          <w:szCs w:val="24"/>
        </w:rPr>
        <w:t xml:space="preserve"> tikai formāla vai šķietama tiesību aizsardzības iespēja.</w:t>
      </w:r>
      <w:r w:rsidRPr="007372FE">
        <w:rPr>
          <w:szCs w:val="24"/>
        </w:rPr>
        <w:t xml:space="preserve"> Lai</w:t>
      </w:r>
      <w:r>
        <w:rPr>
          <w:szCs w:val="24"/>
        </w:rPr>
        <w:t xml:space="preserve"> arī tas pilnībā var nenovērst prettiesiskumu (nenotiek pilnīga restitūcija un jauns tiesisks iepirkums), arī spriedums par prettiesiskumu </w:t>
      </w:r>
      <w:r>
        <w:rPr>
          <w:szCs w:val="24"/>
        </w:rPr>
        <w:lastRenderedPageBreak/>
        <w:t xml:space="preserve">un ar to pamatota zaudējumu atlīdzība ir tiesību aizsardzības mehānismi. Ierobežojot iespēju jebkura pārkāpuma gadījumā atzīt par spēkā neesošu </w:t>
      </w:r>
      <w:r w:rsidR="002959D2">
        <w:rPr>
          <w:szCs w:val="24"/>
        </w:rPr>
        <w:t>noslēgto</w:t>
      </w:r>
      <w:r>
        <w:rPr>
          <w:szCs w:val="24"/>
        </w:rPr>
        <w:t xml:space="preserve"> līgumu, likumdevējs ir līdzsvarojis dažādas intereses – gan </w:t>
      </w:r>
      <w:r w:rsidR="00A553C7">
        <w:rPr>
          <w:szCs w:val="24"/>
        </w:rPr>
        <w:t xml:space="preserve">sabiedrības intereses uz tiesiskām un pārskatāmām iepirkumu procedūrām, gan </w:t>
      </w:r>
      <w:r>
        <w:rPr>
          <w:szCs w:val="24"/>
        </w:rPr>
        <w:t>sabiedrības intereses saņemt pakalpojumus, gan sabiedrisk</w:t>
      </w:r>
      <w:r w:rsidR="00E0097F">
        <w:rPr>
          <w:szCs w:val="24"/>
        </w:rPr>
        <w:t>o</w:t>
      </w:r>
      <w:r>
        <w:rPr>
          <w:szCs w:val="24"/>
        </w:rPr>
        <w:t xml:space="preserve"> pakalpojum</w:t>
      </w:r>
      <w:r w:rsidR="00E0097F">
        <w:rPr>
          <w:szCs w:val="24"/>
        </w:rPr>
        <w:t>u</w:t>
      </w:r>
      <w:r>
        <w:rPr>
          <w:szCs w:val="24"/>
        </w:rPr>
        <w:t xml:space="preserve"> sniedzēju intereses sniegt pakalpojumus, gan komersantu intereses slēgt līgumus ar sabiedrisko pakalpojumu sniedzējiem un tādējādi veikt savu komercdarbību. Līguma atzīšana par spēkā neesošu var būtiski ietekmēt visas šīs intereses, un šāda tiesību aizsardzības instrumenta izmantošana ir paredzēta tikai būtiskos iepirkumu principu pārkāpumu gadījumos</w:t>
      </w:r>
      <w:r w:rsidR="002959D2">
        <w:rPr>
          <w:szCs w:val="24"/>
        </w:rPr>
        <w:t xml:space="preserve"> un tikai tad, ja līgumcena sasniedz noteikt</w:t>
      </w:r>
      <w:r w:rsidR="00472827">
        <w:rPr>
          <w:szCs w:val="24"/>
        </w:rPr>
        <w:t>u</w:t>
      </w:r>
      <w:r w:rsidR="002959D2">
        <w:rPr>
          <w:szCs w:val="24"/>
        </w:rPr>
        <w:t xml:space="preserve"> </w:t>
      </w:r>
      <w:r w:rsidR="00472827">
        <w:rPr>
          <w:szCs w:val="24"/>
        </w:rPr>
        <w:t>robežvērtību</w:t>
      </w:r>
      <w:r>
        <w:rPr>
          <w:szCs w:val="24"/>
        </w:rPr>
        <w:t>.</w:t>
      </w:r>
    </w:p>
    <w:p w14:paraId="250408F2" w14:textId="60CFBABB" w:rsidR="00524798" w:rsidRDefault="00524798" w:rsidP="00A84D84">
      <w:pPr>
        <w:autoSpaceDE w:val="0"/>
        <w:autoSpaceDN w:val="0"/>
        <w:adjustRightInd w:val="0"/>
        <w:spacing w:after="0" w:line="276" w:lineRule="auto"/>
        <w:ind w:firstLine="720"/>
        <w:jc w:val="both"/>
        <w:rPr>
          <w:rFonts w:asciiTheme="majorBidi" w:hAnsiTheme="majorBidi" w:cstheme="majorBidi"/>
          <w:szCs w:val="24"/>
        </w:rPr>
      </w:pPr>
      <w:r>
        <w:rPr>
          <w:szCs w:val="24"/>
        </w:rPr>
        <w:t xml:space="preserve">Savukārt pieteicējas blakus sūdzībā norādītie publisko iepirkumu principi nenosaka kādu noteiktu iepirkuma norises pārbaudes kārtību, līdz ar to </w:t>
      </w:r>
      <w:r w:rsidR="00C15C17">
        <w:rPr>
          <w:szCs w:val="24"/>
        </w:rPr>
        <w:t xml:space="preserve">pieteicējas </w:t>
      </w:r>
      <w:r>
        <w:rPr>
          <w:szCs w:val="24"/>
        </w:rPr>
        <w:t xml:space="preserve">argumenti </w:t>
      </w:r>
      <w:r w:rsidR="00C15C17">
        <w:rPr>
          <w:szCs w:val="24"/>
        </w:rPr>
        <w:t>sais</w:t>
      </w:r>
      <w:r w:rsidR="00C15C17">
        <w:rPr>
          <w:szCs w:val="24"/>
        </w:rPr>
        <w:lastRenderedPageBreak/>
        <w:t xml:space="preserve">tībā ar principu piemērošanu </w:t>
      </w:r>
      <w:r>
        <w:rPr>
          <w:szCs w:val="24"/>
        </w:rPr>
        <w:t>nerada šaubas par tiesneša lēmuma pareizību.</w:t>
      </w:r>
      <w:r w:rsidR="00A553C7">
        <w:rPr>
          <w:szCs w:val="24"/>
        </w:rPr>
        <w:t xml:space="preserve"> Pieteicēja argumentē, ka vismaz būtiskāko iepirkuma principu līmenī jāpastāv tiesas kontrolei arī pār mazajiem iepirkumiem, taču šāda kontrole pieteicējai nav liegta – tā notiks tiesvedībā par to pieteikuma daļu, par kuru lieta ir tikusi ierosināta.</w:t>
      </w:r>
    </w:p>
    <w:p w14:paraId="35033543" w14:textId="77777777" w:rsidR="00A13457" w:rsidRPr="00D429B8" w:rsidRDefault="00A13457" w:rsidP="00A84D84">
      <w:pPr>
        <w:spacing w:after="0" w:line="276" w:lineRule="auto"/>
        <w:ind w:firstLine="720"/>
        <w:jc w:val="both"/>
        <w:rPr>
          <w:rFonts w:asciiTheme="majorBidi" w:hAnsiTheme="majorBidi" w:cstheme="majorBidi"/>
          <w:szCs w:val="24"/>
        </w:rPr>
      </w:pPr>
    </w:p>
    <w:p w14:paraId="6AC7E892" w14:textId="3BAB63C6" w:rsidR="007018BC" w:rsidRPr="00D429B8" w:rsidRDefault="00955536" w:rsidP="00A84D84">
      <w:pPr>
        <w:spacing w:after="0" w:line="276" w:lineRule="auto"/>
        <w:ind w:firstLine="720"/>
        <w:jc w:val="both"/>
        <w:rPr>
          <w:rFonts w:asciiTheme="majorBidi" w:hAnsiTheme="majorBidi" w:cstheme="majorBidi"/>
        </w:rPr>
      </w:pPr>
      <w:r w:rsidRPr="00D429B8">
        <w:rPr>
          <w:rFonts w:asciiTheme="majorBidi" w:hAnsiTheme="majorBidi" w:cstheme="majorBidi"/>
          <w:szCs w:val="24"/>
        </w:rPr>
        <w:t>[</w:t>
      </w:r>
      <w:r w:rsidR="00976765">
        <w:rPr>
          <w:rFonts w:asciiTheme="majorBidi" w:hAnsiTheme="majorBidi" w:cstheme="majorBidi"/>
          <w:szCs w:val="24"/>
        </w:rPr>
        <w:t>6</w:t>
      </w:r>
      <w:r w:rsidRPr="00D429B8">
        <w:rPr>
          <w:rFonts w:asciiTheme="majorBidi" w:hAnsiTheme="majorBidi" w:cstheme="majorBidi"/>
          <w:szCs w:val="24"/>
        </w:rPr>
        <w:t>]</w:t>
      </w:r>
      <w:r w:rsidR="00541711">
        <w:rPr>
          <w:rFonts w:asciiTheme="majorBidi" w:hAnsiTheme="majorBidi" w:cstheme="majorBidi"/>
          <w:szCs w:val="24"/>
        </w:rPr>
        <w:t xml:space="preserve"> </w:t>
      </w:r>
      <w:r w:rsidR="007018BC" w:rsidRPr="00D429B8">
        <w:rPr>
          <w:rFonts w:asciiTheme="majorBidi" w:hAnsiTheme="majorBidi" w:cstheme="majorBidi"/>
        </w:rPr>
        <w:t>Ievērojot minēto, senatoru kolēģija atzīst, ka pieteicēja</w:t>
      </w:r>
      <w:r w:rsidR="007A5F2E">
        <w:rPr>
          <w:rFonts w:asciiTheme="majorBidi" w:hAnsiTheme="majorBidi" w:cstheme="majorBidi"/>
        </w:rPr>
        <w:t>s</w:t>
      </w:r>
      <w:r w:rsidR="007018BC" w:rsidRPr="00D429B8">
        <w:rPr>
          <w:rFonts w:asciiTheme="majorBidi" w:hAnsiTheme="majorBidi" w:cstheme="majorBidi"/>
        </w:rPr>
        <w:t xml:space="preserve"> blakus sūdzība ir acīmredzami nepamatota. Minētais atbilstoši Administratīvā procesa likuma 320.</w:t>
      </w:r>
      <w:r w:rsidR="007018BC" w:rsidRPr="00D429B8">
        <w:rPr>
          <w:rFonts w:asciiTheme="majorBidi" w:hAnsiTheme="majorBidi" w:cstheme="majorBidi"/>
          <w:vertAlign w:val="superscript"/>
        </w:rPr>
        <w:t>1</w:t>
      </w:r>
      <w:r w:rsidR="007018BC" w:rsidRPr="00D429B8">
        <w:rPr>
          <w:rFonts w:asciiTheme="majorBidi" w:hAnsiTheme="majorBidi" w:cstheme="majorBidi"/>
        </w:rPr>
        <w:t>pantam ir pamats atteikumam to izskatīt.</w:t>
      </w:r>
    </w:p>
    <w:p w14:paraId="3D318865" w14:textId="12320FFE" w:rsidR="00FB7267" w:rsidRPr="00D429B8" w:rsidRDefault="00FB7267" w:rsidP="00A84D84">
      <w:pPr>
        <w:spacing w:after="0" w:line="276" w:lineRule="auto"/>
        <w:ind w:firstLine="720"/>
        <w:jc w:val="both"/>
        <w:rPr>
          <w:rFonts w:asciiTheme="majorBidi" w:eastAsia="Times New Roman" w:hAnsiTheme="majorBidi" w:cstheme="majorBidi"/>
          <w:szCs w:val="24"/>
          <w:lang w:eastAsia="ru-RU"/>
        </w:rPr>
      </w:pPr>
    </w:p>
    <w:p w14:paraId="45A6ADC0" w14:textId="7ECFFA51" w:rsidR="00524C39" w:rsidRPr="00D429B8" w:rsidRDefault="008614E0" w:rsidP="00A84D84">
      <w:pPr>
        <w:spacing w:after="0" w:line="276" w:lineRule="auto"/>
        <w:ind w:firstLine="720"/>
        <w:jc w:val="both"/>
        <w:rPr>
          <w:rFonts w:asciiTheme="majorBidi" w:eastAsia="Times New Roman" w:hAnsiTheme="majorBidi" w:cstheme="majorBidi"/>
          <w:szCs w:val="24"/>
          <w:lang w:eastAsia="ru-RU"/>
        </w:rPr>
      </w:pPr>
      <w:r w:rsidRPr="00D429B8">
        <w:rPr>
          <w:rFonts w:asciiTheme="majorBidi" w:eastAsia="Times New Roman" w:hAnsiTheme="majorBidi" w:cstheme="majorBidi"/>
          <w:szCs w:val="24"/>
          <w:lang w:eastAsia="ru-RU"/>
        </w:rPr>
        <w:t>Pamatojoties uz Administratīvā procesa likuma</w:t>
      </w:r>
      <w:r w:rsidR="00246668" w:rsidRPr="00D429B8">
        <w:rPr>
          <w:rFonts w:asciiTheme="majorBidi" w:eastAsia="Times New Roman" w:hAnsiTheme="majorBidi" w:cstheme="majorBidi"/>
          <w:szCs w:val="24"/>
          <w:lang w:eastAsia="ru-RU"/>
        </w:rPr>
        <w:t xml:space="preserve"> </w:t>
      </w:r>
      <w:r w:rsidRPr="00D429B8">
        <w:rPr>
          <w:rFonts w:asciiTheme="majorBidi" w:eastAsia="Times New Roman" w:hAnsiTheme="majorBidi" w:cstheme="majorBidi"/>
          <w:szCs w:val="24"/>
          <w:lang w:eastAsia="ru-RU"/>
        </w:rPr>
        <w:t>320.</w:t>
      </w:r>
      <w:r w:rsidRPr="00D429B8">
        <w:rPr>
          <w:rFonts w:asciiTheme="majorBidi" w:eastAsia="Times New Roman" w:hAnsiTheme="majorBidi" w:cstheme="majorBidi"/>
          <w:szCs w:val="24"/>
          <w:vertAlign w:val="superscript"/>
          <w:lang w:eastAsia="ru-RU"/>
        </w:rPr>
        <w:t>1</w:t>
      </w:r>
      <w:r w:rsidRPr="00D429B8">
        <w:rPr>
          <w:rFonts w:asciiTheme="majorBidi" w:eastAsia="Times New Roman" w:hAnsiTheme="majorBidi" w:cstheme="majorBidi"/>
          <w:szCs w:val="24"/>
          <w:lang w:eastAsia="ru-RU"/>
        </w:rPr>
        <w:t>pantu</w:t>
      </w:r>
      <w:r w:rsidR="00571127" w:rsidRPr="00D429B8">
        <w:rPr>
          <w:rFonts w:asciiTheme="majorBidi" w:eastAsia="Times New Roman" w:hAnsiTheme="majorBidi" w:cstheme="majorBidi"/>
          <w:szCs w:val="24"/>
          <w:lang w:eastAsia="ru-RU"/>
        </w:rPr>
        <w:t xml:space="preserve"> </w:t>
      </w:r>
      <w:r w:rsidR="005662CD" w:rsidRPr="00D429B8">
        <w:rPr>
          <w:rFonts w:asciiTheme="majorBidi" w:eastAsia="Times New Roman" w:hAnsiTheme="majorBidi" w:cstheme="majorBidi"/>
          <w:szCs w:val="24"/>
          <w:lang w:eastAsia="ru-RU"/>
        </w:rPr>
        <w:t>un</w:t>
      </w:r>
      <w:r w:rsidRPr="00D429B8">
        <w:rPr>
          <w:rFonts w:asciiTheme="majorBidi" w:eastAsia="Times New Roman" w:hAnsiTheme="majorBidi" w:cstheme="majorBidi"/>
          <w:szCs w:val="24"/>
          <w:lang w:eastAsia="ru-RU"/>
        </w:rPr>
        <w:t xml:space="preserve"> 338.pant</w:t>
      </w:r>
      <w:r w:rsidR="003449E3" w:rsidRPr="00D429B8">
        <w:rPr>
          <w:rFonts w:asciiTheme="majorBidi" w:eastAsia="Times New Roman" w:hAnsiTheme="majorBidi" w:cstheme="majorBidi"/>
          <w:szCs w:val="24"/>
          <w:lang w:eastAsia="ru-RU"/>
        </w:rPr>
        <w:t>a astoto daļu, senatoru kolēģija</w:t>
      </w:r>
    </w:p>
    <w:p w14:paraId="1B6A21B0" w14:textId="77777777" w:rsidR="005D420B" w:rsidRPr="00D429B8" w:rsidRDefault="005D420B" w:rsidP="007018BC">
      <w:pPr>
        <w:spacing w:after="0" w:line="276" w:lineRule="auto"/>
        <w:ind w:firstLine="720"/>
        <w:jc w:val="both"/>
        <w:rPr>
          <w:rFonts w:asciiTheme="majorBidi" w:eastAsia="Times New Roman" w:hAnsiTheme="majorBidi" w:cstheme="majorBidi"/>
          <w:szCs w:val="24"/>
          <w:lang w:eastAsia="ru-RU"/>
        </w:rPr>
      </w:pPr>
    </w:p>
    <w:p w14:paraId="7BCD2B1E" w14:textId="77777777" w:rsidR="008614E0" w:rsidRPr="006A517F" w:rsidRDefault="008614E0" w:rsidP="005D420B">
      <w:pPr>
        <w:tabs>
          <w:tab w:val="left" w:pos="2700"/>
          <w:tab w:val="left" w:pos="6660"/>
        </w:tabs>
        <w:spacing w:after="0" w:line="276" w:lineRule="auto"/>
        <w:jc w:val="center"/>
        <w:rPr>
          <w:rFonts w:eastAsia="Times New Roman" w:cs="Times New Roman"/>
          <w:b/>
          <w:bCs/>
          <w:szCs w:val="24"/>
          <w:lang w:eastAsia="ru-RU"/>
        </w:rPr>
      </w:pPr>
      <w:r w:rsidRPr="006A517F">
        <w:rPr>
          <w:rFonts w:eastAsia="Times New Roman" w:cs="Times New Roman"/>
          <w:b/>
          <w:szCs w:val="24"/>
          <w:lang w:eastAsia="ru-RU"/>
        </w:rPr>
        <w:t>nolēma</w:t>
      </w:r>
    </w:p>
    <w:p w14:paraId="08FC0980" w14:textId="77777777" w:rsidR="008614E0" w:rsidRPr="00A71DD3" w:rsidRDefault="008614E0" w:rsidP="005D420B">
      <w:pPr>
        <w:tabs>
          <w:tab w:val="left" w:pos="2700"/>
          <w:tab w:val="left" w:pos="6660"/>
        </w:tabs>
        <w:spacing w:after="0" w:line="276" w:lineRule="auto"/>
        <w:ind w:firstLine="720"/>
        <w:jc w:val="both"/>
        <w:rPr>
          <w:rFonts w:eastAsia="Times New Roman" w:cs="Times New Roman"/>
          <w:szCs w:val="24"/>
          <w:lang w:eastAsia="ru-RU"/>
        </w:rPr>
      </w:pPr>
    </w:p>
    <w:p w14:paraId="480520AE" w14:textId="080C072D" w:rsidR="008614E0" w:rsidRPr="00976765" w:rsidRDefault="005D420B" w:rsidP="00976765">
      <w:pPr>
        <w:spacing w:after="0" w:line="276" w:lineRule="auto"/>
        <w:ind w:firstLine="720"/>
        <w:jc w:val="both"/>
        <w:rPr>
          <w:rFonts w:asciiTheme="majorBidi" w:eastAsia="Times New Roman" w:hAnsiTheme="majorBidi" w:cstheme="majorBidi"/>
          <w:szCs w:val="24"/>
          <w:lang w:eastAsia="ru-RU"/>
        </w:rPr>
      </w:pPr>
      <w:r>
        <w:rPr>
          <w:rFonts w:eastAsia="Times New Roman" w:cs="Times New Roman"/>
          <w:szCs w:val="24"/>
          <w:lang w:eastAsia="ru-RU"/>
        </w:rPr>
        <w:lastRenderedPageBreak/>
        <w:t>a</w:t>
      </w:r>
      <w:r w:rsidR="008614E0" w:rsidRPr="006A517F">
        <w:rPr>
          <w:rFonts w:eastAsia="Times New Roman" w:cs="Times New Roman"/>
          <w:szCs w:val="24"/>
          <w:lang w:eastAsia="ru-RU"/>
        </w:rPr>
        <w:t xml:space="preserve">tteikt izskatīt </w:t>
      </w:r>
      <w:r w:rsidR="00541711">
        <w:rPr>
          <w:rFonts w:asciiTheme="majorBidi" w:eastAsia="Times New Roman" w:hAnsiTheme="majorBidi" w:cstheme="majorBidi"/>
          <w:szCs w:val="24"/>
          <w:lang w:eastAsia="ru-RU"/>
        </w:rPr>
        <w:t>UAB ,,Atomeksim</w:t>
      </w:r>
      <w:r w:rsidR="00765C36">
        <w:rPr>
          <w:rFonts w:asciiTheme="majorBidi" w:eastAsia="Times New Roman" w:hAnsiTheme="majorBidi" w:cstheme="majorBidi"/>
          <w:szCs w:val="24"/>
          <w:lang w:eastAsia="ru-RU"/>
        </w:rPr>
        <w:t>”</w:t>
      </w:r>
      <w:r w:rsidR="00541711" w:rsidRPr="006A517F">
        <w:rPr>
          <w:rFonts w:eastAsia="Times New Roman" w:cs="Times New Roman"/>
          <w:szCs w:val="24"/>
          <w:lang w:eastAsia="ru-RU"/>
        </w:rPr>
        <w:t xml:space="preserve"> </w:t>
      </w:r>
      <w:r w:rsidR="008614E0" w:rsidRPr="006A517F">
        <w:rPr>
          <w:rFonts w:eastAsia="Times New Roman" w:cs="Times New Roman"/>
          <w:szCs w:val="24"/>
          <w:lang w:eastAsia="ru-RU"/>
        </w:rPr>
        <w:t>blakus sūdzību par Administrat</w:t>
      </w:r>
      <w:r w:rsidR="00246668" w:rsidRPr="006A517F">
        <w:rPr>
          <w:rFonts w:eastAsia="Times New Roman" w:cs="Times New Roman"/>
          <w:szCs w:val="24"/>
          <w:lang w:eastAsia="ru-RU"/>
        </w:rPr>
        <w:t xml:space="preserve">īvās </w:t>
      </w:r>
      <w:r w:rsidR="00C608B4">
        <w:rPr>
          <w:rFonts w:eastAsia="Times New Roman" w:cs="Times New Roman"/>
          <w:szCs w:val="24"/>
          <w:lang w:eastAsia="ru-RU"/>
        </w:rPr>
        <w:t>rajona tiesas</w:t>
      </w:r>
      <w:r w:rsidR="00246668" w:rsidRPr="006A517F">
        <w:rPr>
          <w:rFonts w:eastAsia="Times New Roman" w:cs="Times New Roman"/>
          <w:szCs w:val="24"/>
          <w:lang w:eastAsia="ru-RU"/>
        </w:rPr>
        <w:t xml:space="preserve"> tiesneša </w:t>
      </w:r>
      <w:r w:rsidR="00845E17" w:rsidRPr="00D429B8">
        <w:rPr>
          <w:rFonts w:asciiTheme="majorBidi" w:eastAsia="Times New Roman" w:hAnsiTheme="majorBidi" w:cstheme="majorBidi"/>
          <w:szCs w:val="24"/>
          <w:lang w:eastAsia="ru-RU"/>
        </w:rPr>
        <w:t xml:space="preserve">2023.gada </w:t>
      </w:r>
      <w:r w:rsidR="00541711">
        <w:rPr>
          <w:rFonts w:asciiTheme="majorBidi" w:eastAsia="Times New Roman" w:hAnsiTheme="majorBidi" w:cstheme="majorBidi"/>
          <w:szCs w:val="24"/>
          <w:lang w:eastAsia="ru-RU"/>
        </w:rPr>
        <w:t>21</w:t>
      </w:r>
      <w:r w:rsidR="00845E17" w:rsidRPr="00D429B8">
        <w:rPr>
          <w:rFonts w:asciiTheme="majorBidi" w:eastAsia="Times New Roman" w:hAnsiTheme="majorBidi" w:cstheme="majorBidi"/>
          <w:szCs w:val="24"/>
          <w:lang w:eastAsia="ru-RU"/>
        </w:rPr>
        <w:t>.</w:t>
      </w:r>
      <w:r w:rsidR="00541711">
        <w:rPr>
          <w:rFonts w:asciiTheme="majorBidi" w:eastAsia="Times New Roman" w:hAnsiTheme="majorBidi" w:cstheme="majorBidi"/>
          <w:szCs w:val="24"/>
          <w:lang w:eastAsia="ru-RU"/>
        </w:rPr>
        <w:t>jūlija lēmumu daļā,</w:t>
      </w:r>
      <w:r w:rsidR="0099667C">
        <w:rPr>
          <w:rFonts w:asciiTheme="majorBidi" w:eastAsia="Times New Roman" w:hAnsiTheme="majorBidi" w:cstheme="majorBidi"/>
          <w:szCs w:val="24"/>
          <w:lang w:eastAsia="ru-RU"/>
        </w:rPr>
        <w:t xml:space="preserve"> ar kuru</w:t>
      </w:r>
      <w:r w:rsidR="00541711">
        <w:rPr>
          <w:rFonts w:asciiTheme="majorBidi" w:eastAsia="Times New Roman" w:hAnsiTheme="majorBidi" w:cstheme="majorBidi"/>
          <w:szCs w:val="24"/>
          <w:lang w:eastAsia="ru-RU"/>
        </w:rPr>
        <w:t xml:space="preserve"> </w:t>
      </w:r>
      <w:r w:rsidR="00541711" w:rsidRPr="00D429B8">
        <w:rPr>
          <w:rFonts w:asciiTheme="majorBidi" w:eastAsia="Times New Roman" w:hAnsiTheme="majorBidi" w:cstheme="majorBidi"/>
          <w:szCs w:val="24"/>
          <w:lang w:eastAsia="ru-RU"/>
        </w:rPr>
        <w:t xml:space="preserve">atteikts pieņemt </w:t>
      </w:r>
      <w:r w:rsidR="00541711">
        <w:rPr>
          <w:rFonts w:asciiTheme="majorBidi" w:eastAsia="Times New Roman" w:hAnsiTheme="majorBidi" w:cstheme="majorBidi"/>
          <w:szCs w:val="24"/>
          <w:lang w:eastAsia="ru-RU"/>
        </w:rPr>
        <w:t>UAB ,,Atomeksim</w:t>
      </w:r>
      <w:r w:rsidR="00A84D84">
        <w:rPr>
          <w:rFonts w:asciiTheme="majorBidi" w:eastAsia="Times New Roman" w:hAnsiTheme="majorBidi" w:cstheme="majorBidi"/>
          <w:szCs w:val="24"/>
          <w:lang w:eastAsia="ru-RU"/>
        </w:rPr>
        <w:t>”</w:t>
      </w:r>
      <w:r w:rsidR="00541711">
        <w:rPr>
          <w:rFonts w:asciiTheme="majorBidi" w:eastAsia="Times New Roman" w:hAnsiTheme="majorBidi" w:cstheme="majorBidi"/>
          <w:szCs w:val="24"/>
          <w:lang w:eastAsia="ru-RU"/>
        </w:rPr>
        <w:t xml:space="preserve"> </w:t>
      </w:r>
      <w:r w:rsidR="00541711" w:rsidRPr="00D429B8">
        <w:rPr>
          <w:rFonts w:asciiTheme="majorBidi" w:eastAsia="Times New Roman" w:hAnsiTheme="majorBidi" w:cstheme="majorBidi"/>
          <w:szCs w:val="24"/>
          <w:lang w:eastAsia="ru-RU"/>
        </w:rPr>
        <w:t>pieteikumu</w:t>
      </w:r>
      <w:r w:rsidR="00541711">
        <w:rPr>
          <w:rFonts w:asciiTheme="majorBidi" w:eastAsia="Times New Roman" w:hAnsiTheme="majorBidi" w:cstheme="majorBidi"/>
          <w:szCs w:val="24"/>
          <w:lang w:eastAsia="ru-RU"/>
        </w:rPr>
        <w:t xml:space="preserve"> u</w:t>
      </w:r>
      <w:r w:rsidR="00541711">
        <w:t>n lūgumu par pagaidu noregulējuma piemērošanu</w:t>
      </w:r>
      <w:r w:rsidR="00976765" w:rsidRPr="00D429B8">
        <w:rPr>
          <w:rFonts w:asciiTheme="majorBidi" w:eastAsia="Times New Roman" w:hAnsiTheme="majorBidi" w:cstheme="majorBidi"/>
          <w:szCs w:val="24"/>
          <w:lang w:eastAsia="ru-RU"/>
        </w:rPr>
        <w:t xml:space="preserve">. </w:t>
      </w:r>
    </w:p>
    <w:p w14:paraId="64194012" w14:textId="77777777" w:rsidR="005D420B" w:rsidRDefault="005D420B" w:rsidP="005D420B">
      <w:pPr>
        <w:tabs>
          <w:tab w:val="left" w:pos="540"/>
          <w:tab w:val="left" w:pos="6660"/>
        </w:tabs>
        <w:spacing w:after="0" w:line="276" w:lineRule="auto"/>
        <w:ind w:firstLine="720"/>
        <w:jc w:val="both"/>
        <w:rPr>
          <w:rFonts w:eastAsia="Times New Roman" w:cs="Times New Roman"/>
          <w:szCs w:val="24"/>
          <w:lang w:eastAsia="ru-RU"/>
        </w:rPr>
      </w:pPr>
    </w:p>
    <w:p w14:paraId="64EBCB50" w14:textId="4A9FAFEB" w:rsidR="00FB0DAE" w:rsidRPr="006A517F" w:rsidRDefault="008614E0" w:rsidP="005D420B">
      <w:pPr>
        <w:tabs>
          <w:tab w:val="left" w:pos="540"/>
          <w:tab w:val="left" w:pos="6660"/>
        </w:tabs>
        <w:spacing w:after="0" w:line="276" w:lineRule="auto"/>
        <w:ind w:firstLine="720"/>
        <w:jc w:val="both"/>
        <w:rPr>
          <w:rFonts w:eastAsia="Times New Roman" w:cs="Times New Roman"/>
          <w:szCs w:val="24"/>
          <w:lang w:eastAsia="ru-RU"/>
        </w:rPr>
      </w:pPr>
      <w:r w:rsidRPr="006A517F">
        <w:rPr>
          <w:rFonts w:eastAsia="Times New Roman" w:cs="Times New Roman"/>
          <w:szCs w:val="24"/>
          <w:lang w:eastAsia="ru-RU"/>
        </w:rPr>
        <w:t>Lēmums nav pārsūdzams.</w:t>
      </w:r>
    </w:p>
    <w:p w14:paraId="745B13B6" w14:textId="4ECE5595" w:rsidR="005960E9" w:rsidRDefault="005960E9" w:rsidP="005D420B">
      <w:pPr>
        <w:tabs>
          <w:tab w:val="left" w:pos="540"/>
          <w:tab w:val="left" w:pos="6660"/>
        </w:tabs>
        <w:spacing w:after="0" w:line="276" w:lineRule="auto"/>
        <w:ind w:firstLine="720"/>
        <w:jc w:val="both"/>
        <w:rPr>
          <w:rFonts w:eastAsia="Times New Roman" w:cs="Times New Roman"/>
          <w:szCs w:val="24"/>
          <w:lang w:eastAsia="ru-RU"/>
        </w:rPr>
      </w:pPr>
    </w:p>
    <w:p w14:paraId="5CB612F0" w14:textId="77777777" w:rsidR="00976765" w:rsidRDefault="00976765" w:rsidP="005D420B">
      <w:pPr>
        <w:tabs>
          <w:tab w:val="left" w:pos="540"/>
          <w:tab w:val="left" w:pos="6660"/>
        </w:tabs>
        <w:spacing w:after="0" w:line="276" w:lineRule="auto"/>
        <w:ind w:firstLine="720"/>
        <w:jc w:val="both"/>
        <w:rPr>
          <w:rFonts w:eastAsia="Times New Roman" w:cs="Times New Roman"/>
          <w:szCs w:val="24"/>
          <w:lang w:eastAsia="ru-RU"/>
        </w:rPr>
      </w:pPr>
    </w:p>
    <w:p w14:paraId="5263226B" w14:textId="77777777" w:rsidR="005960E9" w:rsidRDefault="005960E9" w:rsidP="005D420B">
      <w:pPr>
        <w:tabs>
          <w:tab w:val="left" w:pos="540"/>
          <w:tab w:val="left" w:pos="6660"/>
        </w:tabs>
        <w:spacing w:after="0" w:line="276" w:lineRule="auto"/>
        <w:ind w:firstLine="720"/>
        <w:jc w:val="both"/>
        <w:rPr>
          <w:rFonts w:eastAsia="Times New Roman" w:cs="Times New Roman"/>
          <w:szCs w:val="24"/>
          <w:lang w:eastAsia="ru-RU"/>
        </w:rPr>
      </w:pPr>
    </w:p>
    <w:p w14:paraId="402C3AC3" w14:textId="77777777" w:rsidR="005960E9" w:rsidRDefault="005960E9" w:rsidP="005D420B">
      <w:pPr>
        <w:tabs>
          <w:tab w:val="left" w:pos="540"/>
          <w:tab w:val="left" w:pos="6660"/>
        </w:tabs>
        <w:spacing w:after="0" w:line="276" w:lineRule="auto"/>
        <w:ind w:firstLine="720"/>
        <w:jc w:val="both"/>
        <w:rPr>
          <w:rFonts w:eastAsia="Times New Roman" w:cs="Times New Roman"/>
          <w:szCs w:val="24"/>
          <w:lang w:eastAsia="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976"/>
        <w:gridCol w:w="2687"/>
      </w:tblGrid>
      <w:tr w:rsidR="005960E9" w14:paraId="37DE6043" w14:textId="77777777" w:rsidTr="005960E9">
        <w:tc>
          <w:tcPr>
            <w:tcW w:w="2831" w:type="dxa"/>
          </w:tcPr>
          <w:p w14:paraId="1E490E23" w14:textId="304807E9" w:rsidR="005960E9" w:rsidRPr="007372FE" w:rsidRDefault="005960E9" w:rsidP="003F474B">
            <w:pPr>
              <w:tabs>
                <w:tab w:val="left" w:pos="540"/>
                <w:tab w:val="left" w:pos="6660"/>
              </w:tabs>
              <w:spacing w:line="276" w:lineRule="auto"/>
              <w:jc w:val="center"/>
              <w:rPr>
                <w:rFonts w:eastAsia="Times New Roman" w:cs="Times New Roman"/>
                <w:szCs w:val="24"/>
                <w:lang w:eastAsia="ru-RU"/>
              </w:rPr>
            </w:pPr>
            <w:r w:rsidRPr="007372FE">
              <w:rPr>
                <w:rFonts w:eastAsia="Times New Roman" w:cs="Times New Roman"/>
                <w:szCs w:val="24"/>
                <w:lang w:eastAsia="ru-RU"/>
              </w:rPr>
              <w:t xml:space="preserve">Senatore </w:t>
            </w:r>
            <w:r w:rsidR="007018BC" w:rsidRPr="007372FE">
              <w:rPr>
                <w:rFonts w:eastAsia="Times New Roman" w:cs="Times New Roman"/>
                <w:szCs w:val="24"/>
                <w:lang w:eastAsia="ru-RU"/>
              </w:rPr>
              <w:t>R</w:t>
            </w:r>
            <w:r w:rsidRPr="007372FE">
              <w:rPr>
                <w:rFonts w:eastAsia="Times New Roman" w:cs="Times New Roman"/>
                <w:szCs w:val="24"/>
                <w:lang w:eastAsia="ru-RU"/>
              </w:rPr>
              <w:t>.</w:t>
            </w:r>
            <w:r w:rsidR="00822012" w:rsidRPr="007372FE">
              <w:rPr>
                <w:rFonts w:eastAsia="Times New Roman" w:cs="Times New Roman"/>
                <w:szCs w:val="24"/>
                <w:lang w:eastAsia="ru-RU"/>
              </w:rPr>
              <w:t> </w:t>
            </w:r>
            <w:r w:rsidR="007018BC" w:rsidRPr="007372FE">
              <w:rPr>
                <w:rFonts w:eastAsia="Times New Roman" w:cs="Times New Roman"/>
                <w:szCs w:val="24"/>
                <w:lang w:eastAsia="ru-RU"/>
              </w:rPr>
              <w:t>Vīduša</w:t>
            </w:r>
          </w:p>
        </w:tc>
        <w:tc>
          <w:tcPr>
            <w:tcW w:w="2976" w:type="dxa"/>
          </w:tcPr>
          <w:p w14:paraId="73B023C3" w14:textId="651B60CE" w:rsidR="005960E9" w:rsidRPr="007372FE" w:rsidRDefault="005960E9" w:rsidP="003F474B">
            <w:pPr>
              <w:tabs>
                <w:tab w:val="left" w:pos="540"/>
                <w:tab w:val="left" w:pos="6660"/>
              </w:tabs>
              <w:spacing w:line="276" w:lineRule="auto"/>
              <w:jc w:val="center"/>
              <w:rPr>
                <w:rFonts w:eastAsia="Times New Roman" w:cs="Times New Roman"/>
                <w:szCs w:val="24"/>
                <w:lang w:eastAsia="ru-RU"/>
              </w:rPr>
            </w:pPr>
            <w:r w:rsidRPr="007372FE">
              <w:rPr>
                <w:rFonts w:eastAsia="Times New Roman" w:cs="Times New Roman"/>
                <w:szCs w:val="24"/>
                <w:lang w:eastAsia="ru-RU"/>
              </w:rPr>
              <w:t>Senatore</w:t>
            </w:r>
            <w:r w:rsidR="00BA11FB" w:rsidRPr="007372FE">
              <w:rPr>
                <w:rFonts w:eastAsia="Times New Roman" w:cs="Times New Roman"/>
                <w:szCs w:val="24"/>
                <w:lang w:eastAsia="ru-RU"/>
              </w:rPr>
              <w:t xml:space="preserve"> </w:t>
            </w:r>
            <w:r w:rsidR="007372FE" w:rsidRPr="007372FE">
              <w:rPr>
                <w:rFonts w:eastAsia="Times New Roman" w:cs="Times New Roman"/>
                <w:szCs w:val="24"/>
                <w:lang w:eastAsia="ru-RU"/>
              </w:rPr>
              <w:t>Dz. Amerika</w:t>
            </w:r>
          </w:p>
        </w:tc>
        <w:tc>
          <w:tcPr>
            <w:tcW w:w="2687" w:type="dxa"/>
          </w:tcPr>
          <w:p w14:paraId="4758E1E1" w14:textId="0F2EDAC6" w:rsidR="005960E9" w:rsidRDefault="005960E9" w:rsidP="003F474B">
            <w:pPr>
              <w:tabs>
                <w:tab w:val="left" w:pos="540"/>
                <w:tab w:val="left" w:pos="6660"/>
              </w:tabs>
              <w:spacing w:line="276" w:lineRule="auto"/>
              <w:jc w:val="center"/>
              <w:rPr>
                <w:rFonts w:eastAsia="Times New Roman" w:cs="Times New Roman"/>
                <w:szCs w:val="24"/>
                <w:lang w:eastAsia="ru-RU"/>
              </w:rPr>
            </w:pPr>
            <w:r w:rsidRPr="007372FE">
              <w:rPr>
                <w:rFonts w:eastAsia="Times New Roman" w:cs="Times New Roman"/>
                <w:szCs w:val="24"/>
                <w:lang w:eastAsia="ru-RU"/>
              </w:rPr>
              <w:t>Senatore</w:t>
            </w:r>
            <w:r w:rsidR="00C353F9" w:rsidRPr="007372FE">
              <w:rPr>
                <w:rFonts w:eastAsia="Times New Roman" w:cs="Times New Roman"/>
                <w:szCs w:val="24"/>
                <w:lang w:eastAsia="ru-RU"/>
              </w:rPr>
              <w:t xml:space="preserve"> </w:t>
            </w:r>
            <w:r w:rsidR="007018BC" w:rsidRPr="007372FE">
              <w:rPr>
                <w:rFonts w:eastAsia="Times New Roman" w:cs="Times New Roman"/>
                <w:szCs w:val="24"/>
                <w:lang w:eastAsia="ru-RU"/>
              </w:rPr>
              <w:t>I</w:t>
            </w:r>
            <w:r w:rsidR="00C353F9" w:rsidRPr="007372FE">
              <w:rPr>
                <w:rFonts w:eastAsia="Times New Roman" w:cs="Times New Roman"/>
                <w:szCs w:val="24"/>
                <w:lang w:eastAsia="ru-RU"/>
              </w:rPr>
              <w:t>. </w:t>
            </w:r>
            <w:r w:rsidR="007018BC" w:rsidRPr="007372FE">
              <w:rPr>
                <w:rFonts w:eastAsia="Times New Roman" w:cs="Times New Roman"/>
                <w:szCs w:val="24"/>
                <w:lang w:eastAsia="ru-RU"/>
              </w:rPr>
              <w:t>Višķere</w:t>
            </w:r>
          </w:p>
        </w:tc>
      </w:tr>
    </w:tbl>
    <w:p w14:paraId="6A7EAAA3" w14:textId="331400A1" w:rsidR="00CD700C" w:rsidRPr="006A517F" w:rsidRDefault="00CD700C" w:rsidP="00CD700C">
      <w:pPr>
        <w:tabs>
          <w:tab w:val="left" w:pos="540"/>
          <w:tab w:val="left" w:pos="2700"/>
          <w:tab w:val="left" w:pos="4500"/>
          <w:tab w:val="left" w:pos="6660"/>
        </w:tabs>
        <w:spacing w:after="0" w:line="276" w:lineRule="auto"/>
        <w:ind w:firstLine="567"/>
        <w:jc w:val="both"/>
        <w:rPr>
          <w:rFonts w:eastAsia="Times New Roman" w:cs="Times New Roman"/>
          <w:szCs w:val="24"/>
          <w:lang w:eastAsia="ru-RU"/>
        </w:rPr>
      </w:pPr>
      <w:bookmarkStart w:id="2" w:name="_GoBack"/>
      <w:bookmarkEnd w:id="2"/>
    </w:p>
    <w:sectPr w:rsidR="00CD700C" w:rsidRPr="006A517F" w:rsidSect="0099667C">
      <w:footerReference w:type="default" r:id="rId12"/>
      <w:pgSz w:w="11906" w:h="16838" w:code="9"/>
      <w:pgMar w:top="1134" w:right="1701"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604F5" w14:textId="77777777" w:rsidR="00B36CC5" w:rsidRDefault="00B36CC5">
      <w:pPr>
        <w:spacing w:after="0" w:line="240" w:lineRule="auto"/>
      </w:pPr>
      <w:r>
        <w:separator/>
      </w:r>
    </w:p>
  </w:endnote>
  <w:endnote w:type="continuationSeparator" w:id="0">
    <w:p w14:paraId="6F2EAF85" w14:textId="77777777" w:rsidR="00B36CC5" w:rsidRDefault="00B36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283268047"/>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3D4BC223" w14:textId="2CB97310" w:rsidR="00741EF9" w:rsidRPr="001A2E2F" w:rsidRDefault="00741EF9" w:rsidP="00C102E7">
            <w:pPr>
              <w:pStyle w:val="Footer"/>
              <w:tabs>
                <w:tab w:val="clear" w:pos="8306"/>
                <w:tab w:val="right" w:pos="8504"/>
              </w:tabs>
              <w:jc w:val="center"/>
              <w:rPr>
                <w:sz w:val="20"/>
                <w:szCs w:val="20"/>
              </w:rPr>
            </w:pPr>
            <w:r w:rsidRPr="001A2E2F">
              <w:rPr>
                <w:bCs/>
                <w:sz w:val="20"/>
                <w:szCs w:val="20"/>
              </w:rPr>
              <w:fldChar w:fldCharType="begin"/>
            </w:r>
            <w:r w:rsidRPr="001A2E2F">
              <w:rPr>
                <w:bCs/>
                <w:sz w:val="20"/>
                <w:szCs w:val="20"/>
              </w:rPr>
              <w:instrText xml:space="preserve"> PAGE </w:instrText>
            </w:r>
            <w:r w:rsidRPr="001A2E2F">
              <w:rPr>
                <w:bCs/>
                <w:sz w:val="20"/>
                <w:szCs w:val="20"/>
              </w:rPr>
              <w:fldChar w:fldCharType="separate"/>
            </w:r>
            <w:r w:rsidR="003124A6">
              <w:rPr>
                <w:bCs/>
                <w:noProof/>
                <w:sz w:val="20"/>
                <w:szCs w:val="20"/>
              </w:rPr>
              <w:t>3</w:t>
            </w:r>
            <w:r w:rsidRPr="001A2E2F">
              <w:rPr>
                <w:bCs/>
                <w:sz w:val="20"/>
                <w:szCs w:val="20"/>
              </w:rPr>
              <w:fldChar w:fldCharType="end"/>
            </w:r>
            <w:r w:rsidRPr="001A2E2F">
              <w:rPr>
                <w:sz w:val="20"/>
                <w:szCs w:val="20"/>
              </w:rPr>
              <w:t xml:space="preserve"> no </w:t>
            </w:r>
            <w:r w:rsidRPr="001A2E2F">
              <w:rPr>
                <w:bCs/>
                <w:sz w:val="20"/>
                <w:szCs w:val="20"/>
              </w:rPr>
              <w:fldChar w:fldCharType="begin"/>
            </w:r>
            <w:r w:rsidRPr="001A2E2F">
              <w:rPr>
                <w:bCs/>
                <w:sz w:val="20"/>
                <w:szCs w:val="20"/>
              </w:rPr>
              <w:instrText xml:space="preserve"> NUMPAGES  </w:instrText>
            </w:r>
            <w:r w:rsidRPr="001A2E2F">
              <w:rPr>
                <w:bCs/>
                <w:sz w:val="20"/>
                <w:szCs w:val="20"/>
              </w:rPr>
              <w:fldChar w:fldCharType="separate"/>
            </w:r>
            <w:r w:rsidR="003124A6">
              <w:rPr>
                <w:bCs/>
                <w:noProof/>
                <w:sz w:val="20"/>
                <w:szCs w:val="20"/>
              </w:rPr>
              <w:t>3</w:t>
            </w:r>
            <w:r w:rsidRPr="001A2E2F">
              <w:rPr>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5E585" w14:textId="77777777" w:rsidR="00B36CC5" w:rsidRDefault="00B36CC5">
      <w:pPr>
        <w:spacing w:after="0" w:line="240" w:lineRule="auto"/>
      </w:pPr>
      <w:r>
        <w:separator/>
      </w:r>
    </w:p>
  </w:footnote>
  <w:footnote w:type="continuationSeparator" w:id="0">
    <w:p w14:paraId="573523DE" w14:textId="77777777" w:rsidR="00B36CC5" w:rsidRDefault="00B36C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B23C1B"/>
    <w:multiLevelType w:val="multilevel"/>
    <w:tmpl w:val="59A6ABDA"/>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tabs>
          <w:tab w:val="num" w:pos="0"/>
        </w:tabs>
        <w:ind w:left="0" w:firstLine="851"/>
      </w:pPr>
      <w:rPr>
        <w:rFonts w:ascii="Times New Roman" w:hAnsi="Times New Roman" w:hint="default"/>
      </w:rPr>
    </w:lvl>
    <w:lvl w:ilvl="2">
      <w:start w:val="1"/>
      <w:numFmt w:val="decimal"/>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ascii="Times New Roman" w:eastAsia="Times New Roman" w:hAnsi="Times New Roman" w:cs="Times New Roman"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E0"/>
    <w:rsid w:val="00000546"/>
    <w:rsid w:val="000029BE"/>
    <w:rsid w:val="000055FF"/>
    <w:rsid w:val="00007043"/>
    <w:rsid w:val="000072B6"/>
    <w:rsid w:val="00011920"/>
    <w:rsid w:val="000207B6"/>
    <w:rsid w:val="00021B90"/>
    <w:rsid w:val="00023E4C"/>
    <w:rsid w:val="0002409C"/>
    <w:rsid w:val="000264DA"/>
    <w:rsid w:val="0003626D"/>
    <w:rsid w:val="00036700"/>
    <w:rsid w:val="00040366"/>
    <w:rsid w:val="000440E8"/>
    <w:rsid w:val="000463CE"/>
    <w:rsid w:val="00046B6E"/>
    <w:rsid w:val="000531DD"/>
    <w:rsid w:val="0005672B"/>
    <w:rsid w:val="00060B71"/>
    <w:rsid w:val="00064FD6"/>
    <w:rsid w:val="000666E4"/>
    <w:rsid w:val="00067E52"/>
    <w:rsid w:val="00071B24"/>
    <w:rsid w:val="000759AD"/>
    <w:rsid w:val="00075C9E"/>
    <w:rsid w:val="000806F1"/>
    <w:rsid w:val="0008200A"/>
    <w:rsid w:val="00082121"/>
    <w:rsid w:val="00084C26"/>
    <w:rsid w:val="0008714E"/>
    <w:rsid w:val="00087F27"/>
    <w:rsid w:val="00091E44"/>
    <w:rsid w:val="00092144"/>
    <w:rsid w:val="000942E0"/>
    <w:rsid w:val="00094610"/>
    <w:rsid w:val="0009565F"/>
    <w:rsid w:val="0009665C"/>
    <w:rsid w:val="000A1CEF"/>
    <w:rsid w:val="000A5D4F"/>
    <w:rsid w:val="000B185A"/>
    <w:rsid w:val="000B43CA"/>
    <w:rsid w:val="000B7FD3"/>
    <w:rsid w:val="000C0EDE"/>
    <w:rsid w:val="000C1E76"/>
    <w:rsid w:val="000C2484"/>
    <w:rsid w:val="000C564A"/>
    <w:rsid w:val="000C5B62"/>
    <w:rsid w:val="000D0115"/>
    <w:rsid w:val="000D1BBA"/>
    <w:rsid w:val="000D5CD5"/>
    <w:rsid w:val="000D6030"/>
    <w:rsid w:val="000E0F24"/>
    <w:rsid w:val="000E775E"/>
    <w:rsid w:val="000F377C"/>
    <w:rsid w:val="000F3BC8"/>
    <w:rsid w:val="000F7BCE"/>
    <w:rsid w:val="00101809"/>
    <w:rsid w:val="00103D8B"/>
    <w:rsid w:val="001105F1"/>
    <w:rsid w:val="00112833"/>
    <w:rsid w:val="00113DDC"/>
    <w:rsid w:val="00113FC8"/>
    <w:rsid w:val="00120131"/>
    <w:rsid w:val="00121596"/>
    <w:rsid w:val="00122794"/>
    <w:rsid w:val="001231AF"/>
    <w:rsid w:val="001232A5"/>
    <w:rsid w:val="00131DDC"/>
    <w:rsid w:val="00132D9B"/>
    <w:rsid w:val="001330E5"/>
    <w:rsid w:val="001371EC"/>
    <w:rsid w:val="001375B0"/>
    <w:rsid w:val="001418C2"/>
    <w:rsid w:val="00146182"/>
    <w:rsid w:val="001463CB"/>
    <w:rsid w:val="00151F20"/>
    <w:rsid w:val="00153778"/>
    <w:rsid w:val="001576C6"/>
    <w:rsid w:val="00161D6C"/>
    <w:rsid w:val="0016232F"/>
    <w:rsid w:val="00162ACD"/>
    <w:rsid w:val="00164CC4"/>
    <w:rsid w:val="00166693"/>
    <w:rsid w:val="00170706"/>
    <w:rsid w:val="0017624E"/>
    <w:rsid w:val="00177B18"/>
    <w:rsid w:val="00180F4B"/>
    <w:rsid w:val="00181111"/>
    <w:rsid w:val="00182C96"/>
    <w:rsid w:val="00183BCC"/>
    <w:rsid w:val="00184C7B"/>
    <w:rsid w:val="00184FCA"/>
    <w:rsid w:val="0018533B"/>
    <w:rsid w:val="00187426"/>
    <w:rsid w:val="001974CD"/>
    <w:rsid w:val="001976E9"/>
    <w:rsid w:val="001A2086"/>
    <w:rsid w:val="001A2E2F"/>
    <w:rsid w:val="001A4623"/>
    <w:rsid w:val="001A573E"/>
    <w:rsid w:val="001A5F29"/>
    <w:rsid w:val="001B3E16"/>
    <w:rsid w:val="001B75ED"/>
    <w:rsid w:val="001C40FD"/>
    <w:rsid w:val="001C4ABB"/>
    <w:rsid w:val="001C68C5"/>
    <w:rsid w:val="001C7543"/>
    <w:rsid w:val="001D2576"/>
    <w:rsid w:val="001D4954"/>
    <w:rsid w:val="001D6396"/>
    <w:rsid w:val="001D741F"/>
    <w:rsid w:val="001D7C43"/>
    <w:rsid w:val="001E0F58"/>
    <w:rsid w:val="001E5F52"/>
    <w:rsid w:val="001F02E6"/>
    <w:rsid w:val="001F1F6A"/>
    <w:rsid w:val="00200030"/>
    <w:rsid w:val="002017BC"/>
    <w:rsid w:val="00204E1A"/>
    <w:rsid w:val="002057E9"/>
    <w:rsid w:val="0021163E"/>
    <w:rsid w:val="00211DCE"/>
    <w:rsid w:val="00216564"/>
    <w:rsid w:val="00217AC7"/>
    <w:rsid w:val="00220B4D"/>
    <w:rsid w:val="00222986"/>
    <w:rsid w:val="00224413"/>
    <w:rsid w:val="00224EAF"/>
    <w:rsid w:val="0022624D"/>
    <w:rsid w:val="00226B68"/>
    <w:rsid w:val="00227D9B"/>
    <w:rsid w:val="002306BB"/>
    <w:rsid w:val="00230983"/>
    <w:rsid w:val="00232CCB"/>
    <w:rsid w:val="0023390A"/>
    <w:rsid w:val="002354E7"/>
    <w:rsid w:val="002360DF"/>
    <w:rsid w:val="00236B10"/>
    <w:rsid w:val="00236D51"/>
    <w:rsid w:val="00236E2A"/>
    <w:rsid w:val="00241CDA"/>
    <w:rsid w:val="002420B1"/>
    <w:rsid w:val="00242122"/>
    <w:rsid w:val="00243294"/>
    <w:rsid w:val="002443F9"/>
    <w:rsid w:val="002448A4"/>
    <w:rsid w:val="00246668"/>
    <w:rsid w:val="00247ED4"/>
    <w:rsid w:val="00253EE1"/>
    <w:rsid w:val="00256382"/>
    <w:rsid w:val="0026236C"/>
    <w:rsid w:val="00262B7D"/>
    <w:rsid w:val="0026337D"/>
    <w:rsid w:val="00263F2B"/>
    <w:rsid w:val="0027662B"/>
    <w:rsid w:val="00277BF3"/>
    <w:rsid w:val="00277D4D"/>
    <w:rsid w:val="00277D5B"/>
    <w:rsid w:val="00282506"/>
    <w:rsid w:val="0028620E"/>
    <w:rsid w:val="0029227C"/>
    <w:rsid w:val="002959D2"/>
    <w:rsid w:val="00295FF8"/>
    <w:rsid w:val="00297C3B"/>
    <w:rsid w:val="002A2F75"/>
    <w:rsid w:val="002A41C7"/>
    <w:rsid w:val="002A7582"/>
    <w:rsid w:val="002B5E2C"/>
    <w:rsid w:val="002B6C85"/>
    <w:rsid w:val="002B7F02"/>
    <w:rsid w:val="002C349A"/>
    <w:rsid w:val="002C3C6F"/>
    <w:rsid w:val="002C6B25"/>
    <w:rsid w:val="002C7516"/>
    <w:rsid w:val="002C7EB1"/>
    <w:rsid w:val="002D0954"/>
    <w:rsid w:val="002D5230"/>
    <w:rsid w:val="002D6107"/>
    <w:rsid w:val="002D6D7A"/>
    <w:rsid w:val="002E1098"/>
    <w:rsid w:val="002E61CC"/>
    <w:rsid w:val="002E6490"/>
    <w:rsid w:val="002F15A2"/>
    <w:rsid w:val="002F30FD"/>
    <w:rsid w:val="002F52C5"/>
    <w:rsid w:val="002F5C8C"/>
    <w:rsid w:val="00300195"/>
    <w:rsid w:val="00300E0D"/>
    <w:rsid w:val="003018F9"/>
    <w:rsid w:val="003039A1"/>
    <w:rsid w:val="00305D1F"/>
    <w:rsid w:val="00307D78"/>
    <w:rsid w:val="00307E91"/>
    <w:rsid w:val="003124A6"/>
    <w:rsid w:val="00312EF5"/>
    <w:rsid w:val="00313D9B"/>
    <w:rsid w:val="003141BB"/>
    <w:rsid w:val="00320B23"/>
    <w:rsid w:val="00323E79"/>
    <w:rsid w:val="003242DD"/>
    <w:rsid w:val="00325452"/>
    <w:rsid w:val="00330857"/>
    <w:rsid w:val="00333ED2"/>
    <w:rsid w:val="003346D6"/>
    <w:rsid w:val="00334F7D"/>
    <w:rsid w:val="003370FB"/>
    <w:rsid w:val="00337C7A"/>
    <w:rsid w:val="00343C5F"/>
    <w:rsid w:val="00343FB2"/>
    <w:rsid w:val="003449E3"/>
    <w:rsid w:val="003465BE"/>
    <w:rsid w:val="003517EA"/>
    <w:rsid w:val="00354EB8"/>
    <w:rsid w:val="00357915"/>
    <w:rsid w:val="003611E4"/>
    <w:rsid w:val="00362DF9"/>
    <w:rsid w:val="003633DA"/>
    <w:rsid w:val="00365AAA"/>
    <w:rsid w:val="003673BA"/>
    <w:rsid w:val="0036787B"/>
    <w:rsid w:val="00370F2C"/>
    <w:rsid w:val="0037117D"/>
    <w:rsid w:val="00376C4B"/>
    <w:rsid w:val="0038605C"/>
    <w:rsid w:val="0039110C"/>
    <w:rsid w:val="00391E5E"/>
    <w:rsid w:val="00393C8F"/>
    <w:rsid w:val="003A4C29"/>
    <w:rsid w:val="003A6A38"/>
    <w:rsid w:val="003B1AE4"/>
    <w:rsid w:val="003B2D73"/>
    <w:rsid w:val="003B2FD4"/>
    <w:rsid w:val="003B3BEB"/>
    <w:rsid w:val="003B5DCE"/>
    <w:rsid w:val="003B60CA"/>
    <w:rsid w:val="003C31C3"/>
    <w:rsid w:val="003C6368"/>
    <w:rsid w:val="003D3190"/>
    <w:rsid w:val="003D64F2"/>
    <w:rsid w:val="003E2D72"/>
    <w:rsid w:val="003E3FFB"/>
    <w:rsid w:val="003E5764"/>
    <w:rsid w:val="003E58D0"/>
    <w:rsid w:val="003E7A8E"/>
    <w:rsid w:val="003F2B52"/>
    <w:rsid w:val="003F474B"/>
    <w:rsid w:val="003F657C"/>
    <w:rsid w:val="003F7D79"/>
    <w:rsid w:val="00400FE0"/>
    <w:rsid w:val="004031AE"/>
    <w:rsid w:val="0040569D"/>
    <w:rsid w:val="004140B5"/>
    <w:rsid w:val="0041480B"/>
    <w:rsid w:val="00414B83"/>
    <w:rsid w:val="004172D6"/>
    <w:rsid w:val="00420607"/>
    <w:rsid w:val="00420C60"/>
    <w:rsid w:val="0042715D"/>
    <w:rsid w:val="0042721B"/>
    <w:rsid w:val="00431B6F"/>
    <w:rsid w:val="00432945"/>
    <w:rsid w:val="00433385"/>
    <w:rsid w:val="004344B1"/>
    <w:rsid w:val="00446384"/>
    <w:rsid w:val="004473F4"/>
    <w:rsid w:val="00447E83"/>
    <w:rsid w:val="00452F41"/>
    <w:rsid w:val="0045329F"/>
    <w:rsid w:val="00470330"/>
    <w:rsid w:val="00470CC0"/>
    <w:rsid w:val="0047272A"/>
    <w:rsid w:val="00472827"/>
    <w:rsid w:val="00472AF0"/>
    <w:rsid w:val="004748BD"/>
    <w:rsid w:val="004759B4"/>
    <w:rsid w:val="00475B8A"/>
    <w:rsid w:val="00483EEF"/>
    <w:rsid w:val="00486AA3"/>
    <w:rsid w:val="0049223C"/>
    <w:rsid w:val="004924FF"/>
    <w:rsid w:val="00492BD6"/>
    <w:rsid w:val="004934AB"/>
    <w:rsid w:val="00493D75"/>
    <w:rsid w:val="0049427A"/>
    <w:rsid w:val="0049548A"/>
    <w:rsid w:val="004A1014"/>
    <w:rsid w:val="004A64CB"/>
    <w:rsid w:val="004A7F09"/>
    <w:rsid w:val="004B1C28"/>
    <w:rsid w:val="004B2A71"/>
    <w:rsid w:val="004B6593"/>
    <w:rsid w:val="004C29F7"/>
    <w:rsid w:val="004C4781"/>
    <w:rsid w:val="004C5824"/>
    <w:rsid w:val="004C5AF9"/>
    <w:rsid w:val="004D113A"/>
    <w:rsid w:val="004D1CFD"/>
    <w:rsid w:val="004D4462"/>
    <w:rsid w:val="004D569B"/>
    <w:rsid w:val="004E0892"/>
    <w:rsid w:val="004F1779"/>
    <w:rsid w:val="004F33DD"/>
    <w:rsid w:val="004F4AD6"/>
    <w:rsid w:val="004F58D0"/>
    <w:rsid w:val="00504C96"/>
    <w:rsid w:val="00505B21"/>
    <w:rsid w:val="00511B98"/>
    <w:rsid w:val="00515341"/>
    <w:rsid w:val="0052478D"/>
    <w:rsid w:val="00524798"/>
    <w:rsid w:val="00524C39"/>
    <w:rsid w:val="005255A0"/>
    <w:rsid w:val="005312C5"/>
    <w:rsid w:val="005320D7"/>
    <w:rsid w:val="00534366"/>
    <w:rsid w:val="00535A92"/>
    <w:rsid w:val="00536211"/>
    <w:rsid w:val="00541630"/>
    <w:rsid w:val="00541711"/>
    <w:rsid w:val="00542FC6"/>
    <w:rsid w:val="00546793"/>
    <w:rsid w:val="00546890"/>
    <w:rsid w:val="00547271"/>
    <w:rsid w:val="00551CBD"/>
    <w:rsid w:val="00552C8F"/>
    <w:rsid w:val="00561869"/>
    <w:rsid w:val="00562985"/>
    <w:rsid w:val="00563377"/>
    <w:rsid w:val="005662CD"/>
    <w:rsid w:val="00566A4E"/>
    <w:rsid w:val="00566A74"/>
    <w:rsid w:val="005674AD"/>
    <w:rsid w:val="00571127"/>
    <w:rsid w:val="00575050"/>
    <w:rsid w:val="005757E0"/>
    <w:rsid w:val="00576382"/>
    <w:rsid w:val="0057784A"/>
    <w:rsid w:val="005834CB"/>
    <w:rsid w:val="00586669"/>
    <w:rsid w:val="00594400"/>
    <w:rsid w:val="00595205"/>
    <w:rsid w:val="005960E9"/>
    <w:rsid w:val="00597618"/>
    <w:rsid w:val="005A32BE"/>
    <w:rsid w:val="005A554E"/>
    <w:rsid w:val="005A5DD7"/>
    <w:rsid w:val="005A7090"/>
    <w:rsid w:val="005B287D"/>
    <w:rsid w:val="005B32CA"/>
    <w:rsid w:val="005B3E73"/>
    <w:rsid w:val="005B66C3"/>
    <w:rsid w:val="005C0970"/>
    <w:rsid w:val="005C1250"/>
    <w:rsid w:val="005C2548"/>
    <w:rsid w:val="005C3C61"/>
    <w:rsid w:val="005C4374"/>
    <w:rsid w:val="005C70DF"/>
    <w:rsid w:val="005D050B"/>
    <w:rsid w:val="005D07CF"/>
    <w:rsid w:val="005D0F57"/>
    <w:rsid w:val="005D3842"/>
    <w:rsid w:val="005D420B"/>
    <w:rsid w:val="005D6737"/>
    <w:rsid w:val="005D7B9E"/>
    <w:rsid w:val="005D7FC4"/>
    <w:rsid w:val="005E014C"/>
    <w:rsid w:val="005E4A1A"/>
    <w:rsid w:val="005F07F6"/>
    <w:rsid w:val="005F1958"/>
    <w:rsid w:val="005F1EFA"/>
    <w:rsid w:val="005F3D03"/>
    <w:rsid w:val="005F4A5C"/>
    <w:rsid w:val="005F5BF5"/>
    <w:rsid w:val="005F615A"/>
    <w:rsid w:val="005F7072"/>
    <w:rsid w:val="005F709C"/>
    <w:rsid w:val="0060539B"/>
    <w:rsid w:val="00611D43"/>
    <w:rsid w:val="006129B9"/>
    <w:rsid w:val="006150B1"/>
    <w:rsid w:val="006174DC"/>
    <w:rsid w:val="00622908"/>
    <w:rsid w:val="00623242"/>
    <w:rsid w:val="006237EC"/>
    <w:rsid w:val="006331A2"/>
    <w:rsid w:val="0063502A"/>
    <w:rsid w:val="00640598"/>
    <w:rsid w:val="00640E30"/>
    <w:rsid w:val="00641284"/>
    <w:rsid w:val="00644D8D"/>
    <w:rsid w:val="00651A22"/>
    <w:rsid w:val="006524F1"/>
    <w:rsid w:val="006535A7"/>
    <w:rsid w:val="00654A8F"/>
    <w:rsid w:val="00655793"/>
    <w:rsid w:val="006558F8"/>
    <w:rsid w:val="00657ED8"/>
    <w:rsid w:val="00662E13"/>
    <w:rsid w:val="00671358"/>
    <w:rsid w:val="00671677"/>
    <w:rsid w:val="00672A1F"/>
    <w:rsid w:val="00677CF4"/>
    <w:rsid w:val="00681125"/>
    <w:rsid w:val="00685336"/>
    <w:rsid w:val="006859B2"/>
    <w:rsid w:val="006911AA"/>
    <w:rsid w:val="00692714"/>
    <w:rsid w:val="006943C1"/>
    <w:rsid w:val="006A1F2B"/>
    <w:rsid w:val="006A4C7E"/>
    <w:rsid w:val="006A517F"/>
    <w:rsid w:val="006A532F"/>
    <w:rsid w:val="006B06D1"/>
    <w:rsid w:val="006B2002"/>
    <w:rsid w:val="006B6BEA"/>
    <w:rsid w:val="006B74E3"/>
    <w:rsid w:val="006B7BC7"/>
    <w:rsid w:val="006C29D5"/>
    <w:rsid w:val="006D18CE"/>
    <w:rsid w:val="006D1907"/>
    <w:rsid w:val="006D191F"/>
    <w:rsid w:val="006D3E3A"/>
    <w:rsid w:val="006D552C"/>
    <w:rsid w:val="006D6114"/>
    <w:rsid w:val="006D6F9D"/>
    <w:rsid w:val="006E7E9C"/>
    <w:rsid w:val="006F2FF4"/>
    <w:rsid w:val="006F6E7E"/>
    <w:rsid w:val="00700EB6"/>
    <w:rsid w:val="007018BC"/>
    <w:rsid w:val="0070235F"/>
    <w:rsid w:val="00710D11"/>
    <w:rsid w:val="00716243"/>
    <w:rsid w:val="00722548"/>
    <w:rsid w:val="00723497"/>
    <w:rsid w:val="0072457C"/>
    <w:rsid w:val="00725E25"/>
    <w:rsid w:val="00732CBF"/>
    <w:rsid w:val="007354DC"/>
    <w:rsid w:val="00736CB7"/>
    <w:rsid w:val="007372FE"/>
    <w:rsid w:val="0074136A"/>
    <w:rsid w:val="00741EF9"/>
    <w:rsid w:val="007422B8"/>
    <w:rsid w:val="007425A6"/>
    <w:rsid w:val="00742FC8"/>
    <w:rsid w:val="007459C7"/>
    <w:rsid w:val="00746E5F"/>
    <w:rsid w:val="00747010"/>
    <w:rsid w:val="007473B2"/>
    <w:rsid w:val="00752A1E"/>
    <w:rsid w:val="0075595A"/>
    <w:rsid w:val="00756003"/>
    <w:rsid w:val="0076135D"/>
    <w:rsid w:val="007640C9"/>
    <w:rsid w:val="00764889"/>
    <w:rsid w:val="00765C36"/>
    <w:rsid w:val="00767B49"/>
    <w:rsid w:val="007712B9"/>
    <w:rsid w:val="00772F65"/>
    <w:rsid w:val="007804C1"/>
    <w:rsid w:val="007843F4"/>
    <w:rsid w:val="00795E31"/>
    <w:rsid w:val="00797148"/>
    <w:rsid w:val="007A16DB"/>
    <w:rsid w:val="007A2A37"/>
    <w:rsid w:val="007A50F9"/>
    <w:rsid w:val="007A5F2E"/>
    <w:rsid w:val="007A6521"/>
    <w:rsid w:val="007B020B"/>
    <w:rsid w:val="007B13F3"/>
    <w:rsid w:val="007B35B0"/>
    <w:rsid w:val="007B6F05"/>
    <w:rsid w:val="007C1FCB"/>
    <w:rsid w:val="007C7D33"/>
    <w:rsid w:val="007D12BD"/>
    <w:rsid w:val="007D212C"/>
    <w:rsid w:val="007D6779"/>
    <w:rsid w:val="007D70CF"/>
    <w:rsid w:val="007E2B9C"/>
    <w:rsid w:val="007E3919"/>
    <w:rsid w:val="007E578B"/>
    <w:rsid w:val="007E79AB"/>
    <w:rsid w:val="007E7FAD"/>
    <w:rsid w:val="007F106B"/>
    <w:rsid w:val="007F136A"/>
    <w:rsid w:val="007F738A"/>
    <w:rsid w:val="007F7CFE"/>
    <w:rsid w:val="007F7D39"/>
    <w:rsid w:val="008034B9"/>
    <w:rsid w:val="008043AA"/>
    <w:rsid w:val="00807442"/>
    <w:rsid w:val="008116C4"/>
    <w:rsid w:val="008117F7"/>
    <w:rsid w:val="0081254C"/>
    <w:rsid w:val="00812C14"/>
    <w:rsid w:val="00815BFB"/>
    <w:rsid w:val="008200B3"/>
    <w:rsid w:val="00820425"/>
    <w:rsid w:val="008204A5"/>
    <w:rsid w:val="00821444"/>
    <w:rsid w:val="00821930"/>
    <w:rsid w:val="00822012"/>
    <w:rsid w:val="00823523"/>
    <w:rsid w:val="00823C2E"/>
    <w:rsid w:val="0082479A"/>
    <w:rsid w:val="0082663D"/>
    <w:rsid w:val="00827935"/>
    <w:rsid w:val="00830C18"/>
    <w:rsid w:val="00830F78"/>
    <w:rsid w:val="008319E1"/>
    <w:rsid w:val="00833820"/>
    <w:rsid w:val="00841CB9"/>
    <w:rsid w:val="00842539"/>
    <w:rsid w:val="00845E17"/>
    <w:rsid w:val="0084714C"/>
    <w:rsid w:val="00847A45"/>
    <w:rsid w:val="00850803"/>
    <w:rsid w:val="00850E3D"/>
    <w:rsid w:val="00850E3F"/>
    <w:rsid w:val="00857992"/>
    <w:rsid w:val="00857A12"/>
    <w:rsid w:val="00857FA3"/>
    <w:rsid w:val="00860F37"/>
    <w:rsid w:val="008614E0"/>
    <w:rsid w:val="00861B13"/>
    <w:rsid w:val="00874D5A"/>
    <w:rsid w:val="0087604A"/>
    <w:rsid w:val="00876592"/>
    <w:rsid w:val="00880ED1"/>
    <w:rsid w:val="00884544"/>
    <w:rsid w:val="00885E44"/>
    <w:rsid w:val="00896207"/>
    <w:rsid w:val="008A3A26"/>
    <w:rsid w:val="008A3D5E"/>
    <w:rsid w:val="008A6440"/>
    <w:rsid w:val="008A6AF5"/>
    <w:rsid w:val="008C201A"/>
    <w:rsid w:val="008C619C"/>
    <w:rsid w:val="008D0C46"/>
    <w:rsid w:val="008D4B04"/>
    <w:rsid w:val="008D59E5"/>
    <w:rsid w:val="008D78E9"/>
    <w:rsid w:val="008D7F69"/>
    <w:rsid w:val="008E0D3E"/>
    <w:rsid w:val="008E1841"/>
    <w:rsid w:val="008E705F"/>
    <w:rsid w:val="008F595E"/>
    <w:rsid w:val="008F6695"/>
    <w:rsid w:val="00900B5B"/>
    <w:rsid w:val="00900E89"/>
    <w:rsid w:val="00900FC0"/>
    <w:rsid w:val="00901CD7"/>
    <w:rsid w:val="00905E95"/>
    <w:rsid w:val="00906699"/>
    <w:rsid w:val="00906CB6"/>
    <w:rsid w:val="00907150"/>
    <w:rsid w:val="00912533"/>
    <w:rsid w:val="00914192"/>
    <w:rsid w:val="00914E84"/>
    <w:rsid w:val="009157E8"/>
    <w:rsid w:val="00921289"/>
    <w:rsid w:val="009212FD"/>
    <w:rsid w:val="009215DB"/>
    <w:rsid w:val="009228E1"/>
    <w:rsid w:val="00925CEA"/>
    <w:rsid w:val="00927A1E"/>
    <w:rsid w:val="00927C0B"/>
    <w:rsid w:val="00933D9C"/>
    <w:rsid w:val="0093533F"/>
    <w:rsid w:val="00937C0B"/>
    <w:rsid w:val="009535EF"/>
    <w:rsid w:val="00955536"/>
    <w:rsid w:val="009631DE"/>
    <w:rsid w:val="009648F2"/>
    <w:rsid w:val="00970210"/>
    <w:rsid w:val="00971457"/>
    <w:rsid w:val="00971900"/>
    <w:rsid w:val="00976765"/>
    <w:rsid w:val="009813D9"/>
    <w:rsid w:val="00981EA9"/>
    <w:rsid w:val="00981F8E"/>
    <w:rsid w:val="00986B6D"/>
    <w:rsid w:val="0099248B"/>
    <w:rsid w:val="0099667C"/>
    <w:rsid w:val="00997163"/>
    <w:rsid w:val="009A2E34"/>
    <w:rsid w:val="009A3971"/>
    <w:rsid w:val="009A5191"/>
    <w:rsid w:val="009B12A4"/>
    <w:rsid w:val="009B1925"/>
    <w:rsid w:val="009B4FA0"/>
    <w:rsid w:val="009B5536"/>
    <w:rsid w:val="009B5D28"/>
    <w:rsid w:val="009B6CD3"/>
    <w:rsid w:val="009C03B1"/>
    <w:rsid w:val="009C1131"/>
    <w:rsid w:val="009D02EA"/>
    <w:rsid w:val="009D0EEF"/>
    <w:rsid w:val="009D23F9"/>
    <w:rsid w:val="009D2B73"/>
    <w:rsid w:val="009D3039"/>
    <w:rsid w:val="009D529C"/>
    <w:rsid w:val="009D679E"/>
    <w:rsid w:val="009E1E3B"/>
    <w:rsid w:val="009E4EF3"/>
    <w:rsid w:val="009E57A4"/>
    <w:rsid w:val="009E7AF8"/>
    <w:rsid w:val="009F3B87"/>
    <w:rsid w:val="009F3F08"/>
    <w:rsid w:val="009F45DA"/>
    <w:rsid w:val="009F48BD"/>
    <w:rsid w:val="009F4D7D"/>
    <w:rsid w:val="009F54C3"/>
    <w:rsid w:val="009F658F"/>
    <w:rsid w:val="00A00916"/>
    <w:rsid w:val="00A00F26"/>
    <w:rsid w:val="00A02059"/>
    <w:rsid w:val="00A022EC"/>
    <w:rsid w:val="00A04551"/>
    <w:rsid w:val="00A123C1"/>
    <w:rsid w:val="00A130A1"/>
    <w:rsid w:val="00A13457"/>
    <w:rsid w:val="00A1724D"/>
    <w:rsid w:val="00A17CA6"/>
    <w:rsid w:val="00A20A52"/>
    <w:rsid w:val="00A265F5"/>
    <w:rsid w:val="00A30016"/>
    <w:rsid w:val="00A30F26"/>
    <w:rsid w:val="00A31009"/>
    <w:rsid w:val="00A32582"/>
    <w:rsid w:val="00A45B54"/>
    <w:rsid w:val="00A47A6A"/>
    <w:rsid w:val="00A52E6D"/>
    <w:rsid w:val="00A553C7"/>
    <w:rsid w:val="00A559D6"/>
    <w:rsid w:val="00A63587"/>
    <w:rsid w:val="00A635EA"/>
    <w:rsid w:val="00A65826"/>
    <w:rsid w:val="00A71DD3"/>
    <w:rsid w:val="00A72310"/>
    <w:rsid w:val="00A758EF"/>
    <w:rsid w:val="00A8207F"/>
    <w:rsid w:val="00A83059"/>
    <w:rsid w:val="00A844FA"/>
    <w:rsid w:val="00A84D84"/>
    <w:rsid w:val="00A901E1"/>
    <w:rsid w:val="00A90DA5"/>
    <w:rsid w:val="00A975C7"/>
    <w:rsid w:val="00AA064E"/>
    <w:rsid w:val="00AA2D4B"/>
    <w:rsid w:val="00AA5146"/>
    <w:rsid w:val="00AA782D"/>
    <w:rsid w:val="00AA7AE3"/>
    <w:rsid w:val="00AA7F2B"/>
    <w:rsid w:val="00AB185B"/>
    <w:rsid w:val="00AB563F"/>
    <w:rsid w:val="00AC06F5"/>
    <w:rsid w:val="00AC35AE"/>
    <w:rsid w:val="00AC58B8"/>
    <w:rsid w:val="00AD30E4"/>
    <w:rsid w:val="00AD3A4F"/>
    <w:rsid w:val="00AD4F92"/>
    <w:rsid w:val="00AE13EA"/>
    <w:rsid w:val="00AE1BB0"/>
    <w:rsid w:val="00AE22AA"/>
    <w:rsid w:val="00AE3AFB"/>
    <w:rsid w:val="00AE7836"/>
    <w:rsid w:val="00AF37E5"/>
    <w:rsid w:val="00AF420E"/>
    <w:rsid w:val="00AF5675"/>
    <w:rsid w:val="00AF6EA8"/>
    <w:rsid w:val="00AF7F4C"/>
    <w:rsid w:val="00B12E25"/>
    <w:rsid w:val="00B16AA8"/>
    <w:rsid w:val="00B176D8"/>
    <w:rsid w:val="00B17FBB"/>
    <w:rsid w:val="00B21982"/>
    <w:rsid w:val="00B23474"/>
    <w:rsid w:val="00B24267"/>
    <w:rsid w:val="00B24FC3"/>
    <w:rsid w:val="00B3488C"/>
    <w:rsid w:val="00B36CC5"/>
    <w:rsid w:val="00B415D3"/>
    <w:rsid w:val="00B41F8A"/>
    <w:rsid w:val="00B42DD8"/>
    <w:rsid w:val="00B505A2"/>
    <w:rsid w:val="00B51077"/>
    <w:rsid w:val="00B61154"/>
    <w:rsid w:val="00B662F1"/>
    <w:rsid w:val="00B730DD"/>
    <w:rsid w:val="00B75553"/>
    <w:rsid w:val="00B8022B"/>
    <w:rsid w:val="00B81C15"/>
    <w:rsid w:val="00B82361"/>
    <w:rsid w:val="00B823C0"/>
    <w:rsid w:val="00B83B96"/>
    <w:rsid w:val="00B84096"/>
    <w:rsid w:val="00B85A0C"/>
    <w:rsid w:val="00B86364"/>
    <w:rsid w:val="00B87A6C"/>
    <w:rsid w:val="00B91205"/>
    <w:rsid w:val="00B9362F"/>
    <w:rsid w:val="00B93983"/>
    <w:rsid w:val="00B944E6"/>
    <w:rsid w:val="00B95246"/>
    <w:rsid w:val="00BA11FB"/>
    <w:rsid w:val="00BA3DF6"/>
    <w:rsid w:val="00BA6790"/>
    <w:rsid w:val="00BB0D68"/>
    <w:rsid w:val="00BB1EDD"/>
    <w:rsid w:val="00BB221A"/>
    <w:rsid w:val="00BB2915"/>
    <w:rsid w:val="00BB48A6"/>
    <w:rsid w:val="00BC2C7A"/>
    <w:rsid w:val="00BC3CE2"/>
    <w:rsid w:val="00BC5208"/>
    <w:rsid w:val="00BC6968"/>
    <w:rsid w:val="00BD692A"/>
    <w:rsid w:val="00BE1C74"/>
    <w:rsid w:val="00BE1EC5"/>
    <w:rsid w:val="00BE2400"/>
    <w:rsid w:val="00BE359F"/>
    <w:rsid w:val="00BE45A9"/>
    <w:rsid w:val="00BF1F23"/>
    <w:rsid w:val="00BF40BE"/>
    <w:rsid w:val="00BF4EC8"/>
    <w:rsid w:val="00C0183A"/>
    <w:rsid w:val="00C01BDD"/>
    <w:rsid w:val="00C02C2C"/>
    <w:rsid w:val="00C03AAF"/>
    <w:rsid w:val="00C03D14"/>
    <w:rsid w:val="00C061F2"/>
    <w:rsid w:val="00C072D7"/>
    <w:rsid w:val="00C07593"/>
    <w:rsid w:val="00C07EDE"/>
    <w:rsid w:val="00C102E7"/>
    <w:rsid w:val="00C11639"/>
    <w:rsid w:val="00C15C17"/>
    <w:rsid w:val="00C15FFA"/>
    <w:rsid w:val="00C20E07"/>
    <w:rsid w:val="00C21049"/>
    <w:rsid w:val="00C219AF"/>
    <w:rsid w:val="00C227AF"/>
    <w:rsid w:val="00C231B4"/>
    <w:rsid w:val="00C243FB"/>
    <w:rsid w:val="00C24A9E"/>
    <w:rsid w:val="00C258BF"/>
    <w:rsid w:val="00C30E32"/>
    <w:rsid w:val="00C31415"/>
    <w:rsid w:val="00C33E46"/>
    <w:rsid w:val="00C34F15"/>
    <w:rsid w:val="00C353F9"/>
    <w:rsid w:val="00C4070C"/>
    <w:rsid w:val="00C40821"/>
    <w:rsid w:val="00C41382"/>
    <w:rsid w:val="00C41937"/>
    <w:rsid w:val="00C41AD7"/>
    <w:rsid w:val="00C4358C"/>
    <w:rsid w:val="00C46D67"/>
    <w:rsid w:val="00C47214"/>
    <w:rsid w:val="00C52B20"/>
    <w:rsid w:val="00C55A4E"/>
    <w:rsid w:val="00C56578"/>
    <w:rsid w:val="00C60750"/>
    <w:rsid w:val="00C608B4"/>
    <w:rsid w:val="00C61053"/>
    <w:rsid w:val="00C61554"/>
    <w:rsid w:val="00C63E5B"/>
    <w:rsid w:val="00C65918"/>
    <w:rsid w:val="00C66A48"/>
    <w:rsid w:val="00C67AC6"/>
    <w:rsid w:val="00C71F97"/>
    <w:rsid w:val="00C75FBD"/>
    <w:rsid w:val="00C80953"/>
    <w:rsid w:val="00C81DF1"/>
    <w:rsid w:val="00C8204C"/>
    <w:rsid w:val="00C82426"/>
    <w:rsid w:val="00C83134"/>
    <w:rsid w:val="00C83CFF"/>
    <w:rsid w:val="00C86140"/>
    <w:rsid w:val="00C90AA1"/>
    <w:rsid w:val="00CA0EA1"/>
    <w:rsid w:val="00CA3403"/>
    <w:rsid w:val="00CA6774"/>
    <w:rsid w:val="00CA6923"/>
    <w:rsid w:val="00CB3BFF"/>
    <w:rsid w:val="00CB7181"/>
    <w:rsid w:val="00CC0562"/>
    <w:rsid w:val="00CC4D3D"/>
    <w:rsid w:val="00CC725A"/>
    <w:rsid w:val="00CC76ED"/>
    <w:rsid w:val="00CD1061"/>
    <w:rsid w:val="00CD4BCF"/>
    <w:rsid w:val="00CD4FFC"/>
    <w:rsid w:val="00CD700C"/>
    <w:rsid w:val="00CD756F"/>
    <w:rsid w:val="00CE0ECF"/>
    <w:rsid w:val="00CE1CFE"/>
    <w:rsid w:val="00CE29D5"/>
    <w:rsid w:val="00CE531E"/>
    <w:rsid w:val="00CE5674"/>
    <w:rsid w:val="00CF05CB"/>
    <w:rsid w:val="00CF19B9"/>
    <w:rsid w:val="00CF339A"/>
    <w:rsid w:val="00CF6E2E"/>
    <w:rsid w:val="00D02A4B"/>
    <w:rsid w:val="00D07772"/>
    <w:rsid w:val="00D148E8"/>
    <w:rsid w:val="00D15831"/>
    <w:rsid w:val="00D21944"/>
    <w:rsid w:val="00D2401B"/>
    <w:rsid w:val="00D27E28"/>
    <w:rsid w:val="00D315FF"/>
    <w:rsid w:val="00D405F6"/>
    <w:rsid w:val="00D40782"/>
    <w:rsid w:val="00D429B8"/>
    <w:rsid w:val="00D45A47"/>
    <w:rsid w:val="00D4662E"/>
    <w:rsid w:val="00D51F9B"/>
    <w:rsid w:val="00D522DA"/>
    <w:rsid w:val="00D524A1"/>
    <w:rsid w:val="00D54A5D"/>
    <w:rsid w:val="00D60E86"/>
    <w:rsid w:val="00D65E75"/>
    <w:rsid w:val="00D66659"/>
    <w:rsid w:val="00D67A0F"/>
    <w:rsid w:val="00D7671F"/>
    <w:rsid w:val="00D821BB"/>
    <w:rsid w:val="00D865CE"/>
    <w:rsid w:val="00D87191"/>
    <w:rsid w:val="00D908DF"/>
    <w:rsid w:val="00D909BB"/>
    <w:rsid w:val="00D90BE1"/>
    <w:rsid w:val="00D929B3"/>
    <w:rsid w:val="00D97316"/>
    <w:rsid w:val="00DA7796"/>
    <w:rsid w:val="00DB0B11"/>
    <w:rsid w:val="00DB3E80"/>
    <w:rsid w:val="00DC07E5"/>
    <w:rsid w:val="00DC318D"/>
    <w:rsid w:val="00DC4FFC"/>
    <w:rsid w:val="00DD0FE5"/>
    <w:rsid w:val="00DD2343"/>
    <w:rsid w:val="00DD4E2C"/>
    <w:rsid w:val="00DD4EC2"/>
    <w:rsid w:val="00DE2CFB"/>
    <w:rsid w:val="00DE35D6"/>
    <w:rsid w:val="00DE4810"/>
    <w:rsid w:val="00DE7F3A"/>
    <w:rsid w:val="00DF0402"/>
    <w:rsid w:val="00DF09FC"/>
    <w:rsid w:val="00E00763"/>
    <w:rsid w:val="00E0097F"/>
    <w:rsid w:val="00E027DC"/>
    <w:rsid w:val="00E037F7"/>
    <w:rsid w:val="00E03B4D"/>
    <w:rsid w:val="00E11E28"/>
    <w:rsid w:val="00E140DA"/>
    <w:rsid w:val="00E1548C"/>
    <w:rsid w:val="00E162EC"/>
    <w:rsid w:val="00E169E2"/>
    <w:rsid w:val="00E23159"/>
    <w:rsid w:val="00E253ED"/>
    <w:rsid w:val="00E25BAD"/>
    <w:rsid w:val="00E3007D"/>
    <w:rsid w:val="00E30FD4"/>
    <w:rsid w:val="00E32430"/>
    <w:rsid w:val="00E405C4"/>
    <w:rsid w:val="00E5564D"/>
    <w:rsid w:val="00E55AD2"/>
    <w:rsid w:val="00E55BA9"/>
    <w:rsid w:val="00E57034"/>
    <w:rsid w:val="00E57600"/>
    <w:rsid w:val="00E6072C"/>
    <w:rsid w:val="00E63A45"/>
    <w:rsid w:val="00E66A46"/>
    <w:rsid w:val="00E67B32"/>
    <w:rsid w:val="00E71F77"/>
    <w:rsid w:val="00E731DC"/>
    <w:rsid w:val="00E73D5A"/>
    <w:rsid w:val="00E75879"/>
    <w:rsid w:val="00E81206"/>
    <w:rsid w:val="00E826D2"/>
    <w:rsid w:val="00E84A92"/>
    <w:rsid w:val="00E868F4"/>
    <w:rsid w:val="00E87093"/>
    <w:rsid w:val="00E87D6F"/>
    <w:rsid w:val="00E91E6C"/>
    <w:rsid w:val="00E969E6"/>
    <w:rsid w:val="00E97A53"/>
    <w:rsid w:val="00EA1CE8"/>
    <w:rsid w:val="00EA5342"/>
    <w:rsid w:val="00EA6F2F"/>
    <w:rsid w:val="00EC1FD6"/>
    <w:rsid w:val="00EC27BD"/>
    <w:rsid w:val="00EC2927"/>
    <w:rsid w:val="00EC6D7B"/>
    <w:rsid w:val="00EC782F"/>
    <w:rsid w:val="00EC7881"/>
    <w:rsid w:val="00ED4458"/>
    <w:rsid w:val="00ED6FBA"/>
    <w:rsid w:val="00EE0926"/>
    <w:rsid w:val="00EE5EDB"/>
    <w:rsid w:val="00EF1255"/>
    <w:rsid w:val="00EF1DD5"/>
    <w:rsid w:val="00EF4015"/>
    <w:rsid w:val="00EF4DA4"/>
    <w:rsid w:val="00EF7A44"/>
    <w:rsid w:val="00EF7BBE"/>
    <w:rsid w:val="00F04E00"/>
    <w:rsid w:val="00F105B2"/>
    <w:rsid w:val="00F148EE"/>
    <w:rsid w:val="00F1698B"/>
    <w:rsid w:val="00F21145"/>
    <w:rsid w:val="00F344AD"/>
    <w:rsid w:val="00F34EF6"/>
    <w:rsid w:val="00F35AB1"/>
    <w:rsid w:val="00F36148"/>
    <w:rsid w:val="00F376DF"/>
    <w:rsid w:val="00F41328"/>
    <w:rsid w:val="00F4514E"/>
    <w:rsid w:val="00F47902"/>
    <w:rsid w:val="00F47D39"/>
    <w:rsid w:val="00F47FB6"/>
    <w:rsid w:val="00F5033A"/>
    <w:rsid w:val="00F544B0"/>
    <w:rsid w:val="00F57CE3"/>
    <w:rsid w:val="00F61B75"/>
    <w:rsid w:val="00F638D2"/>
    <w:rsid w:val="00F65AFA"/>
    <w:rsid w:val="00F6678C"/>
    <w:rsid w:val="00F66F7F"/>
    <w:rsid w:val="00F72FEF"/>
    <w:rsid w:val="00F74187"/>
    <w:rsid w:val="00F76147"/>
    <w:rsid w:val="00F82DAE"/>
    <w:rsid w:val="00F84B69"/>
    <w:rsid w:val="00F8500C"/>
    <w:rsid w:val="00F87EC8"/>
    <w:rsid w:val="00F90502"/>
    <w:rsid w:val="00F91825"/>
    <w:rsid w:val="00F93CD3"/>
    <w:rsid w:val="00F95131"/>
    <w:rsid w:val="00F9691E"/>
    <w:rsid w:val="00F971B2"/>
    <w:rsid w:val="00FA385F"/>
    <w:rsid w:val="00FA5EE7"/>
    <w:rsid w:val="00FA61F7"/>
    <w:rsid w:val="00FB0DAE"/>
    <w:rsid w:val="00FB13D8"/>
    <w:rsid w:val="00FB25A2"/>
    <w:rsid w:val="00FB4177"/>
    <w:rsid w:val="00FB5BEC"/>
    <w:rsid w:val="00FB6E5B"/>
    <w:rsid w:val="00FB70D9"/>
    <w:rsid w:val="00FB7267"/>
    <w:rsid w:val="00FC03BB"/>
    <w:rsid w:val="00FC1B77"/>
    <w:rsid w:val="00FC56CC"/>
    <w:rsid w:val="00FD508B"/>
    <w:rsid w:val="00FD7764"/>
    <w:rsid w:val="00FE4EC7"/>
    <w:rsid w:val="00FE543A"/>
    <w:rsid w:val="00FF0063"/>
    <w:rsid w:val="00FF0C7F"/>
    <w:rsid w:val="00FF2CA4"/>
    <w:rsid w:val="00FF6EF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AC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14E0"/>
    <w:pPr>
      <w:tabs>
        <w:tab w:val="center" w:pos="4153"/>
        <w:tab w:val="right" w:pos="8306"/>
      </w:tabs>
      <w:spacing w:after="0" w:line="240" w:lineRule="auto"/>
    </w:pPr>
    <w:rPr>
      <w:rFonts w:eastAsia="Times New Roman" w:cs="Times New Roman"/>
      <w:szCs w:val="24"/>
      <w:lang w:eastAsia="ru-RU"/>
    </w:rPr>
  </w:style>
  <w:style w:type="character" w:customStyle="1" w:styleId="FooterChar">
    <w:name w:val="Footer Char"/>
    <w:basedOn w:val="DefaultParagraphFont"/>
    <w:link w:val="Footer"/>
    <w:uiPriority w:val="99"/>
    <w:rsid w:val="008614E0"/>
    <w:rPr>
      <w:rFonts w:eastAsia="Times New Roman" w:cs="Times New Roman"/>
      <w:szCs w:val="24"/>
      <w:lang w:eastAsia="ru-RU"/>
    </w:rPr>
  </w:style>
  <w:style w:type="table" w:customStyle="1" w:styleId="TableGrid1">
    <w:name w:val="Table Grid1"/>
    <w:basedOn w:val="TableNormal"/>
    <w:next w:val="TableGrid"/>
    <w:uiPriority w:val="39"/>
    <w:rsid w:val="008614E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1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2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DAE"/>
    <w:rPr>
      <w:rFonts w:ascii="Segoe UI" w:hAnsi="Segoe UI" w:cs="Segoe UI"/>
      <w:sz w:val="18"/>
      <w:szCs w:val="18"/>
    </w:rPr>
  </w:style>
  <w:style w:type="character" w:styleId="CommentReference">
    <w:name w:val="annotation reference"/>
    <w:basedOn w:val="DefaultParagraphFont"/>
    <w:uiPriority w:val="99"/>
    <w:semiHidden/>
    <w:unhideWhenUsed/>
    <w:rsid w:val="00082121"/>
    <w:rPr>
      <w:sz w:val="16"/>
      <w:szCs w:val="16"/>
    </w:rPr>
  </w:style>
  <w:style w:type="paragraph" w:styleId="CommentText">
    <w:name w:val="annotation text"/>
    <w:basedOn w:val="Normal"/>
    <w:link w:val="CommentTextChar"/>
    <w:uiPriority w:val="99"/>
    <w:semiHidden/>
    <w:unhideWhenUsed/>
    <w:rsid w:val="00082121"/>
    <w:pPr>
      <w:spacing w:line="240" w:lineRule="auto"/>
    </w:pPr>
    <w:rPr>
      <w:sz w:val="20"/>
      <w:szCs w:val="20"/>
    </w:rPr>
  </w:style>
  <w:style w:type="character" w:customStyle="1" w:styleId="CommentTextChar">
    <w:name w:val="Comment Text Char"/>
    <w:basedOn w:val="DefaultParagraphFont"/>
    <w:link w:val="CommentText"/>
    <w:uiPriority w:val="99"/>
    <w:semiHidden/>
    <w:rsid w:val="00082121"/>
    <w:rPr>
      <w:sz w:val="20"/>
      <w:szCs w:val="20"/>
    </w:rPr>
  </w:style>
  <w:style w:type="paragraph" w:styleId="CommentSubject">
    <w:name w:val="annotation subject"/>
    <w:basedOn w:val="CommentText"/>
    <w:next w:val="CommentText"/>
    <w:link w:val="CommentSubjectChar"/>
    <w:uiPriority w:val="99"/>
    <w:semiHidden/>
    <w:unhideWhenUsed/>
    <w:rsid w:val="00082121"/>
    <w:rPr>
      <w:b/>
      <w:bCs/>
    </w:rPr>
  </w:style>
  <w:style w:type="character" w:customStyle="1" w:styleId="CommentSubjectChar">
    <w:name w:val="Comment Subject Char"/>
    <w:basedOn w:val="CommentTextChar"/>
    <w:link w:val="CommentSubject"/>
    <w:uiPriority w:val="99"/>
    <w:semiHidden/>
    <w:rsid w:val="00082121"/>
    <w:rPr>
      <w:b/>
      <w:bCs/>
      <w:sz w:val="20"/>
      <w:szCs w:val="20"/>
    </w:rPr>
  </w:style>
  <w:style w:type="paragraph" w:styleId="Header">
    <w:name w:val="header"/>
    <w:basedOn w:val="Normal"/>
    <w:link w:val="HeaderChar"/>
    <w:uiPriority w:val="99"/>
    <w:unhideWhenUsed/>
    <w:rsid w:val="00CD700C"/>
    <w:pPr>
      <w:tabs>
        <w:tab w:val="center" w:pos="4153"/>
        <w:tab w:val="right" w:pos="8306"/>
      </w:tabs>
      <w:spacing w:after="0" w:line="240" w:lineRule="auto"/>
    </w:pPr>
  </w:style>
  <w:style w:type="character" w:customStyle="1" w:styleId="HeaderChar">
    <w:name w:val="Header Char"/>
    <w:basedOn w:val="DefaultParagraphFont"/>
    <w:link w:val="Header"/>
    <w:uiPriority w:val="99"/>
    <w:rsid w:val="00CD700C"/>
  </w:style>
  <w:style w:type="character" w:styleId="Hyperlink">
    <w:name w:val="Hyperlink"/>
    <w:basedOn w:val="DefaultParagraphFont"/>
    <w:uiPriority w:val="99"/>
    <w:unhideWhenUsed/>
    <w:rsid w:val="002A41C7"/>
    <w:rPr>
      <w:color w:val="0563C1" w:themeColor="hyperlink"/>
      <w:u w:val="single"/>
    </w:rPr>
  </w:style>
  <w:style w:type="paragraph" w:styleId="Revision">
    <w:name w:val="Revision"/>
    <w:hidden/>
    <w:uiPriority w:val="99"/>
    <w:semiHidden/>
    <w:rsid w:val="007E7FAD"/>
    <w:pPr>
      <w:spacing w:after="0" w:line="240" w:lineRule="auto"/>
    </w:pPr>
  </w:style>
  <w:style w:type="character" w:customStyle="1" w:styleId="UnresolvedMention">
    <w:name w:val="Unresolved Mention"/>
    <w:basedOn w:val="DefaultParagraphFont"/>
    <w:uiPriority w:val="99"/>
    <w:semiHidden/>
    <w:unhideWhenUsed/>
    <w:rsid w:val="00A13457"/>
    <w:rPr>
      <w:color w:val="605E5C"/>
      <w:shd w:val="clear" w:color="auto" w:fill="E1DFDD"/>
    </w:rPr>
  </w:style>
  <w:style w:type="paragraph" w:styleId="FootnoteText">
    <w:name w:val="footnote text"/>
    <w:basedOn w:val="Normal"/>
    <w:link w:val="FootnoteTextChar"/>
    <w:rsid w:val="004D1CFD"/>
    <w:pPr>
      <w:overflowPunct w:val="0"/>
      <w:autoSpaceDE w:val="0"/>
      <w:autoSpaceDN w:val="0"/>
      <w:adjustRightInd w:val="0"/>
      <w:spacing w:after="0" w:line="240" w:lineRule="auto"/>
      <w:textAlignment w:val="baseline"/>
    </w:pPr>
    <w:rPr>
      <w:rFonts w:eastAsia="Times New Roman" w:cs="Times New Roman"/>
      <w:sz w:val="20"/>
      <w:szCs w:val="20"/>
      <w:lang w:val="en-GB"/>
    </w:rPr>
  </w:style>
  <w:style w:type="character" w:customStyle="1" w:styleId="FootnoteTextChar">
    <w:name w:val="Footnote Text Char"/>
    <w:basedOn w:val="DefaultParagraphFont"/>
    <w:link w:val="FootnoteText"/>
    <w:rsid w:val="004D1CFD"/>
    <w:rPr>
      <w:rFonts w:eastAsia="Times New Roman" w:cs="Times New Roman"/>
      <w:sz w:val="20"/>
      <w:szCs w:val="20"/>
      <w:lang w:val="en-GB"/>
    </w:rPr>
  </w:style>
  <w:style w:type="paragraph" w:styleId="ListParagraph">
    <w:name w:val="List Paragraph"/>
    <w:basedOn w:val="Normal"/>
    <w:uiPriority w:val="34"/>
    <w:qFormat/>
    <w:rsid w:val="00C86140"/>
    <w:pPr>
      <w:ind w:left="720"/>
      <w:contextualSpacing/>
    </w:pPr>
  </w:style>
  <w:style w:type="character" w:styleId="FollowedHyperlink">
    <w:name w:val="FollowedHyperlink"/>
    <w:basedOn w:val="DefaultParagraphFont"/>
    <w:uiPriority w:val="99"/>
    <w:semiHidden/>
    <w:unhideWhenUsed/>
    <w:rsid w:val="00A71D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253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372393.pdf" TargetMode="External"/><Relationship Id="rId5" Type="http://schemas.openxmlformats.org/officeDocument/2006/relationships/webSettings" Target="webSettings.xml"/><Relationship Id="rId10" Type="http://schemas.openxmlformats.org/officeDocument/2006/relationships/hyperlink" Target="https://manas.tiesas.lv/eTiesasMvc/nolemumi/pdf/361747.pdf" TargetMode="External"/><Relationship Id="rId4" Type="http://schemas.openxmlformats.org/officeDocument/2006/relationships/settings" Target="settings.xml"/><Relationship Id="rId9" Type="http://schemas.openxmlformats.org/officeDocument/2006/relationships/hyperlink" Target="https://www.at.gov.lv/downloadlawfile/443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ADE67-E1DA-42AD-A1E1-BE1650842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1269</Words>
  <Characters>7235</Characters>
  <Application>Microsoft Office Word</Application>
  <DocSecurity>0</DocSecurity>
  <Lines>60</Lines>
  <Paragraphs>16</Paragraphs>
  <ScaleCrop>false</ScaleCrop>
  <Company/>
  <LinksUpToDate>false</LinksUpToDate>
  <CharactersWithSpaces>8488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2023-10-10T14:58:00Z</dcterms:created>
  <dcterms:modified xsi:type="dcterms:W3CDTF">2023-10-10T14:58:00Z</dcterms:modified>
</cp:coreProperties>
</file>