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9F46C" w14:textId="5BD91E98" w:rsidR="00DB0C42" w:rsidRPr="00DB0C42" w:rsidRDefault="00DB0C42" w:rsidP="0075628D">
      <w:pPr>
        <w:spacing w:line="276" w:lineRule="auto"/>
        <w:rPr>
          <w:b/>
          <w:bCs/>
          <w:lang w:eastAsia="en-US"/>
        </w:rPr>
      </w:pPr>
      <w:r>
        <w:rPr>
          <w:b/>
          <w:bCs/>
        </w:rPr>
        <w:t>Administratīvā akta pamatojuma maiņa</w:t>
      </w:r>
    </w:p>
    <w:p w14:paraId="7362B696" w14:textId="77777777" w:rsidR="00DB0C42" w:rsidRDefault="00DB0C42" w:rsidP="0075628D">
      <w:pPr>
        <w:spacing w:line="276" w:lineRule="auto"/>
        <w:rPr>
          <w:b/>
          <w:bCs/>
        </w:rPr>
      </w:pPr>
    </w:p>
    <w:p w14:paraId="2D039327" w14:textId="4AB685BD" w:rsidR="00DB0C42" w:rsidRDefault="00BE34E6" w:rsidP="0075628D">
      <w:pPr>
        <w:spacing w:line="276" w:lineRule="auto"/>
        <w:jc w:val="both"/>
        <w:rPr>
          <w:b/>
          <w:bCs/>
        </w:rPr>
      </w:pPr>
      <w:r>
        <w:rPr>
          <w:b/>
          <w:bCs/>
        </w:rPr>
        <w:t>Priekšnoteikumi</w:t>
      </w:r>
      <w:bookmarkStart w:id="0" w:name="_GoBack"/>
      <w:bookmarkEnd w:id="0"/>
      <w:r w:rsidR="00DB0C42">
        <w:rPr>
          <w:b/>
          <w:bCs/>
        </w:rPr>
        <w:t xml:space="preserve"> pievienotās vērtības nodokļa 0 procentu likmes piemērošanai</w:t>
      </w:r>
    </w:p>
    <w:p w14:paraId="7D30FFFA" w14:textId="77777777" w:rsidR="00DB0C42" w:rsidRDefault="00DB0C42" w:rsidP="0075628D">
      <w:pPr>
        <w:spacing w:line="276" w:lineRule="auto"/>
        <w:jc w:val="both"/>
      </w:pPr>
      <w:r>
        <w:t>Pievienotās vērtības nodokļa 0 procentu likmes piemērošanas priekšnoteikums vispārīgi nav tas, ka preces nosūtītājam ir jāpārliecinās, ka prece faktiski sasniegusi tās galamērķi citā valstī. Proti, Latvijas nodokļu maksātājs, kas iesniedzis preču nosūtīšanas (transportēšanas) dokumentus, kas apliecina preces faktisku izvešanu no piegādes dalībvalsts teritorijas, un pierādījis, ka tiesības ar preci rīkoties kā īpašniekam ir nodotas pircējam, ir izpildījis priekšnoteikumus, kas tam dod tiesības uz pievienotās vērtības nodokļa 0 procentu likmes piemērošanu, ja vien netiek noskaidrots, ka Latvijas nodokļu maksātājs zināja (tam vajadzēja zināt) par to, ka darījums ir saistīts ar nodokļu sistēmas ļaunprātīgu izmantošanu vai krāpšanu, vai arī nav veicis visus saprātīgi sagaidāmos pasākumus, lai pārliecinātos, ka tā veikta piegāde Eiropas Savienības iekšienē nav saistīta ar dalību šādā krāpšanā. Savukārt preču nepiegādāšana konkrētajam nodokļu maksātājam automātiski neizslēdz, ka preces nosūtītājs, rīkodamies labā ticībā un paļaujoties uz preču nosūtīšanas (transportēšanas) dokumentiem, ir saglabājis tiesības uz 0 procentu likmes piemērošanu. Šādi apstākļi var norādīt uz krāpšanos un var būtu pamats tālākai izmeklēšanai par to.</w:t>
      </w:r>
    </w:p>
    <w:p w14:paraId="12235C97" w14:textId="337781F7" w:rsidR="008B7CCD" w:rsidRPr="00EC00F0" w:rsidRDefault="008B7CCD" w:rsidP="0075628D">
      <w:pPr>
        <w:pStyle w:val="BodyText2"/>
        <w:spacing w:after="0" w:line="276" w:lineRule="auto"/>
        <w:contextualSpacing/>
        <w:rPr>
          <w:lang w:val="lv-LV"/>
        </w:rPr>
      </w:pPr>
    </w:p>
    <w:p w14:paraId="71A3CA25" w14:textId="5E1E491A" w:rsidR="008B7CCD" w:rsidRPr="0075628D" w:rsidRDefault="00DB0C42" w:rsidP="0075628D">
      <w:pPr>
        <w:spacing w:line="276" w:lineRule="auto"/>
        <w:contextualSpacing/>
        <w:jc w:val="center"/>
        <w:rPr>
          <w:b/>
        </w:rPr>
      </w:pPr>
      <w:r w:rsidRPr="0075628D">
        <w:rPr>
          <w:b/>
        </w:rPr>
        <w:t>Latvijas Republikas Senāta</w:t>
      </w:r>
    </w:p>
    <w:p w14:paraId="41E08A16" w14:textId="312EDEC0" w:rsidR="00DB0C42" w:rsidRPr="0075628D" w:rsidRDefault="00DB0C42" w:rsidP="0075628D">
      <w:pPr>
        <w:spacing w:line="276" w:lineRule="auto"/>
        <w:contextualSpacing/>
        <w:jc w:val="center"/>
        <w:rPr>
          <w:b/>
        </w:rPr>
      </w:pPr>
      <w:r w:rsidRPr="0075628D">
        <w:rPr>
          <w:b/>
        </w:rPr>
        <w:t>Administratīvo lietu departamenta</w:t>
      </w:r>
    </w:p>
    <w:p w14:paraId="3D835E35" w14:textId="6E242884" w:rsidR="00DB0C42" w:rsidRPr="0075628D" w:rsidRDefault="00DB0C42" w:rsidP="0075628D">
      <w:pPr>
        <w:spacing w:line="276" w:lineRule="auto"/>
        <w:contextualSpacing/>
        <w:jc w:val="center"/>
        <w:rPr>
          <w:b/>
        </w:rPr>
      </w:pPr>
      <w:r w:rsidRPr="0075628D">
        <w:rPr>
          <w:b/>
        </w:rPr>
        <w:t>2023.gada 19.septembra</w:t>
      </w:r>
    </w:p>
    <w:p w14:paraId="338EDD9C" w14:textId="77777777" w:rsidR="008B7CCD" w:rsidRPr="0075628D" w:rsidRDefault="008B7CCD" w:rsidP="0075628D">
      <w:pPr>
        <w:spacing w:line="276" w:lineRule="auto"/>
        <w:contextualSpacing/>
        <w:jc w:val="center"/>
        <w:rPr>
          <w:b/>
        </w:rPr>
      </w:pPr>
      <w:r w:rsidRPr="0075628D">
        <w:rPr>
          <w:b/>
        </w:rPr>
        <w:t xml:space="preserve">SPRIEDUMS </w:t>
      </w:r>
    </w:p>
    <w:p w14:paraId="4311C0B1" w14:textId="77777777" w:rsidR="00DB0C42" w:rsidRPr="0075628D" w:rsidRDefault="00DB0C42" w:rsidP="0075628D">
      <w:pPr>
        <w:spacing w:line="276" w:lineRule="auto"/>
        <w:contextualSpacing/>
        <w:jc w:val="center"/>
        <w:rPr>
          <w:b/>
        </w:rPr>
      </w:pPr>
      <w:r w:rsidRPr="0075628D">
        <w:rPr>
          <w:b/>
        </w:rPr>
        <w:t>Lieta Nr. A420131119, SKA</w:t>
      </w:r>
      <w:r w:rsidRPr="0075628D">
        <w:rPr>
          <w:b/>
        </w:rPr>
        <w:noBreakHyphen/>
        <w:t>145/2023</w:t>
      </w:r>
    </w:p>
    <w:p w14:paraId="53A02E01" w14:textId="1C90F7D3" w:rsidR="00DB0C42" w:rsidRPr="00C56509" w:rsidRDefault="00BE34E6" w:rsidP="0075628D">
      <w:pPr>
        <w:spacing w:line="276" w:lineRule="auto"/>
        <w:contextualSpacing/>
        <w:jc w:val="center"/>
      </w:pPr>
      <w:hyperlink r:id="rId8" w:history="1">
        <w:r w:rsidR="0075628D" w:rsidRPr="0075628D">
          <w:rPr>
            <w:rStyle w:val="Hyperlink"/>
            <w:rFonts w:ascii="TimesNewRomanPSMT" w:eastAsiaTheme="minorHAnsi" w:hAnsi="TimesNewRomanPSMT" w:cs="TimesNewRomanPSMT"/>
            <w:lang w:val="en-US" w:eastAsia="en-US"/>
          </w:rPr>
          <w:t>ECLI:LV:AT:2023:0919.A420131119.11.S</w:t>
        </w:r>
      </w:hyperlink>
      <w:r w:rsidR="0075628D">
        <w:rPr>
          <w:rFonts w:ascii="TimesNewRomanPSMT" w:eastAsiaTheme="minorHAnsi" w:hAnsi="TimesNewRomanPSMT" w:cs="TimesNewRomanPSMT"/>
          <w:color w:val="000081"/>
          <w:lang w:val="en-US" w:eastAsia="en-US"/>
        </w:rPr>
        <w:t xml:space="preserve"> </w:t>
      </w:r>
    </w:p>
    <w:p w14:paraId="2EC14FB2" w14:textId="77777777" w:rsidR="008B7CCD" w:rsidRPr="00EC00F0" w:rsidRDefault="008B7CCD" w:rsidP="0075628D">
      <w:pPr>
        <w:spacing w:line="276" w:lineRule="auto"/>
        <w:ind w:firstLine="720"/>
        <w:jc w:val="both"/>
        <w:rPr>
          <w:rFonts w:asciiTheme="majorBidi" w:hAnsiTheme="majorBidi" w:cstheme="majorBidi"/>
        </w:rPr>
      </w:pPr>
    </w:p>
    <w:p w14:paraId="24CBA226" w14:textId="0C3E68C8" w:rsidR="00EF7AC4" w:rsidRDefault="00EF7AC4" w:rsidP="0075628D">
      <w:pPr>
        <w:spacing w:line="276" w:lineRule="auto"/>
        <w:ind w:firstLine="720"/>
        <w:jc w:val="both"/>
      </w:pPr>
      <w:r>
        <w:t xml:space="preserve">Senāts </w:t>
      </w:r>
      <w:r w:rsidRPr="00011547">
        <w:t>šādā sastāvā</w:t>
      </w:r>
      <w:r>
        <w:t>: senatore referente Rudīte Vīduša, senator</w:t>
      </w:r>
      <w:r w:rsidR="00E61C4E">
        <w:t>i</w:t>
      </w:r>
      <w:r>
        <w:t xml:space="preserve"> </w:t>
      </w:r>
      <w:r w:rsidR="00E61C4E">
        <w:t xml:space="preserve">Veronika Krūmiņa </w:t>
      </w:r>
      <w:r>
        <w:t xml:space="preserve">un </w:t>
      </w:r>
      <w:r w:rsidR="00E61C4E">
        <w:t>Jānis Pleps</w:t>
      </w:r>
    </w:p>
    <w:p w14:paraId="3199FCA5" w14:textId="77777777" w:rsidR="008B7CCD" w:rsidRPr="00EC00F0" w:rsidRDefault="008B7CCD" w:rsidP="0075628D">
      <w:pPr>
        <w:spacing w:line="276" w:lineRule="auto"/>
        <w:ind w:firstLine="720"/>
        <w:jc w:val="both"/>
      </w:pPr>
    </w:p>
    <w:p w14:paraId="43196535" w14:textId="457736EF" w:rsidR="005E06FB" w:rsidRPr="00EC00F0" w:rsidRDefault="008B7CCD" w:rsidP="0075628D">
      <w:pPr>
        <w:spacing w:line="276" w:lineRule="auto"/>
        <w:ind w:firstLine="720"/>
        <w:jc w:val="both"/>
        <w:rPr>
          <w:rFonts w:eastAsiaTheme="minorHAnsi"/>
          <w:lang w:eastAsia="en-US"/>
        </w:rPr>
      </w:pPr>
      <w:r w:rsidRPr="00EC00F0">
        <w:t xml:space="preserve">rakstveida procesā izskatīja administratīvo lietu, kas ierosināta, </w:t>
      </w:r>
      <w:r w:rsidR="00A42AEC" w:rsidRPr="00EC00F0">
        <w:rPr>
          <w:rFonts w:eastAsiaTheme="minorHAnsi"/>
          <w:lang w:eastAsia="en-US"/>
        </w:rPr>
        <w:t xml:space="preserve">pamatojoties uz </w:t>
      </w:r>
      <w:r w:rsidR="00694683">
        <w:rPr>
          <w:rFonts w:eastAsiaTheme="minorHAnsi"/>
          <w:lang w:eastAsia="en-US"/>
        </w:rPr>
        <w:t>SIA </w:t>
      </w:r>
      <w:r w:rsidR="009460BC" w:rsidRPr="00504430">
        <w:rPr>
          <w:rFonts w:asciiTheme="majorBidi" w:eastAsiaTheme="minorHAnsi" w:hAnsiTheme="majorBidi" w:cstheme="majorBidi"/>
          <w:lang w:eastAsia="en-US"/>
        </w:rPr>
        <w:t>„</w:t>
      </w:r>
      <w:r w:rsidR="009460BC">
        <w:rPr>
          <w:rFonts w:asciiTheme="majorBidi" w:eastAsiaTheme="minorHAnsi" w:hAnsiTheme="majorBidi" w:cstheme="majorBidi"/>
          <w:lang w:eastAsia="en-US"/>
        </w:rPr>
        <w:t>MĀRVISTA</w:t>
      </w:r>
      <w:r w:rsidR="009460BC" w:rsidRPr="00504430">
        <w:rPr>
          <w:rFonts w:asciiTheme="majorBidi" w:eastAsiaTheme="minorHAnsi" w:hAnsiTheme="majorBidi" w:cstheme="majorBidi"/>
          <w:lang w:eastAsia="en-US"/>
        </w:rPr>
        <w:t>”</w:t>
      </w:r>
      <w:r w:rsidR="0084195D">
        <w:rPr>
          <w:rFonts w:eastAsiaTheme="minorHAnsi"/>
          <w:lang w:eastAsia="en-US"/>
        </w:rPr>
        <w:t xml:space="preserve"> pieteikumu par Valsts ieņēmumu dienesta 201</w:t>
      </w:r>
      <w:r w:rsidR="009460BC">
        <w:rPr>
          <w:rFonts w:eastAsiaTheme="minorHAnsi"/>
          <w:lang w:eastAsia="en-US"/>
        </w:rPr>
        <w:t>8</w:t>
      </w:r>
      <w:r w:rsidR="0084195D">
        <w:rPr>
          <w:rFonts w:eastAsiaTheme="minorHAnsi"/>
          <w:lang w:eastAsia="en-US"/>
        </w:rPr>
        <w:t xml:space="preserve">.gada </w:t>
      </w:r>
      <w:r w:rsidR="009460BC">
        <w:rPr>
          <w:rFonts w:eastAsiaTheme="minorHAnsi"/>
          <w:lang w:eastAsia="en-US"/>
        </w:rPr>
        <w:t>5</w:t>
      </w:r>
      <w:r w:rsidR="0084195D">
        <w:rPr>
          <w:rFonts w:eastAsiaTheme="minorHAnsi"/>
          <w:lang w:eastAsia="en-US"/>
        </w:rPr>
        <w:t>.</w:t>
      </w:r>
      <w:r w:rsidR="009460BC">
        <w:rPr>
          <w:rFonts w:eastAsiaTheme="minorHAnsi"/>
          <w:lang w:eastAsia="en-US"/>
        </w:rPr>
        <w:t>decembra</w:t>
      </w:r>
      <w:r w:rsidR="0084195D">
        <w:rPr>
          <w:rFonts w:eastAsiaTheme="minorHAnsi"/>
          <w:lang w:eastAsia="en-US"/>
        </w:rPr>
        <w:t xml:space="preserve"> lēmuma Nr. 30.</w:t>
      </w:r>
      <w:r w:rsidR="009460BC">
        <w:rPr>
          <w:rFonts w:eastAsiaTheme="minorHAnsi"/>
          <w:lang w:eastAsia="en-US"/>
        </w:rPr>
        <w:t>2</w:t>
      </w:r>
      <w:r w:rsidR="0084195D">
        <w:rPr>
          <w:rFonts w:eastAsiaTheme="minorHAnsi"/>
          <w:lang w:eastAsia="en-US"/>
        </w:rPr>
        <w:t>-22.</w:t>
      </w:r>
      <w:r w:rsidR="009460BC">
        <w:rPr>
          <w:rFonts w:eastAsiaTheme="minorHAnsi"/>
          <w:lang w:eastAsia="en-US"/>
        </w:rPr>
        <w:t>7</w:t>
      </w:r>
      <w:r w:rsidR="0084195D">
        <w:rPr>
          <w:rFonts w:eastAsiaTheme="minorHAnsi"/>
          <w:lang w:eastAsia="en-US"/>
        </w:rPr>
        <w:t>/</w:t>
      </w:r>
      <w:r w:rsidR="009460BC">
        <w:rPr>
          <w:rFonts w:eastAsiaTheme="minorHAnsi"/>
          <w:lang w:eastAsia="en-US"/>
        </w:rPr>
        <w:t>5591</w:t>
      </w:r>
      <w:r w:rsidR="0084195D">
        <w:rPr>
          <w:rFonts w:eastAsiaTheme="minorHAnsi"/>
          <w:lang w:eastAsia="en-US"/>
        </w:rPr>
        <w:t xml:space="preserve"> atcelšanu</w:t>
      </w:r>
      <w:r w:rsidR="005E06FB" w:rsidRPr="00EC00F0">
        <w:rPr>
          <w:rFonts w:eastAsiaTheme="minorHAnsi"/>
          <w:lang w:eastAsia="en-US"/>
        </w:rPr>
        <w:t>, sakarā</w:t>
      </w:r>
      <w:r w:rsidR="00A52B16" w:rsidRPr="00EC00F0">
        <w:rPr>
          <w:rFonts w:eastAsiaTheme="minorHAnsi"/>
          <w:lang w:eastAsia="en-US"/>
        </w:rPr>
        <w:t xml:space="preserve"> ar </w:t>
      </w:r>
      <w:r w:rsidR="009460BC">
        <w:rPr>
          <w:rFonts w:eastAsiaTheme="minorHAnsi"/>
          <w:lang w:eastAsia="en-US"/>
        </w:rPr>
        <w:t>SIA </w:t>
      </w:r>
      <w:r w:rsidR="009460BC" w:rsidRPr="00504430">
        <w:rPr>
          <w:rFonts w:asciiTheme="majorBidi" w:eastAsiaTheme="minorHAnsi" w:hAnsiTheme="majorBidi" w:cstheme="majorBidi"/>
          <w:lang w:eastAsia="en-US"/>
        </w:rPr>
        <w:t>„</w:t>
      </w:r>
      <w:r w:rsidR="009460BC">
        <w:rPr>
          <w:rFonts w:asciiTheme="majorBidi" w:eastAsiaTheme="minorHAnsi" w:hAnsiTheme="majorBidi" w:cstheme="majorBidi"/>
          <w:lang w:eastAsia="en-US"/>
        </w:rPr>
        <w:t>MĀRVISTA</w:t>
      </w:r>
      <w:r w:rsidR="009460BC" w:rsidRPr="00504430">
        <w:rPr>
          <w:rFonts w:asciiTheme="majorBidi" w:eastAsiaTheme="minorHAnsi" w:hAnsiTheme="majorBidi" w:cstheme="majorBidi"/>
          <w:lang w:eastAsia="en-US"/>
        </w:rPr>
        <w:t>”</w:t>
      </w:r>
      <w:r w:rsidR="00A52B16" w:rsidRPr="00EC00F0">
        <w:rPr>
          <w:rFonts w:eastAsiaTheme="minorHAnsi"/>
          <w:lang w:eastAsia="en-US"/>
        </w:rPr>
        <w:t xml:space="preserve"> kasācijas sūdzību par Administratīvās apgabaltiesas 202</w:t>
      </w:r>
      <w:r w:rsidR="009460BC">
        <w:rPr>
          <w:rFonts w:eastAsiaTheme="minorHAnsi"/>
          <w:lang w:eastAsia="en-US"/>
        </w:rPr>
        <w:t>1</w:t>
      </w:r>
      <w:r w:rsidR="00A52B16" w:rsidRPr="00EC00F0">
        <w:rPr>
          <w:rFonts w:eastAsiaTheme="minorHAnsi"/>
          <w:lang w:eastAsia="en-US"/>
        </w:rPr>
        <w:t xml:space="preserve">.gada </w:t>
      </w:r>
      <w:r w:rsidR="009460BC">
        <w:rPr>
          <w:rFonts w:eastAsiaTheme="minorHAnsi"/>
          <w:lang w:eastAsia="en-US"/>
        </w:rPr>
        <w:t>20</w:t>
      </w:r>
      <w:r w:rsidR="00A52B16" w:rsidRPr="00EC00F0">
        <w:rPr>
          <w:rFonts w:eastAsiaTheme="minorHAnsi"/>
          <w:lang w:eastAsia="en-US"/>
        </w:rPr>
        <w:t>.</w:t>
      </w:r>
      <w:r w:rsidR="009460BC">
        <w:rPr>
          <w:rFonts w:eastAsiaTheme="minorHAnsi"/>
          <w:lang w:eastAsia="en-US"/>
        </w:rPr>
        <w:t>janvāra</w:t>
      </w:r>
      <w:r w:rsidR="00A52B16" w:rsidRPr="00EC00F0">
        <w:rPr>
          <w:rFonts w:eastAsiaTheme="minorHAnsi"/>
          <w:lang w:eastAsia="en-US"/>
        </w:rPr>
        <w:t xml:space="preserve"> spriedumu.</w:t>
      </w:r>
    </w:p>
    <w:p w14:paraId="50642059" w14:textId="77777777" w:rsidR="005E06FB" w:rsidRPr="00EC00F0" w:rsidRDefault="005E06FB" w:rsidP="0075628D">
      <w:pPr>
        <w:spacing w:line="276" w:lineRule="auto"/>
        <w:ind w:firstLine="720"/>
        <w:jc w:val="both"/>
        <w:rPr>
          <w:rFonts w:eastAsiaTheme="minorHAnsi"/>
          <w:lang w:eastAsia="en-US"/>
        </w:rPr>
      </w:pPr>
    </w:p>
    <w:p w14:paraId="2B79C98E" w14:textId="77777777" w:rsidR="008B7CCD" w:rsidRPr="00EC00F0" w:rsidRDefault="008B7CCD" w:rsidP="0075628D">
      <w:pPr>
        <w:pStyle w:val="ATvirsraksts"/>
        <w:contextualSpacing/>
      </w:pPr>
      <w:r w:rsidRPr="00EC00F0">
        <w:t>Aprakstošā daļa</w:t>
      </w:r>
    </w:p>
    <w:p w14:paraId="7A360561" w14:textId="432DF510" w:rsidR="00F005AF" w:rsidRPr="00DE3A55" w:rsidRDefault="00DE3A55" w:rsidP="0075628D">
      <w:pPr>
        <w:spacing w:line="276" w:lineRule="auto"/>
        <w:ind w:firstLine="720"/>
        <w:jc w:val="both"/>
        <w:rPr>
          <w:i/>
          <w:iCs/>
        </w:rPr>
      </w:pPr>
      <w:r w:rsidRPr="00DE3A55">
        <w:rPr>
          <w:i/>
          <w:iCs/>
        </w:rPr>
        <w:t>Lietas apstākļi</w:t>
      </w:r>
    </w:p>
    <w:p w14:paraId="58F74051" w14:textId="3DC32903" w:rsidR="00B35F68" w:rsidRDefault="008B7CCD" w:rsidP="0075628D">
      <w:pPr>
        <w:autoSpaceDE w:val="0"/>
        <w:autoSpaceDN w:val="0"/>
        <w:adjustRightInd w:val="0"/>
        <w:spacing w:line="276" w:lineRule="auto"/>
        <w:ind w:firstLine="720"/>
        <w:jc w:val="both"/>
        <w:rPr>
          <w:rFonts w:asciiTheme="majorBidi" w:eastAsiaTheme="minorHAnsi" w:hAnsiTheme="majorBidi" w:cstheme="majorBidi"/>
          <w:lang w:eastAsia="en-US"/>
        </w:rPr>
      </w:pPr>
      <w:r w:rsidRPr="00682FC0">
        <w:t>[1]</w:t>
      </w:r>
      <w:r w:rsidR="005C6957">
        <w:t xml:space="preserve"> </w:t>
      </w:r>
      <w:r w:rsidR="00B43F2F">
        <w:t>Valsts ieņēmumu dienests</w:t>
      </w:r>
      <w:r w:rsidR="00620A6B" w:rsidRPr="00620A6B">
        <w:t xml:space="preserve"> </w:t>
      </w:r>
      <w:r w:rsidR="00CA2626">
        <w:t xml:space="preserve">veica pieteicējai </w:t>
      </w:r>
      <w:r w:rsidR="00CA2626">
        <w:rPr>
          <w:rFonts w:eastAsiaTheme="minorHAnsi"/>
          <w:lang w:eastAsia="en-US"/>
        </w:rPr>
        <w:t>SIA </w:t>
      </w:r>
      <w:r w:rsidR="00CA2626" w:rsidRPr="00504430">
        <w:rPr>
          <w:rFonts w:asciiTheme="majorBidi" w:eastAsiaTheme="minorHAnsi" w:hAnsiTheme="majorBidi" w:cstheme="majorBidi"/>
          <w:lang w:eastAsia="en-US"/>
        </w:rPr>
        <w:t>„</w:t>
      </w:r>
      <w:r w:rsidR="00CA2626">
        <w:rPr>
          <w:rFonts w:asciiTheme="majorBidi" w:eastAsiaTheme="minorHAnsi" w:hAnsiTheme="majorBidi" w:cstheme="majorBidi"/>
          <w:lang w:eastAsia="en-US"/>
        </w:rPr>
        <w:t>MĀRVISTA</w:t>
      </w:r>
      <w:r w:rsidR="00CA2626" w:rsidRPr="00504430">
        <w:rPr>
          <w:rFonts w:asciiTheme="majorBidi" w:eastAsiaTheme="minorHAnsi" w:hAnsiTheme="majorBidi" w:cstheme="majorBidi"/>
          <w:lang w:eastAsia="en-US"/>
        </w:rPr>
        <w:t>”</w:t>
      </w:r>
      <w:r w:rsidR="00CA2626">
        <w:rPr>
          <w:rFonts w:asciiTheme="majorBidi" w:eastAsiaTheme="minorHAnsi" w:hAnsiTheme="majorBidi" w:cstheme="majorBidi"/>
          <w:lang w:eastAsia="en-US"/>
        </w:rPr>
        <w:t xml:space="preserve"> pievienotās vērtības nodokļa auditu par 2017.gada februāri</w:t>
      </w:r>
      <w:r w:rsidR="00E61C4E">
        <w:rPr>
          <w:rFonts w:asciiTheme="majorBidi" w:eastAsiaTheme="minorHAnsi" w:hAnsiTheme="majorBidi" w:cstheme="majorBidi"/>
          <w:lang w:eastAsia="en-US"/>
        </w:rPr>
        <w:t>, martu un</w:t>
      </w:r>
      <w:r w:rsidR="00CA2626">
        <w:rPr>
          <w:rFonts w:asciiTheme="majorBidi" w:eastAsiaTheme="minorHAnsi" w:hAnsiTheme="majorBidi" w:cstheme="majorBidi"/>
          <w:lang w:eastAsia="en-US"/>
        </w:rPr>
        <w:t xml:space="preserve"> aprīli. Auditā secināts, ka </w:t>
      </w:r>
      <w:r w:rsidR="006F1275">
        <w:rPr>
          <w:rFonts w:asciiTheme="majorBidi" w:eastAsiaTheme="minorHAnsi" w:hAnsiTheme="majorBidi" w:cstheme="majorBidi"/>
          <w:lang w:eastAsia="en-US"/>
        </w:rPr>
        <w:t xml:space="preserve">pieteicēja deklarējusi faktiski </w:t>
      </w:r>
      <w:r w:rsidR="007A3CFD">
        <w:rPr>
          <w:rFonts w:asciiTheme="majorBidi" w:eastAsiaTheme="minorHAnsi" w:hAnsiTheme="majorBidi" w:cstheme="majorBidi"/>
          <w:lang w:eastAsia="en-US"/>
        </w:rPr>
        <w:t>nenotikušus</w:t>
      </w:r>
      <w:r w:rsidR="006F1275">
        <w:rPr>
          <w:rFonts w:asciiTheme="majorBidi" w:eastAsiaTheme="minorHAnsi" w:hAnsiTheme="majorBidi" w:cstheme="majorBidi"/>
          <w:lang w:eastAsia="en-US"/>
        </w:rPr>
        <w:t xml:space="preserve"> darījumus par preču</w:t>
      </w:r>
      <w:r w:rsidR="00E302C2">
        <w:rPr>
          <w:rFonts w:asciiTheme="majorBidi" w:eastAsiaTheme="minorHAnsi" w:hAnsiTheme="majorBidi" w:cstheme="majorBidi"/>
          <w:lang w:eastAsia="en-US"/>
        </w:rPr>
        <w:t xml:space="preserve"> – ātri saldētu broileru fileju –</w:t>
      </w:r>
      <w:r w:rsidR="006F1275">
        <w:rPr>
          <w:rFonts w:asciiTheme="majorBidi" w:eastAsiaTheme="minorHAnsi" w:hAnsiTheme="majorBidi" w:cstheme="majorBidi"/>
          <w:lang w:eastAsia="en-US"/>
        </w:rPr>
        <w:t xml:space="preserve"> iegādi </w:t>
      </w:r>
      <w:r w:rsidR="00E302C2">
        <w:rPr>
          <w:rFonts w:asciiTheme="majorBidi" w:eastAsiaTheme="minorHAnsi" w:hAnsiTheme="majorBidi" w:cstheme="majorBidi"/>
          <w:lang w:eastAsia="en-US"/>
        </w:rPr>
        <w:t>no</w:t>
      </w:r>
      <w:r w:rsidR="006F1275">
        <w:rPr>
          <w:rFonts w:asciiTheme="majorBidi" w:eastAsiaTheme="minorHAnsi" w:hAnsiTheme="majorBidi" w:cstheme="majorBidi"/>
          <w:lang w:eastAsia="en-US"/>
        </w:rPr>
        <w:t xml:space="preserve"> </w:t>
      </w:r>
      <w:r w:rsidR="006F1275">
        <w:rPr>
          <w:rFonts w:eastAsiaTheme="minorHAnsi"/>
          <w:lang w:eastAsia="en-US"/>
        </w:rPr>
        <w:t>SIA </w:t>
      </w:r>
      <w:r w:rsidR="006F1275" w:rsidRPr="00504430">
        <w:rPr>
          <w:rFonts w:asciiTheme="majorBidi" w:eastAsiaTheme="minorHAnsi" w:hAnsiTheme="majorBidi" w:cstheme="majorBidi"/>
          <w:lang w:eastAsia="en-US"/>
        </w:rPr>
        <w:t>„</w:t>
      </w:r>
      <w:r w:rsidR="006F1275">
        <w:rPr>
          <w:rFonts w:asciiTheme="majorBidi" w:eastAsiaTheme="minorHAnsi" w:hAnsiTheme="majorBidi" w:cstheme="majorBidi"/>
          <w:lang w:eastAsia="en-US"/>
        </w:rPr>
        <w:t>Baltic Chicken Produkts</w:t>
      </w:r>
      <w:r w:rsidR="006F1275" w:rsidRPr="00504430">
        <w:rPr>
          <w:rFonts w:asciiTheme="majorBidi" w:eastAsiaTheme="minorHAnsi" w:hAnsiTheme="majorBidi" w:cstheme="majorBidi"/>
          <w:lang w:eastAsia="en-US"/>
        </w:rPr>
        <w:t>”</w:t>
      </w:r>
      <w:r w:rsidR="006F1275">
        <w:rPr>
          <w:rFonts w:asciiTheme="majorBidi" w:eastAsiaTheme="minorHAnsi" w:hAnsiTheme="majorBidi" w:cstheme="majorBidi"/>
          <w:lang w:eastAsia="en-US"/>
        </w:rPr>
        <w:t xml:space="preserve"> un </w:t>
      </w:r>
      <w:r w:rsidR="00E302C2">
        <w:rPr>
          <w:rFonts w:asciiTheme="majorBidi" w:eastAsiaTheme="minorHAnsi" w:hAnsiTheme="majorBidi" w:cstheme="majorBidi"/>
          <w:lang w:eastAsia="en-US"/>
        </w:rPr>
        <w:t xml:space="preserve">to pašu </w:t>
      </w:r>
      <w:r w:rsidR="006F1275">
        <w:rPr>
          <w:rFonts w:asciiTheme="majorBidi" w:eastAsiaTheme="minorHAnsi" w:hAnsiTheme="majorBidi" w:cstheme="majorBidi"/>
          <w:lang w:eastAsia="en-US"/>
        </w:rPr>
        <w:t xml:space="preserve">preču piegādi Igaunijas sabiedrībai </w:t>
      </w:r>
      <w:r w:rsidR="006F1275" w:rsidRPr="006F1275">
        <w:rPr>
          <w:rFonts w:asciiTheme="majorBidi" w:eastAsiaTheme="minorHAnsi" w:hAnsiTheme="majorBidi" w:cstheme="majorBidi"/>
          <w:i/>
          <w:iCs/>
          <w:lang w:eastAsia="en-US"/>
        </w:rPr>
        <w:t>OU</w:t>
      </w:r>
      <w:r w:rsidR="00442666">
        <w:rPr>
          <w:rFonts w:asciiTheme="majorBidi" w:eastAsiaTheme="minorHAnsi" w:hAnsiTheme="majorBidi" w:cstheme="majorBidi"/>
          <w:i/>
          <w:iCs/>
          <w:lang w:eastAsia="en-US"/>
        </w:rPr>
        <w:t> </w:t>
      </w:r>
      <w:r w:rsidR="006F1275" w:rsidRPr="006F1275">
        <w:rPr>
          <w:rFonts w:asciiTheme="majorBidi" w:eastAsiaTheme="minorHAnsi" w:hAnsiTheme="majorBidi" w:cstheme="majorBidi"/>
          <w:i/>
          <w:iCs/>
          <w:lang w:eastAsia="en-US"/>
        </w:rPr>
        <w:t>PremiumSigma</w:t>
      </w:r>
      <w:r w:rsidR="006F1275">
        <w:rPr>
          <w:rFonts w:asciiTheme="majorBidi" w:eastAsiaTheme="minorHAnsi" w:hAnsiTheme="majorBidi" w:cstheme="majorBidi"/>
          <w:lang w:eastAsia="en-US"/>
        </w:rPr>
        <w:t xml:space="preserve">. </w:t>
      </w:r>
      <w:r w:rsidR="00E302C2">
        <w:rPr>
          <w:rFonts w:asciiTheme="majorBidi" w:eastAsiaTheme="minorHAnsi" w:hAnsiTheme="majorBidi" w:cstheme="majorBidi"/>
          <w:lang w:eastAsia="en-US"/>
        </w:rPr>
        <w:t xml:space="preserve">Dienests atzina, ka </w:t>
      </w:r>
      <w:r w:rsidR="004E43E5" w:rsidRPr="001661C5">
        <w:rPr>
          <w:rFonts w:asciiTheme="majorBidi" w:eastAsiaTheme="minorHAnsi" w:hAnsiTheme="majorBidi" w:cstheme="majorBidi"/>
          <w:lang w:eastAsia="en-US"/>
        </w:rPr>
        <w:t>pieteicēja apzināti iesaistījās nepamatotā nodokļu</w:t>
      </w:r>
      <w:r w:rsidR="004E43E5">
        <w:rPr>
          <w:rFonts w:asciiTheme="majorBidi" w:eastAsiaTheme="minorHAnsi" w:hAnsiTheme="majorBidi" w:cstheme="majorBidi"/>
          <w:lang w:eastAsia="en-US"/>
        </w:rPr>
        <w:t xml:space="preserve"> </w:t>
      </w:r>
      <w:r w:rsidR="004E43E5" w:rsidRPr="001661C5">
        <w:rPr>
          <w:rFonts w:asciiTheme="majorBidi" w:eastAsiaTheme="minorHAnsi" w:hAnsiTheme="majorBidi" w:cstheme="majorBidi"/>
          <w:lang w:eastAsia="en-US"/>
        </w:rPr>
        <w:t>samazināšan</w:t>
      </w:r>
      <w:r w:rsidR="004E43E5">
        <w:rPr>
          <w:rFonts w:asciiTheme="majorBidi" w:eastAsiaTheme="minorHAnsi" w:hAnsiTheme="majorBidi" w:cstheme="majorBidi"/>
          <w:lang w:eastAsia="en-US"/>
        </w:rPr>
        <w:t>ā</w:t>
      </w:r>
      <w:r w:rsidR="00E61C4E">
        <w:rPr>
          <w:rFonts w:asciiTheme="majorBidi" w:eastAsiaTheme="minorHAnsi" w:hAnsiTheme="majorBidi" w:cstheme="majorBidi"/>
          <w:lang w:eastAsia="en-US"/>
        </w:rPr>
        <w:t xml:space="preserve"> un </w:t>
      </w:r>
      <w:r w:rsidR="00E302C2">
        <w:rPr>
          <w:rFonts w:asciiTheme="majorBidi" w:eastAsiaTheme="minorHAnsi" w:hAnsiTheme="majorBidi" w:cstheme="majorBidi"/>
          <w:lang w:eastAsia="en-US"/>
        </w:rPr>
        <w:t>līdz ar to</w:t>
      </w:r>
      <w:r w:rsidR="004E43E5" w:rsidRPr="001661C5">
        <w:rPr>
          <w:rFonts w:asciiTheme="majorBidi" w:eastAsiaTheme="minorHAnsi" w:hAnsiTheme="majorBidi" w:cstheme="majorBidi"/>
          <w:lang w:eastAsia="en-US"/>
        </w:rPr>
        <w:t xml:space="preserve"> pieteicēja par </w:t>
      </w:r>
      <w:r w:rsidR="004E43E5">
        <w:rPr>
          <w:rFonts w:asciiTheme="majorBidi" w:eastAsiaTheme="minorHAnsi" w:hAnsiTheme="majorBidi" w:cstheme="majorBidi"/>
          <w:lang w:eastAsia="en-US"/>
        </w:rPr>
        <w:t>preču</w:t>
      </w:r>
      <w:r w:rsidR="004E43E5" w:rsidRPr="001661C5">
        <w:rPr>
          <w:rFonts w:asciiTheme="majorBidi" w:eastAsiaTheme="minorHAnsi" w:hAnsiTheme="majorBidi" w:cstheme="majorBidi"/>
          <w:lang w:eastAsia="en-US"/>
        </w:rPr>
        <w:t xml:space="preserve"> iegā</w:t>
      </w:r>
      <w:r w:rsidR="004E43E5">
        <w:rPr>
          <w:rFonts w:asciiTheme="majorBidi" w:eastAsiaTheme="minorHAnsi" w:hAnsiTheme="majorBidi" w:cstheme="majorBidi"/>
          <w:lang w:eastAsia="en-US"/>
        </w:rPr>
        <w:t>di</w:t>
      </w:r>
      <w:r w:rsidR="004E43E5" w:rsidRPr="001661C5">
        <w:rPr>
          <w:rFonts w:asciiTheme="majorBidi" w:eastAsiaTheme="minorHAnsi" w:hAnsiTheme="majorBidi" w:cstheme="majorBidi"/>
          <w:lang w:eastAsia="en-US"/>
        </w:rPr>
        <w:t xml:space="preserve"> nebija tiesīga atskaitīt priekšnodokli</w:t>
      </w:r>
      <w:r w:rsidR="00E61C4E">
        <w:rPr>
          <w:rFonts w:asciiTheme="majorBidi" w:eastAsiaTheme="minorHAnsi" w:hAnsiTheme="majorBidi" w:cstheme="majorBidi"/>
          <w:lang w:eastAsia="en-US"/>
        </w:rPr>
        <w:t>. Tāpat</w:t>
      </w:r>
      <w:r w:rsidR="004E43E5" w:rsidRPr="001661C5">
        <w:rPr>
          <w:rFonts w:asciiTheme="majorBidi" w:eastAsiaTheme="minorHAnsi" w:hAnsiTheme="majorBidi" w:cstheme="majorBidi"/>
          <w:lang w:eastAsia="en-US"/>
        </w:rPr>
        <w:t xml:space="preserve"> </w:t>
      </w:r>
      <w:r w:rsidR="004E43E5">
        <w:rPr>
          <w:rFonts w:asciiTheme="majorBidi" w:eastAsiaTheme="minorHAnsi" w:hAnsiTheme="majorBidi" w:cstheme="majorBidi"/>
          <w:lang w:eastAsia="en-US"/>
        </w:rPr>
        <w:t>par</w:t>
      </w:r>
      <w:r w:rsidR="004E43E5" w:rsidRPr="001661C5">
        <w:rPr>
          <w:rFonts w:asciiTheme="majorBidi" w:eastAsiaTheme="minorHAnsi" w:hAnsiTheme="majorBidi" w:cstheme="majorBidi"/>
          <w:lang w:eastAsia="en-US"/>
        </w:rPr>
        <w:t xml:space="preserve"> preču</w:t>
      </w:r>
      <w:r w:rsidR="004E43E5">
        <w:rPr>
          <w:rFonts w:asciiTheme="majorBidi" w:eastAsiaTheme="minorHAnsi" w:hAnsiTheme="majorBidi" w:cstheme="majorBidi"/>
          <w:lang w:eastAsia="en-US"/>
        </w:rPr>
        <w:t xml:space="preserve"> </w:t>
      </w:r>
      <w:r w:rsidR="004E43E5" w:rsidRPr="001661C5">
        <w:rPr>
          <w:rFonts w:asciiTheme="majorBidi" w:eastAsiaTheme="minorHAnsi" w:hAnsiTheme="majorBidi" w:cstheme="majorBidi"/>
          <w:lang w:eastAsia="en-US"/>
        </w:rPr>
        <w:t>piegādes darījum</w:t>
      </w:r>
      <w:r w:rsidR="004E43E5">
        <w:rPr>
          <w:rFonts w:asciiTheme="majorBidi" w:eastAsiaTheme="minorHAnsi" w:hAnsiTheme="majorBidi" w:cstheme="majorBidi"/>
          <w:lang w:eastAsia="en-US"/>
        </w:rPr>
        <w:t>u</w:t>
      </w:r>
      <w:r w:rsidR="004E43E5" w:rsidRPr="001661C5">
        <w:rPr>
          <w:rFonts w:asciiTheme="majorBidi" w:eastAsiaTheme="minorHAnsi" w:hAnsiTheme="majorBidi" w:cstheme="majorBidi"/>
          <w:lang w:eastAsia="en-US"/>
        </w:rPr>
        <w:t xml:space="preserve"> citas Eiropas Savienības dalībvalsts </w:t>
      </w:r>
      <w:r w:rsidR="004E43E5">
        <w:rPr>
          <w:rFonts w:asciiTheme="majorBidi" w:eastAsiaTheme="minorHAnsi" w:hAnsiTheme="majorBidi" w:cstheme="majorBidi"/>
          <w:lang w:eastAsia="en-US"/>
        </w:rPr>
        <w:t>sabiedrībai</w:t>
      </w:r>
      <w:r w:rsidR="004E43E5" w:rsidRPr="001661C5">
        <w:rPr>
          <w:rFonts w:asciiTheme="majorBidi" w:eastAsiaTheme="minorHAnsi" w:hAnsiTheme="majorBidi" w:cstheme="majorBidi"/>
          <w:lang w:eastAsia="en-US"/>
        </w:rPr>
        <w:t xml:space="preserve"> pieteicēja nebija tiesīga</w:t>
      </w:r>
      <w:r w:rsidR="004E43E5">
        <w:rPr>
          <w:rFonts w:asciiTheme="majorBidi" w:eastAsiaTheme="minorHAnsi" w:hAnsiTheme="majorBidi" w:cstheme="majorBidi"/>
          <w:lang w:eastAsia="en-US"/>
        </w:rPr>
        <w:t xml:space="preserve"> </w:t>
      </w:r>
      <w:r w:rsidR="004E43E5" w:rsidRPr="001661C5">
        <w:rPr>
          <w:rFonts w:asciiTheme="majorBidi" w:eastAsiaTheme="minorHAnsi" w:hAnsiTheme="majorBidi" w:cstheme="majorBidi"/>
          <w:lang w:eastAsia="en-US"/>
        </w:rPr>
        <w:t>piemērot pievienotās vērtības nodokļa 0</w:t>
      </w:r>
      <w:r w:rsidR="00E61C4E">
        <w:rPr>
          <w:rFonts w:asciiTheme="majorBidi" w:eastAsiaTheme="minorHAnsi" w:hAnsiTheme="majorBidi" w:cstheme="majorBidi"/>
          <w:lang w:eastAsia="en-US"/>
        </w:rPr>
        <w:t> </w:t>
      </w:r>
      <w:r w:rsidR="004E43E5" w:rsidRPr="001661C5">
        <w:rPr>
          <w:rFonts w:asciiTheme="majorBidi" w:eastAsiaTheme="minorHAnsi" w:hAnsiTheme="majorBidi" w:cstheme="majorBidi"/>
          <w:lang w:eastAsia="en-US"/>
        </w:rPr>
        <w:t>procentu likmi</w:t>
      </w:r>
      <w:r w:rsidR="004E43E5">
        <w:rPr>
          <w:rFonts w:asciiTheme="majorBidi" w:eastAsiaTheme="minorHAnsi" w:hAnsiTheme="majorBidi" w:cstheme="majorBidi"/>
          <w:lang w:eastAsia="en-US"/>
        </w:rPr>
        <w:t>.</w:t>
      </w:r>
      <w:r w:rsidR="00876C9B">
        <w:rPr>
          <w:rFonts w:asciiTheme="majorBidi" w:eastAsiaTheme="minorHAnsi" w:hAnsiTheme="majorBidi" w:cstheme="majorBidi"/>
          <w:lang w:eastAsia="en-US"/>
        </w:rPr>
        <w:t xml:space="preserve"> </w:t>
      </w:r>
    </w:p>
    <w:p w14:paraId="18D987AB" w14:textId="0CADBD05" w:rsidR="004E43E5" w:rsidRDefault="00E61C4E" w:rsidP="0075628D">
      <w:pPr>
        <w:autoSpaceDE w:val="0"/>
        <w:autoSpaceDN w:val="0"/>
        <w:adjustRightInd w:val="0"/>
        <w:spacing w:line="276" w:lineRule="auto"/>
        <w:ind w:firstLine="720"/>
        <w:jc w:val="both"/>
        <w:rPr>
          <w:rFonts w:eastAsiaTheme="minorHAnsi"/>
          <w:lang w:eastAsia="en-US"/>
        </w:rPr>
      </w:pPr>
      <w:r>
        <w:rPr>
          <w:rFonts w:asciiTheme="majorBidi" w:eastAsiaTheme="minorHAnsi" w:hAnsiTheme="majorBidi" w:cstheme="majorBidi"/>
          <w:lang w:eastAsia="en-US"/>
        </w:rPr>
        <w:lastRenderedPageBreak/>
        <w:t>A</w:t>
      </w:r>
      <w:r w:rsidR="00876C9B">
        <w:rPr>
          <w:rFonts w:asciiTheme="majorBidi" w:eastAsiaTheme="minorHAnsi" w:hAnsiTheme="majorBidi" w:cstheme="majorBidi"/>
          <w:lang w:eastAsia="en-US"/>
        </w:rPr>
        <w:t xml:space="preserve">r Valsts ieņēmumu dienesta </w:t>
      </w:r>
      <w:r w:rsidR="00876C9B">
        <w:rPr>
          <w:rFonts w:eastAsiaTheme="minorHAnsi"/>
          <w:lang w:eastAsia="en-US"/>
        </w:rPr>
        <w:t>2018.gada 5.decembra lēmumu Nr. 30.2-22.7/5591</w:t>
      </w:r>
      <w:r w:rsidR="00513053">
        <w:rPr>
          <w:rFonts w:eastAsiaTheme="minorHAnsi"/>
          <w:lang w:eastAsia="en-US"/>
        </w:rPr>
        <w:t xml:space="preserve"> pieteicējai papildu samaksai budžetā aprēķināts pievienotās vērtības nodoklis</w:t>
      </w:r>
      <w:r w:rsidR="007A3CFD">
        <w:rPr>
          <w:rFonts w:eastAsiaTheme="minorHAnsi"/>
          <w:lang w:eastAsia="en-US"/>
        </w:rPr>
        <w:t>,</w:t>
      </w:r>
      <w:r w:rsidR="00306AFE">
        <w:rPr>
          <w:rFonts w:eastAsiaTheme="minorHAnsi"/>
          <w:lang w:eastAsia="en-US"/>
        </w:rPr>
        <w:t xml:space="preserve"> </w:t>
      </w:r>
      <w:r w:rsidR="00513053">
        <w:rPr>
          <w:rFonts w:eastAsiaTheme="minorHAnsi"/>
          <w:lang w:eastAsia="en-US"/>
        </w:rPr>
        <w:t>soda nauda un nokavējuma nauda, kā arī samazināts no budžeta atmaksājamais pievienotās vērtības nodoklis un</w:t>
      </w:r>
      <w:r w:rsidR="00306AFE">
        <w:rPr>
          <w:rFonts w:eastAsiaTheme="minorHAnsi"/>
          <w:lang w:eastAsia="en-US"/>
        </w:rPr>
        <w:t xml:space="preserve"> saistībā ar to</w:t>
      </w:r>
      <w:r w:rsidR="007A3CFD">
        <w:rPr>
          <w:rFonts w:eastAsiaTheme="minorHAnsi"/>
          <w:lang w:eastAsia="en-US"/>
        </w:rPr>
        <w:t xml:space="preserve"> aprēķināta</w:t>
      </w:r>
      <w:r w:rsidR="00306AFE">
        <w:rPr>
          <w:rFonts w:eastAsiaTheme="minorHAnsi"/>
          <w:lang w:eastAsia="en-US"/>
        </w:rPr>
        <w:t xml:space="preserve"> </w:t>
      </w:r>
      <w:r w:rsidR="00513053">
        <w:rPr>
          <w:rFonts w:eastAsiaTheme="minorHAnsi"/>
          <w:lang w:eastAsia="en-US"/>
        </w:rPr>
        <w:t>soda nauda.</w:t>
      </w:r>
    </w:p>
    <w:p w14:paraId="794732BD" w14:textId="3B726735" w:rsidR="00795839" w:rsidRPr="00E302C2" w:rsidRDefault="00795839" w:rsidP="0075628D">
      <w:pPr>
        <w:autoSpaceDE w:val="0"/>
        <w:autoSpaceDN w:val="0"/>
        <w:adjustRightInd w:val="0"/>
        <w:spacing w:line="276" w:lineRule="auto"/>
        <w:ind w:firstLine="720"/>
        <w:jc w:val="both"/>
        <w:rPr>
          <w:rFonts w:asciiTheme="majorBidi" w:eastAsiaTheme="minorHAnsi" w:hAnsiTheme="majorBidi" w:cstheme="majorBidi"/>
          <w:lang w:eastAsia="en-US"/>
        </w:rPr>
      </w:pPr>
      <w:r w:rsidRPr="00682FC0">
        <w:rPr>
          <w:rFonts w:eastAsiaTheme="minorHAnsi"/>
          <w:lang w:eastAsia="en-US"/>
        </w:rPr>
        <w:t>Pieteicēj</w:t>
      </w:r>
      <w:r>
        <w:rPr>
          <w:rFonts w:eastAsiaTheme="minorHAnsi"/>
          <w:lang w:eastAsia="en-US"/>
        </w:rPr>
        <w:t>a</w:t>
      </w:r>
      <w:r w:rsidRPr="00682FC0">
        <w:rPr>
          <w:rFonts w:eastAsiaTheme="minorHAnsi"/>
          <w:lang w:eastAsia="en-US"/>
        </w:rPr>
        <w:t xml:space="preserve"> </w:t>
      </w:r>
      <w:r>
        <w:rPr>
          <w:rFonts w:eastAsiaTheme="minorHAnsi"/>
          <w:lang w:eastAsia="en-US"/>
        </w:rPr>
        <w:t>iesniedza tiesā pieteikumu par administratīvā akta atcelšanu.</w:t>
      </w:r>
    </w:p>
    <w:p w14:paraId="6C15D139" w14:textId="77777777" w:rsidR="00513053" w:rsidRDefault="00513053" w:rsidP="0075628D">
      <w:pPr>
        <w:autoSpaceDE w:val="0"/>
        <w:autoSpaceDN w:val="0"/>
        <w:adjustRightInd w:val="0"/>
        <w:spacing w:line="276" w:lineRule="auto"/>
        <w:ind w:firstLine="720"/>
        <w:jc w:val="both"/>
        <w:rPr>
          <w:rFonts w:asciiTheme="majorBidi" w:eastAsiaTheme="minorHAnsi" w:hAnsiTheme="majorBidi" w:cstheme="majorBidi"/>
          <w:lang w:eastAsia="en-US"/>
        </w:rPr>
      </w:pPr>
    </w:p>
    <w:p w14:paraId="2AA41C7B" w14:textId="1434A809" w:rsidR="00DE3A55" w:rsidRPr="00DE3A55" w:rsidRDefault="00DE3A55" w:rsidP="0075628D">
      <w:pPr>
        <w:autoSpaceDE w:val="0"/>
        <w:autoSpaceDN w:val="0"/>
        <w:adjustRightInd w:val="0"/>
        <w:spacing w:line="276" w:lineRule="auto"/>
        <w:ind w:firstLine="720"/>
        <w:jc w:val="both"/>
        <w:rPr>
          <w:rFonts w:asciiTheme="majorBidi" w:eastAsiaTheme="minorHAnsi" w:hAnsiTheme="majorBidi" w:cstheme="majorBidi"/>
          <w:i/>
          <w:iCs/>
          <w:lang w:eastAsia="en-US"/>
        </w:rPr>
      </w:pPr>
      <w:r w:rsidRPr="00DE3A55">
        <w:rPr>
          <w:rFonts w:asciiTheme="majorBidi" w:eastAsiaTheme="minorHAnsi" w:hAnsiTheme="majorBidi" w:cstheme="majorBidi"/>
          <w:i/>
          <w:iCs/>
          <w:lang w:eastAsia="en-US"/>
        </w:rPr>
        <w:t>Apelācijas instances tiesas spriedums</w:t>
      </w:r>
    </w:p>
    <w:p w14:paraId="18401A90" w14:textId="136E41E5" w:rsidR="00550CD7" w:rsidRPr="00550CD7" w:rsidRDefault="00A17711" w:rsidP="0075628D">
      <w:pPr>
        <w:autoSpaceDE w:val="0"/>
        <w:autoSpaceDN w:val="0"/>
        <w:adjustRightInd w:val="0"/>
        <w:spacing w:line="276" w:lineRule="auto"/>
        <w:ind w:firstLine="720"/>
        <w:jc w:val="both"/>
        <w:rPr>
          <w:rFonts w:eastAsiaTheme="minorHAnsi"/>
          <w:lang w:eastAsia="en-US"/>
        </w:rPr>
      </w:pPr>
      <w:r w:rsidRPr="00682FC0">
        <w:rPr>
          <w:rFonts w:eastAsiaTheme="minorHAnsi"/>
          <w:lang w:eastAsia="en-US"/>
        </w:rPr>
        <w:t>[2]</w:t>
      </w:r>
      <w:r w:rsidR="005C6957">
        <w:rPr>
          <w:rFonts w:eastAsiaTheme="minorHAnsi"/>
          <w:lang w:eastAsia="en-US"/>
        </w:rPr>
        <w:t xml:space="preserve"> </w:t>
      </w:r>
      <w:r w:rsidR="00550CD7" w:rsidRPr="005B68BC">
        <w:t>Admin</w:t>
      </w:r>
      <w:r w:rsidR="00550CD7">
        <w:t>istratīvā apgabaltiesa, izskatījusi</w:t>
      </w:r>
      <w:r w:rsidR="00550CD7" w:rsidRPr="005B68BC">
        <w:t xml:space="preserve"> l</w:t>
      </w:r>
      <w:r w:rsidR="00550CD7">
        <w:t xml:space="preserve">ietu apelācijas kārtībā, ar </w:t>
      </w:r>
      <w:r w:rsidR="00513053" w:rsidRPr="00EC00F0">
        <w:rPr>
          <w:rFonts w:eastAsiaTheme="minorHAnsi"/>
          <w:lang w:eastAsia="en-US"/>
        </w:rPr>
        <w:t>202</w:t>
      </w:r>
      <w:r w:rsidR="00513053">
        <w:rPr>
          <w:rFonts w:eastAsiaTheme="minorHAnsi"/>
          <w:lang w:eastAsia="en-US"/>
        </w:rPr>
        <w:t>1</w:t>
      </w:r>
      <w:r w:rsidR="00513053" w:rsidRPr="00EC00F0">
        <w:rPr>
          <w:rFonts w:eastAsiaTheme="minorHAnsi"/>
          <w:lang w:eastAsia="en-US"/>
        </w:rPr>
        <w:t xml:space="preserve">.gada </w:t>
      </w:r>
      <w:r w:rsidR="00513053">
        <w:rPr>
          <w:rFonts w:eastAsiaTheme="minorHAnsi"/>
          <w:lang w:eastAsia="en-US"/>
        </w:rPr>
        <w:t>20</w:t>
      </w:r>
      <w:r w:rsidR="00513053" w:rsidRPr="00EC00F0">
        <w:rPr>
          <w:rFonts w:eastAsiaTheme="minorHAnsi"/>
          <w:lang w:eastAsia="en-US"/>
        </w:rPr>
        <w:t>.</w:t>
      </w:r>
      <w:r w:rsidR="00513053">
        <w:rPr>
          <w:rFonts w:eastAsiaTheme="minorHAnsi"/>
          <w:lang w:eastAsia="en-US"/>
        </w:rPr>
        <w:t>janvāra</w:t>
      </w:r>
      <w:r w:rsidR="00513053" w:rsidRPr="00EC00F0">
        <w:rPr>
          <w:rFonts w:eastAsiaTheme="minorHAnsi"/>
          <w:lang w:eastAsia="en-US"/>
        </w:rPr>
        <w:t xml:space="preserve"> </w:t>
      </w:r>
      <w:r w:rsidR="00550CD7" w:rsidRPr="005B68BC">
        <w:t>spriedumu pieteikumu noraidīja</w:t>
      </w:r>
      <w:r w:rsidR="00450CEA">
        <w:t xml:space="preserve">, </w:t>
      </w:r>
      <w:r w:rsidR="00550CD7" w:rsidRPr="005B68BC">
        <w:t>pamato</w:t>
      </w:r>
      <w:r w:rsidR="00620A6B">
        <w:t>j</w:t>
      </w:r>
      <w:r w:rsidR="00450CEA">
        <w:t>oties uz</w:t>
      </w:r>
      <w:r w:rsidR="00550CD7" w:rsidRPr="005B68BC">
        <w:t xml:space="preserve"> turpmāk minētajiem argumentiem.</w:t>
      </w:r>
    </w:p>
    <w:p w14:paraId="14B6E3D1" w14:textId="1C38C79C" w:rsidR="00E816B6" w:rsidRDefault="00E734A1" w:rsidP="0075628D">
      <w:pPr>
        <w:autoSpaceDE w:val="0"/>
        <w:autoSpaceDN w:val="0"/>
        <w:adjustRightInd w:val="0"/>
        <w:spacing w:line="276" w:lineRule="auto"/>
        <w:ind w:firstLine="720"/>
        <w:jc w:val="both"/>
      </w:pPr>
      <w:r>
        <w:rPr>
          <w:rFonts w:eastAsiaTheme="minorHAnsi"/>
          <w:lang w:eastAsia="en-US"/>
        </w:rPr>
        <w:t>[</w:t>
      </w:r>
      <w:r w:rsidR="00E816B6">
        <w:rPr>
          <w:rFonts w:eastAsiaTheme="minorHAnsi"/>
          <w:lang w:eastAsia="en-US"/>
        </w:rPr>
        <w:t>2</w:t>
      </w:r>
      <w:r>
        <w:rPr>
          <w:rFonts w:eastAsiaTheme="minorHAnsi"/>
          <w:lang w:eastAsia="en-US"/>
        </w:rPr>
        <w:t>.1]</w:t>
      </w:r>
      <w:r w:rsidR="005C6957">
        <w:rPr>
          <w:rFonts w:eastAsiaTheme="minorHAnsi"/>
          <w:lang w:eastAsia="en-US"/>
        </w:rPr>
        <w:t xml:space="preserve"> </w:t>
      </w:r>
      <w:r w:rsidR="0029072A">
        <w:t>No lietas materiālos esošajiem darījumu un pārvadājum</w:t>
      </w:r>
      <w:r w:rsidR="0072696E">
        <w:t>u</w:t>
      </w:r>
      <w:r w:rsidR="0029072A">
        <w:t xml:space="preserve"> dokumentiem konstatējams, ka 2017.gada 9.martā pieteicēja iegādājās no SIA „Baltic Chicken Produkts”</w:t>
      </w:r>
      <w:r w:rsidR="00967EB6">
        <w:t xml:space="preserve"> </w:t>
      </w:r>
      <w:r w:rsidR="0029072A">
        <w:t>ātri saldētu broilera fileju (9100</w:t>
      </w:r>
      <w:r w:rsidR="002A2405">
        <w:t> </w:t>
      </w:r>
      <w:r w:rsidR="0029072A">
        <w:t xml:space="preserve">kg </w:t>
      </w:r>
      <w:r w:rsidR="00E61C4E">
        <w:t xml:space="preserve">ar cenu </w:t>
      </w:r>
      <w:r w:rsidR="0029072A">
        <w:t>2,</w:t>
      </w:r>
      <w:r w:rsidR="0029072A" w:rsidRPr="00795839">
        <w:rPr>
          <w:color w:val="000000" w:themeColor="text1"/>
        </w:rPr>
        <w:t>8</w:t>
      </w:r>
      <w:r w:rsidR="0029072A">
        <w:t>0 </w:t>
      </w:r>
      <w:r w:rsidR="0029072A" w:rsidRPr="0029072A">
        <w:rPr>
          <w:i/>
          <w:iCs/>
        </w:rPr>
        <w:t>euro</w:t>
      </w:r>
      <w:r w:rsidR="0029072A">
        <w:t xml:space="preserve"> par kilogramu). Tajā pašā dienā pieteicēja noformēja rēķinu par </w:t>
      </w:r>
      <w:r w:rsidR="00BC3DBF">
        <w:t>šo</w:t>
      </w:r>
      <w:r w:rsidR="0029072A">
        <w:t xml:space="preserve"> pre</w:t>
      </w:r>
      <w:r w:rsidR="00BC3DBF">
        <w:t>ču</w:t>
      </w:r>
      <w:r w:rsidR="0029072A">
        <w:t xml:space="preserve"> pārdošanu </w:t>
      </w:r>
      <w:r w:rsidR="0029072A" w:rsidRPr="0029072A">
        <w:rPr>
          <w:i/>
          <w:iCs/>
        </w:rPr>
        <w:t>OU</w:t>
      </w:r>
      <w:r w:rsidR="002F0082">
        <w:rPr>
          <w:i/>
          <w:iCs/>
        </w:rPr>
        <w:t> </w:t>
      </w:r>
      <w:r w:rsidR="0029072A" w:rsidRPr="0029072A">
        <w:rPr>
          <w:i/>
          <w:iCs/>
        </w:rPr>
        <w:t>PremiumSigma</w:t>
      </w:r>
      <w:r w:rsidR="0029072A">
        <w:t xml:space="preserve"> </w:t>
      </w:r>
      <w:r w:rsidR="00E61C4E">
        <w:t>ar cenu</w:t>
      </w:r>
      <w:r w:rsidR="0029072A">
        <w:t xml:space="preserve"> 2,90 </w:t>
      </w:r>
      <w:r w:rsidR="0029072A" w:rsidRPr="0029072A">
        <w:rPr>
          <w:i/>
          <w:iCs/>
        </w:rPr>
        <w:t>euro</w:t>
      </w:r>
      <w:r w:rsidR="0029072A">
        <w:t xml:space="preserve"> par kilogramu. Šajā datumā ir noformēta </w:t>
      </w:r>
      <w:r w:rsidR="00D8076F">
        <w:t>starptautiskā preču transporta pavadzīme (</w:t>
      </w:r>
      <w:r w:rsidR="0029072A">
        <w:t>CMR</w:t>
      </w:r>
      <w:r w:rsidR="00D8076F">
        <w:t>)</w:t>
      </w:r>
      <w:r w:rsidR="00A7139C">
        <w:t>,</w:t>
      </w:r>
      <w:r w:rsidR="0029072A">
        <w:t xml:space="preserve"> un saskaņā ar tajā norādīto informāciju krava iekrauta 2017.gada 9.martā. 2017.gada 13.martā </w:t>
      </w:r>
      <w:r w:rsidR="0029072A" w:rsidRPr="0029072A">
        <w:rPr>
          <w:i/>
          <w:iCs/>
        </w:rPr>
        <w:t>OU</w:t>
      </w:r>
      <w:r w:rsidR="002F0082">
        <w:rPr>
          <w:i/>
          <w:iCs/>
        </w:rPr>
        <w:t> </w:t>
      </w:r>
      <w:r w:rsidR="0029072A" w:rsidRPr="0029072A">
        <w:rPr>
          <w:i/>
          <w:iCs/>
        </w:rPr>
        <w:t>PremiumSigma</w:t>
      </w:r>
      <w:r w:rsidR="0029072A">
        <w:t xml:space="preserve"> pārdeva </w:t>
      </w:r>
      <w:r w:rsidR="00E61C4E" w:rsidRPr="00E61C4E">
        <w:t xml:space="preserve">saņemto broilera fileju kā svaigu vistas gaļu </w:t>
      </w:r>
      <w:r w:rsidR="0029072A">
        <w:t>(9100</w:t>
      </w:r>
      <w:r w:rsidR="002A2405">
        <w:t> </w:t>
      </w:r>
      <w:r w:rsidR="0029072A">
        <w:t xml:space="preserve">kg </w:t>
      </w:r>
      <w:r w:rsidR="00E61C4E">
        <w:t>ar cenu</w:t>
      </w:r>
      <w:r w:rsidR="0029072A">
        <w:t xml:space="preserve"> 2,</w:t>
      </w:r>
      <w:r w:rsidR="00795839" w:rsidRPr="00795839">
        <w:rPr>
          <w:color w:val="000000" w:themeColor="text1"/>
        </w:rPr>
        <w:t>9</w:t>
      </w:r>
      <w:r w:rsidR="0029072A" w:rsidRPr="00795839">
        <w:rPr>
          <w:color w:val="000000" w:themeColor="text1"/>
        </w:rPr>
        <w:t>0</w:t>
      </w:r>
      <w:r w:rsidR="0029072A">
        <w:t> </w:t>
      </w:r>
      <w:r w:rsidR="0029072A" w:rsidRPr="002A2405">
        <w:rPr>
          <w:i/>
          <w:iCs/>
        </w:rPr>
        <w:t>euro</w:t>
      </w:r>
      <w:r w:rsidR="0029072A">
        <w:t xml:space="preserve"> par kilogramu) SIA „Baltic Chicken Produkts”. Saskaņā ar CMR krava Igaunijā tika iekrauta 2017.gada 13.martā un saņemta Latvijā 2017.gada 14.martā. Tātad pieteicējas iegādātā</w:t>
      </w:r>
      <w:r w:rsidR="00BC3DBF">
        <w:t>s</w:t>
      </w:r>
      <w:r w:rsidR="0029072A">
        <w:t xml:space="preserve"> prece</w:t>
      </w:r>
      <w:r w:rsidR="00BC3DBF">
        <w:t>s</w:t>
      </w:r>
      <w:r w:rsidR="0029072A">
        <w:t xml:space="preserve"> nonāca atpakaļ SIA</w:t>
      </w:r>
      <w:r w:rsidR="00B35F68">
        <w:t> </w:t>
      </w:r>
      <w:r w:rsidR="0029072A">
        <w:t>„Baltic Chicken Produkts” rīcībā.</w:t>
      </w:r>
    </w:p>
    <w:p w14:paraId="0AB99E31" w14:textId="601D9589" w:rsidR="00DE7015" w:rsidRPr="000A4B77" w:rsidRDefault="00E1591A" w:rsidP="0075628D">
      <w:pPr>
        <w:autoSpaceDE w:val="0"/>
        <w:autoSpaceDN w:val="0"/>
        <w:adjustRightInd w:val="0"/>
        <w:spacing w:line="276" w:lineRule="auto"/>
        <w:ind w:firstLine="720"/>
        <w:jc w:val="both"/>
      </w:pPr>
      <w:r>
        <w:t>[2.</w:t>
      </w:r>
      <w:r w:rsidR="00356C83">
        <w:t>2</w:t>
      </w:r>
      <w:r>
        <w:t>]</w:t>
      </w:r>
      <w:r w:rsidR="005C6957">
        <w:t xml:space="preserve"> </w:t>
      </w:r>
      <w:r w:rsidR="001F3DFE">
        <w:t xml:space="preserve">Pārvadātāja SIA „JUKIS” amatpersonas </w:t>
      </w:r>
      <w:r w:rsidR="001F3DFE" w:rsidRPr="000A4B77">
        <w:t>liecības</w:t>
      </w:r>
      <w:r w:rsidR="0072696E" w:rsidRPr="000A4B77">
        <w:t xml:space="preserve"> un</w:t>
      </w:r>
      <w:r w:rsidR="001F3DFE" w:rsidRPr="000A4B77">
        <w:t xml:space="preserve"> SIA „JUKIS” iesniegtie dokumenti apstiprina faktu, ka pārvadātājs veica pieteicējas </w:t>
      </w:r>
      <w:r w:rsidR="001F3DFE" w:rsidRPr="000A4B77">
        <w:rPr>
          <w:i/>
          <w:iCs/>
        </w:rPr>
        <w:t>OU PremiumSigma</w:t>
      </w:r>
      <w:r w:rsidR="001F3DFE" w:rsidRPr="000A4B77">
        <w:t xml:space="preserve"> piegādāto preču pārvadāšanu</w:t>
      </w:r>
      <w:r w:rsidR="00DE7015" w:rsidRPr="000A4B77">
        <w:t xml:space="preserve">. </w:t>
      </w:r>
    </w:p>
    <w:p w14:paraId="1DF67E21" w14:textId="45A8FCD5" w:rsidR="001F3DFE" w:rsidRPr="000A4B77" w:rsidRDefault="00DE7015" w:rsidP="0075628D">
      <w:pPr>
        <w:autoSpaceDE w:val="0"/>
        <w:autoSpaceDN w:val="0"/>
        <w:adjustRightInd w:val="0"/>
        <w:spacing w:line="276" w:lineRule="auto"/>
        <w:ind w:firstLine="720"/>
        <w:jc w:val="both"/>
      </w:pPr>
      <w:r w:rsidRPr="000A4B77">
        <w:t>T</w:t>
      </w:r>
      <w:r w:rsidR="001F3DFE" w:rsidRPr="000A4B77">
        <w:t>iesas rīcībā nav neapstrīdamu pierādījumu, ka pārvadājumi uz Igauniju un atpakaļ faktiski netika veikti. Tāpēc prezumē</w:t>
      </w:r>
      <w:r w:rsidR="00E1591A" w:rsidRPr="000A4B77">
        <w:t>jams</w:t>
      </w:r>
      <w:r w:rsidR="001F3DFE" w:rsidRPr="000A4B77">
        <w:t>, ka pārvadājumi uz Igauniju un atpakaļ faktiski tika veikti.</w:t>
      </w:r>
    </w:p>
    <w:p w14:paraId="781FB75C" w14:textId="6369D1E7" w:rsidR="0072696E" w:rsidRDefault="00E1591A" w:rsidP="0075628D">
      <w:pPr>
        <w:autoSpaceDE w:val="0"/>
        <w:autoSpaceDN w:val="0"/>
        <w:adjustRightInd w:val="0"/>
        <w:spacing w:line="276" w:lineRule="auto"/>
        <w:ind w:firstLine="720"/>
        <w:jc w:val="both"/>
      </w:pPr>
      <w:r w:rsidRPr="000A4B77">
        <w:t>[2.</w:t>
      </w:r>
      <w:r w:rsidR="00356C83" w:rsidRPr="000A4B77">
        <w:t>3</w:t>
      </w:r>
      <w:r w:rsidRPr="000A4B77">
        <w:t>]</w:t>
      </w:r>
      <w:r w:rsidR="005C6957">
        <w:t xml:space="preserve"> </w:t>
      </w:r>
      <w:r w:rsidRPr="000A4B77">
        <w:t>SIA „Baltic Chicken Produ</w:t>
      </w:r>
      <w:r w:rsidR="009818E1">
        <w:t>k</w:t>
      </w:r>
      <w:r w:rsidR="00D8076F">
        <w:t>t</w:t>
      </w:r>
      <w:r w:rsidRPr="000A4B77">
        <w:t>s”</w:t>
      </w:r>
      <w:r w:rsidR="00AB754F">
        <w:t xml:space="preserve"> </w:t>
      </w:r>
      <w:r w:rsidRPr="000A4B77">
        <w:t xml:space="preserve">amatpersona un </w:t>
      </w:r>
      <w:bookmarkStart w:id="1" w:name="_Hlk142462302"/>
      <w:r w:rsidRPr="000A4B77">
        <w:rPr>
          <w:i/>
          <w:iCs/>
        </w:rPr>
        <w:t>OU</w:t>
      </w:r>
      <w:r w:rsidR="00442666">
        <w:rPr>
          <w:i/>
          <w:iCs/>
        </w:rPr>
        <w:t> </w:t>
      </w:r>
      <w:r w:rsidRPr="000A4B77">
        <w:rPr>
          <w:i/>
          <w:iCs/>
        </w:rPr>
        <w:t>PremiumSigma</w:t>
      </w:r>
      <w:r w:rsidRPr="000A4B77">
        <w:t xml:space="preserve"> amatpersona </w:t>
      </w:r>
      <w:bookmarkEnd w:id="1"/>
      <w:r w:rsidRPr="000A4B77">
        <w:t>apstiprina faktu</w:t>
      </w:r>
      <w:r>
        <w:t>, ka pieteicējas Igaunijas sabiedrībai piegādātā</w:t>
      </w:r>
      <w:r w:rsidR="00BC3DBF">
        <w:t>s</w:t>
      </w:r>
      <w:r>
        <w:t xml:space="preserve"> prece</w:t>
      </w:r>
      <w:r w:rsidR="00BC3DBF">
        <w:t>s</w:t>
      </w:r>
      <w:r>
        <w:t xml:space="preserve"> tika atdota</w:t>
      </w:r>
      <w:r w:rsidR="00A7139C">
        <w:t>s</w:t>
      </w:r>
      <w:r>
        <w:t xml:space="preserve"> atpakaļ. Tomēr prece</w:t>
      </w:r>
      <w:r w:rsidR="00BC3DBF">
        <w:t>s</w:t>
      </w:r>
      <w:r>
        <w:t xml:space="preserve"> tika atdota</w:t>
      </w:r>
      <w:r w:rsidR="00A7139C">
        <w:t>s</w:t>
      </w:r>
      <w:r>
        <w:t xml:space="preserve"> atpakaļ nevis tiešajam piegādātājam, bet, vienojoties par preču piegādi, tā</w:t>
      </w:r>
      <w:r w:rsidR="00BC3DBF">
        <w:t>s</w:t>
      </w:r>
      <w:r>
        <w:t xml:space="preserve"> tika nodota</w:t>
      </w:r>
      <w:r w:rsidR="00BC3DBF">
        <w:t>s</w:t>
      </w:r>
      <w:r>
        <w:t xml:space="preserve"> pieteicējas darījumu partner</w:t>
      </w:r>
      <w:r w:rsidR="00BF7820">
        <w:t>ei</w:t>
      </w:r>
      <w:r>
        <w:t xml:space="preserve"> SIA „Baltic Chicken Produ</w:t>
      </w:r>
      <w:r w:rsidR="00967EB6">
        <w:t>k</w:t>
      </w:r>
      <w:r>
        <w:t xml:space="preserve">ts”. </w:t>
      </w:r>
    </w:p>
    <w:p w14:paraId="1C63A2D0" w14:textId="1FCC3526" w:rsidR="00E1591A" w:rsidRDefault="00E1591A" w:rsidP="0075628D">
      <w:pPr>
        <w:autoSpaceDE w:val="0"/>
        <w:autoSpaceDN w:val="0"/>
        <w:adjustRightInd w:val="0"/>
        <w:spacing w:line="276" w:lineRule="auto"/>
        <w:ind w:firstLine="720"/>
        <w:jc w:val="both"/>
      </w:pPr>
      <w:r>
        <w:t xml:space="preserve">Lietā iegūtie pierādījumi ļauj secināt, ka preču pārvadājumi uz Igauniju un atpakaļ faktiski ir veikti. </w:t>
      </w:r>
    </w:p>
    <w:p w14:paraId="791BA4CE" w14:textId="254B64FC" w:rsidR="00570045" w:rsidRDefault="009818E1" w:rsidP="0075628D">
      <w:pPr>
        <w:autoSpaceDE w:val="0"/>
        <w:autoSpaceDN w:val="0"/>
        <w:adjustRightInd w:val="0"/>
        <w:spacing w:line="276" w:lineRule="auto"/>
        <w:ind w:firstLine="720"/>
        <w:jc w:val="both"/>
      </w:pPr>
      <w:r w:rsidRPr="009818E1">
        <w:t>SIA „Baltic Chicken Produkts” un</w:t>
      </w:r>
      <w:r w:rsidR="00E1591A" w:rsidRPr="009818E1">
        <w:t xml:space="preserve"> </w:t>
      </w:r>
      <w:r w:rsidRPr="009818E1">
        <w:rPr>
          <w:i/>
          <w:iCs/>
        </w:rPr>
        <w:t>OU PremiumSigma</w:t>
      </w:r>
      <w:r w:rsidRPr="009818E1">
        <w:t xml:space="preserve"> amatperson</w:t>
      </w:r>
      <w:r>
        <w:t>u</w:t>
      </w:r>
      <w:r w:rsidRPr="009818E1">
        <w:t xml:space="preserve"> </w:t>
      </w:r>
      <w:r w:rsidR="00E1591A">
        <w:t>liecības</w:t>
      </w:r>
      <w:r w:rsidR="00D841E1">
        <w:t xml:space="preserve"> par preču atdošanu atpakaļ</w:t>
      </w:r>
      <w:r w:rsidR="00E1591A">
        <w:t xml:space="preserve"> kontekstā ar pierādījumiem par preču faktisko virzību norāda uz loģiskāku notikumu norises gaitu nekā</w:t>
      </w:r>
      <w:r w:rsidR="00D841E1">
        <w:t xml:space="preserve"> Valsts ieņēmumu dienesta</w:t>
      </w:r>
      <w:r w:rsidR="00E1591A">
        <w:t xml:space="preserve"> </w:t>
      </w:r>
      <w:r w:rsidR="00961EE1">
        <w:t>apgalvotais</w:t>
      </w:r>
      <w:r w:rsidR="00E1591A">
        <w:t xml:space="preserve">, ka pieteicēja un tās darījumu partneri </w:t>
      </w:r>
      <w:r w:rsidR="00D841E1">
        <w:t>ir</w:t>
      </w:r>
      <w:r w:rsidR="00E1591A">
        <w:t xml:space="preserve"> izveidojuši </w:t>
      </w:r>
      <w:r w:rsidR="00570045">
        <w:t>pievienotās vērtības</w:t>
      </w:r>
      <w:r w:rsidR="00E1591A">
        <w:t xml:space="preserve"> </w:t>
      </w:r>
      <w:r w:rsidR="005566F8">
        <w:t xml:space="preserve">nodokļa </w:t>
      </w:r>
      <w:r w:rsidR="00E1591A">
        <w:t xml:space="preserve">izkrāpšanas ķēdi. </w:t>
      </w:r>
    </w:p>
    <w:p w14:paraId="1C8F1449" w14:textId="57789D09" w:rsidR="00550CD7" w:rsidRDefault="00E1591A" w:rsidP="0075628D">
      <w:pPr>
        <w:autoSpaceDE w:val="0"/>
        <w:autoSpaceDN w:val="0"/>
        <w:adjustRightInd w:val="0"/>
        <w:spacing w:line="276" w:lineRule="auto"/>
        <w:ind w:firstLine="720"/>
        <w:jc w:val="both"/>
      </w:pPr>
      <w:r>
        <w:t>Tomēr minētais secinājums neietekmē pieteicējas pienākumus saistībā ar priekšnodokļa atskaitījumiem.</w:t>
      </w:r>
    </w:p>
    <w:p w14:paraId="63EC43BA" w14:textId="26F22FEE" w:rsidR="000A7AFB" w:rsidRDefault="00570045" w:rsidP="0075628D">
      <w:pPr>
        <w:autoSpaceDE w:val="0"/>
        <w:autoSpaceDN w:val="0"/>
        <w:adjustRightInd w:val="0"/>
        <w:spacing w:line="276" w:lineRule="auto"/>
        <w:ind w:firstLine="720"/>
        <w:jc w:val="both"/>
      </w:pPr>
      <w:r>
        <w:t>[2.</w:t>
      </w:r>
      <w:r w:rsidR="00356C83">
        <w:t>4</w:t>
      </w:r>
      <w:r>
        <w:t>]</w:t>
      </w:r>
      <w:r w:rsidR="005C6957">
        <w:t xml:space="preserve"> </w:t>
      </w:r>
      <w:r w:rsidR="000A7AFB">
        <w:t xml:space="preserve">Nodokļu maksātājs pievienotās vērtības nodokļa deklarācijā drīkst norādīt tikai patiesi notikušus darījumus. </w:t>
      </w:r>
    </w:p>
    <w:p w14:paraId="6DF3798C" w14:textId="4A1D6058" w:rsidR="000A7AFB" w:rsidRDefault="000A7AFB" w:rsidP="0075628D">
      <w:pPr>
        <w:autoSpaceDE w:val="0"/>
        <w:autoSpaceDN w:val="0"/>
        <w:adjustRightInd w:val="0"/>
        <w:spacing w:line="276" w:lineRule="auto"/>
        <w:ind w:firstLine="720"/>
        <w:jc w:val="both"/>
      </w:pPr>
      <w:r>
        <w:t xml:space="preserve">No lietas materiāliem un lietas dalībnieku paskaidrojumiem secināms, ka </w:t>
      </w:r>
      <w:r w:rsidRPr="000A7AFB">
        <w:rPr>
          <w:i/>
          <w:iCs/>
        </w:rPr>
        <w:t>OU PremiumSigma</w:t>
      </w:r>
      <w:r>
        <w:t xml:space="preserve"> un SIA „Baltic Chicken Produ</w:t>
      </w:r>
      <w:r w:rsidR="00967EB6">
        <w:t>k</w:t>
      </w:r>
      <w:r>
        <w:t>ts” darījums ir simulatīvs</w:t>
      </w:r>
      <w:r w:rsidR="0009691F">
        <w:t>. S</w:t>
      </w:r>
      <w:r>
        <w:t>lēptais darījums faktiski ir SIA „Baltic Chicken Produ</w:t>
      </w:r>
      <w:r w:rsidR="00967EB6">
        <w:t>k</w:t>
      </w:r>
      <w:r>
        <w:t xml:space="preserve">ts” un pieteicējas preču </w:t>
      </w:r>
      <w:r w:rsidRPr="00F0619B">
        <w:t>iegādes</w:t>
      </w:r>
      <w:r>
        <w:t xml:space="preserve"> darījuma</w:t>
      </w:r>
      <w:r w:rsidR="00F0619B">
        <w:t xml:space="preserve">, </w:t>
      </w:r>
      <w:r w:rsidR="00F0619B">
        <w:lastRenderedPageBreak/>
        <w:t>kā arī</w:t>
      </w:r>
      <w:r>
        <w:t xml:space="preserve"> pieteicējas un </w:t>
      </w:r>
      <w:r w:rsidR="00F0619B" w:rsidRPr="000A7AFB">
        <w:rPr>
          <w:i/>
          <w:iCs/>
        </w:rPr>
        <w:t>OU PremiumSigma</w:t>
      </w:r>
      <w:r>
        <w:t xml:space="preserve"> preču piegādes darījuma anulēšana. Tādējādi ir pamats uzskatīt, ka SIA „Baltic Chicken Produ</w:t>
      </w:r>
      <w:r w:rsidR="00967EB6">
        <w:t>k</w:t>
      </w:r>
      <w:r>
        <w:t xml:space="preserve">ts” un </w:t>
      </w:r>
      <w:r w:rsidRPr="000A7AFB">
        <w:rPr>
          <w:i/>
          <w:iCs/>
        </w:rPr>
        <w:t>OU PremiumSigma</w:t>
      </w:r>
      <w:r>
        <w:t xml:space="preserve"> faktiskās rīcības rezultātā ir radusies situācija, ka pieteicējas 2017.gada februāra un marta pievienotās vērtības nodokļa deklarācijās norādītie priekšnodokļa atskaitījumi un 2017.gada marta deklarācijā ar </w:t>
      </w:r>
      <w:r w:rsidR="00906A98">
        <w:t>pievienotās vērtības nodokļa</w:t>
      </w:r>
      <w:r>
        <w:t xml:space="preserve"> 0 procentu likmi apliekam</w:t>
      </w:r>
      <w:r w:rsidR="00906A98">
        <w:t>ie</w:t>
      </w:r>
      <w:r>
        <w:t xml:space="preserve"> darījum</w:t>
      </w:r>
      <w:r w:rsidR="00906A98">
        <w:t>i</w:t>
      </w:r>
      <w:r>
        <w:t xml:space="preserve"> ir iekļauti </w:t>
      </w:r>
      <w:r w:rsidR="0025186D">
        <w:t>saistībā ar</w:t>
      </w:r>
      <w:r>
        <w:t xml:space="preserve"> darījumiem, </w:t>
      </w:r>
      <w:r w:rsidRPr="00652B40">
        <w:t>kuri faktiski nav notikuši, jo darījumu dalībnieki tos ir anulējuši</w:t>
      </w:r>
      <w:r w:rsidR="00C40453">
        <w:t>.</w:t>
      </w:r>
      <w:r>
        <w:t xml:space="preserve"> </w:t>
      </w:r>
    </w:p>
    <w:p w14:paraId="5FA67562" w14:textId="1EC31253" w:rsidR="00906A98" w:rsidRDefault="00906A98" w:rsidP="0075628D">
      <w:pPr>
        <w:autoSpaceDE w:val="0"/>
        <w:autoSpaceDN w:val="0"/>
        <w:adjustRightInd w:val="0"/>
        <w:spacing w:line="276" w:lineRule="auto"/>
        <w:ind w:firstLine="720"/>
        <w:jc w:val="both"/>
      </w:pPr>
      <w:r>
        <w:t>[2.</w:t>
      </w:r>
      <w:r w:rsidR="00356C83">
        <w:t>5</w:t>
      </w:r>
      <w:r>
        <w:t>]</w:t>
      </w:r>
      <w:r w:rsidR="005C6957">
        <w:t xml:space="preserve"> </w:t>
      </w:r>
      <w:r>
        <w:t xml:space="preserve">Pievienotās vērtības nodokļa likuma 106.panta pirmā daļa paredz, ka priekšnodokļa korekcija veicama, ja mainās atskaitītā priekšnodokļa apmērs (piemēram, anulēti pirkumi vai saņemtas atlaides). </w:t>
      </w:r>
    </w:p>
    <w:p w14:paraId="210E7F29" w14:textId="31783FF3" w:rsidR="000D27C9" w:rsidRDefault="00906A98" w:rsidP="0075628D">
      <w:pPr>
        <w:autoSpaceDE w:val="0"/>
        <w:autoSpaceDN w:val="0"/>
        <w:adjustRightInd w:val="0"/>
        <w:spacing w:line="276" w:lineRule="auto"/>
        <w:ind w:firstLine="720"/>
        <w:jc w:val="both"/>
      </w:pPr>
      <w:r>
        <w:t>Situācijā, kad darījumu partneri konstatēja, ka darījumi ir anulēti, tiem bija jāizdara izmaiņas pievienotās vērtības nodokļa deklarācijā</w:t>
      </w:r>
      <w:r w:rsidR="0025186D">
        <w:t>s</w:t>
      </w:r>
      <w:r>
        <w:t>.</w:t>
      </w:r>
      <w:r w:rsidR="0052087D">
        <w:t xml:space="preserve"> </w:t>
      </w:r>
      <w:r w:rsidR="00A7139C">
        <w:t>Tomēr</w:t>
      </w:r>
      <w:r>
        <w:t xml:space="preserve"> šādas izmaiņas nav </w:t>
      </w:r>
      <w:r w:rsidR="00520D68">
        <w:t>izdarītas</w:t>
      </w:r>
      <w:r>
        <w:t>.</w:t>
      </w:r>
      <w:r w:rsidR="0052087D">
        <w:t xml:space="preserve"> </w:t>
      </w:r>
      <w:r w:rsidR="000D27C9">
        <w:t xml:space="preserve">Pieteicēja norādīja, ka </w:t>
      </w:r>
      <w:r w:rsidR="00BC3DBF">
        <w:t>par preču atdošanu atpakaļ</w:t>
      </w:r>
      <w:r w:rsidR="000D27C9">
        <w:t xml:space="preserve"> uzzināja tikai pēc audita rezultātiem.</w:t>
      </w:r>
    </w:p>
    <w:p w14:paraId="12A2067F" w14:textId="6537BDEB" w:rsidR="00B90C72" w:rsidRDefault="000D27C9" w:rsidP="0075628D">
      <w:pPr>
        <w:autoSpaceDE w:val="0"/>
        <w:autoSpaceDN w:val="0"/>
        <w:adjustRightInd w:val="0"/>
        <w:spacing w:line="276" w:lineRule="auto"/>
        <w:ind w:firstLine="720"/>
        <w:jc w:val="both"/>
      </w:pPr>
      <w:r>
        <w:t xml:space="preserve">Izvērtējot pieteicējas amatpersonas sniegtos paskaidrojumus, konstatējams, ka strīdus darījumus un preces transportēšanu Igaunijas </w:t>
      </w:r>
      <w:r w:rsidR="005A5D6F">
        <w:t>sabiedrībai</w:t>
      </w:r>
      <w:r>
        <w:t xml:space="preserve"> organizēja </w:t>
      </w:r>
      <w:r w:rsidR="009818E1" w:rsidRPr="009818E1">
        <w:t>SIA „Baltic Chicken Produkts” amatpersona</w:t>
      </w:r>
      <w:r>
        <w:t xml:space="preserve">. Pieteicējas amatpersona </w:t>
      </w:r>
      <w:r w:rsidR="009818E1">
        <w:t>nepazina</w:t>
      </w:r>
      <w:r>
        <w:t xml:space="preserve"> sava tiešā darījuma partnera </w:t>
      </w:r>
      <w:r w:rsidR="0025186D">
        <w:t xml:space="preserve">– </w:t>
      </w:r>
      <w:r>
        <w:t xml:space="preserve">Igaunijas sabiedrības </w:t>
      </w:r>
      <w:r w:rsidR="00477E5C">
        <w:t xml:space="preserve">– </w:t>
      </w:r>
      <w:r>
        <w:t>amatpersonu. No SIA „Baltic Chicken Produ</w:t>
      </w:r>
      <w:r w:rsidR="00967EB6">
        <w:t>k</w:t>
      </w:r>
      <w:r>
        <w:t>ts” iegādātās preces palika šī</w:t>
      </w:r>
      <w:r w:rsidR="005A5D6F">
        <w:t>s</w:t>
      </w:r>
      <w:r>
        <w:t xml:space="preserve"> </w:t>
      </w:r>
      <w:r w:rsidR="005A5D6F">
        <w:t>sabiedrības</w:t>
      </w:r>
      <w:r>
        <w:t xml:space="preserve"> noliktavā, un pieteicējas rīcībā faktiski </w:t>
      </w:r>
      <w:r w:rsidR="00520D68">
        <w:t xml:space="preserve">to </w:t>
      </w:r>
      <w:r>
        <w:t>nebija, jo arī pārvadājums tika organizēts no SIA „Baltic Chicken Produ</w:t>
      </w:r>
      <w:r w:rsidR="00967EB6">
        <w:t>k</w:t>
      </w:r>
      <w:r>
        <w:t xml:space="preserve">ts” noliktavas un pārvadājumu veica </w:t>
      </w:r>
      <w:r w:rsidR="009818E1" w:rsidRPr="009818E1">
        <w:t>SIA „Baltic Chicken Produkts” amatpersona</w:t>
      </w:r>
      <w:r w:rsidR="009818E1">
        <w:t>s</w:t>
      </w:r>
      <w:r w:rsidR="009818E1" w:rsidRPr="009818E1">
        <w:t xml:space="preserve"> </w:t>
      </w:r>
      <w:r>
        <w:t xml:space="preserve">izvēlēts pārvadātājs. Pieteicēja procesā neiesaistījās, bet tikai, paļaujoties uz </w:t>
      </w:r>
      <w:r w:rsidR="009818E1" w:rsidRPr="009818E1">
        <w:t>SIA „Baltic Chicken Produkts” amatpersona</w:t>
      </w:r>
      <w:r w:rsidR="009818E1">
        <w:t>s</w:t>
      </w:r>
      <w:r w:rsidR="009818E1" w:rsidRPr="009818E1">
        <w:t xml:space="preserve"> </w:t>
      </w:r>
      <w:r>
        <w:t xml:space="preserve">vārdiem, noformēja darījumu dokumentus. Šāda pieteicējas rīcība neatbilst saprātīgai saimniekošanai, jo nav vērsta uz racionālu resursu izmantošanu un ekonomiska labuma gūšanu. </w:t>
      </w:r>
    </w:p>
    <w:p w14:paraId="30B9DA70" w14:textId="4041457A" w:rsidR="00A7139C" w:rsidRDefault="000D27C9" w:rsidP="0075628D">
      <w:pPr>
        <w:autoSpaceDE w:val="0"/>
        <w:autoSpaceDN w:val="0"/>
        <w:adjustRightInd w:val="0"/>
        <w:spacing w:line="276" w:lineRule="auto"/>
        <w:ind w:firstLine="720"/>
        <w:jc w:val="both"/>
      </w:pPr>
      <w:r>
        <w:t>Pieteicēja pieteikumā norādīja, ka veikusi visas nepieciešamās</w:t>
      </w:r>
      <w:r w:rsidR="00C56509">
        <w:t xml:space="preserve"> darījumu partnera</w:t>
      </w:r>
      <w:r>
        <w:t xml:space="preserve"> </w:t>
      </w:r>
      <w:r w:rsidRPr="0023460A">
        <w:t>pārbaudes</w:t>
      </w:r>
      <w:r w:rsidRPr="00C30169">
        <w:t>.</w:t>
      </w:r>
      <w:r w:rsidRPr="0023460A">
        <w:t xml:space="preserve"> Tomēr no pieteicējas paskaidrojumiem izriet, ka par </w:t>
      </w:r>
      <w:r w:rsidRPr="0023460A">
        <w:rPr>
          <w:i/>
          <w:iCs/>
        </w:rPr>
        <w:t>OU</w:t>
      </w:r>
      <w:r w:rsidR="009B58CC" w:rsidRPr="0023460A">
        <w:rPr>
          <w:i/>
          <w:iCs/>
        </w:rPr>
        <w:t> </w:t>
      </w:r>
      <w:r w:rsidRPr="0023460A">
        <w:rPr>
          <w:i/>
          <w:iCs/>
        </w:rPr>
        <w:t>PremiumSigma</w:t>
      </w:r>
      <w:r w:rsidRPr="0023460A">
        <w:t xml:space="preserve"> pieteicējas amatpersonai nekas nebija zināms</w:t>
      </w:r>
      <w:r w:rsidR="00520D68">
        <w:t>. Pi</w:t>
      </w:r>
      <w:r w:rsidRPr="0023460A">
        <w:t>eteicējas amatpersona nav kontaktējusies ar šī</w:t>
      </w:r>
      <w:r w:rsidR="005A5D6F" w:rsidRPr="0023460A">
        <w:t>s</w:t>
      </w:r>
      <w:r w:rsidRPr="0023460A">
        <w:t xml:space="preserve"> </w:t>
      </w:r>
      <w:r w:rsidR="005A5D6F" w:rsidRPr="0023460A">
        <w:t>sabiedrības</w:t>
      </w:r>
      <w:r w:rsidRPr="0023460A">
        <w:t xml:space="preserve"> pārstāvi, nav pārliecinājusies par šī</w:t>
      </w:r>
      <w:r w:rsidR="005A5D6F" w:rsidRPr="0023460A">
        <w:t>s</w:t>
      </w:r>
      <w:r w:rsidRPr="0023460A">
        <w:t xml:space="preserve"> </w:t>
      </w:r>
      <w:r w:rsidR="005A5D6F" w:rsidRPr="0023460A">
        <w:t>sabiedrības</w:t>
      </w:r>
      <w:r w:rsidRPr="0023460A">
        <w:t xml:space="preserve"> spējām norēķināties par precēm, nav vienojusies ar šo </w:t>
      </w:r>
      <w:r w:rsidR="00E41507" w:rsidRPr="0023460A">
        <w:t>sabiedrību</w:t>
      </w:r>
      <w:r w:rsidRPr="0023460A">
        <w:t xml:space="preserve"> par darījuma būtiskajām sastāvdaļām. Visas minētās darbības faktiski veica </w:t>
      </w:r>
      <w:bookmarkStart w:id="2" w:name="_Hlk142462232"/>
      <w:r w:rsidRPr="0023460A">
        <w:t>SIA „Baltic Chicken Produkts” amatpersona</w:t>
      </w:r>
      <w:bookmarkEnd w:id="2"/>
      <w:r w:rsidRPr="0023460A">
        <w:t>. Turklāt tieši viņš noteica, kāds preču daudzums un par kādu cenu tiks piegādāts Igaunijas sabiedrībai. Pieteicēja ir sniegusi arī pretrunīgu informāciju par pre</w:t>
      </w:r>
      <w:r w:rsidR="00D841E1" w:rsidRPr="0023460A">
        <w:t>ču</w:t>
      </w:r>
      <w:r w:rsidRPr="0023460A">
        <w:t xml:space="preserve"> pieņemšanu un pārbaudi.</w:t>
      </w:r>
      <w:r>
        <w:t xml:space="preserve"> </w:t>
      </w:r>
    </w:p>
    <w:p w14:paraId="459269F5" w14:textId="2301B917" w:rsidR="00A94283" w:rsidRDefault="000D27C9" w:rsidP="0075628D">
      <w:pPr>
        <w:autoSpaceDE w:val="0"/>
        <w:autoSpaceDN w:val="0"/>
        <w:adjustRightInd w:val="0"/>
        <w:spacing w:line="276" w:lineRule="auto"/>
        <w:ind w:firstLine="720"/>
        <w:jc w:val="both"/>
      </w:pPr>
      <w:r>
        <w:t>No minētā secināms, ka pieteicēja pati nebija interesējusies par pre</w:t>
      </w:r>
      <w:r w:rsidR="00D841E1">
        <w:t>ču</w:t>
      </w:r>
      <w:r>
        <w:t xml:space="preserve"> piegādes faktu</w:t>
      </w:r>
      <w:r w:rsidR="00DE3A55">
        <w:t xml:space="preserve"> un</w:t>
      </w:r>
      <w:r>
        <w:t xml:space="preserve"> par to, vai </w:t>
      </w:r>
      <w:r w:rsidR="00A7139C">
        <w:t>piegāde</w:t>
      </w:r>
      <w:r>
        <w:t xml:space="preserve"> notikusi veiksmīgi. </w:t>
      </w:r>
      <w:r w:rsidR="00A94283">
        <w:t>D</w:t>
      </w:r>
      <w:r>
        <w:t xml:space="preserve">arījumos preču piegādei Eiropas Savienības teritorijā, kuriem tiek piemērota </w:t>
      </w:r>
      <w:r w:rsidR="00A94283">
        <w:t>pievienotās vērtības nodokļa</w:t>
      </w:r>
      <w:r>
        <w:t xml:space="preserve"> 0 procentu likme un normatīvie akti noteic nodokļa maksātāja pienākumu pierādīt preces izvešanas faktu, ir saprātīgi sagaidīt no nosūtītāja interesi par pārvadājuma veiksmīgu norisi. Tādējādi, ja pieteicēja izrādītu normālai komercpraksei raksturīgu interesi par pre</w:t>
      </w:r>
      <w:r w:rsidR="00D841E1">
        <w:t>ču</w:t>
      </w:r>
      <w:r>
        <w:t xml:space="preserve"> piegādi un vēlētos saņemt dokumentu ar saņēmēja parakstu, tad pieteicēja uzreiz uzzinātu, ka krava ir atvesta atpakaļ</w:t>
      </w:r>
      <w:r w:rsidR="00D841E1">
        <w:t xml:space="preserve">. </w:t>
      </w:r>
      <w:r w:rsidR="00DE3A55">
        <w:t>P</w:t>
      </w:r>
      <w:r>
        <w:t xml:space="preserve">ieteicēja </w:t>
      </w:r>
      <w:r w:rsidR="00DE3A55">
        <w:t xml:space="preserve">turpretim </w:t>
      </w:r>
      <w:r>
        <w:t xml:space="preserve">apstiprināja, ka </w:t>
      </w:r>
      <w:r w:rsidR="00DE3A55">
        <w:t xml:space="preserve">tās amatpersona </w:t>
      </w:r>
      <w:r>
        <w:t xml:space="preserve">ar </w:t>
      </w:r>
      <w:r w:rsidR="00DE3A55">
        <w:t>p</w:t>
      </w:r>
      <w:r w:rsidR="00DE3A55" w:rsidRPr="00DE3A55">
        <w:t>ārvadātāja SIA</w:t>
      </w:r>
      <w:r w:rsidR="00C30169">
        <w:t> </w:t>
      </w:r>
      <w:r w:rsidR="00DE3A55" w:rsidRPr="00DE3A55">
        <w:t>„JUKIS” amatperson</w:t>
      </w:r>
      <w:r w:rsidR="00520D68">
        <w:t>ām</w:t>
      </w:r>
      <w:r w:rsidR="00DE3A55" w:rsidRPr="00DE3A55">
        <w:t xml:space="preserve"> </w:t>
      </w:r>
      <w:r>
        <w:t>runāja tikai tad, kad uzzināja audita pārbaudes rezultātus.</w:t>
      </w:r>
    </w:p>
    <w:p w14:paraId="2A596600" w14:textId="134389A1" w:rsidR="000D27C9" w:rsidRDefault="000D27C9" w:rsidP="0075628D">
      <w:pPr>
        <w:autoSpaceDE w:val="0"/>
        <w:autoSpaceDN w:val="0"/>
        <w:adjustRightInd w:val="0"/>
        <w:spacing w:line="276" w:lineRule="auto"/>
        <w:ind w:firstLine="720"/>
        <w:jc w:val="both"/>
      </w:pPr>
      <w:r>
        <w:t xml:space="preserve">No </w:t>
      </w:r>
      <w:r w:rsidR="00B90C72">
        <w:t>pierādījumiem lietā</w:t>
      </w:r>
      <w:r>
        <w:t xml:space="preserve"> izriet, ka pieteicēja nav izrādījusi pienācīgu rūpību</w:t>
      </w:r>
      <w:r w:rsidR="00A7139C">
        <w:t xml:space="preserve"> darījumu organizēšanai</w:t>
      </w:r>
      <w:r w:rsidR="00520D68">
        <w:t>. A</w:t>
      </w:r>
      <w:r>
        <w:t xml:space="preserve">ttiecīgi šīs bezrūpības dēļ pieteicēja laikus nesazinājās ar darījumu partneriem, </w:t>
      </w:r>
      <w:r w:rsidR="00A7139C">
        <w:t>n</w:t>
      </w:r>
      <w:r>
        <w:t>enoformēj</w:t>
      </w:r>
      <w:r w:rsidR="00A7139C">
        <w:t>a</w:t>
      </w:r>
      <w:r>
        <w:t xml:space="preserve"> dokumentus par darījumu anulēšanu</w:t>
      </w:r>
      <w:r w:rsidR="00520D68">
        <w:t xml:space="preserve"> un</w:t>
      </w:r>
      <w:r>
        <w:t xml:space="preserve"> nekoriģēja </w:t>
      </w:r>
      <w:r w:rsidR="00A94283">
        <w:lastRenderedPageBreak/>
        <w:t>pievienotās vērtības nodokļa</w:t>
      </w:r>
      <w:r>
        <w:t xml:space="preserve"> deklarāciju, lai tajā nebūtu iekļauti priekšnodokļa atskaitījumi par darījumiem, kuri faktiski nebija notikuši.</w:t>
      </w:r>
    </w:p>
    <w:p w14:paraId="384B1DE9" w14:textId="47C94CB6" w:rsidR="00B90C72" w:rsidRPr="000A7AFB" w:rsidRDefault="002E342E" w:rsidP="0075628D">
      <w:pPr>
        <w:autoSpaceDE w:val="0"/>
        <w:autoSpaceDN w:val="0"/>
        <w:adjustRightInd w:val="0"/>
        <w:spacing w:line="276" w:lineRule="auto"/>
        <w:ind w:firstLine="720"/>
        <w:jc w:val="both"/>
      </w:pPr>
      <w:r>
        <w:t>[2.</w:t>
      </w:r>
      <w:r w:rsidR="00935DD6">
        <w:t>6</w:t>
      </w:r>
      <w:r>
        <w:t>]</w:t>
      </w:r>
      <w:r w:rsidR="005C6957">
        <w:t xml:space="preserve"> </w:t>
      </w:r>
      <w:r>
        <w:t>Valsts ieņēmumu d</w:t>
      </w:r>
      <w:r w:rsidR="00B90C72">
        <w:t>ienests pamatoti secināja, ka pieteicēja darījumos ar SIA</w:t>
      </w:r>
      <w:r>
        <w:t> </w:t>
      </w:r>
      <w:r w:rsidR="00B90C72">
        <w:t xml:space="preserve">„Baltic Chicken Produkts” un </w:t>
      </w:r>
      <w:r w:rsidR="00B90C72" w:rsidRPr="009B58CC">
        <w:rPr>
          <w:i/>
          <w:iCs/>
        </w:rPr>
        <w:t>OU</w:t>
      </w:r>
      <w:r w:rsidR="00442666">
        <w:rPr>
          <w:i/>
          <w:iCs/>
        </w:rPr>
        <w:t> </w:t>
      </w:r>
      <w:r w:rsidR="00B90C72" w:rsidRPr="009B58CC">
        <w:rPr>
          <w:i/>
          <w:iCs/>
        </w:rPr>
        <w:t>Premi</w:t>
      </w:r>
      <w:r w:rsidR="00442666">
        <w:rPr>
          <w:i/>
          <w:iCs/>
        </w:rPr>
        <w:t>u</w:t>
      </w:r>
      <w:r w:rsidR="00B90C72" w:rsidRPr="009B58CC">
        <w:rPr>
          <w:i/>
          <w:iCs/>
        </w:rPr>
        <w:t>mSigma</w:t>
      </w:r>
      <w:r w:rsidR="00B90C72">
        <w:t xml:space="preserve"> nav ievērojusi Pievienotās vērtības nodokļa likuma 92.panta pirmās daļas 1.punkta nosacījumus, </w:t>
      </w:r>
      <w:r w:rsidR="00DE3A55">
        <w:t xml:space="preserve">atskaitot </w:t>
      </w:r>
      <w:r w:rsidR="00B90C72">
        <w:t>priekšnodok</w:t>
      </w:r>
      <w:r w:rsidR="00DE3A55">
        <w:t>li</w:t>
      </w:r>
      <w:r w:rsidR="00B90C72">
        <w:t xml:space="preserve">, un likuma 43.panta ceturtās daļas nosacījumus, piemērojot </w:t>
      </w:r>
      <w:r w:rsidR="000C3889">
        <w:t>pievienotās vērtības nodokļa</w:t>
      </w:r>
      <w:r w:rsidR="00B90C72">
        <w:t xml:space="preserve"> 0 procentu likmi</w:t>
      </w:r>
      <w:r>
        <w:t xml:space="preserve">. </w:t>
      </w:r>
    </w:p>
    <w:p w14:paraId="22304FDA" w14:textId="77777777" w:rsidR="00E1591A" w:rsidRDefault="00E1591A" w:rsidP="0075628D">
      <w:pPr>
        <w:autoSpaceDE w:val="0"/>
        <w:autoSpaceDN w:val="0"/>
        <w:adjustRightInd w:val="0"/>
        <w:spacing w:line="276" w:lineRule="auto"/>
        <w:ind w:firstLine="720"/>
        <w:jc w:val="both"/>
        <w:rPr>
          <w:rFonts w:eastAsiaTheme="minorHAnsi"/>
          <w:lang w:eastAsia="en-US"/>
        </w:rPr>
      </w:pPr>
    </w:p>
    <w:p w14:paraId="331D9068" w14:textId="53002742" w:rsidR="00DE3A55" w:rsidRPr="00DE3A55" w:rsidRDefault="00DE3A55" w:rsidP="0075628D">
      <w:pPr>
        <w:autoSpaceDE w:val="0"/>
        <w:autoSpaceDN w:val="0"/>
        <w:adjustRightInd w:val="0"/>
        <w:spacing w:line="276" w:lineRule="auto"/>
        <w:ind w:firstLine="720"/>
        <w:jc w:val="both"/>
        <w:rPr>
          <w:rFonts w:eastAsiaTheme="minorHAnsi"/>
          <w:i/>
          <w:iCs/>
          <w:lang w:eastAsia="en-US"/>
        </w:rPr>
      </w:pPr>
      <w:r w:rsidRPr="00DE3A55">
        <w:rPr>
          <w:rFonts w:eastAsiaTheme="minorHAnsi"/>
          <w:i/>
          <w:iCs/>
          <w:lang w:eastAsia="en-US"/>
        </w:rPr>
        <w:t>Pieteicējas kasācijas sūdzības argumenti</w:t>
      </w:r>
    </w:p>
    <w:p w14:paraId="6B4EA9B2" w14:textId="1D1FA550" w:rsidR="00276F49" w:rsidRDefault="008B7CCD" w:rsidP="0075628D">
      <w:pPr>
        <w:spacing w:line="276" w:lineRule="auto"/>
        <w:ind w:firstLine="720"/>
        <w:jc w:val="both"/>
      </w:pPr>
      <w:r w:rsidRPr="00682FC0">
        <w:t>[</w:t>
      </w:r>
      <w:r w:rsidR="00435E1B">
        <w:t>3</w:t>
      </w:r>
      <w:r w:rsidRPr="00682FC0">
        <w:t>]</w:t>
      </w:r>
      <w:r w:rsidR="005C6957">
        <w:t xml:space="preserve"> </w:t>
      </w:r>
      <w:r w:rsidR="00CC3BE4">
        <w:t>Pieteicēj</w:t>
      </w:r>
      <w:r w:rsidR="007167DE">
        <w:t>a</w:t>
      </w:r>
      <w:r w:rsidR="00061BB1" w:rsidRPr="00682FC0">
        <w:t xml:space="preserve"> </w:t>
      </w:r>
      <w:r w:rsidRPr="00682FC0">
        <w:t>par apgabaltiesas spriedumu</w:t>
      </w:r>
      <w:r w:rsidR="00DB4559">
        <w:t xml:space="preserve"> </w:t>
      </w:r>
      <w:r w:rsidRPr="00682FC0">
        <w:t>iesniedza kasācijas sūdzību</w:t>
      </w:r>
      <w:r w:rsidR="00276F49" w:rsidRPr="007147DE">
        <w:t xml:space="preserve">, </w:t>
      </w:r>
      <w:r w:rsidR="00DE3A55">
        <w:t>kurā norādīti turpmāk minētie pamati apgabaltiesas sprieduma atcelšanai</w:t>
      </w:r>
      <w:r w:rsidR="00276F49" w:rsidRPr="007147DE">
        <w:t>.</w:t>
      </w:r>
    </w:p>
    <w:p w14:paraId="2E1873A6" w14:textId="426909D5" w:rsidR="00276F49" w:rsidRDefault="00520D68" w:rsidP="0075628D">
      <w:pPr>
        <w:spacing w:line="276" w:lineRule="auto"/>
        <w:ind w:firstLine="720"/>
        <w:jc w:val="both"/>
      </w:pPr>
      <w:r>
        <w:t>[3.1] A</w:t>
      </w:r>
      <w:r w:rsidR="00486FFF">
        <w:t>pgabaltiesa ir pārkāpusi Administratīvā procesa likuma</w:t>
      </w:r>
      <w:r w:rsidR="004716C4">
        <w:t xml:space="preserve"> </w:t>
      </w:r>
      <w:r w:rsidR="00486FFF">
        <w:t>250.panta otro daļu, jo pati ir izlēmusi strīdus jautājumu pēc būtības uz cita pamata</w:t>
      </w:r>
      <w:r w:rsidR="002318D8">
        <w:t>,</w:t>
      </w:r>
      <w:r w:rsidR="00486FFF">
        <w:t xml:space="preserve"> nekā </w:t>
      </w:r>
      <w:r w:rsidR="00857681">
        <w:t xml:space="preserve">tas </w:t>
      </w:r>
      <w:r>
        <w:t>bijis</w:t>
      </w:r>
      <w:r w:rsidR="00857681">
        <w:t xml:space="preserve"> pārsūdzētajā lēmumā</w:t>
      </w:r>
      <w:r w:rsidR="00486FFF">
        <w:t xml:space="preserve">. </w:t>
      </w:r>
      <w:r w:rsidR="00DE3A55">
        <w:t>A</w:t>
      </w:r>
      <w:r w:rsidR="007C7882">
        <w:t xml:space="preserve">pgabaltiesa </w:t>
      </w:r>
      <w:r w:rsidR="00486FFF">
        <w:t>pretēji pārsūdzētajā lēmumā atzītajam</w:t>
      </w:r>
      <w:r w:rsidR="00DE06A6">
        <w:t xml:space="preserve"> </w:t>
      </w:r>
      <w:r w:rsidR="00486FFF">
        <w:t>konstatē</w:t>
      </w:r>
      <w:r w:rsidR="007C7882">
        <w:t>ja</w:t>
      </w:r>
      <w:r w:rsidR="00DE06A6">
        <w:t>, ka darījumi faktiski ir notikuši</w:t>
      </w:r>
      <w:r w:rsidR="006D1845">
        <w:t xml:space="preserve"> un nodokļu krāpniecība nav konstatējama</w:t>
      </w:r>
      <w:r w:rsidR="00DE06A6">
        <w:t xml:space="preserve">, </w:t>
      </w:r>
      <w:r w:rsidR="007C7882">
        <w:t>tomēr</w:t>
      </w:r>
      <w:r w:rsidR="00DE06A6">
        <w:t xml:space="preserve"> konstatētos apstākļus</w:t>
      </w:r>
      <w:r w:rsidR="002318D8" w:rsidRPr="002318D8">
        <w:t xml:space="preserve"> </w:t>
      </w:r>
      <w:r w:rsidR="002318D8">
        <w:t>izmantoja</w:t>
      </w:r>
      <w:r w:rsidR="00DE06A6">
        <w:t xml:space="preserve">, lai </w:t>
      </w:r>
      <w:r w:rsidR="00DE5A55">
        <w:t>pieteikumu noraidītu</w:t>
      </w:r>
      <w:r w:rsidR="00857681">
        <w:t xml:space="preserve"> uz cita pamata</w:t>
      </w:r>
      <w:r w:rsidR="007C7882">
        <w:t>.</w:t>
      </w:r>
      <w:r w:rsidR="00F41AFE">
        <w:t xml:space="preserve"> Tādējādi tiesa ir pārkāpusi varas dalīšanas principu un pieļāvusi</w:t>
      </w:r>
      <w:r w:rsidR="00105AB7">
        <w:t xml:space="preserve"> ar likumu aizliegtu</w:t>
      </w:r>
      <w:r w:rsidR="00F41AFE">
        <w:t xml:space="preserve"> iestādes lēmuma pamatojuma maiņu.</w:t>
      </w:r>
    </w:p>
    <w:p w14:paraId="4733EACE" w14:textId="4E1D2B0C" w:rsidR="007C7882" w:rsidRDefault="00520D68" w:rsidP="0075628D">
      <w:pPr>
        <w:spacing w:line="276" w:lineRule="auto"/>
        <w:ind w:firstLine="720"/>
        <w:jc w:val="both"/>
      </w:pPr>
      <w:r>
        <w:t>[3.2] A</w:t>
      </w:r>
      <w:r w:rsidR="00DE3A55">
        <w:t>pgabaltiesas spriedums ir „pārsteiguma spriedums”. A</w:t>
      </w:r>
      <w:r w:rsidR="000F4C17">
        <w:t>pgabaltiesa ir pārkāpusi Administratīvā procesa likuma 247.panta trešo daļu, jo pieteicējai netika nodrošināta iespēja izteikt viedokli par darījumu anulēšanu un Pievienotās vērtības nodokļa likuma 106.panta pirmās daļas piemērošanu.</w:t>
      </w:r>
    </w:p>
    <w:p w14:paraId="7953E7C3" w14:textId="4D3EDCD4" w:rsidR="000F4C17" w:rsidRPr="007147DE" w:rsidRDefault="00520D68" w:rsidP="0075628D">
      <w:pPr>
        <w:spacing w:line="276" w:lineRule="auto"/>
        <w:ind w:firstLine="720"/>
        <w:jc w:val="both"/>
      </w:pPr>
      <w:r>
        <w:t>[3.3] Apgabalt</w:t>
      </w:r>
      <w:r w:rsidR="00DE3A55">
        <w:t>iesa</w:t>
      </w:r>
      <w:r w:rsidR="000F4C17">
        <w:t xml:space="preserve"> ir nepareizi piemērojusi Pievienotās vērtības nodokļa likuma 92.panta pirmās daļas 1.punktu un 106.panta pirmo daļu.</w:t>
      </w:r>
      <w:r w:rsidR="00DE3A55">
        <w:t xml:space="preserve"> Tā kā</w:t>
      </w:r>
      <w:r w:rsidR="00D9585D">
        <w:t xml:space="preserve"> </w:t>
      </w:r>
      <w:r w:rsidR="00DE3A55">
        <w:t>a</w:t>
      </w:r>
      <w:r w:rsidR="00D9585D">
        <w:t xml:space="preserve">pgabaltiesa atzina, ka darījumi nav fiktīvi un nav nodokļu krāpšanas, </w:t>
      </w:r>
      <w:r w:rsidR="00887B80">
        <w:t xml:space="preserve">liegt </w:t>
      </w:r>
      <w:r w:rsidR="00D9585D">
        <w:t xml:space="preserve">priekšnodokļa atskaitīšanas tiesības </w:t>
      </w:r>
      <w:r w:rsidR="00DE3A55">
        <w:t>sakarā ar</w:t>
      </w:r>
      <w:r w:rsidR="00D9585D">
        <w:t xml:space="preserve"> rūpības trūkum</w:t>
      </w:r>
      <w:r w:rsidR="00DE3A55">
        <w:t>u</w:t>
      </w:r>
      <w:r w:rsidR="00D9585D">
        <w:t xml:space="preserve"> nav tiesiski</w:t>
      </w:r>
      <w:r w:rsidR="00751FBC">
        <w:t xml:space="preserve"> un atbilstoši Pievienotās vērtības nodokļa likuma 92.panta pirmās daļas 1.punktam</w:t>
      </w:r>
      <w:r w:rsidR="00D9585D">
        <w:t xml:space="preserve">. </w:t>
      </w:r>
      <w:r w:rsidR="00C434F5">
        <w:t>L</w:t>
      </w:r>
      <w:r w:rsidR="00D9585D">
        <w:t xml:space="preserve">ai arī Pievienotās vērtības nodokļa likuma 106.panta pirmā daļa </w:t>
      </w:r>
      <w:r w:rsidR="00C434F5">
        <w:t>paredz</w:t>
      </w:r>
      <w:r w:rsidR="00D9585D">
        <w:t xml:space="preserve"> veikt priekšnodokļa korekciju, </w:t>
      </w:r>
      <w:r w:rsidR="00C434F5">
        <w:t>tās neveikšana</w:t>
      </w:r>
      <w:r w:rsidR="00D9585D">
        <w:t xml:space="preserve"> nepadara pieteicējas strīdus deklarāciju par nepatiesu vai tādu, kurā būtu iekļauti neesoši darījumi vai nepatiesa informācija</w:t>
      </w:r>
      <w:r w:rsidR="00751FBC">
        <w:t xml:space="preserve">, </w:t>
      </w:r>
      <w:r w:rsidR="00DE5A55">
        <w:t xml:space="preserve">jo </w:t>
      </w:r>
      <w:r w:rsidR="00751FBC">
        <w:t xml:space="preserve">pieteicējai rastos pienākums atspoguļot anulēto darījumu kārtējā vai kādā nākamajā nodokļu deklarācijā. </w:t>
      </w:r>
    </w:p>
    <w:p w14:paraId="550DE09C" w14:textId="77777777" w:rsidR="0091325A" w:rsidRDefault="0091325A" w:rsidP="0075628D">
      <w:pPr>
        <w:spacing w:line="276" w:lineRule="auto"/>
        <w:ind w:firstLine="720"/>
        <w:jc w:val="both"/>
      </w:pPr>
    </w:p>
    <w:p w14:paraId="19BC5CF3" w14:textId="748EED66" w:rsidR="00DE3A55" w:rsidRPr="00DE3A55" w:rsidRDefault="00DE3A55" w:rsidP="0075628D">
      <w:pPr>
        <w:spacing w:line="276" w:lineRule="auto"/>
        <w:ind w:firstLine="720"/>
        <w:jc w:val="both"/>
        <w:rPr>
          <w:i/>
          <w:iCs/>
        </w:rPr>
      </w:pPr>
      <w:r w:rsidRPr="00DE3A55">
        <w:rPr>
          <w:i/>
          <w:iCs/>
        </w:rPr>
        <w:t>Valsts ieņēmumu dienesta paskaidrojumi</w:t>
      </w:r>
    </w:p>
    <w:p w14:paraId="0B2ECF71" w14:textId="771BCC2D" w:rsidR="00F4204A" w:rsidRDefault="00347158" w:rsidP="0075628D">
      <w:pPr>
        <w:spacing w:line="276" w:lineRule="auto"/>
        <w:ind w:firstLine="720"/>
        <w:jc w:val="both"/>
      </w:pPr>
      <w:r w:rsidRPr="00682FC0">
        <w:t>[</w:t>
      </w:r>
      <w:r w:rsidR="001F6887">
        <w:t>4</w:t>
      </w:r>
      <w:r w:rsidRPr="00682FC0">
        <w:t>]</w:t>
      </w:r>
      <w:r w:rsidR="005C6957">
        <w:t xml:space="preserve"> </w:t>
      </w:r>
      <w:r w:rsidR="00CC3BE4">
        <w:t>Valsts ieņēmumu dienests</w:t>
      </w:r>
      <w:r w:rsidRPr="00682FC0">
        <w:t xml:space="preserve"> rakstveida paskaidrojum</w:t>
      </w:r>
      <w:r w:rsidR="00554EA2" w:rsidRPr="00682FC0">
        <w:t xml:space="preserve">os </w:t>
      </w:r>
      <w:r w:rsidR="00182DD6" w:rsidRPr="00682FC0">
        <w:t>norāda</w:t>
      </w:r>
      <w:r w:rsidR="00F4204A">
        <w:t xml:space="preserve"> turpmāk minētos argumentus</w:t>
      </w:r>
      <w:r w:rsidR="00CC3BE4">
        <w:t>.</w:t>
      </w:r>
    </w:p>
    <w:p w14:paraId="0F4C1C73" w14:textId="6704AD6D" w:rsidR="00F4204A" w:rsidRDefault="00850934" w:rsidP="0075628D">
      <w:pPr>
        <w:spacing w:line="276" w:lineRule="auto"/>
        <w:ind w:firstLine="720"/>
        <w:jc w:val="both"/>
      </w:pPr>
      <w:r>
        <w:t xml:space="preserve">Pretēji pieteicējas kasācijas sūdzībā norādītajam apgabaltiesa strīdus darījumus </w:t>
      </w:r>
      <w:r w:rsidR="00F4204A">
        <w:t>ir</w:t>
      </w:r>
      <w:r>
        <w:t xml:space="preserve"> atzinusi par faktiski </w:t>
      </w:r>
      <w:r w:rsidR="00F4204A">
        <w:t>ne</w:t>
      </w:r>
      <w:r>
        <w:t>notikušiem, jo šos darījumus ir anulējuši darīju</w:t>
      </w:r>
      <w:r w:rsidR="00DE5A55">
        <w:t>mu</w:t>
      </w:r>
      <w:r>
        <w:t xml:space="preserve"> partneri. Līdz ar to pieteicēja nepamatoti norādījusi, ka pārvadājumu fakts pierāda strīdus darījumu faktisko esību. </w:t>
      </w:r>
    </w:p>
    <w:p w14:paraId="46F2D824" w14:textId="2C00DCF7" w:rsidR="00245915" w:rsidRDefault="00850934" w:rsidP="0075628D">
      <w:pPr>
        <w:spacing w:line="276" w:lineRule="auto"/>
        <w:ind w:firstLine="720"/>
        <w:jc w:val="both"/>
      </w:pPr>
      <w:r>
        <w:t>Strīdus darījumu anulēšana bija pieteicējai zināma pēc nodokļu audita rezultātiem</w:t>
      </w:r>
      <w:r w:rsidR="00C434F5">
        <w:t>. T</w:t>
      </w:r>
      <w:r>
        <w:t>as nozīmē, ka pieteicējai bija iespēja izteikt savu viedokli par šo apstākli</w:t>
      </w:r>
      <w:r w:rsidR="0079749C">
        <w:t xml:space="preserve">. Tiesas norāde uz Pievienotās vērtības nodokļa likuma 106.panta pirmo daļu par pieteicējas tiesībām </w:t>
      </w:r>
      <w:r w:rsidR="00C434F5">
        <w:t xml:space="preserve">darījumu anulēšanas gadījumā </w:t>
      </w:r>
      <w:r w:rsidR="0079749C">
        <w:t>labo</w:t>
      </w:r>
      <w:r w:rsidR="00C434F5">
        <w:t>t</w:t>
      </w:r>
      <w:r w:rsidR="0079749C">
        <w:t xml:space="preserve"> pievienotās vērtības nodokļa deklarācij</w:t>
      </w:r>
      <w:r w:rsidR="00C434F5">
        <w:t>a</w:t>
      </w:r>
      <w:r w:rsidR="0079749C">
        <w:t xml:space="preserve">s ir tikai papildu juridiskā argumentācija, kas pastiprina pārsūdzētā lēmuma pamatojumu, </w:t>
      </w:r>
      <w:r w:rsidR="00C40453">
        <w:t>bet</w:t>
      </w:r>
      <w:r w:rsidR="0079749C">
        <w:t xml:space="preserve"> nav tā maiņa.</w:t>
      </w:r>
    </w:p>
    <w:p w14:paraId="1A303498" w14:textId="77777777" w:rsidR="00442666" w:rsidRPr="00682FC0" w:rsidRDefault="00442666" w:rsidP="0075628D">
      <w:pPr>
        <w:spacing w:line="276" w:lineRule="auto"/>
        <w:ind w:firstLine="720"/>
        <w:jc w:val="both"/>
      </w:pPr>
    </w:p>
    <w:p w14:paraId="46BAEB97" w14:textId="7C713575" w:rsidR="008700D3" w:rsidRPr="00EC00F0" w:rsidRDefault="008700D3" w:rsidP="0075628D">
      <w:pPr>
        <w:spacing w:line="276" w:lineRule="auto"/>
        <w:contextualSpacing/>
        <w:jc w:val="center"/>
        <w:rPr>
          <w:b/>
        </w:rPr>
      </w:pPr>
      <w:r w:rsidRPr="00EC00F0">
        <w:rPr>
          <w:b/>
        </w:rPr>
        <w:lastRenderedPageBreak/>
        <w:t>Motīvu daļa</w:t>
      </w:r>
    </w:p>
    <w:p w14:paraId="36988A62" w14:textId="419F54F0" w:rsidR="00AD1275" w:rsidRPr="003A6564" w:rsidRDefault="00AD1275" w:rsidP="0075628D">
      <w:pPr>
        <w:spacing w:line="276" w:lineRule="auto"/>
        <w:ind w:firstLine="720"/>
        <w:jc w:val="both"/>
        <w:rPr>
          <w:rFonts w:asciiTheme="majorBidi" w:hAnsiTheme="majorBidi" w:cstheme="majorBidi"/>
        </w:rPr>
      </w:pPr>
    </w:p>
    <w:p w14:paraId="01F9491C" w14:textId="1BA0FF9D" w:rsidR="000A785A" w:rsidRPr="003A6564" w:rsidRDefault="008A1DD0" w:rsidP="0075628D">
      <w:pPr>
        <w:spacing w:line="276" w:lineRule="auto"/>
        <w:ind w:firstLine="720"/>
        <w:jc w:val="both"/>
        <w:rPr>
          <w:rFonts w:asciiTheme="majorBidi" w:hAnsiTheme="majorBidi" w:cstheme="majorBidi"/>
        </w:rPr>
      </w:pPr>
      <w:r w:rsidRPr="003A6564">
        <w:rPr>
          <w:rFonts w:asciiTheme="majorBidi" w:hAnsiTheme="majorBidi" w:cstheme="majorBidi"/>
        </w:rPr>
        <w:t>[</w:t>
      </w:r>
      <w:r w:rsidR="002662EE" w:rsidRPr="003A6564">
        <w:rPr>
          <w:rFonts w:asciiTheme="majorBidi" w:hAnsiTheme="majorBidi" w:cstheme="majorBidi"/>
        </w:rPr>
        <w:t>5</w:t>
      </w:r>
      <w:r w:rsidRPr="003A6564">
        <w:rPr>
          <w:rFonts w:asciiTheme="majorBidi" w:hAnsiTheme="majorBidi" w:cstheme="majorBidi"/>
        </w:rPr>
        <w:t>]</w:t>
      </w:r>
      <w:r w:rsidR="005C6957">
        <w:rPr>
          <w:rFonts w:asciiTheme="majorBidi" w:hAnsiTheme="majorBidi" w:cstheme="majorBidi"/>
        </w:rPr>
        <w:t xml:space="preserve"> </w:t>
      </w:r>
      <w:r w:rsidR="00F64F89" w:rsidRPr="003A6564">
        <w:rPr>
          <w:rFonts w:asciiTheme="majorBidi" w:hAnsiTheme="majorBidi" w:cstheme="majorBidi"/>
        </w:rPr>
        <w:t>Lietā</w:t>
      </w:r>
      <w:r w:rsidR="000A785A" w:rsidRPr="003A6564">
        <w:rPr>
          <w:rFonts w:asciiTheme="majorBidi" w:hAnsiTheme="majorBidi" w:cstheme="majorBidi"/>
        </w:rPr>
        <w:t xml:space="preserve"> </w:t>
      </w:r>
      <w:r w:rsidR="00520D68">
        <w:rPr>
          <w:rFonts w:asciiTheme="majorBidi" w:hAnsiTheme="majorBidi" w:cstheme="majorBidi"/>
        </w:rPr>
        <w:t>pārbaudāms</w:t>
      </w:r>
      <w:r w:rsidR="000A785A" w:rsidRPr="003A6564">
        <w:rPr>
          <w:rFonts w:asciiTheme="majorBidi" w:hAnsiTheme="majorBidi" w:cstheme="majorBidi"/>
        </w:rPr>
        <w:t xml:space="preserve">, vai </w:t>
      </w:r>
      <w:r w:rsidR="00520D68">
        <w:rPr>
          <w:rFonts w:asciiTheme="majorBidi" w:hAnsiTheme="majorBidi" w:cstheme="majorBidi"/>
        </w:rPr>
        <w:t xml:space="preserve">tiesa pareizi piemērojusi </w:t>
      </w:r>
      <w:r w:rsidR="00E653A8" w:rsidRPr="003A6564">
        <w:rPr>
          <w:rFonts w:asciiTheme="majorBidi" w:hAnsiTheme="majorBidi" w:cstheme="majorBidi"/>
        </w:rPr>
        <w:t xml:space="preserve">Pievienotās vērtības nodokļa likuma </w:t>
      </w:r>
      <w:r w:rsidR="00520D68">
        <w:rPr>
          <w:rFonts w:asciiTheme="majorBidi" w:hAnsiTheme="majorBidi" w:cstheme="majorBidi"/>
        </w:rPr>
        <w:t xml:space="preserve">43.panta ceturto daļu, kas paredz priekšnoteikumus pievienotās vērtības nodokļa 0 procentu likmes piemērošanai piegādei Eiropas Savienībā. </w:t>
      </w:r>
      <w:r w:rsidR="009B725A" w:rsidRPr="003A6564">
        <w:rPr>
          <w:rFonts w:asciiTheme="majorBidi" w:hAnsiTheme="majorBidi" w:cstheme="majorBidi"/>
        </w:rPr>
        <w:t>Lietā arī noskaidrojams, vai apgabaltiesa ir pieļāvusi administratīvā akta pamatojuma maiņu, proti</w:t>
      </w:r>
      <w:r w:rsidR="00C434F5">
        <w:rPr>
          <w:rFonts w:asciiTheme="majorBidi" w:hAnsiTheme="majorBidi" w:cstheme="majorBidi"/>
        </w:rPr>
        <w:t>,</w:t>
      </w:r>
      <w:r w:rsidR="009B725A" w:rsidRPr="003A6564">
        <w:rPr>
          <w:rFonts w:asciiTheme="majorBidi" w:hAnsiTheme="majorBidi" w:cstheme="majorBidi"/>
        </w:rPr>
        <w:t xml:space="preserve"> Administratīvā procesa likuma 250.panta otrās daļas pārkāpumu.</w:t>
      </w:r>
    </w:p>
    <w:p w14:paraId="56DD2B0B" w14:textId="77777777" w:rsidR="003A6564" w:rsidRDefault="003A6564" w:rsidP="0075628D">
      <w:pPr>
        <w:spacing w:line="276" w:lineRule="auto"/>
        <w:ind w:firstLine="720"/>
        <w:jc w:val="both"/>
        <w:rPr>
          <w:rFonts w:asciiTheme="majorBidi" w:hAnsiTheme="majorBidi" w:cstheme="majorBidi"/>
        </w:rPr>
      </w:pPr>
    </w:p>
    <w:p w14:paraId="274C925F" w14:textId="6DCF5618" w:rsidR="00477E5C" w:rsidRPr="00477E5C" w:rsidRDefault="00477E5C" w:rsidP="0075628D">
      <w:pPr>
        <w:spacing w:line="276" w:lineRule="auto"/>
        <w:ind w:firstLine="720"/>
        <w:jc w:val="both"/>
        <w:rPr>
          <w:rFonts w:asciiTheme="majorBidi" w:hAnsiTheme="majorBidi" w:cstheme="majorBidi"/>
          <w:i/>
          <w:iCs/>
        </w:rPr>
      </w:pPr>
      <w:r w:rsidRPr="00477E5C">
        <w:rPr>
          <w:rFonts w:asciiTheme="majorBidi" w:hAnsiTheme="majorBidi" w:cstheme="majorBidi"/>
          <w:i/>
          <w:iCs/>
        </w:rPr>
        <w:t>Par priekšnoteikumiem pievienotās vērtības nodokļa 0</w:t>
      </w:r>
      <w:r w:rsidR="00E61C4E">
        <w:rPr>
          <w:rFonts w:asciiTheme="majorBidi" w:hAnsiTheme="majorBidi" w:cstheme="majorBidi"/>
          <w:i/>
          <w:iCs/>
        </w:rPr>
        <w:t> </w:t>
      </w:r>
      <w:r w:rsidRPr="00477E5C">
        <w:rPr>
          <w:rFonts w:asciiTheme="majorBidi" w:hAnsiTheme="majorBidi" w:cstheme="majorBidi"/>
          <w:i/>
          <w:iCs/>
        </w:rPr>
        <w:t>procentu likmes piemērošanai</w:t>
      </w:r>
    </w:p>
    <w:p w14:paraId="2BAA0197" w14:textId="284893FA" w:rsidR="00E45CBE" w:rsidRPr="003A6564" w:rsidRDefault="00B730BB" w:rsidP="0075628D">
      <w:pPr>
        <w:spacing w:line="276" w:lineRule="auto"/>
        <w:ind w:firstLine="720"/>
        <w:jc w:val="both"/>
        <w:rPr>
          <w:rFonts w:asciiTheme="majorBidi" w:hAnsiTheme="majorBidi" w:cstheme="majorBidi"/>
        </w:rPr>
      </w:pPr>
      <w:r>
        <w:rPr>
          <w:rFonts w:asciiTheme="majorBidi" w:hAnsiTheme="majorBidi" w:cstheme="majorBidi"/>
        </w:rPr>
        <w:t>[</w:t>
      </w:r>
      <w:r w:rsidR="005E7430">
        <w:rPr>
          <w:rFonts w:asciiTheme="majorBidi" w:hAnsiTheme="majorBidi" w:cstheme="majorBidi"/>
        </w:rPr>
        <w:t>6</w:t>
      </w:r>
      <w:r>
        <w:rPr>
          <w:rFonts w:asciiTheme="majorBidi" w:hAnsiTheme="majorBidi" w:cstheme="majorBidi"/>
        </w:rPr>
        <w:t>]</w:t>
      </w:r>
      <w:r w:rsidR="005C6957">
        <w:rPr>
          <w:rFonts w:asciiTheme="majorBidi" w:hAnsiTheme="majorBidi" w:cstheme="majorBidi"/>
        </w:rPr>
        <w:t xml:space="preserve"> </w:t>
      </w:r>
      <w:r w:rsidR="00B935F9">
        <w:t>Pievienotās vērtības nodokļa likuma 92.panta pirmās daļas 1.punkts noteic: ja preces iegādātas un pakalpojumi saņemti ar nodokli apliekamu darījumu nodrošināšanai vai tādu citās valstīs veiktu darījumu nodrošināšanai, kuri būtu apliekami ar nodokli, ja tie tiktu veikti iekšzemē, priekšnodoklis ir no citiem reģistrētiem nodokļa maksātājiem saņemtajos nodokļa rēķinos norādītās nodokļa summas par iegādātajām precēm un saņemtajiem pakalpojumiem.</w:t>
      </w:r>
    </w:p>
    <w:p w14:paraId="798688E8" w14:textId="340BCF27" w:rsidR="00570292" w:rsidRPr="003A6564" w:rsidRDefault="00570292" w:rsidP="0075628D">
      <w:pPr>
        <w:spacing w:line="276" w:lineRule="auto"/>
        <w:ind w:firstLine="720"/>
        <w:jc w:val="both"/>
        <w:rPr>
          <w:rFonts w:asciiTheme="majorBidi" w:hAnsiTheme="majorBidi" w:cstheme="majorBidi"/>
        </w:rPr>
      </w:pPr>
      <w:r w:rsidRPr="003A6564">
        <w:rPr>
          <w:rFonts w:asciiTheme="majorBidi" w:hAnsiTheme="majorBidi" w:cstheme="majorBidi"/>
        </w:rPr>
        <w:t>Nodokļa 0 procentu likmes piemērošanu regulē Pievienotās vērtības nodokļa likuma 43.panta ceturtā daļa, kas noteic, ka nodokļa 0 procentu likmi piemēro preču piegādei Eiropas Savienības teritorijā, ja tiek izpildīti abi šie nosacījumi: 1) preču transporta pavaddokumentos un nodokļa rēķinā norādītais preču saņēmējs ir uzrādījis preču piegādātājam darījuma brīdī derīgu citas dalībvalsts nodokļa maksātāja reģistrācijas numuru; 2) preces ir nosūtītas vai transportētas no iekšzemes uz galamērķi citā dalībvalstī, un to apliecina preču piegādātāja rīcībā esošie preču transporta pavaddokumenti.</w:t>
      </w:r>
    </w:p>
    <w:p w14:paraId="393F1BC7" w14:textId="39CCC99E" w:rsidR="00570292" w:rsidRPr="003A6564" w:rsidRDefault="00570292" w:rsidP="0075628D">
      <w:pPr>
        <w:spacing w:line="276" w:lineRule="auto"/>
        <w:ind w:firstLine="720"/>
        <w:jc w:val="both"/>
        <w:rPr>
          <w:rFonts w:asciiTheme="majorBidi" w:eastAsiaTheme="minorEastAsia" w:hAnsiTheme="majorBidi" w:cstheme="majorBidi"/>
          <w:i/>
          <w:iCs/>
          <w:color w:val="000000" w:themeColor="text1"/>
          <w:kern w:val="24"/>
          <w:lang w:eastAsia="lv-LV"/>
        </w:rPr>
      </w:pPr>
      <w:r w:rsidRPr="003A6564">
        <w:rPr>
          <w:rFonts w:asciiTheme="majorBidi" w:hAnsiTheme="majorBidi" w:cstheme="majorBidi"/>
        </w:rPr>
        <w:t xml:space="preserve">Interpretējot minēto tiesību normu, kā arī pamatojoties uz Eiropas Savienības Tiesas judikatūras atziņām, Senāts jau iepriekš atzinis: </w:t>
      </w:r>
      <w:r w:rsidRPr="003A6564">
        <w:rPr>
          <w:rFonts w:asciiTheme="majorBidi" w:hAnsiTheme="majorBidi" w:cstheme="majorBidi"/>
          <w:color w:val="000000" w:themeColor="text1"/>
          <w:kern w:val="24"/>
        </w:rPr>
        <w:t xml:space="preserve">lai varētu pretendēt uz nodokļa atbrīvojumu, vienlaikus ir jāizpildās šādiem priekšnoteikumiem: </w:t>
      </w:r>
      <w:r w:rsidRPr="003A6564">
        <w:rPr>
          <w:rFonts w:asciiTheme="majorBidi" w:eastAsiaTheme="minorEastAsia" w:hAnsiTheme="majorBidi" w:cstheme="majorBidi"/>
          <w:color w:val="000000" w:themeColor="text1"/>
          <w:kern w:val="24"/>
          <w:lang w:eastAsia="lv-LV"/>
        </w:rPr>
        <w:t xml:space="preserve">1) tiesības ar preci rīkoties kā īpašniekam ir nodotas pircējam; 2) pārdevējs pierāda, ka preces ir nosūtītas vai transportētas uz citu dalībvalsti un ka pēc šīs nosūtīšanas vai transportēšanas prece faktiski ir izvesta no piegādes dalībvalsts teritorijas (piemēram, </w:t>
      </w:r>
      <w:r w:rsidRPr="003A6564">
        <w:rPr>
          <w:rFonts w:asciiTheme="majorBidi" w:eastAsiaTheme="minorEastAsia" w:hAnsiTheme="majorBidi" w:cstheme="majorBidi"/>
          <w:i/>
          <w:iCs/>
          <w:color w:val="000000" w:themeColor="text1"/>
          <w:kern w:val="24"/>
          <w:lang w:eastAsia="lv-LV"/>
        </w:rPr>
        <w:t>Senāta 2021.gada 14.aprīļa sprieduma lietā Nr. SKA-93/2021</w:t>
      </w:r>
      <w:r w:rsidR="00613FCA" w:rsidRPr="003A6564">
        <w:rPr>
          <w:rFonts w:asciiTheme="majorBidi" w:eastAsiaTheme="minorEastAsia" w:hAnsiTheme="majorBidi" w:cstheme="majorBidi"/>
          <w:i/>
          <w:iCs/>
          <w:color w:val="000000" w:themeColor="text1"/>
          <w:kern w:val="24"/>
          <w:lang w:eastAsia="lv-LV"/>
        </w:rPr>
        <w:t xml:space="preserve">, </w:t>
      </w:r>
      <w:hyperlink r:id="rId9" w:history="1">
        <w:r w:rsidRPr="003501FE">
          <w:rPr>
            <w:rStyle w:val="Hyperlink"/>
            <w:rFonts w:asciiTheme="majorBidi" w:eastAsiaTheme="minorEastAsia" w:hAnsiTheme="majorBidi" w:cstheme="majorBidi"/>
            <w:i/>
            <w:iCs/>
            <w:kern w:val="24"/>
            <w:lang w:eastAsia="lv-LV"/>
          </w:rPr>
          <w:t>ECLI:LV:AT:2021:0414.A420176216.9.S</w:t>
        </w:r>
      </w:hyperlink>
      <w:r w:rsidR="00613FCA" w:rsidRPr="003A6564">
        <w:rPr>
          <w:rFonts w:asciiTheme="majorBidi" w:eastAsiaTheme="minorEastAsia" w:hAnsiTheme="majorBidi" w:cstheme="majorBidi"/>
          <w:i/>
          <w:iCs/>
          <w:color w:val="000000" w:themeColor="text1"/>
          <w:kern w:val="24"/>
          <w:lang w:eastAsia="lv-LV"/>
        </w:rPr>
        <w:t>,</w:t>
      </w:r>
      <w:r w:rsidRPr="003A6564">
        <w:rPr>
          <w:rFonts w:asciiTheme="majorBidi" w:eastAsiaTheme="minorEastAsia" w:hAnsiTheme="majorBidi" w:cstheme="majorBidi"/>
          <w:i/>
          <w:iCs/>
          <w:color w:val="000000" w:themeColor="text1"/>
          <w:kern w:val="24"/>
          <w:lang w:eastAsia="lv-LV"/>
        </w:rPr>
        <w:t xml:space="preserve"> 6.punkts</w:t>
      </w:r>
      <w:r w:rsidR="00613FCA" w:rsidRPr="003A6564">
        <w:rPr>
          <w:rFonts w:asciiTheme="majorBidi" w:eastAsiaTheme="minorEastAsia" w:hAnsiTheme="majorBidi" w:cstheme="majorBidi"/>
          <w:i/>
          <w:iCs/>
          <w:color w:val="000000" w:themeColor="text1"/>
          <w:kern w:val="24"/>
          <w:lang w:eastAsia="lv-LV"/>
        </w:rPr>
        <w:t>, 2019.gada 4.marta sprieduma lietā Nr. </w:t>
      </w:r>
      <w:r w:rsidR="003F5D74">
        <w:rPr>
          <w:rFonts w:asciiTheme="majorBidi" w:eastAsiaTheme="minorEastAsia" w:hAnsiTheme="majorBidi" w:cstheme="majorBidi"/>
          <w:i/>
          <w:iCs/>
          <w:color w:val="000000" w:themeColor="text1"/>
          <w:kern w:val="24"/>
          <w:lang w:eastAsia="lv-LV"/>
        </w:rPr>
        <w:t>SKA-</w:t>
      </w:r>
      <w:r w:rsidR="00613FCA" w:rsidRPr="003A6564">
        <w:rPr>
          <w:rFonts w:asciiTheme="majorBidi" w:eastAsiaTheme="minorEastAsia" w:hAnsiTheme="majorBidi" w:cstheme="majorBidi"/>
          <w:i/>
          <w:iCs/>
          <w:color w:val="000000" w:themeColor="text1"/>
          <w:kern w:val="24"/>
          <w:lang w:eastAsia="lv-LV"/>
        </w:rPr>
        <w:t xml:space="preserve">89/2019, </w:t>
      </w:r>
      <w:hyperlink r:id="rId10" w:history="1">
        <w:r w:rsidR="00613FCA" w:rsidRPr="003501FE">
          <w:rPr>
            <w:rStyle w:val="Hyperlink"/>
            <w:rFonts w:asciiTheme="majorBidi" w:eastAsiaTheme="minorHAnsi" w:hAnsiTheme="majorBidi" w:cstheme="majorBidi"/>
            <w:i/>
            <w:iCs/>
            <w:lang w:eastAsia="en-US"/>
          </w:rPr>
          <w:t>ECLI:LV:AT:2019:0304.A420165215.2.S</w:t>
        </w:r>
      </w:hyperlink>
      <w:r w:rsidR="00613FCA" w:rsidRPr="003A6564">
        <w:rPr>
          <w:rFonts w:asciiTheme="majorBidi" w:eastAsiaTheme="minorHAnsi" w:hAnsiTheme="majorBidi" w:cstheme="majorBidi"/>
          <w:i/>
          <w:iCs/>
          <w:color w:val="000000" w:themeColor="text1"/>
          <w:lang w:eastAsia="en-US"/>
        </w:rPr>
        <w:t>, 6.punkts</w:t>
      </w:r>
      <w:r w:rsidRPr="003A6564">
        <w:rPr>
          <w:rFonts w:asciiTheme="majorBidi" w:eastAsiaTheme="minorEastAsia" w:hAnsiTheme="majorBidi" w:cstheme="majorBidi"/>
          <w:color w:val="000000" w:themeColor="text1"/>
          <w:kern w:val="24"/>
          <w:lang w:eastAsia="lv-LV"/>
        </w:rPr>
        <w:t>).</w:t>
      </w:r>
    </w:p>
    <w:p w14:paraId="1E3F2AF6" w14:textId="505787C3" w:rsidR="000F42C6" w:rsidRPr="00C06312" w:rsidRDefault="00D35572" w:rsidP="0075628D">
      <w:pPr>
        <w:autoSpaceDE w:val="0"/>
        <w:autoSpaceDN w:val="0"/>
        <w:adjustRightInd w:val="0"/>
        <w:spacing w:line="276" w:lineRule="auto"/>
        <w:ind w:firstLine="720"/>
        <w:jc w:val="both"/>
        <w:rPr>
          <w:rFonts w:asciiTheme="majorBidi" w:eastAsiaTheme="minorHAnsi" w:hAnsiTheme="majorBidi" w:cstheme="majorBidi"/>
          <w:i/>
          <w:iCs/>
          <w:color w:val="000000"/>
          <w:lang w:eastAsia="en-US"/>
        </w:rPr>
      </w:pPr>
      <w:r w:rsidRPr="00C06312">
        <w:rPr>
          <w:rFonts w:asciiTheme="majorBidi" w:hAnsiTheme="majorBidi" w:cstheme="majorBidi"/>
        </w:rPr>
        <w:t>Vienlaikus norādāms, ka t</w:t>
      </w:r>
      <w:r w:rsidR="000F42C6" w:rsidRPr="00C06312">
        <w:rPr>
          <w:rFonts w:asciiTheme="majorBidi" w:hAnsiTheme="majorBidi" w:cstheme="majorBidi"/>
        </w:rPr>
        <w:t>iesības uz pievienotās vērtības nodokļa 0 procentu likmi var liegt, ja notikusi nodokļu sistēmas ļaunprātīga izmantošana vai krāpšana un Latvijas nodokļu maksātājs zināja (tam bija jāzina) par piegādes darījuma saistību ar to</w:t>
      </w:r>
      <w:r w:rsidR="003F5D74">
        <w:rPr>
          <w:rFonts w:asciiTheme="majorBidi" w:hAnsiTheme="majorBidi" w:cstheme="majorBidi"/>
        </w:rPr>
        <w:t xml:space="preserve">, kā arī tad, ja </w:t>
      </w:r>
      <w:bookmarkStart w:id="3" w:name="_Hlk142465179"/>
      <w:r w:rsidR="003F5D74" w:rsidRPr="003F5D74">
        <w:rPr>
          <w:rFonts w:asciiTheme="majorBidi" w:hAnsiTheme="majorBidi" w:cstheme="majorBidi"/>
        </w:rPr>
        <w:t xml:space="preserve">piegādātājs </w:t>
      </w:r>
      <w:r w:rsidR="003F5D74">
        <w:rPr>
          <w:rFonts w:asciiTheme="majorBidi" w:hAnsiTheme="majorBidi" w:cstheme="majorBidi"/>
        </w:rPr>
        <w:t>nav</w:t>
      </w:r>
      <w:r w:rsidR="003F5D74" w:rsidRPr="003F5D74">
        <w:rPr>
          <w:rFonts w:asciiTheme="majorBidi" w:hAnsiTheme="majorBidi" w:cstheme="majorBidi"/>
        </w:rPr>
        <w:t xml:space="preserve"> veicis visus saprātīgi sagaidāmos pasākumus, lai pārliecinātos, ka tā veikta piegāde </w:t>
      </w:r>
      <w:r w:rsidR="00520D68">
        <w:rPr>
          <w:rFonts w:asciiTheme="majorBidi" w:hAnsiTheme="majorBidi" w:cstheme="majorBidi"/>
        </w:rPr>
        <w:t>Savienības</w:t>
      </w:r>
      <w:r w:rsidR="003F5D74" w:rsidRPr="003F5D74">
        <w:rPr>
          <w:rFonts w:asciiTheme="majorBidi" w:hAnsiTheme="majorBidi" w:cstheme="majorBidi"/>
        </w:rPr>
        <w:t xml:space="preserve"> iekšienē nav saistīta ar dalību šādā krāpšanā</w:t>
      </w:r>
      <w:r w:rsidR="0008583E">
        <w:rPr>
          <w:rFonts w:asciiTheme="majorBidi" w:hAnsiTheme="majorBidi" w:cstheme="majorBidi"/>
        </w:rPr>
        <w:t xml:space="preserve"> </w:t>
      </w:r>
      <w:bookmarkEnd w:id="3"/>
      <w:r w:rsidR="0008583E" w:rsidRPr="00C06312">
        <w:rPr>
          <w:rFonts w:asciiTheme="majorBidi" w:hAnsiTheme="majorBidi" w:cstheme="majorBidi"/>
        </w:rPr>
        <w:t>(</w:t>
      </w:r>
      <w:r w:rsidR="0008583E" w:rsidRPr="00C06312">
        <w:rPr>
          <w:rFonts w:asciiTheme="majorBidi" w:eastAsiaTheme="minorHAnsi" w:hAnsiTheme="majorBidi" w:cstheme="majorBidi"/>
          <w:i/>
          <w:iCs/>
          <w:color w:val="000000"/>
          <w:lang w:eastAsia="en-US"/>
        </w:rPr>
        <w:t xml:space="preserve">Senāta </w:t>
      </w:r>
      <w:r w:rsidR="0008583E" w:rsidRPr="003A6564">
        <w:rPr>
          <w:rFonts w:asciiTheme="majorBidi" w:eastAsiaTheme="minorEastAsia" w:hAnsiTheme="majorBidi" w:cstheme="majorBidi"/>
          <w:i/>
          <w:iCs/>
          <w:color w:val="000000" w:themeColor="text1"/>
          <w:kern w:val="24"/>
          <w:lang w:eastAsia="lv-LV"/>
        </w:rPr>
        <w:t xml:space="preserve">2021.gada 14.aprīļa sprieduma lietā Nr. SKA-93/2021, </w:t>
      </w:r>
      <w:hyperlink r:id="rId11" w:history="1">
        <w:r w:rsidR="0008583E" w:rsidRPr="003501FE">
          <w:rPr>
            <w:rStyle w:val="Hyperlink"/>
            <w:rFonts w:asciiTheme="majorBidi" w:eastAsiaTheme="minorEastAsia" w:hAnsiTheme="majorBidi" w:cstheme="majorBidi"/>
            <w:i/>
            <w:iCs/>
            <w:kern w:val="24"/>
            <w:lang w:eastAsia="lv-LV"/>
          </w:rPr>
          <w:t>ECLI:LV:AT:2021:0414.A420176216.9.S</w:t>
        </w:r>
      </w:hyperlink>
      <w:r w:rsidR="0008583E" w:rsidRPr="003A6564">
        <w:rPr>
          <w:rFonts w:asciiTheme="majorBidi" w:eastAsiaTheme="minorEastAsia" w:hAnsiTheme="majorBidi" w:cstheme="majorBidi"/>
          <w:i/>
          <w:iCs/>
          <w:color w:val="000000" w:themeColor="text1"/>
          <w:kern w:val="24"/>
          <w:lang w:eastAsia="lv-LV"/>
        </w:rPr>
        <w:t>, 6.punkts</w:t>
      </w:r>
      <w:r w:rsidR="0008583E">
        <w:rPr>
          <w:rFonts w:asciiTheme="majorBidi" w:hAnsiTheme="majorBidi" w:cstheme="majorBidi"/>
        </w:rPr>
        <w:t>).</w:t>
      </w:r>
      <w:r w:rsidR="000F42C6" w:rsidRPr="00C06312">
        <w:rPr>
          <w:rFonts w:asciiTheme="majorBidi" w:hAnsiTheme="majorBidi" w:cstheme="majorBidi"/>
        </w:rPr>
        <w:t xml:space="preserve"> Pievienotās vērtības nodokļa sistēmas ļaunprātīga izmantošana vai krāpšana </w:t>
      </w:r>
      <w:r w:rsidR="0008583E">
        <w:rPr>
          <w:rFonts w:asciiTheme="majorBidi" w:hAnsiTheme="majorBidi" w:cstheme="majorBidi"/>
        </w:rPr>
        <w:t xml:space="preserve">– proti, krāpšana kā tāda, nevis piegādātāja saistība ar to – </w:t>
      </w:r>
      <w:r w:rsidR="000F42C6" w:rsidRPr="00C06312">
        <w:rPr>
          <w:rFonts w:asciiTheme="majorBidi" w:hAnsiTheme="majorBidi" w:cstheme="majorBidi"/>
        </w:rPr>
        <w:t xml:space="preserve">ir konstatējama arī tad, ja darījumu apliecinoši dokumenti ietver nepatiesu informāciju par preces patieso galamērķi, kas var novest pie nodokļa nemaksāšanas kādā no dalībvalstīm. Turklāt, kā ikvienā citā ar pievienotās vērtības nodokli apliekamajā darījumā, ir jāvērtē, vai darījumu apliecinošie dokumenti atbilst formālajām prasībām, jo, ja trūkumi ir tik lieli, ka nav iespējams pārbaudīt piegādes atbilstību materiāltiesiskajām prasībām, tas var būt pamats </w:t>
      </w:r>
      <w:r w:rsidR="000F42C6" w:rsidRPr="00C06312">
        <w:rPr>
          <w:rFonts w:asciiTheme="majorBidi" w:hAnsiTheme="majorBidi" w:cstheme="majorBidi"/>
        </w:rPr>
        <w:lastRenderedPageBreak/>
        <w:t>likmes piemērošanas apšaubīšanai</w:t>
      </w:r>
      <w:r w:rsidR="00C06312" w:rsidRPr="00C06312">
        <w:rPr>
          <w:rFonts w:asciiTheme="majorBidi" w:hAnsiTheme="majorBidi" w:cstheme="majorBidi"/>
        </w:rPr>
        <w:t xml:space="preserve"> (</w:t>
      </w:r>
      <w:r w:rsidR="00C06312" w:rsidRPr="00C06312">
        <w:rPr>
          <w:rFonts w:asciiTheme="majorBidi" w:eastAsiaTheme="minorHAnsi" w:hAnsiTheme="majorBidi" w:cstheme="majorBidi"/>
          <w:i/>
          <w:iCs/>
          <w:color w:val="000000"/>
          <w:lang w:eastAsia="en-US"/>
        </w:rPr>
        <w:t xml:space="preserve">Senāta </w:t>
      </w:r>
      <w:r w:rsidR="003F5D74" w:rsidRPr="003A6564">
        <w:rPr>
          <w:rFonts w:asciiTheme="majorBidi" w:eastAsiaTheme="minorEastAsia" w:hAnsiTheme="majorBidi" w:cstheme="majorBidi"/>
          <w:i/>
          <w:iCs/>
          <w:color w:val="000000" w:themeColor="text1"/>
          <w:kern w:val="24"/>
          <w:lang w:eastAsia="lv-LV"/>
        </w:rPr>
        <w:t xml:space="preserve">2021.gada 14.aprīļa sprieduma lietā Nr. SKA-93/2021, </w:t>
      </w:r>
      <w:hyperlink r:id="rId12" w:history="1">
        <w:r w:rsidR="003F5D74" w:rsidRPr="003501FE">
          <w:rPr>
            <w:rStyle w:val="Hyperlink"/>
            <w:rFonts w:asciiTheme="majorBidi" w:eastAsiaTheme="minorEastAsia" w:hAnsiTheme="majorBidi" w:cstheme="majorBidi"/>
            <w:i/>
            <w:iCs/>
            <w:kern w:val="24"/>
            <w:lang w:eastAsia="lv-LV"/>
          </w:rPr>
          <w:t>ECLI:LV:AT:2021:0414.A420176216.9.S</w:t>
        </w:r>
      </w:hyperlink>
      <w:r w:rsidR="003F5D74" w:rsidRPr="003A6564">
        <w:rPr>
          <w:rFonts w:asciiTheme="majorBidi" w:eastAsiaTheme="minorEastAsia" w:hAnsiTheme="majorBidi" w:cstheme="majorBidi"/>
          <w:i/>
          <w:iCs/>
          <w:color w:val="000000" w:themeColor="text1"/>
          <w:kern w:val="24"/>
          <w:lang w:eastAsia="lv-LV"/>
        </w:rPr>
        <w:t>, 6.punkts</w:t>
      </w:r>
      <w:r w:rsidR="003F5D74">
        <w:rPr>
          <w:rFonts w:asciiTheme="majorBidi" w:eastAsiaTheme="minorEastAsia" w:hAnsiTheme="majorBidi" w:cstheme="majorBidi"/>
          <w:i/>
          <w:iCs/>
          <w:color w:val="000000" w:themeColor="text1"/>
          <w:kern w:val="24"/>
          <w:lang w:eastAsia="lv-LV"/>
        </w:rPr>
        <w:t>,</w:t>
      </w:r>
      <w:r w:rsidR="003F5D74" w:rsidRPr="00C06312">
        <w:rPr>
          <w:rFonts w:asciiTheme="majorBidi" w:eastAsiaTheme="minorHAnsi" w:hAnsiTheme="majorBidi" w:cstheme="majorBidi"/>
          <w:i/>
          <w:iCs/>
          <w:color w:val="000000"/>
          <w:lang w:eastAsia="en-US"/>
        </w:rPr>
        <w:t xml:space="preserve"> </w:t>
      </w:r>
      <w:r w:rsidR="00C06312" w:rsidRPr="00C06312">
        <w:rPr>
          <w:rFonts w:asciiTheme="majorBidi" w:eastAsiaTheme="minorHAnsi" w:hAnsiTheme="majorBidi" w:cstheme="majorBidi"/>
          <w:i/>
          <w:iCs/>
          <w:color w:val="000000"/>
          <w:lang w:eastAsia="en-US"/>
        </w:rPr>
        <w:t xml:space="preserve">2019.gada 5.septembra sprieduma lietā Nr. SKA-785/2019, </w:t>
      </w:r>
      <w:hyperlink r:id="rId13" w:history="1">
        <w:r w:rsidR="00C06312" w:rsidRPr="003501FE">
          <w:rPr>
            <w:rStyle w:val="Hyperlink"/>
            <w:rFonts w:asciiTheme="majorBidi" w:eastAsiaTheme="minorHAnsi" w:hAnsiTheme="majorBidi" w:cstheme="majorBidi"/>
            <w:i/>
            <w:iCs/>
            <w:lang w:eastAsia="en-US"/>
          </w:rPr>
          <w:t>ECLI:LV:AT:2019:0905.A420408113.8.S</w:t>
        </w:r>
      </w:hyperlink>
      <w:r w:rsidR="00C06312" w:rsidRPr="00C813C6">
        <w:rPr>
          <w:rFonts w:asciiTheme="majorBidi" w:eastAsiaTheme="minorHAnsi" w:hAnsiTheme="majorBidi" w:cstheme="majorBidi"/>
          <w:i/>
          <w:iCs/>
          <w:color w:val="000000" w:themeColor="text1"/>
          <w:lang w:eastAsia="en-US"/>
        </w:rPr>
        <w:t xml:space="preserve">, </w:t>
      </w:r>
      <w:r w:rsidR="00C06312" w:rsidRPr="00C06312">
        <w:rPr>
          <w:rFonts w:asciiTheme="majorBidi" w:eastAsiaTheme="minorHAnsi" w:hAnsiTheme="majorBidi" w:cstheme="majorBidi"/>
          <w:i/>
          <w:iCs/>
          <w:color w:val="000000"/>
          <w:lang w:eastAsia="en-US"/>
        </w:rPr>
        <w:t>6.punkts</w:t>
      </w:r>
      <w:r w:rsidR="00587964">
        <w:rPr>
          <w:rFonts w:asciiTheme="majorBidi" w:hAnsiTheme="majorBidi" w:cstheme="majorBidi"/>
        </w:rPr>
        <w:t>)</w:t>
      </w:r>
      <w:r w:rsidR="000F42C6" w:rsidRPr="00C06312">
        <w:rPr>
          <w:rFonts w:asciiTheme="majorBidi" w:hAnsiTheme="majorBidi" w:cstheme="majorBidi"/>
        </w:rPr>
        <w:t>.</w:t>
      </w:r>
    </w:p>
    <w:p w14:paraId="0F819623" w14:textId="34AB0417" w:rsidR="000F42C6" w:rsidRDefault="000F42C6" w:rsidP="0075628D">
      <w:pPr>
        <w:spacing w:line="276" w:lineRule="auto"/>
        <w:ind w:firstLine="720"/>
        <w:jc w:val="both"/>
      </w:pPr>
      <w:r>
        <w:t xml:space="preserve">No iepriekš minētā secināms, ka </w:t>
      </w:r>
      <w:r w:rsidR="00587964">
        <w:t xml:space="preserve">Latvijas </w:t>
      </w:r>
      <w:r>
        <w:t xml:space="preserve">nodokļu maksātājs, kas iesniedzis preču nosūtīšanas (transportēšanas) dokumentus, kas apliecina preces </w:t>
      </w:r>
      <w:r w:rsidR="00C813C6">
        <w:t xml:space="preserve">faktisku </w:t>
      </w:r>
      <w:r>
        <w:t xml:space="preserve">izvešanu </w:t>
      </w:r>
      <w:r w:rsidR="00C813C6" w:rsidRPr="003A6564">
        <w:rPr>
          <w:rFonts w:asciiTheme="majorBidi" w:eastAsiaTheme="minorEastAsia" w:hAnsiTheme="majorBidi" w:cstheme="majorBidi"/>
          <w:color w:val="000000" w:themeColor="text1"/>
          <w:kern w:val="24"/>
          <w:lang w:eastAsia="lv-LV"/>
        </w:rPr>
        <w:t>no piegādes dalībvalsts teritorijas</w:t>
      </w:r>
      <w:r w:rsidR="0008583E">
        <w:rPr>
          <w:rFonts w:asciiTheme="majorBidi" w:eastAsiaTheme="minorEastAsia" w:hAnsiTheme="majorBidi" w:cstheme="majorBidi"/>
          <w:color w:val="000000" w:themeColor="text1"/>
          <w:kern w:val="24"/>
          <w:lang w:eastAsia="lv-LV"/>
        </w:rPr>
        <w:t>,</w:t>
      </w:r>
      <w:r w:rsidR="00C813C6">
        <w:t xml:space="preserve"> </w:t>
      </w:r>
      <w:r w:rsidR="00D35572">
        <w:t xml:space="preserve">un pierādījis, ka </w:t>
      </w:r>
      <w:r w:rsidR="00D35572" w:rsidRPr="003A6564">
        <w:rPr>
          <w:rFonts w:asciiTheme="majorBidi" w:eastAsiaTheme="minorEastAsia" w:hAnsiTheme="majorBidi" w:cstheme="majorBidi"/>
          <w:color w:val="000000" w:themeColor="text1"/>
          <w:kern w:val="24"/>
          <w:lang w:eastAsia="lv-LV"/>
        </w:rPr>
        <w:t>tiesības ar preci rīkoties kā īpašniekam ir nodotas pircējam</w:t>
      </w:r>
      <w:r>
        <w:t>, ir izpildījis priekšnoteikumus, kas tam dod tiesības uz pievienotās vērtības nodokļa 0 procentu likmes piemērošanu, ja vien netiek noskaidrots, ka Latvijas nodokļu maksātājs zināja (tam vajadzēja zināt) par to, ka darījums ir saistīts ar nodokļu sistēmas ļaunprātīgu izmantošanu vai krāpšanu</w:t>
      </w:r>
      <w:r w:rsidR="0008583E">
        <w:t>, vai arī</w:t>
      </w:r>
      <w:r w:rsidR="0008583E" w:rsidRPr="0008583E">
        <w:t xml:space="preserve"> nav veicis visus saprātīgi sagaidāmos pasākumus, lai pārliecinātos, ka tā veikta piegāde </w:t>
      </w:r>
      <w:r w:rsidR="00520D68">
        <w:t>Savienības</w:t>
      </w:r>
      <w:r w:rsidR="0008583E" w:rsidRPr="0008583E">
        <w:t xml:space="preserve"> iekšienē nav saistīta ar dalību šādā krāpšanā</w:t>
      </w:r>
      <w:r>
        <w:t>.</w:t>
      </w:r>
      <w:r w:rsidR="00D35572">
        <w:t xml:space="preserve"> Savukārt</w:t>
      </w:r>
      <w:r>
        <w:t xml:space="preserve"> preču nepiegādāšana konkrētajam nodokļu maksātājam automātiski neizslēdz, ka </w:t>
      </w:r>
      <w:r w:rsidR="0055225A">
        <w:t>preces nosūtītājs</w:t>
      </w:r>
      <w:r>
        <w:t>, rīkodam</w:t>
      </w:r>
      <w:r w:rsidR="0055225A">
        <w:t>ies</w:t>
      </w:r>
      <w:r>
        <w:t xml:space="preserve"> labā ticībā un paļaujoties uz preču nosūtīšanas (transportēšanas) dokumentiem, ir saglabāji</w:t>
      </w:r>
      <w:r w:rsidR="0055225A">
        <w:t>s</w:t>
      </w:r>
      <w:r>
        <w:t xml:space="preserve"> tiesības uz 0 procentu likmes piemērošanu</w:t>
      </w:r>
      <w:r w:rsidR="006A19F4">
        <w:t>. Š</w:t>
      </w:r>
      <w:r>
        <w:t>ādi apstākļi var norādīt uz krāpšanos un var būtu pamats tālākai izmeklēšanai par to.</w:t>
      </w:r>
    </w:p>
    <w:p w14:paraId="003C48ED" w14:textId="77777777" w:rsidR="000F42C6" w:rsidRDefault="000F42C6" w:rsidP="0075628D">
      <w:pPr>
        <w:spacing w:line="276" w:lineRule="auto"/>
        <w:ind w:firstLine="720"/>
        <w:jc w:val="both"/>
      </w:pPr>
    </w:p>
    <w:p w14:paraId="11A92414" w14:textId="566F5466" w:rsidR="007F1CD5" w:rsidRDefault="005E7430" w:rsidP="0075628D">
      <w:pPr>
        <w:spacing w:line="276" w:lineRule="auto"/>
        <w:ind w:firstLine="720"/>
        <w:jc w:val="both"/>
        <w:rPr>
          <w:rFonts w:asciiTheme="majorBidi" w:hAnsiTheme="majorBidi" w:cstheme="majorBidi"/>
        </w:rPr>
      </w:pPr>
      <w:r w:rsidRPr="003A6564">
        <w:rPr>
          <w:rFonts w:asciiTheme="majorBidi" w:hAnsiTheme="majorBidi" w:cstheme="majorBidi"/>
        </w:rPr>
        <w:t>[</w:t>
      </w:r>
      <w:r w:rsidR="00D54BF1">
        <w:rPr>
          <w:rFonts w:asciiTheme="majorBidi" w:hAnsiTheme="majorBidi" w:cstheme="majorBidi"/>
        </w:rPr>
        <w:t>7</w:t>
      </w:r>
      <w:r w:rsidRPr="003A6564">
        <w:rPr>
          <w:rFonts w:asciiTheme="majorBidi" w:hAnsiTheme="majorBidi" w:cstheme="majorBidi"/>
        </w:rPr>
        <w:t>]</w:t>
      </w:r>
      <w:r w:rsidR="005C6957">
        <w:rPr>
          <w:rFonts w:asciiTheme="majorBidi" w:hAnsiTheme="majorBidi" w:cstheme="majorBidi"/>
        </w:rPr>
        <w:t xml:space="preserve"> </w:t>
      </w:r>
      <w:r w:rsidR="006A19F4">
        <w:rPr>
          <w:rFonts w:asciiTheme="majorBidi" w:hAnsiTheme="majorBidi" w:cstheme="majorBidi"/>
        </w:rPr>
        <w:t>Pārbaudot</w:t>
      </w:r>
      <w:r w:rsidR="007F1CD5">
        <w:rPr>
          <w:rFonts w:asciiTheme="majorBidi" w:hAnsiTheme="majorBidi" w:cstheme="majorBidi"/>
        </w:rPr>
        <w:t xml:space="preserve"> apgabaltiesas spriedumā norādīto </w:t>
      </w:r>
      <w:r w:rsidR="006A19F4">
        <w:rPr>
          <w:rFonts w:asciiTheme="majorBidi" w:hAnsiTheme="majorBidi" w:cstheme="majorBidi"/>
        </w:rPr>
        <w:t xml:space="preserve">konkrētās situācijas </w:t>
      </w:r>
      <w:r w:rsidR="007F1CD5">
        <w:rPr>
          <w:rFonts w:asciiTheme="majorBidi" w:hAnsiTheme="majorBidi" w:cstheme="majorBidi"/>
        </w:rPr>
        <w:t>novērtējumu</w:t>
      </w:r>
      <w:r w:rsidR="00956EC0">
        <w:rPr>
          <w:rFonts w:asciiTheme="majorBidi" w:hAnsiTheme="majorBidi" w:cstheme="majorBidi"/>
        </w:rPr>
        <w:t>, Senāts atzīst,</w:t>
      </w:r>
      <w:r w:rsidR="007F1CD5">
        <w:rPr>
          <w:rFonts w:asciiTheme="majorBidi" w:hAnsiTheme="majorBidi" w:cstheme="majorBidi"/>
        </w:rPr>
        <w:t xml:space="preserve"> ka tas nav veikts atbilstoši </w:t>
      </w:r>
      <w:r w:rsidR="006A19F4">
        <w:rPr>
          <w:rFonts w:asciiTheme="majorBidi" w:hAnsiTheme="majorBidi" w:cstheme="majorBidi"/>
        </w:rPr>
        <w:t>Pievienotās vērtības nodokļa likuma 43.panta ceturtās daļas</w:t>
      </w:r>
      <w:r w:rsidR="007F1CD5">
        <w:rPr>
          <w:rFonts w:asciiTheme="majorBidi" w:hAnsiTheme="majorBidi" w:cstheme="majorBidi"/>
        </w:rPr>
        <w:t xml:space="preserve"> tiesiskajam sastāvam un Senāta norādītajām atziņām</w:t>
      </w:r>
      <w:r w:rsidR="00A8441E">
        <w:rPr>
          <w:rFonts w:asciiTheme="majorBidi" w:hAnsiTheme="majorBidi" w:cstheme="majorBidi"/>
        </w:rPr>
        <w:t xml:space="preserve"> (šā sprieduma 6.punkts)</w:t>
      </w:r>
      <w:r w:rsidR="007F1CD5">
        <w:rPr>
          <w:rFonts w:asciiTheme="majorBidi" w:hAnsiTheme="majorBidi" w:cstheme="majorBidi"/>
        </w:rPr>
        <w:t>.</w:t>
      </w:r>
    </w:p>
    <w:p w14:paraId="5DF8C330" w14:textId="5C5703EE" w:rsidR="005E7430" w:rsidRPr="00D559F9" w:rsidRDefault="005E7430" w:rsidP="0075628D">
      <w:pPr>
        <w:spacing w:line="276" w:lineRule="auto"/>
        <w:ind w:firstLine="720"/>
        <w:jc w:val="both"/>
        <w:rPr>
          <w:rFonts w:asciiTheme="majorBidi" w:hAnsiTheme="majorBidi" w:cstheme="majorBidi"/>
        </w:rPr>
      </w:pPr>
      <w:r w:rsidRPr="003A6564">
        <w:rPr>
          <w:rFonts w:asciiTheme="majorBidi" w:hAnsiTheme="majorBidi" w:cstheme="majorBidi"/>
        </w:rPr>
        <w:t xml:space="preserve">Apgabaltiesa no lietā esošajiem pierādījumiem secināja, ka </w:t>
      </w:r>
      <w:r w:rsidRPr="003A6564">
        <w:rPr>
          <w:rFonts w:asciiTheme="majorBidi" w:eastAsiaTheme="minorHAnsi" w:hAnsiTheme="majorBidi" w:cstheme="majorBidi"/>
          <w:lang w:eastAsia="en-US"/>
        </w:rPr>
        <w:t>preču pārvadājumi uz Igauniju un atpakaļ faktiski ir veikti</w:t>
      </w:r>
      <w:r>
        <w:rPr>
          <w:rFonts w:asciiTheme="majorBidi" w:eastAsiaTheme="minorHAnsi" w:hAnsiTheme="majorBidi" w:cstheme="majorBidi"/>
          <w:lang w:eastAsia="en-US"/>
        </w:rPr>
        <w:t xml:space="preserve">, </w:t>
      </w:r>
      <w:r w:rsidR="00C434F5">
        <w:rPr>
          <w:rFonts w:asciiTheme="majorBidi" w:eastAsiaTheme="minorHAnsi" w:hAnsiTheme="majorBidi" w:cstheme="majorBidi"/>
          <w:lang w:eastAsia="en-US"/>
        </w:rPr>
        <w:t xml:space="preserve">taču </w:t>
      </w:r>
      <w:r w:rsidRPr="00D559F9">
        <w:rPr>
          <w:rFonts w:asciiTheme="majorBidi" w:hAnsiTheme="majorBidi" w:cstheme="majorBidi"/>
        </w:rPr>
        <w:t>darījumu partneri</w:t>
      </w:r>
      <w:r w:rsidR="00C434F5">
        <w:rPr>
          <w:rFonts w:asciiTheme="majorBidi" w:hAnsiTheme="majorBidi" w:cstheme="majorBidi"/>
        </w:rPr>
        <w:t>, pieteicējai nezinot,</w:t>
      </w:r>
      <w:r w:rsidRPr="00D559F9">
        <w:rPr>
          <w:rFonts w:asciiTheme="majorBidi" w:hAnsiTheme="majorBidi" w:cstheme="majorBidi"/>
        </w:rPr>
        <w:t xml:space="preserve"> darījumus anulēja</w:t>
      </w:r>
      <w:r w:rsidR="006A19F4">
        <w:rPr>
          <w:rFonts w:asciiTheme="majorBidi" w:hAnsiTheme="majorBidi" w:cstheme="majorBidi"/>
        </w:rPr>
        <w:t>. T</w:t>
      </w:r>
      <w:r w:rsidR="003631F1">
        <w:rPr>
          <w:rFonts w:asciiTheme="majorBidi" w:hAnsiTheme="majorBidi" w:cstheme="majorBidi"/>
        </w:rPr>
        <w:t xml:space="preserve">āpēc </w:t>
      </w:r>
      <w:r w:rsidR="006A19F4">
        <w:rPr>
          <w:rFonts w:asciiTheme="majorBidi" w:hAnsiTheme="majorBidi" w:cstheme="majorBidi"/>
        </w:rPr>
        <w:t xml:space="preserve">pieteicējai </w:t>
      </w:r>
      <w:r w:rsidRPr="00D559F9">
        <w:rPr>
          <w:rFonts w:asciiTheme="majorBidi" w:hAnsiTheme="majorBidi" w:cstheme="majorBidi"/>
        </w:rPr>
        <w:t>bija jāizdara izmaiņas pievienotās vērtības nodokļa deklarācijās</w:t>
      </w:r>
      <w:r w:rsidR="00D841E1">
        <w:rPr>
          <w:rFonts w:asciiTheme="majorBidi" w:hAnsiTheme="majorBidi" w:cstheme="majorBidi"/>
        </w:rPr>
        <w:t>.</w:t>
      </w:r>
      <w:r>
        <w:rPr>
          <w:rFonts w:asciiTheme="majorBidi" w:hAnsiTheme="majorBidi" w:cstheme="majorBidi"/>
        </w:rPr>
        <w:t xml:space="preserve"> </w:t>
      </w:r>
      <w:r w:rsidR="003631F1">
        <w:rPr>
          <w:rFonts w:asciiTheme="majorBidi" w:hAnsiTheme="majorBidi" w:cstheme="majorBidi"/>
        </w:rPr>
        <w:t xml:space="preserve">Apgabaltiesa </w:t>
      </w:r>
      <w:r w:rsidR="006A19F4">
        <w:rPr>
          <w:rFonts w:asciiTheme="majorBidi" w:hAnsiTheme="majorBidi" w:cstheme="majorBidi"/>
        </w:rPr>
        <w:t xml:space="preserve">arī </w:t>
      </w:r>
      <w:r w:rsidR="00BB6169">
        <w:rPr>
          <w:rFonts w:asciiTheme="majorBidi" w:hAnsiTheme="majorBidi" w:cstheme="majorBidi"/>
        </w:rPr>
        <w:t>secināja</w:t>
      </w:r>
      <w:r w:rsidR="003631F1">
        <w:rPr>
          <w:rFonts w:asciiTheme="majorBidi" w:hAnsiTheme="majorBidi" w:cstheme="majorBidi"/>
        </w:rPr>
        <w:t>, ka p</w:t>
      </w:r>
      <w:r w:rsidRPr="00D559F9">
        <w:rPr>
          <w:rFonts w:asciiTheme="majorBidi" w:hAnsiTheme="majorBidi" w:cstheme="majorBidi"/>
        </w:rPr>
        <w:t xml:space="preserve">ieteicēja </w:t>
      </w:r>
      <w:r w:rsidR="00EE26C2">
        <w:rPr>
          <w:rFonts w:asciiTheme="majorBidi" w:hAnsiTheme="majorBidi" w:cstheme="majorBidi"/>
        </w:rPr>
        <w:t xml:space="preserve">nav </w:t>
      </w:r>
      <w:r w:rsidRPr="00D559F9">
        <w:rPr>
          <w:rFonts w:asciiTheme="majorBidi" w:hAnsiTheme="majorBidi" w:cstheme="majorBidi"/>
        </w:rPr>
        <w:t>izrādījusi pienācīgu rūpību, nav piedalījusies darījum</w:t>
      </w:r>
      <w:r w:rsidR="00C813C6">
        <w:rPr>
          <w:rFonts w:asciiTheme="majorBidi" w:hAnsiTheme="majorBidi" w:cstheme="majorBidi"/>
        </w:rPr>
        <w:t>u</w:t>
      </w:r>
      <w:r w:rsidRPr="00D559F9">
        <w:rPr>
          <w:rFonts w:asciiTheme="majorBidi" w:hAnsiTheme="majorBidi" w:cstheme="majorBidi"/>
        </w:rPr>
        <w:t xml:space="preserve"> organizēšanā, nav pārbaudījusi kravu saņemšanas brīdī un nav veikusi pienācīgu kontroli par kravas nosūtīšanu</w:t>
      </w:r>
      <w:r w:rsidR="00BB6169">
        <w:rPr>
          <w:rFonts w:asciiTheme="majorBidi" w:hAnsiTheme="majorBidi" w:cstheme="majorBidi"/>
        </w:rPr>
        <w:t>.</w:t>
      </w:r>
      <w:r w:rsidRPr="00D559F9">
        <w:rPr>
          <w:rFonts w:asciiTheme="majorBidi" w:hAnsiTheme="majorBidi" w:cstheme="majorBidi"/>
        </w:rPr>
        <w:t xml:space="preserve"> </w:t>
      </w:r>
      <w:r>
        <w:rPr>
          <w:rFonts w:asciiTheme="majorBidi" w:eastAsiaTheme="minorHAnsi" w:hAnsiTheme="majorBidi" w:cstheme="majorBidi"/>
          <w:lang w:eastAsia="en-US"/>
        </w:rPr>
        <w:t>P</w:t>
      </w:r>
      <w:r w:rsidRPr="00D559F9">
        <w:rPr>
          <w:rFonts w:asciiTheme="majorBidi" w:eastAsiaTheme="minorHAnsi" w:hAnsiTheme="majorBidi" w:cstheme="majorBidi"/>
          <w:lang w:eastAsia="en-US"/>
        </w:rPr>
        <w:t xml:space="preserve">ieteicēja pati </w:t>
      </w:r>
      <w:r w:rsidR="00EE26C2">
        <w:rPr>
          <w:rFonts w:asciiTheme="majorBidi" w:eastAsiaTheme="minorHAnsi" w:hAnsiTheme="majorBidi" w:cstheme="majorBidi"/>
          <w:lang w:eastAsia="en-US"/>
        </w:rPr>
        <w:t>ne</w:t>
      </w:r>
      <w:r w:rsidRPr="00D559F9">
        <w:rPr>
          <w:rFonts w:asciiTheme="majorBidi" w:eastAsiaTheme="minorHAnsi" w:hAnsiTheme="majorBidi" w:cstheme="majorBidi"/>
          <w:lang w:eastAsia="en-US"/>
        </w:rPr>
        <w:t>interesēj</w:t>
      </w:r>
      <w:r w:rsidR="00EE26C2">
        <w:rPr>
          <w:rFonts w:asciiTheme="majorBidi" w:eastAsiaTheme="minorHAnsi" w:hAnsiTheme="majorBidi" w:cstheme="majorBidi"/>
          <w:lang w:eastAsia="en-US"/>
        </w:rPr>
        <w:t>ās</w:t>
      </w:r>
      <w:r w:rsidR="00007F32">
        <w:rPr>
          <w:rFonts w:asciiTheme="majorBidi" w:eastAsiaTheme="minorHAnsi" w:hAnsiTheme="majorBidi" w:cstheme="majorBidi"/>
          <w:lang w:eastAsia="en-US"/>
        </w:rPr>
        <w:t>, vai</w:t>
      </w:r>
      <w:r w:rsidRPr="00D559F9">
        <w:rPr>
          <w:rFonts w:asciiTheme="majorBidi" w:eastAsiaTheme="minorHAnsi" w:hAnsiTheme="majorBidi" w:cstheme="majorBidi"/>
          <w:lang w:eastAsia="en-US"/>
        </w:rPr>
        <w:t xml:space="preserve"> pre</w:t>
      </w:r>
      <w:r w:rsidR="00007F32">
        <w:rPr>
          <w:rFonts w:asciiTheme="majorBidi" w:eastAsiaTheme="minorHAnsi" w:hAnsiTheme="majorBidi" w:cstheme="majorBidi"/>
          <w:lang w:eastAsia="en-US"/>
        </w:rPr>
        <w:t>ču</w:t>
      </w:r>
      <w:r w:rsidRPr="00D559F9">
        <w:rPr>
          <w:rFonts w:asciiTheme="majorBidi" w:eastAsiaTheme="minorHAnsi" w:hAnsiTheme="majorBidi" w:cstheme="majorBidi"/>
          <w:lang w:eastAsia="en-US"/>
        </w:rPr>
        <w:t xml:space="preserve"> piegād</w:t>
      </w:r>
      <w:r w:rsidR="00007F32">
        <w:rPr>
          <w:rFonts w:asciiTheme="majorBidi" w:eastAsiaTheme="minorHAnsi" w:hAnsiTheme="majorBidi" w:cstheme="majorBidi"/>
          <w:lang w:eastAsia="en-US"/>
        </w:rPr>
        <w:t>e</w:t>
      </w:r>
      <w:r w:rsidRPr="00D559F9">
        <w:rPr>
          <w:rFonts w:asciiTheme="majorBidi" w:eastAsiaTheme="minorHAnsi" w:hAnsiTheme="majorBidi" w:cstheme="majorBidi"/>
          <w:lang w:eastAsia="en-US"/>
        </w:rPr>
        <w:t xml:space="preserve"> notikusi veiksmīgi. </w:t>
      </w:r>
      <w:r w:rsidRPr="00D559F9">
        <w:rPr>
          <w:rFonts w:asciiTheme="majorBidi" w:hAnsiTheme="majorBidi" w:cstheme="majorBidi"/>
        </w:rPr>
        <w:t>Attiecīgi šīs bezrūpības dēļ pieteicēja laikus nesazinājās ar darījumu partneriem, nenoformēj</w:t>
      </w:r>
      <w:r w:rsidR="00EE26C2">
        <w:rPr>
          <w:rFonts w:asciiTheme="majorBidi" w:hAnsiTheme="majorBidi" w:cstheme="majorBidi"/>
        </w:rPr>
        <w:t>a</w:t>
      </w:r>
      <w:r w:rsidRPr="00D559F9">
        <w:rPr>
          <w:rFonts w:asciiTheme="majorBidi" w:hAnsiTheme="majorBidi" w:cstheme="majorBidi"/>
        </w:rPr>
        <w:t xml:space="preserve"> dokumentus par darījumu anulēšanu un attiecīgi laikus nekoriģēja pievienotās vērtības nodokļa deklarāciju, lai tajā nebūtu iekļauti priekšnodokļa atskaitījumi par darījumiem, kuri faktiski nebija notikuši.</w:t>
      </w:r>
    </w:p>
    <w:p w14:paraId="5B26FA70" w14:textId="23132E4B" w:rsidR="0055432D" w:rsidRDefault="00887B80" w:rsidP="0075628D">
      <w:pPr>
        <w:spacing w:line="276" w:lineRule="auto"/>
        <w:ind w:firstLine="720"/>
        <w:jc w:val="both"/>
      </w:pPr>
      <w:r>
        <w:t>No minētā var secināt</w:t>
      </w:r>
      <w:r w:rsidR="00007F32">
        <w:t xml:space="preserve">, ka </w:t>
      </w:r>
      <w:r w:rsidR="00EE26C2">
        <w:t>apgabaltiesa pēc būtības ir konstatējusi, ka strīdus prece</w:t>
      </w:r>
      <w:r w:rsidR="00007F32">
        <w:t>s</w:t>
      </w:r>
      <w:r w:rsidR="00EE26C2">
        <w:t xml:space="preserve"> ir tik</w:t>
      </w:r>
      <w:r w:rsidR="00007F32">
        <w:t>ušas</w:t>
      </w:r>
      <w:r w:rsidR="00EE26C2">
        <w:t xml:space="preserve"> </w:t>
      </w:r>
      <w:r w:rsidR="007F1CD5">
        <w:t>izvesta</w:t>
      </w:r>
      <w:r w:rsidR="00336679">
        <w:t>s</w:t>
      </w:r>
      <w:r w:rsidR="007F1CD5">
        <w:t xml:space="preserve"> </w:t>
      </w:r>
      <w:r w:rsidR="003631F1" w:rsidRPr="003A6564">
        <w:rPr>
          <w:rFonts w:asciiTheme="majorBidi" w:eastAsiaTheme="minorEastAsia" w:hAnsiTheme="majorBidi" w:cstheme="majorBidi"/>
          <w:color w:val="000000" w:themeColor="text1"/>
          <w:kern w:val="24"/>
          <w:lang w:eastAsia="lv-LV"/>
        </w:rPr>
        <w:t>no piegādes dalībvalsts teritorijas</w:t>
      </w:r>
      <w:r w:rsidR="007F1CD5">
        <w:t xml:space="preserve">, </w:t>
      </w:r>
      <w:r w:rsidR="00647B0C">
        <w:rPr>
          <w:rFonts w:asciiTheme="majorBidi" w:hAnsiTheme="majorBidi" w:cstheme="majorBidi"/>
        </w:rPr>
        <w:t>vienlaikus pārmetot pieteicējai, ka tā nav pārliecinājusies, vai prece</w:t>
      </w:r>
      <w:r w:rsidR="00007F32">
        <w:rPr>
          <w:rFonts w:asciiTheme="majorBidi" w:hAnsiTheme="majorBidi" w:cstheme="majorBidi"/>
        </w:rPr>
        <w:t>s</w:t>
      </w:r>
      <w:r w:rsidR="00647B0C">
        <w:rPr>
          <w:rFonts w:asciiTheme="majorBidi" w:hAnsiTheme="majorBidi" w:cstheme="majorBidi"/>
        </w:rPr>
        <w:t xml:space="preserve"> faktiski </w:t>
      </w:r>
      <w:r w:rsidR="00007F32">
        <w:rPr>
          <w:rFonts w:asciiTheme="majorBidi" w:hAnsiTheme="majorBidi" w:cstheme="majorBidi"/>
        </w:rPr>
        <w:t>sasniedza</w:t>
      </w:r>
      <w:r w:rsidR="00647B0C">
        <w:rPr>
          <w:rFonts w:asciiTheme="majorBidi" w:hAnsiTheme="majorBidi" w:cstheme="majorBidi"/>
        </w:rPr>
        <w:t xml:space="preserve"> galamērķi, proti, </w:t>
      </w:r>
      <w:r w:rsidR="00647B0C" w:rsidRPr="00D559F9">
        <w:rPr>
          <w:rFonts w:asciiTheme="majorBidi" w:eastAsiaTheme="minorHAnsi" w:hAnsiTheme="majorBidi" w:cstheme="majorBidi"/>
          <w:lang w:eastAsia="en-US"/>
        </w:rPr>
        <w:t xml:space="preserve">vai </w:t>
      </w:r>
      <w:r w:rsidR="00647B0C">
        <w:rPr>
          <w:rFonts w:asciiTheme="majorBidi" w:eastAsiaTheme="minorHAnsi" w:hAnsiTheme="majorBidi" w:cstheme="majorBidi"/>
          <w:lang w:eastAsia="en-US"/>
        </w:rPr>
        <w:t>piegāde</w:t>
      </w:r>
      <w:r w:rsidR="00647B0C" w:rsidRPr="00D559F9">
        <w:rPr>
          <w:rFonts w:asciiTheme="majorBidi" w:eastAsiaTheme="minorHAnsi" w:hAnsiTheme="majorBidi" w:cstheme="majorBidi"/>
          <w:lang w:eastAsia="en-US"/>
        </w:rPr>
        <w:t xml:space="preserve"> </w:t>
      </w:r>
      <w:r w:rsidR="00BB6169" w:rsidRPr="00D559F9">
        <w:rPr>
          <w:rFonts w:asciiTheme="majorBidi" w:hAnsiTheme="majorBidi" w:cstheme="majorBidi"/>
          <w:i/>
          <w:iCs/>
        </w:rPr>
        <w:t>OU PremiumSigma</w:t>
      </w:r>
      <w:r w:rsidR="00BB6169" w:rsidRPr="00D559F9">
        <w:rPr>
          <w:rFonts w:asciiTheme="majorBidi" w:hAnsiTheme="majorBidi" w:cstheme="majorBidi"/>
        </w:rPr>
        <w:t xml:space="preserve"> </w:t>
      </w:r>
      <w:r w:rsidR="00647B0C" w:rsidRPr="00D559F9">
        <w:rPr>
          <w:rFonts w:asciiTheme="majorBidi" w:eastAsiaTheme="minorHAnsi" w:hAnsiTheme="majorBidi" w:cstheme="majorBidi"/>
          <w:lang w:eastAsia="en-US"/>
        </w:rPr>
        <w:t>notik</w:t>
      </w:r>
      <w:r w:rsidR="00007F32">
        <w:rPr>
          <w:rFonts w:asciiTheme="majorBidi" w:eastAsiaTheme="minorHAnsi" w:hAnsiTheme="majorBidi" w:cstheme="majorBidi"/>
          <w:lang w:eastAsia="en-US"/>
        </w:rPr>
        <w:t>a</w:t>
      </w:r>
      <w:r w:rsidR="00647B0C" w:rsidRPr="00D559F9">
        <w:rPr>
          <w:rFonts w:asciiTheme="majorBidi" w:eastAsiaTheme="minorHAnsi" w:hAnsiTheme="majorBidi" w:cstheme="majorBidi"/>
          <w:lang w:eastAsia="en-US"/>
        </w:rPr>
        <w:t xml:space="preserve"> veiksmīgi</w:t>
      </w:r>
      <w:r w:rsidR="00647B0C">
        <w:rPr>
          <w:rFonts w:asciiTheme="majorBidi" w:eastAsiaTheme="minorHAnsi" w:hAnsiTheme="majorBidi" w:cstheme="majorBidi"/>
          <w:lang w:eastAsia="en-US"/>
        </w:rPr>
        <w:t>.</w:t>
      </w:r>
      <w:r w:rsidR="004203B6">
        <w:rPr>
          <w:rFonts w:asciiTheme="majorBidi" w:eastAsiaTheme="minorHAnsi" w:hAnsiTheme="majorBidi" w:cstheme="majorBidi"/>
          <w:lang w:eastAsia="en-US"/>
        </w:rPr>
        <w:t xml:space="preserve"> Šajā sakarā norādāms, ka no tiesību normām un Senāta judikatūras neizriet </w:t>
      </w:r>
      <w:r w:rsidR="006A19F4">
        <w:rPr>
          <w:rFonts w:asciiTheme="majorBidi" w:eastAsiaTheme="minorHAnsi" w:hAnsiTheme="majorBidi" w:cstheme="majorBidi"/>
          <w:lang w:eastAsia="en-US"/>
        </w:rPr>
        <w:t xml:space="preserve">kā priekšnoteikums </w:t>
      </w:r>
      <w:r w:rsidR="004203B6">
        <w:t xml:space="preserve">pievienotās vērtības nodokļa 0 procentu likmes </w:t>
      </w:r>
      <w:r w:rsidR="00DE4D89">
        <w:t>piemērošana</w:t>
      </w:r>
      <w:r w:rsidR="00CA17E0">
        <w:t>i</w:t>
      </w:r>
      <w:r w:rsidR="00DE4D89">
        <w:t xml:space="preserve"> </w:t>
      </w:r>
      <w:r w:rsidR="006A19F4">
        <w:t>tas</w:t>
      </w:r>
      <w:r w:rsidR="004203B6">
        <w:t xml:space="preserve">, ka </w:t>
      </w:r>
      <w:r w:rsidR="00BB6169">
        <w:t xml:space="preserve">preces nosūtītājam ir jāpārliecinās, ka </w:t>
      </w:r>
      <w:r w:rsidR="004203B6">
        <w:rPr>
          <w:rFonts w:asciiTheme="majorBidi" w:hAnsiTheme="majorBidi" w:cstheme="majorBidi"/>
        </w:rPr>
        <w:t>prece faktiski sasniegusi tās galamērķi</w:t>
      </w:r>
      <w:r w:rsidR="00C434F5">
        <w:rPr>
          <w:rFonts w:asciiTheme="majorBidi" w:hAnsiTheme="majorBidi" w:cstheme="majorBidi"/>
        </w:rPr>
        <w:t xml:space="preserve"> citā valstī</w:t>
      </w:r>
      <w:r w:rsidR="004203B6">
        <w:rPr>
          <w:rFonts w:asciiTheme="majorBidi" w:hAnsiTheme="majorBidi" w:cstheme="majorBidi"/>
        </w:rPr>
        <w:t xml:space="preserve">. Kā jau Senāts </w:t>
      </w:r>
      <w:r w:rsidR="006A19F4">
        <w:rPr>
          <w:rFonts w:asciiTheme="majorBidi" w:hAnsiTheme="majorBidi" w:cstheme="majorBidi"/>
        </w:rPr>
        <w:t xml:space="preserve">to </w:t>
      </w:r>
      <w:r w:rsidR="004203B6">
        <w:rPr>
          <w:rFonts w:asciiTheme="majorBidi" w:hAnsiTheme="majorBidi" w:cstheme="majorBidi"/>
        </w:rPr>
        <w:t xml:space="preserve">norādīja, </w:t>
      </w:r>
      <w:r w:rsidR="004203B6">
        <w:t>apstāk</w:t>
      </w:r>
      <w:r w:rsidR="006E5B90">
        <w:t>lis</w:t>
      </w:r>
      <w:r w:rsidR="00C813C6">
        <w:t>, kad prece nav sasniegusi piegādes galamērķi,</w:t>
      </w:r>
      <w:r w:rsidR="004203B6">
        <w:t xml:space="preserve"> var būt pamats tālākai izmeklēšanai</w:t>
      </w:r>
      <w:r w:rsidR="00BB6169">
        <w:t>, tomēr šāds apstāklis pats par sevi nav pamats atzīt, ka neizpildās nodokļa atbrīvojuma priekšnosacījumi</w:t>
      </w:r>
      <w:r w:rsidR="00144805">
        <w:t xml:space="preserve"> piegādātājam</w:t>
      </w:r>
      <w:r w:rsidR="004203B6">
        <w:t xml:space="preserve">. </w:t>
      </w:r>
      <w:r w:rsidR="00477E5C">
        <w:t xml:space="preserve">Nevar izvirzīt vispārīgu kritēriju, ka </w:t>
      </w:r>
      <w:r w:rsidR="00477E5C" w:rsidRPr="00477E5C">
        <w:t>saprātīgi sagaidām</w:t>
      </w:r>
      <w:r w:rsidR="00477E5C">
        <w:t>i</w:t>
      </w:r>
      <w:r w:rsidR="00477E5C" w:rsidRPr="00477E5C">
        <w:t xml:space="preserve"> pasākum</w:t>
      </w:r>
      <w:r w:rsidR="00477E5C">
        <w:t>i</w:t>
      </w:r>
      <w:r w:rsidR="00477E5C" w:rsidRPr="00477E5C">
        <w:t xml:space="preserve">, lai pārliecinātos, ka piegāde </w:t>
      </w:r>
      <w:r w:rsidR="00477E5C">
        <w:t xml:space="preserve">Savienības </w:t>
      </w:r>
      <w:r w:rsidR="00477E5C" w:rsidRPr="00477E5C">
        <w:t>iekšienē nav saistīta ar dalību krāpšanā</w:t>
      </w:r>
      <w:r w:rsidR="00477E5C">
        <w:t xml:space="preserve">, būtu pārliecināšanās par preces nonākšanu konkrētajā galamērķī citā dalībvalstī. Pretējā gadījumā nāktos secināt, ka nodokļa maksātājam tiek izvirzīts atšķirīgs kritērijs 0 likmes piemērošanai, nekā tas ir paredzēts tiesiskajā regulējumā attiecībā uz </w:t>
      </w:r>
      <w:r w:rsidR="0055432D">
        <w:t>piegādēm Savienības iekšienē</w:t>
      </w:r>
      <w:r w:rsidR="00477E5C">
        <w:t xml:space="preserve">. </w:t>
      </w:r>
    </w:p>
    <w:p w14:paraId="5C6D7E76" w14:textId="2B549CC7" w:rsidR="00956EC0" w:rsidRPr="00BB6169" w:rsidRDefault="0055432D" w:rsidP="0075628D">
      <w:pPr>
        <w:spacing w:line="276" w:lineRule="auto"/>
        <w:ind w:firstLine="720"/>
        <w:jc w:val="both"/>
      </w:pPr>
      <w:r>
        <w:lastRenderedPageBreak/>
        <w:t>A</w:t>
      </w:r>
      <w:r w:rsidR="004203B6">
        <w:t xml:space="preserve">pgabaltiesa </w:t>
      </w:r>
      <w:r>
        <w:t xml:space="preserve">arī </w:t>
      </w:r>
      <w:r w:rsidR="004203B6">
        <w:t>nav konstatējusi</w:t>
      </w:r>
      <w:r w:rsidR="004203B6">
        <w:rPr>
          <w:rFonts w:asciiTheme="majorBidi" w:hAnsiTheme="majorBidi" w:cstheme="majorBidi"/>
        </w:rPr>
        <w:t xml:space="preserve">, ka pieteicēja būtu iesaistīta </w:t>
      </w:r>
      <w:r w:rsidR="004203B6" w:rsidRPr="00C06312">
        <w:rPr>
          <w:rFonts w:asciiTheme="majorBidi" w:hAnsiTheme="majorBidi" w:cstheme="majorBidi"/>
        </w:rPr>
        <w:t>Pievienotās vērtības nodokļa sistēmas ļaunprātīg</w:t>
      </w:r>
      <w:r w:rsidR="004203B6">
        <w:rPr>
          <w:rFonts w:asciiTheme="majorBidi" w:hAnsiTheme="majorBidi" w:cstheme="majorBidi"/>
        </w:rPr>
        <w:t>ā</w:t>
      </w:r>
      <w:r w:rsidR="004203B6" w:rsidRPr="00C06312">
        <w:rPr>
          <w:rFonts w:asciiTheme="majorBidi" w:hAnsiTheme="majorBidi" w:cstheme="majorBidi"/>
        </w:rPr>
        <w:t xml:space="preserve"> izmantoša</w:t>
      </w:r>
      <w:r w:rsidR="004203B6">
        <w:rPr>
          <w:rFonts w:asciiTheme="majorBidi" w:hAnsiTheme="majorBidi" w:cstheme="majorBidi"/>
        </w:rPr>
        <w:t>nā</w:t>
      </w:r>
      <w:r w:rsidR="004203B6" w:rsidRPr="00C06312">
        <w:rPr>
          <w:rFonts w:asciiTheme="majorBidi" w:hAnsiTheme="majorBidi" w:cstheme="majorBidi"/>
        </w:rPr>
        <w:t xml:space="preserve"> vai krāpšan</w:t>
      </w:r>
      <w:r w:rsidR="004203B6">
        <w:rPr>
          <w:rFonts w:asciiTheme="majorBidi" w:hAnsiTheme="majorBidi" w:cstheme="majorBidi"/>
        </w:rPr>
        <w:t xml:space="preserve">ā. </w:t>
      </w:r>
    </w:p>
    <w:p w14:paraId="26D4A7AA" w14:textId="34AEAA86" w:rsidR="004203B6" w:rsidRDefault="004716C4" w:rsidP="0075628D">
      <w:pPr>
        <w:spacing w:line="276" w:lineRule="auto"/>
        <w:ind w:firstLine="720"/>
        <w:jc w:val="both"/>
        <w:rPr>
          <w:rFonts w:asciiTheme="majorBidi" w:eastAsiaTheme="minorEastAsia" w:hAnsiTheme="majorBidi" w:cstheme="majorBidi"/>
          <w:color w:val="000000" w:themeColor="text1"/>
          <w:kern w:val="24"/>
          <w:lang w:eastAsia="lv-LV"/>
        </w:rPr>
      </w:pPr>
      <w:r>
        <w:rPr>
          <w:rFonts w:asciiTheme="majorBidi" w:eastAsiaTheme="minorEastAsia" w:hAnsiTheme="majorBidi" w:cstheme="majorBidi"/>
          <w:color w:val="000000" w:themeColor="text1"/>
          <w:kern w:val="24"/>
          <w:lang w:eastAsia="lv-LV"/>
        </w:rPr>
        <w:t xml:space="preserve">Tādējādi minētās kļūdas Pievienotās vērtības nodokļa likuma </w:t>
      </w:r>
      <w:r>
        <w:t xml:space="preserve">43.panta ceturtās daļas </w:t>
      </w:r>
      <w:r>
        <w:rPr>
          <w:rFonts w:asciiTheme="majorBidi" w:eastAsiaTheme="minorEastAsia" w:hAnsiTheme="majorBidi" w:cstheme="majorBidi"/>
          <w:color w:val="000000" w:themeColor="text1"/>
          <w:kern w:val="24"/>
          <w:lang w:eastAsia="lv-LV"/>
        </w:rPr>
        <w:t>piemērošanā un faktisko apstākļu novērtējumā var būt ietekmējušas lietas rezultātu, tāpēc ir pamats pārsūdzētā sprieduma atcelšanai</w:t>
      </w:r>
      <w:r w:rsidR="00961EE1">
        <w:rPr>
          <w:rFonts w:asciiTheme="majorBidi" w:eastAsiaTheme="minorEastAsia" w:hAnsiTheme="majorBidi" w:cstheme="majorBidi"/>
          <w:color w:val="000000" w:themeColor="text1"/>
          <w:kern w:val="24"/>
          <w:lang w:eastAsia="lv-LV"/>
        </w:rPr>
        <w:t xml:space="preserve">. Turklāt nav lietderīgi </w:t>
      </w:r>
      <w:r w:rsidR="006A19F4">
        <w:rPr>
          <w:rFonts w:asciiTheme="majorBidi" w:eastAsiaTheme="minorEastAsia" w:hAnsiTheme="majorBidi" w:cstheme="majorBidi"/>
          <w:color w:val="000000" w:themeColor="text1"/>
          <w:kern w:val="24"/>
          <w:lang w:eastAsia="lv-LV"/>
        </w:rPr>
        <w:t xml:space="preserve">vēl atsevišķi </w:t>
      </w:r>
      <w:r w:rsidR="00961EE1">
        <w:rPr>
          <w:rFonts w:asciiTheme="majorBidi" w:eastAsiaTheme="minorEastAsia" w:hAnsiTheme="majorBidi" w:cstheme="majorBidi"/>
          <w:color w:val="000000" w:themeColor="text1"/>
          <w:kern w:val="24"/>
          <w:lang w:eastAsia="lv-LV"/>
        </w:rPr>
        <w:t xml:space="preserve">vērtēt tiesas secinājumus par priekšnodokļa atskaitīšanu, jo tie ietilpst vienotā </w:t>
      </w:r>
      <w:r w:rsidR="0088354D">
        <w:rPr>
          <w:rFonts w:asciiTheme="majorBidi" w:eastAsiaTheme="minorEastAsia" w:hAnsiTheme="majorBidi" w:cstheme="majorBidi"/>
          <w:color w:val="000000" w:themeColor="text1"/>
          <w:kern w:val="24"/>
          <w:lang w:eastAsia="lv-LV"/>
        </w:rPr>
        <w:t>tiesas redzējumā par darījumu norisi.</w:t>
      </w:r>
    </w:p>
    <w:p w14:paraId="31BBAE70" w14:textId="77777777" w:rsidR="00BB6169" w:rsidRDefault="00BB6169" w:rsidP="0075628D">
      <w:pPr>
        <w:autoSpaceDE w:val="0"/>
        <w:autoSpaceDN w:val="0"/>
        <w:adjustRightInd w:val="0"/>
        <w:spacing w:line="276" w:lineRule="auto"/>
        <w:ind w:firstLine="720"/>
        <w:jc w:val="both"/>
        <w:rPr>
          <w:rFonts w:asciiTheme="majorBidi" w:eastAsiaTheme="minorHAnsi" w:hAnsiTheme="majorBidi" w:cstheme="majorBidi"/>
          <w:lang w:eastAsia="en-US"/>
        </w:rPr>
      </w:pPr>
    </w:p>
    <w:p w14:paraId="2AC41AEE" w14:textId="77A263BA" w:rsidR="0055432D" w:rsidRPr="0055432D" w:rsidRDefault="0055432D" w:rsidP="0075628D">
      <w:pPr>
        <w:autoSpaceDE w:val="0"/>
        <w:autoSpaceDN w:val="0"/>
        <w:adjustRightInd w:val="0"/>
        <w:spacing w:line="276" w:lineRule="auto"/>
        <w:ind w:firstLine="720"/>
        <w:jc w:val="both"/>
        <w:rPr>
          <w:rFonts w:asciiTheme="majorBidi" w:eastAsiaTheme="minorHAnsi" w:hAnsiTheme="majorBidi" w:cstheme="majorBidi"/>
          <w:i/>
          <w:iCs/>
          <w:lang w:eastAsia="en-US"/>
        </w:rPr>
      </w:pPr>
      <w:r w:rsidRPr="0055432D">
        <w:rPr>
          <w:rFonts w:asciiTheme="majorBidi" w:eastAsiaTheme="minorHAnsi" w:hAnsiTheme="majorBidi" w:cstheme="majorBidi"/>
          <w:i/>
          <w:iCs/>
          <w:lang w:eastAsia="en-US"/>
        </w:rPr>
        <w:t>Par administratīvā akta pamatojuma maiņu</w:t>
      </w:r>
    </w:p>
    <w:p w14:paraId="73BBB574" w14:textId="5C605B12" w:rsidR="004716C4" w:rsidRDefault="004716C4" w:rsidP="0075628D">
      <w:pPr>
        <w:spacing w:line="276" w:lineRule="auto"/>
        <w:ind w:firstLine="720"/>
        <w:jc w:val="both"/>
      </w:pPr>
      <w:r>
        <w:rPr>
          <w:rFonts w:asciiTheme="majorBidi" w:hAnsiTheme="majorBidi" w:cstheme="majorBidi"/>
        </w:rPr>
        <w:t>[8]</w:t>
      </w:r>
      <w:r w:rsidR="005C6957">
        <w:rPr>
          <w:rFonts w:asciiTheme="majorBidi" w:hAnsiTheme="majorBidi" w:cstheme="majorBidi"/>
        </w:rPr>
        <w:t xml:space="preserve"> </w:t>
      </w:r>
      <w:r>
        <w:rPr>
          <w:rFonts w:asciiTheme="majorBidi" w:hAnsiTheme="majorBidi" w:cstheme="majorBidi"/>
        </w:rPr>
        <w:t xml:space="preserve">Pieteicēja kā kasācijas pamatu norādījusi arī </w:t>
      </w:r>
      <w:r>
        <w:t>Administratīvā procesa likuma 250.panta otrās daļas pārkāpumu</w:t>
      </w:r>
      <w:r w:rsidR="0029558D">
        <w:t>, jo</w:t>
      </w:r>
      <w:r w:rsidR="00CA7CDC">
        <w:t xml:space="preserve">, pieteicējas ieskatā, apgabaltiesa ir </w:t>
      </w:r>
      <w:r w:rsidR="0029558D">
        <w:t xml:space="preserve">iestājusies iestādes vietā un pieteikumu noraidījusi uz cita pamata, nekā tas </w:t>
      </w:r>
      <w:r w:rsidR="00CA7CDC">
        <w:t xml:space="preserve">norādīts </w:t>
      </w:r>
      <w:r w:rsidR="0029558D">
        <w:t>pārsūdzētajā administratīvajā aktā.</w:t>
      </w:r>
    </w:p>
    <w:p w14:paraId="6F178CEE" w14:textId="77777777" w:rsidR="00B37D1F" w:rsidRDefault="00B37D1F" w:rsidP="0075628D">
      <w:pPr>
        <w:pStyle w:val="tv213"/>
        <w:shd w:val="clear" w:color="auto" w:fill="FFFFFF"/>
        <w:spacing w:before="0" w:beforeAutospacing="0" w:after="0" w:afterAutospacing="0" w:line="276" w:lineRule="auto"/>
        <w:ind w:firstLine="720"/>
        <w:jc w:val="both"/>
        <w:rPr>
          <w:lang w:val="lv-LV"/>
        </w:rPr>
      </w:pPr>
      <w:r>
        <w:rPr>
          <w:lang w:val="lv-LV"/>
        </w:rPr>
        <w:t>Administratīvā procesa likuma 250.panta otrā daļa noteic, ka tiesa, vērtējot pārsūdzētā administratīvā akta tiesiskumu, spriedumā ņem vērā tikai to pamatojumu, ko iestāde ietvērusi administratīvajā aktā.</w:t>
      </w:r>
    </w:p>
    <w:p w14:paraId="7586786D" w14:textId="2BD8BF8C" w:rsidR="00B37D1F" w:rsidRDefault="00B37D1F" w:rsidP="0075628D">
      <w:pPr>
        <w:pStyle w:val="tv213"/>
        <w:shd w:val="clear" w:color="auto" w:fill="FFFFFF"/>
        <w:spacing w:before="0" w:beforeAutospacing="0" w:after="0" w:afterAutospacing="0" w:line="276" w:lineRule="auto"/>
        <w:ind w:firstLine="720"/>
        <w:jc w:val="both"/>
        <w:rPr>
          <w:lang w:val="lv-LV"/>
        </w:rPr>
      </w:pPr>
      <w:r>
        <w:rPr>
          <w:lang w:val="lv-LV"/>
        </w:rPr>
        <w:t xml:space="preserve">Par administratīvā akta </w:t>
      </w:r>
      <w:r w:rsidRPr="00E665A1">
        <w:rPr>
          <w:iCs/>
          <w:lang w:val="lv-LV"/>
        </w:rPr>
        <w:t xml:space="preserve">pamatojumu </w:t>
      </w:r>
      <w:r w:rsidRPr="00E665A1">
        <w:rPr>
          <w:lang w:val="lv-LV"/>
        </w:rPr>
        <w:t>minēt</w:t>
      </w:r>
      <w:r>
        <w:rPr>
          <w:lang w:val="lv-LV"/>
        </w:rPr>
        <w:t>ās</w:t>
      </w:r>
      <w:r w:rsidRPr="00E665A1">
        <w:rPr>
          <w:lang w:val="lv-LV"/>
        </w:rPr>
        <w:t xml:space="preserve"> </w:t>
      </w:r>
      <w:r>
        <w:rPr>
          <w:lang w:val="lv-LV"/>
        </w:rPr>
        <w:t xml:space="preserve">tiesību normas </w:t>
      </w:r>
      <w:r w:rsidRPr="00E665A1">
        <w:rPr>
          <w:lang w:val="lv-LV"/>
        </w:rPr>
        <w:t xml:space="preserve">izpratnē ir atzīstami </w:t>
      </w:r>
      <w:r w:rsidRPr="00E665A1">
        <w:rPr>
          <w:iCs/>
          <w:lang w:val="lv-LV"/>
        </w:rPr>
        <w:t>apstākļi</w:t>
      </w:r>
      <w:r w:rsidRPr="00E665A1">
        <w:rPr>
          <w:lang w:val="lv-LV"/>
        </w:rPr>
        <w:t xml:space="preserve">, uz kuriem </w:t>
      </w:r>
      <w:r>
        <w:rPr>
          <w:lang w:val="lv-LV"/>
        </w:rPr>
        <w:t xml:space="preserve">iestāde balstījusi administratīvā akta izdošanu (piemēram, </w:t>
      </w:r>
      <w:r>
        <w:rPr>
          <w:i/>
          <w:iCs/>
          <w:lang w:val="lv-LV"/>
        </w:rPr>
        <w:t>Senāta 2008.gada 30.jūlija sprieduma lietā Nr. SKA</w:t>
      </w:r>
      <w:r>
        <w:rPr>
          <w:i/>
          <w:iCs/>
          <w:lang w:val="lv-LV"/>
        </w:rPr>
        <w:noBreakHyphen/>
        <w:t xml:space="preserve">461/2008, </w:t>
      </w:r>
      <w:hyperlink r:id="rId14" w:history="1">
        <w:r w:rsidRPr="006B6CA0">
          <w:rPr>
            <w:rStyle w:val="Hyperlink"/>
            <w:i/>
            <w:iCs/>
            <w:lang w:val="lv-LV"/>
          </w:rPr>
          <w:t>A42552906</w:t>
        </w:r>
      </w:hyperlink>
      <w:r>
        <w:rPr>
          <w:i/>
          <w:iCs/>
          <w:lang w:val="lv-LV"/>
        </w:rPr>
        <w:t>, 11.punkts, 2012.gada 4.jūlija sprieduma lietā Nr. SKA</w:t>
      </w:r>
      <w:r>
        <w:rPr>
          <w:i/>
          <w:iCs/>
          <w:lang w:val="lv-LV"/>
        </w:rPr>
        <w:noBreakHyphen/>
        <w:t xml:space="preserve">196/2012, </w:t>
      </w:r>
      <w:hyperlink r:id="rId15" w:history="1">
        <w:r w:rsidRPr="003501FE">
          <w:rPr>
            <w:rStyle w:val="Hyperlink"/>
            <w:i/>
            <w:iCs/>
            <w:lang w:val="lv-LV"/>
          </w:rPr>
          <w:t>A43013412</w:t>
        </w:r>
      </w:hyperlink>
      <w:r>
        <w:rPr>
          <w:i/>
          <w:iCs/>
          <w:lang w:val="lv-LV"/>
        </w:rPr>
        <w:t>, 9.punkts, 2012.gada 9.novembra sprieduma lietā Nr. SKA</w:t>
      </w:r>
      <w:r>
        <w:rPr>
          <w:i/>
          <w:iCs/>
          <w:lang w:val="lv-LV"/>
        </w:rPr>
        <w:noBreakHyphen/>
        <w:t xml:space="preserve">443/2012, </w:t>
      </w:r>
      <w:hyperlink r:id="rId16" w:history="1">
        <w:r w:rsidRPr="006B6CA0">
          <w:rPr>
            <w:rStyle w:val="Hyperlink"/>
            <w:i/>
            <w:iCs/>
            <w:lang w:val="lv-LV"/>
          </w:rPr>
          <w:t>A42643408</w:t>
        </w:r>
      </w:hyperlink>
      <w:r>
        <w:rPr>
          <w:i/>
          <w:iCs/>
          <w:lang w:val="lv-LV"/>
        </w:rPr>
        <w:t>, 10.punkts</w:t>
      </w:r>
      <w:r>
        <w:rPr>
          <w:lang w:val="lv-LV"/>
        </w:rPr>
        <w:t>).</w:t>
      </w:r>
    </w:p>
    <w:p w14:paraId="0773B2A3" w14:textId="2BE9F100" w:rsidR="00756523" w:rsidRPr="00436D4B" w:rsidRDefault="00756523" w:rsidP="0075628D">
      <w:pPr>
        <w:pStyle w:val="tv213"/>
        <w:shd w:val="clear" w:color="auto" w:fill="FFFFFF"/>
        <w:spacing w:before="0" w:beforeAutospacing="0" w:after="0" w:afterAutospacing="0" w:line="276" w:lineRule="auto"/>
        <w:ind w:firstLine="720"/>
        <w:jc w:val="both"/>
        <w:rPr>
          <w:lang w:val="lv-LV"/>
        </w:rPr>
      </w:pPr>
      <w:r>
        <w:rPr>
          <w:lang w:val="lv-LV"/>
        </w:rPr>
        <w:t>Senāta judikatūrā atzīts, ka ir pieļaujama zināma administratīvā akta pamatojuma interpretācija un mazāk būtisku kļūdu izskaidrošana. Piemēram, tiesa atsevišķos gadījumos var atzīt, ka, ievērojot iestādes analizētos apstākļus, faktiski kāda norma bija piemērota, pat ja lēmumā tā nebija tieši minēta. Tomēr šāda pamatojuma interpretēšana nedrīkst ietvert pēc būtības jaunu</w:t>
      </w:r>
      <w:r w:rsidR="006A19F4">
        <w:rPr>
          <w:lang w:val="lv-LV"/>
        </w:rPr>
        <w:t>s</w:t>
      </w:r>
      <w:r>
        <w:rPr>
          <w:lang w:val="lv-LV"/>
        </w:rPr>
        <w:t xml:space="preserve"> </w:t>
      </w:r>
      <w:r w:rsidR="006A19F4">
        <w:rPr>
          <w:lang w:val="lv-LV"/>
        </w:rPr>
        <w:t>apstākļus</w:t>
      </w:r>
      <w:r>
        <w:rPr>
          <w:lang w:val="lv-LV"/>
        </w:rPr>
        <w:t>. Pretējā gadījumā tiesa būtībā uzņemtos iestādes kompetenci izdot un pamatot administratīvo aktu (</w:t>
      </w:r>
      <w:r>
        <w:rPr>
          <w:i/>
          <w:iCs/>
          <w:lang w:val="lv-LV"/>
        </w:rPr>
        <w:t>Senāta 2017.gada 21.jūnija sprieduma lietā Nr. SKA</w:t>
      </w:r>
      <w:r>
        <w:rPr>
          <w:i/>
          <w:iCs/>
          <w:lang w:val="lv-LV"/>
        </w:rPr>
        <w:noBreakHyphen/>
        <w:t xml:space="preserve">177/2017, </w:t>
      </w:r>
      <w:hyperlink r:id="rId17" w:history="1">
        <w:r w:rsidRPr="006B6CA0">
          <w:rPr>
            <w:rStyle w:val="Hyperlink"/>
            <w:i/>
            <w:iCs/>
            <w:lang w:val="lv-LV"/>
          </w:rPr>
          <w:t>A420225414</w:t>
        </w:r>
      </w:hyperlink>
      <w:r>
        <w:rPr>
          <w:i/>
          <w:iCs/>
          <w:lang w:val="lv-LV"/>
        </w:rPr>
        <w:t>, 9.punkts, 2013.gada 31.janvāra sprieduma lietā Nr. SKA</w:t>
      </w:r>
      <w:r>
        <w:rPr>
          <w:i/>
          <w:iCs/>
          <w:lang w:val="lv-LV"/>
        </w:rPr>
        <w:noBreakHyphen/>
        <w:t xml:space="preserve">67/2013, </w:t>
      </w:r>
      <w:hyperlink r:id="rId18" w:history="1">
        <w:r w:rsidRPr="006B6CA0">
          <w:rPr>
            <w:rStyle w:val="Hyperlink"/>
            <w:i/>
            <w:iCs/>
            <w:lang w:val="lv-LV"/>
          </w:rPr>
          <w:t>A42735109</w:t>
        </w:r>
      </w:hyperlink>
      <w:r>
        <w:rPr>
          <w:i/>
          <w:iCs/>
          <w:lang w:val="lv-LV"/>
        </w:rPr>
        <w:t>, 6.punkts</w:t>
      </w:r>
      <w:r>
        <w:rPr>
          <w:lang w:val="lv-LV"/>
        </w:rPr>
        <w:t>).</w:t>
      </w:r>
    </w:p>
    <w:p w14:paraId="5183A4D7" w14:textId="2E1F13B0" w:rsidR="00A14253" w:rsidRDefault="00B37D1F" w:rsidP="0075628D">
      <w:pPr>
        <w:spacing w:line="276" w:lineRule="auto"/>
        <w:ind w:firstLine="720"/>
        <w:jc w:val="both"/>
      </w:pPr>
      <w:r>
        <w:rPr>
          <w:rFonts w:asciiTheme="majorBidi" w:hAnsiTheme="majorBidi" w:cstheme="majorBidi"/>
        </w:rPr>
        <w:t xml:space="preserve">Konkrētajā gadījumā </w:t>
      </w:r>
      <w:r>
        <w:t xml:space="preserve">Valsts ieņēmumu dienests pārsūdzēto lēmumu pamatoja ar to, </w:t>
      </w:r>
      <w:r w:rsidRPr="00891F52">
        <w:t xml:space="preserve">ka preču iegāde un piegāde ir imitēta, kā arī dokumenti noformēti formāli, </w:t>
      </w:r>
      <w:r w:rsidR="006A19F4">
        <w:t xml:space="preserve">darījumos iesaistīto </w:t>
      </w:r>
      <w:r w:rsidRPr="00891F52">
        <w:t>pušu amatpersonām tieši iesaistoties.</w:t>
      </w:r>
      <w:r>
        <w:t xml:space="preserve"> Tādējādi dienests atzina pieteicējas apzinātu iesaistīšanos pievienotās vērtības nodokļa </w:t>
      </w:r>
      <w:r w:rsidR="00336679">
        <w:t>sistēmas ļaunprātīgā izmantošanā</w:t>
      </w:r>
      <w:r>
        <w:t xml:space="preserve">. </w:t>
      </w:r>
    </w:p>
    <w:p w14:paraId="1B1A0501" w14:textId="304ECCAB" w:rsidR="00C86808" w:rsidRDefault="004968A6" w:rsidP="0075628D">
      <w:pPr>
        <w:spacing w:line="276" w:lineRule="auto"/>
        <w:ind w:firstLine="720"/>
        <w:jc w:val="both"/>
      </w:pPr>
      <w:r>
        <w:rPr>
          <w:rFonts w:asciiTheme="majorBidi" w:hAnsiTheme="majorBidi" w:cstheme="majorBidi"/>
        </w:rPr>
        <w:t xml:space="preserve">Valsts ieņēmumu dienests pārsūdzētajā </w:t>
      </w:r>
      <w:r w:rsidRPr="00CA7CDC">
        <w:rPr>
          <w:rFonts w:asciiTheme="majorBidi" w:hAnsiTheme="majorBidi" w:cstheme="majorBidi"/>
        </w:rPr>
        <w:t xml:space="preserve">lēmumā </w:t>
      </w:r>
      <w:r w:rsidR="00B37D1F">
        <w:rPr>
          <w:rFonts w:asciiTheme="majorBidi" w:hAnsiTheme="majorBidi" w:cstheme="majorBidi"/>
        </w:rPr>
        <w:t xml:space="preserve">tieši norādījis, ka </w:t>
      </w:r>
      <w:r w:rsidRPr="00CA7CDC">
        <w:t>nav</w:t>
      </w:r>
      <w:r w:rsidRPr="00891F52">
        <w:t xml:space="preserve"> </w:t>
      </w:r>
      <w:r w:rsidR="00B37D1F">
        <w:t xml:space="preserve">pierādīts darījumu </w:t>
      </w:r>
      <w:r w:rsidR="006A19F4">
        <w:t>pušu</w:t>
      </w:r>
      <w:r w:rsidR="00B37D1F">
        <w:t xml:space="preserve"> paskaidrojumos norādītais fakts</w:t>
      </w:r>
      <w:r w:rsidRPr="00891F52">
        <w:t xml:space="preserve">, ka </w:t>
      </w:r>
      <w:r>
        <w:t>tā</w:t>
      </w:r>
      <w:r w:rsidR="00336679">
        <w:t>s</w:t>
      </w:r>
      <w:r>
        <w:t xml:space="preserve"> pa</w:t>
      </w:r>
      <w:r w:rsidR="00336679">
        <w:t>šas</w:t>
      </w:r>
      <w:r>
        <w:t xml:space="preserve"> </w:t>
      </w:r>
      <w:r w:rsidRPr="00891F52">
        <w:t>prece</w:t>
      </w:r>
      <w:r w:rsidR="00336679">
        <w:t>s</w:t>
      </w:r>
      <w:r w:rsidRPr="00891F52">
        <w:t xml:space="preserve"> ir tiku</w:t>
      </w:r>
      <w:r w:rsidR="00336679">
        <w:t>šas</w:t>
      </w:r>
      <w:r w:rsidRPr="00891F52">
        <w:t xml:space="preserve"> nosūtīta</w:t>
      </w:r>
      <w:r w:rsidR="00336679">
        <w:t>s</w:t>
      </w:r>
      <w:r w:rsidRPr="00891F52">
        <w:t xml:space="preserve"> atpakaļ</w:t>
      </w:r>
      <w:r w:rsidR="00BB6169">
        <w:t>.</w:t>
      </w:r>
      <w:r w:rsidRPr="00891F52">
        <w:t xml:space="preserve"> </w:t>
      </w:r>
      <w:r w:rsidR="00BB6169">
        <w:t>P</w:t>
      </w:r>
      <w:r w:rsidRPr="00891F52">
        <w:t xml:space="preserve">roti, </w:t>
      </w:r>
      <w:r>
        <w:t>dienests</w:t>
      </w:r>
      <w:r w:rsidRPr="00891F52">
        <w:t xml:space="preserve"> nesaskatīja</w:t>
      </w:r>
      <w:r>
        <w:t>, ka</w:t>
      </w:r>
      <w:r w:rsidRPr="00891F52">
        <w:t xml:space="preserve"> </w:t>
      </w:r>
      <w:r>
        <w:t>pastāvēja darījumu</w:t>
      </w:r>
      <w:r w:rsidRPr="00891F52">
        <w:t xml:space="preserve"> ķēde: </w:t>
      </w:r>
      <w:r w:rsidRPr="003A6564">
        <w:rPr>
          <w:rFonts w:asciiTheme="majorBidi" w:hAnsiTheme="majorBidi" w:cstheme="majorBidi"/>
        </w:rPr>
        <w:t>SIA „Baltic Chicken Produkts”</w:t>
      </w:r>
      <w:r>
        <w:rPr>
          <w:rFonts w:asciiTheme="majorBidi" w:hAnsiTheme="majorBidi" w:cstheme="majorBidi"/>
        </w:rPr>
        <w:t xml:space="preserve">, pieteicēja, </w:t>
      </w:r>
      <w:r w:rsidRPr="00891F52">
        <w:rPr>
          <w:i/>
          <w:iCs/>
        </w:rPr>
        <w:t>OU</w:t>
      </w:r>
      <w:r>
        <w:rPr>
          <w:i/>
          <w:iCs/>
        </w:rPr>
        <w:t> </w:t>
      </w:r>
      <w:r w:rsidRPr="00891F52">
        <w:rPr>
          <w:i/>
          <w:iCs/>
        </w:rPr>
        <w:t xml:space="preserve">PremiumSigma </w:t>
      </w:r>
      <w:r>
        <w:t xml:space="preserve">un </w:t>
      </w:r>
      <w:r w:rsidRPr="003A6564">
        <w:rPr>
          <w:rFonts w:asciiTheme="majorBidi" w:hAnsiTheme="majorBidi" w:cstheme="majorBidi"/>
        </w:rPr>
        <w:t>SIA „Baltic Chicken Produkts”</w:t>
      </w:r>
      <w:r w:rsidRPr="00891F52">
        <w:t xml:space="preserve">. </w:t>
      </w:r>
      <w:r w:rsidR="00B37D1F">
        <w:t>D</w:t>
      </w:r>
      <w:r>
        <w:t xml:space="preserve">ienests </w:t>
      </w:r>
      <w:r w:rsidRPr="00891F52">
        <w:t>norādījis, ka</w:t>
      </w:r>
      <w:r>
        <w:t xml:space="preserve"> </w:t>
      </w:r>
      <w:r w:rsidRPr="00891F52">
        <w:t>uz Igauniju (</w:t>
      </w:r>
      <w:r>
        <w:t xml:space="preserve">darījums starp pieteicēju un </w:t>
      </w:r>
      <w:r w:rsidRPr="00891F52">
        <w:rPr>
          <w:i/>
          <w:iCs/>
        </w:rPr>
        <w:t>OU</w:t>
      </w:r>
      <w:r w:rsidR="00C813C6">
        <w:rPr>
          <w:i/>
          <w:iCs/>
        </w:rPr>
        <w:t> </w:t>
      </w:r>
      <w:r w:rsidRPr="00891F52">
        <w:rPr>
          <w:i/>
          <w:iCs/>
        </w:rPr>
        <w:t>PremiumSigma</w:t>
      </w:r>
      <w:r w:rsidRPr="00891F52">
        <w:t>) atbilstoši dokumentiem ir sūtīta ātri saldēta vistas fileja, bet no Igaunijas uz Latviju (</w:t>
      </w:r>
      <w:r>
        <w:t xml:space="preserve">darījums starp </w:t>
      </w:r>
      <w:r w:rsidRPr="00891F52">
        <w:rPr>
          <w:i/>
          <w:iCs/>
        </w:rPr>
        <w:t>OU</w:t>
      </w:r>
      <w:r>
        <w:rPr>
          <w:i/>
          <w:iCs/>
        </w:rPr>
        <w:t> </w:t>
      </w:r>
      <w:r w:rsidRPr="00891F52">
        <w:rPr>
          <w:i/>
          <w:iCs/>
        </w:rPr>
        <w:t>PremiumSigma</w:t>
      </w:r>
      <w:r>
        <w:t xml:space="preserve"> un SIA ,,</w:t>
      </w:r>
      <w:r w:rsidRPr="00891F52">
        <w:t>Baltic Chicken Produkts</w:t>
      </w:r>
      <w:r>
        <w:t>”</w:t>
      </w:r>
      <w:r w:rsidRPr="00891F52">
        <w:t>)</w:t>
      </w:r>
      <w:r>
        <w:t xml:space="preserve"> svaiga vistas gaļa</w:t>
      </w:r>
      <w:r w:rsidRPr="00891F52">
        <w:t>, turklāt neviens dokuments neapliecin</w:t>
      </w:r>
      <w:r w:rsidR="00863C87">
        <w:t>ot</w:t>
      </w:r>
      <w:r w:rsidRPr="00891F52">
        <w:t xml:space="preserve">, ka </w:t>
      </w:r>
      <w:r w:rsidR="00357A87">
        <w:t>pieteicējas piegādātā</w:t>
      </w:r>
      <w:r w:rsidR="00007F32">
        <w:t>s</w:t>
      </w:r>
      <w:r w:rsidR="00357A87">
        <w:t xml:space="preserve"> </w:t>
      </w:r>
      <w:r w:rsidRPr="00891F52">
        <w:t>prece</w:t>
      </w:r>
      <w:r w:rsidR="00007F32">
        <w:t>s</w:t>
      </w:r>
      <w:r w:rsidRPr="00891F52">
        <w:t xml:space="preserve"> neatbilst specifikācijai vai t</w:t>
      </w:r>
      <w:r w:rsidR="00007F32">
        <w:t>o kvalitāte</w:t>
      </w:r>
      <w:r w:rsidRPr="00891F52">
        <w:t xml:space="preserve"> nav atbilstoša. Turklāt, ja tā būtu, tad prece</w:t>
      </w:r>
      <w:r w:rsidR="00007F32">
        <w:t>s</w:t>
      </w:r>
      <w:r w:rsidRPr="00891F52">
        <w:t xml:space="preserve"> būtu </w:t>
      </w:r>
      <w:r>
        <w:t>jā</w:t>
      </w:r>
      <w:r w:rsidRPr="00891F52">
        <w:t xml:space="preserve">atdod atpakaļ pieteicējai (piegādātājam), nevis </w:t>
      </w:r>
      <w:r>
        <w:t>SIA ,,</w:t>
      </w:r>
      <w:r w:rsidRPr="00891F52">
        <w:t>Baltic Chicken Produkts</w:t>
      </w:r>
      <w:r>
        <w:t>”</w:t>
      </w:r>
      <w:r w:rsidR="00C813C6">
        <w:t xml:space="preserve"> </w:t>
      </w:r>
      <w:r>
        <w:t>(</w:t>
      </w:r>
      <w:r w:rsidRPr="004968A6">
        <w:rPr>
          <w:i/>
          <w:iCs/>
        </w:rPr>
        <w:t>pārsūdzētā lēmuma 22.lapa, lietas 1.sējuma 34.lapa</w:t>
      </w:r>
      <w:r>
        <w:t>).</w:t>
      </w:r>
      <w:r w:rsidR="00C86808">
        <w:t xml:space="preserve">   </w:t>
      </w:r>
    </w:p>
    <w:p w14:paraId="1B88C3F5" w14:textId="730CD43C" w:rsidR="00336679" w:rsidRPr="00336679" w:rsidRDefault="00767ECA" w:rsidP="0075628D">
      <w:pPr>
        <w:spacing w:line="276" w:lineRule="auto"/>
        <w:ind w:firstLine="720"/>
        <w:jc w:val="both"/>
        <w:rPr>
          <w:rFonts w:asciiTheme="majorBidi" w:hAnsiTheme="majorBidi" w:cstheme="majorBidi"/>
        </w:rPr>
      </w:pPr>
      <w:r>
        <w:rPr>
          <w:rFonts w:asciiTheme="majorBidi" w:hAnsiTheme="majorBidi" w:cstheme="majorBidi"/>
        </w:rPr>
        <w:t>Savukārt apgabaltiesa</w:t>
      </w:r>
      <w:r w:rsidR="00C86808">
        <w:rPr>
          <w:rFonts w:asciiTheme="majorBidi" w:hAnsiTheme="majorBidi" w:cstheme="majorBidi"/>
        </w:rPr>
        <w:t xml:space="preserve"> pretēji Valsts ieņēmumu dienesta lēmumā norādītajam</w:t>
      </w:r>
      <w:r>
        <w:rPr>
          <w:rFonts w:asciiTheme="majorBidi" w:hAnsiTheme="majorBidi" w:cstheme="majorBidi"/>
        </w:rPr>
        <w:t xml:space="preserve"> atzina, ka tā</w:t>
      </w:r>
      <w:r w:rsidR="00007F32">
        <w:rPr>
          <w:rFonts w:asciiTheme="majorBidi" w:hAnsiTheme="majorBidi" w:cstheme="majorBidi"/>
        </w:rPr>
        <w:t>s</w:t>
      </w:r>
      <w:r>
        <w:rPr>
          <w:rFonts w:asciiTheme="majorBidi" w:hAnsiTheme="majorBidi" w:cstheme="majorBidi"/>
        </w:rPr>
        <w:t xml:space="preserve"> pa</w:t>
      </w:r>
      <w:r w:rsidR="00007F32">
        <w:rPr>
          <w:rFonts w:asciiTheme="majorBidi" w:hAnsiTheme="majorBidi" w:cstheme="majorBidi"/>
        </w:rPr>
        <w:t>šas</w:t>
      </w:r>
      <w:r>
        <w:rPr>
          <w:rFonts w:asciiTheme="majorBidi" w:hAnsiTheme="majorBidi" w:cstheme="majorBidi"/>
        </w:rPr>
        <w:t xml:space="preserve"> prece</w:t>
      </w:r>
      <w:r w:rsidR="00007F32">
        <w:rPr>
          <w:rFonts w:asciiTheme="majorBidi" w:hAnsiTheme="majorBidi" w:cstheme="majorBidi"/>
        </w:rPr>
        <w:t>s</w:t>
      </w:r>
      <w:r>
        <w:rPr>
          <w:i/>
          <w:iCs/>
        </w:rPr>
        <w:t xml:space="preserve"> </w:t>
      </w:r>
      <w:r>
        <w:t>īsā laika posmā nonāca atpakaļ SIA ,,</w:t>
      </w:r>
      <w:r w:rsidRPr="00891F52">
        <w:t>Baltic Chicken Produkts</w:t>
      </w:r>
      <w:r>
        <w:t xml:space="preserve">”. </w:t>
      </w:r>
      <w:r w:rsidR="00710B87">
        <w:lastRenderedPageBreak/>
        <w:t>Apgabaltiesas ieskatā</w:t>
      </w:r>
      <w:r w:rsidR="0055432D">
        <w:t>,</w:t>
      </w:r>
      <w:r>
        <w:t xml:space="preserve"> minētā darījumu ķēde tika izveidota, lai slēptu pieteicējas preču </w:t>
      </w:r>
      <w:r w:rsidR="00357A87">
        <w:t xml:space="preserve">iegādes </w:t>
      </w:r>
      <w:r w:rsidR="00C86808">
        <w:t xml:space="preserve">un piegādes </w:t>
      </w:r>
      <w:r w:rsidR="00357A87">
        <w:t>darījum</w:t>
      </w:r>
      <w:r w:rsidR="00C86808">
        <w:t>u</w:t>
      </w:r>
      <w:r w:rsidR="00357A87">
        <w:t xml:space="preserve"> </w:t>
      </w:r>
      <w:r w:rsidRPr="00767ECA">
        <w:t>anulēšanu.</w:t>
      </w:r>
      <w:r w:rsidR="00336679">
        <w:t xml:space="preserve"> Savukārt pieteicēj</w:t>
      </w:r>
      <w:r w:rsidR="00863C87">
        <w:t xml:space="preserve">as rīcību atzina par </w:t>
      </w:r>
      <w:r w:rsidR="00336679">
        <w:t>profesionālai rūpībai neatbilstošu</w:t>
      </w:r>
      <w:r w:rsidR="00DF232A">
        <w:t xml:space="preserve"> un </w:t>
      </w:r>
      <w:r w:rsidR="00863C87">
        <w:t>norādīja uz</w:t>
      </w:r>
      <w:r w:rsidR="00DF232A">
        <w:rPr>
          <w:rFonts w:asciiTheme="majorBidi" w:hAnsiTheme="majorBidi" w:cstheme="majorBidi"/>
        </w:rPr>
        <w:t xml:space="preserve"> Pievienotās vērtības nodokļa likuma 106.panta pirmajā daļa noteikto</w:t>
      </w:r>
      <w:r w:rsidR="00336679">
        <w:rPr>
          <w:rFonts w:asciiTheme="majorBidi" w:hAnsiTheme="majorBidi" w:cstheme="majorBidi"/>
        </w:rPr>
        <w:t xml:space="preserve"> pienākumu koriģēt </w:t>
      </w:r>
      <w:r w:rsidR="00336679">
        <w:t>nodokļu</w:t>
      </w:r>
      <w:r w:rsidR="00DF232A">
        <w:t xml:space="preserve"> deklarāciju</w:t>
      </w:r>
      <w:r w:rsidR="009E015B">
        <w:t>, k</w:t>
      </w:r>
      <w:r w:rsidR="0055432D">
        <w:t>o</w:t>
      </w:r>
      <w:r w:rsidR="009E015B">
        <w:t xml:space="preserve"> pieteicēja neesot ievērojusi.</w:t>
      </w:r>
    </w:p>
    <w:p w14:paraId="36BF8098" w14:textId="26CBB5B6" w:rsidR="00DF232A" w:rsidRDefault="00DF232A" w:rsidP="0075628D">
      <w:pPr>
        <w:spacing w:line="276" w:lineRule="auto"/>
        <w:ind w:firstLine="720"/>
        <w:jc w:val="both"/>
      </w:pPr>
      <w:r>
        <w:t>Līdz ar to</w:t>
      </w:r>
      <w:r w:rsidR="00756523">
        <w:t xml:space="preserve"> apgabaltiesa nav atzinusi par pareizu Valsts ieņēmumu dienesta norādīto </w:t>
      </w:r>
      <w:r w:rsidR="00A14253">
        <w:t xml:space="preserve">administratīvā akta </w:t>
      </w:r>
      <w:r w:rsidR="00756523">
        <w:t xml:space="preserve">pamatojumu. </w:t>
      </w:r>
      <w:r>
        <w:t>A</w:t>
      </w:r>
      <w:r w:rsidR="00C86808">
        <w:t>pgabaltiesas</w:t>
      </w:r>
      <w:r w:rsidR="00C86808">
        <w:rPr>
          <w:rFonts w:asciiTheme="majorBidi" w:hAnsiTheme="majorBidi" w:cstheme="majorBidi"/>
        </w:rPr>
        <w:t xml:space="preserve"> secinājumi ir balstīti uz citu tiesību normu un citiem faktiskajiem apstākļiem</w:t>
      </w:r>
      <w:r w:rsidR="00E406C6">
        <w:rPr>
          <w:rFonts w:asciiTheme="majorBidi" w:hAnsiTheme="majorBidi" w:cstheme="majorBidi"/>
        </w:rPr>
        <w:t>.</w:t>
      </w:r>
    </w:p>
    <w:p w14:paraId="4992DB9C" w14:textId="0342DA5B" w:rsidR="00756523" w:rsidRDefault="00C86808" w:rsidP="0075628D">
      <w:pPr>
        <w:spacing w:line="276" w:lineRule="auto"/>
        <w:ind w:firstLine="720"/>
        <w:jc w:val="both"/>
      </w:pPr>
      <w:r>
        <w:rPr>
          <w:rFonts w:asciiTheme="majorBidi" w:hAnsiTheme="majorBidi" w:cstheme="majorBidi"/>
        </w:rPr>
        <w:t xml:space="preserve">Šādos apstākļos </w:t>
      </w:r>
      <w:r w:rsidR="00756523">
        <w:rPr>
          <w:iCs/>
        </w:rPr>
        <w:t>Senāts atzīst par pamatotu kasācijas sūdzībā izvirzīto iebildumu, ka apgabaltiesa ir mainījusi pārsūdzētā administratīvā akta pamatojumu, tādējādi pieļaujot Administratīvā procesa likuma 250.panta otrās daļas pārkāpumu.</w:t>
      </w:r>
      <w:r w:rsidR="00756523">
        <w:rPr>
          <w:rFonts w:asciiTheme="majorBidi" w:hAnsiTheme="majorBidi" w:cstheme="majorBidi"/>
        </w:rPr>
        <w:t xml:space="preserve"> </w:t>
      </w:r>
      <w:r w:rsidR="00756523">
        <w:rPr>
          <w:iCs/>
        </w:rPr>
        <w:t xml:space="preserve">Minētais arī ir pamats </w:t>
      </w:r>
      <w:r w:rsidR="00756523">
        <w:t xml:space="preserve">pārsūdzēto </w:t>
      </w:r>
      <w:r w:rsidR="00CE21D5">
        <w:t>apgabal</w:t>
      </w:r>
      <w:r w:rsidR="00756523">
        <w:t>tiesas spriedumu atcelt un nodot lietu jaunai izskatīšanai apelācijas instances tiesā.</w:t>
      </w:r>
    </w:p>
    <w:p w14:paraId="5A806C09" w14:textId="77777777" w:rsidR="00A650C7" w:rsidRDefault="00A650C7" w:rsidP="0075628D">
      <w:pPr>
        <w:spacing w:line="276" w:lineRule="auto"/>
        <w:ind w:firstLine="720"/>
        <w:jc w:val="both"/>
      </w:pPr>
    </w:p>
    <w:p w14:paraId="010E0C4D" w14:textId="57705F07" w:rsidR="00A650C7" w:rsidRPr="006E5B90" w:rsidRDefault="00A650C7" w:rsidP="0075628D">
      <w:pPr>
        <w:spacing w:line="276" w:lineRule="auto"/>
        <w:ind w:firstLine="720"/>
        <w:jc w:val="both"/>
      </w:pPr>
      <w:r>
        <w:t>[</w:t>
      </w:r>
      <w:r w:rsidR="0023460A">
        <w:t>9</w:t>
      </w:r>
      <w:r>
        <w:t xml:space="preserve">] Ievērojot, ka spriedums atceļams sakarā ar administratīvā akta pamatojuma maiņu, nav lietderīgi vērtēt apstākļus par to, vai procesa dalībniekiem bija iespēja </w:t>
      </w:r>
      <w:r w:rsidR="0023460A">
        <w:t xml:space="preserve">par šo jauno pamatojumu </w:t>
      </w:r>
      <w:r>
        <w:t>izteikties.</w:t>
      </w:r>
    </w:p>
    <w:p w14:paraId="5F7D9A3C" w14:textId="5BD47B65" w:rsidR="005718E1" w:rsidRDefault="005718E1" w:rsidP="0075628D">
      <w:pPr>
        <w:spacing w:line="276" w:lineRule="auto"/>
        <w:ind w:firstLine="720"/>
        <w:jc w:val="both"/>
      </w:pPr>
    </w:p>
    <w:p w14:paraId="7FCC96E4" w14:textId="1789C61E" w:rsidR="0055432D" w:rsidRPr="0055432D" w:rsidRDefault="0055432D" w:rsidP="0075628D">
      <w:pPr>
        <w:spacing w:line="276" w:lineRule="auto"/>
        <w:ind w:firstLine="720"/>
        <w:jc w:val="both"/>
        <w:rPr>
          <w:i/>
          <w:iCs/>
        </w:rPr>
      </w:pPr>
      <w:r w:rsidRPr="0055432D">
        <w:rPr>
          <w:i/>
          <w:iCs/>
        </w:rPr>
        <w:t>Kopsavilkums</w:t>
      </w:r>
    </w:p>
    <w:p w14:paraId="07AFCE32" w14:textId="44343940" w:rsidR="00B9022E" w:rsidRPr="009F69F9" w:rsidRDefault="00C40453" w:rsidP="0075628D">
      <w:pPr>
        <w:spacing w:line="276" w:lineRule="auto"/>
        <w:ind w:firstLine="720"/>
        <w:jc w:val="both"/>
      </w:pPr>
      <w:r>
        <w:t>[</w:t>
      </w:r>
      <w:r w:rsidR="0023460A">
        <w:t>10</w:t>
      </w:r>
      <w:r>
        <w:t>]</w:t>
      </w:r>
      <w:r w:rsidR="005C6957">
        <w:t xml:space="preserve"> </w:t>
      </w:r>
      <w:r w:rsidR="0055432D">
        <w:t xml:space="preserve">Ņemot vērā iepriekš minēto, secināms, ka apgabaltiesa pieteikumu noraidījusi, nepieļaujami balstoties uz </w:t>
      </w:r>
      <w:r w:rsidR="00A650C7">
        <w:t xml:space="preserve">tādiem faktiskajiem un tiesiskajiem apstākļiem, ar kuriem nebija pamatots pārsūdzētais administratīvais akts, </w:t>
      </w:r>
      <w:r w:rsidR="0055432D">
        <w:t xml:space="preserve">kā arī nepareizi interpretējusi un piemērojusi Pievienotās vērtības nodokļa likuma </w:t>
      </w:r>
      <w:r w:rsidR="00A650C7" w:rsidRPr="00A650C7">
        <w:t>43.panta ceturt</w:t>
      </w:r>
      <w:r w:rsidR="00A650C7">
        <w:t>o</w:t>
      </w:r>
      <w:r w:rsidR="00A650C7" w:rsidRPr="00A650C7">
        <w:t xml:space="preserve"> daļ</w:t>
      </w:r>
      <w:r w:rsidR="00A650C7">
        <w:t>u par tiesībām piemērot 0 procentu likmi piegādēm Savienības iekšienē. Tādēļ spriedums ir atceļams un lieta nosūtāma jaunai izskatīšanai Administratīvajai apgabaltiesai.</w:t>
      </w:r>
    </w:p>
    <w:p w14:paraId="122AAB9A" w14:textId="77777777" w:rsidR="00C40453" w:rsidRPr="00891F52" w:rsidRDefault="00C40453" w:rsidP="0075628D">
      <w:pPr>
        <w:spacing w:line="276" w:lineRule="auto"/>
        <w:ind w:firstLine="720"/>
        <w:jc w:val="both"/>
      </w:pPr>
    </w:p>
    <w:p w14:paraId="46830BC2" w14:textId="77777777" w:rsidR="00974E53" w:rsidRPr="00EC00F0" w:rsidRDefault="00974E53" w:rsidP="0075628D">
      <w:pPr>
        <w:spacing w:line="276" w:lineRule="auto"/>
        <w:contextualSpacing/>
        <w:jc w:val="center"/>
        <w:rPr>
          <w:b/>
        </w:rPr>
      </w:pPr>
      <w:r w:rsidRPr="00EC00F0">
        <w:rPr>
          <w:b/>
        </w:rPr>
        <w:t>Rezolutīvā daļa</w:t>
      </w:r>
    </w:p>
    <w:p w14:paraId="4EEFE9E9" w14:textId="77777777" w:rsidR="00206E28" w:rsidRDefault="00206E28" w:rsidP="0075628D">
      <w:pPr>
        <w:pStyle w:val="Title"/>
        <w:spacing w:line="276" w:lineRule="auto"/>
        <w:ind w:firstLine="720"/>
        <w:jc w:val="both"/>
        <w:rPr>
          <w:sz w:val="24"/>
          <w:szCs w:val="24"/>
        </w:rPr>
      </w:pPr>
    </w:p>
    <w:p w14:paraId="7F504E52" w14:textId="77777777" w:rsidR="00907691" w:rsidRPr="007448E3" w:rsidRDefault="00907691" w:rsidP="0075628D">
      <w:pPr>
        <w:spacing w:line="276" w:lineRule="auto"/>
        <w:ind w:firstLine="720"/>
        <w:jc w:val="both"/>
      </w:pPr>
      <w:r w:rsidRPr="007448E3">
        <w:t xml:space="preserve">Pamatojoties uz </w:t>
      </w:r>
      <w:r w:rsidRPr="007448E3">
        <w:rPr>
          <w:rFonts w:eastAsiaTheme="minorHAnsi"/>
          <w:lang w:eastAsia="en-US"/>
        </w:rPr>
        <w:t xml:space="preserve">Administratīvā procesa likuma </w:t>
      </w:r>
      <w:r w:rsidRPr="007448E3">
        <w:t>129.</w:t>
      </w:r>
      <w:r w:rsidRPr="007448E3">
        <w:rPr>
          <w:vertAlign w:val="superscript"/>
        </w:rPr>
        <w:t>1</w:t>
      </w:r>
      <w:r w:rsidRPr="007448E3">
        <w:t>panta pirmās daļas 1.punktu, 348.panta pirmās daļas 2.punktu un 351.pantu, Senāts</w:t>
      </w:r>
    </w:p>
    <w:p w14:paraId="178388A6" w14:textId="77777777" w:rsidR="00A14253" w:rsidRDefault="00A14253" w:rsidP="0075628D">
      <w:pPr>
        <w:pStyle w:val="Title"/>
        <w:spacing w:line="276" w:lineRule="auto"/>
        <w:ind w:firstLine="720"/>
        <w:jc w:val="both"/>
        <w:rPr>
          <w:sz w:val="24"/>
          <w:szCs w:val="24"/>
        </w:rPr>
      </w:pPr>
    </w:p>
    <w:p w14:paraId="53C5D34C" w14:textId="71E43674" w:rsidR="00974E53" w:rsidRDefault="00944CB2" w:rsidP="0075628D">
      <w:pPr>
        <w:spacing w:line="276" w:lineRule="auto"/>
        <w:contextualSpacing/>
        <w:jc w:val="center"/>
        <w:rPr>
          <w:b/>
        </w:rPr>
      </w:pPr>
      <w:r>
        <w:rPr>
          <w:b/>
        </w:rPr>
        <w:t>n</w:t>
      </w:r>
      <w:r w:rsidR="00974E53" w:rsidRPr="00EC00F0">
        <w:rPr>
          <w:b/>
        </w:rPr>
        <w:t>osprieda</w:t>
      </w:r>
    </w:p>
    <w:p w14:paraId="22D6CF5B" w14:textId="77777777" w:rsidR="00D7646C" w:rsidRPr="00EC00F0" w:rsidRDefault="00D7646C" w:rsidP="0075628D">
      <w:pPr>
        <w:spacing w:line="276" w:lineRule="auto"/>
        <w:ind w:firstLine="720"/>
        <w:jc w:val="center"/>
        <w:rPr>
          <w:b/>
        </w:rPr>
      </w:pPr>
    </w:p>
    <w:p w14:paraId="2D048BB2" w14:textId="15B72BEC" w:rsidR="00907691" w:rsidRDefault="00907691" w:rsidP="0075628D">
      <w:pPr>
        <w:tabs>
          <w:tab w:val="left" w:pos="2700"/>
          <w:tab w:val="left" w:pos="6660"/>
        </w:tabs>
        <w:spacing w:line="276" w:lineRule="auto"/>
        <w:ind w:firstLine="720"/>
        <w:jc w:val="both"/>
        <w:rPr>
          <w:lang w:eastAsia="en-US"/>
        </w:rPr>
      </w:pPr>
      <w:r w:rsidRPr="00B75BCD">
        <w:t xml:space="preserve">atcelt Administratīvās apgabaltiesas 2021.gada 20.janvāra spriedumu </w:t>
      </w:r>
      <w:r w:rsidRPr="00B75BCD">
        <w:rPr>
          <w:lang w:eastAsia="en-US"/>
        </w:rPr>
        <w:t>un nosūtīt lietu jaunai izskatīšanai Administratīvajai apgabaltiesai;</w:t>
      </w:r>
    </w:p>
    <w:p w14:paraId="0FF594E7" w14:textId="53CE3E91" w:rsidR="00B75BCD" w:rsidRPr="00B75BCD" w:rsidRDefault="00B75BCD" w:rsidP="0075628D">
      <w:pPr>
        <w:tabs>
          <w:tab w:val="left" w:pos="2700"/>
          <w:tab w:val="left" w:pos="6660"/>
        </w:tabs>
        <w:spacing w:line="276" w:lineRule="auto"/>
        <w:ind w:firstLine="720"/>
        <w:jc w:val="both"/>
        <w:rPr>
          <w:lang w:eastAsia="en-US"/>
        </w:rPr>
      </w:pPr>
      <w:r w:rsidRPr="00B75BCD">
        <w:rPr>
          <w:lang w:eastAsia="en-US"/>
        </w:rPr>
        <w:t xml:space="preserve">atmaksāt </w:t>
      </w:r>
      <w:r w:rsidR="0075628D">
        <w:rPr>
          <w:lang w:eastAsia="en-US"/>
        </w:rPr>
        <w:t xml:space="preserve">[pers. A] </w:t>
      </w:r>
      <w:r w:rsidRPr="00B75BCD">
        <w:rPr>
          <w:lang w:eastAsia="en-US"/>
        </w:rPr>
        <w:t>par SIA „MĀRVISTA” kasācijas sūdzību samaksāto drošības naudu 70 </w:t>
      </w:r>
      <w:r w:rsidRPr="00B75BCD">
        <w:rPr>
          <w:i/>
          <w:iCs/>
          <w:lang w:eastAsia="en-US"/>
        </w:rPr>
        <w:t>euro</w:t>
      </w:r>
      <w:r w:rsidRPr="00B75BCD">
        <w:rPr>
          <w:lang w:eastAsia="en-US"/>
        </w:rPr>
        <w:t xml:space="preserve">. </w:t>
      </w:r>
    </w:p>
    <w:p w14:paraId="4B24AF4B" w14:textId="77777777" w:rsidR="00B75BCD" w:rsidRDefault="00B75BCD" w:rsidP="0075628D">
      <w:pPr>
        <w:tabs>
          <w:tab w:val="left" w:pos="2700"/>
          <w:tab w:val="left" w:pos="6660"/>
        </w:tabs>
        <w:spacing w:line="276" w:lineRule="auto"/>
        <w:ind w:firstLine="720"/>
        <w:jc w:val="both"/>
        <w:rPr>
          <w:lang w:eastAsia="en-US"/>
        </w:rPr>
      </w:pPr>
    </w:p>
    <w:p w14:paraId="3C7C073A" w14:textId="5282E81D" w:rsidR="00B75BCD" w:rsidRDefault="00B75BCD" w:rsidP="0075628D">
      <w:pPr>
        <w:tabs>
          <w:tab w:val="left" w:pos="2700"/>
          <w:tab w:val="left" w:pos="6660"/>
        </w:tabs>
        <w:spacing w:line="276" w:lineRule="auto"/>
        <w:ind w:firstLine="720"/>
        <w:jc w:val="both"/>
        <w:rPr>
          <w:lang w:eastAsia="en-US"/>
        </w:rPr>
      </w:pPr>
      <w:r>
        <w:rPr>
          <w:lang w:eastAsia="en-US"/>
        </w:rPr>
        <w:t>Spriedums nav pārsūdzams.</w:t>
      </w:r>
    </w:p>
    <w:p w14:paraId="7F7D23DB" w14:textId="7ED57B0C" w:rsidR="00E34077" w:rsidRDefault="00E34077" w:rsidP="00907691">
      <w:pPr>
        <w:tabs>
          <w:tab w:val="center" w:pos="1701"/>
          <w:tab w:val="center" w:pos="4536"/>
          <w:tab w:val="center" w:pos="7371"/>
        </w:tabs>
        <w:spacing w:line="276" w:lineRule="auto"/>
        <w:ind w:firstLine="720"/>
        <w:jc w:val="both"/>
      </w:pPr>
    </w:p>
    <w:p w14:paraId="038BC9EA" w14:textId="77777777" w:rsidR="00B75BCD" w:rsidRDefault="00B75BCD" w:rsidP="00907691">
      <w:pPr>
        <w:tabs>
          <w:tab w:val="center" w:pos="1701"/>
          <w:tab w:val="center" w:pos="4536"/>
          <w:tab w:val="center" w:pos="7371"/>
        </w:tabs>
        <w:spacing w:line="276" w:lineRule="auto"/>
        <w:ind w:firstLine="720"/>
        <w:jc w:val="both"/>
      </w:pPr>
    </w:p>
    <w:p w14:paraId="04759133" w14:textId="77777777" w:rsidR="00B75BCD" w:rsidRDefault="00B75BCD" w:rsidP="00907691">
      <w:pPr>
        <w:tabs>
          <w:tab w:val="center" w:pos="1701"/>
          <w:tab w:val="center" w:pos="4536"/>
          <w:tab w:val="center" w:pos="7371"/>
        </w:tabs>
        <w:spacing w:line="276" w:lineRule="auto"/>
        <w:ind w:firstLine="720"/>
        <w:jc w:val="both"/>
      </w:pPr>
    </w:p>
    <w:p w14:paraId="3E2F3C3E" w14:textId="77777777" w:rsidR="00907691" w:rsidRPr="00EC00F0" w:rsidRDefault="00907691" w:rsidP="00907691">
      <w:pPr>
        <w:tabs>
          <w:tab w:val="center" w:pos="1701"/>
          <w:tab w:val="center" w:pos="4536"/>
          <w:tab w:val="center" w:pos="7371"/>
        </w:tabs>
        <w:spacing w:line="276" w:lineRule="auto"/>
        <w:ind w:firstLine="720"/>
        <w:jc w:val="both"/>
      </w:pPr>
    </w:p>
    <w:p w14:paraId="5EDE6A2D" w14:textId="77777777" w:rsidR="00E34077" w:rsidRPr="00EC00F0" w:rsidRDefault="00E34077" w:rsidP="00193336">
      <w:pPr>
        <w:tabs>
          <w:tab w:val="center" w:pos="1701"/>
          <w:tab w:val="center" w:pos="4536"/>
          <w:tab w:val="center" w:pos="7371"/>
        </w:tabs>
        <w:spacing w:line="276" w:lineRule="auto"/>
        <w:contextualSpacing/>
        <w:jc w:val="both"/>
      </w:pPr>
    </w:p>
    <w:sectPr w:rsidR="00E34077" w:rsidRPr="00EC00F0" w:rsidSect="00795839">
      <w:footerReference w:type="default" r:id="rId1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0E1F8" w14:textId="77777777" w:rsidR="00E20D68" w:rsidRDefault="00E20D68" w:rsidP="00F005AF">
      <w:r>
        <w:separator/>
      </w:r>
    </w:p>
  </w:endnote>
  <w:endnote w:type="continuationSeparator" w:id="0">
    <w:p w14:paraId="64450544" w14:textId="77777777" w:rsidR="00E20D68" w:rsidRDefault="00E20D68"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rPr>
        <w:sz w:val="20"/>
        <w:szCs w:val="20"/>
      </w:rPr>
    </w:sdtEndPr>
    <w:sdtContent>
      <w:sdt>
        <w:sdtPr>
          <w:id w:val="474336589"/>
          <w:docPartObj>
            <w:docPartGallery w:val="Page Numbers (Top of Page)"/>
            <w:docPartUnique/>
          </w:docPartObj>
        </w:sdtPr>
        <w:sdtEndPr>
          <w:rPr>
            <w:sz w:val="20"/>
            <w:szCs w:val="20"/>
          </w:rPr>
        </w:sdtEndPr>
        <w:sdtContent>
          <w:p w14:paraId="31D556EC" w14:textId="038ECCD1" w:rsidR="00F005AF" w:rsidRPr="00795839" w:rsidRDefault="00F005AF" w:rsidP="00795839">
            <w:pPr>
              <w:pStyle w:val="Footer"/>
              <w:jc w:val="center"/>
              <w:rPr>
                <w:sz w:val="20"/>
                <w:szCs w:val="20"/>
              </w:rPr>
            </w:pPr>
            <w:r w:rsidRPr="00795839">
              <w:rPr>
                <w:bCs/>
                <w:sz w:val="20"/>
                <w:szCs w:val="20"/>
              </w:rPr>
              <w:fldChar w:fldCharType="begin"/>
            </w:r>
            <w:r w:rsidRPr="00795839">
              <w:rPr>
                <w:bCs/>
                <w:sz w:val="20"/>
                <w:szCs w:val="20"/>
              </w:rPr>
              <w:instrText xml:space="preserve"> PAGE </w:instrText>
            </w:r>
            <w:r w:rsidRPr="00795839">
              <w:rPr>
                <w:bCs/>
                <w:sz w:val="20"/>
                <w:szCs w:val="20"/>
              </w:rPr>
              <w:fldChar w:fldCharType="separate"/>
            </w:r>
            <w:r w:rsidR="00BE34E6">
              <w:rPr>
                <w:bCs/>
                <w:noProof/>
                <w:sz w:val="20"/>
                <w:szCs w:val="20"/>
              </w:rPr>
              <w:t>8</w:t>
            </w:r>
            <w:r w:rsidRPr="00795839">
              <w:rPr>
                <w:bCs/>
                <w:sz w:val="20"/>
                <w:szCs w:val="20"/>
              </w:rPr>
              <w:fldChar w:fldCharType="end"/>
            </w:r>
            <w:r w:rsidRPr="00795839">
              <w:rPr>
                <w:sz w:val="20"/>
                <w:szCs w:val="20"/>
              </w:rPr>
              <w:t xml:space="preserve"> no </w:t>
            </w:r>
            <w:r w:rsidRPr="00795839">
              <w:rPr>
                <w:bCs/>
                <w:sz w:val="20"/>
                <w:szCs w:val="20"/>
              </w:rPr>
              <w:fldChar w:fldCharType="begin"/>
            </w:r>
            <w:r w:rsidRPr="00795839">
              <w:rPr>
                <w:bCs/>
                <w:sz w:val="20"/>
                <w:szCs w:val="20"/>
              </w:rPr>
              <w:instrText xml:space="preserve"> NUMPAGES  </w:instrText>
            </w:r>
            <w:r w:rsidRPr="00795839">
              <w:rPr>
                <w:bCs/>
                <w:sz w:val="20"/>
                <w:szCs w:val="20"/>
              </w:rPr>
              <w:fldChar w:fldCharType="separate"/>
            </w:r>
            <w:r w:rsidR="00BE34E6">
              <w:rPr>
                <w:bCs/>
                <w:noProof/>
                <w:sz w:val="20"/>
                <w:szCs w:val="20"/>
              </w:rPr>
              <w:t>8</w:t>
            </w:r>
            <w:r w:rsidRPr="00795839">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02EE3" w14:textId="77777777" w:rsidR="00E20D68" w:rsidRDefault="00E20D68" w:rsidP="00F005AF">
      <w:r>
        <w:separator/>
      </w:r>
    </w:p>
  </w:footnote>
  <w:footnote w:type="continuationSeparator" w:id="0">
    <w:p w14:paraId="0F1FE151" w14:textId="77777777" w:rsidR="00E20D68" w:rsidRDefault="00E20D68"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E09"/>
    <w:rsid w:val="00003C97"/>
    <w:rsid w:val="0000468D"/>
    <w:rsid w:val="00005AA6"/>
    <w:rsid w:val="00007F32"/>
    <w:rsid w:val="00012FF6"/>
    <w:rsid w:val="000139D8"/>
    <w:rsid w:val="000145D4"/>
    <w:rsid w:val="0001481D"/>
    <w:rsid w:val="0001547F"/>
    <w:rsid w:val="0002182C"/>
    <w:rsid w:val="000252AD"/>
    <w:rsid w:val="0002689C"/>
    <w:rsid w:val="00027B8C"/>
    <w:rsid w:val="00032089"/>
    <w:rsid w:val="000325CD"/>
    <w:rsid w:val="0004076B"/>
    <w:rsid w:val="00041347"/>
    <w:rsid w:val="00046976"/>
    <w:rsid w:val="000469E8"/>
    <w:rsid w:val="00047B0D"/>
    <w:rsid w:val="000508B2"/>
    <w:rsid w:val="0005168D"/>
    <w:rsid w:val="00054BCD"/>
    <w:rsid w:val="000555EE"/>
    <w:rsid w:val="00055771"/>
    <w:rsid w:val="00055B04"/>
    <w:rsid w:val="00055E64"/>
    <w:rsid w:val="00057A6B"/>
    <w:rsid w:val="00061BB1"/>
    <w:rsid w:val="00063E57"/>
    <w:rsid w:val="00065FAA"/>
    <w:rsid w:val="0007243B"/>
    <w:rsid w:val="00072BDC"/>
    <w:rsid w:val="00072E75"/>
    <w:rsid w:val="00073811"/>
    <w:rsid w:val="00075846"/>
    <w:rsid w:val="00081CD0"/>
    <w:rsid w:val="00082553"/>
    <w:rsid w:val="00083FFD"/>
    <w:rsid w:val="0008583E"/>
    <w:rsid w:val="00085D29"/>
    <w:rsid w:val="0008753F"/>
    <w:rsid w:val="00087BA9"/>
    <w:rsid w:val="0009244F"/>
    <w:rsid w:val="00094700"/>
    <w:rsid w:val="0009691F"/>
    <w:rsid w:val="00096E73"/>
    <w:rsid w:val="000A0B4B"/>
    <w:rsid w:val="000A4B6F"/>
    <w:rsid w:val="000A4B77"/>
    <w:rsid w:val="000A6741"/>
    <w:rsid w:val="000A785A"/>
    <w:rsid w:val="000A7AFB"/>
    <w:rsid w:val="000B1457"/>
    <w:rsid w:val="000C23D8"/>
    <w:rsid w:val="000C3889"/>
    <w:rsid w:val="000C4544"/>
    <w:rsid w:val="000C60CC"/>
    <w:rsid w:val="000D27C9"/>
    <w:rsid w:val="000D46EE"/>
    <w:rsid w:val="000D5F0C"/>
    <w:rsid w:val="000D6D04"/>
    <w:rsid w:val="000D70A9"/>
    <w:rsid w:val="000E3EFD"/>
    <w:rsid w:val="000E5B95"/>
    <w:rsid w:val="000F42C6"/>
    <w:rsid w:val="000F4C17"/>
    <w:rsid w:val="001002EC"/>
    <w:rsid w:val="00100D6A"/>
    <w:rsid w:val="001023F3"/>
    <w:rsid w:val="00105AB7"/>
    <w:rsid w:val="001064D6"/>
    <w:rsid w:val="00110F5F"/>
    <w:rsid w:val="00111B55"/>
    <w:rsid w:val="00113AFC"/>
    <w:rsid w:val="00114B3A"/>
    <w:rsid w:val="00114CC4"/>
    <w:rsid w:val="00121DA4"/>
    <w:rsid w:val="00123E35"/>
    <w:rsid w:val="00126FDF"/>
    <w:rsid w:val="00130158"/>
    <w:rsid w:val="001317CF"/>
    <w:rsid w:val="0013233E"/>
    <w:rsid w:val="0013465D"/>
    <w:rsid w:val="00134D67"/>
    <w:rsid w:val="00135652"/>
    <w:rsid w:val="00135DF9"/>
    <w:rsid w:val="001360A2"/>
    <w:rsid w:val="00141B34"/>
    <w:rsid w:val="00144805"/>
    <w:rsid w:val="00150338"/>
    <w:rsid w:val="00150CFF"/>
    <w:rsid w:val="001569D4"/>
    <w:rsid w:val="00156D44"/>
    <w:rsid w:val="00162007"/>
    <w:rsid w:val="00162213"/>
    <w:rsid w:val="00166312"/>
    <w:rsid w:val="001709E5"/>
    <w:rsid w:val="00174DF5"/>
    <w:rsid w:val="00174EE1"/>
    <w:rsid w:val="00181366"/>
    <w:rsid w:val="00182DD6"/>
    <w:rsid w:val="00183AD6"/>
    <w:rsid w:val="00184C46"/>
    <w:rsid w:val="00185CE5"/>
    <w:rsid w:val="001866B1"/>
    <w:rsid w:val="00186D74"/>
    <w:rsid w:val="00193336"/>
    <w:rsid w:val="00197126"/>
    <w:rsid w:val="001A085D"/>
    <w:rsid w:val="001A385A"/>
    <w:rsid w:val="001A587C"/>
    <w:rsid w:val="001B2335"/>
    <w:rsid w:val="001B7A9B"/>
    <w:rsid w:val="001B7FDB"/>
    <w:rsid w:val="001C2FF9"/>
    <w:rsid w:val="001D1194"/>
    <w:rsid w:val="001D1AC7"/>
    <w:rsid w:val="001D43F0"/>
    <w:rsid w:val="001D4757"/>
    <w:rsid w:val="001D553D"/>
    <w:rsid w:val="001D58B0"/>
    <w:rsid w:val="001D68F1"/>
    <w:rsid w:val="001D7016"/>
    <w:rsid w:val="001E2A98"/>
    <w:rsid w:val="001E6D85"/>
    <w:rsid w:val="001F22A8"/>
    <w:rsid w:val="001F3C17"/>
    <w:rsid w:val="001F3DFE"/>
    <w:rsid w:val="001F4E54"/>
    <w:rsid w:val="001F6887"/>
    <w:rsid w:val="001F7983"/>
    <w:rsid w:val="002003C7"/>
    <w:rsid w:val="00203EB3"/>
    <w:rsid w:val="00206E28"/>
    <w:rsid w:val="0021560F"/>
    <w:rsid w:val="0022214C"/>
    <w:rsid w:val="00231310"/>
    <w:rsid w:val="002318D8"/>
    <w:rsid w:val="00231C5A"/>
    <w:rsid w:val="00232C00"/>
    <w:rsid w:val="00233753"/>
    <w:rsid w:val="00233A9E"/>
    <w:rsid w:val="0023460A"/>
    <w:rsid w:val="002355E7"/>
    <w:rsid w:val="002401A5"/>
    <w:rsid w:val="002415C7"/>
    <w:rsid w:val="0024176E"/>
    <w:rsid w:val="0024218E"/>
    <w:rsid w:val="00245915"/>
    <w:rsid w:val="0024664F"/>
    <w:rsid w:val="0025186D"/>
    <w:rsid w:val="00255E35"/>
    <w:rsid w:val="00261F16"/>
    <w:rsid w:val="002638FC"/>
    <w:rsid w:val="00264420"/>
    <w:rsid w:val="0026562D"/>
    <w:rsid w:val="00265750"/>
    <w:rsid w:val="002662EE"/>
    <w:rsid w:val="00267CE2"/>
    <w:rsid w:val="00270C44"/>
    <w:rsid w:val="00272A27"/>
    <w:rsid w:val="00274AF3"/>
    <w:rsid w:val="00276F49"/>
    <w:rsid w:val="00281C46"/>
    <w:rsid w:val="00282339"/>
    <w:rsid w:val="00286638"/>
    <w:rsid w:val="00287096"/>
    <w:rsid w:val="0028788C"/>
    <w:rsid w:val="002905CD"/>
    <w:rsid w:val="0029072A"/>
    <w:rsid w:val="002947CA"/>
    <w:rsid w:val="00294959"/>
    <w:rsid w:val="0029558D"/>
    <w:rsid w:val="00297328"/>
    <w:rsid w:val="002A1B2F"/>
    <w:rsid w:val="002A2405"/>
    <w:rsid w:val="002A57F2"/>
    <w:rsid w:val="002A7A91"/>
    <w:rsid w:val="002B0ABE"/>
    <w:rsid w:val="002B1F49"/>
    <w:rsid w:val="002B2F7B"/>
    <w:rsid w:val="002B69A0"/>
    <w:rsid w:val="002B6F03"/>
    <w:rsid w:val="002C27EA"/>
    <w:rsid w:val="002C2AE3"/>
    <w:rsid w:val="002C3088"/>
    <w:rsid w:val="002C357E"/>
    <w:rsid w:val="002C3BBB"/>
    <w:rsid w:val="002C5DD3"/>
    <w:rsid w:val="002C6F0B"/>
    <w:rsid w:val="002D0E86"/>
    <w:rsid w:val="002D16F8"/>
    <w:rsid w:val="002D26F5"/>
    <w:rsid w:val="002D276F"/>
    <w:rsid w:val="002D3593"/>
    <w:rsid w:val="002D3D30"/>
    <w:rsid w:val="002D5308"/>
    <w:rsid w:val="002D5A60"/>
    <w:rsid w:val="002D7377"/>
    <w:rsid w:val="002E0C7B"/>
    <w:rsid w:val="002E21D9"/>
    <w:rsid w:val="002E342E"/>
    <w:rsid w:val="002E34AC"/>
    <w:rsid w:val="002E3713"/>
    <w:rsid w:val="002E4CC2"/>
    <w:rsid w:val="002E59F1"/>
    <w:rsid w:val="002E67A0"/>
    <w:rsid w:val="002F0082"/>
    <w:rsid w:val="002F75AD"/>
    <w:rsid w:val="002F7739"/>
    <w:rsid w:val="00302C0F"/>
    <w:rsid w:val="00302F32"/>
    <w:rsid w:val="0030391B"/>
    <w:rsid w:val="00304B5A"/>
    <w:rsid w:val="00305275"/>
    <w:rsid w:val="00306623"/>
    <w:rsid w:val="00306AFE"/>
    <w:rsid w:val="00306D90"/>
    <w:rsid w:val="0030781A"/>
    <w:rsid w:val="0031019D"/>
    <w:rsid w:val="00316E37"/>
    <w:rsid w:val="00316F91"/>
    <w:rsid w:val="00320A94"/>
    <w:rsid w:val="00320E9C"/>
    <w:rsid w:val="003211C6"/>
    <w:rsid w:val="00321F9E"/>
    <w:rsid w:val="0032362C"/>
    <w:rsid w:val="00325595"/>
    <w:rsid w:val="003264B2"/>
    <w:rsid w:val="00326B9F"/>
    <w:rsid w:val="00327011"/>
    <w:rsid w:val="00332133"/>
    <w:rsid w:val="00336679"/>
    <w:rsid w:val="003405D2"/>
    <w:rsid w:val="00341CAC"/>
    <w:rsid w:val="003424A5"/>
    <w:rsid w:val="003424EC"/>
    <w:rsid w:val="003451A4"/>
    <w:rsid w:val="00345F82"/>
    <w:rsid w:val="0034615E"/>
    <w:rsid w:val="00347158"/>
    <w:rsid w:val="00347C6A"/>
    <w:rsid w:val="003501FE"/>
    <w:rsid w:val="00350295"/>
    <w:rsid w:val="003554CF"/>
    <w:rsid w:val="0035629C"/>
    <w:rsid w:val="00356C83"/>
    <w:rsid w:val="00356F71"/>
    <w:rsid w:val="00357099"/>
    <w:rsid w:val="0035785C"/>
    <w:rsid w:val="00357A87"/>
    <w:rsid w:val="003631F1"/>
    <w:rsid w:val="00363760"/>
    <w:rsid w:val="00363E4F"/>
    <w:rsid w:val="00365388"/>
    <w:rsid w:val="00376506"/>
    <w:rsid w:val="00380BF2"/>
    <w:rsid w:val="003811BA"/>
    <w:rsid w:val="00383C5B"/>
    <w:rsid w:val="00386AEF"/>
    <w:rsid w:val="003877BE"/>
    <w:rsid w:val="00387B40"/>
    <w:rsid w:val="00387F98"/>
    <w:rsid w:val="00391966"/>
    <w:rsid w:val="0039346A"/>
    <w:rsid w:val="003965B4"/>
    <w:rsid w:val="00397FEB"/>
    <w:rsid w:val="003A0157"/>
    <w:rsid w:val="003A0489"/>
    <w:rsid w:val="003A6564"/>
    <w:rsid w:val="003B66FA"/>
    <w:rsid w:val="003C3173"/>
    <w:rsid w:val="003C3EDD"/>
    <w:rsid w:val="003C42C4"/>
    <w:rsid w:val="003C4C9D"/>
    <w:rsid w:val="003C63BB"/>
    <w:rsid w:val="003D1A13"/>
    <w:rsid w:val="003D44F2"/>
    <w:rsid w:val="003E2DE7"/>
    <w:rsid w:val="003E369D"/>
    <w:rsid w:val="003F11D7"/>
    <w:rsid w:val="003F3598"/>
    <w:rsid w:val="003F39A2"/>
    <w:rsid w:val="003F5D74"/>
    <w:rsid w:val="003F690A"/>
    <w:rsid w:val="004038CE"/>
    <w:rsid w:val="004042DC"/>
    <w:rsid w:val="00404B95"/>
    <w:rsid w:val="00405E39"/>
    <w:rsid w:val="00406010"/>
    <w:rsid w:val="00412CE4"/>
    <w:rsid w:val="00414066"/>
    <w:rsid w:val="004148C5"/>
    <w:rsid w:val="00414A8D"/>
    <w:rsid w:val="00415877"/>
    <w:rsid w:val="0041733C"/>
    <w:rsid w:val="0041768A"/>
    <w:rsid w:val="004203B6"/>
    <w:rsid w:val="00422965"/>
    <w:rsid w:val="004255A2"/>
    <w:rsid w:val="00427A9A"/>
    <w:rsid w:val="00427D98"/>
    <w:rsid w:val="00432DF1"/>
    <w:rsid w:val="00435E1B"/>
    <w:rsid w:val="00436BA3"/>
    <w:rsid w:val="00436EF3"/>
    <w:rsid w:val="00442666"/>
    <w:rsid w:val="004429E8"/>
    <w:rsid w:val="00442B0D"/>
    <w:rsid w:val="004430D0"/>
    <w:rsid w:val="0044447C"/>
    <w:rsid w:val="00450CEA"/>
    <w:rsid w:val="00451131"/>
    <w:rsid w:val="00451BF8"/>
    <w:rsid w:val="00452BC6"/>
    <w:rsid w:val="0045337D"/>
    <w:rsid w:val="00456371"/>
    <w:rsid w:val="0046443E"/>
    <w:rsid w:val="004650F8"/>
    <w:rsid w:val="00467980"/>
    <w:rsid w:val="004716C4"/>
    <w:rsid w:val="00472B70"/>
    <w:rsid w:val="004748E9"/>
    <w:rsid w:val="00476273"/>
    <w:rsid w:val="00477E5C"/>
    <w:rsid w:val="00484733"/>
    <w:rsid w:val="00484C76"/>
    <w:rsid w:val="00484DD8"/>
    <w:rsid w:val="00486FFF"/>
    <w:rsid w:val="00490568"/>
    <w:rsid w:val="004968A6"/>
    <w:rsid w:val="00497E33"/>
    <w:rsid w:val="004A69FD"/>
    <w:rsid w:val="004B0950"/>
    <w:rsid w:val="004B186B"/>
    <w:rsid w:val="004B3AB3"/>
    <w:rsid w:val="004B685A"/>
    <w:rsid w:val="004B7F6F"/>
    <w:rsid w:val="004C2EFA"/>
    <w:rsid w:val="004C2F59"/>
    <w:rsid w:val="004C4AE6"/>
    <w:rsid w:val="004C66C3"/>
    <w:rsid w:val="004D126E"/>
    <w:rsid w:val="004D37E2"/>
    <w:rsid w:val="004D39CA"/>
    <w:rsid w:val="004D532A"/>
    <w:rsid w:val="004D635E"/>
    <w:rsid w:val="004E43E5"/>
    <w:rsid w:val="004E788C"/>
    <w:rsid w:val="004E7B9D"/>
    <w:rsid w:val="004F0411"/>
    <w:rsid w:val="004F199A"/>
    <w:rsid w:val="004F2DD9"/>
    <w:rsid w:val="004F315A"/>
    <w:rsid w:val="004F31C8"/>
    <w:rsid w:val="004F3D0B"/>
    <w:rsid w:val="00502578"/>
    <w:rsid w:val="005025DB"/>
    <w:rsid w:val="00505947"/>
    <w:rsid w:val="00505E19"/>
    <w:rsid w:val="00507A14"/>
    <w:rsid w:val="00507AA2"/>
    <w:rsid w:val="00512820"/>
    <w:rsid w:val="00513053"/>
    <w:rsid w:val="00515836"/>
    <w:rsid w:val="00515E02"/>
    <w:rsid w:val="0052087D"/>
    <w:rsid w:val="00520D68"/>
    <w:rsid w:val="005249BF"/>
    <w:rsid w:val="005254D3"/>
    <w:rsid w:val="00530282"/>
    <w:rsid w:val="00533E54"/>
    <w:rsid w:val="005361BF"/>
    <w:rsid w:val="0054177F"/>
    <w:rsid w:val="00543D8B"/>
    <w:rsid w:val="00544C94"/>
    <w:rsid w:val="00544DFC"/>
    <w:rsid w:val="00545B88"/>
    <w:rsid w:val="0054662C"/>
    <w:rsid w:val="00547FC6"/>
    <w:rsid w:val="00550CD7"/>
    <w:rsid w:val="0055225A"/>
    <w:rsid w:val="0055288D"/>
    <w:rsid w:val="0055432D"/>
    <w:rsid w:val="00554EA2"/>
    <w:rsid w:val="005566F8"/>
    <w:rsid w:val="00557FE0"/>
    <w:rsid w:val="00561FBE"/>
    <w:rsid w:val="00562F4C"/>
    <w:rsid w:val="00564907"/>
    <w:rsid w:val="00564F53"/>
    <w:rsid w:val="005654A7"/>
    <w:rsid w:val="00570045"/>
    <w:rsid w:val="00570292"/>
    <w:rsid w:val="005718E1"/>
    <w:rsid w:val="00572121"/>
    <w:rsid w:val="005728D2"/>
    <w:rsid w:val="00580F7A"/>
    <w:rsid w:val="00583777"/>
    <w:rsid w:val="005843CD"/>
    <w:rsid w:val="00587964"/>
    <w:rsid w:val="005933D9"/>
    <w:rsid w:val="00593A7A"/>
    <w:rsid w:val="005946A5"/>
    <w:rsid w:val="00596A6E"/>
    <w:rsid w:val="005A1E86"/>
    <w:rsid w:val="005A30AB"/>
    <w:rsid w:val="005A31AA"/>
    <w:rsid w:val="005A3781"/>
    <w:rsid w:val="005A4220"/>
    <w:rsid w:val="005A5D6F"/>
    <w:rsid w:val="005B313C"/>
    <w:rsid w:val="005B5437"/>
    <w:rsid w:val="005B67F8"/>
    <w:rsid w:val="005C07E0"/>
    <w:rsid w:val="005C1984"/>
    <w:rsid w:val="005C2CE8"/>
    <w:rsid w:val="005C30FA"/>
    <w:rsid w:val="005C3F92"/>
    <w:rsid w:val="005C423A"/>
    <w:rsid w:val="005C4A67"/>
    <w:rsid w:val="005C5CDC"/>
    <w:rsid w:val="005C6957"/>
    <w:rsid w:val="005D1AD6"/>
    <w:rsid w:val="005D786E"/>
    <w:rsid w:val="005E06FB"/>
    <w:rsid w:val="005E36D9"/>
    <w:rsid w:val="005E7430"/>
    <w:rsid w:val="005E798B"/>
    <w:rsid w:val="005F1FE9"/>
    <w:rsid w:val="005F2654"/>
    <w:rsid w:val="005F5A63"/>
    <w:rsid w:val="005F757B"/>
    <w:rsid w:val="0060086E"/>
    <w:rsid w:val="00600C0A"/>
    <w:rsid w:val="00603D1A"/>
    <w:rsid w:val="00603DBD"/>
    <w:rsid w:val="00604763"/>
    <w:rsid w:val="00605846"/>
    <w:rsid w:val="00606089"/>
    <w:rsid w:val="00606A63"/>
    <w:rsid w:val="00607475"/>
    <w:rsid w:val="00610A8B"/>
    <w:rsid w:val="00612700"/>
    <w:rsid w:val="00613C36"/>
    <w:rsid w:val="00613FCA"/>
    <w:rsid w:val="0061749A"/>
    <w:rsid w:val="00617A37"/>
    <w:rsid w:val="00620207"/>
    <w:rsid w:val="00620A6B"/>
    <w:rsid w:val="006210FF"/>
    <w:rsid w:val="00621B67"/>
    <w:rsid w:val="00621CA2"/>
    <w:rsid w:val="0062232B"/>
    <w:rsid w:val="00623D8A"/>
    <w:rsid w:val="00626452"/>
    <w:rsid w:val="00627AB3"/>
    <w:rsid w:val="00630FCC"/>
    <w:rsid w:val="0063497E"/>
    <w:rsid w:val="00634B63"/>
    <w:rsid w:val="0063635C"/>
    <w:rsid w:val="00642B71"/>
    <w:rsid w:val="00646BF4"/>
    <w:rsid w:val="00647B0C"/>
    <w:rsid w:val="00652B40"/>
    <w:rsid w:val="00652BE2"/>
    <w:rsid w:val="00652D65"/>
    <w:rsid w:val="00654846"/>
    <w:rsid w:val="00655C4D"/>
    <w:rsid w:val="0065664E"/>
    <w:rsid w:val="00656892"/>
    <w:rsid w:val="00657721"/>
    <w:rsid w:val="006600E7"/>
    <w:rsid w:val="0066091D"/>
    <w:rsid w:val="00661B5E"/>
    <w:rsid w:val="00661D4E"/>
    <w:rsid w:val="00666379"/>
    <w:rsid w:val="00667AC0"/>
    <w:rsid w:val="0067013F"/>
    <w:rsid w:val="00671599"/>
    <w:rsid w:val="006766B5"/>
    <w:rsid w:val="00677F6F"/>
    <w:rsid w:val="00682186"/>
    <w:rsid w:val="00682FC0"/>
    <w:rsid w:val="006839C4"/>
    <w:rsid w:val="006860FF"/>
    <w:rsid w:val="0068691A"/>
    <w:rsid w:val="00687DFC"/>
    <w:rsid w:val="0069291B"/>
    <w:rsid w:val="00692A03"/>
    <w:rsid w:val="00694683"/>
    <w:rsid w:val="00694BBF"/>
    <w:rsid w:val="0069538B"/>
    <w:rsid w:val="00695400"/>
    <w:rsid w:val="0069559B"/>
    <w:rsid w:val="0069585C"/>
    <w:rsid w:val="006A19B2"/>
    <w:rsid w:val="006A19BC"/>
    <w:rsid w:val="006A19F4"/>
    <w:rsid w:val="006A25A7"/>
    <w:rsid w:val="006A5BF1"/>
    <w:rsid w:val="006A77BE"/>
    <w:rsid w:val="006B0623"/>
    <w:rsid w:val="006B44C5"/>
    <w:rsid w:val="006B5F55"/>
    <w:rsid w:val="006B66C3"/>
    <w:rsid w:val="006B6CA0"/>
    <w:rsid w:val="006C28F5"/>
    <w:rsid w:val="006D04F8"/>
    <w:rsid w:val="006D09EE"/>
    <w:rsid w:val="006D14CC"/>
    <w:rsid w:val="006D1845"/>
    <w:rsid w:val="006D6D29"/>
    <w:rsid w:val="006E119D"/>
    <w:rsid w:val="006E178B"/>
    <w:rsid w:val="006E5B90"/>
    <w:rsid w:val="006E68A7"/>
    <w:rsid w:val="006F1275"/>
    <w:rsid w:val="006F26FB"/>
    <w:rsid w:val="006F2DFD"/>
    <w:rsid w:val="006F3A8D"/>
    <w:rsid w:val="006F45AC"/>
    <w:rsid w:val="00702EAB"/>
    <w:rsid w:val="00710B87"/>
    <w:rsid w:val="00711EA1"/>
    <w:rsid w:val="007167DE"/>
    <w:rsid w:val="007203AA"/>
    <w:rsid w:val="0072075C"/>
    <w:rsid w:val="00721129"/>
    <w:rsid w:val="00724985"/>
    <w:rsid w:val="00725EAB"/>
    <w:rsid w:val="0072696E"/>
    <w:rsid w:val="00726F09"/>
    <w:rsid w:val="007274D2"/>
    <w:rsid w:val="00730081"/>
    <w:rsid w:val="00731329"/>
    <w:rsid w:val="00732222"/>
    <w:rsid w:val="00737B86"/>
    <w:rsid w:val="007443BD"/>
    <w:rsid w:val="00744D66"/>
    <w:rsid w:val="00745E68"/>
    <w:rsid w:val="00745F19"/>
    <w:rsid w:val="00751E25"/>
    <w:rsid w:val="00751FBC"/>
    <w:rsid w:val="0075628D"/>
    <w:rsid w:val="00756523"/>
    <w:rsid w:val="00762FA6"/>
    <w:rsid w:val="007667B3"/>
    <w:rsid w:val="00767ECA"/>
    <w:rsid w:val="007708AC"/>
    <w:rsid w:val="00771590"/>
    <w:rsid w:val="0077161D"/>
    <w:rsid w:val="007829EE"/>
    <w:rsid w:val="00784B8C"/>
    <w:rsid w:val="00785C54"/>
    <w:rsid w:val="00793363"/>
    <w:rsid w:val="00794B0A"/>
    <w:rsid w:val="00795839"/>
    <w:rsid w:val="0079749C"/>
    <w:rsid w:val="007A285F"/>
    <w:rsid w:val="007A3CFD"/>
    <w:rsid w:val="007A4EBD"/>
    <w:rsid w:val="007A7593"/>
    <w:rsid w:val="007A7FE6"/>
    <w:rsid w:val="007B072F"/>
    <w:rsid w:val="007B0E66"/>
    <w:rsid w:val="007B5C35"/>
    <w:rsid w:val="007B6A13"/>
    <w:rsid w:val="007C003E"/>
    <w:rsid w:val="007C11E1"/>
    <w:rsid w:val="007C2BCE"/>
    <w:rsid w:val="007C2CFF"/>
    <w:rsid w:val="007C644D"/>
    <w:rsid w:val="007C7882"/>
    <w:rsid w:val="007D3B71"/>
    <w:rsid w:val="007D613C"/>
    <w:rsid w:val="007E10E3"/>
    <w:rsid w:val="007E515B"/>
    <w:rsid w:val="007E6891"/>
    <w:rsid w:val="007F0247"/>
    <w:rsid w:val="007F1CD5"/>
    <w:rsid w:val="007F2805"/>
    <w:rsid w:val="007F4825"/>
    <w:rsid w:val="007F502E"/>
    <w:rsid w:val="007F666B"/>
    <w:rsid w:val="007F6EDE"/>
    <w:rsid w:val="007F7E09"/>
    <w:rsid w:val="008024A4"/>
    <w:rsid w:val="008043D2"/>
    <w:rsid w:val="008047C3"/>
    <w:rsid w:val="00804D7C"/>
    <w:rsid w:val="00805C7B"/>
    <w:rsid w:val="00806D17"/>
    <w:rsid w:val="00807BD7"/>
    <w:rsid w:val="00810FC0"/>
    <w:rsid w:val="0081247E"/>
    <w:rsid w:val="00813474"/>
    <w:rsid w:val="00813C8F"/>
    <w:rsid w:val="0081628F"/>
    <w:rsid w:val="008171EA"/>
    <w:rsid w:val="00817BAB"/>
    <w:rsid w:val="0082126F"/>
    <w:rsid w:val="00835583"/>
    <w:rsid w:val="008356A0"/>
    <w:rsid w:val="00835DA5"/>
    <w:rsid w:val="00836B86"/>
    <w:rsid w:val="0084195D"/>
    <w:rsid w:val="00844A09"/>
    <w:rsid w:val="008477B2"/>
    <w:rsid w:val="00850934"/>
    <w:rsid w:val="00853263"/>
    <w:rsid w:val="00854C11"/>
    <w:rsid w:val="0085519B"/>
    <w:rsid w:val="00857681"/>
    <w:rsid w:val="00857AA3"/>
    <w:rsid w:val="00857CAB"/>
    <w:rsid w:val="00860356"/>
    <w:rsid w:val="00861A2B"/>
    <w:rsid w:val="00863142"/>
    <w:rsid w:val="0086319F"/>
    <w:rsid w:val="00863821"/>
    <w:rsid w:val="00863C87"/>
    <w:rsid w:val="00864116"/>
    <w:rsid w:val="0086457E"/>
    <w:rsid w:val="00864743"/>
    <w:rsid w:val="00864B8F"/>
    <w:rsid w:val="00866B9E"/>
    <w:rsid w:val="008700D3"/>
    <w:rsid w:val="00876C9B"/>
    <w:rsid w:val="008775B7"/>
    <w:rsid w:val="00883060"/>
    <w:rsid w:val="0088354D"/>
    <w:rsid w:val="0088419A"/>
    <w:rsid w:val="0088477C"/>
    <w:rsid w:val="00885616"/>
    <w:rsid w:val="00887B80"/>
    <w:rsid w:val="00887D51"/>
    <w:rsid w:val="008946B0"/>
    <w:rsid w:val="008A09E2"/>
    <w:rsid w:val="008A1246"/>
    <w:rsid w:val="008A1DD0"/>
    <w:rsid w:val="008A22CE"/>
    <w:rsid w:val="008A2B53"/>
    <w:rsid w:val="008A3783"/>
    <w:rsid w:val="008A5377"/>
    <w:rsid w:val="008A6E2B"/>
    <w:rsid w:val="008B4583"/>
    <w:rsid w:val="008B7097"/>
    <w:rsid w:val="008B7CCD"/>
    <w:rsid w:val="008C3515"/>
    <w:rsid w:val="008C5C05"/>
    <w:rsid w:val="008C627F"/>
    <w:rsid w:val="008C6CC7"/>
    <w:rsid w:val="008D0364"/>
    <w:rsid w:val="008D2A62"/>
    <w:rsid w:val="008D3901"/>
    <w:rsid w:val="008D5D58"/>
    <w:rsid w:val="008E03B5"/>
    <w:rsid w:val="008E215C"/>
    <w:rsid w:val="008E3C76"/>
    <w:rsid w:val="008E494F"/>
    <w:rsid w:val="008F051D"/>
    <w:rsid w:val="008F5735"/>
    <w:rsid w:val="008F6175"/>
    <w:rsid w:val="00902391"/>
    <w:rsid w:val="0090516D"/>
    <w:rsid w:val="009068FF"/>
    <w:rsid w:val="00906A98"/>
    <w:rsid w:val="00907691"/>
    <w:rsid w:val="00907970"/>
    <w:rsid w:val="00910590"/>
    <w:rsid w:val="0091325A"/>
    <w:rsid w:val="009154F6"/>
    <w:rsid w:val="00917A12"/>
    <w:rsid w:val="00921DF1"/>
    <w:rsid w:val="009234C8"/>
    <w:rsid w:val="00924819"/>
    <w:rsid w:val="00925B02"/>
    <w:rsid w:val="00926BB7"/>
    <w:rsid w:val="0093106B"/>
    <w:rsid w:val="00935DD6"/>
    <w:rsid w:val="009374EB"/>
    <w:rsid w:val="00940435"/>
    <w:rsid w:val="00940451"/>
    <w:rsid w:val="00941711"/>
    <w:rsid w:val="00941BA3"/>
    <w:rsid w:val="00941C76"/>
    <w:rsid w:val="00943B88"/>
    <w:rsid w:val="00944CB2"/>
    <w:rsid w:val="00945138"/>
    <w:rsid w:val="009460BC"/>
    <w:rsid w:val="009479C8"/>
    <w:rsid w:val="00950840"/>
    <w:rsid w:val="0095218C"/>
    <w:rsid w:val="009528CE"/>
    <w:rsid w:val="00952FD5"/>
    <w:rsid w:val="00953FDA"/>
    <w:rsid w:val="009565DB"/>
    <w:rsid w:val="00956C88"/>
    <w:rsid w:val="00956EC0"/>
    <w:rsid w:val="00961EE1"/>
    <w:rsid w:val="00965595"/>
    <w:rsid w:val="00965641"/>
    <w:rsid w:val="00967EB6"/>
    <w:rsid w:val="009740FD"/>
    <w:rsid w:val="00974198"/>
    <w:rsid w:val="009745F1"/>
    <w:rsid w:val="00974E53"/>
    <w:rsid w:val="0097516D"/>
    <w:rsid w:val="00980DBE"/>
    <w:rsid w:val="009818E1"/>
    <w:rsid w:val="00983CA2"/>
    <w:rsid w:val="009858AE"/>
    <w:rsid w:val="00986BAC"/>
    <w:rsid w:val="00987E8B"/>
    <w:rsid w:val="00987ECD"/>
    <w:rsid w:val="009962F2"/>
    <w:rsid w:val="009A0536"/>
    <w:rsid w:val="009A2DAE"/>
    <w:rsid w:val="009A35B0"/>
    <w:rsid w:val="009A550C"/>
    <w:rsid w:val="009B58CC"/>
    <w:rsid w:val="009B6772"/>
    <w:rsid w:val="009B6981"/>
    <w:rsid w:val="009B725A"/>
    <w:rsid w:val="009B736A"/>
    <w:rsid w:val="009B7496"/>
    <w:rsid w:val="009B7ADA"/>
    <w:rsid w:val="009C1884"/>
    <w:rsid w:val="009C2457"/>
    <w:rsid w:val="009D48E7"/>
    <w:rsid w:val="009D55B9"/>
    <w:rsid w:val="009D56AC"/>
    <w:rsid w:val="009D663A"/>
    <w:rsid w:val="009E015B"/>
    <w:rsid w:val="009E4AE4"/>
    <w:rsid w:val="009F090B"/>
    <w:rsid w:val="009F09AD"/>
    <w:rsid w:val="009F0FE2"/>
    <w:rsid w:val="009F18B0"/>
    <w:rsid w:val="009F32A1"/>
    <w:rsid w:val="009F3A3D"/>
    <w:rsid w:val="009F4F97"/>
    <w:rsid w:val="00A067D2"/>
    <w:rsid w:val="00A123A8"/>
    <w:rsid w:val="00A14253"/>
    <w:rsid w:val="00A162D4"/>
    <w:rsid w:val="00A16FD1"/>
    <w:rsid w:val="00A17711"/>
    <w:rsid w:val="00A2229B"/>
    <w:rsid w:val="00A27034"/>
    <w:rsid w:val="00A30E38"/>
    <w:rsid w:val="00A34712"/>
    <w:rsid w:val="00A34C05"/>
    <w:rsid w:val="00A35F45"/>
    <w:rsid w:val="00A37AAA"/>
    <w:rsid w:val="00A40D21"/>
    <w:rsid w:val="00A42AEC"/>
    <w:rsid w:val="00A43580"/>
    <w:rsid w:val="00A44DF1"/>
    <w:rsid w:val="00A50D2D"/>
    <w:rsid w:val="00A52B16"/>
    <w:rsid w:val="00A544B7"/>
    <w:rsid w:val="00A55E07"/>
    <w:rsid w:val="00A61C1D"/>
    <w:rsid w:val="00A650C7"/>
    <w:rsid w:val="00A66CF8"/>
    <w:rsid w:val="00A67409"/>
    <w:rsid w:val="00A7139C"/>
    <w:rsid w:val="00A71AAE"/>
    <w:rsid w:val="00A76099"/>
    <w:rsid w:val="00A779F5"/>
    <w:rsid w:val="00A802F9"/>
    <w:rsid w:val="00A803C6"/>
    <w:rsid w:val="00A83483"/>
    <w:rsid w:val="00A83642"/>
    <w:rsid w:val="00A8441E"/>
    <w:rsid w:val="00A94283"/>
    <w:rsid w:val="00A94CB0"/>
    <w:rsid w:val="00A95A55"/>
    <w:rsid w:val="00A9664A"/>
    <w:rsid w:val="00AB2344"/>
    <w:rsid w:val="00AB2A59"/>
    <w:rsid w:val="00AB2DFC"/>
    <w:rsid w:val="00AB70B5"/>
    <w:rsid w:val="00AB754F"/>
    <w:rsid w:val="00AB75FC"/>
    <w:rsid w:val="00AC00AF"/>
    <w:rsid w:val="00AC0F68"/>
    <w:rsid w:val="00AC47A0"/>
    <w:rsid w:val="00AC716C"/>
    <w:rsid w:val="00AC7414"/>
    <w:rsid w:val="00AD10B7"/>
    <w:rsid w:val="00AD1275"/>
    <w:rsid w:val="00AD3992"/>
    <w:rsid w:val="00AD5F62"/>
    <w:rsid w:val="00AD721C"/>
    <w:rsid w:val="00AE3520"/>
    <w:rsid w:val="00AE49D1"/>
    <w:rsid w:val="00AE4AB4"/>
    <w:rsid w:val="00AF0712"/>
    <w:rsid w:val="00AF1CD5"/>
    <w:rsid w:val="00AF1E6D"/>
    <w:rsid w:val="00AF5F64"/>
    <w:rsid w:val="00AF6AF6"/>
    <w:rsid w:val="00AF7C37"/>
    <w:rsid w:val="00B05E27"/>
    <w:rsid w:val="00B069D2"/>
    <w:rsid w:val="00B14AAA"/>
    <w:rsid w:val="00B16AD6"/>
    <w:rsid w:val="00B23E12"/>
    <w:rsid w:val="00B247BF"/>
    <w:rsid w:val="00B27093"/>
    <w:rsid w:val="00B328A7"/>
    <w:rsid w:val="00B333FA"/>
    <w:rsid w:val="00B35033"/>
    <w:rsid w:val="00B352A0"/>
    <w:rsid w:val="00B35F68"/>
    <w:rsid w:val="00B37252"/>
    <w:rsid w:val="00B37D1F"/>
    <w:rsid w:val="00B41CC2"/>
    <w:rsid w:val="00B432E0"/>
    <w:rsid w:val="00B43F2F"/>
    <w:rsid w:val="00B50A6E"/>
    <w:rsid w:val="00B52079"/>
    <w:rsid w:val="00B5388D"/>
    <w:rsid w:val="00B54F84"/>
    <w:rsid w:val="00B5603F"/>
    <w:rsid w:val="00B60544"/>
    <w:rsid w:val="00B60B6A"/>
    <w:rsid w:val="00B614E9"/>
    <w:rsid w:val="00B63B4A"/>
    <w:rsid w:val="00B63BF8"/>
    <w:rsid w:val="00B64B34"/>
    <w:rsid w:val="00B66706"/>
    <w:rsid w:val="00B7073D"/>
    <w:rsid w:val="00B730BB"/>
    <w:rsid w:val="00B74FA6"/>
    <w:rsid w:val="00B75327"/>
    <w:rsid w:val="00B75BCD"/>
    <w:rsid w:val="00B75FD5"/>
    <w:rsid w:val="00B81CCA"/>
    <w:rsid w:val="00B81D3C"/>
    <w:rsid w:val="00B828FD"/>
    <w:rsid w:val="00B84A18"/>
    <w:rsid w:val="00B9022E"/>
    <w:rsid w:val="00B90C72"/>
    <w:rsid w:val="00B935F9"/>
    <w:rsid w:val="00B9420A"/>
    <w:rsid w:val="00BA00E0"/>
    <w:rsid w:val="00BA0441"/>
    <w:rsid w:val="00BA14BF"/>
    <w:rsid w:val="00BA27BE"/>
    <w:rsid w:val="00BB309D"/>
    <w:rsid w:val="00BB4ED5"/>
    <w:rsid w:val="00BB53F5"/>
    <w:rsid w:val="00BB6035"/>
    <w:rsid w:val="00BB6169"/>
    <w:rsid w:val="00BB7E55"/>
    <w:rsid w:val="00BC09E7"/>
    <w:rsid w:val="00BC2047"/>
    <w:rsid w:val="00BC3293"/>
    <w:rsid w:val="00BC3880"/>
    <w:rsid w:val="00BC3DBF"/>
    <w:rsid w:val="00BC5649"/>
    <w:rsid w:val="00BD39F5"/>
    <w:rsid w:val="00BD40A2"/>
    <w:rsid w:val="00BD52CD"/>
    <w:rsid w:val="00BD5E8B"/>
    <w:rsid w:val="00BE34E6"/>
    <w:rsid w:val="00BF1822"/>
    <w:rsid w:val="00BF3D8E"/>
    <w:rsid w:val="00BF7820"/>
    <w:rsid w:val="00BF7FC1"/>
    <w:rsid w:val="00C00376"/>
    <w:rsid w:val="00C01776"/>
    <w:rsid w:val="00C030EE"/>
    <w:rsid w:val="00C04B2E"/>
    <w:rsid w:val="00C058CD"/>
    <w:rsid w:val="00C05942"/>
    <w:rsid w:val="00C06312"/>
    <w:rsid w:val="00C06C65"/>
    <w:rsid w:val="00C10382"/>
    <w:rsid w:val="00C104A1"/>
    <w:rsid w:val="00C16781"/>
    <w:rsid w:val="00C22685"/>
    <w:rsid w:val="00C24264"/>
    <w:rsid w:val="00C26EAF"/>
    <w:rsid w:val="00C2749D"/>
    <w:rsid w:val="00C30169"/>
    <w:rsid w:val="00C303B7"/>
    <w:rsid w:val="00C305D6"/>
    <w:rsid w:val="00C30749"/>
    <w:rsid w:val="00C310AA"/>
    <w:rsid w:val="00C33DE0"/>
    <w:rsid w:val="00C35562"/>
    <w:rsid w:val="00C357E1"/>
    <w:rsid w:val="00C36917"/>
    <w:rsid w:val="00C40453"/>
    <w:rsid w:val="00C40D87"/>
    <w:rsid w:val="00C40FF5"/>
    <w:rsid w:val="00C42293"/>
    <w:rsid w:val="00C42AE8"/>
    <w:rsid w:val="00C42E99"/>
    <w:rsid w:val="00C434F5"/>
    <w:rsid w:val="00C43E35"/>
    <w:rsid w:val="00C46FEC"/>
    <w:rsid w:val="00C50447"/>
    <w:rsid w:val="00C50D7D"/>
    <w:rsid w:val="00C53D1F"/>
    <w:rsid w:val="00C55B52"/>
    <w:rsid w:val="00C56509"/>
    <w:rsid w:val="00C570FA"/>
    <w:rsid w:val="00C60446"/>
    <w:rsid w:val="00C642EC"/>
    <w:rsid w:val="00C669C5"/>
    <w:rsid w:val="00C70835"/>
    <w:rsid w:val="00C74AD0"/>
    <w:rsid w:val="00C75052"/>
    <w:rsid w:val="00C76EC8"/>
    <w:rsid w:val="00C77C77"/>
    <w:rsid w:val="00C77FA9"/>
    <w:rsid w:val="00C813C6"/>
    <w:rsid w:val="00C82414"/>
    <w:rsid w:val="00C86808"/>
    <w:rsid w:val="00C86CD6"/>
    <w:rsid w:val="00C93989"/>
    <w:rsid w:val="00C9542D"/>
    <w:rsid w:val="00CA0D2E"/>
    <w:rsid w:val="00CA17E0"/>
    <w:rsid w:val="00CA19DB"/>
    <w:rsid w:val="00CA2626"/>
    <w:rsid w:val="00CA2891"/>
    <w:rsid w:val="00CA4F59"/>
    <w:rsid w:val="00CA79E7"/>
    <w:rsid w:val="00CA7CDC"/>
    <w:rsid w:val="00CB1933"/>
    <w:rsid w:val="00CB1F3F"/>
    <w:rsid w:val="00CB2E84"/>
    <w:rsid w:val="00CB46A0"/>
    <w:rsid w:val="00CB64AE"/>
    <w:rsid w:val="00CC3727"/>
    <w:rsid w:val="00CC3BE4"/>
    <w:rsid w:val="00CC4834"/>
    <w:rsid w:val="00CC4ECE"/>
    <w:rsid w:val="00CD018E"/>
    <w:rsid w:val="00CD7186"/>
    <w:rsid w:val="00CE21D5"/>
    <w:rsid w:val="00CE3127"/>
    <w:rsid w:val="00CE31F0"/>
    <w:rsid w:val="00CE38C3"/>
    <w:rsid w:val="00CE39D6"/>
    <w:rsid w:val="00CE4C77"/>
    <w:rsid w:val="00CE6AE7"/>
    <w:rsid w:val="00CF1A03"/>
    <w:rsid w:val="00CF21F9"/>
    <w:rsid w:val="00CF340C"/>
    <w:rsid w:val="00CF4224"/>
    <w:rsid w:val="00CF50FC"/>
    <w:rsid w:val="00D02147"/>
    <w:rsid w:val="00D04724"/>
    <w:rsid w:val="00D07E9A"/>
    <w:rsid w:val="00D11E6F"/>
    <w:rsid w:val="00D16B1C"/>
    <w:rsid w:val="00D20FC1"/>
    <w:rsid w:val="00D22031"/>
    <w:rsid w:val="00D22896"/>
    <w:rsid w:val="00D23702"/>
    <w:rsid w:val="00D274D1"/>
    <w:rsid w:val="00D27DA0"/>
    <w:rsid w:val="00D33FCC"/>
    <w:rsid w:val="00D34395"/>
    <w:rsid w:val="00D34A70"/>
    <w:rsid w:val="00D35572"/>
    <w:rsid w:val="00D406CC"/>
    <w:rsid w:val="00D4144D"/>
    <w:rsid w:val="00D4310E"/>
    <w:rsid w:val="00D43FBB"/>
    <w:rsid w:val="00D46D86"/>
    <w:rsid w:val="00D547C1"/>
    <w:rsid w:val="00D54BF1"/>
    <w:rsid w:val="00D559F9"/>
    <w:rsid w:val="00D574C8"/>
    <w:rsid w:val="00D57F08"/>
    <w:rsid w:val="00D63234"/>
    <w:rsid w:val="00D64F50"/>
    <w:rsid w:val="00D65728"/>
    <w:rsid w:val="00D675D8"/>
    <w:rsid w:val="00D6792B"/>
    <w:rsid w:val="00D715AD"/>
    <w:rsid w:val="00D72570"/>
    <w:rsid w:val="00D72633"/>
    <w:rsid w:val="00D731F6"/>
    <w:rsid w:val="00D74652"/>
    <w:rsid w:val="00D75184"/>
    <w:rsid w:val="00D7646C"/>
    <w:rsid w:val="00D8076F"/>
    <w:rsid w:val="00D81343"/>
    <w:rsid w:val="00D82E0E"/>
    <w:rsid w:val="00D841E1"/>
    <w:rsid w:val="00D878C9"/>
    <w:rsid w:val="00D915BE"/>
    <w:rsid w:val="00D91E54"/>
    <w:rsid w:val="00D93109"/>
    <w:rsid w:val="00D9585D"/>
    <w:rsid w:val="00D95E9E"/>
    <w:rsid w:val="00D964DB"/>
    <w:rsid w:val="00D97007"/>
    <w:rsid w:val="00D97230"/>
    <w:rsid w:val="00DA01DE"/>
    <w:rsid w:val="00DA1B7B"/>
    <w:rsid w:val="00DA1E2F"/>
    <w:rsid w:val="00DA2685"/>
    <w:rsid w:val="00DA3C51"/>
    <w:rsid w:val="00DA409A"/>
    <w:rsid w:val="00DA524A"/>
    <w:rsid w:val="00DA6095"/>
    <w:rsid w:val="00DA70A6"/>
    <w:rsid w:val="00DA70FA"/>
    <w:rsid w:val="00DA758C"/>
    <w:rsid w:val="00DB0C42"/>
    <w:rsid w:val="00DB2BBE"/>
    <w:rsid w:val="00DB348A"/>
    <w:rsid w:val="00DB4559"/>
    <w:rsid w:val="00DB4A03"/>
    <w:rsid w:val="00DB4F0A"/>
    <w:rsid w:val="00DB6018"/>
    <w:rsid w:val="00DB7B86"/>
    <w:rsid w:val="00DC2B05"/>
    <w:rsid w:val="00DC2E17"/>
    <w:rsid w:val="00DC3392"/>
    <w:rsid w:val="00DC3652"/>
    <w:rsid w:val="00DC7887"/>
    <w:rsid w:val="00DD1573"/>
    <w:rsid w:val="00DD31A9"/>
    <w:rsid w:val="00DD3CA5"/>
    <w:rsid w:val="00DD3E2F"/>
    <w:rsid w:val="00DD4BE2"/>
    <w:rsid w:val="00DD74DD"/>
    <w:rsid w:val="00DE06A6"/>
    <w:rsid w:val="00DE3A55"/>
    <w:rsid w:val="00DE3C99"/>
    <w:rsid w:val="00DE457B"/>
    <w:rsid w:val="00DE4D89"/>
    <w:rsid w:val="00DE5468"/>
    <w:rsid w:val="00DE5A55"/>
    <w:rsid w:val="00DE7015"/>
    <w:rsid w:val="00DF0803"/>
    <w:rsid w:val="00DF13CA"/>
    <w:rsid w:val="00DF1AF7"/>
    <w:rsid w:val="00DF232A"/>
    <w:rsid w:val="00E04D8C"/>
    <w:rsid w:val="00E04DA6"/>
    <w:rsid w:val="00E05D38"/>
    <w:rsid w:val="00E06EED"/>
    <w:rsid w:val="00E1591A"/>
    <w:rsid w:val="00E17589"/>
    <w:rsid w:val="00E20442"/>
    <w:rsid w:val="00E20D68"/>
    <w:rsid w:val="00E2300D"/>
    <w:rsid w:val="00E240EE"/>
    <w:rsid w:val="00E24A3D"/>
    <w:rsid w:val="00E256F0"/>
    <w:rsid w:val="00E302C2"/>
    <w:rsid w:val="00E31B69"/>
    <w:rsid w:val="00E33E6F"/>
    <w:rsid w:val="00E34077"/>
    <w:rsid w:val="00E34523"/>
    <w:rsid w:val="00E35526"/>
    <w:rsid w:val="00E37F42"/>
    <w:rsid w:val="00E406C6"/>
    <w:rsid w:val="00E41507"/>
    <w:rsid w:val="00E41F63"/>
    <w:rsid w:val="00E45CBE"/>
    <w:rsid w:val="00E47DB7"/>
    <w:rsid w:val="00E50B40"/>
    <w:rsid w:val="00E50C77"/>
    <w:rsid w:val="00E56EE2"/>
    <w:rsid w:val="00E57522"/>
    <w:rsid w:val="00E61C4E"/>
    <w:rsid w:val="00E6278A"/>
    <w:rsid w:val="00E653A8"/>
    <w:rsid w:val="00E6576D"/>
    <w:rsid w:val="00E65D15"/>
    <w:rsid w:val="00E70D0C"/>
    <w:rsid w:val="00E70DF3"/>
    <w:rsid w:val="00E734A1"/>
    <w:rsid w:val="00E75AEF"/>
    <w:rsid w:val="00E80571"/>
    <w:rsid w:val="00E80917"/>
    <w:rsid w:val="00E816B6"/>
    <w:rsid w:val="00E81772"/>
    <w:rsid w:val="00E81775"/>
    <w:rsid w:val="00E81963"/>
    <w:rsid w:val="00E84B0C"/>
    <w:rsid w:val="00E92026"/>
    <w:rsid w:val="00E94182"/>
    <w:rsid w:val="00E9495C"/>
    <w:rsid w:val="00EA4AEF"/>
    <w:rsid w:val="00EA4EDA"/>
    <w:rsid w:val="00EA5599"/>
    <w:rsid w:val="00EB10D6"/>
    <w:rsid w:val="00EB1418"/>
    <w:rsid w:val="00EB1820"/>
    <w:rsid w:val="00EB588B"/>
    <w:rsid w:val="00EB5D6B"/>
    <w:rsid w:val="00EC00F0"/>
    <w:rsid w:val="00EC1FDD"/>
    <w:rsid w:val="00EC3A08"/>
    <w:rsid w:val="00EC44B0"/>
    <w:rsid w:val="00EC77AF"/>
    <w:rsid w:val="00ED10C2"/>
    <w:rsid w:val="00ED3866"/>
    <w:rsid w:val="00EE26C2"/>
    <w:rsid w:val="00EE44DE"/>
    <w:rsid w:val="00EE45A3"/>
    <w:rsid w:val="00EF02D4"/>
    <w:rsid w:val="00EF3201"/>
    <w:rsid w:val="00EF3E0B"/>
    <w:rsid w:val="00EF3E82"/>
    <w:rsid w:val="00EF6DA3"/>
    <w:rsid w:val="00EF7AC4"/>
    <w:rsid w:val="00F005AF"/>
    <w:rsid w:val="00F01661"/>
    <w:rsid w:val="00F0619B"/>
    <w:rsid w:val="00F071CA"/>
    <w:rsid w:val="00F10505"/>
    <w:rsid w:val="00F17ECA"/>
    <w:rsid w:val="00F21493"/>
    <w:rsid w:val="00F230A7"/>
    <w:rsid w:val="00F23593"/>
    <w:rsid w:val="00F27372"/>
    <w:rsid w:val="00F323F8"/>
    <w:rsid w:val="00F34C74"/>
    <w:rsid w:val="00F3518A"/>
    <w:rsid w:val="00F36A64"/>
    <w:rsid w:val="00F37C92"/>
    <w:rsid w:val="00F41AFE"/>
    <w:rsid w:val="00F4204A"/>
    <w:rsid w:val="00F42142"/>
    <w:rsid w:val="00F42E80"/>
    <w:rsid w:val="00F43BD1"/>
    <w:rsid w:val="00F44C09"/>
    <w:rsid w:val="00F45D4F"/>
    <w:rsid w:val="00F45EFE"/>
    <w:rsid w:val="00F532CC"/>
    <w:rsid w:val="00F53CD6"/>
    <w:rsid w:val="00F54EAB"/>
    <w:rsid w:val="00F5603F"/>
    <w:rsid w:val="00F57C3B"/>
    <w:rsid w:val="00F640D7"/>
    <w:rsid w:val="00F64F89"/>
    <w:rsid w:val="00F71690"/>
    <w:rsid w:val="00F76616"/>
    <w:rsid w:val="00F8158C"/>
    <w:rsid w:val="00F8252B"/>
    <w:rsid w:val="00F85A0C"/>
    <w:rsid w:val="00F92DCA"/>
    <w:rsid w:val="00F93BF2"/>
    <w:rsid w:val="00F95294"/>
    <w:rsid w:val="00F9576F"/>
    <w:rsid w:val="00F9649C"/>
    <w:rsid w:val="00FA2385"/>
    <w:rsid w:val="00FA3E60"/>
    <w:rsid w:val="00FA6FF4"/>
    <w:rsid w:val="00FB01CA"/>
    <w:rsid w:val="00FB0347"/>
    <w:rsid w:val="00FB2A5C"/>
    <w:rsid w:val="00FB501A"/>
    <w:rsid w:val="00FB5243"/>
    <w:rsid w:val="00FB7565"/>
    <w:rsid w:val="00FB7EC3"/>
    <w:rsid w:val="00FC16BF"/>
    <w:rsid w:val="00FC27E5"/>
    <w:rsid w:val="00FC2F64"/>
    <w:rsid w:val="00FC4B9F"/>
    <w:rsid w:val="00FC5E44"/>
    <w:rsid w:val="00FD0468"/>
    <w:rsid w:val="00FD16BE"/>
    <w:rsid w:val="00FD1B95"/>
    <w:rsid w:val="00FD2675"/>
    <w:rsid w:val="00FD3203"/>
    <w:rsid w:val="00FD3E54"/>
    <w:rsid w:val="00FD426E"/>
    <w:rsid w:val="00FD4E49"/>
    <w:rsid w:val="00FE2004"/>
    <w:rsid w:val="00FE6469"/>
    <w:rsid w:val="00FF2465"/>
    <w:rsid w:val="00FF5EE6"/>
    <w:rsid w:val="00FF66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C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paragraph" w:customStyle="1" w:styleId="doc-ti">
    <w:name w:val="doc-ti"/>
    <w:basedOn w:val="Normal"/>
    <w:rsid w:val="000D70A9"/>
    <w:pPr>
      <w:spacing w:before="100" w:beforeAutospacing="1" w:after="100" w:afterAutospacing="1"/>
    </w:pPr>
    <w:rPr>
      <w:lang w:val="en-US" w:eastAsia="en-US"/>
    </w:rPr>
  </w:style>
  <w:style w:type="paragraph" w:customStyle="1" w:styleId="title-doc-first">
    <w:name w:val="title-doc-first"/>
    <w:basedOn w:val="Normal"/>
    <w:rsid w:val="00FA2385"/>
    <w:pPr>
      <w:spacing w:before="100" w:beforeAutospacing="1" w:after="100" w:afterAutospacing="1"/>
    </w:pPr>
    <w:rPr>
      <w:lang w:val="en-US" w:eastAsia="en-US"/>
    </w:rPr>
  </w:style>
  <w:style w:type="paragraph" w:customStyle="1" w:styleId="title-doc-last">
    <w:name w:val="title-doc-last"/>
    <w:basedOn w:val="Normal"/>
    <w:rsid w:val="00FA2385"/>
    <w:pPr>
      <w:spacing w:before="100" w:beforeAutospacing="1" w:after="100" w:afterAutospacing="1"/>
    </w:pPr>
    <w:rPr>
      <w:lang w:val="en-US" w:eastAsia="en-US"/>
    </w:rPr>
  </w:style>
  <w:style w:type="paragraph" w:customStyle="1" w:styleId="title-division-1">
    <w:name w:val="title-division-1"/>
    <w:basedOn w:val="Normal"/>
    <w:rsid w:val="005A30AB"/>
    <w:pPr>
      <w:spacing w:before="100" w:beforeAutospacing="1" w:after="100" w:afterAutospacing="1"/>
    </w:pPr>
    <w:rPr>
      <w:lang w:val="en-US" w:eastAsia="en-US"/>
    </w:rPr>
  </w:style>
  <w:style w:type="paragraph" w:customStyle="1" w:styleId="title-division-2">
    <w:name w:val="title-division-2"/>
    <w:basedOn w:val="Normal"/>
    <w:rsid w:val="005A30AB"/>
    <w:pPr>
      <w:spacing w:before="100" w:beforeAutospacing="1" w:after="100" w:afterAutospacing="1"/>
    </w:pPr>
    <w:rPr>
      <w:lang w:val="en-US" w:eastAsia="en-US"/>
    </w:rPr>
  </w:style>
  <w:style w:type="paragraph" w:customStyle="1" w:styleId="Normal1">
    <w:name w:val="Normal1"/>
    <w:basedOn w:val="Normal"/>
    <w:rsid w:val="006F45AC"/>
    <w:pPr>
      <w:spacing w:before="100" w:beforeAutospacing="1" w:after="100" w:afterAutospacing="1"/>
    </w:pPr>
    <w:rPr>
      <w:lang w:val="en-US" w:eastAsia="en-US"/>
    </w:rPr>
  </w:style>
  <w:style w:type="character" w:customStyle="1" w:styleId="italic">
    <w:name w:val="italic"/>
    <w:basedOn w:val="DefaultParagraphFont"/>
    <w:rsid w:val="00484C76"/>
  </w:style>
  <w:style w:type="paragraph" w:customStyle="1" w:styleId="norm">
    <w:name w:val="norm"/>
    <w:basedOn w:val="Normal"/>
    <w:rsid w:val="00C24264"/>
    <w:pPr>
      <w:spacing w:before="100" w:beforeAutospacing="1" w:after="100" w:afterAutospacing="1"/>
    </w:pPr>
    <w:rPr>
      <w:lang w:val="en-US" w:eastAsia="en-US"/>
    </w:rPr>
  </w:style>
  <w:style w:type="paragraph" w:customStyle="1" w:styleId="ti-section-1">
    <w:name w:val="ti-section-1"/>
    <w:basedOn w:val="Normal"/>
    <w:rsid w:val="00502578"/>
    <w:pPr>
      <w:spacing w:before="100" w:beforeAutospacing="1" w:after="100" w:afterAutospacing="1"/>
    </w:pPr>
    <w:rPr>
      <w:lang w:val="en-US" w:eastAsia="en-US"/>
    </w:rPr>
  </w:style>
  <w:style w:type="character" w:customStyle="1" w:styleId="expanded">
    <w:name w:val="expanded"/>
    <w:basedOn w:val="DefaultParagraphFont"/>
    <w:rsid w:val="00502578"/>
  </w:style>
  <w:style w:type="paragraph" w:customStyle="1" w:styleId="ti-section-2">
    <w:name w:val="ti-section-2"/>
    <w:basedOn w:val="Normal"/>
    <w:rsid w:val="00502578"/>
    <w:pPr>
      <w:spacing w:before="100" w:beforeAutospacing="1" w:after="100" w:afterAutospacing="1"/>
    </w:pPr>
    <w:rPr>
      <w:lang w:val="en-US" w:eastAsia="en-US"/>
    </w:rPr>
  </w:style>
  <w:style w:type="character" w:customStyle="1" w:styleId="bold">
    <w:name w:val="bold"/>
    <w:basedOn w:val="DefaultParagraphFont"/>
    <w:rsid w:val="00502578"/>
  </w:style>
  <w:style w:type="paragraph" w:styleId="FootnoteText">
    <w:name w:val="footnote text"/>
    <w:basedOn w:val="Normal"/>
    <w:link w:val="FootnoteTextChar"/>
    <w:uiPriority w:val="99"/>
    <w:semiHidden/>
    <w:unhideWhenUsed/>
    <w:rsid w:val="0024591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45915"/>
    <w:rPr>
      <w:sz w:val="20"/>
      <w:szCs w:val="20"/>
    </w:rPr>
  </w:style>
  <w:style w:type="character" w:styleId="FootnoteReference">
    <w:name w:val="footnote reference"/>
    <w:basedOn w:val="DefaultParagraphFont"/>
    <w:uiPriority w:val="99"/>
    <w:semiHidden/>
    <w:unhideWhenUsed/>
    <w:rsid w:val="00245915"/>
    <w:rPr>
      <w:vertAlign w:val="superscript"/>
    </w:rPr>
  </w:style>
  <w:style w:type="paragraph" w:styleId="Title">
    <w:name w:val="Title"/>
    <w:basedOn w:val="Normal"/>
    <w:link w:val="TitleChar"/>
    <w:qFormat/>
    <w:rsid w:val="00206E28"/>
    <w:pPr>
      <w:jc w:val="center"/>
    </w:pPr>
    <w:rPr>
      <w:sz w:val="28"/>
      <w:szCs w:val="20"/>
      <w:lang w:eastAsia="en-US"/>
    </w:rPr>
  </w:style>
  <w:style w:type="character" w:customStyle="1" w:styleId="TitleChar">
    <w:name w:val="Title Char"/>
    <w:basedOn w:val="DefaultParagraphFont"/>
    <w:link w:val="Title"/>
    <w:rsid w:val="00206E28"/>
    <w:rPr>
      <w:rFonts w:ascii="Times New Roman" w:eastAsia="Times New Roman" w:hAnsi="Times New Roman" w:cs="Times New Roman"/>
      <w:sz w:val="28"/>
      <w:szCs w:val="20"/>
    </w:rPr>
  </w:style>
  <w:style w:type="paragraph" w:customStyle="1" w:styleId="tv213">
    <w:name w:val="tv213"/>
    <w:basedOn w:val="Normal"/>
    <w:rsid w:val="00B37D1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3501FE"/>
    <w:rPr>
      <w:color w:val="800080" w:themeColor="followedHyperlink"/>
      <w:u w:val="single"/>
    </w:rPr>
  </w:style>
  <w:style w:type="paragraph" w:styleId="Revision">
    <w:name w:val="Revision"/>
    <w:hidden/>
    <w:uiPriority w:val="99"/>
    <w:semiHidden/>
    <w:rsid w:val="00DE4D8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263610917">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551962391">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855651802">
      <w:bodyDiv w:val="1"/>
      <w:marLeft w:val="0"/>
      <w:marRight w:val="0"/>
      <w:marTop w:val="0"/>
      <w:marBottom w:val="0"/>
      <w:divBdr>
        <w:top w:val="none" w:sz="0" w:space="0" w:color="auto"/>
        <w:left w:val="none" w:sz="0" w:space="0" w:color="auto"/>
        <w:bottom w:val="none" w:sz="0" w:space="0" w:color="auto"/>
        <w:right w:val="none" w:sz="0" w:space="0" w:color="auto"/>
      </w:divBdr>
      <w:divsChild>
        <w:div w:id="1311130392">
          <w:marLeft w:val="240"/>
          <w:marRight w:val="0"/>
          <w:marTop w:val="0"/>
          <w:marBottom w:val="0"/>
          <w:divBdr>
            <w:top w:val="none" w:sz="0" w:space="0" w:color="auto"/>
            <w:left w:val="none" w:sz="0" w:space="0" w:color="auto"/>
            <w:bottom w:val="none" w:sz="0" w:space="0" w:color="auto"/>
            <w:right w:val="none" w:sz="0" w:space="0" w:color="auto"/>
          </w:divBdr>
        </w:div>
        <w:div w:id="376009941">
          <w:marLeft w:val="240"/>
          <w:marRight w:val="0"/>
          <w:marTop w:val="0"/>
          <w:marBottom w:val="0"/>
          <w:divBdr>
            <w:top w:val="none" w:sz="0" w:space="0" w:color="auto"/>
            <w:left w:val="none" w:sz="0" w:space="0" w:color="auto"/>
            <w:bottom w:val="none" w:sz="0" w:space="0" w:color="auto"/>
            <w:right w:val="none" w:sz="0" w:space="0" w:color="auto"/>
          </w:divBdr>
        </w:div>
      </w:divsChild>
    </w:div>
    <w:div w:id="1192647625">
      <w:bodyDiv w:val="1"/>
      <w:marLeft w:val="0"/>
      <w:marRight w:val="0"/>
      <w:marTop w:val="0"/>
      <w:marBottom w:val="0"/>
      <w:divBdr>
        <w:top w:val="none" w:sz="0" w:space="0" w:color="auto"/>
        <w:left w:val="none" w:sz="0" w:space="0" w:color="auto"/>
        <w:bottom w:val="none" w:sz="0" w:space="0" w:color="auto"/>
        <w:right w:val="none" w:sz="0" w:space="0" w:color="auto"/>
      </w:divBdr>
    </w:div>
    <w:div w:id="1338576193">
      <w:bodyDiv w:val="1"/>
      <w:marLeft w:val="0"/>
      <w:marRight w:val="0"/>
      <w:marTop w:val="0"/>
      <w:marBottom w:val="0"/>
      <w:divBdr>
        <w:top w:val="none" w:sz="0" w:space="0" w:color="auto"/>
        <w:left w:val="none" w:sz="0" w:space="0" w:color="auto"/>
        <w:bottom w:val="none" w:sz="0" w:space="0" w:color="auto"/>
        <w:right w:val="none" w:sz="0" w:space="0" w:color="auto"/>
      </w:divBdr>
      <w:divsChild>
        <w:div w:id="274875655">
          <w:marLeft w:val="0"/>
          <w:marRight w:val="0"/>
          <w:marTop w:val="480"/>
          <w:marBottom w:val="240"/>
          <w:divBdr>
            <w:top w:val="none" w:sz="0" w:space="0" w:color="auto"/>
            <w:left w:val="none" w:sz="0" w:space="0" w:color="auto"/>
            <w:bottom w:val="none" w:sz="0" w:space="0" w:color="auto"/>
            <w:right w:val="none" w:sz="0" w:space="0" w:color="auto"/>
          </w:divBdr>
        </w:div>
        <w:div w:id="895553996">
          <w:marLeft w:val="0"/>
          <w:marRight w:val="0"/>
          <w:marTop w:val="0"/>
          <w:marBottom w:val="567"/>
          <w:divBdr>
            <w:top w:val="none" w:sz="0" w:space="0" w:color="auto"/>
            <w:left w:val="none" w:sz="0" w:space="0" w:color="auto"/>
            <w:bottom w:val="none" w:sz="0" w:space="0" w:color="auto"/>
            <w:right w:val="none" w:sz="0" w:space="0" w:color="auto"/>
          </w:divBdr>
        </w:div>
      </w:divsChild>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574895789">
      <w:bodyDiv w:val="1"/>
      <w:marLeft w:val="0"/>
      <w:marRight w:val="0"/>
      <w:marTop w:val="0"/>
      <w:marBottom w:val="0"/>
      <w:divBdr>
        <w:top w:val="none" w:sz="0" w:space="0" w:color="auto"/>
        <w:left w:val="none" w:sz="0" w:space="0" w:color="auto"/>
        <w:bottom w:val="none" w:sz="0" w:space="0" w:color="auto"/>
        <w:right w:val="none" w:sz="0" w:space="0" w:color="auto"/>
      </w:divBdr>
      <w:divsChild>
        <w:div w:id="1046685468">
          <w:marLeft w:val="240"/>
          <w:marRight w:val="0"/>
          <w:marTop w:val="0"/>
          <w:marBottom w:val="0"/>
          <w:divBdr>
            <w:top w:val="none" w:sz="0" w:space="0" w:color="auto"/>
            <w:left w:val="none" w:sz="0" w:space="0" w:color="auto"/>
            <w:bottom w:val="none" w:sz="0" w:space="0" w:color="auto"/>
            <w:right w:val="none" w:sz="0" w:space="0" w:color="auto"/>
          </w:divBdr>
        </w:div>
        <w:div w:id="1913157803">
          <w:marLeft w:val="240"/>
          <w:marRight w:val="0"/>
          <w:marTop w:val="0"/>
          <w:marBottom w:val="0"/>
          <w:divBdr>
            <w:top w:val="none" w:sz="0" w:space="0" w:color="auto"/>
            <w:left w:val="none" w:sz="0" w:space="0" w:color="auto"/>
            <w:bottom w:val="none" w:sz="0" w:space="0" w:color="auto"/>
            <w:right w:val="none" w:sz="0" w:space="0" w:color="auto"/>
          </w:divBdr>
        </w:div>
      </w:divsChild>
    </w:div>
    <w:div w:id="1670785945">
      <w:bodyDiv w:val="1"/>
      <w:marLeft w:val="0"/>
      <w:marRight w:val="0"/>
      <w:marTop w:val="0"/>
      <w:marBottom w:val="0"/>
      <w:divBdr>
        <w:top w:val="none" w:sz="0" w:space="0" w:color="auto"/>
        <w:left w:val="none" w:sz="0" w:space="0" w:color="auto"/>
        <w:bottom w:val="none" w:sz="0" w:space="0" w:color="auto"/>
        <w:right w:val="none" w:sz="0" w:space="0" w:color="auto"/>
      </w:divBdr>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4830467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8792629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15">
          <w:marLeft w:val="0"/>
          <w:marRight w:val="0"/>
          <w:marTop w:val="480"/>
          <w:marBottom w:val="240"/>
          <w:divBdr>
            <w:top w:val="none" w:sz="0" w:space="0" w:color="auto"/>
            <w:left w:val="none" w:sz="0" w:space="0" w:color="auto"/>
            <w:bottom w:val="none" w:sz="0" w:space="0" w:color="auto"/>
            <w:right w:val="none" w:sz="0" w:space="0" w:color="auto"/>
          </w:divBdr>
        </w:div>
        <w:div w:id="1726247910">
          <w:marLeft w:val="0"/>
          <w:marRight w:val="0"/>
          <w:marTop w:val="0"/>
          <w:marBottom w:val="567"/>
          <w:divBdr>
            <w:top w:val="none" w:sz="0" w:space="0" w:color="auto"/>
            <w:left w:val="none" w:sz="0" w:space="0" w:color="auto"/>
            <w:bottom w:val="none" w:sz="0" w:space="0" w:color="auto"/>
            <w:right w:val="none" w:sz="0" w:space="0" w:color="auto"/>
          </w:divBdr>
        </w:div>
      </w:divsChild>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 w:id="21197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3844.pdf" TargetMode="External"/><Relationship Id="rId13" Type="http://schemas.openxmlformats.org/officeDocument/2006/relationships/hyperlink" Target="https://manas.tiesas.lv/eTiesasMvc/nolemumi/pdf/389943.pdf" TargetMode="External"/><Relationship Id="rId18" Type="http://schemas.openxmlformats.org/officeDocument/2006/relationships/hyperlink" Target="https://manas.tiesas.lv/eTiesasMvc/nolemumi/pdf/12358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t.gov.lv/downloadlawfile/7086" TargetMode="External"/><Relationship Id="rId17" Type="http://schemas.openxmlformats.org/officeDocument/2006/relationships/hyperlink" Target="https://manas.tiesas.lv/eTiesasMvc/nolemumi/pdf/320033.pdf" TargetMode="External"/><Relationship Id="rId2" Type="http://schemas.openxmlformats.org/officeDocument/2006/relationships/numbering" Target="numbering.xml"/><Relationship Id="rId16" Type="http://schemas.openxmlformats.org/officeDocument/2006/relationships/hyperlink" Target="https://manas.tiesas.lv/eTiesasMvc/nolemumi/pdf/12299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7086" TargetMode="External"/><Relationship Id="rId5" Type="http://schemas.openxmlformats.org/officeDocument/2006/relationships/webSettings" Target="webSettings.xml"/><Relationship Id="rId15" Type="http://schemas.openxmlformats.org/officeDocument/2006/relationships/hyperlink" Target="https://manas.tiesas.lv/eTiesasMvc/nolemumi/pdf/127922.pdf" TargetMode="External"/><Relationship Id="rId10" Type="http://schemas.openxmlformats.org/officeDocument/2006/relationships/hyperlink" Target="https://manas.tiesas.lv/eTiesasMvc/nolemumi/pdf/376867.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gov.lv/downloadlawfile/7086" TargetMode="External"/><Relationship Id="rId14" Type="http://schemas.openxmlformats.org/officeDocument/2006/relationships/hyperlink" Target="https://manas.tiesas.lv/eTiesasMvc/nolemumi/pdf/11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A409-674A-465C-BCB1-0D10D37D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3834</Words>
  <Characters>21858</Characters>
  <Application>Microsoft Office Word</Application>
  <DocSecurity>0</DocSecurity>
  <Lines>182</Lines>
  <Paragraphs>51</Paragraphs>
  <ScaleCrop>false</ScaleCrop>
  <Company/>
  <LinksUpToDate>false</LinksUpToDate>
  <CharactersWithSpaces>25641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2023-09-26T14:05:00Z</dcterms:created>
  <dcterms:modified xsi:type="dcterms:W3CDTF">2023-09-27T07:50:00Z</dcterms:modified>
</cp:coreProperties>
</file>