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4133B" w14:textId="77777777" w:rsidR="00736A51" w:rsidRDefault="00736A51" w:rsidP="00100556">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Maršrutētāju antenu un to daļu klasificēšana un klasifikācijas koda noteikšana atbilstoši kombinētajai nomenklatūrai </w:t>
      </w:r>
    </w:p>
    <w:p w14:paraId="7AF2B15F" w14:textId="77777777" w:rsidR="00736A51" w:rsidRDefault="00736A51" w:rsidP="00100556">
      <w:pPr>
        <w:autoSpaceDE w:val="0"/>
        <w:autoSpaceDN w:val="0"/>
        <w:spacing w:line="276" w:lineRule="auto"/>
        <w:jc w:val="both"/>
        <w:rPr>
          <w:rFonts w:ascii="TimesNewRomanPSMT" w:hAnsi="TimesNewRomanPSMT"/>
          <w:b/>
          <w:bCs/>
          <w:color w:val="0070C0"/>
        </w:rPr>
      </w:pPr>
      <w:r>
        <w:rPr>
          <w:rFonts w:ascii="TimesNewRomanPSMT" w:hAnsi="TimesNewRomanPSMT"/>
        </w:rPr>
        <w:t>Antenas maršrutēšanas aparātiem, kas tiek konfigurēti saziņai lokālajos tīklos (LAN) un/vai teri</w:t>
      </w:r>
      <w:bookmarkStart w:id="0" w:name="_GoBack"/>
      <w:r>
        <w:rPr>
          <w:rFonts w:ascii="TimesNewRomanPSMT" w:hAnsi="TimesNewRomanPSMT"/>
        </w:rPr>
        <w:t>t</w:t>
      </w:r>
      <w:bookmarkEnd w:id="0"/>
      <w:r>
        <w:rPr>
          <w:rFonts w:ascii="TimesNewRomanPSMT" w:hAnsi="TimesNewRomanPSMT"/>
        </w:rPr>
        <w:t xml:space="preserve">oriālajos tīklos (WAN), ciktāl šīs antenas nav pielīdzināmas antenām radiotelegrāfa vai radiotelefona aparātiem, klasificējamas kombinētās nomenklatūras apakšpozīcijā 8517 70 19. </w:t>
      </w:r>
    </w:p>
    <w:p w14:paraId="7793D6D3" w14:textId="568B37B4" w:rsidR="006E4A34" w:rsidRDefault="006E4A34" w:rsidP="00100556">
      <w:pPr>
        <w:pStyle w:val="BodyText21"/>
        <w:spacing w:after="0" w:line="276" w:lineRule="auto"/>
        <w:rPr>
          <w:b/>
          <w:bCs/>
        </w:rPr>
      </w:pPr>
    </w:p>
    <w:p w14:paraId="7DA54E2A" w14:textId="329FBB4F" w:rsidR="006E4A34" w:rsidRPr="00100556" w:rsidRDefault="00100556" w:rsidP="00100556">
      <w:pPr>
        <w:spacing w:line="276" w:lineRule="auto"/>
        <w:jc w:val="center"/>
        <w:rPr>
          <w:b/>
          <w:bCs/>
        </w:rPr>
      </w:pPr>
      <w:r w:rsidRPr="00100556">
        <w:rPr>
          <w:b/>
          <w:bCs/>
        </w:rPr>
        <w:t>Latvijas Republikas Senāta</w:t>
      </w:r>
    </w:p>
    <w:p w14:paraId="29FB8EBD" w14:textId="0C49EA56" w:rsidR="00100556" w:rsidRPr="00100556" w:rsidRDefault="00100556" w:rsidP="00100556">
      <w:pPr>
        <w:spacing w:line="276" w:lineRule="auto"/>
        <w:jc w:val="center"/>
        <w:rPr>
          <w:b/>
          <w:bCs/>
        </w:rPr>
      </w:pPr>
      <w:r w:rsidRPr="00100556">
        <w:rPr>
          <w:b/>
          <w:bCs/>
        </w:rPr>
        <w:t xml:space="preserve">Administratīvo lietu departamenta </w:t>
      </w:r>
    </w:p>
    <w:p w14:paraId="0AAF9F8A" w14:textId="0E8830C0" w:rsidR="00100556" w:rsidRPr="00100556" w:rsidRDefault="00100556" w:rsidP="00100556">
      <w:pPr>
        <w:spacing w:line="276" w:lineRule="auto"/>
        <w:jc w:val="center"/>
        <w:rPr>
          <w:b/>
          <w:bCs/>
        </w:rPr>
      </w:pPr>
      <w:r w:rsidRPr="00100556">
        <w:rPr>
          <w:b/>
          <w:bCs/>
        </w:rPr>
        <w:t xml:space="preserve">2022.gada 29.decembra </w:t>
      </w:r>
    </w:p>
    <w:p w14:paraId="49B4A8A7" w14:textId="77777777" w:rsidR="006E4A34" w:rsidRPr="00100556" w:rsidRDefault="006E4A34" w:rsidP="00100556">
      <w:pPr>
        <w:spacing w:line="276" w:lineRule="auto"/>
        <w:jc w:val="center"/>
        <w:rPr>
          <w:b/>
          <w:bCs/>
        </w:rPr>
      </w:pPr>
      <w:r w:rsidRPr="00100556">
        <w:rPr>
          <w:b/>
          <w:bCs/>
        </w:rPr>
        <w:t>SPRIEDUMS</w:t>
      </w:r>
    </w:p>
    <w:p w14:paraId="777D3FD5" w14:textId="77777777" w:rsidR="00100556" w:rsidRPr="00100556" w:rsidRDefault="00100556" w:rsidP="00100556">
      <w:pPr>
        <w:spacing w:line="276" w:lineRule="auto"/>
        <w:jc w:val="center"/>
        <w:rPr>
          <w:b/>
        </w:rPr>
      </w:pPr>
      <w:r w:rsidRPr="00100556">
        <w:rPr>
          <w:b/>
        </w:rPr>
        <w:t>Lieta Nr. A420186016, SKA-12/2022</w:t>
      </w:r>
    </w:p>
    <w:p w14:paraId="0E4E9380" w14:textId="02328CEC" w:rsidR="00100556" w:rsidRPr="00100556" w:rsidRDefault="00100556" w:rsidP="00100556">
      <w:pPr>
        <w:spacing w:line="276" w:lineRule="auto"/>
        <w:jc w:val="center"/>
      </w:pPr>
      <w:hyperlink r:id="rId8" w:history="1">
        <w:r w:rsidRPr="00100556">
          <w:rPr>
            <w:rStyle w:val="Hyperlink"/>
            <w:lang w:val="en-US" w:eastAsia="en-US"/>
          </w:rPr>
          <w:t>ECLI:LV:AT:2022:1229.A420186016.7.S</w:t>
        </w:r>
      </w:hyperlink>
      <w:r w:rsidRPr="00100556">
        <w:rPr>
          <w:color w:val="0000EF"/>
          <w:lang w:val="en-US" w:eastAsia="en-US"/>
        </w:rPr>
        <w:t xml:space="preserve"> </w:t>
      </w:r>
    </w:p>
    <w:p w14:paraId="2F5005E6" w14:textId="77777777" w:rsidR="006E4A34" w:rsidRDefault="006E4A34" w:rsidP="00100556">
      <w:pPr>
        <w:spacing w:line="276" w:lineRule="auto"/>
        <w:ind w:firstLine="567"/>
        <w:jc w:val="both"/>
      </w:pPr>
    </w:p>
    <w:p w14:paraId="2BFF1043" w14:textId="355BC726" w:rsidR="006E4A34" w:rsidRDefault="006E4A34" w:rsidP="00100556">
      <w:pPr>
        <w:spacing w:line="276" w:lineRule="auto"/>
        <w:ind w:firstLine="567"/>
        <w:jc w:val="both"/>
      </w:pPr>
      <w:r>
        <w:t>Tiesa šādā sastāvā: senator</w:t>
      </w:r>
      <w:r w:rsidR="00630667">
        <w:t>i</w:t>
      </w:r>
      <w:r>
        <w:t xml:space="preserve"> </w:t>
      </w:r>
      <w:r w:rsidR="00551618">
        <w:t xml:space="preserve">Diāna </w:t>
      </w:r>
      <w:r w:rsidR="00551618" w:rsidRPr="00035FD9">
        <w:t>Makarova</w:t>
      </w:r>
      <w:r w:rsidRPr="00035FD9">
        <w:t xml:space="preserve">, </w:t>
      </w:r>
      <w:r w:rsidR="00630667">
        <w:t>Valters Poķis, Līvija Slica</w:t>
      </w:r>
    </w:p>
    <w:p w14:paraId="731FADA8" w14:textId="77777777" w:rsidR="006E4A34" w:rsidRDefault="006E4A34" w:rsidP="00100556">
      <w:pPr>
        <w:spacing w:line="276" w:lineRule="auto"/>
        <w:ind w:firstLine="567"/>
        <w:jc w:val="both"/>
      </w:pPr>
    </w:p>
    <w:p w14:paraId="215605A3" w14:textId="0CB675B1" w:rsidR="0088446A" w:rsidRPr="0075027C" w:rsidRDefault="006E4A34" w:rsidP="00100556">
      <w:pPr>
        <w:spacing w:line="276" w:lineRule="auto"/>
        <w:ind w:firstLine="567"/>
        <w:jc w:val="both"/>
      </w:pPr>
      <w:r>
        <w:t xml:space="preserve">rakstveida procesā izskatīja administratīvo lietu, </w:t>
      </w:r>
      <w:r w:rsidR="0088446A" w:rsidRPr="0088446A">
        <w:t>kas ierosināta</w:t>
      </w:r>
      <w:r w:rsidR="004B7E48">
        <w:t xml:space="preserve">, pamatojoties uz </w:t>
      </w:r>
      <w:bookmarkStart w:id="1" w:name="_Hlk121466938"/>
      <w:r w:rsidR="00E15BA7" w:rsidRPr="00E15BA7">
        <w:rPr>
          <w:bCs/>
        </w:rPr>
        <w:t>SIA „Mikrotīkls”</w:t>
      </w:r>
      <w:bookmarkEnd w:id="1"/>
      <w:r w:rsidR="00E15BA7" w:rsidRPr="00E15BA7">
        <w:rPr>
          <w:bCs/>
        </w:rPr>
        <w:t xml:space="preserve"> pieteikumu par Valsts ieņēmumu dienesta 2016.gada 29.janvāra lēmuma Nr.</w:t>
      </w:r>
      <w:r w:rsidR="00C30D6D">
        <w:rPr>
          <w:bCs/>
        </w:rPr>
        <w:t> </w:t>
      </w:r>
      <w:r w:rsidR="00E15BA7" w:rsidRPr="00E15BA7">
        <w:rPr>
          <w:bCs/>
        </w:rPr>
        <w:t>22.9-1/723 atcelšanu daļā,</w:t>
      </w:r>
      <w:r w:rsidR="00E15BA7" w:rsidRPr="00E15BA7">
        <w:t xml:space="preserve"> </w:t>
      </w:r>
      <w:r w:rsidR="00E15BA7" w:rsidRPr="00E15BA7">
        <w:rPr>
          <w:bCs/>
        </w:rPr>
        <w:t>sakarā ar SIA „Mikrotīkls” kasācijas sūdzību par Administratīvās apgabaltiesas 2018.gada 12.februāra spriedumu</w:t>
      </w:r>
      <w:r w:rsidR="0088446A" w:rsidRPr="0075027C">
        <w:t>.</w:t>
      </w:r>
    </w:p>
    <w:p w14:paraId="7C22FE93" w14:textId="77777777" w:rsidR="006E4A34" w:rsidRPr="0075027C" w:rsidRDefault="006E4A34" w:rsidP="00100556">
      <w:pPr>
        <w:spacing w:line="276" w:lineRule="auto"/>
        <w:ind w:firstLine="567"/>
        <w:jc w:val="both"/>
      </w:pPr>
    </w:p>
    <w:p w14:paraId="658D4EBA" w14:textId="77777777" w:rsidR="006E4A34" w:rsidRPr="0075027C" w:rsidRDefault="006E4A34" w:rsidP="00100556">
      <w:pPr>
        <w:pStyle w:val="ATpamattesksts"/>
        <w:ind w:firstLine="0"/>
        <w:jc w:val="center"/>
      </w:pPr>
      <w:r w:rsidRPr="0075027C">
        <w:rPr>
          <w:b/>
          <w:bCs/>
        </w:rPr>
        <w:lastRenderedPageBreak/>
        <w:t>Aprakstošā daļa</w:t>
      </w:r>
    </w:p>
    <w:p w14:paraId="79122330" w14:textId="77777777" w:rsidR="006E4A34" w:rsidRPr="0075027C" w:rsidRDefault="006E4A34" w:rsidP="00100556">
      <w:pPr>
        <w:spacing w:line="276" w:lineRule="auto"/>
        <w:ind w:firstLine="567"/>
        <w:jc w:val="both"/>
      </w:pPr>
    </w:p>
    <w:p w14:paraId="52BEC69E" w14:textId="569E0009" w:rsidR="00D86F16" w:rsidRDefault="0088446A" w:rsidP="00100556">
      <w:pPr>
        <w:autoSpaceDE w:val="0"/>
        <w:autoSpaceDN w:val="0"/>
        <w:adjustRightInd w:val="0"/>
        <w:spacing w:line="276" w:lineRule="auto"/>
        <w:ind w:firstLine="567"/>
        <w:jc w:val="both"/>
      </w:pPr>
      <w:r w:rsidRPr="0075027C">
        <w:t>[1] </w:t>
      </w:r>
      <w:r w:rsidR="00D86F16" w:rsidRPr="00D86F16">
        <w:t>Pieteicēja SIA</w:t>
      </w:r>
      <w:r w:rsidR="00D86F16">
        <w:t> </w:t>
      </w:r>
      <w:r w:rsidR="00D86F16" w:rsidRPr="00D86F16">
        <w:t>„Mikrotīkls” laika posmā no 2013.gada 7.janvāra līdz 2014.gada 27.oktobrim ar muitas deklarācijām pieteica muitas procedūrai – laišana brīvā apgrozībā</w:t>
      </w:r>
      <w:r w:rsidR="00C30D6D">
        <w:t> </w:t>
      </w:r>
      <w:r w:rsidR="00D86F16" w:rsidRPr="00D86F16">
        <w:t>– preces: maršrutētāju antenas un to daļas, deklarējot t</w:t>
      </w:r>
      <w:r w:rsidR="00D7202E">
        <w:t>ās</w:t>
      </w:r>
      <w:r w:rsidR="00D86F16" w:rsidRPr="00D86F16">
        <w:t xml:space="preserve"> vienā pozīcijā ar kombinētās nomenklatūras (turpmāk – KN) un </w:t>
      </w:r>
      <w:r w:rsidR="00E8750B" w:rsidRPr="00E8750B">
        <w:t>Kopienas</w:t>
      </w:r>
      <w:r w:rsidR="00E8750B">
        <w:t xml:space="preserve"> </w:t>
      </w:r>
      <w:r w:rsidR="00E8750B" w:rsidRPr="00E8750B">
        <w:t>integrētā tarifa</w:t>
      </w:r>
      <w:r w:rsidR="00E8750B">
        <w:t xml:space="preserve"> (turpmāk – </w:t>
      </w:r>
      <w:r w:rsidR="00D86F16" w:rsidRPr="00D86F16">
        <w:t>TARIC</w:t>
      </w:r>
      <w:r w:rsidR="00E8750B">
        <w:t>)</w:t>
      </w:r>
      <w:r w:rsidR="00D86F16" w:rsidRPr="00D86F16">
        <w:t xml:space="preserve"> kodu 8517</w:t>
      </w:r>
      <w:r w:rsidR="00D86F16">
        <w:t> </w:t>
      </w:r>
      <w:r w:rsidR="00D86F16" w:rsidRPr="00D86F16">
        <w:t>70</w:t>
      </w:r>
      <w:r w:rsidR="00D86F16">
        <w:t> </w:t>
      </w:r>
      <w:r w:rsidR="00D86F16" w:rsidRPr="00D86F16">
        <w:t>11</w:t>
      </w:r>
      <w:r w:rsidR="00D86F16">
        <w:t> </w:t>
      </w:r>
      <w:r w:rsidR="00D86F16" w:rsidRPr="00D86F16">
        <w:t>90: telefonu aparāti, ieskaitot telefonus šūnu tīkliem vai citiem bezvadu tīkliem; citādi aparāti balss, attēlu vai citu datu pārraidei vai uztveršanai, ieskaitot aparātus saziņai līniju vai bezvadu tīklā (tāds kā lokālais vai teritoriālais tīkls), izņemot pārraides vai uztveršanas aparātus, kas minēti pozīcijā 8443, 8525, 8527 vai 8528: - daļas: -- visu veidu antenas un reflektori; daļas, kas izmantojamas kopā ar šiem izstrādājumiem: --- antenas radiotelegrāfa vai radiotelefona aparātiem: ---- pārējie. Precēm piemērota ievedmuitas nodokļa pamatlikme 0</w:t>
      </w:r>
      <w:r w:rsidR="00707D6D">
        <w:t> </w:t>
      </w:r>
      <w:r w:rsidR="00D86F16" w:rsidRPr="00D86F16">
        <w:t>procentu apmērā.</w:t>
      </w:r>
    </w:p>
    <w:p w14:paraId="1587E830" w14:textId="6F46DA4D" w:rsidR="00D86F16" w:rsidRDefault="00D86F16" w:rsidP="00100556">
      <w:pPr>
        <w:autoSpaceDE w:val="0"/>
        <w:autoSpaceDN w:val="0"/>
        <w:adjustRightInd w:val="0"/>
        <w:spacing w:line="276" w:lineRule="auto"/>
        <w:ind w:firstLine="567"/>
        <w:jc w:val="both"/>
      </w:pPr>
      <w:r w:rsidRPr="00D86F16">
        <w:lastRenderedPageBreak/>
        <w:t>Ar Valsts ieņēmumu dienesta 2016.gada 29.janvāra lēmumu (ar 29.februāra lēmuma Nr.</w:t>
      </w:r>
      <w:r>
        <w:t> </w:t>
      </w:r>
      <w:r w:rsidRPr="00D86F16">
        <w:t>22.9-1/1490 grozījumiem)</w:t>
      </w:r>
      <w:r w:rsidR="00DF34B7">
        <w:t xml:space="preserve"> </w:t>
      </w:r>
      <w:r w:rsidR="00DF34B7" w:rsidRPr="00C30D6D">
        <w:t>tā pārsūdzētajā daļā</w:t>
      </w:r>
      <w:r w:rsidRPr="00C30D6D">
        <w:t xml:space="preserve"> </w:t>
      </w:r>
      <w:r w:rsidRPr="00D86F16">
        <w:t>pieteicējai par norādītajām precēm aprēķināts muitas nodokļa un pievienotās vērtības nodokļa pamatparāds, kā arī soda nauda un nokavējuma nauda.</w:t>
      </w:r>
    </w:p>
    <w:p w14:paraId="05CF9900" w14:textId="0D53F4D4" w:rsidR="00D86F16" w:rsidRPr="00DF34B7" w:rsidRDefault="00D86F16" w:rsidP="00100556">
      <w:pPr>
        <w:autoSpaceDE w:val="0"/>
        <w:autoSpaceDN w:val="0"/>
        <w:adjustRightInd w:val="0"/>
        <w:spacing w:line="276" w:lineRule="auto"/>
        <w:ind w:firstLine="567"/>
        <w:jc w:val="both"/>
      </w:pPr>
      <w:r w:rsidRPr="00D86F16">
        <w:t>Lēmumā norādīts, ka, vērtējot pieteicējas maršrutētāju pamatīpašības (datortīkla aparāti), KN</w:t>
      </w:r>
      <w:r w:rsidR="00C30D6D">
        <w:t> </w:t>
      </w:r>
      <w:r w:rsidRPr="00D86F16">
        <w:t xml:space="preserve">pozīcijas 8517 uzbūvi un </w:t>
      </w:r>
      <w:r w:rsidR="00284308">
        <w:t>Pasaules Muitas organizācijas Harmonizētās preču aprakstīšanas un kodēšanas sistēmas</w:t>
      </w:r>
      <w:r w:rsidRPr="00D86F16">
        <w:t xml:space="preserve"> (turpmāk – HS) pozīcijas 8517 skaidrojumus kopsakarā, jāsecina, ka HS</w:t>
      </w:r>
      <w:r w:rsidR="00C30D6D">
        <w:t> </w:t>
      </w:r>
      <w:r w:rsidRPr="00D86F16">
        <w:t>skaidrojumi maršrutētāju definē kā atsevišķu aparātu, kas tiek konfigurēts lietošanai lokālajos tīklos (LAN) un/vai teritoriālajos tīklos (WAN), un ka tie ir citādi sakaru aparāti HS</w:t>
      </w:r>
      <w:r w:rsidR="00C30D6D">
        <w:t> </w:t>
      </w:r>
      <w:r w:rsidRPr="00D86F16">
        <w:t>nozīmē. HS nošķir maršrutētājus no radiotelegrāfa vai radiotelefona aparātiem, televīzijas, radiofonijas, mobilajiem telefoniem, radiolokācijas aparātiem u.</w:t>
      </w:r>
      <w:r w:rsidR="00C30D6D">
        <w:t> </w:t>
      </w:r>
      <w:r w:rsidRPr="00D86F16">
        <w:t xml:space="preserve">c. Tādējādi Pasaules Muitas organizācija ir izslēgusi maršrutētājus no radiotelegrāfa un radiotelefona </w:t>
      </w:r>
      <w:r w:rsidRPr="00D86F16">
        <w:lastRenderedPageBreak/>
        <w:t>aparātu klāsta; maršrutētāji ir „citādi sakaru aparāti, kas tiek konfigurēti lietošanai lokālajos tīklos (LAN) un/vai teritoriālajos tīklos (WAN)” HS un arī KN izpratnē.</w:t>
      </w:r>
    </w:p>
    <w:p w14:paraId="15622BC7" w14:textId="77777777" w:rsidR="00E142AD" w:rsidRDefault="00E142AD" w:rsidP="00100556">
      <w:pPr>
        <w:autoSpaceDE w:val="0"/>
        <w:autoSpaceDN w:val="0"/>
        <w:adjustRightInd w:val="0"/>
        <w:spacing w:line="276" w:lineRule="auto"/>
        <w:ind w:firstLine="567"/>
        <w:jc w:val="both"/>
      </w:pPr>
    </w:p>
    <w:p w14:paraId="45B4C647" w14:textId="77777777" w:rsidR="00C30D6D" w:rsidRDefault="00FC6F1A" w:rsidP="00100556">
      <w:pPr>
        <w:autoSpaceDE w:val="0"/>
        <w:autoSpaceDN w:val="0"/>
        <w:adjustRightInd w:val="0"/>
        <w:spacing w:line="276" w:lineRule="auto"/>
        <w:ind w:firstLine="567"/>
        <w:jc w:val="both"/>
        <w:rPr>
          <w:color w:val="000000" w:themeColor="text1"/>
        </w:rPr>
      </w:pPr>
      <w:r>
        <w:t>[</w:t>
      </w:r>
      <w:r w:rsidR="00037183">
        <w:t>2</w:t>
      </w:r>
      <w:r>
        <w:t>] </w:t>
      </w:r>
      <w:r w:rsidR="00575EB0" w:rsidRPr="00575EB0">
        <w:rPr>
          <w:color w:val="000000" w:themeColor="text1"/>
        </w:rPr>
        <w:t xml:space="preserve">Pieteicēja </w:t>
      </w:r>
      <w:r w:rsidR="00C30D6D">
        <w:rPr>
          <w:color w:val="000000" w:themeColor="text1"/>
        </w:rPr>
        <w:t>Valsts ieņēmumu dienesta lēmumu pārsūdzēja.</w:t>
      </w:r>
    </w:p>
    <w:p w14:paraId="42D21F49" w14:textId="00F0C7B4" w:rsidR="00FC6F1A" w:rsidRPr="00A23C13" w:rsidRDefault="00575EB0" w:rsidP="00100556">
      <w:pPr>
        <w:autoSpaceDE w:val="0"/>
        <w:autoSpaceDN w:val="0"/>
        <w:adjustRightInd w:val="0"/>
        <w:spacing w:line="276" w:lineRule="auto"/>
        <w:ind w:firstLine="567"/>
        <w:jc w:val="both"/>
        <w:rPr>
          <w:color w:val="000000" w:themeColor="text1"/>
        </w:rPr>
      </w:pPr>
      <w:r w:rsidRPr="00575EB0">
        <w:rPr>
          <w:color w:val="000000" w:themeColor="text1"/>
        </w:rPr>
        <w:t xml:space="preserve">Administratīvā apgabaltiesa ar 2018.gada 12.februāra spriedumu pieteikumu noraidīja. Tiesa atzina par pareizu </w:t>
      </w:r>
      <w:r w:rsidR="00C30D6D">
        <w:rPr>
          <w:color w:val="000000" w:themeColor="text1"/>
        </w:rPr>
        <w:t xml:space="preserve">Valsts ieņēmumu dienesta </w:t>
      </w:r>
      <w:r w:rsidRPr="00575EB0">
        <w:rPr>
          <w:color w:val="000000" w:themeColor="text1"/>
        </w:rPr>
        <w:t xml:space="preserve">secinājumu, ka lietā </w:t>
      </w:r>
      <w:r w:rsidRPr="00F427C1">
        <w:rPr>
          <w:color w:val="000000" w:themeColor="text1"/>
        </w:rPr>
        <w:t>piemērojams HS</w:t>
      </w:r>
      <w:r w:rsidR="00C30D6D">
        <w:rPr>
          <w:color w:val="000000" w:themeColor="text1"/>
        </w:rPr>
        <w:t> </w:t>
      </w:r>
      <w:r w:rsidRPr="00575EB0">
        <w:rPr>
          <w:color w:val="000000" w:themeColor="text1"/>
        </w:rPr>
        <w:t xml:space="preserve">pozīcijas 8517 skaidrojumu II sadaļas (F) punkts, tādēļ </w:t>
      </w:r>
      <w:r w:rsidR="00C30D6D">
        <w:rPr>
          <w:color w:val="000000" w:themeColor="text1"/>
        </w:rPr>
        <w:t xml:space="preserve">strīdus </w:t>
      </w:r>
      <w:r w:rsidRPr="00575EB0">
        <w:rPr>
          <w:color w:val="000000" w:themeColor="text1"/>
        </w:rPr>
        <w:t>precēm nav piemērojams KN un TARIC kods 8517</w:t>
      </w:r>
      <w:r>
        <w:rPr>
          <w:color w:val="000000" w:themeColor="text1"/>
        </w:rPr>
        <w:t> </w:t>
      </w:r>
      <w:r w:rsidRPr="00575EB0">
        <w:rPr>
          <w:color w:val="000000" w:themeColor="text1"/>
        </w:rPr>
        <w:t>70</w:t>
      </w:r>
      <w:r>
        <w:rPr>
          <w:color w:val="000000" w:themeColor="text1"/>
        </w:rPr>
        <w:t> </w:t>
      </w:r>
      <w:r w:rsidRPr="00575EB0">
        <w:rPr>
          <w:color w:val="000000" w:themeColor="text1"/>
        </w:rPr>
        <w:t>11</w:t>
      </w:r>
      <w:r>
        <w:rPr>
          <w:color w:val="000000" w:themeColor="text1"/>
        </w:rPr>
        <w:t> </w:t>
      </w:r>
      <w:r w:rsidRPr="00575EB0">
        <w:rPr>
          <w:color w:val="000000" w:themeColor="text1"/>
        </w:rPr>
        <w:t>90 kā radiotelefonu daļām. Antenas maršrutētājiem un to daļas ir klasificējamas ar KN kodu 8517</w:t>
      </w:r>
      <w:r>
        <w:rPr>
          <w:color w:val="000000" w:themeColor="text1"/>
        </w:rPr>
        <w:t> </w:t>
      </w:r>
      <w:r w:rsidRPr="00575EB0">
        <w:rPr>
          <w:color w:val="000000" w:themeColor="text1"/>
        </w:rPr>
        <w:t>70</w:t>
      </w:r>
      <w:r>
        <w:rPr>
          <w:color w:val="000000" w:themeColor="text1"/>
        </w:rPr>
        <w:t> </w:t>
      </w:r>
      <w:r w:rsidRPr="00575EB0">
        <w:rPr>
          <w:color w:val="000000" w:themeColor="text1"/>
        </w:rPr>
        <w:t>19. Tiesa secināja, ka HS skaidrojumi nenonāk pretrunā ar KN skaidrojumiem kodam 8517</w:t>
      </w:r>
      <w:r>
        <w:rPr>
          <w:color w:val="000000" w:themeColor="text1"/>
        </w:rPr>
        <w:t> </w:t>
      </w:r>
      <w:r w:rsidRPr="00575EB0">
        <w:rPr>
          <w:color w:val="000000" w:themeColor="text1"/>
        </w:rPr>
        <w:t>62</w:t>
      </w:r>
      <w:r>
        <w:rPr>
          <w:color w:val="000000" w:themeColor="text1"/>
        </w:rPr>
        <w:t> </w:t>
      </w:r>
      <w:r w:rsidRPr="00575EB0">
        <w:rPr>
          <w:color w:val="000000" w:themeColor="text1"/>
        </w:rPr>
        <w:t>00. Uz to, ka radiotelefona vai radiotelegrāfa aparātus KN izdala kā atsevišķu aparātu, norāda, piemēram, arī KN skaidrojumi KN kodam 8517</w:t>
      </w:r>
      <w:r>
        <w:rPr>
          <w:color w:val="000000" w:themeColor="text1"/>
        </w:rPr>
        <w:t> </w:t>
      </w:r>
      <w:r w:rsidRPr="00575EB0">
        <w:rPr>
          <w:color w:val="000000" w:themeColor="text1"/>
        </w:rPr>
        <w:t>69</w:t>
      </w:r>
      <w:r>
        <w:rPr>
          <w:color w:val="000000" w:themeColor="text1"/>
        </w:rPr>
        <w:t> </w:t>
      </w:r>
      <w:r w:rsidRPr="00575EB0">
        <w:rPr>
          <w:color w:val="000000" w:themeColor="text1"/>
        </w:rPr>
        <w:t>39 un kodam 8517</w:t>
      </w:r>
      <w:r>
        <w:rPr>
          <w:color w:val="000000" w:themeColor="text1"/>
        </w:rPr>
        <w:t> </w:t>
      </w:r>
      <w:r w:rsidRPr="00575EB0">
        <w:rPr>
          <w:color w:val="000000" w:themeColor="text1"/>
        </w:rPr>
        <w:t>69</w:t>
      </w:r>
      <w:r>
        <w:rPr>
          <w:color w:val="000000" w:themeColor="text1"/>
        </w:rPr>
        <w:t> </w:t>
      </w:r>
      <w:r w:rsidRPr="00575EB0">
        <w:rPr>
          <w:color w:val="000000" w:themeColor="text1"/>
        </w:rPr>
        <w:t xml:space="preserve">90. Papildus, izvērtējot Eiropas </w:t>
      </w:r>
      <w:r w:rsidRPr="00575EB0">
        <w:rPr>
          <w:color w:val="000000" w:themeColor="text1"/>
        </w:rPr>
        <w:lastRenderedPageBreak/>
        <w:t>Savienības dalībvalstu muitas iestāžu izdotās saistošās izziņas par tarifu, tiesa konstatēja, ka arī citu dalībvalstu muitas iestādes antenas maršrutētājiem, kā arī to daļas klasificē ar KN kodu 8517</w:t>
      </w:r>
      <w:r>
        <w:rPr>
          <w:color w:val="000000" w:themeColor="text1"/>
        </w:rPr>
        <w:t> </w:t>
      </w:r>
      <w:r w:rsidRPr="00575EB0">
        <w:rPr>
          <w:color w:val="000000" w:themeColor="text1"/>
        </w:rPr>
        <w:t>70</w:t>
      </w:r>
      <w:r>
        <w:rPr>
          <w:color w:val="000000" w:themeColor="text1"/>
        </w:rPr>
        <w:t> </w:t>
      </w:r>
      <w:r w:rsidRPr="00575EB0">
        <w:rPr>
          <w:color w:val="000000" w:themeColor="text1"/>
        </w:rPr>
        <w:t>19.</w:t>
      </w:r>
    </w:p>
    <w:p w14:paraId="21A57822" w14:textId="12221B9D" w:rsidR="003045A9" w:rsidRDefault="003045A9" w:rsidP="00100556">
      <w:pPr>
        <w:autoSpaceDE w:val="0"/>
        <w:autoSpaceDN w:val="0"/>
        <w:adjustRightInd w:val="0"/>
        <w:spacing w:line="276" w:lineRule="auto"/>
        <w:ind w:firstLine="567"/>
        <w:jc w:val="both"/>
      </w:pPr>
    </w:p>
    <w:p w14:paraId="6BB3AC77" w14:textId="39EED867" w:rsidR="00427A5B" w:rsidRDefault="00BB4E11" w:rsidP="00100556">
      <w:pPr>
        <w:autoSpaceDE w:val="0"/>
        <w:autoSpaceDN w:val="0"/>
        <w:adjustRightInd w:val="0"/>
        <w:spacing w:line="276" w:lineRule="auto"/>
        <w:ind w:firstLine="567"/>
        <w:jc w:val="both"/>
      </w:pPr>
      <w:bookmarkStart w:id="2" w:name="_Hlk117682822"/>
      <w:r>
        <w:t>[</w:t>
      </w:r>
      <w:r w:rsidR="006346A5">
        <w:t>3</w:t>
      </w:r>
      <w:r>
        <w:t>] </w:t>
      </w:r>
      <w:r w:rsidR="00AA1C77" w:rsidRPr="00AA1C77">
        <w:t xml:space="preserve">Pieteicēja </w:t>
      </w:r>
      <w:r w:rsidR="00C30D6D">
        <w:t xml:space="preserve">par </w:t>
      </w:r>
      <w:r w:rsidR="00AA1C77" w:rsidRPr="00AA1C77">
        <w:t>apgabaltiesas spriedumu</w:t>
      </w:r>
      <w:r w:rsidR="00C30D6D">
        <w:t xml:space="preserve"> iesnie</w:t>
      </w:r>
      <w:r w:rsidR="003A3579">
        <w:t>dza</w:t>
      </w:r>
      <w:r w:rsidR="00C30D6D">
        <w:t xml:space="preserve"> </w:t>
      </w:r>
      <w:r w:rsidR="00AA1C77" w:rsidRPr="00AA1C77">
        <w:t>kasācijas sūdzīb</w:t>
      </w:r>
      <w:r w:rsidR="00C30D6D">
        <w:t xml:space="preserve">u, </w:t>
      </w:r>
      <w:r w:rsidR="00AA1C77" w:rsidRPr="00AA1C77">
        <w:t>turpinot uzturēt viedokli, ka lietā nepareizi interpretētas Komisijas 2013.gada 4.oktobra Īstenošanas regulas (ES) Nr.</w:t>
      </w:r>
      <w:r w:rsidR="00707D6D">
        <w:t> </w:t>
      </w:r>
      <w:r w:rsidR="00AA1C77" w:rsidRPr="00AA1C77">
        <w:t>1001/2013, ar ko groza I pielikumu Padomes Regulā (EEK) Nr.</w:t>
      </w:r>
      <w:r w:rsidR="00427A5B">
        <w:t> </w:t>
      </w:r>
      <w:r w:rsidR="00AA1C77" w:rsidRPr="00AA1C77">
        <w:t>2658/87 par tarifu un statistikas nomenklatūru un kopējo muitas tarifu (turpmāk – Īstenošanas regula), kombinētās nomenklatūras attiecīgās pozīcijas.</w:t>
      </w:r>
      <w:r w:rsidR="00C30D6D">
        <w:t xml:space="preserve"> Šād</w:t>
      </w:r>
      <w:r w:rsidR="003A3579">
        <w:t>a viedokļa pamatošanai kasācijas sūdzībā norādīti turp</w:t>
      </w:r>
      <w:r w:rsidR="00C30D6D">
        <w:t xml:space="preserve">māk </w:t>
      </w:r>
      <w:r w:rsidR="003A3579">
        <w:t xml:space="preserve">minētie </w:t>
      </w:r>
      <w:r w:rsidR="00C30D6D">
        <w:t>argumenti.</w:t>
      </w:r>
    </w:p>
    <w:p w14:paraId="6799746D" w14:textId="2032FE29" w:rsidR="00050A76" w:rsidRDefault="00C30D6D" w:rsidP="00100556">
      <w:pPr>
        <w:autoSpaceDE w:val="0"/>
        <w:autoSpaceDN w:val="0"/>
        <w:adjustRightInd w:val="0"/>
        <w:spacing w:line="276" w:lineRule="auto"/>
        <w:ind w:firstLine="567"/>
        <w:jc w:val="both"/>
      </w:pPr>
      <w:r>
        <w:t>[</w:t>
      </w:r>
      <w:r w:rsidR="006346A5">
        <w:t>3</w:t>
      </w:r>
      <w:r>
        <w:t>.1] </w:t>
      </w:r>
      <w:r w:rsidR="00F95FFC">
        <w:t>T</w:t>
      </w:r>
      <w:r w:rsidR="00AA1C77" w:rsidRPr="00AA1C77">
        <w:t>iesas secinājumi ir pretrunā ar KN Vispārīgā interpretācijas 3.noteikuma a)</w:t>
      </w:r>
      <w:r w:rsidR="00050A76">
        <w:t> </w:t>
      </w:r>
      <w:r w:rsidR="00AA1C77" w:rsidRPr="00AA1C77">
        <w:t>piezīmi, KN XVI sadaļas 2.</w:t>
      </w:r>
      <w:r w:rsidR="00F95FFC">
        <w:t xml:space="preserve">punkta </w:t>
      </w:r>
      <w:r w:rsidR="00AA1C77" w:rsidRPr="00AA1C77">
        <w:t>b)</w:t>
      </w:r>
      <w:r w:rsidR="00050A76">
        <w:t> </w:t>
      </w:r>
      <w:r w:rsidR="00AA1C77" w:rsidRPr="00AA1C77">
        <w:t>piezīmi, KN un TARIC 8517</w:t>
      </w:r>
      <w:r w:rsidR="00050A76">
        <w:t> </w:t>
      </w:r>
      <w:r w:rsidR="00AA1C77" w:rsidRPr="00AA1C77">
        <w:t>62</w:t>
      </w:r>
      <w:r w:rsidR="00050A76">
        <w:t> </w:t>
      </w:r>
      <w:r w:rsidR="00AA1C77" w:rsidRPr="00AA1C77">
        <w:t>00</w:t>
      </w:r>
      <w:r w:rsidR="00050A76">
        <w:t> </w:t>
      </w:r>
      <w:r w:rsidR="00AA1C77" w:rsidRPr="00AA1C77">
        <w:t>90 un 8517</w:t>
      </w:r>
      <w:r w:rsidR="00050A76">
        <w:t> </w:t>
      </w:r>
      <w:r w:rsidR="00AA1C77" w:rsidRPr="00AA1C77">
        <w:t>70</w:t>
      </w:r>
      <w:r w:rsidR="00050A76">
        <w:t> </w:t>
      </w:r>
      <w:r w:rsidR="00AA1C77" w:rsidRPr="00AA1C77">
        <w:t>11</w:t>
      </w:r>
      <w:r w:rsidR="00050A76">
        <w:t> </w:t>
      </w:r>
      <w:r w:rsidR="00AA1C77" w:rsidRPr="00AA1C77">
        <w:t xml:space="preserve">90 apakšpozīciju ierakstiem, Eiropas </w:t>
      </w:r>
      <w:r w:rsidR="00AA1C77" w:rsidRPr="00AA1C77">
        <w:lastRenderedPageBreak/>
        <w:t>Komisijas pieņemtajiem Eiropas Savienības KN</w:t>
      </w:r>
      <w:r w:rsidR="00F95FFC">
        <w:t> </w:t>
      </w:r>
      <w:r w:rsidR="00AA1C77" w:rsidRPr="00AA1C77">
        <w:t xml:space="preserve">skaidrojumiem, Eiropas Savienības Tiesas judikatūru, kā arī Valsts ieņēmumu dienesta izdotajām saistošajām izziņām par tarifu, saskaņā ar kurām datu pārraides iekārtas, kurām </w:t>
      </w:r>
      <w:r w:rsidR="00AA1C77" w:rsidRPr="00E75E41">
        <w:rPr>
          <w:color w:val="000000" w:themeColor="text1"/>
        </w:rPr>
        <w:t>antena ir neatņemama sastāvdaļa, ir klasificētas ar kodu 8517</w:t>
      </w:r>
      <w:r w:rsidR="00050A76" w:rsidRPr="00E75E41">
        <w:rPr>
          <w:color w:val="000000" w:themeColor="text1"/>
        </w:rPr>
        <w:t> </w:t>
      </w:r>
      <w:r w:rsidR="00AA1C77" w:rsidRPr="00E75E41">
        <w:rPr>
          <w:color w:val="000000" w:themeColor="text1"/>
        </w:rPr>
        <w:t>62</w:t>
      </w:r>
      <w:r w:rsidR="00050A76" w:rsidRPr="00E75E41">
        <w:rPr>
          <w:color w:val="000000" w:themeColor="text1"/>
        </w:rPr>
        <w:t> </w:t>
      </w:r>
      <w:r w:rsidR="00AA1C77" w:rsidRPr="00E75E41">
        <w:rPr>
          <w:color w:val="000000" w:themeColor="text1"/>
        </w:rPr>
        <w:t>00</w:t>
      </w:r>
      <w:r w:rsidR="00050A76" w:rsidRPr="00E75E41">
        <w:rPr>
          <w:color w:val="000000" w:themeColor="text1"/>
        </w:rPr>
        <w:t> </w:t>
      </w:r>
      <w:r w:rsidR="00AA1C77" w:rsidRPr="00E75E41">
        <w:rPr>
          <w:color w:val="000000" w:themeColor="text1"/>
        </w:rPr>
        <w:t xml:space="preserve">90. </w:t>
      </w:r>
      <w:bookmarkStart w:id="3" w:name="_Hlk121475978"/>
      <w:r w:rsidR="00AA1C77" w:rsidRPr="00E75E41">
        <w:rPr>
          <w:color w:val="000000" w:themeColor="text1"/>
        </w:rPr>
        <w:t xml:space="preserve">Tiesa šīs izziņas </w:t>
      </w:r>
      <w:r w:rsidR="00AA1C77" w:rsidRPr="00AA1C77">
        <w:t>nevērtēja, kā arī neanalizēja KN apakšpozīcijas 8517</w:t>
      </w:r>
      <w:r w:rsidR="00050A76">
        <w:t> </w:t>
      </w:r>
      <w:r w:rsidR="00AA1C77" w:rsidRPr="00AA1C77">
        <w:t>62</w:t>
      </w:r>
      <w:r w:rsidR="00050A76">
        <w:t> </w:t>
      </w:r>
      <w:r w:rsidR="00AA1C77" w:rsidRPr="00AA1C77">
        <w:t>00 zemāka līmeņa apakšpozīciju ierakstus, kas ir pamatkritērijs datu pārraides iekārtu un to funkcionālu sastāvdaļu klasifikācijai.</w:t>
      </w:r>
      <w:bookmarkEnd w:id="3"/>
      <w:r w:rsidR="00AA1C77" w:rsidRPr="00AA1C77">
        <w:t xml:space="preserve"> No KN apakšpozīcijas 8517</w:t>
      </w:r>
      <w:r w:rsidR="00050A76">
        <w:t> </w:t>
      </w:r>
      <w:r w:rsidR="00AA1C77" w:rsidRPr="00AA1C77">
        <w:t>62</w:t>
      </w:r>
      <w:r w:rsidR="00050A76">
        <w:t> </w:t>
      </w:r>
      <w:r w:rsidR="00AA1C77" w:rsidRPr="00AA1C77">
        <w:t>00 zemāka līmeņa apakšpozīciju 8517</w:t>
      </w:r>
      <w:r w:rsidR="00050A76">
        <w:t> </w:t>
      </w:r>
      <w:r w:rsidR="00AA1C77" w:rsidRPr="00AA1C77">
        <w:t>62</w:t>
      </w:r>
      <w:r w:rsidR="00050A76">
        <w:t> </w:t>
      </w:r>
      <w:r w:rsidR="00AA1C77" w:rsidRPr="00AA1C77">
        <w:t>00</w:t>
      </w:r>
      <w:r w:rsidR="00050A76">
        <w:t> </w:t>
      </w:r>
      <w:r w:rsidR="00AA1C77" w:rsidRPr="00AA1C77">
        <w:t>10 un 8517</w:t>
      </w:r>
      <w:r w:rsidR="00050A76">
        <w:t> </w:t>
      </w:r>
      <w:r w:rsidR="00AA1C77" w:rsidRPr="00AA1C77">
        <w:t>62</w:t>
      </w:r>
      <w:r w:rsidR="00050A76">
        <w:t> </w:t>
      </w:r>
      <w:r w:rsidR="00AA1C77" w:rsidRPr="00AA1C77">
        <w:t>00</w:t>
      </w:r>
      <w:r w:rsidR="00050A76">
        <w:t> </w:t>
      </w:r>
      <w:r w:rsidR="00AA1C77" w:rsidRPr="00AA1C77">
        <w:t xml:space="preserve">90 ierakstiem redzams, ka </w:t>
      </w:r>
      <w:r w:rsidR="00F95FFC">
        <w:t xml:space="preserve">šī </w:t>
      </w:r>
      <w:r w:rsidR="00AA1C77" w:rsidRPr="00AA1C77">
        <w:t>apakšpozīcija nenodala maršrutētājus no radiotelegrāfijas un radiotelefonijas raidaparatūras. Šīs apakšpozīcijas zemāka līmeņa apakšpozīciju ieraksti nodala tikai radiotelegrāfa vai radiotelefonu raidaparatūru, kas tiek izmantota civilajā aviācijā</w:t>
      </w:r>
      <w:r w:rsidR="00F95FFC">
        <w:t>,</w:t>
      </w:r>
      <w:r w:rsidR="00AA1C77" w:rsidRPr="00AA1C77">
        <w:t xml:space="preserve"> no pārējām sakaru iekārtām, kas veic datu uztveršanas, konversijas un pārraides funkciju un šīm pazīmēm atbilst un attiecīgi šajā grupā </w:t>
      </w:r>
      <w:r w:rsidR="00AA1C77" w:rsidRPr="00AA1C77">
        <w:lastRenderedPageBreak/>
        <w:t>(8517</w:t>
      </w:r>
      <w:r w:rsidR="00050A76">
        <w:t> </w:t>
      </w:r>
      <w:r w:rsidR="00AA1C77" w:rsidRPr="00AA1C77">
        <w:t>62</w:t>
      </w:r>
      <w:r w:rsidR="00050A76">
        <w:t> </w:t>
      </w:r>
      <w:r w:rsidR="00AA1C77" w:rsidRPr="00AA1C77">
        <w:t>00</w:t>
      </w:r>
      <w:r w:rsidR="00050A76">
        <w:t> </w:t>
      </w:r>
      <w:r w:rsidR="00AA1C77" w:rsidRPr="00AA1C77">
        <w:t>90) ietilpst gan maršrutētāji, gan radiotelegrāfa vai radiotelefonu raidaparatūra, kas netiek izmantota civilajā aviācijā.</w:t>
      </w:r>
    </w:p>
    <w:p w14:paraId="57CA2215" w14:textId="2FBAAFD8" w:rsidR="00D25B8E" w:rsidRDefault="00F95FFC" w:rsidP="00100556">
      <w:pPr>
        <w:autoSpaceDE w:val="0"/>
        <w:autoSpaceDN w:val="0"/>
        <w:adjustRightInd w:val="0"/>
        <w:spacing w:line="276" w:lineRule="auto"/>
        <w:ind w:firstLine="567"/>
        <w:jc w:val="both"/>
      </w:pPr>
      <w:r>
        <w:t>[</w:t>
      </w:r>
      <w:r w:rsidR="006346A5">
        <w:t>3</w:t>
      </w:r>
      <w:r>
        <w:t>.2] </w:t>
      </w:r>
      <w:r w:rsidR="00AA1C77" w:rsidRPr="00AA1C77">
        <w:t>KN Vispārīgā interpretācijas 3.noteikuma a)</w:t>
      </w:r>
      <w:r w:rsidR="00957910">
        <w:t> </w:t>
      </w:r>
      <w:r w:rsidR="00AA1C77" w:rsidRPr="00AA1C77">
        <w:t>piezīme noteic, ka priekšroku dod pozīcijai, kurā ir konkrētāks preces apraksts, nevis pozīcijām, kurās preces apraksts ir vispārīgāks. Līdzīgi arī HS vispārīgās interpretācijas 3.noteikums paredz: ja, piemērojot 2.noteikuma b)</w:t>
      </w:r>
      <w:r w:rsidR="00050A76">
        <w:t> </w:t>
      </w:r>
      <w:r w:rsidR="00AA1C77" w:rsidRPr="00AA1C77">
        <w:t>punktu, vai cita iemesla dēļ preces pēc pirmā acu uzmetiena var klasificēt divās vai vairākās pozīcijās, priekšroku dod pozīcijai, kurā ir konkrētāks preces apraksts, nevis pozīcijām, kurām preces apraksts ir vispārīgāks.</w:t>
      </w:r>
    </w:p>
    <w:p w14:paraId="4D2EF577" w14:textId="457503E7" w:rsidR="00D25B8E" w:rsidRDefault="00AA1C77" w:rsidP="00100556">
      <w:pPr>
        <w:autoSpaceDE w:val="0"/>
        <w:autoSpaceDN w:val="0"/>
        <w:adjustRightInd w:val="0"/>
        <w:spacing w:line="276" w:lineRule="auto"/>
        <w:ind w:firstLine="567"/>
        <w:jc w:val="both"/>
      </w:pPr>
      <w:r w:rsidRPr="00AA1C77">
        <w:t>KN apakšpozīcija 8517</w:t>
      </w:r>
      <w:r w:rsidR="006E73A5">
        <w:t> </w:t>
      </w:r>
      <w:r w:rsidRPr="00AA1C77">
        <w:t>62</w:t>
      </w:r>
      <w:r w:rsidR="006E73A5">
        <w:t> </w:t>
      </w:r>
      <w:r w:rsidRPr="00AA1C77">
        <w:t>00</w:t>
      </w:r>
      <w:r w:rsidR="006E73A5">
        <w:t> </w:t>
      </w:r>
      <w:r w:rsidRPr="00AA1C77">
        <w:t>90 vienlaikus aptver gan maršrutētājus, gan radiotelegrāfa vai radiotelefona aparatūru, kas netiek izmantota civilajā aviācijā. Tādējādi konkrētāks un specifiskāks preču apraksts rodams KN pozīcijā 8517</w:t>
      </w:r>
      <w:r w:rsidR="006E73A5">
        <w:t> </w:t>
      </w:r>
      <w:r w:rsidRPr="00AA1C77">
        <w:t>70</w:t>
      </w:r>
      <w:r w:rsidR="006E73A5">
        <w:t> </w:t>
      </w:r>
      <w:r w:rsidRPr="00AA1C77">
        <w:t xml:space="preserve">11, nevis </w:t>
      </w:r>
      <w:r w:rsidR="00F95FFC">
        <w:t xml:space="preserve">Valsts ieņēmumu dienesta </w:t>
      </w:r>
      <w:r w:rsidRPr="00AA1C77">
        <w:t>norādītajā vispārīga apraksta KN pozīcijā 8517</w:t>
      </w:r>
      <w:r w:rsidR="006E73A5">
        <w:t> </w:t>
      </w:r>
      <w:r w:rsidRPr="00AA1C77">
        <w:t>70</w:t>
      </w:r>
      <w:r w:rsidR="006E73A5">
        <w:t> </w:t>
      </w:r>
      <w:r w:rsidRPr="00AA1C77">
        <w:t>19.</w:t>
      </w:r>
    </w:p>
    <w:p w14:paraId="49F0FBDA" w14:textId="68A3A61F" w:rsidR="00D25B8E" w:rsidRDefault="00F95FFC" w:rsidP="00100556">
      <w:pPr>
        <w:autoSpaceDE w:val="0"/>
        <w:autoSpaceDN w:val="0"/>
        <w:adjustRightInd w:val="0"/>
        <w:spacing w:line="276" w:lineRule="auto"/>
        <w:ind w:firstLine="567"/>
        <w:jc w:val="both"/>
      </w:pPr>
      <w:r>
        <w:lastRenderedPageBreak/>
        <w:t>[</w:t>
      </w:r>
      <w:r w:rsidR="006346A5">
        <w:t>3</w:t>
      </w:r>
      <w:r>
        <w:t>.3] </w:t>
      </w:r>
      <w:r w:rsidR="00AA1C77" w:rsidRPr="00AA1C77">
        <w:t>HS skaidrojumu G („Citādi sakaru aparāti”) punktā piemēru veidā ietvertais sakaru iekārtu uzskaitījums un apraksts faktiski atbilst KN skaidrojumu apakšpozīcijai 8517</w:t>
      </w:r>
      <w:r w:rsidR="006E73A5">
        <w:t> </w:t>
      </w:r>
      <w:r w:rsidR="00AA1C77" w:rsidRPr="00AA1C77">
        <w:t>62</w:t>
      </w:r>
      <w:r w:rsidR="006E73A5">
        <w:t> </w:t>
      </w:r>
      <w:r w:rsidR="00AA1C77" w:rsidRPr="00AA1C77">
        <w:t>00 norādītajam sakaru iekārtu uzskaitījumam. Vienlaikus no skaidrojumiem izriet, ka tie detalizētāk un plašāk apraksta šajā apakšpozīcijā ietilpstošās preces. HS F</w:t>
      </w:r>
      <w:r w:rsidR="00547277">
        <w:t> </w:t>
      </w:r>
      <w:r w:rsidR="00AA1C77" w:rsidRPr="00AA1C77">
        <w:t>sadaļas skaidrojumi pozīcijai 8517 neaptver, un tajos ietvertais apraksts nav attiecināms uz visu radiotelegrāfa vai radiotelefonu raidaparatūras preču grupu kā tādu.</w:t>
      </w:r>
      <w:r w:rsidR="003A3579">
        <w:t xml:space="preserve"> </w:t>
      </w:r>
      <w:r w:rsidR="00AA1C77" w:rsidRPr="00AA1C77">
        <w:t>HS F</w:t>
      </w:r>
      <w:r w:rsidR="00F427C1">
        <w:t> </w:t>
      </w:r>
      <w:r w:rsidR="00AA1C77" w:rsidRPr="00AA1C77">
        <w:t>sadaļas skaidrojumi attiecas un apraksta tikai radiotelegrāfa vai radiotelefonu aparatūru ar atsevišķu (konkrēti noteiktu) funkciju, proti, radiotelegrāfa vai radiotelefonu aparatūru ar uztvērējaparatūras un raidaparatūras funkciju.</w:t>
      </w:r>
      <w:r w:rsidR="003A3579">
        <w:t xml:space="preserve"> </w:t>
      </w:r>
      <w:r w:rsidR="00AA1C77" w:rsidRPr="00AA1C77">
        <w:t>Radiotelegrāfa vai radiotelefonu raidaparatūra nodrošina arī vēl daudzas citas funkcijas, tai skaitā maršrutēšanas, komutācijas u.</w:t>
      </w:r>
      <w:r w:rsidR="003A3579">
        <w:t> </w:t>
      </w:r>
      <w:r w:rsidR="00AA1C77" w:rsidRPr="00AA1C77">
        <w:t>tml. funkcijas, tādējādi uzskatāmi redzams, ka HS F</w:t>
      </w:r>
      <w:r w:rsidR="00547277">
        <w:t> </w:t>
      </w:r>
      <w:r w:rsidR="00AA1C77" w:rsidRPr="00AA1C77">
        <w:t xml:space="preserve">sadaļas skaidrojumi neapraksta un </w:t>
      </w:r>
      <w:r w:rsidR="00AA1C77" w:rsidRPr="00AA1C77">
        <w:lastRenderedPageBreak/>
        <w:t>neaptver visu radiotelegrāfa vai radiotelefonu raidaparatūras grupā iekļauto sakaru iekārtu klāstu.</w:t>
      </w:r>
    </w:p>
    <w:p w14:paraId="67A91BD0" w14:textId="75E047A9" w:rsidR="009655C5" w:rsidRPr="00493615" w:rsidRDefault="003A3579" w:rsidP="00100556">
      <w:pPr>
        <w:autoSpaceDE w:val="0"/>
        <w:autoSpaceDN w:val="0"/>
        <w:adjustRightInd w:val="0"/>
        <w:spacing w:line="276" w:lineRule="auto"/>
        <w:ind w:firstLine="567"/>
        <w:jc w:val="both"/>
      </w:pPr>
      <w:r>
        <w:t>[</w:t>
      </w:r>
      <w:r w:rsidR="006346A5">
        <w:t>3</w:t>
      </w:r>
      <w:r>
        <w:t>.4] </w:t>
      </w:r>
      <w:r w:rsidR="00AA1C77" w:rsidRPr="00AA1C77">
        <w:t>Tiesa nepamatoti atstājusi bez ievērības pieteicējas iesniegto eksperta atzinumu un muitas izziņas, kas ļauj ražotāja preci eksportēt citā Eiropas Savienības dalībvalstī un ir saistošas visām dalībvalstīm</w:t>
      </w:r>
      <w:r w:rsidR="00FD1E97">
        <w:t>.</w:t>
      </w:r>
    </w:p>
    <w:bookmarkEnd w:id="2"/>
    <w:p w14:paraId="7D12FCE7" w14:textId="5C7D2C4B" w:rsidR="00A23C27" w:rsidRPr="009655C5" w:rsidRDefault="00A23C27" w:rsidP="00100556">
      <w:pPr>
        <w:autoSpaceDE w:val="0"/>
        <w:autoSpaceDN w:val="0"/>
        <w:adjustRightInd w:val="0"/>
        <w:spacing w:line="276" w:lineRule="auto"/>
        <w:ind w:firstLine="567"/>
        <w:jc w:val="both"/>
        <w:rPr>
          <w:color w:val="000000" w:themeColor="text1"/>
        </w:rPr>
      </w:pPr>
    </w:p>
    <w:p w14:paraId="4919152F" w14:textId="4257CBBE" w:rsidR="00A23C27" w:rsidRDefault="00060B1D" w:rsidP="00100556">
      <w:pPr>
        <w:autoSpaceDE w:val="0"/>
        <w:autoSpaceDN w:val="0"/>
        <w:adjustRightInd w:val="0"/>
        <w:spacing w:line="276" w:lineRule="auto"/>
        <w:ind w:firstLine="567"/>
        <w:jc w:val="both"/>
      </w:pPr>
      <w:r w:rsidRPr="002A2C25">
        <w:t>[</w:t>
      </w:r>
      <w:r w:rsidR="006346A5">
        <w:t>4</w:t>
      </w:r>
      <w:r w:rsidRPr="002A2C25">
        <w:t>]</w:t>
      </w:r>
      <w:r>
        <w:t> </w:t>
      </w:r>
      <w:r w:rsidR="005C520D" w:rsidRPr="005C520D">
        <w:t>Valsts ieņēmumu dienests rakstveida paskaidrojumā kasācijas sūdzību uzskata par nepamatotu</w:t>
      </w:r>
      <w:r w:rsidRPr="002A2C25">
        <w:t>.</w:t>
      </w:r>
    </w:p>
    <w:p w14:paraId="19E61448" w14:textId="2AA4BBB7" w:rsidR="006A4F46" w:rsidRDefault="006A4F46" w:rsidP="00100556">
      <w:pPr>
        <w:autoSpaceDE w:val="0"/>
        <w:autoSpaceDN w:val="0"/>
        <w:adjustRightInd w:val="0"/>
        <w:spacing w:line="276" w:lineRule="auto"/>
        <w:ind w:firstLine="567"/>
        <w:jc w:val="both"/>
      </w:pPr>
    </w:p>
    <w:p w14:paraId="6DEEF24D" w14:textId="75F3D66E" w:rsidR="003A3579" w:rsidRDefault="006A4F46" w:rsidP="00100556">
      <w:pPr>
        <w:autoSpaceDE w:val="0"/>
        <w:autoSpaceDN w:val="0"/>
        <w:adjustRightInd w:val="0"/>
        <w:spacing w:line="276" w:lineRule="auto"/>
        <w:ind w:firstLine="567"/>
        <w:jc w:val="both"/>
        <w:rPr>
          <w:color w:val="000000" w:themeColor="text1"/>
        </w:rPr>
      </w:pPr>
      <w:r>
        <w:t>[</w:t>
      </w:r>
      <w:r w:rsidR="006346A5">
        <w:t>5</w:t>
      </w:r>
      <w:r>
        <w:t>] </w:t>
      </w:r>
      <w:r w:rsidR="007C5E22" w:rsidRPr="007C5E22">
        <w:t xml:space="preserve">Senāts vērsās Eiropas Savienības Tiesā, uzdodot prejudiciālo jautājumu, vai </w:t>
      </w:r>
      <w:r w:rsidR="003A3579">
        <w:t>KN,</w:t>
      </w:r>
      <w:r w:rsidR="007C5E22" w:rsidRPr="007C5E22">
        <w:t xml:space="preserve"> kas </w:t>
      </w:r>
      <w:r w:rsidR="007C5E22" w:rsidRPr="00045844">
        <w:rPr>
          <w:color w:val="000000" w:themeColor="text1"/>
        </w:rPr>
        <w:t xml:space="preserve">ietverta Eiropas Padomes 1987.gada 23.jūlija regulas (EEK) Nr. 2658/87 par tarifu un statistikas nomenklatūru un kopējo muitas tarifu I pielikumā, kurš grozīts ar Komisijas 2012.gada 9.oktobra Īstenošanas regulu (ES) Nr. 927/2012 un Komisijas 2013.gada 4.oktobra Īstenošanas regulu Nr. 1001/2013, ir </w:t>
      </w:r>
      <w:r w:rsidR="007C5E22" w:rsidRPr="007C5E22">
        <w:t xml:space="preserve">interpretējama tādējādi, ka </w:t>
      </w:r>
      <w:r w:rsidR="003A3579">
        <w:t>KN </w:t>
      </w:r>
      <w:r w:rsidR="007C5E22" w:rsidRPr="007C5E22">
        <w:t xml:space="preserve"> apakšpozīcija 8517</w:t>
      </w:r>
      <w:r w:rsidR="007C5E22">
        <w:t> </w:t>
      </w:r>
      <w:r w:rsidR="007C5E22" w:rsidRPr="007C5E22">
        <w:t>70</w:t>
      </w:r>
      <w:r w:rsidR="007C5E22">
        <w:t> </w:t>
      </w:r>
      <w:r w:rsidR="007C5E22" w:rsidRPr="007C5E22">
        <w:t xml:space="preserve">11 var ietvert antenas </w:t>
      </w:r>
      <w:r w:rsidR="007C5E22" w:rsidRPr="007C5E22">
        <w:lastRenderedPageBreak/>
        <w:t xml:space="preserve">maršrutēšanas </w:t>
      </w:r>
      <w:r w:rsidR="007C5E22" w:rsidRPr="004D0BF6">
        <w:rPr>
          <w:color w:val="000000" w:themeColor="text1"/>
        </w:rPr>
        <w:t>aparātiem, kas tiek konfigurēti lietošanai lokālajos tīklos (LAN) un/vai teritoriālajos tīklos (WAN).</w:t>
      </w:r>
    </w:p>
    <w:p w14:paraId="5EC7EFDB" w14:textId="335C97CC" w:rsidR="005C520D" w:rsidRPr="004D0BF6" w:rsidRDefault="000A5D71" w:rsidP="00100556">
      <w:pPr>
        <w:autoSpaceDE w:val="0"/>
        <w:autoSpaceDN w:val="0"/>
        <w:adjustRightInd w:val="0"/>
        <w:spacing w:line="276" w:lineRule="auto"/>
        <w:ind w:firstLine="567"/>
        <w:jc w:val="both"/>
        <w:rPr>
          <w:color w:val="000000" w:themeColor="text1"/>
        </w:rPr>
      </w:pPr>
      <w:r w:rsidRPr="004D0BF6">
        <w:rPr>
          <w:color w:val="000000" w:themeColor="text1"/>
        </w:rPr>
        <w:t xml:space="preserve">Eiropas Savienības Tiesa </w:t>
      </w:r>
      <w:r w:rsidR="004D0BF6" w:rsidRPr="004D0BF6">
        <w:rPr>
          <w:color w:val="000000" w:themeColor="text1"/>
        </w:rPr>
        <w:t>2022.gada 20.oktobrī</w:t>
      </w:r>
      <w:r w:rsidRPr="004D0BF6">
        <w:rPr>
          <w:color w:val="000000" w:themeColor="text1"/>
        </w:rPr>
        <w:t xml:space="preserve"> taisīja spriedumu </w:t>
      </w:r>
      <w:r w:rsidR="004D0BF6" w:rsidRPr="004D0BF6">
        <w:rPr>
          <w:color w:val="000000" w:themeColor="text1"/>
        </w:rPr>
        <w:t>C-542/21 (</w:t>
      </w:r>
      <w:hyperlink r:id="rId9" w:history="1">
        <w:r w:rsidR="004D0BF6" w:rsidRPr="004D0BF6">
          <w:rPr>
            <w:rStyle w:val="Hyperlink"/>
            <w:color w:val="000000" w:themeColor="text1"/>
            <w:u w:val="none"/>
          </w:rPr>
          <w:t>ECLI:EU:C:2022:814</w:t>
        </w:r>
      </w:hyperlink>
      <w:r w:rsidR="004D0BF6" w:rsidRPr="004D0BF6">
        <w:rPr>
          <w:color w:val="000000" w:themeColor="text1"/>
        </w:rPr>
        <w:t>)</w:t>
      </w:r>
      <w:r w:rsidRPr="004D0BF6">
        <w:rPr>
          <w:color w:val="000000" w:themeColor="text1"/>
        </w:rPr>
        <w:t>.</w:t>
      </w:r>
    </w:p>
    <w:p w14:paraId="761B8B4F" w14:textId="77777777" w:rsidR="000A5D71" w:rsidRPr="004D0BF6" w:rsidRDefault="000A5D71" w:rsidP="00100556">
      <w:pPr>
        <w:autoSpaceDE w:val="0"/>
        <w:autoSpaceDN w:val="0"/>
        <w:adjustRightInd w:val="0"/>
        <w:spacing w:line="276" w:lineRule="auto"/>
        <w:ind w:firstLine="567"/>
        <w:jc w:val="both"/>
        <w:rPr>
          <w:color w:val="000000" w:themeColor="text1"/>
        </w:rPr>
      </w:pPr>
    </w:p>
    <w:p w14:paraId="16A9605A" w14:textId="5A7F4E08" w:rsidR="005C520D" w:rsidRDefault="005C520D" w:rsidP="00100556">
      <w:pPr>
        <w:autoSpaceDE w:val="0"/>
        <w:autoSpaceDN w:val="0"/>
        <w:adjustRightInd w:val="0"/>
        <w:spacing w:line="276" w:lineRule="auto"/>
        <w:ind w:firstLine="567"/>
        <w:jc w:val="both"/>
      </w:pPr>
      <w:r>
        <w:t>[</w:t>
      </w:r>
      <w:r w:rsidR="006346A5">
        <w:t>6</w:t>
      </w:r>
      <w:r>
        <w:t>] </w:t>
      </w:r>
      <w:r w:rsidR="00EF2810" w:rsidRPr="00EF2810">
        <w:t xml:space="preserve">Pieteicēja sakarā ar Eiropas Savienības Tiesas spriedumu </w:t>
      </w:r>
      <w:r w:rsidR="003A3579">
        <w:t>sniedza</w:t>
      </w:r>
      <w:r w:rsidR="00EF2810">
        <w:t xml:space="preserve"> </w:t>
      </w:r>
      <w:r w:rsidR="00EF2810" w:rsidRPr="00EF2810">
        <w:t>paskaidrojumus</w:t>
      </w:r>
      <w:r w:rsidR="003A3579">
        <w:t xml:space="preserve">, norādot, </w:t>
      </w:r>
      <w:r w:rsidR="00EF2810" w:rsidRPr="00EF2810">
        <w:t>ka</w:t>
      </w:r>
      <w:r w:rsidR="007312C2">
        <w:t xml:space="preserve"> nepiekrīt </w:t>
      </w:r>
      <w:r w:rsidR="007312C2" w:rsidRPr="003809E5">
        <w:t>Eiropas Savienības Tiesa</w:t>
      </w:r>
      <w:r w:rsidR="007312C2">
        <w:t xml:space="preserve">s </w:t>
      </w:r>
      <w:r w:rsidR="003A3579">
        <w:t xml:space="preserve">veiktajai </w:t>
      </w:r>
      <w:r w:rsidR="007312C2" w:rsidRPr="007312C2">
        <w:t xml:space="preserve">antenu un to daļu klasifikācijai atbilstoši KN </w:t>
      </w:r>
      <w:r w:rsidR="007312C2">
        <w:t xml:space="preserve">un </w:t>
      </w:r>
      <w:r w:rsidR="007312C2" w:rsidRPr="007312C2">
        <w:t>TARIC kodam 8517</w:t>
      </w:r>
      <w:r w:rsidR="007312C2">
        <w:t> </w:t>
      </w:r>
      <w:r w:rsidR="007312C2" w:rsidRPr="007312C2">
        <w:t>70</w:t>
      </w:r>
      <w:r w:rsidR="007312C2">
        <w:t> </w:t>
      </w:r>
      <w:r w:rsidR="007312C2" w:rsidRPr="007312C2">
        <w:t>19</w:t>
      </w:r>
      <w:r w:rsidR="007312C2">
        <w:t> </w:t>
      </w:r>
      <w:r w:rsidR="007312C2" w:rsidRPr="007312C2">
        <w:t>90 (saskaņā ar KN redakciju, kas bija</w:t>
      </w:r>
      <w:r w:rsidR="007312C2">
        <w:t xml:space="preserve"> </w:t>
      </w:r>
      <w:r w:rsidR="007312C2" w:rsidRPr="007312C2">
        <w:t>spēkā līdz 2016.gada 31.decembrim) un</w:t>
      </w:r>
      <w:r w:rsidR="007312C2">
        <w:t xml:space="preserve"> </w:t>
      </w:r>
      <w:r w:rsidR="007312C2" w:rsidRPr="007312C2">
        <w:t>uzskata, ka minētās preces saskaņā ar KN redakciju, kas bija spēkā līdz 2016.gada 31.decembrim, ir</w:t>
      </w:r>
      <w:r w:rsidR="007312C2">
        <w:t xml:space="preserve"> </w:t>
      </w:r>
      <w:r w:rsidR="007312C2" w:rsidRPr="007312C2">
        <w:t xml:space="preserve">jāklasificē </w:t>
      </w:r>
      <w:r w:rsidR="003A3579">
        <w:t xml:space="preserve">atbilstoši </w:t>
      </w:r>
      <w:r w:rsidR="007312C2" w:rsidRPr="007312C2">
        <w:t>KN un TARIC kod</w:t>
      </w:r>
      <w:r w:rsidR="003A3579">
        <w:t>am</w:t>
      </w:r>
      <w:r w:rsidR="007312C2" w:rsidRPr="007312C2">
        <w:t xml:space="preserve"> 8517</w:t>
      </w:r>
      <w:r w:rsidR="00186290">
        <w:t> </w:t>
      </w:r>
      <w:r w:rsidR="007312C2" w:rsidRPr="007312C2">
        <w:t>70</w:t>
      </w:r>
      <w:r w:rsidR="00186290">
        <w:t> </w:t>
      </w:r>
      <w:r w:rsidR="007312C2" w:rsidRPr="007312C2">
        <w:t>11</w:t>
      </w:r>
      <w:r w:rsidR="00186290">
        <w:t> </w:t>
      </w:r>
      <w:r w:rsidR="007312C2" w:rsidRPr="007312C2">
        <w:t>90</w:t>
      </w:r>
      <w:r w:rsidR="007312C2">
        <w:t>.</w:t>
      </w:r>
    </w:p>
    <w:p w14:paraId="5F6B98E8" w14:textId="77777777" w:rsidR="00D6125E" w:rsidRPr="00B92AB0" w:rsidRDefault="00D6125E" w:rsidP="00100556">
      <w:pPr>
        <w:autoSpaceDE w:val="0"/>
        <w:autoSpaceDN w:val="0"/>
        <w:adjustRightInd w:val="0"/>
        <w:spacing w:line="276" w:lineRule="auto"/>
        <w:ind w:firstLine="567"/>
        <w:jc w:val="both"/>
      </w:pPr>
    </w:p>
    <w:p w14:paraId="71D77104" w14:textId="77777777" w:rsidR="006E4A34" w:rsidRDefault="006E4A34" w:rsidP="00100556">
      <w:pPr>
        <w:spacing w:line="276" w:lineRule="auto"/>
        <w:jc w:val="center"/>
      </w:pPr>
      <w:r>
        <w:rPr>
          <w:b/>
          <w:bCs/>
        </w:rPr>
        <w:t>Motīvu daļa</w:t>
      </w:r>
    </w:p>
    <w:p w14:paraId="1D9820FC" w14:textId="77777777" w:rsidR="0001194E" w:rsidRDefault="0001194E" w:rsidP="00100556">
      <w:pPr>
        <w:autoSpaceDE w:val="0"/>
        <w:autoSpaceDN w:val="0"/>
        <w:adjustRightInd w:val="0"/>
        <w:spacing w:line="276" w:lineRule="auto"/>
        <w:ind w:firstLine="567"/>
        <w:jc w:val="both"/>
      </w:pPr>
    </w:p>
    <w:p w14:paraId="56B42B15" w14:textId="60E17866" w:rsidR="00944554" w:rsidRPr="00D16425" w:rsidRDefault="004B7E48" w:rsidP="00100556">
      <w:pPr>
        <w:autoSpaceDE w:val="0"/>
        <w:autoSpaceDN w:val="0"/>
        <w:adjustRightInd w:val="0"/>
        <w:spacing w:line="276" w:lineRule="auto"/>
        <w:ind w:firstLine="567"/>
        <w:jc w:val="both"/>
        <w:rPr>
          <w:color w:val="000000" w:themeColor="text1"/>
          <w:lang w:eastAsia="lv-LV"/>
        </w:rPr>
      </w:pPr>
      <w:r w:rsidRPr="0001194E">
        <w:t>[</w:t>
      </w:r>
      <w:r w:rsidR="006346A5">
        <w:t>7</w:t>
      </w:r>
      <w:r w:rsidRPr="0001194E">
        <w:t>]</w:t>
      </w:r>
      <w:r w:rsidR="00D12265" w:rsidRPr="0001194E">
        <w:rPr>
          <w:shd w:val="clear" w:color="auto" w:fill="FFFFFF"/>
        </w:rPr>
        <w:t> </w:t>
      </w:r>
      <w:r w:rsidR="006A4F46" w:rsidRPr="006A4F46">
        <w:rPr>
          <w:color w:val="000000"/>
          <w:lang w:eastAsia="lv-LV"/>
        </w:rPr>
        <w:t xml:space="preserve">Lietā ir strīds, </w:t>
      </w:r>
      <w:r w:rsidR="00D16425" w:rsidRPr="0037494C">
        <w:rPr>
          <w:bCs/>
          <w:iCs/>
          <w:color w:val="000000"/>
          <w:lang w:eastAsia="ru-RU"/>
        </w:rPr>
        <w:t xml:space="preserve">atbilstoši </w:t>
      </w:r>
      <w:r w:rsidR="00D16425" w:rsidRPr="006346A5">
        <w:rPr>
          <w:bCs/>
          <w:iCs/>
          <w:lang w:eastAsia="ru-RU"/>
        </w:rPr>
        <w:t>kuram</w:t>
      </w:r>
      <w:r w:rsidR="00D16425" w:rsidRPr="006346A5">
        <w:rPr>
          <w:lang w:eastAsia="lv-LV"/>
        </w:rPr>
        <w:t xml:space="preserve"> </w:t>
      </w:r>
      <w:r w:rsidR="00D16425" w:rsidRPr="006346A5">
        <w:rPr>
          <w:bCs/>
          <w:iCs/>
          <w:lang w:eastAsia="lv-LV"/>
        </w:rPr>
        <w:t xml:space="preserve">Īstenošanas regulas </w:t>
      </w:r>
      <w:r w:rsidR="003A3579" w:rsidRPr="006346A5">
        <w:rPr>
          <w:bCs/>
          <w:iCs/>
          <w:lang w:eastAsia="lv-LV"/>
        </w:rPr>
        <w:t>KN</w:t>
      </w:r>
      <w:r w:rsidR="00D16425" w:rsidRPr="006346A5">
        <w:rPr>
          <w:bCs/>
          <w:iCs/>
          <w:lang w:eastAsia="lv-LV"/>
        </w:rPr>
        <w:t xml:space="preserve"> </w:t>
      </w:r>
      <w:r w:rsidR="00D16425" w:rsidRPr="006346A5">
        <w:rPr>
          <w:bCs/>
          <w:iCs/>
          <w:lang w:eastAsia="ru-RU"/>
        </w:rPr>
        <w:t xml:space="preserve">vispārīgajam interpretācijas noteikumam </w:t>
      </w:r>
      <w:r w:rsidR="007350D9" w:rsidRPr="006346A5">
        <w:rPr>
          <w:bCs/>
          <w:iCs/>
          <w:lang w:eastAsia="ru-RU"/>
        </w:rPr>
        <w:t>(</w:t>
      </w:r>
      <w:r w:rsidR="007350D9" w:rsidRPr="006346A5">
        <w:rPr>
          <w:i/>
          <w:iCs/>
        </w:rPr>
        <w:t xml:space="preserve">redakcijā, </w:t>
      </w:r>
      <w:r w:rsidR="007350D9" w:rsidRPr="006346A5">
        <w:rPr>
          <w:i/>
          <w:iCs/>
        </w:rPr>
        <w:lastRenderedPageBreak/>
        <w:t>kas bija spēkā līdz 2016.gada 31.decembrim</w:t>
      </w:r>
      <w:r w:rsidR="007350D9" w:rsidRPr="006346A5">
        <w:t xml:space="preserve">) </w:t>
      </w:r>
      <w:r w:rsidR="00D16425" w:rsidRPr="006346A5">
        <w:rPr>
          <w:bCs/>
          <w:iCs/>
          <w:lang w:eastAsia="ru-RU"/>
        </w:rPr>
        <w:t>prece</w:t>
      </w:r>
      <w:r w:rsidR="007350D9" w:rsidRPr="006346A5">
        <w:rPr>
          <w:bCs/>
          <w:iCs/>
          <w:lang w:eastAsia="ru-RU"/>
        </w:rPr>
        <w:t>s </w:t>
      </w:r>
      <w:r w:rsidR="007350D9" w:rsidRPr="006346A5">
        <w:t>– maršrutētāju antenas un to daļas</w:t>
      </w:r>
      <w:r w:rsidR="003A3579" w:rsidRPr="006346A5">
        <w:t> – </w:t>
      </w:r>
      <w:r w:rsidR="00D16425" w:rsidRPr="006346A5">
        <w:rPr>
          <w:bCs/>
          <w:iCs/>
          <w:lang w:eastAsia="ru-RU"/>
        </w:rPr>
        <w:t>ir klasificējama</w:t>
      </w:r>
      <w:r w:rsidR="007350D9" w:rsidRPr="006346A5">
        <w:rPr>
          <w:bCs/>
          <w:iCs/>
          <w:lang w:eastAsia="ru-RU"/>
        </w:rPr>
        <w:t>s</w:t>
      </w:r>
      <w:r w:rsidR="00D16425" w:rsidRPr="006346A5">
        <w:rPr>
          <w:bCs/>
          <w:iCs/>
          <w:lang w:eastAsia="ru-RU"/>
        </w:rPr>
        <w:t xml:space="preserve"> un </w:t>
      </w:r>
      <w:r w:rsidR="00944554" w:rsidRPr="006346A5">
        <w:rPr>
          <w:bCs/>
          <w:iCs/>
          <w:lang w:eastAsia="ru-RU"/>
        </w:rPr>
        <w:t xml:space="preserve">kāds klasifikācijas kods </w:t>
      </w:r>
      <w:r w:rsidR="007350D9" w:rsidRPr="006346A5">
        <w:rPr>
          <w:bCs/>
          <w:iCs/>
          <w:lang w:eastAsia="ru-RU"/>
        </w:rPr>
        <w:t xml:space="preserve">tām </w:t>
      </w:r>
      <w:r w:rsidR="00944554" w:rsidRPr="006346A5">
        <w:rPr>
          <w:bCs/>
          <w:iCs/>
          <w:lang w:eastAsia="ru-RU"/>
        </w:rPr>
        <w:t xml:space="preserve">ir </w:t>
      </w:r>
      <w:r w:rsidR="00944554" w:rsidRPr="0037494C">
        <w:rPr>
          <w:bCs/>
          <w:iCs/>
          <w:color w:val="000000"/>
          <w:lang w:eastAsia="ru-RU"/>
        </w:rPr>
        <w:t>nosakāms</w:t>
      </w:r>
      <w:r w:rsidR="00D16425" w:rsidRPr="00D16425">
        <w:rPr>
          <w:color w:val="000000" w:themeColor="text1"/>
        </w:rPr>
        <w:t>.</w:t>
      </w:r>
    </w:p>
    <w:p w14:paraId="68537E32" w14:textId="77777777" w:rsidR="00EF2810" w:rsidRDefault="00EF2810" w:rsidP="00100556">
      <w:pPr>
        <w:autoSpaceDE w:val="0"/>
        <w:autoSpaceDN w:val="0"/>
        <w:adjustRightInd w:val="0"/>
        <w:spacing w:line="276" w:lineRule="auto"/>
        <w:ind w:firstLine="567"/>
        <w:jc w:val="both"/>
        <w:rPr>
          <w:shd w:val="clear" w:color="auto" w:fill="FFFFFF"/>
        </w:rPr>
      </w:pPr>
    </w:p>
    <w:p w14:paraId="52ADE15D" w14:textId="1A36DAF7" w:rsidR="00FA4A2E" w:rsidRPr="00FA4A2E" w:rsidRDefault="00E40E08" w:rsidP="00100556">
      <w:pPr>
        <w:autoSpaceDE w:val="0"/>
        <w:autoSpaceDN w:val="0"/>
        <w:adjustRightInd w:val="0"/>
        <w:spacing w:line="276" w:lineRule="auto"/>
        <w:ind w:firstLine="567"/>
        <w:jc w:val="both"/>
        <w:rPr>
          <w:shd w:val="clear" w:color="auto" w:fill="FFFFFF"/>
        </w:rPr>
      </w:pPr>
      <w:r>
        <w:rPr>
          <w:shd w:val="clear" w:color="auto" w:fill="FFFFFF"/>
        </w:rPr>
        <w:t>[</w:t>
      </w:r>
      <w:r w:rsidR="0062286A">
        <w:rPr>
          <w:shd w:val="clear" w:color="auto" w:fill="FFFFFF"/>
        </w:rPr>
        <w:t>8</w:t>
      </w:r>
      <w:r>
        <w:rPr>
          <w:shd w:val="clear" w:color="auto" w:fill="FFFFFF"/>
        </w:rPr>
        <w:t>] </w:t>
      </w:r>
      <w:r w:rsidR="00FA4A2E" w:rsidRPr="00FA4A2E">
        <w:rPr>
          <w:shd w:val="clear" w:color="auto" w:fill="FFFFFF"/>
        </w:rPr>
        <w:t>Preču klasifikācija Eiropas Savienībā notiek atbilstoši Padomes 1987.gada 23.jūlija regulai Nr. 2658/87 par tarifu un statistikas nomenklatūru un kopējo muitas tarifu (turpmāk</w:t>
      </w:r>
      <w:r w:rsidR="00B43D90">
        <w:rPr>
          <w:shd w:val="clear" w:color="auto" w:fill="FFFFFF"/>
        </w:rPr>
        <w:t> </w:t>
      </w:r>
      <w:r w:rsidR="00FA4A2E" w:rsidRPr="00FA4A2E">
        <w:rPr>
          <w:shd w:val="clear" w:color="auto" w:fill="FFFFFF"/>
        </w:rPr>
        <w:t>– regula Nr. 2658/87).</w:t>
      </w:r>
    </w:p>
    <w:p w14:paraId="73AB924F" w14:textId="77777777" w:rsidR="00FA4A2E" w:rsidRPr="00FA4A2E" w:rsidRDefault="00FA4A2E" w:rsidP="00100556">
      <w:pPr>
        <w:autoSpaceDE w:val="0"/>
        <w:autoSpaceDN w:val="0"/>
        <w:adjustRightInd w:val="0"/>
        <w:spacing w:line="276" w:lineRule="auto"/>
        <w:ind w:firstLine="567"/>
        <w:jc w:val="both"/>
        <w:rPr>
          <w:shd w:val="clear" w:color="auto" w:fill="FFFFFF"/>
        </w:rPr>
      </w:pPr>
      <w:r w:rsidRPr="00FA4A2E">
        <w:rPr>
          <w:shd w:val="clear" w:color="auto" w:fill="FFFFFF"/>
        </w:rPr>
        <w:t>Regulas Nr. 2658/87 12.pants noteic, ka Komisija katru gadu ar regulu apstiprina kombinēto nomenklatūru galīgā redakcijā ar atbilstošajām autonomajām un līgtajām kopējā muitas tarifa nodokļa likmēm, kurās ņemti vērā Padomes vai Komisijas noteiktie pasākumi. Minētā regula publicējama Eiropas Kopienu Oficiālajā Vēstnesī līdz 31.oktobrim un piemērojama no nākamā gada 1.janvāra.</w:t>
      </w:r>
    </w:p>
    <w:p w14:paraId="2B16B979" w14:textId="3AB241DE" w:rsidR="009C3F5D" w:rsidRDefault="00FA4A2E" w:rsidP="00100556">
      <w:pPr>
        <w:autoSpaceDE w:val="0"/>
        <w:autoSpaceDN w:val="0"/>
        <w:adjustRightInd w:val="0"/>
        <w:spacing w:line="276" w:lineRule="auto"/>
        <w:ind w:firstLine="567"/>
        <w:jc w:val="both"/>
        <w:rPr>
          <w:shd w:val="clear" w:color="auto" w:fill="FFFFFF"/>
        </w:rPr>
      </w:pPr>
      <w:r w:rsidRPr="00FA4A2E">
        <w:rPr>
          <w:shd w:val="clear" w:color="auto" w:fill="FFFFFF"/>
        </w:rPr>
        <w:t xml:space="preserve">Laikā, kad pieteicēja ieveda </w:t>
      </w:r>
      <w:r w:rsidR="00B43D90">
        <w:rPr>
          <w:shd w:val="clear" w:color="auto" w:fill="FFFFFF"/>
        </w:rPr>
        <w:t xml:space="preserve">strīdus </w:t>
      </w:r>
      <w:r w:rsidRPr="00FA4A2E">
        <w:rPr>
          <w:shd w:val="clear" w:color="auto" w:fill="FFFFFF"/>
        </w:rPr>
        <w:t xml:space="preserve">preces, bija apstiprināta Komisijas 2012.gada 9.oktobra Īstenošanas </w:t>
      </w:r>
      <w:r w:rsidRPr="00FA4A2E">
        <w:rPr>
          <w:shd w:val="clear" w:color="auto" w:fill="FFFFFF"/>
        </w:rPr>
        <w:lastRenderedPageBreak/>
        <w:t xml:space="preserve">regula Nr. 927/2012, ar ko groza I pielikumu Padomes </w:t>
      </w:r>
      <w:r w:rsidRPr="00B06EAB">
        <w:rPr>
          <w:color w:val="000000" w:themeColor="text1"/>
          <w:shd w:val="clear" w:color="auto" w:fill="FFFFFF"/>
        </w:rPr>
        <w:t xml:space="preserve">regulā (EEK) Nr. 2658/87 par tarifu un statistikas nomenklatūru un kopējo muitas tarifu, un Komisijas 2013.gada 4.oktobra Īstenošanas regula Nr. 1001/2013, ar ko groza I pielikumu Padomes regulā (EEK) Nr. 2658/87 par tarifu un statistikas nomenklatūru un kopējo muitas tarifu. Tās </w:t>
      </w:r>
      <w:r w:rsidRPr="00FA4A2E">
        <w:rPr>
          <w:shd w:val="clear" w:color="auto" w:fill="FFFFFF"/>
        </w:rPr>
        <w:t xml:space="preserve">85.nodaļā </w:t>
      </w:r>
      <w:r w:rsidRPr="00FA4A2E">
        <w:rPr>
          <w:bCs/>
          <w:iCs/>
          <w:shd w:val="clear" w:color="auto" w:fill="FFFFFF"/>
        </w:rPr>
        <w:t>„Elektroierīces un elektroiekārtas un to detaļas; skaņu ierakstīšanas un atskaņošanas aparatūra, televīzijas attēla un skaņas ierakstīšanas un reproducēšanas aparatūra un šādu izstrādājumu detaļas un piederumi”</w:t>
      </w:r>
      <w:r w:rsidRPr="00FA4A2E">
        <w:rPr>
          <w:shd w:val="clear" w:color="auto" w:fill="FFFFFF"/>
        </w:rPr>
        <w:t xml:space="preserve"> minētas šādas pozīcijas:</w:t>
      </w:r>
    </w:p>
    <w:p w14:paraId="6EE33C30" w14:textId="77777777" w:rsidR="00FA4A2E" w:rsidRPr="00FA4A2E" w:rsidRDefault="00FA4A2E" w:rsidP="00100556">
      <w:pPr>
        <w:suppressAutoHyphens w:val="0"/>
        <w:spacing w:line="276" w:lineRule="auto"/>
        <w:ind w:firstLine="567"/>
        <w:contextualSpacing/>
        <w:jc w:val="both"/>
        <w:rPr>
          <w:lang w:eastAsia="ru-RU"/>
        </w:rPr>
      </w:pPr>
    </w:p>
    <w:tbl>
      <w:tblPr>
        <w:tblW w:w="4974" w:type="pct"/>
        <w:tblBorders>
          <w:top w:val="outset" w:sz="6" w:space="0" w:color="auto"/>
          <w:left w:val="outset" w:sz="6" w:space="0" w:color="auto"/>
          <w:bottom w:val="outset" w:sz="6" w:space="0" w:color="auto"/>
          <w:right w:val="outset" w:sz="6"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271"/>
        <w:gridCol w:w="5667"/>
        <w:gridCol w:w="992"/>
        <w:gridCol w:w="1135"/>
      </w:tblGrid>
      <w:tr w:rsidR="00FA4A2E" w:rsidRPr="00FA4A2E" w14:paraId="5C6D1F75" w14:textId="77777777" w:rsidTr="0062286A">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E88FB8B" w14:textId="77777777" w:rsidR="00FA4A2E" w:rsidRPr="00FA4A2E" w:rsidRDefault="00FA4A2E" w:rsidP="00100556">
            <w:pPr>
              <w:suppressAutoHyphens w:val="0"/>
              <w:spacing w:before="120" w:line="276" w:lineRule="auto"/>
              <w:jc w:val="center"/>
              <w:rPr>
                <w:lang w:eastAsia="ru-RU"/>
              </w:rPr>
            </w:pPr>
            <w:r w:rsidRPr="00FA4A2E">
              <w:rPr>
                <w:lang w:eastAsia="ru-RU"/>
              </w:rPr>
              <w:t>KN kods</w:t>
            </w: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826D1F3" w14:textId="77777777" w:rsidR="00FA4A2E" w:rsidRPr="00FA4A2E" w:rsidRDefault="00FA4A2E" w:rsidP="00100556">
            <w:pPr>
              <w:suppressAutoHyphens w:val="0"/>
              <w:spacing w:before="120" w:line="276" w:lineRule="auto"/>
              <w:ind w:right="44"/>
              <w:jc w:val="center"/>
              <w:rPr>
                <w:lang w:eastAsia="ru-RU"/>
              </w:rPr>
            </w:pPr>
            <w:r w:rsidRPr="00FA4A2E">
              <w:rPr>
                <w:lang w:eastAsia="ru-RU"/>
              </w:rPr>
              <w:t>Apraksts</w:t>
            </w: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4511192" w14:textId="77777777" w:rsidR="00FA4A2E" w:rsidRPr="00FA4A2E" w:rsidRDefault="00FA4A2E" w:rsidP="00100556">
            <w:pPr>
              <w:suppressAutoHyphens w:val="0"/>
              <w:spacing w:before="120" w:line="276" w:lineRule="auto"/>
              <w:jc w:val="center"/>
              <w:rPr>
                <w:lang w:eastAsia="ru-RU"/>
              </w:rPr>
            </w:pPr>
            <w:r w:rsidRPr="00FA4A2E">
              <w:rPr>
                <w:lang w:eastAsia="ru-RU"/>
              </w:rPr>
              <w:t>Līgtā nodokļu likme (%)</w:t>
            </w: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51BF404" w14:textId="77777777" w:rsidR="00FA4A2E" w:rsidRPr="00FA4A2E" w:rsidRDefault="00FA4A2E" w:rsidP="00100556">
            <w:pPr>
              <w:suppressAutoHyphens w:val="0"/>
              <w:spacing w:before="120" w:line="276" w:lineRule="auto"/>
              <w:jc w:val="center"/>
              <w:rPr>
                <w:lang w:eastAsia="ru-RU"/>
              </w:rPr>
            </w:pPr>
            <w:r w:rsidRPr="00FA4A2E">
              <w:rPr>
                <w:lang w:eastAsia="ru-RU"/>
              </w:rPr>
              <w:t>Papildu mērvienība</w:t>
            </w:r>
          </w:p>
        </w:tc>
      </w:tr>
      <w:tr w:rsidR="00FA4A2E" w:rsidRPr="00FA4A2E" w14:paraId="3EFA163E" w14:textId="77777777" w:rsidTr="0062286A">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15CBBD2" w14:textId="77777777" w:rsidR="00FA4A2E" w:rsidRPr="00FA4A2E" w:rsidRDefault="00FA4A2E" w:rsidP="00100556">
            <w:pPr>
              <w:suppressAutoHyphens w:val="0"/>
              <w:spacing w:line="276" w:lineRule="auto"/>
              <w:contextualSpacing/>
              <w:jc w:val="center"/>
              <w:rPr>
                <w:lang w:eastAsia="ru-RU"/>
              </w:rPr>
            </w:pPr>
            <w:r w:rsidRPr="00FA4A2E">
              <w:rPr>
                <w:lang w:eastAsia="ru-RU"/>
              </w:rPr>
              <w:t>(1)</w:t>
            </w: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D9E4BD8" w14:textId="77777777" w:rsidR="00FA4A2E" w:rsidRPr="00FA4A2E" w:rsidRDefault="00FA4A2E" w:rsidP="00100556">
            <w:pPr>
              <w:suppressAutoHyphens w:val="0"/>
              <w:spacing w:line="276" w:lineRule="auto"/>
              <w:contextualSpacing/>
              <w:jc w:val="center"/>
              <w:rPr>
                <w:lang w:eastAsia="ru-RU"/>
              </w:rPr>
            </w:pPr>
            <w:r w:rsidRPr="00FA4A2E">
              <w:rPr>
                <w:lang w:eastAsia="ru-RU"/>
              </w:rPr>
              <w:t>(2)</w:t>
            </w: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CD06E2A" w14:textId="77777777" w:rsidR="00FA4A2E" w:rsidRPr="00FA4A2E" w:rsidRDefault="00FA4A2E" w:rsidP="00100556">
            <w:pPr>
              <w:suppressAutoHyphens w:val="0"/>
              <w:spacing w:line="276" w:lineRule="auto"/>
              <w:contextualSpacing/>
              <w:jc w:val="center"/>
              <w:rPr>
                <w:lang w:eastAsia="ru-RU"/>
              </w:rPr>
            </w:pPr>
            <w:r w:rsidRPr="00FA4A2E">
              <w:rPr>
                <w:lang w:eastAsia="ru-RU"/>
              </w:rPr>
              <w:t>(3)</w:t>
            </w: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31F3326" w14:textId="77777777" w:rsidR="00FA4A2E" w:rsidRPr="00FA4A2E" w:rsidRDefault="00FA4A2E" w:rsidP="00100556">
            <w:pPr>
              <w:suppressAutoHyphens w:val="0"/>
              <w:spacing w:line="276" w:lineRule="auto"/>
              <w:contextualSpacing/>
              <w:jc w:val="center"/>
              <w:rPr>
                <w:lang w:eastAsia="ru-RU"/>
              </w:rPr>
            </w:pPr>
            <w:r w:rsidRPr="00FA4A2E">
              <w:rPr>
                <w:lang w:eastAsia="ru-RU"/>
              </w:rPr>
              <w:t>(4)</w:t>
            </w:r>
          </w:p>
        </w:tc>
      </w:tr>
      <w:tr w:rsidR="00FA4A2E" w:rsidRPr="00FA4A2E" w14:paraId="74E2EF44" w14:textId="77777777" w:rsidTr="0062286A">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B340F68" w14:textId="77777777" w:rsidR="00FA4A2E" w:rsidRPr="00FA4A2E" w:rsidRDefault="00FA4A2E" w:rsidP="00100556">
            <w:pPr>
              <w:suppressAutoHyphens w:val="0"/>
              <w:spacing w:before="120" w:line="276" w:lineRule="auto"/>
              <w:rPr>
                <w:lang w:eastAsia="ru-RU"/>
              </w:rPr>
            </w:pPr>
            <w:r w:rsidRPr="00FA4A2E">
              <w:rPr>
                <w:lang w:eastAsia="ru-RU"/>
              </w:rPr>
              <w:t>8517</w:t>
            </w: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73FDC2D" w14:textId="77777777" w:rsidR="00FA4A2E" w:rsidRPr="00FA4A2E" w:rsidRDefault="00FA4A2E" w:rsidP="00100556">
            <w:pPr>
              <w:suppressAutoHyphens w:val="0"/>
              <w:spacing w:before="120" w:line="276" w:lineRule="auto"/>
              <w:ind w:left="159" w:right="44"/>
              <w:jc w:val="both"/>
              <w:rPr>
                <w:lang w:eastAsia="ru-RU"/>
              </w:rPr>
            </w:pPr>
            <w:r w:rsidRPr="00FA4A2E">
              <w:rPr>
                <w:lang w:eastAsia="ru-RU"/>
              </w:rPr>
              <w:t>Telefonu aparāti, ieskaitot telefonus šūnu tīkliem vai citiem bezvadu tīkliem; citādi aparāti balss, attēlu vai citu datu pārraidei vai uztveršanai, ieskaitot aparātus saziņai līniju vai bezvadu tīklā (tāds kā lokālais vai teritoriālais tīkls), izņemot pārraides vai uztveršanas aparātus, kas minēti pozīcijā 8443, 8525, 8527 vai 8528</w:t>
            </w: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EE8A8F" w14:textId="77777777" w:rsidR="00FA4A2E" w:rsidRPr="00FA4A2E" w:rsidRDefault="00FA4A2E" w:rsidP="00100556">
            <w:pPr>
              <w:suppressAutoHyphens w:val="0"/>
              <w:spacing w:before="120" w:line="276" w:lineRule="auto"/>
              <w:rPr>
                <w:lang w:eastAsia="ru-RU"/>
              </w:rPr>
            </w:pP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5464C1F" w14:textId="77777777" w:rsidR="00FA4A2E" w:rsidRPr="00FA4A2E" w:rsidRDefault="00FA4A2E" w:rsidP="00100556">
            <w:pPr>
              <w:suppressAutoHyphens w:val="0"/>
              <w:spacing w:before="120" w:line="276" w:lineRule="auto"/>
              <w:rPr>
                <w:lang w:eastAsia="ru-RU"/>
              </w:rPr>
            </w:pPr>
          </w:p>
        </w:tc>
      </w:tr>
      <w:tr w:rsidR="00FA4A2E" w:rsidRPr="00FA4A2E" w14:paraId="72CCA703" w14:textId="77777777" w:rsidTr="0062286A">
        <w:trPr>
          <w:trHeight w:val="468"/>
        </w:trPr>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101F1C6" w14:textId="77777777" w:rsidR="00FA4A2E" w:rsidRPr="00FA4A2E" w:rsidRDefault="00FA4A2E" w:rsidP="00100556">
            <w:pPr>
              <w:suppressAutoHyphens w:val="0"/>
              <w:spacing w:before="120" w:line="276" w:lineRule="auto"/>
              <w:rPr>
                <w:lang w:eastAsia="ru-RU"/>
              </w:rPr>
            </w:pP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2A50C54" w14:textId="77777777" w:rsidR="00FA4A2E" w:rsidRPr="00FA4A2E" w:rsidRDefault="00FA4A2E" w:rsidP="00100556">
            <w:pPr>
              <w:suppressAutoHyphens w:val="0"/>
              <w:spacing w:before="120" w:line="276" w:lineRule="auto"/>
              <w:ind w:left="159" w:right="44"/>
              <w:jc w:val="both"/>
              <w:rPr>
                <w:lang w:eastAsia="ru-RU"/>
              </w:rPr>
            </w:pPr>
            <w:r w:rsidRPr="00FA4A2E">
              <w:rPr>
                <w:lang w:eastAsia="ru-RU"/>
              </w:rPr>
              <w:t>–  telefonu aparāti, ieskaitot telefonus šūnu tīkliem vai citiem bezvadu tīkliem</w:t>
            </w: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D6AC5D" w14:textId="77777777" w:rsidR="00FA4A2E" w:rsidRPr="00FA4A2E" w:rsidRDefault="00FA4A2E" w:rsidP="00100556">
            <w:pPr>
              <w:suppressAutoHyphens w:val="0"/>
              <w:spacing w:before="120" w:line="276" w:lineRule="auto"/>
              <w:rPr>
                <w:lang w:eastAsia="ru-RU"/>
              </w:rPr>
            </w:pP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9F27F5" w14:textId="77777777" w:rsidR="00FA4A2E" w:rsidRPr="00FA4A2E" w:rsidRDefault="00FA4A2E" w:rsidP="00100556">
            <w:pPr>
              <w:suppressAutoHyphens w:val="0"/>
              <w:spacing w:before="120" w:line="276" w:lineRule="auto"/>
              <w:rPr>
                <w:lang w:eastAsia="ru-RU"/>
              </w:rPr>
            </w:pPr>
          </w:p>
        </w:tc>
      </w:tr>
      <w:tr w:rsidR="00FA4A2E" w:rsidRPr="00FA4A2E" w14:paraId="649BD3FB" w14:textId="77777777" w:rsidTr="0062286A">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0300318" w14:textId="77777777" w:rsidR="00FA4A2E" w:rsidRPr="00FA4A2E" w:rsidRDefault="00FA4A2E" w:rsidP="00100556">
            <w:pPr>
              <w:suppressAutoHyphens w:val="0"/>
              <w:spacing w:before="120" w:line="276" w:lineRule="auto"/>
              <w:rPr>
                <w:lang w:eastAsia="ru-RU"/>
              </w:rPr>
            </w:pPr>
            <w:r w:rsidRPr="00FA4A2E">
              <w:rPr>
                <w:lang w:eastAsia="ru-RU"/>
              </w:rPr>
              <w:t>[..]</w:t>
            </w: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CF383DD" w14:textId="77777777" w:rsidR="00FA4A2E" w:rsidRPr="00FA4A2E" w:rsidRDefault="00FA4A2E" w:rsidP="00100556">
            <w:pPr>
              <w:suppressAutoHyphens w:val="0"/>
              <w:spacing w:before="120" w:line="276" w:lineRule="auto"/>
              <w:ind w:left="159" w:right="44"/>
              <w:jc w:val="both"/>
              <w:rPr>
                <w:lang w:eastAsia="ru-RU"/>
              </w:rPr>
            </w:pP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5168E73" w14:textId="77777777" w:rsidR="00FA4A2E" w:rsidRPr="00FA4A2E" w:rsidRDefault="00FA4A2E" w:rsidP="00100556">
            <w:pPr>
              <w:suppressAutoHyphens w:val="0"/>
              <w:spacing w:before="120" w:line="276" w:lineRule="auto"/>
              <w:rPr>
                <w:lang w:eastAsia="ru-RU"/>
              </w:rPr>
            </w:pP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D63B176" w14:textId="77777777" w:rsidR="00FA4A2E" w:rsidRPr="00FA4A2E" w:rsidRDefault="00FA4A2E" w:rsidP="00100556">
            <w:pPr>
              <w:suppressAutoHyphens w:val="0"/>
              <w:spacing w:before="120" w:line="276" w:lineRule="auto"/>
              <w:rPr>
                <w:lang w:eastAsia="ru-RU"/>
              </w:rPr>
            </w:pPr>
          </w:p>
        </w:tc>
      </w:tr>
      <w:tr w:rsidR="00FA4A2E" w:rsidRPr="00FA4A2E" w14:paraId="276A9698" w14:textId="77777777" w:rsidTr="0062286A">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203566" w14:textId="77777777" w:rsidR="00FA4A2E" w:rsidRPr="00FA4A2E" w:rsidRDefault="00FA4A2E" w:rsidP="00100556">
            <w:pPr>
              <w:suppressAutoHyphens w:val="0"/>
              <w:spacing w:before="120" w:line="276" w:lineRule="auto"/>
              <w:rPr>
                <w:lang w:eastAsia="ru-RU"/>
              </w:rPr>
            </w:pPr>
            <w:r w:rsidRPr="00FA4A2E">
              <w:rPr>
                <w:lang w:eastAsia="ru-RU"/>
              </w:rPr>
              <w:t>8517 62 00</w:t>
            </w: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3AD7580" w14:textId="77777777" w:rsidR="00FA4A2E" w:rsidRPr="00FA4A2E" w:rsidRDefault="00FA4A2E" w:rsidP="00100556">
            <w:pPr>
              <w:suppressAutoHyphens w:val="0"/>
              <w:spacing w:before="120" w:line="276" w:lineRule="auto"/>
              <w:ind w:left="159" w:right="44"/>
              <w:jc w:val="both"/>
              <w:rPr>
                <w:lang w:eastAsia="ru-RU"/>
              </w:rPr>
            </w:pPr>
            <w:r w:rsidRPr="00FA4A2E">
              <w:rPr>
                <w:lang w:eastAsia="ru-RU"/>
              </w:rPr>
              <w:t>– –  iekārtas balss, attēlu vai citu datu uztveršanai, konversijai un pārraidei vai reģenerācijai, ieskaitot komutācijas un maršrutēšanas aparātus</w:t>
            </w: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0819B78" w14:textId="77777777" w:rsidR="00FA4A2E" w:rsidRPr="00FA4A2E" w:rsidRDefault="00FA4A2E" w:rsidP="00100556">
            <w:pPr>
              <w:suppressAutoHyphens w:val="0"/>
              <w:spacing w:before="120" w:line="276" w:lineRule="auto"/>
              <w:rPr>
                <w:lang w:eastAsia="ru-RU"/>
              </w:rPr>
            </w:pPr>
            <w:r w:rsidRPr="00FA4A2E">
              <w:rPr>
                <w:lang w:eastAsia="ru-RU"/>
              </w:rPr>
              <w:t>bez nod.</w:t>
            </w: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36410E" w14:textId="77777777" w:rsidR="00FA4A2E" w:rsidRPr="00FA4A2E" w:rsidRDefault="00FA4A2E" w:rsidP="00100556">
            <w:pPr>
              <w:suppressAutoHyphens w:val="0"/>
              <w:spacing w:before="120" w:line="276" w:lineRule="auto"/>
              <w:rPr>
                <w:lang w:eastAsia="ru-RU"/>
              </w:rPr>
            </w:pPr>
            <w:r w:rsidRPr="00FA4A2E">
              <w:rPr>
                <w:lang w:eastAsia="ru-RU"/>
              </w:rPr>
              <w:t>—</w:t>
            </w:r>
          </w:p>
        </w:tc>
      </w:tr>
      <w:tr w:rsidR="00FA4A2E" w:rsidRPr="00FA4A2E" w14:paraId="48588216" w14:textId="77777777" w:rsidTr="0062286A">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201D43" w14:textId="77777777" w:rsidR="00FA4A2E" w:rsidRPr="00FA4A2E" w:rsidRDefault="00FA4A2E" w:rsidP="00100556">
            <w:pPr>
              <w:suppressAutoHyphens w:val="0"/>
              <w:spacing w:before="120" w:line="276" w:lineRule="auto"/>
              <w:rPr>
                <w:lang w:eastAsia="ru-RU"/>
              </w:rPr>
            </w:pPr>
            <w:r w:rsidRPr="00FA4A2E">
              <w:rPr>
                <w:lang w:eastAsia="ru-RU"/>
              </w:rPr>
              <w:lastRenderedPageBreak/>
              <w:t>8517 69</w:t>
            </w: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0F5739" w14:textId="77777777" w:rsidR="00FA4A2E" w:rsidRPr="00FA4A2E" w:rsidRDefault="00FA4A2E" w:rsidP="00100556">
            <w:pPr>
              <w:suppressAutoHyphens w:val="0"/>
              <w:spacing w:before="120" w:line="276" w:lineRule="auto"/>
              <w:ind w:left="159" w:right="44"/>
              <w:rPr>
                <w:lang w:eastAsia="ru-RU"/>
              </w:rPr>
            </w:pPr>
            <w:r w:rsidRPr="00FA4A2E">
              <w:rPr>
                <w:lang w:eastAsia="ru-RU"/>
              </w:rPr>
              <w:t>– –  citādi</w:t>
            </w: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D921547" w14:textId="77777777" w:rsidR="00FA4A2E" w:rsidRPr="00FA4A2E" w:rsidRDefault="00FA4A2E" w:rsidP="00100556">
            <w:pPr>
              <w:suppressAutoHyphens w:val="0"/>
              <w:spacing w:before="120" w:line="276" w:lineRule="auto"/>
              <w:rPr>
                <w:lang w:eastAsia="ru-RU"/>
              </w:rPr>
            </w:pP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8470A07" w14:textId="77777777" w:rsidR="00FA4A2E" w:rsidRPr="00FA4A2E" w:rsidRDefault="00FA4A2E" w:rsidP="00100556">
            <w:pPr>
              <w:suppressAutoHyphens w:val="0"/>
              <w:spacing w:before="120" w:line="276" w:lineRule="auto"/>
              <w:rPr>
                <w:lang w:eastAsia="ru-RU"/>
              </w:rPr>
            </w:pPr>
          </w:p>
        </w:tc>
      </w:tr>
      <w:tr w:rsidR="00FA4A2E" w:rsidRPr="00FA4A2E" w14:paraId="2E883B97" w14:textId="77777777" w:rsidTr="0062286A">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6837424" w14:textId="77777777" w:rsidR="00FA4A2E" w:rsidRPr="00FA4A2E" w:rsidRDefault="00FA4A2E" w:rsidP="00100556">
            <w:pPr>
              <w:suppressAutoHyphens w:val="0"/>
              <w:spacing w:before="120" w:line="276" w:lineRule="auto"/>
              <w:rPr>
                <w:lang w:eastAsia="ru-RU"/>
              </w:rPr>
            </w:pPr>
            <w:r w:rsidRPr="00FA4A2E">
              <w:rPr>
                <w:lang w:eastAsia="ru-RU"/>
              </w:rPr>
              <w:t>[..]</w:t>
            </w: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C0B3D00" w14:textId="77777777" w:rsidR="00FA4A2E" w:rsidRPr="00FA4A2E" w:rsidRDefault="00FA4A2E" w:rsidP="00100556">
            <w:pPr>
              <w:suppressAutoHyphens w:val="0"/>
              <w:spacing w:before="120" w:line="276" w:lineRule="auto"/>
              <w:ind w:left="159" w:right="44"/>
              <w:rPr>
                <w:lang w:eastAsia="ru-RU"/>
              </w:rPr>
            </w:pP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630247B" w14:textId="77777777" w:rsidR="00FA4A2E" w:rsidRPr="00FA4A2E" w:rsidRDefault="00FA4A2E" w:rsidP="00100556">
            <w:pPr>
              <w:suppressAutoHyphens w:val="0"/>
              <w:spacing w:before="120" w:line="276" w:lineRule="auto"/>
              <w:rPr>
                <w:lang w:eastAsia="ru-RU"/>
              </w:rPr>
            </w:pP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FF469B7" w14:textId="77777777" w:rsidR="00FA4A2E" w:rsidRPr="00FA4A2E" w:rsidRDefault="00FA4A2E" w:rsidP="00100556">
            <w:pPr>
              <w:suppressAutoHyphens w:val="0"/>
              <w:spacing w:before="120" w:line="276" w:lineRule="auto"/>
              <w:rPr>
                <w:lang w:eastAsia="ru-RU"/>
              </w:rPr>
            </w:pPr>
          </w:p>
        </w:tc>
      </w:tr>
      <w:tr w:rsidR="00FA4A2E" w:rsidRPr="00FA4A2E" w14:paraId="3DBF0C84" w14:textId="77777777" w:rsidTr="0062286A">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62ECD8" w14:textId="77777777" w:rsidR="00FA4A2E" w:rsidRPr="00FA4A2E" w:rsidRDefault="00FA4A2E" w:rsidP="00100556">
            <w:pPr>
              <w:suppressAutoHyphens w:val="0"/>
              <w:spacing w:before="120" w:line="276" w:lineRule="auto"/>
              <w:rPr>
                <w:lang w:eastAsia="ru-RU"/>
              </w:rPr>
            </w:pPr>
            <w:r w:rsidRPr="00FA4A2E">
              <w:rPr>
                <w:lang w:eastAsia="ru-RU"/>
              </w:rPr>
              <w:t>8517 70</w:t>
            </w: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D24DDE7" w14:textId="77777777" w:rsidR="00FA4A2E" w:rsidRPr="00FA4A2E" w:rsidRDefault="00FA4A2E" w:rsidP="00100556">
            <w:pPr>
              <w:suppressAutoHyphens w:val="0"/>
              <w:spacing w:before="120" w:line="276" w:lineRule="auto"/>
              <w:ind w:left="159" w:right="44"/>
              <w:rPr>
                <w:lang w:eastAsia="ru-RU"/>
              </w:rPr>
            </w:pPr>
            <w:r w:rsidRPr="00FA4A2E">
              <w:rPr>
                <w:lang w:eastAsia="ru-RU"/>
              </w:rPr>
              <w:t>–  daļas</w:t>
            </w: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61D30A" w14:textId="77777777" w:rsidR="00FA4A2E" w:rsidRPr="00FA4A2E" w:rsidRDefault="00FA4A2E" w:rsidP="00100556">
            <w:pPr>
              <w:suppressAutoHyphens w:val="0"/>
              <w:spacing w:before="120" w:line="276" w:lineRule="auto"/>
              <w:rPr>
                <w:lang w:eastAsia="ru-RU"/>
              </w:rPr>
            </w:pP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5EA0498" w14:textId="77777777" w:rsidR="00FA4A2E" w:rsidRPr="00FA4A2E" w:rsidRDefault="00FA4A2E" w:rsidP="00100556">
            <w:pPr>
              <w:suppressAutoHyphens w:val="0"/>
              <w:spacing w:before="120" w:line="276" w:lineRule="auto"/>
              <w:rPr>
                <w:lang w:eastAsia="ru-RU"/>
              </w:rPr>
            </w:pPr>
          </w:p>
        </w:tc>
      </w:tr>
      <w:tr w:rsidR="00FA4A2E" w:rsidRPr="00FA4A2E" w14:paraId="3C61AC8F" w14:textId="77777777" w:rsidTr="0062286A">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5000DD" w14:textId="77777777" w:rsidR="00FA4A2E" w:rsidRPr="00FA4A2E" w:rsidRDefault="00FA4A2E" w:rsidP="00100556">
            <w:pPr>
              <w:suppressAutoHyphens w:val="0"/>
              <w:spacing w:before="120" w:line="276" w:lineRule="auto"/>
              <w:rPr>
                <w:lang w:eastAsia="ru-RU"/>
              </w:rPr>
            </w:pP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93E011E" w14:textId="77777777" w:rsidR="00FA4A2E" w:rsidRPr="00FA4A2E" w:rsidRDefault="00FA4A2E" w:rsidP="00100556">
            <w:pPr>
              <w:suppressAutoHyphens w:val="0"/>
              <w:spacing w:before="120" w:line="276" w:lineRule="auto"/>
              <w:ind w:left="159" w:right="44"/>
              <w:rPr>
                <w:lang w:eastAsia="ru-RU"/>
              </w:rPr>
            </w:pPr>
            <w:r w:rsidRPr="00FA4A2E">
              <w:rPr>
                <w:lang w:eastAsia="ru-RU"/>
              </w:rPr>
              <w:t>– –  visu veidu antenas un reflektori; daļas, kas izmantojamas kopā ar šiem izstrādājumiem</w:t>
            </w: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BDA5C7" w14:textId="77777777" w:rsidR="00FA4A2E" w:rsidRPr="00FA4A2E" w:rsidRDefault="00FA4A2E" w:rsidP="00100556">
            <w:pPr>
              <w:suppressAutoHyphens w:val="0"/>
              <w:spacing w:before="120" w:line="276" w:lineRule="auto"/>
              <w:rPr>
                <w:lang w:eastAsia="ru-RU"/>
              </w:rPr>
            </w:pP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88DA0E2" w14:textId="77777777" w:rsidR="00FA4A2E" w:rsidRPr="00FA4A2E" w:rsidRDefault="00FA4A2E" w:rsidP="00100556">
            <w:pPr>
              <w:suppressAutoHyphens w:val="0"/>
              <w:spacing w:before="120" w:line="276" w:lineRule="auto"/>
              <w:rPr>
                <w:lang w:eastAsia="ru-RU"/>
              </w:rPr>
            </w:pPr>
          </w:p>
        </w:tc>
      </w:tr>
      <w:tr w:rsidR="00FA4A2E" w:rsidRPr="00FA4A2E" w14:paraId="560A884A" w14:textId="77777777" w:rsidTr="0062286A">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25B51B" w14:textId="77777777" w:rsidR="00FA4A2E" w:rsidRPr="00FA4A2E" w:rsidRDefault="00FA4A2E" w:rsidP="00100556">
            <w:pPr>
              <w:suppressAutoHyphens w:val="0"/>
              <w:spacing w:before="120" w:line="276" w:lineRule="auto"/>
              <w:rPr>
                <w:lang w:eastAsia="ru-RU"/>
              </w:rPr>
            </w:pPr>
            <w:r w:rsidRPr="00FA4A2E">
              <w:rPr>
                <w:lang w:eastAsia="ru-RU"/>
              </w:rPr>
              <w:t>8517 70 11</w:t>
            </w: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3A18767" w14:textId="77777777" w:rsidR="00FA4A2E" w:rsidRPr="00FA4A2E" w:rsidRDefault="00FA4A2E" w:rsidP="00100556">
            <w:pPr>
              <w:suppressAutoHyphens w:val="0"/>
              <w:spacing w:before="120" w:line="276" w:lineRule="auto"/>
              <w:ind w:left="159" w:right="44"/>
              <w:rPr>
                <w:lang w:eastAsia="ru-RU"/>
              </w:rPr>
            </w:pPr>
            <w:r w:rsidRPr="00FA4A2E">
              <w:rPr>
                <w:lang w:eastAsia="ru-RU"/>
              </w:rPr>
              <w:t>– – –  antenas radiotelegrāfa vai radiotelefona aparātiem</w:t>
            </w: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D455E8" w14:textId="77777777" w:rsidR="00FA4A2E" w:rsidRPr="00FA4A2E" w:rsidRDefault="00FA4A2E" w:rsidP="00100556">
            <w:pPr>
              <w:suppressAutoHyphens w:val="0"/>
              <w:spacing w:before="120" w:line="276" w:lineRule="auto"/>
              <w:rPr>
                <w:lang w:eastAsia="ru-RU"/>
              </w:rPr>
            </w:pPr>
            <w:r w:rsidRPr="00FA4A2E">
              <w:rPr>
                <w:lang w:eastAsia="ru-RU"/>
              </w:rPr>
              <w:t>bez nod.</w:t>
            </w: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AF076CD" w14:textId="77777777" w:rsidR="00FA4A2E" w:rsidRPr="00FA4A2E" w:rsidRDefault="00FA4A2E" w:rsidP="00100556">
            <w:pPr>
              <w:suppressAutoHyphens w:val="0"/>
              <w:spacing w:before="120" w:line="276" w:lineRule="auto"/>
              <w:rPr>
                <w:lang w:eastAsia="ru-RU"/>
              </w:rPr>
            </w:pPr>
            <w:r w:rsidRPr="00FA4A2E">
              <w:rPr>
                <w:lang w:eastAsia="ru-RU"/>
              </w:rPr>
              <w:t>—</w:t>
            </w:r>
          </w:p>
        </w:tc>
      </w:tr>
      <w:tr w:rsidR="00FA4A2E" w:rsidRPr="00FA4A2E" w14:paraId="43FABB05" w14:textId="77777777" w:rsidTr="0062286A">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D1B5559" w14:textId="77777777" w:rsidR="00FA4A2E" w:rsidRPr="00FA4A2E" w:rsidRDefault="00FA4A2E" w:rsidP="00100556">
            <w:pPr>
              <w:suppressAutoHyphens w:val="0"/>
              <w:spacing w:before="120" w:line="276" w:lineRule="auto"/>
              <w:rPr>
                <w:lang w:eastAsia="ru-RU"/>
              </w:rPr>
            </w:pPr>
            <w:r w:rsidRPr="00FA4A2E">
              <w:rPr>
                <w:lang w:eastAsia="ru-RU"/>
              </w:rPr>
              <w:t>[..]</w:t>
            </w: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CA628B3" w14:textId="77777777" w:rsidR="00FA4A2E" w:rsidRPr="00FA4A2E" w:rsidRDefault="00FA4A2E" w:rsidP="00100556">
            <w:pPr>
              <w:suppressAutoHyphens w:val="0"/>
              <w:spacing w:before="120" w:line="276" w:lineRule="auto"/>
              <w:ind w:left="159" w:right="44"/>
              <w:rPr>
                <w:lang w:eastAsia="ru-RU"/>
              </w:rPr>
            </w:pP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D742E20" w14:textId="77777777" w:rsidR="00FA4A2E" w:rsidRPr="00FA4A2E" w:rsidRDefault="00FA4A2E" w:rsidP="00100556">
            <w:pPr>
              <w:suppressAutoHyphens w:val="0"/>
              <w:spacing w:before="120" w:line="276" w:lineRule="auto"/>
              <w:rPr>
                <w:lang w:eastAsia="ru-RU"/>
              </w:rPr>
            </w:pP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D1A45F7" w14:textId="77777777" w:rsidR="00FA4A2E" w:rsidRPr="00FA4A2E" w:rsidRDefault="00FA4A2E" w:rsidP="00100556">
            <w:pPr>
              <w:suppressAutoHyphens w:val="0"/>
              <w:spacing w:before="120" w:line="276" w:lineRule="auto"/>
              <w:rPr>
                <w:lang w:eastAsia="ru-RU"/>
              </w:rPr>
            </w:pPr>
          </w:p>
        </w:tc>
      </w:tr>
      <w:tr w:rsidR="00FA4A2E" w:rsidRPr="00FA4A2E" w14:paraId="3A463A8A" w14:textId="77777777" w:rsidTr="0062286A">
        <w:tc>
          <w:tcPr>
            <w:tcW w:w="70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4E581B1" w14:textId="77777777" w:rsidR="00FA4A2E" w:rsidRPr="00FA4A2E" w:rsidRDefault="00FA4A2E" w:rsidP="00100556">
            <w:pPr>
              <w:suppressAutoHyphens w:val="0"/>
              <w:spacing w:before="120" w:line="276" w:lineRule="auto"/>
              <w:rPr>
                <w:lang w:eastAsia="ru-RU"/>
              </w:rPr>
            </w:pPr>
            <w:r w:rsidRPr="00FA4A2E">
              <w:rPr>
                <w:lang w:eastAsia="ru-RU"/>
              </w:rPr>
              <w:t>8517 70 19</w:t>
            </w:r>
          </w:p>
        </w:tc>
        <w:tc>
          <w:tcPr>
            <w:tcW w:w="31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3AD12BA" w14:textId="77777777" w:rsidR="00FA4A2E" w:rsidRPr="00FA4A2E" w:rsidRDefault="00FA4A2E" w:rsidP="00100556">
            <w:pPr>
              <w:suppressAutoHyphens w:val="0"/>
              <w:spacing w:before="120" w:line="276" w:lineRule="auto"/>
              <w:ind w:left="159" w:right="44"/>
              <w:rPr>
                <w:lang w:eastAsia="ru-RU"/>
              </w:rPr>
            </w:pPr>
            <w:r w:rsidRPr="00FA4A2E">
              <w:rPr>
                <w:lang w:eastAsia="ru-RU"/>
              </w:rPr>
              <w:t>– – –  citādi</w:t>
            </w:r>
          </w:p>
        </w:tc>
        <w:tc>
          <w:tcPr>
            <w:tcW w:w="5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1B468F3" w14:textId="77777777" w:rsidR="00FA4A2E" w:rsidRPr="00FA4A2E" w:rsidRDefault="00FA4A2E" w:rsidP="00100556">
            <w:pPr>
              <w:suppressAutoHyphens w:val="0"/>
              <w:spacing w:before="120" w:line="276" w:lineRule="auto"/>
              <w:rPr>
                <w:lang w:eastAsia="ru-RU"/>
              </w:rPr>
            </w:pPr>
            <w:r w:rsidRPr="00FA4A2E">
              <w:rPr>
                <w:lang w:eastAsia="ru-RU"/>
              </w:rPr>
              <w:t>3,6</w:t>
            </w:r>
          </w:p>
        </w:tc>
        <w:tc>
          <w:tcPr>
            <w:tcW w:w="62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2B0407" w14:textId="77777777" w:rsidR="00FA4A2E" w:rsidRPr="00FA4A2E" w:rsidRDefault="00FA4A2E" w:rsidP="00100556">
            <w:pPr>
              <w:suppressAutoHyphens w:val="0"/>
              <w:spacing w:before="120" w:line="276" w:lineRule="auto"/>
              <w:rPr>
                <w:lang w:eastAsia="ru-RU"/>
              </w:rPr>
            </w:pPr>
            <w:r w:rsidRPr="00FA4A2E">
              <w:rPr>
                <w:lang w:eastAsia="ru-RU"/>
              </w:rPr>
              <w:t>—</w:t>
            </w:r>
          </w:p>
        </w:tc>
      </w:tr>
    </w:tbl>
    <w:p w14:paraId="0583B08E" w14:textId="77777777" w:rsidR="0062286A" w:rsidRDefault="0062286A" w:rsidP="00100556">
      <w:pPr>
        <w:autoSpaceDE w:val="0"/>
        <w:autoSpaceDN w:val="0"/>
        <w:adjustRightInd w:val="0"/>
        <w:spacing w:line="276" w:lineRule="auto"/>
        <w:ind w:firstLine="567"/>
        <w:jc w:val="both"/>
        <w:rPr>
          <w:bCs/>
          <w:iCs/>
          <w:shd w:val="clear" w:color="auto" w:fill="FFFFFF"/>
        </w:rPr>
      </w:pPr>
    </w:p>
    <w:p w14:paraId="1B0D5F53" w14:textId="6B17A78D" w:rsidR="00E257A4" w:rsidRDefault="00E257A4" w:rsidP="00100556">
      <w:pPr>
        <w:autoSpaceDE w:val="0"/>
        <w:autoSpaceDN w:val="0"/>
        <w:adjustRightInd w:val="0"/>
        <w:spacing w:line="276" w:lineRule="auto"/>
        <w:ind w:firstLine="567"/>
        <w:jc w:val="both"/>
        <w:rPr>
          <w:bCs/>
          <w:iCs/>
          <w:shd w:val="clear" w:color="auto" w:fill="FFFFFF"/>
        </w:rPr>
      </w:pPr>
      <w:r w:rsidRPr="006E1E54">
        <w:rPr>
          <w:bCs/>
          <w:iCs/>
          <w:shd w:val="clear" w:color="auto" w:fill="FFFFFF"/>
        </w:rPr>
        <w:t>Pieteicēja strīdus preces klasificēj</w:t>
      </w:r>
      <w:r w:rsidR="00B43D90">
        <w:rPr>
          <w:bCs/>
          <w:iCs/>
          <w:shd w:val="clear" w:color="auto" w:fill="FFFFFF"/>
        </w:rPr>
        <w:t>a</w:t>
      </w:r>
      <w:r w:rsidRPr="006E1E54">
        <w:rPr>
          <w:bCs/>
          <w:iCs/>
          <w:shd w:val="clear" w:color="auto" w:fill="FFFFFF"/>
        </w:rPr>
        <w:t xml:space="preserve"> </w:t>
      </w:r>
      <w:r w:rsidR="00B43D90">
        <w:rPr>
          <w:bCs/>
          <w:iCs/>
          <w:shd w:val="clear" w:color="auto" w:fill="FFFFFF"/>
        </w:rPr>
        <w:t>KN </w:t>
      </w:r>
      <w:r w:rsidRPr="006E1E54">
        <w:rPr>
          <w:bCs/>
          <w:iCs/>
          <w:shd w:val="clear" w:color="auto" w:fill="FFFFFF"/>
        </w:rPr>
        <w:t xml:space="preserve"> pozīcij</w:t>
      </w:r>
      <w:r w:rsidR="00B43D90">
        <w:rPr>
          <w:bCs/>
          <w:iCs/>
          <w:shd w:val="clear" w:color="auto" w:fill="FFFFFF"/>
        </w:rPr>
        <w:t>as</w:t>
      </w:r>
      <w:r w:rsidRPr="006E1E54">
        <w:rPr>
          <w:bCs/>
          <w:iCs/>
          <w:shd w:val="clear" w:color="auto" w:fill="FFFFFF"/>
        </w:rPr>
        <w:t xml:space="preserve"> 8517 apakšpozīcijā 8517 70 11 90.</w:t>
      </w:r>
      <w:r w:rsidR="00B43D90">
        <w:rPr>
          <w:bCs/>
          <w:iCs/>
          <w:shd w:val="clear" w:color="auto" w:fill="FFFFFF"/>
        </w:rPr>
        <w:t xml:space="preserve"> Savukārt </w:t>
      </w:r>
      <w:r w:rsidRPr="00E257A4">
        <w:rPr>
          <w:bCs/>
          <w:iCs/>
          <w:shd w:val="clear" w:color="auto" w:fill="FFFFFF"/>
        </w:rPr>
        <w:t xml:space="preserve">Valsts ieņēmumu dienests strīdus precēm piemēroja </w:t>
      </w:r>
      <w:r w:rsidR="00B43D90">
        <w:rPr>
          <w:bCs/>
          <w:iCs/>
          <w:shd w:val="clear" w:color="auto" w:fill="FFFFFF"/>
        </w:rPr>
        <w:t>KN </w:t>
      </w:r>
      <w:r w:rsidRPr="00E257A4">
        <w:rPr>
          <w:bCs/>
          <w:iCs/>
          <w:shd w:val="clear" w:color="auto" w:fill="FFFFFF"/>
        </w:rPr>
        <w:t>pozīcijas 8517 apakšpozīciju 8517 70 19 90.</w:t>
      </w:r>
    </w:p>
    <w:p w14:paraId="6B0EA74D" w14:textId="6D2661F6" w:rsidR="00E257A4" w:rsidRPr="00E257A4" w:rsidRDefault="00FF43DD" w:rsidP="00100556">
      <w:pPr>
        <w:autoSpaceDE w:val="0"/>
        <w:autoSpaceDN w:val="0"/>
        <w:adjustRightInd w:val="0"/>
        <w:spacing w:line="276" w:lineRule="auto"/>
        <w:ind w:firstLine="567"/>
        <w:jc w:val="both"/>
        <w:rPr>
          <w:bCs/>
          <w:iCs/>
          <w:shd w:val="clear" w:color="auto" w:fill="FFFFFF"/>
        </w:rPr>
      </w:pPr>
      <w:r w:rsidRPr="00FF43DD">
        <w:rPr>
          <w:bCs/>
          <w:iCs/>
          <w:shd w:val="clear" w:color="auto" w:fill="FFFFFF"/>
        </w:rPr>
        <w:t>Lietā nav strīda par KN XVI sadaļas 2.piezīmes b</w:t>
      </w:r>
      <w:r w:rsidR="00B43D90">
        <w:rPr>
          <w:bCs/>
          <w:iCs/>
          <w:shd w:val="clear" w:color="auto" w:fill="FFFFFF"/>
        </w:rPr>
        <w:t>)</w:t>
      </w:r>
      <w:r w:rsidRPr="00FF43DD">
        <w:rPr>
          <w:bCs/>
          <w:iCs/>
          <w:shd w:val="clear" w:color="auto" w:fill="FFFFFF"/>
        </w:rPr>
        <w:t xml:space="preserve"> punkta piemērošanu, proti, ka strīdus preces ir jāklasificē kā bezvadu tīkla aparātu daļas atbilstoši </w:t>
      </w:r>
      <w:r w:rsidRPr="00F427C1">
        <w:rPr>
          <w:bCs/>
          <w:iCs/>
          <w:color w:val="000000" w:themeColor="text1"/>
          <w:shd w:val="clear" w:color="auto" w:fill="FFFFFF"/>
        </w:rPr>
        <w:t>HS</w:t>
      </w:r>
      <w:r w:rsidRPr="00FF43DD">
        <w:rPr>
          <w:bCs/>
          <w:iCs/>
          <w:shd w:val="clear" w:color="auto" w:fill="FFFFFF"/>
        </w:rPr>
        <w:t xml:space="preserve"> kodam 8517</w:t>
      </w:r>
      <w:r w:rsidR="007350D9">
        <w:rPr>
          <w:bCs/>
          <w:iCs/>
          <w:shd w:val="clear" w:color="auto" w:fill="FFFFFF"/>
        </w:rPr>
        <w:t> </w:t>
      </w:r>
      <w:r w:rsidRPr="00FF43DD">
        <w:rPr>
          <w:bCs/>
          <w:iCs/>
          <w:shd w:val="clear" w:color="auto" w:fill="FFFFFF"/>
        </w:rPr>
        <w:t>70. Strīds ir par</w:t>
      </w:r>
      <w:r>
        <w:rPr>
          <w:bCs/>
          <w:iCs/>
          <w:shd w:val="clear" w:color="auto" w:fill="FFFFFF"/>
        </w:rPr>
        <w:t xml:space="preserve"> </w:t>
      </w:r>
      <w:r w:rsidR="00B43D90">
        <w:rPr>
          <w:bCs/>
          <w:iCs/>
          <w:shd w:val="clear" w:color="auto" w:fill="FFFFFF"/>
        </w:rPr>
        <w:t>KN </w:t>
      </w:r>
      <w:r w:rsidR="00E257A4" w:rsidRPr="00E257A4">
        <w:rPr>
          <w:bCs/>
          <w:iCs/>
          <w:shd w:val="clear" w:color="auto" w:fill="FFFFFF"/>
        </w:rPr>
        <w:t xml:space="preserve">koda 8.zīmi (apakšpozīcija ar trīs defisēm), </w:t>
      </w:r>
      <w:r w:rsidR="00B43D90">
        <w:rPr>
          <w:bCs/>
          <w:iCs/>
          <w:shd w:val="clear" w:color="auto" w:fill="FFFFFF"/>
        </w:rPr>
        <w:t>proti, par to</w:t>
      </w:r>
      <w:r w:rsidR="00E257A4" w:rsidRPr="00E257A4">
        <w:rPr>
          <w:bCs/>
          <w:iCs/>
          <w:shd w:val="clear" w:color="auto" w:fill="FFFFFF"/>
        </w:rPr>
        <w:t xml:space="preserve">, vai maršrutētāju antenas </w:t>
      </w:r>
      <w:r>
        <w:rPr>
          <w:bCs/>
          <w:iCs/>
          <w:shd w:val="clear" w:color="auto" w:fill="FFFFFF"/>
        </w:rPr>
        <w:t>jāklasificē</w:t>
      </w:r>
      <w:r w:rsidR="00E257A4" w:rsidRPr="00E257A4">
        <w:rPr>
          <w:bCs/>
          <w:iCs/>
          <w:shd w:val="clear" w:color="auto" w:fill="FFFFFF"/>
        </w:rPr>
        <w:t xml:space="preserve"> ar kodu:</w:t>
      </w:r>
    </w:p>
    <w:p w14:paraId="2C351EFF" w14:textId="0E59EEAD" w:rsidR="00E257A4" w:rsidRPr="00E257A4" w:rsidRDefault="00E257A4" w:rsidP="00100556">
      <w:pPr>
        <w:autoSpaceDE w:val="0"/>
        <w:autoSpaceDN w:val="0"/>
        <w:adjustRightInd w:val="0"/>
        <w:spacing w:line="276" w:lineRule="auto"/>
        <w:ind w:firstLine="567"/>
        <w:jc w:val="both"/>
        <w:rPr>
          <w:bCs/>
          <w:iCs/>
          <w:shd w:val="clear" w:color="auto" w:fill="FFFFFF"/>
        </w:rPr>
      </w:pPr>
      <w:r w:rsidRPr="00E257A4">
        <w:rPr>
          <w:bCs/>
          <w:iCs/>
          <w:shd w:val="clear" w:color="auto" w:fill="FFFFFF"/>
        </w:rPr>
        <w:t xml:space="preserve">1) 8517 70 11: Telefonu aparāti, ieskaitot telefonus šūnu tīkliem vai citiem bezvadu tīkliem; citādi aparāti balss, attēlu vai citu datu pārraidei vai uztveršanai, </w:t>
      </w:r>
      <w:r w:rsidRPr="00E257A4">
        <w:rPr>
          <w:bCs/>
          <w:iCs/>
          <w:shd w:val="clear" w:color="auto" w:fill="FFFFFF"/>
        </w:rPr>
        <w:lastRenderedPageBreak/>
        <w:t>ieskaitot aparātus saziņai līniju vai bezvadu tīklā (tāds kā lokālais vai teritoriālais tīkls), izņemot pārraides vai uztveršanas aparātus, kas minēti pozīcijā 8443, 8525, 8527 vai 8528: - daļas: -- visu veidu antenas un reflektori; daļas, kas izmantojamas kopā ar šiem izstrādājumiem: --- antenas radiotelegrāfa vai radiotelefona aparātiem; vai</w:t>
      </w:r>
      <w:r w:rsidR="00B43D90">
        <w:rPr>
          <w:bCs/>
          <w:iCs/>
          <w:shd w:val="clear" w:color="auto" w:fill="FFFFFF"/>
        </w:rPr>
        <w:t xml:space="preserve"> arī</w:t>
      </w:r>
    </w:p>
    <w:p w14:paraId="0CF2F761" w14:textId="77777777" w:rsidR="00E257A4" w:rsidRPr="00E257A4" w:rsidRDefault="00E257A4" w:rsidP="00100556">
      <w:pPr>
        <w:autoSpaceDE w:val="0"/>
        <w:autoSpaceDN w:val="0"/>
        <w:adjustRightInd w:val="0"/>
        <w:spacing w:line="276" w:lineRule="auto"/>
        <w:ind w:firstLine="567"/>
        <w:jc w:val="both"/>
        <w:rPr>
          <w:bCs/>
          <w:iCs/>
          <w:shd w:val="clear" w:color="auto" w:fill="FFFFFF"/>
        </w:rPr>
      </w:pPr>
      <w:r w:rsidRPr="00E257A4">
        <w:rPr>
          <w:bCs/>
          <w:iCs/>
          <w:shd w:val="clear" w:color="auto" w:fill="FFFFFF"/>
        </w:rPr>
        <w:t>2) 8517 70 19: Telefonu aparāti, ieskaitot telefonus šūnu tīkliem vai citiem bezvadu tīkliem; citādi aparāti balss, attēlu vai citu datu pārraidei vai uztveršanai, ieskaitot aparātus saziņai līniju vai bezvadu tīklā (tāds kā lokālais vai teritoriālais tīkls), izņemot pārraides vai uztveršanas aparātus, kas minēti pozīcijā 8443, 8525, 8527 vai 8528: - daļas: -- visu veidu antenas un reflektori; daļas, kas izmantojamas kopā ar šiem izstrādājumiem: --- citādi.</w:t>
      </w:r>
    </w:p>
    <w:p w14:paraId="6008F670" w14:textId="1BF247DB" w:rsidR="00E257A4" w:rsidRPr="00E257A4" w:rsidRDefault="00B43D90" w:rsidP="00100556">
      <w:pPr>
        <w:autoSpaceDE w:val="0"/>
        <w:autoSpaceDN w:val="0"/>
        <w:adjustRightInd w:val="0"/>
        <w:spacing w:line="276" w:lineRule="auto"/>
        <w:ind w:firstLine="567"/>
        <w:jc w:val="both"/>
        <w:rPr>
          <w:bCs/>
          <w:iCs/>
          <w:shd w:val="clear" w:color="auto" w:fill="FFFFFF"/>
        </w:rPr>
      </w:pPr>
      <w:r>
        <w:rPr>
          <w:bCs/>
          <w:iCs/>
          <w:shd w:val="clear" w:color="auto" w:fill="FFFFFF"/>
        </w:rPr>
        <w:t xml:space="preserve">Līdz ar to </w:t>
      </w:r>
      <w:r w:rsidR="00E257A4" w:rsidRPr="00E257A4">
        <w:rPr>
          <w:bCs/>
          <w:iCs/>
          <w:shd w:val="clear" w:color="auto" w:fill="FFFFFF"/>
        </w:rPr>
        <w:t xml:space="preserve">lietā jānoskaidro, vai antenas maršrutēšanas aparātiem jāklasificē kā antenas radiotelegrāfa vai radiotelefona aparātiem vai antenas citiem aparātiem, kas klasificējamas </w:t>
      </w:r>
      <w:r>
        <w:rPr>
          <w:bCs/>
          <w:iCs/>
          <w:shd w:val="clear" w:color="auto" w:fill="FFFFFF"/>
        </w:rPr>
        <w:t>KN </w:t>
      </w:r>
      <w:r w:rsidR="00E257A4" w:rsidRPr="00E257A4">
        <w:rPr>
          <w:bCs/>
          <w:iCs/>
          <w:shd w:val="clear" w:color="auto" w:fill="FFFFFF"/>
        </w:rPr>
        <w:t>pozīcijā 8517.</w:t>
      </w:r>
    </w:p>
    <w:p w14:paraId="6CC6AE5E" w14:textId="14C58B53" w:rsidR="00537E96" w:rsidRDefault="00537E96" w:rsidP="00100556">
      <w:pPr>
        <w:autoSpaceDE w:val="0"/>
        <w:autoSpaceDN w:val="0"/>
        <w:adjustRightInd w:val="0"/>
        <w:spacing w:line="276" w:lineRule="auto"/>
        <w:ind w:firstLine="567"/>
        <w:jc w:val="both"/>
        <w:rPr>
          <w:bCs/>
          <w:iCs/>
          <w:shd w:val="clear" w:color="auto" w:fill="FFFFFF"/>
        </w:rPr>
      </w:pPr>
    </w:p>
    <w:p w14:paraId="6ED30666" w14:textId="68F5543C" w:rsidR="00862FA2" w:rsidRPr="00862FA2" w:rsidRDefault="00862FA2" w:rsidP="00100556">
      <w:pPr>
        <w:autoSpaceDE w:val="0"/>
        <w:autoSpaceDN w:val="0"/>
        <w:adjustRightInd w:val="0"/>
        <w:spacing w:line="276" w:lineRule="auto"/>
        <w:ind w:firstLine="567"/>
        <w:jc w:val="both"/>
        <w:rPr>
          <w:bCs/>
          <w:iCs/>
          <w:shd w:val="clear" w:color="auto" w:fill="FFFFFF"/>
        </w:rPr>
      </w:pPr>
      <w:r>
        <w:rPr>
          <w:bCs/>
          <w:iCs/>
          <w:shd w:val="clear" w:color="auto" w:fill="FFFFFF"/>
        </w:rPr>
        <w:t>[</w:t>
      </w:r>
      <w:r w:rsidR="0062286A">
        <w:rPr>
          <w:bCs/>
          <w:iCs/>
          <w:shd w:val="clear" w:color="auto" w:fill="FFFFFF"/>
        </w:rPr>
        <w:t>9</w:t>
      </w:r>
      <w:r>
        <w:rPr>
          <w:bCs/>
          <w:iCs/>
          <w:shd w:val="clear" w:color="auto" w:fill="FFFFFF"/>
        </w:rPr>
        <w:t>] </w:t>
      </w:r>
      <w:r w:rsidRPr="00862FA2">
        <w:rPr>
          <w:bCs/>
          <w:iCs/>
          <w:shd w:val="clear" w:color="auto" w:fill="FFFFFF"/>
        </w:rPr>
        <w:t>Atbilstoši HS pozīcijas 8517 skaidrojumu II</w:t>
      </w:r>
      <w:r w:rsidR="00442280">
        <w:rPr>
          <w:bCs/>
          <w:iCs/>
          <w:shd w:val="clear" w:color="auto" w:fill="FFFFFF"/>
        </w:rPr>
        <w:t> </w:t>
      </w:r>
      <w:r w:rsidRPr="00862FA2">
        <w:rPr>
          <w:bCs/>
          <w:iCs/>
          <w:shd w:val="clear" w:color="auto" w:fill="FFFFFF"/>
        </w:rPr>
        <w:t>sadaļas F punktā noteiktajam radiotelefonijas un radiotelegrāfijas raidaparatūra un uztvērējaparatūras grupā ir iekļaut</w:t>
      </w:r>
      <w:r w:rsidR="002106B3">
        <w:rPr>
          <w:bCs/>
          <w:iCs/>
          <w:shd w:val="clear" w:color="auto" w:fill="FFFFFF"/>
        </w:rPr>
        <w:t>i</w:t>
      </w:r>
      <w:r w:rsidRPr="00862FA2">
        <w:rPr>
          <w:bCs/>
          <w:iCs/>
          <w:shd w:val="clear" w:color="auto" w:fill="FFFFFF"/>
        </w:rPr>
        <w:t>: 1)</w:t>
      </w:r>
      <w:r w:rsidR="002106B3">
        <w:rPr>
          <w:bCs/>
          <w:iCs/>
          <w:shd w:val="clear" w:color="auto" w:fill="FFFFFF"/>
        </w:rPr>
        <w:t> </w:t>
      </w:r>
      <w:r w:rsidRPr="00862FA2">
        <w:rPr>
          <w:bCs/>
          <w:iCs/>
          <w:shd w:val="clear" w:color="auto" w:fill="FFFFFF"/>
        </w:rPr>
        <w:t>radiotelefonijas un radiotelegrāfijas līnijaparāti (raidītāji, uztvērēji un raidītāji uztvērēji); Dažāda veida aparāti, ko pamatā izmanto lielās instalācijās, iekļauj īpašas, piemēram, slepenības ierīces (piemēram, spektra invertorus), multipleksa ierīces (izmanto vairāk nekā divu ziņojumu vienlaicīgai nosūtīšanai) un noteikta tipa uztvērējus, ko sauc par „dalītajiem uztvērējiem” un kas izmanto dažādas uztveršanas metodes, lai novērstu signāla vājināšanos; 2)</w:t>
      </w:r>
      <w:r w:rsidR="002106B3">
        <w:rPr>
          <w:bCs/>
          <w:iCs/>
          <w:shd w:val="clear" w:color="auto" w:fill="FFFFFF"/>
        </w:rPr>
        <w:t> </w:t>
      </w:r>
      <w:r w:rsidRPr="00862FA2">
        <w:rPr>
          <w:bCs/>
          <w:iCs/>
          <w:shd w:val="clear" w:color="auto" w:fill="FFFFFF"/>
        </w:rPr>
        <w:t>radioraidītāji un radiouztvērēji vairāku valodu konferenču sinhronajai tulkošanai; 3)</w:t>
      </w:r>
      <w:r w:rsidR="002106B3">
        <w:rPr>
          <w:bCs/>
          <w:iCs/>
          <w:shd w:val="clear" w:color="auto" w:fill="FFFFFF"/>
        </w:rPr>
        <w:t> </w:t>
      </w:r>
      <w:r w:rsidRPr="00862FA2">
        <w:rPr>
          <w:bCs/>
          <w:iCs/>
          <w:shd w:val="clear" w:color="auto" w:fill="FFFFFF"/>
        </w:rPr>
        <w:t>automātiskie raidītāji un īpaši uztvērēji avārijas signālu sūtīšanai no kuģiem, lidaparātiem utt.; 4)</w:t>
      </w:r>
      <w:r w:rsidR="002106B3">
        <w:rPr>
          <w:bCs/>
          <w:iCs/>
          <w:shd w:val="clear" w:color="auto" w:fill="FFFFFF"/>
        </w:rPr>
        <w:t> </w:t>
      </w:r>
      <w:r w:rsidRPr="00862FA2">
        <w:rPr>
          <w:bCs/>
          <w:iCs/>
          <w:shd w:val="clear" w:color="auto" w:fill="FFFFFF"/>
        </w:rPr>
        <w:t xml:space="preserve">telemetrijas signālu raidītāji, uztvērēji vai raidītāji/uztvērēji; 5) radiotelefonijas aparāti, ieskaitot radiotelefonijas uztvērējus motorizētiem transportlīdzekļiem, kuģiem, </w:t>
      </w:r>
      <w:r w:rsidRPr="00862FA2">
        <w:rPr>
          <w:bCs/>
          <w:iCs/>
          <w:shd w:val="clear" w:color="auto" w:fill="FFFFFF"/>
        </w:rPr>
        <w:lastRenderedPageBreak/>
        <w:t>lidaparātiem, vilcieniem utt.; 6)</w:t>
      </w:r>
      <w:r w:rsidR="002106B3">
        <w:rPr>
          <w:bCs/>
          <w:iCs/>
          <w:shd w:val="clear" w:color="auto" w:fill="FFFFFF"/>
        </w:rPr>
        <w:t> </w:t>
      </w:r>
      <w:r w:rsidRPr="00862FA2">
        <w:rPr>
          <w:bCs/>
          <w:iCs/>
          <w:shd w:val="clear" w:color="auto" w:fill="FFFFFF"/>
        </w:rPr>
        <w:t>portatīvie uztvērēji, parasti darbināmi ar bateriju, piemēram, portatīvie uztvērēji izsaukšanai, brīdināšanai vai peidžeru sistēmas uztvērēji.</w:t>
      </w:r>
    </w:p>
    <w:p w14:paraId="2478C6E1" w14:textId="76C04968" w:rsidR="00862FA2" w:rsidRPr="00D53D34" w:rsidRDefault="00862FA2" w:rsidP="00100556">
      <w:pPr>
        <w:autoSpaceDE w:val="0"/>
        <w:autoSpaceDN w:val="0"/>
        <w:adjustRightInd w:val="0"/>
        <w:spacing w:line="276" w:lineRule="auto"/>
        <w:ind w:firstLine="567"/>
        <w:jc w:val="both"/>
        <w:rPr>
          <w:bCs/>
          <w:iCs/>
          <w:shd w:val="clear" w:color="auto" w:fill="FFFFFF"/>
        </w:rPr>
      </w:pPr>
      <w:r w:rsidRPr="00862FA2">
        <w:rPr>
          <w:bCs/>
          <w:iCs/>
          <w:shd w:val="clear" w:color="auto" w:fill="FFFFFF"/>
        </w:rPr>
        <w:t>Savukārt atbilstoši HS pozīcijas 8517 skaidrojumu II sadaļas G punktam – Citādi sakaru aparāti – šajā grupā ir iekļauti aparāti, kas nodrošina savienojumu ar vadu vai bezvadu sakaru tīklu vai balss vai citu skaņu, attēlu vai citu datu pārraidīšanu vai uztveršanu šādos tīklos. Sakaru tīkli iekļauj</w:t>
      </w:r>
      <w:r w:rsidR="002106B3">
        <w:rPr>
          <w:bCs/>
          <w:iCs/>
          <w:shd w:val="clear" w:color="auto" w:fill="FFFFFF"/>
        </w:rPr>
        <w:t xml:space="preserve"> arī </w:t>
      </w:r>
      <w:r w:rsidRPr="00862FA2">
        <w:rPr>
          <w:bCs/>
          <w:iCs/>
          <w:shd w:val="clear" w:color="auto" w:fill="FFFFFF"/>
        </w:rPr>
        <w:t>augstfrekvences sakaru sistēmas, ciparu sakaru sistēmas un šādu sistēmu kombinācijas. Šīs sistēmas var konfigurēt, piemēram, kā publiskas komutācijas telefonu tīklus, lokālos tīklus (LAN), pilsēttīklus (MAN) un teritoriālos tīklus (WAN) ar patentētu vai atvērtu arhitektūru. Šajā grupā ir iekļaut</w:t>
      </w:r>
      <w:r w:rsidR="002106B3">
        <w:rPr>
          <w:bCs/>
          <w:iCs/>
          <w:shd w:val="clear" w:color="auto" w:fill="FFFFFF"/>
        </w:rPr>
        <w:t>a</w:t>
      </w:r>
      <w:r w:rsidRPr="00862FA2">
        <w:rPr>
          <w:bCs/>
          <w:iCs/>
          <w:shd w:val="clear" w:color="auto" w:fill="FFFFFF"/>
        </w:rPr>
        <w:t>s</w:t>
      </w:r>
      <w:r w:rsidR="002106B3">
        <w:rPr>
          <w:bCs/>
          <w:iCs/>
          <w:shd w:val="clear" w:color="auto" w:fill="FFFFFF"/>
        </w:rPr>
        <w:t>:</w:t>
      </w:r>
      <w:r w:rsidRPr="00862FA2">
        <w:rPr>
          <w:bCs/>
          <w:iCs/>
          <w:shd w:val="clear" w:color="auto" w:fill="FFFFFF"/>
        </w:rPr>
        <w:t xml:space="preserve"> 1)</w:t>
      </w:r>
      <w:r w:rsidR="002106B3">
        <w:rPr>
          <w:bCs/>
          <w:iCs/>
          <w:shd w:val="clear" w:color="auto" w:fill="FFFFFF"/>
        </w:rPr>
        <w:t> t</w:t>
      </w:r>
      <w:r w:rsidRPr="00862FA2">
        <w:rPr>
          <w:bCs/>
          <w:iCs/>
          <w:shd w:val="clear" w:color="auto" w:fill="FFFFFF"/>
        </w:rPr>
        <w:t xml:space="preserve">īkla saskarnes kartes (piemēram, </w:t>
      </w:r>
      <w:r w:rsidRPr="00862FA2">
        <w:rPr>
          <w:bCs/>
          <w:i/>
          <w:iCs/>
          <w:shd w:val="clear" w:color="auto" w:fill="FFFFFF"/>
        </w:rPr>
        <w:t>Ethernet</w:t>
      </w:r>
      <w:r w:rsidRPr="00862FA2">
        <w:rPr>
          <w:bCs/>
          <w:iCs/>
          <w:shd w:val="clear" w:color="auto" w:fill="FFFFFF"/>
        </w:rPr>
        <w:t xml:space="preserve"> saskarnes kartes); 2)</w:t>
      </w:r>
      <w:r w:rsidR="002106B3">
        <w:rPr>
          <w:bCs/>
          <w:iCs/>
          <w:shd w:val="clear" w:color="auto" w:fill="FFFFFF"/>
        </w:rPr>
        <w:t> </w:t>
      </w:r>
      <w:r w:rsidRPr="00862FA2">
        <w:rPr>
          <w:bCs/>
          <w:iCs/>
          <w:shd w:val="clear" w:color="auto" w:fill="FFFFFF"/>
        </w:rPr>
        <w:t>modemi (kombinēti modulatori un demodulatori); 3)</w:t>
      </w:r>
      <w:r w:rsidR="002106B3">
        <w:rPr>
          <w:bCs/>
          <w:iCs/>
          <w:shd w:val="clear" w:color="auto" w:fill="FFFFFF"/>
        </w:rPr>
        <w:t> </w:t>
      </w:r>
      <w:r w:rsidRPr="00862FA2">
        <w:rPr>
          <w:bCs/>
          <w:iCs/>
          <w:shd w:val="clear" w:color="auto" w:fill="FFFFFF"/>
        </w:rPr>
        <w:t>maršrutētāji, tilti, centrmezgli, atkārtotāji un kanāls – kanāls adapteri; 4)</w:t>
      </w:r>
      <w:r w:rsidR="002106B3">
        <w:rPr>
          <w:bCs/>
          <w:iCs/>
          <w:shd w:val="clear" w:color="auto" w:fill="FFFFFF"/>
        </w:rPr>
        <w:t> </w:t>
      </w:r>
      <w:r w:rsidRPr="00862FA2">
        <w:rPr>
          <w:bCs/>
          <w:iCs/>
          <w:shd w:val="clear" w:color="auto" w:fill="FFFFFF"/>
        </w:rPr>
        <w:t xml:space="preserve">multipleksoru </w:t>
      </w:r>
      <w:r w:rsidRPr="00862FA2">
        <w:rPr>
          <w:bCs/>
          <w:iCs/>
          <w:shd w:val="clear" w:color="auto" w:fill="FFFFFF"/>
        </w:rPr>
        <w:lastRenderedPageBreak/>
        <w:t>un saistītais līnijas aprīkojums (piemēram, raidītāji, uztvērēji vai elektrooptiskie pārveidotāji; 5)</w:t>
      </w:r>
      <w:r w:rsidR="002106B3">
        <w:rPr>
          <w:bCs/>
          <w:iCs/>
          <w:shd w:val="clear" w:color="auto" w:fill="FFFFFF"/>
        </w:rPr>
        <w:t> </w:t>
      </w:r>
      <w:r w:rsidRPr="00862FA2">
        <w:rPr>
          <w:bCs/>
          <w:iCs/>
          <w:shd w:val="clear" w:color="auto" w:fill="FFFFFF"/>
        </w:rPr>
        <w:t>kodētāji (datu kompresori/dekompresori), kas var pārraidīt un uztvert ciparu informāciju; 6)</w:t>
      </w:r>
      <w:r w:rsidR="002106B3">
        <w:rPr>
          <w:bCs/>
          <w:iCs/>
          <w:shd w:val="clear" w:color="auto" w:fill="FFFFFF"/>
        </w:rPr>
        <w:t> </w:t>
      </w:r>
      <w:r w:rsidRPr="00862FA2">
        <w:rPr>
          <w:bCs/>
          <w:iCs/>
          <w:shd w:val="clear" w:color="auto" w:fill="FFFFFF"/>
        </w:rPr>
        <w:t>impulsa un toņa pārveidotāji, kas impulsa signālus pārveido toņa signālos.</w:t>
      </w:r>
    </w:p>
    <w:p w14:paraId="392B2F45" w14:textId="77777777" w:rsidR="00493615" w:rsidRDefault="00493615" w:rsidP="00100556">
      <w:pPr>
        <w:autoSpaceDE w:val="0"/>
        <w:autoSpaceDN w:val="0"/>
        <w:adjustRightInd w:val="0"/>
        <w:spacing w:line="276" w:lineRule="auto"/>
        <w:ind w:firstLine="567"/>
        <w:jc w:val="both"/>
        <w:rPr>
          <w:bCs/>
          <w:shd w:val="clear" w:color="auto" w:fill="FFFFFF"/>
        </w:rPr>
      </w:pPr>
    </w:p>
    <w:p w14:paraId="1C0D28B0" w14:textId="26AD7A95" w:rsidR="002106B3" w:rsidRDefault="00493615" w:rsidP="00100556">
      <w:pPr>
        <w:autoSpaceDE w:val="0"/>
        <w:autoSpaceDN w:val="0"/>
        <w:adjustRightInd w:val="0"/>
        <w:spacing w:line="276" w:lineRule="auto"/>
        <w:ind w:firstLine="567"/>
        <w:jc w:val="both"/>
        <w:rPr>
          <w:bCs/>
          <w:color w:val="000000" w:themeColor="text1"/>
          <w:shd w:val="clear" w:color="auto" w:fill="FFFFFF"/>
        </w:rPr>
      </w:pPr>
      <w:r>
        <w:rPr>
          <w:bCs/>
          <w:shd w:val="clear" w:color="auto" w:fill="FFFFFF"/>
        </w:rPr>
        <w:t>[</w:t>
      </w:r>
      <w:r w:rsidR="0062286A">
        <w:rPr>
          <w:bCs/>
          <w:shd w:val="clear" w:color="auto" w:fill="FFFFFF"/>
        </w:rPr>
        <w:t>10</w:t>
      </w:r>
      <w:r>
        <w:rPr>
          <w:bCs/>
          <w:shd w:val="clear" w:color="auto" w:fill="FFFFFF"/>
        </w:rPr>
        <w:t>] </w:t>
      </w:r>
      <w:r w:rsidR="007C5E22" w:rsidRPr="007C5E22">
        <w:rPr>
          <w:bCs/>
          <w:shd w:val="clear" w:color="auto" w:fill="FFFFFF"/>
        </w:rPr>
        <w:t xml:space="preserve">Eiropas Savienības </w:t>
      </w:r>
      <w:r w:rsidR="007C5E22" w:rsidRPr="00F427C1">
        <w:rPr>
          <w:bCs/>
          <w:color w:val="000000" w:themeColor="text1"/>
          <w:shd w:val="clear" w:color="auto" w:fill="FFFFFF"/>
        </w:rPr>
        <w:t xml:space="preserve">Tiesa </w:t>
      </w:r>
      <w:r w:rsidR="00811AAA" w:rsidRPr="00F427C1">
        <w:rPr>
          <w:bCs/>
          <w:color w:val="000000" w:themeColor="text1"/>
          <w:shd w:val="clear" w:color="auto" w:fill="FFFFFF"/>
        </w:rPr>
        <w:t>2022.gada 20.oktobra</w:t>
      </w:r>
      <w:r w:rsidR="007C5E22" w:rsidRPr="00F427C1">
        <w:rPr>
          <w:bCs/>
          <w:color w:val="000000" w:themeColor="text1"/>
          <w:shd w:val="clear" w:color="auto" w:fill="FFFFFF"/>
        </w:rPr>
        <w:t xml:space="preserve"> spriedumā </w:t>
      </w:r>
      <w:r w:rsidR="00811AAA" w:rsidRPr="00F427C1">
        <w:rPr>
          <w:bCs/>
          <w:color w:val="000000" w:themeColor="text1"/>
          <w:shd w:val="clear" w:color="auto" w:fill="FFFFFF"/>
        </w:rPr>
        <w:t>C-542/21</w:t>
      </w:r>
      <w:r w:rsidR="007C5E22" w:rsidRPr="00F427C1">
        <w:rPr>
          <w:bCs/>
          <w:color w:val="000000" w:themeColor="text1"/>
          <w:shd w:val="clear" w:color="auto" w:fill="FFFFFF"/>
        </w:rPr>
        <w:t xml:space="preserve">, sniedzot </w:t>
      </w:r>
      <w:r w:rsidR="007C5E22" w:rsidRPr="007C5E22">
        <w:rPr>
          <w:bCs/>
          <w:shd w:val="clear" w:color="auto" w:fill="FFFFFF"/>
        </w:rPr>
        <w:t>atbildes uz Senāta uzdotajiem prejudiciālajiem jautājumiem, norādīja, ka</w:t>
      </w:r>
      <w:r w:rsidR="00C625A0">
        <w:rPr>
          <w:bCs/>
          <w:shd w:val="clear" w:color="auto" w:fill="FFFFFF"/>
        </w:rPr>
        <w:t xml:space="preserve"> </w:t>
      </w:r>
      <w:r w:rsidR="00C625A0">
        <w:t xml:space="preserve">jēdziens </w:t>
      </w:r>
      <w:r w:rsidR="000D3225" w:rsidRPr="000D3225">
        <w:rPr>
          <w:bCs/>
        </w:rPr>
        <w:t>„</w:t>
      </w:r>
      <w:r w:rsidR="00C625A0">
        <w:t xml:space="preserve">radiotelefona vai radiotelegrāfa aparāti” KN pozīcijas 8517 izpratnē neietver </w:t>
      </w:r>
      <w:r w:rsidR="000D3225" w:rsidRPr="000D3225">
        <w:rPr>
          <w:bCs/>
        </w:rPr>
        <w:t>„</w:t>
      </w:r>
      <w:r w:rsidR="00C625A0">
        <w:t>maršrutēšanas aparātus”. Proti, pirmām kārtām, šie aparāti ir klasificēti KN apakšpozīcijā 8517</w:t>
      </w:r>
      <w:r w:rsidR="000D3225">
        <w:t> </w:t>
      </w:r>
      <w:r w:rsidR="00C625A0">
        <w:t>62</w:t>
      </w:r>
      <w:r w:rsidR="000D3225">
        <w:t> </w:t>
      </w:r>
      <w:r w:rsidR="00C625A0">
        <w:t xml:space="preserve">00. Otrām kārtām, </w:t>
      </w:r>
      <w:r w:rsidR="000D3225" w:rsidRPr="000D3225">
        <w:rPr>
          <w:bCs/>
        </w:rPr>
        <w:t>„</w:t>
      </w:r>
      <w:r w:rsidR="00C625A0">
        <w:t>radiotelefona vai radiotelegrāfa sakaru uztvērējaparatūra” attiecīgā gadījumā ir klasificējama vai nu KN apakšpozīcijā 8517</w:t>
      </w:r>
      <w:r w:rsidR="000D3225">
        <w:t> </w:t>
      </w:r>
      <w:r w:rsidR="00C625A0">
        <w:t>69</w:t>
      </w:r>
      <w:r w:rsidR="000D3225">
        <w:t> </w:t>
      </w:r>
      <w:r w:rsidR="00C625A0">
        <w:t>31 (</w:t>
      </w:r>
      <w:r w:rsidR="000D3225" w:rsidRPr="000D3225">
        <w:rPr>
          <w:bCs/>
        </w:rPr>
        <w:t>„</w:t>
      </w:r>
      <w:r w:rsidR="00C625A0">
        <w:t>portatīvie uztvērēji izsaukšanai, brīdināšanai un peidžeru sistēmas uztvērēji”), vai arī apakšpozīcijā 8517</w:t>
      </w:r>
      <w:r w:rsidR="000D3225">
        <w:t> </w:t>
      </w:r>
      <w:r w:rsidR="00C625A0">
        <w:t>69</w:t>
      </w:r>
      <w:r w:rsidR="000D3225">
        <w:t> </w:t>
      </w:r>
      <w:r w:rsidR="00C625A0">
        <w:t>39 (</w:t>
      </w:r>
      <w:r w:rsidR="000D3225" w:rsidRPr="000D3225">
        <w:rPr>
          <w:bCs/>
        </w:rPr>
        <w:t>„</w:t>
      </w:r>
      <w:r w:rsidR="00C625A0">
        <w:t xml:space="preserve">citādas”), turpretī citādi radiotelefona vai radiotelegrāfa aparāti, ar </w:t>
      </w:r>
      <w:r w:rsidR="00C625A0">
        <w:lastRenderedPageBreak/>
        <w:t>kuriem tostarp nodrošina balss, attēla vai citu datu pārraides funkcijas, ietilpst KN apakšpozīcijā 8517</w:t>
      </w:r>
      <w:r w:rsidR="000D3225">
        <w:t> </w:t>
      </w:r>
      <w:r w:rsidR="00C625A0">
        <w:t>69</w:t>
      </w:r>
      <w:r w:rsidR="000D3225">
        <w:t> </w:t>
      </w:r>
      <w:r w:rsidR="00C625A0">
        <w:t>90.</w:t>
      </w:r>
      <w:r w:rsidR="000A6943">
        <w:rPr>
          <w:bCs/>
          <w:shd w:val="clear" w:color="auto" w:fill="FFFFFF"/>
        </w:rPr>
        <w:t xml:space="preserve"> </w:t>
      </w:r>
      <w:r w:rsidR="00C625A0">
        <w:t>Šos konstatējumus apstiprina KN skaidrojumi. Proti, KN skaidrojumos apakšpozīcijai 8517</w:t>
      </w:r>
      <w:r w:rsidR="00656680">
        <w:t> </w:t>
      </w:r>
      <w:r w:rsidR="00C625A0">
        <w:t>62</w:t>
      </w:r>
      <w:r w:rsidR="00656680">
        <w:t> </w:t>
      </w:r>
      <w:r w:rsidR="00C625A0">
        <w:t xml:space="preserve">00 otrās daļas 6.punktā ir minēti </w:t>
      </w:r>
      <w:r w:rsidR="00656680" w:rsidRPr="00656680">
        <w:rPr>
          <w:bCs/>
        </w:rPr>
        <w:t>„</w:t>
      </w:r>
      <w:r w:rsidR="00C625A0">
        <w:t>maršrutētāji”, savukārt KN skaidrojumos apakšpozīcijām 8517</w:t>
      </w:r>
      <w:r w:rsidR="00656680">
        <w:t> </w:t>
      </w:r>
      <w:r w:rsidR="00C625A0">
        <w:t>69</w:t>
      </w:r>
      <w:r w:rsidR="00656680">
        <w:t> </w:t>
      </w:r>
      <w:r w:rsidR="00C625A0">
        <w:t>39 un 8517</w:t>
      </w:r>
      <w:r w:rsidR="00656680">
        <w:t> </w:t>
      </w:r>
      <w:r w:rsidR="00C625A0">
        <w:t>69</w:t>
      </w:r>
      <w:r w:rsidR="00656680">
        <w:t> </w:t>
      </w:r>
      <w:r w:rsidR="00C625A0">
        <w:t>90 katrā ir ietverts to radiotelefona vai radiotelegrāfa aparātu saraksts, ar kuriem nodrošina attiecīgi balss, attēla vai citu datu uztveres funkcijas un balss, attēla vai citu datu pārraides funkcijas.</w:t>
      </w:r>
      <w:r w:rsidR="00656680">
        <w:rPr>
          <w:bCs/>
          <w:shd w:val="clear" w:color="auto" w:fill="FFFFFF"/>
        </w:rPr>
        <w:t xml:space="preserve"> </w:t>
      </w:r>
      <w:r w:rsidR="00C625A0" w:rsidRPr="00F427C1">
        <w:rPr>
          <w:color w:val="000000" w:themeColor="text1"/>
        </w:rPr>
        <w:t xml:space="preserve">Tāpat HS skaidrojumu </w:t>
      </w:r>
      <w:r w:rsidR="00C625A0">
        <w:t>pozīcijai 8517</w:t>
      </w:r>
      <w:r w:rsidR="001522D1">
        <w:t xml:space="preserve"> II </w:t>
      </w:r>
      <w:r w:rsidR="00C625A0" w:rsidRPr="007350D9">
        <w:rPr>
          <w:color w:val="000000" w:themeColor="text1"/>
        </w:rPr>
        <w:t xml:space="preserve">sadaļas F punktā ir </w:t>
      </w:r>
      <w:r w:rsidR="00C625A0">
        <w:t xml:space="preserve">minēta </w:t>
      </w:r>
      <w:r w:rsidR="00656680" w:rsidRPr="00656680">
        <w:rPr>
          <w:bCs/>
        </w:rPr>
        <w:t>„</w:t>
      </w:r>
      <w:r w:rsidR="00C625A0">
        <w:t xml:space="preserve">radiotelefonijas un radiotelegrāfijas raidaparatūra un uztvērējaparatūra” un G punktā – </w:t>
      </w:r>
      <w:r w:rsidR="00656680" w:rsidRPr="00656680">
        <w:rPr>
          <w:bCs/>
        </w:rPr>
        <w:t>„</w:t>
      </w:r>
      <w:r w:rsidR="00C625A0">
        <w:t xml:space="preserve">citādi sakaru aparāti”, un tie aprakstīti kā </w:t>
      </w:r>
      <w:r w:rsidR="00656680" w:rsidRPr="00656680">
        <w:rPr>
          <w:bCs/>
        </w:rPr>
        <w:t>„</w:t>
      </w:r>
      <w:r w:rsidR="00C625A0">
        <w:t xml:space="preserve">aparāti, kas nodrošina savienojumu ar vadu vai bezvadu sakaru tīklu (tāds kā lokālais vai teritoriālais tīkls) vai balss vai citu skaņu, attēlu vai citu datu pārraidīšanu vai uztveršanu šādos tīklos”, kuru vidū G punkta 3.apakšpunktā ir minēti </w:t>
      </w:r>
      <w:r w:rsidR="00656680" w:rsidRPr="00656680">
        <w:rPr>
          <w:bCs/>
        </w:rPr>
        <w:t>„</w:t>
      </w:r>
      <w:r w:rsidR="00C625A0">
        <w:t>maršrutētāji”.</w:t>
      </w:r>
      <w:r w:rsidR="00656680">
        <w:rPr>
          <w:bCs/>
          <w:shd w:val="clear" w:color="auto" w:fill="FFFFFF"/>
        </w:rPr>
        <w:t xml:space="preserve"> </w:t>
      </w:r>
      <w:r w:rsidR="00C625A0">
        <w:t>Ņemot vērā, ka KN apakšpozīciju 8517</w:t>
      </w:r>
      <w:r w:rsidR="00656680">
        <w:t> </w:t>
      </w:r>
      <w:r w:rsidR="00C625A0">
        <w:t>70</w:t>
      </w:r>
      <w:r w:rsidR="00656680">
        <w:t> </w:t>
      </w:r>
      <w:r w:rsidR="00C625A0">
        <w:t xml:space="preserve">11 nevar interpretēt tādējādi, </w:t>
      </w:r>
      <w:r w:rsidR="00C625A0">
        <w:lastRenderedPageBreak/>
        <w:t xml:space="preserve">ka tā ietver antenas maršrutēšanas aparātiem, ciktāl šīs antenas nav </w:t>
      </w:r>
      <w:r w:rsidR="00C625A0" w:rsidRPr="00F427C1">
        <w:rPr>
          <w:color w:val="000000" w:themeColor="text1"/>
        </w:rPr>
        <w:t xml:space="preserve">pielīdzināmas </w:t>
      </w:r>
      <w:r w:rsidR="00656680" w:rsidRPr="00F427C1">
        <w:rPr>
          <w:bCs/>
          <w:color w:val="000000" w:themeColor="text1"/>
        </w:rPr>
        <w:t>„</w:t>
      </w:r>
      <w:r w:rsidR="00C625A0" w:rsidRPr="00F427C1">
        <w:rPr>
          <w:color w:val="000000" w:themeColor="text1"/>
        </w:rPr>
        <w:t>antenām radiotelegrāfa vai radiotelefona aparātiem”, pakārtotā KN apakšpozīcija 8517</w:t>
      </w:r>
      <w:r w:rsidR="00656680" w:rsidRPr="00F427C1">
        <w:rPr>
          <w:color w:val="000000" w:themeColor="text1"/>
        </w:rPr>
        <w:t> </w:t>
      </w:r>
      <w:r w:rsidR="00C625A0" w:rsidRPr="00F427C1">
        <w:rPr>
          <w:color w:val="000000" w:themeColor="text1"/>
        </w:rPr>
        <w:t>70</w:t>
      </w:r>
      <w:r w:rsidR="00656680" w:rsidRPr="00F427C1">
        <w:rPr>
          <w:color w:val="000000" w:themeColor="text1"/>
        </w:rPr>
        <w:t> </w:t>
      </w:r>
      <w:r w:rsidR="00C625A0" w:rsidRPr="00F427C1">
        <w:rPr>
          <w:color w:val="000000" w:themeColor="text1"/>
        </w:rPr>
        <w:t>19 ir jāinterpretē tādējādi, ka minētās antenas ietilpst pēdējā minētajā apakšpozīcijā.</w:t>
      </w:r>
    </w:p>
    <w:p w14:paraId="2D4803D4" w14:textId="11524371" w:rsidR="00C625A0" w:rsidRPr="00CD400F" w:rsidRDefault="001522D1" w:rsidP="00100556">
      <w:pPr>
        <w:autoSpaceDE w:val="0"/>
        <w:autoSpaceDN w:val="0"/>
        <w:adjustRightInd w:val="0"/>
        <w:spacing w:line="276" w:lineRule="auto"/>
        <w:ind w:firstLine="567"/>
        <w:jc w:val="both"/>
        <w:rPr>
          <w:bCs/>
          <w:shd w:val="clear" w:color="auto" w:fill="FFFFFF"/>
        </w:rPr>
      </w:pPr>
      <w:r w:rsidRPr="00F427C1">
        <w:rPr>
          <w:color w:val="000000" w:themeColor="text1"/>
        </w:rPr>
        <w:t xml:space="preserve">Līdz ar to </w:t>
      </w:r>
      <w:r w:rsidR="002106B3">
        <w:rPr>
          <w:color w:val="000000" w:themeColor="text1"/>
        </w:rPr>
        <w:t xml:space="preserve">Tiesa atzina, ka </w:t>
      </w:r>
      <w:r w:rsidR="00C625A0" w:rsidRPr="00F427C1">
        <w:rPr>
          <w:color w:val="000000" w:themeColor="text1"/>
        </w:rPr>
        <w:t xml:space="preserve">KN apakšpozīcija </w:t>
      </w:r>
      <w:r w:rsidR="00C625A0">
        <w:t>8517</w:t>
      </w:r>
      <w:r w:rsidR="00656680">
        <w:t> </w:t>
      </w:r>
      <w:r w:rsidR="00C625A0">
        <w:t>70</w:t>
      </w:r>
      <w:r w:rsidR="00656680">
        <w:t> </w:t>
      </w:r>
      <w:r w:rsidR="00C625A0">
        <w:t>11 ir jāinterpretē tādējādi, ka tā neietver antenas maršrutēšanas aparātiem, kas tiek konfigurēti saziņai lokālajos tīklos (LAN) un/vai teritoriālajos tīklos (WAN)</w:t>
      </w:r>
      <w:r w:rsidR="00656680">
        <w:t xml:space="preserve"> </w:t>
      </w:r>
      <w:r w:rsidR="00656680" w:rsidRPr="000D3225">
        <w:t>(</w:t>
      </w:r>
      <w:r w:rsidR="00656680" w:rsidRPr="000D3225">
        <w:rPr>
          <w:i/>
          <w:iCs/>
        </w:rPr>
        <w:t xml:space="preserve">sprieduma </w:t>
      </w:r>
      <w:r w:rsidR="00583E5C">
        <w:rPr>
          <w:i/>
          <w:iCs/>
        </w:rPr>
        <w:t>29</w:t>
      </w:r>
      <w:r w:rsidR="002106B3">
        <w:rPr>
          <w:i/>
          <w:iCs/>
        </w:rPr>
        <w:t>.–</w:t>
      </w:r>
      <w:r w:rsidR="00656680">
        <w:rPr>
          <w:i/>
          <w:iCs/>
        </w:rPr>
        <w:t>33</w:t>
      </w:r>
      <w:r w:rsidR="00656680" w:rsidRPr="000D3225">
        <w:rPr>
          <w:i/>
          <w:iCs/>
        </w:rPr>
        <w:t>.punkts</w:t>
      </w:r>
      <w:r w:rsidR="00656680" w:rsidRPr="000D3225">
        <w:t>)</w:t>
      </w:r>
      <w:r w:rsidR="00656680">
        <w:t>.</w:t>
      </w:r>
    </w:p>
    <w:p w14:paraId="2D4285D2" w14:textId="78080310" w:rsidR="0074349B" w:rsidRDefault="0074349B" w:rsidP="00100556">
      <w:pPr>
        <w:autoSpaceDE w:val="0"/>
        <w:autoSpaceDN w:val="0"/>
        <w:adjustRightInd w:val="0"/>
        <w:spacing w:line="276" w:lineRule="auto"/>
        <w:ind w:firstLine="567"/>
        <w:jc w:val="both"/>
        <w:rPr>
          <w:bCs/>
          <w:shd w:val="clear" w:color="auto" w:fill="FFFFFF"/>
        </w:rPr>
      </w:pPr>
    </w:p>
    <w:p w14:paraId="5CB75CB9" w14:textId="7B6F5B37" w:rsidR="006346A5" w:rsidRPr="00045844" w:rsidRDefault="001522D1" w:rsidP="00100556">
      <w:pPr>
        <w:autoSpaceDE w:val="0"/>
        <w:autoSpaceDN w:val="0"/>
        <w:adjustRightInd w:val="0"/>
        <w:spacing w:line="276" w:lineRule="auto"/>
        <w:ind w:firstLine="567"/>
        <w:jc w:val="both"/>
        <w:rPr>
          <w:bCs/>
          <w:shd w:val="clear" w:color="auto" w:fill="FFFFFF"/>
        </w:rPr>
      </w:pPr>
      <w:r>
        <w:rPr>
          <w:bCs/>
          <w:shd w:val="clear" w:color="auto" w:fill="FFFFFF"/>
        </w:rPr>
        <w:t>[</w:t>
      </w:r>
      <w:r w:rsidR="0062286A">
        <w:rPr>
          <w:bCs/>
          <w:shd w:val="clear" w:color="auto" w:fill="FFFFFF"/>
        </w:rPr>
        <w:t>11</w:t>
      </w:r>
      <w:r>
        <w:rPr>
          <w:bCs/>
          <w:shd w:val="clear" w:color="auto" w:fill="FFFFFF"/>
        </w:rPr>
        <w:t>] </w:t>
      </w:r>
      <w:r w:rsidRPr="00485C7C">
        <w:t xml:space="preserve">Tādējādi no Eiropas Savienības Tiesas </w:t>
      </w:r>
      <w:r>
        <w:t>s</w:t>
      </w:r>
      <w:r w:rsidRPr="00485C7C">
        <w:t xml:space="preserve">niegtās </w:t>
      </w:r>
      <w:r w:rsidR="002106B3">
        <w:t>KN</w:t>
      </w:r>
      <w:r w:rsidRPr="00485C7C">
        <w:t xml:space="preserve"> interpretācijas izriet skaidra atbilde, ka </w:t>
      </w:r>
      <w:r w:rsidR="002106B3">
        <w:t xml:space="preserve">KN </w:t>
      </w:r>
      <w:r w:rsidR="00B112C5" w:rsidRPr="00DC37D8">
        <w:t xml:space="preserve">apakšpozīcija 8517 70 11 neietver antenas maršrutēšanas aparātiem, kas tiek konfigurēti </w:t>
      </w:r>
      <w:r w:rsidR="00B112C5" w:rsidRPr="0078122B">
        <w:rPr>
          <w:color w:val="000000" w:themeColor="text1"/>
        </w:rPr>
        <w:t xml:space="preserve">saziņai lokālajos tīklos (LAN) un/vai teritoriālajos tīklos (WAN). </w:t>
      </w:r>
      <w:r w:rsidR="00B112C5">
        <w:t>A</w:t>
      </w:r>
      <w:r w:rsidR="00B112C5" w:rsidRPr="00B112C5">
        <w:t>ntenas maršrutēšanas aparātiem</w:t>
      </w:r>
      <w:r w:rsidR="00B112C5">
        <w:t xml:space="preserve">, </w:t>
      </w:r>
      <w:r w:rsidR="00B112C5" w:rsidRPr="00B112C5">
        <w:t>ciktāl šīs antenas nav pielīdzināmas ante</w:t>
      </w:r>
      <w:r w:rsidR="00B112C5">
        <w:t>n</w:t>
      </w:r>
      <w:r w:rsidR="00B112C5" w:rsidRPr="00B112C5">
        <w:t>ām radiotelegrāfa vai radiotelefona aparātiem</w:t>
      </w:r>
      <w:r w:rsidR="00B112C5">
        <w:t xml:space="preserve">, klasificējamas </w:t>
      </w:r>
      <w:r w:rsidR="00B112C5" w:rsidRPr="004D0BF6">
        <w:rPr>
          <w:color w:val="000000" w:themeColor="text1"/>
        </w:rPr>
        <w:t xml:space="preserve">KN </w:t>
      </w:r>
      <w:r w:rsidR="00B112C5" w:rsidRPr="00B112C5">
        <w:t>apakšpozīcij</w:t>
      </w:r>
      <w:r w:rsidR="00B112C5">
        <w:t>ā</w:t>
      </w:r>
      <w:r w:rsidR="00B112C5" w:rsidRPr="00B112C5">
        <w:t xml:space="preserve"> 8517 70 19</w:t>
      </w:r>
      <w:r w:rsidR="00B112C5">
        <w:t xml:space="preserve">. </w:t>
      </w:r>
      <w:r w:rsidR="002106B3">
        <w:lastRenderedPageBreak/>
        <w:t xml:space="preserve">Līdz ar to atbilstoši Eiropas Savienības Tiesas spriedumā norādītajam </w:t>
      </w:r>
      <w:r w:rsidR="00CB2BA3">
        <w:t xml:space="preserve">pieteicējas deklarētās </w:t>
      </w:r>
      <w:r w:rsidR="002106B3">
        <w:t xml:space="preserve">strīdus </w:t>
      </w:r>
      <w:r w:rsidR="00CB2BA3" w:rsidRPr="00CB2BA3">
        <w:t>preces</w:t>
      </w:r>
      <w:r w:rsidR="002106B3">
        <w:t xml:space="preserve"> i</w:t>
      </w:r>
      <w:r w:rsidR="00CB2BA3" w:rsidRPr="00583E5C">
        <w:t xml:space="preserve">r klasificējamas ar </w:t>
      </w:r>
      <w:r w:rsidR="00CB2BA3" w:rsidRPr="004D0BF6">
        <w:rPr>
          <w:color w:val="000000" w:themeColor="text1"/>
        </w:rPr>
        <w:t>KN k</w:t>
      </w:r>
      <w:r w:rsidR="00CB2BA3" w:rsidRPr="00583E5C">
        <w:t>odu 8517</w:t>
      </w:r>
      <w:r w:rsidR="00CB2BA3">
        <w:t> </w:t>
      </w:r>
      <w:r w:rsidR="00CB2BA3" w:rsidRPr="00583E5C">
        <w:t>70</w:t>
      </w:r>
      <w:r w:rsidR="00CB2BA3">
        <w:t> </w:t>
      </w:r>
      <w:r w:rsidR="00CB2BA3" w:rsidRPr="00583E5C">
        <w:t>19</w:t>
      </w:r>
      <w:r w:rsidR="0062286A">
        <w:t>, kā to pareizi ir atzinusi apgabaltiesa.</w:t>
      </w:r>
      <w:r w:rsidR="009C7133">
        <w:t xml:space="preserve"> </w:t>
      </w:r>
      <w:r w:rsidR="00BB3C25">
        <w:t>Pieteicējas atšķirīgais viedoklis un nepiekrišana Eiropas Savienības Tiesai nevar būt pamats neņemt vērā Tiesas sniegto skaidrojumu un izdarītos secinājumus</w:t>
      </w:r>
      <w:r w:rsidR="0062286A">
        <w:t>. T</w:t>
      </w:r>
      <w:r w:rsidR="00BB3C25">
        <w:t xml:space="preserve">āpēc pieteicējas argumenti, kuros </w:t>
      </w:r>
      <w:r w:rsidR="0062286A">
        <w:t xml:space="preserve">ir </w:t>
      </w:r>
      <w:r w:rsidR="00BB3C25">
        <w:t>pausts pretējs viedoklis, atzīstami par nepamatotiem.</w:t>
      </w:r>
      <w:r w:rsidR="006346A5" w:rsidRPr="006346A5">
        <w:rPr>
          <w:bCs/>
          <w:shd w:val="clear" w:color="auto" w:fill="FFFFFF"/>
        </w:rPr>
        <w:t xml:space="preserve"> </w:t>
      </w:r>
      <w:r w:rsidR="006346A5">
        <w:rPr>
          <w:bCs/>
          <w:shd w:val="clear" w:color="auto" w:fill="FFFFFF"/>
        </w:rPr>
        <w:t xml:space="preserve">Savukārt atsauces uz </w:t>
      </w:r>
      <w:r w:rsidR="006346A5" w:rsidRPr="00045844">
        <w:rPr>
          <w:bCs/>
          <w:shd w:val="clear" w:color="auto" w:fill="FFFFFF"/>
        </w:rPr>
        <w:t xml:space="preserve">citiem </w:t>
      </w:r>
      <w:r w:rsidR="006346A5">
        <w:rPr>
          <w:bCs/>
          <w:shd w:val="clear" w:color="auto" w:fill="FFFFFF"/>
        </w:rPr>
        <w:t xml:space="preserve">pieteicējas </w:t>
      </w:r>
      <w:r w:rsidR="006346A5" w:rsidRPr="00045844">
        <w:rPr>
          <w:bCs/>
          <w:shd w:val="clear" w:color="auto" w:fill="FFFFFF"/>
        </w:rPr>
        <w:t>sagatavotajiem dokumentiem, nepaskaidrojot, kā</w:t>
      </w:r>
      <w:r w:rsidR="006346A5">
        <w:rPr>
          <w:bCs/>
          <w:shd w:val="clear" w:color="auto" w:fill="FFFFFF"/>
        </w:rPr>
        <w:t xml:space="preserve"> šie dokumenti pamato tiesas pieļautos tiesību normu pārkāpumus, </w:t>
      </w:r>
      <w:r w:rsidR="006346A5" w:rsidRPr="00045844">
        <w:rPr>
          <w:bCs/>
          <w:shd w:val="clear" w:color="auto" w:fill="FFFFFF"/>
        </w:rPr>
        <w:t>atzīstama</w:t>
      </w:r>
      <w:r w:rsidR="006346A5">
        <w:rPr>
          <w:bCs/>
          <w:shd w:val="clear" w:color="auto" w:fill="FFFFFF"/>
        </w:rPr>
        <w:t>s</w:t>
      </w:r>
      <w:r w:rsidR="006346A5" w:rsidRPr="00045844">
        <w:rPr>
          <w:bCs/>
          <w:shd w:val="clear" w:color="auto" w:fill="FFFFFF"/>
        </w:rPr>
        <w:t xml:space="preserve"> par neatbilstoš</w:t>
      </w:r>
      <w:r w:rsidR="0062286A">
        <w:rPr>
          <w:bCs/>
          <w:shd w:val="clear" w:color="auto" w:fill="FFFFFF"/>
        </w:rPr>
        <w:t>ām</w:t>
      </w:r>
      <w:r w:rsidR="006346A5" w:rsidRPr="00045844">
        <w:rPr>
          <w:bCs/>
          <w:shd w:val="clear" w:color="auto" w:fill="FFFFFF"/>
        </w:rPr>
        <w:t xml:space="preserve"> Administratīvā procesa likuma 328.panta pirmās daļas 6.punktam</w:t>
      </w:r>
      <w:r w:rsidR="0062286A">
        <w:rPr>
          <w:bCs/>
          <w:shd w:val="clear" w:color="auto" w:fill="FFFFFF"/>
        </w:rPr>
        <w:t>, saskaņā ar kuru kasācijas sūdzībā jānorāda, kādas tiesību normas tiesa ir pārkāpusi un kā ir izpaudies šis pārkāpums</w:t>
      </w:r>
      <w:r w:rsidR="006346A5" w:rsidRPr="00045844">
        <w:rPr>
          <w:bCs/>
          <w:shd w:val="clear" w:color="auto" w:fill="FFFFFF"/>
        </w:rPr>
        <w:t>.</w:t>
      </w:r>
    </w:p>
    <w:p w14:paraId="6E541008" w14:textId="29F7F7DF" w:rsidR="007601B4" w:rsidRDefault="007601B4" w:rsidP="00100556">
      <w:pPr>
        <w:autoSpaceDE w:val="0"/>
        <w:autoSpaceDN w:val="0"/>
        <w:adjustRightInd w:val="0"/>
        <w:spacing w:line="276" w:lineRule="auto"/>
        <w:ind w:firstLine="567"/>
        <w:jc w:val="both"/>
      </w:pPr>
    </w:p>
    <w:p w14:paraId="3206F8FE" w14:textId="1E241B41" w:rsidR="00F77A3F" w:rsidRPr="00F77A3F" w:rsidRDefault="007601B4" w:rsidP="00100556">
      <w:pPr>
        <w:autoSpaceDE w:val="0"/>
        <w:autoSpaceDN w:val="0"/>
        <w:adjustRightInd w:val="0"/>
        <w:spacing w:line="276" w:lineRule="auto"/>
        <w:ind w:firstLine="567"/>
        <w:jc w:val="both"/>
      </w:pPr>
      <w:r>
        <w:t>[</w:t>
      </w:r>
      <w:r w:rsidR="0062286A">
        <w:t>12</w:t>
      </w:r>
      <w:r>
        <w:t>] </w:t>
      </w:r>
      <w:r w:rsidR="00BB3C25">
        <w:t xml:space="preserve">Kasācijas sūdzībā norādīts, ka </w:t>
      </w:r>
      <w:r w:rsidR="00F77A3F" w:rsidRPr="00F77A3F">
        <w:t xml:space="preserve">apgabaltiesa </w:t>
      </w:r>
      <w:r w:rsidR="00BB3C25">
        <w:t>nav</w:t>
      </w:r>
      <w:r w:rsidR="00F77A3F" w:rsidRPr="00F77A3F">
        <w:t xml:space="preserve"> izvērtējusi </w:t>
      </w:r>
      <w:bookmarkStart w:id="4" w:name="_Hlk121816546"/>
      <w:r w:rsidR="00F77A3F" w:rsidRPr="00F77A3F">
        <w:t>Valsts ieņēmumu dienesta izdoto saistošo izziņu par tarifu</w:t>
      </w:r>
      <w:bookmarkEnd w:id="4"/>
      <w:r w:rsidR="00C30C3D">
        <w:t xml:space="preserve"> un pieteikumu preces klasifikācijai</w:t>
      </w:r>
      <w:r w:rsidR="00F77A3F" w:rsidRPr="00F77A3F">
        <w:t xml:space="preserve">, </w:t>
      </w:r>
      <w:r w:rsidR="00F77A3F" w:rsidRPr="00F77A3F">
        <w:lastRenderedPageBreak/>
        <w:t>saskaņā ar kuru pieteicējas ražotās datu pārraides iekārtas klasificētas ar kodu 8517 70 11.</w:t>
      </w:r>
    </w:p>
    <w:p w14:paraId="593257FF" w14:textId="77777777" w:rsidR="00471FE9" w:rsidRDefault="00BB3C25" w:rsidP="00100556">
      <w:pPr>
        <w:autoSpaceDE w:val="0"/>
        <w:autoSpaceDN w:val="0"/>
        <w:adjustRightInd w:val="0"/>
        <w:spacing w:line="276" w:lineRule="auto"/>
        <w:ind w:firstLine="567"/>
        <w:jc w:val="both"/>
        <w:rPr>
          <w:color w:val="000000" w:themeColor="text1"/>
        </w:rPr>
      </w:pPr>
      <w:r>
        <w:t>Pārbaudot minēto argumentu, Senāts konstatē, ka a</w:t>
      </w:r>
      <w:r w:rsidR="00F77A3F" w:rsidRPr="00F77A3F">
        <w:t>pgabaltiesa spriedum</w:t>
      </w:r>
      <w:r>
        <w:t>ā ir pievienojusies pirmās instances tiesas spriedumam, savukārt pirmās instances tiesas spriedumā</w:t>
      </w:r>
      <w:r w:rsidRPr="00BB3C25">
        <w:t xml:space="preserve"> </w:t>
      </w:r>
      <w:r>
        <w:t xml:space="preserve">ir secināts, ka nav zināms, vai prece, par kuru izdota Valsts ieņēmumu </w:t>
      </w:r>
      <w:r w:rsidRPr="00AD5184">
        <w:t>dienesta 2015.gada 28.septembra saistoš</w:t>
      </w:r>
      <w:r>
        <w:t>ā</w:t>
      </w:r>
      <w:r w:rsidRPr="00AD5184">
        <w:t xml:space="preserve"> izziņ</w:t>
      </w:r>
      <w:r>
        <w:t>a</w:t>
      </w:r>
      <w:r w:rsidRPr="00AD5184">
        <w:t xml:space="preserve"> par tarifu Nr. LV MP-15-40</w:t>
      </w:r>
      <w:r>
        <w:t>, ir tā pati prece, kas tiek vērtēta izskatāmajā lietā. Tādējādi, lai arī apgabaltiesa spriedumā atsevišķā punktā tieši tādiem vārdiem, kā to vēlas pieteicēja, nav vērtējusi dienesta izziņu, apgabaltiesa, pievienojoties pirmās instances tiesas spriedumam, pieteicējas argumentu par izziņu nav atstājusi bez ievērības. Turklāt,</w:t>
      </w:r>
      <w:r w:rsidR="00471FE9">
        <w:t xml:space="preserve"> ievērojot gan to, ka atbilstoši tiesas konstatētajam nav zināms, vai prece, par kuru izdota Valsts ieņēmumu dienesta saistošā izziņa par tarifu, ir tā pati prece, kas ir vērtējama izskatāmajā lietā, gan to, ka</w:t>
      </w:r>
      <w:r w:rsidR="00471FE9">
        <w:rPr>
          <w:color w:val="000000" w:themeColor="text1"/>
        </w:rPr>
        <w:t xml:space="preserve"> atbilstoši </w:t>
      </w:r>
      <w:r w:rsidR="00406FDB" w:rsidRPr="00C144E3">
        <w:rPr>
          <w:color w:val="000000" w:themeColor="text1"/>
        </w:rPr>
        <w:t xml:space="preserve">Eiropas Savienības Tiesas </w:t>
      </w:r>
      <w:r w:rsidR="00471FE9">
        <w:rPr>
          <w:color w:val="000000" w:themeColor="text1"/>
        </w:rPr>
        <w:t xml:space="preserve">2022.gada 20.oktobra spriedumā C-542/2021 </w:t>
      </w:r>
      <w:r w:rsidR="00406FDB" w:rsidRPr="00C144E3">
        <w:rPr>
          <w:color w:val="000000" w:themeColor="text1"/>
        </w:rPr>
        <w:t>sniegt</w:t>
      </w:r>
      <w:r w:rsidR="00471FE9">
        <w:rPr>
          <w:color w:val="000000" w:themeColor="text1"/>
        </w:rPr>
        <w:t>ajai</w:t>
      </w:r>
      <w:r w:rsidR="00406FDB" w:rsidRPr="00C144E3">
        <w:rPr>
          <w:color w:val="000000" w:themeColor="text1"/>
        </w:rPr>
        <w:t xml:space="preserve"> </w:t>
      </w:r>
      <w:r w:rsidR="00471FE9">
        <w:rPr>
          <w:color w:val="000000" w:themeColor="text1"/>
        </w:rPr>
        <w:lastRenderedPageBreak/>
        <w:t>KN interpretācijai strīdus preces</w:t>
      </w:r>
      <w:r w:rsidR="00406FDB" w:rsidRPr="00C144E3">
        <w:rPr>
          <w:color w:val="000000" w:themeColor="text1"/>
        </w:rPr>
        <w:t> – maršrutētāju antenas un to daļas – ir klasificējamas ar KN kodu 8517 70 19</w:t>
      </w:r>
      <w:r w:rsidR="00C144E3" w:rsidRPr="00C144E3">
        <w:rPr>
          <w:color w:val="000000" w:themeColor="text1"/>
        </w:rPr>
        <w:t xml:space="preserve">, </w:t>
      </w:r>
      <w:r w:rsidR="00471FE9">
        <w:rPr>
          <w:color w:val="000000" w:themeColor="text1"/>
        </w:rPr>
        <w:t>ir nepamatots pieteicējas arguments par tiesiskās paļāvības principa pārkāpumu.</w:t>
      </w:r>
    </w:p>
    <w:p w14:paraId="64FB5F4D" w14:textId="1A840922" w:rsidR="00C4747F" w:rsidRPr="00C144E3" w:rsidRDefault="00C4747F" w:rsidP="00100556">
      <w:pPr>
        <w:autoSpaceDE w:val="0"/>
        <w:autoSpaceDN w:val="0"/>
        <w:adjustRightInd w:val="0"/>
        <w:spacing w:line="276" w:lineRule="auto"/>
        <w:ind w:firstLine="567"/>
        <w:jc w:val="both"/>
        <w:rPr>
          <w:color w:val="000000" w:themeColor="text1"/>
        </w:rPr>
      </w:pPr>
    </w:p>
    <w:p w14:paraId="547CB0A0" w14:textId="2A137D85" w:rsidR="00EE1B83" w:rsidRDefault="00C4747F" w:rsidP="00100556">
      <w:pPr>
        <w:autoSpaceDE w:val="0"/>
        <w:autoSpaceDN w:val="0"/>
        <w:adjustRightInd w:val="0"/>
        <w:spacing w:line="276" w:lineRule="auto"/>
        <w:ind w:firstLine="567"/>
        <w:jc w:val="both"/>
      </w:pPr>
      <w:r>
        <w:t>[</w:t>
      </w:r>
      <w:r w:rsidR="0062286A">
        <w:t>13</w:t>
      </w:r>
      <w:r>
        <w:t>] </w:t>
      </w:r>
      <w:r w:rsidR="0062286A">
        <w:t>Visbeidzot, p</w:t>
      </w:r>
      <w:r w:rsidR="00EE1B83" w:rsidRPr="00277A1A">
        <w:t>ieteicēja</w:t>
      </w:r>
      <w:r w:rsidR="00471FE9">
        <w:t xml:space="preserve"> </w:t>
      </w:r>
      <w:r w:rsidR="00D01D49">
        <w:t>uzskata, ka apgabalti</w:t>
      </w:r>
      <w:r w:rsidR="00EE1B83" w:rsidRPr="00277A1A">
        <w:t xml:space="preserve">esa ir paplašinājusi administratīvā akta pamatojumu, jo ir vērtējusi Valsts ieņēmumu dienesta iesniegtās </w:t>
      </w:r>
      <w:r w:rsidR="00D01D49">
        <w:t xml:space="preserve">citu </w:t>
      </w:r>
      <w:r w:rsidR="00EE1B83" w:rsidRPr="00277A1A">
        <w:t xml:space="preserve">Eiropas Savienības dalībvalstu muitas iestāžu saistošās izziņas par tarifu, </w:t>
      </w:r>
      <w:r w:rsidR="00D01D49">
        <w:t xml:space="preserve">taču šīs izziņas Valsts ieņēmumu dienesta </w:t>
      </w:r>
      <w:r w:rsidR="00EE1B83" w:rsidRPr="00277A1A">
        <w:t>lēmum</w:t>
      </w:r>
      <w:r w:rsidR="00D01D49">
        <w:t>ā</w:t>
      </w:r>
      <w:r w:rsidR="00EE1B83" w:rsidRPr="00277A1A">
        <w:t xml:space="preserve"> netika vērtētas.</w:t>
      </w:r>
    </w:p>
    <w:p w14:paraId="2D029EC5" w14:textId="77777777" w:rsidR="00D01D49" w:rsidRDefault="002023AA" w:rsidP="00100556">
      <w:pPr>
        <w:autoSpaceDE w:val="0"/>
        <w:autoSpaceDN w:val="0"/>
        <w:adjustRightInd w:val="0"/>
        <w:spacing w:line="276" w:lineRule="auto"/>
        <w:ind w:firstLine="567"/>
        <w:jc w:val="both"/>
        <w:rPr>
          <w:bCs/>
          <w:iCs/>
          <w:shd w:val="clear" w:color="auto" w:fill="FFFFFF"/>
        </w:rPr>
      </w:pPr>
      <w:r w:rsidRPr="00EE1B83">
        <w:rPr>
          <w:bCs/>
          <w:iCs/>
          <w:shd w:val="clear" w:color="auto" w:fill="FFFFFF"/>
        </w:rPr>
        <w:t xml:space="preserve">Senāts savā praksē jau ir norādījis, ka par administratīvā akta pamatojumu ir atzīstami apstākļi, uz kuriem administratīvais akts ir balstīts, nevis pierādījumi par šiem apstākļiem. Pierādījumu vērtējuma atspoguļošana spriedumā nav uzskatāma par nepamatotu administratīvā akta paplašināšanu vai lēmuma pamatojuma maiņu (piemēram, </w:t>
      </w:r>
      <w:r w:rsidRPr="00EE1B83">
        <w:rPr>
          <w:bCs/>
          <w:i/>
          <w:iCs/>
          <w:shd w:val="clear" w:color="auto" w:fill="FFFFFF"/>
        </w:rPr>
        <w:t xml:space="preserve">Senāta 2012.gada 9.novembra sprieduma lietā Nr. SKA-443/2012 </w:t>
      </w:r>
      <w:r w:rsidRPr="00EE1B83">
        <w:rPr>
          <w:bCs/>
          <w:i/>
          <w:iCs/>
          <w:shd w:val="clear" w:color="auto" w:fill="FFFFFF"/>
        </w:rPr>
        <w:lastRenderedPageBreak/>
        <w:t>(A42643408) 10.punkts, 2017.gada 7.novembra sprieduma lietā Nr. SKA-237/2017 (</w:t>
      </w:r>
      <w:hyperlink r:id="rId10" w:history="1">
        <w:r w:rsidRPr="00F427C1">
          <w:rPr>
            <w:rStyle w:val="Hyperlink"/>
            <w:bCs/>
            <w:i/>
            <w:iCs/>
            <w:color w:val="000000" w:themeColor="text1"/>
            <w:u w:val="none"/>
            <w:shd w:val="clear" w:color="auto" w:fill="FFFFFF"/>
          </w:rPr>
          <w:t>ECLI:LV:AT:2017:1107.A420615511.2.S</w:t>
        </w:r>
      </w:hyperlink>
      <w:r w:rsidRPr="00EE1B83">
        <w:rPr>
          <w:bCs/>
          <w:i/>
          <w:iCs/>
          <w:shd w:val="clear" w:color="auto" w:fill="FFFFFF"/>
        </w:rPr>
        <w:t>) 5.punkts</w:t>
      </w:r>
      <w:r w:rsidRPr="00EE1B83">
        <w:rPr>
          <w:bCs/>
          <w:iCs/>
          <w:shd w:val="clear" w:color="auto" w:fill="FFFFFF"/>
        </w:rPr>
        <w:t>).</w:t>
      </w:r>
    </w:p>
    <w:p w14:paraId="266D90A8" w14:textId="5C394D2A" w:rsidR="004456D3" w:rsidRDefault="00D01D49" w:rsidP="00100556">
      <w:pPr>
        <w:autoSpaceDE w:val="0"/>
        <w:autoSpaceDN w:val="0"/>
        <w:adjustRightInd w:val="0"/>
        <w:spacing w:line="276" w:lineRule="auto"/>
        <w:ind w:firstLine="567"/>
        <w:jc w:val="both"/>
        <w:rPr>
          <w:bCs/>
          <w:iCs/>
          <w:shd w:val="clear" w:color="auto" w:fill="FFFFFF"/>
        </w:rPr>
      </w:pPr>
      <w:r>
        <w:rPr>
          <w:bCs/>
          <w:iCs/>
          <w:shd w:val="clear" w:color="auto" w:fill="FFFFFF"/>
        </w:rPr>
        <w:t>Apgabalt</w:t>
      </w:r>
      <w:r w:rsidR="002023AA" w:rsidRPr="00EE1B83">
        <w:rPr>
          <w:bCs/>
          <w:iCs/>
          <w:shd w:val="clear" w:color="auto" w:fill="FFFFFF"/>
        </w:rPr>
        <w:t>iesa</w:t>
      </w:r>
      <w:r w:rsidR="006346A5">
        <w:rPr>
          <w:bCs/>
          <w:iCs/>
          <w:shd w:val="clear" w:color="auto" w:fill="FFFFFF"/>
        </w:rPr>
        <w:t xml:space="preserve"> uz </w:t>
      </w:r>
      <w:r w:rsidR="002023AA" w:rsidRPr="00EE1B83">
        <w:rPr>
          <w:bCs/>
          <w:iCs/>
          <w:shd w:val="clear" w:color="auto" w:fill="FFFFFF"/>
        </w:rPr>
        <w:t>Eiropas Savienības dalībvalstu muitas iestāžu izdot</w:t>
      </w:r>
      <w:r w:rsidR="006346A5">
        <w:rPr>
          <w:bCs/>
          <w:iCs/>
          <w:shd w:val="clear" w:color="auto" w:fill="FFFFFF"/>
        </w:rPr>
        <w:t>aj</w:t>
      </w:r>
      <w:r w:rsidR="002023AA" w:rsidRPr="00EE1B83">
        <w:rPr>
          <w:bCs/>
          <w:iCs/>
          <w:shd w:val="clear" w:color="auto" w:fill="FFFFFF"/>
        </w:rPr>
        <w:t>ā</w:t>
      </w:r>
      <w:r w:rsidR="006346A5">
        <w:rPr>
          <w:bCs/>
          <w:iCs/>
          <w:shd w:val="clear" w:color="auto" w:fill="FFFFFF"/>
        </w:rPr>
        <w:t>m</w:t>
      </w:r>
      <w:r w:rsidR="002023AA" w:rsidRPr="00EE1B83">
        <w:rPr>
          <w:bCs/>
          <w:iCs/>
          <w:shd w:val="clear" w:color="auto" w:fill="FFFFFF"/>
        </w:rPr>
        <w:t xml:space="preserve"> saistoš</w:t>
      </w:r>
      <w:r w:rsidR="006346A5">
        <w:rPr>
          <w:bCs/>
          <w:iCs/>
          <w:shd w:val="clear" w:color="auto" w:fill="FFFFFF"/>
        </w:rPr>
        <w:t>aj</w:t>
      </w:r>
      <w:r w:rsidR="002023AA" w:rsidRPr="00EE1B83">
        <w:rPr>
          <w:bCs/>
          <w:iCs/>
          <w:shd w:val="clear" w:color="auto" w:fill="FFFFFF"/>
        </w:rPr>
        <w:t>ā</w:t>
      </w:r>
      <w:r w:rsidR="006346A5">
        <w:rPr>
          <w:bCs/>
          <w:iCs/>
          <w:shd w:val="clear" w:color="auto" w:fill="FFFFFF"/>
        </w:rPr>
        <w:t>m</w:t>
      </w:r>
      <w:r w:rsidR="002023AA" w:rsidRPr="00EE1B83">
        <w:rPr>
          <w:bCs/>
          <w:iCs/>
          <w:shd w:val="clear" w:color="auto" w:fill="FFFFFF"/>
        </w:rPr>
        <w:t xml:space="preserve"> izziņ</w:t>
      </w:r>
      <w:r w:rsidR="006346A5">
        <w:rPr>
          <w:bCs/>
          <w:iCs/>
          <w:shd w:val="clear" w:color="auto" w:fill="FFFFFF"/>
        </w:rPr>
        <w:t>ām</w:t>
      </w:r>
      <w:r w:rsidR="002023AA" w:rsidRPr="00EE1B83">
        <w:rPr>
          <w:bCs/>
          <w:iCs/>
          <w:shd w:val="clear" w:color="auto" w:fill="FFFFFF"/>
        </w:rPr>
        <w:t xml:space="preserve"> par tarifiem</w:t>
      </w:r>
      <w:r w:rsidR="006346A5">
        <w:rPr>
          <w:bCs/>
          <w:iCs/>
          <w:shd w:val="clear" w:color="auto" w:fill="FFFFFF"/>
        </w:rPr>
        <w:t xml:space="preserve"> atsaukusies, </w:t>
      </w:r>
      <w:r>
        <w:rPr>
          <w:bCs/>
          <w:iCs/>
          <w:shd w:val="clear" w:color="auto" w:fill="FFFFFF"/>
        </w:rPr>
        <w:t xml:space="preserve">vērtējot </w:t>
      </w:r>
      <w:r w:rsidR="002023AA" w:rsidRPr="002023AA">
        <w:rPr>
          <w:bCs/>
          <w:iCs/>
          <w:shd w:val="clear" w:color="auto" w:fill="FFFFFF"/>
        </w:rPr>
        <w:t xml:space="preserve">pieteicējas </w:t>
      </w:r>
      <w:r>
        <w:rPr>
          <w:bCs/>
          <w:iCs/>
          <w:shd w:val="clear" w:color="auto" w:fill="FFFFFF"/>
        </w:rPr>
        <w:t xml:space="preserve">argumentus par </w:t>
      </w:r>
      <w:r w:rsidR="006346A5">
        <w:rPr>
          <w:bCs/>
          <w:iCs/>
          <w:shd w:val="clear" w:color="auto" w:fill="FFFFFF"/>
        </w:rPr>
        <w:t xml:space="preserve">vienlīdzības principu un par </w:t>
      </w:r>
      <w:r>
        <w:rPr>
          <w:bCs/>
          <w:iCs/>
          <w:shd w:val="clear" w:color="auto" w:fill="FFFFFF"/>
        </w:rPr>
        <w:t xml:space="preserve">nepieciešamību nodrošināt </w:t>
      </w:r>
      <w:r w:rsidR="002023AA" w:rsidRPr="002023AA">
        <w:rPr>
          <w:bCs/>
          <w:iCs/>
          <w:shd w:val="clear" w:color="auto" w:fill="FFFFFF"/>
        </w:rPr>
        <w:t>vienveidīg</w:t>
      </w:r>
      <w:r>
        <w:rPr>
          <w:bCs/>
          <w:iCs/>
          <w:shd w:val="clear" w:color="auto" w:fill="FFFFFF"/>
        </w:rPr>
        <w:t>u</w:t>
      </w:r>
      <w:r w:rsidR="002023AA" w:rsidRPr="002023AA">
        <w:rPr>
          <w:bCs/>
          <w:iCs/>
          <w:shd w:val="clear" w:color="auto" w:fill="FFFFFF"/>
        </w:rPr>
        <w:t xml:space="preserve"> praks</w:t>
      </w:r>
      <w:r>
        <w:rPr>
          <w:bCs/>
          <w:iCs/>
          <w:shd w:val="clear" w:color="auto" w:fill="FFFFFF"/>
        </w:rPr>
        <w:t>i</w:t>
      </w:r>
      <w:r w:rsidR="006346A5">
        <w:rPr>
          <w:bCs/>
          <w:iCs/>
          <w:shd w:val="clear" w:color="auto" w:fill="FFFFFF"/>
        </w:rPr>
        <w:t>, piemērojot</w:t>
      </w:r>
      <w:r w:rsidR="002023AA" w:rsidRPr="002023AA">
        <w:rPr>
          <w:bCs/>
          <w:iCs/>
          <w:shd w:val="clear" w:color="auto" w:fill="FFFFFF"/>
        </w:rPr>
        <w:t xml:space="preserve"> Eiropas Savienības tiesīb</w:t>
      </w:r>
      <w:r w:rsidR="006346A5">
        <w:rPr>
          <w:bCs/>
          <w:iCs/>
          <w:shd w:val="clear" w:color="auto" w:fill="FFFFFF"/>
        </w:rPr>
        <w:t xml:space="preserve">as. Tāpēc </w:t>
      </w:r>
      <w:r w:rsidR="002023AA" w:rsidRPr="00EE1B83">
        <w:rPr>
          <w:bCs/>
          <w:iCs/>
          <w:shd w:val="clear" w:color="auto" w:fill="FFFFFF"/>
        </w:rPr>
        <w:t xml:space="preserve">pretēji pieteicējas norādītajam </w:t>
      </w:r>
      <w:r w:rsidR="006346A5">
        <w:rPr>
          <w:bCs/>
          <w:iCs/>
          <w:shd w:val="clear" w:color="auto" w:fill="FFFFFF"/>
        </w:rPr>
        <w:t>apgabaltiesa nav paplašinājusi ad</w:t>
      </w:r>
      <w:r w:rsidR="002023AA" w:rsidRPr="00EE1B83">
        <w:rPr>
          <w:bCs/>
          <w:iCs/>
          <w:shd w:val="clear" w:color="auto" w:fill="FFFFFF"/>
        </w:rPr>
        <w:t>ministratīv</w:t>
      </w:r>
      <w:r w:rsidR="006346A5">
        <w:rPr>
          <w:bCs/>
          <w:iCs/>
          <w:shd w:val="clear" w:color="auto" w:fill="FFFFFF"/>
        </w:rPr>
        <w:t>o aktu un nav pieļāvusi procesuālus pārkāpumus.</w:t>
      </w:r>
    </w:p>
    <w:p w14:paraId="0C10B2D4" w14:textId="77777777" w:rsidR="000706B5" w:rsidRPr="000706B5" w:rsidRDefault="000706B5" w:rsidP="00100556">
      <w:pPr>
        <w:autoSpaceDE w:val="0"/>
        <w:autoSpaceDN w:val="0"/>
        <w:adjustRightInd w:val="0"/>
        <w:spacing w:line="276" w:lineRule="auto"/>
        <w:ind w:firstLine="567"/>
        <w:jc w:val="both"/>
        <w:rPr>
          <w:shd w:val="clear" w:color="auto" w:fill="FFFFFF"/>
        </w:rPr>
      </w:pPr>
    </w:p>
    <w:p w14:paraId="3294BD9B" w14:textId="48C323BE" w:rsidR="00FB195A" w:rsidRDefault="008E2AB1" w:rsidP="00100556">
      <w:pPr>
        <w:spacing w:line="276" w:lineRule="auto"/>
        <w:ind w:firstLine="567"/>
        <w:jc w:val="both"/>
      </w:pPr>
      <w:r>
        <w:t>[</w:t>
      </w:r>
      <w:r w:rsidR="00A119D1">
        <w:t>1</w:t>
      </w:r>
      <w:r w:rsidR="0062286A">
        <w:t>4</w:t>
      </w:r>
      <w:r>
        <w:t xml:space="preserve">] Ņemot vērā minēto, </w:t>
      </w:r>
      <w:r w:rsidR="00AB0613">
        <w:t>apgabaltiesas spriedums ir atstājams negrozīts, savukārt kasācijas sūdzība ir atzīstama par nepamatotu.</w:t>
      </w:r>
    </w:p>
    <w:p w14:paraId="58532A5D" w14:textId="77777777" w:rsidR="00BD1110" w:rsidRDefault="00BD1110" w:rsidP="00100556">
      <w:pPr>
        <w:spacing w:line="276" w:lineRule="auto"/>
        <w:ind w:firstLine="567"/>
        <w:jc w:val="both"/>
      </w:pPr>
    </w:p>
    <w:p w14:paraId="7C73CF91" w14:textId="77777777" w:rsidR="006E4A34" w:rsidRDefault="006E4A34" w:rsidP="00100556">
      <w:pPr>
        <w:spacing w:line="276" w:lineRule="auto"/>
        <w:jc w:val="center"/>
        <w:rPr>
          <w:spacing w:val="70"/>
        </w:rPr>
      </w:pPr>
      <w:r>
        <w:rPr>
          <w:b/>
          <w:bCs/>
        </w:rPr>
        <w:t>Rezolutīvā daļa</w:t>
      </w:r>
    </w:p>
    <w:p w14:paraId="01EEF9B9" w14:textId="77777777" w:rsidR="006E4A34" w:rsidRDefault="006E4A34" w:rsidP="00100556">
      <w:pPr>
        <w:spacing w:line="276" w:lineRule="auto"/>
        <w:ind w:firstLine="567"/>
        <w:jc w:val="both"/>
        <w:rPr>
          <w:spacing w:val="70"/>
        </w:rPr>
      </w:pPr>
    </w:p>
    <w:p w14:paraId="58891154" w14:textId="7BEFA729" w:rsidR="00094F6C" w:rsidRPr="00094F6C" w:rsidRDefault="00094F6C" w:rsidP="00100556">
      <w:pPr>
        <w:suppressAutoHyphens w:val="0"/>
        <w:spacing w:line="276" w:lineRule="auto"/>
        <w:ind w:firstLine="567"/>
        <w:jc w:val="both"/>
        <w:rPr>
          <w:strike/>
          <w:lang w:eastAsia="ru-RU"/>
        </w:rPr>
      </w:pPr>
      <w:r w:rsidRPr="00094F6C">
        <w:rPr>
          <w:lang w:eastAsia="ru-RU"/>
        </w:rPr>
        <w:lastRenderedPageBreak/>
        <w:t xml:space="preserve">Pamatojoties uz </w:t>
      </w:r>
      <w:r w:rsidRPr="00094F6C">
        <w:rPr>
          <w:rFonts w:eastAsiaTheme="minorHAnsi"/>
          <w:lang w:eastAsia="en-US"/>
        </w:rPr>
        <w:t xml:space="preserve">Administratīvā procesa likuma 348.panta pirmās daļas </w:t>
      </w:r>
      <w:r w:rsidR="00120D3A">
        <w:rPr>
          <w:rFonts w:eastAsiaTheme="minorHAnsi"/>
          <w:lang w:eastAsia="en-US"/>
        </w:rPr>
        <w:t>1</w:t>
      </w:r>
      <w:r w:rsidRPr="00094F6C">
        <w:rPr>
          <w:rFonts w:eastAsiaTheme="minorHAnsi"/>
          <w:lang w:eastAsia="en-US"/>
        </w:rPr>
        <w:t>.punktu un 351.pantu</w:t>
      </w:r>
      <w:r w:rsidRPr="00094F6C">
        <w:rPr>
          <w:lang w:eastAsia="ru-RU"/>
        </w:rPr>
        <w:t>, Senāts</w:t>
      </w:r>
    </w:p>
    <w:p w14:paraId="2F63AA22" w14:textId="77777777" w:rsidR="006E4A34" w:rsidRDefault="006E4A34" w:rsidP="00100556">
      <w:pPr>
        <w:spacing w:line="276" w:lineRule="auto"/>
        <w:ind w:firstLine="567"/>
        <w:jc w:val="both"/>
      </w:pPr>
    </w:p>
    <w:p w14:paraId="1D82A9EE" w14:textId="77777777" w:rsidR="006E4A34" w:rsidRDefault="006E4A34" w:rsidP="00100556">
      <w:pPr>
        <w:spacing w:line="276" w:lineRule="auto"/>
        <w:jc w:val="center"/>
      </w:pPr>
      <w:r>
        <w:rPr>
          <w:b/>
          <w:bCs/>
        </w:rPr>
        <w:t>nosprieda</w:t>
      </w:r>
    </w:p>
    <w:p w14:paraId="38BDBF31" w14:textId="77777777" w:rsidR="006E4A34" w:rsidRDefault="006E4A34" w:rsidP="00100556">
      <w:pPr>
        <w:spacing w:line="276" w:lineRule="auto"/>
        <w:jc w:val="center"/>
      </w:pPr>
    </w:p>
    <w:p w14:paraId="5533AB83" w14:textId="632AB534" w:rsidR="00120D3A" w:rsidRDefault="002345F9" w:rsidP="00100556">
      <w:pPr>
        <w:spacing w:line="276" w:lineRule="auto"/>
        <w:ind w:firstLine="567"/>
        <w:jc w:val="both"/>
      </w:pPr>
      <w:r>
        <w:t>a</w:t>
      </w:r>
      <w:r w:rsidR="00094F6C" w:rsidRPr="00094F6C">
        <w:t>t</w:t>
      </w:r>
      <w:r w:rsidR="00120D3A">
        <w:t xml:space="preserve">stāt negrozītu </w:t>
      </w:r>
      <w:r w:rsidR="006E4A34" w:rsidRPr="00094F6C">
        <w:t xml:space="preserve">Administratīvās apgabaltiesas </w:t>
      </w:r>
      <w:r w:rsidR="006A4F46" w:rsidRPr="006A4F46">
        <w:rPr>
          <w:bCs/>
        </w:rPr>
        <w:t>2018.gada 12.februāra</w:t>
      </w:r>
      <w:r w:rsidR="002C30D4">
        <w:t xml:space="preserve"> </w:t>
      </w:r>
      <w:r w:rsidR="006E4A34" w:rsidRPr="00094F6C">
        <w:t>spriedumu</w:t>
      </w:r>
      <w:r w:rsidR="00120D3A">
        <w:t xml:space="preserve">, bet </w:t>
      </w:r>
      <w:r w:rsidR="006A4F46" w:rsidRPr="006A4F46">
        <w:rPr>
          <w:bCs/>
        </w:rPr>
        <w:t>SIA „Mikrotīkls”</w:t>
      </w:r>
      <w:r w:rsidR="00122C76">
        <w:t xml:space="preserve"> </w:t>
      </w:r>
      <w:r w:rsidR="00120D3A">
        <w:t>kasācijas sūdzību noraidīt.</w:t>
      </w:r>
    </w:p>
    <w:p w14:paraId="0B589BF3" w14:textId="7CE06E5A" w:rsidR="006E4A34" w:rsidRPr="00100556" w:rsidRDefault="006E4A34" w:rsidP="00100556">
      <w:pPr>
        <w:spacing w:line="276" w:lineRule="auto"/>
        <w:ind w:firstLine="567"/>
        <w:jc w:val="both"/>
      </w:pPr>
      <w:r w:rsidRPr="00094F6C">
        <w:t>Spriedums nav pārsūdzams.</w:t>
      </w:r>
    </w:p>
    <w:p w14:paraId="50744BAC" w14:textId="77777777" w:rsidR="006E4A34" w:rsidRDefault="006E4A34" w:rsidP="00574AC1">
      <w:pPr>
        <w:tabs>
          <w:tab w:val="left" w:pos="2880"/>
          <w:tab w:val="left" w:pos="4680"/>
          <w:tab w:val="left" w:pos="6660"/>
        </w:tabs>
        <w:spacing w:line="276" w:lineRule="auto"/>
        <w:jc w:val="both"/>
      </w:pPr>
    </w:p>
    <w:sectPr w:rsidR="006E4A34" w:rsidSect="0062286A">
      <w:footerReference w:type="default" r:id="rId11"/>
      <w:pgSz w:w="11906" w:h="16838"/>
      <w:pgMar w:top="1077" w:right="1077" w:bottom="1077" w:left="1701" w:header="709" w:footer="709"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D5C0A" w14:textId="77777777" w:rsidR="0055514E" w:rsidRDefault="0055514E">
      <w:pPr>
        <w:spacing w:line="240" w:lineRule="auto"/>
      </w:pPr>
      <w:r>
        <w:separator/>
      </w:r>
    </w:p>
  </w:endnote>
  <w:endnote w:type="continuationSeparator" w:id="0">
    <w:p w14:paraId="0B6CB86B" w14:textId="77777777" w:rsidR="0055514E" w:rsidRDefault="00555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F93F" w14:textId="77777777" w:rsidR="006E4A34" w:rsidRDefault="006E4A34">
    <w:pPr>
      <w:pStyle w:val="Footer"/>
      <w:tabs>
        <w:tab w:val="clear" w:pos="4153"/>
        <w:tab w:val="clear" w:pos="8306"/>
      </w:tabs>
      <w:jc w:val="center"/>
    </w:pPr>
    <w:r>
      <w:fldChar w:fldCharType="begin"/>
    </w:r>
    <w:r>
      <w:instrText xml:space="preserve"> PAGE </w:instrText>
    </w:r>
    <w:r>
      <w:fldChar w:fldCharType="separate"/>
    </w:r>
    <w:r w:rsidR="00284FE6">
      <w:rPr>
        <w:noProof/>
      </w:rPr>
      <w:t>2</w:t>
    </w:r>
    <w:r>
      <w:fldChar w:fldCharType="end"/>
    </w:r>
    <w:r>
      <w:rPr>
        <w:rStyle w:val="PageNumber1"/>
      </w:rPr>
      <w:t xml:space="preserve"> no </w:t>
    </w:r>
    <w:r w:rsidR="008F44D8">
      <w:rPr>
        <w:rStyle w:val="PageNumber1"/>
      </w:rPr>
      <w:fldChar w:fldCharType="begin"/>
    </w:r>
    <w:r w:rsidR="008F44D8">
      <w:rPr>
        <w:rStyle w:val="PageNumber1"/>
      </w:rPr>
      <w:instrText xml:space="preserve"> NUMPAGES </w:instrText>
    </w:r>
    <w:r w:rsidR="008F44D8">
      <w:rPr>
        <w:rStyle w:val="PageNumber1"/>
      </w:rPr>
      <w:fldChar w:fldCharType="separate"/>
    </w:r>
    <w:r w:rsidR="00284FE6">
      <w:rPr>
        <w:rStyle w:val="PageNumber1"/>
        <w:noProof/>
      </w:rPr>
      <w:t>7</w:t>
    </w:r>
    <w:r w:rsidR="008F44D8">
      <w:rPr>
        <w:rStyle w:val="PageNumber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B28D7" w14:textId="77777777" w:rsidR="0055514E" w:rsidRDefault="0055514E">
      <w:pPr>
        <w:spacing w:line="240" w:lineRule="auto"/>
      </w:pPr>
      <w:r>
        <w:separator/>
      </w:r>
    </w:p>
  </w:footnote>
  <w:footnote w:type="continuationSeparator" w:id="0">
    <w:p w14:paraId="6BE5CCD7" w14:textId="77777777" w:rsidR="0055514E" w:rsidRDefault="005551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1993B64"/>
    <w:multiLevelType w:val="hybridMultilevel"/>
    <w:tmpl w:val="37E260A2"/>
    <w:lvl w:ilvl="0" w:tplc="EC9221E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8EB154A"/>
    <w:multiLevelType w:val="hybridMultilevel"/>
    <w:tmpl w:val="2FD8BDF2"/>
    <w:lvl w:ilvl="0" w:tplc="FEDE4534">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activeWritingStyle w:appName="MSWord" w:lang="lv-LV" w:vendorID="71" w:dllVersion="512"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82"/>
    <w:rsid w:val="00000AE2"/>
    <w:rsid w:val="000018D9"/>
    <w:rsid w:val="00002A61"/>
    <w:rsid w:val="00003A2B"/>
    <w:rsid w:val="0000412C"/>
    <w:rsid w:val="00005224"/>
    <w:rsid w:val="0001014D"/>
    <w:rsid w:val="00010ED0"/>
    <w:rsid w:val="0001194E"/>
    <w:rsid w:val="00011A61"/>
    <w:rsid w:val="000125A7"/>
    <w:rsid w:val="000128DF"/>
    <w:rsid w:val="00013E0D"/>
    <w:rsid w:val="00013F72"/>
    <w:rsid w:val="0001546F"/>
    <w:rsid w:val="00016824"/>
    <w:rsid w:val="00016F96"/>
    <w:rsid w:val="00017436"/>
    <w:rsid w:val="000201A7"/>
    <w:rsid w:val="00030D38"/>
    <w:rsid w:val="00031B09"/>
    <w:rsid w:val="00032F7D"/>
    <w:rsid w:val="000359C7"/>
    <w:rsid w:val="00035FD9"/>
    <w:rsid w:val="00036A54"/>
    <w:rsid w:val="00037183"/>
    <w:rsid w:val="000373DA"/>
    <w:rsid w:val="0004245D"/>
    <w:rsid w:val="00044F9E"/>
    <w:rsid w:val="0004515A"/>
    <w:rsid w:val="00045844"/>
    <w:rsid w:val="00046D93"/>
    <w:rsid w:val="0005006C"/>
    <w:rsid w:val="00050A76"/>
    <w:rsid w:val="00050C23"/>
    <w:rsid w:val="000530AE"/>
    <w:rsid w:val="000531E3"/>
    <w:rsid w:val="00056A60"/>
    <w:rsid w:val="00056BAC"/>
    <w:rsid w:val="00057482"/>
    <w:rsid w:val="00060603"/>
    <w:rsid w:val="00060B1D"/>
    <w:rsid w:val="0006141D"/>
    <w:rsid w:val="00061D22"/>
    <w:rsid w:val="00063048"/>
    <w:rsid w:val="00064341"/>
    <w:rsid w:val="00065CD7"/>
    <w:rsid w:val="000706B5"/>
    <w:rsid w:val="0007393D"/>
    <w:rsid w:val="00074E09"/>
    <w:rsid w:val="00074E59"/>
    <w:rsid w:val="00075C4D"/>
    <w:rsid w:val="00075F72"/>
    <w:rsid w:val="000772F8"/>
    <w:rsid w:val="000814E0"/>
    <w:rsid w:val="00081A0D"/>
    <w:rsid w:val="00083652"/>
    <w:rsid w:val="000836E9"/>
    <w:rsid w:val="000845E1"/>
    <w:rsid w:val="00084C6D"/>
    <w:rsid w:val="000850BC"/>
    <w:rsid w:val="00090B32"/>
    <w:rsid w:val="0009113D"/>
    <w:rsid w:val="00091667"/>
    <w:rsid w:val="000926B5"/>
    <w:rsid w:val="00093CBD"/>
    <w:rsid w:val="000947D0"/>
    <w:rsid w:val="00094F6C"/>
    <w:rsid w:val="00096581"/>
    <w:rsid w:val="00097809"/>
    <w:rsid w:val="000A257E"/>
    <w:rsid w:val="000A3786"/>
    <w:rsid w:val="000A42AA"/>
    <w:rsid w:val="000A5D71"/>
    <w:rsid w:val="000A6943"/>
    <w:rsid w:val="000A7989"/>
    <w:rsid w:val="000B2027"/>
    <w:rsid w:val="000B369C"/>
    <w:rsid w:val="000B48D0"/>
    <w:rsid w:val="000B6A17"/>
    <w:rsid w:val="000B6E1D"/>
    <w:rsid w:val="000C1F42"/>
    <w:rsid w:val="000C2A7D"/>
    <w:rsid w:val="000C417D"/>
    <w:rsid w:val="000D0219"/>
    <w:rsid w:val="000D04CC"/>
    <w:rsid w:val="000D2411"/>
    <w:rsid w:val="000D2BCD"/>
    <w:rsid w:val="000D3225"/>
    <w:rsid w:val="000D43CD"/>
    <w:rsid w:val="000D46ED"/>
    <w:rsid w:val="000D7090"/>
    <w:rsid w:val="000D7584"/>
    <w:rsid w:val="000D75DB"/>
    <w:rsid w:val="000E1F82"/>
    <w:rsid w:val="000E3B4D"/>
    <w:rsid w:val="000E5867"/>
    <w:rsid w:val="000E7978"/>
    <w:rsid w:val="000F0976"/>
    <w:rsid w:val="000F129A"/>
    <w:rsid w:val="000F3DF9"/>
    <w:rsid w:val="000F4AA5"/>
    <w:rsid w:val="000F4E08"/>
    <w:rsid w:val="000F6A54"/>
    <w:rsid w:val="000F6E51"/>
    <w:rsid w:val="000F7042"/>
    <w:rsid w:val="00100556"/>
    <w:rsid w:val="00100BE8"/>
    <w:rsid w:val="00100D13"/>
    <w:rsid w:val="00101FD0"/>
    <w:rsid w:val="00102D76"/>
    <w:rsid w:val="00103402"/>
    <w:rsid w:val="001046BB"/>
    <w:rsid w:val="00110487"/>
    <w:rsid w:val="00111218"/>
    <w:rsid w:val="00111FBC"/>
    <w:rsid w:val="0011360F"/>
    <w:rsid w:val="001138AE"/>
    <w:rsid w:val="001140F1"/>
    <w:rsid w:val="001153E0"/>
    <w:rsid w:val="00115B8D"/>
    <w:rsid w:val="00115BD9"/>
    <w:rsid w:val="00116875"/>
    <w:rsid w:val="00120975"/>
    <w:rsid w:val="00120D3A"/>
    <w:rsid w:val="0012123B"/>
    <w:rsid w:val="00122C76"/>
    <w:rsid w:val="00123173"/>
    <w:rsid w:val="00124F74"/>
    <w:rsid w:val="00126482"/>
    <w:rsid w:val="0012762A"/>
    <w:rsid w:val="001305C1"/>
    <w:rsid w:val="001330B1"/>
    <w:rsid w:val="00134A34"/>
    <w:rsid w:val="00135BCC"/>
    <w:rsid w:val="00136643"/>
    <w:rsid w:val="001367E6"/>
    <w:rsid w:val="001379DC"/>
    <w:rsid w:val="0014045F"/>
    <w:rsid w:val="00141232"/>
    <w:rsid w:val="00141F8C"/>
    <w:rsid w:val="00145299"/>
    <w:rsid w:val="001459D0"/>
    <w:rsid w:val="00146E18"/>
    <w:rsid w:val="00151388"/>
    <w:rsid w:val="001522D1"/>
    <w:rsid w:val="00157B64"/>
    <w:rsid w:val="00160140"/>
    <w:rsid w:val="00161005"/>
    <w:rsid w:val="00162424"/>
    <w:rsid w:val="001627B9"/>
    <w:rsid w:val="00163605"/>
    <w:rsid w:val="00166B67"/>
    <w:rsid w:val="001674AD"/>
    <w:rsid w:val="00167D1A"/>
    <w:rsid w:val="00170ED0"/>
    <w:rsid w:val="00172606"/>
    <w:rsid w:val="0017716F"/>
    <w:rsid w:val="001805E7"/>
    <w:rsid w:val="00180B5A"/>
    <w:rsid w:val="00182675"/>
    <w:rsid w:val="00182885"/>
    <w:rsid w:val="00186290"/>
    <w:rsid w:val="001901E8"/>
    <w:rsid w:val="00190AD0"/>
    <w:rsid w:val="00190B29"/>
    <w:rsid w:val="001922F9"/>
    <w:rsid w:val="00192FFC"/>
    <w:rsid w:val="00193D98"/>
    <w:rsid w:val="0019695F"/>
    <w:rsid w:val="0019723F"/>
    <w:rsid w:val="001A05BA"/>
    <w:rsid w:val="001A0935"/>
    <w:rsid w:val="001A2106"/>
    <w:rsid w:val="001A406D"/>
    <w:rsid w:val="001A51C7"/>
    <w:rsid w:val="001A5593"/>
    <w:rsid w:val="001A55EF"/>
    <w:rsid w:val="001A5F52"/>
    <w:rsid w:val="001A7CE7"/>
    <w:rsid w:val="001B017C"/>
    <w:rsid w:val="001B08D8"/>
    <w:rsid w:val="001B0A78"/>
    <w:rsid w:val="001B12BB"/>
    <w:rsid w:val="001B1759"/>
    <w:rsid w:val="001B1C07"/>
    <w:rsid w:val="001B2403"/>
    <w:rsid w:val="001B54F2"/>
    <w:rsid w:val="001B5ACB"/>
    <w:rsid w:val="001B6666"/>
    <w:rsid w:val="001C12B1"/>
    <w:rsid w:val="001C12B8"/>
    <w:rsid w:val="001C1301"/>
    <w:rsid w:val="001C6B3E"/>
    <w:rsid w:val="001C73AF"/>
    <w:rsid w:val="001C78F9"/>
    <w:rsid w:val="001C78FE"/>
    <w:rsid w:val="001D114D"/>
    <w:rsid w:val="001D26CC"/>
    <w:rsid w:val="001D2DF2"/>
    <w:rsid w:val="001D4DE9"/>
    <w:rsid w:val="001D5C90"/>
    <w:rsid w:val="001D72D4"/>
    <w:rsid w:val="001D75D0"/>
    <w:rsid w:val="001E0265"/>
    <w:rsid w:val="001E0BBE"/>
    <w:rsid w:val="001E1BD5"/>
    <w:rsid w:val="001E22F8"/>
    <w:rsid w:val="001E504D"/>
    <w:rsid w:val="001E58B5"/>
    <w:rsid w:val="001E58CB"/>
    <w:rsid w:val="001E6BDA"/>
    <w:rsid w:val="001E6FC0"/>
    <w:rsid w:val="001F037D"/>
    <w:rsid w:val="001F1678"/>
    <w:rsid w:val="001F5499"/>
    <w:rsid w:val="001F779D"/>
    <w:rsid w:val="002023AA"/>
    <w:rsid w:val="00202ABB"/>
    <w:rsid w:val="00202E6F"/>
    <w:rsid w:val="00205273"/>
    <w:rsid w:val="00206267"/>
    <w:rsid w:val="002106B3"/>
    <w:rsid w:val="002126E9"/>
    <w:rsid w:val="00212F0A"/>
    <w:rsid w:val="0021403C"/>
    <w:rsid w:val="00214EEC"/>
    <w:rsid w:val="00216D7B"/>
    <w:rsid w:val="0021725F"/>
    <w:rsid w:val="00220A24"/>
    <w:rsid w:val="002216F9"/>
    <w:rsid w:val="00221A6C"/>
    <w:rsid w:val="00223D2B"/>
    <w:rsid w:val="002248AE"/>
    <w:rsid w:val="00224956"/>
    <w:rsid w:val="0022512C"/>
    <w:rsid w:val="0022755F"/>
    <w:rsid w:val="00230C54"/>
    <w:rsid w:val="00230E5C"/>
    <w:rsid w:val="002312F5"/>
    <w:rsid w:val="00233B2B"/>
    <w:rsid w:val="00234507"/>
    <w:rsid w:val="002345F9"/>
    <w:rsid w:val="00236BE9"/>
    <w:rsid w:val="00237BD1"/>
    <w:rsid w:val="00240D0F"/>
    <w:rsid w:val="0024184A"/>
    <w:rsid w:val="002436A9"/>
    <w:rsid w:val="002453B9"/>
    <w:rsid w:val="00245970"/>
    <w:rsid w:val="00245CF3"/>
    <w:rsid w:val="00246021"/>
    <w:rsid w:val="0024704C"/>
    <w:rsid w:val="00250DDF"/>
    <w:rsid w:val="00255010"/>
    <w:rsid w:val="0025782C"/>
    <w:rsid w:val="0026209D"/>
    <w:rsid w:val="0026250F"/>
    <w:rsid w:val="00265D25"/>
    <w:rsid w:val="00273D67"/>
    <w:rsid w:val="00273F72"/>
    <w:rsid w:val="002814A2"/>
    <w:rsid w:val="00283947"/>
    <w:rsid w:val="00284308"/>
    <w:rsid w:val="0028482C"/>
    <w:rsid w:val="00284FE6"/>
    <w:rsid w:val="00285496"/>
    <w:rsid w:val="002856B7"/>
    <w:rsid w:val="00286540"/>
    <w:rsid w:val="00286FE2"/>
    <w:rsid w:val="00291FA8"/>
    <w:rsid w:val="00292E9F"/>
    <w:rsid w:val="00292EE4"/>
    <w:rsid w:val="002947CD"/>
    <w:rsid w:val="0029576D"/>
    <w:rsid w:val="00296882"/>
    <w:rsid w:val="002A0A58"/>
    <w:rsid w:val="002A4315"/>
    <w:rsid w:val="002A44CB"/>
    <w:rsid w:val="002A5405"/>
    <w:rsid w:val="002A5BFA"/>
    <w:rsid w:val="002A5F64"/>
    <w:rsid w:val="002A710B"/>
    <w:rsid w:val="002A743C"/>
    <w:rsid w:val="002A7B09"/>
    <w:rsid w:val="002B03F8"/>
    <w:rsid w:val="002B294C"/>
    <w:rsid w:val="002B5145"/>
    <w:rsid w:val="002B5636"/>
    <w:rsid w:val="002B5ADA"/>
    <w:rsid w:val="002B61B1"/>
    <w:rsid w:val="002B7FD2"/>
    <w:rsid w:val="002C30D4"/>
    <w:rsid w:val="002C49CE"/>
    <w:rsid w:val="002C79D0"/>
    <w:rsid w:val="002D09D2"/>
    <w:rsid w:val="002D199D"/>
    <w:rsid w:val="002D42B6"/>
    <w:rsid w:val="002D54AA"/>
    <w:rsid w:val="002D6A80"/>
    <w:rsid w:val="002E1814"/>
    <w:rsid w:val="002E2420"/>
    <w:rsid w:val="002E43B2"/>
    <w:rsid w:val="002E5BB2"/>
    <w:rsid w:val="002E6368"/>
    <w:rsid w:val="002F02B9"/>
    <w:rsid w:val="002F0B91"/>
    <w:rsid w:val="002F0CC9"/>
    <w:rsid w:val="002F12A2"/>
    <w:rsid w:val="002F2A72"/>
    <w:rsid w:val="002F35A1"/>
    <w:rsid w:val="002F4D01"/>
    <w:rsid w:val="002F57F6"/>
    <w:rsid w:val="002F5949"/>
    <w:rsid w:val="002F5B9B"/>
    <w:rsid w:val="002F6330"/>
    <w:rsid w:val="002F6610"/>
    <w:rsid w:val="002F76C5"/>
    <w:rsid w:val="003022B9"/>
    <w:rsid w:val="003045A9"/>
    <w:rsid w:val="00304F35"/>
    <w:rsid w:val="00305D65"/>
    <w:rsid w:val="003063B3"/>
    <w:rsid w:val="003125BA"/>
    <w:rsid w:val="00315121"/>
    <w:rsid w:val="00315897"/>
    <w:rsid w:val="003171D7"/>
    <w:rsid w:val="00317D4F"/>
    <w:rsid w:val="00320980"/>
    <w:rsid w:val="00324F34"/>
    <w:rsid w:val="00325305"/>
    <w:rsid w:val="0032555E"/>
    <w:rsid w:val="00325D44"/>
    <w:rsid w:val="00330B0F"/>
    <w:rsid w:val="0033176B"/>
    <w:rsid w:val="00333F48"/>
    <w:rsid w:val="0033428D"/>
    <w:rsid w:val="003356BE"/>
    <w:rsid w:val="003369A9"/>
    <w:rsid w:val="003409DE"/>
    <w:rsid w:val="003411E3"/>
    <w:rsid w:val="00342B55"/>
    <w:rsid w:val="0034538C"/>
    <w:rsid w:val="003458B4"/>
    <w:rsid w:val="003468E3"/>
    <w:rsid w:val="00346EBC"/>
    <w:rsid w:val="00347CEC"/>
    <w:rsid w:val="00350196"/>
    <w:rsid w:val="00351330"/>
    <w:rsid w:val="00353983"/>
    <w:rsid w:val="00353AB1"/>
    <w:rsid w:val="00355530"/>
    <w:rsid w:val="00357DB4"/>
    <w:rsid w:val="00357DEA"/>
    <w:rsid w:val="003609B1"/>
    <w:rsid w:val="00360D35"/>
    <w:rsid w:val="003628FF"/>
    <w:rsid w:val="003643BA"/>
    <w:rsid w:val="00366522"/>
    <w:rsid w:val="003708C2"/>
    <w:rsid w:val="0037494C"/>
    <w:rsid w:val="003749AD"/>
    <w:rsid w:val="00374C5E"/>
    <w:rsid w:val="00374E05"/>
    <w:rsid w:val="0037580E"/>
    <w:rsid w:val="00375FAD"/>
    <w:rsid w:val="00377028"/>
    <w:rsid w:val="00377B59"/>
    <w:rsid w:val="003809E5"/>
    <w:rsid w:val="00385189"/>
    <w:rsid w:val="00387AF9"/>
    <w:rsid w:val="00387BDD"/>
    <w:rsid w:val="00387E11"/>
    <w:rsid w:val="003900C8"/>
    <w:rsid w:val="00393997"/>
    <w:rsid w:val="0039579A"/>
    <w:rsid w:val="003963A7"/>
    <w:rsid w:val="0039683B"/>
    <w:rsid w:val="003A1E55"/>
    <w:rsid w:val="003A3579"/>
    <w:rsid w:val="003A4F79"/>
    <w:rsid w:val="003A5840"/>
    <w:rsid w:val="003A6AF6"/>
    <w:rsid w:val="003B09FA"/>
    <w:rsid w:val="003B1962"/>
    <w:rsid w:val="003B21A7"/>
    <w:rsid w:val="003B2C19"/>
    <w:rsid w:val="003B3F9A"/>
    <w:rsid w:val="003B54FF"/>
    <w:rsid w:val="003C0824"/>
    <w:rsid w:val="003C0D02"/>
    <w:rsid w:val="003C15B0"/>
    <w:rsid w:val="003C5381"/>
    <w:rsid w:val="003C7147"/>
    <w:rsid w:val="003C7DC6"/>
    <w:rsid w:val="003D2570"/>
    <w:rsid w:val="003D3352"/>
    <w:rsid w:val="003D338E"/>
    <w:rsid w:val="003D3EC5"/>
    <w:rsid w:val="003D4FCB"/>
    <w:rsid w:val="003D677B"/>
    <w:rsid w:val="003D67A4"/>
    <w:rsid w:val="003E0951"/>
    <w:rsid w:val="003E0CE4"/>
    <w:rsid w:val="003E1A8B"/>
    <w:rsid w:val="003E4070"/>
    <w:rsid w:val="003E5079"/>
    <w:rsid w:val="003E5453"/>
    <w:rsid w:val="003E54BC"/>
    <w:rsid w:val="003E7115"/>
    <w:rsid w:val="003F030C"/>
    <w:rsid w:val="003F052E"/>
    <w:rsid w:val="003F059A"/>
    <w:rsid w:val="003F1794"/>
    <w:rsid w:val="003F306F"/>
    <w:rsid w:val="003F680D"/>
    <w:rsid w:val="003F6A1D"/>
    <w:rsid w:val="003F6E21"/>
    <w:rsid w:val="003F6FE7"/>
    <w:rsid w:val="003F734D"/>
    <w:rsid w:val="0040223F"/>
    <w:rsid w:val="004022D7"/>
    <w:rsid w:val="004054D6"/>
    <w:rsid w:val="0040591A"/>
    <w:rsid w:val="00406289"/>
    <w:rsid w:val="00406FDB"/>
    <w:rsid w:val="00407C2C"/>
    <w:rsid w:val="00407F5C"/>
    <w:rsid w:val="00412AAE"/>
    <w:rsid w:val="00412F68"/>
    <w:rsid w:val="00413208"/>
    <w:rsid w:val="00414E99"/>
    <w:rsid w:val="004151BE"/>
    <w:rsid w:val="004176DD"/>
    <w:rsid w:val="00417742"/>
    <w:rsid w:val="004177CA"/>
    <w:rsid w:val="00417941"/>
    <w:rsid w:val="00420D40"/>
    <w:rsid w:val="00421420"/>
    <w:rsid w:val="00421D4D"/>
    <w:rsid w:val="00422705"/>
    <w:rsid w:val="00425076"/>
    <w:rsid w:val="00427A5B"/>
    <w:rsid w:val="00433836"/>
    <w:rsid w:val="00433FF5"/>
    <w:rsid w:val="00434748"/>
    <w:rsid w:val="00434A67"/>
    <w:rsid w:val="00436187"/>
    <w:rsid w:val="0043643D"/>
    <w:rsid w:val="00437AD3"/>
    <w:rsid w:val="004418F8"/>
    <w:rsid w:val="00442280"/>
    <w:rsid w:val="00442334"/>
    <w:rsid w:val="00443D48"/>
    <w:rsid w:val="004444E1"/>
    <w:rsid w:val="004456D3"/>
    <w:rsid w:val="00446CC2"/>
    <w:rsid w:val="0044701D"/>
    <w:rsid w:val="00447283"/>
    <w:rsid w:val="00450FC5"/>
    <w:rsid w:val="0045306B"/>
    <w:rsid w:val="00456124"/>
    <w:rsid w:val="00456323"/>
    <w:rsid w:val="00456A95"/>
    <w:rsid w:val="00464C38"/>
    <w:rsid w:val="0047196C"/>
    <w:rsid w:val="00471FE9"/>
    <w:rsid w:val="00473136"/>
    <w:rsid w:val="00474F6C"/>
    <w:rsid w:val="00481A24"/>
    <w:rsid w:val="0048370A"/>
    <w:rsid w:val="00483CB0"/>
    <w:rsid w:val="00484EEF"/>
    <w:rsid w:val="00485A71"/>
    <w:rsid w:val="00485B71"/>
    <w:rsid w:val="00485CC5"/>
    <w:rsid w:val="0048770D"/>
    <w:rsid w:val="0049064A"/>
    <w:rsid w:val="00491ACF"/>
    <w:rsid w:val="00491BCA"/>
    <w:rsid w:val="00491D36"/>
    <w:rsid w:val="004928BA"/>
    <w:rsid w:val="00493615"/>
    <w:rsid w:val="00493ACF"/>
    <w:rsid w:val="00495B1A"/>
    <w:rsid w:val="00495DC7"/>
    <w:rsid w:val="004A2720"/>
    <w:rsid w:val="004A2820"/>
    <w:rsid w:val="004A2F2D"/>
    <w:rsid w:val="004A2FA1"/>
    <w:rsid w:val="004A45AC"/>
    <w:rsid w:val="004A48E1"/>
    <w:rsid w:val="004B098F"/>
    <w:rsid w:val="004B0C5C"/>
    <w:rsid w:val="004B2872"/>
    <w:rsid w:val="004B7E48"/>
    <w:rsid w:val="004C02C5"/>
    <w:rsid w:val="004C1BE1"/>
    <w:rsid w:val="004C3861"/>
    <w:rsid w:val="004C7112"/>
    <w:rsid w:val="004C7F53"/>
    <w:rsid w:val="004D00B2"/>
    <w:rsid w:val="004D0BF6"/>
    <w:rsid w:val="004D1FE8"/>
    <w:rsid w:val="004D2836"/>
    <w:rsid w:val="004D5026"/>
    <w:rsid w:val="004D5241"/>
    <w:rsid w:val="004E0F24"/>
    <w:rsid w:val="004E1BD0"/>
    <w:rsid w:val="004E1C1F"/>
    <w:rsid w:val="004E2317"/>
    <w:rsid w:val="004E2484"/>
    <w:rsid w:val="004E3B49"/>
    <w:rsid w:val="004E4346"/>
    <w:rsid w:val="004E5E9A"/>
    <w:rsid w:val="004E64E8"/>
    <w:rsid w:val="004E6E28"/>
    <w:rsid w:val="004F06B6"/>
    <w:rsid w:val="004F08E3"/>
    <w:rsid w:val="004F14A3"/>
    <w:rsid w:val="004F54FD"/>
    <w:rsid w:val="004F60A5"/>
    <w:rsid w:val="004F75D3"/>
    <w:rsid w:val="004F7E07"/>
    <w:rsid w:val="005001EA"/>
    <w:rsid w:val="005003E6"/>
    <w:rsid w:val="005013AA"/>
    <w:rsid w:val="00506C0B"/>
    <w:rsid w:val="00515AEA"/>
    <w:rsid w:val="00515D9B"/>
    <w:rsid w:val="00523AA5"/>
    <w:rsid w:val="00527D2F"/>
    <w:rsid w:val="00530A67"/>
    <w:rsid w:val="00530FB3"/>
    <w:rsid w:val="0053152C"/>
    <w:rsid w:val="00531A5D"/>
    <w:rsid w:val="005328B6"/>
    <w:rsid w:val="005349CD"/>
    <w:rsid w:val="00534EEC"/>
    <w:rsid w:val="00535AC4"/>
    <w:rsid w:val="00536925"/>
    <w:rsid w:val="005378AA"/>
    <w:rsid w:val="00537E96"/>
    <w:rsid w:val="005420BB"/>
    <w:rsid w:val="00543CF5"/>
    <w:rsid w:val="005470AE"/>
    <w:rsid w:val="00547277"/>
    <w:rsid w:val="0054783E"/>
    <w:rsid w:val="00551618"/>
    <w:rsid w:val="005519DD"/>
    <w:rsid w:val="0055217D"/>
    <w:rsid w:val="00553BB9"/>
    <w:rsid w:val="0055514E"/>
    <w:rsid w:val="00560D29"/>
    <w:rsid w:val="00560D45"/>
    <w:rsid w:val="00561A18"/>
    <w:rsid w:val="005628F4"/>
    <w:rsid w:val="00563532"/>
    <w:rsid w:val="0056548F"/>
    <w:rsid w:val="005705B3"/>
    <w:rsid w:val="00570988"/>
    <w:rsid w:val="00570A8B"/>
    <w:rsid w:val="00571A59"/>
    <w:rsid w:val="0057308D"/>
    <w:rsid w:val="00573B9C"/>
    <w:rsid w:val="00574AC1"/>
    <w:rsid w:val="0057527E"/>
    <w:rsid w:val="00575DC8"/>
    <w:rsid w:val="00575EB0"/>
    <w:rsid w:val="005774D0"/>
    <w:rsid w:val="00583687"/>
    <w:rsid w:val="00583E5C"/>
    <w:rsid w:val="00585DFB"/>
    <w:rsid w:val="00591131"/>
    <w:rsid w:val="0059251B"/>
    <w:rsid w:val="00593812"/>
    <w:rsid w:val="0059468A"/>
    <w:rsid w:val="005A0F50"/>
    <w:rsid w:val="005A307E"/>
    <w:rsid w:val="005A3CE2"/>
    <w:rsid w:val="005B0865"/>
    <w:rsid w:val="005B0930"/>
    <w:rsid w:val="005B32CF"/>
    <w:rsid w:val="005B3E05"/>
    <w:rsid w:val="005B44E9"/>
    <w:rsid w:val="005C04AF"/>
    <w:rsid w:val="005C0C0F"/>
    <w:rsid w:val="005C2AF5"/>
    <w:rsid w:val="005C4018"/>
    <w:rsid w:val="005C520D"/>
    <w:rsid w:val="005C5812"/>
    <w:rsid w:val="005C59D0"/>
    <w:rsid w:val="005C6836"/>
    <w:rsid w:val="005C6C5B"/>
    <w:rsid w:val="005C74DF"/>
    <w:rsid w:val="005D0603"/>
    <w:rsid w:val="005D0EDB"/>
    <w:rsid w:val="005D1722"/>
    <w:rsid w:val="005D558A"/>
    <w:rsid w:val="005D6487"/>
    <w:rsid w:val="005D69DF"/>
    <w:rsid w:val="005D6A3A"/>
    <w:rsid w:val="005E0597"/>
    <w:rsid w:val="005E091E"/>
    <w:rsid w:val="005E09DE"/>
    <w:rsid w:val="005E09FD"/>
    <w:rsid w:val="005E265A"/>
    <w:rsid w:val="005E2C45"/>
    <w:rsid w:val="005E4AB7"/>
    <w:rsid w:val="005E56F6"/>
    <w:rsid w:val="005E66C4"/>
    <w:rsid w:val="005F041B"/>
    <w:rsid w:val="005F09ED"/>
    <w:rsid w:val="005F11E3"/>
    <w:rsid w:val="005F2B96"/>
    <w:rsid w:val="005F2FF9"/>
    <w:rsid w:val="005F5E5E"/>
    <w:rsid w:val="005F685B"/>
    <w:rsid w:val="006004A3"/>
    <w:rsid w:val="00601416"/>
    <w:rsid w:val="00604C27"/>
    <w:rsid w:val="00604C9C"/>
    <w:rsid w:val="00604F0F"/>
    <w:rsid w:val="00605C74"/>
    <w:rsid w:val="00606D50"/>
    <w:rsid w:val="006079CC"/>
    <w:rsid w:val="0061042F"/>
    <w:rsid w:val="006111B5"/>
    <w:rsid w:val="00612A1F"/>
    <w:rsid w:val="00612C42"/>
    <w:rsid w:val="0061306C"/>
    <w:rsid w:val="00614F93"/>
    <w:rsid w:val="00616EE1"/>
    <w:rsid w:val="0062079E"/>
    <w:rsid w:val="0062286A"/>
    <w:rsid w:val="00623A2F"/>
    <w:rsid w:val="00624B07"/>
    <w:rsid w:val="00624E03"/>
    <w:rsid w:val="006270CA"/>
    <w:rsid w:val="00630667"/>
    <w:rsid w:val="00632826"/>
    <w:rsid w:val="00633A46"/>
    <w:rsid w:val="006346A5"/>
    <w:rsid w:val="00640082"/>
    <w:rsid w:val="00641C93"/>
    <w:rsid w:val="0064297A"/>
    <w:rsid w:val="006449B4"/>
    <w:rsid w:val="00645F2C"/>
    <w:rsid w:val="00647CDE"/>
    <w:rsid w:val="006502CE"/>
    <w:rsid w:val="00650CEC"/>
    <w:rsid w:val="0065171B"/>
    <w:rsid w:val="006519E9"/>
    <w:rsid w:val="00651C9B"/>
    <w:rsid w:val="00654C5B"/>
    <w:rsid w:val="00656680"/>
    <w:rsid w:val="0065743D"/>
    <w:rsid w:val="0066047D"/>
    <w:rsid w:val="006605DB"/>
    <w:rsid w:val="006609E4"/>
    <w:rsid w:val="00662E3C"/>
    <w:rsid w:val="0066695C"/>
    <w:rsid w:val="00666D85"/>
    <w:rsid w:val="00667E09"/>
    <w:rsid w:val="00671E97"/>
    <w:rsid w:val="0067257A"/>
    <w:rsid w:val="00673C6B"/>
    <w:rsid w:val="0067428B"/>
    <w:rsid w:val="0067614B"/>
    <w:rsid w:val="0068083C"/>
    <w:rsid w:val="00681C89"/>
    <w:rsid w:val="00682650"/>
    <w:rsid w:val="00684A40"/>
    <w:rsid w:val="0068511A"/>
    <w:rsid w:val="006851D6"/>
    <w:rsid w:val="00687D73"/>
    <w:rsid w:val="00687F53"/>
    <w:rsid w:val="006906FF"/>
    <w:rsid w:val="00692541"/>
    <w:rsid w:val="0069369B"/>
    <w:rsid w:val="00694184"/>
    <w:rsid w:val="00694902"/>
    <w:rsid w:val="0069583F"/>
    <w:rsid w:val="00696503"/>
    <w:rsid w:val="00696F6A"/>
    <w:rsid w:val="006A05FB"/>
    <w:rsid w:val="006A122D"/>
    <w:rsid w:val="006A3F90"/>
    <w:rsid w:val="006A4F46"/>
    <w:rsid w:val="006B196C"/>
    <w:rsid w:val="006B29BD"/>
    <w:rsid w:val="006B638B"/>
    <w:rsid w:val="006B6A90"/>
    <w:rsid w:val="006B7B1D"/>
    <w:rsid w:val="006C02DC"/>
    <w:rsid w:val="006C10F3"/>
    <w:rsid w:val="006C2B01"/>
    <w:rsid w:val="006C3883"/>
    <w:rsid w:val="006C4806"/>
    <w:rsid w:val="006C5AD7"/>
    <w:rsid w:val="006C6DB8"/>
    <w:rsid w:val="006C7C42"/>
    <w:rsid w:val="006E0352"/>
    <w:rsid w:val="006E139B"/>
    <w:rsid w:val="006E1E54"/>
    <w:rsid w:val="006E2CF4"/>
    <w:rsid w:val="006E47B0"/>
    <w:rsid w:val="006E4A34"/>
    <w:rsid w:val="006E4C62"/>
    <w:rsid w:val="006E58D8"/>
    <w:rsid w:val="006E68B8"/>
    <w:rsid w:val="006E73A5"/>
    <w:rsid w:val="006F3DA5"/>
    <w:rsid w:val="006F41FC"/>
    <w:rsid w:val="006F43E0"/>
    <w:rsid w:val="006F5477"/>
    <w:rsid w:val="006F6B56"/>
    <w:rsid w:val="006F7FB3"/>
    <w:rsid w:val="00706421"/>
    <w:rsid w:val="00706A44"/>
    <w:rsid w:val="00707D6D"/>
    <w:rsid w:val="00707F18"/>
    <w:rsid w:val="00710C18"/>
    <w:rsid w:val="00712437"/>
    <w:rsid w:val="00712666"/>
    <w:rsid w:val="00714C2F"/>
    <w:rsid w:val="00715011"/>
    <w:rsid w:val="007153DD"/>
    <w:rsid w:val="007161BA"/>
    <w:rsid w:val="00717EF2"/>
    <w:rsid w:val="00722D05"/>
    <w:rsid w:val="00722FAC"/>
    <w:rsid w:val="007234C7"/>
    <w:rsid w:val="00723DFD"/>
    <w:rsid w:val="007312C2"/>
    <w:rsid w:val="00732EE2"/>
    <w:rsid w:val="007350D9"/>
    <w:rsid w:val="007364DC"/>
    <w:rsid w:val="00736573"/>
    <w:rsid w:val="00736A51"/>
    <w:rsid w:val="007400D7"/>
    <w:rsid w:val="00740175"/>
    <w:rsid w:val="00740812"/>
    <w:rsid w:val="00741783"/>
    <w:rsid w:val="00741892"/>
    <w:rsid w:val="0074349B"/>
    <w:rsid w:val="00744AF9"/>
    <w:rsid w:val="0074729E"/>
    <w:rsid w:val="00747E54"/>
    <w:rsid w:val="0075027C"/>
    <w:rsid w:val="00750D60"/>
    <w:rsid w:val="00751644"/>
    <w:rsid w:val="00753ABC"/>
    <w:rsid w:val="00755290"/>
    <w:rsid w:val="007557E8"/>
    <w:rsid w:val="007601B4"/>
    <w:rsid w:val="00763CF2"/>
    <w:rsid w:val="00764468"/>
    <w:rsid w:val="00764C13"/>
    <w:rsid w:val="00765A15"/>
    <w:rsid w:val="00766BB9"/>
    <w:rsid w:val="00770067"/>
    <w:rsid w:val="00771F40"/>
    <w:rsid w:val="00772096"/>
    <w:rsid w:val="00773E76"/>
    <w:rsid w:val="0077635B"/>
    <w:rsid w:val="0078122B"/>
    <w:rsid w:val="007824D4"/>
    <w:rsid w:val="00784893"/>
    <w:rsid w:val="0078513E"/>
    <w:rsid w:val="0078717C"/>
    <w:rsid w:val="00787BF2"/>
    <w:rsid w:val="00787D5A"/>
    <w:rsid w:val="00787FE5"/>
    <w:rsid w:val="0079064C"/>
    <w:rsid w:val="007925DA"/>
    <w:rsid w:val="0079341F"/>
    <w:rsid w:val="0079711C"/>
    <w:rsid w:val="007973B5"/>
    <w:rsid w:val="007A0A41"/>
    <w:rsid w:val="007A7CCC"/>
    <w:rsid w:val="007B14F8"/>
    <w:rsid w:val="007B1759"/>
    <w:rsid w:val="007B1C23"/>
    <w:rsid w:val="007B1C55"/>
    <w:rsid w:val="007B4480"/>
    <w:rsid w:val="007B4B61"/>
    <w:rsid w:val="007B77F4"/>
    <w:rsid w:val="007B786A"/>
    <w:rsid w:val="007C1180"/>
    <w:rsid w:val="007C1855"/>
    <w:rsid w:val="007C1E69"/>
    <w:rsid w:val="007C3D97"/>
    <w:rsid w:val="007C44FD"/>
    <w:rsid w:val="007C5E22"/>
    <w:rsid w:val="007C6232"/>
    <w:rsid w:val="007C713A"/>
    <w:rsid w:val="007D0D71"/>
    <w:rsid w:val="007D1973"/>
    <w:rsid w:val="007D3792"/>
    <w:rsid w:val="007D3F65"/>
    <w:rsid w:val="007D4384"/>
    <w:rsid w:val="007D55B1"/>
    <w:rsid w:val="007E1048"/>
    <w:rsid w:val="007E1A29"/>
    <w:rsid w:val="007E3A89"/>
    <w:rsid w:val="007E4C7B"/>
    <w:rsid w:val="007E6CB8"/>
    <w:rsid w:val="007E7048"/>
    <w:rsid w:val="007F16FC"/>
    <w:rsid w:val="007F199B"/>
    <w:rsid w:val="007F19C9"/>
    <w:rsid w:val="007F1BA9"/>
    <w:rsid w:val="007F4567"/>
    <w:rsid w:val="007F6C82"/>
    <w:rsid w:val="00804708"/>
    <w:rsid w:val="0080534F"/>
    <w:rsid w:val="008058D9"/>
    <w:rsid w:val="00806549"/>
    <w:rsid w:val="0080687E"/>
    <w:rsid w:val="0080698B"/>
    <w:rsid w:val="00811AAA"/>
    <w:rsid w:val="00811F08"/>
    <w:rsid w:val="00812EEA"/>
    <w:rsid w:val="0081355D"/>
    <w:rsid w:val="0081589E"/>
    <w:rsid w:val="00815BB2"/>
    <w:rsid w:val="00815C4B"/>
    <w:rsid w:val="00815C4D"/>
    <w:rsid w:val="00816990"/>
    <w:rsid w:val="00817724"/>
    <w:rsid w:val="00817E6F"/>
    <w:rsid w:val="0082121C"/>
    <w:rsid w:val="00821D88"/>
    <w:rsid w:val="0082251C"/>
    <w:rsid w:val="00823731"/>
    <w:rsid w:val="00824778"/>
    <w:rsid w:val="008253F0"/>
    <w:rsid w:val="0082542D"/>
    <w:rsid w:val="00825656"/>
    <w:rsid w:val="00825CBB"/>
    <w:rsid w:val="00830947"/>
    <w:rsid w:val="00832791"/>
    <w:rsid w:val="0083362C"/>
    <w:rsid w:val="0083423D"/>
    <w:rsid w:val="0083499D"/>
    <w:rsid w:val="00836856"/>
    <w:rsid w:val="0083754E"/>
    <w:rsid w:val="00845B12"/>
    <w:rsid w:val="008460A2"/>
    <w:rsid w:val="008463E1"/>
    <w:rsid w:val="008465DD"/>
    <w:rsid w:val="00855637"/>
    <w:rsid w:val="00856155"/>
    <w:rsid w:val="008626A4"/>
    <w:rsid w:val="00862FA2"/>
    <w:rsid w:val="00863BB3"/>
    <w:rsid w:val="00863C85"/>
    <w:rsid w:val="00864B95"/>
    <w:rsid w:val="00865F06"/>
    <w:rsid w:val="00871459"/>
    <w:rsid w:val="008720F8"/>
    <w:rsid w:val="008750C6"/>
    <w:rsid w:val="0087619A"/>
    <w:rsid w:val="0088031A"/>
    <w:rsid w:val="00880461"/>
    <w:rsid w:val="0088353B"/>
    <w:rsid w:val="0088446A"/>
    <w:rsid w:val="008852E6"/>
    <w:rsid w:val="008861EA"/>
    <w:rsid w:val="0088706C"/>
    <w:rsid w:val="008903D1"/>
    <w:rsid w:val="00890478"/>
    <w:rsid w:val="008925ED"/>
    <w:rsid w:val="00892888"/>
    <w:rsid w:val="0089294F"/>
    <w:rsid w:val="0089381D"/>
    <w:rsid w:val="00893C60"/>
    <w:rsid w:val="00893D3A"/>
    <w:rsid w:val="008941C8"/>
    <w:rsid w:val="00894B31"/>
    <w:rsid w:val="00894CAC"/>
    <w:rsid w:val="008A2193"/>
    <w:rsid w:val="008A28FC"/>
    <w:rsid w:val="008A59B5"/>
    <w:rsid w:val="008A6F0C"/>
    <w:rsid w:val="008A7A45"/>
    <w:rsid w:val="008A7C36"/>
    <w:rsid w:val="008B12EE"/>
    <w:rsid w:val="008B1554"/>
    <w:rsid w:val="008B2B80"/>
    <w:rsid w:val="008B3411"/>
    <w:rsid w:val="008B3541"/>
    <w:rsid w:val="008B3E20"/>
    <w:rsid w:val="008B47EC"/>
    <w:rsid w:val="008B4A04"/>
    <w:rsid w:val="008B799A"/>
    <w:rsid w:val="008C0518"/>
    <w:rsid w:val="008C1D0D"/>
    <w:rsid w:val="008C2129"/>
    <w:rsid w:val="008C51F7"/>
    <w:rsid w:val="008C72F0"/>
    <w:rsid w:val="008D15D2"/>
    <w:rsid w:val="008D3A5D"/>
    <w:rsid w:val="008D3C9D"/>
    <w:rsid w:val="008D542D"/>
    <w:rsid w:val="008D5DDA"/>
    <w:rsid w:val="008D5EBA"/>
    <w:rsid w:val="008E00D9"/>
    <w:rsid w:val="008E2222"/>
    <w:rsid w:val="008E23A0"/>
    <w:rsid w:val="008E2AB1"/>
    <w:rsid w:val="008E7E72"/>
    <w:rsid w:val="008F0002"/>
    <w:rsid w:val="008F1E08"/>
    <w:rsid w:val="008F40CF"/>
    <w:rsid w:val="008F44D8"/>
    <w:rsid w:val="008F7356"/>
    <w:rsid w:val="008F7BD6"/>
    <w:rsid w:val="008F7F69"/>
    <w:rsid w:val="00900D67"/>
    <w:rsid w:val="00902E05"/>
    <w:rsid w:val="00904273"/>
    <w:rsid w:val="00904287"/>
    <w:rsid w:val="00905785"/>
    <w:rsid w:val="009057F9"/>
    <w:rsid w:val="009058FF"/>
    <w:rsid w:val="00911189"/>
    <w:rsid w:val="009132A8"/>
    <w:rsid w:val="00913D87"/>
    <w:rsid w:val="00914D56"/>
    <w:rsid w:val="0091517C"/>
    <w:rsid w:val="0091718A"/>
    <w:rsid w:val="00920327"/>
    <w:rsid w:val="00921658"/>
    <w:rsid w:val="0092228C"/>
    <w:rsid w:val="00925394"/>
    <w:rsid w:val="00926FF5"/>
    <w:rsid w:val="009270F1"/>
    <w:rsid w:val="00927C78"/>
    <w:rsid w:val="00930920"/>
    <w:rsid w:val="00930C5D"/>
    <w:rsid w:val="00930D4A"/>
    <w:rsid w:val="00932136"/>
    <w:rsid w:val="00933F65"/>
    <w:rsid w:val="00935235"/>
    <w:rsid w:val="009356E9"/>
    <w:rsid w:val="009357BE"/>
    <w:rsid w:val="00935EF6"/>
    <w:rsid w:val="009406EB"/>
    <w:rsid w:val="00944554"/>
    <w:rsid w:val="0094487E"/>
    <w:rsid w:val="00945A6D"/>
    <w:rsid w:val="0094701E"/>
    <w:rsid w:val="00947F72"/>
    <w:rsid w:val="009568C1"/>
    <w:rsid w:val="00956B1A"/>
    <w:rsid w:val="00957910"/>
    <w:rsid w:val="00961AF1"/>
    <w:rsid w:val="009642B1"/>
    <w:rsid w:val="00965421"/>
    <w:rsid w:val="009655C5"/>
    <w:rsid w:val="00966FEE"/>
    <w:rsid w:val="00967800"/>
    <w:rsid w:val="00967A88"/>
    <w:rsid w:val="00971AF6"/>
    <w:rsid w:val="0097325B"/>
    <w:rsid w:val="00973999"/>
    <w:rsid w:val="00973B63"/>
    <w:rsid w:val="0097445A"/>
    <w:rsid w:val="00975EAE"/>
    <w:rsid w:val="00976765"/>
    <w:rsid w:val="0097774D"/>
    <w:rsid w:val="00980CF9"/>
    <w:rsid w:val="00981B9F"/>
    <w:rsid w:val="00982158"/>
    <w:rsid w:val="0098240F"/>
    <w:rsid w:val="00982950"/>
    <w:rsid w:val="00983754"/>
    <w:rsid w:val="00984392"/>
    <w:rsid w:val="00984A93"/>
    <w:rsid w:val="009874F9"/>
    <w:rsid w:val="00993427"/>
    <w:rsid w:val="00993A9F"/>
    <w:rsid w:val="009964DE"/>
    <w:rsid w:val="009A09F0"/>
    <w:rsid w:val="009A221E"/>
    <w:rsid w:val="009A2EA6"/>
    <w:rsid w:val="009A3B43"/>
    <w:rsid w:val="009A5256"/>
    <w:rsid w:val="009B0772"/>
    <w:rsid w:val="009B1479"/>
    <w:rsid w:val="009B2BE0"/>
    <w:rsid w:val="009B348D"/>
    <w:rsid w:val="009B6194"/>
    <w:rsid w:val="009B7D57"/>
    <w:rsid w:val="009C005C"/>
    <w:rsid w:val="009C14BA"/>
    <w:rsid w:val="009C3CFB"/>
    <w:rsid w:val="009C3F5D"/>
    <w:rsid w:val="009C400A"/>
    <w:rsid w:val="009C58D2"/>
    <w:rsid w:val="009C6DC9"/>
    <w:rsid w:val="009C6E3D"/>
    <w:rsid w:val="009C6E7E"/>
    <w:rsid w:val="009C7133"/>
    <w:rsid w:val="009D0923"/>
    <w:rsid w:val="009D0973"/>
    <w:rsid w:val="009D135B"/>
    <w:rsid w:val="009D27E7"/>
    <w:rsid w:val="009D3194"/>
    <w:rsid w:val="009D50AB"/>
    <w:rsid w:val="009D523D"/>
    <w:rsid w:val="009D7C28"/>
    <w:rsid w:val="009E12A6"/>
    <w:rsid w:val="009E1AC6"/>
    <w:rsid w:val="009E1B28"/>
    <w:rsid w:val="009E3ABB"/>
    <w:rsid w:val="009F1BD3"/>
    <w:rsid w:val="009F25E3"/>
    <w:rsid w:val="009F5DF0"/>
    <w:rsid w:val="009F60AE"/>
    <w:rsid w:val="009F753B"/>
    <w:rsid w:val="00A00A43"/>
    <w:rsid w:val="00A00E38"/>
    <w:rsid w:val="00A01DF3"/>
    <w:rsid w:val="00A030A9"/>
    <w:rsid w:val="00A039D7"/>
    <w:rsid w:val="00A0458A"/>
    <w:rsid w:val="00A0777F"/>
    <w:rsid w:val="00A07EAC"/>
    <w:rsid w:val="00A1166C"/>
    <w:rsid w:val="00A116CC"/>
    <w:rsid w:val="00A119D1"/>
    <w:rsid w:val="00A11B8E"/>
    <w:rsid w:val="00A12079"/>
    <w:rsid w:val="00A12789"/>
    <w:rsid w:val="00A12E90"/>
    <w:rsid w:val="00A13D2D"/>
    <w:rsid w:val="00A155DA"/>
    <w:rsid w:val="00A17697"/>
    <w:rsid w:val="00A22F67"/>
    <w:rsid w:val="00A23C13"/>
    <w:rsid w:val="00A23C27"/>
    <w:rsid w:val="00A24E74"/>
    <w:rsid w:val="00A269A3"/>
    <w:rsid w:val="00A27801"/>
    <w:rsid w:val="00A30097"/>
    <w:rsid w:val="00A31EA5"/>
    <w:rsid w:val="00A33DF5"/>
    <w:rsid w:val="00A3584E"/>
    <w:rsid w:val="00A36979"/>
    <w:rsid w:val="00A374D4"/>
    <w:rsid w:val="00A37688"/>
    <w:rsid w:val="00A4075D"/>
    <w:rsid w:val="00A40A8C"/>
    <w:rsid w:val="00A40EBC"/>
    <w:rsid w:val="00A413CB"/>
    <w:rsid w:val="00A41E79"/>
    <w:rsid w:val="00A449BD"/>
    <w:rsid w:val="00A51B35"/>
    <w:rsid w:val="00A57D0A"/>
    <w:rsid w:val="00A60D1D"/>
    <w:rsid w:val="00A61979"/>
    <w:rsid w:val="00A649F3"/>
    <w:rsid w:val="00A66B3C"/>
    <w:rsid w:val="00A67934"/>
    <w:rsid w:val="00A679B0"/>
    <w:rsid w:val="00A70020"/>
    <w:rsid w:val="00A703A7"/>
    <w:rsid w:val="00A706B1"/>
    <w:rsid w:val="00A7081E"/>
    <w:rsid w:val="00A7574A"/>
    <w:rsid w:val="00A766AF"/>
    <w:rsid w:val="00A85037"/>
    <w:rsid w:val="00A93EAC"/>
    <w:rsid w:val="00A951ED"/>
    <w:rsid w:val="00A97CE8"/>
    <w:rsid w:val="00A97E1C"/>
    <w:rsid w:val="00AA0113"/>
    <w:rsid w:val="00AA1C77"/>
    <w:rsid w:val="00AA3938"/>
    <w:rsid w:val="00AA3B7B"/>
    <w:rsid w:val="00AA51AA"/>
    <w:rsid w:val="00AA60BC"/>
    <w:rsid w:val="00AA69F4"/>
    <w:rsid w:val="00AA7258"/>
    <w:rsid w:val="00AB0613"/>
    <w:rsid w:val="00AB1F6D"/>
    <w:rsid w:val="00AB6179"/>
    <w:rsid w:val="00AB6D2A"/>
    <w:rsid w:val="00AC098A"/>
    <w:rsid w:val="00AC4F62"/>
    <w:rsid w:val="00AC51D4"/>
    <w:rsid w:val="00AD24CC"/>
    <w:rsid w:val="00AD2B8B"/>
    <w:rsid w:val="00AD5184"/>
    <w:rsid w:val="00AD6A4F"/>
    <w:rsid w:val="00AD7892"/>
    <w:rsid w:val="00AE0119"/>
    <w:rsid w:val="00AE04AF"/>
    <w:rsid w:val="00AE1715"/>
    <w:rsid w:val="00AE1CB8"/>
    <w:rsid w:val="00AE4184"/>
    <w:rsid w:val="00AE5AD4"/>
    <w:rsid w:val="00AE6BC5"/>
    <w:rsid w:val="00AE6CF5"/>
    <w:rsid w:val="00AE715B"/>
    <w:rsid w:val="00AE798D"/>
    <w:rsid w:val="00AE7F8C"/>
    <w:rsid w:val="00AF02D8"/>
    <w:rsid w:val="00AF25FA"/>
    <w:rsid w:val="00AF2E10"/>
    <w:rsid w:val="00AF4D62"/>
    <w:rsid w:val="00AF5026"/>
    <w:rsid w:val="00AF6C8C"/>
    <w:rsid w:val="00AF7284"/>
    <w:rsid w:val="00AF7FDB"/>
    <w:rsid w:val="00B0006C"/>
    <w:rsid w:val="00B008C1"/>
    <w:rsid w:val="00B021A3"/>
    <w:rsid w:val="00B02B03"/>
    <w:rsid w:val="00B03F02"/>
    <w:rsid w:val="00B056A9"/>
    <w:rsid w:val="00B061C0"/>
    <w:rsid w:val="00B06EAB"/>
    <w:rsid w:val="00B112C5"/>
    <w:rsid w:val="00B118BB"/>
    <w:rsid w:val="00B1508E"/>
    <w:rsid w:val="00B1799C"/>
    <w:rsid w:val="00B21BA9"/>
    <w:rsid w:val="00B26639"/>
    <w:rsid w:val="00B270E7"/>
    <w:rsid w:val="00B303AB"/>
    <w:rsid w:val="00B307E1"/>
    <w:rsid w:val="00B31C60"/>
    <w:rsid w:val="00B347B0"/>
    <w:rsid w:val="00B34B80"/>
    <w:rsid w:val="00B352B3"/>
    <w:rsid w:val="00B412F4"/>
    <w:rsid w:val="00B424E9"/>
    <w:rsid w:val="00B42505"/>
    <w:rsid w:val="00B43402"/>
    <w:rsid w:val="00B43D90"/>
    <w:rsid w:val="00B444E6"/>
    <w:rsid w:val="00B451FD"/>
    <w:rsid w:val="00B452EE"/>
    <w:rsid w:val="00B46A92"/>
    <w:rsid w:val="00B55810"/>
    <w:rsid w:val="00B55BC5"/>
    <w:rsid w:val="00B56067"/>
    <w:rsid w:val="00B56AF4"/>
    <w:rsid w:val="00B56BC2"/>
    <w:rsid w:val="00B60391"/>
    <w:rsid w:val="00B60665"/>
    <w:rsid w:val="00B60ECC"/>
    <w:rsid w:val="00B618FD"/>
    <w:rsid w:val="00B664F0"/>
    <w:rsid w:val="00B67B5C"/>
    <w:rsid w:val="00B7048F"/>
    <w:rsid w:val="00B717AA"/>
    <w:rsid w:val="00B72A80"/>
    <w:rsid w:val="00B72C63"/>
    <w:rsid w:val="00B72F7C"/>
    <w:rsid w:val="00B73596"/>
    <w:rsid w:val="00B73923"/>
    <w:rsid w:val="00B74355"/>
    <w:rsid w:val="00B76355"/>
    <w:rsid w:val="00B76457"/>
    <w:rsid w:val="00B77C41"/>
    <w:rsid w:val="00B81267"/>
    <w:rsid w:val="00B819F3"/>
    <w:rsid w:val="00B82EDD"/>
    <w:rsid w:val="00B83F9F"/>
    <w:rsid w:val="00B84949"/>
    <w:rsid w:val="00B84E5C"/>
    <w:rsid w:val="00B858F9"/>
    <w:rsid w:val="00B86E4B"/>
    <w:rsid w:val="00B87749"/>
    <w:rsid w:val="00B90E6E"/>
    <w:rsid w:val="00B91C6C"/>
    <w:rsid w:val="00B92436"/>
    <w:rsid w:val="00B92812"/>
    <w:rsid w:val="00B92AB0"/>
    <w:rsid w:val="00B92FBA"/>
    <w:rsid w:val="00B93608"/>
    <w:rsid w:val="00B94A7E"/>
    <w:rsid w:val="00B966FE"/>
    <w:rsid w:val="00BA0185"/>
    <w:rsid w:val="00BA023E"/>
    <w:rsid w:val="00BA02D8"/>
    <w:rsid w:val="00BA301A"/>
    <w:rsid w:val="00BA5CF3"/>
    <w:rsid w:val="00BB1A8A"/>
    <w:rsid w:val="00BB1FAB"/>
    <w:rsid w:val="00BB3C25"/>
    <w:rsid w:val="00BB3DC4"/>
    <w:rsid w:val="00BB4E11"/>
    <w:rsid w:val="00BB4E2F"/>
    <w:rsid w:val="00BB5EC0"/>
    <w:rsid w:val="00BC399E"/>
    <w:rsid w:val="00BC6828"/>
    <w:rsid w:val="00BC6A57"/>
    <w:rsid w:val="00BD0113"/>
    <w:rsid w:val="00BD0684"/>
    <w:rsid w:val="00BD0B38"/>
    <w:rsid w:val="00BD1018"/>
    <w:rsid w:val="00BD1110"/>
    <w:rsid w:val="00BD1310"/>
    <w:rsid w:val="00BD1973"/>
    <w:rsid w:val="00BD52D5"/>
    <w:rsid w:val="00BD6463"/>
    <w:rsid w:val="00BD6A05"/>
    <w:rsid w:val="00BD7794"/>
    <w:rsid w:val="00BE0DEB"/>
    <w:rsid w:val="00BE20B2"/>
    <w:rsid w:val="00BE6CC9"/>
    <w:rsid w:val="00BE7A59"/>
    <w:rsid w:val="00BF08AC"/>
    <w:rsid w:val="00BF2464"/>
    <w:rsid w:val="00BF30F5"/>
    <w:rsid w:val="00BF560C"/>
    <w:rsid w:val="00BF743A"/>
    <w:rsid w:val="00BF7828"/>
    <w:rsid w:val="00C008D1"/>
    <w:rsid w:val="00C01DD4"/>
    <w:rsid w:val="00C024DF"/>
    <w:rsid w:val="00C0264A"/>
    <w:rsid w:val="00C03C1D"/>
    <w:rsid w:val="00C04C2D"/>
    <w:rsid w:val="00C06094"/>
    <w:rsid w:val="00C07194"/>
    <w:rsid w:val="00C1091B"/>
    <w:rsid w:val="00C11D25"/>
    <w:rsid w:val="00C144E3"/>
    <w:rsid w:val="00C176CD"/>
    <w:rsid w:val="00C17D84"/>
    <w:rsid w:val="00C206D6"/>
    <w:rsid w:val="00C21D35"/>
    <w:rsid w:val="00C21E82"/>
    <w:rsid w:val="00C22333"/>
    <w:rsid w:val="00C23862"/>
    <w:rsid w:val="00C275AC"/>
    <w:rsid w:val="00C30355"/>
    <w:rsid w:val="00C30C3D"/>
    <w:rsid w:val="00C30D6D"/>
    <w:rsid w:val="00C33580"/>
    <w:rsid w:val="00C33A05"/>
    <w:rsid w:val="00C3456A"/>
    <w:rsid w:val="00C37A0D"/>
    <w:rsid w:val="00C41CF5"/>
    <w:rsid w:val="00C43F4E"/>
    <w:rsid w:val="00C455C6"/>
    <w:rsid w:val="00C473B5"/>
    <w:rsid w:val="00C4747F"/>
    <w:rsid w:val="00C50814"/>
    <w:rsid w:val="00C52278"/>
    <w:rsid w:val="00C524E5"/>
    <w:rsid w:val="00C52BF1"/>
    <w:rsid w:val="00C53FDA"/>
    <w:rsid w:val="00C54845"/>
    <w:rsid w:val="00C55369"/>
    <w:rsid w:val="00C55372"/>
    <w:rsid w:val="00C571C5"/>
    <w:rsid w:val="00C60985"/>
    <w:rsid w:val="00C61375"/>
    <w:rsid w:val="00C625A0"/>
    <w:rsid w:val="00C65AB5"/>
    <w:rsid w:val="00C65C6A"/>
    <w:rsid w:val="00C66D45"/>
    <w:rsid w:val="00C70883"/>
    <w:rsid w:val="00C7207E"/>
    <w:rsid w:val="00C73864"/>
    <w:rsid w:val="00C75872"/>
    <w:rsid w:val="00C75C78"/>
    <w:rsid w:val="00C76E56"/>
    <w:rsid w:val="00C77034"/>
    <w:rsid w:val="00C80354"/>
    <w:rsid w:val="00C803CF"/>
    <w:rsid w:val="00C8253E"/>
    <w:rsid w:val="00C82EAB"/>
    <w:rsid w:val="00C8507E"/>
    <w:rsid w:val="00C85907"/>
    <w:rsid w:val="00C85CC6"/>
    <w:rsid w:val="00C909F4"/>
    <w:rsid w:val="00C917B0"/>
    <w:rsid w:val="00C92EA1"/>
    <w:rsid w:val="00C9326B"/>
    <w:rsid w:val="00C93E16"/>
    <w:rsid w:val="00C94089"/>
    <w:rsid w:val="00C947C0"/>
    <w:rsid w:val="00C9511F"/>
    <w:rsid w:val="00CA0B53"/>
    <w:rsid w:val="00CA1BB6"/>
    <w:rsid w:val="00CA2019"/>
    <w:rsid w:val="00CA26ED"/>
    <w:rsid w:val="00CA27FA"/>
    <w:rsid w:val="00CA2FF1"/>
    <w:rsid w:val="00CA45DA"/>
    <w:rsid w:val="00CA4A38"/>
    <w:rsid w:val="00CA58D1"/>
    <w:rsid w:val="00CA7BC4"/>
    <w:rsid w:val="00CB158E"/>
    <w:rsid w:val="00CB2BA3"/>
    <w:rsid w:val="00CB310E"/>
    <w:rsid w:val="00CB3309"/>
    <w:rsid w:val="00CC07AD"/>
    <w:rsid w:val="00CC134D"/>
    <w:rsid w:val="00CC140B"/>
    <w:rsid w:val="00CC1723"/>
    <w:rsid w:val="00CC1DE3"/>
    <w:rsid w:val="00CC6A43"/>
    <w:rsid w:val="00CC7626"/>
    <w:rsid w:val="00CC7766"/>
    <w:rsid w:val="00CD3178"/>
    <w:rsid w:val="00CD35B3"/>
    <w:rsid w:val="00CD3740"/>
    <w:rsid w:val="00CD400F"/>
    <w:rsid w:val="00CD4509"/>
    <w:rsid w:val="00CD5B1D"/>
    <w:rsid w:val="00CD75FD"/>
    <w:rsid w:val="00CE0B8F"/>
    <w:rsid w:val="00CE17D1"/>
    <w:rsid w:val="00CE21CC"/>
    <w:rsid w:val="00CE2E53"/>
    <w:rsid w:val="00CE3E65"/>
    <w:rsid w:val="00CE4288"/>
    <w:rsid w:val="00CE7B46"/>
    <w:rsid w:val="00CF1052"/>
    <w:rsid w:val="00CF1767"/>
    <w:rsid w:val="00CF2474"/>
    <w:rsid w:val="00CF2AC8"/>
    <w:rsid w:val="00CF306B"/>
    <w:rsid w:val="00CF30EC"/>
    <w:rsid w:val="00CF55F3"/>
    <w:rsid w:val="00CF562D"/>
    <w:rsid w:val="00CF6DD4"/>
    <w:rsid w:val="00CF72EE"/>
    <w:rsid w:val="00CF794F"/>
    <w:rsid w:val="00D01B32"/>
    <w:rsid w:val="00D01D49"/>
    <w:rsid w:val="00D03293"/>
    <w:rsid w:val="00D03CFC"/>
    <w:rsid w:val="00D04383"/>
    <w:rsid w:val="00D04CCE"/>
    <w:rsid w:val="00D05FB5"/>
    <w:rsid w:val="00D068CA"/>
    <w:rsid w:val="00D073B7"/>
    <w:rsid w:val="00D074EA"/>
    <w:rsid w:val="00D07F34"/>
    <w:rsid w:val="00D10136"/>
    <w:rsid w:val="00D10B72"/>
    <w:rsid w:val="00D11581"/>
    <w:rsid w:val="00D12265"/>
    <w:rsid w:val="00D146B5"/>
    <w:rsid w:val="00D1492C"/>
    <w:rsid w:val="00D16425"/>
    <w:rsid w:val="00D16C2A"/>
    <w:rsid w:val="00D17B98"/>
    <w:rsid w:val="00D2001F"/>
    <w:rsid w:val="00D230B2"/>
    <w:rsid w:val="00D25B8E"/>
    <w:rsid w:val="00D31795"/>
    <w:rsid w:val="00D3322F"/>
    <w:rsid w:val="00D33510"/>
    <w:rsid w:val="00D36714"/>
    <w:rsid w:val="00D3779E"/>
    <w:rsid w:val="00D40DD7"/>
    <w:rsid w:val="00D4262D"/>
    <w:rsid w:val="00D42A45"/>
    <w:rsid w:val="00D4380E"/>
    <w:rsid w:val="00D43ACB"/>
    <w:rsid w:val="00D45258"/>
    <w:rsid w:val="00D470AE"/>
    <w:rsid w:val="00D47256"/>
    <w:rsid w:val="00D51D4A"/>
    <w:rsid w:val="00D52749"/>
    <w:rsid w:val="00D52983"/>
    <w:rsid w:val="00D529B0"/>
    <w:rsid w:val="00D53D34"/>
    <w:rsid w:val="00D54897"/>
    <w:rsid w:val="00D55172"/>
    <w:rsid w:val="00D56D74"/>
    <w:rsid w:val="00D5726A"/>
    <w:rsid w:val="00D6125E"/>
    <w:rsid w:val="00D63568"/>
    <w:rsid w:val="00D64850"/>
    <w:rsid w:val="00D64FCC"/>
    <w:rsid w:val="00D6684D"/>
    <w:rsid w:val="00D66C58"/>
    <w:rsid w:val="00D7202E"/>
    <w:rsid w:val="00D72D90"/>
    <w:rsid w:val="00D72F77"/>
    <w:rsid w:val="00D73586"/>
    <w:rsid w:val="00D74082"/>
    <w:rsid w:val="00D76011"/>
    <w:rsid w:val="00D77CBF"/>
    <w:rsid w:val="00D81225"/>
    <w:rsid w:val="00D83C21"/>
    <w:rsid w:val="00D843DE"/>
    <w:rsid w:val="00D8503A"/>
    <w:rsid w:val="00D853FA"/>
    <w:rsid w:val="00D8663D"/>
    <w:rsid w:val="00D86F16"/>
    <w:rsid w:val="00D875AF"/>
    <w:rsid w:val="00D91E94"/>
    <w:rsid w:val="00D9396D"/>
    <w:rsid w:val="00D93DDC"/>
    <w:rsid w:val="00D95D5D"/>
    <w:rsid w:val="00D96911"/>
    <w:rsid w:val="00D9697B"/>
    <w:rsid w:val="00D9767C"/>
    <w:rsid w:val="00DA0704"/>
    <w:rsid w:val="00DA248D"/>
    <w:rsid w:val="00DA2740"/>
    <w:rsid w:val="00DA6993"/>
    <w:rsid w:val="00DA6D01"/>
    <w:rsid w:val="00DA6F89"/>
    <w:rsid w:val="00DB24BD"/>
    <w:rsid w:val="00DB2A50"/>
    <w:rsid w:val="00DB2BF8"/>
    <w:rsid w:val="00DB5B0F"/>
    <w:rsid w:val="00DC27C8"/>
    <w:rsid w:val="00DC37D8"/>
    <w:rsid w:val="00DD03B1"/>
    <w:rsid w:val="00DD03FC"/>
    <w:rsid w:val="00DD425C"/>
    <w:rsid w:val="00DD49DD"/>
    <w:rsid w:val="00DD4E42"/>
    <w:rsid w:val="00DD5199"/>
    <w:rsid w:val="00DD5511"/>
    <w:rsid w:val="00DD6A9E"/>
    <w:rsid w:val="00DE1121"/>
    <w:rsid w:val="00DE2C44"/>
    <w:rsid w:val="00DE2CBB"/>
    <w:rsid w:val="00DE2F8E"/>
    <w:rsid w:val="00DE321F"/>
    <w:rsid w:val="00DE4B9F"/>
    <w:rsid w:val="00DF00AB"/>
    <w:rsid w:val="00DF1999"/>
    <w:rsid w:val="00DF1D57"/>
    <w:rsid w:val="00DF2A08"/>
    <w:rsid w:val="00DF34B7"/>
    <w:rsid w:val="00DF3823"/>
    <w:rsid w:val="00DF3C99"/>
    <w:rsid w:val="00DF690F"/>
    <w:rsid w:val="00DF7CAC"/>
    <w:rsid w:val="00E00711"/>
    <w:rsid w:val="00E01A2A"/>
    <w:rsid w:val="00E0284E"/>
    <w:rsid w:val="00E0341C"/>
    <w:rsid w:val="00E052CD"/>
    <w:rsid w:val="00E0689A"/>
    <w:rsid w:val="00E07C49"/>
    <w:rsid w:val="00E1001D"/>
    <w:rsid w:val="00E11A3F"/>
    <w:rsid w:val="00E11D65"/>
    <w:rsid w:val="00E14108"/>
    <w:rsid w:val="00E142AD"/>
    <w:rsid w:val="00E15BA7"/>
    <w:rsid w:val="00E20AF9"/>
    <w:rsid w:val="00E2137C"/>
    <w:rsid w:val="00E214BE"/>
    <w:rsid w:val="00E2164D"/>
    <w:rsid w:val="00E235AE"/>
    <w:rsid w:val="00E257A4"/>
    <w:rsid w:val="00E263F7"/>
    <w:rsid w:val="00E3053F"/>
    <w:rsid w:val="00E308E8"/>
    <w:rsid w:val="00E31070"/>
    <w:rsid w:val="00E31D13"/>
    <w:rsid w:val="00E34F5E"/>
    <w:rsid w:val="00E372FF"/>
    <w:rsid w:val="00E40909"/>
    <w:rsid w:val="00E40C75"/>
    <w:rsid w:val="00E40E08"/>
    <w:rsid w:val="00E41BC5"/>
    <w:rsid w:val="00E42DF9"/>
    <w:rsid w:val="00E42F78"/>
    <w:rsid w:val="00E439FA"/>
    <w:rsid w:val="00E442FB"/>
    <w:rsid w:val="00E46326"/>
    <w:rsid w:val="00E4754C"/>
    <w:rsid w:val="00E50196"/>
    <w:rsid w:val="00E502A0"/>
    <w:rsid w:val="00E50D4A"/>
    <w:rsid w:val="00E51C2E"/>
    <w:rsid w:val="00E526C0"/>
    <w:rsid w:val="00E55078"/>
    <w:rsid w:val="00E573AB"/>
    <w:rsid w:val="00E60602"/>
    <w:rsid w:val="00E62ACE"/>
    <w:rsid w:val="00E63E9F"/>
    <w:rsid w:val="00E65BDE"/>
    <w:rsid w:val="00E67246"/>
    <w:rsid w:val="00E7099E"/>
    <w:rsid w:val="00E71EED"/>
    <w:rsid w:val="00E74373"/>
    <w:rsid w:val="00E75974"/>
    <w:rsid w:val="00E75E41"/>
    <w:rsid w:val="00E76538"/>
    <w:rsid w:val="00E80007"/>
    <w:rsid w:val="00E807F4"/>
    <w:rsid w:val="00E80A1B"/>
    <w:rsid w:val="00E80E85"/>
    <w:rsid w:val="00E82AE1"/>
    <w:rsid w:val="00E82DFA"/>
    <w:rsid w:val="00E85424"/>
    <w:rsid w:val="00E85464"/>
    <w:rsid w:val="00E860D3"/>
    <w:rsid w:val="00E8750B"/>
    <w:rsid w:val="00E87951"/>
    <w:rsid w:val="00E93C1F"/>
    <w:rsid w:val="00E948DD"/>
    <w:rsid w:val="00E95034"/>
    <w:rsid w:val="00E960E8"/>
    <w:rsid w:val="00E96695"/>
    <w:rsid w:val="00E97AC8"/>
    <w:rsid w:val="00E97FFB"/>
    <w:rsid w:val="00EA26E5"/>
    <w:rsid w:val="00EA447B"/>
    <w:rsid w:val="00EA7FE6"/>
    <w:rsid w:val="00EB1270"/>
    <w:rsid w:val="00EB1541"/>
    <w:rsid w:val="00EB1797"/>
    <w:rsid w:val="00EB1B3E"/>
    <w:rsid w:val="00EB3A84"/>
    <w:rsid w:val="00EB49D5"/>
    <w:rsid w:val="00EC35F4"/>
    <w:rsid w:val="00EC7F81"/>
    <w:rsid w:val="00ED12F2"/>
    <w:rsid w:val="00ED29A2"/>
    <w:rsid w:val="00ED2F7C"/>
    <w:rsid w:val="00ED3C21"/>
    <w:rsid w:val="00ED5708"/>
    <w:rsid w:val="00ED648A"/>
    <w:rsid w:val="00ED6FAA"/>
    <w:rsid w:val="00ED7A2F"/>
    <w:rsid w:val="00EE0A37"/>
    <w:rsid w:val="00EE1B83"/>
    <w:rsid w:val="00EE253C"/>
    <w:rsid w:val="00EE31F4"/>
    <w:rsid w:val="00EE5E50"/>
    <w:rsid w:val="00EE7758"/>
    <w:rsid w:val="00EF02E3"/>
    <w:rsid w:val="00EF02F4"/>
    <w:rsid w:val="00EF2810"/>
    <w:rsid w:val="00EF55CC"/>
    <w:rsid w:val="00EF63BF"/>
    <w:rsid w:val="00EF68DC"/>
    <w:rsid w:val="00F025AA"/>
    <w:rsid w:val="00F037C7"/>
    <w:rsid w:val="00F04ADB"/>
    <w:rsid w:val="00F10564"/>
    <w:rsid w:val="00F1201A"/>
    <w:rsid w:val="00F12C52"/>
    <w:rsid w:val="00F140BF"/>
    <w:rsid w:val="00F14FC8"/>
    <w:rsid w:val="00F1612D"/>
    <w:rsid w:val="00F17463"/>
    <w:rsid w:val="00F21C36"/>
    <w:rsid w:val="00F229EC"/>
    <w:rsid w:val="00F2341D"/>
    <w:rsid w:val="00F26895"/>
    <w:rsid w:val="00F27116"/>
    <w:rsid w:val="00F30374"/>
    <w:rsid w:val="00F30ED1"/>
    <w:rsid w:val="00F32203"/>
    <w:rsid w:val="00F32C6E"/>
    <w:rsid w:val="00F345D4"/>
    <w:rsid w:val="00F34618"/>
    <w:rsid w:val="00F376B0"/>
    <w:rsid w:val="00F40A18"/>
    <w:rsid w:val="00F40CE6"/>
    <w:rsid w:val="00F427C1"/>
    <w:rsid w:val="00F43A32"/>
    <w:rsid w:val="00F50E50"/>
    <w:rsid w:val="00F52253"/>
    <w:rsid w:val="00F53C8B"/>
    <w:rsid w:val="00F56B7D"/>
    <w:rsid w:val="00F61DB1"/>
    <w:rsid w:val="00F648FE"/>
    <w:rsid w:val="00F67103"/>
    <w:rsid w:val="00F67EA0"/>
    <w:rsid w:val="00F71E80"/>
    <w:rsid w:val="00F73BE5"/>
    <w:rsid w:val="00F74441"/>
    <w:rsid w:val="00F74873"/>
    <w:rsid w:val="00F752DC"/>
    <w:rsid w:val="00F77A3F"/>
    <w:rsid w:val="00F808B8"/>
    <w:rsid w:val="00F80C9F"/>
    <w:rsid w:val="00F80DBD"/>
    <w:rsid w:val="00F8298D"/>
    <w:rsid w:val="00F82D1D"/>
    <w:rsid w:val="00F83132"/>
    <w:rsid w:val="00F873D9"/>
    <w:rsid w:val="00F87631"/>
    <w:rsid w:val="00F90089"/>
    <w:rsid w:val="00F90B03"/>
    <w:rsid w:val="00F91871"/>
    <w:rsid w:val="00F91D21"/>
    <w:rsid w:val="00F92194"/>
    <w:rsid w:val="00F92215"/>
    <w:rsid w:val="00F936E6"/>
    <w:rsid w:val="00F9465B"/>
    <w:rsid w:val="00F950AD"/>
    <w:rsid w:val="00F95BDF"/>
    <w:rsid w:val="00F95FFC"/>
    <w:rsid w:val="00F9693A"/>
    <w:rsid w:val="00F97732"/>
    <w:rsid w:val="00FA066F"/>
    <w:rsid w:val="00FA080D"/>
    <w:rsid w:val="00FA084A"/>
    <w:rsid w:val="00FA0B2D"/>
    <w:rsid w:val="00FA2030"/>
    <w:rsid w:val="00FA242C"/>
    <w:rsid w:val="00FA4A2E"/>
    <w:rsid w:val="00FA529D"/>
    <w:rsid w:val="00FA5763"/>
    <w:rsid w:val="00FA5F6E"/>
    <w:rsid w:val="00FB0F80"/>
    <w:rsid w:val="00FB195A"/>
    <w:rsid w:val="00FB2E7A"/>
    <w:rsid w:val="00FB3073"/>
    <w:rsid w:val="00FB37A9"/>
    <w:rsid w:val="00FC3477"/>
    <w:rsid w:val="00FC3949"/>
    <w:rsid w:val="00FC4978"/>
    <w:rsid w:val="00FC5721"/>
    <w:rsid w:val="00FC6D3E"/>
    <w:rsid w:val="00FC6F1A"/>
    <w:rsid w:val="00FC7455"/>
    <w:rsid w:val="00FD103E"/>
    <w:rsid w:val="00FD1E97"/>
    <w:rsid w:val="00FD2556"/>
    <w:rsid w:val="00FD370D"/>
    <w:rsid w:val="00FD462D"/>
    <w:rsid w:val="00FD48EF"/>
    <w:rsid w:val="00FD4B1F"/>
    <w:rsid w:val="00FD65CE"/>
    <w:rsid w:val="00FD663D"/>
    <w:rsid w:val="00FE0D71"/>
    <w:rsid w:val="00FE0EA4"/>
    <w:rsid w:val="00FE2349"/>
    <w:rsid w:val="00FE3ACF"/>
    <w:rsid w:val="00FE494A"/>
    <w:rsid w:val="00FE497D"/>
    <w:rsid w:val="00FE4B71"/>
    <w:rsid w:val="00FE5E8F"/>
    <w:rsid w:val="00FE620C"/>
    <w:rsid w:val="00FE7161"/>
    <w:rsid w:val="00FF1F59"/>
    <w:rsid w:val="00FF2770"/>
    <w:rsid w:val="00FF30FA"/>
    <w:rsid w:val="00FF43DD"/>
    <w:rsid w:val="00FF56F3"/>
    <w:rsid w:val="00FF6765"/>
    <w:rsid w:val="00FF7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F5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sz w:val="24"/>
      <w:szCs w:val="24"/>
      <w:lang w:val="lv-LV" w:eastAsia="ar-SA"/>
    </w:rPr>
  </w:style>
  <w:style w:type="paragraph" w:styleId="Heading3">
    <w:name w:val="heading 3"/>
    <w:basedOn w:val="Normal"/>
    <w:next w:val="BodyText"/>
    <w:qFormat/>
    <w:pPr>
      <w:numPr>
        <w:ilvl w:val="2"/>
        <w:numId w:val="1"/>
      </w:numPr>
      <w:spacing w:before="100" w:after="100"/>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rPr>
      <w:rFonts w:eastAsia="Times New Roman" w:cs="Times New Roman"/>
      <w:szCs w:val="24"/>
      <w:lang w:val="en-US"/>
    </w:rPr>
  </w:style>
  <w:style w:type="character" w:customStyle="1" w:styleId="BodyText2Char">
    <w:name w:val="Body Text 2 Char"/>
    <w:rPr>
      <w:rFonts w:eastAsia="Times New Roman" w:cs="Times New Roman"/>
      <w:szCs w:val="24"/>
      <w:lang w:val="en-US"/>
    </w:rPr>
  </w:style>
  <w:style w:type="character" w:customStyle="1" w:styleId="FooterChar">
    <w:name w:val="Footer Char"/>
    <w:rPr>
      <w:rFonts w:eastAsia="Times New Roman" w:cs="Times New Roman"/>
      <w:szCs w:val="24"/>
    </w:rPr>
  </w:style>
  <w:style w:type="character" w:customStyle="1" w:styleId="CommentReference1">
    <w:name w:val="Comment Reference1"/>
    <w:rPr>
      <w:sz w:val="16"/>
      <w:szCs w:val="16"/>
    </w:rPr>
  </w:style>
  <w:style w:type="character" w:customStyle="1" w:styleId="CommentTextChar">
    <w:name w:val="Comment Text Char"/>
    <w:link w:val="CommentText"/>
    <w:uiPriority w:val="99"/>
    <w:rPr>
      <w:rFonts w:eastAsia="Times New Roman" w:cs="Times New Roman"/>
      <w:sz w:val="20"/>
      <w:szCs w:val="20"/>
    </w:rPr>
  </w:style>
  <w:style w:type="character" w:customStyle="1" w:styleId="CommentSubjectChar">
    <w:name w:val="Comment Subject Char"/>
    <w:rPr>
      <w:rFonts w:eastAsia="Times New Roman" w:cs="Times New Roman"/>
      <w:b/>
      <w:bCs/>
      <w:sz w:val="20"/>
      <w:szCs w:val="20"/>
    </w:rPr>
  </w:style>
  <w:style w:type="character" w:customStyle="1" w:styleId="BalloonTextChar">
    <w:name w:val="Balloon Text Char"/>
    <w:rPr>
      <w:rFonts w:ascii="Segoe UI" w:eastAsia="Times New Roman" w:hAnsi="Segoe UI" w:cs="Segoe UI"/>
      <w:sz w:val="18"/>
      <w:szCs w:val="18"/>
    </w:rPr>
  </w:style>
  <w:style w:type="character" w:customStyle="1" w:styleId="PageNumber1">
    <w:name w:val="Page Number1"/>
    <w:basedOn w:val="DefaultParagraphFont1"/>
  </w:style>
  <w:style w:type="character" w:customStyle="1" w:styleId="ATpamatteskstsChar">
    <w:name w:val="AT pamattesksts Char"/>
    <w:rPr>
      <w:rFonts w:eastAsia="Times New Roman" w:cs="Times New Roman"/>
      <w:szCs w:val="24"/>
      <w:lang w:val="en-US"/>
    </w:rPr>
  </w:style>
  <w:style w:type="character" w:customStyle="1" w:styleId="ATvirsrakstsChar">
    <w:name w:val="AT virsraksts Char"/>
    <w:rPr>
      <w:rFonts w:eastAsia="Times New Roman" w:cs="Times New Roman"/>
      <w:b/>
      <w:szCs w:val="24"/>
    </w:rPr>
  </w:style>
  <w:style w:type="character" w:styleId="Hyperlink">
    <w:name w:val="Hyperlink"/>
    <w:rPr>
      <w:color w:val="0000FF"/>
      <w:u w:val="single"/>
    </w:rPr>
  </w:style>
  <w:style w:type="character" w:customStyle="1" w:styleId="UnresolvedMention1">
    <w:name w:val="Unresolved Mention1"/>
    <w:rPr>
      <w:color w:val="605E5C"/>
    </w:rPr>
  </w:style>
  <w:style w:type="character" w:customStyle="1" w:styleId="Heading3Char">
    <w:name w:val="Heading 3 Char"/>
    <w:rPr>
      <w:rFonts w:eastAsia="Times New Roman" w:cs="Times New Roman"/>
      <w:b/>
      <w:bCs/>
      <w:sz w:val="27"/>
      <w:szCs w:val="27"/>
      <w:lang w:val="en-GB"/>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customStyle="1" w:styleId="Caption1">
    <w:name w:val="Caption1"/>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320"/>
        <w:tab w:val="right" w:pos="8640"/>
      </w:tabs>
    </w:pPr>
    <w:rPr>
      <w:lang w:val="en-US"/>
    </w:rPr>
  </w:style>
  <w:style w:type="paragraph" w:customStyle="1" w:styleId="BodyText21">
    <w:name w:val="Body Text 21"/>
    <w:basedOn w:val="Normal"/>
    <w:pPr>
      <w:spacing w:after="120" w:line="480" w:lineRule="auto"/>
    </w:pPr>
    <w:rPr>
      <w:lang w:val="en-US"/>
    </w:rPr>
  </w:style>
  <w:style w:type="paragraph" w:styleId="Footer">
    <w:name w:val="footer"/>
    <w:basedOn w:val="Normal"/>
    <w:pPr>
      <w:suppressLineNumbers/>
      <w:tabs>
        <w:tab w:val="center" w:pos="4153"/>
        <w:tab w:val="right" w:pos="8306"/>
      </w:tabs>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customStyle="1" w:styleId="BalloonText1">
    <w:name w:val="Balloon Text1"/>
    <w:basedOn w:val="Normal"/>
    <w:rPr>
      <w:rFonts w:ascii="Segoe UI" w:hAnsi="Segoe UI" w:cs="Segoe UI"/>
      <w:sz w:val="18"/>
      <w:szCs w:val="18"/>
    </w:rPr>
  </w:style>
  <w:style w:type="paragraph" w:customStyle="1" w:styleId="ATpamattesksts">
    <w:name w:val="AT pamattesksts"/>
    <w:basedOn w:val="BodyText21"/>
    <w:pPr>
      <w:spacing w:after="0" w:line="276" w:lineRule="auto"/>
      <w:ind w:firstLine="567"/>
      <w:jc w:val="both"/>
    </w:pPr>
    <w:rPr>
      <w:lang w:val="lv-LV"/>
    </w:rPr>
  </w:style>
  <w:style w:type="paragraph" w:customStyle="1" w:styleId="ATvirsraksts">
    <w:name w:val="AT virsraksts"/>
    <w:basedOn w:val="Normal"/>
    <w:pPr>
      <w:spacing w:line="276" w:lineRule="auto"/>
      <w:jc w:val="center"/>
    </w:pPr>
    <w:rPr>
      <w:b/>
    </w:rPr>
  </w:style>
  <w:style w:type="paragraph" w:customStyle="1" w:styleId="NormalWeb1">
    <w:name w:val="Normal (Web)1"/>
    <w:basedOn w:val="Normal"/>
    <w:pPr>
      <w:spacing w:before="100" w:after="100"/>
    </w:pPr>
    <w:rPr>
      <w:lang w:val="en-GB"/>
    </w:rPr>
  </w:style>
  <w:style w:type="paragraph" w:customStyle="1" w:styleId="tv213">
    <w:name w:val="tv213"/>
    <w:basedOn w:val="Normal"/>
    <w:pPr>
      <w:spacing w:before="100" w:after="100"/>
    </w:pPr>
    <w:rPr>
      <w:lang w:val="en-GB"/>
    </w:rPr>
  </w:style>
  <w:style w:type="paragraph" w:customStyle="1" w:styleId="tvhtmlmktable">
    <w:name w:val="tv_html mk_table"/>
    <w:basedOn w:val="Normal"/>
    <w:pPr>
      <w:spacing w:before="100" w:after="100"/>
    </w:pPr>
    <w:rPr>
      <w:rFonts w:ascii="Verdana" w:hAnsi="Verdana"/>
      <w:sz w:val="18"/>
      <w:szCs w:val="18"/>
    </w:rPr>
  </w:style>
  <w:style w:type="paragraph" w:styleId="BalloonText">
    <w:name w:val="Balloon Text"/>
    <w:basedOn w:val="Normal"/>
    <w:link w:val="BalloonTextChar1"/>
    <w:uiPriority w:val="99"/>
    <w:semiHidden/>
    <w:unhideWhenUsed/>
    <w:rsid w:val="00D74082"/>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D74082"/>
    <w:rPr>
      <w:rFonts w:ascii="Segoe UI" w:hAnsi="Segoe UI" w:cs="Segoe UI"/>
      <w:sz w:val="18"/>
      <w:szCs w:val="18"/>
      <w:lang w:eastAsia="ar-SA"/>
    </w:rPr>
  </w:style>
  <w:style w:type="paragraph" w:styleId="NoSpacing">
    <w:name w:val="No Spacing"/>
    <w:uiPriority w:val="1"/>
    <w:qFormat/>
    <w:rsid w:val="0088446A"/>
    <w:rPr>
      <w:rFonts w:eastAsia="Calibri" w:cs="Arial"/>
      <w:sz w:val="24"/>
      <w:szCs w:val="22"/>
      <w:lang w:val="lv-LV"/>
    </w:rPr>
  </w:style>
  <w:style w:type="character" w:styleId="CommentReference">
    <w:name w:val="annotation reference"/>
    <w:uiPriority w:val="99"/>
    <w:semiHidden/>
    <w:unhideWhenUsed/>
    <w:rsid w:val="0088446A"/>
    <w:rPr>
      <w:sz w:val="16"/>
      <w:szCs w:val="16"/>
    </w:rPr>
  </w:style>
  <w:style w:type="paragraph" w:styleId="CommentText">
    <w:name w:val="annotation text"/>
    <w:basedOn w:val="Normal"/>
    <w:link w:val="CommentTextChar"/>
    <w:uiPriority w:val="99"/>
    <w:unhideWhenUsed/>
    <w:rsid w:val="0088446A"/>
    <w:pPr>
      <w:suppressAutoHyphens w:val="0"/>
      <w:spacing w:after="160" w:line="240" w:lineRule="auto"/>
    </w:pPr>
    <w:rPr>
      <w:sz w:val="20"/>
      <w:szCs w:val="20"/>
      <w:lang w:val="en-US" w:eastAsia="en-US"/>
    </w:rPr>
  </w:style>
  <w:style w:type="character" w:customStyle="1" w:styleId="CommentTextChar1">
    <w:name w:val="Comment Text Char1"/>
    <w:uiPriority w:val="99"/>
    <w:semiHidden/>
    <w:rsid w:val="0088446A"/>
    <w:rPr>
      <w:lang w:val="lv-LV" w:eastAsia="ar-SA"/>
    </w:rPr>
  </w:style>
  <w:style w:type="paragraph" w:styleId="CommentSubject">
    <w:name w:val="annotation subject"/>
    <w:basedOn w:val="CommentText"/>
    <w:next w:val="CommentText"/>
    <w:link w:val="CommentSubjectChar1"/>
    <w:uiPriority w:val="99"/>
    <w:semiHidden/>
    <w:unhideWhenUsed/>
    <w:rsid w:val="00C06094"/>
    <w:pPr>
      <w:suppressAutoHyphens/>
      <w:spacing w:after="0" w:line="100" w:lineRule="atLeast"/>
    </w:pPr>
    <w:rPr>
      <w:b/>
      <w:bCs/>
      <w:lang w:val="lv-LV" w:eastAsia="ar-SA"/>
    </w:rPr>
  </w:style>
  <w:style w:type="character" w:customStyle="1" w:styleId="CommentSubjectChar1">
    <w:name w:val="Comment Subject Char1"/>
    <w:link w:val="CommentSubject"/>
    <w:uiPriority w:val="99"/>
    <w:semiHidden/>
    <w:rsid w:val="00C06094"/>
    <w:rPr>
      <w:rFonts w:eastAsia="Times New Roman" w:cs="Times New Roman"/>
      <w:b/>
      <w:bCs/>
      <w:sz w:val="20"/>
      <w:szCs w:val="20"/>
      <w:lang w:val="lv-LV" w:eastAsia="ar-SA"/>
    </w:rPr>
  </w:style>
  <w:style w:type="character" w:customStyle="1" w:styleId="UnresolvedMention">
    <w:name w:val="Unresolved Mention"/>
    <w:basedOn w:val="DefaultParagraphFont"/>
    <w:uiPriority w:val="99"/>
    <w:semiHidden/>
    <w:unhideWhenUsed/>
    <w:rsid w:val="00BD0113"/>
    <w:rPr>
      <w:color w:val="605E5C"/>
      <w:shd w:val="clear" w:color="auto" w:fill="E1DFDD"/>
    </w:rPr>
  </w:style>
  <w:style w:type="paragraph" w:styleId="ListParagraph">
    <w:name w:val="List Paragraph"/>
    <w:basedOn w:val="Normal"/>
    <w:uiPriority w:val="34"/>
    <w:qFormat/>
    <w:rsid w:val="00E21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0399">
      <w:bodyDiv w:val="1"/>
      <w:marLeft w:val="0"/>
      <w:marRight w:val="0"/>
      <w:marTop w:val="0"/>
      <w:marBottom w:val="0"/>
      <w:divBdr>
        <w:top w:val="none" w:sz="0" w:space="0" w:color="auto"/>
        <w:left w:val="none" w:sz="0" w:space="0" w:color="auto"/>
        <w:bottom w:val="none" w:sz="0" w:space="0" w:color="auto"/>
        <w:right w:val="none" w:sz="0" w:space="0" w:color="auto"/>
      </w:divBdr>
    </w:div>
    <w:div w:id="151921078">
      <w:bodyDiv w:val="1"/>
      <w:marLeft w:val="0"/>
      <w:marRight w:val="0"/>
      <w:marTop w:val="0"/>
      <w:marBottom w:val="0"/>
      <w:divBdr>
        <w:top w:val="none" w:sz="0" w:space="0" w:color="auto"/>
        <w:left w:val="none" w:sz="0" w:space="0" w:color="auto"/>
        <w:bottom w:val="none" w:sz="0" w:space="0" w:color="auto"/>
        <w:right w:val="none" w:sz="0" w:space="0" w:color="auto"/>
      </w:divBdr>
    </w:div>
    <w:div w:id="201482361">
      <w:bodyDiv w:val="1"/>
      <w:marLeft w:val="0"/>
      <w:marRight w:val="0"/>
      <w:marTop w:val="0"/>
      <w:marBottom w:val="0"/>
      <w:divBdr>
        <w:top w:val="none" w:sz="0" w:space="0" w:color="auto"/>
        <w:left w:val="none" w:sz="0" w:space="0" w:color="auto"/>
        <w:bottom w:val="none" w:sz="0" w:space="0" w:color="auto"/>
        <w:right w:val="none" w:sz="0" w:space="0" w:color="auto"/>
      </w:divBdr>
    </w:div>
    <w:div w:id="359673345">
      <w:bodyDiv w:val="1"/>
      <w:marLeft w:val="0"/>
      <w:marRight w:val="0"/>
      <w:marTop w:val="0"/>
      <w:marBottom w:val="0"/>
      <w:divBdr>
        <w:top w:val="none" w:sz="0" w:space="0" w:color="auto"/>
        <w:left w:val="none" w:sz="0" w:space="0" w:color="auto"/>
        <w:bottom w:val="none" w:sz="0" w:space="0" w:color="auto"/>
        <w:right w:val="none" w:sz="0" w:space="0" w:color="auto"/>
      </w:divBdr>
    </w:div>
    <w:div w:id="398408370">
      <w:bodyDiv w:val="1"/>
      <w:marLeft w:val="0"/>
      <w:marRight w:val="0"/>
      <w:marTop w:val="0"/>
      <w:marBottom w:val="0"/>
      <w:divBdr>
        <w:top w:val="none" w:sz="0" w:space="0" w:color="auto"/>
        <w:left w:val="none" w:sz="0" w:space="0" w:color="auto"/>
        <w:bottom w:val="none" w:sz="0" w:space="0" w:color="auto"/>
        <w:right w:val="none" w:sz="0" w:space="0" w:color="auto"/>
      </w:divBdr>
    </w:div>
    <w:div w:id="407002640">
      <w:bodyDiv w:val="1"/>
      <w:marLeft w:val="0"/>
      <w:marRight w:val="0"/>
      <w:marTop w:val="0"/>
      <w:marBottom w:val="0"/>
      <w:divBdr>
        <w:top w:val="none" w:sz="0" w:space="0" w:color="auto"/>
        <w:left w:val="none" w:sz="0" w:space="0" w:color="auto"/>
        <w:bottom w:val="none" w:sz="0" w:space="0" w:color="auto"/>
        <w:right w:val="none" w:sz="0" w:space="0" w:color="auto"/>
      </w:divBdr>
    </w:div>
    <w:div w:id="603880021">
      <w:bodyDiv w:val="1"/>
      <w:marLeft w:val="0"/>
      <w:marRight w:val="0"/>
      <w:marTop w:val="0"/>
      <w:marBottom w:val="0"/>
      <w:divBdr>
        <w:top w:val="none" w:sz="0" w:space="0" w:color="auto"/>
        <w:left w:val="none" w:sz="0" w:space="0" w:color="auto"/>
        <w:bottom w:val="none" w:sz="0" w:space="0" w:color="auto"/>
        <w:right w:val="none" w:sz="0" w:space="0" w:color="auto"/>
      </w:divBdr>
    </w:div>
    <w:div w:id="621497577">
      <w:bodyDiv w:val="1"/>
      <w:marLeft w:val="0"/>
      <w:marRight w:val="0"/>
      <w:marTop w:val="0"/>
      <w:marBottom w:val="0"/>
      <w:divBdr>
        <w:top w:val="none" w:sz="0" w:space="0" w:color="auto"/>
        <w:left w:val="none" w:sz="0" w:space="0" w:color="auto"/>
        <w:bottom w:val="none" w:sz="0" w:space="0" w:color="auto"/>
        <w:right w:val="none" w:sz="0" w:space="0" w:color="auto"/>
      </w:divBdr>
    </w:div>
    <w:div w:id="912734680">
      <w:bodyDiv w:val="1"/>
      <w:marLeft w:val="0"/>
      <w:marRight w:val="0"/>
      <w:marTop w:val="0"/>
      <w:marBottom w:val="0"/>
      <w:divBdr>
        <w:top w:val="none" w:sz="0" w:space="0" w:color="auto"/>
        <w:left w:val="none" w:sz="0" w:space="0" w:color="auto"/>
        <w:bottom w:val="none" w:sz="0" w:space="0" w:color="auto"/>
        <w:right w:val="none" w:sz="0" w:space="0" w:color="auto"/>
      </w:divBdr>
      <w:divsChild>
        <w:div w:id="86855143">
          <w:marLeft w:val="0"/>
          <w:marRight w:val="0"/>
          <w:marTop w:val="0"/>
          <w:marBottom w:val="0"/>
          <w:divBdr>
            <w:top w:val="none" w:sz="0" w:space="0" w:color="auto"/>
            <w:left w:val="none" w:sz="0" w:space="0" w:color="auto"/>
            <w:bottom w:val="none" w:sz="0" w:space="0" w:color="auto"/>
            <w:right w:val="none" w:sz="0" w:space="0" w:color="auto"/>
          </w:divBdr>
        </w:div>
        <w:div w:id="791243919">
          <w:marLeft w:val="0"/>
          <w:marRight w:val="0"/>
          <w:marTop w:val="0"/>
          <w:marBottom w:val="0"/>
          <w:divBdr>
            <w:top w:val="none" w:sz="0" w:space="0" w:color="auto"/>
            <w:left w:val="none" w:sz="0" w:space="0" w:color="auto"/>
            <w:bottom w:val="none" w:sz="0" w:space="0" w:color="auto"/>
            <w:right w:val="none" w:sz="0" w:space="0" w:color="auto"/>
          </w:divBdr>
        </w:div>
        <w:div w:id="1528331514">
          <w:marLeft w:val="0"/>
          <w:marRight w:val="0"/>
          <w:marTop w:val="0"/>
          <w:marBottom w:val="0"/>
          <w:divBdr>
            <w:top w:val="none" w:sz="0" w:space="0" w:color="auto"/>
            <w:left w:val="none" w:sz="0" w:space="0" w:color="auto"/>
            <w:bottom w:val="none" w:sz="0" w:space="0" w:color="auto"/>
            <w:right w:val="none" w:sz="0" w:space="0" w:color="auto"/>
          </w:divBdr>
        </w:div>
      </w:divsChild>
    </w:div>
    <w:div w:id="969214315">
      <w:bodyDiv w:val="1"/>
      <w:marLeft w:val="0"/>
      <w:marRight w:val="0"/>
      <w:marTop w:val="0"/>
      <w:marBottom w:val="0"/>
      <w:divBdr>
        <w:top w:val="none" w:sz="0" w:space="0" w:color="auto"/>
        <w:left w:val="none" w:sz="0" w:space="0" w:color="auto"/>
        <w:bottom w:val="none" w:sz="0" w:space="0" w:color="auto"/>
        <w:right w:val="none" w:sz="0" w:space="0" w:color="auto"/>
      </w:divBdr>
    </w:div>
    <w:div w:id="1076822082">
      <w:bodyDiv w:val="1"/>
      <w:marLeft w:val="0"/>
      <w:marRight w:val="0"/>
      <w:marTop w:val="0"/>
      <w:marBottom w:val="0"/>
      <w:divBdr>
        <w:top w:val="none" w:sz="0" w:space="0" w:color="auto"/>
        <w:left w:val="none" w:sz="0" w:space="0" w:color="auto"/>
        <w:bottom w:val="none" w:sz="0" w:space="0" w:color="auto"/>
        <w:right w:val="none" w:sz="0" w:space="0" w:color="auto"/>
      </w:divBdr>
    </w:div>
    <w:div w:id="1077165491">
      <w:bodyDiv w:val="1"/>
      <w:marLeft w:val="0"/>
      <w:marRight w:val="0"/>
      <w:marTop w:val="0"/>
      <w:marBottom w:val="0"/>
      <w:divBdr>
        <w:top w:val="none" w:sz="0" w:space="0" w:color="auto"/>
        <w:left w:val="none" w:sz="0" w:space="0" w:color="auto"/>
        <w:bottom w:val="none" w:sz="0" w:space="0" w:color="auto"/>
        <w:right w:val="none" w:sz="0" w:space="0" w:color="auto"/>
      </w:divBdr>
    </w:div>
    <w:div w:id="1314482882">
      <w:bodyDiv w:val="1"/>
      <w:marLeft w:val="0"/>
      <w:marRight w:val="0"/>
      <w:marTop w:val="0"/>
      <w:marBottom w:val="0"/>
      <w:divBdr>
        <w:top w:val="none" w:sz="0" w:space="0" w:color="auto"/>
        <w:left w:val="none" w:sz="0" w:space="0" w:color="auto"/>
        <w:bottom w:val="none" w:sz="0" w:space="0" w:color="auto"/>
        <w:right w:val="none" w:sz="0" w:space="0" w:color="auto"/>
      </w:divBdr>
    </w:div>
    <w:div w:id="1343774741">
      <w:bodyDiv w:val="1"/>
      <w:marLeft w:val="0"/>
      <w:marRight w:val="0"/>
      <w:marTop w:val="0"/>
      <w:marBottom w:val="0"/>
      <w:divBdr>
        <w:top w:val="none" w:sz="0" w:space="0" w:color="auto"/>
        <w:left w:val="none" w:sz="0" w:space="0" w:color="auto"/>
        <w:bottom w:val="none" w:sz="0" w:space="0" w:color="auto"/>
        <w:right w:val="none" w:sz="0" w:space="0" w:color="auto"/>
      </w:divBdr>
    </w:div>
    <w:div w:id="1467815946">
      <w:bodyDiv w:val="1"/>
      <w:marLeft w:val="0"/>
      <w:marRight w:val="0"/>
      <w:marTop w:val="0"/>
      <w:marBottom w:val="0"/>
      <w:divBdr>
        <w:top w:val="none" w:sz="0" w:space="0" w:color="auto"/>
        <w:left w:val="none" w:sz="0" w:space="0" w:color="auto"/>
        <w:bottom w:val="none" w:sz="0" w:space="0" w:color="auto"/>
        <w:right w:val="none" w:sz="0" w:space="0" w:color="auto"/>
      </w:divBdr>
    </w:div>
    <w:div w:id="1570456617">
      <w:bodyDiv w:val="1"/>
      <w:marLeft w:val="0"/>
      <w:marRight w:val="0"/>
      <w:marTop w:val="0"/>
      <w:marBottom w:val="0"/>
      <w:divBdr>
        <w:top w:val="none" w:sz="0" w:space="0" w:color="auto"/>
        <w:left w:val="none" w:sz="0" w:space="0" w:color="auto"/>
        <w:bottom w:val="none" w:sz="0" w:space="0" w:color="auto"/>
        <w:right w:val="none" w:sz="0" w:space="0" w:color="auto"/>
      </w:divBdr>
    </w:div>
    <w:div w:id="1726642905">
      <w:bodyDiv w:val="1"/>
      <w:marLeft w:val="0"/>
      <w:marRight w:val="0"/>
      <w:marTop w:val="0"/>
      <w:marBottom w:val="0"/>
      <w:divBdr>
        <w:top w:val="none" w:sz="0" w:space="0" w:color="auto"/>
        <w:left w:val="none" w:sz="0" w:space="0" w:color="auto"/>
        <w:bottom w:val="none" w:sz="0" w:space="0" w:color="auto"/>
        <w:right w:val="none" w:sz="0" w:space="0" w:color="auto"/>
      </w:divBdr>
    </w:div>
    <w:div w:id="1830556560">
      <w:bodyDiv w:val="1"/>
      <w:marLeft w:val="0"/>
      <w:marRight w:val="0"/>
      <w:marTop w:val="0"/>
      <w:marBottom w:val="0"/>
      <w:divBdr>
        <w:top w:val="none" w:sz="0" w:space="0" w:color="auto"/>
        <w:left w:val="none" w:sz="0" w:space="0" w:color="auto"/>
        <w:bottom w:val="none" w:sz="0" w:space="0" w:color="auto"/>
        <w:right w:val="none" w:sz="0" w:space="0" w:color="auto"/>
      </w:divBdr>
    </w:div>
    <w:div w:id="1991249220">
      <w:bodyDiv w:val="1"/>
      <w:marLeft w:val="0"/>
      <w:marRight w:val="0"/>
      <w:marTop w:val="0"/>
      <w:marBottom w:val="0"/>
      <w:divBdr>
        <w:top w:val="none" w:sz="0" w:space="0" w:color="auto"/>
        <w:left w:val="none" w:sz="0" w:space="0" w:color="auto"/>
        <w:bottom w:val="none" w:sz="0" w:space="0" w:color="auto"/>
        <w:right w:val="none" w:sz="0" w:space="0" w:color="auto"/>
      </w:divBdr>
    </w:div>
    <w:div w:id="207042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517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17:1107.A420615511.2.S" TargetMode="External"/><Relationship Id="rId4" Type="http://schemas.openxmlformats.org/officeDocument/2006/relationships/settings" Target="settings.xml"/><Relationship Id="rId9" Type="http://schemas.openxmlformats.org/officeDocument/2006/relationships/hyperlink" Target="https://manas.tiesas.lv/eTiesasMvc/eclinolemumi/ECLI:EU:C:2022: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7EF85-6D22-46CA-B97E-9B7854BE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3327</Words>
  <Characters>18964</Characters>
  <Application>Microsoft Office Word</Application>
  <DocSecurity>0</DocSecurity>
  <Lines>158</Lines>
  <Paragraphs>44</Paragraphs>
  <ScaleCrop>false</ScaleCrop>
  <Company/>
  <LinksUpToDate>false</LinksUpToDate>
  <CharactersWithSpaces>22247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2023-06-13T08:45:00Z</dcterms:created>
  <dcterms:modified xsi:type="dcterms:W3CDTF">2023-06-13T08:46:00Z</dcterms:modified>
</cp:coreProperties>
</file>