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D558E" w14:textId="167AB4A0" w:rsidR="00C11D10" w:rsidRDefault="00C11D10" w:rsidP="00D330CD">
      <w:pPr>
        <w:autoSpaceDE w:val="0"/>
        <w:autoSpaceDN w:val="0"/>
        <w:spacing w:line="276" w:lineRule="auto"/>
        <w:jc w:val="both"/>
        <w:rPr>
          <w:rFonts w:ascii="TimesNewRomanPSMT" w:hAnsi="TimesNewRomanPSMT"/>
          <w:b/>
          <w:bCs/>
          <w:color w:val="000000"/>
          <w:lang w:eastAsia="en-US"/>
        </w:rPr>
      </w:pPr>
      <w:r>
        <w:rPr>
          <w:rFonts w:ascii="TimesNewRomanPSMT" w:hAnsi="TimesNewRomanPSMT"/>
          <w:b/>
          <w:bCs/>
          <w:color w:val="000000"/>
        </w:rPr>
        <w:t>Proces</w:t>
      </w:r>
      <w:bookmarkStart w:id="0" w:name="_GoBack"/>
      <w:bookmarkEnd w:id="0"/>
      <w:r>
        <w:rPr>
          <w:rFonts w:ascii="TimesNewRomanPSMT" w:hAnsi="TimesNewRomanPSMT"/>
          <w:b/>
          <w:bCs/>
          <w:color w:val="000000"/>
        </w:rPr>
        <w:t>a dalībnieka tiesības tikt uzklausītam un tiesas p</w:t>
      </w:r>
      <w:r>
        <w:rPr>
          <w:rFonts w:ascii="TimesNewRomanPSMT" w:hAnsi="TimesNewRomanPSMT"/>
          <w:b/>
          <w:bCs/>
          <w:color w:val="000000"/>
        </w:rPr>
        <w:t>ienākums motivēt savu spriedumu</w:t>
      </w:r>
      <w:r>
        <w:rPr>
          <w:rFonts w:ascii="TimesNewRomanPSMT" w:hAnsi="TimesNewRomanPSMT" w:hint="eastAsia"/>
          <w:b/>
          <w:bCs/>
          <w:color w:val="000000"/>
        </w:rPr>
        <w:t> </w:t>
      </w:r>
      <w:r>
        <w:rPr>
          <w:rFonts w:ascii="TimesNewRomanPSMT" w:hAnsi="TimesNewRomanPSMT"/>
          <w:b/>
          <w:bCs/>
          <w:color w:val="000000"/>
        </w:rPr>
        <w:t>– tiesību uz taisnīgu tiesu elementi</w:t>
      </w:r>
    </w:p>
    <w:p w14:paraId="53E374AF" w14:textId="77777777" w:rsidR="00C11D10" w:rsidRPr="00C11D10" w:rsidRDefault="00C11D10" w:rsidP="00D330CD">
      <w:pPr>
        <w:spacing w:line="276" w:lineRule="auto"/>
        <w:contextualSpacing/>
        <w:jc w:val="right"/>
      </w:pPr>
    </w:p>
    <w:p w14:paraId="71A3CA25" w14:textId="529D2ED8" w:rsidR="008B7CCD" w:rsidRPr="00C11D10" w:rsidRDefault="00C11D10" w:rsidP="00D330CD">
      <w:pPr>
        <w:spacing w:line="276" w:lineRule="auto"/>
        <w:contextualSpacing/>
        <w:jc w:val="center"/>
        <w:rPr>
          <w:b/>
        </w:rPr>
      </w:pPr>
      <w:r w:rsidRPr="00C11D10">
        <w:rPr>
          <w:b/>
        </w:rPr>
        <w:t>Latvijas Republikas Senāta</w:t>
      </w:r>
    </w:p>
    <w:p w14:paraId="54E79071" w14:textId="5376AE10" w:rsidR="00C11D10" w:rsidRPr="00C11D10" w:rsidRDefault="00C11D10" w:rsidP="00D330CD">
      <w:pPr>
        <w:spacing w:line="276" w:lineRule="auto"/>
        <w:contextualSpacing/>
        <w:jc w:val="center"/>
        <w:rPr>
          <w:b/>
        </w:rPr>
      </w:pPr>
      <w:r w:rsidRPr="00C11D10">
        <w:rPr>
          <w:b/>
        </w:rPr>
        <w:t>Administratīvo lietu departamenta</w:t>
      </w:r>
    </w:p>
    <w:p w14:paraId="28F4A39E" w14:textId="0B007D86" w:rsidR="00C11D10" w:rsidRPr="00C11D10" w:rsidRDefault="00C11D10" w:rsidP="00D330CD">
      <w:pPr>
        <w:spacing w:line="276" w:lineRule="auto"/>
        <w:contextualSpacing/>
        <w:jc w:val="center"/>
        <w:rPr>
          <w:b/>
        </w:rPr>
      </w:pPr>
      <w:proofErr w:type="gramStart"/>
      <w:r w:rsidRPr="00C11D10">
        <w:rPr>
          <w:b/>
        </w:rPr>
        <w:t>2022.gada</w:t>
      </w:r>
      <w:proofErr w:type="gramEnd"/>
      <w:r w:rsidRPr="00C11D10">
        <w:rPr>
          <w:b/>
        </w:rPr>
        <w:t xml:space="preserve"> 23.decembra </w:t>
      </w:r>
    </w:p>
    <w:p w14:paraId="338EDD9C" w14:textId="77777777" w:rsidR="008B7CCD" w:rsidRPr="00C11D10" w:rsidRDefault="008B7CCD" w:rsidP="00D330CD">
      <w:pPr>
        <w:spacing w:line="276" w:lineRule="auto"/>
        <w:contextualSpacing/>
        <w:jc w:val="center"/>
        <w:rPr>
          <w:b/>
        </w:rPr>
      </w:pPr>
      <w:r w:rsidRPr="00C11D10">
        <w:rPr>
          <w:b/>
        </w:rPr>
        <w:t xml:space="preserve">SPRIEDUMS </w:t>
      </w:r>
    </w:p>
    <w:p w14:paraId="5F53A0EB" w14:textId="77777777" w:rsidR="00C11D10" w:rsidRPr="00C11D10" w:rsidRDefault="00C11D10" w:rsidP="00D330CD">
      <w:pPr>
        <w:spacing w:line="276" w:lineRule="auto"/>
        <w:contextualSpacing/>
        <w:jc w:val="center"/>
        <w:rPr>
          <w:b/>
        </w:rPr>
      </w:pPr>
      <w:r w:rsidRPr="00C11D10">
        <w:rPr>
          <w:b/>
        </w:rPr>
        <w:t>Lieta Nr. A420260419, SKA-896/2022</w:t>
      </w:r>
    </w:p>
    <w:p w14:paraId="0AD8805E" w14:textId="70EC4F98" w:rsidR="008B7CCD" w:rsidRPr="00C11D10" w:rsidRDefault="00C11D10" w:rsidP="00D330CD">
      <w:pPr>
        <w:spacing w:line="276" w:lineRule="auto"/>
        <w:contextualSpacing/>
        <w:jc w:val="center"/>
      </w:pPr>
      <w:hyperlink r:id="rId8" w:history="1">
        <w:r w:rsidRPr="00C11D10">
          <w:rPr>
            <w:rStyle w:val="Hyperlink"/>
            <w:rFonts w:eastAsiaTheme="minorHAnsi"/>
            <w:lang w:val="en-US" w:eastAsia="en-US"/>
          </w:rPr>
          <w:t>ECLI</w:t>
        </w:r>
        <w:proofErr w:type="gramStart"/>
        <w:r w:rsidRPr="00C11D10">
          <w:rPr>
            <w:rStyle w:val="Hyperlink"/>
            <w:rFonts w:eastAsiaTheme="minorHAnsi"/>
            <w:lang w:val="en-US" w:eastAsia="en-US"/>
          </w:rPr>
          <w:t>:LV:AT:2022:1223.A420260419.25.S</w:t>
        </w:r>
        <w:proofErr w:type="gramEnd"/>
      </w:hyperlink>
      <w:r w:rsidRPr="00C11D10">
        <w:rPr>
          <w:rFonts w:eastAsiaTheme="minorHAnsi"/>
          <w:color w:val="0000EF"/>
          <w:lang w:val="en-US" w:eastAsia="en-US"/>
        </w:rPr>
        <w:t xml:space="preserve"> </w:t>
      </w:r>
    </w:p>
    <w:p w14:paraId="2EC14FB2" w14:textId="77777777" w:rsidR="008B7CCD" w:rsidRPr="007D4A2B" w:rsidRDefault="008B7CCD" w:rsidP="00D330CD">
      <w:pPr>
        <w:spacing w:line="276" w:lineRule="auto"/>
        <w:ind w:firstLine="567"/>
        <w:contextualSpacing/>
        <w:jc w:val="both"/>
      </w:pPr>
    </w:p>
    <w:p w14:paraId="491B2652" w14:textId="6DFD0B82" w:rsidR="008B7CCD" w:rsidRPr="007D4A2B" w:rsidRDefault="008B7CCD" w:rsidP="00D330CD">
      <w:pPr>
        <w:spacing w:line="276" w:lineRule="auto"/>
        <w:ind w:firstLine="567"/>
        <w:contextualSpacing/>
        <w:jc w:val="both"/>
      </w:pPr>
      <w:r w:rsidRPr="007D4A2B">
        <w:t>Tiesa šādā sastāvā: senator</w:t>
      </w:r>
      <w:r w:rsidR="00A5478F" w:rsidRPr="007D4A2B">
        <w:t>i</w:t>
      </w:r>
      <w:r w:rsidRPr="007D4A2B">
        <w:t xml:space="preserve"> </w:t>
      </w:r>
      <w:r w:rsidR="006F22A1" w:rsidRPr="007D4A2B">
        <w:t>Diāna Makarova, Valters Poķis, Līvija Slica</w:t>
      </w:r>
    </w:p>
    <w:p w14:paraId="3199FCA5" w14:textId="77777777" w:rsidR="008B7CCD" w:rsidRPr="007D4A2B" w:rsidRDefault="008B7CCD" w:rsidP="00D330CD">
      <w:pPr>
        <w:spacing w:line="276" w:lineRule="auto"/>
        <w:ind w:firstLine="567"/>
        <w:contextualSpacing/>
        <w:jc w:val="both"/>
      </w:pPr>
    </w:p>
    <w:p w14:paraId="2DA4EF37" w14:textId="7A1C8342" w:rsidR="008B7CCD" w:rsidRPr="007D4A2B" w:rsidRDefault="00097AB4" w:rsidP="00D330CD">
      <w:pPr>
        <w:spacing w:line="276" w:lineRule="auto"/>
        <w:ind w:firstLine="567"/>
        <w:contextualSpacing/>
        <w:jc w:val="both"/>
      </w:pPr>
      <w:r w:rsidRPr="007D4A2B">
        <w:t xml:space="preserve">rakstveida procesā izskatīja administratīvo lietu, kas ierosināta, </w:t>
      </w:r>
      <w:r w:rsidR="00642BDC" w:rsidRPr="007D4A2B">
        <w:t xml:space="preserve">pamatojoties uz </w:t>
      </w:r>
      <w:bookmarkStart w:id="1" w:name="_Hlk110684524"/>
      <w:bookmarkStart w:id="2" w:name="_Hlk105140648"/>
      <w:r w:rsidR="00200851" w:rsidRPr="00FD32F1">
        <w:rPr>
          <w:color w:val="000000" w:themeColor="text1"/>
        </w:rPr>
        <w:t xml:space="preserve">likvidējamās </w:t>
      </w:r>
      <w:r w:rsidR="005E5DC0" w:rsidRPr="00FD32F1">
        <w:rPr>
          <w:color w:val="000000" w:themeColor="text1"/>
        </w:rPr>
        <w:t>SIA </w:t>
      </w:r>
      <w:r w:rsidR="00DF13B7" w:rsidRPr="00FD32F1">
        <w:rPr>
          <w:color w:val="000000" w:themeColor="text1"/>
        </w:rPr>
        <w:t>„</w:t>
      </w:r>
      <w:r w:rsidR="005E5DC0" w:rsidRPr="00FD32F1">
        <w:rPr>
          <w:color w:val="000000" w:themeColor="text1"/>
        </w:rPr>
        <w:t xml:space="preserve">HIM LAT” pieteikumu par Valsts ieņēmumu dienesta </w:t>
      </w:r>
      <w:bookmarkStart w:id="3" w:name="_Hlk116269771"/>
      <w:proofErr w:type="gramStart"/>
      <w:r w:rsidR="005E5DC0" w:rsidRPr="00FD32F1">
        <w:rPr>
          <w:color w:val="000000" w:themeColor="text1"/>
        </w:rPr>
        <w:t>2019.gada</w:t>
      </w:r>
      <w:proofErr w:type="gramEnd"/>
      <w:r w:rsidR="005E5DC0" w:rsidRPr="00FD32F1">
        <w:rPr>
          <w:color w:val="000000" w:themeColor="text1"/>
        </w:rPr>
        <w:t xml:space="preserve"> 23.augusta lēmuma Nr. 30.2-22.8/3831 </w:t>
      </w:r>
      <w:bookmarkEnd w:id="3"/>
      <w:r w:rsidR="005E5DC0" w:rsidRPr="00FD32F1">
        <w:rPr>
          <w:color w:val="000000" w:themeColor="text1"/>
        </w:rPr>
        <w:t xml:space="preserve">atcelšanu, </w:t>
      </w:r>
      <w:bookmarkEnd w:id="1"/>
      <w:bookmarkEnd w:id="2"/>
      <w:r w:rsidR="008E72D4" w:rsidRPr="00FD32F1">
        <w:rPr>
          <w:color w:val="000000" w:themeColor="text1"/>
        </w:rPr>
        <w:t xml:space="preserve">sakarā ar </w:t>
      </w:r>
      <w:r w:rsidR="00200851" w:rsidRPr="00FD32F1">
        <w:rPr>
          <w:color w:val="000000" w:themeColor="text1"/>
        </w:rPr>
        <w:t xml:space="preserve">likvidējamās </w:t>
      </w:r>
      <w:r w:rsidR="005E5DC0" w:rsidRPr="00FD32F1">
        <w:rPr>
          <w:color w:val="000000" w:themeColor="text1"/>
        </w:rPr>
        <w:t>SIA </w:t>
      </w:r>
      <w:r w:rsidR="00DF13B7" w:rsidRPr="00FD32F1">
        <w:rPr>
          <w:color w:val="000000" w:themeColor="text1"/>
        </w:rPr>
        <w:t>„</w:t>
      </w:r>
      <w:r w:rsidR="005E5DC0" w:rsidRPr="00FD32F1">
        <w:rPr>
          <w:color w:val="000000" w:themeColor="text1"/>
        </w:rPr>
        <w:t>HIM LAT</w:t>
      </w:r>
      <w:r w:rsidR="005E5DC0">
        <w:t>”</w:t>
      </w:r>
      <w:r w:rsidR="008E72D4">
        <w:t xml:space="preserve"> kasācijas sūdzību p</w:t>
      </w:r>
      <w:r w:rsidRPr="007D4A2B">
        <w:t xml:space="preserve">ar Administratīvās </w:t>
      </w:r>
      <w:r w:rsidR="000E6D2E" w:rsidRPr="007D4A2B">
        <w:t xml:space="preserve">apgabaltiesas </w:t>
      </w:r>
      <w:r w:rsidR="00074C3B" w:rsidRPr="007D4A2B">
        <w:t>20</w:t>
      </w:r>
      <w:r w:rsidR="005E5DC0">
        <w:t>22</w:t>
      </w:r>
      <w:r w:rsidR="002B1031" w:rsidRPr="007D4A2B">
        <w:t>.gada</w:t>
      </w:r>
      <w:r w:rsidR="008E72D4">
        <w:t xml:space="preserve"> 1</w:t>
      </w:r>
      <w:r w:rsidR="005E5DC0">
        <w:t>1.maija</w:t>
      </w:r>
      <w:r w:rsidRPr="007D4A2B">
        <w:t xml:space="preserve"> spriedumu.</w:t>
      </w:r>
    </w:p>
    <w:p w14:paraId="227E183D" w14:textId="77777777" w:rsidR="00097AB4" w:rsidRPr="007D4A2B" w:rsidRDefault="00097AB4" w:rsidP="00D330CD">
      <w:pPr>
        <w:spacing w:line="276" w:lineRule="auto"/>
        <w:ind w:firstLine="567"/>
        <w:contextualSpacing/>
        <w:jc w:val="both"/>
      </w:pPr>
    </w:p>
    <w:p w14:paraId="2B79C98E" w14:textId="77777777" w:rsidR="008B7CCD" w:rsidRPr="007D4A2B" w:rsidRDefault="008B7CCD" w:rsidP="00D330CD">
      <w:pPr>
        <w:pStyle w:val="ATvirsraksts"/>
        <w:contextualSpacing/>
      </w:pPr>
      <w:r w:rsidRPr="007D4A2B">
        <w:lastRenderedPageBreak/>
        <w:t>Aprakstošā daļa</w:t>
      </w:r>
    </w:p>
    <w:p w14:paraId="7A360561" w14:textId="77777777" w:rsidR="00F005AF" w:rsidRPr="007D4A2B" w:rsidRDefault="00F005AF" w:rsidP="00D330CD">
      <w:pPr>
        <w:spacing w:line="276" w:lineRule="auto"/>
        <w:ind w:firstLine="567"/>
        <w:contextualSpacing/>
        <w:jc w:val="both"/>
      </w:pPr>
    </w:p>
    <w:p w14:paraId="040EAAEE" w14:textId="402CAA33" w:rsidR="00DF13B7" w:rsidRDefault="008B7CCD" w:rsidP="00D330CD">
      <w:pPr>
        <w:spacing w:line="276" w:lineRule="auto"/>
        <w:ind w:firstLine="567"/>
        <w:contextualSpacing/>
        <w:jc w:val="both"/>
      </w:pPr>
      <w:r w:rsidRPr="007D4A2B">
        <w:t>[1]</w:t>
      </w:r>
      <w:r w:rsidR="00414A8D" w:rsidRPr="007D4A2B">
        <w:t> </w:t>
      </w:r>
      <w:r w:rsidR="00866B00">
        <w:t xml:space="preserve">Ar Valsts ieņēmumu dienesta </w:t>
      </w:r>
      <w:proofErr w:type="gramStart"/>
      <w:r w:rsidR="00866B00">
        <w:t>2019.gada</w:t>
      </w:r>
      <w:proofErr w:type="gramEnd"/>
      <w:r w:rsidR="00866B00">
        <w:t xml:space="preserve"> 23.augusta lēmumu Nr. 30.2-22.8/3831 kā galīgo administratīvo aktu </w:t>
      </w:r>
      <w:r w:rsidR="00866B00" w:rsidRPr="00FD32F1">
        <w:rPr>
          <w:color w:val="000000" w:themeColor="text1"/>
        </w:rPr>
        <w:t xml:space="preserve">pieteicējai </w:t>
      </w:r>
      <w:r w:rsidR="00200851" w:rsidRPr="00FD32F1">
        <w:rPr>
          <w:color w:val="000000" w:themeColor="text1"/>
        </w:rPr>
        <w:t xml:space="preserve">likvidējamai </w:t>
      </w:r>
      <w:r w:rsidR="00866B00">
        <w:t>SIA </w:t>
      </w:r>
      <w:r w:rsidR="00866B00" w:rsidRPr="007D4A2B">
        <w:t>„</w:t>
      </w:r>
      <w:r w:rsidR="00866B00">
        <w:t xml:space="preserve">HIM LAT” papildu </w:t>
      </w:r>
      <w:r w:rsidR="004702B1">
        <w:t>sa</w:t>
      </w:r>
      <w:r w:rsidR="00866B00">
        <w:t xml:space="preserve">maksai budžetā aprēķināts pievienotās vērtības nodoklis, soda nauda un nokavējuma nauda, kā arī palielināta ar pievienotās vērtības nodokļa standartlikmi apliekamo darījumu un kopējo darījumu vērtība. Dienests secināja, </w:t>
      </w:r>
      <w:r w:rsidR="004702B1">
        <w:t xml:space="preserve">ka pieteicējas </w:t>
      </w:r>
      <w:r w:rsidR="00DF13B7">
        <w:t xml:space="preserve">pievienotās vērtības nodokļa deklarācijās </w:t>
      </w:r>
      <w:r w:rsidR="004702B1">
        <w:t xml:space="preserve">deklarētie preču iegādes un piegādes darījumi nav notikuši </w:t>
      </w:r>
      <w:r w:rsidR="000A525F">
        <w:t>tā, kā tas ir norādīts darījumu dokumentos</w:t>
      </w:r>
      <w:r w:rsidR="004702B1">
        <w:t>,</w:t>
      </w:r>
      <w:r w:rsidR="000A525F">
        <w:t xml:space="preserve"> un pieteicēja bija informēta par iesaistīšanos pievienotās vērtības nodokļa sistēmas ļaunprātīgā izmantošanā.</w:t>
      </w:r>
    </w:p>
    <w:p w14:paraId="430F3FFC" w14:textId="4A9635B7" w:rsidR="000A525F" w:rsidRDefault="000A525F" w:rsidP="00D330CD">
      <w:pPr>
        <w:spacing w:line="276" w:lineRule="auto"/>
        <w:ind w:firstLine="567"/>
        <w:contextualSpacing/>
        <w:jc w:val="both"/>
      </w:pPr>
    </w:p>
    <w:p w14:paraId="7F978F1C" w14:textId="20B9C7B8" w:rsidR="000A525F" w:rsidRDefault="000A525F" w:rsidP="00D330CD">
      <w:pPr>
        <w:spacing w:line="276" w:lineRule="auto"/>
        <w:ind w:firstLine="567"/>
        <w:contextualSpacing/>
        <w:jc w:val="both"/>
      </w:pPr>
      <w:r>
        <w:t>[</w:t>
      </w:r>
      <w:r w:rsidR="001D64AC">
        <w:t>2</w:t>
      </w:r>
      <w:r>
        <w:t xml:space="preserve">] Pieteicēja Valsts ieņēmumu dienesta lēmumu pārsūdzēja </w:t>
      </w:r>
      <w:r w:rsidR="004702B1">
        <w:t xml:space="preserve">Administratīvajā rajona </w:t>
      </w:r>
      <w:r>
        <w:t>tiesā.</w:t>
      </w:r>
    </w:p>
    <w:p w14:paraId="32324391" w14:textId="662390B8" w:rsidR="000A525F" w:rsidRDefault="000A525F" w:rsidP="00D330CD">
      <w:pPr>
        <w:spacing w:line="276" w:lineRule="auto"/>
        <w:ind w:firstLine="567"/>
        <w:contextualSpacing/>
        <w:jc w:val="both"/>
      </w:pPr>
    </w:p>
    <w:p w14:paraId="5A9E8C96" w14:textId="122F967E" w:rsidR="00563526" w:rsidRDefault="000A525F" w:rsidP="00D330CD">
      <w:pPr>
        <w:spacing w:line="276" w:lineRule="auto"/>
        <w:ind w:firstLine="567"/>
        <w:contextualSpacing/>
        <w:jc w:val="both"/>
      </w:pPr>
      <w:r>
        <w:lastRenderedPageBreak/>
        <w:t>[</w:t>
      </w:r>
      <w:r w:rsidR="001D64AC">
        <w:t>3</w:t>
      </w:r>
      <w:r>
        <w:t>] </w:t>
      </w:r>
      <w:r w:rsidR="004A386F" w:rsidRPr="007D4A2B">
        <w:t>Izskatījusi lietu apelācijas kārtībā</w:t>
      </w:r>
      <w:r w:rsidR="00565D6C">
        <w:t xml:space="preserve">, </w:t>
      </w:r>
      <w:r w:rsidR="00A443E2">
        <w:t xml:space="preserve">Administratīvā </w:t>
      </w:r>
      <w:r w:rsidR="004A386F" w:rsidRPr="007D4A2B">
        <w:t>apgabaltiesa</w:t>
      </w:r>
      <w:r w:rsidR="00565D6C">
        <w:t xml:space="preserve"> pieteicēja</w:t>
      </w:r>
      <w:r w:rsidR="00563526">
        <w:t>s</w:t>
      </w:r>
      <w:r w:rsidR="004A386F" w:rsidRPr="007D4A2B">
        <w:t xml:space="preserve"> pieteikumu</w:t>
      </w:r>
      <w:r w:rsidR="005931A5" w:rsidRPr="007D4A2B">
        <w:t xml:space="preserve"> </w:t>
      </w:r>
      <w:r w:rsidR="00563526">
        <w:t>noraidīja.</w:t>
      </w:r>
    </w:p>
    <w:p w14:paraId="6E14A3B9" w14:textId="77777777" w:rsidR="00563526" w:rsidRDefault="00563526" w:rsidP="00D330CD">
      <w:pPr>
        <w:spacing w:line="276" w:lineRule="auto"/>
        <w:ind w:firstLine="567"/>
        <w:contextualSpacing/>
        <w:jc w:val="both"/>
      </w:pPr>
    </w:p>
    <w:p w14:paraId="2B3683C9" w14:textId="7A9FBAB6" w:rsidR="00563526" w:rsidRDefault="00E40B02" w:rsidP="00D330CD">
      <w:pPr>
        <w:spacing w:line="276" w:lineRule="auto"/>
        <w:ind w:firstLine="567"/>
        <w:contextualSpacing/>
        <w:jc w:val="both"/>
      </w:pPr>
      <w:r w:rsidRPr="007D4A2B">
        <w:t>[</w:t>
      </w:r>
      <w:r w:rsidR="001D64AC">
        <w:t>4</w:t>
      </w:r>
      <w:r w:rsidRPr="007D4A2B">
        <w:t>] </w:t>
      </w:r>
      <w:r w:rsidR="00563526">
        <w:t>Pieteicēja p</w:t>
      </w:r>
      <w:r w:rsidR="00203D70" w:rsidRPr="007D4A2B">
        <w:t>ar</w:t>
      </w:r>
      <w:r w:rsidRPr="007D4A2B">
        <w:t xml:space="preserve"> </w:t>
      </w:r>
      <w:r w:rsidR="000E4FDD" w:rsidRPr="007D4A2B">
        <w:t>apgabal</w:t>
      </w:r>
      <w:r w:rsidR="00055EB5" w:rsidRPr="007D4A2B">
        <w:t>tiesas</w:t>
      </w:r>
      <w:r w:rsidR="006A54D5" w:rsidRPr="007D4A2B">
        <w:t xml:space="preserve"> </w:t>
      </w:r>
      <w:r w:rsidRPr="007D4A2B">
        <w:t>spriedumu iesniedza kasācijas sūdzību</w:t>
      </w:r>
      <w:r w:rsidR="00377816">
        <w:t>.</w:t>
      </w:r>
    </w:p>
    <w:p w14:paraId="46F3CD23" w14:textId="42E1CAAA" w:rsidR="00601327" w:rsidRDefault="007C075C" w:rsidP="00D330CD">
      <w:pPr>
        <w:spacing w:line="276" w:lineRule="auto"/>
        <w:ind w:firstLine="567"/>
        <w:contextualSpacing/>
        <w:jc w:val="both"/>
      </w:pPr>
      <w:r>
        <w:t xml:space="preserve">Kasācijas sūdzībā </w:t>
      </w:r>
      <w:proofErr w:type="spellStart"/>
      <w:r w:rsidR="00563526">
        <w:t>citstarp</w:t>
      </w:r>
      <w:proofErr w:type="spellEnd"/>
      <w:r w:rsidR="00563526">
        <w:t xml:space="preserve"> norādīts, ka pirmās instances tiesas spriedumā, kuram apgabaltiesa ir pievienojusies, ir vienīgi pārkopēts pārsūdzētais Valsts ieņēmumu dienesta lēmuma teksts, </w:t>
      </w:r>
      <w:r w:rsidR="00F533D7">
        <w:t xml:space="preserve">taču </w:t>
      </w:r>
      <w:r w:rsidR="00563526">
        <w:t>pieteicēja</w:t>
      </w:r>
      <w:r w:rsidR="00777871">
        <w:t>s</w:t>
      </w:r>
      <w:r w:rsidR="00563526">
        <w:t xml:space="preserve"> argumenti </w:t>
      </w:r>
      <w:r w:rsidR="00F533D7">
        <w:t>nav pat pieminēti. Pieteicēja argumentus ir norādījusi gan pieteikumā, gan arī paskaidrojumos</w:t>
      </w:r>
      <w:r w:rsidR="00777871">
        <w:t>. P</w:t>
      </w:r>
      <w:r w:rsidR="00F533D7">
        <w:t>ieteicēja ir izvirzījusi skaidrus un konkrētus pretargumentus ikvienam Valsts ieņēmumu dienesta lēmumā</w:t>
      </w:r>
      <w:r w:rsidR="00563526">
        <w:t xml:space="preserve"> </w:t>
      </w:r>
      <w:r w:rsidR="00F533D7">
        <w:t>izteiktajam apgalvojumam</w:t>
      </w:r>
      <w:r w:rsidR="004702B1">
        <w:t xml:space="preserve"> un </w:t>
      </w:r>
      <w:r w:rsidR="00F533D7">
        <w:t xml:space="preserve">ir nepārprotami norādījusi, kam tieši pieteicēja nepiekrīt un kāpēc. </w:t>
      </w:r>
      <w:r w:rsidR="00777871">
        <w:t>Pieteicēja nav saņēmusi atbildi ne uz vienu savu argumentu. Tā vietā pieteicēja ir saņēmusi tiesas spriedumu, kurā ir pārrakstīts Valsts ieņēmumu dienesta lēmums. Pieteicēja apelācijas sūdzībā vērsa uz to apgabaltiesas uzmanību, taču apgabaltiesa to ignorēja</w:t>
      </w:r>
      <w:r w:rsidR="004702B1">
        <w:t>,</w:t>
      </w:r>
      <w:r w:rsidR="00777871">
        <w:t xml:space="preserve"> un rezultātā pieteicēja saņēma arī apgabaltiesas </w:t>
      </w:r>
      <w:r w:rsidR="00777871">
        <w:lastRenderedPageBreak/>
        <w:t>spriedumu, kurā ir pārkopēts pārsūdzētais lēmums</w:t>
      </w:r>
      <w:r w:rsidR="00601327">
        <w:t>. Šādos apstākļos ir apšaubāms, ka tiesa patiešām</w:t>
      </w:r>
      <w:r w:rsidR="004702B1">
        <w:t xml:space="preserve"> ir</w:t>
      </w:r>
      <w:r w:rsidR="00601327">
        <w:t xml:space="preserve"> izpildīj</w:t>
      </w:r>
      <w:r w:rsidR="004702B1">
        <w:t>usi</w:t>
      </w:r>
      <w:r w:rsidR="00601327">
        <w:t xml:space="preserve"> savu pienākumu </w:t>
      </w:r>
      <w:r w:rsidR="004702B1">
        <w:t xml:space="preserve">veikt </w:t>
      </w:r>
      <w:r w:rsidR="00601327">
        <w:t xml:space="preserve">kontroli pār pārsūdzētā lēmuma tiesiskumu. Līdz ar to tiesa ir pārkāpusi Administratīvā procesa likuma </w:t>
      </w:r>
      <w:proofErr w:type="gramStart"/>
      <w:r w:rsidR="00601327">
        <w:t>9.pantu</w:t>
      </w:r>
      <w:proofErr w:type="gramEnd"/>
      <w:r w:rsidR="00601327">
        <w:t>, 105.panta (acīmredzot, domāts 103.pant</w:t>
      </w:r>
      <w:r w:rsidR="004702B1">
        <w:t>a</w:t>
      </w:r>
      <w:r w:rsidR="00601327">
        <w:t>) pirmo daļu, 150.panta pirmo daļu, 154.pantu un 251.panta pi</w:t>
      </w:r>
      <w:r w:rsidR="004702B1">
        <w:t xml:space="preserve">ekto </w:t>
      </w:r>
      <w:r w:rsidR="00601327">
        <w:t>daļu, kā arī Latvijas Republikas Satversmes (turpmāk – Satversme) 92.pantu, kas ir novedis pie lietas nepareizas izskatīšanas.</w:t>
      </w:r>
    </w:p>
    <w:p w14:paraId="5D5D1801" w14:textId="77777777" w:rsidR="00563526" w:rsidRDefault="00563526" w:rsidP="00D330CD">
      <w:pPr>
        <w:spacing w:line="276" w:lineRule="auto"/>
        <w:ind w:firstLine="567"/>
        <w:contextualSpacing/>
        <w:jc w:val="both"/>
      </w:pPr>
    </w:p>
    <w:p w14:paraId="055E548B" w14:textId="693BFD2D" w:rsidR="0006796A" w:rsidRPr="0032149E" w:rsidRDefault="0006796A" w:rsidP="00D330CD">
      <w:pPr>
        <w:spacing w:line="276" w:lineRule="auto"/>
        <w:ind w:firstLine="567"/>
        <w:jc w:val="both"/>
      </w:pPr>
      <w:r w:rsidRPr="007D4A2B">
        <w:t>[</w:t>
      </w:r>
      <w:r w:rsidR="001D64AC">
        <w:t>5</w:t>
      </w:r>
      <w:r w:rsidRPr="0032149E">
        <w:t>]</w:t>
      </w:r>
      <w:r w:rsidR="008A7471" w:rsidRPr="0032149E">
        <w:t> </w:t>
      </w:r>
      <w:r w:rsidR="00601327">
        <w:t>Valsts ieņēmumu d</w:t>
      </w:r>
      <w:r w:rsidR="00004643" w:rsidRPr="0032149E">
        <w:t>ienests pa</w:t>
      </w:r>
      <w:r w:rsidR="00B7423B" w:rsidRPr="0032149E">
        <w:t>r</w:t>
      </w:r>
      <w:r w:rsidR="00004643" w:rsidRPr="0032149E">
        <w:t xml:space="preserve"> pieteicējas</w:t>
      </w:r>
      <w:r w:rsidR="00B7423B" w:rsidRPr="0032149E">
        <w:t xml:space="preserve"> kasācijas sūdzību iesniedza paskaidrojumus, kuros norādīja, ka</w:t>
      </w:r>
      <w:r w:rsidR="0089514E" w:rsidRPr="0032149E">
        <w:t xml:space="preserve"> </w:t>
      </w:r>
      <w:r w:rsidR="00601327">
        <w:t>pārsūdzētais tiesa</w:t>
      </w:r>
      <w:r w:rsidR="0089514E" w:rsidRPr="0032149E">
        <w:t xml:space="preserve">s spriedums ir </w:t>
      </w:r>
      <w:r w:rsidR="00601327">
        <w:t xml:space="preserve">pareizs un </w:t>
      </w:r>
      <w:r w:rsidR="0089514E" w:rsidRPr="0032149E">
        <w:t>pamatots.</w:t>
      </w:r>
    </w:p>
    <w:p w14:paraId="478107A6" w14:textId="77777777" w:rsidR="007D4A2B" w:rsidRPr="0032149E" w:rsidRDefault="007D4A2B" w:rsidP="00D330CD">
      <w:pPr>
        <w:spacing w:line="276" w:lineRule="auto"/>
        <w:contextualSpacing/>
        <w:jc w:val="center"/>
        <w:rPr>
          <w:b/>
        </w:rPr>
      </w:pPr>
    </w:p>
    <w:p w14:paraId="73F728A5" w14:textId="77777777" w:rsidR="00FF32B7" w:rsidRDefault="008700D3" w:rsidP="00D330CD">
      <w:pPr>
        <w:spacing w:line="276" w:lineRule="auto"/>
        <w:contextualSpacing/>
        <w:jc w:val="center"/>
        <w:rPr>
          <w:b/>
        </w:rPr>
      </w:pPr>
      <w:r w:rsidRPr="0032149E">
        <w:rPr>
          <w:b/>
        </w:rPr>
        <w:t>Motīvu daļa</w:t>
      </w:r>
    </w:p>
    <w:p w14:paraId="6E471F34" w14:textId="77777777" w:rsidR="00FF32B7" w:rsidRDefault="00FF32B7" w:rsidP="00D330CD">
      <w:pPr>
        <w:spacing w:line="276" w:lineRule="auto"/>
        <w:contextualSpacing/>
        <w:jc w:val="center"/>
        <w:rPr>
          <w:b/>
        </w:rPr>
      </w:pPr>
    </w:p>
    <w:p w14:paraId="60779BA0" w14:textId="26C0C2FF" w:rsidR="001D64AC" w:rsidRDefault="001D64AC" w:rsidP="00D330CD">
      <w:pPr>
        <w:spacing w:line="276" w:lineRule="auto"/>
        <w:ind w:firstLine="567"/>
        <w:contextualSpacing/>
        <w:jc w:val="both"/>
        <w:rPr>
          <w:bCs/>
        </w:rPr>
      </w:pPr>
      <w:r>
        <w:rPr>
          <w:bCs/>
        </w:rPr>
        <w:t>[6</w:t>
      </w:r>
      <w:r w:rsidR="002F74E5" w:rsidRPr="0032149E">
        <w:rPr>
          <w:bCs/>
        </w:rPr>
        <w:t>]</w:t>
      </w:r>
      <w:r w:rsidR="0096717C" w:rsidRPr="0032149E">
        <w:rPr>
          <w:bCs/>
        </w:rPr>
        <w:t> </w:t>
      </w:r>
      <w:bookmarkStart w:id="4" w:name="_Hlk117087476"/>
      <w:r w:rsidR="004702B1">
        <w:rPr>
          <w:bCs/>
        </w:rPr>
        <w:t>Pieteicēja kasācijas sūdzībā norāda, ka tiesa ir pārkāpusi pieteicējas tiesības uz taisnīgu tiesu un virkni procesuālo tiesību normu.</w:t>
      </w:r>
    </w:p>
    <w:p w14:paraId="12EEFCC3" w14:textId="77777777" w:rsidR="001D64AC" w:rsidRDefault="004702B1" w:rsidP="00D330CD">
      <w:pPr>
        <w:spacing w:line="276" w:lineRule="auto"/>
        <w:ind w:firstLine="567"/>
        <w:contextualSpacing/>
        <w:jc w:val="both"/>
        <w:rPr>
          <w:bCs/>
        </w:rPr>
      </w:pPr>
      <w:r>
        <w:rPr>
          <w:bCs/>
        </w:rPr>
        <w:lastRenderedPageBreak/>
        <w:t>Senāts turpmāk norādīto apsvērumu dēļ šādu argumentu atzīst par pamatotu</w:t>
      </w:r>
      <w:r w:rsidR="001D64AC">
        <w:rPr>
          <w:bCs/>
        </w:rPr>
        <w:t>.</w:t>
      </w:r>
    </w:p>
    <w:p w14:paraId="079AC41B" w14:textId="77777777" w:rsidR="001D64AC" w:rsidRDefault="001D64AC" w:rsidP="00D330CD">
      <w:pPr>
        <w:spacing w:line="276" w:lineRule="auto"/>
        <w:ind w:firstLine="567"/>
        <w:contextualSpacing/>
        <w:jc w:val="both"/>
        <w:rPr>
          <w:bCs/>
        </w:rPr>
      </w:pPr>
    </w:p>
    <w:p w14:paraId="18C8FD8A" w14:textId="77777777" w:rsidR="001D64AC" w:rsidRDefault="004702B1" w:rsidP="00D330CD">
      <w:pPr>
        <w:spacing w:line="276" w:lineRule="auto"/>
        <w:ind w:firstLine="567"/>
        <w:contextualSpacing/>
        <w:jc w:val="both"/>
      </w:pPr>
      <w:r>
        <w:rPr>
          <w:bCs/>
        </w:rPr>
        <w:t>[</w:t>
      </w:r>
      <w:r w:rsidR="001D64AC">
        <w:rPr>
          <w:bCs/>
        </w:rPr>
        <w:t>7</w:t>
      </w:r>
      <w:r>
        <w:rPr>
          <w:bCs/>
        </w:rPr>
        <w:t>] </w:t>
      </w:r>
      <w:r w:rsidR="00FF32B7" w:rsidRPr="00C22971">
        <w:t xml:space="preserve">Satversmes </w:t>
      </w:r>
      <w:proofErr w:type="gramStart"/>
      <w:r w:rsidR="00FF32B7" w:rsidRPr="00C22971">
        <w:t>92.panta</w:t>
      </w:r>
      <w:proofErr w:type="gramEnd"/>
      <w:r w:rsidR="00FF32B7" w:rsidRPr="00C22971">
        <w:t xml:space="preserve"> pirmais teikums noteic, </w:t>
      </w:r>
      <w:r w:rsidR="00FF32B7" w:rsidRPr="004E76DF">
        <w:t>ka i</w:t>
      </w:r>
      <w:r w:rsidR="00FF32B7" w:rsidRPr="004E76DF">
        <w:rPr>
          <w:shd w:val="clear" w:color="auto" w:fill="FFFFFF"/>
        </w:rPr>
        <w:t xml:space="preserve">kviens var aizstāvēt savas tiesības un likumiskās intereses taisnīgā tiesā. </w:t>
      </w:r>
      <w:r w:rsidR="00FF32B7" w:rsidRPr="004E76DF">
        <w:t xml:space="preserve">Līdzīgi arī </w:t>
      </w:r>
      <w:r w:rsidR="00FF32B7" w:rsidRPr="004E76DF">
        <w:rPr>
          <w:rStyle w:val="Strong"/>
          <w:b w:val="0"/>
          <w:bCs w:val="0"/>
        </w:rPr>
        <w:t xml:space="preserve">Eiropas Cilvēka tiesību un </w:t>
      </w:r>
      <w:r w:rsidR="00FF32B7" w:rsidRPr="00255FA4">
        <w:rPr>
          <w:rStyle w:val="Strong"/>
          <w:b w:val="0"/>
          <w:bCs w:val="0"/>
        </w:rPr>
        <w:t xml:space="preserve">pamatbrīvību aizsardzības konvencijas </w:t>
      </w:r>
      <w:proofErr w:type="gramStart"/>
      <w:r w:rsidR="00FF32B7" w:rsidRPr="00255FA4">
        <w:rPr>
          <w:rStyle w:val="Strong"/>
          <w:b w:val="0"/>
          <w:bCs w:val="0"/>
        </w:rPr>
        <w:t>6.panta</w:t>
      </w:r>
      <w:proofErr w:type="gramEnd"/>
      <w:r w:rsidR="00FF32B7" w:rsidRPr="00255FA4">
        <w:rPr>
          <w:rStyle w:val="Strong"/>
          <w:b w:val="0"/>
          <w:bCs w:val="0"/>
        </w:rPr>
        <w:t xml:space="preserve"> pirmajā daļā paredzēts, ka </w:t>
      </w:r>
      <w:r w:rsidR="00FF32B7" w:rsidRPr="00255FA4">
        <w:t>ikvienam ir tiesības uz taisnīgu lietas izskatīšanu tiesā.</w:t>
      </w:r>
    </w:p>
    <w:p w14:paraId="78641594" w14:textId="33D0E386" w:rsidR="001D64AC" w:rsidRPr="004D5FC3" w:rsidRDefault="00E3547F" w:rsidP="00D330CD">
      <w:pPr>
        <w:spacing w:line="276" w:lineRule="auto"/>
        <w:ind w:firstLine="567"/>
        <w:contextualSpacing/>
        <w:jc w:val="both"/>
        <w:rPr>
          <w:i/>
        </w:rPr>
      </w:pPr>
      <w:r w:rsidRPr="00255FA4">
        <w:t xml:space="preserve">Interpretējot </w:t>
      </w:r>
      <w:bookmarkStart w:id="5" w:name="_Hlk118312454"/>
      <w:r w:rsidRPr="00255FA4">
        <w:rPr>
          <w:rStyle w:val="Strong"/>
          <w:b w:val="0"/>
          <w:bCs w:val="0"/>
        </w:rPr>
        <w:t xml:space="preserve">Cilvēka tiesību un pamatbrīvību aizsardzības konvencijas </w:t>
      </w:r>
      <w:bookmarkEnd w:id="5"/>
      <w:proofErr w:type="gramStart"/>
      <w:r w:rsidRPr="00255FA4">
        <w:rPr>
          <w:rStyle w:val="Strong"/>
          <w:b w:val="0"/>
          <w:bCs w:val="0"/>
        </w:rPr>
        <w:t>6.panta</w:t>
      </w:r>
      <w:proofErr w:type="gramEnd"/>
      <w:r w:rsidRPr="00255FA4">
        <w:rPr>
          <w:rStyle w:val="Strong"/>
          <w:b w:val="0"/>
          <w:bCs w:val="0"/>
        </w:rPr>
        <w:t xml:space="preserve"> 1.punktu</w:t>
      </w:r>
      <w:r w:rsidRPr="00255FA4">
        <w:t>, Eiropas Cilvēktiesību tiesa ir atzinusi, ka šī tiesību norma uzliek tiesai pienākumu pamatot savu spriedumu</w:t>
      </w:r>
      <w:r w:rsidR="00255FA4">
        <w:t xml:space="preserve"> (</w:t>
      </w:r>
      <w:r w:rsidR="00255FA4" w:rsidRPr="00255FA4">
        <w:rPr>
          <w:i/>
        </w:rPr>
        <w:t xml:space="preserve">Eiropas Cilvēktiesību tiesas 1994.gada 19.aprīļa sprieduma lietā </w:t>
      </w:r>
      <w:r w:rsidR="004D5FC3" w:rsidRPr="004D5FC3">
        <w:rPr>
          <w:i/>
        </w:rPr>
        <w:t>„</w:t>
      </w:r>
      <w:proofErr w:type="spellStart"/>
      <w:r w:rsidR="00255FA4" w:rsidRPr="00255FA4">
        <w:rPr>
          <w:i/>
        </w:rPr>
        <w:t>Van</w:t>
      </w:r>
      <w:proofErr w:type="spellEnd"/>
      <w:r w:rsidR="00255FA4" w:rsidRPr="00255FA4">
        <w:rPr>
          <w:i/>
        </w:rPr>
        <w:t xml:space="preserve"> </w:t>
      </w:r>
      <w:proofErr w:type="spellStart"/>
      <w:r w:rsidR="00255FA4" w:rsidRPr="00255FA4">
        <w:rPr>
          <w:i/>
        </w:rPr>
        <w:t>de</w:t>
      </w:r>
      <w:proofErr w:type="spellEnd"/>
      <w:r w:rsidR="00255FA4" w:rsidRPr="00255FA4">
        <w:rPr>
          <w:i/>
        </w:rPr>
        <w:t xml:space="preserve"> </w:t>
      </w:r>
      <w:proofErr w:type="spellStart"/>
      <w:r w:rsidR="00255FA4" w:rsidRPr="00255FA4">
        <w:rPr>
          <w:i/>
        </w:rPr>
        <w:t>Hurk</w:t>
      </w:r>
      <w:proofErr w:type="spellEnd"/>
      <w:r w:rsidR="00255FA4" w:rsidRPr="00255FA4">
        <w:rPr>
          <w:i/>
        </w:rPr>
        <w:t xml:space="preserve"> v. </w:t>
      </w:r>
      <w:proofErr w:type="spellStart"/>
      <w:r w:rsidR="00255FA4" w:rsidRPr="00255FA4">
        <w:rPr>
          <w:bCs/>
          <w:i/>
          <w:lang w:val="lv"/>
        </w:rPr>
        <w:t>the</w:t>
      </w:r>
      <w:proofErr w:type="spellEnd"/>
      <w:r w:rsidR="00255FA4" w:rsidRPr="00255FA4">
        <w:rPr>
          <w:bCs/>
          <w:i/>
          <w:lang w:val="lv"/>
        </w:rPr>
        <w:t xml:space="preserve"> </w:t>
      </w:r>
      <w:proofErr w:type="spellStart"/>
      <w:r w:rsidR="00255FA4" w:rsidRPr="00255FA4">
        <w:rPr>
          <w:bCs/>
          <w:i/>
          <w:lang w:val="lv"/>
        </w:rPr>
        <w:t>Netherlands</w:t>
      </w:r>
      <w:proofErr w:type="spellEnd"/>
      <w:r w:rsidR="004D5FC3">
        <w:rPr>
          <w:bCs/>
          <w:i/>
          <w:lang w:val="lv"/>
        </w:rPr>
        <w:t xml:space="preserve">”, </w:t>
      </w:r>
      <w:r w:rsidR="00255FA4" w:rsidRPr="00255FA4">
        <w:rPr>
          <w:i/>
        </w:rPr>
        <w:t>iesniegum</w:t>
      </w:r>
      <w:r w:rsidR="004D5FC3">
        <w:rPr>
          <w:i/>
        </w:rPr>
        <w:t>a</w:t>
      </w:r>
      <w:r w:rsidR="00255FA4" w:rsidRPr="00255FA4">
        <w:rPr>
          <w:i/>
        </w:rPr>
        <w:t xml:space="preserve"> Nr. 16034/90</w:t>
      </w:r>
      <w:r w:rsidR="004D5FC3">
        <w:rPr>
          <w:i/>
        </w:rPr>
        <w:t>,</w:t>
      </w:r>
      <w:r w:rsidR="00255FA4" w:rsidRPr="00255FA4">
        <w:rPr>
          <w:i/>
        </w:rPr>
        <w:t xml:space="preserve"> 61.punkts</w:t>
      </w:r>
      <w:r w:rsidR="00255FA4">
        <w:rPr>
          <w:iCs/>
        </w:rPr>
        <w:t>).</w:t>
      </w:r>
      <w:r w:rsidRPr="00255FA4">
        <w:t xml:space="preserve"> Tā kā Satversmē ietvertās cilvēktiesības ir interpretējamas pēc iespējas atbilstoši starptautisko cilvēktiesību piemērošanas praksei</w:t>
      </w:r>
      <w:r w:rsidR="00255FA4">
        <w:t xml:space="preserve"> (</w:t>
      </w:r>
      <w:r w:rsidR="00255FA4" w:rsidRPr="00255FA4">
        <w:rPr>
          <w:i/>
        </w:rPr>
        <w:t>Satversmes tiesas 2000.gada 30.augusta sprieduma lietā Nr.</w:t>
      </w:r>
      <w:r w:rsidR="00255FA4">
        <w:rPr>
          <w:i/>
        </w:rPr>
        <w:t> </w:t>
      </w:r>
      <w:r w:rsidR="00255FA4" w:rsidRPr="00255FA4">
        <w:rPr>
          <w:i/>
        </w:rPr>
        <w:t>2000-03-01 5.punkts</w:t>
      </w:r>
      <w:r w:rsidR="00255FA4">
        <w:rPr>
          <w:iCs/>
        </w:rPr>
        <w:t>)</w:t>
      </w:r>
      <w:r w:rsidRPr="00255FA4">
        <w:t xml:space="preserve">, tad tiesas pienākumu </w:t>
      </w:r>
      <w:r w:rsidRPr="00255FA4">
        <w:lastRenderedPageBreak/>
        <w:t xml:space="preserve">pamatot spriedumu nosaka ne vien </w:t>
      </w:r>
      <w:r w:rsidRPr="00255FA4">
        <w:rPr>
          <w:rStyle w:val="Strong"/>
          <w:b w:val="0"/>
          <w:bCs w:val="0"/>
        </w:rPr>
        <w:t>Cilvēka tiesību un pamatbrīvību aizsardzības konvencijas</w:t>
      </w:r>
      <w:r w:rsidRPr="00255FA4">
        <w:t xml:space="preserve"> 6.pants, bet arī Satversmes 92</w:t>
      </w:r>
      <w:r>
        <w:t>.pants</w:t>
      </w:r>
      <w:r w:rsidR="00255FA4">
        <w:t xml:space="preserve"> (</w:t>
      </w:r>
      <w:r w:rsidR="00255FA4" w:rsidRPr="00255FA4">
        <w:rPr>
          <w:i/>
          <w:iCs/>
        </w:rPr>
        <w:t>Senāta 2012.gada 19.janvāra lēmuma lietā Nr. SKA-170/2012 (A7037711) 16.punkts</w:t>
      </w:r>
      <w:r w:rsidR="00255FA4">
        <w:t>)</w:t>
      </w:r>
      <w:r>
        <w:t xml:space="preserve">. Pamatošanas pienākums ir arī tiesiskā valstī pastāvošs vispārējs tiesību princips. To dēvē par pamatojuma principu, </w:t>
      </w:r>
      <w:r w:rsidRPr="00F813DE">
        <w:rPr>
          <w:shd w:val="clear" w:color="auto" w:fill="FFFFFF"/>
        </w:rPr>
        <w:t>kurš skan šādi – </w:t>
      </w:r>
      <w:r w:rsidRPr="00B14C4B">
        <w:t>„</w:t>
      </w:r>
      <w:proofErr w:type="spellStart"/>
      <w:r w:rsidRPr="004E76DF">
        <w:rPr>
          <w:i/>
          <w:iCs/>
          <w:shd w:val="clear" w:color="auto" w:fill="FFFFFF"/>
        </w:rPr>
        <w:t>Nihil</w:t>
      </w:r>
      <w:proofErr w:type="spellEnd"/>
      <w:r w:rsidRPr="004E76DF">
        <w:rPr>
          <w:i/>
          <w:iCs/>
          <w:shd w:val="clear" w:color="auto" w:fill="FFFFFF"/>
        </w:rPr>
        <w:t xml:space="preserve"> </w:t>
      </w:r>
      <w:proofErr w:type="spellStart"/>
      <w:r w:rsidRPr="004E76DF">
        <w:rPr>
          <w:i/>
          <w:iCs/>
          <w:shd w:val="clear" w:color="auto" w:fill="FFFFFF"/>
        </w:rPr>
        <w:t>est</w:t>
      </w:r>
      <w:proofErr w:type="spellEnd"/>
      <w:r w:rsidRPr="004E76DF">
        <w:rPr>
          <w:i/>
          <w:iCs/>
          <w:shd w:val="clear" w:color="auto" w:fill="FFFFFF"/>
        </w:rPr>
        <w:t xml:space="preserve"> </w:t>
      </w:r>
      <w:proofErr w:type="spellStart"/>
      <w:r w:rsidRPr="004E76DF">
        <w:rPr>
          <w:i/>
          <w:iCs/>
          <w:shd w:val="clear" w:color="auto" w:fill="FFFFFF"/>
        </w:rPr>
        <w:t>sine</w:t>
      </w:r>
      <w:proofErr w:type="spellEnd"/>
      <w:r w:rsidRPr="004E76DF">
        <w:rPr>
          <w:i/>
          <w:iCs/>
          <w:shd w:val="clear" w:color="auto" w:fill="FFFFFF"/>
        </w:rPr>
        <w:t xml:space="preserve"> </w:t>
      </w:r>
      <w:proofErr w:type="spellStart"/>
      <w:r w:rsidRPr="004E76DF">
        <w:rPr>
          <w:i/>
          <w:iCs/>
          <w:shd w:val="clear" w:color="auto" w:fill="FFFFFF"/>
        </w:rPr>
        <w:t>ratione</w:t>
      </w:r>
      <w:proofErr w:type="spellEnd"/>
      <w:r w:rsidRPr="00F813DE">
        <w:rPr>
          <w:shd w:val="clear" w:color="auto" w:fill="FFFFFF"/>
        </w:rPr>
        <w:t>” (nekas</w:t>
      </w:r>
      <w:r>
        <w:rPr>
          <w:shd w:val="clear" w:color="auto" w:fill="FFFFFF"/>
        </w:rPr>
        <w:t xml:space="preserve"> nav bez pamatojuma – tulkojums no latīņu valodas)</w:t>
      </w:r>
      <w:r w:rsidR="00255FA4">
        <w:rPr>
          <w:color w:val="101820"/>
          <w:spacing w:val="3"/>
          <w:shd w:val="clear" w:color="auto" w:fill="FFFFFF" w:themeFill="background1"/>
        </w:rPr>
        <w:t>.</w:t>
      </w:r>
      <w:r>
        <w:rPr>
          <w:shd w:val="clear" w:color="auto" w:fill="FFFFFF"/>
        </w:rPr>
        <w:t xml:space="preserve"> Pamatošanas pienākums ir cieši saistīts arī ar valsts varas izmantošanas attaisnojuma nepieciešamību un arī ar tādu tiesiskas valsts aspektu kā padotību likumam un tiesībām. Minētais aspekts liek tiesai ar pamatojuma palīdzību paskaidrot procesa dalībniekiem, augstākas instances tiesai un sabiedrībai, ka spriedums izriet no likuma un tiesībām. Par pamatošanas pienākuma avotu tiek atzīts arī demokrātijas princips. Tas prasa, lai valsts rīcība būtu atklāta un caurskatāma un lai tādējādi tiktu dota iespēja to kontrolēt. Līdz ar to pamatošanas pienākums ir viens no demokrātiskas tiesiskas valsts pamatelementiem, kurš atspoguļojas vairākās konstitucionālajās normās</w:t>
      </w:r>
      <w:r w:rsidR="00255FA4">
        <w:rPr>
          <w:shd w:val="clear" w:color="auto" w:fill="FFFFFF"/>
        </w:rPr>
        <w:t xml:space="preserve"> </w:t>
      </w:r>
      <w:r w:rsidR="004702B1">
        <w:rPr>
          <w:shd w:val="clear" w:color="auto" w:fill="FFFFFF"/>
        </w:rPr>
        <w:t>(</w:t>
      </w:r>
      <w:r w:rsidR="004702B1" w:rsidRPr="00255FA4">
        <w:rPr>
          <w:i/>
          <w:iCs/>
        </w:rPr>
        <w:t>Bārdiņš G. Dialoga loma tiesas spriešanā.</w:t>
      </w:r>
      <w:r w:rsidR="004702B1" w:rsidRPr="00255FA4">
        <w:rPr>
          <w:i/>
          <w:iCs/>
          <w:color w:val="101820"/>
          <w:spacing w:val="3"/>
          <w:shd w:val="clear" w:color="auto" w:fill="FFFFFF" w:themeFill="background1"/>
        </w:rPr>
        <w:t xml:space="preserve"> Rīga: Tiesu namu aģentūra, 2016, 176.lpp.</w:t>
      </w:r>
      <w:r w:rsidR="004D5FC3">
        <w:rPr>
          <w:i/>
          <w:iCs/>
          <w:color w:val="101820"/>
          <w:spacing w:val="3"/>
          <w:shd w:val="clear" w:color="auto" w:fill="FFFFFF" w:themeFill="background1"/>
        </w:rPr>
        <w:t xml:space="preserve"> un</w:t>
      </w:r>
      <w:r w:rsidR="00255FA4" w:rsidRPr="00255FA4">
        <w:rPr>
          <w:i/>
          <w:iCs/>
          <w:shd w:val="clear" w:color="auto" w:fill="FFFFFF"/>
        </w:rPr>
        <w:t xml:space="preserve"> 180.lpp</w:t>
      </w:r>
      <w:r w:rsidR="00255FA4">
        <w:rPr>
          <w:shd w:val="clear" w:color="auto" w:fill="FFFFFF"/>
        </w:rPr>
        <w:t>).</w:t>
      </w:r>
      <w:r w:rsidRPr="003C1538">
        <w:t xml:space="preserve"> </w:t>
      </w:r>
      <w:r w:rsidR="004702B1">
        <w:t xml:space="preserve">Tiesas pienākums pamatot spriedumu </w:t>
      </w:r>
      <w:r>
        <w:t>ir paredzēts arī procesuālajos likumos</w:t>
      </w:r>
      <w:r w:rsidR="00143DE7">
        <w:t> – saskaņā ar A</w:t>
      </w:r>
      <w:r>
        <w:t>dministratīvā procesa likuma 246.panta treš</w:t>
      </w:r>
      <w:r w:rsidR="00143DE7">
        <w:t>o</w:t>
      </w:r>
      <w:r>
        <w:t xml:space="preserve"> daļ</w:t>
      </w:r>
      <w:r w:rsidR="00143DE7">
        <w:t>u</w:t>
      </w:r>
      <w:r>
        <w:t xml:space="preserve"> spriedumam jābūt tiesiskam un pamatotam.</w:t>
      </w:r>
    </w:p>
    <w:p w14:paraId="5379C11A" w14:textId="77777777" w:rsidR="001D64AC" w:rsidRDefault="00E3547F" w:rsidP="00D330CD">
      <w:pPr>
        <w:spacing w:line="276" w:lineRule="auto"/>
        <w:ind w:firstLine="567"/>
        <w:contextualSpacing/>
        <w:jc w:val="both"/>
        <w:rPr>
          <w:shd w:val="clear" w:color="auto" w:fill="FFFFFF"/>
        </w:rPr>
      </w:pPr>
      <w:r w:rsidRPr="00B97B5C">
        <w:rPr>
          <w:shd w:val="clear" w:color="auto" w:fill="FFFFFF"/>
        </w:rPr>
        <w:t>Tādējādi nav šaubu, ka tiesai, lai nodrošin</w:t>
      </w:r>
      <w:r>
        <w:rPr>
          <w:shd w:val="clear" w:color="auto" w:fill="FFFFFF"/>
        </w:rPr>
        <w:t>āt</w:t>
      </w:r>
      <w:r w:rsidRPr="00B97B5C">
        <w:rPr>
          <w:shd w:val="clear" w:color="auto" w:fill="FFFFFF"/>
        </w:rPr>
        <w:t>u lietas objektīvu un taisnīgu izspriešanu, ir pienākums pamatot spriedumu</w:t>
      </w:r>
      <w:r>
        <w:rPr>
          <w:shd w:val="clear" w:color="auto" w:fill="FFFFFF"/>
        </w:rPr>
        <w:t>.</w:t>
      </w:r>
    </w:p>
    <w:p w14:paraId="585D9C8C" w14:textId="77777777" w:rsidR="001D64AC" w:rsidRDefault="001D64AC" w:rsidP="00D330CD">
      <w:pPr>
        <w:spacing w:line="276" w:lineRule="auto"/>
        <w:ind w:firstLine="567"/>
        <w:contextualSpacing/>
        <w:jc w:val="both"/>
        <w:rPr>
          <w:shd w:val="clear" w:color="auto" w:fill="FFFFFF"/>
        </w:rPr>
      </w:pPr>
    </w:p>
    <w:p w14:paraId="2166C73F" w14:textId="77777777" w:rsidR="001D64AC" w:rsidRDefault="00E3547F" w:rsidP="00D330CD">
      <w:pPr>
        <w:spacing w:line="276" w:lineRule="auto"/>
        <w:ind w:firstLine="567"/>
        <w:contextualSpacing/>
        <w:jc w:val="both"/>
      </w:pPr>
      <w:r>
        <w:t>[</w:t>
      </w:r>
      <w:r w:rsidR="001D64AC">
        <w:t>8</w:t>
      </w:r>
      <w:r>
        <w:t>] Procesa dalībnieka tiesības uz motivētu tiesas spriedumu ir cieši saistītas ar tiesībām uz lietas apstākļu vispusīgu un objektīvu izvērtējumu.</w:t>
      </w:r>
      <w:r w:rsidR="00255FA4">
        <w:t xml:space="preserve"> </w:t>
      </w:r>
      <w:r w:rsidR="00143DE7">
        <w:t xml:space="preserve">Tiesības uz taisnīgu tiesu ietver arī vairākas prasības, kas attiecas uz pierādījumiem – to iesniegšanu, pieņemšanu un novērtēšanu </w:t>
      </w:r>
      <w:r w:rsidR="00255FA4">
        <w:t>(</w:t>
      </w:r>
      <w:r w:rsidR="00255FA4" w:rsidRPr="00255FA4">
        <w:rPr>
          <w:i/>
          <w:iCs/>
        </w:rPr>
        <w:t xml:space="preserve">Briede J., Višķere I., </w:t>
      </w:r>
      <w:proofErr w:type="spellStart"/>
      <w:r w:rsidR="00255FA4" w:rsidRPr="00255FA4">
        <w:rPr>
          <w:i/>
          <w:iCs/>
        </w:rPr>
        <w:t>Litvins</w:t>
      </w:r>
      <w:proofErr w:type="spellEnd"/>
      <w:r w:rsidR="00255FA4" w:rsidRPr="00255FA4">
        <w:rPr>
          <w:i/>
          <w:iCs/>
        </w:rPr>
        <w:t xml:space="preserve"> G., Bitāns A., </w:t>
      </w:r>
      <w:proofErr w:type="spellStart"/>
      <w:r w:rsidR="00255FA4" w:rsidRPr="00255FA4">
        <w:rPr>
          <w:i/>
          <w:iCs/>
        </w:rPr>
        <w:t>Danovskis</w:t>
      </w:r>
      <w:proofErr w:type="spellEnd"/>
      <w:r w:rsidR="00255FA4" w:rsidRPr="00255FA4">
        <w:rPr>
          <w:i/>
          <w:iCs/>
        </w:rPr>
        <w:t xml:space="preserve"> E. </w:t>
      </w:r>
      <w:proofErr w:type="gramStart"/>
      <w:r w:rsidR="00255FA4" w:rsidRPr="00255FA4">
        <w:rPr>
          <w:i/>
          <w:iCs/>
        </w:rPr>
        <w:t>92.panta</w:t>
      </w:r>
      <w:proofErr w:type="gramEnd"/>
      <w:r w:rsidR="00255FA4" w:rsidRPr="00255FA4">
        <w:rPr>
          <w:i/>
          <w:iCs/>
        </w:rPr>
        <w:t xml:space="preserve"> komentārs. </w:t>
      </w:r>
      <w:proofErr w:type="spellStart"/>
      <w:r w:rsidR="00255FA4" w:rsidRPr="00255FA4">
        <w:rPr>
          <w:i/>
          <w:iCs/>
        </w:rPr>
        <w:t>Grām</w:t>
      </w:r>
      <w:proofErr w:type="spellEnd"/>
      <w:r w:rsidR="00255FA4" w:rsidRPr="00255FA4">
        <w:rPr>
          <w:i/>
          <w:iCs/>
        </w:rPr>
        <w:t>.: Latvijas Republikas Satversmes komentāri. VIII nodaļa. Cilvēka pamattiesības. Balodis R. (</w:t>
      </w:r>
      <w:proofErr w:type="spellStart"/>
      <w:r w:rsidR="00255FA4" w:rsidRPr="00255FA4">
        <w:rPr>
          <w:i/>
          <w:iCs/>
        </w:rPr>
        <w:t>Zin</w:t>
      </w:r>
      <w:proofErr w:type="spellEnd"/>
      <w:r w:rsidR="00255FA4" w:rsidRPr="00255FA4">
        <w:rPr>
          <w:i/>
          <w:iCs/>
        </w:rPr>
        <w:t xml:space="preserve">. red.). Rīga: Latvijas Vēstnesis, 2011, </w:t>
      </w:r>
      <w:r w:rsidR="00143DE7">
        <w:rPr>
          <w:i/>
          <w:iCs/>
        </w:rPr>
        <w:t xml:space="preserve">136., </w:t>
      </w:r>
      <w:r w:rsidR="00255FA4" w:rsidRPr="00255FA4">
        <w:rPr>
          <w:i/>
          <w:iCs/>
        </w:rPr>
        <w:t>140.lpp.</w:t>
      </w:r>
      <w:r w:rsidR="00255FA4">
        <w:t>).</w:t>
      </w:r>
    </w:p>
    <w:p w14:paraId="07EF851E" w14:textId="4BC5FCC7" w:rsidR="001D64AC" w:rsidRDefault="00E3547F" w:rsidP="00D330CD">
      <w:pPr>
        <w:spacing w:line="276" w:lineRule="auto"/>
        <w:ind w:firstLine="567"/>
        <w:contextualSpacing/>
        <w:jc w:val="both"/>
      </w:pPr>
      <w:r>
        <w:t>Lai pareizi izspriestu lietu, tiesai ir objektīvi jānoskaidro lietas apstākļi. Tā kā lietas apstākļi pamatā ir pagātnes notikumi, tos tiesa</w:t>
      </w:r>
      <w:r w:rsidR="007F17D2">
        <w:t xml:space="preserve"> noskaidro</w:t>
      </w:r>
      <w:r w:rsidR="00CC2A57">
        <w:t xml:space="preserve">, </w:t>
      </w:r>
      <w:r>
        <w:t>pamatojoties uz lietā esošajiem pierādījumiem</w:t>
      </w:r>
      <w:r w:rsidR="007F17D2" w:rsidRPr="007F17D2">
        <w:t xml:space="preserve"> </w:t>
      </w:r>
      <w:r w:rsidR="007F17D2">
        <w:t xml:space="preserve">(Administratīvā procesa likuma </w:t>
      </w:r>
      <w:proofErr w:type="gramStart"/>
      <w:r w:rsidR="007F17D2">
        <w:t>107.pants</w:t>
      </w:r>
      <w:proofErr w:type="gramEnd"/>
      <w:r w:rsidR="007F17D2">
        <w:t>)</w:t>
      </w:r>
      <w:r w:rsidR="00143DE7">
        <w:t xml:space="preserve">. </w:t>
      </w:r>
      <w:r w:rsidR="00632205">
        <w:t xml:space="preserve">Pierādījumus </w:t>
      </w:r>
      <w:r>
        <w:t xml:space="preserve">tiesa pārbauda un novērtē, ievērojot </w:t>
      </w:r>
      <w:r w:rsidRPr="00FC11BE">
        <w:t>likumā paredzētās prasības.</w:t>
      </w:r>
      <w:r w:rsidR="00632205" w:rsidRPr="00FC11BE">
        <w:t xml:space="preserve"> </w:t>
      </w:r>
      <w:r w:rsidR="00CC2A57">
        <w:t>Proti, a</w:t>
      </w:r>
      <w:r w:rsidR="00632205" w:rsidRPr="00FC11BE">
        <w:t xml:space="preserve">tbilstoši Administratīvā procesa likuma </w:t>
      </w:r>
      <w:proofErr w:type="gramStart"/>
      <w:r w:rsidR="00632205" w:rsidRPr="00FC11BE">
        <w:t>154.pantam</w:t>
      </w:r>
      <w:proofErr w:type="gramEnd"/>
      <w:r w:rsidR="00632205" w:rsidRPr="00FC11BE">
        <w:t xml:space="preserve"> </w:t>
      </w:r>
      <w:r w:rsidR="00FC11BE" w:rsidRPr="00FC11BE">
        <w:t>tiesa novērtē pierādījumus pēc savas iekšējās pārliecības, kas pamatojas uz vispusīgi, pilnīgi un objektīvi pārbaudītiem pierādījumiem, kā arī vadoties no tiesiskās apziņas, kas balstīta uz loģikas likumiem, zinātnes atziņām un taisnības principiem. Nekādiem pierādījumiem nav iepriekš noteikta spēka, kas saistītu tiesu. Tiesa spriedumā norāda, kādēļ tā vienam pierādījumam devusi priekšroku salīdzinājumā ar citu pierādījumu un atzinusi vienu faktu par pierādītu, bet citu</w:t>
      </w:r>
      <w:r w:rsidR="001D64AC">
        <w:t> </w:t>
      </w:r>
      <w:r w:rsidR="00FC11BE" w:rsidRPr="00FC11BE">
        <w:t>– par nepierādītu.</w:t>
      </w:r>
    </w:p>
    <w:p w14:paraId="35624389" w14:textId="091E7871" w:rsidR="001D64AC" w:rsidRDefault="00E3547F" w:rsidP="00D330CD">
      <w:pPr>
        <w:spacing w:line="276" w:lineRule="auto"/>
        <w:ind w:firstLine="567"/>
        <w:contextualSpacing/>
        <w:jc w:val="both"/>
      </w:pPr>
      <w:r w:rsidRPr="00FC11BE">
        <w:t xml:space="preserve">Lai procesa dalībnieks, kā arī augstākas </w:t>
      </w:r>
      <w:r>
        <w:t xml:space="preserve">instances tiesa varētu pārliecināties, ka tiesa likumā noteiktajā kārtībā ir pārbaudījusi un novērtējusi lietas apstākļus un pierādījumus, tiesai tas ir jāatspoguļo spriedumā. Šāda prasība ir paredzēta </w:t>
      </w:r>
      <w:r w:rsidRPr="00FC11BE">
        <w:t>Administratīvā</w:t>
      </w:r>
      <w:r>
        <w:t xml:space="preserve"> procesa likuma </w:t>
      </w:r>
      <w:proofErr w:type="gramStart"/>
      <w:r>
        <w:t>251.panta</w:t>
      </w:r>
      <w:proofErr w:type="gramEnd"/>
      <w:r>
        <w:t xml:space="preserve"> piektajā daļā, </w:t>
      </w:r>
      <w:r w:rsidR="00632205">
        <w:t>atbilstoši kurai</w:t>
      </w:r>
      <w:r w:rsidR="00143DE7">
        <w:t xml:space="preserve"> sprieduma motīvu daļā norāda konstatēto lietas tiesisko un faktisko apstākļu un pierādījumu analīz</w:t>
      </w:r>
      <w:r w:rsidR="00F121A6">
        <w:t>i</w:t>
      </w:r>
      <w:r w:rsidR="00143DE7">
        <w:t xml:space="preserve">. </w:t>
      </w:r>
      <w:r>
        <w:t xml:space="preserve">Arī 103.panta otrajā daļā </w:t>
      </w:r>
      <w:r w:rsidR="007F17D2">
        <w:t xml:space="preserve">ir </w:t>
      </w:r>
      <w:r>
        <w:t xml:space="preserve">paredzēta prasība tiesai sniegt lietas apstākļu juridisku vērtējumu. Šajā </w:t>
      </w:r>
      <w:r w:rsidR="00143DE7">
        <w:t>norm</w:t>
      </w:r>
      <w:r>
        <w:t xml:space="preserve">ā arī noteikts, ka </w:t>
      </w:r>
      <w:r w:rsidR="00143DE7">
        <w:t xml:space="preserve">tiesa </w:t>
      </w:r>
      <w:r>
        <w:t>lietas apstākļus noskaidro un to juridisku vērtējumu sniedz pati</w:t>
      </w:r>
      <w:r w:rsidR="00F6351F">
        <w:t xml:space="preserve"> (</w:t>
      </w:r>
      <w:proofErr w:type="spellStart"/>
      <w:r w:rsidR="00F6351F" w:rsidRPr="00F6351F">
        <w:rPr>
          <w:i/>
          <w:iCs/>
        </w:rPr>
        <w:t>ex</w:t>
      </w:r>
      <w:proofErr w:type="spellEnd"/>
      <w:r w:rsidR="00F6351F" w:rsidRPr="00F6351F">
        <w:rPr>
          <w:i/>
          <w:iCs/>
        </w:rPr>
        <w:t xml:space="preserve"> </w:t>
      </w:r>
      <w:proofErr w:type="spellStart"/>
      <w:r w:rsidR="00F6351F" w:rsidRPr="00F6351F">
        <w:rPr>
          <w:i/>
          <w:iCs/>
        </w:rPr>
        <w:t>officio</w:t>
      </w:r>
      <w:proofErr w:type="spellEnd"/>
      <w:r w:rsidR="00F6351F">
        <w:t>)</w:t>
      </w:r>
      <w:r>
        <w:t>. Tas nozīmē, ka tiesai spriedumā ir jāanalizē jeb jāraksturo lietas būtiskie apstākļi un pierādījumi un jānorāda savs vērtējums par to, kāda ir šo apstākļu un pierādījumu nozīme lietā un ietekme uz strīda būtību, kāpēc konkrētie fakti par kaut ko liecina vai tieši pretēji – neliecina.</w:t>
      </w:r>
    </w:p>
    <w:p w14:paraId="5CD7EF63" w14:textId="77777777" w:rsidR="001D64AC" w:rsidRDefault="001D64AC" w:rsidP="00D330CD">
      <w:pPr>
        <w:spacing w:line="276" w:lineRule="auto"/>
        <w:ind w:firstLine="567"/>
        <w:contextualSpacing/>
        <w:jc w:val="both"/>
      </w:pPr>
    </w:p>
    <w:p w14:paraId="476E3C13" w14:textId="77777777" w:rsidR="001D64AC" w:rsidRDefault="00632205" w:rsidP="00D330CD">
      <w:pPr>
        <w:spacing w:line="276" w:lineRule="auto"/>
        <w:ind w:firstLine="567"/>
        <w:contextualSpacing/>
        <w:jc w:val="both"/>
      </w:pPr>
      <w:r>
        <w:t>[</w:t>
      </w:r>
      <w:r w:rsidR="001D64AC">
        <w:t>9</w:t>
      </w:r>
      <w:r>
        <w:t>] Tiesības uz taisnīgu tiesu ietver arī tiesības būt uzklausītam. Uzklausīšana ir cieņas izrādīšana pret personu administratīvajā procesā, ļaujot indivīdam kā cienīgai personai piedalīties un izteikt savu viedokli, lai ietekmētu labvēlīgāka lēmuma pieņemšanu</w:t>
      </w:r>
      <w:r w:rsidR="000B4D1A">
        <w:t xml:space="preserve"> (</w:t>
      </w:r>
      <w:r w:rsidR="000B4D1A" w:rsidRPr="000B4D1A">
        <w:rPr>
          <w:i/>
          <w:iCs/>
        </w:rPr>
        <w:t>Briede J. 14.</w:t>
      </w:r>
      <w:proofErr w:type="gramStart"/>
      <w:r w:rsidR="000B4D1A" w:rsidRPr="000B4D1A">
        <w:rPr>
          <w:i/>
          <w:iCs/>
          <w:vertAlign w:val="superscript"/>
        </w:rPr>
        <w:t>1</w:t>
      </w:r>
      <w:r w:rsidR="000B4D1A" w:rsidRPr="000B4D1A">
        <w:rPr>
          <w:i/>
          <w:iCs/>
        </w:rPr>
        <w:t>panta</w:t>
      </w:r>
      <w:proofErr w:type="gramEnd"/>
      <w:r w:rsidR="000B4D1A" w:rsidRPr="000B4D1A">
        <w:rPr>
          <w:i/>
          <w:iCs/>
        </w:rPr>
        <w:t xml:space="preserve"> komentārs. </w:t>
      </w:r>
      <w:proofErr w:type="spellStart"/>
      <w:r w:rsidR="000B4D1A" w:rsidRPr="000B4D1A">
        <w:rPr>
          <w:i/>
          <w:iCs/>
        </w:rPr>
        <w:t>Grām</w:t>
      </w:r>
      <w:proofErr w:type="spellEnd"/>
      <w:r w:rsidR="000B4D1A" w:rsidRPr="000B4D1A">
        <w:rPr>
          <w:i/>
          <w:iCs/>
        </w:rPr>
        <w:t>.: Administratīvā procesa likuma komentāri. A un B daļa. Briede J. (</w:t>
      </w:r>
      <w:proofErr w:type="spellStart"/>
      <w:r w:rsidR="000B4D1A" w:rsidRPr="000B4D1A">
        <w:rPr>
          <w:i/>
          <w:iCs/>
        </w:rPr>
        <w:t>Zin</w:t>
      </w:r>
      <w:proofErr w:type="spellEnd"/>
      <w:r w:rsidR="000B4D1A" w:rsidRPr="000B4D1A">
        <w:rPr>
          <w:i/>
          <w:iCs/>
        </w:rPr>
        <w:t>. red.). Rīga: Tiesu namu aģentūra, 2013, 212. lpp.</w:t>
      </w:r>
      <w:r w:rsidR="000B4D1A">
        <w:t>)</w:t>
      </w:r>
      <w:r>
        <w:t>.</w:t>
      </w:r>
    </w:p>
    <w:p w14:paraId="3D82E676" w14:textId="77777777" w:rsidR="001D64AC" w:rsidRDefault="00632205" w:rsidP="00D330CD">
      <w:pPr>
        <w:spacing w:line="276" w:lineRule="auto"/>
        <w:ind w:firstLine="567"/>
        <w:contextualSpacing/>
        <w:jc w:val="both"/>
      </w:pPr>
      <w:r>
        <w:t>Lai noskaidrotu objektīvo patiesību, ir jāuzklausa abas puses. Rūpīga abu pušu uzklausīšana nodrošina iespēju noskaidrot visas domstarpības un atrast pareizāko risinājumu</w:t>
      </w:r>
      <w:r w:rsidR="000B4D1A">
        <w:t xml:space="preserve"> (</w:t>
      </w:r>
      <w:r w:rsidR="000B4D1A" w:rsidRPr="000B4D1A">
        <w:rPr>
          <w:i/>
          <w:iCs/>
        </w:rPr>
        <w:t xml:space="preserve">Satversmes tiesas </w:t>
      </w:r>
      <w:proofErr w:type="gramStart"/>
      <w:r w:rsidR="000B4D1A" w:rsidRPr="000B4D1A">
        <w:rPr>
          <w:i/>
          <w:iCs/>
        </w:rPr>
        <w:t>2014.gada</w:t>
      </w:r>
      <w:proofErr w:type="gramEnd"/>
      <w:r w:rsidR="000B4D1A" w:rsidRPr="000B4D1A">
        <w:rPr>
          <w:i/>
          <w:iCs/>
        </w:rPr>
        <w:t xml:space="preserve"> 24.aprīļa sprieduma lietā Nr. 2013-12-01 20.2.punkts</w:t>
      </w:r>
      <w:r w:rsidR="000B4D1A">
        <w:t>)</w:t>
      </w:r>
      <w:r w:rsidR="000B4D1A" w:rsidRPr="00EA0A0A">
        <w:t>.</w:t>
      </w:r>
    </w:p>
    <w:p w14:paraId="27608E23" w14:textId="77777777" w:rsidR="001D64AC" w:rsidRDefault="00632205" w:rsidP="00D330CD">
      <w:pPr>
        <w:spacing w:line="276" w:lineRule="auto"/>
        <w:ind w:firstLine="567"/>
        <w:contextualSpacing/>
        <w:jc w:val="both"/>
      </w:pPr>
      <w:r>
        <w:t>Procesa dalībnieku uzklausīšana notiek dažādos veidos</w:t>
      </w:r>
      <w:r w:rsidR="00F121A6">
        <w:t>, tostarp uzklausot procesa dalībnieka</w:t>
      </w:r>
      <w:r w:rsidR="00F6351F">
        <w:t xml:space="preserve"> paskaidrojumus,</w:t>
      </w:r>
      <w:r w:rsidR="00F121A6">
        <w:t xml:space="preserve"> argumentus, apsvērumus un iebildumus pret cita procesa dalībnieka argumentiem un apsvērumiem (</w:t>
      </w:r>
      <w:r>
        <w:t xml:space="preserve">Administratīvā procesa likuma </w:t>
      </w:r>
      <w:proofErr w:type="gramStart"/>
      <w:r w:rsidR="000B4D1A">
        <w:t>145.panta</w:t>
      </w:r>
      <w:proofErr w:type="gramEnd"/>
      <w:r w:rsidR="000B4D1A">
        <w:t xml:space="preserve"> pirm</w:t>
      </w:r>
      <w:r w:rsidR="00F6351F">
        <w:t>ās daļas 7., 8., 9.punkts).</w:t>
      </w:r>
    </w:p>
    <w:p w14:paraId="5D88D365" w14:textId="1CDC4B38" w:rsidR="001D64AC" w:rsidRDefault="00632205" w:rsidP="00D330CD">
      <w:pPr>
        <w:spacing w:line="276" w:lineRule="auto"/>
        <w:ind w:firstLine="567"/>
        <w:contextualSpacing/>
        <w:jc w:val="both"/>
      </w:pPr>
      <w:r>
        <w:t>Kā uzsvērusi Eiropas Cilvēktiesību tiesa, tiesības izteikt apsvērumus, kurus persona uzskata par būtiskiem savā lietā, nevar būt tikai teorētiskas vai iluzoras, tām jābūt konkrētām un efektīvām</w:t>
      </w:r>
      <w:r w:rsidR="000B4D1A">
        <w:t xml:space="preserve"> (</w:t>
      </w:r>
      <w:r w:rsidR="000B4D1A" w:rsidRPr="000B4D1A">
        <w:rPr>
          <w:bCs/>
          <w:i/>
          <w:iCs/>
        </w:rPr>
        <w:t xml:space="preserve">Eiropas Cilvēktiesību tiesas </w:t>
      </w:r>
      <w:proofErr w:type="gramStart"/>
      <w:r w:rsidR="000B4D1A" w:rsidRPr="000B4D1A">
        <w:rPr>
          <w:bCs/>
          <w:i/>
          <w:iCs/>
        </w:rPr>
        <w:t>1980.gada</w:t>
      </w:r>
      <w:proofErr w:type="gramEnd"/>
      <w:r w:rsidR="000B4D1A" w:rsidRPr="000B4D1A">
        <w:rPr>
          <w:bCs/>
          <w:i/>
          <w:iCs/>
        </w:rPr>
        <w:t xml:space="preserve"> 13.maija </w:t>
      </w:r>
      <w:r w:rsidR="000B4D1A" w:rsidRPr="000B4D1A">
        <w:rPr>
          <w:bCs/>
          <w:i/>
          <w:iCs/>
          <w:lang w:val="lv"/>
        </w:rPr>
        <w:t xml:space="preserve">sprieduma lietā </w:t>
      </w:r>
      <w:bookmarkStart w:id="6" w:name="_Hlk122513403"/>
      <w:r w:rsidR="00991086" w:rsidRPr="00991086">
        <w:rPr>
          <w:bCs/>
          <w:i/>
          <w:iCs/>
        </w:rPr>
        <w:t>„</w:t>
      </w:r>
      <w:bookmarkEnd w:id="6"/>
      <w:proofErr w:type="spellStart"/>
      <w:r w:rsidR="000B4D1A" w:rsidRPr="000B4D1A">
        <w:rPr>
          <w:bCs/>
          <w:i/>
          <w:iCs/>
          <w:lang w:val="lv"/>
        </w:rPr>
        <w:t>Artico</w:t>
      </w:r>
      <w:proofErr w:type="spellEnd"/>
      <w:r w:rsidR="000B4D1A" w:rsidRPr="000B4D1A">
        <w:rPr>
          <w:bCs/>
          <w:i/>
          <w:iCs/>
          <w:lang w:val="lv"/>
        </w:rPr>
        <w:t xml:space="preserve"> v. </w:t>
      </w:r>
      <w:proofErr w:type="spellStart"/>
      <w:r w:rsidR="000B4D1A" w:rsidRPr="000B4D1A">
        <w:rPr>
          <w:bCs/>
          <w:i/>
          <w:iCs/>
          <w:lang w:val="lv"/>
        </w:rPr>
        <w:t>Italy</w:t>
      </w:r>
      <w:proofErr w:type="spellEnd"/>
      <w:r w:rsidR="00991086">
        <w:rPr>
          <w:bCs/>
          <w:i/>
          <w:iCs/>
          <w:lang w:val="lv"/>
        </w:rPr>
        <w:t xml:space="preserve">”, </w:t>
      </w:r>
      <w:r w:rsidR="000B4D1A" w:rsidRPr="000B4D1A">
        <w:rPr>
          <w:bCs/>
          <w:i/>
          <w:iCs/>
        </w:rPr>
        <w:t>iesniegum</w:t>
      </w:r>
      <w:r w:rsidR="00991086">
        <w:rPr>
          <w:bCs/>
          <w:i/>
          <w:iCs/>
        </w:rPr>
        <w:t>a</w:t>
      </w:r>
      <w:r w:rsidR="000B4D1A" w:rsidRPr="000B4D1A">
        <w:rPr>
          <w:bCs/>
          <w:i/>
          <w:iCs/>
        </w:rPr>
        <w:t xml:space="preserve"> Nr. </w:t>
      </w:r>
      <w:r w:rsidR="000B4D1A" w:rsidRPr="000B4D1A">
        <w:rPr>
          <w:i/>
          <w:iCs/>
        </w:rPr>
        <w:t>6694/74</w:t>
      </w:r>
      <w:r w:rsidR="00991086">
        <w:rPr>
          <w:bCs/>
          <w:i/>
          <w:iCs/>
          <w:lang w:val="lv"/>
        </w:rPr>
        <w:t>,</w:t>
      </w:r>
      <w:r w:rsidR="000B4D1A" w:rsidRPr="000B4D1A">
        <w:rPr>
          <w:bCs/>
          <w:i/>
          <w:iCs/>
          <w:lang w:val="lv"/>
        </w:rPr>
        <w:t xml:space="preserve"> 33.punkts</w:t>
      </w:r>
      <w:r w:rsidR="000B4D1A">
        <w:rPr>
          <w:bCs/>
          <w:lang w:val="lv"/>
        </w:rPr>
        <w:t>).</w:t>
      </w:r>
      <w:r>
        <w:rPr>
          <w:lang w:val="lv"/>
        </w:rPr>
        <w:t xml:space="preserve"> Tiesības </w:t>
      </w:r>
      <w:r>
        <w:rPr>
          <w:color w:val="000000"/>
        </w:rPr>
        <w:t>tikt uzklausītam ir uzskatāmas par efektīvām tikai tādā gadījumā, ja persona tiek faktiski uzklausīta, proti, tās apsvērumi tiek pienācīgi izvērtēti</w:t>
      </w:r>
      <w:r w:rsidR="000B4D1A">
        <w:rPr>
          <w:color w:val="000000"/>
        </w:rPr>
        <w:t xml:space="preserve"> (</w:t>
      </w:r>
      <w:r w:rsidR="000B4D1A" w:rsidRPr="000B4D1A">
        <w:rPr>
          <w:i/>
          <w:iCs/>
        </w:rPr>
        <w:t xml:space="preserve">Eiropas Cilvēktiesību tiesas </w:t>
      </w:r>
      <w:proofErr w:type="gramStart"/>
      <w:r w:rsidR="000B4D1A" w:rsidRPr="000B4D1A">
        <w:rPr>
          <w:i/>
          <w:iCs/>
        </w:rPr>
        <w:t>2014.gada</w:t>
      </w:r>
      <w:proofErr w:type="gramEnd"/>
      <w:r w:rsidR="000B4D1A" w:rsidRPr="000B4D1A">
        <w:rPr>
          <w:i/>
          <w:iCs/>
        </w:rPr>
        <w:t xml:space="preserve"> 29.aprīļa sprieduma lietā </w:t>
      </w:r>
      <w:r w:rsidR="00991086" w:rsidRPr="00991086">
        <w:rPr>
          <w:bCs/>
          <w:i/>
          <w:iCs/>
        </w:rPr>
        <w:t>„</w:t>
      </w:r>
      <w:proofErr w:type="spellStart"/>
      <w:r w:rsidR="000B4D1A" w:rsidRPr="000B4D1A">
        <w:rPr>
          <w:i/>
          <w:iCs/>
        </w:rPr>
        <w:t>Ternovskis</w:t>
      </w:r>
      <w:proofErr w:type="spellEnd"/>
      <w:r w:rsidR="000B4D1A" w:rsidRPr="000B4D1A">
        <w:rPr>
          <w:i/>
          <w:iCs/>
        </w:rPr>
        <w:t xml:space="preserve"> pret Latviju</w:t>
      </w:r>
      <w:r w:rsidR="00991086">
        <w:rPr>
          <w:i/>
          <w:iCs/>
        </w:rPr>
        <w:t xml:space="preserve">”, </w:t>
      </w:r>
      <w:r w:rsidR="000B4D1A" w:rsidRPr="000B4D1A">
        <w:rPr>
          <w:i/>
          <w:iCs/>
        </w:rPr>
        <w:t>iesniegum</w:t>
      </w:r>
      <w:r w:rsidR="00991086">
        <w:rPr>
          <w:i/>
          <w:iCs/>
        </w:rPr>
        <w:t>a</w:t>
      </w:r>
      <w:r w:rsidR="000B4D1A" w:rsidRPr="000B4D1A">
        <w:rPr>
          <w:i/>
          <w:iCs/>
        </w:rPr>
        <w:t xml:space="preserve"> Nr. 33637/02)</w:t>
      </w:r>
      <w:r w:rsidR="00991086">
        <w:rPr>
          <w:i/>
          <w:iCs/>
        </w:rPr>
        <w:t>,</w:t>
      </w:r>
      <w:r w:rsidR="000B4D1A" w:rsidRPr="000B4D1A">
        <w:rPr>
          <w:i/>
          <w:iCs/>
        </w:rPr>
        <w:t xml:space="preserve"> 66.punkts</w:t>
      </w:r>
      <w:r w:rsidR="000B4D1A">
        <w:t xml:space="preserve">). </w:t>
      </w:r>
      <w:r>
        <w:t xml:space="preserve">Tāpēc iepretim procesa dalībnieku tiesībām sniegt paskaidrojumus, izvirzīt argumentus un iebildumus ir tiesas pienākums ņemt vērā un atbildēt uz procesa dalībnieku teikto. To paredz arī Administratīvā procesa likuma </w:t>
      </w:r>
      <w:proofErr w:type="gramStart"/>
      <w:r>
        <w:t>251.panta</w:t>
      </w:r>
      <w:proofErr w:type="gramEnd"/>
      <w:r>
        <w:t xml:space="preserve"> piektā daļa, atbilstoši kurai tiesas sprieduma motīvu daļā jānorāda procesa dalībnieku argumentu analīze. </w:t>
      </w:r>
      <w:r w:rsidR="004A0645">
        <w:rPr>
          <w:color w:val="000000"/>
        </w:rPr>
        <w:t>Lai arī tiesai nav pienākuma sniegt detalizētu atbildi uz katru procesa dalībnieku argumentu (</w:t>
      </w:r>
      <w:bookmarkStart w:id="7" w:name="_Hlk115352587"/>
      <w:r w:rsidR="004A0645" w:rsidRPr="00143DE7">
        <w:rPr>
          <w:bCs/>
          <w:i/>
          <w:iCs/>
        </w:rPr>
        <w:t>Eiropas Cilvēktiesību tiesas</w:t>
      </w:r>
      <w:r w:rsidR="004A0645" w:rsidRPr="00143DE7">
        <w:rPr>
          <w:bCs/>
          <w:i/>
          <w:iCs/>
          <w:lang w:val="lv"/>
        </w:rPr>
        <w:t xml:space="preserve"> </w:t>
      </w:r>
      <w:proofErr w:type="gramStart"/>
      <w:r w:rsidR="004A0645" w:rsidRPr="00143DE7">
        <w:rPr>
          <w:bCs/>
          <w:i/>
          <w:iCs/>
          <w:lang w:val="lv"/>
        </w:rPr>
        <w:t>1999.gada</w:t>
      </w:r>
      <w:proofErr w:type="gramEnd"/>
      <w:r w:rsidR="004A0645" w:rsidRPr="00143DE7">
        <w:rPr>
          <w:bCs/>
          <w:i/>
          <w:iCs/>
          <w:lang w:val="lv"/>
        </w:rPr>
        <w:t xml:space="preserve"> 21.janvāra sprieduma lietā </w:t>
      </w:r>
      <w:r w:rsidR="00266AD3" w:rsidRPr="00266AD3">
        <w:rPr>
          <w:bCs/>
          <w:i/>
          <w:iCs/>
        </w:rPr>
        <w:t>„</w:t>
      </w:r>
      <w:proofErr w:type="spellStart"/>
      <w:r w:rsidR="004A0645" w:rsidRPr="00143DE7">
        <w:rPr>
          <w:bCs/>
          <w:i/>
          <w:iCs/>
          <w:lang w:val="lv"/>
        </w:rPr>
        <w:t>Garcia</w:t>
      </w:r>
      <w:proofErr w:type="spellEnd"/>
      <w:r w:rsidR="004A0645" w:rsidRPr="00143DE7">
        <w:rPr>
          <w:bCs/>
          <w:i/>
          <w:iCs/>
          <w:lang w:val="lv"/>
        </w:rPr>
        <w:t xml:space="preserve"> </w:t>
      </w:r>
      <w:proofErr w:type="spellStart"/>
      <w:r w:rsidR="004A0645" w:rsidRPr="00143DE7">
        <w:rPr>
          <w:bCs/>
          <w:i/>
          <w:iCs/>
          <w:lang w:val="lv"/>
        </w:rPr>
        <w:t>Ruiz</w:t>
      </w:r>
      <w:proofErr w:type="spellEnd"/>
      <w:r w:rsidR="004A0645" w:rsidRPr="00143DE7">
        <w:rPr>
          <w:bCs/>
          <w:i/>
          <w:iCs/>
          <w:lang w:val="lv"/>
        </w:rPr>
        <w:t xml:space="preserve"> v. </w:t>
      </w:r>
      <w:proofErr w:type="spellStart"/>
      <w:r w:rsidR="004A0645" w:rsidRPr="00143DE7">
        <w:rPr>
          <w:bCs/>
          <w:i/>
          <w:iCs/>
          <w:lang w:val="lv"/>
        </w:rPr>
        <w:t>Spain</w:t>
      </w:r>
      <w:proofErr w:type="spellEnd"/>
      <w:r w:rsidR="00266AD3">
        <w:rPr>
          <w:bCs/>
          <w:i/>
          <w:iCs/>
          <w:lang w:val="lv"/>
        </w:rPr>
        <w:t xml:space="preserve">”, </w:t>
      </w:r>
      <w:r w:rsidR="004A0645" w:rsidRPr="00143DE7">
        <w:rPr>
          <w:i/>
          <w:iCs/>
          <w:color w:val="000000" w:themeColor="text1"/>
        </w:rPr>
        <w:t>iesniegum</w:t>
      </w:r>
      <w:r w:rsidR="00266AD3">
        <w:rPr>
          <w:i/>
          <w:iCs/>
          <w:color w:val="000000" w:themeColor="text1"/>
        </w:rPr>
        <w:t>a</w:t>
      </w:r>
      <w:r w:rsidR="004A0645" w:rsidRPr="00143DE7">
        <w:rPr>
          <w:i/>
          <w:iCs/>
          <w:color w:val="000000" w:themeColor="text1"/>
        </w:rPr>
        <w:t xml:space="preserve"> Nr.</w:t>
      </w:r>
      <w:bookmarkEnd w:id="7"/>
      <w:r w:rsidR="004A0645" w:rsidRPr="00143DE7">
        <w:rPr>
          <w:i/>
          <w:iCs/>
          <w:color w:val="000000" w:themeColor="text1"/>
        </w:rPr>
        <w:t> 30544</w:t>
      </w:r>
      <w:r w:rsidR="004A0645" w:rsidRPr="00143DE7">
        <w:rPr>
          <w:i/>
          <w:iCs/>
          <w:color w:val="000000" w:themeColor="text1"/>
          <w:lang w:val="lv"/>
        </w:rPr>
        <w:t>/96</w:t>
      </w:r>
      <w:r w:rsidR="00266AD3">
        <w:rPr>
          <w:i/>
          <w:iCs/>
          <w:color w:val="000000" w:themeColor="text1"/>
          <w:lang w:val="lv"/>
        </w:rPr>
        <w:t>,</w:t>
      </w:r>
      <w:r w:rsidR="004A0645" w:rsidRPr="00143DE7">
        <w:rPr>
          <w:bCs/>
          <w:i/>
          <w:iCs/>
          <w:color w:val="000000" w:themeColor="text1"/>
          <w:lang w:val="lv"/>
        </w:rPr>
        <w:t xml:space="preserve"> 2</w:t>
      </w:r>
      <w:r w:rsidR="004A0645" w:rsidRPr="00143DE7">
        <w:rPr>
          <w:bCs/>
          <w:i/>
          <w:iCs/>
          <w:lang w:val="lv"/>
        </w:rPr>
        <w:t>6.</w:t>
      </w:r>
      <w:r w:rsidR="004A0645">
        <w:rPr>
          <w:bCs/>
          <w:i/>
          <w:iCs/>
          <w:lang w:val="lv"/>
        </w:rPr>
        <w:t>p</w:t>
      </w:r>
      <w:r w:rsidR="004A0645" w:rsidRPr="00143DE7">
        <w:rPr>
          <w:bCs/>
          <w:i/>
          <w:iCs/>
          <w:lang w:val="lv"/>
        </w:rPr>
        <w:t>unkts</w:t>
      </w:r>
      <w:r w:rsidR="004A0645">
        <w:rPr>
          <w:bCs/>
          <w:lang w:val="lv"/>
        </w:rPr>
        <w:t>)</w:t>
      </w:r>
      <w:r w:rsidR="00F121A6">
        <w:rPr>
          <w:bCs/>
          <w:lang w:val="lv"/>
        </w:rPr>
        <w:t>, jo</w:t>
      </w:r>
      <w:r w:rsidR="004A0645">
        <w:t xml:space="preserve"> tiesai ir jāatbild tikai uz tādiem argumentiem, kas attiecas uz lietu un ir nozīmīgi (</w:t>
      </w:r>
      <w:r w:rsidR="004A0645" w:rsidRPr="00143DE7">
        <w:rPr>
          <w:i/>
          <w:iCs/>
        </w:rPr>
        <w:t xml:space="preserve">Briede J., Višķere I., </w:t>
      </w:r>
      <w:proofErr w:type="spellStart"/>
      <w:r w:rsidR="004A0645" w:rsidRPr="00143DE7">
        <w:rPr>
          <w:i/>
          <w:iCs/>
        </w:rPr>
        <w:t>Litvins</w:t>
      </w:r>
      <w:proofErr w:type="spellEnd"/>
      <w:r w:rsidR="004A0645" w:rsidRPr="00143DE7">
        <w:rPr>
          <w:i/>
          <w:iCs/>
        </w:rPr>
        <w:t xml:space="preserve"> G., Bitāns A., </w:t>
      </w:r>
      <w:proofErr w:type="spellStart"/>
      <w:r w:rsidR="004A0645" w:rsidRPr="00143DE7">
        <w:rPr>
          <w:i/>
          <w:iCs/>
        </w:rPr>
        <w:t>Danovskis</w:t>
      </w:r>
      <w:proofErr w:type="spellEnd"/>
      <w:r w:rsidR="004A0645" w:rsidRPr="00143DE7">
        <w:rPr>
          <w:i/>
          <w:iCs/>
        </w:rPr>
        <w:t xml:space="preserve"> E. </w:t>
      </w:r>
      <w:proofErr w:type="gramStart"/>
      <w:r w:rsidR="004A0645" w:rsidRPr="00143DE7">
        <w:rPr>
          <w:i/>
          <w:iCs/>
        </w:rPr>
        <w:t>92.panta</w:t>
      </w:r>
      <w:proofErr w:type="gramEnd"/>
      <w:r w:rsidR="004A0645" w:rsidRPr="00143DE7">
        <w:rPr>
          <w:i/>
          <w:iCs/>
        </w:rPr>
        <w:t xml:space="preserve"> komentārs. </w:t>
      </w:r>
      <w:proofErr w:type="spellStart"/>
      <w:r w:rsidR="004A0645" w:rsidRPr="00143DE7">
        <w:rPr>
          <w:i/>
          <w:iCs/>
        </w:rPr>
        <w:t>Grām</w:t>
      </w:r>
      <w:proofErr w:type="spellEnd"/>
      <w:r w:rsidR="004A0645" w:rsidRPr="00143DE7">
        <w:rPr>
          <w:i/>
          <w:iCs/>
        </w:rPr>
        <w:t>.: Latvijas Republikas Satversmes komentāri. VIII nodaļa. Cilvēka pamattiesības. Balodis R. (</w:t>
      </w:r>
      <w:proofErr w:type="spellStart"/>
      <w:r w:rsidR="004A0645" w:rsidRPr="00143DE7">
        <w:rPr>
          <w:i/>
          <w:iCs/>
        </w:rPr>
        <w:t>Zin</w:t>
      </w:r>
      <w:proofErr w:type="spellEnd"/>
      <w:r w:rsidR="004A0645" w:rsidRPr="00143DE7">
        <w:rPr>
          <w:i/>
          <w:iCs/>
        </w:rPr>
        <w:t>. red.). Rīga: Latvijas Vēstnesis, 2011, 140.lpp.</w:t>
      </w:r>
      <w:r w:rsidR="004A0645">
        <w:t>), tiesai ir jāapsver visi procesa dalībnieku argumenti, jo tikai novērtēšanas rezultātā var nonākt pie secinājuma par argumenta būtiskumu un attiecināmību uz lietu. Tāpēc tiesai, ja tā spriedumā nesniedz atbildi uz kādu procesa dalībnieka argumentu, ir jānorāda atbilstošs iemesls un jāpamato konkrētā argumenta nebūtiskums</w:t>
      </w:r>
      <w:r w:rsidR="00CC51A2">
        <w:t>, paturot prātā, ka a</w:t>
      </w:r>
      <w:r w:rsidR="004A0645">
        <w:t>rguments ir nebūtisks, ja tas nespēj ietekmēt lietas iznākumu, un otrādi – arguments ir būtisks, ja tas spēj ietekmēt lietas iznākumu.</w:t>
      </w:r>
    </w:p>
    <w:p w14:paraId="46BE6947" w14:textId="22B4D0C0" w:rsidR="001D64AC" w:rsidRDefault="00632205" w:rsidP="00D330CD">
      <w:pPr>
        <w:spacing w:line="276" w:lineRule="auto"/>
        <w:ind w:firstLine="567"/>
        <w:contextualSpacing/>
        <w:jc w:val="both"/>
      </w:pPr>
      <w:r>
        <w:t>T</w:t>
      </w:r>
      <w:r w:rsidR="00CC2A57">
        <w:t xml:space="preserve">āpat ir jāuzsver, ka, tā kā </w:t>
      </w:r>
      <w:r w:rsidR="004A0645">
        <w:t xml:space="preserve">tiesiskā </w:t>
      </w:r>
      <w:r>
        <w:t xml:space="preserve">strīdā ir pretnostatītas procesa dalībnieku intereses, pareizai tiesiskā strīda atrisināšanai vienlīdz rūpīgi ir </w:t>
      </w:r>
      <w:r w:rsidR="00F121A6">
        <w:t xml:space="preserve">jāapsver, </w:t>
      </w:r>
      <w:r>
        <w:t xml:space="preserve">jāpārbauda </w:t>
      </w:r>
      <w:r w:rsidR="004A0645">
        <w:t xml:space="preserve">un spriedumā jāanalizē </w:t>
      </w:r>
      <w:r>
        <w:t>vis</w:t>
      </w:r>
      <w:r w:rsidR="004A0645">
        <w:t xml:space="preserve">u procesa dalībnieku būtiskie </w:t>
      </w:r>
      <w:r w:rsidR="004A0645" w:rsidRPr="007D4A2B">
        <w:t>„</w:t>
      </w:r>
      <w:r w:rsidR="004A0645">
        <w:t xml:space="preserve">par” un </w:t>
      </w:r>
      <w:r w:rsidR="004A0645" w:rsidRPr="007D4A2B">
        <w:t>„</w:t>
      </w:r>
      <w:r w:rsidR="004A0645">
        <w:t xml:space="preserve">pret” </w:t>
      </w:r>
      <w:r>
        <w:t>argumenti</w:t>
      </w:r>
      <w:r w:rsidR="004A0645">
        <w:t xml:space="preserve">, </w:t>
      </w:r>
      <w:r w:rsidR="004A0645">
        <w:rPr>
          <w:color w:val="000000"/>
        </w:rPr>
        <w:t>un tiesas spriedumam ir jāaptver visu procesā iesaistīto personu argumenti gan individuāli, gan to kopsakarā (</w:t>
      </w:r>
      <w:r w:rsidR="004A0645" w:rsidRPr="004A0645">
        <w:rPr>
          <w:i/>
          <w:iCs/>
        </w:rPr>
        <w:t>Satversmes tiesas 2020.gada 26.marta sprieduma lietā Nr. 2019-15-01 14.punkts</w:t>
      </w:r>
      <w:r w:rsidR="004A0645">
        <w:t>).</w:t>
      </w:r>
      <w:r>
        <w:t xml:space="preserve"> To pieprasa arī pušu līdztiesības princips, kas ir taisnīga tiesas procesa neatņemams elements. Pušu līdztiesība nozīmē, ka katrai tiesvedības pusei ir jānodrošina saprātīga iespēja izklāstīt savus argumentus tādos apstākļos, kas to nenostāda būtiski sliktākā stāvoklī salīdzinājumā ar otru tiesvedības pusi</w:t>
      </w:r>
      <w:r w:rsidR="000B4D1A">
        <w:t xml:space="preserve"> (</w:t>
      </w:r>
      <w:r w:rsidR="000B4D1A" w:rsidRPr="000B4D1A">
        <w:rPr>
          <w:i/>
          <w:iCs/>
        </w:rPr>
        <w:t xml:space="preserve">Eiropas Cilvēktiesību tiesas 1993.gada 27.oktobra sprieduma lietā </w:t>
      </w:r>
      <w:r w:rsidR="00266AD3" w:rsidRPr="00266AD3">
        <w:rPr>
          <w:bCs/>
          <w:i/>
          <w:iCs/>
        </w:rPr>
        <w:t>„</w:t>
      </w:r>
      <w:proofErr w:type="spellStart"/>
      <w:r w:rsidR="000B4D1A" w:rsidRPr="000B4D1A">
        <w:rPr>
          <w:i/>
          <w:iCs/>
        </w:rPr>
        <w:t>Dombo</w:t>
      </w:r>
      <w:proofErr w:type="spellEnd"/>
      <w:r w:rsidR="000B4D1A" w:rsidRPr="000B4D1A">
        <w:rPr>
          <w:i/>
          <w:iCs/>
        </w:rPr>
        <w:t xml:space="preserve"> </w:t>
      </w:r>
      <w:proofErr w:type="spellStart"/>
      <w:r w:rsidR="000B4D1A" w:rsidRPr="000B4D1A">
        <w:rPr>
          <w:i/>
          <w:iCs/>
        </w:rPr>
        <w:t>Beeher</w:t>
      </w:r>
      <w:proofErr w:type="spellEnd"/>
      <w:r w:rsidR="000B4D1A" w:rsidRPr="000B4D1A">
        <w:rPr>
          <w:i/>
          <w:iCs/>
        </w:rPr>
        <w:t xml:space="preserve"> BV v. </w:t>
      </w:r>
      <w:proofErr w:type="spellStart"/>
      <w:r w:rsidR="000B4D1A" w:rsidRPr="000B4D1A">
        <w:rPr>
          <w:i/>
          <w:iCs/>
        </w:rPr>
        <w:t>the</w:t>
      </w:r>
      <w:proofErr w:type="spellEnd"/>
      <w:r w:rsidR="000B4D1A" w:rsidRPr="000B4D1A">
        <w:rPr>
          <w:i/>
          <w:iCs/>
        </w:rPr>
        <w:t xml:space="preserve"> </w:t>
      </w:r>
      <w:proofErr w:type="spellStart"/>
      <w:r w:rsidR="000B4D1A" w:rsidRPr="000B4D1A">
        <w:rPr>
          <w:i/>
          <w:iCs/>
        </w:rPr>
        <w:t>Netherlands</w:t>
      </w:r>
      <w:proofErr w:type="spellEnd"/>
      <w:r w:rsidR="00266AD3">
        <w:rPr>
          <w:i/>
          <w:iCs/>
        </w:rPr>
        <w:t>”,</w:t>
      </w:r>
      <w:r w:rsidR="000B4D1A" w:rsidRPr="000B4D1A">
        <w:rPr>
          <w:i/>
          <w:iCs/>
        </w:rPr>
        <w:t xml:space="preserve"> iesniegum</w:t>
      </w:r>
      <w:r w:rsidR="00266AD3">
        <w:rPr>
          <w:i/>
          <w:iCs/>
        </w:rPr>
        <w:t>a</w:t>
      </w:r>
      <w:r w:rsidR="000B4D1A" w:rsidRPr="000B4D1A">
        <w:rPr>
          <w:i/>
          <w:iCs/>
        </w:rPr>
        <w:t xml:space="preserve"> Nr. 14448/88</w:t>
      </w:r>
      <w:r w:rsidR="00266AD3">
        <w:rPr>
          <w:i/>
          <w:iCs/>
        </w:rPr>
        <w:t>,</w:t>
      </w:r>
      <w:r w:rsidR="000B4D1A" w:rsidRPr="000B4D1A">
        <w:rPr>
          <w:i/>
          <w:iCs/>
        </w:rPr>
        <w:t xml:space="preserve"> 33.punkts</w:t>
      </w:r>
      <w:r w:rsidR="000B4D1A">
        <w:t>).</w:t>
      </w:r>
      <w:r w:rsidR="00CC51A2">
        <w:t xml:space="preserve"> Līdz ar to nav pieļaujama viena procesa dalībnieka argumentu bezierunu pieņemšana, atstājot bez ievērības un nesniedzot atbildes uz otra procesa dalībnieka būtiskajiem argumentiem.</w:t>
      </w:r>
    </w:p>
    <w:p w14:paraId="633E69AC" w14:textId="77777777" w:rsidR="001D64AC" w:rsidRDefault="001D64AC" w:rsidP="00D330CD">
      <w:pPr>
        <w:spacing w:line="276" w:lineRule="auto"/>
        <w:ind w:firstLine="567"/>
        <w:contextualSpacing/>
        <w:jc w:val="both"/>
      </w:pPr>
    </w:p>
    <w:p w14:paraId="3325984F" w14:textId="77777777" w:rsidR="001D64AC" w:rsidRDefault="00CC51A2" w:rsidP="00D330CD">
      <w:pPr>
        <w:spacing w:line="276" w:lineRule="auto"/>
        <w:ind w:firstLine="567"/>
        <w:contextualSpacing/>
        <w:jc w:val="both"/>
      </w:pPr>
      <w:r>
        <w:t>[</w:t>
      </w:r>
      <w:r w:rsidR="001D64AC">
        <w:t>10</w:t>
      </w:r>
      <w:r>
        <w:t>] Pārbaudot pārsūdzēto tiesas spriedumu kopsakarā ar kasācijas sūdzības argumentiem</w:t>
      </w:r>
      <w:r w:rsidR="00C33C5E">
        <w:t>, Senāts konstatē, ka pirmās instances tiesas sprieduma motīvu daļ</w:t>
      </w:r>
      <w:r w:rsidR="00F6351F">
        <w:t>a</w:t>
      </w:r>
      <w:r w:rsidR="00C33C5E">
        <w:t xml:space="preserve">, kurai apgabaltiesa ir pievienojusies, ir veidota tādējādi, ka tajā ir norādīta Pievienotās vērtības nodokļa likuma </w:t>
      </w:r>
      <w:proofErr w:type="gramStart"/>
      <w:r w:rsidR="00C33C5E">
        <w:t>92.panta</w:t>
      </w:r>
      <w:proofErr w:type="gramEnd"/>
      <w:r w:rsidR="00C33C5E">
        <w:t xml:space="preserve"> pirmās daļas 1.punkta norma</w:t>
      </w:r>
      <w:r w:rsidR="00F121A6">
        <w:t xml:space="preserve"> un iz</w:t>
      </w:r>
      <w:r w:rsidR="00C33C5E">
        <w:t>skaidrot</w:t>
      </w:r>
      <w:r w:rsidR="00F121A6">
        <w:t>s</w:t>
      </w:r>
      <w:r w:rsidR="00C33C5E">
        <w:t>, ka šajā normā paredzēto formālo prasību ievērošana vēl nav pietiekams pamats priekšnodokļa atskaitīšanai, jo darījumam ir jābūt faktiski notikušam ar konkrēto ar pievienotās vērtības nodokli apliekamo personu</w:t>
      </w:r>
      <w:r w:rsidR="005A564B">
        <w:t xml:space="preserve">, tāpēc </w:t>
      </w:r>
      <w:r w:rsidR="00C33C5E">
        <w:t xml:space="preserve">tiesai ir jāpārbauda, vai Valsts ieņēmumu dienests pamatoti </w:t>
      </w:r>
      <w:r w:rsidR="006D2252">
        <w:t>a</w:t>
      </w:r>
      <w:r w:rsidR="00C33C5E">
        <w:t xml:space="preserve">tzina, ka pieteicēja nesaņēma preces no </w:t>
      </w:r>
      <w:r w:rsidR="006D2252">
        <w:t>rēķinos norādītajām personām</w:t>
      </w:r>
      <w:r w:rsidR="00F6351F">
        <w:t xml:space="preserve"> un </w:t>
      </w:r>
      <w:r w:rsidR="00C33C5E">
        <w:t>zināja</w:t>
      </w:r>
      <w:r w:rsidR="00F6351F">
        <w:t xml:space="preserve"> par iesaistīšanos pievienotās vērtības nodokļa sistēmas ļaunprātīgā izmantošanā. </w:t>
      </w:r>
      <w:r w:rsidR="006D2252">
        <w:t xml:space="preserve">Tālāk spriedumā norādīta virkne apstākļu un pierādījumu, kas attiecas uz strīdus darījumiem, un secināts, ka pieteicējai nav tiesību uz priekšnodokļa atskaitīšanu. Tāpat tiesas spriedumā norādīts Pievienotās vērtības nodokļa likuma 1.panta 20. un 21.punkts, 5.panta pirmā daļa, 31.panta pirmā daļa, 41.panta pirmā daļa un 43.panta ceturtā daļa, kā rezultātā </w:t>
      </w:r>
      <w:r w:rsidR="00CC2A57">
        <w:t>skaidrots</w:t>
      </w:r>
      <w:r w:rsidR="006D2252">
        <w:t>, kādiem priekšnoteikumiem ir jāiestājas, lai pieteicēja preču piegādēm citai Eiropas Savienības dalībvalsts apliekamai personai varētu piemērot nodokļa 0 procentu likmi. Tālāk norādīti vairāki apstākļi un pierādījumi, kas attiecas uz pieteicējas piegādēm, kam piemērota nodokļa 0 procentu likme, un secināts, ka pieteicējai šādu tiesību nebija, jo strīdus darījum</w:t>
      </w:r>
      <w:r w:rsidR="005A564B">
        <w:t>i</w:t>
      </w:r>
      <w:r w:rsidR="006D2252">
        <w:t xml:space="preserve"> ir mākslīg</w:t>
      </w:r>
      <w:r w:rsidR="005A564B">
        <w:t>i</w:t>
      </w:r>
      <w:r w:rsidR="006D2252">
        <w:t>.</w:t>
      </w:r>
    </w:p>
    <w:p w14:paraId="5C1F3795" w14:textId="47E13219" w:rsidR="001D64AC" w:rsidRDefault="005A564B" w:rsidP="00D330CD">
      <w:pPr>
        <w:spacing w:line="276" w:lineRule="auto"/>
        <w:ind w:firstLine="567"/>
        <w:contextualSpacing/>
        <w:jc w:val="both"/>
      </w:pPr>
      <w:bookmarkStart w:id="8" w:name="_Hlk122520736"/>
      <w:r>
        <w:t xml:space="preserve">Salīdzinot pirmās instances tiesas spriedumu ar </w:t>
      </w:r>
      <w:r w:rsidR="00833366">
        <w:t xml:space="preserve">pārsūdzēto </w:t>
      </w:r>
      <w:r>
        <w:t xml:space="preserve">Valsts ieņēmumu dienesta </w:t>
      </w:r>
      <w:r w:rsidR="00833366">
        <w:t>lēmumu, Senāts piekrīt pieteicējas kasācijas sūdzīb</w:t>
      </w:r>
      <w:r>
        <w:t xml:space="preserve">ā norādītajam, ka pirmās instances tiesas spriedumā ir pārrakstīts (pārkopēts) pārsūdzētais lēmums. </w:t>
      </w:r>
      <w:r w:rsidR="00833366">
        <w:t>Proti, t</w:t>
      </w:r>
      <w:r w:rsidR="00DF6F6A">
        <w:t>iesas spriedumā ir norādīti tie paši apstākļi, pierādījumi un secinājumi</w:t>
      </w:r>
      <w:r w:rsidRPr="005A564B">
        <w:t xml:space="preserve"> </w:t>
      </w:r>
      <w:r>
        <w:t xml:space="preserve">tādā pašā </w:t>
      </w:r>
      <w:r w:rsidRPr="00446E2E">
        <w:rPr>
          <w:color w:val="000000" w:themeColor="text1"/>
        </w:rPr>
        <w:t xml:space="preserve">secībā </w:t>
      </w:r>
      <w:r w:rsidR="001A119E" w:rsidRPr="00446E2E">
        <w:rPr>
          <w:color w:val="000000" w:themeColor="text1"/>
        </w:rPr>
        <w:t>(izņemot secinājumus, saistītus ar SIA „</w:t>
      </w:r>
      <w:proofErr w:type="spellStart"/>
      <w:r w:rsidR="001A119E" w:rsidRPr="00446E2E">
        <w:rPr>
          <w:color w:val="000000" w:themeColor="text1"/>
        </w:rPr>
        <w:t>Alberina</w:t>
      </w:r>
      <w:proofErr w:type="spellEnd"/>
      <w:r w:rsidR="001A119E" w:rsidRPr="00446E2E">
        <w:rPr>
          <w:color w:val="000000" w:themeColor="text1"/>
        </w:rPr>
        <w:t>” un SIA „</w:t>
      </w:r>
      <w:proofErr w:type="spellStart"/>
      <w:r w:rsidR="001A119E" w:rsidRPr="00446E2E">
        <w:rPr>
          <w:color w:val="000000" w:themeColor="text1"/>
        </w:rPr>
        <w:t>Flexis</w:t>
      </w:r>
      <w:proofErr w:type="spellEnd"/>
      <w:r w:rsidR="001A119E" w:rsidRPr="00446E2E">
        <w:rPr>
          <w:color w:val="000000" w:themeColor="text1"/>
        </w:rPr>
        <w:t>”),</w:t>
      </w:r>
      <w:r w:rsidR="00DF6F6A">
        <w:t xml:space="preserve"> kā</w:t>
      </w:r>
      <w:r>
        <w:t xml:space="preserve"> tas ir </w:t>
      </w:r>
      <w:r w:rsidR="00DF6F6A">
        <w:t xml:space="preserve">pārsūdzētajā lēmumā. </w:t>
      </w:r>
      <w:bookmarkEnd w:id="8"/>
      <w:r w:rsidR="00DF6F6A">
        <w:t xml:space="preserve">Tikai </w:t>
      </w:r>
      <w:r w:rsidR="003775F7">
        <w:t xml:space="preserve">atsevišķos sprieduma punktos pārsūdzētā lēmuma saturs ir saīsināts, ir izlaisti atsevišķi pārsūdzētajā lēmumā norādītie </w:t>
      </w:r>
      <w:r w:rsidR="00833366">
        <w:t>teikumi</w:t>
      </w:r>
      <w:r w:rsidR="003775F7">
        <w:t xml:space="preserve"> vai arī </w:t>
      </w:r>
      <w:r w:rsidR="00833366">
        <w:t xml:space="preserve">ir </w:t>
      </w:r>
      <w:r w:rsidR="003775F7">
        <w:t xml:space="preserve">samainīti atsevišķi vārdi (piemēram, ofisa vietā norādīts birojs, rītdienas laikā norādīts nākamās dienas laikā), un tikai atsevišķos sprieduma punktos secinājumu daļā </w:t>
      </w:r>
      <w:r w:rsidR="00833366">
        <w:t>ir</w:t>
      </w:r>
      <w:r w:rsidR="003775F7">
        <w:t xml:space="preserve"> norādīts viens</w:t>
      </w:r>
      <w:r w:rsidR="00F6351F">
        <w:t>,</w:t>
      </w:r>
      <w:r w:rsidR="003775F7">
        <w:t xml:space="preserve"> divi teikumi, kas nav minēti pārsūdzētajā lēmumā. Papildus pārsūdzētajam lēmumam spriedumā ir atreferētas arī tiesas sēdē nopratināto liecinieku liecības, bet to novērtējums nav sniegts vai arī novērtējums ir tik trūcīgs, ka norādīts tikai tas, ka liecinieku liecība apstiprina vai tieši pretēji – neapstiprina kādu faktu.</w:t>
      </w:r>
      <w:r w:rsidR="003775F7" w:rsidRPr="003775F7">
        <w:t xml:space="preserve"> </w:t>
      </w:r>
      <w:r w:rsidR="003775F7">
        <w:t xml:space="preserve">Tiesas spriedumā arī norādīts, ka spriedumā atreferētos </w:t>
      </w:r>
      <w:r w:rsidR="00833366">
        <w:t xml:space="preserve">(no pārsūdzētā lēmuma pārrakstītos) </w:t>
      </w:r>
      <w:r w:rsidR="003775F7">
        <w:t>apstākļus ir konstatēj</w:t>
      </w:r>
      <w:r w:rsidR="00833366">
        <w:t>usi</w:t>
      </w:r>
      <w:r w:rsidR="003775F7">
        <w:t xml:space="preserve">, </w:t>
      </w:r>
      <w:r w:rsidR="003775F7" w:rsidRPr="00204150">
        <w:rPr>
          <w:color w:val="000000" w:themeColor="text1"/>
        </w:rPr>
        <w:t>pierādījumus novērtēj</w:t>
      </w:r>
      <w:r w:rsidR="00833366" w:rsidRPr="00204150">
        <w:rPr>
          <w:color w:val="000000" w:themeColor="text1"/>
        </w:rPr>
        <w:t>usi</w:t>
      </w:r>
      <w:r w:rsidR="003775F7" w:rsidRPr="00204150">
        <w:rPr>
          <w:color w:val="000000" w:themeColor="text1"/>
        </w:rPr>
        <w:t xml:space="preserve"> un secinājumus izdarīj</w:t>
      </w:r>
      <w:r w:rsidR="00833366" w:rsidRPr="00204150">
        <w:rPr>
          <w:color w:val="000000" w:themeColor="text1"/>
        </w:rPr>
        <w:t xml:space="preserve">usi tiesa, nevis </w:t>
      </w:r>
      <w:r w:rsidR="003775F7" w:rsidRPr="00204150">
        <w:rPr>
          <w:color w:val="000000" w:themeColor="text1"/>
        </w:rPr>
        <w:t>Valsts ieņēmumu dienests</w:t>
      </w:r>
      <w:r w:rsidR="00833366" w:rsidRPr="00204150">
        <w:rPr>
          <w:color w:val="000000" w:themeColor="text1"/>
        </w:rPr>
        <w:t xml:space="preserve">. Tikai vienviet, pārrakstot pārsūdzētā lēmuma saturu, norādīts, ka tas ir Valsts ieņēmumu dienesta vērtējums un ka tiesa tam piekrīt. </w:t>
      </w:r>
      <w:r w:rsidR="00746298" w:rsidRPr="00204150">
        <w:rPr>
          <w:color w:val="000000" w:themeColor="text1"/>
        </w:rPr>
        <w:t xml:space="preserve">Atbildes uz pieteicējas argumentiem tiesas </w:t>
      </w:r>
      <w:r w:rsidR="00746298">
        <w:t>spriedumā nav sniegtas.</w:t>
      </w:r>
    </w:p>
    <w:p w14:paraId="1293200B" w14:textId="77777777" w:rsidR="001D64AC" w:rsidRDefault="0076394D" w:rsidP="00D330CD">
      <w:pPr>
        <w:spacing w:line="276" w:lineRule="auto"/>
        <w:ind w:firstLine="567"/>
        <w:contextualSpacing/>
        <w:jc w:val="both"/>
      </w:pPr>
      <w:r>
        <w:t>Ievērojot minēto, jāpiekrīt pieteicējai, ka pirmās instances tiesas sprieduma motīvu daļas saturs būtībā ir identisks pārsūdzētā lēmuma saturam un, lasot pirmās instances tiesas spriedumu un pārsūdzēto lēmumu, ir priekšstats, ka tiek lasīts viens un tas pats dokuments.</w:t>
      </w:r>
    </w:p>
    <w:p w14:paraId="248CEA2F" w14:textId="77777777" w:rsidR="001D64AC" w:rsidRDefault="001D64AC" w:rsidP="00D330CD">
      <w:pPr>
        <w:spacing w:line="276" w:lineRule="auto"/>
        <w:ind w:firstLine="567"/>
        <w:contextualSpacing/>
        <w:jc w:val="both"/>
      </w:pPr>
    </w:p>
    <w:p w14:paraId="08C1B35D" w14:textId="020B4519" w:rsidR="001D64AC" w:rsidRPr="00446E2E" w:rsidRDefault="0076394D" w:rsidP="00D330CD">
      <w:pPr>
        <w:spacing w:line="276" w:lineRule="auto"/>
        <w:ind w:firstLine="567"/>
        <w:contextualSpacing/>
        <w:jc w:val="both"/>
        <w:rPr>
          <w:color w:val="000000" w:themeColor="text1"/>
        </w:rPr>
      </w:pPr>
      <w:r>
        <w:t>[</w:t>
      </w:r>
      <w:r w:rsidR="001D64AC">
        <w:t>11</w:t>
      </w:r>
      <w:r>
        <w:t>] </w:t>
      </w:r>
      <w:bookmarkStart w:id="9" w:name="_Hlk122520985"/>
      <w:r w:rsidR="00C33A83">
        <w:t>Tālāk a</w:t>
      </w:r>
      <w:r>
        <w:t>p</w:t>
      </w:r>
      <w:r w:rsidR="00746298">
        <w:t xml:space="preserve">gabaltiesas spriedums ir veidots tādējādi, ka tā aprakstošajā daļā ir pārrakstīta pirmās instances tiesas sprieduma motīvu daļa (ar nebūtiskām izmaiņām), </w:t>
      </w:r>
      <w:r w:rsidR="008E3B87">
        <w:t xml:space="preserve">kā arī </w:t>
      </w:r>
      <w:r w:rsidR="00C33A83">
        <w:t xml:space="preserve">ir </w:t>
      </w:r>
      <w:r w:rsidR="00746298">
        <w:t>norādīti pieteicējas apelācijas sūdzības argumenti, tostarp tas, ka tiesas spriedumā nav atspoguļoti visi pieteicējas argumenti</w:t>
      </w:r>
      <w:r w:rsidR="008E3B87">
        <w:t>. S</w:t>
      </w:r>
      <w:r w:rsidR="00746298">
        <w:t>avukārt motīvu daļā norādīts, ka apgabaltiesa pievienojas pirmās instances tiesas spriedumam, bet apelācijas sūdzības argumentus atzīst par nepamatotiem</w:t>
      </w:r>
      <w:r w:rsidR="00C020EF">
        <w:t>, jo tie pamatā ir vērsti uz nepie</w:t>
      </w:r>
      <w:r>
        <w:t>k</w:t>
      </w:r>
      <w:r w:rsidR="00C020EF">
        <w:t xml:space="preserve">rišanu tiesas secinājumiem, kurus apgabaltiesa atzīst par pareiziem un pietiekamiem. Tālāk apgabaltiesas sprieduma motīvu daļā </w:t>
      </w:r>
      <w:r w:rsidR="008E3B87">
        <w:t xml:space="preserve">ir </w:t>
      </w:r>
      <w:r w:rsidR="00C020EF">
        <w:t xml:space="preserve">norādīta Pievienotās vērtības nodokļa likuma </w:t>
      </w:r>
      <w:proofErr w:type="gramStart"/>
      <w:r w:rsidR="00C020EF">
        <w:t>92.panta</w:t>
      </w:r>
      <w:proofErr w:type="gramEnd"/>
      <w:r w:rsidR="00C020EF">
        <w:t xml:space="preserve"> pirmās daļas 1.punkta </w:t>
      </w:r>
      <w:r w:rsidR="00C020EF" w:rsidRPr="00204150">
        <w:rPr>
          <w:color w:val="000000" w:themeColor="text1"/>
        </w:rPr>
        <w:t xml:space="preserve">norma, atsevišķas judikatūras atziņas, kā arī </w:t>
      </w:r>
      <w:r w:rsidR="008E3B87" w:rsidRPr="00204150">
        <w:rPr>
          <w:color w:val="000000" w:themeColor="text1"/>
        </w:rPr>
        <w:t xml:space="preserve">ir </w:t>
      </w:r>
      <w:r w:rsidR="00C020EF" w:rsidRPr="00204150">
        <w:rPr>
          <w:color w:val="000000" w:themeColor="text1"/>
        </w:rPr>
        <w:t xml:space="preserve">atkārtoti atsevišķi pirmās instances tiesas spriedumā norādītie apstākļi un secinājumi, kuri </w:t>
      </w:r>
      <w:r w:rsidR="008E3B87" w:rsidRPr="00204150">
        <w:rPr>
          <w:color w:val="000000" w:themeColor="text1"/>
        </w:rPr>
        <w:t xml:space="preserve">ir </w:t>
      </w:r>
      <w:r w:rsidR="00C020EF" w:rsidRPr="00204150">
        <w:rPr>
          <w:color w:val="000000" w:themeColor="text1"/>
        </w:rPr>
        <w:t>pārrakstīti no pārsūdzētā lēmuma.</w:t>
      </w:r>
      <w:r w:rsidR="008E3B87">
        <w:t xml:space="preserve"> Papildus apgabaltiesas sprieduma motīvu daļā</w:t>
      </w:r>
      <w:r>
        <w:t xml:space="preserve"> </w:t>
      </w:r>
      <w:r w:rsidR="008E3B87">
        <w:t xml:space="preserve">ir pārrakstīti atsevišķi Valsts ieņēmumu dienesta paskaidrojumā norādītie apstākļi un </w:t>
      </w:r>
      <w:r w:rsidR="008E3B87" w:rsidRPr="00446E2E">
        <w:rPr>
          <w:color w:val="000000" w:themeColor="text1"/>
        </w:rPr>
        <w:t xml:space="preserve">secinājumi. </w:t>
      </w:r>
      <w:bookmarkStart w:id="10" w:name="_Hlk122524045"/>
      <w:r w:rsidR="00A70DC4" w:rsidRPr="00446E2E">
        <w:rPr>
          <w:color w:val="000000" w:themeColor="text1"/>
        </w:rPr>
        <w:t>Atbildot uz apelācijas sūdzības argumentu, ka pirmās instances tiesa nav izvērtējusi visus pieteicējas argumentus, apgabaltiesas spriedumā norādīts, ka lietā ir izvērtēti pieteicējas no tiesību viedokļa būtiskie argumenti.</w:t>
      </w:r>
      <w:bookmarkEnd w:id="9"/>
      <w:bookmarkEnd w:id="10"/>
    </w:p>
    <w:p w14:paraId="12C8FB22" w14:textId="15FFAC25" w:rsidR="001D64AC" w:rsidRPr="00691E0D" w:rsidRDefault="008E3B87" w:rsidP="00D330CD">
      <w:pPr>
        <w:spacing w:line="276" w:lineRule="auto"/>
        <w:ind w:firstLine="567"/>
        <w:contextualSpacing/>
        <w:jc w:val="both"/>
        <w:rPr>
          <w:i/>
          <w:iCs/>
        </w:rPr>
      </w:pPr>
      <w:bookmarkStart w:id="11" w:name="_Hlk122528294"/>
      <w:r>
        <w:t>Turklā</w:t>
      </w:r>
      <w:r w:rsidR="0076394D">
        <w:t>t</w:t>
      </w:r>
      <w:r>
        <w:t xml:space="preserve">, kā redzams lietas materiālos, </w:t>
      </w:r>
      <w:r w:rsidRPr="00446E2E">
        <w:rPr>
          <w:color w:val="000000" w:themeColor="text1"/>
        </w:rPr>
        <w:t xml:space="preserve">pieteicēja </w:t>
      </w:r>
      <w:r w:rsidR="00500597" w:rsidRPr="00446E2E">
        <w:rPr>
          <w:color w:val="000000" w:themeColor="text1"/>
        </w:rPr>
        <w:t>rajona</w:t>
      </w:r>
      <w:r w:rsidR="00DB24C5" w:rsidRPr="00446E2E">
        <w:rPr>
          <w:color w:val="000000" w:themeColor="text1"/>
        </w:rPr>
        <w:t xml:space="preserve"> ties</w:t>
      </w:r>
      <w:r w:rsidR="00446E2E" w:rsidRPr="00446E2E">
        <w:rPr>
          <w:color w:val="000000" w:themeColor="text1"/>
        </w:rPr>
        <w:t>ā</w:t>
      </w:r>
      <w:r w:rsidR="00C33A83" w:rsidRPr="00446E2E">
        <w:rPr>
          <w:color w:val="000000" w:themeColor="text1"/>
        </w:rPr>
        <w:t xml:space="preserve"> </w:t>
      </w:r>
      <w:r w:rsidRPr="00446E2E">
        <w:rPr>
          <w:color w:val="000000" w:themeColor="text1"/>
        </w:rPr>
        <w:t xml:space="preserve">ir </w:t>
      </w:r>
      <w:r w:rsidR="005A564B">
        <w:t>ie</w:t>
      </w:r>
      <w:r>
        <w:t>sniegusi izvērstus paskaidrojumus par Valsts ieņēmumu dienesta konstatētajiem apstākļiem, pierādījumu novērtējumu un secinājumiem</w:t>
      </w:r>
      <w:r w:rsidR="001D64AC">
        <w:t xml:space="preserve"> jeb par tiem secinājumiem, kas no pārsūdzētā lēmuma ir pārrakstīti</w:t>
      </w:r>
      <w:r w:rsidR="0076394D">
        <w:t xml:space="preserve"> </w:t>
      </w:r>
      <w:r w:rsidR="001D64AC">
        <w:t xml:space="preserve">tiesas </w:t>
      </w:r>
      <w:r w:rsidR="0076394D">
        <w:t>spriedumā</w:t>
      </w:r>
      <w:r>
        <w:t xml:space="preserve">. Šie paskaidrojumi ir </w:t>
      </w:r>
      <w:r w:rsidRPr="00155E0A">
        <w:rPr>
          <w:color w:val="000000" w:themeColor="text1"/>
        </w:rPr>
        <w:t>integrēti pārsūdzētajā</w:t>
      </w:r>
      <w:r w:rsidR="00155E0A" w:rsidRPr="00155E0A">
        <w:rPr>
          <w:color w:val="000000" w:themeColor="text1"/>
        </w:rPr>
        <w:t xml:space="preserve"> </w:t>
      </w:r>
      <w:r w:rsidRPr="00155E0A">
        <w:rPr>
          <w:color w:val="000000" w:themeColor="text1"/>
        </w:rPr>
        <w:t xml:space="preserve">lēmumā un </w:t>
      </w:r>
      <w:r>
        <w:t>veidoti tādējādi, ka pēc katra Valsts ieņēmumu dienesta konstatējuma, novērtējuma un secinājuma ir norādīts pieteicējas pretarguments, paskaidrojot, kam un kāpēc pieteicēja nepiekrīt, ko dienests ir nepareizi konstatējis un novērtējis, ko nav ņēmis vērā, kādu apstākļu aps</w:t>
      </w:r>
      <w:r w:rsidR="005A564B">
        <w:t>ti</w:t>
      </w:r>
      <w:r>
        <w:t>prināšanai dienests nav ieguvis pierādījumus</w:t>
      </w:r>
      <w:r w:rsidR="00DA203C">
        <w:t xml:space="preserve">, kādi pierādījumi liecina par dienesta secinājumu nepamatotību </w:t>
      </w:r>
      <w:r>
        <w:t>u. tml.</w:t>
      </w:r>
      <w:r w:rsidR="00DA203C">
        <w:t xml:space="preserve"> Arī uz šiem pieteicējas paskaidrojumos norādītajiem argumentiem atbildes apgabaltiesas spriedumā nav sniegtas</w:t>
      </w:r>
      <w:r w:rsidR="005A564B">
        <w:t>,</w:t>
      </w:r>
      <w:r w:rsidR="00DA203C">
        <w:t xml:space="preserve"> un, kā pareizi norādīts kasācijas sūdzībā, šie pieteicējas paskaidrojumi un argumenti tiesas spriedumā nav </w:t>
      </w:r>
      <w:r w:rsidR="005A564B">
        <w:t xml:space="preserve">pat </w:t>
      </w:r>
      <w:r w:rsidR="00DA203C" w:rsidRPr="00446E2E">
        <w:rPr>
          <w:color w:val="000000" w:themeColor="text1"/>
        </w:rPr>
        <w:t>minēti.</w:t>
      </w:r>
      <w:r w:rsidR="00C60B6D" w:rsidRPr="00446E2E">
        <w:rPr>
          <w:color w:val="000000" w:themeColor="text1"/>
        </w:rPr>
        <w:t xml:space="preserve"> </w:t>
      </w:r>
      <w:r w:rsidR="006A0630" w:rsidRPr="00446E2E">
        <w:rPr>
          <w:color w:val="000000" w:themeColor="text1"/>
        </w:rPr>
        <w:t xml:space="preserve">Apgabaltiesa vien vispārīgi norādījusi, ka </w:t>
      </w:r>
      <w:bookmarkStart w:id="12" w:name="_Hlk122526842"/>
      <w:r w:rsidR="006A0630" w:rsidRPr="00446E2E">
        <w:rPr>
          <w:color w:val="000000" w:themeColor="text1"/>
        </w:rPr>
        <w:t>pieteicējas argumentiem nav izšķirošas nozīmes, jo tie neatspēko dienesta pamatotās šaubas par strīdus darījumu faktisku esamību</w:t>
      </w:r>
      <w:bookmarkEnd w:id="12"/>
      <w:r w:rsidR="006A0630" w:rsidRPr="00446E2E">
        <w:rPr>
          <w:color w:val="000000" w:themeColor="text1"/>
        </w:rPr>
        <w:t>. Sav</w:t>
      </w:r>
      <w:r w:rsidR="006A0630" w:rsidRPr="006A0630">
        <w:rPr>
          <w:color w:val="000000" w:themeColor="text1"/>
        </w:rPr>
        <w:t>ukārt p</w:t>
      </w:r>
      <w:r w:rsidR="00DA642E" w:rsidRPr="00C60B6D">
        <w:rPr>
          <w:color w:val="000000" w:themeColor="text1"/>
        </w:rPr>
        <w:t xml:space="preserve">ieteicēja paskaidrojumos ir norādījusi </w:t>
      </w:r>
      <w:r w:rsidR="000C4AB1" w:rsidRPr="00C60B6D">
        <w:rPr>
          <w:color w:val="000000" w:themeColor="text1"/>
        </w:rPr>
        <w:t xml:space="preserve">skaidrus un konkrētus </w:t>
      </w:r>
      <w:r w:rsidR="0076394D" w:rsidRPr="00C60B6D">
        <w:rPr>
          <w:color w:val="000000" w:themeColor="text1"/>
        </w:rPr>
        <w:t xml:space="preserve">apsvērumus un pamatojumu tam, kāpēc </w:t>
      </w:r>
      <w:r w:rsidR="000C4AB1" w:rsidRPr="00C60B6D">
        <w:rPr>
          <w:color w:val="000000" w:themeColor="text1"/>
        </w:rPr>
        <w:t xml:space="preserve">pieteicējas ieskatā </w:t>
      </w:r>
      <w:r w:rsidR="0076394D" w:rsidRPr="00C60B6D">
        <w:rPr>
          <w:color w:val="000000" w:themeColor="text1"/>
        </w:rPr>
        <w:t>Valsts ieņēm</w:t>
      </w:r>
      <w:r w:rsidR="0076394D">
        <w:t>umu dienesta argumenti ir nepamatoti</w:t>
      </w:r>
      <w:r w:rsidR="00DA642E">
        <w:t>. Lai secinātu, ka pieteicējas pretargumenti nav pamatoti un neietekmē pirmās instances tiesas spriedumā norādīto strīda atrisināšanas veidu, apgabaltiesai bija jāpievēršas šiem</w:t>
      </w:r>
      <w:r w:rsidR="000C4AB1">
        <w:t xml:space="preserve"> pret</w:t>
      </w:r>
      <w:r w:rsidR="00DA642E">
        <w:t>argumentiem un jāsniedz uz tiem atbildes</w:t>
      </w:r>
      <w:r w:rsidR="0076394D">
        <w:t>.</w:t>
      </w:r>
      <w:r w:rsidR="000C4AB1">
        <w:t xml:space="preserve"> Šajā sakarā arī jānorāda, ka atbilstoši </w:t>
      </w:r>
      <w:r w:rsidR="00DE763D">
        <w:t>Senāt</w:t>
      </w:r>
      <w:r w:rsidR="001D64AC">
        <w:t>a</w:t>
      </w:r>
      <w:r w:rsidR="00DE763D">
        <w:t xml:space="preserve"> iepriekš</w:t>
      </w:r>
      <w:r w:rsidR="000C4AB1">
        <w:t xml:space="preserve"> atzītajam </w:t>
      </w:r>
      <w:r w:rsidR="00DE763D">
        <w:t>veids, kā tiesa strukturējusi sprieduma motīvu daļu, nenorāda uz to, ka tiesa nav objektīvi novērtējusi lietas apstākļus vai ka tiesa tajos nav vēlējusies iedziļināties. Tiesa izvēlas un strukturē sprieduma motīvu daļu patstāvīgi (</w:t>
      </w:r>
      <w:r w:rsidR="00985FC6">
        <w:rPr>
          <w:i/>
          <w:iCs/>
        </w:rPr>
        <w:t>Senāta</w:t>
      </w:r>
      <w:r w:rsidR="00DE763D" w:rsidRPr="000C4AB1">
        <w:rPr>
          <w:i/>
          <w:iCs/>
        </w:rPr>
        <w:t xml:space="preserve"> 2013.gada 30.janvāra rīcības sēdes lēmuma lietā Nr.</w:t>
      </w:r>
      <w:r w:rsidR="00985FC6">
        <w:rPr>
          <w:i/>
          <w:iCs/>
        </w:rPr>
        <w:t> </w:t>
      </w:r>
      <w:r w:rsidR="00DE763D" w:rsidRPr="000C4AB1">
        <w:rPr>
          <w:i/>
          <w:iCs/>
        </w:rPr>
        <w:t>SKA-155/2013 (A43004211) 8.punkts, 2014.gada 21.oktobra rīcības sēdes lēmuma lietā Nr.</w:t>
      </w:r>
      <w:r w:rsidR="00985FC6">
        <w:rPr>
          <w:i/>
          <w:iCs/>
        </w:rPr>
        <w:t> </w:t>
      </w:r>
      <w:r w:rsidR="00DE763D" w:rsidRPr="000C4AB1">
        <w:rPr>
          <w:i/>
          <w:iCs/>
        </w:rPr>
        <w:t>SKA-524/2014 (A43003811) 7.punkts</w:t>
      </w:r>
      <w:r w:rsidR="00DE763D">
        <w:t>). Tomēr, lai kādā veidā tiesa ir strukturējusi spriedumu, spriedumam jārada pārliecība, ka tiesa patiešām pēc būtības iedziļinājusies arī pieteicēja argumentos</w:t>
      </w:r>
      <w:r w:rsidR="000C4AB1">
        <w:t xml:space="preserve"> </w:t>
      </w:r>
      <w:r w:rsidR="00DE763D">
        <w:t>(</w:t>
      </w:r>
      <w:r w:rsidR="00DE763D" w:rsidRPr="000C4AB1">
        <w:rPr>
          <w:i/>
          <w:iCs/>
        </w:rPr>
        <w:t>Senāta 2019.gada 26.novembra sprieduma lietā Nr. SKA-852/2019 (</w:t>
      </w:r>
      <w:hyperlink r:id="rId9" w:history="1">
        <w:r w:rsidR="00691E0D" w:rsidRPr="00691E0D">
          <w:rPr>
            <w:rStyle w:val="Hyperlink"/>
            <w:i/>
            <w:iCs/>
            <w:color w:val="000000" w:themeColor="text1"/>
            <w:u w:val="none"/>
          </w:rPr>
          <w:t>ECLI:LV:AT:2022:1004.A43010414.15.S</w:t>
        </w:r>
      </w:hyperlink>
      <w:r w:rsidR="00DE763D" w:rsidRPr="000C4AB1">
        <w:rPr>
          <w:i/>
          <w:iCs/>
        </w:rPr>
        <w:t>) 10.punkts</w:t>
      </w:r>
      <w:r w:rsidR="00DE763D">
        <w:t>).</w:t>
      </w:r>
      <w:bookmarkEnd w:id="11"/>
    </w:p>
    <w:p w14:paraId="7C17DAB8" w14:textId="77777777" w:rsidR="001D64AC" w:rsidRDefault="001D64AC" w:rsidP="00D330CD">
      <w:pPr>
        <w:spacing w:line="276" w:lineRule="auto"/>
        <w:ind w:firstLine="567"/>
        <w:contextualSpacing/>
        <w:jc w:val="both"/>
      </w:pPr>
    </w:p>
    <w:p w14:paraId="46B7F7DC" w14:textId="77777777" w:rsidR="001D64AC" w:rsidRDefault="000C4AB1" w:rsidP="00D330CD">
      <w:pPr>
        <w:spacing w:line="276" w:lineRule="auto"/>
        <w:ind w:firstLine="567"/>
        <w:contextualSpacing/>
        <w:jc w:val="both"/>
      </w:pPr>
      <w:r>
        <w:t>[</w:t>
      </w:r>
      <w:r w:rsidR="001D64AC">
        <w:t>12</w:t>
      </w:r>
      <w:r>
        <w:t>] </w:t>
      </w:r>
      <w:r w:rsidR="00DE763D">
        <w:t>Ņemot vērā iepriekš norādīto apstākļu kopumu</w:t>
      </w:r>
      <w:r w:rsidR="00755BB4">
        <w:t xml:space="preserve">, Senāts piekrīt kasācijas sūdzības argumentam, ka pārsūdzētais tiesas spriedums rada šaubas, ka tiesa ir izpildījusi Administratīvā procesa likuma </w:t>
      </w:r>
      <w:proofErr w:type="gramStart"/>
      <w:r w:rsidR="00755BB4">
        <w:t>103.panta</w:t>
      </w:r>
      <w:proofErr w:type="gramEnd"/>
      <w:r w:rsidR="00755BB4">
        <w:t xml:space="preserve"> </w:t>
      </w:r>
      <w:r w:rsidR="001D64AC">
        <w:t xml:space="preserve">pirmajā un </w:t>
      </w:r>
      <w:r w:rsidR="00755BB4">
        <w:t>otrajā daļā, 107.pantā un 154.pantā paredzētos pienākumus, proti, pati ir konstatējusi būtiskos lietas apstākļus un pati ir pārbaudījusi un novērtējusi šos apstākļus un pierādījumus</w:t>
      </w:r>
      <w:r w:rsidR="001D64AC">
        <w:t>, lai pienācīgi veiktu kontroli pār pārsūdzētā lēmuma tiesiskumu</w:t>
      </w:r>
      <w:r w:rsidR="00755BB4">
        <w:t>. Pārsūdzētais tiesas spriedums norāda arī uz Administratīvā procesa likuma 251.panta piektās daļas pārkāpumu, jo sprieduma motīvu daļā nav norādīta pieteicējas argumentu analīze un nav sniegts pamatojums, kāpēc tiesa nav pievērsusies pieteicējas argument</w:t>
      </w:r>
      <w:r w:rsidR="003262CD">
        <w:t>iem</w:t>
      </w:r>
      <w:r w:rsidR="00755BB4">
        <w:t>. Tas pieteicēju nostāda procesuāli nevienlīdzīgā stāvoklī un būtībā liedz iespēju efektīvi pierādīt savus iebildumus. Tāpēc ir konstatējams arī Administratīvā procesa likuma 14.</w:t>
      </w:r>
      <w:r w:rsidR="00755BB4" w:rsidRPr="000C4AB1">
        <w:rPr>
          <w:vertAlign w:val="superscript"/>
        </w:rPr>
        <w:t>1</w:t>
      </w:r>
      <w:r w:rsidR="00755BB4">
        <w:t>pantā nostiprinātā procesuālā taisnīguma principa pārkāpums.</w:t>
      </w:r>
    </w:p>
    <w:p w14:paraId="6A6FB1B0" w14:textId="77777777" w:rsidR="001D64AC" w:rsidRDefault="001D64AC" w:rsidP="00D330CD">
      <w:pPr>
        <w:spacing w:line="276" w:lineRule="auto"/>
        <w:ind w:firstLine="567"/>
        <w:contextualSpacing/>
        <w:jc w:val="both"/>
      </w:pPr>
    </w:p>
    <w:p w14:paraId="1AE3A72D" w14:textId="0488CF33" w:rsidR="001D64AC" w:rsidRDefault="000C4AB1" w:rsidP="00D330CD">
      <w:pPr>
        <w:spacing w:line="276" w:lineRule="auto"/>
        <w:ind w:firstLine="567"/>
        <w:contextualSpacing/>
        <w:jc w:val="both"/>
      </w:pPr>
      <w:r>
        <w:t>[</w:t>
      </w:r>
      <w:r w:rsidR="001D64AC">
        <w:t>13</w:t>
      </w:r>
      <w:r>
        <w:t>] </w:t>
      </w:r>
      <w:r w:rsidR="00E762FE">
        <w:t>A</w:t>
      </w:r>
      <w:r w:rsidR="003262CD">
        <w:t xml:space="preserve">tbilstoši Eiropas Cilvēktiesību tiesas atzītajam, izskatot lietu apelācijas instances tiesā, var tikt novērsti pirmās instances tiesas pieļautie procesuālie pārkāpumi (piemēram, </w:t>
      </w:r>
      <w:r w:rsidR="003262CD" w:rsidRPr="003262CD">
        <w:rPr>
          <w:i/>
          <w:iCs/>
        </w:rPr>
        <w:t xml:space="preserve">Eiropas Cilvēktiesību tiesas </w:t>
      </w:r>
      <w:proofErr w:type="gramStart"/>
      <w:r w:rsidR="003262CD" w:rsidRPr="003262CD">
        <w:rPr>
          <w:i/>
          <w:iCs/>
        </w:rPr>
        <w:t>2012.gada</w:t>
      </w:r>
      <w:proofErr w:type="gramEnd"/>
      <w:r w:rsidR="003262CD" w:rsidRPr="003262CD">
        <w:rPr>
          <w:i/>
          <w:iCs/>
        </w:rPr>
        <w:t xml:space="preserve"> 2.oktobra </w:t>
      </w:r>
      <w:r w:rsidR="003262CD" w:rsidRPr="00F85B59">
        <w:rPr>
          <w:i/>
          <w:iCs/>
          <w:color w:val="000000" w:themeColor="text1"/>
        </w:rPr>
        <w:t xml:space="preserve">sprieduma </w:t>
      </w:r>
      <w:r w:rsidR="00F85B59" w:rsidRPr="00F85B59">
        <w:rPr>
          <w:bCs/>
          <w:i/>
          <w:iCs/>
          <w:color w:val="000000" w:themeColor="text1"/>
        </w:rPr>
        <w:t>„</w:t>
      </w:r>
      <w:proofErr w:type="spellStart"/>
      <w:r w:rsidR="00446E2E" w:rsidRPr="00F85B59">
        <w:rPr>
          <w:i/>
          <w:iCs/>
          <w:color w:val="000000" w:themeColor="text1"/>
        </w:rPr>
        <w:t>Khrabrova</w:t>
      </w:r>
      <w:proofErr w:type="spellEnd"/>
      <w:r w:rsidR="00446E2E" w:rsidRPr="00F85B59">
        <w:rPr>
          <w:i/>
          <w:iCs/>
          <w:color w:val="000000" w:themeColor="text1"/>
        </w:rPr>
        <w:t xml:space="preserve"> v. </w:t>
      </w:r>
      <w:proofErr w:type="spellStart"/>
      <w:r w:rsidR="00446E2E" w:rsidRPr="00F85B59">
        <w:rPr>
          <w:i/>
          <w:iCs/>
          <w:color w:val="000000" w:themeColor="text1"/>
        </w:rPr>
        <w:t>Russia</w:t>
      </w:r>
      <w:proofErr w:type="spellEnd"/>
      <w:r w:rsidR="00F85B59" w:rsidRPr="00F85B59">
        <w:rPr>
          <w:i/>
          <w:iCs/>
          <w:color w:val="000000" w:themeColor="text1"/>
        </w:rPr>
        <w:t>”</w:t>
      </w:r>
      <w:r w:rsidR="003262CD" w:rsidRPr="00F85B59">
        <w:rPr>
          <w:i/>
          <w:iCs/>
          <w:color w:val="000000" w:themeColor="text1"/>
        </w:rPr>
        <w:t xml:space="preserve">, iesnieguma </w:t>
      </w:r>
      <w:r w:rsidR="003262CD" w:rsidRPr="003262CD">
        <w:rPr>
          <w:i/>
          <w:iCs/>
        </w:rPr>
        <w:t>Nr.</w:t>
      </w:r>
      <w:r w:rsidR="003262CD">
        <w:rPr>
          <w:i/>
          <w:iCs/>
        </w:rPr>
        <w:t> </w:t>
      </w:r>
      <w:r w:rsidR="003262CD" w:rsidRPr="003262CD">
        <w:rPr>
          <w:i/>
          <w:iCs/>
        </w:rPr>
        <w:t>18498/04, 52.punkt</w:t>
      </w:r>
      <w:r w:rsidR="00187AE8">
        <w:rPr>
          <w:i/>
          <w:iCs/>
        </w:rPr>
        <w:t>s</w:t>
      </w:r>
      <w:r w:rsidR="003262CD" w:rsidRPr="003262CD">
        <w:rPr>
          <w:i/>
          <w:iCs/>
        </w:rPr>
        <w:t xml:space="preserve"> un tajā minēt</w:t>
      </w:r>
      <w:r w:rsidR="00187AE8">
        <w:rPr>
          <w:i/>
          <w:iCs/>
        </w:rPr>
        <w:t>ie</w:t>
      </w:r>
      <w:r w:rsidR="003262CD" w:rsidRPr="003262CD">
        <w:rPr>
          <w:i/>
          <w:iCs/>
        </w:rPr>
        <w:t xml:space="preserve"> spriedum</w:t>
      </w:r>
      <w:r w:rsidR="00187AE8">
        <w:rPr>
          <w:i/>
          <w:iCs/>
        </w:rPr>
        <w:t>i</w:t>
      </w:r>
      <w:r w:rsidR="003262CD">
        <w:t>). Tā kā pieteicēja jau apelācijas sūdzībā norādīja uz pirmās instances tiesas pieļautajiem procesuālo tiesību normu pārkāpumiem, kas attiecas uz lietas apstākļu konstatēšanu, apstākļu</w:t>
      </w:r>
      <w:r>
        <w:t>,</w:t>
      </w:r>
      <w:r w:rsidR="003262CD">
        <w:t xml:space="preserve"> pierādījumu </w:t>
      </w:r>
      <w:r>
        <w:t xml:space="preserve">un pieteicējas argumentu </w:t>
      </w:r>
      <w:r w:rsidR="003262CD">
        <w:t>pārbaudi un vērtēšanu, apgabaltiesai bija jāizvērtē š</w:t>
      </w:r>
      <w:r>
        <w:t>is</w:t>
      </w:r>
      <w:r w:rsidR="003262CD">
        <w:t xml:space="preserve"> apelācijas sūdzības arguments un</w:t>
      </w:r>
      <w:r>
        <w:t xml:space="preserve"> jānovērš pirmās instances tiesas pieļautie pārkāpumi.</w:t>
      </w:r>
    </w:p>
    <w:p w14:paraId="1B5C4437" w14:textId="77777777" w:rsidR="001D64AC" w:rsidRDefault="001D64AC" w:rsidP="00D330CD">
      <w:pPr>
        <w:spacing w:line="276" w:lineRule="auto"/>
        <w:ind w:firstLine="567"/>
        <w:contextualSpacing/>
        <w:jc w:val="both"/>
      </w:pPr>
    </w:p>
    <w:p w14:paraId="618968B9" w14:textId="6641875A" w:rsidR="00866B00" w:rsidRDefault="003262CD" w:rsidP="00D330CD">
      <w:pPr>
        <w:spacing w:line="276" w:lineRule="auto"/>
        <w:ind w:firstLine="567"/>
        <w:contextualSpacing/>
        <w:jc w:val="both"/>
      </w:pPr>
      <w:r>
        <w:t>[1</w:t>
      </w:r>
      <w:r w:rsidR="001D64AC">
        <w:t>4</w:t>
      </w:r>
      <w:r>
        <w:t>] Ievērojot minēto, apgabaltiesas spriedums ir atceļams būtisku procesuālu pārkāpumu dēļ</w:t>
      </w:r>
      <w:r w:rsidR="00866B00">
        <w:t>, nevērtējot pārējos kasācijas sūdzības argumentus.</w:t>
      </w:r>
    </w:p>
    <w:p w14:paraId="60082546" w14:textId="77777777" w:rsidR="00866B00" w:rsidRDefault="00866B00" w:rsidP="00D330CD">
      <w:pPr>
        <w:spacing w:line="276" w:lineRule="auto"/>
        <w:ind w:firstLine="720"/>
        <w:contextualSpacing/>
        <w:jc w:val="both"/>
      </w:pPr>
    </w:p>
    <w:bookmarkEnd w:id="4"/>
    <w:p w14:paraId="46830BC2" w14:textId="77777777" w:rsidR="00974E53" w:rsidRPr="007D4A2B" w:rsidRDefault="00974E53" w:rsidP="00D330CD">
      <w:pPr>
        <w:spacing w:line="276" w:lineRule="auto"/>
        <w:contextualSpacing/>
        <w:jc w:val="center"/>
        <w:rPr>
          <w:b/>
        </w:rPr>
      </w:pPr>
      <w:r w:rsidRPr="007D4A2B">
        <w:rPr>
          <w:b/>
        </w:rPr>
        <w:t>Rezolutīvā daļa</w:t>
      </w:r>
    </w:p>
    <w:p w14:paraId="2C66F3DC" w14:textId="77777777" w:rsidR="00974E53" w:rsidRPr="007D4A2B" w:rsidRDefault="00974E53" w:rsidP="00D330CD">
      <w:pPr>
        <w:spacing w:line="276" w:lineRule="auto"/>
        <w:ind w:firstLine="567"/>
        <w:contextualSpacing/>
        <w:jc w:val="both"/>
        <w:rPr>
          <w:bCs/>
          <w:spacing w:val="70"/>
        </w:rPr>
      </w:pPr>
    </w:p>
    <w:p w14:paraId="2FDC6860" w14:textId="7480E0C4" w:rsidR="00A71DB7" w:rsidRDefault="00866B00" w:rsidP="00D330CD">
      <w:pPr>
        <w:spacing w:line="276" w:lineRule="auto"/>
        <w:ind w:firstLine="567"/>
        <w:jc w:val="both"/>
      </w:pPr>
      <w:r>
        <w:t>Pamatojoties uz Administratīvā procesa likuma 129.</w:t>
      </w:r>
      <w:proofErr w:type="gramStart"/>
      <w:r w:rsidRPr="001D64AC">
        <w:rPr>
          <w:vertAlign w:val="superscript"/>
        </w:rPr>
        <w:t>1</w:t>
      </w:r>
      <w:r>
        <w:t>panta</w:t>
      </w:r>
      <w:proofErr w:type="gramEnd"/>
      <w:r>
        <w:t xml:space="preserve"> pirmās daļas 1.punktu, 348.panta pirmās daļas 2.punktu un 351.pantu, Senāts</w:t>
      </w:r>
    </w:p>
    <w:p w14:paraId="4645C3B0" w14:textId="77777777" w:rsidR="00866B00" w:rsidRPr="007D4A2B" w:rsidRDefault="00866B00" w:rsidP="00D330CD">
      <w:pPr>
        <w:spacing w:line="276" w:lineRule="auto"/>
        <w:ind w:firstLine="567"/>
        <w:jc w:val="both"/>
        <w:rPr>
          <w:rFonts w:asciiTheme="majorBidi" w:hAnsiTheme="majorBidi" w:cstheme="majorBidi"/>
        </w:rPr>
      </w:pPr>
    </w:p>
    <w:p w14:paraId="76B81A2D" w14:textId="77777777" w:rsidR="00542004" w:rsidRPr="007D4A2B" w:rsidRDefault="00542004" w:rsidP="00D330CD">
      <w:pPr>
        <w:tabs>
          <w:tab w:val="left" w:pos="2700"/>
          <w:tab w:val="left" w:pos="6660"/>
        </w:tabs>
        <w:spacing w:line="276" w:lineRule="auto"/>
        <w:jc w:val="center"/>
        <w:rPr>
          <w:rFonts w:asciiTheme="majorBidi" w:hAnsiTheme="majorBidi" w:cstheme="majorBidi"/>
          <w:b/>
        </w:rPr>
      </w:pPr>
      <w:r w:rsidRPr="007D4A2B">
        <w:rPr>
          <w:rFonts w:asciiTheme="majorBidi" w:hAnsiTheme="majorBidi" w:cstheme="majorBidi"/>
          <w:b/>
        </w:rPr>
        <w:t>nosprieda</w:t>
      </w:r>
    </w:p>
    <w:p w14:paraId="0FD13340" w14:textId="77777777" w:rsidR="00542004" w:rsidRPr="007D4A2B" w:rsidRDefault="00542004" w:rsidP="00D330CD">
      <w:pPr>
        <w:tabs>
          <w:tab w:val="left" w:pos="2700"/>
          <w:tab w:val="left" w:pos="6660"/>
        </w:tabs>
        <w:spacing w:line="276" w:lineRule="auto"/>
        <w:ind w:firstLine="567"/>
        <w:jc w:val="center"/>
        <w:rPr>
          <w:rFonts w:asciiTheme="majorBidi" w:hAnsiTheme="majorBidi" w:cstheme="majorBidi"/>
          <w:b/>
          <w:bCs/>
          <w:spacing w:val="70"/>
        </w:rPr>
      </w:pPr>
    </w:p>
    <w:p w14:paraId="6826223E" w14:textId="12BB7336" w:rsidR="00866B00" w:rsidRDefault="00866B00" w:rsidP="00D330CD">
      <w:pPr>
        <w:spacing w:line="276" w:lineRule="auto"/>
        <w:ind w:firstLine="567"/>
        <w:jc w:val="both"/>
      </w:pPr>
      <w:r>
        <w:rPr>
          <w:rFonts w:asciiTheme="majorBidi" w:hAnsiTheme="majorBidi" w:cstheme="majorBidi"/>
        </w:rPr>
        <w:t xml:space="preserve">Atcelt </w:t>
      </w:r>
      <w:r w:rsidR="00346661">
        <w:rPr>
          <w:rFonts w:asciiTheme="majorBidi" w:hAnsiTheme="majorBidi" w:cstheme="majorBidi"/>
        </w:rPr>
        <w:t>Administratīvās apgabaltiesas</w:t>
      </w:r>
      <w:r w:rsidR="00542004" w:rsidRPr="007D4A2B">
        <w:rPr>
          <w:rFonts w:asciiTheme="majorBidi" w:hAnsiTheme="majorBidi" w:cstheme="majorBidi"/>
        </w:rPr>
        <w:t xml:space="preserve"> </w:t>
      </w:r>
      <w:proofErr w:type="gramStart"/>
      <w:r w:rsidR="00542004" w:rsidRPr="007D4A2B">
        <w:rPr>
          <w:rFonts w:asciiTheme="majorBidi" w:hAnsiTheme="majorBidi" w:cstheme="majorBidi"/>
        </w:rPr>
        <w:t>20</w:t>
      </w:r>
      <w:r>
        <w:rPr>
          <w:rFonts w:asciiTheme="majorBidi" w:hAnsiTheme="majorBidi" w:cstheme="majorBidi"/>
        </w:rPr>
        <w:t>22</w:t>
      </w:r>
      <w:r w:rsidR="00542004" w:rsidRPr="007D4A2B">
        <w:rPr>
          <w:rFonts w:asciiTheme="majorBidi" w:hAnsiTheme="majorBidi" w:cstheme="majorBidi"/>
        </w:rPr>
        <w:t>.gada</w:t>
      </w:r>
      <w:proofErr w:type="gramEnd"/>
      <w:r w:rsidR="00542004" w:rsidRPr="007D4A2B">
        <w:rPr>
          <w:rFonts w:asciiTheme="majorBidi" w:hAnsiTheme="majorBidi" w:cstheme="majorBidi"/>
        </w:rPr>
        <w:t xml:space="preserve"> </w:t>
      </w:r>
      <w:r>
        <w:rPr>
          <w:rFonts w:asciiTheme="majorBidi" w:hAnsiTheme="majorBidi" w:cstheme="majorBidi"/>
        </w:rPr>
        <w:t xml:space="preserve">11.maija </w:t>
      </w:r>
      <w:r w:rsidR="00542004" w:rsidRPr="007D4A2B">
        <w:rPr>
          <w:rFonts w:asciiTheme="majorBidi" w:hAnsiTheme="majorBidi" w:cstheme="majorBidi"/>
        </w:rPr>
        <w:t>spriedumu</w:t>
      </w:r>
      <w:r>
        <w:rPr>
          <w:rFonts w:asciiTheme="majorBidi" w:hAnsiTheme="majorBidi" w:cstheme="majorBidi"/>
        </w:rPr>
        <w:t xml:space="preserve"> un</w:t>
      </w:r>
      <w:r w:rsidRPr="00866B00">
        <w:t xml:space="preserve"> </w:t>
      </w:r>
      <w:r>
        <w:t>nosūtīt lietu jaunai izskatīšanai Administratīvajai apgabaltiesai.</w:t>
      </w:r>
    </w:p>
    <w:p w14:paraId="290C2969" w14:textId="6B46F846" w:rsidR="00866B00" w:rsidRPr="00F85B59" w:rsidRDefault="00866B00" w:rsidP="00D330CD">
      <w:pPr>
        <w:spacing w:line="276" w:lineRule="auto"/>
        <w:ind w:firstLine="567"/>
        <w:jc w:val="both"/>
      </w:pPr>
      <w:bookmarkStart w:id="13" w:name="_Hlk122603590"/>
      <w:r>
        <w:t xml:space="preserve">Atmaksāt </w:t>
      </w:r>
      <w:r w:rsidR="00F85B59">
        <w:t>SIA </w:t>
      </w:r>
      <w:r w:rsidR="00F85B59" w:rsidRPr="00F85B59">
        <w:t>„</w:t>
      </w:r>
      <w:proofErr w:type="spellStart"/>
      <w:r w:rsidR="00F85B59">
        <w:t>Jaunlatgola</w:t>
      </w:r>
      <w:proofErr w:type="spellEnd"/>
      <w:r w:rsidR="00F85B59">
        <w:t xml:space="preserve">” par </w:t>
      </w:r>
      <w:r w:rsidR="00F85B59" w:rsidRPr="00F85B59">
        <w:rPr>
          <w:color w:val="000000" w:themeColor="text1"/>
        </w:rPr>
        <w:t xml:space="preserve">pieteicējas </w:t>
      </w:r>
      <w:r w:rsidR="0068210D" w:rsidRPr="00F85B59">
        <w:rPr>
          <w:color w:val="000000" w:themeColor="text1"/>
        </w:rPr>
        <w:t>likvidējam</w:t>
      </w:r>
      <w:r w:rsidR="00F85B59" w:rsidRPr="00F85B59">
        <w:rPr>
          <w:color w:val="000000" w:themeColor="text1"/>
        </w:rPr>
        <w:t>ās</w:t>
      </w:r>
      <w:r w:rsidR="0068210D" w:rsidRPr="00F85B59">
        <w:rPr>
          <w:color w:val="000000" w:themeColor="text1"/>
        </w:rPr>
        <w:t xml:space="preserve"> </w:t>
      </w:r>
      <w:r w:rsidRPr="00F85B59">
        <w:rPr>
          <w:color w:val="000000" w:themeColor="text1"/>
        </w:rPr>
        <w:t>SIA „HIM LAT</w:t>
      </w:r>
      <w:r>
        <w:t xml:space="preserve">” </w:t>
      </w:r>
      <w:r w:rsidR="00F85B59">
        <w:t>samaksāto</w:t>
      </w:r>
      <w:r w:rsidR="00F85B59" w:rsidRPr="00F85B59">
        <w:t xml:space="preserve"> </w:t>
      </w:r>
      <w:r>
        <w:t>drošības naudu 70 </w:t>
      </w:r>
      <w:r w:rsidRPr="00866B00">
        <w:rPr>
          <w:i/>
          <w:iCs/>
        </w:rPr>
        <w:t>euro</w:t>
      </w:r>
      <w:bookmarkEnd w:id="13"/>
      <w:r>
        <w:t>.</w:t>
      </w:r>
    </w:p>
    <w:p w14:paraId="2E088884" w14:textId="77777777" w:rsidR="00542004" w:rsidRPr="007D4A2B" w:rsidRDefault="00542004" w:rsidP="00D330CD">
      <w:pPr>
        <w:spacing w:line="276" w:lineRule="auto"/>
        <w:ind w:firstLine="567"/>
        <w:jc w:val="both"/>
        <w:rPr>
          <w:rFonts w:asciiTheme="majorBidi" w:hAnsiTheme="majorBidi" w:cstheme="majorBidi"/>
          <w:bCs/>
          <w:lang w:eastAsia="lv-LV"/>
        </w:rPr>
      </w:pPr>
      <w:r w:rsidRPr="007D4A2B">
        <w:rPr>
          <w:rFonts w:asciiTheme="majorBidi" w:hAnsiTheme="majorBidi" w:cstheme="majorBidi"/>
          <w:bCs/>
          <w:lang w:eastAsia="lv-LV"/>
        </w:rPr>
        <w:t>Spriedums nav pārsūdzams.</w:t>
      </w:r>
    </w:p>
    <w:p w14:paraId="4DBF7ACE" w14:textId="29716BB7" w:rsidR="00EB5D6B" w:rsidRPr="007D4A2B" w:rsidRDefault="00EB5D6B" w:rsidP="00EB5D6B">
      <w:pPr>
        <w:tabs>
          <w:tab w:val="center" w:pos="1701"/>
          <w:tab w:val="center" w:pos="4536"/>
          <w:tab w:val="center" w:pos="7371"/>
        </w:tabs>
        <w:spacing w:line="276" w:lineRule="auto"/>
        <w:ind w:firstLine="720"/>
        <w:contextualSpacing/>
        <w:jc w:val="both"/>
      </w:pPr>
    </w:p>
    <w:p w14:paraId="7F7D23DB" w14:textId="76A19EE1" w:rsidR="00E34077" w:rsidRPr="007D4A2B" w:rsidRDefault="00E34077" w:rsidP="00EB5D6B">
      <w:pPr>
        <w:tabs>
          <w:tab w:val="center" w:pos="1701"/>
          <w:tab w:val="center" w:pos="4536"/>
          <w:tab w:val="center" w:pos="7371"/>
        </w:tabs>
        <w:spacing w:line="276" w:lineRule="auto"/>
        <w:ind w:firstLine="720"/>
        <w:contextualSpacing/>
        <w:jc w:val="both"/>
      </w:pPr>
    </w:p>
    <w:p w14:paraId="31590B96" w14:textId="24B4A59C" w:rsidR="00BA24DD" w:rsidRDefault="00BA24DD" w:rsidP="00EB5D6B">
      <w:pPr>
        <w:tabs>
          <w:tab w:val="center" w:pos="1701"/>
          <w:tab w:val="center" w:pos="4536"/>
          <w:tab w:val="center" w:pos="7371"/>
        </w:tabs>
        <w:spacing w:line="276" w:lineRule="auto"/>
        <w:ind w:firstLine="720"/>
        <w:contextualSpacing/>
        <w:jc w:val="both"/>
      </w:pPr>
    </w:p>
    <w:p w14:paraId="5EDE6A2D" w14:textId="77777777" w:rsidR="00E34077" w:rsidRPr="007D4A2B" w:rsidRDefault="00E34077" w:rsidP="00BA24DD">
      <w:pPr>
        <w:tabs>
          <w:tab w:val="center" w:pos="1701"/>
          <w:tab w:val="center" w:pos="4536"/>
          <w:tab w:val="center" w:pos="7371"/>
        </w:tabs>
        <w:spacing w:line="276" w:lineRule="auto"/>
        <w:contextualSpacing/>
        <w:jc w:val="both"/>
      </w:pPr>
    </w:p>
    <w:sectPr w:rsidR="00E34077" w:rsidRPr="007D4A2B" w:rsidSect="0023673B">
      <w:footerReference w:type="default" r:id="rId10"/>
      <w:pgSz w:w="11906" w:h="16838"/>
      <w:pgMar w:top="964" w:right="964" w:bottom="964" w:left="1701"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37312" w14:textId="77777777" w:rsidR="00AB105C" w:rsidRDefault="00AB105C" w:rsidP="00F005AF">
      <w:r>
        <w:separator/>
      </w:r>
    </w:p>
  </w:endnote>
  <w:endnote w:type="continuationSeparator" w:id="0">
    <w:p w14:paraId="52F35EBC" w14:textId="77777777" w:rsidR="00AB105C" w:rsidRDefault="00AB105C"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631CA27A" w14:textId="77777777" w:rsidR="00810043" w:rsidRDefault="00F005AF">
            <w:pPr>
              <w:pStyle w:val="Footer"/>
              <w:jc w:val="center"/>
              <w:rPr>
                <w:bCs/>
              </w:rPr>
            </w:pPr>
            <w:r w:rsidRPr="00F005AF">
              <w:rPr>
                <w:bCs/>
              </w:rPr>
              <w:fldChar w:fldCharType="begin"/>
            </w:r>
            <w:r w:rsidRPr="00F005AF">
              <w:rPr>
                <w:bCs/>
              </w:rPr>
              <w:instrText xml:space="preserve"> PAGE </w:instrText>
            </w:r>
            <w:r w:rsidRPr="00F005AF">
              <w:rPr>
                <w:bCs/>
              </w:rPr>
              <w:fldChar w:fldCharType="separate"/>
            </w:r>
            <w:r w:rsidR="00F77768">
              <w:rPr>
                <w:bCs/>
                <w:noProof/>
              </w:rPr>
              <w:t>6</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F77768">
              <w:rPr>
                <w:bCs/>
                <w:noProof/>
              </w:rPr>
              <w:t>6</w:t>
            </w:r>
            <w:r w:rsidRPr="00F005AF">
              <w:rPr>
                <w:bCs/>
              </w:rPr>
              <w:fldChar w:fldCharType="end"/>
            </w:r>
          </w:p>
          <w:p w14:paraId="01659A19" w14:textId="26C15D14" w:rsidR="00F005AF" w:rsidRPr="00F005AF" w:rsidRDefault="00F77768">
            <w:pPr>
              <w:pStyle w:val="Footer"/>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8EDB1" w14:textId="77777777" w:rsidR="00AB105C" w:rsidRDefault="00AB105C" w:rsidP="00F005AF">
      <w:r>
        <w:separator/>
      </w:r>
    </w:p>
  </w:footnote>
  <w:footnote w:type="continuationSeparator" w:id="0">
    <w:p w14:paraId="2341D9D9" w14:textId="77777777" w:rsidR="00AB105C" w:rsidRDefault="00AB105C"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785F51"/>
    <w:multiLevelType w:val="multilevel"/>
    <w:tmpl w:val="EF1A8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D02"/>
    <w:rsid w:val="00001E09"/>
    <w:rsid w:val="00002DD4"/>
    <w:rsid w:val="00002F27"/>
    <w:rsid w:val="00003C97"/>
    <w:rsid w:val="00004643"/>
    <w:rsid w:val="0000468D"/>
    <w:rsid w:val="00005413"/>
    <w:rsid w:val="00005AA6"/>
    <w:rsid w:val="00006ECE"/>
    <w:rsid w:val="00010158"/>
    <w:rsid w:val="00010892"/>
    <w:rsid w:val="000139D8"/>
    <w:rsid w:val="0001547F"/>
    <w:rsid w:val="0002182C"/>
    <w:rsid w:val="000255B6"/>
    <w:rsid w:val="00025FD1"/>
    <w:rsid w:val="0002689C"/>
    <w:rsid w:val="00027B8C"/>
    <w:rsid w:val="000302B8"/>
    <w:rsid w:val="000302C0"/>
    <w:rsid w:val="00030572"/>
    <w:rsid w:val="00031AE9"/>
    <w:rsid w:val="00032089"/>
    <w:rsid w:val="000325CD"/>
    <w:rsid w:val="0003333B"/>
    <w:rsid w:val="0004076B"/>
    <w:rsid w:val="00041347"/>
    <w:rsid w:val="00041D11"/>
    <w:rsid w:val="0004602C"/>
    <w:rsid w:val="00046976"/>
    <w:rsid w:val="000469E8"/>
    <w:rsid w:val="00046A78"/>
    <w:rsid w:val="00047EFE"/>
    <w:rsid w:val="00053C30"/>
    <w:rsid w:val="00054BCD"/>
    <w:rsid w:val="00054DFD"/>
    <w:rsid w:val="000555EE"/>
    <w:rsid w:val="00055EB5"/>
    <w:rsid w:val="0006000F"/>
    <w:rsid w:val="000644F8"/>
    <w:rsid w:val="000658E3"/>
    <w:rsid w:val="00065B78"/>
    <w:rsid w:val="00065FAA"/>
    <w:rsid w:val="0006796A"/>
    <w:rsid w:val="00070305"/>
    <w:rsid w:val="0007243B"/>
    <w:rsid w:val="00072BDC"/>
    <w:rsid w:val="00074C3B"/>
    <w:rsid w:val="00075846"/>
    <w:rsid w:val="00075EA1"/>
    <w:rsid w:val="000816F7"/>
    <w:rsid w:val="00082553"/>
    <w:rsid w:val="00083CB7"/>
    <w:rsid w:val="00083FFD"/>
    <w:rsid w:val="00086319"/>
    <w:rsid w:val="0008753F"/>
    <w:rsid w:val="00087BA9"/>
    <w:rsid w:val="00090F4A"/>
    <w:rsid w:val="00090F93"/>
    <w:rsid w:val="00094700"/>
    <w:rsid w:val="000947BA"/>
    <w:rsid w:val="00097AB4"/>
    <w:rsid w:val="00097B59"/>
    <w:rsid w:val="00097C5C"/>
    <w:rsid w:val="000A525F"/>
    <w:rsid w:val="000B0F8B"/>
    <w:rsid w:val="000B3785"/>
    <w:rsid w:val="000B4D1A"/>
    <w:rsid w:val="000B7D25"/>
    <w:rsid w:val="000C2BA2"/>
    <w:rsid w:val="000C2D3A"/>
    <w:rsid w:val="000C4544"/>
    <w:rsid w:val="000C45B9"/>
    <w:rsid w:val="000C4AB1"/>
    <w:rsid w:val="000C5859"/>
    <w:rsid w:val="000C5E44"/>
    <w:rsid w:val="000C6087"/>
    <w:rsid w:val="000C60CC"/>
    <w:rsid w:val="000D2BE5"/>
    <w:rsid w:val="000D5F0C"/>
    <w:rsid w:val="000D6D04"/>
    <w:rsid w:val="000E1551"/>
    <w:rsid w:val="000E3EFD"/>
    <w:rsid w:val="000E4FDD"/>
    <w:rsid w:val="000E6D2E"/>
    <w:rsid w:val="000F187D"/>
    <w:rsid w:val="000F3682"/>
    <w:rsid w:val="000F392F"/>
    <w:rsid w:val="00100D6A"/>
    <w:rsid w:val="001023F3"/>
    <w:rsid w:val="00105030"/>
    <w:rsid w:val="0010629E"/>
    <w:rsid w:val="00110B21"/>
    <w:rsid w:val="00111B55"/>
    <w:rsid w:val="00112C11"/>
    <w:rsid w:val="00113216"/>
    <w:rsid w:val="00114141"/>
    <w:rsid w:val="00114B3A"/>
    <w:rsid w:val="00114F35"/>
    <w:rsid w:val="00114F37"/>
    <w:rsid w:val="00115DED"/>
    <w:rsid w:val="001173BE"/>
    <w:rsid w:val="00117BA2"/>
    <w:rsid w:val="00120AEB"/>
    <w:rsid w:val="00121496"/>
    <w:rsid w:val="00121DA4"/>
    <w:rsid w:val="00122902"/>
    <w:rsid w:val="001253B5"/>
    <w:rsid w:val="00130158"/>
    <w:rsid w:val="00132C4F"/>
    <w:rsid w:val="0013465D"/>
    <w:rsid w:val="00134D67"/>
    <w:rsid w:val="00135DF9"/>
    <w:rsid w:val="001360A2"/>
    <w:rsid w:val="00137324"/>
    <w:rsid w:val="0013752C"/>
    <w:rsid w:val="00140D89"/>
    <w:rsid w:val="00141B34"/>
    <w:rsid w:val="00143DE7"/>
    <w:rsid w:val="00144BE1"/>
    <w:rsid w:val="00146624"/>
    <w:rsid w:val="001466DD"/>
    <w:rsid w:val="00155E0A"/>
    <w:rsid w:val="001569D4"/>
    <w:rsid w:val="00156D44"/>
    <w:rsid w:val="00166312"/>
    <w:rsid w:val="00173D37"/>
    <w:rsid w:val="00174DF5"/>
    <w:rsid w:val="00174EE1"/>
    <w:rsid w:val="0018078D"/>
    <w:rsid w:val="0018096D"/>
    <w:rsid w:val="00182DD6"/>
    <w:rsid w:val="00184C46"/>
    <w:rsid w:val="00185298"/>
    <w:rsid w:val="00185CE5"/>
    <w:rsid w:val="001866B1"/>
    <w:rsid w:val="00186D74"/>
    <w:rsid w:val="00187AE8"/>
    <w:rsid w:val="001913D0"/>
    <w:rsid w:val="00192304"/>
    <w:rsid w:val="00197126"/>
    <w:rsid w:val="001977A6"/>
    <w:rsid w:val="001A119E"/>
    <w:rsid w:val="001A28C8"/>
    <w:rsid w:val="001A385A"/>
    <w:rsid w:val="001A49D8"/>
    <w:rsid w:val="001A587C"/>
    <w:rsid w:val="001A76DE"/>
    <w:rsid w:val="001B2335"/>
    <w:rsid w:val="001B7298"/>
    <w:rsid w:val="001B7A9B"/>
    <w:rsid w:val="001B7FDB"/>
    <w:rsid w:val="001C1647"/>
    <w:rsid w:val="001C1DD7"/>
    <w:rsid w:val="001C4D1A"/>
    <w:rsid w:val="001C5562"/>
    <w:rsid w:val="001D1194"/>
    <w:rsid w:val="001D1AC7"/>
    <w:rsid w:val="001D2707"/>
    <w:rsid w:val="001D420F"/>
    <w:rsid w:val="001D43F0"/>
    <w:rsid w:val="001D4757"/>
    <w:rsid w:val="001D553D"/>
    <w:rsid w:val="001D58B0"/>
    <w:rsid w:val="001D64AC"/>
    <w:rsid w:val="001D68F1"/>
    <w:rsid w:val="001D7016"/>
    <w:rsid w:val="001D7F2B"/>
    <w:rsid w:val="001E2769"/>
    <w:rsid w:val="001E2A98"/>
    <w:rsid w:val="001E3000"/>
    <w:rsid w:val="001E4457"/>
    <w:rsid w:val="001E5BA7"/>
    <w:rsid w:val="001E6D85"/>
    <w:rsid w:val="001F1472"/>
    <w:rsid w:val="001F22A8"/>
    <w:rsid w:val="001F292E"/>
    <w:rsid w:val="001F333B"/>
    <w:rsid w:val="001F3C17"/>
    <w:rsid w:val="001F4E54"/>
    <w:rsid w:val="001F5B04"/>
    <w:rsid w:val="001F768C"/>
    <w:rsid w:val="001F7983"/>
    <w:rsid w:val="00200851"/>
    <w:rsid w:val="00200F2E"/>
    <w:rsid w:val="00201227"/>
    <w:rsid w:val="002025F9"/>
    <w:rsid w:val="00202B4F"/>
    <w:rsid w:val="00203D70"/>
    <w:rsid w:val="00203EB3"/>
    <w:rsid w:val="00204150"/>
    <w:rsid w:val="0020601B"/>
    <w:rsid w:val="00210BCA"/>
    <w:rsid w:val="00210BDC"/>
    <w:rsid w:val="0021107A"/>
    <w:rsid w:val="00211E48"/>
    <w:rsid w:val="00214D8F"/>
    <w:rsid w:val="0021560F"/>
    <w:rsid w:val="0022214C"/>
    <w:rsid w:val="00231310"/>
    <w:rsid w:val="00231C5A"/>
    <w:rsid w:val="00233753"/>
    <w:rsid w:val="002355E7"/>
    <w:rsid w:val="00235ADF"/>
    <w:rsid w:val="0023673B"/>
    <w:rsid w:val="0024218E"/>
    <w:rsid w:val="00245F4A"/>
    <w:rsid w:val="0024664F"/>
    <w:rsid w:val="002526C0"/>
    <w:rsid w:val="00253CA3"/>
    <w:rsid w:val="00255E35"/>
    <w:rsid w:val="00255FA4"/>
    <w:rsid w:val="00260D2A"/>
    <w:rsid w:val="00261F16"/>
    <w:rsid w:val="0026375E"/>
    <w:rsid w:val="002638FC"/>
    <w:rsid w:val="00264420"/>
    <w:rsid w:val="00265750"/>
    <w:rsid w:val="002657A6"/>
    <w:rsid w:val="002669FC"/>
    <w:rsid w:val="00266AD3"/>
    <w:rsid w:val="00267CE2"/>
    <w:rsid w:val="00270C44"/>
    <w:rsid w:val="00272A27"/>
    <w:rsid w:val="00275F7E"/>
    <w:rsid w:val="00277ED4"/>
    <w:rsid w:val="0028071B"/>
    <w:rsid w:val="00280848"/>
    <w:rsid w:val="00281C46"/>
    <w:rsid w:val="00282339"/>
    <w:rsid w:val="00285129"/>
    <w:rsid w:val="00285DF1"/>
    <w:rsid w:val="00286638"/>
    <w:rsid w:val="00286993"/>
    <w:rsid w:val="00287096"/>
    <w:rsid w:val="0028788C"/>
    <w:rsid w:val="00287E78"/>
    <w:rsid w:val="00294959"/>
    <w:rsid w:val="00295746"/>
    <w:rsid w:val="00296155"/>
    <w:rsid w:val="00297328"/>
    <w:rsid w:val="00297B38"/>
    <w:rsid w:val="002A00A1"/>
    <w:rsid w:val="002A1B2F"/>
    <w:rsid w:val="002A2369"/>
    <w:rsid w:val="002A425E"/>
    <w:rsid w:val="002A7A91"/>
    <w:rsid w:val="002B051C"/>
    <w:rsid w:val="002B0ABE"/>
    <w:rsid w:val="002B1031"/>
    <w:rsid w:val="002B1F49"/>
    <w:rsid w:val="002B3204"/>
    <w:rsid w:val="002B69A0"/>
    <w:rsid w:val="002B76EC"/>
    <w:rsid w:val="002C2AE3"/>
    <w:rsid w:val="002C3088"/>
    <w:rsid w:val="002C314B"/>
    <w:rsid w:val="002C330E"/>
    <w:rsid w:val="002C3BBB"/>
    <w:rsid w:val="002C5828"/>
    <w:rsid w:val="002C6157"/>
    <w:rsid w:val="002C6F0B"/>
    <w:rsid w:val="002D0E86"/>
    <w:rsid w:val="002D276F"/>
    <w:rsid w:val="002D3593"/>
    <w:rsid w:val="002D3D30"/>
    <w:rsid w:val="002D4893"/>
    <w:rsid w:val="002D5308"/>
    <w:rsid w:val="002D5951"/>
    <w:rsid w:val="002D5A60"/>
    <w:rsid w:val="002D7CD4"/>
    <w:rsid w:val="002E0C7B"/>
    <w:rsid w:val="002E21D9"/>
    <w:rsid w:val="002E4CC2"/>
    <w:rsid w:val="002E67A0"/>
    <w:rsid w:val="002F03D3"/>
    <w:rsid w:val="002F121C"/>
    <w:rsid w:val="002F23E1"/>
    <w:rsid w:val="002F29DB"/>
    <w:rsid w:val="002F679F"/>
    <w:rsid w:val="002F74E5"/>
    <w:rsid w:val="002F75AD"/>
    <w:rsid w:val="002F7739"/>
    <w:rsid w:val="0030391B"/>
    <w:rsid w:val="003040E3"/>
    <w:rsid w:val="00305275"/>
    <w:rsid w:val="003065C6"/>
    <w:rsid w:val="0030731D"/>
    <w:rsid w:val="003076C9"/>
    <w:rsid w:val="0031019D"/>
    <w:rsid w:val="003111CD"/>
    <w:rsid w:val="00312326"/>
    <w:rsid w:val="00316E37"/>
    <w:rsid w:val="00320E9C"/>
    <w:rsid w:val="0032149E"/>
    <w:rsid w:val="00321F9E"/>
    <w:rsid w:val="00323A78"/>
    <w:rsid w:val="003262CD"/>
    <w:rsid w:val="003265C5"/>
    <w:rsid w:val="00326996"/>
    <w:rsid w:val="00326B9F"/>
    <w:rsid w:val="00332133"/>
    <w:rsid w:val="00332EDB"/>
    <w:rsid w:val="00336EA6"/>
    <w:rsid w:val="00337308"/>
    <w:rsid w:val="00337F22"/>
    <w:rsid w:val="003406B6"/>
    <w:rsid w:val="00341CAC"/>
    <w:rsid w:val="003424EC"/>
    <w:rsid w:val="003445F8"/>
    <w:rsid w:val="00345F82"/>
    <w:rsid w:val="0034615E"/>
    <w:rsid w:val="00346661"/>
    <w:rsid w:val="00347158"/>
    <w:rsid w:val="00350295"/>
    <w:rsid w:val="003554CF"/>
    <w:rsid w:val="00356F71"/>
    <w:rsid w:val="003576EA"/>
    <w:rsid w:val="0035785C"/>
    <w:rsid w:val="00363760"/>
    <w:rsid w:val="0036413D"/>
    <w:rsid w:val="00365388"/>
    <w:rsid w:val="00365E32"/>
    <w:rsid w:val="003669B6"/>
    <w:rsid w:val="0037051F"/>
    <w:rsid w:val="003721D1"/>
    <w:rsid w:val="00376506"/>
    <w:rsid w:val="003775F7"/>
    <w:rsid w:val="00377816"/>
    <w:rsid w:val="00381E26"/>
    <w:rsid w:val="003835C7"/>
    <w:rsid w:val="003839DD"/>
    <w:rsid w:val="00385379"/>
    <w:rsid w:val="00385B65"/>
    <w:rsid w:val="00386B03"/>
    <w:rsid w:val="003877BE"/>
    <w:rsid w:val="00387B40"/>
    <w:rsid w:val="0039086A"/>
    <w:rsid w:val="00391041"/>
    <w:rsid w:val="00391966"/>
    <w:rsid w:val="0039346A"/>
    <w:rsid w:val="00394121"/>
    <w:rsid w:val="00395922"/>
    <w:rsid w:val="003965B4"/>
    <w:rsid w:val="00397606"/>
    <w:rsid w:val="00397FEB"/>
    <w:rsid w:val="003A0157"/>
    <w:rsid w:val="003A0489"/>
    <w:rsid w:val="003A2D2D"/>
    <w:rsid w:val="003A7847"/>
    <w:rsid w:val="003A7E1D"/>
    <w:rsid w:val="003A7EB2"/>
    <w:rsid w:val="003B4DD7"/>
    <w:rsid w:val="003B66FA"/>
    <w:rsid w:val="003C3173"/>
    <w:rsid w:val="003C3EDD"/>
    <w:rsid w:val="003C3FCC"/>
    <w:rsid w:val="003C42C4"/>
    <w:rsid w:val="003C63BB"/>
    <w:rsid w:val="003C6C18"/>
    <w:rsid w:val="003D1A13"/>
    <w:rsid w:val="003D1CFD"/>
    <w:rsid w:val="003D321D"/>
    <w:rsid w:val="003D7273"/>
    <w:rsid w:val="003E1CFD"/>
    <w:rsid w:val="003E2DE7"/>
    <w:rsid w:val="003E42B5"/>
    <w:rsid w:val="003E4AA4"/>
    <w:rsid w:val="003F11D7"/>
    <w:rsid w:val="003F3598"/>
    <w:rsid w:val="003F690A"/>
    <w:rsid w:val="003F7356"/>
    <w:rsid w:val="004038CE"/>
    <w:rsid w:val="00404B95"/>
    <w:rsid w:val="00405E39"/>
    <w:rsid w:val="00406010"/>
    <w:rsid w:val="00410BB8"/>
    <w:rsid w:val="00412975"/>
    <w:rsid w:val="00412CE4"/>
    <w:rsid w:val="00413B70"/>
    <w:rsid w:val="00414066"/>
    <w:rsid w:val="00414A8D"/>
    <w:rsid w:val="00415101"/>
    <w:rsid w:val="00415877"/>
    <w:rsid w:val="00416D4B"/>
    <w:rsid w:val="0041733C"/>
    <w:rsid w:val="0042173E"/>
    <w:rsid w:val="0042353D"/>
    <w:rsid w:val="00424305"/>
    <w:rsid w:val="004261E6"/>
    <w:rsid w:val="00427A9A"/>
    <w:rsid w:val="00432DF1"/>
    <w:rsid w:val="00433BD7"/>
    <w:rsid w:val="00436BA3"/>
    <w:rsid w:val="004429E8"/>
    <w:rsid w:val="00442B0D"/>
    <w:rsid w:val="00443D41"/>
    <w:rsid w:val="00446E2E"/>
    <w:rsid w:val="00451131"/>
    <w:rsid w:val="00452844"/>
    <w:rsid w:val="00452BC6"/>
    <w:rsid w:val="0045337D"/>
    <w:rsid w:val="00454694"/>
    <w:rsid w:val="0045491A"/>
    <w:rsid w:val="004569A4"/>
    <w:rsid w:val="00457611"/>
    <w:rsid w:val="00461C79"/>
    <w:rsid w:val="00463094"/>
    <w:rsid w:val="004650F8"/>
    <w:rsid w:val="00467980"/>
    <w:rsid w:val="004702B1"/>
    <w:rsid w:val="004710EB"/>
    <w:rsid w:val="00472B70"/>
    <w:rsid w:val="004748E9"/>
    <w:rsid w:val="004818AF"/>
    <w:rsid w:val="0048193F"/>
    <w:rsid w:val="00482ABC"/>
    <w:rsid w:val="00484733"/>
    <w:rsid w:val="00484DD8"/>
    <w:rsid w:val="00485448"/>
    <w:rsid w:val="00493C78"/>
    <w:rsid w:val="00493CE3"/>
    <w:rsid w:val="004960EB"/>
    <w:rsid w:val="00496CEB"/>
    <w:rsid w:val="00497E33"/>
    <w:rsid w:val="004A0645"/>
    <w:rsid w:val="004A06F4"/>
    <w:rsid w:val="004A386F"/>
    <w:rsid w:val="004A3912"/>
    <w:rsid w:val="004A69FD"/>
    <w:rsid w:val="004B0950"/>
    <w:rsid w:val="004B098F"/>
    <w:rsid w:val="004B188E"/>
    <w:rsid w:val="004B3AB3"/>
    <w:rsid w:val="004B6855"/>
    <w:rsid w:val="004C37DC"/>
    <w:rsid w:val="004C37F6"/>
    <w:rsid w:val="004C4AE6"/>
    <w:rsid w:val="004D126E"/>
    <w:rsid w:val="004D37E2"/>
    <w:rsid w:val="004D39CA"/>
    <w:rsid w:val="004D532A"/>
    <w:rsid w:val="004D568E"/>
    <w:rsid w:val="004D5698"/>
    <w:rsid w:val="004D5FC3"/>
    <w:rsid w:val="004E788C"/>
    <w:rsid w:val="004E7998"/>
    <w:rsid w:val="004E7B9D"/>
    <w:rsid w:val="004F199A"/>
    <w:rsid w:val="004F315A"/>
    <w:rsid w:val="004F31C8"/>
    <w:rsid w:val="004F3A80"/>
    <w:rsid w:val="004F3D0B"/>
    <w:rsid w:val="004F754C"/>
    <w:rsid w:val="004F7B59"/>
    <w:rsid w:val="00500597"/>
    <w:rsid w:val="00500B51"/>
    <w:rsid w:val="005025DB"/>
    <w:rsid w:val="005057F4"/>
    <w:rsid w:val="00505947"/>
    <w:rsid w:val="00507AA2"/>
    <w:rsid w:val="00511D88"/>
    <w:rsid w:val="00515836"/>
    <w:rsid w:val="00515E02"/>
    <w:rsid w:val="00516A72"/>
    <w:rsid w:val="00516C04"/>
    <w:rsid w:val="00520EF5"/>
    <w:rsid w:val="005233B6"/>
    <w:rsid w:val="0052491C"/>
    <w:rsid w:val="005249BF"/>
    <w:rsid w:val="00524F33"/>
    <w:rsid w:val="0052522E"/>
    <w:rsid w:val="005254D3"/>
    <w:rsid w:val="00530282"/>
    <w:rsid w:val="00532CEE"/>
    <w:rsid w:val="0054177F"/>
    <w:rsid w:val="00542004"/>
    <w:rsid w:val="00543D8B"/>
    <w:rsid w:val="00544DFC"/>
    <w:rsid w:val="00545B88"/>
    <w:rsid w:val="0054611C"/>
    <w:rsid w:val="0054662C"/>
    <w:rsid w:val="00551F0E"/>
    <w:rsid w:val="00551F6C"/>
    <w:rsid w:val="0055288D"/>
    <w:rsid w:val="00552E08"/>
    <w:rsid w:val="00554EA2"/>
    <w:rsid w:val="00554EC6"/>
    <w:rsid w:val="00561FBE"/>
    <w:rsid w:val="00563526"/>
    <w:rsid w:val="00564179"/>
    <w:rsid w:val="00564EC7"/>
    <w:rsid w:val="00564F53"/>
    <w:rsid w:val="00565D6C"/>
    <w:rsid w:val="00567810"/>
    <w:rsid w:val="00572121"/>
    <w:rsid w:val="005722FF"/>
    <w:rsid w:val="005728B2"/>
    <w:rsid w:val="005728D2"/>
    <w:rsid w:val="005746D8"/>
    <w:rsid w:val="0057473C"/>
    <w:rsid w:val="00580DE5"/>
    <w:rsid w:val="00581441"/>
    <w:rsid w:val="00583777"/>
    <w:rsid w:val="005843CD"/>
    <w:rsid w:val="00592010"/>
    <w:rsid w:val="005931A5"/>
    <w:rsid w:val="005933D9"/>
    <w:rsid w:val="00593523"/>
    <w:rsid w:val="00593A7A"/>
    <w:rsid w:val="00594698"/>
    <w:rsid w:val="005946A5"/>
    <w:rsid w:val="00596A6E"/>
    <w:rsid w:val="005A1BB3"/>
    <w:rsid w:val="005A1E86"/>
    <w:rsid w:val="005A31AA"/>
    <w:rsid w:val="005A4220"/>
    <w:rsid w:val="005A564B"/>
    <w:rsid w:val="005A71E2"/>
    <w:rsid w:val="005B313C"/>
    <w:rsid w:val="005B421E"/>
    <w:rsid w:val="005B5437"/>
    <w:rsid w:val="005B5D23"/>
    <w:rsid w:val="005B67F8"/>
    <w:rsid w:val="005C1984"/>
    <w:rsid w:val="005C2CE8"/>
    <w:rsid w:val="005C30FA"/>
    <w:rsid w:val="005C3F92"/>
    <w:rsid w:val="005C4B98"/>
    <w:rsid w:val="005C5A79"/>
    <w:rsid w:val="005C5CDC"/>
    <w:rsid w:val="005C70DE"/>
    <w:rsid w:val="005C7331"/>
    <w:rsid w:val="005C7A9C"/>
    <w:rsid w:val="005D082C"/>
    <w:rsid w:val="005D1810"/>
    <w:rsid w:val="005D1946"/>
    <w:rsid w:val="005D1AD6"/>
    <w:rsid w:val="005D52BD"/>
    <w:rsid w:val="005E5DC0"/>
    <w:rsid w:val="005E7643"/>
    <w:rsid w:val="005E78C6"/>
    <w:rsid w:val="005E798B"/>
    <w:rsid w:val="005F2654"/>
    <w:rsid w:val="005F6678"/>
    <w:rsid w:val="005F757B"/>
    <w:rsid w:val="00601327"/>
    <w:rsid w:val="00603D1A"/>
    <w:rsid w:val="00603DBD"/>
    <w:rsid w:val="00605846"/>
    <w:rsid w:val="00606B83"/>
    <w:rsid w:val="00606DB6"/>
    <w:rsid w:val="00610A8B"/>
    <w:rsid w:val="00612700"/>
    <w:rsid w:val="0061371A"/>
    <w:rsid w:val="00613C36"/>
    <w:rsid w:val="00620207"/>
    <w:rsid w:val="00623D8A"/>
    <w:rsid w:val="00625200"/>
    <w:rsid w:val="00625D56"/>
    <w:rsid w:val="00626452"/>
    <w:rsid w:val="00627494"/>
    <w:rsid w:val="00627AB3"/>
    <w:rsid w:val="00632205"/>
    <w:rsid w:val="0063497E"/>
    <w:rsid w:val="00634B63"/>
    <w:rsid w:val="0063635C"/>
    <w:rsid w:val="00642B71"/>
    <w:rsid w:val="00642BDC"/>
    <w:rsid w:val="0064315A"/>
    <w:rsid w:val="00643A32"/>
    <w:rsid w:val="00645C23"/>
    <w:rsid w:val="00646BF4"/>
    <w:rsid w:val="00650CE0"/>
    <w:rsid w:val="00652BE2"/>
    <w:rsid w:val="00652D65"/>
    <w:rsid w:val="006547D5"/>
    <w:rsid w:val="00654846"/>
    <w:rsid w:val="00657721"/>
    <w:rsid w:val="006600E7"/>
    <w:rsid w:val="0066091D"/>
    <w:rsid w:val="006635D3"/>
    <w:rsid w:val="00663B2E"/>
    <w:rsid w:val="00665879"/>
    <w:rsid w:val="00665916"/>
    <w:rsid w:val="00666379"/>
    <w:rsid w:val="0067013F"/>
    <w:rsid w:val="00671599"/>
    <w:rsid w:val="006751E9"/>
    <w:rsid w:val="006766B5"/>
    <w:rsid w:val="00677419"/>
    <w:rsid w:val="00677F6F"/>
    <w:rsid w:val="0068210D"/>
    <w:rsid w:val="006860DC"/>
    <w:rsid w:val="006860FF"/>
    <w:rsid w:val="0068691A"/>
    <w:rsid w:val="006877C1"/>
    <w:rsid w:val="00687DFC"/>
    <w:rsid w:val="006911E9"/>
    <w:rsid w:val="00691E0D"/>
    <w:rsid w:val="00692186"/>
    <w:rsid w:val="00692A03"/>
    <w:rsid w:val="00692A4E"/>
    <w:rsid w:val="00694BC5"/>
    <w:rsid w:val="00695400"/>
    <w:rsid w:val="006977C4"/>
    <w:rsid w:val="006A0630"/>
    <w:rsid w:val="006A19B2"/>
    <w:rsid w:val="006A19BC"/>
    <w:rsid w:val="006A2492"/>
    <w:rsid w:val="006A2CEF"/>
    <w:rsid w:val="006A54D5"/>
    <w:rsid w:val="006B15E6"/>
    <w:rsid w:val="006B1D33"/>
    <w:rsid w:val="006B2C53"/>
    <w:rsid w:val="006B5F55"/>
    <w:rsid w:val="006B66C3"/>
    <w:rsid w:val="006B7D48"/>
    <w:rsid w:val="006C049D"/>
    <w:rsid w:val="006C0BBB"/>
    <w:rsid w:val="006D04F8"/>
    <w:rsid w:val="006D09EE"/>
    <w:rsid w:val="006D14CC"/>
    <w:rsid w:val="006D2252"/>
    <w:rsid w:val="006D3034"/>
    <w:rsid w:val="006D39AB"/>
    <w:rsid w:val="006D6D29"/>
    <w:rsid w:val="006D7523"/>
    <w:rsid w:val="006E1140"/>
    <w:rsid w:val="006E6019"/>
    <w:rsid w:val="006E68A7"/>
    <w:rsid w:val="006F22A1"/>
    <w:rsid w:val="006F3A8D"/>
    <w:rsid w:val="00702406"/>
    <w:rsid w:val="00711626"/>
    <w:rsid w:val="0071320F"/>
    <w:rsid w:val="007140B7"/>
    <w:rsid w:val="00716B92"/>
    <w:rsid w:val="00721129"/>
    <w:rsid w:val="007273D2"/>
    <w:rsid w:val="007274D2"/>
    <w:rsid w:val="00730081"/>
    <w:rsid w:val="00732DA5"/>
    <w:rsid w:val="00736B83"/>
    <w:rsid w:val="0074032A"/>
    <w:rsid w:val="00741280"/>
    <w:rsid w:val="007443BD"/>
    <w:rsid w:val="00744402"/>
    <w:rsid w:val="007445A3"/>
    <w:rsid w:val="00744D66"/>
    <w:rsid w:val="00745E68"/>
    <w:rsid w:val="00745F19"/>
    <w:rsid w:val="00746298"/>
    <w:rsid w:val="00751E25"/>
    <w:rsid w:val="007557E8"/>
    <w:rsid w:val="00755BB4"/>
    <w:rsid w:val="00757758"/>
    <w:rsid w:val="00762AE8"/>
    <w:rsid w:val="007631D3"/>
    <w:rsid w:val="0076394D"/>
    <w:rsid w:val="00771590"/>
    <w:rsid w:val="0077161D"/>
    <w:rsid w:val="007753A5"/>
    <w:rsid w:val="00776771"/>
    <w:rsid w:val="00777871"/>
    <w:rsid w:val="00777BCF"/>
    <w:rsid w:val="00781FDD"/>
    <w:rsid w:val="007829EE"/>
    <w:rsid w:val="0078434A"/>
    <w:rsid w:val="00784B8C"/>
    <w:rsid w:val="00785C54"/>
    <w:rsid w:val="00791738"/>
    <w:rsid w:val="007A04B8"/>
    <w:rsid w:val="007A1BB8"/>
    <w:rsid w:val="007A5606"/>
    <w:rsid w:val="007A7593"/>
    <w:rsid w:val="007A7A4C"/>
    <w:rsid w:val="007A7FE6"/>
    <w:rsid w:val="007B044B"/>
    <w:rsid w:val="007B04F7"/>
    <w:rsid w:val="007B072F"/>
    <w:rsid w:val="007B0E66"/>
    <w:rsid w:val="007B371E"/>
    <w:rsid w:val="007B5748"/>
    <w:rsid w:val="007B5C35"/>
    <w:rsid w:val="007B66F8"/>
    <w:rsid w:val="007B6A13"/>
    <w:rsid w:val="007C003E"/>
    <w:rsid w:val="007C075C"/>
    <w:rsid w:val="007C11E1"/>
    <w:rsid w:val="007C37BE"/>
    <w:rsid w:val="007D0BEB"/>
    <w:rsid w:val="007D3B71"/>
    <w:rsid w:val="007D4A2B"/>
    <w:rsid w:val="007D5A0B"/>
    <w:rsid w:val="007E00DE"/>
    <w:rsid w:val="007E014D"/>
    <w:rsid w:val="007E10E3"/>
    <w:rsid w:val="007E4F54"/>
    <w:rsid w:val="007E5BC8"/>
    <w:rsid w:val="007E6772"/>
    <w:rsid w:val="007E73A9"/>
    <w:rsid w:val="007F0247"/>
    <w:rsid w:val="007F09B9"/>
    <w:rsid w:val="007F0CBB"/>
    <w:rsid w:val="007F107E"/>
    <w:rsid w:val="007F17D2"/>
    <w:rsid w:val="007F2220"/>
    <w:rsid w:val="007F2805"/>
    <w:rsid w:val="007F2B34"/>
    <w:rsid w:val="007F4825"/>
    <w:rsid w:val="007F5570"/>
    <w:rsid w:val="007F660B"/>
    <w:rsid w:val="007F666B"/>
    <w:rsid w:val="007F70DB"/>
    <w:rsid w:val="007F74CE"/>
    <w:rsid w:val="007F7E09"/>
    <w:rsid w:val="0080037E"/>
    <w:rsid w:val="00802064"/>
    <w:rsid w:val="008047C3"/>
    <w:rsid w:val="00806D17"/>
    <w:rsid w:val="00810043"/>
    <w:rsid w:val="00810FC0"/>
    <w:rsid w:val="008111D1"/>
    <w:rsid w:val="00813474"/>
    <w:rsid w:val="008138AB"/>
    <w:rsid w:val="008138CA"/>
    <w:rsid w:val="0081628F"/>
    <w:rsid w:val="008171EA"/>
    <w:rsid w:val="00817638"/>
    <w:rsid w:val="00817BAB"/>
    <w:rsid w:val="00817D32"/>
    <w:rsid w:val="0082132F"/>
    <w:rsid w:val="00823423"/>
    <w:rsid w:val="00823FDA"/>
    <w:rsid w:val="00824F46"/>
    <w:rsid w:val="00830824"/>
    <w:rsid w:val="00830904"/>
    <w:rsid w:val="00833366"/>
    <w:rsid w:val="00834E05"/>
    <w:rsid w:val="00835583"/>
    <w:rsid w:val="008356A0"/>
    <w:rsid w:val="00835C12"/>
    <w:rsid w:val="00836B86"/>
    <w:rsid w:val="00842BC3"/>
    <w:rsid w:val="00844A09"/>
    <w:rsid w:val="00846896"/>
    <w:rsid w:val="00846AF9"/>
    <w:rsid w:val="008477B2"/>
    <w:rsid w:val="00851AC7"/>
    <w:rsid w:val="00851EEC"/>
    <w:rsid w:val="00854C11"/>
    <w:rsid w:val="00854ED8"/>
    <w:rsid w:val="0085519B"/>
    <w:rsid w:val="00856065"/>
    <w:rsid w:val="00857AA3"/>
    <w:rsid w:val="00857E5D"/>
    <w:rsid w:val="00860356"/>
    <w:rsid w:val="00860B7B"/>
    <w:rsid w:val="00861A2B"/>
    <w:rsid w:val="00861B76"/>
    <w:rsid w:val="0086319F"/>
    <w:rsid w:val="0086406A"/>
    <w:rsid w:val="00864116"/>
    <w:rsid w:val="0086457E"/>
    <w:rsid w:val="00864743"/>
    <w:rsid w:val="00864B8F"/>
    <w:rsid w:val="00864F5F"/>
    <w:rsid w:val="0086567D"/>
    <w:rsid w:val="00865E37"/>
    <w:rsid w:val="00866B00"/>
    <w:rsid w:val="00866B9E"/>
    <w:rsid w:val="008700D3"/>
    <w:rsid w:val="008732E5"/>
    <w:rsid w:val="00880480"/>
    <w:rsid w:val="0088178B"/>
    <w:rsid w:val="008817AC"/>
    <w:rsid w:val="00883A67"/>
    <w:rsid w:val="0088419A"/>
    <w:rsid w:val="0088477C"/>
    <w:rsid w:val="00885616"/>
    <w:rsid w:val="00887D51"/>
    <w:rsid w:val="00892A38"/>
    <w:rsid w:val="00893BEE"/>
    <w:rsid w:val="008946B0"/>
    <w:rsid w:val="0089514E"/>
    <w:rsid w:val="0089706D"/>
    <w:rsid w:val="008971F8"/>
    <w:rsid w:val="008A1246"/>
    <w:rsid w:val="008A22CE"/>
    <w:rsid w:val="008A3783"/>
    <w:rsid w:val="008A5377"/>
    <w:rsid w:val="008A5600"/>
    <w:rsid w:val="008A629D"/>
    <w:rsid w:val="008A7471"/>
    <w:rsid w:val="008A7B0A"/>
    <w:rsid w:val="008B1C2E"/>
    <w:rsid w:val="008B4583"/>
    <w:rsid w:val="008B63D6"/>
    <w:rsid w:val="008B7772"/>
    <w:rsid w:val="008B7CCD"/>
    <w:rsid w:val="008C0F80"/>
    <w:rsid w:val="008C0FB4"/>
    <w:rsid w:val="008C2893"/>
    <w:rsid w:val="008C3EC6"/>
    <w:rsid w:val="008C627F"/>
    <w:rsid w:val="008D0762"/>
    <w:rsid w:val="008D1405"/>
    <w:rsid w:val="008D1EDF"/>
    <w:rsid w:val="008D3901"/>
    <w:rsid w:val="008D785F"/>
    <w:rsid w:val="008D7C77"/>
    <w:rsid w:val="008E057D"/>
    <w:rsid w:val="008E36B5"/>
    <w:rsid w:val="008E3B87"/>
    <w:rsid w:val="008E494F"/>
    <w:rsid w:val="008E72D4"/>
    <w:rsid w:val="008F0D43"/>
    <w:rsid w:val="008F5735"/>
    <w:rsid w:val="008F6175"/>
    <w:rsid w:val="008F7B17"/>
    <w:rsid w:val="008F7FC9"/>
    <w:rsid w:val="00901D12"/>
    <w:rsid w:val="00902391"/>
    <w:rsid w:val="00902611"/>
    <w:rsid w:val="00902F00"/>
    <w:rsid w:val="00904500"/>
    <w:rsid w:val="00910590"/>
    <w:rsid w:val="009115AC"/>
    <w:rsid w:val="009154F6"/>
    <w:rsid w:val="0091781C"/>
    <w:rsid w:val="00917A12"/>
    <w:rsid w:val="00921676"/>
    <w:rsid w:val="00921DF1"/>
    <w:rsid w:val="009234C8"/>
    <w:rsid w:val="00924819"/>
    <w:rsid w:val="00926BB7"/>
    <w:rsid w:val="0093106B"/>
    <w:rsid w:val="009355C5"/>
    <w:rsid w:val="0093691A"/>
    <w:rsid w:val="00940451"/>
    <w:rsid w:val="00941BA3"/>
    <w:rsid w:val="00943B88"/>
    <w:rsid w:val="00945138"/>
    <w:rsid w:val="00947576"/>
    <w:rsid w:val="00950840"/>
    <w:rsid w:val="00951DBD"/>
    <w:rsid w:val="0095218C"/>
    <w:rsid w:val="009528CE"/>
    <w:rsid w:val="00952FD5"/>
    <w:rsid w:val="00955B14"/>
    <w:rsid w:val="009565DB"/>
    <w:rsid w:val="00956C88"/>
    <w:rsid w:val="00957678"/>
    <w:rsid w:val="0096388A"/>
    <w:rsid w:val="00965641"/>
    <w:rsid w:val="0096717C"/>
    <w:rsid w:val="00973973"/>
    <w:rsid w:val="00974198"/>
    <w:rsid w:val="009746CD"/>
    <w:rsid w:val="00974721"/>
    <w:rsid w:val="009748D9"/>
    <w:rsid w:val="009749BA"/>
    <w:rsid w:val="00974E53"/>
    <w:rsid w:val="0097516D"/>
    <w:rsid w:val="00976470"/>
    <w:rsid w:val="00980DBE"/>
    <w:rsid w:val="009858AE"/>
    <w:rsid w:val="00985FC6"/>
    <w:rsid w:val="0098614B"/>
    <w:rsid w:val="00986BAC"/>
    <w:rsid w:val="00987E8B"/>
    <w:rsid w:val="009903DC"/>
    <w:rsid w:val="00991086"/>
    <w:rsid w:val="009953FD"/>
    <w:rsid w:val="009A1366"/>
    <w:rsid w:val="009A5045"/>
    <w:rsid w:val="009A550C"/>
    <w:rsid w:val="009B6981"/>
    <w:rsid w:val="009B7ADA"/>
    <w:rsid w:val="009B7B18"/>
    <w:rsid w:val="009C30A8"/>
    <w:rsid w:val="009C4538"/>
    <w:rsid w:val="009C571D"/>
    <w:rsid w:val="009C5FEC"/>
    <w:rsid w:val="009C75D8"/>
    <w:rsid w:val="009D2AD3"/>
    <w:rsid w:val="009D2FCC"/>
    <w:rsid w:val="009D48E7"/>
    <w:rsid w:val="009D65F0"/>
    <w:rsid w:val="009D663A"/>
    <w:rsid w:val="009E4AE4"/>
    <w:rsid w:val="009E73A7"/>
    <w:rsid w:val="009F088E"/>
    <w:rsid w:val="009F090B"/>
    <w:rsid w:val="009F0FE2"/>
    <w:rsid w:val="009F18B0"/>
    <w:rsid w:val="009F32A1"/>
    <w:rsid w:val="009F3A3D"/>
    <w:rsid w:val="009F4F97"/>
    <w:rsid w:val="009F556F"/>
    <w:rsid w:val="009F7221"/>
    <w:rsid w:val="00A049BF"/>
    <w:rsid w:val="00A05E47"/>
    <w:rsid w:val="00A05F4F"/>
    <w:rsid w:val="00A062A6"/>
    <w:rsid w:val="00A123A8"/>
    <w:rsid w:val="00A162D4"/>
    <w:rsid w:val="00A16FD1"/>
    <w:rsid w:val="00A201DE"/>
    <w:rsid w:val="00A2229B"/>
    <w:rsid w:val="00A30E38"/>
    <w:rsid w:val="00A322AD"/>
    <w:rsid w:val="00A34100"/>
    <w:rsid w:val="00A34712"/>
    <w:rsid w:val="00A35502"/>
    <w:rsid w:val="00A40795"/>
    <w:rsid w:val="00A40E83"/>
    <w:rsid w:val="00A424B4"/>
    <w:rsid w:val="00A43580"/>
    <w:rsid w:val="00A443E2"/>
    <w:rsid w:val="00A44DF1"/>
    <w:rsid w:val="00A4549D"/>
    <w:rsid w:val="00A50D2D"/>
    <w:rsid w:val="00A518B4"/>
    <w:rsid w:val="00A544B7"/>
    <w:rsid w:val="00A5478F"/>
    <w:rsid w:val="00A55E07"/>
    <w:rsid w:val="00A563D9"/>
    <w:rsid w:val="00A60207"/>
    <w:rsid w:val="00A61C1D"/>
    <w:rsid w:val="00A6575F"/>
    <w:rsid w:val="00A66CF8"/>
    <w:rsid w:val="00A70DC4"/>
    <w:rsid w:val="00A71DB7"/>
    <w:rsid w:val="00A779F5"/>
    <w:rsid w:val="00A81DEA"/>
    <w:rsid w:val="00A8261C"/>
    <w:rsid w:val="00A83642"/>
    <w:rsid w:val="00A85775"/>
    <w:rsid w:val="00A92F65"/>
    <w:rsid w:val="00A93641"/>
    <w:rsid w:val="00A94CB0"/>
    <w:rsid w:val="00A9664A"/>
    <w:rsid w:val="00A97ED7"/>
    <w:rsid w:val="00AA3050"/>
    <w:rsid w:val="00AA58A3"/>
    <w:rsid w:val="00AB105C"/>
    <w:rsid w:val="00AB2A59"/>
    <w:rsid w:val="00AB38E4"/>
    <w:rsid w:val="00AB5FD4"/>
    <w:rsid w:val="00AB70B5"/>
    <w:rsid w:val="00AB75FC"/>
    <w:rsid w:val="00AC0F68"/>
    <w:rsid w:val="00AC47A0"/>
    <w:rsid w:val="00AD10B7"/>
    <w:rsid w:val="00AD11BD"/>
    <w:rsid w:val="00AD1275"/>
    <w:rsid w:val="00AD3752"/>
    <w:rsid w:val="00AD3A77"/>
    <w:rsid w:val="00AD4B5F"/>
    <w:rsid w:val="00AD5F62"/>
    <w:rsid w:val="00AD6581"/>
    <w:rsid w:val="00AD721C"/>
    <w:rsid w:val="00AE209D"/>
    <w:rsid w:val="00AE3520"/>
    <w:rsid w:val="00AE49D1"/>
    <w:rsid w:val="00AE4AB4"/>
    <w:rsid w:val="00AF0712"/>
    <w:rsid w:val="00AF18B0"/>
    <w:rsid w:val="00AF1CD5"/>
    <w:rsid w:val="00AF5F64"/>
    <w:rsid w:val="00AF6AF6"/>
    <w:rsid w:val="00B00567"/>
    <w:rsid w:val="00B00692"/>
    <w:rsid w:val="00B01D5E"/>
    <w:rsid w:val="00B036BD"/>
    <w:rsid w:val="00B04ED8"/>
    <w:rsid w:val="00B0618B"/>
    <w:rsid w:val="00B07039"/>
    <w:rsid w:val="00B114DB"/>
    <w:rsid w:val="00B130B3"/>
    <w:rsid w:val="00B14AAA"/>
    <w:rsid w:val="00B16AD6"/>
    <w:rsid w:val="00B16EF6"/>
    <w:rsid w:val="00B17E27"/>
    <w:rsid w:val="00B210A9"/>
    <w:rsid w:val="00B239D0"/>
    <w:rsid w:val="00B23E12"/>
    <w:rsid w:val="00B247BF"/>
    <w:rsid w:val="00B27093"/>
    <w:rsid w:val="00B27618"/>
    <w:rsid w:val="00B3052D"/>
    <w:rsid w:val="00B30C7D"/>
    <w:rsid w:val="00B30F72"/>
    <w:rsid w:val="00B358F7"/>
    <w:rsid w:val="00B40973"/>
    <w:rsid w:val="00B432BE"/>
    <w:rsid w:val="00B432E0"/>
    <w:rsid w:val="00B50B22"/>
    <w:rsid w:val="00B516CA"/>
    <w:rsid w:val="00B52079"/>
    <w:rsid w:val="00B528EB"/>
    <w:rsid w:val="00B5388D"/>
    <w:rsid w:val="00B54F84"/>
    <w:rsid w:val="00B5603F"/>
    <w:rsid w:val="00B576FF"/>
    <w:rsid w:val="00B57755"/>
    <w:rsid w:val="00B57ACB"/>
    <w:rsid w:val="00B57FEB"/>
    <w:rsid w:val="00B60544"/>
    <w:rsid w:val="00B60B6A"/>
    <w:rsid w:val="00B614E9"/>
    <w:rsid w:val="00B62A9F"/>
    <w:rsid w:val="00B64B34"/>
    <w:rsid w:val="00B70698"/>
    <w:rsid w:val="00B73D27"/>
    <w:rsid w:val="00B7423B"/>
    <w:rsid w:val="00B74FA6"/>
    <w:rsid w:val="00B75FD5"/>
    <w:rsid w:val="00B8111B"/>
    <w:rsid w:val="00B81CCA"/>
    <w:rsid w:val="00B828FD"/>
    <w:rsid w:val="00B85022"/>
    <w:rsid w:val="00B8610D"/>
    <w:rsid w:val="00B874AF"/>
    <w:rsid w:val="00B8756D"/>
    <w:rsid w:val="00B93A28"/>
    <w:rsid w:val="00B9420A"/>
    <w:rsid w:val="00B9522B"/>
    <w:rsid w:val="00BA00E0"/>
    <w:rsid w:val="00BA0441"/>
    <w:rsid w:val="00BA0AE4"/>
    <w:rsid w:val="00BA1132"/>
    <w:rsid w:val="00BA12F5"/>
    <w:rsid w:val="00BA14BF"/>
    <w:rsid w:val="00BA24DD"/>
    <w:rsid w:val="00BA27BE"/>
    <w:rsid w:val="00BA3283"/>
    <w:rsid w:val="00BA3302"/>
    <w:rsid w:val="00BB309D"/>
    <w:rsid w:val="00BB3D5F"/>
    <w:rsid w:val="00BB4C25"/>
    <w:rsid w:val="00BB53F5"/>
    <w:rsid w:val="00BB6035"/>
    <w:rsid w:val="00BB6061"/>
    <w:rsid w:val="00BB6512"/>
    <w:rsid w:val="00BB7E55"/>
    <w:rsid w:val="00BC1EA9"/>
    <w:rsid w:val="00BC2047"/>
    <w:rsid w:val="00BC3293"/>
    <w:rsid w:val="00BC5649"/>
    <w:rsid w:val="00BD0917"/>
    <w:rsid w:val="00BD19A8"/>
    <w:rsid w:val="00BD3C64"/>
    <w:rsid w:val="00BD3EFB"/>
    <w:rsid w:val="00BD510C"/>
    <w:rsid w:val="00BD5E8B"/>
    <w:rsid w:val="00BD5F1B"/>
    <w:rsid w:val="00BD69E1"/>
    <w:rsid w:val="00BE1DF2"/>
    <w:rsid w:val="00BE397E"/>
    <w:rsid w:val="00BE4FE8"/>
    <w:rsid w:val="00BF1822"/>
    <w:rsid w:val="00BF3D8E"/>
    <w:rsid w:val="00BF484F"/>
    <w:rsid w:val="00BF4B04"/>
    <w:rsid w:val="00BF7FC1"/>
    <w:rsid w:val="00C01776"/>
    <w:rsid w:val="00C020EF"/>
    <w:rsid w:val="00C04B2E"/>
    <w:rsid w:val="00C05101"/>
    <w:rsid w:val="00C058CD"/>
    <w:rsid w:val="00C05942"/>
    <w:rsid w:val="00C06C65"/>
    <w:rsid w:val="00C10382"/>
    <w:rsid w:val="00C104A1"/>
    <w:rsid w:val="00C11D10"/>
    <w:rsid w:val="00C16781"/>
    <w:rsid w:val="00C2003B"/>
    <w:rsid w:val="00C22685"/>
    <w:rsid w:val="00C227A6"/>
    <w:rsid w:val="00C25115"/>
    <w:rsid w:val="00C2749D"/>
    <w:rsid w:val="00C27DA1"/>
    <w:rsid w:val="00C30202"/>
    <w:rsid w:val="00C30749"/>
    <w:rsid w:val="00C310AA"/>
    <w:rsid w:val="00C31628"/>
    <w:rsid w:val="00C33314"/>
    <w:rsid w:val="00C33A83"/>
    <w:rsid w:val="00C33C5E"/>
    <w:rsid w:val="00C33DE0"/>
    <w:rsid w:val="00C35562"/>
    <w:rsid w:val="00C40FF5"/>
    <w:rsid w:val="00C41AE4"/>
    <w:rsid w:val="00C4203C"/>
    <w:rsid w:val="00C420E1"/>
    <w:rsid w:val="00C42293"/>
    <w:rsid w:val="00C42E99"/>
    <w:rsid w:val="00C43E35"/>
    <w:rsid w:val="00C449F3"/>
    <w:rsid w:val="00C45CBD"/>
    <w:rsid w:val="00C46FEC"/>
    <w:rsid w:val="00C47918"/>
    <w:rsid w:val="00C50447"/>
    <w:rsid w:val="00C50D7D"/>
    <w:rsid w:val="00C55B52"/>
    <w:rsid w:val="00C55DDB"/>
    <w:rsid w:val="00C60446"/>
    <w:rsid w:val="00C60B6D"/>
    <w:rsid w:val="00C669C5"/>
    <w:rsid w:val="00C676F3"/>
    <w:rsid w:val="00C70835"/>
    <w:rsid w:val="00C719DB"/>
    <w:rsid w:val="00C744C8"/>
    <w:rsid w:val="00C74AD0"/>
    <w:rsid w:val="00C76EC8"/>
    <w:rsid w:val="00C77C77"/>
    <w:rsid w:val="00C82414"/>
    <w:rsid w:val="00C827A3"/>
    <w:rsid w:val="00C86D96"/>
    <w:rsid w:val="00C87E66"/>
    <w:rsid w:val="00C90911"/>
    <w:rsid w:val="00C9508B"/>
    <w:rsid w:val="00CA0D2E"/>
    <w:rsid w:val="00CA0D94"/>
    <w:rsid w:val="00CA0ED5"/>
    <w:rsid w:val="00CA19DB"/>
    <w:rsid w:val="00CA1AB2"/>
    <w:rsid w:val="00CA2891"/>
    <w:rsid w:val="00CA4B68"/>
    <w:rsid w:val="00CA4F59"/>
    <w:rsid w:val="00CB1933"/>
    <w:rsid w:val="00CB1F3F"/>
    <w:rsid w:val="00CB2E84"/>
    <w:rsid w:val="00CB3510"/>
    <w:rsid w:val="00CB7E0C"/>
    <w:rsid w:val="00CC0837"/>
    <w:rsid w:val="00CC2A57"/>
    <w:rsid w:val="00CC3727"/>
    <w:rsid w:val="00CC4834"/>
    <w:rsid w:val="00CC4ECE"/>
    <w:rsid w:val="00CC51A2"/>
    <w:rsid w:val="00CC529F"/>
    <w:rsid w:val="00CD011F"/>
    <w:rsid w:val="00CD018E"/>
    <w:rsid w:val="00CD7186"/>
    <w:rsid w:val="00CE02D3"/>
    <w:rsid w:val="00CE0590"/>
    <w:rsid w:val="00CE14A7"/>
    <w:rsid w:val="00CE3A2B"/>
    <w:rsid w:val="00CE4C77"/>
    <w:rsid w:val="00CE5C37"/>
    <w:rsid w:val="00CE6AE7"/>
    <w:rsid w:val="00CF1E9F"/>
    <w:rsid w:val="00CF21F9"/>
    <w:rsid w:val="00CF340C"/>
    <w:rsid w:val="00CF3BE8"/>
    <w:rsid w:val="00CF4224"/>
    <w:rsid w:val="00CF49A3"/>
    <w:rsid w:val="00CF50FC"/>
    <w:rsid w:val="00CF6537"/>
    <w:rsid w:val="00D02147"/>
    <w:rsid w:val="00D04724"/>
    <w:rsid w:val="00D11DE2"/>
    <w:rsid w:val="00D158BF"/>
    <w:rsid w:val="00D20FC1"/>
    <w:rsid w:val="00D22031"/>
    <w:rsid w:val="00D22896"/>
    <w:rsid w:val="00D23702"/>
    <w:rsid w:val="00D23D3D"/>
    <w:rsid w:val="00D25B6E"/>
    <w:rsid w:val="00D274D1"/>
    <w:rsid w:val="00D27B69"/>
    <w:rsid w:val="00D27D53"/>
    <w:rsid w:val="00D330CD"/>
    <w:rsid w:val="00D338BC"/>
    <w:rsid w:val="00D33FCC"/>
    <w:rsid w:val="00D34395"/>
    <w:rsid w:val="00D3638C"/>
    <w:rsid w:val="00D37E77"/>
    <w:rsid w:val="00D4310E"/>
    <w:rsid w:val="00D43D76"/>
    <w:rsid w:val="00D43FBB"/>
    <w:rsid w:val="00D4472F"/>
    <w:rsid w:val="00D4698B"/>
    <w:rsid w:val="00D46D86"/>
    <w:rsid w:val="00D506F0"/>
    <w:rsid w:val="00D547C1"/>
    <w:rsid w:val="00D548A6"/>
    <w:rsid w:val="00D554F2"/>
    <w:rsid w:val="00D574C8"/>
    <w:rsid w:val="00D57F08"/>
    <w:rsid w:val="00D61587"/>
    <w:rsid w:val="00D62270"/>
    <w:rsid w:val="00D62F85"/>
    <w:rsid w:val="00D63234"/>
    <w:rsid w:val="00D64F50"/>
    <w:rsid w:val="00D65728"/>
    <w:rsid w:val="00D667E9"/>
    <w:rsid w:val="00D675D8"/>
    <w:rsid w:val="00D6792B"/>
    <w:rsid w:val="00D715AD"/>
    <w:rsid w:val="00D72570"/>
    <w:rsid w:val="00D74652"/>
    <w:rsid w:val="00D81343"/>
    <w:rsid w:val="00D82A08"/>
    <w:rsid w:val="00D93109"/>
    <w:rsid w:val="00D94E0F"/>
    <w:rsid w:val="00D95732"/>
    <w:rsid w:val="00D964DB"/>
    <w:rsid w:val="00D96A07"/>
    <w:rsid w:val="00DA0C33"/>
    <w:rsid w:val="00DA1E2F"/>
    <w:rsid w:val="00DA203C"/>
    <w:rsid w:val="00DA2685"/>
    <w:rsid w:val="00DA409A"/>
    <w:rsid w:val="00DA41DC"/>
    <w:rsid w:val="00DA524A"/>
    <w:rsid w:val="00DA6095"/>
    <w:rsid w:val="00DA642E"/>
    <w:rsid w:val="00DA70A6"/>
    <w:rsid w:val="00DA70FA"/>
    <w:rsid w:val="00DB1718"/>
    <w:rsid w:val="00DB1C54"/>
    <w:rsid w:val="00DB24C5"/>
    <w:rsid w:val="00DB4094"/>
    <w:rsid w:val="00DB4F0A"/>
    <w:rsid w:val="00DB6018"/>
    <w:rsid w:val="00DB6950"/>
    <w:rsid w:val="00DB7B86"/>
    <w:rsid w:val="00DC24F6"/>
    <w:rsid w:val="00DC2B05"/>
    <w:rsid w:val="00DC2E17"/>
    <w:rsid w:val="00DC3392"/>
    <w:rsid w:val="00DC54BF"/>
    <w:rsid w:val="00DC7908"/>
    <w:rsid w:val="00DD3533"/>
    <w:rsid w:val="00DD3A21"/>
    <w:rsid w:val="00DD3B7E"/>
    <w:rsid w:val="00DD3E2F"/>
    <w:rsid w:val="00DD4BE2"/>
    <w:rsid w:val="00DD74DD"/>
    <w:rsid w:val="00DE457B"/>
    <w:rsid w:val="00DE631B"/>
    <w:rsid w:val="00DE763D"/>
    <w:rsid w:val="00DF0803"/>
    <w:rsid w:val="00DF13B7"/>
    <w:rsid w:val="00DF1AF7"/>
    <w:rsid w:val="00DF35F8"/>
    <w:rsid w:val="00DF4696"/>
    <w:rsid w:val="00DF67D2"/>
    <w:rsid w:val="00DF6931"/>
    <w:rsid w:val="00DF6F6A"/>
    <w:rsid w:val="00E01457"/>
    <w:rsid w:val="00E02A7A"/>
    <w:rsid w:val="00E03BBB"/>
    <w:rsid w:val="00E05D38"/>
    <w:rsid w:val="00E06DAE"/>
    <w:rsid w:val="00E06EED"/>
    <w:rsid w:val="00E17589"/>
    <w:rsid w:val="00E20442"/>
    <w:rsid w:val="00E23363"/>
    <w:rsid w:val="00E24A3D"/>
    <w:rsid w:val="00E256F0"/>
    <w:rsid w:val="00E25E23"/>
    <w:rsid w:val="00E26D7C"/>
    <w:rsid w:val="00E30879"/>
    <w:rsid w:val="00E31B69"/>
    <w:rsid w:val="00E34077"/>
    <w:rsid w:val="00E34523"/>
    <w:rsid w:val="00E35157"/>
    <w:rsid w:val="00E3547F"/>
    <w:rsid w:val="00E35526"/>
    <w:rsid w:val="00E36A40"/>
    <w:rsid w:val="00E37F42"/>
    <w:rsid w:val="00E40B02"/>
    <w:rsid w:val="00E41F63"/>
    <w:rsid w:val="00E42C52"/>
    <w:rsid w:val="00E435D9"/>
    <w:rsid w:val="00E45022"/>
    <w:rsid w:val="00E4733C"/>
    <w:rsid w:val="00E47638"/>
    <w:rsid w:val="00E47DB7"/>
    <w:rsid w:val="00E50C77"/>
    <w:rsid w:val="00E53660"/>
    <w:rsid w:val="00E561FE"/>
    <w:rsid w:val="00E56EE2"/>
    <w:rsid w:val="00E57522"/>
    <w:rsid w:val="00E623E8"/>
    <w:rsid w:val="00E62EEF"/>
    <w:rsid w:val="00E63F16"/>
    <w:rsid w:val="00E644AE"/>
    <w:rsid w:val="00E675A3"/>
    <w:rsid w:val="00E67D09"/>
    <w:rsid w:val="00E70DF3"/>
    <w:rsid w:val="00E7230D"/>
    <w:rsid w:val="00E75AEF"/>
    <w:rsid w:val="00E762FE"/>
    <w:rsid w:val="00E80571"/>
    <w:rsid w:val="00E81772"/>
    <w:rsid w:val="00E81775"/>
    <w:rsid w:val="00E81963"/>
    <w:rsid w:val="00E84A78"/>
    <w:rsid w:val="00E84B0C"/>
    <w:rsid w:val="00E85D18"/>
    <w:rsid w:val="00E85D7A"/>
    <w:rsid w:val="00E87998"/>
    <w:rsid w:val="00E92D0C"/>
    <w:rsid w:val="00E9442D"/>
    <w:rsid w:val="00E9495C"/>
    <w:rsid w:val="00E95A54"/>
    <w:rsid w:val="00E969B4"/>
    <w:rsid w:val="00EA001C"/>
    <w:rsid w:val="00EA08C9"/>
    <w:rsid w:val="00EA0D45"/>
    <w:rsid w:val="00EA115F"/>
    <w:rsid w:val="00EA2729"/>
    <w:rsid w:val="00EA4AEF"/>
    <w:rsid w:val="00EA4EDA"/>
    <w:rsid w:val="00EA5599"/>
    <w:rsid w:val="00EB10D6"/>
    <w:rsid w:val="00EB1820"/>
    <w:rsid w:val="00EB3103"/>
    <w:rsid w:val="00EB5D6B"/>
    <w:rsid w:val="00EC1FDD"/>
    <w:rsid w:val="00EC3A08"/>
    <w:rsid w:val="00EC44B0"/>
    <w:rsid w:val="00EC6C4D"/>
    <w:rsid w:val="00ED2E90"/>
    <w:rsid w:val="00ED3866"/>
    <w:rsid w:val="00ED390A"/>
    <w:rsid w:val="00ED39D6"/>
    <w:rsid w:val="00ED4E21"/>
    <w:rsid w:val="00ED704B"/>
    <w:rsid w:val="00EE10DA"/>
    <w:rsid w:val="00EE17D6"/>
    <w:rsid w:val="00EE3A5A"/>
    <w:rsid w:val="00EE45A3"/>
    <w:rsid w:val="00EE6147"/>
    <w:rsid w:val="00EE7F7D"/>
    <w:rsid w:val="00EF0043"/>
    <w:rsid w:val="00EF02D4"/>
    <w:rsid w:val="00EF40D7"/>
    <w:rsid w:val="00EF6A07"/>
    <w:rsid w:val="00EF6DA3"/>
    <w:rsid w:val="00EF78C0"/>
    <w:rsid w:val="00F005AF"/>
    <w:rsid w:val="00F02089"/>
    <w:rsid w:val="00F1185B"/>
    <w:rsid w:val="00F121A6"/>
    <w:rsid w:val="00F125BC"/>
    <w:rsid w:val="00F145BF"/>
    <w:rsid w:val="00F17ECA"/>
    <w:rsid w:val="00F17EE7"/>
    <w:rsid w:val="00F23593"/>
    <w:rsid w:val="00F26900"/>
    <w:rsid w:val="00F27372"/>
    <w:rsid w:val="00F27814"/>
    <w:rsid w:val="00F31549"/>
    <w:rsid w:val="00F34C74"/>
    <w:rsid w:val="00F36A64"/>
    <w:rsid w:val="00F37C92"/>
    <w:rsid w:val="00F40BFD"/>
    <w:rsid w:val="00F42142"/>
    <w:rsid w:val="00F42E80"/>
    <w:rsid w:val="00F438E3"/>
    <w:rsid w:val="00F43BD1"/>
    <w:rsid w:val="00F44C09"/>
    <w:rsid w:val="00F46888"/>
    <w:rsid w:val="00F46EEF"/>
    <w:rsid w:val="00F532CC"/>
    <w:rsid w:val="00F533D7"/>
    <w:rsid w:val="00F54EAB"/>
    <w:rsid w:val="00F55FF7"/>
    <w:rsid w:val="00F57C3B"/>
    <w:rsid w:val="00F63046"/>
    <w:rsid w:val="00F6351F"/>
    <w:rsid w:val="00F70858"/>
    <w:rsid w:val="00F72AFA"/>
    <w:rsid w:val="00F73E72"/>
    <w:rsid w:val="00F76759"/>
    <w:rsid w:val="00F77768"/>
    <w:rsid w:val="00F82125"/>
    <w:rsid w:val="00F85B59"/>
    <w:rsid w:val="00F87409"/>
    <w:rsid w:val="00F9138F"/>
    <w:rsid w:val="00F91AC9"/>
    <w:rsid w:val="00F92DCA"/>
    <w:rsid w:val="00F95294"/>
    <w:rsid w:val="00F9576F"/>
    <w:rsid w:val="00F9649C"/>
    <w:rsid w:val="00FA177E"/>
    <w:rsid w:val="00FA3D93"/>
    <w:rsid w:val="00FA6CE4"/>
    <w:rsid w:val="00FA6FF4"/>
    <w:rsid w:val="00FB23D5"/>
    <w:rsid w:val="00FB5243"/>
    <w:rsid w:val="00FB7084"/>
    <w:rsid w:val="00FC0382"/>
    <w:rsid w:val="00FC11BE"/>
    <w:rsid w:val="00FC11C9"/>
    <w:rsid w:val="00FC352D"/>
    <w:rsid w:val="00FC4B9F"/>
    <w:rsid w:val="00FD00A6"/>
    <w:rsid w:val="00FD0468"/>
    <w:rsid w:val="00FD2675"/>
    <w:rsid w:val="00FD3203"/>
    <w:rsid w:val="00FD32F1"/>
    <w:rsid w:val="00FD3E54"/>
    <w:rsid w:val="00FD4E49"/>
    <w:rsid w:val="00FE2004"/>
    <w:rsid w:val="00FE3846"/>
    <w:rsid w:val="00FE53D5"/>
    <w:rsid w:val="00FE6469"/>
    <w:rsid w:val="00FF20B2"/>
    <w:rsid w:val="00FF32B7"/>
    <w:rsid w:val="00FF33ED"/>
    <w:rsid w:val="00FF71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character" w:customStyle="1" w:styleId="Bodytext2Italic">
    <w:name w:val="Body text (2) + Italic"/>
    <w:basedOn w:val="Bodytext20"/>
    <w:rsid w:val="00046A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8NotItalic">
    <w:name w:val="Body text (8) + Not Italic"/>
    <w:basedOn w:val="DefaultParagraphFont"/>
    <w:rsid w:val="008D076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tv213">
    <w:name w:val="tv213"/>
    <w:basedOn w:val="Normal"/>
    <w:rsid w:val="001A49D8"/>
    <w:pPr>
      <w:spacing w:before="100" w:beforeAutospacing="1" w:after="100" w:afterAutospacing="1"/>
    </w:pPr>
    <w:rPr>
      <w:lang w:eastAsia="lv-LV"/>
    </w:rPr>
  </w:style>
  <w:style w:type="paragraph" w:customStyle="1" w:styleId="Default">
    <w:name w:val="Default"/>
    <w:rsid w:val="00C45CB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Revision">
    <w:name w:val="Revision"/>
    <w:hidden/>
    <w:uiPriority w:val="99"/>
    <w:semiHidden/>
    <w:rsid w:val="00D4698B"/>
    <w:pPr>
      <w:spacing w:after="0" w:line="240" w:lineRule="auto"/>
    </w:pPr>
    <w:rPr>
      <w:rFonts w:ascii="Times New Roman" w:eastAsia="Times New Roman" w:hAnsi="Times New Roman" w:cs="Times New Roman"/>
      <w:sz w:val="24"/>
      <w:szCs w:val="24"/>
      <w:lang w:eastAsia="ru-RU"/>
    </w:rPr>
  </w:style>
  <w:style w:type="paragraph" w:customStyle="1" w:styleId="c01pointnumerotealtn">
    <w:name w:val="c01pointnumerotealtn"/>
    <w:basedOn w:val="Normal"/>
    <w:rsid w:val="00EA0D45"/>
    <w:pPr>
      <w:spacing w:before="100" w:beforeAutospacing="1" w:after="100" w:afterAutospacing="1"/>
    </w:pPr>
    <w:rPr>
      <w:lang w:eastAsia="lv-LV"/>
    </w:rPr>
  </w:style>
  <w:style w:type="paragraph" w:customStyle="1" w:styleId="Normal1">
    <w:name w:val="Normal1"/>
    <w:basedOn w:val="Normal"/>
    <w:rsid w:val="007F2B34"/>
    <w:pPr>
      <w:spacing w:before="100" w:beforeAutospacing="1" w:after="100" w:afterAutospacing="1"/>
    </w:pPr>
    <w:rPr>
      <w:lang w:eastAsia="lv-LV"/>
    </w:rPr>
  </w:style>
  <w:style w:type="paragraph" w:customStyle="1" w:styleId="c02alineaalta">
    <w:name w:val="c02alineaalta"/>
    <w:basedOn w:val="Normal"/>
    <w:rsid w:val="002F679F"/>
    <w:pPr>
      <w:spacing w:before="100" w:beforeAutospacing="1" w:after="100" w:afterAutospacing="1"/>
    </w:pPr>
    <w:rPr>
      <w:lang w:eastAsia="lv-LV"/>
    </w:rPr>
  </w:style>
  <w:style w:type="character" w:styleId="Strong">
    <w:name w:val="Strong"/>
    <w:basedOn w:val="DefaultParagraphFont"/>
    <w:qFormat/>
    <w:rsid w:val="00C33314"/>
    <w:rPr>
      <w:b/>
      <w:bCs/>
    </w:rPr>
  </w:style>
  <w:style w:type="paragraph" w:styleId="EndnoteText">
    <w:name w:val="endnote text"/>
    <w:basedOn w:val="Normal"/>
    <w:link w:val="EndnoteTextChar"/>
    <w:uiPriority w:val="99"/>
    <w:semiHidden/>
    <w:unhideWhenUsed/>
    <w:rsid w:val="00FF32B7"/>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FF32B7"/>
    <w:rPr>
      <w:rFonts w:ascii="Times New Roman" w:hAnsi="Times New Roman"/>
      <w:sz w:val="20"/>
      <w:szCs w:val="20"/>
    </w:rPr>
  </w:style>
  <w:style w:type="character" w:styleId="EndnoteReference">
    <w:name w:val="endnote reference"/>
    <w:basedOn w:val="DefaultParagraphFont"/>
    <w:uiPriority w:val="99"/>
    <w:semiHidden/>
    <w:unhideWhenUsed/>
    <w:rsid w:val="00FF32B7"/>
    <w:rPr>
      <w:vertAlign w:val="superscript"/>
    </w:rPr>
  </w:style>
  <w:style w:type="paragraph" w:styleId="FootnoteText">
    <w:name w:val="footnote text"/>
    <w:basedOn w:val="Normal"/>
    <w:link w:val="FootnoteTextChar"/>
    <w:uiPriority w:val="99"/>
    <w:semiHidden/>
    <w:unhideWhenUsed/>
    <w:rsid w:val="00E3547F"/>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547F"/>
    <w:rPr>
      <w:rFonts w:ascii="Times New Roman" w:hAnsi="Times New Roman"/>
      <w:sz w:val="20"/>
      <w:szCs w:val="20"/>
    </w:rPr>
  </w:style>
  <w:style w:type="character" w:styleId="FootnoteReference">
    <w:name w:val="footnote reference"/>
    <w:basedOn w:val="DefaultParagraphFont"/>
    <w:uiPriority w:val="99"/>
    <w:semiHidden/>
    <w:unhideWhenUsed/>
    <w:rsid w:val="00E35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929">
      <w:bodyDiv w:val="1"/>
      <w:marLeft w:val="0"/>
      <w:marRight w:val="0"/>
      <w:marTop w:val="0"/>
      <w:marBottom w:val="0"/>
      <w:divBdr>
        <w:top w:val="none" w:sz="0" w:space="0" w:color="auto"/>
        <w:left w:val="none" w:sz="0" w:space="0" w:color="auto"/>
        <w:bottom w:val="none" w:sz="0" w:space="0" w:color="auto"/>
        <w:right w:val="none" w:sz="0" w:space="0" w:color="auto"/>
      </w:divBdr>
    </w:div>
    <w:div w:id="102969183">
      <w:bodyDiv w:val="1"/>
      <w:marLeft w:val="0"/>
      <w:marRight w:val="0"/>
      <w:marTop w:val="0"/>
      <w:marBottom w:val="0"/>
      <w:divBdr>
        <w:top w:val="none" w:sz="0" w:space="0" w:color="auto"/>
        <w:left w:val="none" w:sz="0" w:space="0" w:color="auto"/>
        <w:bottom w:val="none" w:sz="0" w:space="0" w:color="auto"/>
        <w:right w:val="none" w:sz="0" w:space="0" w:color="auto"/>
      </w:divBdr>
    </w:div>
    <w:div w:id="117338549">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127206211">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92057511">
      <w:bodyDiv w:val="1"/>
      <w:marLeft w:val="0"/>
      <w:marRight w:val="0"/>
      <w:marTop w:val="0"/>
      <w:marBottom w:val="0"/>
      <w:divBdr>
        <w:top w:val="none" w:sz="0" w:space="0" w:color="auto"/>
        <w:left w:val="none" w:sz="0" w:space="0" w:color="auto"/>
        <w:bottom w:val="none" w:sz="0" w:space="0" w:color="auto"/>
        <w:right w:val="none" w:sz="0" w:space="0" w:color="auto"/>
      </w:divBdr>
    </w:div>
    <w:div w:id="319577186">
      <w:bodyDiv w:val="1"/>
      <w:marLeft w:val="0"/>
      <w:marRight w:val="0"/>
      <w:marTop w:val="0"/>
      <w:marBottom w:val="0"/>
      <w:divBdr>
        <w:top w:val="none" w:sz="0" w:space="0" w:color="auto"/>
        <w:left w:val="none" w:sz="0" w:space="0" w:color="auto"/>
        <w:bottom w:val="none" w:sz="0" w:space="0" w:color="auto"/>
        <w:right w:val="none" w:sz="0" w:space="0" w:color="auto"/>
      </w:divBdr>
    </w:div>
    <w:div w:id="378944294">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631791832">
      <w:bodyDiv w:val="1"/>
      <w:marLeft w:val="0"/>
      <w:marRight w:val="0"/>
      <w:marTop w:val="0"/>
      <w:marBottom w:val="0"/>
      <w:divBdr>
        <w:top w:val="none" w:sz="0" w:space="0" w:color="auto"/>
        <w:left w:val="none" w:sz="0" w:space="0" w:color="auto"/>
        <w:bottom w:val="none" w:sz="0" w:space="0" w:color="auto"/>
        <w:right w:val="none" w:sz="0" w:space="0" w:color="auto"/>
      </w:divBdr>
    </w:div>
    <w:div w:id="656036376">
      <w:bodyDiv w:val="1"/>
      <w:marLeft w:val="0"/>
      <w:marRight w:val="0"/>
      <w:marTop w:val="0"/>
      <w:marBottom w:val="0"/>
      <w:divBdr>
        <w:top w:val="none" w:sz="0" w:space="0" w:color="auto"/>
        <w:left w:val="none" w:sz="0" w:space="0" w:color="auto"/>
        <w:bottom w:val="none" w:sz="0" w:space="0" w:color="auto"/>
        <w:right w:val="none" w:sz="0" w:space="0" w:color="auto"/>
      </w:divBdr>
      <w:divsChild>
        <w:div w:id="597099952">
          <w:marLeft w:val="0"/>
          <w:marRight w:val="0"/>
          <w:marTop w:val="0"/>
          <w:marBottom w:val="0"/>
          <w:divBdr>
            <w:top w:val="none" w:sz="0" w:space="0" w:color="auto"/>
            <w:left w:val="none" w:sz="0" w:space="0" w:color="auto"/>
            <w:bottom w:val="none" w:sz="0" w:space="0" w:color="auto"/>
            <w:right w:val="none" w:sz="0" w:space="0" w:color="auto"/>
          </w:divBdr>
        </w:div>
      </w:divsChild>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1122268006">
      <w:bodyDiv w:val="1"/>
      <w:marLeft w:val="0"/>
      <w:marRight w:val="0"/>
      <w:marTop w:val="0"/>
      <w:marBottom w:val="0"/>
      <w:divBdr>
        <w:top w:val="none" w:sz="0" w:space="0" w:color="auto"/>
        <w:left w:val="none" w:sz="0" w:space="0" w:color="auto"/>
        <w:bottom w:val="none" w:sz="0" w:space="0" w:color="auto"/>
        <w:right w:val="none" w:sz="0" w:space="0" w:color="auto"/>
      </w:divBdr>
    </w:div>
    <w:div w:id="1253930327">
      <w:bodyDiv w:val="1"/>
      <w:marLeft w:val="0"/>
      <w:marRight w:val="0"/>
      <w:marTop w:val="0"/>
      <w:marBottom w:val="0"/>
      <w:divBdr>
        <w:top w:val="none" w:sz="0" w:space="0" w:color="auto"/>
        <w:left w:val="none" w:sz="0" w:space="0" w:color="auto"/>
        <w:bottom w:val="none" w:sz="0" w:space="0" w:color="auto"/>
        <w:right w:val="none" w:sz="0" w:space="0" w:color="auto"/>
      </w:divBdr>
    </w:div>
    <w:div w:id="1318262683">
      <w:bodyDiv w:val="1"/>
      <w:marLeft w:val="0"/>
      <w:marRight w:val="0"/>
      <w:marTop w:val="0"/>
      <w:marBottom w:val="0"/>
      <w:divBdr>
        <w:top w:val="none" w:sz="0" w:space="0" w:color="auto"/>
        <w:left w:val="none" w:sz="0" w:space="0" w:color="auto"/>
        <w:bottom w:val="none" w:sz="0" w:space="0" w:color="auto"/>
        <w:right w:val="none" w:sz="0" w:space="0" w:color="auto"/>
      </w:divBdr>
    </w:div>
    <w:div w:id="1388215614">
      <w:bodyDiv w:val="1"/>
      <w:marLeft w:val="0"/>
      <w:marRight w:val="0"/>
      <w:marTop w:val="0"/>
      <w:marBottom w:val="0"/>
      <w:divBdr>
        <w:top w:val="none" w:sz="0" w:space="0" w:color="auto"/>
        <w:left w:val="none" w:sz="0" w:space="0" w:color="auto"/>
        <w:bottom w:val="none" w:sz="0" w:space="0" w:color="auto"/>
        <w:right w:val="none" w:sz="0" w:space="0" w:color="auto"/>
      </w:divBdr>
    </w:div>
    <w:div w:id="1455826803">
      <w:bodyDiv w:val="1"/>
      <w:marLeft w:val="0"/>
      <w:marRight w:val="0"/>
      <w:marTop w:val="0"/>
      <w:marBottom w:val="0"/>
      <w:divBdr>
        <w:top w:val="none" w:sz="0" w:space="0" w:color="auto"/>
        <w:left w:val="none" w:sz="0" w:space="0" w:color="auto"/>
        <w:bottom w:val="none" w:sz="0" w:space="0" w:color="auto"/>
        <w:right w:val="none" w:sz="0" w:space="0" w:color="auto"/>
      </w:divBdr>
    </w:div>
    <w:div w:id="1476609340">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622884599">
      <w:bodyDiv w:val="1"/>
      <w:marLeft w:val="0"/>
      <w:marRight w:val="0"/>
      <w:marTop w:val="0"/>
      <w:marBottom w:val="0"/>
      <w:divBdr>
        <w:top w:val="none" w:sz="0" w:space="0" w:color="auto"/>
        <w:left w:val="none" w:sz="0" w:space="0" w:color="auto"/>
        <w:bottom w:val="none" w:sz="0" w:space="0" w:color="auto"/>
        <w:right w:val="none" w:sz="0" w:space="0" w:color="auto"/>
      </w:divBdr>
    </w:div>
    <w:div w:id="1655450862">
      <w:bodyDiv w:val="1"/>
      <w:marLeft w:val="0"/>
      <w:marRight w:val="0"/>
      <w:marTop w:val="0"/>
      <w:marBottom w:val="0"/>
      <w:divBdr>
        <w:top w:val="none" w:sz="0" w:space="0" w:color="auto"/>
        <w:left w:val="none" w:sz="0" w:space="0" w:color="auto"/>
        <w:bottom w:val="none" w:sz="0" w:space="0" w:color="auto"/>
        <w:right w:val="none" w:sz="0" w:space="0" w:color="auto"/>
      </w:divBdr>
      <w:divsChild>
        <w:div w:id="1985158577">
          <w:marLeft w:val="0"/>
          <w:marRight w:val="0"/>
          <w:marTop w:val="0"/>
          <w:marBottom w:val="0"/>
          <w:divBdr>
            <w:top w:val="none" w:sz="0" w:space="0" w:color="auto"/>
            <w:left w:val="none" w:sz="0" w:space="0" w:color="auto"/>
            <w:bottom w:val="none" w:sz="0" w:space="0" w:color="auto"/>
            <w:right w:val="none" w:sz="0" w:space="0" w:color="auto"/>
          </w:divBdr>
        </w:div>
      </w:divsChild>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77675954">
      <w:bodyDiv w:val="1"/>
      <w:marLeft w:val="0"/>
      <w:marRight w:val="0"/>
      <w:marTop w:val="0"/>
      <w:marBottom w:val="0"/>
      <w:divBdr>
        <w:top w:val="none" w:sz="0" w:space="0" w:color="auto"/>
        <w:left w:val="none" w:sz="0" w:space="0" w:color="auto"/>
        <w:bottom w:val="none" w:sz="0" w:space="0" w:color="auto"/>
        <w:right w:val="none" w:sz="0" w:space="0" w:color="auto"/>
      </w:divBdr>
    </w:div>
    <w:div w:id="1786609585">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827235686">
      <w:bodyDiv w:val="1"/>
      <w:marLeft w:val="0"/>
      <w:marRight w:val="0"/>
      <w:marTop w:val="0"/>
      <w:marBottom w:val="0"/>
      <w:divBdr>
        <w:top w:val="none" w:sz="0" w:space="0" w:color="auto"/>
        <w:left w:val="none" w:sz="0" w:space="0" w:color="auto"/>
        <w:bottom w:val="none" w:sz="0" w:space="0" w:color="auto"/>
        <w:right w:val="none" w:sz="0" w:space="0" w:color="auto"/>
      </w:divBdr>
    </w:div>
    <w:div w:id="1880849767">
      <w:bodyDiv w:val="1"/>
      <w:marLeft w:val="0"/>
      <w:marRight w:val="0"/>
      <w:marTop w:val="0"/>
      <w:marBottom w:val="0"/>
      <w:divBdr>
        <w:top w:val="none" w:sz="0" w:space="0" w:color="auto"/>
        <w:left w:val="none" w:sz="0" w:space="0" w:color="auto"/>
        <w:bottom w:val="none" w:sz="0" w:space="0" w:color="auto"/>
        <w:right w:val="none" w:sz="0" w:space="0" w:color="auto"/>
      </w:divBdr>
    </w:div>
    <w:div w:id="1893619109">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64529863">
      <w:bodyDiv w:val="1"/>
      <w:marLeft w:val="0"/>
      <w:marRight w:val="0"/>
      <w:marTop w:val="0"/>
      <w:marBottom w:val="0"/>
      <w:divBdr>
        <w:top w:val="none" w:sz="0" w:space="0" w:color="auto"/>
        <w:left w:val="none" w:sz="0" w:space="0" w:color="auto"/>
        <w:bottom w:val="none" w:sz="0" w:space="0" w:color="auto"/>
        <w:right w:val="none" w:sz="0" w:space="0" w:color="auto"/>
      </w:divBdr>
    </w:div>
    <w:div w:id="1999649877">
      <w:bodyDiv w:val="1"/>
      <w:marLeft w:val="0"/>
      <w:marRight w:val="0"/>
      <w:marTop w:val="0"/>
      <w:marBottom w:val="0"/>
      <w:divBdr>
        <w:top w:val="none" w:sz="0" w:space="0" w:color="auto"/>
        <w:left w:val="none" w:sz="0" w:space="0" w:color="auto"/>
        <w:bottom w:val="none" w:sz="0" w:space="0" w:color="auto"/>
        <w:right w:val="none" w:sz="0" w:space="0" w:color="auto"/>
      </w:divBdr>
    </w:div>
    <w:div w:id="2064597461">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28814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505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2:1004.A43010414.1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472C9-5D27-4DF9-AF6C-80C3C102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3158</Words>
  <Characters>18007</Characters>
  <Application>Microsoft Office Word</Application>
  <DocSecurity>0</DocSecurity>
  <Lines>150</Lines>
  <Paragraphs>42</Paragraphs>
  <ScaleCrop>false</ScaleCrop>
  <Company/>
  <LinksUpToDate>false</LinksUpToDate>
  <CharactersWithSpaces>21123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2023-06-12T12:02:00Z</dcterms:created>
  <dcterms:modified xsi:type="dcterms:W3CDTF">2023-06-12T12:03:00Z</dcterms:modified>
</cp:coreProperties>
</file>