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DCBE" w14:textId="049721C5" w:rsidR="0078201F" w:rsidRDefault="00E1213E" w:rsidP="00952D08">
      <w:pPr>
        <w:pStyle w:val="Bodytext4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Lieta Nr. SKK-578</w:t>
      </w:r>
      <w:r w:rsidR="00952D08">
        <w:rPr>
          <w:rFonts w:asciiTheme="majorBidi" w:hAnsiTheme="majorBidi" w:cstheme="majorBidi"/>
          <w:sz w:val="24"/>
          <w:szCs w:val="24"/>
        </w:rPr>
        <w:t>/2002</w:t>
      </w:r>
      <w:r w:rsidR="00952D08">
        <w:rPr>
          <w:rStyle w:val="FootnoteReference"/>
          <w:rFonts w:asciiTheme="majorBidi" w:hAnsiTheme="majorBidi" w:cstheme="majorBidi"/>
          <w:sz w:val="24"/>
          <w:szCs w:val="24"/>
        </w:rPr>
        <w:footnoteReference w:id="1"/>
      </w:r>
    </w:p>
    <w:p w14:paraId="1265058C" w14:textId="77777777" w:rsidR="00952D08" w:rsidRPr="00952D08" w:rsidRDefault="00952D08" w:rsidP="00952D08">
      <w:pPr>
        <w:pStyle w:val="Bodytext40"/>
        <w:shd w:val="clear" w:color="auto" w:fill="auto"/>
        <w:spacing w:after="0" w:line="276" w:lineRule="auto"/>
        <w:ind w:right="307" w:firstLine="720"/>
        <w:jc w:val="both"/>
        <w:rPr>
          <w:rFonts w:asciiTheme="majorBidi" w:hAnsiTheme="majorBidi" w:cstheme="majorBidi"/>
          <w:sz w:val="24"/>
          <w:szCs w:val="24"/>
        </w:rPr>
      </w:pPr>
    </w:p>
    <w:p w14:paraId="3BDF2E61" w14:textId="77777777" w:rsidR="0078201F" w:rsidRDefault="00E1213E" w:rsidP="00952D08">
      <w:pPr>
        <w:pStyle w:val="Bodytext50"/>
        <w:shd w:val="clear" w:color="auto" w:fill="auto"/>
        <w:spacing w:before="0" w:after="0" w:line="276" w:lineRule="auto"/>
        <w:ind w:right="307"/>
        <w:jc w:val="both"/>
        <w:rPr>
          <w:rFonts w:asciiTheme="majorBidi" w:hAnsiTheme="majorBidi" w:cstheme="majorBidi"/>
          <w:sz w:val="24"/>
          <w:szCs w:val="24"/>
        </w:rPr>
      </w:pPr>
      <w:r w:rsidRPr="00952D08">
        <w:rPr>
          <w:rFonts w:asciiTheme="majorBidi" w:hAnsiTheme="majorBidi" w:cstheme="majorBidi"/>
          <w:sz w:val="24"/>
          <w:szCs w:val="24"/>
        </w:rPr>
        <w:t>Likuma izpratnē manta, ko nozog, ir sveša manta, un par tādu uzskatāma tikai manta, uz kuru mantas paņēmējam nav nekādu tiesību. Par zādzību nevar uzskatīt gadījumu, kad neatļauti paņemta manta, kas pieder pašam paņēmējam, kaut arī paņemšanas brīdī viņš to nav zinājis.</w:t>
      </w:r>
    </w:p>
    <w:p w14:paraId="21D95937" w14:textId="77777777" w:rsidR="00952D08" w:rsidRPr="00952D08" w:rsidRDefault="00952D08" w:rsidP="00952D08">
      <w:pPr>
        <w:pStyle w:val="Bodytext50"/>
        <w:shd w:val="clear" w:color="auto" w:fill="auto"/>
        <w:spacing w:before="0" w:after="0" w:line="276" w:lineRule="auto"/>
        <w:ind w:right="307" w:firstLine="720"/>
        <w:jc w:val="both"/>
        <w:rPr>
          <w:rFonts w:asciiTheme="majorBidi" w:hAnsiTheme="majorBidi" w:cstheme="majorBidi"/>
          <w:sz w:val="24"/>
          <w:szCs w:val="24"/>
        </w:rPr>
      </w:pPr>
    </w:p>
    <w:p w14:paraId="7C031268" w14:textId="680ED47F" w:rsidR="0078201F" w:rsidRDefault="00E1213E" w:rsidP="00952D08">
      <w:pPr>
        <w:pStyle w:val="Bodytext20"/>
        <w:shd w:val="clear" w:color="auto" w:fill="auto"/>
        <w:spacing w:after="0" w:line="276" w:lineRule="auto"/>
        <w:ind w:right="307"/>
        <w:rPr>
          <w:rFonts w:asciiTheme="majorBidi" w:hAnsiTheme="majorBidi" w:cstheme="majorBidi"/>
          <w:sz w:val="24"/>
          <w:szCs w:val="24"/>
        </w:rPr>
      </w:pPr>
      <w:r w:rsidRPr="00952D08">
        <w:rPr>
          <w:rStyle w:val="Bodytext213ptBold"/>
          <w:rFonts w:asciiTheme="majorBidi" w:hAnsiTheme="majorBidi" w:cstheme="majorBidi"/>
          <w:sz w:val="24"/>
          <w:szCs w:val="24"/>
        </w:rPr>
        <w:t>Rīcības sēdes lēmums</w:t>
      </w:r>
      <w:r w:rsidRPr="00952D08">
        <w:rPr>
          <w:rStyle w:val="Bodytext213ptBold0"/>
          <w:rFonts w:asciiTheme="majorBidi" w:hAnsiTheme="majorBidi" w:cstheme="majorBidi"/>
          <w:sz w:val="24"/>
          <w:szCs w:val="24"/>
        </w:rPr>
        <w:t xml:space="preserve"> </w:t>
      </w:r>
      <w:r w:rsidR="00952D08">
        <w:rPr>
          <w:rStyle w:val="Bodytext213ptBold0"/>
          <w:rFonts w:asciiTheme="majorBidi" w:hAnsiTheme="majorBidi" w:cstheme="majorBidi"/>
          <w:sz w:val="24"/>
          <w:szCs w:val="24"/>
        </w:rPr>
        <w:tab/>
      </w:r>
      <w:r w:rsidR="00952D08">
        <w:rPr>
          <w:rStyle w:val="Bodytext213ptBold0"/>
          <w:rFonts w:asciiTheme="majorBidi" w:hAnsiTheme="majorBidi" w:cstheme="majorBidi"/>
          <w:sz w:val="24"/>
          <w:szCs w:val="24"/>
        </w:rPr>
        <w:tab/>
      </w:r>
      <w:r w:rsidR="00952D08">
        <w:rPr>
          <w:rStyle w:val="Bodytext213ptBold0"/>
          <w:rFonts w:asciiTheme="majorBidi" w:hAnsiTheme="majorBidi" w:cstheme="majorBidi"/>
          <w:sz w:val="24"/>
          <w:szCs w:val="24"/>
        </w:rPr>
        <w:tab/>
      </w:r>
      <w:r w:rsidR="00952D08">
        <w:rPr>
          <w:rStyle w:val="Bodytext213ptBold0"/>
          <w:rFonts w:asciiTheme="majorBidi" w:hAnsiTheme="majorBidi" w:cstheme="majorBidi"/>
          <w:sz w:val="24"/>
          <w:szCs w:val="24"/>
        </w:rPr>
        <w:tab/>
        <w:t xml:space="preserve">    </w:t>
      </w:r>
      <w:r w:rsidRPr="00952D08">
        <w:rPr>
          <w:rFonts w:asciiTheme="majorBidi" w:hAnsiTheme="majorBidi" w:cstheme="majorBidi"/>
          <w:sz w:val="24"/>
          <w:szCs w:val="24"/>
        </w:rPr>
        <w:t>Rīgā, 2002. gada 27. novembrī</w:t>
      </w:r>
    </w:p>
    <w:p w14:paraId="00B8F2B6" w14:textId="77777777" w:rsidR="00952D08" w:rsidRPr="00952D08" w:rsidRDefault="00952D08" w:rsidP="00952D08">
      <w:pPr>
        <w:pStyle w:val="Bodytext20"/>
        <w:shd w:val="clear" w:color="auto" w:fill="auto"/>
        <w:spacing w:after="0" w:line="276" w:lineRule="auto"/>
        <w:ind w:right="307" w:firstLine="720"/>
        <w:rPr>
          <w:rFonts w:asciiTheme="majorBidi" w:hAnsiTheme="majorBidi" w:cstheme="majorBidi"/>
          <w:sz w:val="24"/>
          <w:szCs w:val="24"/>
        </w:rPr>
      </w:pPr>
    </w:p>
    <w:p w14:paraId="1CE61173" w14:textId="51232233" w:rsidR="0078201F"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Latvijas Republikas Augstākās tiesas Senāta Krimināllietu depar</w:t>
      </w:r>
      <w:r w:rsidRPr="00952D08">
        <w:rPr>
          <w:rFonts w:asciiTheme="majorBidi" w:hAnsiTheme="majorBidi" w:cstheme="majorBidi"/>
          <w:sz w:val="24"/>
          <w:szCs w:val="24"/>
        </w:rPr>
        <w:softHyphen/>
        <w:t xml:space="preserve">taments šādā sastāvā - tiesas sēdes priekšsēdētājs P. </w:t>
      </w:r>
      <w:proofErr w:type="spellStart"/>
      <w:r w:rsidRPr="00952D08">
        <w:rPr>
          <w:rFonts w:asciiTheme="majorBidi" w:hAnsiTheme="majorBidi" w:cstheme="majorBidi"/>
          <w:sz w:val="24"/>
          <w:szCs w:val="24"/>
        </w:rPr>
        <w:t>Gruziņš</w:t>
      </w:r>
      <w:proofErr w:type="spellEnd"/>
      <w:r w:rsidRPr="00952D08">
        <w:rPr>
          <w:rFonts w:asciiTheme="majorBidi" w:hAnsiTheme="majorBidi" w:cstheme="majorBidi"/>
          <w:sz w:val="24"/>
          <w:szCs w:val="24"/>
        </w:rPr>
        <w:t xml:space="preserve">, senatori A. </w:t>
      </w:r>
      <w:proofErr w:type="spellStart"/>
      <w:r w:rsidRPr="00952D08">
        <w:rPr>
          <w:rFonts w:asciiTheme="majorBidi" w:hAnsiTheme="majorBidi" w:cstheme="majorBidi"/>
          <w:sz w:val="24"/>
          <w:szCs w:val="24"/>
        </w:rPr>
        <w:t>Kazārova</w:t>
      </w:r>
      <w:proofErr w:type="spellEnd"/>
      <w:r w:rsidRPr="00952D08">
        <w:rPr>
          <w:rFonts w:asciiTheme="majorBidi" w:hAnsiTheme="majorBidi" w:cstheme="majorBidi"/>
          <w:sz w:val="24"/>
          <w:szCs w:val="24"/>
        </w:rPr>
        <w:t xml:space="preserve"> un V. </w:t>
      </w:r>
      <w:proofErr w:type="spellStart"/>
      <w:r w:rsidRPr="00952D08">
        <w:rPr>
          <w:rFonts w:asciiTheme="majorBidi" w:hAnsiTheme="majorBidi" w:cstheme="majorBidi"/>
          <w:sz w:val="24"/>
          <w:szCs w:val="24"/>
        </w:rPr>
        <w:t>Čiževskis</w:t>
      </w:r>
      <w:proofErr w:type="spellEnd"/>
      <w:r w:rsidRPr="00952D08">
        <w:rPr>
          <w:rFonts w:asciiTheme="majorBidi" w:hAnsiTheme="majorBidi" w:cstheme="majorBidi"/>
          <w:sz w:val="24"/>
          <w:szCs w:val="24"/>
        </w:rPr>
        <w:t xml:space="preserve"> - izskatīja tiesas rīcības sēdē krimināllietu, kurā apsūdzēts </w:t>
      </w:r>
      <w:r w:rsidR="00952D08">
        <w:rPr>
          <w:rFonts w:asciiTheme="majorBidi" w:hAnsiTheme="majorBidi" w:cstheme="majorBidi"/>
          <w:sz w:val="24"/>
          <w:szCs w:val="24"/>
        </w:rPr>
        <w:t>[pers. A]</w:t>
      </w:r>
      <w:r w:rsidRPr="00952D08">
        <w:rPr>
          <w:rFonts w:asciiTheme="majorBidi" w:hAnsiTheme="majorBidi" w:cstheme="majorBidi"/>
          <w:sz w:val="24"/>
          <w:szCs w:val="24"/>
        </w:rPr>
        <w:t>, un</w:t>
      </w:r>
    </w:p>
    <w:p w14:paraId="076EAA4B" w14:textId="77777777" w:rsidR="00952D08" w:rsidRPr="00952D08" w:rsidRDefault="00952D08" w:rsidP="00952D08">
      <w:pPr>
        <w:pStyle w:val="Bodytext20"/>
        <w:shd w:val="clear" w:color="auto" w:fill="auto"/>
        <w:spacing w:after="0" w:line="276" w:lineRule="auto"/>
        <w:ind w:right="307" w:firstLine="720"/>
        <w:rPr>
          <w:rFonts w:asciiTheme="majorBidi" w:hAnsiTheme="majorBidi" w:cstheme="majorBidi"/>
          <w:sz w:val="24"/>
          <w:szCs w:val="24"/>
        </w:rPr>
      </w:pPr>
    </w:p>
    <w:p w14:paraId="41383162" w14:textId="1ED6BDD9" w:rsidR="0078201F" w:rsidRDefault="00952D08" w:rsidP="00952D08">
      <w:pPr>
        <w:pStyle w:val="Bodytext20"/>
        <w:shd w:val="clear" w:color="auto" w:fill="auto"/>
        <w:spacing w:after="0" w:line="276" w:lineRule="auto"/>
        <w:ind w:right="307"/>
        <w:jc w:val="center"/>
        <w:rPr>
          <w:rStyle w:val="Bodytext2Spacing2pt"/>
          <w:rFonts w:asciiTheme="majorBidi" w:hAnsiTheme="majorBidi" w:cstheme="majorBidi"/>
          <w:sz w:val="24"/>
          <w:szCs w:val="24"/>
        </w:rPr>
      </w:pPr>
      <w:r>
        <w:rPr>
          <w:rStyle w:val="Bodytext2Spacing2pt"/>
          <w:rFonts w:asciiTheme="majorBidi" w:hAnsiTheme="majorBidi" w:cstheme="majorBidi"/>
          <w:sz w:val="24"/>
          <w:szCs w:val="24"/>
        </w:rPr>
        <w:t>k</w:t>
      </w:r>
      <w:r w:rsidR="00E1213E" w:rsidRPr="00952D08">
        <w:rPr>
          <w:rStyle w:val="Bodytext2Spacing2pt"/>
          <w:rFonts w:asciiTheme="majorBidi" w:hAnsiTheme="majorBidi" w:cstheme="majorBidi"/>
          <w:sz w:val="24"/>
          <w:szCs w:val="24"/>
        </w:rPr>
        <w:t>onstatēja</w:t>
      </w:r>
    </w:p>
    <w:p w14:paraId="5E9B637E" w14:textId="77777777" w:rsidR="00952D08" w:rsidRPr="00952D08" w:rsidRDefault="00952D08" w:rsidP="00952D08">
      <w:pPr>
        <w:pStyle w:val="Bodytext20"/>
        <w:shd w:val="clear" w:color="auto" w:fill="auto"/>
        <w:spacing w:after="0" w:line="276" w:lineRule="auto"/>
        <w:ind w:right="307" w:firstLine="720"/>
        <w:rPr>
          <w:rFonts w:asciiTheme="majorBidi" w:hAnsiTheme="majorBidi" w:cstheme="majorBidi"/>
          <w:sz w:val="24"/>
          <w:szCs w:val="24"/>
        </w:rPr>
      </w:pPr>
    </w:p>
    <w:p w14:paraId="23CB56D1" w14:textId="370AE8B3"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Ar Ventspils tiesas 2002. gada 20. augusta spriedumu </w:t>
      </w:r>
      <w:r w:rsidR="00952D08">
        <w:rPr>
          <w:rFonts w:asciiTheme="majorBidi" w:hAnsiTheme="majorBidi" w:cstheme="majorBidi"/>
          <w:sz w:val="24"/>
          <w:szCs w:val="24"/>
        </w:rPr>
        <w:t>[pers. A]</w:t>
      </w:r>
      <w:r w:rsidRPr="00952D08">
        <w:rPr>
          <w:rFonts w:asciiTheme="majorBidi" w:hAnsiTheme="majorBidi" w:cstheme="majorBidi"/>
          <w:sz w:val="24"/>
          <w:szCs w:val="24"/>
        </w:rPr>
        <w:t xml:space="preserve">, dzimis </w:t>
      </w:r>
      <w:r w:rsidR="00952D08">
        <w:rPr>
          <w:rFonts w:asciiTheme="majorBidi" w:hAnsiTheme="majorBidi" w:cstheme="majorBidi"/>
          <w:sz w:val="24"/>
          <w:szCs w:val="24"/>
        </w:rPr>
        <w:t>[..]</w:t>
      </w:r>
      <w:r w:rsidRPr="00952D08">
        <w:rPr>
          <w:rFonts w:asciiTheme="majorBidi" w:hAnsiTheme="majorBidi" w:cstheme="majorBidi"/>
          <w:sz w:val="24"/>
          <w:szCs w:val="24"/>
        </w:rPr>
        <w:t xml:space="preserve">, personas kods </w:t>
      </w:r>
      <w:r w:rsidR="00952D08">
        <w:rPr>
          <w:rFonts w:asciiTheme="majorBidi" w:hAnsiTheme="majorBidi" w:cstheme="majorBidi"/>
          <w:sz w:val="24"/>
          <w:szCs w:val="24"/>
        </w:rPr>
        <w:t>[..]</w:t>
      </w:r>
      <w:r w:rsidRPr="00952D08">
        <w:rPr>
          <w:rFonts w:asciiTheme="majorBidi" w:hAnsiTheme="majorBidi" w:cstheme="majorBidi"/>
          <w:sz w:val="24"/>
          <w:szCs w:val="24"/>
        </w:rPr>
        <w:t>, sodīts: 1) 2001. gada 27. septembrī pēc Krimināllikuma 175. panta tre</w:t>
      </w:r>
      <w:r w:rsidRPr="00952D08">
        <w:rPr>
          <w:rFonts w:asciiTheme="majorBidi" w:hAnsiTheme="majorBidi" w:cstheme="majorBidi"/>
          <w:sz w:val="24"/>
          <w:szCs w:val="24"/>
        </w:rPr>
        <w:softHyphen/>
        <w:t>šās daļas ar brīvības atņemšanu uz vienu gadu nosacīti ar pārbaudes laiku uz vienu gadu, 2) 2001. gada 22. novembrī pēc Krimināllikuma 185. panta pirmās daļas ar brīvības atņemšanu uz diviem gadiem se</w:t>
      </w:r>
      <w:r w:rsidRPr="00952D08">
        <w:rPr>
          <w:rFonts w:asciiTheme="majorBidi" w:hAnsiTheme="majorBidi" w:cstheme="majorBidi"/>
          <w:sz w:val="24"/>
          <w:szCs w:val="24"/>
        </w:rPr>
        <w:softHyphen/>
        <w:t xml:space="preserve">šiem mēnešiem nosacīti ar pārbaudes laiku uz diviem gadiem; </w:t>
      </w:r>
      <w:r w:rsidRPr="00952D08">
        <w:rPr>
          <w:rStyle w:val="Bodytext2Spacing2pt"/>
          <w:rFonts w:asciiTheme="majorBidi" w:hAnsiTheme="majorBidi" w:cstheme="majorBidi"/>
          <w:sz w:val="24"/>
          <w:szCs w:val="24"/>
        </w:rPr>
        <w:t>notie</w:t>
      </w:r>
      <w:r w:rsidRPr="00952D08">
        <w:rPr>
          <w:rStyle w:val="Bodytext2Spacing2pt"/>
          <w:rFonts w:asciiTheme="majorBidi" w:hAnsiTheme="majorBidi" w:cstheme="majorBidi"/>
          <w:sz w:val="24"/>
          <w:szCs w:val="24"/>
        </w:rPr>
        <w:softHyphen/>
        <w:t>sāts</w:t>
      </w:r>
      <w:r w:rsidRPr="00952D08">
        <w:rPr>
          <w:rFonts w:asciiTheme="majorBidi" w:hAnsiTheme="majorBidi" w:cstheme="majorBidi"/>
          <w:sz w:val="24"/>
          <w:szCs w:val="24"/>
        </w:rPr>
        <w:t xml:space="preserve"> pēc Krimināllikuma 175. panta trešās daļas ar brīvības atņem</w:t>
      </w:r>
      <w:r w:rsidRPr="00952D08">
        <w:rPr>
          <w:rFonts w:asciiTheme="majorBidi" w:hAnsiTheme="majorBidi" w:cstheme="majorBidi"/>
          <w:sz w:val="24"/>
          <w:szCs w:val="24"/>
        </w:rPr>
        <w:softHyphen/>
        <w:t>šanu uz vienu gadu. Saskaņā ar Krimināllikuma 51. pantu galīgais sods noteiks divi gadi septiņi mēneši brīvības atņemšana, soda izciešanu uz</w:t>
      </w:r>
      <w:r w:rsidRPr="00952D08">
        <w:rPr>
          <w:rFonts w:asciiTheme="majorBidi" w:hAnsiTheme="majorBidi" w:cstheme="majorBidi"/>
          <w:sz w:val="24"/>
          <w:szCs w:val="24"/>
        </w:rPr>
        <w:softHyphen/>
        <w:t>sākot slēgtā cietumā.</w:t>
      </w:r>
    </w:p>
    <w:p w14:paraId="4ACE5E13" w14:textId="280FEEC6"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Saskaņā ar pirmās instances tiesas spriedumu </w:t>
      </w:r>
      <w:r w:rsidR="00952D08">
        <w:rPr>
          <w:rFonts w:asciiTheme="majorBidi" w:hAnsiTheme="majorBidi" w:cstheme="majorBidi"/>
          <w:sz w:val="24"/>
          <w:szCs w:val="24"/>
        </w:rPr>
        <w:t>[pers. A]</w:t>
      </w:r>
      <w:r w:rsidRPr="00952D08">
        <w:rPr>
          <w:rFonts w:asciiTheme="majorBidi" w:hAnsiTheme="majorBidi" w:cstheme="majorBidi"/>
          <w:sz w:val="24"/>
          <w:szCs w:val="24"/>
        </w:rPr>
        <w:t xml:space="preserve"> atzīts par vainīgu un notiesāts par atkārtotām svešas mantas zādzībām, ie</w:t>
      </w:r>
      <w:r w:rsidRPr="00952D08">
        <w:rPr>
          <w:rFonts w:asciiTheme="majorBidi" w:hAnsiTheme="majorBidi" w:cstheme="majorBidi"/>
          <w:sz w:val="24"/>
          <w:szCs w:val="24"/>
        </w:rPr>
        <w:softHyphen/>
        <w:t>kļūstot telpā.</w:t>
      </w:r>
    </w:p>
    <w:p w14:paraId="69FBEA0C" w14:textId="384254A6" w:rsidR="0078201F" w:rsidRPr="00952D08" w:rsidRDefault="00952D08" w:rsidP="00952D08">
      <w:pPr>
        <w:pStyle w:val="Bodytext20"/>
        <w:shd w:val="clear" w:color="auto" w:fill="auto"/>
        <w:spacing w:after="0" w:line="276" w:lineRule="auto"/>
        <w:ind w:right="307" w:firstLine="720"/>
        <w:rPr>
          <w:rFonts w:asciiTheme="majorBidi" w:hAnsiTheme="majorBidi" w:cstheme="majorBidi"/>
          <w:sz w:val="24"/>
          <w:szCs w:val="24"/>
        </w:rPr>
      </w:pPr>
      <w:r>
        <w:rPr>
          <w:rFonts w:asciiTheme="majorBidi" w:hAnsiTheme="majorBidi" w:cstheme="majorBidi"/>
          <w:sz w:val="24"/>
          <w:szCs w:val="24"/>
        </w:rPr>
        <w:t>[Pers. A]</w:t>
      </w:r>
      <w:r w:rsidR="00E1213E" w:rsidRPr="00952D08">
        <w:rPr>
          <w:rFonts w:asciiTheme="majorBidi" w:hAnsiTheme="majorBidi" w:cstheme="majorBidi"/>
          <w:sz w:val="24"/>
          <w:szCs w:val="24"/>
        </w:rPr>
        <w:t>, kurš sodīts par zādzībām, atkārtoti 2002. gada febru</w:t>
      </w:r>
      <w:r w:rsidR="00E1213E" w:rsidRPr="00952D08">
        <w:rPr>
          <w:rFonts w:asciiTheme="majorBidi" w:hAnsiTheme="majorBidi" w:cstheme="majorBidi"/>
          <w:sz w:val="24"/>
          <w:szCs w:val="24"/>
        </w:rPr>
        <w:softHyphen/>
        <w:t xml:space="preserve">ārī, izmeklēšanā nenoskaidrotā datumā ar iegūtām atslēgām atslēdzot durvis, iekļuvis </w:t>
      </w:r>
      <w:r>
        <w:rPr>
          <w:rFonts w:asciiTheme="majorBidi" w:hAnsiTheme="majorBidi" w:cstheme="majorBidi"/>
          <w:sz w:val="24"/>
          <w:szCs w:val="24"/>
        </w:rPr>
        <w:t>[pers. B]</w:t>
      </w:r>
      <w:r w:rsidR="00E1213E" w:rsidRPr="00952D08">
        <w:rPr>
          <w:rFonts w:asciiTheme="majorBidi" w:hAnsiTheme="majorBidi" w:cstheme="majorBidi"/>
          <w:sz w:val="24"/>
          <w:szCs w:val="24"/>
        </w:rPr>
        <w:t xml:space="preserve"> piederošajā mājā </w:t>
      </w:r>
      <w:r>
        <w:rPr>
          <w:rFonts w:asciiTheme="majorBidi" w:hAnsiTheme="majorBidi" w:cstheme="majorBidi"/>
          <w:sz w:val="24"/>
          <w:szCs w:val="24"/>
        </w:rPr>
        <w:t>[adrese]</w:t>
      </w:r>
      <w:r w:rsidR="00E1213E" w:rsidRPr="00952D08">
        <w:rPr>
          <w:rFonts w:asciiTheme="majorBidi" w:hAnsiTheme="majorBidi" w:cstheme="majorBidi"/>
          <w:sz w:val="24"/>
          <w:szCs w:val="24"/>
        </w:rPr>
        <w:t xml:space="preserve"> un tur nozadzis elektrisko betona maisītāju par Ls 150.</w:t>
      </w:r>
    </w:p>
    <w:p w14:paraId="004EC4D3" w14:textId="364C7B89"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Pēc tam 2002. gada februārī vai martā </w:t>
      </w:r>
      <w:r w:rsidR="00952D08">
        <w:rPr>
          <w:rFonts w:asciiTheme="majorBidi" w:hAnsiTheme="majorBidi" w:cstheme="majorBidi"/>
          <w:sz w:val="24"/>
          <w:szCs w:val="24"/>
        </w:rPr>
        <w:t>[pers. A]</w:t>
      </w:r>
      <w:r w:rsidRPr="00952D08">
        <w:rPr>
          <w:rFonts w:asciiTheme="majorBidi" w:hAnsiTheme="majorBidi" w:cstheme="majorBidi"/>
          <w:sz w:val="24"/>
          <w:szCs w:val="24"/>
        </w:rPr>
        <w:t xml:space="preserve"> vēl četras reizes iekļuvis minētajā mājā un slepeni nolaupījis dažādas </w:t>
      </w:r>
      <w:r w:rsidR="00952D08">
        <w:rPr>
          <w:rFonts w:asciiTheme="majorBidi" w:hAnsiTheme="majorBidi" w:cstheme="majorBidi"/>
          <w:sz w:val="24"/>
          <w:szCs w:val="24"/>
        </w:rPr>
        <w:t>[pers. B]</w:t>
      </w:r>
      <w:r w:rsidRPr="00952D08">
        <w:rPr>
          <w:rFonts w:asciiTheme="majorBidi" w:hAnsiTheme="majorBidi" w:cstheme="majorBidi"/>
          <w:sz w:val="24"/>
          <w:szCs w:val="24"/>
        </w:rPr>
        <w:t xml:space="preserve"> mantas, bet pavisam </w:t>
      </w:r>
      <w:r w:rsidR="00952D08">
        <w:rPr>
          <w:rFonts w:asciiTheme="majorBidi" w:hAnsiTheme="majorBidi" w:cstheme="majorBidi"/>
          <w:sz w:val="24"/>
          <w:szCs w:val="24"/>
        </w:rPr>
        <w:t>[pers. A]</w:t>
      </w:r>
      <w:r w:rsidRPr="00952D08">
        <w:rPr>
          <w:rFonts w:asciiTheme="majorBidi" w:hAnsiTheme="majorBidi" w:cstheme="majorBidi"/>
          <w:sz w:val="24"/>
          <w:szCs w:val="24"/>
        </w:rPr>
        <w:t xml:space="preserve"> slepeni nolaupījis cietušās mantas par Ls 390.</w:t>
      </w:r>
    </w:p>
    <w:p w14:paraId="68E18CCB" w14:textId="38D87C4C"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Š</w:t>
      </w:r>
      <w:r w:rsidR="00952D08">
        <w:rPr>
          <w:rFonts w:asciiTheme="majorBidi" w:hAnsiTheme="majorBidi" w:cstheme="majorBidi"/>
          <w:sz w:val="24"/>
          <w:szCs w:val="24"/>
        </w:rPr>
        <w:t>ā</w:t>
      </w:r>
      <w:r w:rsidRPr="00952D08">
        <w:rPr>
          <w:rFonts w:asciiTheme="majorBidi" w:hAnsiTheme="majorBidi" w:cstheme="majorBidi"/>
          <w:sz w:val="24"/>
          <w:szCs w:val="24"/>
        </w:rPr>
        <w:t xml:space="preserve">das </w:t>
      </w:r>
      <w:r w:rsidR="00952D08">
        <w:rPr>
          <w:rFonts w:asciiTheme="majorBidi" w:hAnsiTheme="majorBidi" w:cstheme="majorBidi"/>
          <w:sz w:val="24"/>
          <w:szCs w:val="24"/>
        </w:rPr>
        <w:t>[pers. A]</w:t>
      </w:r>
      <w:r w:rsidRPr="00952D08">
        <w:rPr>
          <w:rFonts w:asciiTheme="majorBidi" w:hAnsiTheme="majorBidi" w:cstheme="majorBidi"/>
          <w:sz w:val="24"/>
          <w:szCs w:val="24"/>
        </w:rPr>
        <w:t xml:space="preserve"> darbības kvalificētas p</w:t>
      </w:r>
      <w:r w:rsidR="00952D08">
        <w:rPr>
          <w:rFonts w:asciiTheme="majorBidi" w:hAnsiTheme="majorBidi" w:cstheme="majorBidi"/>
          <w:sz w:val="24"/>
          <w:szCs w:val="24"/>
        </w:rPr>
        <w:t>ē</w:t>
      </w:r>
      <w:r w:rsidRPr="00952D08">
        <w:rPr>
          <w:rFonts w:asciiTheme="majorBidi" w:hAnsiTheme="majorBidi" w:cstheme="majorBidi"/>
          <w:sz w:val="24"/>
          <w:szCs w:val="24"/>
        </w:rPr>
        <w:t>c Krimināllikuma 175. pan</w:t>
      </w:r>
      <w:r w:rsidRPr="00952D08">
        <w:rPr>
          <w:rFonts w:asciiTheme="majorBidi" w:hAnsiTheme="majorBidi" w:cstheme="majorBidi"/>
          <w:sz w:val="24"/>
          <w:szCs w:val="24"/>
        </w:rPr>
        <w:softHyphen/>
        <w:t>ta trešās daļas.</w:t>
      </w:r>
    </w:p>
    <w:p w14:paraId="2FE34627" w14:textId="77777777"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Ar Kurzemes apgabaltiesas Krimināllietu tiesas kolēģijas 2002. gada 18. oktobra lēmumu pirmās instances tiesas spriedums atstāts negro</w:t>
      </w:r>
      <w:r w:rsidRPr="00952D08">
        <w:rPr>
          <w:rFonts w:asciiTheme="majorBidi" w:hAnsiTheme="majorBidi" w:cstheme="majorBidi"/>
          <w:sz w:val="24"/>
          <w:szCs w:val="24"/>
        </w:rPr>
        <w:softHyphen/>
        <w:t>zīts.</w:t>
      </w:r>
    </w:p>
    <w:p w14:paraId="3D071871" w14:textId="4643B300"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Tiesājamais </w:t>
      </w:r>
      <w:r w:rsidR="00952D08">
        <w:rPr>
          <w:rFonts w:asciiTheme="majorBidi" w:hAnsiTheme="majorBidi" w:cstheme="majorBidi"/>
          <w:sz w:val="24"/>
          <w:szCs w:val="24"/>
        </w:rPr>
        <w:t>[pers. A]</w:t>
      </w:r>
      <w:r w:rsidRPr="00952D08">
        <w:rPr>
          <w:rFonts w:asciiTheme="majorBidi" w:hAnsiTheme="majorBidi" w:cstheme="majorBidi"/>
          <w:sz w:val="24"/>
          <w:szCs w:val="24"/>
        </w:rPr>
        <w:t xml:space="preserve"> savā kasācijas sūdzībā un tās papildināju</w:t>
      </w:r>
      <w:r w:rsidRPr="00952D08">
        <w:rPr>
          <w:rFonts w:asciiTheme="majorBidi" w:hAnsiTheme="majorBidi" w:cstheme="majorBidi"/>
          <w:sz w:val="24"/>
          <w:szCs w:val="24"/>
        </w:rPr>
        <w:softHyphen/>
        <w:t>mos norādījis, ka notiesājošo spriedumu uzskata par netaisnīgu, jo vi</w:t>
      </w:r>
      <w:r w:rsidRPr="00952D08">
        <w:rPr>
          <w:rFonts w:asciiTheme="majorBidi" w:hAnsiTheme="majorBidi" w:cstheme="majorBidi"/>
          <w:sz w:val="24"/>
          <w:szCs w:val="24"/>
        </w:rPr>
        <w:softHyphen/>
        <w:t>ņam noteikts pārāk bargs sods.</w:t>
      </w:r>
    </w:p>
    <w:p w14:paraId="54416B76" w14:textId="77777777"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Uzskata, ka spriedumā norādītās mantas viņš neesot zadzis, bet pa</w:t>
      </w:r>
      <w:r w:rsidRPr="00952D08">
        <w:rPr>
          <w:rFonts w:asciiTheme="majorBidi" w:hAnsiTheme="majorBidi" w:cstheme="majorBidi"/>
          <w:sz w:val="24"/>
          <w:szCs w:val="24"/>
        </w:rPr>
        <w:softHyphen/>
        <w:t>ņēmis no mājas, kas piederējusi viņa mirušajam tēvam.</w:t>
      </w:r>
    </w:p>
    <w:p w14:paraId="6CC4617C" w14:textId="7495E0ED"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Pēc vecāsmātes nāves viņš un viņa tante </w:t>
      </w:r>
      <w:r w:rsidR="00952D08">
        <w:rPr>
          <w:rFonts w:asciiTheme="majorBidi" w:hAnsiTheme="majorBidi" w:cstheme="majorBidi"/>
          <w:sz w:val="24"/>
          <w:szCs w:val="24"/>
        </w:rPr>
        <w:t>[pers. B]</w:t>
      </w:r>
      <w:r w:rsidRPr="00952D08">
        <w:rPr>
          <w:rFonts w:asciiTheme="majorBidi" w:hAnsiTheme="majorBidi" w:cstheme="majorBidi"/>
          <w:sz w:val="24"/>
          <w:szCs w:val="24"/>
        </w:rPr>
        <w:t xml:space="preserve"> esot likumiskie mantinieki, un lieta mantojuma jautājumā tikšot izskatīta </w:t>
      </w:r>
      <w:proofErr w:type="spellStart"/>
      <w:r w:rsidRPr="00952D08">
        <w:rPr>
          <w:rFonts w:asciiTheme="majorBidi" w:hAnsiTheme="majorBidi" w:cstheme="majorBidi"/>
          <w:sz w:val="24"/>
          <w:szCs w:val="24"/>
        </w:rPr>
        <w:t>Venspils</w:t>
      </w:r>
      <w:proofErr w:type="spellEnd"/>
      <w:r w:rsidRPr="00952D08">
        <w:rPr>
          <w:rFonts w:asciiTheme="majorBidi" w:hAnsiTheme="majorBidi" w:cstheme="majorBidi"/>
          <w:sz w:val="24"/>
          <w:szCs w:val="24"/>
        </w:rPr>
        <w:t xml:space="preserve"> tiesā 2002. gada 28. decembrī. Viņš uzskata sevi par nozagto mantu faktisko īpašnieku, jo nozagtās mantas esot </w:t>
      </w:r>
      <w:r w:rsidRPr="00952D08">
        <w:rPr>
          <w:rFonts w:asciiTheme="majorBidi" w:hAnsiTheme="majorBidi" w:cstheme="majorBidi"/>
          <w:sz w:val="24"/>
          <w:szCs w:val="24"/>
        </w:rPr>
        <w:lastRenderedPageBreak/>
        <w:t>iegādājies viņa tēvs - cietušās brālis.</w:t>
      </w:r>
    </w:p>
    <w:p w14:paraId="44DCC729" w14:textId="77777777"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Neesot ņemts vērā, ka cietusī atteikusies no civilprasības un lūgusi bargi viņu nesodīt.</w:t>
      </w:r>
    </w:p>
    <w:p w14:paraId="64D14623" w14:textId="16087C6E"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Pēc tēva nāves viņa aizbildne bijusi vecāmāte, un viņi abi dzīvojuši </w:t>
      </w:r>
      <w:r w:rsidR="00952D08">
        <w:rPr>
          <w:rFonts w:asciiTheme="majorBidi" w:hAnsiTheme="majorBidi" w:cstheme="majorBidi"/>
          <w:sz w:val="24"/>
          <w:szCs w:val="24"/>
        </w:rPr>
        <w:t>[adrese]</w:t>
      </w:r>
      <w:r w:rsidRPr="00952D08">
        <w:rPr>
          <w:rFonts w:asciiTheme="majorBidi" w:hAnsiTheme="majorBidi" w:cstheme="majorBidi"/>
          <w:sz w:val="24"/>
          <w:szCs w:val="24"/>
        </w:rPr>
        <w:t xml:space="preserve">. Pēc vecāsmātes nāves tante </w:t>
      </w:r>
      <w:r w:rsidR="00952D08">
        <w:rPr>
          <w:rFonts w:asciiTheme="majorBidi" w:hAnsiTheme="majorBidi" w:cstheme="majorBidi"/>
          <w:sz w:val="24"/>
          <w:szCs w:val="24"/>
        </w:rPr>
        <w:t>[pers. B]</w:t>
      </w:r>
      <w:r w:rsidRPr="00952D08">
        <w:rPr>
          <w:rFonts w:asciiTheme="majorBidi" w:hAnsiTheme="majorBidi" w:cstheme="majorBidi"/>
          <w:sz w:val="24"/>
          <w:szCs w:val="24"/>
        </w:rPr>
        <w:t xml:space="preserve"> viņu no mājas izdzinusi. Lūdz izskatīt viņa sūdzību.</w:t>
      </w:r>
    </w:p>
    <w:p w14:paraId="4B7C892D" w14:textId="77777777"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Izskatījis lietas materiālus un apsvēris kasācijas sūdzības motīvus, Senāta Krimināllietu departaments atzina, ka iesniegtā kasācijas sūdzī</w:t>
      </w:r>
      <w:r w:rsidRPr="00952D08">
        <w:rPr>
          <w:rFonts w:asciiTheme="majorBidi" w:hAnsiTheme="majorBidi" w:cstheme="majorBidi"/>
          <w:sz w:val="24"/>
          <w:szCs w:val="24"/>
        </w:rPr>
        <w:softHyphen/>
        <w:t>ba ir pamatota un apmierināma, rīcības sēdē pieņemams lēmums par abu tiesu instanču nolēmumu atcelšanu, lieta nosūtāma pirmstiesas iz</w:t>
      </w:r>
      <w:r w:rsidRPr="00952D08">
        <w:rPr>
          <w:rFonts w:asciiTheme="majorBidi" w:hAnsiTheme="majorBidi" w:cstheme="majorBidi"/>
          <w:sz w:val="24"/>
          <w:szCs w:val="24"/>
        </w:rPr>
        <w:softHyphen/>
        <w:t>meklēšanai.</w:t>
      </w:r>
    </w:p>
    <w:p w14:paraId="03A762BC" w14:textId="77777777"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Saskaņā ar Latvijas kriminālprocesa kodeksa (saīsināti KPK) 19. pan</w:t>
      </w:r>
      <w:r w:rsidRPr="00952D08">
        <w:rPr>
          <w:rFonts w:asciiTheme="majorBidi" w:hAnsiTheme="majorBidi" w:cstheme="majorBidi"/>
          <w:sz w:val="24"/>
          <w:szCs w:val="24"/>
        </w:rPr>
        <w:softHyphen/>
        <w:t>ta nosacījumiem tiesai, prokuroram ir pienākums pilnīgi, vispusīgi un ob</w:t>
      </w:r>
      <w:r w:rsidRPr="00952D08">
        <w:rPr>
          <w:rFonts w:asciiTheme="majorBidi" w:hAnsiTheme="majorBidi" w:cstheme="majorBidi"/>
          <w:sz w:val="24"/>
          <w:szCs w:val="24"/>
        </w:rPr>
        <w:softHyphen/>
        <w:t>jektīvi izmeklēt lietas apstākļus un atbilstoši objektīvajai patiesībai no</w:t>
      </w:r>
      <w:r w:rsidRPr="00952D08">
        <w:rPr>
          <w:rFonts w:asciiTheme="majorBidi" w:hAnsiTheme="majorBidi" w:cstheme="majorBidi"/>
          <w:sz w:val="24"/>
          <w:szCs w:val="24"/>
        </w:rPr>
        <w:softHyphen/>
        <w:t>skaidrot nodarījuma esamību un to, kas vainīgs noziedzīgā nodarījuma izdarīšanā, kā arī citus apstākļus, kam ir nozīme pareizā krimināllietas izlemšanā.</w:t>
      </w:r>
    </w:p>
    <w:p w14:paraId="4783828A" w14:textId="77777777"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Senāta Krimināllietu departaments atzina, ka pirmstiesas izmek</w:t>
      </w:r>
      <w:r w:rsidRPr="00952D08">
        <w:rPr>
          <w:rFonts w:asciiTheme="majorBidi" w:hAnsiTheme="majorBidi" w:cstheme="majorBidi"/>
          <w:sz w:val="24"/>
          <w:szCs w:val="24"/>
        </w:rPr>
        <w:softHyphen/>
        <w:t>lēšanā izdarīts Latvijas KPK 19. panta nosacījumu pārkāpums, kas varē</w:t>
      </w:r>
      <w:r w:rsidRPr="00952D08">
        <w:rPr>
          <w:rFonts w:asciiTheme="majorBidi" w:hAnsiTheme="majorBidi" w:cstheme="majorBidi"/>
          <w:sz w:val="24"/>
          <w:szCs w:val="24"/>
        </w:rPr>
        <w:softHyphen/>
        <w:t>ja ietekmēt likumīga, pamatota un taisnīga sprieduma taisīšanu, un līdz ar to nav iespējams spriest par krimināllikuma piemērošanas pareizību, iztiesājot lietu.</w:t>
      </w:r>
    </w:p>
    <w:p w14:paraId="1B33C379" w14:textId="597790A1"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No lietas materiāliem nepā</w:t>
      </w:r>
      <w:r w:rsidR="00952D08">
        <w:rPr>
          <w:rFonts w:asciiTheme="majorBidi" w:hAnsiTheme="majorBidi" w:cstheme="majorBidi"/>
          <w:sz w:val="24"/>
          <w:szCs w:val="24"/>
        </w:rPr>
        <w:t>r</w:t>
      </w:r>
      <w:r w:rsidRPr="00952D08">
        <w:rPr>
          <w:rFonts w:asciiTheme="majorBidi" w:hAnsiTheme="majorBidi" w:cstheme="majorBidi"/>
          <w:sz w:val="24"/>
          <w:szCs w:val="24"/>
        </w:rPr>
        <w:t>protami izriet, ka gan pirmstiesas izmek</w:t>
      </w:r>
      <w:r w:rsidRPr="00952D08">
        <w:rPr>
          <w:rFonts w:asciiTheme="majorBidi" w:hAnsiTheme="majorBidi" w:cstheme="majorBidi"/>
          <w:sz w:val="24"/>
          <w:szCs w:val="24"/>
        </w:rPr>
        <w:softHyphen/>
        <w:t xml:space="preserve">lēšanā, gan notikušajās tiesas sēdēs tiesājamais </w:t>
      </w:r>
      <w:r w:rsidR="00952D08">
        <w:rPr>
          <w:rFonts w:asciiTheme="majorBidi" w:hAnsiTheme="majorBidi" w:cstheme="majorBidi"/>
          <w:sz w:val="24"/>
          <w:szCs w:val="24"/>
        </w:rPr>
        <w:t>[pers. A]</w:t>
      </w:r>
      <w:r w:rsidRPr="00952D08">
        <w:rPr>
          <w:rFonts w:asciiTheme="majorBidi" w:hAnsiTheme="majorBidi" w:cstheme="majorBidi"/>
          <w:sz w:val="24"/>
          <w:szCs w:val="24"/>
        </w:rPr>
        <w:t xml:space="preserve"> nav ap</w:t>
      </w:r>
      <w:r w:rsidRPr="00952D08">
        <w:rPr>
          <w:rFonts w:asciiTheme="majorBidi" w:hAnsiTheme="majorBidi" w:cstheme="majorBidi"/>
          <w:sz w:val="24"/>
          <w:szCs w:val="24"/>
        </w:rPr>
        <w:softHyphen/>
        <w:t xml:space="preserve">strīdējis, ka tiešām bez savas radinieces </w:t>
      </w:r>
      <w:r w:rsidR="00952D08">
        <w:rPr>
          <w:rFonts w:asciiTheme="majorBidi" w:hAnsiTheme="majorBidi" w:cstheme="majorBidi"/>
          <w:sz w:val="24"/>
          <w:szCs w:val="24"/>
        </w:rPr>
        <w:t>[pers. B]</w:t>
      </w:r>
      <w:r w:rsidRPr="00952D08">
        <w:rPr>
          <w:rFonts w:asciiTheme="majorBidi" w:hAnsiTheme="majorBidi" w:cstheme="majorBidi"/>
          <w:sz w:val="24"/>
          <w:szCs w:val="24"/>
        </w:rPr>
        <w:t xml:space="preserve"> atļaujas slepeni paņēmis apsūdzībā norādītās mantas un pārdevis. Vienlaicīgi tiesāja</w:t>
      </w:r>
      <w:r w:rsidRPr="00952D08">
        <w:rPr>
          <w:rFonts w:asciiTheme="majorBidi" w:hAnsiTheme="majorBidi" w:cstheme="majorBidi"/>
          <w:sz w:val="24"/>
          <w:szCs w:val="24"/>
        </w:rPr>
        <w:softHyphen/>
        <w:t xml:space="preserve">mais liecinājis, ka uzskata sevi par likumisko mantinieku mājas daļai </w:t>
      </w:r>
      <w:r w:rsidR="00881346">
        <w:rPr>
          <w:rFonts w:asciiTheme="majorBidi" w:hAnsiTheme="majorBidi" w:cstheme="majorBidi"/>
          <w:sz w:val="24"/>
          <w:szCs w:val="24"/>
        </w:rPr>
        <w:t>[adrese]</w:t>
      </w:r>
      <w:r w:rsidRPr="00952D08">
        <w:rPr>
          <w:rFonts w:asciiTheme="majorBidi" w:hAnsiTheme="majorBidi" w:cstheme="majorBidi"/>
          <w:sz w:val="24"/>
          <w:szCs w:val="24"/>
        </w:rPr>
        <w:t>, ar tur esošajām mantām.</w:t>
      </w:r>
    </w:p>
    <w:p w14:paraId="2BDEBC8B" w14:textId="7E453E11"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No lietas materiāliem nepārprotami izriet, ka tiesājamais ir mirušo mantojuma atstājēju </w:t>
      </w:r>
      <w:r w:rsidR="00881346">
        <w:rPr>
          <w:rFonts w:asciiTheme="majorBidi" w:hAnsiTheme="majorBidi" w:cstheme="majorBidi"/>
          <w:sz w:val="24"/>
          <w:szCs w:val="24"/>
        </w:rPr>
        <w:t>[pers. C]</w:t>
      </w:r>
      <w:r w:rsidRPr="00952D08">
        <w:rPr>
          <w:rFonts w:asciiTheme="majorBidi" w:hAnsiTheme="majorBidi" w:cstheme="majorBidi"/>
          <w:sz w:val="24"/>
          <w:szCs w:val="24"/>
        </w:rPr>
        <w:t xml:space="preserve"> un </w:t>
      </w:r>
      <w:r w:rsidR="00881346">
        <w:rPr>
          <w:rFonts w:asciiTheme="majorBidi" w:hAnsiTheme="majorBidi" w:cstheme="majorBidi"/>
          <w:sz w:val="24"/>
          <w:szCs w:val="24"/>
        </w:rPr>
        <w:t>[pers. D]</w:t>
      </w:r>
      <w:r w:rsidRPr="00952D08">
        <w:rPr>
          <w:rFonts w:asciiTheme="majorBidi" w:hAnsiTheme="majorBidi" w:cstheme="majorBidi"/>
          <w:sz w:val="24"/>
          <w:szCs w:val="24"/>
        </w:rPr>
        <w:t xml:space="preserve"> mazdēls, kuru dēls - tiesājamā tēvs </w:t>
      </w:r>
      <w:r w:rsidR="00881346">
        <w:rPr>
          <w:rFonts w:asciiTheme="majorBidi" w:hAnsiTheme="majorBidi" w:cstheme="majorBidi"/>
          <w:sz w:val="24"/>
          <w:szCs w:val="24"/>
        </w:rPr>
        <w:t>[pers. E]</w:t>
      </w:r>
      <w:r w:rsidRPr="00952D08">
        <w:rPr>
          <w:rFonts w:asciiTheme="majorBidi" w:hAnsiTheme="majorBidi" w:cstheme="majorBidi"/>
          <w:sz w:val="24"/>
          <w:szCs w:val="24"/>
        </w:rPr>
        <w:t xml:space="preserve"> - miris vēl pirms savu ve</w:t>
      </w:r>
      <w:r w:rsidRPr="00952D08">
        <w:rPr>
          <w:rFonts w:asciiTheme="majorBidi" w:hAnsiTheme="majorBidi" w:cstheme="majorBidi"/>
          <w:sz w:val="24"/>
          <w:szCs w:val="24"/>
        </w:rPr>
        <w:softHyphen/>
        <w:t>cāku nāves.</w:t>
      </w:r>
    </w:p>
    <w:p w14:paraId="1AF3F432" w14:textId="3739BF0B"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Raksturīgi, ka cietusī </w:t>
      </w:r>
      <w:r w:rsidR="00881346">
        <w:rPr>
          <w:rFonts w:asciiTheme="majorBidi" w:hAnsiTheme="majorBidi" w:cstheme="majorBidi"/>
          <w:sz w:val="24"/>
          <w:szCs w:val="24"/>
        </w:rPr>
        <w:t>[pers. B]</w:t>
      </w:r>
      <w:r w:rsidRPr="00952D08">
        <w:rPr>
          <w:rFonts w:asciiTheme="majorBidi" w:hAnsiTheme="majorBidi" w:cstheme="majorBidi"/>
          <w:sz w:val="24"/>
          <w:szCs w:val="24"/>
        </w:rPr>
        <w:t xml:space="preserve">, tiesājamās personas tēva māsa, pirmās instances tiesā arī praktiski atzinusi </w:t>
      </w:r>
      <w:r w:rsidR="00881346">
        <w:rPr>
          <w:rFonts w:asciiTheme="majorBidi" w:hAnsiTheme="majorBidi" w:cstheme="majorBidi"/>
          <w:sz w:val="24"/>
          <w:szCs w:val="24"/>
        </w:rPr>
        <w:t>[pers. A]</w:t>
      </w:r>
      <w:r w:rsidRPr="00952D08">
        <w:rPr>
          <w:rFonts w:asciiTheme="majorBidi" w:hAnsiTheme="majorBidi" w:cstheme="majorBidi"/>
          <w:sz w:val="24"/>
          <w:szCs w:val="24"/>
        </w:rPr>
        <w:t xml:space="preserve"> tiesības uz mantojumu un liecinājusi: «...es teicu </w:t>
      </w:r>
      <w:r w:rsidR="00881346">
        <w:rPr>
          <w:rFonts w:asciiTheme="majorBidi" w:hAnsiTheme="majorBidi" w:cstheme="majorBidi"/>
          <w:sz w:val="24"/>
          <w:szCs w:val="24"/>
        </w:rPr>
        <w:t>[Vārds]</w:t>
      </w:r>
      <w:r w:rsidRPr="00952D08">
        <w:rPr>
          <w:rFonts w:asciiTheme="majorBidi" w:hAnsiTheme="majorBidi" w:cstheme="majorBidi"/>
          <w:sz w:val="24"/>
          <w:szCs w:val="24"/>
        </w:rPr>
        <w:t>, ja viņš normāli uzvedī</w:t>
      </w:r>
      <w:r w:rsidRPr="00952D08">
        <w:rPr>
          <w:rFonts w:asciiTheme="majorBidi" w:hAnsiTheme="majorBidi" w:cstheme="majorBidi"/>
          <w:sz w:val="24"/>
          <w:szCs w:val="24"/>
        </w:rPr>
        <w:softHyphen/>
        <w:t>sies, viņš dabūs savu daļu». Bez tam tiesājamais savā kasācijas sūdzī</w:t>
      </w:r>
      <w:r w:rsidRPr="00952D08">
        <w:rPr>
          <w:rFonts w:asciiTheme="majorBidi" w:hAnsiTheme="majorBidi" w:cstheme="majorBidi"/>
          <w:sz w:val="24"/>
          <w:szCs w:val="24"/>
        </w:rPr>
        <w:softHyphen/>
        <w:t xml:space="preserve">bā norādījis, ka 2002. gada 28. decembrī Ventspils tiesā tiks iztiesāta lieta par mantojumu sakarā ar viņa vecāsmātes </w:t>
      </w:r>
      <w:r w:rsidR="00881346">
        <w:rPr>
          <w:rFonts w:asciiTheme="majorBidi" w:hAnsiTheme="majorBidi" w:cstheme="majorBidi"/>
          <w:sz w:val="24"/>
          <w:szCs w:val="24"/>
        </w:rPr>
        <w:t>[pers. D]</w:t>
      </w:r>
      <w:r w:rsidRPr="00952D08">
        <w:rPr>
          <w:rFonts w:asciiTheme="majorBidi" w:hAnsiTheme="majorBidi" w:cstheme="majorBidi"/>
          <w:sz w:val="24"/>
          <w:szCs w:val="24"/>
        </w:rPr>
        <w:t xml:space="preserve"> nāvi. Pēc viņa ieskata, vienīgie mantinieki esot viņš un </w:t>
      </w:r>
      <w:r w:rsidR="00881346">
        <w:rPr>
          <w:rFonts w:asciiTheme="majorBidi" w:hAnsiTheme="majorBidi" w:cstheme="majorBidi"/>
          <w:sz w:val="24"/>
          <w:szCs w:val="24"/>
        </w:rPr>
        <w:t>[pers. B]</w:t>
      </w:r>
      <w:r w:rsidRPr="00952D08">
        <w:rPr>
          <w:rFonts w:asciiTheme="majorBidi" w:hAnsiTheme="majorBidi" w:cstheme="majorBidi"/>
          <w:sz w:val="24"/>
          <w:szCs w:val="24"/>
        </w:rPr>
        <w:t>, tādēļ neuzskata, ka izdarījis zādzību, t.i., nav paņēmis svešu kustamu mantu.</w:t>
      </w:r>
    </w:p>
    <w:p w14:paraId="1BEBD185" w14:textId="599864CA"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Turklāt neatraidāmo mantinieku tiesības regulētas Civillikuma 423. pantā. Tāpat no lietas materiāliem nepārprotami izriet, ka, nomirstot gan tēvam </w:t>
      </w:r>
      <w:r w:rsidR="00881346">
        <w:rPr>
          <w:rFonts w:asciiTheme="majorBidi" w:hAnsiTheme="majorBidi" w:cstheme="majorBidi"/>
          <w:sz w:val="24"/>
          <w:szCs w:val="24"/>
        </w:rPr>
        <w:t>[pers. E]</w:t>
      </w:r>
      <w:r w:rsidRPr="00952D08">
        <w:rPr>
          <w:rFonts w:asciiTheme="majorBidi" w:hAnsiTheme="majorBidi" w:cstheme="majorBidi"/>
          <w:sz w:val="24"/>
          <w:szCs w:val="24"/>
        </w:rPr>
        <w:t xml:space="preserve">, gan vectēvam </w:t>
      </w:r>
      <w:r w:rsidR="00881346">
        <w:rPr>
          <w:rFonts w:asciiTheme="majorBidi" w:hAnsiTheme="majorBidi" w:cstheme="majorBidi"/>
          <w:sz w:val="24"/>
          <w:szCs w:val="24"/>
        </w:rPr>
        <w:t>[pers. C]</w:t>
      </w:r>
      <w:r w:rsidRPr="00952D08">
        <w:rPr>
          <w:rFonts w:asciiTheme="majorBidi" w:hAnsiTheme="majorBidi" w:cstheme="majorBidi"/>
          <w:sz w:val="24"/>
          <w:szCs w:val="24"/>
        </w:rPr>
        <w:t xml:space="preserve">, tiesājamais </w:t>
      </w:r>
      <w:r w:rsidR="00881346">
        <w:rPr>
          <w:rFonts w:asciiTheme="majorBidi" w:hAnsiTheme="majorBidi" w:cstheme="majorBidi"/>
          <w:sz w:val="24"/>
          <w:szCs w:val="24"/>
        </w:rPr>
        <w:t>[pers. A]</w:t>
      </w:r>
      <w:r w:rsidRPr="00952D08">
        <w:rPr>
          <w:rFonts w:asciiTheme="majorBidi" w:hAnsiTheme="majorBidi" w:cstheme="majorBidi"/>
          <w:sz w:val="24"/>
          <w:szCs w:val="24"/>
        </w:rPr>
        <w:t xml:space="preserve"> bija nepilngadīgs un, iespējams, tādēļ ne</w:t>
      </w:r>
      <w:r w:rsidRPr="00952D08">
        <w:rPr>
          <w:rFonts w:asciiTheme="majorBidi" w:hAnsiTheme="majorBidi" w:cstheme="majorBidi"/>
          <w:sz w:val="24"/>
          <w:szCs w:val="24"/>
        </w:rPr>
        <w:softHyphen/>
        <w:t>bija iesniedzis pieteikumu par mantojuma tiesību atzīšanu.</w:t>
      </w:r>
    </w:p>
    <w:p w14:paraId="40D1AD5D" w14:textId="674F39E4"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Inkriminējot </w:t>
      </w:r>
      <w:r w:rsidR="00881346">
        <w:rPr>
          <w:rFonts w:asciiTheme="majorBidi" w:hAnsiTheme="majorBidi" w:cstheme="majorBidi"/>
          <w:sz w:val="24"/>
          <w:szCs w:val="24"/>
        </w:rPr>
        <w:t>[pers. A]</w:t>
      </w:r>
      <w:r w:rsidRPr="00952D08">
        <w:rPr>
          <w:rFonts w:asciiTheme="majorBidi" w:hAnsiTheme="majorBidi" w:cstheme="majorBidi"/>
          <w:sz w:val="24"/>
          <w:szCs w:val="24"/>
        </w:rPr>
        <w:t xml:space="preserve"> svešas mantas slepenu nolaupīšanu, ap</w:t>
      </w:r>
      <w:r w:rsidRPr="00952D08">
        <w:rPr>
          <w:rFonts w:asciiTheme="majorBidi" w:hAnsiTheme="majorBidi" w:cstheme="majorBidi"/>
          <w:sz w:val="24"/>
          <w:szCs w:val="24"/>
        </w:rPr>
        <w:softHyphen/>
        <w:t>sūdzība nav analizējusi un novērtējusi tiesājamā liecības par to, ka viņš nav uzskatījis, ka paņem svešu mantu.</w:t>
      </w:r>
    </w:p>
    <w:p w14:paraId="46F49EA7" w14:textId="77777777"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Likuma izpratnē manta, ko nozog, ir sveša manta, un par tādu uzska</w:t>
      </w:r>
      <w:r w:rsidRPr="00952D08">
        <w:rPr>
          <w:rFonts w:asciiTheme="majorBidi" w:hAnsiTheme="majorBidi" w:cstheme="majorBidi"/>
          <w:sz w:val="24"/>
          <w:szCs w:val="24"/>
        </w:rPr>
        <w:softHyphen/>
        <w:t>tāma tikai manta, uz kuru mantas paņēmējam nav nekādu tiesību. Tāpat par zādzību nevar uzskatīt gadījumu, kad neatļauti tiek paņemta manta, kas pieder pašam paņēmējam, kaut arī paņemšanas brīdī viņš to nav zinājis.</w:t>
      </w:r>
    </w:p>
    <w:p w14:paraId="31774CA7" w14:textId="2B0FD34F"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lastRenderedPageBreak/>
        <w:t xml:space="preserve">Bez tam to, ka tiesājamam pienākas mantojuma daļa, apstiprinājusi cietusī </w:t>
      </w:r>
      <w:r w:rsidR="00881346">
        <w:rPr>
          <w:rFonts w:asciiTheme="majorBidi" w:hAnsiTheme="majorBidi" w:cstheme="majorBidi"/>
          <w:sz w:val="24"/>
          <w:szCs w:val="24"/>
        </w:rPr>
        <w:t>[pers. B]</w:t>
      </w:r>
      <w:r w:rsidRPr="00952D08">
        <w:rPr>
          <w:rFonts w:asciiTheme="majorBidi" w:hAnsiTheme="majorBidi" w:cstheme="majorBidi"/>
          <w:sz w:val="24"/>
          <w:szCs w:val="24"/>
        </w:rPr>
        <w:t>.</w:t>
      </w:r>
    </w:p>
    <w:p w14:paraId="48C4704B" w14:textId="63588E14"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Ņemot vērā, ka ne pirmstiesas izmeklēšanā, ne abu iepriekšējo tiesu instanču nolēmumos nav analizēta un novērtēta tiesājamā versija saka</w:t>
      </w:r>
      <w:r w:rsidRPr="00952D08">
        <w:rPr>
          <w:rFonts w:asciiTheme="majorBidi" w:hAnsiTheme="majorBidi" w:cstheme="majorBidi"/>
          <w:sz w:val="24"/>
          <w:szCs w:val="24"/>
        </w:rPr>
        <w:softHyphen/>
        <w:t xml:space="preserve">rā ar inkriminēto, nav iespējams spriest par apsūdzības pamatotību vai nepamatotību. Ja apsūdzība uzskata, ka </w:t>
      </w:r>
      <w:r w:rsidR="00881346">
        <w:rPr>
          <w:rFonts w:asciiTheme="majorBidi" w:hAnsiTheme="majorBidi" w:cstheme="majorBidi"/>
          <w:sz w:val="24"/>
          <w:szCs w:val="24"/>
        </w:rPr>
        <w:t>[pers. A]</w:t>
      </w:r>
      <w:r w:rsidRPr="00952D08">
        <w:rPr>
          <w:rFonts w:asciiTheme="majorBidi" w:hAnsiTheme="majorBidi" w:cstheme="majorBidi"/>
          <w:sz w:val="24"/>
          <w:szCs w:val="24"/>
        </w:rPr>
        <w:t xml:space="preserve"> saucams pie kri</w:t>
      </w:r>
      <w:r w:rsidRPr="00952D08">
        <w:rPr>
          <w:rFonts w:asciiTheme="majorBidi" w:hAnsiTheme="majorBidi" w:cstheme="majorBidi"/>
          <w:sz w:val="24"/>
          <w:szCs w:val="24"/>
        </w:rPr>
        <w:softHyphen/>
        <w:t>minālatbildības par zādzību, jāanalizē un jānorāda pierādījumi, kas ap</w:t>
      </w:r>
      <w:r w:rsidRPr="00952D08">
        <w:rPr>
          <w:rFonts w:asciiTheme="majorBidi" w:hAnsiTheme="majorBidi" w:cstheme="majorBidi"/>
          <w:sz w:val="24"/>
          <w:szCs w:val="24"/>
        </w:rPr>
        <w:softHyphen/>
        <w:t>stiprina nozieguma sastāva subjektīvās pazīmes, pie kurām nepārprota</w:t>
      </w:r>
      <w:r w:rsidRPr="00952D08">
        <w:rPr>
          <w:rFonts w:asciiTheme="majorBidi" w:hAnsiTheme="majorBidi" w:cstheme="majorBidi"/>
          <w:sz w:val="24"/>
          <w:szCs w:val="24"/>
        </w:rPr>
        <w:softHyphen/>
        <w:t>mi ietilpst ne tikai noziedzīgā nodarījuma subjekts, bet ari subjektīvā puse. Tādējādi, ņemot vērā, ka, izmeklējot lietas apstākļus, pirmstiesas izmeklēšanā pārkāpti Latvijas KPK 19. panta nosacījumi, atceļami abu tiesu instanču nolēmumi un lieta nosūtāma pirmstiesas papildizmeklē</w:t>
      </w:r>
      <w:r w:rsidR="00881346">
        <w:rPr>
          <w:rFonts w:asciiTheme="majorBidi" w:hAnsiTheme="majorBidi" w:cstheme="majorBidi"/>
          <w:sz w:val="24"/>
          <w:szCs w:val="24"/>
        </w:rPr>
        <w:t>š</w:t>
      </w:r>
      <w:r w:rsidRPr="00952D08">
        <w:rPr>
          <w:rFonts w:asciiTheme="majorBidi" w:hAnsiTheme="majorBidi" w:cstheme="majorBidi"/>
          <w:sz w:val="24"/>
          <w:szCs w:val="24"/>
        </w:rPr>
        <w:t>anai.</w:t>
      </w:r>
    </w:p>
    <w:p w14:paraId="74011AB9" w14:textId="77777777" w:rsidR="00881346" w:rsidRDefault="00E1213E" w:rsidP="00881346">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Drošības līdzeklis - apcietinājums </w:t>
      </w:r>
      <w:r w:rsidR="00881346">
        <w:rPr>
          <w:rFonts w:asciiTheme="majorBidi" w:hAnsiTheme="majorBidi" w:cstheme="majorBidi"/>
          <w:sz w:val="24"/>
          <w:szCs w:val="24"/>
        </w:rPr>
        <w:t>–</w:t>
      </w:r>
      <w:r w:rsidRPr="00952D08">
        <w:rPr>
          <w:rFonts w:asciiTheme="majorBidi" w:hAnsiTheme="majorBidi" w:cstheme="majorBidi"/>
          <w:sz w:val="24"/>
          <w:szCs w:val="24"/>
        </w:rPr>
        <w:t xml:space="preserve"> </w:t>
      </w:r>
      <w:r w:rsidR="00881346">
        <w:rPr>
          <w:rFonts w:asciiTheme="majorBidi" w:hAnsiTheme="majorBidi" w:cstheme="majorBidi"/>
          <w:sz w:val="24"/>
          <w:szCs w:val="24"/>
        </w:rPr>
        <w:t>[pers. A]</w:t>
      </w:r>
      <w:r w:rsidRPr="00952D08">
        <w:rPr>
          <w:rFonts w:asciiTheme="majorBidi" w:hAnsiTheme="majorBidi" w:cstheme="majorBidi"/>
          <w:sz w:val="24"/>
          <w:szCs w:val="24"/>
        </w:rPr>
        <w:t xml:space="preserve"> atceļams, un viņš no apcietinājuma atbrīvojams.</w:t>
      </w:r>
      <w:bookmarkStart w:id="0" w:name="bookmark0"/>
      <w:r w:rsidR="00881346">
        <w:rPr>
          <w:rFonts w:asciiTheme="majorBidi" w:hAnsiTheme="majorBidi" w:cstheme="majorBidi"/>
          <w:sz w:val="24"/>
          <w:szCs w:val="24"/>
        </w:rPr>
        <w:t xml:space="preserve"> </w:t>
      </w:r>
      <w:bookmarkEnd w:id="0"/>
    </w:p>
    <w:p w14:paraId="60D82916" w14:textId="0921E2A9" w:rsidR="0078201F" w:rsidRDefault="00E1213E" w:rsidP="00881346">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Pamatojoties uz iepriekšminēto un vadoties no Latvijas kriminālpro</w:t>
      </w:r>
      <w:r w:rsidRPr="00952D08">
        <w:rPr>
          <w:rFonts w:asciiTheme="majorBidi" w:hAnsiTheme="majorBidi" w:cstheme="majorBidi"/>
          <w:sz w:val="24"/>
          <w:szCs w:val="24"/>
        </w:rPr>
        <w:softHyphen/>
        <w:t>cesa kodeksa 457. un 459. panta, Latvijas Republikas Augstākās tiesas Senāta Krimināllietu departaments</w:t>
      </w:r>
    </w:p>
    <w:p w14:paraId="7D1AFC25" w14:textId="77777777" w:rsidR="00952D08" w:rsidRPr="00952D08" w:rsidRDefault="00952D08" w:rsidP="00952D08">
      <w:pPr>
        <w:pStyle w:val="Bodytext20"/>
        <w:shd w:val="clear" w:color="auto" w:fill="auto"/>
        <w:spacing w:after="0" w:line="276" w:lineRule="auto"/>
        <w:ind w:right="307" w:firstLine="720"/>
        <w:rPr>
          <w:rFonts w:asciiTheme="majorBidi" w:hAnsiTheme="majorBidi" w:cstheme="majorBidi"/>
          <w:sz w:val="24"/>
          <w:szCs w:val="24"/>
        </w:rPr>
      </w:pPr>
    </w:p>
    <w:p w14:paraId="5FAD21AF" w14:textId="2F00AB6B" w:rsidR="0078201F" w:rsidRDefault="00952D08" w:rsidP="00952D08">
      <w:pPr>
        <w:pStyle w:val="Bodytext60"/>
        <w:shd w:val="clear" w:color="auto" w:fill="auto"/>
        <w:spacing w:before="0" w:after="0" w:line="276" w:lineRule="auto"/>
        <w:ind w:right="307"/>
        <w:rPr>
          <w:rFonts w:asciiTheme="majorBidi" w:hAnsiTheme="majorBidi" w:cstheme="majorBidi"/>
          <w:sz w:val="24"/>
          <w:szCs w:val="24"/>
        </w:rPr>
      </w:pPr>
      <w:r>
        <w:rPr>
          <w:rFonts w:asciiTheme="majorBidi" w:hAnsiTheme="majorBidi" w:cstheme="majorBidi"/>
          <w:sz w:val="24"/>
          <w:szCs w:val="24"/>
        </w:rPr>
        <w:t>n</w:t>
      </w:r>
      <w:r w:rsidR="00E1213E" w:rsidRPr="00952D08">
        <w:rPr>
          <w:rFonts w:asciiTheme="majorBidi" w:hAnsiTheme="majorBidi" w:cstheme="majorBidi"/>
          <w:sz w:val="24"/>
          <w:szCs w:val="24"/>
        </w:rPr>
        <w:t>olēma</w:t>
      </w:r>
    </w:p>
    <w:p w14:paraId="58FFA672" w14:textId="77777777" w:rsidR="00952D08" w:rsidRPr="00952D08" w:rsidRDefault="00952D08" w:rsidP="00952D08">
      <w:pPr>
        <w:pStyle w:val="Bodytext60"/>
        <w:shd w:val="clear" w:color="auto" w:fill="auto"/>
        <w:spacing w:before="0" w:after="0" w:line="276" w:lineRule="auto"/>
        <w:ind w:right="307"/>
        <w:jc w:val="both"/>
        <w:rPr>
          <w:rFonts w:asciiTheme="majorBidi" w:hAnsiTheme="majorBidi" w:cstheme="majorBidi"/>
          <w:sz w:val="24"/>
          <w:szCs w:val="24"/>
        </w:rPr>
      </w:pPr>
    </w:p>
    <w:p w14:paraId="0FF2179C" w14:textId="2AA933C8"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Atcelt Ventspils tiesas 2002. gada 20. augusta spriedumu un Kurze</w:t>
      </w:r>
      <w:r w:rsidRPr="00952D08">
        <w:rPr>
          <w:rFonts w:asciiTheme="majorBidi" w:hAnsiTheme="majorBidi" w:cstheme="majorBidi"/>
          <w:sz w:val="24"/>
          <w:szCs w:val="24"/>
        </w:rPr>
        <w:softHyphen/>
        <w:t xml:space="preserve">mes apgabaltiesas Krimināllietu tiesas kolēģijas 2002. gada 18. oktobra lēmumu </w:t>
      </w:r>
      <w:r w:rsidR="00881346">
        <w:rPr>
          <w:rFonts w:asciiTheme="majorBidi" w:hAnsiTheme="majorBidi" w:cstheme="majorBidi"/>
          <w:sz w:val="24"/>
          <w:szCs w:val="24"/>
        </w:rPr>
        <w:t>[pers. A]</w:t>
      </w:r>
      <w:r w:rsidRPr="00952D08">
        <w:rPr>
          <w:rFonts w:asciiTheme="majorBidi" w:hAnsiTheme="majorBidi" w:cstheme="majorBidi"/>
          <w:sz w:val="24"/>
          <w:szCs w:val="24"/>
        </w:rPr>
        <w:t xml:space="preserve"> apsūdzības lietā pēc Krimināllikuma 175. pan</w:t>
      </w:r>
      <w:r w:rsidRPr="00952D08">
        <w:rPr>
          <w:rFonts w:asciiTheme="majorBidi" w:hAnsiTheme="majorBidi" w:cstheme="majorBidi"/>
          <w:sz w:val="24"/>
          <w:szCs w:val="24"/>
        </w:rPr>
        <w:softHyphen/>
        <w:t>ta trešās daļas un lietu nosūtīt pirmstiesas papildizmeklēšanai Ventspils pilsētas prokuratūrai.</w:t>
      </w:r>
    </w:p>
    <w:p w14:paraId="558077C3" w14:textId="5EFA970C" w:rsidR="0078201F" w:rsidRPr="00952D08" w:rsidRDefault="00E1213E"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 xml:space="preserve">Drošības līdzekli apcietinājumu </w:t>
      </w:r>
      <w:r w:rsidR="00881346">
        <w:rPr>
          <w:rFonts w:asciiTheme="majorBidi" w:hAnsiTheme="majorBidi" w:cstheme="majorBidi"/>
          <w:sz w:val="24"/>
          <w:szCs w:val="24"/>
        </w:rPr>
        <w:t>[pers. A]</w:t>
      </w:r>
      <w:r w:rsidRPr="00952D08">
        <w:rPr>
          <w:rFonts w:asciiTheme="majorBidi" w:hAnsiTheme="majorBidi" w:cstheme="majorBidi"/>
          <w:sz w:val="24"/>
          <w:szCs w:val="24"/>
        </w:rPr>
        <w:t xml:space="preserve"> atcelt un viņu no apcietinājuma atbrīvot.</w:t>
      </w:r>
    </w:p>
    <w:p w14:paraId="4DC74BFD" w14:textId="79B1211E" w:rsidR="0078201F" w:rsidRPr="00952D08" w:rsidRDefault="00AE656A" w:rsidP="00952D08">
      <w:pPr>
        <w:pStyle w:val="Bodytext20"/>
        <w:shd w:val="clear" w:color="auto" w:fill="auto"/>
        <w:spacing w:after="0" w:line="276" w:lineRule="auto"/>
        <w:ind w:right="307" w:firstLine="720"/>
        <w:rPr>
          <w:rFonts w:asciiTheme="majorBidi" w:hAnsiTheme="majorBidi" w:cstheme="majorBidi"/>
          <w:sz w:val="24"/>
          <w:szCs w:val="24"/>
        </w:rPr>
      </w:pPr>
      <w:r w:rsidRPr="00952D08">
        <w:rPr>
          <w:rFonts w:asciiTheme="majorBidi" w:hAnsiTheme="majorBidi" w:cstheme="majorBidi"/>
          <w:sz w:val="24"/>
          <w:szCs w:val="24"/>
        </w:rPr>
        <w:t>Lēmums nav pārsūdzam</w:t>
      </w:r>
      <w:r w:rsidR="00952D08">
        <w:rPr>
          <w:rFonts w:asciiTheme="majorBidi" w:hAnsiTheme="majorBidi" w:cstheme="majorBidi"/>
          <w:sz w:val="24"/>
          <w:szCs w:val="24"/>
        </w:rPr>
        <w:t>s.</w:t>
      </w:r>
    </w:p>
    <w:sectPr w:rsidR="0078201F" w:rsidRPr="00952D08" w:rsidSect="00952D08">
      <w:footerReference w:type="default" r:id="rId7"/>
      <w:pgSz w:w="11906" w:h="16838" w:code="9"/>
      <w:pgMar w:top="1134" w:right="1701" w:bottom="1134" w:left="1701" w:header="709" w:footer="7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5847B" w14:textId="77777777" w:rsidR="00D91A6B" w:rsidRDefault="00D91A6B">
      <w:r>
        <w:separator/>
      </w:r>
    </w:p>
  </w:endnote>
  <w:endnote w:type="continuationSeparator" w:id="0">
    <w:p w14:paraId="40200EA8" w14:textId="77777777" w:rsidR="00D91A6B" w:rsidRDefault="00D9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199267"/>
      <w:docPartObj>
        <w:docPartGallery w:val="Page Numbers (Bottom of Page)"/>
        <w:docPartUnique/>
      </w:docPartObj>
    </w:sdtPr>
    <w:sdtEndPr>
      <w:rPr>
        <w:rFonts w:asciiTheme="majorBidi" w:hAnsiTheme="majorBidi" w:cstheme="majorBidi"/>
      </w:rPr>
    </w:sdtEndPr>
    <w:sdtContent>
      <w:sdt>
        <w:sdtPr>
          <w:rPr>
            <w:rFonts w:asciiTheme="majorBidi" w:hAnsiTheme="majorBidi" w:cstheme="majorBidi"/>
          </w:rPr>
          <w:id w:val="1728636285"/>
          <w:docPartObj>
            <w:docPartGallery w:val="Page Numbers (Top of Page)"/>
            <w:docPartUnique/>
          </w:docPartObj>
        </w:sdtPr>
        <w:sdtEndPr/>
        <w:sdtContent>
          <w:p w14:paraId="13FB71BC" w14:textId="48BBF661" w:rsidR="00952D08" w:rsidRPr="00952D08" w:rsidRDefault="00952D08">
            <w:pPr>
              <w:pStyle w:val="Footer"/>
              <w:jc w:val="center"/>
              <w:rPr>
                <w:rFonts w:asciiTheme="majorBidi" w:hAnsiTheme="majorBidi" w:cstheme="majorBidi"/>
              </w:rPr>
            </w:pPr>
            <w:r w:rsidRPr="00952D08">
              <w:rPr>
                <w:rFonts w:asciiTheme="majorBidi" w:hAnsiTheme="majorBidi" w:cstheme="majorBidi"/>
                <w:sz w:val="20"/>
                <w:szCs w:val="20"/>
              </w:rPr>
              <w:t xml:space="preserve"> </w:t>
            </w:r>
            <w:r w:rsidRPr="00952D08">
              <w:rPr>
                <w:rFonts w:asciiTheme="majorBidi" w:hAnsiTheme="majorBidi" w:cstheme="majorBidi"/>
                <w:sz w:val="20"/>
                <w:szCs w:val="20"/>
              </w:rPr>
              <w:fldChar w:fldCharType="begin"/>
            </w:r>
            <w:r w:rsidRPr="00952D08">
              <w:rPr>
                <w:rFonts w:asciiTheme="majorBidi" w:hAnsiTheme="majorBidi" w:cstheme="majorBidi"/>
                <w:sz w:val="20"/>
                <w:szCs w:val="20"/>
              </w:rPr>
              <w:instrText>PAGE</w:instrText>
            </w:r>
            <w:r w:rsidRPr="00952D08">
              <w:rPr>
                <w:rFonts w:asciiTheme="majorBidi" w:hAnsiTheme="majorBidi" w:cstheme="majorBidi"/>
                <w:sz w:val="20"/>
                <w:szCs w:val="20"/>
              </w:rPr>
              <w:fldChar w:fldCharType="separate"/>
            </w:r>
            <w:r w:rsidRPr="00952D08">
              <w:rPr>
                <w:rFonts w:asciiTheme="majorBidi" w:hAnsiTheme="majorBidi" w:cstheme="majorBidi"/>
                <w:sz w:val="20"/>
                <w:szCs w:val="20"/>
              </w:rPr>
              <w:t>2</w:t>
            </w:r>
            <w:r w:rsidRPr="00952D08">
              <w:rPr>
                <w:rFonts w:asciiTheme="majorBidi" w:hAnsiTheme="majorBidi" w:cstheme="majorBidi"/>
                <w:sz w:val="20"/>
                <w:szCs w:val="20"/>
              </w:rPr>
              <w:fldChar w:fldCharType="end"/>
            </w:r>
            <w:r w:rsidRPr="00952D08">
              <w:rPr>
                <w:rFonts w:asciiTheme="majorBidi" w:hAnsiTheme="majorBidi" w:cstheme="majorBidi"/>
                <w:sz w:val="20"/>
                <w:szCs w:val="20"/>
              </w:rPr>
              <w:t xml:space="preserve"> no </w:t>
            </w:r>
            <w:r w:rsidRPr="00952D08">
              <w:rPr>
                <w:rFonts w:asciiTheme="majorBidi" w:hAnsiTheme="majorBidi" w:cstheme="majorBidi"/>
                <w:sz w:val="20"/>
                <w:szCs w:val="20"/>
              </w:rPr>
              <w:fldChar w:fldCharType="begin"/>
            </w:r>
            <w:r w:rsidRPr="00952D08">
              <w:rPr>
                <w:rFonts w:asciiTheme="majorBidi" w:hAnsiTheme="majorBidi" w:cstheme="majorBidi"/>
                <w:sz w:val="20"/>
                <w:szCs w:val="20"/>
              </w:rPr>
              <w:instrText>NUMPAGES</w:instrText>
            </w:r>
            <w:r w:rsidRPr="00952D08">
              <w:rPr>
                <w:rFonts w:asciiTheme="majorBidi" w:hAnsiTheme="majorBidi" w:cstheme="majorBidi"/>
                <w:sz w:val="20"/>
                <w:szCs w:val="20"/>
              </w:rPr>
              <w:fldChar w:fldCharType="separate"/>
            </w:r>
            <w:r w:rsidRPr="00952D08">
              <w:rPr>
                <w:rFonts w:asciiTheme="majorBidi" w:hAnsiTheme="majorBidi" w:cstheme="majorBidi"/>
                <w:sz w:val="20"/>
                <w:szCs w:val="20"/>
              </w:rPr>
              <w:t>2</w:t>
            </w:r>
            <w:r w:rsidRPr="00952D08">
              <w:rPr>
                <w:rFonts w:asciiTheme="majorBidi" w:hAnsiTheme="majorBidi" w:cstheme="majorBidi"/>
                <w:sz w:val="20"/>
                <w:szCs w:val="20"/>
              </w:rPr>
              <w:fldChar w:fldCharType="end"/>
            </w:r>
          </w:p>
        </w:sdtContent>
      </w:sdt>
    </w:sdtContent>
  </w:sdt>
  <w:p w14:paraId="538FB309" w14:textId="77777777" w:rsidR="00952D08" w:rsidRDefault="00952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F6893" w14:textId="77777777" w:rsidR="00D91A6B" w:rsidRDefault="00D91A6B"/>
  </w:footnote>
  <w:footnote w:type="continuationSeparator" w:id="0">
    <w:p w14:paraId="66C0177E" w14:textId="77777777" w:rsidR="00D91A6B" w:rsidRDefault="00D91A6B"/>
  </w:footnote>
  <w:footnote w:id="1">
    <w:p w14:paraId="34F747E0" w14:textId="098A851C" w:rsidR="00952D08" w:rsidRPr="00C472BB" w:rsidRDefault="00952D08" w:rsidP="00952D08">
      <w:pPr>
        <w:pStyle w:val="FootnoteText"/>
        <w:jc w:val="both"/>
        <w:rPr>
          <w:rFonts w:asciiTheme="majorBidi" w:hAnsiTheme="majorBidi" w:cstheme="majorBidi"/>
          <w:highlight w:val="yellow"/>
        </w:rPr>
      </w:pPr>
      <w:r w:rsidRPr="00C472BB">
        <w:rPr>
          <w:rStyle w:val="FootnoteReference"/>
          <w:rFonts w:asciiTheme="majorBidi" w:hAnsiTheme="majorBidi" w:cstheme="majorBidi"/>
        </w:rPr>
        <w:footnoteRef/>
      </w:r>
      <w:proofErr w:type="spellStart"/>
      <w:r w:rsidRPr="00C472BB">
        <w:rPr>
          <w:rFonts w:asciiTheme="majorBidi" w:hAnsiTheme="majorBidi" w:cstheme="majorBidi"/>
          <w:lang w:val="en-US"/>
        </w:rPr>
        <w:t>Judikatūras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nolēmumu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arhīva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papildināšanai</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izmantota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lēmuma</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publikācija</w:t>
      </w:r>
      <w:proofErr w:type="spellEnd"/>
      <w:r w:rsidRPr="00C472BB">
        <w:rPr>
          <w:rFonts w:asciiTheme="majorBidi" w:hAnsiTheme="majorBidi" w:cstheme="majorBidi"/>
          <w:lang w:val="en-US"/>
        </w:rPr>
        <w:t xml:space="preserve"> Senāta </w:t>
      </w:r>
      <w:proofErr w:type="spellStart"/>
      <w:r w:rsidRPr="00C472BB">
        <w:rPr>
          <w:rFonts w:asciiTheme="majorBidi" w:hAnsiTheme="majorBidi" w:cstheme="majorBidi"/>
          <w:lang w:val="en-US"/>
        </w:rPr>
        <w:t>nolēmumu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gadagrāmatā</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Latvijas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Republikas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Augstākās</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tiesas</w:t>
      </w:r>
      <w:proofErr w:type="spellEnd"/>
      <w:r w:rsidRPr="00C472BB">
        <w:rPr>
          <w:rFonts w:asciiTheme="majorBidi" w:hAnsiTheme="majorBidi" w:cstheme="majorBidi"/>
          <w:lang w:val="en-US"/>
        </w:rPr>
        <w:t xml:space="preserve"> Senāta </w:t>
      </w:r>
      <w:proofErr w:type="spellStart"/>
      <w:r w:rsidRPr="00C472BB">
        <w:rPr>
          <w:rFonts w:asciiTheme="majorBidi" w:hAnsiTheme="majorBidi" w:cstheme="majorBidi"/>
          <w:lang w:val="en-US"/>
        </w:rPr>
        <w:t>Krimināllietu</w:t>
      </w:r>
      <w:proofErr w:type="spellEnd"/>
      <w:r w:rsidRPr="00C472BB">
        <w:rPr>
          <w:rFonts w:asciiTheme="majorBidi" w:hAnsiTheme="majorBidi" w:cstheme="majorBidi"/>
          <w:lang w:val="en-US"/>
        </w:rPr>
        <w:t xml:space="preserve"> </w:t>
      </w:r>
      <w:proofErr w:type="spellStart"/>
      <w:r w:rsidRPr="00C472BB">
        <w:rPr>
          <w:rFonts w:asciiTheme="majorBidi" w:hAnsiTheme="majorBidi" w:cstheme="majorBidi"/>
          <w:lang w:val="en-US"/>
        </w:rPr>
        <w:t>departamenta</w:t>
      </w:r>
      <w:proofErr w:type="spellEnd"/>
      <w:r w:rsidRPr="00C472BB">
        <w:rPr>
          <w:rFonts w:asciiTheme="majorBidi" w:hAnsiTheme="majorBidi" w:cstheme="majorBidi"/>
          <w:lang w:val="en-US"/>
        </w:rPr>
        <w:t xml:space="preserve"> lēmumi 200</w:t>
      </w:r>
      <w:r>
        <w:rPr>
          <w:rFonts w:asciiTheme="majorBidi" w:hAnsiTheme="majorBidi" w:cstheme="majorBidi"/>
          <w:lang w:val="en-US"/>
        </w:rPr>
        <w:t>2</w:t>
      </w:r>
      <w:r w:rsidRPr="00C472BB">
        <w:rPr>
          <w:rFonts w:asciiTheme="majorBidi" w:hAnsiTheme="majorBidi" w:cstheme="majorBidi"/>
          <w:lang w:val="en-US"/>
        </w:rPr>
        <w:t xml:space="preserve">”, </w:t>
      </w:r>
      <w:r>
        <w:rPr>
          <w:rFonts w:asciiTheme="majorBidi" w:hAnsiTheme="majorBidi" w:cstheme="majorBidi"/>
          <w:lang w:val="en-US"/>
        </w:rPr>
        <w:t>297</w:t>
      </w:r>
      <w:r w:rsidRPr="00C472BB">
        <w:rPr>
          <w:rFonts w:asciiTheme="majorBidi" w:hAnsiTheme="majorBidi" w:cstheme="majorBidi"/>
          <w:lang w:val="en-US"/>
        </w:rPr>
        <w:t>.-</w:t>
      </w:r>
      <w:r>
        <w:rPr>
          <w:rFonts w:asciiTheme="majorBidi" w:hAnsiTheme="majorBidi" w:cstheme="majorBidi"/>
          <w:lang w:val="en-US"/>
        </w:rPr>
        <w:t>300</w:t>
      </w:r>
      <w:r w:rsidRPr="00C472BB">
        <w:rPr>
          <w:rFonts w:asciiTheme="majorBidi" w:hAnsiTheme="majorBidi" w:cstheme="majorBidi"/>
          <w:lang w:val="en-US"/>
        </w:rPr>
        <w:t>.lpp.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1BA"/>
    <w:multiLevelType w:val="multilevel"/>
    <w:tmpl w:val="6AE2F2DC"/>
    <w:lvl w:ilvl="0">
      <w:start w:val="1998"/>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410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01F"/>
    <w:rsid w:val="000C2FF3"/>
    <w:rsid w:val="001F75B0"/>
    <w:rsid w:val="00275072"/>
    <w:rsid w:val="003F1F81"/>
    <w:rsid w:val="0056451C"/>
    <w:rsid w:val="00684A18"/>
    <w:rsid w:val="00732796"/>
    <w:rsid w:val="0078201F"/>
    <w:rsid w:val="007C14D3"/>
    <w:rsid w:val="00881346"/>
    <w:rsid w:val="00952D08"/>
    <w:rsid w:val="00AE656A"/>
    <w:rsid w:val="00B95066"/>
    <w:rsid w:val="00D91A6B"/>
    <w:rsid w:val="00E1213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9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2"/>
      <w:szCs w:val="22"/>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22"/>
      <w:szCs w:val="22"/>
      <w:u w:val="none"/>
      <w:lang w:val="lv-LV" w:eastAsia="lv-LV" w:bidi="lv-LV"/>
    </w:rPr>
  </w:style>
  <w:style w:type="character" w:customStyle="1" w:styleId="Bodytext3">
    <w:name w:val="Body text (3)_"/>
    <w:basedOn w:val="DefaultParagraphFont"/>
    <w:link w:val="Bodytext30"/>
    <w:rPr>
      <w:rFonts w:ascii="Arial" w:eastAsia="Arial" w:hAnsi="Arial" w:cs="Arial"/>
      <w:b w:val="0"/>
      <w:bCs w:val="0"/>
      <w:i w:val="0"/>
      <w:iCs w:val="0"/>
      <w:smallCaps w:val="0"/>
      <w:strike w:val="0"/>
      <w:spacing w:val="40"/>
      <w:sz w:val="20"/>
      <w:szCs w:val="20"/>
      <w:u w:val="none"/>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19"/>
      <w:szCs w:val="19"/>
      <w:u w:val="single"/>
      <w:lang w:val="lv-LV" w:eastAsia="lv-LV" w:bidi="lv-LV"/>
    </w:rPr>
  </w:style>
  <w:style w:type="character" w:customStyle="1" w:styleId="Bodytext4">
    <w:name w:val="Body text (4)_"/>
    <w:basedOn w:val="DefaultParagraphFont"/>
    <w:link w:val="Bodytext40"/>
    <w:rPr>
      <w:rFonts w:ascii="Arial" w:eastAsia="Arial" w:hAnsi="Arial" w:cs="Arial"/>
      <w:b w:val="0"/>
      <w:bCs w:val="0"/>
      <w:i/>
      <w:iCs/>
      <w:smallCaps w:val="0"/>
      <w:strike w:val="0"/>
      <w:sz w:val="19"/>
      <w:szCs w:val="19"/>
      <w:u w:val="none"/>
    </w:rPr>
  </w:style>
  <w:style w:type="character" w:customStyle="1" w:styleId="Headerorfooter12pt">
    <w:name w:val="Header or footer + 12 pt"/>
    <w:basedOn w:val="Headerorfooter"/>
    <w:rPr>
      <w:rFonts w:ascii="Arial" w:eastAsia="Arial" w:hAnsi="Arial" w:cs="Arial"/>
      <w:b w:val="0"/>
      <w:bCs w:val="0"/>
      <w:i w:val="0"/>
      <w:iCs w:val="0"/>
      <w:smallCaps w:val="0"/>
      <w:strike w:val="0"/>
      <w:color w:val="000000"/>
      <w:spacing w:val="0"/>
      <w:w w:val="100"/>
      <w:position w:val="0"/>
      <w:sz w:val="24"/>
      <w:szCs w:val="24"/>
      <w:u w:val="none"/>
      <w:lang w:val="lv-LV" w:eastAsia="lv-LV" w:bidi="lv-LV"/>
    </w:rPr>
  </w:style>
  <w:style w:type="character" w:customStyle="1" w:styleId="Bodytext5">
    <w:name w:val="Body text (5)_"/>
    <w:basedOn w:val="DefaultParagraphFont"/>
    <w:link w:val="Bodytext50"/>
    <w:rPr>
      <w:rFonts w:ascii="Arial" w:eastAsia="Arial" w:hAnsi="Arial" w:cs="Arial"/>
      <w:b/>
      <w:bCs/>
      <w:i w:val="0"/>
      <w:iCs w:val="0"/>
      <w:smallCaps w:val="0"/>
      <w:strike w:val="0"/>
      <w:sz w:val="26"/>
      <w:szCs w:val="26"/>
      <w:u w:val="none"/>
    </w:rPr>
  </w:style>
  <w:style w:type="character" w:customStyle="1" w:styleId="Bodytext213ptBold">
    <w:name w:val="Body text (2) + 13 pt;Bold"/>
    <w:basedOn w:val="Bodytext2"/>
    <w:rPr>
      <w:rFonts w:ascii="Arial" w:eastAsia="Arial" w:hAnsi="Arial" w:cs="Arial"/>
      <w:b/>
      <w:bCs/>
      <w:i w:val="0"/>
      <w:iCs w:val="0"/>
      <w:smallCaps w:val="0"/>
      <w:strike w:val="0"/>
      <w:color w:val="000000"/>
      <w:spacing w:val="0"/>
      <w:w w:val="100"/>
      <w:position w:val="0"/>
      <w:sz w:val="26"/>
      <w:szCs w:val="26"/>
      <w:u w:val="single"/>
      <w:lang w:val="lv-LV" w:eastAsia="lv-LV" w:bidi="lv-LV"/>
    </w:rPr>
  </w:style>
  <w:style w:type="character" w:customStyle="1" w:styleId="Bodytext213ptBold0">
    <w:name w:val="Body text (2) + 13 pt;Bold"/>
    <w:basedOn w:val="Bodytext2"/>
    <w:rPr>
      <w:rFonts w:ascii="Arial" w:eastAsia="Arial" w:hAnsi="Arial" w:cs="Arial"/>
      <w:b/>
      <w:bCs/>
      <w:i w:val="0"/>
      <w:iCs w:val="0"/>
      <w:smallCaps w:val="0"/>
      <w:strike w:val="0"/>
      <w:color w:val="000000"/>
      <w:spacing w:val="0"/>
      <w:w w:val="100"/>
      <w:position w:val="0"/>
      <w:sz w:val="26"/>
      <w:szCs w:val="26"/>
      <w:u w:val="none"/>
      <w:lang w:val="lv-LV" w:eastAsia="lv-LV" w:bidi="lv-LV"/>
    </w:rPr>
  </w:style>
  <w:style w:type="character" w:customStyle="1" w:styleId="Bodytext2Spacing2pt">
    <w:name w:val="Body text (2) + Spacing 2 pt"/>
    <w:basedOn w:val="Bodytext2"/>
    <w:rPr>
      <w:rFonts w:ascii="Arial" w:eastAsia="Arial" w:hAnsi="Arial" w:cs="Arial"/>
      <w:b w:val="0"/>
      <w:bCs w:val="0"/>
      <w:i w:val="0"/>
      <w:iCs w:val="0"/>
      <w:smallCaps w:val="0"/>
      <w:strike w:val="0"/>
      <w:color w:val="000000"/>
      <w:spacing w:val="40"/>
      <w:w w:val="100"/>
      <w:position w:val="0"/>
      <w:sz w:val="19"/>
      <w:szCs w:val="19"/>
      <w:u w:val="none"/>
      <w:lang w:val="lv-LV" w:eastAsia="lv-LV" w:bidi="lv-LV"/>
    </w:rPr>
  </w:style>
  <w:style w:type="character" w:customStyle="1" w:styleId="Heading1">
    <w:name w:val="Heading #1_"/>
    <w:basedOn w:val="DefaultParagraphFont"/>
    <w:link w:val="Heading10"/>
    <w:rPr>
      <w:rFonts w:ascii="Arial" w:eastAsia="Arial" w:hAnsi="Arial" w:cs="Arial"/>
      <w:b w:val="0"/>
      <w:bCs w:val="0"/>
      <w:i w:val="0"/>
      <w:iCs w:val="0"/>
      <w:smallCaps w:val="0"/>
      <w:strike w:val="0"/>
      <w:sz w:val="24"/>
      <w:szCs w:val="24"/>
      <w:u w:val="none"/>
    </w:rPr>
  </w:style>
  <w:style w:type="character" w:customStyle="1" w:styleId="Bodytext6">
    <w:name w:val="Body text (6)_"/>
    <w:basedOn w:val="DefaultParagraphFont"/>
    <w:link w:val="Bodytext60"/>
    <w:rPr>
      <w:rFonts w:ascii="Arial" w:eastAsia="Arial" w:hAnsi="Arial" w:cs="Arial"/>
      <w:b w:val="0"/>
      <w:bCs w:val="0"/>
      <w:i w:val="0"/>
      <w:iCs w:val="0"/>
      <w:smallCaps w:val="0"/>
      <w:strike w:val="0"/>
      <w:spacing w:val="40"/>
      <w:sz w:val="19"/>
      <w:szCs w:val="19"/>
      <w:u w:val="none"/>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19"/>
      <w:szCs w:val="19"/>
      <w:u w:val="none"/>
      <w:lang w:val="lv-LV" w:eastAsia="lv-LV" w:bidi="lv-LV"/>
    </w:rPr>
  </w:style>
  <w:style w:type="paragraph" w:customStyle="1" w:styleId="Bodytext20">
    <w:name w:val="Body text (2)"/>
    <w:basedOn w:val="Normal"/>
    <w:link w:val="Bodytext2"/>
    <w:pPr>
      <w:shd w:val="clear" w:color="auto" w:fill="FFFFFF"/>
      <w:spacing w:after="180" w:line="240" w:lineRule="exact"/>
      <w:jc w:val="both"/>
    </w:pPr>
    <w:rPr>
      <w:rFonts w:ascii="Arial" w:eastAsia="Arial" w:hAnsi="Arial" w:cs="Arial"/>
      <w:sz w:val="19"/>
      <w:szCs w:val="19"/>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22"/>
      <w:szCs w:val="22"/>
    </w:rPr>
  </w:style>
  <w:style w:type="paragraph" w:customStyle="1" w:styleId="Bodytext30">
    <w:name w:val="Body text (3)"/>
    <w:basedOn w:val="Normal"/>
    <w:link w:val="Bodytext3"/>
    <w:pPr>
      <w:shd w:val="clear" w:color="auto" w:fill="FFFFFF"/>
      <w:spacing w:before="180" w:after="300" w:line="0" w:lineRule="atLeast"/>
      <w:jc w:val="center"/>
    </w:pPr>
    <w:rPr>
      <w:rFonts w:ascii="Arial" w:eastAsia="Arial" w:hAnsi="Arial" w:cs="Arial"/>
      <w:spacing w:val="40"/>
      <w:sz w:val="20"/>
      <w:szCs w:val="20"/>
    </w:rPr>
  </w:style>
  <w:style w:type="paragraph" w:customStyle="1" w:styleId="Bodytext40">
    <w:name w:val="Body text (4)"/>
    <w:basedOn w:val="Normal"/>
    <w:link w:val="Bodytext4"/>
    <w:pPr>
      <w:shd w:val="clear" w:color="auto" w:fill="FFFFFF"/>
      <w:spacing w:after="180" w:line="0" w:lineRule="atLeast"/>
      <w:jc w:val="right"/>
    </w:pPr>
    <w:rPr>
      <w:rFonts w:ascii="Arial" w:eastAsia="Arial" w:hAnsi="Arial" w:cs="Arial"/>
      <w:i/>
      <w:iCs/>
      <w:sz w:val="19"/>
      <w:szCs w:val="19"/>
    </w:rPr>
  </w:style>
  <w:style w:type="paragraph" w:customStyle="1" w:styleId="Bodytext50">
    <w:name w:val="Body text (5)"/>
    <w:basedOn w:val="Normal"/>
    <w:link w:val="Bodytext5"/>
    <w:pPr>
      <w:shd w:val="clear" w:color="auto" w:fill="FFFFFF"/>
      <w:spacing w:before="180" w:after="300" w:line="312" w:lineRule="exact"/>
    </w:pPr>
    <w:rPr>
      <w:rFonts w:ascii="Arial" w:eastAsia="Arial" w:hAnsi="Arial" w:cs="Arial"/>
      <w:b/>
      <w:bCs/>
      <w:sz w:val="26"/>
      <w:szCs w:val="26"/>
    </w:rPr>
  </w:style>
  <w:style w:type="paragraph" w:customStyle="1" w:styleId="Heading10">
    <w:name w:val="Heading #1"/>
    <w:basedOn w:val="Normal"/>
    <w:link w:val="Heading1"/>
    <w:pPr>
      <w:shd w:val="clear" w:color="auto" w:fill="FFFFFF"/>
      <w:spacing w:after="240" w:line="0" w:lineRule="atLeast"/>
      <w:jc w:val="both"/>
      <w:outlineLvl w:val="0"/>
    </w:pPr>
    <w:rPr>
      <w:rFonts w:ascii="Arial" w:eastAsia="Arial" w:hAnsi="Arial" w:cs="Arial"/>
    </w:rPr>
  </w:style>
  <w:style w:type="paragraph" w:customStyle="1" w:styleId="Bodytext60">
    <w:name w:val="Body text (6)"/>
    <w:basedOn w:val="Normal"/>
    <w:link w:val="Bodytext6"/>
    <w:pPr>
      <w:shd w:val="clear" w:color="auto" w:fill="FFFFFF"/>
      <w:spacing w:before="240" w:after="240" w:line="0" w:lineRule="atLeast"/>
      <w:jc w:val="center"/>
    </w:pPr>
    <w:rPr>
      <w:rFonts w:ascii="Arial" w:eastAsia="Arial" w:hAnsi="Arial" w:cs="Arial"/>
      <w:spacing w:val="40"/>
      <w:sz w:val="19"/>
      <w:szCs w:val="19"/>
    </w:rPr>
  </w:style>
  <w:style w:type="paragraph" w:styleId="Footer">
    <w:name w:val="footer"/>
    <w:basedOn w:val="Normal"/>
    <w:link w:val="FooterChar"/>
    <w:uiPriority w:val="99"/>
    <w:unhideWhenUsed/>
    <w:rsid w:val="00952D08"/>
    <w:pPr>
      <w:tabs>
        <w:tab w:val="center" w:pos="4513"/>
        <w:tab w:val="right" w:pos="9026"/>
      </w:tabs>
    </w:pPr>
  </w:style>
  <w:style w:type="character" w:customStyle="1" w:styleId="FooterChar">
    <w:name w:val="Footer Char"/>
    <w:basedOn w:val="DefaultParagraphFont"/>
    <w:link w:val="Footer"/>
    <w:uiPriority w:val="99"/>
    <w:rsid w:val="00952D08"/>
    <w:rPr>
      <w:color w:val="000000"/>
    </w:rPr>
  </w:style>
  <w:style w:type="paragraph" w:styleId="Header">
    <w:name w:val="header"/>
    <w:basedOn w:val="Normal"/>
    <w:link w:val="HeaderChar"/>
    <w:uiPriority w:val="99"/>
    <w:unhideWhenUsed/>
    <w:rsid w:val="00952D08"/>
    <w:pPr>
      <w:tabs>
        <w:tab w:val="center" w:pos="4513"/>
        <w:tab w:val="right" w:pos="9026"/>
      </w:tabs>
    </w:pPr>
  </w:style>
  <w:style w:type="character" w:customStyle="1" w:styleId="HeaderChar">
    <w:name w:val="Header Char"/>
    <w:basedOn w:val="DefaultParagraphFont"/>
    <w:link w:val="Header"/>
    <w:uiPriority w:val="99"/>
    <w:rsid w:val="00952D08"/>
    <w:rPr>
      <w:color w:val="000000"/>
    </w:rPr>
  </w:style>
  <w:style w:type="paragraph" w:styleId="FootnoteText">
    <w:name w:val="footnote text"/>
    <w:basedOn w:val="Normal"/>
    <w:link w:val="FootnoteTextChar"/>
    <w:uiPriority w:val="99"/>
    <w:semiHidden/>
    <w:unhideWhenUsed/>
    <w:rsid w:val="00952D08"/>
    <w:rPr>
      <w:sz w:val="20"/>
      <w:szCs w:val="20"/>
    </w:rPr>
  </w:style>
  <w:style w:type="character" w:customStyle="1" w:styleId="FootnoteTextChar">
    <w:name w:val="Footnote Text Char"/>
    <w:basedOn w:val="DefaultParagraphFont"/>
    <w:link w:val="FootnoteText"/>
    <w:uiPriority w:val="99"/>
    <w:semiHidden/>
    <w:rsid w:val="00952D08"/>
    <w:rPr>
      <w:color w:val="000000"/>
      <w:sz w:val="20"/>
      <w:szCs w:val="20"/>
    </w:rPr>
  </w:style>
  <w:style w:type="character" w:styleId="FootnoteReference">
    <w:name w:val="footnote reference"/>
    <w:basedOn w:val="DefaultParagraphFont"/>
    <w:uiPriority w:val="99"/>
    <w:semiHidden/>
    <w:unhideWhenUsed/>
    <w:rsid w:val="00952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4590</Words>
  <Characters>2617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2026-08-12T13:10:00Z</dcterms:created>
  <dcterms:modified xsi:type="dcterms:W3CDTF">2026-08-13T07:30:00Z</dcterms:modified>
</cp:coreProperties>
</file>