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956E" w14:textId="34A466D0" w:rsidR="00DD27D1" w:rsidRPr="008D43E9" w:rsidRDefault="008D43E9" w:rsidP="008D43E9">
      <w:pPr>
        <w:spacing w:line="276" w:lineRule="auto"/>
        <w:contextualSpacing/>
        <w:jc w:val="both"/>
        <w:rPr>
          <w:b/>
          <w:bCs/>
        </w:rPr>
      </w:pPr>
      <w:r w:rsidRPr="008D43E9">
        <w:rPr>
          <w:b/>
          <w:bCs/>
        </w:rPr>
        <w:t>Speciālā izmeklēšanas eksperimenta tiesiskuma izvērtēšana</w:t>
      </w:r>
    </w:p>
    <w:p w14:paraId="7699556B" w14:textId="77777777" w:rsidR="008D43E9" w:rsidRPr="008D43E9" w:rsidRDefault="008D43E9" w:rsidP="008D43E9">
      <w:pPr>
        <w:spacing w:line="276" w:lineRule="auto"/>
        <w:ind w:firstLine="720"/>
        <w:contextualSpacing/>
        <w:jc w:val="both"/>
        <w:rPr>
          <w:rFonts w:asciiTheme="majorBidi" w:hAnsiTheme="majorBidi" w:cstheme="majorBidi"/>
        </w:rPr>
      </w:pPr>
    </w:p>
    <w:p w14:paraId="13119533" w14:textId="2F1B3481" w:rsidR="00DD27D1" w:rsidRDefault="008D43E9" w:rsidP="008D43E9">
      <w:pPr>
        <w:spacing w:line="276" w:lineRule="auto"/>
        <w:contextualSpacing/>
        <w:jc w:val="both"/>
        <w:rPr>
          <w:b/>
          <w:bCs/>
        </w:rPr>
      </w:pPr>
      <w:r w:rsidRPr="008D43E9">
        <w:rPr>
          <w:b/>
          <w:bCs/>
        </w:rPr>
        <w:t>Provokācijas izvērtēšana</w:t>
      </w:r>
    </w:p>
    <w:p w14:paraId="16C33F3A" w14:textId="77777777" w:rsidR="008D43E9" w:rsidRPr="009056A0" w:rsidRDefault="008D43E9" w:rsidP="008D43E9">
      <w:pPr>
        <w:spacing w:line="276" w:lineRule="auto"/>
        <w:contextualSpacing/>
        <w:jc w:val="both"/>
        <w:rPr>
          <w:rFonts w:asciiTheme="majorBidi" w:hAnsiTheme="majorBidi" w:cstheme="majorBidi"/>
        </w:rPr>
      </w:pPr>
    </w:p>
    <w:p w14:paraId="1888C7D9" w14:textId="77777777" w:rsidR="008D43E9" w:rsidRPr="008D43E9" w:rsidRDefault="00DD27D1" w:rsidP="009056A0">
      <w:pPr>
        <w:spacing w:line="276" w:lineRule="auto"/>
        <w:contextualSpacing/>
        <w:jc w:val="center"/>
        <w:rPr>
          <w:b/>
        </w:rPr>
      </w:pPr>
      <w:r w:rsidRPr="008D43E9">
        <w:rPr>
          <w:b/>
        </w:rPr>
        <w:t>Latvijas Republikas Senāt</w:t>
      </w:r>
      <w:r w:rsidR="008D43E9" w:rsidRPr="008D43E9">
        <w:rPr>
          <w:b/>
        </w:rPr>
        <w:t xml:space="preserve">a </w:t>
      </w:r>
    </w:p>
    <w:p w14:paraId="1863899A" w14:textId="28615F0D" w:rsidR="00DD27D1" w:rsidRPr="008D43E9" w:rsidRDefault="008D43E9" w:rsidP="008D43E9">
      <w:pPr>
        <w:spacing w:line="276" w:lineRule="auto"/>
        <w:contextualSpacing/>
        <w:jc w:val="center"/>
        <w:rPr>
          <w:b/>
        </w:rPr>
      </w:pPr>
      <w:r w:rsidRPr="008D43E9">
        <w:rPr>
          <w:b/>
        </w:rPr>
        <w:t>Krimināllietu departamenta</w:t>
      </w:r>
    </w:p>
    <w:p w14:paraId="75967708" w14:textId="77777777" w:rsidR="008D43E9" w:rsidRPr="008D43E9" w:rsidRDefault="00DD27D1" w:rsidP="009056A0">
      <w:pPr>
        <w:spacing w:line="276" w:lineRule="auto"/>
        <w:contextualSpacing/>
        <w:jc w:val="center"/>
        <w:rPr>
          <w:b/>
        </w:rPr>
      </w:pPr>
      <w:r w:rsidRPr="008D43E9">
        <w:rPr>
          <w:b/>
        </w:rPr>
        <w:t xml:space="preserve">2023. gada </w:t>
      </w:r>
      <w:r w:rsidR="001A5815" w:rsidRPr="008D43E9">
        <w:rPr>
          <w:b/>
        </w:rPr>
        <w:t>28</w:t>
      </w:r>
      <w:r w:rsidRPr="008D43E9">
        <w:rPr>
          <w:b/>
        </w:rPr>
        <w:t>. </w:t>
      </w:r>
      <w:r w:rsidR="001A5815" w:rsidRPr="008D43E9">
        <w:rPr>
          <w:b/>
        </w:rPr>
        <w:t>februā</w:t>
      </w:r>
      <w:r w:rsidRPr="008D43E9">
        <w:rPr>
          <w:b/>
        </w:rPr>
        <w:t>r</w:t>
      </w:r>
      <w:r w:rsidR="008D43E9" w:rsidRPr="008D43E9">
        <w:rPr>
          <w:b/>
        </w:rPr>
        <w:t xml:space="preserve">a </w:t>
      </w:r>
    </w:p>
    <w:p w14:paraId="01256E43" w14:textId="77777777" w:rsidR="008D43E9" w:rsidRPr="008D43E9" w:rsidRDefault="008D43E9" w:rsidP="009056A0">
      <w:pPr>
        <w:spacing w:line="276" w:lineRule="auto"/>
        <w:contextualSpacing/>
        <w:jc w:val="center"/>
        <w:rPr>
          <w:b/>
        </w:rPr>
      </w:pPr>
      <w:r w:rsidRPr="008D43E9">
        <w:rPr>
          <w:b/>
        </w:rPr>
        <w:t xml:space="preserve">LĒMUMS </w:t>
      </w:r>
    </w:p>
    <w:p w14:paraId="3DA2A1B3" w14:textId="271C3B8E" w:rsidR="00DD27D1" w:rsidRPr="008D43E9" w:rsidRDefault="008D43E9" w:rsidP="009056A0">
      <w:pPr>
        <w:spacing w:line="276" w:lineRule="auto"/>
        <w:contextualSpacing/>
        <w:jc w:val="center"/>
        <w:rPr>
          <w:b/>
        </w:rPr>
      </w:pPr>
      <w:r w:rsidRPr="008D43E9">
        <w:rPr>
          <w:b/>
        </w:rPr>
        <w:t>Lieta Nr. 11860002716, SKK-41/2023</w:t>
      </w:r>
    </w:p>
    <w:p w14:paraId="4671BD5C" w14:textId="3E0CAF75" w:rsidR="008D43E9" w:rsidRPr="008D43E9" w:rsidRDefault="005777A9" w:rsidP="009056A0">
      <w:pPr>
        <w:spacing w:line="276" w:lineRule="auto"/>
        <w:contextualSpacing/>
        <w:jc w:val="center"/>
      </w:pPr>
      <w:hyperlink r:id="rId6" w:history="1">
        <w:r w:rsidR="008D43E9" w:rsidRPr="008D43E9">
          <w:rPr>
            <w:rStyle w:val="Hyperlink"/>
            <w:shd w:val="clear" w:color="auto" w:fill="FFFFFF"/>
          </w:rPr>
          <w:t>ECLI:LV:AT:2023:0228.11860002716.4.L</w:t>
        </w:r>
      </w:hyperlink>
    </w:p>
    <w:p w14:paraId="2322382E" w14:textId="77777777" w:rsidR="00DD27D1" w:rsidRPr="009056A0" w:rsidRDefault="00DD27D1" w:rsidP="009056A0">
      <w:pPr>
        <w:spacing w:line="276" w:lineRule="auto"/>
        <w:ind w:firstLine="720"/>
        <w:contextualSpacing/>
        <w:jc w:val="center"/>
        <w:rPr>
          <w:rFonts w:asciiTheme="majorBidi" w:hAnsiTheme="majorBidi" w:cstheme="majorBidi"/>
        </w:rPr>
      </w:pPr>
    </w:p>
    <w:p w14:paraId="72D2029E" w14:textId="61DBDC6D" w:rsidR="00DD27D1" w:rsidRPr="009056A0" w:rsidRDefault="00DD27D1"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Senāts šādā sastāvā: senators referents Aivars Uminskis, senatores </w:t>
      </w:r>
      <w:r w:rsidR="001A5815" w:rsidRPr="009056A0">
        <w:rPr>
          <w:rFonts w:asciiTheme="majorBidi" w:hAnsiTheme="majorBidi" w:cstheme="majorBidi"/>
        </w:rPr>
        <w:t>Inguna Radzeviča</w:t>
      </w:r>
      <w:r w:rsidRPr="009056A0">
        <w:rPr>
          <w:rFonts w:asciiTheme="majorBidi" w:hAnsiTheme="majorBidi" w:cstheme="majorBidi"/>
        </w:rPr>
        <w:t xml:space="preserve"> un Inese Laura Zemīte</w:t>
      </w:r>
    </w:p>
    <w:p w14:paraId="7DBB534B" w14:textId="77777777" w:rsidR="00DD27D1" w:rsidRPr="009056A0" w:rsidRDefault="00DD27D1" w:rsidP="009056A0">
      <w:pPr>
        <w:autoSpaceDE w:val="0"/>
        <w:autoSpaceDN w:val="0"/>
        <w:adjustRightInd w:val="0"/>
        <w:spacing w:line="276" w:lineRule="auto"/>
        <w:ind w:firstLine="720"/>
        <w:contextualSpacing/>
        <w:jc w:val="both"/>
        <w:rPr>
          <w:rFonts w:asciiTheme="majorBidi" w:eastAsiaTheme="minorHAnsi" w:hAnsiTheme="majorBidi" w:cstheme="majorBidi"/>
        </w:rPr>
      </w:pPr>
    </w:p>
    <w:p w14:paraId="167753AB" w14:textId="0019D865" w:rsidR="00DD27D1" w:rsidRPr="009056A0" w:rsidRDefault="00DD27D1" w:rsidP="009056A0">
      <w:pPr>
        <w:autoSpaceDE w:val="0"/>
        <w:autoSpaceDN w:val="0"/>
        <w:adjustRightInd w:val="0"/>
        <w:spacing w:line="276" w:lineRule="auto"/>
        <w:ind w:firstLine="720"/>
        <w:contextualSpacing/>
        <w:jc w:val="both"/>
        <w:rPr>
          <w:rFonts w:asciiTheme="majorBidi" w:hAnsiTheme="majorBidi" w:cstheme="majorBidi"/>
        </w:rPr>
      </w:pPr>
      <w:r w:rsidRPr="009056A0">
        <w:rPr>
          <w:rFonts w:asciiTheme="majorBidi" w:hAnsiTheme="majorBidi" w:cstheme="majorBidi"/>
        </w:rPr>
        <w:t>rakstveida procesā izskatīja krimināllietu sakarā ar</w:t>
      </w:r>
      <w:r w:rsidR="001A5815" w:rsidRPr="009056A0">
        <w:rPr>
          <w:rFonts w:asciiTheme="majorBidi" w:hAnsiTheme="majorBidi" w:cstheme="majorBidi"/>
        </w:rPr>
        <w:t xml:space="preserve"> Organizētās noziedzības un citu nozaru specializētās</w:t>
      </w:r>
      <w:r w:rsidRPr="009056A0">
        <w:rPr>
          <w:rFonts w:asciiTheme="majorBidi" w:hAnsiTheme="majorBidi" w:cstheme="majorBidi"/>
        </w:rPr>
        <w:t xml:space="preserve"> prokuratūras </w:t>
      </w:r>
      <w:r w:rsidR="001A5815" w:rsidRPr="009056A0">
        <w:rPr>
          <w:rFonts w:asciiTheme="majorBidi" w:hAnsiTheme="majorBidi" w:cstheme="majorBidi"/>
        </w:rPr>
        <w:t>prokurores Zanes Pavāres</w:t>
      </w:r>
      <w:r w:rsidRPr="009056A0">
        <w:rPr>
          <w:rFonts w:asciiTheme="majorBidi" w:hAnsiTheme="majorBidi" w:cstheme="majorBidi"/>
        </w:rPr>
        <w:t xml:space="preserve"> kasācijas protestu par </w:t>
      </w:r>
      <w:r w:rsidR="001A5815" w:rsidRPr="009056A0">
        <w:rPr>
          <w:rFonts w:asciiTheme="majorBidi" w:hAnsiTheme="majorBidi" w:cstheme="majorBidi"/>
        </w:rPr>
        <w:t xml:space="preserve">Rīgas </w:t>
      </w:r>
      <w:r w:rsidRPr="009056A0">
        <w:rPr>
          <w:rFonts w:asciiTheme="majorBidi" w:hAnsiTheme="majorBidi" w:cstheme="majorBidi"/>
        </w:rPr>
        <w:t>apgabaltiesas 202</w:t>
      </w:r>
      <w:r w:rsidR="001A5815" w:rsidRPr="009056A0">
        <w:rPr>
          <w:rFonts w:asciiTheme="majorBidi" w:hAnsiTheme="majorBidi" w:cstheme="majorBidi"/>
        </w:rPr>
        <w:t>2</w:t>
      </w:r>
      <w:r w:rsidRPr="009056A0">
        <w:rPr>
          <w:rFonts w:asciiTheme="majorBidi" w:hAnsiTheme="majorBidi" w:cstheme="majorBidi"/>
        </w:rPr>
        <w:t xml:space="preserve">. gada </w:t>
      </w:r>
      <w:r w:rsidR="001A5815" w:rsidRPr="009056A0">
        <w:rPr>
          <w:rFonts w:asciiTheme="majorBidi" w:hAnsiTheme="majorBidi" w:cstheme="majorBidi"/>
        </w:rPr>
        <w:t>7. aprīļa lēmumu</w:t>
      </w:r>
      <w:r w:rsidRPr="009056A0">
        <w:rPr>
          <w:rFonts w:asciiTheme="majorBidi" w:hAnsiTheme="majorBidi" w:cstheme="majorBidi"/>
        </w:rPr>
        <w:t>.</w:t>
      </w:r>
    </w:p>
    <w:p w14:paraId="7AD17E7D" w14:textId="77777777" w:rsidR="00DD27D1" w:rsidRPr="009056A0" w:rsidRDefault="00DD27D1" w:rsidP="009056A0">
      <w:pPr>
        <w:autoSpaceDE w:val="0"/>
        <w:autoSpaceDN w:val="0"/>
        <w:adjustRightInd w:val="0"/>
        <w:spacing w:line="276" w:lineRule="auto"/>
        <w:ind w:firstLine="720"/>
        <w:contextualSpacing/>
        <w:jc w:val="both"/>
        <w:rPr>
          <w:rFonts w:asciiTheme="majorBidi" w:hAnsiTheme="majorBidi" w:cstheme="majorBidi"/>
        </w:rPr>
      </w:pPr>
    </w:p>
    <w:p w14:paraId="51EE8A87" w14:textId="77777777" w:rsidR="00DD27D1" w:rsidRPr="009056A0" w:rsidRDefault="00DD27D1" w:rsidP="009056A0">
      <w:pPr>
        <w:autoSpaceDE w:val="0"/>
        <w:autoSpaceDN w:val="0"/>
        <w:adjustRightInd w:val="0"/>
        <w:spacing w:line="276" w:lineRule="auto"/>
        <w:contextualSpacing/>
        <w:jc w:val="center"/>
        <w:rPr>
          <w:rFonts w:asciiTheme="majorBidi" w:hAnsiTheme="majorBidi" w:cstheme="majorBidi"/>
          <w:b/>
          <w:bCs/>
        </w:rPr>
      </w:pPr>
      <w:r w:rsidRPr="009056A0">
        <w:rPr>
          <w:rFonts w:asciiTheme="majorBidi" w:hAnsiTheme="majorBidi" w:cstheme="majorBidi"/>
          <w:b/>
          <w:bCs/>
        </w:rPr>
        <w:t>Aprakstošā daļa</w:t>
      </w:r>
    </w:p>
    <w:p w14:paraId="47454678" w14:textId="77777777" w:rsidR="00DD27D1" w:rsidRPr="009056A0" w:rsidRDefault="00DD27D1" w:rsidP="009056A0">
      <w:pPr>
        <w:autoSpaceDE w:val="0"/>
        <w:autoSpaceDN w:val="0"/>
        <w:adjustRightInd w:val="0"/>
        <w:spacing w:line="276" w:lineRule="auto"/>
        <w:ind w:firstLine="720"/>
        <w:contextualSpacing/>
        <w:jc w:val="center"/>
        <w:rPr>
          <w:rFonts w:asciiTheme="majorBidi" w:hAnsiTheme="majorBidi" w:cstheme="majorBidi"/>
        </w:rPr>
      </w:pPr>
    </w:p>
    <w:p w14:paraId="47AD32E0" w14:textId="0B445EC3" w:rsidR="00DD27D1" w:rsidRPr="009056A0" w:rsidRDefault="00DD27D1"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[1] Ar R</w:t>
      </w:r>
      <w:r w:rsidR="001A5815" w:rsidRPr="009056A0">
        <w:rPr>
          <w:rFonts w:asciiTheme="majorBidi" w:hAnsiTheme="majorBidi" w:cstheme="majorBidi"/>
        </w:rPr>
        <w:t>īgas pilsētas Pārdaugavas</w:t>
      </w:r>
      <w:r w:rsidRPr="009056A0">
        <w:rPr>
          <w:rFonts w:asciiTheme="majorBidi" w:hAnsiTheme="majorBidi" w:cstheme="majorBidi"/>
        </w:rPr>
        <w:t xml:space="preserve"> tiesas 2020. gada </w:t>
      </w:r>
      <w:r w:rsidR="001A5815" w:rsidRPr="009056A0">
        <w:rPr>
          <w:rFonts w:asciiTheme="majorBidi" w:hAnsiTheme="majorBidi" w:cstheme="majorBidi"/>
        </w:rPr>
        <w:t>12. jūnij</w:t>
      </w:r>
      <w:r w:rsidRPr="009056A0">
        <w:rPr>
          <w:rFonts w:asciiTheme="majorBidi" w:hAnsiTheme="majorBidi" w:cstheme="majorBidi"/>
        </w:rPr>
        <w:t>a spriedumu</w:t>
      </w:r>
    </w:p>
    <w:p w14:paraId="5A858793" w14:textId="070BD4A6" w:rsidR="00DD27D1" w:rsidRPr="009056A0" w:rsidRDefault="008D43E9" w:rsidP="009056A0">
      <w:pPr>
        <w:spacing w:line="276" w:lineRule="auto"/>
        <w:ind w:firstLine="720"/>
        <w:contextualSpacing/>
        <w:jc w:val="both"/>
        <w:rPr>
          <w:rFonts w:asciiTheme="majorBidi" w:hAnsiTheme="majorBidi" w:cstheme="majorBidi"/>
        </w:rPr>
      </w:pPr>
      <w:r>
        <w:rPr>
          <w:rFonts w:asciiTheme="majorBidi" w:hAnsiTheme="majorBidi" w:cstheme="majorBidi"/>
        </w:rPr>
        <w:t>[pers. </w:t>
      </w:r>
      <w:r>
        <w:t>A]</w:t>
      </w:r>
      <w:r w:rsidR="00DD27D1" w:rsidRPr="009056A0">
        <w:rPr>
          <w:rFonts w:asciiTheme="majorBidi" w:hAnsiTheme="majorBidi" w:cstheme="majorBidi"/>
        </w:rPr>
        <w:t xml:space="preserve">, personas kods </w:t>
      </w:r>
      <w:r>
        <w:rPr>
          <w:rFonts w:asciiTheme="majorBidi" w:hAnsiTheme="majorBidi" w:cstheme="majorBidi"/>
        </w:rPr>
        <w:t>[..]</w:t>
      </w:r>
      <w:r w:rsidR="00DD27D1" w:rsidRPr="009056A0">
        <w:rPr>
          <w:rFonts w:asciiTheme="majorBidi" w:hAnsiTheme="majorBidi" w:cstheme="majorBidi"/>
        </w:rPr>
        <w:t>,</w:t>
      </w:r>
    </w:p>
    <w:p w14:paraId="454A7A02" w14:textId="2FC801AD" w:rsidR="00DD27D1" w:rsidRPr="009056A0" w:rsidRDefault="00DD27D1"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atzīts par </w:t>
      </w:r>
      <w:r w:rsidR="001A5815" w:rsidRPr="009056A0">
        <w:rPr>
          <w:rFonts w:asciiTheme="majorBidi" w:hAnsiTheme="majorBidi" w:cstheme="majorBidi"/>
        </w:rPr>
        <w:t>ne</w:t>
      </w:r>
      <w:r w:rsidRPr="009056A0">
        <w:rPr>
          <w:rFonts w:asciiTheme="majorBidi" w:hAnsiTheme="majorBidi" w:cstheme="majorBidi"/>
        </w:rPr>
        <w:t xml:space="preserve">vainīgu </w:t>
      </w:r>
      <w:r w:rsidR="001A5815" w:rsidRPr="009056A0">
        <w:rPr>
          <w:rFonts w:asciiTheme="majorBidi" w:hAnsiTheme="majorBidi" w:cstheme="majorBidi"/>
        </w:rPr>
        <w:t xml:space="preserve">pret viņu celtajā apsūdzībā pēc </w:t>
      </w:r>
      <w:r w:rsidRPr="009056A0">
        <w:rPr>
          <w:rFonts w:asciiTheme="majorBidi" w:hAnsiTheme="majorBidi" w:cstheme="majorBidi"/>
        </w:rPr>
        <w:t xml:space="preserve">Krimināllikuma </w:t>
      </w:r>
      <w:r w:rsidR="001A5815" w:rsidRPr="009056A0">
        <w:rPr>
          <w:rFonts w:asciiTheme="majorBidi" w:hAnsiTheme="majorBidi" w:cstheme="majorBidi"/>
        </w:rPr>
        <w:t>320. panta otrās daļas un attaisnots.</w:t>
      </w:r>
    </w:p>
    <w:p w14:paraId="26F51CB9" w14:textId="77777777" w:rsidR="00F906A6" w:rsidRPr="009056A0" w:rsidRDefault="00F906A6" w:rsidP="009056A0">
      <w:pPr>
        <w:spacing w:line="276" w:lineRule="auto"/>
        <w:ind w:firstLine="720"/>
        <w:contextualSpacing/>
        <w:jc w:val="both"/>
        <w:rPr>
          <w:rFonts w:asciiTheme="majorBidi" w:hAnsiTheme="majorBidi" w:cstheme="majorBidi"/>
        </w:rPr>
      </w:pPr>
    </w:p>
    <w:p w14:paraId="7F0CFAFB" w14:textId="60A784B3" w:rsidR="001A5815" w:rsidRPr="009056A0" w:rsidRDefault="001A5815"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[2]</w:t>
      </w:r>
      <w:r w:rsidR="002A51D2" w:rsidRPr="009056A0">
        <w:rPr>
          <w:rFonts w:asciiTheme="majorBidi" w:hAnsiTheme="majorBidi" w:cstheme="majorBidi"/>
        </w:rPr>
        <w:t> </w:t>
      </w:r>
      <w:r w:rsidRPr="009056A0">
        <w:rPr>
          <w:rFonts w:asciiTheme="majorBidi" w:hAnsiTheme="majorBidi" w:cstheme="majorBidi"/>
        </w:rPr>
        <w:t xml:space="preserve">Pirmstiesas </w:t>
      </w:r>
      <w:r w:rsidR="00876BC5">
        <w:rPr>
          <w:rFonts w:asciiTheme="majorBidi" w:hAnsiTheme="majorBidi" w:cstheme="majorBidi"/>
        </w:rPr>
        <w:t>krimināl</w:t>
      </w:r>
      <w:r w:rsidRPr="009056A0">
        <w:rPr>
          <w:rFonts w:asciiTheme="majorBidi" w:hAnsiTheme="majorBidi" w:cstheme="majorBidi"/>
        </w:rPr>
        <w:t xml:space="preserve">procesā </w:t>
      </w:r>
      <w:r w:rsidR="006703D5">
        <w:rPr>
          <w:rFonts w:asciiTheme="majorBidi" w:hAnsiTheme="majorBidi" w:cstheme="majorBidi"/>
        </w:rPr>
        <w:t>[pers. A]</w:t>
      </w:r>
      <w:r w:rsidR="00F906A6" w:rsidRPr="009056A0">
        <w:rPr>
          <w:rFonts w:asciiTheme="majorBidi" w:hAnsiTheme="majorBidi" w:cstheme="majorBidi"/>
        </w:rPr>
        <w:t xml:space="preserve"> </w:t>
      </w:r>
      <w:r w:rsidRPr="009056A0">
        <w:rPr>
          <w:rFonts w:asciiTheme="majorBidi" w:hAnsiTheme="majorBidi" w:cstheme="majorBidi"/>
        </w:rPr>
        <w:t xml:space="preserve">celta apsūdzība pēc Krimināllikuma </w:t>
      </w:r>
      <w:r w:rsidR="00F906A6" w:rsidRPr="009056A0">
        <w:rPr>
          <w:rFonts w:asciiTheme="majorBidi" w:hAnsiTheme="majorBidi" w:cstheme="majorBidi"/>
        </w:rPr>
        <w:t>320</w:t>
      </w:r>
      <w:r w:rsidRPr="009056A0">
        <w:rPr>
          <w:rFonts w:asciiTheme="majorBidi" w:hAnsiTheme="majorBidi" w:cstheme="majorBidi"/>
        </w:rPr>
        <w:t xml:space="preserve">. panta </w:t>
      </w:r>
      <w:r w:rsidR="00F906A6" w:rsidRPr="009056A0">
        <w:rPr>
          <w:rFonts w:asciiTheme="majorBidi" w:hAnsiTheme="majorBidi" w:cstheme="majorBidi"/>
        </w:rPr>
        <w:t>otrās</w:t>
      </w:r>
      <w:r w:rsidRPr="009056A0">
        <w:rPr>
          <w:rFonts w:asciiTheme="majorBidi" w:hAnsiTheme="majorBidi" w:cstheme="majorBidi"/>
        </w:rPr>
        <w:t xml:space="preserve"> daļas par to, ka viņ</w:t>
      </w:r>
      <w:r w:rsidR="00F906A6" w:rsidRPr="009056A0">
        <w:rPr>
          <w:rFonts w:asciiTheme="majorBidi" w:hAnsiTheme="majorBidi" w:cstheme="majorBidi"/>
        </w:rPr>
        <w:t>š, būdams valsts amatpersona, pieņēma kukuli pirms nelikumīgas darbības izdarīšanas kukuļdevēja interesēs, izmantojot savu dienesta stāvokli.</w:t>
      </w:r>
    </w:p>
    <w:p w14:paraId="67EBDEF9" w14:textId="5C834FA4" w:rsidR="001A5815" w:rsidRPr="009056A0" w:rsidRDefault="001A5815" w:rsidP="009056A0">
      <w:pPr>
        <w:spacing w:line="276" w:lineRule="auto"/>
        <w:ind w:firstLine="720"/>
        <w:contextualSpacing/>
        <w:jc w:val="both"/>
        <w:rPr>
          <w:rFonts w:asciiTheme="majorBidi" w:hAnsiTheme="majorBidi" w:cstheme="majorBidi"/>
        </w:rPr>
      </w:pPr>
    </w:p>
    <w:p w14:paraId="68230492" w14:textId="77777777" w:rsidR="00C47BAE" w:rsidRDefault="00DD27D1" w:rsidP="00C47BAE">
      <w:pPr>
        <w:spacing w:line="276" w:lineRule="auto"/>
        <w:ind w:firstLine="720"/>
        <w:contextualSpacing/>
        <w:jc w:val="both"/>
        <w:rPr>
          <w:rFonts w:asciiTheme="majorBidi" w:hAnsiTheme="majorBidi" w:cstheme="majorBidi"/>
        </w:rPr>
      </w:pPr>
      <w:r w:rsidRPr="009056A0">
        <w:rPr>
          <w:rFonts w:asciiTheme="majorBidi" w:hAnsiTheme="majorBidi" w:cstheme="majorBidi"/>
        </w:rPr>
        <w:t>[</w:t>
      </w:r>
      <w:r w:rsidR="00F906A6" w:rsidRPr="009056A0">
        <w:rPr>
          <w:rFonts w:asciiTheme="majorBidi" w:hAnsiTheme="majorBidi" w:cstheme="majorBidi"/>
        </w:rPr>
        <w:t>3</w:t>
      </w:r>
      <w:r w:rsidRPr="009056A0">
        <w:rPr>
          <w:rFonts w:asciiTheme="majorBidi" w:hAnsiTheme="majorBidi" w:cstheme="majorBidi"/>
        </w:rPr>
        <w:t xml:space="preserve">] Ar </w:t>
      </w:r>
      <w:r w:rsidR="001A5815" w:rsidRPr="009056A0">
        <w:rPr>
          <w:rFonts w:asciiTheme="majorBidi" w:hAnsiTheme="majorBidi" w:cstheme="majorBidi"/>
        </w:rPr>
        <w:t>Rīgas</w:t>
      </w:r>
      <w:r w:rsidRPr="009056A0">
        <w:rPr>
          <w:rFonts w:asciiTheme="majorBidi" w:hAnsiTheme="majorBidi" w:cstheme="majorBidi"/>
        </w:rPr>
        <w:t xml:space="preserve"> apgabaltiesas 202</w:t>
      </w:r>
      <w:r w:rsidR="001A5815" w:rsidRPr="009056A0">
        <w:rPr>
          <w:rFonts w:asciiTheme="majorBidi" w:hAnsiTheme="majorBidi" w:cstheme="majorBidi"/>
        </w:rPr>
        <w:t>2</w:t>
      </w:r>
      <w:r w:rsidRPr="009056A0">
        <w:rPr>
          <w:rFonts w:asciiTheme="majorBidi" w:hAnsiTheme="majorBidi" w:cstheme="majorBidi"/>
        </w:rPr>
        <w:t xml:space="preserve">. gada </w:t>
      </w:r>
      <w:r w:rsidR="001A5815" w:rsidRPr="009056A0">
        <w:rPr>
          <w:rFonts w:asciiTheme="majorBidi" w:hAnsiTheme="majorBidi" w:cstheme="majorBidi"/>
        </w:rPr>
        <w:t>7. aprīļa</w:t>
      </w:r>
      <w:r w:rsidRPr="009056A0">
        <w:rPr>
          <w:rFonts w:asciiTheme="majorBidi" w:hAnsiTheme="majorBidi" w:cstheme="majorBidi"/>
        </w:rPr>
        <w:t xml:space="preserve"> </w:t>
      </w:r>
      <w:r w:rsidR="001A5815" w:rsidRPr="009056A0">
        <w:rPr>
          <w:rFonts w:asciiTheme="majorBidi" w:hAnsiTheme="majorBidi" w:cstheme="majorBidi"/>
        </w:rPr>
        <w:t>lēmumu</w:t>
      </w:r>
      <w:r w:rsidRPr="009056A0">
        <w:rPr>
          <w:rFonts w:asciiTheme="majorBidi" w:hAnsiTheme="majorBidi" w:cstheme="majorBidi"/>
        </w:rPr>
        <w:t xml:space="preserve">, iztiesājot krimināllietu apelācijas kārtībā sakarā ar </w:t>
      </w:r>
      <w:r w:rsidR="001A5815" w:rsidRPr="009056A0">
        <w:rPr>
          <w:rFonts w:asciiTheme="majorBidi" w:hAnsiTheme="majorBidi" w:cstheme="majorBidi"/>
        </w:rPr>
        <w:t xml:space="preserve">Organizētās noziedzības un citu nozaru specializētās prokuratūras prokurores Z. Pavāres </w:t>
      </w:r>
      <w:r w:rsidRPr="009056A0">
        <w:rPr>
          <w:rFonts w:asciiTheme="majorBidi" w:hAnsiTheme="majorBidi" w:cstheme="majorBidi"/>
        </w:rPr>
        <w:t xml:space="preserve">apelācijas protestu, </w:t>
      </w:r>
      <w:r w:rsidR="00C47BAE" w:rsidRPr="009056A0">
        <w:rPr>
          <w:rFonts w:asciiTheme="majorBidi" w:hAnsiTheme="majorBidi" w:cstheme="majorBidi"/>
        </w:rPr>
        <w:t>Rīgas pilsētas Pārdaugavas tiesas 2020. gada 12. jūnija spriedum</w:t>
      </w:r>
      <w:r w:rsidR="00C47BAE">
        <w:rPr>
          <w:rFonts w:asciiTheme="majorBidi" w:hAnsiTheme="majorBidi" w:cstheme="majorBidi"/>
        </w:rPr>
        <w:t xml:space="preserve">s </w:t>
      </w:r>
      <w:r w:rsidR="001A5815" w:rsidRPr="009056A0">
        <w:rPr>
          <w:rFonts w:asciiTheme="majorBidi" w:hAnsiTheme="majorBidi" w:cstheme="majorBidi"/>
        </w:rPr>
        <w:t>atstāts negrozīts</w:t>
      </w:r>
      <w:r w:rsidR="00C47BAE">
        <w:rPr>
          <w:rFonts w:asciiTheme="majorBidi" w:hAnsiTheme="majorBidi" w:cstheme="majorBidi"/>
        </w:rPr>
        <w:t>.</w:t>
      </w:r>
    </w:p>
    <w:p w14:paraId="3A80A0E4" w14:textId="77777777" w:rsidR="00C47BAE" w:rsidRDefault="00C47BAE" w:rsidP="00C47BAE">
      <w:pPr>
        <w:spacing w:line="276" w:lineRule="auto"/>
        <w:ind w:firstLine="720"/>
        <w:contextualSpacing/>
        <w:jc w:val="both"/>
        <w:rPr>
          <w:rFonts w:asciiTheme="majorBidi" w:hAnsiTheme="majorBidi" w:cstheme="majorBidi"/>
        </w:rPr>
      </w:pPr>
    </w:p>
    <w:p w14:paraId="61FA9075" w14:textId="44B77268" w:rsidR="00DD27D1" w:rsidRDefault="00DD27D1" w:rsidP="0045430D">
      <w:pPr>
        <w:spacing w:line="276" w:lineRule="auto"/>
        <w:ind w:firstLine="720"/>
        <w:contextualSpacing/>
        <w:jc w:val="both"/>
        <w:rPr>
          <w:rFonts w:asciiTheme="majorBidi" w:hAnsiTheme="majorBidi" w:cstheme="majorBidi"/>
        </w:rPr>
      </w:pPr>
      <w:r w:rsidRPr="009056A0">
        <w:rPr>
          <w:rFonts w:asciiTheme="majorBidi" w:hAnsiTheme="majorBidi" w:cstheme="majorBidi"/>
        </w:rPr>
        <w:t>[</w:t>
      </w:r>
      <w:r w:rsidR="00F906A6" w:rsidRPr="009056A0">
        <w:rPr>
          <w:rFonts w:asciiTheme="majorBidi" w:hAnsiTheme="majorBidi" w:cstheme="majorBidi"/>
        </w:rPr>
        <w:t>4</w:t>
      </w:r>
      <w:r w:rsidRPr="009056A0">
        <w:rPr>
          <w:rFonts w:asciiTheme="majorBidi" w:hAnsiTheme="majorBidi" w:cstheme="majorBidi"/>
        </w:rPr>
        <w:t xml:space="preserve">] Par </w:t>
      </w:r>
      <w:r w:rsidR="00F906A6" w:rsidRPr="009056A0">
        <w:rPr>
          <w:rFonts w:asciiTheme="majorBidi" w:hAnsiTheme="majorBidi" w:cstheme="majorBidi"/>
        </w:rPr>
        <w:t>Rīgas</w:t>
      </w:r>
      <w:r w:rsidRPr="009056A0">
        <w:rPr>
          <w:rFonts w:asciiTheme="majorBidi" w:hAnsiTheme="majorBidi" w:cstheme="majorBidi"/>
        </w:rPr>
        <w:t xml:space="preserve"> apgabaltiesas 202</w:t>
      </w:r>
      <w:r w:rsidR="00F906A6" w:rsidRPr="009056A0">
        <w:rPr>
          <w:rFonts w:asciiTheme="majorBidi" w:hAnsiTheme="majorBidi" w:cstheme="majorBidi"/>
        </w:rPr>
        <w:t>2</w:t>
      </w:r>
      <w:r w:rsidRPr="009056A0">
        <w:rPr>
          <w:rFonts w:asciiTheme="majorBidi" w:hAnsiTheme="majorBidi" w:cstheme="majorBidi"/>
        </w:rPr>
        <w:t>. gada</w:t>
      </w:r>
      <w:r w:rsidR="00F906A6" w:rsidRPr="009056A0">
        <w:rPr>
          <w:rFonts w:asciiTheme="majorBidi" w:hAnsiTheme="majorBidi" w:cstheme="majorBidi"/>
        </w:rPr>
        <w:t xml:space="preserve"> 7. aprīļa lēmumu</w:t>
      </w:r>
      <w:r w:rsidRPr="009056A0">
        <w:rPr>
          <w:rFonts w:asciiTheme="majorBidi" w:hAnsiTheme="majorBidi" w:cstheme="majorBidi"/>
        </w:rPr>
        <w:t xml:space="preserve"> </w:t>
      </w:r>
      <w:r w:rsidR="00F906A6" w:rsidRPr="009056A0">
        <w:rPr>
          <w:rFonts w:asciiTheme="majorBidi" w:hAnsiTheme="majorBidi" w:cstheme="majorBidi"/>
        </w:rPr>
        <w:t xml:space="preserve">prokurore Z. Pavāre </w:t>
      </w:r>
      <w:r w:rsidRPr="009056A0">
        <w:rPr>
          <w:rFonts w:asciiTheme="majorBidi" w:hAnsiTheme="majorBidi" w:cstheme="majorBidi"/>
        </w:rPr>
        <w:t>iesnie</w:t>
      </w:r>
      <w:r w:rsidR="00F906A6" w:rsidRPr="009056A0">
        <w:rPr>
          <w:rFonts w:asciiTheme="majorBidi" w:hAnsiTheme="majorBidi" w:cstheme="majorBidi"/>
        </w:rPr>
        <w:t>gusi</w:t>
      </w:r>
      <w:r w:rsidRPr="009056A0">
        <w:rPr>
          <w:rFonts w:asciiTheme="majorBidi" w:hAnsiTheme="majorBidi" w:cstheme="majorBidi"/>
        </w:rPr>
        <w:t xml:space="preserve"> kasācijas protestu,</w:t>
      </w:r>
      <w:r w:rsidR="00742B0D">
        <w:rPr>
          <w:rFonts w:asciiTheme="majorBidi" w:hAnsiTheme="majorBidi" w:cstheme="majorBidi"/>
        </w:rPr>
        <w:t xml:space="preserve"> kurā</w:t>
      </w:r>
      <w:r w:rsidRPr="009056A0">
        <w:rPr>
          <w:rFonts w:asciiTheme="majorBidi" w:hAnsiTheme="majorBidi" w:cstheme="majorBidi"/>
        </w:rPr>
        <w:t xml:space="preserve"> lūdz </w:t>
      </w:r>
      <w:r w:rsidR="009E6990" w:rsidRPr="009056A0">
        <w:rPr>
          <w:rFonts w:asciiTheme="majorBidi" w:hAnsiTheme="majorBidi" w:cstheme="majorBidi"/>
        </w:rPr>
        <w:t>lēmumu</w:t>
      </w:r>
      <w:r w:rsidRPr="009056A0">
        <w:rPr>
          <w:rFonts w:asciiTheme="majorBidi" w:hAnsiTheme="majorBidi" w:cstheme="majorBidi"/>
        </w:rPr>
        <w:t xml:space="preserve"> atcelt un nosūtīt lietu jaunai izskatīšanai apelācijas instances tiesā</w:t>
      </w:r>
      <w:r w:rsidR="0045430D">
        <w:rPr>
          <w:rFonts w:asciiTheme="majorBidi" w:hAnsiTheme="majorBidi" w:cstheme="majorBidi"/>
        </w:rPr>
        <w:t>, norādot, ka a</w:t>
      </w:r>
      <w:r w:rsidR="009B5EDD" w:rsidRPr="009056A0">
        <w:rPr>
          <w:rFonts w:asciiTheme="majorBidi" w:hAnsiTheme="majorBidi" w:cstheme="majorBidi"/>
        </w:rPr>
        <w:t xml:space="preserve">pelācijas instances </w:t>
      </w:r>
      <w:r w:rsidR="009B5EDD">
        <w:rPr>
          <w:rFonts w:asciiTheme="majorBidi" w:hAnsiTheme="majorBidi" w:cstheme="majorBidi"/>
        </w:rPr>
        <w:t>t</w:t>
      </w:r>
      <w:r w:rsidRPr="009056A0">
        <w:rPr>
          <w:rFonts w:asciiTheme="majorBidi" w:hAnsiTheme="majorBidi" w:cstheme="majorBidi"/>
        </w:rPr>
        <w:t xml:space="preserve">iesa </w:t>
      </w:r>
      <w:r w:rsidR="007F2593" w:rsidRPr="009056A0">
        <w:rPr>
          <w:rFonts w:asciiTheme="majorBidi" w:hAnsiTheme="majorBidi" w:cstheme="majorBidi"/>
        </w:rPr>
        <w:t xml:space="preserve">nepareizi piemērojusi </w:t>
      </w:r>
      <w:r w:rsidRPr="009056A0">
        <w:rPr>
          <w:rFonts w:asciiTheme="majorBidi" w:hAnsiTheme="majorBidi" w:cstheme="majorBidi"/>
        </w:rPr>
        <w:t>Kriminālprocesa likuma</w:t>
      </w:r>
      <w:r w:rsidR="001432A4" w:rsidRPr="009056A0">
        <w:rPr>
          <w:rFonts w:asciiTheme="majorBidi" w:hAnsiTheme="majorBidi" w:cstheme="majorBidi"/>
        </w:rPr>
        <w:t xml:space="preserve"> 130</w:t>
      </w:r>
      <w:r w:rsidRPr="009056A0">
        <w:rPr>
          <w:rFonts w:asciiTheme="majorBidi" w:hAnsiTheme="majorBidi" w:cstheme="majorBidi"/>
        </w:rPr>
        <w:t>.</w:t>
      </w:r>
      <w:r w:rsidR="001432A4" w:rsidRPr="009056A0">
        <w:rPr>
          <w:rFonts w:asciiTheme="majorBidi" w:hAnsiTheme="majorBidi" w:cstheme="majorBidi"/>
        </w:rPr>
        <w:t> </w:t>
      </w:r>
      <w:r w:rsidRPr="009056A0">
        <w:rPr>
          <w:rFonts w:asciiTheme="majorBidi" w:hAnsiTheme="majorBidi" w:cstheme="majorBidi"/>
        </w:rPr>
        <w:t>panta</w:t>
      </w:r>
      <w:r w:rsidR="001432A4" w:rsidRPr="009056A0">
        <w:rPr>
          <w:rFonts w:asciiTheme="majorBidi" w:hAnsiTheme="majorBidi" w:cstheme="majorBidi"/>
        </w:rPr>
        <w:t xml:space="preserve"> otrās daļas 3. punkt</w:t>
      </w:r>
      <w:r w:rsidR="007F2593">
        <w:rPr>
          <w:rFonts w:asciiTheme="majorBidi" w:hAnsiTheme="majorBidi" w:cstheme="majorBidi"/>
        </w:rPr>
        <w:t>u</w:t>
      </w:r>
      <w:r w:rsidR="001432A4" w:rsidRPr="009056A0">
        <w:rPr>
          <w:rFonts w:asciiTheme="majorBidi" w:hAnsiTheme="majorBidi" w:cstheme="majorBidi"/>
        </w:rPr>
        <w:t>, 225</w:t>
      </w:r>
      <w:r w:rsidRPr="009056A0">
        <w:rPr>
          <w:rFonts w:asciiTheme="majorBidi" w:hAnsiTheme="majorBidi" w:cstheme="majorBidi"/>
        </w:rPr>
        <w:t xml:space="preserve">. panta </w:t>
      </w:r>
      <w:r w:rsidR="001432A4" w:rsidRPr="009056A0">
        <w:rPr>
          <w:rFonts w:asciiTheme="majorBidi" w:hAnsiTheme="majorBidi" w:cstheme="majorBidi"/>
        </w:rPr>
        <w:t xml:space="preserve">pirmās </w:t>
      </w:r>
      <w:r w:rsidRPr="009056A0">
        <w:rPr>
          <w:rFonts w:asciiTheme="majorBidi" w:hAnsiTheme="majorBidi" w:cstheme="majorBidi"/>
        </w:rPr>
        <w:t>daļas</w:t>
      </w:r>
      <w:r w:rsidR="001432A4" w:rsidRPr="009056A0">
        <w:rPr>
          <w:rFonts w:asciiTheme="majorBidi" w:hAnsiTheme="majorBidi" w:cstheme="majorBidi"/>
        </w:rPr>
        <w:t xml:space="preserve"> 3. punkt</w:t>
      </w:r>
      <w:r w:rsidR="007F2593">
        <w:rPr>
          <w:rFonts w:asciiTheme="majorBidi" w:hAnsiTheme="majorBidi" w:cstheme="majorBidi"/>
        </w:rPr>
        <w:t>u</w:t>
      </w:r>
      <w:r w:rsidR="00722724">
        <w:rPr>
          <w:rFonts w:asciiTheme="majorBidi" w:hAnsiTheme="majorBidi" w:cstheme="majorBidi"/>
        </w:rPr>
        <w:t xml:space="preserve">, </w:t>
      </w:r>
      <w:r w:rsidR="001432A4" w:rsidRPr="009056A0">
        <w:rPr>
          <w:rFonts w:asciiTheme="majorBidi" w:hAnsiTheme="majorBidi" w:cstheme="majorBidi"/>
        </w:rPr>
        <w:t xml:space="preserve">229. panta </w:t>
      </w:r>
      <w:r w:rsidR="00F945B9" w:rsidRPr="009056A0">
        <w:rPr>
          <w:rFonts w:asciiTheme="majorBidi" w:hAnsiTheme="majorBidi" w:cstheme="majorBidi"/>
        </w:rPr>
        <w:t>otr</w:t>
      </w:r>
      <w:r w:rsidR="007F2593">
        <w:rPr>
          <w:rFonts w:asciiTheme="majorBidi" w:hAnsiTheme="majorBidi" w:cstheme="majorBidi"/>
        </w:rPr>
        <w:t>o</w:t>
      </w:r>
      <w:r w:rsidR="00F945B9" w:rsidRPr="009056A0">
        <w:rPr>
          <w:rFonts w:asciiTheme="majorBidi" w:hAnsiTheme="majorBidi" w:cstheme="majorBidi"/>
        </w:rPr>
        <w:t xml:space="preserve"> un </w:t>
      </w:r>
      <w:r w:rsidR="001432A4" w:rsidRPr="009056A0">
        <w:rPr>
          <w:rFonts w:asciiTheme="majorBidi" w:hAnsiTheme="majorBidi" w:cstheme="majorBidi"/>
        </w:rPr>
        <w:t>treš</w:t>
      </w:r>
      <w:r w:rsidR="007F2593">
        <w:rPr>
          <w:rFonts w:asciiTheme="majorBidi" w:hAnsiTheme="majorBidi" w:cstheme="majorBidi"/>
        </w:rPr>
        <w:t>o</w:t>
      </w:r>
      <w:r w:rsidR="001432A4" w:rsidRPr="009056A0">
        <w:rPr>
          <w:rFonts w:asciiTheme="majorBidi" w:hAnsiTheme="majorBidi" w:cstheme="majorBidi"/>
        </w:rPr>
        <w:t xml:space="preserve"> daļ</w:t>
      </w:r>
      <w:r w:rsidR="007F2593">
        <w:rPr>
          <w:rFonts w:asciiTheme="majorBidi" w:hAnsiTheme="majorBidi" w:cstheme="majorBidi"/>
        </w:rPr>
        <w:t>u</w:t>
      </w:r>
      <w:r w:rsidR="00F945B9" w:rsidRPr="009056A0">
        <w:rPr>
          <w:rFonts w:asciiTheme="majorBidi" w:hAnsiTheme="majorBidi" w:cstheme="majorBidi"/>
        </w:rPr>
        <w:t xml:space="preserve">, </w:t>
      </w:r>
      <w:r w:rsidR="0042438C" w:rsidRPr="009056A0">
        <w:rPr>
          <w:rFonts w:asciiTheme="majorBidi" w:hAnsiTheme="majorBidi" w:cstheme="majorBidi"/>
        </w:rPr>
        <w:t>511.</w:t>
      </w:r>
      <w:r w:rsidR="00F945B9" w:rsidRPr="009056A0">
        <w:rPr>
          <w:rFonts w:asciiTheme="majorBidi" w:hAnsiTheme="majorBidi" w:cstheme="majorBidi"/>
        </w:rPr>
        <w:t> pant</w:t>
      </w:r>
      <w:r w:rsidR="007F2593">
        <w:rPr>
          <w:rFonts w:asciiTheme="majorBidi" w:hAnsiTheme="majorBidi" w:cstheme="majorBidi"/>
        </w:rPr>
        <w:t>u un</w:t>
      </w:r>
      <w:r w:rsidR="00F945B9" w:rsidRPr="009056A0">
        <w:rPr>
          <w:rFonts w:asciiTheme="majorBidi" w:hAnsiTheme="majorBidi" w:cstheme="majorBidi"/>
        </w:rPr>
        <w:t xml:space="preserve"> 512. </w:t>
      </w:r>
      <w:r w:rsidR="0042438C" w:rsidRPr="009056A0">
        <w:rPr>
          <w:rFonts w:asciiTheme="majorBidi" w:hAnsiTheme="majorBidi" w:cstheme="majorBidi"/>
        </w:rPr>
        <w:t>panta</w:t>
      </w:r>
      <w:r w:rsidR="00E02C35" w:rsidRPr="009056A0">
        <w:rPr>
          <w:rFonts w:asciiTheme="majorBidi" w:hAnsiTheme="majorBidi" w:cstheme="majorBidi"/>
        </w:rPr>
        <w:t xml:space="preserve"> </w:t>
      </w:r>
      <w:r w:rsidR="00F945B9" w:rsidRPr="009056A0">
        <w:rPr>
          <w:rFonts w:asciiTheme="majorBidi" w:hAnsiTheme="majorBidi" w:cstheme="majorBidi"/>
        </w:rPr>
        <w:t>otr</w:t>
      </w:r>
      <w:r w:rsidR="007F2593">
        <w:rPr>
          <w:rFonts w:asciiTheme="majorBidi" w:hAnsiTheme="majorBidi" w:cstheme="majorBidi"/>
        </w:rPr>
        <w:t>o</w:t>
      </w:r>
      <w:r w:rsidR="00F945B9" w:rsidRPr="009056A0">
        <w:rPr>
          <w:rFonts w:asciiTheme="majorBidi" w:hAnsiTheme="majorBidi" w:cstheme="majorBidi"/>
        </w:rPr>
        <w:t xml:space="preserve"> daļ</w:t>
      </w:r>
      <w:r w:rsidR="007F2593">
        <w:rPr>
          <w:rFonts w:asciiTheme="majorBidi" w:hAnsiTheme="majorBidi" w:cstheme="majorBidi"/>
        </w:rPr>
        <w:t>u</w:t>
      </w:r>
      <w:r w:rsidR="001432A4" w:rsidRPr="009056A0">
        <w:rPr>
          <w:rFonts w:asciiTheme="majorBidi" w:hAnsiTheme="majorBidi" w:cstheme="majorBidi"/>
        </w:rPr>
        <w:t>, kas atzīstam</w:t>
      </w:r>
      <w:r w:rsidR="005F5902">
        <w:rPr>
          <w:rFonts w:asciiTheme="majorBidi" w:hAnsiTheme="majorBidi" w:cstheme="majorBidi"/>
        </w:rPr>
        <w:t>i</w:t>
      </w:r>
      <w:r w:rsidR="001432A4" w:rsidRPr="009056A0">
        <w:rPr>
          <w:rFonts w:asciiTheme="majorBidi" w:hAnsiTheme="majorBidi" w:cstheme="majorBidi"/>
        </w:rPr>
        <w:t xml:space="preserve"> par būtisk</w:t>
      </w:r>
      <w:r w:rsidR="005F5902">
        <w:rPr>
          <w:rFonts w:asciiTheme="majorBidi" w:hAnsiTheme="majorBidi" w:cstheme="majorBidi"/>
        </w:rPr>
        <w:t>iem</w:t>
      </w:r>
      <w:r w:rsidR="001432A4" w:rsidRPr="009056A0">
        <w:rPr>
          <w:rFonts w:asciiTheme="majorBidi" w:hAnsiTheme="majorBidi" w:cstheme="majorBidi"/>
        </w:rPr>
        <w:t xml:space="preserve"> pārkāpum</w:t>
      </w:r>
      <w:r w:rsidR="005F5902">
        <w:rPr>
          <w:rFonts w:asciiTheme="majorBidi" w:hAnsiTheme="majorBidi" w:cstheme="majorBidi"/>
        </w:rPr>
        <w:t>iem</w:t>
      </w:r>
      <w:r w:rsidR="006E00B2" w:rsidRPr="009056A0">
        <w:rPr>
          <w:rFonts w:asciiTheme="majorBidi" w:hAnsiTheme="majorBidi" w:cstheme="majorBidi"/>
        </w:rPr>
        <w:t xml:space="preserve"> </w:t>
      </w:r>
      <w:r w:rsidR="001432A4" w:rsidRPr="009056A0">
        <w:rPr>
          <w:rFonts w:asciiTheme="majorBidi" w:hAnsiTheme="majorBidi" w:cstheme="majorBidi"/>
        </w:rPr>
        <w:t>Kriminālprocesa likuma 575.</w:t>
      </w:r>
      <w:r w:rsidR="001B7F9F" w:rsidRPr="009056A0">
        <w:rPr>
          <w:rFonts w:asciiTheme="majorBidi" w:hAnsiTheme="majorBidi" w:cstheme="majorBidi"/>
        </w:rPr>
        <w:t> </w:t>
      </w:r>
      <w:r w:rsidR="001432A4" w:rsidRPr="009056A0">
        <w:rPr>
          <w:rFonts w:asciiTheme="majorBidi" w:hAnsiTheme="majorBidi" w:cstheme="majorBidi"/>
        </w:rPr>
        <w:t xml:space="preserve">panta trešās daļās izpratnē </w:t>
      </w:r>
      <w:r w:rsidR="006E00B2" w:rsidRPr="009056A0">
        <w:rPr>
          <w:rFonts w:asciiTheme="majorBidi" w:hAnsiTheme="majorBidi" w:cstheme="majorBidi"/>
        </w:rPr>
        <w:t xml:space="preserve">un </w:t>
      </w:r>
      <w:r w:rsidR="001432A4" w:rsidRPr="009056A0">
        <w:rPr>
          <w:rFonts w:asciiTheme="majorBidi" w:hAnsiTheme="majorBidi" w:cstheme="majorBidi"/>
        </w:rPr>
        <w:t>noved</w:t>
      </w:r>
      <w:r w:rsidR="00EE3F1E">
        <w:rPr>
          <w:rFonts w:asciiTheme="majorBidi" w:hAnsiTheme="majorBidi" w:cstheme="majorBidi"/>
        </w:rPr>
        <w:t>uši</w:t>
      </w:r>
      <w:r w:rsidR="006E00B2" w:rsidRPr="009056A0">
        <w:rPr>
          <w:rFonts w:asciiTheme="majorBidi" w:hAnsiTheme="majorBidi" w:cstheme="majorBidi"/>
        </w:rPr>
        <w:t xml:space="preserve"> pie nelikumīga nolēmuma.</w:t>
      </w:r>
    </w:p>
    <w:p w14:paraId="4CACD69F" w14:textId="57B0F29C" w:rsidR="00910500" w:rsidRDefault="00910500" w:rsidP="0045430D">
      <w:pPr>
        <w:spacing w:line="276" w:lineRule="auto"/>
        <w:ind w:firstLine="720"/>
        <w:contextualSpacing/>
        <w:jc w:val="both"/>
        <w:rPr>
          <w:rFonts w:asciiTheme="majorBidi" w:hAnsiTheme="majorBidi" w:cstheme="majorBidi"/>
        </w:rPr>
      </w:pPr>
      <w:r w:rsidRPr="00910500">
        <w:rPr>
          <w:rFonts w:asciiTheme="majorBidi" w:hAnsiTheme="majorBidi" w:cstheme="majorBidi"/>
        </w:rPr>
        <w:t>Prokurores kasācijas protestu pamato turpmāk norādītie argumenti</w:t>
      </w:r>
      <w:r>
        <w:rPr>
          <w:rFonts w:asciiTheme="majorBidi" w:hAnsiTheme="majorBidi" w:cstheme="majorBidi"/>
        </w:rPr>
        <w:t>.</w:t>
      </w:r>
    </w:p>
    <w:p w14:paraId="24699B8C" w14:textId="0DFF2D9E" w:rsidR="008E7868" w:rsidRPr="009056A0" w:rsidRDefault="00D836C8" w:rsidP="009056A0">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[4.</w:t>
      </w:r>
      <w:r w:rsidR="00B16707">
        <w:rPr>
          <w:rFonts w:asciiTheme="majorBidi" w:hAnsiTheme="majorBidi" w:cstheme="majorBidi"/>
        </w:rPr>
        <w:t>1</w:t>
      </w:r>
      <w:r w:rsidRPr="009056A0">
        <w:rPr>
          <w:rFonts w:asciiTheme="majorBidi" w:hAnsiTheme="majorBidi" w:cstheme="majorBidi"/>
        </w:rPr>
        <w:t>] </w:t>
      </w:r>
      <w:r w:rsidR="009B5EDD">
        <w:rPr>
          <w:rFonts w:asciiTheme="majorBidi" w:hAnsiTheme="majorBidi" w:cstheme="majorBidi"/>
        </w:rPr>
        <w:t>T</w:t>
      </w:r>
      <w:r w:rsidR="008E7868" w:rsidRPr="009056A0">
        <w:rPr>
          <w:rFonts w:asciiTheme="majorBidi" w:hAnsiTheme="majorBidi" w:cstheme="majorBidi"/>
        </w:rPr>
        <w:t>iesa nepamatoti secināj</w:t>
      </w:r>
      <w:r w:rsidR="000F3E08">
        <w:rPr>
          <w:rFonts w:asciiTheme="majorBidi" w:hAnsiTheme="majorBidi" w:cstheme="majorBidi"/>
        </w:rPr>
        <w:t>usi</w:t>
      </w:r>
      <w:r w:rsidR="008E7868" w:rsidRPr="009056A0">
        <w:rPr>
          <w:rFonts w:asciiTheme="majorBidi" w:hAnsiTheme="majorBidi" w:cstheme="majorBidi"/>
        </w:rPr>
        <w:t xml:space="preserve">, ka </w:t>
      </w:r>
      <w:bookmarkStart w:id="0" w:name="_Hlk127347960"/>
      <w:r w:rsidR="00F64857" w:rsidRPr="009056A0">
        <w:rPr>
          <w:rFonts w:asciiTheme="majorBidi" w:hAnsiTheme="majorBidi" w:cstheme="majorBidi"/>
        </w:rPr>
        <w:t xml:space="preserve">speciālā izmeklēšanas </w:t>
      </w:r>
      <w:r w:rsidR="000F3E08">
        <w:rPr>
          <w:rFonts w:asciiTheme="majorBidi" w:hAnsiTheme="majorBidi" w:cstheme="majorBidi"/>
        </w:rPr>
        <w:t xml:space="preserve">eksperimenta </w:t>
      </w:r>
      <w:bookmarkEnd w:id="0"/>
      <w:r w:rsidR="00F64857" w:rsidRPr="009056A0">
        <w:rPr>
          <w:rFonts w:asciiTheme="majorBidi" w:hAnsiTheme="majorBidi" w:cstheme="majorBidi"/>
        </w:rPr>
        <w:t xml:space="preserve">rezultātā iegūtās ziņas </w:t>
      </w:r>
      <w:r w:rsidR="00EC769A">
        <w:rPr>
          <w:rFonts w:asciiTheme="majorBidi" w:hAnsiTheme="majorBidi" w:cstheme="majorBidi"/>
        </w:rPr>
        <w:t>ir</w:t>
      </w:r>
      <w:r w:rsidR="00EC769A" w:rsidRPr="009056A0">
        <w:rPr>
          <w:rFonts w:asciiTheme="majorBidi" w:hAnsiTheme="majorBidi" w:cstheme="majorBidi"/>
        </w:rPr>
        <w:t xml:space="preserve"> </w:t>
      </w:r>
      <w:r w:rsidR="00EC769A">
        <w:rPr>
          <w:rFonts w:asciiTheme="majorBidi" w:hAnsiTheme="majorBidi" w:cstheme="majorBidi"/>
        </w:rPr>
        <w:t>ne</w:t>
      </w:r>
      <w:r w:rsidR="00F64857" w:rsidRPr="009056A0">
        <w:rPr>
          <w:rFonts w:asciiTheme="majorBidi" w:hAnsiTheme="majorBidi" w:cstheme="majorBidi"/>
        </w:rPr>
        <w:t>pieļaujamas un pierādīšanā neizmantojam</w:t>
      </w:r>
      <w:r w:rsidR="00EC769A">
        <w:rPr>
          <w:rFonts w:asciiTheme="majorBidi" w:hAnsiTheme="majorBidi" w:cstheme="majorBidi"/>
        </w:rPr>
        <w:t>as</w:t>
      </w:r>
      <w:r w:rsidR="00F64857" w:rsidRPr="009056A0">
        <w:rPr>
          <w:rFonts w:asciiTheme="majorBidi" w:hAnsiTheme="majorBidi" w:cstheme="majorBidi"/>
        </w:rPr>
        <w:t xml:space="preserve">, jo </w:t>
      </w:r>
      <w:r w:rsidR="000C16DE">
        <w:rPr>
          <w:rFonts w:asciiTheme="majorBidi" w:hAnsiTheme="majorBidi" w:cstheme="majorBidi"/>
        </w:rPr>
        <w:t>tās</w:t>
      </w:r>
      <w:r w:rsidR="000C16DE" w:rsidRPr="009056A0">
        <w:rPr>
          <w:rFonts w:asciiTheme="majorBidi" w:hAnsiTheme="majorBidi" w:cstheme="majorBidi"/>
        </w:rPr>
        <w:t xml:space="preserve"> </w:t>
      </w:r>
      <w:r w:rsidR="00DA1775">
        <w:rPr>
          <w:rFonts w:asciiTheme="majorBidi" w:hAnsiTheme="majorBidi" w:cstheme="majorBidi"/>
        </w:rPr>
        <w:t xml:space="preserve">ir </w:t>
      </w:r>
      <w:r w:rsidR="00F64857" w:rsidRPr="009056A0">
        <w:rPr>
          <w:rFonts w:asciiTheme="majorBidi" w:hAnsiTheme="majorBidi" w:cstheme="majorBidi"/>
        </w:rPr>
        <w:t>iegūtas nevis par kukuļa pieprasīšanu, bet par tā pieņemšanu</w:t>
      </w:r>
      <w:r w:rsidR="00DA1775">
        <w:rPr>
          <w:rFonts w:asciiTheme="majorBidi" w:hAnsiTheme="majorBidi" w:cstheme="majorBidi"/>
        </w:rPr>
        <w:t>,</w:t>
      </w:r>
      <w:r w:rsidR="00552485" w:rsidRPr="009056A0">
        <w:rPr>
          <w:rFonts w:asciiTheme="majorBidi" w:hAnsiTheme="majorBidi" w:cstheme="majorBidi"/>
        </w:rPr>
        <w:t xml:space="preserve"> </w:t>
      </w:r>
      <w:r w:rsidR="00964866">
        <w:rPr>
          <w:rFonts w:asciiTheme="majorBidi" w:hAnsiTheme="majorBidi" w:cstheme="majorBidi"/>
        </w:rPr>
        <w:t xml:space="preserve">turklāt </w:t>
      </w:r>
      <w:r w:rsidR="00552485" w:rsidRPr="009056A0">
        <w:rPr>
          <w:rFonts w:asciiTheme="majorBidi" w:hAnsiTheme="majorBidi" w:cstheme="majorBidi"/>
        </w:rPr>
        <w:t>lēmumā par speciāl</w:t>
      </w:r>
      <w:r w:rsidR="004071C1">
        <w:rPr>
          <w:rFonts w:asciiTheme="majorBidi" w:hAnsiTheme="majorBidi" w:cstheme="majorBidi"/>
        </w:rPr>
        <w:t>ā</w:t>
      </w:r>
      <w:r w:rsidR="00552485" w:rsidRPr="009056A0">
        <w:rPr>
          <w:rFonts w:asciiTheme="majorBidi" w:hAnsiTheme="majorBidi" w:cstheme="majorBidi"/>
        </w:rPr>
        <w:t xml:space="preserve"> </w:t>
      </w:r>
      <w:r w:rsidR="00552485" w:rsidRPr="009056A0">
        <w:rPr>
          <w:rFonts w:asciiTheme="majorBidi" w:hAnsiTheme="majorBidi" w:cstheme="majorBidi"/>
        </w:rPr>
        <w:lastRenderedPageBreak/>
        <w:t>izmeklēšanas eksperiment</w:t>
      </w:r>
      <w:r w:rsidR="004071C1">
        <w:rPr>
          <w:rFonts w:asciiTheme="majorBidi" w:hAnsiTheme="majorBidi" w:cstheme="majorBidi"/>
        </w:rPr>
        <w:t>a veikšanu</w:t>
      </w:r>
      <w:r w:rsidR="00552485" w:rsidRPr="009056A0">
        <w:rPr>
          <w:rFonts w:asciiTheme="majorBidi" w:hAnsiTheme="majorBidi" w:cstheme="majorBidi"/>
        </w:rPr>
        <w:t xml:space="preserve"> nav norādīta iestāde, kurai uzdots to veikt.</w:t>
      </w:r>
    </w:p>
    <w:p w14:paraId="4CA0AC4B" w14:textId="4349981A" w:rsidR="006E00B2" w:rsidRDefault="00393B12" w:rsidP="000C16DE">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Apelācijas instances tiesa nav izvērtējusi apelācijas protesta argumentu, ka s</w:t>
      </w:r>
      <w:r w:rsidR="006E00B2" w:rsidRPr="009056A0">
        <w:rPr>
          <w:rFonts w:asciiTheme="majorBidi" w:hAnsiTheme="majorBidi" w:cstheme="majorBidi"/>
        </w:rPr>
        <w:t xml:space="preserve">peciālā izmeklēšanas eksperimenta </w:t>
      </w:r>
      <w:r w:rsidR="00BB3C09" w:rsidRPr="009056A0">
        <w:rPr>
          <w:rFonts w:asciiTheme="majorBidi" w:hAnsiTheme="majorBidi" w:cstheme="majorBidi"/>
        </w:rPr>
        <w:t xml:space="preserve">mērķis bija noskaidrot, vai </w:t>
      </w:r>
      <w:r w:rsidR="006703D5">
        <w:rPr>
          <w:rFonts w:asciiTheme="majorBidi" w:hAnsiTheme="majorBidi" w:cstheme="majorBidi"/>
        </w:rPr>
        <w:t>[pers. A]</w:t>
      </w:r>
      <w:r w:rsidR="00BB3C09" w:rsidRPr="009056A0">
        <w:rPr>
          <w:rFonts w:asciiTheme="majorBidi" w:hAnsiTheme="majorBidi" w:cstheme="majorBidi"/>
        </w:rPr>
        <w:t xml:space="preserve"> pieņems kukuli pēc tā pieprasīšanas</w:t>
      </w:r>
      <w:r w:rsidRPr="009056A0">
        <w:rPr>
          <w:rFonts w:asciiTheme="majorBidi" w:hAnsiTheme="majorBidi" w:cstheme="majorBidi"/>
        </w:rPr>
        <w:t xml:space="preserve">. </w:t>
      </w:r>
      <w:r w:rsidR="00DA1775">
        <w:rPr>
          <w:rFonts w:asciiTheme="majorBidi" w:hAnsiTheme="majorBidi" w:cstheme="majorBidi"/>
        </w:rPr>
        <w:t xml:space="preserve">Ievērojot minēto, </w:t>
      </w:r>
      <w:r w:rsidR="00DA1775" w:rsidRPr="009056A0">
        <w:rPr>
          <w:rFonts w:asciiTheme="majorBidi" w:hAnsiTheme="majorBidi" w:cstheme="majorBidi"/>
        </w:rPr>
        <w:t>speciālā izmeklēšanas eksperimenta</w:t>
      </w:r>
      <w:r w:rsidR="00DA1775" w:rsidRPr="009056A0" w:rsidDel="00DA1775">
        <w:rPr>
          <w:rFonts w:asciiTheme="majorBidi" w:hAnsiTheme="majorBidi" w:cstheme="majorBidi"/>
        </w:rPr>
        <w:t xml:space="preserve"> </w:t>
      </w:r>
      <w:r w:rsidR="006E00B2" w:rsidRPr="009056A0">
        <w:rPr>
          <w:rFonts w:asciiTheme="majorBidi" w:hAnsiTheme="majorBidi" w:cstheme="majorBidi"/>
        </w:rPr>
        <w:t xml:space="preserve">tiesiskumu neietekmē apstāklis, ka pēc tā veikšanas </w:t>
      </w:r>
      <w:r w:rsidR="006703D5">
        <w:rPr>
          <w:rFonts w:asciiTheme="majorBidi" w:hAnsiTheme="majorBidi" w:cstheme="majorBidi"/>
        </w:rPr>
        <w:t>[pers. A]</w:t>
      </w:r>
      <w:r w:rsidR="006E00B2" w:rsidRPr="009056A0">
        <w:rPr>
          <w:rFonts w:asciiTheme="majorBidi" w:hAnsiTheme="majorBidi" w:cstheme="majorBidi"/>
        </w:rPr>
        <w:t xml:space="preserve"> noziedzīgās darbības kvalificētas </w:t>
      </w:r>
      <w:r w:rsidR="008E7868" w:rsidRPr="009056A0">
        <w:rPr>
          <w:rFonts w:asciiTheme="majorBidi" w:hAnsiTheme="majorBidi" w:cstheme="majorBidi"/>
        </w:rPr>
        <w:t xml:space="preserve">tikai </w:t>
      </w:r>
      <w:r w:rsidR="008E719D">
        <w:rPr>
          <w:rFonts w:asciiTheme="majorBidi" w:hAnsiTheme="majorBidi" w:cstheme="majorBidi"/>
        </w:rPr>
        <w:t>kā</w:t>
      </w:r>
      <w:r w:rsidR="008E719D" w:rsidRPr="009056A0">
        <w:rPr>
          <w:rFonts w:asciiTheme="majorBidi" w:hAnsiTheme="majorBidi" w:cstheme="majorBidi"/>
        </w:rPr>
        <w:t xml:space="preserve"> </w:t>
      </w:r>
      <w:r w:rsidR="008E7868" w:rsidRPr="009056A0">
        <w:rPr>
          <w:rFonts w:asciiTheme="majorBidi" w:hAnsiTheme="majorBidi" w:cstheme="majorBidi"/>
        </w:rPr>
        <w:t>kukuļa pieņemšan</w:t>
      </w:r>
      <w:r w:rsidR="008E719D">
        <w:rPr>
          <w:rFonts w:asciiTheme="majorBidi" w:hAnsiTheme="majorBidi" w:cstheme="majorBidi"/>
        </w:rPr>
        <w:t>a</w:t>
      </w:r>
      <w:r w:rsidR="008E7868" w:rsidRPr="009056A0">
        <w:rPr>
          <w:rFonts w:asciiTheme="majorBidi" w:hAnsiTheme="majorBidi" w:cstheme="majorBidi"/>
        </w:rPr>
        <w:t>, nekonstatējot citu kukuļņemšanas objektīvās puses pazīmi</w:t>
      </w:r>
      <w:r w:rsidR="00964866">
        <w:rPr>
          <w:rFonts w:asciiTheme="majorBidi" w:hAnsiTheme="majorBidi" w:cstheme="majorBidi"/>
        </w:rPr>
        <w:t> </w:t>
      </w:r>
      <w:r w:rsidR="008E7868" w:rsidRPr="009056A0">
        <w:rPr>
          <w:rFonts w:asciiTheme="majorBidi" w:hAnsiTheme="majorBidi" w:cstheme="majorBidi"/>
        </w:rPr>
        <w:t>– pieprasīšanu –, kas</w:t>
      </w:r>
      <w:r w:rsidR="00BB3C09" w:rsidRPr="009056A0">
        <w:rPr>
          <w:rFonts w:asciiTheme="majorBidi" w:hAnsiTheme="majorBidi" w:cstheme="majorBidi"/>
        </w:rPr>
        <w:t xml:space="preserve"> bija norādīt</w:t>
      </w:r>
      <w:r w:rsidR="00964866">
        <w:rPr>
          <w:rFonts w:asciiTheme="majorBidi" w:hAnsiTheme="majorBidi" w:cstheme="majorBidi"/>
        </w:rPr>
        <w:t>a</w:t>
      </w:r>
      <w:r w:rsidR="00BB3C09" w:rsidRPr="009056A0">
        <w:rPr>
          <w:rFonts w:asciiTheme="majorBidi" w:hAnsiTheme="majorBidi" w:cstheme="majorBidi"/>
        </w:rPr>
        <w:t xml:space="preserve"> lēmumā par speciālā izmeklēšanas eksperimenta veikšanu. </w:t>
      </w:r>
      <w:r w:rsidR="00D836C8" w:rsidRPr="009056A0">
        <w:rPr>
          <w:rFonts w:asciiTheme="majorBidi" w:hAnsiTheme="majorBidi" w:cstheme="majorBidi"/>
        </w:rPr>
        <w:t>Krimināllikuma 320.</w:t>
      </w:r>
      <w:r w:rsidR="001B7F9F" w:rsidRPr="009056A0">
        <w:rPr>
          <w:rFonts w:asciiTheme="majorBidi" w:hAnsiTheme="majorBidi" w:cstheme="majorBidi"/>
        </w:rPr>
        <w:t> </w:t>
      </w:r>
      <w:r w:rsidR="00D836C8" w:rsidRPr="009056A0">
        <w:rPr>
          <w:rFonts w:asciiTheme="majorBidi" w:hAnsiTheme="majorBidi" w:cstheme="majorBidi"/>
        </w:rPr>
        <w:t>panta otrajā daļā paredzēt</w:t>
      </w:r>
      <w:r w:rsidR="002A6A6F">
        <w:rPr>
          <w:rFonts w:asciiTheme="majorBidi" w:hAnsiTheme="majorBidi" w:cstheme="majorBidi"/>
        </w:rPr>
        <w:t>ais</w:t>
      </w:r>
      <w:r w:rsidR="00D836C8" w:rsidRPr="009056A0">
        <w:rPr>
          <w:rFonts w:asciiTheme="majorBidi" w:hAnsiTheme="majorBidi" w:cstheme="majorBidi"/>
        </w:rPr>
        <w:t xml:space="preserve"> noziedzīgais nodarījums klasificējams kā smags noziegums. </w:t>
      </w:r>
      <w:r w:rsidR="00552485" w:rsidRPr="009056A0">
        <w:rPr>
          <w:rFonts w:asciiTheme="majorBidi" w:hAnsiTheme="majorBidi" w:cstheme="majorBidi"/>
        </w:rPr>
        <w:t xml:space="preserve">Savukārt </w:t>
      </w:r>
      <w:r w:rsidR="00D836C8" w:rsidRPr="009056A0">
        <w:rPr>
          <w:rFonts w:asciiTheme="majorBidi" w:hAnsiTheme="majorBidi" w:cstheme="majorBidi"/>
        </w:rPr>
        <w:t>atbilstoši Kriminālprocesa 210. panta trešajai daļai par minēto noziedzīgo nodarījumu drīkst</w:t>
      </w:r>
      <w:r w:rsidR="00BB3C09" w:rsidRPr="009056A0">
        <w:rPr>
          <w:rFonts w:asciiTheme="majorBidi" w:hAnsiTheme="majorBidi" w:cstheme="majorBidi"/>
        </w:rPr>
        <w:t xml:space="preserve"> </w:t>
      </w:r>
      <w:r w:rsidR="00D836C8" w:rsidRPr="009056A0">
        <w:rPr>
          <w:rFonts w:asciiTheme="majorBidi" w:hAnsiTheme="majorBidi" w:cstheme="majorBidi"/>
        </w:rPr>
        <w:t>veikt speciālās izmeklēšanas darbības.</w:t>
      </w:r>
    </w:p>
    <w:p w14:paraId="4E12E4CF" w14:textId="1A66C517" w:rsidR="00552485" w:rsidRPr="009056A0" w:rsidRDefault="00552485" w:rsidP="009056A0">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T</w:t>
      </w:r>
      <w:r w:rsidR="00125A73">
        <w:rPr>
          <w:rFonts w:asciiTheme="majorBidi" w:hAnsiTheme="majorBidi" w:cstheme="majorBidi"/>
        </w:rPr>
        <w:t>āpat t</w:t>
      </w:r>
      <w:r w:rsidRPr="009056A0">
        <w:rPr>
          <w:rFonts w:asciiTheme="majorBidi" w:hAnsiTheme="majorBidi" w:cstheme="majorBidi"/>
        </w:rPr>
        <w:t>iesa nav pamatojusi, kā lēmuma nepilnība par iestādes, kurai uzdots veikt speciālo izmeklēšanas eksperimentu, nenorādīšan</w:t>
      </w:r>
      <w:r w:rsidR="00553552">
        <w:rPr>
          <w:rFonts w:asciiTheme="majorBidi" w:hAnsiTheme="majorBidi" w:cstheme="majorBidi"/>
        </w:rPr>
        <w:t>u</w:t>
      </w:r>
      <w:r w:rsidRPr="009056A0">
        <w:rPr>
          <w:rFonts w:asciiTheme="majorBidi" w:hAnsiTheme="majorBidi" w:cstheme="majorBidi"/>
        </w:rPr>
        <w:t xml:space="preserve"> varēja ietekmēt lēmuma tiesiskumu.</w:t>
      </w:r>
    </w:p>
    <w:p w14:paraId="774F423A" w14:textId="3097A09C" w:rsidR="00985893" w:rsidRDefault="00985893" w:rsidP="00985893">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[4.</w:t>
      </w:r>
      <w:r w:rsidR="00B16707">
        <w:rPr>
          <w:rFonts w:asciiTheme="majorBidi" w:hAnsiTheme="majorBidi" w:cstheme="majorBidi"/>
        </w:rPr>
        <w:t>2</w:t>
      </w:r>
      <w:r w:rsidRPr="009056A0">
        <w:rPr>
          <w:rFonts w:asciiTheme="majorBidi" w:hAnsiTheme="majorBidi" w:cstheme="majorBidi"/>
        </w:rPr>
        <w:t>] Tiesa</w:t>
      </w:r>
      <w:r>
        <w:rPr>
          <w:rFonts w:asciiTheme="majorBidi" w:hAnsiTheme="majorBidi" w:cstheme="majorBidi"/>
        </w:rPr>
        <w:t xml:space="preserve">, konstatējot, ka: </w:t>
      </w:r>
      <w:r w:rsidRPr="009056A0">
        <w:rPr>
          <w:rFonts w:asciiTheme="majorBidi" w:hAnsiTheme="majorBidi" w:cstheme="majorBidi"/>
        </w:rPr>
        <w:t>1) speciālā izmeklēšanas eksperimenta veicēj</w:t>
      </w:r>
      <w:r>
        <w:rPr>
          <w:rFonts w:asciiTheme="majorBidi" w:hAnsiTheme="majorBidi" w:cstheme="majorBidi"/>
        </w:rPr>
        <w:t>s</w:t>
      </w:r>
      <w:r w:rsidRPr="009056A0">
        <w:rPr>
          <w:rFonts w:asciiTheme="majorBidi" w:hAnsiTheme="majorBidi" w:cstheme="majorBidi"/>
        </w:rPr>
        <w:t xml:space="preserve"> </w:t>
      </w:r>
      <w:r w:rsidR="006703D5">
        <w:rPr>
          <w:rFonts w:asciiTheme="majorBidi" w:hAnsiTheme="majorBidi" w:cstheme="majorBidi"/>
        </w:rPr>
        <w:t>[pers. B]</w:t>
      </w:r>
      <w:r w:rsidRPr="009056A0">
        <w:rPr>
          <w:rFonts w:asciiTheme="majorBidi" w:hAnsiTheme="majorBidi" w:cstheme="majorBidi"/>
        </w:rPr>
        <w:t xml:space="preserve"> nodeva kukuli </w:t>
      </w:r>
      <w:r w:rsidR="006703D5">
        <w:rPr>
          <w:rFonts w:asciiTheme="majorBidi" w:hAnsiTheme="majorBidi" w:cstheme="majorBidi"/>
        </w:rPr>
        <w:t>[pers. A]</w:t>
      </w:r>
      <w:r w:rsidRPr="009056A0">
        <w:rPr>
          <w:rFonts w:asciiTheme="majorBidi" w:hAnsiTheme="majorBidi" w:cstheme="majorBidi"/>
        </w:rPr>
        <w:t>, nesagaidot kukuļa pieprasīšanu</w:t>
      </w:r>
      <w:r w:rsidR="00DF1C72">
        <w:rPr>
          <w:rFonts w:asciiTheme="majorBidi" w:hAnsiTheme="majorBidi" w:cstheme="majorBidi"/>
        </w:rPr>
        <w:t>,</w:t>
      </w:r>
      <w:r w:rsidRPr="009056A0">
        <w:rPr>
          <w:rFonts w:asciiTheme="majorBidi" w:hAnsiTheme="majorBidi" w:cstheme="majorBidi"/>
        </w:rPr>
        <w:t xml:space="preserve"> 2) </w:t>
      </w:r>
      <w:r w:rsidR="006703D5">
        <w:rPr>
          <w:rFonts w:asciiTheme="majorBidi" w:hAnsiTheme="majorBidi" w:cstheme="majorBidi"/>
        </w:rPr>
        <w:t>[pers. B]</w:t>
      </w:r>
      <w:r w:rsidRPr="009056A0">
        <w:rPr>
          <w:rFonts w:asciiTheme="majorBidi" w:hAnsiTheme="majorBidi" w:cstheme="majorBidi"/>
        </w:rPr>
        <w:t xml:space="preserve"> vairākas reizes zvanīja </w:t>
      </w:r>
      <w:r w:rsidR="006703D5">
        <w:rPr>
          <w:rFonts w:asciiTheme="majorBidi" w:hAnsiTheme="majorBidi" w:cstheme="majorBidi"/>
        </w:rPr>
        <w:t>[pers. A]</w:t>
      </w:r>
      <w:r w:rsidRPr="009056A0">
        <w:rPr>
          <w:rFonts w:asciiTheme="majorBidi" w:hAnsiTheme="majorBidi" w:cstheme="majorBidi"/>
        </w:rPr>
        <w:t xml:space="preserve"> un uzņēmās tikšanās organizēšanu</w:t>
      </w:r>
      <w:r>
        <w:rPr>
          <w:rFonts w:asciiTheme="majorBidi" w:hAnsiTheme="majorBidi" w:cstheme="majorBidi"/>
        </w:rPr>
        <w:t xml:space="preserve">, </w:t>
      </w:r>
      <w:r w:rsidR="006703D5">
        <w:rPr>
          <w:rFonts w:asciiTheme="majorBidi" w:hAnsiTheme="majorBidi" w:cstheme="majorBidi"/>
        </w:rPr>
        <w:t>[pers. B]</w:t>
      </w:r>
      <w:r>
        <w:rPr>
          <w:rFonts w:asciiTheme="majorBidi" w:hAnsiTheme="majorBidi" w:cstheme="majorBidi"/>
        </w:rPr>
        <w:t xml:space="preserve"> darbības </w:t>
      </w:r>
      <w:r w:rsidRPr="00682534">
        <w:rPr>
          <w:rFonts w:asciiTheme="majorBidi" w:hAnsiTheme="majorBidi" w:cstheme="majorBidi"/>
        </w:rPr>
        <w:t>kļūdaini</w:t>
      </w:r>
      <w:r>
        <w:rPr>
          <w:rFonts w:asciiTheme="majorBidi" w:hAnsiTheme="majorBidi" w:cstheme="majorBidi"/>
        </w:rPr>
        <w:t xml:space="preserve"> vērtējusi kā uzkūdīšanu izdarīt noziedzīgu nodarījumu</w:t>
      </w:r>
      <w:r w:rsidR="00196614">
        <w:rPr>
          <w:rFonts w:asciiTheme="majorBidi" w:hAnsiTheme="majorBidi" w:cstheme="majorBidi"/>
        </w:rPr>
        <w:t>.</w:t>
      </w:r>
    </w:p>
    <w:p w14:paraId="52D45EF7" w14:textId="5F1228EF" w:rsidR="00DD27D1" w:rsidRPr="009056A0" w:rsidRDefault="00AC3D70" w:rsidP="00EB5189">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Šāds</w:t>
      </w:r>
      <w:r w:rsidR="001E5FD1" w:rsidRPr="009056A0">
        <w:rPr>
          <w:rFonts w:asciiTheme="majorBidi" w:hAnsiTheme="majorBidi" w:cstheme="majorBidi"/>
        </w:rPr>
        <w:t xml:space="preserve"> </w:t>
      </w:r>
      <w:r w:rsidR="00343094" w:rsidRPr="009056A0">
        <w:rPr>
          <w:rFonts w:asciiTheme="majorBidi" w:hAnsiTheme="majorBidi" w:cstheme="majorBidi"/>
        </w:rPr>
        <w:t xml:space="preserve">nepamatots </w:t>
      </w:r>
      <w:r w:rsidR="001E5FD1" w:rsidRPr="009056A0">
        <w:rPr>
          <w:rFonts w:asciiTheme="majorBidi" w:hAnsiTheme="majorBidi" w:cstheme="majorBidi"/>
        </w:rPr>
        <w:t>tiesas</w:t>
      </w:r>
      <w:r w:rsidRPr="009056A0">
        <w:rPr>
          <w:rFonts w:asciiTheme="majorBidi" w:hAnsiTheme="majorBidi" w:cstheme="majorBidi"/>
        </w:rPr>
        <w:t xml:space="preserve"> secinājums izdarīts</w:t>
      </w:r>
      <w:r w:rsidR="009956FA">
        <w:rPr>
          <w:rFonts w:asciiTheme="majorBidi" w:hAnsiTheme="majorBidi" w:cstheme="majorBidi"/>
        </w:rPr>
        <w:t>,</w:t>
      </w:r>
      <w:r w:rsidRPr="009056A0">
        <w:rPr>
          <w:rFonts w:asciiTheme="majorBidi" w:hAnsiTheme="majorBidi" w:cstheme="majorBidi"/>
        </w:rPr>
        <w:t xml:space="preserve"> neņemot vērā</w:t>
      </w:r>
      <w:r w:rsidR="00343094" w:rsidRPr="009056A0">
        <w:rPr>
          <w:rFonts w:asciiTheme="majorBidi" w:hAnsiTheme="majorBidi" w:cstheme="majorBidi"/>
        </w:rPr>
        <w:t xml:space="preserve"> </w:t>
      </w:r>
      <w:r w:rsidR="0042438C" w:rsidRPr="009056A0">
        <w:rPr>
          <w:rFonts w:asciiTheme="majorBidi" w:hAnsiTheme="majorBidi" w:cstheme="majorBidi"/>
        </w:rPr>
        <w:t xml:space="preserve">sarunas starp </w:t>
      </w:r>
      <w:r w:rsidR="006703D5">
        <w:rPr>
          <w:rFonts w:asciiTheme="majorBidi" w:hAnsiTheme="majorBidi" w:cstheme="majorBidi"/>
        </w:rPr>
        <w:t>[pers. </w:t>
      </w:r>
      <w:r w:rsidR="006703D5">
        <w:t>B]</w:t>
      </w:r>
      <w:r w:rsidR="0042438C" w:rsidRPr="009056A0">
        <w:rPr>
          <w:rFonts w:asciiTheme="majorBidi" w:hAnsiTheme="majorBidi" w:cstheme="majorBidi"/>
        </w:rPr>
        <w:t xml:space="preserve"> un </w:t>
      </w:r>
      <w:r w:rsidR="006703D5">
        <w:rPr>
          <w:rFonts w:asciiTheme="majorBidi" w:hAnsiTheme="majorBidi" w:cstheme="majorBidi"/>
        </w:rPr>
        <w:t>[pers. A]</w:t>
      </w:r>
      <w:r w:rsidR="0042438C" w:rsidRPr="009056A0">
        <w:rPr>
          <w:rFonts w:asciiTheme="majorBidi" w:hAnsiTheme="majorBidi" w:cstheme="majorBidi"/>
        </w:rPr>
        <w:t xml:space="preserve"> eksperimenta laikā</w:t>
      </w:r>
      <w:r w:rsidR="009956FA">
        <w:rPr>
          <w:rFonts w:asciiTheme="majorBidi" w:hAnsiTheme="majorBidi" w:cstheme="majorBidi"/>
        </w:rPr>
        <w:t xml:space="preserve">, </w:t>
      </w:r>
      <w:r w:rsidR="00343094" w:rsidRPr="009056A0">
        <w:rPr>
          <w:rFonts w:asciiTheme="majorBidi" w:hAnsiTheme="majorBidi" w:cstheme="majorBidi"/>
        </w:rPr>
        <w:t>ziņas par faktiem, kas bija par pamatu atļaujai veikt speciālo izmeklēšanas eksperimentu</w:t>
      </w:r>
      <w:proofErr w:type="gramStart"/>
      <w:r w:rsidR="009956FA">
        <w:rPr>
          <w:rFonts w:asciiTheme="majorBidi" w:hAnsiTheme="majorBidi" w:cstheme="majorBidi"/>
        </w:rPr>
        <w:t>,</w:t>
      </w:r>
      <w:r w:rsidR="00255882" w:rsidRPr="009056A0">
        <w:rPr>
          <w:rFonts w:asciiTheme="majorBidi" w:hAnsiTheme="majorBidi" w:cstheme="majorBidi"/>
        </w:rPr>
        <w:t xml:space="preserve"> un to</w:t>
      </w:r>
      <w:proofErr w:type="gramEnd"/>
      <w:r w:rsidR="00343094" w:rsidRPr="009056A0">
        <w:rPr>
          <w:rFonts w:asciiTheme="majorBidi" w:hAnsiTheme="majorBidi" w:cstheme="majorBidi"/>
        </w:rPr>
        <w:t>, ka</w:t>
      </w:r>
      <w:r w:rsidR="001E5FD1" w:rsidRPr="009056A0">
        <w:rPr>
          <w:rFonts w:asciiTheme="majorBidi" w:hAnsiTheme="majorBidi" w:cstheme="majorBidi"/>
        </w:rPr>
        <w:t xml:space="preserve"> telefonsarunas starp </w:t>
      </w:r>
      <w:r w:rsidR="006703D5">
        <w:rPr>
          <w:rFonts w:asciiTheme="majorBidi" w:hAnsiTheme="majorBidi" w:cstheme="majorBidi"/>
        </w:rPr>
        <w:t>[pers. B]</w:t>
      </w:r>
      <w:r w:rsidR="001E5FD1" w:rsidRPr="009056A0">
        <w:rPr>
          <w:rFonts w:asciiTheme="majorBidi" w:hAnsiTheme="majorBidi" w:cstheme="majorBidi"/>
        </w:rPr>
        <w:t xml:space="preserve"> un </w:t>
      </w:r>
      <w:r w:rsidR="006703D5">
        <w:rPr>
          <w:rFonts w:asciiTheme="majorBidi" w:hAnsiTheme="majorBidi" w:cstheme="majorBidi"/>
        </w:rPr>
        <w:t>[pers. A]</w:t>
      </w:r>
      <w:r w:rsidR="001E5FD1" w:rsidRPr="009056A0">
        <w:rPr>
          <w:rFonts w:asciiTheme="majorBidi" w:hAnsiTheme="majorBidi" w:cstheme="majorBidi"/>
        </w:rPr>
        <w:t xml:space="preserve"> veiktas ar mērķi norunāt precīzu kukuļa nodošanas laiku un vietu.</w:t>
      </w:r>
      <w:r w:rsidR="003343A5" w:rsidRPr="009056A0">
        <w:rPr>
          <w:rFonts w:asciiTheme="majorBidi" w:hAnsiTheme="majorBidi" w:cstheme="majorBidi"/>
        </w:rPr>
        <w:t xml:space="preserve"> </w:t>
      </w:r>
      <w:r w:rsidR="005A0B12">
        <w:rPr>
          <w:rFonts w:asciiTheme="majorBidi" w:hAnsiTheme="majorBidi" w:cstheme="majorBidi"/>
        </w:rPr>
        <w:t>Savukārt atbilstoši</w:t>
      </w:r>
      <w:r w:rsidR="005A0B12" w:rsidRPr="009056A0">
        <w:rPr>
          <w:rFonts w:asciiTheme="majorBidi" w:hAnsiTheme="majorBidi" w:cstheme="majorBidi"/>
        </w:rPr>
        <w:t xml:space="preserve"> Kriminālprocesa likuma 229. panta otr</w:t>
      </w:r>
      <w:r w:rsidR="005A0B12">
        <w:rPr>
          <w:rFonts w:asciiTheme="majorBidi" w:hAnsiTheme="majorBidi" w:cstheme="majorBidi"/>
        </w:rPr>
        <w:t>ajai</w:t>
      </w:r>
      <w:r w:rsidR="005A0B12" w:rsidRPr="009056A0">
        <w:rPr>
          <w:rFonts w:asciiTheme="majorBidi" w:hAnsiTheme="majorBidi" w:cstheme="majorBidi"/>
        </w:rPr>
        <w:t xml:space="preserve"> daļa</w:t>
      </w:r>
      <w:r w:rsidR="005A0B12">
        <w:rPr>
          <w:rFonts w:asciiTheme="majorBidi" w:hAnsiTheme="majorBidi" w:cstheme="majorBidi"/>
        </w:rPr>
        <w:t>i</w:t>
      </w:r>
      <w:r w:rsidR="002677DD">
        <w:rPr>
          <w:rFonts w:asciiTheme="majorBidi" w:hAnsiTheme="majorBidi" w:cstheme="majorBidi"/>
        </w:rPr>
        <w:t>,</w:t>
      </w:r>
      <w:r w:rsidR="005A0B12" w:rsidRPr="005A0B12">
        <w:rPr>
          <w:rFonts w:asciiTheme="majorBidi" w:hAnsiTheme="majorBidi" w:cstheme="majorBidi"/>
        </w:rPr>
        <w:t xml:space="preserve"> </w:t>
      </w:r>
      <w:r w:rsidR="005A0B12">
        <w:rPr>
          <w:rFonts w:asciiTheme="majorBidi" w:hAnsiTheme="majorBidi" w:cstheme="majorBidi"/>
        </w:rPr>
        <w:t>lai noskaidrotu</w:t>
      </w:r>
      <w:r w:rsidR="005A0B12" w:rsidRPr="00EB5189">
        <w:rPr>
          <w:rFonts w:asciiTheme="majorBidi" w:hAnsiTheme="majorBidi" w:cstheme="majorBidi"/>
        </w:rPr>
        <w:t xml:space="preserve"> </w:t>
      </w:r>
      <w:r w:rsidR="005A0B12">
        <w:rPr>
          <w:rFonts w:asciiTheme="majorBidi" w:hAnsiTheme="majorBidi" w:cstheme="majorBidi"/>
        </w:rPr>
        <w:t xml:space="preserve">liecinieka </w:t>
      </w:r>
      <w:r w:rsidR="006703D5">
        <w:rPr>
          <w:rFonts w:asciiTheme="majorBidi" w:hAnsiTheme="majorBidi" w:cstheme="majorBidi"/>
        </w:rPr>
        <w:t>[pers. B]</w:t>
      </w:r>
      <w:r w:rsidR="005A0B12">
        <w:rPr>
          <w:rFonts w:asciiTheme="majorBidi" w:hAnsiTheme="majorBidi" w:cstheme="majorBidi"/>
        </w:rPr>
        <w:t xml:space="preserve"> telefonsarunu ar citām personām būtību,</w:t>
      </w:r>
      <w:r w:rsidR="005A0B12" w:rsidRPr="005A0B12">
        <w:rPr>
          <w:rFonts w:asciiTheme="majorBidi" w:hAnsiTheme="majorBidi" w:cstheme="majorBidi"/>
        </w:rPr>
        <w:t xml:space="preserve"> </w:t>
      </w:r>
      <w:r w:rsidR="005A0B12">
        <w:rPr>
          <w:rFonts w:asciiTheme="majorBidi" w:hAnsiTheme="majorBidi" w:cstheme="majorBidi"/>
        </w:rPr>
        <w:t>tiesai</w:t>
      </w:r>
      <w:r w:rsidR="005A0B12" w:rsidRPr="009056A0">
        <w:rPr>
          <w:rFonts w:asciiTheme="majorBidi" w:hAnsiTheme="majorBidi" w:cstheme="majorBidi"/>
        </w:rPr>
        <w:t xml:space="preserve"> </w:t>
      </w:r>
      <w:r w:rsidR="00120248">
        <w:rPr>
          <w:rFonts w:asciiTheme="majorBidi" w:hAnsiTheme="majorBidi" w:cstheme="majorBidi"/>
        </w:rPr>
        <w:t xml:space="preserve">bija jānopratina </w:t>
      </w:r>
      <w:r w:rsidR="00F945B9" w:rsidRPr="009056A0">
        <w:rPr>
          <w:rFonts w:asciiTheme="majorBidi" w:hAnsiTheme="majorBidi" w:cstheme="majorBidi"/>
        </w:rPr>
        <w:t>lieciniek</w:t>
      </w:r>
      <w:r w:rsidR="00120248">
        <w:rPr>
          <w:rFonts w:asciiTheme="majorBidi" w:hAnsiTheme="majorBidi" w:cstheme="majorBidi"/>
        </w:rPr>
        <w:t>s</w:t>
      </w:r>
      <w:r w:rsidR="00F945B9" w:rsidRPr="009056A0">
        <w:rPr>
          <w:rFonts w:asciiTheme="majorBidi" w:hAnsiTheme="majorBidi" w:cstheme="majorBidi"/>
        </w:rPr>
        <w:t xml:space="preserve"> </w:t>
      </w:r>
      <w:r w:rsidR="006703D5">
        <w:rPr>
          <w:rFonts w:asciiTheme="majorBidi" w:hAnsiTheme="majorBidi" w:cstheme="majorBidi"/>
        </w:rPr>
        <w:t>[pers. B]</w:t>
      </w:r>
      <w:r w:rsidR="00120248">
        <w:rPr>
          <w:rFonts w:asciiTheme="majorBidi" w:hAnsiTheme="majorBidi" w:cstheme="majorBidi"/>
        </w:rPr>
        <w:t xml:space="preserve"> par </w:t>
      </w:r>
      <w:r w:rsidR="00120248" w:rsidRPr="009056A0">
        <w:rPr>
          <w:rFonts w:asciiTheme="majorBidi" w:hAnsiTheme="majorBidi" w:cstheme="majorBidi"/>
        </w:rPr>
        <w:t>slepeni fiksēta</w:t>
      </w:r>
      <w:r w:rsidR="00120248">
        <w:rPr>
          <w:rFonts w:asciiTheme="majorBidi" w:hAnsiTheme="majorBidi" w:cstheme="majorBidi"/>
        </w:rPr>
        <w:t>jām</w:t>
      </w:r>
      <w:r w:rsidR="00120248" w:rsidRPr="009056A0">
        <w:rPr>
          <w:rFonts w:asciiTheme="majorBidi" w:hAnsiTheme="majorBidi" w:cstheme="majorBidi"/>
        </w:rPr>
        <w:t xml:space="preserve"> </w:t>
      </w:r>
      <w:r w:rsidR="00120248">
        <w:rPr>
          <w:rFonts w:asciiTheme="majorBidi" w:hAnsiTheme="majorBidi" w:cstheme="majorBidi"/>
        </w:rPr>
        <w:t>ziņām</w:t>
      </w:r>
      <w:r w:rsidR="00F945B9" w:rsidRPr="009056A0">
        <w:rPr>
          <w:rFonts w:asciiTheme="majorBidi" w:hAnsiTheme="majorBidi" w:cstheme="majorBidi"/>
        </w:rPr>
        <w:t>.</w:t>
      </w:r>
    </w:p>
    <w:p w14:paraId="335981FA" w14:textId="77777777" w:rsidR="00DD27D1" w:rsidRPr="009056A0" w:rsidRDefault="00DD27D1" w:rsidP="009056A0">
      <w:pPr>
        <w:widowControl w:val="0"/>
        <w:spacing w:line="276" w:lineRule="auto"/>
        <w:ind w:firstLine="720"/>
        <w:contextualSpacing/>
        <w:jc w:val="both"/>
        <w:rPr>
          <w:rFonts w:asciiTheme="majorBidi" w:hAnsiTheme="majorBidi" w:cstheme="majorBidi"/>
        </w:rPr>
      </w:pPr>
    </w:p>
    <w:p w14:paraId="0BDC2918" w14:textId="77777777" w:rsidR="00DD27D1" w:rsidRPr="009056A0" w:rsidRDefault="00DD27D1" w:rsidP="009056A0">
      <w:pPr>
        <w:spacing w:line="276" w:lineRule="auto"/>
        <w:contextualSpacing/>
        <w:jc w:val="center"/>
        <w:rPr>
          <w:rFonts w:asciiTheme="majorBidi" w:hAnsiTheme="majorBidi" w:cstheme="majorBidi"/>
          <w:b/>
        </w:rPr>
      </w:pPr>
      <w:r w:rsidRPr="009056A0">
        <w:rPr>
          <w:rFonts w:asciiTheme="majorBidi" w:hAnsiTheme="majorBidi" w:cstheme="majorBidi"/>
          <w:b/>
        </w:rPr>
        <w:t>Motīvu daļa</w:t>
      </w:r>
    </w:p>
    <w:p w14:paraId="182125F5" w14:textId="77777777" w:rsidR="00DD27D1" w:rsidRPr="009056A0" w:rsidRDefault="00DD27D1" w:rsidP="009056A0">
      <w:pPr>
        <w:spacing w:line="276" w:lineRule="auto"/>
        <w:ind w:firstLine="720"/>
        <w:contextualSpacing/>
        <w:jc w:val="center"/>
        <w:rPr>
          <w:rFonts w:asciiTheme="majorBidi" w:hAnsiTheme="majorBidi" w:cstheme="majorBidi"/>
          <w:b/>
          <w:bCs/>
        </w:rPr>
      </w:pPr>
    </w:p>
    <w:p w14:paraId="4AB9F03C" w14:textId="0565A1F8" w:rsidR="00DD27D1" w:rsidRPr="009056A0" w:rsidRDefault="00DD27D1" w:rsidP="0092134C">
      <w:pPr>
        <w:pStyle w:val="BodyText2"/>
        <w:spacing w:after="120" w:line="276" w:lineRule="auto"/>
        <w:ind w:firstLine="720"/>
        <w:contextualSpacing/>
        <w:jc w:val="both"/>
        <w:rPr>
          <w:rFonts w:asciiTheme="majorBidi" w:hAnsiTheme="majorBidi" w:cstheme="majorBidi"/>
          <w:sz w:val="24"/>
          <w:szCs w:val="24"/>
        </w:rPr>
      </w:pPr>
      <w:r w:rsidRPr="009056A0">
        <w:rPr>
          <w:rFonts w:asciiTheme="majorBidi" w:hAnsiTheme="majorBidi" w:cstheme="majorBidi"/>
          <w:sz w:val="24"/>
          <w:szCs w:val="24"/>
        </w:rPr>
        <w:t>[5] </w:t>
      </w:r>
      <w:r w:rsidR="0092134C" w:rsidRPr="0092134C">
        <w:rPr>
          <w:rFonts w:asciiTheme="majorBidi" w:hAnsiTheme="majorBidi" w:cstheme="majorBidi"/>
          <w:sz w:val="24"/>
          <w:szCs w:val="24"/>
        </w:rPr>
        <w:t>Senāts norāda, ka kasācijas instances tiesas kompetencē šajā lietā ir sniegt atbildi,</w:t>
      </w:r>
      <w:r w:rsidR="0092134C">
        <w:rPr>
          <w:rFonts w:asciiTheme="majorBidi" w:hAnsiTheme="majorBidi" w:cstheme="majorBidi"/>
          <w:sz w:val="24"/>
          <w:szCs w:val="24"/>
        </w:rPr>
        <w:t xml:space="preserve"> </w:t>
      </w:r>
      <w:r w:rsidRPr="009056A0">
        <w:rPr>
          <w:rFonts w:asciiTheme="majorBidi" w:hAnsiTheme="majorBidi" w:cstheme="majorBidi"/>
          <w:sz w:val="24"/>
          <w:szCs w:val="24"/>
        </w:rPr>
        <w:t xml:space="preserve">vai apelācijas instances tiesa </w:t>
      </w:r>
      <w:r w:rsidR="00AB46E7" w:rsidRPr="009056A0">
        <w:rPr>
          <w:rFonts w:asciiTheme="majorBidi" w:hAnsiTheme="majorBidi" w:cstheme="majorBidi"/>
          <w:sz w:val="24"/>
          <w:szCs w:val="24"/>
        </w:rPr>
        <w:t>s</w:t>
      </w:r>
      <w:r w:rsidR="00AB46E7" w:rsidRPr="009056A0">
        <w:rPr>
          <w:rFonts w:asciiTheme="majorBidi" w:hAnsiTheme="majorBidi" w:cstheme="majorBidi"/>
          <w:color w:val="000000"/>
          <w:sz w:val="24"/>
          <w:szCs w:val="24"/>
        </w:rPr>
        <w:t>peciālā izmeklēšanas eksperimenta tiesiskuma izvērtējum</w:t>
      </w:r>
      <w:r w:rsidR="0004049E" w:rsidRPr="009056A0">
        <w:rPr>
          <w:rFonts w:asciiTheme="majorBidi" w:hAnsiTheme="majorBidi" w:cstheme="majorBidi"/>
          <w:color w:val="000000"/>
          <w:sz w:val="24"/>
          <w:szCs w:val="24"/>
        </w:rPr>
        <w:t>ā</w:t>
      </w:r>
      <w:r w:rsidRPr="009056A0">
        <w:rPr>
          <w:rFonts w:asciiTheme="majorBidi" w:hAnsiTheme="majorBidi" w:cstheme="majorBidi"/>
          <w:sz w:val="24"/>
          <w:szCs w:val="24"/>
        </w:rPr>
        <w:t xml:space="preserve"> nav pieļāvusi tādus Kriminālprocesa likuma pārkāpumus, kas noveduši pie nelikumīga nolēmuma.</w:t>
      </w:r>
    </w:p>
    <w:p w14:paraId="5A420B88" w14:textId="77777777" w:rsidR="00DD27D1" w:rsidRPr="009056A0" w:rsidRDefault="00DD27D1" w:rsidP="009056A0">
      <w:pPr>
        <w:widowControl w:val="0"/>
        <w:spacing w:line="276" w:lineRule="auto"/>
        <w:ind w:firstLine="720"/>
        <w:contextualSpacing/>
        <w:jc w:val="both"/>
        <w:rPr>
          <w:rFonts w:asciiTheme="majorBidi" w:hAnsiTheme="majorBidi" w:cstheme="majorBidi"/>
          <w:bCs/>
        </w:rPr>
      </w:pPr>
    </w:p>
    <w:p w14:paraId="57ABD4AE" w14:textId="77777777" w:rsidR="00BD0CFE" w:rsidRDefault="00DD27D1" w:rsidP="00BD0CFE">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[6]</w:t>
      </w:r>
      <w:r w:rsidRPr="009056A0">
        <w:rPr>
          <w:rFonts w:asciiTheme="majorBidi" w:eastAsia="TimesNewRomanPSMT" w:hAnsiTheme="majorBidi" w:cstheme="majorBidi"/>
          <w:color w:val="000000" w:themeColor="text1"/>
        </w:rPr>
        <w:t> </w:t>
      </w:r>
      <w:r w:rsidRPr="009056A0">
        <w:rPr>
          <w:rFonts w:asciiTheme="majorBidi" w:hAnsiTheme="majorBidi" w:cstheme="majorBidi"/>
        </w:rPr>
        <w:t>Atbilstoši Kriminālprocesa likuma 1</w:t>
      </w:r>
      <w:r w:rsidR="001432A4" w:rsidRPr="009056A0">
        <w:rPr>
          <w:rFonts w:asciiTheme="majorBidi" w:hAnsiTheme="majorBidi" w:cstheme="majorBidi"/>
        </w:rPr>
        <w:t>30</w:t>
      </w:r>
      <w:r w:rsidRPr="009056A0">
        <w:rPr>
          <w:rFonts w:asciiTheme="majorBidi" w:hAnsiTheme="majorBidi" w:cstheme="majorBidi"/>
        </w:rPr>
        <w:t>. panta otr</w:t>
      </w:r>
      <w:r w:rsidR="001432A4" w:rsidRPr="009056A0">
        <w:rPr>
          <w:rFonts w:asciiTheme="majorBidi" w:hAnsiTheme="majorBidi" w:cstheme="majorBidi"/>
        </w:rPr>
        <w:t>ās</w:t>
      </w:r>
      <w:r w:rsidRPr="009056A0">
        <w:rPr>
          <w:rFonts w:asciiTheme="majorBidi" w:hAnsiTheme="majorBidi" w:cstheme="majorBidi"/>
        </w:rPr>
        <w:t xml:space="preserve"> daļa</w:t>
      </w:r>
      <w:r w:rsidR="001432A4" w:rsidRPr="009056A0">
        <w:rPr>
          <w:rFonts w:asciiTheme="majorBidi" w:hAnsiTheme="majorBidi" w:cstheme="majorBidi"/>
        </w:rPr>
        <w:t>s 3. punktam</w:t>
      </w:r>
      <w:r w:rsidR="009E6990" w:rsidRPr="009056A0">
        <w:rPr>
          <w:rFonts w:asciiTheme="majorBidi" w:hAnsiTheme="majorBidi" w:cstheme="majorBidi"/>
        </w:rPr>
        <w:t xml:space="preserve"> par nepieļaujamām un pierādīšanā neizmantojamām atzīstamas tādas ziņas par faktiem, kuras iegūtas pieļaujot šajā likumā īpaši norādītos pārkāpumus, kas liedz konkrētā pierādījuma izmantošanu.</w:t>
      </w:r>
    </w:p>
    <w:p w14:paraId="3D004F2D" w14:textId="23A04CB7" w:rsidR="00F906A6" w:rsidRPr="009056A0" w:rsidRDefault="0004049E" w:rsidP="00BD0CFE">
      <w:pPr>
        <w:widowControl w:val="0"/>
        <w:spacing w:line="276" w:lineRule="auto"/>
        <w:ind w:firstLine="720"/>
        <w:contextualSpacing/>
        <w:jc w:val="both"/>
        <w:rPr>
          <w:rFonts w:asciiTheme="majorBidi" w:hAnsiTheme="majorBidi" w:cstheme="majorBidi"/>
        </w:rPr>
      </w:pPr>
      <w:r w:rsidRPr="009056A0">
        <w:rPr>
          <w:rFonts w:asciiTheme="majorBidi" w:hAnsiTheme="majorBidi" w:cstheme="majorBidi"/>
        </w:rPr>
        <w:t>Kriminālprocesa likuma 229.</w:t>
      </w:r>
      <w:r w:rsidR="001B7F9F" w:rsidRPr="009056A0">
        <w:rPr>
          <w:rFonts w:asciiTheme="majorBidi" w:hAnsiTheme="majorBidi" w:cstheme="majorBidi"/>
        </w:rPr>
        <w:t> </w:t>
      </w:r>
      <w:r w:rsidRPr="009056A0">
        <w:rPr>
          <w:rFonts w:asciiTheme="majorBidi" w:hAnsiTheme="majorBidi" w:cstheme="majorBidi"/>
        </w:rPr>
        <w:t>panta trešā daļa noteic, ka gadījumā, ja speciālā izmeklēšanas darbība veikta, neievērojot atļaujas saņemšanas noteikumus, iegūtās ziņas pierādīšanā nedrīkst izmantot.</w:t>
      </w:r>
    </w:p>
    <w:p w14:paraId="3543C30B" w14:textId="4CEFC01C" w:rsidR="00393B12" w:rsidRPr="009056A0" w:rsidRDefault="003343A5" w:rsidP="009056A0">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t>Savukārt Kriminālprocesa likuma 564. pantā reglamentēts apelācijas instances tiesas nolēmuma saturs. Šā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4A480454" w14:textId="2EE989B2" w:rsidR="00DD27D1" w:rsidRPr="009056A0" w:rsidRDefault="00DD27D1" w:rsidP="009056A0">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lastRenderedPageBreak/>
        <w:t xml:space="preserve">Senāts atzīst, ka apelācijas instances tiesa, iztiesājot lietu, </w:t>
      </w:r>
      <w:r w:rsidR="001E67A9">
        <w:rPr>
          <w:rFonts w:asciiTheme="majorBidi" w:hAnsiTheme="majorBidi" w:cstheme="majorBidi"/>
        </w:rPr>
        <w:t>minētās</w:t>
      </w:r>
      <w:r w:rsidRPr="009056A0">
        <w:rPr>
          <w:rFonts w:asciiTheme="majorBidi" w:hAnsiTheme="majorBidi" w:cstheme="majorBidi"/>
        </w:rPr>
        <w:t xml:space="preserve"> tiesību normas nav ievērojusi.</w:t>
      </w:r>
    </w:p>
    <w:p w14:paraId="22A586F7" w14:textId="1E1CEEB2" w:rsidR="00C05DFA" w:rsidRDefault="00DD27D1" w:rsidP="00C05DFA">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[6.1] Apelācijas instances tiesa, atstājot negrozītu pirmās instances tiesas spriedumu, ar kuru </w:t>
      </w:r>
      <w:r w:rsidR="006703D5">
        <w:rPr>
          <w:rFonts w:asciiTheme="majorBidi" w:hAnsiTheme="majorBidi" w:cstheme="majorBidi"/>
        </w:rPr>
        <w:t>[pers. A]</w:t>
      </w:r>
      <w:r w:rsidR="00343094" w:rsidRPr="009056A0">
        <w:rPr>
          <w:rFonts w:asciiTheme="majorBidi" w:hAnsiTheme="majorBidi" w:cstheme="majorBidi"/>
        </w:rPr>
        <w:t xml:space="preserve"> </w:t>
      </w:r>
      <w:r w:rsidRPr="009056A0">
        <w:rPr>
          <w:rFonts w:asciiTheme="majorBidi" w:hAnsiTheme="majorBidi" w:cstheme="majorBidi"/>
        </w:rPr>
        <w:t xml:space="preserve">atzīts par nevainīgu pret viņu celtajā apsūdzībā pēc Krimināllikuma </w:t>
      </w:r>
      <w:r w:rsidR="00343094" w:rsidRPr="009056A0">
        <w:rPr>
          <w:rFonts w:asciiTheme="majorBidi" w:hAnsiTheme="majorBidi" w:cstheme="majorBidi"/>
        </w:rPr>
        <w:t>320</w:t>
      </w:r>
      <w:r w:rsidRPr="009056A0">
        <w:rPr>
          <w:rFonts w:asciiTheme="majorBidi" w:hAnsiTheme="majorBidi" w:cstheme="majorBidi"/>
        </w:rPr>
        <w:t xml:space="preserve">. panta </w:t>
      </w:r>
      <w:r w:rsidR="00343094" w:rsidRPr="009056A0">
        <w:rPr>
          <w:rFonts w:asciiTheme="majorBidi" w:hAnsiTheme="majorBidi" w:cstheme="majorBidi"/>
        </w:rPr>
        <w:t>otrās</w:t>
      </w:r>
      <w:r w:rsidRPr="009056A0">
        <w:rPr>
          <w:rFonts w:asciiTheme="majorBidi" w:hAnsiTheme="majorBidi" w:cstheme="majorBidi"/>
        </w:rPr>
        <w:t xml:space="preserve"> daļas un attaisnots, atzinusi, ka </w:t>
      </w:r>
      <w:r w:rsidR="00255882" w:rsidRPr="009056A0">
        <w:rPr>
          <w:rFonts w:asciiTheme="majorBidi" w:hAnsiTheme="majorBidi" w:cstheme="majorBidi"/>
        </w:rPr>
        <w:t xml:space="preserve">speciālā izmeklēšanas eksperimentā iegūtās ziņas par faktiem nav pieļaujamas un pierādīšanā izmantojamas, bet </w:t>
      </w:r>
      <w:r w:rsidR="00E00387" w:rsidRPr="009056A0">
        <w:rPr>
          <w:rFonts w:asciiTheme="majorBidi" w:hAnsiTheme="majorBidi" w:cstheme="majorBidi"/>
        </w:rPr>
        <w:t xml:space="preserve">pārējās kriminālprocesā iegūtās ziņas par faktiem nenovērš saprātīgas šaubas par to, ka </w:t>
      </w:r>
      <w:r w:rsidR="006703D5">
        <w:rPr>
          <w:rFonts w:asciiTheme="majorBidi" w:hAnsiTheme="majorBidi" w:cstheme="majorBidi"/>
        </w:rPr>
        <w:t>[pers. A]</w:t>
      </w:r>
      <w:r w:rsidR="00E00387" w:rsidRPr="009056A0">
        <w:rPr>
          <w:rFonts w:asciiTheme="majorBidi" w:hAnsiTheme="majorBidi" w:cstheme="majorBidi"/>
        </w:rPr>
        <w:t xml:space="preserve"> naudu saņēma</w:t>
      </w:r>
      <w:r w:rsidR="002613A1" w:rsidRPr="009056A0">
        <w:rPr>
          <w:rFonts w:asciiTheme="majorBidi" w:hAnsiTheme="majorBidi" w:cstheme="majorBidi"/>
        </w:rPr>
        <w:t xml:space="preserve"> ar mērķi to nodod konfliktā iesaistītajai personai.</w:t>
      </w:r>
    </w:p>
    <w:p w14:paraId="0E5C16DB" w14:textId="2354F753" w:rsidR="00B82971" w:rsidRDefault="00C05DFA" w:rsidP="00C05DFA">
      <w:pPr>
        <w:widowControl w:val="0"/>
        <w:tabs>
          <w:tab w:val="left" w:pos="1710"/>
        </w:tabs>
        <w:spacing w:line="276" w:lineRule="auto"/>
        <w:ind w:firstLine="720"/>
        <w:contextualSpacing/>
        <w:jc w:val="both"/>
        <w:rPr>
          <w:rFonts w:asciiTheme="majorBidi" w:hAnsiTheme="majorBidi" w:cstheme="majorBidi"/>
        </w:rPr>
      </w:pPr>
      <w:r>
        <w:rPr>
          <w:rFonts w:asciiTheme="majorBidi" w:hAnsiTheme="majorBidi" w:cstheme="majorBidi"/>
        </w:rPr>
        <w:t>A</w:t>
      </w:r>
      <w:r w:rsidR="00E02C35" w:rsidRPr="009056A0">
        <w:rPr>
          <w:rFonts w:asciiTheme="majorBidi" w:hAnsiTheme="majorBidi" w:cstheme="majorBidi"/>
        </w:rPr>
        <w:t xml:space="preserve">tzinumus par apsūdzētā </w:t>
      </w:r>
      <w:r w:rsidR="006703D5">
        <w:rPr>
          <w:rFonts w:asciiTheme="majorBidi" w:hAnsiTheme="majorBidi" w:cstheme="majorBidi"/>
        </w:rPr>
        <w:t>[pers. A]</w:t>
      </w:r>
      <w:r w:rsidR="00E02C35" w:rsidRPr="009056A0">
        <w:rPr>
          <w:rFonts w:asciiTheme="majorBidi" w:hAnsiTheme="majorBidi" w:cstheme="majorBidi"/>
        </w:rPr>
        <w:t xml:space="preserve"> nevainīgumu minētajā noziedzīgajā nodarījumā apelācijas instances tiesa pamatojusi</w:t>
      </w:r>
      <w:r w:rsidR="00B82971">
        <w:rPr>
          <w:rFonts w:asciiTheme="majorBidi" w:hAnsiTheme="majorBidi" w:cstheme="majorBidi"/>
        </w:rPr>
        <w:t xml:space="preserve"> ar to, ka</w:t>
      </w:r>
      <w:r w:rsidR="00E02C35" w:rsidRPr="009056A0">
        <w:rPr>
          <w:rFonts w:asciiTheme="majorBidi" w:hAnsiTheme="majorBidi" w:cstheme="majorBidi"/>
        </w:rPr>
        <w:t>: 1) </w:t>
      </w:r>
      <w:r w:rsidR="005400B3" w:rsidRPr="009056A0">
        <w:rPr>
          <w:rFonts w:asciiTheme="majorBidi" w:hAnsiTheme="majorBidi" w:cstheme="majorBidi"/>
        </w:rPr>
        <w:t>lēmum</w:t>
      </w:r>
      <w:r w:rsidR="00606AF6" w:rsidRPr="009056A0">
        <w:rPr>
          <w:rFonts w:asciiTheme="majorBidi" w:hAnsiTheme="majorBidi" w:cstheme="majorBidi"/>
        </w:rPr>
        <w:t>s</w:t>
      </w:r>
      <w:r w:rsidR="005400B3" w:rsidRPr="009056A0">
        <w:rPr>
          <w:rFonts w:asciiTheme="majorBidi" w:hAnsiTheme="majorBidi" w:cstheme="majorBidi"/>
        </w:rPr>
        <w:t xml:space="preserve"> par speciāl</w:t>
      </w:r>
      <w:r w:rsidR="00E4254E">
        <w:rPr>
          <w:rFonts w:asciiTheme="majorBidi" w:hAnsiTheme="majorBidi" w:cstheme="majorBidi"/>
        </w:rPr>
        <w:t>ā</w:t>
      </w:r>
      <w:r w:rsidR="005400B3" w:rsidRPr="009056A0">
        <w:rPr>
          <w:rFonts w:asciiTheme="majorBidi" w:hAnsiTheme="majorBidi" w:cstheme="majorBidi"/>
        </w:rPr>
        <w:t xml:space="preserve"> izmeklēšanas eksperimenta veikšanu </w:t>
      </w:r>
      <w:r w:rsidR="00606AF6" w:rsidRPr="009056A0">
        <w:rPr>
          <w:rFonts w:asciiTheme="majorBidi" w:hAnsiTheme="majorBidi" w:cstheme="majorBidi"/>
        </w:rPr>
        <w:t xml:space="preserve">nav tiesisks, jo tajā </w:t>
      </w:r>
      <w:r w:rsidR="005400B3" w:rsidRPr="009056A0">
        <w:rPr>
          <w:rFonts w:asciiTheme="majorBidi" w:hAnsiTheme="majorBidi" w:cstheme="majorBidi"/>
        </w:rPr>
        <w:t xml:space="preserve">nav </w:t>
      </w:r>
      <w:r w:rsidR="003E31D3">
        <w:rPr>
          <w:rFonts w:asciiTheme="majorBidi" w:hAnsiTheme="majorBidi" w:cstheme="majorBidi"/>
        </w:rPr>
        <w:t>pamato</w:t>
      </w:r>
      <w:r w:rsidR="001D1822">
        <w:rPr>
          <w:rFonts w:asciiTheme="majorBidi" w:hAnsiTheme="majorBidi" w:cstheme="majorBidi"/>
        </w:rPr>
        <w:t>ts</w:t>
      </w:r>
      <w:r w:rsidR="003E31D3">
        <w:rPr>
          <w:rFonts w:asciiTheme="majorBidi" w:hAnsiTheme="majorBidi" w:cstheme="majorBidi"/>
        </w:rPr>
        <w:t xml:space="preserve">, kāpēc ziņu iegūšana ir iespējama tikai speciālā izmeklēšanas eksperimenta rezultātā, </w:t>
      </w:r>
      <w:r w:rsidR="00B82971">
        <w:rPr>
          <w:rFonts w:asciiTheme="majorBidi" w:hAnsiTheme="majorBidi" w:cstheme="majorBidi"/>
        </w:rPr>
        <w:t>un</w:t>
      </w:r>
      <w:r w:rsidR="00E4254E">
        <w:rPr>
          <w:rFonts w:asciiTheme="majorBidi" w:hAnsiTheme="majorBidi" w:cstheme="majorBidi"/>
        </w:rPr>
        <w:t xml:space="preserve"> </w:t>
      </w:r>
      <w:r w:rsidR="00E4254E" w:rsidRPr="00E4254E">
        <w:rPr>
          <w:rFonts w:asciiTheme="majorBidi" w:hAnsiTheme="majorBidi" w:cstheme="majorBidi"/>
        </w:rPr>
        <w:t>nav norādīta</w:t>
      </w:r>
      <w:r w:rsidR="00B82971">
        <w:rPr>
          <w:rFonts w:asciiTheme="majorBidi" w:hAnsiTheme="majorBidi" w:cstheme="majorBidi"/>
        </w:rPr>
        <w:t xml:space="preserve"> iestāde, kurai uzdota šīs darbības veikšana;</w:t>
      </w:r>
      <w:r w:rsidR="000B7C00" w:rsidRPr="009056A0">
        <w:rPr>
          <w:rFonts w:asciiTheme="majorBidi" w:hAnsiTheme="majorBidi" w:cstheme="majorBidi"/>
        </w:rPr>
        <w:t xml:space="preserve"> </w:t>
      </w:r>
      <w:r w:rsidR="00E02C35" w:rsidRPr="009056A0">
        <w:rPr>
          <w:rFonts w:asciiTheme="majorBidi" w:hAnsiTheme="majorBidi" w:cstheme="majorBidi"/>
        </w:rPr>
        <w:t>2)</w:t>
      </w:r>
      <w:r w:rsidR="000B7C00" w:rsidRPr="009056A0">
        <w:rPr>
          <w:rFonts w:asciiTheme="majorBidi" w:hAnsiTheme="majorBidi" w:cstheme="majorBidi"/>
        </w:rPr>
        <w:t> </w:t>
      </w:r>
      <w:r w:rsidR="0077696E" w:rsidRPr="009056A0">
        <w:rPr>
          <w:rFonts w:asciiTheme="majorBidi" w:hAnsiTheme="majorBidi" w:cstheme="majorBidi"/>
        </w:rPr>
        <w:t xml:space="preserve">speciālā izmeklēšanas eksperimenta mērķis bija atklāt </w:t>
      </w:r>
      <w:r w:rsidR="00EC3C2A" w:rsidRPr="009056A0">
        <w:rPr>
          <w:rFonts w:asciiTheme="majorBidi" w:hAnsiTheme="majorBidi" w:cstheme="majorBidi"/>
        </w:rPr>
        <w:t>Krimināllikuma 320. panta trešajā daļā paredzēto</w:t>
      </w:r>
      <w:r w:rsidR="00EC3C2A">
        <w:rPr>
          <w:rFonts w:asciiTheme="majorBidi" w:hAnsiTheme="majorBidi" w:cstheme="majorBidi"/>
        </w:rPr>
        <w:t xml:space="preserve"> </w:t>
      </w:r>
      <w:r w:rsidR="00EC3C2A" w:rsidRPr="009056A0">
        <w:rPr>
          <w:rFonts w:asciiTheme="majorBidi" w:hAnsiTheme="majorBidi" w:cstheme="majorBidi"/>
        </w:rPr>
        <w:t>noziedzīgo nodarījumu,</w:t>
      </w:r>
      <w:r w:rsidR="00EC3C2A">
        <w:rPr>
          <w:rFonts w:asciiTheme="majorBidi" w:hAnsiTheme="majorBidi" w:cstheme="majorBidi"/>
        </w:rPr>
        <w:t xml:space="preserve"> kas ir smagāks par noziedzīgo nodarījumu, par kuru </w:t>
      </w:r>
      <w:r w:rsidR="006703D5">
        <w:rPr>
          <w:rFonts w:asciiTheme="majorBidi" w:hAnsiTheme="majorBidi" w:cstheme="majorBidi"/>
        </w:rPr>
        <w:t>[pers. A]</w:t>
      </w:r>
      <w:r w:rsidR="00EC3C2A">
        <w:rPr>
          <w:rFonts w:asciiTheme="majorBidi" w:hAnsiTheme="majorBidi" w:cstheme="majorBidi"/>
        </w:rPr>
        <w:t xml:space="preserve"> celta apsūdzība;</w:t>
      </w:r>
      <w:r w:rsidR="0077696E" w:rsidRPr="009056A0">
        <w:rPr>
          <w:rFonts w:asciiTheme="majorBidi" w:hAnsiTheme="majorBidi" w:cstheme="majorBidi"/>
        </w:rPr>
        <w:t xml:space="preserve"> 3) eksperimenta veicējs patvaļīgi pārsniedza lēmumā norādītā eksperimenta ietvaru</w:t>
      </w:r>
      <w:r w:rsidR="008D5A2C">
        <w:rPr>
          <w:rFonts w:asciiTheme="majorBidi" w:hAnsiTheme="majorBidi" w:cstheme="majorBidi"/>
        </w:rPr>
        <w:t xml:space="preserve"> – </w:t>
      </w:r>
      <w:r w:rsidR="0077696E" w:rsidRPr="009056A0">
        <w:rPr>
          <w:rFonts w:asciiTheme="majorBidi" w:hAnsiTheme="majorBidi" w:cstheme="majorBidi"/>
        </w:rPr>
        <w:t xml:space="preserve">noskaidrot, vai </w:t>
      </w:r>
      <w:r w:rsidR="006703D5">
        <w:rPr>
          <w:rFonts w:asciiTheme="majorBidi" w:hAnsiTheme="majorBidi" w:cstheme="majorBidi"/>
        </w:rPr>
        <w:t>[pers. A]</w:t>
      </w:r>
      <w:r w:rsidR="0077696E" w:rsidRPr="009056A0">
        <w:rPr>
          <w:rFonts w:asciiTheme="majorBidi" w:hAnsiTheme="majorBidi" w:cstheme="majorBidi"/>
        </w:rPr>
        <w:t xml:space="preserve"> pieprasīs kukuli, nevis to pieņems</w:t>
      </w:r>
      <w:r w:rsidR="00B36C0C" w:rsidRPr="009056A0">
        <w:rPr>
          <w:rFonts w:asciiTheme="majorBidi" w:hAnsiTheme="majorBidi" w:cstheme="majorBidi"/>
        </w:rPr>
        <w:t>;</w:t>
      </w:r>
      <w:r w:rsidR="000B7C00" w:rsidRPr="009056A0">
        <w:rPr>
          <w:rFonts w:asciiTheme="majorBidi" w:hAnsiTheme="majorBidi" w:cstheme="majorBidi"/>
        </w:rPr>
        <w:t xml:space="preserve"> </w:t>
      </w:r>
      <w:r w:rsidR="0077696E" w:rsidRPr="009056A0">
        <w:rPr>
          <w:rFonts w:asciiTheme="majorBidi" w:hAnsiTheme="majorBidi" w:cstheme="majorBidi"/>
        </w:rPr>
        <w:t>4</w:t>
      </w:r>
      <w:r w:rsidR="00C34C47" w:rsidRPr="009056A0">
        <w:rPr>
          <w:rFonts w:asciiTheme="majorBidi" w:hAnsiTheme="majorBidi" w:cstheme="majorBidi"/>
        </w:rPr>
        <w:t>) </w:t>
      </w:r>
      <w:r w:rsidR="006703D5">
        <w:rPr>
          <w:rFonts w:asciiTheme="majorBidi" w:hAnsiTheme="majorBidi" w:cstheme="majorBidi"/>
        </w:rPr>
        <w:t>[pers. A]</w:t>
      </w:r>
      <w:r w:rsidR="00606AF6" w:rsidRPr="009056A0">
        <w:rPr>
          <w:rFonts w:asciiTheme="majorBidi" w:hAnsiTheme="majorBidi" w:cstheme="majorBidi"/>
        </w:rPr>
        <w:t xml:space="preserve"> rīcība saņemt naudu tika provocēta</w:t>
      </w:r>
      <w:r w:rsidR="00B36C0C" w:rsidRPr="009056A0">
        <w:rPr>
          <w:rFonts w:asciiTheme="majorBidi" w:hAnsiTheme="majorBidi" w:cstheme="majorBidi"/>
        </w:rPr>
        <w:t>.</w:t>
      </w:r>
    </w:p>
    <w:p w14:paraId="6F738F57" w14:textId="3C04A366" w:rsidR="000D617D" w:rsidRDefault="00B36C0C" w:rsidP="009056A0">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t>Kriminālprocesa likuma 213.</w:t>
      </w:r>
      <w:r w:rsidR="00E2651C" w:rsidRPr="009056A0">
        <w:rPr>
          <w:rFonts w:asciiTheme="majorBidi" w:hAnsiTheme="majorBidi" w:cstheme="majorBidi"/>
        </w:rPr>
        <w:t> </w:t>
      </w:r>
      <w:r w:rsidRPr="009056A0">
        <w:rPr>
          <w:rFonts w:asciiTheme="majorBidi" w:hAnsiTheme="majorBidi" w:cstheme="majorBidi"/>
        </w:rPr>
        <w:t xml:space="preserve">panta </w:t>
      </w:r>
      <w:r w:rsidR="00E2651C" w:rsidRPr="009056A0">
        <w:rPr>
          <w:rFonts w:asciiTheme="majorBidi" w:hAnsiTheme="majorBidi" w:cstheme="majorBidi"/>
        </w:rPr>
        <w:t xml:space="preserve">otrā daļa noteic, ka lēmumā </w:t>
      </w:r>
      <w:r w:rsidR="00D26372" w:rsidRPr="00D26372">
        <w:rPr>
          <w:rFonts w:asciiTheme="majorBidi" w:hAnsiTheme="majorBidi" w:cstheme="majorBidi"/>
        </w:rPr>
        <w:t xml:space="preserve">par speciālās izmeklēšanas darbības veikšanu </w:t>
      </w:r>
      <w:r w:rsidR="00E2651C" w:rsidRPr="009056A0">
        <w:rPr>
          <w:rFonts w:asciiTheme="majorBidi" w:hAnsiTheme="majorBidi" w:cstheme="majorBidi"/>
        </w:rPr>
        <w:t xml:space="preserve">norāda speciālo izmeklēšanas darbību, iestādes vai personas, kurām uzdota šīs darbības veikšana, tās veikšanas </w:t>
      </w:r>
      <w:r w:rsidR="00F66920" w:rsidRPr="009056A0">
        <w:rPr>
          <w:rFonts w:asciiTheme="majorBidi" w:hAnsiTheme="majorBidi" w:cstheme="majorBidi"/>
        </w:rPr>
        <w:t>mērķi un atļauto ilgumu, kā arī visus citus apstākļus, kuriem ir nozīme veicamās darbības nodrošināšanā, tai skaitā par atļauju imitēt dalību noziedzīga nodarījuma izdarīšanā vai līdzdalību atbalstītāja veidā.</w:t>
      </w:r>
    </w:p>
    <w:p w14:paraId="7D675079" w14:textId="4E0C6DDE" w:rsidR="00BF1274" w:rsidRPr="009056A0" w:rsidRDefault="00BC69B6" w:rsidP="00D26372">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Savukārt </w:t>
      </w:r>
      <w:r w:rsidR="00393B12" w:rsidRPr="009056A0">
        <w:rPr>
          <w:rFonts w:asciiTheme="majorBidi" w:hAnsiTheme="majorBidi" w:cstheme="majorBidi"/>
        </w:rPr>
        <w:t xml:space="preserve">Kriminālprocesa likuma 225. panta pirmā daļa </w:t>
      </w:r>
      <w:r w:rsidR="00D26372" w:rsidRPr="00D26372">
        <w:rPr>
          <w:rFonts w:asciiTheme="majorBidi" w:hAnsiTheme="majorBidi" w:cstheme="majorBidi"/>
        </w:rPr>
        <w:t>noteic, ka speciālo izmeklēšanas eksperimentu veic, pamatojoties uz izmeklēšanas tiesneša lēmumu, ja ir pamats uzskatīt, ka</w:t>
      </w:r>
      <w:r w:rsidR="00D26372">
        <w:rPr>
          <w:rFonts w:asciiTheme="majorBidi" w:hAnsiTheme="majorBidi" w:cstheme="majorBidi"/>
        </w:rPr>
        <w:t xml:space="preserve">: </w:t>
      </w:r>
      <w:r w:rsidR="00BF1274" w:rsidRPr="009056A0">
        <w:rPr>
          <w:rFonts w:asciiTheme="majorBidi" w:hAnsiTheme="majorBidi" w:cstheme="majorBidi"/>
        </w:rPr>
        <w:t>1) persona agrāk ir izdarījusi noziedzīgas darbības</w:t>
      </w:r>
      <w:proofErr w:type="gramStart"/>
      <w:r w:rsidR="00BF1274" w:rsidRPr="009056A0">
        <w:rPr>
          <w:rFonts w:asciiTheme="majorBidi" w:hAnsiTheme="majorBidi" w:cstheme="majorBidi"/>
        </w:rPr>
        <w:t xml:space="preserve"> un</w:t>
      </w:r>
      <w:proofErr w:type="gramEnd"/>
      <w:r w:rsidR="00BF1274" w:rsidRPr="009056A0">
        <w:rPr>
          <w:rFonts w:asciiTheme="majorBidi" w:hAnsiTheme="majorBidi" w:cstheme="majorBidi"/>
        </w:rPr>
        <w:t xml:space="preserve"> gatavojas izdarīt vai ir uzsākusi tādas pašas noziedzīgas darbības; 2) konkrēto noziedzīgu nodarījumu var pārtraukt uzsāktā kriminālprocesa ietvaros; 3) eksperimenta rezultātā var iegūt ziņas par pierādāmajos apstākļos ietilpstošajiem faktiem, un ja bez šīs darbības nepieciešamo ziņu iegūšana ir neiespējama vai apgrūtināta.</w:t>
      </w:r>
    </w:p>
    <w:p w14:paraId="141BAA1B" w14:textId="57C41B90" w:rsidR="00BC69B6" w:rsidRDefault="00BC69B6" w:rsidP="002F1716">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Tādējādi izmeklēšanas tiesnesis, izvērtējot procesa virzītāja motivētu ierosinājumu un lietas materiālus, lēmumā norāda, kādas ziņas pamato nepieciešamību veikt speciālo izmeklēšanas </w:t>
      </w:r>
      <w:r w:rsidR="00EB5189" w:rsidRPr="009056A0">
        <w:rPr>
          <w:rFonts w:asciiTheme="majorBidi" w:hAnsiTheme="majorBidi" w:cstheme="majorBidi"/>
        </w:rPr>
        <w:t>eksperimentu</w:t>
      </w:r>
      <w:r w:rsidR="002F1716">
        <w:rPr>
          <w:rFonts w:asciiTheme="majorBidi" w:hAnsiTheme="majorBidi" w:cstheme="majorBidi"/>
        </w:rPr>
        <w:t xml:space="preserve"> un ir par pamatu atzinumam, ka </w:t>
      </w:r>
      <w:r w:rsidR="00E1127D">
        <w:rPr>
          <w:rFonts w:asciiTheme="majorBidi" w:hAnsiTheme="majorBidi" w:cstheme="majorBidi"/>
        </w:rPr>
        <w:t xml:space="preserve">eksperimenta rezultātā </w:t>
      </w:r>
      <w:r w:rsidR="00475860">
        <w:rPr>
          <w:rFonts w:asciiTheme="majorBidi" w:hAnsiTheme="majorBidi" w:cstheme="majorBidi"/>
        </w:rPr>
        <w:t xml:space="preserve">var </w:t>
      </w:r>
      <w:r w:rsidRPr="009056A0">
        <w:rPr>
          <w:rFonts w:asciiTheme="majorBidi" w:hAnsiTheme="majorBidi" w:cstheme="majorBidi"/>
        </w:rPr>
        <w:t>tik</w:t>
      </w:r>
      <w:r w:rsidR="00475860">
        <w:rPr>
          <w:rFonts w:asciiTheme="majorBidi" w:hAnsiTheme="majorBidi" w:cstheme="majorBidi"/>
        </w:rPr>
        <w:t>t</w:t>
      </w:r>
      <w:r w:rsidRPr="009056A0">
        <w:rPr>
          <w:rFonts w:asciiTheme="majorBidi" w:hAnsiTheme="majorBidi" w:cstheme="majorBidi"/>
        </w:rPr>
        <w:t xml:space="preserve"> iegūtas </w:t>
      </w:r>
      <w:r w:rsidR="00E1127D">
        <w:rPr>
          <w:rFonts w:asciiTheme="majorBidi" w:hAnsiTheme="majorBidi" w:cstheme="majorBidi"/>
        </w:rPr>
        <w:t xml:space="preserve">ziņas </w:t>
      </w:r>
      <w:r w:rsidRPr="009056A0">
        <w:rPr>
          <w:rFonts w:asciiTheme="majorBidi" w:hAnsiTheme="majorBidi" w:cstheme="majorBidi"/>
        </w:rPr>
        <w:t xml:space="preserve">par </w:t>
      </w:r>
      <w:r w:rsidR="00475860" w:rsidRPr="009056A0">
        <w:rPr>
          <w:rFonts w:asciiTheme="majorBidi" w:hAnsiTheme="majorBidi" w:cstheme="majorBidi"/>
        </w:rPr>
        <w:t xml:space="preserve">pierādāmajos apstākļos ietilpstošajiem </w:t>
      </w:r>
      <w:r w:rsidRPr="009056A0">
        <w:rPr>
          <w:rFonts w:asciiTheme="majorBidi" w:hAnsiTheme="majorBidi" w:cstheme="majorBidi"/>
        </w:rPr>
        <w:t>faktiem, kā arī iestādi vai personu, kurai uzdota šīs darbības veikšana.</w:t>
      </w:r>
    </w:p>
    <w:p w14:paraId="468FB596" w14:textId="54768E64" w:rsidR="007C4487" w:rsidRPr="009056A0" w:rsidRDefault="00EB62FC"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[6.2] </w:t>
      </w:r>
      <w:r w:rsidR="00BF1274" w:rsidRPr="009056A0">
        <w:rPr>
          <w:rFonts w:asciiTheme="majorBidi" w:hAnsiTheme="majorBidi" w:cstheme="majorBidi"/>
        </w:rPr>
        <w:t>Senāts konstatē, ka</w:t>
      </w:r>
      <w:r w:rsidR="00F77BFF" w:rsidRPr="009056A0">
        <w:rPr>
          <w:rFonts w:asciiTheme="majorBidi" w:hAnsiTheme="majorBidi" w:cstheme="majorBidi"/>
        </w:rPr>
        <w:t xml:space="preserve"> speciālā izmeklēšanas eksperimenta</w:t>
      </w:r>
      <w:r w:rsidR="007C4487" w:rsidRPr="009056A0">
        <w:rPr>
          <w:rFonts w:asciiTheme="majorBidi" w:hAnsiTheme="majorBidi" w:cstheme="majorBidi"/>
        </w:rPr>
        <w:t xml:space="preserve"> plānā</w:t>
      </w:r>
      <w:r w:rsidR="00BF1274" w:rsidRPr="009056A0">
        <w:rPr>
          <w:rFonts w:asciiTheme="majorBidi" w:hAnsiTheme="majorBidi" w:cstheme="majorBidi"/>
        </w:rPr>
        <w:t xml:space="preserve"> </w:t>
      </w:r>
      <w:r w:rsidR="007C4487" w:rsidRPr="009056A0">
        <w:rPr>
          <w:rFonts w:asciiTheme="majorBidi" w:hAnsiTheme="majorBidi" w:cstheme="majorBidi"/>
        </w:rPr>
        <w:t>norādīts, ka speciāl</w:t>
      </w:r>
      <w:r w:rsidR="00F663F5">
        <w:rPr>
          <w:rFonts w:asciiTheme="majorBidi" w:hAnsiTheme="majorBidi" w:cstheme="majorBidi"/>
        </w:rPr>
        <w:t>aj</w:t>
      </w:r>
      <w:r w:rsidR="007C4487" w:rsidRPr="009056A0">
        <w:rPr>
          <w:rFonts w:asciiTheme="majorBidi" w:hAnsiTheme="majorBidi" w:cstheme="majorBidi"/>
        </w:rPr>
        <w:t xml:space="preserve">ā izmeklēšanas eksperimentā piedalīsies </w:t>
      </w:r>
      <w:r w:rsidR="006703D5">
        <w:rPr>
          <w:rFonts w:asciiTheme="majorBidi" w:hAnsiTheme="majorBidi" w:cstheme="majorBidi"/>
        </w:rPr>
        <w:t>[pers. </w:t>
      </w:r>
      <w:r w:rsidR="006703D5">
        <w:t>B]</w:t>
      </w:r>
      <w:r w:rsidR="00C34C47" w:rsidRPr="009056A0">
        <w:rPr>
          <w:rFonts w:asciiTheme="majorBidi" w:hAnsiTheme="majorBidi" w:cstheme="majorBidi"/>
        </w:rPr>
        <w:t xml:space="preserve">, </w:t>
      </w:r>
      <w:r w:rsidR="00940414">
        <w:rPr>
          <w:rFonts w:asciiTheme="majorBidi" w:hAnsiTheme="majorBidi" w:cstheme="majorBidi"/>
        </w:rPr>
        <w:t>kurš tiks</w:t>
      </w:r>
      <w:r w:rsidR="00C34C47" w:rsidRPr="009056A0">
        <w:rPr>
          <w:rFonts w:asciiTheme="majorBidi" w:hAnsiTheme="majorBidi" w:cstheme="majorBidi"/>
        </w:rPr>
        <w:t xml:space="preserve"> aprīkots ar audio un </w:t>
      </w:r>
      <w:r w:rsidR="00A20A6E" w:rsidRPr="009056A0">
        <w:rPr>
          <w:rFonts w:asciiTheme="majorBidi" w:hAnsiTheme="majorBidi" w:cstheme="majorBidi"/>
        </w:rPr>
        <w:t>videotehniku</w:t>
      </w:r>
      <w:r w:rsidR="00C34C47" w:rsidRPr="009056A0">
        <w:rPr>
          <w:rFonts w:asciiTheme="majorBidi" w:hAnsiTheme="majorBidi" w:cstheme="majorBidi"/>
        </w:rPr>
        <w:t xml:space="preserve"> un</w:t>
      </w:r>
      <w:r w:rsidR="007C4487" w:rsidRPr="009056A0">
        <w:rPr>
          <w:rFonts w:asciiTheme="majorBidi" w:hAnsiTheme="majorBidi" w:cstheme="majorBidi"/>
        </w:rPr>
        <w:t xml:space="preserve"> saņems no Valsts policijas Iekšējās drošības biroja Operatīvās nodaļas darbiniekiem uzdevumu par eksperimenta gaitu un iepriekš apskatītu un iezīmētu naudu norunātās summas apmērā. </w:t>
      </w:r>
      <w:r w:rsidR="00C34C47" w:rsidRPr="009056A0">
        <w:rPr>
          <w:rFonts w:asciiTheme="majorBidi" w:hAnsiTheme="majorBidi" w:cstheme="majorBidi"/>
        </w:rPr>
        <w:t>Tikšanās laikā nauda jānodod kukuļa pieprasītājam</w:t>
      </w:r>
      <w:r w:rsidR="000B7C00" w:rsidRPr="009056A0">
        <w:rPr>
          <w:rFonts w:asciiTheme="majorBidi" w:hAnsiTheme="majorBidi" w:cstheme="majorBidi"/>
        </w:rPr>
        <w:t> </w:t>
      </w:r>
      <w:r w:rsidR="00C34C47" w:rsidRPr="009056A0">
        <w:rPr>
          <w:rFonts w:asciiTheme="majorBidi" w:hAnsiTheme="majorBidi" w:cstheme="majorBidi"/>
        </w:rPr>
        <w:t xml:space="preserve">– </w:t>
      </w:r>
      <w:r w:rsidR="006703D5">
        <w:rPr>
          <w:rFonts w:asciiTheme="majorBidi" w:hAnsiTheme="majorBidi" w:cstheme="majorBidi"/>
        </w:rPr>
        <w:t>[pers. A]</w:t>
      </w:r>
      <w:r w:rsidR="000B7C00" w:rsidRPr="009056A0">
        <w:rPr>
          <w:rFonts w:asciiTheme="majorBidi" w:hAnsiTheme="majorBidi" w:cstheme="majorBidi"/>
        </w:rPr>
        <w:t> </w:t>
      </w:r>
      <w:r w:rsidR="00C34C47" w:rsidRPr="009056A0">
        <w:rPr>
          <w:rFonts w:asciiTheme="majorBidi" w:hAnsiTheme="majorBidi" w:cstheme="majorBidi"/>
        </w:rPr>
        <w:t>– vai citai personai, uz kuru var norādīt kukuļa pieprasītājs.</w:t>
      </w:r>
    </w:p>
    <w:p w14:paraId="3DC70F68" w14:textId="541EC99E" w:rsidR="00D269F8" w:rsidRPr="009056A0" w:rsidRDefault="007C4487" w:rsidP="00F663F5">
      <w:pPr>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Savukārt </w:t>
      </w:r>
      <w:r w:rsidR="00430A46" w:rsidRPr="009056A0">
        <w:rPr>
          <w:rFonts w:asciiTheme="majorBidi" w:hAnsiTheme="majorBidi" w:cstheme="majorBidi"/>
        </w:rPr>
        <w:t>ierosinājumā</w:t>
      </w:r>
      <w:r w:rsidR="00BF1274" w:rsidRPr="009056A0">
        <w:rPr>
          <w:rFonts w:asciiTheme="majorBidi" w:hAnsiTheme="majorBidi" w:cstheme="majorBidi"/>
        </w:rPr>
        <w:t xml:space="preserve"> par </w:t>
      </w:r>
      <w:r w:rsidR="00E02FE5" w:rsidRPr="009056A0">
        <w:rPr>
          <w:rFonts w:asciiTheme="majorBidi" w:hAnsiTheme="majorBidi" w:cstheme="majorBidi"/>
        </w:rPr>
        <w:t xml:space="preserve">speciālā izmeklēšanas eksperimenta </w:t>
      </w:r>
      <w:r w:rsidR="00BF1274" w:rsidRPr="009056A0">
        <w:rPr>
          <w:rFonts w:asciiTheme="majorBidi" w:hAnsiTheme="majorBidi" w:cstheme="majorBidi"/>
        </w:rPr>
        <w:t xml:space="preserve">veikšanu ir norādīts, ka </w:t>
      </w:r>
      <w:r w:rsidR="00D269F8" w:rsidRPr="009056A0">
        <w:rPr>
          <w:rFonts w:asciiTheme="majorBidi" w:hAnsiTheme="majorBidi" w:cstheme="majorBidi"/>
        </w:rPr>
        <w:t xml:space="preserve">no </w:t>
      </w:r>
      <w:r w:rsidR="006703D5">
        <w:rPr>
          <w:rFonts w:asciiTheme="majorBidi" w:hAnsiTheme="majorBidi" w:cstheme="majorBidi"/>
        </w:rPr>
        <w:t>[pers. </w:t>
      </w:r>
      <w:r w:rsidR="006703D5">
        <w:t>B]</w:t>
      </w:r>
      <w:r w:rsidR="00D269F8" w:rsidRPr="009056A0">
        <w:rPr>
          <w:rFonts w:asciiTheme="majorBidi" w:hAnsiTheme="majorBidi" w:cstheme="majorBidi"/>
        </w:rPr>
        <w:t xml:space="preserve"> sniegtajām ziņām izriet, ka Valsts policijas Latgales reģiona pārvaldes </w:t>
      </w:r>
      <w:r w:rsidR="006703D5">
        <w:rPr>
          <w:rFonts w:asciiTheme="majorBidi" w:hAnsiTheme="majorBidi" w:cstheme="majorBidi"/>
        </w:rPr>
        <w:t>[Nosaukums]</w:t>
      </w:r>
      <w:r w:rsidR="00D269F8" w:rsidRPr="009056A0">
        <w:rPr>
          <w:rFonts w:asciiTheme="majorBidi" w:hAnsiTheme="majorBidi" w:cstheme="majorBidi"/>
        </w:rPr>
        <w:t xml:space="preserve"> iecirkņa </w:t>
      </w:r>
      <w:r w:rsidR="006703D5">
        <w:rPr>
          <w:rFonts w:asciiTheme="majorBidi" w:hAnsiTheme="majorBidi" w:cstheme="majorBidi"/>
        </w:rPr>
        <w:t>[Nosaukums]</w:t>
      </w:r>
      <w:r w:rsidR="00D269F8" w:rsidRPr="009056A0">
        <w:rPr>
          <w:rFonts w:asciiTheme="majorBidi" w:hAnsiTheme="majorBidi" w:cstheme="majorBidi"/>
        </w:rPr>
        <w:t xml:space="preserve"> iecirkņa Kārtības policijas nodaļas amatpersona </w:t>
      </w:r>
      <w:r w:rsidR="006703D5">
        <w:rPr>
          <w:rFonts w:asciiTheme="majorBidi" w:hAnsiTheme="majorBidi" w:cstheme="majorBidi"/>
        </w:rPr>
        <w:t>[pers. A]</w:t>
      </w:r>
      <w:r w:rsidR="00D269F8" w:rsidRPr="009056A0">
        <w:rPr>
          <w:rFonts w:asciiTheme="majorBidi" w:hAnsiTheme="majorBidi" w:cstheme="majorBidi"/>
        </w:rPr>
        <w:t xml:space="preserve"> </w:t>
      </w:r>
      <w:r w:rsidR="009008C3">
        <w:rPr>
          <w:rFonts w:asciiTheme="majorBidi" w:hAnsiTheme="majorBidi" w:cstheme="majorBidi"/>
        </w:rPr>
        <w:t xml:space="preserve">ir </w:t>
      </w:r>
      <w:r w:rsidR="00D269F8" w:rsidRPr="009056A0">
        <w:rPr>
          <w:rFonts w:asciiTheme="majorBidi" w:hAnsiTheme="majorBidi" w:cstheme="majorBidi"/>
        </w:rPr>
        <w:t>pieprasījis no viņa kukuli 1500</w:t>
      </w:r>
      <w:r w:rsidR="00EA4ED1" w:rsidRPr="009056A0">
        <w:rPr>
          <w:rFonts w:asciiTheme="majorBidi" w:hAnsiTheme="majorBidi" w:cstheme="majorBidi"/>
        </w:rPr>
        <w:t> </w:t>
      </w:r>
      <w:r w:rsidR="00D269F8" w:rsidRPr="009056A0">
        <w:rPr>
          <w:rFonts w:asciiTheme="majorBidi" w:hAnsiTheme="majorBidi" w:cstheme="majorBidi"/>
          <w:i/>
          <w:iCs/>
        </w:rPr>
        <w:t>euro</w:t>
      </w:r>
      <w:r w:rsidR="00927B45" w:rsidRPr="009056A0">
        <w:rPr>
          <w:rFonts w:asciiTheme="majorBidi" w:hAnsiTheme="majorBidi" w:cstheme="majorBidi"/>
        </w:rPr>
        <w:t xml:space="preserve"> par nelikumīgas darbības izdarīšanu </w:t>
      </w:r>
      <w:proofErr w:type="gramStart"/>
      <w:r w:rsidR="006703D5">
        <w:rPr>
          <w:rFonts w:asciiTheme="majorBidi" w:hAnsiTheme="majorBidi" w:cstheme="majorBidi"/>
        </w:rPr>
        <w:t>[</w:t>
      </w:r>
      <w:proofErr w:type="gramEnd"/>
      <w:r w:rsidR="006703D5">
        <w:rPr>
          <w:rFonts w:asciiTheme="majorBidi" w:hAnsiTheme="majorBidi" w:cstheme="majorBidi"/>
        </w:rPr>
        <w:t>pers. B]</w:t>
      </w:r>
      <w:r w:rsidR="00927B45" w:rsidRPr="009056A0">
        <w:rPr>
          <w:rFonts w:asciiTheme="majorBidi" w:hAnsiTheme="majorBidi" w:cstheme="majorBidi"/>
        </w:rPr>
        <w:t xml:space="preserve"> interesēs un</w:t>
      </w:r>
      <w:r w:rsidR="00D269F8" w:rsidRPr="009056A0">
        <w:rPr>
          <w:rFonts w:asciiTheme="majorBidi" w:hAnsiTheme="majorBidi" w:cstheme="majorBidi"/>
          <w:i/>
          <w:iCs/>
        </w:rPr>
        <w:t xml:space="preserve"> </w:t>
      </w:r>
      <w:r w:rsidR="00D269F8" w:rsidRPr="009056A0">
        <w:rPr>
          <w:rFonts w:asciiTheme="majorBidi" w:hAnsiTheme="majorBidi" w:cstheme="majorBidi"/>
        </w:rPr>
        <w:t>noteicis viņam tikšanos</w:t>
      </w:r>
      <w:r w:rsidR="00927B45" w:rsidRPr="009056A0">
        <w:rPr>
          <w:rFonts w:asciiTheme="majorBidi" w:hAnsiTheme="majorBidi" w:cstheme="majorBidi"/>
        </w:rPr>
        <w:t xml:space="preserve"> </w:t>
      </w:r>
      <w:r w:rsidR="00D269F8" w:rsidRPr="009056A0">
        <w:rPr>
          <w:rFonts w:asciiTheme="majorBidi" w:hAnsiTheme="majorBidi" w:cstheme="majorBidi"/>
        </w:rPr>
        <w:t>pieprasīt</w:t>
      </w:r>
      <w:r w:rsidR="00927B45" w:rsidRPr="009056A0">
        <w:rPr>
          <w:rFonts w:asciiTheme="majorBidi" w:hAnsiTheme="majorBidi" w:cstheme="majorBidi"/>
        </w:rPr>
        <w:t>ā</w:t>
      </w:r>
      <w:r w:rsidR="00D269F8" w:rsidRPr="009056A0">
        <w:rPr>
          <w:rFonts w:asciiTheme="majorBidi" w:hAnsiTheme="majorBidi" w:cstheme="majorBidi"/>
        </w:rPr>
        <w:t xml:space="preserve"> kuku</w:t>
      </w:r>
      <w:r w:rsidR="00927B45" w:rsidRPr="009056A0">
        <w:rPr>
          <w:rFonts w:asciiTheme="majorBidi" w:hAnsiTheme="majorBidi" w:cstheme="majorBidi"/>
        </w:rPr>
        <w:t>ļa pieņemšanai.</w:t>
      </w:r>
      <w:r w:rsidR="00D269F8" w:rsidRPr="009056A0">
        <w:rPr>
          <w:rFonts w:asciiTheme="majorBidi" w:hAnsiTheme="majorBidi" w:cstheme="majorBidi"/>
        </w:rPr>
        <w:t xml:space="preserve"> </w:t>
      </w:r>
      <w:r w:rsidR="00430A46" w:rsidRPr="009056A0">
        <w:rPr>
          <w:rFonts w:asciiTheme="majorBidi" w:hAnsiTheme="majorBidi" w:cstheme="majorBidi"/>
        </w:rPr>
        <w:t>Šād</w:t>
      </w:r>
      <w:r w:rsidR="00F663F5">
        <w:rPr>
          <w:rFonts w:asciiTheme="majorBidi" w:hAnsiTheme="majorBidi" w:cstheme="majorBidi"/>
        </w:rPr>
        <w:t>ā</w:t>
      </w:r>
      <w:r w:rsidR="00430A46" w:rsidRPr="009056A0">
        <w:rPr>
          <w:rFonts w:asciiTheme="majorBidi" w:hAnsiTheme="majorBidi" w:cstheme="majorBidi"/>
        </w:rPr>
        <w:t xml:space="preserve">s </w:t>
      </w:r>
      <w:r w:rsidR="006703D5">
        <w:rPr>
          <w:rFonts w:asciiTheme="majorBidi" w:hAnsiTheme="majorBidi" w:cstheme="majorBidi"/>
        </w:rPr>
        <w:t>[pers. A]</w:t>
      </w:r>
      <w:r w:rsidR="00430A46" w:rsidRPr="009056A0">
        <w:rPr>
          <w:rFonts w:asciiTheme="majorBidi" w:hAnsiTheme="majorBidi" w:cstheme="majorBidi"/>
        </w:rPr>
        <w:t xml:space="preserve"> darbīb</w:t>
      </w:r>
      <w:r w:rsidR="00F663F5">
        <w:rPr>
          <w:rFonts w:asciiTheme="majorBidi" w:hAnsiTheme="majorBidi" w:cstheme="majorBidi"/>
        </w:rPr>
        <w:t xml:space="preserve">ām ir konstatējams </w:t>
      </w:r>
      <w:r w:rsidR="00430A46" w:rsidRPr="009056A0">
        <w:rPr>
          <w:rFonts w:asciiTheme="majorBidi" w:hAnsiTheme="majorBidi" w:cstheme="majorBidi"/>
        </w:rPr>
        <w:t>Krimināllikuma 320.</w:t>
      </w:r>
      <w:r w:rsidR="001B7F9F" w:rsidRPr="009056A0">
        <w:rPr>
          <w:rFonts w:asciiTheme="majorBidi" w:hAnsiTheme="majorBidi" w:cstheme="majorBidi"/>
        </w:rPr>
        <w:t> </w:t>
      </w:r>
      <w:r w:rsidR="00430A46" w:rsidRPr="009056A0">
        <w:rPr>
          <w:rFonts w:asciiTheme="majorBidi" w:hAnsiTheme="majorBidi" w:cstheme="majorBidi"/>
        </w:rPr>
        <w:t>panta trešajā daļā paredzētā noziedzīgā nodarījuma sastāva pazīmes.</w:t>
      </w:r>
    </w:p>
    <w:p w14:paraId="6647C067" w14:textId="3975EFB1" w:rsidR="007B006E" w:rsidRPr="00120248" w:rsidRDefault="007B006E" w:rsidP="007B006E">
      <w:pPr>
        <w:spacing w:line="276" w:lineRule="auto"/>
        <w:ind w:firstLine="720"/>
        <w:contextualSpacing/>
        <w:jc w:val="both"/>
        <w:rPr>
          <w:rFonts w:asciiTheme="majorBidi" w:hAnsiTheme="majorBidi" w:cstheme="majorBidi"/>
        </w:rPr>
      </w:pPr>
      <w:r w:rsidRPr="00120248">
        <w:rPr>
          <w:rFonts w:asciiTheme="majorBidi" w:hAnsiTheme="majorBidi" w:cstheme="majorBidi"/>
        </w:rPr>
        <w:t xml:space="preserve">Tāpat ierosinājumā norādīts, ka speciālā izmeklēšanas eksperimenta rezultātā, neinformējot </w:t>
      </w:r>
      <w:r w:rsidR="006703D5">
        <w:rPr>
          <w:rFonts w:asciiTheme="majorBidi" w:hAnsiTheme="majorBidi" w:cstheme="majorBidi"/>
        </w:rPr>
        <w:t>[pers. A]</w:t>
      </w:r>
      <w:r w:rsidRPr="00120248">
        <w:rPr>
          <w:rFonts w:asciiTheme="majorBidi" w:hAnsiTheme="majorBidi" w:cstheme="majorBidi"/>
        </w:rPr>
        <w:t xml:space="preserve">, var iegūt ziņas par pierādāmajos apstākļos ietilpstošajiem faktiem, </w:t>
      </w:r>
      <w:r w:rsidR="008D2D7D" w:rsidRPr="00120248">
        <w:rPr>
          <w:rFonts w:asciiTheme="majorBidi" w:hAnsiTheme="majorBidi" w:cstheme="majorBidi"/>
        </w:rPr>
        <w:t>un</w:t>
      </w:r>
      <w:r w:rsidRPr="00120248">
        <w:rPr>
          <w:rFonts w:asciiTheme="majorBidi" w:hAnsiTheme="majorBidi" w:cstheme="majorBidi"/>
        </w:rPr>
        <w:t xml:space="preserve"> bez šīs darbības</w:t>
      </w:r>
      <w:r w:rsidR="008D2D7D" w:rsidRPr="00120248">
        <w:rPr>
          <w:rFonts w:asciiTheme="majorBidi" w:hAnsiTheme="majorBidi" w:cstheme="majorBidi"/>
        </w:rPr>
        <w:t xml:space="preserve"> ziņu iegūšana</w:t>
      </w:r>
      <w:r w:rsidRPr="00120248">
        <w:rPr>
          <w:rFonts w:asciiTheme="majorBidi" w:hAnsiTheme="majorBidi" w:cstheme="majorBidi"/>
        </w:rPr>
        <w:t xml:space="preserve"> ir apgrūtināta.</w:t>
      </w:r>
    </w:p>
    <w:p w14:paraId="155E980A" w14:textId="574DBC70" w:rsidR="00E02FE5" w:rsidRPr="009056A0" w:rsidRDefault="00E02FE5"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Speciālā izmeklēšanas eksperimenta izpildi paredzēts uzdot veikt pēc plāna Valsts policijas Iekšējās drošības biroja Operatīvās nodaļas darbiniekiem</w:t>
      </w:r>
      <w:r w:rsidR="00430A46" w:rsidRPr="009056A0">
        <w:rPr>
          <w:rFonts w:asciiTheme="majorBidi" w:hAnsiTheme="majorBidi" w:cstheme="majorBidi"/>
        </w:rPr>
        <w:t>.</w:t>
      </w:r>
    </w:p>
    <w:p w14:paraId="5C990707" w14:textId="4E6A6589" w:rsidR="00BF1274" w:rsidRDefault="00F77BFF"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Izmeklēšanas tiesnesis, izvērtējot </w:t>
      </w:r>
      <w:r w:rsidR="00C34C47" w:rsidRPr="009056A0">
        <w:rPr>
          <w:rFonts w:asciiTheme="majorBidi" w:hAnsiTheme="majorBidi" w:cstheme="majorBidi"/>
        </w:rPr>
        <w:t xml:space="preserve">lietas materiālus un </w:t>
      </w:r>
      <w:r w:rsidRPr="009056A0">
        <w:rPr>
          <w:rFonts w:asciiTheme="majorBidi" w:hAnsiTheme="majorBidi" w:cstheme="majorBidi"/>
        </w:rPr>
        <w:t xml:space="preserve">ierosinājumā </w:t>
      </w:r>
      <w:r w:rsidR="00000208">
        <w:rPr>
          <w:rFonts w:asciiTheme="majorBidi" w:hAnsiTheme="majorBidi" w:cstheme="majorBidi"/>
        </w:rPr>
        <w:t>minēto</w:t>
      </w:r>
      <w:r w:rsidRPr="009056A0">
        <w:rPr>
          <w:rFonts w:asciiTheme="majorBidi" w:hAnsiTheme="majorBidi" w:cstheme="majorBidi"/>
        </w:rPr>
        <w:t xml:space="preserve">, atzinis </w:t>
      </w:r>
      <w:r w:rsidR="00000208">
        <w:rPr>
          <w:rFonts w:asciiTheme="majorBidi" w:hAnsiTheme="majorBidi" w:cstheme="majorBidi"/>
        </w:rPr>
        <w:t>speciālā izmeklēšanas eksperimenta veikšanu</w:t>
      </w:r>
      <w:r w:rsidR="00120248">
        <w:rPr>
          <w:rFonts w:asciiTheme="majorBidi" w:hAnsiTheme="majorBidi" w:cstheme="majorBidi"/>
        </w:rPr>
        <w:t xml:space="preserve"> </w:t>
      </w:r>
      <w:r w:rsidRPr="009056A0">
        <w:rPr>
          <w:rFonts w:asciiTheme="majorBidi" w:hAnsiTheme="majorBidi" w:cstheme="majorBidi"/>
        </w:rPr>
        <w:t>par pamatotu un atbilstošu Kriminālprocesa likuma 210., 213. un 225. panta nosacījumiem</w:t>
      </w:r>
      <w:r w:rsidR="00AB6BAD">
        <w:rPr>
          <w:rFonts w:asciiTheme="majorBidi" w:hAnsiTheme="majorBidi" w:cstheme="majorBidi"/>
        </w:rPr>
        <w:t> </w:t>
      </w:r>
      <w:r w:rsidR="00BF1274" w:rsidRPr="009056A0">
        <w:rPr>
          <w:rFonts w:asciiTheme="majorBidi" w:hAnsiTheme="majorBidi" w:cstheme="majorBidi"/>
        </w:rPr>
        <w:t>(</w:t>
      </w:r>
      <w:r w:rsidR="00A604B8" w:rsidRPr="009056A0">
        <w:rPr>
          <w:rFonts w:asciiTheme="majorBidi" w:hAnsiTheme="majorBidi" w:cstheme="majorBidi"/>
          <w:i/>
          <w:iCs/>
        </w:rPr>
        <w:t>lietas</w:t>
      </w:r>
      <w:r w:rsidR="00A604B8" w:rsidRPr="009056A0">
        <w:rPr>
          <w:rFonts w:asciiTheme="majorBidi" w:hAnsiTheme="majorBidi" w:cstheme="majorBidi"/>
        </w:rPr>
        <w:t xml:space="preserve"> </w:t>
      </w:r>
      <w:r w:rsidR="00BF1274" w:rsidRPr="009056A0">
        <w:rPr>
          <w:rFonts w:asciiTheme="majorBidi" w:hAnsiTheme="majorBidi" w:cstheme="majorBidi"/>
          <w:i/>
        </w:rPr>
        <w:t>1.</w:t>
      </w:r>
      <w:r w:rsidR="00E02FE5" w:rsidRPr="009056A0">
        <w:rPr>
          <w:rFonts w:asciiTheme="majorBidi" w:hAnsiTheme="majorBidi" w:cstheme="majorBidi"/>
          <w:i/>
        </w:rPr>
        <w:t> </w:t>
      </w:r>
      <w:r w:rsidR="00BF1274" w:rsidRPr="009056A0">
        <w:rPr>
          <w:rFonts w:asciiTheme="majorBidi" w:hAnsiTheme="majorBidi" w:cstheme="majorBidi"/>
          <w:i/>
        </w:rPr>
        <w:t xml:space="preserve">sējuma </w:t>
      </w:r>
      <w:r w:rsidR="007C4487" w:rsidRPr="009056A0">
        <w:rPr>
          <w:rFonts w:asciiTheme="majorBidi" w:hAnsiTheme="majorBidi" w:cstheme="majorBidi"/>
          <w:i/>
        </w:rPr>
        <w:t>9.,</w:t>
      </w:r>
      <w:r w:rsidR="001E74DC" w:rsidRPr="009056A0">
        <w:rPr>
          <w:rFonts w:asciiTheme="majorBidi" w:hAnsiTheme="majorBidi" w:cstheme="majorBidi"/>
          <w:i/>
        </w:rPr>
        <w:t xml:space="preserve"> </w:t>
      </w:r>
      <w:r w:rsidR="00E02FE5" w:rsidRPr="009056A0">
        <w:rPr>
          <w:rFonts w:asciiTheme="majorBidi" w:hAnsiTheme="majorBidi" w:cstheme="majorBidi"/>
          <w:i/>
        </w:rPr>
        <w:t>10</w:t>
      </w:r>
      <w:r w:rsidR="00BF1274" w:rsidRPr="009056A0">
        <w:rPr>
          <w:rFonts w:asciiTheme="majorBidi" w:hAnsiTheme="majorBidi" w:cstheme="majorBidi"/>
          <w:i/>
        </w:rPr>
        <w:t>.</w:t>
      </w:r>
      <w:r w:rsidR="00430A46" w:rsidRPr="009056A0">
        <w:rPr>
          <w:rFonts w:asciiTheme="majorBidi" w:hAnsiTheme="majorBidi" w:cstheme="majorBidi"/>
          <w:i/>
        </w:rPr>
        <w:t>,</w:t>
      </w:r>
      <w:r w:rsidR="001E74DC" w:rsidRPr="009056A0">
        <w:rPr>
          <w:rFonts w:asciiTheme="majorBidi" w:hAnsiTheme="majorBidi" w:cstheme="majorBidi"/>
          <w:i/>
        </w:rPr>
        <w:t xml:space="preserve"> </w:t>
      </w:r>
      <w:r w:rsidR="00430A46" w:rsidRPr="009056A0">
        <w:rPr>
          <w:rFonts w:asciiTheme="majorBidi" w:hAnsiTheme="majorBidi" w:cstheme="majorBidi"/>
          <w:i/>
        </w:rPr>
        <w:t>36</w:t>
      </w:r>
      <w:r w:rsidR="001E74DC" w:rsidRPr="009056A0">
        <w:rPr>
          <w:rFonts w:asciiTheme="majorBidi" w:hAnsiTheme="majorBidi" w:cstheme="majorBidi"/>
          <w:i/>
        </w:rPr>
        <w:t>.</w:t>
      </w:r>
      <w:r w:rsidR="00A604B8" w:rsidRPr="009056A0">
        <w:rPr>
          <w:rFonts w:asciiTheme="majorBidi" w:hAnsiTheme="majorBidi" w:cstheme="majorBidi"/>
          <w:i/>
        </w:rPr>
        <w:t xml:space="preserve">, </w:t>
      </w:r>
      <w:r w:rsidR="00430A46" w:rsidRPr="009056A0">
        <w:rPr>
          <w:rFonts w:asciiTheme="majorBidi" w:hAnsiTheme="majorBidi" w:cstheme="majorBidi"/>
          <w:i/>
        </w:rPr>
        <w:t>37.</w:t>
      </w:r>
      <w:r w:rsidR="00E02FE5" w:rsidRPr="009056A0">
        <w:rPr>
          <w:rFonts w:asciiTheme="majorBidi" w:hAnsiTheme="majorBidi" w:cstheme="majorBidi"/>
          <w:i/>
        </w:rPr>
        <w:t> </w:t>
      </w:r>
      <w:r w:rsidR="00BF1274" w:rsidRPr="009056A0">
        <w:rPr>
          <w:rFonts w:asciiTheme="majorBidi" w:hAnsiTheme="majorBidi" w:cstheme="majorBidi"/>
          <w:i/>
        </w:rPr>
        <w:t>lapa</w:t>
      </w:r>
      <w:r w:rsidR="00BF1274" w:rsidRPr="009056A0">
        <w:rPr>
          <w:rFonts w:asciiTheme="majorBidi" w:hAnsiTheme="majorBidi" w:cstheme="majorBidi"/>
        </w:rPr>
        <w:t>).</w:t>
      </w:r>
    </w:p>
    <w:p w14:paraId="2F61F8F8" w14:textId="26456D3F" w:rsidR="00BF1274" w:rsidRPr="00CF0986" w:rsidRDefault="00F77BFF" w:rsidP="00282C75">
      <w:pPr>
        <w:widowControl w:val="0"/>
        <w:tabs>
          <w:tab w:val="left" w:pos="1710"/>
        </w:tabs>
        <w:spacing w:line="276" w:lineRule="auto"/>
        <w:ind w:firstLine="720"/>
        <w:contextualSpacing/>
        <w:jc w:val="both"/>
        <w:rPr>
          <w:rFonts w:asciiTheme="majorBidi" w:hAnsiTheme="majorBidi" w:cstheme="majorBidi"/>
        </w:rPr>
      </w:pPr>
      <w:r w:rsidRPr="00CF0986">
        <w:rPr>
          <w:rFonts w:asciiTheme="majorBidi" w:hAnsiTheme="majorBidi" w:cstheme="majorBidi"/>
        </w:rPr>
        <w:t xml:space="preserve">Senāts atzīst, ka apelācijas instances tiesa, veicot speciālā izmeklēšanas eksperimenta pēckontroli, nav izvērtējusi </w:t>
      </w:r>
      <w:r w:rsidR="00C34C47" w:rsidRPr="00CF0986">
        <w:rPr>
          <w:rFonts w:asciiTheme="majorBidi" w:hAnsiTheme="majorBidi" w:cstheme="majorBidi"/>
        </w:rPr>
        <w:t>ziņas, kas bija par pamatu atļaut veikt speciālo izmeklēšanas eksperimentu</w:t>
      </w:r>
      <w:r w:rsidR="002677D5" w:rsidRPr="00CF0986">
        <w:rPr>
          <w:rFonts w:asciiTheme="majorBidi" w:hAnsiTheme="majorBidi" w:cstheme="majorBidi"/>
        </w:rPr>
        <w:t>,</w:t>
      </w:r>
      <w:r w:rsidR="00EB62FC" w:rsidRPr="00CF0986">
        <w:rPr>
          <w:rFonts w:asciiTheme="majorBidi" w:hAnsiTheme="majorBidi" w:cstheme="majorBidi"/>
        </w:rPr>
        <w:t xml:space="preserve"> un </w:t>
      </w:r>
      <w:r w:rsidR="00D5067A" w:rsidRPr="00CF0986">
        <w:rPr>
          <w:rFonts w:asciiTheme="majorBidi" w:hAnsiTheme="majorBidi" w:cstheme="majorBidi"/>
        </w:rPr>
        <w:t xml:space="preserve">izmeklēšanas eksperimenta </w:t>
      </w:r>
      <w:r w:rsidR="005512EA" w:rsidRPr="00CF0986">
        <w:rPr>
          <w:rFonts w:asciiTheme="majorBidi" w:hAnsiTheme="majorBidi" w:cstheme="majorBidi"/>
        </w:rPr>
        <w:t>mērķ</w:t>
      </w:r>
      <w:r w:rsidR="00282C75" w:rsidRPr="00CF0986">
        <w:rPr>
          <w:rFonts w:asciiTheme="majorBidi" w:hAnsiTheme="majorBidi" w:cstheme="majorBidi"/>
        </w:rPr>
        <w:t>i</w:t>
      </w:r>
      <w:r w:rsidR="00D5067A" w:rsidRPr="00CF0986">
        <w:rPr>
          <w:rFonts w:asciiTheme="majorBidi" w:hAnsiTheme="majorBidi" w:cstheme="majorBidi"/>
        </w:rPr>
        <w:t> </w:t>
      </w:r>
      <w:r w:rsidR="002677D5" w:rsidRPr="00CF0986">
        <w:rPr>
          <w:rFonts w:asciiTheme="majorBidi" w:hAnsiTheme="majorBidi" w:cstheme="majorBidi"/>
        </w:rPr>
        <w:t>–</w:t>
      </w:r>
      <w:r w:rsidR="005512EA" w:rsidRPr="00CF0986">
        <w:rPr>
          <w:rFonts w:asciiTheme="majorBidi" w:hAnsiTheme="majorBidi" w:cstheme="majorBidi"/>
        </w:rPr>
        <w:t xml:space="preserve"> noskaidrot</w:t>
      </w:r>
      <w:r w:rsidR="002677D5" w:rsidRPr="00CF0986">
        <w:rPr>
          <w:rFonts w:asciiTheme="majorBidi" w:hAnsiTheme="majorBidi" w:cstheme="majorBidi"/>
        </w:rPr>
        <w:t>,</w:t>
      </w:r>
      <w:r w:rsidR="005512EA" w:rsidRPr="00CF0986">
        <w:rPr>
          <w:rFonts w:asciiTheme="majorBidi" w:hAnsiTheme="majorBidi" w:cstheme="majorBidi"/>
        </w:rPr>
        <w:t xml:space="preserve"> vai</w:t>
      </w:r>
      <w:r w:rsidR="008F2CA6" w:rsidRPr="00CF0986">
        <w:rPr>
          <w:rFonts w:asciiTheme="majorBidi" w:hAnsiTheme="majorBidi" w:cstheme="majorBidi"/>
        </w:rPr>
        <w:t xml:space="preserve"> </w:t>
      </w:r>
      <w:r w:rsidR="005512EA" w:rsidRPr="00CF0986">
        <w:rPr>
          <w:rFonts w:asciiTheme="majorBidi" w:hAnsiTheme="majorBidi" w:cstheme="majorBidi"/>
        </w:rPr>
        <w:t xml:space="preserve">pieprasītais </w:t>
      </w:r>
      <w:r w:rsidR="008F2CA6" w:rsidRPr="00CF0986">
        <w:rPr>
          <w:rFonts w:asciiTheme="majorBidi" w:hAnsiTheme="majorBidi" w:cstheme="majorBidi"/>
        </w:rPr>
        <w:t>kuku</w:t>
      </w:r>
      <w:r w:rsidR="005512EA" w:rsidRPr="00CF0986">
        <w:rPr>
          <w:rFonts w:asciiTheme="majorBidi" w:hAnsiTheme="majorBidi" w:cstheme="majorBidi"/>
        </w:rPr>
        <w:t>lis tiks pieņemts</w:t>
      </w:r>
      <w:r w:rsidR="00282C75" w:rsidRPr="00CF0986">
        <w:rPr>
          <w:rFonts w:asciiTheme="majorBidi" w:hAnsiTheme="majorBidi" w:cstheme="majorBidi"/>
        </w:rPr>
        <w:t xml:space="preserve"> –</w:t>
      </w:r>
      <w:r w:rsidR="00EB62FC" w:rsidRPr="00CF0986">
        <w:rPr>
          <w:rFonts w:asciiTheme="majorBidi" w:hAnsiTheme="majorBidi" w:cstheme="majorBidi"/>
        </w:rPr>
        <w:t>,</w:t>
      </w:r>
      <w:r w:rsidR="005512EA" w:rsidRPr="00CF0986">
        <w:rPr>
          <w:rFonts w:asciiTheme="majorBidi" w:hAnsiTheme="majorBidi" w:cstheme="majorBidi"/>
        </w:rPr>
        <w:t xml:space="preserve"> </w:t>
      </w:r>
      <w:r w:rsidR="00EB62FC" w:rsidRPr="00CF0986">
        <w:rPr>
          <w:rFonts w:asciiTheme="majorBidi" w:hAnsiTheme="majorBidi" w:cstheme="majorBidi"/>
        </w:rPr>
        <w:t>kā arī</w:t>
      </w:r>
      <w:r w:rsidR="0077696E" w:rsidRPr="00CF0986">
        <w:rPr>
          <w:rFonts w:asciiTheme="majorBidi" w:hAnsiTheme="majorBidi" w:cstheme="majorBidi"/>
        </w:rPr>
        <w:t xml:space="preserve"> nav pamatojusi, kādā veidā </w:t>
      </w:r>
      <w:r w:rsidR="00C22E67" w:rsidRPr="00CF0986">
        <w:rPr>
          <w:rFonts w:asciiTheme="majorBidi" w:hAnsiTheme="majorBidi" w:cstheme="majorBidi"/>
        </w:rPr>
        <w:t>netika ievēroti atļaujas saņemšanas noteikum</w:t>
      </w:r>
      <w:r w:rsidR="00EB62FC" w:rsidRPr="00CF0986">
        <w:rPr>
          <w:rFonts w:asciiTheme="majorBidi" w:hAnsiTheme="majorBidi" w:cstheme="majorBidi"/>
        </w:rPr>
        <w:t>i</w:t>
      </w:r>
      <w:r w:rsidR="00C22E67" w:rsidRPr="00CF0986">
        <w:rPr>
          <w:rFonts w:asciiTheme="majorBidi" w:hAnsiTheme="majorBidi" w:cstheme="majorBidi"/>
        </w:rPr>
        <w:t xml:space="preserve"> speciālā izmeklēšanas eksperimenta veikšanai, ja </w:t>
      </w:r>
      <w:r w:rsidR="0077696E" w:rsidRPr="00CF0986">
        <w:rPr>
          <w:rFonts w:asciiTheme="majorBidi" w:hAnsiTheme="majorBidi" w:cstheme="majorBidi"/>
        </w:rPr>
        <w:t xml:space="preserve">pirmstiesas </w:t>
      </w:r>
      <w:r w:rsidR="000F022E" w:rsidRPr="00CF0986">
        <w:rPr>
          <w:rFonts w:asciiTheme="majorBidi" w:hAnsiTheme="majorBidi" w:cstheme="majorBidi"/>
        </w:rPr>
        <w:t xml:space="preserve">kriminālprocesā </w:t>
      </w:r>
      <w:r w:rsidR="006703D5">
        <w:rPr>
          <w:rFonts w:asciiTheme="majorBidi" w:hAnsiTheme="majorBidi" w:cstheme="majorBidi"/>
        </w:rPr>
        <w:t>[pers. A]</w:t>
      </w:r>
      <w:r w:rsidR="00C22E67" w:rsidRPr="00CF0986">
        <w:rPr>
          <w:rFonts w:asciiTheme="majorBidi" w:hAnsiTheme="majorBidi" w:cstheme="majorBidi"/>
        </w:rPr>
        <w:t xml:space="preserve"> noziedzīgās darbības tika pārkvalificētas </w:t>
      </w:r>
      <w:r w:rsidR="00F05337" w:rsidRPr="00CF0986">
        <w:rPr>
          <w:rFonts w:asciiTheme="majorBidi" w:hAnsiTheme="majorBidi" w:cstheme="majorBidi"/>
        </w:rPr>
        <w:t>uz</w:t>
      </w:r>
      <w:r w:rsidR="00C22E67" w:rsidRPr="00CF0986">
        <w:rPr>
          <w:rFonts w:asciiTheme="majorBidi" w:hAnsiTheme="majorBidi" w:cstheme="majorBidi"/>
        </w:rPr>
        <w:t xml:space="preserve"> Krimināllikuma 320. panta otr</w:t>
      </w:r>
      <w:r w:rsidR="00F05337" w:rsidRPr="00CF0986">
        <w:rPr>
          <w:rFonts w:asciiTheme="majorBidi" w:hAnsiTheme="majorBidi" w:cstheme="majorBidi"/>
        </w:rPr>
        <w:t>o</w:t>
      </w:r>
      <w:r w:rsidR="00C22E67" w:rsidRPr="00CF0986">
        <w:rPr>
          <w:rFonts w:asciiTheme="majorBidi" w:hAnsiTheme="majorBidi" w:cstheme="majorBidi"/>
        </w:rPr>
        <w:t xml:space="preserve"> daļ</w:t>
      </w:r>
      <w:r w:rsidR="00F05337" w:rsidRPr="00CF0986">
        <w:rPr>
          <w:rFonts w:asciiTheme="majorBidi" w:hAnsiTheme="majorBidi" w:cstheme="majorBidi"/>
        </w:rPr>
        <w:t>u</w:t>
      </w:r>
      <w:r w:rsidR="00C22E67" w:rsidRPr="00CF0986">
        <w:rPr>
          <w:rFonts w:asciiTheme="majorBidi" w:hAnsiTheme="majorBidi" w:cstheme="majorBidi"/>
        </w:rPr>
        <w:t>.</w:t>
      </w:r>
    </w:p>
    <w:p w14:paraId="77F51328" w14:textId="62E8CE5D" w:rsidR="00BC69B6" w:rsidRPr="009056A0" w:rsidRDefault="00C22E67" w:rsidP="009056A0">
      <w:pPr>
        <w:widowControl w:val="0"/>
        <w:tabs>
          <w:tab w:val="left" w:pos="1710"/>
        </w:tabs>
        <w:spacing w:line="276" w:lineRule="auto"/>
        <w:ind w:firstLine="720"/>
        <w:contextualSpacing/>
        <w:jc w:val="both"/>
        <w:rPr>
          <w:rFonts w:asciiTheme="majorBidi" w:hAnsiTheme="majorBidi" w:cstheme="majorBidi"/>
        </w:rPr>
      </w:pPr>
      <w:r w:rsidRPr="009056A0">
        <w:rPr>
          <w:rFonts w:asciiTheme="majorBidi" w:hAnsiTheme="majorBidi" w:cstheme="majorBidi"/>
        </w:rPr>
        <w:t>Krimināllikuma 320. panta otrajā daļā paredzētais noziedzīgais nodarījums atbilstoši Krimināllikuma 7. panta ceturtajai daļai klasificējams kā smags noziegums.</w:t>
      </w:r>
    </w:p>
    <w:p w14:paraId="731F3AB2" w14:textId="3A945099" w:rsidR="00AB46E7" w:rsidRPr="009056A0" w:rsidRDefault="00AB46E7" w:rsidP="009056A0">
      <w:pPr>
        <w:autoSpaceDE w:val="0"/>
        <w:autoSpaceDN w:val="0"/>
        <w:adjustRightInd w:val="0"/>
        <w:spacing w:line="276" w:lineRule="auto"/>
        <w:ind w:firstLine="720"/>
        <w:contextualSpacing/>
        <w:jc w:val="both"/>
        <w:rPr>
          <w:rFonts w:asciiTheme="majorBidi" w:eastAsiaTheme="minorHAnsi" w:hAnsiTheme="majorBidi" w:cstheme="majorBidi"/>
        </w:rPr>
      </w:pPr>
      <w:r w:rsidRPr="009056A0">
        <w:rPr>
          <w:rFonts w:asciiTheme="majorBidi" w:eastAsiaTheme="minorHAnsi" w:hAnsiTheme="majorBidi" w:cstheme="majorBidi"/>
        </w:rPr>
        <w:t>Kriminālprocesa likuma 210.</w:t>
      </w:r>
      <w:r w:rsidR="00BC69B6" w:rsidRPr="009056A0">
        <w:rPr>
          <w:rFonts w:asciiTheme="majorBidi" w:eastAsiaTheme="minorHAnsi" w:hAnsiTheme="majorBidi" w:cstheme="majorBidi"/>
        </w:rPr>
        <w:t> </w:t>
      </w:r>
      <w:r w:rsidRPr="009056A0">
        <w:rPr>
          <w:rFonts w:asciiTheme="majorBidi" w:eastAsiaTheme="minorHAnsi" w:hAnsiTheme="majorBidi" w:cstheme="majorBidi"/>
        </w:rPr>
        <w:t>pant</w:t>
      </w:r>
      <w:r w:rsidR="00C22E67" w:rsidRPr="009056A0">
        <w:rPr>
          <w:rFonts w:asciiTheme="majorBidi" w:eastAsiaTheme="minorHAnsi" w:hAnsiTheme="majorBidi" w:cstheme="majorBidi"/>
        </w:rPr>
        <w:t xml:space="preserve">ā norādīti speciālo izmeklēšanas darbību veikšanas noteikumi. Minētā panta </w:t>
      </w:r>
      <w:r w:rsidRPr="009056A0">
        <w:rPr>
          <w:rFonts w:asciiTheme="majorBidi" w:eastAsiaTheme="minorHAnsi" w:hAnsiTheme="majorBidi" w:cstheme="majorBidi"/>
        </w:rPr>
        <w:t>trešā daļa noteic, ka speciālās izmeklēšanas darbības drīkst</w:t>
      </w:r>
      <w:r w:rsidR="00BC69B6" w:rsidRPr="009056A0">
        <w:rPr>
          <w:rFonts w:asciiTheme="majorBidi" w:eastAsiaTheme="minorHAnsi" w:hAnsiTheme="majorBidi" w:cstheme="majorBidi"/>
        </w:rPr>
        <w:t xml:space="preserve"> </w:t>
      </w:r>
      <w:r w:rsidRPr="009056A0">
        <w:rPr>
          <w:rFonts w:asciiTheme="majorBidi" w:eastAsiaTheme="minorHAnsi" w:hAnsiTheme="majorBidi" w:cstheme="majorBidi"/>
        </w:rPr>
        <w:t>veikt, vienīgi izmeklējot mazāk smagus, smagus vai sevišķi smagus noziegumus.</w:t>
      </w:r>
    </w:p>
    <w:p w14:paraId="7C54E9C2" w14:textId="1841C278" w:rsidR="00EB62FC" w:rsidRPr="009056A0" w:rsidRDefault="00EB62FC" w:rsidP="009056A0">
      <w:pPr>
        <w:autoSpaceDE w:val="0"/>
        <w:autoSpaceDN w:val="0"/>
        <w:adjustRightInd w:val="0"/>
        <w:spacing w:line="276" w:lineRule="auto"/>
        <w:ind w:firstLine="720"/>
        <w:contextualSpacing/>
        <w:jc w:val="both"/>
        <w:rPr>
          <w:rFonts w:asciiTheme="majorBidi" w:eastAsiaTheme="minorHAnsi" w:hAnsiTheme="majorBidi" w:cstheme="majorBidi"/>
        </w:rPr>
      </w:pPr>
      <w:r w:rsidRPr="009056A0">
        <w:rPr>
          <w:rFonts w:asciiTheme="majorBidi" w:eastAsiaTheme="minorHAnsi" w:hAnsiTheme="majorBidi" w:cstheme="majorBidi"/>
        </w:rPr>
        <w:t>Tādējādi likumdevējs noteicis, ka speciāl</w:t>
      </w:r>
      <w:r w:rsidR="0039227D">
        <w:rPr>
          <w:rFonts w:asciiTheme="majorBidi" w:eastAsiaTheme="minorHAnsi" w:hAnsiTheme="majorBidi" w:cstheme="majorBidi"/>
        </w:rPr>
        <w:t>o</w:t>
      </w:r>
      <w:r w:rsidRPr="009056A0">
        <w:rPr>
          <w:rFonts w:asciiTheme="majorBidi" w:eastAsiaTheme="minorHAnsi" w:hAnsiTheme="majorBidi" w:cstheme="majorBidi"/>
        </w:rPr>
        <w:t xml:space="preserve"> izmeklēšanas darbību drīkst veikt, izmeklējot noziegumu, bet nedrīkst veikt, izmeklējot kriminālpārkāpumu.</w:t>
      </w:r>
    </w:p>
    <w:p w14:paraId="0276E3B4" w14:textId="712BF3EC" w:rsidR="00AA3C90" w:rsidRDefault="00A20A6E" w:rsidP="009056A0">
      <w:pPr>
        <w:autoSpaceDE w:val="0"/>
        <w:autoSpaceDN w:val="0"/>
        <w:adjustRightInd w:val="0"/>
        <w:spacing w:line="276" w:lineRule="auto"/>
        <w:ind w:firstLine="720"/>
        <w:contextualSpacing/>
        <w:jc w:val="both"/>
        <w:rPr>
          <w:rFonts w:asciiTheme="majorBidi" w:hAnsiTheme="majorBidi" w:cstheme="majorBidi"/>
        </w:rPr>
      </w:pPr>
      <w:r w:rsidRPr="009056A0">
        <w:rPr>
          <w:rFonts w:asciiTheme="majorBidi" w:eastAsiaTheme="minorHAnsi" w:hAnsiTheme="majorBidi" w:cstheme="majorBidi"/>
        </w:rPr>
        <w:t>[6.3]</w:t>
      </w:r>
      <w:r w:rsidR="002A51D2" w:rsidRPr="009056A0">
        <w:rPr>
          <w:rFonts w:asciiTheme="majorBidi" w:eastAsiaTheme="minorHAnsi" w:hAnsiTheme="majorBidi" w:cstheme="majorBidi"/>
        </w:rPr>
        <w:t> </w:t>
      </w:r>
      <w:r w:rsidR="00437998" w:rsidRPr="009056A0">
        <w:rPr>
          <w:rFonts w:asciiTheme="majorBidi" w:eastAsiaTheme="minorHAnsi" w:hAnsiTheme="majorBidi" w:cstheme="majorBidi"/>
        </w:rPr>
        <w:t xml:space="preserve">Apelācijas instances tiesa, pievienojoties pirmās instances tiesas atziņai, ka </w:t>
      </w:r>
      <w:r w:rsidR="006E6A1C">
        <w:rPr>
          <w:rFonts w:asciiTheme="majorBidi" w:eastAsiaTheme="minorHAnsi" w:hAnsiTheme="majorBidi" w:cstheme="majorBidi"/>
        </w:rPr>
        <w:t>[pers. B]</w:t>
      </w:r>
      <w:r w:rsidR="00437998" w:rsidRPr="009056A0">
        <w:rPr>
          <w:rFonts w:asciiTheme="majorBidi" w:eastAsiaTheme="minorHAnsi" w:hAnsiTheme="majorBidi" w:cstheme="majorBidi"/>
        </w:rPr>
        <w:t xml:space="preserve"> </w:t>
      </w:r>
      <w:r w:rsidR="000A56F9">
        <w:rPr>
          <w:rFonts w:asciiTheme="majorBidi" w:hAnsiTheme="majorBidi" w:cstheme="majorBidi"/>
        </w:rPr>
        <w:t>uzkūdīja</w:t>
      </w:r>
      <w:r w:rsidR="000A56F9" w:rsidRPr="009056A0">
        <w:rPr>
          <w:rFonts w:asciiTheme="majorBidi" w:hAnsiTheme="majorBidi" w:cstheme="majorBidi"/>
        </w:rPr>
        <w:t xml:space="preserve"> </w:t>
      </w:r>
      <w:r w:rsidR="006E6A1C">
        <w:rPr>
          <w:rFonts w:asciiTheme="majorBidi" w:hAnsiTheme="majorBidi" w:cstheme="majorBidi"/>
        </w:rPr>
        <w:t>[pers. A]</w:t>
      </w:r>
      <w:r w:rsidR="000A56F9">
        <w:rPr>
          <w:rFonts w:asciiTheme="majorBidi" w:hAnsiTheme="majorBidi" w:cstheme="majorBidi"/>
        </w:rPr>
        <w:t xml:space="preserve"> izdarīt noziedzīgu nodarījumu</w:t>
      </w:r>
      <w:r w:rsidR="00437998" w:rsidRPr="009056A0">
        <w:rPr>
          <w:rFonts w:asciiTheme="majorBidi" w:hAnsiTheme="majorBidi" w:cstheme="majorBidi"/>
        </w:rPr>
        <w:t xml:space="preserve"> tādējādi, ka vairākkārtīgi zvanīja </w:t>
      </w:r>
      <w:r w:rsidR="006E6A1C">
        <w:rPr>
          <w:rFonts w:asciiTheme="majorBidi" w:hAnsiTheme="majorBidi" w:cstheme="majorBidi"/>
        </w:rPr>
        <w:t>[pers. A]</w:t>
      </w:r>
      <w:r w:rsidR="00437998" w:rsidRPr="009056A0">
        <w:rPr>
          <w:rFonts w:asciiTheme="majorBidi" w:hAnsiTheme="majorBidi" w:cstheme="majorBidi"/>
        </w:rPr>
        <w:t xml:space="preserve"> un aicināja </w:t>
      </w:r>
      <w:r w:rsidR="00C61428">
        <w:rPr>
          <w:rFonts w:asciiTheme="majorBidi" w:hAnsiTheme="majorBidi" w:cstheme="majorBidi"/>
        </w:rPr>
        <w:t>viņu</w:t>
      </w:r>
      <w:r w:rsidR="00437998" w:rsidRPr="009056A0">
        <w:rPr>
          <w:rFonts w:asciiTheme="majorBidi" w:hAnsiTheme="majorBidi" w:cstheme="majorBidi"/>
        </w:rPr>
        <w:t xml:space="preserve"> uz tikšanos, nav motivēti </w:t>
      </w:r>
      <w:proofErr w:type="gramStart"/>
      <w:r w:rsidR="00437998" w:rsidRPr="009056A0">
        <w:rPr>
          <w:rFonts w:asciiTheme="majorBidi" w:hAnsiTheme="majorBidi" w:cstheme="majorBidi"/>
        </w:rPr>
        <w:t xml:space="preserve">atspēkojusi prokurores </w:t>
      </w:r>
      <w:r w:rsidR="00C61428">
        <w:rPr>
          <w:rFonts w:asciiTheme="majorBidi" w:hAnsiTheme="majorBidi" w:cstheme="majorBidi"/>
        </w:rPr>
        <w:t xml:space="preserve">apelācijas </w:t>
      </w:r>
      <w:r w:rsidR="00437998" w:rsidRPr="009056A0">
        <w:rPr>
          <w:rFonts w:asciiTheme="majorBidi" w:hAnsiTheme="majorBidi" w:cstheme="majorBidi"/>
        </w:rPr>
        <w:t>protestā</w:t>
      </w:r>
      <w:proofErr w:type="gramEnd"/>
      <w:r w:rsidR="00437998" w:rsidRPr="009056A0">
        <w:rPr>
          <w:rFonts w:asciiTheme="majorBidi" w:hAnsiTheme="majorBidi" w:cstheme="majorBidi"/>
        </w:rPr>
        <w:t xml:space="preserve"> norādītos argumentus par to, ka </w:t>
      </w:r>
      <w:r w:rsidR="00AA3C90" w:rsidRPr="009056A0">
        <w:rPr>
          <w:rFonts w:asciiTheme="majorBidi" w:hAnsiTheme="majorBidi" w:cstheme="majorBidi"/>
        </w:rPr>
        <w:t>šād</w:t>
      </w:r>
      <w:r w:rsidR="00C61428">
        <w:rPr>
          <w:rFonts w:asciiTheme="majorBidi" w:hAnsiTheme="majorBidi" w:cstheme="majorBidi"/>
        </w:rPr>
        <w:t>i</w:t>
      </w:r>
      <w:r w:rsidR="00AA3C90" w:rsidRPr="009056A0">
        <w:rPr>
          <w:rFonts w:asciiTheme="majorBidi" w:hAnsiTheme="majorBidi" w:cstheme="majorBidi"/>
        </w:rPr>
        <w:t xml:space="preserve"> </w:t>
      </w:r>
      <w:r w:rsidR="006E6A1C">
        <w:rPr>
          <w:rFonts w:asciiTheme="majorBidi" w:hAnsiTheme="majorBidi" w:cstheme="majorBidi"/>
        </w:rPr>
        <w:t>[pers. </w:t>
      </w:r>
      <w:r w:rsidR="006E6A1C">
        <w:t>B]</w:t>
      </w:r>
      <w:r w:rsidR="00C61428">
        <w:rPr>
          <w:rFonts w:asciiTheme="majorBidi" w:hAnsiTheme="majorBidi" w:cstheme="majorBidi"/>
        </w:rPr>
        <w:t xml:space="preserve"> ir rīkojies</w:t>
      </w:r>
      <w:r w:rsidR="00AA3C90" w:rsidRPr="009056A0">
        <w:rPr>
          <w:rFonts w:asciiTheme="majorBidi" w:hAnsiTheme="majorBidi" w:cstheme="majorBidi"/>
        </w:rPr>
        <w:t>, lai saskaņotu tikšanās laiku un kukuļa nodošanas apstākļus, kas būtu pieņemam</w:t>
      </w:r>
      <w:r w:rsidR="00C83F8F">
        <w:rPr>
          <w:rFonts w:asciiTheme="majorBidi" w:hAnsiTheme="majorBidi" w:cstheme="majorBidi"/>
        </w:rPr>
        <w:t>i</w:t>
      </w:r>
      <w:r w:rsidR="00AA3C90" w:rsidRPr="009056A0">
        <w:rPr>
          <w:rFonts w:asciiTheme="majorBidi" w:hAnsiTheme="majorBidi" w:cstheme="majorBidi"/>
        </w:rPr>
        <w:t xml:space="preserve"> abām personām, nevis</w:t>
      </w:r>
      <w:r w:rsidR="00C83F8F">
        <w:rPr>
          <w:rFonts w:asciiTheme="majorBidi" w:hAnsiTheme="majorBidi" w:cstheme="majorBidi"/>
        </w:rPr>
        <w:t>,</w:t>
      </w:r>
      <w:r w:rsidR="00C61428">
        <w:rPr>
          <w:rFonts w:asciiTheme="majorBidi" w:hAnsiTheme="majorBidi" w:cstheme="majorBidi"/>
        </w:rPr>
        <w:t xml:space="preserve"> lai </w:t>
      </w:r>
      <w:r w:rsidR="00AA3C90" w:rsidRPr="009056A0">
        <w:rPr>
          <w:rFonts w:asciiTheme="majorBidi" w:hAnsiTheme="majorBidi" w:cstheme="majorBidi"/>
        </w:rPr>
        <w:t>panākt</w:t>
      </w:r>
      <w:r w:rsidR="00C61428">
        <w:rPr>
          <w:rFonts w:asciiTheme="majorBidi" w:hAnsiTheme="majorBidi" w:cstheme="majorBidi"/>
        </w:rPr>
        <w:t>u</w:t>
      </w:r>
      <w:r w:rsidR="008A5707" w:rsidRPr="009056A0">
        <w:rPr>
          <w:rFonts w:asciiTheme="majorBidi" w:hAnsiTheme="majorBidi" w:cstheme="majorBidi"/>
        </w:rPr>
        <w:t xml:space="preserve">, </w:t>
      </w:r>
      <w:r w:rsidR="00C61428">
        <w:rPr>
          <w:rFonts w:asciiTheme="majorBidi" w:hAnsiTheme="majorBidi" w:cstheme="majorBidi"/>
        </w:rPr>
        <w:t>ka</w:t>
      </w:r>
      <w:r w:rsidR="008A5707" w:rsidRPr="009056A0">
        <w:rPr>
          <w:rFonts w:asciiTheme="majorBidi" w:hAnsiTheme="majorBidi" w:cstheme="majorBidi"/>
        </w:rPr>
        <w:t xml:space="preserve"> </w:t>
      </w:r>
      <w:r w:rsidR="006E6A1C">
        <w:rPr>
          <w:rFonts w:asciiTheme="majorBidi" w:hAnsiTheme="majorBidi" w:cstheme="majorBidi"/>
        </w:rPr>
        <w:t>[pers. </w:t>
      </w:r>
      <w:r w:rsidR="006E6A1C">
        <w:t>A]</w:t>
      </w:r>
      <w:r w:rsidR="008A5707" w:rsidRPr="009056A0">
        <w:rPr>
          <w:rFonts w:asciiTheme="majorBidi" w:hAnsiTheme="majorBidi" w:cstheme="majorBidi"/>
        </w:rPr>
        <w:t xml:space="preserve"> pieņem</w:t>
      </w:r>
      <w:r w:rsidR="00AA3C90" w:rsidRPr="009056A0">
        <w:rPr>
          <w:rFonts w:asciiTheme="majorBidi" w:hAnsiTheme="majorBidi" w:cstheme="majorBidi"/>
        </w:rPr>
        <w:t xml:space="preserve"> kuku</w:t>
      </w:r>
      <w:r w:rsidR="008A5707" w:rsidRPr="009056A0">
        <w:rPr>
          <w:rFonts w:asciiTheme="majorBidi" w:hAnsiTheme="majorBidi" w:cstheme="majorBidi"/>
        </w:rPr>
        <w:t>li</w:t>
      </w:r>
      <w:r w:rsidR="00AA3C90" w:rsidRPr="009056A0">
        <w:rPr>
          <w:rFonts w:asciiTheme="majorBidi" w:hAnsiTheme="majorBidi" w:cstheme="majorBidi"/>
        </w:rPr>
        <w:t>.</w:t>
      </w:r>
    </w:p>
    <w:p w14:paraId="315C2214" w14:textId="295E595A" w:rsidR="002461ED" w:rsidRPr="009056A0" w:rsidRDefault="002461ED" w:rsidP="009056A0">
      <w:pPr>
        <w:widowControl w:val="0"/>
        <w:tabs>
          <w:tab w:val="left" w:pos="1710"/>
        </w:tabs>
        <w:suppressAutoHyphens/>
        <w:spacing w:line="276" w:lineRule="auto"/>
        <w:ind w:firstLine="720"/>
        <w:contextualSpacing/>
        <w:jc w:val="both"/>
        <w:rPr>
          <w:rFonts w:asciiTheme="majorBidi" w:hAnsiTheme="majorBidi" w:cstheme="majorBidi"/>
          <w:color w:val="000000"/>
        </w:rPr>
      </w:pPr>
      <w:r w:rsidRPr="009056A0">
        <w:rPr>
          <w:rFonts w:asciiTheme="majorBidi" w:hAnsiTheme="majorBidi" w:cstheme="majorBidi"/>
          <w:color w:val="000000"/>
        </w:rPr>
        <w:t xml:space="preserve">Senāts, pievienojoties tiesību doktrīnā paustajam, </w:t>
      </w:r>
      <w:r w:rsidR="00C83F8F" w:rsidRPr="00C83F8F">
        <w:rPr>
          <w:rFonts w:asciiTheme="majorBidi" w:hAnsiTheme="majorBidi" w:cstheme="majorBidi"/>
          <w:color w:val="000000"/>
        </w:rPr>
        <w:t xml:space="preserve">jau iepriekš </w:t>
      </w:r>
      <w:r w:rsidRPr="009056A0">
        <w:rPr>
          <w:rFonts w:asciiTheme="majorBidi" w:hAnsiTheme="majorBidi" w:cstheme="majorBidi"/>
          <w:color w:val="000000"/>
        </w:rPr>
        <w:t xml:space="preserve">norādījis, ka ziņu izvērtēšana kopsakarā nozīmē, ka, lai arī ticamība ir katram individuālam pierādījumam piemītoša pazīme, tomēr to noteikt var, tikai skatot attiecīgo pierādījumu vienotā </w:t>
      </w:r>
      <w:r w:rsidRPr="009056A0">
        <w:rPr>
          <w:rFonts w:asciiTheme="majorBidi" w:hAnsiTheme="majorBidi" w:cstheme="majorBidi"/>
        </w:rPr>
        <w:t xml:space="preserve">sistēmā ar citiem pierādījumiem un vērtējot, kā veidojas to savstarpējās sakarības </w:t>
      </w:r>
      <w:proofErr w:type="gramStart"/>
      <w:r w:rsidRPr="009056A0">
        <w:rPr>
          <w:rFonts w:asciiTheme="majorBidi" w:hAnsiTheme="majorBidi" w:cstheme="majorBidi"/>
        </w:rPr>
        <w:t>(</w:t>
      </w:r>
      <w:proofErr w:type="gramEnd"/>
      <w:r w:rsidRPr="009056A0">
        <w:rPr>
          <w:rFonts w:asciiTheme="majorBidi" w:hAnsiTheme="majorBidi" w:cstheme="majorBidi"/>
          <w:i/>
          <w:iCs/>
        </w:rPr>
        <w:t xml:space="preserve">Senāta </w:t>
      </w:r>
      <w:r w:rsidRPr="009056A0">
        <w:rPr>
          <w:rFonts w:asciiTheme="majorBidi" w:hAnsiTheme="majorBidi" w:cstheme="majorBidi"/>
          <w:bCs/>
          <w:i/>
          <w:iCs/>
        </w:rPr>
        <w:t>2022. gada 20. janvāra lēmums lietā Nr. SKK</w:t>
      </w:r>
      <w:r w:rsidRPr="009056A0">
        <w:rPr>
          <w:rFonts w:asciiTheme="majorBidi" w:hAnsiTheme="majorBidi" w:cstheme="majorBidi"/>
          <w:bCs/>
          <w:i/>
          <w:iCs/>
        </w:rPr>
        <w:noBreakHyphen/>
        <w:t>22/2022,</w:t>
      </w:r>
      <w:r w:rsidRPr="009056A0">
        <w:rPr>
          <w:rFonts w:asciiTheme="majorBidi" w:hAnsiTheme="majorBidi" w:cstheme="majorBidi"/>
        </w:rPr>
        <w:t xml:space="preserve"> </w:t>
      </w:r>
      <w:hyperlink r:id="rId7" w:history="1">
        <w:r w:rsidRPr="009056A0">
          <w:rPr>
            <w:rStyle w:val="Hyperlink"/>
            <w:rFonts w:asciiTheme="majorBidi" w:hAnsiTheme="majorBidi" w:cstheme="majorBidi"/>
            <w:bCs/>
            <w:i/>
            <w:iCs/>
          </w:rPr>
          <w:t>ECLI:LV:AT:2022:0120.11380033718.4.L</w:t>
        </w:r>
      </w:hyperlink>
      <w:r w:rsidRPr="009056A0">
        <w:rPr>
          <w:rFonts w:asciiTheme="majorBidi" w:hAnsiTheme="majorBidi" w:cstheme="majorBidi"/>
          <w:i/>
          <w:iCs/>
        </w:rPr>
        <w:t>)</w:t>
      </w:r>
      <w:r w:rsidRPr="009056A0">
        <w:rPr>
          <w:rFonts w:asciiTheme="majorBidi" w:hAnsiTheme="majorBidi" w:cstheme="majorBidi"/>
        </w:rPr>
        <w:t>)</w:t>
      </w:r>
      <w:r w:rsidRPr="009056A0">
        <w:rPr>
          <w:rFonts w:asciiTheme="majorBidi" w:hAnsiTheme="majorBidi" w:cstheme="majorBidi"/>
          <w:color w:val="000000"/>
        </w:rPr>
        <w:t>.</w:t>
      </w:r>
    </w:p>
    <w:p w14:paraId="4A3D3F4E" w14:textId="237A9AAC" w:rsidR="005D4958" w:rsidRPr="009056A0" w:rsidRDefault="002461ED" w:rsidP="009056A0">
      <w:pPr>
        <w:autoSpaceDE w:val="0"/>
        <w:autoSpaceDN w:val="0"/>
        <w:adjustRightInd w:val="0"/>
        <w:spacing w:line="276" w:lineRule="auto"/>
        <w:ind w:firstLine="720"/>
        <w:contextualSpacing/>
        <w:jc w:val="both"/>
        <w:rPr>
          <w:rFonts w:asciiTheme="majorBidi" w:hAnsiTheme="majorBidi" w:cstheme="majorBidi"/>
        </w:rPr>
      </w:pPr>
      <w:r w:rsidRPr="009056A0">
        <w:rPr>
          <w:rFonts w:asciiTheme="majorBidi" w:hAnsiTheme="majorBidi" w:cstheme="majorBidi"/>
        </w:rPr>
        <w:t>Šādas prasības attiecināmas arī uz provokācijas izvērtējumu.</w:t>
      </w:r>
    </w:p>
    <w:p w14:paraId="3721AFC8" w14:textId="008E3B41" w:rsidR="001F0FB8" w:rsidRPr="009056A0" w:rsidRDefault="005D4958" w:rsidP="00B14F4B">
      <w:pPr>
        <w:autoSpaceDE w:val="0"/>
        <w:autoSpaceDN w:val="0"/>
        <w:adjustRightInd w:val="0"/>
        <w:spacing w:line="276" w:lineRule="auto"/>
        <w:ind w:firstLine="720"/>
        <w:contextualSpacing/>
        <w:jc w:val="both"/>
        <w:rPr>
          <w:rFonts w:asciiTheme="majorBidi" w:hAnsiTheme="majorBidi" w:cstheme="majorBidi"/>
        </w:rPr>
      </w:pPr>
      <w:proofErr w:type="gramStart"/>
      <w:r w:rsidRPr="009056A0">
        <w:rPr>
          <w:rFonts w:asciiTheme="majorBidi" w:hAnsiTheme="majorBidi" w:cstheme="majorBidi"/>
        </w:rPr>
        <w:t>Tādējādi</w:t>
      </w:r>
      <w:r w:rsidR="001F0FB8">
        <w:rPr>
          <w:rFonts w:asciiTheme="majorBidi" w:hAnsiTheme="majorBidi" w:cstheme="majorBidi"/>
        </w:rPr>
        <w:t>,</w:t>
      </w:r>
      <w:proofErr w:type="gramEnd"/>
      <w:r w:rsidR="00554B6B" w:rsidRPr="009056A0">
        <w:rPr>
          <w:rFonts w:asciiTheme="majorBidi" w:hAnsiTheme="majorBidi" w:cstheme="majorBidi"/>
        </w:rPr>
        <w:t xml:space="preserve"> </w:t>
      </w:r>
      <w:r w:rsidR="00296F22" w:rsidRPr="009056A0">
        <w:rPr>
          <w:rFonts w:asciiTheme="majorBidi" w:hAnsiTheme="majorBidi" w:cstheme="majorBidi"/>
        </w:rPr>
        <w:t>noskaidrojot</w:t>
      </w:r>
      <w:r w:rsidR="001F0FB8">
        <w:rPr>
          <w:rFonts w:asciiTheme="majorBidi" w:hAnsiTheme="majorBidi" w:cstheme="majorBidi"/>
        </w:rPr>
        <w:t xml:space="preserve"> </w:t>
      </w:r>
      <w:r w:rsidR="00956C90" w:rsidRPr="009056A0">
        <w:rPr>
          <w:rFonts w:asciiTheme="majorBidi" w:hAnsiTheme="majorBidi" w:cstheme="majorBidi"/>
        </w:rPr>
        <w:t xml:space="preserve">eksperimenta veicēja </w:t>
      </w:r>
      <w:r w:rsidR="006E6A1C">
        <w:rPr>
          <w:rFonts w:asciiTheme="majorBidi" w:hAnsiTheme="majorBidi" w:cstheme="majorBidi"/>
        </w:rPr>
        <w:t>[pers. B]</w:t>
      </w:r>
      <w:r w:rsidR="00A4734B">
        <w:rPr>
          <w:rFonts w:asciiTheme="majorBidi" w:hAnsiTheme="majorBidi" w:cstheme="majorBidi"/>
        </w:rPr>
        <w:t xml:space="preserve"> </w:t>
      </w:r>
      <w:r w:rsidR="00956C90" w:rsidRPr="009056A0">
        <w:rPr>
          <w:rFonts w:asciiTheme="majorBidi" w:hAnsiTheme="majorBidi" w:cstheme="majorBidi"/>
        </w:rPr>
        <w:t>darbību raksturu</w:t>
      </w:r>
      <w:r w:rsidR="00CD007F" w:rsidRPr="009056A0">
        <w:rPr>
          <w:rFonts w:asciiTheme="majorBidi" w:hAnsiTheme="majorBidi" w:cstheme="majorBidi"/>
        </w:rPr>
        <w:t xml:space="preserve"> un viņa ieinteresētību speciālā izmeklēšanas eksperimenta veikšanā</w:t>
      </w:r>
      <w:r w:rsidR="00554B6B" w:rsidRPr="009056A0">
        <w:rPr>
          <w:rFonts w:asciiTheme="majorBidi" w:hAnsiTheme="majorBidi" w:cstheme="majorBidi"/>
        </w:rPr>
        <w:t xml:space="preserve">, jāņem vērā ne vien </w:t>
      </w:r>
      <w:r w:rsidR="00A4734B">
        <w:rPr>
          <w:rFonts w:asciiTheme="majorBidi" w:hAnsiTheme="majorBidi" w:cstheme="majorBidi"/>
        </w:rPr>
        <w:t>fakts, ka</w:t>
      </w:r>
      <w:r w:rsidR="00120248">
        <w:rPr>
          <w:rFonts w:asciiTheme="majorBidi" w:hAnsiTheme="majorBidi" w:cstheme="majorBidi"/>
        </w:rPr>
        <w:t xml:space="preserve"> </w:t>
      </w:r>
      <w:r w:rsidR="006E6A1C">
        <w:rPr>
          <w:rFonts w:asciiTheme="majorBidi" w:hAnsiTheme="majorBidi" w:cstheme="majorBidi"/>
        </w:rPr>
        <w:t>[pers. B]</w:t>
      </w:r>
      <w:r w:rsidR="00A4734B">
        <w:rPr>
          <w:rFonts w:asciiTheme="majorBidi" w:hAnsiTheme="majorBidi" w:cstheme="majorBidi"/>
        </w:rPr>
        <w:t xml:space="preserve"> ir vairākkārt zvanījis </w:t>
      </w:r>
      <w:r w:rsidR="006E6A1C">
        <w:rPr>
          <w:rFonts w:asciiTheme="majorBidi" w:hAnsiTheme="majorBidi" w:cstheme="majorBidi"/>
        </w:rPr>
        <w:t>[pers. A]</w:t>
      </w:r>
      <w:r w:rsidR="00554B6B" w:rsidRPr="009056A0">
        <w:rPr>
          <w:rFonts w:asciiTheme="majorBidi" w:hAnsiTheme="majorBidi" w:cstheme="majorBidi"/>
        </w:rPr>
        <w:t xml:space="preserve">, bet arī </w:t>
      </w:r>
      <w:r w:rsidR="00054C4C" w:rsidRPr="009056A0">
        <w:rPr>
          <w:rFonts w:asciiTheme="majorBidi" w:hAnsiTheme="majorBidi" w:cstheme="majorBidi"/>
        </w:rPr>
        <w:t>viņa</w:t>
      </w:r>
      <w:r w:rsidRPr="009056A0">
        <w:rPr>
          <w:rFonts w:asciiTheme="majorBidi" w:hAnsiTheme="majorBidi" w:cstheme="majorBidi"/>
        </w:rPr>
        <w:t xml:space="preserve"> </w:t>
      </w:r>
      <w:r w:rsidR="00554B6B" w:rsidRPr="009056A0">
        <w:rPr>
          <w:rFonts w:asciiTheme="majorBidi" w:hAnsiTheme="majorBidi" w:cstheme="majorBidi"/>
        </w:rPr>
        <w:t>sarun</w:t>
      </w:r>
      <w:r w:rsidR="00D23E6A" w:rsidRPr="009056A0">
        <w:rPr>
          <w:rFonts w:asciiTheme="majorBidi" w:hAnsiTheme="majorBidi" w:cstheme="majorBidi"/>
        </w:rPr>
        <w:t>u</w:t>
      </w:r>
      <w:r w:rsidR="00554B6B" w:rsidRPr="009056A0">
        <w:rPr>
          <w:rFonts w:asciiTheme="majorBidi" w:hAnsiTheme="majorBidi" w:cstheme="majorBidi"/>
        </w:rPr>
        <w:t xml:space="preserve"> </w:t>
      </w:r>
      <w:r w:rsidR="00D23E6A" w:rsidRPr="009056A0">
        <w:rPr>
          <w:rFonts w:asciiTheme="majorBidi" w:hAnsiTheme="majorBidi" w:cstheme="majorBidi"/>
        </w:rPr>
        <w:t xml:space="preserve">ar </w:t>
      </w:r>
      <w:r w:rsidR="006E6A1C">
        <w:rPr>
          <w:rFonts w:asciiTheme="majorBidi" w:hAnsiTheme="majorBidi" w:cstheme="majorBidi"/>
        </w:rPr>
        <w:t>[pers. A]</w:t>
      </w:r>
      <w:r w:rsidR="00D23E6A" w:rsidRPr="009056A0">
        <w:rPr>
          <w:rFonts w:asciiTheme="majorBidi" w:hAnsiTheme="majorBidi" w:cstheme="majorBidi"/>
        </w:rPr>
        <w:t xml:space="preserve"> un citām personām </w:t>
      </w:r>
      <w:r w:rsidR="00B14F4B">
        <w:rPr>
          <w:rFonts w:asciiTheme="majorBidi" w:hAnsiTheme="majorBidi" w:cstheme="majorBidi"/>
        </w:rPr>
        <w:t>saturs</w:t>
      </w:r>
      <w:r w:rsidR="0000643F" w:rsidRPr="009056A0">
        <w:rPr>
          <w:rFonts w:asciiTheme="majorBidi" w:hAnsiTheme="majorBidi" w:cstheme="majorBidi"/>
        </w:rPr>
        <w:t xml:space="preserve"> </w:t>
      </w:r>
      <w:r w:rsidR="00D23E6A" w:rsidRPr="009056A0">
        <w:rPr>
          <w:rFonts w:asciiTheme="majorBidi" w:hAnsiTheme="majorBidi" w:cstheme="majorBidi"/>
        </w:rPr>
        <w:t>un</w:t>
      </w:r>
      <w:r w:rsidR="00554B6B" w:rsidRPr="009056A0">
        <w:rPr>
          <w:rFonts w:asciiTheme="majorBidi" w:hAnsiTheme="majorBidi" w:cstheme="majorBidi"/>
        </w:rPr>
        <w:t xml:space="preserve"> </w:t>
      </w:r>
      <w:r w:rsidR="0000643F">
        <w:rPr>
          <w:rFonts w:asciiTheme="majorBidi" w:hAnsiTheme="majorBidi" w:cstheme="majorBidi"/>
        </w:rPr>
        <w:t>to</w:t>
      </w:r>
      <w:r w:rsidR="0000643F" w:rsidRPr="009056A0">
        <w:rPr>
          <w:rFonts w:asciiTheme="majorBidi" w:hAnsiTheme="majorBidi" w:cstheme="majorBidi"/>
        </w:rPr>
        <w:t xml:space="preserve"> </w:t>
      </w:r>
      <w:r w:rsidR="00554B6B" w:rsidRPr="009056A0">
        <w:rPr>
          <w:rFonts w:asciiTheme="majorBidi" w:hAnsiTheme="majorBidi" w:cstheme="majorBidi"/>
          <w:noProof/>
        </w:rPr>
        <w:t>mērķis</w:t>
      </w:r>
      <w:r w:rsidRPr="009056A0">
        <w:rPr>
          <w:rFonts w:asciiTheme="majorBidi" w:hAnsiTheme="majorBidi" w:cstheme="majorBidi"/>
          <w:noProof/>
        </w:rPr>
        <w:t xml:space="preserve">, neizraujot no </w:t>
      </w:r>
      <w:r w:rsidR="00B14F4B">
        <w:rPr>
          <w:rFonts w:asciiTheme="majorBidi" w:hAnsiTheme="majorBidi" w:cstheme="majorBidi"/>
          <w:noProof/>
        </w:rPr>
        <w:t xml:space="preserve">sarunu </w:t>
      </w:r>
      <w:r w:rsidRPr="009056A0">
        <w:rPr>
          <w:rFonts w:asciiTheme="majorBidi" w:hAnsiTheme="majorBidi" w:cstheme="majorBidi"/>
          <w:noProof/>
        </w:rPr>
        <w:t>konteksta atsevišķas frāzes</w:t>
      </w:r>
      <w:r w:rsidR="001B422D">
        <w:rPr>
          <w:rFonts w:asciiTheme="majorBidi" w:hAnsiTheme="majorBidi" w:cstheme="majorBidi"/>
          <w:noProof/>
        </w:rPr>
        <w:t>, bet</w:t>
      </w:r>
      <w:r w:rsidRPr="009056A0">
        <w:rPr>
          <w:rFonts w:asciiTheme="majorBidi" w:hAnsiTheme="majorBidi" w:cstheme="majorBidi"/>
          <w:noProof/>
        </w:rPr>
        <w:t xml:space="preserve"> vērtējot kriminālprocesā iegūtās ziņas par faktiem kopumā un savstarpējā sakarībā</w:t>
      </w:r>
      <w:r w:rsidR="002461ED" w:rsidRPr="009056A0">
        <w:rPr>
          <w:rFonts w:asciiTheme="majorBidi" w:hAnsiTheme="majorBidi" w:cstheme="majorBidi"/>
          <w:noProof/>
        </w:rPr>
        <w:t>, tai skaitā</w:t>
      </w:r>
      <w:r w:rsidR="00E811B0" w:rsidRPr="009056A0">
        <w:rPr>
          <w:rFonts w:asciiTheme="majorBidi" w:hAnsiTheme="majorBidi" w:cstheme="majorBidi"/>
          <w:noProof/>
        </w:rPr>
        <w:t xml:space="preserve"> to</w:t>
      </w:r>
      <w:r w:rsidR="002461ED" w:rsidRPr="009056A0">
        <w:rPr>
          <w:rFonts w:asciiTheme="majorBidi" w:hAnsiTheme="majorBidi" w:cstheme="majorBidi"/>
          <w:noProof/>
        </w:rPr>
        <w:t xml:space="preserve">, ka </w:t>
      </w:r>
      <w:r w:rsidR="00554B6B" w:rsidRPr="009056A0">
        <w:rPr>
          <w:rFonts w:asciiTheme="majorBidi" w:hAnsiTheme="majorBidi" w:cstheme="majorBidi"/>
        </w:rPr>
        <w:t>apsūdzēt</w:t>
      </w:r>
      <w:r w:rsidR="002461ED" w:rsidRPr="009056A0">
        <w:rPr>
          <w:rFonts w:asciiTheme="majorBidi" w:hAnsiTheme="majorBidi" w:cstheme="majorBidi"/>
        </w:rPr>
        <w:t>ais</w:t>
      </w:r>
      <w:r w:rsidR="00554B6B" w:rsidRPr="009056A0">
        <w:rPr>
          <w:rFonts w:asciiTheme="majorBidi" w:hAnsiTheme="majorBidi" w:cstheme="majorBidi"/>
        </w:rPr>
        <w:t xml:space="preserve"> </w:t>
      </w:r>
      <w:r w:rsidR="006E6A1C">
        <w:rPr>
          <w:rFonts w:asciiTheme="majorBidi" w:hAnsiTheme="majorBidi" w:cstheme="majorBidi"/>
        </w:rPr>
        <w:t>[pers. A]</w:t>
      </w:r>
      <w:r w:rsidR="00554B6B" w:rsidRPr="009056A0">
        <w:rPr>
          <w:rFonts w:asciiTheme="majorBidi" w:hAnsiTheme="majorBidi" w:cstheme="majorBidi"/>
        </w:rPr>
        <w:t xml:space="preserve"> kriminālprocesā </w:t>
      </w:r>
      <w:r w:rsidR="00B14F4B">
        <w:rPr>
          <w:rFonts w:asciiTheme="majorBidi" w:hAnsiTheme="majorBidi" w:cstheme="majorBidi"/>
        </w:rPr>
        <w:t>nav</w:t>
      </w:r>
      <w:r w:rsidR="00B14F4B" w:rsidRPr="009056A0">
        <w:rPr>
          <w:rFonts w:asciiTheme="majorBidi" w:hAnsiTheme="majorBidi" w:cstheme="majorBidi"/>
        </w:rPr>
        <w:t xml:space="preserve"> </w:t>
      </w:r>
      <w:r w:rsidR="00554B6B" w:rsidRPr="009056A0">
        <w:rPr>
          <w:rFonts w:asciiTheme="majorBidi" w:hAnsiTheme="majorBidi" w:cstheme="majorBidi"/>
        </w:rPr>
        <w:t>apstrīdējis naudas saņemšanas faktu, bet gan tās nodošanas mērķi.</w:t>
      </w:r>
    </w:p>
    <w:p w14:paraId="2C9ABE19" w14:textId="19504040" w:rsidR="008A4184" w:rsidRPr="009056A0" w:rsidRDefault="00A20A6E" w:rsidP="009056A0">
      <w:pPr>
        <w:spacing w:line="276" w:lineRule="auto"/>
        <w:ind w:firstLine="720"/>
        <w:contextualSpacing/>
        <w:jc w:val="both"/>
        <w:rPr>
          <w:rFonts w:asciiTheme="majorBidi" w:eastAsiaTheme="minorHAnsi" w:hAnsiTheme="majorBidi" w:cstheme="majorBidi"/>
        </w:rPr>
      </w:pPr>
      <w:r w:rsidRPr="009056A0">
        <w:rPr>
          <w:rFonts w:asciiTheme="majorBidi" w:eastAsiaTheme="minorHAnsi" w:hAnsiTheme="majorBidi" w:cstheme="majorBidi"/>
        </w:rPr>
        <w:t>[6.4] </w:t>
      </w:r>
      <w:r w:rsidR="00EB62FC" w:rsidRPr="009056A0">
        <w:rPr>
          <w:rFonts w:asciiTheme="majorBidi" w:eastAsiaTheme="minorHAnsi" w:hAnsiTheme="majorBidi" w:cstheme="majorBidi"/>
        </w:rPr>
        <w:t>Senāts atzīst, ka, n</w:t>
      </w:r>
      <w:r w:rsidR="0004049E" w:rsidRPr="009056A0">
        <w:rPr>
          <w:rFonts w:asciiTheme="majorBidi" w:eastAsiaTheme="minorHAnsi" w:hAnsiTheme="majorBidi" w:cstheme="majorBidi"/>
        </w:rPr>
        <w:t xml:space="preserve">eizvērtējot veiktā speciālā izmeklēšanas eksperimenta tiesiskumu, apelācijas instances tiesa ir pieļāvusi Kriminālprocesa likuma 130. panta otrās daļas 3. punkta, </w:t>
      </w:r>
      <w:r w:rsidR="0004049E" w:rsidRPr="009056A0">
        <w:rPr>
          <w:rFonts w:asciiTheme="majorBidi" w:hAnsiTheme="majorBidi" w:cstheme="majorBidi"/>
        </w:rPr>
        <w:t xml:space="preserve">229. panta trešās daļas, </w:t>
      </w:r>
      <w:r w:rsidR="0004049E" w:rsidRPr="009056A0">
        <w:rPr>
          <w:rFonts w:asciiTheme="majorBidi" w:eastAsiaTheme="minorHAnsi" w:hAnsiTheme="majorBidi" w:cstheme="majorBidi"/>
        </w:rPr>
        <w:t>564. panta ceturtās daļas pārkāpumus, kas atzīstami par Kriminālprocesa likuma būtiskiem pārkāpumiem šā likuma 575. panta trešās daļas izpratnē un noveduši pie nelikumīga nolēmuma</w:t>
      </w:r>
      <w:r w:rsidR="008A4184" w:rsidRPr="009056A0">
        <w:rPr>
          <w:rFonts w:asciiTheme="majorBidi" w:eastAsiaTheme="minorHAnsi" w:hAnsiTheme="majorBidi" w:cstheme="majorBidi"/>
        </w:rPr>
        <w:t>.</w:t>
      </w:r>
    </w:p>
    <w:p w14:paraId="75BF2041" w14:textId="35E0160C" w:rsidR="0004049E" w:rsidRPr="009056A0" w:rsidRDefault="008A4184" w:rsidP="009056A0">
      <w:pPr>
        <w:spacing w:line="276" w:lineRule="auto"/>
        <w:ind w:firstLine="720"/>
        <w:contextualSpacing/>
        <w:jc w:val="both"/>
        <w:rPr>
          <w:rFonts w:asciiTheme="majorBidi" w:eastAsiaTheme="minorHAnsi" w:hAnsiTheme="majorBidi" w:cstheme="majorBidi"/>
        </w:rPr>
      </w:pPr>
      <w:r w:rsidRPr="009056A0">
        <w:rPr>
          <w:rFonts w:asciiTheme="majorBidi" w:eastAsiaTheme="minorHAnsi" w:hAnsiTheme="majorBidi" w:cstheme="majorBidi"/>
        </w:rPr>
        <w:t xml:space="preserve">Ievērojot minēto, </w:t>
      </w:r>
      <w:r w:rsidR="0004049E" w:rsidRPr="009056A0">
        <w:rPr>
          <w:rFonts w:asciiTheme="majorBidi" w:eastAsiaTheme="minorHAnsi" w:hAnsiTheme="majorBidi" w:cstheme="majorBidi"/>
        </w:rPr>
        <w:t>apelācijas instances tiesas lēmums atceļams un lieta nosūtāma jaunai izskatīšanai apelācijas instances tiesā.</w:t>
      </w:r>
    </w:p>
    <w:p w14:paraId="6F745B68" w14:textId="40454311" w:rsidR="00DD27D1" w:rsidRPr="009056A0" w:rsidRDefault="00DD27D1" w:rsidP="009056A0">
      <w:pPr>
        <w:widowControl w:val="0"/>
        <w:tabs>
          <w:tab w:val="left" w:pos="1710"/>
        </w:tabs>
        <w:suppressAutoHyphens/>
        <w:spacing w:line="276" w:lineRule="auto"/>
        <w:ind w:firstLine="720"/>
        <w:contextualSpacing/>
        <w:jc w:val="both"/>
        <w:rPr>
          <w:rFonts w:asciiTheme="majorBidi" w:hAnsiTheme="majorBidi" w:cstheme="majorBidi"/>
        </w:rPr>
      </w:pPr>
    </w:p>
    <w:p w14:paraId="03E58CDC" w14:textId="3EB76CEF" w:rsidR="00DD27D1" w:rsidRPr="009056A0" w:rsidRDefault="00DD27D1" w:rsidP="009056A0">
      <w:pPr>
        <w:widowControl w:val="0"/>
        <w:tabs>
          <w:tab w:val="left" w:pos="1710"/>
        </w:tabs>
        <w:suppressAutoHyphens/>
        <w:spacing w:line="276" w:lineRule="auto"/>
        <w:ind w:firstLine="720"/>
        <w:contextualSpacing/>
        <w:jc w:val="both"/>
        <w:rPr>
          <w:rFonts w:asciiTheme="majorBidi" w:hAnsiTheme="majorBidi" w:cstheme="majorBidi"/>
          <w:bCs/>
        </w:rPr>
      </w:pPr>
      <w:r w:rsidRPr="009056A0">
        <w:rPr>
          <w:rFonts w:asciiTheme="majorBidi" w:hAnsiTheme="majorBidi" w:cstheme="majorBidi"/>
          <w:bCs/>
        </w:rPr>
        <w:t>[7] </w:t>
      </w:r>
      <w:r w:rsidRPr="009056A0">
        <w:rPr>
          <w:rFonts w:asciiTheme="majorBidi" w:hAnsiTheme="majorBidi" w:cstheme="majorBidi"/>
        </w:rPr>
        <w:t>Senāts konstatē, ka pirmās instances tiesa</w:t>
      </w:r>
      <w:r w:rsidR="00735040" w:rsidRPr="009056A0">
        <w:rPr>
          <w:rFonts w:asciiTheme="majorBidi" w:hAnsiTheme="majorBidi" w:cstheme="majorBidi"/>
        </w:rPr>
        <w:t xml:space="preserve">, atzīstot </w:t>
      </w:r>
      <w:r w:rsidR="006E6A1C">
        <w:rPr>
          <w:rFonts w:asciiTheme="majorBidi" w:hAnsiTheme="majorBidi" w:cstheme="majorBidi"/>
        </w:rPr>
        <w:t>[pers. A]</w:t>
      </w:r>
      <w:r w:rsidRPr="009056A0">
        <w:rPr>
          <w:rFonts w:asciiTheme="majorBidi" w:hAnsiTheme="majorBidi" w:cstheme="majorBidi"/>
        </w:rPr>
        <w:t xml:space="preserve"> </w:t>
      </w:r>
      <w:r w:rsidR="00735040" w:rsidRPr="009056A0">
        <w:rPr>
          <w:rFonts w:asciiTheme="majorBidi" w:hAnsiTheme="majorBidi" w:cstheme="majorBidi"/>
        </w:rPr>
        <w:t xml:space="preserve">par nevainīgu pret viņu celtajā apsūdzībā pēc </w:t>
      </w:r>
      <w:proofErr w:type="gramStart"/>
      <w:r w:rsidR="00735040" w:rsidRPr="009056A0">
        <w:rPr>
          <w:rFonts w:asciiTheme="majorBidi" w:hAnsiTheme="majorBidi" w:cstheme="majorBidi"/>
        </w:rPr>
        <w:t>Krimināllikuma 320.</w:t>
      </w:r>
      <w:r w:rsidR="002A51D2" w:rsidRPr="009056A0">
        <w:rPr>
          <w:rFonts w:asciiTheme="majorBidi" w:hAnsiTheme="majorBidi" w:cstheme="majorBidi"/>
        </w:rPr>
        <w:t> </w:t>
      </w:r>
      <w:r w:rsidR="00735040" w:rsidRPr="009056A0">
        <w:rPr>
          <w:rFonts w:asciiTheme="majorBidi" w:hAnsiTheme="majorBidi" w:cstheme="majorBidi"/>
        </w:rPr>
        <w:t>panta otrās daļas,</w:t>
      </w:r>
      <w:proofErr w:type="gramEnd"/>
      <w:r w:rsidR="00735040" w:rsidRPr="009056A0">
        <w:rPr>
          <w:rFonts w:asciiTheme="majorBidi" w:hAnsiTheme="majorBidi" w:cstheme="majorBidi"/>
        </w:rPr>
        <w:t xml:space="preserve"> atstāja negrozītu</w:t>
      </w:r>
      <w:r w:rsidR="00BA4A51">
        <w:rPr>
          <w:rFonts w:asciiTheme="majorBidi" w:hAnsiTheme="majorBidi" w:cstheme="majorBidi"/>
        </w:rPr>
        <w:t>s</w:t>
      </w:r>
      <w:r w:rsidRPr="009056A0">
        <w:rPr>
          <w:rFonts w:asciiTheme="majorBidi" w:hAnsiTheme="majorBidi" w:cstheme="majorBidi"/>
        </w:rPr>
        <w:t xml:space="preserve"> apsūdzētajam </w:t>
      </w:r>
      <w:r w:rsidR="006E6A1C">
        <w:rPr>
          <w:rFonts w:asciiTheme="majorBidi" w:hAnsiTheme="majorBidi" w:cstheme="majorBidi"/>
        </w:rPr>
        <w:t>[pers. A]</w:t>
      </w:r>
      <w:r w:rsidRPr="009056A0">
        <w:rPr>
          <w:rFonts w:asciiTheme="majorBidi" w:hAnsiTheme="majorBidi" w:cstheme="majorBidi"/>
        </w:rPr>
        <w:t xml:space="preserve"> piemēroto</w:t>
      </w:r>
      <w:r w:rsidR="00735040" w:rsidRPr="009056A0">
        <w:rPr>
          <w:rFonts w:asciiTheme="majorBidi" w:hAnsiTheme="majorBidi" w:cstheme="majorBidi"/>
        </w:rPr>
        <w:t>s</w:t>
      </w:r>
      <w:r w:rsidRPr="009056A0">
        <w:rPr>
          <w:rFonts w:asciiTheme="majorBidi" w:hAnsiTheme="majorBidi" w:cstheme="majorBidi"/>
        </w:rPr>
        <w:t xml:space="preserve"> drošības līdzek</w:t>
      </w:r>
      <w:r w:rsidR="00735040" w:rsidRPr="009056A0">
        <w:rPr>
          <w:rFonts w:asciiTheme="majorBidi" w:hAnsiTheme="majorBidi" w:cstheme="majorBidi"/>
        </w:rPr>
        <w:t>ļus</w:t>
      </w:r>
      <w:r w:rsidRPr="009056A0">
        <w:rPr>
          <w:rFonts w:asciiTheme="majorBidi" w:hAnsiTheme="majorBidi" w:cstheme="majorBidi"/>
        </w:rPr>
        <w:t> –</w:t>
      </w:r>
      <w:r w:rsidR="00040E02" w:rsidRPr="009056A0">
        <w:rPr>
          <w:rFonts w:asciiTheme="majorBidi" w:hAnsiTheme="majorBidi" w:cstheme="majorBidi"/>
        </w:rPr>
        <w:t xml:space="preserve"> </w:t>
      </w:r>
      <w:r w:rsidR="00735040" w:rsidRPr="009056A0">
        <w:rPr>
          <w:rFonts w:asciiTheme="majorBidi" w:hAnsiTheme="majorBidi" w:cstheme="majorBidi"/>
        </w:rPr>
        <w:t>uzturēšan</w:t>
      </w:r>
      <w:r w:rsidR="00B77E90">
        <w:rPr>
          <w:rFonts w:asciiTheme="majorBidi" w:hAnsiTheme="majorBidi" w:cstheme="majorBidi"/>
        </w:rPr>
        <w:t>o</w:t>
      </w:r>
      <w:r w:rsidR="00735040" w:rsidRPr="009056A0">
        <w:rPr>
          <w:rFonts w:asciiTheme="majorBidi" w:hAnsiTheme="majorBidi" w:cstheme="majorBidi"/>
        </w:rPr>
        <w:t>s noteiktā vietā</w:t>
      </w:r>
      <w:r w:rsidR="00C83297" w:rsidRPr="009056A0">
        <w:rPr>
          <w:rFonts w:asciiTheme="majorBidi" w:hAnsiTheme="majorBidi" w:cstheme="majorBidi"/>
        </w:rPr>
        <w:t xml:space="preserve">, aizliegumu </w:t>
      </w:r>
      <w:r w:rsidR="00735040" w:rsidRPr="009056A0">
        <w:rPr>
          <w:rFonts w:asciiTheme="majorBidi" w:hAnsiTheme="majorBidi" w:cstheme="majorBidi"/>
        </w:rPr>
        <w:t>tuvoties noteiktai personai un noteiktas nodarbošanās aizliegumu</w:t>
      </w:r>
      <w:r w:rsidRPr="009056A0">
        <w:rPr>
          <w:rFonts w:asciiTheme="majorBidi" w:hAnsiTheme="majorBidi" w:cstheme="majorBidi"/>
        </w:rPr>
        <w:t xml:space="preserve">. </w:t>
      </w:r>
      <w:r w:rsidRPr="009056A0">
        <w:rPr>
          <w:rFonts w:asciiTheme="majorBidi" w:hAnsiTheme="majorBidi" w:cstheme="majorBidi"/>
          <w:bCs/>
        </w:rPr>
        <w:t xml:space="preserve">Savukārt </w:t>
      </w:r>
      <w:r w:rsidR="00735040" w:rsidRPr="009056A0">
        <w:rPr>
          <w:rFonts w:asciiTheme="majorBidi" w:hAnsiTheme="majorBidi" w:cstheme="majorBidi"/>
          <w:bCs/>
        </w:rPr>
        <w:t>apelācijas instances tiesa pirmās instances tiesas spriedumu atstāja negrozītu.</w:t>
      </w:r>
    </w:p>
    <w:p w14:paraId="114E1C9E" w14:textId="15FD138E" w:rsidR="00740CB3" w:rsidRPr="009056A0" w:rsidRDefault="00740CB3" w:rsidP="009056A0">
      <w:pPr>
        <w:widowControl w:val="0"/>
        <w:autoSpaceDE w:val="0"/>
        <w:autoSpaceDN w:val="0"/>
        <w:adjustRightInd w:val="0"/>
        <w:spacing w:line="276" w:lineRule="auto"/>
        <w:ind w:firstLine="720"/>
        <w:contextualSpacing/>
        <w:jc w:val="both"/>
        <w:rPr>
          <w:rFonts w:asciiTheme="majorBidi" w:eastAsia="Calibri" w:hAnsiTheme="majorBidi" w:cstheme="majorBidi"/>
        </w:rPr>
      </w:pPr>
      <w:r w:rsidRPr="009056A0">
        <w:rPr>
          <w:rFonts w:asciiTheme="majorBidi" w:hAnsiTheme="majorBidi" w:cstheme="majorBidi"/>
        </w:rPr>
        <w:t xml:space="preserve">Senāts atzīst, ka, atceļot apelācijas instances tiesas lēmumu pilnībā, apsūdzētajam </w:t>
      </w:r>
      <w:r w:rsidR="006E6A1C">
        <w:rPr>
          <w:rFonts w:asciiTheme="majorBidi" w:hAnsiTheme="majorBidi" w:cstheme="majorBidi"/>
        </w:rPr>
        <w:t>[pers. A]</w:t>
      </w:r>
      <w:r w:rsidR="00047875">
        <w:rPr>
          <w:rFonts w:asciiTheme="majorBidi" w:hAnsiTheme="majorBidi" w:cstheme="majorBidi"/>
        </w:rPr>
        <w:t xml:space="preserve"> </w:t>
      </w:r>
      <w:r w:rsidRPr="009056A0">
        <w:rPr>
          <w:rFonts w:asciiTheme="majorBidi" w:hAnsiTheme="majorBidi" w:cstheme="majorBidi"/>
        </w:rPr>
        <w:t xml:space="preserve">turpināma noteikto drošības līdzekļu piemērošana. </w:t>
      </w:r>
    </w:p>
    <w:p w14:paraId="0BF334FC" w14:textId="77777777" w:rsidR="00740CB3" w:rsidRPr="009056A0" w:rsidRDefault="00740CB3" w:rsidP="009056A0">
      <w:pPr>
        <w:spacing w:line="276" w:lineRule="auto"/>
        <w:contextualSpacing/>
        <w:jc w:val="center"/>
        <w:rPr>
          <w:rFonts w:asciiTheme="majorBidi" w:hAnsiTheme="majorBidi" w:cstheme="majorBidi"/>
          <w:b/>
        </w:rPr>
      </w:pPr>
    </w:p>
    <w:p w14:paraId="64E33345" w14:textId="09399181" w:rsidR="00DD27D1" w:rsidRPr="009056A0" w:rsidRDefault="00DD27D1" w:rsidP="009056A0">
      <w:pPr>
        <w:spacing w:line="276" w:lineRule="auto"/>
        <w:contextualSpacing/>
        <w:jc w:val="center"/>
        <w:rPr>
          <w:rFonts w:asciiTheme="majorBidi" w:hAnsiTheme="majorBidi" w:cstheme="majorBidi"/>
          <w:b/>
        </w:rPr>
      </w:pPr>
      <w:r w:rsidRPr="009056A0">
        <w:rPr>
          <w:rFonts w:asciiTheme="majorBidi" w:hAnsiTheme="majorBidi" w:cstheme="majorBidi"/>
          <w:b/>
        </w:rPr>
        <w:t>Rezolutīvā daļa</w:t>
      </w:r>
    </w:p>
    <w:p w14:paraId="7B32CE28" w14:textId="77777777" w:rsidR="00DD27D1" w:rsidRPr="009056A0" w:rsidRDefault="00DD27D1" w:rsidP="009056A0">
      <w:pPr>
        <w:widowControl w:val="0"/>
        <w:spacing w:line="276" w:lineRule="auto"/>
        <w:ind w:firstLine="720"/>
        <w:contextualSpacing/>
        <w:jc w:val="center"/>
        <w:rPr>
          <w:rFonts w:asciiTheme="majorBidi" w:hAnsiTheme="majorBidi" w:cstheme="majorBidi"/>
          <w:b/>
        </w:rPr>
      </w:pPr>
    </w:p>
    <w:p w14:paraId="671BCA8B" w14:textId="77777777" w:rsidR="00DD27D1" w:rsidRPr="009056A0" w:rsidRDefault="00DD27D1"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Pamatojoties uz Kriminālprocesa likuma 585. pantu un 587. panta pirmās daļas 2. punktu, Senāts</w:t>
      </w:r>
    </w:p>
    <w:p w14:paraId="605F4CD5" w14:textId="77777777" w:rsidR="00047875" w:rsidRDefault="00047875" w:rsidP="009056A0">
      <w:pPr>
        <w:spacing w:after="160" w:line="276" w:lineRule="auto"/>
        <w:contextualSpacing/>
        <w:jc w:val="center"/>
        <w:rPr>
          <w:rFonts w:asciiTheme="majorBidi" w:hAnsiTheme="majorBidi" w:cstheme="majorBidi"/>
          <w:b/>
        </w:rPr>
      </w:pPr>
    </w:p>
    <w:p w14:paraId="259BFF3A" w14:textId="5DEF2030" w:rsidR="00DD27D1" w:rsidRPr="009056A0" w:rsidRDefault="00DD27D1" w:rsidP="009056A0">
      <w:pPr>
        <w:spacing w:after="160" w:line="276" w:lineRule="auto"/>
        <w:contextualSpacing/>
        <w:jc w:val="center"/>
        <w:rPr>
          <w:rFonts w:asciiTheme="majorBidi" w:hAnsiTheme="majorBidi" w:cstheme="majorBidi"/>
          <w:b/>
        </w:rPr>
      </w:pPr>
      <w:r w:rsidRPr="009056A0">
        <w:rPr>
          <w:rFonts w:asciiTheme="majorBidi" w:hAnsiTheme="majorBidi" w:cstheme="majorBidi"/>
          <w:b/>
        </w:rPr>
        <w:t>nolēma</w:t>
      </w:r>
    </w:p>
    <w:p w14:paraId="6C9B1196" w14:textId="77777777" w:rsidR="00DD27D1" w:rsidRPr="009056A0" w:rsidRDefault="00DD27D1" w:rsidP="009056A0">
      <w:pPr>
        <w:spacing w:line="276" w:lineRule="auto"/>
        <w:ind w:firstLine="720"/>
        <w:contextualSpacing/>
        <w:jc w:val="both"/>
        <w:rPr>
          <w:rFonts w:asciiTheme="majorBidi" w:hAnsiTheme="majorBidi" w:cstheme="majorBidi"/>
        </w:rPr>
      </w:pPr>
    </w:p>
    <w:p w14:paraId="13FE8634" w14:textId="10D0566B" w:rsidR="00DD27D1" w:rsidRPr="009056A0" w:rsidRDefault="00DD27D1" w:rsidP="009056A0">
      <w:pPr>
        <w:autoSpaceDE w:val="0"/>
        <w:autoSpaceDN w:val="0"/>
        <w:adjustRightInd w:val="0"/>
        <w:spacing w:line="276" w:lineRule="auto"/>
        <w:ind w:firstLine="720"/>
        <w:contextualSpacing/>
        <w:jc w:val="both"/>
        <w:rPr>
          <w:rFonts w:asciiTheme="majorBidi" w:hAnsiTheme="majorBidi" w:cstheme="majorBidi"/>
          <w:color w:val="000000" w:themeColor="text1"/>
        </w:rPr>
      </w:pPr>
      <w:r w:rsidRPr="009056A0">
        <w:rPr>
          <w:rFonts w:asciiTheme="majorBidi" w:hAnsiTheme="majorBidi" w:cstheme="majorBidi"/>
        </w:rPr>
        <w:t xml:space="preserve">atcelt </w:t>
      </w:r>
      <w:r w:rsidR="00735040" w:rsidRPr="009056A0">
        <w:rPr>
          <w:rFonts w:asciiTheme="majorBidi" w:hAnsiTheme="majorBidi" w:cstheme="majorBidi"/>
        </w:rPr>
        <w:t>Rīgas</w:t>
      </w:r>
      <w:r w:rsidRPr="009056A0">
        <w:rPr>
          <w:rFonts w:asciiTheme="majorBidi" w:hAnsiTheme="majorBidi" w:cstheme="majorBidi"/>
        </w:rPr>
        <w:t xml:space="preserve"> apgabaltiesas 202</w:t>
      </w:r>
      <w:r w:rsidR="00C83297" w:rsidRPr="009056A0">
        <w:rPr>
          <w:rFonts w:asciiTheme="majorBidi" w:hAnsiTheme="majorBidi" w:cstheme="majorBidi"/>
        </w:rPr>
        <w:t>2</w:t>
      </w:r>
      <w:r w:rsidRPr="009056A0">
        <w:rPr>
          <w:rFonts w:asciiTheme="majorBidi" w:hAnsiTheme="majorBidi" w:cstheme="majorBidi"/>
        </w:rPr>
        <w:t xml:space="preserve">. gada </w:t>
      </w:r>
      <w:r w:rsidR="00C83297" w:rsidRPr="009056A0">
        <w:rPr>
          <w:rFonts w:asciiTheme="majorBidi" w:hAnsiTheme="majorBidi" w:cstheme="majorBidi"/>
        </w:rPr>
        <w:t>7. aprīļa lēmum</w:t>
      </w:r>
      <w:r w:rsidRPr="009056A0">
        <w:rPr>
          <w:rFonts w:asciiTheme="majorBidi" w:hAnsiTheme="majorBidi" w:cstheme="majorBidi"/>
        </w:rPr>
        <w:t>u pilnībā un</w:t>
      </w:r>
      <w:r w:rsidRPr="009056A0">
        <w:rPr>
          <w:rFonts w:asciiTheme="majorBidi" w:hAnsiTheme="majorBidi" w:cstheme="majorBidi"/>
          <w:color w:val="000000" w:themeColor="text1"/>
        </w:rPr>
        <w:t xml:space="preserve"> lietu nosūtīt jaunai izskatīšanai </w:t>
      </w:r>
      <w:r w:rsidR="00B63A14">
        <w:rPr>
          <w:rFonts w:asciiTheme="majorBidi" w:hAnsiTheme="majorBidi" w:cstheme="majorBidi"/>
        </w:rPr>
        <w:t>Rīgas</w:t>
      </w:r>
      <w:r w:rsidRPr="009056A0">
        <w:rPr>
          <w:rFonts w:asciiTheme="majorBidi" w:hAnsiTheme="majorBidi" w:cstheme="majorBidi"/>
        </w:rPr>
        <w:t xml:space="preserve"> </w:t>
      </w:r>
      <w:r w:rsidRPr="009056A0">
        <w:rPr>
          <w:rFonts w:asciiTheme="majorBidi" w:hAnsiTheme="majorBidi" w:cstheme="majorBidi"/>
          <w:color w:val="000000" w:themeColor="text1"/>
        </w:rPr>
        <w:t>apgabaltiesā</w:t>
      </w:r>
      <w:r w:rsidR="00C83297" w:rsidRPr="009056A0">
        <w:rPr>
          <w:rFonts w:asciiTheme="majorBidi" w:hAnsiTheme="majorBidi" w:cstheme="majorBidi"/>
          <w:color w:val="000000" w:themeColor="text1"/>
        </w:rPr>
        <w:t>;</w:t>
      </w:r>
    </w:p>
    <w:p w14:paraId="104DD538" w14:textId="7A2E6AD0" w:rsidR="00C83297" w:rsidRPr="009056A0" w:rsidRDefault="00C83297" w:rsidP="009056A0">
      <w:pPr>
        <w:autoSpaceDE w:val="0"/>
        <w:autoSpaceDN w:val="0"/>
        <w:adjustRightInd w:val="0"/>
        <w:spacing w:line="276" w:lineRule="auto"/>
        <w:ind w:firstLine="720"/>
        <w:contextualSpacing/>
        <w:jc w:val="both"/>
        <w:rPr>
          <w:rFonts w:asciiTheme="majorBidi" w:hAnsiTheme="majorBidi" w:cstheme="majorBidi"/>
        </w:rPr>
      </w:pPr>
      <w:r w:rsidRPr="009056A0">
        <w:rPr>
          <w:rFonts w:asciiTheme="majorBidi" w:hAnsiTheme="majorBidi" w:cstheme="majorBidi"/>
        </w:rPr>
        <w:t xml:space="preserve">apsūdzētajam </w:t>
      </w:r>
      <w:r w:rsidR="006E6A1C">
        <w:rPr>
          <w:rFonts w:asciiTheme="majorBidi" w:hAnsiTheme="majorBidi" w:cstheme="majorBidi"/>
        </w:rPr>
        <w:t>[pers. </w:t>
      </w:r>
      <w:r w:rsidR="006E6A1C">
        <w:t>A]</w:t>
      </w:r>
      <w:r w:rsidRPr="009056A0">
        <w:rPr>
          <w:rFonts w:asciiTheme="majorBidi" w:hAnsiTheme="majorBidi" w:cstheme="majorBidi"/>
        </w:rPr>
        <w:t xml:space="preserve"> turpināt piemērot drošības līdzekļus</w:t>
      </w:r>
      <w:r w:rsidR="009932F9" w:rsidRPr="009056A0">
        <w:rPr>
          <w:rFonts w:asciiTheme="majorBidi" w:hAnsiTheme="majorBidi" w:cstheme="majorBidi"/>
        </w:rPr>
        <w:t> </w:t>
      </w:r>
      <w:r w:rsidRPr="009056A0">
        <w:rPr>
          <w:rFonts w:asciiTheme="majorBidi" w:hAnsiTheme="majorBidi" w:cstheme="majorBidi"/>
        </w:rPr>
        <w:t>– uzturēšan</w:t>
      </w:r>
      <w:r w:rsidR="00B63A14">
        <w:rPr>
          <w:rFonts w:asciiTheme="majorBidi" w:hAnsiTheme="majorBidi" w:cstheme="majorBidi"/>
        </w:rPr>
        <w:t>o</w:t>
      </w:r>
      <w:r w:rsidRPr="009056A0">
        <w:rPr>
          <w:rFonts w:asciiTheme="majorBidi" w:hAnsiTheme="majorBidi" w:cstheme="majorBidi"/>
        </w:rPr>
        <w:t>s noteiktā vietā, aizliegumu tuvoties noteiktai personai un noteiktas nodarbošanās aizliegumu.</w:t>
      </w:r>
    </w:p>
    <w:p w14:paraId="266F4325" w14:textId="77777777" w:rsidR="00DD27D1" w:rsidRPr="009056A0" w:rsidRDefault="00DD27D1" w:rsidP="009056A0">
      <w:pPr>
        <w:autoSpaceDE w:val="0"/>
        <w:autoSpaceDN w:val="0"/>
        <w:adjustRightInd w:val="0"/>
        <w:spacing w:line="276" w:lineRule="auto"/>
        <w:ind w:firstLine="720"/>
        <w:contextualSpacing/>
        <w:jc w:val="both"/>
        <w:rPr>
          <w:rFonts w:asciiTheme="majorBidi" w:hAnsiTheme="majorBidi" w:cstheme="majorBidi"/>
          <w:bCs/>
        </w:rPr>
      </w:pPr>
    </w:p>
    <w:p w14:paraId="156FBC82" w14:textId="77777777" w:rsidR="00DD27D1" w:rsidRPr="009056A0" w:rsidRDefault="00DD27D1" w:rsidP="009056A0">
      <w:pPr>
        <w:spacing w:line="276" w:lineRule="auto"/>
        <w:ind w:firstLine="720"/>
        <w:contextualSpacing/>
        <w:jc w:val="both"/>
        <w:rPr>
          <w:rFonts w:asciiTheme="majorBidi" w:hAnsiTheme="majorBidi" w:cstheme="majorBidi"/>
        </w:rPr>
      </w:pPr>
      <w:r w:rsidRPr="009056A0">
        <w:rPr>
          <w:rFonts w:asciiTheme="majorBidi" w:hAnsiTheme="majorBidi" w:cstheme="majorBidi"/>
        </w:rPr>
        <w:t>Lēmums nav pārsūdzams.</w:t>
      </w:r>
    </w:p>
    <w:sectPr w:rsidR="00DD27D1" w:rsidRPr="009056A0" w:rsidSect="00FF32A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FFBC" w14:textId="77777777" w:rsidR="00FF32AE" w:rsidRDefault="00FF32AE" w:rsidP="00FF32AE">
      <w:r>
        <w:separator/>
      </w:r>
    </w:p>
  </w:endnote>
  <w:endnote w:type="continuationSeparator" w:id="0">
    <w:p w14:paraId="10057B93" w14:textId="77777777" w:rsidR="00FF32AE" w:rsidRDefault="00FF32AE" w:rsidP="00FF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980451"/>
      <w:docPartObj>
        <w:docPartGallery w:val="Page Numbers (Bottom of Page)"/>
        <w:docPartUnique/>
      </w:docPartObj>
    </w:sdtPr>
    <w:sdtEndPr/>
    <w:sdtContent>
      <w:sdt>
        <w:sdtPr>
          <w:rPr>
            <w:sz w:val="20"/>
            <w:szCs w:val="20"/>
          </w:rPr>
          <w:id w:val="1174615034"/>
          <w:docPartObj>
            <w:docPartGallery w:val="Page Numbers (Top of Page)"/>
            <w:docPartUnique/>
          </w:docPartObj>
        </w:sdtPr>
        <w:sdtEndPr/>
        <w:sdtContent>
          <w:p w14:paraId="38B262A4" w14:textId="52F20C6A" w:rsidR="00FF32AE" w:rsidRPr="00FF32AE" w:rsidRDefault="00FF32AE" w:rsidP="00FF32AE">
            <w:pPr>
              <w:pStyle w:val="Footer"/>
              <w:jc w:val="center"/>
              <w:rPr>
                <w:sz w:val="20"/>
                <w:szCs w:val="20"/>
              </w:rPr>
            </w:pPr>
            <w:r w:rsidRPr="00FF32AE">
              <w:rPr>
                <w:sz w:val="20"/>
                <w:szCs w:val="20"/>
              </w:rPr>
              <w:fldChar w:fldCharType="begin"/>
            </w:r>
            <w:r w:rsidRPr="00FF32AE">
              <w:rPr>
                <w:sz w:val="20"/>
                <w:szCs w:val="20"/>
              </w:rPr>
              <w:instrText xml:space="preserve"> PAGE </w:instrText>
            </w:r>
            <w:r w:rsidRPr="00FF32AE">
              <w:rPr>
                <w:sz w:val="20"/>
                <w:szCs w:val="20"/>
              </w:rPr>
              <w:fldChar w:fldCharType="separate"/>
            </w:r>
            <w:r w:rsidRPr="00FF32AE">
              <w:rPr>
                <w:noProof/>
                <w:sz w:val="20"/>
                <w:szCs w:val="20"/>
              </w:rPr>
              <w:t>2</w:t>
            </w:r>
            <w:r w:rsidRPr="00FF32AE">
              <w:rPr>
                <w:sz w:val="20"/>
                <w:szCs w:val="20"/>
              </w:rPr>
              <w:fldChar w:fldCharType="end"/>
            </w:r>
            <w:r w:rsidRPr="00FF32AE">
              <w:rPr>
                <w:sz w:val="20"/>
                <w:szCs w:val="20"/>
              </w:rPr>
              <w:t xml:space="preserve"> no </w:t>
            </w:r>
            <w:r w:rsidRPr="00FF32AE">
              <w:rPr>
                <w:sz w:val="20"/>
                <w:szCs w:val="20"/>
              </w:rPr>
              <w:fldChar w:fldCharType="begin"/>
            </w:r>
            <w:r w:rsidRPr="00FF32AE">
              <w:rPr>
                <w:sz w:val="20"/>
                <w:szCs w:val="20"/>
              </w:rPr>
              <w:instrText xml:space="preserve"> NUMPAGES  </w:instrText>
            </w:r>
            <w:r w:rsidRPr="00FF32AE">
              <w:rPr>
                <w:sz w:val="20"/>
                <w:szCs w:val="20"/>
              </w:rPr>
              <w:fldChar w:fldCharType="separate"/>
            </w:r>
            <w:r w:rsidRPr="00FF32AE">
              <w:rPr>
                <w:noProof/>
                <w:sz w:val="20"/>
                <w:szCs w:val="20"/>
              </w:rPr>
              <w:t>2</w:t>
            </w:r>
            <w:r w:rsidRPr="00FF32AE">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A0A6" w14:textId="77777777" w:rsidR="00FF32AE" w:rsidRDefault="00FF32AE" w:rsidP="00FF32AE">
      <w:r>
        <w:separator/>
      </w:r>
    </w:p>
  </w:footnote>
  <w:footnote w:type="continuationSeparator" w:id="0">
    <w:p w14:paraId="5B480DF9" w14:textId="77777777" w:rsidR="00FF32AE" w:rsidRDefault="00FF32AE" w:rsidP="00FF3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60"/>
    <w:rsid w:val="00000208"/>
    <w:rsid w:val="0000643F"/>
    <w:rsid w:val="0001078F"/>
    <w:rsid w:val="00015343"/>
    <w:rsid w:val="000213BD"/>
    <w:rsid w:val="00036D3F"/>
    <w:rsid w:val="0004049E"/>
    <w:rsid w:val="00040E02"/>
    <w:rsid w:val="00047875"/>
    <w:rsid w:val="00054C4C"/>
    <w:rsid w:val="000A56F9"/>
    <w:rsid w:val="000B7C00"/>
    <w:rsid w:val="000C16DE"/>
    <w:rsid w:val="000D617D"/>
    <w:rsid w:val="000F022E"/>
    <w:rsid w:val="000F3E08"/>
    <w:rsid w:val="000F41CF"/>
    <w:rsid w:val="00120248"/>
    <w:rsid w:val="00125A73"/>
    <w:rsid w:val="001432A4"/>
    <w:rsid w:val="00146754"/>
    <w:rsid w:val="00162BBC"/>
    <w:rsid w:val="001667CE"/>
    <w:rsid w:val="00173F18"/>
    <w:rsid w:val="00196614"/>
    <w:rsid w:val="001A5815"/>
    <w:rsid w:val="001B422D"/>
    <w:rsid w:val="001B7F9F"/>
    <w:rsid w:val="001C1EBB"/>
    <w:rsid w:val="001D1822"/>
    <w:rsid w:val="001E3C7A"/>
    <w:rsid w:val="001E5FD1"/>
    <w:rsid w:val="001E67A9"/>
    <w:rsid w:val="001E74DC"/>
    <w:rsid w:val="001F0FB8"/>
    <w:rsid w:val="002033F4"/>
    <w:rsid w:val="002233F1"/>
    <w:rsid w:val="0023699E"/>
    <w:rsid w:val="002461ED"/>
    <w:rsid w:val="00255882"/>
    <w:rsid w:val="002613A1"/>
    <w:rsid w:val="002677D5"/>
    <w:rsid w:val="002677DD"/>
    <w:rsid w:val="00282C75"/>
    <w:rsid w:val="00292873"/>
    <w:rsid w:val="00296F22"/>
    <w:rsid w:val="002A51D2"/>
    <w:rsid w:val="002A6A6F"/>
    <w:rsid w:val="002B664E"/>
    <w:rsid w:val="002D1940"/>
    <w:rsid w:val="002F1716"/>
    <w:rsid w:val="002F7ACE"/>
    <w:rsid w:val="00303524"/>
    <w:rsid w:val="00315E0A"/>
    <w:rsid w:val="003343A5"/>
    <w:rsid w:val="00343094"/>
    <w:rsid w:val="00363E69"/>
    <w:rsid w:val="0039227D"/>
    <w:rsid w:val="00393B12"/>
    <w:rsid w:val="003A63F1"/>
    <w:rsid w:val="003C4B88"/>
    <w:rsid w:val="003D0DF1"/>
    <w:rsid w:val="003E31D3"/>
    <w:rsid w:val="004071C1"/>
    <w:rsid w:val="0041132D"/>
    <w:rsid w:val="0041674E"/>
    <w:rsid w:val="0042438C"/>
    <w:rsid w:val="00425682"/>
    <w:rsid w:val="00430A46"/>
    <w:rsid w:val="00437998"/>
    <w:rsid w:val="004531D8"/>
    <w:rsid w:val="0045430D"/>
    <w:rsid w:val="004619EE"/>
    <w:rsid w:val="00475860"/>
    <w:rsid w:val="004F01DE"/>
    <w:rsid w:val="004F0D08"/>
    <w:rsid w:val="0051770E"/>
    <w:rsid w:val="00520031"/>
    <w:rsid w:val="0052311B"/>
    <w:rsid w:val="005241D7"/>
    <w:rsid w:val="005400B3"/>
    <w:rsid w:val="00545A60"/>
    <w:rsid w:val="005512EA"/>
    <w:rsid w:val="00552485"/>
    <w:rsid w:val="00553552"/>
    <w:rsid w:val="00554B6B"/>
    <w:rsid w:val="0056343B"/>
    <w:rsid w:val="00567381"/>
    <w:rsid w:val="005A0B12"/>
    <w:rsid w:val="005C4779"/>
    <w:rsid w:val="005D46F0"/>
    <w:rsid w:val="005D4958"/>
    <w:rsid w:val="005F5902"/>
    <w:rsid w:val="0060620A"/>
    <w:rsid w:val="00606AF6"/>
    <w:rsid w:val="00620525"/>
    <w:rsid w:val="006703D5"/>
    <w:rsid w:val="00682534"/>
    <w:rsid w:val="006B61CC"/>
    <w:rsid w:val="006E00B2"/>
    <w:rsid w:val="006E6A1C"/>
    <w:rsid w:val="0071364B"/>
    <w:rsid w:val="007225C5"/>
    <w:rsid w:val="00722724"/>
    <w:rsid w:val="00735040"/>
    <w:rsid w:val="00740CB3"/>
    <w:rsid w:val="00742B0D"/>
    <w:rsid w:val="00756938"/>
    <w:rsid w:val="007624D9"/>
    <w:rsid w:val="00763D84"/>
    <w:rsid w:val="0077696E"/>
    <w:rsid w:val="007B006E"/>
    <w:rsid w:val="007C4487"/>
    <w:rsid w:val="007D18EC"/>
    <w:rsid w:val="007E0AF3"/>
    <w:rsid w:val="007F2593"/>
    <w:rsid w:val="007F3DF7"/>
    <w:rsid w:val="00803814"/>
    <w:rsid w:val="00831828"/>
    <w:rsid w:val="00843A27"/>
    <w:rsid w:val="008548C4"/>
    <w:rsid w:val="00875051"/>
    <w:rsid w:val="00876BC5"/>
    <w:rsid w:val="00876D81"/>
    <w:rsid w:val="008A4184"/>
    <w:rsid w:val="008A513B"/>
    <w:rsid w:val="008A5707"/>
    <w:rsid w:val="008B0857"/>
    <w:rsid w:val="008B0CD4"/>
    <w:rsid w:val="008D2D7D"/>
    <w:rsid w:val="008D43E9"/>
    <w:rsid w:val="008D5A2C"/>
    <w:rsid w:val="008E719D"/>
    <w:rsid w:val="008E7868"/>
    <w:rsid w:val="008F2CA6"/>
    <w:rsid w:val="009008C3"/>
    <w:rsid w:val="009056A0"/>
    <w:rsid w:val="00910500"/>
    <w:rsid w:val="009155C3"/>
    <w:rsid w:val="0092134C"/>
    <w:rsid w:val="00924AE0"/>
    <w:rsid w:val="00927B45"/>
    <w:rsid w:val="00932FE1"/>
    <w:rsid w:val="00940414"/>
    <w:rsid w:val="00956C90"/>
    <w:rsid w:val="00964866"/>
    <w:rsid w:val="00965F0E"/>
    <w:rsid w:val="00985893"/>
    <w:rsid w:val="009932F9"/>
    <w:rsid w:val="009956FA"/>
    <w:rsid w:val="009B5EDD"/>
    <w:rsid w:val="009E3F54"/>
    <w:rsid w:val="009E6990"/>
    <w:rsid w:val="009F047D"/>
    <w:rsid w:val="00A20A6E"/>
    <w:rsid w:val="00A30460"/>
    <w:rsid w:val="00A34017"/>
    <w:rsid w:val="00A41E14"/>
    <w:rsid w:val="00A4734B"/>
    <w:rsid w:val="00A604B8"/>
    <w:rsid w:val="00A72FC6"/>
    <w:rsid w:val="00AA3C90"/>
    <w:rsid w:val="00AB46E7"/>
    <w:rsid w:val="00AB6BAD"/>
    <w:rsid w:val="00AC3D70"/>
    <w:rsid w:val="00AD5FEC"/>
    <w:rsid w:val="00B1414A"/>
    <w:rsid w:val="00B14F4B"/>
    <w:rsid w:val="00B16707"/>
    <w:rsid w:val="00B36C0C"/>
    <w:rsid w:val="00B6036F"/>
    <w:rsid w:val="00B63A14"/>
    <w:rsid w:val="00B64DA8"/>
    <w:rsid w:val="00B77E90"/>
    <w:rsid w:val="00B82971"/>
    <w:rsid w:val="00B83F39"/>
    <w:rsid w:val="00BA4A51"/>
    <w:rsid w:val="00BB3C09"/>
    <w:rsid w:val="00BC69B6"/>
    <w:rsid w:val="00BD0CFE"/>
    <w:rsid w:val="00BF1274"/>
    <w:rsid w:val="00C055D1"/>
    <w:rsid w:val="00C05DFA"/>
    <w:rsid w:val="00C22E67"/>
    <w:rsid w:val="00C2347C"/>
    <w:rsid w:val="00C34C47"/>
    <w:rsid w:val="00C446DF"/>
    <w:rsid w:val="00C47BAE"/>
    <w:rsid w:val="00C61428"/>
    <w:rsid w:val="00C72E21"/>
    <w:rsid w:val="00C83297"/>
    <w:rsid w:val="00C83F8F"/>
    <w:rsid w:val="00CC0F62"/>
    <w:rsid w:val="00CD007F"/>
    <w:rsid w:val="00CE3768"/>
    <w:rsid w:val="00CF0986"/>
    <w:rsid w:val="00D23E6A"/>
    <w:rsid w:val="00D26372"/>
    <w:rsid w:val="00D269F8"/>
    <w:rsid w:val="00D3662C"/>
    <w:rsid w:val="00D47A28"/>
    <w:rsid w:val="00D5067A"/>
    <w:rsid w:val="00D75C27"/>
    <w:rsid w:val="00D836C8"/>
    <w:rsid w:val="00D87AF9"/>
    <w:rsid w:val="00DA1775"/>
    <w:rsid w:val="00DB5784"/>
    <w:rsid w:val="00DB6230"/>
    <w:rsid w:val="00DC459B"/>
    <w:rsid w:val="00DD27D1"/>
    <w:rsid w:val="00DF1C72"/>
    <w:rsid w:val="00DF4DF5"/>
    <w:rsid w:val="00E00387"/>
    <w:rsid w:val="00E02C35"/>
    <w:rsid w:val="00E02FE5"/>
    <w:rsid w:val="00E07391"/>
    <w:rsid w:val="00E1127D"/>
    <w:rsid w:val="00E2651C"/>
    <w:rsid w:val="00E27C1E"/>
    <w:rsid w:val="00E4254E"/>
    <w:rsid w:val="00E6012D"/>
    <w:rsid w:val="00E811B0"/>
    <w:rsid w:val="00E914C4"/>
    <w:rsid w:val="00E91CCB"/>
    <w:rsid w:val="00E961A2"/>
    <w:rsid w:val="00EA4ED1"/>
    <w:rsid w:val="00EB5189"/>
    <w:rsid w:val="00EB62FC"/>
    <w:rsid w:val="00EC3C2A"/>
    <w:rsid w:val="00EC5929"/>
    <w:rsid w:val="00EC769A"/>
    <w:rsid w:val="00EE3F1E"/>
    <w:rsid w:val="00EF05CF"/>
    <w:rsid w:val="00F05337"/>
    <w:rsid w:val="00F11D2C"/>
    <w:rsid w:val="00F143CB"/>
    <w:rsid w:val="00F27DB3"/>
    <w:rsid w:val="00F33756"/>
    <w:rsid w:val="00F64857"/>
    <w:rsid w:val="00F663F5"/>
    <w:rsid w:val="00F66920"/>
    <w:rsid w:val="00F66DC0"/>
    <w:rsid w:val="00F77BFF"/>
    <w:rsid w:val="00F906A6"/>
    <w:rsid w:val="00F945B9"/>
    <w:rsid w:val="00FB7020"/>
    <w:rsid w:val="00FF32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9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D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7D1"/>
    <w:rPr>
      <w:color w:val="0563C1" w:themeColor="hyperlink"/>
      <w:u w:val="single"/>
    </w:rPr>
  </w:style>
  <w:style w:type="paragraph" w:styleId="BodyText2">
    <w:name w:val="Body Text 2"/>
    <w:basedOn w:val="Normal"/>
    <w:link w:val="BodyText2Char"/>
    <w:unhideWhenUsed/>
    <w:rsid w:val="00DD27D1"/>
    <w:pPr>
      <w:jc w:val="right"/>
    </w:pPr>
    <w:rPr>
      <w:rFonts w:ascii="Garamond" w:hAnsi="Garamond"/>
      <w:sz w:val="28"/>
      <w:szCs w:val="28"/>
    </w:rPr>
  </w:style>
  <w:style w:type="character" w:customStyle="1" w:styleId="BodyText2Char">
    <w:name w:val="Body Text 2 Char"/>
    <w:basedOn w:val="DefaultParagraphFont"/>
    <w:link w:val="BodyText2"/>
    <w:rsid w:val="00DD27D1"/>
    <w:rPr>
      <w:rFonts w:ascii="Garamond" w:eastAsia="Times New Roman" w:hAnsi="Garamond" w:cs="Times New Roman"/>
      <w:sz w:val="28"/>
      <w:szCs w:val="28"/>
    </w:rPr>
  </w:style>
  <w:style w:type="table" w:styleId="TableGrid">
    <w:name w:val="Table Grid"/>
    <w:basedOn w:val="TableNormal"/>
    <w:uiPriority w:val="39"/>
    <w:rsid w:val="00DD27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32AE"/>
    <w:pPr>
      <w:tabs>
        <w:tab w:val="center" w:pos="4680"/>
        <w:tab w:val="right" w:pos="9360"/>
      </w:tabs>
    </w:pPr>
  </w:style>
  <w:style w:type="character" w:customStyle="1" w:styleId="HeaderChar">
    <w:name w:val="Header Char"/>
    <w:basedOn w:val="DefaultParagraphFont"/>
    <w:link w:val="Header"/>
    <w:uiPriority w:val="99"/>
    <w:rsid w:val="00FF32AE"/>
    <w:rPr>
      <w:rFonts w:eastAsia="Times New Roman" w:cs="Times New Roman"/>
      <w:szCs w:val="24"/>
    </w:rPr>
  </w:style>
  <w:style w:type="paragraph" w:styleId="Footer">
    <w:name w:val="footer"/>
    <w:basedOn w:val="Normal"/>
    <w:link w:val="FooterChar"/>
    <w:uiPriority w:val="99"/>
    <w:unhideWhenUsed/>
    <w:rsid w:val="00FF32AE"/>
    <w:pPr>
      <w:tabs>
        <w:tab w:val="center" w:pos="4680"/>
        <w:tab w:val="right" w:pos="9360"/>
      </w:tabs>
    </w:pPr>
  </w:style>
  <w:style w:type="character" w:customStyle="1" w:styleId="FooterChar">
    <w:name w:val="Footer Char"/>
    <w:basedOn w:val="DefaultParagraphFont"/>
    <w:link w:val="Footer"/>
    <w:uiPriority w:val="99"/>
    <w:rsid w:val="00FF32AE"/>
    <w:rPr>
      <w:rFonts w:eastAsia="Times New Roman" w:cs="Times New Roman"/>
      <w:szCs w:val="24"/>
    </w:rPr>
  </w:style>
  <w:style w:type="character" w:styleId="FollowedHyperlink">
    <w:name w:val="FollowedHyperlink"/>
    <w:basedOn w:val="DefaultParagraphFont"/>
    <w:uiPriority w:val="99"/>
    <w:semiHidden/>
    <w:unhideWhenUsed/>
    <w:rsid w:val="00040E02"/>
    <w:rPr>
      <w:color w:val="954F72" w:themeColor="followedHyperlink"/>
      <w:u w:val="single"/>
    </w:rPr>
  </w:style>
  <w:style w:type="paragraph" w:styleId="Revision">
    <w:name w:val="Revision"/>
    <w:hidden/>
    <w:uiPriority w:val="99"/>
    <w:semiHidden/>
    <w:rsid w:val="007F2593"/>
    <w:pPr>
      <w:spacing w:after="0"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9956FA"/>
    <w:rPr>
      <w:sz w:val="16"/>
      <w:szCs w:val="16"/>
    </w:rPr>
  </w:style>
  <w:style w:type="paragraph" w:styleId="CommentText">
    <w:name w:val="annotation text"/>
    <w:basedOn w:val="Normal"/>
    <w:link w:val="CommentTextChar"/>
    <w:uiPriority w:val="99"/>
    <w:semiHidden/>
    <w:unhideWhenUsed/>
    <w:rsid w:val="009956FA"/>
    <w:rPr>
      <w:sz w:val="20"/>
      <w:szCs w:val="20"/>
    </w:rPr>
  </w:style>
  <w:style w:type="character" w:customStyle="1" w:styleId="CommentTextChar">
    <w:name w:val="Comment Text Char"/>
    <w:basedOn w:val="DefaultParagraphFont"/>
    <w:link w:val="CommentText"/>
    <w:uiPriority w:val="99"/>
    <w:semiHidden/>
    <w:rsid w:val="009956F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56FA"/>
    <w:rPr>
      <w:b/>
      <w:bCs/>
    </w:rPr>
  </w:style>
  <w:style w:type="character" w:customStyle="1" w:styleId="CommentSubjectChar">
    <w:name w:val="Comment Subject Char"/>
    <w:basedOn w:val="CommentTextChar"/>
    <w:link w:val="CommentSubject"/>
    <w:uiPriority w:val="99"/>
    <w:semiHidden/>
    <w:rsid w:val="009956FA"/>
    <w:rPr>
      <w:rFonts w:eastAsia="Times New Roman" w:cs="Times New Roman"/>
      <w:b/>
      <w:bCs/>
      <w:sz w:val="20"/>
      <w:szCs w:val="20"/>
    </w:rPr>
  </w:style>
  <w:style w:type="character" w:styleId="UnresolvedMention">
    <w:name w:val="Unresolved Mention"/>
    <w:basedOn w:val="DefaultParagraphFont"/>
    <w:uiPriority w:val="99"/>
    <w:semiHidden/>
    <w:unhideWhenUsed/>
    <w:rsid w:val="008D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5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gov.lv/downloadlawfile/8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0014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8921</Words>
  <Characters>5086</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2023-05-12T05:44:00Z</dcterms:created>
  <dcterms:modified xsi:type="dcterms:W3CDTF">2023-05-12T05:44:00Z</dcterms:modified>
</cp:coreProperties>
</file>