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C20BC" w14:textId="43605FB1" w:rsidR="00A21B94" w:rsidRDefault="00C21F7F" w:rsidP="00C21F7F">
      <w:pPr>
        <w:widowControl w:val="0"/>
        <w:spacing w:after="0" w:line="276" w:lineRule="auto"/>
        <w:jc w:val="both"/>
        <w:rPr>
          <w:b/>
          <w:bCs/>
        </w:rPr>
      </w:pPr>
      <w:r w:rsidRPr="001E4865">
        <w:rPr>
          <w:b/>
          <w:bCs/>
        </w:rPr>
        <w:t>Dienesta stāvokļa ļaunprātīga izmantošana kā svešas mantas nolaupīšanas līdzeklis</w:t>
      </w:r>
    </w:p>
    <w:p w14:paraId="1127ADB4" w14:textId="2245C15F" w:rsidR="00C21F7F" w:rsidRPr="00373BFA" w:rsidRDefault="00C21F7F" w:rsidP="00C21F7F">
      <w:pPr>
        <w:widowControl w:val="0"/>
        <w:spacing w:after="0" w:line="276" w:lineRule="auto"/>
        <w:jc w:val="both"/>
        <w:rPr>
          <w:rFonts w:eastAsia="Times New Roman" w:cs="Times New Roman"/>
          <w:szCs w:val="24"/>
        </w:rPr>
      </w:pPr>
      <w:r w:rsidRPr="001E4865">
        <w:t>Ja dienesta stāvoklis izmantots tikai, lai veiktu svešas mantas nolaupīšanu, tās realizēšanai neveicot nekādas ar valsts amatpersonas statusu saistītas darbības pretēji dienesta interesēm, noziedzīgais nodarījums kvalificējams tikai kā mantas nolaupīšana.</w:t>
      </w:r>
    </w:p>
    <w:p w14:paraId="505EBBCB" w14:textId="0F3CF96C" w:rsidR="00F43AEE" w:rsidRPr="00373BFA" w:rsidRDefault="00F43AEE" w:rsidP="00C21F7F">
      <w:pPr>
        <w:widowControl w:val="0"/>
        <w:spacing w:after="0" w:line="276" w:lineRule="auto"/>
        <w:rPr>
          <w:rFonts w:eastAsia="Times New Roman" w:cs="Times New Roman"/>
          <w:szCs w:val="24"/>
        </w:rPr>
      </w:pPr>
    </w:p>
    <w:p w14:paraId="65015693" w14:textId="77777777" w:rsidR="00CF1705" w:rsidRPr="00CF1705" w:rsidRDefault="00F43AEE" w:rsidP="000E07E0">
      <w:pPr>
        <w:widowControl w:val="0"/>
        <w:spacing w:after="0" w:line="276" w:lineRule="auto"/>
        <w:jc w:val="center"/>
        <w:rPr>
          <w:rFonts w:eastAsia="Times New Roman" w:cs="Times New Roman"/>
          <w:b/>
          <w:szCs w:val="24"/>
        </w:rPr>
      </w:pPr>
      <w:r w:rsidRPr="00CF1705">
        <w:rPr>
          <w:rFonts w:cs="Times New Roman"/>
          <w:b/>
          <w:szCs w:val="24"/>
        </w:rPr>
        <w:t>Latvijas Republikas Senāt</w:t>
      </w:r>
      <w:r w:rsidR="00CF1705" w:rsidRPr="00CF1705">
        <w:rPr>
          <w:rFonts w:cs="Times New Roman"/>
          <w:b/>
          <w:szCs w:val="24"/>
        </w:rPr>
        <w:t>a</w:t>
      </w:r>
      <w:r w:rsidR="00CF1705" w:rsidRPr="00CF1705">
        <w:rPr>
          <w:rFonts w:eastAsia="Times New Roman" w:cs="Times New Roman"/>
          <w:b/>
          <w:szCs w:val="24"/>
        </w:rPr>
        <w:t xml:space="preserve"> </w:t>
      </w:r>
    </w:p>
    <w:p w14:paraId="791650A3" w14:textId="77777777" w:rsidR="00CF1705" w:rsidRPr="00CF1705" w:rsidRDefault="00CF1705" w:rsidP="000E07E0">
      <w:pPr>
        <w:widowControl w:val="0"/>
        <w:spacing w:after="0" w:line="276" w:lineRule="auto"/>
        <w:jc w:val="center"/>
        <w:rPr>
          <w:rFonts w:eastAsia="Times New Roman" w:cs="Times New Roman"/>
          <w:b/>
          <w:szCs w:val="24"/>
        </w:rPr>
      </w:pPr>
      <w:r w:rsidRPr="00CF1705">
        <w:rPr>
          <w:rFonts w:eastAsia="Times New Roman" w:cs="Times New Roman"/>
          <w:b/>
          <w:szCs w:val="24"/>
        </w:rPr>
        <w:t>Krimināllietu departamenta</w:t>
      </w:r>
    </w:p>
    <w:p w14:paraId="76AB8319" w14:textId="6164F4F5" w:rsidR="00F43AEE" w:rsidRPr="00CF1705" w:rsidRDefault="00CF1705" w:rsidP="000E07E0">
      <w:pPr>
        <w:widowControl w:val="0"/>
        <w:spacing w:after="0" w:line="276" w:lineRule="auto"/>
        <w:jc w:val="center"/>
        <w:rPr>
          <w:rFonts w:cs="Times New Roman"/>
          <w:b/>
          <w:szCs w:val="24"/>
        </w:rPr>
      </w:pPr>
      <w:r w:rsidRPr="00CF1705">
        <w:rPr>
          <w:rFonts w:eastAsia="Times New Roman" w:cs="Times New Roman"/>
          <w:b/>
          <w:szCs w:val="24"/>
        </w:rPr>
        <w:t>2023. gada 6. aprīļa</w:t>
      </w:r>
    </w:p>
    <w:p w14:paraId="0B69FFD0" w14:textId="77777777" w:rsidR="00CF1705" w:rsidRPr="00CF1705" w:rsidRDefault="00F43AEE" w:rsidP="000E07E0">
      <w:pPr>
        <w:widowControl w:val="0"/>
        <w:spacing w:after="0" w:line="276" w:lineRule="auto"/>
        <w:jc w:val="center"/>
        <w:rPr>
          <w:rFonts w:eastAsia="Times New Roman" w:cs="Times New Roman"/>
          <w:b/>
          <w:szCs w:val="24"/>
        </w:rPr>
      </w:pPr>
      <w:r w:rsidRPr="00CF1705">
        <w:rPr>
          <w:rFonts w:cs="Times New Roman"/>
          <w:b/>
          <w:szCs w:val="24"/>
        </w:rPr>
        <w:t>LĒMUMS</w:t>
      </w:r>
      <w:r w:rsidR="00CF1705" w:rsidRPr="00CF1705">
        <w:rPr>
          <w:rFonts w:eastAsia="Times New Roman" w:cs="Times New Roman"/>
          <w:b/>
          <w:szCs w:val="24"/>
        </w:rPr>
        <w:t xml:space="preserve"> </w:t>
      </w:r>
    </w:p>
    <w:p w14:paraId="2CD15B9B" w14:textId="589FF43F" w:rsidR="00F43AEE" w:rsidRPr="00CF1705" w:rsidRDefault="00CF1705" w:rsidP="000E07E0">
      <w:pPr>
        <w:widowControl w:val="0"/>
        <w:spacing w:after="0" w:line="276" w:lineRule="auto"/>
        <w:jc w:val="center"/>
        <w:rPr>
          <w:rFonts w:cs="Times New Roman"/>
          <w:b/>
          <w:szCs w:val="24"/>
        </w:rPr>
      </w:pPr>
      <w:r w:rsidRPr="00CF1705">
        <w:rPr>
          <w:rFonts w:eastAsia="Times New Roman" w:cs="Times New Roman"/>
          <w:b/>
          <w:szCs w:val="24"/>
        </w:rPr>
        <w:t>Lieta Nr. 11514004316, SKK</w:t>
      </w:r>
      <w:r w:rsidRPr="00CF1705">
        <w:rPr>
          <w:rFonts w:eastAsia="Times New Roman" w:cs="Times New Roman"/>
          <w:b/>
          <w:szCs w:val="24"/>
        </w:rPr>
        <w:noBreakHyphen/>
        <w:t>23/2023</w:t>
      </w:r>
    </w:p>
    <w:p w14:paraId="75E94F2A" w14:textId="2FF33C0F" w:rsidR="00F43AEE" w:rsidRPr="00CF1705" w:rsidRDefault="00BC75CD" w:rsidP="000E07E0">
      <w:pPr>
        <w:widowControl w:val="0"/>
        <w:spacing w:after="0" w:line="276" w:lineRule="auto"/>
        <w:jc w:val="center"/>
        <w:rPr>
          <w:rFonts w:eastAsia="Times New Roman" w:cs="Times New Roman"/>
          <w:szCs w:val="24"/>
        </w:rPr>
      </w:pPr>
      <w:hyperlink r:id="rId8" w:history="1">
        <w:r w:rsidR="00CF1705" w:rsidRPr="00C21F7F">
          <w:rPr>
            <w:rStyle w:val="Hyperlink"/>
            <w:rFonts w:cs="Times New Roman"/>
            <w:szCs w:val="24"/>
            <w:shd w:val="clear" w:color="auto" w:fill="FFFFFF"/>
          </w:rPr>
          <w:t>ECLI:LV:AT:2023:0406.11514004316.5.L</w:t>
        </w:r>
      </w:hyperlink>
    </w:p>
    <w:p w14:paraId="36E28DEB" w14:textId="77777777" w:rsidR="00AD4944" w:rsidRPr="00373BFA" w:rsidRDefault="00AD4944" w:rsidP="000E07E0">
      <w:pPr>
        <w:widowControl w:val="0"/>
        <w:spacing w:after="0" w:line="276" w:lineRule="auto"/>
        <w:ind w:firstLine="720"/>
        <w:jc w:val="center"/>
        <w:rPr>
          <w:rFonts w:eastAsia="Times New Roman" w:cs="Times New Roman"/>
          <w:szCs w:val="24"/>
        </w:rPr>
      </w:pPr>
    </w:p>
    <w:p w14:paraId="128F055B" w14:textId="49D3C05D" w:rsidR="00F43AEE" w:rsidRPr="00373BFA" w:rsidRDefault="003171FC" w:rsidP="000E07E0">
      <w:pPr>
        <w:widowControl w:val="0"/>
        <w:spacing w:after="0" w:line="276" w:lineRule="auto"/>
        <w:ind w:firstLine="720"/>
        <w:jc w:val="both"/>
        <w:rPr>
          <w:rFonts w:cs="Times New Roman"/>
          <w:szCs w:val="24"/>
        </w:rPr>
      </w:pPr>
      <w:r>
        <w:rPr>
          <w:rFonts w:cs="Times New Roman"/>
          <w:szCs w:val="24"/>
        </w:rPr>
        <w:t>Senāts</w:t>
      </w:r>
      <w:r w:rsidR="00F43AEE" w:rsidRPr="00373BFA">
        <w:rPr>
          <w:rFonts w:cs="Times New Roman"/>
          <w:szCs w:val="24"/>
        </w:rPr>
        <w:t xml:space="preserve"> šādā sastāv</w:t>
      </w:r>
      <w:r w:rsidR="00F357E9" w:rsidRPr="00373BFA">
        <w:rPr>
          <w:rFonts w:cs="Times New Roman"/>
          <w:szCs w:val="24"/>
        </w:rPr>
        <w:t>ā: senator</w:t>
      </w:r>
      <w:r>
        <w:rPr>
          <w:rFonts w:cs="Times New Roman"/>
          <w:szCs w:val="24"/>
        </w:rPr>
        <w:t>e</w:t>
      </w:r>
      <w:r w:rsidR="003B03B4">
        <w:rPr>
          <w:rFonts w:cs="Times New Roman"/>
          <w:szCs w:val="24"/>
        </w:rPr>
        <w:t xml:space="preserve"> referente</w:t>
      </w:r>
      <w:r w:rsidR="00F357E9" w:rsidRPr="00373BFA">
        <w:rPr>
          <w:rFonts w:cs="Times New Roman"/>
          <w:szCs w:val="24"/>
        </w:rPr>
        <w:t xml:space="preserve"> Inguna Radzeviča, </w:t>
      </w:r>
      <w:r w:rsidR="003B03B4">
        <w:rPr>
          <w:rFonts w:cs="Times New Roman"/>
          <w:szCs w:val="24"/>
        </w:rPr>
        <w:t xml:space="preserve">senatores </w:t>
      </w:r>
      <w:r>
        <w:rPr>
          <w:rFonts w:cs="Times New Roman"/>
          <w:szCs w:val="24"/>
        </w:rPr>
        <w:t>Aija Branta un Anita Poļakova</w:t>
      </w:r>
    </w:p>
    <w:p w14:paraId="77480365" w14:textId="77777777" w:rsidR="00F31F55" w:rsidRPr="00373BFA" w:rsidRDefault="00F31F55" w:rsidP="000E07E0">
      <w:pPr>
        <w:widowControl w:val="0"/>
        <w:spacing w:after="0" w:line="276" w:lineRule="auto"/>
        <w:ind w:firstLine="720"/>
        <w:jc w:val="both"/>
        <w:rPr>
          <w:rFonts w:cs="Times New Roman"/>
          <w:szCs w:val="24"/>
        </w:rPr>
      </w:pPr>
    </w:p>
    <w:p w14:paraId="13CD3AB8" w14:textId="19C394C3" w:rsidR="00F43AEE" w:rsidRPr="00373BFA" w:rsidRDefault="00F43AEE" w:rsidP="000E07E0">
      <w:pPr>
        <w:widowControl w:val="0"/>
        <w:spacing w:after="0" w:line="276" w:lineRule="auto"/>
        <w:ind w:firstLine="720"/>
        <w:jc w:val="both"/>
        <w:rPr>
          <w:rFonts w:eastAsia="Times New Roman" w:cs="Times New Roman"/>
          <w:szCs w:val="24"/>
        </w:rPr>
      </w:pPr>
      <w:r w:rsidRPr="00373BFA">
        <w:rPr>
          <w:rFonts w:eastAsia="Times New Roman" w:cs="Times New Roman"/>
          <w:szCs w:val="24"/>
        </w:rPr>
        <w:t xml:space="preserve">izskatīja rakstveida procesā krimināllietu sakarā ar </w:t>
      </w:r>
      <w:r w:rsidR="00C028F9" w:rsidRPr="00373BFA">
        <w:rPr>
          <w:rFonts w:eastAsia="Times New Roman" w:cs="Times New Roman"/>
          <w:szCs w:val="24"/>
        </w:rPr>
        <w:t>apsūdzētā</w:t>
      </w:r>
      <w:r w:rsidR="00C14AC5" w:rsidRPr="00373BFA">
        <w:rPr>
          <w:rFonts w:eastAsia="Times New Roman" w:cs="Times New Roman"/>
          <w:szCs w:val="24"/>
        </w:rPr>
        <w:t>s</w:t>
      </w:r>
      <w:r w:rsidR="00B04BBC" w:rsidRPr="00373BFA">
        <w:rPr>
          <w:rFonts w:eastAsia="Times New Roman" w:cs="Times New Roman"/>
          <w:szCs w:val="24"/>
        </w:rPr>
        <w:t xml:space="preserve"> </w:t>
      </w:r>
      <w:r w:rsidR="00C21F7F">
        <w:rPr>
          <w:rFonts w:eastAsia="Times New Roman" w:cs="Times New Roman"/>
          <w:szCs w:val="24"/>
        </w:rPr>
        <w:t>[pers. A]</w:t>
      </w:r>
      <w:r w:rsidR="00B04BBC" w:rsidRPr="00373BFA">
        <w:rPr>
          <w:rFonts w:eastAsia="Times New Roman" w:cs="Times New Roman"/>
          <w:szCs w:val="24"/>
        </w:rPr>
        <w:t xml:space="preserve"> aizstāv</w:t>
      </w:r>
      <w:r w:rsidR="003B03B4">
        <w:rPr>
          <w:rFonts w:eastAsia="Times New Roman" w:cs="Times New Roman"/>
          <w:szCs w:val="24"/>
        </w:rPr>
        <w:t xml:space="preserve">es zvērinātas advokātes Vijas </w:t>
      </w:r>
      <w:proofErr w:type="spellStart"/>
      <w:r w:rsidR="003B03B4">
        <w:rPr>
          <w:rFonts w:eastAsia="Times New Roman" w:cs="Times New Roman"/>
          <w:szCs w:val="24"/>
        </w:rPr>
        <w:t>Brakšas</w:t>
      </w:r>
      <w:proofErr w:type="spellEnd"/>
      <w:r w:rsidR="00C028F9" w:rsidRPr="00373BFA">
        <w:rPr>
          <w:rFonts w:eastAsia="Times New Roman" w:cs="Times New Roman"/>
          <w:szCs w:val="24"/>
        </w:rPr>
        <w:t xml:space="preserve"> </w:t>
      </w:r>
      <w:r w:rsidRPr="00373BFA">
        <w:rPr>
          <w:rFonts w:eastAsia="Times New Roman" w:cs="Times New Roman"/>
          <w:szCs w:val="24"/>
        </w:rPr>
        <w:t xml:space="preserve">kasācijas </w:t>
      </w:r>
      <w:r w:rsidR="00C028F9" w:rsidRPr="00373BFA">
        <w:rPr>
          <w:rFonts w:eastAsia="Times New Roman" w:cs="Times New Roman"/>
          <w:szCs w:val="24"/>
        </w:rPr>
        <w:t>sūdzību</w:t>
      </w:r>
      <w:r w:rsidRPr="00373BFA">
        <w:rPr>
          <w:rFonts w:eastAsia="Times New Roman" w:cs="Times New Roman"/>
          <w:szCs w:val="24"/>
        </w:rPr>
        <w:t xml:space="preserve"> </w:t>
      </w:r>
      <w:r w:rsidR="00B2134A" w:rsidRPr="005128E4">
        <w:rPr>
          <w:rFonts w:eastAsia="Times New Roman" w:cs="Times New Roman"/>
          <w:szCs w:val="24"/>
        </w:rPr>
        <w:t>p</w:t>
      </w:r>
      <w:r w:rsidR="00C14AC5" w:rsidRPr="00373BFA">
        <w:rPr>
          <w:rFonts w:eastAsia="Times New Roman" w:cs="Times New Roman"/>
          <w:szCs w:val="24"/>
        </w:rPr>
        <w:t>ar Rīgas</w:t>
      </w:r>
      <w:r w:rsidRPr="00373BFA">
        <w:rPr>
          <w:rFonts w:eastAsia="Times New Roman" w:cs="Times New Roman"/>
          <w:szCs w:val="24"/>
        </w:rPr>
        <w:t xml:space="preserve"> apgabaltiesas 202</w:t>
      </w:r>
      <w:r w:rsidR="003B03B4">
        <w:rPr>
          <w:rFonts w:eastAsia="Times New Roman" w:cs="Times New Roman"/>
          <w:szCs w:val="24"/>
        </w:rPr>
        <w:t>2</w:t>
      </w:r>
      <w:r w:rsidRPr="00373BFA">
        <w:rPr>
          <w:rFonts w:eastAsia="Times New Roman" w:cs="Times New Roman"/>
          <w:szCs w:val="24"/>
        </w:rPr>
        <w:t>.</w:t>
      </w:r>
      <w:r w:rsidR="004D4678">
        <w:rPr>
          <w:rFonts w:eastAsia="Times New Roman" w:cs="Times New Roman"/>
          <w:szCs w:val="24"/>
        </w:rPr>
        <w:t> </w:t>
      </w:r>
      <w:r w:rsidRPr="00373BFA">
        <w:rPr>
          <w:rFonts w:eastAsia="Times New Roman" w:cs="Times New Roman"/>
          <w:szCs w:val="24"/>
        </w:rPr>
        <w:t xml:space="preserve">gada </w:t>
      </w:r>
      <w:r w:rsidR="003B03B4">
        <w:rPr>
          <w:rFonts w:eastAsia="Times New Roman" w:cs="Times New Roman"/>
          <w:szCs w:val="24"/>
        </w:rPr>
        <w:t>11.</w:t>
      </w:r>
      <w:r w:rsidR="004D4678">
        <w:rPr>
          <w:rFonts w:eastAsia="Times New Roman" w:cs="Times New Roman"/>
          <w:szCs w:val="24"/>
        </w:rPr>
        <w:t> </w:t>
      </w:r>
      <w:r w:rsidR="003B03B4">
        <w:rPr>
          <w:rFonts w:eastAsia="Times New Roman" w:cs="Times New Roman"/>
          <w:szCs w:val="24"/>
        </w:rPr>
        <w:t>janvāra lēmumu</w:t>
      </w:r>
      <w:r w:rsidR="00C14AC5" w:rsidRPr="00373BFA">
        <w:rPr>
          <w:rFonts w:eastAsia="Times New Roman" w:cs="Times New Roman"/>
          <w:szCs w:val="24"/>
        </w:rPr>
        <w:t>.</w:t>
      </w:r>
    </w:p>
    <w:p w14:paraId="2F929E80" w14:textId="77777777" w:rsidR="00AE7795" w:rsidRPr="00373BFA" w:rsidRDefault="00AE7795" w:rsidP="000E07E0">
      <w:pPr>
        <w:widowControl w:val="0"/>
        <w:spacing w:after="0" w:line="276" w:lineRule="auto"/>
        <w:ind w:firstLine="720"/>
        <w:jc w:val="both"/>
        <w:rPr>
          <w:rFonts w:cs="Times New Roman"/>
          <w:szCs w:val="24"/>
        </w:rPr>
      </w:pPr>
    </w:p>
    <w:p w14:paraId="43526356" w14:textId="077B3F51" w:rsidR="00F43AEE" w:rsidRPr="00373BFA" w:rsidRDefault="00F43AEE" w:rsidP="000E07E0">
      <w:pPr>
        <w:widowControl w:val="0"/>
        <w:autoSpaceDE w:val="0"/>
        <w:autoSpaceDN w:val="0"/>
        <w:adjustRightInd w:val="0"/>
        <w:spacing w:after="0" w:line="276" w:lineRule="auto"/>
        <w:jc w:val="center"/>
        <w:rPr>
          <w:rFonts w:cs="Times New Roman"/>
          <w:b/>
          <w:bCs/>
          <w:szCs w:val="24"/>
        </w:rPr>
      </w:pPr>
      <w:r w:rsidRPr="00373BFA">
        <w:rPr>
          <w:rFonts w:cs="Times New Roman"/>
          <w:b/>
          <w:bCs/>
          <w:szCs w:val="24"/>
        </w:rPr>
        <w:t>Aprakstošā daļa</w:t>
      </w:r>
    </w:p>
    <w:p w14:paraId="1E38C4B2" w14:textId="77777777" w:rsidR="00AE7795" w:rsidRPr="00373BFA" w:rsidRDefault="00AE7795" w:rsidP="000E07E0">
      <w:pPr>
        <w:widowControl w:val="0"/>
        <w:autoSpaceDE w:val="0"/>
        <w:autoSpaceDN w:val="0"/>
        <w:adjustRightInd w:val="0"/>
        <w:spacing w:after="0" w:line="276" w:lineRule="auto"/>
        <w:ind w:firstLine="720"/>
        <w:jc w:val="center"/>
        <w:rPr>
          <w:rFonts w:cs="Times New Roman"/>
          <w:b/>
          <w:bCs/>
          <w:szCs w:val="24"/>
        </w:rPr>
      </w:pPr>
    </w:p>
    <w:p w14:paraId="4C0DAC55" w14:textId="12095AD1" w:rsidR="003A47A8" w:rsidRPr="00373BFA" w:rsidRDefault="003A47A8" w:rsidP="000E07E0">
      <w:pPr>
        <w:widowControl w:val="0"/>
        <w:tabs>
          <w:tab w:val="left" w:pos="1710"/>
        </w:tabs>
        <w:spacing w:after="0" w:line="276" w:lineRule="auto"/>
        <w:ind w:firstLine="720"/>
        <w:jc w:val="both"/>
        <w:rPr>
          <w:rFonts w:cs="Times New Roman"/>
          <w:szCs w:val="24"/>
        </w:rPr>
      </w:pPr>
      <w:r w:rsidRPr="00373BFA">
        <w:rPr>
          <w:rFonts w:cs="Times New Roman"/>
          <w:szCs w:val="24"/>
        </w:rPr>
        <w:t>[1]</w:t>
      </w:r>
      <w:r w:rsidR="00847D82" w:rsidRPr="00373BFA">
        <w:rPr>
          <w:rFonts w:cs="Times New Roman"/>
          <w:szCs w:val="24"/>
        </w:rPr>
        <w:t> </w:t>
      </w:r>
      <w:r w:rsidRPr="00373BFA">
        <w:t>Ar</w:t>
      </w:r>
      <w:r w:rsidRPr="00373BFA">
        <w:rPr>
          <w:rFonts w:cs="Times New Roman"/>
          <w:szCs w:val="24"/>
        </w:rPr>
        <w:t xml:space="preserve"> </w:t>
      </w:r>
      <w:r w:rsidR="00C14AC5" w:rsidRPr="00373BFA">
        <w:rPr>
          <w:rFonts w:cs="Times New Roman"/>
          <w:szCs w:val="24"/>
        </w:rPr>
        <w:t xml:space="preserve">Rīgas </w:t>
      </w:r>
      <w:r w:rsidR="003B03B4">
        <w:rPr>
          <w:rFonts w:cs="Times New Roman"/>
          <w:szCs w:val="24"/>
        </w:rPr>
        <w:t>rajona</w:t>
      </w:r>
      <w:r w:rsidR="00C14AC5" w:rsidRPr="00373BFA">
        <w:rPr>
          <w:rFonts w:cs="Times New Roman"/>
          <w:szCs w:val="24"/>
        </w:rPr>
        <w:t xml:space="preserve"> </w:t>
      </w:r>
      <w:r w:rsidRPr="00373BFA">
        <w:rPr>
          <w:rFonts w:cs="Times New Roman"/>
          <w:szCs w:val="24"/>
        </w:rPr>
        <w:t>tiesas 20</w:t>
      </w:r>
      <w:r w:rsidR="00C028F9" w:rsidRPr="00373BFA">
        <w:rPr>
          <w:rFonts w:cs="Times New Roman"/>
          <w:szCs w:val="24"/>
        </w:rPr>
        <w:t>2</w:t>
      </w:r>
      <w:r w:rsidR="003B03B4">
        <w:rPr>
          <w:rFonts w:cs="Times New Roman"/>
          <w:szCs w:val="24"/>
        </w:rPr>
        <w:t>1</w:t>
      </w:r>
      <w:r w:rsidRPr="00373BFA">
        <w:rPr>
          <w:rFonts w:cs="Times New Roman"/>
          <w:szCs w:val="24"/>
        </w:rPr>
        <w:t>.</w:t>
      </w:r>
      <w:r w:rsidR="004D4678">
        <w:rPr>
          <w:rFonts w:cs="Times New Roman"/>
          <w:szCs w:val="24"/>
        </w:rPr>
        <w:t> </w:t>
      </w:r>
      <w:r w:rsidRPr="00373BFA">
        <w:rPr>
          <w:rFonts w:cs="Times New Roman"/>
          <w:szCs w:val="24"/>
        </w:rPr>
        <w:t xml:space="preserve">gada </w:t>
      </w:r>
      <w:r w:rsidR="003B03B4">
        <w:rPr>
          <w:rFonts w:cs="Times New Roman"/>
          <w:szCs w:val="24"/>
        </w:rPr>
        <w:t>10.</w:t>
      </w:r>
      <w:r w:rsidR="004D4678">
        <w:rPr>
          <w:rFonts w:cs="Times New Roman"/>
          <w:szCs w:val="24"/>
        </w:rPr>
        <w:t> </w:t>
      </w:r>
      <w:r w:rsidR="003B03B4">
        <w:rPr>
          <w:rFonts w:cs="Times New Roman"/>
          <w:szCs w:val="24"/>
        </w:rPr>
        <w:t>maija</w:t>
      </w:r>
      <w:r w:rsidRPr="00373BFA">
        <w:rPr>
          <w:rFonts w:cs="Times New Roman"/>
          <w:szCs w:val="24"/>
        </w:rPr>
        <w:t xml:space="preserve"> spriedumu</w:t>
      </w:r>
    </w:p>
    <w:p w14:paraId="439908AD" w14:textId="26B058C8" w:rsidR="003A47A8" w:rsidRPr="00373BFA" w:rsidRDefault="00C21F7F" w:rsidP="000E07E0">
      <w:pPr>
        <w:widowControl w:val="0"/>
        <w:tabs>
          <w:tab w:val="left" w:pos="1710"/>
        </w:tabs>
        <w:spacing w:after="0" w:line="276" w:lineRule="auto"/>
        <w:ind w:firstLine="720"/>
        <w:jc w:val="both"/>
        <w:rPr>
          <w:rFonts w:cs="Times New Roman"/>
          <w:szCs w:val="24"/>
        </w:rPr>
      </w:pPr>
      <w:bookmarkStart w:id="0" w:name="_Hlk131426500"/>
      <w:r>
        <w:rPr>
          <w:rFonts w:cs="Times New Roman"/>
          <w:szCs w:val="24"/>
        </w:rPr>
        <w:t>[pers. A]</w:t>
      </w:r>
      <w:r w:rsidR="003A47A8" w:rsidRPr="00373BFA">
        <w:rPr>
          <w:rFonts w:cs="Times New Roman"/>
          <w:szCs w:val="24"/>
        </w:rPr>
        <w:t xml:space="preserve">, personas kods </w:t>
      </w:r>
      <w:r>
        <w:rPr>
          <w:rFonts w:cs="Times New Roman"/>
          <w:szCs w:val="24"/>
        </w:rPr>
        <w:t>[..]</w:t>
      </w:r>
      <w:r w:rsidR="003A47A8" w:rsidRPr="00373BFA">
        <w:rPr>
          <w:rFonts w:cs="Times New Roman"/>
          <w:szCs w:val="24"/>
        </w:rPr>
        <w:t>,</w:t>
      </w:r>
    </w:p>
    <w:p w14:paraId="42BFA51F" w14:textId="1DE6EB67" w:rsidR="0009452A" w:rsidRDefault="003A47A8" w:rsidP="000E07E0">
      <w:pPr>
        <w:widowControl w:val="0"/>
        <w:tabs>
          <w:tab w:val="left" w:pos="1710"/>
        </w:tabs>
        <w:spacing w:after="0" w:line="276" w:lineRule="auto"/>
        <w:ind w:firstLine="720"/>
        <w:jc w:val="both"/>
        <w:rPr>
          <w:rFonts w:cs="Times New Roman"/>
          <w:szCs w:val="24"/>
        </w:rPr>
      </w:pPr>
      <w:r w:rsidRPr="00373BFA">
        <w:rPr>
          <w:rFonts w:cs="Times New Roman"/>
          <w:szCs w:val="24"/>
        </w:rPr>
        <w:t>atzīt</w:t>
      </w:r>
      <w:r w:rsidR="00C14AC5" w:rsidRPr="00373BFA">
        <w:rPr>
          <w:rFonts w:cs="Times New Roman"/>
          <w:szCs w:val="24"/>
        </w:rPr>
        <w:t>a</w:t>
      </w:r>
      <w:r w:rsidRPr="00373BFA">
        <w:rPr>
          <w:rFonts w:cs="Times New Roman"/>
          <w:szCs w:val="24"/>
        </w:rPr>
        <w:t xml:space="preserve"> par vainīgu Krimināllikuma </w:t>
      </w:r>
      <w:r w:rsidR="003B03B4">
        <w:rPr>
          <w:rFonts w:cs="Times New Roman"/>
          <w:szCs w:val="24"/>
        </w:rPr>
        <w:t xml:space="preserve">179. panta trešajā daļā paredzētajā noziedzīgajā nodarījumā </w:t>
      </w:r>
      <w:r w:rsidR="0099654E">
        <w:rPr>
          <w:rFonts w:cs="Times New Roman"/>
          <w:szCs w:val="24"/>
        </w:rPr>
        <w:t xml:space="preserve">un sodīta ar brīvības atņemšanu uz </w:t>
      </w:r>
      <w:r w:rsidR="007C613E">
        <w:rPr>
          <w:rFonts w:cs="Times New Roman"/>
          <w:szCs w:val="24"/>
        </w:rPr>
        <w:t xml:space="preserve">1 </w:t>
      </w:r>
      <w:r w:rsidR="0099654E">
        <w:rPr>
          <w:rFonts w:cs="Times New Roman"/>
          <w:szCs w:val="24"/>
        </w:rPr>
        <w:t xml:space="preserve">gadu un probācijas uzraudzību uz </w:t>
      </w:r>
      <w:r w:rsidR="007C613E">
        <w:rPr>
          <w:rFonts w:cs="Times New Roman"/>
          <w:szCs w:val="24"/>
        </w:rPr>
        <w:t xml:space="preserve">2 </w:t>
      </w:r>
      <w:r w:rsidR="0099654E">
        <w:rPr>
          <w:rFonts w:cs="Times New Roman"/>
          <w:szCs w:val="24"/>
        </w:rPr>
        <w:t>gadiem</w:t>
      </w:r>
      <w:r w:rsidR="0009452A">
        <w:rPr>
          <w:rFonts w:cs="Times New Roman"/>
          <w:szCs w:val="24"/>
        </w:rPr>
        <w:t>;</w:t>
      </w:r>
    </w:p>
    <w:p w14:paraId="71BF92FC" w14:textId="64731F03" w:rsidR="0009452A" w:rsidRDefault="0009452A" w:rsidP="000E07E0">
      <w:pPr>
        <w:widowControl w:val="0"/>
        <w:tabs>
          <w:tab w:val="left" w:pos="1710"/>
        </w:tabs>
        <w:spacing w:after="0" w:line="276" w:lineRule="auto"/>
        <w:ind w:firstLine="720"/>
        <w:jc w:val="both"/>
        <w:rPr>
          <w:rFonts w:cs="Times New Roman"/>
          <w:szCs w:val="24"/>
        </w:rPr>
      </w:pPr>
      <w:r>
        <w:rPr>
          <w:rFonts w:cs="Times New Roman"/>
          <w:szCs w:val="24"/>
        </w:rPr>
        <w:t xml:space="preserve">atzīta par vainīgu Krimināllikuma 318. panta trešajā daļā paredzētajā noziedzīgajā nodarījumā un sodīta ar brīvības atņemšanu uz </w:t>
      </w:r>
      <w:r w:rsidR="00FF2B1A">
        <w:rPr>
          <w:rFonts w:cs="Times New Roman"/>
          <w:szCs w:val="24"/>
        </w:rPr>
        <w:t xml:space="preserve">6 </w:t>
      </w:r>
      <w:r>
        <w:rPr>
          <w:rFonts w:cs="Times New Roman"/>
          <w:szCs w:val="24"/>
        </w:rPr>
        <w:t xml:space="preserve">mēnešiem, atņemot tiesības ieņemt valsts amatpersonas un zvērināta advokāta amatus uz </w:t>
      </w:r>
      <w:r w:rsidR="00FF2B1A">
        <w:rPr>
          <w:rFonts w:cs="Times New Roman"/>
          <w:szCs w:val="24"/>
        </w:rPr>
        <w:t xml:space="preserve">3 </w:t>
      </w:r>
      <w:r>
        <w:rPr>
          <w:rFonts w:cs="Times New Roman"/>
          <w:szCs w:val="24"/>
        </w:rPr>
        <w:t>gadiem;</w:t>
      </w:r>
    </w:p>
    <w:p w14:paraId="4F70CC7B" w14:textId="33BA11F5" w:rsidR="0009452A" w:rsidRDefault="0009452A" w:rsidP="000E07E0">
      <w:pPr>
        <w:widowControl w:val="0"/>
        <w:tabs>
          <w:tab w:val="left" w:pos="1710"/>
        </w:tabs>
        <w:spacing w:after="0" w:line="276" w:lineRule="auto"/>
        <w:ind w:firstLine="720"/>
        <w:jc w:val="both"/>
        <w:rPr>
          <w:rFonts w:cs="Times New Roman"/>
          <w:szCs w:val="24"/>
        </w:rPr>
      </w:pPr>
      <w:r>
        <w:rPr>
          <w:rFonts w:cs="Times New Roman"/>
          <w:szCs w:val="24"/>
        </w:rPr>
        <w:t xml:space="preserve">atzīta par vainīgu Krimināllikuma 179. panta trešajā daļā paredzētajā noziedzīgajā nodarījumā un sodīta ar brīvības atņemšanu uz </w:t>
      </w:r>
      <w:r w:rsidR="00FF2B1A">
        <w:rPr>
          <w:rFonts w:cs="Times New Roman"/>
          <w:szCs w:val="24"/>
        </w:rPr>
        <w:t xml:space="preserve">1 </w:t>
      </w:r>
      <w:r>
        <w:rPr>
          <w:rFonts w:cs="Times New Roman"/>
          <w:szCs w:val="24"/>
        </w:rPr>
        <w:t xml:space="preserve">gadu un probācijas uzraudzību uz </w:t>
      </w:r>
      <w:r w:rsidR="00FF2B1A">
        <w:rPr>
          <w:rFonts w:cs="Times New Roman"/>
          <w:szCs w:val="24"/>
        </w:rPr>
        <w:t xml:space="preserve">2 </w:t>
      </w:r>
      <w:r>
        <w:rPr>
          <w:rFonts w:cs="Times New Roman"/>
          <w:szCs w:val="24"/>
        </w:rPr>
        <w:t>gadiem;</w:t>
      </w:r>
    </w:p>
    <w:p w14:paraId="0EC853EE" w14:textId="561E1EF3" w:rsidR="0009452A" w:rsidRDefault="0009452A" w:rsidP="000E07E0">
      <w:pPr>
        <w:widowControl w:val="0"/>
        <w:tabs>
          <w:tab w:val="left" w:pos="1710"/>
        </w:tabs>
        <w:spacing w:after="0" w:line="276" w:lineRule="auto"/>
        <w:ind w:firstLine="720"/>
        <w:jc w:val="both"/>
        <w:rPr>
          <w:rFonts w:cs="Times New Roman"/>
          <w:szCs w:val="24"/>
        </w:rPr>
      </w:pPr>
      <w:r>
        <w:rPr>
          <w:rFonts w:cs="Times New Roman"/>
          <w:szCs w:val="24"/>
        </w:rPr>
        <w:t xml:space="preserve">atzīta par vainīgu Krimināllikuma 318. panta trešajā daļā paredzētajā noziedzīgajā nodarījumā un sodīta ar brīvības atņemšanu uz </w:t>
      </w:r>
      <w:r w:rsidR="00FF2B1A">
        <w:rPr>
          <w:rFonts w:cs="Times New Roman"/>
          <w:szCs w:val="24"/>
        </w:rPr>
        <w:t xml:space="preserve">6 </w:t>
      </w:r>
      <w:r>
        <w:rPr>
          <w:rFonts w:cs="Times New Roman"/>
          <w:szCs w:val="24"/>
        </w:rPr>
        <w:t xml:space="preserve">mēnešiem, atņemot tiesības ieņemt valsts amatpersonas un zvērināta advokāta amatus uz </w:t>
      </w:r>
      <w:r w:rsidR="00FF2B1A">
        <w:rPr>
          <w:rFonts w:cs="Times New Roman"/>
          <w:szCs w:val="24"/>
        </w:rPr>
        <w:t xml:space="preserve">2 </w:t>
      </w:r>
      <w:r>
        <w:rPr>
          <w:rFonts w:cs="Times New Roman"/>
          <w:szCs w:val="24"/>
        </w:rPr>
        <w:t>gadiem.</w:t>
      </w:r>
    </w:p>
    <w:p w14:paraId="422B557B" w14:textId="477275F9" w:rsidR="00B90114" w:rsidRDefault="0009452A" w:rsidP="000E07E0">
      <w:pPr>
        <w:widowControl w:val="0"/>
        <w:tabs>
          <w:tab w:val="left" w:pos="1710"/>
        </w:tabs>
        <w:spacing w:after="0" w:line="276" w:lineRule="auto"/>
        <w:ind w:firstLine="720"/>
        <w:jc w:val="both"/>
        <w:rPr>
          <w:rFonts w:cs="Times New Roman"/>
          <w:szCs w:val="24"/>
        </w:rPr>
      </w:pPr>
      <w:r>
        <w:rPr>
          <w:rFonts w:cs="Times New Roman"/>
          <w:szCs w:val="24"/>
        </w:rPr>
        <w:t xml:space="preserve">Saskaņā ar Krimināllikuma 50. panta pirmo un trešo daļu galīgais sods </w:t>
      </w:r>
      <w:r w:rsidR="001656B2">
        <w:rPr>
          <w:rFonts w:cs="Times New Roman"/>
          <w:szCs w:val="24"/>
        </w:rPr>
        <w:t>[pers. A]</w:t>
      </w:r>
      <w:r>
        <w:rPr>
          <w:rFonts w:cs="Times New Roman"/>
          <w:szCs w:val="24"/>
        </w:rPr>
        <w:t xml:space="preserve"> </w:t>
      </w:r>
      <w:proofErr w:type="gramStart"/>
      <w:r>
        <w:rPr>
          <w:rFonts w:cs="Times New Roman"/>
          <w:szCs w:val="24"/>
        </w:rPr>
        <w:t xml:space="preserve">noteikts brīvības atņemšana uz </w:t>
      </w:r>
      <w:r w:rsidR="00FF2B1A">
        <w:rPr>
          <w:rFonts w:cs="Times New Roman"/>
          <w:szCs w:val="24"/>
        </w:rPr>
        <w:t xml:space="preserve">2 </w:t>
      </w:r>
      <w:r>
        <w:rPr>
          <w:rFonts w:cs="Times New Roman"/>
          <w:szCs w:val="24"/>
        </w:rPr>
        <w:t xml:space="preserve">gadiem un probācijas uzraudzība uz </w:t>
      </w:r>
      <w:r w:rsidR="00FF2B1A">
        <w:rPr>
          <w:rFonts w:cs="Times New Roman"/>
          <w:szCs w:val="24"/>
        </w:rPr>
        <w:t xml:space="preserve">3 </w:t>
      </w:r>
      <w:r w:rsidR="00B90114">
        <w:rPr>
          <w:rFonts w:cs="Times New Roman"/>
          <w:szCs w:val="24"/>
        </w:rPr>
        <w:t>gadiem</w:t>
      </w:r>
      <w:proofErr w:type="gramEnd"/>
      <w:r w:rsidR="00B90114">
        <w:rPr>
          <w:rFonts w:cs="Times New Roman"/>
          <w:szCs w:val="24"/>
        </w:rPr>
        <w:t xml:space="preserve">, atņemot tiesības ieņemt valsts amatpersonas un zvērināta advokāta amatus uz </w:t>
      </w:r>
      <w:r w:rsidR="00FF2B1A">
        <w:rPr>
          <w:rFonts w:cs="Times New Roman"/>
          <w:szCs w:val="24"/>
        </w:rPr>
        <w:t xml:space="preserve">3 </w:t>
      </w:r>
      <w:r w:rsidR="00B90114">
        <w:rPr>
          <w:rFonts w:cs="Times New Roman"/>
          <w:szCs w:val="24"/>
        </w:rPr>
        <w:t>gadiem.</w:t>
      </w:r>
    </w:p>
    <w:bookmarkEnd w:id="0"/>
    <w:p w14:paraId="564CBFF0" w14:textId="52F25D58" w:rsidR="00B90114" w:rsidRDefault="001656B2" w:rsidP="000E07E0">
      <w:pPr>
        <w:widowControl w:val="0"/>
        <w:tabs>
          <w:tab w:val="left" w:pos="1710"/>
        </w:tabs>
        <w:spacing w:after="0" w:line="276" w:lineRule="auto"/>
        <w:ind w:firstLine="720"/>
        <w:jc w:val="both"/>
        <w:rPr>
          <w:rFonts w:cs="Times New Roman"/>
          <w:szCs w:val="24"/>
        </w:rPr>
      </w:pPr>
      <w:r>
        <w:rPr>
          <w:rFonts w:cs="Times New Roman"/>
          <w:szCs w:val="24"/>
        </w:rPr>
        <w:t>[Pers. A]</w:t>
      </w:r>
      <w:r w:rsidR="00B90114">
        <w:rPr>
          <w:rFonts w:cs="Times New Roman"/>
          <w:szCs w:val="24"/>
        </w:rPr>
        <w:t xml:space="preserve"> piemērotie drošības līdzekļi – uzturēšanās noteiktā vietā un dzīvesvietas maiņas paziņošana – atstāti negrozīti, līdz spriedums stāsies spēkā.</w:t>
      </w:r>
    </w:p>
    <w:p w14:paraId="2A9599DE" w14:textId="77777777" w:rsidR="00B90114" w:rsidRDefault="00B90114" w:rsidP="000E07E0">
      <w:pPr>
        <w:widowControl w:val="0"/>
        <w:tabs>
          <w:tab w:val="left" w:pos="1710"/>
        </w:tabs>
        <w:spacing w:after="0" w:line="276" w:lineRule="auto"/>
        <w:ind w:firstLine="720"/>
        <w:jc w:val="both"/>
        <w:rPr>
          <w:rFonts w:cs="Times New Roman"/>
          <w:szCs w:val="24"/>
        </w:rPr>
      </w:pPr>
    </w:p>
    <w:p w14:paraId="6A2599E7" w14:textId="7CB78B17" w:rsidR="00B90114" w:rsidRDefault="00B90114" w:rsidP="000E07E0">
      <w:pPr>
        <w:widowControl w:val="0"/>
        <w:tabs>
          <w:tab w:val="left" w:pos="1710"/>
        </w:tabs>
        <w:spacing w:after="0" w:line="276" w:lineRule="auto"/>
        <w:ind w:firstLine="720"/>
        <w:jc w:val="both"/>
        <w:rPr>
          <w:rFonts w:cs="Times New Roman"/>
          <w:szCs w:val="24"/>
        </w:rPr>
      </w:pPr>
      <w:r>
        <w:rPr>
          <w:rFonts w:cs="Times New Roman"/>
          <w:szCs w:val="24"/>
        </w:rPr>
        <w:t>[2]</w:t>
      </w:r>
      <w:r w:rsidR="007C613E">
        <w:rPr>
          <w:rFonts w:cs="Times New Roman"/>
          <w:szCs w:val="24"/>
        </w:rPr>
        <w:t> </w:t>
      </w:r>
      <w:r>
        <w:rPr>
          <w:rFonts w:cs="Times New Roman"/>
          <w:szCs w:val="24"/>
        </w:rPr>
        <w:t xml:space="preserve">Ar pirmās instances tiesas spriedumu </w:t>
      </w:r>
      <w:r w:rsidR="001656B2">
        <w:rPr>
          <w:rFonts w:cs="Times New Roman"/>
          <w:szCs w:val="24"/>
        </w:rPr>
        <w:t>[pers. A]</w:t>
      </w:r>
      <w:r>
        <w:rPr>
          <w:rFonts w:cs="Times New Roman"/>
          <w:szCs w:val="24"/>
        </w:rPr>
        <w:t xml:space="preserve"> atzīta par vainīgu un sodīta par diviem noziedzīgajiem nodarījumiem –</w:t>
      </w:r>
      <w:r w:rsidR="00FE225F">
        <w:rPr>
          <w:rFonts w:cs="Times New Roman"/>
          <w:szCs w:val="24"/>
        </w:rPr>
        <w:t xml:space="preserve"> </w:t>
      </w:r>
      <w:r w:rsidR="00481EE6">
        <w:rPr>
          <w:rFonts w:cs="Times New Roman"/>
          <w:szCs w:val="24"/>
        </w:rPr>
        <w:t>piesavināšanos lielā apmērā –</w:t>
      </w:r>
      <w:r w:rsidR="00FE225F">
        <w:rPr>
          <w:rFonts w:cs="Times New Roman"/>
          <w:szCs w:val="24"/>
        </w:rPr>
        <w:t xml:space="preserve">, kā arī par diviem noziedzīgajiem nodarījumiem – </w:t>
      </w:r>
      <w:r w:rsidR="00481EE6">
        <w:rPr>
          <w:rFonts w:cs="Times New Roman"/>
          <w:szCs w:val="24"/>
        </w:rPr>
        <w:t>dienesta stāvokļa ļaunprātīgu izmantošanu, kas izraisījusi smagas sekas.</w:t>
      </w:r>
    </w:p>
    <w:p w14:paraId="75E69781" w14:textId="265B3344" w:rsidR="00B90114" w:rsidRDefault="00B90114" w:rsidP="000E07E0">
      <w:pPr>
        <w:widowControl w:val="0"/>
        <w:tabs>
          <w:tab w:val="left" w:pos="1710"/>
        </w:tabs>
        <w:spacing w:after="0" w:line="276" w:lineRule="auto"/>
        <w:ind w:firstLine="720"/>
        <w:jc w:val="both"/>
        <w:rPr>
          <w:rFonts w:cs="Times New Roman"/>
          <w:szCs w:val="24"/>
        </w:rPr>
      </w:pPr>
    </w:p>
    <w:p w14:paraId="54FEC43B" w14:textId="728E835B" w:rsidR="00A63F9F" w:rsidRPr="00373BFA" w:rsidRDefault="003A47A8" w:rsidP="000E07E0">
      <w:pPr>
        <w:widowControl w:val="0"/>
        <w:tabs>
          <w:tab w:val="left" w:pos="1710"/>
        </w:tabs>
        <w:spacing w:after="0" w:line="276" w:lineRule="auto"/>
        <w:ind w:firstLine="720"/>
        <w:jc w:val="both"/>
        <w:rPr>
          <w:rFonts w:cs="Times New Roman"/>
          <w:szCs w:val="24"/>
        </w:rPr>
      </w:pPr>
      <w:r w:rsidRPr="00373BFA">
        <w:rPr>
          <w:rFonts w:cs="Times New Roman"/>
          <w:szCs w:val="24"/>
        </w:rPr>
        <w:lastRenderedPageBreak/>
        <w:t>[</w:t>
      </w:r>
      <w:r w:rsidR="002C723B" w:rsidRPr="00373BFA">
        <w:rPr>
          <w:rFonts w:cs="Times New Roman"/>
          <w:szCs w:val="24"/>
        </w:rPr>
        <w:t>3</w:t>
      </w:r>
      <w:r w:rsidRPr="00373BFA">
        <w:rPr>
          <w:rFonts w:cs="Times New Roman"/>
          <w:szCs w:val="24"/>
        </w:rPr>
        <w:t>]</w:t>
      </w:r>
      <w:r w:rsidR="00847D82" w:rsidRPr="00373BFA">
        <w:rPr>
          <w:rFonts w:cs="Times New Roman"/>
          <w:szCs w:val="24"/>
        </w:rPr>
        <w:t> </w:t>
      </w:r>
      <w:r w:rsidRPr="00373BFA">
        <w:rPr>
          <w:rFonts w:cs="Times New Roman"/>
          <w:szCs w:val="24"/>
        </w:rPr>
        <w:t xml:space="preserve">Ar </w:t>
      </w:r>
      <w:r w:rsidR="00935D02" w:rsidRPr="00373BFA">
        <w:rPr>
          <w:rFonts w:cs="Times New Roman"/>
          <w:szCs w:val="24"/>
        </w:rPr>
        <w:t xml:space="preserve">Rīgas </w:t>
      </w:r>
      <w:r w:rsidRPr="00373BFA">
        <w:rPr>
          <w:rFonts w:cs="Times New Roman"/>
          <w:szCs w:val="24"/>
        </w:rPr>
        <w:t>apgabaltiesas 202</w:t>
      </w:r>
      <w:r w:rsidR="00FE225F">
        <w:rPr>
          <w:rFonts w:cs="Times New Roman"/>
          <w:szCs w:val="24"/>
        </w:rPr>
        <w:t>2</w:t>
      </w:r>
      <w:r w:rsidRPr="00373BFA">
        <w:rPr>
          <w:rFonts w:cs="Times New Roman"/>
          <w:szCs w:val="24"/>
        </w:rPr>
        <w:t>.</w:t>
      </w:r>
      <w:r w:rsidR="00C04E12">
        <w:rPr>
          <w:rFonts w:cs="Times New Roman"/>
          <w:szCs w:val="24"/>
        </w:rPr>
        <w:t> </w:t>
      </w:r>
      <w:r w:rsidRPr="00373BFA">
        <w:rPr>
          <w:rFonts w:cs="Times New Roman"/>
          <w:szCs w:val="24"/>
        </w:rPr>
        <w:t>gada</w:t>
      </w:r>
      <w:r w:rsidR="00935D02" w:rsidRPr="00373BFA">
        <w:rPr>
          <w:rFonts w:cs="Times New Roman"/>
          <w:szCs w:val="24"/>
        </w:rPr>
        <w:t xml:space="preserve"> </w:t>
      </w:r>
      <w:r w:rsidR="00CE2712">
        <w:rPr>
          <w:rFonts w:cs="Times New Roman"/>
          <w:szCs w:val="24"/>
        </w:rPr>
        <w:t>11.</w:t>
      </w:r>
      <w:r w:rsidR="00C04E12">
        <w:rPr>
          <w:rFonts w:cs="Times New Roman"/>
          <w:szCs w:val="24"/>
        </w:rPr>
        <w:t> </w:t>
      </w:r>
      <w:r w:rsidR="00CE2712">
        <w:rPr>
          <w:rFonts w:cs="Times New Roman"/>
          <w:szCs w:val="24"/>
        </w:rPr>
        <w:t>janvāra</w:t>
      </w:r>
      <w:r w:rsidR="00935D02" w:rsidRPr="00373BFA">
        <w:rPr>
          <w:rFonts w:cs="Times New Roman"/>
          <w:szCs w:val="24"/>
        </w:rPr>
        <w:t xml:space="preserve"> lēmumu</w:t>
      </w:r>
      <w:r w:rsidRPr="00373BFA">
        <w:rPr>
          <w:rFonts w:cs="Times New Roman"/>
          <w:szCs w:val="24"/>
        </w:rPr>
        <w:t>, iztiesājot lietu apelācijas kārtībā sakarā ar apsūdzētā</w:t>
      </w:r>
      <w:r w:rsidR="00935D02" w:rsidRPr="00373BFA">
        <w:rPr>
          <w:rFonts w:cs="Times New Roman"/>
          <w:szCs w:val="24"/>
        </w:rPr>
        <w:t xml:space="preserve">s </w:t>
      </w:r>
      <w:r w:rsidR="001656B2">
        <w:rPr>
          <w:rFonts w:cs="Times New Roman"/>
          <w:szCs w:val="24"/>
        </w:rPr>
        <w:t>[pers. A]</w:t>
      </w:r>
      <w:r w:rsidR="00CE2712">
        <w:rPr>
          <w:rFonts w:cs="Times New Roman"/>
          <w:szCs w:val="24"/>
        </w:rPr>
        <w:t xml:space="preserve"> </w:t>
      </w:r>
      <w:r w:rsidR="00935D02" w:rsidRPr="00373BFA">
        <w:rPr>
          <w:rFonts w:cs="Times New Roman"/>
          <w:szCs w:val="24"/>
        </w:rPr>
        <w:t>aizst</w:t>
      </w:r>
      <w:r w:rsidR="00CE2712">
        <w:rPr>
          <w:rFonts w:cs="Times New Roman"/>
          <w:szCs w:val="24"/>
        </w:rPr>
        <w:t>āves</w:t>
      </w:r>
      <w:r w:rsidR="00935D02" w:rsidRPr="00373BFA">
        <w:rPr>
          <w:rFonts w:cs="Times New Roman"/>
          <w:szCs w:val="24"/>
        </w:rPr>
        <w:t xml:space="preserve"> </w:t>
      </w:r>
      <w:r w:rsidR="00CE2712">
        <w:rPr>
          <w:rFonts w:cs="Times New Roman"/>
          <w:szCs w:val="24"/>
        </w:rPr>
        <w:t>V. </w:t>
      </w:r>
      <w:proofErr w:type="spellStart"/>
      <w:r w:rsidR="00CE2712">
        <w:rPr>
          <w:rFonts w:cs="Times New Roman"/>
          <w:szCs w:val="24"/>
        </w:rPr>
        <w:t>Brakšas</w:t>
      </w:r>
      <w:proofErr w:type="spellEnd"/>
      <w:r w:rsidR="00935D02" w:rsidRPr="00373BFA">
        <w:rPr>
          <w:rFonts w:cs="Times New Roman"/>
          <w:szCs w:val="24"/>
        </w:rPr>
        <w:t xml:space="preserve"> </w:t>
      </w:r>
      <w:r w:rsidR="00930F82" w:rsidRPr="00373BFA">
        <w:rPr>
          <w:rFonts w:cs="Times New Roman"/>
          <w:szCs w:val="24"/>
        </w:rPr>
        <w:t>apelācijas sūdzīb</w:t>
      </w:r>
      <w:r w:rsidR="00935D02" w:rsidRPr="00373BFA">
        <w:rPr>
          <w:rFonts w:cs="Times New Roman"/>
          <w:szCs w:val="24"/>
        </w:rPr>
        <w:t>u</w:t>
      </w:r>
      <w:r w:rsidRPr="00373BFA">
        <w:rPr>
          <w:rFonts w:cs="Times New Roman"/>
          <w:szCs w:val="24"/>
        </w:rPr>
        <w:t>,</w:t>
      </w:r>
      <w:r w:rsidR="00935D02" w:rsidRPr="00373BFA">
        <w:rPr>
          <w:rFonts w:cs="Times New Roman"/>
          <w:szCs w:val="24"/>
        </w:rPr>
        <w:t xml:space="preserve"> Rīgas </w:t>
      </w:r>
      <w:r w:rsidR="00CE2712">
        <w:rPr>
          <w:rFonts w:cs="Times New Roman"/>
          <w:szCs w:val="24"/>
        </w:rPr>
        <w:t xml:space="preserve">rajona </w:t>
      </w:r>
      <w:r w:rsidRPr="00373BFA">
        <w:rPr>
          <w:rFonts w:cs="Times New Roman"/>
          <w:szCs w:val="24"/>
        </w:rPr>
        <w:t>tiesas 20</w:t>
      </w:r>
      <w:r w:rsidR="00930F82" w:rsidRPr="00373BFA">
        <w:rPr>
          <w:rFonts w:cs="Times New Roman"/>
          <w:szCs w:val="24"/>
        </w:rPr>
        <w:t>2</w:t>
      </w:r>
      <w:r w:rsidR="00CE2712">
        <w:rPr>
          <w:rFonts w:cs="Times New Roman"/>
          <w:szCs w:val="24"/>
        </w:rPr>
        <w:t>1</w:t>
      </w:r>
      <w:r w:rsidRPr="00373BFA">
        <w:rPr>
          <w:rFonts w:cs="Times New Roman"/>
          <w:szCs w:val="24"/>
        </w:rPr>
        <w:t>.</w:t>
      </w:r>
      <w:r w:rsidR="00C04E12">
        <w:rPr>
          <w:rFonts w:cs="Times New Roman"/>
          <w:szCs w:val="24"/>
        </w:rPr>
        <w:t> </w:t>
      </w:r>
      <w:r w:rsidRPr="00373BFA">
        <w:rPr>
          <w:rFonts w:cs="Times New Roman"/>
          <w:szCs w:val="24"/>
        </w:rPr>
        <w:t>gada</w:t>
      </w:r>
      <w:r w:rsidR="00935D02" w:rsidRPr="00373BFA">
        <w:rPr>
          <w:rFonts w:cs="Times New Roman"/>
          <w:szCs w:val="24"/>
        </w:rPr>
        <w:t xml:space="preserve"> </w:t>
      </w:r>
      <w:r w:rsidR="00CE2712">
        <w:rPr>
          <w:rFonts w:cs="Times New Roman"/>
          <w:szCs w:val="24"/>
        </w:rPr>
        <w:t>10.</w:t>
      </w:r>
      <w:r w:rsidR="00C04E12">
        <w:rPr>
          <w:rFonts w:cs="Times New Roman"/>
          <w:szCs w:val="24"/>
        </w:rPr>
        <w:t> </w:t>
      </w:r>
      <w:r w:rsidR="00CE2712">
        <w:rPr>
          <w:rFonts w:cs="Times New Roman"/>
          <w:szCs w:val="24"/>
        </w:rPr>
        <w:t>maija</w:t>
      </w:r>
      <w:r w:rsidRPr="00373BFA">
        <w:rPr>
          <w:rFonts w:cs="Times New Roman"/>
          <w:szCs w:val="24"/>
        </w:rPr>
        <w:t xml:space="preserve"> spriedums at</w:t>
      </w:r>
      <w:r w:rsidR="00935D02" w:rsidRPr="00373BFA">
        <w:rPr>
          <w:rFonts w:cs="Times New Roman"/>
          <w:szCs w:val="24"/>
        </w:rPr>
        <w:t>stāts negrozīts.</w:t>
      </w:r>
    </w:p>
    <w:p w14:paraId="0E051FE0" w14:textId="77777777" w:rsidR="00AE7795" w:rsidRPr="00373BFA" w:rsidRDefault="00AE7795" w:rsidP="000E07E0">
      <w:pPr>
        <w:widowControl w:val="0"/>
        <w:tabs>
          <w:tab w:val="left" w:pos="1710"/>
        </w:tabs>
        <w:spacing w:after="0" w:line="276" w:lineRule="auto"/>
        <w:ind w:firstLine="720"/>
        <w:jc w:val="both"/>
        <w:rPr>
          <w:rFonts w:cs="Times New Roman"/>
          <w:szCs w:val="24"/>
        </w:rPr>
      </w:pPr>
    </w:p>
    <w:p w14:paraId="2063481C" w14:textId="7258B031" w:rsidR="006D3D4D" w:rsidRPr="00807B4A" w:rsidRDefault="003A47A8" w:rsidP="000E07E0">
      <w:pPr>
        <w:widowControl w:val="0"/>
        <w:tabs>
          <w:tab w:val="left" w:pos="1710"/>
        </w:tabs>
        <w:spacing w:after="0" w:line="276" w:lineRule="auto"/>
        <w:ind w:firstLine="720"/>
        <w:jc w:val="both"/>
        <w:rPr>
          <w:rFonts w:cs="Times New Roman"/>
          <w:szCs w:val="24"/>
        </w:rPr>
      </w:pPr>
      <w:r w:rsidRPr="00373BFA">
        <w:rPr>
          <w:rFonts w:cs="Times New Roman"/>
          <w:szCs w:val="24"/>
        </w:rPr>
        <w:t>[</w:t>
      </w:r>
      <w:r w:rsidR="00783C60" w:rsidRPr="00373BFA">
        <w:rPr>
          <w:rFonts w:cs="Times New Roman"/>
          <w:szCs w:val="24"/>
        </w:rPr>
        <w:t>4</w:t>
      </w:r>
      <w:r w:rsidRPr="00373BFA">
        <w:rPr>
          <w:rFonts w:cs="Times New Roman"/>
          <w:szCs w:val="24"/>
        </w:rPr>
        <w:t>]</w:t>
      </w:r>
      <w:r w:rsidR="00847D82" w:rsidRPr="00373BFA">
        <w:rPr>
          <w:rFonts w:cs="Times New Roman"/>
          <w:szCs w:val="24"/>
        </w:rPr>
        <w:t> </w:t>
      </w:r>
      <w:r w:rsidRPr="00373BFA">
        <w:rPr>
          <w:rFonts w:cs="Times New Roman"/>
          <w:szCs w:val="24"/>
        </w:rPr>
        <w:t xml:space="preserve">Par </w:t>
      </w:r>
      <w:r w:rsidR="004A0200" w:rsidRPr="00373BFA">
        <w:rPr>
          <w:rFonts w:cs="Times New Roman"/>
          <w:szCs w:val="24"/>
        </w:rPr>
        <w:t>Rīgas</w:t>
      </w:r>
      <w:r w:rsidRPr="00373BFA">
        <w:rPr>
          <w:rFonts w:cs="Times New Roman"/>
          <w:szCs w:val="24"/>
        </w:rPr>
        <w:t xml:space="preserve"> apgabaltiesas 202</w:t>
      </w:r>
      <w:r w:rsidR="00CE2712">
        <w:rPr>
          <w:rFonts w:cs="Times New Roman"/>
          <w:szCs w:val="24"/>
        </w:rPr>
        <w:t>2</w:t>
      </w:r>
      <w:r w:rsidRPr="00373BFA">
        <w:rPr>
          <w:rFonts w:cs="Times New Roman"/>
          <w:szCs w:val="24"/>
        </w:rPr>
        <w:t>.</w:t>
      </w:r>
      <w:r w:rsidR="00C04E12">
        <w:rPr>
          <w:rFonts w:cs="Times New Roman"/>
          <w:szCs w:val="24"/>
        </w:rPr>
        <w:t> </w:t>
      </w:r>
      <w:r w:rsidRPr="00373BFA">
        <w:rPr>
          <w:rFonts w:cs="Times New Roman"/>
          <w:szCs w:val="24"/>
        </w:rPr>
        <w:t>gada</w:t>
      </w:r>
      <w:r w:rsidR="004A0200" w:rsidRPr="00373BFA">
        <w:rPr>
          <w:rFonts w:cs="Times New Roman"/>
          <w:szCs w:val="24"/>
        </w:rPr>
        <w:t xml:space="preserve"> </w:t>
      </w:r>
      <w:r w:rsidR="00CE2712">
        <w:rPr>
          <w:rFonts w:cs="Times New Roman"/>
          <w:szCs w:val="24"/>
        </w:rPr>
        <w:t>11.</w:t>
      </w:r>
      <w:r w:rsidR="00C04E12">
        <w:rPr>
          <w:rFonts w:cs="Times New Roman"/>
          <w:szCs w:val="24"/>
        </w:rPr>
        <w:t> </w:t>
      </w:r>
      <w:r w:rsidR="00CE2712">
        <w:rPr>
          <w:rFonts w:cs="Times New Roman"/>
          <w:szCs w:val="24"/>
        </w:rPr>
        <w:t>janvāra</w:t>
      </w:r>
      <w:r w:rsidR="004A0200" w:rsidRPr="00373BFA">
        <w:rPr>
          <w:rFonts w:cs="Times New Roman"/>
          <w:szCs w:val="24"/>
        </w:rPr>
        <w:t xml:space="preserve"> lēmumu</w:t>
      </w:r>
      <w:r w:rsidRPr="00373BFA">
        <w:rPr>
          <w:rFonts w:cs="Times New Roman"/>
          <w:szCs w:val="24"/>
        </w:rPr>
        <w:t xml:space="preserve"> </w:t>
      </w:r>
      <w:r w:rsidR="00F47291" w:rsidRPr="00373BFA">
        <w:rPr>
          <w:rFonts w:cs="Times New Roman"/>
          <w:szCs w:val="24"/>
        </w:rPr>
        <w:t>apsūdzēt</w:t>
      </w:r>
      <w:r w:rsidR="004A0200" w:rsidRPr="00373BFA">
        <w:rPr>
          <w:rFonts w:cs="Times New Roman"/>
          <w:szCs w:val="24"/>
        </w:rPr>
        <w:t xml:space="preserve">ās </w:t>
      </w:r>
      <w:r w:rsidR="001656B2">
        <w:rPr>
          <w:rFonts w:cs="Times New Roman"/>
          <w:szCs w:val="24"/>
        </w:rPr>
        <w:t>[pers. A]</w:t>
      </w:r>
      <w:r w:rsidR="00CE2712">
        <w:rPr>
          <w:rFonts w:cs="Times New Roman"/>
          <w:szCs w:val="24"/>
        </w:rPr>
        <w:t xml:space="preserve"> </w:t>
      </w:r>
      <w:r w:rsidR="00B04BBC" w:rsidRPr="00373BFA">
        <w:rPr>
          <w:rFonts w:cs="Times New Roman"/>
          <w:szCs w:val="24"/>
        </w:rPr>
        <w:t>aizstāv</w:t>
      </w:r>
      <w:r w:rsidR="00CE2712">
        <w:rPr>
          <w:rFonts w:cs="Times New Roman"/>
          <w:szCs w:val="24"/>
        </w:rPr>
        <w:t>e</w:t>
      </w:r>
      <w:r w:rsidR="00B04BBC" w:rsidRPr="00373BFA">
        <w:rPr>
          <w:rFonts w:cs="Times New Roman"/>
          <w:szCs w:val="24"/>
        </w:rPr>
        <w:t xml:space="preserve"> </w:t>
      </w:r>
      <w:r w:rsidR="00CE2712">
        <w:rPr>
          <w:rFonts w:cs="Times New Roman"/>
          <w:szCs w:val="24"/>
        </w:rPr>
        <w:t>V. </w:t>
      </w:r>
      <w:proofErr w:type="spellStart"/>
      <w:r w:rsidR="00CE2712">
        <w:rPr>
          <w:rFonts w:cs="Times New Roman"/>
          <w:szCs w:val="24"/>
        </w:rPr>
        <w:t>Brakša</w:t>
      </w:r>
      <w:proofErr w:type="spellEnd"/>
      <w:r w:rsidR="00F47291" w:rsidRPr="00373BFA">
        <w:rPr>
          <w:rFonts w:cs="Times New Roman"/>
          <w:szCs w:val="24"/>
        </w:rPr>
        <w:t xml:space="preserve"> iesnie</w:t>
      </w:r>
      <w:r w:rsidR="00CE2712">
        <w:rPr>
          <w:rFonts w:cs="Times New Roman"/>
          <w:szCs w:val="24"/>
        </w:rPr>
        <w:t>gusi</w:t>
      </w:r>
      <w:r w:rsidR="00F47291" w:rsidRPr="00373BFA">
        <w:rPr>
          <w:rFonts w:cs="Times New Roman"/>
          <w:szCs w:val="24"/>
        </w:rPr>
        <w:t xml:space="preserve"> kasācijas sūdzību, </w:t>
      </w:r>
      <w:r w:rsidRPr="00807B4A">
        <w:rPr>
          <w:rFonts w:cs="Times New Roman"/>
          <w:szCs w:val="24"/>
        </w:rPr>
        <w:t xml:space="preserve">kurā lūdz atcelt tiesas </w:t>
      </w:r>
      <w:r w:rsidR="00FB5F96" w:rsidRPr="00807B4A">
        <w:rPr>
          <w:rFonts w:cs="Times New Roman"/>
          <w:szCs w:val="24"/>
        </w:rPr>
        <w:t>lēmumu</w:t>
      </w:r>
      <w:r w:rsidR="00B04BBC" w:rsidRPr="00807B4A">
        <w:rPr>
          <w:rFonts w:cs="Times New Roman"/>
          <w:szCs w:val="24"/>
        </w:rPr>
        <w:t xml:space="preserve"> un nosūtīt lietu jaunai izskatīšanai</w:t>
      </w:r>
      <w:r w:rsidR="00CE2712" w:rsidRPr="00807B4A">
        <w:rPr>
          <w:rFonts w:cs="Times New Roman"/>
          <w:szCs w:val="24"/>
        </w:rPr>
        <w:t xml:space="preserve"> apelācijas instances tiesā</w:t>
      </w:r>
      <w:r w:rsidR="00481EE6" w:rsidRPr="00807B4A">
        <w:rPr>
          <w:rFonts w:cs="Times New Roman"/>
          <w:szCs w:val="24"/>
        </w:rPr>
        <w:t xml:space="preserve">, norādot, ka </w:t>
      </w:r>
      <w:r w:rsidR="00C04E12" w:rsidRPr="00807B4A">
        <w:rPr>
          <w:rFonts w:cs="Times New Roman"/>
          <w:szCs w:val="24"/>
        </w:rPr>
        <w:t xml:space="preserve">tiesa nepareizi piemērojusi Krimināllikuma 1. panta pirmo daļu, 6. panta pirmo daļu, 9. panta otro daļu, 35. un 46. pantu, kā arī pārkāpusi Kriminālprocesa likuma </w:t>
      </w:r>
      <w:r w:rsidR="00C5657E" w:rsidRPr="00807B4A">
        <w:rPr>
          <w:rFonts w:cs="Times New Roman"/>
          <w:szCs w:val="24"/>
        </w:rPr>
        <w:t>12. panta pirmo daļu, 15., 19. pantu, 20. panta pirmo daļu, 124. panta piekto daļu,</w:t>
      </w:r>
      <w:r w:rsidR="00F25C8A" w:rsidRPr="00807B4A">
        <w:rPr>
          <w:rFonts w:cs="Times New Roman"/>
          <w:szCs w:val="24"/>
        </w:rPr>
        <w:t xml:space="preserve"> </w:t>
      </w:r>
      <w:r w:rsidR="00C5657E" w:rsidRPr="00807B4A">
        <w:rPr>
          <w:rFonts w:cs="Times New Roman"/>
          <w:szCs w:val="24"/>
        </w:rPr>
        <w:t>127. panta otro daļu, 129., 129., 130.</w:t>
      </w:r>
      <w:r w:rsidR="00F25C8A" w:rsidRPr="00807B4A">
        <w:rPr>
          <w:rFonts w:cs="Times New Roman"/>
          <w:szCs w:val="24"/>
        </w:rPr>
        <w:t>, 511., 512. </w:t>
      </w:r>
      <w:r w:rsidR="00C5657E" w:rsidRPr="00807B4A">
        <w:rPr>
          <w:rFonts w:cs="Times New Roman"/>
          <w:szCs w:val="24"/>
        </w:rPr>
        <w:t>pantu</w:t>
      </w:r>
      <w:r w:rsidR="00F25C8A" w:rsidRPr="00807B4A">
        <w:rPr>
          <w:rFonts w:cs="Times New Roman"/>
          <w:szCs w:val="24"/>
        </w:rPr>
        <w:t xml:space="preserve"> un 564. panta ceturto daļu.</w:t>
      </w:r>
    </w:p>
    <w:p w14:paraId="265E6A49" w14:textId="7F96C3A6" w:rsidR="00B04BBC" w:rsidRPr="00807B4A" w:rsidRDefault="00B04BBC" w:rsidP="000E07E0">
      <w:pPr>
        <w:widowControl w:val="0"/>
        <w:tabs>
          <w:tab w:val="left" w:pos="1710"/>
        </w:tabs>
        <w:spacing w:after="0" w:line="276" w:lineRule="auto"/>
        <w:ind w:firstLine="720"/>
        <w:jc w:val="both"/>
        <w:rPr>
          <w:rFonts w:cs="Times New Roman"/>
          <w:szCs w:val="24"/>
        </w:rPr>
      </w:pPr>
      <w:r w:rsidRPr="00807B4A">
        <w:rPr>
          <w:rFonts w:cs="Times New Roman"/>
          <w:szCs w:val="24"/>
        </w:rPr>
        <w:t>Kasācijas sūdzību aizstāv</w:t>
      </w:r>
      <w:r w:rsidR="00481EE6" w:rsidRPr="00807B4A">
        <w:rPr>
          <w:rFonts w:cs="Times New Roman"/>
          <w:szCs w:val="24"/>
        </w:rPr>
        <w:t>e</w:t>
      </w:r>
      <w:r w:rsidRPr="00807B4A">
        <w:rPr>
          <w:rFonts w:cs="Times New Roman"/>
          <w:szCs w:val="24"/>
        </w:rPr>
        <w:t xml:space="preserve"> pamatoj</w:t>
      </w:r>
      <w:r w:rsidR="00481EE6" w:rsidRPr="00807B4A">
        <w:rPr>
          <w:rFonts w:cs="Times New Roman"/>
          <w:szCs w:val="24"/>
        </w:rPr>
        <w:t>usi</w:t>
      </w:r>
      <w:r w:rsidRPr="00807B4A">
        <w:rPr>
          <w:rFonts w:cs="Times New Roman"/>
          <w:szCs w:val="24"/>
        </w:rPr>
        <w:t xml:space="preserve"> ar šādiem argumentiem.</w:t>
      </w:r>
    </w:p>
    <w:p w14:paraId="44FB9159" w14:textId="4F808BC2" w:rsidR="009C3D9D" w:rsidRPr="00807B4A" w:rsidRDefault="00B04BBC" w:rsidP="000E07E0">
      <w:pPr>
        <w:widowControl w:val="0"/>
        <w:tabs>
          <w:tab w:val="left" w:pos="1710"/>
        </w:tabs>
        <w:spacing w:after="0" w:line="276" w:lineRule="auto"/>
        <w:ind w:firstLine="720"/>
        <w:jc w:val="both"/>
        <w:rPr>
          <w:rFonts w:cs="Times New Roman"/>
          <w:szCs w:val="24"/>
        </w:rPr>
      </w:pPr>
      <w:r w:rsidRPr="00807B4A">
        <w:rPr>
          <w:rFonts w:cs="Times New Roman"/>
          <w:szCs w:val="24"/>
        </w:rPr>
        <w:t>[4.1]</w:t>
      </w:r>
      <w:r w:rsidR="00666788" w:rsidRPr="00807B4A">
        <w:rPr>
          <w:rFonts w:cs="Times New Roman"/>
          <w:szCs w:val="24"/>
        </w:rPr>
        <w:t> </w:t>
      </w:r>
      <w:r w:rsidR="00F25C8A" w:rsidRPr="00807B4A">
        <w:rPr>
          <w:rFonts w:cs="Times New Roman"/>
          <w:szCs w:val="24"/>
        </w:rPr>
        <w:t>Apelācijas instances tiesa</w:t>
      </w:r>
      <w:r w:rsidR="009C3D9D" w:rsidRPr="00807B4A">
        <w:rPr>
          <w:rFonts w:cs="Times New Roman"/>
          <w:szCs w:val="24"/>
        </w:rPr>
        <w:t xml:space="preserve">, atzīstot </w:t>
      </w:r>
      <w:r w:rsidR="001656B2">
        <w:rPr>
          <w:rFonts w:cs="Times New Roman"/>
          <w:szCs w:val="24"/>
        </w:rPr>
        <w:t>[pers. A]</w:t>
      </w:r>
      <w:r w:rsidR="009C3D9D" w:rsidRPr="00807B4A">
        <w:rPr>
          <w:rFonts w:cs="Times New Roman"/>
          <w:szCs w:val="24"/>
        </w:rPr>
        <w:t xml:space="preserve"> par vainīgu Krimināllikuma 179. panta trešajā daļā paredzētajos noziedzīgajos nodarījumos, </w:t>
      </w:r>
      <w:r w:rsidR="00F25C8A" w:rsidRPr="00807B4A">
        <w:rPr>
          <w:rFonts w:cs="Times New Roman"/>
          <w:szCs w:val="24"/>
        </w:rPr>
        <w:t xml:space="preserve">nepamatoti </w:t>
      </w:r>
      <w:r w:rsidR="009C3D9D" w:rsidRPr="00807B4A">
        <w:rPr>
          <w:rFonts w:cs="Times New Roman"/>
          <w:szCs w:val="24"/>
        </w:rPr>
        <w:t>secinājusi</w:t>
      </w:r>
      <w:r w:rsidR="00F25C8A" w:rsidRPr="00807B4A">
        <w:rPr>
          <w:rFonts w:cs="Times New Roman"/>
          <w:szCs w:val="24"/>
        </w:rPr>
        <w:t xml:space="preserve">, ka </w:t>
      </w:r>
      <w:r w:rsidR="001656B2">
        <w:rPr>
          <w:rFonts w:cs="Times New Roman"/>
          <w:szCs w:val="24"/>
        </w:rPr>
        <w:t>[pers. A]</w:t>
      </w:r>
      <w:r w:rsidR="00F25C8A" w:rsidRPr="00807B4A">
        <w:rPr>
          <w:rFonts w:cs="Times New Roman"/>
          <w:szCs w:val="24"/>
        </w:rPr>
        <w:t xml:space="preserve"> rīcība, izsoles sludinājumos norādot, ka izsoles nodrošinājuma summa iemaksājama </w:t>
      </w:r>
      <w:r w:rsidR="009C3D9D" w:rsidRPr="00807B4A">
        <w:rPr>
          <w:rFonts w:cs="Times New Roman"/>
          <w:szCs w:val="24"/>
        </w:rPr>
        <w:t>viņas</w:t>
      </w:r>
      <w:r w:rsidR="00F25C8A" w:rsidRPr="00807B4A">
        <w:rPr>
          <w:rFonts w:cs="Times New Roman"/>
          <w:szCs w:val="24"/>
        </w:rPr>
        <w:t xml:space="preserve"> bankas kontā, neatbilst Maksātnespējas likuma 1</w:t>
      </w:r>
      <w:r w:rsidR="009C3D9D" w:rsidRPr="00807B4A">
        <w:rPr>
          <w:rFonts w:cs="Times New Roman"/>
          <w:szCs w:val="24"/>
        </w:rPr>
        <w:t>35</w:t>
      </w:r>
      <w:r w:rsidR="00F25C8A" w:rsidRPr="00807B4A">
        <w:rPr>
          <w:rFonts w:cs="Times New Roman"/>
          <w:szCs w:val="24"/>
        </w:rPr>
        <w:t>.</w:t>
      </w:r>
      <w:r w:rsidR="009C3D9D" w:rsidRPr="00807B4A">
        <w:rPr>
          <w:rFonts w:cs="Times New Roman"/>
          <w:szCs w:val="24"/>
        </w:rPr>
        <w:t> </w:t>
      </w:r>
      <w:r w:rsidR="00F25C8A" w:rsidRPr="00807B4A">
        <w:rPr>
          <w:rFonts w:cs="Times New Roman"/>
          <w:szCs w:val="24"/>
        </w:rPr>
        <w:t>panta septītajai daļai (likuma redakcijā, kas bija spēkā līdz 2010.</w:t>
      </w:r>
      <w:r w:rsidR="009C3D9D" w:rsidRPr="00807B4A">
        <w:rPr>
          <w:rFonts w:cs="Times New Roman"/>
          <w:szCs w:val="24"/>
        </w:rPr>
        <w:t> </w:t>
      </w:r>
      <w:r w:rsidR="00F25C8A" w:rsidRPr="00807B4A">
        <w:rPr>
          <w:rFonts w:cs="Times New Roman"/>
          <w:szCs w:val="24"/>
        </w:rPr>
        <w:t>gada 31.</w:t>
      </w:r>
      <w:r w:rsidR="009C3D9D" w:rsidRPr="00807B4A">
        <w:rPr>
          <w:rFonts w:cs="Times New Roman"/>
          <w:szCs w:val="24"/>
        </w:rPr>
        <w:t> </w:t>
      </w:r>
      <w:r w:rsidR="00F25C8A" w:rsidRPr="00807B4A">
        <w:rPr>
          <w:rFonts w:cs="Times New Roman"/>
          <w:szCs w:val="24"/>
        </w:rPr>
        <w:t>oktobrim).</w:t>
      </w:r>
    </w:p>
    <w:p w14:paraId="73A049EF" w14:textId="3265686D" w:rsidR="008B4FAA" w:rsidRPr="00807B4A" w:rsidRDefault="009C3D9D" w:rsidP="000E07E0">
      <w:pPr>
        <w:widowControl w:val="0"/>
        <w:tabs>
          <w:tab w:val="left" w:pos="1710"/>
        </w:tabs>
        <w:spacing w:after="0" w:line="276" w:lineRule="auto"/>
        <w:ind w:firstLine="720"/>
        <w:jc w:val="both"/>
        <w:rPr>
          <w:rFonts w:cs="Times New Roman"/>
          <w:szCs w:val="24"/>
        </w:rPr>
      </w:pPr>
      <w:r w:rsidRPr="00807B4A">
        <w:rPr>
          <w:rFonts w:cs="Times New Roman"/>
          <w:szCs w:val="24"/>
        </w:rPr>
        <w:t>Saskaņā ar Maksātnespējas likuma 175. panta trešo daļu</w:t>
      </w:r>
      <w:r w:rsidR="00E16D69" w:rsidRPr="00807B4A">
        <w:rPr>
          <w:rFonts w:cs="Times New Roman"/>
          <w:szCs w:val="24"/>
        </w:rPr>
        <w:t xml:space="preserve"> (likuma redakcijā, kas bija spēkā līdz 2010.</w:t>
      </w:r>
      <w:r w:rsidR="00807B4A">
        <w:rPr>
          <w:rFonts w:cs="Times New Roman"/>
          <w:szCs w:val="24"/>
        </w:rPr>
        <w:t> </w:t>
      </w:r>
      <w:r w:rsidR="00E16D69" w:rsidRPr="00807B4A">
        <w:rPr>
          <w:rFonts w:cs="Times New Roman"/>
          <w:szCs w:val="24"/>
        </w:rPr>
        <w:t>gada 31. oktobrim)</w:t>
      </w:r>
      <w:r w:rsidRPr="00807B4A">
        <w:rPr>
          <w:rFonts w:cs="Times New Roman"/>
          <w:szCs w:val="24"/>
        </w:rPr>
        <w:t xml:space="preserve"> Civilprocesa likumā noteiktās tiesu izpildītāja darbības saistībā ar fiziskas personas mantas, tajā skaitā par nodrošinājumu kalpojošās (ieķīlātās) mantas, izsoli veic administrators. </w:t>
      </w:r>
      <w:r w:rsidR="005D22CC" w:rsidRPr="00807B4A">
        <w:rPr>
          <w:rFonts w:cs="Times New Roman"/>
          <w:szCs w:val="24"/>
        </w:rPr>
        <w:t xml:space="preserve">Savukārt Civilprocesa likuma 606. panta trešās daļas 9. punkts noteic, ka sludinājumā par nekustamā īpašuma izsoli norāda nodrošinājuma summu, kas iemaksājama tiesu izpildītāja depozīta kontā. Tādējādi </w:t>
      </w:r>
      <w:r w:rsidR="000550C3">
        <w:rPr>
          <w:rFonts w:cs="Times New Roman"/>
          <w:szCs w:val="24"/>
        </w:rPr>
        <w:t>[pers. A]</w:t>
      </w:r>
      <w:r w:rsidR="005D22CC" w:rsidRPr="00807B4A">
        <w:rPr>
          <w:rFonts w:cs="Times New Roman"/>
          <w:szCs w:val="24"/>
        </w:rPr>
        <w:t xml:space="preserve"> sludinājumā par izsoli pamatoti norādījusi, ka nauda ir iemaksājama maksātnespējas administratora kontā. Maksātnespējas likuma 135. panta septītā daļa (likuma redakcijā</w:t>
      </w:r>
      <w:r w:rsidR="00E16D69" w:rsidRPr="00807B4A">
        <w:rPr>
          <w:rFonts w:cs="Times New Roman"/>
          <w:szCs w:val="24"/>
        </w:rPr>
        <w:t>, kas bija spēkā</w:t>
      </w:r>
      <w:r w:rsidR="005D22CC" w:rsidRPr="00807B4A">
        <w:rPr>
          <w:rFonts w:cs="Times New Roman"/>
          <w:szCs w:val="24"/>
        </w:rPr>
        <w:t xml:space="preserve"> līdz 2010.</w:t>
      </w:r>
      <w:r w:rsidR="008B4FAA" w:rsidRPr="00807B4A">
        <w:rPr>
          <w:rFonts w:cs="Times New Roman"/>
          <w:szCs w:val="24"/>
        </w:rPr>
        <w:t> </w:t>
      </w:r>
      <w:r w:rsidR="005D22CC" w:rsidRPr="00807B4A">
        <w:rPr>
          <w:rFonts w:cs="Times New Roman"/>
          <w:szCs w:val="24"/>
        </w:rPr>
        <w:t>gada 31.</w:t>
      </w:r>
      <w:r w:rsidR="008B4FAA" w:rsidRPr="00807B4A">
        <w:rPr>
          <w:rFonts w:cs="Times New Roman"/>
          <w:szCs w:val="24"/>
        </w:rPr>
        <w:t> </w:t>
      </w:r>
      <w:r w:rsidR="005D22CC" w:rsidRPr="00807B4A">
        <w:rPr>
          <w:rFonts w:cs="Times New Roman"/>
          <w:szCs w:val="24"/>
        </w:rPr>
        <w:t>oktobrim), uz kuru atsaukusies tiesa, neattiecas uz fiziskajām</w:t>
      </w:r>
      <w:r w:rsidR="008B4FAA" w:rsidRPr="00807B4A">
        <w:rPr>
          <w:rFonts w:cs="Times New Roman"/>
          <w:szCs w:val="24"/>
        </w:rPr>
        <w:t>, bet uz juridiskajām personām.</w:t>
      </w:r>
    </w:p>
    <w:p w14:paraId="70E64241" w14:textId="0FBAD260" w:rsidR="00454A92" w:rsidRDefault="008B4FAA" w:rsidP="000E07E0">
      <w:pPr>
        <w:widowControl w:val="0"/>
        <w:tabs>
          <w:tab w:val="left" w:pos="1710"/>
        </w:tabs>
        <w:spacing w:after="0" w:line="276" w:lineRule="auto"/>
        <w:ind w:firstLine="720"/>
        <w:jc w:val="both"/>
        <w:rPr>
          <w:rFonts w:eastAsia="Times New Roman" w:cs="Times New Roman"/>
          <w:szCs w:val="24"/>
        </w:rPr>
      </w:pPr>
      <w:r w:rsidRPr="00807B4A">
        <w:rPr>
          <w:rFonts w:cs="Times New Roman"/>
          <w:szCs w:val="24"/>
        </w:rPr>
        <w:t>[4.2]</w:t>
      </w:r>
      <w:r w:rsidR="007C613E" w:rsidRPr="00807B4A">
        <w:rPr>
          <w:rFonts w:cs="Times New Roman"/>
          <w:szCs w:val="24"/>
        </w:rPr>
        <w:t> </w:t>
      </w:r>
      <w:r w:rsidRPr="00807B4A">
        <w:rPr>
          <w:rFonts w:cs="Times New Roman"/>
          <w:szCs w:val="24"/>
        </w:rPr>
        <w:t xml:space="preserve">Apelācijas instances tiesa nav izvērtējusi aizstāves apelācijas sūdzības argumentus par to, ka no pirmās instances tiesas sprieduma nav iespējams izsecināt, ar kuru datumu apsūdzētā </w:t>
      </w:r>
      <w:r w:rsidR="000550C3">
        <w:rPr>
          <w:rFonts w:cs="Times New Roman"/>
          <w:szCs w:val="24"/>
        </w:rPr>
        <w:t>[pers. A]</w:t>
      </w:r>
      <w:r w:rsidRPr="00807B4A">
        <w:rPr>
          <w:rFonts w:cs="Times New Roman"/>
          <w:szCs w:val="24"/>
        </w:rPr>
        <w:t xml:space="preserve"> saskaņā ar spēkā esošajiem likumiem ieguva amatpersonas statusu. Pirmās instances tiesa spriedumā atzinusi, ka </w:t>
      </w:r>
      <w:r w:rsidR="00454A92" w:rsidRPr="00807B4A">
        <w:rPr>
          <w:rFonts w:cs="Times New Roman"/>
          <w:szCs w:val="24"/>
        </w:rPr>
        <w:t>saskaņā ar Maksātnespējas likuma 9. panta pirmo daļu apsūdzētā ir uzskatāma par valsts amatpersonu kopš 20</w:t>
      </w:r>
      <w:r w:rsidR="00454A92">
        <w:rPr>
          <w:rFonts w:eastAsia="Times New Roman" w:cs="Times New Roman"/>
          <w:szCs w:val="24"/>
        </w:rPr>
        <w:t xml:space="preserve">15. gada 1. marta. Vienlaikus tiesa spriedumā norādījusi, ka atbilstoši likuma </w:t>
      </w:r>
      <w:r w:rsidR="007C613E">
        <w:rPr>
          <w:rFonts w:eastAsia="Times New Roman" w:cs="Times New Roman"/>
          <w:szCs w:val="24"/>
        </w:rPr>
        <w:t>„</w:t>
      </w:r>
      <w:r w:rsidR="00454A92">
        <w:rPr>
          <w:rFonts w:eastAsia="Times New Roman" w:cs="Times New Roman"/>
          <w:szCs w:val="24"/>
        </w:rPr>
        <w:t>Par interešu konflikta novēršanu valsts amatpersonu darbībā” 4. panta 26. punktam maksātnespējas administratori tika pielīdzināti valsts amatpersonām no 2016. gada 1. janvāra.</w:t>
      </w:r>
    </w:p>
    <w:p w14:paraId="29B1C105" w14:textId="5DE488D9" w:rsidR="00336CF9" w:rsidRDefault="00454A92" w:rsidP="000E07E0">
      <w:pPr>
        <w:widowControl w:val="0"/>
        <w:tabs>
          <w:tab w:val="left" w:pos="1710"/>
        </w:tabs>
        <w:spacing w:after="0" w:line="276" w:lineRule="auto"/>
        <w:ind w:firstLine="720"/>
        <w:jc w:val="both"/>
        <w:rPr>
          <w:rFonts w:eastAsia="Times New Roman" w:cs="Times New Roman"/>
          <w:szCs w:val="24"/>
        </w:rPr>
      </w:pPr>
      <w:r>
        <w:rPr>
          <w:rFonts w:eastAsia="Times New Roman" w:cs="Times New Roman"/>
          <w:szCs w:val="24"/>
        </w:rPr>
        <w:t>[4.3] </w:t>
      </w:r>
      <w:r w:rsidR="00D016CE">
        <w:rPr>
          <w:rFonts w:eastAsia="Times New Roman" w:cs="Times New Roman"/>
          <w:szCs w:val="24"/>
        </w:rPr>
        <w:t xml:space="preserve">Apelācijas instances tiesa </w:t>
      </w:r>
      <w:r w:rsidR="008F34BA">
        <w:rPr>
          <w:rFonts w:eastAsia="Times New Roman" w:cs="Times New Roman"/>
          <w:szCs w:val="24"/>
        </w:rPr>
        <w:t xml:space="preserve">saistībā ar </w:t>
      </w:r>
      <w:r w:rsidR="000550C3">
        <w:rPr>
          <w:rFonts w:eastAsia="Times New Roman" w:cs="Times New Roman"/>
          <w:szCs w:val="24"/>
        </w:rPr>
        <w:t>[pers. B]</w:t>
      </w:r>
      <w:r w:rsidR="008F34BA">
        <w:rPr>
          <w:rFonts w:eastAsia="Times New Roman" w:cs="Times New Roman"/>
          <w:szCs w:val="24"/>
        </w:rPr>
        <w:t xml:space="preserve"> maksātnespējas procesu </w:t>
      </w:r>
      <w:r w:rsidR="00D016CE">
        <w:rPr>
          <w:rFonts w:eastAsia="Times New Roman" w:cs="Times New Roman"/>
          <w:szCs w:val="24"/>
        </w:rPr>
        <w:t xml:space="preserve">nepamatoti atzinusi, ka </w:t>
      </w:r>
      <w:r w:rsidR="000550C3">
        <w:rPr>
          <w:rFonts w:eastAsia="Times New Roman" w:cs="Times New Roman"/>
          <w:szCs w:val="24"/>
        </w:rPr>
        <w:t>[pers. A]</w:t>
      </w:r>
      <w:r w:rsidR="00D016CE">
        <w:rPr>
          <w:rFonts w:eastAsia="Times New Roman" w:cs="Times New Roman"/>
          <w:szCs w:val="24"/>
        </w:rPr>
        <w:t>, ļaunprātīgi izmantojot dienesta stāvokli, prettiesiski ieguva naudas līdzekļus 121 669,37</w:t>
      </w:r>
      <w:r w:rsidR="00AD7E14">
        <w:rPr>
          <w:rFonts w:eastAsia="Times New Roman" w:cs="Times New Roman"/>
          <w:szCs w:val="24"/>
        </w:rPr>
        <w:t> </w:t>
      </w:r>
      <w:r w:rsidR="00D016CE">
        <w:rPr>
          <w:rFonts w:eastAsia="Times New Roman" w:cs="Times New Roman"/>
          <w:i/>
          <w:iCs/>
          <w:szCs w:val="24"/>
        </w:rPr>
        <w:t>euro.</w:t>
      </w:r>
      <w:r w:rsidR="00D016CE">
        <w:rPr>
          <w:rFonts w:eastAsia="Times New Roman" w:cs="Times New Roman"/>
          <w:szCs w:val="24"/>
        </w:rPr>
        <w:t xml:space="preserve"> Pati tiesa konstatējusi, ka 2016. gada 1. jūnijā </w:t>
      </w:r>
      <w:r w:rsidR="000550C3">
        <w:rPr>
          <w:rFonts w:eastAsia="Times New Roman" w:cs="Times New Roman"/>
          <w:szCs w:val="24"/>
        </w:rPr>
        <w:t>[pers. A]</w:t>
      </w:r>
      <w:r w:rsidR="00D016CE">
        <w:rPr>
          <w:rFonts w:eastAsia="Times New Roman" w:cs="Times New Roman"/>
          <w:szCs w:val="24"/>
        </w:rPr>
        <w:t xml:space="preserve"> bankas kontā bija 46 769,37</w:t>
      </w:r>
      <w:r w:rsidR="00AD7E14">
        <w:rPr>
          <w:rFonts w:eastAsia="Times New Roman" w:cs="Times New Roman"/>
          <w:szCs w:val="24"/>
        </w:rPr>
        <w:t> </w:t>
      </w:r>
      <w:r w:rsidR="00D016CE">
        <w:rPr>
          <w:rFonts w:eastAsia="Times New Roman" w:cs="Times New Roman"/>
          <w:i/>
          <w:iCs/>
          <w:szCs w:val="24"/>
        </w:rPr>
        <w:t>euro</w:t>
      </w:r>
      <w:r w:rsidR="00D016CE">
        <w:rPr>
          <w:rFonts w:eastAsia="Times New Roman" w:cs="Times New Roman"/>
          <w:szCs w:val="24"/>
        </w:rPr>
        <w:t xml:space="preserve">, kurus viņa 2016. gada 2. jūnijā pārskaitīja cietušajam </w:t>
      </w:r>
      <w:r w:rsidR="000550C3">
        <w:rPr>
          <w:rFonts w:eastAsia="Times New Roman" w:cs="Times New Roman"/>
          <w:szCs w:val="24"/>
        </w:rPr>
        <w:t>[pers. C]</w:t>
      </w:r>
      <w:r w:rsidR="00D016CE">
        <w:rPr>
          <w:rFonts w:eastAsia="Times New Roman" w:cs="Times New Roman"/>
          <w:szCs w:val="24"/>
        </w:rPr>
        <w:t xml:space="preserve">. </w:t>
      </w:r>
      <w:r w:rsidR="00336CF9">
        <w:rPr>
          <w:rFonts w:eastAsia="Times New Roman" w:cs="Times New Roman"/>
          <w:szCs w:val="24"/>
        </w:rPr>
        <w:t>Turklāt lietā noskaidrots, ka 60 000</w:t>
      </w:r>
      <w:r w:rsidR="00AD7E14">
        <w:rPr>
          <w:rFonts w:eastAsia="Times New Roman" w:cs="Times New Roman"/>
          <w:szCs w:val="24"/>
        </w:rPr>
        <w:t> </w:t>
      </w:r>
      <w:r w:rsidR="00336CF9">
        <w:rPr>
          <w:rFonts w:eastAsia="Times New Roman" w:cs="Times New Roman"/>
          <w:i/>
          <w:iCs/>
          <w:szCs w:val="24"/>
        </w:rPr>
        <w:t xml:space="preserve">euro </w:t>
      </w:r>
      <w:r w:rsidR="00336CF9">
        <w:rPr>
          <w:rFonts w:eastAsia="Times New Roman" w:cs="Times New Roman"/>
          <w:szCs w:val="24"/>
        </w:rPr>
        <w:t xml:space="preserve">no </w:t>
      </w:r>
      <w:r w:rsidR="000550C3">
        <w:rPr>
          <w:rFonts w:eastAsia="Times New Roman" w:cs="Times New Roman"/>
          <w:szCs w:val="24"/>
        </w:rPr>
        <w:t>[pers. A]</w:t>
      </w:r>
      <w:r w:rsidR="00336CF9">
        <w:rPr>
          <w:rFonts w:eastAsia="Times New Roman" w:cs="Times New Roman"/>
          <w:szCs w:val="24"/>
        </w:rPr>
        <w:t xml:space="preserve"> inkriminētās prettiesiski iegūtās naudas summas piederēja </w:t>
      </w:r>
      <w:r w:rsidR="000550C3">
        <w:rPr>
          <w:rFonts w:eastAsia="Times New Roman" w:cs="Times New Roman"/>
          <w:szCs w:val="24"/>
        </w:rPr>
        <w:t>[pers. </w:t>
      </w:r>
      <w:r w:rsidR="000550C3">
        <w:t>D]</w:t>
      </w:r>
      <w:r w:rsidR="00336CF9">
        <w:rPr>
          <w:rFonts w:eastAsia="Times New Roman" w:cs="Times New Roman"/>
          <w:szCs w:val="24"/>
        </w:rPr>
        <w:t xml:space="preserve">, līdz ar to tiesai nebija tiesiska pamata atzīt, ka </w:t>
      </w:r>
      <w:r w:rsidR="000550C3">
        <w:rPr>
          <w:rFonts w:eastAsia="Times New Roman" w:cs="Times New Roman"/>
          <w:szCs w:val="24"/>
        </w:rPr>
        <w:t>[pers. A]</w:t>
      </w:r>
      <w:r w:rsidR="00336CF9">
        <w:rPr>
          <w:rFonts w:eastAsia="Times New Roman" w:cs="Times New Roman"/>
          <w:szCs w:val="24"/>
        </w:rPr>
        <w:t xml:space="preserve"> ir piesavinājusies </w:t>
      </w:r>
      <w:r w:rsidR="000550C3">
        <w:rPr>
          <w:rFonts w:eastAsia="Times New Roman" w:cs="Times New Roman"/>
          <w:szCs w:val="24"/>
        </w:rPr>
        <w:t>[pers. C]</w:t>
      </w:r>
      <w:r w:rsidR="00336CF9">
        <w:rPr>
          <w:rFonts w:eastAsia="Times New Roman" w:cs="Times New Roman"/>
          <w:szCs w:val="24"/>
        </w:rPr>
        <w:t xml:space="preserve"> naudas līdzekļus minētajā apjomā.</w:t>
      </w:r>
    </w:p>
    <w:p w14:paraId="7054F576" w14:textId="7BB407BE" w:rsidR="008B4FAA" w:rsidRDefault="00336CF9" w:rsidP="000E07E0">
      <w:pPr>
        <w:widowControl w:val="0"/>
        <w:tabs>
          <w:tab w:val="left" w:pos="1710"/>
        </w:tabs>
        <w:spacing w:after="0" w:line="276" w:lineRule="auto"/>
        <w:ind w:firstLine="720"/>
        <w:jc w:val="both"/>
        <w:rPr>
          <w:rFonts w:eastAsia="Times New Roman" w:cs="Times New Roman"/>
          <w:szCs w:val="24"/>
        </w:rPr>
      </w:pPr>
      <w:r>
        <w:rPr>
          <w:rFonts w:eastAsia="Times New Roman" w:cs="Times New Roman"/>
          <w:szCs w:val="24"/>
        </w:rPr>
        <w:t xml:space="preserve">[4.4] Nosakot apsūdzētajai </w:t>
      </w:r>
      <w:r w:rsidR="000550C3">
        <w:rPr>
          <w:rFonts w:eastAsia="Times New Roman" w:cs="Times New Roman"/>
          <w:szCs w:val="24"/>
        </w:rPr>
        <w:t>[pers. A]</w:t>
      </w:r>
      <w:r>
        <w:rPr>
          <w:rFonts w:eastAsia="Times New Roman" w:cs="Times New Roman"/>
          <w:szCs w:val="24"/>
        </w:rPr>
        <w:t xml:space="preserve"> sodu brīvības atņemšanas veidā, tiesa nav vadījusies </w:t>
      </w:r>
      <w:r w:rsidR="00525CB2">
        <w:rPr>
          <w:rFonts w:eastAsia="Times New Roman" w:cs="Times New Roman"/>
          <w:szCs w:val="24"/>
        </w:rPr>
        <w:t xml:space="preserve">no </w:t>
      </w:r>
      <w:r>
        <w:rPr>
          <w:rFonts w:eastAsia="Times New Roman" w:cs="Times New Roman"/>
          <w:szCs w:val="24"/>
        </w:rPr>
        <w:t>vienotās sodu politikas Latvijā. Atbilstoši šai politikai par līdzīgiem noziedzīgiem nodarījumiem gadījumos, kad radītais kaitējums</w:t>
      </w:r>
      <w:proofErr w:type="gramStart"/>
      <w:r>
        <w:rPr>
          <w:rFonts w:eastAsia="Times New Roman" w:cs="Times New Roman"/>
          <w:szCs w:val="24"/>
        </w:rPr>
        <w:t xml:space="preserve"> pilnībā atlīdzināts</w:t>
      </w:r>
      <w:proofErr w:type="gramEnd"/>
      <w:r>
        <w:rPr>
          <w:rFonts w:eastAsia="Times New Roman" w:cs="Times New Roman"/>
          <w:szCs w:val="24"/>
        </w:rPr>
        <w:t xml:space="preserve">, </w:t>
      </w:r>
      <w:r>
        <w:rPr>
          <w:rFonts w:eastAsia="Times New Roman" w:cs="Times New Roman"/>
          <w:szCs w:val="24"/>
        </w:rPr>
        <w:lastRenderedPageBreak/>
        <w:t>personas, tai skaitā valsts amatpersonas, tiek notiesātas nosacīti.</w:t>
      </w:r>
      <w:r w:rsidR="00525CB2">
        <w:rPr>
          <w:rFonts w:eastAsia="Times New Roman" w:cs="Times New Roman"/>
          <w:szCs w:val="24"/>
        </w:rPr>
        <w:t xml:space="preserve"> Turklāt tiesa nav pamatojusi, kādi apstākļi tai radījuši pārliecību, ka apsūdzētā varētu turpināt izdarīt noziedzīgus nodarījumus.</w:t>
      </w:r>
    </w:p>
    <w:p w14:paraId="7126BFEB" w14:textId="5132EE34" w:rsidR="00CE2712" w:rsidRDefault="00CE2712" w:rsidP="000E07E0">
      <w:pPr>
        <w:widowControl w:val="0"/>
        <w:tabs>
          <w:tab w:val="left" w:pos="1710"/>
        </w:tabs>
        <w:spacing w:after="0" w:line="276" w:lineRule="auto"/>
        <w:ind w:firstLine="720"/>
        <w:jc w:val="both"/>
        <w:rPr>
          <w:rFonts w:eastAsia="Times New Roman" w:cs="Times New Roman"/>
          <w:szCs w:val="24"/>
        </w:rPr>
      </w:pPr>
    </w:p>
    <w:p w14:paraId="635376CC" w14:textId="77777777" w:rsidR="00514398" w:rsidRDefault="00F43AEE" w:rsidP="000E07E0">
      <w:pPr>
        <w:widowControl w:val="0"/>
        <w:tabs>
          <w:tab w:val="left" w:pos="1710"/>
        </w:tabs>
        <w:spacing w:after="0" w:line="276" w:lineRule="auto"/>
        <w:jc w:val="center"/>
        <w:rPr>
          <w:rFonts w:cs="Times New Roman"/>
          <w:b/>
          <w:szCs w:val="24"/>
        </w:rPr>
      </w:pPr>
      <w:r w:rsidRPr="00373BFA">
        <w:rPr>
          <w:rFonts w:cs="Times New Roman"/>
          <w:b/>
          <w:szCs w:val="24"/>
        </w:rPr>
        <w:t>Motīvu daļa</w:t>
      </w:r>
    </w:p>
    <w:p w14:paraId="134A80C0" w14:textId="77777777" w:rsidR="00514398" w:rsidRDefault="00514398" w:rsidP="000E07E0">
      <w:pPr>
        <w:widowControl w:val="0"/>
        <w:tabs>
          <w:tab w:val="left" w:pos="1710"/>
        </w:tabs>
        <w:spacing w:after="0" w:line="276" w:lineRule="auto"/>
        <w:ind w:firstLine="720"/>
        <w:jc w:val="center"/>
        <w:rPr>
          <w:rFonts w:cs="Times New Roman"/>
          <w:b/>
          <w:szCs w:val="24"/>
        </w:rPr>
      </w:pPr>
    </w:p>
    <w:p w14:paraId="322C4793" w14:textId="60987903" w:rsidR="00514398" w:rsidRPr="00514398" w:rsidRDefault="004D2627" w:rsidP="000E07E0">
      <w:pPr>
        <w:widowControl w:val="0"/>
        <w:tabs>
          <w:tab w:val="left" w:pos="1710"/>
        </w:tabs>
        <w:spacing w:after="0" w:line="276" w:lineRule="auto"/>
        <w:ind w:firstLine="720"/>
        <w:jc w:val="both"/>
        <w:rPr>
          <w:rFonts w:cs="Times New Roman"/>
          <w:b/>
          <w:szCs w:val="24"/>
        </w:rPr>
      </w:pPr>
      <w:r w:rsidRPr="00355627">
        <w:rPr>
          <w:rFonts w:asciiTheme="majorBidi" w:hAnsiTheme="majorBidi" w:cstheme="majorBidi"/>
          <w:szCs w:val="24"/>
        </w:rPr>
        <w:t>[5]</w:t>
      </w:r>
      <w:r w:rsidR="00666788" w:rsidRPr="00355627">
        <w:rPr>
          <w:rFonts w:asciiTheme="majorBidi" w:hAnsiTheme="majorBidi" w:cstheme="majorBidi"/>
          <w:szCs w:val="24"/>
        </w:rPr>
        <w:t> </w:t>
      </w:r>
      <w:r w:rsidRPr="00355627">
        <w:rPr>
          <w:rFonts w:asciiTheme="majorBidi" w:hAnsiTheme="majorBidi" w:cstheme="majorBidi"/>
          <w:szCs w:val="24"/>
        </w:rPr>
        <w:t>Senāts atzīst, ka Rīgas apgabaltiesas 202</w:t>
      </w:r>
      <w:r w:rsidR="00525CB2" w:rsidRPr="00355627">
        <w:rPr>
          <w:rFonts w:asciiTheme="majorBidi" w:hAnsiTheme="majorBidi" w:cstheme="majorBidi"/>
          <w:szCs w:val="24"/>
        </w:rPr>
        <w:t>2</w:t>
      </w:r>
      <w:r w:rsidRPr="00355627">
        <w:rPr>
          <w:rFonts w:asciiTheme="majorBidi" w:hAnsiTheme="majorBidi" w:cstheme="majorBidi"/>
          <w:szCs w:val="24"/>
        </w:rPr>
        <w:t>.</w:t>
      </w:r>
      <w:r w:rsidR="00525CB2" w:rsidRPr="00355627">
        <w:rPr>
          <w:rFonts w:asciiTheme="majorBidi" w:hAnsiTheme="majorBidi" w:cstheme="majorBidi"/>
          <w:szCs w:val="24"/>
        </w:rPr>
        <w:t> </w:t>
      </w:r>
      <w:r w:rsidRPr="00355627">
        <w:rPr>
          <w:rFonts w:asciiTheme="majorBidi" w:hAnsiTheme="majorBidi" w:cstheme="majorBidi"/>
          <w:szCs w:val="24"/>
        </w:rPr>
        <w:t>gada</w:t>
      </w:r>
      <w:r w:rsidR="00525CB2" w:rsidRPr="00355627">
        <w:rPr>
          <w:rFonts w:asciiTheme="majorBidi" w:hAnsiTheme="majorBidi" w:cstheme="majorBidi"/>
          <w:szCs w:val="24"/>
        </w:rPr>
        <w:t xml:space="preserve"> 11. janvāra</w:t>
      </w:r>
      <w:r w:rsidRPr="00355627">
        <w:rPr>
          <w:rFonts w:asciiTheme="majorBidi" w:hAnsiTheme="majorBidi" w:cstheme="majorBidi"/>
          <w:szCs w:val="24"/>
        </w:rPr>
        <w:t xml:space="preserve"> lēm</w:t>
      </w:r>
      <w:r w:rsidR="0057771B" w:rsidRPr="00355627">
        <w:rPr>
          <w:rFonts w:asciiTheme="majorBidi" w:hAnsiTheme="majorBidi" w:cstheme="majorBidi"/>
          <w:szCs w:val="24"/>
        </w:rPr>
        <w:t>ums</w:t>
      </w:r>
      <w:r w:rsidR="00F40560" w:rsidRPr="00355627">
        <w:rPr>
          <w:rFonts w:asciiTheme="majorBidi" w:hAnsiTheme="majorBidi" w:cstheme="majorBidi"/>
          <w:szCs w:val="24"/>
        </w:rPr>
        <w:t xml:space="preserve"> atceļams</w:t>
      </w:r>
      <w:r w:rsidR="00E16D69">
        <w:rPr>
          <w:rFonts w:asciiTheme="majorBidi" w:hAnsiTheme="majorBidi" w:cstheme="majorBidi"/>
          <w:szCs w:val="24"/>
        </w:rPr>
        <w:t xml:space="preserve"> pilnībā un lieta nosūtāma jaunai izskatīšanai apelācijas instances tiesā.</w:t>
      </w:r>
    </w:p>
    <w:p w14:paraId="7135918F" w14:textId="123D77C6" w:rsidR="00355627" w:rsidRPr="00355627" w:rsidRDefault="00C5614C" w:rsidP="000E07E0">
      <w:pPr>
        <w:pStyle w:val="NoSpacing"/>
        <w:spacing w:line="276" w:lineRule="auto"/>
        <w:ind w:firstLine="720"/>
        <w:jc w:val="both"/>
        <w:rPr>
          <w:rFonts w:asciiTheme="majorBidi" w:hAnsiTheme="majorBidi" w:cstheme="majorBidi"/>
          <w:sz w:val="24"/>
          <w:szCs w:val="24"/>
          <w:lang w:val="lv-LV"/>
        </w:rPr>
      </w:pPr>
      <w:r>
        <w:rPr>
          <w:rFonts w:asciiTheme="majorBidi" w:hAnsiTheme="majorBidi" w:cstheme="majorBidi"/>
          <w:sz w:val="24"/>
          <w:szCs w:val="24"/>
          <w:lang w:val="lv-LV"/>
        </w:rPr>
        <w:t>[5.1]</w:t>
      </w:r>
      <w:r w:rsidR="00807B4A">
        <w:rPr>
          <w:rFonts w:asciiTheme="majorBidi" w:hAnsiTheme="majorBidi" w:cstheme="majorBidi"/>
          <w:sz w:val="24"/>
          <w:szCs w:val="24"/>
          <w:lang w:val="lv-LV"/>
        </w:rPr>
        <w:t> </w:t>
      </w:r>
      <w:r w:rsidR="00355627" w:rsidRPr="00355627">
        <w:rPr>
          <w:rFonts w:asciiTheme="majorBidi" w:hAnsiTheme="majorBidi" w:cstheme="majorBidi"/>
          <w:sz w:val="24"/>
          <w:szCs w:val="24"/>
          <w:lang w:val="lv-LV"/>
        </w:rPr>
        <w:t>Saskaņā ar Kriminālprocesa likuma 562.</w:t>
      </w:r>
      <w:r w:rsidR="00355627">
        <w:rPr>
          <w:rFonts w:asciiTheme="majorBidi" w:hAnsiTheme="majorBidi" w:cstheme="majorBidi"/>
          <w:sz w:val="24"/>
          <w:szCs w:val="24"/>
          <w:lang w:val="lv-LV"/>
        </w:rPr>
        <w:t> </w:t>
      </w:r>
      <w:r w:rsidR="00355627" w:rsidRPr="00355627">
        <w:rPr>
          <w:rFonts w:asciiTheme="majorBidi" w:hAnsiTheme="majorBidi" w:cstheme="majorBidi"/>
          <w:sz w:val="24"/>
          <w:szCs w:val="24"/>
          <w:lang w:val="lv-LV"/>
        </w:rPr>
        <w:t>panta pirmo daļu tiesas izmeklēšana un tiesas debates apelācijas instances tiesā notiek sūdzībā vai protestā noteikto prasību apjomā un ietvaros.</w:t>
      </w:r>
    </w:p>
    <w:p w14:paraId="2F1DFF94" w14:textId="590FAD7A" w:rsidR="00355627" w:rsidRPr="00355627" w:rsidRDefault="00355627" w:rsidP="000E07E0">
      <w:pPr>
        <w:pStyle w:val="NoSpacing"/>
        <w:spacing w:line="276" w:lineRule="auto"/>
        <w:ind w:firstLine="720"/>
        <w:jc w:val="both"/>
        <w:rPr>
          <w:rFonts w:asciiTheme="majorBidi" w:hAnsiTheme="majorBidi" w:cstheme="majorBidi"/>
          <w:sz w:val="24"/>
          <w:szCs w:val="24"/>
          <w:lang w:val="lv-LV"/>
        </w:rPr>
      </w:pPr>
      <w:r w:rsidRPr="00355627">
        <w:rPr>
          <w:rFonts w:asciiTheme="majorBidi" w:hAnsiTheme="majorBidi" w:cstheme="majorBidi"/>
          <w:sz w:val="24"/>
          <w:szCs w:val="24"/>
          <w:lang w:val="lv-LV"/>
        </w:rPr>
        <w:t>Kriminālprocesa likuma 564.</w:t>
      </w:r>
      <w:r>
        <w:rPr>
          <w:rFonts w:asciiTheme="majorBidi" w:hAnsiTheme="majorBidi" w:cstheme="majorBidi"/>
          <w:sz w:val="24"/>
          <w:szCs w:val="24"/>
          <w:lang w:val="lv-LV"/>
        </w:rPr>
        <w:t> </w:t>
      </w:r>
      <w:r w:rsidRPr="00355627">
        <w:rPr>
          <w:rFonts w:asciiTheme="majorBidi" w:hAnsiTheme="majorBidi" w:cstheme="majorBidi"/>
          <w:sz w:val="24"/>
          <w:szCs w:val="24"/>
          <w:lang w:val="lv-LV"/>
        </w:rPr>
        <w:t>panta ceturtajā daļā noteikts, ka apelācijas instances tiesas nolēmuma motīvu daļā jānorāda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2CE2A882" w14:textId="1A202ED4" w:rsidR="00355627" w:rsidRDefault="00355627" w:rsidP="000E07E0">
      <w:pPr>
        <w:pStyle w:val="NoSpacing"/>
        <w:spacing w:line="276" w:lineRule="auto"/>
        <w:ind w:firstLine="720"/>
        <w:jc w:val="both"/>
        <w:rPr>
          <w:rFonts w:asciiTheme="majorBidi" w:hAnsiTheme="majorBidi" w:cstheme="majorBidi"/>
          <w:sz w:val="24"/>
          <w:szCs w:val="24"/>
          <w:lang w:val="lv-LV"/>
        </w:rPr>
      </w:pPr>
      <w:r>
        <w:rPr>
          <w:rFonts w:asciiTheme="majorBidi" w:hAnsiTheme="majorBidi" w:cstheme="majorBidi"/>
          <w:sz w:val="24"/>
          <w:szCs w:val="24"/>
          <w:lang w:val="lv-LV"/>
        </w:rPr>
        <w:t xml:space="preserve">Senāts </w:t>
      </w:r>
      <w:r w:rsidRPr="00355627">
        <w:rPr>
          <w:rFonts w:asciiTheme="majorBidi" w:hAnsiTheme="majorBidi" w:cstheme="majorBidi"/>
          <w:sz w:val="24"/>
          <w:szCs w:val="24"/>
          <w:lang w:val="lv-LV"/>
        </w:rPr>
        <w:t>atzīst, ka apelācijas instances tiesa, iztiesājot krimināllietu,</w:t>
      </w:r>
      <w:r w:rsidR="000379C7">
        <w:rPr>
          <w:rFonts w:asciiTheme="majorBidi" w:hAnsiTheme="majorBidi" w:cstheme="majorBidi"/>
          <w:sz w:val="24"/>
          <w:szCs w:val="24"/>
          <w:lang w:val="lv-LV"/>
        </w:rPr>
        <w:t xml:space="preserve"> šīs</w:t>
      </w:r>
      <w:r w:rsidRPr="00355627">
        <w:rPr>
          <w:rFonts w:asciiTheme="majorBidi" w:hAnsiTheme="majorBidi" w:cstheme="majorBidi"/>
          <w:sz w:val="24"/>
          <w:szCs w:val="24"/>
          <w:lang w:val="lv-LV"/>
        </w:rPr>
        <w:t xml:space="preserve"> procesuālo tiesību normas nav ievērojusi. Apelācijas instances tiesa nav sniegusi atbildi uz visiem </w:t>
      </w:r>
      <w:r w:rsidR="000550C3">
        <w:rPr>
          <w:rFonts w:asciiTheme="majorBidi" w:hAnsiTheme="majorBidi" w:cstheme="majorBidi"/>
          <w:sz w:val="24"/>
          <w:szCs w:val="24"/>
          <w:lang w:val="lv-LV"/>
        </w:rPr>
        <w:t>[pers. A]</w:t>
      </w:r>
      <w:r>
        <w:rPr>
          <w:rFonts w:asciiTheme="majorBidi" w:hAnsiTheme="majorBidi" w:cstheme="majorBidi"/>
          <w:sz w:val="24"/>
          <w:szCs w:val="24"/>
          <w:lang w:val="lv-LV"/>
        </w:rPr>
        <w:t xml:space="preserve"> </w:t>
      </w:r>
      <w:r w:rsidRPr="00355627">
        <w:rPr>
          <w:rFonts w:asciiTheme="majorBidi" w:hAnsiTheme="majorBidi" w:cstheme="majorBidi"/>
          <w:sz w:val="24"/>
          <w:szCs w:val="24"/>
          <w:lang w:val="lv-LV"/>
        </w:rPr>
        <w:t>aizstāves apelācijas sūdzībā norādītajiem argumentiem, kuru izvērtējumam ir būtiska nozīme krimināltiesisko attiecību taisnīgā noregulējumā, savukārt tiesas atzinumiem nav sniegts likumam atbilstošs pamatojums.</w:t>
      </w:r>
    </w:p>
    <w:p w14:paraId="4C070B4F" w14:textId="26F231A2" w:rsidR="000D04F8" w:rsidRPr="000D04F8" w:rsidRDefault="000D04F8" w:rsidP="000E07E0">
      <w:pPr>
        <w:pStyle w:val="NoSpacing"/>
        <w:spacing w:line="276" w:lineRule="auto"/>
        <w:ind w:firstLine="720"/>
        <w:jc w:val="both"/>
        <w:rPr>
          <w:rFonts w:ascii="Times New Roman" w:hAnsi="Times New Roman"/>
          <w:sz w:val="24"/>
          <w:szCs w:val="24"/>
          <w:lang w:val="lv-LV"/>
        </w:rPr>
      </w:pPr>
      <w:r w:rsidRPr="000D04F8">
        <w:rPr>
          <w:rFonts w:ascii="Times New Roman" w:hAnsi="Times New Roman"/>
          <w:sz w:val="24"/>
          <w:szCs w:val="24"/>
          <w:lang w:val="lv-LV"/>
        </w:rPr>
        <w:t xml:space="preserve">Pamatojuma princips ir viens no procesuālā taisnīguma nodrošināšanas </w:t>
      </w:r>
      <w:r w:rsidR="001A50C7">
        <w:rPr>
          <w:rFonts w:ascii="Times New Roman" w:hAnsi="Times New Roman"/>
          <w:sz w:val="24"/>
          <w:szCs w:val="24"/>
          <w:lang w:val="lv-LV"/>
        </w:rPr>
        <w:t>līdzekļiem</w:t>
      </w:r>
      <w:r w:rsidR="003F7131">
        <w:rPr>
          <w:rFonts w:ascii="Times New Roman" w:hAnsi="Times New Roman"/>
          <w:sz w:val="24"/>
          <w:szCs w:val="24"/>
          <w:lang w:val="lv-LV"/>
        </w:rPr>
        <w:t>,</w:t>
      </w:r>
      <w:r w:rsidR="001A50C7">
        <w:rPr>
          <w:rFonts w:ascii="Times New Roman" w:hAnsi="Times New Roman"/>
          <w:sz w:val="24"/>
          <w:szCs w:val="24"/>
          <w:lang w:val="lv-LV"/>
        </w:rPr>
        <w:t xml:space="preserve"> un atbilstoši tam </w:t>
      </w:r>
      <w:r w:rsidRPr="000D04F8">
        <w:rPr>
          <w:rFonts w:ascii="Times New Roman" w:hAnsi="Times New Roman"/>
          <w:sz w:val="24"/>
          <w:szCs w:val="24"/>
          <w:lang w:val="lv-LV"/>
        </w:rPr>
        <w:t>tiesai ir pienākums motivēt savu nolēmumu.</w:t>
      </w:r>
      <w:r w:rsidR="001A50C7">
        <w:rPr>
          <w:rFonts w:ascii="Times New Roman" w:hAnsi="Times New Roman"/>
          <w:sz w:val="24"/>
          <w:szCs w:val="24"/>
          <w:lang w:val="lv-LV"/>
        </w:rPr>
        <w:t xml:space="preserve"> Kriminālprocesa likuma prasība par motivētu nolēmumu ir ievērota, ja tiesa ir motivējusi visus būtiskos atzinumus, kuriem ir nozīme lietas taisnīgā izspriešanā, un motīvu izklāsta apjoms ļauj saprast, kā tiesa nonākusi pie šiem atzinumiem. </w:t>
      </w:r>
      <w:r w:rsidRPr="000D04F8">
        <w:rPr>
          <w:rFonts w:ascii="Times New Roman" w:hAnsi="Times New Roman"/>
          <w:sz w:val="24"/>
          <w:szCs w:val="24"/>
          <w:lang w:val="lv-LV"/>
        </w:rPr>
        <w:t xml:space="preserve">Motīvu norādīšana tiesas nolēmumā ir viens no līdzekļiem, kas </w:t>
      </w:r>
      <w:r w:rsidR="00C5614C">
        <w:rPr>
          <w:rFonts w:ascii="Times New Roman" w:hAnsi="Times New Roman"/>
          <w:sz w:val="24"/>
          <w:szCs w:val="24"/>
          <w:lang w:val="lv-LV"/>
        </w:rPr>
        <w:t xml:space="preserve">izslēdz tiesas patvaļas iespējamību un </w:t>
      </w:r>
      <w:r w:rsidRPr="000D04F8">
        <w:rPr>
          <w:rFonts w:ascii="Times New Roman" w:hAnsi="Times New Roman"/>
          <w:sz w:val="24"/>
          <w:szCs w:val="24"/>
          <w:lang w:val="lv-LV"/>
        </w:rPr>
        <w:t>ļauj personai pārliecināties, ka tā ir uzklausīta un tās sniegtie argumenti ir izvērtēti</w:t>
      </w:r>
      <w:r w:rsidR="00C5614C">
        <w:rPr>
          <w:rFonts w:ascii="Times New Roman" w:hAnsi="Times New Roman"/>
          <w:sz w:val="24"/>
          <w:szCs w:val="24"/>
          <w:lang w:val="lv-LV"/>
        </w:rPr>
        <w:t>.</w:t>
      </w:r>
    </w:p>
    <w:p w14:paraId="7A6A459F" w14:textId="378B21CE" w:rsidR="005D17ED" w:rsidRPr="00C5614C" w:rsidRDefault="00CF000D" w:rsidP="000E07E0">
      <w:pPr>
        <w:widowControl w:val="0"/>
        <w:tabs>
          <w:tab w:val="left" w:pos="1710"/>
        </w:tabs>
        <w:spacing w:after="0" w:line="276" w:lineRule="auto"/>
        <w:ind w:firstLine="720"/>
        <w:jc w:val="both"/>
        <w:rPr>
          <w:rFonts w:cs="Times New Roman"/>
          <w:bCs/>
          <w:szCs w:val="24"/>
        </w:rPr>
      </w:pPr>
      <w:r>
        <w:t>[5.1.1]</w:t>
      </w:r>
      <w:r w:rsidR="003F7131">
        <w:t> </w:t>
      </w:r>
      <w:r w:rsidR="002F1F42">
        <w:t>No pirmās instances tiesas sprieduma, kuru apelācijas instances tiesa atstājusi negrozītu, izriet, ka</w:t>
      </w:r>
      <w:r w:rsidR="005D17ED">
        <w:t xml:space="preserve"> apsūdzētā </w:t>
      </w:r>
      <w:r w:rsidR="000550C3">
        <w:t>[pers. A]</w:t>
      </w:r>
      <w:r w:rsidR="005D17ED">
        <w:t xml:space="preserve"> atzīta par vainīgu Krimināllikuma 179. panta trešajā daļā un 318. panta trešajā daļā paredzētajos noziedzīgajos nodarījumos saistībā ar </w:t>
      </w:r>
      <w:r w:rsidR="000550C3">
        <w:t>[pers. B]</w:t>
      </w:r>
      <w:r w:rsidR="005D17ED">
        <w:t xml:space="preserve"> maksātnespējas procesu, sniedzot abiem noziedzīgajiem nodarījumiem kopīgu pierādītā noziedzīgā nodarījuma aprakstu, kā arī atzīta par vainīgu Krimināllikuma 179. panta trešajā daļā un 318. panta trešajā daļā paredzētajos noziedzīgajos nodarījumos saistībā ar </w:t>
      </w:r>
      <w:r w:rsidR="000550C3">
        <w:t>[pers. E]</w:t>
      </w:r>
      <w:r w:rsidR="005D17ED">
        <w:t xml:space="preserve"> maksātnespējas procesu, sniedzot abiem noziedzīgajiem nodarījumiem kopīgu pierādītā noziedzīgā nodarījuma aprakstu.</w:t>
      </w:r>
    </w:p>
    <w:p w14:paraId="64A9B7D1" w14:textId="7F9CE71F" w:rsidR="004F093B" w:rsidRDefault="005D17ED" w:rsidP="000E07E0">
      <w:pPr>
        <w:widowControl w:val="0"/>
        <w:tabs>
          <w:tab w:val="left" w:pos="1710"/>
        </w:tabs>
        <w:spacing w:after="0" w:line="276" w:lineRule="auto"/>
        <w:ind w:firstLine="720"/>
        <w:jc w:val="both"/>
      </w:pPr>
      <w:r>
        <w:t xml:space="preserve">Atbilstoši pirmās instances tiesas konstatētajam </w:t>
      </w:r>
      <w:r w:rsidR="004F093B">
        <w:t xml:space="preserve">inkriminētie noziedzīgie nodarījumi gan saistībā ar </w:t>
      </w:r>
      <w:r w:rsidR="000550C3">
        <w:t>[pers. B]</w:t>
      </w:r>
      <w:r w:rsidR="004F093B">
        <w:t xml:space="preserve"> maksātnespējas procesu, gan saistībā ar </w:t>
      </w:r>
      <w:r w:rsidR="000550C3">
        <w:t>[pers. E]</w:t>
      </w:r>
      <w:r w:rsidR="004F093B">
        <w:t xml:space="preserve"> maksātnespējas procesu izdarīti šādos apstākļos.</w:t>
      </w:r>
    </w:p>
    <w:p w14:paraId="2407D756" w14:textId="630C0587" w:rsidR="008826AD" w:rsidRDefault="000550C3" w:rsidP="000E07E0">
      <w:pPr>
        <w:widowControl w:val="0"/>
        <w:tabs>
          <w:tab w:val="left" w:pos="1710"/>
        </w:tabs>
        <w:spacing w:after="0" w:line="276" w:lineRule="auto"/>
        <w:ind w:firstLine="720"/>
        <w:jc w:val="both"/>
      </w:pPr>
      <w:r>
        <w:t>[Pers. A]</w:t>
      </w:r>
      <w:r w:rsidR="004F093B">
        <w:t xml:space="preserve">, būdama valsts amatpersona – sertificēta maksātnespējas procesa administratore –, fiziskās personas maksātnespējas procesā īstenojot likumā </w:t>
      </w:r>
      <w:proofErr w:type="gramStart"/>
      <w:r w:rsidR="004F093B">
        <w:t>noteiktās darbības</w:t>
      </w:r>
      <w:proofErr w:type="gramEnd"/>
      <w:r w:rsidR="004F093B">
        <w:t xml:space="preserve"> saistībā ar fiziskās personas mantas izsoli, laikrakstā </w:t>
      </w:r>
      <w:r w:rsidR="00AD7E14">
        <w:t>„</w:t>
      </w:r>
      <w:r w:rsidR="004F093B">
        <w:t>Latvijas Vēstnesis” publicēja sludinājumu par nekustamā īpašuma izsoli</w:t>
      </w:r>
      <w:r w:rsidR="00AB3449">
        <w:t>, kurā,</w:t>
      </w:r>
      <w:r w:rsidR="004F093B">
        <w:t xml:space="preserve"> </w:t>
      </w:r>
      <w:r w:rsidR="00AB3449">
        <w:t>ļaunprātīgi i</w:t>
      </w:r>
      <w:r w:rsidR="004F093B">
        <w:t xml:space="preserve">zmantojot savu dienesta stāvokli, </w:t>
      </w:r>
      <w:r w:rsidR="00AB3449">
        <w:t>pretēji likuma prasībām nolūkā nodrošināt piekļuvi izsoles laikā iegūtajiem naudas līdzekļiem norādīja, ka izsoles nodrošinājuma nauda iemaksājama viņas bankas kontā.</w:t>
      </w:r>
      <w:r w:rsidR="004F093B">
        <w:t xml:space="preserve"> </w:t>
      </w:r>
      <w:r w:rsidR="000D106A">
        <w:t>Atsaucoties uz šo sludinājumu, persona, kura vēlējās piedalīties izsolē un pēc tam nosolīja augstāko cenu, iemaksāja sludinājumā norādītajā kontā izsoles nodrošinājuma naudu un pēc uzvaras izsolē –</w:t>
      </w:r>
      <w:r w:rsidR="00991E80">
        <w:t xml:space="preserve"> </w:t>
      </w:r>
      <w:r w:rsidR="000D106A">
        <w:t>arī atlikušo pirkuma summu</w:t>
      </w:r>
      <w:r w:rsidR="00D46DC9">
        <w:t>, proti, naudas līdzekļus lielā apmērā.</w:t>
      </w:r>
    </w:p>
    <w:p w14:paraId="52CC9BB2" w14:textId="2B4A1B19" w:rsidR="00241597" w:rsidRDefault="008826AD" w:rsidP="000E07E0">
      <w:pPr>
        <w:widowControl w:val="0"/>
        <w:tabs>
          <w:tab w:val="left" w:pos="1710"/>
        </w:tabs>
        <w:spacing w:after="0" w:line="276" w:lineRule="auto"/>
        <w:ind w:firstLine="720"/>
        <w:jc w:val="both"/>
      </w:pPr>
      <w:r>
        <w:t xml:space="preserve">Pēc tam, kad ar tiesas lēmumu nekustamā īpašuma izsole saistībā ar </w:t>
      </w:r>
      <w:r w:rsidR="000550C3">
        <w:t>[pers. B]</w:t>
      </w:r>
      <w:r>
        <w:t xml:space="preserve"> maksātnespējas procesu tika atzīta par spēkā neesošu</w:t>
      </w:r>
      <w:r w:rsidR="00241597">
        <w:t xml:space="preserve">, </w:t>
      </w:r>
      <w:r w:rsidR="000550C3">
        <w:t>[pers. A]</w:t>
      </w:r>
      <w:r w:rsidR="00241597">
        <w:t xml:space="preserve"> nekavējoties neatmaksāja maksātnespējas procesā iegūtos naudas līdzekļus izsoles uzvarētājam, bet mantkārīgā nolūkā prettiesiski tos ieguva un iz</w:t>
      </w:r>
      <w:r w:rsidR="00E6265E">
        <w:t>lietoja</w:t>
      </w:r>
      <w:r w:rsidR="00241597">
        <w:t xml:space="preserve"> savām vajadzībām.</w:t>
      </w:r>
    </w:p>
    <w:p w14:paraId="799C68B1" w14:textId="78319129" w:rsidR="00E6265E" w:rsidRDefault="00241597" w:rsidP="000E07E0">
      <w:pPr>
        <w:widowControl w:val="0"/>
        <w:tabs>
          <w:tab w:val="left" w:pos="1710"/>
        </w:tabs>
        <w:spacing w:after="0" w:line="276" w:lineRule="auto"/>
        <w:ind w:firstLine="720"/>
        <w:jc w:val="both"/>
      </w:pPr>
      <w:r>
        <w:t xml:space="preserve">Savukārt nekustamā īpašumā izsolē saistībā ar </w:t>
      </w:r>
      <w:r w:rsidR="000550C3">
        <w:t>[pers. E]</w:t>
      </w:r>
      <w:r>
        <w:t xml:space="preserve"> maksātnespējas procesu iegūtos naudas līdzekļus </w:t>
      </w:r>
      <w:r w:rsidR="000550C3">
        <w:t>[pers. A]</w:t>
      </w:r>
      <w:r>
        <w:t xml:space="preserve"> </w:t>
      </w:r>
      <w:r w:rsidR="00E6265E">
        <w:t>nenovirzīja kred</w:t>
      </w:r>
      <w:r w:rsidR="00991E80">
        <w:t>i</w:t>
      </w:r>
      <w:r w:rsidR="00E6265E">
        <w:t>t</w:t>
      </w:r>
      <w:r w:rsidR="00991E80">
        <w:t>or</w:t>
      </w:r>
      <w:r w:rsidR="00E6265E">
        <w:t>u prasījumu segšanai, bet mantkārīgā nolūkā prettiesiski tos ieguva un izlietoja savām vajadzībām.</w:t>
      </w:r>
    </w:p>
    <w:p w14:paraId="509B1A07" w14:textId="54E59660" w:rsidR="00DE092A" w:rsidRDefault="00E6265E" w:rsidP="000E07E0">
      <w:pPr>
        <w:widowControl w:val="0"/>
        <w:tabs>
          <w:tab w:val="left" w:pos="1710"/>
        </w:tabs>
        <w:spacing w:after="0" w:line="276" w:lineRule="auto"/>
        <w:ind w:firstLine="720"/>
        <w:jc w:val="both"/>
      </w:pPr>
      <w:r>
        <w:t xml:space="preserve">Pirmās instances tiesa atzinusi, ka tādējādi </w:t>
      </w:r>
      <w:r w:rsidR="000550C3">
        <w:t>[pers. A]</w:t>
      </w:r>
      <w:r>
        <w:t xml:space="preserve"> gan saistībā ar </w:t>
      </w:r>
      <w:r w:rsidR="000550C3">
        <w:t>[pers. B]</w:t>
      </w:r>
      <w:r>
        <w:t xml:space="preserve"> maksātnespējas procesu, gan saistībā ar </w:t>
      </w:r>
      <w:r w:rsidR="000550C3">
        <w:t>[pers. E]</w:t>
      </w:r>
      <w:r>
        <w:t xml:space="preserve"> maksātnespējas procesu, būdama valsts amatpersona, izdarīja tīšas darbības, ļaunprātīgi izmantojot dienesta stāvokli, proti, prettiesiski ieguva svešus naudas līdzekļus lielā apmērā, būdama persona, kurai šie naudas līdzekļi ir uzticēt</w:t>
      </w:r>
      <w:r w:rsidR="00AD7E14">
        <w:t>i</w:t>
      </w:r>
      <w:r>
        <w:t xml:space="preserve"> un kuras pārziņā tie atradās (piesavināšanās), nodarot materiālos zaudējumus lielā apmērā, kas saskaņā ar likuma </w:t>
      </w:r>
      <w:r w:rsidR="00AD7E14">
        <w:t>„</w:t>
      </w:r>
      <w:r>
        <w:t>Par Krimināllikuma spēkā stāšanās un piemērošanas kārtību</w:t>
      </w:r>
      <w:r w:rsidR="00DE092A">
        <w:t>” 24. panta pirmo daļu uzskatāmas par smagām sekām.</w:t>
      </w:r>
    </w:p>
    <w:p w14:paraId="6B6FBC1F" w14:textId="6F0A2257" w:rsidR="00DE092A" w:rsidRDefault="00DE092A" w:rsidP="000E07E0">
      <w:pPr>
        <w:widowControl w:val="0"/>
        <w:tabs>
          <w:tab w:val="left" w:pos="1710"/>
        </w:tabs>
        <w:spacing w:after="0" w:line="276" w:lineRule="auto"/>
        <w:ind w:firstLine="720"/>
        <w:jc w:val="both"/>
      </w:pPr>
      <w:r>
        <w:t xml:space="preserve">Apelācijas instances tiesa, </w:t>
      </w:r>
      <w:proofErr w:type="gramStart"/>
      <w:r>
        <w:t>atstājot pirmās instances tiesas</w:t>
      </w:r>
      <w:proofErr w:type="gramEnd"/>
      <w:r>
        <w:t xml:space="preserve"> spriedumu negrozītu, </w:t>
      </w:r>
      <w:r w:rsidR="00305DBE">
        <w:t>norādījusi, ka pirmās instances tiesa pamatoti konstatējusi apsūdzētā</w:t>
      </w:r>
      <w:r w:rsidR="000379C7">
        <w:t>s</w:t>
      </w:r>
      <w:r w:rsidR="00305DBE">
        <w:t xml:space="preserve"> </w:t>
      </w:r>
      <w:r w:rsidR="000550C3">
        <w:t>[pers. A]</w:t>
      </w:r>
      <w:r w:rsidR="00305DBE">
        <w:t xml:space="preserve"> darbībās Krimināllikuma 179.</w:t>
      </w:r>
      <w:r w:rsidR="0047728A">
        <w:t> </w:t>
      </w:r>
      <w:r w:rsidR="00305DBE">
        <w:t>panta trešajā daļā un 318.</w:t>
      </w:r>
      <w:r w:rsidR="0047728A">
        <w:t> </w:t>
      </w:r>
      <w:r w:rsidR="00305DBE">
        <w:t>panta trešajā daļā paredzēto noziedzīgo nodarījumu sastāvu.</w:t>
      </w:r>
    </w:p>
    <w:p w14:paraId="0817DCA4" w14:textId="4FBEA124" w:rsidR="00DE092A" w:rsidRDefault="00CF000D" w:rsidP="000E07E0">
      <w:pPr>
        <w:widowControl w:val="0"/>
        <w:tabs>
          <w:tab w:val="left" w:pos="1710"/>
        </w:tabs>
        <w:spacing w:after="0" w:line="276" w:lineRule="auto"/>
        <w:ind w:firstLine="720"/>
        <w:jc w:val="both"/>
      </w:pPr>
      <w:r>
        <w:t>[5.1.2]</w:t>
      </w:r>
      <w:r w:rsidR="003F7131">
        <w:t> </w:t>
      </w:r>
      <w:r w:rsidR="00DE092A">
        <w:t>Noziedzīga nodarījuma kvalifikācija ir pilnīgas atbilstības noteikšana starp noziedzīga nodarījuma faktiskajām pazīmēm un Krimināllikuma normā (pantā, panta daļā, punktā) paredzētā konkrētā noziedzīgā nodarījuma sastāva pazīmēm.</w:t>
      </w:r>
    </w:p>
    <w:p w14:paraId="52097467" w14:textId="7A929D4C" w:rsidR="00305DBE" w:rsidRDefault="00DE092A" w:rsidP="000E07E0">
      <w:pPr>
        <w:widowControl w:val="0"/>
        <w:tabs>
          <w:tab w:val="left" w:pos="1710"/>
        </w:tabs>
        <w:spacing w:after="0" w:line="276" w:lineRule="auto"/>
        <w:ind w:firstLine="720"/>
        <w:jc w:val="both"/>
      </w:pPr>
      <w:r>
        <w:t>Tikai tādā gadījumā, kad noziedzīgā nodarījuma faktiskās pazīmes sakrīt ar konkrētā noziedzīgā nodarījuma sastāva pazīmēm, kas paredzētas Krimināllikumā, ir pamats atzīt, ka izdarīts noziedzīgs nodarījumus un to pareizi kvalificēt.</w:t>
      </w:r>
      <w:r w:rsidR="00305DBE">
        <w:t xml:space="preserve"> Ja kaut vai pēc vienas pazīmes šādu sakritību nav iespējams konstatēt, tad jāatzīst, ka personas darbībā vai bezdarbībā nav konkrētā noziedzīgā nodarījuma sastāva un līdz ar to nav pamata, lai personu sauktu pie kriminālatbildības un notiesātu </w:t>
      </w:r>
      <w:proofErr w:type="gramStart"/>
      <w:r w:rsidR="00305DBE">
        <w:t>(</w:t>
      </w:r>
      <w:proofErr w:type="gramEnd"/>
      <w:r w:rsidR="00AE543F" w:rsidRPr="00AE543F">
        <w:rPr>
          <w:i/>
          <w:iCs/>
        </w:rPr>
        <w:t>Krastiņš</w:t>
      </w:r>
      <w:r w:rsidR="003F7131">
        <w:rPr>
          <w:i/>
          <w:iCs/>
        </w:rPr>
        <w:t> </w:t>
      </w:r>
      <w:r w:rsidR="00AE543F" w:rsidRPr="00AE543F">
        <w:rPr>
          <w:i/>
          <w:iCs/>
        </w:rPr>
        <w:t>U.</w:t>
      </w:r>
      <w:r w:rsidR="00AE543F">
        <w:t xml:space="preserve"> </w:t>
      </w:r>
      <w:r w:rsidR="00AE543F">
        <w:rPr>
          <w:i/>
          <w:iCs/>
        </w:rPr>
        <w:t>6</w:t>
      </w:r>
      <w:r w:rsidR="00AE543F" w:rsidRPr="00AE543F">
        <w:rPr>
          <w:i/>
          <w:iCs/>
        </w:rPr>
        <w:t>. panta komentārs</w:t>
      </w:r>
      <w:r w:rsidR="00AE543F">
        <w:t xml:space="preserve">. </w:t>
      </w:r>
      <w:proofErr w:type="spellStart"/>
      <w:r w:rsidR="00BE0881" w:rsidRPr="00AE543F">
        <w:rPr>
          <w:i/>
          <w:iCs/>
        </w:rPr>
        <w:t>Grām</w:t>
      </w:r>
      <w:proofErr w:type="spellEnd"/>
      <w:r w:rsidR="00BE0881" w:rsidRPr="00AE543F">
        <w:rPr>
          <w:i/>
          <w:iCs/>
        </w:rPr>
        <w:t>.:</w:t>
      </w:r>
      <w:r w:rsidR="00BE0881">
        <w:rPr>
          <w:i/>
          <w:iCs/>
        </w:rPr>
        <w:t xml:space="preserve"> </w:t>
      </w:r>
      <w:r w:rsidR="00305DBE">
        <w:rPr>
          <w:i/>
          <w:iCs/>
        </w:rPr>
        <w:t>Krastiņš</w:t>
      </w:r>
      <w:r w:rsidR="00BE0881">
        <w:rPr>
          <w:i/>
          <w:iCs/>
        </w:rPr>
        <w:t> U.</w:t>
      </w:r>
      <w:r w:rsidR="00305DBE">
        <w:rPr>
          <w:i/>
          <w:iCs/>
        </w:rPr>
        <w:t xml:space="preserve">, </w:t>
      </w:r>
      <w:proofErr w:type="spellStart"/>
      <w:r w:rsidR="00305DBE">
        <w:rPr>
          <w:i/>
          <w:iCs/>
        </w:rPr>
        <w:t>Liholaja</w:t>
      </w:r>
      <w:proofErr w:type="spellEnd"/>
      <w:r w:rsidR="003F7131">
        <w:rPr>
          <w:i/>
          <w:iCs/>
        </w:rPr>
        <w:t> </w:t>
      </w:r>
      <w:r w:rsidR="00BE0881">
        <w:rPr>
          <w:i/>
          <w:iCs/>
        </w:rPr>
        <w:t>V</w:t>
      </w:r>
      <w:r w:rsidR="00305DBE">
        <w:rPr>
          <w:i/>
          <w:iCs/>
        </w:rPr>
        <w:t>. Krimināllikuma komentāri. Pirmā daļa (I–VIII</w:t>
      </w:r>
      <w:r w:rsidR="00305DBE">
        <w:rPr>
          <w:i/>
          <w:iCs/>
          <w:vertAlign w:val="superscript"/>
        </w:rPr>
        <w:t>2</w:t>
      </w:r>
      <w:r w:rsidR="00305DBE">
        <w:rPr>
          <w:i/>
          <w:iCs/>
        </w:rPr>
        <w:t xml:space="preserve"> nodaļa). Otrais papildinātais izdevums. Rīga: Tiesu namu aģentūra, 2018, </w:t>
      </w:r>
      <w:r w:rsidR="008E592F">
        <w:rPr>
          <w:i/>
          <w:iCs/>
        </w:rPr>
        <w:t>41. lpp</w:t>
      </w:r>
      <w:r w:rsidR="00BE0881">
        <w:rPr>
          <w:i/>
          <w:iCs/>
        </w:rPr>
        <w:t>.</w:t>
      </w:r>
      <w:r w:rsidR="008E592F">
        <w:t>).</w:t>
      </w:r>
    </w:p>
    <w:p w14:paraId="1D9A1325" w14:textId="3076600A" w:rsidR="00171EDB" w:rsidRPr="005B5110" w:rsidRDefault="00171EDB" w:rsidP="000E07E0">
      <w:pPr>
        <w:pStyle w:val="NoSpacing"/>
        <w:spacing w:line="276" w:lineRule="auto"/>
        <w:ind w:firstLine="720"/>
        <w:jc w:val="both"/>
        <w:rPr>
          <w:rFonts w:asciiTheme="majorBidi" w:hAnsiTheme="majorBidi" w:cstheme="majorBidi"/>
          <w:sz w:val="24"/>
          <w:szCs w:val="24"/>
          <w:lang w:val="lv-LV"/>
        </w:rPr>
      </w:pPr>
      <w:r w:rsidRPr="005B5110">
        <w:rPr>
          <w:rFonts w:asciiTheme="majorBidi" w:hAnsiTheme="majorBidi" w:cstheme="majorBidi"/>
          <w:sz w:val="24"/>
          <w:szCs w:val="24"/>
          <w:lang w:val="lv-LV"/>
        </w:rPr>
        <w:t>Noziedzīgā nodarījuma sastāvu veido objektīvo un subjektīvo pazīmju kopums, tostarp, noziedzīgā nodarījuma objektīvā puse.</w:t>
      </w:r>
    </w:p>
    <w:p w14:paraId="25845C43" w14:textId="6583C24A" w:rsidR="00071994" w:rsidRPr="00596A8C" w:rsidRDefault="00071994" w:rsidP="000E07E0">
      <w:pPr>
        <w:pStyle w:val="NoSpacing"/>
        <w:spacing w:line="276" w:lineRule="auto"/>
        <w:ind w:firstLine="720"/>
        <w:jc w:val="both"/>
        <w:rPr>
          <w:rFonts w:asciiTheme="majorBidi" w:hAnsiTheme="majorBidi" w:cstheme="majorBidi"/>
          <w:sz w:val="24"/>
          <w:szCs w:val="24"/>
          <w:lang w:val="lv-LV"/>
        </w:rPr>
      </w:pPr>
      <w:r w:rsidRPr="00596A8C">
        <w:rPr>
          <w:rFonts w:asciiTheme="majorBidi" w:hAnsiTheme="majorBidi" w:cstheme="majorBidi"/>
          <w:sz w:val="24"/>
          <w:szCs w:val="24"/>
          <w:lang w:val="lv-LV"/>
        </w:rPr>
        <w:t xml:space="preserve">Tiesu prakses apkopojumā </w:t>
      </w:r>
      <w:r w:rsidR="00AD7E14">
        <w:rPr>
          <w:rFonts w:asciiTheme="majorBidi" w:hAnsiTheme="majorBidi" w:cstheme="majorBidi"/>
          <w:sz w:val="24"/>
          <w:szCs w:val="24"/>
          <w:lang w:val="lv-LV"/>
        </w:rPr>
        <w:t>„</w:t>
      </w:r>
      <w:r w:rsidRPr="00596A8C">
        <w:rPr>
          <w:rFonts w:asciiTheme="majorBidi" w:hAnsiTheme="majorBidi" w:cstheme="majorBidi"/>
          <w:sz w:val="24"/>
          <w:szCs w:val="24"/>
          <w:lang w:val="lv-LV"/>
        </w:rPr>
        <w:t>Tiesu prakse krimināllietās pēc Krimināllikuma 317. panta otrās daļas, 318. panta otrās daļas un</w:t>
      </w:r>
      <w:r w:rsidR="00171EDB" w:rsidRPr="00596A8C">
        <w:rPr>
          <w:rFonts w:asciiTheme="majorBidi" w:hAnsiTheme="majorBidi" w:cstheme="majorBidi"/>
          <w:sz w:val="24"/>
          <w:szCs w:val="24"/>
          <w:lang w:val="lv-LV"/>
        </w:rPr>
        <w:t xml:space="preserve"> </w:t>
      </w:r>
      <w:r w:rsidRPr="00596A8C">
        <w:rPr>
          <w:rFonts w:asciiTheme="majorBidi" w:hAnsiTheme="majorBidi" w:cstheme="majorBidi"/>
          <w:sz w:val="24"/>
          <w:szCs w:val="24"/>
          <w:lang w:val="lv-LV"/>
        </w:rPr>
        <w:t>319. panta otrās daļas” attiecībā uz dienesta stāvokļa ļaunprātīgas izmantošanas, kas izdarīta mantkārīgā nolūkā, norobežošanu no mantas nolaupīšanas norādīts:</w:t>
      </w:r>
    </w:p>
    <w:p w14:paraId="3BA4E896" w14:textId="707752F8" w:rsidR="00C8013C" w:rsidRDefault="00071994" w:rsidP="000E07E0">
      <w:pPr>
        <w:widowControl w:val="0"/>
        <w:tabs>
          <w:tab w:val="left" w:pos="1710"/>
        </w:tabs>
        <w:spacing w:after="0" w:line="276" w:lineRule="auto"/>
        <w:ind w:firstLine="720"/>
        <w:jc w:val="both"/>
      </w:pPr>
      <w:r>
        <w:t>1) mantas nolaupīšana ir tīša, prettiesiska un bezatlīdzības svešas mantas paņemšana no juridiskas vai fiziskas personas īpašuma vai valdījuma, lai nelikumīgi to paturētu vai izmantotu savā vai citas personas labā vai kā citādi rīkotos ar to kā ar savu</w:t>
      </w:r>
      <w:r w:rsidR="0047728A">
        <w:t>, tā rezultātā mantas īpašniekam vai valdītājam nodarot reālu mantisku zaudējumu</w:t>
      </w:r>
      <w:r w:rsidR="00C8013C">
        <w:t>;</w:t>
      </w:r>
    </w:p>
    <w:p w14:paraId="2CB6ECE1" w14:textId="5326CD91" w:rsidR="00C8013C" w:rsidRDefault="00C8013C" w:rsidP="000E07E0">
      <w:pPr>
        <w:widowControl w:val="0"/>
        <w:tabs>
          <w:tab w:val="left" w:pos="1710"/>
        </w:tabs>
        <w:spacing w:after="0" w:line="276" w:lineRule="auto"/>
        <w:ind w:firstLine="720"/>
        <w:jc w:val="both"/>
      </w:pPr>
      <w:r>
        <w:t xml:space="preserve">2) atšķirībā no mantas nolaupīšanas dienesta stāvokļa ļaunprātīga izmantošana, lai arī izdarīta mantkārīgu tieksmju dēļ un radījusi materiālu zaudējumu, nav saistīta ar mantas bezatlīdzības izņemšanu no sveša īpašuma vai valdījuma un sagrābšanu savā īpašumā vai valdījumā vai tās nodošanu citas personas īpašumā </w:t>
      </w:r>
      <w:r w:rsidR="00171EDB">
        <w:t xml:space="preserve">vai valdījumā, </w:t>
      </w:r>
      <w:proofErr w:type="gramStart"/>
      <w:r w:rsidR="00E7720B">
        <w:t xml:space="preserve">tā, </w:t>
      </w:r>
      <w:r w:rsidR="00171EDB">
        <w:t>piemēram,</w:t>
      </w:r>
      <w:proofErr w:type="gramEnd"/>
      <w:r w:rsidR="00171EDB">
        <w:t xml:space="preserve"> </w:t>
      </w:r>
      <w:r w:rsidR="00E7720B">
        <w:t xml:space="preserve">var būt </w:t>
      </w:r>
      <w:r w:rsidR="00171EDB">
        <w:t>nolaidības dēļ radīta iztrūkuma slēpšana, sagrozot statistiku, lai izvairītos no materiālas atbildības, mantas izmantošana uz laiku bez nodoma pārvērst par savu vai citas personas īpašumu</w:t>
      </w:r>
      <w:r w:rsidR="00E7720B">
        <w:t xml:space="preserve"> </w:t>
      </w:r>
      <w:proofErr w:type="spellStart"/>
      <w:r w:rsidR="00E7720B">
        <w:t>utt</w:t>
      </w:r>
      <w:proofErr w:type="spellEnd"/>
      <w:r w:rsidR="00171EDB">
        <w:t>;</w:t>
      </w:r>
    </w:p>
    <w:p w14:paraId="16C638FD" w14:textId="7D4DAC51" w:rsidR="00071994" w:rsidRDefault="00C8013C" w:rsidP="000E07E0">
      <w:pPr>
        <w:widowControl w:val="0"/>
        <w:tabs>
          <w:tab w:val="left" w:pos="1710"/>
        </w:tabs>
        <w:spacing w:after="0" w:line="276" w:lineRule="auto"/>
        <w:ind w:firstLine="720"/>
        <w:jc w:val="both"/>
      </w:pPr>
      <w:r>
        <w:t>3</w:t>
      </w:r>
      <w:r w:rsidR="0047728A">
        <w:t>) ja dienesta stāvoklis izmantots tikai</w:t>
      </w:r>
      <w:r w:rsidR="00717FCF">
        <w:t>,</w:t>
      </w:r>
      <w:r w:rsidR="0047728A">
        <w:t xml:space="preserve"> lai izdarītu svešas mantas nolaupīšanu, tā realizēšanai nepieņem</w:t>
      </w:r>
      <w:r w:rsidR="00903659">
        <w:t>o</w:t>
      </w:r>
      <w:r w:rsidR="0047728A">
        <w:t xml:space="preserve">t kādu lēmumu, neveicot kādas ar valsts amatpersonas statusu saistītas darbības pretēji dienesta interesēm, valsts amatpersonas darbības aptversies ar mantas nolaupīšanas sastāvu. Savukārt dienesta stāvokļa ļaunprātīga izmantošana saskaņā ar Krimināllikuma 48. panta pirmās daļas 3. punktu var tikt atzīta par atbildību pastiprinošu apstākli </w:t>
      </w:r>
      <w:proofErr w:type="gramStart"/>
      <w:r w:rsidR="0047728A">
        <w:t>(</w:t>
      </w:r>
      <w:proofErr w:type="gramEnd"/>
      <w:r w:rsidR="0047728A">
        <w:rPr>
          <w:i/>
          <w:iCs/>
        </w:rPr>
        <w:t xml:space="preserve">tiesu prakses apkopojums </w:t>
      </w:r>
      <w:r w:rsidR="001B43FB" w:rsidRPr="00C5614C">
        <w:rPr>
          <w:i/>
          <w:iCs/>
          <w:color w:val="000000" w:themeColor="text1"/>
        </w:rPr>
        <w:t>„</w:t>
      </w:r>
      <w:hyperlink r:id="rId9" w:history="1">
        <w:r w:rsidR="0047728A" w:rsidRPr="00C5614C">
          <w:rPr>
            <w:rStyle w:val="Hyperlink"/>
            <w:i/>
            <w:iCs/>
            <w:color w:val="000000" w:themeColor="text1"/>
            <w:u w:val="none"/>
          </w:rPr>
          <w:t>Tiesu prakse krimināllietās pēc Krimināllikuma 317. panta otrās daļas, 318. panta otrās daļas un 319. panta otrās daļas</w:t>
        </w:r>
      </w:hyperlink>
      <w:r w:rsidR="0047728A" w:rsidRPr="00C5614C">
        <w:rPr>
          <w:i/>
          <w:iCs/>
          <w:color w:val="000000" w:themeColor="text1"/>
        </w:rPr>
        <w:t>”</w:t>
      </w:r>
      <w:r w:rsidR="0047728A">
        <w:rPr>
          <w:i/>
          <w:iCs/>
        </w:rPr>
        <w:t>.</w:t>
      </w:r>
      <w:r w:rsidR="00494FF5" w:rsidRPr="00BB0B91">
        <w:rPr>
          <w:rFonts w:eastAsia="Calibri"/>
          <w:szCs w:val="24"/>
        </w:rPr>
        <w:t>).</w:t>
      </w:r>
    </w:p>
    <w:p w14:paraId="69248F87" w14:textId="70018F9D" w:rsidR="00596A8C" w:rsidRDefault="00596A8C" w:rsidP="000E07E0">
      <w:pPr>
        <w:widowControl w:val="0"/>
        <w:tabs>
          <w:tab w:val="left" w:pos="1710"/>
        </w:tabs>
        <w:spacing w:after="0" w:line="276" w:lineRule="auto"/>
        <w:ind w:firstLine="720"/>
        <w:jc w:val="both"/>
      </w:pPr>
      <w:r>
        <w:t>Tādējādi, ja dienesta stāvokļa ļaunprātīga izmantošana ir vērtējama tikai kā svešas mantas nolaupīšanas līdzeklis, noziedzīgs nodarījums kvalificējams kā mantas nolaupīšana, nevis dienesta stāvokļa ļaunprātīga izmantošana.</w:t>
      </w:r>
    </w:p>
    <w:p w14:paraId="4443D607" w14:textId="6A9571A6" w:rsidR="006A44C7" w:rsidRDefault="00CF000D" w:rsidP="000E07E0">
      <w:pPr>
        <w:widowControl w:val="0"/>
        <w:tabs>
          <w:tab w:val="left" w:pos="1710"/>
        </w:tabs>
        <w:spacing w:after="0" w:line="276" w:lineRule="auto"/>
        <w:ind w:firstLine="720"/>
        <w:jc w:val="both"/>
      </w:pPr>
      <w:r>
        <w:t>[5.1.3]</w:t>
      </w:r>
      <w:r w:rsidR="003F7131">
        <w:t> </w:t>
      </w:r>
      <w:r w:rsidR="00C5614C">
        <w:t xml:space="preserve">No tiesas sniegtā pierādītā noziedzīgā nodarījuma apraksta </w:t>
      </w:r>
      <w:r w:rsidR="006A44C7">
        <w:t>izriet, ka vienīgā apsūdzētajai inkriminētā ar valsts amatpersonas statusu saistītā darbība pretēji dienesta interesēm ir tā, ka viņa</w:t>
      </w:r>
      <w:r w:rsidR="001D11AC">
        <w:t>,</w:t>
      </w:r>
      <w:r w:rsidR="006A44C7">
        <w:t xml:space="preserve"> fiziskās personas maksātnespējas procesā īstenojot likumā </w:t>
      </w:r>
      <w:proofErr w:type="gramStart"/>
      <w:r w:rsidR="006A44C7">
        <w:t>noteiktās darbības</w:t>
      </w:r>
      <w:proofErr w:type="gramEnd"/>
      <w:r w:rsidR="006A44C7">
        <w:t xml:space="preserve"> saistībā ar fiziskās personas mantas izsoli, laikrakstā „Latvijas Vēstnesis” publicēja sludinājumu par nekustamā īpašuma izsoli, kurā pretēji likuma prasībām nolūkā nodrošināt piekļuvi izsoles laikā iegūtajiem naudas līdzekļiem norādīja, ka izsoles nodrošinājuma nauda iemaksājama viņas bankas kontā.</w:t>
      </w:r>
    </w:p>
    <w:p w14:paraId="5873DD36" w14:textId="647E6AB8" w:rsidR="00AE1E6D" w:rsidRDefault="006A44C7" w:rsidP="000E07E0">
      <w:pPr>
        <w:widowControl w:val="0"/>
        <w:tabs>
          <w:tab w:val="left" w:pos="1710"/>
        </w:tabs>
        <w:spacing w:after="0" w:line="276" w:lineRule="auto"/>
        <w:ind w:firstLine="720"/>
        <w:jc w:val="both"/>
      </w:pPr>
      <w:r>
        <w:t xml:space="preserve">Tādējādi pretēji pirmās instances tiesas spriedumā norādītajam šī apstākļa izvērtēšanai ir būtiska nozīme, lai pareizi kvalificētu apsūdzētās </w:t>
      </w:r>
      <w:r w:rsidR="000550C3">
        <w:t>[pers. A]</w:t>
      </w:r>
      <w:r>
        <w:t xml:space="preserve"> darbības.</w:t>
      </w:r>
    </w:p>
    <w:p w14:paraId="4B7BA7B0" w14:textId="695C5F78" w:rsidR="0091090A" w:rsidRDefault="00AE1E6D" w:rsidP="000E07E0">
      <w:pPr>
        <w:widowControl w:val="0"/>
        <w:tabs>
          <w:tab w:val="left" w:pos="1710"/>
        </w:tabs>
        <w:spacing w:after="0" w:line="276" w:lineRule="auto"/>
        <w:ind w:firstLine="720"/>
        <w:jc w:val="both"/>
      </w:pPr>
      <w:r>
        <w:t xml:space="preserve">Pirmās instances tiesa secinājusi, ka apsūdzētā </w:t>
      </w:r>
      <w:r w:rsidR="000550C3">
        <w:t>[pers. A]</w:t>
      </w:r>
      <w:r w:rsidR="001926AF">
        <w:t>,</w:t>
      </w:r>
      <w:r>
        <w:t xml:space="preserve"> </w:t>
      </w:r>
      <w:r w:rsidR="001926AF">
        <w:t xml:space="preserve">norādot laikrakstā </w:t>
      </w:r>
      <w:r w:rsidR="003F7131">
        <w:t>„</w:t>
      </w:r>
      <w:r w:rsidR="001926AF">
        <w:t xml:space="preserve">Latvijas Vēstnesis” </w:t>
      </w:r>
      <w:r w:rsidR="00F44AAC">
        <w:t xml:space="preserve">saistībā ar </w:t>
      </w:r>
      <w:r w:rsidR="00194D24">
        <w:t>[pers. B]</w:t>
      </w:r>
      <w:r w:rsidR="00F44AAC">
        <w:t xml:space="preserve"> maksātnespējas procesu </w:t>
      </w:r>
      <w:r w:rsidR="001926AF">
        <w:t>publicētajā sludinājumā, ka izsoles nodrošinājuma nauda iemaksājama viņas bankas kontā, nav ievērojusi 20</w:t>
      </w:r>
      <w:r w:rsidR="00F44AAC">
        <w:t>07</w:t>
      </w:r>
      <w:r w:rsidR="001926AF">
        <w:t xml:space="preserve">. gada </w:t>
      </w:r>
      <w:r w:rsidR="00F44AAC">
        <w:t>1. novembra</w:t>
      </w:r>
      <w:r w:rsidR="001926AF">
        <w:t xml:space="preserve"> Maksātnespējas likuma, kurš zaudēj</w:t>
      </w:r>
      <w:r w:rsidR="00F44AAC">
        <w:t>is</w:t>
      </w:r>
      <w:r w:rsidR="001926AF">
        <w:t xml:space="preserve"> spēku</w:t>
      </w:r>
      <w:r w:rsidR="00F44AAC">
        <w:t xml:space="preserve"> 2010. gada 1. novembrī (turpmāk arī – Iepriekšējais Maksātnespējas likums)</w:t>
      </w:r>
      <w:r w:rsidR="0091090A">
        <w:t>, 161.</w:t>
      </w:r>
      <w:r w:rsidR="003F7131">
        <w:t> </w:t>
      </w:r>
      <w:r w:rsidR="0091090A">
        <w:t>panta</w:t>
      </w:r>
      <w:r w:rsidR="003F7131">
        <w:t xml:space="preserve"> </w:t>
      </w:r>
      <w:r w:rsidR="0091090A">
        <w:t>3. punkta un 135. panta septītās daļas prasības.</w:t>
      </w:r>
    </w:p>
    <w:p w14:paraId="6AAAE3CC" w14:textId="141837BB" w:rsidR="00FA3F0F" w:rsidRDefault="0091090A" w:rsidP="000E07E0">
      <w:pPr>
        <w:widowControl w:val="0"/>
        <w:tabs>
          <w:tab w:val="left" w:pos="1710"/>
        </w:tabs>
        <w:spacing w:after="0" w:line="276" w:lineRule="auto"/>
        <w:ind w:firstLine="720"/>
        <w:jc w:val="both"/>
      </w:pPr>
      <w:r>
        <w:t xml:space="preserve">Apsūdzētās </w:t>
      </w:r>
      <w:r w:rsidR="00194D24">
        <w:t>[pers. A]</w:t>
      </w:r>
      <w:r>
        <w:t xml:space="preserve"> aizstāve apelācijas sūdzībā norādījusi, ka pirmās instances tiesa nepamatoti atsaukusies uz Iepriekšējā Maksātnespējas likuma 135. panta septīto daļu, jo tā neattiecas </w:t>
      </w:r>
      <w:r w:rsidR="00022011">
        <w:t>uz fiziskām, bet uz juridiskām personām. Fiziskas personas maksātnespējas procesu reglamentē šī likuma D sadaļa</w:t>
      </w:r>
      <w:r w:rsidR="00FA3F0F">
        <w:t xml:space="preserve">. Saskaņā ar šajā likuma sadaļā ietverto 175. pantu un Civilprocesa likuma 606. panta trešās daļas 9. punktu sludinājumā par nekustamā īpašuma izsoli norāda nodrošinājuma summu, kas iemaksājama tiesu izpildītāja depozīta kontā. Tādējādi apsūdzētā </w:t>
      </w:r>
      <w:r w:rsidR="00194D24">
        <w:t>[pers. A]</w:t>
      </w:r>
      <w:r w:rsidR="00FA3F0F">
        <w:t xml:space="preserve"> sludinājumā par izsoli pamatoti norādījusi, ka nauda ir iemaksājama maksātnespējas administratora kontā.</w:t>
      </w:r>
    </w:p>
    <w:p w14:paraId="1CCA730A" w14:textId="61D4758A" w:rsidR="004E4C9D" w:rsidRDefault="00FA3F0F" w:rsidP="000E07E0">
      <w:pPr>
        <w:widowControl w:val="0"/>
        <w:tabs>
          <w:tab w:val="left" w:pos="1710"/>
        </w:tabs>
        <w:spacing w:after="0" w:line="276" w:lineRule="auto"/>
        <w:ind w:firstLine="720"/>
        <w:jc w:val="both"/>
      </w:pPr>
      <w:r>
        <w:t xml:space="preserve">Apelācijas instances tiesa, </w:t>
      </w:r>
      <w:proofErr w:type="gramStart"/>
      <w:r>
        <w:t>atstājot pirmās instances tiesas</w:t>
      </w:r>
      <w:proofErr w:type="gramEnd"/>
      <w:r>
        <w:t xml:space="preserve"> spriedumu negrozītu, šos aizstāves argumentus nav izvērtējusi, aprobežojoties vienīgi ar vispārīgu apgalvojumu, ka pirmās instances tiesa, ņemot vērā Maksāt</w:t>
      </w:r>
      <w:r w:rsidR="00CF000D">
        <w:t>nespējas likumu un tā Pārejas noteikumus, pamatoti atsaukusies uz Iepriekšējā Maksātnespējas likuma 135. panta septīto daļu un 175. pantu.</w:t>
      </w:r>
    </w:p>
    <w:p w14:paraId="36461393" w14:textId="06C59671" w:rsidR="00E22685" w:rsidRDefault="004E4C9D" w:rsidP="000E07E0">
      <w:pPr>
        <w:widowControl w:val="0"/>
        <w:tabs>
          <w:tab w:val="left" w:pos="1710"/>
        </w:tabs>
        <w:spacing w:after="0" w:line="276" w:lineRule="auto"/>
        <w:ind w:firstLine="720"/>
        <w:jc w:val="both"/>
      </w:pPr>
      <w:r>
        <w:t>[5.1.4]</w:t>
      </w:r>
      <w:r w:rsidR="00AA32B7">
        <w:t> </w:t>
      </w:r>
      <w:r w:rsidR="00194D24">
        <w:t>[Pers. B]</w:t>
      </w:r>
      <w:r w:rsidR="00E22685">
        <w:t xml:space="preserve"> maksātnespējas process tika ierosināts ar Rīgas pilsētas Kurzemes rajona tiesas 2010. gada 29. septembra lēmumu.</w:t>
      </w:r>
    </w:p>
    <w:p w14:paraId="705C412A" w14:textId="0EFBF307" w:rsidR="00E22685" w:rsidRDefault="00E22685" w:rsidP="000E07E0">
      <w:pPr>
        <w:widowControl w:val="0"/>
        <w:spacing w:after="0" w:line="276" w:lineRule="auto"/>
        <w:ind w:firstLine="720"/>
        <w:jc w:val="both"/>
        <w:rPr>
          <w:rFonts w:asciiTheme="majorBidi" w:hAnsiTheme="majorBidi" w:cstheme="majorBidi"/>
          <w:szCs w:val="24"/>
        </w:rPr>
      </w:pPr>
      <w:r w:rsidRPr="004E32C8">
        <w:rPr>
          <w:rFonts w:asciiTheme="majorBidi" w:hAnsiTheme="majorBidi" w:cstheme="majorBidi"/>
          <w:szCs w:val="24"/>
        </w:rPr>
        <w:t>2010. gada 26. jūlija Maksātnespējas likuma, kas stājās spēkā 2010. gada 1. novembrī, Pārejas noteikumu 1. punkts no</w:t>
      </w:r>
      <w:r>
        <w:rPr>
          <w:rFonts w:asciiTheme="majorBidi" w:hAnsiTheme="majorBidi" w:cstheme="majorBidi"/>
          <w:szCs w:val="24"/>
        </w:rPr>
        <w:t>teic</w:t>
      </w:r>
      <w:r w:rsidRPr="004E32C8">
        <w:rPr>
          <w:rFonts w:asciiTheme="majorBidi" w:hAnsiTheme="majorBidi" w:cstheme="majorBidi"/>
          <w:szCs w:val="24"/>
        </w:rPr>
        <w:t>, ka ar šā likuma spēkā stāšanos spēku zaudē 2007. gada 1. novembra Maksātnespējas likums</w:t>
      </w:r>
      <w:r w:rsidR="001B3A27">
        <w:rPr>
          <w:rFonts w:asciiTheme="majorBidi" w:hAnsiTheme="majorBidi" w:cstheme="majorBidi"/>
          <w:szCs w:val="24"/>
        </w:rPr>
        <w:t xml:space="preserve"> (lēmumā arī – Iepriekšējais Maksātnespējas likums)</w:t>
      </w:r>
      <w:r w:rsidRPr="004E32C8">
        <w:rPr>
          <w:rFonts w:asciiTheme="majorBidi" w:hAnsiTheme="majorBidi" w:cstheme="majorBidi"/>
          <w:szCs w:val="24"/>
        </w:rPr>
        <w:t>. Savukārt Maksātnespējas likuma Pārejas noteikumu 5. punkts paredz, ka maksātnespējas procesos, kuri uzsākti laika posmā no 2008. gada 1. janvāra līdz 2010. gada 31. oktobrim, tiek piemērotas minētajā laika posmā spēkā esošā Maksātnespējas likuma normas un uz tā pamata izdotie normatīvie akti.</w:t>
      </w:r>
    </w:p>
    <w:p w14:paraId="501A5C55" w14:textId="77777777" w:rsidR="00B00152" w:rsidRDefault="00B00152" w:rsidP="000E07E0">
      <w:pPr>
        <w:widowControl w:val="0"/>
        <w:spacing w:after="0" w:line="276" w:lineRule="auto"/>
        <w:ind w:firstLine="720"/>
        <w:jc w:val="both"/>
        <w:rPr>
          <w:rFonts w:asciiTheme="majorBidi" w:hAnsiTheme="majorBidi" w:cstheme="majorBidi"/>
          <w:szCs w:val="24"/>
        </w:rPr>
      </w:pPr>
      <w:r>
        <w:rPr>
          <w:rFonts w:asciiTheme="majorBidi" w:hAnsiTheme="majorBidi" w:cstheme="majorBidi"/>
          <w:szCs w:val="24"/>
        </w:rPr>
        <w:t>Saskaņā ar Iepriekšējā Maksātnespējas likuma 5. panta otro daļu maksātnespējas process tiek uzsākts ar dienu, kad tiesā ierosināta maksātnespējas procesa lieta, un noris līdz dienai, kad tiesa pieņem lēmumu par maksātnespējas procesa izbeigšanu.</w:t>
      </w:r>
    </w:p>
    <w:p w14:paraId="795E8D26" w14:textId="1246897C" w:rsidR="00B00152" w:rsidRDefault="00B00152" w:rsidP="000E07E0">
      <w:pPr>
        <w:widowControl w:val="0"/>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Ievērojot šo regulējumu, apelācijas instances tiesa pamatoti atzinusi, ka apsūdzētās </w:t>
      </w:r>
      <w:r w:rsidR="00194D24">
        <w:rPr>
          <w:rFonts w:asciiTheme="majorBidi" w:hAnsiTheme="majorBidi" w:cstheme="majorBidi"/>
          <w:szCs w:val="24"/>
        </w:rPr>
        <w:t>[pers. A]</w:t>
      </w:r>
      <w:r>
        <w:rPr>
          <w:rFonts w:asciiTheme="majorBidi" w:hAnsiTheme="majorBidi" w:cstheme="majorBidi"/>
          <w:szCs w:val="24"/>
        </w:rPr>
        <w:t xml:space="preserve"> darbības saistībā ar </w:t>
      </w:r>
      <w:r w:rsidR="00194D24">
        <w:rPr>
          <w:rFonts w:asciiTheme="majorBidi" w:hAnsiTheme="majorBidi" w:cstheme="majorBidi"/>
          <w:szCs w:val="24"/>
        </w:rPr>
        <w:t>[pers. B]</w:t>
      </w:r>
      <w:r>
        <w:rPr>
          <w:rFonts w:asciiTheme="majorBidi" w:hAnsiTheme="majorBidi" w:cstheme="majorBidi"/>
          <w:szCs w:val="24"/>
        </w:rPr>
        <w:t xml:space="preserve"> maksātnespējas procesu izvērtējamas saskaņā ar Iepriekšējā Maksātnespējas likuma normām.</w:t>
      </w:r>
    </w:p>
    <w:p w14:paraId="7E9CC3B8" w14:textId="77777777" w:rsidR="00F96F1D" w:rsidRPr="004E32C8" w:rsidRDefault="00F96F1D" w:rsidP="000E07E0">
      <w:pPr>
        <w:widowControl w:val="0"/>
        <w:spacing w:after="0" w:line="276" w:lineRule="auto"/>
        <w:ind w:firstLine="720"/>
        <w:jc w:val="both"/>
        <w:rPr>
          <w:rFonts w:asciiTheme="majorBidi" w:hAnsiTheme="majorBidi" w:cstheme="majorBidi"/>
          <w:szCs w:val="24"/>
        </w:rPr>
      </w:pPr>
      <w:r w:rsidRPr="004E32C8">
        <w:rPr>
          <w:rFonts w:asciiTheme="majorBidi" w:hAnsiTheme="majorBidi" w:cstheme="majorBidi"/>
          <w:szCs w:val="24"/>
        </w:rPr>
        <w:t>No Iepriekšējā Maksātnespējas likuma struktūras redzams, ka maksātnespējas procesa regulējums ir piesaistīts attiecīgajam maksātnespējas subjektam – fiziskai vai juridiskai personai.</w:t>
      </w:r>
    </w:p>
    <w:p w14:paraId="5F0D75CF" w14:textId="4EBAD250" w:rsidR="00F96F1D" w:rsidRDefault="00F96F1D" w:rsidP="000E07E0">
      <w:pPr>
        <w:widowControl w:val="0"/>
        <w:spacing w:after="0" w:line="276" w:lineRule="auto"/>
        <w:ind w:firstLine="720"/>
        <w:jc w:val="both"/>
        <w:rPr>
          <w:rFonts w:asciiTheme="majorBidi" w:hAnsiTheme="majorBidi" w:cstheme="majorBidi"/>
          <w:szCs w:val="24"/>
        </w:rPr>
      </w:pPr>
      <w:r w:rsidRPr="004E32C8">
        <w:rPr>
          <w:rFonts w:asciiTheme="majorBidi" w:hAnsiTheme="majorBidi" w:cstheme="majorBidi"/>
          <w:szCs w:val="24"/>
        </w:rPr>
        <w:t>Iepriekšējā Maksātnespējas likuma 9. pants noteica, ka fiziskajām personām un personālsabiedrībām piemēro uz juridiskajām personām attiecināmos noteikumus, ja šajā likumā nav noteikts citādi.</w:t>
      </w:r>
    </w:p>
    <w:p w14:paraId="70232385" w14:textId="74624A51" w:rsidR="00F96F1D" w:rsidRPr="004E32C8" w:rsidRDefault="00F96F1D" w:rsidP="000E07E0">
      <w:pPr>
        <w:widowControl w:val="0"/>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Tādējādi attiecībā uz fiziskajām personām </w:t>
      </w:r>
      <w:r w:rsidR="00F51C81">
        <w:rPr>
          <w:rFonts w:asciiTheme="majorBidi" w:hAnsiTheme="majorBidi" w:cstheme="majorBidi"/>
          <w:szCs w:val="24"/>
        </w:rPr>
        <w:t xml:space="preserve">piemērojami </w:t>
      </w:r>
      <w:r>
        <w:rPr>
          <w:rFonts w:asciiTheme="majorBidi" w:hAnsiTheme="majorBidi" w:cstheme="majorBidi"/>
          <w:szCs w:val="24"/>
        </w:rPr>
        <w:t xml:space="preserve">uz juridiskajām personām attiecināmie noteikumi </w:t>
      </w:r>
      <w:r w:rsidR="000E6339">
        <w:rPr>
          <w:rFonts w:asciiTheme="majorBidi" w:hAnsiTheme="majorBidi" w:cstheme="majorBidi"/>
          <w:szCs w:val="24"/>
        </w:rPr>
        <w:t xml:space="preserve">ar atrunu, </w:t>
      </w:r>
      <w:r w:rsidR="00F51C81">
        <w:rPr>
          <w:rFonts w:asciiTheme="majorBidi" w:hAnsiTheme="majorBidi" w:cstheme="majorBidi"/>
          <w:szCs w:val="24"/>
        </w:rPr>
        <w:t>k</w:t>
      </w:r>
      <w:r w:rsidR="000E6339">
        <w:rPr>
          <w:rFonts w:asciiTheme="majorBidi" w:hAnsiTheme="majorBidi" w:cstheme="majorBidi"/>
          <w:szCs w:val="24"/>
        </w:rPr>
        <w:t>a Iepriekšējā Maksātnespējas likumā attiecīgajam jautājumam nav sniegts īpašs regulējums.</w:t>
      </w:r>
    </w:p>
    <w:p w14:paraId="226D6BBB" w14:textId="18CFC68C" w:rsidR="00F96F1D" w:rsidRPr="004E32C8" w:rsidRDefault="00F96F1D" w:rsidP="000E07E0">
      <w:pPr>
        <w:widowControl w:val="0"/>
        <w:spacing w:after="0" w:line="276" w:lineRule="auto"/>
        <w:ind w:firstLine="720"/>
        <w:jc w:val="both"/>
        <w:rPr>
          <w:rFonts w:asciiTheme="majorBidi" w:hAnsiTheme="majorBidi" w:cstheme="majorBidi"/>
          <w:szCs w:val="24"/>
        </w:rPr>
      </w:pPr>
      <w:r w:rsidRPr="004E32C8">
        <w:rPr>
          <w:rFonts w:asciiTheme="majorBidi" w:hAnsiTheme="majorBidi" w:cstheme="majorBidi"/>
          <w:szCs w:val="24"/>
        </w:rPr>
        <w:t xml:space="preserve">Iepriekšējā Maksātnespējas likuma 135. pants „Parādnieka mantas </w:t>
      </w:r>
      <w:r w:rsidR="000E6339">
        <w:rPr>
          <w:rFonts w:asciiTheme="majorBidi" w:hAnsiTheme="majorBidi" w:cstheme="majorBidi"/>
          <w:szCs w:val="24"/>
        </w:rPr>
        <w:t>izsole</w:t>
      </w:r>
      <w:r w:rsidRPr="004E32C8">
        <w:rPr>
          <w:rFonts w:asciiTheme="majorBidi" w:hAnsiTheme="majorBidi" w:cstheme="majorBidi"/>
          <w:szCs w:val="24"/>
        </w:rPr>
        <w:t>” ir ietverts šā likuma C sadaļā „Juridiskās personas maksātnespējas process”. Atbilstoši šā panta pirmajai un otrajai daļai parādnieka mantas izsole un īpašuma tiesību nostiprināšana uz ieguvēja vārda notiek Civilprocesa likumā noteiktajā kārtībā, ja šajā likumā nav noteikts citādi, turklāt Civilprocesa likumā noteiktās tiesu izpildītāja darbības saistībā ar parādnieka mantas izsoli un īpašuma tiesību nostiprināšanu uz ieguvēja vārda veic administrators. Savukārt saskaņā ar šā panta septīto daļu jebkuri naudas līdzekļi, kas saistīti ar izsoli, ieskaitāmi parādnieka – juridiskās personas – kontā.</w:t>
      </w:r>
    </w:p>
    <w:p w14:paraId="05B345E6" w14:textId="58AC0F56" w:rsidR="00EC2DC9" w:rsidRDefault="00F96F1D" w:rsidP="000E07E0">
      <w:pPr>
        <w:widowControl w:val="0"/>
        <w:spacing w:after="0" w:line="276" w:lineRule="auto"/>
        <w:ind w:firstLine="720"/>
        <w:jc w:val="both"/>
        <w:rPr>
          <w:rFonts w:asciiTheme="majorBidi" w:hAnsiTheme="majorBidi" w:cstheme="majorBidi"/>
          <w:szCs w:val="24"/>
        </w:rPr>
      </w:pPr>
      <w:r w:rsidRPr="004E32C8">
        <w:rPr>
          <w:rFonts w:asciiTheme="majorBidi" w:hAnsiTheme="majorBidi" w:cstheme="majorBidi"/>
          <w:szCs w:val="24"/>
        </w:rPr>
        <w:t>Vienlaikus Iepriekšējā Maksātnespējas likuma D sadaļā „Fiziskās personas maksātnespējas process” ir ietverts 175. pants „Fiziskās personas mantas izsole”, kura pirmā daļa noteic</w:t>
      </w:r>
      <w:r w:rsidR="000E6339">
        <w:rPr>
          <w:rFonts w:asciiTheme="majorBidi" w:hAnsiTheme="majorBidi" w:cstheme="majorBidi"/>
          <w:szCs w:val="24"/>
        </w:rPr>
        <w:t>a</w:t>
      </w:r>
      <w:r w:rsidRPr="004E32C8">
        <w:rPr>
          <w:rFonts w:asciiTheme="majorBidi" w:hAnsiTheme="majorBidi" w:cstheme="majorBidi"/>
          <w:szCs w:val="24"/>
        </w:rPr>
        <w:t xml:space="preserve">, ka fiziskās personas mantas izsole un īpašuma tiesību nostiprināšana uz ieguvēja vārda notiek Civilprocesa likumā noteiktajā kārtībā, ja attiecībā uz konkrēto mantu šis likums nenosaka citu atsavināšanas kārtību. Šā panta trešā daļa noteica, ka Civilprocesa likumā noteiktās tiesu izpildītāja darbības saistībā ar fiziskās personas mantas, tajā skaitā par nodrošinājumu kalpojošās (ieķīlātās) mantas, izsoli veic administrators. </w:t>
      </w:r>
    </w:p>
    <w:p w14:paraId="5ACA9D21" w14:textId="448C5774" w:rsidR="00F96F1D" w:rsidRPr="004E32C8" w:rsidRDefault="00EC2DC9" w:rsidP="000E07E0">
      <w:pPr>
        <w:widowControl w:val="0"/>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Tādējādi jautājumā par fiziskās personas mantas izsoli un īpašuma tiesību nostiprināšanu uz ieguvēja vārda Iepriekšējā Maksātnespējas likuma 175. pantā ir ietverta atruna, ka tā notiek Civilprocesa likumā noteiktajā kārtībā. </w:t>
      </w:r>
      <w:r w:rsidR="00F96F1D" w:rsidRPr="004E32C8">
        <w:rPr>
          <w:rFonts w:asciiTheme="majorBidi" w:hAnsiTheme="majorBidi" w:cstheme="majorBidi"/>
          <w:szCs w:val="24"/>
        </w:rPr>
        <w:t>Savukārt atbilstoši Civilprocesa likuma 606. panta (2015. gada 28. maija likuma redakcijā)</w:t>
      </w:r>
      <w:r>
        <w:rPr>
          <w:rFonts w:asciiTheme="majorBidi" w:hAnsiTheme="majorBidi" w:cstheme="majorBidi"/>
          <w:szCs w:val="24"/>
        </w:rPr>
        <w:t>, kas reglamentē nekustamā īpašuma izsoles izziņošanu,</w:t>
      </w:r>
      <w:r w:rsidR="00F96F1D" w:rsidRPr="004E32C8">
        <w:rPr>
          <w:rFonts w:asciiTheme="majorBidi" w:hAnsiTheme="majorBidi" w:cstheme="majorBidi"/>
          <w:szCs w:val="24"/>
        </w:rPr>
        <w:t xml:space="preserve"> </w:t>
      </w:r>
      <w:r>
        <w:rPr>
          <w:rFonts w:asciiTheme="majorBidi" w:hAnsiTheme="majorBidi" w:cstheme="majorBidi"/>
          <w:szCs w:val="24"/>
        </w:rPr>
        <w:t>trešās</w:t>
      </w:r>
      <w:r w:rsidR="00F96F1D" w:rsidRPr="004E32C8">
        <w:rPr>
          <w:rFonts w:asciiTheme="majorBidi" w:hAnsiTheme="majorBidi" w:cstheme="majorBidi"/>
          <w:szCs w:val="24"/>
        </w:rPr>
        <w:t xml:space="preserve"> daļas 9. punktam sludinājumā par nekustamā īpašuma izsoli norāda nodrošinājuma summu, kas iemaksājama tiesu izpildītāja depozīta kontā.</w:t>
      </w:r>
    </w:p>
    <w:p w14:paraId="1816CB6E" w14:textId="694C7518" w:rsidR="00F96F1D" w:rsidRPr="004E32C8" w:rsidRDefault="00F96F1D" w:rsidP="000E07E0">
      <w:pPr>
        <w:widowControl w:val="0"/>
        <w:spacing w:after="0" w:line="276" w:lineRule="auto"/>
        <w:ind w:firstLine="720"/>
        <w:jc w:val="both"/>
        <w:rPr>
          <w:rFonts w:asciiTheme="majorBidi" w:hAnsiTheme="majorBidi" w:cstheme="majorBidi"/>
          <w:szCs w:val="24"/>
        </w:rPr>
      </w:pPr>
      <w:r w:rsidRPr="004E32C8">
        <w:rPr>
          <w:rFonts w:asciiTheme="majorBidi" w:hAnsiTheme="majorBidi" w:cstheme="majorBidi"/>
          <w:szCs w:val="24"/>
        </w:rPr>
        <w:t>S</w:t>
      </w:r>
      <w:r w:rsidR="00017846">
        <w:rPr>
          <w:rFonts w:asciiTheme="majorBidi" w:hAnsiTheme="majorBidi" w:cstheme="majorBidi"/>
          <w:szCs w:val="24"/>
        </w:rPr>
        <w:t xml:space="preserve">avukārt </w:t>
      </w:r>
      <w:r w:rsidRPr="004E32C8">
        <w:rPr>
          <w:rFonts w:asciiTheme="majorBidi" w:hAnsiTheme="majorBidi" w:cstheme="majorBidi"/>
          <w:szCs w:val="24"/>
        </w:rPr>
        <w:t>Iepriekšējā Maksātnespējas likuma 161. pants</w:t>
      </w:r>
      <w:r w:rsidR="00017846">
        <w:rPr>
          <w:rFonts w:asciiTheme="majorBidi" w:hAnsiTheme="majorBidi" w:cstheme="majorBidi"/>
          <w:szCs w:val="24"/>
        </w:rPr>
        <w:t xml:space="preserve">, uz kuru atsaukusies pirmās instances tiesa, pamatojot savus atzinumus šajā daļā, </w:t>
      </w:r>
      <w:proofErr w:type="spellStart"/>
      <w:r w:rsidRPr="004E32C8">
        <w:rPr>
          <w:rFonts w:asciiTheme="majorBidi" w:hAnsiTheme="majorBidi" w:cstheme="majorBidi"/>
          <w:i/>
          <w:iCs/>
          <w:szCs w:val="24"/>
        </w:rPr>
        <w:t>ekspressis</w:t>
      </w:r>
      <w:proofErr w:type="spellEnd"/>
      <w:r w:rsidRPr="004E32C8">
        <w:rPr>
          <w:rFonts w:asciiTheme="majorBidi" w:hAnsiTheme="majorBidi" w:cstheme="majorBidi"/>
          <w:i/>
          <w:iCs/>
          <w:szCs w:val="24"/>
        </w:rPr>
        <w:t xml:space="preserve"> </w:t>
      </w:r>
      <w:proofErr w:type="spellStart"/>
      <w:r w:rsidRPr="004E32C8">
        <w:rPr>
          <w:rFonts w:asciiTheme="majorBidi" w:hAnsiTheme="majorBidi" w:cstheme="majorBidi"/>
          <w:i/>
          <w:iCs/>
          <w:szCs w:val="24"/>
        </w:rPr>
        <w:t>verbis</w:t>
      </w:r>
      <w:proofErr w:type="spellEnd"/>
      <w:r w:rsidRPr="004E32C8">
        <w:rPr>
          <w:rFonts w:asciiTheme="majorBidi" w:hAnsiTheme="majorBidi" w:cstheme="majorBidi"/>
          <w:szCs w:val="24"/>
        </w:rPr>
        <w:t xml:space="preserve"> noteic</w:t>
      </w:r>
      <w:r w:rsidR="00017846">
        <w:rPr>
          <w:rFonts w:asciiTheme="majorBidi" w:hAnsiTheme="majorBidi" w:cstheme="majorBidi"/>
          <w:szCs w:val="24"/>
        </w:rPr>
        <w:t>a</w:t>
      </w:r>
      <w:r w:rsidRPr="004E32C8">
        <w:rPr>
          <w:rFonts w:asciiTheme="majorBidi" w:hAnsiTheme="majorBidi" w:cstheme="majorBidi"/>
          <w:szCs w:val="24"/>
        </w:rPr>
        <w:t xml:space="preserve"> maksātnespējīgās fiziskās personas – maksātnespējas subjekta –, nevis maksātnespējas administratora pienākumus.</w:t>
      </w:r>
    </w:p>
    <w:p w14:paraId="3D86FA6D" w14:textId="3A19D425" w:rsidR="00F96F1D" w:rsidRDefault="00F96F1D" w:rsidP="000E07E0">
      <w:pPr>
        <w:widowControl w:val="0"/>
        <w:spacing w:after="0" w:line="276" w:lineRule="auto"/>
        <w:ind w:firstLine="720"/>
        <w:jc w:val="both"/>
        <w:rPr>
          <w:rFonts w:asciiTheme="majorBidi" w:hAnsiTheme="majorBidi" w:cstheme="majorBidi"/>
          <w:szCs w:val="24"/>
        </w:rPr>
      </w:pPr>
      <w:r w:rsidRPr="004E32C8">
        <w:rPr>
          <w:rFonts w:asciiTheme="majorBidi" w:hAnsiTheme="majorBidi" w:cstheme="majorBidi"/>
          <w:szCs w:val="24"/>
        </w:rPr>
        <w:t>Senāts atzīst, ka apelācijas instances tiesa</w:t>
      </w:r>
      <w:r w:rsidR="00D0638D">
        <w:rPr>
          <w:rFonts w:asciiTheme="majorBidi" w:hAnsiTheme="majorBidi" w:cstheme="majorBidi"/>
          <w:szCs w:val="24"/>
        </w:rPr>
        <w:t xml:space="preserve"> </w:t>
      </w:r>
      <w:r w:rsidRPr="004E32C8">
        <w:rPr>
          <w:rFonts w:asciiTheme="majorBidi" w:hAnsiTheme="majorBidi" w:cstheme="majorBidi"/>
          <w:szCs w:val="24"/>
        </w:rPr>
        <w:t xml:space="preserve">nav </w:t>
      </w:r>
      <w:r w:rsidR="00D0638D">
        <w:rPr>
          <w:rFonts w:asciiTheme="majorBidi" w:hAnsiTheme="majorBidi" w:cstheme="majorBidi"/>
          <w:szCs w:val="24"/>
        </w:rPr>
        <w:t xml:space="preserve">izvērtējusi apsūdzētās </w:t>
      </w:r>
      <w:r w:rsidR="00194D24">
        <w:rPr>
          <w:rFonts w:asciiTheme="majorBidi" w:hAnsiTheme="majorBidi" w:cstheme="majorBidi"/>
          <w:szCs w:val="24"/>
        </w:rPr>
        <w:t>[pers. </w:t>
      </w:r>
      <w:r w:rsidR="00194D24">
        <w:t>A]</w:t>
      </w:r>
      <w:r w:rsidR="00D0638D">
        <w:rPr>
          <w:rFonts w:asciiTheme="majorBidi" w:hAnsiTheme="majorBidi" w:cstheme="majorBidi"/>
          <w:szCs w:val="24"/>
        </w:rPr>
        <w:t xml:space="preserve"> aizstāves apelācijas sūdzības argumentus par</w:t>
      </w:r>
      <w:r w:rsidR="007B111C">
        <w:rPr>
          <w:rFonts w:asciiTheme="majorBidi" w:hAnsiTheme="majorBidi" w:cstheme="majorBidi"/>
          <w:szCs w:val="24"/>
        </w:rPr>
        <w:t xml:space="preserve"> normatīvo regulējumu, kas noteica maksātnespējas administratora kompetenci un rīcību fizisko personu maksātnespējas lietās saistībā ar </w:t>
      </w:r>
      <w:r w:rsidR="00194D24">
        <w:rPr>
          <w:rFonts w:asciiTheme="majorBidi" w:hAnsiTheme="majorBidi" w:cstheme="majorBidi"/>
          <w:szCs w:val="24"/>
        </w:rPr>
        <w:t>[pers. B]</w:t>
      </w:r>
      <w:r w:rsidR="007B111C">
        <w:rPr>
          <w:rFonts w:asciiTheme="majorBidi" w:hAnsiTheme="majorBidi" w:cstheme="majorBidi"/>
          <w:szCs w:val="24"/>
        </w:rPr>
        <w:t xml:space="preserve"> maksātnespējas procesu un </w:t>
      </w:r>
      <w:r w:rsidRPr="004E32C8">
        <w:rPr>
          <w:rFonts w:asciiTheme="majorBidi" w:hAnsiTheme="majorBidi" w:cstheme="majorBidi"/>
          <w:szCs w:val="24"/>
        </w:rPr>
        <w:t xml:space="preserve">bez juridiska pamatojuma deklaratīvi atzinusi par pareiziem pirmās instances tiesas </w:t>
      </w:r>
      <w:r w:rsidR="00F22FB6">
        <w:rPr>
          <w:rFonts w:asciiTheme="majorBidi" w:hAnsiTheme="majorBidi" w:cstheme="majorBidi"/>
          <w:szCs w:val="24"/>
        </w:rPr>
        <w:t>secinājumus</w:t>
      </w:r>
      <w:r w:rsidRPr="004E32C8">
        <w:rPr>
          <w:rFonts w:asciiTheme="majorBidi" w:hAnsiTheme="majorBidi" w:cstheme="majorBidi"/>
          <w:szCs w:val="24"/>
        </w:rPr>
        <w:t xml:space="preserve"> par apsūdzētajai </w:t>
      </w:r>
      <w:proofErr w:type="gramStart"/>
      <w:r w:rsidR="00194D24">
        <w:rPr>
          <w:rFonts w:asciiTheme="majorBidi" w:hAnsiTheme="majorBidi" w:cstheme="majorBidi"/>
          <w:szCs w:val="24"/>
        </w:rPr>
        <w:t>[</w:t>
      </w:r>
      <w:proofErr w:type="gramEnd"/>
      <w:r w:rsidR="00194D24">
        <w:rPr>
          <w:rFonts w:asciiTheme="majorBidi" w:hAnsiTheme="majorBidi" w:cstheme="majorBidi"/>
          <w:szCs w:val="24"/>
        </w:rPr>
        <w:t>pers. A]</w:t>
      </w:r>
      <w:r w:rsidRPr="004E32C8">
        <w:rPr>
          <w:rFonts w:asciiTheme="majorBidi" w:hAnsiTheme="majorBidi" w:cstheme="majorBidi"/>
          <w:szCs w:val="24"/>
        </w:rPr>
        <w:t xml:space="preserve"> izvirzīto apsūdzību šajā daļā.</w:t>
      </w:r>
    </w:p>
    <w:p w14:paraId="1D8C1E72" w14:textId="06D1CD39" w:rsidR="001F3FB9" w:rsidRPr="004E32C8" w:rsidRDefault="0088253C" w:rsidP="000E07E0">
      <w:pPr>
        <w:widowControl w:val="0"/>
        <w:spacing w:after="0" w:line="276" w:lineRule="auto"/>
        <w:ind w:firstLine="720"/>
        <w:jc w:val="both"/>
        <w:rPr>
          <w:rFonts w:asciiTheme="majorBidi" w:hAnsiTheme="majorBidi" w:cstheme="majorBidi"/>
          <w:szCs w:val="24"/>
        </w:rPr>
      </w:pPr>
      <w:r>
        <w:rPr>
          <w:rFonts w:asciiTheme="majorBidi" w:hAnsiTheme="majorBidi" w:cstheme="majorBidi"/>
          <w:szCs w:val="24"/>
        </w:rPr>
        <w:t>[5.1.5]</w:t>
      </w:r>
      <w:r w:rsidR="00AA32B7">
        <w:rPr>
          <w:rFonts w:asciiTheme="majorBidi" w:hAnsiTheme="majorBidi" w:cstheme="majorBidi"/>
          <w:szCs w:val="24"/>
        </w:rPr>
        <w:t> </w:t>
      </w:r>
      <w:bookmarkStart w:id="1" w:name="_Hlk131427988"/>
      <w:r w:rsidR="001F3FB9" w:rsidRPr="004E32C8">
        <w:rPr>
          <w:rFonts w:asciiTheme="majorBidi" w:hAnsiTheme="majorBidi" w:cstheme="majorBidi"/>
          <w:szCs w:val="24"/>
        </w:rPr>
        <w:t>Pirmās instances tiesa</w:t>
      </w:r>
      <w:r w:rsidR="001F3FB9">
        <w:rPr>
          <w:rFonts w:asciiTheme="majorBidi" w:hAnsiTheme="majorBidi" w:cstheme="majorBidi"/>
          <w:szCs w:val="24"/>
        </w:rPr>
        <w:t>, kuras spriedumu apelācijas instances tiesa atstājusi negrozītu,</w:t>
      </w:r>
      <w:r w:rsidR="001F3FB9" w:rsidRPr="004E32C8">
        <w:rPr>
          <w:rFonts w:asciiTheme="majorBidi" w:hAnsiTheme="majorBidi" w:cstheme="majorBidi"/>
          <w:szCs w:val="24"/>
        </w:rPr>
        <w:t xml:space="preserve"> atzinusi par pierādītu, ka </w:t>
      </w:r>
      <w:r w:rsidR="003B546A">
        <w:rPr>
          <w:rFonts w:asciiTheme="majorBidi" w:hAnsiTheme="majorBidi" w:cstheme="majorBidi"/>
          <w:szCs w:val="24"/>
        </w:rPr>
        <w:t xml:space="preserve">pēc nekustamā īpašuma izsoles atzīšanas par spēkā neesošu </w:t>
      </w:r>
      <w:r w:rsidR="00194D24">
        <w:rPr>
          <w:rFonts w:asciiTheme="majorBidi" w:hAnsiTheme="majorBidi" w:cstheme="majorBidi"/>
          <w:szCs w:val="24"/>
        </w:rPr>
        <w:t>[pers. B]</w:t>
      </w:r>
      <w:r w:rsidR="001F3FB9" w:rsidRPr="004E32C8">
        <w:rPr>
          <w:rFonts w:asciiTheme="majorBidi" w:hAnsiTheme="majorBidi" w:cstheme="majorBidi"/>
          <w:szCs w:val="24"/>
        </w:rPr>
        <w:t xml:space="preserve"> maksātnespējas procesā apsūdzētā </w:t>
      </w:r>
      <w:r w:rsidR="00194D24">
        <w:rPr>
          <w:rFonts w:asciiTheme="majorBidi" w:hAnsiTheme="majorBidi" w:cstheme="majorBidi"/>
          <w:szCs w:val="24"/>
        </w:rPr>
        <w:t>[pers. A]</w:t>
      </w:r>
      <w:r w:rsidR="001F3FB9" w:rsidRPr="004E32C8">
        <w:rPr>
          <w:rFonts w:asciiTheme="majorBidi" w:hAnsiTheme="majorBidi" w:cstheme="majorBidi"/>
          <w:szCs w:val="24"/>
        </w:rPr>
        <w:t xml:space="preserve"> nekavējoties nav atmaksājusi cietušajam </w:t>
      </w:r>
      <w:r w:rsidR="00194D24">
        <w:rPr>
          <w:rFonts w:asciiTheme="majorBidi" w:hAnsiTheme="majorBidi" w:cstheme="majorBidi"/>
          <w:szCs w:val="24"/>
        </w:rPr>
        <w:t>[pers. C]</w:t>
      </w:r>
      <w:r w:rsidR="001F3FB9" w:rsidRPr="004E32C8">
        <w:rPr>
          <w:rFonts w:asciiTheme="majorBidi" w:hAnsiTheme="majorBidi" w:cstheme="majorBidi"/>
          <w:szCs w:val="24"/>
        </w:rPr>
        <w:t xml:space="preserve"> 121 669,37 </w:t>
      </w:r>
      <w:proofErr w:type="spellStart"/>
      <w:r w:rsidR="001F3FB9" w:rsidRPr="004E32C8">
        <w:rPr>
          <w:rFonts w:asciiTheme="majorBidi" w:hAnsiTheme="majorBidi" w:cstheme="majorBidi"/>
          <w:i/>
          <w:iCs/>
          <w:szCs w:val="24"/>
        </w:rPr>
        <w:t>euro</w:t>
      </w:r>
      <w:proofErr w:type="spellEnd"/>
      <w:r w:rsidR="001F3FB9">
        <w:rPr>
          <w:rFonts w:asciiTheme="majorBidi" w:hAnsiTheme="majorBidi" w:cstheme="majorBidi"/>
          <w:i/>
          <w:iCs/>
          <w:szCs w:val="24"/>
        </w:rPr>
        <w:t xml:space="preserve"> </w:t>
      </w:r>
      <w:r w:rsidR="001F3FB9">
        <w:rPr>
          <w:rFonts w:asciiTheme="majorBidi" w:hAnsiTheme="majorBidi" w:cstheme="majorBidi"/>
          <w:szCs w:val="24"/>
        </w:rPr>
        <w:t>un</w:t>
      </w:r>
      <w:r w:rsidR="001F3FB9" w:rsidRPr="004E32C8">
        <w:rPr>
          <w:rFonts w:asciiTheme="majorBidi" w:hAnsiTheme="majorBidi" w:cstheme="majorBidi"/>
          <w:i/>
          <w:iCs/>
          <w:szCs w:val="24"/>
        </w:rPr>
        <w:t xml:space="preserve"> </w:t>
      </w:r>
      <w:r w:rsidR="001F3FB9" w:rsidRPr="004E32C8">
        <w:rPr>
          <w:rFonts w:asciiTheme="majorBidi" w:hAnsiTheme="majorBidi" w:cstheme="majorBidi"/>
          <w:szCs w:val="24"/>
        </w:rPr>
        <w:t>tādējādi piesavinājusies svešu mantu lielā apmērā.</w:t>
      </w:r>
      <w:bookmarkEnd w:id="1"/>
    </w:p>
    <w:p w14:paraId="2378C3DF" w14:textId="10129D7D" w:rsidR="001F3FB9" w:rsidRPr="004E32C8" w:rsidRDefault="001F3FB9" w:rsidP="000E07E0">
      <w:pPr>
        <w:pStyle w:val="NoSpacing"/>
        <w:spacing w:line="276" w:lineRule="auto"/>
        <w:ind w:firstLine="720"/>
        <w:jc w:val="both"/>
        <w:rPr>
          <w:rFonts w:asciiTheme="majorBidi" w:hAnsiTheme="majorBidi" w:cstheme="majorBidi"/>
          <w:sz w:val="24"/>
          <w:szCs w:val="24"/>
          <w:lang w:val="lv-LV"/>
        </w:rPr>
      </w:pPr>
      <w:r w:rsidRPr="004E32C8">
        <w:rPr>
          <w:rFonts w:asciiTheme="majorBidi" w:hAnsiTheme="majorBidi" w:cstheme="majorBidi"/>
          <w:sz w:val="24"/>
          <w:szCs w:val="24"/>
          <w:lang w:val="lv-LV"/>
        </w:rPr>
        <w:t>Pamatojot savus atzinumus</w:t>
      </w:r>
      <w:r w:rsidR="003B546A">
        <w:rPr>
          <w:rFonts w:asciiTheme="majorBidi" w:hAnsiTheme="majorBidi" w:cstheme="majorBidi"/>
          <w:sz w:val="24"/>
          <w:szCs w:val="24"/>
          <w:lang w:val="lv-LV"/>
        </w:rPr>
        <w:t xml:space="preserve"> šajā daļā</w:t>
      </w:r>
      <w:r w:rsidRPr="004E32C8">
        <w:rPr>
          <w:rFonts w:asciiTheme="majorBidi" w:hAnsiTheme="majorBidi" w:cstheme="majorBidi"/>
          <w:sz w:val="24"/>
          <w:szCs w:val="24"/>
          <w:lang w:val="lv-LV"/>
        </w:rPr>
        <w:t>, pirmās instances tiesa norādījusi, ka</w:t>
      </w:r>
      <w:r w:rsidR="003B546A">
        <w:rPr>
          <w:rFonts w:asciiTheme="majorBidi" w:hAnsiTheme="majorBidi" w:cstheme="majorBidi"/>
          <w:sz w:val="24"/>
          <w:szCs w:val="24"/>
          <w:lang w:val="lv-LV"/>
        </w:rPr>
        <w:t xml:space="preserve"> </w:t>
      </w:r>
      <w:r w:rsidRPr="004E32C8">
        <w:rPr>
          <w:rFonts w:asciiTheme="majorBidi" w:hAnsiTheme="majorBidi" w:cstheme="majorBidi"/>
          <w:sz w:val="24"/>
          <w:szCs w:val="24"/>
          <w:lang w:val="lv-LV"/>
        </w:rPr>
        <w:t>gadījumos, kad izsole tiek atzīta par spēkā neesošu, pēc analoģijas piemērojama Civilprocesa likuma 607. panta (2015.</w:t>
      </w:r>
      <w:r w:rsidR="00A6748D">
        <w:rPr>
          <w:rFonts w:asciiTheme="majorBidi" w:hAnsiTheme="majorBidi" w:cstheme="majorBidi"/>
          <w:sz w:val="24"/>
          <w:szCs w:val="24"/>
          <w:lang w:val="lv-LV"/>
        </w:rPr>
        <w:t> </w:t>
      </w:r>
      <w:r w:rsidRPr="004E32C8">
        <w:rPr>
          <w:rFonts w:asciiTheme="majorBidi" w:hAnsiTheme="majorBidi" w:cstheme="majorBidi"/>
          <w:sz w:val="24"/>
          <w:szCs w:val="24"/>
          <w:lang w:val="lv-LV"/>
        </w:rPr>
        <w:t>gada 28. maija likuma redakcijā) trešā (domājams</w:t>
      </w:r>
      <w:r w:rsidR="00A6748D">
        <w:rPr>
          <w:rFonts w:asciiTheme="majorBidi" w:hAnsiTheme="majorBidi" w:cstheme="majorBidi"/>
          <w:sz w:val="24"/>
          <w:szCs w:val="24"/>
          <w:lang w:val="lv-LV"/>
        </w:rPr>
        <w:t> </w:t>
      </w:r>
      <w:r w:rsidR="003B546A">
        <w:rPr>
          <w:rFonts w:asciiTheme="majorBidi" w:hAnsiTheme="majorBidi" w:cstheme="majorBidi"/>
          <w:sz w:val="24"/>
          <w:szCs w:val="24"/>
          <w:lang w:val="lv-LV"/>
        </w:rPr>
        <w:t xml:space="preserve">– </w:t>
      </w:r>
      <w:r w:rsidRPr="004E32C8">
        <w:rPr>
          <w:rFonts w:asciiTheme="majorBidi" w:hAnsiTheme="majorBidi" w:cstheme="majorBidi"/>
          <w:sz w:val="24"/>
          <w:szCs w:val="24"/>
          <w:lang w:val="lv-LV"/>
        </w:rPr>
        <w:t>ceturtā) daļa, k</w:t>
      </w:r>
      <w:r w:rsidR="003B546A">
        <w:rPr>
          <w:rFonts w:asciiTheme="majorBidi" w:hAnsiTheme="majorBidi" w:cstheme="majorBidi"/>
          <w:sz w:val="24"/>
          <w:szCs w:val="24"/>
          <w:lang w:val="lv-LV"/>
        </w:rPr>
        <w:t>as</w:t>
      </w:r>
      <w:r w:rsidRPr="004E32C8">
        <w:rPr>
          <w:rFonts w:asciiTheme="majorBidi" w:hAnsiTheme="majorBidi" w:cstheme="majorBidi"/>
          <w:sz w:val="24"/>
          <w:szCs w:val="24"/>
          <w:lang w:val="lv-LV"/>
        </w:rPr>
        <w:t xml:space="preserve"> noteic, ka pārsolītajiem izsoles dalībniekiem viņu iemaksāto nodrošinājumu pēc izsoles noslēguma nekavējoties izsniedz atpakaļ</w:t>
      </w:r>
      <w:r w:rsidR="003B546A">
        <w:rPr>
          <w:rFonts w:asciiTheme="majorBidi" w:hAnsiTheme="majorBidi" w:cstheme="majorBidi"/>
          <w:sz w:val="24"/>
          <w:szCs w:val="24"/>
          <w:lang w:val="lv-LV"/>
        </w:rPr>
        <w:t xml:space="preserve">. </w:t>
      </w:r>
      <w:r w:rsidR="001E3FF9">
        <w:rPr>
          <w:rFonts w:asciiTheme="majorBidi" w:hAnsiTheme="majorBidi" w:cstheme="majorBidi"/>
          <w:sz w:val="24"/>
          <w:szCs w:val="24"/>
          <w:lang w:val="lv-LV"/>
        </w:rPr>
        <w:t xml:space="preserve">Tiesa norādījusi, ka </w:t>
      </w:r>
      <w:r w:rsidRPr="004E32C8">
        <w:rPr>
          <w:rFonts w:asciiTheme="majorBidi" w:hAnsiTheme="majorBidi" w:cstheme="majorBidi"/>
          <w:sz w:val="24"/>
          <w:szCs w:val="24"/>
          <w:lang w:val="lv-LV"/>
        </w:rPr>
        <w:t xml:space="preserve">Civilprocesa likumā jēdziens „nekavējoties” pēc būtības un satura nav skaidrots, </w:t>
      </w:r>
      <w:r w:rsidR="001E3FF9">
        <w:rPr>
          <w:rFonts w:asciiTheme="majorBidi" w:hAnsiTheme="majorBidi" w:cstheme="majorBidi"/>
          <w:sz w:val="24"/>
          <w:szCs w:val="24"/>
          <w:lang w:val="lv-LV"/>
        </w:rPr>
        <w:t>taču</w:t>
      </w:r>
      <w:r w:rsidRPr="004E32C8">
        <w:rPr>
          <w:rFonts w:asciiTheme="majorBidi" w:hAnsiTheme="majorBidi" w:cstheme="majorBidi"/>
          <w:sz w:val="24"/>
          <w:szCs w:val="24"/>
          <w:lang w:val="lv-LV"/>
        </w:rPr>
        <w:t xml:space="preserve"> atbilstoši latviešu literārās valodas vārdnīcā sniegtajam skaidrojumam ar jēdzienu „nekavējoties” saprot „tūlīt, bez kavēšanās, bez vilcināšanās”, </w:t>
      </w:r>
      <w:r>
        <w:rPr>
          <w:rFonts w:asciiTheme="majorBidi" w:hAnsiTheme="majorBidi" w:cstheme="majorBidi"/>
          <w:sz w:val="24"/>
          <w:szCs w:val="24"/>
          <w:lang w:val="lv-LV"/>
        </w:rPr>
        <w:t xml:space="preserve">un </w:t>
      </w:r>
      <w:r w:rsidRPr="004E32C8">
        <w:rPr>
          <w:rFonts w:asciiTheme="majorBidi" w:hAnsiTheme="majorBidi" w:cstheme="majorBidi"/>
          <w:sz w:val="24"/>
          <w:szCs w:val="24"/>
          <w:lang w:val="lv-LV"/>
        </w:rPr>
        <w:t xml:space="preserve">tas nav saistīts ar kādu noteiktu termiņu. </w:t>
      </w:r>
      <w:r w:rsidR="001E3FF9">
        <w:rPr>
          <w:rFonts w:asciiTheme="majorBidi" w:hAnsiTheme="majorBidi" w:cstheme="majorBidi"/>
          <w:sz w:val="24"/>
          <w:szCs w:val="24"/>
          <w:lang w:val="lv-LV"/>
        </w:rPr>
        <w:t xml:space="preserve">Ievērojot minēto, tiesa atzinusi, ka </w:t>
      </w:r>
      <w:r w:rsidRPr="004E32C8">
        <w:rPr>
          <w:rFonts w:asciiTheme="majorBidi" w:hAnsiTheme="majorBidi" w:cstheme="majorBidi"/>
          <w:sz w:val="24"/>
          <w:szCs w:val="24"/>
          <w:lang w:val="lv-LV"/>
        </w:rPr>
        <w:t xml:space="preserve">apsūdzētajai </w:t>
      </w:r>
      <w:r w:rsidR="00194D24">
        <w:rPr>
          <w:rFonts w:asciiTheme="majorBidi" w:hAnsiTheme="majorBidi" w:cstheme="majorBidi"/>
          <w:sz w:val="24"/>
          <w:szCs w:val="24"/>
          <w:lang w:val="lv-LV"/>
        </w:rPr>
        <w:t>[pers. A]</w:t>
      </w:r>
      <w:r w:rsidRPr="004E32C8">
        <w:rPr>
          <w:rFonts w:asciiTheme="majorBidi" w:hAnsiTheme="majorBidi" w:cstheme="majorBidi"/>
          <w:sz w:val="24"/>
          <w:szCs w:val="24"/>
          <w:lang w:val="lv-LV"/>
        </w:rPr>
        <w:t xml:space="preserve"> bijis pienākums atmaksāt cietušajam </w:t>
      </w:r>
      <w:r w:rsidR="00194D24">
        <w:rPr>
          <w:rFonts w:asciiTheme="majorBidi" w:hAnsiTheme="majorBidi" w:cstheme="majorBidi"/>
          <w:sz w:val="24"/>
          <w:szCs w:val="24"/>
          <w:lang w:val="lv-LV"/>
        </w:rPr>
        <w:t>[pers. C]</w:t>
      </w:r>
      <w:r w:rsidRPr="004E32C8">
        <w:rPr>
          <w:rFonts w:asciiTheme="majorBidi" w:hAnsiTheme="majorBidi" w:cstheme="majorBidi"/>
          <w:sz w:val="24"/>
          <w:szCs w:val="24"/>
          <w:lang w:val="lv-LV"/>
        </w:rPr>
        <w:t xml:space="preserve"> visus </w:t>
      </w:r>
      <w:r w:rsidR="00C66DF5">
        <w:rPr>
          <w:rFonts w:asciiTheme="majorBidi" w:hAnsiTheme="majorBidi" w:cstheme="majorBidi"/>
          <w:sz w:val="24"/>
          <w:szCs w:val="24"/>
          <w:lang w:val="lv-LV"/>
        </w:rPr>
        <w:t>viņam</w:t>
      </w:r>
      <w:r w:rsidRPr="004E32C8">
        <w:rPr>
          <w:rFonts w:asciiTheme="majorBidi" w:hAnsiTheme="majorBidi" w:cstheme="majorBidi"/>
          <w:sz w:val="24"/>
          <w:szCs w:val="24"/>
          <w:lang w:val="lv-LV"/>
        </w:rPr>
        <w:t xml:space="preserve"> pienākošos 121 669,37 </w:t>
      </w:r>
      <w:r w:rsidRPr="004E32C8">
        <w:rPr>
          <w:rFonts w:asciiTheme="majorBidi" w:hAnsiTheme="majorBidi" w:cstheme="majorBidi"/>
          <w:i/>
          <w:iCs/>
          <w:sz w:val="24"/>
          <w:szCs w:val="24"/>
          <w:lang w:val="lv-LV"/>
        </w:rPr>
        <w:t>euro</w:t>
      </w:r>
      <w:r w:rsidRPr="004E32C8">
        <w:rPr>
          <w:rFonts w:asciiTheme="majorBidi" w:hAnsiTheme="majorBidi" w:cstheme="majorBidi"/>
          <w:sz w:val="24"/>
          <w:szCs w:val="24"/>
          <w:lang w:val="lv-LV"/>
        </w:rPr>
        <w:t xml:space="preserve"> dienā, kad apsūdzētā uzzināj</w:t>
      </w:r>
      <w:r w:rsidR="001E3FF9">
        <w:rPr>
          <w:rFonts w:asciiTheme="majorBidi" w:hAnsiTheme="majorBidi" w:cstheme="majorBidi"/>
          <w:sz w:val="24"/>
          <w:szCs w:val="24"/>
          <w:lang w:val="lv-LV"/>
        </w:rPr>
        <w:t>a</w:t>
      </w:r>
      <w:r w:rsidRPr="004E32C8">
        <w:rPr>
          <w:rFonts w:asciiTheme="majorBidi" w:hAnsiTheme="majorBidi" w:cstheme="majorBidi"/>
          <w:sz w:val="24"/>
          <w:szCs w:val="24"/>
          <w:lang w:val="lv-LV"/>
        </w:rPr>
        <w:t xml:space="preserve"> par izsoles atzīšanu par spēkā neesošu,</w:t>
      </w:r>
      <w:r>
        <w:rPr>
          <w:rFonts w:asciiTheme="majorBidi" w:hAnsiTheme="majorBidi" w:cstheme="majorBidi"/>
          <w:sz w:val="24"/>
          <w:szCs w:val="24"/>
          <w:lang w:val="lv-LV"/>
        </w:rPr>
        <w:t> </w:t>
      </w:r>
      <w:r w:rsidR="001E3FF9">
        <w:rPr>
          <w:rFonts w:asciiTheme="majorBidi" w:hAnsiTheme="majorBidi" w:cstheme="majorBidi"/>
          <w:sz w:val="24"/>
          <w:szCs w:val="24"/>
          <w:lang w:val="lv-LV"/>
        </w:rPr>
        <w:t xml:space="preserve">proti, </w:t>
      </w:r>
      <w:r w:rsidRPr="004E32C8">
        <w:rPr>
          <w:rFonts w:asciiTheme="majorBidi" w:hAnsiTheme="majorBidi" w:cstheme="majorBidi"/>
          <w:sz w:val="24"/>
          <w:szCs w:val="24"/>
          <w:lang w:val="lv-LV"/>
        </w:rPr>
        <w:t>2016. gada 31. maijā.</w:t>
      </w:r>
    </w:p>
    <w:p w14:paraId="18AB4B42" w14:textId="629C9A87" w:rsidR="00C66DF5" w:rsidRPr="004E32C8" w:rsidRDefault="001F3FB9" w:rsidP="000E07E0">
      <w:pPr>
        <w:widowControl w:val="0"/>
        <w:spacing w:after="0" w:line="276" w:lineRule="auto"/>
        <w:ind w:firstLine="720"/>
        <w:jc w:val="both"/>
        <w:rPr>
          <w:rFonts w:asciiTheme="majorBidi" w:hAnsiTheme="majorBidi" w:cstheme="majorBidi"/>
          <w:szCs w:val="24"/>
        </w:rPr>
      </w:pPr>
      <w:r w:rsidRPr="004E32C8">
        <w:rPr>
          <w:rFonts w:asciiTheme="majorBidi" w:hAnsiTheme="majorBidi" w:cstheme="majorBidi"/>
          <w:szCs w:val="24"/>
        </w:rPr>
        <w:t>Apelācijas sūdzībā aizstāve norādījusi, ka pirmās instances tiesa</w:t>
      </w:r>
      <w:proofErr w:type="gramStart"/>
      <w:r w:rsidRPr="004E32C8">
        <w:rPr>
          <w:rFonts w:asciiTheme="majorBidi" w:hAnsiTheme="majorBidi" w:cstheme="majorBidi"/>
          <w:szCs w:val="24"/>
        </w:rPr>
        <w:t xml:space="preserve"> nepamatoti atzinusi</w:t>
      </w:r>
      <w:proofErr w:type="gramEnd"/>
      <w:r w:rsidRPr="004E32C8">
        <w:rPr>
          <w:rFonts w:asciiTheme="majorBidi" w:hAnsiTheme="majorBidi" w:cstheme="majorBidi"/>
          <w:szCs w:val="24"/>
        </w:rPr>
        <w:t xml:space="preserve">, ka </w:t>
      </w:r>
      <w:r w:rsidR="00194D24">
        <w:rPr>
          <w:rFonts w:asciiTheme="majorBidi" w:hAnsiTheme="majorBidi" w:cstheme="majorBidi"/>
          <w:szCs w:val="24"/>
        </w:rPr>
        <w:t>[pers. A]</w:t>
      </w:r>
      <w:r w:rsidRPr="004E32C8">
        <w:rPr>
          <w:rFonts w:asciiTheme="majorBidi" w:hAnsiTheme="majorBidi" w:cstheme="majorBidi"/>
          <w:szCs w:val="24"/>
        </w:rPr>
        <w:t xml:space="preserve"> saistībā ar </w:t>
      </w:r>
      <w:r w:rsidR="00194D24">
        <w:rPr>
          <w:rFonts w:asciiTheme="majorBidi" w:hAnsiTheme="majorBidi" w:cstheme="majorBidi"/>
          <w:szCs w:val="24"/>
        </w:rPr>
        <w:t>[pers. B]</w:t>
      </w:r>
      <w:r w:rsidRPr="004E32C8">
        <w:rPr>
          <w:rFonts w:asciiTheme="majorBidi" w:hAnsiTheme="majorBidi" w:cstheme="majorBidi"/>
          <w:szCs w:val="24"/>
        </w:rPr>
        <w:t xml:space="preserve"> maksātnespējas procesu ir piesavinājusies 121 669,37 </w:t>
      </w:r>
      <w:r w:rsidRPr="004E32C8">
        <w:rPr>
          <w:rFonts w:asciiTheme="majorBidi" w:hAnsiTheme="majorBidi" w:cstheme="majorBidi"/>
          <w:i/>
          <w:iCs/>
          <w:szCs w:val="24"/>
        </w:rPr>
        <w:t>euro</w:t>
      </w:r>
      <w:r w:rsidRPr="004E32C8">
        <w:rPr>
          <w:rFonts w:asciiTheme="majorBidi" w:hAnsiTheme="majorBidi" w:cstheme="majorBidi"/>
          <w:szCs w:val="24"/>
        </w:rPr>
        <w:t>, jo apsūdzētā</w:t>
      </w:r>
      <w:r w:rsidR="00C66DF5">
        <w:rPr>
          <w:rFonts w:asciiTheme="majorBidi" w:hAnsiTheme="majorBidi" w:cstheme="majorBidi"/>
          <w:szCs w:val="24"/>
        </w:rPr>
        <w:t xml:space="preserve"> </w:t>
      </w:r>
      <w:r w:rsidRPr="004E32C8">
        <w:rPr>
          <w:rFonts w:asciiTheme="majorBidi" w:hAnsiTheme="majorBidi" w:cstheme="majorBidi"/>
          <w:szCs w:val="24"/>
        </w:rPr>
        <w:t xml:space="preserve">jau 2016. gada 2. jūnijā atmaksājusi cietušajam </w:t>
      </w:r>
      <w:r w:rsidR="00194D24">
        <w:rPr>
          <w:rFonts w:asciiTheme="majorBidi" w:hAnsiTheme="majorBidi" w:cstheme="majorBidi"/>
          <w:szCs w:val="24"/>
        </w:rPr>
        <w:t>[pers. C]</w:t>
      </w:r>
      <w:r w:rsidRPr="004E32C8">
        <w:rPr>
          <w:rFonts w:asciiTheme="majorBidi" w:hAnsiTheme="majorBidi" w:cstheme="majorBidi"/>
          <w:szCs w:val="24"/>
        </w:rPr>
        <w:t xml:space="preserve"> daļu no summas – 46 769,37 </w:t>
      </w:r>
      <w:r w:rsidRPr="004E32C8">
        <w:rPr>
          <w:rFonts w:asciiTheme="majorBidi" w:hAnsiTheme="majorBidi" w:cstheme="majorBidi"/>
          <w:i/>
          <w:iCs/>
          <w:szCs w:val="24"/>
        </w:rPr>
        <w:t>euro</w:t>
      </w:r>
      <w:r w:rsidR="00C66DF5">
        <w:rPr>
          <w:rFonts w:asciiTheme="majorBidi" w:hAnsiTheme="majorBidi" w:cstheme="majorBidi"/>
          <w:szCs w:val="24"/>
        </w:rPr>
        <w:t xml:space="preserve"> –, līdz ar to nav pamata uzskatīt, ka viņa šo naudu būtu piesavinājusies.</w:t>
      </w:r>
    </w:p>
    <w:p w14:paraId="55D40346" w14:textId="0427AD30" w:rsidR="001F3FB9" w:rsidRPr="004E32C8" w:rsidRDefault="001F3FB9" w:rsidP="000E07E0">
      <w:pPr>
        <w:pStyle w:val="NoSpacing"/>
        <w:spacing w:line="276" w:lineRule="auto"/>
        <w:ind w:firstLine="720"/>
        <w:jc w:val="both"/>
        <w:rPr>
          <w:rFonts w:asciiTheme="majorBidi" w:hAnsiTheme="majorBidi" w:cstheme="majorBidi"/>
          <w:sz w:val="24"/>
          <w:szCs w:val="24"/>
          <w:lang w:val="lv-LV"/>
        </w:rPr>
      </w:pPr>
      <w:r w:rsidRPr="004E32C8">
        <w:rPr>
          <w:rFonts w:asciiTheme="majorBidi" w:hAnsiTheme="majorBidi" w:cstheme="majorBidi"/>
          <w:sz w:val="24"/>
          <w:szCs w:val="24"/>
          <w:lang w:val="lv-LV"/>
        </w:rPr>
        <w:t>Senāts norāda, ka Civilprocesa likuma 607. panta ceturtajā daļā ietvert</w:t>
      </w:r>
      <w:r w:rsidR="00C66DF5">
        <w:rPr>
          <w:rFonts w:asciiTheme="majorBidi" w:hAnsiTheme="majorBidi" w:cstheme="majorBidi"/>
          <w:sz w:val="24"/>
          <w:szCs w:val="24"/>
          <w:lang w:val="lv-LV"/>
        </w:rPr>
        <w:t xml:space="preserve">ais jēdziens </w:t>
      </w:r>
      <w:r w:rsidRPr="004E32C8">
        <w:rPr>
          <w:rFonts w:asciiTheme="majorBidi" w:hAnsiTheme="majorBidi" w:cstheme="majorBidi"/>
          <w:sz w:val="24"/>
          <w:szCs w:val="24"/>
          <w:lang w:val="lv-LV"/>
        </w:rPr>
        <w:t>„nekavējoties” ir ģenerālklauzula, kas tiesību normu piemērotājam katrā gadījumā jāpiepilda ar saturu atbilstoši lietas faktiskajiem apstākļiem.</w:t>
      </w:r>
    </w:p>
    <w:p w14:paraId="418E7EE7" w14:textId="16BE38C9" w:rsidR="001F3FB9" w:rsidRPr="004E32C8" w:rsidRDefault="001F3FB9" w:rsidP="000E07E0">
      <w:pPr>
        <w:pStyle w:val="NoSpacing"/>
        <w:spacing w:line="276" w:lineRule="auto"/>
        <w:ind w:firstLine="720"/>
        <w:jc w:val="both"/>
        <w:rPr>
          <w:rFonts w:asciiTheme="majorBidi" w:hAnsiTheme="majorBidi" w:cstheme="majorBidi"/>
          <w:sz w:val="24"/>
          <w:szCs w:val="24"/>
          <w:lang w:val="lv-LV"/>
        </w:rPr>
      </w:pPr>
      <w:r w:rsidRPr="004E32C8">
        <w:rPr>
          <w:rFonts w:asciiTheme="majorBidi" w:hAnsiTheme="majorBidi" w:cstheme="majorBidi"/>
          <w:sz w:val="24"/>
          <w:szCs w:val="24"/>
          <w:lang w:val="lv-LV"/>
        </w:rPr>
        <w:t xml:space="preserve">Augstākās tiesas judikatūrā, skatot līdzīgu jautājumu saistībā ar Civilprocesa likuma regulējumu par sprieduma nekavējošu izpildi, pausta atziņa, ka ar nekavējošu izpildi saprot iespēju to izpildīt saprātīgi īsā termiņā pēc pasludināšanas, negaidot tā stāšanos spēkā, nevis to, ka jau nākamajā mirklī tūlīt pēc sprieduma pasludināšanas piedzinējam ir jābūt saņēmušam izpildījumu </w:t>
      </w:r>
      <w:proofErr w:type="gramStart"/>
      <w:r w:rsidRPr="004E32C8">
        <w:rPr>
          <w:rFonts w:asciiTheme="majorBidi" w:hAnsiTheme="majorBidi" w:cstheme="majorBidi"/>
          <w:sz w:val="24"/>
          <w:szCs w:val="24"/>
          <w:lang w:val="lv-LV"/>
        </w:rPr>
        <w:t>(</w:t>
      </w:r>
      <w:proofErr w:type="gramEnd"/>
      <w:r w:rsidRPr="004E32C8">
        <w:rPr>
          <w:rFonts w:asciiTheme="majorBidi" w:hAnsiTheme="majorBidi" w:cstheme="majorBidi"/>
          <w:sz w:val="24"/>
          <w:szCs w:val="24"/>
          <w:lang w:val="lv-LV"/>
        </w:rPr>
        <w:t xml:space="preserve">sal. </w:t>
      </w:r>
      <w:r w:rsidRPr="004E32C8">
        <w:rPr>
          <w:rFonts w:asciiTheme="majorBidi" w:hAnsiTheme="majorBidi" w:cstheme="majorBidi"/>
          <w:i/>
          <w:iCs/>
          <w:sz w:val="24"/>
          <w:szCs w:val="24"/>
          <w:lang w:val="lv-LV"/>
        </w:rPr>
        <w:t>Senāta 2014. gada 26. septembra spriedums lietā Nr. SKC</w:t>
      </w:r>
      <w:r w:rsidR="000E07E0">
        <w:rPr>
          <w:rFonts w:asciiTheme="majorBidi" w:hAnsiTheme="majorBidi" w:cstheme="majorBidi"/>
          <w:i/>
          <w:iCs/>
          <w:sz w:val="24"/>
          <w:szCs w:val="24"/>
          <w:lang w:val="lv-LV"/>
        </w:rPr>
        <w:t>-</w:t>
      </w:r>
      <w:r w:rsidRPr="004E32C8">
        <w:rPr>
          <w:rFonts w:asciiTheme="majorBidi" w:hAnsiTheme="majorBidi" w:cstheme="majorBidi"/>
          <w:i/>
          <w:iCs/>
          <w:sz w:val="24"/>
          <w:szCs w:val="24"/>
          <w:lang w:val="lv-LV"/>
        </w:rPr>
        <w:t>1948/2014</w:t>
      </w:r>
      <w:r w:rsidRPr="004E32C8">
        <w:rPr>
          <w:rFonts w:asciiTheme="majorBidi" w:hAnsiTheme="majorBidi" w:cstheme="majorBidi"/>
          <w:sz w:val="24"/>
          <w:szCs w:val="24"/>
          <w:lang w:val="lv-LV"/>
        </w:rPr>
        <w:t>).</w:t>
      </w:r>
    </w:p>
    <w:p w14:paraId="12A74208" w14:textId="40E99B5C" w:rsidR="001F3FB9" w:rsidRPr="004E32C8" w:rsidRDefault="001F3FB9" w:rsidP="000E07E0">
      <w:pPr>
        <w:pStyle w:val="NoSpacing"/>
        <w:spacing w:line="276" w:lineRule="auto"/>
        <w:ind w:firstLine="720"/>
        <w:jc w:val="both"/>
        <w:rPr>
          <w:rFonts w:asciiTheme="majorBidi" w:hAnsiTheme="majorBidi" w:cstheme="majorBidi"/>
          <w:sz w:val="24"/>
          <w:szCs w:val="24"/>
          <w:lang w:val="lv-LV"/>
        </w:rPr>
      </w:pPr>
      <w:r w:rsidRPr="004E32C8">
        <w:rPr>
          <w:rFonts w:asciiTheme="majorBidi" w:hAnsiTheme="majorBidi" w:cstheme="majorBidi"/>
          <w:sz w:val="24"/>
          <w:szCs w:val="24"/>
          <w:lang w:val="lv-LV"/>
        </w:rPr>
        <w:t xml:space="preserve">Senāts atzīst, ka apelācijas instances tiesa, pievienojoties pirmās instances tiesas atzinumiem šajā daļā, izskatāmajā lietā </w:t>
      </w:r>
      <w:r w:rsidR="00C66DF5">
        <w:rPr>
          <w:rFonts w:asciiTheme="majorBidi" w:hAnsiTheme="majorBidi" w:cstheme="majorBidi"/>
          <w:sz w:val="24"/>
          <w:szCs w:val="24"/>
          <w:lang w:val="lv-LV"/>
        </w:rPr>
        <w:t xml:space="preserve">ir </w:t>
      </w:r>
      <w:r w:rsidRPr="004E32C8">
        <w:rPr>
          <w:rFonts w:asciiTheme="majorBidi" w:hAnsiTheme="majorBidi" w:cstheme="majorBidi"/>
          <w:sz w:val="24"/>
          <w:szCs w:val="24"/>
          <w:lang w:val="lv-LV"/>
        </w:rPr>
        <w:t>noskaidrojusi jēdziena „nekavējoties” literāro nozīmi, bet</w:t>
      </w:r>
      <w:r w:rsidR="00C66DF5">
        <w:rPr>
          <w:rFonts w:asciiTheme="majorBidi" w:hAnsiTheme="majorBidi" w:cstheme="majorBidi"/>
          <w:sz w:val="24"/>
          <w:szCs w:val="24"/>
          <w:lang w:val="lv-LV"/>
        </w:rPr>
        <w:t xml:space="preserve"> </w:t>
      </w:r>
      <w:r w:rsidRPr="004E32C8">
        <w:rPr>
          <w:rFonts w:asciiTheme="majorBidi" w:hAnsiTheme="majorBidi" w:cstheme="majorBidi"/>
          <w:sz w:val="24"/>
          <w:szCs w:val="24"/>
          <w:lang w:val="lv-LV"/>
        </w:rPr>
        <w:t>nav noskaidrojusi šā jēdziena juridisko nozīmi. Apelācijas instances tiesa nav izvērtējusi aizstāves apelācijas sūdzības argumentus šajā daļā.</w:t>
      </w:r>
    </w:p>
    <w:p w14:paraId="359CE5C7" w14:textId="67F3E782" w:rsidR="001F3FB9" w:rsidRDefault="001F3FB9" w:rsidP="000E07E0">
      <w:pPr>
        <w:pStyle w:val="NoSpacing"/>
        <w:spacing w:line="276" w:lineRule="auto"/>
        <w:ind w:firstLine="720"/>
        <w:jc w:val="both"/>
        <w:rPr>
          <w:rFonts w:asciiTheme="majorBidi" w:hAnsiTheme="majorBidi" w:cstheme="majorBidi"/>
          <w:sz w:val="24"/>
          <w:szCs w:val="24"/>
          <w:lang w:val="lv-LV"/>
        </w:rPr>
      </w:pPr>
      <w:r w:rsidRPr="004E32C8">
        <w:rPr>
          <w:rFonts w:asciiTheme="majorBidi" w:hAnsiTheme="majorBidi" w:cstheme="majorBidi"/>
          <w:sz w:val="24"/>
          <w:szCs w:val="24"/>
          <w:lang w:val="lv-LV"/>
        </w:rPr>
        <w:t>Šī apstākļa izvērtējumam ir būtiska nozīme lietas taisnīgā izspriešanā, izlemjot</w:t>
      </w:r>
      <w:r w:rsidR="00C66DF5">
        <w:rPr>
          <w:rFonts w:asciiTheme="majorBidi" w:hAnsiTheme="majorBidi" w:cstheme="majorBidi"/>
          <w:sz w:val="24"/>
          <w:szCs w:val="24"/>
          <w:lang w:val="lv-LV"/>
        </w:rPr>
        <w:t xml:space="preserve"> jautājumu </w:t>
      </w:r>
      <w:r w:rsidR="009318FA">
        <w:rPr>
          <w:rFonts w:asciiTheme="majorBidi" w:hAnsiTheme="majorBidi" w:cstheme="majorBidi"/>
          <w:sz w:val="24"/>
          <w:szCs w:val="24"/>
          <w:lang w:val="lv-LV"/>
        </w:rPr>
        <w:t xml:space="preserve">par </w:t>
      </w:r>
      <w:r w:rsidR="00194D24">
        <w:rPr>
          <w:rFonts w:asciiTheme="majorBidi" w:hAnsiTheme="majorBidi" w:cstheme="majorBidi"/>
          <w:sz w:val="24"/>
          <w:szCs w:val="24"/>
          <w:lang w:val="lv-LV"/>
        </w:rPr>
        <w:t>[pers. A]</w:t>
      </w:r>
      <w:r w:rsidR="009318FA">
        <w:rPr>
          <w:rFonts w:asciiTheme="majorBidi" w:hAnsiTheme="majorBidi" w:cstheme="majorBidi"/>
          <w:sz w:val="24"/>
          <w:szCs w:val="24"/>
          <w:lang w:val="lv-LV"/>
        </w:rPr>
        <w:t xml:space="preserve"> inkriminētā Krimināllikuma 179.</w:t>
      </w:r>
      <w:r w:rsidR="00A6748D">
        <w:rPr>
          <w:rFonts w:asciiTheme="majorBidi" w:hAnsiTheme="majorBidi" w:cstheme="majorBidi"/>
          <w:sz w:val="24"/>
          <w:szCs w:val="24"/>
          <w:lang w:val="lv-LV"/>
        </w:rPr>
        <w:t> </w:t>
      </w:r>
      <w:r w:rsidR="009318FA">
        <w:rPr>
          <w:rFonts w:asciiTheme="majorBidi" w:hAnsiTheme="majorBidi" w:cstheme="majorBidi"/>
          <w:sz w:val="24"/>
          <w:szCs w:val="24"/>
          <w:lang w:val="lv-LV"/>
        </w:rPr>
        <w:t>panta trešajā daļā paredzētā noziedzīgā nodarījuma faktiskajiem apstākļiem.</w:t>
      </w:r>
    </w:p>
    <w:p w14:paraId="7B870CBF" w14:textId="64D9F820" w:rsidR="009318FA" w:rsidRDefault="009318FA" w:rsidP="000E07E0">
      <w:pPr>
        <w:pStyle w:val="NoSpacing"/>
        <w:spacing w:line="276" w:lineRule="auto"/>
        <w:ind w:firstLine="720"/>
        <w:jc w:val="both"/>
        <w:rPr>
          <w:rFonts w:asciiTheme="majorBidi" w:hAnsiTheme="majorBidi" w:cstheme="majorBidi"/>
          <w:sz w:val="24"/>
          <w:szCs w:val="24"/>
          <w:lang w:val="lv-LV"/>
        </w:rPr>
      </w:pPr>
      <w:r>
        <w:rPr>
          <w:rFonts w:asciiTheme="majorBidi" w:hAnsiTheme="majorBidi" w:cstheme="majorBidi"/>
          <w:sz w:val="24"/>
          <w:szCs w:val="24"/>
          <w:lang w:val="lv-LV"/>
        </w:rPr>
        <w:t>[5.1.6]</w:t>
      </w:r>
      <w:r w:rsidR="00A6748D">
        <w:rPr>
          <w:rFonts w:asciiTheme="majorBidi" w:hAnsiTheme="majorBidi" w:cstheme="majorBidi"/>
          <w:sz w:val="24"/>
          <w:szCs w:val="24"/>
          <w:lang w:val="lv-LV"/>
        </w:rPr>
        <w:t> </w:t>
      </w:r>
      <w:r>
        <w:rPr>
          <w:rFonts w:asciiTheme="majorBidi" w:hAnsiTheme="majorBidi" w:cstheme="majorBidi"/>
          <w:sz w:val="24"/>
          <w:szCs w:val="24"/>
          <w:lang w:val="lv-LV"/>
        </w:rPr>
        <w:t xml:space="preserve">Senāts atzīst, ka apelācijas instances tiesas pieļautie Kriminālprocesa likuma 562. panta pirmās daļas un 564. panta ceturtās daļas pārkāpumi atzīstami par Kriminālprocesa likuma būtiskiem pārkāpumiem šā likuma 575. panta trešās daļas izpratnē, kas daļā par apsūdzētās </w:t>
      </w:r>
      <w:r w:rsidR="00194D24">
        <w:rPr>
          <w:rFonts w:asciiTheme="majorBidi" w:hAnsiTheme="majorBidi" w:cstheme="majorBidi"/>
          <w:sz w:val="24"/>
          <w:szCs w:val="24"/>
          <w:lang w:val="lv-LV"/>
        </w:rPr>
        <w:t>[pers. A]</w:t>
      </w:r>
      <w:r>
        <w:rPr>
          <w:rFonts w:asciiTheme="majorBidi" w:hAnsiTheme="majorBidi" w:cstheme="majorBidi"/>
          <w:sz w:val="24"/>
          <w:szCs w:val="24"/>
          <w:lang w:val="lv-LV"/>
        </w:rPr>
        <w:t xml:space="preserve"> atzīšanu par vainīgu un sodīšanu </w:t>
      </w:r>
      <w:r w:rsidR="00514398">
        <w:rPr>
          <w:rFonts w:asciiTheme="majorBidi" w:hAnsiTheme="majorBidi" w:cstheme="majorBidi"/>
          <w:sz w:val="24"/>
          <w:szCs w:val="24"/>
          <w:lang w:val="lv-LV"/>
        </w:rPr>
        <w:t xml:space="preserve">pēc Krimināllikuma 179. panta trešās daļas un 318. panta trešās daļas saistībā ar </w:t>
      </w:r>
      <w:r w:rsidR="00194D24">
        <w:rPr>
          <w:rFonts w:asciiTheme="majorBidi" w:hAnsiTheme="majorBidi" w:cstheme="majorBidi"/>
          <w:sz w:val="24"/>
          <w:szCs w:val="24"/>
          <w:lang w:val="lv-LV"/>
        </w:rPr>
        <w:t>[pers. B]</w:t>
      </w:r>
      <w:r w:rsidR="00514398">
        <w:rPr>
          <w:rFonts w:asciiTheme="majorBidi" w:hAnsiTheme="majorBidi" w:cstheme="majorBidi"/>
          <w:sz w:val="24"/>
          <w:szCs w:val="24"/>
          <w:lang w:val="lv-LV"/>
        </w:rPr>
        <w:t xml:space="preserve"> maksātnespējas procesu </w:t>
      </w:r>
      <w:r>
        <w:rPr>
          <w:rFonts w:asciiTheme="majorBidi" w:hAnsiTheme="majorBidi" w:cstheme="majorBidi"/>
          <w:sz w:val="24"/>
          <w:szCs w:val="24"/>
          <w:lang w:val="lv-LV"/>
        </w:rPr>
        <w:t>noveduši pie nelikumīga nolēmuma</w:t>
      </w:r>
      <w:r w:rsidR="00E16D69">
        <w:rPr>
          <w:rFonts w:asciiTheme="majorBidi" w:hAnsiTheme="majorBidi" w:cstheme="majorBidi"/>
          <w:sz w:val="24"/>
          <w:szCs w:val="24"/>
          <w:lang w:val="lv-LV"/>
        </w:rPr>
        <w:t>.</w:t>
      </w:r>
    </w:p>
    <w:p w14:paraId="4799FD4A" w14:textId="012DD342" w:rsidR="00143BF2" w:rsidRDefault="00332E81" w:rsidP="000E07E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[5.2]</w:t>
      </w:r>
      <w:r w:rsidR="00A6748D">
        <w:rPr>
          <w:rFonts w:asciiTheme="majorBidi" w:hAnsiTheme="majorBidi" w:cstheme="majorBidi"/>
          <w:szCs w:val="24"/>
        </w:rPr>
        <w:t> </w:t>
      </w:r>
      <w:r w:rsidR="00B44BBC">
        <w:rPr>
          <w:rFonts w:asciiTheme="majorBidi" w:hAnsiTheme="majorBidi" w:cstheme="majorBidi"/>
          <w:szCs w:val="24"/>
        </w:rPr>
        <w:t>Turklāt, p</w:t>
      </w:r>
      <w:r w:rsidR="00B44BBC" w:rsidRPr="004E32C8">
        <w:rPr>
          <w:rFonts w:asciiTheme="majorBidi" w:hAnsiTheme="majorBidi" w:cstheme="majorBidi"/>
          <w:szCs w:val="24"/>
        </w:rPr>
        <w:t xml:space="preserve">amatojoties </w:t>
      </w:r>
      <w:r w:rsidR="00B44BBC" w:rsidRPr="004E32C8">
        <w:rPr>
          <w:rFonts w:asciiTheme="majorBidi" w:hAnsiTheme="majorBidi" w:cstheme="majorBidi"/>
          <w:bCs/>
          <w:szCs w:val="24"/>
        </w:rPr>
        <w:t xml:space="preserve">uz Kriminālprocesa likuma 584. panta otro daļu, Senāts atzīst par nepieciešamu pārsniegt apsūdzētās </w:t>
      </w:r>
      <w:r w:rsidR="00194D24">
        <w:rPr>
          <w:rFonts w:asciiTheme="majorBidi" w:hAnsiTheme="majorBidi" w:cstheme="majorBidi"/>
          <w:bCs/>
          <w:szCs w:val="24"/>
        </w:rPr>
        <w:t>[pers. A]</w:t>
      </w:r>
      <w:r w:rsidR="00B44BBC" w:rsidRPr="004E32C8">
        <w:rPr>
          <w:rFonts w:asciiTheme="majorBidi" w:hAnsiTheme="majorBidi" w:cstheme="majorBidi"/>
          <w:bCs/>
          <w:szCs w:val="24"/>
        </w:rPr>
        <w:t xml:space="preserve"> aizstāves kasācijas sūdzībā izteikto prasību apjomu, jo konstatē, ka apelācijas instances tiesa, iztiesājot lietu, pieļāvusi tādu Kriminālprocesa likuma būtisku pārkāpumu, kas nav norādīt</w:t>
      </w:r>
      <w:r w:rsidR="00AA49D5">
        <w:rPr>
          <w:rFonts w:asciiTheme="majorBidi" w:hAnsiTheme="majorBidi" w:cstheme="majorBidi"/>
          <w:bCs/>
          <w:szCs w:val="24"/>
        </w:rPr>
        <w:t>s</w:t>
      </w:r>
      <w:r w:rsidR="00B44BBC" w:rsidRPr="004E32C8">
        <w:rPr>
          <w:rFonts w:asciiTheme="majorBidi" w:hAnsiTheme="majorBidi" w:cstheme="majorBidi"/>
          <w:bCs/>
          <w:szCs w:val="24"/>
        </w:rPr>
        <w:t xml:space="preserve"> kasācijas sūdzībā.</w:t>
      </w:r>
    </w:p>
    <w:p w14:paraId="007DF8C3" w14:textId="36301747" w:rsidR="00E7720B" w:rsidRDefault="00B44BBC" w:rsidP="000E07E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No tiesas sniegtā pierādītā noziedzīgā nodarījuma apraksta izriet, ka apsūdzētajai </w:t>
      </w:r>
      <w:r w:rsidR="00194D24">
        <w:rPr>
          <w:rFonts w:asciiTheme="majorBidi" w:hAnsiTheme="majorBidi" w:cstheme="majorBidi"/>
          <w:szCs w:val="24"/>
        </w:rPr>
        <w:t>[pers. A]</w:t>
      </w:r>
      <w:r>
        <w:rPr>
          <w:rFonts w:asciiTheme="majorBidi" w:hAnsiTheme="majorBidi" w:cstheme="majorBidi"/>
          <w:szCs w:val="24"/>
        </w:rPr>
        <w:t xml:space="preserve"> inkriminētie noziedzīgie nodarījumi pēc Krimināllikuma 179. panta trešās daļas un 318. panta trešās daļas gan saistībā ar </w:t>
      </w:r>
      <w:r w:rsidR="00194D24">
        <w:rPr>
          <w:rFonts w:asciiTheme="majorBidi" w:hAnsiTheme="majorBidi" w:cstheme="majorBidi"/>
          <w:szCs w:val="24"/>
        </w:rPr>
        <w:t>[pers. B]</w:t>
      </w:r>
      <w:r>
        <w:rPr>
          <w:rFonts w:asciiTheme="majorBidi" w:hAnsiTheme="majorBidi" w:cstheme="majorBidi"/>
          <w:szCs w:val="24"/>
        </w:rPr>
        <w:t xml:space="preserve"> maksātnespējas procesu, gan saistībā ar </w:t>
      </w:r>
      <w:r w:rsidR="00194D24">
        <w:rPr>
          <w:rFonts w:asciiTheme="majorBidi" w:hAnsiTheme="majorBidi" w:cstheme="majorBidi"/>
          <w:szCs w:val="24"/>
        </w:rPr>
        <w:t>[pers. E]</w:t>
      </w:r>
      <w:r>
        <w:rPr>
          <w:rFonts w:asciiTheme="majorBidi" w:hAnsiTheme="majorBidi" w:cstheme="majorBidi"/>
          <w:szCs w:val="24"/>
        </w:rPr>
        <w:t xml:space="preserve"> maksātnespējas procesu veido noziedzīgu nodarījumu ideālo kopību, </w:t>
      </w:r>
      <w:r w:rsidR="00550E6F">
        <w:rPr>
          <w:rFonts w:asciiTheme="majorBidi" w:hAnsiTheme="majorBidi" w:cstheme="majorBidi"/>
          <w:szCs w:val="24"/>
        </w:rPr>
        <w:t>turklāt abos gadījumos noziedzīgo nodarījumu k</w:t>
      </w:r>
      <w:r w:rsidR="003C1292">
        <w:rPr>
          <w:rFonts w:asciiTheme="majorBidi" w:hAnsiTheme="majorBidi" w:cstheme="majorBidi"/>
          <w:szCs w:val="24"/>
        </w:rPr>
        <w:t>ai</w:t>
      </w:r>
      <w:r w:rsidR="00550E6F">
        <w:rPr>
          <w:rFonts w:asciiTheme="majorBidi" w:hAnsiTheme="majorBidi" w:cstheme="majorBidi"/>
          <w:szCs w:val="24"/>
        </w:rPr>
        <w:t>tīgās sekas</w:t>
      </w:r>
      <w:r w:rsidR="004D7D25">
        <w:rPr>
          <w:rFonts w:asciiTheme="majorBidi" w:hAnsiTheme="majorBidi" w:cstheme="majorBidi"/>
          <w:szCs w:val="24"/>
        </w:rPr>
        <w:t>, proti,</w:t>
      </w:r>
      <w:r w:rsidR="00550E6F">
        <w:rPr>
          <w:rFonts w:asciiTheme="majorBidi" w:hAnsiTheme="majorBidi" w:cstheme="majorBidi"/>
          <w:szCs w:val="24"/>
        </w:rPr>
        <w:t xml:space="preserve"> pēc Krimināllikuma 179.</w:t>
      </w:r>
      <w:r w:rsidR="00A6748D">
        <w:rPr>
          <w:rFonts w:asciiTheme="majorBidi" w:hAnsiTheme="majorBidi" w:cstheme="majorBidi"/>
          <w:szCs w:val="24"/>
        </w:rPr>
        <w:t> </w:t>
      </w:r>
      <w:r w:rsidR="00550E6F">
        <w:rPr>
          <w:rFonts w:asciiTheme="majorBidi" w:hAnsiTheme="majorBidi" w:cstheme="majorBidi"/>
          <w:szCs w:val="24"/>
        </w:rPr>
        <w:t>panta trešās daļas – piesavināšanās lielā apmērā</w:t>
      </w:r>
      <w:r w:rsidR="004D7D25">
        <w:rPr>
          <w:rFonts w:asciiTheme="majorBidi" w:hAnsiTheme="majorBidi" w:cstheme="majorBidi"/>
          <w:szCs w:val="24"/>
        </w:rPr>
        <w:t xml:space="preserve"> </w:t>
      </w:r>
      <w:r w:rsidR="00550E6F">
        <w:rPr>
          <w:rFonts w:asciiTheme="majorBidi" w:hAnsiTheme="majorBidi" w:cstheme="majorBidi"/>
          <w:szCs w:val="24"/>
        </w:rPr>
        <w:t xml:space="preserve">– un pēc Krimināllikuma 318. panta trešās daļas – valsts amatpersonas izdarītas tīšas darbības, ļaunprātīgi izmantojot dienesta stāvokli, izraisījušas smagas sekas – veido </w:t>
      </w:r>
      <w:r w:rsidR="003C1292">
        <w:rPr>
          <w:rFonts w:asciiTheme="majorBidi" w:hAnsiTheme="majorBidi" w:cstheme="majorBidi"/>
          <w:szCs w:val="24"/>
        </w:rPr>
        <w:t xml:space="preserve">viens un tas pats kaitējums – materiālie zaudējumi – saistībā ar </w:t>
      </w:r>
      <w:r w:rsidR="00194D24">
        <w:rPr>
          <w:rFonts w:asciiTheme="majorBidi" w:hAnsiTheme="majorBidi" w:cstheme="majorBidi"/>
          <w:szCs w:val="24"/>
        </w:rPr>
        <w:t>[pers. </w:t>
      </w:r>
      <w:r w:rsidR="00194D24">
        <w:t>B]</w:t>
      </w:r>
      <w:r w:rsidR="003C1292">
        <w:rPr>
          <w:rFonts w:asciiTheme="majorBidi" w:hAnsiTheme="majorBidi" w:cstheme="majorBidi"/>
          <w:szCs w:val="24"/>
        </w:rPr>
        <w:t xml:space="preserve"> maksātnespējas procesu – 121 669,37</w:t>
      </w:r>
      <w:r w:rsidR="004D7D25">
        <w:rPr>
          <w:rFonts w:asciiTheme="majorBidi" w:hAnsiTheme="majorBidi" w:cstheme="majorBidi"/>
          <w:szCs w:val="24"/>
        </w:rPr>
        <w:t> </w:t>
      </w:r>
      <w:r w:rsidR="003C1292">
        <w:rPr>
          <w:rFonts w:asciiTheme="majorBidi" w:hAnsiTheme="majorBidi" w:cstheme="majorBidi"/>
          <w:i/>
          <w:iCs/>
          <w:szCs w:val="24"/>
        </w:rPr>
        <w:t>euro</w:t>
      </w:r>
      <w:r w:rsidR="003C1292">
        <w:rPr>
          <w:rFonts w:asciiTheme="majorBidi" w:hAnsiTheme="majorBidi" w:cstheme="majorBidi"/>
          <w:szCs w:val="24"/>
        </w:rPr>
        <w:t xml:space="preserve"> –, bet saistībā ar </w:t>
      </w:r>
      <w:r w:rsidR="00194D24">
        <w:rPr>
          <w:rFonts w:asciiTheme="majorBidi" w:hAnsiTheme="majorBidi" w:cstheme="majorBidi"/>
          <w:szCs w:val="24"/>
        </w:rPr>
        <w:t>[pers. E]</w:t>
      </w:r>
      <w:r w:rsidR="003C1292">
        <w:rPr>
          <w:rFonts w:asciiTheme="majorBidi" w:hAnsiTheme="majorBidi" w:cstheme="majorBidi"/>
          <w:szCs w:val="24"/>
        </w:rPr>
        <w:t xml:space="preserve"> maksātnespējas procesu – 32 203,24</w:t>
      </w:r>
      <w:r w:rsidR="004D7D25">
        <w:rPr>
          <w:rFonts w:asciiTheme="majorBidi" w:hAnsiTheme="majorBidi" w:cstheme="majorBidi"/>
          <w:szCs w:val="24"/>
        </w:rPr>
        <w:t> </w:t>
      </w:r>
      <w:r w:rsidR="003C1292">
        <w:rPr>
          <w:rFonts w:asciiTheme="majorBidi" w:hAnsiTheme="majorBidi" w:cstheme="majorBidi"/>
          <w:i/>
          <w:iCs/>
          <w:szCs w:val="24"/>
        </w:rPr>
        <w:t>euro</w:t>
      </w:r>
      <w:r w:rsidR="003C1292">
        <w:rPr>
          <w:rFonts w:asciiTheme="majorBidi" w:hAnsiTheme="majorBidi" w:cstheme="majorBidi"/>
          <w:szCs w:val="24"/>
        </w:rPr>
        <w:t>.</w:t>
      </w:r>
    </w:p>
    <w:p w14:paraId="01EEEB28" w14:textId="5BE98657" w:rsidR="00E7720B" w:rsidRDefault="00E7720B" w:rsidP="000E07E0">
      <w:pPr>
        <w:widowControl w:val="0"/>
        <w:tabs>
          <w:tab w:val="left" w:pos="1710"/>
        </w:tabs>
        <w:spacing w:after="0" w:line="276" w:lineRule="auto"/>
        <w:ind w:firstLine="720"/>
        <w:jc w:val="both"/>
        <w:rPr>
          <w:rFonts w:asciiTheme="majorBidi" w:hAnsiTheme="majorBidi" w:cstheme="majorBidi"/>
          <w:szCs w:val="24"/>
        </w:rPr>
      </w:pPr>
      <w:r w:rsidRPr="004E32C8">
        <w:rPr>
          <w:rFonts w:asciiTheme="majorBidi" w:hAnsiTheme="majorBidi" w:cstheme="majorBidi"/>
          <w:szCs w:val="24"/>
        </w:rPr>
        <w:t xml:space="preserve">Juridiskajā literatūrā norādīts, ka atšķirība starp normu konkurenci un noziedzīgu nodarījumu kopību ir pēc būtības – normu konkurences gadījumā viens noziedzīgs nodarījums atbilst vairāku patstāvīgu noziedzīgu nodarījumu sastāvu pazīmēm, bet nodarījumu ideālās kopības gadījumā – ar vienu prettiesisku darbību tiek izdarīti vairāki patstāvīgi noziedzīgi nodarījumi. Parasti noziedzīgu nodarījumu ideālo kopību raksturo tas, ka personas sāktā noziedzīgā darbība vērsta uz viena mērķa sasniegšanu, bet šīs darbības realizācijas procesā rodas kādas citas kaitīgās sekas, kuras neaptver viena noziedzīga nodarījuma sastāva pazīmes, </w:t>
      </w:r>
      <w:proofErr w:type="gramStart"/>
      <w:r w:rsidRPr="004E32C8">
        <w:rPr>
          <w:rFonts w:asciiTheme="majorBidi" w:hAnsiTheme="majorBidi" w:cstheme="majorBidi"/>
          <w:szCs w:val="24"/>
        </w:rPr>
        <w:t>turklāt</w:t>
      </w:r>
      <w:r w:rsidR="00EA4471">
        <w:rPr>
          <w:rFonts w:asciiTheme="majorBidi" w:hAnsiTheme="majorBidi" w:cstheme="majorBidi"/>
          <w:szCs w:val="24"/>
        </w:rPr>
        <w:t>,</w:t>
      </w:r>
      <w:proofErr w:type="gramEnd"/>
      <w:r w:rsidRPr="004E32C8">
        <w:rPr>
          <w:rFonts w:asciiTheme="majorBidi" w:hAnsiTheme="majorBidi" w:cstheme="majorBidi"/>
          <w:szCs w:val="24"/>
        </w:rPr>
        <w:t xml:space="preserve"> kaut arī noziedzīgas darbības var īpaši neatšķirties, tiek apdraudēti atšķirīgi nodarījumu tiešie objekti. Tie ir visai svarīgi faktori, lai būtu pamats atzīt, ka izdarīti divi patstāvīgi nodarījumi (</w:t>
      </w:r>
      <w:r w:rsidRPr="004E32C8">
        <w:rPr>
          <w:rFonts w:asciiTheme="majorBidi" w:hAnsiTheme="majorBidi" w:cstheme="majorBidi"/>
          <w:i/>
          <w:iCs/>
          <w:szCs w:val="24"/>
        </w:rPr>
        <w:t>Krastiņš</w:t>
      </w:r>
      <w:r w:rsidR="004D7D25">
        <w:rPr>
          <w:rFonts w:asciiTheme="majorBidi" w:hAnsiTheme="majorBidi" w:cstheme="majorBidi"/>
          <w:i/>
          <w:iCs/>
          <w:szCs w:val="24"/>
        </w:rPr>
        <w:t> </w:t>
      </w:r>
      <w:r w:rsidRPr="004E32C8">
        <w:rPr>
          <w:rFonts w:asciiTheme="majorBidi" w:hAnsiTheme="majorBidi" w:cstheme="majorBidi"/>
          <w:i/>
          <w:iCs/>
          <w:szCs w:val="24"/>
        </w:rPr>
        <w:t xml:space="preserve">U., </w:t>
      </w:r>
      <w:proofErr w:type="spellStart"/>
      <w:r w:rsidRPr="004E32C8">
        <w:rPr>
          <w:rFonts w:asciiTheme="majorBidi" w:hAnsiTheme="majorBidi" w:cstheme="majorBidi"/>
          <w:i/>
          <w:iCs/>
          <w:szCs w:val="24"/>
        </w:rPr>
        <w:t>Liholaja</w:t>
      </w:r>
      <w:proofErr w:type="spellEnd"/>
      <w:r w:rsidR="004D7D25">
        <w:rPr>
          <w:rFonts w:asciiTheme="majorBidi" w:hAnsiTheme="majorBidi" w:cstheme="majorBidi"/>
          <w:i/>
          <w:iCs/>
          <w:szCs w:val="24"/>
        </w:rPr>
        <w:t> </w:t>
      </w:r>
      <w:r w:rsidRPr="004E32C8">
        <w:rPr>
          <w:rFonts w:asciiTheme="majorBidi" w:hAnsiTheme="majorBidi" w:cstheme="majorBidi"/>
          <w:i/>
          <w:iCs/>
          <w:szCs w:val="24"/>
        </w:rPr>
        <w:t>V. Krimināllikuma komentāri. Pirmā daļa (I</w:t>
      </w:r>
      <w:r w:rsidR="000E07E0">
        <w:rPr>
          <w:rFonts w:asciiTheme="majorBidi" w:hAnsiTheme="majorBidi" w:cstheme="majorBidi"/>
          <w:i/>
          <w:iCs/>
          <w:szCs w:val="24"/>
        </w:rPr>
        <w:t>-</w:t>
      </w:r>
      <w:r w:rsidRPr="004E32C8">
        <w:rPr>
          <w:rFonts w:asciiTheme="majorBidi" w:hAnsiTheme="majorBidi" w:cstheme="majorBidi"/>
          <w:i/>
          <w:iCs/>
          <w:szCs w:val="24"/>
        </w:rPr>
        <w:t>VIII</w:t>
      </w:r>
      <w:r w:rsidRPr="004E32C8">
        <w:rPr>
          <w:rFonts w:asciiTheme="majorBidi" w:hAnsiTheme="majorBidi" w:cstheme="majorBidi"/>
          <w:i/>
          <w:iCs/>
          <w:szCs w:val="24"/>
          <w:vertAlign w:val="superscript"/>
        </w:rPr>
        <w:t>2</w:t>
      </w:r>
      <w:r w:rsidRPr="004E32C8">
        <w:rPr>
          <w:rFonts w:asciiTheme="majorBidi" w:hAnsiTheme="majorBidi" w:cstheme="majorBidi"/>
          <w:i/>
          <w:iCs/>
          <w:szCs w:val="24"/>
        </w:rPr>
        <w:t xml:space="preserve"> nodaļa). Otrais papildinātais izdevums. Rīga: Tiesu namu aģentūra, 2018, 126., 129.–130. lpp.</w:t>
      </w:r>
      <w:r w:rsidRPr="004E32C8">
        <w:rPr>
          <w:rFonts w:asciiTheme="majorBidi" w:hAnsiTheme="majorBidi" w:cstheme="majorBidi"/>
          <w:szCs w:val="24"/>
        </w:rPr>
        <w:t>).</w:t>
      </w:r>
    </w:p>
    <w:p w14:paraId="050849AE" w14:textId="38507CEE" w:rsidR="00836EEF" w:rsidRDefault="00E7720B" w:rsidP="000E07E0">
      <w:pPr>
        <w:widowControl w:val="0"/>
        <w:tabs>
          <w:tab w:val="left" w:pos="1710"/>
        </w:tabs>
        <w:spacing w:after="0" w:line="276" w:lineRule="auto"/>
        <w:ind w:firstLine="720"/>
        <w:jc w:val="both"/>
      </w:pPr>
      <w:r>
        <w:rPr>
          <w:rFonts w:asciiTheme="majorBidi" w:hAnsiTheme="majorBidi" w:cstheme="majorBidi"/>
          <w:szCs w:val="24"/>
        </w:rPr>
        <w:t xml:space="preserve">Turklāt, kā tas šajā lēmumā norādīts jau iepriekš, </w:t>
      </w:r>
      <w:r>
        <w:t>atšķirībā no mantas nolaupīšanas dienesta stāvokļa ļaunprātīga izmantošana, lai arī izdarīta mantkārīgu tieksmju dēļ un radījusi materiālu zaudējumu, nav saistīta ar mantas bezatlīdzības izņemšanu no sveša īpašuma vai valdījuma un sagrābšanu savā īpašumā vai valdījumā vai tās nodošanu citas personas īpašumā vai valdījumā. Tā,</w:t>
      </w:r>
      <w:r w:rsidR="004D7D25">
        <w:t xml:space="preserve"> </w:t>
      </w:r>
      <w:r>
        <w:t>piemēram, var būt nolaidības dēļ radīta iztrūkuma slēpšana, sagrozot statistiku, lai izvairītos no materiālas atbildības, mantas izmantošana uz laiku bez nodoma pārvērst par savu vai citas personas īpašumu utt.</w:t>
      </w:r>
      <w:r w:rsidR="00836EEF">
        <w:t xml:space="preserve"> (</w:t>
      </w:r>
      <w:r w:rsidR="00836EEF">
        <w:rPr>
          <w:i/>
          <w:iCs/>
        </w:rPr>
        <w:t xml:space="preserve">tiesu prakses apkopojums </w:t>
      </w:r>
      <w:r w:rsidR="00836EEF" w:rsidRPr="00C5614C">
        <w:rPr>
          <w:i/>
          <w:iCs/>
          <w:color w:val="000000" w:themeColor="text1"/>
        </w:rPr>
        <w:t>„</w:t>
      </w:r>
      <w:hyperlink r:id="rId10" w:history="1">
        <w:r w:rsidR="00836EEF" w:rsidRPr="00C5614C">
          <w:rPr>
            <w:rStyle w:val="Hyperlink"/>
            <w:i/>
            <w:iCs/>
            <w:color w:val="000000" w:themeColor="text1"/>
            <w:u w:val="none"/>
          </w:rPr>
          <w:t>Tiesu prakse krimināllietās pēc Krimināllikuma 317. panta otrās daļas, 318. panta otrās daļas un 319. panta otrās daļas</w:t>
        </w:r>
      </w:hyperlink>
      <w:r w:rsidR="00836EEF" w:rsidRPr="00C5614C">
        <w:rPr>
          <w:i/>
          <w:iCs/>
          <w:color w:val="000000" w:themeColor="text1"/>
        </w:rPr>
        <w:t>”</w:t>
      </w:r>
      <w:r w:rsidR="00836EEF">
        <w:rPr>
          <w:i/>
          <w:iCs/>
        </w:rPr>
        <w:t>.</w:t>
      </w:r>
      <w:r w:rsidR="00836EEF" w:rsidRPr="00BB0B91">
        <w:rPr>
          <w:rFonts w:eastAsia="Calibri"/>
          <w:szCs w:val="24"/>
        </w:rPr>
        <w:t>).</w:t>
      </w:r>
    </w:p>
    <w:p w14:paraId="6FA5B4C9" w14:textId="44230D35" w:rsidR="00836EEF" w:rsidRDefault="00836EEF" w:rsidP="000E07E0">
      <w:pPr>
        <w:widowControl w:val="0"/>
        <w:tabs>
          <w:tab w:val="left" w:pos="1710"/>
        </w:tabs>
        <w:spacing w:after="0" w:line="276" w:lineRule="auto"/>
        <w:ind w:firstLine="720"/>
        <w:jc w:val="both"/>
        <w:rPr>
          <w:rFonts w:asciiTheme="majorBidi" w:hAnsiTheme="majorBidi" w:cstheme="majorBidi"/>
          <w:szCs w:val="24"/>
        </w:rPr>
      </w:pPr>
      <w:r w:rsidRPr="004E32C8">
        <w:rPr>
          <w:rFonts w:asciiTheme="majorBidi" w:hAnsiTheme="majorBidi" w:cstheme="majorBidi"/>
          <w:szCs w:val="24"/>
        </w:rPr>
        <w:t xml:space="preserve">Senāts konstatē, ka apelācijas instances tiesa, atstājot negrozītu pirmās instances tiesas spriedumu, ar kuru apsūdzētā </w:t>
      </w:r>
      <w:r w:rsidR="00194D24">
        <w:rPr>
          <w:rFonts w:asciiTheme="majorBidi" w:hAnsiTheme="majorBidi" w:cstheme="majorBidi"/>
          <w:szCs w:val="24"/>
        </w:rPr>
        <w:t>[pers. A]</w:t>
      </w:r>
      <w:r w:rsidRPr="004E32C8">
        <w:rPr>
          <w:rFonts w:asciiTheme="majorBidi" w:hAnsiTheme="majorBidi" w:cstheme="majorBidi"/>
          <w:szCs w:val="24"/>
        </w:rPr>
        <w:t xml:space="preserve"> atzīta par vainīgu Krimināllikuma 179. panta trešajā daļā un 318. panta trešajā daļā paredzēto noziedzīgo nodarījumu izdarīšanā</w:t>
      </w:r>
      <w:r>
        <w:rPr>
          <w:rFonts w:asciiTheme="majorBidi" w:hAnsiTheme="majorBidi" w:cstheme="majorBidi"/>
          <w:szCs w:val="24"/>
        </w:rPr>
        <w:t xml:space="preserve"> gan saistībā ar </w:t>
      </w:r>
      <w:r w:rsidR="00194D24">
        <w:rPr>
          <w:rFonts w:asciiTheme="majorBidi" w:hAnsiTheme="majorBidi" w:cstheme="majorBidi"/>
          <w:szCs w:val="24"/>
        </w:rPr>
        <w:t>[pers. B]</w:t>
      </w:r>
      <w:r>
        <w:rPr>
          <w:rFonts w:asciiTheme="majorBidi" w:hAnsiTheme="majorBidi" w:cstheme="majorBidi"/>
          <w:szCs w:val="24"/>
        </w:rPr>
        <w:t xml:space="preserve"> maksātnespējas procesu, gan saistībā ar </w:t>
      </w:r>
      <w:r w:rsidR="00194D24">
        <w:rPr>
          <w:rFonts w:asciiTheme="majorBidi" w:hAnsiTheme="majorBidi" w:cstheme="majorBidi"/>
          <w:szCs w:val="24"/>
        </w:rPr>
        <w:t>[pers. E]</w:t>
      </w:r>
      <w:r>
        <w:rPr>
          <w:rFonts w:asciiTheme="majorBidi" w:hAnsiTheme="majorBidi" w:cstheme="majorBidi"/>
          <w:szCs w:val="24"/>
        </w:rPr>
        <w:t xml:space="preserve"> maksātnespējas procesu</w:t>
      </w:r>
      <w:r w:rsidRPr="004E32C8">
        <w:rPr>
          <w:rFonts w:asciiTheme="majorBidi" w:hAnsiTheme="majorBidi" w:cstheme="majorBidi"/>
          <w:szCs w:val="24"/>
        </w:rPr>
        <w:t xml:space="preserve">, minēto krimināltiesisko normu salīdzināšanu ar nodarījumu faktiskajiem apstākļiem, ņemot vērā visus </w:t>
      </w:r>
      <w:r w:rsidR="004D7D25">
        <w:rPr>
          <w:rFonts w:asciiTheme="majorBidi" w:hAnsiTheme="majorBidi" w:cstheme="majorBidi"/>
          <w:szCs w:val="24"/>
        </w:rPr>
        <w:t xml:space="preserve">attiecīgā </w:t>
      </w:r>
      <w:r w:rsidRPr="004E32C8">
        <w:rPr>
          <w:rFonts w:asciiTheme="majorBidi" w:hAnsiTheme="majorBidi" w:cstheme="majorBidi"/>
          <w:szCs w:val="24"/>
        </w:rPr>
        <w:t>noziedzīg</w:t>
      </w:r>
      <w:r w:rsidR="004D7D25">
        <w:rPr>
          <w:rFonts w:asciiTheme="majorBidi" w:hAnsiTheme="majorBidi" w:cstheme="majorBidi"/>
          <w:szCs w:val="24"/>
        </w:rPr>
        <w:t>ā</w:t>
      </w:r>
      <w:r w:rsidRPr="004E32C8">
        <w:rPr>
          <w:rFonts w:asciiTheme="majorBidi" w:hAnsiTheme="majorBidi" w:cstheme="majorBidi"/>
          <w:szCs w:val="24"/>
        </w:rPr>
        <w:t xml:space="preserve"> nodarījuma sastāva elementus, nav veikusi un savus atzinumus par minēto noziedzīgo nodarījumu objektīvās puses esību apsūdzētās </w:t>
      </w:r>
      <w:r w:rsidR="00194D24">
        <w:rPr>
          <w:rFonts w:asciiTheme="majorBidi" w:hAnsiTheme="majorBidi" w:cstheme="majorBidi"/>
          <w:szCs w:val="24"/>
        </w:rPr>
        <w:t>[pers. A]</w:t>
      </w:r>
      <w:r w:rsidRPr="004E32C8">
        <w:rPr>
          <w:rFonts w:asciiTheme="majorBidi" w:hAnsiTheme="majorBidi" w:cstheme="majorBidi"/>
          <w:szCs w:val="24"/>
        </w:rPr>
        <w:t xml:space="preserve"> darbībās nav pamatojusi.</w:t>
      </w:r>
    </w:p>
    <w:p w14:paraId="6377B69A" w14:textId="77777777" w:rsidR="00AA49D5" w:rsidRDefault="00836EEF" w:rsidP="000E07E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Tādējādi apelācijas instances tiesa pieļāvusi Kriminālprocesa likuma 564. panta ceturtās daļas pārkāpumu. Pieļautais pārkāpums atzīstams par Kriminālprocesa likuma būtisku pārkāpumu šā likuma 575. panta trešās daļas izpratnē, kas novedis pie nelikumīga nolēmuma.</w:t>
      </w:r>
    </w:p>
    <w:p w14:paraId="0DB71FFC" w14:textId="7C0CF0B0" w:rsidR="00332E81" w:rsidRPr="004E32C8" w:rsidRDefault="00143BF2" w:rsidP="000E07E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[5.3]</w:t>
      </w:r>
      <w:r w:rsidR="004D7D25">
        <w:rPr>
          <w:rFonts w:asciiTheme="majorBidi" w:hAnsiTheme="majorBidi" w:cstheme="majorBidi"/>
          <w:szCs w:val="24"/>
        </w:rPr>
        <w:t> </w:t>
      </w:r>
      <w:r w:rsidR="00AA49D5">
        <w:rPr>
          <w:rFonts w:asciiTheme="majorBidi" w:hAnsiTheme="majorBidi" w:cstheme="majorBidi"/>
          <w:szCs w:val="24"/>
        </w:rPr>
        <w:t xml:space="preserve">Vienlaikus </w:t>
      </w:r>
      <w:r w:rsidR="00332E81" w:rsidRPr="004E32C8">
        <w:rPr>
          <w:rFonts w:asciiTheme="majorBidi" w:hAnsiTheme="majorBidi" w:cstheme="majorBidi"/>
          <w:szCs w:val="24"/>
        </w:rPr>
        <w:t>Senāts atzīst par nepamatotiem aizstāves kasācijas sūdzīb</w:t>
      </w:r>
      <w:r w:rsidR="00332E81">
        <w:rPr>
          <w:rFonts w:asciiTheme="majorBidi" w:hAnsiTheme="majorBidi" w:cstheme="majorBidi"/>
          <w:szCs w:val="24"/>
        </w:rPr>
        <w:t>as argumentus par to</w:t>
      </w:r>
      <w:r w:rsidR="00332E81" w:rsidRPr="004E32C8">
        <w:rPr>
          <w:rFonts w:asciiTheme="majorBidi" w:hAnsiTheme="majorBidi" w:cstheme="majorBidi"/>
          <w:szCs w:val="24"/>
        </w:rPr>
        <w:t>, ka apsūdzētā</w:t>
      </w:r>
      <w:r w:rsidR="00332E81">
        <w:rPr>
          <w:rFonts w:asciiTheme="majorBidi" w:hAnsiTheme="majorBidi" w:cstheme="majorBidi"/>
          <w:szCs w:val="24"/>
        </w:rPr>
        <w:t>ja</w:t>
      </w:r>
      <w:r w:rsidR="00332E81" w:rsidRPr="004E32C8">
        <w:rPr>
          <w:rFonts w:asciiTheme="majorBidi" w:hAnsiTheme="majorBidi" w:cstheme="majorBidi"/>
          <w:szCs w:val="24"/>
        </w:rPr>
        <w:t xml:space="preserve"> </w:t>
      </w:r>
      <w:r w:rsidR="00194D24">
        <w:rPr>
          <w:rFonts w:asciiTheme="majorBidi" w:hAnsiTheme="majorBidi" w:cstheme="majorBidi"/>
          <w:szCs w:val="24"/>
        </w:rPr>
        <w:t>[pers. A]</w:t>
      </w:r>
      <w:r w:rsidR="00332E81" w:rsidRPr="004E32C8">
        <w:rPr>
          <w:rFonts w:asciiTheme="majorBidi" w:hAnsiTheme="majorBidi" w:cstheme="majorBidi"/>
          <w:szCs w:val="24"/>
        </w:rPr>
        <w:t xml:space="preserve"> </w:t>
      </w:r>
      <w:r w:rsidR="00332E81">
        <w:rPr>
          <w:rFonts w:asciiTheme="majorBidi" w:hAnsiTheme="majorBidi" w:cstheme="majorBidi"/>
          <w:szCs w:val="24"/>
        </w:rPr>
        <w:t>inkriminēto noziedzīgo nodarījumu izdarīšanas</w:t>
      </w:r>
      <w:r w:rsidR="00076032">
        <w:rPr>
          <w:rFonts w:asciiTheme="majorBidi" w:hAnsiTheme="majorBidi" w:cstheme="majorBidi"/>
          <w:szCs w:val="24"/>
        </w:rPr>
        <w:t xml:space="preserve"> laikā</w:t>
      </w:r>
      <w:r w:rsidR="00332E81">
        <w:rPr>
          <w:rFonts w:asciiTheme="majorBidi" w:hAnsiTheme="majorBidi" w:cstheme="majorBidi"/>
          <w:szCs w:val="24"/>
        </w:rPr>
        <w:t xml:space="preserve"> </w:t>
      </w:r>
      <w:r w:rsidR="00332E81" w:rsidRPr="004E32C8">
        <w:rPr>
          <w:rFonts w:asciiTheme="majorBidi" w:hAnsiTheme="majorBidi" w:cstheme="majorBidi"/>
          <w:szCs w:val="24"/>
        </w:rPr>
        <w:t>n</w:t>
      </w:r>
      <w:r w:rsidR="00332E81">
        <w:rPr>
          <w:rFonts w:asciiTheme="majorBidi" w:hAnsiTheme="majorBidi" w:cstheme="majorBidi"/>
          <w:szCs w:val="24"/>
        </w:rPr>
        <w:t>ebija</w:t>
      </w:r>
      <w:r w:rsidR="00332E81" w:rsidRPr="004E32C8">
        <w:rPr>
          <w:rFonts w:asciiTheme="majorBidi" w:hAnsiTheme="majorBidi" w:cstheme="majorBidi"/>
          <w:szCs w:val="24"/>
        </w:rPr>
        <w:t xml:space="preserve"> atzīstama par valsts amatpersonu.</w:t>
      </w:r>
    </w:p>
    <w:p w14:paraId="4552B2D4" w14:textId="2C611735" w:rsidR="00332E81" w:rsidRPr="004E32C8" w:rsidRDefault="00332E81" w:rsidP="000E07E0">
      <w:pPr>
        <w:pStyle w:val="NoSpacing"/>
        <w:spacing w:line="276" w:lineRule="auto"/>
        <w:ind w:firstLine="720"/>
        <w:jc w:val="both"/>
        <w:rPr>
          <w:rFonts w:asciiTheme="majorBidi" w:eastAsiaTheme="minorHAnsi" w:hAnsiTheme="majorBidi" w:cstheme="majorBidi"/>
          <w:sz w:val="24"/>
          <w:szCs w:val="24"/>
          <w:lang w:val="lv-LV"/>
        </w:rPr>
      </w:pPr>
      <w:r w:rsidRPr="004E32C8">
        <w:rPr>
          <w:rFonts w:asciiTheme="majorBidi" w:eastAsiaTheme="minorHAnsi" w:hAnsiTheme="majorBidi" w:cstheme="majorBidi"/>
          <w:sz w:val="24"/>
          <w:szCs w:val="24"/>
          <w:lang w:val="lv-LV"/>
        </w:rPr>
        <w:t>Maksātnespējas likuma 1. pants no</w:t>
      </w:r>
      <w:r>
        <w:rPr>
          <w:rFonts w:asciiTheme="majorBidi" w:eastAsiaTheme="minorHAnsi" w:hAnsiTheme="majorBidi" w:cstheme="majorBidi"/>
          <w:sz w:val="24"/>
          <w:szCs w:val="24"/>
          <w:lang w:val="lv-LV"/>
        </w:rPr>
        <w:t>teic</w:t>
      </w:r>
      <w:r w:rsidRPr="004E32C8">
        <w:rPr>
          <w:rFonts w:asciiTheme="majorBidi" w:eastAsiaTheme="minorHAnsi" w:hAnsiTheme="majorBidi" w:cstheme="majorBidi"/>
          <w:sz w:val="24"/>
          <w:szCs w:val="24"/>
          <w:lang w:val="lv-LV"/>
        </w:rPr>
        <w:t>, ka šā</w:t>
      </w:r>
      <w:r w:rsidR="000B1670">
        <w:rPr>
          <w:rFonts w:asciiTheme="majorBidi" w:eastAsiaTheme="minorHAnsi" w:hAnsiTheme="majorBidi" w:cstheme="majorBidi"/>
          <w:sz w:val="24"/>
          <w:szCs w:val="24"/>
          <w:lang w:val="lv-LV"/>
        </w:rPr>
        <w:t xml:space="preserve"> likuma mērķis ir veicināt finansiālās grūtībās nonākuša parādnieka saistību izpildi un, ja iespējams, maksātspējas atjaunošanu, piemērojot likumā noteiktos principus un tiesiskos risinājumus.</w:t>
      </w:r>
    </w:p>
    <w:p w14:paraId="10A35645" w14:textId="293BC4BA" w:rsidR="00332E81" w:rsidRPr="004E32C8" w:rsidRDefault="00332E81" w:rsidP="000E07E0">
      <w:pPr>
        <w:pStyle w:val="NoSpacing"/>
        <w:spacing w:line="276" w:lineRule="auto"/>
        <w:ind w:firstLine="720"/>
        <w:jc w:val="both"/>
        <w:rPr>
          <w:rFonts w:asciiTheme="majorBidi" w:eastAsiaTheme="minorHAnsi" w:hAnsiTheme="majorBidi" w:cstheme="majorBidi"/>
          <w:sz w:val="24"/>
          <w:szCs w:val="24"/>
          <w:lang w:val="lv-LV"/>
        </w:rPr>
      </w:pPr>
      <w:r w:rsidRPr="004E32C8">
        <w:rPr>
          <w:rFonts w:asciiTheme="majorBidi" w:eastAsiaTheme="minorHAnsi" w:hAnsiTheme="majorBidi" w:cstheme="majorBidi"/>
          <w:sz w:val="24"/>
          <w:szCs w:val="24"/>
          <w:lang w:val="lv-LV"/>
        </w:rPr>
        <w:t>Ar 2014. gada 25. septembra likuma „Grozījumi Maksātnespējas likumā” 2. panta un 2014. gada 18. decembra likuma „Grozījumi Maksātnespējas likumā” 3. panta spēkā stāšanos 2015. gada 1. janvārī</w:t>
      </w:r>
      <w:r w:rsidR="00F94C49">
        <w:rPr>
          <w:rFonts w:asciiTheme="majorBidi" w:eastAsiaTheme="minorHAnsi" w:hAnsiTheme="majorBidi" w:cstheme="majorBidi"/>
          <w:sz w:val="24"/>
          <w:szCs w:val="24"/>
          <w:lang w:val="lv-LV"/>
        </w:rPr>
        <w:t xml:space="preserve"> </w:t>
      </w:r>
      <w:r w:rsidRPr="004E32C8">
        <w:rPr>
          <w:rFonts w:asciiTheme="majorBidi" w:eastAsiaTheme="minorHAnsi" w:hAnsiTheme="majorBidi" w:cstheme="majorBidi"/>
          <w:sz w:val="24"/>
          <w:szCs w:val="24"/>
          <w:lang w:val="lv-LV"/>
        </w:rPr>
        <w:t>Maksātnespējas likuma 9. panta pirmā daļa tika papildināta ar noteikumu, ka amata darbībā maksātnespējas procesa administratori ir pielīdzināti valsts amatpersonām, turklāt šis nosacījums ir piemērojams visiem līdz 2015. gada 28. februārim uzsāktajiem procesiem, izņemot Pārejas noteikumu 12., 13., 14., 15., 16. un 17. punktā minētos gadījumus.</w:t>
      </w:r>
    </w:p>
    <w:p w14:paraId="65315414" w14:textId="77777777" w:rsidR="00332E81" w:rsidRPr="004E32C8" w:rsidRDefault="00332E81" w:rsidP="000E07E0">
      <w:pPr>
        <w:pStyle w:val="NoSpacing"/>
        <w:spacing w:line="276" w:lineRule="auto"/>
        <w:ind w:firstLine="720"/>
        <w:jc w:val="both"/>
        <w:rPr>
          <w:rFonts w:asciiTheme="majorBidi" w:eastAsiaTheme="minorHAnsi" w:hAnsiTheme="majorBidi" w:cstheme="majorBidi"/>
          <w:sz w:val="24"/>
          <w:szCs w:val="24"/>
          <w:lang w:val="lv-LV"/>
        </w:rPr>
      </w:pPr>
      <w:r w:rsidRPr="004E32C8">
        <w:rPr>
          <w:rFonts w:asciiTheme="majorBidi" w:eastAsiaTheme="minorHAnsi" w:hAnsiTheme="majorBidi" w:cstheme="majorBidi"/>
          <w:sz w:val="24"/>
          <w:szCs w:val="24"/>
          <w:lang w:val="lv-LV"/>
        </w:rPr>
        <w:t>Atbilstoši likuma „Par interešu konflikta novēršanu valsts amatpersonu darbībā” 2. pantam šā likuma mērķis ir nodrošināt valsts amatpersonu darbību sabiedrības interesēs, novēršot jebkuras valsts amatpersonas, tās radinieku vai darījumu partneru personiskās vai mantiskās ieinteresētības ietekmi uz valsts amatpersonas darbību, veicināt valsts amatpersonu darbības atklātumu un atbildību sabiedrības priekšā, kā arī sabiedrības uzticēšanos valsts amatpersonu darbībai.</w:t>
      </w:r>
    </w:p>
    <w:p w14:paraId="30737A41" w14:textId="4BD42A6C" w:rsidR="00332E81" w:rsidRPr="004E32C8" w:rsidRDefault="00332E81" w:rsidP="000E07E0">
      <w:pPr>
        <w:pStyle w:val="NoSpacing"/>
        <w:spacing w:line="276" w:lineRule="auto"/>
        <w:ind w:firstLine="720"/>
        <w:jc w:val="both"/>
        <w:rPr>
          <w:rFonts w:asciiTheme="majorBidi" w:eastAsiaTheme="minorHAnsi" w:hAnsiTheme="majorBidi" w:cstheme="majorBidi"/>
          <w:sz w:val="24"/>
          <w:szCs w:val="24"/>
          <w:lang w:val="lv-LV"/>
        </w:rPr>
      </w:pPr>
      <w:r w:rsidRPr="004E32C8">
        <w:rPr>
          <w:rFonts w:asciiTheme="majorBidi" w:eastAsiaTheme="minorHAnsi" w:hAnsiTheme="majorBidi" w:cstheme="majorBidi"/>
          <w:sz w:val="24"/>
          <w:szCs w:val="24"/>
          <w:lang w:val="lv-LV"/>
        </w:rPr>
        <w:t>No minētā izriet, ka Maksātnespējas likum</w:t>
      </w:r>
      <w:r w:rsidR="00143BF2">
        <w:rPr>
          <w:rFonts w:asciiTheme="majorBidi" w:eastAsiaTheme="minorHAnsi" w:hAnsiTheme="majorBidi" w:cstheme="majorBidi"/>
          <w:sz w:val="24"/>
          <w:szCs w:val="24"/>
          <w:lang w:val="lv-LV"/>
        </w:rPr>
        <w:t>am</w:t>
      </w:r>
      <w:r w:rsidRPr="004E32C8">
        <w:rPr>
          <w:rFonts w:asciiTheme="majorBidi" w:eastAsiaTheme="minorHAnsi" w:hAnsiTheme="majorBidi" w:cstheme="majorBidi"/>
          <w:sz w:val="24"/>
          <w:szCs w:val="24"/>
          <w:lang w:val="lv-LV"/>
        </w:rPr>
        <w:t xml:space="preserve"> un likum</w:t>
      </w:r>
      <w:r w:rsidR="00143BF2">
        <w:rPr>
          <w:rFonts w:asciiTheme="majorBidi" w:eastAsiaTheme="minorHAnsi" w:hAnsiTheme="majorBidi" w:cstheme="majorBidi"/>
          <w:sz w:val="24"/>
          <w:szCs w:val="24"/>
          <w:lang w:val="lv-LV"/>
        </w:rPr>
        <w:t>am</w:t>
      </w:r>
      <w:r w:rsidRPr="004E32C8">
        <w:rPr>
          <w:rFonts w:asciiTheme="majorBidi" w:eastAsiaTheme="minorHAnsi" w:hAnsiTheme="majorBidi" w:cstheme="majorBidi"/>
          <w:sz w:val="24"/>
          <w:szCs w:val="24"/>
          <w:lang w:val="lv-LV"/>
        </w:rPr>
        <w:t xml:space="preserve"> „Par interešu konflikta novēršanu valsts amatpersonu darbībā” ir atšķirīgi regulēšanas priekšmeti,</w:t>
      </w:r>
      <w:r>
        <w:rPr>
          <w:rFonts w:asciiTheme="majorBidi" w:eastAsiaTheme="minorHAnsi" w:hAnsiTheme="majorBidi" w:cstheme="majorBidi"/>
          <w:sz w:val="24"/>
          <w:szCs w:val="24"/>
          <w:lang w:val="lv-LV"/>
        </w:rPr>
        <w:t xml:space="preserve"> līdz ar to</w:t>
      </w:r>
      <w:r w:rsidRPr="004E32C8">
        <w:rPr>
          <w:rFonts w:asciiTheme="majorBidi" w:eastAsiaTheme="minorHAnsi" w:hAnsiTheme="majorBidi" w:cstheme="majorBidi"/>
          <w:sz w:val="24"/>
          <w:szCs w:val="24"/>
          <w:lang w:val="lv-LV"/>
        </w:rPr>
        <w:t xml:space="preserve"> apelācijas instances tiesa pamatoti atzinusi, ka maksātnespējas administratoru kā valsts amatpersonas statusu noteic Maksātnespējas likuma 9. panta pirmā daļa.</w:t>
      </w:r>
    </w:p>
    <w:p w14:paraId="5925D42C" w14:textId="77777777" w:rsidR="00332E81" w:rsidRPr="004E32C8" w:rsidRDefault="00332E81" w:rsidP="000E07E0">
      <w:pPr>
        <w:pStyle w:val="NoSpacing"/>
        <w:spacing w:line="276" w:lineRule="auto"/>
        <w:ind w:firstLine="720"/>
        <w:jc w:val="both"/>
        <w:rPr>
          <w:rFonts w:asciiTheme="majorBidi" w:eastAsiaTheme="minorHAnsi" w:hAnsiTheme="majorBidi" w:cstheme="majorBidi"/>
          <w:sz w:val="24"/>
          <w:szCs w:val="24"/>
          <w:lang w:val="lv-LV"/>
        </w:rPr>
      </w:pPr>
      <w:r w:rsidRPr="004E32C8">
        <w:rPr>
          <w:rFonts w:asciiTheme="majorBidi" w:eastAsiaTheme="minorHAnsi" w:hAnsiTheme="majorBidi" w:cstheme="majorBidi"/>
          <w:sz w:val="24"/>
          <w:szCs w:val="24"/>
          <w:lang w:val="lv-LV"/>
        </w:rPr>
        <w:t>Krimināllikuma 1. panta pirmā daļa noteic, ka pie kriminālatbildības saucama un sodāma tikai tāda persona, kura ir vainīga noziedzīga nodarījuma izdarīšanā, tas ir, kura ar nodomu (tīši) vai aiz neuzmanības izdarījusi šajā likumā paredzētu nodarījumu, kam ir visas noziedzīga nodarījuma sastāva pazīmes.</w:t>
      </w:r>
    </w:p>
    <w:p w14:paraId="1B497D8B" w14:textId="77777777" w:rsidR="00332E81" w:rsidRPr="004E32C8" w:rsidRDefault="00332E81" w:rsidP="000E07E0">
      <w:pPr>
        <w:pStyle w:val="NoSpacing"/>
        <w:spacing w:line="276" w:lineRule="auto"/>
        <w:ind w:firstLine="720"/>
        <w:jc w:val="both"/>
        <w:rPr>
          <w:rFonts w:asciiTheme="majorBidi" w:eastAsiaTheme="minorHAnsi" w:hAnsiTheme="majorBidi" w:cstheme="majorBidi"/>
          <w:sz w:val="24"/>
          <w:szCs w:val="24"/>
          <w:lang w:val="lv-LV"/>
        </w:rPr>
      </w:pPr>
      <w:r w:rsidRPr="004E32C8">
        <w:rPr>
          <w:rFonts w:asciiTheme="majorBidi" w:eastAsiaTheme="minorHAnsi" w:hAnsiTheme="majorBidi" w:cstheme="majorBidi"/>
          <w:sz w:val="24"/>
          <w:szCs w:val="24"/>
          <w:lang w:val="lv-LV"/>
        </w:rPr>
        <w:t>Savukārt Krimināllikuma 5. panta pirmā daļa noteic, ka nodarījuma (darbības vai bezdarbības) noziedzīgumu un sodāmību nosaka likums, kas bijis spēkā šā nodarījuma izdarīšanas laikā.</w:t>
      </w:r>
    </w:p>
    <w:p w14:paraId="6D620400" w14:textId="660457EA" w:rsidR="00332E81" w:rsidRPr="004E32C8" w:rsidRDefault="00332E81" w:rsidP="000E07E0">
      <w:pPr>
        <w:pStyle w:val="NoSpacing"/>
        <w:spacing w:line="276" w:lineRule="auto"/>
        <w:ind w:firstLine="720"/>
        <w:jc w:val="both"/>
        <w:rPr>
          <w:rFonts w:asciiTheme="majorBidi" w:eastAsiaTheme="minorHAnsi" w:hAnsiTheme="majorBidi" w:cstheme="majorBidi"/>
          <w:sz w:val="24"/>
          <w:szCs w:val="24"/>
          <w:lang w:val="lv-LV"/>
        </w:rPr>
      </w:pPr>
      <w:r w:rsidRPr="004E32C8">
        <w:rPr>
          <w:rFonts w:asciiTheme="majorBidi" w:eastAsiaTheme="minorHAnsi" w:hAnsiTheme="majorBidi" w:cstheme="majorBidi"/>
          <w:sz w:val="24"/>
          <w:szCs w:val="24"/>
          <w:lang w:val="lv-LV"/>
        </w:rPr>
        <w:t xml:space="preserve">No celtās apsūdzības izriet, ka </w:t>
      </w:r>
      <w:r w:rsidR="00194D24">
        <w:rPr>
          <w:rFonts w:asciiTheme="majorBidi" w:eastAsiaTheme="minorHAnsi" w:hAnsiTheme="majorBidi" w:cstheme="majorBidi"/>
          <w:sz w:val="24"/>
          <w:szCs w:val="24"/>
          <w:lang w:val="lv-LV"/>
        </w:rPr>
        <w:t>[pers. A]</w:t>
      </w:r>
      <w:r w:rsidRPr="004E32C8">
        <w:rPr>
          <w:rFonts w:asciiTheme="majorBidi" w:eastAsiaTheme="minorHAnsi" w:hAnsiTheme="majorBidi" w:cstheme="majorBidi"/>
          <w:sz w:val="24"/>
          <w:szCs w:val="24"/>
          <w:lang w:val="lv-LV"/>
        </w:rPr>
        <w:t xml:space="preserve"> visas </w:t>
      </w:r>
      <w:r>
        <w:rPr>
          <w:rFonts w:asciiTheme="majorBidi" w:eastAsiaTheme="minorHAnsi" w:hAnsiTheme="majorBidi" w:cstheme="majorBidi"/>
          <w:sz w:val="24"/>
          <w:szCs w:val="24"/>
          <w:lang w:val="lv-LV"/>
        </w:rPr>
        <w:t>viņai</w:t>
      </w:r>
      <w:r w:rsidRPr="004E32C8">
        <w:rPr>
          <w:rFonts w:asciiTheme="majorBidi" w:eastAsiaTheme="minorHAnsi" w:hAnsiTheme="majorBidi" w:cstheme="majorBidi"/>
          <w:sz w:val="24"/>
          <w:szCs w:val="24"/>
          <w:lang w:val="lv-LV"/>
        </w:rPr>
        <w:t xml:space="preserve"> inkriminētās darbības izdarījusi pēc 2015. gada 1. janvāra, proti, pēc Maksātnespējas likuma grozījumu, kas noteica maksātnespējas administratora kā valsts amatpersonas statusu, spēkā stāšanās.</w:t>
      </w:r>
    </w:p>
    <w:p w14:paraId="66069457" w14:textId="7D34BE31" w:rsidR="00332E81" w:rsidRDefault="00332E81" w:rsidP="000E07E0">
      <w:pPr>
        <w:pStyle w:val="NoSpacing"/>
        <w:spacing w:line="276" w:lineRule="auto"/>
        <w:ind w:firstLine="720"/>
        <w:jc w:val="both"/>
        <w:rPr>
          <w:rFonts w:asciiTheme="majorBidi" w:eastAsiaTheme="minorHAnsi" w:hAnsiTheme="majorBidi" w:cstheme="majorBidi"/>
          <w:sz w:val="24"/>
          <w:szCs w:val="24"/>
          <w:lang w:val="lv-LV"/>
        </w:rPr>
      </w:pPr>
      <w:r w:rsidRPr="004E32C8">
        <w:rPr>
          <w:rFonts w:asciiTheme="majorBidi" w:eastAsiaTheme="minorHAnsi" w:hAnsiTheme="majorBidi" w:cstheme="majorBidi"/>
          <w:sz w:val="24"/>
          <w:szCs w:val="24"/>
          <w:lang w:val="lv-LV"/>
        </w:rPr>
        <w:t>Ievērojot minēto, Senāts atzīst, ka apelācijas instances tiesa</w:t>
      </w:r>
      <w:r>
        <w:rPr>
          <w:rFonts w:asciiTheme="majorBidi" w:eastAsiaTheme="minorHAnsi" w:hAnsiTheme="majorBidi" w:cstheme="majorBidi"/>
          <w:sz w:val="24"/>
          <w:szCs w:val="24"/>
          <w:lang w:val="lv-LV"/>
        </w:rPr>
        <w:t xml:space="preserve"> </w:t>
      </w:r>
      <w:r w:rsidRPr="004E32C8">
        <w:rPr>
          <w:rFonts w:asciiTheme="majorBidi" w:eastAsiaTheme="minorHAnsi" w:hAnsiTheme="majorBidi" w:cstheme="majorBidi"/>
          <w:sz w:val="24"/>
          <w:szCs w:val="24"/>
          <w:lang w:val="lv-LV"/>
        </w:rPr>
        <w:t>pamatoti a</w:t>
      </w:r>
      <w:r>
        <w:rPr>
          <w:rFonts w:asciiTheme="majorBidi" w:eastAsiaTheme="minorHAnsi" w:hAnsiTheme="majorBidi" w:cstheme="majorBidi"/>
          <w:sz w:val="24"/>
          <w:szCs w:val="24"/>
          <w:lang w:val="lv-LV"/>
        </w:rPr>
        <w:t>tzinusi</w:t>
      </w:r>
      <w:r w:rsidRPr="004E32C8">
        <w:rPr>
          <w:rFonts w:asciiTheme="majorBidi" w:eastAsiaTheme="minorHAnsi" w:hAnsiTheme="majorBidi" w:cstheme="majorBidi"/>
          <w:sz w:val="24"/>
          <w:szCs w:val="24"/>
          <w:lang w:val="lv-LV"/>
        </w:rPr>
        <w:t xml:space="preserve">, ka apsūdzētā </w:t>
      </w:r>
      <w:r w:rsidR="00194D24">
        <w:rPr>
          <w:rFonts w:asciiTheme="majorBidi" w:eastAsiaTheme="minorHAnsi" w:hAnsiTheme="majorBidi" w:cstheme="majorBidi"/>
          <w:sz w:val="24"/>
          <w:szCs w:val="24"/>
          <w:lang w:val="lv-LV"/>
        </w:rPr>
        <w:t>[pers. A]</w:t>
      </w:r>
      <w:r w:rsidRPr="004E32C8">
        <w:rPr>
          <w:rFonts w:asciiTheme="majorBidi" w:eastAsiaTheme="minorHAnsi" w:hAnsiTheme="majorBidi" w:cstheme="majorBidi"/>
          <w:sz w:val="24"/>
          <w:szCs w:val="24"/>
          <w:lang w:val="lv-LV"/>
        </w:rPr>
        <w:t xml:space="preserve"> </w:t>
      </w:r>
      <w:r>
        <w:rPr>
          <w:rFonts w:asciiTheme="majorBidi" w:eastAsiaTheme="minorHAnsi" w:hAnsiTheme="majorBidi" w:cstheme="majorBidi"/>
          <w:sz w:val="24"/>
          <w:szCs w:val="24"/>
          <w:lang w:val="lv-LV"/>
        </w:rPr>
        <w:t xml:space="preserve">viņai </w:t>
      </w:r>
      <w:r w:rsidRPr="004E32C8">
        <w:rPr>
          <w:rFonts w:asciiTheme="majorBidi" w:eastAsiaTheme="minorHAnsi" w:hAnsiTheme="majorBidi" w:cstheme="majorBidi"/>
          <w:sz w:val="24"/>
          <w:szCs w:val="24"/>
          <w:lang w:val="lv-LV"/>
        </w:rPr>
        <w:t xml:space="preserve">inkriminētās darbības </w:t>
      </w:r>
      <w:r>
        <w:rPr>
          <w:rFonts w:asciiTheme="majorBidi" w:eastAsiaTheme="minorHAnsi" w:hAnsiTheme="majorBidi" w:cstheme="majorBidi"/>
          <w:sz w:val="24"/>
          <w:szCs w:val="24"/>
          <w:lang w:val="lv-LV"/>
        </w:rPr>
        <w:t xml:space="preserve">saistībā ar abiem – </w:t>
      </w:r>
      <w:proofErr w:type="gramStart"/>
      <w:r w:rsidR="00194D24">
        <w:rPr>
          <w:rFonts w:asciiTheme="majorBidi" w:eastAsiaTheme="minorHAnsi" w:hAnsiTheme="majorBidi" w:cstheme="majorBidi"/>
          <w:sz w:val="24"/>
          <w:szCs w:val="24"/>
          <w:lang w:val="lv-LV"/>
        </w:rPr>
        <w:t>[</w:t>
      </w:r>
      <w:proofErr w:type="gramEnd"/>
      <w:r w:rsidR="00194D24">
        <w:rPr>
          <w:rFonts w:asciiTheme="majorBidi" w:eastAsiaTheme="minorHAnsi" w:hAnsiTheme="majorBidi" w:cstheme="majorBidi"/>
          <w:sz w:val="24"/>
          <w:szCs w:val="24"/>
          <w:lang w:val="lv-LV"/>
        </w:rPr>
        <w:t>pers. B]</w:t>
      </w:r>
      <w:r>
        <w:rPr>
          <w:rFonts w:asciiTheme="majorBidi" w:eastAsiaTheme="minorHAnsi" w:hAnsiTheme="majorBidi" w:cstheme="majorBidi"/>
          <w:sz w:val="24"/>
          <w:szCs w:val="24"/>
          <w:lang w:val="lv-LV"/>
        </w:rPr>
        <w:t xml:space="preserve"> un </w:t>
      </w:r>
      <w:r w:rsidR="00194D24">
        <w:rPr>
          <w:rFonts w:asciiTheme="majorBidi" w:eastAsiaTheme="minorHAnsi" w:hAnsiTheme="majorBidi" w:cstheme="majorBidi"/>
          <w:sz w:val="24"/>
          <w:szCs w:val="24"/>
          <w:lang w:val="lv-LV"/>
        </w:rPr>
        <w:t>[pers. E]</w:t>
      </w:r>
      <w:r>
        <w:rPr>
          <w:rFonts w:asciiTheme="majorBidi" w:eastAsiaTheme="minorHAnsi" w:hAnsiTheme="majorBidi" w:cstheme="majorBidi"/>
          <w:sz w:val="24"/>
          <w:szCs w:val="24"/>
          <w:lang w:val="lv-LV"/>
        </w:rPr>
        <w:t xml:space="preserve"> – maksātnespējas procesiem </w:t>
      </w:r>
      <w:r w:rsidRPr="004E32C8">
        <w:rPr>
          <w:rFonts w:asciiTheme="majorBidi" w:eastAsiaTheme="minorHAnsi" w:hAnsiTheme="majorBidi" w:cstheme="majorBidi"/>
          <w:sz w:val="24"/>
          <w:szCs w:val="24"/>
          <w:lang w:val="lv-LV"/>
        </w:rPr>
        <w:t>izdarījusi, būdama valsts amatpersona</w:t>
      </w:r>
      <w:r>
        <w:rPr>
          <w:rFonts w:asciiTheme="majorBidi" w:eastAsiaTheme="minorHAnsi" w:hAnsiTheme="majorBidi" w:cstheme="majorBidi"/>
          <w:sz w:val="24"/>
          <w:szCs w:val="24"/>
          <w:lang w:val="lv-LV"/>
        </w:rPr>
        <w:t>.</w:t>
      </w:r>
    </w:p>
    <w:p w14:paraId="2DB65B96" w14:textId="1C377CE9" w:rsidR="00AA49D5" w:rsidRPr="004E32C8" w:rsidRDefault="00AA49D5" w:rsidP="000E07E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[5.4]</w:t>
      </w:r>
      <w:r w:rsidR="000654D8">
        <w:rPr>
          <w:rFonts w:asciiTheme="majorBidi" w:hAnsiTheme="majorBidi" w:cstheme="majorBidi"/>
          <w:szCs w:val="24"/>
        </w:rPr>
        <w:t> </w:t>
      </w:r>
      <w:r>
        <w:rPr>
          <w:rFonts w:asciiTheme="majorBidi" w:hAnsiTheme="majorBidi" w:cstheme="majorBidi"/>
          <w:szCs w:val="24"/>
        </w:rPr>
        <w:t>Senāts atzīst, ka pieļauto Kriminālprocesa likuma būtisko pārkāpumu dēļ apelācijas instances tiesas lēmums atceļams pilnībā un lieta nosūtāma jaunai izskatīšanai apelācijas instances tiesā. Ievērojot to, ka lieta apelācijas kārtībā jāiztiesā no jauna atbilstoši Kriminālprocesa likuma 53. nodaļas prasībām, pārējie aizstāves kasācijas sūdzības argumenti, kas saistīti ar apsūdzētajai noteikto sodu, izvērtējami apelācijas instances tiesā.</w:t>
      </w:r>
    </w:p>
    <w:p w14:paraId="72D153D9" w14:textId="77777777" w:rsidR="00AA49D5" w:rsidRDefault="00AA49D5" w:rsidP="000E07E0">
      <w:pPr>
        <w:pStyle w:val="NoSpacing"/>
        <w:spacing w:line="276" w:lineRule="auto"/>
        <w:ind w:firstLine="720"/>
        <w:jc w:val="both"/>
        <w:rPr>
          <w:rFonts w:asciiTheme="majorBidi" w:eastAsiaTheme="minorHAnsi" w:hAnsiTheme="majorBidi" w:cstheme="majorBidi"/>
          <w:sz w:val="24"/>
          <w:szCs w:val="24"/>
          <w:lang w:val="lv-LV"/>
        </w:rPr>
      </w:pPr>
    </w:p>
    <w:p w14:paraId="1DC57E35" w14:textId="0F231CF6" w:rsidR="00332E81" w:rsidRPr="00332E81" w:rsidRDefault="00332E81" w:rsidP="000E07E0">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[6]</w:t>
      </w:r>
      <w:r w:rsidR="000654D8">
        <w:rPr>
          <w:rFonts w:asciiTheme="majorBidi" w:hAnsiTheme="majorBidi" w:cstheme="majorBidi"/>
          <w:szCs w:val="24"/>
        </w:rPr>
        <w:t> </w:t>
      </w:r>
      <w:r w:rsidRPr="00332E81">
        <w:rPr>
          <w:rFonts w:asciiTheme="majorBidi" w:hAnsiTheme="majorBidi" w:cstheme="majorBidi"/>
          <w:szCs w:val="24"/>
        </w:rPr>
        <w:t xml:space="preserve">Apsūdzētajai </w:t>
      </w:r>
      <w:r w:rsidR="00194D24">
        <w:rPr>
          <w:rFonts w:asciiTheme="majorBidi" w:hAnsiTheme="majorBidi" w:cstheme="majorBidi"/>
          <w:szCs w:val="24"/>
        </w:rPr>
        <w:t>[pers. A]</w:t>
      </w:r>
      <w:r w:rsidRPr="00332E81">
        <w:rPr>
          <w:rFonts w:asciiTheme="majorBidi" w:hAnsiTheme="majorBidi" w:cstheme="majorBidi"/>
          <w:szCs w:val="24"/>
        </w:rPr>
        <w:t xml:space="preserve"> lietā piemēroti drošības līdzekļi – uzturēšanās noteiktā vietā un dzīvesvietas maiņas paziņošana.</w:t>
      </w:r>
    </w:p>
    <w:p w14:paraId="3C876662" w14:textId="77777777" w:rsidR="00332E81" w:rsidRPr="004E32C8" w:rsidRDefault="00332E81" w:rsidP="000E07E0">
      <w:pPr>
        <w:widowControl w:val="0"/>
        <w:tabs>
          <w:tab w:val="left" w:pos="1710"/>
        </w:tabs>
        <w:spacing w:after="0" w:line="276" w:lineRule="auto"/>
        <w:ind w:firstLine="720"/>
        <w:jc w:val="both"/>
        <w:rPr>
          <w:rFonts w:asciiTheme="majorBidi" w:hAnsiTheme="majorBidi" w:cstheme="majorBidi"/>
          <w:szCs w:val="24"/>
        </w:rPr>
      </w:pPr>
      <w:r w:rsidRPr="004E32C8">
        <w:rPr>
          <w:rFonts w:asciiTheme="majorBidi" w:hAnsiTheme="majorBidi" w:cstheme="majorBidi"/>
          <w:szCs w:val="24"/>
        </w:rPr>
        <w:t>Ar pirmās instances tiesas spriedumu piemērotie drošības līdzekļi atstāti negrozīti.</w:t>
      </w:r>
    </w:p>
    <w:p w14:paraId="316FA11C" w14:textId="77777777" w:rsidR="00332E81" w:rsidRPr="004E32C8" w:rsidRDefault="00332E81" w:rsidP="000E07E0">
      <w:pPr>
        <w:widowControl w:val="0"/>
        <w:tabs>
          <w:tab w:val="left" w:pos="1710"/>
        </w:tabs>
        <w:spacing w:after="0" w:line="276" w:lineRule="auto"/>
        <w:ind w:firstLine="720"/>
        <w:jc w:val="both"/>
        <w:rPr>
          <w:rFonts w:asciiTheme="majorBidi" w:hAnsiTheme="majorBidi" w:cstheme="majorBidi"/>
          <w:szCs w:val="24"/>
        </w:rPr>
      </w:pPr>
      <w:r w:rsidRPr="004E32C8">
        <w:rPr>
          <w:rFonts w:asciiTheme="majorBidi" w:hAnsiTheme="majorBidi" w:cstheme="majorBidi"/>
          <w:szCs w:val="24"/>
        </w:rPr>
        <w:t>Senāts atzīst, ka apsūdzētajai noteikto drošības līdzekļu piemērošana turpināma. Piemērotie drošības līdzekļi izskatāmajā lietā atzīstami par samērīgiem.</w:t>
      </w:r>
    </w:p>
    <w:p w14:paraId="22846B0B" w14:textId="77777777" w:rsidR="00332E81" w:rsidRPr="004E32C8" w:rsidRDefault="00332E81" w:rsidP="000E07E0">
      <w:pPr>
        <w:widowControl w:val="0"/>
        <w:spacing w:after="0" w:line="276" w:lineRule="auto"/>
        <w:ind w:firstLine="720"/>
        <w:jc w:val="both"/>
        <w:rPr>
          <w:rFonts w:asciiTheme="majorBidi" w:hAnsiTheme="majorBidi" w:cstheme="majorBidi"/>
          <w:szCs w:val="24"/>
        </w:rPr>
      </w:pPr>
    </w:p>
    <w:p w14:paraId="1856F195" w14:textId="77777777" w:rsidR="00332E81" w:rsidRDefault="00332E81" w:rsidP="000E07E0">
      <w:pPr>
        <w:widowControl w:val="0"/>
        <w:spacing w:after="0" w:line="276" w:lineRule="auto"/>
        <w:jc w:val="center"/>
        <w:rPr>
          <w:rFonts w:asciiTheme="majorBidi" w:eastAsia="Times New Roman" w:hAnsiTheme="majorBidi" w:cstheme="majorBidi"/>
          <w:b/>
          <w:szCs w:val="24"/>
        </w:rPr>
      </w:pPr>
      <w:r w:rsidRPr="004E32C8">
        <w:rPr>
          <w:rFonts w:asciiTheme="majorBidi" w:eastAsia="Times New Roman" w:hAnsiTheme="majorBidi" w:cstheme="majorBidi"/>
          <w:b/>
          <w:szCs w:val="24"/>
        </w:rPr>
        <w:t>Rezolutīvā daļ</w:t>
      </w:r>
      <w:r>
        <w:rPr>
          <w:rFonts w:asciiTheme="majorBidi" w:eastAsia="Times New Roman" w:hAnsiTheme="majorBidi" w:cstheme="majorBidi"/>
          <w:b/>
          <w:szCs w:val="24"/>
        </w:rPr>
        <w:t>a</w:t>
      </w:r>
    </w:p>
    <w:p w14:paraId="49D3B073" w14:textId="01614323" w:rsidR="00581AA6" w:rsidRPr="00332E81" w:rsidRDefault="00581AA6" w:rsidP="000E07E0">
      <w:pPr>
        <w:widowControl w:val="0"/>
        <w:spacing w:after="0" w:line="276" w:lineRule="auto"/>
        <w:ind w:firstLine="720"/>
        <w:rPr>
          <w:rFonts w:asciiTheme="majorBidi" w:eastAsia="Times New Roman" w:hAnsiTheme="majorBidi" w:cstheme="majorBidi"/>
          <w:b/>
          <w:szCs w:val="24"/>
        </w:rPr>
      </w:pPr>
    </w:p>
    <w:p w14:paraId="1D503023" w14:textId="3EE4DFBE" w:rsidR="00F43AEE" w:rsidRPr="00373BFA" w:rsidRDefault="00F43AEE" w:rsidP="000E07E0">
      <w:pPr>
        <w:widowControl w:val="0"/>
        <w:spacing w:after="0" w:line="276" w:lineRule="auto"/>
        <w:ind w:firstLine="720"/>
        <w:jc w:val="both"/>
        <w:rPr>
          <w:rFonts w:eastAsia="Times New Roman" w:cs="Times New Roman"/>
          <w:b/>
          <w:szCs w:val="24"/>
          <w:lang w:eastAsia="lv-LV"/>
        </w:rPr>
      </w:pPr>
      <w:r w:rsidRPr="00373BFA">
        <w:rPr>
          <w:rFonts w:eastAsia="Times New Roman" w:cs="Times New Roman"/>
          <w:szCs w:val="24"/>
        </w:rPr>
        <w:t>P</w:t>
      </w:r>
      <w:r w:rsidRPr="00373BFA">
        <w:rPr>
          <w:rFonts w:eastAsia="Times New Roman" w:cs="Times New Roman"/>
          <w:bCs/>
          <w:szCs w:val="24"/>
        </w:rPr>
        <w:t>amatojoties uz Kriminālprocesa likuma 585.</w:t>
      </w:r>
      <w:r w:rsidR="00741DA3">
        <w:rPr>
          <w:rFonts w:eastAsia="Times New Roman" w:cs="Times New Roman"/>
          <w:bCs/>
          <w:szCs w:val="24"/>
        </w:rPr>
        <w:t> </w:t>
      </w:r>
      <w:r w:rsidR="00726F35" w:rsidRPr="00373BFA">
        <w:rPr>
          <w:rFonts w:eastAsia="Times New Roman" w:cs="Times New Roman"/>
          <w:bCs/>
          <w:szCs w:val="24"/>
        </w:rPr>
        <w:t>pantu</w:t>
      </w:r>
      <w:r w:rsidRPr="00373BFA">
        <w:rPr>
          <w:rFonts w:eastAsia="Times New Roman" w:cs="Times New Roman"/>
          <w:bCs/>
          <w:szCs w:val="24"/>
        </w:rPr>
        <w:t xml:space="preserve"> un 587.</w:t>
      </w:r>
      <w:r w:rsidR="00741DA3">
        <w:rPr>
          <w:rFonts w:eastAsia="Times New Roman" w:cs="Times New Roman"/>
          <w:bCs/>
          <w:szCs w:val="24"/>
        </w:rPr>
        <w:t> </w:t>
      </w:r>
      <w:r w:rsidRPr="00373BFA">
        <w:rPr>
          <w:rFonts w:eastAsia="Times New Roman" w:cs="Times New Roman"/>
          <w:bCs/>
          <w:szCs w:val="24"/>
        </w:rPr>
        <w:t>pant</w:t>
      </w:r>
      <w:r w:rsidR="00726F35" w:rsidRPr="00373BFA">
        <w:rPr>
          <w:rFonts w:eastAsia="Times New Roman" w:cs="Times New Roman"/>
          <w:bCs/>
          <w:szCs w:val="24"/>
        </w:rPr>
        <w:t>a pirmās daļas 2.</w:t>
      </w:r>
      <w:r w:rsidR="00741DA3">
        <w:rPr>
          <w:rFonts w:eastAsia="Times New Roman" w:cs="Times New Roman"/>
          <w:bCs/>
          <w:szCs w:val="24"/>
        </w:rPr>
        <w:t> </w:t>
      </w:r>
      <w:r w:rsidR="00726F35" w:rsidRPr="00373BFA">
        <w:rPr>
          <w:rFonts w:eastAsia="Times New Roman" w:cs="Times New Roman"/>
          <w:bCs/>
          <w:szCs w:val="24"/>
        </w:rPr>
        <w:t>punktu</w:t>
      </w:r>
      <w:r w:rsidRPr="00373BFA">
        <w:rPr>
          <w:rFonts w:eastAsia="Times New Roman" w:cs="Times New Roman"/>
          <w:bCs/>
          <w:szCs w:val="24"/>
        </w:rPr>
        <w:t xml:space="preserve">, </w:t>
      </w:r>
      <w:r w:rsidR="000654D8">
        <w:rPr>
          <w:rFonts w:eastAsia="Times New Roman" w:cs="Times New Roman"/>
          <w:bCs/>
          <w:szCs w:val="24"/>
        </w:rPr>
        <w:t>Senāts</w:t>
      </w:r>
    </w:p>
    <w:p w14:paraId="2385D0FB" w14:textId="2EA9D83A" w:rsidR="00F43AEE" w:rsidRPr="00373BFA" w:rsidRDefault="00F43AEE" w:rsidP="000E07E0">
      <w:pPr>
        <w:widowControl w:val="0"/>
        <w:spacing w:after="0" w:line="276" w:lineRule="auto"/>
        <w:jc w:val="center"/>
        <w:rPr>
          <w:rFonts w:eastAsia="Times New Roman" w:cs="Times New Roman"/>
          <w:b/>
          <w:szCs w:val="24"/>
          <w:lang w:eastAsia="lv-LV"/>
        </w:rPr>
      </w:pPr>
      <w:r w:rsidRPr="00373BFA">
        <w:rPr>
          <w:rFonts w:eastAsia="Times New Roman" w:cs="Times New Roman"/>
          <w:b/>
          <w:szCs w:val="24"/>
          <w:lang w:eastAsia="lv-LV"/>
        </w:rPr>
        <w:t>nolēma</w:t>
      </w:r>
    </w:p>
    <w:p w14:paraId="0F0FB26C" w14:textId="77777777" w:rsidR="00445F89" w:rsidRPr="00373BFA" w:rsidRDefault="00445F89" w:rsidP="000E07E0">
      <w:pPr>
        <w:widowControl w:val="0"/>
        <w:spacing w:after="0" w:line="276" w:lineRule="auto"/>
        <w:ind w:firstLine="720"/>
        <w:jc w:val="center"/>
        <w:rPr>
          <w:rFonts w:eastAsia="Times New Roman" w:cs="Times New Roman"/>
          <w:b/>
          <w:szCs w:val="24"/>
          <w:lang w:eastAsia="lv-LV"/>
        </w:rPr>
      </w:pPr>
    </w:p>
    <w:p w14:paraId="260BD6AA" w14:textId="7A20A0D4" w:rsidR="00076032" w:rsidRPr="00AA49D5" w:rsidRDefault="009B29E2" w:rsidP="000E07E0">
      <w:pPr>
        <w:widowControl w:val="0"/>
        <w:tabs>
          <w:tab w:val="left" w:pos="1710"/>
        </w:tabs>
        <w:spacing w:after="0" w:line="276" w:lineRule="auto"/>
        <w:ind w:firstLine="720"/>
        <w:jc w:val="both"/>
        <w:rPr>
          <w:rFonts w:asciiTheme="majorBidi" w:hAnsiTheme="majorBidi" w:cstheme="majorBidi"/>
          <w:szCs w:val="24"/>
        </w:rPr>
      </w:pPr>
      <w:r w:rsidRPr="00373BFA">
        <w:rPr>
          <w:rFonts w:eastAsia="Calibri" w:cs="Times New Roman"/>
          <w:iCs/>
          <w:szCs w:val="24"/>
        </w:rPr>
        <w:t>a</w:t>
      </w:r>
      <w:r w:rsidR="00F43AEE" w:rsidRPr="00373BFA">
        <w:rPr>
          <w:rFonts w:eastAsia="Calibri" w:cs="Times New Roman"/>
          <w:iCs/>
          <w:szCs w:val="24"/>
        </w:rPr>
        <w:t xml:space="preserve">tcelt </w:t>
      </w:r>
      <w:r w:rsidR="00617491" w:rsidRPr="00373BFA">
        <w:rPr>
          <w:rFonts w:cs="Times New Roman"/>
          <w:bCs/>
          <w:szCs w:val="24"/>
        </w:rPr>
        <w:t>Rīgas apgabaltiesas</w:t>
      </w:r>
      <w:r w:rsidR="00037824">
        <w:rPr>
          <w:rFonts w:cs="Times New Roman"/>
          <w:bCs/>
          <w:szCs w:val="24"/>
        </w:rPr>
        <w:t xml:space="preserve"> 2022. gada 11. janvāra lēmumu</w:t>
      </w:r>
      <w:r w:rsidR="00076032">
        <w:rPr>
          <w:rFonts w:cs="Times New Roman"/>
          <w:bCs/>
          <w:szCs w:val="24"/>
        </w:rPr>
        <w:t xml:space="preserve"> </w:t>
      </w:r>
      <w:r w:rsidR="00AA49D5">
        <w:rPr>
          <w:rFonts w:asciiTheme="majorBidi" w:hAnsiTheme="majorBidi" w:cstheme="majorBidi"/>
          <w:szCs w:val="24"/>
        </w:rPr>
        <w:t xml:space="preserve">pilnībā un </w:t>
      </w:r>
      <w:r w:rsidR="00076032">
        <w:rPr>
          <w:rFonts w:asciiTheme="majorBidi" w:hAnsiTheme="majorBidi" w:cstheme="majorBidi"/>
          <w:szCs w:val="24"/>
        </w:rPr>
        <w:t>nosūtīt lietu jaunai izskatīšanai Rīgas apgabaltiesā</w:t>
      </w:r>
      <w:r w:rsidR="00AA49D5">
        <w:rPr>
          <w:rFonts w:asciiTheme="majorBidi" w:hAnsiTheme="majorBidi" w:cstheme="majorBidi"/>
          <w:szCs w:val="24"/>
        </w:rPr>
        <w:t>;</w:t>
      </w:r>
    </w:p>
    <w:p w14:paraId="6362A77C" w14:textId="2E428CE4" w:rsidR="00014AA1" w:rsidRPr="00076032" w:rsidRDefault="00741DA3" w:rsidP="000E07E0">
      <w:pPr>
        <w:widowControl w:val="0"/>
        <w:tabs>
          <w:tab w:val="left" w:pos="1710"/>
        </w:tabs>
        <w:spacing w:after="0" w:line="276" w:lineRule="auto"/>
        <w:ind w:firstLine="720"/>
        <w:jc w:val="both"/>
        <w:rPr>
          <w:rFonts w:cs="Times New Roman"/>
          <w:b/>
          <w:szCs w:val="24"/>
        </w:rPr>
      </w:pPr>
      <w:r>
        <w:rPr>
          <w:rFonts w:eastAsia="Calibri" w:cs="Times New Roman"/>
          <w:iCs/>
          <w:szCs w:val="24"/>
        </w:rPr>
        <w:t>a</w:t>
      </w:r>
      <w:r w:rsidR="00014AA1" w:rsidRPr="00373BFA">
        <w:rPr>
          <w:rFonts w:eastAsia="Calibri" w:cs="Times New Roman"/>
          <w:iCs/>
          <w:szCs w:val="24"/>
        </w:rPr>
        <w:t>psūdzētaja</w:t>
      </w:r>
      <w:r w:rsidR="00D22BD3" w:rsidRPr="00373BFA">
        <w:rPr>
          <w:rFonts w:eastAsia="Calibri" w:cs="Times New Roman"/>
          <w:iCs/>
          <w:szCs w:val="24"/>
        </w:rPr>
        <w:t>i</w:t>
      </w:r>
      <w:r w:rsidR="00014AA1" w:rsidRPr="00373BFA">
        <w:rPr>
          <w:rFonts w:eastAsia="Calibri" w:cs="Times New Roman"/>
          <w:iCs/>
          <w:szCs w:val="24"/>
        </w:rPr>
        <w:t xml:space="preserve"> </w:t>
      </w:r>
      <w:r w:rsidR="00194D24">
        <w:rPr>
          <w:rFonts w:eastAsia="Calibri" w:cs="Times New Roman"/>
          <w:iCs/>
          <w:szCs w:val="24"/>
        </w:rPr>
        <w:t>[pers. A]</w:t>
      </w:r>
      <w:r w:rsidR="00014AA1" w:rsidRPr="00373BFA">
        <w:rPr>
          <w:rFonts w:eastAsia="Calibri" w:cs="Times New Roman"/>
          <w:iCs/>
          <w:szCs w:val="24"/>
        </w:rPr>
        <w:t xml:space="preserve"> turpināt piemērot drošības līdzek</w:t>
      </w:r>
      <w:r>
        <w:rPr>
          <w:rFonts w:eastAsia="Calibri" w:cs="Times New Roman"/>
          <w:iCs/>
          <w:szCs w:val="24"/>
        </w:rPr>
        <w:t>ļus</w:t>
      </w:r>
      <w:r w:rsidR="00014AA1" w:rsidRPr="00373BFA">
        <w:rPr>
          <w:rFonts w:eastAsia="Calibri" w:cs="Times New Roman"/>
          <w:iCs/>
          <w:szCs w:val="24"/>
        </w:rPr>
        <w:t xml:space="preserve"> – </w:t>
      </w:r>
      <w:r>
        <w:rPr>
          <w:rFonts w:eastAsia="Calibri" w:cs="Times New Roman"/>
          <w:iCs/>
          <w:szCs w:val="24"/>
        </w:rPr>
        <w:t>uzturēšanos noteiktā vietā un dzīvesvietas maiņas paziņošanu</w:t>
      </w:r>
      <w:r w:rsidR="00D22BD3" w:rsidRPr="00373BFA">
        <w:rPr>
          <w:rFonts w:eastAsia="Calibri" w:cs="Times New Roman"/>
          <w:iCs/>
          <w:szCs w:val="24"/>
        </w:rPr>
        <w:t>.</w:t>
      </w:r>
    </w:p>
    <w:p w14:paraId="5B27805D" w14:textId="77777777" w:rsidR="008F34BA" w:rsidRDefault="008F34BA" w:rsidP="000E07E0">
      <w:pPr>
        <w:widowControl w:val="0"/>
        <w:tabs>
          <w:tab w:val="left" w:pos="0"/>
        </w:tabs>
        <w:spacing w:after="0" w:line="276" w:lineRule="auto"/>
        <w:ind w:firstLine="720"/>
        <w:jc w:val="both"/>
        <w:rPr>
          <w:color w:val="000000"/>
        </w:rPr>
      </w:pPr>
    </w:p>
    <w:p w14:paraId="43617D78" w14:textId="4EE8FC65" w:rsidR="00F43AEE" w:rsidRPr="00373BFA" w:rsidRDefault="00F43AEE" w:rsidP="000E07E0">
      <w:pPr>
        <w:widowControl w:val="0"/>
        <w:tabs>
          <w:tab w:val="left" w:pos="0"/>
        </w:tabs>
        <w:spacing w:after="0" w:line="276" w:lineRule="auto"/>
        <w:ind w:firstLine="720"/>
        <w:jc w:val="both"/>
        <w:rPr>
          <w:color w:val="000000"/>
        </w:rPr>
      </w:pPr>
      <w:r w:rsidRPr="00373BFA">
        <w:rPr>
          <w:color w:val="000000"/>
        </w:rPr>
        <w:t>Lēmums nav pārsūdzams.</w:t>
      </w:r>
    </w:p>
    <w:sectPr w:rsidR="00F43AEE" w:rsidRPr="00373BFA" w:rsidSect="001B43FB">
      <w:footerReference w:type="default" r:id="rId11"/>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50E6D" w14:textId="77777777" w:rsidR="00BF19B8" w:rsidRDefault="00BF19B8" w:rsidP="00EC300B">
      <w:pPr>
        <w:spacing w:after="0" w:line="240" w:lineRule="auto"/>
      </w:pPr>
      <w:r>
        <w:separator/>
      </w:r>
    </w:p>
  </w:endnote>
  <w:endnote w:type="continuationSeparator" w:id="0">
    <w:p w14:paraId="37B11618" w14:textId="77777777" w:rsidR="00BF19B8" w:rsidRDefault="00BF19B8" w:rsidP="00EC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48844780"/>
      <w:docPartObj>
        <w:docPartGallery w:val="Page Numbers (Top of Page)"/>
        <w:docPartUnique/>
      </w:docPartObj>
    </w:sdtPr>
    <w:sdtEndPr>
      <w:rPr>
        <w:sz w:val="20"/>
        <w:szCs w:val="20"/>
      </w:rPr>
    </w:sdtEndPr>
    <w:sdtContent>
      <w:p w14:paraId="5B54FC6B" w14:textId="62DEACDE" w:rsidR="00D54759" w:rsidRPr="001B43FB" w:rsidRDefault="00D54759" w:rsidP="001917CA">
        <w:pPr>
          <w:pStyle w:val="Footer"/>
          <w:tabs>
            <w:tab w:val="clear" w:pos="4153"/>
            <w:tab w:val="clear" w:pos="8306"/>
            <w:tab w:val="center" w:pos="4513"/>
            <w:tab w:val="right" w:pos="9026"/>
          </w:tabs>
          <w:jc w:val="center"/>
          <w:rPr>
            <w:sz w:val="20"/>
            <w:szCs w:val="20"/>
          </w:rPr>
        </w:pPr>
        <w:r w:rsidRPr="001B43FB">
          <w:rPr>
            <w:sz w:val="20"/>
            <w:szCs w:val="20"/>
          </w:rPr>
          <w:fldChar w:fldCharType="begin"/>
        </w:r>
        <w:r w:rsidRPr="001B43FB">
          <w:rPr>
            <w:sz w:val="20"/>
            <w:szCs w:val="20"/>
          </w:rPr>
          <w:instrText xml:space="preserve"> PAGE </w:instrText>
        </w:r>
        <w:r w:rsidRPr="001B43FB">
          <w:rPr>
            <w:sz w:val="20"/>
            <w:szCs w:val="20"/>
          </w:rPr>
          <w:fldChar w:fldCharType="separate"/>
        </w:r>
        <w:r w:rsidR="000479A2" w:rsidRPr="001B43FB">
          <w:rPr>
            <w:noProof/>
            <w:sz w:val="20"/>
            <w:szCs w:val="20"/>
          </w:rPr>
          <w:t>2</w:t>
        </w:r>
        <w:r w:rsidRPr="001B43FB">
          <w:rPr>
            <w:sz w:val="20"/>
            <w:szCs w:val="20"/>
          </w:rPr>
          <w:fldChar w:fldCharType="end"/>
        </w:r>
        <w:r w:rsidRPr="001B43FB">
          <w:rPr>
            <w:sz w:val="20"/>
            <w:szCs w:val="20"/>
          </w:rPr>
          <w:t xml:space="preserve"> no </w:t>
        </w:r>
        <w:r w:rsidRPr="001B43FB">
          <w:rPr>
            <w:sz w:val="20"/>
            <w:szCs w:val="20"/>
          </w:rPr>
          <w:fldChar w:fldCharType="begin"/>
        </w:r>
        <w:r w:rsidRPr="001B43FB">
          <w:rPr>
            <w:sz w:val="20"/>
            <w:szCs w:val="20"/>
          </w:rPr>
          <w:instrText xml:space="preserve"> NUMPAGES  </w:instrText>
        </w:r>
        <w:r w:rsidRPr="001B43FB">
          <w:rPr>
            <w:sz w:val="20"/>
            <w:szCs w:val="20"/>
          </w:rPr>
          <w:fldChar w:fldCharType="separate"/>
        </w:r>
        <w:r w:rsidR="000479A2" w:rsidRPr="001B43FB">
          <w:rPr>
            <w:noProof/>
            <w:sz w:val="20"/>
            <w:szCs w:val="20"/>
          </w:rPr>
          <w:t>8</w:t>
        </w:r>
        <w:r w:rsidRPr="001B43FB">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035C6" w14:textId="77777777" w:rsidR="00BF19B8" w:rsidRDefault="00BF19B8" w:rsidP="00EC300B">
      <w:pPr>
        <w:spacing w:after="0" w:line="240" w:lineRule="auto"/>
      </w:pPr>
      <w:r>
        <w:separator/>
      </w:r>
    </w:p>
  </w:footnote>
  <w:footnote w:type="continuationSeparator" w:id="0">
    <w:p w14:paraId="334D00E6" w14:textId="77777777" w:rsidR="00BF19B8" w:rsidRDefault="00BF19B8" w:rsidP="00EC3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1C18"/>
    <w:multiLevelType w:val="hybridMultilevel"/>
    <w:tmpl w:val="62A82292"/>
    <w:lvl w:ilvl="0" w:tplc="5F40A32A">
      <w:start w:val="1"/>
      <w:numFmt w:val="lowerLetter"/>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1" w15:restartNumberingAfterBreak="0">
    <w:nsid w:val="0B586938"/>
    <w:multiLevelType w:val="hybridMultilevel"/>
    <w:tmpl w:val="5A5C0814"/>
    <w:lvl w:ilvl="0" w:tplc="D91C983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21156CD4"/>
    <w:multiLevelType w:val="hybridMultilevel"/>
    <w:tmpl w:val="428670D2"/>
    <w:lvl w:ilvl="0" w:tplc="96C44CA2">
      <w:start w:val="1"/>
      <w:numFmt w:val="lowerLetter"/>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3" w15:restartNumberingAfterBreak="0">
    <w:nsid w:val="24CD08EA"/>
    <w:multiLevelType w:val="hybridMultilevel"/>
    <w:tmpl w:val="32625802"/>
    <w:lvl w:ilvl="0" w:tplc="5F40A32A">
      <w:start w:val="1"/>
      <w:numFmt w:val="lowerLetter"/>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4" w15:restartNumberingAfterBreak="0">
    <w:nsid w:val="3B6F4DB0"/>
    <w:multiLevelType w:val="hybridMultilevel"/>
    <w:tmpl w:val="7DFCC89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0582C50"/>
    <w:multiLevelType w:val="hybridMultilevel"/>
    <w:tmpl w:val="30F6A874"/>
    <w:lvl w:ilvl="0" w:tplc="33549504">
      <w:start w:val="1"/>
      <w:numFmt w:val="lowerLetter"/>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6" w15:restartNumberingAfterBreak="0">
    <w:nsid w:val="58C558FE"/>
    <w:multiLevelType w:val="hybridMultilevel"/>
    <w:tmpl w:val="6B6EB3F6"/>
    <w:lvl w:ilvl="0" w:tplc="0BC87502">
      <w:start w:val="1"/>
      <w:numFmt w:val="lowerRoman"/>
      <w:lvlText w:val="%1)"/>
      <w:lvlJc w:val="left"/>
      <w:pPr>
        <w:ind w:left="1425" w:hanging="72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num w:numId="1" w16cid:durableId="1219782282">
    <w:abstractNumId w:val="1"/>
  </w:num>
  <w:num w:numId="2" w16cid:durableId="433481442">
    <w:abstractNumId w:val="4"/>
  </w:num>
  <w:num w:numId="3" w16cid:durableId="1443265983">
    <w:abstractNumId w:val="6"/>
  </w:num>
  <w:num w:numId="4" w16cid:durableId="887107343">
    <w:abstractNumId w:val="2"/>
  </w:num>
  <w:num w:numId="5" w16cid:durableId="1096436364">
    <w:abstractNumId w:val="0"/>
  </w:num>
  <w:num w:numId="6" w16cid:durableId="337469201">
    <w:abstractNumId w:val="3"/>
  </w:num>
  <w:num w:numId="7" w16cid:durableId="7777195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B94"/>
    <w:rsid w:val="00000A41"/>
    <w:rsid w:val="00001A3B"/>
    <w:rsid w:val="00001BC4"/>
    <w:rsid w:val="000038DC"/>
    <w:rsid w:val="0001057E"/>
    <w:rsid w:val="00012DBA"/>
    <w:rsid w:val="0001357F"/>
    <w:rsid w:val="00013860"/>
    <w:rsid w:val="00014AA1"/>
    <w:rsid w:val="00015E85"/>
    <w:rsid w:val="000162BF"/>
    <w:rsid w:val="000175EB"/>
    <w:rsid w:val="00017846"/>
    <w:rsid w:val="000208B6"/>
    <w:rsid w:val="00020B1E"/>
    <w:rsid w:val="00022011"/>
    <w:rsid w:val="000230E3"/>
    <w:rsid w:val="000276DE"/>
    <w:rsid w:val="00027B5B"/>
    <w:rsid w:val="00034064"/>
    <w:rsid w:val="0003701A"/>
    <w:rsid w:val="00037824"/>
    <w:rsid w:val="000379C7"/>
    <w:rsid w:val="00040C44"/>
    <w:rsid w:val="000416D1"/>
    <w:rsid w:val="00041B27"/>
    <w:rsid w:val="00044A74"/>
    <w:rsid w:val="00045BA9"/>
    <w:rsid w:val="00045DA3"/>
    <w:rsid w:val="000479A2"/>
    <w:rsid w:val="00047E94"/>
    <w:rsid w:val="00052148"/>
    <w:rsid w:val="000532AE"/>
    <w:rsid w:val="00053654"/>
    <w:rsid w:val="000550C3"/>
    <w:rsid w:val="00057D20"/>
    <w:rsid w:val="00060157"/>
    <w:rsid w:val="00063CF7"/>
    <w:rsid w:val="00064C2F"/>
    <w:rsid w:val="00064F29"/>
    <w:rsid w:val="00065071"/>
    <w:rsid w:val="000654D8"/>
    <w:rsid w:val="000674D5"/>
    <w:rsid w:val="00070942"/>
    <w:rsid w:val="00070E0F"/>
    <w:rsid w:val="000711FC"/>
    <w:rsid w:val="00071994"/>
    <w:rsid w:val="00071CDC"/>
    <w:rsid w:val="0007238E"/>
    <w:rsid w:val="00073A61"/>
    <w:rsid w:val="00076032"/>
    <w:rsid w:val="00077379"/>
    <w:rsid w:val="00077483"/>
    <w:rsid w:val="0008015F"/>
    <w:rsid w:val="0008269F"/>
    <w:rsid w:val="00082F17"/>
    <w:rsid w:val="0008507C"/>
    <w:rsid w:val="000852F9"/>
    <w:rsid w:val="00085383"/>
    <w:rsid w:val="000874C0"/>
    <w:rsid w:val="00093F98"/>
    <w:rsid w:val="0009452A"/>
    <w:rsid w:val="00096561"/>
    <w:rsid w:val="0009704E"/>
    <w:rsid w:val="000973A9"/>
    <w:rsid w:val="000A0067"/>
    <w:rsid w:val="000A18DD"/>
    <w:rsid w:val="000A1908"/>
    <w:rsid w:val="000A2A33"/>
    <w:rsid w:val="000A5CF5"/>
    <w:rsid w:val="000A66F8"/>
    <w:rsid w:val="000A7A67"/>
    <w:rsid w:val="000B0DE2"/>
    <w:rsid w:val="000B1670"/>
    <w:rsid w:val="000B1A5A"/>
    <w:rsid w:val="000B1D08"/>
    <w:rsid w:val="000B24D3"/>
    <w:rsid w:val="000B490D"/>
    <w:rsid w:val="000B4C31"/>
    <w:rsid w:val="000C20E8"/>
    <w:rsid w:val="000C3979"/>
    <w:rsid w:val="000C4273"/>
    <w:rsid w:val="000C68A9"/>
    <w:rsid w:val="000C7AA3"/>
    <w:rsid w:val="000C7AE6"/>
    <w:rsid w:val="000D04F8"/>
    <w:rsid w:val="000D0DA0"/>
    <w:rsid w:val="000D106A"/>
    <w:rsid w:val="000D1CA0"/>
    <w:rsid w:val="000D2A45"/>
    <w:rsid w:val="000D6D30"/>
    <w:rsid w:val="000D714D"/>
    <w:rsid w:val="000D7298"/>
    <w:rsid w:val="000D7DAE"/>
    <w:rsid w:val="000E06E3"/>
    <w:rsid w:val="000E07E0"/>
    <w:rsid w:val="000E1361"/>
    <w:rsid w:val="000E1A28"/>
    <w:rsid w:val="000E2814"/>
    <w:rsid w:val="000E2910"/>
    <w:rsid w:val="000E2D31"/>
    <w:rsid w:val="000E4105"/>
    <w:rsid w:val="000E4A73"/>
    <w:rsid w:val="000E5072"/>
    <w:rsid w:val="000E6339"/>
    <w:rsid w:val="000F0129"/>
    <w:rsid w:val="000F0517"/>
    <w:rsid w:val="000F21E8"/>
    <w:rsid w:val="000F2F79"/>
    <w:rsid w:val="000F4330"/>
    <w:rsid w:val="000F5057"/>
    <w:rsid w:val="000F6DC0"/>
    <w:rsid w:val="00102B1C"/>
    <w:rsid w:val="00103AF1"/>
    <w:rsid w:val="001062BB"/>
    <w:rsid w:val="00112E1E"/>
    <w:rsid w:val="00114864"/>
    <w:rsid w:val="00114C97"/>
    <w:rsid w:val="00114DDD"/>
    <w:rsid w:val="00120D9C"/>
    <w:rsid w:val="00123908"/>
    <w:rsid w:val="00124FA7"/>
    <w:rsid w:val="00125C64"/>
    <w:rsid w:val="00126678"/>
    <w:rsid w:val="0013081F"/>
    <w:rsid w:val="00131C3B"/>
    <w:rsid w:val="001320B8"/>
    <w:rsid w:val="0013608F"/>
    <w:rsid w:val="00136CB6"/>
    <w:rsid w:val="00136E73"/>
    <w:rsid w:val="0014053E"/>
    <w:rsid w:val="00141E76"/>
    <w:rsid w:val="0014362E"/>
    <w:rsid w:val="00143BF2"/>
    <w:rsid w:val="00143F12"/>
    <w:rsid w:val="001456A0"/>
    <w:rsid w:val="00145C9D"/>
    <w:rsid w:val="00150F02"/>
    <w:rsid w:val="00150FAC"/>
    <w:rsid w:val="0015214F"/>
    <w:rsid w:val="0015585D"/>
    <w:rsid w:val="00161707"/>
    <w:rsid w:val="00162867"/>
    <w:rsid w:val="001632AD"/>
    <w:rsid w:val="00165363"/>
    <w:rsid w:val="001656B2"/>
    <w:rsid w:val="001657DA"/>
    <w:rsid w:val="00165EFE"/>
    <w:rsid w:val="00171EDB"/>
    <w:rsid w:val="00172843"/>
    <w:rsid w:val="00174A4B"/>
    <w:rsid w:val="0017670D"/>
    <w:rsid w:val="0017697E"/>
    <w:rsid w:val="00180F77"/>
    <w:rsid w:val="00183D9F"/>
    <w:rsid w:val="00184045"/>
    <w:rsid w:val="0018776B"/>
    <w:rsid w:val="001917CA"/>
    <w:rsid w:val="00191BA1"/>
    <w:rsid w:val="001926AF"/>
    <w:rsid w:val="00193C72"/>
    <w:rsid w:val="00194D24"/>
    <w:rsid w:val="00194E25"/>
    <w:rsid w:val="00195399"/>
    <w:rsid w:val="0019679B"/>
    <w:rsid w:val="001A25EA"/>
    <w:rsid w:val="001A275A"/>
    <w:rsid w:val="001A2C09"/>
    <w:rsid w:val="001A50C7"/>
    <w:rsid w:val="001A5A44"/>
    <w:rsid w:val="001A73DE"/>
    <w:rsid w:val="001A7E51"/>
    <w:rsid w:val="001B2563"/>
    <w:rsid w:val="001B2614"/>
    <w:rsid w:val="001B3A27"/>
    <w:rsid w:val="001B43FB"/>
    <w:rsid w:val="001B4950"/>
    <w:rsid w:val="001C324D"/>
    <w:rsid w:val="001C6954"/>
    <w:rsid w:val="001C7C3C"/>
    <w:rsid w:val="001D06F3"/>
    <w:rsid w:val="001D11AC"/>
    <w:rsid w:val="001D2008"/>
    <w:rsid w:val="001D21EA"/>
    <w:rsid w:val="001D21ED"/>
    <w:rsid w:val="001D31B1"/>
    <w:rsid w:val="001D6D48"/>
    <w:rsid w:val="001E2B36"/>
    <w:rsid w:val="001E2D10"/>
    <w:rsid w:val="001E3147"/>
    <w:rsid w:val="001E3C80"/>
    <w:rsid w:val="001E3FF9"/>
    <w:rsid w:val="001F222D"/>
    <w:rsid w:val="001F28A6"/>
    <w:rsid w:val="001F3134"/>
    <w:rsid w:val="001F3FB9"/>
    <w:rsid w:val="001F42BF"/>
    <w:rsid w:val="001F44FE"/>
    <w:rsid w:val="001F53FF"/>
    <w:rsid w:val="001F6163"/>
    <w:rsid w:val="001F67BE"/>
    <w:rsid w:val="001F7B28"/>
    <w:rsid w:val="00204561"/>
    <w:rsid w:val="00204D15"/>
    <w:rsid w:val="002065C8"/>
    <w:rsid w:val="00207661"/>
    <w:rsid w:val="002077E6"/>
    <w:rsid w:val="00212E92"/>
    <w:rsid w:val="002147F7"/>
    <w:rsid w:val="00214D07"/>
    <w:rsid w:val="002214DD"/>
    <w:rsid w:val="00221B2C"/>
    <w:rsid w:val="00222C51"/>
    <w:rsid w:val="0022435A"/>
    <w:rsid w:val="00230EC9"/>
    <w:rsid w:val="002330EF"/>
    <w:rsid w:val="00241597"/>
    <w:rsid w:val="00243437"/>
    <w:rsid w:val="0024447A"/>
    <w:rsid w:val="002463E6"/>
    <w:rsid w:val="00246C68"/>
    <w:rsid w:val="002473E3"/>
    <w:rsid w:val="002475DF"/>
    <w:rsid w:val="00250DE5"/>
    <w:rsid w:val="00252C95"/>
    <w:rsid w:val="00252E5B"/>
    <w:rsid w:val="00253D6E"/>
    <w:rsid w:val="00254026"/>
    <w:rsid w:val="00256A03"/>
    <w:rsid w:val="00257FC2"/>
    <w:rsid w:val="00261093"/>
    <w:rsid w:val="0026148E"/>
    <w:rsid w:val="002703B4"/>
    <w:rsid w:val="00274AAC"/>
    <w:rsid w:val="0027555C"/>
    <w:rsid w:val="002779D9"/>
    <w:rsid w:val="00277FA9"/>
    <w:rsid w:val="002813DA"/>
    <w:rsid w:val="002823AE"/>
    <w:rsid w:val="00282689"/>
    <w:rsid w:val="002844EE"/>
    <w:rsid w:val="00291BD8"/>
    <w:rsid w:val="00297A2F"/>
    <w:rsid w:val="002A1A0F"/>
    <w:rsid w:val="002A383A"/>
    <w:rsid w:val="002A5F97"/>
    <w:rsid w:val="002B02F1"/>
    <w:rsid w:val="002B08E1"/>
    <w:rsid w:val="002B096F"/>
    <w:rsid w:val="002B1996"/>
    <w:rsid w:val="002B7DFF"/>
    <w:rsid w:val="002C0CE3"/>
    <w:rsid w:val="002C0D55"/>
    <w:rsid w:val="002C1B7A"/>
    <w:rsid w:val="002C1FCB"/>
    <w:rsid w:val="002C5D43"/>
    <w:rsid w:val="002C723B"/>
    <w:rsid w:val="002C769E"/>
    <w:rsid w:val="002D37CC"/>
    <w:rsid w:val="002D3D3B"/>
    <w:rsid w:val="002D5330"/>
    <w:rsid w:val="002D57AC"/>
    <w:rsid w:val="002E07C7"/>
    <w:rsid w:val="002E2FBC"/>
    <w:rsid w:val="002E3B42"/>
    <w:rsid w:val="002E3CB6"/>
    <w:rsid w:val="002E59EF"/>
    <w:rsid w:val="002F15F3"/>
    <w:rsid w:val="002F1BCF"/>
    <w:rsid w:val="002F1F42"/>
    <w:rsid w:val="002F2FE3"/>
    <w:rsid w:val="00300AE0"/>
    <w:rsid w:val="003029AC"/>
    <w:rsid w:val="00304EA2"/>
    <w:rsid w:val="00305DBE"/>
    <w:rsid w:val="00311391"/>
    <w:rsid w:val="00312ECD"/>
    <w:rsid w:val="003160D2"/>
    <w:rsid w:val="003171FC"/>
    <w:rsid w:val="00320259"/>
    <w:rsid w:val="00321381"/>
    <w:rsid w:val="00323817"/>
    <w:rsid w:val="0032395D"/>
    <w:rsid w:val="00323FF6"/>
    <w:rsid w:val="00324174"/>
    <w:rsid w:val="003243C5"/>
    <w:rsid w:val="0032455D"/>
    <w:rsid w:val="00325949"/>
    <w:rsid w:val="003266C3"/>
    <w:rsid w:val="00326E74"/>
    <w:rsid w:val="00332490"/>
    <w:rsid w:val="00332E81"/>
    <w:rsid w:val="00333B61"/>
    <w:rsid w:val="00333F59"/>
    <w:rsid w:val="00336CF9"/>
    <w:rsid w:val="003400F1"/>
    <w:rsid w:val="003412F4"/>
    <w:rsid w:val="00343E82"/>
    <w:rsid w:val="0034513E"/>
    <w:rsid w:val="00352C61"/>
    <w:rsid w:val="00352E80"/>
    <w:rsid w:val="00354918"/>
    <w:rsid w:val="00355627"/>
    <w:rsid w:val="00355726"/>
    <w:rsid w:val="00355BA9"/>
    <w:rsid w:val="0035709B"/>
    <w:rsid w:val="00367451"/>
    <w:rsid w:val="00370637"/>
    <w:rsid w:val="00370E4B"/>
    <w:rsid w:val="0037255C"/>
    <w:rsid w:val="003727F5"/>
    <w:rsid w:val="0037372B"/>
    <w:rsid w:val="00373A18"/>
    <w:rsid w:val="00373BFA"/>
    <w:rsid w:val="00376BA8"/>
    <w:rsid w:val="00377023"/>
    <w:rsid w:val="0037724F"/>
    <w:rsid w:val="003777F0"/>
    <w:rsid w:val="003831F9"/>
    <w:rsid w:val="003856AF"/>
    <w:rsid w:val="00385AE4"/>
    <w:rsid w:val="00392743"/>
    <w:rsid w:val="0039590A"/>
    <w:rsid w:val="003A1FDC"/>
    <w:rsid w:val="003A47A8"/>
    <w:rsid w:val="003B03B4"/>
    <w:rsid w:val="003B06EC"/>
    <w:rsid w:val="003B1B8D"/>
    <w:rsid w:val="003B31DE"/>
    <w:rsid w:val="003B32D0"/>
    <w:rsid w:val="003B546A"/>
    <w:rsid w:val="003B65E4"/>
    <w:rsid w:val="003C1292"/>
    <w:rsid w:val="003C2059"/>
    <w:rsid w:val="003C4349"/>
    <w:rsid w:val="003C4608"/>
    <w:rsid w:val="003D3229"/>
    <w:rsid w:val="003D4F5F"/>
    <w:rsid w:val="003D522C"/>
    <w:rsid w:val="003E1409"/>
    <w:rsid w:val="003E2076"/>
    <w:rsid w:val="003E3D10"/>
    <w:rsid w:val="003E4E8E"/>
    <w:rsid w:val="003E5EA6"/>
    <w:rsid w:val="003F0C40"/>
    <w:rsid w:val="003F133B"/>
    <w:rsid w:val="003F2BBE"/>
    <w:rsid w:val="003F7131"/>
    <w:rsid w:val="0041094F"/>
    <w:rsid w:val="0041215D"/>
    <w:rsid w:val="004134EA"/>
    <w:rsid w:val="0042078A"/>
    <w:rsid w:val="0042504C"/>
    <w:rsid w:val="0043089C"/>
    <w:rsid w:val="0043309A"/>
    <w:rsid w:val="00435C67"/>
    <w:rsid w:val="00437FE5"/>
    <w:rsid w:val="0044134A"/>
    <w:rsid w:val="004426F6"/>
    <w:rsid w:val="00442B73"/>
    <w:rsid w:val="00442DD1"/>
    <w:rsid w:val="004450AB"/>
    <w:rsid w:val="004456B4"/>
    <w:rsid w:val="00445F89"/>
    <w:rsid w:val="004465C7"/>
    <w:rsid w:val="00446745"/>
    <w:rsid w:val="00452D1C"/>
    <w:rsid w:val="00454803"/>
    <w:rsid w:val="00454A3B"/>
    <w:rsid w:val="00454A92"/>
    <w:rsid w:val="00457D6B"/>
    <w:rsid w:val="004604E7"/>
    <w:rsid w:val="00460731"/>
    <w:rsid w:val="0046472B"/>
    <w:rsid w:val="004660AF"/>
    <w:rsid w:val="00466898"/>
    <w:rsid w:val="00470170"/>
    <w:rsid w:val="00473627"/>
    <w:rsid w:val="004758A7"/>
    <w:rsid w:val="0047728A"/>
    <w:rsid w:val="004777D4"/>
    <w:rsid w:val="00480853"/>
    <w:rsid w:val="00481EE6"/>
    <w:rsid w:val="0048226F"/>
    <w:rsid w:val="00485BB8"/>
    <w:rsid w:val="00492A87"/>
    <w:rsid w:val="00494FF5"/>
    <w:rsid w:val="0049685A"/>
    <w:rsid w:val="00497BB1"/>
    <w:rsid w:val="004A0200"/>
    <w:rsid w:val="004A07A1"/>
    <w:rsid w:val="004A1D45"/>
    <w:rsid w:val="004A4413"/>
    <w:rsid w:val="004A5A2F"/>
    <w:rsid w:val="004A6A9E"/>
    <w:rsid w:val="004A7D74"/>
    <w:rsid w:val="004B13A1"/>
    <w:rsid w:val="004B2EBB"/>
    <w:rsid w:val="004B3643"/>
    <w:rsid w:val="004B642E"/>
    <w:rsid w:val="004C05CA"/>
    <w:rsid w:val="004C3EED"/>
    <w:rsid w:val="004C3F31"/>
    <w:rsid w:val="004C4A49"/>
    <w:rsid w:val="004D0D38"/>
    <w:rsid w:val="004D2627"/>
    <w:rsid w:val="004D4678"/>
    <w:rsid w:val="004D4A55"/>
    <w:rsid w:val="004D5102"/>
    <w:rsid w:val="004D578F"/>
    <w:rsid w:val="004D72CA"/>
    <w:rsid w:val="004D7D25"/>
    <w:rsid w:val="004E393E"/>
    <w:rsid w:val="004E4C9D"/>
    <w:rsid w:val="004E6CE5"/>
    <w:rsid w:val="004E74D9"/>
    <w:rsid w:val="004E7794"/>
    <w:rsid w:val="004F0827"/>
    <w:rsid w:val="004F093B"/>
    <w:rsid w:val="004F3413"/>
    <w:rsid w:val="00501ED0"/>
    <w:rsid w:val="005046C4"/>
    <w:rsid w:val="0050508C"/>
    <w:rsid w:val="005058FC"/>
    <w:rsid w:val="00506F79"/>
    <w:rsid w:val="00514398"/>
    <w:rsid w:val="00514E65"/>
    <w:rsid w:val="00517AEB"/>
    <w:rsid w:val="00520405"/>
    <w:rsid w:val="00520C50"/>
    <w:rsid w:val="00523D40"/>
    <w:rsid w:val="00524ABF"/>
    <w:rsid w:val="0052577F"/>
    <w:rsid w:val="00525CB2"/>
    <w:rsid w:val="0053122E"/>
    <w:rsid w:val="00540C47"/>
    <w:rsid w:val="00545494"/>
    <w:rsid w:val="00545EA1"/>
    <w:rsid w:val="0054628A"/>
    <w:rsid w:val="00547854"/>
    <w:rsid w:val="00550A58"/>
    <w:rsid w:val="00550C0F"/>
    <w:rsid w:val="00550E6F"/>
    <w:rsid w:val="005534A5"/>
    <w:rsid w:val="0055378F"/>
    <w:rsid w:val="00553E9B"/>
    <w:rsid w:val="00555833"/>
    <w:rsid w:val="005565E6"/>
    <w:rsid w:val="00557BF8"/>
    <w:rsid w:val="00560FF6"/>
    <w:rsid w:val="005614A4"/>
    <w:rsid w:val="0056215F"/>
    <w:rsid w:val="0056345B"/>
    <w:rsid w:val="00563818"/>
    <w:rsid w:val="005669CE"/>
    <w:rsid w:val="00570F54"/>
    <w:rsid w:val="00574A38"/>
    <w:rsid w:val="005758C4"/>
    <w:rsid w:val="0057771B"/>
    <w:rsid w:val="00581AA6"/>
    <w:rsid w:val="005831DD"/>
    <w:rsid w:val="005834CC"/>
    <w:rsid w:val="00583887"/>
    <w:rsid w:val="00585609"/>
    <w:rsid w:val="00586056"/>
    <w:rsid w:val="00587CA7"/>
    <w:rsid w:val="005919D9"/>
    <w:rsid w:val="005933FC"/>
    <w:rsid w:val="00594CE4"/>
    <w:rsid w:val="00596A8C"/>
    <w:rsid w:val="005971DC"/>
    <w:rsid w:val="00597DEB"/>
    <w:rsid w:val="005B06A4"/>
    <w:rsid w:val="005B2415"/>
    <w:rsid w:val="005B287D"/>
    <w:rsid w:val="005B4D2C"/>
    <w:rsid w:val="005B4EC7"/>
    <w:rsid w:val="005B5110"/>
    <w:rsid w:val="005B7751"/>
    <w:rsid w:val="005C00A7"/>
    <w:rsid w:val="005C0C86"/>
    <w:rsid w:val="005C47D8"/>
    <w:rsid w:val="005C720B"/>
    <w:rsid w:val="005D17ED"/>
    <w:rsid w:val="005D1968"/>
    <w:rsid w:val="005D1A5D"/>
    <w:rsid w:val="005D1FB1"/>
    <w:rsid w:val="005D22CC"/>
    <w:rsid w:val="005D2A9F"/>
    <w:rsid w:val="005D52DB"/>
    <w:rsid w:val="005D54CC"/>
    <w:rsid w:val="005D5D7C"/>
    <w:rsid w:val="005E41DE"/>
    <w:rsid w:val="005E49BF"/>
    <w:rsid w:val="005E4C66"/>
    <w:rsid w:val="005E5992"/>
    <w:rsid w:val="005E5A78"/>
    <w:rsid w:val="005E6C16"/>
    <w:rsid w:val="005E78E5"/>
    <w:rsid w:val="005F0A56"/>
    <w:rsid w:val="005F2F33"/>
    <w:rsid w:val="005F480C"/>
    <w:rsid w:val="005F5085"/>
    <w:rsid w:val="005F5BF3"/>
    <w:rsid w:val="006008AA"/>
    <w:rsid w:val="006023ED"/>
    <w:rsid w:val="00606181"/>
    <w:rsid w:val="00607A14"/>
    <w:rsid w:val="0061179D"/>
    <w:rsid w:val="00613E15"/>
    <w:rsid w:val="0061449A"/>
    <w:rsid w:val="006160AB"/>
    <w:rsid w:val="00617491"/>
    <w:rsid w:val="00622BD7"/>
    <w:rsid w:val="00624E60"/>
    <w:rsid w:val="00624FD8"/>
    <w:rsid w:val="00626ECF"/>
    <w:rsid w:val="00631D7E"/>
    <w:rsid w:val="00633A91"/>
    <w:rsid w:val="00633D69"/>
    <w:rsid w:val="0063565F"/>
    <w:rsid w:val="00635D49"/>
    <w:rsid w:val="00641DB2"/>
    <w:rsid w:val="00643804"/>
    <w:rsid w:val="00654EC1"/>
    <w:rsid w:val="00656D89"/>
    <w:rsid w:val="0065720E"/>
    <w:rsid w:val="00657EEF"/>
    <w:rsid w:val="00662623"/>
    <w:rsid w:val="00666788"/>
    <w:rsid w:val="006668A6"/>
    <w:rsid w:val="0067141E"/>
    <w:rsid w:val="006724C9"/>
    <w:rsid w:val="006737BB"/>
    <w:rsid w:val="006754B9"/>
    <w:rsid w:val="00675E81"/>
    <w:rsid w:val="00680B46"/>
    <w:rsid w:val="00683DCA"/>
    <w:rsid w:val="00685459"/>
    <w:rsid w:val="00685C12"/>
    <w:rsid w:val="00686887"/>
    <w:rsid w:val="00686FA4"/>
    <w:rsid w:val="00692FE0"/>
    <w:rsid w:val="00693D48"/>
    <w:rsid w:val="006979E5"/>
    <w:rsid w:val="00697C4D"/>
    <w:rsid w:val="006A0716"/>
    <w:rsid w:val="006A3F52"/>
    <w:rsid w:val="006A4246"/>
    <w:rsid w:val="006A44C7"/>
    <w:rsid w:val="006A4F89"/>
    <w:rsid w:val="006A566E"/>
    <w:rsid w:val="006A7B26"/>
    <w:rsid w:val="006B33CB"/>
    <w:rsid w:val="006B3F6D"/>
    <w:rsid w:val="006B519B"/>
    <w:rsid w:val="006C1289"/>
    <w:rsid w:val="006C18BA"/>
    <w:rsid w:val="006C2B6A"/>
    <w:rsid w:val="006C2FF2"/>
    <w:rsid w:val="006C393F"/>
    <w:rsid w:val="006D2943"/>
    <w:rsid w:val="006D2B83"/>
    <w:rsid w:val="006D2C30"/>
    <w:rsid w:val="006D3D4D"/>
    <w:rsid w:val="006D4226"/>
    <w:rsid w:val="006D4561"/>
    <w:rsid w:val="006E303D"/>
    <w:rsid w:val="006E5362"/>
    <w:rsid w:val="006E6BC1"/>
    <w:rsid w:val="006E74A4"/>
    <w:rsid w:val="006F1335"/>
    <w:rsid w:val="006F3552"/>
    <w:rsid w:val="006F4806"/>
    <w:rsid w:val="006F5346"/>
    <w:rsid w:val="006F6460"/>
    <w:rsid w:val="00703A41"/>
    <w:rsid w:val="00705E28"/>
    <w:rsid w:val="00713A67"/>
    <w:rsid w:val="00713BC8"/>
    <w:rsid w:val="00714F92"/>
    <w:rsid w:val="007153CC"/>
    <w:rsid w:val="00717FCF"/>
    <w:rsid w:val="007202EA"/>
    <w:rsid w:val="00720FE1"/>
    <w:rsid w:val="00721CD1"/>
    <w:rsid w:val="00726F35"/>
    <w:rsid w:val="00732678"/>
    <w:rsid w:val="00733C17"/>
    <w:rsid w:val="00733D73"/>
    <w:rsid w:val="00735CB9"/>
    <w:rsid w:val="00740017"/>
    <w:rsid w:val="00741DA3"/>
    <w:rsid w:val="00741F73"/>
    <w:rsid w:val="007466E5"/>
    <w:rsid w:val="00746F6E"/>
    <w:rsid w:val="00750FE9"/>
    <w:rsid w:val="00752D86"/>
    <w:rsid w:val="00752E17"/>
    <w:rsid w:val="00754C84"/>
    <w:rsid w:val="00755016"/>
    <w:rsid w:val="00755F9C"/>
    <w:rsid w:val="007571F4"/>
    <w:rsid w:val="0076373B"/>
    <w:rsid w:val="00771E43"/>
    <w:rsid w:val="0077492F"/>
    <w:rsid w:val="007759A3"/>
    <w:rsid w:val="00776A34"/>
    <w:rsid w:val="00783045"/>
    <w:rsid w:val="00783C60"/>
    <w:rsid w:val="007855C3"/>
    <w:rsid w:val="00786AC9"/>
    <w:rsid w:val="00791192"/>
    <w:rsid w:val="007914C6"/>
    <w:rsid w:val="00793486"/>
    <w:rsid w:val="007955F0"/>
    <w:rsid w:val="00795E32"/>
    <w:rsid w:val="007A0070"/>
    <w:rsid w:val="007A2C09"/>
    <w:rsid w:val="007A360C"/>
    <w:rsid w:val="007B111C"/>
    <w:rsid w:val="007B14FD"/>
    <w:rsid w:val="007B1926"/>
    <w:rsid w:val="007B1B25"/>
    <w:rsid w:val="007B2767"/>
    <w:rsid w:val="007B5463"/>
    <w:rsid w:val="007B6377"/>
    <w:rsid w:val="007B747A"/>
    <w:rsid w:val="007C1DC9"/>
    <w:rsid w:val="007C283F"/>
    <w:rsid w:val="007C2C3B"/>
    <w:rsid w:val="007C40D0"/>
    <w:rsid w:val="007C418E"/>
    <w:rsid w:val="007C463B"/>
    <w:rsid w:val="007C5BB3"/>
    <w:rsid w:val="007C613E"/>
    <w:rsid w:val="007C6C85"/>
    <w:rsid w:val="007D4217"/>
    <w:rsid w:val="007D76F9"/>
    <w:rsid w:val="007E50BC"/>
    <w:rsid w:val="007E573E"/>
    <w:rsid w:val="007E7FA6"/>
    <w:rsid w:val="007F04CB"/>
    <w:rsid w:val="007F1E03"/>
    <w:rsid w:val="007F376A"/>
    <w:rsid w:val="007F3C59"/>
    <w:rsid w:val="007F7D81"/>
    <w:rsid w:val="00800AF0"/>
    <w:rsid w:val="00800B05"/>
    <w:rsid w:val="00804C8E"/>
    <w:rsid w:val="008058ED"/>
    <w:rsid w:val="00807B4A"/>
    <w:rsid w:val="00807EFF"/>
    <w:rsid w:val="0081014D"/>
    <w:rsid w:val="00810C9D"/>
    <w:rsid w:val="00810E49"/>
    <w:rsid w:val="00810F82"/>
    <w:rsid w:val="00811296"/>
    <w:rsid w:val="00812B94"/>
    <w:rsid w:val="00816AD4"/>
    <w:rsid w:val="008222E0"/>
    <w:rsid w:val="00823424"/>
    <w:rsid w:val="0082657F"/>
    <w:rsid w:val="008279BD"/>
    <w:rsid w:val="0083594F"/>
    <w:rsid w:val="00836EEF"/>
    <w:rsid w:val="00840DF1"/>
    <w:rsid w:val="0084111F"/>
    <w:rsid w:val="008459EA"/>
    <w:rsid w:val="00845C30"/>
    <w:rsid w:val="00847D82"/>
    <w:rsid w:val="00847E7E"/>
    <w:rsid w:val="00855D40"/>
    <w:rsid w:val="008576A0"/>
    <w:rsid w:val="00864080"/>
    <w:rsid w:val="00866F3C"/>
    <w:rsid w:val="00867ED0"/>
    <w:rsid w:val="008718C1"/>
    <w:rsid w:val="00872503"/>
    <w:rsid w:val="008757A2"/>
    <w:rsid w:val="00877F61"/>
    <w:rsid w:val="008806B3"/>
    <w:rsid w:val="00880842"/>
    <w:rsid w:val="008810D9"/>
    <w:rsid w:val="0088253C"/>
    <w:rsid w:val="008826AD"/>
    <w:rsid w:val="00882C2C"/>
    <w:rsid w:val="008831B6"/>
    <w:rsid w:val="0088395B"/>
    <w:rsid w:val="00884968"/>
    <w:rsid w:val="00884C37"/>
    <w:rsid w:val="00885AF1"/>
    <w:rsid w:val="00885B5E"/>
    <w:rsid w:val="00887CE8"/>
    <w:rsid w:val="00894589"/>
    <w:rsid w:val="00895B04"/>
    <w:rsid w:val="0089610E"/>
    <w:rsid w:val="0089626C"/>
    <w:rsid w:val="008965A0"/>
    <w:rsid w:val="008A0B90"/>
    <w:rsid w:val="008A30EC"/>
    <w:rsid w:val="008A3C60"/>
    <w:rsid w:val="008A43AC"/>
    <w:rsid w:val="008A7447"/>
    <w:rsid w:val="008B448D"/>
    <w:rsid w:val="008B4FAA"/>
    <w:rsid w:val="008B5AE7"/>
    <w:rsid w:val="008B5D6D"/>
    <w:rsid w:val="008C0C5D"/>
    <w:rsid w:val="008D30B8"/>
    <w:rsid w:val="008D5695"/>
    <w:rsid w:val="008D6882"/>
    <w:rsid w:val="008D6F5C"/>
    <w:rsid w:val="008E0098"/>
    <w:rsid w:val="008E1773"/>
    <w:rsid w:val="008E39B7"/>
    <w:rsid w:val="008E449D"/>
    <w:rsid w:val="008E592F"/>
    <w:rsid w:val="008E61B3"/>
    <w:rsid w:val="008F1828"/>
    <w:rsid w:val="008F34BA"/>
    <w:rsid w:val="008F3837"/>
    <w:rsid w:val="008F386B"/>
    <w:rsid w:val="008F4388"/>
    <w:rsid w:val="008F5E7F"/>
    <w:rsid w:val="008F6F36"/>
    <w:rsid w:val="008F7B8C"/>
    <w:rsid w:val="009020E8"/>
    <w:rsid w:val="009030AE"/>
    <w:rsid w:val="00903659"/>
    <w:rsid w:val="00904F42"/>
    <w:rsid w:val="009064BB"/>
    <w:rsid w:val="00907F2D"/>
    <w:rsid w:val="0091090A"/>
    <w:rsid w:val="00910D54"/>
    <w:rsid w:val="00912EF2"/>
    <w:rsid w:val="009205E4"/>
    <w:rsid w:val="00924AE1"/>
    <w:rsid w:val="00926706"/>
    <w:rsid w:val="00930F82"/>
    <w:rsid w:val="009318FA"/>
    <w:rsid w:val="00932780"/>
    <w:rsid w:val="009349EB"/>
    <w:rsid w:val="00935D02"/>
    <w:rsid w:val="00936F85"/>
    <w:rsid w:val="00942984"/>
    <w:rsid w:val="0094430F"/>
    <w:rsid w:val="00945B98"/>
    <w:rsid w:val="00946AB6"/>
    <w:rsid w:val="00950927"/>
    <w:rsid w:val="00951E8A"/>
    <w:rsid w:val="009559E4"/>
    <w:rsid w:val="009577E7"/>
    <w:rsid w:val="00961290"/>
    <w:rsid w:val="00961B1A"/>
    <w:rsid w:val="00962117"/>
    <w:rsid w:val="00962265"/>
    <w:rsid w:val="00962C65"/>
    <w:rsid w:val="0097157F"/>
    <w:rsid w:val="00974E12"/>
    <w:rsid w:val="00976100"/>
    <w:rsid w:val="00977E6F"/>
    <w:rsid w:val="00980A75"/>
    <w:rsid w:val="00982396"/>
    <w:rsid w:val="009823F1"/>
    <w:rsid w:val="00982EE4"/>
    <w:rsid w:val="009856A5"/>
    <w:rsid w:val="00987C43"/>
    <w:rsid w:val="00990105"/>
    <w:rsid w:val="00990536"/>
    <w:rsid w:val="009908BD"/>
    <w:rsid w:val="00991E80"/>
    <w:rsid w:val="0099206A"/>
    <w:rsid w:val="0099654E"/>
    <w:rsid w:val="0099780F"/>
    <w:rsid w:val="009A0F3E"/>
    <w:rsid w:val="009A3CFA"/>
    <w:rsid w:val="009A6195"/>
    <w:rsid w:val="009B29E2"/>
    <w:rsid w:val="009B4C6C"/>
    <w:rsid w:val="009B5F4C"/>
    <w:rsid w:val="009B736E"/>
    <w:rsid w:val="009C01E9"/>
    <w:rsid w:val="009C3A75"/>
    <w:rsid w:val="009C3D9D"/>
    <w:rsid w:val="009D1A45"/>
    <w:rsid w:val="009D2988"/>
    <w:rsid w:val="009D41FE"/>
    <w:rsid w:val="009D49C2"/>
    <w:rsid w:val="009D5E20"/>
    <w:rsid w:val="009E206E"/>
    <w:rsid w:val="009E7D35"/>
    <w:rsid w:val="009F008F"/>
    <w:rsid w:val="009F080B"/>
    <w:rsid w:val="009F0853"/>
    <w:rsid w:val="009F1D68"/>
    <w:rsid w:val="009F4414"/>
    <w:rsid w:val="009F5104"/>
    <w:rsid w:val="009F575C"/>
    <w:rsid w:val="009F7DD7"/>
    <w:rsid w:val="00A0435A"/>
    <w:rsid w:val="00A05AB7"/>
    <w:rsid w:val="00A06910"/>
    <w:rsid w:val="00A111DA"/>
    <w:rsid w:val="00A14697"/>
    <w:rsid w:val="00A17563"/>
    <w:rsid w:val="00A216A0"/>
    <w:rsid w:val="00A21B94"/>
    <w:rsid w:val="00A22ADA"/>
    <w:rsid w:val="00A26C3C"/>
    <w:rsid w:val="00A27541"/>
    <w:rsid w:val="00A276B0"/>
    <w:rsid w:val="00A30D94"/>
    <w:rsid w:val="00A35D3A"/>
    <w:rsid w:val="00A36B8F"/>
    <w:rsid w:val="00A36E40"/>
    <w:rsid w:val="00A40C0D"/>
    <w:rsid w:val="00A43DF1"/>
    <w:rsid w:val="00A44ABB"/>
    <w:rsid w:val="00A44EF7"/>
    <w:rsid w:val="00A45E50"/>
    <w:rsid w:val="00A466C1"/>
    <w:rsid w:val="00A4705F"/>
    <w:rsid w:val="00A510B2"/>
    <w:rsid w:val="00A51A29"/>
    <w:rsid w:val="00A52A92"/>
    <w:rsid w:val="00A53FD9"/>
    <w:rsid w:val="00A543F7"/>
    <w:rsid w:val="00A56498"/>
    <w:rsid w:val="00A5723E"/>
    <w:rsid w:val="00A61E77"/>
    <w:rsid w:val="00A62C3F"/>
    <w:rsid w:val="00A63F9F"/>
    <w:rsid w:val="00A64BF2"/>
    <w:rsid w:val="00A6748D"/>
    <w:rsid w:val="00A67A66"/>
    <w:rsid w:val="00A72951"/>
    <w:rsid w:val="00A77665"/>
    <w:rsid w:val="00A873AD"/>
    <w:rsid w:val="00A90261"/>
    <w:rsid w:val="00A90F38"/>
    <w:rsid w:val="00A9580F"/>
    <w:rsid w:val="00A97593"/>
    <w:rsid w:val="00AA18B4"/>
    <w:rsid w:val="00AA32B7"/>
    <w:rsid w:val="00AA36B9"/>
    <w:rsid w:val="00AA3E49"/>
    <w:rsid w:val="00AA49D5"/>
    <w:rsid w:val="00AA5310"/>
    <w:rsid w:val="00AB13B9"/>
    <w:rsid w:val="00AB3449"/>
    <w:rsid w:val="00AB510E"/>
    <w:rsid w:val="00AB6D29"/>
    <w:rsid w:val="00AC23CB"/>
    <w:rsid w:val="00AC2969"/>
    <w:rsid w:val="00AC6125"/>
    <w:rsid w:val="00AC79EB"/>
    <w:rsid w:val="00AD0245"/>
    <w:rsid w:val="00AD0273"/>
    <w:rsid w:val="00AD1C72"/>
    <w:rsid w:val="00AD4944"/>
    <w:rsid w:val="00AD4C18"/>
    <w:rsid w:val="00AD680C"/>
    <w:rsid w:val="00AD6F3E"/>
    <w:rsid w:val="00AD7E14"/>
    <w:rsid w:val="00AE0F90"/>
    <w:rsid w:val="00AE1E6D"/>
    <w:rsid w:val="00AE2381"/>
    <w:rsid w:val="00AE3FBD"/>
    <w:rsid w:val="00AE543F"/>
    <w:rsid w:val="00AE7795"/>
    <w:rsid w:val="00AE7905"/>
    <w:rsid w:val="00AE79BE"/>
    <w:rsid w:val="00AE7FCE"/>
    <w:rsid w:val="00AF2958"/>
    <w:rsid w:val="00AF4806"/>
    <w:rsid w:val="00B00115"/>
    <w:rsid w:val="00B00152"/>
    <w:rsid w:val="00B01BEC"/>
    <w:rsid w:val="00B023C8"/>
    <w:rsid w:val="00B03E68"/>
    <w:rsid w:val="00B04BBC"/>
    <w:rsid w:val="00B078AE"/>
    <w:rsid w:val="00B102AF"/>
    <w:rsid w:val="00B10565"/>
    <w:rsid w:val="00B122B6"/>
    <w:rsid w:val="00B13A2D"/>
    <w:rsid w:val="00B14E25"/>
    <w:rsid w:val="00B152A2"/>
    <w:rsid w:val="00B164A1"/>
    <w:rsid w:val="00B1687F"/>
    <w:rsid w:val="00B172AB"/>
    <w:rsid w:val="00B20D1C"/>
    <w:rsid w:val="00B2134A"/>
    <w:rsid w:val="00B24F6C"/>
    <w:rsid w:val="00B266F8"/>
    <w:rsid w:val="00B27A52"/>
    <w:rsid w:val="00B302EA"/>
    <w:rsid w:val="00B327F6"/>
    <w:rsid w:val="00B32E4C"/>
    <w:rsid w:val="00B339EE"/>
    <w:rsid w:val="00B37CF0"/>
    <w:rsid w:val="00B41FE9"/>
    <w:rsid w:val="00B4433B"/>
    <w:rsid w:val="00B44BBC"/>
    <w:rsid w:val="00B450C8"/>
    <w:rsid w:val="00B5501F"/>
    <w:rsid w:val="00B56FDD"/>
    <w:rsid w:val="00B605F7"/>
    <w:rsid w:val="00B6101A"/>
    <w:rsid w:val="00B63157"/>
    <w:rsid w:val="00B6421B"/>
    <w:rsid w:val="00B662CD"/>
    <w:rsid w:val="00B70008"/>
    <w:rsid w:val="00B71772"/>
    <w:rsid w:val="00B71B2C"/>
    <w:rsid w:val="00B74B16"/>
    <w:rsid w:val="00B765CB"/>
    <w:rsid w:val="00B829E7"/>
    <w:rsid w:val="00B83912"/>
    <w:rsid w:val="00B85C73"/>
    <w:rsid w:val="00B90114"/>
    <w:rsid w:val="00B908B0"/>
    <w:rsid w:val="00B91056"/>
    <w:rsid w:val="00B920F8"/>
    <w:rsid w:val="00B92775"/>
    <w:rsid w:val="00B92CBB"/>
    <w:rsid w:val="00B92F17"/>
    <w:rsid w:val="00B92F2F"/>
    <w:rsid w:val="00B93DDC"/>
    <w:rsid w:val="00BA408B"/>
    <w:rsid w:val="00BB3BC4"/>
    <w:rsid w:val="00BB699D"/>
    <w:rsid w:val="00BB6AD4"/>
    <w:rsid w:val="00BB76D1"/>
    <w:rsid w:val="00BB7DBC"/>
    <w:rsid w:val="00BC00A0"/>
    <w:rsid w:val="00BC2EA8"/>
    <w:rsid w:val="00BC2F58"/>
    <w:rsid w:val="00BC3F85"/>
    <w:rsid w:val="00BC4091"/>
    <w:rsid w:val="00BC6701"/>
    <w:rsid w:val="00BC68F1"/>
    <w:rsid w:val="00BC75CD"/>
    <w:rsid w:val="00BD0A0E"/>
    <w:rsid w:val="00BD0DE2"/>
    <w:rsid w:val="00BD27DC"/>
    <w:rsid w:val="00BD4592"/>
    <w:rsid w:val="00BD6900"/>
    <w:rsid w:val="00BD7369"/>
    <w:rsid w:val="00BE0881"/>
    <w:rsid w:val="00BE12F3"/>
    <w:rsid w:val="00BE1E3F"/>
    <w:rsid w:val="00BE5AEF"/>
    <w:rsid w:val="00BF19B8"/>
    <w:rsid w:val="00BF1B77"/>
    <w:rsid w:val="00BF31C9"/>
    <w:rsid w:val="00C00712"/>
    <w:rsid w:val="00C028F9"/>
    <w:rsid w:val="00C035E0"/>
    <w:rsid w:val="00C04E12"/>
    <w:rsid w:val="00C07707"/>
    <w:rsid w:val="00C10EC3"/>
    <w:rsid w:val="00C12A74"/>
    <w:rsid w:val="00C131BB"/>
    <w:rsid w:val="00C14AC5"/>
    <w:rsid w:val="00C14EAD"/>
    <w:rsid w:val="00C15014"/>
    <w:rsid w:val="00C21F7F"/>
    <w:rsid w:val="00C235E2"/>
    <w:rsid w:val="00C273C0"/>
    <w:rsid w:val="00C33A1C"/>
    <w:rsid w:val="00C35819"/>
    <w:rsid w:val="00C35A86"/>
    <w:rsid w:val="00C36228"/>
    <w:rsid w:val="00C43B01"/>
    <w:rsid w:val="00C46A33"/>
    <w:rsid w:val="00C4746E"/>
    <w:rsid w:val="00C477B1"/>
    <w:rsid w:val="00C47A99"/>
    <w:rsid w:val="00C512C5"/>
    <w:rsid w:val="00C52056"/>
    <w:rsid w:val="00C5340C"/>
    <w:rsid w:val="00C535B1"/>
    <w:rsid w:val="00C54A93"/>
    <w:rsid w:val="00C5614C"/>
    <w:rsid w:val="00C5657E"/>
    <w:rsid w:val="00C57A4A"/>
    <w:rsid w:val="00C62F5F"/>
    <w:rsid w:val="00C64953"/>
    <w:rsid w:val="00C65841"/>
    <w:rsid w:val="00C66D53"/>
    <w:rsid w:val="00C66DF5"/>
    <w:rsid w:val="00C66FF5"/>
    <w:rsid w:val="00C67965"/>
    <w:rsid w:val="00C74CE7"/>
    <w:rsid w:val="00C8013C"/>
    <w:rsid w:val="00C80AD0"/>
    <w:rsid w:val="00C8116F"/>
    <w:rsid w:val="00C816C4"/>
    <w:rsid w:val="00C828AB"/>
    <w:rsid w:val="00C83AAD"/>
    <w:rsid w:val="00C84ACE"/>
    <w:rsid w:val="00C87B2D"/>
    <w:rsid w:val="00C91C80"/>
    <w:rsid w:val="00C9284C"/>
    <w:rsid w:val="00C94DC6"/>
    <w:rsid w:val="00C95062"/>
    <w:rsid w:val="00C9702C"/>
    <w:rsid w:val="00C97B77"/>
    <w:rsid w:val="00CA4111"/>
    <w:rsid w:val="00CA48B6"/>
    <w:rsid w:val="00CA5B2A"/>
    <w:rsid w:val="00CB401B"/>
    <w:rsid w:val="00CB6442"/>
    <w:rsid w:val="00CB68C1"/>
    <w:rsid w:val="00CB7152"/>
    <w:rsid w:val="00CB77A9"/>
    <w:rsid w:val="00CC2815"/>
    <w:rsid w:val="00CC4C86"/>
    <w:rsid w:val="00CC6146"/>
    <w:rsid w:val="00CD3B38"/>
    <w:rsid w:val="00CD60BF"/>
    <w:rsid w:val="00CD7227"/>
    <w:rsid w:val="00CE041D"/>
    <w:rsid w:val="00CE2712"/>
    <w:rsid w:val="00CE4CAC"/>
    <w:rsid w:val="00CE5B9F"/>
    <w:rsid w:val="00CE643C"/>
    <w:rsid w:val="00CE67D2"/>
    <w:rsid w:val="00CE79CD"/>
    <w:rsid w:val="00CE7EEB"/>
    <w:rsid w:val="00CF000D"/>
    <w:rsid w:val="00CF1705"/>
    <w:rsid w:val="00CF4C4B"/>
    <w:rsid w:val="00D002B2"/>
    <w:rsid w:val="00D016CE"/>
    <w:rsid w:val="00D032E6"/>
    <w:rsid w:val="00D0638D"/>
    <w:rsid w:val="00D11F31"/>
    <w:rsid w:val="00D13BE2"/>
    <w:rsid w:val="00D143BE"/>
    <w:rsid w:val="00D16E52"/>
    <w:rsid w:val="00D20F06"/>
    <w:rsid w:val="00D22BD3"/>
    <w:rsid w:val="00D24EBC"/>
    <w:rsid w:val="00D258AF"/>
    <w:rsid w:val="00D3147B"/>
    <w:rsid w:val="00D34AFD"/>
    <w:rsid w:val="00D35A29"/>
    <w:rsid w:val="00D402F0"/>
    <w:rsid w:val="00D40CC1"/>
    <w:rsid w:val="00D43955"/>
    <w:rsid w:val="00D4568D"/>
    <w:rsid w:val="00D4621F"/>
    <w:rsid w:val="00D46DC9"/>
    <w:rsid w:val="00D503E4"/>
    <w:rsid w:val="00D5110A"/>
    <w:rsid w:val="00D53E0C"/>
    <w:rsid w:val="00D54759"/>
    <w:rsid w:val="00D55501"/>
    <w:rsid w:val="00D56B85"/>
    <w:rsid w:val="00D6140F"/>
    <w:rsid w:val="00D61915"/>
    <w:rsid w:val="00D63224"/>
    <w:rsid w:val="00D64B6E"/>
    <w:rsid w:val="00D6661E"/>
    <w:rsid w:val="00D73FEE"/>
    <w:rsid w:val="00D77127"/>
    <w:rsid w:val="00D86D2F"/>
    <w:rsid w:val="00D919A6"/>
    <w:rsid w:val="00D91D33"/>
    <w:rsid w:val="00D921C1"/>
    <w:rsid w:val="00D9646A"/>
    <w:rsid w:val="00D97234"/>
    <w:rsid w:val="00DA04EB"/>
    <w:rsid w:val="00DA1803"/>
    <w:rsid w:val="00DA1F5B"/>
    <w:rsid w:val="00DA2E1B"/>
    <w:rsid w:val="00DA32C5"/>
    <w:rsid w:val="00DA32CB"/>
    <w:rsid w:val="00DA421A"/>
    <w:rsid w:val="00DA4E20"/>
    <w:rsid w:val="00DB16B7"/>
    <w:rsid w:val="00DB4E78"/>
    <w:rsid w:val="00DB5F8E"/>
    <w:rsid w:val="00DB6196"/>
    <w:rsid w:val="00DB71C3"/>
    <w:rsid w:val="00DB7B33"/>
    <w:rsid w:val="00DB7D45"/>
    <w:rsid w:val="00DC0CA5"/>
    <w:rsid w:val="00DC15A3"/>
    <w:rsid w:val="00DC1EA4"/>
    <w:rsid w:val="00DC1F64"/>
    <w:rsid w:val="00DC54EE"/>
    <w:rsid w:val="00DD3163"/>
    <w:rsid w:val="00DD3DB3"/>
    <w:rsid w:val="00DD5A3B"/>
    <w:rsid w:val="00DD5FBA"/>
    <w:rsid w:val="00DD6A4B"/>
    <w:rsid w:val="00DD6E80"/>
    <w:rsid w:val="00DE092A"/>
    <w:rsid w:val="00DE12D3"/>
    <w:rsid w:val="00DE5932"/>
    <w:rsid w:val="00DF28B6"/>
    <w:rsid w:val="00DF75C2"/>
    <w:rsid w:val="00E027B4"/>
    <w:rsid w:val="00E060A6"/>
    <w:rsid w:val="00E06FE5"/>
    <w:rsid w:val="00E12B0E"/>
    <w:rsid w:val="00E13D91"/>
    <w:rsid w:val="00E1405F"/>
    <w:rsid w:val="00E14459"/>
    <w:rsid w:val="00E15E27"/>
    <w:rsid w:val="00E15F5E"/>
    <w:rsid w:val="00E16D69"/>
    <w:rsid w:val="00E220ED"/>
    <w:rsid w:val="00E22685"/>
    <w:rsid w:val="00E226DF"/>
    <w:rsid w:val="00E22CB3"/>
    <w:rsid w:val="00E2375A"/>
    <w:rsid w:val="00E25A62"/>
    <w:rsid w:val="00E2748E"/>
    <w:rsid w:val="00E27752"/>
    <w:rsid w:val="00E311D1"/>
    <w:rsid w:val="00E314D0"/>
    <w:rsid w:val="00E31AEF"/>
    <w:rsid w:val="00E3221D"/>
    <w:rsid w:val="00E32E9B"/>
    <w:rsid w:val="00E34FFE"/>
    <w:rsid w:val="00E36F02"/>
    <w:rsid w:val="00E4010A"/>
    <w:rsid w:val="00E410EB"/>
    <w:rsid w:val="00E41EBC"/>
    <w:rsid w:val="00E434FD"/>
    <w:rsid w:val="00E44D6B"/>
    <w:rsid w:val="00E47985"/>
    <w:rsid w:val="00E5106C"/>
    <w:rsid w:val="00E534E1"/>
    <w:rsid w:val="00E54C87"/>
    <w:rsid w:val="00E614C4"/>
    <w:rsid w:val="00E623A7"/>
    <w:rsid w:val="00E6265E"/>
    <w:rsid w:val="00E647D9"/>
    <w:rsid w:val="00E70C13"/>
    <w:rsid w:val="00E71693"/>
    <w:rsid w:val="00E74B92"/>
    <w:rsid w:val="00E7720B"/>
    <w:rsid w:val="00E77564"/>
    <w:rsid w:val="00E80185"/>
    <w:rsid w:val="00E83132"/>
    <w:rsid w:val="00E844D9"/>
    <w:rsid w:val="00E85407"/>
    <w:rsid w:val="00E85B59"/>
    <w:rsid w:val="00E86CDE"/>
    <w:rsid w:val="00E8784A"/>
    <w:rsid w:val="00E87926"/>
    <w:rsid w:val="00E90519"/>
    <w:rsid w:val="00E93DF7"/>
    <w:rsid w:val="00E964B7"/>
    <w:rsid w:val="00EA182A"/>
    <w:rsid w:val="00EA2174"/>
    <w:rsid w:val="00EA4471"/>
    <w:rsid w:val="00EB0AC2"/>
    <w:rsid w:val="00EB1BD1"/>
    <w:rsid w:val="00EB52A1"/>
    <w:rsid w:val="00EC2072"/>
    <w:rsid w:val="00EC293A"/>
    <w:rsid w:val="00EC29C2"/>
    <w:rsid w:val="00EC2DC9"/>
    <w:rsid w:val="00EC300B"/>
    <w:rsid w:val="00EC45DA"/>
    <w:rsid w:val="00EC71D8"/>
    <w:rsid w:val="00EC7ACF"/>
    <w:rsid w:val="00ED2E68"/>
    <w:rsid w:val="00ED3B08"/>
    <w:rsid w:val="00ED3DAB"/>
    <w:rsid w:val="00EE0279"/>
    <w:rsid w:val="00EE3CE4"/>
    <w:rsid w:val="00EE6D7A"/>
    <w:rsid w:val="00EF04B5"/>
    <w:rsid w:val="00EF1DB6"/>
    <w:rsid w:val="00EF47A4"/>
    <w:rsid w:val="00EF4DC6"/>
    <w:rsid w:val="00EF6D66"/>
    <w:rsid w:val="00EF7361"/>
    <w:rsid w:val="00EF78FF"/>
    <w:rsid w:val="00EF7F84"/>
    <w:rsid w:val="00F02DD6"/>
    <w:rsid w:val="00F034F1"/>
    <w:rsid w:val="00F042CE"/>
    <w:rsid w:val="00F07F91"/>
    <w:rsid w:val="00F11DFE"/>
    <w:rsid w:val="00F14303"/>
    <w:rsid w:val="00F153C8"/>
    <w:rsid w:val="00F178EA"/>
    <w:rsid w:val="00F20D7C"/>
    <w:rsid w:val="00F20DDC"/>
    <w:rsid w:val="00F2184E"/>
    <w:rsid w:val="00F21B55"/>
    <w:rsid w:val="00F229F0"/>
    <w:rsid w:val="00F22FB6"/>
    <w:rsid w:val="00F23DED"/>
    <w:rsid w:val="00F25C8A"/>
    <w:rsid w:val="00F3104F"/>
    <w:rsid w:val="00F31F55"/>
    <w:rsid w:val="00F33723"/>
    <w:rsid w:val="00F357E9"/>
    <w:rsid w:val="00F3724D"/>
    <w:rsid w:val="00F402F1"/>
    <w:rsid w:val="00F40498"/>
    <w:rsid w:val="00F40560"/>
    <w:rsid w:val="00F43AEE"/>
    <w:rsid w:val="00F44AAC"/>
    <w:rsid w:val="00F47291"/>
    <w:rsid w:val="00F502CF"/>
    <w:rsid w:val="00F504A3"/>
    <w:rsid w:val="00F51863"/>
    <w:rsid w:val="00F51C81"/>
    <w:rsid w:val="00F56B5B"/>
    <w:rsid w:val="00F606A8"/>
    <w:rsid w:val="00F63EFF"/>
    <w:rsid w:val="00F6414E"/>
    <w:rsid w:val="00F665B5"/>
    <w:rsid w:val="00F70AE4"/>
    <w:rsid w:val="00F71B3B"/>
    <w:rsid w:val="00F71E0E"/>
    <w:rsid w:val="00F721F4"/>
    <w:rsid w:val="00F731B7"/>
    <w:rsid w:val="00F8078C"/>
    <w:rsid w:val="00F80C6E"/>
    <w:rsid w:val="00F859C3"/>
    <w:rsid w:val="00F85A7C"/>
    <w:rsid w:val="00F86FF1"/>
    <w:rsid w:val="00F87579"/>
    <w:rsid w:val="00F922D2"/>
    <w:rsid w:val="00F929EF"/>
    <w:rsid w:val="00F94C49"/>
    <w:rsid w:val="00F96F1D"/>
    <w:rsid w:val="00F97A22"/>
    <w:rsid w:val="00FA33A8"/>
    <w:rsid w:val="00FA3904"/>
    <w:rsid w:val="00FA3F0F"/>
    <w:rsid w:val="00FA4FD6"/>
    <w:rsid w:val="00FA6FF9"/>
    <w:rsid w:val="00FA774E"/>
    <w:rsid w:val="00FB00D8"/>
    <w:rsid w:val="00FB11CC"/>
    <w:rsid w:val="00FB16BA"/>
    <w:rsid w:val="00FB2D1A"/>
    <w:rsid w:val="00FB5CB9"/>
    <w:rsid w:val="00FB5F96"/>
    <w:rsid w:val="00FC22A4"/>
    <w:rsid w:val="00FC2998"/>
    <w:rsid w:val="00FD05D6"/>
    <w:rsid w:val="00FD1AD3"/>
    <w:rsid w:val="00FD3FA9"/>
    <w:rsid w:val="00FD4AFC"/>
    <w:rsid w:val="00FD620B"/>
    <w:rsid w:val="00FD68E6"/>
    <w:rsid w:val="00FE0517"/>
    <w:rsid w:val="00FE096E"/>
    <w:rsid w:val="00FE225F"/>
    <w:rsid w:val="00FE3211"/>
    <w:rsid w:val="00FE3F16"/>
    <w:rsid w:val="00FE4F91"/>
    <w:rsid w:val="00FE5537"/>
    <w:rsid w:val="00FE6E21"/>
    <w:rsid w:val="00FE7C7F"/>
    <w:rsid w:val="00FF137A"/>
    <w:rsid w:val="00FF2B1A"/>
    <w:rsid w:val="00FF34B7"/>
    <w:rsid w:val="00FF6095"/>
    <w:rsid w:val="00FF622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F3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B9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1B94"/>
    <w:rPr>
      <w:sz w:val="16"/>
      <w:szCs w:val="16"/>
    </w:rPr>
  </w:style>
  <w:style w:type="paragraph" w:styleId="CommentText">
    <w:name w:val="annotation text"/>
    <w:basedOn w:val="Normal"/>
    <w:link w:val="CommentTextChar"/>
    <w:uiPriority w:val="99"/>
    <w:unhideWhenUsed/>
    <w:rsid w:val="00A21B94"/>
    <w:pPr>
      <w:spacing w:line="240" w:lineRule="auto"/>
    </w:pPr>
    <w:rPr>
      <w:sz w:val="20"/>
      <w:szCs w:val="20"/>
    </w:rPr>
  </w:style>
  <w:style w:type="character" w:customStyle="1" w:styleId="CommentTextChar">
    <w:name w:val="Comment Text Char"/>
    <w:basedOn w:val="DefaultParagraphFont"/>
    <w:link w:val="CommentText"/>
    <w:uiPriority w:val="99"/>
    <w:rsid w:val="00A21B94"/>
    <w:rPr>
      <w:sz w:val="20"/>
      <w:szCs w:val="20"/>
    </w:rPr>
  </w:style>
  <w:style w:type="character" w:customStyle="1" w:styleId="CharStyle10">
    <w:name w:val="Char Style 10"/>
    <w:basedOn w:val="DefaultParagraphFont"/>
    <w:link w:val="Style2"/>
    <w:uiPriority w:val="99"/>
    <w:rsid w:val="00A21B94"/>
    <w:rPr>
      <w:shd w:val="clear" w:color="auto" w:fill="FFFFFF"/>
    </w:rPr>
  </w:style>
  <w:style w:type="paragraph" w:customStyle="1" w:styleId="Style2">
    <w:name w:val="Style 2"/>
    <w:basedOn w:val="Normal"/>
    <w:link w:val="CharStyle10"/>
    <w:uiPriority w:val="99"/>
    <w:qFormat/>
    <w:rsid w:val="00A21B94"/>
    <w:pPr>
      <w:widowControl w:val="0"/>
      <w:shd w:val="clear" w:color="auto" w:fill="FFFFFF"/>
      <w:spacing w:before="280" w:after="280" w:line="274" w:lineRule="exact"/>
      <w:jc w:val="both"/>
    </w:pPr>
  </w:style>
  <w:style w:type="paragraph" w:styleId="BalloonText">
    <w:name w:val="Balloon Text"/>
    <w:basedOn w:val="Normal"/>
    <w:link w:val="BalloonTextChar"/>
    <w:uiPriority w:val="99"/>
    <w:semiHidden/>
    <w:unhideWhenUsed/>
    <w:rsid w:val="00A21B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B94"/>
    <w:rPr>
      <w:rFonts w:ascii="Segoe UI" w:hAnsi="Segoe UI" w:cs="Segoe UI"/>
      <w:sz w:val="18"/>
      <w:szCs w:val="18"/>
    </w:rPr>
  </w:style>
  <w:style w:type="paragraph" w:styleId="ListParagraph">
    <w:name w:val="List Paragraph"/>
    <w:basedOn w:val="Normal"/>
    <w:uiPriority w:val="34"/>
    <w:qFormat/>
    <w:rsid w:val="00713A67"/>
    <w:pPr>
      <w:spacing w:after="0" w:line="240" w:lineRule="auto"/>
      <w:ind w:left="720"/>
      <w:contextualSpacing/>
    </w:pPr>
    <w:rPr>
      <w:rFonts w:eastAsia="Times New Roman" w:cs="Times New Roman"/>
      <w:szCs w:val="24"/>
    </w:rPr>
  </w:style>
  <w:style w:type="paragraph" w:styleId="Header">
    <w:name w:val="header"/>
    <w:basedOn w:val="Normal"/>
    <w:link w:val="HeaderChar"/>
    <w:uiPriority w:val="99"/>
    <w:unhideWhenUsed/>
    <w:rsid w:val="00EC30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300B"/>
  </w:style>
  <w:style w:type="paragraph" w:styleId="Footer">
    <w:name w:val="footer"/>
    <w:basedOn w:val="Normal"/>
    <w:link w:val="FooterChar"/>
    <w:uiPriority w:val="99"/>
    <w:unhideWhenUsed/>
    <w:rsid w:val="00EC30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300B"/>
  </w:style>
  <w:style w:type="paragraph" w:styleId="CommentSubject">
    <w:name w:val="annotation subject"/>
    <w:basedOn w:val="CommentText"/>
    <w:next w:val="CommentText"/>
    <w:link w:val="CommentSubjectChar"/>
    <w:uiPriority w:val="99"/>
    <w:semiHidden/>
    <w:unhideWhenUsed/>
    <w:rsid w:val="00F922D2"/>
    <w:rPr>
      <w:b/>
      <w:bCs/>
    </w:rPr>
  </w:style>
  <w:style w:type="character" w:customStyle="1" w:styleId="CommentSubjectChar">
    <w:name w:val="Comment Subject Char"/>
    <w:basedOn w:val="CommentTextChar"/>
    <w:link w:val="CommentSubject"/>
    <w:uiPriority w:val="99"/>
    <w:semiHidden/>
    <w:rsid w:val="00F922D2"/>
    <w:rPr>
      <w:b/>
      <w:bCs/>
      <w:sz w:val="20"/>
      <w:szCs w:val="20"/>
    </w:rPr>
  </w:style>
  <w:style w:type="character" w:customStyle="1" w:styleId="sb8d990e2">
    <w:name w:val="sb8d990e2"/>
    <w:rsid w:val="004C05CA"/>
  </w:style>
  <w:style w:type="table" w:styleId="TableGrid">
    <w:name w:val="Table Grid"/>
    <w:basedOn w:val="TableNormal"/>
    <w:uiPriority w:val="39"/>
    <w:rsid w:val="00AA18B4"/>
    <w:pPr>
      <w:spacing w:after="0" w:line="240" w:lineRule="auto"/>
    </w:pPr>
    <w:rPr>
      <w:rFonts w:asciiTheme="minorHAnsi" w:hAnsiTheme="minorHAnsi"/>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2823AE"/>
    <w:pPr>
      <w:spacing w:before="100" w:beforeAutospacing="1" w:after="100" w:afterAutospacing="1" w:line="240" w:lineRule="auto"/>
    </w:pPr>
    <w:rPr>
      <w:rFonts w:eastAsia="Times New Roman" w:cs="Times New Roman"/>
      <w:szCs w:val="24"/>
      <w:lang w:eastAsia="lv-LV"/>
    </w:rPr>
  </w:style>
  <w:style w:type="paragraph" w:styleId="BodyText2">
    <w:name w:val="Body Text 2"/>
    <w:basedOn w:val="Normal"/>
    <w:link w:val="BodyText2Char"/>
    <w:uiPriority w:val="99"/>
    <w:rsid w:val="009856A5"/>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uiPriority w:val="99"/>
    <w:rsid w:val="009856A5"/>
    <w:rPr>
      <w:rFonts w:ascii="Garamond" w:eastAsia="Times New Roman" w:hAnsi="Garamond" w:cs="Times New Roman"/>
      <w:sz w:val="28"/>
      <w:szCs w:val="28"/>
    </w:rPr>
  </w:style>
  <w:style w:type="character" w:styleId="Hyperlink">
    <w:name w:val="Hyperlink"/>
    <w:basedOn w:val="DefaultParagraphFont"/>
    <w:uiPriority w:val="99"/>
    <w:unhideWhenUsed/>
    <w:rsid w:val="009F7DD7"/>
    <w:rPr>
      <w:color w:val="0563C1"/>
      <w:u w:val="single"/>
    </w:rPr>
  </w:style>
  <w:style w:type="character" w:styleId="FollowedHyperlink">
    <w:name w:val="FollowedHyperlink"/>
    <w:basedOn w:val="DefaultParagraphFont"/>
    <w:uiPriority w:val="99"/>
    <w:semiHidden/>
    <w:unhideWhenUsed/>
    <w:rsid w:val="00540C47"/>
    <w:rPr>
      <w:color w:val="954F72" w:themeColor="followedHyperlink"/>
      <w:u w:val="single"/>
    </w:rPr>
  </w:style>
  <w:style w:type="paragraph" w:styleId="FootnoteText">
    <w:name w:val="footnote text"/>
    <w:basedOn w:val="Normal"/>
    <w:link w:val="FootnoteTextChar"/>
    <w:semiHidden/>
    <w:unhideWhenUsed/>
    <w:rsid w:val="006C2B6A"/>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semiHidden/>
    <w:rsid w:val="006C2B6A"/>
    <w:rPr>
      <w:rFonts w:asciiTheme="minorHAnsi" w:hAnsiTheme="minorHAnsi"/>
      <w:sz w:val="20"/>
      <w:szCs w:val="20"/>
    </w:rPr>
  </w:style>
  <w:style w:type="character" w:styleId="FootnoteReference">
    <w:name w:val="footnote reference"/>
    <w:basedOn w:val="DefaultParagraphFont"/>
    <w:semiHidden/>
    <w:unhideWhenUsed/>
    <w:rsid w:val="006C2B6A"/>
    <w:rPr>
      <w:vertAlign w:val="superscript"/>
    </w:rPr>
  </w:style>
  <w:style w:type="paragraph" w:styleId="NoSpacing">
    <w:name w:val="No Spacing"/>
    <w:uiPriority w:val="1"/>
    <w:qFormat/>
    <w:rsid w:val="006C2B6A"/>
    <w:pPr>
      <w:widowControl w:val="0"/>
      <w:spacing w:after="0" w:line="240" w:lineRule="auto"/>
    </w:pPr>
    <w:rPr>
      <w:rFonts w:ascii="Calibri" w:eastAsia="Calibri" w:hAnsi="Calibri" w:cs="Times New Roman"/>
      <w:sz w:val="22"/>
      <w:lang w:val="en-US"/>
    </w:rPr>
  </w:style>
  <w:style w:type="paragraph" w:styleId="Revision">
    <w:name w:val="Revision"/>
    <w:hidden/>
    <w:uiPriority w:val="99"/>
    <w:semiHidden/>
    <w:rsid w:val="00867ED0"/>
    <w:pPr>
      <w:spacing w:after="0" w:line="240" w:lineRule="auto"/>
    </w:pPr>
  </w:style>
  <w:style w:type="character" w:styleId="Emphasis">
    <w:name w:val="Emphasis"/>
    <w:qFormat/>
    <w:rsid w:val="001A275A"/>
    <w:rPr>
      <w:i/>
      <w:iCs/>
    </w:rPr>
  </w:style>
  <w:style w:type="paragraph" w:styleId="NormalWeb">
    <w:name w:val="Normal (Web)"/>
    <w:basedOn w:val="Normal"/>
    <w:uiPriority w:val="99"/>
    <w:rsid w:val="00001A3B"/>
    <w:pPr>
      <w:spacing w:after="150" w:line="324" w:lineRule="auto"/>
    </w:pPr>
    <w:rPr>
      <w:rFonts w:ascii="Verdana" w:eastAsia="Times New Roman" w:hAnsi="Verdana" w:cs="Times New Roman"/>
      <w:color w:val="000000"/>
      <w:sz w:val="18"/>
      <w:szCs w:val="18"/>
      <w:lang w:eastAsia="lv-LV"/>
    </w:rPr>
  </w:style>
  <w:style w:type="character" w:styleId="UnresolvedMention">
    <w:name w:val="Unresolved Mention"/>
    <w:basedOn w:val="DefaultParagraphFont"/>
    <w:uiPriority w:val="99"/>
    <w:semiHidden/>
    <w:unhideWhenUsed/>
    <w:rsid w:val="00494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5700">
      <w:bodyDiv w:val="1"/>
      <w:marLeft w:val="0"/>
      <w:marRight w:val="0"/>
      <w:marTop w:val="0"/>
      <w:marBottom w:val="0"/>
      <w:divBdr>
        <w:top w:val="none" w:sz="0" w:space="0" w:color="auto"/>
        <w:left w:val="none" w:sz="0" w:space="0" w:color="auto"/>
        <w:bottom w:val="none" w:sz="0" w:space="0" w:color="auto"/>
        <w:right w:val="none" w:sz="0" w:space="0" w:color="auto"/>
      </w:divBdr>
    </w:div>
    <w:div w:id="246960086">
      <w:bodyDiv w:val="1"/>
      <w:marLeft w:val="0"/>
      <w:marRight w:val="0"/>
      <w:marTop w:val="0"/>
      <w:marBottom w:val="0"/>
      <w:divBdr>
        <w:top w:val="none" w:sz="0" w:space="0" w:color="auto"/>
        <w:left w:val="none" w:sz="0" w:space="0" w:color="auto"/>
        <w:bottom w:val="none" w:sz="0" w:space="0" w:color="auto"/>
        <w:right w:val="none" w:sz="0" w:space="0" w:color="auto"/>
      </w:divBdr>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7949082">
      <w:bodyDiv w:val="1"/>
      <w:marLeft w:val="0"/>
      <w:marRight w:val="0"/>
      <w:marTop w:val="0"/>
      <w:marBottom w:val="0"/>
      <w:divBdr>
        <w:top w:val="none" w:sz="0" w:space="0" w:color="auto"/>
        <w:left w:val="none" w:sz="0" w:space="0" w:color="auto"/>
        <w:bottom w:val="none" w:sz="0" w:space="0" w:color="auto"/>
        <w:right w:val="none" w:sz="0" w:space="0" w:color="auto"/>
      </w:divBdr>
    </w:div>
    <w:div w:id="371999205">
      <w:bodyDiv w:val="1"/>
      <w:marLeft w:val="0"/>
      <w:marRight w:val="0"/>
      <w:marTop w:val="0"/>
      <w:marBottom w:val="0"/>
      <w:divBdr>
        <w:top w:val="none" w:sz="0" w:space="0" w:color="auto"/>
        <w:left w:val="none" w:sz="0" w:space="0" w:color="auto"/>
        <w:bottom w:val="none" w:sz="0" w:space="0" w:color="auto"/>
        <w:right w:val="none" w:sz="0" w:space="0" w:color="auto"/>
      </w:divBdr>
    </w:div>
    <w:div w:id="418676350">
      <w:bodyDiv w:val="1"/>
      <w:marLeft w:val="0"/>
      <w:marRight w:val="0"/>
      <w:marTop w:val="0"/>
      <w:marBottom w:val="0"/>
      <w:divBdr>
        <w:top w:val="none" w:sz="0" w:space="0" w:color="auto"/>
        <w:left w:val="none" w:sz="0" w:space="0" w:color="auto"/>
        <w:bottom w:val="none" w:sz="0" w:space="0" w:color="auto"/>
        <w:right w:val="none" w:sz="0" w:space="0" w:color="auto"/>
      </w:divBdr>
    </w:div>
    <w:div w:id="423965445">
      <w:bodyDiv w:val="1"/>
      <w:marLeft w:val="0"/>
      <w:marRight w:val="0"/>
      <w:marTop w:val="0"/>
      <w:marBottom w:val="0"/>
      <w:divBdr>
        <w:top w:val="none" w:sz="0" w:space="0" w:color="auto"/>
        <w:left w:val="none" w:sz="0" w:space="0" w:color="auto"/>
        <w:bottom w:val="none" w:sz="0" w:space="0" w:color="auto"/>
        <w:right w:val="none" w:sz="0" w:space="0" w:color="auto"/>
      </w:divBdr>
    </w:div>
    <w:div w:id="632056788">
      <w:bodyDiv w:val="1"/>
      <w:marLeft w:val="0"/>
      <w:marRight w:val="0"/>
      <w:marTop w:val="0"/>
      <w:marBottom w:val="0"/>
      <w:divBdr>
        <w:top w:val="none" w:sz="0" w:space="0" w:color="auto"/>
        <w:left w:val="none" w:sz="0" w:space="0" w:color="auto"/>
        <w:bottom w:val="none" w:sz="0" w:space="0" w:color="auto"/>
        <w:right w:val="none" w:sz="0" w:space="0" w:color="auto"/>
      </w:divBdr>
    </w:div>
    <w:div w:id="1035959630">
      <w:bodyDiv w:val="1"/>
      <w:marLeft w:val="0"/>
      <w:marRight w:val="0"/>
      <w:marTop w:val="0"/>
      <w:marBottom w:val="0"/>
      <w:divBdr>
        <w:top w:val="none" w:sz="0" w:space="0" w:color="auto"/>
        <w:left w:val="none" w:sz="0" w:space="0" w:color="auto"/>
        <w:bottom w:val="none" w:sz="0" w:space="0" w:color="auto"/>
        <w:right w:val="none" w:sz="0" w:space="0" w:color="auto"/>
      </w:divBdr>
    </w:div>
    <w:div w:id="1140030464">
      <w:bodyDiv w:val="1"/>
      <w:marLeft w:val="0"/>
      <w:marRight w:val="0"/>
      <w:marTop w:val="0"/>
      <w:marBottom w:val="0"/>
      <w:divBdr>
        <w:top w:val="none" w:sz="0" w:space="0" w:color="auto"/>
        <w:left w:val="none" w:sz="0" w:space="0" w:color="auto"/>
        <w:bottom w:val="none" w:sz="0" w:space="0" w:color="auto"/>
        <w:right w:val="none" w:sz="0" w:space="0" w:color="auto"/>
      </w:divBdr>
    </w:div>
    <w:div w:id="1156459881">
      <w:bodyDiv w:val="1"/>
      <w:marLeft w:val="0"/>
      <w:marRight w:val="0"/>
      <w:marTop w:val="0"/>
      <w:marBottom w:val="0"/>
      <w:divBdr>
        <w:top w:val="none" w:sz="0" w:space="0" w:color="auto"/>
        <w:left w:val="none" w:sz="0" w:space="0" w:color="auto"/>
        <w:bottom w:val="none" w:sz="0" w:space="0" w:color="auto"/>
        <w:right w:val="none" w:sz="0" w:space="0" w:color="auto"/>
      </w:divBdr>
    </w:div>
    <w:div w:id="1204831875">
      <w:bodyDiv w:val="1"/>
      <w:marLeft w:val="0"/>
      <w:marRight w:val="0"/>
      <w:marTop w:val="0"/>
      <w:marBottom w:val="0"/>
      <w:divBdr>
        <w:top w:val="none" w:sz="0" w:space="0" w:color="auto"/>
        <w:left w:val="none" w:sz="0" w:space="0" w:color="auto"/>
        <w:bottom w:val="none" w:sz="0" w:space="0" w:color="auto"/>
        <w:right w:val="none" w:sz="0" w:space="0" w:color="auto"/>
      </w:divBdr>
    </w:div>
    <w:div w:id="1274363097">
      <w:bodyDiv w:val="1"/>
      <w:marLeft w:val="0"/>
      <w:marRight w:val="0"/>
      <w:marTop w:val="0"/>
      <w:marBottom w:val="0"/>
      <w:divBdr>
        <w:top w:val="none" w:sz="0" w:space="0" w:color="auto"/>
        <w:left w:val="none" w:sz="0" w:space="0" w:color="auto"/>
        <w:bottom w:val="none" w:sz="0" w:space="0" w:color="auto"/>
        <w:right w:val="none" w:sz="0" w:space="0" w:color="auto"/>
      </w:divBdr>
    </w:div>
    <w:div w:id="1524712768">
      <w:bodyDiv w:val="1"/>
      <w:marLeft w:val="0"/>
      <w:marRight w:val="0"/>
      <w:marTop w:val="0"/>
      <w:marBottom w:val="0"/>
      <w:divBdr>
        <w:top w:val="none" w:sz="0" w:space="0" w:color="auto"/>
        <w:left w:val="none" w:sz="0" w:space="0" w:color="auto"/>
        <w:bottom w:val="none" w:sz="0" w:space="0" w:color="auto"/>
        <w:right w:val="none" w:sz="0" w:space="0" w:color="auto"/>
      </w:divBdr>
    </w:div>
    <w:div w:id="1549611254">
      <w:bodyDiv w:val="1"/>
      <w:marLeft w:val="0"/>
      <w:marRight w:val="0"/>
      <w:marTop w:val="0"/>
      <w:marBottom w:val="0"/>
      <w:divBdr>
        <w:top w:val="none" w:sz="0" w:space="0" w:color="auto"/>
        <w:left w:val="none" w:sz="0" w:space="0" w:color="auto"/>
        <w:bottom w:val="none" w:sz="0" w:space="0" w:color="auto"/>
        <w:right w:val="none" w:sz="0" w:space="0" w:color="auto"/>
      </w:divBdr>
    </w:div>
    <w:div w:id="157211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0327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t.gov.lv/files/uploads/files/6_Judikatura/Tiesu_prakses_apkopojumi/2015/tiesu%20prakse%20KL%20317%20318%20319.doc" TargetMode="External"/><Relationship Id="rId4" Type="http://schemas.openxmlformats.org/officeDocument/2006/relationships/settings" Target="settings.xml"/><Relationship Id="rId9" Type="http://schemas.openxmlformats.org/officeDocument/2006/relationships/hyperlink" Target="https://www.at.gov.lv/files/uploads/files/6_Judikatura/Tiesu_prakses_apkopojumi/2015/tiesu%20prakse%20KL%20317%20318%20319.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CE963-7EEA-454D-92BD-14B577F3A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20369</Words>
  <Characters>11611</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2023-04-27T09:22:00Z</dcterms:created>
  <dcterms:modified xsi:type="dcterms:W3CDTF">2023-04-27T09:22:00Z</dcterms:modified>
</cp:coreProperties>
</file>