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73D93" w14:textId="675E613A" w:rsidR="002A217C" w:rsidRDefault="00893760" w:rsidP="00965E21">
      <w:pPr>
        <w:pStyle w:val="Bodytext40"/>
        <w:shd w:val="clear" w:color="auto" w:fill="auto"/>
        <w:spacing w:after="0" w:line="276" w:lineRule="auto"/>
        <w:rPr>
          <w:rFonts w:asciiTheme="majorBidi" w:hAnsiTheme="majorBidi" w:cstheme="majorBidi"/>
          <w:sz w:val="24"/>
          <w:szCs w:val="24"/>
        </w:rPr>
      </w:pPr>
      <w:r w:rsidRPr="00965E21">
        <w:rPr>
          <w:rFonts w:asciiTheme="majorBidi" w:hAnsiTheme="majorBidi" w:cstheme="majorBidi"/>
          <w:sz w:val="24"/>
          <w:szCs w:val="24"/>
        </w:rPr>
        <w:t>Lieta Nr. SKK-</w:t>
      </w:r>
      <w:r w:rsidR="00965E21">
        <w:rPr>
          <w:rFonts w:asciiTheme="majorBidi" w:hAnsiTheme="majorBidi" w:cstheme="majorBidi"/>
          <w:sz w:val="24"/>
          <w:szCs w:val="24"/>
        </w:rPr>
        <w:t>3/2001</w:t>
      </w:r>
      <w:r w:rsidR="00965E21">
        <w:rPr>
          <w:rStyle w:val="FootnoteReference"/>
          <w:rFonts w:asciiTheme="majorBidi" w:hAnsiTheme="majorBidi" w:cstheme="majorBidi"/>
          <w:sz w:val="24"/>
          <w:szCs w:val="24"/>
        </w:rPr>
        <w:footnoteReference w:id="1"/>
      </w:r>
    </w:p>
    <w:p w14:paraId="01026049" w14:textId="77777777" w:rsidR="00965E21" w:rsidRPr="00965E21" w:rsidRDefault="00965E21" w:rsidP="00965E21">
      <w:pPr>
        <w:pStyle w:val="Bodytext40"/>
        <w:shd w:val="clear" w:color="auto" w:fill="auto"/>
        <w:spacing w:after="0" w:line="276" w:lineRule="auto"/>
        <w:rPr>
          <w:rFonts w:asciiTheme="majorBidi" w:hAnsiTheme="majorBidi" w:cstheme="majorBidi"/>
          <w:sz w:val="24"/>
          <w:szCs w:val="24"/>
        </w:rPr>
      </w:pPr>
    </w:p>
    <w:p w14:paraId="1A6218DB" w14:textId="77777777" w:rsidR="002A217C" w:rsidRDefault="00893760" w:rsidP="00CE6CE3">
      <w:pPr>
        <w:pStyle w:val="Bodytext50"/>
        <w:shd w:val="clear" w:color="auto" w:fill="auto"/>
        <w:spacing w:before="0" w:after="0" w:line="276" w:lineRule="auto"/>
        <w:jc w:val="both"/>
        <w:rPr>
          <w:rFonts w:asciiTheme="majorBidi" w:hAnsiTheme="majorBidi" w:cstheme="majorBidi"/>
        </w:rPr>
      </w:pPr>
      <w:r w:rsidRPr="00965E21">
        <w:rPr>
          <w:rFonts w:asciiTheme="majorBidi" w:hAnsiTheme="majorBidi" w:cstheme="majorBidi"/>
        </w:rPr>
        <w:t>Darbības, kas ir patvaļīga pieslēgšanās sveša telefona abonenta telefona līnijai un telefonisku pakalpojumu Izmantošana, neapmaksājot šos pakalpojumus, nevar tikt atzītas kā krāpšanas izdarīšana Krimināllikuma 177. panta izpratnē.</w:t>
      </w:r>
    </w:p>
    <w:p w14:paraId="7D6F914E" w14:textId="77777777" w:rsidR="00965E21" w:rsidRPr="00965E21" w:rsidRDefault="00965E21" w:rsidP="00965E21">
      <w:pPr>
        <w:pStyle w:val="Bodytext50"/>
        <w:shd w:val="clear" w:color="auto" w:fill="auto"/>
        <w:spacing w:before="0" w:after="0" w:line="276" w:lineRule="auto"/>
        <w:jc w:val="both"/>
        <w:rPr>
          <w:rFonts w:asciiTheme="majorBidi" w:hAnsiTheme="majorBidi" w:cstheme="majorBidi"/>
        </w:rPr>
      </w:pPr>
    </w:p>
    <w:p w14:paraId="406044FA" w14:textId="12FD93EF" w:rsidR="002A217C" w:rsidRDefault="00893760" w:rsidP="00965E21">
      <w:pPr>
        <w:pStyle w:val="Bodytext20"/>
        <w:shd w:val="clear" w:color="auto" w:fill="auto"/>
        <w:tabs>
          <w:tab w:val="left" w:pos="4151"/>
        </w:tabs>
        <w:spacing w:line="276" w:lineRule="auto"/>
        <w:ind w:firstLine="340"/>
        <w:rPr>
          <w:rFonts w:asciiTheme="majorBidi" w:hAnsiTheme="majorBidi" w:cstheme="majorBidi"/>
          <w:sz w:val="24"/>
          <w:szCs w:val="24"/>
        </w:rPr>
      </w:pPr>
      <w:r w:rsidRPr="00965E21">
        <w:rPr>
          <w:rStyle w:val="Bodytext212ptBold"/>
          <w:rFonts w:asciiTheme="majorBidi" w:hAnsiTheme="majorBidi" w:cstheme="majorBidi"/>
        </w:rPr>
        <w:t>Lēmums</w:t>
      </w:r>
      <w:r w:rsidRPr="00965E21">
        <w:rPr>
          <w:rStyle w:val="Bodytext212ptBold0"/>
          <w:rFonts w:asciiTheme="majorBidi" w:hAnsiTheme="majorBidi" w:cstheme="majorBidi"/>
        </w:rPr>
        <w:tab/>
      </w:r>
      <w:r w:rsidR="00965E21">
        <w:rPr>
          <w:rStyle w:val="Bodytext212ptBold0"/>
          <w:rFonts w:asciiTheme="majorBidi" w:hAnsiTheme="majorBidi" w:cstheme="majorBidi"/>
        </w:rPr>
        <w:tab/>
      </w:r>
      <w:r w:rsidR="00965E21">
        <w:rPr>
          <w:rStyle w:val="Bodytext212ptBold0"/>
          <w:rFonts w:asciiTheme="majorBidi" w:hAnsiTheme="majorBidi" w:cstheme="majorBidi"/>
        </w:rPr>
        <w:tab/>
      </w:r>
      <w:r w:rsidR="00965E21">
        <w:rPr>
          <w:rStyle w:val="Bodytext212ptBold0"/>
          <w:rFonts w:asciiTheme="majorBidi" w:hAnsiTheme="majorBidi" w:cstheme="majorBidi"/>
        </w:rPr>
        <w:tab/>
        <w:t xml:space="preserve">   </w:t>
      </w:r>
      <w:r w:rsidRPr="00965E21">
        <w:rPr>
          <w:rFonts w:asciiTheme="majorBidi" w:hAnsiTheme="majorBidi" w:cstheme="majorBidi"/>
          <w:sz w:val="24"/>
          <w:szCs w:val="24"/>
        </w:rPr>
        <w:t>Rīgā, 2001. gada 4. janvārī</w:t>
      </w:r>
    </w:p>
    <w:p w14:paraId="7C1FC26B" w14:textId="77777777" w:rsidR="00965E21" w:rsidRPr="00965E21" w:rsidRDefault="00965E21" w:rsidP="00965E21">
      <w:pPr>
        <w:pStyle w:val="Bodytext20"/>
        <w:shd w:val="clear" w:color="auto" w:fill="auto"/>
        <w:tabs>
          <w:tab w:val="left" w:pos="4151"/>
        </w:tabs>
        <w:spacing w:line="276" w:lineRule="auto"/>
        <w:ind w:firstLine="340"/>
        <w:rPr>
          <w:rFonts w:asciiTheme="majorBidi" w:hAnsiTheme="majorBidi" w:cstheme="majorBidi"/>
          <w:sz w:val="24"/>
          <w:szCs w:val="24"/>
        </w:rPr>
      </w:pPr>
    </w:p>
    <w:p w14:paraId="4843063C" w14:textId="77777777" w:rsidR="002A217C" w:rsidRDefault="00893760" w:rsidP="00CE6CE3">
      <w:pPr>
        <w:pStyle w:val="Bodytext20"/>
        <w:shd w:val="clear" w:color="auto" w:fill="auto"/>
        <w:spacing w:line="276" w:lineRule="auto"/>
        <w:ind w:firstLine="340"/>
        <w:rPr>
          <w:rFonts w:asciiTheme="majorBidi" w:hAnsiTheme="majorBidi" w:cstheme="majorBidi"/>
          <w:sz w:val="24"/>
          <w:szCs w:val="24"/>
        </w:rPr>
      </w:pPr>
      <w:r w:rsidRPr="00965E21">
        <w:rPr>
          <w:rFonts w:asciiTheme="majorBidi" w:hAnsiTheme="majorBidi" w:cstheme="majorBidi"/>
          <w:sz w:val="24"/>
          <w:szCs w:val="24"/>
        </w:rPr>
        <w:t xml:space="preserve">Latvijas Republikas Augstākās tiesas Senāta Krimināllietu departaments šādā sastāvā - tiesas sēdes priekšsēdētājs senators V. Vietnieks, senatori V, Salmiņš un V. </w:t>
      </w:r>
      <w:proofErr w:type="spellStart"/>
      <w:r w:rsidRPr="00965E21">
        <w:rPr>
          <w:rFonts w:asciiTheme="majorBidi" w:hAnsiTheme="majorBidi" w:cstheme="majorBidi"/>
          <w:sz w:val="24"/>
          <w:szCs w:val="24"/>
        </w:rPr>
        <w:t>Čiževskis</w:t>
      </w:r>
      <w:proofErr w:type="spellEnd"/>
      <w:r w:rsidRPr="00965E21">
        <w:rPr>
          <w:rFonts w:asciiTheme="majorBidi" w:hAnsiTheme="majorBidi" w:cstheme="majorBidi"/>
          <w:sz w:val="24"/>
          <w:szCs w:val="24"/>
        </w:rPr>
        <w:t xml:space="preserve"> piedaloties prokurorei I. </w:t>
      </w:r>
      <w:proofErr w:type="spellStart"/>
      <w:r w:rsidRPr="00965E21">
        <w:rPr>
          <w:rFonts w:asciiTheme="majorBidi" w:hAnsiTheme="majorBidi" w:cstheme="majorBidi"/>
          <w:sz w:val="24"/>
          <w:szCs w:val="24"/>
        </w:rPr>
        <w:t>Ščepavičutei</w:t>
      </w:r>
      <w:proofErr w:type="spellEnd"/>
      <w:r w:rsidRPr="00965E21">
        <w:rPr>
          <w:rFonts w:asciiTheme="majorBidi" w:hAnsiTheme="majorBidi" w:cstheme="majorBidi"/>
          <w:sz w:val="24"/>
          <w:szCs w:val="24"/>
        </w:rPr>
        <w:t>, zvē</w:t>
      </w:r>
      <w:r w:rsidRPr="00965E21">
        <w:rPr>
          <w:rFonts w:asciiTheme="majorBidi" w:hAnsiTheme="majorBidi" w:cstheme="majorBidi"/>
          <w:sz w:val="24"/>
          <w:szCs w:val="24"/>
        </w:rPr>
        <w:softHyphen/>
        <w:t>rinātam advokātam G. Gailim, izskatīja atklātā tiesas sēdē krimināllietu sakarā ar Bauskas rajona prokurores kasācijas protestu par Bauskas rajona tiesas 2000. gada 21. novembra spriedumu un</w:t>
      </w:r>
    </w:p>
    <w:p w14:paraId="7E42945C" w14:textId="77777777" w:rsidR="00965E21" w:rsidRPr="00965E21" w:rsidRDefault="00965E21" w:rsidP="00CE6CE3">
      <w:pPr>
        <w:pStyle w:val="Bodytext20"/>
        <w:shd w:val="clear" w:color="auto" w:fill="auto"/>
        <w:spacing w:line="276" w:lineRule="auto"/>
        <w:ind w:firstLine="340"/>
        <w:rPr>
          <w:rFonts w:asciiTheme="majorBidi" w:hAnsiTheme="majorBidi" w:cstheme="majorBidi"/>
          <w:sz w:val="24"/>
          <w:szCs w:val="24"/>
        </w:rPr>
      </w:pPr>
    </w:p>
    <w:p w14:paraId="4E52F65A" w14:textId="5A810654" w:rsidR="002A217C" w:rsidRDefault="00965E21" w:rsidP="00965E21">
      <w:pPr>
        <w:pStyle w:val="Bodytext60"/>
        <w:shd w:val="clear" w:color="auto" w:fill="auto"/>
        <w:spacing w:line="276" w:lineRule="auto"/>
        <w:ind w:left="40"/>
        <w:rPr>
          <w:rFonts w:asciiTheme="majorBidi" w:hAnsiTheme="majorBidi" w:cstheme="majorBidi"/>
          <w:sz w:val="24"/>
          <w:szCs w:val="24"/>
        </w:rPr>
      </w:pPr>
      <w:r>
        <w:rPr>
          <w:rFonts w:asciiTheme="majorBidi" w:hAnsiTheme="majorBidi" w:cstheme="majorBidi"/>
          <w:sz w:val="24"/>
          <w:szCs w:val="24"/>
        </w:rPr>
        <w:t>k</w:t>
      </w:r>
      <w:r w:rsidR="00893760" w:rsidRPr="00965E21">
        <w:rPr>
          <w:rFonts w:asciiTheme="majorBidi" w:hAnsiTheme="majorBidi" w:cstheme="majorBidi"/>
          <w:sz w:val="24"/>
          <w:szCs w:val="24"/>
        </w:rPr>
        <w:t>onstatēja</w:t>
      </w:r>
    </w:p>
    <w:p w14:paraId="2459B833" w14:textId="77777777" w:rsidR="00965E21" w:rsidRPr="00965E21" w:rsidRDefault="00965E21" w:rsidP="00965E21">
      <w:pPr>
        <w:pStyle w:val="Bodytext60"/>
        <w:shd w:val="clear" w:color="auto" w:fill="auto"/>
        <w:spacing w:line="276" w:lineRule="auto"/>
        <w:ind w:left="40"/>
        <w:jc w:val="both"/>
        <w:rPr>
          <w:rFonts w:asciiTheme="majorBidi" w:hAnsiTheme="majorBidi" w:cstheme="majorBidi"/>
          <w:sz w:val="24"/>
          <w:szCs w:val="24"/>
        </w:rPr>
      </w:pPr>
    </w:p>
    <w:p w14:paraId="5FC1AA44" w14:textId="05150C7D" w:rsidR="002A217C" w:rsidRPr="00965E21" w:rsidRDefault="00965E21" w:rsidP="00E53FEE">
      <w:pPr>
        <w:pStyle w:val="Bodytext20"/>
        <w:shd w:val="clear" w:color="auto" w:fill="auto"/>
        <w:spacing w:line="276" w:lineRule="auto"/>
        <w:ind w:firstLine="720"/>
        <w:rPr>
          <w:rFonts w:asciiTheme="majorBidi" w:hAnsiTheme="majorBidi" w:cstheme="majorBidi"/>
          <w:sz w:val="24"/>
          <w:szCs w:val="24"/>
        </w:rPr>
      </w:pPr>
      <w:r>
        <w:rPr>
          <w:rFonts w:asciiTheme="majorBidi" w:hAnsiTheme="majorBidi" w:cstheme="majorBidi"/>
          <w:sz w:val="24"/>
          <w:szCs w:val="24"/>
        </w:rPr>
        <w:t>[pers. A]</w:t>
      </w:r>
      <w:r w:rsidR="00893760" w:rsidRPr="00965E21">
        <w:rPr>
          <w:rFonts w:asciiTheme="majorBidi" w:hAnsiTheme="majorBidi" w:cstheme="majorBidi"/>
          <w:sz w:val="24"/>
          <w:szCs w:val="24"/>
        </w:rPr>
        <w:t xml:space="preserve">, dzimis </w:t>
      </w:r>
      <w:r>
        <w:rPr>
          <w:rFonts w:asciiTheme="majorBidi" w:hAnsiTheme="majorBidi" w:cstheme="majorBidi"/>
          <w:sz w:val="24"/>
          <w:szCs w:val="24"/>
        </w:rPr>
        <w:t>[..]</w:t>
      </w:r>
      <w:r w:rsidR="00893760" w:rsidRPr="00965E21">
        <w:rPr>
          <w:rFonts w:asciiTheme="majorBidi" w:hAnsiTheme="majorBidi" w:cstheme="majorBidi"/>
          <w:sz w:val="24"/>
          <w:szCs w:val="24"/>
        </w:rPr>
        <w:t xml:space="preserve"> (personas kods </w:t>
      </w:r>
      <w:r>
        <w:rPr>
          <w:rFonts w:asciiTheme="majorBidi" w:hAnsiTheme="majorBidi" w:cstheme="majorBidi"/>
          <w:sz w:val="24"/>
          <w:szCs w:val="24"/>
        </w:rPr>
        <w:t>[..]</w:t>
      </w:r>
      <w:r w:rsidR="00893760" w:rsidRPr="00965E21">
        <w:rPr>
          <w:rFonts w:asciiTheme="majorBidi" w:hAnsiTheme="majorBidi" w:cstheme="majorBidi"/>
          <w:sz w:val="24"/>
          <w:szCs w:val="24"/>
        </w:rPr>
        <w:t xml:space="preserve">), agrākā sodāmība dzēsta, </w:t>
      </w:r>
      <w:r>
        <w:rPr>
          <w:rFonts w:asciiTheme="majorBidi" w:hAnsiTheme="majorBidi" w:cstheme="majorBidi"/>
          <w:sz w:val="24"/>
          <w:szCs w:val="24"/>
        </w:rPr>
        <w:t>[pers. B]</w:t>
      </w:r>
      <w:r w:rsidR="00893760" w:rsidRPr="00965E21">
        <w:rPr>
          <w:rFonts w:asciiTheme="majorBidi" w:hAnsiTheme="majorBidi" w:cstheme="majorBidi"/>
          <w:sz w:val="24"/>
          <w:szCs w:val="24"/>
        </w:rPr>
        <w:t xml:space="preserve">, dzimis </w:t>
      </w:r>
      <w:r>
        <w:rPr>
          <w:rFonts w:asciiTheme="majorBidi" w:hAnsiTheme="majorBidi" w:cstheme="majorBidi"/>
          <w:sz w:val="24"/>
          <w:szCs w:val="24"/>
        </w:rPr>
        <w:t>[..]</w:t>
      </w:r>
      <w:r w:rsidR="00893760" w:rsidRPr="00965E21">
        <w:rPr>
          <w:rFonts w:asciiTheme="majorBidi" w:hAnsiTheme="majorBidi" w:cstheme="majorBidi"/>
          <w:sz w:val="24"/>
          <w:szCs w:val="24"/>
        </w:rPr>
        <w:t xml:space="preserve"> (personas kods </w:t>
      </w:r>
      <w:r>
        <w:rPr>
          <w:rFonts w:asciiTheme="majorBidi" w:hAnsiTheme="majorBidi" w:cstheme="majorBidi"/>
          <w:sz w:val="24"/>
          <w:szCs w:val="24"/>
        </w:rPr>
        <w:t>[..]</w:t>
      </w:r>
      <w:r w:rsidR="00893760" w:rsidRPr="00965E21">
        <w:rPr>
          <w:rFonts w:asciiTheme="majorBidi" w:hAnsiTheme="majorBidi" w:cstheme="majorBidi"/>
          <w:sz w:val="24"/>
          <w:szCs w:val="24"/>
        </w:rPr>
        <w:t xml:space="preserve">), agrāk nesodīts, </w:t>
      </w:r>
      <w:r>
        <w:rPr>
          <w:rFonts w:asciiTheme="majorBidi" w:hAnsiTheme="majorBidi" w:cstheme="majorBidi"/>
          <w:sz w:val="24"/>
          <w:szCs w:val="24"/>
        </w:rPr>
        <w:t>[pers. C]</w:t>
      </w:r>
      <w:r w:rsidR="00893760" w:rsidRPr="00965E21">
        <w:rPr>
          <w:rFonts w:asciiTheme="majorBidi" w:hAnsiTheme="majorBidi" w:cstheme="majorBidi"/>
          <w:sz w:val="24"/>
          <w:szCs w:val="24"/>
        </w:rPr>
        <w:t xml:space="preserve">, dzimis </w:t>
      </w:r>
      <w:r>
        <w:rPr>
          <w:rFonts w:asciiTheme="majorBidi" w:hAnsiTheme="majorBidi" w:cstheme="majorBidi"/>
          <w:sz w:val="24"/>
          <w:szCs w:val="24"/>
        </w:rPr>
        <w:t>[..]</w:t>
      </w:r>
      <w:r w:rsidR="00893760" w:rsidRPr="00965E21">
        <w:rPr>
          <w:rFonts w:asciiTheme="majorBidi" w:hAnsiTheme="majorBidi" w:cstheme="majorBidi"/>
          <w:sz w:val="24"/>
          <w:szCs w:val="24"/>
        </w:rPr>
        <w:t xml:space="preserve"> (personas kods </w:t>
      </w:r>
      <w:r>
        <w:rPr>
          <w:rFonts w:asciiTheme="majorBidi" w:hAnsiTheme="majorBidi" w:cstheme="majorBidi"/>
          <w:sz w:val="24"/>
          <w:szCs w:val="24"/>
        </w:rPr>
        <w:t>[..]</w:t>
      </w:r>
      <w:r w:rsidR="00893760" w:rsidRPr="00965E21">
        <w:rPr>
          <w:rFonts w:asciiTheme="majorBidi" w:hAnsiTheme="majorBidi" w:cstheme="majorBidi"/>
          <w:sz w:val="24"/>
          <w:szCs w:val="24"/>
        </w:rPr>
        <w:t>), agrāk nesodīts, ar</w:t>
      </w:r>
      <w:r>
        <w:rPr>
          <w:rFonts w:asciiTheme="majorBidi" w:hAnsiTheme="majorBidi" w:cstheme="majorBidi"/>
          <w:sz w:val="24"/>
          <w:szCs w:val="24"/>
        </w:rPr>
        <w:t xml:space="preserve"> Bauskas</w:t>
      </w:r>
      <w:r w:rsidR="00893760" w:rsidRPr="00965E21">
        <w:rPr>
          <w:rFonts w:asciiTheme="majorBidi" w:hAnsiTheme="majorBidi" w:cstheme="majorBidi"/>
          <w:sz w:val="24"/>
          <w:szCs w:val="24"/>
        </w:rPr>
        <w:t xml:space="preserve"> rajona tiesas 2000. gada 21. novembra spriedumu apsūdzībā pēc Krimināllikuma 177. panta otrās daļas attaisnoti. </w:t>
      </w:r>
      <w:r>
        <w:rPr>
          <w:rFonts w:asciiTheme="majorBidi" w:hAnsiTheme="majorBidi" w:cstheme="majorBidi"/>
          <w:sz w:val="24"/>
          <w:szCs w:val="24"/>
        </w:rPr>
        <w:t>[Pers. B]</w:t>
      </w:r>
      <w:r w:rsidR="00893760" w:rsidRPr="00965E21">
        <w:rPr>
          <w:rFonts w:asciiTheme="majorBidi" w:hAnsiTheme="majorBidi" w:cstheme="majorBidi"/>
          <w:sz w:val="24"/>
          <w:szCs w:val="24"/>
        </w:rPr>
        <w:t xml:space="preserve"> atzīts par </w:t>
      </w:r>
      <w:r>
        <w:rPr>
          <w:rFonts w:asciiTheme="majorBidi" w:hAnsiTheme="majorBidi" w:cstheme="majorBidi"/>
          <w:sz w:val="24"/>
          <w:szCs w:val="24"/>
        </w:rPr>
        <w:t>vainīgu</w:t>
      </w:r>
      <w:r w:rsidR="00893760" w:rsidRPr="00965E21">
        <w:rPr>
          <w:rFonts w:asciiTheme="majorBidi" w:hAnsiTheme="majorBidi" w:cstheme="majorBidi"/>
          <w:sz w:val="24"/>
          <w:szCs w:val="24"/>
        </w:rPr>
        <w:t xml:space="preserve"> un sodīts pēc Krimināllikuma 175. panta trešās daļas ar brīvības atņemšanu uz vienu gadu nosacīti, piemērojot Krimināllikuma 55. pantu, ar pārbaudes laiku uz vienu gadu.</w:t>
      </w:r>
    </w:p>
    <w:p w14:paraId="23ADEF29" w14:textId="578AB3CF" w:rsidR="002A217C" w:rsidRPr="00965E21" w:rsidRDefault="00893760" w:rsidP="00E53FEE">
      <w:pPr>
        <w:pStyle w:val="Bodytext20"/>
        <w:shd w:val="clear" w:color="auto" w:fill="auto"/>
        <w:spacing w:line="276" w:lineRule="auto"/>
        <w:ind w:firstLine="720"/>
        <w:rPr>
          <w:rFonts w:asciiTheme="majorBidi" w:hAnsiTheme="majorBidi" w:cstheme="majorBidi"/>
          <w:sz w:val="24"/>
          <w:szCs w:val="24"/>
        </w:rPr>
      </w:pPr>
      <w:r w:rsidRPr="00965E21">
        <w:rPr>
          <w:rFonts w:asciiTheme="majorBidi" w:hAnsiTheme="majorBidi" w:cstheme="majorBidi"/>
          <w:sz w:val="24"/>
          <w:szCs w:val="24"/>
        </w:rPr>
        <w:t xml:space="preserve">Pēc Krimināllikuma 177. panta otrās daļas </w:t>
      </w:r>
      <w:r w:rsidR="00965E21">
        <w:rPr>
          <w:rFonts w:asciiTheme="majorBidi" w:hAnsiTheme="majorBidi" w:cstheme="majorBidi"/>
          <w:sz w:val="24"/>
          <w:szCs w:val="24"/>
        </w:rPr>
        <w:t>[pers. A]</w:t>
      </w:r>
      <w:r w:rsidRPr="00965E21">
        <w:rPr>
          <w:rFonts w:asciiTheme="majorBidi" w:hAnsiTheme="majorBidi" w:cstheme="majorBidi"/>
          <w:sz w:val="24"/>
          <w:szCs w:val="24"/>
        </w:rPr>
        <w:t xml:space="preserve">, </w:t>
      </w:r>
      <w:r w:rsidR="00965E21">
        <w:rPr>
          <w:rFonts w:asciiTheme="majorBidi" w:hAnsiTheme="majorBidi" w:cstheme="majorBidi"/>
          <w:sz w:val="24"/>
          <w:szCs w:val="24"/>
        </w:rPr>
        <w:t xml:space="preserve">[pers. B] </w:t>
      </w:r>
      <w:r w:rsidRPr="00965E21">
        <w:rPr>
          <w:rFonts w:asciiTheme="majorBidi" w:hAnsiTheme="majorBidi" w:cstheme="majorBidi"/>
          <w:sz w:val="24"/>
          <w:szCs w:val="24"/>
        </w:rPr>
        <w:t xml:space="preserve">bija </w:t>
      </w:r>
      <w:r w:rsidR="00965E21">
        <w:rPr>
          <w:rFonts w:asciiTheme="majorBidi" w:hAnsiTheme="majorBidi" w:cstheme="majorBidi"/>
          <w:sz w:val="24"/>
          <w:szCs w:val="24"/>
        </w:rPr>
        <w:t>aps</w:t>
      </w:r>
      <w:r w:rsidRPr="00965E21">
        <w:rPr>
          <w:rFonts w:asciiTheme="majorBidi" w:hAnsiTheme="majorBidi" w:cstheme="majorBidi"/>
          <w:sz w:val="24"/>
          <w:szCs w:val="24"/>
        </w:rPr>
        <w:t>ūdzēti par to, ka 1999. gada 4. septembrī personu grupā pēc iepriekšē</w:t>
      </w:r>
      <w:r w:rsidRPr="00965E21">
        <w:rPr>
          <w:rFonts w:asciiTheme="majorBidi" w:hAnsiTheme="majorBidi" w:cstheme="majorBidi"/>
          <w:sz w:val="24"/>
          <w:szCs w:val="24"/>
        </w:rPr>
        <w:softHyphen/>
        <w:t xml:space="preserve">jas vienošanās Bauskas rajona Skaistkalnes pagastā ar </w:t>
      </w:r>
      <w:proofErr w:type="spellStart"/>
      <w:r w:rsidRPr="00965E21">
        <w:rPr>
          <w:rFonts w:asciiTheme="majorBidi" w:hAnsiTheme="majorBidi" w:cstheme="majorBidi"/>
          <w:sz w:val="24"/>
          <w:szCs w:val="24"/>
        </w:rPr>
        <w:t>līdzpaņemto</w:t>
      </w:r>
      <w:proofErr w:type="spellEnd"/>
      <w:r w:rsidRPr="00965E21">
        <w:rPr>
          <w:rFonts w:asciiTheme="majorBidi" w:hAnsiTheme="majorBidi" w:cstheme="majorBidi"/>
          <w:sz w:val="24"/>
          <w:szCs w:val="24"/>
        </w:rPr>
        <w:t xml:space="preserve"> spe</w:t>
      </w:r>
      <w:r w:rsidRPr="00965E21">
        <w:rPr>
          <w:rFonts w:asciiTheme="majorBidi" w:hAnsiTheme="majorBidi" w:cstheme="majorBidi"/>
          <w:sz w:val="24"/>
          <w:szCs w:val="24"/>
        </w:rPr>
        <w:softHyphen/>
        <w:t xml:space="preserve">ciāli pielāgotu telefona aparātu pievienojās </w:t>
      </w:r>
      <w:r w:rsidRPr="00965E21">
        <w:rPr>
          <w:rStyle w:val="Bodytext2Italic"/>
          <w:rFonts w:asciiTheme="majorBidi" w:hAnsiTheme="majorBidi" w:cstheme="majorBidi"/>
          <w:sz w:val="24"/>
          <w:szCs w:val="24"/>
        </w:rPr>
        <w:t>telefona</w:t>
      </w:r>
      <w:r w:rsidRPr="00965E21">
        <w:rPr>
          <w:rFonts w:asciiTheme="majorBidi" w:hAnsiTheme="majorBidi" w:cstheme="majorBidi"/>
          <w:sz w:val="24"/>
          <w:szCs w:val="24"/>
        </w:rPr>
        <w:t xml:space="preserve"> abonenta Nr. </w:t>
      </w:r>
      <w:r w:rsidR="00965E21">
        <w:rPr>
          <w:rFonts w:asciiTheme="majorBidi" w:hAnsiTheme="majorBidi" w:cstheme="majorBidi"/>
          <w:sz w:val="24"/>
          <w:szCs w:val="24"/>
        </w:rPr>
        <w:t>[Numurs 1]</w:t>
      </w:r>
      <w:r w:rsidRPr="00965E21">
        <w:rPr>
          <w:rFonts w:asciiTheme="majorBidi" w:hAnsiTheme="majorBidi" w:cstheme="majorBidi"/>
          <w:sz w:val="24"/>
          <w:szCs w:val="24"/>
        </w:rPr>
        <w:t xml:space="preserve"> vadiem un viltus ceļā, uzdodamies par minētā abonenta valdītāju, laika posmā no 1999. gada 4. septembra pīkst. 23.15 līdz 5. septembrim pīkst. 3.52 izmantoja maksas telefoniskus pakalpojumus, nodarīdams SIA «Lattelekom» materiālus zaudējumus Ls 79,33 apmērā.</w:t>
      </w:r>
    </w:p>
    <w:p w14:paraId="1270D388" w14:textId="77777777" w:rsidR="00965E21" w:rsidRDefault="00965E21" w:rsidP="00E53FEE">
      <w:pPr>
        <w:pStyle w:val="Bodytext20"/>
        <w:shd w:val="clear" w:color="auto" w:fill="auto"/>
        <w:spacing w:line="276" w:lineRule="auto"/>
        <w:ind w:firstLine="720"/>
        <w:rPr>
          <w:rFonts w:asciiTheme="majorBidi" w:hAnsiTheme="majorBidi" w:cstheme="majorBidi"/>
          <w:sz w:val="24"/>
          <w:szCs w:val="24"/>
        </w:rPr>
      </w:pPr>
      <w:r>
        <w:rPr>
          <w:rFonts w:asciiTheme="majorBidi" w:hAnsiTheme="majorBidi" w:cstheme="majorBidi"/>
          <w:sz w:val="24"/>
          <w:szCs w:val="24"/>
        </w:rPr>
        <w:t>[Pers. A]</w:t>
      </w:r>
      <w:r w:rsidR="00893760" w:rsidRPr="00965E21">
        <w:rPr>
          <w:rFonts w:asciiTheme="majorBidi" w:hAnsiTheme="majorBidi" w:cstheme="majorBidi"/>
          <w:sz w:val="24"/>
          <w:szCs w:val="24"/>
        </w:rPr>
        <w:t xml:space="preserve"> viens pats šādā pašā veidā pieslēdzās telefona abonenta Nr. </w:t>
      </w:r>
      <w:r>
        <w:rPr>
          <w:rFonts w:asciiTheme="majorBidi" w:hAnsiTheme="majorBidi" w:cstheme="majorBidi"/>
          <w:sz w:val="24"/>
          <w:szCs w:val="24"/>
        </w:rPr>
        <w:t>[Numurs 1]</w:t>
      </w:r>
      <w:r w:rsidR="00893760" w:rsidRPr="00965E21">
        <w:rPr>
          <w:rFonts w:asciiTheme="majorBidi" w:hAnsiTheme="majorBidi" w:cstheme="majorBidi"/>
          <w:sz w:val="24"/>
          <w:szCs w:val="24"/>
        </w:rPr>
        <w:t xml:space="preserve"> vadiem un izmantoja telefoniskus pakalpojumus 1999. gada septembrī, nodarīdams SIA «Lattelekom» zaudējumu Ls 22,86 apmērā. </w:t>
      </w:r>
    </w:p>
    <w:p w14:paraId="62BCC66B" w14:textId="3F5D9C5C" w:rsidR="002A217C" w:rsidRPr="00965E21" w:rsidRDefault="00965E21" w:rsidP="00E53FEE">
      <w:pPr>
        <w:pStyle w:val="Bodytext20"/>
        <w:shd w:val="clear" w:color="auto" w:fill="auto"/>
        <w:spacing w:line="276" w:lineRule="auto"/>
        <w:ind w:firstLine="720"/>
        <w:rPr>
          <w:rFonts w:asciiTheme="majorBidi" w:hAnsiTheme="majorBidi" w:cstheme="majorBidi"/>
          <w:sz w:val="24"/>
          <w:szCs w:val="24"/>
        </w:rPr>
      </w:pPr>
      <w:r>
        <w:rPr>
          <w:rFonts w:asciiTheme="majorBidi" w:hAnsiTheme="majorBidi" w:cstheme="majorBidi"/>
          <w:sz w:val="24"/>
          <w:szCs w:val="24"/>
        </w:rPr>
        <w:t>[Pers. A]</w:t>
      </w:r>
      <w:r w:rsidR="00893760" w:rsidRPr="00965E21">
        <w:rPr>
          <w:rFonts w:asciiTheme="majorBidi" w:hAnsiTheme="majorBidi" w:cstheme="majorBidi"/>
          <w:sz w:val="24"/>
          <w:szCs w:val="24"/>
        </w:rPr>
        <w:t xml:space="preserve"> un </w:t>
      </w:r>
      <w:r>
        <w:rPr>
          <w:rFonts w:asciiTheme="majorBidi" w:hAnsiTheme="majorBidi" w:cstheme="majorBidi"/>
          <w:sz w:val="24"/>
          <w:szCs w:val="24"/>
        </w:rPr>
        <w:t>[pers. C]</w:t>
      </w:r>
      <w:r w:rsidR="00893760" w:rsidRPr="00965E21">
        <w:rPr>
          <w:rFonts w:asciiTheme="majorBidi" w:hAnsiTheme="majorBidi" w:cstheme="majorBidi"/>
          <w:sz w:val="24"/>
          <w:szCs w:val="24"/>
        </w:rPr>
        <w:t xml:space="preserve"> pieslēdzās telefona abonenta Nr. </w:t>
      </w:r>
      <w:r>
        <w:rPr>
          <w:rFonts w:asciiTheme="majorBidi" w:hAnsiTheme="majorBidi" w:cstheme="majorBidi"/>
          <w:sz w:val="24"/>
          <w:szCs w:val="24"/>
        </w:rPr>
        <w:t>[Numurs 2]</w:t>
      </w:r>
      <w:r w:rsidR="00893760" w:rsidRPr="00965E21">
        <w:rPr>
          <w:rFonts w:asciiTheme="majorBidi" w:hAnsiTheme="majorBidi" w:cstheme="majorBidi"/>
          <w:sz w:val="24"/>
          <w:szCs w:val="24"/>
        </w:rPr>
        <w:t xml:space="preserve"> vadiem un izmantoja telefoniskus pakalpojumus 1999. gada 9. oktobrī, nodarīdams SIA «Lattelekom» zaudējumu Ls 56,26 apmērā.</w:t>
      </w:r>
    </w:p>
    <w:p w14:paraId="7F14DE7E" w14:textId="0E3AFB7B" w:rsidR="002A217C" w:rsidRPr="00965E21" w:rsidRDefault="00965E21" w:rsidP="00CE6CE3">
      <w:pPr>
        <w:pStyle w:val="Bodytext20"/>
        <w:shd w:val="clear" w:color="auto" w:fill="auto"/>
        <w:spacing w:line="276" w:lineRule="auto"/>
        <w:ind w:right="-1" w:firstLine="720"/>
        <w:rPr>
          <w:rFonts w:asciiTheme="majorBidi" w:hAnsiTheme="majorBidi" w:cstheme="majorBidi"/>
          <w:sz w:val="24"/>
          <w:szCs w:val="24"/>
        </w:rPr>
      </w:pPr>
      <w:r>
        <w:rPr>
          <w:rFonts w:asciiTheme="majorBidi" w:hAnsiTheme="majorBidi" w:cstheme="majorBidi"/>
          <w:sz w:val="24"/>
          <w:szCs w:val="24"/>
        </w:rPr>
        <w:t>[Pers. A]</w:t>
      </w:r>
      <w:r w:rsidR="00893760" w:rsidRPr="00965E21">
        <w:rPr>
          <w:rFonts w:asciiTheme="majorBidi" w:hAnsiTheme="majorBidi" w:cstheme="majorBidi"/>
          <w:sz w:val="24"/>
          <w:szCs w:val="24"/>
        </w:rPr>
        <w:t xml:space="preserve"> un </w:t>
      </w:r>
      <w:r>
        <w:rPr>
          <w:rFonts w:asciiTheme="majorBidi" w:hAnsiTheme="majorBidi" w:cstheme="majorBidi"/>
          <w:sz w:val="24"/>
          <w:szCs w:val="24"/>
        </w:rPr>
        <w:t>[pers. C]</w:t>
      </w:r>
      <w:r w:rsidR="00893760" w:rsidRPr="00965E21">
        <w:rPr>
          <w:rFonts w:asciiTheme="majorBidi" w:hAnsiTheme="majorBidi" w:cstheme="majorBidi"/>
          <w:sz w:val="24"/>
          <w:szCs w:val="24"/>
        </w:rPr>
        <w:t xml:space="preserve"> pieslēdzās telefona abonenta Nr. </w:t>
      </w:r>
      <w:r>
        <w:rPr>
          <w:rFonts w:asciiTheme="majorBidi" w:hAnsiTheme="majorBidi" w:cstheme="majorBidi"/>
          <w:sz w:val="24"/>
          <w:szCs w:val="24"/>
        </w:rPr>
        <w:t>[Numurs 2]</w:t>
      </w:r>
      <w:r w:rsidR="00893760" w:rsidRPr="00965E21">
        <w:rPr>
          <w:rFonts w:asciiTheme="majorBidi" w:hAnsiTheme="majorBidi" w:cstheme="majorBidi"/>
          <w:sz w:val="24"/>
          <w:szCs w:val="24"/>
        </w:rPr>
        <w:t xml:space="preserve"> vadiem un izmantoja telefoniskus pakalpojumus 1999. gada 16. oktobri, nodarīdams SIA «Lattelekom» zaudējumu Ls 20,52 apmērā.</w:t>
      </w:r>
    </w:p>
    <w:p w14:paraId="5EA88FFE" w14:textId="4AEA1C95" w:rsidR="002A217C" w:rsidRPr="00965E21" w:rsidRDefault="00893760" w:rsidP="00E53FEE">
      <w:pPr>
        <w:pStyle w:val="Bodytext20"/>
        <w:shd w:val="clear" w:color="auto" w:fill="auto"/>
        <w:spacing w:line="276" w:lineRule="auto"/>
        <w:ind w:firstLine="720"/>
        <w:rPr>
          <w:rFonts w:asciiTheme="majorBidi" w:hAnsiTheme="majorBidi" w:cstheme="majorBidi"/>
          <w:sz w:val="24"/>
          <w:szCs w:val="24"/>
        </w:rPr>
      </w:pPr>
      <w:r w:rsidRPr="00965E21">
        <w:rPr>
          <w:rFonts w:asciiTheme="majorBidi" w:hAnsiTheme="majorBidi" w:cstheme="majorBidi"/>
          <w:sz w:val="24"/>
          <w:szCs w:val="24"/>
        </w:rPr>
        <w:t xml:space="preserve">Bauskas rajona tiesa tiesājamos </w:t>
      </w:r>
      <w:r w:rsidR="00965E21">
        <w:rPr>
          <w:rFonts w:asciiTheme="majorBidi" w:hAnsiTheme="majorBidi" w:cstheme="majorBidi"/>
          <w:sz w:val="24"/>
          <w:szCs w:val="24"/>
        </w:rPr>
        <w:t>[pers. A]</w:t>
      </w:r>
      <w:r w:rsidRPr="00965E21">
        <w:rPr>
          <w:rFonts w:asciiTheme="majorBidi" w:hAnsiTheme="majorBidi" w:cstheme="majorBidi"/>
          <w:sz w:val="24"/>
          <w:szCs w:val="24"/>
        </w:rPr>
        <w:t xml:space="preserve">, </w:t>
      </w:r>
      <w:r w:rsidR="00965E21">
        <w:rPr>
          <w:rFonts w:asciiTheme="majorBidi" w:hAnsiTheme="majorBidi" w:cstheme="majorBidi"/>
          <w:sz w:val="24"/>
          <w:szCs w:val="24"/>
        </w:rPr>
        <w:t>[pers. B]</w:t>
      </w:r>
      <w:r w:rsidRPr="00965E21">
        <w:rPr>
          <w:rFonts w:asciiTheme="majorBidi" w:hAnsiTheme="majorBidi" w:cstheme="majorBidi"/>
          <w:sz w:val="24"/>
          <w:szCs w:val="24"/>
        </w:rPr>
        <w:t xml:space="preserve"> un </w:t>
      </w:r>
      <w:r w:rsidR="00965E21">
        <w:rPr>
          <w:rFonts w:asciiTheme="majorBidi" w:hAnsiTheme="majorBidi" w:cstheme="majorBidi"/>
          <w:sz w:val="24"/>
          <w:szCs w:val="24"/>
        </w:rPr>
        <w:t>[pers. C]</w:t>
      </w:r>
      <w:r w:rsidRPr="00965E21">
        <w:rPr>
          <w:rFonts w:asciiTheme="majorBidi" w:hAnsiTheme="majorBidi" w:cstheme="majorBidi"/>
          <w:sz w:val="24"/>
          <w:szCs w:val="24"/>
        </w:rPr>
        <w:t xml:space="preserve"> apsūdzībā pēc Krimināllikuma 177. panta otrās daļas attaisnoja, motivējot attaisnojošu spriedumu ar to, ka </w:t>
      </w:r>
      <w:r w:rsidRPr="00E53FEE">
        <w:rPr>
          <w:rStyle w:val="Bodytext2Italic"/>
          <w:rFonts w:asciiTheme="majorBidi" w:hAnsiTheme="majorBidi" w:cstheme="majorBidi"/>
          <w:i w:val="0"/>
          <w:iCs w:val="0"/>
          <w:sz w:val="24"/>
          <w:szCs w:val="24"/>
        </w:rPr>
        <w:t>minēto personu</w:t>
      </w:r>
      <w:r w:rsidRPr="00965E21">
        <w:rPr>
          <w:rFonts w:asciiTheme="majorBidi" w:hAnsiTheme="majorBidi" w:cstheme="majorBidi"/>
          <w:sz w:val="24"/>
          <w:szCs w:val="24"/>
        </w:rPr>
        <w:t xml:space="preserve"> izdarītajās darbībās nav Krimināllikuma 177. panta otrajā daļā paredzētā nozieguma sastāva. Tiesā</w:t>
      </w:r>
      <w:r w:rsidRPr="00965E21">
        <w:rPr>
          <w:rFonts w:asciiTheme="majorBidi" w:hAnsiTheme="majorBidi" w:cstheme="majorBidi"/>
          <w:sz w:val="24"/>
          <w:szCs w:val="24"/>
        </w:rPr>
        <w:softHyphen/>
        <w:t xml:space="preserve">jamie nav ieguvuši un nav mēģinājuši iegūt SIA </w:t>
      </w:r>
      <w:r w:rsidRPr="00965E21">
        <w:rPr>
          <w:rFonts w:asciiTheme="majorBidi" w:hAnsiTheme="majorBidi" w:cstheme="majorBidi"/>
          <w:sz w:val="24"/>
          <w:szCs w:val="24"/>
        </w:rPr>
        <w:lastRenderedPageBreak/>
        <w:t>«Lattelekom» piederošu mantu vai tiesības uz šādu mantu Krimināllikuma 177. panta otrās daļas izpratnē. Krimināllikumā nav paredzēti kā noziedzīgi nodarījumi tādas darbī</w:t>
      </w:r>
      <w:r w:rsidRPr="00965E21">
        <w:rPr>
          <w:rFonts w:asciiTheme="majorBidi" w:hAnsiTheme="majorBidi" w:cstheme="majorBidi"/>
          <w:sz w:val="24"/>
          <w:szCs w:val="24"/>
        </w:rPr>
        <w:softHyphen/>
        <w:t>bas, kādas ir izdarījuši tiesājamie.</w:t>
      </w:r>
    </w:p>
    <w:p w14:paraId="03A8E5CF" w14:textId="77777777" w:rsidR="002A217C" w:rsidRPr="00965E21" w:rsidRDefault="00893760" w:rsidP="00CE6CE3">
      <w:pPr>
        <w:pStyle w:val="Bodytext20"/>
        <w:shd w:val="clear" w:color="auto" w:fill="auto"/>
        <w:spacing w:line="276" w:lineRule="auto"/>
        <w:ind w:right="-1" w:firstLine="720"/>
        <w:rPr>
          <w:rFonts w:asciiTheme="majorBidi" w:hAnsiTheme="majorBidi" w:cstheme="majorBidi"/>
          <w:sz w:val="24"/>
          <w:szCs w:val="24"/>
        </w:rPr>
      </w:pPr>
      <w:r w:rsidRPr="00965E21">
        <w:rPr>
          <w:rFonts w:asciiTheme="majorBidi" w:hAnsiTheme="majorBidi" w:cstheme="majorBidi"/>
          <w:sz w:val="24"/>
          <w:szCs w:val="24"/>
        </w:rPr>
        <w:t xml:space="preserve">Par tiesas spriedumu šajā daļā Bauskas rajona prokurore iesniegusi kasācijas protestu. Protestā norādīts, ka tiesas spriedums ir kļūdains un atceļams, jo tiesa Krimināllikuma 177. panta otrajā daļā paredzēto jēdzienu «sveša manta» kļūdaini - sašaurināti tulkojusi tikai kā ķermenisku lietu. Protesta iesniedzēja uzskata, ka </w:t>
      </w:r>
      <w:r w:rsidRPr="00965E21">
        <w:rPr>
          <w:rStyle w:val="Bodytext2Italic"/>
          <w:rFonts w:asciiTheme="majorBidi" w:hAnsiTheme="majorBidi" w:cstheme="majorBidi"/>
          <w:sz w:val="24"/>
          <w:szCs w:val="24"/>
        </w:rPr>
        <w:t>Krimināllikuma 177.</w:t>
      </w:r>
      <w:r w:rsidRPr="00965E21">
        <w:rPr>
          <w:rFonts w:asciiTheme="majorBidi" w:hAnsiTheme="majorBidi" w:cstheme="majorBidi"/>
          <w:sz w:val="24"/>
          <w:szCs w:val="24"/>
        </w:rPr>
        <w:t xml:space="preserve"> panta otrajā daļā paredzētā nozieguma priekšmets nav tikai ķermeniska lieta, jo krāpšanas objekts ir cietušā mantiskās intereses un tāpēc krāpšanas priekšmets var būt ikviena manta. Atbilstoši Civillikuma 841. pantam manta var būt arī bezķermeniskas lietas.</w:t>
      </w:r>
    </w:p>
    <w:p w14:paraId="0184E436" w14:textId="6BA32D11" w:rsidR="002A217C" w:rsidRPr="00965E21" w:rsidRDefault="00893760" w:rsidP="00CE6CE3">
      <w:pPr>
        <w:pStyle w:val="Bodytext20"/>
        <w:shd w:val="clear" w:color="auto" w:fill="auto"/>
        <w:spacing w:line="276" w:lineRule="auto"/>
        <w:ind w:right="-1" w:firstLine="720"/>
        <w:rPr>
          <w:rFonts w:asciiTheme="majorBidi" w:hAnsiTheme="majorBidi" w:cstheme="majorBidi"/>
          <w:sz w:val="24"/>
          <w:szCs w:val="24"/>
        </w:rPr>
      </w:pPr>
      <w:r w:rsidRPr="00965E21">
        <w:rPr>
          <w:rFonts w:asciiTheme="majorBidi" w:hAnsiTheme="majorBidi" w:cstheme="majorBidi"/>
          <w:sz w:val="24"/>
          <w:szCs w:val="24"/>
        </w:rPr>
        <w:t>Izskatījis lietas materiālus un apsvēris kasācijas protesta motīvus, no</w:t>
      </w:r>
      <w:r w:rsidRPr="00965E21">
        <w:rPr>
          <w:rFonts w:asciiTheme="majorBidi" w:hAnsiTheme="majorBidi" w:cstheme="majorBidi"/>
          <w:sz w:val="24"/>
          <w:szCs w:val="24"/>
        </w:rPr>
        <w:softHyphen/>
        <w:t>klausījies prokurores viedokli, ka pirmās instances tiesas spriedums atce</w:t>
      </w:r>
      <w:r w:rsidRPr="00965E21">
        <w:rPr>
          <w:rFonts w:asciiTheme="majorBidi" w:hAnsiTheme="majorBidi" w:cstheme="majorBidi"/>
          <w:sz w:val="24"/>
          <w:szCs w:val="24"/>
        </w:rPr>
        <w:softHyphen/>
        <w:t>ļams, Senāta Krimināllietu departaments atzīst, ka Bauskas rajona tiesas 2000. gada 21. novembra spriedums ir likumīgs un pamatots un sprieduma atcelšanai nav pamata. Bauskas rajona tiesa, taisot attaisnojošu spriedumu, nav pārkāpusi ne krimināllikumu, ne arī kriminālprocesa likumu. Pirmās in</w:t>
      </w:r>
      <w:r w:rsidRPr="00965E21">
        <w:rPr>
          <w:rFonts w:asciiTheme="majorBidi" w:hAnsiTheme="majorBidi" w:cstheme="majorBidi"/>
          <w:sz w:val="24"/>
          <w:szCs w:val="24"/>
        </w:rPr>
        <w:softHyphen/>
        <w:t xml:space="preserve">stances tiesa pareizi atzinusi, ka tiesājamo </w:t>
      </w:r>
      <w:r w:rsidR="00E53FEE">
        <w:rPr>
          <w:rFonts w:asciiTheme="majorBidi" w:hAnsiTheme="majorBidi" w:cstheme="majorBidi"/>
          <w:sz w:val="24"/>
          <w:szCs w:val="24"/>
        </w:rPr>
        <w:t>[pers. A]</w:t>
      </w:r>
      <w:r w:rsidRPr="00965E21">
        <w:rPr>
          <w:rFonts w:asciiTheme="majorBidi" w:hAnsiTheme="majorBidi" w:cstheme="majorBidi"/>
          <w:sz w:val="24"/>
          <w:szCs w:val="24"/>
        </w:rPr>
        <w:t xml:space="preserve">, </w:t>
      </w:r>
      <w:r w:rsidR="00E53FEE">
        <w:rPr>
          <w:rFonts w:asciiTheme="majorBidi" w:hAnsiTheme="majorBidi" w:cstheme="majorBidi"/>
          <w:sz w:val="24"/>
          <w:szCs w:val="24"/>
        </w:rPr>
        <w:t>[pers. B]</w:t>
      </w:r>
      <w:r w:rsidRPr="00965E21">
        <w:rPr>
          <w:rFonts w:asciiTheme="majorBidi" w:hAnsiTheme="majorBidi" w:cstheme="majorBidi"/>
          <w:sz w:val="24"/>
          <w:szCs w:val="24"/>
        </w:rPr>
        <w:t xml:space="preserve"> un </w:t>
      </w:r>
      <w:r w:rsidR="00E53FEE">
        <w:rPr>
          <w:rFonts w:asciiTheme="majorBidi" w:hAnsiTheme="majorBidi" w:cstheme="majorBidi"/>
          <w:sz w:val="24"/>
          <w:szCs w:val="24"/>
        </w:rPr>
        <w:t>[pers. C]</w:t>
      </w:r>
      <w:r w:rsidRPr="00965E21">
        <w:rPr>
          <w:rFonts w:asciiTheme="majorBidi" w:hAnsiTheme="majorBidi" w:cstheme="majorBidi"/>
          <w:sz w:val="24"/>
          <w:szCs w:val="24"/>
        </w:rPr>
        <w:t xml:space="preserve"> darbībās nav Krimināllikuma 177. panta otrajā daļa pieredzētā no</w:t>
      </w:r>
      <w:r w:rsidRPr="00965E21">
        <w:rPr>
          <w:rFonts w:asciiTheme="majorBidi" w:hAnsiTheme="majorBidi" w:cstheme="majorBidi"/>
          <w:sz w:val="24"/>
          <w:szCs w:val="24"/>
        </w:rPr>
        <w:softHyphen/>
        <w:t>zieguma sastāva. Saskaņā ar Krimināllikuma 6. panta pirmo daļu par noziedzīgu nodarījumu atzīstams ar nodomu (tīši) vai aiz neuzmanības izdarīts nodarījums (darbība vai bezdarbība), kurš paredzēts Krimināllikumā un par kura izdarīšanu draud kriminālsods. Darbības, kādas izdarījuši tiesājamie, tas ir - patvaļīga pieslēgšanās sveša telefona abonenta telefona līnijai un telefonisku pakalpojumu izmantošana, neapmaksājot šos pakalpojumus, - nevar tikt atzītas kā krāpšanas izdarīšana Krimināllikuma 177. panta otrā; daļas izpratnē. Taču tā kā Krimināllikumā šāds nodarījums kā noziedzīgs atsevišķi nav paredzēts, tad tiesājamo attaisnošana apsūdzībā pēc Krimināl</w:t>
      </w:r>
      <w:r w:rsidRPr="00965E21">
        <w:rPr>
          <w:rFonts w:asciiTheme="majorBidi" w:hAnsiTheme="majorBidi" w:cstheme="majorBidi"/>
          <w:sz w:val="24"/>
          <w:szCs w:val="24"/>
        </w:rPr>
        <w:softHyphen/>
        <w:t>likuma 177. panta otrās daļas ir pamatota. Mantas vai tiesību uz mant</w:t>
      </w:r>
      <w:r w:rsidR="00E53FEE">
        <w:rPr>
          <w:rFonts w:asciiTheme="majorBidi" w:hAnsiTheme="majorBidi" w:cstheme="majorBidi"/>
          <w:sz w:val="24"/>
          <w:szCs w:val="24"/>
        </w:rPr>
        <w:t>u</w:t>
      </w:r>
      <w:r w:rsidRPr="00965E21">
        <w:rPr>
          <w:rFonts w:asciiTheme="majorBidi" w:hAnsiTheme="majorBidi" w:cstheme="majorBidi"/>
          <w:sz w:val="24"/>
          <w:szCs w:val="24"/>
        </w:rPr>
        <w:t xml:space="preserve"> iegūšana ar </w:t>
      </w:r>
      <w:r w:rsidRPr="00E53FEE">
        <w:rPr>
          <w:rStyle w:val="Bodytext2Italic"/>
          <w:rFonts w:asciiTheme="majorBidi" w:hAnsiTheme="majorBidi" w:cstheme="majorBidi"/>
          <w:i w:val="0"/>
          <w:iCs w:val="0"/>
          <w:sz w:val="24"/>
          <w:szCs w:val="24"/>
        </w:rPr>
        <w:t>viltu vai</w:t>
      </w:r>
      <w:r w:rsidRPr="00E53FEE">
        <w:rPr>
          <w:rFonts w:asciiTheme="majorBidi" w:hAnsiTheme="majorBidi" w:cstheme="majorBidi"/>
          <w:i/>
          <w:iCs/>
          <w:sz w:val="24"/>
          <w:szCs w:val="24"/>
        </w:rPr>
        <w:t xml:space="preserve"> </w:t>
      </w:r>
      <w:r w:rsidRPr="00965E21">
        <w:rPr>
          <w:rFonts w:asciiTheme="majorBidi" w:hAnsiTheme="majorBidi" w:cstheme="majorBidi"/>
          <w:sz w:val="24"/>
          <w:szCs w:val="24"/>
        </w:rPr>
        <w:t>ļaunprātīgi izmantojot uzticību ir tādā gadījumā, kad vainīgā persona, izmantojot uzticību vai ar viltu, tieši maldina cietušo, kā rezultātā cietušais labprātīgi atdod savu mantu vai tiesības uz mantu vainī</w:t>
      </w:r>
      <w:r w:rsidRPr="00965E21">
        <w:rPr>
          <w:rFonts w:asciiTheme="majorBidi" w:hAnsiTheme="majorBidi" w:cstheme="majorBidi"/>
          <w:sz w:val="24"/>
          <w:szCs w:val="24"/>
        </w:rPr>
        <w:softHyphen/>
        <w:t>gajai personai. Konkrētajā gadījumā, izmantojot telefona pakalpojumus, nekāda maldinoša ietekme uz cietušā gribu nenotiek. Krāpšana pēc būtības ir vainīgās personas ietekme uz citas fiziskas personas gribu, bet ne uz tehnisku ierīci. Tāpēc neatkarīgi no tā, vai nelikumīgi saņemot pakalpojumu, kurš iegūts iepriekšminētā veidā un netiek apmaksāts, atzīst par tiesību iegūšanu uz mantu vai neatzīst, konkrētajā gadījumā tiesājamo darbībās nav Krimināllikuma 177. panta otrajā daļā paredzētā nozieguma sastāva.</w:t>
      </w:r>
    </w:p>
    <w:p w14:paraId="6156E815" w14:textId="028287C6" w:rsidR="00E53FEE" w:rsidRDefault="00893760" w:rsidP="00E53FEE">
      <w:pPr>
        <w:pStyle w:val="Bodytext20"/>
        <w:shd w:val="clear" w:color="auto" w:fill="auto"/>
        <w:spacing w:line="276" w:lineRule="auto"/>
        <w:ind w:firstLine="720"/>
        <w:rPr>
          <w:rFonts w:asciiTheme="majorBidi" w:hAnsiTheme="majorBidi" w:cstheme="majorBidi"/>
          <w:sz w:val="24"/>
          <w:szCs w:val="24"/>
        </w:rPr>
      </w:pPr>
      <w:r w:rsidRPr="00965E21">
        <w:rPr>
          <w:rFonts w:asciiTheme="majorBidi" w:hAnsiTheme="majorBidi" w:cstheme="majorBidi"/>
          <w:sz w:val="24"/>
          <w:szCs w:val="24"/>
        </w:rPr>
        <w:t>Pamatojoties uz minēto, ievērojot Latvijas kriminālprocesa kodeksa 461. pantu, Augstākās tiesas Senāta Krimināllietu departaments</w:t>
      </w:r>
    </w:p>
    <w:p w14:paraId="510FDCFC" w14:textId="77777777" w:rsidR="00E53FEE" w:rsidRDefault="00E53FEE" w:rsidP="00E53FEE">
      <w:pPr>
        <w:pStyle w:val="Bodytext20"/>
        <w:shd w:val="clear" w:color="auto" w:fill="auto"/>
        <w:spacing w:line="276" w:lineRule="auto"/>
        <w:ind w:firstLine="720"/>
        <w:rPr>
          <w:rFonts w:asciiTheme="majorBidi" w:hAnsiTheme="majorBidi" w:cstheme="majorBidi"/>
          <w:sz w:val="24"/>
          <w:szCs w:val="24"/>
        </w:rPr>
      </w:pPr>
    </w:p>
    <w:p w14:paraId="6EB38CB0" w14:textId="6B95F7AD" w:rsidR="002A217C" w:rsidRDefault="00E53FEE" w:rsidP="00E53FEE">
      <w:pPr>
        <w:pStyle w:val="Bodytext20"/>
        <w:shd w:val="clear" w:color="auto" w:fill="auto"/>
        <w:spacing w:line="276" w:lineRule="auto"/>
        <w:ind w:firstLine="720"/>
        <w:jc w:val="center"/>
        <w:rPr>
          <w:rFonts w:asciiTheme="majorBidi" w:hAnsiTheme="majorBidi" w:cstheme="majorBidi"/>
          <w:spacing w:val="40"/>
          <w:sz w:val="24"/>
          <w:szCs w:val="24"/>
        </w:rPr>
      </w:pPr>
      <w:r>
        <w:rPr>
          <w:rFonts w:asciiTheme="majorBidi" w:hAnsiTheme="majorBidi" w:cstheme="majorBidi"/>
          <w:spacing w:val="40"/>
          <w:sz w:val="24"/>
          <w:szCs w:val="24"/>
        </w:rPr>
        <w:t>n</w:t>
      </w:r>
      <w:r w:rsidR="00893760" w:rsidRPr="00E53FEE">
        <w:rPr>
          <w:rFonts w:asciiTheme="majorBidi" w:hAnsiTheme="majorBidi" w:cstheme="majorBidi"/>
          <w:spacing w:val="40"/>
          <w:sz w:val="24"/>
          <w:szCs w:val="24"/>
        </w:rPr>
        <w:t>olēma</w:t>
      </w:r>
    </w:p>
    <w:p w14:paraId="7D92B94F" w14:textId="77777777" w:rsidR="00E53FEE" w:rsidRPr="00E53FEE" w:rsidRDefault="00E53FEE" w:rsidP="00E53FEE">
      <w:pPr>
        <w:pStyle w:val="Bodytext20"/>
        <w:shd w:val="clear" w:color="auto" w:fill="auto"/>
        <w:spacing w:line="276" w:lineRule="auto"/>
        <w:ind w:firstLine="720"/>
        <w:jc w:val="center"/>
        <w:rPr>
          <w:rFonts w:asciiTheme="majorBidi" w:hAnsiTheme="majorBidi" w:cstheme="majorBidi"/>
          <w:spacing w:val="40"/>
          <w:sz w:val="24"/>
          <w:szCs w:val="24"/>
        </w:rPr>
      </w:pPr>
    </w:p>
    <w:p w14:paraId="792920A3" w14:textId="77777777" w:rsidR="002A217C" w:rsidRPr="00965E21" w:rsidRDefault="00893760" w:rsidP="00E53FEE">
      <w:pPr>
        <w:pStyle w:val="Bodytext20"/>
        <w:shd w:val="clear" w:color="auto" w:fill="auto"/>
        <w:spacing w:line="276" w:lineRule="auto"/>
        <w:ind w:firstLine="720"/>
        <w:rPr>
          <w:rFonts w:asciiTheme="majorBidi" w:hAnsiTheme="majorBidi" w:cstheme="majorBidi"/>
          <w:sz w:val="24"/>
          <w:szCs w:val="24"/>
        </w:rPr>
      </w:pPr>
      <w:r w:rsidRPr="00965E21">
        <w:rPr>
          <w:rFonts w:asciiTheme="majorBidi" w:hAnsiTheme="majorBidi" w:cstheme="majorBidi"/>
          <w:sz w:val="24"/>
          <w:szCs w:val="24"/>
        </w:rPr>
        <w:t>Bauskas rajona tiesas 2000. gada 21. novembra spriedumu atstāt negro</w:t>
      </w:r>
      <w:r w:rsidRPr="00965E21">
        <w:rPr>
          <w:rFonts w:asciiTheme="majorBidi" w:hAnsiTheme="majorBidi" w:cstheme="majorBidi"/>
          <w:sz w:val="24"/>
          <w:szCs w:val="24"/>
        </w:rPr>
        <w:softHyphen/>
        <w:t>zītu, bet kasācijas protestu - bez apmierinājuma.</w:t>
      </w:r>
    </w:p>
    <w:p w14:paraId="39D61237" w14:textId="77777777" w:rsidR="002A217C" w:rsidRPr="00965E21" w:rsidRDefault="00893760" w:rsidP="00E53FEE">
      <w:pPr>
        <w:pStyle w:val="Bodytext20"/>
        <w:shd w:val="clear" w:color="auto" w:fill="auto"/>
        <w:spacing w:line="276" w:lineRule="auto"/>
        <w:ind w:firstLine="720"/>
        <w:rPr>
          <w:rFonts w:asciiTheme="majorBidi" w:hAnsiTheme="majorBidi" w:cstheme="majorBidi"/>
          <w:sz w:val="24"/>
          <w:szCs w:val="24"/>
        </w:rPr>
      </w:pPr>
      <w:r w:rsidRPr="00965E21">
        <w:rPr>
          <w:rFonts w:asciiTheme="majorBidi" w:hAnsiTheme="majorBidi" w:cstheme="majorBidi"/>
          <w:sz w:val="24"/>
          <w:szCs w:val="24"/>
        </w:rPr>
        <w:t>Lēmums nav pārsūdzams.</w:t>
      </w:r>
    </w:p>
    <w:sectPr w:rsidR="002A217C" w:rsidRPr="00965E21" w:rsidSect="00965E21">
      <w:pgSz w:w="11906" w:h="16838" w:code="9"/>
      <w:pgMar w:top="1134" w:right="1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EB6E" w14:textId="77777777" w:rsidR="00960822" w:rsidRDefault="00960822">
      <w:r>
        <w:separator/>
      </w:r>
    </w:p>
  </w:endnote>
  <w:endnote w:type="continuationSeparator" w:id="0">
    <w:p w14:paraId="79CF2D4F" w14:textId="77777777" w:rsidR="00960822" w:rsidRDefault="0096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CDEA" w14:textId="77777777" w:rsidR="00960822" w:rsidRDefault="00960822"/>
  </w:footnote>
  <w:footnote w:type="continuationSeparator" w:id="0">
    <w:p w14:paraId="6F091365" w14:textId="77777777" w:rsidR="00960822" w:rsidRDefault="00960822"/>
  </w:footnote>
  <w:footnote w:id="1">
    <w:p w14:paraId="2AC4DB64" w14:textId="77CB8BD2" w:rsidR="00965E21" w:rsidRPr="00C472BB" w:rsidRDefault="00965E21" w:rsidP="00965E21">
      <w:pPr>
        <w:pStyle w:val="FootnoteText"/>
        <w:jc w:val="both"/>
        <w:rPr>
          <w:rFonts w:asciiTheme="majorBidi" w:hAnsiTheme="majorBidi" w:cstheme="majorBidi"/>
          <w:highlight w:val="yellow"/>
        </w:rPr>
      </w:pPr>
      <w:r w:rsidRPr="00C472BB">
        <w:rPr>
          <w:rStyle w:val="FootnoteReference"/>
          <w:rFonts w:asciiTheme="majorBidi" w:hAnsiTheme="majorBidi" w:cstheme="majorBidi"/>
        </w:rPr>
        <w:footnoteRef/>
      </w:r>
      <w:proofErr w:type="spellStart"/>
      <w:r w:rsidRPr="00C472BB">
        <w:rPr>
          <w:rFonts w:asciiTheme="majorBidi" w:hAnsiTheme="majorBidi" w:cstheme="majorBidi"/>
          <w:lang w:val="en-US"/>
        </w:rPr>
        <w:t>Judikatūras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arhīva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papildināšanai</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izmantota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lēmuma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publikācija</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gadagrāmatā</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Latvijas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Republikas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Augstākās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tiesas</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Krimināllietu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departamenta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lēmumi</w:t>
      </w:r>
      <w:proofErr w:type="spellEnd"/>
      <w:r w:rsidRPr="00C472BB">
        <w:rPr>
          <w:rFonts w:asciiTheme="majorBidi" w:hAnsiTheme="majorBidi" w:cstheme="majorBidi"/>
          <w:lang w:val="en-US"/>
        </w:rPr>
        <w:t xml:space="preserve"> 2001”, </w:t>
      </w:r>
      <w:r>
        <w:rPr>
          <w:rFonts w:asciiTheme="majorBidi" w:hAnsiTheme="majorBidi" w:cstheme="majorBidi"/>
          <w:lang w:val="en-US"/>
        </w:rPr>
        <w:t>191.-193</w:t>
      </w:r>
      <w:r w:rsidRPr="00C472BB">
        <w:rPr>
          <w:rFonts w:asciiTheme="majorBidi" w:hAnsiTheme="majorBidi" w:cstheme="majorBidi"/>
          <w:lang w:val="en-US"/>
        </w:rPr>
        <w:t>.lpp.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7C"/>
    <w:rsid w:val="00253866"/>
    <w:rsid w:val="002A217C"/>
    <w:rsid w:val="003F1F81"/>
    <w:rsid w:val="00684A18"/>
    <w:rsid w:val="007C14D3"/>
    <w:rsid w:val="00893760"/>
    <w:rsid w:val="00960822"/>
    <w:rsid w:val="00965E21"/>
    <w:rsid w:val="00B90133"/>
    <w:rsid w:val="00CD37F6"/>
    <w:rsid w:val="00CE6CE3"/>
    <w:rsid w:val="00E53F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C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2"/>
      <w:szCs w:val="22"/>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22"/>
      <w:szCs w:val="22"/>
      <w:u w:val="none"/>
      <w:lang w:val="lv-LV" w:eastAsia="lv-LV" w:bidi="lv-LV"/>
    </w:rPr>
  </w:style>
  <w:style w:type="character" w:customStyle="1" w:styleId="Bodytext3">
    <w:name w:val="Body text (3)_"/>
    <w:basedOn w:val="DefaultParagraphFont"/>
    <w:link w:val="Bodytext30"/>
    <w:rPr>
      <w:rFonts w:ascii="Arial" w:eastAsia="Arial" w:hAnsi="Arial" w:cs="Arial"/>
      <w:b w:val="0"/>
      <w:bCs w:val="0"/>
      <w:i w:val="0"/>
      <w:iCs w:val="0"/>
      <w:smallCaps w:val="0"/>
      <w:strike w:val="0"/>
      <w:spacing w:val="40"/>
      <w:sz w:val="20"/>
      <w:szCs w:val="20"/>
      <w:u w:val="none"/>
    </w:rPr>
  </w:style>
  <w:style w:type="character" w:customStyle="1" w:styleId="Bodytext4">
    <w:name w:val="Body text (4)_"/>
    <w:basedOn w:val="DefaultParagraphFont"/>
    <w:link w:val="Bodytext40"/>
    <w:rPr>
      <w:rFonts w:ascii="Arial" w:eastAsia="Arial" w:hAnsi="Arial" w:cs="Arial"/>
      <w:b w:val="0"/>
      <w:bCs w:val="0"/>
      <w:i/>
      <w:iCs/>
      <w:smallCaps w:val="0"/>
      <w:strike w:val="0"/>
      <w:sz w:val="19"/>
      <w:szCs w:val="19"/>
      <w:u w:val="none"/>
    </w:rPr>
  </w:style>
  <w:style w:type="character" w:customStyle="1" w:styleId="Bodytext5">
    <w:name w:val="Body text (5)_"/>
    <w:basedOn w:val="DefaultParagraphFont"/>
    <w:link w:val="Bodytext50"/>
    <w:rPr>
      <w:rFonts w:ascii="Arial" w:eastAsia="Arial" w:hAnsi="Arial" w:cs="Arial"/>
      <w:b/>
      <w:bCs/>
      <w:i w:val="0"/>
      <w:iCs w:val="0"/>
      <w:smallCaps w:val="0"/>
      <w:strike w:val="0"/>
      <w:u w:val="none"/>
    </w:rPr>
  </w:style>
  <w:style w:type="character" w:customStyle="1" w:styleId="Bodytext212ptBold">
    <w:name w:val="Body text (2) + 12 pt;Bold"/>
    <w:basedOn w:val="Bodytext2"/>
    <w:rPr>
      <w:rFonts w:ascii="Arial" w:eastAsia="Arial" w:hAnsi="Arial" w:cs="Arial"/>
      <w:b/>
      <w:bCs/>
      <w:i w:val="0"/>
      <w:iCs w:val="0"/>
      <w:smallCaps w:val="0"/>
      <w:strike w:val="0"/>
      <w:color w:val="000000"/>
      <w:spacing w:val="0"/>
      <w:w w:val="100"/>
      <w:position w:val="0"/>
      <w:sz w:val="24"/>
      <w:szCs w:val="24"/>
      <w:u w:val="single"/>
      <w:lang w:val="lv-LV" w:eastAsia="lv-LV" w:bidi="lv-LV"/>
    </w:rPr>
  </w:style>
  <w:style w:type="character" w:customStyle="1" w:styleId="Bodytext212ptBold0">
    <w:name w:val="Body text (2) + 12 pt;Bold"/>
    <w:basedOn w:val="Bodytext2"/>
    <w:rPr>
      <w:rFonts w:ascii="Arial" w:eastAsia="Arial" w:hAnsi="Arial" w:cs="Arial"/>
      <w:b/>
      <w:bCs/>
      <w:i w:val="0"/>
      <w:iCs w:val="0"/>
      <w:smallCaps w:val="0"/>
      <w:strike w:val="0"/>
      <w:color w:val="000000"/>
      <w:spacing w:val="0"/>
      <w:w w:val="100"/>
      <w:position w:val="0"/>
      <w:sz w:val="24"/>
      <w:szCs w:val="24"/>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spacing w:val="40"/>
      <w:sz w:val="20"/>
      <w:szCs w:val="20"/>
      <w:u w:val="none"/>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19"/>
      <w:szCs w:val="19"/>
      <w:u w:val="none"/>
      <w:lang w:val="lv-LV" w:eastAsia="lv-LV" w:bidi="lv-LV"/>
    </w:rPr>
  </w:style>
  <w:style w:type="character" w:customStyle="1" w:styleId="Bodytext7">
    <w:name w:val="Body text (7)_"/>
    <w:basedOn w:val="DefaultParagraphFont"/>
    <w:link w:val="Bodytext70"/>
    <w:rPr>
      <w:rFonts w:ascii="Arial" w:eastAsia="Arial" w:hAnsi="Arial" w:cs="Arial"/>
      <w:b w:val="0"/>
      <w:bCs w:val="0"/>
      <w:i w:val="0"/>
      <w:iCs w:val="0"/>
      <w:smallCaps w:val="0"/>
      <w:strike w:val="0"/>
      <w:spacing w:val="40"/>
      <w:sz w:val="20"/>
      <w:szCs w:val="20"/>
      <w:u w:val="none"/>
    </w:rPr>
  </w:style>
  <w:style w:type="paragraph" w:customStyle="1" w:styleId="Bodytext20">
    <w:name w:val="Body text (2)"/>
    <w:basedOn w:val="Normal"/>
    <w:link w:val="Bodytext2"/>
    <w:pPr>
      <w:shd w:val="clear" w:color="auto" w:fill="FFFFFF"/>
      <w:spacing w:line="240" w:lineRule="exact"/>
      <w:jc w:val="both"/>
    </w:pPr>
    <w:rPr>
      <w:rFonts w:ascii="Arial" w:eastAsia="Arial" w:hAnsi="Arial" w:cs="Arial"/>
      <w:sz w:val="19"/>
      <w:szCs w:val="19"/>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22"/>
      <w:szCs w:val="22"/>
    </w:rPr>
  </w:style>
  <w:style w:type="paragraph" w:customStyle="1" w:styleId="Bodytext30">
    <w:name w:val="Body text (3)"/>
    <w:basedOn w:val="Normal"/>
    <w:link w:val="Bodytext3"/>
    <w:pPr>
      <w:shd w:val="clear" w:color="auto" w:fill="FFFFFF"/>
      <w:spacing w:line="240" w:lineRule="exact"/>
      <w:jc w:val="center"/>
    </w:pPr>
    <w:rPr>
      <w:rFonts w:ascii="Arial" w:eastAsia="Arial" w:hAnsi="Arial" w:cs="Arial"/>
      <w:spacing w:val="40"/>
      <w:sz w:val="20"/>
      <w:szCs w:val="20"/>
    </w:rPr>
  </w:style>
  <w:style w:type="paragraph" w:customStyle="1" w:styleId="Bodytext40">
    <w:name w:val="Body text (4)"/>
    <w:basedOn w:val="Normal"/>
    <w:link w:val="Bodytext4"/>
    <w:pPr>
      <w:shd w:val="clear" w:color="auto" w:fill="FFFFFF"/>
      <w:spacing w:after="300" w:line="0" w:lineRule="atLeast"/>
      <w:jc w:val="right"/>
    </w:pPr>
    <w:rPr>
      <w:rFonts w:ascii="Arial" w:eastAsia="Arial" w:hAnsi="Arial" w:cs="Arial"/>
      <w:i/>
      <w:iCs/>
      <w:sz w:val="19"/>
      <w:szCs w:val="19"/>
    </w:rPr>
  </w:style>
  <w:style w:type="paragraph" w:customStyle="1" w:styleId="Bodytext50">
    <w:name w:val="Body text (5)"/>
    <w:basedOn w:val="Normal"/>
    <w:link w:val="Bodytext5"/>
    <w:pPr>
      <w:shd w:val="clear" w:color="auto" w:fill="FFFFFF"/>
      <w:spacing w:before="300" w:after="180" w:line="312" w:lineRule="exact"/>
    </w:pPr>
    <w:rPr>
      <w:rFonts w:ascii="Arial" w:eastAsia="Arial" w:hAnsi="Arial" w:cs="Arial"/>
      <w:b/>
      <w:bCs/>
    </w:rPr>
  </w:style>
  <w:style w:type="paragraph" w:customStyle="1" w:styleId="Bodytext60">
    <w:name w:val="Body text (6)"/>
    <w:basedOn w:val="Normal"/>
    <w:link w:val="Bodytext6"/>
    <w:pPr>
      <w:shd w:val="clear" w:color="auto" w:fill="FFFFFF"/>
      <w:spacing w:line="230" w:lineRule="exact"/>
      <w:jc w:val="center"/>
    </w:pPr>
    <w:rPr>
      <w:rFonts w:ascii="Arial" w:eastAsia="Arial" w:hAnsi="Arial" w:cs="Arial"/>
      <w:spacing w:val="40"/>
      <w:sz w:val="20"/>
      <w:szCs w:val="20"/>
    </w:rPr>
  </w:style>
  <w:style w:type="paragraph" w:customStyle="1" w:styleId="Bodytext70">
    <w:name w:val="Body text (7)"/>
    <w:basedOn w:val="Normal"/>
    <w:link w:val="Bodytext7"/>
    <w:pPr>
      <w:shd w:val="clear" w:color="auto" w:fill="FFFFFF"/>
      <w:spacing w:line="240" w:lineRule="exact"/>
    </w:pPr>
    <w:rPr>
      <w:rFonts w:ascii="Arial" w:eastAsia="Arial" w:hAnsi="Arial" w:cs="Arial"/>
      <w:spacing w:val="40"/>
      <w:sz w:val="20"/>
      <w:szCs w:val="20"/>
    </w:rPr>
  </w:style>
  <w:style w:type="paragraph" w:styleId="Footer">
    <w:name w:val="footer"/>
    <w:basedOn w:val="Normal"/>
    <w:link w:val="FooterChar"/>
    <w:uiPriority w:val="99"/>
    <w:unhideWhenUsed/>
    <w:rsid w:val="00965E21"/>
    <w:pPr>
      <w:tabs>
        <w:tab w:val="center" w:pos="4513"/>
        <w:tab w:val="right" w:pos="9026"/>
      </w:tabs>
    </w:pPr>
  </w:style>
  <w:style w:type="character" w:customStyle="1" w:styleId="FooterChar">
    <w:name w:val="Footer Char"/>
    <w:basedOn w:val="DefaultParagraphFont"/>
    <w:link w:val="Footer"/>
    <w:uiPriority w:val="99"/>
    <w:rsid w:val="00965E21"/>
    <w:rPr>
      <w:color w:val="000000"/>
    </w:rPr>
  </w:style>
  <w:style w:type="paragraph" w:styleId="Header">
    <w:name w:val="header"/>
    <w:basedOn w:val="Normal"/>
    <w:link w:val="HeaderChar"/>
    <w:uiPriority w:val="99"/>
    <w:unhideWhenUsed/>
    <w:rsid w:val="00965E21"/>
    <w:pPr>
      <w:tabs>
        <w:tab w:val="center" w:pos="4513"/>
        <w:tab w:val="right" w:pos="9026"/>
      </w:tabs>
    </w:pPr>
  </w:style>
  <w:style w:type="character" w:customStyle="1" w:styleId="HeaderChar">
    <w:name w:val="Header Char"/>
    <w:basedOn w:val="DefaultParagraphFont"/>
    <w:link w:val="Header"/>
    <w:uiPriority w:val="99"/>
    <w:rsid w:val="00965E21"/>
    <w:rPr>
      <w:color w:val="000000"/>
    </w:rPr>
  </w:style>
  <w:style w:type="paragraph" w:styleId="FootnoteText">
    <w:name w:val="footnote text"/>
    <w:basedOn w:val="Normal"/>
    <w:link w:val="FootnoteTextChar"/>
    <w:uiPriority w:val="99"/>
    <w:semiHidden/>
    <w:unhideWhenUsed/>
    <w:rsid w:val="00965E21"/>
    <w:rPr>
      <w:sz w:val="20"/>
      <w:szCs w:val="20"/>
    </w:rPr>
  </w:style>
  <w:style w:type="character" w:customStyle="1" w:styleId="FootnoteTextChar">
    <w:name w:val="Footnote Text Char"/>
    <w:basedOn w:val="DefaultParagraphFont"/>
    <w:link w:val="FootnoteText"/>
    <w:uiPriority w:val="99"/>
    <w:semiHidden/>
    <w:rsid w:val="00965E21"/>
    <w:rPr>
      <w:color w:val="000000"/>
      <w:sz w:val="20"/>
      <w:szCs w:val="20"/>
    </w:rPr>
  </w:style>
  <w:style w:type="character" w:styleId="FootnoteReference">
    <w:name w:val="footnote reference"/>
    <w:basedOn w:val="DefaultParagraphFont"/>
    <w:uiPriority w:val="99"/>
    <w:semiHidden/>
    <w:unhideWhenUsed/>
    <w:rsid w:val="00965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3722</Words>
  <Characters>2123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2026-08-12T12:56:00Z</dcterms:created>
  <dcterms:modified xsi:type="dcterms:W3CDTF">2026-08-13T07:29:00Z</dcterms:modified>
</cp:coreProperties>
</file>