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D460" w14:textId="234FE1B3" w:rsidR="00074ABD" w:rsidRDefault="00B3393B" w:rsidP="00B3393B">
      <w:pPr>
        <w:spacing w:line="276" w:lineRule="auto"/>
        <w:jc w:val="both"/>
      </w:pPr>
      <w:r w:rsidRPr="00FA40D8">
        <w:rPr>
          <w:b/>
          <w:bCs/>
        </w:rPr>
        <w:t>Personai, kurai ir tiesības uz aizstāvību, ir pienākums informēt procesa virzītāju par sūtījumu saņemšanas adreses maiņu</w:t>
      </w:r>
    </w:p>
    <w:p w14:paraId="5F1CDA88" w14:textId="77777777" w:rsidR="009210E9" w:rsidRPr="00203447" w:rsidRDefault="009210E9" w:rsidP="00B3393B">
      <w:pPr>
        <w:spacing w:line="276" w:lineRule="auto"/>
        <w:rPr>
          <w:rFonts w:eastAsia="Calibri"/>
        </w:rPr>
      </w:pPr>
    </w:p>
    <w:p w14:paraId="003BE7F9" w14:textId="77777777" w:rsidR="00A87DC5" w:rsidRDefault="00A87DC5" w:rsidP="00A87DC5">
      <w:pPr>
        <w:spacing w:line="276" w:lineRule="auto"/>
        <w:jc w:val="center"/>
        <w:rPr>
          <w:b/>
        </w:rPr>
      </w:pPr>
      <w:r>
        <w:rPr>
          <w:b/>
        </w:rPr>
        <w:t xml:space="preserve">Latvijas Republikas Senāta </w:t>
      </w:r>
    </w:p>
    <w:p w14:paraId="3FCDB2CD" w14:textId="153ED9F5" w:rsidR="00A87DC5" w:rsidRDefault="00A87DC5" w:rsidP="00A87DC5">
      <w:pPr>
        <w:spacing w:line="276" w:lineRule="auto"/>
        <w:jc w:val="center"/>
        <w:rPr>
          <w:b/>
          <w:bCs/>
        </w:rPr>
      </w:pPr>
      <w:r>
        <w:rPr>
          <w:b/>
        </w:rPr>
        <w:t>Krimināllietu departamenta senatora</w:t>
      </w:r>
    </w:p>
    <w:p w14:paraId="715F931C" w14:textId="77777777" w:rsidR="00B3393B" w:rsidRPr="00B3393B" w:rsidRDefault="00C95438" w:rsidP="00B3393B">
      <w:pPr>
        <w:spacing w:line="276" w:lineRule="auto"/>
        <w:jc w:val="center"/>
        <w:rPr>
          <w:b/>
          <w:bCs/>
        </w:rPr>
      </w:pPr>
      <w:r w:rsidRPr="00B3393B">
        <w:rPr>
          <w:b/>
          <w:bCs/>
        </w:rPr>
        <w:t>20</w:t>
      </w:r>
      <w:r w:rsidR="003D139D" w:rsidRPr="00B3393B">
        <w:rPr>
          <w:b/>
          <w:bCs/>
        </w:rPr>
        <w:t>2</w:t>
      </w:r>
      <w:r w:rsidR="00D95E30" w:rsidRPr="00B3393B">
        <w:rPr>
          <w:b/>
          <w:bCs/>
        </w:rPr>
        <w:t>2</w:t>
      </w:r>
      <w:r w:rsidRPr="00B3393B">
        <w:rPr>
          <w:b/>
          <w:bCs/>
        </w:rPr>
        <w:t>.</w:t>
      </w:r>
      <w:r w:rsidR="00B3393B" w:rsidRPr="00B3393B">
        <w:rPr>
          <w:b/>
          <w:bCs/>
        </w:rPr>
        <w:t> </w:t>
      </w:r>
      <w:r w:rsidRPr="00B3393B">
        <w:rPr>
          <w:b/>
          <w:bCs/>
        </w:rPr>
        <w:t>gada</w:t>
      </w:r>
      <w:r w:rsidR="004734AD" w:rsidRPr="00B3393B">
        <w:rPr>
          <w:b/>
          <w:bCs/>
        </w:rPr>
        <w:t xml:space="preserve"> </w:t>
      </w:r>
      <w:r w:rsidR="00602CA3" w:rsidRPr="00B3393B">
        <w:rPr>
          <w:b/>
          <w:bCs/>
        </w:rPr>
        <w:t>15.</w:t>
      </w:r>
      <w:r w:rsidR="00B3393B" w:rsidRPr="00B3393B">
        <w:rPr>
          <w:b/>
          <w:bCs/>
        </w:rPr>
        <w:t> </w:t>
      </w:r>
      <w:r w:rsidR="00602CA3" w:rsidRPr="00B3393B">
        <w:rPr>
          <w:b/>
          <w:bCs/>
        </w:rPr>
        <w:t>decembr</w:t>
      </w:r>
      <w:r w:rsidR="00B3393B" w:rsidRPr="00B3393B">
        <w:rPr>
          <w:b/>
          <w:bCs/>
        </w:rPr>
        <w:t xml:space="preserve">a </w:t>
      </w:r>
    </w:p>
    <w:p w14:paraId="2C771136" w14:textId="77777777" w:rsidR="00B3393B" w:rsidRPr="00B3393B" w:rsidRDefault="00B3393B" w:rsidP="00B3393B">
      <w:pPr>
        <w:spacing w:line="276" w:lineRule="auto"/>
        <w:jc w:val="center"/>
        <w:rPr>
          <w:b/>
          <w:bCs/>
        </w:rPr>
      </w:pPr>
      <w:r w:rsidRPr="00B3393B">
        <w:rPr>
          <w:b/>
          <w:bCs/>
        </w:rPr>
        <w:t xml:space="preserve">LĒMUMS </w:t>
      </w:r>
    </w:p>
    <w:p w14:paraId="0624D452" w14:textId="6EDC18AF" w:rsidR="009210E9" w:rsidRPr="00B3393B" w:rsidRDefault="00B3393B" w:rsidP="00B3393B">
      <w:pPr>
        <w:spacing w:line="276" w:lineRule="auto"/>
        <w:jc w:val="center"/>
        <w:rPr>
          <w:b/>
          <w:bCs/>
        </w:rPr>
      </w:pPr>
      <w:r w:rsidRPr="00B3393B">
        <w:rPr>
          <w:b/>
          <w:bCs/>
        </w:rPr>
        <w:t>Lieta Nr. </w:t>
      </w:r>
      <w:r w:rsidRPr="00B3393B">
        <w:rPr>
          <w:rFonts w:eastAsia="Calibri"/>
          <w:b/>
          <w:bCs/>
        </w:rPr>
        <w:t>11094093515</w:t>
      </w:r>
      <w:r w:rsidRPr="00B3393B">
        <w:rPr>
          <w:b/>
          <w:bCs/>
        </w:rPr>
        <w:t>, SKK-691/2022</w:t>
      </w:r>
    </w:p>
    <w:p w14:paraId="0CABEA23" w14:textId="61AC27D0" w:rsidR="00B3393B" w:rsidRPr="00B3393B" w:rsidRDefault="00262D40" w:rsidP="00B3393B">
      <w:pPr>
        <w:spacing w:line="276" w:lineRule="auto"/>
        <w:jc w:val="center"/>
      </w:pPr>
      <w:hyperlink r:id="rId8" w:history="1">
        <w:r w:rsidR="00B3393B" w:rsidRPr="00B3393B">
          <w:rPr>
            <w:rStyle w:val="Hyperlink"/>
            <w:shd w:val="clear" w:color="auto" w:fill="FFFFFF"/>
          </w:rPr>
          <w:t>ECLI:LV:AT:2022:1215.11094093515.9.L</w:t>
        </w:r>
      </w:hyperlink>
    </w:p>
    <w:p w14:paraId="4DF2005D" w14:textId="77777777" w:rsidR="009210E9" w:rsidRDefault="009210E9" w:rsidP="009210E9">
      <w:pPr>
        <w:spacing w:line="276" w:lineRule="auto"/>
        <w:jc w:val="center"/>
      </w:pPr>
    </w:p>
    <w:p w14:paraId="5804E0ED" w14:textId="0001665E" w:rsidR="00F44255" w:rsidRDefault="00F44255" w:rsidP="00F44255">
      <w:pPr>
        <w:spacing w:line="276" w:lineRule="auto"/>
        <w:ind w:firstLine="709"/>
        <w:jc w:val="both"/>
      </w:pPr>
      <w:r>
        <w:t>Augstākās tiesas Krimināllietu departamenta senator</w:t>
      </w:r>
      <w:r w:rsidR="007B24B9">
        <w:t>s</w:t>
      </w:r>
      <w:r>
        <w:t xml:space="preserve"> </w:t>
      </w:r>
      <w:r w:rsidR="007B24B9">
        <w:t>A</w:t>
      </w:r>
      <w:r w:rsidR="00515608">
        <w:t>rtūrs</w:t>
      </w:r>
      <w:r w:rsidR="007B24B9">
        <w:t xml:space="preserve"> Freibergs </w:t>
      </w:r>
      <w:r>
        <w:t>iz</w:t>
      </w:r>
      <w:r w:rsidR="00602CA3">
        <w:t>lēma</w:t>
      </w:r>
      <w:r>
        <w:t xml:space="preserve"> rakstveida procesā apsūdzētā </w:t>
      </w:r>
      <w:r w:rsidR="00B3393B">
        <w:t>[pers. A]</w:t>
      </w:r>
      <w:r w:rsidR="007B24B9">
        <w:t xml:space="preserve"> aizstāvja Jāņa Pušpura </w:t>
      </w:r>
      <w:r>
        <w:t xml:space="preserve">sūdzību par </w:t>
      </w:r>
      <w:r w:rsidR="007B24B9">
        <w:t xml:space="preserve">Rīgas </w:t>
      </w:r>
      <w:r>
        <w:t xml:space="preserve">apgabaltiesas </w:t>
      </w:r>
      <w:proofErr w:type="gramStart"/>
      <w:r w:rsidR="003D139D">
        <w:t>202</w:t>
      </w:r>
      <w:r w:rsidR="00DE1BFB">
        <w:t>2</w:t>
      </w:r>
      <w:r w:rsidR="003D139D">
        <w:t>.gada</w:t>
      </w:r>
      <w:proofErr w:type="gramEnd"/>
      <w:r w:rsidR="003D139D">
        <w:t xml:space="preserve"> </w:t>
      </w:r>
      <w:r w:rsidR="00DE1BFB">
        <w:t>1</w:t>
      </w:r>
      <w:r w:rsidR="007B24B9">
        <w:t>9</w:t>
      </w:r>
      <w:r w:rsidR="003D139D">
        <w:t>.</w:t>
      </w:r>
      <w:r w:rsidR="007B24B9">
        <w:t>septembra</w:t>
      </w:r>
      <w:r>
        <w:t xml:space="preserve"> lēmumu. </w:t>
      </w:r>
    </w:p>
    <w:p w14:paraId="6C5F07EE" w14:textId="77777777" w:rsidR="00A86537" w:rsidRPr="00706809" w:rsidRDefault="00A86537" w:rsidP="00F44255">
      <w:pPr>
        <w:spacing w:line="276" w:lineRule="auto"/>
        <w:ind w:firstLine="709"/>
        <w:jc w:val="both"/>
      </w:pPr>
    </w:p>
    <w:p w14:paraId="4E35C893" w14:textId="77777777" w:rsidR="00B135BD" w:rsidRPr="008A5055" w:rsidRDefault="00B135BD" w:rsidP="00B135BD">
      <w:pPr>
        <w:spacing w:line="276" w:lineRule="auto"/>
        <w:jc w:val="center"/>
        <w:rPr>
          <w:b/>
        </w:rPr>
      </w:pPr>
      <w:r w:rsidRPr="008A5055">
        <w:rPr>
          <w:b/>
        </w:rPr>
        <w:t>Aprakstošā daļa</w:t>
      </w:r>
    </w:p>
    <w:p w14:paraId="005C9F80" w14:textId="77777777" w:rsidR="00B135BD" w:rsidRPr="00706809" w:rsidRDefault="00B135BD" w:rsidP="00B135BD">
      <w:pPr>
        <w:spacing w:line="276" w:lineRule="auto"/>
        <w:jc w:val="center"/>
      </w:pPr>
    </w:p>
    <w:p w14:paraId="79FBDC89" w14:textId="286A7500" w:rsidR="00873FA9" w:rsidRDefault="00961902" w:rsidP="00F44255">
      <w:pPr>
        <w:spacing w:line="276" w:lineRule="auto"/>
        <w:ind w:firstLine="709"/>
        <w:jc w:val="both"/>
      </w:pPr>
      <w:r>
        <w:t>[1] </w:t>
      </w:r>
      <w:r w:rsidR="00873FA9">
        <w:t xml:space="preserve">Ar </w:t>
      </w:r>
      <w:r w:rsidR="007B24B9">
        <w:t>Rīgas pilsētas Vidzemes priekšpilsētas tiesas</w:t>
      </w:r>
      <w:r w:rsidR="00054CD4">
        <w:t xml:space="preserve"> </w:t>
      </w:r>
      <w:proofErr w:type="gramStart"/>
      <w:r w:rsidR="00873FA9">
        <w:t>2021.gada</w:t>
      </w:r>
      <w:proofErr w:type="gramEnd"/>
      <w:r w:rsidR="00873FA9">
        <w:t xml:space="preserve"> </w:t>
      </w:r>
      <w:r w:rsidR="00054CD4">
        <w:t>2</w:t>
      </w:r>
      <w:r w:rsidR="00873FA9">
        <w:t>.</w:t>
      </w:r>
      <w:r w:rsidR="00054CD4">
        <w:t>septembra</w:t>
      </w:r>
      <w:r w:rsidR="00873FA9">
        <w:t xml:space="preserve"> spriedumu</w:t>
      </w:r>
    </w:p>
    <w:p w14:paraId="4C4CB3D2" w14:textId="04AF8919" w:rsidR="00873FA9" w:rsidRDefault="00B3393B" w:rsidP="00F44255">
      <w:pPr>
        <w:spacing w:line="276" w:lineRule="auto"/>
        <w:ind w:firstLine="709"/>
        <w:jc w:val="both"/>
      </w:pPr>
      <w:r>
        <w:t>[pers. A]</w:t>
      </w:r>
      <w:r w:rsidR="00873FA9">
        <w:t xml:space="preserve">, personas kods </w:t>
      </w:r>
      <w:r>
        <w:t>[..]</w:t>
      </w:r>
      <w:r w:rsidR="00873FA9">
        <w:t>,</w:t>
      </w:r>
    </w:p>
    <w:p w14:paraId="45224A48" w14:textId="14C35B77" w:rsidR="009D386A" w:rsidRDefault="00873FA9" w:rsidP="00602CA3">
      <w:pPr>
        <w:pStyle w:val="ListParagraph"/>
        <w:tabs>
          <w:tab w:val="left" w:pos="1134"/>
          <w:tab w:val="left" w:pos="1276"/>
        </w:tabs>
        <w:spacing w:line="276" w:lineRule="auto"/>
        <w:ind w:left="0" w:firstLine="709"/>
        <w:jc w:val="both"/>
      </w:pPr>
      <w:r>
        <w:t xml:space="preserve">atzīts par vainīgu </w:t>
      </w:r>
      <w:r w:rsidR="00B51FD7">
        <w:t xml:space="preserve">un sodīts </w:t>
      </w:r>
      <w:r>
        <w:t xml:space="preserve">Krimināllikuma </w:t>
      </w:r>
      <w:proofErr w:type="gramStart"/>
      <w:r w:rsidR="009D386A">
        <w:t>175</w:t>
      </w:r>
      <w:r>
        <w:t>.panta</w:t>
      </w:r>
      <w:proofErr w:type="gramEnd"/>
      <w:r>
        <w:t xml:space="preserve"> </w:t>
      </w:r>
      <w:r w:rsidR="009D386A">
        <w:t>trešajā</w:t>
      </w:r>
      <w:r>
        <w:t xml:space="preserve"> daļā</w:t>
      </w:r>
      <w:r w:rsidR="00602CA3">
        <w:t xml:space="preserve"> un 185.panta pirmajā daļā</w:t>
      </w:r>
      <w:r>
        <w:t xml:space="preserve"> paredzētaj</w:t>
      </w:r>
      <w:r w:rsidR="00602CA3">
        <w:t>os</w:t>
      </w:r>
      <w:r>
        <w:t xml:space="preserve"> noziedzīgaj</w:t>
      </w:r>
      <w:r w:rsidR="00602CA3">
        <w:t>os</w:t>
      </w:r>
      <w:r>
        <w:t xml:space="preserve"> nodarījum</w:t>
      </w:r>
      <w:r w:rsidR="00602CA3">
        <w:t>os</w:t>
      </w:r>
      <w:r w:rsidR="009D386A">
        <w:t>.</w:t>
      </w:r>
    </w:p>
    <w:p w14:paraId="41D39971" w14:textId="6DB2672E" w:rsidR="00D00396" w:rsidRDefault="00D00396" w:rsidP="00410AB5">
      <w:pPr>
        <w:tabs>
          <w:tab w:val="left" w:pos="1134"/>
          <w:tab w:val="left" w:pos="1276"/>
        </w:tabs>
        <w:spacing w:line="276" w:lineRule="auto"/>
        <w:jc w:val="both"/>
      </w:pPr>
    </w:p>
    <w:p w14:paraId="1168E37C" w14:textId="63EA8A88" w:rsidR="00D00396" w:rsidRDefault="00D00396" w:rsidP="009D298B">
      <w:pPr>
        <w:spacing w:line="276" w:lineRule="auto"/>
        <w:ind w:firstLine="720"/>
        <w:jc w:val="both"/>
      </w:pPr>
      <w:r>
        <w:rPr>
          <w:rFonts w:eastAsia="Calibri"/>
        </w:rPr>
        <w:t xml:space="preserve">[2] </w:t>
      </w:r>
      <w:r w:rsidRPr="003661CA">
        <w:rPr>
          <w:rFonts w:eastAsia="Calibri"/>
        </w:rPr>
        <w:t xml:space="preserve">Ar </w:t>
      </w:r>
      <w:r w:rsidR="009D298B">
        <w:rPr>
          <w:rFonts w:eastAsia="Calibri"/>
        </w:rPr>
        <w:t>Rīgas</w:t>
      </w:r>
      <w:r w:rsidR="00BF1D0C">
        <w:rPr>
          <w:rFonts w:eastAsia="Calibri"/>
        </w:rPr>
        <w:t xml:space="preserve"> </w:t>
      </w:r>
      <w:r w:rsidRPr="003661CA">
        <w:rPr>
          <w:rFonts w:eastAsia="Calibri"/>
        </w:rPr>
        <w:t xml:space="preserve">apgabaltiesas </w:t>
      </w:r>
      <w:proofErr w:type="gramStart"/>
      <w:r w:rsidRPr="003661CA">
        <w:rPr>
          <w:rFonts w:eastAsia="Calibri"/>
        </w:rPr>
        <w:t>202</w:t>
      </w:r>
      <w:r w:rsidR="00410AB5">
        <w:rPr>
          <w:rFonts w:eastAsia="Calibri"/>
        </w:rPr>
        <w:t>2</w:t>
      </w:r>
      <w:r w:rsidRPr="003661CA">
        <w:rPr>
          <w:rFonts w:eastAsia="Calibri"/>
        </w:rPr>
        <w:t>.gada</w:t>
      </w:r>
      <w:proofErr w:type="gramEnd"/>
      <w:r w:rsidRPr="003661CA">
        <w:rPr>
          <w:rFonts w:eastAsia="Calibri"/>
        </w:rPr>
        <w:t xml:space="preserve"> </w:t>
      </w:r>
      <w:r w:rsidR="009D298B">
        <w:rPr>
          <w:rFonts w:eastAsia="Calibri"/>
        </w:rPr>
        <w:t>19</w:t>
      </w:r>
      <w:r w:rsidRPr="003661CA">
        <w:rPr>
          <w:rFonts w:eastAsia="Calibri"/>
        </w:rPr>
        <w:t>.</w:t>
      </w:r>
      <w:r w:rsidR="009D298B">
        <w:rPr>
          <w:rFonts w:eastAsia="Calibri"/>
        </w:rPr>
        <w:t>septembra</w:t>
      </w:r>
      <w:r w:rsidR="00E7350F">
        <w:rPr>
          <w:rFonts w:eastAsia="Calibri"/>
        </w:rPr>
        <w:t xml:space="preserve"> </w:t>
      </w:r>
      <w:r w:rsidRPr="003661CA">
        <w:rPr>
          <w:rFonts w:eastAsia="Calibri"/>
        </w:rPr>
        <w:t xml:space="preserve"> </w:t>
      </w:r>
      <w:r>
        <w:rPr>
          <w:rFonts w:eastAsia="Calibri"/>
        </w:rPr>
        <w:t>lēm</w:t>
      </w:r>
      <w:r w:rsidRPr="003661CA">
        <w:rPr>
          <w:rFonts w:eastAsia="Calibri"/>
        </w:rPr>
        <w:t>umu</w:t>
      </w:r>
      <w:r>
        <w:rPr>
          <w:rFonts w:eastAsia="Calibri"/>
        </w:rPr>
        <w:t xml:space="preserve"> </w:t>
      </w:r>
      <w:r w:rsidR="009D298B">
        <w:rPr>
          <w:rFonts w:eastAsia="Calibri"/>
        </w:rPr>
        <w:t xml:space="preserve">apsūdzētā </w:t>
      </w:r>
      <w:r w:rsidR="00B3393B">
        <w:rPr>
          <w:rFonts w:eastAsia="Calibri"/>
        </w:rPr>
        <w:t>[pers. A]</w:t>
      </w:r>
      <w:r w:rsidR="009D298B">
        <w:rPr>
          <w:rFonts w:eastAsia="Calibri"/>
        </w:rPr>
        <w:t xml:space="preserve"> apelācijas sūdzība atstāta bez izskatīšanas. </w:t>
      </w:r>
    </w:p>
    <w:p w14:paraId="79A8E7E7" w14:textId="5FD58EBD" w:rsidR="00BF1D0C" w:rsidRDefault="00BF1D0C" w:rsidP="00D00396">
      <w:pPr>
        <w:spacing w:line="276" w:lineRule="auto"/>
        <w:ind w:firstLine="720"/>
        <w:jc w:val="both"/>
      </w:pPr>
    </w:p>
    <w:p w14:paraId="2E0F22B4" w14:textId="1D324D36" w:rsidR="00CE2087" w:rsidRDefault="00BF1D0C" w:rsidP="00F357FC">
      <w:pPr>
        <w:spacing w:line="276" w:lineRule="auto"/>
        <w:ind w:firstLine="709"/>
        <w:jc w:val="both"/>
      </w:pPr>
      <w:r>
        <w:t xml:space="preserve">[3] </w:t>
      </w:r>
      <w:bookmarkStart w:id="0" w:name="_Hlk87622507"/>
      <w:r w:rsidR="00CE2087">
        <w:t xml:space="preserve">Par Rīgas apgabaltiesas </w:t>
      </w:r>
      <w:proofErr w:type="gramStart"/>
      <w:r w:rsidR="00CE2087">
        <w:t>2022.gada</w:t>
      </w:r>
      <w:proofErr w:type="gramEnd"/>
      <w:r w:rsidR="00CE2087">
        <w:t xml:space="preserve"> </w:t>
      </w:r>
      <w:r w:rsidR="000D0C80">
        <w:t>19</w:t>
      </w:r>
      <w:r w:rsidR="00CE2087">
        <w:t>.</w:t>
      </w:r>
      <w:r w:rsidR="000D0C80">
        <w:t>septembra</w:t>
      </w:r>
      <w:r w:rsidR="00CE2087">
        <w:t xml:space="preserve"> lēmumu apsūdzētā </w:t>
      </w:r>
      <w:r w:rsidR="00B3393B">
        <w:t>[pers. A]</w:t>
      </w:r>
      <w:r w:rsidR="000D0C80">
        <w:t xml:space="preserve"> aizstāvis </w:t>
      </w:r>
      <w:r w:rsidR="00034E4A">
        <w:t xml:space="preserve">J. Pušpurs </w:t>
      </w:r>
      <w:r w:rsidR="00CE2087">
        <w:t>iesnie</w:t>
      </w:r>
      <w:r w:rsidR="00034E4A">
        <w:t>dz</w:t>
      </w:r>
      <w:r w:rsidR="00A107D6">
        <w:t>a</w:t>
      </w:r>
      <w:r w:rsidR="00034E4A">
        <w:t xml:space="preserve"> </w:t>
      </w:r>
      <w:r w:rsidR="00CE2087">
        <w:t xml:space="preserve">sūdzību, kurā lūdz atcelt minēto  lēmumu un </w:t>
      </w:r>
      <w:r w:rsidR="00F357FC">
        <w:t xml:space="preserve">nosūtīt lietu jaunai izskatīšanai apelācijas instances tiesā. </w:t>
      </w:r>
    </w:p>
    <w:p w14:paraId="0255DB5C" w14:textId="3F21CFEF" w:rsidR="00F6640F" w:rsidRDefault="00602CA3" w:rsidP="00C01B84">
      <w:pPr>
        <w:spacing w:line="276" w:lineRule="auto"/>
        <w:ind w:firstLine="709"/>
        <w:jc w:val="both"/>
      </w:pPr>
      <w:r>
        <w:t>S</w:t>
      </w:r>
      <w:r w:rsidR="00F357FC">
        <w:t>ūdzībā aizstāvis norāda, ka apelācijas instances tiesa</w:t>
      </w:r>
      <w:r w:rsidR="00F04422">
        <w:t xml:space="preserve">, izskatot lietu, pieļāvusi Kriminālprocesa likuma </w:t>
      </w:r>
      <w:proofErr w:type="gramStart"/>
      <w:r w:rsidR="00F04422">
        <w:t>12.panta</w:t>
      </w:r>
      <w:proofErr w:type="gramEnd"/>
      <w:r w:rsidR="00F04422">
        <w:t xml:space="preserve"> pirmās daļas</w:t>
      </w:r>
      <w:r>
        <w:t xml:space="preserve"> un</w:t>
      </w:r>
      <w:r w:rsidR="00F04422">
        <w:t xml:space="preserve"> 511.panta otrās daļas pārkāpumu</w:t>
      </w:r>
      <w:r>
        <w:t>s</w:t>
      </w:r>
      <w:r w:rsidR="00F04422">
        <w:t>, kas atzīstam</w:t>
      </w:r>
      <w:r>
        <w:t>i</w:t>
      </w:r>
      <w:r w:rsidR="00F04422">
        <w:t xml:space="preserve"> par Kriminālprocesa likuma būtisk</w:t>
      </w:r>
      <w:r>
        <w:t>iem</w:t>
      </w:r>
      <w:r w:rsidR="00F04422">
        <w:t xml:space="preserve"> pārkāpum</w:t>
      </w:r>
      <w:r>
        <w:t>iem</w:t>
      </w:r>
      <w:r w:rsidR="00F04422">
        <w:t>.</w:t>
      </w:r>
      <w:r w:rsidR="00F357FC">
        <w:t xml:space="preserve"> </w:t>
      </w:r>
    </w:p>
    <w:p w14:paraId="7E70F22F" w14:textId="6A1BCCCC" w:rsidR="00F6640F" w:rsidRDefault="00F6640F" w:rsidP="00C01B84">
      <w:pPr>
        <w:spacing w:line="276" w:lineRule="auto"/>
        <w:ind w:firstLine="709"/>
        <w:jc w:val="both"/>
      </w:pPr>
      <w:r>
        <w:t>Sūdzība pamatota ar šādiem argumentiem.</w:t>
      </w:r>
    </w:p>
    <w:p w14:paraId="03FB4C65" w14:textId="6D307A1E" w:rsidR="00C01B84" w:rsidRDefault="00F6640F" w:rsidP="00C01B84">
      <w:pPr>
        <w:spacing w:line="276" w:lineRule="auto"/>
        <w:ind w:firstLine="709"/>
        <w:jc w:val="both"/>
      </w:pPr>
      <w:r>
        <w:t xml:space="preserve">[3.1] </w:t>
      </w:r>
      <w:r w:rsidR="00F04422">
        <w:t>L</w:t>
      </w:r>
      <w:r w:rsidR="00F357FC">
        <w:t>ēmums ir prettiesisks, jo nav pierādījum</w:t>
      </w:r>
      <w:r w:rsidR="00602CA3">
        <w:t>u</w:t>
      </w:r>
      <w:r w:rsidR="00F357FC">
        <w:t xml:space="preserve">, ka </w:t>
      </w:r>
      <w:r w:rsidR="00B3393B">
        <w:t>[pers. A]</w:t>
      </w:r>
      <w:r w:rsidR="00F357FC">
        <w:t xml:space="preserve"> uz tiesas sēdi nav ieradies bez attaisnojoša iemesla. Proti, pavēste </w:t>
      </w:r>
      <w:r w:rsidR="00C01B84">
        <w:t xml:space="preserve">apsūdzētajam par Rīgas apgabaltiesas </w:t>
      </w:r>
      <w:proofErr w:type="gramStart"/>
      <w:r w:rsidR="00C01B84">
        <w:t>2022.gada</w:t>
      </w:r>
      <w:proofErr w:type="gramEnd"/>
      <w:r w:rsidR="00C01B84">
        <w:t xml:space="preserve"> 19.septembra tiesas sēdi nosūtīta uz tiesai zināmo pēdējo apsūdzētā deklarēto adresi, lai gan </w:t>
      </w:r>
      <w:r w:rsidR="001960A2">
        <w:t xml:space="preserve">no </w:t>
      </w:r>
      <w:r w:rsidR="00C01B84">
        <w:t xml:space="preserve">lietas materiālos </w:t>
      </w:r>
      <w:r w:rsidR="00602CA3">
        <w:t>esošā</w:t>
      </w:r>
      <w:r w:rsidR="00C01B84">
        <w:t xml:space="preserve"> personas datu pārlūka konstatējams, ka dzīvesvietas deklarācija</w:t>
      </w:r>
      <w:r w:rsidR="00B51FD7">
        <w:t>s adrese</w:t>
      </w:r>
      <w:r w:rsidR="00C01B84">
        <w:t xml:space="preserve"> apsūdzētajam anulēta ar atzīm</w:t>
      </w:r>
      <w:r w:rsidR="00B51FD7">
        <w:t>i</w:t>
      </w:r>
      <w:r w:rsidR="00C01B84">
        <w:t xml:space="preserve"> – sniegtas nepatiesas ziņas. Tiesas sēdē tika konstatēts, ka pēc atbrīvošan</w:t>
      </w:r>
      <w:r w:rsidR="001960A2">
        <w:t>a</w:t>
      </w:r>
      <w:r w:rsidR="00C01B84">
        <w:t>s no ieslodzījuma vietas apsūdzētais nebija norādījis adresi, kurā būs sasniedzams</w:t>
      </w:r>
      <w:r w:rsidR="00602CA3">
        <w:t xml:space="preserve">. </w:t>
      </w:r>
      <w:r w:rsidR="00B51FD7">
        <w:t>T</w:t>
      </w:r>
      <w:r w:rsidR="00F04422">
        <w:t>iesas pienākums bija noskaidrot, kāpēc apsūdzētais nav ieradies uz tiesas sēdi.</w:t>
      </w:r>
      <w:r>
        <w:t xml:space="preserve"> </w:t>
      </w:r>
    </w:p>
    <w:p w14:paraId="4736B42D" w14:textId="05A22F9F" w:rsidR="007C6901" w:rsidRDefault="00A107D6" w:rsidP="00C01B84">
      <w:pPr>
        <w:spacing w:line="276" w:lineRule="auto"/>
        <w:ind w:firstLine="709"/>
        <w:jc w:val="both"/>
      </w:pPr>
      <w:r>
        <w:t>A</w:t>
      </w:r>
      <w:r w:rsidR="00B51FD7">
        <w:t>pelācijas instances tiesai</w:t>
      </w:r>
      <w:r>
        <w:t xml:space="preserve"> bija j</w:t>
      </w:r>
      <w:r w:rsidR="00B54EA9">
        <w:t xml:space="preserve">āievēro </w:t>
      </w:r>
      <w:r w:rsidR="007C6901">
        <w:t xml:space="preserve">Eiropas </w:t>
      </w:r>
      <w:r w:rsidR="00B82210">
        <w:t>C</w:t>
      </w:r>
      <w:r w:rsidR="007C6901">
        <w:t xml:space="preserve">ilvēka tiesību un pamatbrīvību aizsardzības konvencijas </w:t>
      </w:r>
      <w:proofErr w:type="gramStart"/>
      <w:r w:rsidR="007C6901">
        <w:t>6.panta</w:t>
      </w:r>
      <w:proofErr w:type="gramEnd"/>
      <w:r w:rsidR="007C6901">
        <w:t xml:space="preserve"> 1.punkt</w:t>
      </w:r>
      <w:r w:rsidR="000B0ECA">
        <w:t>ā un</w:t>
      </w:r>
      <w:r w:rsidR="007C6901">
        <w:t xml:space="preserve"> 3.punkta c) apakšpunktā definētās tiesības uz lietas taisnīgu izskatīšanu</w:t>
      </w:r>
      <w:r w:rsidR="000B0ECA">
        <w:t>, kā arī</w:t>
      </w:r>
      <w:r w:rsidR="007C6901">
        <w:t xml:space="preserve"> Eiropas Cilvēktiesību tiesas 2017.gada 15.jūnija spriedumā lietā „</w:t>
      </w:r>
      <w:proofErr w:type="spellStart"/>
      <w:r w:rsidR="007C6901">
        <w:t>Frolovs</w:t>
      </w:r>
      <w:proofErr w:type="spellEnd"/>
      <w:r w:rsidR="007C6901">
        <w:t xml:space="preserve"> pret Latvij</w:t>
      </w:r>
      <w:r w:rsidR="00F6640F">
        <w:t>u</w:t>
      </w:r>
      <w:r w:rsidR="007C6901">
        <w:t xml:space="preserve">” </w:t>
      </w:r>
      <w:r w:rsidR="00B51FD7">
        <w:t>un</w:t>
      </w:r>
      <w:r w:rsidR="00B51FD7" w:rsidRPr="00B51FD7">
        <w:t xml:space="preserve"> </w:t>
      </w:r>
      <w:r w:rsidR="00B51FD7">
        <w:t xml:space="preserve">Augstākās tiesas senatora 2020.gada 20.javāra lēmumā lietā Nr. SKK-120/2020 </w:t>
      </w:r>
      <w:r w:rsidR="007C6901">
        <w:t>sniegtās atziņas.</w:t>
      </w:r>
    </w:p>
    <w:p w14:paraId="46871EF7" w14:textId="29560207" w:rsidR="007C6901" w:rsidRDefault="00F6640F" w:rsidP="007C6901">
      <w:pPr>
        <w:spacing w:line="276" w:lineRule="auto"/>
        <w:ind w:firstLine="709"/>
        <w:jc w:val="both"/>
      </w:pPr>
      <w:r>
        <w:t xml:space="preserve">[3.2] </w:t>
      </w:r>
      <w:r w:rsidR="007C6901">
        <w:t xml:space="preserve">Turklāt tiesa nav izvērtējusi iespēju lietu iztiesāt </w:t>
      </w:r>
      <w:r w:rsidR="00F04422">
        <w:t>apsūdzētā</w:t>
      </w:r>
      <w:r w:rsidR="00D65C43" w:rsidRPr="00D65C43">
        <w:t xml:space="preserve"> </w:t>
      </w:r>
      <w:r w:rsidR="00B3393B">
        <w:t>[pers. A]</w:t>
      </w:r>
      <w:r w:rsidR="00F04422">
        <w:t xml:space="preserve"> prombūtnē </w:t>
      </w:r>
      <w:r w:rsidR="007C6901">
        <w:t xml:space="preserve">atbilstoši Kriminālprocesa likuma </w:t>
      </w:r>
      <w:proofErr w:type="gramStart"/>
      <w:r w:rsidR="007C6901">
        <w:t>465.panta</w:t>
      </w:r>
      <w:proofErr w:type="gramEnd"/>
      <w:r w:rsidR="007C6901">
        <w:t xml:space="preserve"> pirmās daļas 1.punktam.</w:t>
      </w:r>
    </w:p>
    <w:p w14:paraId="02B9DE87" w14:textId="736050BC" w:rsidR="009D298B" w:rsidRDefault="009D298B" w:rsidP="00A22408">
      <w:pPr>
        <w:spacing w:line="276" w:lineRule="auto"/>
        <w:jc w:val="both"/>
      </w:pPr>
    </w:p>
    <w:p w14:paraId="510634B5" w14:textId="77777777" w:rsidR="009D298B" w:rsidRPr="00246164" w:rsidRDefault="009D298B" w:rsidP="009D298B">
      <w:pPr>
        <w:spacing w:line="276" w:lineRule="auto"/>
        <w:ind w:firstLine="709"/>
        <w:jc w:val="both"/>
      </w:pPr>
    </w:p>
    <w:bookmarkEnd w:id="0"/>
    <w:p w14:paraId="709A1026" w14:textId="77777777" w:rsidR="00B135BD" w:rsidRDefault="00B135BD" w:rsidP="00B135BD">
      <w:pPr>
        <w:spacing w:line="276" w:lineRule="auto"/>
        <w:jc w:val="center"/>
        <w:rPr>
          <w:b/>
        </w:rPr>
      </w:pPr>
      <w:r w:rsidRPr="00AC1154">
        <w:rPr>
          <w:b/>
        </w:rPr>
        <w:t>Motīvu daļa</w:t>
      </w:r>
    </w:p>
    <w:p w14:paraId="616A7591" w14:textId="77777777" w:rsidR="00183ECD" w:rsidRPr="00933292" w:rsidRDefault="00183ECD" w:rsidP="00B135BD">
      <w:pPr>
        <w:spacing w:line="276" w:lineRule="auto"/>
        <w:jc w:val="center"/>
      </w:pPr>
    </w:p>
    <w:p w14:paraId="4C2D2DF1" w14:textId="6FEF86D0" w:rsidR="00EF691A" w:rsidRDefault="00961902" w:rsidP="00A73C3E">
      <w:pPr>
        <w:spacing w:line="276" w:lineRule="auto"/>
        <w:ind w:firstLine="709"/>
        <w:jc w:val="both"/>
      </w:pPr>
      <w:bookmarkStart w:id="1" w:name="_Hlk118797064"/>
      <w:r>
        <w:t>[</w:t>
      </w:r>
      <w:r w:rsidR="001960A2">
        <w:t>4</w:t>
      </w:r>
      <w:r>
        <w:t>] </w:t>
      </w:r>
      <w:r w:rsidR="003D4851">
        <w:t>Augstākās tiesas senator</w:t>
      </w:r>
      <w:r w:rsidR="00A22408">
        <w:t>s</w:t>
      </w:r>
      <w:r w:rsidR="003D4851">
        <w:t xml:space="preserve"> atzīst, ka </w:t>
      </w:r>
      <w:r w:rsidR="00A22408">
        <w:t xml:space="preserve">Rīgas </w:t>
      </w:r>
      <w:r w:rsidR="003D4851">
        <w:t xml:space="preserve">apgabaltiesas </w:t>
      </w:r>
      <w:proofErr w:type="gramStart"/>
      <w:r w:rsidR="00E05DD9">
        <w:t>202</w:t>
      </w:r>
      <w:r w:rsidR="00D64464">
        <w:t>2</w:t>
      </w:r>
      <w:r w:rsidR="00E05DD9">
        <w:t>.gada</w:t>
      </w:r>
      <w:proofErr w:type="gramEnd"/>
      <w:r w:rsidR="003D4851">
        <w:t xml:space="preserve"> </w:t>
      </w:r>
      <w:r w:rsidR="00583756">
        <w:t>1</w:t>
      </w:r>
      <w:r w:rsidR="00F364FB">
        <w:t>9</w:t>
      </w:r>
      <w:r w:rsidR="0087341E">
        <w:t>.</w:t>
      </w:r>
      <w:r w:rsidR="00F364FB">
        <w:t>septembra</w:t>
      </w:r>
      <w:r w:rsidR="003D4851">
        <w:t xml:space="preserve"> lēmums </w:t>
      </w:r>
      <w:r>
        <w:t xml:space="preserve">atstājams negrozīts, bet apsūdzētā </w:t>
      </w:r>
      <w:r w:rsidR="00B3393B">
        <w:t>[pers. A]</w:t>
      </w:r>
      <w:r w:rsidR="002E2A51">
        <w:t xml:space="preserve"> aizstāvja J. Pušpura </w:t>
      </w:r>
      <w:r>
        <w:t>sūdzība noraidām</w:t>
      </w:r>
      <w:r w:rsidR="007B4115">
        <w:t>a</w:t>
      </w:r>
      <w:r>
        <w:t>.</w:t>
      </w:r>
    </w:p>
    <w:p w14:paraId="0B30FA25" w14:textId="77777777" w:rsidR="001279E6" w:rsidRDefault="001279E6" w:rsidP="000B4EE1">
      <w:pPr>
        <w:spacing w:line="276" w:lineRule="auto"/>
        <w:ind w:firstLine="709"/>
        <w:jc w:val="both"/>
      </w:pPr>
    </w:p>
    <w:p w14:paraId="03D369F7" w14:textId="19801D93" w:rsidR="001279E6" w:rsidRDefault="001279E6" w:rsidP="000B4EE1">
      <w:pPr>
        <w:spacing w:line="276" w:lineRule="auto"/>
        <w:ind w:firstLine="709"/>
        <w:jc w:val="both"/>
      </w:pPr>
      <w:r>
        <w:t>[</w:t>
      </w:r>
      <w:r w:rsidR="001960A2">
        <w:t>5</w:t>
      </w:r>
      <w:r>
        <w:t xml:space="preserve">] Saskaņā ar Kriminālprocesa likuma </w:t>
      </w:r>
      <w:proofErr w:type="gramStart"/>
      <w:r>
        <w:t>67.panta</w:t>
      </w:r>
      <w:proofErr w:type="gramEnd"/>
      <w:r>
        <w:t xml:space="preserve"> pirmās daļas 1.punktu un 74.pantu apsūdzētajam ir pienākums noteiktajā laikā ierasties procesa veikšanai pilnvarotas amatpersonas norādītajā vietā, ja uzaicinājums izdarīts likumā noteiktajā kārtībā. </w:t>
      </w:r>
    </w:p>
    <w:p w14:paraId="478C090D" w14:textId="77777777" w:rsidR="001279E6" w:rsidRDefault="001279E6" w:rsidP="000B4EE1">
      <w:pPr>
        <w:spacing w:line="276" w:lineRule="auto"/>
        <w:ind w:firstLine="709"/>
        <w:jc w:val="both"/>
      </w:pPr>
      <w:r>
        <w:t xml:space="preserve">Saskaņā ar Kriminālprocesa likuma </w:t>
      </w:r>
      <w:proofErr w:type="gramStart"/>
      <w:r>
        <w:t>333.panta</w:t>
      </w:r>
      <w:proofErr w:type="gramEnd"/>
      <w:r>
        <w:t xml:space="preserve"> pirmo daļu, personai, kura konkrētajā kriminālprocesā norādījusi procesuālās darbības veicējam savu adresi, ir pienākums būt sasniedzamai šajā adresē. </w:t>
      </w:r>
    </w:p>
    <w:p w14:paraId="6696A7AD" w14:textId="1270FA39" w:rsidR="001279E6" w:rsidRDefault="001279E6" w:rsidP="000B4EE1">
      <w:pPr>
        <w:spacing w:line="276" w:lineRule="auto"/>
        <w:ind w:firstLine="709"/>
        <w:jc w:val="both"/>
      </w:pPr>
      <w:r>
        <w:t>Saskaņā ar Kriminālprocesa likuma 60.</w:t>
      </w:r>
      <w:proofErr w:type="gramStart"/>
      <w:r>
        <w:rPr>
          <w:vertAlign w:val="superscript"/>
        </w:rPr>
        <w:t>1</w:t>
      </w:r>
      <w:r>
        <w:t>panta</w:t>
      </w:r>
      <w:proofErr w:type="gramEnd"/>
      <w:r>
        <w:t xml:space="preserve"> ceturto daļu, personai ir pienākums nekavējoties, bet ne vēlāk kā darba dienas laikā rakstveidā informēt procesa virzītāju par sūtījumu saņemšanas adreses maiņu, norādot jauno adresi. </w:t>
      </w:r>
    </w:p>
    <w:p w14:paraId="0595A699" w14:textId="51B1378C" w:rsidR="001279E6" w:rsidRPr="0015415C" w:rsidRDefault="001279E6" w:rsidP="000B4EE1">
      <w:pPr>
        <w:spacing w:line="276" w:lineRule="auto"/>
        <w:ind w:firstLine="709"/>
        <w:jc w:val="both"/>
        <w:rPr>
          <w:strike/>
        </w:rPr>
      </w:pPr>
      <w:r>
        <w:t xml:space="preserve">Savukārt Kriminālprocesa likuma </w:t>
      </w:r>
      <w:proofErr w:type="gramStart"/>
      <w:r>
        <w:t>560.panta</w:t>
      </w:r>
      <w:proofErr w:type="gramEnd"/>
      <w:r>
        <w:t xml:space="preserve"> trešā daļa noteic, ja persona, kura iesniegusi apelācijas sūdzību vai protestu, neierodas uz tiesas sēdi bez attaisnojoša iemesla, tās sūdzību vai protestu var atstāt bez izskatīšanas.</w:t>
      </w:r>
      <w:r w:rsidRPr="0015415C">
        <w:rPr>
          <w:strike/>
        </w:rPr>
        <w:t xml:space="preserve"> </w:t>
      </w:r>
    </w:p>
    <w:p w14:paraId="7AABB055" w14:textId="77777777" w:rsidR="001279E6" w:rsidRDefault="001279E6" w:rsidP="000B4EE1">
      <w:pPr>
        <w:spacing w:line="276" w:lineRule="auto"/>
        <w:ind w:firstLine="709"/>
        <w:jc w:val="both"/>
      </w:pPr>
    </w:p>
    <w:p w14:paraId="3B380BF0" w14:textId="33776C38" w:rsidR="00F33F8B" w:rsidRDefault="001279E6" w:rsidP="00F33F8B">
      <w:pPr>
        <w:spacing w:line="276" w:lineRule="auto"/>
        <w:ind w:firstLine="709"/>
        <w:jc w:val="both"/>
      </w:pPr>
      <w:r>
        <w:t>[</w:t>
      </w:r>
      <w:r w:rsidR="001960A2">
        <w:t>6</w:t>
      </w:r>
      <w:r>
        <w:t xml:space="preserve">] </w:t>
      </w:r>
      <w:r w:rsidR="00B51FD7">
        <w:t>Ar</w:t>
      </w:r>
      <w:r w:rsidR="00B51FD7" w:rsidRPr="00B51FD7">
        <w:t xml:space="preserve"> </w:t>
      </w:r>
      <w:r w:rsidR="00B51FD7">
        <w:t xml:space="preserve">Rīgas apgabaltiesas tiesneša </w:t>
      </w:r>
      <w:proofErr w:type="gramStart"/>
      <w:r w:rsidR="00B51FD7">
        <w:t>2022.gada</w:t>
      </w:r>
      <w:proofErr w:type="gramEnd"/>
      <w:r w:rsidR="00B51FD7">
        <w:t xml:space="preserve"> 27.janvāra lēmumu</w:t>
      </w:r>
      <w:r w:rsidR="00A107D6">
        <w:t xml:space="preserve"> lieta</w:t>
      </w:r>
      <w:r w:rsidR="00B51FD7" w:rsidRPr="00B51FD7">
        <w:t xml:space="preserve"> </w:t>
      </w:r>
      <w:r w:rsidR="00B51FD7">
        <w:t>pieņemta</w:t>
      </w:r>
      <w:r w:rsidR="00A107D6">
        <w:t xml:space="preserve"> izskatīšanai apelācijas kārtībā.</w:t>
      </w:r>
      <w:r w:rsidR="00B51FD7" w:rsidRPr="00B51FD7">
        <w:t xml:space="preserve"> </w:t>
      </w:r>
      <w:r w:rsidR="00B51FD7">
        <w:t>2022.gada 21.martā, 26.aprīlī un 15.jūnijā apsūdzētais</w:t>
      </w:r>
      <w:r w:rsidR="003C7C97" w:rsidRPr="003C7C97">
        <w:t xml:space="preserve"> </w:t>
      </w:r>
      <w:r w:rsidR="00B3393B">
        <w:t>[pers. A]</w:t>
      </w:r>
      <w:r w:rsidR="003C7C97">
        <w:t xml:space="preserve"> piedalījies tiesas sēdēs ar videokonferences palīdzību no Rīgas Centrālcietuma. </w:t>
      </w:r>
      <w:r w:rsidR="00A107D6">
        <w:t>Tiesas sēdes atliktas sakarā ar pieteiktajiem lūgumiem</w:t>
      </w:r>
      <w:r w:rsidR="003C7C97">
        <w:t>.</w:t>
      </w:r>
      <w:r w:rsidR="00FD7F7D" w:rsidRPr="00FD7F7D">
        <w:t xml:space="preserve"> </w:t>
      </w:r>
      <w:r w:rsidR="00FD7F7D">
        <w:t>Lietā ir</w:t>
      </w:r>
      <w:r w:rsidR="00FD7F7D" w:rsidRPr="003C7C97">
        <w:t xml:space="preserve"> </w:t>
      </w:r>
      <w:r w:rsidR="00FD7F7D">
        <w:t>Rīgas Centrālcietuma uzziņa, ka</w:t>
      </w:r>
      <w:r w:rsidR="00FD7F7D" w:rsidRPr="003C7C97">
        <w:t xml:space="preserve"> </w:t>
      </w:r>
      <w:r w:rsidR="00FD7F7D">
        <w:t>apsūdzētais</w:t>
      </w:r>
      <w:r w:rsidR="00FD7F7D" w:rsidRPr="003C7C97">
        <w:t xml:space="preserve"> </w:t>
      </w:r>
      <w:r w:rsidR="00B3393B">
        <w:t>[pers. A]</w:t>
      </w:r>
      <w:r w:rsidR="00FD7F7D">
        <w:t xml:space="preserve"> atbrīvots </w:t>
      </w:r>
      <w:proofErr w:type="gramStart"/>
      <w:r w:rsidR="00FD7F7D">
        <w:t>2022.gada</w:t>
      </w:r>
      <w:proofErr w:type="gramEnd"/>
      <w:r w:rsidR="00FD7F7D">
        <w:t xml:space="preserve"> 23.jūlijā.</w:t>
      </w:r>
      <w:r w:rsidR="003C7C97">
        <w:t xml:space="preserve"> Par </w:t>
      </w:r>
      <w:proofErr w:type="gramStart"/>
      <w:r w:rsidR="003C7C97">
        <w:t>2022.gada</w:t>
      </w:r>
      <w:proofErr w:type="gramEnd"/>
      <w:r w:rsidR="003C7C97">
        <w:t xml:space="preserve"> 30.augusta tiesas sēdi </w:t>
      </w:r>
      <w:bookmarkStart w:id="2" w:name="_Hlk120084869"/>
      <w:bookmarkStart w:id="3" w:name="_Hlk120084998"/>
      <w:r w:rsidR="003C7C97">
        <w:t>apsūdzētais</w:t>
      </w:r>
      <w:r w:rsidR="003C7C97" w:rsidRPr="003C7C97">
        <w:t xml:space="preserve"> </w:t>
      </w:r>
      <w:bookmarkEnd w:id="2"/>
      <w:r w:rsidR="00B3393B">
        <w:t>[pers. A]</w:t>
      </w:r>
      <w:r w:rsidR="003C7C97">
        <w:t xml:space="preserve"> </w:t>
      </w:r>
      <w:bookmarkEnd w:id="3"/>
      <w:r w:rsidR="003C7C97">
        <w:t>bija informēts</w:t>
      </w:r>
      <w:r w:rsidR="00416669">
        <w:t>, viņam izsniegta pavēste</w:t>
      </w:r>
      <w:r w:rsidR="003C7C97">
        <w:t>, atrodoties Rīgas Centrālcietumā. Uz tiesas sēdi</w:t>
      </w:r>
      <w:r w:rsidR="001960A2">
        <w:t xml:space="preserve"> </w:t>
      </w:r>
      <w:proofErr w:type="gramStart"/>
      <w:r w:rsidR="003C7C97">
        <w:t>2022.gada</w:t>
      </w:r>
      <w:proofErr w:type="gramEnd"/>
      <w:r w:rsidR="003C7C97">
        <w:t xml:space="preserve"> 30.augustā apsūdzētais neieradās, kā arī neinformēj</w:t>
      </w:r>
      <w:r w:rsidR="00FD7F7D">
        <w:t>a</w:t>
      </w:r>
      <w:r w:rsidR="003C7C97">
        <w:t xml:space="preserve"> par neierašanās iemesliem. Nāk</w:t>
      </w:r>
      <w:r w:rsidR="00FD7F7D">
        <w:t>amā</w:t>
      </w:r>
      <w:r w:rsidR="003C7C97">
        <w:t xml:space="preserve"> tiesas sēde bija nozīmēta uz </w:t>
      </w:r>
      <w:proofErr w:type="gramStart"/>
      <w:r>
        <w:t>2022.gada</w:t>
      </w:r>
      <w:proofErr w:type="gramEnd"/>
      <w:r>
        <w:t xml:space="preserve"> 19.septembr</w:t>
      </w:r>
      <w:r w:rsidR="003C7C97">
        <w:t>i,</w:t>
      </w:r>
      <w:r>
        <w:t xml:space="preserve"> </w:t>
      </w:r>
      <w:r w:rsidR="00FD7F7D">
        <w:t xml:space="preserve">uz kuru </w:t>
      </w:r>
      <w:r>
        <w:t xml:space="preserve">apsūdzētais  </w:t>
      </w:r>
      <w:r w:rsidR="00B3393B">
        <w:t>[pers. A]</w:t>
      </w:r>
      <w:r>
        <w:t xml:space="preserve"> neieradās, kā arī neinformēj</w:t>
      </w:r>
      <w:r w:rsidR="00FD7F7D">
        <w:t>a</w:t>
      </w:r>
      <w:r>
        <w:t xml:space="preserve"> par neierašanās iemesliem.  </w:t>
      </w:r>
      <w:r w:rsidR="001960A2">
        <w:t>A</w:t>
      </w:r>
      <w:r>
        <w:t>izstāv</w:t>
      </w:r>
      <w:r w:rsidR="00F33F8B">
        <w:t>is</w:t>
      </w:r>
      <w:r>
        <w:t xml:space="preserve"> </w:t>
      </w:r>
      <w:r w:rsidR="00F33F8B">
        <w:t>J. Pušpurs lūdz</w:t>
      </w:r>
      <w:r w:rsidR="001960A2">
        <w:t>a</w:t>
      </w:r>
      <w:r w:rsidR="00F33F8B">
        <w:t xml:space="preserve"> atlikt tiesas sēdi, </w:t>
      </w:r>
      <w:r w:rsidR="00FD3D6C">
        <w:t>norādot, ka</w:t>
      </w:r>
      <w:r w:rsidR="00F33F8B">
        <w:t xml:space="preserve"> nav zināmi apstākļi, kādēļ apsūdzētais nav ieradies uz tiesas sēdi.</w:t>
      </w:r>
    </w:p>
    <w:p w14:paraId="6DD5718D" w14:textId="4651CCE3" w:rsidR="000B0ECA" w:rsidRDefault="001279E6" w:rsidP="00515608">
      <w:pPr>
        <w:spacing w:line="276" w:lineRule="auto"/>
        <w:ind w:firstLine="709"/>
        <w:jc w:val="both"/>
      </w:pPr>
      <w:r>
        <w:t xml:space="preserve">Augstākās tiesas senators </w:t>
      </w:r>
      <w:r w:rsidR="003C7C97">
        <w:t>atzīst</w:t>
      </w:r>
      <w:r>
        <w:t xml:space="preserve">, ka apelācijas instances tiesa pamatoti </w:t>
      </w:r>
      <w:r w:rsidR="001E7F3B">
        <w:t>iz</w:t>
      </w:r>
      <w:r>
        <w:t>lēm</w:t>
      </w:r>
      <w:r w:rsidR="0015415C">
        <w:t>usi</w:t>
      </w:r>
      <w:r>
        <w:t xml:space="preserve"> apsūdzētā </w:t>
      </w:r>
      <w:r w:rsidR="00B3393B">
        <w:t>[pers. A]</w:t>
      </w:r>
      <w:r w:rsidR="00F33F8B">
        <w:t xml:space="preserve"> </w:t>
      </w:r>
      <w:r>
        <w:t>apelācijas sūdzību atstāt bez izskatīšanas.</w:t>
      </w:r>
    </w:p>
    <w:p w14:paraId="62AD3CAB" w14:textId="32D5309C" w:rsidR="00F33F8B" w:rsidRDefault="0015415C" w:rsidP="00515608">
      <w:pPr>
        <w:spacing w:line="276" w:lineRule="auto"/>
        <w:ind w:firstLine="709"/>
        <w:jc w:val="both"/>
      </w:pPr>
      <w:r>
        <w:t xml:space="preserve">No </w:t>
      </w:r>
      <w:r w:rsidR="004B52A8">
        <w:t>lietas materiāliem redzams, ka apsūdzētais</w:t>
      </w:r>
      <w:r w:rsidR="003C7C97" w:rsidRPr="003C7C97">
        <w:t xml:space="preserve"> </w:t>
      </w:r>
      <w:r w:rsidR="00B3393B">
        <w:t>[pers. A]</w:t>
      </w:r>
      <w:r w:rsidR="004B52A8">
        <w:t xml:space="preserve"> pēc atbrīvošan</w:t>
      </w:r>
      <w:r w:rsidR="00ED4B22">
        <w:t>a</w:t>
      </w:r>
      <w:r w:rsidR="004B52A8">
        <w:t>s no</w:t>
      </w:r>
      <w:r w:rsidR="00416669" w:rsidRPr="00416669">
        <w:t xml:space="preserve"> </w:t>
      </w:r>
      <w:r w:rsidR="00416669">
        <w:t>Rīgas Centrālcietuma</w:t>
      </w:r>
      <w:r w:rsidR="004B52A8">
        <w:t xml:space="preserve"> savu dzīvesvietas adresi nav norādījis, pavēste par </w:t>
      </w:r>
      <w:proofErr w:type="gramStart"/>
      <w:r w:rsidR="004B52A8">
        <w:t>2022.gada</w:t>
      </w:r>
      <w:proofErr w:type="gramEnd"/>
      <w:r w:rsidR="004B52A8">
        <w:t xml:space="preserve"> 19.septembra tiesas sēdi </w:t>
      </w:r>
      <w:r w:rsidR="00416669">
        <w:t>no</w:t>
      </w:r>
      <w:r w:rsidR="004B52A8">
        <w:t xml:space="preserve">sūtīta uz apsūdzētā 2015.gadā norādīto deklarēto dzīves vietu. Apelācijas instances tiesa </w:t>
      </w:r>
      <w:r w:rsidR="00C74666">
        <w:t xml:space="preserve">pamatoti </w:t>
      </w:r>
      <w:r w:rsidR="004B52A8">
        <w:t xml:space="preserve">atzinusi, ka ir izsmeltas visas iespējas </w:t>
      </w:r>
      <w:r w:rsidR="00B3393B">
        <w:t>[pers. A]</w:t>
      </w:r>
      <w:r w:rsidR="004B52A8">
        <w:t xml:space="preserve"> klātbūtnes nodrošināšanai tiesas sēdē</w:t>
      </w:r>
      <w:r w:rsidR="00C74666">
        <w:t>, kā arī</w:t>
      </w:r>
      <w:r w:rsidR="004B52A8">
        <w:t xml:space="preserve"> pamatoti atzinusi, ka u</w:t>
      </w:r>
      <w:r w:rsidR="001279E6">
        <w:t xml:space="preserve">z tiesas sēdi </w:t>
      </w:r>
      <w:proofErr w:type="gramStart"/>
      <w:r w:rsidR="001279E6">
        <w:t>20</w:t>
      </w:r>
      <w:r w:rsidR="002423A5">
        <w:t>22</w:t>
      </w:r>
      <w:r w:rsidR="001279E6">
        <w:t>.gada</w:t>
      </w:r>
      <w:proofErr w:type="gramEnd"/>
      <w:r w:rsidR="001279E6">
        <w:t xml:space="preserve"> </w:t>
      </w:r>
      <w:r w:rsidR="00F33F8B">
        <w:t>19</w:t>
      </w:r>
      <w:r w:rsidR="001279E6">
        <w:t>.</w:t>
      </w:r>
      <w:r w:rsidR="00F33F8B">
        <w:t>septembrī</w:t>
      </w:r>
      <w:r w:rsidR="001279E6">
        <w:t xml:space="preserve"> </w:t>
      </w:r>
      <w:r w:rsidR="00B3393B">
        <w:t>[pers. A]</w:t>
      </w:r>
      <w:r w:rsidR="00F33F8B">
        <w:t xml:space="preserve"> </w:t>
      </w:r>
      <w:r w:rsidR="001279E6">
        <w:t>neieradās bez attaisnojoša iemesla.</w:t>
      </w:r>
      <w:r>
        <w:t xml:space="preserve"> </w:t>
      </w:r>
      <w:r w:rsidR="00674358">
        <w:t>Apsūdzēt</w:t>
      </w:r>
      <w:r w:rsidR="00FA705F">
        <w:t>ajam procesuālās tiesības un pienākumi bija zināmi un viņš nav izpildījis Kriminālprocesa likuma 60.</w:t>
      </w:r>
      <w:proofErr w:type="gramStart"/>
      <w:r w:rsidR="00FA705F">
        <w:rPr>
          <w:vertAlign w:val="superscript"/>
        </w:rPr>
        <w:t>1</w:t>
      </w:r>
      <w:r w:rsidR="00FA705F">
        <w:t>panta</w:t>
      </w:r>
      <w:proofErr w:type="gramEnd"/>
      <w:r w:rsidR="00FA705F">
        <w:t xml:space="preserve"> ceturtajā daļā </w:t>
      </w:r>
      <w:r>
        <w:t>norādīto pienākumu</w:t>
      </w:r>
      <w:r w:rsidR="000B0ECA" w:rsidRPr="000B0ECA">
        <w:t xml:space="preserve"> </w:t>
      </w:r>
      <w:r w:rsidR="000B0ECA">
        <w:t>rakstveidā informēt procesa virzītāju par sūtījumu saņemšanas adreses maiņu, norādot jauno adresi</w:t>
      </w:r>
      <w:r w:rsidR="00ED4B22">
        <w:t xml:space="preserve"> pēc atbrīvošanas no Rīgas Centrālcietuma</w:t>
      </w:r>
      <w:r w:rsidR="00FA705F">
        <w:t>.</w:t>
      </w:r>
    </w:p>
    <w:p w14:paraId="4ECBC659" w14:textId="2B501338" w:rsidR="001279E6" w:rsidRDefault="00515608" w:rsidP="00F6640F">
      <w:pPr>
        <w:spacing w:line="276" w:lineRule="auto"/>
        <w:ind w:firstLine="709"/>
        <w:jc w:val="both"/>
      </w:pPr>
      <w:r>
        <w:t>Sen</w:t>
      </w:r>
      <w:r w:rsidR="000B0ECA">
        <w:t>ators</w:t>
      </w:r>
      <w:r>
        <w:t xml:space="preserve"> atzīst, ka a</w:t>
      </w:r>
      <w:r w:rsidR="001279E6">
        <w:t xml:space="preserve">pelācijas instances tiesas lēmums par apsūdzētā </w:t>
      </w:r>
      <w:r w:rsidR="00B3393B">
        <w:t>[pers. A]</w:t>
      </w:r>
      <w:r w:rsidR="00F33F8B">
        <w:t xml:space="preserve"> </w:t>
      </w:r>
      <w:r w:rsidR="001279E6">
        <w:t xml:space="preserve">apelācijas sūdzības atstāšanu bez izskatīšanas ir tiesisks un pamatots, tādēļ tā atcelšanai nav pamata. </w:t>
      </w:r>
      <w:r w:rsidR="000B0ECA">
        <w:t>Apelācijas instances tiesa, ņemot vērā lietā konstatētos apstākļus, pamatoti atzinusi, ka</w:t>
      </w:r>
      <w:r w:rsidR="000B0ECA" w:rsidRPr="000B0ECA">
        <w:t xml:space="preserve"> </w:t>
      </w:r>
      <w:r w:rsidR="00B3393B">
        <w:t>[pers. A]</w:t>
      </w:r>
      <w:r w:rsidR="000B0ECA">
        <w:t xml:space="preserve"> brīvi un nepiespiesti izlēmis nerealizēt savas procesuālās tiesības. </w:t>
      </w:r>
      <w:r w:rsidR="001279E6">
        <w:t>Tiesa</w:t>
      </w:r>
      <w:r w:rsidR="003C7C97">
        <w:t>,</w:t>
      </w:r>
      <w:r w:rsidR="001279E6">
        <w:t xml:space="preserve"> piemēroj</w:t>
      </w:r>
      <w:r w:rsidR="003C7C97">
        <w:t>ot</w:t>
      </w:r>
      <w:r w:rsidR="001279E6">
        <w:t xml:space="preserve"> Kriminālprocesa likuma </w:t>
      </w:r>
      <w:proofErr w:type="gramStart"/>
      <w:r w:rsidR="001279E6">
        <w:t>560.panta</w:t>
      </w:r>
      <w:proofErr w:type="gramEnd"/>
      <w:r w:rsidR="001279E6">
        <w:t xml:space="preserve"> trešo daļu, kas noteic, ja apsūdzētais neierodas uz tiesas sēdi </w:t>
      </w:r>
      <w:r w:rsidR="001279E6">
        <w:lastRenderedPageBreak/>
        <w:t xml:space="preserve">bez attaisnojoša iemesla, </w:t>
      </w:r>
      <w:r w:rsidR="00F6640F">
        <w:t xml:space="preserve">tā sūdzību </w:t>
      </w:r>
      <w:r w:rsidR="001279E6">
        <w:t xml:space="preserve">var atstāt </w:t>
      </w:r>
      <w:r w:rsidR="00F6640F">
        <w:t>bez izskatīšanas</w:t>
      </w:r>
      <w:r w:rsidR="003C7C97">
        <w:t>, nav pieļāvusi</w:t>
      </w:r>
      <w:r w:rsidR="001E7F3B" w:rsidRPr="001E7F3B">
        <w:t xml:space="preserve"> </w:t>
      </w:r>
      <w:r w:rsidR="001E7F3B">
        <w:t>Kriminālprocesa likuma 12.panta pirmās daļas un 511.panta otrās daļas pārkāpumu</w:t>
      </w:r>
      <w:r w:rsidR="00F6640F">
        <w:t>.</w:t>
      </w:r>
    </w:p>
    <w:p w14:paraId="74E0D55D" w14:textId="70664DB0" w:rsidR="00D62D17" w:rsidRDefault="00D62D17" w:rsidP="00F6640F">
      <w:pPr>
        <w:spacing w:line="276" w:lineRule="auto"/>
        <w:ind w:firstLine="709"/>
        <w:jc w:val="both"/>
      </w:pPr>
    </w:p>
    <w:p w14:paraId="1FBF5159" w14:textId="706E2CD1" w:rsidR="00D62D17" w:rsidRDefault="00D62D17" w:rsidP="00F6640F">
      <w:pPr>
        <w:spacing w:line="276" w:lineRule="auto"/>
        <w:ind w:firstLine="709"/>
        <w:jc w:val="both"/>
      </w:pPr>
      <w:r>
        <w:t>[</w:t>
      </w:r>
      <w:r w:rsidR="00ED4B22">
        <w:t>7</w:t>
      </w:r>
      <w:r>
        <w:t xml:space="preserve">] </w:t>
      </w:r>
      <w:r w:rsidR="0015415C">
        <w:t xml:space="preserve">Aizstāvja </w:t>
      </w:r>
      <w:r>
        <w:t>norāde</w:t>
      </w:r>
      <w:r w:rsidR="000B0ECA">
        <w:t xml:space="preserve"> sūdzībā</w:t>
      </w:r>
      <w:r>
        <w:t xml:space="preserve"> uz Kriminālprocesa </w:t>
      </w:r>
      <w:r w:rsidR="002423A5">
        <w:t xml:space="preserve">likuma </w:t>
      </w:r>
      <w:proofErr w:type="gramStart"/>
      <w:r>
        <w:t>465.panta</w:t>
      </w:r>
      <w:proofErr w:type="gramEnd"/>
      <w:r>
        <w:t xml:space="preserve"> pirmās daļas 1.punktu, proti, </w:t>
      </w:r>
      <w:r w:rsidR="00E25AE8">
        <w:t>ka krimināllietu var iztiesāt apsūdzētā prombūtnē (</w:t>
      </w:r>
      <w:proofErr w:type="spellStart"/>
      <w:r w:rsidR="00E25AE8" w:rsidRPr="00E25AE8">
        <w:rPr>
          <w:i/>
          <w:iCs/>
        </w:rPr>
        <w:t>in</w:t>
      </w:r>
      <w:proofErr w:type="spellEnd"/>
      <w:r w:rsidR="00E25AE8" w:rsidRPr="00E25AE8">
        <w:rPr>
          <w:i/>
          <w:iCs/>
        </w:rPr>
        <w:t xml:space="preserve"> </w:t>
      </w:r>
      <w:proofErr w:type="spellStart"/>
      <w:r w:rsidR="00E25AE8" w:rsidRPr="00E25AE8">
        <w:rPr>
          <w:i/>
          <w:iCs/>
        </w:rPr>
        <w:t>absentia</w:t>
      </w:r>
      <w:proofErr w:type="spellEnd"/>
      <w:r w:rsidR="00E25AE8">
        <w:t>), ja apsūdzētā atrašanās vieta nav zināma un tas norādīts informācijā par meklēšanas rezultātu</w:t>
      </w:r>
      <w:r w:rsidR="000B0ECA">
        <w:t>, atzīstama par kļūdainu</w:t>
      </w:r>
      <w:r w:rsidR="00E25AE8">
        <w:t xml:space="preserve">. </w:t>
      </w:r>
    </w:p>
    <w:p w14:paraId="4B64675F" w14:textId="42523D9A" w:rsidR="00E25AE8" w:rsidRDefault="00ED4B22" w:rsidP="00E25AE8">
      <w:pPr>
        <w:spacing w:line="276" w:lineRule="auto"/>
        <w:ind w:firstLine="709"/>
        <w:jc w:val="both"/>
      </w:pPr>
      <w:r>
        <w:t>N</w:t>
      </w:r>
      <w:r w:rsidR="00E25AE8">
        <w:t>o krimināllietas materiāliem</w:t>
      </w:r>
      <w:r w:rsidR="0066537C">
        <w:t xml:space="preserve"> neizriet</w:t>
      </w:r>
      <w:r w:rsidR="00E25AE8">
        <w:t xml:space="preserve">, ka apsūdzētais </w:t>
      </w:r>
      <w:r w:rsidR="00B3393B">
        <w:t>[pers. A]</w:t>
      </w:r>
      <w:r w:rsidR="00E25AE8">
        <w:t xml:space="preserve"> būtu izsludināts meklēšanā. </w:t>
      </w:r>
      <w:r w:rsidR="0066537C">
        <w:t xml:space="preserve">Līdz ar to </w:t>
      </w:r>
      <w:r w:rsidR="000B0ECA">
        <w:t xml:space="preserve">tiesai </w:t>
      </w:r>
      <w:r w:rsidR="0066537C">
        <w:t>n</w:t>
      </w:r>
      <w:r w:rsidR="000B0ECA">
        <w:t>ebija pamats apsvērt</w:t>
      </w:r>
      <w:r w:rsidRPr="00ED4B22">
        <w:t xml:space="preserve"> </w:t>
      </w:r>
      <w:r>
        <w:t>Kriminālprocesa</w:t>
      </w:r>
      <w:r w:rsidR="002423A5">
        <w:t xml:space="preserve"> likuma</w:t>
      </w:r>
      <w:r>
        <w:t xml:space="preserve"> </w:t>
      </w:r>
      <w:proofErr w:type="gramStart"/>
      <w:r>
        <w:t>465.panta</w:t>
      </w:r>
      <w:proofErr w:type="gramEnd"/>
      <w:r>
        <w:t xml:space="preserve"> pirmās daļas 1.punkta</w:t>
      </w:r>
      <w:r w:rsidR="0066537C">
        <w:t xml:space="preserve"> piemērošanas iespējamību.</w:t>
      </w:r>
    </w:p>
    <w:p w14:paraId="3324A62D" w14:textId="2007D0C2" w:rsidR="00500BCC" w:rsidRDefault="00500BCC" w:rsidP="00F6640F">
      <w:pPr>
        <w:spacing w:line="276" w:lineRule="auto"/>
        <w:ind w:firstLine="709"/>
        <w:jc w:val="both"/>
      </w:pPr>
    </w:p>
    <w:p w14:paraId="66E07618" w14:textId="22A54F85" w:rsidR="00500BCC" w:rsidRDefault="00500BCC" w:rsidP="00F6640F">
      <w:pPr>
        <w:spacing w:line="276" w:lineRule="auto"/>
        <w:ind w:firstLine="709"/>
        <w:jc w:val="both"/>
      </w:pPr>
      <w:r>
        <w:t>[</w:t>
      </w:r>
      <w:r w:rsidR="00ED4B22">
        <w:t>8</w:t>
      </w:r>
      <w:r>
        <w:t>] Aizstāvja atsauce sūdzībā uz Augstākās tiesas</w:t>
      </w:r>
      <w:r w:rsidR="00ED4B22">
        <w:t xml:space="preserve"> senatora</w:t>
      </w:r>
      <w:r>
        <w:t xml:space="preserve"> </w:t>
      </w:r>
      <w:proofErr w:type="gramStart"/>
      <w:r>
        <w:t>2020.gada</w:t>
      </w:r>
      <w:proofErr w:type="gramEnd"/>
      <w:r>
        <w:t xml:space="preserve"> 20.javāra lēmumu lietā Nr. SKK-120/2020</w:t>
      </w:r>
      <w:r w:rsidR="00FD7F7D">
        <w:t>,</w:t>
      </w:r>
      <w:r w:rsidR="00FD7F7D" w:rsidRPr="00FD7F7D">
        <w:t xml:space="preserve"> </w:t>
      </w:r>
      <w:r w:rsidR="00FD7F7D">
        <w:t>Eiropas Cilvēka tiesību un pamatbrīvību aizsardzības konvencijas 6.panta 1.punktu un 3.punkta c) apakšpunktu, kā arī Eiropas Cilvēktiesību tiesas 2017.gada 15.jūnija spriedum</w:t>
      </w:r>
      <w:r w:rsidR="001E7F3B">
        <w:t>u</w:t>
      </w:r>
      <w:r w:rsidR="00FD7F7D">
        <w:t xml:space="preserve"> lietā „</w:t>
      </w:r>
      <w:proofErr w:type="spellStart"/>
      <w:r w:rsidR="00FD7F7D">
        <w:t>Frolovs</w:t>
      </w:r>
      <w:proofErr w:type="spellEnd"/>
      <w:r w:rsidR="00FD7F7D">
        <w:t xml:space="preserve"> pret Latviju”</w:t>
      </w:r>
      <w:r w:rsidR="00D62D17">
        <w:t xml:space="preserve"> ir nepamatota</w:t>
      </w:r>
      <w:r w:rsidR="00FD7F7D">
        <w:t>.</w:t>
      </w:r>
      <w:r w:rsidR="00FD7F7D" w:rsidRPr="00FD7F7D">
        <w:t xml:space="preserve"> </w:t>
      </w:r>
      <w:r w:rsidR="00FD7F7D">
        <w:t>Augstākās tiesas senatora 2020.gada 20.javāra lēmum</w:t>
      </w:r>
      <w:r w:rsidR="001E7F3B">
        <w:t>ā</w:t>
      </w:r>
      <w:r w:rsidR="00FD7F7D">
        <w:t xml:space="preserve"> lietā Nr. SKK-120/2020</w:t>
      </w:r>
      <w:r w:rsidR="00ED4B22" w:rsidRPr="00ED4B22">
        <w:t xml:space="preserve"> </w:t>
      </w:r>
      <w:r w:rsidR="00ED4B22">
        <w:t>izteiktie secinājumi  nav attiecināmi uz konkrēto lietu,</w:t>
      </w:r>
      <w:r w:rsidR="00D62D17">
        <w:t xml:space="preserve"> jo minētajā lietā ir citi </w:t>
      </w:r>
      <w:r w:rsidR="0066537C">
        <w:t xml:space="preserve">juridiskie  un </w:t>
      </w:r>
      <w:r w:rsidR="00D62D17">
        <w:t xml:space="preserve">faktiskie apstākļi. </w:t>
      </w:r>
      <w:r w:rsidR="00FD7F7D">
        <w:t>Savukārt tieši Augstākās tiesas senatora 2020.gada 20.javāra lēmum</w:t>
      </w:r>
      <w:r w:rsidR="001E7F3B">
        <w:t>ā ir atsauces uz Eiropas Cilvēka tiesību un pamatbrīvību aizsardzības konvencijas 6.panta 1.punktu un 3.punkta c) apakšpunktu, kā arī uz Eiropas Cilvēktiesību tiesas 2017.gada 15.jūnija spriedumā lietā „</w:t>
      </w:r>
      <w:proofErr w:type="spellStart"/>
      <w:r w:rsidR="001E7F3B">
        <w:t>Frolovs</w:t>
      </w:r>
      <w:proofErr w:type="spellEnd"/>
      <w:r w:rsidR="001E7F3B">
        <w:t xml:space="preserve"> pret Latviju” izteiktajām atziņām.</w:t>
      </w:r>
    </w:p>
    <w:bookmarkEnd w:id="1"/>
    <w:p w14:paraId="2CC468CF" w14:textId="77777777" w:rsidR="000B0D20" w:rsidRPr="0023725E" w:rsidRDefault="000B0D20" w:rsidP="002C28F7">
      <w:pPr>
        <w:spacing w:line="276" w:lineRule="auto"/>
        <w:ind w:firstLine="709"/>
        <w:jc w:val="both"/>
      </w:pPr>
    </w:p>
    <w:p w14:paraId="05F59C2D" w14:textId="77777777" w:rsidR="00B135BD" w:rsidRPr="00610990" w:rsidRDefault="0023725E" w:rsidP="0023725E">
      <w:pPr>
        <w:spacing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</w:rPr>
        <w:t>R</w:t>
      </w:r>
      <w:r w:rsidR="00B135BD" w:rsidRPr="00AC1154">
        <w:rPr>
          <w:rFonts w:eastAsia="Calibri"/>
          <w:b/>
        </w:rPr>
        <w:t>ezolutīvā daļa</w:t>
      </w:r>
    </w:p>
    <w:p w14:paraId="3A752F0F" w14:textId="77777777" w:rsidR="00B135BD" w:rsidRPr="00215B55" w:rsidRDefault="00B135BD" w:rsidP="00B135BD">
      <w:pPr>
        <w:spacing w:line="276" w:lineRule="auto"/>
        <w:jc w:val="both"/>
        <w:rPr>
          <w:rFonts w:eastAsia="Calibri"/>
        </w:rPr>
      </w:pPr>
    </w:p>
    <w:p w14:paraId="3C9B1B94" w14:textId="6BD34AE2" w:rsidR="00B135BD" w:rsidRPr="00AC1154" w:rsidRDefault="00B135BD" w:rsidP="00B135BD">
      <w:pPr>
        <w:spacing w:line="276" w:lineRule="auto"/>
        <w:ind w:firstLine="720"/>
        <w:jc w:val="both"/>
        <w:rPr>
          <w:rFonts w:eastAsia="Calibri"/>
        </w:rPr>
      </w:pPr>
      <w:r w:rsidRPr="00AC1154">
        <w:rPr>
          <w:rFonts w:eastAsia="Calibri"/>
        </w:rPr>
        <w:t xml:space="preserve">Pamatojoties uz </w:t>
      </w:r>
      <w:r w:rsidR="004B1771">
        <w:rPr>
          <w:rFonts w:eastAsia="Calibri"/>
        </w:rPr>
        <w:t xml:space="preserve">Kriminālprocesa likuma </w:t>
      </w:r>
      <w:proofErr w:type="gramStart"/>
      <w:r w:rsidR="004B1771">
        <w:rPr>
          <w:rFonts w:eastAsia="Calibri"/>
        </w:rPr>
        <w:t>582.panta</w:t>
      </w:r>
      <w:proofErr w:type="gramEnd"/>
      <w:r w:rsidR="004B1771">
        <w:rPr>
          <w:rFonts w:eastAsia="Calibri"/>
        </w:rPr>
        <w:t xml:space="preserve"> otro daļu</w:t>
      </w:r>
      <w:r w:rsidRPr="00AC1154">
        <w:rPr>
          <w:rFonts w:eastAsia="Calibri"/>
        </w:rPr>
        <w:t xml:space="preserve">, </w:t>
      </w:r>
      <w:r w:rsidR="00FA63A7">
        <w:rPr>
          <w:rFonts w:eastAsia="Calibri"/>
        </w:rPr>
        <w:t>senator</w:t>
      </w:r>
      <w:r w:rsidR="003C7C97">
        <w:rPr>
          <w:rFonts w:eastAsia="Calibri"/>
        </w:rPr>
        <w:t>s</w:t>
      </w:r>
    </w:p>
    <w:p w14:paraId="257DE165" w14:textId="77777777" w:rsidR="00B135BD" w:rsidRDefault="00B135BD" w:rsidP="00B135BD">
      <w:pPr>
        <w:spacing w:line="276" w:lineRule="auto"/>
        <w:ind w:firstLine="720"/>
        <w:jc w:val="both"/>
        <w:rPr>
          <w:rFonts w:eastAsia="Calibri"/>
        </w:rPr>
      </w:pPr>
    </w:p>
    <w:p w14:paraId="693CB75B" w14:textId="77777777" w:rsidR="00B135BD" w:rsidRDefault="00B135BD" w:rsidP="00B135BD">
      <w:pPr>
        <w:spacing w:line="276" w:lineRule="auto"/>
        <w:jc w:val="center"/>
        <w:rPr>
          <w:rFonts w:eastAsia="Calibri"/>
          <w:b/>
        </w:rPr>
      </w:pPr>
      <w:r w:rsidRPr="00AC1154">
        <w:rPr>
          <w:rFonts w:eastAsia="Calibri"/>
          <w:b/>
        </w:rPr>
        <w:t>nolēma:</w:t>
      </w:r>
    </w:p>
    <w:p w14:paraId="59530BD4" w14:textId="77777777" w:rsidR="00BF5F75" w:rsidRPr="00706809" w:rsidRDefault="00BF5F75" w:rsidP="00F03F99">
      <w:pPr>
        <w:spacing w:line="276" w:lineRule="auto"/>
        <w:jc w:val="both"/>
        <w:rPr>
          <w:rFonts w:eastAsia="Calibri"/>
        </w:rPr>
      </w:pPr>
    </w:p>
    <w:p w14:paraId="61F9A1D3" w14:textId="3B00E4B1" w:rsidR="00F010E1" w:rsidRDefault="002631ED" w:rsidP="00F03F99">
      <w:pPr>
        <w:spacing w:line="276" w:lineRule="auto"/>
        <w:ind w:firstLine="705"/>
        <w:jc w:val="both"/>
      </w:pPr>
      <w:r>
        <w:rPr>
          <w:rFonts w:eastAsiaTheme="minorHAnsi"/>
          <w:bCs/>
        </w:rPr>
        <w:t xml:space="preserve">atstāt negrozītu </w:t>
      </w:r>
      <w:r w:rsidR="00F6640F">
        <w:t xml:space="preserve">Rīgas apgabaltiesas </w:t>
      </w:r>
      <w:proofErr w:type="gramStart"/>
      <w:r w:rsidR="00F6640F">
        <w:t>2022.gada</w:t>
      </w:r>
      <w:proofErr w:type="gramEnd"/>
      <w:r w:rsidR="00F6640F">
        <w:t xml:space="preserve"> 19.septembra </w:t>
      </w:r>
      <w:r w:rsidR="004C45BB">
        <w:rPr>
          <w:rFonts w:eastAsiaTheme="minorHAnsi"/>
          <w:bCs/>
        </w:rPr>
        <w:t>lēmumu</w:t>
      </w:r>
      <w:r w:rsidR="008D18A3">
        <w:rPr>
          <w:rFonts w:eastAsiaTheme="minorHAnsi"/>
          <w:bCs/>
        </w:rPr>
        <w:t xml:space="preserve">, bet apsūdzētā </w:t>
      </w:r>
      <w:r w:rsidR="00B3393B">
        <w:t>[pers. A]</w:t>
      </w:r>
      <w:r w:rsidR="00A873ED">
        <w:t xml:space="preserve"> aizstāvja Jāņa Pušpura </w:t>
      </w:r>
      <w:r w:rsidR="008D18A3">
        <w:rPr>
          <w:rFonts w:eastAsiaTheme="minorHAnsi"/>
          <w:bCs/>
        </w:rPr>
        <w:t xml:space="preserve">sūdzību noraidīt. </w:t>
      </w:r>
      <w:r w:rsidR="004C45BB">
        <w:rPr>
          <w:rFonts w:eastAsiaTheme="minorHAnsi"/>
          <w:bCs/>
        </w:rPr>
        <w:t xml:space="preserve"> </w:t>
      </w:r>
    </w:p>
    <w:p w14:paraId="48A0CB24" w14:textId="2C5237E3" w:rsidR="00747348" w:rsidRPr="00B3393B" w:rsidRDefault="00B135BD" w:rsidP="00B3393B">
      <w:pPr>
        <w:spacing w:line="276" w:lineRule="auto"/>
        <w:ind w:firstLine="705"/>
        <w:jc w:val="both"/>
        <w:rPr>
          <w:rFonts w:eastAsia="Calibri"/>
        </w:rPr>
      </w:pPr>
      <w:r w:rsidRPr="009D190C">
        <w:rPr>
          <w:rFonts w:eastAsia="Calibri"/>
        </w:rPr>
        <w:t xml:space="preserve">Lēmums nav pārsūdzams. </w:t>
      </w:r>
    </w:p>
    <w:p w14:paraId="137C020A" w14:textId="77777777" w:rsidR="00B135BD" w:rsidRPr="00850AD0" w:rsidRDefault="00B135BD" w:rsidP="00E05DD9">
      <w:pPr>
        <w:spacing w:line="276" w:lineRule="auto"/>
      </w:pPr>
    </w:p>
    <w:sectPr w:rsidR="00B135BD" w:rsidRPr="00850AD0" w:rsidSect="00074ABD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0B40" w14:textId="77777777" w:rsidR="002F5B82" w:rsidRDefault="002F5B82">
      <w:r>
        <w:separator/>
      </w:r>
    </w:p>
  </w:endnote>
  <w:endnote w:type="continuationSeparator" w:id="0">
    <w:p w14:paraId="795244C8" w14:textId="77777777" w:rsidR="002F5B82" w:rsidRDefault="002F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A167" w14:textId="77777777" w:rsidR="00423CC9" w:rsidRDefault="00423CC9" w:rsidP="00D332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023B64D" w14:textId="77777777" w:rsidR="00423CC9" w:rsidRDefault="00423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49733"/>
      <w:docPartObj>
        <w:docPartGallery w:val="Page Numbers (Bottom of Page)"/>
        <w:docPartUnique/>
      </w:docPartObj>
    </w:sdtPr>
    <w:sdtEndPr/>
    <w:sdtContent>
      <w:sdt>
        <w:sdtPr>
          <w:id w:val="-1577820094"/>
          <w:docPartObj>
            <w:docPartGallery w:val="Page Numbers (Top of Page)"/>
            <w:docPartUnique/>
          </w:docPartObj>
        </w:sdtPr>
        <w:sdtEndPr/>
        <w:sdtContent>
          <w:p w14:paraId="6FF1D5FB" w14:textId="77777777" w:rsidR="00423CC9" w:rsidRDefault="00423CC9" w:rsidP="00B70068">
            <w:pPr>
              <w:pStyle w:val="Footer"/>
              <w:jc w:val="center"/>
            </w:pPr>
            <w:r w:rsidRPr="00EA176A">
              <w:rPr>
                <w:bCs/>
              </w:rPr>
              <w:fldChar w:fldCharType="begin"/>
            </w:r>
            <w:r w:rsidRPr="00EA176A">
              <w:rPr>
                <w:bCs/>
              </w:rPr>
              <w:instrText xml:space="preserve"> PAGE </w:instrText>
            </w:r>
            <w:r w:rsidRPr="00EA176A">
              <w:rPr>
                <w:bCs/>
              </w:rPr>
              <w:fldChar w:fldCharType="separate"/>
            </w:r>
            <w:r w:rsidR="00074ABD">
              <w:rPr>
                <w:bCs/>
                <w:noProof/>
              </w:rPr>
              <w:t>2</w:t>
            </w:r>
            <w:r w:rsidRPr="00EA176A">
              <w:rPr>
                <w:bCs/>
              </w:rPr>
              <w:fldChar w:fldCharType="end"/>
            </w:r>
            <w:r w:rsidRPr="00EA176A">
              <w:t xml:space="preserve"> no </w:t>
            </w:r>
            <w:r w:rsidRPr="00EA176A">
              <w:rPr>
                <w:bCs/>
              </w:rPr>
              <w:fldChar w:fldCharType="begin"/>
            </w:r>
            <w:r w:rsidRPr="00EA176A">
              <w:rPr>
                <w:bCs/>
              </w:rPr>
              <w:instrText xml:space="preserve"> NUMPAGES  </w:instrText>
            </w:r>
            <w:r w:rsidRPr="00EA176A">
              <w:rPr>
                <w:bCs/>
              </w:rPr>
              <w:fldChar w:fldCharType="separate"/>
            </w:r>
            <w:r w:rsidR="00074ABD">
              <w:rPr>
                <w:bCs/>
                <w:noProof/>
              </w:rPr>
              <w:t>2</w:t>
            </w:r>
            <w:r w:rsidRPr="00EA176A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758A" w14:textId="77777777" w:rsidR="002F5B82" w:rsidRDefault="002F5B82">
      <w:r>
        <w:separator/>
      </w:r>
    </w:p>
  </w:footnote>
  <w:footnote w:type="continuationSeparator" w:id="0">
    <w:p w14:paraId="4C938ED7" w14:textId="77777777" w:rsidR="002F5B82" w:rsidRDefault="002F5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A3640"/>
    <w:multiLevelType w:val="hybridMultilevel"/>
    <w:tmpl w:val="8872EA50"/>
    <w:lvl w:ilvl="0" w:tplc="2A1E05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61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BD"/>
    <w:rsid w:val="00023A9D"/>
    <w:rsid w:val="00023D82"/>
    <w:rsid w:val="00026D07"/>
    <w:rsid w:val="00032F0A"/>
    <w:rsid w:val="00034AAD"/>
    <w:rsid w:val="00034E4A"/>
    <w:rsid w:val="00037679"/>
    <w:rsid w:val="00052BB7"/>
    <w:rsid w:val="00054CD4"/>
    <w:rsid w:val="00066627"/>
    <w:rsid w:val="00066F3E"/>
    <w:rsid w:val="00072DAA"/>
    <w:rsid w:val="00074ABD"/>
    <w:rsid w:val="000774AF"/>
    <w:rsid w:val="00082038"/>
    <w:rsid w:val="00093006"/>
    <w:rsid w:val="000931B5"/>
    <w:rsid w:val="0009418A"/>
    <w:rsid w:val="000A45C0"/>
    <w:rsid w:val="000B0D20"/>
    <w:rsid w:val="000B0ECA"/>
    <w:rsid w:val="000B300D"/>
    <w:rsid w:val="000B4EE1"/>
    <w:rsid w:val="000C71ED"/>
    <w:rsid w:val="000D0C80"/>
    <w:rsid w:val="000D3579"/>
    <w:rsid w:val="000E13FD"/>
    <w:rsid w:val="000E20B4"/>
    <w:rsid w:val="000E6E93"/>
    <w:rsid w:val="00101710"/>
    <w:rsid w:val="001075D1"/>
    <w:rsid w:val="00116512"/>
    <w:rsid w:val="00117817"/>
    <w:rsid w:val="001279E6"/>
    <w:rsid w:val="001301BD"/>
    <w:rsid w:val="0013067C"/>
    <w:rsid w:val="00132182"/>
    <w:rsid w:val="00134968"/>
    <w:rsid w:val="00137D2E"/>
    <w:rsid w:val="001428F5"/>
    <w:rsid w:val="00147B21"/>
    <w:rsid w:val="0015415C"/>
    <w:rsid w:val="0015685E"/>
    <w:rsid w:val="00175D94"/>
    <w:rsid w:val="00183ECD"/>
    <w:rsid w:val="001853BB"/>
    <w:rsid w:val="001960A2"/>
    <w:rsid w:val="00197BDC"/>
    <w:rsid w:val="001A0A5C"/>
    <w:rsid w:val="001A1088"/>
    <w:rsid w:val="001B12FE"/>
    <w:rsid w:val="001B1990"/>
    <w:rsid w:val="001B74E9"/>
    <w:rsid w:val="001D380E"/>
    <w:rsid w:val="001E4940"/>
    <w:rsid w:val="001E7F3B"/>
    <w:rsid w:val="001F051F"/>
    <w:rsid w:val="001F0CF3"/>
    <w:rsid w:val="00205031"/>
    <w:rsid w:val="00205BCB"/>
    <w:rsid w:val="002117CC"/>
    <w:rsid w:val="002154F4"/>
    <w:rsid w:val="00215B55"/>
    <w:rsid w:val="00222D7D"/>
    <w:rsid w:val="00226D5D"/>
    <w:rsid w:val="00230A8F"/>
    <w:rsid w:val="00232340"/>
    <w:rsid w:val="0023725E"/>
    <w:rsid w:val="002423A5"/>
    <w:rsid w:val="0024521D"/>
    <w:rsid w:val="00246164"/>
    <w:rsid w:val="0026033C"/>
    <w:rsid w:val="00262D40"/>
    <w:rsid w:val="002631ED"/>
    <w:rsid w:val="00267506"/>
    <w:rsid w:val="00270D95"/>
    <w:rsid w:val="00277A02"/>
    <w:rsid w:val="002B1ACE"/>
    <w:rsid w:val="002B52BF"/>
    <w:rsid w:val="002C28F7"/>
    <w:rsid w:val="002C5AA4"/>
    <w:rsid w:val="002C6879"/>
    <w:rsid w:val="002D4129"/>
    <w:rsid w:val="002D515D"/>
    <w:rsid w:val="002E2A51"/>
    <w:rsid w:val="002E329F"/>
    <w:rsid w:val="002F20E4"/>
    <w:rsid w:val="002F5B82"/>
    <w:rsid w:val="00300E71"/>
    <w:rsid w:val="00301BF4"/>
    <w:rsid w:val="00301D54"/>
    <w:rsid w:val="00312A10"/>
    <w:rsid w:val="00320542"/>
    <w:rsid w:val="0032071E"/>
    <w:rsid w:val="00326342"/>
    <w:rsid w:val="00326FF9"/>
    <w:rsid w:val="003305DC"/>
    <w:rsid w:val="00334212"/>
    <w:rsid w:val="0033500B"/>
    <w:rsid w:val="0033759D"/>
    <w:rsid w:val="00340D6A"/>
    <w:rsid w:val="00342465"/>
    <w:rsid w:val="00351BD0"/>
    <w:rsid w:val="00355E9E"/>
    <w:rsid w:val="0036120C"/>
    <w:rsid w:val="0036523E"/>
    <w:rsid w:val="00366698"/>
    <w:rsid w:val="00375467"/>
    <w:rsid w:val="00376EBD"/>
    <w:rsid w:val="00380FB9"/>
    <w:rsid w:val="0038770E"/>
    <w:rsid w:val="00390281"/>
    <w:rsid w:val="00394285"/>
    <w:rsid w:val="00396601"/>
    <w:rsid w:val="003A2938"/>
    <w:rsid w:val="003A3C6A"/>
    <w:rsid w:val="003B2610"/>
    <w:rsid w:val="003B71A9"/>
    <w:rsid w:val="003C234F"/>
    <w:rsid w:val="003C6D7C"/>
    <w:rsid w:val="003C7C97"/>
    <w:rsid w:val="003D139D"/>
    <w:rsid w:val="003D4851"/>
    <w:rsid w:val="003D72E7"/>
    <w:rsid w:val="003D79AD"/>
    <w:rsid w:val="00401FCF"/>
    <w:rsid w:val="00405DA6"/>
    <w:rsid w:val="00410AB5"/>
    <w:rsid w:val="0041108D"/>
    <w:rsid w:val="00416669"/>
    <w:rsid w:val="0042167A"/>
    <w:rsid w:val="00423CC9"/>
    <w:rsid w:val="00424DF4"/>
    <w:rsid w:val="004253B9"/>
    <w:rsid w:val="00432BDB"/>
    <w:rsid w:val="00436BC4"/>
    <w:rsid w:val="00441D31"/>
    <w:rsid w:val="00443C6F"/>
    <w:rsid w:val="00444697"/>
    <w:rsid w:val="00444A1C"/>
    <w:rsid w:val="0045708E"/>
    <w:rsid w:val="00461873"/>
    <w:rsid w:val="00463FF4"/>
    <w:rsid w:val="0047193B"/>
    <w:rsid w:val="004734AD"/>
    <w:rsid w:val="00487125"/>
    <w:rsid w:val="00493059"/>
    <w:rsid w:val="0049524C"/>
    <w:rsid w:val="004A1EA2"/>
    <w:rsid w:val="004B1771"/>
    <w:rsid w:val="004B274E"/>
    <w:rsid w:val="004B52A8"/>
    <w:rsid w:val="004C1913"/>
    <w:rsid w:val="004C45BB"/>
    <w:rsid w:val="004D314A"/>
    <w:rsid w:val="004D5B0B"/>
    <w:rsid w:val="004D6B03"/>
    <w:rsid w:val="004D6BFA"/>
    <w:rsid w:val="004F3D05"/>
    <w:rsid w:val="00500BCC"/>
    <w:rsid w:val="0050676F"/>
    <w:rsid w:val="00515608"/>
    <w:rsid w:val="00516D43"/>
    <w:rsid w:val="005237F3"/>
    <w:rsid w:val="00530718"/>
    <w:rsid w:val="00540BD7"/>
    <w:rsid w:val="0055657F"/>
    <w:rsid w:val="0055771B"/>
    <w:rsid w:val="00557BB2"/>
    <w:rsid w:val="00573F45"/>
    <w:rsid w:val="00574FE0"/>
    <w:rsid w:val="00576CE0"/>
    <w:rsid w:val="00583756"/>
    <w:rsid w:val="00584E00"/>
    <w:rsid w:val="00594438"/>
    <w:rsid w:val="005C3E2B"/>
    <w:rsid w:val="005D3AFE"/>
    <w:rsid w:val="005D54B6"/>
    <w:rsid w:val="005E3143"/>
    <w:rsid w:val="005E57A9"/>
    <w:rsid w:val="005F148C"/>
    <w:rsid w:val="00600732"/>
    <w:rsid w:val="00602CA3"/>
    <w:rsid w:val="00605560"/>
    <w:rsid w:val="00610990"/>
    <w:rsid w:val="006136E3"/>
    <w:rsid w:val="006156FC"/>
    <w:rsid w:val="00617EE9"/>
    <w:rsid w:val="0063307C"/>
    <w:rsid w:val="0063379A"/>
    <w:rsid w:val="00635649"/>
    <w:rsid w:val="00643A6A"/>
    <w:rsid w:val="00650783"/>
    <w:rsid w:val="00657044"/>
    <w:rsid w:val="0066537C"/>
    <w:rsid w:val="006655B5"/>
    <w:rsid w:val="00670C86"/>
    <w:rsid w:val="00671540"/>
    <w:rsid w:val="0067365C"/>
    <w:rsid w:val="00674358"/>
    <w:rsid w:val="00675057"/>
    <w:rsid w:val="00677ED8"/>
    <w:rsid w:val="006813EC"/>
    <w:rsid w:val="006909A5"/>
    <w:rsid w:val="00695A90"/>
    <w:rsid w:val="00696382"/>
    <w:rsid w:val="006A16A2"/>
    <w:rsid w:val="006A1959"/>
    <w:rsid w:val="006A5FDD"/>
    <w:rsid w:val="006B73AA"/>
    <w:rsid w:val="006D1321"/>
    <w:rsid w:val="006E00C4"/>
    <w:rsid w:val="006E15E2"/>
    <w:rsid w:val="006E1E89"/>
    <w:rsid w:val="006E3BA8"/>
    <w:rsid w:val="006F14AB"/>
    <w:rsid w:val="006F56FD"/>
    <w:rsid w:val="007013C1"/>
    <w:rsid w:val="00702490"/>
    <w:rsid w:val="00702E73"/>
    <w:rsid w:val="00706809"/>
    <w:rsid w:val="00710E3E"/>
    <w:rsid w:val="00712E3E"/>
    <w:rsid w:val="007135F2"/>
    <w:rsid w:val="007156C1"/>
    <w:rsid w:val="00734799"/>
    <w:rsid w:val="0074239C"/>
    <w:rsid w:val="00744B95"/>
    <w:rsid w:val="00747348"/>
    <w:rsid w:val="00755241"/>
    <w:rsid w:val="007567D7"/>
    <w:rsid w:val="00757EF0"/>
    <w:rsid w:val="007615EB"/>
    <w:rsid w:val="00763329"/>
    <w:rsid w:val="00766903"/>
    <w:rsid w:val="00771775"/>
    <w:rsid w:val="0077201B"/>
    <w:rsid w:val="007753F1"/>
    <w:rsid w:val="00782F83"/>
    <w:rsid w:val="00783B7F"/>
    <w:rsid w:val="00784F60"/>
    <w:rsid w:val="007A0873"/>
    <w:rsid w:val="007B24B9"/>
    <w:rsid w:val="007B3E53"/>
    <w:rsid w:val="007B4115"/>
    <w:rsid w:val="007B41ED"/>
    <w:rsid w:val="007C6901"/>
    <w:rsid w:val="007D0746"/>
    <w:rsid w:val="007D2F67"/>
    <w:rsid w:val="007E0523"/>
    <w:rsid w:val="007E1DF6"/>
    <w:rsid w:val="007E593A"/>
    <w:rsid w:val="007F15FD"/>
    <w:rsid w:val="007F4FD5"/>
    <w:rsid w:val="007F54DB"/>
    <w:rsid w:val="00811BCB"/>
    <w:rsid w:val="008152CB"/>
    <w:rsid w:val="00820614"/>
    <w:rsid w:val="008246D4"/>
    <w:rsid w:val="008266B7"/>
    <w:rsid w:val="0083223A"/>
    <w:rsid w:val="00845D6E"/>
    <w:rsid w:val="00850AD0"/>
    <w:rsid w:val="00850DDB"/>
    <w:rsid w:val="00853995"/>
    <w:rsid w:val="00854928"/>
    <w:rsid w:val="0085734C"/>
    <w:rsid w:val="00857471"/>
    <w:rsid w:val="008641AF"/>
    <w:rsid w:val="008642DD"/>
    <w:rsid w:val="00871630"/>
    <w:rsid w:val="0087341E"/>
    <w:rsid w:val="00873FA9"/>
    <w:rsid w:val="00873FE7"/>
    <w:rsid w:val="008827E9"/>
    <w:rsid w:val="008913F0"/>
    <w:rsid w:val="0089783C"/>
    <w:rsid w:val="008A0637"/>
    <w:rsid w:val="008A31C0"/>
    <w:rsid w:val="008C194F"/>
    <w:rsid w:val="008D18A3"/>
    <w:rsid w:val="008D3AA1"/>
    <w:rsid w:val="008D6956"/>
    <w:rsid w:val="008E2B57"/>
    <w:rsid w:val="008F2135"/>
    <w:rsid w:val="008F376C"/>
    <w:rsid w:val="00900557"/>
    <w:rsid w:val="00901520"/>
    <w:rsid w:val="00917C7F"/>
    <w:rsid w:val="009210E9"/>
    <w:rsid w:val="0092303E"/>
    <w:rsid w:val="00931F6C"/>
    <w:rsid w:val="00933292"/>
    <w:rsid w:val="00940B33"/>
    <w:rsid w:val="009444BF"/>
    <w:rsid w:val="00947AAB"/>
    <w:rsid w:val="0095394B"/>
    <w:rsid w:val="00957F8E"/>
    <w:rsid w:val="00961902"/>
    <w:rsid w:val="00966520"/>
    <w:rsid w:val="00990916"/>
    <w:rsid w:val="009A4A38"/>
    <w:rsid w:val="009A4F28"/>
    <w:rsid w:val="009A5707"/>
    <w:rsid w:val="009B23D9"/>
    <w:rsid w:val="009B2D74"/>
    <w:rsid w:val="009D298B"/>
    <w:rsid w:val="009D3646"/>
    <w:rsid w:val="009D386A"/>
    <w:rsid w:val="009D5EEE"/>
    <w:rsid w:val="009D7E9A"/>
    <w:rsid w:val="009F0707"/>
    <w:rsid w:val="00A107D6"/>
    <w:rsid w:val="00A11B11"/>
    <w:rsid w:val="00A14752"/>
    <w:rsid w:val="00A20C9C"/>
    <w:rsid w:val="00A21D7A"/>
    <w:rsid w:val="00A22408"/>
    <w:rsid w:val="00A22D56"/>
    <w:rsid w:val="00A273D1"/>
    <w:rsid w:val="00A30EF3"/>
    <w:rsid w:val="00A31C0B"/>
    <w:rsid w:val="00A357E7"/>
    <w:rsid w:val="00A3625D"/>
    <w:rsid w:val="00A42CDB"/>
    <w:rsid w:val="00A4734D"/>
    <w:rsid w:val="00A50EB2"/>
    <w:rsid w:val="00A6543C"/>
    <w:rsid w:val="00A7045D"/>
    <w:rsid w:val="00A73C3E"/>
    <w:rsid w:val="00A75D4C"/>
    <w:rsid w:val="00A80C8F"/>
    <w:rsid w:val="00A83D77"/>
    <w:rsid w:val="00A86537"/>
    <w:rsid w:val="00A873ED"/>
    <w:rsid w:val="00A87DC5"/>
    <w:rsid w:val="00AA1000"/>
    <w:rsid w:val="00AA5729"/>
    <w:rsid w:val="00AB1C05"/>
    <w:rsid w:val="00AB4D5C"/>
    <w:rsid w:val="00AB5EA9"/>
    <w:rsid w:val="00AC10D5"/>
    <w:rsid w:val="00AC2606"/>
    <w:rsid w:val="00AC29D2"/>
    <w:rsid w:val="00AC6BA0"/>
    <w:rsid w:val="00AD40CF"/>
    <w:rsid w:val="00AD5CFB"/>
    <w:rsid w:val="00AE22B7"/>
    <w:rsid w:val="00AF29FC"/>
    <w:rsid w:val="00AF2C26"/>
    <w:rsid w:val="00AF36C2"/>
    <w:rsid w:val="00AF789D"/>
    <w:rsid w:val="00B10C28"/>
    <w:rsid w:val="00B135BD"/>
    <w:rsid w:val="00B13B52"/>
    <w:rsid w:val="00B17C9F"/>
    <w:rsid w:val="00B20981"/>
    <w:rsid w:val="00B3393B"/>
    <w:rsid w:val="00B51FD7"/>
    <w:rsid w:val="00B54EA9"/>
    <w:rsid w:val="00B57F14"/>
    <w:rsid w:val="00B70068"/>
    <w:rsid w:val="00B73182"/>
    <w:rsid w:val="00B82210"/>
    <w:rsid w:val="00B865E5"/>
    <w:rsid w:val="00B9015E"/>
    <w:rsid w:val="00B92510"/>
    <w:rsid w:val="00B9443B"/>
    <w:rsid w:val="00B948FA"/>
    <w:rsid w:val="00BA21AB"/>
    <w:rsid w:val="00BA2B61"/>
    <w:rsid w:val="00BB172A"/>
    <w:rsid w:val="00BB3C5F"/>
    <w:rsid w:val="00BB3E74"/>
    <w:rsid w:val="00BB5600"/>
    <w:rsid w:val="00BC43EA"/>
    <w:rsid w:val="00BC5F3F"/>
    <w:rsid w:val="00BC63C7"/>
    <w:rsid w:val="00BE2647"/>
    <w:rsid w:val="00BE44DC"/>
    <w:rsid w:val="00BE5066"/>
    <w:rsid w:val="00BE5F15"/>
    <w:rsid w:val="00BF1582"/>
    <w:rsid w:val="00BF1D0C"/>
    <w:rsid w:val="00BF5F75"/>
    <w:rsid w:val="00BF7EA4"/>
    <w:rsid w:val="00C01B84"/>
    <w:rsid w:val="00C03E8F"/>
    <w:rsid w:val="00C14017"/>
    <w:rsid w:val="00C170DA"/>
    <w:rsid w:val="00C2160C"/>
    <w:rsid w:val="00C2595A"/>
    <w:rsid w:val="00C323F5"/>
    <w:rsid w:val="00C32462"/>
    <w:rsid w:val="00C640E6"/>
    <w:rsid w:val="00C74059"/>
    <w:rsid w:val="00C74666"/>
    <w:rsid w:val="00C7682A"/>
    <w:rsid w:val="00C86533"/>
    <w:rsid w:val="00C93370"/>
    <w:rsid w:val="00C951F6"/>
    <w:rsid w:val="00C95438"/>
    <w:rsid w:val="00CA09D2"/>
    <w:rsid w:val="00CA2B34"/>
    <w:rsid w:val="00CA5038"/>
    <w:rsid w:val="00CB4175"/>
    <w:rsid w:val="00CB5405"/>
    <w:rsid w:val="00CC60C4"/>
    <w:rsid w:val="00CC7E4E"/>
    <w:rsid w:val="00CD2C22"/>
    <w:rsid w:val="00CD6F33"/>
    <w:rsid w:val="00CE2087"/>
    <w:rsid w:val="00CE4FC2"/>
    <w:rsid w:val="00CE649D"/>
    <w:rsid w:val="00CE6A46"/>
    <w:rsid w:val="00CF64F2"/>
    <w:rsid w:val="00D00396"/>
    <w:rsid w:val="00D050C0"/>
    <w:rsid w:val="00D14299"/>
    <w:rsid w:val="00D14433"/>
    <w:rsid w:val="00D15D21"/>
    <w:rsid w:val="00D232BA"/>
    <w:rsid w:val="00D253CD"/>
    <w:rsid w:val="00D33265"/>
    <w:rsid w:val="00D35222"/>
    <w:rsid w:val="00D371B7"/>
    <w:rsid w:val="00D37249"/>
    <w:rsid w:val="00D41423"/>
    <w:rsid w:val="00D430C5"/>
    <w:rsid w:val="00D5251B"/>
    <w:rsid w:val="00D57631"/>
    <w:rsid w:val="00D57C83"/>
    <w:rsid w:val="00D61503"/>
    <w:rsid w:val="00D62D17"/>
    <w:rsid w:val="00D62EB6"/>
    <w:rsid w:val="00D633BE"/>
    <w:rsid w:val="00D6375A"/>
    <w:rsid w:val="00D64464"/>
    <w:rsid w:val="00D6594C"/>
    <w:rsid w:val="00D65C43"/>
    <w:rsid w:val="00D66D75"/>
    <w:rsid w:val="00D67D98"/>
    <w:rsid w:val="00D71FF7"/>
    <w:rsid w:val="00D744E7"/>
    <w:rsid w:val="00D77901"/>
    <w:rsid w:val="00D827E4"/>
    <w:rsid w:val="00D83E3F"/>
    <w:rsid w:val="00D83E8E"/>
    <w:rsid w:val="00D936F8"/>
    <w:rsid w:val="00D95E30"/>
    <w:rsid w:val="00DA444A"/>
    <w:rsid w:val="00DC1CA2"/>
    <w:rsid w:val="00DC3B2A"/>
    <w:rsid w:val="00DC449B"/>
    <w:rsid w:val="00DC6B33"/>
    <w:rsid w:val="00DE1BFB"/>
    <w:rsid w:val="00DE5F48"/>
    <w:rsid w:val="00DE64BB"/>
    <w:rsid w:val="00DF1486"/>
    <w:rsid w:val="00E05DD9"/>
    <w:rsid w:val="00E07523"/>
    <w:rsid w:val="00E23BBD"/>
    <w:rsid w:val="00E25AE8"/>
    <w:rsid w:val="00E42898"/>
    <w:rsid w:val="00E44524"/>
    <w:rsid w:val="00E466BE"/>
    <w:rsid w:val="00E60FD6"/>
    <w:rsid w:val="00E62E26"/>
    <w:rsid w:val="00E7350F"/>
    <w:rsid w:val="00E80D61"/>
    <w:rsid w:val="00E821FD"/>
    <w:rsid w:val="00E82801"/>
    <w:rsid w:val="00E876B9"/>
    <w:rsid w:val="00E90321"/>
    <w:rsid w:val="00E95C29"/>
    <w:rsid w:val="00EA018F"/>
    <w:rsid w:val="00EA5441"/>
    <w:rsid w:val="00EB2D74"/>
    <w:rsid w:val="00EC0A71"/>
    <w:rsid w:val="00EC4F4E"/>
    <w:rsid w:val="00ED4B22"/>
    <w:rsid w:val="00ED6873"/>
    <w:rsid w:val="00EF5F83"/>
    <w:rsid w:val="00EF6170"/>
    <w:rsid w:val="00EF691A"/>
    <w:rsid w:val="00EF759C"/>
    <w:rsid w:val="00F010E1"/>
    <w:rsid w:val="00F030ED"/>
    <w:rsid w:val="00F03F99"/>
    <w:rsid w:val="00F04422"/>
    <w:rsid w:val="00F075EE"/>
    <w:rsid w:val="00F208BF"/>
    <w:rsid w:val="00F21DCE"/>
    <w:rsid w:val="00F273D0"/>
    <w:rsid w:val="00F325A7"/>
    <w:rsid w:val="00F33F8B"/>
    <w:rsid w:val="00F357FC"/>
    <w:rsid w:val="00F35EC1"/>
    <w:rsid w:val="00F364FB"/>
    <w:rsid w:val="00F44255"/>
    <w:rsid w:val="00F46457"/>
    <w:rsid w:val="00F5441D"/>
    <w:rsid w:val="00F5649D"/>
    <w:rsid w:val="00F56A6D"/>
    <w:rsid w:val="00F64C4E"/>
    <w:rsid w:val="00F6640F"/>
    <w:rsid w:val="00F716F0"/>
    <w:rsid w:val="00F72879"/>
    <w:rsid w:val="00F746BD"/>
    <w:rsid w:val="00F759E9"/>
    <w:rsid w:val="00F90033"/>
    <w:rsid w:val="00F95B3E"/>
    <w:rsid w:val="00FA1FB5"/>
    <w:rsid w:val="00FA4D6F"/>
    <w:rsid w:val="00FA5F39"/>
    <w:rsid w:val="00FA63A7"/>
    <w:rsid w:val="00FA705F"/>
    <w:rsid w:val="00FB39BD"/>
    <w:rsid w:val="00FB44B4"/>
    <w:rsid w:val="00FB4AA7"/>
    <w:rsid w:val="00FB60D0"/>
    <w:rsid w:val="00FB6AB7"/>
    <w:rsid w:val="00FC01A4"/>
    <w:rsid w:val="00FC4664"/>
    <w:rsid w:val="00FC5D6A"/>
    <w:rsid w:val="00FD06E6"/>
    <w:rsid w:val="00FD1740"/>
    <w:rsid w:val="00FD3D6C"/>
    <w:rsid w:val="00FD57DD"/>
    <w:rsid w:val="00FD5F15"/>
    <w:rsid w:val="00FD6632"/>
    <w:rsid w:val="00FD7F7D"/>
    <w:rsid w:val="00FE141C"/>
    <w:rsid w:val="00FE32AF"/>
    <w:rsid w:val="00FE36B1"/>
    <w:rsid w:val="00FE6EB2"/>
    <w:rsid w:val="00FE7BD3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38D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BD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link w:val="BodyText2"/>
    <w:semiHidden/>
    <w:locked/>
    <w:rsid w:val="00B135BD"/>
    <w:rPr>
      <w:rFonts w:ascii="Garamond" w:hAnsi="Garamond"/>
      <w:sz w:val="28"/>
    </w:rPr>
  </w:style>
  <w:style w:type="paragraph" w:styleId="BodyText2">
    <w:name w:val="Body Text 2"/>
    <w:basedOn w:val="Normal"/>
    <w:link w:val="BodyText2Char"/>
    <w:semiHidden/>
    <w:rsid w:val="00B135BD"/>
    <w:pPr>
      <w:jc w:val="right"/>
    </w:pPr>
    <w:rPr>
      <w:rFonts w:ascii="Garamond" w:eastAsiaTheme="minorHAnsi" w:hAnsi="Garamond" w:cstheme="minorBidi"/>
      <w:sz w:val="28"/>
    </w:rPr>
  </w:style>
  <w:style w:type="character" w:customStyle="1" w:styleId="BodyText2Char1">
    <w:name w:val="Body Text 2 Char1"/>
    <w:basedOn w:val="DefaultParagraphFont"/>
    <w:uiPriority w:val="99"/>
    <w:semiHidden/>
    <w:rsid w:val="00B135BD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rsid w:val="00B135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5BD"/>
    <w:rPr>
      <w:rFonts w:eastAsia="Times New Roman" w:cs="Times New Roman"/>
    </w:rPr>
  </w:style>
  <w:style w:type="character" w:styleId="PageNumber">
    <w:name w:val="page number"/>
    <w:basedOn w:val="DefaultParagraphFont"/>
    <w:rsid w:val="00B135B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B135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5BD"/>
    <w:rPr>
      <w:rFonts w:eastAsia="Times New Roman" w:cs="Times New Roman"/>
    </w:rPr>
  </w:style>
  <w:style w:type="paragraph" w:customStyle="1" w:styleId="tv213">
    <w:name w:val="tv213"/>
    <w:basedOn w:val="Normal"/>
    <w:rsid w:val="00B135BD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basedOn w:val="DefaultParagraphFont"/>
    <w:uiPriority w:val="99"/>
    <w:unhideWhenUsed/>
    <w:rsid w:val="00FC01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783C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83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783C"/>
    <w:rPr>
      <w:vertAlign w:val="superscript"/>
    </w:rPr>
  </w:style>
  <w:style w:type="table" w:styleId="TableGrid">
    <w:name w:val="Table Grid"/>
    <w:basedOn w:val="TableNormal"/>
    <w:uiPriority w:val="39"/>
    <w:rsid w:val="0043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B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5438"/>
    <w:pPr>
      <w:ind w:left="720"/>
      <w:contextualSpacing/>
    </w:pPr>
  </w:style>
  <w:style w:type="paragraph" w:styleId="Revision">
    <w:name w:val="Revision"/>
    <w:hidden/>
    <w:uiPriority w:val="99"/>
    <w:semiHidden/>
    <w:rsid w:val="00AC29D2"/>
    <w:pPr>
      <w:spacing w:after="0" w:line="240" w:lineRule="auto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74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4E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4E7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39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s.tiesas.lv/eTiesasMvc/nolemumi/pdf/49409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25D4B-D387-4E88-BB35-52E824A9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4967</Words>
  <Characters>2832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2023-02-03T06:01:00Z</dcterms:created>
  <dcterms:modified xsi:type="dcterms:W3CDTF">2023-02-03T06:01:00Z</dcterms:modified>
</cp:coreProperties>
</file>