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8EA9" w14:textId="77777777" w:rsidR="002B16E3" w:rsidRDefault="002B16E3" w:rsidP="002B16E3">
      <w:pPr>
        <w:tabs>
          <w:tab w:val="left" w:pos="3318"/>
        </w:tabs>
        <w:spacing w:after="0" w:line="240" w:lineRule="auto"/>
        <w:jc w:val="both"/>
        <w:rPr>
          <w:rFonts w:cs="Times New Roman"/>
          <w:b/>
          <w:bCs/>
          <w:szCs w:val="24"/>
        </w:rPr>
      </w:pPr>
      <w:r w:rsidRPr="00E000D5">
        <w:rPr>
          <w:rFonts w:cs="Times New Roman"/>
          <w:b/>
          <w:bCs/>
          <w:szCs w:val="24"/>
        </w:rPr>
        <w:t>Kreditoru iebildumu vērtēšana, lemjot par ārpustiesas tiesiskās aizsardzības procesa ierosināšanu</w:t>
      </w:r>
    </w:p>
    <w:p w14:paraId="545EE764" w14:textId="77777777" w:rsidR="00782A73" w:rsidRPr="00782A73" w:rsidRDefault="00782A73" w:rsidP="002B16E3">
      <w:pPr>
        <w:tabs>
          <w:tab w:val="left" w:pos="142"/>
        </w:tabs>
        <w:spacing w:after="0" w:line="360" w:lineRule="auto"/>
        <w:ind w:right="-516"/>
        <w:jc w:val="center"/>
        <w:rPr>
          <w:rFonts w:eastAsia="Times New Roman" w:cs="Times New Roman"/>
          <w:szCs w:val="24"/>
          <w:lang w:eastAsia="lv-LV"/>
        </w:rPr>
      </w:pPr>
    </w:p>
    <w:p w14:paraId="6135E993" w14:textId="58B9C486" w:rsidR="001F40B6" w:rsidRPr="00782A73" w:rsidRDefault="001F40B6" w:rsidP="004B25F0">
      <w:pPr>
        <w:spacing w:after="0" w:line="240" w:lineRule="auto"/>
        <w:ind w:right="-514"/>
        <w:jc w:val="center"/>
        <w:rPr>
          <w:rFonts w:eastAsia="Times New Roman" w:cs="Times New Roman"/>
          <w:b/>
          <w:szCs w:val="24"/>
          <w:lang w:eastAsia="lv-LV"/>
        </w:rPr>
      </w:pPr>
      <w:r w:rsidRPr="00782A73">
        <w:rPr>
          <w:rFonts w:eastAsia="Times New Roman" w:cs="Times New Roman"/>
          <w:b/>
          <w:szCs w:val="24"/>
          <w:lang w:eastAsia="lv-LV"/>
        </w:rPr>
        <w:t>Latvijas Republikas Senāt</w:t>
      </w:r>
      <w:r w:rsidR="00782A73" w:rsidRPr="00782A73">
        <w:rPr>
          <w:rFonts w:eastAsia="Times New Roman" w:cs="Times New Roman"/>
          <w:b/>
          <w:szCs w:val="24"/>
          <w:lang w:eastAsia="lv-LV"/>
        </w:rPr>
        <w:t>a</w:t>
      </w:r>
    </w:p>
    <w:p w14:paraId="69B51D6C" w14:textId="03148DA1" w:rsidR="00782A73" w:rsidRPr="00782A73" w:rsidRDefault="00782A73" w:rsidP="004B25F0">
      <w:pPr>
        <w:spacing w:after="0" w:line="240" w:lineRule="auto"/>
        <w:ind w:right="-514"/>
        <w:jc w:val="center"/>
        <w:rPr>
          <w:rFonts w:eastAsia="Times New Roman" w:cs="Times New Roman"/>
          <w:b/>
          <w:szCs w:val="24"/>
          <w:lang w:eastAsia="lv-LV"/>
        </w:rPr>
      </w:pPr>
      <w:r w:rsidRPr="00782A73">
        <w:rPr>
          <w:rFonts w:eastAsia="Times New Roman" w:cs="Times New Roman"/>
          <w:b/>
          <w:szCs w:val="24"/>
          <w:lang w:eastAsia="lv-LV"/>
        </w:rPr>
        <w:t>Civillietu departamenta</w:t>
      </w:r>
    </w:p>
    <w:p w14:paraId="468A004D" w14:textId="69AA870C" w:rsidR="00782A73" w:rsidRPr="00782A73" w:rsidRDefault="00782A73" w:rsidP="004B25F0">
      <w:pPr>
        <w:spacing w:after="0" w:line="240" w:lineRule="auto"/>
        <w:ind w:right="-514"/>
        <w:jc w:val="center"/>
        <w:rPr>
          <w:rFonts w:eastAsia="Times New Roman" w:cs="Times New Roman"/>
          <w:b/>
          <w:szCs w:val="24"/>
          <w:lang w:eastAsia="lv-LV"/>
        </w:rPr>
      </w:pPr>
      <w:r w:rsidRPr="00782A73">
        <w:rPr>
          <w:rFonts w:eastAsia="Times New Roman" w:cs="Times New Roman"/>
          <w:b/>
          <w:szCs w:val="24"/>
          <w:lang w:eastAsia="lv-LV"/>
        </w:rPr>
        <w:t>2022.</w:t>
      </w:r>
      <w:r w:rsidR="002B16E3">
        <w:rPr>
          <w:rFonts w:eastAsia="Times New Roman" w:cs="Times New Roman"/>
          <w:b/>
          <w:szCs w:val="24"/>
          <w:lang w:eastAsia="lv-LV"/>
        </w:rPr>
        <w:t> </w:t>
      </w:r>
      <w:r w:rsidRPr="00782A73">
        <w:rPr>
          <w:rFonts w:eastAsia="Times New Roman" w:cs="Times New Roman"/>
          <w:b/>
          <w:szCs w:val="24"/>
          <w:lang w:eastAsia="lv-LV"/>
        </w:rPr>
        <w:t>gada 21.</w:t>
      </w:r>
      <w:r w:rsidR="002B16E3">
        <w:rPr>
          <w:rFonts w:eastAsia="Times New Roman" w:cs="Times New Roman"/>
          <w:b/>
          <w:szCs w:val="24"/>
          <w:lang w:eastAsia="lv-LV"/>
        </w:rPr>
        <w:t> </w:t>
      </w:r>
      <w:r w:rsidRPr="00782A73">
        <w:rPr>
          <w:rFonts w:eastAsia="Times New Roman" w:cs="Times New Roman"/>
          <w:b/>
          <w:szCs w:val="24"/>
          <w:lang w:eastAsia="lv-LV"/>
        </w:rPr>
        <w:t>decembra</w:t>
      </w:r>
    </w:p>
    <w:p w14:paraId="6C4E996C" w14:textId="17B264BA" w:rsidR="001F40B6" w:rsidRPr="00782A73" w:rsidRDefault="001F40B6" w:rsidP="004B25F0">
      <w:pPr>
        <w:spacing w:after="0" w:line="240" w:lineRule="auto"/>
        <w:ind w:right="-516"/>
        <w:jc w:val="center"/>
        <w:rPr>
          <w:rFonts w:eastAsia="Times New Roman" w:cs="Times New Roman"/>
          <w:b/>
          <w:szCs w:val="24"/>
          <w:lang w:eastAsia="lv-LV"/>
        </w:rPr>
      </w:pPr>
      <w:r w:rsidRPr="00782A73">
        <w:rPr>
          <w:rFonts w:eastAsia="Times New Roman" w:cs="Times New Roman"/>
          <w:b/>
          <w:szCs w:val="24"/>
          <w:lang w:eastAsia="lv-LV"/>
        </w:rPr>
        <w:t>LĒMUMS</w:t>
      </w:r>
    </w:p>
    <w:p w14:paraId="6CF50153" w14:textId="77777777" w:rsidR="00782A73" w:rsidRPr="00782A73" w:rsidRDefault="00782A73" w:rsidP="00782A73">
      <w:pPr>
        <w:spacing w:after="0" w:line="240" w:lineRule="auto"/>
        <w:ind w:right="49"/>
        <w:jc w:val="center"/>
        <w:rPr>
          <w:rFonts w:eastAsia="Times New Roman" w:cs="Times New Roman"/>
          <w:b/>
          <w:bCs/>
          <w:szCs w:val="24"/>
          <w:lang w:eastAsia="lv-LV"/>
        </w:rPr>
      </w:pPr>
      <w:r w:rsidRPr="00782A73">
        <w:rPr>
          <w:rFonts w:eastAsia="Times New Roman" w:cs="Times New Roman"/>
          <w:b/>
          <w:bCs/>
          <w:szCs w:val="24"/>
          <w:lang w:eastAsia="lv-LV"/>
        </w:rPr>
        <w:t>Lieta Nr. C71175622, SPC-21/2022</w:t>
      </w:r>
    </w:p>
    <w:p w14:paraId="6008D10A" w14:textId="7B7ACBC1" w:rsidR="00686DF7" w:rsidRPr="00782A73" w:rsidRDefault="002B16E3" w:rsidP="00A912B2">
      <w:pPr>
        <w:spacing w:after="0" w:line="276" w:lineRule="auto"/>
        <w:ind w:right="-514" w:firstLine="567"/>
        <w:jc w:val="center"/>
        <w:rPr>
          <w:rFonts w:eastAsia="Times New Roman" w:cs="Times New Roman"/>
          <w:szCs w:val="24"/>
          <w:lang w:eastAsia="lv-LV"/>
        </w:rPr>
      </w:pPr>
      <w:hyperlink r:id="rId6" w:history="1">
        <w:r w:rsidR="00782A73" w:rsidRPr="00782A73">
          <w:rPr>
            <w:rStyle w:val="Hyperlink"/>
            <w:rFonts w:cs="Times New Roman"/>
            <w:szCs w:val="24"/>
            <w:shd w:val="clear" w:color="auto" w:fill="FFFFFF"/>
          </w:rPr>
          <w:t>ECLI:LV:AT:2022:1221.C71175622.7.L</w:t>
        </w:r>
      </w:hyperlink>
    </w:p>
    <w:p w14:paraId="67214D15" w14:textId="77777777" w:rsidR="00782A73" w:rsidRPr="00782A73" w:rsidRDefault="00782A73" w:rsidP="004B25F0">
      <w:pPr>
        <w:spacing w:after="0" w:line="276" w:lineRule="auto"/>
        <w:ind w:right="-514" w:firstLine="567"/>
        <w:jc w:val="both"/>
        <w:rPr>
          <w:rFonts w:eastAsia="Times New Roman" w:cs="Times New Roman"/>
          <w:szCs w:val="24"/>
          <w:lang w:eastAsia="lv-LV"/>
        </w:rPr>
      </w:pPr>
    </w:p>
    <w:p w14:paraId="00B615F0" w14:textId="0E40CDBC" w:rsidR="001F40B6" w:rsidRPr="00782A73" w:rsidRDefault="001F40B6" w:rsidP="004B25F0">
      <w:pPr>
        <w:spacing w:after="0" w:line="276" w:lineRule="auto"/>
        <w:ind w:right="-514" w:firstLine="567"/>
        <w:jc w:val="both"/>
        <w:rPr>
          <w:rFonts w:eastAsia="Times New Roman" w:cs="Times New Roman"/>
          <w:szCs w:val="24"/>
          <w:lang w:eastAsia="lv-LV"/>
        </w:rPr>
      </w:pPr>
      <w:r w:rsidRPr="00782A73">
        <w:rPr>
          <w:rFonts w:eastAsia="Times New Roman" w:cs="Times New Roman"/>
          <w:szCs w:val="24"/>
          <w:lang w:eastAsia="lv-LV"/>
        </w:rPr>
        <w:t xml:space="preserve">Senāts šādā sastāvā: </w:t>
      </w:r>
    </w:p>
    <w:p w14:paraId="64745B06" w14:textId="79B70B54" w:rsidR="001F40B6" w:rsidRPr="00782A73" w:rsidRDefault="001F40B6" w:rsidP="004B25F0">
      <w:pPr>
        <w:spacing w:after="0" w:line="276" w:lineRule="auto"/>
        <w:ind w:right="-514" w:firstLine="1134"/>
        <w:jc w:val="both"/>
        <w:rPr>
          <w:rFonts w:eastAsia="Times New Roman" w:cs="Times New Roman"/>
          <w:szCs w:val="24"/>
          <w:lang w:eastAsia="lv-LV"/>
        </w:rPr>
      </w:pPr>
      <w:r w:rsidRPr="00782A73">
        <w:rPr>
          <w:rFonts w:eastAsia="Times New Roman" w:cs="Times New Roman"/>
          <w:szCs w:val="24"/>
          <w:lang w:eastAsia="lv-LV"/>
        </w:rPr>
        <w:t xml:space="preserve">senators referents </w:t>
      </w:r>
      <w:r w:rsidR="00C364AA" w:rsidRPr="00782A73">
        <w:rPr>
          <w:rFonts w:eastAsia="Times New Roman" w:cs="Times New Roman"/>
          <w:szCs w:val="24"/>
          <w:lang w:eastAsia="lv-LV"/>
        </w:rPr>
        <w:t>Valerijs Maksimovs</w:t>
      </w:r>
      <w:r w:rsidRPr="00782A73">
        <w:rPr>
          <w:rFonts w:eastAsia="Times New Roman" w:cs="Times New Roman"/>
          <w:szCs w:val="24"/>
          <w:lang w:eastAsia="lv-LV"/>
        </w:rPr>
        <w:t>,</w:t>
      </w:r>
    </w:p>
    <w:p w14:paraId="5ED4CFEB" w14:textId="4D5DBD09" w:rsidR="001F40B6" w:rsidRPr="00782A73" w:rsidRDefault="001F40B6" w:rsidP="004B25F0">
      <w:pPr>
        <w:spacing w:after="0" w:line="276" w:lineRule="auto"/>
        <w:ind w:left="414" w:right="-514" w:firstLine="720"/>
        <w:jc w:val="both"/>
        <w:rPr>
          <w:rFonts w:eastAsia="Times New Roman" w:cs="Times New Roman"/>
          <w:szCs w:val="24"/>
          <w:lang w:eastAsia="lv-LV"/>
        </w:rPr>
      </w:pPr>
      <w:r w:rsidRPr="00782A73">
        <w:rPr>
          <w:rFonts w:eastAsia="Times New Roman" w:cs="Times New Roman"/>
          <w:szCs w:val="24"/>
          <w:lang w:eastAsia="lv-LV"/>
        </w:rPr>
        <w:t xml:space="preserve">senatore </w:t>
      </w:r>
      <w:r w:rsidR="00C364AA" w:rsidRPr="00782A73">
        <w:rPr>
          <w:rFonts w:eastAsia="Times New Roman" w:cs="Times New Roman"/>
          <w:szCs w:val="24"/>
          <w:lang w:eastAsia="lv-LV"/>
        </w:rPr>
        <w:t>Anita Čerņavska</w:t>
      </w:r>
      <w:r w:rsidRPr="00782A73">
        <w:rPr>
          <w:rFonts w:eastAsia="Times New Roman" w:cs="Times New Roman"/>
          <w:szCs w:val="24"/>
          <w:lang w:eastAsia="lv-LV"/>
        </w:rPr>
        <w:t>,</w:t>
      </w:r>
    </w:p>
    <w:p w14:paraId="25394E67" w14:textId="10D0E10A" w:rsidR="001F40B6" w:rsidRPr="00782A73" w:rsidRDefault="001F40B6" w:rsidP="004B25F0">
      <w:pPr>
        <w:spacing w:after="0" w:line="276" w:lineRule="auto"/>
        <w:ind w:right="-514" w:firstLine="1134"/>
        <w:jc w:val="both"/>
        <w:rPr>
          <w:rFonts w:eastAsia="Times New Roman" w:cs="Times New Roman"/>
          <w:szCs w:val="24"/>
          <w:lang w:eastAsia="lv-LV"/>
        </w:rPr>
      </w:pPr>
      <w:r w:rsidRPr="00782A73">
        <w:rPr>
          <w:rFonts w:eastAsia="Times New Roman" w:cs="Times New Roman"/>
          <w:szCs w:val="24"/>
          <w:lang w:eastAsia="lv-LV"/>
        </w:rPr>
        <w:t>senator</w:t>
      </w:r>
      <w:r w:rsidR="00C364AA" w:rsidRPr="00782A73">
        <w:rPr>
          <w:rFonts w:eastAsia="Times New Roman" w:cs="Times New Roman"/>
          <w:szCs w:val="24"/>
          <w:lang w:eastAsia="lv-LV"/>
        </w:rPr>
        <w:t>s</w:t>
      </w:r>
      <w:r w:rsidRPr="00782A73">
        <w:rPr>
          <w:rFonts w:eastAsia="Times New Roman" w:cs="Times New Roman"/>
          <w:szCs w:val="24"/>
          <w:lang w:eastAsia="lv-LV"/>
        </w:rPr>
        <w:t xml:space="preserve"> </w:t>
      </w:r>
      <w:r w:rsidR="00C364AA" w:rsidRPr="00782A73">
        <w:rPr>
          <w:rFonts w:eastAsia="Times New Roman" w:cs="Times New Roman"/>
          <w:szCs w:val="24"/>
          <w:lang w:eastAsia="lv-LV"/>
        </w:rPr>
        <w:t>Normunds Salenieks</w:t>
      </w:r>
    </w:p>
    <w:p w14:paraId="1A29DEF3" w14:textId="77777777" w:rsidR="00782A73" w:rsidRDefault="00782A73" w:rsidP="004B25F0">
      <w:pPr>
        <w:spacing w:after="0" w:line="276" w:lineRule="auto"/>
        <w:jc w:val="both"/>
        <w:rPr>
          <w:rFonts w:eastAsia="Times New Roman" w:cs="Times New Roman"/>
          <w:szCs w:val="24"/>
          <w:lang w:eastAsia="lv-LV"/>
        </w:rPr>
      </w:pPr>
    </w:p>
    <w:p w14:paraId="5ED93A67" w14:textId="4047B650" w:rsidR="001F40B6" w:rsidRPr="00782A73" w:rsidRDefault="001F40B6" w:rsidP="004B25F0">
      <w:pPr>
        <w:spacing w:after="0" w:line="276" w:lineRule="auto"/>
        <w:jc w:val="both"/>
        <w:rPr>
          <w:rFonts w:eastAsia="Times New Roman" w:cs="Times New Roman"/>
          <w:szCs w:val="24"/>
          <w:lang w:eastAsia="lv-LV"/>
        </w:rPr>
      </w:pPr>
      <w:r w:rsidRPr="00782A73">
        <w:rPr>
          <w:rFonts w:eastAsia="Times New Roman" w:cs="Times New Roman"/>
          <w:szCs w:val="24"/>
          <w:lang w:eastAsia="lv-LV"/>
        </w:rPr>
        <w:t xml:space="preserve">rakstveida procesā izskatīja </w:t>
      </w:r>
      <w:r w:rsidRPr="00782A73">
        <w:rPr>
          <w:rFonts w:cs="Times New Roman"/>
          <w:szCs w:val="24"/>
        </w:rPr>
        <w:t xml:space="preserve">ģenerālprokurora protestu par </w:t>
      </w:r>
      <w:bookmarkStart w:id="0" w:name="_Hlk118884391"/>
      <w:bookmarkStart w:id="1" w:name="_Hlk118883955"/>
      <w:r w:rsidR="00B176E7" w:rsidRPr="00782A73">
        <w:rPr>
          <w:rFonts w:eastAsia="Times New Roman" w:cs="Times New Roman"/>
          <w:szCs w:val="24"/>
          <w:lang w:eastAsia="lv-LV"/>
        </w:rPr>
        <w:t>Vidzemes</w:t>
      </w:r>
      <w:r w:rsidRPr="00782A73">
        <w:rPr>
          <w:rFonts w:eastAsia="Times New Roman" w:cs="Times New Roman"/>
          <w:szCs w:val="24"/>
          <w:lang w:eastAsia="lv-LV"/>
        </w:rPr>
        <w:t xml:space="preserve"> rajona tiesas </w:t>
      </w:r>
      <w:proofErr w:type="gramStart"/>
      <w:r w:rsidR="00B176E7" w:rsidRPr="00782A73">
        <w:rPr>
          <w:rFonts w:eastAsia="Times New Roman" w:cs="Times New Roman"/>
          <w:szCs w:val="24"/>
          <w:lang w:eastAsia="lv-LV"/>
        </w:rPr>
        <w:t>2022.gada</w:t>
      </w:r>
      <w:proofErr w:type="gramEnd"/>
      <w:r w:rsidR="00B176E7" w:rsidRPr="00782A73">
        <w:rPr>
          <w:rFonts w:eastAsia="Times New Roman" w:cs="Times New Roman"/>
          <w:szCs w:val="24"/>
          <w:lang w:eastAsia="lv-LV"/>
        </w:rPr>
        <w:t xml:space="preserve"> 28.marta</w:t>
      </w:r>
      <w:r w:rsidR="001362B5" w:rsidRPr="00782A73">
        <w:rPr>
          <w:rFonts w:eastAsia="Times New Roman" w:cs="Times New Roman"/>
          <w:szCs w:val="24"/>
          <w:lang w:eastAsia="lv-LV"/>
        </w:rPr>
        <w:t xml:space="preserve"> lēmumu</w:t>
      </w:r>
      <w:bookmarkEnd w:id="0"/>
      <w:r w:rsidR="001362B5" w:rsidRPr="00782A73">
        <w:rPr>
          <w:rFonts w:eastAsia="Times New Roman" w:cs="Times New Roman"/>
          <w:szCs w:val="24"/>
          <w:lang w:eastAsia="lv-LV"/>
        </w:rPr>
        <w:t xml:space="preserve"> SIA ,,MIKRONET” ārpustiesas tiesiskās aizsardzības procesa lietā</w:t>
      </w:r>
      <w:bookmarkEnd w:id="1"/>
      <w:r w:rsidR="001362B5" w:rsidRPr="00782A73">
        <w:rPr>
          <w:rFonts w:eastAsia="Times New Roman" w:cs="Times New Roman"/>
          <w:szCs w:val="24"/>
          <w:lang w:eastAsia="lv-LV"/>
        </w:rPr>
        <w:t xml:space="preserve">. </w:t>
      </w:r>
    </w:p>
    <w:p w14:paraId="6614FAC7" w14:textId="77777777" w:rsidR="00B176E7" w:rsidRPr="00782A73" w:rsidRDefault="00B176E7" w:rsidP="004B25F0">
      <w:pPr>
        <w:spacing w:after="0" w:line="276" w:lineRule="auto"/>
        <w:jc w:val="both"/>
        <w:rPr>
          <w:rFonts w:eastAsia="Times New Roman" w:cs="Times New Roman"/>
          <w:szCs w:val="24"/>
          <w:lang w:eastAsia="lv-LV"/>
        </w:rPr>
      </w:pPr>
    </w:p>
    <w:p w14:paraId="4EA25C3B" w14:textId="77777777" w:rsidR="001F40B6" w:rsidRPr="00782A73" w:rsidRDefault="001F40B6" w:rsidP="00FD21E8">
      <w:pPr>
        <w:spacing w:after="0" w:line="276" w:lineRule="auto"/>
        <w:jc w:val="center"/>
        <w:rPr>
          <w:rFonts w:eastAsia="Times New Roman" w:cs="Times New Roman"/>
          <w:b/>
          <w:szCs w:val="24"/>
          <w:lang w:eastAsia="lv-LV"/>
        </w:rPr>
      </w:pPr>
      <w:r w:rsidRPr="00782A73">
        <w:rPr>
          <w:rFonts w:eastAsia="Times New Roman" w:cs="Times New Roman"/>
          <w:b/>
          <w:szCs w:val="24"/>
          <w:lang w:eastAsia="lv-LV"/>
        </w:rPr>
        <w:t>Aprakstošā daļa</w:t>
      </w:r>
    </w:p>
    <w:p w14:paraId="45B922F8" w14:textId="77777777" w:rsidR="001F40B6" w:rsidRPr="00782A73" w:rsidRDefault="001F40B6" w:rsidP="00FD21E8">
      <w:pPr>
        <w:spacing w:after="0" w:line="276" w:lineRule="auto"/>
        <w:ind w:right="-46" w:firstLine="567"/>
        <w:jc w:val="both"/>
        <w:rPr>
          <w:rFonts w:eastAsia="Times New Roman" w:cs="Times New Roman"/>
          <w:color w:val="000000"/>
          <w:szCs w:val="24"/>
          <w:lang w:eastAsia="lv-LV"/>
        </w:rPr>
      </w:pPr>
    </w:p>
    <w:p w14:paraId="119D597B" w14:textId="58768524" w:rsidR="00FD21E8" w:rsidRPr="00782A73" w:rsidRDefault="009768E4" w:rsidP="00FD21E8">
      <w:pPr>
        <w:spacing w:after="0" w:line="276" w:lineRule="auto"/>
        <w:ind w:right="49" w:firstLine="720"/>
        <w:jc w:val="both"/>
        <w:rPr>
          <w:rFonts w:cs="Times New Roman"/>
          <w:szCs w:val="24"/>
        </w:rPr>
      </w:pPr>
      <w:r w:rsidRPr="00782A73">
        <w:rPr>
          <w:rFonts w:eastAsia="Times New Roman" w:cs="Times New Roman"/>
          <w:color w:val="000000"/>
          <w:szCs w:val="24"/>
          <w:lang w:eastAsia="lv-LV"/>
        </w:rPr>
        <w:t xml:space="preserve">[1] </w:t>
      </w:r>
      <w:r w:rsidR="00FD21E8" w:rsidRPr="00782A73">
        <w:rPr>
          <w:rFonts w:cs="Times New Roman"/>
          <w:szCs w:val="24"/>
        </w:rPr>
        <w:t xml:space="preserve">SIA „MIKRONET” </w:t>
      </w:r>
      <w:proofErr w:type="gramStart"/>
      <w:r w:rsidR="00FD21E8" w:rsidRPr="00782A73">
        <w:rPr>
          <w:rFonts w:cs="Times New Roman"/>
          <w:szCs w:val="24"/>
        </w:rPr>
        <w:t>2022.gada</w:t>
      </w:r>
      <w:proofErr w:type="gramEnd"/>
      <w:r w:rsidR="00FD21E8" w:rsidRPr="00782A73">
        <w:rPr>
          <w:rFonts w:cs="Times New Roman"/>
          <w:szCs w:val="24"/>
        </w:rPr>
        <w:t xml:space="preserve"> 8.martā iesniegusi tiesā pieteikumu, lūdzot īstenot ārpustiesas tiesiskās aizsardzības procesu un apstiprināt ārpustiesas tiesiskās aizsardzības procesa pasākumu plānu. </w:t>
      </w:r>
    </w:p>
    <w:p w14:paraId="593AD9E6" w14:textId="77777777" w:rsidR="00FD21E8" w:rsidRPr="00782A73" w:rsidRDefault="00FD21E8" w:rsidP="00FD21E8">
      <w:pPr>
        <w:spacing w:after="0" w:line="276" w:lineRule="auto"/>
        <w:ind w:right="49" w:firstLine="720"/>
        <w:jc w:val="both"/>
        <w:rPr>
          <w:rFonts w:cs="Times New Roman"/>
          <w:szCs w:val="24"/>
        </w:rPr>
      </w:pPr>
    </w:p>
    <w:p w14:paraId="3B85E249" w14:textId="59F1AF74" w:rsidR="00FD21E8" w:rsidRPr="00782A73" w:rsidRDefault="00FD21E8" w:rsidP="00FD21E8">
      <w:pPr>
        <w:spacing w:after="0" w:line="276" w:lineRule="auto"/>
        <w:ind w:right="49" w:firstLine="720"/>
        <w:jc w:val="both"/>
        <w:rPr>
          <w:rFonts w:cs="Times New Roman"/>
          <w:szCs w:val="24"/>
        </w:rPr>
      </w:pPr>
      <w:r w:rsidRPr="00782A73">
        <w:rPr>
          <w:rFonts w:cs="Times New Roman"/>
          <w:szCs w:val="24"/>
        </w:rPr>
        <w:t xml:space="preserve">[2] Ar </w:t>
      </w:r>
      <w:r w:rsidRPr="00782A73">
        <w:rPr>
          <w:rFonts w:eastAsia="Times New Roman" w:cs="Times New Roman"/>
          <w:szCs w:val="24"/>
          <w:lang w:eastAsia="lv-LV"/>
        </w:rPr>
        <w:t>Vidzemes rajona tiesas</w:t>
      </w:r>
      <w:r w:rsidRPr="00782A73">
        <w:rPr>
          <w:rFonts w:cs="Times New Roman"/>
          <w:szCs w:val="24"/>
        </w:rPr>
        <w:t xml:space="preserve"> </w:t>
      </w:r>
      <w:proofErr w:type="gramStart"/>
      <w:r w:rsidRPr="00782A73">
        <w:rPr>
          <w:rFonts w:cs="Times New Roman"/>
          <w:szCs w:val="24"/>
        </w:rPr>
        <w:t>2022.gada</w:t>
      </w:r>
      <w:proofErr w:type="gramEnd"/>
      <w:r w:rsidRPr="00782A73">
        <w:rPr>
          <w:rFonts w:cs="Times New Roman"/>
          <w:szCs w:val="24"/>
        </w:rPr>
        <w:t xml:space="preserve"> 9.marta lēmumu ierosināta SIA “MIKRONET” lieta ārpustiesas tiesiskās aizsardzības procesā.</w:t>
      </w:r>
    </w:p>
    <w:p w14:paraId="144217DA" w14:textId="77777777" w:rsidR="00FD21E8" w:rsidRPr="00782A73" w:rsidRDefault="00FD21E8" w:rsidP="00FD21E8">
      <w:pPr>
        <w:spacing w:after="0" w:line="276" w:lineRule="auto"/>
        <w:ind w:firstLine="720"/>
        <w:jc w:val="both"/>
        <w:rPr>
          <w:rFonts w:cs="Times New Roman"/>
          <w:szCs w:val="24"/>
        </w:rPr>
      </w:pPr>
    </w:p>
    <w:p w14:paraId="57614B22" w14:textId="5B04036C" w:rsidR="00B176E7" w:rsidRPr="00782A73" w:rsidRDefault="00FD21E8" w:rsidP="00FD21E8">
      <w:pPr>
        <w:spacing w:after="0" w:line="276" w:lineRule="auto"/>
        <w:ind w:firstLine="720"/>
        <w:jc w:val="both"/>
        <w:rPr>
          <w:rFonts w:eastAsia="Times New Roman" w:cs="Times New Roman"/>
          <w:szCs w:val="24"/>
          <w:lang w:eastAsia="lv-LV"/>
        </w:rPr>
      </w:pPr>
      <w:r w:rsidRPr="00782A73">
        <w:rPr>
          <w:rFonts w:cs="Times New Roman"/>
          <w:szCs w:val="24"/>
        </w:rPr>
        <w:t xml:space="preserve">[3] </w:t>
      </w:r>
      <w:r w:rsidR="001F40B6" w:rsidRPr="00782A73">
        <w:rPr>
          <w:rFonts w:eastAsia="Times New Roman" w:cs="Times New Roman"/>
          <w:color w:val="000000"/>
          <w:szCs w:val="24"/>
          <w:lang w:eastAsia="lv-LV"/>
        </w:rPr>
        <w:t xml:space="preserve">Ar </w:t>
      </w:r>
      <w:r w:rsidR="00B176E7" w:rsidRPr="00782A73">
        <w:rPr>
          <w:rFonts w:eastAsia="Times New Roman" w:cs="Times New Roman"/>
          <w:color w:val="000000"/>
          <w:szCs w:val="24"/>
          <w:lang w:eastAsia="lv-LV"/>
        </w:rPr>
        <w:t xml:space="preserve">Vidzemes rajona tiesas </w:t>
      </w:r>
      <w:proofErr w:type="gramStart"/>
      <w:r w:rsidR="00B176E7" w:rsidRPr="00782A73">
        <w:rPr>
          <w:rFonts w:eastAsia="Times New Roman" w:cs="Times New Roman"/>
          <w:color w:val="000000"/>
          <w:szCs w:val="24"/>
          <w:lang w:eastAsia="lv-LV"/>
        </w:rPr>
        <w:t>2022.gada</w:t>
      </w:r>
      <w:proofErr w:type="gramEnd"/>
      <w:r w:rsidR="00B176E7" w:rsidRPr="00782A73">
        <w:rPr>
          <w:rFonts w:eastAsia="Times New Roman" w:cs="Times New Roman"/>
          <w:color w:val="000000"/>
          <w:szCs w:val="24"/>
          <w:lang w:eastAsia="lv-LV"/>
        </w:rPr>
        <w:t xml:space="preserve"> 28.marta lēmumu </w:t>
      </w:r>
      <w:r w:rsidR="00B544EB" w:rsidRPr="00782A73">
        <w:rPr>
          <w:rFonts w:eastAsia="Times New Roman" w:cs="Times New Roman"/>
          <w:color w:val="000000"/>
          <w:szCs w:val="24"/>
          <w:lang w:eastAsia="lv-LV"/>
        </w:rPr>
        <w:t xml:space="preserve">(nolēmumā kļūdaini norādīts – spriedums) </w:t>
      </w:r>
      <w:r w:rsidR="001362B5" w:rsidRPr="00782A73">
        <w:rPr>
          <w:rFonts w:eastAsia="Times New Roman" w:cs="Times New Roman"/>
          <w:color w:val="000000"/>
          <w:szCs w:val="24"/>
          <w:lang w:eastAsia="lv-LV"/>
        </w:rPr>
        <w:t xml:space="preserve">apmierināts pieteikums par </w:t>
      </w:r>
      <w:r w:rsidR="001362B5" w:rsidRPr="00782A73">
        <w:rPr>
          <w:rFonts w:eastAsia="Times New Roman" w:cs="Times New Roman"/>
          <w:szCs w:val="24"/>
          <w:lang w:eastAsia="lv-LV"/>
        </w:rPr>
        <w:t>SIA ,,MIKRONET” tiesiskās aizsardzības procesa īstenošanu ārpustiesas tiesiskās aizsardzības procesā un tiesiskās aizsardzības procesa pasākumu plāna apstiprināšanu.</w:t>
      </w:r>
    </w:p>
    <w:p w14:paraId="076DBAC0" w14:textId="354AE2F3" w:rsidR="001362B5" w:rsidRPr="00782A73" w:rsidRDefault="003B3F14"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Nol</w:t>
      </w:r>
      <w:r w:rsidR="001362B5" w:rsidRPr="00782A73">
        <w:rPr>
          <w:rFonts w:eastAsia="Times New Roman" w:cs="Times New Roman"/>
          <w:szCs w:val="24"/>
          <w:lang w:eastAsia="lv-LV"/>
        </w:rPr>
        <w:t xml:space="preserve">ēmums </w:t>
      </w:r>
      <w:bookmarkStart w:id="2" w:name="_Hlk118979017"/>
      <w:r w:rsidR="001362B5" w:rsidRPr="00782A73">
        <w:rPr>
          <w:rFonts w:eastAsia="Times New Roman" w:cs="Times New Roman"/>
          <w:szCs w:val="24"/>
          <w:lang w:eastAsia="lv-LV"/>
        </w:rPr>
        <w:t>pamatots ar šādiem apstākļiem un argumentiem.</w:t>
      </w:r>
      <w:bookmarkEnd w:id="2"/>
    </w:p>
    <w:p w14:paraId="2D7F3F89" w14:textId="0DE11FD0" w:rsidR="001362B5" w:rsidRPr="00782A73" w:rsidRDefault="001362B5"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w:t>
      </w:r>
      <w:r w:rsidR="00FD21E8" w:rsidRPr="00782A73">
        <w:rPr>
          <w:rFonts w:eastAsia="Times New Roman" w:cs="Times New Roman"/>
          <w:szCs w:val="24"/>
          <w:lang w:eastAsia="lv-LV"/>
        </w:rPr>
        <w:t>3</w:t>
      </w:r>
      <w:r w:rsidRPr="00782A73">
        <w:rPr>
          <w:rFonts w:eastAsia="Times New Roman" w:cs="Times New Roman"/>
          <w:szCs w:val="24"/>
          <w:lang w:eastAsia="lv-LV"/>
        </w:rPr>
        <w:t xml:space="preserve">.1] Parādnieces ārpustiesas tiesiskās aizsardzības procesa </w:t>
      </w:r>
      <w:r w:rsidR="003F464E" w:rsidRPr="00782A73">
        <w:rPr>
          <w:rFonts w:eastAsia="Times New Roman" w:cs="Times New Roman"/>
          <w:szCs w:val="24"/>
          <w:lang w:eastAsia="lv-LV"/>
        </w:rPr>
        <w:t xml:space="preserve">pasākumu </w:t>
      </w:r>
      <w:r w:rsidRPr="00782A73">
        <w:rPr>
          <w:rFonts w:eastAsia="Times New Roman" w:cs="Times New Roman"/>
          <w:szCs w:val="24"/>
          <w:lang w:eastAsia="lv-LV"/>
        </w:rPr>
        <w:t>plān</w:t>
      </w:r>
      <w:r w:rsidR="00505E19" w:rsidRPr="00782A73">
        <w:rPr>
          <w:rFonts w:eastAsia="Times New Roman" w:cs="Times New Roman"/>
          <w:szCs w:val="24"/>
          <w:lang w:eastAsia="lv-LV"/>
        </w:rPr>
        <w:t>s</w:t>
      </w:r>
      <w:r w:rsidRPr="00782A73">
        <w:rPr>
          <w:rFonts w:eastAsia="Times New Roman" w:cs="Times New Roman"/>
          <w:szCs w:val="24"/>
          <w:lang w:eastAsia="lv-LV"/>
        </w:rPr>
        <w:t xml:space="preserve"> ir saska</w:t>
      </w:r>
      <w:r w:rsidR="002D58DE" w:rsidRPr="00782A73">
        <w:rPr>
          <w:rFonts w:eastAsia="Times New Roman" w:cs="Times New Roman"/>
          <w:szCs w:val="24"/>
          <w:lang w:eastAsia="lv-LV"/>
        </w:rPr>
        <w:t>ņo</w:t>
      </w:r>
      <w:r w:rsidR="00C64AB6" w:rsidRPr="00782A73">
        <w:rPr>
          <w:rFonts w:eastAsia="Times New Roman" w:cs="Times New Roman"/>
          <w:szCs w:val="24"/>
          <w:lang w:eastAsia="lv-LV"/>
        </w:rPr>
        <w:t>ts ar</w:t>
      </w:r>
      <w:r w:rsidR="002D58DE" w:rsidRPr="00782A73">
        <w:rPr>
          <w:rFonts w:eastAsia="Times New Roman" w:cs="Times New Roman"/>
          <w:szCs w:val="24"/>
          <w:lang w:eastAsia="lv-LV"/>
        </w:rPr>
        <w:t xml:space="preserve"> kreditoru vair</w:t>
      </w:r>
      <w:r w:rsidR="00C64AB6" w:rsidRPr="00782A73">
        <w:rPr>
          <w:rFonts w:eastAsia="Times New Roman" w:cs="Times New Roman"/>
          <w:szCs w:val="24"/>
          <w:lang w:eastAsia="lv-LV"/>
        </w:rPr>
        <w:t>ākumu. P</w:t>
      </w:r>
      <w:r w:rsidR="002D58DE" w:rsidRPr="00782A73">
        <w:rPr>
          <w:rFonts w:eastAsia="Times New Roman" w:cs="Times New Roman"/>
          <w:szCs w:val="24"/>
          <w:lang w:eastAsia="lv-LV"/>
        </w:rPr>
        <w:t>iekri</w:t>
      </w:r>
      <w:r w:rsidR="0078049E" w:rsidRPr="00782A73">
        <w:rPr>
          <w:rFonts w:eastAsia="Times New Roman" w:cs="Times New Roman"/>
          <w:szCs w:val="24"/>
          <w:lang w:eastAsia="lv-LV"/>
        </w:rPr>
        <w:t xml:space="preserve">šanu </w:t>
      </w:r>
      <w:r w:rsidR="002D58DE" w:rsidRPr="00782A73">
        <w:rPr>
          <w:rFonts w:eastAsia="Times New Roman" w:cs="Times New Roman"/>
          <w:szCs w:val="24"/>
          <w:lang w:eastAsia="lv-LV"/>
        </w:rPr>
        <w:t>sniedzis kreditors</w:t>
      </w:r>
      <w:r w:rsidR="00782A73">
        <w:rPr>
          <w:rFonts w:eastAsia="Times New Roman" w:cs="Times New Roman"/>
          <w:szCs w:val="24"/>
          <w:lang w:eastAsia="lv-LV"/>
        </w:rPr>
        <w:t xml:space="preserve"> [pers. A]</w:t>
      </w:r>
      <w:r w:rsidRPr="00782A73">
        <w:rPr>
          <w:rFonts w:eastAsia="Times New Roman" w:cs="Times New Roman"/>
          <w:szCs w:val="24"/>
          <w:lang w:eastAsia="lv-LV"/>
        </w:rPr>
        <w:t>, kura pamatparāds veido 67,61 %</w:t>
      </w:r>
      <w:r w:rsidR="002D58DE" w:rsidRPr="00782A73">
        <w:rPr>
          <w:rFonts w:eastAsia="Times New Roman" w:cs="Times New Roman"/>
          <w:szCs w:val="24"/>
          <w:lang w:eastAsia="lv-LV"/>
        </w:rPr>
        <w:t> </w:t>
      </w:r>
      <w:r w:rsidRPr="00782A73">
        <w:rPr>
          <w:rFonts w:eastAsia="Times New Roman" w:cs="Times New Roman"/>
          <w:szCs w:val="24"/>
          <w:lang w:eastAsia="lv-LV"/>
        </w:rPr>
        <w:t>no kopējās nenodrošināto kreditoru galven</w:t>
      </w:r>
      <w:r w:rsidR="002D58DE" w:rsidRPr="00782A73">
        <w:rPr>
          <w:rFonts w:eastAsia="Times New Roman" w:cs="Times New Roman"/>
          <w:szCs w:val="24"/>
          <w:lang w:eastAsia="lv-LV"/>
        </w:rPr>
        <w:t>o</w:t>
      </w:r>
      <w:r w:rsidRPr="00782A73">
        <w:rPr>
          <w:rFonts w:eastAsia="Times New Roman" w:cs="Times New Roman"/>
          <w:szCs w:val="24"/>
          <w:lang w:eastAsia="lv-LV"/>
        </w:rPr>
        <w:t xml:space="preserve"> pras</w:t>
      </w:r>
      <w:r w:rsidR="00C64AB6" w:rsidRPr="00782A73">
        <w:rPr>
          <w:rFonts w:eastAsia="Times New Roman" w:cs="Times New Roman"/>
          <w:szCs w:val="24"/>
          <w:lang w:eastAsia="lv-LV"/>
        </w:rPr>
        <w:t xml:space="preserve">ījumu summas, kā arī </w:t>
      </w:r>
      <w:r w:rsidR="00B544EB" w:rsidRPr="00782A73">
        <w:rPr>
          <w:rFonts w:eastAsia="Times New Roman" w:cs="Times New Roman"/>
          <w:szCs w:val="24"/>
          <w:lang w:eastAsia="lv-LV"/>
        </w:rPr>
        <w:t xml:space="preserve">citi kreditori, </w:t>
      </w:r>
      <w:r w:rsidR="00E352B0" w:rsidRPr="00782A73">
        <w:rPr>
          <w:rFonts w:eastAsia="Times New Roman" w:cs="Times New Roman"/>
          <w:szCs w:val="24"/>
          <w:lang w:eastAsia="lv-LV"/>
        </w:rPr>
        <w:t xml:space="preserve">kuri </w:t>
      </w:r>
      <w:r w:rsidR="00B544EB" w:rsidRPr="00782A73">
        <w:rPr>
          <w:rFonts w:eastAsia="Times New Roman" w:cs="Times New Roman"/>
          <w:szCs w:val="24"/>
          <w:lang w:eastAsia="lv-LV"/>
        </w:rPr>
        <w:t xml:space="preserve">atbilstoši Maksātnespējas likuma noteikumiem nav tiesīgi saskaņot plānu. </w:t>
      </w:r>
    </w:p>
    <w:p w14:paraId="42B61172" w14:textId="0992600D" w:rsidR="00C64AB6" w:rsidRPr="00782A73" w:rsidRDefault="00C64AB6"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Valsts ieņ</w:t>
      </w:r>
      <w:r w:rsidR="0078049E" w:rsidRPr="00782A73">
        <w:rPr>
          <w:rFonts w:eastAsia="Times New Roman" w:cs="Times New Roman"/>
          <w:szCs w:val="24"/>
          <w:lang w:eastAsia="lv-LV"/>
        </w:rPr>
        <w:t>ēmumu dienesta piekrišana n</w:t>
      </w:r>
      <w:r w:rsidR="003F464E" w:rsidRPr="00782A73">
        <w:rPr>
          <w:rFonts w:eastAsia="Times New Roman" w:cs="Times New Roman"/>
          <w:szCs w:val="24"/>
          <w:lang w:eastAsia="lv-LV"/>
        </w:rPr>
        <w:t>av</w:t>
      </w:r>
      <w:r w:rsidR="0078049E" w:rsidRPr="00782A73">
        <w:rPr>
          <w:rFonts w:eastAsia="Times New Roman" w:cs="Times New Roman"/>
          <w:szCs w:val="24"/>
          <w:lang w:eastAsia="lv-LV"/>
        </w:rPr>
        <w:t xml:space="preserve"> nepieciešama</w:t>
      </w:r>
      <w:r w:rsidRPr="00782A73">
        <w:rPr>
          <w:rFonts w:eastAsia="Times New Roman" w:cs="Times New Roman"/>
          <w:szCs w:val="24"/>
          <w:lang w:eastAsia="lv-LV"/>
        </w:rPr>
        <w:t xml:space="preserve">, jo </w:t>
      </w:r>
      <w:r w:rsidR="00B544EB" w:rsidRPr="00782A73">
        <w:rPr>
          <w:rFonts w:eastAsia="Times New Roman" w:cs="Times New Roman"/>
          <w:szCs w:val="24"/>
          <w:lang w:eastAsia="lv-LV"/>
        </w:rPr>
        <w:t xml:space="preserve">parādniece apņēmusies segt nodokļu parādu pilnā apmērā un </w:t>
      </w:r>
      <w:r w:rsidRPr="00782A73">
        <w:rPr>
          <w:rFonts w:eastAsia="Times New Roman" w:cs="Times New Roman"/>
          <w:szCs w:val="24"/>
          <w:lang w:eastAsia="lv-LV"/>
        </w:rPr>
        <w:t>attiecībā uz tā prasījumu neti</w:t>
      </w:r>
      <w:r w:rsidR="003F464E" w:rsidRPr="00782A73">
        <w:rPr>
          <w:rFonts w:eastAsia="Times New Roman" w:cs="Times New Roman"/>
          <w:szCs w:val="24"/>
          <w:lang w:eastAsia="lv-LV"/>
        </w:rPr>
        <w:t xml:space="preserve">ek </w:t>
      </w:r>
      <w:r w:rsidR="00B544EB" w:rsidRPr="00782A73">
        <w:rPr>
          <w:rFonts w:eastAsia="Times New Roman" w:cs="Times New Roman"/>
          <w:szCs w:val="24"/>
          <w:lang w:eastAsia="lv-LV"/>
        </w:rPr>
        <w:t>piemērota neviena no</w:t>
      </w:r>
      <w:r w:rsidRPr="00782A73">
        <w:rPr>
          <w:rFonts w:eastAsia="Times New Roman" w:cs="Times New Roman"/>
          <w:szCs w:val="24"/>
          <w:lang w:eastAsia="lv-LV"/>
        </w:rPr>
        <w:t xml:space="preserve"> Maksātnespējas likuma </w:t>
      </w:r>
      <w:proofErr w:type="gramStart"/>
      <w:r w:rsidRPr="00782A73">
        <w:rPr>
          <w:rFonts w:eastAsia="Times New Roman" w:cs="Times New Roman"/>
          <w:szCs w:val="24"/>
          <w:lang w:eastAsia="lv-LV"/>
        </w:rPr>
        <w:t>38.panta</w:t>
      </w:r>
      <w:proofErr w:type="gramEnd"/>
      <w:r w:rsidRPr="00782A73">
        <w:rPr>
          <w:rFonts w:eastAsia="Times New Roman" w:cs="Times New Roman"/>
          <w:szCs w:val="24"/>
          <w:lang w:eastAsia="lv-LV"/>
        </w:rPr>
        <w:t xml:space="preserve"> piektajā daļā </w:t>
      </w:r>
      <w:r w:rsidR="00B544EB" w:rsidRPr="00782A73">
        <w:rPr>
          <w:rFonts w:eastAsia="Times New Roman" w:cs="Times New Roman"/>
          <w:szCs w:val="24"/>
          <w:lang w:eastAsia="lv-LV"/>
        </w:rPr>
        <w:t>paredzētajām metodēm.</w:t>
      </w:r>
      <w:r w:rsidR="00D57883" w:rsidRPr="00782A73">
        <w:rPr>
          <w:rFonts w:eastAsia="Times New Roman" w:cs="Times New Roman"/>
          <w:szCs w:val="24"/>
          <w:lang w:eastAsia="lv-LV"/>
        </w:rPr>
        <w:t xml:space="preserve"> </w:t>
      </w:r>
    </w:p>
    <w:p w14:paraId="7C182B82" w14:textId="427F79DE" w:rsidR="003F464E" w:rsidRPr="00782A73" w:rsidRDefault="003F464E"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w:t>
      </w:r>
      <w:r w:rsidR="00FD21E8" w:rsidRPr="00782A73">
        <w:rPr>
          <w:rFonts w:eastAsia="Times New Roman" w:cs="Times New Roman"/>
          <w:szCs w:val="24"/>
          <w:lang w:eastAsia="lv-LV"/>
        </w:rPr>
        <w:t>3</w:t>
      </w:r>
      <w:r w:rsidRPr="00782A73">
        <w:rPr>
          <w:rFonts w:eastAsia="Times New Roman" w:cs="Times New Roman"/>
          <w:szCs w:val="24"/>
          <w:lang w:eastAsia="lv-LV"/>
        </w:rPr>
        <w:t xml:space="preserve">.2] Uzraugošā persona ir pārbaudījusi kreditoru prasījumu pamatotību un ārpustiesas tiesiskās aizsardzības procesa pasākumu plānu, atzīstot, ka tas ir izstrādāts atbilstoši Maksātnespējas likuma prasībām. </w:t>
      </w:r>
    </w:p>
    <w:p w14:paraId="1F57FAE4" w14:textId="56673B45" w:rsidR="003F464E" w:rsidRPr="00782A73" w:rsidRDefault="003F464E"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lastRenderedPageBreak/>
        <w:t>[</w:t>
      </w:r>
      <w:r w:rsidR="00FD21E8" w:rsidRPr="00782A73">
        <w:rPr>
          <w:rFonts w:eastAsia="Times New Roman" w:cs="Times New Roman"/>
          <w:szCs w:val="24"/>
          <w:lang w:eastAsia="lv-LV"/>
        </w:rPr>
        <w:t>3</w:t>
      </w:r>
      <w:r w:rsidRPr="00782A73">
        <w:rPr>
          <w:rFonts w:eastAsia="Times New Roman" w:cs="Times New Roman"/>
          <w:szCs w:val="24"/>
          <w:lang w:eastAsia="lv-LV"/>
        </w:rPr>
        <w:t>.3] Kreditor</w:t>
      </w:r>
      <w:r w:rsidR="009E3AC3" w:rsidRPr="00782A73">
        <w:rPr>
          <w:rFonts w:eastAsia="Times New Roman" w:cs="Times New Roman"/>
          <w:szCs w:val="24"/>
          <w:lang w:eastAsia="lv-LV"/>
        </w:rPr>
        <w:t>es</w:t>
      </w:r>
      <w:r w:rsidRPr="00782A73">
        <w:rPr>
          <w:rFonts w:eastAsia="Times New Roman" w:cs="Times New Roman"/>
          <w:szCs w:val="24"/>
          <w:lang w:eastAsia="lv-LV"/>
        </w:rPr>
        <w:t xml:space="preserve"> SIA ,,NETVISION” lūgumi par tās pieaicināšanu lietā ieinteresētās personas statusā, pierādījumu izprasīšanu un pieteikuma izskatīšanu mutvārdu procesā ir noraidāmi. </w:t>
      </w:r>
    </w:p>
    <w:p w14:paraId="07BCA9B3" w14:textId="778A7B24" w:rsidR="003F464E" w:rsidRPr="00782A73" w:rsidRDefault="00AF103D"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T</w:t>
      </w:r>
      <w:r w:rsidR="00B544EB" w:rsidRPr="00782A73">
        <w:rPr>
          <w:rFonts w:eastAsia="Times New Roman" w:cs="Times New Roman"/>
          <w:szCs w:val="24"/>
          <w:lang w:eastAsia="lv-LV"/>
        </w:rPr>
        <w:t>iesa ir izvērtējusi kreditor</w:t>
      </w:r>
      <w:r w:rsidR="009E3AC3" w:rsidRPr="00782A73">
        <w:rPr>
          <w:rFonts w:eastAsia="Times New Roman" w:cs="Times New Roman"/>
          <w:szCs w:val="24"/>
          <w:lang w:eastAsia="lv-LV"/>
        </w:rPr>
        <w:t>u</w:t>
      </w:r>
      <w:r w:rsidR="00B544EB" w:rsidRPr="00782A73">
        <w:rPr>
          <w:rFonts w:eastAsia="Times New Roman" w:cs="Times New Roman"/>
          <w:szCs w:val="24"/>
          <w:lang w:eastAsia="lv-LV"/>
        </w:rPr>
        <w:t xml:space="preserve"> iebildumus un neuzskata, ka pastāv nepieciešamība noteikt pieteikuma izskatīšanu tiesas sēdē. Tāpat jāņem vērā, ka </w:t>
      </w:r>
      <w:r w:rsidR="008D540E" w:rsidRPr="00782A73">
        <w:rPr>
          <w:rFonts w:eastAsia="Times New Roman" w:cs="Times New Roman"/>
          <w:szCs w:val="24"/>
          <w:lang w:eastAsia="lv-LV"/>
        </w:rPr>
        <w:t>Civilprocesa likuma 45.</w:t>
      </w:r>
      <w:r w:rsidR="008D540E" w:rsidRPr="00782A73">
        <w:rPr>
          <w:rFonts w:eastAsia="Times New Roman" w:cs="Times New Roman"/>
          <w:szCs w:val="24"/>
          <w:vertAlign w:val="superscript"/>
          <w:lang w:eastAsia="lv-LV"/>
        </w:rPr>
        <w:t>1</w:t>
      </w:r>
      <w:r w:rsidR="008D540E" w:rsidRPr="00782A73">
        <w:rPr>
          <w:rFonts w:eastAsia="Times New Roman" w:cs="Times New Roman"/>
          <w:szCs w:val="24"/>
          <w:lang w:eastAsia="lv-LV"/>
        </w:rPr>
        <w:t xml:space="preserve"> nodaļa „Tiesiskās aizsardzības procesa lietas” neparedz kreditora pieaicināšanu lietā </w:t>
      </w:r>
      <w:r w:rsidR="009E3AC3" w:rsidRPr="00782A73">
        <w:rPr>
          <w:rFonts w:eastAsia="Times New Roman" w:cs="Times New Roman"/>
          <w:szCs w:val="24"/>
          <w:lang w:eastAsia="lv-LV"/>
        </w:rPr>
        <w:t>par</w:t>
      </w:r>
      <w:r w:rsidR="008D540E" w:rsidRPr="00782A73">
        <w:rPr>
          <w:rFonts w:eastAsia="Times New Roman" w:cs="Times New Roman"/>
          <w:szCs w:val="24"/>
          <w:lang w:eastAsia="lv-LV"/>
        </w:rPr>
        <w:t xml:space="preserve"> ieinteresēto personu. </w:t>
      </w:r>
    </w:p>
    <w:p w14:paraId="40052100" w14:textId="065AECB2" w:rsidR="008D540E" w:rsidRPr="00782A73" w:rsidRDefault="008D540E" w:rsidP="00FD21E8">
      <w:pPr>
        <w:spacing w:after="0" w:line="276" w:lineRule="auto"/>
        <w:ind w:right="49" w:firstLine="720"/>
        <w:jc w:val="both"/>
        <w:rPr>
          <w:rFonts w:eastAsia="Times New Roman" w:cs="Times New Roman"/>
          <w:color w:val="000000"/>
          <w:szCs w:val="24"/>
          <w:lang w:eastAsia="lv-LV"/>
        </w:rPr>
      </w:pPr>
      <w:r w:rsidRPr="00782A73">
        <w:rPr>
          <w:rFonts w:eastAsia="Times New Roman" w:cs="Times New Roman"/>
          <w:color w:val="000000"/>
          <w:szCs w:val="24"/>
          <w:lang w:eastAsia="lv-LV"/>
        </w:rPr>
        <w:t>[</w:t>
      </w:r>
      <w:r w:rsidR="00FD21E8" w:rsidRPr="00782A73">
        <w:rPr>
          <w:rFonts w:eastAsia="Times New Roman" w:cs="Times New Roman"/>
          <w:color w:val="000000"/>
          <w:szCs w:val="24"/>
          <w:lang w:eastAsia="lv-LV"/>
        </w:rPr>
        <w:t>3</w:t>
      </w:r>
      <w:r w:rsidRPr="00782A73">
        <w:rPr>
          <w:rFonts w:eastAsia="Times New Roman" w:cs="Times New Roman"/>
          <w:color w:val="000000"/>
          <w:szCs w:val="24"/>
          <w:lang w:eastAsia="lv-LV"/>
        </w:rPr>
        <w:t>.4] Lēmums</w:t>
      </w:r>
      <w:proofErr w:type="gramStart"/>
      <w:r w:rsidRPr="00782A73">
        <w:rPr>
          <w:rFonts w:eastAsia="Times New Roman" w:cs="Times New Roman"/>
          <w:color w:val="000000"/>
          <w:szCs w:val="24"/>
          <w:lang w:eastAsia="lv-LV"/>
        </w:rPr>
        <w:t xml:space="preserve"> kā nepārsūdzams</w:t>
      </w:r>
      <w:proofErr w:type="gramEnd"/>
      <w:r w:rsidRPr="00782A73">
        <w:rPr>
          <w:rFonts w:eastAsia="Times New Roman" w:cs="Times New Roman"/>
          <w:color w:val="000000"/>
          <w:szCs w:val="24"/>
          <w:lang w:eastAsia="lv-LV"/>
        </w:rPr>
        <w:t xml:space="preserve"> ir stājies spēkā.</w:t>
      </w:r>
    </w:p>
    <w:p w14:paraId="3F0BF214" w14:textId="77777777" w:rsidR="009768E4" w:rsidRPr="00782A73" w:rsidRDefault="009768E4" w:rsidP="00FD21E8">
      <w:pPr>
        <w:spacing w:after="0" w:line="276" w:lineRule="auto"/>
        <w:ind w:right="49" w:firstLine="720"/>
        <w:jc w:val="both"/>
        <w:rPr>
          <w:rFonts w:eastAsia="Times New Roman" w:cs="Times New Roman"/>
          <w:color w:val="000000"/>
          <w:szCs w:val="24"/>
          <w:lang w:eastAsia="lv-LV"/>
        </w:rPr>
      </w:pPr>
    </w:p>
    <w:p w14:paraId="6A36CFD1" w14:textId="01ACC95A" w:rsidR="001F40B6" w:rsidRPr="00782A73" w:rsidRDefault="001F40B6"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w:t>
      </w:r>
      <w:bookmarkStart w:id="3" w:name="_Hlk118980227"/>
      <w:r w:rsidR="00FD21E8" w:rsidRPr="00782A73">
        <w:rPr>
          <w:rFonts w:eastAsia="Times New Roman" w:cs="Times New Roman"/>
          <w:szCs w:val="24"/>
          <w:lang w:eastAsia="lv-LV"/>
        </w:rPr>
        <w:t>4</w:t>
      </w:r>
      <w:r w:rsidRPr="00782A73">
        <w:rPr>
          <w:rFonts w:eastAsia="Times New Roman" w:cs="Times New Roman"/>
          <w:szCs w:val="24"/>
          <w:lang w:eastAsia="lv-LV"/>
        </w:rPr>
        <w:t xml:space="preserve">] Par </w:t>
      </w:r>
      <w:r w:rsidR="008D540E" w:rsidRPr="00782A73">
        <w:rPr>
          <w:rFonts w:eastAsia="Times New Roman" w:cs="Times New Roman"/>
          <w:szCs w:val="24"/>
          <w:lang w:eastAsia="lv-LV"/>
        </w:rPr>
        <w:t>Vidzemes</w:t>
      </w:r>
      <w:r w:rsidRPr="00782A73">
        <w:rPr>
          <w:rFonts w:eastAsia="Times New Roman" w:cs="Times New Roman"/>
          <w:szCs w:val="24"/>
          <w:lang w:eastAsia="lv-LV"/>
        </w:rPr>
        <w:t xml:space="preserve"> rajona tiesas </w:t>
      </w:r>
      <w:proofErr w:type="gramStart"/>
      <w:r w:rsidR="008D540E" w:rsidRPr="00782A73">
        <w:rPr>
          <w:rFonts w:eastAsia="Times New Roman" w:cs="Times New Roman"/>
          <w:szCs w:val="24"/>
          <w:lang w:eastAsia="lv-LV"/>
        </w:rPr>
        <w:t>2022.gada</w:t>
      </w:r>
      <w:proofErr w:type="gramEnd"/>
      <w:r w:rsidR="008D540E" w:rsidRPr="00782A73">
        <w:rPr>
          <w:rFonts w:eastAsia="Times New Roman" w:cs="Times New Roman"/>
          <w:szCs w:val="24"/>
          <w:lang w:eastAsia="lv-LV"/>
        </w:rPr>
        <w:t xml:space="preserve"> 28.marta</w:t>
      </w:r>
      <w:r w:rsidRPr="00782A73">
        <w:rPr>
          <w:rFonts w:eastAsia="Times New Roman" w:cs="Times New Roman"/>
          <w:szCs w:val="24"/>
          <w:lang w:eastAsia="lv-LV"/>
        </w:rPr>
        <w:t xml:space="preserve"> lēmumu </w:t>
      </w:r>
      <w:r w:rsidR="008D540E" w:rsidRPr="00782A73">
        <w:rPr>
          <w:rFonts w:cs="Times New Roman"/>
          <w:szCs w:val="24"/>
        </w:rPr>
        <w:t xml:space="preserve">ģenerālprokurors </w:t>
      </w:r>
      <w:r w:rsidRPr="00782A73">
        <w:rPr>
          <w:rFonts w:cs="Times New Roman"/>
          <w:szCs w:val="24"/>
        </w:rPr>
        <w:t xml:space="preserve">iesniedzis protestu, kurā </w:t>
      </w:r>
      <w:r w:rsidR="008D540E" w:rsidRPr="00782A73">
        <w:rPr>
          <w:rFonts w:eastAsia="Times New Roman" w:cs="Times New Roman"/>
          <w:szCs w:val="24"/>
          <w:lang w:eastAsia="lv-LV"/>
        </w:rPr>
        <w:t>lūdzis to atcelt un lietu</w:t>
      </w:r>
      <w:r w:rsidRPr="00782A73">
        <w:rPr>
          <w:rFonts w:eastAsia="Times New Roman" w:cs="Times New Roman"/>
          <w:szCs w:val="24"/>
          <w:lang w:eastAsia="lv-LV"/>
        </w:rPr>
        <w:t xml:space="preserve"> nodot jaunai izskatīšanai pirmās instances tiesā</w:t>
      </w:r>
      <w:r w:rsidR="008D540E" w:rsidRPr="00782A73">
        <w:rPr>
          <w:rFonts w:eastAsia="Times New Roman" w:cs="Times New Roman"/>
          <w:szCs w:val="24"/>
          <w:lang w:eastAsia="lv-LV"/>
        </w:rPr>
        <w:t xml:space="preserve">, </w:t>
      </w:r>
      <w:r w:rsidR="004F04BF" w:rsidRPr="00782A73">
        <w:rPr>
          <w:rFonts w:eastAsia="Times New Roman" w:cs="Times New Roman"/>
          <w:szCs w:val="24"/>
          <w:lang w:eastAsia="lv-LV"/>
        </w:rPr>
        <w:t xml:space="preserve">norādot šādus </w:t>
      </w:r>
      <w:r w:rsidR="008C2251" w:rsidRPr="00782A73">
        <w:rPr>
          <w:rFonts w:eastAsia="Times New Roman" w:cs="Times New Roman"/>
          <w:szCs w:val="24"/>
          <w:lang w:eastAsia="lv-LV"/>
        </w:rPr>
        <w:t xml:space="preserve">apstākļus un </w:t>
      </w:r>
      <w:r w:rsidR="004F04BF" w:rsidRPr="00782A73">
        <w:rPr>
          <w:rFonts w:eastAsia="Times New Roman" w:cs="Times New Roman"/>
          <w:szCs w:val="24"/>
          <w:lang w:eastAsia="lv-LV"/>
        </w:rPr>
        <w:t>argumentus</w:t>
      </w:r>
      <w:r w:rsidRPr="00782A73">
        <w:rPr>
          <w:rFonts w:eastAsia="Times New Roman" w:cs="Times New Roman"/>
          <w:szCs w:val="24"/>
          <w:lang w:eastAsia="lv-LV"/>
        </w:rPr>
        <w:t>.</w:t>
      </w:r>
    </w:p>
    <w:bookmarkEnd w:id="3"/>
    <w:p w14:paraId="39C22196" w14:textId="6C5FB510" w:rsidR="00FA2F87" w:rsidRPr="00782A73" w:rsidRDefault="008D540E"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w:t>
      </w:r>
      <w:r w:rsidR="00FD21E8" w:rsidRPr="00782A73">
        <w:rPr>
          <w:rFonts w:eastAsia="Times New Roman" w:cs="Times New Roman"/>
          <w:szCs w:val="24"/>
          <w:lang w:eastAsia="lv-LV"/>
        </w:rPr>
        <w:t>4</w:t>
      </w:r>
      <w:r w:rsidRPr="00782A73">
        <w:rPr>
          <w:rFonts w:eastAsia="Times New Roman" w:cs="Times New Roman"/>
          <w:szCs w:val="24"/>
          <w:lang w:eastAsia="lv-LV"/>
        </w:rPr>
        <w:t>.1]</w:t>
      </w:r>
      <w:r w:rsidR="008C2251" w:rsidRPr="00782A73">
        <w:rPr>
          <w:rFonts w:eastAsia="Times New Roman" w:cs="Times New Roman"/>
          <w:szCs w:val="24"/>
          <w:lang w:eastAsia="lv-LV"/>
        </w:rPr>
        <w:t> Ā</w:t>
      </w:r>
      <w:r w:rsidR="006A5207" w:rsidRPr="00782A73">
        <w:rPr>
          <w:rFonts w:eastAsia="Times New Roman" w:cs="Times New Roman"/>
          <w:szCs w:val="24"/>
          <w:lang w:eastAsia="lv-LV"/>
        </w:rPr>
        <w:t xml:space="preserve">rpustiesas tiesiskās aizsardzības procesa pasākumu </w:t>
      </w:r>
      <w:r w:rsidR="00FA2F87" w:rsidRPr="00782A73">
        <w:rPr>
          <w:rFonts w:eastAsia="Times New Roman" w:cs="Times New Roman"/>
          <w:szCs w:val="24"/>
          <w:lang w:eastAsia="lv-LV"/>
        </w:rPr>
        <w:t xml:space="preserve">plānā kā kreditori norādīti </w:t>
      </w:r>
      <w:r w:rsidR="00782A73">
        <w:rPr>
          <w:rFonts w:eastAsia="Times New Roman" w:cs="Times New Roman"/>
          <w:szCs w:val="24"/>
          <w:lang w:eastAsia="lv-LV"/>
        </w:rPr>
        <w:t>[pers. A]</w:t>
      </w:r>
      <w:r w:rsidR="00FA2F87" w:rsidRPr="00782A73">
        <w:rPr>
          <w:rFonts w:eastAsia="Times New Roman" w:cs="Times New Roman"/>
          <w:szCs w:val="24"/>
          <w:lang w:eastAsia="lv-LV"/>
        </w:rPr>
        <w:t>, SIA ,,NETVISION”, Valsts ieņēmumu dienests un ar parādnieci saistītās personas.</w:t>
      </w:r>
    </w:p>
    <w:p w14:paraId="10C1BC0D" w14:textId="01E8384C" w:rsidR="00D57883" w:rsidRPr="00782A73" w:rsidRDefault="00FA2F87"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 xml:space="preserve">Piekrišanu parādnieces piedāvājumam dzēst </w:t>
      </w:r>
      <w:r w:rsidR="00D57883" w:rsidRPr="00782A73">
        <w:rPr>
          <w:rFonts w:eastAsia="Times New Roman" w:cs="Times New Roman"/>
          <w:szCs w:val="24"/>
          <w:lang w:eastAsia="lv-LV"/>
        </w:rPr>
        <w:t xml:space="preserve">74 % no galvenā parāda un visus blakus prasījumus sniedzis tikai </w:t>
      </w:r>
      <w:r w:rsidR="00782A73">
        <w:rPr>
          <w:rFonts w:eastAsia="Times New Roman" w:cs="Times New Roman"/>
          <w:szCs w:val="24"/>
          <w:lang w:eastAsia="lv-LV"/>
        </w:rPr>
        <w:t>[pers. A]</w:t>
      </w:r>
      <w:r w:rsidRPr="00782A73">
        <w:rPr>
          <w:rFonts w:eastAsia="Times New Roman" w:cs="Times New Roman"/>
          <w:szCs w:val="24"/>
          <w:lang w:eastAsia="lv-LV"/>
        </w:rPr>
        <w:t xml:space="preserve">, par kura prasījuma fiktīvo raksturu un </w:t>
      </w:r>
      <w:r w:rsidR="00A53B77" w:rsidRPr="00782A73">
        <w:rPr>
          <w:rFonts w:eastAsia="Times New Roman" w:cs="Times New Roman"/>
          <w:szCs w:val="24"/>
          <w:lang w:eastAsia="lv-LV"/>
        </w:rPr>
        <w:t>finansiālo spēju</w:t>
      </w:r>
      <w:r w:rsidRPr="00782A73">
        <w:rPr>
          <w:rFonts w:eastAsia="Times New Roman" w:cs="Times New Roman"/>
          <w:szCs w:val="24"/>
          <w:lang w:eastAsia="lv-LV"/>
        </w:rPr>
        <w:t xml:space="preserve"> izsniegt aizdevumu 167 242,76 </w:t>
      </w:r>
      <w:r w:rsidR="00D800F0" w:rsidRPr="00782A73">
        <w:rPr>
          <w:rFonts w:eastAsia="Times New Roman" w:cs="Times New Roman"/>
          <w:iCs/>
          <w:szCs w:val="24"/>
          <w:lang w:eastAsia="lv-LV"/>
        </w:rPr>
        <w:t>EUR</w:t>
      </w:r>
      <w:r w:rsidRPr="00782A73">
        <w:rPr>
          <w:rFonts w:eastAsia="Times New Roman" w:cs="Times New Roman"/>
          <w:i/>
          <w:szCs w:val="24"/>
          <w:lang w:eastAsia="lv-LV"/>
        </w:rPr>
        <w:t xml:space="preserve"> </w:t>
      </w:r>
      <w:r w:rsidR="005C4627" w:rsidRPr="00782A73">
        <w:rPr>
          <w:rFonts w:eastAsia="Times New Roman" w:cs="Times New Roman"/>
          <w:szCs w:val="24"/>
          <w:lang w:eastAsia="lv-LV"/>
        </w:rPr>
        <w:t xml:space="preserve">apmērā </w:t>
      </w:r>
      <w:r w:rsidRPr="00782A73">
        <w:rPr>
          <w:rFonts w:eastAsia="Times New Roman" w:cs="Times New Roman"/>
          <w:szCs w:val="24"/>
          <w:lang w:eastAsia="lv-LV"/>
        </w:rPr>
        <w:t>SIA ,,NETVISION” kā otr</w:t>
      </w:r>
      <w:r w:rsidR="009E3AC3" w:rsidRPr="00782A73">
        <w:rPr>
          <w:rFonts w:eastAsia="Times New Roman" w:cs="Times New Roman"/>
          <w:szCs w:val="24"/>
          <w:lang w:eastAsia="lv-LV"/>
        </w:rPr>
        <w:t>a</w:t>
      </w:r>
      <w:r w:rsidRPr="00782A73">
        <w:rPr>
          <w:rFonts w:eastAsia="Times New Roman" w:cs="Times New Roman"/>
          <w:szCs w:val="24"/>
          <w:lang w:eastAsia="lv-LV"/>
        </w:rPr>
        <w:t xml:space="preserve"> lielāk</w:t>
      </w:r>
      <w:r w:rsidR="009E3AC3" w:rsidRPr="00782A73">
        <w:rPr>
          <w:rFonts w:eastAsia="Times New Roman" w:cs="Times New Roman"/>
          <w:szCs w:val="24"/>
          <w:lang w:eastAsia="lv-LV"/>
        </w:rPr>
        <w:t>ā</w:t>
      </w:r>
      <w:r w:rsidRPr="00782A73">
        <w:rPr>
          <w:rFonts w:eastAsia="Times New Roman" w:cs="Times New Roman"/>
          <w:szCs w:val="24"/>
          <w:lang w:eastAsia="lv-LV"/>
        </w:rPr>
        <w:t xml:space="preserve"> </w:t>
      </w:r>
      <w:r w:rsidR="009B5D7B" w:rsidRPr="00782A73">
        <w:rPr>
          <w:rFonts w:eastAsia="Times New Roman" w:cs="Times New Roman"/>
          <w:szCs w:val="24"/>
          <w:lang w:eastAsia="lv-LV"/>
        </w:rPr>
        <w:t xml:space="preserve">kreditore </w:t>
      </w:r>
      <w:r w:rsidRPr="00782A73">
        <w:rPr>
          <w:rFonts w:eastAsia="Times New Roman" w:cs="Times New Roman"/>
          <w:szCs w:val="24"/>
          <w:lang w:eastAsia="lv-LV"/>
        </w:rPr>
        <w:t>ir iztei</w:t>
      </w:r>
      <w:r w:rsidR="009E3AC3" w:rsidRPr="00782A73">
        <w:rPr>
          <w:rFonts w:eastAsia="Times New Roman" w:cs="Times New Roman"/>
          <w:szCs w:val="24"/>
          <w:lang w:eastAsia="lv-LV"/>
        </w:rPr>
        <w:t>kusi</w:t>
      </w:r>
      <w:r w:rsidRPr="00782A73">
        <w:rPr>
          <w:rFonts w:eastAsia="Times New Roman" w:cs="Times New Roman"/>
          <w:szCs w:val="24"/>
          <w:lang w:eastAsia="lv-LV"/>
        </w:rPr>
        <w:t xml:space="preserve"> iebildumus</w:t>
      </w:r>
      <w:r w:rsidR="00D57883" w:rsidRPr="00782A73">
        <w:rPr>
          <w:rFonts w:eastAsia="Times New Roman" w:cs="Times New Roman"/>
          <w:szCs w:val="24"/>
          <w:lang w:eastAsia="lv-LV"/>
        </w:rPr>
        <w:t xml:space="preserve">. </w:t>
      </w:r>
    </w:p>
    <w:p w14:paraId="3D0A832B" w14:textId="59C7F103" w:rsidR="002163B4" w:rsidRPr="00782A73" w:rsidRDefault="002163B4" w:rsidP="00FD21E8">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w:t>
      </w:r>
      <w:r w:rsidR="00FD21E8" w:rsidRPr="00782A73">
        <w:rPr>
          <w:rFonts w:eastAsia="Times New Roman" w:cs="Times New Roman"/>
          <w:szCs w:val="24"/>
          <w:lang w:eastAsia="lv-LV"/>
        </w:rPr>
        <w:t>4</w:t>
      </w:r>
      <w:r w:rsidRPr="00782A73">
        <w:rPr>
          <w:rFonts w:eastAsia="Times New Roman" w:cs="Times New Roman"/>
          <w:szCs w:val="24"/>
          <w:lang w:eastAsia="lv-LV"/>
        </w:rPr>
        <w:t>.2] </w:t>
      </w:r>
      <w:proofErr w:type="spellStart"/>
      <w:r w:rsidRPr="00782A73">
        <w:rPr>
          <w:rFonts w:eastAsia="Times New Roman" w:cs="Times New Roman"/>
          <w:szCs w:val="24"/>
          <w:lang w:eastAsia="lv-LV"/>
        </w:rPr>
        <w:t>Pirmšķietami</w:t>
      </w:r>
      <w:proofErr w:type="spellEnd"/>
      <w:r w:rsidRPr="00782A73">
        <w:rPr>
          <w:rFonts w:eastAsia="Times New Roman" w:cs="Times New Roman"/>
          <w:szCs w:val="24"/>
          <w:lang w:eastAsia="lv-LV"/>
        </w:rPr>
        <w:t xml:space="preserve"> konstatējams, ka ārpustiesas tiesiskās aizsardzības process negatīvi ietekmē tikai viena </w:t>
      </w:r>
      <w:r w:rsidR="00E352B0" w:rsidRPr="00782A73">
        <w:rPr>
          <w:rFonts w:eastAsia="Times New Roman" w:cs="Times New Roman"/>
          <w:szCs w:val="24"/>
          <w:lang w:eastAsia="lv-LV"/>
        </w:rPr>
        <w:t>kreditore</w:t>
      </w:r>
      <w:proofErr w:type="gramStart"/>
      <w:r w:rsidR="00E352B0" w:rsidRPr="00782A73">
        <w:rPr>
          <w:rFonts w:eastAsia="Times New Roman" w:cs="Times New Roman"/>
          <w:szCs w:val="24"/>
          <w:lang w:eastAsia="lv-LV"/>
        </w:rPr>
        <w:t xml:space="preserve">  </w:t>
      </w:r>
      <w:proofErr w:type="gramEnd"/>
      <w:r w:rsidR="009E3AC3" w:rsidRPr="00782A73">
        <w:rPr>
          <w:rFonts w:eastAsia="Times New Roman" w:cs="Times New Roman"/>
          <w:szCs w:val="24"/>
          <w:lang w:eastAsia="lv-LV"/>
        </w:rPr>
        <w:t xml:space="preserve">- </w:t>
      </w:r>
      <w:r w:rsidRPr="00782A73">
        <w:rPr>
          <w:rFonts w:eastAsia="Times New Roman" w:cs="Times New Roman"/>
          <w:szCs w:val="24"/>
          <w:lang w:eastAsia="lv-LV"/>
        </w:rPr>
        <w:t>SIA ,,NETVISION”</w:t>
      </w:r>
      <w:r w:rsidR="009E3AC3" w:rsidRPr="00782A73">
        <w:rPr>
          <w:rFonts w:eastAsia="Times New Roman" w:cs="Times New Roman"/>
          <w:szCs w:val="24"/>
          <w:lang w:eastAsia="lv-LV"/>
        </w:rPr>
        <w:t xml:space="preserve"> -</w:t>
      </w:r>
      <w:r w:rsidRPr="00782A73">
        <w:rPr>
          <w:rFonts w:eastAsia="Times New Roman" w:cs="Times New Roman"/>
          <w:szCs w:val="24"/>
          <w:lang w:eastAsia="lv-LV"/>
        </w:rPr>
        <w:t xml:space="preserve"> intereses, par kura prasījuma pamatotību tiek risināts strīds citā tiesvedībā.</w:t>
      </w:r>
    </w:p>
    <w:p w14:paraId="26C985C7" w14:textId="5497B5B7" w:rsidR="002163B4" w:rsidRPr="00782A73" w:rsidRDefault="002163B4" w:rsidP="008D78EA">
      <w:pPr>
        <w:spacing w:after="0" w:line="276" w:lineRule="auto"/>
        <w:ind w:right="49" w:firstLine="720"/>
        <w:jc w:val="both"/>
        <w:rPr>
          <w:rFonts w:eastAsia="Times New Roman" w:cs="Times New Roman"/>
          <w:szCs w:val="24"/>
          <w:lang w:eastAsia="lv-LV"/>
        </w:rPr>
      </w:pPr>
      <w:r w:rsidRPr="00782A73">
        <w:rPr>
          <w:rFonts w:eastAsia="Times New Roman" w:cs="Times New Roman"/>
          <w:szCs w:val="24"/>
          <w:lang w:eastAsia="lv-LV"/>
        </w:rPr>
        <w:t xml:space="preserve">Neskatoties uz to, tiesa pēc būtības nav izvērtējusi SIA ,,NETVISION” iebildumus, kā arī nav </w:t>
      </w:r>
      <w:r w:rsidR="005D5991" w:rsidRPr="00782A73">
        <w:rPr>
          <w:rFonts w:eastAsia="Times New Roman" w:cs="Times New Roman"/>
          <w:szCs w:val="24"/>
          <w:lang w:eastAsia="lv-LV"/>
        </w:rPr>
        <w:t>argument</w:t>
      </w:r>
      <w:r w:rsidR="00C916E7" w:rsidRPr="00782A73">
        <w:rPr>
          <w:rFonts w:eastAsia="Times New Roman" w:cs="Times New Roman"/>
          <w:szCs w:val="24"/>
          <w:lang w:eastAsia="lv-LV"/>
        </w:rPr>
        <w:t>ē</w:t>
      </w:r>
      <w:r w:rsidR="005D5991" w:rsidRPr="00782A73">
        <w:rPr>
          <w:rFonts w:eastAsia="Times New Roman" w:cs="Times New Roman"/>
          <w:szCs w:val="24"/>
          <w:lang w:eastAsia="lv-LV"/>
        </w:rPr>
        <w:t>jusi</w:t>
      </w:r>
      <w:r w:rsidRPr="00782A73">
        <w:rPr>
          <w:rFonts w:eastAsia="Times New Roman" w:cs="Times New Roman"/>
          <w:szCs w:val="24"/>
          <w:lang w:eastAsia="lv-LV"/>
        </w:rPr>
        <w:t>, kādēļ atbilstoši Civilprocesa likuma 341.</w:t>
      </w:r>
      <w:r w:rsidRPr="00782A73">
        <w:rPr>
          <w:rFonts w:eastAsia="Times New Roman" w:cs="Times New Roman"/>
          <w:szCs w:val="24"/>
          <w:vertAlign w:val="superscript"/>
          <w:lang w:eastAsia="lv-LV"/>
        </w:rPr>
        <w:t>6 </w:t>
      </w:r>
      <w:r w:rsidRPr="00782A73">
        <w:rPr>
          <w:rFonts w:eastAsia="Times New Roman" w:cs="Times New Roman"/>
          <w:szCs w:val="24"/>
          <w:lang w:eastAsia="lv-LV"/>
        </w:rPr>
        <w:t>panta 2.</w:t>
      </w:r>
      <w:r w:rsidRPr="00782A73">
        <w:rPr>
          <w:rFonts w:eastAsia="Times New Roman" w:cs="Times New Roman"/>
          <w:szCs w:val="24"/>
          <w:vertAlign w:val="superscript"/>
          <w:lang w:eastAsia="lv-LV"/>
        </w:rPr>
        <w:t>1</w:t>
      </w:r>
      <w:r w:rsidRPr="00782A73">
        <w:rPr>
          <w:rFonts w:eastAsia="Times New Roman" w:cs="Times New Roman"/>
          <w:szCs w:val="24"/>
          <w:lang w:eastAsia="lv-LV"/>
        </w:rPr>
        <w:t xml:space="preserve"> daļas prasībām </w:t>
      </w:r>
      <w:r w:rsidR="00E352B0" w:rsidRPr="00782A73">
        <w:rPr>
          <w:rFonts w:eastAsia="Times New Roman" w:cs="Times New Roman"/>
          <w:szCs w:val="24"/>
          <w:lang w:eastAsia="lv-LV"/>
        </w:rPr>
        <w:t xml:space="preserve">kreditore </w:t>
      </w:r>
      <w:r w:rsidRPr="00782A73">
        <w:rPr>
          <w:rFonts w:eastAsia="Times New Roman" w:cs="Times New Roman"/>
          <w:szCs w:val="24"/>
          <w:lang w:eastAsia="lv-LV"/>
        </w:rPr>
        <w:t xml:space="preserve">nebija </w:t>
      </w:r>
      <w:r w:rsidR="00E352B0" w:rsidRPr="00782A73">
        <w:rPr>
          <w:rFonts w:eastAsia="Times New Roman" w:cs="Times New Roman"/>
          <w:szCs w:val="24"/>
          <w:lang w:eastAsia="lv-LV"/>
        </w:rPr>
        <w:t xml:space="preserve">pieaicināma </w:t>
      </w:r>
      <w:r w:rsidRPr="00782A73">
        <w:rPr>
          <w:rFonts w:eastAsia="Times New Roman" w:cs="Times New Roman"/>
          <w:szCs w:val="24"/>
          <w:lang w:eastAsia="lv-LV"/>
        </w:rPr>
        <w:t>lietā kā ieinteresētā persona.</w:t>
      </w:r>
    </w:p>
    <w:p w14:paraId="5FABBA7B" w14:textId="40FB112F" w:rsidR="00D57883" w:rsidRPr="00782A73" w:rsidRDefault="002163B4" w:rsidP="008D78EA">
      <w:pPr>
        <w:spacing w:after="0" w:line="276" w:lineRule="auto"/>
        <w:ind w:right="49" w:firstLine="698"/>
        <w:jc w:val="both"/>
        <w:rPr>
          <w:rFonts w:eastAsia="Times New Roman" w:cs="Times New Roman"/>
          <w:szCs w:val="24"/>
          <w:lang w:eastAsia="lv-LV"/>
        </w:rPr>
      </w:pPr>
      <w:r w:rsidRPr="00782A73">
        <w:rPr>
          <w:rFonts w:eastAsia="Times New Roman" w:cs="Times New Roman"/>
          <w:szCs w:val="24"/>
          <w:lang w:eastAsia="lv-LV"/>
        </w:rPr>
        <w:t xml:space="preserve">Minētais nav pieļaujams, jo, zaudējot tiesības pēc saistības </w:t>
      </w:r>
      <w:r w:rsidR="005D5991" w:rsidRPr="00782A73">
        <w:rPr>
          <w:rFonts w:eastAsia="Times New Roman" w:cs="Times New Roman"/>
          <w:szCs w:val="24"/>
          <w:lang w:eastAsia="lv-LV"/>
        </w:rPr>
        <w:t xml:space="preserve">izpildes </w:t>
      </w:r>
      <w:r w:rsidRPr="00782A73">
        <w:rPr>
          <w:rFonts w:eastAsia="Times New Roman" w:cs="Times New Roman"/>
          <w:szCs w:val="24"/>
          <w:lang w:eastAsia="lv-LV"/>
        </w:rPr>
        <w:t xml:space="preserve">bezstrīdus kārtībā, kreditoram tiek liegtas arī tiesības celt iebildumus savu interešu nodrošināšanai. </w:t>
      </w:r>
    </w:p>
    <w:p w14:paraId="7ACF0D6A" w14:textId="66E29D82" w:rsidR="00B66BA5" w:rsidRPr="00782A73" w:rsidRDefault="00B66BA5" w:rsidP="008D78EA">
      <w:pPr>
        <w:spacing w:after="0" w:line="276" w:lineRule="auto"/>
        <w:ind w:right="49" w:firstLine="698"/>
        <w:jc w:val="both"/>
        <w:rPr>
          <w:rFonts w:eastAsia="Times New Roman" w:cs="Times New Roman"/>
          <w:szCs w:val="24"/>
          <w:lang w:eastAsia="lv-LV"/>
        </w:rPr>
      </w:pPr>
    </w:p>
    <w:p w14:paraId="21153149" w14:textId="22E3716A" w:rsidR="008D78EA" w:rsidRPr="00782A73" w:rsidRDefault="00B66BA5" w:rsidP="00E352B0">
      <w:pPr>
        <w:spacing w:after="0" w:line="276" w:lineRule="auto"/>
        <w:ind w:firstLine="698"/>
        <w:jc w:val="both"/>
        <w:rPr>
          <w:rFonts w:cs="Times New Roman"/>
          <w:szCs w:val="24"/>
        </w:rPr>
      </w:pPr>
      <w:r w:rsidRPr="00782A73">
        <w:rPr>
          <w:rFonts w:eastAsia="Times New Roman" w:cs="Times New Roman"/>
          <w:szCs w:val="24"/>
          <w:lang w:eastAsia="lv-LV"/>
        </w:rPr>
        <w:t xml:space="preserve">[5] </w:t>
      </w:r>
      <w:r w:rsidRPr="00782A73">
        <w:rPr>
          <w:rFonts w:cs="Times New Roman"/>
          <w:szCs w:val="24"/>
        </w:rPr>
        <w:t xml:space="preserve">SIA „MIKRONET” valdes loceklis </w:t>
      </w:r>
      <w:r w:rsidR="00782A73">
        <w:rPr>
          <w:rFonts w:cs="Times New Roman"/>
          <w:szCs w:val="24"/>
        </w:rPr>
        <w:t>[pers. B]</w:t>
      </w:r>
      <w:r w:rsidRPr="00782A73">
        <w:rPr>
          <w:rFonts w:cs="Times New Roman"/>
          <w:szCs w:val="24"/>
        </w:rPr>
        <w:t xml:space="preserve"> </w:t>
      </w:r>
      <w:proofErr w:type="gramStart"/>
      <w:r w:rsidRPr="00782A73">
        <w:rPr>
          <w:rFonts w:cs="Times New Roman"/>
          <w:szCs w:val="24"/>
        </w:rPr>
        <w:t>2022.gada</w:t>
      </w:r>
      <w:proofErr w:type="gramEnd"/>
      <w:r w:rsidRPr="00782A73">
        <w:rPr>
          <w:rFonts w:cs="Times New Roman"/>
          <w:szCs w:val="24"/>
        </w:rPr>
        <w:t xml:space="preserve"> 14.decembrī  </w:t>
      </w:r>
      <w:r w:rsidR="00863898" w:rsidRPr="00782A73">
        <w:rPr>
          <w:rFonts w:cs="Times New Roman"/>
          <w:szCs w:val="24"/>
        </w:rPr>
        <w:t xml:space="preserve">iesniedza </w:t>
      </w:r>
      <w:r w:rsidRPr="00782A73">
        <w:rPr>
          <w:rFonts w:cs="Times New Roman"/>
          <w:szCs w:val="24"/>
        </w:rPr>
        <w:t xml:space="preserve">paskaidrojumus, norādot, ka </w:t>
      </w:r>
      <w:r w:rsidR="00E352B0" w:rsidRPr="00782A73">
        <w:rPr>
          <w:rFonts w:cs="Times New Roman"/>
          <w:szCs w:val="24"/>
        </w:rPr>
        <w:t>protests noraidāms</w:t>
      </w:r>
      <w:r w:rsidR="00822302" w:rsidRPr="00782A73">
        <w:rPr>
          <w:rFonts w:cs="Times New Roman"/>
          <w:szCs w:val="24"/>
        </w:rPr>
        <w:t xml:space="preserve">. </w:t>
      </w:r>
      <w:r w:rsidRPr="00782A73">
        <w:rPr>
          <w:rFonts w:cs="Times New Roman"/>
          <w:szCs w:val="24"/>
        </w:rPr>
        <w:t xml:space="preserve">2022.gada </w:t>
      </w:r>
      <w:r w:rsidR="00782A73">
        <w:rPr>
          <w:rFonts w:cs="Times New Roman"/>
          <w:szCs w:val="24"/>
        </w:rPr>
        <w:t xml:space="preserve">[..] </w:t>
      </w:r>
      <w:r w:rsidRPr="00782A73">
        <w:rPr>
          <w:rFonts w:cs="Times New Roman"/>
          <w:szCs w:val="24"/>
        </w:rPr>
        <w:t>oktobrī SIA „MIKRONET” dalībnieku sapulce pieņēma lēmumu palielināt pamatkapitālu un uzņemt SIA „NETVISION” kā jaunu dalībnieku.</w:t>
      </w:r>
      <w:r w:rsidR="008D78EA" w:rsidRPr="00782A73">
        <w:rPr>
          <w:rFonts w:cs="Times New Roman"/>
          <w:szCs w:val="24"/>
        </w:rPr>
        <w:t xml:space="preserve"> Līdz ar to SIA „NETVISION” prasījum</w:t>
      </w:r>
      <w:r w:rsidR="0028141A" w:rsidRPr="00782A73">
        <w:rPr>
          <w:rFonts w:cs="Times New Roman"/>
          <w:szCs w:val="24"/>
        </w:rPr>
        <w:t>s</w:t>
      </w:r>
      <w:r w:rsidR="00E352B0" w:rsidRPr="00782A73">
        <w:rPr>
          <w:rFonts w:cs="Times New Roman"/>
          <w:szCs w:val="24"/>
        </w:rPr>
        <w:t xml:space="preserve"> a</w:t>
      </w:r>
      <w:r w:rsidR="008D78EA" w:rsidRPr="00782A73">
        <w:rPr>
          <w:rFonts w:cs="Times New Roman"/>
          <w:szCs w:val="24"/>
        </w:rPr>
        <w:t>izstāts a</w:t>
      </w:r>
      <w:r w:rsidR="00E352B0" w:rsidRPr="00782A73">
        <w:rPr>
          <w:rFonts w:cs="Times New Roman"/>
          <w:szCs w:val="24"/>
        </w:rPr>
        <w:t xml:space="preserve">r </w:t>
      </w:r>
      <w:r w:rsidR="008D78EA" w:rsidRPr="00782A73">
        <w:rPr>
          <w:rFonts w:cs="Times New Roman"/>
          <w:szCs w:val="24"/>
        </w:rPr>
        <w:t xml:space="preserve">SIA „MIKRONET” 14 pamatkapitāla daļām. </w:t>
      </w:r>
    </w:p>
    <w:p w14:paraId="4D382515" w14:textId="77777777" w:rsidR="005C082A" w:rsidRPr="00782A73" w:rsidRDefault="005C082A" w:rsidP="00FE01E9">
      <w:pPr>
        <w:shd w:val="clear" w:color="auto" w:fill="FFFFFF"/>
        <w:spacing w:after="0" w:line="276" w:lineRule="auto"/>
        <w:jc w:val="center"/>
        <w:rPr>
          <w:rFonts w:cs="Times New Roman"/>
          <w:b/>
          <w:bCs/>
          <w:szCs w:val="24"/>
        </w:rPr>
      </w:pPr>
      <w:bookmarkStart w:id="4" w:name="_Hlk118978966"/>
      <w:r w:rsidRPr="00782A73">
        <w:rPr>
          <w:rFonts w:cs="Times New Roman"/>
          <w:b/>
          <w:bCs/>
          <w:szCs w:val="24"/>
        </w:rPr>
        <w:t>Motīvu daļa</w:t>
      </w:r>
    </w:p>
    <w:p w14:paraId="13592A89" w14:textId="77777777" w:rsidR="004B25F0" w:rsidRPr="00782A73" w:rsidRDefault="004B25F0" w:rsidP="00FD21E8">
      <w:pPr>
        <w:shd w:val="clear" w:color="auto" w:fill="FFFFFF"/>
        <w:spacing w:after="0" w:line="276" w:lineRule="auto"/>
        <w:ind w:left="7" w:right="7" w:firstLine="691"/>
        <w:jc w:val="both"/>
        <w:rPr>
          <w:rFonts w:cs="Times New Roman"/>
          <w:szCs w:val="24"/>
        </w:rPr>
      </w:pPr>
    </w:p>
    <w:p w14:paraId="014250CF" w14:textId="6C711BC3" w:rsidR="005C082A" w:rsidRPr="00782A73" w:rsidRDefault="005C082A" w:rsidP="00FD21E8">
      <w:pPr>
        <w:shd w:val="clear" w:color="auto" w:fill="FFFFFF"/>
        <w:spacing w:after="0" w:line="276" w:lineRule="auto"/>
        <w:ind w:left="7" w:right="7" w:firstLine="691"/>
        <w:jc w:val="both"/>
        <w:rPr>
          <w:rFonts w:cs="Times New Roman"/>
          <w:szCs w:val="24"/>
        </w:rPr>
      </w:pPr>
      <w:r w:rsidRPr="00782A73">
        <w:rPr>
          <w:rFonts w:cs="Times New Roman"/>
          <w:szCs w:val="24"/>
        </w:rPr>
        <w:t>[</w:t>
      </w:r>
      <w:r w:rsidR="008D78EA" w:rsidRPr="00782A73">
        <w:rPr>
          <w:rFonts w:cs="Times New Roman"/>
          <w:szCs w:val="24"/>
        </w:rPr>
        <w:t>6</w:t>
      </w:r>
      <w:r w:rsidRPr="00782A73">
        <w:rPr>
          <w:rFonts w:cs="Times New Roman"/>
          <w:szCs w:val="24"/>
        </w:rPr>
        <w:t>] Pārbaudījis lietas materiālus un apsvēris protestā norādītos argumentus, Senāts atzīst, ka apstrīdētais lēmums atceļams.</w:t>
      </w:r>
    </w:p>
    <w:bookmarkEnd w:id="4"/>
    <w:p w14:paraId="13F3888E" w14:textId="40CF7258" w:rsidR="000C566E" w:rsidRPr="00782A73" w:rsidRDefault="00DA37F8" w:rsidP="00FE01E9">
      <w:pPr>
        <w:spacing w:after="0" w:line="276" w:lineRule="auto"/>
        <w:ind w:firstLine="698"/>
        <w:jc w:val="both"/>
        <w:rPr>
          <w:rFonts w:cs="Times New Roman"/>
          <w:szCs w:val="24"/>
        </w:rPr>
      </w:pPr>
      <w:r w:rsidRPr="00782A73">
        <w:rPr>
          <w:rFonts w:cs="Times New Roman"/>
          <w:szCs w:val="24"/>
        </w:rPr>
        <w:t>[</w:t>
      </w:r>
      <w:r w:rsidR="008D78EA" w:rsidRPr="00782A73">
        <w:rPr>
          <w:rFonts w:cs="Times New Roman"/>
          <w:szCs w:val="24"/>
        </w:rPr>
        <w:t>6</w:t>
      </w:r>
      <w:r w:rsidR="000C566E" w:rsidRPr="00782A73">
        <w:rPr>
          <w:rFonts w:cs="Times New Roman"/>
          <w:szCs w:val="24"/>
        </w:rPr>
        <w:t>.1</w:t>
      </w:r>
      <w:r w:rsidRPr="00782A73">
        <w:rPr>
          <w:rFonts w:cs="Times New Roman"/>
          <w:szCs w:val="24"/>
        </w:rPr>
        <w:t xml:space="preserve">] </w:t>
      </w:r>
      <w:r w:rsidR="000C566E" w:rsidRPr="00782A73">
        <w:rPr>
          <w:rFonts w:cs="Times New Roman"/>
          <w:szCs w:val="24"/>
        </w:rPr>
        <w:t>Viens no tiesiskās aizsardzības procesa vispārējiem principiem ir vienlīdzības princips</w:t>
      </w:r>
      <w:r w:rsidR="005D5991" w:rsidRPr="00782A73">
        <w:rPr>
          <w:rFonts w:cs="Times New Roman"/>
          <w:szCs w:val="24"/>
        </w:rPr>
        <w:t> </w:t>
      </w:r>
      <w:r w:rsidR="00FE01E9" w:rsidRPr="00782A73">
        <w:rPr>
          <w:rFonts w:cs="Times New Roman"/>
          <w:szCs w:val="24"/>
        </w:rPr>
        <w:t>–</w:t>
      </w:r>
      <w:r w:rsidR="000C566E" w:rsidRPr="00782A73">
        <w:rPr>
          <w:rFonts w:cs="Times New Roman"/>
          <w:szCs w:val="24"/>
        </w:rPr>
        <w:t xml:space="preserve"> kreditoriem tiek dotas vienādas iespējas piedalīties maksātnespējas procesā un saņemt savu prasījumu apmierinājumu no saistībām, kuras tie nodibinājuši ar parādnieku pirms procesa uzsākšanas (Maksātnespējas likuma </w:t>
      </w:r>
      <w:proofErr w:type="gramStart"/>
      <w:r w:rsidR="000C566E" w:rsidRPr="00782A73">
        <w:rPr>
          <w:rFonts w:cs="Times New Roman"/>
          <w:szCs w:val="24"/>
        </w:rPr>
        <w:t>6.panta</w:t>
      </w:r>
      <w:proofErr w:type="gramEnd"/>
      <w:r w:rsidR="000C566E" w:rsidRPr="00782A73">
        <w:rPr>
          <w:rFonts w:cs="Times New Roman"/>
          <w:szCs w:val="24"/>
        </w:rPr>
        <w:t xml:space="preserve"> 2.punkts).</w:t>
      </w:r>
    </w:p>
    <w:p w14:paraId="27AD063F" w14:textId="64786975" w:rsidR="000741E8" w:rsidRPr="00782A73" w:rsidRDefault="000741E8" w:rsidP="00FD21E8">
      <w:pPr>
        <w:spacing w:after="0" w:line="276" w:lineRule="auto"/>
        <w:ind w:firstLine="698"/>
        <w:jc w:val="both"/>
        <w:rPr>
          <w:rFonts w:cs="Times New Roman"/>
          <w:szCs w:val="24"/>
        </w:rPr>
      </w:pPr>
      <w:r w:rsidRPr="00782A73">
        <w:rPr>
          <w:rFonts w:cs="Times New Roman"/>
          <w:szCs w:val="24"/>
        </w:rPr>
        <w:t>Tiesiskās aizsardzības procesa lietās ārpustiesas tiesiskās aizsardzības procesā piemēro Civilprocesa likuma 45.</w:t>
      </w:r>
      <w:r w:rsidRPr="00782A73">
        <w:rPr>
          <w:rFonts w:cs="Times New Roman"/>
          <w:szCs w:val="24"/>
          <w:vertAlign w:val="superscript"/>
        </w:rPr>
        <w:t xml:space="preserve">1 </w:t>
      </w:r>
      <w:r w:rsidRPr="00782A73">
        <w:rPr>
          <w:rFonts w:cs="Times New Roman"/>
          <w:szCs w:val="24"/>
        </w:rPr>
        <w:t xml:space="preserve">nodaļā ietvertos noteikumus. </w:t>
      </w:r>
    </w:p>
    <w:p w14:paraId="508F62E4" w14:textId="34B4F9A1" w:rsidR="00E220F4" w:rsidRPr="00782A73" w:rsidRDefault="009A29CE" w:rsidP="00FD21E8">
      <w:pPr>
        <w:spacing w:after="0" w:line="276" w:lineRule="auto"/>
        <w:ind w:firstLine="720"/>
        <w:jc w:val="both"/>
        <w:rPr>
          <w:rFonts w:cs="Times New Roman"/>
          <w:szCs w:val="24"/>
        </w:rPr>
      </w:pPr>
      <w:r w:rsidRPr="00782A73">
        <w:rPr>
          <w:rFonts w:cs="Times New Roman"/>
          <w:szCs w:val="24"/>
        </w:rPr>
        <w:lastRenderedPageBreak/>
        <w:t xml:space="preserve">Tiesību doktrīnā atzīts, </w:t>
      </w:r>
      <w:r w:rsidR="009E3AC3" w:rsidRPr="00782A73">
        <w:rPr>
          <w:rFonts w:cs="Times New Roman"/>
          <w:szCs w:val="24"/>
        </w:rPr>
        <w:t xml:space="preserve">ka </w:t>
      </w:r>
      <w:r w:rsidRPr="00782A73">
        <w:rPr>
          <w:rFonts w:cs="Times New Roman"/>
          <w:szCs w:val="24"/>
        </w:rPr>
        <w:t>l</w:t>
      </w:r>
      <w:r w:rsidR="005C082A" w:rsidRPr="00782A73">
        <w:rPr>
          <w:rFonts w:cs="Times New Roman"/>
          <w:szCs w:val="24"/>
        </w:rPr>
        <w:t xml:space="preserve">ai tiesa varētu pieņemt lēmumu par tiesiskās aizsardzības procesa īstenošanu ārpustiesas tiesiskās aizsardzības procesā, tai vispirms ir jāpārliecinās, vai parādnieks ir izstrādājis Maksātnespējas likuma 38. un </w:t>
      </w:r>
      <w:proofErr w:type="gramStart"/>
      <w:r w:rsidR="005C082A" w:rsidRPr="00782A73">
        <w:rPr>
          <w:rFonts w:cs="Times New Roman"/>
          <w:szCs w:val="24"/>
        </w:rPr>
        <w:t>40.pantam</w:t>
      </w:r>
      <w:proofErr w:type="gramEnd"/>
      <w:r w:rsidR="005C082A" w:rsidRPr="00782A73">
        <w:rPr>
          <w:rFonts w:cs="Times New Roman"/>
          <w:szCs w:val="24"/>
        </w:rPr>
        <w:t xml:space="preserve"> atbilstošu tiesiskās aizsardzības procesa pasākumu plānu, kā arī, vai plāns ir saskaņots ar Maksātnespējas likuma 42.panta trešajā daļā minēto kreditoru vairākumu</w:t>
      </w:r>
      <w:r w:rsidR="00E220F4" w:rsidRPr="00782A73">
        <w:rPr>
          <w:rFonts w:cs="Times New Roman"/>
          <w:szCs w:val="24"/>
        </w:rPr>
        <w:t xml:space="preserve"> (sk.</w:t>
      </w:r>
      <w:r w:rsidR="00E220F4" w:rsidRPr="00782A73">
        <w:rPr>
          <w:rFonts w:cs="Times New Roman"/>
          <w:i/>
          <w:iCs/>
          <w:szCs w:val="24"/>
        </w:rPr>
        <w:t xml:space="preserve"> Civilprocesa likuma komentāri. II daļa (29.-60.</w:t>
      </w:r>
      <w:r w:rsidR="00E220F4" w:rsidRPr="00782A73">
        <w:rPr>
          <w:rFonts w:cs="Times New Roman"/>
          <w:i/>
          <w:iCs/>
          <w:szCs w:val="24"/>
          <w:vertAlign w:val="superscript"/>
        </w:rPr>
        <w:t>1</w:t>
      </w:r>
      <w:r w:rsidR="00E220F4" w:rsidRPr="00782A73">
        <w:rPr>
          <w:rFonts w:cs="Times New Roman"/>
          <w:i/>
          <w:iCs/>
          <w:szCs w:val="24"/>
        </w:rPr>
        <w:t>nodaļa). Sagatavojis autoru kolektīvs. Prof. K.Torgāna zinātniskajā redakcijā. - Rīga: Tiesu namu aģentūra, 201</w:t>
      </w:r>
      <w:r w:rsidR="00F77005" w:rsidRPr="00782A73">
        <w:rPr>
          <w:rFonts w:cs="Times New Roman"/>
          <w:i/>
          <w:iCs/>
          <w:szCs w:val="24"/>
        </w:rPr>
        <w:t>2</w:t>
      </w:r>
      <w:r w:rsidR="00E220F4" w:rsidRPr="00782A73">
        <w:rPr>
          <w:rFonts w:cs="Times New Roman"/>
          <w:i/>
          <w:iCs/>
          <w:szCs w:val="24"/>
        </w:rPr>
        <w:t>, 3</w:t>
      </w:r>
      <w:r w:rsidR="00F77005" w:rsidRPr="00782A73">
        <w:rPr>
          <w:rFonts w:cs="Times New Roman"/>
          <w:i/>
          <w:iCs/>
          <w:szCs w:val="24"/>
        </w:rPr>
        <w:t>91</w:t>
      </w:r>
      <w:r w:rsidR="00E220F4" w:rsidRPr="00782A73">
        <w:rPr>
          <w:rFonts w:cs="Times New Roman"/>
          <w:i/>
          <w:iCs/>
          <w:szCs w:val="24"/>
        </w:rPr>
        <w:t>.l</w:t>
      </w:r>
      <w:r w:rsidR="00FE01E9" w:rsidRPr="00782A73">
        <w:rPr>
          <w:rFonts w:cs="Times New Roman"/>
          <w:i/>
          <w:iCs/>
          <w:szCs w:val="24"/>
        </w:rPr>
        <w:t>p</w:t>
      </w:r>
      <w:r w:rsidR="00E220F4" w:rsidRPr="00782A73">
        <w:rPr>
          <w:rFonts w:cs="Times New Roman"/>
          <w:i/>
          <w:iCs/>
          <w:szCs w:val="24"/>
        </w:rPr>
        <w:t>p.</w:t>
      </w:r>
      <w:r w:rsidR="00E220F4" w:rsidRPr="00782A73">
        <w:rPr>
          <w:rFonts w:cs="Times New Roman"/>
          <w:szCs w:val="24"/>
        </w:rPr>
        <w:t>)</w:t>
      </w:r>
      <w:r w:rsidR="005C082A" w:rsidRPr="00782A73">
        <w:rPr>
          <w:rFonts w:cs="Times New Roman"/>
          <w:szCs w:val="24"/>
        </w:rPr>
        <w:t xml:space="preserve">. </w:t>
      </w:r>
    </w:p>
    <w:p w14:paraId="13698B98" w14:textId="0A82AA68" w:rsidR="005C082A" w:rsidRPr="00782A73" w:rsidRDefault="000C566E" w:rsidP="00FD21E8">
      <w:pPr>
        <w:spacing w:after="0" w:line="276" w:lineRule="auto"/>
        <w:ind w:firstLine="720"/>
        <w:jc w:val="both"/>
        <w:rPr>
          <w:rFonts w:cs="Times New Roman"/>
          <w:szCs w:val="24"/>
        </w:rPr>
      </w:pPr>
      <w:r w:rsidRPr="00782A73">
        <w:rPr>
          <w:rFonts w:cs="Times New Roman"/>
          <w:szCs w:val="24"/>
        </w:rPr>
        <w:t>Tādējādi</w:t>
      </w:r>
      <w:r w:rsidR="005C082A" w:rsidRPr="00782A73">
        <w:rPr>
          <w:rFonts w:cs="Times New Roman"/>
          <w:szCs w:val="24"/>
        </w:rPr>
        <w:t xml:space="preserve"> tiesai, izskatot pieteikumu, ir jāizvērtē visi apstākļi, </w:t>
      </w:r>
      <w:proofErr w:type="gramStart"/>
      <w:r w:rsidR="005C082A" w:rsidRPr="00782A73">
        <w:rPr>
          <w:rFonts w:cs="Times New Roman"/>
          <w:szCs w:val="24"/>
        </w:rPr>
        <w:t>kas attiecināmi uz plāna saskaņošanu un apstiprināšanu, t</w:t>
      </w:r>
      <w:r w:rsidR="009E3AC3" w:rsidRPr="00782A73">
        <w:rPr>
          <w:rFonts w:cs="Times New Roman"/>
          <w:szCs w:val="24"/>
        </w:rPr>
        <w:t xml:space="preserve">ostarp </w:t>
      </w:r>
      <w:r w:rsidR="005C082A" w:rsidRPr="00782A73">
        <w:rPr>
          <w:rFonts w:cs="Times New Roman"/>
          <w:szCs w:val="24"/>
        </w:rPr>
        <w:t>arī kreditor</w:t>
      </w:r>
      <w:r w:rsidR="009E3AC3" w:rsidRPr="00782A73">
        <w:rPr>
          <w:rFonts w:cs="Times New Roman"/>
          <w:szCs w:val="24"/>
        </w:rPr>
        <w:t>u</w:t>
      </w:r>
      <w:r w:rsidR="005C082A" w:rsidRPr="00782A73">
        <w:rPr>
          <w:rFonts w:cs="Times New Roman"/>
          <w:szCs w:val="24"/>
        </w:rPr>
        <w:t xml:space="preserve"> sniegtie iebildumi</w:t>
      </w:r>
      <w:proofErr w:type="gramEnd"/>
      <w:r w:rsidR="005C082A" w:rsidRPr="00782A73">
        <w:rPr>
          <w:rFonts w:cs="Times New Roman"/>
          <w:szCs w:val="24"/>
        </w:rPr>
        <w:t xml:space="preserve"> un to</w:t>
      </w:r>
      <w:r w:rsidR="00FE01E9" w:rsidRPr="00782A73">
        <w:rPr>
          <w:rFonts w:cs="Times New Roman"/>
          <w:szCs w:val="24"/>
        </w:rPr>
        <w:t>s</w:t>
      </w:r>
      <w:r w:rsidR="005C082A" w:rsidRPr="00782A73">
        <w:rPr>
          <w:rFonts w:cs="Times New Roman"/>
          <w:szCs w:val="24"/>
        </w:rPr>
        <w:t xml:space="preserve"> pamatojošie </w:t>
      </w:r>
      <w:r w:rsidR="00FE01E9" w:rsidRPr="00782A73">
        <w:rPr>
          <w:rFonts w:cs="Times New Roman"/>
          <w:szCs w:val="24"/>
        </w:rPr>
        <w:t>pierādījumi</w:t>
      </w:r>
      <w:r w:rsidR="005C082A" w:rsidRPr="00782A73">
        <w:rPr>
          <w:rFonts w:cs="Times New Roman"/>
          <w:szCs w:val="24"/>
        </w:rPr>
        <w:t xml:space="preserve">. </w:t>
      </w:r>
    </w:p>
    <w:p w14:paraId="1A717CD1" w14:textId="3F0CC86B" w:rsidR="00AC38E8" w:rsidRPr="00782A73" w:rsidRDefault="00AC38E8" w:rsidP="00AC38E8">
      <w:pPr>
        <w:spacing w:after="0" w:line="276" w:lineRule="auto"/>
        <w:ind w:firstLine="720"/>
        <w:jc w:val="both"/>
        <w:rPr>
          <w:rFonts w:cs="Times New Roman"/>
          <w:szCs w:val="24"/>
        </w:rPr>
      </w:pPr>
      <w:r w:rsidRPr="00782A73">
        <w:rPr>
          <w:rFonts w:cs="Times New Roman"/>
          <w:szCs w:val="24"/>
        </w:rPr>
        <w:t xml:space="preserve">Kā redzams no lietas materiāliem, SIA „NETVISION” </w:t>
      </w:r>
      <w:proofErr w:type="gramStart"/>
      <w:r w:rsidRPr="00782A73">
        <w:rPr>
          <w:rFonts w:cs="Times New Roman"/>
          <w:szCs w:val="24"/>
        </w:rPr>
        <w:t>2022.gada</w:t>
      </w:r>
      <w:proofErr w:type="gramEnd"/>
      <w:r w:rsidRPr="00782A73">
        <w:rPr>
          <w:rFonts w:cs="Times New Roman"/>
          <w:szCs w:val="24"/>
        </w:rPr>
        <w:t xml:space="preserve"> 24.martā tiesā iesniegusi iebildumus par parādnieces plānu, kuros izteiktas šaubas par kreditora </w:t>
      </w:r>
      <w:r w:rsidR="00782A73">
        <w:rPr>
          <w:rFonts w:cs="Times New Roman"/>
          <w:szCs w:val="24"/>
        </w:rPr>
        <w:t>[pers. A]</w:t>
      </w:r>
      <w:r w:rsidRPr="00782A73">
        <w:rPr>
          <w:rFonts w:cs="Times New Roman"/>
          <w:szCs w:val="24"/>
        </w:rPr>
        <w:t xml:space="preserve"> finansiālajām spējām uz cesijas līguma pamata iegūt prasījuma tiesības pret SIA „MIKRONET”, kas izriet no 2014.gada 29.oktobra aizdevuma līguma</w:t>
      </w:r>
      <w:r w:rsidR="006F1887" w:rsidRPr="00782A73">
        <w:rPr>
          <w:rFonts w:cs="Times New Roman"/>
          <w:szCs w:val="24"/>
        </w:rPr>
        <w:t>.</w:t>
      </w:r>
      <w:r w:rsidRPr="00782A73">
        <w:rPr>
          <w:rFonts w:cs="Times New Roman"/>
          <w:szCs w:val="24"/>
        </w:rPr>
        <w:t xml:space="preserve"> </w:t>
      </w:r>
      <w:r w:rsidR="006F1887" w:rsidRPr="00782A73">
        <w:rPr>
          <w:rFonts w:cs="Times New Roman"/>
          <w:szCs w:val="24"/>
        </w:rPr>
        <w:t xml:space="preserve">Iebildumiem </w:t>
      </w:r>
      <w:r w:rsidRPr="00782A73">
        <w:rPr>
          <w:rFonts w:cs="Times New Roman"/>
          <w:szCs w:val="24"/>
        </w:rPr>
        <w:t>pievienoti attiecīgi pierādījumi. Tāpat iebildumos norādīts, ka parādnieces gada pārskatā par 2016., 2017., 2018., 2019</w:t>
      </w:r>
      <w:r w:rsidR="009B5D7B" w:rsidRPr="00782A73">
        <w:rPr>
          <w:rFonts w:cs="Times New Roman"/>
          <w:szCs w:val="24"/>
        </w:rPr>
        <w:t xml:space="preserve">. un </w:t>
      </w:r>
      <w:r w:rsidRPr="00782A73">
        <w:rPr>
          <w:rFonts w:cs="Times New Roman"/>
          <w:szCs w:val="24"/>
        </w:rPr>
        <w:t xml:space="preserve">2020.gadu iekļauts 2014.gada 29.oktobra ķīlas līgums (sk. </w:t>
      </w:r>
      <w:r w:rsidRPr="00782A73">
        <w:rPr>
          <w:rFonts w:cs="Times New Roman"/>
          <w:i/>
          <w:iCs/>
          <w:szCs w:val="24"/>
        </w:rPr>
        <w:t>lietas 62., 53., 49.lp.</w:t>
      </w:r>
      <w:r w:rsidRPr="00782A73">
        <w:rPr>
          <w:rFonts w:cs="Times New Roman"/>
          <w:szCs w:val="24"/>
        </w:rPr>
        <w:t xml:space="preserve">), taču saskaņā ar tiesai iesniegto plānu parādniecei nav nodrošināto kreditoru. Iebildumos arī izteikts lūgums pieaicināt SIA „NETVISION” kā ieinteresēto personu lietas izskatīšanā un izprasīt pierādījumus (sk. </w:t>
      </w:r>
      <w:r w:rsidRPr="00782A73">
        <w:rPr>
          <w:rFonts w:cs="Times New Roman"/>
          <w:i/>
          <w:iCs/>
          <w:szCs w:val="24"/>
        </w:rPr>
        <w:t>lietas 39 – 42.lp</w:t>
      </w:r>
      <w:r w:rsidRPr="00782A73">
        <w:rPr>
          <w:rFonts w:cs="Times New Roman"/>
          <w:szCs w:val="24"/>
        </w:rPr>
        <w:t xml:space="preserve">.). </w:t>
      </w:r>
    </w:p>
    <w:p w14:paraId="4DA714BD" w14:textId="77777777" w:rsidR="00AC38E8" w:rsidRPr="00782A73" w:rsidRDefault="00E92B82" w:rsidP="00AC38E8">
      <w:pPr>
        <w:spacing w:after="0" w:line="276" w:lineRule="auto"/>
        <w:ind w:firstLine="720"/>
        <w:jc w:val="both"/>
        <w:rPr>
          <w:rFonts w:cs="Times New Roman"/>
          <w:szCs w:val="24"/>
        </w:rPr>
      </w:pPr>
      <w:r w:rsidRPr="00782A73">
        <w:rPr>
          <w:rFonts w:eastAsia="Times New Roman" w:cs="Times New Roman"/>
          <w:szCs w:val="24"/>
          <w:lang w:eastAsia="lv-LV"/>
        </w:rPr>
        <w:t>Apmierinot pieteikumu</w:t>
      </w:r>
      <w:r w:rsidRPr="00782A73">
        <w:rPr>
          <w:rFonts w:cs="Times New Roman"/>
          <w:szCs w:val="24"/>
        </w:rPr>
        <w:t xml:space="preserve">, </w:t>
      </w:r>
      <w:r w:rsidR="00AC38E8" w:rsidRPr="00782A73">
        <w:rPr>
          <w:rFonts w:eastAsia="Times New Roman" w:cs="Times New Roman"/>
          <w:szCs w:val="24"/>
          <w:lang w:eastAsia="lv-LV"/>
        </w:rPr>
        <w:t>tiesa</w:t>
      </w:r>
      <w:r w:rsidR="00AC38E8" w:rsidRPr="00782A73">
        <w:rPr>
          <w:rFonts w:cs="Times New Roman"/>
          <w:szCs w:val="24"/>
        </w:rPr>
        <w:t xml:space="preserve"> atzinusi, ka saņemtie iebildumi nav pamats pieteikuma izskatīšanai tiesas sēdē un kreditoru pieaicināšanu lietā ieinteresētās personas statusā nenosaka Civilprocesa likuma 45.</w:t>
      </w:r>
      <w:r w:rsidR="00AC38E8" w:rsidRPr="00782A73">
        <w:rPr>
          <w:rFonts w:cs="Times New Roman"/>
          <w:szCs w:val="24"/>
          <w:vertAlign w:val="superscript"/>
        </w:rPr>
        <w:t xml:space="preserve">1 </w:t>
      </w:r>
      <w:r w:rsidR="00AC38E8" w:rsidRPr="00782A73">
        <w:rPr>
          <w:rFonts w:cs="Times New Roman"/>
          <w:szCs w:val="24"/>
        </w:rPr>
        <w:t>nodaļa.</w:t>
      </w:r>
      <w:r w:rsidR="00AC38E8" w:rsidRPr="00782A73">
        <w:rPr>
          <w:rFonts w:cs="Times New Roman"/>
          <w:szCs w:val="24"/>
          <w:vertAlign w:val="superscript"/>
        </w:rPr>
        <w:t xml:space="preserve"> </w:t>
      </w:r>
      <w:r w:rsidR="00AC38E8" w:rsidRPr="00782A73">
        <w:rPr>
          <w:rFonts w:cs="Times New Roman"/>
          <w:szCs w:val="24"/>
        </w:rPr>
        <w:t xml:space="preserve"> </w:t>
      </w:r>
    </w:p>
    <w:p w14:paraId="1E1DE33D" w14:textId="197948C6" w:rsidR="00E92B82" w:rsidRPr="00782A73" w:rsidRDefault="004748D9" w:rsidP="00E92B82">
      <w:pPr>
        <w:spacing w:after="0" w:line="276" w:lineRule="auto"/>
        <w:ind w:firstLine="720"/>
        <w:jc w:val="both"/>
        <w:rPr>
          <w:rFonts w:cs="Times New Roman"/>
          <w:szCs w:val="24"/>
        </w:rPr>
      </w:pPr>
      <w:r w:rsidRPr="00782A73">
        <w:rPr>
          <w:rFonts w:cs="Times New Roman"/>
          <w:szCs w:val="24"/>
        </w:rPr>
        <w:t>Senāts piekrīt protestā norādītajam, ka t</w:t>
      </w:r>
      <w:r w:rsidR="00E92B82" w:rsidRPr="00782A73">
        <w:rPr>
          <w:rFonts w:cs="Times New Roman"/>
          <w:szCs w:val="24"/>
        </w:rPr>
        <w:t xml:space="preserve">iesa </w:t>
      </w:r>
      <w:r w:rsidR="00AC38E8" w:rsidRPr="00782A73">
        <w:rPr>
          <w:rFonts w:cs="Times New Roman"/>
          <w:szCs w:val="24"/>
        </w:rPr>
        <w:t>bez ievērības atstājusi faktu</w:t>
      </w:r>
      <w:r w:rsidR="00E92B82" w:rsidRPr="00782A73">
        <w:rPr>
          <w:rFonts w:cs="Times New Roman"/>
          <w:szCs w:val="24"/>
        </w:rPr>
        <w:t xml:space="preserve">, ka </w:t>
      </w:r>
      <w:proofErr w:type="spellStart"/>
      <w:r w:rsidR="00E92B82" w:rsidRPr="00782A73">
        <w:rPr>
          <w:rFonts w:cs="Times New Roman"/>
          <w:szCs w:val="24"/>
        </w:rPr>
        <w:t>pirmsšķietami</w:t>
      </w:r>
      <w:proofErr w:type="spellEnd"/>
      <w:r w:rsidR="00E92B82" w:rsidRPr="00782A73">
        <w:rPr>
          <w:rFonts w:cs="Times New Roman"/>
          <w:szCs w:val="24"/>
        </w:rPr>
        <w:t xml:space="preserve"> apstiprinātais </w:t>
      </w:r>
      <w:proofErr w:type="gramStart"/>
      <w:r w:rsidR="00E92B82" w:rsidRPr="00782A73">
        <w:rPr>
          <w:rFonts w:cs="Times New Roman"/>
          <w:szCs w:val="24"/>
        </w:rPr>
        <w:t>2022.gada</w:t>
      </w:r>
      <w:proofErr w:type="gramEnd"/>
      <w:r w:rsidR="00E92B82" w:rsidRPr="00782A73">
        <w:rPr>
          <w:rFonts w:cs="Times New Roman"/>
          <w:szCs w:val="24"/>
        </w:rPr>
        <w:t xml:space="preserve"> 23.februāra plāns būtiski (negatīvi) ietekmē tikai vienu kreditoru, proti, SIA „NETVISION”, kuras tiesību pēc saistības parādniece neatzīst un par ko strīds prasības tiesvedības kārtībā tiek risināts tiesā civillietā Nr.</w:t>
      </w:r>
      <w:r w:rsidR="00782A73">
        <w:rPr>
          <w:rFonts w:cs="Times New Roman"/>
          <w:szCs w:val="24"/>
        </w:rPr>
        <w:t> [..]</w:t>
      </w:r>
      <w:r w:rsidR="00E92B82" w:rsidRPr="00782A73">
        <w:rPr>
          <w:rFonts w:cs="Times New Roman"/>
          <w:szCs w:val="24"/>
        </w:rPr>
        <w:t>. Turklāt SIA „NETVISION” prasījums kā kreditor</w:t>
      </w:r>
      <w:r w:rsidR="009E3AC3" w:rsidRPr="00782A73">
        <w:rPr>
          <w:rFonts w:cs="Times New Roman"/>
          <w:szCs w:val="24"/>
        </w:rPr>
        <w:t>iem</w:t>
      </w:r>
      <w:r w:rsidR="00E92B82" w:rsidRPr="00782A73">
        <w:rPr>
          <w:rFonts w:cs="Times New Roman"/>
          <w:szCs w:val="24"/>
        </w:rPr>
        <w:t>, kuram ir tiesības saskaņot plānu</w:t>
      </w:r>
      <w:r w:rsidR="00534417" w:rsidRPr="00782A73">
        <w:rPr>
          <w:rFonts w:cs="Times New Roman"/>
          <w:szCs w:val="24"/>
        </w:rPr>
        <w:t>, ir otrais lielākais</w:t>
      </w:r>
      <w:r w:rsidR="00E92B82" w:rsidRPr="00782A73">
        <w:rPr>
          <w:rFonts w:cs="Times New Roman"/>
          <w:szCs w:val="24"/>
        </w:rPr>
        <w:t xml:space="preserve">. </w:t>
      </w:r>
    </w:p>
    <w:p w14:paraId="0C1FB72C" w14:textId="7162657E" w:rsidR="00AF103D" w:rsidRPr="00782A73" w:rsidRDefault="005D5991" w:rsidP="00FD21E8">
      <w:pPr>
        <w:spacing w:after="0" w:line="276" w:lineRule="auto"/>
        <w:ind w:firstLine="720"/>
        <w:jc w:val="both"/>
        <w:rPr>
          <w:rFonts w:cs="Times New Roman"/>
          <w:szCs w:val="24"/>
        </w:rPr>
      </w:pPr>
      <w:r w:rsidRPr="00782A73">
        <w:rPr>
          <w:rFonts w:cs="Times New Roman"/>
          <w:szCs w:val="24"/>
        </w:rPr>
        <w:t>[</w:t>
      </w:r>
      <w:r w:rsidR="008D78EA" w:rsidRPr="00782A73">
        <w:rPr>
          <w:rFonts w:cs="Times New Roman"/>
          <w:szCs w:val="24"/>
        </w:rPr>
        <w:t>6</w:t>
      </w:r>
      <w:r w:rsidRPr="00782A73">
        <w:rPr>
          <w:rFonts w:cs="Times New Roman"/>
          <w:szCs w:val="24"/>
        </w:rPr>
        <w:t xml:space="preserve">.2] </w:t>
      </w:r>
      <w:r w:rsidR="004748D9" w:rsidRPr="00782A73">
        <w:rPr>
          <w:rFonts w:cs="Times New Roman"/>
          <w:szCs w:val="24"/>
        </w:rPr>
        <w:t>J</w:t>
      </w:r>
      <w:r w:rsidR="00780B24" w:rsidRPr="00782A73">
        <w:rPr>
          <w:rFonts w:cs="Times New Roman"/>
          <w:szCs w:val="24"/>
        </w:rPr>
        <w:t>a iebildumi saņemti no personas</w:t>
      </w:r>
      <w:r w:rsidR="00FE557F" w:rsidRPr="00782A73">
        <w:rPr>
          <w:rFonts w:cs="Times New Roman"/>
          <w:szCs w:val="24"/>
        </w:rPr>
        <w:t>, kuras</w:t>
      </w:r>
      <w:r w:rsidR="006B2A7A" w:rsidRPr="00782A73">
        <w:rPr>
          <w:rFonts w:cs="Times New Roman"/>
          <w:szCs w:val="24"/>
        </w:rPr>
        <w:t xml:space="preserve"> </w:t>
      </w:r>
      <w:r w:rsidR="00AF103D" w:rsidRPr="00782A73">
        <w:rPr>
          <w:rFonts w:cs="Times New Roman"/>
          <w:szCs w:val="24"/>
        </w:rPr>
        <w:t>mantiskās tiesības šī procesa rezultātā tiek būtiski aizskartas, tiesa nevar aprobežoties ar norādi par to nepamatotību, bet lēmumā jānorāda motivēts kreditora iebildumu un to pamatojoš</w:t>
      </w:r>
      <w:r w:rsidR="006F1887" w:rsidRPr="00782A73">
        <w:rPr>
          <w:rFonts w:cs="Times New Roman"/>
          <w:szCs w:val="24"/>
        </w:rPr>
        <w:t>u</w:t>
      </w:r>
      <w:r w:rsidR="00AF103D" w:rsidRPr="00782A73">
        <w:rPr>
          <w:rFonts w:cs="Times New Roman"/>
          <w:szCs w:val="24"/>
        </w:rPr>
        <w:t xml:space="preserve"> pierādījumu vērtējums. </w:t>
      </w:r>
      <w:r w:rsidR="00534417" w:rsidRPr="00782A73">
        <w:rPr>
          <w:rFonts w:cs="Times New Roman"/>
          <w:szCs w:val="24"/>
        </w:rPr>
        <w:t>Ārpustiesas tiesiskās aizsardzības process pēc savas būtības ir bezstrīdus process, taču tas nenozīmē, ka procesā iesaistītās personas nevar izmantot savas tiesības celt iebildumus, norādot uz apstākļiem, kas nepieļauj šī procesa realizēšanu.</w:t>
      </w:r>
    </w:p>
    <w:p w14:paraId="543FB813" w14:textId="63927061" w:rsidR="00254B78" w:rsidRPr="00782A73" w:rsidRDefault="007A2A76" w:rsidP="00FD21E8">
      <w:pPr>
        <w:spacing w:after="0" w:line="276" w:lineRule="auto"/>
        <w:ind w:firstLine="720"/>
        <w:jc w:val="both"/>
        <w:rPr>
          <w:rFonts w:cs="Times New Roman"/>
          <w:szCs w:val="24"/>
        </w:rPr>
      </w:pPr>
      <w:r w:rsidRPr="00782A73">
        <w:rPr>
          <w:rFonts w:cs="Times New Roman"/>
          <w:szCs w:val="24"/>
        </w:rPr>
        <w:t xml:space="preserve">Maksātnespējas likuma </w:t>
      </w:r>
      <w:proofErr w:type="gramStart"/>
      <w:r w:rsidRPr="00782A73">
        <w:rPr>
          <w:rFonts w:cs="Times New Roman"/>
          <w:szCs w:val="24"/>
        </w:rPr>
        <w:t>40.panta</w:t>
      </w:r>
      <w:proofErr w:type="gramEnd"/>
      <w:r w:rsidRPr="00782A73">
        <w:rPr>
          <w:rFonts w:cs="Times New Roman"/>
          <w:szCs w:val="24"/>
        </w:rPr>
        <w:t xml:space="preserve"> trešā daļa paredz, ka, īstenojot tiesiskās aizsardzības procesu, plānu nesaskaņojušo kreditoru ieguvumam ir jābūt vismaz tikpat lielam kā gadījumā, ja šā plāna apstiprināšanas brīdī parādniekam tiktu pasludināts maksātnespējas process. Tas attiecas arī uz iespēju realizēt savas procesuālās tiesības, no kā tieši atkarīgas mantiskās tiesības (</w:t>
      </w:r>
      <w:r w:rsidR="00254B78" w:rsidRPr="00782A73">
        <w:rPr>
          <w:rFonts w:cs="Times New Roman"/>
          <w:szCs w:val="24"/>
        </w:rPr>
        <w:t xml:space="preserve">sk. </w:t>
      </w:r>
      <w:r w:rsidRPr="00782A73">
        <w:rPr>
          <w:rFonts w:cs="Times New Roman"/>
          <w:i/>
          <w:iCs/>
          <w:szCs w:val="24"/>
        </w:rPr>
        <w:t xml:space="preserve">Senāta </w:t>
      </w:r>
      <w:proofErr w:type="gramStart"/>
      <w:r w:rsidRPr="00782A73">
        <w:rPr>
          <w:rFonts w:cs="Times New Roman"/>
          <w:i/>
          <w:iCs/>
          <w:szCs w:val="24"/>
        </w:rPr>
        <w:t>2022.gada</w:t>
      </w:r>
      <w:proofErr w:type="gramEnd"/>
      <w:r w:rsidRPr="00782A73">
        <w:rPr>
          <w:rFonts w:cs="Times New Roman"/>
          <w:i/>
          <w:iCs/>
          <w:szCs w:val="24"/>
        </w:rPr>
        <w:t xml:space="preserve"> 12.jūlija blakus </w:t>
      </w:r>
      <w:r w:rsidR="00E352B0" w:rsidRPr="00782A73">
        <w:rPr>
          <w:rFonts w:cs="Times New Roman"/>
          <w:i/>
          <w:iCs/>
          <w:szCs w:val="24"/>
        </w:rPr>
        <w:t xml:space="preserve">lēmuma </w:t>
      </w:r>
      <w:r w:rsidRPr="00782A73">
        <w:rPr>
          <w:rFonts w:cs="Times New Roman"/>
          <w:i/>
          <w:iCs/>
          <w:szCs w:val="24"/>
        </w:rPr>
        <w:t xml:space="preserve">lietā Nr. SKC-761/2022 </w:t>
      </w:r>
      <w:r w:rsidR="006554A0" w:rsidRPr="00782A73">
        <w:rPr>
          <w:rFonts w:cs="Times New Roman"/>
          <w:i/>
          <w:iCs/>
          <w:szCs w:val="24"/>
        </w:rPr>
        <w:t>(</w:t>
      </w:r>
      <w:hyperlink r:id="rId7" w:history="1">
        <w:r w:rsidR="00463768" w:rsidRPr="00782A73">
          <w:rPr>
            <w:rStyle w:val="Hyperlink"/>
            <w:rFonts w:cs="Times New Roman"/>
            <w:i/>
            <w:iCs/>
            <w:color w:val="auto"/>
            <w:szCs w:val="24"/>
            <w:u w:val="none"/>
            <w:shd w:val="clear" w:color="auto" w:fill="FFFFFF"/>
          </w:rPr>
          <w:t>ECLI:LV:AT:2022:0712.C71202120.28.L</w:t>
        </w:r>
      </w:hyperlink>
      <w:r w:rsidR="006554A0" w:rsidRPr="00782A73">
        <w:rPr>
          <w:rFonts w:cs="Times New Roman"/>
          <w:i/>
          <w:iCs/>
          <w:szCs w:val="24"/>
        </w:rPr>
        <w:t xml:space="preserve">) </w:t>
      </w:r>
      <w:r w:rsidRPr="00782A73">
        <w:rPr>
          <w:rFonts w:cs="Times New Roman"/>
          <w:i/>
          <w:iCs/>
          <w:szCs w:val="24"/>
        </w:rPr>
        <w:t>3</w:t>
      </w:r>
      <w:r w:rsidR="00254B78" w:rsidRPr="00782A73">
        <w:rPr>
          <w:rFonts w:cs="Times New Roman"/>
          <w:i/>
          <w:iCs/>
          <w:szCs w:val="24"/>
        </w:rPr>
        <w:t>.</w:t>
      </w:r>
      <w:r w:rsidR="00E352B0" w:rsidRPr="00782A73">
        <w:rPr>
          <w:rFonts w:cs="Times New Roman"/>
          <w:i/>
          <w:iCs/>
          <w:szCs w:val="24"/>
        </w:rPr>
        <w:t>punktu</w:t>
      </w:r>
      <w:r w:rsidRPr="00782A73">
        <w:rPr>
          <w:rFonts w:cs="Times New Roman"/>
          <w:szCs w:val="24"/>
        </w:rPr>
        <w:t xml:space="preserve">). </w:t>
      </w:r>
    </w:p>
    <w:p w14:paraId="00E9E8FE" w14:textId="6291F314" w:rsidR="007A2A76" w:rsidRPr="00782A73" w:rsidRDefault="007A2A76" w:rsidP="00FD21E8">
      <w:pPr>
        <w:spacing w:after="0" w:line="276" w:lineRule="auto"/>
        <w:ind w:firstLine="720"/>
        <w:jc w:val="both"/>
        <w:rPr>
          <w:rFonts w:cs="Times New Roman"/>
          <w:szCs w:val="24"/>
        </w:rPr>
      </w:pPr>
      <w:r w:rsidRPr="00782A73">
        <w:rPr>
          <w:rFonts w:cs="Times New Roman"/>
          <w:szCs w:val="24"/>
        </w:rPr>
        <w:t xml:space="preserve">Tiesai, it īpaši situācijā, kad no tiesiskās aizsardzības procesa plānu nesaskaņojušajiem kreditoriem ir iesniegti motivēti iebildumi par darījumu, iespējams, fiktīvo raksturu, ir jāpievēršas tās rīcībā iesniegto darījumu apliecinošo dokumentu vērtēšanai un jāspēj izdarīt loģiskus </w:t>
      </w:r>
      <w:r w:rsidRPr="00782A73">
        <w:rPr>
          <w:rFonts w:cs="Times New Roman"/>
          <w:szCs w:val="24"/>
        </w:rPr>
        <w:lastRenderedPageBreak/>
        <w:t xml:space="preserve">secinājumus par saistību pamatotību vismaz no </w:t>
      </w:r>
      <w:proofErr w:type="spellStart"/>
      <w:r w:rsidRPr="00782A73">
        <w:rPr>
          <w:rFonts w:cs="Times New Roman"/>
          <w:szCs w:val="24"/>
        </w:rPr>
        <w:t>pirmšķietamības</w:t>
      </w:r>
      <w:proofErr w:type="spellEnd"/>
      <w:r w:rsidRPr="00782A73">
        <w:rPr>
          <w:rFonts w:cs="Times New Roman"/>
          <w:szCs w:val="24"/>
        </w:rPr>
        <w:t xml:space="preserve"> viedokļa (</w:t>
      </w:r>
      <w:r w:rsidR="005D2D08" w:rsidRPr="00782A73">
        <w:rPr>
          <w:rFonts w:cs="Times New Roman"/>
          <w:szCs w:val="24"/>
        </w:rPr>
        <w:t xml:space="preserve">sk. </w:t>
      </w:r>
      <w:r w:rsidRPr="00782A73">
        <w:rPr>
          <w:rFonts w:cs="Times New Roman"/>
          <w:i/>
          <w:iCs/>
          <w:szCs w:val="24"/>
        </w:rPr>
        <w:t xml:space="preserve">Augstākās tiesas </w:t>
      </w:r>
      <w:proofErr w:type="gramStart"/>
      <w:r w:rsidRPr="00782A73">
        <w:rPr>
          <w:rFonts w:cs="Times New Roman"/>
          <w:i/>
          <w:iCs/>
          <w:szCs w:val="24"/>
        </w:rPr>
        <w:t>2016.gada</w:t>
      </w:r>
      <w:proofErr w:type="gramEnd"/>
      <w:r w:rsidRPr="00782A73">
        <w:rPr>
          <w:rFonts w:cs="Times New Roman"/>
          <w:i/>
          <w:iCs/>
          <w:szCs w:val="24"/>
        </w:rPr>
        <w:t xml:space="preserve"> 28.janvāra </w:t>
      </w:r>
      <w:r w:rsidR="00E352B0" w:rsidRPr="00782A73">
        <w:rPr>
          <w:rFonts w:cs="Times New Roman"/>
          <w:i/>
          <w:iCs/>
          <w:szCs w:val="24"/>
        </w:rPr>
        <w:t xml:space="preserve">sprieduma </w:t>
      </w:r>
      <w:r w:rsidRPr="00782A73">
        <w:rPr>
          <w:rFonts w:cs="Times New Roman"/>
          <w:i/>
          <w:iCs/>
          <w:szCs w:val="24"/>
        </w:rPr>
        <w:t>lietā Nr. SPC-1/2016</w:t>
      </w:r>
      <w:r w:rsidR="002A2156" w:rsidRPr="00782A73">
        <w:rPr>
          <w:rFonts w:cs="Times New Roman"/>
          <w:i/>
          <w:iCs/>
          <w:szCs w:val="24"/>
        </w:rPr>
        <w:t xml:space="preserve"> (C30389714)</w:t>
      </w:r>
      <w:r w:rsidRPr="00782A73">
        <w:rPr>
          <w:rFonts w:cs="Times New Roman"/>
          <w:i/>
          <w:iCs/>
          <w:szCs w:val="24"/>
        </w:rPr>
        <w:t xml:space="preserve"> 9.</w:t>
      </w:r>
      <w:r w:rsidR="00E352B0" w:rsidRPr="00782A73">
        <w:rPr>
          <w:rFonts w:cs="Times New Roman"/>
          <w:i/>
          <w:iCs/>
          <w:szCs w:val="24"/>
        </w:rPr>
        <w:t>punktu</w:t>
      </w:r>
      <w:r w:rsidRPr="00782A73">
        <w:rPr>
          <w:rFonts w:cs="Times New Roman"/>
          <w:szCs w:val="24"/>
        </w:rPr>
        <w:t>).</w:t>
      </w:r>
    </w:p>
    <w:p w14:paraId="6F4929EA" w14:textId="4D33D0B9" w:rsidR="00254B78" w:rsidRPr="00782A73" w:rsidRDefault="00421E38" w:rsidP="00FD21E8">
      <w:pPr>
        <w:spacing w:after="0" w:line="276" w:lineRule="auto"/>
        <w:ind w:firstLine="720"/>
        <w:jc w:val="both"/>
        <w:rPr>
          <w:rFonts w:cs="Times New Roman"/>
          <w:szCs w:val="24"/>
        </w:rPr>
      </w:pPr>
      <w:r w:rsidRPr="00782A73">
        <w:rPr>
          <w:rFonts w:cs="Times New Roman"/>
          <w:szCs w:val="24"/>
        </w:rPr>
        <w:t xml:space="preserve">Ņemot vērā </w:t>
      </w:r>
      <w:r w:rsidR="002A2156" w:rsidRPr="00782A73">
        <w:rPr>
          <w:rFonts w:cs="Times New Roman"/>
          <w:szCs w:val="24"/>
        </w:rPr>
        <w:t>iepriekšminēto,</w:t>
      </w:r>
      <w:r w:rsidR="00254B78" w:rsidRPr="00782A73">
        <w:rPr>
          <w:rFonts w:cs="Times New Roman"/>
          <w:szCs w:val="24"/>
        </w:rPr>
        <w:t xml:space="preserve"> </w:t>
      </w:r>
      <w:r w:rsidR="009B6892" w:rsidRPr="00782A73">
        <w:rPr>
          <w:rFonts w:cs="Times New Roman"/>
          <w:szCs w:val="24"/>
        </w:rPr>
        <w:t xml:space="preserve">Senāts atzīst, ka, </w:t>
      </w:r>
      <w:r w:rsidR="00254B78" w:rsidRPr="00782A73">
        <w:rPr>
          <w:rFonts w:cs="Times New Roman"/>
          <w:szCs w:val="24"/>
        </w:rPr>
        <w:t xml:space="preserve">īstenojot </w:t>
      </w:r>
      <w:r w:rsidR="009B6892" w:rsidRPr="00782A73">
        <w:rPr>
          <w:rFonts w:cs="Times New Roman"/>
          <w:szCs w:val="24"/>
        </w:rPr>
        <w:t>p</w:t>
      </w:r>
      <w:r w:rsidR="00254B78" w:rsidRPr="00782A73">
        <w:rPr>
          <w:rFonts w:cs="Times New Roman"/>
          <w:szCs w:val="24"/>
        </w:rPr>
        <w:t xml:space="preserve">arādnieces tiesiskās aizsardzības procesu, nav izpildītas Maksātnespējas likuma </w:t>
      </w:r>
      <w:proofErr w:type="gramStart"/>
      <w:r w:rsidR="00254B78" w:rsidRPr="00782A73">
        <w:rPr>
          <w:rFonts w:cs="Times New Roman"/>
          <w:szCs w:val="24"/>
        </w:rPr>
        <w:t>40.panta</w:t>
      </w:r>
      <w:proofErr w:type="gramEnd"/>
      <w:r w:rsidR="00254B78" w:rsidRPr="00782A73">
        <w:rPr>
          <w:rFonts w:cs="Times New Roman"/>
          <w:szCs w:val="24"/>
        </w:rPr>
        <w:t xml:space="preserve"> trešās daļas prasības par plānu nesaskaņojušā kreditora ieguvumu tiesiskās aizsardzības procesā</w:t>
      </w:r>
      <w:r w:rsidR="002A2156" w:rsidRPr="00782A73">
        <w:rPr>
          <w:rFonts w:cs="Times New Roman"/>
          <w:szCs w:val="24"/>
        </w:rPr>
        <w:t xml:space="preserve">. </w:t>
      </w:r>
      <w:r w:rsidR="00254B78" w:rsidRPr="00782A73">
        <w:rPr>
          <w:rFonts w:cs="Times New Roman"/>
          <w:szCs w:val="24"/>
        </w:rPr>
        <w:t xml:space="preserve"> </w:t>
      </w:r>
      <w:r w:rsidR="002A2156" w:rsidRPr="00782A73">
        <w:rPr>
          <w:rFonts w:cs="Times New Roman"/>
          <w:szCs w:val="24"/>
        </w:rPr>
        <w:t>Z</w:t>
      </w:r>
      <w:r w:rsidR="00254B78" w:rsidRPr="00782A73">
        <w:rPr>
          <w:rFonts w:cs="Times New Roman"/>
          <w:szCs w:val="24"/>
        </w:rPr>
        <w:t xml:space="preserve">audējot tiesības pēc saistības </w:t>
      </w:r>
      <w:r w:rsidR="00E8453E" w:rsidRPr="00782A73">
        <w:rPr>
          <w:rFonts w:cs="Times New Roman"/>
          <w:szCs w:val="24"/>
        </w:rPr>
        <w:t xml:space="preserve">izpildes </w:t>
      </w:r>
      <w:r w:rsidR="00254B78" w:rsidRPr="00782A73">
        <w:rPr>
          <w:rFonts w:cs="Times New Roman"/>
          <w:szCs w:val="24"/>
        </w:rPr>
        <w:t>bezstrīdus kārtībā, tam liegtas tiesības celt iebildumus savu interešu nodrošināšanai, kā arī nav ievērotas Maksātnespējas likuma 6. panta 1., 2., 8.punkta, Civilprocesa likuma 341.</w:t>
      </w:r>
      <w:r w:rsidR="00254B78" w:rsidRPr="00782A73">
        <w:rPr>
          <w:rFonts w:cs="Times New Roman"/>
          <w:szCs w:val="24"/>
          <w:vertAlign w:val="superscript"/>
        </w:rPr>
        <w:t xml:space="preserve">7 </w:t>
      </w:r>
      <w:r w:rsidR="00254B78" w:rsidRPr="00782A73">
        <w:rPr>
          <w:rFonts w:cs="Times New Roman"/>
          <w:szCs w:val="24"/>
        </w:rPr>
        <w:t xml:space="preserve">panta ceturtās daļas prasības, </w:t>
      </w:r>
      <w:r w:rsidR="00E8453E" w:rsidRPr="00782A73">
        <w:rPr>
          <w:rFonts w:cs="Times New Roman"/>
          <w:szCs w:val="24"/>
        </w:rPr>
        <w:t xml:space="preserve">kas </w:t>
      </w:r>
      <w:r w:rsidR="00254B78" w:rsidRPr="00782A73">
        <w:rPr>
          <w:rFonts w:cs="Times New Roman"/>
          <w:szCs w:val="24"/>
        </w:rPr>
        <w:t xml:space="preserve">novedis pie SIA </w:t>
      </w:r>
      <w:r w:rsidR="009B6892" w:rsidRPr="00782A73">
        <w:rPr>
          <w:rFonts w:cs="Times New Roman"/>
          <w:szCs w:val="24"/>
        </w:rPr>
        <w:t>„</w:t>
      </w:r>
      <w:r w:rsidR="00254B78" w:rsidRPr="00782A73">
        <w:rPr>
          <w:rFonts w:cs="Times New Roman"/>
          <w:szCs w:val="24"/>
        </w:rPr>
        <w:t xml:space="preserve">NETVISION” tiesību un interešu aizskāruma </w:t>
      </w:r>
      <w:r w:rsidR="00A22949" w:rsidRPr="00782A73">
        <w:rPr>
          <w:rFonts w:cs="Times New Roman"/>
          <w:szCs w:val="24"/>
        </w:rPr>
        <w:t>p</w:t>
      </w:r>
      <w:r w:rsidR="00254B78" w:rsidRPr="00782A73">
        <w:rPr>
          <w:rFonts w:cs="Times New Roman"/>
          <w:szCs w:val="24"/>
        </w:rPr>
        <w:t xml:space="preserve">arādnieces ārpustiesas tiesiskās aizsardzības procesā.  </w:t>
      </w:r>
    </w:p>
    <w:p w14:paraId="5AA8BADF" w14:textId="6EF4E777" w:rsidR="00E8453E" w:rsidRPr="00782A73" w:rsidRDefault="00254B78" w:rsidP="00FD21E8">
      <w:pPr>
        <w:spacing w:after="0" w:line="276" w:lineRule="auto"/>
        <w:ind w:firstLine="698"/>
        <w:jc w:val="both"/>
        <w:rPr>
          <w:rFonts w:cs="Times New Roman"/>
          <w:szCs w:val="24"/>
        </w:rPr>
      </w:pPr>
      <w:r w:rsidRPr="00782A73">
        <w:rPr>
          <w:rFonts w:cs="Times New Roman"/>
          <w:szCs w:val="24"/>
        </w:rPr>
        <w:tab/>
      </w:r>
      <w:r w:rsidR="00205AF5" w:rsidRPr="00782A73">
        <w:rPr>
          <w:rFonts w:cs="Times New Roman"/>
          <w:szCs w:val="24"/>
        </w:rPr>
        <w:t>Šā</w:t>
      </w:r>
      <w:r w:rsidR="009E3AC3" w:rsidRPr="00782A73">
        <w:rPr>
          <w:rFonts w:cs="Times New Roman"/>
          <w:szCs w:val="24"/>
        </w:rPr>
        <w:t>dos</w:t>
      </w:r>
      <w:r w:rsidRPr="00782A73">
        <w:rPr>
          <w:rFonts w:cs="Times New Roman"/>
          <w:szCs w:val="24"/>
        </w:rPr>
        <w:t xml:space="preserve"> apstākļ</w:t>
      </w:r>
      <w:r w:rsidR="009E3AC3" w:rsidRPr="00782A73">
        <w:rPr>
          <w:rFonts w:cs="Times New Roman"/>
          <w:szCs w:val="24"/>
        </w:rPr>
        <w:t>os</w:t>
      </w:r>
      <w:r w:rsidRPr="00782A73">
        <w:rPr>
          <w:rFonts w:cs="Times New Roman"/>
          <w:szCs w:val="24"/>
        </w:rPr>
        <w:t xml:space="preserve"> tiesas </w:t>
      </w:r>
      <w:proofErr w:type="gramStart"/>
      <w:r w:rsidRPr="00782A73">
        <w:rPr>
          <w:rFonts w:cs="Times New Roman"/>
          <w:szCs w:val="24"/>
        </w:rPr>
        <w:t>2022.gada</w:t>
      </w:r>
      <w:proofErr w:type="gramEnd"/>
      <w:r w:rsidRPr="00782A73">
        <w:rPr>
          <w:rFonts w:cs="Times New Roman"/>
          <w:szCs w:val="24"/>
        </w:rPr>
        <w:t xml:space="preserve"> 28.marta </w:t>
      </w:r>
      <w:r w:rsidR="006F1887" w:rsidRPr="00782A73">
        <w:rPr>
          <w:rFonts w:cs="Times New Roman"/>
          <w:szCs w:val="24"/>
        </w:rPr>
        <w:t xml:space="preserve">lēmumu </w:t>
      </w:r>
      <w:r w:rsidRPr="00782A73">
        <w:rPr>
          <w:rFonts w:cs="Times New Roman"/>
          <w:szCs w:val="24"/>
        </w:rPr>
        <w:t>nevar atzīt par  pamatotu, tāpēc tas ir atceļams</w:t>
      </w:r>
      <w:r w:rsidR="00E8453E" w:rsidRPr="00782A73">
        <w:rPr>
          <w:rFonts w:cs="Times New Roman"/>
          <w:szCs w:val="24"/>
        </w:rPr>
        <w:t>.</w:t>
      </w:r>
    </w:p>
    <w:p w14:paraId="1822AE47" w14:textId="345E417F" w:rsidR="008D78EA" w:rsidRPr="00782A73" w:rsidRDefault="008D78EA" w:rsidP="008D78EA">
      <w:pPr>
        <w:spacing w:line="276" w:lineRule="auto"/>
        <w:ind w:firstLine="720"/>
        <w:jc w:val="both"/>
        <w:rPr>
          <w:rFonts w:cs="Times New Roman"/>
          <w:szCs w:val="24"/>
        </w:rPr>
      </w:pPr>
      <w:r w:rsidRPr="00782A73">
        <w:rPr>
          <w:rFonts w:cs="Times New Roman"/>
          <w:szCs w:val="24"/>
        </w:rPr>
        <w:t xml:space="preserve">[6.3] SIA „MIKRONET” paskaidrojumos norādītais neietekmē izskatāmā protesta rezultātu, jo tas vērtējams, izskatot </w:t>
      </w:r>
      <w:r w:rsidR="00772566" w:rsidRPr="00782A73">
        <w:rPr>
          <w:rFonts w:cs="Times New Roman"/>
          <w:szCs w:val="24"/>
        </w:rPr>
        <w:t>pieteikumu</w:t>
      </w:r>
      <w:r w:rsidR="009014F4" w:rsidRPr="00782A73">
        <w:rPr>
          <w:rFonts w:cs="Times New Roman"/>
          <w:szCs w:val="24"/>
        </w:rPr>
        <w:t xml:space="preserve"> no jauna</w:t>
      </w:r>
      <w:r w:rsidRPr="00782A73">
        <w:rPr>
          <w:rFonts w:cs="Times New Roman"/>
          <w:szCs w:val="24"/>
        </w:rPr>
        <w:t>.</w:t>
      </w:r>
    </w:p>
    <w:p w14:paraId="2B826561" w14:textId="77777777" w:rsidR="001F40B6" w:rsidRPr="00782A73" w:rsidRDefault="001F40B6" w:rsidP="00FD21E8">
      <w:pPr>
        <w:spacing w:after="0" w:line="276" w:lineRule="auto"/>
        <w:ind w:right="49"/>
        <w:jc w:val="center"/>
        <w:rPr>
          <w:rFonts w:cs="Times New Roman"/>
          <w:b/>
          <w:szCs w:val="24"/>
        </w:rPr>
      </w:pPr>
      <w:r w:rsidRPr="00782A73">
        <w:rPr>
          <w:rFonts w:cs="Times New Roman"/>
          <w:b/>
          <w:szCs w:val="24"/>
        </w:rPr>
        <w:t>Rezolutīvā daļa</w:t>
      </w:r>
    </w:p>
    <w:p w14:paraId="44781580" w14:textId="77777777" w:rsidR="001F40B6" w:rsidRPr="00782A73" w:rsidRDefault="001F40B6" w:rsidP="00FD21E8">
      <w:pPr>
        <w:spacing w:after="0" w:line="276" w:lineRule="auto"/>
        <w:ind w:right="49"/>
        <w:jc w:val="center"/>
        <w:rPr>
          <w:rFonts w:cs="Times New Roman"/>
          <w:b/>
          <w:szCs w:val="24"/>
        </w:rPr>
      </w:pPr>
    </w:p>
    <w:p w14:paraId="4DDDB27B" w14:textId="77777777" w:rsidR="001F40B6" w:rsidRPr="00782A73" w:rsidRDefault="001F40B6" w:rsidP="00FD21E8">
      <w:pPr>
        <w:spacing w:after="0" w:line="276" w:lineRule="auto"/>
        <w:ind w:right="49" w:firstLine="720"/>
        <w:jc w:val="both"/>
        <w:rPr>
          <w:rFonts w:cs="Times New Roman"/>
          <w:szCs w:val="24"/>
        </w:rPr>
      </w:pPr>
      <w:r w:rsidRPr="00782A73">
        <w:rPr>
          <w:rFonts w:cs="Times New Roman"/>
          <w:szCs w:val="24"/>
        </w:rPr>
        <w:t xml:space="preserve">Pamatojoties uz Civilprocesa likuma </w:t>
      </w:r>
      <w:proofErr w:type="gramStart"/>
      <w:r w:rsidRPr="00782A73">
        <w:rPr>
          <w:rFonts w:cs="Times New Roman"/>
          <w:szCs w:val="24"/>
        </w:rPr>
        <w:t>474.panta</w:t>
      </w:r>
      <w:proofErr w:type="gramEnd"/>
      <w:r w:rsidRPr="00782A73">
        <w:rPr>
          <w:rFonts w:cs="Times New Roman"/>
          <w:szCs w:val="24"/>
        </w:rPr>
        <w:t xml:space="preserve"> 2.punktu un 485.pantu, Senāts</w:t>
      </w:r>
    </w:p>
    <w:p w14:paraId="4D14F080" w14:textId="77777777" w:rsidR="001F40B6" w:rsidRPr="00782A73" w:rsidRDefault="001F40B6" w:rsidP="00FD21E8">
      <w:pPr>
        <w:spacing w:after="0" w:line="276" w:lineRule="auto"/>
        <w:ind w:right="49" w:firstLine="567"/>
        <w:jc w:val="both"/>
        <w:rPr>
          <w:rFonts w:cs="Times New Roman"/>
          <w:szCs w:val="24"/>
        </w:rPr>
      </w:pPr>
    </w:p>
    <w:p w14:paraId="375B33D8" w14:textId="77777777" w:rsidR="001F40B6" w:rsidRPr="00782A73" w:rsidRDefault="001F40B6" w:rsidP="00FD21E8">
      <w:pPr>
        <w:spacing w:after="0" w:line="276" w:lineRule="auto"/>
        <w:ind w:right="49"/>
        <w:jc w:val="center"/>
        <w:rPr>
          <w:rFonts w:cs="Times New Roman"/>
          <w:szCs w:val="24"/>
        </w:rPr>
      </w:pPr>
      <w:r w:rsidRPr="00782A73">
        <w:rPr>
          <w:rFonts w:cs="Times New Roman"/>
          <w:b/>
          <w:szCs w:val="24"/>
        </w:rPr>
        <w:t>nolēma</w:t>
      </w:r>
    </w:p>
    <w:p w14:paraId="40E0BB0A" w14:textId="77777777" w:rsidR="001F40B6" w:rsidRPr="00782A73" w:rsidRDefault="001F40B6" w:rsidP="00FD21E8">
      <w:pPr>
        <w:spacing w:after="0" w:line="276" w:lineRule="auto"/>
        <w:ind w:right="49" w:firstLine="567"/>
        <w:jc w:val="both"/>
        <w:rPr>
          <w:rFonts w:cs="Times New Roman"/>
          <w:szCs w:val="24"/>
        </w:rPr>
      </w:pPr>
    </w:p>
    <w:p w14:paraId="087432BF" w14:textId="134B12C4" w:rsidR="001F40B6" w:rsidRPr="00782A73" w:rsidRDefault="00BF7FB1" w:rsidP="00FD21E8">
      <w:pPr>
        <w:spacing w:after="0" w:line="276" w:lineRule="auto"/>
        <w:ind w:right="49" w:firstLine="720"/>
        <w:jc w:val="both"/>
        <w:rPr>
          <w:rFonts w:cs="Times New Roman"/>
          <w:szCs w:val="24"/>
        </w:rPr>
      </w:pPr>
      <w:r w:rsidRPr="00782A73">
        <w:rPr>
          <w:rFonts w:eastAsia="Times New Roman" w:cs="Times New Roman"/>
          <w:szCs w:val="24"/>
          <w:lang w:eastAsia="lv-LV"/>
        </w:rPr>
        <w:t xml:space="preserve">atcelt </w:t>
      </w:r>
      <w:r w:rsidR="00E8453E" w:rsidRPr="00782A73">
        <w:rPr>
          <w:rFonts w:eastAsia="Times New Roman" w:cs="Times New Roman"/>
          <w:szCs w:val="24"/>
          <w:lang w:eastAsia="lv-LV"/>
        </w:rPr>
        <w:t xml:space="preserve">Vidzemes rajona tiesas </w:t>
      </w:r>
      <w:proofErr w:type="gramStart"/>
      <w:r w:rsidR="00E8453E" w:rsidRPr="00782A73">
        <w:rPr>
          <w:rFonts w:eastAsia="Times New Roman" w:cs="Times New Roman"/>
          <w:szCs w:val="24"/>
          <w:lang w:eastAsia="lv-LV"/>
        </w:rPr>
        <w:t>2022.gada</w:t>
      </w:r>
      <w:proofErr w:type="gramEnd"/>
      <w:r w:rsidR="00E8453E" w:rsidRPr="00782A73">
        <w:rPr>
          <w:rFonts w:eastAsia="Times New Roman" w:cs="Times New Roman"/>
          <w:szCs w:val="24"/>
          <w:lang w:eastAsia="lv-LV"/>
        </w:rPr>
        <w:t xml:space="preserve"> 28.marta </w:t>
      </w:r>
      <w:r w:rsidR="001F40B6" w:rsidRPr="00782A73">
        <w:rPr>
          <w:rFonts w:cs="Times New Roman"/>
          <w:szCs w:val="24"/>
        </w:rPr>
        <w:t>lēmumu</w:t>
      </w:r>
      <w:r w:rsidR="00E352B0" w:rsidRPr="00782A73">
        <w:rPr>
          <w:rFonts w:cs="Times New Roman"/>
          <w:szCs w:val="24"/>
        </w:rPr>
        <w:t xml:space="preserve"> </w:t>
      </w:r>
      <w:r w:rsidR="001F40B6" w:rsidRPr="00782A73">
        <w:rPr>
          <w:rFonts w:cs="Times New Roman"/>
          <w:szCs w:val="24"/>
        </w:rPr>
        <w:t>un</w:t>
      </w:r>
      <w:r w:rsidR="009E3AC3" w:rsidRPr="00782A73">
        <w:rPr>
          <w:rFonts w:cs="Times New Roman"/>
          <w:szCs w:val="24"/>
        </w:rPr>
        <w:t xml:space="preserve"> nodot</w:t>
      </w:r>
      <w:r w:rsidRPr="00782A73">
        <w:rPr>
          <w:rFonts w:cs="Times New Roman"/>
          <w:szCs w:val="24"/>
        </w:rPr>
        <w:t xml:space="preserve"> pieteikumu</w:t>
      </w:r>
      <w:r w:rsidR="00E352B0" w:rsidRPr="00782A73">
        <w:rPr>
          <w:rFonts w:cs="Times New Roman"/>
          <w:szCs w:val="24"/>
        </w:rPr>
        <w:t xml:space="preserve"> </w:t>
      </w:r>
      <w:r w:rsidR="001F40B6" w:rsidRPr="00782A73">
        <w:rPr>
          <w:rFonts w:cs="Times New Roman"/>
          <w:szCs w:val="24"/>
        </w:rPr>
        <w:t>jaunai izskatīšanai tajā pašā tiesā.</w:t>
      </w:r>
    </w:p>
    <w:p w14:paraId="6CCB8122" w14:textId="77777777" w:rsidR="001F40B6" w:rsidRPr="00782A73" w:rsidRDefault="001F40B6" w:rsidP="00FD21E8">
      <w:pPr>
        <w:spacing w:after="0" w:line="276" w:lineRule="auto"/>
        <w:ind w:firstLine="720"/>
        <w:rPr>
          <w:rFonts w:cs="Times New Roman"/>
          <w:szCs w:val="24"/>
        </w:rPr>
      </w:pPr>
      <w:r w:rsidRPr="00782A73">
        <w:rPr>
          <w:rFonts w:cs="Times New Roman"/>
          <w:szCs w:val="24"/>
        </w:rPr>
        <w:t>Lēmums nav pārsūdzams.</w:t>
      </w:r>
    </w:p>
    <w:sectPr w:rsidR="001F40B6" w:rsidRPr="00782A73" w:rsidSect="00782A73">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28DA" w14:textId="77777777" w:rsidR="00BF3CDF" w:rsidRDefault="00BF3CDF">
      <w:pPr>
        <w:spacing w:after="0" w:line="240" w:lineRule="auto"/>
      </w:pPr>
      <w:r>
        <w:separator/>
      </w:r>
    </w:p>
  </w:endnote>
  <w:endnote w:type="continuationSeparator" w:id="0">
    <w:p w14:paraId="0E2E3D17" w14:textId="77777777" w:rsidR="00BF3CDF" w:rsidRDefault="00BF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22856"/>
      <w:docPartObj>
        <w:docPartGallery w:val="Page Numbers (Bottom of Page)"/>
        <w:docPartUnique/>
      </w:docPartObj>
    </w:sdtPr>
    <w:sdtEndPr/>
    <w:sdtContent>
      <w:sdt>
        <w:sdtPr>
          <w:id w:val="1728636285"/>
          <w:docPartObj>
            <w:docPartGallery w:val="Page Numbers (Top of Page)"/>
            <w:docPartUnique/>
          </w:docPartObj>
        </w:sdtPr>
        <w:sdtEndPr/>
        <w:sdtContent>
          <w:p w14:paraId="0D57A071" w14:textId="4B993AA1" w:rsidR="007F27CA" w:rsidRDefault="007F27CA">
            <w:pPr>
              <w:pStyle w:val="Footer"/>
              <w:jc w:val="center"/>
            </w:pPr>
            <w:r w:rsidRPr="007F27CA">
              <w:rPr>
                <w:szCs w:val="24"/>
              </w:rPr>
              <w:fldChar w:fldCharType="begin"/>
            </w:r>
            <w:r w:rsidRPr="007F27CA">
              <w:instrText xml:space="preserve"> PAGE </w:instrText>
            </w:r>
            <w:r w:rsidRPr="007F27CA">
              <w:rPr>
                <w:szCs w:val="24"/>
              </w:rPr>
              <w:fldChar w:fldCharType="separate"/>
            </w:r>
            <w:r w:rsidRPr="007F27CA">
              <w:rPr>
                <w:noProof/>
              </w:rPr>
              <w:t>2</w:t>
            </w:r>
            <w:r w:rsidRPr="007F27CA">
              <w:rPr>
                <w:szCs w:val="24"/>
              </w:rPr>
              <w:fldChar w:fldCharType="end"/>
            </w:r>
            <w:r w:rsidRPr="007F27CA">
              <w:t xml:space="preserve"> no </w:t>
            </w:r>
            <w:fldSimple w:instr=" NUMPAGES  ">
              <w:r w:rsidRPr="007F27CA">
                <w:rPr>
                  <w:noProof/>
                </w:rPr>
                <w:t>2</w:t>
              </w:r>
            </w:fldSimple>
          </w:p>
        </w:sdtContent>
      </w:sdt>
    </w:sdtContent>
  </w:sdt>
  <w:p w14:paraId="28C9E02E" w14:textId="6484CD2E" w:rsidR="00074359" w:rsidRPr="003F17F7" w:rsidRDefault="00074359" w:rsidP="000743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B245" w14:textId="77777777" w:rsidR="00BF3CDF" w:rsidRDefault="00BF3CDF">
      <w:pPr>
        <w:spacing w:after="0" w:line="240" w:lineRule="auto"/>
      </w:pPr>
      <w:r>
        <w:separator/>
      </w:r>
    </w:p>
  </w:footnote>
  <w:footnote w:type="continuationSeparator" w:id="0">
    <w:p w14:paraId="11F7213C" w14:textId="77777777" w:rsidR="00BF3CDF" w:rsidRDefault="00BF3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B6"/>
    <w:rsid w:val="0000124F"/>
    <w:rsid w:val="000054D4"/>
    <w:rsid w:val="00012CB7"/>
    <w:rsid w:val="00051D60"/>
    <w:rsid w:val="000731ED"/>
    <w:rsid w:val="000741E8"/>
    <w:rsid w:val="00074359"/>
    <w:rsid w:val="000C3E26"/>
    <w:rsid w:val="000C566E"/>
    <w:rsid w:val="000C6C31"/>
    <w:rsid w:val="001362B5"/>
    <w:rsid w:val="00195925"/>
    <w:rsid w:val="00196D6E"/>
    <w:rsid w:val="001A7304"/>
    <w:rsid w:val="001C2F2C"/>
    <w:rsid w:val="001F40B6"/>
    <w:rsid w:val="001F6127"/>
    <w:rsid w:val="00205AF5"/>
    <w:rsid w:val="002163B4"/>
    <w:rsid w:val="00233560"/>
    <w:rsid w:val="00243A54"/>
    <w:rsid w:val="00245A3D"/>
    <w:rsid w:val="00254B78"/>
    <w:rsid w:val="00256617"/>
    <w:rsid w:val="00265062"/>
    <w:rsid w:val="0028141A"/>
    <w:rsid w:val="002A0DAA"/>
    <w:rsid w:val="002A2156"/>
    <w:rsid w:val="002A5BB9"/>
    <w:rsid w:val="002B16E3"/>
    <w:rsid w:val="002B4D45"/>
    <w:rsid w:val="002D58DE"/>
    <w:rsid w:val="003337DF"/>
    <w:rsid w:val="003672D5"/>
    <w:rsid w:val="003A5450"/>
    <w:rsid w:val="003B3F14"/>
    <w:rsid w:val="003D5EAA"/>
    <w:rsid w:val="003D72ED"/>
    <w:rsid w:val="003F464E"/>
    <w:rsid w:val="00401244"/>
    <w:rsid w:val="00421E38"/>
    <w:rsid w:val="00440CF7"/>
    <w:rsid w:val="00455627"/>
    <w:rsid w:val="00463768"/>
    <w:rsid w:val="00467F9A"/>
    <w:rsid w:val="004748D9"/>
    <w:rsid w:val="004B25F0"/>
    <w:rsid w:val="004C13AC"/>
    <w:rsid w:val="004E7FC8"/>
    <w:rsid w:val="004F04BF"/>
    <w:rsid w:val="0050362C"/>
    <w:rsid w:val="00505E19"/>
    <w:rsid w:val="0050646F"/>
    <w:rsid w:val="00534417"/>
    <w:rsid w:val="00537830"/>
    <w:rsid w:val="005B4527"/>
    <w:rsid w:val="005C082A"/>
    <w:rsid w:val="005C4627"/>
    <w:rsid w:val="005D2D08"/>
    <w:rsid w:val="005D5991"/>
    <w:rsid w:val="005D6A42"/>
    <w:rsid w:val="005E6110"/>
    <w:rsid w:val="00630E96"/>
    <w:rsid w:val="00642400"/>
    <w:rsid w:val="006554A0"/>
    <w:rsid w:val="0067089A"/>
    <w:rsid w:val="006743A7"/>
    <w:rsid w:val="00686BF2"/>
    <w:rsid w:val="00686DF7"/>
    <w:rsid w:val="006A14B1"/>
    <w:rsid w:val="006A5207"/>
    <w:rsid w:val="006B2A7A"/>
    <w:rsid w:val="006C48DB"/>
    <w:rsid w:val="006F1887"/>
    <w:rsid w:val="00766322"/>
    <w:rsid w:val="00772566"/>
    <w:rsid w:val="0077512C"/>
    <w:rsid w:val="0078049E"/>
    <w:rsid w:val="00780B24"/>
    <w:rsid w:val="0078176F"/>
    <w:rsid w:val="00782A73"/>
    <w:rsid w:val="00786575"/>
    <w:rsid w:val="007A2A76"/>
    <w:rsid w:val="007B32A5"/>
    <w:rsid w:val="007C2D6C"/>
    <w:rsid w:val="007D270D"/>
    <w:rsid w:val="007F27CA"/>
    <w:rsid w:val="00804551"/>
    <w:rsid w:val="00822302"/>
    <w:rsid w:val="00863898"/>
    <w:rsid w:val="00890F4A"/>
    <w:rsid w:val="008A0180"/>
    <w:rsid w:val="008C2251"/>
    <w:rsid w:val="008D540E"/>
    <w:rsid w:val="008D78EA"/>
    <w:rsid w:val="008E4726"/>
    <w:rsid w:val="009014F4"/>
    <w:rsid w:val="009768E4"/>
    <w:rsid w:val="00994D46"/>
    <w:rsid w:val="009A29CE"/>
    <w:rsid w:val="009B5D7B"/>
    <w:rsid w:val="009B6892"/>
    <w:rsid w:val="009C1A8D"/>
    <w:rsid w:val="009E3AC3"/>
    <w:rsid w:val="00A022BD"/>
    <w:rsid w:val="00A22949"/>
    <w:rsid w:val="00A27A12"/>
    <w:rsid w:val="00A53B77"/>
    <w:rsid w:val="00A9031F"/>
    <w:rsid w:val="00A912B2"/>
    <w:rsid w:val="00AA7A1C"/>
    <w:rsid w:val="00AC38E8"/>
    <w:rsid w:val="00AF103D"/>
    <w:rsid w:val="00AF1CCA"/>
    <w:rsid w:val="00B176E7"/>
    <w:rsid w:val="00B179B8"/>
    <w:rsid w:val="00B544EB"/>
    <w:rsid w:val="00B55C69"/>
    <w:rsid w:val="00B64726"/>
    <w:rsid w:val="00B66BA5"/>
    <w:rsid w:val="00B80244"/>
    <w:rsid w:val="00BD21F9"/>
    <w:rsid w:val="00BD3581"/>
    <w:rsid w:val="00BE6508"/>
    <w:rsid w:val="00BF3CDF"/>
    <w:rsid w:val="00BF7FB1"/>
    <w:rsid w:val="00C3037D"/>
    <w:rsid w:val="00C364AA"/>
    <w:rsid w:val="00C42AD8"/>
    <w:rsid w:val="00C61B97"/>
    <w:rsid w:val="00C64A32"/>
    <w:rsid w:val="00C64AB6"/>
    <w:rsid w:val="00C916E7"/>
    <w:rsid w:val="00CC55CB"/>
    <w:rsid w:val="00CD2D83"/>
    <w:rsid w:val="00CF1F85"/>
    <w:rsid w:val="00D5137A"/>
    <w:rsid w:val="00D57883"/>
    <w:rsid w:val="00D65016"/>
    <w:rsid w:val="00D800F0"/>
    <w:rsid w:val="00D95AED"/>
    <w:rsid w:val="00D9649E"/>
    <w:rsid w:val="00DA37F8"/>
    <w:rsid w:val="00DB47C5"/>
    <w:rsid w:val="00DC506D"/>
    <w:rsid w:val="00DE0531"/>
    <w:rsid w:val="00E220F4"/>
    <w:rsid w:val="00E352B0"/>
    <w:rsid w:val="00E8453E"/>
    <w:rsid w:val="00E90F30"/>
    <w:rsid w:val="00E92B82"/>
    <w:rsid w:val="00EA1A40"/>
    <w:rsid w:val="00EC191F"/>
    <w:rsid w:val="00EC1B0C"/>
    <w:rsid w:val="00F475F7"/>
    <w:rsid w:val="00F6516A"/>
    <w:rsid w:val="00F66CEE"/>
    <w:rsid w:val="00F77005"/>
    <w:rsid w:val="00FA2F87"/>
    <w:rsid w:val="00FD21E8"/>
    <w:rsid w:val="00FD7B6F"/>
    <w:rsid w:val="00FE01E9"/>
    <w:rsid w:val="00FE3ADF"/>
    <w:rsid w:val="00FE557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7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40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40B6"/>
  </w:style>
  <w:style w:type="paragraph" w:styleId="Revision">
    <w:name w:val="Revision"/>
    <w:hidden/>
    <w:uiPriority w:val="99"/>
    <w:semiHidden/>
    <w:rsid w:val="003A5450"/>
    <w:pPr>
      <w:spacing w:after="0" w:line="240" w:lineRule="auto"/>
    </w:pPr>
  </w:style>
  <w:style w:type="paragraph" w:styleId="BalloonText">
    <w:name w:val="Balloon Text"/>
    <w:basedOn w:val="Normal"/>
    <w:link w:val="BalloonTextChar"/>
    <w:uiPriority w:val="99"/>
    <w:semiHidden/>
    <w:unhideWhenUsed/>
    <w:rsid w:val="005C4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627"/>
    <w:rPr>
      <w:rFonts w:ascii="Segoe UI" w:hAnsi="Segoe UI" w:cs="Segoe UI"/>
      <w:sz w:val="18"/>
      <w:szCs w:val="18"/>
    </w:rPr>
  </w:style>
  <w:style w:type="paragraph" w:styleId="Header">
    <w:name w:val="header"/>
    <w:basedOn w:val="Normal"/>
    <w:link w:val="HeaderChar"/>
    <w:uiPriority w:val="99"/>
    <w:unhideWhenUsed/>
    <w:rsid w:val="007F2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7CA"/>
  </w:style>
  <w:style w:type="character" w:styleId="Hyperlink">
    <w:name w:val="Hyperlink"/>
    <w:basedOn w:val="DefaultParagraphFont"/>
    <w:uiPriority w:val="99"/>
    <w:semiHidden/>
    <w:unhideWhenUsed/>
    <w:rsid w:val="00463768"/>
    <w:rPr>
      <w:color w:val="0000FF"/>
      <w:u w:val="single"/>
    </w:rPr>
  </w:style>
  <w:style w:type="character" w:styleId="CommentReference">
    <w:name w:val="annotation reference"/>
    <w:basedOn w:val="DefaultParagraphFont"/>
    <w:uiPriority w:val="99"/>
    <w:semiHidden/>
    <w:unhideWhenUsed/>
    <w:rsid w:val="002B16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is.ta.gov.lv/tisreal?Form=STAT_PROC_ENTER&amp;task=edit&amp;procid=85792400&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2%26procnum%3D761%26sort%3D1%26liststep%3D10%26%3DPar%25C4%2581d%25C4%25ABt%26plparam1%3Dlist%26pljmimetype%3D1%26%3DIzdruk%25C4%2581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6522</Words>
  <Characters>3719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2023-01-24T14:45:00Z</dcterms:created>
  <dcterms:modified xsi:type="dcterms:W3CDTF">2023-01-25T09:37:00Z</dcterms:modified>
</cp:coreProperties>
</file>