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4758C" w14:textId="66EBDB75" w:rsidR="00C70007" w:rsidRPr="00C70007" w:rsidRDefault="00C70007" w:rsidP="00751876">
      <w:pPr>
        <w:autoSpaceDE w:val="0"/>
        <w:autoSpaceDN w:val="0"/>
        <w:spacing w:line="276" w:lineRule="auto"/>
        <w:contextualSpacing/>
        <w:jc w:val="both"/>
        <w:rPr>
          <w:rFonts w:ascii="TimesNewRomanPSMT" w:hAnsi="TimesNewRomanPSMT"/>
          <w:b/>
          <w:bCs/>
          <w:lang w:eastAsia="en-US"/>
        </w:rPr>
      </w:pPr>
      <w:r>
        <w:rPr>
          <w:rFonts w:ascii="TimesNewRomanPSMT" w:hAnsi="TimesNewRomanPSMT"/>
          <w:b/>
          <w:bCs/>
        </w:rPr>
        <w:t>Starp saistītajām personām notikuša darījuma norises vērtēšana</w:t>
      </w:r>
    </w:p>
    <w:p w14:paraId="421F166A" w14:textId="77777777" w:rsidR="00C70007" w:rsidRDefault="00C70007" w:rsidP="00751876">
      <w:pPr>
        <w:autoSpaceDE w:val="0"/>
        <w:autoSpaceDN w:val="0"/>
        <w:spacing w:line="276" w:lineRule="auto"/>
        <w:contextualSpacing/>
        <w:jc w:val="both"/>
        <w:rPr>
          <w:rFonts w:ascii="TimesNewRomanPSMT" w:hAnsi="TimesNewRomanPSMT"/>
          <w:lang w:eastAsia="en-US"/>
        </w:rPr>
      </w:pPr>
      <w:r>
        <w:rPr>
          <w:rFonts w:ascii="TimesNewRomanPSMT" w:hAnsi="TimesNewRomanPSMT"/>
        </w:rPr>
        <w:t xml:space="preserve">Tiesību normās ir paredzēti dažādi noteikumi, kuriem izpildoties personas ir atzīstamas par saistītām personām. Taču no tiesiskā regulējuma neizriet, ka pats par sevi apstāklis, ka darījumi notiek starp saistītām personām, apliecina šo personu nolūkus gūt nepamatotu fiskālu labumu un samazināt budžetā maksājamos nodokļus. </w:t>
      </w:r>
    </w:p>
    <w:p w14:paraId="7A6FFF1D" w14:textId="7E59ADB8" w:rsidR="008B7CCD" w:rsidRPr="00C70007" w:rsidRDefault="00C70007" w:rsidP="00751876">
      <w:pPr>
        <w:autoSpaceDE w:val="0"/>
        <w:autoSpaceDN w:val="0"/>
        <w:spacing w:line="276" w:lineRule="auto"/>
        <w:contextualSpacing/>
        <w:jc w:val="both"/>
        <w:rPr>
          <w:rFonts w:ascii="TimesNewRomanPSMT" w:hAnsi="TimesNewRomanPSMT"/>
        </w:rPr>
      </w:pPr>
      <w:r>
        <w:rPr>
          <w:rFonts w:ascii="TimesNewRomanPSMT" w:hAnsi="TimesNewRomanPSMT"/>
        </w:rPr>
        <w:t xml:space="preserve">Vienlaikus tiesību normas paredz, ka personas par saistītām personām ir atzīstamas arī tad, ja tās veic saskaņotu darbību, lai samazinātu nodokļus. Tātad tādas personu saskaņotas darbības, kuru mērķis ir samazināt valsts budžetā maksājamos nodokļus, dod pamatu runāt par šo personu nolūkiem izmantot nodokļu sistēmu ļaunprātīgi vai krāpnieciski. Taču, lai varētu izdarīt šādu secinājumu, tiesai ir nepieciešams konstatēt konkrētus apstākļus. Tādējādi personu savstarpējā saistība pati par sevi nevar būt neapstrīdams darījuma partneru ļaunprātīgu nolūku apstiprinošs apstāklis un tieši liecināt par nodokļu sistēmas ļaunprātīgu izmantošanu. Darījuma dalībnieku savstarpējā saistība ir izvērtējama individuāli ikvienā gadījumā kopsakarā ar darījuma noslēgšanu un norisi raksturojošiem apstākļiem, ņemot vērā arī darījuma atbilstību ierastai komercpraksei. </w:t>
      </w:r>
    </w:p>
    <w:p w14:paraId="12235C97" w14:textId="014F08E0" w:rsidR="008B7CCD" w:rsidRPr="007D4A2B" w:rsidRDefault="008B7CCD" w:rsidP="00751876">
      <w:pPr>
        <w:pStyle w:val="BodyText2"/>
        <w:spacing w:after="0" w:line="276" w:lineRule="auto"/>
        <w:contextualSpacing/>
        <w:jc w:val="center"/>
      </w:pPr>
    </w:p>
    <w:p w14:paraId="71A3CA25" w14:textId="20671D74" w:rsidR="008B7CCD" w:rsidRPr="00C70007" w:rsidRDefault="00C70007" w:rsidP="00751876">
      <w:pPr>
        <w:spacing w:line="276" w:lineRule="auto"/>
        <w:contextualSpacing/>
        <w:jc w:val="center"/>
        <w:rPr>
          <w:b/>
        </w:rPr>
      </w:pPr>
      <w:r w:rsidRPr="00C70007">
        <w:rPr>
          <w:b/>
        </w:rPr>
        <w:t>Latvijas Republikas Senāta</w:t>
      </w:r>
    </w:p>
    <w:p w14:paraId="3003E4A3" w14:textId="12FAA5FA" w:rsidR="00C70007" w:rsidRPr="00C70007" w:rsidRDefault="00C70007" w:rsidP="00751876">
      <w:pPr>
        <w:spacing w:line="276" w:lineRule="auto"/>
        <w:contextualSpacing/>
        <w:jc w:val="center"/>
        <w:rPr>
          <w:b/>
        </w:rPr>
      </w:pPr>
      <w:r w:rsidRPr="00C70007">
        <w:rPr>
          <w:b/>
        </w:rPr>
        <w:t xml:space="preserve">Administratīvo lietu departamenta </w:t>
      </w:r>
    </w:p>
    <w:p w14:paraId="34BE118E" w14:textId="6E88D8F8" w:rsidR="00C70007" w:rsidRPr="00C70007" w:rsidRDefault="00C70007" w:rsidP="00751876">
      <w:pPr>
        <w:spacing w:line="276" w:lineRule="auto"/>
        <w:contextualSpacing/>
        <w:jc w:val="center"/>
        <w:rPr>
          <w:b/>
        </w:rPr>
      </w:pPr>
      <w:r w:rsidRPr="00C70007">
        <w:rPr>
          <w:b/>
        </w:rPr>
        <w:t>2022.gada 31.oktobra</w:t>
      </w:r>
    </w:p>
    <w:p w14:paraId="338EDD9C" w14:textId="77777777" w:rsidR="008B7CCD" w:rsidRPr="00C70007" w:rsidRDefault="008B7CCD" w:rsidP="00751876">
      <w:pPr>
        <w:spacing w:line="276" w:lineRule="auto"/>
        <w:contextualSpacing/>
        <w:jc w:val="center"/>
        <w:rPr>
          <w:b/>
        </w:rPr>
      </w:pPr>
      <w:r w:rsidRPr="00C70007">
        <w:rPr>
          <w:b/>
        </w:rPr>
        <w:t xml:space="preserve">SPRIEDUMS </w:t>
      </w:r>
    </w:p>
    <w:p w14:paraId="516A5A4A" w14:textId="781698D4" w:rsidR="00C70007" w:rsidRPr="00C70007" w:rsidRDefault="00C70007" w:rsidP="00751876">
      <w:pPr>
        <w:spacing w:line="276" w:lineRule="auto"/>
        <w:contextualSpacing/>
        <w:jc w:val="center"/>
        <w:rPr>
          <w:b/>
        </w:rPr>
      </w:pPr>
      <w:r w:rsidRPr="00C70007">
        <w:rPr>
          <w:b/>
        </w:rPr>
        <w:t>Lieta Nr. A420277520, SKA</w:t>
      </w:r>
      <w:r w:rsidRPr="00C70007">
        <w:rPr>
          <w:b/>
        </w:rPr>
        <w:noBreakHyphen/>
        <w:t>664/2022</w:t>
      </w:r>
    </w:p>
    <w:p w14:paraId="15F1F5F4" w14:textId="60E03B74" w:rsidR="00C70007" w:rsidRPr="007D4A2B" w:rsidRDefault="00000000" w:rsidP="00751876">
      <w:pPr>
        <w:spacing w:line="276" w:lineRule="auto"/>
        <w:contextualSpacing/>
        <w:jc w:val="center"/>
      </w:pPr>
      <w:hyperlink r:id="rId8" w:history="1">
        <w:r w:rsidR="00C70007" w:rsidRPr="007A7F18">
          <w:rPr>
            <w:rStyle w:val="Hyperlink"/>
          </w:rPr>
          <w:t>ECLI:LV:AT:2022:1031.A420277520.9.S</w:t>
        </w:r>
      </w:hyperlink>
      <w:r w:rsidR="00C70007">
        <w:t xml:space="preserve"> </w:t>
      </w:r>
    </w:p>
    <w:p w14:paraId="2EC14FB2" w14:textId="77777777" w:rsidR="008B7CCD" w:rsidRPr="007D4A2B" w:rsidRDefault="008B7CCD" w:rsidP="00751876">
      <w:pPr>
        <w:spacing w:line="276" w:lineRule="auto"/>
        <w:ind w:firstLine="567"/>
        <w:contextualSpacing/>
        <w:jc w:val="both"/>
      </w:pPr>
    </w:p>
    <w:p w14:paraId="491B2652" w14:textId="6DFD0B82" w:rsidR="008B7CCD" w:rsidRPr="007D4A2B" w:rsidRDefault="008B7CCD" w:rsidP="00751876">
      <w:pPr>
        <w:spacing w:line="276" w:lineRule="auto"/>
        <w:ind w:firstLine="567"/>
        <w:contextualSpacing/>
        <w:jc w:val="both"/>
      </w:pPr>
      <w:r w:rsidRPr="007D4A2B">
        <w:t>Tiesa šādā sastāvā: senator</w:t>
      </w:r>
      <w:r w:rsidR="00A5478F" w:rsidRPr="007D4A2B">
        <w:t>i</w:t>
      </w:r>
      <w:r w:rsidRPr="007D4A2B">
        <w:t xml:space="preserve"> </w:t>
      </w:r>
      <w:r w:rsidR="006F22A1" w:rsidRPr="007D4A2B">
        <w:t>Diāna Makarova, Valters Poķis, Līvija Slica</w:t>
      </w:r>
    </w:p>
    <w:p w14:paraId="3199FCA5" w14:textId="77777777" w:rsidR="008B7CCD" w:rsidRPr="007D4A2B" w:rsidRDefault="008B7CCD" w:rsidP="00751876">
      <w:pPr>
        <w:spacing w:line="276" w:lineRule="auto"/>
        <w:ind w:firstLine="567"/>
        <w:contextualSpacing/>
        <w:jc w:val="both"/>
      </w:pPr>
    </w:p>
    <w:p w14:paraId="488A862A" w14:textId="306BF1C9" w:rsidR="00000092" w:rsidRDefault="00097AB4" w:rsidP="00751876">
      <w:pPr>
        <w:spacing w:line="276" w:lineRule="auto"/>
        <w:ind w:firstLine="567"/>
        <w:contextualSpacing/>
        <w:jc w:val="both"/>
      </w:pPr>
      <w:r w:rsidRPr="007D4A2B">
        <w:t xml:space="preserve">rakstveida procesā izskatīja administratīvo lietu, kas ierosināta, </w:t>
      </w:r>
      <w:r w:rsidR="00642BDC" w:rsidRPr="007D4A2B">
        <w:t xml:space="preserve">pamatojoties uz </w:t>
      </w:r>
      <w:bookmarkStart w:id="0" w:name="_Hlk110684524"/>
      <w:bookmarkStart w:id="1" w:name="_Hlk105140648"/>
      <w:bookmarkStart w:id="2" w:name="_Hlk114304189"/>
      <w:r w:rsidR="00000092">
        <w:t>SIA </w:t>
      </w:r>
      <w:bookmarkStart w:id="3" w:name="_Hlk114558197"/>
      <w:r w:rsidR="00000092" w:rsidRPr="007D4A2B">
        <w:t>„</w:t>
      </w:r>
      <w:bookmarkEnd w:id="3"/>
      <w:proofErr w:type="spellStart"/>
      <w:r w:rsidR="000C652D">
        <w:t>A</w:t>
      </w:r>
      <w:r w:rsidR="00000092">
        <w:t>griforest</w:t>
      </w:r>
      <w:proofErr w:type="spellEnd"/>
      <w:r w:rsidR="00000092">
        <w:t>”</w:t>
      </w:r>
      <w:bookmarkEnd w:id="0"/>
      <w:bookmarkEnd w:id="1"/>
      <w:r w:rsidR="00000092">
        <w:t xml:space="preserve"> </w:t>
      </w:r>
      <w:bookmarkEnd w:id="2"/>
      <w:r w:rsidR="00642BDC" w:rsidRPr="007D4A2B">
        <w:t xml:space="preserve">pieteikumu </w:t>
      </w:r>
      <w:r w:rsidR="00000092">
        <w:t xml:space="preserve">izdot labvēlīgu administratīvo aktu, ar kuru </w:t>
      </w:r>
      <w:r w:rsidR="00127D55">
        <w:t xml:space="preserve">Valsts ieņēmumu dienests atmaksātu </w:t>
      </w:r>
      <w:bookmarkStart w:id="4" w:name="_Hlk114910387"/>
      <w:r w:rsidR="00000092">
        <w:t>SIA </w:t>
      </w:r>
      <w:bookmarkStart w:id="5" w:name="_Hlk114827936"/>
      <w:r w:rsidR="00000092" w:rsidRPr="007D4A2B">
        <w:t>„</w:t>
      </w:r>
      <w:bookmarkEnd w:id="5"/>
      <w:proofErr w:type="spellStart"/>
      <w:r w:rsidR="00000092">
        <w:t>Agriforest</w:t>
      </w:r>
      <w:proofErr w:type="spellEnd"/>
      <w:r w:rsidR="00000092">
        <w:t xml:space="preserve">” </w:t>
      </w:r>
      <w:bookmarkEnd w:id="4"/>
      <w:r w:rsidR="00000092">
        <w:t>pievienotās vērtības nodokļa pārmaksa, sakarā ar SIA </w:t>
      </w:r>
      <w:r w:rsidR="00000092" w:rsidRPr="007D4A2B">
        <w:t>„</w:t>
      </w:r>
      <w:proofErr w:type="spellStart"/>
      <w:r w:rsidR="00000092">
        <w:t>Agriforest</w:t>
      </w:r>
      <w:proofErr w:type="spellEnd"/>
      <w:r w:rsidR="00000092">
        <w:t xml:space="preserve">” kasācijas sūdzību par Administratīvās apgabaltiesas </w:t>
      </w:r>
      <w:proofErr w:type="gramStart"/>
      <w:r w:rsidR="00000092">
        <w:t>2021.gada</w:t>
      </w:r>
      <w:proofErr w:type="gramEnd"/>
      <w:r w:rsidR="00000092">
        <w:t xml:space="preserve"> 28.decembra spriedumu.</w:t>
      </w:r>
    </w:p>
    <w:p w14:paraId="7ABBA8B1" w14:textId="77777777" w:rsidR="00000092" w:rsidRDefault="00000092" w:rsidP="00751876">
      <w:pPr>
        <w:pStyle w:val="ATvirsraksts"/>
        <w:contextualSpacing/>
      </w:pPr>
    </w:p>
    <w:p w14:paraId="2B79C98E" w14:textId="0549C949" w:rsidR="008B7CCD" w:rsidRPr="007D4A2B" w:rsidRDefault="008B7CCD" w:rsidP="00751876">
      <w:pPr>
        <w:pStyle w:val="ATvirsraksts"/>
        <w:contextualSpacing/>
      </w:pPr>
      <w:r w:rsidRPr="007D4A2B">
        <w:t>Aprakstošā daļa</w:t>
      </w:r>
    </w:p>
    <w:p w14:paraId="7A360561" w14:textId="77777777" w:rsidR="00F005AF" w:rsidRPr="007D4A2B" w:rsidRDefault="00F005AF" w:rsidP="00751876">
      <w:pPr>
        <w:spacing w:line="276" w:lineRule="auto"/>
        <w:ind w:firstLine="567"/>
        <w:contextualSpacing/>
        <w:jc w:val="both"/>
      </w:pPr>
    </w:p>
    <w:p w14:paraId="3FDB35FB" w14:textId="645D4192" w:rsidR="00B534E6" w:rsidRDefault="008B7CCD" w:rsidP="00751876">
      <w:pPr>
        <w:spacing w:line="276" w:lineRule="auto"/>
        <w:ind w:firstLine="567"/>
        <w:contextualSpacing/>
        <w:jc w:val="both"/>
      </w:pPr>
      <w:r w:rsidRPr="007D4A2B">
        <w:t>[1]</w:t>
      </w:r>
      <w:r w:rsidR="00414A8D" w:rsidRPr="007D4A2B">
        <w:t> </w:t>
      </w:r>
      <w:r w:rsidR="00E23363">
        <w:t>Pieteicēj</w:t>
      </w:r>
      <w:r w:rsidR="00000092">
        <w:t>a</w:t>
      </w:r>
      <w:r w:rsidR="00B534E6" w:rsidRPr="00B534E6">
        <w:t xml:space="preserve"> </w:t>
      </w:r>
      <w:r w:rsidR="00B534E6">
        <w:t>SIA </w:t>
      </w:r>
      <w:r w:rsidR="00B534E6" w:rsidRPr="007D4A2B">
        <w:t>„</w:t>
      </w:r>
      <w:proofErr w:type="spellStart"/>
      <w:r w:rsidR="00B534E6">
        <w:t>Agriforest</w:t>
      </w:r>
      <w:proofErr w:type="spellEnd"/>
      <w:r w:rsidR="00B534E6">
        <w:t xml:space="preserve">” </w:t>
      </w:r>
      <w:proofErr w:type="gramStart"/>
      <w:r w:rsidR="00B534E6">
        <w:t>2020.gada</w:t>
      </w:r>
      <w:proofErr w:type="gramEnd"/>
      <w:r w:rsidR="00B534E6">
        <w:t xml:space="preserve"> jūlija pievienotās vērtības nodokļa deklarācijā deklarēja traktortehnikas iegādes darījumu </w:t>
      </w:r>
      <w:r w:rsidR="00CE0619">
        <w:t>ar SIA </w:t>
      </w:r>
      <w:r w:rsidR="00CE0619" w:rsidRPr="007D4A2B">
        <w:t>„</w:t>
      </w:r>
      <w:proofErr w:type="spellStart"/>
      <w:r w:rsidR="00CE0619">
        <w:t>SalixPro</w:t>
      </w:r>
      <w:proofErr w:type="spellEnd"/>
      <w:r w:rsidR="00CE0619">
        <w:t xml:space="preserve">” </w:t>
      </w:r>
      <w:r w:rsidR="00B534E6">
        <w:t xml:space="preserve">un pieprasīja </w:t>
      </w:r>
      <w:r w:rsidR="00CE0619">
        <w:t xml:space="preserve">Valsts ieņēmumu dienestam </w:t>
      </w:r>
      <w:r w:rsidR="00B534E6">
        <w:t>atmaksāt pievienotās vērtības nodokli</w:t>
      </w:r>
      <w:r w:rsidR="00CE0619">
        <w:t xml:space="preserve"> par šo</w:t>
      </w:r>
      <w:r w:rsidR="00B534E6">
        <w:t xml:space="preserve"> darījum</w:t>
      </w:r>
      <w:r w:rsidR="00CE0619">
        <w:t>u</w:t>
      </w:r>
      <w:r w:rsidR="00B534E6">
        <w:t>.</w:t>
      </w:r>
    </w:p>
    <w:p w14:paraId="47D313EA" w14:textId="77777777" w:rsidR="00CE0619" w:rsidRDefault="00CE0619" w:rsidP="00751876">
      <w:pPr>
        <w:spacing w:line="276" w:lineRule="auto"/>
        <w:ind w:firstLine="567"/>
        <w:contextualSpacing/>
        <w:jc w:val="both"/>
      </w:pPr>
    </w:p>
    <w:p w14:paraId="6290CC3A" w14:textId="6BA86A33" w:rsidR="00127D55" w:rsidRDefault="00CE0619" w:rsidP="00751876">
      <w:pPr>
        <w:spacing w:line="276" w:lineRule="auto"/>
        <w:ind w:firstLine="567"/>
        <w:contextualSpacing/>
        <w:jc w:val="both"/>
      </w:pPr>
      <w:r>
        <w:t>[2] </w:t>
      </w:r>
      <w:r w:rsidR="00B534E6">
        <w:t>Valsts ieņēmumu dienest</w:t>
      </w:r>
      <w:r>
        <w:t>s, izvērtējot pieteicējas iesniegumu, atteica apstiprināt un atmaksāt pieteicējai tās deklarēto pievienotās vērtības nodok</w:t>
      </w:r>
      <w:r w:rsidR="00B3503D">
        <w:t>li</w:t>
      </w:r>
      <w:r w:rsidR="00DE74F4">
        <w:t>.</w:t>
      </w:r>
    </w:p>
    <w:p w14:paraId="7158420B" w14:textId="281CEAA7" w:rsidR="00CE0619" w:rsidRDefault="00127D55" w:rsidP="00751876">
      <w:pPr>
        <w:spacing w:line="276" w:lineRule="auto"/>
        <w:ind w:firstLine="567"/>
        <w:contextualSpacing/>
        <w:jc w:val="both"/>
      </w:pPr>
      <w:r>
        <w:t>A</w:t>
      </w:r>
      <w:r w:rsidR="00CE0619">
        <w:t>dministratīvais process iestādē noslēdzās ar Valsts ieņēmumu dienest</w:t>
      </w:r>
      <w:r w:rsidR="00B534E6">
        <w:t xml:space="preserve">a </w:t>
      </w:r>
      <w:proofErr w:type="gramStart"/>
      <w:r w:rsidR="00B534E6">
        <w:t>2020.gada</w:t>
      </w:r>
      <w:proofErr w:type="gramEnd"/>
      <w:r w:rsidR="00B534E6">
        <w:t xml:space="preserve"> 13.novembra lēmumu Nr. 30.2-22.9/4744</w:t>
      </w:r>
      <w:r w:rsidR="00CE0619">
        <w:t>.</w:t>
      </w:r>
    </w:p>
    <w:p w14:paraId="4D8262EB" w14:textId="77777777" w:rsidR="0045199D" w:rsidRDefault="0045199D" w:rsidP="00751876">
      <w:pPr>
        <w:spacing w:line="276" w:lineRule="auto"/>
        <w:ind w:firstLine="567"/>
        <w:contextualSpacing/>
        <w:jc w:val="both"/>
      </w:pPr>
    </w:p>
    <w:p w14:paraId="75058E28" w14:textId="7F79A1DE" w:rsidR="007E6F1F" w:rsidRDefault="00D95732" w:rsidP="00751876">
      <w:pPr>
        <w:spacing w:line="276" w:lineRule="auto"/>
        <w:ind w:firstLine="567"/>
        <w:contextualSpacing/>
        <w:jc w:val="both"/>
      </w:pPr>
      <w:r>
        <w:t>[</w:t>
      </w:r>
      <w:r w:rsidR="00C211D4">
        <w:t>3</w:t>
      </w:r>
      <w:r>
        <w:t>] Pieteicēj</w:t>
      </w:r>
      <w:r w:rsidR="00127D55">
        <w:t>a</w:t>
      </w:r>
      <w:r w:rsidR="007E6F1F">
        <w:t xml:space="preserve"> </w:t>
      </w:r>
      <w:r w:rsidR="0045199D">
        <w:t xml:space="preserve">vērsās </w:t>
      </w:r>
      <w:r>
        <w:t>Administratīvajā rajonā tiesā</w:t>
      </w:r>
      <w:r w:rsidR="0045199D">
        <w:t xml:space="preserve"> ar pieteikumu par labvēlīga administratīvā akta izdošanu.</w:t>
      </w:r>
    </w:p>
    <w:p w14:paraId="57510C7F" w14:textId="77777777" w:rsidR="00DF67D2" w:rsidRPr="007D4A2B" w:rsidRDefault="00DF67D2" w:rsidP="00751876">
      <w:pPr>
        <w:spacing w:line="276" w:lineRule="auto"/>
        <w:ind w:firstLine="567"/>
        <w:contextualSpacing/>
        <w:jc w:val="both"/>
      </w:pPr>
    </w:p>
    <w:p w14:paraId="243E65BE" w14:textId="1BAA03EA" w:rsidR="004A386F" w:rsidRDefault="00DF67D2" w:rsidP="00751876">
      <w:pPr>
        <w:spacing w:line="276" w:lineRule="auto"/>
        <w:ind w:firstLine="567"/>
        <w:contextualSpacing/>
        <w:jc w:val="both"/>
      </w:pPr>
      <w:r w:rsidRPr="007D4A2B">
        <w:lastRenderedPageBreak/>
        <w:t>[</w:t>
      </w:r>
      <w:r w:rsidR="00C211D4">
        <w:t>4</w:t>
      </w:r>
      <w:r w:rsidRPr="007D4A2B">
        <w:t>] </w:t>
      </w:r>
      <w:r w:rsidR="004A386F" w:rsidRPr="007D4A2B">
        <w:t>Izskatījusi lietu apelācijas kārtībā</w:t>
      </w:r>
      <w:r w:rsidR="00D022A4">
        <w:t>,</w:t>
      </w:r>
      <w:r w:rsidR="00A40E83">
        <w:t xml:space="preserve"> </w:t>
      </w:r>
      <w:r w:rsidR="00A443E2">
        <w:t xml:space="preserve">Administratīvā </w:t>
      </w:r>
      <w:r w:rsidR="004A386F" w:rsidRPr="007D4A2B">
        <w:t>apgabaltiesa</w:t>
      </w:r>
      <w:r w:rsidR="00565D6C">
        <w:t xml:space="preserve"> </w:t>
      </w:r>
      <w:r w:rsidR="007E6F1F">
        <w:t xml:space="preserve">noraidīja pieteikumu. </w:t>
      </w:r>
      <w:r w:rsidR="007F0CBB" w:rsidRPr="007D4A2B">
        <w:t>Spriedumā</w:t>
      </w:r>
      <w:r w:rsidR="0045199D">
        <w:t xml:space="preserve"> </w:t>
      </w:r>
      <w:r w:rsidR="007F0CBB" w:rsidRPr="007D4A2B">
        <w:t>norādīti turpmāk minētie argumenti.</w:t>
      </w:r>
    </w:p>
    <w:p w14:paraId="1EA8400A" w14:textId="7DC9A852" w:rsidR="00C211D4" w:rsidRDefault="0045199D" w:rsidP="00751876">
      <w:pPr>
        <w:spacing w:line="276" w:lineRule="auto"/>
        <w:ind w:firstLine="567"/>
        <w:contextualSpacing/>
        <w:jc w:val="both"/>
      </w:pPr>
      <w:r>
        <w:t>[</w:t>
      </w:r>
      <w:r w:rsidR="000B671F">
        <w:t>4.1</w:t>
      </w:r>
      <w:r>
        <w:t>] </w:t>
      </w:r>
      <w:r w:rsidR="00A84926">
        <w:t>Lietā ir strīds par pieteicējas tiesībām atskaitīt priekšnodokli par traktortehniku, ko pieteicēja iegādājās no SIA </w:t>
      </w:r>
      <w:r w:rsidR="00C64ADE" w:rsidRPr="007D4A2B">
        <w:t>„</w:t>
      </w:r>
      <w:proofErr w:type="spellStart"/>
      <w:r w:rsidR="00A84926">
        <w:t>SalixPro</w:t>
      </w:r>
      <w:proofErr w:type="spellEnd"/>
      <w:r w:rsidR="00A84926">
        <w:t>”.</w:t>
      </w:r>
    </w:p>
    <w:p w14:paraId="686B54D1" w14:textId="05F25902" w:rsidR="00A84926" w:rsidRDefault="00C211D4" w:rsidP="00751876">
      <w:pPr>
        <w:spacing w:line="276" w:lineRule="auto"/>
        <w:ind w:firstLine="567"/>
        <w:contextualSpacing/>
        <w:jc w:val="both"/>
      </w:pPr>
      <w:r>
        <w:t>[</w:t>
      </w:r>
      <w:r w:rsidR="000B671F">
        <w:t>4.2</w:t>
      </w:r>
      <w:r>
        <w:t>] </w:t>
      </w:r>
      <w:r w:rsidR="00C70007">
        <w:t>[pers. A]</w:t>
      </w:r>
      <w:r>
        <w:t xml:space="preserve">, kas </w:t>
      </w:r>
      <w:r w:rsidR="00D2260E">
        <w:t xml:space="preserve">strīdus darījuma laikā </w:t>
      </w:r>
      <w:r>
        <w:t xml:space="preserve">bija </w:t>
      </w:r>
      <w:r w:rsidR="00A84926">
        <w:t>SIA </w:t>
      </w:r>
      <w:r w:rsidR="00C64ADE" w:rsidRPr="007D4A2B">
        <w:t>„</w:t>
      </w:r>
      <w:proofErr w:type="spellStart"/>
      <w:r w:rsidR="00A84926">
        <w:t>SalixPro</w:t>
      </w:r>
      <w:proofErr w:type="spellEnd"/>
      <w:r w:rsidR="00A84926">
        <w:t>”</w:t>
      </w:r>
      <w:r w:rsidR="00A81939">
        <w:t xml:space="preserve"> un</w:t>
      </w:r>
      <w:r w:rsidR="00A84926">
        <w:t xml:space="preserve"> </w:t>
      </w:r>
      <w:r>
        <w:t xml:space="preserve">pieteicējas </w:t>
      </w:r>
      <w:r w:rsidR="00A84926">
        <w:t>amatperson</w:t>
      </w:r>
      <w:r w:rsidR="00AE6592">
        <w:t>a</w:t>
      </w:r>
      <w:r>
        <w:t>,</w:t>
      </w:r>
      <w:r w:rsidR="00A84926">
        <w:t xml:space="preserve"> bija aizdev</w:t>
      </w:r>
      <w:r w:rsidR="00D022A4">
        <w:t>is</w:t>
      </w:r>
      <w:r w:rsidR="007D4316">
        <w:t xml:space="preserve"> naudu S</w:t>
      </w:r>
      <w:r w:rsidR="00A84926">
        <w:t>IA </w:t>
      </w:r>
      <w:r w:rsidR="00C64ADE" w:rsidRPr="007D4A2B">
        <w:t>„</w:t>
      </w:r>
      <w:proofErr w:type="spellStart"/>
      <w:r w:rsidR="00A84926">
        <w:t>SalixPro</w:t>
      </w:r>
      <w:proofErr w:type="spellEnd"/>
      <w:r w:rsidR="00A84926">
        <w:t>” traktortehnikas iegādei</w:t>
      </w:r>
      <w:r w:rsidR="00057312">
        <w:t>. Par to</w:t>
      </w:r>
      <w:r>
        <w:t xml:space="preserve"> tika noslēgts aizdevuma līgums, kurā paredzēts </w:t>
      </w:r>
      <w:r w:rsidR="00AE6592">
        <w:t>termiņš, kādā SIA </w:t>
      </w:r>
      <w:r w:rsidRPr="007D4A2B">
        <w:t>„</w:t>
      </w:r>
      <w:proofErr w:type="spellStart"/>
      <w:r>
        <w:t>SalixPro</w:t>
      </w:r>
      <w:proofErr w:type="spellEnd"/>
      <w:r>
        <w:t xml:space="preserve">” jāatdod naudas līdzekļi. Pēc traktortehnikas iegādes par labu </w:t>
      </w:r>
      <w:r w:rsidR="00C70007">
        <w:t xml:space="preserve">[pers. A] </w:t>
      </w:r>
      <w:r>
        <w:t xml:space="preserve">tika </w:t>
      </w:r>
      <w:r w:rsidR="00A84926">
        <w:t>reģistrēta komercķīla. SIA </w:t>
      </w:r>
      <w:r w:rsidR="00C64ADE" w:rsidRPr="007D4A2B">
        <w:t>„</w:t>
      </w:r>
      <w:proofErr w:type="spellStart"/>
      <w:r w:rsidR="00A84926">
        <w:t>SalixPro</w:t>
      </w:r>
      <w:proofErr w:type="spellEnd"/>
      <w:r w:rsidR="00A84926">
        <w:t xml:space="preserve">” naudas līdzekļus </w:t>
      </w:r>
      <w:r w:rsidR="00C70007">
        <w:t xml:space="preserve">[pers. A] </w:t>
      </w:r>
      <w:r w:rsidR="00A84926">
        <w:t xml:space="preserve">neatdeva, tāpēc </w:t>
      </w:r>
      <w:r w:rsidR="00C70007">
        <w:t xml:space="preserve">[pers. A] </w:t>
      </w:r>
      <w:r w:rsidR="00A84926">
        <w:t>izmantoja komercķīl</w:t>
      </w:r>
      <w:r w:rsidR="00127D55">
        <w:t>as tiesības</w:t>
      </w:r>
      <w:r w:rsidR="00A84926">
        <w:t>, kā rezultātā strīdus traktortehnika tika pārdota pieteicējai. Par to tika noslēgts pirkuma līgums starp SIA </w:t>
      </w:r>
      <w:r w:rsidR="00C64ADE" w:rsidRPr="007D4A2B">
        <w:t>„</w:t>
      </w:r>
      <w:proofErr w:type="spellStart"/>
      <w:r w:rsidR="00A84926">
        <w:t>Sa</w:t>
      </w:r>
      <w:r w:rsidR="00C64ADE">
        <w:t>li</w:t>
      </w:r>
      <w:r w:rsidR="00A84926">
        <w:t>xPro</w:t>
      </w:r>
      <w:proofErr w:type="spellEnd"/>
      <w:r w:rsidR="00A84926">
        <w:t xml:space="preserve">”, </w:t>
      </w:r>
      <w:r w:rsidR="00C70007">
        <w:t xml:space="preserve">[pers. A] </w:t>
      </w:r>
      <w:r w:rsidR="00A84926">
        <w:t xml:space="preserve">un pieteicēju. Tā kā atbilstoši </w:t>
      </w:r>
      <w:r w:rsidR="00254D37">
        <w:t xml:space="preserve">Komercķīlas likuma </w:t>
      </w:r>
      <w:proofErr w:type="gramStart"/>
      <w:r w:rsidR="00254D37">
        <w:t>43.panta</w:t>
      </w:r>
      <w:proofErr w:type="gramEnd"/>
      <w:r w:rsidR="00254D37">
        <w:t xml:space="preserve"> pirmajai daļai </w:t>
      </w:r>
      <w:r w:rsidR="00751876">
        <w:t xml:space="preserve">[pers. A] </w:t>
      </w:r>
      <w:r w:rsidR="00254D37">
        <w:t xml:space="preserve">kā komercķīlas ņēmējam bija tiesības realizēt komercķīlu pašam, pirkuma līgums </w:t>
      </w:r>
      <w:r w:rsidR="00057312">
        <w:t>SIA </w:t>
      </w:r>
      <w:r w:rsidR="00057312" w:rsidRPr="007D4A2B">
        <w:t>„</w:t>
      </w:r>
      <w:proofErr w:type="spellStart"/>
      <w:r w:rsidR="00057312">
        <w:t>SalixPro</w:t>
      </w:r>
      <w:proofErr w:type="spellEnd"/>
      <w:r w:rsidR="00057312">
        <w:t xml:space="preserve">” </w:t>
      </w:r>
      <w:r w:rsidR="00254D37">
        <w:t>amatpersonām nebija jāparaksta</w:t>
      </w:r>
      <w:r w:rsidR="00057312">
        <w:t xml:space="preserve">. Tā kā </w:t>
      </w:r>
      <w:r w:rsidR="00254D37">
        <w:t>SIA </w:t>
      </w:r>
      <w:r w:rsidR="00C64ADE" w:rsidRPr="007D4A2B">
        <w:t>„</w:t>
      </w:r>
      <w:proofErr w:type="spellStart"/>
      <w:r w:rsidR="00254D37">
        <w:t>Sa</w:t>
      </w:r>
      <w:r w:rsidR="00C64ADE">
        <w:t>l</w:t>
      </w:r>
      <w:r w:rsidR="00254D37">
        <w:t>ixPro</w:t>
      </w:r>
      <w:proofErr w:type="spellEnd"/>
      <w:r w:rsidR="00254D37">
        <w:t xml:space="preserve">” </w:t>
      </w:r>
      <w:r w:rsidR="00D2260E">
        <w:t xml:space="preserve">amatpersonas </w:t>
      </w:r>
      <w:r w:rsidR="00057312">
        <w:t>pirkuma līgumu ir parakstījušas, secināms, ka SIA </w:t>
      </w:r>
      <w:r w:rsidR="00057312" w:rsidRPr="007D4A2B">
        <w:t>„</w:t>
      </w:r>
      <w:proofErr w:type="spellStart"/>
      <w:r w:rsidR="00057312">
        <w:t>SalixPro</w:t>
      </w:r>
      <w:proofErr w:type="spellEnd"/>
      <w:r w:rsidR="00057312">
        <w:t xml:space="preserve">” </w:t>
      </w:r>
      <w:r w:rsidR="00254D37">
        <w:t>traktortehnikas pārdošanas darījumā iesaistīta mākslīg</w:t>
      </w:r>
      <w:r w:rsidR="00886FF8">
        <w:t>i</w:t>
      </w:r>
      <w:r w:rsidR="00254D37">
        <w:t>. Par to liecina arī pirkuma līguma noteikums, ka pirkuma maksa pieteicējai jāpārskaita uz</w:t>
      </w:r>
      <w:r w:rsidR="00C70007">
        <w:t xml:space="preserve"> [pers. A]</w:t>
      </w:r>
      <w:r w:rsidR="00254D37">
        <w:t xml:space="preserve">, nevis </w:t>
      </w:r>
      <w:r w:rsidR="00127D55">
        <w:t xml:space="preserve">uz </w:t>
      </w:r>
      <w:r w:rsidR="00254D37">
        <w:t>SIA </w:t>
      </w:r>
      <w:r w:rsidR="00C64ADE" w:rsidRPr="007D4A2B">
        <w:t>„</w:t>
      </w:r>
      <w:proofErr w:type="spellStart"/>
      <w:r w:rsidR="00254D37">
        <w:t>SalixPro</w:t>
      </w:r>
      <w:proofErr w:type="spellEnd"/>
      <w:r w:rsidR="00254D37">
        <w:t>” norēķinu kontu.</w:t>
      </w:r>
    </w:p>
    <w:p w14:paraId="2491C25E" w14:textId="10A36FF8" w:rsidR="009134D8" w:rsidRDefault="00057312" w:rsidP="00751876">
      <w:pPr>
        <w:spacing w:line="276" w:lineRule="auto"/>
        <w:ind w:firstLine="567"/>
        <w:contextualSpacing/>
        <w:jc w:val="both"/>
      </w:pPr>
      <w:r>
        <w:t>[</w:t>
      </w:r>
      <w:r w:rsidR="000B671F">
        <w:t>4.3</w:t>
      </w:r>
      <w:r>
        <w:t xml:space="preserve">] Gan </w:t>
      </w:r>
      <w:r w:rsidR="00271B21">
        <w:t xml:space="preserve">pieteicēju, gan </w:t>
      </w:r>
      <w:bookmarkStart w:id="6" w:name="_Hlk114582260"/>
      <w:r>
        <w:t>SIA </w:t>
      </w:r>
      <w:r w:rsidRPr="007D4A2B">
        <w:t>„</w:t>
      </w:r>
      <w:proofErr w:type="spellStart"/>
      <w:r>
        <w:t>SalixPro</w:t>
      </w:r>
      <w:proofErr w:type="spellEnd"/>
      <w:r>
        <w:t>”</w:t>
      </w:r>
      <w:r w:rsidR="00271B21">
        <w:t xml:space="preserve"> </w:t>
      </w:r>
      <w:bookmarkEnd w:id="6"/>
      <w:r>
        <w:t>strīdus darījumā pārstāvēja</w:t>
      </w:r>
      <w:r w:rsidR="00C70007">
        <w:t xml:space="preserve"> [pers. A]</w:t>
      </w:r>
      <w:r>
        <w:t xml:space="preserve">, kurš vienlaikus bija arī komercķīlas ņēmējs. </w:t>
      </w:r>
      <w:r w:rsidR="009134D8">
        <w:t>Lai arī pirkuma līgumā norādīts, ka traktortehnikas pārdevējs ir</w:t>
      </w:r>
      <w:r w:rsidR="009134D8" w:rsidRPr="009134D8">
        <w:t xml:space="preserve"> </w:t>
      </w:r>
      <w:r w:rsidR="009134D8">
        <w:t>SIA </w:t>
      </w:r>
      <w:r w:rsidR="009134D8" w:rsidRPr="007D4A2B">
        <w:t>„</w:t>
      </w:r>
      <w:proofErr w:type="spellStart"/>
      <w:r w:rsidR="009134D8">
        <w:t>SalixPro</w:t>
      </w:r>
      <w:proofErr w:type="spellEnd"/>
      <w:r w:rsidR="009134D8">
        <w:t>”, f</w:t>
      </w:r>
      <w:r>
        <w:t>aktiski strīdus traktortehnikas pārdevējs bija</w:t>
      </w:r>
      <w:r w:rsidR="00C70007">
        <w:t xml:space="preserve"> [pers. A]</w:t>
      </w:r>
      <w:r>
        <w:t>.</w:t>
      </w:r>
    </w:p>
    <w:p w14:paraId="7B0AF992" w14:textId="68AE98D9" w:rsidR="009134D8" w:rsidRDefault="009134D8" w:rsidP="00751876">
      <w:pPr>
        <w:spacing w:line="276" w:lineRule="auto"/>
        <w:ind w:firstLine="567"/>
        <w:contextualSpacing/>
        <w:jc w:val="both"/>
      </w:pPr>
      <w:r>
        <w:t>[</w:t>
      </w:r>
      <w:r w:rsidR="000B671F">
        <w:t>4.4</w:t>
      </w:r>
      <w:r>
        <w:t>] Strīdus darījuma</w:t>
      </w:r>
      <w:r w:rsidR="00271B21">
        <w:t xml:space="preserve"> vienīgais </w:t>
      </w:r>
      <w:r w:rsidR="00057312">
        <w:t>mērķis bija radīt pieteicējai fi</w:t>
      </w:r>
      <w:r w:rsidR="00271B21">
        <w:t>s</w:t>
      </w:r>
      <w:r w:rsidR="00057312">
        <w:t>kālas priekšrocības atskaitāmā nodokļa veidā</w:t>
      </w:r>
      <w:r w:rsidR="00271B21">
        <w:t xml:space="preserve"> un nodokļa sistēmu izmantot ļaunprātīgos vai krāpnieciskos nolūkos.</w:t>
      </w:r>
      <w:r w:rsidR="00226F49">
        <w:t xml:space="preserve"> Par to liecina tas, ka SIA </w:t>
      </w:r>
      <w:r w:rsidR="00226F49" w:rsidRPr="007D4A2B">
        <w:t>„</w:t>
      </w:r>
      <w:proofErr w:type="spellStart"/>
      <w:r w:rsidR="00226F49">
        <w:t>SalixPro</w:t>
      </w:r>
      <w:proofErr w:type="spellEnd"/>
      <w:r w:rsidR="00226F49">
        <w:t>”</w:t>
      </w:r>
      <w:r>
        <w:t>, lai arī</w:t>
      </w:r>
      <w:r w:rsidR="00226F49">
        <w:t xml:space="preserve"> strīdus darījuma rezultātā aprēķināto pievienotās vērtības nodokli ir deklarējusi, taču budžetā</w:t>
      </w:r>
      <w:r>
        <w:t xml:space="preserve"> to</w:t>
      </w:r>
      <w:r w:rsidR="00226F49">
        <w:t xml:space="preserve"> nav samaksājusi un arī nesamaksās, jo ir likvidēta. Savukārt pieteicēja par strīdus traktortehniku ir atskaitījusi priekšnodokli. Tādējādi </w:t>
      </w:r>
      <w:r>
        <w:t>valsts budžetam ir nodarīti zaudējumi.</w:t>
      </w:r>
    </w:p>
    <w:p w14:paraId="0FF09A90" w14:textId="18742863" w:rsidR="009134D8" w:rsidRDefault="009134D8" w:rsidP="00751876">
      <w:pPr>
        <w:spacing w:line="276" w:lineRule="auto"/>
        <w:ind w:firstLine="567"/>
        <w:contextualSpacing/>
        <w:jc w:val="both"/>
      </w:pPr>
      <w:r>
        <w:t>[</w:t>
      </w:r>
      <w:r w:rsidR="000B671F">
        <w:t>4.5</w:t>
      </w:r>
      <w:r>
        <w:t>] S</w:t>
      </w:r>
      <w:r w:rsidR="00226F49">
        <w:t xml:space="preserve">trīdus darījums atzīstams par </w:t>
      </w:r>
      <w:proofErr w:type="spellStart"/>
      <w:r w:rsidR="00226F49">
        <w:t>simulatīvu</w:t>
      </w:r>
      <w:proofErr w:type="spellEnd"/>
      <w:r w:rsidR="00226F49">
        <w:t>.</w:t>
      </w:r>
      <w:r w:rsidR="00271B21">
        <w:t xml:space="preserve"> </w:t>
      </w:r>
      <w:proofErr w:type="spellStart"/>
      <w:r w:rsidR="00226F49">
        <w:t>Simulatīvu</w:t>
      </w:r>
      <w:proofErr w:type="spellEnd"/>
      <w:r w:rsidR="00226F49">
        <w:t xml:space="preserve"> darījumu noformēšana nolūkā iegūt fiskālas priekšrocības, kuru rezultātā viena privātpersona, kas darbojas vairāku komercsabiedrību vārdā, slēdz no tiesību viedokļa apšaubāmus darījumus, uzskatāma par neatļautu darbību.</w:t>
      </w:r>
      <w:r>
        <w:t xml:space="preserve"> Šādos apstākļos pieteicējas </w:t>
      </w:r>
      <w:r w:rsidR="008C4CE3">
        <w:t>priekšnodokļa atskaitīšana</w:t>
      </w:r>
      <w:r>
        <w:t>s tiesības nav atzīstamas.</w:t>
      </w:r>
    </w:p>
    <w:p w14:paraId="1B6FAEFA" w14:textId="5690437C" w:rsidR="00F14CC2" w:rsidRDefault="00F14CC2" w:rsidP="00751876">
      <w:pPr>
        <w:spacing w:line="276" w:lineRule="auto"/>
        <w:ind w:firstLine="567"/>
        <w:contextualSpacing/>
        <w:jc w:val="both"/>
      </w:pPr>
    </w:p>
    <w:p w14:paraId="5AF1B8E7" w14:textId="58C25B9E" w:rsidR="0045199D" w:rsidRDefault="00B23A78" w:rsidP="00751876">
      <w:pPr>
        <w:spacing w:line="276" w:lineRule="auto"/>
        <w:ind w:firstLine="567"/>
        <w:contextualSpacing/>
        <w:jc w:val="both"/>
      </w:pPr>
      <w:r>
        <w:t>[</w:t>
      </w:r>
      <w:r w:rsidR="000B671F">
        <w:t>5</w:t>
      </w:r>
      <w:r>
        <w:t>] Pieteicēj</w:t>
      </w:r>
      <w:r w:rsidR="008C4CE3">
        <w:t>a</w:t>
      </w:r>
      <w:r>
        <w:t xml:space="preserve"> </w:t>
      </w:r>
      <w:r w:rsidR="00203D70" w:rsidRPr="007D4A2B">
        <w:t>par</w:t>
      </w:r>
      <w:r w:rsidR="00E40B02" w:rsidRPr="007D4A2B">
        <w:t xml:space="preserve"> </w:t>
      </w:r>
      <w:r w:rsidR="000E4FDD" w:rsidRPr="007D4A2B">
        <w:t>apgabal</w:t>
      </w:r>
      <w:r w:rsidR="00055EB5" w:rsidRPr="007D4A2B">
        <w:t>tiesas</w:t>
      </w:r>
      <w:r w:rsidR="006A54D5" w:rsidRPr="007D4A2B">
        <w:t xml:space="preserve"> </w:t>
      </w:r>
      <w:r w:rsidR="00E40B02" w:rsidRPr="007D4A2B">
        <w:t>spriedumu iesniedza kasācijas sūdzību</w:t>
      </w:r>
      <w:r w:rsidR="00377816">
        <w:t>.</w:t>
      </w:r>
      <w:r w:rsidR="007C075C">
        <w:t xml:space="preserve"> Kasācijas sūdzībā </w:t>
      </w:r>
      <w:r w:rsidR="0045199D">
        <w:t>norādīti turpmāk minētie argumenti.</w:t>
      </w:r>
    </w:p>
    <w:p w14:paraId="0BD43813" w14:textId="0D010C50" w:rsidR="00240C5C" w:rsidRDefault="008C4CE3" w:rsidP="00751876">
      <w:pPr>
        <w:spacing w:line="276" w:lineRule="auto"/>
        <w:ind w:firstLine="567"/>
        <w:contextualSpacing/>
        <w:jc w:val="both"/>
      </w:pPr>
      <w:r>
        <w:t>[</w:t>
      </w:r>
      <w:r w:rsidR="000B671F">
        <w:t>5.1</w:t>
      </w:r>
      <w:r>
        <w:t>] </w:t>
      </w:r>
      <w:r w:rsidR="0024174D">
        <w:t xml:space="preserve">Tiesa nav apšaubījusi </w:t>
      </w:r>
      <w:r>
        <w:t>strīd</w:t>
      </w:r>
      <w:r w:rsidR="0024174D">
        <w:t xml:space="preserve">us </w:t>
      </w:r>
      <w:r>
        <w:t>darījum</w:t>
      </w:r>
      <w:r w:rsidR="0024174D">
        <w:t>a</w:t>
      </w:r>
      <w:r>
        <w:t xml:space="preserve"> faktisk</w:t>
      </w:r>
      <w:r w:rsidR="0024174D">
        <w:t>o esību</w:t>
      </w:r>
      <w:r>
        <w:t xml:space="preserve">. </w:t>
      </w:r>
      <w:proofErr w:type="gramStart"/>
      <w:r>
        <w:t>Neskatoties uz to</w:t>
      </w:r>
      <w:r w:rsidR="0024174D">
        <w:t>,</w:t>
      </w:r>
      <w:r>
        <w:t xml:space="preserve"> priekšnodokļa atskaitīšanas ti</w:t>
      </w:r>
      <w:r w:rsidR="00C70007">
        <w:t>esības</w:t>
      </w:r>
      <w:proofErr w:type="gramEnd"/>
      <w:r w:rsidR="00C70007">
        <w:t xml:space="preserve"> pieteicējai liegtas, jo [pers. A]</w:t>
      </w:r>
      <w:r>
        <w:t xml:space="preserve"> ir bijis gan komercķīlas ņēmējs, gan ab</w:t>
      </w:r>
      <w:r w:rsidR="00240C5C">
        <w:t>u</w:t>
      </w:r>
      <w:r>
        <w:t xml:space="preserve"> komercsabiedrīb</w:t>
      </w:r>
      <w:r w:rsidR="00240C5C">
        <w:t>u</w:t>
      </w:r>
      <w:r w:rsidR="00240C5C" w:rsidRPr="00240C5C">
        <w:t xml:space="preserve"> </w:t>
      </w:r>
      <w:r w:rsidR="00240C5C">
        <w:t>pārstāvis</w:t>
      </w:r>
      <w:r>
        <w:t>. Taču šis apstāklis pats par sevi nekādā veidā neapliecina, ka strīdus darījums noformēts ar mē</w:t>
      </w:r>
      <w:r w:rsidR="0024174D">
        <w:t>rķi</w:t>
      </w:r>
      <w:r>
        <w:t xml:space="preserve"> radīt pieteicējai nepamatotas fiskālas priekšrocības. </w:t>
      </w:r>
      <w:r w:rsidR="00C70007">
        <w:t xml:space="preserve">[pers. A] </w:t>
      </w:r>
      <w:r w:rsidR="008E5A2E">
        <w:t>mērķis bija atgūt savus naudas līdzekļus no SIA </w:t>
      </w:r>
      <w:r w:rsidR="008E5A2E" w:rsidRPr="007D4A2B">
        <w:t>„</w:t>
      </w:r>
      <w:proofErr w:type="spellStart"/>
      <w:r w:rsidR="008E5A2E">
        <w:t>SalixPro</w:t>
      </w:r>
      <w:proofErr w:type="spellEnd"/>
      <w:r w:rsidR="008E5A2E">
        <w:t xml:space="preserve">”, nevis radīt pieteicējai fiskālas priekšrocības. </w:t>
      </w:r>
      <w:r>
        <w:t>Tiesa nav norādījusi, kādas n</w:t>
      </w:r>
      <w:r w:rsidR="00C70007">
        <w:t>eparastas darbības ir veicis [pers. A]</w:t>
      </w:r>
      <w:r>
        <w:t xml:space="preserve"> kā SIA </w:t>
      </w:r>
      <w:r w:rsidR="00C64ADE" w:rsidRPr="007D4A2B">
        <w:t>„</w:t>
      </w:r>
      <w:proofErr w:type="spellStart"/>
      <w:r>
        <w:t>SalixPro</w:t>
      </w:r>
      <w:proofErr w:type="spellEnd"/>
      <w:r>
        <w:t xml:space="preserve">” kreditors. </w:t>
      </w:r>
      <w:r w:rsidR="00D82F97">
        <w:t>Ja SIA </w:t>
      </w:r>
      <w:r w:rsidR="00C64ADE" w:rsidRPr="007D4A2B">
        <w:t>„</w:t>
      </w:r>
      <w:proofErr w:type="spellStart"/>
      <w:r w:rsidR="00D82F97">
        <w:t>SalixPro</w:t>
      </w:r>
      <w:proofErr w:type="spellEnd"/>
      <w:r w:rsidR="00D82F97">
        <w:t>” traktortehniku būtu pārdevusi jebkuram citam pievienotās vērtības nodokļa maksātājam, iznākums būtu identisks, proti, pircējs atskaitītu priekšnodokli par iegādāto tehniku.</w:t>
      </w:r>
    </w:p>
    <w:p w14:paraId="2FCD029C" w14:textId="6071E111" w:rsidR="0024174D" w:rsidRDefault="00D82F97" w:rsidP="00751876">
      <w:pPr>
        <w:spacing w:line="276" w:lineRule="auto"/>
        <w:ind w:firstLine="567"/>
        <w:contextualSpacing/>
        <w:jc w:val="both"/>
      </w:pPr>
      <w:r>
        <w:t xml:space="preserve">Šādu apstākļu kopumā tiesa ir nepareizi </w:t>
      </w:r>
      <w:r w:rsidR="008E5A2E">
        <w:t>piemērojusi</w:t>
      </w:r>
      <w:r>
        <w:t xml:space="preserve"> Pievienotās vērtības nodokļa likuma </w:t>
      </w:r>
      <w:proofErr w:type="gramStart"/>
      <w:r>
        <w:t>92.panta</w:t>
      </w:r>
      <w:proofErr w:type="gramEnd"/>
      <w:r>
        <w:t xml:space="preserve"> pirmās daļas 1.punktu.</w:t>
      </w:r>
      <w:r w:rsidR="0024174D">
        <w:t xml:space="preserve"> Tiesas pieeja liegt atskaitīt priekšnodokli par faktiski notikušu darījumu tikai tāpēc, ka darījums noticis starp saistītām personām, rada bīstamu precedentu, kas ir pretrunā Eiropas Savienības Tiesas judikatūrai. Sekojot tiesas pieejai, faktiski būtu jāatzīst, </w:t>
      </w:r>
      <w:r w:rsidR="0024174D">
        <w:lastRenderedPageBreak/>
        <w:t>ka ikvienā gadījumā, kad darījums notiek starp saistītām personām, priekšnodokļa atskaitīšana ir liedzama.</w:t>
      </w:r>
    </w:p>
    <w:p w14:paraId="3C83D5A8" w14:textId="51FF2264" w:rsidR="00B246BA" w:rsidRDefault="00B246BA" w:rsidP="00751876">
      <w:pPr>
        <w:spacing w:line="276" w:lineRule="auto"/>
        <w:ind w:firstLine="567"/>
        <w:contextualSpacing/>
        <w:jc w:val="both"/>
      </w:pPr>
      <w:r>
        <w:t>[</w:t>
      </w:r>
      <w:r w:rsidR="000B671F">
        <w:t>5.2</w:t>
      </w:r>
      <w:r>
        <w:t>] </w:t>
      </w:r>
      <w:r w:rsidRPr="000976E0">
        <w:t>Tiesa, uzskatot, ka SIA </w:t>
      </w:r>
      <w:r w:rsidR="00C64ADE" w:rsidRPr="000976E0">
        <w:t>„</w:t>
      </w:r>
      <w:proofErr w:type="spellStart"/>
      <w:r w:rsidRPr="000976E0">
        <w:t>SalixPro</w:t>
      </w:r>
      <w:proofErr w:type="spellEnd"/>
      <w:r w:rsidRPr="000976E0">
        <w:t>” traktortehnikas pirkuma līgumā</w:t>
      </w:r>
      <w:r w:rsidR="009134D8" w:rsidRPr="000976E0">
        <w:t xml:space="preserve"> ir norādīta mākslīgi</w:t>
      </w:r>
      <w:r>
        <w:t xml:space="preserve">, ir nepareizi interpretējusi Komercķīlas likuma </w:t>
      </w:r>
      <w:proofErr w:type="gramStart"/>
      <w:r>
        <w:t>24.pantu</w:t>
      </w:r>
      <w:proofErr w:type="gramEnd"/>
      <w:r>
        <w:t xml:space="preserve">, kā arī 38.panta pirmo daļu. Savukārt </w:t>
      </w:r>
      <w:proofErr w:type="gramStart"/>
      <w:r>
        <w:t>tiesas secinājums, ka traktortehnikas pārdevējs faktiski</w:t>
      </w:r>
      <w:proofErr w:type="gramEnd"/>
      <w:r>
        <w:t xml:space="preserve"> bija</w:t>
      </w:r>
      <w:r w:rsidR="00C70007">
        <w:t xml:space="preserve"> [pers. A]</w:t>
      </w:r>
      <w:r>
        <w:t xml:space="preserve">, liecina, ka tiesa nenošķir </w:t>
      </w:r>
      <w:r w:rsidR="00C70007">
        <w:t xml:space="preserve">[pers. A] </w:t>
      </w:r>
      <w:r>
        <w:t>kā SIA </w:t>
      </w:r>
      <w:r w:rsidR="00C64ADE" w:rsidRPr="007D4A2B">
        <w:t>„</w:t>
      </w:r>
      <w:proofErr w:type="spellStart"/>
      <w:r>
        <w:t>SalixPro</w:t>
      </w:r>
      <w:proofErr w:type="spellEnd"/>
      <w:r>
        <w:t>” kreditoru un SIA </w:t>
      </w:r>
      <w:r w:rsidR="00C64ADE" w:rsidRPr="007D4A2B">
        <w:t>„</w:t>
      </w:r>
      <w:proofErr w:type="spellStart"/>
      <w:r>
        <w:t>SalixPro</w:t>
      </w:r>
      <w:proofErr w:type="spellEnd"/>
      <w:r>
        <w:t>” kā traktortehnikas īpašnieku un pārdevēju. Arī šāda tiesas rīcība ir pretrunā gan minētajām Komercķīlas likuma</w:t>
      </w:r>
      <w:r w:rsidR="008E5A2E">
        <w:t xml:space="preserve"> normām</w:t>
      </w:r>
      <w:r>
        <w:t xml:space="preserve">, gan Civillikuma 2003. un </w:t>
      </w:r>
      <w:proofErr w:type="gramStart"/>
      <w:r>
        <w:t>2010.pantam</w:t>
      </w:r>
      <w:proofErr w:type="gramEnd"/>
      <w:r>
        <w:t>.</w:t>
      </w:r>
    </w:p>
    <w:p w14:paraId="556873B3" w14:textId="67EA6FC7" w:rsidR="00B246BA" w:rsidRDefault="00B246BA" w:rsidP="00751876">
      <w:pPr>
        <w:spacing w:line="276" w:lineRule="auto"/>
        <w:ind w:firstLine="567"/>
        <w:contextualSpacing/>
        <w:jc w:val="both"/>
      </w:pPr>
      <w:r>
        <w:t>[</w:t>
      </w:r>
      <w:r w:rsidR="000B671F">
        <w:t>5.3</w:t>
      </w:r>
      <w:r>
        <w:t>] SIA </w:t>
      </w:r>
      <w:r w:rsidR="00C64ADE" w:rsidRPr="007D4A2B">
        <w:t>„</w:t>
      </w:r>
      <w:proofErr w:type="spellStart"/>
      <w:r>
        <w:t>SalixPro</w:t>
      </w:r>
      <w:proofErr w:type="spellEnd"/>
      <w:r>
        <w:t xml:space="preserve">” strīdus traktortehnikas pārdošanas brīdī jau bija nodokļu parāds. Tādējādi, ja </w:t>
      </w:r>
      <w:r w:rsidR="00C70007">
        <w:t xml:space="preserve">[pers. A] </w:t>
      </w:r>
      <w:r>
        <w:t>atteiktos no saviem prasījumiem pret SIA </w:t>
      </w:r>
      <w:r w:rsidR="00C64ADE" w:rsidRPr="007D4A2B">
        <w:t>„</w:t>
      </w:r>
      <w:proofErr w:type="spellStart"/>
      <w:r>
        <w:t>Sa</w:t>
      </w:r>
      <w:r w:rsidR="00C64ADE">
        <w:t>li</w:t>
      </w:r>
      <w:r>
        <w:t>xPro</w:t>
      </w:r>
      <w:proofErr w:type="spellEnd"/>
      <w:r>
        <w:t>”, naudas līdzekļi tiktu novirzīti citu nodokļu parādu segšanai, nevis pievienotās vērtības nodokļa samaksai par konkrēto darījumu. Līdz ar to nav nekādas nozīmes apstāklim, ka SIA </w:t>
      </w:r>
      <w:r w:rsidR="00C64ADE" w:rsidRPr="007D4A2B">
        <w:t>„</w:t>
      </w:r>
      <w:proofErr w:type="spellStart"/>
      <w:r>
        <w:t>SalixPro</w:t>
      </w:r>
      <w:proofErr w:type="spellEnd"/>
      <w:r>
        <w:t>” nav samaksājusi deklarēto pievienotās vērtības nodokli. Turklāt Valsts ieņēmumu dienests kā kreditors nav atbilstoši rīkojies, lai pirms šīs komercsabiedrības likvidācijas piedzītu no tās nodokļu parādu.</w:t>
      </w:r>
    </w:p>
    <w:p w14:paraId="23A64F6F" w14:textId="0097AAF6" w:rsidR="00D82F97" w:rsidRDefault="00D82F97" w:rsidP="00751876">
      <w:pPr>
        <w:spacing w:line="276" w:lineRule="auto"/>
        <w:ind w:firstLine="567"/>
        <w:contextualSpacing/>
        <w:jc w:val="both"/>
      </w:pPr>
      <w:r>
        <w:t>[</w:t>
      </w:r>
      <w:r w:rsidR="000B671F">
        <w:t>5.4</w:t>
      </w:r>
      <w:r>
        <w:t>] Tiesa pareizi citējusi judikatūrā atzīto, ka priekšnodokļa atskaitīšana ļaunprātīgu nolūku īstenošanai nav pieļaujama, tomēr tiesa šīs atziņas ir piemērojusi nepareizi</w:t>
      </w:r>
      <w:r w:rsidR="0024174D">
        <w:t>.</w:t>
      </w:r>
    </w:p>
    <w:p w14:paraId="7A3CD021" w14:textId="0E747259" w:rsidR="00AD3D18" w:rsidRDefault="00AD3D18" w:rsidP="00751876">
      <w:pPr>
        <w:spacing w:line="276" w:lineRule="auto"/>
        <w:ind w:firstLine="567"/>
        <w:contextualSpacing/>
        <w:jc w:val="both"/>
      </w:pPr>
    </w:p>
    <w:p w14:paraId="0F640BA7" w14:textId="1BE308A1" w:rsidR="00B246BA" w:rsidRDefault="0006796A" w:rsidP="00751876">
      <w:pPr>
        <w:spacing w:line="276" w:lineRule="auto"/>
        <w:ind w:firstLine="567"/>
        <w:contextualSpacing/>
        <w:jc w:val="both"/>
      </w:pPr>
      <w:r w:rsidRPr="007D4A2B">
        <w:t>[</w:t>
      </w:r>
      <w:r w:rsidR="000B671F">
        <w:t>6</w:t>
      </w:r>
      <w:r w:rsidRPr="0032149E">
        <w:t>]</w:t>
      </w:r>
      <w:r w:rsidR="008A7471" w:rsidRPr="0032149E">
        <w:t> </w:t>
      </w:r>
      <w:r w:rsidR="00004643" w:rsidRPr="0032149E">
        <w:t>Dienests pa</w:t>
      </w:r>
      <w:r w:rsidR="00B7423B" w:rsidRPr="0032149E">
        <w:t>r</w:t>
      </w:r>
      <w:r w:rsidR="00004643" w:rsidRPr="0032149E">
        <w:t xml:space="preserve"> pieteicēja</w:t>
      </w:r>
      <w:r w:rsidR="00B7423B" w:rsidRPr="0032149E">
        <w:t xml:space="preserve"> kasācijas sūdzību iesniedza paskaidrojumus, kuros norādī</w:t>
      </w:r>
      <w:r w:rsidR="00B246BA">
        <w:t>ts, ka apgabaltiesa ir taisījusi motivētu spriedumu, vispusīgi izvērtējot lietā iegūtos pierādījumus. Pieteicēja argumentē, ka viena un tā pati persona, darbojoties divu komercsabiedrību vārdā, nerada pamatu pieņemt, ka darījum</w:t>
      </w:r>
      <w:r w:rsidR="007A3920">
        <w:t>s ir veikts</w:t>
      </w:r>
      <w:r w:rsidR="00B246BA">
        <w:t xml:space="preserve"> nolūkā gūt fiskālas priekšrocības</w:t>
      </w:r>
      <w:r w:rsidR="007A3920">
        <w:t>. T</w:t>
      </w:r>
      <w:r w:rsidR="00B246BA">
        <w:t>aču šāds arguments ir pretrunā normatīvajiem aktiem un judikatūrai.</w:t>
      </w:r>
    </w:p>
    <w:p w14:paraId="478107A6" w14:textId="77777777" w:rsidR="007D4A2B" w:rsidRPr="0032149E" w:rsidRDefault="007D4A2B" w:rsidP="00751876">
      <w:pPr>
        <w:spacing w:line="276" w:lineRule="auto"/>
        <w:contextualSpacing/>
        <w:jc w:val="center"/>
        <w:rPr>
          <w:b/>
        </w:rPr>
      </w:pPr>
    </w:p>
    <w:p w14:paraId="46BAEB97" w14:textId="6949990A" w:rsidR="008700D3" w:rsidRPr="0032149E" w:rsidRDefault="008700D3" w:rsidP="00751876">
      <w:pPr>
        <w:spacing w:line="276" w:lineRule="auto"/>
        <w:contextualSpacing/>
        <w:jc w:val="center"/>
        <w:rPr>
          <w:b/>
        </w:rPr>
      </w:pPr>
      <w:r w:rsidRPr="0032149E">
        <w:rPr>
          <w:b/>
        </w:rPr>
        <w:t>Motīvu daļa</w:t>
      </w:r>
    </w:p>
    <w:p w14:paraId="7B401E92" w14:textId="65E1C8D0" w:rsidR="002F74E5" w:rsidRPr="0032149E" w:rsidRDefault="002F74E5" w:rsidP="00751876">
      <w:pPr>
        <w:spacing w:line="276" w:lineRule="auto"/>
        <w:contextualSpacing/>
        <w:rPr>
          <w:b/>
        </w:rPr>
      </w:pPr>
    </w:p>
    <w:p w14:paraId="598E16BB" w14:textId="6AE24F52" w:rsidR="0045199D" w:rsidRDefault="002F74E5" w:rsidP="00751876">
      <w:pPr>
        <w:spacing w:line="276" w:lineRule="auto"/>
        <w:ind w:firstLine="567"/>
        <w:contextualSpacing/>
        <w:jc w:val="both"/>
        <w:rPr>
          <w:bCs/>
        </w:rPr>
      </w:pPr>
      <w:r w:rsidRPr="0032149E">
        <w:rPr>
          <w:bCs/>
        </w:rPr>
        <w:t>[</w:t>
      </w:r>
      <w:r w:rsidR="000B671F">
        <w:rPr>
          <w:bCs/>
        </w:rPr>
        <w:t>7</w:t>
      </w:r>
      <w:r w:rsidRPr="0032149E">
        <w:rPr>
          <w:bCs/>
        </w:rPr>
        <w:t>]</w:t>
      </w:r>
      <w:r w:rsidR="0096717C" w:rsidRPr="0032149E">
        <w:rPr>
          <w:bCs/>
        </w:rPr>
        <w:t> </w:t>
      </w:r>
      <w:r w:rsidR="0045199D">
        <w:rPr>
          <w:bCs/>
        </w:rPr>
        <w:t>Kasācijas tiesvedības kārtībā noskaidrojams, vai tiesa</w:t>
      </w:r>
      <w:r w:rsidR="008E5A2E">
        <w:rPr>
          <w:bCs/>
        </w:rPr>
        <w:t xml:space="preserve">, </w:t>
      </w:r>
      <w:r w:rsidR="0045199D">
        <w:rPr>
          <w:bCs/>
        </w:rPr>
        <w:t>secin</w:t>
      </w:r>
      <w:r w:rsidR="008E5A2E">
        <w:rPr>
          <w:bCs/>
        </w:rPr>
        <w:t>ot</w:t>
      </w:r>
      <w:r w:rsidR="0045199D">
        <w:rPr>
          <w:bCs/>
        </w:rPr>
        <w:t>, ka pieteicējai nav tiesību atskaitīt priekšnodokli par traktortehnikas iegādi no SIA</w:t>
      </w:r>
      <w:r w:rsidR="00C64ADE">
        <w:rPr>
          <w:bCs/>
        </w:rPr>
        <w:t> </w:t>
      </w:r>
      <w:r w:rsidR="00C64ADE" w:rsidRPr="007D4A2B">
        <w:t>„</w:t>
      </w:r>
      <w:proofErr w:type="spellStart"/>
      <w:r w:rsidR="0045199D">
        <w:rPr>
          <w:bCs/>
        </w:rPr>
        <w:t>Sa</w:t>
      </w:r>
      <w:r w:rsidR="00C64ADE">
        <w:rPr>
          <w:bCs/>
        </w:rPr>
        <w:t>li</w:t>
      </w:r>
      <w:r w:rsidR="0045199D">
        <w:rPr>
          <w:bCs/>
        </w:rPr>
        <w:t>xPro</w:t>
      </w:r>
      <w:proofErr w:type="spellEnd"/>
      <w:r w:rsidR="0045199D">
        <w:rPr>
          <w:bCs/>
        </w:rPr>
        <w:t>”</w:t>
      </w:r>
      <w:r w:rsidR="00252660">
        <w:rPr>
          <w:bCs/>
        </w:rPr>
        <w:t xml:space="preserve">, </w:t>
      </w:r>
      <w:r w:rsidR="008E5A2E">
        <w:rPr>
          <w:bCs/>
        </w:rPr>
        <w:t xml:space="preserve">ir pareizi piemērojusi </w:t>
      </w:r>
      <w:r w:rsidR="00252660">
        <w:rPr>
          <w:bCs/>
        </w:rPr>
        <w:t xml:space="preserve">Pievienotās vērtības nodokļa likuma </w:t>
      </w:r>
      <w:proofErr w:type="gramStart"/>
      <w:r w:rsidR="00252660">
        <w:rPr>
          <w:bCs/>
        </w:rPr>
        <w:t>92.panta</w:t>
      </w:r>
      <w:proofErr w:type="gramEnd"/>
      <w:r w:rsidR="00252660">
        <w:rPr>
          <w:bCs/>
        </w:rPr>
        <w:t xml:space="preserve"> pirmās daļas 1.punkt</w:t>
      </w:r>
      <w:r w:rsidR="008E5A2E">
        <w:rPr>
          <w:bCs/>
        </w:rPr>
        <w:t>u</w:t>
      </w:r>
      <w:r w:rsidR="0045199D">
        <w:rPr>
          <w:bCs/>
        </w:rPr>
        <w:t>.</w:t>
      </w:r>
    </w:p>
    <w:p w14:paraId="0691467B" w14:textId="0E4980BA" w:rsidR="0045199D" w:rsidRDefault="0045199D" w:rsidP="00751876">
      <w:pPr>
        <w:spacing w:line="276" w:lineRule="auto"/>
        <w:ind w:firstLine="567"/>
        <w:contextualSpacing/>
        <w:jc w:val="both"/>
        <w:rPr>
          <w:bCs/>
        </w:rPr>
      </w:pPr>
    </w:p>
    <w:p w14:paraId="70D3B7A1" w14:textId="0709E910" w:rsidR="00FA6A46" w:rsidRDefault="0045199D" w:rsidP="00751876">
      <w:pPr>
        <w:spacing w:line="276" w:lineRule="auto"/>
        <w:ind w:firstLine="567"/>
        <w:contextualSpacing/>
        <w:jc w:val="both"/>
      </w:pPr>
      <w:r>
        <w:rPr>
          <w:bCs/>
        </w:rPr>
        <w:t>[</w:t>
      </w:r>
      <w:r w:rsidR="000B671F">
        <w:rPr>
          <w:bCs/>
        </w:rPr>
        <w:t>8</w:t>
      </w:r>
      <w:r>
        <w:rPr>
          <w:bCs/>
        </w:rPr>
        <w:t>] </w:t>
      </w:r>
      <w:r w:rsidR="00D55BC8">
        <w:rPr>
          <w:bCs/>
        </w:rPr>
        <w:t xml:space="preserve">Pievienotās vērtības nodokļa likuma </w:t>
      </w:r>
      <w:proofErr w:type="gramStart"/>
      <w:r w:rsidR="00D55BC8">
        <w:rPr>
          <w:bCs/>
        </w:rPr>
        <w:t>92.panta</w:t>
      </w:r>
      <w:proofErr w:type="gramEnd"/>
      <w:r w:rsidR="00D55BC8">
        <w:rPr>
          <w:bCs/>
        </w:rPr>
        <w:t xml:space="preserve"> pirmās daļas 1.punkts</w:t>
      </w:r>
      <w:r w:rsidR="00FA6A46">
        <w:rPr>
          <w:bCs/>
        </w:rPr>
        <w:t xml:space="preserve"> noteic, ka </w:t>
      </w:r>
      <w:r w:rsidR="00FA6A46">
        <w:t>tikai Valsts ieņēmumu dienestā reģistrētai apliekamai personai ir tiesības nodokļa deklarācijā kā priekšnodokli no budžetā maksājamās nodokļa summas atskaitīt no citām apliekamajām personām saņemtajos nodokļa rēķinos norādītās nodokļa summas par precēm un pakalpojumiem savu ar nodokli apliekamo darījumu nodrošināšanai.</w:t>
      </w:r>
    </w:p>
    <w:p w14:paraId="46697C1F" w14:textId="3EC06EC7" w:rsidR="003A6B19" w:rsidRPr="00F04194" w:rsidRDefault="00FA6A46" w:rsidP="00751876">
      <w:pPr>
        <w:spacing w:line="276" w:lineRule="auto"/>
        <w:ind w:firstLine="567"/>
        <w:contextualSpacing/>
        <w:jc w:val="both"/>
        <w:rPr>
          <w:i/>
          <w:iCs/>
        </w:rPr>
      </w:pPr>
      <w:r>
        <w:t xml:space="preserve">Kā konsekventi atzīts judikatūrā, atbilstoši minētajai tiesību normai vispirms nepieciešams noskaidrot, vai priekšnodokļa atskaitīšanas tiesību izmantotājs vispār ir saņēmis rēķinā norādīto preci. Ja tiek konstatēts, ka priekšnodokļa atskaitīšanas tiesību izmantotājs rēķinā norādīto preci ir saņēmis, tālāk nepieciešams noskaidrot, vai šī prece tika saņemta tieši no darījuma dokumentos norādītās ar pievienotās vērtības nodokli apliekamās personas. Ja tiek konstatēts, ka rēķinā norādītā persona nav piegādājusi strīdus preces, nepieciešams noskaidrot, vai priekšnodokļa tiesību izmantotājs zināja vai tam vajadzēja zināt, ka darījums ir saistīts ar pievienotās vērtības nodokļa sistēmas ļaunprātīgu izmantošanu (piemēram, </w:t>
      </w:r>
      <w:r w:rsidRPr="00FA6A46">
        <w:rPr>
          <w:i/>
          <w:iCs/>
        </w:rPr>
        <w:t>Senāta</w:t>
      </w:r>
      <w:r w:rsidR="003C742A">
        <w:rPr>
          <w:i/>
          <w:iCs/>
        </w:rPr>
        <w:t xml:space="preserve"> </w:t>
      </w:r>
      <w:proofErr w:type="gramStart"/>
      <w:r w:rsidR="003A6B19">
        <w:rPr>
          <w:i/>
          <w:iCs/>
        </w:rPr>
        <w:t>2021.gada</w:t>
      </w:r>
      <w:proofErr w:type="gramEnd"/>
      <w:r w:rsidR="003A6B19">
        <w:rPr>
          <w:i/>
          <w:iCs/>
        </w:rPr>
        <w:t xml:space="preserve"> 12.marta sprieduma lietā Nr. SKA-49/2021 (</w:t>
      </w:r>
      <w:hyperlink r:id="rId9" w:history="1">
        <w:r w:rsidR="00F04194" w:rsidRPr="00F04194">
          <w:rPr>
            <w:rStyle w:val="Hyperlink"/>
            <w:i/>
            <w:iCs/>
            <w:color w:val="000000" w:themeColor="text1"/>
            <w:u w:val="none"/>
          </w:rPr>
          <w:t>ECLI:LV:AT:2021:0312.A420177016.8.S</w:t>
        </w:r>
      </w:hyperlink>
      <w:r w:rsidR="003A6B19" w:rsidRPr="00F04194">
        <w:rPr>
          <w:i/>
          <w:iCs/>
          <w:color w:val="000000" w:themeColor="text1"/>
        </w:rPr>
        <w:t xml:space="preserve">) </w:t>
      </w:r>
      <w:r w:rsidR="003A6B19" w:rsidRPr="003A6B19">
        <w:rPr>
          <w:i/>
          <w:iCs/>
        </w:rPr>
        <w:t>6.punkts un tajā minētie nolēmumi</w:t>
      </w:r>
      <w:r w:rsidR="003A6B19">
        <w:t>).</w:t>
      </w:r>
    </w:p>
    <w:p w14:paraId="4388B2F1" w14:textId="54B741A8" w:rsidR="0091442B" w:rsidRDefault="00C27BC4" w:rsidP="00751876">
      <w:pPr>
        <w:spacing w:line="276" w:lineRule="auto"/>
        <w:ind w:firstLine="567"/>
        <w:contextualSpacing/>
        <w:jc w:val="both"/>
        <w:rPr>
          <w:bCs/>
        </w:rPr>
      </w:pPr>
      <w:r>
        <w:lastRenderedPageBreak/>
        <w:t>Apgabaltiesas spriedumā</w:t>
      </w:r>
      <w:r w:rsidR="00C80DB6">
        <w:t xml:space="preserve"> nav apšaubīta </w:t>
      </w:r>
      <w:r>
        <w:rPr>
          <w:bCs/>
        </w:rPr>
        <w:t>strīdus traktortehnikas esīb</w:t>
      </w:r>
      <w:r w:rsidR="00C80DB6">
        <w:rPr>
          <w:bCs/>
        </w:rPr>
        <w:t>a</w:t>
      </w:r>
      <w:r>
        <w:rPr>
          <w:bCs/>
        </w:rPr>
        <w:t xml:space="preserve"> pieteicējas rīcībā, </w:t>
      </w:r>
      <w:r w:rsidR="00C80DB6">
        <w:rPr>
          <w:bCs/>
        </w:rPr>
        <w:t xml:space="preserve">taču ir </w:t>
      </w:r>
      <w:r>
        <w:rPr>
          <w:bCs/>
        </w:rPr>
        <w:t>norādīts, ka traktortehnikas faktiskais pārdevējs bija</w:t>
      </w:r>
      <w:r w:rsidR="00C70007">
        <w:rPr>
          <w:bCs/>
        </w:rPr>
        <w:t xml:space="preserve"> </w:t>
      </w:r>
      <w:r w:rsidR="00C70007">
        <w:t>[pers. A]</w:t>
      </w:r>
      <w:r w:rsidR="006D0BCD">
        <w:rPr>
          <w:bCs/>
        </w:rPr>
        <w:t>,</w:t>
      </w:r>
      <w:r w:rsidR="00C80DB6">
        <w:rPr>
          <w:bCs/>
        </w:rPr>
        <w:t xml:space="preserve"> </w:t>
      </w:r>
      <w:r w:rsidR="006D0BCD">
        <w:rPr>
          <w:bCs/>
        </w:rPr>
        <w:t>SIA </w:t>
      </w:r>
      <w:bookmarkStart w:id="7" w:name="_Hlk114922257"/>
      <w:r w:rsidR="003C7D4D" w:rsidRPr="007D4A2B">
        <w:t>„</w:t>
      </w:r>
      <w:bookmarkEnd w:id="7"/>
      <w:proofErr w:type="spellStart"/>
      <w:r w:rsidR="006D0BCD">
        <w:rPr>
          <w:bCs/>
        </w:rPr>
        <w:t>SalixPro</w:t>
      </w:r>
      <w:proofErr w:type="spellEnd"/>
      <w:r w:rsidR="006D0BCD">
        <w:rPr>
          <w:bCs/>
        </w:rPr>
        <w:t>” darījumā iesaistīta mākslīgi</w:t>
      </w:r>
      <w:r w:rsidR="0091442B">
        <w:rPr>
          <w:bCs/>
        </w:rPr>
        <w:t xml:space="preserve">, strīdus darījums ir bijis </w:t>
      </w:r>
      <w:proofErr w:type="spellStart"/>
      <w:r w:rsidR="0091442B">
        <w:rPr>
          <w:bCs/>
        </w:rPr>
        <w:t>simulatīvs</w:t>
      </w:r>
      <w:proofErr w:type="spellEnd"/>
      <w:r w:rsidR="0091442B">
        <w:rPr>
          <w:bCs/>
        </w:rPr>
        <w:t xml:space="preserve"> un tā vienīgais mērķis </w:t>
      </w:r>
      <w:r w:rsidR="00F545FB">
        <w:rPr>
          <w:bCs/>
        </w:rPr>
        <w:t xml:space="preserve">bija </w:t>
      </w:r>
      <w:r w:rsidR="0091442B">
        <w:rPr>
          <w:bCs/>
        </w:rPr>
        <w:t xml:space="preserve">nodrošināt pieteicējai nepamatota fiskāla labuma gūšanu </w:t>
      </w:r>
      <w:r w:rsidR="006A2175">
        <w:rPr>
          <w:bCs/>
        </w:rPr>
        <w:t>atskaitāmā priekšnodokļa veidā.</w:t>
      </w:r>
      <w:r>
        <w:rPr>
          <w:bCs/>
        </w:rPr>
        <w:t xml:space="preserve"> Šādu secinājumu apgabaltiesa pamatojusi ar </w:t>
      </w:r>
      <w:r w:rsidR="0091442B">
        <w:rPr>
          <w:bCs/>
        </w:rPr>
        <w:t xml:space="preserve">diviem argumentiem. Pirmkārt, strīdus darījuma dalībnieki ir savstarpēji saistītas personas. Otrkārt, </w:t>
      </w:r>
      <w:r w:rsidR="00F545FB">
        <w:rPr>
          <w:bCs/>
        </w:rPr>
        <w:t xml:space="preserve">strīdus darījuma rezultātā </w:t>
      </w:r>
      <w:r w:rsidR="0091442B">
        <w:rPr>
          <w:bCs/>
        </w:rPr>
        <w:t>valsts budžetam ir nodarīti zaudējumi.</w:t>
      </w:r>
    </w:p>
    <w:p w14:paraId="54B45D1A" w14:textId="26648969" w:rsidR="000906E8" w:rsidRDefault="000906E8" w:rsidP="00751876">
      <w:pPr>
        <w:spacing w:line="276" w:lineRule="auto"/>
        <w:ind w:firstLine="567"/>
        <w:contextualSpacing/>
        <w:jc w:val="both"/>
        <w:rPr>
          <w:bCs/>
        </w:rPr>
      </w:pPr>
    </w:p>
    <w:p w14:paraId="16DD39E7" w14:textId="7FF10437" w:rsidR="000728BB" w:rsidRDefault="000906E8" w:rsidP="00751876">
      <w:pPr>
        <w:spacing w:line="276" w:lineRule="auto"/>
        <w:ind w:firstLine="567"/>
        <w:contextualSpacing/>
        <w:jc w:val="both"/>
        <w:rPr>
          <w:lang w:eastAsia="lv-LV"/>
        </w:rPr>
      </w:pPr>
      <w:r w:rsidRPr="000906E8">
        <w:rPr>
          <w:bCs/>
        </w:rPr>
        <w:t>[</w:t>
      </w:r>
      <w:r w:rsidR="000B671F">
        <w:rPr>
          <w:bCs/>
        </w:rPr>
        <w:t>9</w:t>
      </w:r>
      <w:r w:rsidRPr="000906E8">
        <w:rPr>
          <w:bCs/>
        </w:rPr>
        <w:t>] </w:t>
      </w:r>
      <w:r w:rsidR="00272CA1">
        <w:rPr>
          <w:bCs/>
        </w:rPr>
        <w:t xml:space="preserve">Tas, kādas personas ir atzīstamas par saistītām </w:t>
      </w:r>
      <w:r w:rsidR="006E1AD4">
        <w:rPr>
          <w:bCs/>
        </w:rPr>
        <w:t>person</w:t>
      </w:r>
      <w:r w:rsidR="00272CA1">
        <w:rPr>
          <w:bCs/>
        </w:rPr>
        <w:t>ām, i</w:t>
      </w:r>
      <w:r w:rsidR="006E1AD4">
        <w:rPr>
          <w:bCs/>
        </w:rPr>
        <w:t xml:space="preserve">r skaidrots </w:t>
      </w:r>
      <w:bookmarkStart w:id="8" w:name="_Hlk115071909"/>
      <w:r w:rsidRPr="000906E8">
        <w:rPr>
          <w:bCs/>
        </w:rPr>
        <w:t xml:space="preserve">likuma </w:t>
      </w:r>
      <w:r w:rsidR="003C742A" w:rsidRPr="007D4A2B">
        <w:t>„</w:t>
      </w:r>
      <w:r w:rsidRPr="000906E8">
        <w:rPr>
          <w:bCs/>
        </w:rPr>
        <w:t xml:space="preserve">Par nodokļiem un nodevām” </w:t>
      </w:r>
      <w:proofErr w:type="gramStart"/>
      <w:r w:rsidRPr="000906E8">
        <w:rPr>
          <w:bCs/>
        </w:rPr>
        <w:t>1.panta</w:t>
      </w:r>
      <w:proofErr w:type="gramEnd"/>
      <w:r w:rsidRPr="000906E8">
        <w:rPr>
          <w:bCs/>
        </w:rPr>
        <w:t xml:space="preserve"> 18.punkt</w:t>
      </w:r>
      <w:r w:rsidR="00422F14">
        <w:rPr>
          <w:bCs/>
        </w:rPr>
        <w:t xml:space="preserve">a </w:t>
      </w:r>
      <w:bookmarkEnd w:id="8"/>
      <w:r w:rsidR="00422F14">
        <w:rPr>
          <w:bCs/>
        </w:rPr>
        <w:t>tiesību normās</w:t>
      </w:r>
      <w:r w:rsidR="006E1AD4">
        <w:rPr>
          <w:bCs/>
        </w:rPr>
        <w:t xml:space="preserve">. </w:t>
      </w:r>
      <w:r w:rsidR="00D70FA5">
        <w:rPr>
          <w:bCs/>
        </w:rPr>
        <w:t xml:space="preserve">Tajās ir paredzēti dažādi noteikumi, kuriem izpildoties personas ir atzīstamas par saistītām personām. Iemesli, kāpēc nodokļu vajadzībām nepieciešams </w:t>
      </w:r>
      <w:r w:rsidR="00B44ED0">
        <w:rPr>
          <w:bCs/>
        </w:rPr>
        <w:t>no</w:t>
      </w:r>
      <w:r w:rsidR="00D70FA5">
        <w:rPr>
          <w:bCs/>
        </w:rPr>
        <w:t>skaidrot, vai darījuma dalībnieki ir saistīt</w:t>
      </w:r>
      <w:r w:rsidR="00B44ED0">
        <w:rPr>
          <w:bCs/>
        </w:rPr>
        <w:t xml:space="preserve">as </w:t>
      </w:r>
      <w:r w:rsidR="00D70FA5">
        <w:rPr>
          <w:bCs/>
        </w:rPr>
        <w:t>person</w:t>
      </w:r>
      <w:r w:rsidR="00B44ED0">
        <w:rPr>
          <w:bCs/>
        </w:rPr>
        <w:t>as</w:t>
      </w:r>
      <w:r w:rsidR="00D70FA5">
        <w:rPr>
          <w:bCs/>
        </w:rPr>
        <w:t>, ir dažādi, piemēram, lai</w:t>
      </w:r>
      <w:r w:rsidR="00B44ED0">
        <w:rPr>
          <w:bCs/>
        </w:rPr>
        <w:t xml:space="preserve"> pārbaudītu, vai ir pareizi noteikta transfertcena</w:t>
      </w:r>
      <w:r w:rsidR="008F10BF">
        <w:rPr>
          <w:bCs/>
        </w:rPr>
        <w:t xml:space="preserve"> un vai tādējādi ne</w:t>
      </w:r>
      <w:r w:rsidR="00B44ED0">
        <w:rPr>
          <w:bCs/>
        </w:rPr>
        <w:t xml:space="preserve">tiek samazināti valsts budžetā maksājamie nodokļi. Taču no tiesiskā regulējuma neizriet, ka pats par sevi apstāklis, ka darījumi notiek starp saistītām personām, </w:t>
      </w:r>
      <w:r w:rsidR="008F10BF">
        <w:rPr>
          <w:bCs/>
        </w:rPr>
        <w:t>ap</w:t>
      </w:r>
      <w:r w:rsidR="00B44ED0">
        <w:rPr>
          <w:bCs/>
        </w:rPr>
        <w:t>liecina šo personu nolūk</w:t>
      </w:r>
      <w:r w:rsidR="008F10BF">
        <w:rPr>
          <w:bCs/>
        </w:rPr>
        <w:t>us</w:t>
      </w:r>
      <w:r w:rsidR="00B44ED0">
        <w:rPr>
          <w:bCs/>
        </w:rPr>
        <w:t xml:space="preserve"> gūt nepamatotu fiskālu labumu un samazināt budžetā maksājamos nodokļu. </w:t>
      </w:r>
      <w:r w:rsidR="000728BB">
        <w:rPr>
          <w:lang w:eastAsia="lv-LV"/>
        </w:rPr>
        <w:t>Kā pareizi norāda pieteicēja, p</w:t>
      </w:r>
      <w:r w:rsidR="00DF5AB1">
        <w:rPr>
          <w:lang w:eastAsia="lv-LV"/>
        </w:rPr>
        <w:t>retējā gadījumā ikviens savstarpēju personu starpā noformēts darījums būtu jāatzīst par tādu, kas veikts nodokļu sistēmas ļaunprātīgas izmantošanas nolūkā.</w:t>
      </w:r>
    </w:p>
    <w:p w14:paraId="4F32A851" w14:textId="2DD24541" w:rsidR="00DF5AB1" w:rsidRDefault="00B4326A" w:rsidP="00751876">
      <w:pPr>
        <w:spacing w:line="276" w:lineRule="auto"/>
        <w:ind w:firstLine="567"/>
        <w:contextualSpacing/>
        <w:jc w:val="both"/>
        <w:rPr>
          <w:lang w:eastAsia="lv-LV"/>
        </w:rPr>
      </w:pPr>
      <w:r>
        <w:rPr>
          <w:lang w:eastAsia="lv-LV"/>
        </w:rPr>
        <w:t xml:space="preserve">Valsts ieņēmumu dienests </w:t>
      </w:r>
      <w:r w:rsidR="008522FB">
        <w:rPr>
          <w:lang w:eastAsia="lv-LV"/>
        </w:rPr>
        <w:t xml:space="preserve">paskaidrojumā par </w:t>
      </w:r>
      <w:r>
        <w:rPr>
          <w:lang w:eastAsia="lv-LV"/>
        </w:rPr>
        <w:t>kasācijas sūdzīb</w:t>
      </w:r>
      <w:r w:rsidR="008522FB">
        <w:rPr>
          <w:lang w:eastAsia="lv-LV"/>
        </w:rPr>
        <w:t>u</w:t>
      </w:r>
      <w:r>
        <w:rPr>
          <w:lang w:eastAsia="lv-LV"/>
        </w:rPr>
        <w:t xml:space="preserve"> ir paudis pretējo </w:t>
      </w:r>
      <w:r w:rsidR="008522FB">
        <w:rPr>
          <w:lang w:eastAsia="lv-LV"/>
        </w:rPr>
        <w:t>viedokli</w:t>
      </w:r>
      <w:r>
        <w:rPr>
          <w:lang w:eastAsia="lv-LV"/>
        </w:rPr>
        <w:t>, norādot: ja persona darbojas divu komercsabiedrību vārdā, tad atbilstoši normatīvajiem aktiem šo komercsabiedrību starpā noformētais darījums ir veikts nolūkā gū</w:t>
      </w:r>
      <w:r w:rsidR="00240C5C">
        <w:rPr>
          <w:lang w:eastAsia="lv-LV"/>
        </w:rPr>
        <w:t>t</w:t>
      </w:r>
      <w:r>
        <w:rPr>
          <w:lang w:eastAsia="lv-LV"/>
        </w:rPr>
        <w:t xml:space="preserve"> fiskālas priekšrocības. Taču Valsts ieņēmumu dienests nav norādījis normatīvos aktus, kuros tas būtu paredzēts</w:t>
      </w:r>
      <w:r w:rsidR="00F05C5C">
        <w:rPr>
          <w:lang w:eastAsia="lv-LV"/>
        </w:rPr>
        <w:t xml:space="preserve">, un šāds dienesta apgalvojums acīmredzami ir pretrunā likuma </w:t>
      </w:r>
      <w:r w:rsidR="008522FB" w:rsidRPr="007D4A2B">
        <w:t>„</w:t>
      </w:r>
      <w:r w:rsidR="00F05C5C">
        <w:rPr>
          <w:lang w:eastAsia="lv-LV"/>
        </w:rPr>
        <w:t xml:space="preserve">Par nodokļiem un nodevām” </w:t>
      </w:r>
      <w:proofErr w:type="gramStart"/>
      <w:r w:rsidR="00F05C5C">
        <w:rPr>
          <w:lang w:eastAsia="lv-LV"/>
        </w:rPr>
        <w:t>1.panta</w:t>
      </w:r>
      <w:proofErr w:type="gramEnd"/>
      <w:r w:rsidR="00F05C5C">
        <w:rPr>
          <w:lang w:eastAsia="lv-LV"/>
        </w:rPr>
        <w:t xml:space="preserve"> 18.punkta normām.</w:t>
      </w:r>
    </w:p>
    <w:p w14:paraId="57DC5F4C" w14:textId="1C22A4CE" w:rsidR="000728BB" w:rsidRDefault="00F05C5C" w:rsidP="00751876">
      <w:pPr>
        <w:spacing w:line="276" w:lineRule="auto"/>
        <w:ind w:firstLine="567"/>
        <w:contextualSpacing/>
        <w:jc w:val="both"/>
        <w:rPr>
          <w:lang w:eastAsia="lv-LV"/>
        </w:rPr>
      </w:pPr>
      <w:r>
        <w:rPr>
          <w:lang w:eastAsia="lv-LV"/>
        </w:rPr>
        <w:t xml:space="preserve">Vienlaikus likuma </w:t>
      </w:r>
      <w:r w:rsidR="008522FB" w:rsidRPr="007D4A2B">
        <w:t>„</w:t>
      </w:r>
      <w:r>
        <w:rPr>
          <w:lang w:eastAsia="lv-LV"/>
        </w:rPr>
        <w:t xml:space="preserve">Par nodokļiem un nodevām” </w:t>
      </w:r>
      <w:proofErr w:type="gramStart"/>
      <w:r>
        <w:rPr>
          <w:lang w:eastAsia="lv-LV"/>
        </w:rPr>
        <w:t>1.panta</w:t>
      </w:r>
      <w:proofErr w:type="gramEnd"/>
      <w:r>
        <w:rPr>
          <w:lang w:eastAsia="lv-LV"/>
        </w:rPr>
        <w:t xml:space="preserve"> 18.punkta </w:t>
      </w:r>
      <w:r w:rsidR="008522FB" w:rsidRPr="007D4A2B">
        <w:t>„</w:t>
      </w:r>
      <w:r>
        <w:rPr>
          <w:lang w:eastAsia="lv-LV"/>
        </w:rPr>
        <w:t xml:space="preserve">g” apakšpunkts paredz, ka personas par saistītām personām ir atzīstamas arī tad, ja </w:t>
      </w:r>
      <w:r w:rsidR="00422F14">
        <w:rPr>
          <w:lang w:eastAsia="lv-LV"/>
        </w:rPr>
        <w:t xml:space="preserve">tās veic saskaņotu darbību, lai samazinātu nodokļus. </w:t>
      </w:r>
      <w:r>
        <w:rPr>
          <w:lang w:eastAsia="lv-LV"/>
        </w:rPr>
        <w:t>Tātad tād</w:t>
      </w:r>
      <w:r w:rsidR="008522FB">
        <w:rPr>
          <w:lang w:eastAsia="lv-LV"/>
        </w:rPr>
        <w:t>as</w:t>
      </w:r>
      <w:r>
        <w:rPr>
          <w:lang w:eastAsia="lv-LV"/>
        </w:rPr>
        <w:t xml:space="preserve"> </w:t>
      </w:r>
      <w:r w:rsidR="008522FB">
        <w:rPr>
          <w:lang w:eastAsia="lv-LV"/>
        </w:rPr>
        <w:t xml:space="preserve">personu </w:t>
      </w:r>
      <w:r>
        <w:rPr>
          <w:lang w:eastAsia="lv-LV"/>
        </w:rPr>
        <w:t>saskaņot</w:t>
      </w:r>
      <w:r w:rsidR="008522FB">
        <w:rPr>
          <w:lang w:eastAsia="lv-LV"/>
        </w:rPr>
        <w:t xml:space="preserve">as </w:t>
      </w:r>
      <w:r>
        <w:rPr>
          <w:lang w:eastAsia="lv-LV"/>
        </w:rPr>
        <w:t>darbīb</w:t>
      </w:r>
      <w:r w:rsidR="008522FB">
        <w:rPr>
          <w:lang w:eastAsia="lv-LV"/>
        </w:rPr>
        <w:t>as</w:t>
      </w:r>
      <w:r>
        <w:rPr>
          <w:lang w:eastAsia="lv-LV"/>
        </w:rPr>
        <w:t xml:space="preserve">, kuru mērķis ir samazināt valsts budžetā maksājamos nodokļus, dod pamatu </w:t>
      </w:r>
      <w:r w:rsidR="007A63F6">
        <w:rPr>
          <w:lang w:eastAsia="lv-LV"/>
        </w:rPr>
        <w:t xml:space="preserve">runāt </w:t>
      </w:r>
      <w:r>
        <w:rPr>
          <w:lang w:eastAsia="lv-LV"/>
        </w:rPr>
        <w:t xml:space="preserve">par </w:t>
      </w:r>
      <w:r w:rsidR="007A63F6">
        <w:rPr>
          <w:lang w:eastAsia="lv-LV"/>
        </w:rPr>
        <w:t xml:space="preserve">šo </w:t>
      </w:r>
      <w:r>
        <w:rPr>
          <w:lang w:eastAsia="lv-LV"/>
        </w:rPr>
        <w:t>personu nolūkiem izmantot nodokļu sistēmu ļaunprātīgi vai krāpnieciski</w:t>
      </w:r>
      <w:r w:rsidR="00C95176">
        <w:rPr>
          <w:lang w:eastAsia="lv-LV"/>
        </w:rPr>
        <w:t xml:space="preserve">. </w:t>
      </w:r>
      <w:r w:rsidR="008F10BF">
        <w:rPr>
          <w:lang w:eastAsia="lv-LV"/>
        </w:rPr>
        <w:t>Taču, lai varētu izdarīt š</w:t>
      </w:r>
      <w:r w:rsidR="000728BB">
        <w:rPr>
          <w:lang w:eastAsia="lv-LV"/>
        </w:rPr>
        <w:t>ād</w:t>
      </w:r>
      <w:r w:rsidR="008F10BF">
        <w:rPr>
          <w:lang w:eastAsia="lv-LV"/>
        </w:rPr>
        <w:t>u</w:t>
      </w:r>
      <w:r w:rsidR="000728BB">
        <w:rPr>
          <w:lang w:eastAsia="lv-LV"/>
        </w:rPr>
        <w:t xml:space="preserve"> secinājum</w:t>
      </w:r>
      <w:r w:rsidR="008F10BF">
        <w:rPr>
          <w:lang w:eastAsia="lv-LV"/>
        </w:rPr>
        <w:t>u,</w:t>
      </w:r>
      <w:r w:rsidR="000728BB">
        <w:rPr>
          <w:lang w:eastAsia="lv-LV"/>
        </w:rPr>
        <w:t xml:space="preserve"> nepieciešams konstatēt konkrētus apstākļus, kas norāda uz darījumā iesaistīto personu saskaņotām darbībām, kas vērsta</w:t>
      </w:r>
      <w:r w:rsidR="00A54A1E">
        <w:rPr>
          <w:lang w:eastAsia="lv-LV"/>
        </w:rPr>
        <w:t>s</w:t>
      </w:r>
      <w:r w:rsidR="000728BB">
        <w:rPr>
          <w:lang w:eastAsia="lv-LV"/>
        </w:rPr>
        <w:t xml:space="preserve"> uz nodokļu samazināšanu. Tas nozīmē, ka katrs gadījums ir vērtējams individuāli.</w:t>
      </w:r>
    </w:p>
    <w:p w14:paraId="5C24008A" w14:textId="43AF113C" w:rsidR="000728BB" w:rsidRDefault="000728BB" w:rsidP="00751876">
      <w:pPr>
        <w:spacing w:line="276" w:lineRule="auto"/>
        <w:ind w:firstLine="567"/>
        <w:contextualSpacing/>
        <w:jc w:val="both"/>
      </w:pPr>
      <w:r>
        <w:rPr>
          <w:lang w:eastAsia="lv-LV"/>
        </w:rPr>
        <w:t xml:space="preserve">Rezumējot minēto, Senāts atzīst, ka </w:t>
      </w:r>
      <w:r w:rsidRPr="006D0BCD">
        <w:t>personu savstarpējā saistība pati par sevi nevar būt neapstrīdams darījum</w:t>
      </w:r>
      <w:r>
        <w:t>a</w:t>
      </w:r>
      <w:r w:rsidRPr="006D0BCD">
        <w:t xml:space="preserve"> partneru ļaunprātīgu nolūku apstiprinošs apstāklis</w:t>
      </w:r>
      <w:r w:rsidR="007A63F6">
        <w:t>. D</w:t>
      </w:r>
      <w:r>
        <w:t>arījuma dalībnieku savstarpējā saistība</w:t>
      </w:r>
      <w:r w:rsidR="007A63F6">
        <w:t xml:space="preserve"> ir izvērtējama individuāli </w:t>
      </w:r>
      <w:r w:rsidRPr="006D0BCD">
        <w:t>ikvienā gadījumā kopsakarā ar darījum</w:t>
      </w:r>
      <w:r>
        <w:t>a</w:t>
      </w:r>
      <w:r w:rsidRPr="006D0BCD">
        <w:t xml:space="preserve"> noslēgšanu un norisi raksturojošiem apstākļiem</w:t>
      </w:r>
      <w:r>
        <w:t>, ņemot vērā arī darījuma atbilstību ierastai komercpraksei</w:t>
      </w:r>
      <w:r w:rsidRPr="006D0BCD">
        <w:t>.</w:t>
      </w:r>
    </w:p>
    <w:p w14:paraId="606E41EF" w14:textId="77777777" w:rsidR="000728BB" w:rsidRDefault="000728BB" w:rsidP="00751876">
      <w:pPr>
        <w:spacing w:line="276" w:lineRule="auto"/>
        <w:ind w:firstLine="567"/>
        <w:contextualSpacing/>
        <w:jc w:val="both"/>
      </w:pPr>
    </w:p>
    <w:p w14:paraId="63F960C0" w14:textId="5C0FCE74" w:rsidR="00050CEA" w:rsidRDefault="000728BB" w:rsidP="00751876">
      <w:pPr>
        <w:spacing w:line="276" w:lineRule="auto"/>
        <w:ind w:firstLine="567"/>
        <w:contextualSpacing/>
        <w:jc w:val="both"/>
      </w:pPr>
      <w:r>
        <w:t>[</w:t>
      </w:r>
      <w:r w:rsidR="00B43B2A">
        <w:t>10</w:t>
      </w:r>
      <w:r>
        <w:t>] </w:t>
      </w:r>
      <w:r w:rsidR="00050CEA">
        <w:t xml:space="preserve">Kā izriet no apgabaltiesas sprieduma, </w:t>
      </w:r>
      <w:r w:rsidR="005A5C65">
        <w:t>lietas faktiskie apstākļi</w:t>
      </w:r>
      <w:r w:rsidR="00050CEA">
        <w:t xml:space="preserve"> norisinājās tādējādi, ka</w:t>
      </w:r>
      <w:r w:rsidR="00050CEA" w:rsidRPr="00050CEA">
        <w:t xml:space="preserve"> </w:t>
      </w:r>
      <w:r w:rsidR="00C70007">
        <w:t xml:space="preserve">[pers. A] </w:t>
      </w:r>
      <w:proofErr w:type="gramStart"/>
      <w:r w:rsidR="00050CEA">
        <w:t>2018.gada</w:t>
      </w:r>
      <w:proofErr w:type="gramEnd"/>
      <w:r w:rsidR="00050CEA">
        <w:t xml:space="preserve"> februārī aizdeva SIA </w:t>
      </w:r>
      <w:r w:rsidR="00050CEA" w:rsidRPr="007D4A2B">
        <w:t>„</w:t>
      </w:r>
      <w:proofErr w:type="spellStart"/>
      <w:r w:rsidR="00050CEA">
        <w:t>SalixPro</w:t>
      </w:r>
      <w:proofErr w:type="spellEnd"/>
      <w:r w:rsidR="00050CEA">
        <w:t>” naudas līdzekļus strīdus traktortehnikas iegādei. Traktortehnika tika iegādāta un reģistrēta SIA </w:t>
      </w:r>
      <w:r w:rsidR="00050CEA" w:rsidRPr="007D4A2B">
        <w:t>„</w:t>
      </w:r>
      <w:proofErr w:type="spellStart"/>
      <w:r w:rsidR="00050CEA">
        <w:t>SalixPro</w:t>
      </w:r>
      <w:proofErr w:type="spellEnd"/>
      <w:r w:rsidR="00050CEA">
        <w:t xml:space="preserve">” īpašumā. Savukārt par labu </w:t>
      </w:r>
      <w:r w:rsidR="00C70007">
        <w:t xml:space="preserve">[pers. A] </w:t>
      </w:r>
      <w:r w:rsidR="00050CEA">
        <w:t xml:space="preserve">kā kreditoram tika reģistrēta komercķīla. </w:t>
      </w:r>
      <w:r w:rsidR="00664373">
        <w:t>SIA </w:t>
      </w:r>
      <w:r w:rsidR="00664373" w:rsidRPr="007D4A2B">
        <w:t>„</w:t>
      </w:r>
      <w:proofErr w:type="spellStart"/>
      <w:r w:rsidR="00664373">
        <w:t>SalixPro</w:t>
      </w:r>
      <w:proofErr w:type="spellEnd"/>
      <w:r w:rsidR="00664373">
        <w:t xml:space="preserve">” savas saistības pret </w:t>
      </w:r>
      <w:r w:rsidR="00C70007">
        <w:t xml:space="preserve">[pers. A] </w:t>
      </w:r>
      <w:r w:rsidR="00664373">
        <w:t>neizpildīja a</w:t>
      </w:r>
      <w:r w:rsidR="00050CEA">
        <w:t>izdevuma līgumā paredzētajā termiņā</w:t>
      </w:r>
      <w:r w:rsidR="00091E94">
        <w:t>,</w:t>
      </w:r>
      <w:r w:rsidR="00050CEA">
        <w:t xml:space="preserve"> tāpēc </w:t>
      </w:r>
      <w:proofErr w:type="gramStart"/>
      <w:r w:rsidR="00050CEA">
        <w:t>2020.gada</w:t>
      </w:r>
      <w:proofErr w:type="gramEnd"/>
      <w:r w:rsidR="00050CEA">
        <w:t xml:space="preserve"> februārī un martā tika reģistrēts </w:t>
      </w:r>
      <w:r w:rsidR="00C70007">
        <w:t xml:space="preserve">[pers. A] </w:t>
      </w:r>
      <w:r w:rsidR="00050CEA">
        <w:t>pieteikums komercķīlas tiesību izlietošan</w:t>
      </w:r>
      <w:r w:rsidR="00A20421">
        <w:t>ai</w:t>
      </w:r>
      <w:r w:rsidR="00050CEA">
        <w:t xml:space="preserve">. Tā rezultātā </w:t>
      </w:r>
      <w:proofErr w:type="gramStart"/>
      <w:r w:rsidR="00050CEA">
        <w:t>2020.gada</w:t>
      </w:r>
      <w:proofErr w:type="gramEnd"/>
      <w:r w:rsidR="00050CEA">
        <w:t xml:space="preserve"> 30.jūlijā strīdus traktortehnika tika pārdota pieteicējai un reģistrēta pieteicējas īpašumā.</w:t>
      </w:r>
    </w:p>
    <w:p w14:paraId="27932368" w14:textId="7079DF0C" w:rsidR="0059591D" w:rsidRDefault="000C0581" w:rsidP="00751876">
      <w:pPr>
        <w:spacing w:line="276" w:lineRule="auto"/>
        <w:ind w:firstLine="567"/>
        <w:contextualSpacing/>
        <w:jc w:val="both"/>
      </w:pPr>
      <w:r>
        <w:lastRenderedPageBreak/>
        <w:t xml:space="preserve">Apgabaltiesas spriedumā norādīts, ka </w:t>
      </w:r>
      <w:r w:rsidR="00C70007">
        <w:t xml:space="preserve">[pers. A] </w:t>
      </w:r>
      <w:r>
        <w:t>vienlaikus ir darbojies gan kā SIA </w:t>
      </w:r>
      <w:r w:rsidR="0059591D" w:rsidRPr="007D4A2B">
        <w:t>„</w:t>
      </w:r>
      <w:proofErr w:type="spellStart"/>
      <w:r>
        <w:t>SalixPro</w:t>
      </w:r>
      <w:proofErr w:type="spellEnd"/>
      <w:r>
        <w:t>”, gan kā pieteicējas amatpersona, gan arī kā SIA </w:t>
      </w:r>
      <w:r w:rsidR="0059591D" w:rsidRPr="007D4A2B">
        <w:t>„</w:t>
      </w:r>
      <w:proofErr w:type="spellStart"/>
      <w:r>
        <w:t>SalixPro</w:t>
      </w:r>
      <w:proofErr w:type="spellEnd"/>
      <w:r>
        <w:t xml:space="preserve">” kreditors jeb komercķīlas ņēmējs. Atbilstoši apgabaltiesas sprieduma argumentācijai tas, ka viena persona ir darbojusies visu darījuma dalībnieku vārdā, pats par sevi liecina par šā darījuma </w:t>
      </w:r>
      <w:proofErr w:type="spellStart"/>
      <w:r>
        <w:t>simulatīvo</w:t>
      </w:r>
      <w:proofErr w:type="spellEnd"/>
      <w:r>
        <w:t xml:space="preserve"> raksturu un darījuma dalībnieku ļaunprātīgiem nolūkiem.</w:t>
      </w:r>
    </w:p>
    <w:p w14:paraId="5ED4B179" w14:textId="45C8F536" w:rsidR="00A315E3" w:rsidRDefault="000C0581" w:rsidP="00751876">
      <w:pPr>
        <w:spacing w:line="276" w:lineRule="auto"/>
        <w:ind w:firstLine="567"/>
        <w:contextualSpacing/>
        <w:jc w:val="both"/>
      </w:pPr>
      <w:r>
        <w:t xml:space="preserve">Kā minēts jau iepriekš, šāds kategorisks apgalvojums neatbilst likuma </w:t>
      </w:r>
      <w:r w:rsidR="0059591D" w:rsidRPr="007D4A2B">
        <w:t>„</w:t>
      </w:r>
      <w:r>
        <w:t xml:space="preserve">Par nodokļiem un nodevām” </w:t>
      </w:r>
      <w:proofErr w:type="gramStart"/>
      <w:r>
        <w:t>1.panta</w:t>
      </w:r>
      <w:proofErr w:type="gramEnd"/>
      <w:r>
        <w:t xml:space="preserve"> 18.punkta normu jēgai</w:t>
      </w:r>
      <w:r w:rsidR="0059591D">
        <w:t xml:space="preserve">. Tāpēc apstāklis, ka </w:t>
      </w:r>
      <w:r w:rsidR="00C70007">
        <w:t xml:space="preserve">[pers. A] </w:t>
      </w:r>
      <w:r w:rsidR="0059591D">
        <w:t xml:space="preserve">strīdus darījumā darbojās gan savā, gan pircēja un pārdevēja vārdā, nav pietiekams, lai strīdus darījumu atzītu par </w:t>
      </w:r>
      <w:proofErr w:type="spellStart"/>
      <w:r w:rsidR="0059591D">
        <w:t>simulatīvu</w:t>
      </w:r>
      <w:proofErr w:type="spellEnd"/>
      <w:r w:rsidR="0059591D">
        <w:t>. N</w:t>
      </w:r>
      <w:r w:rsidR="00A315E3">
        <w:t xml:space="preserve">epieciešams konstatēt </w:t>
      </w:r>
      <w:r w:rsidR="0059591D">
        <w:t xml:space="preserve">tādus </w:t>
      </w:r>
      <w:r w:rsidR="00A315E3">
        <w:t xml:space="preserve">apstākļus, kas liecina par darījuma dalībnieku </w:t>
      </w:r>
      <w:r w:rsidR="0059591D">
        <w:t xml:space="preserve">nolūkiem </w:t>
      </w:r>
      <w:r w:rsidR="000967FF">
        <w:t>izmantot nodokļu sistēmu nepamatota labuma gūšanai.</w:t>
      </w:r>
    </w:p>
    <w:p w14:paraId="7199B496" w14:textId="77777777" w:rsidR="00592197" w:rsidRDefault="00592197" w:rsidP="00751876">
      <w:pPr>
        <w:spacing w:line="276" w:lineRule="auto"/>
        <w:ind w:firstLine="567"/>
        <w:contextualSpacing/>
        <w:jc w:val="both"/>
      </w:pPr>
    </w:p>
    <w:p w14:paraId="71476EB0" w14:textId="69EE57C7" w:rsidR="00091E94" w:rsidRDefault="005A5FEC" w:rsidP="00751876">
      <w:pPr>
        <w:spacing w:line="276" w:lineRule="auto"/>
        <w:ind w:firstLine="567"/>
        <w:contextualSpacing/>
        <w:jc w:val="both"/>
      </w:pPr>
      <w:r>
        <w:t>[</w:t>
      </w:r>
      <w:r w:rsidR="00B43B2A">
        <w:t>11</w:t>
      </w:r>
      <w:r>
        <w:t>] </w:t>
      </w:r>
      <w:r w:rsidR="00D57843">
        <w:t>T</w:t>
      </w:r>
      <w:r w:rsidR="00091E94">
        <w:t>iesa</w:t>
      </w:r>
      <w:r w:rsidR="00263247">
        <w:t>s spriedumā nav norādīti apstākļi, kas apliecinātu strīdus darījuma faktisko neesību. Tāpat spriedumā</w:t>
      </w:r>
      <w:r w:rsidR="00091E94">
        <w:t xml:space="preserve"> nav norādī</w:t>
      </w:r>
      <w:r w:rsidR="00263247">
        <w:t>t</w:t>
      </w:r>
      <w:r w:rsidR="00091E94">
        <w:t>s nedz uz SIA </w:t>
      </w:r>
      <w:r w:rsidR="00091E94" w:rsidRPr="007D4A2B">
        <w:t>„</w:t>
      </w:r>
      <w:proofErr w:type="spellStart"/>
      <w:r w:rsidR="00091E94">
        <w:t>SalixPro</w:t>
      </w:r>
      <w:proofErr w:type="spellEnd"/>
      <w:r w:rsidR="00091E94">
        <w:t xml:space="preserve">”, nedz uz pieteicējas fiktīvo raksturu. </w:t>
      </w:r>
      <w:r w:rsidR="00263247">
        <w:t>Spriedumā nav arī</w:t>
      </w:r>
      <w:r w:rsidR="00091E94">
        <w:t xml:space="preserve"> konstatē</w:t>
      </w:r>
      <w:r w:rsidR="00263247">
        <w:t>ts</w:t>
      </w:r>
      <w:r w:rsidR="00091E94">
        <w:t>, ka SIA </w:t>
      </w:r>
      <w:r w:rsidR="00091E94" w:rsidRPr="007D4A2B">
        <w:t>„</w:t>
      </w:r>
      <w:proofErr w:type="spellStart"/>
      <w:r w:rsidR="00091E94">
        <w:t>SalixPro</w:t>
      </w:r>
      <w:proofErr w:type="spellEnd"/>
      <w:r w:rsidR="00091E94">
        <w:t>” tika nodibināta vai izmantota vienīgi strīdus t</w:t>
      </w:r>
      <w:r w:rsidR="00217108">
        <w:t>raktort</w:t>
      </w:r>
      <w:r w:rsidR="00091E94">
        <w:t>ehnikas pārdošanas starpniecības darījum</w:t>
      </w:r>
      <w:r w:rsidR="00101AAF">
        <w:t>a īstenošanai</w:t>
      </w:r>
      <w:r w:rsidR="00091E94">
        <w:t>. Tieši pretēji – </w:t>
      </w:r>
      <w:r w:rsidR="006A2175">
        <w:t xml:space="preserve">no </w:t>
      </w:r>
      <w:r w:rsidR="00091E94">
        <w:t>tiesas spriedumā norādīt</w:t>
      </w:r>
      <w:r w:rsidR="006A2175">
        <w:t>ā izriet</w:t>
      </w:r>
      <w:r w:rsidR="00091E94">
        <w:t>, ka SIA </w:t>
      </w:r>
      <w:r w:rsidR="00091E94" w:rsidRPr="007D4A2B">
        <w:t>„</w:t>
      </w:r>
      <w:proofErr w:type="spellStart"/>
      <w:r w:rsidR="00091E94">
        <w:t>SalixPro</w:t>
      </w:r>
      <w:proofErr w:type="spellEnd"/>
      <w:r w:rsidR="00091E94">
        <w:t>” strīdus traktortehniku</w:t>
      </w:r>
      <w:r w:rsidR="00B15B45">
        <w:t>, pirms tā tika pārdota</w:t>
      </w:r>
      <w:r w:rsidR="006A2175">
        <w:t xml:space="preserve"> pieteicējai</w:t>
      </w:r>
      <w:r w:rsidR="00B15B45">
        <w:t>,</w:t>
      </w:r>
      <w:r w:rsidR="00091E94">
        <w:t xml:space="preserve"> izmantoja savā saimnieciskajā darbībā apmēram divus gadus. </w:t>
      </w:r>
      <w:r w:rsidR="005A5C65">
        <w:t>A</w:t>
      </w:r>
      <w:r w:rsidR="00091E94">
        <w:t xml:space="preserve">rī </w:t>
      </w:r>
      <w:r w:rsidR="00D57843">
        <w:t xml:space="preserve">pieteicēja tika nodibināta, un </w:t>
      </w:r>
      <w:r w:rsidR="00C70007">
        <w:t xml:space="preserve">[pers. A] </w:t>
      </w:r>
      <w:r w:rsidR="00D57843">
        <w:t xml:space="preserve">kļuva par tās amatpersonu </w:t>
      </w:r>
      <w:r w:rsidR="00091E94">
        <w:t>tikai apmēram divus gadus pēc tam, kad SIA </w:t>
      </w:r>
      <w:r w:rsidR="00091E94" w:rsidRPr="007D4A2B">
        <w:t>„</w:t>
      </w:r>
      <w:proofErr w:type="spellStart"/>
      <w:r w:rsidR="00091E94">
        <w:t>SalixPro</w:t>
      </w:r>
      <w:proofErr w:type="spellEnd"/>
      <w:r w:rsidR="00091E94">
        <w:t>” iegādājās strīdus traktortehniku</w:t>
      </w:r>
      <w:r w:rsidR="003F52AB">
        <w:t>,</w:t>
      </w:r>
      <w:r w:rsidR="00091E94">
        <w:t xml:space="preserve"> un </w:t>
      </w:r>
      <w:r w:rsidR="003F52AB">
        <w:t xml:space="preserve">pēc tam, kad </w:t>
      </w:r>
      <w:r w:rsidR="00091E94">
        <w:t xml:space="preserve">par labu </w:t>
      </w:r>
      <w:r w:rsidR="00C70007">
        <w:t xml:space="preserve">[pers. A] </w:t>
      </w:r>
      <w:r w:rsidR="00091E94">
        <w:t xml:space="preserve">tika reģistrēta komercķīla. </w:t>
      </w:r>
      <w:r w:rsidR="00860E81">
        <w:t>N</w:t>
      </w:r>
      <w:r w:rsidR="005A5C65">
        <w:t>o</w:t>
      </w:r>
      <w:r w:rsidR="00091E94">
        <w:t xml:space="preserve"> tiesas spriedum</w:t>
      </w:r>
      <w:r w:rsidR="00FA6E4A">
        <w:t>ā norādītā</w:t>
      </w:r>
      <w:r w:rsidR="00091E94">
        <w:t xml:space="preserve"> arī izriet, ka pieteicēja strīdus </w:t>
      </w:r>
      <w:r w:rsidR="00084CB0">
        <w:t>traktort</w:t>
      </w:r>
      <w:r w:rsidR="00091E94">
        <w:t xml:space="preserve">ehniku ir izmantojusi </w:t>
      </w:r>
      <w:r w:rsidR="00101AAF">
        <w:t xml:space="preserve">savā saimnieciskajā darbībā </w:t>
      </w:r>
      <w:r w:rsidR="00091E94">
        <w:t>ar pievienotās vērtības nodokli apliekamo darījumu nodrošināšanai.</w:t>
      </w:r>
    </w:p>
    <w:p w14:paraId="444937C8" w14:textId="4B1C0539" w:rsidR="003066CA" w:rsidRPr="00646060" w:rsidRDefault="005A5FEC" w:rsidP="00751876">
      <w:pPr>
        <w:spacing w:line="276" w:lineRule="auto"/>
        <w:ind w:firstLine="567"/>
        <w:contextualSpacing/>
        <w:jc w:val="both"/>
        <w:rPr>
          <w:i/>
          <w:iCs/>
        </w:rPr>
      </w:pPr>
      <w:r>
        <w:t>S</w:t>
      </w:r>
      <w:r w:rsidR="00FA6E4A">
        <w:t>enāts</w:t>
      </w:r>
      <w:r w:rsidR="009F3A5D">
        <w:t xml:space="preserve"> </w:t>
      </w:r>
      <w:r w:rsidR="000967FF">
        <w:t xml:space="preserve">piekrīt pieteicējai, </w:t>
      </w:r>
      <w:r w:rsidR="00635B32">
        <w:t xml:space="preserve">ka šie apstākļi </w:t>
      </w:r>
      <w:r w:rsidR="000967FF">
        <w:t xml:space="preserve">bez </w:t>
      </w:r>
      <w:r w:rsidR="00635B32">
        <w:t>atbilstoša izsk</w:t>
      </w:r>
      <w:r w:rsidR="00AC4B02">
        <w:t>aidrojuma un argumentiem</w:t>
      </w:r>
      <w:r w:rsidR="00406AE6">
        <w:t xml:space="preserve"> nenorāda uz </w:t>
      </w:r>
      <w:proofErr w:type="spellStart"/>
      <w:r w:rsidR="00406AE6">
        <w:t>simulatīvu</w:t>
      </w:r>
      <w:proofErr w:type="spellEnd"/>
      <w:r w:rsidR="00406AE6">
        <w:t xml:space="preserve"> darījumu</w:t>
      </w:r>
      <w:r>
        <w:t xml:space="preserve">. </w:t>
      </w:r>
      <w:r w:rsidR="00EC4C48">
        <w:t>Apgalvojot</w:t>
      </w:r>
      <w:r w:rsidR="00AC4B02">
        <w:t xml:space="preserve">, ka </w:t>
      </w:r>
      <w:r w:rsidR="00635B32">
        <w:t xml:space="preserve">strīdus </w:t>
      </w:r>
      <w:r w:rsidR="00AC4B02">
        <w:t xml:space="preserve">darījums ir </w:t>
      </w:r>
      <w:proofErr w:type="spellStart"/>
      <w:r w:rsidR="00AC4B02">
        <w:t>simulatīvs</w:t>
      </w:r>
      <w:proofErr w:type="spellEnd"/>
      <w:r w:rsidR="00AC4B02">
        <w:t>,</w:t>
      </w:r>
      <w:r w:rsidR="00FA6E4A">
        <w:t xml:space="preserve"> </w:t>
      </w:r>
      <w:r>
        <w:t xml:space="preserve">apgabaltiesai </w:t>
      </w:r>
      <w:r w:rsidR="00FA6E4A">
        <w:t>bija j</w:t>
      </w:r>
      <w:r w:rsidR="009F3A5D">
        <w:t>āpamato, kādi tieši apstākļi</w:t>
      </w:r>
      <w:r w:rsidR="00AC4B02">
        <w:t xml:space="preserve"> par to liecina un kādi apstākļi norāda uz to, ka š</w:t>
      </w:r>
      <w:r w:rsidR="00323C52">
        <w:t>ī</w:t>
      </w:r>
      <w:r w:rsidR="00AC4B02">
        <w:t xml:space="preserve"> darījuma </w:t>
      </w:r>
      <w:r w:rsidR="003D57E0">
        <w:t xml:space="preserve">aizsegā darījuma dalībnieki centušies panākt </w:t>
      </w:r>
      <w:r w:rsidR="00431593">
        <w:t xml:space="preserve">vienīgi </w:t>
      </w:r>
      <w:r w:rsidR="003D57E0">
        <w:t xml:space="preserve">nepamatota fiskāla labuma nodrošināšanu pieteicējai. </w:t>
      </w:r>
      <w:r w:rsidR="00C328E5">
        <w:t>Taču š</w:t>
      </w:r>
      <w:r w:rsidR="001F6FFD">
        <w:t xml:space="preserve">āds pamatojums tiesas spriedumā nav atrodams. </w:t>
      </w:r>
      <w:bookmarkStart w:id="9" w:name="_Hlk115083266"/>
      <w:r w:rsidR="005719FD">
        <w:t xml:space="preserve">Tāpat tiesas spriedumā nav atrodams vērtējums pieteicējas paskaidrojumiem, ka </w:t>
      </w:r>
      <w:r w:rsidR="0044026F">
        <w:t xml:space="preserve">pieteicēja tika nodibināta un </w:t>
      </w:r>
      <w:r w:rsidR="005719FD">
        <w:t>strīdus traktortehnika</w:t>
      </w:r>
      <w:r w:rsidR="0044026F">
        <w:t>s pirkuma – pārdevuma līgums ar tajā paredzētajiem noteikumiem tika noslēgts nevis tāpēc, lai pieteicējai radītu pamatu atskaitīt priekšnodokli, bet gan tāpēc, lai</w:t>
      </w:r>
      <w:r w:rsidR="00C70007">
        <w:t xml:space="preserve"> [pers. A]</w:t>
      </w:r>
      <w:r w:rsidR="00323C52">
        <w:t>,</w:t>
      </w:r>
      <w:r w:rsidR="0044026F">
        <w:t xml:space="preserve"> kā SIA </w:t>
      </w:r>
      <w:r w:rsidR="003C7D4D" w:rsidRPr="007D4A2B">
        <w:t>„</w:t>
      </w:r>
      <w:proofErr w:type="spellStart"/>
      <w:r w:rsidR="0044026F">
        <w:t>SalixPro</w:t>
      </w:r>
      <w:proofErr w:type="spellEnd"/>
      <w:r w:rsidR="0044026F">
        <w:t xml:space="preserve">” </w:t>
      </w:r>
      <w:r w:rsidR="00AC4B02">
        <w:t>kreditors</w:t>
      </w:r>
      <w:r w:rsidR="00323C52">
        <w:t>,</w:t>
      </w:r>
      <w:r w:rsidR="00AC4B02">
        <w:t xml:space="preserve"> </w:t>
      </w:r>
      <w:r w:rsidR="0044026F">
        <w:t>atgūt</w:t>
      </w:r>
      <w:r w:rsidR="004D1D2F">
        <w:t>u</w:t>
      </w:r>
      <w:r w:rsidR="0044026F">
        <w:t xml:space="preserve"> aizdotos naudas līdzekļus. </w:t>
      </w:r>
      <w:bookmarkEnd w:id="9"/>
      <w:r w:rsidR="0044026F">
        <w:t xml:space="preserve">Tiesas spriedumā nav vērtēta arī pieteicējas pamatotā norāde, ka </w:t>
      </w:r>
      <w:r w:rsidR="00406AE6">
        <w:t xml:space="preserve">priekšnodoklis būtu atskaitāms </w:t>
      </w:r>
      <w:r w:rsidR="0044026F">
        <w:t xml:space="preserve">arī tad, ja traktortehnika tiktu pārdota </w:t>
      </w:r>
      <w:r w:rsidR="00C328E5">
        <w:t xml:space="preserve">nevis pieteicējai, bet gan </w:t>
      </w:r>
      <w:r w:rsidR="0044026F">
        <w:t>citai ar pievienotās vērtības nodokli apliekamai personai.</w:t>
      </w:r>
      <w:r w:rsidR="00AE3336">
        <w:t xml:space="preserve"> </w:t>
      </w:r>
      <w:r w:rsidR="00B03C64">
        <w:t xml:space="preserve">Kā pareizi norādījusi pieteicēja, </w:t>
      </w:r>
      <w:r w:rsidR="0065697E">
        <w:t>no apgabaltiesas sprieduma</w:t>
      </w:r>
      <w:r w:rsidR="00AE3336">
        <w:t xml:space="preserve"> </w:t>
      </w:r>
      <w:r w:rsidR="0065697E">
        <w:t xml:space="preserve">nav </w:t>
      </w:r>
      <w:r w:rsidR="00DF30DF">
        <w:t xml:space="preserve">arī </w:t>
      </w:r>
      <w:r w:rsidR="0065697E">
        <w:t xml:space="preserve">saprotams, kāpēc apgabaltiesa nav nošķīrusi </w:t>
      </w:r>
      <w:r w:rsidR="00751876">
        <w:t xml:space="preserve">[pers. A] </w:t>
      </w:r>
      <w:r w:rsidR="00B03C64">
        <w:t>kā fizisko personu</w:t>
      </w:r>
      <w:r w:rsidR="00E858F8">
        <w:t xml:space="preserve"> (</w:t>
      </w:r>
      <w:r w:rsidR="00B03C64">
        <w:t>SIA </w:t>
      </w:r>
      <w:r w:rsidR="00B03C64" w:rsidRPr="007D4A2B">
        <w:t>„</w:t>
      </w:r>
      <w:proofErr w:type="spellStart"/>
      <w:r w:rsidR="00B03C64">
        <w:t>SalixPro</w:t>
      </w:r>
      <w:proofErr w:type="spellEnd"/>
      <w:r w:rsidR="00B03C64">
        <w:t>” kreditoru</w:t>
      </w:r>
      <w:r w:rsidR="00E858F8">
        <w:t>)</w:t>
      </w:r>
      <w:r w:rsidR="00B03C64">
        <w:t>, SIA </w:t>
      </w:r>
      <w:r w:rsidR="00B03C64" w:rsidRPr="007D4A2B">
        <w:t>„</w:t>
      </w:r>
      <w:proofErr w:type="spellStart"/>
      <w:r w:rsidR="00B03C64">
        <w:t>SalixPro</w:t>
      </w:r>
      <w:proofErr w:type="spellEnd"/>
      <w:r w:rsidR="00B03C64">
        <w:t>” kā strīdus traktortehnikas īpašnieku un pārdevēju un pieteicēju kā strīdus traktortehnikas pircēju. Tā kā tiesa nav apšaubījusi, ka strīdus traktortehnika, pirms tā tika pārdota pieteicējai, bija SIA </w:t>
      </w:r>
      <w:r w:rsidR="00B03C64" w:rsidRPr="007D4A2B">
        <w:t>„</w:t>
      </w:r>
      <w:proofErr w:type="spellStart"/>
      <w:r w:rsidR="00B03C64">
        <w:t>SalixPro</w:t>
      </w:r>
      <w:proofErr w:type="spellEnd"/>
      <w:r w:rsidR="00B03C64">
        <w:t>” īpašumā un atradās tās rīcībā</w:t>
      </w:r>
      <w:r w:rsidR="0065697E">
        <w:t xml:space="preserve"> aptuveni divus gadus</w:t>
      </w:r>
      <w:r w:rsidR="00B03C64">
        <w:t>, jāpiekrīt pieteicējai, ka nav saprotams</w:t>
      </w:r>
      <w:r w:rsidR="00406AE6">
        <w:t xml:space="preserve"> arī tas</w:t>
      </w:r>
      <w:r w:rsidR="00B03C64">
        <w:t xml:space="preserve">, pamatojoties uz kādiem </w:t>
      </w:r>
      <w:r w:rsidR="00425262">
        <w:t xml:space="preserve">apstākļiem un </w:t>
      </w:r>
      <w:r w:rsidR="00B03C64">
        <w:t>pierādījumiem, tiesa secināja, ka strīdus traktortehnikas pārdevējs faktiski bija</w:t>
      </w:r>
      <w:r w:rsidR="00751876">
        <w:t xml:space="preserve"> [pers. A]</w:t>
      </w:r>
      <w:r w:rsidR="00272F83">
        <w:t xml:space="preserve">, bet </w:t>
      </w:r>
      <w:r w:rsidR="00B03C64">
        <w:t>SIA </w:t>
      </w:r>
      <w:r w:rsidR="00B03C64" w:rsidRPr="007D4A2B">
        <w:t>„</w:t>
      </w:r>
      <w:proofErr w:type="spellStart"/>
      <w:r w:rsidR="00B03C64">
        <w:t>SalixPro</w:t>
      </w:r>
      <w:proofErr w:type="spellEnd"/>
      <w:r w:rsidR="00B03C64">
        <w:t>”</w:t>
      </w:r>
      <w:r w:rsidR="00272F83">
        <w:t xml:space="preserve"> pirkuma līgumā</w:t>
      </w:r>
      <w:r w:rsidR="00B03C64">
        <w:t xml:space="preserve"> </w:t>
      </w:r>
      <w:r w:rsidR="00272F83">
        <w:t xml:space="preserve">tika norādīta </w:t>
      </w:r>
      <w:r w:rsidR="00B03C64">
        <w:t>mākslīgi</w:t>
      </w:r>
      <w:r w:rsidR="00272F83">
        <w:t xml:space="preserve">. </w:t>
      </w:r>
      <w:r w:rsidR="00B03C64">
        <w:t>Tā kā strīdus traktortehnika piederēja SIA </w:t>
      </w:r>
      <w:r w:rsidR="00B03C64" w:rsidRPr="007D4A2B">
        <w:t>„</w:t>
      </w:r>
      <w:proofErr w:type="spellStart"/>
      <w:r w:rsidR="00B03C64">
        <w:t>SalixPro</w:t>
      </w:r>
      <w:proofErr w:type="spellEnd"/>
      <w:r w:rsidR="003D45D8">
        <w:t>”,</w:t>
      </w:r>
      <w:r w:rsidR="00B03C64">
        <w:t xml:space="preserve"> tad tikai SIA </w:t>
      </w:r>
      <w:r w:rsidR="00B03C64" w:rsidRPr="007D4A2B">
        <w:t>„</w:t>
      </w:r>
      <w:proofErr w:type="spellStart"/>
      <w:r w:rsidR="00B03C64">
        <w:t>SalixPro</w:t>
      </w:r>
      <w:proofErr w:type="spellEnd"/>
      <w:r w:rsidR="00B03C64">
        <w:t xml:space="preserve">” </w:t>
      </w:r>
      <w:r w:rsidR="003D45D8">
        <w:t xml:space="preserve">kā īpašniece </w:t>
      </w:r>
      <w:r w:rsidR="00B03C64">
        <w:t xml:space="preserve">bija tiesīga </w:t>
      </w:r>
      <w:r w:rsidR="00E858F8">
        <w:t xml:space="preserve">to </w:t>
      </w:r>
      <w:r w:rsidR="003D45D8">
        <w:t>pārdot</w:t>
      </w:r>
      <w:r w:rsidR="00B03C64">
        <w:t>.</w:t>
      </w:r>
      <w:r w:rsidR="003D45D8">
        <w:t xml:space="preserve"> Tas, ka </w:t>
      </w:r>
      <w:r w:rsidR="00751876">
        <w:t xml:space="preserve">[pers. A] </w:t>
      </w:r>
      <w:r w:rsidR="003D45D8">
        <w:t>strīdus traktortehnikas pirkšanas – pārdošanas līgumā norādīts ne vien kā komercķīlas ņēmējs, bet arī kā SIA </w:t>
      </w:r>
      <w:r w:rsidR="003C7D4D" w:rsidRPr="007D4A2B">
        <w:t>„</w:t>
      </w:r>
      <w:proofErr w:type="spellStart"/>
      <w:r w:rsidR="003D45D8">
        <w:t>SalixPro</w:t>
      </w:r>
      <w:proofErr w:type="spellEnd"/>
      <w:r w:rsidR="003D45D8">
        <w:t xml:space="preserve">” pārstāvis, pats par sevi nenozīmē, ka strīdus traktortehniku pārdeva </w:t>
      </w:r>
      <w:r w:rsidR="00751876">
        <w:t xml:space="preserve">[pers. A] </w:t>
      </w:r>
      <w:r w:rsidR="003D45D8">
        <w:t xml:space="preserve">kā fiziskā persona, jo </w:t>
      </w:r>
      <w:r w:rsidR="00751876">
        <w:t xml:space="preserve">[pers. A] </w:t>
      </w:r>
      <w:r w:rsidR="003D45D8">
        <w:t xml:space="preserve">bija </w:t>
      </w:r>
      <w:r w:rsidR="008529AE">
        <w:t xml:space="preserve">viena no </w:t>
      </w:r>
      <w:r w:rsidR="003D45D8">
        <w:t>SIA </w:t>
      </w:r>
      <w:r w:rsidR="003C7D4D" w:rsidRPr="007D4A2B">
        <w:t>„</w:t>
      </w:r>
      <w:proofErr w:type="spellStart"/>
      <w:r w:rsidR="003D45D8">
        <w:t>SalixPro</w:t>
      </w:r>
      <w:proofErr w:type="spellEnd"/>
      <w:r w:rsidR="003D45D8">
        <w:t xml:space="preserve">” </w:t>
      </w:r>
      <w:r w:rsidR="003D45D8" w:rsidRPr="00592197">
        <w:t xml:space="preserve">amatpersonām. </w:t>
      </w:r>
      <w:r w:rsidR="00B03E9B" w:rsidRPr="00592197">
        <w:t>Vienlaikus n</w:t>
      </w:r>
      <w:r w:rsidR="008529AE" w:rsidRPr="00592197">
        <w:t xml:space="preserve">o ierakstiem Komercreģistrā izriet, ka </w:t>
      </w:r>
      <w:r w:rsidR="00751876">
        <w:t xml:space="preserve">[pers. A] </w:t>
      </w:r>
      <w:r w:rsidR="008529AE" w:rsidRPr="00592197">
        <w:t xml:space="preserve">nebija tiesīgs vienpersoniski pārstāvēt </w:t>
      </w:r>
      <w:r w:rsidR="008529AE" w:rsidRPr="00592197">
        <w:lastRenderedPageBreak/>
        <w:t>SIA </w:t>
      </w:r>
      <w:r w:rsidR="003C7D4D" w:rsidRPr="00592197">
        <w:t>„</w:t>
      </w:r>
      <w:proofErr w:type="spellStart"/>
      <w:r w:rsidR="008529AE" w:rsidRPr="00592197">
        <w:t>SalixPro</w:t>
      </w:r>
      <w:proofErr w:type="spellEnd"/>
      <w:r w:rsidR="008529AE" w:rsidRPr="00592197">
        <w:t xml:space="preserve">”. Taču apgabaltiesas spriedumā šim apstāklim nav piešķirta vērība, vērtējot </w:t>
      </w:r>
      <w:r w:rsidR="007D4316">
        <w:t xml:space="preserve">to kontekstā ar komercsabiedrības dibināšanas un </w:t>
      </w:r>
      <w:r w:rsidR="008529AE" w:rsidRPr="00592197">
        <w:t>strīdus traktortehnikas pārdošanas darījum</w:t>
      </w:r>
      <w:r w:rsidR="00272F83" w:rsidRPr="00592197">
        <w:t>a nolūk</w:t>
      </w:r>
      <w:r w:rsidR="007D4316">
        <w:t>iem un to, vai minēto iemeslu dēļ darījums nav atzīstams par tādu, ko īstenojusi fiziskā persona</w:t>
      </w:r>
      <w:r w:rsidR="008529AE" w:rsidRPr="00592197">
        <w:t>. Tā vietā apgabaltiesa</w:t>
      </w:r>
      <w:r w:rsidR="008529AE">
        <w:t xml:space="preserve"> pievērsusies </w:t>
      </w:r>
      <w:r w:rsidR="00751876">
        <w:t xml:space="preserve">[pers. A] </w:t>
      </w:r>
      <w:r w:rsidR="008529AE">
        <w:t xml:space="preserve">kā komercķīlas tiesību izlietotāja darbībām, vērtējot to atbilstību Komercķīlas likumam, taču apgabaltiesa nav izskaidrojusi, kā </w:t>
      </w:r>
      <w:r w:rsidR="00DF30DF">
        <w:t>pieteicējas darījuma partneru d</w:t>
      </w:r>
      <w:r w:rsidR="008529AE">
        <w:t xml:space="preserve">arbības, kas apgabaltiesas ieskatā neatbilst Komercķīlas </w:t>
      </w:r>
      <w:r w:rsidR="005B34DD">
        <w:t xml:space="preserve">likuma </w:t>
      </w:r>
      <w:r w:rsidR="005B34DD" w:rsidRPr="00BA3E66">
        <w:t>normām, ietekmē pieteicējas Pievienotās vērtības nodokļa likumā paredzētās priekšnodokļa atskaitīšanas tiesības.</w:t>
      </w:r>
      <w:r w:rsidR="003066CA" w:rsidRPr="00BA3E66">
        <w:t xml:space="preserve"> Šeit arī atgādināms jau iepriekš Senāta judikatūrā atzītais</w:t>
      </w:r>
      <w:r w:rsidR="004D1D2F">
        <w:t>: tas</w:t>
      </w:r>
      <w:r w:rsidR="003066CA" w:rsidRPr="00BA3E66">
        <w:t>, ka</w:t>
      </w:r>
      <w:r w:rsidR="003066CA" w:rsidRPr="003066CA">
        <w:rPr>
          <w:rFonts w:eastAsiaTheme="minorEastAsia"/>
          <w:color w:val="000000" w:themeColor="text1"/>
          <w:kern w:val="24"/>
          <w:lang w:eastAsia="lv-LV"/>
        </w:rPr>
        <w:t xml:space="preserve"> strīdus darījumu rezultātā, iespējams, ir pārkāptas kādas darījuma dalībnieku privāttiesiskās saistības, nenozīmē, ka šo darījumu mērķis ir krāpšana pievienotās vērtības nodokļa jomā</w:t>
      </w:r>
      <w:r w:rsidR="00BA3E66">
        <w:rPr>
          <w:rFonts w:eastAsiaTheme="minorEastAsia"/>
          <w:color w:val="000000" w:themeColor="text1"/>
          <w:kern w:val="24"/>
          <w:lang w:eastAsia="lv-LV"/>
        </w:rPr>
        <w:t xml:space="preserve"> (</w:t>
      </w:r>
      <w:r w:rsidR="003C7D4D" w:rsidRPr="003C7D4D">
        <w:rPr>
          <w:i/>
          <w:iCs/>
        </w:rPr>
        <w:t>Senāta 2020.gada 21.aprīļa sprieduma lietā Nr.</w:t>
      </w:r>
      <w:r w:rsidR="003C7D4D">
        <w:rPr>
          <w:i/>
          <w:iCs/>
        </w:rPr>
        <w:t> </w:t>
      </w:r>
      <w:r w:rsidR="003C7D4D" w:rsidRPr="003C7D4D">
        <w:rPr>
          <w:i/>
          <w:iCs/>
        </w:rPr>
        <w:t>SKA-487/2020 (</w:t>
      </w:r>
      <w:hyperlink r:id="rId10" w:history="1">
        <w:r w:rsidR="00646060" w:rsidRPr="00646060">
          <w:rPr>
            <w:rStyle w:val="Hyperlink"/>
            <w:i/>
            <w:iCs/>
            <w:color w:val="000000" w:themeColor="text1"/>
            <w:u w:val="none"/>
          </w:rPr>
          <w:t>ECLI:LV:AT:2021:1222.A420183117.17.S</w:t>
        </w:r>
      </w:hyperlink>
      <w:r w:rsidR="003C7D4D" w:rsidRPr="003C7D4D">
        <w:rPr>
          <w:i/>
          <w:iCs/>
        </w:rPr>
        <w:t>) 7.punkts</w:t>
      </w:r>
      <w:r w:rsidR="003C7D4D">
        <w:t>)</w:t>
      </w:r>
      <w:r w:rsidR="00BA3E66">
        <w:rPr>
          <w:rFonts w:eastAsiaTheme="minorEastAsia"/>
          <w:color w:val="000000" w:themeColor="text1"/>
          <w:kern w:val="24"/>
          <w:lang w:eastAsia="lv-LV"/>
        </w:rPr>
        <w:t>.</w:t>
      </w:r>
    </w:p>
    <w:p w14:paraId="714947E5" w14:textId="47EDB9DD" w:rsidR="005B34DD" w:rsidRDefault="005B34DD" w:rsidP="00751876">
      <w:pPr>
        <w:spacing w:line="276" w:lineRule="auto"/>
        <w:ind w:firstLine="567"/>
        <w:contextualSpacing/>
        <w:jc w:val="both"/>
      </w:pPr>
    </w:p>
    <w:p w14:paraId="331C0A6A" w14:textId="04928627" w:rsidR="00B03C64" w:rsidRDefault="00BA3E66" w:rsidP="00751876">
      <w:pPr>
        <w:spacing w:line="276" w:lineRule="auto"/>
        <w:ind w:firstLine="567"/>
        <w:contextualSpacing/>
        <w:jc w:val="both"/>
      </w:pPr>
      <w:r>
        <w:t>[</w:t>
      </w:r>
      <w:r w:rsidR="00B43B2A">
        <w:t>12</w:t>
      </w:r>
      <w:r>
        <w:t>] </w:t>
      </w:r>
      <w:r w:rsidR="005B34DD">
        <w:t xml:space="preserve">Apgabaltiesas spriedumā nav ņemts vērā arī tas, ka </w:t>
      </w:r>
      <w:r w:rsidR="00B03C64">
        <w:t xml:space="preserve">atbilstoši Pievienotās vērtības nodokļa likuma </w:t>
      </w:r>
      <w:proofErr w:type="gramStart"/>
      <w:r w:rsidR="00B03C64">
        <w:t>92.panta</w:t>
      </w:r>
      <w:proofErr w:type="gramEnd"/>
      <w:r w:rsidR="00B03C64">
        <w:t xml:space="preserve"> pirmās daļas 1.punktam priekšnodokļa atskaitīšan</w:t>
      </w:r>
      <w:r w:rsidR="0065697E">
        <w:t>u</w:t>
      </w:r>
      <w:r w:rsidR="00B03C64">
        <w:t xml:space="preserve"> pamatojošais dokuments primāri ir likuma prasībām atbilstošs nodokļa rēķins</w:t>
      </w:r>
      <w:r w:rsidR="005B34DD">
        <w:t>. Tas nozīmē, ka</w:t>
      </w:r>
      <w:r w:rsidR="00B03C64">
        <w:t xml:space="preserve"> tiesai</w:t>
      </w:r>
      <w:r w:rsidR="005B34DD">
        <w:t>, vērtējot pieteicējas priekšnodokļa atskaitīšanas tiesības,</w:t>
      </w:r>
      <w:r w:rsidR="00B03C64">
        <w:t xml:space="preserve"> kopsakarā ar pārējiem darījuma dokumentiem bija jāizvērtē pieteicējas iesniegt</w:t>
      </w:r>
      <w:r w:rsidR="004D1D2F">
        <w:t>ais</w:t>
      </w:r>
      <w:r w:rsidR="00B03C64">
        <w:t xml:space="preserve"> nodokļa rēķin</w:t>
      </w:r>
      <w:r w:rsidR="004D1D2F">
        <w:t>s</w:t>
      </w:r>
      <w:r w:rsidR="00B03C64">
        <w:t xml:space="preserve"> un jāno</w:t>
      </w:r>
      <w:r w:rsidR="004E4BC0">
        <w:t xml:space="preserve">skaidro, vai </w:t>
      </w:r>
      <w:r w:rsidR="00B03E9B">
        <w:t>taj</w:t>
      </w:r>
      <w:r w:rsidR="004D1D2F">
        <w:t>ā</w:t>
      </w:r>
      <w:r w:rsidR="00B03C64">
        <w:t xml:space="preserve"> </w:t>
      </w:r>
      <w:r w:rsidR="0065697E">
        <w:t>minētā</w:t>
      </w:r>
      <w:r w:rsidR="00B03C64">
        <w:t xml:space="preserve"> informācija </w:t>
      </w:r>
      <w:r w:rsidR="00272F83">
        <w:t xml:space="preserve">atbilst </w:t>
      </w:r>
      <w:r w:rsidR="0065697E">
        <w:t xml:space="preserve">darījuma </w:t>
      </w:r>
      <w:r w:rsidR="004E4BC0">
        <w:t xml:space="preserve">faktiskajiem </w:t>
      </w:r>
      <w:r w:rsidR="005B34DD">
        <w:t>apstākļiem</w:t>
      </w:r>
      <w:r w:rsidR="0065697E">
        <w:t xml:space="preserve">. </w:t>
      </w:r>
      <w:r w:rsidR="00B03C64">
        <w:t>Taču tiesas spriedumā nav atrodams SIA </w:t>
      </w:r>
      <w:r w:rsidR="00B03C64" w:rsidRPr="007D4A2B">
        <w:t>„</w:t>
      </w:r>
      <w:proofErr w:type="spellStart"/>
      <w:r w:rsidR="00B03C64">
        <w:t>SalixPro</w:t>
      </w:r>
      <w:proofErr w:type="spellEnd"/>
      <w:r w:rsidR="00B03C64">
        <w:t>” pieteicējai izrakstīt</w:t>
      </w:r>
      <w:r w:rsidR="00DE74F4">
        <w:t>ā</w:t>
      </w:r>
      <w:r w:rsidR="00B03C64">
        <w:t xml:space="preserve"> nodokļa rēķin</w:t>
      </w:r>
      <w:r w:rsidR="00DE74F4">
        <w:t>a</w:t>
      </w:r>
      <w:r w:rsidR="005B34DD">
        <w:t xml:space="preserve"> </w:t>
      </w:r>
      <w:r w:rsidR="00B03C64">
        <w:t>novērtējums.</w:t>
      </w:r>
      <w:r w:rsidR="00D66C24" w:rsidRPr="00D66C24">
        <w:t xml:space="preserve"> </w:t>
      </w:r>
      <w:r w:rsidR="00D66C24">
        <w:t>Tiesas spriedumā, ievērojot tiesas norādi uz strīdus traktortehnikas izmantošanu pieteicējas saimnieciskajā darbībā ar nodokli apliekamo darījumu nodrošināšanai, nav atrodams vērtējums arī tam, ka pieteicēja līgumu ar citu k</w:t>
      </w:r>
      <w:r w:rsidR="00272F83">
        <w:t>omerc</w:t>
      </w:r>
      <w:r w:rsidR="00D66C24">
        <w:t>sabiedrību par tādu pakalpojumu sniegšanu, kam ir nepieciešama strīdus traktortehnika, noslēdza pirms strīdus traktortehnikas pirkuma līguma noslēgšanas un pirms SIA </w:t>
      </w:r>
      <w:r w:rsidR="00280C0E" w:rsidRPr="007D4A2B">
        <w:t>„</w:t>
      </w:r>
      <w:proofErr w:type="spellStart"/>
      <w:r w:rsidR="00D66C24">
        <w:t>SalixPro</w:t>
      </w:r>
      <w:proofErr w:type="spellEnd"/>
      <w:r w:rsidR="00D66C24">
        <w:t>” nodokļa rēķin</w:t>
      </w:r>
      <w:r w:rsidR="00DE74F4">
        <w:t>a</w:t>
      </w:r>
      <w:r w:rsidR="00D66C24">
        <w:t xml:space="preserve"> iz</w:t>
      </w:r>
      <w:r w:rsidR="00280C0E">
        <w:t>rakstīšanas</w:t>
      </w:r>
      <w:r w:rsidR="00D66C24">
        <w:t>.</w:t>
      </w:r>
    </w:p>
    <w:p w14:paraId="0A349C87" w14:textId="172658D6" w:rsidR="00BA3E66" w:rsidRDefault="0065697E" w:rsidP="00751876">
      <w:pPr>
        <w:spacing w:line="276" w:lineRule="auto"/>
        <w:ind w:firstLine="567"/>
        <w:contextualSpacing/>
        <w:jc w:val="both"/>
      </w:pPr>
      <w:r>
        <w:t>Tāpat tiesas spriedumā nav atrodams vērtējums</w:t>
      </w:r>
      <w:r w:rsidR="00F22800">
        <w:t xml:space="preserve">, </w:t>
      </w:r>
      <w:bookmarkStart w:id="10" w:name="_Hlk114908162"/>
      <w:r w:rsidR="00F22800">
        <w:t>vai k</w:t>
      </w:r>
      <w:r w:rsidR="00084CB0">
        <w:t>onkrētais darījums un tā izpilde ir bijusi netipiska un atšķirīga no ierastās komercprakses</w:t>
      </w:r>
      <w:r w:rsidR="005B34DD">
        <w:t>, kas</w:t>
      </w:r>
      <w:r w:rsidR="00425262">
        <w:t xml:space="preserve"> </w:t>
      </w:r>
      <w:r w:rsidR="00084CB0">
        <w:t>zināmos apstākļos var būt viens no elementiem, skaidrojot, vai</w:t>
      </w:r>
      <w:r w:rsidR="00DF30DF">
        <w:t xml:space="preserve"> darījums ir </w:t>
      </w:r>
      <w:proofErr w:type="spellStart"/>
      <w:r w:rsidR="00DF30DF">
        <w:t>simulatīvs</w:t>
      </w:r>
      <w:proofErr w:type="spellEnd"/>
      <w:r w:rsidR="00DF30DF">
        <w:t xml:space="preserve"> un vai</w:t>
      </w:r>
      <w:r w:rsidR="00084CB0">
        <w:t xml:space="preserve"> ir bijusi darījuma dalībnieku saskaņota rīcība tādai nodokļa sistēm</w:t>
      </w:r>
      <w:r w:rsidR="00425262">
        <w:t>a</w:t>
      </w:r>
      <w:r w:rsidR="00084CB0">
        <w:t>s izmantošanai, kas ir pretēja tās jēgai un mērķim</w:t>
      </w:r>
      <w:r w:rsidR="00425262">
        <w:t>.</w:t>
      </w:r>
    </w:p>
    <w:bookmarkEnd w:id="10"/>
    <w:p w14:paraId="4D05E5CD" w14:textId="764DCC26" w:rsidR="00BA3E66" w:rsidRDefault="00BA3E66" w:rsidP="00751876">
      <w:pPr>
        <w:spacing w:line="276" w:lineRule="auto"/>
        <w:ind w:firstLine="567"/>
        <w:contextualSpacing/>
        <w:jc w:val="both"/>
      </w:pPr>
    </w:p>
    <w:p w14:paraId="6B3FB43F" w14:textId="623AFE77" w:rsidR="00AE3336" w:rsidRDefault="00BA3E66" w:rsidP="00751876">
      <w:pPr>
        <w:spacing w:line="276" w:lineRule="auto"/>
        <w:ind w:firstLine="567"/>
        <w:contextualSpacing/>
        <w:jc w:val="both"/>
      </w:pPr>
      <w:r>
        <w:t>[</w:t>
      </w:r>
      <w:r w:rsidR="00B43B2A">
        <w:t>13</w:t>
      </w:r>
      <w:r>
        <w:t>] Rezumējot</w:t>
      </w:r>
      <w:r w:rsidR="00AE3336">
        <w:t xml:space="preserve"> minēto, Senāts atzīst, ka apgabaltiesas spriedumā norādītie apstākļi ir nepietiekami, lai atzītu strīdus darījuma</w:t>
      </w:r>
      <w:r w:rsidR="003D7D1E">
        <w:t xml:space="preserve"> </w:t>
      </w:r>
      <w:proofErr w:type="spellStart"/>
      <w:r w:rsidR="003D7D1E">
        <w:t>simulatīvo</w:t>
      </w:r>
      <w:proofErr w:type="spellEnd"/>
      <w:r w:rsidR="003D7D1E">
        <w:t xml:space="preserve"> raksturu un tā</w:t>
      </w:r>
      <w:r w:rsidR="00AE3336">
        <w:t xml:space="preserve"> dalībnie</w:t>
      </w:r>
      <w:r w:rsidR="00DA16F3">
        <w:t>ku saskaņotu darbību ar mērķi vienīgi radīt pieteicējai nepamatotas fiskālas priekšrocības atskaitāmā pievienotās vērtības nodokļa veidā.</w:t>
      </w:r>
    </w:p>
    <w:p w14:paraId="3BF7E43D" w14:textId="77777777" w:rsidR="00DA16F3" w:rsidRDefault="00DA16F3" w:rsidP="00751876">
      <w:pPr>
        <w:spacing w:line="276" w:lineRule="auto"/>
        <w:ind w:firstLine="567"/>
        <w:contextualSpacing/>
        <w:jc w:val="both"/>
      </w:pPr>
    </w:p>
    <w:p w14:paraId="035260C4" w14:textId="33A1BE3A" w:rsidR="00AC7CA3" w:rsidRDefault="00091E94" w:rsidP="00751876">
      <w:pPr>
        <w:spacing w:line="276" w:lineRule="auto"/>
        <w:ind w:firstLine="567"/>
        <w:contextualSpacing/>
        <w:jc w:val="both"/>
      </w:pPr>
      <w:r>
        <w:t>[</w:t>
      </w:r>
      <w:r w:rsidR="00B43B2A">
        <w:t>14</w:t>
      </w:r>
      <w:r>
        <w:t>] </w:t>
      </w:r>
      <w:r w:rsidR="00F22800">
        <w:t xml:space="preserve">Kā otrs arguments, kāpēc nav atzīstamas pieteicējas priekšnodokļa atskaitīšanas tiesības, tiesas </w:t>
      </w:r>
      <w:r>
        <w:t>spriedumā norādīts</w:t>
      </w:r>
      <w:r w:rsidR="00F22800">
        <w:t xml:space="preserve"> tas</w:t>
      </w:r>
      <w:r>
        <w:t>, ka SIA </w:t>
      </w:r>
      <w:r w:rsidRPr="007D4A2B">
        <w:t>„</w:t>
      </w:r>
      <w:proofErr w:type="spellStart"/>
      <w:r>
        <w:t>SalixPro</w:t>
      </w:r>
      <w:proofErr w:type="spellEnd"/>
      <w:r>
        <w:t>”</w:t>
      </w:r>
      <w:r w:rsidR="00D66C24">
        <w:t xml:space="preserve">, lai arī ir deklarējusi </w:t>
      </w:r>
      <w:r>
        <w:t>pievienotās vērtības nodokli par strīdus traktortehnik</w:t>
      </w:r>
      <w:r w:rsidR="00D66C24">
        <w:t>as pārdošanu, tomēr</w:t>
      </w:r>
      <w:r>
        <w:t xml:space="preserve"> valsts budžetā</w:t>
      </w:r>
      <w:r w:rsidR="00D66C24">
        <w:t xml:space="preserve"> nodokli</w:t>
      </w:r>
      <w:r>
        <w:t xml:space="preserve"> nav samaksājusi un arī nesamaksās, jo ir likvidēta, savukārt pieteicēja par strīdus traktortehniku ir atskaitījusi priekšnodokli. Tādējādi tiesas ieskatā valsts budžetam ir nodarīti zaudējumi.</w:t>
      </w:r>
    </w:p>
    <w:p w14:paraId="6AF91704" w14:textId="4E7B1F1A" w:rsidR="00AC7CA3" w:rsidRPr="00646060" w:rsidRDefault="00AC7CA3" w:rsidP="00751876">
      <w:pPr>
        <w:spacing w:line="276" w:lineRule="auto"/>
        <w:ind w:firstLine="567"/>
        <w:contextualSpacing/>
        <w:jc w:val="both"/>
        <w:rPr>
          <w:i/>
          <w:iCs/>
        </w:rPr>
      </w:pPr>
      <w:r>
        <w:t>Šajā</w:t>
      </w:r>
      <w:r w:rsidR="00091E94">
        <w:t xml:space="preserve"> </w:t>
      </w:r>
      <w:r>
        <w:t xml:space="preserve">sakarā vispirms norādāms, ka atbilstoši </w:t>
      </w:r>
      <w:r w:rsidR="00091E94">
        <w:t>Eiropas Savienības Tiesas</w:t>
      </w:r>
      <w:r>
        <w:t xml:space="preserve"> vairākkārt uzsvērtajam </w:t>
      </w:r>
      <w:r w:rsidR="00091E94">
        <w:t>tiesības uz nodokļa atskaitīšanu ir pievienotās vērtības nodokļa mehānisma neatņemama sastāvdaļa un principā nevar tikt ierobežotas (</w:t>
      </w:r>
      <w:r w:rsidR="00F8309F">
        <w:t xml:space="preserve">piemēram, </w:t>
      </w:r>
      <w:r w:rsidR="00F8309F" w:rsidRPr="00F8309F">
        <w:rPr>
          <w:i/>
          <w:iCs/>
        </w:rPr>
        <w:t xml:space="preserve">Eiropas Savienības </w:t>
      </w:r>
      <w:r w:rsidR="00646060">
        <w:rPr>
          <w:i/>
          <w:iCs/>
        </w:rPr>
        <w:t>T</w:t>
      </w:r>
      <w:r w:rsidR="00F8309F" w:rsidRPr="00F8309F">
        <w:rPr>
          <w:i/>
          <w:iCs/>
        </w:rPr>
        <w:t xml:space="preserve">iesas </w:t>
      </w:r>
      <w:proofErr w:type="gramStart"/>
      <w:r w:rsidR="00F8309F" w:rsidRPr="00F8309F">
        <w:rPr>
          <w:i/>
          <w:iCs/>
        </w:rPr>
        <w:t>2006.gada</w:t>
      </w:r>
      <w:proofErr w:type="gramEnd"/>
      <w:r w:rsidR="00F8309F" w:rsidRPr="00F8309F">
        <w:rPr>
          <w:i/>
          <w:iCs/>
        </w:rPr>
        <w:t xml:space="preserve"> 6.jūlija sprieduma apvienotajās lietās </w:t>
      </w:r>
      <w:proofErr w:type="spellStart"/>
      <w:r w:rsidR="00F8309F" w:rsidRPr="00F8309F">
        <w:rPr>
          <w:i/>
          <w:iCs/>
        </w:rPr>
        <w:t>Axel</w:t>
      </w:r>
      <w:proofErr w:type="spellEnd"/>
      <w:r w:rsidR="00F8309F" w:rsidRPr="00F8309F">
        <w:rPr>
          <w:i/>
          <w:iCs/>
        </w:rPr>
        <w:t xml:space="preserve"> </w:t>
      </w:r>
      <w:proofErr w:type="spellStart"/>
      <w:r w:rsidR="00F8309F" w:rsidRPr="00F8309F">
        <w:rPr>
          <w:i/>
          <w:iCs/>
        </w:rPr>
        <w:t>Kittel</w:t>
      </w:r>
      <w:proofErr w:type="spellEnd"/>
      <w:r w:rsidR="00F8309F" w:rsidRPr="00F8309F">
        <w:rPr>
          <w:i/>
          <w:iCs/>
        </w:rPr>
        <w:t>, C-439/04</w:t>
      </w:r>
      <w:r w:rsidR="00592197">
        <w:rPr>
          <w:i/>
          <w:iCs/>
        </w:rPr>
        <w:t xml:space="preserve"> un 440/04, </w:t>
      </w:r>
      <w:bookmarkStart w:id="11" w:name="_Hlk117845278"/>
      <w:r w:rsidR="00646060" w:rsidRPr="00646060">
        <w:rPr>
          <w:i/>
          <w:iCs/>
          <w:color w:val="000000" w:themeColor="text1"/>
        </w:rPr>
        <w:fldChar w:fldCharType="begin"/>
      </w:r>
      <w:r w:rsidR="00646060" w:rsidRPr="00646060">
        <w:rPr>
          <w:i/>
          <w:iCs/>
          <w:color w:val="000000" w:themeColor="text1"/>
        </w:rPr>
        <w:instrText xml:space="preserve"> HYPERLINK "https://manas.tiesas.lv/eTiesasMvc/eclinolemumi/ECLI:EU:C:2006:446" </w:instrText>
      </w:r>
      <w:r w:rsidR="00646060" w:rsidRPr="00646060">
        <w:rPr>
          <w:i/>
          <w:iCs/>
          <w:color w:val="000000" w:themeColor="text1"/>
        </w:rPr>
      </w:r>
      <w:r w:rsidR="00646060" w:rsidRPr="00646060">
        <w:rPr>
          <w:i/>
          <w:iCs/>
          <w:color w:val="000000" w:themeColor="text1"/>
        </w:rPr>
        <w:fldChar w:fldCharType="separate"/>
      </w:r>
      <w:r w:rsidR="00592197" w:rsidRPr="00646060">
        <w:rPr>
          <w:rStyle w:val="Hyperlink"/>
          <w:i/>
          <w:iCs/>
          <w:color w:val="000000" w:themeColor="text1"/>
          <w:u w:val="none"/>
        </w:rPr>
        <w:t>ECLI:EU:C:2006:446</w:t>
      </w:r>
      <w:bookmarkEnd w:id="11"/>
      <w:r w:rsidR="00646060" w:rsidRPr="00646060">
        <w:rPr>
          <w:i/>
          <w:iCs/>
          <w:color w:val="000000" w:themeColor="text1"/>
        </w:rPr>
        <w:fldChar w:fldCharType="end"/>
      </w:r>
      <w:r w:rsidR="00592197">
        <w:rPr>
          <w:i/>
          <w:iCs/>
        </w:rPr>
        <w:t xml:space="preserve">, </w:t>
      </w:r>
      <w:r w:rsidR="00F8309F" w:rsidRPr="00F8309F">
        <w:rPr>
          <w:i/>
          <w:iCs/>
        </w:rPr>
        <w:t>42.punkt</w:t>
      </w:r>
      <w:r w:rsidR="00F8309F">
        <w:rPr>
          <w:i/>
          <w:iCs/>
        </w:rPr>
        <w:t>s</w:t>
      </w:r>
      <w:r w:rsidR="00F8309F">
        <w:t>)</w:t>
      </w:r>
      <w:r w:rsidR="00091E94">
        <w:t xml:space="preserve">. Pamats runāt par valsts budžeta aizskārumu ir tad, ja priekšnodoklis tiek atskaitīts, neievērojot </w:t>
      </w:r>
      <w:proofErr w:type="spellStart"/>
      <w:r w:rsidR="00091E94">
        <w:t>materiāltiesiskās</w:t>
      </w:r>
      <w:proofErr w:type="spellEnd"/>
      <w:r w:rsidR="00091E94">
        <w:t xml:space="preserve"> prasības (</w:t>
      </w:r>
      <w:r w:rsidR="007D32FE">
        <w:t xml:space="preserve">piemēram, </w:t>
      </w:r>
      <w:r w:rsidR="007D32FE" w:rsidRPr="007D32FE">
        <w:rPr>
          <w:i/>
          <w:iCs/>
        </w:rPr>
        <w:t xml:space="preserve">Senāta </w:t>
      </w:r>
      <w:r w:rsidR="007D32FE" w:rsidRPr="007D32FE">
        <w:rPr>
          <w:i/>
          <w:iCs/>
        </w:rPr>
        <w:lastRenderedPageBreak/>
        <w:t>2022.gada 27.jūnija sprieduma lietā Nr. SKA-117/2022 (</w:t>
      </w:r>
      <w:hyperlink r:id="rId11" w:history="1">
        <w:r w:rsidR="00646060" w:rsidRPr="00646060">
          <w:rPr>
            <w:rStyle w:val="Hyperlink"/>
            <w:i/>
            <w:iCs/>
            <w:color w:val="000000" w:themeColor="text1"/>
            <w:u w:val="none"/>
          </w:rPr>
          <w:t>ECLI:LV:AT:2022:0627.A420181417.13.S</w:t>
        </w:r>
      </w:hyperlink>
      <w:r w:rsidR="007D32FE" w:rsidRPr="00646060">
        <w:rPr>
          <w:i/>
          <w:iCs/>
          <w:color w:val="000000" w:themeColor="text1"/>
        </w:rPr>
        <w:t>) 17</w:t>
      </w:r>
      <w:r w:rsidR="007D32FE" w:rsidRPr="007D32FE">
        <w:rPr>
          <w:i/>
          <w:iCs/>
        </w:rPr>
        <w:t>.punkts</w:t>
      </w:r>
      <w:r w:rsidR="007D32FE">
        <w:t>).</w:t>
      </w:r>
      <w:r w:rsidR="00091E94">
        <w:t xml:space="preserve"> </w:t>
      </w:r>
      <w:r w:rsidR="000901DD">
        <w:t>Līdz ar to apstāklis, ka nodokļu maksātājs izmanto priekšnodokļa atskaitīšanas tiesības un tādējādi samazina budžetā maksājamā nodokļa summu,</w:t>
      </w:r>
      <w:r w:rsidR="00280C0E">
        <w:t xml:space="preserve"> pats par sevi</w:t>
      </w:r>
      <w:r w:rsidR="000901DD">
        <w:t xml:space="preserve"> neapliecina </w:t>
      </w:r>
      <w:r w:rsidR="00C373EC">
        <w:t xml:space="preserve">nodokļu maksātāja nolūku gūt </w:t>
      </w:r>
      <w:r w:rsidR="00567FF2">
        <w:t xml:space="preserve">nepamatotu </w:t>
      </w:r>
      <w:r w:rsidR="00C373EC">
        <w:t>fiskālu labumu un radīt valsts budžetam zaudējumus</w:t>
      </w:r>
      <w:r w:rsidR="003D7D1E">
        <w:t xml:space="preserve">, ja vien netiek konstatēta </w:t>
      </w:r>
      <w:proofErr w:type="spellStart"/>
      <w:r w:rsidR="003D7D1E">
        <w:t>materiāltiesisko</w:t>
      </w:r>
      <w:proofErr w:type="spellEnd"/>
      <w:r w:rsidR="003D7D1E">
        <w:t xml:space="preserve"> prasību neievērošana</w:t>
      </w:r>
      <w:r w:rsidR="00C373EC">
        <w:t>.</w:t>
      </w:r>
    </w:p>
    <w:p w14:paraId="3B3ABE39" w14:textId="56F22E08" w:rsidR="00567FF2" w:rsidRPr="003A53BA" w:rsidRDefault="00AC7CA3" w:rsidP="00751876">
      <w:pPr>
        <w:spacing w:line="276" w:lineRule="auto"/>
        <w:ind w:firstLine="567"/>
        <w:contextualSpacing/>
        <w:jc w:val="both"/>
      </w:pPr>
      <w:r>
        <w:t xml:space="preserve">Tāpat </w:t>
      </w:r>
      <w:r w:rsidR="003066CA">
        <w:t xml:space="preserve">norādāms </w:t>
      </w:r>
      <w:r w:rsidR="00091E94">
        <w:t xml:space="preserve">Eiropas Savienības Tiesas nolēmumos vairākkārt </w:t>
      </w:r>
      <w:r w:rsidR="003066CA">
        <w:t>skaidrotais</w:t>
      </w:r>
      <w:r w:rsidR="00091E94">
        <w:t xml:space="preserve">, ka </w:t>
      </w:r>
      <w:r w:rsidR="000901DD">
        <w:t>tas</w:t>
      </w:r>
      <w:r w:rsidR="00091E94">
        <w:t xml:space="preserve">, vai pievienotās vērtības nodoklis, kas saistībā ar konkrētajām precēm maksājams par agrākajiem vai vēlākajiem pārdošanas darījumiem, tika vai netika pārskaitīts Valsts kasei, neietekmē nodokļa maksātāja tiesības atskaitīt priekšnodoklī samaksāto pievienotās vērtības nodokli (piemēram, </w:t>
      </w:r>
      <w:r w:rsidR="00091E94" w:rsidRPr="00C64ADE">
        <w:rPr>
          <w:i/>
          <w:iCs/>
        </w:rPr>
        <w:t xml:space="preserve">Eiropas Savienības Tiesas </w:t>
      </w:r>
      <w:proofErr w:type="gramStart"/>
      <w:r w:rsidR="00091E94" w:rsidRPr="00C64ADE">
        <w:rPr>
          <w:i/>
          <w:iCs/>
        </w:rPr>
        <w:t>2013.gada</w:t>
      </w:r>
      <w:proofErr w:type="gramEnd"/>
      <w:r w:rsidR="00091E94" w:rsidRPr="00C64ADE">
        <w:rPr>
          <w:i/>
          <w:iCs/>
        </w:rPr>
        <w:t xml:space="preserve"> 28.februāra rīkojuma lietā </w:t>
      </w:r>
      <w:proofErr w:type="spellStart"/>
      <w:r w:rsidR="00091E94" w:rsidRPr="00C64ADE">
        <w:rPr>
          <w:i/>
          <w:iCs/>
        </w:rPr>
        <w:t>Forvards</w:t>
      </w:r>
      <w:proofErr w:type="spellEnd"/>
      <w:r w:rsidR="00091E94" w:rsidRPr="00C64ADE">
        <w:rPr>
          <w:i/>
          <w:iCs/>
        </w:rPr>
        <w:t xml:space="preserve"> V, C-563/11, </w:t>
      </w:r>
      <w:bookmarkStart w:id="12" w:name="_Hlk117845459"/>
      <w:r w:rsidR="00646060" w:rsidRPr="00646060">
        <w:rPr>
          <w:i/>
          <w:iCs/>
          <w:color w:val="000000" w:themeColor="text1"/>
        </w:rPr>
        <w:fldChar w:fldCharType="begin"/>
      </w:r>
      <w:r w:rsidR="00646060" w:rsidRPr="00646060">
        <w:rPr>
          <w:i/>
          <w:iCs/>
          <w:color w:val="000000" w:themeColor="text1"/>
        </w:rPr>
        <w:instrText xml:space="preserve"> HYPERLINK "https://manas.tiesas.lv/eTiesasMvc/eclinolemumi/ECLI:EU:C:2013:125" </w:instrText>
      </w:r>
      <w:r w:rsidR="00646060" w:rsidRPr="00646060">
        <w:rPr>
          <w:i/>
          <w:iCs/>
          <w:color w:val="000000" w:themeColor="text1"/>
        </w:rPr>
      </w:r>
      <w:r w:rsidR="00646060" w:rsidRPr="00646060">
        <w:rPr>
          <w:i/>
          <w:iCs/>
          <w:color w:val="000000" w:themeColor="text1"/>
        </w:rPr>
        <w:fldChar w:fldCharType="separate"/>
      </w:r>
      <w:r w:rsidR="00091E94" w:rsidRPr="00646060">
        <w:rPr>
          <w:rStyle w:val="Hyperlink"/>
          <w:i/>
          <w:iCs/>
          <w:color w:val="000000" w:themeColor="text1"/>
          <w:u w:val="none"/>
        </w:rPr>
        <w:t>ECLI:EU:C:2013:125</w:t>
      </w:r>
      <w:bookmarkEnd w:id="12"/>
      <w:r w:rsidR="00646060" w:rsidRPr="00646060">
        <w:rPr>
          <w:i/>
          <w:iCs/>
          <w:color w:val="000000" w:themeColor="text1"/>
        </w:rPr>
        <w:fldChar w:fldCharType="end"/>
      </w:r>
      <w:r w:rsidR="00091E94" w:rsidRPr="00646060">
        <w:rPr>
          <w:i/>
          <w:iCs/>
          <w:color w:val="000000" w:themeColor="text1"/>
        </w:rPr>
        <w:t xml:space="preserve">, </w:t>
      </w:r>
      <w:r w:rsidR="00091E94" w:rsidRPr="00C64ADE">
        <w:rPr>
          <w:i/>
          <w:iCs/>
        </w:rPr>
        <w:t>28.punkts</w:t>
      </w:r>
      <w:r w:rsidR="00091E94">
        <w:t>). T</w:t>
      </w:r>
      <w:r w:rsidR="00C373EC">
        <w:t xml:space="preserve">as nozīmē: ja preču pircējs ir ievērojis </w:t>
      </w:r>
      <w:proofErr w:type="spellStart"/>
      <w:r w:rsidR="00C373EC">
        <w:t>materiāltiesiskās</w:t>
      </w:r>
      <w:proofErr w:type="spellEnd"/>
      <w:r w:rsidR="00C373EC">
        <w:t xml:space="preserve"> prasības, priekšnodokļa atskaitīšan</w:t>
      </w:r>
      <w:r w:rsidR="00280C0E">
        <w:t>u nevar liegt t</w:t>
      </w:r>
      <w:r w:rsidR="003D7D1E">
        <w:t>ikai</w:t>
      </w:r>
      <w:r w:rsidR="00C373EC">
        <w:t xml:space="preserve"> </w:t>
      </w:r>
      <w:r w:rsidR="003D7D1E">
        <w:t>tāpēc vien</w:t>
      </w:r>
      <w:r w:rsidR="00C373EC">
        <w:t xml:space="preserve">, ka </w:t>
      </w:r>
      <w:r w:rsidR="00091E94">
        <w:t>preču piegādātājs nav samaksājis pievienotās vērtības nodokli</w:t>
      </w:r>
      <w:r w:rsidRPr="00AC7CA3">
        <w:t xml:space="preserve"> </w:t>
      </w:r>
      <w:r>
        <w:t>par preču piegādes darījumu</w:t>
      </w:r>
      <w:r w:rsidR="00091E94">
        <w:t xml:space="preserve">. </w:t>
      </w:r>
      <w:r w:rsidR="00C373EC">
        <w:t>Nodokļa samaksas jautājums, tāpat kā ikviens darījumu un tā dalībniekus raksturojošais apstāklis ir</w:t>
      </w:r>
      <w:r w:rsidR="00567FF2">
        <w:t xml:space="preserve"> ņemams vērā, taču tas ir</w:t>
      </w:r>
      <w:r w:rsidR="00C373EC">
        <w:t xml:space="preserve"> vērtējams </w:t>
      </w:r>
      <w:r w:rsidR="00091E94">
        <w:t xml:space="preserve">kopsakarā ar citiem </w:t>
      </w:r>
      <w:r w:rsidR="00C373EC">
        <w:t xml:space="preserve">darījuma apstākļiem. </w:t>
      </w:r>
      <w:r>
        <w:t xml:space="preserve">Kā tika minēts jau </w:t>
      </w:r>
      <w:r w:rsidR="00280C0E">
        <w:t>iepriekš,</w:t>
      </w:r>
      <w:r>
        <w:t xml:space="preserve"> </w:t>
      </w:r>
      <w:r w:rsidR="00091E94">
        <w:t>tiesa nav norādījusi uz pieteicējas un arī uz SIA </w:t>
      </w:r>
      <w:r w:rsidR="00091E94" w:rsidRPr="007D4A2B">
        <w:t>„</w:t>
      </w:r>
      <w:proofErr w:type="spellStart"/>
      <w:r w:rsidR="00091E94">
        <w:t>SalixPro</w:t>
      </w:r>
      <w:proofErr w:type="spellEnd"/>
      <w:r w:rsidR="00091E94">
        <w:t xml:space="preserve">” fiktīvo raksturu, kā arī nav apšaubījusi strīdus preču esību </w:t>
      </w:r>
      <w:r>
        <w:t xml:space="preserve">ne </w:t>
      </w:r>
      <w:r w:rsidR="00091E94">
        <w:t>SIA </w:t>
      </w:r>
      <w:r w:rsidR="00091E94" w:rsidRPr="007D4A2B">
        <w:t>„</w:t>
      </w:r>
      <w:proofErr w:type="spellStart"/>
      <w:r w:rsidR="00091E94">
        <w:t>SalixPro</w:t>
      </w:r>
      <w:proofErr w:type="spellEnd"/>
      <w:r w:rsidR="00091E94">
        <w:t>”</w:t>
      </w:r>
      <w:r>
        <w:t xml:space="preserve">, ne </w:t>
      </w:r>
      <w:r w:rsidR="00091E94">
        <w:t>pieteicējas rīcībā un šo preču izmantošanu pieteicējas ar nodokli apliekamo darījumu nodrošināšanā. Šādos apstākļos tiesai bija jā</w:t>
      </w:r>
      <w:r w:rsidR="00280C0E">
        <w:t>izskaidro</w:t>
      </w:r>
      <w:r w:rsidR="00091E94">
        <w:t xml:space="preserve">, </w:t>
      </w:r>
      <w:r w:rsidR="00091E94" w:rsidRPr="003A53BA">
        <w:t>kā SIA „</w:t>
      </w:r>
      <w:proofErr w:type="spellStart"/>
      <w:r w:rsidR="00091E94" w:rsidRPr="003A53BA">
        <w:t>SalixPro</w:t>
      </w:r>
      <w:proofErr w:type="spellEnd"/>
      <w:r w:rsidR="00091E94" w:rsidRPr="003A53BA">
        <w:t>” nodokļu maksātāja pienākumu neizpilde pamato pieteicējas jeb priekšnodokļa atskaitīšanas tiesību izmantotājas ļaunprātīgos vai krāpnieciskos nolūkus un kāpēc darījum</w:t>
      </w:r>
      <w:r w:rsidR="000901DD" w:rsidRPr="003A53BA">
        <w:t>a</w:t>
      </w:r>
      <w:r w:rsidR="00091E94" w:rsidRPr="003A53BA">
        <w:t xml:space="preserve"> partnera nesamaksātais nodoklis ir pamats liegt pieteicējai atskaitīt priekšnodokli </w:t>
      </w:r>
      <w:r w:rsidR="00567FF2" w:rsidRPr="003A53BA">
        <w:t xml:space="preserve">apstākļos, kad netiek norādīts, kādas tieši </w:t>
      </w:r>
      <w:proofErr w:type="spellStart"/>
      <w:r w:rsidR="00567FF2" w:rsidRPr="003A53BA">
        <w:t>materiāltiesiskās</w:t>
      </w:r>
      <w:proofErr w:type="spellEnd"/>
      <w:r w:rsidR="00567FF2" w:rsidRPr="003A53BA">
        <w:t xml:space="preserve"> prasības pieteicēja nav ievērojusi.</w:t>
      </w:r>
      <w:r w:rsidR="00BA3E66" w:rsidRPr="003A53BA">
        <w:rPr>
          <w:rFonts w:eastAsiaTheme="minorEastAsia"/>
          <w:color w:val="000000" w:themeColor="text1"/>
          <w:kern w:val="24"/>
        </w:rPr>
        <w:t xml:space="preserve"> Šeit arī atgādināms, ka, liedzot nodokļu maksātājam priekšnodokļa atskaitīšanas tiesības, izšķirošs ir priekšnodokļa atskaitīšanas tiesību izmantotāja novērtējums.</w:t>
      </w:r>
      <w:r w:rsidR="002F4FFD" w:rsidRPr="003A53BA">
        <w:rPr>
          <w:rFonts w:eastAsiaTheme="minorEastAsia"/>
          <w:color w:val="000000" w:themeColor="text1"/>
          <w:kern w:val="24"/>
        </w:rPr>
        <w:t xml:space="preserve"> Tiesas spriedumā nav atrodams pieteicējas darbību novērtējums, kas apliecinātu tieši pieteicējas ļaunprātīgos nolūkos. Tā vietā tiesas</w:t>
      </w:r>
      <w:r w:rsidR="00F57C22" w:rsidRPr="003A53BA">
        <w:rPr>
          <w:rFonts w:eastAsiaTheme="minorEastAsia"/>
          <w:color w:val="000000" w:themeColor="text1"/>
          <w:kern w:val="24"/>
          <w:lang w:eastAsia="lv-LV"/>
        </w:rPr>
        <w:t xml:space="preserve"> argumentācijā atrodams uzskats, ka priekšnodokļa atskaitīšana pati par sevi</w:t>
      </w:r>
      <w:r w:rsidR="003A53BA" w:rsidRPr="003A53BA">
        <w:rPr>
          <w:rFonts w:eastAsiaTheme="minorEastAsia"/>
          <w:color w:val="000000" w:themeColor="text1"/>
          <w:kern w:val="24"/>
          <w:lang w:eastAsia="lv-LV"/>
        </w:rPr>
        <w:t xml:space="preserve"> apliecina nodokļu maksātāja nolūkus </w:t>
      </w:r>
      <w:r w:rsidR="00280C0E">
        <w:rPr>
          <w:rFonts w:eastAsiaTheme="minorEastAsia"/>
          <w:color w:val="000000" w:themeColor="text1"/>
          <w:kern w:val="24"/>
          <w:lang w:eastAsia="lv-LV"/>
        </w:rPr>
        <w:t xml:space="preserve">nepamatoti </w:t>
      </w:r>
      <w:r w:rsidR="003A53BA" w:rsidRPr="003A53BA">
        <w:rPr>
          <w:rFonts w:eastAsiaTheme="minorEastAsia"/>
          <w:color w:val="000000" w:themeColor="text1"/>
          <w:kern w:val="24"/>
          <w:lang w:eastAsia="lv-LV"/>
        </w:rPr>
        <w:t>samazināt budžetā maksājamo nodokli, taču š</w:t>
      </w:r>
      <w:r w:rsidR="00F57C22" w:rsidRPr="003A53BA">
        <w:rPr>
          <w:rFonts w:eastAsiaTheme="minorEastAsia"/>
          <w:color w:val="000000" w:themeColor="text1"/>
          <w:kern w:val="24"/>
          <w:lang w:eastAsia="lv-LV"/>
        </w:rPr>
        <w:t>āds uzskats ir pretējs pievienotās vērtības nodokļa sistēmas būtībai.</w:t>
      </w:r>
    </w:p>
    <w:p w14:paraId="1A79FF9D" w14:textId="77777777" w:rsidR="005F5B14" w:rsidRDefault="005F5B14" w:rsidP="00751876">
      <w:pPr>
        <w:spacing w:line="276" w:lineRule="auto"/>
        <w:ind w:firstLine="567"/>
        <w:contextualSpacing/>
        <w:jc w:val="both"/>
        <w:rPr>
          <w:bCs/>
        </w:rPr>
      </w:pPr>
    </w:p>
    <w:p w14:paraId="348E82B1" w14:textId="60D1D415" w:rsidR="00F76756" w:rsidRPr="00F76756" w:rsidRDefault="00F1101B" w:rsidP="00751876">
      <w:pPr>
        <w:spacing w:line="276" w:lineRule="auto"/>
        <w:ind w:firstLine="567"/>
        <w:contextualSpacing/>
        <w:jc w:val="both"/>
        <w:rPr>
          <w:bCs/>
        </w:rPr>
      </w:pPr>
      <w:r>
        <w:rPr>
          <w:bCs/>
        </w:rPr>
        <w:t>[1</w:t>
      </w:r>
      <w:r w:rsidR="00B43B2A">
        <w:rPr>
          <w:bCs/>
        </w:rPr>
        <w:t>5</w:t>
      </w:r>
      <w:r>
        <w:rPr>
          <w:bCs/>
        </w:rPr>
        <w:t>] </w:t>
      </w:r>
      <w:r w:rsidR="007B6BE8">
        <w:rPr>
          <w:bCs/>
        </w:rPr>
        <w:t>Ņ</w:t>
      </w:r>
      <w:r>
        <w:rPr>
          <w:bCs/>
        </w:rPr>
        <w:t xml:space="preserve">emot vērā </w:t>
      </w:r>
      <w:r w:rsidR="005F5B14">
        <w:rPr>
          <w:bCs/>
        </w:rPr>
        <w:t xml:space="preserve">iepriekš </w:t>
      </w:r>
      <w:r>
        <w:rPr>
          <w:bCs/>
        </w:rPr>
        <w:t>minēto,</w:t>
      </w:r>
      <w:r w:rsidR="006C04A8" w:rsidRPr="00F76756">
        <w:rPr>
          <w:bCs/>
        </w:rPr>
        <w:t xml:space="preserve"> Senāts atzīst</w:t>
      </w:r>
      <w:r w:rsidR="002D5EA5">
        <w:rPr>
          <w:bCs/>
        </w:rPr>
        <w:t>, ka</w:t>
      </w:r>
      <w:r w:rsidR="003A53BA">
        <w:rPr>
          <w:bCs/>
        </w:rPr>
        <w:t xml:space="preserve"> apgabaltiesas sprieduma argumentācija liecina par nepareizu Pievienotās vērtības nodokļa likuma </w:t>
      </w:r>
      <w:proofErr w:type="gramStart"/>
      <w:r w:rsidR="003A53BA">
        <w:rPr>
          <w:bCs/>
        </w:rPr>
        <w:t>92.panta</w:t>
      </w:r>
      <w:proofErr w:type="gramEnd"/>
      <w:r w:rsidR="003A53BA">
        <w:rPr>
          <w:bCs/>
        </w:rPr>
        <w:t xml:space="preserve"> pirmās daļas 1.punkta piemērošanu, tāpēc </w:t>
      </w:r>
      <w:r w:rsidR="00F76756" w:rsidRPr="00F76756">
        <w:rPr>
          <w:bCs/>
        </w:rPr>
        <w:t>apgabaltiesas spriedum</w:t>
      </w:r>
      <w:r w:rsidR="005F5B14">
        <w:rPr>
          <w:bCs/>
        </w:rPr>
        <w:t xml:space="preserve">s ir atceļams un </w:t>
      </w:r>
      <w:r w:rsidR="00F76756" w:rsidRPr="00F76756">
        <w:rPr>
          <w:bCs/>
        </w:rPr>
        <w:t>lieta</w:t>
      </w:r>
      <w:r w:rsidR="005F5B14">
        <w:rPr>
          <w:bCs/>
        </w:rPr>
        <w:t xml:space="preserve"> ir</w:t>
      </w:r>
      <w:r w:rsidR="00F76756" w:rsidRPr="00F76756">
        <w:rPr>
          <w:bCs/>
        </w:rPr>
        <w:t xml:space="preserve"> nosūt</w:t>
      </w:r>
      <w:r w:rsidR="005F5B14">
        <w:rPr>
          <w:bCs/>
        </w:rPr>
        <w:t xml:space="preserve">āma </w:t>
      </w:r>
      <w:r w:rsidR="00F76756" w:rsidRPr="00F76756">
        <w:rPr>
          <w:bCs/>
        </w:rPr>
        <w:t>jaunai izskatīšanai, nevērtējot pārējos kasācijas sūdzības argumentus.</w:t>
      </w:r>
    </w:p>
    <w:p w14:paraId="05D5F151" w14:textId="77777777" w:rsidR="006E171C" w:rsidRPr="007D4A2B" w:rsidRDefault="006E171C" w:rsidP="00751876">
      <w:pPr>
        <w:spacing w:line="276" w:lineRule="auto"/>
        <w:ind w:firstLine="567"/>
        <w:contextualSpacing/>
        <w:jc w:val="both"/>
        <w:rPr>
          <w:bCs/>
        </w:rPr>
      </w:pPr>
    </w:p>
    <w:p w14:paraId="32406F37" w14:textId="77777777" w:rsidR="00F76756" w:rsidRDefault="00F76756" w:rsidP="00751876">
      <w:pPr>
        <w:spacing w:line="276" w:lineRule="auto"/>
        <w:contextualSpacing/>
        <w:jc w:val="center"/>
        <w:outlineLvl w:val="0"/>
        <w:rPr>
          <w:b/>
        </w:rPr>
      </w:pPr>
      <w:r w:rsidRPr="00F26108">
        <w:rPr>
          <w:b/>
        </w:rPr>
        <w:t>Rezolutīvā daļa</w:t>
      </w:r>
    </w:p>
    <w:p w14:paraId="6CF763A0" w14:textId="77777777" w:rsidR="00F76756" w:rsidRPr="00F26108" w:rsidRDefault="00F76756" w:rsidP="00751876">
      <w:pPr>
        <w:spacing w:line="276" w:lineRule="auto"/>
        <w:contextualSpacing/>
        <w:jc w:val="center"/>
        <w:outlineLvl w:val="0"/>
        <w:rPr>
          <w:b/>
        </w:rPr>
      </w:pPr>
    </w:p>
    <w:p w14:paraId="69B5D860" w14:textId="77777777" w:rsidR="00F76756" w:rsidRPr="00F26108" w:rsidRDefault="00F76756" w:rsidP="00751876">
      <w:pPr>
        <w:spacing w:line="276" w:lineRule="auto"/>
        <w:ind w:firstLine="567"/>
        <w:contextualSpacing/>
        <w:jc w:val="both"/>
      </w:pPr>
      <w:r w:rsidRPr="00F26108">
        <w:t>Pamatojoties uz Administratīvā procesa likuma 129.</w:t>
      </w:r>
      <w:proofErr w:type="gramStart"/>
      <w:r w:rsidRPr="00F26108">
        <w:rPr>
          <w:vertAlign w:val="superscript"/>
        </w:rPr>
        <w:t>1</w:t>
      </w:r>
      <w:r w:rsidRPr="00F26108">
        <w:t>panta</w:t>
      </w:r>
      <w:proofErr w:type="gramEnd"/>
      <w:r w:rsidRPr="00F26108">
        <w:t xml:space="preserve"> pirmās daļas 1.punktu, 348.panta pirmās daļas 2.punktu un 351.pantu, Senāts</w:t>
      </w:r>
    </w:p>
    <w:p w14:paraId="003AC068" w14:textId="77777777" w:rsidR="00F76756" w:rsidRPr="00F26108" w:rsidRDefault="00F76756" w:rsidP="00751876">
      <w:pPr>
        <w:spacing w:line="276" w:lineRule="auto"/>
        <w:ind w:firstLine="567"/>
        <w:contextualSpacing/>
        <w:jc w:val="both"/>
      </w:pPr>
    </w:p>
    <w:p w14:paraId="68F40DFA" w14:textId="77777777" w:rsidR="00F76756" w:rsidRPr="00F26108" w:rsidRDefault="00F76756" w:rsidP="00751876">
      <w:pPr>
        <w:spacing w:line="276" w:lineRule="auto"/>
        <w:contextualSpacing/>
        <w:jc w:val="center"/>
        <w:rPr>
          <w:b/>
        </w:rPr>
      </w:pPr>
      <w:r w:rsidRPr="00F26108">
        <w:rPr>
          <w:b/>
        </w:rPr>
        <w:t>nosprieda</w:t>
      </w:r>
    </w:p>
    <w:p w14:paraId="75C91280" w14:textId="77777777" w:rsidR="00F76756" w:rsidRPr="00F26108" w:rsidRDefault="00F76756" w:rsidP="00751876">
      <w:pPr>
        <w:spacing w:line="276" w:lineRule="auto"/>
        <w:contextualSpacing/>
        <w:jc w:val="center"/>
        <w:rPr>
          <w:b/>
        </w:rPr>
      </w:pPr>
    </w:p>
    <w:p w14:paraId="3DD7A931" w14:textId="1B94559D" w:rsidR="00F76756" w:rsidRPr="00F26108" w:rsidRDefault="00F76756" w:rsidP="00751876">
      <w:pPr>
        <w:keepNext/>
        <w:tabs>
          <w:tab w:val="left" w:pos="2700"/>
          <w:tab w:val="left" w:pos="6660"/>
        </w:tabs>
        <w:spacing w:line="276" w:lineRule="auto"/>
        <w:ind w:firstLine="567"/>
        <w:contextualSpacing/>
        <w:jc w:val="both"/>
      </w:pPr>
      <w:r>
        <w:t>a</w:t>
      </w:r>
      <w:r w:rsidRPr="00F26108">
        <w:t xml:space="preserve">tcelt Administratīvās apgabaltiesas </w:t>
      </w:r>
      <w:proofErr w:type="gramStart"/>
      <w:r w:rsidRPr="00F26108">
        <w:t>20</w:t>
      </w:r>
      <w:r w:rsidR="003A53BA">
        <w:t>2</w:t>
      </w:r>
      <w:r>
        <w:t>1</w:t>
      </w:r>
      <w:r w:rsidRPr="00F26108">
        <w:t>.gada</w:t>
      </w:r>
      <w:proofErr w:type="gramEnd"/>
      <w:r w:rsidRPr="00F26108">
        <w:t xml:space="preserve"> 2</w:t>
      </w:r>
      <w:r w:rsidR="003A53BA">
        <w:t>8.decembra s</w:t>
      </w:r>
      <w:r w:rsidRPr="00F26108">
        <w:t>priedumu un nosūtīt lietu jaunai izskatīšanai Administratīvajai apgabaltiesai</w:t>
      </w:r>
      <w:r w:rsidR="00C6018F">
        <w:t>;</w:t>
      </w:r>
    </w:p>
    <w:p w14:paraId="15829DD6" w14:textId="7E2B31CA" w:rsidR="00F76756" w:rsidRPr="00F26108" w:rsidRDefault="003A53BA" w:rsidP="00751876">
      <w:pPr>
        <w:keepNext/>
        <w:tabs>
          <w:tab w:val="left" w:pos="2700"/>
          <w:tab w:val="left" w:pos="6660"/>
        </w:tabs>
        <w:spacing w:line="276" w:lineRule="auto"/>
        <w:ind w:firstLine="567"/>
        <w:contextualSpacing/>
        <w:jc w:val="both"/>
      </w:pPr>
      <w:r>
        <w:t>a</w:t>
      </w:r>
      <w:r w:rsidR="00F76756" w:rsidRPr="00F26108">
        <w:t xml:space="preserve">tmaksāt </w:t>
      </w:r>
      <w:r>
        <w:t>SIA </w:t>
      </w:r>
      <w:r w:rsidRPr="007D4A2B">
        <w:t>„</w:t>
      </w:r>
      <w:proofErr w:type="spellStart"/>
      <w:r>
        <w:t>Agriforest</w:t>
      </w:r>
      <w:proofErr w:type="spellEnd"/>
      <w:r>
        <w:t>”</w:t>
      </w:r>
      <w:r w:rsidR="00F76756">
        <w:t xml:space="preserve"> </w:t>
      </w:r>
      <w:r w:rsidR="00F76756" w:rsidRPr="00F26108">
        <w:t>drošības naudu 70 </w:t>
      </w:r>
      <w:proofErr w:type="spellStart"/>
      <w:r w:rsidR="00F76756" w:rsidRPr="00F26108">
        <w:rPr>
          <w:i/>
        </w:rPr>
        <w:t>euro</w:t>
      </w:r>
      <w:proofErr w:type="spellEnd"/>
      <w:r w:rsidR="00F76756" w:rsidRPr="00F26108">
        <w:t xml:space="preserve">. </w:t>
      </w:r>
    </w:p>
    <w:p w14:paraId="15579D25" w14:textId="4AB9CDE5" w:rsidR="00F76756" w:rsidRPr="00F26108" w:rsidRDefault="00F76756" w:rsidP="00751876">
      <w:pPr>
        <w:spacing w:line="276" w:lineRule="auto"/>
        <w:ind w:firstLine="567"/>
        <w:contextualSpacing/>
        <w:jc w:val="both"/>
      </w:pPr>
      <w:r w:rsidRPr="00F26108">
        <w:t>Spriedums nav pārsūdzams.</w:t>
      </w:r>
    </w:p>
    <w:p w14:paraId="5D346044" w14:textId="77777777" w:rsidR="00F76756" w:rsidRPr="00F26108" w:rsidRDefault="00F76756" w:rsidP="00F76756">
      <w:pPr>
        <w:tabs>
          <w:tab w:val="left" w:pos="540"/>
          <w:tab w:val="left" w:pos="6660"/>
        </w:tabs>
        <w:spacing w:line="276" w:lineRule="auto"/>
        <w:ind w:firstLine="567"/>
        <w:jc w:val="both"/>
      </w:pPr>
    </w:p>
    <w:p w14:paraId="5EDE6A2D" w14:textId="630AAA85" w:rsidR="00E34077" w:rsidRPr="007D4A2B" w:rsidRDefault="00E34077" w:rsidP="00751876">
      <w:pPr>
        <w:spacing w:line="276" w:lineRule="auto"/>
        <w:contextualSpacing/>
      </w:pPr>
    </w:p>
    <w:sectPr w:rsidR="00E34077" w:rsidRPr="007D4A2B" w:rsidSect="007D4A2B">
      <w:footerReference w:type="default" r:id="rId12"/>
      <w:pgSz w:w="11906" w:h="16838"/>
      <w:pgMar w:top="1134" w:right="1134" w:bottom="1134" w:left="1701"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C879D" w14:textId="77777777" w:rsidR="00EB00AD" w:rsidRDefault="00EB00AD" w:rsidP="00F005AF">
      <w:r>
        <w:separator/>
      </w:r>
    </w:p>
  </w:endnote>
  <w:endnote w:type="continuationSeparator" w:id="0">
    <w:p w14:paraId="497FD444" w14:textId="77777777" w:rsidR="00EB00AD" w:rsidRDefault="00EB00AD" w:rsidP="00F0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947609"/>
      <w:docPartObj>
        <w:docPartGallery w:val="Page Numbers (Bottom of Page)"/>
        <w:docPartUnique/>
      </w:docPartObj>
    </w:sdtPr>
    <w:sdtContent>
      <w:sdt>
        <w:sdtPr>
          <w:id w:val="474336589"/>
          <w:docPartObj>
            <w:docPartGallery w:val="Page Numbers (Top of Page)"/>
            <w:docPartUnique/>
          </w:docPartObj>
        </w:sdtPr>
        <w:sdtContent>
          <w:p w14:paraId="01659A19" w14:textId="77777777" w:rsidR="00F005AF" w:rsidRPr="00F005AF" w:rsidRDefault="00F005AF">
            <w:pPr>
              <w:pStyle w:val="Footer"/>
              <w:jc w:val="center"/>
            </w:pPr>
            <w:r w:rsidRPr="00F005AF">
              <w:rPr>
                <w:bCs/>
              </w:rPr>
              <w:fldChar w:fldCharType="begin"/>
            </w:r>
            <w:r w:rsidRPr="00F005AF">
              <w:rPr>
                <w:bCs/>
              </w:rPr>
              <w:instrText xml:space="preserve"> PAGE </w:instrText>
            </w:r>
            <w:r w:rsidRPr="00F005AF">
              <w:rPr>
                <w:bCs/>
              </w:rPr>
              <w:fldChar w:fldCharType="separate"/>
            </w:r>
            <w:r w:rsidR="008D58E2">
              <w:rPr>
                <w:bCs/>
                <w:noProof/>
              </w:rPr>
              <w:t>8</w:t>
            </w:r>
            <w:r w:rsidRPr="00F005AF">
              <w:rPr>
                <w:bCs/>
              </w:rPr>
              <w:fldChar w:fldCharType="end"/>
            </w:r>
            <w:r w:rsidRPr="00F005AF">
              <w:t xml:space="preserve"> no </w:t>
            </w:r>
            <w:r w:rsidRPr="00F005AF">
              <w:rPr>
                <w:bCs/>
              </w:rPr>
              <w:fldChar w:fldCharType="begin"/>
            </w:r>
            <w:r w:rsidRPr="00F005AF">
              <w:rPr>
                <w:bCs/>
              </w:rPr>
              <w:instrText xml:space="preserve"> NUMPAGES  </w:instrText>
            </w:r>
            <w:r w:rsidRPr="00F005AF">
              <w:rPr>
                <w:bCs/>
              </w:rPr>
              <w:fldChar w:fldCharType="separate"/>
            </w:r>
            <w:r w:rsidR="008D58E2">
              <w:rPr>
                <w:bCs/>
                <w:noProof/>
              </w:rPr>
              <w:t>8</w:t>
            </w:r>
            <w:r w:rsidRPr="00F005AF">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F3A8B" w14:textId="77777777" w:rsidR="00EB00AD" w:rsidRDefault="00EB00AD" w:rsidP="00F005AF">
      <w:r>
        <w:separator/>
      </w:r>
    </w:p>
  </w:footnote>
  <w:footnote w:type="continuationSeparator" w:id="0">
    <w:p w14:paraId="1EBA75F5" w14:textId="77777777" w:rsidR="00EB00AD" w:rsidRDefault="00EB00AD" w:rsidP="00F00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D840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6785F51"/>
    <w:multiLevelType w:val="multilevel"/>
    <w:tmpl w:val="EF1A80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014E34"/>
    <w:multiLevelType w:val="hybridMultilevel"/>
    <w:tmpl w:val="F0EE8058"/>
    <w:lvl w:ilvl="0" w:tplc="2B40BA48">
      <w:start w:val="1"/>
      <w:numFmt w:val="bullet"/>
      <w:lvlText w:val="•"/>
      <w:lvlJc w:val="left"/>
      <w:pPr>
        <w:tabs>
          <w:tab w:val="num" w:pos="720"/>
        </w:tabs>
        <w:ind w:left="720" w:hanging="360"/>
      </w:pPr>
      <w:rPr>
        <w:rFonts w:ascii="Arial" w:hAnsi="Arial" w:hint="default"/>
      </w:rPr>
    </w:lvl>
    <w:lvl w:ilvl="1" w:tplc="EC1A43FA" w:tentative="1">
      <w:start w:val="1"/>
      <w:numFmt w:val="bullet"/>
      <w:lvlText w:val="•"/>
      <w:lvlJc w:val="left"/>
      <w:pPr>
        <w:tabs>
          <w:tab w:val="num" w:pos="1440"/>
        </w:tabs>
        <w:ind w:left="1440" w:hanging="360"/>
      </w:pPr>
      <w:rPr>
        <w:rFonts w:ascii="Arial" w:hAnsi="Arial" w:hint="default"/>
      </w:rPr>
    </w:lvl>
    <w:lvl w:ilvl="2" w:tplc="4EE8AD5C" w:tentative="1">
      <w:start w:val="1"/>
      <w:numFmt w:val="bullet"/>
      <w:lvlText w:val="•"/>
      <w:lvlJc w:val="left"/>
      <w:pPr>
        <w:tabs>
          <w:tab w:val="num" w:pos="2160"/>
        </w:tabs>
        <w:ind w:left="2160" w:hanging="360"/>
      </w:pPr>
      <w:rPr>
        <w:rFonts w:ascii="Arial" w:hAnsi="Arial" w:hint="default"/>
      </w:rPr>
    </w:lvl>
    <w:lvl w:ilvl="3" w:tplc="1EF64C8E" w:tentative="1">
      <w:start w:val="1"/>
      <w:numFmt w:val="bullet"/>
      <w:lvlText w:val="•"/>
      <w:lvlJc w:val="left"/>
      <w:pPr>
        <w:tabs>
          <w:tab w:val="num" w:pos="2880"/>
        </w:tabs>
        <w:ind w:left="2880" w:hanging="360"/>
      </w:pPr>
      <w:rPr>
        <w:rFonts w:ascii="Arial" w:hAnsi="Arial" w:hint="default"/>
      </w:rPr>
    </w:lvl>
    <w:lvl w:ilvl="4" w:tplc="39E8ECF8" w:tentative="1">
      <w:start w:val="1"/>
      <w:numFmt w:val="bullet"/>
      <w:lvlText w:val="•"/>
      <w:lvlJc w:val="left"/>
      <w:pPr>
        <w:tabs>
          <w:tab w:val="num" w:pos="3600"/>
        </w:tabs>
        <w:ind w:left="3600" w:hanging="360"/>
      </w:pPr>
      <w:rPr>
        <w:rFonts w:ascii="Arial" w:hAnsi="Arial" w:hint="default"/>
      </w:rPr>
    </w:lvl>
    <w:lvl w:ilvl="5" w:tplc="79FE9046" w:tentative="1">
      <w:start w:val="1"/>
      <w:numFmt w:val="bullet"/>
      <w:lvlText w:val="•"/>
      <w:lvlJc w:val="left"/>
      <w:pPr>
        <w:tabs>
          <w:tab w:val="num" w:pos="4320"/>
        </w:tabs>
        <w:ind w:left="4320" w:hanging="360"/>
      </w:pPr>
      <w:rPr>
        <w:rFonts w:ascii="Arial" w:hAnsi="Arial" w:hint="default"/>
      </w:rPr>
    </w:lvl>
    <w:lvl w:ilvl="6" w:tplc="5C06AD2E" w:tentative="1">
      <w:start w:val="1"/>
      <w:numFmt w:val="bullet"/>
      <w:lvlText w:val="•"/>
      <w:lvlJc w:val="left"/>
      <w:pPr>
        <w:tabs>
          <w:tab w:val="num" w:pos="5040"/>
        </w:tabs>
        <w:ind w:left="5040" w:hanging="360"/>
      </w:pPr>
      <w:rPr>
        <w:rFonts w:ascii="Arial" w:hAnsi="Arial" w:hint="default"/>
      </w:rPr>
    </w:lvl>
    <w:lvl w:ilvl="7" w:tplc="5838B722" w:tentative="1">
      <w:start w:val="1"/>
      <w:numFmt w:val="bullet"/>
      <w:lvlText w:val="•"/>
      <w:lvlJc w:val="left"/>
      <w:pPr>
        <w:tabs>
          <w:tab w:val="num" w:pos="5760"/>
        </w:tabs>
        <w:ind w:left="5760" w:hanging="360"/>
      </w:pPr>
      <w:rPr>
        <w:rFonts w:ascii="Arial" w:hAnsi="Arial" w:hint="default"/>
      </w:rPr>
    </w:lvl>
    <w:lvl w:ilvl="8" w:tplc="1016787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6025666"/>
    <w:multiLevelType w:val="hybridMultilevel"/>
    <w:tmpl w:val="C3D69E56"/>
    <w:lvl w:ilvl="0" w:tplc="A6848D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049990470">
    <w:abstractNumId w:val="0"/>
  </w:num>
  <w:num w:numId="2" w16cid:durableId="1442846946">
    <w:abstractNumId w:val="3"/>
  </w:num>
  <w:num w:numId="3" w16cid:durableId="1861354227">
    <w:abstractNumId w:val="1"/>
  </w:num>
  <w:num w:numId="4" w16cid:durableId="627862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CCD"/>
    <w:rsid w:val="00000092"/>
    <w:rsid w:val="0000063F"/>
    <w:rsid w:val="00001D02"/>
    <w:rsid w:val="00001E09"/>
    <w:rsid w:val="00002DD4"/>
    <w:rsid w:val="00002F27"/>
    <w:rsid w:val="00003C97"/>
    <w:rsid w:val="00003EC8"/>
    <w:rsid w:val="00004643"/>
    <w:rsid w:val="0000468D"/>
    <w:rsid w:val="00005413"/>
    <w:rsid w:val="00005AA6"/>
    <w:rsid w:val="00006ECE"/>
    <w:rsid w:val="00010158"/>
    <w:rsid w:val="00010892"/>
    <w:rsid w:val="000139D8"/>
    <w:rsid w:val="0001547F"/>
    <w:rsid w:val="0002182C"/>
    <w:rsid w:val="000255B6"/>
    <w:rsid w:val="00025FD1"/>
    <w:rsid w:val="0002689C"/>
    <w:rsid w:val="00027B8C"/>
    <w:rsid w:val="000302B8"/>
    <w:rsid w:val="000302C0"/>
    <w:rsid w:val="00030572"/>
    <w:rsid w:val="00032089"/>
    <w:rsid w:val="000325CD"/>
    <w:rsid w:val="0003333B"/>
    <w:rsid w:val="0004014D"/>
    <w:rsid w:val="0004076B"/>
    <w:rsid w:val="00041347"/>
    <w:rsid w:val="00041D11"/>
    <w:rsid w:val="0004602C"/>
    <w:rsid w:val="00046976"/>
    <w:rsid w:val="000469E8"/>
    <w:rsid w:val="00046A78"/>
    <w:rsid w:val="00046AC4"/>
    <w:rsid w:val="00047EFE"/>
    <w:rsid w:val="00050CEA"/>
    <w:rsid w:val="00053C30"/>
    <w:rsid w:val="00054BCD"/>
    <w:rsid w:val="00054DFD"/>
    <w:rsid w:val="000555EE"/>
    <w:rsid w:val="00055EB5"/>
    <w:rsid w:val="00057312"/>
    <w:rsid w:val="0006000F"/>
    <w:rsid w:val="000644F8"/>
    <w:rsid w:val="000658E3"/>
    <w:rsid w:val="00065B78"/>
    <w:rsid w:val="00065FAA"/>
    <w:rsid w:val="0006796A"/>
    <w:rsid w:val="00070305"/>
    <w:rsid w:val="0007243B"/>
    <w:rsid w:val="000728BB"/>
    <w:rsid w:val="00072BDC"/>
    <w:rsid w:val="00074C3B"/>
    <w:rsid w:val="00075846"/>
    <w:rsid w:val="00075EA1"/>
    <w:rsid w:val="0007712E"/>
    <w:rsid w:val="000816F7"/>
    <w:rsid w:val="00082553"/>
    <w:rsid w:val="00083CB7"/>
    <w:rsid w:val="00083FFD"/>
    <w:rsid w:val="00084CB0"/>
    <w:rsid w:val="00086319"/>
    <w:rsid w:val="0008753F"/>
    <w:rsid w:val="00087BA9"/>
    <w:rsid w:val="000901DD"/>
    <w:rsid w:val="000906E8"/>
    <w:rsid w:val="00090F4A"/>
    <w:rsid w:val="00090F93"/>
    <w:rsid w:val="00091E94"/>
    <w:rsid w:val="00094453"/>
    <w:rsid w:val="00094700"/>
    <w:rsid w:val="000947BA"/>
    <w:rsid w:val="00095F33"/>
    <w:rsid w:val="000965B6"/>
    <w:rsid w:val="000967FF"/>
    <w:rsid w:val="000976E0"/>
    <w:rsid w:val="00097AB4"/>
    <w:rsid w:val="00097B59"/>
    <w:rsid w:val="00097C5C"/>
    <w:rsid w:val="000A20BC"/>
    <w:rsid w:val="000A2D29"/>
    <w:rsid w:val="000A318E"/>
    <w:rsid w:val="000A7AA8"/>
    <w:rsid w:val="000B0F8B"/>
    <w:rsid w:val="000B3785"/>
    <w:rsid w:val="000B671F"/>
    <w:rsid w:val="000B7D25"/>
    <w:rsid w:val="000C0581"/>
    <w:rsid w:val="000C2BA2"/>
    <w:rsid w:val="000C2D3A"/>
    <w:rsid w:val="000C4544"/>
    <w:rsid w:val="000C45B9"/>
    <w:rsid w:val="000C5859"/>
    <w:rsid w:val="000C5E44"/>
    <w:rsid w:val="000C6087"/>
    <w:rsid w:val="000C60CC"/>
    <w:rsid w:val="000C652D"/>
    <w:rsid w:val="000C7834"/>
    <w:rsid w:val="000D14F4"/>
    <w:rsid w:val="000D2BE5"/>
    <w:rsid w:val="000D5F0C"/>
    <w:rsid w:val="000D6D04"/>
    <w:rsid w:val="000E1551"/>
    <w:rsid w:val="000E3EFD"/>
    <w:rsid w:val="000E49E5"/>
    <w:rsid w:val="000E4FDD"/>
    <w:rsid w:val="000E6D2E"/>
    <w:rsid w:val="000F187D"/>
    <w:rsid w:val="000F3682"/>
    <w:rsid w:val="000F392F"/>
    <w:rsid w:val="000F5BBA"/>
    <w:rsid w:val="001003C5"/>
    <w:rsid w:val="00100D6A"/>
    <w:rsid w:val="00101AAF"/>
    <w:rsid w:val="001023F3"/>
    <w:rsid w:val="00105030"/>
    <w:rsid w:val="0010629E"/>
    <w:rsid w:val="00110B21"/>
    <w:rsid w:val="00111B55"/>
    <w:rsid w:val="00112C11"/>
    <w:rsid w:val="00113216"/>
    <w:rsid w:val="00114141"/>
    <w:rsid w:val="00114B3A"/>
    <w:rsid w:val="00114F35"/>
    <w:rsid w:val="00114F37"/>
    <w:rsid w:val="00115DED"/>
    <w:rsid w:val="001173BE"/>
    <w:rsid w:val="001174B9"/>
    <w:rsid w:val="00117BA2"/>
    <w:rsid w:val="00120AEB"/>
    <w:rsid w:val="00121496"/>
    <w:rsid w:val="00121DA4"/>
    <w:rsid w:val="00122902"/>
    <w:rsid w:val="001253B5"/>
    <w:rsid w:val="0012742B"/>
    <w:rsid w:val="00127D55"/>
    <w:rsid w:val="00130158"/>
    <w:rsid w:val="00132C4F"/>
    <w:rsid w:val="0013465D"/>
    <w:rsid w:val="00134D67"/>
    <w:rsid w:val="00135DF9"/>
    <w:rsid w:val="001360A2"/>
    <w:rsid w:val="00137324"/>
    <w:rsid w:val="0013752C"/>
    <w:rsid w:val="00140D89"/>
    <w:rsid w:val="00141B34"/>
    <w:rsid w:val="00144BE1"/>
    <w:rsid w:val="00146624"/>
    <w:rsid w:val="001466DD"/>
    <w:rsid w:val="0015390F"/>
    <w:rsid w:val="001543B6"/>
    <w:rsid w:val="001569D4"/>
    <w:rsid w:val="00156D44"/>
    <w:rsid w:val="00166312"/>
    <w:rsid w:val="00173D37"/>
    <w:rsid w:val="00174DF5"/>
    <w:rsid w:val="00174EE1"/>
    <w:rsid w:val="0018078D"/>
    <w:rsid w:val="0018096D"/>
    <w:rsid w:val="00182DD6"/>
    <w:rsid w:val="00184C46"/>
    <w:rsid w:val="00185298"/>
    <w:rsid w:val="00185CE5"/>
    <w:rsid w:val="001866B1"/>
    <w:rsid w:val="00186D74"/>
    <w:rsid w:val="001913D0"/>
    <w:rsid w:val="00194710"/>
    <w:rsid w:val="00197126"/>
    <w:rsid w:val="001977A6"/>
    <w:rsid w:val="001A28C8"/>
    <w:rsid w:val="001A385A"/>
    <w:rsid w:val="001A49D8"/>
    <w:rsid w:val="001A587C"/>
    <w:rsid w:val="001A7103"/>
    <w:rsid w:val="001A76DE"/>
    <w:rsid w:val="001B2335"/>
    <w:rsid w:val="001B2BF7"/>
    <w:rsid w:val="001B7298"/>
    <w:rsid w:val="001B7A9B"/>
    <w:rsid w:val="001B7FDB"/>
    <w:rsid w:val="001C1647"/>
    <w:rsid w:val="001C1DD7"/>
    <w:rsid w:val="001C4D1A"/>
    <w:rsid w:val="001C5562"/>
    <w:rsid w:val="001C5E1D"/>
    <w:rsid w:val="001C6168"/>
    <w:rsid w:val="001D1194"/>
    <w:rsid w:val="001D1AC7"/>
    <w:rsid w:val="001D236E"/>
    <w:rsid w:val="001D2707"/>
    <w:rsid w:val="001D420F"/>
    <w:rsid w:val="001D43F0"/>
    <w:rsid w:val="001D4757"/>
    <w:rsid w:val="001D553D"/>
    <w:rsid w:val="001D58B0"/>
    <w:rsid w:val="001D68F1"/>
    <w:rsid w:val="001D7016"/>
    <w:rsid w:val="001D7F2B"/>
    <w:rsid w:val="001E2769"/>
    <w:rsid w:val="001E2A98"/>
    <w:rsid w:val="001E3000"/>
    <w:rsid w:val="001E4457"/>
    <w:rsid w:val="001E5BA7"/>
    <w:rsid w:val="001E6D85"/>
    <w:rsid w:val="001F1472"/>
    <w:rsid w:val="001F22A8"/>
    <w:rsid w:val="001F292E"/>
    <w:rsid w:val="001F333B"/>
    <w:rsid w:val="001F3C17"/>
    <w:rsid w:val="001F4E54"/>
    <w:rsid w:val="001F5B04"/>
    <w:rsid w:val="001F6FFD"/>
    <w:rsid w:val="001F768C"/>
    <w:rsid w:val="001F7983"/>
    <w:rsid w:val="00200F2E"/>
    <w:rsid w:val="00201227"/>
    <w:rsid w:val="002025F9"/>
    <w:rsid w:val="00202B4F"/>
    <w:rsid w:val="00203D70"/>
    <w:rsid w:val="00203EB3"/>
    <w:rsid w:val="0020601B"/>
    <w:rsid w:val="00210BCA"/>
    <w:rsid w:val="00210BDC"/>
    <w:rsid w:val="0021107A"/>
    <w:rsid w:val="00211E48"/>
    <w:rsid w:val="00214D8F"/>
    <w:rsid w:val="0021560F"/>
    <w:rsid w:val="00217108"/>
    <w:rsid w:val="0022214C"/>
    <w:rsid w:val="00226D94"/>
    <w:rsid w:val="00226F49"/>
    <w:rsid w:val="00231310"/>
    <w:rsid w:val="00231C5A"/>
    <w:rsid w:val="00233753"/>
    <w:rsid w:val="002355E7"/>
    <w:rsid w:val="00235ADF"/>
    <w:rsid w:val="00240C5C"/>
    <w:rsid w:val="0024174D"/>
    <w:rsid w:val="0024218E"/>
    <w:rsid w:val="00245F4A"/>
    <w:rsid w:val="0024664F"/>
    <w:rsid w:val="00252660"/>
    <w:rsid w:val="002526C0"/>
    <w:rsid w:val="00254D37"/>
    <w:rsid w:val="00255E35"/>
    <w:rsid w:val="00260D2A"/>
    <w:rsid w:val="00261F16"/>
    <w:rsid w:val="00263247"/>
    <w:rsid w:val="0026375E"/>
    <w:rsid w:val="002638FC"/>
    <w:rsid w:val="00264420"/>
    <w:rsid w:val="00265750"/>
    <w:rsid w:val="002657A6"/>
    <w:rsid w:val="002669FC"/>
    <w:rsid w:val="00267CE2"/>
    <w:rsid w:val="00270C44"/>
    <w:rsid w:val="00271B21"/>
    <w:rsid w:val="00272A27"/>
    <w:rsid w:val="00272CA1"/>
    <w:rsid w:val="00272F83"/>
    <w:rsid w:val="00275F7E"/>
    <w:rsid w:val="0027756E"/>
    <w:rsid w:val="00277ED4"/>
    <w:rsid w:val="0028071B"/>
    <w:rsid w:val="00280848"/>
    <w:rsid w:val="00280C0E"/>
    <w:rsid w:val="00281C46"/>
    <w:rsid w:val="00282339"/>
    <w:rsid w:val="00284E5B"/>
    <w:rsid w:val="00285129"/>
    <w:rsid w:val="00285DF1"/>
    <w:rsid w:val="00286638"/>
    <w:rsid w:val="00286993"/>
    <w:rsid w:val="00287096"/>
    <w:rsid w:val="0028788C"/>
    <w:rsid w:val="00287E78"/>
    <w:rsid w:val="00294959"/>
    <w:rsid w:val="00295746"/>
    <w:rsid w:val="00296155"/>
    <w:rsid w:val="00297328"/>
    <w:rsid w:val="00297FFB"/>
    <w:rsid w:val="002A00A1"/>
    <w:rsid w:val="002A1B2F"/>
    <w:rsid w:val="002A2369"/>
    <w:rsid w:val="002A425E"/>
    <w:rsid w:val="002A7A91"/>
    <w:rsid w:val="002B051C"/>
    <w:rsid w:val="002B0ABE"/>
    <w:rsid w:val="002B1031"/>
    <w:rsid w:val="002B1F49"/>
    <w:rsid w:val="002B3204"/>
    <w:rsid w:val="002B69A0"/>
    <w:rsid w:val="002C2AE3"/>
    <w:rsid w:val="002C3088"/>
    <w:rsid w:val="002C314B"/>
    <w:rsid w:val="002C330E"/>
    <w:rsid w:val="002C3BBB"/>
    <w:rsid w:val="002C5828"/>
    <w:rsid w:val="002C6157"/>
    <w:rsid w:val="002C6F0B"/>
    <w:rsid w:val="002D0E86"/>
    <w:rsid w:val="002D276F"/>
    <w:rsid w:val="002D3593"/>
    <w:rsid w:val="002D3D30"/>
    <w:rsid w:val="002D4893"/>
    <w:rsid w:val="002D5308"/>
    <w:rsid w:val="002D5951"/>
    <w:rsid w:val="002D5A60"/>
    <w:rsid w:val="002D5D5E"/>
    <w:rsid w:val="002D5EA5"/>
    <w:rsid w:val="002D7CD4"/>
    <w:rsid w:val="002E0C7B"/>
    <w:rsid w:val="002E21D9"/>
    <w:rsid w:val="002E45B3"/>
    <w:rsid w:val="002E4CC2"/>
    <w:rsid w:val="002E67A0"/>
    <w:rsid w:val="002F03D3"/>
    <w:rsid w:val="002F121C"/>
    <w:rsid w:val="002F23E1"/>
    <w:rsid w:val="002F29DB"/>
    <w:rsid w:val="002F4FFD"/>
    <w:rsid w:val="002F679F"/>
    <w:rsid w:val="002F74E5"/>
    <w:rsid w:val="002F75AD"/>
    <w:rsid w:val="002F7739"/>
    <w:rsid w:val="003029B2"/>
    <w:rsid w:val="0030391B"/>
    <w:rsid w:val="003040E3"/>
    <w:rsid w:val="00305275"/>
    <w:rsid w:val="003065C6"/>
    <w:rsid w:val="003066CA"/>
    <w:rsid w:val="0030731D"/>
    <w:rsid w:val="003076C9"/>
    <w:rsid w:val="0031019D"/>
    <w:rsid w:val="003111CD"/>
    <w:rsid w:val="00312326"/>
    <w:rsid w:val="00314CC0"/>
    <w:rsid w:val="00316E37"/>
    <w:rsid w:val="00320E9C"/>
    <w:rsid w:val="0032149E"/>
    <w:rsid w:val="00321F9E"/>
    <w:rsid w:val="00323A78"/>
    <w:rsid w:val="00323C52"/>
    <w:rsid w:val="003265C5"/>
    <w:rsid w:val="00326996"/>
    <w:rsid w:val="00326B9F"/>
    <w:rsid w:val="00331BAA"/>
    <w:rsid w:val="00332133"/>
    <w:rsid w:val="00332EDB"/>
    <w:rsid w:val="003331C0"/>
    <w:rsid w:val="00336EA6"/>
    <w:rsid w:val="00337308"/>
    <w:rsid w:val="00337F22"/>
    <w:rsid w:val="003406B6"/>
    <w:rsid w:val="00341CAC"/>
    <w:rsid w:val="003423F5"/>
    <w:rsid w:val="003424EC"/>
    <w:rsid w:val="003445F8"/>
    <w:rsid w:val="00345C61"/>
    <w:rsid w:val="00345F82"/>
    <w:rsid w:val="0034615E"/>
    <w:rsid w:val="00346661"/>
    <w:rsid w:val="00347158"/>
    <w:rsid w:val="00350295"/>
    <w:rsid w:val="003554CF"/>
    <w:rsid w:val="00356F71"/>
    <w:rsid w:val="003576EA"/>
    <w:rsid w:val="0035785C"/>
    <w:rsid w:val="00363760"/>
    <w:rsid w:val="0036413D"/>
    <w:rsid w:val="00365388"/>
    <w:rsid w:val="003669B6"/>
    <w:rsid w:val="0037051F"/>
    <w:rsid w:val="003721D1"/>
    <w:rsid w:val="00373E76"/>
    <w:rsid w:val="00376506"/>
    <w:rsid w:val="00377816"/>
    <w:rsid w:val="00381E26"/>
    <w:rsid w:val="003835C7"/>
    <w:rsid w:val="003839DD"/>
    <w:rsid w:val="00385379"/>
    <w:rsid w:val="00385B65"/>
    <w:rsid w:val="00386B03"/>
    <w:rsid w:val="003877BE"/>
    <w:rsid w:val="00387B40"/>
    <w:rsid w:val="0039086A"/>
    <w:rsid w:val="00391041"/>
    <w:rsid w:val="00391966"/>
    <w:rsid w:val="003928E2"/>
    <w:rsid w:val="0039346A"/>
    <w:rsid w:val="00394121"/>
    <w:rsid w:val="00395922"/>
    <w:rsid w:val="003965B4"/>
    <w:rsid w:val="00397606"/>
    <w:rsid w:val="00397FEB"/>
    <w:rsid w:val="003A0157"/>
    <w:rsid w:val="003A0489"/>
    <w:rsid w:val="003A2D2D"/>
    <w:rsid w:val="003A4BEF"/>
    <w:rsid w:val="003A53BA"/>
    <w:rsid w:val="003A6B19"/>
    <w:rsid w:val="003A7E1D"/>
    <w:rsid w:val="003A7EB2"/>
    <w:rsid w:val="003B4DD7"/>
    <w:rsid w:val="003B66FA"/>
    <w:rsid w:val="003C3173"/>
    <w:rsid w:val="003C3BAE"/>
    <w:rsid w:val="003C3EDD"/>
    <w:rsid w:val="003C3FCC"/>
    <w:rsid w:val="003C42C4"/>
    <w:rsid w:val="003C63BB"/>
    <w:rsid w:val="003C6C18"/>
    <w:rsid w:val="003C742A"/>
    <w:rsid w:val="003C7D4D"/>
    <w:rsid w:val="003D1A13"/>
    <w:rsid w:val="003D1CFD"/>
    <w:rsid w:val="003D321D"/>
    <w:rsid w:val="003D36A0"/>
    <w:rsid w:val="003D45D8"/>
    <w:rsid w:val="003D57E0"/>
    <w:rsid w:val="003D7273"/>
    <w:rsid w:val="003D7D1E"/>
    <w:rsid w:val="003E1CFD"/>
    <w:rsid w:val="003E2DE7"/>
    <w:rsid w:val="003E42B5"/>
    <w:rsid w:val="003E4AA4"/>
    <w:rsid w:val="003F11D7"/>
    <w:rsid w:val="003F3598"/>
    <w:rsid w:val="003F52AB"/>
    <w:rsid w:val="003F690A"/>
    <w:rsid w:val="003F7356"/>
    <w:rsid w:val="004038CE"/>
    <w:rsid w:val="00404B95"/>
    <w:rsid w:val="00405E39"/>
    <w:rsid w:val="00406010"/>
    <w:rsid w:val="00406AE6"/>
    <w:rsid w:val="00410BB8"/>
    <w:rsid w:val="00411C63"/>
    <w:rsid w:val="00412975"/>
    <w:rsid w:val="00412CE4"/>
    <w:rsid w:val="00414066"/>
    <w:rsid w:val="00414A8D"/>
    <w:rsid w:val="00415101"/>
    <w:rsid w:val="00415877"/>
    <w:rsid w:val="00416D4B"/>
    <w:rsid w:val="0041733C"/>
    <w:rsid w:val="0042173E"/>
    <w:rsid w:val="00422F14"/>
    <w:rsid w:val="0042353D"/>
    <w:rsid w:val="00423B90"/>
    <w:rsid w:val="00425262"/>
    <w:rsid w:val="004261E6"/>
    <w:rsid w:val="00427A9A"/>
    <w:rsid w:val="00431593"/>
    <w:rsid w:val="00432DF1"/>
    <w:rsid w:val="00433BD7"/>
    <w:rsid w:val="00436BA3"/>
    <w:rsid w:val="0044026F"/>
    <w:rsid w:val="004429E8"/>
    <w:rsid w:val="00442B0D"/>
    <w:rsid w:val="00443D41"/>
    <w:rsid w:val="00451131"/>
    <w:rsid w:val="0045199D"/>
    <w:rsid w:val="0045268E"/>
    <w:rsid w:val="00452844"/>
    <w:rsid w:val="00452BC6"/>
    <w:rsid w:val="0045337D"/>
    <w:rsid w:val="00454694"/>
    <w:rsid w:val="0045491A"/>
    <w:rsid w:val="004569A4"/>
    <w:rsid w:val="00457611"/>
    <w:rsid w:val="00461C79"/>
    <w:rsid w:val="00463094"/>
    <w:rsid w:val="004634F0"/>
    <w:rsid w:val="004650F8"/>
    <w:rsid w:val="00465173"/>
    <w:rsid w:val="00466AE5"/>
    <w:rsid w:val="00467980"/>
    <w:rsid w:val="004710EB"/>
    <w:rsid w:val="00472B70"/>
    <w:rsid w:val="004748E9"/>
    <w:rsid w:val="004818AF"/>
    <w:rsid w:val="0048193F"/>
    <w:rsid w:val="00482ABC"/>
    <w:rsid w:val="00484733"/>
    <w:rsid w:val="00484DD8"/>
    <w:rsid w:val="00485448"/>
    <w:rsid w:val="004908BE"/>
    <w:rsid w:val="004934B4"/>
    <w:rsid w:val="00493C78"/>
    <w:rsid w:val="00493CE3"/>
    <w:rsid w:val="004960EB"/>
    <w:rsid w:val="00496CEB"/>
    <w:rsid w:val="00497E33"/>
    <w:rsid w:val="004A06F4"/>
    <w:rsid w:val="004A386F"/>
    <w:rsid w:val="004A3912"/>
    <w:rsid w:val="004A69FD"/>
    <w:rsid w:val="004A7D19"/>
    <w:rsid w:val="004B0950"/>
    <w:rsid w:val="004B098F"/>
    <w:rsid w:val="004B188E"/>
    <w:rsid w:val="004B3AB3"/>
    <w:rsid w:val="004B3B02"/>
    <w:rsid w:val="004B6855"/>
    <w:rsid w:val="004B69BF"/>
    <w:rsid w:val="004C37DC"/>
    <w:rsid w:val="004C37F6"/>
    <w:rsid w:val="004C4AE6"/>
    <w:rsid w:val="004D126E"/>
    <w:rsid w:val="004D1D2F"/>
    <w:rsid w:val="004D31A3"/>
    <w:rsid w:val="004D3700"/>
    <w:rsid w:val="004D37E2"/>
    <w:rsid w:val="004D39CA"/>
    <w:rsid w:val="004D532A"/>
    <w:rsid w:val="004D568E"/>
    <w:rsid w:val="004D5698"/>
    <w:rsid w:val="004E4BC0"/>
    <w:rsid w:val="004E788C"/>
    <w:rsid w:val="004E7998"/>
    <w:rsid w:val="004E7B9D"/>
    <w:rsid w:val="004F199A"/>
    <w:rsid w:val="004F315A"/>
    <w:rsid w:val="004F31C8"/>
    <w:rsid w:val="004F3A80"/>
    <w:rsid w:val="004F3D0B"/>
    <w:rsid w:val="004F754C"/>
    <w:rsid w:val="004F7B59"/>
    <w:rsid w:val="00500B51"/>
    <w:rsid w:val="005025DB"/>
    <w:rsid w:val="00505237"/>
    <w:rsid w:val="005057F4"/>
    <w:rsid w:val="00505947"/>
    <w:rsid w:val="00507AA2"/>
    <w:rsid w:val="00511D88"/>
    <w:rsid w:val="00515836"/>
    <w:rsid w:val="00515E02"/>
    <w:rsid w:val="00516A72"/>
    <w:rsid w:val="00516C04"/>
    <w:rsid w:val="005179F0"/>
    <w:rsid w:val="00520EF5"/>
    <w:rsid w:val="005233B6"/>
    <w:rsid w:val="0052491C"/>
    <w:rsid w:val="005249BF"/>
    <w:rsid w:val="00524F33"/>
    <w:rsid w:val="0052522E"/>
    <w:rsid w:val="005254D3"/>
    <w:rsid w:val="00526106"/>
    <w:rsid w:val="00530282"/>
    <w:rsid w:val="005302EE"/>
    <w:rsid w:val="00532CEE"/>
    <w:rsid w:val="0054177F"/>
    <w:rsid w:val="00542004"/>
    <w:rsid w:val="00543D8B"/>
    <w:rsid w:val="00544DFC"/>
    <w:rsid w:val="0054586A"/>
    <w:rsid w:val="00545B88"/>
    <w:rsid w:val="0054611C"/>
    <w:rsid w:val="0054662C"/>
    <w:rsid w:val="00551F0E"/>
    <w:rsid w:val="00551F6C"/>
    <w:rsid w:val="0055288D"/>
    <w:rsid w:val="00552E08"/>
    <w:rsid w:val="00553073"/>
    <w:rsid w:val="005533F1"/>
    <w:rsid w:val="0055414D"/>
    <w:rsid w:val="00554EA2"/>
    <w:rsid w:val="00554EC6"/>
    <w:rsid w:val="00561FBE"/>
    <w:rsid w:val="00564179"/>
    <w:rsid w:val="00564EC7"/>
    <w:rsid w:val="00564F53"/>
    <w:rsid w:val="00565D6C"/>
    <w:rsid w:val="00567810"/>
    <w:rsid w:val="00567FF2"/>
    <w:rsid w:val="005719FD"/>
    <w:rsid w:val="00571A67"/>
    <w:rsid w:val="00572121"/>
    <w:rsid w:val="005722FF"/>
    <w:rsid w:val="005728B2"/>
    <w:rsid w:val="005728D2"/>
    <w:rsid w:val="005746D8"/>
    <w:rsid w:val="0057473C"/>
    <w:rsid w:val="00580DE5"/>
    <w:rsid w:val="00581441"/>
    <w:rsid w:val="00583777"/>
    <w:rsid w:val="005843CD"/>
    <w:rsid w:val="00591E70"/>
    <w:rsid w:val="00592010"/>
    <w:rsid w:val="00592197"/>
    <w:rsid w:val="005931A5"/>
    <w:rsid w:val="005933D9"/>
    <w:rsid w:val="00593A7A"/>
    <w:rsid w:val="00594698"/>
    <w:rsid w:val="005946A5"/>
    <w:rsid w:val="0059591D"/>
    <w:rsid w:val="00596A6E"/>
    <w:rsid w:val="005A1BB3"/>
    <w:rsid w:val="005A1E86"/>
    <w:rsid w:val="005A31AA"/>
    <w:rsid w:val="005A4220"/>
    <w:rsid w:val="005A5C65"/>
    <w:rsid w:val="005A5FEC"/>
    <w:rsid w:val="005A66F2"/>
    <w:rsid w:val="005A71E2"/>
    <w:rsid w:val="005B313C"/>
    <w:rsid w:val="005B34DD"/>
    <w:rsid w:val="005B421E"/>
    <w:rsid w:val="005B5437"/>
    <w:rsid w:val="005B5D23"/>
    <w:rsid w:val="005B67F8"/>
    <w:rsid w:val="005C151E"/>
    <w:rsid w:val="005C1984"/>
    <w:rsid w:val="005C2CE8"/>
    <w:rsid w:val="005C30FA"/>
    <w:rsid w:val="005C3F92"/>
    <w:rsid w:val="005C4031"/>
    <w:rsid w:val="005C4B98"/>
    <w:rsid w:val="005C5600"/>
    <w:rsid w:val="005C5A79"/>
    <w:rsid w:val="005C5CDC"/>
    <w:rsid w:val="005C70DE"/>
    <w:rsid w:val="005C7331"/>
    <w:rsid w:val="005C7A9C"/>
    <w:rsid w:val="005D082C"/>
    <w:rsid w:val="005D1810"/>
    <w:rsid w:val="005D1946"/>
    <w:rsid w:val="005D1AD6"/>
    <w:rsid w:val="005D43D1"/>
    <w:rsid w:val="005D52BD"/>
    <w:rsid w:val="005E56B9"/>
    <w:rsid w:val="005E7643"/>
    <w:rsid w:val="005E78C6"/>
    <w:rsid w:val="005E798B"/>
    <w:rsid w:val="005F2654"/>
    <w:rsid w:val="005F5B14"/>
    <w:rsid w:val="005F6466"/>
    <w:rsid w:val="005F6678"/>
    <w:rsid w:val="005F757B"/>
    <w:rsid w:val="00601106"/>
    <w:rsid w:val="00603D1A"/>
    <w:rsid w:val="00603DBD"/>
    <w:rsid w:val="00604FD3"/>
    <w:rsid w:val="00605846"/>
    <w:rsid w:val="00606DB6"/>
    <w:rsid w:val="00610A8B"/>
    <w:rsid w:val="00612700"/>
    <w:rsid w:val="0061371A"/>
    <w:rsid w:val="00613C36"/>
    <w:rsid w:val="00620207"/>
    <w:rsid w:val="00623D8A"/>
    <w:rsid w:val="00625200"/>
    <w:rsid w:val="00625D56"/>
    <w:rsid w:val="00626452"/>
    <w:rsid w:val="00627494"/>
    <w:rsid w:val="00627AB3"/>
    <w:rsid w:val="0063497E"/>
    <w:rsid w:val="00634B63"/>
    <w:rsid w:val="00635B32"/>
    <w:rsid w:val="0063635C"/>
    <w:rsid w:val="00642B71"/>
    <w:rsid w:val="00642BDC"/>
    <w:rsid w:val="0064315A"/>
    <w:rsid w:val="00643A32"/>
    <w:rsid w:val="00645C23"/>
    <w:rsid w:val="00646060"/>
    <w:rsid w:val="00646BF4"/>
    <w:rsid w:val="00650CE0"/>
    <w:rsid w:val="00650DE3"/>
    <w:rsid w:val="00652BE2"/>
    <w:rsid w:val="00652D65"/>
    <w:rsid w:val="006547D5"/>
    <w:rsid w:val="00654846"/>
    <w:rsid w:val="0065697E"/>
    <w:rsid w:val="00657721"/>
    <w:rsid w:val="006600E7"/>
    <w:rsid w:val="0066091D"/>
    <w:rsid w:val="006635D3"/>
    <w:rsid w:val="00663B2E"/>
    <w:rsid w:val="00664373"/>
    <w:rsid w:val="00665879"/>
    <w:rsid w:val="00665916"/>
    <w:rsid w:val="00666379"/>
    <w:rsid w:val="0067013F"/>
    <w:rsid w:val="00671599"/>
    <w:rsid w:val="006751E9"/>
    <w:rsid w:val="006766B5"/>
    <w:rsid w:val="00677419"/>
    <w:rsid w:val="00677F6F"/>
    <w:rsid w:val="006860DC"/>
    <w:rsid w:val="006860FF"/>
    <w:rsid w:val="0068691A"/>
    <w:rsid w:val="006877C1"/>
    <w:rsid w:val="00687DFC"/>
    <w:rsid w:val="006911E9"/>
    <w:rsid w:val="00692186"/>
    <w:rsid w:val="00692A03"/>
    <w:rsid w:val="00692A4E"/>
    <w:rsid w:val="00694BC5"/>
    <w:rsid w:val="00695400"/>
    <w:rsid w:val="006977C4"/>
    <w:rsid w:val="006A0C02"/>
    <w:rsid w:val="006A1577"/>
    <w:rsid w:val="006A19B2"/>
    <w:rsid w:val="006A19BC"/>
    <w:rsid w:val="006A2175"/>
    <w:rsid w:val="006A2492"/>
    <w:rsid w:val="006A2CEF"/>
    <w:rsid w:val="006A33E0"/>
    <w:rsid w:val="006A54D5"/>
    <w:rsid w:val="006B149D"/>
    <w:rsid w:val="006B15E6"/>
    <w:rsid w:val="006B1D33"/>
    <w:rsid w:val="006B2C53"/>
    <w:rsid w:val="006B5F55"/>
    <w:rsid w:val="006B66C3"/>
    <w:rsid w:val="006B7D48"/>
    <w:rsid w:val="006C0258"/>
    <w:rsid w:val="006C049D"/>
    <w:rsid w:val="006C04A8"/>
    <w:rsid w:val="006C0BBB"/>
    <w:rsid w:val="006C5508"/>
    <w:rsid w:val="006D04F8"/>
    <w:rsid w:val="006D04FF"/>
    <w:rsid w:val="006D09EE"/>
    <w:rsid w:val="006D0BCD"/>
    <w:rsid w:val="006D14CC"/>
    <w:rsid w:val="006D3034"/>
    <w:rsid w:val="006D39AB"/>
    <w:rsid w:val="006D6D29"/>
    <w:rsid w:val="006D6DEE"/>
    <w:rsid w:val="006E1140"/>
    <w:rsid w:val="006E171C"/>
    <w:rsid w:val="006E1AD4"/>
    <w:rsid w:val="006E5624"/>
    <w:rsid w:val="006E6019"/>
    <w:rsid w:val="006E68A7"/>
    <w:rsid w:val="006F0BAE"/>
    <w:rsid w:val="006F16EC"/>
    <w:rsid w:val="006F22A1"/>
    <w:rsid w:val="006F3A8D"/>
    <w:rsid w:val="00702406"/>
    <w:rsid w:val="00710FAB"/>
    <w:rsid w:val="00711626"/>
    <w:rsid w:val="0071320F"/>
    <w:rsid w:val="007140B7"/>
    <w:rsid w:val="00716B92"/>
    <w:rsid w:val="00721005"/>
    <w:rsid w:val="00721129"/>
    <w:rsid w:val="007273D2"/>
    <w:rsid w:val="007274D2"/>
    <w:rsid w:val="00730081"/>
    <w:rsid w:val="00732DA5"/>
    <w:rsid w:val="00734C19"/>
    <w:rsid w:val="0074032A"/>
    <w:rsid w:val="00740BEE"/>
    <w:rsid w:val="00741280"/>
    <w:rsid w:val="007443BD"/>
    <w:rsid w:val="00744402"/>
    <w:rsid w:val="007445A3"/>
    <w:rsid w:val="00744D66"/>
    <w:rsid w:val="00745E68"/>
    <w:rsid w:val="00745F19"/>
    <w:rsid w:val="00751876"/>
    <w:rsid w:val="00751E25"/>
    <w:rsid w:val="007557E8"/>
    <w:rsid w:val="00757758"/>
    <w:rsid w:val="00762AE8"/>
    <w:rsid w:val="007631D3"/>
    <w:rsid w:val="00771590"/>
    <w:rsid w:val="0077161D"/>
    <w:rsid w:val="007753A5"/>
    <w:rsid w:val="00776771"/>
    <w:rsid w:val="00777BCF"/>
    <w:rsid w:val="00781FDD"/>
    <w:rsid w:val="007829EE"/>
    <w:rsid w:val="0078434A"/>
    <w:rsid w:val="00784B8C"/>
    <w:rsid w:val="00785C54"/>
    <w:rsid w:val="00791738"/>
    <w:rsid w:val="0079734D"/>
    <w:rsid w:val="007A04B8"/>
    <w:rsid w:val="007A127D"/>
    <w:rsid w:val="007A1BB8"/>
    <w:rsid w:val="007A3920"/>
    <w:rsid w:val="007A5606"/>
    <w:rsid w:val="007A63F6"/>
    <w:rsid w:val="007A7593"/>
    <w:rsid w:val="007A7A4C"/>
    <w:rsid w:val="007A7FE6"/>
    <w:rsid w:val="007B044B"/>
    <w:rsid w:val="007B04F7"/>
    <w:rsid w:val="007B072F"/>
    <w:rsid w:val="007B0E66"/>
    <w:rsid w:val="007B371E"/>
    <w:rsid w:val="007B5748"/>
    <w:rsid w:val="007B5C35"/>
    <w:rsid w:val="007B66F8"/>
    <w:rsid w:val="007B6A13"/>
    <w:rsid w:val="007B6BE8"/>
    <w:rsid w:val="007C003E"/>
    <w:rsid w:val="007C075C"/>
    <w:rsid w:val="007C11E1"/>
    <w:rsid w:val="007C37BE"/>
    <w:rsid w:val="007D0BEB"/>
    <w:rsid w:val="007D32FE"/>
    <w:rsid w:val="007D3B71"/>
    <w:rsid w:val="007D4316"/>
    <w:rsid w:val="007D4A2B"/>
    <w:rsid w:val="007D4A6F"/>
    <w:rsid w:val="007D5A0B"/>
    <w:rsid w:val="007E00DE"/>
    <w:rsid w:val="007E014D"/>
    <w:rsid w:val="007E10E3"/>
    <w:rsid w:val="007E4F54"/>
    <w:rsid w:val="007E5BC8"/>
    <w:rsid w:val="007E6772"/>
    <w:rsid w:val="007E6F1F"/>
    <w:rsid w:val="007E73A9"/>
    <w:rsid w:val="007F0247"/>
    <w:rsid w:val="007F09B9"/>
    <w:rsid w:val="007F0CBB"/>
    <w:rsid w:val="007F107E"/>
    <w:rsid w:val="007F2220"/>
    <w:rsid w:val="007F2805"/>
    <w:rsid w:val="007F2B34"/>
    <w:rsid w:val="007F2CE6"/>
    <w:rsid w:val="007F4825"/>
    <w:rsid w:val="007F5570"/>
    <w:rsid w:val="007F660B"/>
    <w:rsid w:val="007F666B"/>
    <w:rsid w:val="007F70DB"/>
    <w:rsid w:val="007F74CE"/>
    <w:rsid w:val="007F7E09"/>
    <w:rsid w:val="0080037E"/>
    <w:rsid w:val="00802064"/>
    <w:rsid w:val="008047C3"/>
    <w:rsid w:val="00806D17"/>
    <w:rsid w:val="00810FC0"/>
    <w:rsid w:val="008111D1"/>
    <w:rsid w:val="00813474"/>
    <w:rsid w:val="008138AB"/>
    <w:rsid w:val="008138CA"/>
    <w:rsid w:val="00815EE2"/>
    <w:rsid w:val="0081628F"/>
    <w:rsid w:val="008171EA"/>
    <w:rsid w:val="00817638"/>
    <w:rsid w:val="00817BAB"/>
    <w:rsid w:val="00817D32"/>
    <w:rsid w:val="0082132F"/>
    <w:rsid w:val="00823423"/>
    <w:rsid w:val="00823FDA"/>
    <w:rsid w:val="00824F46"/>
    <w:rsid w:val="00830824"/>
    <w:rsid w:val="00830904"/>
    <w:rsid w:val="00834E05"/>
    <w:rsid w:val="00835583"/>
    <w:rsid w:val="008356A0"/>
    <w:rsid w:val="00835C12"/>
    <w:rsid w:val="00836B86"/>
    <w:rsid w:val="00842BC3"/>
    <w:rsid w:val="00844A09"/>
    <w:rsid w:val="00846896"/>
    <w:rsid w:val="00846AF9"/>
    <w:rsid w:val="008477B2"/>
    <w:rsid w:val="00851AC7"/>
    <w:rsid w:val="00851EEC"/>
    <w:rsid w:val="008522FB"/>
    <w:rsid w:val="008529AE"/>
    <w:rsid w:val="0085417C"/>
    <w:rsid w:val="00854C11"/>
    <w:rsid w:val="00854ED8"/>
    <w:rsid w:val="0085519B"/>
    <w:rsid w:val="00856065"/>
    <w:rsid w:val="00857AA3"/>
    <w:rsid w:val="00857E5D"/>
    <w:rsid w:val="00860356"/>
    <w:rsid w:val="00860B7B"/>
    <w:rsid w:val="00860E81"/>
    <w:rsid w:val="00861A2B"/>
    <w:rsid w:val="00861B76"/>
    <w:rsid w:val="0086319F"/>
    <w:rsid w:val="0086406A"/>
    <w:rsid w:val="00864116"/>
    <w:rsid w:val="0086457E"/>
    <w:rsid w:val="0086461D"/>
    <w:rsid w:val="00864743"/>
    <w:rsid w:val="00864B8F"/>
    <w:rsid w:val="00864F5F"/>
    <w:rsid w:val="0086567D"/>
    <w:rsid w:val="00865E37"/>
    <w:rsid w:val="00866B9E"/>
    <w:rsid w:val="008700D3"/>
    <w:rsid w:val="008732E5"/>
    <w:rsid w:val="008754F2"/>
    <w:rsid w:val="0088178B"/>
    <w:rsid w:val="008817AC"/>
    <w:rsid w:val="00883A67"/>
    <w:rsid w:val="0088419A"/>
    <w:rsid w:val="0088477C"/>
    <w:rsid w:val="00885616"/>
    <w:rsid w:val="00886FF8"/>
    <w:rsid w:val="00887D51"/>
    <w:rsid w:val="00892A38"/>
    <w:rsid w:val="00893BEE"/>
    <w:rsid w:val="008946B0"/>
    <w:rsid w:val="0089514E"/>
    <w:rsid w:val="0089706D"/>
    <w:rsid w:val="008971F8"/>
    <w:rsid w:val="008A1246"/>
    <w:rsid w:val="008A22CE"/>
    <w:rsid w:val="008A3783"/>
    <w:rsid w:val="008A5377"/>
    <w:rsid w:val="008A5600"/>
    <w:rsid w:val="008A629D"/>
    <w:rsid w:val="008A7471"/>
    <w:rsid w:val="008A7B0A"/>
    <w:rsid w:val="008B1C2E"/>
    <w:rsid w:val="008B4583"/>
    <w:rsid w:val="008B63D6"/>
    <w:rsid w:val="008B7772"/>
    <w:rsid w:val="008B7CCD"/>
    <w:rsid w:val="008C0F80"/>
    <w:rsid w:val="008C0FB4"/>
    <w:rsid w:val="008C2893"/>
    <w:rsid w:val="008C3EC6"/>
    <w:rsid w:val="008C4CE3"/>
    <w:rsid w:val="008C627F"/>
    <w:rsid w:val="008D0762"/>
    <w:rsid w:val="008D1405"/>
    <w:rsid w:val="008D1EDF"/>
    <w:rsid w:val="008D3901"/>
    <w:rsid w:val="008D58E2"/>
    <w:rsid w:val="008D785F"/>
    <w:rsid w:val="008D7C77"/>
    <w:rsid w:val="008E057D"/>
    <w:rsid w:val="008E36B5"/>
    <w:rsid w:val="008E494F"/>
    <w:rsid w:val="008E5A2E"/>
    <w:rsid w:val="008E6A07"/>
    <w:rsid w:val="008E72D4"/>
    <w:rsid w:val="008F0D43"/>
    <w:rsid w:val="008F10BF"/>
    <w:rsid w:val="008F5735"/>
    <w:rsid w:val="008F6175"/>
    <w:rsid w:val="008F7B17"/>
    <w:rsid w:val="008F7FC9"/>
    <w:rsid w:val="00901D12"/>
    <w:rsid w:val="00902391"/>
    <w:rsid w:val="00902611"/>
    <w:rsid w:val="00902F00"/>
    <w:rsid w:val="009031C7"/>
    <w:rsid w:val="00904500"/>
    <w:rsid w:val="00910590"/>
    <w:rsid w:val="009110FB"/>
    <w:rsid w:val="009115AC"/>
    <w:rsid w:val="009134D8"/>
    <w:rsid w:val="0091442B"/>
    <w:rsid w:val="009154F6"/>
    <w:rsid w:val="0091781C"/>
    <w:rsid w:val="00917A12"/>
    <w:rsid w:val="0092144F"/>
    <w:rsid w:val="00921676"/>
    <w:rsid w:val="00921DF1"/>
    <w:rsid w:val="009234C8"/>
    <w:rsid w:val="00924819"/>
    <w:rsid w:val="00926BB7"/>
    <w:rsid w:val="0093106B"/>
    <w:rsid w:val="009355C5"/>
    <w:rsid w:val="0093691A"/>
    <w:rsid w:val="00940451"/>
    <w:rsid w:val="00941BA3"/>
    <w:rsid w:val="00943B88"/>
    <w:rsid w:val="00945138"/>
    <w:rsid w:val="00947576"/>
    <w:rsid w:val="00950840"/>
    <w:rsid w:val="00951DBD"/>
    <w:rsid w:val="0095218C"/>
    <w:rsid w:val="009528CE"/>
    <w:rsid w:val="00952FD5"/>
    <w:rsid w:val="00955B14"/>
    <w:rsid w:val="009565DB"/>
    <w:rsid w:val="00956C88"/>
    <w:rsid w:val="00956F24"/>
    <w:rsid w:val="00957678"/>
    <w:rsid w:val="00961186"/>
    <w:rsid w:val="0096388A"/>
    <w:rsid w:val="00965641"/>
    <w:rsid w:val="0096717C"/>
    <w:rsid w:val="00967504"/>
    <w:rsid w:val="00971BBD"/>
    <w:rsid w:val="00973973"/>
    <w:rsid w:val="00974198"/>
    <w:rsid w:val="00974721"/>
    <w:rsid w:val="009748D9"/>
    <w:rsid w:val="009749BA"/>
    <w:rsid w:val="00974E53"/>
    <w:rsid w:val="0097516D"/>
    <w:rsid w:val="00976470"/>
    <w:rsid w:val="00980DBE"/>
    <w:rsid w:val="00981ECA"/>
    <w:rsid w:val="009858AE"/>
    <w:rsid w:val="00985D24"/>
    <w:rsid w:val="0098614B"/>
    <w:rsid w:val="00986BAC"/>
    <w:rsid w:val="00987E8B"/>
    <w:rsid w:val="009903DC"/>
    <w:rsid w:val="0099512A"/>
    <w:rsid w:val="009953FD"/>
    <w:rsid w:val="009A1366"/>
    <w:rsid w:val="009A5045"/>
    <w:rsid w:val="009A550C"/>
    <w:rsid w:val="009B6981"/>
    <w:rsid w:val="009B7ADA"/>
    <w:rsid w:val="009B7B18"/>
    <w:rsid w:val="009C4538"/>
    <w:rsid w:val="009C5265"/>
    <w:rsid w:val="009C571D"/>
    <w:rsid w:val="009C5FEC"/>
    <w:rsid w:val="009C75D8"/>
    <w:rsid w:val="009D0F77"/>
    <w:rsid w:val="009D2758"/>
    <w:rsid w:val="009D2AD3"/>
    <w:rsid w:val="009D2FCC"/>
    <w:rsid w:val="009D48E7"/>
    <w:rsid w:val="009D65F0"/>
    <w:rsid w:val="009D663A"/>
    <w:rsid w:val="009E4AE4"/>
    <w:rsid w:val="009E5411"/>
    <w:rsid w:val="009E73A7"/>
    <w:rsid w:val="009F088E"/>
    <w:rsid w:val="009F090B"/>
    <w:rsid w:val="009F0FE2"/>
    <w:rsid w:val="009F18B0"/>
    <w:rsid w:val="009F32A1"/>
    <w:rsid w:val="009F3A3D"/>
    <w:rsid w:val="009F3A5D"/>
    <w:rsid w:val="009F3E8B"/>
    <w:rsid w:val="009F4F97"/>
    <w:rsid w:val="009F556F"/>
    <w:rsid w:val="009F7221"/>
    <w:rsid w:val="00A049BF"/>
    <w:rsid w:val="00A05E47"/>
    <w:rsid w:val="00A05F4F"/>
    <w:rsid w:val="00A062A6"/>
    <w:rsid w:val="00A123A8"/>
    <w:rsid w:val="00A162D4"/>
    <w:rsid w:val="00A16FD1"/>
    <w:rsid w:val="00A201DE"/>
    <w:rsid w:val="00A20421"/>
    <w:rsid w:val="00A2229B"/>
    <w:rsid w:val="00A30E38"/>
    <w:rsid w:val="00A315E3"/>
    <w:rsid w:val="00A322AD"/>
    <w:rsid w:val="00A34100"/>
    <w:rsid w:val="00A34712"/>
    <w:rsid w:val="00A34E53"/>
    <w:rsid w:val="00A35502"/>
    <w:rsid w:val="00A36EF9"/>
    <w:rsid w:val="00A40E83"/>
    <w:rsid w:val="00A424B4"/>
    <w:rsid w:val="00A43580"/>
    <w:rsid w:val="00A443E2"/>
    <w:rsid w:val="00A44DF1"/>
    <w:rsid w:val="00A4549D"/>
    <w:rsid w:val="00A50D2D"/>
    <w:rsid w:val="00A518B4"/>
    <w:rsid w:val="00A544B7"/>
    <w:rsid w:val="00A5478F"/>
    <w:rsid w:val="00A54A1E"/>
    <w:rsid w:val="00A55E07"/>
    <w:rsid w:val="00A563D9"/>
    <w:rsid w:val="00A56A2C"/>
    <w:rsid w:val="00A60207"/>
    <w:rsid w:val="00A61C1D"/>
    <w:rsid w:val="00A63FA0"/>
    <w:rsid w:val="00A6575F"/>
    <w:rsid w:val="00A66CF8"/>
    <w:rsid w:val="00A71DB7"/>
    <w:rsid w:val="00A779F5"/>
    <w:rsid w:val="00A81939"/>
    <w:rsid w:val="00A81CA4"/>
    <w:rsid w:val="00A81DEA"/>
    <w:rsid w:val="00A8261C"/>
    <w:rsid w:val="00A83642"/>
    <w:rsid w:val="00A84926"/>
    <w:rsid w:val="00A85775"/>
    <w:rsid w:val="00A92F65"/>
    <w:rsid w:val="00A93641"/>
    <w:rsid w:val="00A94CB0"/>
    <w:rsid w:val="00A953E4"/>
    <w:rsid w:val="00A9626B"/>
    <w:rsid w:val="00A9664A"/>
    <w:rsid w:val="00A97ED7"/>
    <w:rsid w:val="00AA3050"/>
    <w:rsid w:val="00AA58A3"/>
    <w:rsid w:val="00AB2A59"/>
    <w:rsid w:val="00AB38E4"/>
    <w:rsid w:val="00AB5FD4"/>
    <w:rsid w:val="00AB70B5"/>
    <w:rsid w:val="00AB75FC"/>
    <w:rsid w:val="00AC0F68"/>
    <w:rsid w:val="00AC159A"/>
    <w:rsid w:val="00AC47A0"/>
    <w:rsid w:val="00AC4B02"/>
    <w:rsid w:val="00AC7CA3"/>
    <w:rsid w:val="00AD10B7"/>
    <w:rsid w:val="00AD11BD"/>
    <w:rsid w:val="00AD1275"/>
    <w:rsid w:val="00AD3752"/>
    <w:rsid w:val="00AD3A77"/>
    <w:rsid w:val="00AD3D18"/>
    <w:rsid w:val="00AD4B5F"/>
    <w:rsid w:val="00AD5F62"/>
    <w:rsid w:val="00AD6581"/>
    <w:rsid w:val="00AD721C"/>
    <w:rsid w:val="00AE0F5E"/>
    <w:rsid w:val="00AE209D"/>
    <w:rsid w:val="00AE3336"/>
    <w:rsid w:val="00AE3520"/>
    <w:rsid w:val="00AE49D1"/>
    <w:rsid w:val="00AE4AB4"/>
    <w:rsid w:val="00AE6592"/>
    <w:rsid w:val="00AF0712"/>
    <w:rsid w:val="00AF18B0"/>
    <w:rsid w:val="00AF1CD5"/>
    <w:rsid w:val="00AF5F64"/>
    <w:rsid w:val="00AF6AF6"/>
    <w:rsid w:val="00B00567"/>
    <w:rsid w:val="00B00692"/>
    <w:rsid w:val="00B01D5E"/>
    <w:rsid w:val="00B036BD"/>
    <w:rsid w:val="00B03C64"/>
    <w:rsid w:val="00B03E9B"/>
    <w:rsid w:val="00B04ED8"/>
    <w:rsid w:val="00B0618B"/>
    <w:rsid w:val="00B0642E"/>
    <w:rsid w:val="00B07039"/>
    <w:rsid w:val="00B114DB"/>
    <w:rsid w:val="00B130B3"/>
    <w:rsid w:val="00B14AAA"/>
    <w:rsid w:val="00B15B45"/>
    <w:rsid w:val="00B16AD6"/>
    <w:rsid w:val="00B16EF6"/>
    <w:rsid w:val="00B17E27"/>
    <w:rsid w:val="00B210A9"/>
    <w:rsid w:val="00B239D0"/>
    <w:rsid w:val="00B23A78"/>
    <w:rsid w:val="00B23E12"/>
    <w:rsid w:val="00B246BA"/>
    <w:rsid w:val="00B247BF"/>
    <w:rsid w:val="00B27093"/>
    <w:rsid w:val="00B27618"/>
    <w:rsid w:val="00B3052D"/>
    <w:rsid w:val="00B30C7D"/>
    <w:rsid w:val="00B30F72"/>
    <w:rsid w:val="00B3503D"/>
    <w:rsid w:val="00B358F7"/>
    <w:rsid w:val="00B36C87"/>
    <w:rsid w:val="00B40973"/>
    <w:rsid w:val="00B4326A"/>
    <w:rsid w:val="00B432BE"/>
    <w:rsid w:val="00B432E0"/>
    <w:rsid w:val="00B43B2A"/>
    <w:rsid w:val="00B44ED0"/>
    <w:rsid w:val="00B45280"/>
    <w:rsid w:val="00B50B22"/>
    <w:rsid w:val="00B516CA"/>
    <w:rsid w:val="00B52079"/>
    <w:rsid w:val="00B528EB"/>
    <w:rsid w:val="00B534E6"/>
    <w:rsid w:val="00B5388D"/>
    <w:rsid w:val="00B54F84"/>
    <w:rsid w:val="00B5603F"/>
    <w:rsid w:val="00B56DA7"/>
    <w:rsid w:val="00B576FF"/>
    <w:rsid w:val="00B57755"/>
    <w:rsid w:val="00B57ACB"/>
    <w:rsid w:val="00B57FEB"/>
    <w:rsid w:val="00B60544"/>
    <w:rsid w:val="00B60B6A"/>
    <w:rsid w:val="00B614E9"/>
    <w:rsid w:val="00B6166C"/>
    <w:rsid w:val="00B64B34"/>
    <w:rsid w:val="00B70698"/>
    <w:rsid w:val="00B73D27"/>
    <w:rsid w:val="00B7423B"/>
    <w:rsid w:val="00B74FA6"/>
    <w:rsid w:val="00B75FD5"/>
    <w:rsid w:val="00B8111B"/>
    <w:rsid w:val="00B81CCA"/>
    <w:rsid w:val="00B828FD"/>
    <w:rsid w:val="00B8610D"/>
    <w:rsid w:val="00B874AF"/>
    <w:rsid w:val="00B8756D"/>
    <w:rsid w:val="00B93A28"/>
    <w:rsid w:val="00B9420A"/>
    <w:rsid w:val="00B9522B"/>
    <w:rsid w:val="00BA00E0"/>
    <w:rsid w:val="00BA0441"/>
    <w:rsid w:val="00BA0AE4"/>
    <w:rsid w:val="00BA1132"/>
    <w:rsid w:val="00BA12F5"/>
    <w:rsid w:val="00BA149C"/>
    <w:rsid w:val="00BA14BF"/>
    <w:rsid w:val="00BA24DD"/>
    <w:rsid w:val="00BA27BE"/>
    <w:rsid w:val="00BA3283"/>
    <w:rsid w:val="00BA3302"/>
    <w:rsid w:val="00BA3E66"/>
    <w:rsid w:val="00BA62E0"/>
    <w:rsid w:val="00BA64B5"/>
    <w:rsid w:val="00BB230A"/>
    <w:rsid w:val="00BB309D"/>
    <w:rsid w:val="00BB4C25"/>
    <w:rsid w:val="00BB53F5"/>
    <w:rsid w:val="00BB6035"/>
    <w:rsid w:val="00BB6061"/>
    <w:rsid w:val="00BB6512"/>
    <w:rsid w:val="00BB7E55"/>
    <w:rsid w:val="00BC1EA9"/>
    <w:rsid w:val="00BC2047"/>
    <w:rsid w:val="00BC3293"/>
    <w:rsid w:val="00BC5649"/>
    <w:rsid w:val="00BD0917"/>
    <w:rsid w:val="00BD19A8"/>
    <w:rsid w:val="00BD3C64"/>
    <w:rsid w:val="00BD3EFB"/>
    <w:rsid w:val="00BD510C"/>
    <w:rsid w:val="00BD5E8B"/>
    <w:rsid w:val="00BD5F1B"/>
    <w:rsid w:val="00BD69E1"/>
    <w:rsid w:val="00BE1DF2"/>
    <w:rsid w:val="00BE397E"/>
    <w:rsid w:val="00BE4FE8"/>
    <w:rsid w:val="00BE545F"/>
    <w:rsid w:val="00BF1822"/>
    <w:rsid w:val="00BF3D8E"/>
    <w:rsid w:val="00BF484F"/>
    <w:rsid w:val="00BF4B04"/>
    <w:rsid w:val="00BF6161"/>
    <w:rsid w:val="00BF6EF6"/>
    <w:rsid w:val="00BF72DA"/>
    <w:rsid w:val="00BF7FC1"/>
    <w:rsid w:val="00C01776"/>
    <w:rsid w:val="00C04B2E"/>
    <w:rsid w:val="00C05101"/>
    <w:rsid w:val="00C058CD"/>
    <w:rsid w:val="00C05942"/>
    <w:rsid w:val="00C06C65"/>
    <w:rsid w:val="00C10382"/>
    <w:rsid w:val="00C104A1"/>
    <w:rsid w:val="00C1516F"/>
    <w:rsid w:val="00C16781"/>
    <w:rsid w:val="00C2003B"/>
    <w:rsid w:val="00C211D4"/>
    <w:rsid w:val="00C22685"/>
    <w:rsid w:val="00C227A6"/>
    <w:rsid w:val="00C25115"/>
    <w:rsid w:val="00C2749D"/>
    <w:rsid w:val="00C27BC4"/>
    <w:rsid w:val="00C27DA1"/>
    <w:rsid w:val="00C30202"/>
    <w:rsid w:val="00C30749"/>
    <w:rsid w:val="00C310AA"/>
    <w:rsid w:val="00C31628"/>
    <w:rsid w:val="00C328E5"/>
    <w:rsid w:val="00C32DA5"/>
    <w:rsid w:val="00C33DE0"/>
    <w:rsid w:val="00C35562"/>
    <w:rsid w:val="00C373EC"/>
    <w:rsid w:val="00C40FF5"/>
    <w:rsid w:val="00C41AE4"/>
    <w:rsid w:val="00C4203C"/>
    <w:rsid w:val="00C420E1"/>
    <w:rsid w:val="00C42293"/>
    <w:rsid w:val="00C42E99"/>
    <w:rsid w:val="00C42EB9"/>
    <w:rsid w:val="00C43E35"/>
    <w:rsid w:val="00C449F3"/>
    <w:rsid w:val="00C45CBD"/>
    <w:rsid w:val="00C46FEC"/>
    <w:rsid w:val="00C47918"/>
    <w:rsid w:val="00C50447"/>
    <w:rsid w:val="00C50D7D"/>
    <w:rsid w:val="00C55B52"/>
    <w:rsid w:val="00C55DDB"/>
    <w:rsid w:val="00C6018F"/>
    <w:rsid w:val="00C60446"/>
    <w:rsid w:val="00C64ADE"/>
    <w:rsid w:val="00C669C5"/>
    <w:rsid w:val="00C676F3"/>
    <w:rsid w:val="00C70007"/>
    <w:rsid w:val="00C70835"/>
    <w:rsid w:val="00C719DB"/>
    <w:rsid w:val="00C744C8"/>
    <w:rsid w:val="00C74AD0"/>
    <w:rsid w:val="00C76EC8"/>
    <w:rsid w:val="00C77C77"/>
    <w:rsid w:val="00C80DB6"/>
    <w:rsid w:val="00C82414"/>
    <w:rsid w:val="00C827A3"/>
    <w:rsid w:val="00C86D96"/>
    <w:rsid w:val="00C90911"/>
    <w:rsid w:val="00C9508B"/>
    <w:rsid w:val="00C95176"/>
    <w:rsid w:val="00CA0D2E"/>
    <w:rsid w:val="00CA0D94"/>
    <w:rsid w:val="00CA19DB"/>
    <w:rsid w:val="00CA1AB2"/>
    <w:rsid w:val="00CA2891"/>
    <w:rsid w:val="00CA4B68"/>
    <w:rsid w:val="00CA4F59"/>
    <w:rsid w:val="00CB1933"/>
    <w:rsid w:val="00CB1F3F"/>
    <w:rsid w:val="00CB2E84"/>
    <w:rsid w:val="00CB7E0C"/>
    <w:rsid w:val="00CC0837"/>
    <w:rsid w:val="00CC3727"/>
    <w:rsid w:val="00CC4834"/>
    <w:rsid w:val="00CC4ECE"/>
    <w:rsid w:val="00CC529F"/>
    <w:rsid w:val="00CD011F"/>
    <w:rsid w:val="00CD018E"/>
    <w:rsid w:val="00CD7186"/>
    <w:rsid w:val="00CD7D4B"/>
    <w:rsid w:val="00CE02D3"/>
    <w:rsid w:val="00CE0590"/>
    <w:rsid w:val="00CE0619"/>
    <w:rsid w:val="00CE14A7"/>
    <w:rsid w:val="00CE3A2B"/>
    <w:rsid w:val="00CE4C77"/>
    <w:rsid w:val="00CE5C37"/>
    <w:rsid w:val="00CE6AE7"/>
    <w:rsid w:val="00CF1E9F"/>
    <w:rsid w:val="00CF21F9"/>
    <w:rsid w:val="00CF26FB"/>
    <w:rsid w:val="00CF340C"/>
    <w:rsid w:val="00CF3BE8"/>
    <w:rsid w:val="00CF4224"/>
    <w:rsid w:val="00CF49A3"/>
    <w:rsid w:val="00CF50FC"/>
    <w:rsid w:val="00CF6537"/>
    <w:rsid w:val="00D02147"/>
    <w:rsid w:val="00D022A4"/>
    <w:rsid w:val="00D04724"/>
    <w:rsid w:val="00D11DE2"/>
    <w:rsid w:val="00D13713"/>
    <w:rsid w:val="00D158BF"/>
    <w:rsid w:val="00D20FC1"/>
    <w:rsid w:val="00D22031"/>
    <w:rsid w:val="00D2260E"/>
    <w:rsid w:val="00D22896"/>
    <w:rsid w:val="00D228FC"/>
    <w:rsid w:val="00D23702"/>
    <w:rsid w:val="00D23D3D"/>
    <w:rsid w:val="00D25B6E"/>
    <w:rsid w:val="00D274D1"/>
    <w:rsid w:val="00D27B69"/>
    <w:rsid w:val="00D27CFA"/>
    <w:rsid w:val="00D27D53"/>
    <w:rsid w:val="00D338BC"/>
    <w:rsid w:val="00D33FCC"/>
    <w:rsid w:val="00D34395"/>
    <w:rsid w:val="00D3638C"/>
    <w:rsid w:val="00D4310E"/>
    <w:rsid w:val="00D43D76"/>
    <w:rsid w:val="00D43FBB"/>
    <w:rsid w:val="00D4472F"/>
    <w:rsid w:val="00D4698B"/>
    <w:rsid w:val="00D46D86"/>
    <w:rsid w:val="00D506F0"/>
    <w:rsid w:val="00D547C1"/>
    <w:rsid w:val="00D548A6"/>
    <w:rsid w:val="00D554F2"/>
    <w:rsid w:val="00D55BC8"/>
    <w:rsid w:val="00D574C8"/>
    <w:rsid w:val="00D57843"/>
    <w:rsid w:val="00D57F08"/>
    <w:rsid w:val="00D61587"/>
    <w:rsid w:val="00D62270"/>
    <w:rsid w:val="00D62F85"/>
    <w:rsid w:val="00D63234"/>
    <w:rsid w:val="00D64F50"/>
    <w:rsid w:val="00D65728"/>
    <w:rsid w:val="00D667E9"/>
    <w:rsid w:val="00D66C24"/>
    <w:rsid w:val="00D675D8"/>
    <w:rsid w:val="00D6792B"/>
    <w:rsid w:val="00D70FA5"/>
    <w:rsid w:val="00D715AD"/>
    <w:rsid w:val="00D7232F"/>
    <w:rsid w:val="00D72570"/>
    <w:rsid w:val="00D74652"/>
    <w:rsid w:val="00D81343"/>
    <w:rsid w:val="00D82A08"/>
    <w:rsid w:val="00D82F97"/>
    <w:rsid w:val="00D93109"/>
    <w:rsid w:val="00D94E0F"/>
    <w:rsid w:val="00D95732"/>
    <w:rsid w:val="00D964DB"/>
    <w:rsid w:val="00D96A07"/>
    <w:rsid w:val="00D96A24"/>
    <w:rsid w:val="00DA0C33"/>
    <w:rsid w:val="00DA16F3"/>
    <w:rsid w:val="00DA1E2F"/>
    <w:rsid w:val="00DA2685"/>
    <w:rsid w:val="00DA409A"/>
    <w:rsid w:val="00DA41DC"/>
    <w:rsid w:val="00DA524A"/>
    <w:rsid w:val="00DA57D2"/>
    <w:rsid w:val="00DA6095"/>
    <w:rsid w:val="00DA70A6"/>
    <w:rsid w:val="00DA70FA"/>
    <w:rsid w:val="00DB1718"/>
    <w:rsid w:val="00DB1C54"/>
    <w:rsid w:val="00DB3D4E"/>
    <w:rsid w:val="00DB4094"/>
    <w:rsid w:val="00DB4F0A"/>
    <w:rsid w:val="00DB6018"/>
    <w:rsid w:val="00DB6950"/>
    <w:rsid w:val="00DB7B86"/>
    <w:rsid w:val="00DC24F6"/>
    <w:rsid w:val="00DC2B05"/>
    <w:rsid w:val="00DC2E17"/>
    <w:rsid w:val="00DC3392"/>
    <w:rsid w:val="00DC54BF"/>
    <w:rsid w:val="00DC7908"/>
    <w:rsid w:val="00DD3533"/>
    <w:rsid w:val="00DD397E"/>
    <w:rsid w:val="00DD3A21"/>
    <w:rsid w:val="00DD3B7E"/>
    <w:rsid w:val="00DD3E2F"/>
    <w:rsid w:val="00DD4BE2"/>
    <w:rsid w:val="00DD74DD"/>
    <w:rsid w:val="00DE457B"/>
    <w:rsid w:val="00DE631B"/>
    <w:rsid w:val="00DE65A7"/>
    <w:rsid w:val="00DE74F4"/>
    <w:rsid w:val="00DF0803"/>
    <w:rsid w:val="00DF1AF7"/>
    <w:rsid w:val="00DF30DF"/>
    <w:rsid w:val="00DF35F8"/>
    <w:rsid w:val="00DF4407"/>
    <w:rsid w:val="00DF4696"/>
    <w:rsid w:val="00DF5AB1"/>
    <w:rsid w:val="00DF67D2"/>
    <w:rsid w:val="00DF6931"/>
    <w:rsid w:val="00E01457"/>
    <w:rsid w:val="00E02A7A"/>
    <w:rsid w:val="00E03BBB"/>
    <w:rsid w:val="00E05D38"/>
    <w:rsid w:val="00E06DAE"/>
    <w:rsid w:val="00E06EED"/>
    <w:rsid w:val="00E16046"/>
    <w:rsid w:val="00E17589"/>
    <w:rsid w:val="00E20442"/>
    <w:rsid w:val="00E21F8B"/>
    <w:rsid w:val="00E23363"/>
    <w:rsid w:val="00E24A3D"/>
    <w:rsid w:val="00E256F0"/>
    <w:rsid w:val="00E25E23"/>
    <w:rsid w:val="00E26D7C"/>
    <w:rsid w:val="00E30879"/>
    <w:rsid w:val="00E31B69"/>
    <w:rsid w:val="00E34077"/>
    <w:rsid w:val="00E34523"/>
    <w:rsid w:val="00E35157"/>
    <w:rsid w:val="00E35526"/>
    <w:rsid w:val="00E36A40"/>
    <w:rsid w:val="00E37F42"/>
    <w:rsid w:val="00E40B02"/>
    <w:rsid w:val="00E41000"/>
    <w:rsid w:val="00E41F63"/>
    <w:rsid w:val="00E435D9"/>
    <w:rsid w:val="00E45022"/>
    <w:rsid w:val="00E4733C"/>
    <w:rsid w:val="00E47638"/>
    <w:rsid w:val="00E47DB7"/>
    <w:rsid w:val="00E50774"/>
    <w:rsid w:val="00E509F4"/>
    <w:rsid w:val="00E50C77"/>
    <w:rsid w:val="00E53660"/>
    <w:rsid w:val="00E54217"/>
    <w:rsid w:val="00E559BB"/>
    <w:rsid w:val="00E561FE"/>
    <w:rsid w:val="00E56EE2"/>
    <w:rsid w:val="00E57522"/>
    <w:rsid w:val="00E623E8"/>
    <w:rsid w:val="00E62EEF"/>
    <w:rsid w:val="00E63F16"/>
    <w:rsid w:val="00E644AE"/>
    <w:rsid w:val="00E675A3"/>
    <w:rsid w:val="00E67D09"/>
    <w:rsid w:val="00E70DF3"/>
    <w:rsid w:val="00E7230D"/>
    <w:rsid w:val="00E75AEF"/>
    <w:rsid w:val="00E80571"/>
    <w:rsid w:val="00E81772"/>
    <w:rsid w:val="00E81775"/>
    <w:rsid w:val="00E81963"/>
    <w:rsid w:val="00E84A78"/>
    <w:rsid w:val="00E84B0C"/>
    <w:rsid w:val="00E858F8"/>
    <w:rsid w:val="00E85D18"/>
    <w:rsid w:val="00E85D7A"/>
    <w:rsid w:val="00E86A0E"/>
    <w:rsid w:val="00E87998"/>
    <w:rsid w:val="00E92D0C"/>
    <w:rsid w:val="00E9442D"/>
    <w:rsid w:val="00E9495C"/>
    <w:rsid w:val="00E95A54"/>
    <w:rsid w:val="00E969B4"/>
    <w:rsid w:val="00EA001C"/>
    <w:rsid w:val="00EA08C9"/>
    <w:rsid w:val="00EA0D45"/>
    <w:rsid w:val="00EA115F"/>
    <w:rsid w:val="00EA2729"/>
    <w:rsid w:val="00EA4AEF"/>
    <w:rsid w:val="00EA4EDA"/>
    <w:rsid w:val="00EA5599"/>
    <w:rsid w:val="00EB00AD"/>
    <w:rsid w:val="00EB10D6"/>
    <w:rsid w:val="00EB1820"/>
    <w:rsid w:val="00EB3103"/>
    <w:rsid w:val="00EB5D6B"/>
    <w:rsid w:val="00EC1FDD"/>
    <w:rsid w:val="00EC3A08"/>
    <w:rsid w:val="00EC44B0"/>
    <w:rsid w:val="00EC4C48"/>
    <w:rsid w:val="00EC6C4D"/>
    <w:rsid w:val="00ED2E90"/>
    <w:rsid w:val="00ED3866"/>
    <w:rsid w:val="00ED390A"/>
    <w:rsid w:val="00ED39D6"/>
    <w:rsid w:val="00ED4E21"/>
    <w:rsid w:val="00ED704B"/>
    <w:rsid w:val="00EE10DA"/>
    <w:rsid w:val="00EE17D6"/>
    <w:rsid w:val="00EE1AB4"/>
    <w:rsid w:val="00EE3A5A"/>
    <w:rsid w:val="00EE45A3"/>
    <w:rsid w:val="00EE6147"/>
    <w:rsid w:val="00EE7F7D"/>
    <w:rsid w:val="00EF0043"/>
    <w:rsid w:val="00EF02D4"/>
    <w:rsid w:val="00EF0AF7"/>
    <w:rsid w:val="00EF40D7"/>
    <w:rsid w:val="00EF6A07"/>
    <w:rsid w:val="00EF6DA3"/>
    <w:rsid w:val="00EF78C0"/>
    <w:rsid w:val="00F005AF"/>
    <w:rsid w:val="00F02089"/>
    <w:rsid w:val="00F0353B"/>
    <w:rsid w:val="00F04194"/>
    <w:rsid w:val="00F05C5C"/>
    <w:rsid w:val="00F1101B"/>
    <w:rsid w:val="00F1185B"/>
    <w:rsid w:val="00F125BC"/>
    <w:rsid w:val="00F145BF"/>
    <w:rsid w:val="00F14CC2"/>
    <w:rsid w:val="00F17ECA"/>
    <w:rsid w:val="00F17EE7"/>
    <w:rsid w:val="00F22800"/>
    <w:rsid w:val="00F23593"/>
    <w:rsid w:val="00F26900"/>
    <w:rsid w:val="00F27372"/>
    <w:rsid w:val="00F27814"/>
    <w:rsid w:val="00F30D20"/>
    <w:rsid w:val="00F31549"/>
    <w:rsid w:val="00F34C74"/>
    <w:rsid w:val="00F36A64"/>
    <w:rsid w:val="00F37C92"/>
    <w:rsid w:val="00F400D1"/>
    <w:rsid w:val="00F40BFD"/>
    <w:rsid w:val="00F41566"/>
    <w:rsid w:val="00F42142"/>
    <w:rsid w:val="00F42E80"/>
    <w:rsid w:val="00F438E3"/>
    <w:rsid w:val="00F43BD1"/>
    <w:rsid w:val="00F44C09"/>
    <w:rsid w:val="00F4661C"/>
    <w:rsid w:val="00F46888"/>
    <w:rsid w:val="00F46EEF"/>
    <w:rsid w:val="00F532CC"/>
    <w:rsid w:val="00F545FB"/>
    <w:rsid w:val="00F54EAB"/>
    <w:rsid w:val="00F57C22"/>
    <w:rsid w:val="00F57C3B"/>
    <w:rsid w:val="00F63046"/>
    <w:rsid w:val="00F66552"/>
    <w:rsid w:val="00F70858"/>
    <w:rsid w:val="00F72AFA"/>
    <w:rsid w:val="00F73E72"/>
    <w:rsid w:val="00F76756"/>
    <w:rsid w:val="00F76759"/>
    <w:rsid w:val="00F82125"/>
    <w:rsid w:val="00F8309F"/>
    <w:rsid w:val="00F87409"/>
    <w:rsid w:val="00F9138F"/>
    <w:rsid w:val="00F91AC9"/>
    <w:rsid w:val="00F92ACA"/>
    <w:rsid w:val="00F92DCA"/>
    <w:rsid w:val="00F95294"/>
    <w:rsid w:val="00F9576F"/>
    <w:rsid w:val="00F9649C"/>
    <w:rsid w:val="00F96510"/>
    <w:rsid w:val="00FA177E"/>
    <w:rsid w:val="00FA3D93"/>
    <w:rsid w:val="00FA6A46"/>
    <w:rsid w:val="00FA6CE4"/>
    <w:rsid w:val="00FA6E4A"/>
    <w:rsid w:val="00FA6FF4"/>
    <w:rsid w:val="00FB23D5"/>
    <w:rsid w:val="00FB5243"/>
    <w:rsid w:val="00FB7084"/>
    <w:rsid w:val="00FC0382"/>
    <w:rsid w:val="00FC11C9"/>
    <w:rsid w:val="00FC23B5"/>
    <w:rsid w:val="00FC352D"/>
    <w:rsid w:val="00FC4B9F"/>
    <w:rsid w:val="00FC7F4B"/>
    <w:rsid w:val="00FD00A6"/>
    <w:rsid w:val="00FD0468"/>
    <w:rsid w:val="00FD0A07"/>
    <w:rsid w:val="00FD2675"/>
    <w:rsid w:val="00FD3203"/>
    <w:rsid w:val="00FD3E54"/>
    <w:rsid w:val="00FD4E49"/>
    <w:rsid w:val="00FE2004"/>
    <w:rsid w:val="00FE21E7"/>
    <w:rsid w:val="00FE3846"/>
    <w:rsid w:val="00FE53D5"/>
    <w:rsid w:val="00FE6469"/>
    <w:rsid w:val="00FF20B2"/>
    <w:rsid w:val="00FF33ED"/>
    <w:rsid w:val="00FF71C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1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CC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7CCD"/>
    <w:pPr>
      <w:spacing w:after="120" w:line="480" w:lineRule="auto"/>
    </w:pPr>
    <w:rPr>
      <w:lang w:val="x-none"/>
    </w:rPr>
  </w:style>
  <w:style w:type="character" w:customStyle="1" w:styleId="BodyText2Char">
    <w:name w:val="Body Text 2 Char"/>
    <w:basedOn w:val="DefaultParagraphFont"/>
    <w:link w:val="BodyText2"/>
    <w:rsid w:val="008B7CCD"/>
    <w:rPr>
      <w:rFonts w:ascii="Times New Roman" w:eastAsia="Times New Roman" w:hAnsi="Times New Roman" w:cs="Times New Roman"/>
      <w:sz w:val="24"/>
      <w:szCs w:val="24"/>
      <w:lang w:val="x-none" w:eastAsia="ru-RU"/>
    </w:rPr>
  </w:style>
  <w:style w:type="paragraph" w:customStyle="1" w:styleId="ATpamattesksts">
    <w:name w:val="AT pamattesksts"/>
    <w:basedOn w:val="BodyText2"/>
    <w:link w:val="ATpamatteskstsChar"/>
    <w:qFormat/>
    <w:rsid w:val="008B7CCD"/>
    <w:pPr>
      <w:spacing w:after="0" w:line="276" w:lineRule="auto"/>
      <w:ind w:firstLine="567"/>
      <w:jc w:val="both"/>
    </w:pPr>
  </w:style>
  <w:style w:type="character" w:customStyle="1" w:styleId="ATpamatteskstsChar">
    <w:name w:val="AT pamattesksts Char"/>
    <w:basedOn w:val="BodyText2Char"/>
    <w:link w:val="ATpamattesksts"/>
    <w:rsid w:val="008B7CCD"/>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8B7CCD"/>
    <w:pPr>
      <w:spacing w:line="276" w:lineRule="auto"/>
      <w:jc w:val="center"/>
      <w:outlineLvl w:val="0"/>
    </w:pPr>
    <w:rPr>
      <w:b/>
    </w:rPr>
  </w:style>
  <w:style w:type="character" w:customStyle="1" w:styleId="ATvirsrakstsChar">
    <w:name w:val="AT virsraksts Char"/>
    <w:basedOn w:val="DefaultParagraphFont"/>
    <w:link w:val="ATvirsraksts"/>
    <w:rsid w:val="008B7CCD"/>
    <w:rPr>
      <w:rFonts w:ascii="Times New Roman" w:eastAsia="Times New Roman" w:hAnsi="Times New Roman" w:cs="Times New Roman"/>
      <w:b/>
      <w:sz w:val="24"/>
      <w:szCs w:val="24"/>
      <w:lang w:eastAsia="ru-RU"/>
    </w:rPr>
  </w:style>
  <w:style w:type="paragraph" w:styleId="BalloonText">
    <w:name w:val="Balloon Text"/>
    <w:basedOn w:val="Normal"/>
    <w:link w:val="BalloonTextChar"/>
    <w:uiPriority w:val="99"/>
    <w:semiHidden/>
    <w:unhideWhenUsed/>
    <w:rsid w:val="008B7CCD"/>
    <w:rPr>
      <w:rFonts w:ascii="Tahoma" w:hAnsi="Tahoma" w:cs="Tahoma"/>
      <w:sz w:val="16"/>
      <w:szCs w:val="16"/>
    </w:rPr>
  </w:style>
  <w:style w:type="character" w:customStyle="1" w:styleId="BalloonTextChar">
    <w:name w:val="Balloon Text Char"/>
    <w:basedOn w:val="DefaultParagraphFont"/>
    <w:link w:val="BalloonText"/>
    <w:uiPriority w:val="99"/>
    <w:semiHidden/>
    <w:rsid w:val="008B7CCD"/>
    <w:rPr>
      <w:rFonts w:ascii="Tahoma" w:eastAsia="Times New Roman" w:hAnsi="Tahoma" w:cs="Tahoma"/>
      <w:sz w:val="16"/>
      <w:szCs w:val="16"/>
      <w:lang w:eastAsia="ru-RU"/>
    </w:rPr>
  </w:style>
  <w:style w:type="paragraph" w:styleId="Header">
    <w:name w:val="header"/>
    <w:basedOn w:val="Normal"/>
    <w:link w:val="HeaderChar"/>
    <w:uiPriority w:val="99"/>
    <w:unhideWhenUsed/>
    <w:rsid w:val="00F005AF"/>
    <w:pPr>
      <w:tabs>
        <w:tab w:val="center" w:pos="4153"/>
        <w:tab w:val="right" w:pos="8306"/>
      </w:tabs>
    </w:pPr>
  </w:style>
  <w:style w:type="character" w:customStyle="1" w:styleId="HeaderChar">
    <w:name w:val="Header Char"/>
    <w:basedOn w:val="DefaultParagraphFont"/>
    <w:link w:val="Header"/>
    <w:uiPriority w:val="99"/>
    <w:rsid w:val="00F005AF"/>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F005AF"/>
    <w:pPr>
      <w:tabs>
        <w:tab w:val="center" w:pos="4153"/>
        <w:tab w:val="right" w:pos="8306"/>
      </w:tabs>
    </w:pPr>
  </w:style>
  <w:style w:type="character" w:customStyle="1" w:styleId="FooterChar">
    <w:name w:val="Footer Char"/>
    <w:basedOn w:val="DefaultParagraphFont"/>
    <w:link w:val="Footer"/>
    <w:uiPriority w:val="99"/>
    <w:rsid w:val="00F005AF"/>
    <w:rPr>
      <w:rFonts w:ascii="Times New Roman" w:eastAsia="Times New Roman" w:hAnsi="Times New Roman" w:cs="Times New Roman"/>
      <w:sz w:val="24"/>
      <w:szCs w:val="24"/>
      <w:lang w:eastAsia="ru-RU"/>
    </w:rPr>
  </w:style>
  <w:style w:type="character" w:customStyle="1" w:styleId="outputecli">
    <w:name w:val="outputecli"/>
    <w:basedOn w:val="DefaultParagraphFont"/>
    <w:rsid w:val="008700D3"/>
  </w:style>
  <w:style w:type="paragraph" w:styleId="ListBullet">
    <w:name w:val="List Bullet"/>
    <w:basedOn w:val="Normal"/>
    <w:uiPriority w:val="99"/>
    <w:unhideWhenUsed/>
    <w:rsid w:val="0000468D"/>
    <w:pPr>
      <w:numPr>
        <w:numId w:val="1"/>
      </w:numPr>
      <w:contextualSpacing/>
    </w:pPr>
  </w:style>
  <w:style w:type="paragraph" w:styleId="NormalWeb">
    <w:name w:val="Normal (Web)"/>
    <w:basedOn w:val="Normal"/>
    <w:uiPriority w:val="99"/>
    <w:unhideWhenUsed/>
    <w:rsid w:val="00B27093"/>
    <w:rPr>
      <w:lang w:eastAsia="lv-LV"/>
    </w:rPr>
  </w:style>
  <w:style w:type="character" w:styleId="Emphasis">
    <w:name w:val="Emphasis"/>
    <w:basedOn w:val="DefaultParagraphFont"/>
    <w:uiPriority w:val="20"/>
    <w:qFormat/>
    <w:rsid w:val="00B27093"/>
    <w:rPr>
      <w:i/>
      <w:iCs/>
    </w:rPr>
  </w:style>
  <w:style w:type="character" w:styleId="Hyperlink">
    <w:name w:val="Hyperlink"/>
    <w:basedOn w:val="DefaultParagraphFont"/>
    <w:uiPriority w:val="99"/>
    <w:unhideWhenUsed/>
    <w:rsid w:val="005E798B"/>
    <w:rPr>
      <w:color w:val="0000FF"/>
      <w:u w:val="single"/>
    </w:rPr>
  </w:style>
  <w:style w:type="character" w:customStyle="1" w:styleId="UnresolvedMention1">
    <w:name w:val="Unresolved Mention1"/>
    <w:basedOn w:val="DefaultParagraphFont"/>
    <w:uiPriority w:val="99"/>
    <w:semiHidden/>
    <w:unhideWhenUsed/>
    <w:rsid w:val="0030391B"/>
    <w:rPr>
      <w:color w:val="605E5C"/>
      <w:shd w:val="clear" w:color="auto" w:fill="E1DFDD"/>
    </w:rPr>
  </w:style>
  <w:style w:type="character" w:customStyle="1" w:styleId="Bodytext20">
    <w:name w:val="Body text (2)_"/>
    <w:basedOn w:val="DefaultParagraphFont"/>
    <w:link w:val="Bodytext21"/>
    <w:rsid w:val="009E4AE4"/>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9E4AE4"/>
    <w:pPr>
      <w:widowControl w:val="0"/>
      <w:shd w:val="clear" w:color="auto" w:fill="FFFFFF"/>
      <w:spacing w:line="288" w:lineRule="exact"/>
      <w:ind w:hanging="460"/>
      <w:jc w:val="right"/>
    </w:pPr>
    <w:rPr>
      <w:sz w:val="22"/>
      <w:szCs w:val="22"/>
      <w:lang w:eastAsia="en-US"/>
    </w:rPr>
  </w:style>
  <w:style w:type="table" w:styleId="TableGrid">
    <w:name w:val="Table Grid"/>
    <w:basedOn w:val="TableNormal"/>
    <w:uiPriority w:val="39"/>
    <w:rsid w:val="00E3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077"/>
    <w:pPr>
      <w:ind w:left="720"/>
      <w:contextualSpacing/>
    </w:pPr>
  </w:style>
  <w:style w:type="paragraph" w:styleId="CommentText">
    <w:name w:val="annotation text"/>
    <w:basedOn w:val="Normal"/>
    <w:link w:val="CommentTextChar"/>
    <w:uiPriority w:val="99"/>
    <w:semiHidden/>
    <w:unhideWhenUsed/>
    <w:rsid w:val="002A7A91"/>
    <w:pPr>
      <w:widowControl w:val="0"/>
    </w:pPr>
    <w:rPr>
      <w:rFonts w:ascii="Arial Unicode MS" w:hAnsi="Arial Unicode MS"/>
      <w:color w:val="000000"/>
      <w:sz w:val="20"/>
      <w:szCs w:val="20"/>
      <w:lang w:eastAsia="lv-LV" w:bidi="lv-LV"/>
    </w:rPr>
  </w:style>
  <w:style w:type="character" w:customStyle="1" w:styleId="CommentTextChar">
    <w:name w:val="Comment Text Char"/>
    <w:basedOn w:val="DefaultParagraphFont"/>
    <w:link w:val="CommentText"/>
    <w:uiPriority w:val="99"/>
    <w:semiHidden/>
    <w:rsid w:val="002A7A91"/>
    <w:rPr>
      <w:rFonts w:ascii="Arial Unicode MS" w:eastAsia="Times New Roman" w:hAnsi="Arial Unicode MS" w:cs="Times New Roman"/>
      <w:color w:val="000000"/>
      <w:sz w:val="20"/>
      <w:szCs w:val="20"/>
      <w:lang w:eastAsia="lv-LV" w:bidi="lv-LV"/>
    </w:rPr>
  </w:style>
  <w:style w:type="character" w:styleId="CommentReference">
    <w:name w:val="annotation reference"/>
    <w:basedOn w:val="DefaultParagraphFont"/>
    <w:uiPriority w:val="99"/>
    <w:semiHidden/>
    <w:unhideWhenUsed/>
    <w:rsid w:val="002A7A91"/>
    <w:rPr>
      <w:sz w:val="16"/>
      <w:szCs w:val="16"/>
    </w:rPr>
  </w:style>
  <w:style w:type="character" w:customStyle="1" w:styleId="Bodytext4">
    <w:name w:val="Body text (4)_"/>
    <w:basedOn w:val="DefaultParagraphFont"/>
    <w:link w:val="Bodytext40"/>
    <w:locked/>
    <w:rsid w:val="003F3598"/>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3F3598"/>
    <w:pPr>
      <w:widowControl w:val="0"/>
      <w:shd w:val="clear" w:color="auto" w:fill="FFFFFF"/>
      <w:spacing w:before="360" w:line="283" w:lineRule="exact"/>
      <w:ind w:hanging="340"/>
      <w:jc w:val="right"/>
    </w:pPr>
    <w:rPr>
      <w:b/>
      <w:bCs/>
      <w:sz w:val="22"/>
      <w:szCs w:val="22"/>
      <w:lang w:eastAsia="en-US"/>
    </w:rPr>
  </w:style>
  <w:style w:type="paragraph" w:styleId="CommentSubject">
    <w:name w:val="annotation subject"/>
    <w:basedOn w:val="CommentText"/>
    <w:next w:val="CommentText"/>
    <w:link w:val="CommentSubjectChar"/>
    <w:uiPriority w:val="99"/>
    <w:semiHidden/>
    <w:unhideWhenUsed/>
    <w:rsid w:val="001D68F1"/>
    <w:pPr>
      <w:widowControl/>
    </w:pPr>
    <w:rPr>
      <w:rFonts w:ascii="Times New Roman" w:hAnsi="Times New Roman"/>
      <w:b/>
      <w:bCs/>
      <w:color w:val="auto"/>
      <w:lang w:eastAsia="ru-RU" w:bidi="ar-SA"/>
    </w:rPr>
  </w:style>
  <w:style w:type="character" w:customStyle="1" w:styleId="CommentSubjectChar">
    <w:name w:val="Comment Subject Char"/>
    <w:basedOn w:val="CommentTextChar"/>
    <w:link w:val="CommentSubject"/>
    <w:uiPriority w:val="99"/>
    <w:semiHidden/>
    <w:rsid w:val="001D68F1"/>
    <w:rPr>
      <w:rFonts w:ascii="Times New Roman" w:eastAsia="Times New Roman" w:hAnsi="Times New Roman" w:cs="Times New Roman"/>
      <w:b/>
      <w:bCs/>
      <w:color w:val="000000"/>
      <w:sz w:val="20"/>
      <w:szCs w:val="20"/>
      <w:lang w:eastAsia="ru-RU" w:bidi="lv-LV"/>
    </w:rPr>
  </w:style>
  <w:style w:type="character" w:customStyle="1" w:styleId="Bodytext2Italic">
    <w:name w:val="Body text (2) + Italic"/>
    <w:basedOn w:val="Bodytext20"/>
    <w:rsid w:val="00046A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lv-LV" w:eastAsia="lv-LV" w:bidi="lv-LV"/>
    </w:rPr>
  </w:style>
  <w:style w:type="character" w:customStyle="1" w:styleId="Bodytext8NotItalic">
    <w:name w:val="Body text (8) + Not Italic"/>
    <w:basedOn w:val="DefaultParagraphFont"/>
    <w:rsid w:val="008D076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paragraph" w:customStyle="1" w:styleId="tv213">
    <w:name w:val="tv213"/>
    <w:basedOn w:val="Normal"/>
    <w:rsid w:val="001A49D8"/>
    <w:pPr>
      <w:spacing w:before="100" w:beforeAutospacing="1" w:after="100" w:afterAutospacing="1"/>
    </w:pPr>
    <w:rPr>
      <w:lang w:eastAsia="lv-LV"/>
    </w:rPr>
  </w:style>
  <w:style w:type="paragraph" w:customStyle="1" w:styleId="Default">
    <w:name w:val="Default"/>
    <w:rsid w:val="00C45CBD"/>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Revision">
    <w:name w:val="Revision"/>
    <w:hidden/>
    <w:uiPriority w:val="99"/>
    <w:semiHidden/>
    <w:rsid w:val="00D4698B"/>
    <w:pPr>
      <w:spacing w:after="0" w:line="240" w:lineRule="auto"/>
    </w:pPr>
    <w:rPr>
      <w:rFonts w:ascii="Times New Roman" w:eastAsia="Times New Roman" w:hAnsi="Times New Roman" w:cs="Times New Roman"/>
      <w:sz w:val="24"/>
      <w:szCs w:val="24"/>
      <w:lang w:eastAsia="ru-RU"/>
    </w:rPr>
  </w:style>
  <w:style w:type="paragraph" w:customStyle="1" w:styleId="c01pointnumerotealtn">
    <w:name w:val="c01pointnumerotealtn"/>
    <w:basedOn w:val="Normal"/>
    <w:rsid w:val="00EA0D45"/>
    <w:pPr>
      <w:spacing w:before="100" w:beforeAutospacing="1" w:after="100" w:afterAutospacing="1"/>
    </w:pPr>
    <w:rPr>
      <w:lang w:eastAsia="lv-LV"/>
    </w:rPr>
  </w:style>
  <w:style w:type="paragraph" w:customStyle="1" w:styleId="Normal1">
    <w:name w:val="Normal1"/>
    <w:basedOn w:val="Normal"/>
    <w:rsid w:val="007F2B34"/>
    <w:pPr>
      <w:spacing w:before="100" w:beforeAutospacing="1" w:after="100" w:afterAutospacing="1"/>
    </w:pPr>
    <w:rPr>
      <w:lang w:eastAsia="lv-LV"/>
    </w:rPr>
  </w:style>
  <w:style w:type="paragraph" w:customStyle="1" w:styleId="c02alineaalta">
    <w:name w:val="c02alineaalta"/>
    <w:basedOn w:val="Normal"/>
    <w:rsid w:val="002F679F"/>
    <w:pPr>
      <w:spacing w:before="100" w:beforeAutospacing="1" w:after="100" w:afterAutospacing="1"/>
    </w:pPr>
    <w:rPr>
      <w:lang w:eastAsia="lv-LV"/>
    </w:rPr>
  </w:style>
  <w:style w:type="table" w:customStyle="1" w:styleId="TableGrid1">
    <w:name w:val="Table Grid1"/>
    <w:basedOn w:val="TableNormal"/>
    <w:next w:val="TableGrid"/>
    <w:uiPriority w:val="39"/>
    <w:rsid w:val="00F767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2929">
      <w:bodyDiv w:val="1"/>
      <w:marLeft w:val="0"/>
      <w:marRight w:val="0"/>
      <w:marTop w:val="0"/>
      <w:marBottom w:val="0"/>
      <w:divBdr>
        <w:top w:val="none" w:sz="0" w:space="0" w:color="auto"/>
        <w:left w:val="none" w:sz="0" w:space="0" w:color="auto"/>
        <w:bottom w:val="none" w:sz="0" w:space="0" w:color="auto"/>
        <w:right w:val="none" w:sz="0" w:space="0" w:color="auto"/>
      </w:divBdr>
    </w:div>
    <w:div w:id="102969183">
      <w:bodyDiv w:val="1"/>
      <w:marLeft w:val="0"/>
      <w:marRight w:val="0"/>
      <w:marTop w:val="0"/>
      <w:marBottom w:val="0"/>
      <w:divBdr>
        <w:top w:val="none" w:sz="0" w:space="0" w:color="auto"/>
        <w:left w:val="none" w:sz="0" w:space="0" w:color="auto"/>
        <w:bottom w:val="none" w:sz="0" w:space="0" w:color="auto"/>
        <w:right w:val="none" w:sz="0" w:space="0" w:color="auto"/>
      </w:divBdr>
    </w:div>
    <w:div w:id="117338549">
      <w:bodyDiv w:val="1"/>
      <w:marLeft w:val="0"/>
      <w:marRight w:val="0"/>
      <w:marTop w:val="0"/>
      <w:marBottom w:val="0"/>
      <w:divBdr>
        <w:top w:val="none" w:sz="0" w:space="0" w:color="auto"/>
        <w:left w:val="none" w:sz="0" w:space="0" w:color="auto"/>
        <w:bottom w:val="none" w:sz="0" w:space="0" w:color="auto"/>
        <w:right w:val="none" w:sz="0" w:space="0" w:color="auto"/>
      </w:divBdr>
    </w:div>
    <w:div w:id="122113318">
      <w:bodyDiv w:val="1"/>
      <w:marLeft w:val="0"/>
      <w:marRight w:val="0"/>
      <w:marTop w:val="0"/>
      <w:marBottom w:val="0"/>
      <w:divBdr>
        <w:top w:val="none" w:sz="0" w:space="0" w:color="auto"/>
        <w:left w:val="none" w:sz="0" w:space="0" w:color="auto"/>
        <w:bottom w:val="none" w:sz="0" w:space="0" w:color="auto"/>
        <w:right w:val="none" w:sz="0" w:space="0" w:color="auto"/>
      </w:divBdr>
    </w:div>
    <w:div w:id="127206211">
      <w:bodyDiv w:val="1"/>
      <w:marLeft w:val="0"/>
      <w:marRight w:val="0"/>
      <w:marTop w:val="0"/>
      <w:marBottom w:val="0"/>
      <w:divBdr>
        <w:top w:val="none" w:sz="0" w:space="0" w:color="auto"/>
        <w:left w:val="none" w:sz="0" w:space="0" w:color="auto"/>
        <w:bottom w:val="none" w:sz="0" w:space="0" w:color="auto"/>
        <w:right w:val="none" w:sz="0" w:space="0" w:color="auto"/>
      </w:divBdr>
    </w:div>
    <w:div w:id="252126665">
      <w:bodyDiv w:val="1"/>
      <w:marLeft w:val="0"/>
      <w:marRight w:val="0"/>
      <w:marTop w:val="0"/>
      <w:marBottom w:val="0"/>
      <w:divBdr>
        <w:top w:val="none" w:sz="0" w:space="0" w:color="auto"/>
        <w:left w:val="none" w:sz="0" w:space="0" w:color="auto"/>
        <w:bottom w:val="none" w:sz="0" w:space="0" w:color="auto"/>
        <w:right w:val="none" w:sz="0" w:space="0" w:color="auto"/>
      </w:divBdr>
    </w:div>
    <w:div w:id="272398579">
      <w:bodyDiv w:val="1"/>
      <w:marLeft w:val="0"/>
      <w:marRight w:val="0"/>
      <w:marTop w:val="0"/>
      <w:marBottom w:val="0"/>
      <w:divBdr>
        <w:top w:val="none" w:sz="0" w:space="0" w:color="auto"/>
        <w:left w:val="none" w:sz="0" w:space="0" w:color="auto"/>
        <w:bottom w:val="none" w:sz="0" w:space="0" w:color="auto"/>
        <w:right w:val="none" w:sz="0" w:space="0" w:color="auto"/>
      </w:divBdr>
    </w:div>
    <w:div w:id="292057511">
      <w:bodyDiv w:val="1"/>
      <w:marLeft w:val="0"/>
      <w:marRight w:val="0"/>
      <w:marTop w:val="0"/>
      <w:marBottom w:val="0"/>
      <w:divBdr>
        <w:top w:val="none" w:sz="0" w:space="0" w:color="auto"/>
        <w:left w:val="none" w:sz="0" w:space="0" w:color="auto"/>
        <w:bottom w:val="none" w:sz="0" w:space="0" w:color="auto"/>
        <w:right w:val="none" w:sz="0" w:space="0" w:color="auto"/>
      </w:divBdr>
    </w:div>
    <w:div w:id="319577186">
      <w:bodyDiv w:val="1"/>
      <w:marLeft w:val="0"/>
      <w:marRight w:val="0"/>
      <w:marTop w:val="0"/>
      <w:marBottom w:val="0"/>
      <w:divBdr>
        <w:top w:val="none" w:sz="0" w:space="0" w:color="auto"/>
        <w:left w:val="none" w:sz="0" w:space="0" w:color="auto"/>
        <w:bottom w:val="none" w:sz="0" w:space="0" w:color="auto"/>
        <w:right w:val="none" w:sz="0" w:space="0" w:color="auto"/>
      </w:divBdr>
    </w:div>
    <w:div w:id="378944294">
      <w:bodyDiv w:val="1"/>
      <w:marLeft w:val="0"/>
      <w:marRight w:val="0"/>
      <w:marTop w:val="0"/>
      <w:marBottom w:val="0"/>
      <w:divBdr>
        <w:top w:val="none" w:sz="0" w:space="0" w:color="auto"/>
        <w:left w:val="none" w:sz="0" w:space="0" w:color="auto"/>
        <w:bottom w:val="none" w:sz="0" w:space="0" w:color="auto"/>
        <w:right w:val="none" w:sz="0" w:space="0" w:color="auto"/>
      </w:divBdr>
    </w:div>
    <w:div w:id="511918942">
      <w:bodyDiv w:val="1"/>
      <w:marLeft w:val="0"/>
      <w:marRight w:val="0"/>
      <w:marTop w:val="0"/>
      <w:marBottom w:val="0"/>
      <w:divBdr>
        <w:top w:val="none" w:sz="0" w:space="0" w:color="auto"/>
        <w:left w:val="none" w:sz="0" w:space="0" w:color="auto"/>
        <w:bottom w:val="none" w:sz="0" w:space="0" w:color="auto"/>
        <w:right w:val="none" w:sz="0" w:space="0" w:color="auto"/>
      </w:divBdr>
    </w:div>
    <w:div w:id="631791832">
      <w:bodyDiv w:val="1"/>
      <w:marLeft w:val="0"/>
      <w:marRight w:val="0"/>
      <w:marTop w:val="0"/>
      <w:marBottom w:val="0"/>
      <w:divBdr>
        <w:top w:val="none" w:sz="0" w:space="0" w:color="auto"/>
        <w:left w:val="none" w:sz="0" w:space="0" w:color="auto"/>
        <w:bottom w:val="none" w:sz="0" w:space="0" w:color="auto"/>
        <w:right w:val="none" w:sz="0" w:space="0" w:color="auto"/>
      </w:divBdr>
    </w:div>
    <w:div w:id="656036376">
      <w:bodyDiv w:val="1"/>
      <w:marLeft w:val="0"/>
      <w:marRight w:val="0"/>
      <w:marTop w:val="0"/>
      <w:marBottom w:val="0"/>
      <w:divBdr>
        <w:top w:val="none" w:sz="0" w:space="0" w:color="auto"/>
        <w:left w:val="none" w:sz="0" w:space="0" w:color="auto"/>
        <w:bottom w:val="none" w:sz="0" w:space="0" w:color="auto"/>
        <w:right w:val="none" w:sz="0" w:space="0" w:color="auto"/>
      </w:divBdr>
      <w:divsChild>
        <w:div w:id="597099952">
          <w:marLeft w:val="0"/>
          <w:marRight w:val="0"/>
          <w:marTop w:val="0"/>
          <w:marBottom w:val="0"/>
          <w:divBdr>
            <w:top w:val="none" w:sz="0" w:space="0" w:color="auto"/>
            <w:left w:val="none" w:sz="0" w:space="0" w:color="auto"/>
            <w:bottom w:val="none" w:sz="0" w:space="0" w:color="auto"/>
            <w:right w:val="none" w:sz="0" w:space="0" w:color="auto"/>
          </w:divBdr>
        </w:div>
      </w:divsChild>
    </w:div>
    <w:div w:id="784545791">
      <w:bodyDiv w:val="1"/>
      <w:marLeft w:val="0"/>
      <w:marRight w:val="0"/>
      <w:marTop w:val="0"/>
      <w:marBottom w:val="0"/>
      <w:divBdr>
        <w:top w:val="none" w:sz="0" w:space="0" w:color="auto"/>
        <w:left w:val="none" w:sz="0" w:space="0" w:color="auto"/>
        <w:bottom w:val="none" w:sz="0" w:space="0" w:color="auto"/>
        <w:right w:val="none" w:sz="0" w:space="0" w:color="auto"/>
      </w:divBdr>
    </w:div>
    <w:div w:id="786698566">
      <w:bodyDiv w:val="1"/>
      <w:marLeft w:val="0"/>
      <w:marRight w:val="0"/>
      <w:marTop w:val="0"/>
      <w:marBottom w:val="0"/>
      <w:divBdr>
        <w:top w:val="none" w:sz="0" w:space="0" w:color="auto"/>
        <w:left w:val="none" w:sz="0" w:space="0" w:color="auto"/>
        <w:bottom w:val="none" w:sz="0" w:space="0" w:color="auto"/>
        <w:right w:val="none" w:sz="0" w:space="0" w:color="auto"/>
      </w:divBdr>
    </w:div>
    <w:div w:id="1122268006">
      <w:bodyDiv w:val="1"/>
      <w:marLeft w:val="0"/>
      <w:marRight w:val="0"/>
      <w:marTop w:val="0"/>
      <w:marBottom w:val="0"/>
      <w:divBdr>
        <w:top w:val="none" w:sz="0" w:space="0" w:color="auto"/>
        <w:left w:val="none" w:sz="0" w:space="0" w:color="auto"/>
        <w:bottom w:val="none" w:sz="0" w:space="0" w:color="auto"/>
        <w:right w:val="none" w:sz="0" w:space="0" w:color="auto"/>
      </w:divBdr>
    </w:div>
    <w:div w:id="1253930327">
      <w:bodyDiv w:val="1"/>
      <w:marLeft w:val="0"/>
      <w:marRight w:val="0"/>
      <w:marTop w:val="0"/>
      <w:marBottom w:val="0"/>
      <w:divBdr>
        <w:top w:val="none" w:sz="0" w:space="0" w:color="auto"/>
        <w:left w:val="none" w:sz="0" w:space="0" w:color="auto"/>
        <w:bottom w:val="none" w:sz="0" w:space="0" w:color="auto"/>
        <w:right w:val="none" w:sz="0" w:space="0" w:color="auto"/>
      </w:divBdr>
    </w:div>
    <w:div w:id="1318262683">
      <w:bodyDiv w:val="1"/>
      <w:marLeft w:val="0"/>
      <w:marRight w:val="0"/>
      <w:marTop w:val="0"/>
      <w:marBottom w:val="0"/>
      <w:divBdr>
        <w:top w:val="none" w:sz="0" w:space="0" w:color="auto"/>
        <w:left w:val="none" w:sz="0" w:space="0" w:color="auto"/>
        <w:bottom w:val="none" w:sz="0" w:space="0" w:color="auto"/>
        <w:right w:val="none" w:sz="0" w:space="0" w:color="auto"/>
      </w:divBdr>
    </w:div>
    <w:div w:id="1388215614">
      <w:bodyDiv w:val="1"/>
      <w:marLeft w:val="0"/>
      <w:marRight w:val="0"/>
      <w:marTop w:val="0"/>
      <w:marBottom w:val="0"/>
      <w:divBdr>
        <w:top w:val="none" w:sz="0" w:space="0" w:color="auto"/>
        <w:left w:val="none" w:sz="0" w:space="0" w:color="auto"/>
        <w:bottom w:val="none" w:sz="0" w:space="0" w:color="auto"/>
        <w:right w:val="none" w:sz="0" w:space="0" w:color="auto"/>
      </w:divBdr>
    </w:div>
    <w:div w:id="1395197535">
      <w:bodyDiv w:val="1"/>
      <w:marLeft w:val="0"/>
      <w:marRight w:val="0"/>
      <w:marTop w:val="0"/>
      <w:marBottom w:val="0"/>
      <w:divBdr>
        <w:top w:val="none" w:sz="0" w:space="0" w:color="auto"/>
        <w:left w:val="none" w:sz="0" w:space="0" w:color="auto"/>
        <w:bottom w:val="none" w:sz="0" w:space="0" w:color="auto"/>
        <w:right w:val="none" w:sz="0" w:space="0" w:color="auto"/>
      </w:divBdr>
    </w:div>
    <w:div w:id="1417438835">
      <w:bodyDiv w:val="1"/>
      <w:marLeft w:val="0"/>
      <w:marRight w:val="0"/>
      <w:marTop w:val="0"/>
      <w:marBottom w:val="0"/>
      <w:divBdr>
        <w:top w:val="none" w:sz="0" w:space="0" w:color="auto"/>
        <w:left w:val="none" w:sz="0" w:space="0" w:color="auto"/>
        <w:bottom w:val="none" w:sz="0" w:space="0" w:color="auto"/>
        <w:right w:val="none" w:sz="0" w:space="0" w:color="auto"/>
      </w:divBdr>
      <w:divsChild>
        <w:div w:id="1803574267">
          <w:marLeft w:val="360"/>
          <w:marRight w:val="0"/>
          <w:marTop w:val="200"/>
          <w:marBottom w:val="0"/>
          <w:divBdr>
            <w:top w:val="none" w:sz="0" w:space="0" w:color="auto"/>
            <w:left w:val="none" w:sz="0" w:space="0" w:color="auto"/>
            <w:bottom w:val="none" w:sz="0" w:space="0" w:color="auto"/>
            <w:right w:val="none" w:sz="0" w:space="0" w:color="auto"/>
          </w:divBdr>
        </w:div>
      </w:divsChild>
    </w:div>
    <w:div w:id="1455826803">
      <w:bodyDiv w:val="1"/>
      <w:marLeft w:val="0"/>
      <w:marRight w:val="0"/>
      <w:marTop w:val="0"/>
      <w:marBottom w:val="0"/>
      <w:divBdr>
        <w:top w:val="none" w:sz="0" w:space="0" w:color="auto"/>
        <w:left w:val="none" w:sz="0" w:space="0" w:color="auto"/>
        <w:bottom w:val="none" w:sz="0" w:space="0" w:color="auto"/>
        <w:right w:val="none" w:sz="0" w:space="0" w:color="auto"/>
      </w:divBdr>
    </w:div>
    <w:div w:id="1457990189">
      <w:bodyDiv w:val="1"/>
      <w:marLeft w:val="0"/>
      <w:marRight w:val="0"/>
      <w:marTop w:val="0"/>
      <w:marBottom w:val="0"/>
      <w:divBdr>
        <w:top w:val="none" w:sz="0" w:space="0" w:color="auto"/>
        <w:left w:val="none" w:sz="0" w:space="0" w:color="auto"/>
        <w:bottom w:val="none" w:sz="0" w:space="0" w:color="auto"/>
        <w:right w:val="none" w:sz="0" w:space="0" w:color="auto"/>
      </w:divBdr>
    </w:div>
    <w:div w:id="1476609340">
      <w:bodyDiv w:val="1"/>
      <w:marLeft w:val="0"/>
      <w:marRight w:val="0"/>
      <w:marTop w:val="0"/>
      <w:marBottom w:val="0"/>
      <w:divBdr>
        <w:top w:val="none" w:sz="0" w:space="0" w:color="auto"/>
        <w:left w:val="none" w:sz="0" w:space="0" w:color="auto"/>
        <w:bottom w:val="none" w:sz="0" w:space="0" w:color="auto"/>
        <w:right w:val="none" w:sz="0" w:space="0" w:color="auto"/>
      </w:divBdr>
    </w:div>
    <w:div w:id="1496991223">
      <w:bodyDiv w:val="1"/>
      <w:marLeft w:val="0"/>
      <w:marRight w:val="0"/>
      <w:marTop w:val="0"/>
      <w:marBottom w:val="0"/>
      <w:divBdr>
        <w:top w:val="none" w:sz="0" w:space="0" w:color="auto"/>
        <w:left w:val="none" w:sz="0" w:space="0" w:color="auto"/>
        <w:bottom w:val="none" w:sz="0" w:space="0" w:color="auto"/>
        <w:right w:val="none" w:sz="0" w:space="0" w:color="auto"/>
      </w:divBdr>
    </w:div>
    <w:div w:id="1515921096">
      <w:bodyDiv w:val="1"/>
      <w:marLeft w:val="0"/>
      <w:marRight w:val="0"/>
      <w:marTop w:val="0"/>
      <w:marBottom w:val="0"/>
      <w:divBdr>
        <w:top w:val="none" w:sz="0" w:space="0" w:color="auto"/>
        <w:left w:val="none" w:sz="0" w:space="0" w:color="auto"/>
        <w:bottom w:val="none" w:sz="0" w:space="0" w:color="auto"/>
        <w:right w:val="none" w:sz="0" w:space="0" w:color="auto"/>
      </w:divBdr>
      <w:divsChild>
        <w:div w:id="1940334654">
          <w:marLeft w:val="0"/>
          <w:marRight w:val="0"/>
          <w:marTop w:val="0"/>
          <w:marBottom w:val="0"/>
          <w:divBdr>
            <w:top w:val="none" w:sz="0" w:space="0" w:color="auto"/>
            <w:left w:val="none" w:sz="0" w:space="0" w:color="auto"/>
            <w:bottom w:val="none" w:sz="0" w:space="0" w:color="auto"/>
            <w:right w:val="none" w:sz="0" w:space="0" w:color="auto"/>
          </w:divBdr>
        </w:div>
      </w:divsChild>
    </w:div>
    <w:div w:id="1565333145">
      <w:bodyDiv w:val="1"/>
      <w:marLeft w:val="0"/>
      <w:marRight w:val="0"/>
      <w:marTop w:val="0"/>
      <w:marBottom w:val="0"/>
      <w:divBdr>
        <w:top w:val="none" w:sz="0" w:space="0" w:color="auto"/>
        <w:left w:val="none" w:sz="0" w:space="0" w:color="auto"/>
        <w:bottom w:val="none" w:sz="0" w:space="0" w:color="auto"/>
        <w:right w:val="none" w:sz="0" w:space="0" w:color="auto"/>
      </w:divBdr>
    </w:div>
    <w:div w:id="1622884599">
      <w:bodyDiv w:val="1"/>
      <w:marLeft w:val="0"/>
      <w:marRight w:val="0"/>
      <w:marTop w:val="0"/>
      <w:marBottom w:val="0"/>
      <w:divBdr>
        <w:top w:val="none" w:sz="0" w:space="0" w:color="auto"/>
        <w:left w:val="none" w:sz="0" w:space="0" w:color="auto"/>
        <w:bottom w:val="none" w:sz="0" w:space="0" w:color="auto"/>
        <w:right w:val="none" w:sz="0" w:space="0" w:color="auto"/>
      </w:divBdr>
    </w:div>
    <w:div w:id="1655450862">
      <w:bodyDiv w:val="1"/>
      <w:marLeft w:val="0"/>
      <w:marRight w:val="0"/>
      <w:marTop w:val="0"/>
      <w:marBottom w:val="0"/>
      <w:divBdr>
        <w:top w:val="none" w:sz="0" w:space="0" w:color="auto"/>
        <w:left w:val="none" w:sz="0" w:space="0" w:color="auto"/>
        <w:bottom w:val="none" w:sz="0" w:space="0" w:color="auto"/>
        <w:right w:val="none" w:sz="0" w:space="0" w:color="auto"/>
      </w:divBdr>
      <w:divsChild>
        <w:div w:id="1985158577">
          <w:marLeft w:val="0"/>
          <w:marRight w:val="0"/>
          <w:marTop w:val="0"/>
          <w:marBottom w:val="0"/>
          <w:divBdr>
            <w:top w:val="none" w:sz="0" w:space="0" w:color="auto"/>
            <w:left w:val="none" w:sz="0" w:space="0" w:color="auto"/>
            <w:bottom w:val="none" w:sz="0" w:space="0" w:color="auto"/>
            <w:right w:val="none" w:sz="0" w:space="0" w:color="auto"/>
          </w:divBdr>
        </w:div>
      </w:divsChild>
    </w:div>
    <w:div w:id="1693411868">
      <w:bodyDiv w:val="1"/>
      <w:marLeft w:val="0"/>
      <w:marRight w:val="0"/>
      <w:marTop w:val="0"/>
      <w:marBottom w:val="0"/>
      <w:divBdr>
        <w:top w:val="none" w:sz="0" w:space="0" w:color="auto"/>
        <w:left w:val="none" w:sz="0" w:space="0" w:color="auto"/>
        <w:bottom w:val="none" w:sz="0" w:space="0" w:color="auto"/>
        <w:right w:val="none" w:sz="0" w:space="0" w:color="auto"/>
      </w:divBdr>
    </w:div>
    <w:div w:id="1786609585">
      <w:bodyDiv w:val="1"/>
      <w:marLeft w:val="0"/>
      <w:marRight w:val="0"/>
      <w:marTop w:val="0"/>
      <w:marBottom w:val="0"/>
      <w:divBdr>
        <w:top w:val="none" w:sz="0" w:space="0" w:color="auto"/>
        <w:left w:val="none" w:sz="0" w:space="0" w:color="auto"/>
        <w:bottom w:val="none" w:sz="0" w:space="0" w:color="auto"/>
        <w:right w:val="none" w:sz="0" w:space="0" w:color="auto"/>
      </w:divBdr>
    </w:div>
    <w:div w:id="1798139027">
      <w:bodyDiv w:val="1"/>
      <w:marLeft w:val="0"/>
      <w:marRight w:val="0"/>
      <w:marTop w:val="0"/>
      <w:marBottom w:val="0"/>
      <w:divBdr>
        <w:top w:val="none" w:sz="0" w:space="0" w:color="auto"/>
        <w:left w:val="none" w:sz="0" w:space="0" w:color="auto"/>
        <w:bottom w:val="none" w:sz="0" w:space="0" w:color="auto"/>
        <w:right w:val="none" w:sz="0" w:space="0" w:color="auto"/>
      </w:divBdr>
    </w:div>
    <w:div w:id="1880849767">
      <w:bodyDiv w:val="1"/>
      <w:marLeft w:val="0"/>
      <w:marRight w:val="0"/>
      <w:marTop w:val="0"/>
      <w:marBottom w:val="0"/>
      <w:divBdr>
        <w:top w:val="none" w:sz="0" w:space="0" w:color="auto"/>
        <w:left w:val="none" w:sz="0" w:space="0" w:color="auto"/>
        <w:bottom w:val="none" w:sz="0" w:space="0" w:color="auto"/>
        <w:right w:val="none" w:sz="0" w:space="0" w:color="auto"/>
      </w:divBdr>
    </w:div>
    <w:div w:id="1893619109">
      <w:bodyDiv w:val="1"/>
      <w:marLeft w:val="0"/>
      <w:marRight w:val="0"/>
      <w:marTop w:val="0"/>
      <w:marBottom w:val="0"/>
      <w:divBdr>
        <w:top w:val="none" w:sz="0" w:space="0" w:color="auto"/>
        <w:left w:val="none" w:sz="0" w:space="0" w:color="auto"/>
        <w:bottom w:val="none" w:sz="0" w:space="0" w:color="auto"/>
        <w:right w:val="none" w:sz="0" w:space="0" w:color="auto"/>
      </w:divBdr>
    </w:div>
    <w:div w:id="1904827847">
      <w:bodyDiv w:val="1"/>
      <w:marLeft w:val="0"/>
      <w:marRight w:val="0"/>
      <w:marTop w:val="0"/>
      <w:marBottom w:val="0"/>
      <w:divBdr>
        <w:top w:val="none" w:sz="0" w:space="0" w:color="auto"/>
        <w:left w:val="none" w:sz="0" w:space="0" w:color="auto"/>
        <w:bottom w:val="none" w:sz="0" w:space="0" w:color="auto"/>
        <w:right w:val="none" w:sz="0" w:space="0" w:color="auto"/>
      </w:divBdr>
    </w:div>
    <w:div w:id="1936743730">
      <w:bodyDiv w:val="1"/>
      <w:marLeft w:val="0"/>
      <w:marRight w:val="0"/>
      <w:marTop w:val="0"/>
      <w:marBottom w:val="0"/>
      <w:divBdr>
        <w:top w:val="none" w:sz="0" w:space="0" w:color="auto"/>
        <w:left w:val="none" w:sz="0" w:space="0" w:color="auto"/>
        <w:bottom w:val="none" w:sz="0" w:space="0" w:color="auto"/>
        <w:right w:val="none" w:sz="0" w:space="0" w:color="auto"/>
      </w:divBdr>
    </w:div>
    <w:div w:id="1964529863">
      <w:bodyDiv w:val="1"/>
      <w:marLeft w:val="0"/>
      <w:marRight w:val="0"/>
      <w:marTop w:val="0"/>
      <w:marBottom w:val="0"/>
      <w:divBdr>
        <w:top w:val="none" w:sz="0" w:space="0" w:color="auto"/>
        <w:left w:val="none" w:sz="0" w:space="0" w:color="auto"/>
        <w:bottom w:val="none" w:sz="0" w:space="0" w:color="auto"/>
        <w:right w:val="none" w:sz="0" w:space="0" w:color="auto"/>
      </w:divBdr>
    </w:div>
    <w:div w:id="1999649877">
      <w:bodyDiv w:val="1"/>
      <w:marLeft w:val="0"/>
      <w:marRight w:val="0"/>
      <w:marTop w:val="0"/>
      <w:marBottom w:val="0"/>
      <w:divBdr>
        <w:top w:val="none" w:sz="0" w:space="0" w:color="auto"/>
        <w:left w:val="none" w:sz="0" w:space="0" w:color="auto"/>
        <w:bottom w:val="none" w:sz="0" w:space="0" w:color="auto"/>
        <w:right w:val="none" w:sz="0" w:space="0" w:color="auto"/>
      </w:divBdr>
    </w:div>
    <w:div w:id="2064597461">
      <w:bodyDiv w:val="1"/>
      <w:marLeft w:val="0"/>
      <w:marRight w:val="0"/>
      <w:marTop w:val="0"/>
      <w:marBottom w:val="0"/>
      <w:divBdr>
        <w:top w:val="none" w:sz="0" w:space="0" w:color="auto"/>
        <w:left w:val="none" w:sz="0" w:space="0" w:color="auto"/>
        <w:bottom w:val="none" w:sz="0" w:space="0" w:color="auto"/>
        <w:right w:val="none" w:sz="0" w:space="0" w:color="auto"/>
      </w:divBdr>
    </w:div>
    <w:div w:id="2076971093">
      <w:bodyDiv w:val="1"/>
      <w:marLeft w:val="0"/>
      <w:marRight w:val="0"/>
      <w:marTop w:val="0"/>
      <w:marBottom w:val="0"/>
      <w:divBdr>
        <w:top w:val="none" w:sz="0" w:space="0" w:color="auto"/>
        <w:left w:val="none" w:sz="0" w:space="0" w:color="auto"/>
        <w:bottom w:val="none" w:sz="0" w:space="0" w:color="auto"/>
        <w:right w:val="none" w:sz="0" w:space="0" w:color="auto"/>
      </w:divBdr>
    </w:div>
    <w:div w:id="2128814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1031.A420277520.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22:0627.A420181417.13.S" TargetMode="External"/><Relationship Id="rId5" Type="http://schemas.openxmlformats.org/officeDocument/2006/relationships/webSettings" Target="webSettings.xml"/><Relationship Id="rId10" Type="http://schemas.openxmlformats.org/officeDocument/2006/relationships/hyperlink" Target="https://manas.tiesas.lv/eTiesasMvc/eclinolemumi/ECLI:LV:AT:2021:1222.A420183117.17.S" TargetMode="External"/><Relationship Id="rId4" Type="http://schemas.openxmlformats.org/officeDocument/2006/relationships/settings" Target="settings.xml"/><Relationship Id="rId9" Type="http://schemas.openxmlformats.org/officeDocument/2006/relationships/hyperlink" Target="https://manas.tiesas.lv/eTiesasMvc/eclinolemumi/ECLI:LV:AT:2021:0312.A420177016.8.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678A3-D1B0-4DCC-9414-75FD10FE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15719</Words>
  <Characters>8960</Characters>
  <Application>Microsoft Office Word</Application>
  <DocSecurity>0</DocSecurity>
  <Lines>74</Lines>
  <Paragraphs>49</Paragraphs>
  <ScaleCrop>false</ScaleCrop>
  <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2023-01-20T06:32:00Z</dcterms:created>
  <dcterms:modified xsi:type="dcterms:W3CDTF">2023-01-20T06:32:00Z</dcterms:modified>
</cp:coreProperties>
</file>