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6793F" w14:textId="77777777" w:rsidR="00887180" w:rsidRDefault="00887180" w:rsidP="00887180">
      <w:pPr>
        <w:autoSpaceDE w:val="0"/>
        <w:autoSpaceDN w:val="0"/>
        <w:spacing w:line="276" w:lineRule="auto"/>
        <w:jc w:val="both"/>
        <w:rPr>
          <w:b/>
          <w:bCs/>
          <w:lang w:eastAsia="en-US"/>
        </w:rPr>
      </w:pPr>
      <w:bookmarkStart w:id="0" w:name="_Hlk21594869"/>
      <w:bookmarkStart w:id="1" w:name="_Hlk21699152"/>
      <w:bookmarkStart w:id="2" w:name="_Hlk99353685"/>
      <w:r>
        <w:rPr>
          <w:b/>
          <w:bCs/>
        </w:rPr>
        <w:t xml:space="preserve">Administratīvās tiesas kompetencē neietilpst vērtēt kriminālprocesa ietvaros veiktās kratīšanas tiesiskumu </w:t>
      </w:r>
    </w:p>
    <w:p w14:paraId="56A633F6" w14:textId="4FC683E3" w:rsidR="00887180" w:rsidRDefault="00887180" w:rsidP="00887180">
      <w:pPr>
        <w:autoSpaceDE w:val="0"/>
        <w:autoSpaceDN w:val="0"/>
        <w:spacing w:line="276" w:lineRule="auto"/>
        <w:jc w:val="both"/>
      </w:pPr>
      <w:r w:rsidRPr="00887180">
        <w:t>Neatliekamas kratīšanas tiesiskumu un pamatotību pārbauda izmeklēšanas tiesnesis</w:t>
      </w:r>
      <w:r w:rsidRPr="00887180">
        <w:t xml:space="preserve">. </w:t>
      </w:r>
      <w:r w:rsidRPr="00887180">
        <w:t>Tomēr izmeklēšanas tiesnesis, pārbaudot lēmumu par kratīšanu, nevar zināt, vai nākotnē iestāsies kāds no Kriminālprocesā un administratīvo pārkāpumu lietvedībā nodarītā kaitējuma atlīdzināšanas likumā noteiktajiem apstākļiem, uz kuru pamata iestādes rīcība vēlāk var tikt atzīta par nepamatotu šā likuma izpratnē. Izmeklēšanas tiesnesis pārbauda, vai konkrētā kratīšana bijusi tiesiska un pamatota Kriminālprocesa likuma izpratnē. Kriminālprocesā iesaistītā persona, kā arī persona, kuras tiesības vai likum</w:t>
      </w:r>
      <w:bookmarkStart w:id="3" w:name="_GoBack"/>
      <w:bookmarkEnd w:id="3"/>
      <w:r w:rsidRPr="00887180">
        <w:t>īgās intereses ir aizskartas ar konkrēto rīcību vai nolēmumu, var iesniegt sūdzību par kriminālprocesu veicošās amatpersonas rīcību vai nolēmumu, arī par izmeklēšanas tiesneša lēmumu. Tādējādi valsts ir radījusi tiesisko sistēmu, lai indivīds varētu efektīvi aizsargāt savas tiesības, un personai ir iespēja panākt kaitējumu izraisījušās rīcības tiesiskuma izvērtējumu pamatprocesā, tas ir, kriminālprocesā.</w:t>
      </w:r>
      <w:r>
        <w:t xml:space="preserve"> </w:t>
      </w:r>
    </w:p>
    <w:bookmarkEnd w:id="0"/>
    <w:p w14:paraId="07949519" w14:textId="028DAFAA" w:rsidR="00435790" w:rsidRPr="00B47609" w:rsidRDefault="00435790" w:rsidP="00887180">
      <w:pPr>
        <w:spacing w:line="276" w:lineRule="auto"/>
        <w:rPr>
          <w:color w:val="000000"/>
        </w:rPr>
      </w:pPr>
    </w:p>
    <w:p w14:paraId="6A28A65D" w14:textId="732A2E0E" w:rsidR="00435790" w:rsidRPr="00887180" w:rsidRDefault="00887180" w:rsidP="00887180">
      <w:pPr>
        <w:spacing w:line="276" w:lineRule="auto"/>
        <w:jc w:val="center"/>
        <w:rPr>
          <w:b/>
        </w:rPr>
      </w:pPr>
      <w:r w:rsidRPr="00887180">
        <w:rPr>
          <w:b/>
        </w:rPr>
        <w:t>Latvijas Republikas Senāta</w:t>
      </w:r>
    </w:p>
    <w:p w14:paraId="51A2F1FC" w14:textId="507120B3" w:rsidR="00887180" w:rsidRPr="00887180" w:rsidRDefault="00887180" w:rsidP="00887180">
      <w:pPr>
        <w:spacing w:line="276" w:lineRule="auto"/>
        <w:jc w:val="center"/>
        <w:rPr>
          <w:b/>
        </w:rPr>
      </w:pPr>
      <w:r w:rsidRPr="00887180">
        <w:rPr>
          <w:b/>
        </w:rPr>
        <w:t>Administratīvo lietu departamenta</w:t>
      </w:r>
    </w:p>
    <w:p w14:paraId="1F006239" w14:textId="1C2B75E0" w:rsidR="00887180" w:rsidRPr="00887180" w:rsidRDefault="00887180" w:rsidP="00887180">
      <w:pPr>
        <w:spacing w:line="276" w:lineRule="auto"/>
        <w:jc w:val="center"/>
        <w:rPr>
          <w:b/>
        </w:rPr>
      </w:pPr>
      <w:proofErr w:type="gramStart"/>
      <w:r w:rsidRPr="00887180">
        <w:rPr>
          <w:b/>
        </w:rPr>
        <w:t>2022.gada</w:t>
      </w:r>
      <w:proofErr w:type="gramEnd"/>
      <w:r w:rsidRPr="00887180">
        <w:rPr>
          <w:b/>
        </w:rPr>
        <w:t xml:space="preserve"> 21.aprīļa</w:t>
      </w:r>
    </w:p>
    <w:p w14:paraId="34832629" w14:textId="77777777" w:rsidR="00435790" w:rsidRPr="00887180" w:rsidRDefault="00435790" w:rsidP="00887180">
      <w:pPr>
        <w:spacing w:line="276" w:lineRule="auto"/>
        <w:jc w:val="center"/>
        <w:rPr>
          <w:b/>
        </w:rPr>
      </w:pPr>
      <w:r w:rsidRPr="00887180">
        <w:rPr>
          <w:b/>
        </w:rPr>
        <w:t>SPRIEDUMS</w:t>
      </w:r>
    </w:p>
    <w:p w14:paraId="797CC63B" w14:textId="25A9BC58" w:rsidR="00887180" w:rsidRPr="00887180" w:rsidRDefault="00887180" w:rsidP="00887180">
      <w:pPr>
        <w:spacing w:line="276" w:lineRule="auto"/>
        <w:ind w:firstLine="851"/>
        <w:rPr>
          <w:b/>
        </w:rPr>
      </w:pPr>
      <w:r>
        <w:rPr>
          <w:b/>
        </w:rPr>
        <w:t xml:space="preserve">                              </w:t>
      </w:r>
      <w:r w:rsidRPr="00887180">
        <w:rPr>
          <w:b/>
        </w:rPr>
        <w:t>Lieta Nr. A420171519, SKA-373/2022</w:t>
      </w:r>
    </w:p>
    <w:p w14:paraId="265BCDB6" w14:textId="1336500D" w:rsidR="00435790" w:rsidRPr="00887180" w:rsidRDefault="00887180" w:rsidP="00887180">
      <w:pPr>
        <w:spacing w:line="276" w:lineRule="auto"/>
        <w:jc w:val="center"/>
      </w:pPr>
      <w:hyperlink r:id="rId8" w:history="1">
        <w:r w:rsidRPr="00887180">
          <w:rPr>
            <w:rStyle w:val="Hyperlink"/>
          </w:rPr>
          <w:t>ECLI:LV:AT:2022:0421.A420171519.14.S</w:t>
        </w:r>
      </w:hyperlink>
      <w:r w:rsidRPr="00887180">
        <w:t xml:space="preserve"> </w:t>
      </w:r>
    </w:p>
    <w:p w14:paraId="2AEF784A" w14:textId="77777777" w:rsidR="00435790" w:rsidRPr="004F096F" w:rsidRDefault="00435790" w:rsidP="00887180">
      <w:pPr>
        <w:spacing w:line="276" w:lineRule="auto"/>
        <w:jc w:val="center"/>
      </w:pPr>
    </w:p>
    <w:p w14:paraId="3FE67910" w14:textId="7C4AF0D2" w:rsidR="00435790" w:rsidRPr="004F096F" w:rsidRDefault="00435790" w:rsidP="00887180">
      <w:pPr>
        <w:spacing w:line="276" w:lineRule="auto"/>
        <w:ind w:firstLine="567"/>
        <w:jc w:val="both"/>
      </w:pPr>
      <w:r w:rsidRPr="00E1461F">
        <w:t>Tiesa šādā sastāvā: senator</w:t>
      </w:r>
      <w:r>
        <w:t>es Jautrīte Briede</w:t>
      </w:r>
      <w:r w:rsidRPr="00E1461F">
        <w:t xml:space="preserve">, </w:t>
      </w:r>
      <w:r w:rsidR="003E7440">
        <w:t>Veronika Krūmiņa</w:t>
      </w:r>
      <w:r w:rsidRPr="00E1461F">
        <w:t xml:space="preserve"> un </w:t>
      </w:r>
      <w:r>
        <w:t>L</w:t>
      </w:r>
      <w:r w:rsidR="000D5704">
        <w:t xml:space="preserve">auma </w:t>
      </w:r>
      <w:proofErr w:type="spellStart"/>
      <w:r w:rsidR="000D5704">
        <w:t>Paegļkalna</w:t>
      </w:r>
      <w:proofErr w:type="spellEnd"/>
    </w:p>
    <w:p w14:paraId="07BF2DE9" w14:textId="77777777" w:rsidR="00435790" w:rsidRDefault="00435790" w:rsidP="00887180">
      <w:pPr>
        <w:spacing w:line="276" w:lineRule="auto"/>
      </w:pPr>
    </w:p>
    <w:p w14:paraId="6B899974" w14:textId="68268A22" w:rsidR="00E7347C" w:rsidRDefault="00435790" w:rsidP="00887180">
      <w:pPr>
        <w:spacing w:line="276" w:lineRule="auto"/>
        <w:ind w:firstLine="567"/>
        <w:jc w:val="both"/>
      </w:pPr>
      <w:bookmarkStart w:id="4" w:name="_Hlk21594894"/>
      <w:r w:rsidRPr="004F096F">
        <w:t xml:space="preserve">rakstveida procesā izskatīja administratīvo lietu, kas ierosināta, </w:t>
      </w:r>
      <w:bookmarkEnd w:id="1"/>
      <w:r w:rsidR="00887180">
        <w:t>pamatojoties uz [pers. A]</w:t>
      </w:r>
      <w:r w:rsidR="00E7347C" w:rsidRPr="00E7347C">
        <w:t xml:space="preserve"> pieteikumu par nemantiskā kaitējuma atlīdzināšanu, sakarā ar Ģenerālprokuratūras kasācijas sūdzību par Administratīvās apgabaltiesas </w:t>
      </w:r>
      <w:proofErr w:type="gramStart"/>
      <w:r w:rsidR="00E7347C" w:rsidRPr="00E7347C">
        <w:t>2021.gada</w:t>
      </w:r>
      <w:proofErr w:type="gramEnd"/>
      <w:r w:rsidR="00E7347C" w:rsidRPr="00E7347C">
        <w:t xml:space="preserve"> 21.janvāra spriedumu.</w:t>
      </w:r>
    </w:p>
    <w:p w14:paraId="5BABF4D5" w14:textId="77777777" w:rsidR="0092755B" w:rsidRDefault="0092755B" w:rsidP="00887180">
      <w:pPr>
        <w:spacing w:line="276" w:lineRule="auto"/>
        <w:ind w:firstLine="567"/>
        <w:jc w:val="both"/>
      </w:pPr>
      <w:bookmarkStart w:id="5" w:name="_Hlk21594932"/>
      <w:bookmarkEnd w:id="4"/>
    </w:p>
    <w:p w14:paraId="6EDC889C" w14:textId="77777777" w:rsidR="0092755B" w:rsidRPr="004F096F" w:rsidRDefault="0092755B" w:rsidP="00887180">
      <w:pPr>
        <w:spacing w:line="276" w:lineRule="auto"/>
        <w:jc w:val="center"/>
        <w:rPr>
          <w:b/>
        </w:rPr>
      </w:pPr>
      <w:r w:rsidRPr="004F096F">
        <w:rPr>
          <w:b/>
        </w:rPr>
        <w:t>Aprakstošā daļa</w:t>
      </w:r>
    </w:p>
    <w:p w14:paraId="1D71C4D5" w14:textId="77777777" w:rsidR="0092755B" w:rsidRDefault="0092755B" w:rsidP="00887180">
      <w:pPr>
        <w:spacing w:line="276" w:lineRule="auto"/>
        <w:ind w:firstLine="567"/>
        <w:jc w:val="both"/>
      </w:pPr>
    </w:p>
    <w:p w14:paraId="7AB5930F" w14:textId="56568EC7" w:rsidR="008A593C" w:rsidRDefault="00E7347C" w:rsidP="00887180">
      <w:pPr>
        <w:spacing w:line="276" w:lineRule="auto"/>
        <w:ind w:firstLine="567"/>
        <w:jc w:val="both"/>
      </w:pPr>
      <w:r>
        <w:t>[1] Valsts policija uzsāka kriminālprocesu</w:t>
      </w:r>
      <w:r w:rsidR="00BF63A7" w:rsidRPr="00BF63A7">
        <w:t xml:space="preserve"> pēc Krimināllikuma </w:t>
      </w:r>
      <w:proofErr w:type="gramStart"/>
      <w:r w:rsidR="00BF63A7" w:rsidRPr="00BF63A7">
        <w:t>256.panta</w:t>
      </w:r>
      <w:proofErr w:type="gramEnd"/>
      <w:r w:rsidR="00BF63A7" w:rsidRPr="00BF63A7">
        <w:t xml:space="preserve"> pirmajā daļā paredzētā noziedzīgā nodarījuma sastāva pazīmēm par narkotiskās vai psihotropās vielas saturošu augu neatļautu sēšanu vai audzēšanu</w:t>
      </w:r>
      <w:r>
        <w:t xml:space="preserve">. </w:t>
      </w:r>
      <w:r w:rsidR="004F5DD5">
        <w:t>P</w:t>
      </w:r>
      <w:r>
        <w:t xml:space="preserve">ieteicējas dzīvesvietā tika </w:t>
      </w:r>
      <w:r w:rsidR="00482F6B">
        <w:t xml:space="preserve">izdarīta </w:t>
      </w:r>
      <w:r>
        <w:t xml:space="preserve">kratīšana un izņemti 363 kaņepju stādi. Rēzeknes tiesas tiesnese saskaņā ar Kriminālprocesa likuma </w:t>
      </w:r>
      <w:proofErr w:type="gramStart"/>
      <w:r>
        <w:t>180.panta</w:t>
      </w:r>
      <w:proofErr w:type="gramEnd"/>
      <w:r>
        <w:t xml:space="preserve"> trešo un piekto daļu apstiprināja </w:t>
      </w:r>
      <w:r w:rsidR="00147976">
        <w:t xml:space="preserve">izdarītās </w:t>
      </w:r>
      <w:r>
        <w:t xml:space="preserve">kratīšanas tiesiskumu. Policijas noteiktajā ekspertīzē </w:t>
      </w:r>
      <w:r w:rsidR="00482F6B">
        <w:t xml:space="preserve">tika </w:t>
      </w:r>
      <w:r>
        <w:t>atzīts, ka kaņepju stād</w:t>
      </w:r>
      <w:r w:rsidR="00AF4EF7">
        <w:t>os</w:t>
      </w:r>
      <w:r>
        <w:t xml:space="preserve"> </w:t>
      </w:r>
      <w:r w:rsidR="00AF4EF7">
        <w:t xml:space="preserve">nav </w:t>
      </w:r>
      <w:r>
        <w:t>narkotisk</w:t>
      </w:r>
      <w:r w:rsidR="00AF4EF7">
        <w:t>o</w:t>
      </w:r>
      <w:r>
        <w:t xml:space="preserve"> vai psihotrop</w:t>
      </w:r>
      <w:r w:rsidR="00AF4EF7">
        <w:t>o</w:t>
      </w:r>
      <w:r>
        <w:t xml:space="preserve"> viel</w:t>
      </w:r>
      <w:r w:rsidR="00AF4EF7">
        <w:t>u</w:t>
      </w:r>
      <w:r>
        <w:t>. Policija izbeidza kriminālprocesu</w:t>
      </w:r>
      <w:r w:rsidR="00B52325" w:rsidRPr="00B52325">
        <w:t xml:space="preserve"> </w:t>
      </w:r>
      <w:r w:rsidR="00B52325" w:rsidRPr="004F5DD5">
        <w:t>sakarā ar to, ka</w:t>
      </w:r>
      <w:r>
        <w:t xml:space="preserve"> nav konstatētas noziedzīga nodarījuma sastāva pazīmes.</w:t>
      </w:r>
    </w:p>
    <w:p w14:paraId="2A2A880A" w14:textId="02EAF9ED" w:rsidR="009355DF" w:rsidRDefault="00E7347C" w:rsidP="00887180">
      <w:pPr>
        <w:spacing w:line="276" w:lineRule="auto"/>
        <w:ind w:firstLine="567"/>
        <w:jc w:val="both"/>
      </w:pPr>
      <w:r>
        <w:t xml:space="preserve">Pieteicēja vērsās Ģenerālprokuratūrā un lūdza </w:t>
      </w:r>
      <w:r w:rsidR="00B52325">
        <w:t>atlīdzināt zaudējumus</w:t>
      </w:r>
      <w:r w:rsidR="00B52325" w:rsidDel="00B52325">
        <w:t xml:space="preserve"> </w:t>
      </w:r>
      <w:r>
        <w:t>1089</w:t>
      </w:r>
      <w:r w:rsidR="00FE09CD">
        <w:t> </w:t>
      </w:r>
      <w:r w:rsidRPr="001D54E8">
        <w:rPr>
          <w:i/>
          <w:iCs/>
        </w:rPr>
        <w:t>euro</w:t>
      </w:r>
      <w:r>
        <w:t xml:space="preserve"> un </w:t>
      </w:r>
      <w:r w:rsidR="00B52325">
        <w:t>kompensēt nemantisko kaitējumu 3000</w:t>
      </w:r>
      <w:r w:rsidR="00E80C25">
        <w:t> </w:t>
      </w:r>
      <w:r w:rsidR="00B52325" w:rsidRPr="002071B1">
        <w:rPr>
          <w:i/>
          <w:iCs/>
        </w:rPr>
        <w:t>euro</w:t>
      </w:r>
      <w:r>
        <w:t xml:space="preserve">, pamatojoties uz Kriminālprocesā un administratīvo pārkāpumu lietvedībā nodarītā kaitējuma atlīdzināšanas likumu (turpmāk – Atlīdzināšanas </w:t>
      </w:r>
      <w:r>
        <w:lastRenderedPageBreak/>
        <w:t xml:space="preserve">likums). Ģenerālprokuratūra </w:t>
      </w:r>
      <w:r w:rsidR="009355DF" w:rsidRPr="009355DF">
        <w:t>daļēji atlīdzināja zaudējumus par izņemtajiem kaņepju stādiem 27,23</w:t>
      </w:r>
      <w:r w:rsidR="009355DF">
        <w:t> </w:t>
      </w:r>
      <w:r w:rsidR="009355DF" w:rsidRPr="009355DF">
        <w:rPr>
          <w:i/>
          <w:iCs/>
        </w:rPr>
        <w:t>euro</w:t>
      </w:r>
      <w:r w:rsidR="009355DF" w:rsidRPr="009355DF">
        <w:t>, bet pārējā daļā noraidīja.</w:t>
      </w:r>
    </w:p>
    <w:p w14:paraId="14D7A212" w14:textId="1B23DE20" w:rsidR="00E7347C" w:rsidRDefault="00E7347C" w:rsidP="00887180">
      <w:pPr>
        <w:spacing w:line="276" w:lineRule="auto"/>
        <w:ind w:firstLine="567"/>
        <w:jc w:val="both"/>
      </w:pPr>
      <w:r>
        <w:t>Pieteicēja vērsās tiesā.</w:t>
      </w:r>
    </w:p>
    <w:p w14:paraId="260DD280" w14:textId="23463F4D" w:rsidR="00E7347C" w:rsidRDefault="00E7347C" w:rsidP="00887180">
      <w:pPr>
        <w:spacing w:line="276" w:lineRule="auto"/>
        <w:ind w:firstLine="567"/>
        <w:jc w:val="both"/>
      </w:pPr>
    </w:p>
    <w:p w14:paraId="34263A0E" w14:textId="600E2035" w:rsidR="00E7347C" w:rsidRDefault="00E7347C" w:rsidP="00887180">
      <w:pPr>
        <w:spacing w:line="276" w:lineRule="auto"/>
        <w:ind w:firstLine="567"/>
        <w:jc w:val="both"/>
      </w:pPr>
      <w:r>
        <w:t>[2] Administratīvā apgabaltiesa, izskatot pieteicējas apelācijas sūdzību, daļēji apmierināja pieteikumu</w:t>
      </w:r>
      <w:proofErr w:type="gramStart"/>
      <w:r>
        <w:t xml:space="preserve"> un</w:t>
      </w:r>
      <w:proofErr w:type="gramEnd"/>
      <w:r>
        <w:t xml:space="preserve"> uzlika Latvijas Republikai pienākumu atlīdzināt pieteicējai nemantisko kaitējumu 1500</w:t>
      </w:r>
      <w:r w:rsidR="00FE09CD">
        <w:t> </w:t>
      </w:r>
      <w:r w:rsidRPr="00F05742">
        <w:rPr>
          <w:i/>
          <w:iCs/>
        </w:rPr>
        <w:t>euro</w:t>
      </w:r>
      <w:r>
        <w:t xml:space="preserve">. Tiesa secināja, ka lietā nav strīda, ka ir konstatēts kaitējuma </w:t>
      </w:r>
      <w:r w:rsidR="00EA5060">
        <w:t xml:space="preserve">atlīdzināšanas </w:t>
      </w:r>
      <w:r>
        <w:t xml:space="preserve">pamats, strīds ir par veidu un apmēru. </w:t>
      </w:r>
      <w:r w:rsidR="00BF0CDF">
        <w:t xml:space="preserve">Izdarot </w:t>
      </w:r>
      <w:r>
        <w:t>kratīšanu, notiek iejaukšanās personas dzīvē. Lēmumu par kratīšanu pieņēm</w:t>
      </w:r>
      <w:r w:rsidR="0027694D">
        <w:t>a</w:t>
      </w:r>
      <w:r>
        <w:t xml:space="preserve"> policija, tam piekrit</w:t>
      </w:r>
      <w:r w:rsidR="0027694D">
        <w:t>a</w:t>
      </w:r>
      <w:r>
        <w:t xml:space="preserve"> prokurore, un kratīšanas tiesiskumu un pamatotību pēc kratīšanas apstiprināj</w:t>
      </w:r>
      <w:r w:rsidR="0027694D">
        <w:t>a</w:t>
      </w:r>
      <w:r>
        <w:t xml:space="preserve"> Rēzeknes tiesas tiesnese. Ne policijas lēmumā, ne tiesneses apstiprinājumā nav pamatojuma nepieciešamībai </w:t>
      </w:r>
      <w:r w:rsidR="00BF0CDF">
        <w:t xml:space="preserve">izdarīt </w:t>
      </w:r>
      <w:r>
        <w:t xml:space="preserve">kratīšanu, kā arī pieņēmumam, ka kaņepju stādi varētu tikt iznīcināti vai noslēpti. Nebija jāiznīcina </w:t>
      </w:r>
      <w:r>
        <w:lastRenderedPageBreak/>
        <w:t>visi kaņepju stādi, jo varēja paņemt tikai paraugus. Latvijā pārsvarā aug sējas kaņepes, un nav pierādījumu, kas apliecinātu, ka šis gadījums ir netipisks un ka no desmit brīvā dabā atklātām audzētavām deviņos gadījumos kaņep</w:t>
      </w:r>
      <w:r w:rsidR="00EE3B86">
        <w:t>ē</w:t>
      </w:r>
      <w:r>
        <w:t xml:space="preserve">s </w:t>
      </w:r>
      <w:r w:rsidR="00EE3B86">
        <w:t xml:space="preserve">būtu </w:t>
      </w:r>
      <w:r>
        <w:t xml:space="preserve">narkotiskās vielas. Iejaukšanās pieteicējas tiesībās uz īpašumu, kā arī uz </w:t>
      </w:r>
      <w:r w:rsidR="006E6558">
        <w:t xml:space="preserve">privāto dzīvi </w:t>
      </w:r>
      <w:r>
        <w:t>un mājokļa neaizskaramību bija noteikta ar likumu, tai bija leģitīms mērķis, bet tā bija acīmredzami nesamērīga. Policija ir apzinājusies savu prettiesisko rīcību, jo publiski atvainojusies pieteicējai, tomēr atvainošanās nav atbilstīgs atlīdzinājums. Ši</w:t>
      </w:r>
      <w:r w:rsidR="00EE3B86">
        <w:t>m</w:t>
      </w:r>
      <w:r>
        <w:t xml:space="preserve"> </w:t>
      </w:r>
      <w:r w:rsidR="00EE3B86">
        <w:t>notikumam ir</w:t>
      </w:r>
      <w:r>
        <w:t xml:space="preserve"> plaš</w:t>
      </w:r>
      <w:r w:rsidR="00EE3B86">
        <w:t>a</w:t>
      </w:r>
      <w:r>
        <w:t xml:space="preserve"> rezonans</w:t>
      </w:r>
      <w:r w:rsidR="00EE3B86">
        <w:t>e</w:t>
      </w:r>
      <w:r>
        <w:t xml:space="preserve"> publiskajā telpā. Tas pasliktināja pieteicējas veselību, par ko liecina medicīn</w:t>
      </w:r>
      <w:r w:rsidR="00F675E5">
        <w:t>as dokumenti</w:t>
      </w:r>
      <w:r w:rsidR="005114DA">
        <w:t>.</w:t>
      </w:r>
      <w:r>
        <w:t xml:space="preserve"> Pieteicējai ir radīts kaitējums, kuram atbilstošs atlīdzinājums nosakāms arī naudā, jo aizskartas vairākas pieteicējas cilvēktiesības. Tiesa secināja, ka līdzīgs gadījums tiesu praksē nav atrodams, tāpēc salīdzināja lietas, kurās vērtēts privātās dzīves aizskārums.</w:t>
      </w:r>
    </w:p>
    <w:p w14:paraId="522E07AD" w14:textId="77777777" w:rsidR="00E7347C" w:rsidRDefault="00E7347C" w:rsidP="00887180">
      <w:pPr>
        <w:spacing w:line="276" w:lineRule="auto"/>
        <w:ind w:firstLine="567"/>
        <w:jc w:val="both"/>
      </w:pPr>
    </w:p>
    <w:p w14:paraId="398DEEBF" w14:textId="30F1F898" w:rsidR="00E7347C" w:rsidRDefault="00E7347C" w:rsidP="00887180">
      <w:pPr>
        <w:spacing w:line="276" w:lineRule="auto"/>
        <w:ind w:firstLine="567"/>
        <w:jc w:val="both"/>
      </w:pPr>
      <w:r>
        <w:lastRenderedPageBreak/>
        <w:t xml:space="preserve">[3] Ģenerālprokuratūra par Administratīvās apgabaltiesas spriedumu </w:t>
      </w:r>
      <w:r w:rsidR="0079648B">
        <w:t xml:space="preserve">iesniegusi </w:t>
      </w:r>
      <w:r>
        <w:t>kasācijas sūdzību, norādot turpmāk minētos iebildumus.</w:t>
      </w:r>
    </w:p>
    <w:p w14:paraId="150CF00E" w14:textId="2ABBB4DF" w:rsidR="00E7347C" w:rsidRDefault="00E7347C" w:rsidP="00887180">
      <w:pPr>
        <w:spacing w:line="276" w:lineRule="auto"/>
        <w:ind w:firstLine="567"/>
        <w:jc w:val="both"/>
      </w:pPr>
      <w:r>
        <w:t xml:space="preserve">[3.1] Tiesa policijas rīcību atzinusi par nepamatotu </w:t>
      </w:r>
      <w:r w:rsidR="00572E54">
        <w:t>un v</w:t>
      </w:r>
      <w:r>
        <w:t xml:space="preserve">ienlaikus </w:t>
      </w:r>
      <w:r w:rsidR="00572E54">
        <w:t xml:space="preserve">arī </w:t>
      </w:r>
      <w:r>
        <w:t>par prettiesisku, norādot, ka policija pārkāpusi tiesību normas. Līdz ar to tiesa nonākusi pretrunā, kā arī pārkāpusi savas kompetences robežas, jo administratīvās tiesas kontrolei nav pakļauti kriminālprocesuāli nolēmumi vai rīcība.</w:t>
      </w:r>
    </w:p>
    <w:p w14:paraId="44E6C036" w14:textId="6CFBD2A9" w:rsidR="00E7347C" w:rsidRDefault="00E7347C" w:rsidP="00887180">
      <w:pPr>
        <w:spacing w:line="276" w:lineRule="auto"/>
        <w:ind w:firstLine="567"/>
        <w:jc w:val="both"/>
      </w:pPr>
      <w:r>
        <w:t xml:space="preserve">[3.2] </w:t>
      </w:r>
      <w:r w:rsidR="002E03DD" w:rsidRPr="002E03DD">
        <w:t>Tiesa, apšaubot Ģenerālprokuratūras paskaidrojumos minēto, nav vispusīgi, pilnīgi un objektīvi pārbaudījusi pierādījumus.</w:t>
      </w:r>
      <w:r w:rsidR="002E03DD">
        <w:t xml:space="preserve"> </w:t>
      </w:r>
      <w:r w:rsidR="008D06F1">
        <w:t>T</w:t>
      </w:r>
      <w:r>
        <w:t>iesa nav ņēmusi vērā kriminālistikas metodi, no kuras izriet, ka nepieciešams izņemt visus stādus, jo augu kopējai masai ir nozīme, lai noteiktu narkotisko</w:t>
      </w:r>
      <w:r w:rsidR="006E6558">
        <w:t xml:space="preserve"> vai </w:t>
      </w:r>
      <w:r>
        <w:t xml:space="preserve">psihotropo vielu apmēru, ja </w:t>
      </w:r>
      <w:r w:rsidR="00DC09D5">
        <w:t>tādas</w:t>
      </w:r>
      <w:r>
        <w:t xml:space="preserve"> tiek konstatētas.</w:t>
      </w:r>
    </w:p>
    <w:p w14:paraId="414D341C" w14:textId="51B03D56" w:rsidR="00E7347C" w:rsidRDefault="00E7347C" w:rsidP="00887180">
      <w:pPr>
        <w:spacing w:line="276" w:lineRule="auto"/>
        <w:ind w:firstLine="567"/>
        <w:jc w:val="both"/>
      </w:pPr>
      <w:r>
        <w:t>[3.</w:t>
      </w:r>
      <w:r w:rsidR="005003D1">
        <w:t>3</w:t>
      </w:r>
      <w:r>
        <w:t xml:space="preserve">] </w:t>
      </w:r>
      <w:r w:rsidR="00C666BD">
        <w:t xml:space="preserve">Tiesa, vērtējot </w:t>
      </w:r>
      <w:r>
        <w:t>ciešan</w:t>
      </w:r>
      <w:r w:rsidR="00C666BD">
        <w:t>as</w:t>
      </w:r>
      <w:r>
        <w:t>, ko pieteicējai radījusi sabiedrības uzmanība, nav vispusīg</w:t>
      </w:r>
      <w:r w:rsidR="00DC09D5">
        <w:t>i</w:t>
      </w:r>
      <w:r>
        <w:t xml:space="preserve"> un objektīv</w:t>
      </w:r>
      <w:r w:rsidR="009C7496">
        <w:t>i</w:t>
      </w:r>
      <w:r w:rsidR="00C666BD" w:rsidRPr="00C666BD">
        <w:t xml:space="preserve"> </w:t>
      </w:r>
      <w:r w:rsidR="00C666BD">
        <w:t>pārbaudījusi pierādījumus</w:t>
      </w:r>
      <w:r>
        <w:t xml:space="preserve">. Lai gan pieteicēja norādījusi, ka </w:t>
      </w:r>
      <w:r>
        <w:lastRenderedPageBreak/>
        <w:t xml:space="preserve">sabiedrības un </w:t>
      </w:r>
      <w:r w:rsidR="0018789B">
        <w:t>plašsaziņas līdzekļu</w:t>
      </w:r>
      <w:r>
        <w:t xml:space="preserve"> uzmanība bijusi apgrūtinoša, tomēr viņas rīcība, sniedzot intervijas, liecina, ka pieteicēja nevairās no sabiedrības uzmanības. </w:t>
      </w:r>
      <w:r w:rsidR="009C7496">
        <w:t>P</w:t>
      </w:r>
      <w:r>
        <w:t>ieteicēja nav iesniegusi pierādījumus, ka pēc notikušā viņa būtu saskārusies ar nievājošu, aizvainojošu, nosodošu sabiedrības attieksmi.</w:t>
      </w:r>
    </w:p>
    <w:p w14:paraId="49D4E5AC" w14:textId="640CB3B2" w:rsidR="00E7347C" w:rsidRDefault="00E7347C" w:rsidP="00887180">
      <w:pPr>
        <w:spacing w:line="276" w:lineRule="auto"/>
        <w:ind w:firstLine="567"/>
        <w:jc w:val="both"/>
      </w:pPr>
      <w:r>
        <w:t>[3.</w:t>
      </w:r>
      <w:r w:rsidR="005003D1">
        <w:t>4</w:t>
      </w:r>
      <w:r>
        <w:t>] Tiesa, lemjot par atlīdzību, nav vērtējusi seku neatgriezeniskumu, kas ir viens no būtiskiem apstākļiem, kuri jāņem vērā, nosakot atlīdzinājuma apmēru (</w:t>
      </w:r>
      <w:r w:rsidRPr="00885DCA">
        <w:rPr>
          <w:i/>
          <w:iCs/>
        </w:rPr>
        <w:t xml:space="preserve">Senāta </w:t>
      </w:r>
      <w:proofErr w:type="gramStart"/>
      <w:r w:rsidRPr="00885DCA">
        <w:rPr>
          <w:i/>
          <w:iCs/>
        </w:rPr>
        <w:t>2014.gada</w:t>
      </w:r>
      <w:proofErr w:type="gramEnd"/>
      <w:r w:rsidRPr="00885DCA">
        <w:rPr>
          <w:i/>
          <w:iCs/>
        </w:rPr>
        <w:t xml:space="preserve"> 20.jūnija sprieduma lietā Nr.</w:t>
      </w:r>
      <w:r w:rsidR="00285ABE" w:rsidRPr="00885DCA">
        <w:rPr>
          <w:i/>
          <w:iCs/>
        </w:rPr>
        <w:t> </w:t>
      </w:r>
      <w:r w:rsidRPr="00885DCA">
        <w:rPr>
          <w:i/>
          <w:iCs/>
        </w:rPr>
        <w:t>SKC-106-</w:t>
      </w:r>
      <w:r w:rsidR="00885DCA">
        <w:rPr>
          <w:i/>
          <w:iCs/>
        </w:rPr>
        <w:t>20</w:t>
      </w:r>
      <w:r w:rsidRPr="00885DCA">
        <w:rPr>
          <w:i/>
          <w:iCs/>
        </w:rPr>
        <w:t>14</w:t>
      </w:r>
      <w:r w:rsidR="00885DCA">
        <w:rPr>
          <w:i/>
          <w:iCs/>
        </w:rPr>
        <w:t xml:space="preserve"> (</w:t>
      </w:r>
      <w:r w:rsidR="00885DCA" w:rsidRPr="00885DCA">
        <w:rPr>
          <w:i/>
          <w:iCs/>
        </w:rPr>
        <w:t>C27156610</w:t>
      </w:r>
      <w:r w:rsidR="00885DCA">
        <w:rPr>
          <w:i/>
          <w:iCs/>
        </w:rPr>
        <w:t>)</w:t>
      </w:r>
      <w:r w:rsidRPr="00885DCA">
        <w:rPr>
          <w:i/>
          <w:iCs/>
        </w:rPr>
        <w:t xml:space="preserve"> 8.2.</w:t>
      </w:r>
      <w:r w:rsidR="00285ABE" w:rsidRPr="00885DCA">
        <w:rPr>
          <w:i/>
          <w:iCs/>
        </w:rPr>
        <w:t>apakš</w:t>
      </w:r>
      <w:r w:rsidRPr="00885DCA">
        <w:rPr>
          <w:i/>
          <w:iCs/>
        </w:rPr>
        <w:t>punkts</w:t>
      </w:r>
      <w:r>
        <w:t>)</w:t>
      </w:r>
      <w:r w:rsidR="00885DCA">
        <w:t>.</w:t>
      </w:r>
      <w:r>
        <w:t xml:space="preserve"> Tiesa nav ņēmusi vērā, ka pieteicējai ir tikuši atlīdzināti zaudējumi par stādiem, kā arī to, ka no pieteicējas paskaidrojumiem izriet, ka </w:t>
      </w:r>
      <w:r w:rsidR="0018789B">
        <w:t xml:space="preserve">viņas </w:t>
      </w:r>
      <w:r>
        <w:t>īpašumā joprojām aug kaņepes, kuras iesējas pašas.</w:t>
      </w:r>
    </w:p>
    <w:p w14:paraId="0A79B85D" w14:textId="17F7A236" w:rsidR="00DE4B96" w:rsidRDefault="00E7347C" w:rsidP="00887180">
      <w:pPr>
        <w:spacing w:line="276" w:lineRule="auto"/>
        <w:ind w:firstLine="567"/>
        <w:jc w:val="both"/>
      </w:pPr>
      <w:r>
        <w:t>[3.</w:t>
      </w:r>
      <w:r w:rsidR="005003D1">
        <w:t>5</w:t>
      </w:r>
      <w:r>
        <w:t xml:space="preserve">] Atbilstoši vienlīdzības principam līdzīgās lietās jānosaka līdzīgs atlīdzinājums, tāpēc tiesai ir jāņem vērā salīdzināmi gadījumi. Nosakot nemantiskā kaitējuma atlīdzības apmēru, tiesa ņēmusi vērā būtiski atšķirīgus </w:t>
      </w:r>
      <w:r>
        <w:lastRenderedPageBreak/>
        <w:t>tiesu prakses gadījumus</w:t>
      </w:r>
      <w:r w:rsidR="009C7496">
        <w:t>. T</w:t>
      </w:r>
      <w:r>
        <w:t xml:space="preserve">ai nebija pamata ņemt vērā tiesu praksi lietās, kuras izskatītas, pamatojoties uz </w:t>
      </w:r>
      <w:r w:rsidR="00BF63A7" w:rsidRPr="00BF63A7">
        <w:t>Valsts pārvaldes iestāžu nodarīto z</w:t>
      </w:r>
      <w:r>
        <w:t>audējumu atlīdzināšanas likumu</w:t>
      </w:r>
      <w:r w:rsidR="008A4DF8">
        <w:t>,</w:t>
      </w:r>
      <w:r>
        <w:t xml:space="preserve"> un kurās iestādes rīcība ir bijusi prettiesiska, jo šajā gadījumā policijas rīcība ir bijusi </w:t>
      </w:r>
      <w:r w:rsidR="009C7496">
        <w:t xml:space="preserve">tiesiska, bet </w:t>
      </w:r>
      <w:r>
        <w:t>nepamatota.</w:t>
      </w:r>
    </w:p>
    <w:bookmarkEnd w:id="5"/>
    <w:p w14:paraId="5EA83C8F" w14:textId="77777777" w:rsidR="00B47609" w:rsidRDefault="00B47609" w:rsidP="00887180">
      <w:pPr>
        <w:spacing w:line="276" w:lineRule="auto"/>
        <w:jc w:val="both"/>
        <w:rPr>
          <w:rFonts w:eastAsia="Lucida Sans Unicode"/>
          <w:kern w:val="2"/>
        </w:rPr>
      </w:pPr>
    </w:p>
    <w:p w14:paraId="772810B7" w14:textId="77777777" w:rsidR="00530B85" w:rsidRDefault="00530B85" w:rsidP="00887180">
      <w:pPr>
        <w:spacing w:line="276" w:lineRule="auto"/>
        <w:jc w:val="center"/>
      </w:pPr>
      <w:r>
        <w:rPr>
          <w:b/>
        </w:rPr>
        <w:t>Motīvu daļa</w:t>
      </w:r>
    </w:p>
    <w:p w14:paraId="5716235B" w14:textId="77777777" w:rsidR="000A2A9C" w:rsidRDefault="000A2A9C" w:rsidP="00887180">
      <w:pPr>
        <w:spacing w:line="276" w:lineRule="auto"/>
      </w:pPr>
    </w:p>
    <w:p w14:paraId="157C47EC" w14:textId="2AB6E46E" w:rsidR="00E7347C" w:rsidRDefault="00E7347C" w:rsidP="00887180">
      <w:pPr>
        <w:spacing w:line="276" w:lineRule="auto"/>
        <w:ind w:firstLine="567"/>
        <w:jc w:val="both"/>
      </w:pPr>
      <w:r>
        <w:t>[</w:t>
      </w:r>
      <w:r w:rsidR="00BF63A7">
        <w:t>4</w:t>
      </w:r>
      <w:r>
        <w:t>] Senātam vispirms jānoskaidro, vai apgabaltiesa</w:t>
      </w:r>
      <w:r w:rsidR="00C03809">
        <w:t>, vērtējot kriminālprocesuālo darbību tiesiskumu, konkrētajā gadījumā ir pārsniegusi kompetenci</w:t>
      </w:r>
      <w:r>
        <w:t>.</w:t>
      </w:r>
    </w:p>
    <w:p w14:paraId="43A3DD2B" w14:textId="77777777" w:rsidR="00DE4B96" w:rsidRDefault="00DE4B96" w:rsidP="00887180">
      <w:pPr>
        <w:spacing w:line="276" w:lineRule="auto"/>
        <w:ind w:firstLine="567"/>
        <w:jc w:val="both"/>
      </w:pPr>
    </w:p>
    <w:p w14:paraId="5BDFE74C" w14:textId="77539DB3" w:rsidR="00E7347C" w:rsidRDefault="00DE4B96" w:rsidP="00887180">
      <w:pPr>
        <w:spacing w:line="276" w:lineRule="auto"/>
        <w:ind w:firstLine="567"/>
        <w:jc w:val="both"/>
      </w:pPr>
      <w:r>
        <w:t>[</w:t>
      </w:r>
      <w:r w:rsidR="00BF63A7">
        <w:t>5</w:t>
      </w:r>
      <w:r w:rsidR="00E7347C">
        <w:t>] Ja ir iestājies zaudējumu un nemantiskā kaitējuma atlīdzināšanas tiesiskais pamats, iestādes rīcība Atlīdzināšanas likuma izpratnē var tikt atzīta par prettiesisku, ja ar to pārkāptas tiesību normas</w:t>
      </w:r>
      <w:r w:rsidR="009C7496">
        <w:t xml:space="preserve"> (</w:t>
      </w:r>
      <w:proofErr w:type="gramStart"/>
      <w:r w:rsidR="009C7496">
        <w:t>6.panta</w:t>
      </w:r>
      <w:proofErr w:type="gramEnd"/>
      <w:r w:rsidR="009C7496">
        <w:t xml:space="preserve"> </w:t>
      </w:r>
      <w:r w:rsidR="00AD160A">
        <w:t>pirmā daļa</w:t>
      </w:r>
      <w:r w:rsidR="009C7496">
        <w:t>)</w:t>
      </w:r>
      <w:r w:rsidR="00E7347C">
        <w:t>, vai nepamatotu, ja iestādes lēmums pieņemšanas brīdī ir atbildis tiesību normām</w:t>
      </w:r>
      <w:r w:rsidR="00AD160A">
        <w:t xml:space="preserve"> (6.panta otrā daļa)</w:t>
      </w:r>
      <w:r w:rsidR="00E7347C">
        <w:t xml:space="preserve">. Prettiesisku </w:t>
      </w:r>
      <w:r w:rsidR="00E7347C">
        <w:lastRenderedPageBreak/>
        <w:t>rīcību konstatē ar iestādes, kriminālprocesā pilnvarotas amatpersonas vai tiesas nolēmumu.</w:t>
      </w:r>
    </w:p>
    <w:p w14:paraId="37B94226" w14:textId="3E6734A0" w:rsidR="00E7347C" w:rsidRDefault="00E7347C" w:rsidP="00887180">
      <w:pPr>
        <w:spacing w:line="276" w:lineRule="auto"/>
        <w:ind w:firstLine="567"/>
        <w:jc w:val="both"/>
      </w:pPr>
      <w:r>
        <w:tab/>
        <w:t xml:space="preserve">Senāts ir </w:t>
      </w:r>
      <w:r w:rsidR="00AD160A">
        <w:t>atzinis</w:t>
      </w:r>
      <w:r>
        <w:t xml:space="preserve">, ka rīcības prettiesiskums jākonstatē tajā procesā, kurā ir radies kaitējums, līdz ar to personas iebildumi attiecībā uz iestādes </w:t>
      </w:r>
      <w:r w:rsidR="00AD160A">
        <w:t>krimināl</w:t>
      </w:r>
      <w:r>
        <w:t xml:space="preserve">procesuālo darbību tiesiskumu izvirzāmi un izvērtējami </w:t>
      </w:r>
      <w:r w:rsidR="00AD160A">
        <w:t>krimināl</w:t>
      </w:r>
      <w:r>
        <w:t>procesā. Atkāpes no minētā pieļaujamas</w:t>
      </w:r>
      <w:r w:rsidR="00AD160A">
        <w:t xml:space="preserve"> tikai</w:t>
      </w:r>
      <w:r>
        <w:t xml:space="preserve"> tad, ja tiesiskais regulējums neparedz objektīvu iespēju personai panākt kaitējumu izraisošās rīcības prettiesiskuma izvērtējumu pamatprocesā (</w:t>
      </w:r>
      <w:r w:rsidRPr="00A54D95">
        <w:rPr>
          <w:i/>
          <w:iCs/>
        </w:rPr>
        <w:t xml:space="preserve">Senāta </w:t>
      </w:r>
      <w:proofErr w:type="gramStart"/>
      <w:r w:rsidRPr="00A54D95">
        <w:rPr>
          <w:i/>
          <w:iCs/>
        </w:rPr>
        <w:t>2021.gada</w:t>
      </w:r>
      <w:proofErr w:type="gramEnd"/>
      <w:r w:rsidRPr="00A54D95">
        <w:rPr>
          <w:i/>
          <w:iCs/>
        </w:rPr>
        <w:t xml:space="preserve"> 8.novembra lēmuma lietā Nr.</w:t>
      </w:r>
      <w:r w:rsidR="00285ABE" w:rsidRPr="00A54D95">
        <w:rPr>
          <w:i/>
          <w:iCs/>
        </w:rPr>
        <w:t> </w:t>
      </w:r>
      <w:r w:rsidRPr="00A54D95">
        <w:rPr>
          <w:i/>
          <w:iCs/>
        </w:rPr>
        <w:t xml:space="preserve">SKA-619/2021 </w:t>
      </w:r>
      <w:r w:rsidR="00F553F6">
        <w:rPr>
          <w:i/>
          <w:iCs/>
        </w:rPr>
        <w:t>(</w:t>
      </w:r>
      <w:hyperlink r:id="rId9" w:history="1">
        <w:r w:rsidRPr="00A54D95">
          <w:rPr>
            <w:rStyle w:val="Hyperlink"/>
            <w:i/>
            <w:iCs/>
            <w:color w:val="auto"/>
            <w:u w:val="none"/>
          </w:rPr>
          <w:t>ECLI:LV:AT:2021:1108.A420229019.10.L</w:t>
        </w:r>
      </w:hyperlink>
      <w:r w:rsidR="00F553F6">
        <w:rPr>
          <w:i/>
          <w:iCs/>
        </w:rPr>
        <w:t>)</w:t>
      </w:r>
      <w:r w:rsidR="00F553F6" w:rsidRPr="00A54D95">
        <w:rPr>
          <w:i/>
          <w:iCs/>
        </w:rPr>
        <w:t xml:space="preserve"> </w:t>
      </w:r>
      <w:r w:rsidRPr="00A54D95">
        <w:rPr>
          <w:i/>
          <w:iCs/>
        </w:rPr>
        <w:t>9.punkts</w:t>
      </w:r>
      <w:r>
        <w:t>).</w:t>
      </w:r>
    </w:p>
    <w:p w14:paraId="69368E3E" w14:textId="3783B47C" w:rsidR="00EA601F" w:rsidRDefault="00E7347C" w:rsidP="00887180">
      <w:pPr>
        <w:spacing w:line="276" w:lineRule="auto"/>
        <w:ind w:firstLine="567"/>
        <w:jc w:val="both"/>
      </w:pPr>
      <w:r>
        <w:t xml:space="preserve">Kratīšana ir izmeklēšanas darbība, </w:t>
      </w:r>
      <w:r w:rsidR="002E03DD">
        <w:t>kuru</w:t>
      </w:r>
      <w:r>
        <w:t xml:space="preserve"> atbilstoši Kriminālprocesa likuma </w:t>
      </w:r>
      <w:proofErr w:type="gramStart"/>
      <w:r>
        <w:t>180.panta</w:t>
      </w:r>
      <w:proofErr w:type="gramEnd"/>
      <w:r>
        <w:t xml:space="preserve"> trešajai daļai neatliekamos gadījumos var </w:t>
      </w:r>
      <w:r w:rsidR="0018789B">
        <w:t xml:space="preserve">izdarīt </w:t>
      </w:r>
      <w:r>
        <w:t>ar izmeklētāja lēmumu un prokurora piekrišanu. Šā panta piektā daļa noteic, ka par neatliekamu kratīšanu procesa virzītājs ne vēlāk kā nā</w:t>
      </w:r>
      <w:r>
        <w:lastRenderedPageBreak/>
        <w:t xml:space="preserve">kamajā darba dienā pēc tās izdarīšanas paziņo izmeklēšanas tiesnesim, kurš pārbauda tās tiesiskumu un pamatotību. </w:t>
      </w:r>
    </w:p>
    <w:p w14:paraId="360D7963" w14:textId="7D441897" w:rsidR="00607FA9" w:rsidRDefault="00EA601F" w:rsidP="00887180">
      <w:pPr>
        <w:spacing w:line="276" w:lineRule="auto"/>
        <w:ind w:firstLine="567"/>
        <w:jc w:val="both"/>
      </w:pPr>
      <w:r>
        <w:t>Tomēr j</w:t>
      </w:r>
      <w:r w:rsidR="00E7347C">
        <w:t xml:space="preserve">āņem vērā, ka </w:t>
      </w:r>
      <w:r w:rsidR="00F4738B">
        <w:t>i</w:t>
      </w:r>
      <w:r w:rsidR="00E7347C">
        <w:t xml:space="preserve">zmeklēšanas tiesnesis, </w:t>
      </w:r>
      <w:r>
        <w:t>pārbaudot</w:t>
      </w:r>
      <w:r w:rsidR="00E7347C">
        <w:t xml:space="preserve"> lēmum</w:t>
      </w:r>
      <w:r>
        <w:t>u</w:t>
      </w:r>
      <w:r w:rsidR="00E7347C">
        <w:t xml:space="preserve"> par kratīšanu, nevar zināt, vai nākotnē iestāsies kāds no Atlīdzināšanas likumā noteiktajiem apstākļiem, uz kuru pamata iestādes rīcība</w:t>
      </w:r>
      <w:r w:rsidR="00F525DD">
        <w:t xml:space="preserve"> vēlāk</w:t>
      </w:r>
      <w:r w:rsidR="00E7347C">
        <w:t xml:space="preserve"> var tikt atzīta par nepamatotu </w:t>
      </w:r>
      <w:r w:rsidR="00F4738B">
        <w:t xml:space="preserve">Atlīdzināšanas </w:t>
      </w:r>
      <w:r w:rsidR="00E7347C">
        <w:t xml:space="preserve">likuma izpratnē. Izmeklēšanas tiesnesis pārbauda, vai konkrētā kratīšana bijusi tiesiska un pamatota Kriminālprocesa likuma izpratnē, un, ja konstatē, ka tā </w:t>
      </w:r>
      <w:r w:rsidR="003F0C55">
        <w:t xml:space="preserve">izdarīta </w:t>
      </w:r>
      <w:r w:rsidR="00E7347C">
        <w:t>prettiesiski, iegūtos pierādījumus atzīst par nepieļaujamiem kriminālprocesā un lemj par rīcību ar izņemtajiem priekšmetiem</w:t>
      </w:r>
      <w:r w:rsidR="00760A48">
        <w:t xml:space="preserve"> (Krimināllikuma </w:t>
      </w:r>
      <w:proofErr w:type="gramStart"/>
      <w:r w:rsidR="00760A48">
        <w:t>180.panta</w:t>
      </w:r>
      <w:proofErr w:type="gramEnd"/>
      <w:r w:rsidR="00760A48">
        <w:t xml:space="preserve"> piektā daļa)</w:t>
      </w:r>
      <w:r w:rsidR="00E7347C">
        <w:t xml:space="preserve">. </w:t>
      </w:r>
    </w:p>
    <w:p w14:paraId="06D51919" w14:textId="50D27CE0" w:rsidR="00FE32A7" w:rsidRDefault="00E7347C" w:rsidP="00887180">
      <w:pPr>
        <w:spacing w:line="276" w:lineRule="auto"/>
        <w:ind w:firstLine="567"/>
        <w:jc w:val="both"/>
      </w:pPr>
      <w:r>
        <w:t xml:space="preserve">Saskaņā ar Kriminālprocesa likuma </w:t>
      </w:r>
      <w:proofErr w:type="gramStart"/>
      <w:r>
        <w:t>336.pantu</w:t>
      </w:r>
      <w:proofErr w:type="gramEnd"/>
      <w:r>
        <w:t xml:space="preserve"> procesā iesaistītā persona, kā arī persona, kuras tiesības vai likumīgās intereses ir aizskartas ar konkrēto rīcību vai nolēmumu, var iesniegt sūdzību par kriminālprocesu </w:t>
      </w:r>
      <w:r>
        <w:lastRenderedPageBreak/>
        <w:t xml:space="preserve">veicošās amatpersonas rīcību vai nolēmumu, </w:t>
      </w:r>
      <w:r w:rsidR="00C03809">
        <w:t>arī</w:t>
      </w:r>
      <w:r>
        <w:t xml:space="preserve"> par izmeklēšanas tiesneša lēmumu. Secināms, ka valsts ir radī</w:t>
      </w:r>
      <w:r w:rsidR="00C03809">
        <w:t>jusi</w:t>
      </w:r>
      <w:r>
        <w:t xml:space="preserve"> tiesisko sistēmu, lai indivīds varētu efektīvi aizsargāt savas tiesības, un pieteicējai bija iespēja panākt kaitējumu izraisījušās rīcības tiesiskuma izvērtējumu pamatprocesā. </w:t>
      </w:r>
    </w:p>
    <w:p w14:paraId="52A71683" w14:textId="77777777" w:rsidR="00133050" w:rsidRDefault="00E7347C" w:rsidP="00887180">
      <w:pPr>
        <w:spacing w:line="276" w:lineRule="auto"/>
        <w:ind w:firstLine="567"/>
        <w:jc w:val="both"/>
      </w:pPr>
      <w:r>
        <w:t xml:space="preserve">Līdz ar to Senāts secina, ka apgabaltiesas rīcība, vērtējot kratīšanas tiesiskumu, bija </w:t>
      </w:r>
      <w:r w:rsidR="00C03809">
        <w:t>ne</w:t>
      </w:r>
      <w:r>
        <w:t>pamatota. Konstatējot policijas rīcības neatbilstību Kriminālprocesa likuma normai un līdz ar to – tās prettiesiskumu, apgabaltiesa ir pārkāpusi savas kompetences robežas.</w:t>
      </w:r>
      <w:r w:rsidR="00133050" w:rsidRPr="00133050">
        <w:t xml:space="preserve"> </w:t>
      </w:r>
    </w:p>
    <w:p w14:paraId="5D4BE914" w14:textId="3D1E1D50" w:rsidR="003059C6" w:rsidRDefault="00133050" w:rsidP="00887180">
      <w:pPr>
        <w:spacing w:line="276" w:lineRule="auto"/>
        <w:ind w:firstLine="567"/>
        <w:jc w:val="both"/>
      </w:pPr>
      <w:r>
        <w:t>Turpmāk minēto argumentu dēļ Senāts secina, ka š</w:t>
      </w:r>
      <w:r w:rsidR="00051A15">
        <w:t>ā</w:t>
      </w:r>
      <w:r>
        <w:t xml:space="preserve"> apgabaltiesas kļūda nav ietekmējusi sprieduma rezultātu.</w:t>
      </w:r>
    </w:p>
    <w:p w14:paraId="475759C2" w14:textId="77777777" w:rsidR="002E03DD" w:rsidRDefault="002E03DD" w:rsidP="00887180">
      <w:pPr>
        <w:spacing w:line="276" w:lineRule="auto"/>
        <w:ind w:firstLine="567"/>
        <w:jc w:val="both"/>
      </w:pPr>
    </w:p>
    <w:p w14:paraId="7BCF17B5" w14:textId="53A0F5F0" w:rsidR="000F2402" w:rsidRDefault="00E7347C" w:rsidP="00887180">
      <w:pPr>
        <w:spacing w:line="276" w:lineRule="auto"/>
        <w:ind w:firstLine="567"/>
        <w:jc w:val="both"/>
      </w:pPr>
      <w:r>
        <w:t>[</w:t>
      </w:r>
      <w:r w:rsidR="00BF63A7">
        <w:t>6</w:t>
      </w:r>
      <w:r>
        <w:t xml:space="preserve">] </w:t>
      </w:r>
      <w:r w:rsidR="000F2402">
        <w:t>L</w:t>
      </w:r>
      <w:r>
        <w:t xml:space="preserve">ietā nav strīda, ka policijas rīcība </w:t>
      </w:r>
      <w:r w:rsidR="007B012F" w:rsidRPr="007B012F">
        <w:t xml:space="preserve">vēlāk (pēc tam, kad </w:t>
      </w:r>
      <w:r w:rsidR="00760A48">
        <w:t xml:space="preserve">bija </w:t>
      </w:r>
      <w:r w:rsidR="007B012F" w:rsidRPr="007B012F">
        <w:t>saņemts ekspertīzes atzinums)</w:t>
      </w:r>
      <w:r w:rsidR="007B012F">
        <w:t xml:space="preserve"> </w:t>
      </w:r>
      <w:r w:rsidR="00F525DD">
        <w:t xml:space="preserve">ir izrādījusies </w:t>
      </w:r>
      <w:r>
        <w:t>nepamatota</w:t>
      </w:r>
      <w:r w:rsidR="00FE32A7">
        <w:t>.</w:t>
      </w:r>
      <w:r w:rsidR="0070697D">
        <w:t xml:space="preserve"> Ģenerālprokuratūra to ir atzinusi, tāpēc lēmusi par zaudējumu atlīdzināšanu.</w:t>
      </w:r>
      <w:r w:rsidR="00FE32A7">
        <w:t xml:space="preserve"> </w:t>
      </w:r>
      <w:r w:rsidR="000F2402">
        <w:t xml:space="preserve">Strīds </w:t>
      </w:r>
      <w:r w:rsidR="0070697D">
        <w:t>lietā</w:t>
      </w:r>
      <w:r w:rsidR="000F2402">
        <w:t xml:space="preserve"> ir par to, </w:t>
      </w:r>
      <w:r w:rsidR="00E27F15">
        <w:lastRenderedPageBreak/>
        <w:t xml:space="preserve">vai </w:t>
      </w:r>
      <w:r w:rsidR="000F2402">
        <w:t>pieteicējai ir nodarīts</w:t>
      </w:r>
      <w:r w:rsidR="00E27F15">
        <w:t xml:space="preserve"> kaitējums</w:t>
      </w:r>
      <w:r>
        <w:t xml:space="preserve"> </w:t>
      </w:r>
      <w:r w:rsidR="000F2402">
        <w:t xml:space="preserve">un </w:t>
      </w:r>
      <w:r w:rsidR="00E27F15">
        <w:t>cik lielā mērā tas ir</w:t>
      </w:r>
      <w:r w:rsidR="000F2402">
        <w:t xml:space="preserve"> atlīdzināms. </w:t>
      </w:r>
    </w:p>
    <w:p w14:paraId="3CDD11DE" w14:textId="25C6C030" w:rsidR="00E875B0" w:rsidRDefault="00E7347C" w:rsidP="00887180">
      <w:pPr>
        <w:spacing w:line="276" w:lineRule="auto"/>
        <w:ind w:firstLine="567"/>
        <w:jc w:val="both"/>
      </w:pPr>
      <w:r>
        <w:t>Apgabaltiesa, vērtējot lietas apstākļus un pierādījumus, ir konstatējusi, ka izskatāmajā gadījumā nav konstatējama pieteicējas līdzatbildība, turklāt pieteicēja neko aizliegtu vai neatļautu nav darījusi, jo kaņepes audzēt ir atļauts.</w:t>
      </w:r>
      <w:r w:rsidR="00E875B0">
        <w:t xml:space="preserve"> </w:t>
      </w:r>
      <w:r w:rsidR="00006308">
        <w:t xml:space="preserve">Izdarot </w:t>
      </w:r>
      <w:r>
        <w:t xml:space="preserve">kratīšanu, ir tiešā veidā aizskartas pieteicējas pamattiesības: notikusi iejaukšanās pieteicējas privātajā dzīvē, </w:t>
      </w:r>
      <w:r w:rsidR="00C81ACF">
        <w:t xml:space="preserve">konstatējams </w:t>
      </w:r>
      <w:r>
        <w:t xml:space="preserve">tiesību uz īpašumu pārkāpums, kā arī šā pamattiesību aizskāruma rezultātā radies kaitējums pieteicējas veselībai. Minētās pamattiesības nav absolūtas, proti, gan tiesības uz īpašumu, gan tiesības uz privāto dzīvi var ierobežot, lai aizsargātu citu cilvēku tiesības, demokrātisko valsts iekārtu, sabiedrības drošību, labklājību un tikumību. </w:t>
      </w:r>
      <w:r w:rsidR="004E193F" w:rsidRPr="004E193F">
        <w:t>Kratīšana tās izdarīšanas brīdī bija tiesiska</w:t>
      </w:r>
      <w:r w:rsidR="004E193F">
        <w:t xml:space="preserve">, </w:t>
      </w:r>
      <w:r>
        <w:t>līdz ar to varēja prezumēt, ka pamattiesību ierobežojums ir attaisnojams, tomē</w:t>
      </w:r>
      <w:r w:rsidR="00E875B0">
        <w:t>r</w:t>
      </w:r>
      <w:r>
        <w:t xml:space="preserve"> vēlāk tika konstatēta kratīšanas nepamatotība.</w:t>
      </w:r>
    </w:p>
    <w:p w14:paraId="1FAB6040" w14:textId="4062CDC0" w:rsidR="00E7347C" w:rsidRDefault="00E7347C" w:rsidP="00887180">
      <w:pPr>
        <w:spacing w:line="276" w:lineRule="auto"/>
        <w:ind w:firstLine="567"/>
        <w:jc w:val="both"/>
      </w:pPr>
      <w:r>
        <w:lastRenderedPageBreak/>
        <w:t xml:space="preserve">Izvērtējot lietā konstatētos apstākļus to savstarpējā kopsakarā, apgabaltiesa piekrita Ģenerālprokuratūrai, ka nav noticis pieteicējas tiesību vai ar likumu aizsargāto interešu smags aizskārums. Tāpat apgabaltiesa </w:t>
      </w:r>
      <w:r w:rsidR="00E875B0">
        <w:t>atzina</w:t>
      </w:r>
      <w:r>
        <w:t>, ka publiska atvainošanās nav nenozīmīga, jo publiskas atvainošanās mērķis ir paust nožēlu par notikušo ne tikai konkrētai personai, bet šo nožēlu darīt zināmu sabiedrībai kopumā, tādējādi vienlaikus gan atzīstot kļūdu, gan reabilitējot personu sabiedrības acīs</w:t>
      </w:r>
      <w:r w:rsidR="00E875B0">
        <w:t>. T</w:t>
      </w:r>
      <w:r>
        <w:t>omēr izskatāmajā lietā, ņemot vērā pieteicējas cilvēktiesību aizskāruma būtiskumu, ir radīts tāds kaitējums, kuram atbilstošs atlīdzinājums būtu nosakāms arī naudā.</w:t>
      </w:r>
    </w:p>
    <w:p w14:paraId="0C984A59" w14:textId="54C7C91A" w:rsidR="00E7347C" w:rsidRDefault="000C1BDE" w:rsidP="00887180">
      <w:pPr>
        <w:spacing w:line="276" w:lineRule="auto"/>
        <w:ind w:firstLine="567"/>
        <w:jc w:val="both"/>
      </w:pPr>
      <w:r>
        <w:t>Senāts atzīst, ka</w:t>
      </w:r>
      <w:r w:rsidR="00F0692E">
        <w:t xml:space="preserve"> </w:t>
      </w:r>
      <w:r w:rsidR="00E7347C">
        <w:t>apgabaltiesa</w:t>
      </w:r>
      <w:r w:rsidR="00F0692E">
        <w:t xml:space="preserve"> </w:t>
      </w:r>
      <w:r w:rsidR="00E7347C">
        <w:t xml:space="preserve">ir pareizi piemērojusi Atlīdzināšanas likuma normas, jo ir vērtējusi cēloņsakarību starp </w:t>
      </w:r>
      <w:r w:rsidR="007C3A97">
        <w:t xml:space="preserve">izdarīto </w:t>
      </w:r>
      <w:r w:rsidR="00E7347C">
        <w:t>kratīšanu un kaitējuma iestāšanos, pieteicējas līdzatbildību, aizskarto tiesību un ar likumu aizsargāto interešu nozīmīgumu, aizskāruma smagumu, kā arī citus apstākļus, un noteikusi atbilstošu atlīdzinājuma veidu.</w:t>
      </w:r>
    </w:p>
    <w:p w14:paraId="0E7F071E" w14:textId="3239E547" w:rsidR="00F05742" w:rsidRDefault="00F05742" w:rsidP="00887180">
      <w:pPr>
        <w:spacing w:line="276" w:lineRule="auto"/>
        <w:ind w:firstLine="567"/>
        <w:jc w:val="both"/>
      </w:pPr>
      <w:r w:rsidRPr="0016425C">
        <w:lastRenderedPageBreak/>
        <w:t xml:space="preserve">Senāts </w:t>
      </w:r>
      <w:r w:rsidR="00325652">
        <w:t xml:space="preserve">arī </w:t>
      </w:r>
      <w:r w:rsidRPr="0016425C">
        <w:t>atzīst par pamatotu apgabaltiesas secinājumu</w:t>
      </w:r>
      <w:r>
        <w:t xml:space="preserve">, ka </w:t>
      </w:r>
      <w:r w:rsidRPr="00D66EF7">
        <w:t xml:space="preserve">iepriekšējo stāvokli, kāds </w:t>
      </w:r>
      <w:r>
        <w:t>bija</w:t>
      </w:r>
      <w:r w:rsidRPr="00D66EF7">
        <w:t xml:space="preserve"> pirms kaitējuma nodarīšanas, nav iespējams atjaunot, kratīšanu nevar pavērst par nenotikušu un pieteicējas pārdzīvojumus padarīt par nebijušiem</w:t>
      </w:r>
      <w:r w:rsidR="00325652">
        <w:t xml:space="preserve"> (</w:t>
      </w:r>
      <w:r>
        <w:t xml:space="preserve">kratīšana ir radījusi </w:t>
      </w:r>
      <w:r w:rsidRPr="00B8323F">
        <w:t xml:space="preserve">neatgriezeniskas </w:t>
      </w:r>
      <w:r>
        <w:t>sekas</w:t>
      </w:r>
      <w:r w:rsidR="00325652">
        <w:t>)</w:t>
      </w:r>
      <w:r w:rsidRPr="0079648B">
        <w:t xml:space="preserve">. </w:t>
      </w:r>
      <w:r w:rsidRPr="00E80C25">
        <w:t xml:space="preserve">Tas, vai kaņepes pieteicējas īpašumā iesējas </w:t>
      </w:r>
      <w:r>
        <w:t xml:space="preserve">arī </w:t>
      </w:r>
      <w:r w:rsidRPr="00E80C25">
        <w:t>pašas, neietekmē minēto.</w:t>
      </w:r>
    </w:p>
    <w:p w14:paraId="60C89414" w14:textId="77777777" w:rsidR="000C1BDE" w:rsidRDefault="000C1BDE" w:rsidP="00887180">
      <w:pPr>
        <w:spacing w:line="276" w:lineRule="auto"/>
        <w:ind w:firstLine="567"/>
        <w:jc w:val="both"/>
      </w:pPr>
    </w:p>
    <w:p w14:paraId="29BC2E98" w14:textId="1C4BDD2A" w:rsidR="003374FA" w:rsidRDefault="000C1BDE" w:rsidP="00887180">
      <w:pPr>
        <w:spacing w:line="276" w:lineRule="auto"/>
        <w:ind w:firstLine="567"/>
        <w:jc w:val="both"/>
      </w:pPr>
      <w:r>
        <w:t>[</w:t>
      </w:r>
      <w:r w:rsidR="00BF63A7">
        <w:t>7</w:t>
      </w:r>
      <w:r>
        <w:t xml:space="preserve">] </w:t>
      </w:r>
      <w:r w:rsidR="00E7347C">
        <w:t>Vienlaikus Senāts nepiekrīt apgabaltiesa</w:t>
      </w:r>
      <w:r w:rsidR="00520512">
        <w:t>s secinātajam</w:t>
      </w:r>
      <w:r w:rsidR="00E7347C">
        <w:t xml:space="preserve">, ka nemantiskais kaitējums Atlīdzināšanas likuma izpratnē pieteicējai radies arī ar kriminālprocesa plašo rezonansi publiskajā telpā. Atlīdzināšanas likums aptver nemantisko kaitējumu, kas kriminālprocesā nodarīts iestādes, prokuratūras vai tiesas prettiesiskas vai nepamatotas rīcības dēļ. Plašsaziņas līdzekļi publikācijas sagatavo ārpus kriminālprocesa, neatkarīgi īstenojot savu pienākumu </w:t>
      </w:r>
      <w:r w:rsidR="00874795">
        <w:t xml:space="preserve">sniegt </w:t>
      </w:r>
      <w:r w:rsidR="00E7347C">
        <w:t>sabiedrībai informāciju, kas skar tās intereses, vienlaikus ievērojot noteikumu, ka tiesvedī</w:t>
      </w:r>
      <w:r w:rsidR="00E7347C">
        <w:lastRenderedPageBreak/>
        <w:t xml:space="preserve">bas procesa atspoguļojumā nav pieļaujama tādu materiālu publicēšana, kuri pārkāpj nevainīguma prezumpciju, kā tas noteikts likumā „Par presi un citiem masu informācijas līdzekļiem”. Tātad atbildība par publikāciju saturu un ar tām nodarīto iespējamo nemantisko kaitējumu gulstas uz plašsaziņas līdzekļiem, nevis valsti. Likumdevējs ir paredzējis vairākus mehānismus personas tiesisko interešu aizsardzībai gadījumā, ja plašsaziņas līdzeklis ir publicējis materiālus, kas pārkāpj nevainīguma prezumpciju vai kā citādi nodara personai kaitējumu, sniedzot nepatiesas ziņas, ceļot neslavu vai aizskarot tās godu un cieņu. Saskaņā ar likumu „Par presi un citiem masu informācijas līdzekļiem” persona ir tiesīga pieprasīt, lai </w:t>
      </w:r>
      <w:r w:rsidR="00F84F58">
        <w:t xml:space="preserve">plašsaziņas </w:t>
      </w:r>
      <w:r w:rsidR="00E7347C">
        <w:t>līdzekļi atsauc par to publicētās (pārraidītās) ziņas, ja tās neatbilst patiesībai. Citos goda un cieņas aizskaršanas gadījumos personai ir tiesības prasīt atvainošanos. Civillikuma 2532.</w:t>
      </w:r>
      <w:r w:rsidR="00E7347C" w:rsidRPr="00A54D95">
        <w:rPr>
          <w:vertAlign w:val="superscript"/>
        </w:rPr>
        <w:t>1</w:t>
      </w:r>
      <w:r w:rsidR="00E7347C">
        <w:t>pants noteic, ka katram ir tiesības prasīt tiesas ceļā atsaukt zi</w:t>
      </w:r>
      <w:r w:rsidR="00E7347C">
        <w:lastRenderedPageBreak/>
        <w:t>ņas, kas aizskar viņa godu un cieņu, ja šādu ziņu izplatītājs nepierāda, ka tās atbilst patiesībai. Savukārt, ja persona uzskata, ka publikācija pārkāpj tās tiesības uz privātās vai ģimenes dzīves neaizskaramību, lai gan publiskotā informācija ir patiesa (nav piemērojams Civillikuma 2352.</w:t>
      </w:r>
      <w:r w:rsidR="00E7347C" w:rsidRPr="00A54D95">
        <w:rPr>
          <w:vertAlign w:val="superscript"/>
        </w:rPr>
        <w:t>1</w:t>
      </w:r>
      <w:r w:rsidR="00E7347C">
        <w:t xml:space="preserve">pants), tā var prasīt atlīdzību par morālo kaitējumu, pamatojoties uz </w:t>
      </w:r>
      <w:r w:rsidR="00051A15">
        <w:t xml:space="preserve">Latvijas Republikas </w:t>
      </w:r>
      <w:r w:rsidR="00E7347C">
        <w:t>Satversmes 92.panta otro teikumu un Civillikuma 1635.pantu. Turklāt likumdevējs Atlīdzināšanas likuma 16.panta otrajā daļā ir paredzējis papildu mehānismu personas tiesisko interešu aizstāvībai gadījumā, ja ziņas par kriminālprocesu atspoguļotas plašsaziņas līdzekļos un ir iestājies kaitējuma atlīdzināšanas tiesiskais pamats: pēc privātpersonas pieprasījuma plašsaziņas līdzekļiem jāpublicē informācija par kriminālprocesa izbeigšanu (</w:t>
      </w:r>
      <w:r w:rsidR="00285ABE">
        <w:t>s</w:t>
      </w:r>
      <w:r w:rsidR="00E7347C">
        <w:t xml:space="preserve">k. arī </w:t>
      </w:r>
      <w:r w:rsidR="00E7347C" w:rsidRPr="00285ABE">
        <w:rPr>
          <w:i/>
          <w:iCs/>
        </w:rPr>
        <w:t>Senāta 2022.gada 25.februāra sprieduma lietā Nr.</w:t>
      </w:r>
      <w:r w:rsidR="00285ABE">
        <w:rPr>
          <w:i/>
          <w:iCs/>
        </w:rPr>
        <w:t> </w:t>
      </w:r>
      <w:r w:rsidR="00E7347C" w:rsidRPr="00285ABE">
        <w:rPr>
          <w:i/>
          <w:iCs/>
        </w:rPr>
        <w:t>SKA</w:t>
      </w:r>
      <w:r w:rsidR="00BF58F4">
        <w:rPr>
          <w:i/>
          <w:iCs/>
        </w:rPr>
        <w:noBreakHyphen/>
      </w:r>
      <w:r w:rsidR="00E7347C" w:rsidRPr="00285ABE">
        <w:rPr>
          <w:i/>
          <w:iCs/>
        </w:rPr>
        <w:t xml:space="preserve">254/2022 </w:t>
      </w:r>
      <w:r w:rsidR="00F553F6">
        <w:rPr>
          <w:i/>
          <w:iCs/>
        </w:rPr>
        <w:t>(</w:t>
      </w:r>
      <w:hyperlink r:id="rId10" w:history="1">
        <w:r w:rsidR="00E7347C" w:rsidRPr="00A54D95">
          <w:rPr>
            <w:rStyle w:val="Hyperlink"/>
            <w:i/>
            <w:iCs/>
            <w:color w:val="auto"/>
            <w:u w:val="none"/>
          </w:rPr>
          <w:t>ECLI:LV:AT:2022:0225.A420138419.9.S</w:t>
        </w:r>
      </w:hyperlink>
      <w:r w:rsidR="00F553F6">
        <w:rPr>
          <w:i/>
          <w:iCs/>
        </w:rPr>
        <w:t>)</w:t>
      </w:r>
      <w:r w:rsidR="00F553F6" w:rsidRPr="00285ABE">
        <w:rPr>
          <w:i/>
          <w:iCs/>
        </w:rPr>
        <w:t xml:space="preserve"> </w:t>
      </w:r>
      <w:r w:rsidR="00E7347C" w:rsidRPr="00285ABE">
        <w:rPr>
          <w:i/>
          <w:iCs/>
        </w:rPr>
        <w:t>10.punktu</w:t>
      </w:r>
      <w:r w:rsidR="00E7347C">
        <w:t>)</w:t>
      </w:r>
      <w:r w:rsidR="00285ABE">
        <w:t>.</w:t>
      </w:r>
    </w:p>
    <w:p w14:paraId="058C8322" w14:textId="5843366B" w:rsidR="00DC4C46" w:rsidRPr="004E193F" w:rsidRDefault="000764BD" w:rsidP="00887180">
      <w:pPr>
        <w:spacing w:line="276" w:lineRule="auto"/>
        <w:ind w:firstLine="567"/>
        <w:jc w:val="both"/>
      </w:pPr>
      <w:r w:rsidRPr="004E193F">
        <w:lastRenderedPageBreak/>
        <w:t>Kā izriet no apgabaltiesas sprieduma 26.punkta, tiesa</w:t>
      </w:r>
      <w:r w:rsidR="00325652" w:rsidRPr="004E193F">
        <w:t>, lemjot par atlīdzināmo summu,</w:t>
      </w:r>
      <w:r w:rsidRPr="004E193F">
        <w:t xml:space="preserve"> ņēmusi vērā</w:t>
      </w:r>
      <w:r w:rsidR="00DC4C46" w:rsidRPr="004E193F">
        <w:t xml:space="preserve"> kratīšanas faktu kā iejaukšanos pieteicējas privātajā dzīvē, tiesību uz īpašumu pārkāpumu un pieteicējai nodarīto veselības kaitējumu. Tādējādi var pieņemt, ka notikuma </w:t>
      </w:r>
      <w:r w:rsidR="007B432D" w:rsidRPr="004E193F">
        <w:t xml:space="preserve">atspoguļošana </w:t>
      </w:r>
      <w:r w:rsidR="00DC4C46" w:rsidRPr="004E193F">
        <w:t xml:space="preserve">plašsaziņas līdzekļos, nosakot kaitējuma atlīdzinājuma lielumu, nav </w:t>
      </w:r>
      <w:r w:rsidR="007B432D" w:rsidRPr="004E193F">
        <w:t xml:space="preserve">ņemta </w:t>
      </w:r>
      <w:r w:rsidR="00DC4C46" w:rsidRPr="004E193F">
        <w:t>vērā.</w:t>
      </w:r>
    </w:p>
    <w:p w14:paraId="6AE0EBAB" w14:textId="77777777" w:rsidR="00887180" w:rsidRDefault="00DC4C46" w:rsidP="00887180">
      <w:pPr>
        <w:spacing w:line="276" w:lineRule="auto"/>
        <w:ind w:firstLine="567"/>
        <w:jc w:val="both"/>
      </w:pPr>
      <w:r w:rsidRPr="004E193F">
        <w:t>Tādējādi secināms, ka arī š</w:t>
      </w:r>
      <w:r w:rsidR="00051A15" w:rsidRPr="004E193F">
        <w:t>ā</w:t>
      </w:r>
      <w:r w:rsidRPr="004E193F">
        <w:t xml:space="preserve"> kļūda nav ietekmējusi sprieduma rezultātu pēc būtības.</w:t>
      </w:r>
    </w:p>
    <w:p w14:paraId="7D1371B2" w14:textId="77777777" w:rsidR="00887180" w:rsidRDefault="00887180" w:rsidP="00887180">
      <w:pPr>
        <w:spacing w:line="276" w:lineRule="auto"/>
        <w:ind w:firstLine="567"/>
        <w:jc w:val="both"/>
      </w:pPr>
    </w:p>
    <w:p w14:paraId="76DB940B" w14:textId="51BDE553" w:rsidR="00E7347C" w:rsidRDefault="005003D1" w:rsidP="00887180">
      <w:pPr>
        <w:spacing w:line="276" w:lineRule="auto"/>
        <w:ind w:firstLine="567"/>
        <w:jc w:val="both"/>
      </w:pPr>
      <w:r w:rsidRPr="002F7B17">
        <w:t>[</w:t>
      </w:r>
      <w:r w:rsidR="00BF63A7">
        <w:t>8</w:t>
      </w:r>
      <w:r w:rsidRPr="002F7B17">
        <w:t xml:space="preserve">] </w:t>
      </w:r>
      <w:r w:rsidR="00E7347C">
        <w:t>Senāt</w:t>
      </w:r>
      <w:r>
        <w:t>s nepiekrīt kasācijas sūdzībā norādītajam, ka</w:t>
      </w:r>
      <w:r w:rsidR="00493E50">
        <w:t xml:space="preserve"> tiesa</w:t>
      </w:r>
      <w:r w:rsidR="004358BB">
        <w:t>,</w:t>
      </w:r>
      <w:r w:rsidR="00493E50">
        <w:t xml:space="preserve"> </w:t>
      </w:r>
      <w:r w:rsidR="004358BB">
        <w:t>salīdzinot citus gadījumus, ņēmusi vērā atlīdzinājuma lielumu lietās, kurās iestādes rīcība ir bijusi prettiesiska</w:t>
      </w:r>
      <w:r w:rsidR="00E7347C">
        <w:t>.</w:t>
      </w:r>
      <w:r w:rsidR="004358BB">
        <w:t xml:space="preserve"> Tiesa ir salīdzinājusi gadījumus, kurās lemts par privātās dzīves aizskārumu.</w:t>
      </w:r>
    </w:p>
    <w:p w14:paraId="6105B4A0" w14:textId="32EF49F3" w:rsidR="009A6EBC" w:rsidRDefault="009A6EBC" w:rsidP="00887180">
      <w:pPr>
        <w:spacing w:line="276" w:lineRule="auto"/>
        <w:ind w:firstLine="567"/>
        <w:jc w:val="both"/>
      </w:pPr>
    </w:p>
    <w:p w14:paraId="20F4B15E" w14:textId="37224840" w:rsidR="009A6EBC" w:rsidRDefault="009A6EBC" w:rsidP="00887180">
      <w:pPr>
        <w:spacing w:line="276" w:lineRule="auto"/>
        <w:ind w:firstLine="567"/>
        <w:jc w:val="both"/>
      </w:pPr>
      <w:r>
        <w:t xml:space="preserve">[9] Apkopojot iepriekš minētos argumentus, Senāts nesaskata tādas kļūdas apgabaltiesas spriedumā, kas būtu novedušas pie lietas nepareizas izspriešanas. </w:t>
      </w:r>
    </w:p>
    <w:p w14:paraId="096C5D0A" w14:textId="77777777" w:rsidR="000A2A9C" w:rsidRDefault="000A2A9C" w:rsidP="00887180">
      <w:pPr>
        <w:spacing w:line="276" w:lineRule="auto"/>
        <w:jc w:val="both"/>
        <w:rPr>
          <w:highlight w:val="yellow"/>
        </w:rPr>
      </w:pPr>
    </w:p>
    <w:p w14:paraId="1D39F2BF" w14:textId="77777777" w:rsidR="00530B85" w:rsidRDefault="00530B85" w:rsidP="00887180">
      <w:pPr>
        <w:spacing w:line="276" w:lineRule="auto"/>
        <w:jc w:val="center"/>
        <w:rPr>
          <w:b/>
        </w:rPr>
      </w:pPr>
      <w:r>
        <w:rPr>
          <w:b/>
        </w:rPr>
        <w:t>Rezolutīvā daļa</w:t>
      </w:r>
    </w:p>
    <w:p w14:paraId="53224002" w14:textId="77777777" w:rsidR="00530B85" w:rsidRPr="008E0544" w:rsidRDefault="00530B85" w:rsidP="00887180">
      <w:pPr>
        <w:spacing w:line="276" w:lineRule="auto"/>
        <w:ind w:firstLine="567"/>
        <w:jc w:val="both"/>
      </w:pPr>
    </w:p>
    <w:p w14:paraId="2797C293" w14:textId="22AD6EC0" w:rsidR="00217FCC" w:rsidRDefault="00530B85" w:rsidP="00887180">
      <w:pPr>
        <w:spacing w:line="276" w:lineRule="auto"/>
        <w:ind w:firstLine="567"/>
        <w:jc w:val="both"/>
      </w:pPr>
      <w:r w:rsidRPr="008E0544">
        <w:t xml:space="preserve">Pamatojoties </w:t>
      </w:r>
      <w:r w:rsidRPr="0006617F">
        <w:t xml:space="preserve">uz Administratīvā procesa likuma </w:t>
      </w:r>
      <w:proofErr w:type="gramStart"/>
      <w:r w:rsidRPr="0006617F">
        <w:t>348.panta</w:t>
      </w:r>
      <w:proofErr w:type="gramEnd"/>
      <w:r w:rsidRPr="0006617F">
        <w:t xml:space="preserve"> pirmās daļas 1.punktu</w:t>
      </w:r>
      <w:r w:rsidRPr="008E0544">
        <w:t xml:space="preserve"> un 351.pantu, Senāts</w:t>
      </w:r>
    </w:p>
    <w:p w14:paraId="2BA02042" w14:textId="77777777" w:rsidR="00F553F6" w:rsidRDefault="00F553F6" w:rsidP="00887180">
      <w:pPr>
        <w:spacing w:line="276" w:lineRule="auto"/>
        <w:ind w:firstLine="567"/>
        <w:jc w:val="both"/>
        <w:rPr>
          <w:b/>
        </w:rPr>
      </w:pPr>
    </w:p>
    <w:p w14:paraId="46113C6F" w14:textId="5B8B8907" w:rsidR="00530B85" w:rsidRPr="008E0544" w:rsidRDefault="00530B85" w:rsidP="00887180">
      <w:pPr>
        <w:keepNext/>
        <w:tabs>
          <w:tab w:val="left" w:pos="2700"/>
          <w:tab w:val="left" w:pos="6660"/>
        </w:tabs>
        <w:spacing w:line="276" w:lineRule="auto"/>
        <w:jc w:val="center"/>
        <w:rPr>
          <w:b/>
        </w:rPr>
      </w:pPr>
      <w:bookmarkStart w:id="6" w:name="Dropdown14"/>
      <w:r w:rsidRPr="008E0544">
        <w:rPr>
          <w:b/>
        </w:rPr>
        <w:lastRenderedPageBreak/>
        <w:t>nosprieda</w:t>
      </w:r>
      <w:bookmarkEnd w:id="6"/>
    </w:p>
    <w:p w14:paraId="1E483FA0" w14:textId="77777777" w:rsidR="00530B85" w:rsidRPr="008E0544" w:rsidRDefault="00530B85" w:rsidP="00887180">
      <w:pPr>
        <w:keepNext/>
        <w:tabs>
          <w:tab w:val="left" w:pos="2700"/>
          <w:tab w:val="left" w:pos="6660"/>
        </w:tabs>
        <w:spacing w:line="276" w:lineRule="auto"/>
        <w:ind w:firstLine="567"/>
        <w:jc w:val="both"/>
        <w:rPr>
          <w:bCs/>
          <w:spacing w:val="70"/>
        </w:rPr>
      </w:pPr>
    </w:p>
    <w:p w14:paraId="50F50050" w14:textId="5477B59C" w:rsidR="00DE4B96" w:rsidRDefault="00DE4B96" w:rsidP="00887180">
      <w:pPr>
        <w:keepNext/>
        <w:tabs>
          <w:tab w:val="left" w:pos="2700"/>
          <w:tab w:val="left" w:pos="6660"/>
        </w:tabs>
        <w:spacing w:line="276" w:lineRule="auto"/>
        <w:ind w:firstLine="567"/>
        <w:jc w:val="both"/>
      </w:pPr>
      <w:r w:rsidRPr="004E193F">
        <w:t xml:space="preserve">atstāt </w:t>
      </w:r>
      <w:r w:rsidR="00D95372" w:rsidRPr="004E193F">
        <w:t xml:space="preserve">negrozītu </w:t>
      </w:r>
      <w:r w:rsidRPr="004E193F">
        <w:t xml:space="preserve">Administratīvās apgabaltiesas </w:t>
      </w:r>
      <w:proofErr w:type="gramStart"/>
      <w:r w:rsidRPr="004E193F">
        <w:t>2021.gada</w:t>
      </w:r>
      <w:proofErr w:type="gramEnd"/>
      <w:r w:rsidRPr="004E193F">
        <w:t xml:space="preserve"> 21.janvāra spriedumu, bet Ģenerālprokuratūras kasācijas sūdzību noraidīt.</w:t>
      </w:r>
    </w:p>
    <w:p w14:paraId="050036ED" w14:textId="5C8D0EBF" w:rsidR="00530B85" w:rsidRDefault="00530B85" w:rsidP="00887180">
      <w:pPr>
        <w:tabs>
          <w:tab w:val="left" w:pos="2700"/>
          <w:tab w:val="left" w:pos="6660"/>
        </w:tabs>
        <w:spacing w:line="276" w:lineRule="auto"/>
        <w:ind w:firstLine="567"/>
        <w:jc w:val="both"/>
        <w:rPr>
          <w:highlight w:val="yellow"/>
        </w:rPr>
      </w:pPr>
      <w:r w:rsidRPr="008E0544">
        <w:t>Spriedums nav pārsūdzams.</w:t>
      </w:r>
    </w:p>
    <w:p w14:paraId="7447D08D" w14:textId="77777777" w:rsidR="00530B85" w:rsidRDefault="00530B85" w:rsidP="00887180">
      <w:pPr>
        <w:spacing w:line="276" w:lineRule="auto"/>
        <w:ind w:firstLine="567"/>
        <w:jc w:val="both"/>
        <w:rPr>
          <w:bCs/>
          <w:highlight w:val="yellow"/>
        </w:rPr>
      </w:pPr>
    </w:p>
    <w:p w14:paraId="0218A2BE" w14:textId="77777777" w:rsidR="00530B85" w:rsidRDefault="00530B85" w:rsidP="00887180">
      <w:pPr>
        <w:spacing w:line="276" w:lineRule="auto"/>
        <w:ind w:firstLine="720"/>
        <w:jc w:val="both"/>
        <w:rPr>
          <w:lang w:eastAsia="ru-RU"/>
        </w:rPr>
      </w:pPr>
    </w:p>
    <w:bookmarkEnd w:id="2"/>
    <w:p w14:paraId="6BF5F3DE" w14:textId="6DFDC3FB" w:rsidR="00530B85" w:rsidRDefault="00530B85" w:rsidP="00D15055">
      <w:pPr>
        <w:tabs>
          <w:tab w:val="center" w:pos="1701"/>
          <w:tab w:val="center" w:pos="4536"/>
          <w:tab w:val="center" w:pos="7371"/>
        </w:tabs>
        <w:spacing w:line="276" w:lineRule="auto"/>
        <w:ind w:firstLine="720"/>
        <w:jc w:val="both"/>
        <w:rPr>
          <w:lang w:eastAsia="ru-RU"/>
        </w:rPr>
      </w:pPr>
    </w:p>
    <w:sectPr w:rsidR="00530B85" w:rsidSect="008F691E">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FF6C8" w14:textId="77777777" w:rsidR="00DE3B0E" w:rsidRDefault="00DE3B0E" w:rsidP="006529EF">
      <w:r>
        <w:separator/>
      </w:r>
    </w:p>
  </w:endnote>
  <w:endnote w:type="continuationSeparator" w:id="0">
    <w:p w14:paraId="3911F09B" w14:textId="77777777" w:rsidR="00DE3B0E" w:rsidRDefault="00DE3B0E" w:rsidP="0065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636285"/>
      <w:docPartObj>
        <w:docPartGallery w:val="Page Numbers (Top of Page)"/>
        <w:docPartUnique/>
      </w:docPartObj>
    </w:sdtPr>
    <w:sdtEndPr/>
    <w:sdtContent>
      <w:p w14:paraId="4131B3A0" w14:textId="4B23D215" w:rsidR="00E7795D" w:rsidRDefault="00E7795D" w:rsidP="00FD7F62">
        <w:pPr>
          <w:pStyle w:val="Footer"/>
          <w:jc w:val="center"/>
        </w:pPr>
        <w:r w:rsidRPr="007310B0">
          <w:rPr>
            <w:bCs/>
          </w:rPr>
          <w:fldChar w:fldCharType="begin"/>
        </w:r>
        <w:r w:rsidRPr="007310B0">
          <w:rPr>
            <w:bCs/>
          </w:rPr>
          <w:instrText xml:space="preserve"> PAGE </w:instrText>
        </w:r>
        <w:r w:rsidRPr="007310B0">
          <w:rPr>
            <w:bCs/>
          </w:rPr>
          <w:fldChar w:fldCharType="separate"/>
        </w:r>
        <w:r w:rsidR="003233B2">
          <w:rPr>
            <w:bCs/>
            <w:noProof/>
          </w:rPr>
          <w:t>5</w:t>
        </w:r>
        <w:r w:rsidRPr="007310B0">
          <w:rPr>
            <w:bCs/>
          </w:rPr>
          <w:fldChar w:fldCharType="end"/>
        </w:r>
        <w:r w:rsidRPr="007310B0">
          <w:t xml:space="preserve"> no </w:t>
        </w:r>
        <w:r w:rsidRPr="007310B0">
          <w:rPr>
            <w:bCs/>
          </w:rPr>
          <w:fldChar w:fldCharType="begin"/>
        </w:r>
        <w:r w:rsidRPr="007310B0">
          <w:rPr>
            <w:bCs/>
          </w:rPr>
          <w:instrText xml:space="preserve"> NUMPAGES  </w:instrText>
        </w:r>
        <w:r w:rsidRPr="007310B0">
          <w:rPr>
            <w:bCs/>
          </w:rPr>
          <w:fldChar w:fldCharType="separate"/>
        </w:r>
        <w:r w:rsidR="003233B2">
          <w:rPr>
            <w:bCs/>
            <w:noProof/>
          </w:rPr>
          <w:t>5</w:t>
        </w:r>
        <w:r w:rsidRPr="007310B0">
          <w:rPr>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D8EF7" w14:textId="77777777" w:rsidR="00DE3B0E" w:rsidRDefault="00DE3B0E" w:rsidP="006529EF">
      <w:r>
        <w:separator/>
      </w:r>
    </w:p>
  </w:footnote>
  <w:footnote w:type="continuationSeparator" w:id="0">
    <w:p w14:paraId="618CB3C3" w14:textId="77777777" w:rsidR="00DE3B0E" w:rsidRDefault="00DE3B0E" w:rsidP="00652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54944D3"/>
    <w:multiLevelType w:val="hybridMultilevel"/>
    <w:tmpl w:val="E800CC00"/>
    <w:lvl w:ilvl="0" w:tplc="68AC1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86"/>
    <w:rsid w:val="00006308"/>
    <w:rsid w:val="00023EF7"/>
    <w:rsid w:val="00024732"/>
    <w:rsid w:val="00031336"/>
    <w:rsid w:val="00040161"/>
    <w:rsid w:val="00040DF1"/>
    <w:rsid w:val="00051A15"/>
    <w:rsid w:val="0006617F"/>
    <w:rsid w:val="000764BD"/>
    <w:rsid w:val="00083B99"/>
    <w:rsid w:val="00090932"/>
    <w:rsid w:val="000970F2"/>
    <w:rsid w:val="000A2A9C"/>
    <w:rsid w:val="000A2B42"/>
    <w:rsid w:val="000A56AF"/>
    <w:rsid w:val="000B1025"/>
    <w:rsid w:val="000C19AB"/>
    <w:rsid w:val="000C1BDE"/>
    <w:rsid w:val="000D29E4"/>
    <w:rsid w:val="000D5704"/>
    <w:rsid w:val="000F2402"/>
    <w:rsid w:val="00101175"/>
    <w:rsid w:val="00101FA3"/>
    <w:rsid w:val="00124F8D"/>
    <w:rsid w:val="00127646"/>
    <w:rsid w:val="00133050"/>
    <w:rsid w:val="00147976"/>
    <w:rsid w:val="00147FED"/>
    <w:rsid w:val="00154D54"/>
    <w:rsid w:val="00157A60"/>
    <w:rsid w:val="0016425C"/>
    <w:rsid w:val="00173659"/>
    <w:rsid w:val="0017760A"/>
    <w:rsid w:val="0018789B"/>
    <w:rsid w:val="00190B1D"/>
    <w:rsid w:val="001A02AD"/>
    <w:rsid w:val="001A6350"/>
    <w:rsid w:val="001D54E8"/>
    <w:rsid w:val="001D6A88"/>
    <w:rsid w:val="001E610C"/>
    <w:rsid w:val="001F7E91"/>
    <w:rsid w:val="0021592F"/>
    <w:rsid w:val="00217FCC"/>
    <w:rsid w:val="00221F2F"/>
    <w:rsid w:val="0022238E"/>
    <w:rsid w:val="002315C0"/>
    <w:rsid w:val="00234359"/>
    <w:rsid w:val="0023779D"/>
    <w:rsid w:val="0024406E"/>
    <w:rsid w:val="00244C25"/>
    <w:rsid w:val="00250DF6"/>
    <w:rsid w:val="002712A0"/>
    <w:rsid w:val="002763F4"/>
    <w:rsid w:val="0027694D"/>
    <w:rsid w:val="002802AD"/>
    <w:rsid w:val="00280EB8"/>
    <w:rsid w:val="00285ABE"/>
    <w:rsid w:val="002A79F1"/>
    <w:rsid w:val="002E03DD"/>
    <w:rsid w:val="002E5E20"/>
    <w:rsid w:val="002F7B17"/>
    <w:rsid w:val="003059C6"/>
    <w:rsid w:val="003132A5"/>
    <w:rsid w:val="00315E14"/>
    <w:rsid w:val="003233B2"/>
    <w:rsid w:val="00325652"/>
    <w:rsid w:val="003374FA"/>
    <w:rsid w:val="00347794"/>
    <w:rsid w:val="00353780"/>
    <w:rsid w:val="0037100A"/>
    <w:rsid w:val="00375305"/>
    <w:rsid w:val="00384F49"/>
    <w:rsid w:val="00387262"/>
    <w:rsid w:val="00390C7A"/>
    <w:rsid w:val="0039171C"/>
    <w:rsid w:val="003C011B"/>
    <w:rsid w:val="003D65DB"/>
    <w:rsid w:val="003E4374"/>
    <w:rsid w:val="003E7440"/>
    <w:rsid w:val="003F0C55"/>
    <w:rsid w:val="003F4DC6"/>
    <w:rsid w:val="003F690F"/>
    <w:rsid w:val="00401F9B"/>
    <w:rsid w:val="0041287B"/>
    <w:rsid w:val="00416C02"/>
    <w:rsid w:val="00422318"/>
    <w:rsid w:val="00430E9C"/>
    <w:rsid w:val="00435790"/>
    <w:rsid w:val="004358BB"/>
    <w:rsid w:val="00437359"/>
    <w:rsid w:val="00457E70"/>
    <w:rsid w:val="00475501"/>
    <w:rsid w:val="00476DBB"/>
    <w:rsid w:val="00482F6B"/>
    <w:rsid w:val="00493E50"/>
    <w:rsid w:val="004A0315"/>
    <w:rsid w:val="004A083A"/>
    <w:rsid w:val="004A4C40"/>
    <w:rsid w:val="004B699C"/>
    <w:rsid w:val="004D1BB6"/>
    <w:rsid w:val="004E193F"/>
    <w:rsid w:val="004F5DD5"/>
    <w:rsid w:val="004F7763"/>
    <w:rsid w:val="005003D1"/>
    <w:rsid w:val="005114DA"/>
    <w:rsid w:val="0051687C"/>
    <w:rsid w:val="00520512"/>
    <w:rsid w:val="00522A99"/>
    <w:rsid w:val="00530A50"/>
    <w:rsid w:val="00530B85"/>
    <w:rsid w:val="00533198"/>
    <w:rsid w:val="00544068"/>
    <w:rsid w:val="00553AC1"/>
    <w:rsid w:val="005558AA"/>
    <w:rsid w:val="00572E54"/>
    <w:rsid w:val="00574147"/>
    <w:rsid w:val="00574167"/>
    <w:rsid w:val="00594AA6"/>
    <w:rsid w:val="005C677D"/>
    <w:rsid w:val="005D28F3"/>
    <w:rsid w:val="005E0F69"/>
    <w:rsid w:val="005E3D82"/>
    <w:rsid w:val="005E4FE9"/>
    <w:rsid w:val="005F11E0"/>
    <w:rsid w:val="005F38CA"/>
    <w:rsid w:val="00601D88"/>
    <w:rsid w:val="00602A77"/>
    <w:rsid w:val="00605C6B"/>
    <w:rsid w:val="00607FA9"/>
    <w:rsid w:val="00625832"/>
    <w:rsid w:val="006325D9"/>
    <w:rsid w:val="00633F29"/>
    <w:rsid w:val="00640358"/>
    <w:rsid w:val="006465BD"/>
    <w:rsid w:val="006509BD"/>
    <w:rsid w:val="006529EF"/>
    <w:rsid w:val="00656EB2"/>
    <w:rsid w:val="00672059"/>
    <w:rsid w:val="00674C39"/>
    <w:rsid w:val="00683EC0"/>
    <w:rsid w:val="006875D1"/>
    <w:rsid w:val="006A2143"/>
    <w:rsid w:val="006A4459"/>
    <w:rsid w:val="006A628B"/>
    <w:rsid w:val="006C231B"/>
    <w:rsid w:val="006C68CA"/>
    <w:rsid w:val="006C705C"/>
    <w:rsid w:val="006D2191"/>
    <w:rsid w:val="006E6558"/>
    <w:rsid w:val="006F1A3E"/>
    <w:rsid w:val="00700972"/>
    <w:rsid w:val="00704AC0"/>
    <w:rsid w:val="0070697D"/>
    <w:rsid w:val="0071726F"/>
    <w:rsid w:val="00725907"/>
    <w:rsid w:val="00734255"/>
    <w:rsid w:val="007374FE"/>
    <w:rsid w:val="007455EA"/>
    <w:rsid w:val="0074688A"/>
    <w:rsid w:val="007526F5"/>
    <w:rsid w:val="007529BC"/>
    <w:rsid w:val="0075620D"/>
    <w:rsid w:val="00760A48"/>
    <w:rsid w:val="00765638"/>
    <w:rsid w:val="00765D77"/>
    <w:rsid w:val="00776AD8"/>
    <w:rsid w:val="00787CDD"/>
    <w:rsid w:val="0079648B"/>
    <w:rsid w:val="007B012F"/>
    <w:rsid w:val="007B432D"/>
    <w:rsid w:val="007B640D"/>
    <w:rsid w:val="007C3A97"/>
    <w:rsid w:val="007C69E1"/>
    <w:rsid w:val="007D2FB2"/>
    <w:rsid w:val="007D46C3"/>
    <w:rsid w:val="007E5E1A"/>
    <w:rsid w:val="00805A73"/>
    <w:rsid w:val="008131CA"/>
    <w:rsid w:val="008148DD"/>
    <w:rsid w:val="008210D7"/>
    <w:rsid w:val="00826625"/>
    <w:rsid w:val="00830430"/>
    <w:rsid w:val="00833C72"/>
    <w:rsid w:val="008418A1"/>
    <w:rsid w:val="0084647D"/>
    <w:rsid w:val="00855847"/>
    <w:rsid w:val="00861227"/>
    <w:rsid w:val="00867E87"/>
    <w:rsid w:val="00874795"/>
    <w:rsid w:val="00875CB2"/>
    <w:rsid w:val="00885DCA"/>
    <w:rsid w:val="00886C78"/>
    <w:rsid w:val="00887180"/>
    <w:rsid w:val="008A4DF8"/>
    <w:rsid w:val="008A593C"/>
    <w:rsid w:val="008B055F"/>
    <w:rsid w:val="008C3708"/>
    <w:rsid w:val="008C7E97"/>
    <w:rsid w:val="008D0231"/>
    <w:rsid w:val="008D06F1"/>
    <w:rsid w:val="008D1044"/>
    <w:rsid w:val="008D62E0"/>
    <w:rsid w:val="008E0544"/>
    <w:rsid w:val="008E59E4"/>
    <w:rsid w:val="008F45ED"/>
    <w:rsid w:val="008F691E"/>
    <w:rsid w:val="00902554"/>
    <w:rsid w:val="00907A52"/>
    <w:rsid w:val="009132F4"/>
    <w:rsid w:val="009169CD"/>
    <w:rsid w:val="00922D0F"/>
    <w:rsid w:val="0092755B"/>
    <w:rsid w:val="009355DF"/>
    <w:rsid w:val="009403D2"/>
    <w:rsid w:val="00943D9B"/>
    <w:rsid w:val="009441DD"/>
    <w:rsid w:val="00945284"/>
    <w:rsid w:val="009454F1"/>
    <w:rsid w:val="0094740D"/>
    <w:rsid w:val="00950A46"/>
    <w:rsid w:val="00956606"/>
    <w:rsid w:val="00971469"/>
    <w:rsid w:val="00977D2B"/>
    <w:rsid w:val="0098644F"/>
    <w:rsid w:val="0099709E"/>
    <w:rsid w:val="0099745C"/>
    <w:rsid w:val="009A252C"/>
    <w:rsid w:val="009A6EBC"/>
    <w:rsid w:val="009A7E14"/>
    <w:rsid w:val="009C2CE4"/>
    <w:rsid w:val="009C7496"/>
    <w:rsid w:val="009D1568"/>
    <w:rsid w:val="009E4D74"/>
    <w:rsid w:val="009F0BE4"/>
    <w:rsid w:val="00A00E45"/>
    <w:rsid w:val="00A12002"/>
    <w:rsid w:val="00A233A8"/>
    <w:rsid w:val="00A27C88"/>
    <w:rsid w:val="00A508A9"/>
    <w:rsid w:val="00A54D95"/>
    <w:rsid w:val="00A66A0A"/>
    <w:rsid w:val="00A737DA"/>
    <w:rsid w:val="00A776E0"/>
    <w:rsid w:val="00A84A7B"/>
    <w:rsid w:val="00A86715"/>
    <w:rsid w:val="00A92CFA"/>
    <w:rsid w:val="00AA70E4"/>
    <w:rsid w:val="00AB2F8B"/>
    <w:rsid w:val="00AC2D3D"/>
    <w:rsid w:val="00AC3247"/>
    <w:rsid w:val="00AC4FB0"/>
    <w:rsid w:val="00AC575D"/>
    <w:rsid w:val="00AD160A"/>
    <w:rsid w:val="00AD72D2"/>
    <w:rsid w:val="00AE4E93"/>
    <w:rsid w:val="00AF10AB"/>
    <w:rsid w:val="00AF491F"/>
    <w:rsid w:val="00AF4EF7"/>
    <w:rsid w:val="00B01AED"/>
    <w:rsid w:val="00B25D5D"/>
    <w:rsid w:val="00B42D2F"/>
    <w:rsid w:val="00B47609"/>
    <w:rsid w:val="00B52325"/>
    <w:rsid w:val="00B53479"/>
    <w:rsid w:val="00B55096"/>
    <w:rsid w:val="00B61683"/>
    <w:rsid w:val="00B648AD"/>
    <w:rsid w:val="00B73EE2"/>
    <w:rsid w:val="00B8323F"/>
    <w:rsid w:val="00B93AA6"/>
    <w:rsid w:val="00B94327"/>
    <w:rsid w:val="00BA1477"/>
    <w:rsid w:val="00BA457A"/>
    <w:rsid w:val="00BB4BB5"/>
    <w:rsid w:val="00BC32BB"/>
    <w:rsid w:val="00BC5323"/>
    <w:rsid w:val="00BE38F7"/>
    <w:rsid w:val="00BE5885"/>
    <w:rsid w:val="00BF0CDF"/>
    <w:rsid w:val="00BF1B65"/>
    <w:rsid w:val="00BF40A7"/>
    <w:rsid w:val="00BF58F4"/>
    <w:rsid w:val="00BF63A7"/>
    <w:rsid w:val="00C012DE"/>
    <w:rsid w:val="00C03809"/>
    <w:rsid w:val="00C059B9"/>
    <w:rsid w:val="00C06C94"/>
    <w:rsid w:val="00C121C8"/>
    <w:rsid w:val="00C1358D"/>
    <w:rsid w:val="00C316D4"/>
    <w:rsid w:val="00C31E43"/>
    <w:rsid w:val="00C44254"/>
    <w:rsid w:val="00C44704"/>
    <w:rsid w:val="00C54574"/>
    <w:rsid w:val="00C573F3"/>
    <w:rsid w:val="00C60D81"/>
    <w:rsid w:val="00C666BD"/>
    <w:rsid w:val="00C71F79"/>
    <w:rsid w:val="00C74FC4"/>
    <w:rsid w:val="00C81ACF"/>
    <w:rsid w:val="00C82810"/>
    <w:rsid w:val="00C962A1"/>
    <w:rsid w:val="00CB5B86"/>
    <w:rsid w:val="00CC2A12"/>
    <w:rsid w:val="00CC77DB"/>
    <w:rsid w:val="00CF1DE4"/>
    <w:rsid w:val="00CF2320"/>
    <w:rsid w:val="00D061FF"/>
    <w:rsid w:val="00D15055"/>
    <w:rsid w:val="00D168CC"/>
    <w:rsid w:val="00D22CAE"/>
    <w:rsid w:val="00D43AD0"/>
    <w:rsid w:val="00D54022"/>
    <w:rsid w:val="00D64B38"/>
    <w:rsid w:val="00D67A3D"/>
    <w:rsid w:val="00D938D4"/>
    <w:rsid w:val="00D95372"/>
    <w:rsid w:val="00DA2629"/>
    <w:rsid w:val="00DB0CE0"/>
    <w:rsid w:val="00DB657E"/>
    <w:rsid w:val="00DC09D5"/>
    <w:rsid w:val="00DC4C46"/>
    <w:rsid w:val="00DD2B81"/>
    <w:rsid w:val="00DE3B0E"/>
    <w:rsid w:val="00DE4B96"/>
    <w:rsid w:val="00DF3427"/>
    <w:rsid w:val="00E01BD3"/>
    <w:rsid w:val="00E02680"/>
    <w:rsid w:val="00E14D62"/>
    <w:rsid w:val="00E17812"/>
    <w:rsid w:val="00E248C6"/>
    <w:rsid w:val="00E26516"/>
    <w:rsid w:val="00E27F15"/>
    <w:rsid w:val="00E344AB"/>
    <w:rsid w:val="00E357E1"/>
    <w:rsid w:val="00E42802"/>
    <w:rsid w:val="00E64A9F"/>
    <w:rsid w:val="00E71995"/>
    <w:rsid w:val="00E7347C"/>
    <w:rsid w:val="00E7795D"/>
    <w:rsid w:val="00E80C25"/>
    <w:rsid w:val="00E82CB6"/>
    <w:rsid w:val="00E84E83"/>
    <w:rsid w:val="00E85BEB"/>
    <w:rsid w:val="00E875B0"/>
    <w:rsid w:val="00E97950"/>
    <w:rsid w:val="00EA5060"/>
    <w:rsid w:val="00EA534A"/>
    <w:rsid w:val="00EA547A"/>
    <w:rsid w:val="00EA601F"/>
    <w:rsid w:val="00EA6184"/>
    <w:rsid w:val="00EB22FF"/>
    <w:rsid w:val="00EC0EDB"/>
    <w:rsid w:val="00EC6A72"/>
    <w:rsid w:val="00EC74F2"/>
    <w:rsid w:val="00EC799B"/>
    <w:rsid w:val="00EE3B86"/>
    <w:rsid w:val="00EE7A56"/>
    <w:rsid w:val="00F05742"/>
    <w:rsid w:val="00F0692E"/>
    <w:rsid w:val="00F207D9"/>
    <w:rsid w:val="00F23E5A"/>
    <w:rsid w:val="00F25E35"/>
    <w:rsid w:val="00F27428"/>
    <w:rsid w:val="00F32198"/>
    <w:rsid w:val="00F41E0F"/>
    <w:rsid w:val="00F425D6"/>
    <w:rsid w:val="00F4738B"/>
    <w:rsid w:val="00F50756"/>
    <w:rsid w:val="00F525DD"/>
    <w:rsid w:val="00F54CA5"/>
    <w:rsid w:val="00F553F6"/>
    <w:rsid w:val="00F5592E"/>
    <w:rsid w:val="00F579D7"/>
    <w:rsid w:val="00F616CF"/>
    <w:rsid w:val="00F627DE"/>
    <w:rsid w:val="00F675E5"/>
    <w:rsid w:val="00F83E25"/>
    <w:rsid w:val="00F84F58"/>
    <w:rsid w:val="00F8526B"/>
    <w:rsid w:val="00F8551C"/>
    <w:rsid w:val="00FA4CAD"/>
    <w:rsid w:val="00FA6AF0"/>
    <w:rsid w:val="00FB6B9E"/>
    <w:rsid w:val="00FC061E"/>
    <w:rsid w:val="00FD2543"/>
    <w:rsid w:val="00FD7F62"/>
    <w:rsid w:val="00FE09CD"/>
    <w:rsid w:val="00FE2900"/>
    <w:rsid w:val="00FE32A7"/>
    <w:rsid w:val="00FF22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5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styleId="ListParagraph">
    <w:name w:val="List Paragraph"/>
    <w:basedOn w:val="Normal"/>
    <w:uiPriority w:val="34"/>
    <w:qFormat/>
    <w:rsid w:val="00AC3247"/>
    <w:pPr>
      <w:ind w:left="720"/>
      <w:contextualSpacing/>
    </w:pPr>
  </w:style>
  <w:style w:type="paragraph" w:customStyle="1" w:styleId="Normal1">
    <w:name w:val="Normal1"/>
    <w:basedOn w:val="Normal"/>
    <w:rsid w:val="00F627DE"/>
    <w:pPr>
      <w:spacing w:before="100" w:beforeAutospacing="1" w:after="100" w:afterAutospacing="1"/>
    </w:pPr>
    <w:rPr>
      <w:lang w:val="en-US" w:eastAsia="en-US"/>
    </w:rPr>
  </w:style>
  <w:style w:type="paragraph" w:styleId="FootnoteText">
    <w:name w:val="footnote text"/>
    <w:aliases w:val=" Char Char Char"/>
    <w:basedOn w:val="Normal"/>
    <w:link w:val="FootnoteTextChar"/>
    <w:unhideWhenUsed/>
    <w:rsid w:val="006529EF"/>
    <w:pPr>
      <w:widowControl w:val="0"/>
    </w:pPr>
    <w:rPr>
      <w:rFonts w:ascii="Calibri" w:eastAsia="Calibri" w:hAnsi="Calibri"/>
      <w:sz w:val="20"/>
      <w:szCs w:val="20"/>
      <w:lang w:eastAsia="en-US"/>
    </w:rPr>
  </w:style>
  <w:style w:type="character" w:customStyle="1" w:styleId="FootnoteTextChar">
    <w:name w:val="Footnote Text Char"/>
    <w:aliases w:val=" Char Char Char Char"/>
    <w:basedOn w:val="DefaultParagraphFont"/>
    <w:link w:val="FootnoteText"/>
    <w:rsid w:val="006529EF"/>
    <w:rPr>
      <w:rFonts w:ascii="Calibri" w:eastAsia="Calibri" w:hAnsi="Calibri" w:cs="Times New Roman"/>
      <w:sz w:val="20"/>
      <w:szCs w:val="20"/>
    </w:rPr>
  </w:style>
  <w:style w:type="character" w:styleId="FootnoteReference">
    <w:name w:val="footnote reference"/>
    <w:aliases w:val="Footnote Reference Number"/>
    <w:rsid w:val="006529EF"/>
    <w:rPr>
      <w:vertAlign w:val="superscript"/>
    </w:rPr>
  </w:style>
  <w:style w:type="character" w:customStyle="1" w:styleId="UnresolvedMention1">
    <w:name w:val="Unresolved Mention1"/>
    <w:basedOn w:val="DefaultParagraphFont"/>
    <w:uiPriority w:val="99"/>
    <w:semiHidden/>
    <w:unhideWhenUsed/>
    <w:rsid w:val="00D938D4"/>
    <w:rPr>
      <w:color w:val="605E5C"/>
      <w:shd w:val="clear" w:color="auto" w:fill="E1DFDD"/>
    </w:rPr>
  </w:style>
  <w:style w:type="paragraph" w:styleId="Header">
    <w:name w:val="header"/>
    <w:basedOn w:val="Normal"/>
    <w:link w:val="HeaderChar"/>
    <w:uiPriority w:val="99"/>
    <w:unhideWhenUsed/>
    <w:rsid w:val="00E7795D"/>
    <w:pPr>
      <w:tabs>
        <w:tab w:val="center" w:pos="4153"/>
        <w:tab w:val="right" w:pos="8306"/>
      </w:tabs>
    </w:pPr>
  </w:style>
  <w:style w:type="character" w:customStyle="1" w:styleId="HeaderChar">
    <w:name w:val="Header Char"/>
    <w:basedOn w:val="DefaultParagraphFont"/>
    <w:link w:val="Header"/>
    <w:uiPriority w:val="99"/>
    <w:rsid w:val="00E7795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7795D"/>
    <w:pPr>
      <w:tabs>
        <w:tab w:val="center" w:pos="4153"/>
        <w:tab w:val="right" w:pos="8306"/>
      </w:tabs>
    </w:pPr>
  </w:style>
  <w:style w:type="character" w:customStyle="1" w:styleId="FooterChar">
    <w:name w:val="Footer Char"/>
    <w:basedOn w:val="DefaultParagraphFont"/>
    <w:link w:val="Footer"/>
    <w:uiPriority w:val="99"/>
    <w:rsid w:val="00E7795D"/>
    <w:rPr>
      <w:rFonts w:ascii="Times New Roman" w:eastAsia="Times New Roman" w:hAnsi="Times New Roman" w:cs="Times New Roman"/>
      <w:sz w:val="24"/>
      <w:szCs w:val="24"/>
      <w:lang w:eastAsia="lv-LV"/>
    </w:rPr>
  </w:style>
  <w:style w:type="paragraph" w:styleId="Revision">
    <w:name w:val="Revision"/>
    <w:hidden/>
    <w:uiPriority w:val="99"/>
    <w:semiHidden/>
    <w:rsid w:val="00FD7F62"/>
    <w:pPr>
      <w:spacing w:after="0" w:line="240" w:lineRule="auto"/>
    </w:pPr>
    <w:rPr>
      <w:rFonts w:ascii="Times New Roman" w:eastAsia="Times New Roman" w:hAnsi="Times New Roman" w:cs="Times New Roman"/>
      <w:sz w:val="24"/>
      <w:szCs w:val="24"/>
      <w:lang w:eastAsia="lv-LV"/>
    </w:rPr>
  </w:style>
  <w:style w:type="character" w:customStyle="1" w:styleId="UnresolvedMention">
    <w:name w:val="Unresolved Mention"/>
    <w:basedOn w:val="DefaultParagraphFont"/>
    <w:uiPriority w:val="99"/>
    <w:semiHidden/>
    <w:unhideWhenUsed/>
    <w:rsid w:val="00DE4B96"/>
    <w:rPr>
      <w:color w:val="605E5C"/>
      <w:shd w:val="clear" w:color="auto" w:fill="E1DFDD"/>
    </w:rPr>
  </w:style>
  <w:style w:type="character" w:styleId="CommentReference">
    <w:name w:val="annotation reference"/>
    <w:basedOn w:val="DefaultParagraphFont"/>
    <w:uiPriority w:val="99"/>
    <w:semiHidden/>
    <w:unhideWhenUsed/>
    <w:rsid w:val="00EE3B86"/>
    <w:rPr>
      <w:sz w:val="16"/>
      <w:szCs w:val="16"/>
    </w:rPr>
  </w:style>
  <w:style w:type="paragraph" w:styleId="CommentText">
    <w:name w:val="annotation text"/>
    <w:basedOn w:val="Normal"/>
    <w:link w:val="CommentTextChar"/>
    <w:uiPriority w:val="99"/>
    <w:semiHidden/>
    <w:unhideWhenUsed/>
    <w:rsid w:val="00EE3B86"/>
    <w:rPr>
      <w:sz w:val="20"/>
      <w:szCs w:val="20"/>
    </w:rPr>
  </w:style>
  <w:style w:type="character" w:customStyle="1" w:styleId="CommentTextChar">
    <w:name w:val="Comment Text Char"/>
    <w:basedOn w:val="DefaultParagraphFont"/>
    <w:link w:val="CommentText"/>
    <w:uiPriority w:val="99"/>
    <w:semiHidden/>
    <w:rsid w:val="00EE3B8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E3B86"/>
    <w:rPr>
      <w:b/>
      <w:bCs/>
    </w:rPr>
  </w:style>
  <w:style w:type="character" w:customStyle="1" w:styleId="CommentSubjectChar">
    <w:name w:val="Comment Subject Char"/>
    <w:basedOn w:val="CommentTextChar"/>
    <w:link w:val="CommentSubject"/>
    <w:uiPriority w:val="99"/>
    <w:semiHidden/>
    <w:rsid w:val="00EE3B8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329838">
      <w:bodyDiv w:val="1"/>
      <w:marLeft w:val="0"/>
      <w:marRight w:val="0"/>
      <w:marTop w:val="0"/>
      <w:marBottom w:val="0"/>
      <w:divBdr>
        <w:top w:val="none" w:sz="0" w:space="0" w:color="auto"/>
        <w:left w:val="none" w:sz="0" w:space="0" w:color="auto"/>
        <w:bottom w:val="none" w:sz="0" w:space="0" w:color="auto"/>
        <w:right w:val="none" w:sz="0" w:space="0" w:color="auto"/>
      </w:divBdr>
    </w:div>
    <w:div w:id="574627421">
      <w:bodyDiv w:val="1"/>
      <w:marLeft w:val="0"/>
      <w:marRight w:val="0"/>
      <w:marTop w:val="0"/>
      <w:marBottom w:val="0"/>
      <w:divBdr>
        <w:top w:val="none" w:sz="0" w:space="0" w:color="auto"/>
        <w:left w:val="none" w:sz="0" w:space="0" w:color="auto"/>
        <w:bottom w:val="none" w:sz="0" w:space="0" w:color="auto"/>
        <w:right w:val="none" w:sz="0" w:space="0" w:color="auto"/>
      </w:divBdr>
    </w:div>
    <w:div w:id="988554723">
      <w:bodyDiv w:val="1"/>
      <w:marLeft w:val="0"/>
      <w:marRight w:val="0"/>
      <w:marTop w:val="0"/>
      <w:marBottom w:val="0"/>
      <w:divBdr>
        <w:top w:val="none" w:sz="0" w:space="0" w:color="auto"/>
        <w:left w:val="none" w:sz="0" w:space="0" w:color="auto"/>
        <w:bottom w:val="none" w:sz="0" w:space="0" w:color="auto"/>
        <w:right w:val="none" w:sz="0" w:space="0" w:color="auto"/>
      </w:divBdr>
    </w:div>
    <w:div w:id="1115826212">
      <w:bodyDiv w:val="1"/>
      <w:marLeft w:val="0"/>
      <w:marRight w:val="0"/>
      <w:marTop w:val="0"/>
      <w:marBottom w:val="0"/>
      <w:divBdr>
        <w:top w:val="none" w:sz="0" w:space="0" w:color="auto"/>
        <w:left w:val="none" w:sz="0" w:space="0" w:color="auto"/>
        <w:bottom w:val="none" w:sz="0" w:space="0" w:color="auto"/>
        <w:right w:val="none" w:sz="0" w:space="0" w:color="auto"/>
      </w:divBdr>
    </w:div>
    <w:div w:id="1434936905">
      <w:bodyDiv w:val="1"/>
      <w:marLeft w:val="0"/>
      <w:marRight w:val="0"/>
      <w:marTop w:val="0"/>
      <w:marBottom w:val="0"/>
      <w:divBdr>
        <w:top w:val="none" w:sz="0" w:space="0" w:color="auto"/>
        <w:left w:val="none" w:sz="0" w:space="0" w:color="auto"/>
        <w:bottom w:val="none" w:sz="0" w:space="0" w:color="auto"/>
        <w:right w:val="none" w:sz="0" w:space="0" w:color="auto"/>
      </w:divBdr>
    </w:div>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421.A420171519.14.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2:0225.A420138419.9.S" TargetMode="External"/><Relationship Id="rId4" Type="http://schemas.openxmlformats.org/officeDocument/2006/relationships/settings" Target="settings.xml"/><Relationship Id="rId9" Type="http://schemas.openxmlformats.org/officeDocument/2006/relationships/hyperlink" Target="https://manas.tiesas.lv/eTiesasMvc/eclinolemumi/ECLI:LV:AT:2021:1108.A420229019.1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E6036-E241-4963-99C3-E3534D4D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2390</Words>
  <Characters>13627</Characters>
  <Application>Microsoft Office Word</Application>
  <DocSecurity>0</DocSecurity>
  <Lines>113</Lines>
  <Paragraphs>31</Paragraphs>
  <ScaleCrop>false</ScaleCrop>
  <Company/>
  <LinksUpToDate>false</LinksUpToDate>
  <CharactersWithSpaces>15986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2023-01-17T13:32:00Z</dcterms:created>
  <dcterms:modified xsi:type="dcterms:W3CDTF">2023-01-17T13:32:00Z</dcterms:modified>
</cp:coreProperties>
</file>