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911E3" w14:textId="77777777" w:rsidR="00430ADE" w:rsidRPr="00181A88" w:rsidRDefault="00430ADE" w:rsidP="00430ADE">
      <w:pPr>
        <w:tabs>
          <w:tab w:val="left" w:pos="3318"/>
        </w:tabs>
        <w:spacing w:after="0"/>
        <w:jc w:val="both"/>
        <w:rPr>
          <w:rFonts w:ascii="Times New Roman" w:eastAsia="Calibri" w:hAnsi="Times New Roman" w:cs="Times New Roman"/>
          <w:b/>
          <w:bCs/>
          <w:sz w:val="24"/>
        </w:rPr>
      </w:pPr>
      <w:r w:rsidRPr="00181A88">
        <w:rPr>
          <w:rFonts w:ascii="Times New Roman" w:eastAsia="Calibri" w:hAnsi="Times New Roman" w:cs="Times New Roman"/>
          <w:b/>
          <w:bCs/>
          <w:sz w:val="24"/>
        </w:rPr>
        <w:t>Mantojumam piemērojamā likuma un mantojuma materiāltiesiskā regulējuma nošķīrums</w:t>
      </w:r>
    </w:p>
    <w:p w14:paraId="5CBFEE61" w14:textId="77777777" w:rsidR="00430ADE" w:rsidRPr="00181A88" w:rsidRDefault="00430ADE" w:rsidP="00430ADE">
      <w:pPr>
        <w:tabs>
          <w:tab w:val="left" w:pos="3318"/>
        </w:tabs>
        <w:spacing w:after="0"/>
        <w:jc w:val="both"/>
        <w:rPr>
          <w:rFonts w:ascii="Times New Roman" w:eastAsia="Calibri" w:hAnsi="Times New Roman" w:cs="Times New Roman"/>
          <w:sz w:val="24"/>
        </w:rPr>
      </w:pPr>
      <w:r w:rsidRPr="00181A88">
        <w:rPr>
          <w:rFonts w:ascii="Times New Roman" w:eastAsia="Calibri" w:hAnsi="Times New Roman" w:cs="Times New Roman"/>
          <w:sz w:val="24"/>
        </w:rPr>
        <w:t>Civillikuma 16.</w:t>
      </w:r>
      <w:r>
        <w:rPr>
          <w:rFonts w:ascii="Times New Roman" w:eastAsia="Calibri" w:hAnsi="Times New Roman" w:cs="Times New Roman"/>
          <w:sz w:val="24"/>
        </w:rPr>
        <w:t> </w:t>
      </w:r>
      <w:r w:rsidRPr="00181A88">
        <w:rPr>
          <w:rFonts w:ascii="Times New Roman" w:eastAsia="Calibri" w:hAnsi="Times New Roman" w:cs="Times New Roman"/>
          <w:sz w:val="24"/>
        </w:rPr>
        <w:t xml:space="preserve">pantā vienpusīgi ietvertā starptautisko privāttiesību kolīziju norma noteic vienīgi piesaistes kritēriju valstij, kuras materiāltiesiskais regulējums tiks piemērots mantojuma tiesībās uz mantojumu, kas atrodas Latvijā. Šī norma nepārgroza Latvijas materiāltiesisko regulējumu un tiesiskajā sistēmā pastāvošo izpratni par mantojumu kā nedalāmu kopumu, neatkarīgi no mantas atrašanās vietas. </w:t>
      </w:r>
    </w:p>
    <w:p w14:paraId="4A28F2ED" w14:textId="206E1454" w:rsidR="00430ADE" w:rsidRDefault="00430ADE" w:rsidP="00430ADE">
      <w:pPr>
        <w:tabs>
          <w:tab w:val="left" w:pos="3318"/>
        </w:tabs>
        <w:spacing w:after="0"/>
        <w:jc w:val="both"/>
        <w:rPr>
          <w:rFonts w:ascii="Times New Roman" w:eastAsia="Calibri" w:hAnsi="Times New Roman" w:cs="Times New Roman"/>
          <w:sz w:val="24"/>
        </w:rPr>
      </w:pPr>
      <w:r w:rsidRPr="00181A88">
        <w:rPr>
          <w:rFonts w:ascii="Times New Roman" w:eastAsia="Calibri" w:hAnsi="Times New Roman" w:cs="Times New Roman"/>
          <w:sz w:val="24"/>
        </w:rPr>
        <w:t>Tas, ka mantojuma masā ietilpstošā manta atrodas dažādās jurisdikcijās un rīcībai ar mantu nepieciešama tās valsts leģitimācija saskaņā ar vietējo likumu, neietekmē jautājumu, vai prasītājam pēc Latvijas likuma ir materiālā tiesība, kuras aizsardzību vai atjaunošanu viņš grib panākt, un tas nenonāk konfliktā ar ārvalsts likumu.</w:t>
      </w:r>
    </w:p>
    <w:p w14:paraId="3A0E92DD" w14:textId="5C24F28A" w:rsidR="005E339B" w:rsidRDefault="005E339B" w:rsidP="005E339B">
      <w:pPr>
        <w:tabs>
          <w:tab w:val="left" w:pos="3318"/>
        </w:tabs>
        <w:spacing w:after="0"/>
        <w:jc w:val="both"/>
        <w:rPr>
          <w:rFonts w:ascii="Times New Roman" w:eastAsia="Calibri" w:hAnsi="Times New Roman" w:cs="Times New Roman"/>
          <w:sz w:val="24"/>
        </w:rPr>
      </w:pPr>
    </w:p>
    <w:p w14:paraId="32A000D6" w14:textId="6105CDF8" w:rsidR="005E339B" w:rsidRPr="00181A88" w:rsidRDefault="005E339B" w:rsidP="005E339B">
      <w:pPr>
        <w:tabs>
          <w:tab w:val="left" w:pos="3318"/>
        </w:tabs>
        <w:spacing w:after="0"/>
        <w:jc w:val="both"/>
        <w:rPr>
          <w:rFonts w:ascii="Times New Roman" w:eastAsia="Calibri" w:hAnsi="Times New Roman" w:cs="Times New Roman"/>
          <w:b/>
          <w:bCs/>
          <w:sz w:val="24"/>
        </w:rPr>
      </w:pPr>
      <w:r w:rsidRPr="00181A88">
        <w:rPr>
          <w:rFonts w:ascii="Times New Roman" w:eastAsia="Calibri" w:hAnsi="Times New Roman" w:cs="Times New Roman"/>
          <w:b/>
          <w:bCs/>
          <w:sz w:val="24"/>
        </w:rPr>
        <w:t>Neatņemamās daļas tiesīgā aizskāruma novērtēšana, ja šis mantinieks iecelts par testamentāro mantinieku attiecībā uz ārvalstī esošu mantu</w:t>
      </w:r>
    </w:p>
    <w:p w14:paraId="3F4CEFC7" w14:textId="77777777" w:rsidR="005E339B" w:rsidRPr="00181A88" w:rsidRDefault="005E339B" w:rsidP="005E339B">
      <w:pPr>
        <w:tabs>
          <w:tab w:val="left" w:pos="3318"/>
        </w:tabs>
        <w:spacing w:after="0"/>
        <w:jc w:val="both"/>
        <w:rPr>
          <w:rFonts w:ascii="Times New Roman" w:eastAsia="Calibri" w:hAnsi="Times New Roman" w:cs="Times New Roman"/>
          <w:sz w:val="24"/>
        </w:rPr>
      </w:pPr>
      <w:r w:rsidRPr="00181A88">
        <w:rPr>
          <w:rFonts w:ascii="Times New Roman" w:eastAsia="Calibri" w:hAnsi="Times New Roman" w:cs="Times New Roman"/>
          <w:sz w:val="24"/>
        </w:rPr>
        <w:t>Novērtējot, vai neatņemamās daļas tiesīgais ir „palicis neievērots” vai „bez likumiska iemesla atstumts”, ir jāņem vērā mantojuma daļa, par kuru šis mantinieks ārvalstī uz tur esošo mantu ir iecelts par testamentāro mantinieku.</w:t>
      </w:r>
    </w:p>
    <w:p w14:paraId="08E17DFD" w14:textId="77777777" w:rsidR="005E339B" w:rsidRDefault="005E339B" w:rsidP="005E339B">
      <w:pPr>
        <w:tabs>
          <w:tab w:val="left" w:pos="3318"/>
        </w:tabs>
        <w:spacing w:after="0"/>
        <w:jc w:val="both"/>
        <w:rPr>
          <w:rFonts w:ascii="Times New Roman" w:eastAsia="Calibri" w:hAnsi="Times New Roman" w:cs="Times New Roman"/>
          <w:b/>
          <w:bCs/>
          <w:sz w:val="24"/>
        </w:rPr>
      </w:pPr>
    </w:p>
    <w:p w14:paraId="1FB8AFBE" w14:textId="48CAF247" w:rsidR="005E339B" w:rsidRPr="00181A88" w:rsidRDefault="005E339B" w:rsidP="005E339B">
      <w:pPr>
        <w:tabs>
          <w:tab w:val="left" w:pos="3318"/>
        </w:tabs>
        <w:spacing w:after="0"/>
        <w:jc w:val="both"/>
        <w:rPr>
          <w:rFonts w:ascii="Times New Roman" w:eastAsia="Calibri" w:hAnsi="Times New Roman" w:cs="Times New Roman"/>
          <w:b/>
          <w:bCs/>
          <w:sz w:val="24"/>
        </w:rPr>
      </w:pPr>
      <w:r w:rsidRPr="00181A88">
        <w:rPr>
          <w:rFonts w:ascii="Times New Roman" w:eastAsia="Calibri" w:hAnsi="Times New Roman" w:cs="Times New Roman"/>
          <w:b/>
          <w:bCs/>
          <w:sz w:val="24"/>
        </w:rPr>
        <w:t>Pienākums veikt iepriekš saņemtā pievienojumu, ja lejupējais ir spējīgs pats sevi apgādāt</w:t>
      </w:r>
    </w:p>
    <w:p w14:paraId="0B3AC8DE" w14:textId="77777777" w:rsidR="005E339B" w:rsidRPr="00181A88" w:rsidRDefault="005E339B" w:rsidP="005E339B">
      <w:pPr>
        <w:tabs>
          <w:tab w:val="left" w:pos="3318"/>
        </w:tabs>
        <w:spacing w:after="0"/>
        <w:jc w:val="both"/>
        <w:rPr>
          <w:rFonts w:ascii="Times New Roman" w:eastAsia="Calibri" w:hAnsi="Times New Roman" w:cs="Times New Roman"/>
          <w:sz w:val="24"/>
        </w:rPr>
      </w:pPr>
      <w:r w:rsidRPr="00181A88">
        <w:rPr>
          <w:rFonts w:ascii="Times New Roman" w:eastAsia="Calibri" w:hAnsi="Times New Roman" w:cs="Times New Roman"/>
          <w:sz w:val="24"/>
        </w:rPr>
        <w:t>Civillikuma 763.</w:t>
      </w:r>
      <w:r>
        <w:rPr>
          <w:rFonts w:ascii="Times New Roman" w:eastAsia="Calibri" w:hAnsi="Times New Roman" w:cs="Times New Roman"/>
          <w:sz w:val="24"/>
        </w:rPr>
        <w:t> </w:t>
      </w:r>
      <w:r w:rsidRPr="00181A88">
        <w:rPr>
          <w:rFonts w:ascii="Times New Roman" w:eastAsia="Calibri" w:hAnsi="Times New Roman" w:cs="Times New Roman"/>
          <w:sz w:val="24"/>
        </w:rPr>
        <w:t>pantā paredzētais izņēmums no iepriekš saņemtā pievienojuma saistīts ar tādiem izdevumiem, kurus mantojuma atstājējs taisījis, izpildot no ģimenes tiesiskajām attiecībām izrietošu pienākumu pret lejupējiem, citiem vārdiem, šie izdevumi nevar tikt uzskatīti par tādu papildu sniegto mantisko labumu, uz ko būtu attiecināms iepriekš saņemtā pievienojums. Minētais mantojuma atstājēja pienākums izbeidzas no brīža, kad lejupējais ir spējīgs pats sevi apgādāt.</w:t>
      </w:r>
    </w:p>
    <w:p w14:paraId="022CC7CB" w14:textId="0B7BB2F4" w:rsidR="00B22B60" w:rsidRPr="002C44AA" w:rsidRDefault="00B22B60" w:rsidP="005E339B">
      <w:pPr>
        <w:spacing w:after="0"/>
        <w:jc w:val="center"/>
        <w:rPr>
          <w:rFonts w:ascii="Times New Roman" w:eastAsia="Times New Roman" w:hAnsi="Times New Roman"/>
          <w:sz w:val="24"/>
          <w:szCs w:val="24"/>
          <w:lang w:eastAsia="lv-LV"/>
        </w:rPr>
      </w:pPr>
    </w:p>
    <w:p w14:paraId="0AF9728B" w14:textId="5DE03D50" w:rsidR="00B22B60" w:rsidRDefault="00B22B60" w:rsidP="00B22B60">
      <w:pPr>
        <w:spacing w:after="0"/>
        <w:ind w:right="2"/>
        <w:jc w:val="center"/>
        <w:rPr>
          <w:rFonts w:ascii="Times New Roman" w:eastAsia="Times New Roman" w:hAnsi="Times New Roman"/>
          <w:b/>
          <w:sz w:val="24"/>
          <w:szCs w:val="24"/>
          <w:lang w:eastAsia="lv-LV"/>
        </w:rPr>
      </w:pPr>
      <w:r w:rsidRPr="00BF31C3">
        <w:rPr>
          <w:rFonts w:ascii="Times New Roman" w:eastAsia="Times New Roman" w:hAnsi="Times New Roman"/>
          <w:b/>
          <w:sz w:val="24"/>
          <w:szCs w:val="24"/>
          <w:lang w:eastAsia="lv-LV"/>
        </w:rPr>
        <w:t>Latvijas Republikas Senāt</w:t>
      </w:r>
      <w:r w:rsidR="002C44AA">
        <w:rPr>
          <w:rFonts w:ascii="Times New Roman" w:eastAsia="Times New Roman" w:hAnsi="Times New Roman"/>
          <w:b/>
          <w:sz w:val="24"/>
          <w:szCs w:val="24"/>
          <w:lang w:eastAsia="lv-LV"/>
        </w:rPr>
        <w:t>a</w:t>
      </w:r>
    </w:p>
    <w:p w14:paraId="7E9D048B" w14:textId="4D83A1BB" w:rsidR="002C44AA" w:rsidRDefault="002C44AA" w:rsidP="00B22B60">
      <w:pPr>
        <w:spacing w:after="0"/>
        <w:ind w:right="2"/>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Civillietu departamenta</w:t>
      </w:r>
    </w:p>
    <w:p w14:paraId="3AEB4895" w14:textId="603A095D" w:rsidR="002C44AA" w:rsidRPr="002C44AA" w:rsidRDefault="002C44AA" w:rsidP="002C44AA">
      <w:pPr>
        <w:spacing w:after="0"/>
        <w:ind w:right="-1"/>
        <w:jc w:val="center"/>
        <w:rPr>
          <w:rFonts w:ascii="Times New Roman" w:eastAsia="Times New Roman" w:hAnsi="Times New Roman"/>
          <w:b/>
          <w:bCs/>
          <w:sz w:val="24"/>
          <w:szCs w:val="24"/>
          <w:lang w:eastAsia="lv-LV"/>
        </w:rPr>
      </w:pPr>
      <w:r w:rsidRPr="002C44AA">
        <w:rPr>
          <w:rFonts w:ascii="Times New Roman" w:eastAsia="Times New Roman" w:hAnsi="Times New Roman"/>
          <w:b/>
          <w:bCs/>
          <w:sz w:val="24"/>
          <w:szCs w:val="24"/>
          <w:lang w:eastAsia="lv-LV"/>
        </w:rPr>
        <w:t>2022. gada 22. decembra</w:t>
      </w:r>
    </w:p>
    <w:p w14:paraId="1EABF007" w14:textId="2D863032" w:rsidR="00B22B60" w:rsidRDefault="00B22B60" w:rsidP="00B22B60">
      <w:pPr>
        <w:spacing w:after="0"/>
        <w:ind w:right="2"/>
        <w:jc w:val="center"/>
        <w:rPr>
          <w:rFonts w:ascii="Times New Roman" w:eastAsia="Times New Roman" w:hAnsi="Times New Roman"/>
          <w:b/>
          <w:sz w:val="24"/>
          <w:szCs w:val="24"/>
          <w:lang w:eastAsia="lv-LV"/>
        </w:rPr>
      </w:pPr>
      <w:r w:rsidRPr="00BF31C3">
        <w:rPr>
          <w:rFonts w:ascii="Times New Roman" w:eastAsia="Times New Roman" w:hAnsi="Times New Roman"/>
          <w:b/>
          <w:sz w:val="24"/>
          <w:szCs w:val="24"/>
          <w:lang w:eastAsia="lv-LV"/>
        </w:rPr>
        <w:t>SPRIEDUMS</w:t>
      </w:r>
    </w:p>
    <w:p w14:paraId="48A4DF90" w14:textId="782184A1" w:rsidR="002C44AA" w:rsidRDefault="002C44AA" w:rsidP="002C44AA">
      <w:pPr>
        <w:spacing w:after="0"/>
        <w:ind w:right="-1"/>
        <w:jc w:val="center"/>
        <w:rPr>
          <w:rFonts w:ascii="Times New Roman" w:eastAsia="Times New Roman" w:hAnsi="Times New Roman"/>
          <w:b/>
          <w:bCs/>
          <w:sz w:val="24"/>
          <w:szCs w:val="24"/>
          <w:lang w:eastAsia="lv-LV"/>
        </w:rPr>
      </w:pPr>
      <w:r w:rsidRPr="002C44AA">
        <w:rPr>
          <w:rFonts w:ascii="Times New Roman" w:eastAsia="Times New Roman" w:hAnsi="Times New Roman"/>
          <w:b/>
          <w:bCs/>
          <w:sz w:val="24"/>
          <w:szCs w:val="24"/>
          <w:lang w:eastAsia="lv-LV"/>
        </w:rPr>
        <w:t>Lieta Nr. C33608317, SKC-109/2022</w:t>
      </w:r>
    </w:p>
    <w:p w14:paraId="38EA1537" w14:textId="158FA498" w:rsidR="002C44AA" w:rsidRPr="002C44AA" w:rsidRDefault="005E339B" w:rsidP="002C44AA">
      <w:pPr>
        <w:spacing w:after="0"/>
        <w:ind w:right="-1"/>
        <w:jc w:val="center"/>
        <w:rPr>
          <w:rFonts w:ascii="Times New Roman" w:eastAsia="Times New Roman" w:hAnsi="Times New Roman"/>
          <w:b/>
          <w:bCs/>
          <w:sz w:val="24"/>
          <w:szCs w:val="24"/>
          <w:lang w:eastAsia="lv-LV"/>
        </w:rPr>
      </w:pPr>
      <w:hyperlink r:id="rId7" w:history="1">
        <w:r w:rsidR="002C44AA">
          <w:rPr>
            <w:rStyle w:val="Hyperlink"/>
            <w:rFonts w:ascii="Arial" w:hAnsi="Arial" w:cs="Arial"/>
            <w:shd w:val="clear" w:color="auto" w:fill="FFFFFF"/>
          </w:rPr>
          <w:t>ECLI:LV:AT:2022:1222.C33608317.20.S</w:t>
        </w:r>
      </w:hyperlink>
    </w:p>
    <w:p w14:paraId="0FF3A7DD" w14:textId="77777777" w:rsidR="002C44AA" w:rsidRPr="00BF31C3" w:rsidRDefault="002C44AA" w:rsidP="00B22B60">
      <w:pPr>
        <w:spacing w:after="0"/>
        <w:ind w:right="2"/>
        <w:jc w:val="center"/>
        <w:rPr>
          <w:rFonts w:ascii="Times New Roman" w:eastAsia="Times New Roman" w:hAnsi="Times New Roman"/>
          <w:b/>
          <w:sz w:val="24"/>
          <w:szCs w:val="24"/>
          <w:lang w:eastAsia="lv-LV"/>
        </w:rPr>
      </w:pPr>
    </w:p>
    <w:p w14:paraId="3BB6E369" w14:textId="77777777" w:rsidR="00B22B60" w:rsidRPr="00BF31C3" w:rsidRDefault="00B22B60" w:rsidP="00B22B60">
      <w:pPr>
        <w:spacing w:after="0"/>
        <w:ind w:right="-1"/>
        <w:jc w:val="both"/>
        <w:rPr>
          <w:rFonts w:ascii="Times New Roman" w:eastAsia="Times New Roman" w:hAnsi="Times New Roman"/>
          <w:sz w:val="24"/>
          <w:szCs w:val="24"/>
          <w:lang w:eastAsia="lv-LV"/>
        </w:rPr>
      </w:pPr>
      <w:r w:rsidRPr="00BF31C3">
        <w:rPr>
          <w:rFonts w:ascii="Times New Roman" w:eastAsia="Times New Roman" w:hAnsi="Times New Roman"/>
          <w:sz w:val="24"/>
          <w:szCs w:val="24"/>
          <w:lang w:eastAsia="lv-LV"/>
        </w:rPr>
        <w:t>Senāts šādā sastāvā:</w:t>
      </w:r>
    </w:p>
    <w:p w14:paraId="723F0BC8" w14:textId="77777777" w:rsidR="00B22B60" w:rsidRPr="00BF31C3" w:rsidRDefault="00B22B60" w:rsidP="00B22B60">
      <w:pPr>
        <w:spacing w:after="0"/>
        <w:ind w:right="-1" w:firstLine="720"/>
        <w:jc w:val="both"/>
        <w:rPr>
          <w:rFonts w:ascii="Times New Roman" w:eastAsia="Times New Roman" w:hAnsi="Times New Roman"/>
          <w:sz w:val="24"/>
          <w:szCs w:val="24"/>
          <w:lang w:eastAsia="lv-LV"/>
        </w:rPr>
      </w:pPr>
      <w:bookmarkStart w:id="0" w:name="_Hlk71812598"/>
      <w:r w:rsidRPr="00BF31C3">
        <w:rPr>
          <w:rFonts w:ascii="Times New Roman" w:eastAsia="Times New Roman" w:hAnsi="Times New Roman"/>
          <w:sz w:val="24"/>
          <w:szCs w:val="24"/>
          <w:lang w:eastAsia="lv-LV"/>
        </w:rPr>
        <w:t>senators referents Intars Bisters,</w:t>
      </w:r>
    </w:p>
    <w:p w14:paraId="6A8993CB" w14:textId="5EB4B82D" w:rsidR="00D7362D" w:rsidRPr="00BF31C3" w:rsidRDefault="00D7362D" w:rsidP="00D7362D">
      <w:pPr>
        <w:spacing w:after="0"/>
        <w:ind w:right="143" w:firstLine="720"/>
        <w:jc w:val="both"/>
        <w:rPr>
          <w:rFonts w:ascii="Times New Roman" w:eastAsia="Times New Roman" w:hAnsi="Times New Roman"/>
          <w:sz w:val="24"/>
          <w:szCs w:val="24"/>
          <w:lang w:eastAsia="lv-LV"/>
        </w:rPr>
      </w:pPr>
      <w:r w:rsidRPr="00BF31C3">
        <w:rPr>
          <w:rFonts w:ascii="Times New Roman" w:eastAsia="Times New Roman" w:hAnsi="Times New Roman"/>
          <w:sz w:val="24"/>
          <w:szCs w:val="24"/>
          <w:lang w:eastAsia="lv-LV"/>
        </w:rPr>
        <w:t>senator</w:t>
      </w:r>
      <w:r w:rsidR="00E37E4F">
        <w:rPr>
          <w:rFonts w:ascii="Times New Roman" w:eastAsia="Times New Roman" w:hAnsi="Times New Roman"/>
          <w:sz w:val="24"/>
          <w:szCs w:val="24"/>
          <w:lang w:eastAsia="lv-LV"/>
        </w:rPr>
        <w:t>s Vale</w:t>
      </w:r>
      <w:r>
        <w:rPr>
          <w:rFonts w:ascii="Times New Roman" w:eastAsia="Times New Roman" w:hAnsi="Times New Roman"/>
          <w:sz w:val="24"/>
          <w:szCs w:val="24"/>
          <w:lang w:eastAsia="lv-LV"/>
        </w:rPr>
        <w:t>rijs Maksimovs,</w:t>
      </w:r>
    </w:p>
    <w:p w14:paraId="77B3F349" w14:textId="3F54F997" w:rsidR="00B22B60" w:rsidRPr="00BF31C3" w:rsidRDefault="00B22B60" w:rsidP="00B22B60">
      <w:pPr>
        <w:spacing w:after="0"/>
        <w:ind w:right="143" w:firstLine="720"/>
        <w:jc w:val="both"/>
        <w:rPr>
          <w:rFonts w:ascii="Times New Roman" w:eastAsia="Times New Roman" w:hAnsi="Times New Roman"/>
          <w:sz w:val="24"/>
          <w:szCs w:val="24"/>
          <w:lang w:eastAsia="lv-LV"/>
        </w:rPr>
      </w:pPr>
      <w:r w:rsidRPr="00BF31C3">
        <w:rPr>
          <w:rFonts w:ascii="Times New Roman" w:eastAsia="Times New Roman" w:hAnsi="Times New Roman"/>
          <w:sz w:val="24"/>
          <w:szCs w:val="24"/>
          <w:lang w:eastAsia="lv-LV"/>
        </w:rPr>
        <w:t xml:space="preserve">senatore </w:t>
      </w:r>
      <w:r>
        <w:rPr>
          <w:rFonts w:ascii="Times New Roman" w:eastAsia="Times New Roman" w:hAnsi="Times New Roman"/>
          <w:sz w:val="24"/>
          <w:szCs w:val="24"/>
          <w:lang w:eastAsia="lv-LV"/>
        </w:rPr>
        <w:t>Marika Senkāne</w:t>
      </w:r>
    </w:p>
    <w:bookmarkEnd w:id="0"/>
    <w:p w14:paraId="5DC65633" w14:textId="77777777" w:rsidR="002C44AA" w:rsidRDefault="002C44AA" w:rsidP="0015743E">
      <w:pPr>
        <w:spacing w:after="0"/>
        <w:jc w:val="both"/>
        <w:rPr>
          <w:rFonts w:ascii="Times New Roman" w:hAnsi="Times New Roman"/>
          <w:sz w:val="24"/>
          <w:szCs w:val="24"/>
        </w:rPr>
      </w:pPr>
    </w:p>
    <w:p w14:paraId="371BCB74" w14:textId="0FCBB82E" w:rsidR="00B22B60" w:rsidRDefault="00B22B60" w:rsidP="0015743E">
      <w:pPr>
        <w:spacing w:after="0"/>
        <w:jc w:val="both"/>
        <w:rPr>
          <w:rFonts w:ascii="Times New Roman" w:hAnsi="Times New Roman" w:cs="Times New Roman"/>
          <w:sz w:val="24"/>
          <w:szCs w:val="24"/>
        </w:rPr>
      </w:pPr>
      <w:r w:rsidRPr="00BF31C3">
        <w:rPr>
          <w:rFonts w:ascii="Times New Roman" w:hAnsi="Times New Roman"/>
          <w:sz w:val="24"/>
          <w:szCs w:val="24"/>
        </w:rPr>
        <w:t xml:space="preserve">izskatīja rakstveida procesā </w:t>
      </w:r>
      <w:r w:rsidR="002C44AA">
        <w:rPr>
          <w:rFonts w:ascii="Times New Roman" w:hAnsi="Times New Roman" w:cs="Times New Roman"/>
          <w:sz w:val="24"/>
          <w:szCs w:val="24"/>
        </w:rPr>
        <w:t>[pers. A]</w:t>
      </w:r>
      <w:r>
        <w:rPr>
          <w:rFonts w:ascii="Times New Roman" w:hAnsi="Times New Roman" w:cs="Times New Roman"/>
          <w:sz w:val="24"/>
          <w:szCs w:val="24"/>
        </w:rPr>
        <w:t xml:space="preserve"> kasācijas sūdzību par Rīgas apgabaltiesas Civillietu tiesas kolēģijas </w:t>
      </w:r>
      <w:r w:rsidR="0015743E">
        <w:rPr>
          <w:rFonts w:ascii="Times New Roman" w:hAnsi="Times New Roman" w:cs="Times New Roman"/>
          <w:sz w:val="24"/>
          <w:szCs w:val="24"/>
        </w:rPr>
        <w:t>2021. gada 12. janvāra</w:t>
      </w:r>
      <w:r>
        <w:rPr>
          <w:rFonts w:ascii="Times New Roman" w:hAnsi="Times New Roman" w:cs="Times New Roman"/>
          <w:sz w:val="24"/>
          <w:szCs w:val="24"/>
        </w:rPr>
        <w:t xml:space="preserve"> spriedumu </w:t>
      </w:r>
      <w:r w:rsidR="002C44AA">
        <w:rPr>
          <w:rFonts w:ascii="Times New Roman" w:hAnsi="Times New Roman" w:cs="Times New Roman"/>
          <w:sz w:val="24"/>
          <w:szCs w:val="24"/>
        </w:rPr>
        <w:t>[pers. B]</w:t>
      </w:r>
      <w:r w:rsidR="0015743E">
        <w:rPr>
          <w:rFonts w:ascii="Times New Roman" w:hAnsi="Times New Roman" w:cs="Times New Roman"/>
          <w:sz w:val="24"/>
          <w:szCs w:val="24"/>
        </w:rPr>
        <w:t xml:space="preserve"> (</w:t>
      </w:r>
      <w:r w:rsidR="002C44AA">
        <w:rPr>
          <w:rFonts w:ascii="Times New Roman" w:hAnsi="Times New Roman" w:cs="Times New Roman"/>
          <w:i/>
          <w:iCs/>
          <w:sz w:val="24"/>
          <w:szCs w:val="24"/>
        </w:rPr>
        <w:t>[pers. B]</w:t>
      </w:r>
      <w:r w:rsidR="0015743E">
        <w:rPr>
          <w:rFonts w:ascii="Times New Roman" w:hAnsi="Times New Roman" w:cs="Times New Roman"/>
          <w:sz w:val="24"/>
          <w:szCs w:val="24"/>
        </w:rPr>
        <w:t xml:space="preserve">) un </w:t>
      </w:r>
      <w:r w:rsidR="002C44AA">
        <w:rPr>
          <w:rFonts w:ascii="Times New Roman" w:hAnsi="Times New Roman" w:cs="Times New Roman"/>
          <w:sz w:val="24"/>
          <w:szCs w:val="24"/>
        </w:rPr>
        <w:t xml:space="preserve">[pers. C] </w:t>
      </w:r>
      <w:r w:rsidR="0015743E" w:rsidRPr="00A67756">
        <w:rPr>
          <w:rFonts w:ascii="Times New Roman" w:hAnsi="Times New Roman" w:cs="Times New Roman"/>
          <w:i/>
          <w:iCs/>
          <w:sz w:val="24"/>
          <w:szCs w:val="24"/>
        </w:rPr>
        <w:t>(</w:t>
      </w:r>
      <w:r w:rsidR="00A67756" w:rsidRPr="00A67756">
        <w:rPr>
          <w:rFonts w:ascii="Times New Roman" w:hAnsi="Times New Roman" w:cs="Times New Roman"/>
          <w:i/>
          <w:iCs/>
          <w:sz w:val="24"/>
          <w:szCs w:val="24"/>
        </w:rPr>
        <w:t>[pers. C]</w:t>
      </w:r>
      <w:r w:rsidR="0015743E" w:rsidRPr="00A67756">
        <w:rPr>
          <w:rFonts w:ascii="Times New Roman" w:hAnsi="Times New Roman" w:cs="Times New Roman"/>
          <w:sz w:val="24"/>
          <w:szCs w:val="24"/>
          <w:u w:val="single"/>
        </w:rPr>
        <w:t>)</w:t>
      </w:r>
      <w:r w:rsidR="0015743E">
        <w:rPr>
          <w:rFonts w:ascii="Times New Roman" w:hAnsi="Times New Roman" w:cs="Times New Roman"/>
          <w:sz w:val="24"/>
          <w:szCs w:val="24"/>
        </w:rPr>
        <w:t xml:space="preserve"> prasībā pret </w:t>
      </w:r>
      <w:r w:rsidR="002C44AA">
        <w:rPr>
          <w:rFonts w:ascii="Times New Roman" w:hAnsi="Times New Roman" w:cs="Times New Roman"/>
          <w:sz w:val="24"/>
          <w:szCs w:val="24"/>
        </w:rPr>
        <w:t>[pers. A]</w:t>
      </w:r>
      <w:r w:rsidR="0015743E">
        <w:rPr>
          <w:rFonts w:ascii="Times New Roman" w:hAnsi="Times New Roman" w:cs="Times New Roman"/>
          <w:sz w:val="24"/>
          <w:szCs w:val="24"/>
        </w:rPr>
        <w:t xml:space="preserve"> par neatņemamās </w:t>
      </w:r>
      <w:r w:rsidR="00BA7314">
        <w:rPr>
          <w:rFonts w:ascii="Times New Roman" w:hAnsi="Times New Roman" w:cs="Times New Roman"/>
          <w:sz w:val="24"/>
          <w:szCs w:val="24"/>
        </w:rPr>
        <w:t xml:space="preserve">mantojuma </w:t>
      </w:r>
      <w:r w:rsidR="0015743E">
        <w:rPr>
          <w:rFonts w:ascii="Times New Roman" w:hAnsi="Times New Roman" w:cs="Times New Roman"/>
          <w:sz w:val="24"/>
          <w:szCs w:val="24"/>
        </w:rPr>
        <w:t xml:space="preserve">daļas izprasīšanu. </w:t>
      </w:r>
    </w:p>
    <w:p w14:paraId="5E8E171F" w14:textId="77777777" w:rsidR="007E51BB" w:rsidRDefault="007E51BB" w:rsidP="0015743E">
      <w:pPr>
        <w:spacing w:after="0"/>
        <w:jc w:val="both"/>
        <w:rPr>
          <w:rFonts w:ascii="Times New Roman" w:hAnsi="Times New Roman" w:cs="Times New Roman"/>
          <w:sz w:val="24"/>
          <w:szCs w:val="24"/>
        </w:rPr>
      </w:pPr>
    </w:p>
    <w:p w14:paraId="428A5AC2" w14:textId="6C73F21A" w:rsidR="006F2B22" w:rsidRPr="00B22B60" w:rsidRDefault="006F2B22" w:rsidP="00734DB9">
      <w:pPr>
        <w:spacing w:after="0"/>
        <w:jc w:val="center"/>
        <w:rPr>
          <w:rFonts w:ascii="Times New Roman" w:hAnsi="Times New Roman" w:cs="Times New Roman"/>
          <w:sz w:val="24"/>
          <w:szCs w:val="24"/>
        </w:rPr>
      </w:pPr>
      <w:r>
        <w:rPr>
          <w:rFonts w:ascii="Times New Roman" w:hAnsi="Times New Roman" w:cs="Times New Roman"/>
          <w:b/>
          <w:sz w:val="24"/>
          <w:szCs w:val="24"/>
        </w:rPr>
        <w:t>Aprakstošā daļa</w:t>
      </w:r>
    </w:p>
    <w:p w14:paraId="4758D861" w14:textId="77777777" w:rsidR="00B22B60" w:rsidRDefault="00B22B60" w:rsidP="00B22B60">
      <w:pPr>
        <w:contextualSpacing/>
        <w:jc w:val="both"/>
        <w:rPr>
          <w:rFonts w:ascii="Times New Roman" w:hAnsi="Times New Roman" w:cs="Times New Roman"/>
          <w:sz w:val="24"/>
          <w:szCs w:val="24"/>
        </w:rPr>
      </w:pPr>
    </w:p>
    <w:p w14:paraId="2C1D5BBE" w14:textId="7AB6D1DA" w:rsidR="00D63291" w:rsidRPr="00D63291" w:rsidRDefault="006F2B22" w:rsidP="004947DD">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t xml:space="preserve">[1] </w:t>
      </w:r>
      <w:r w:rsidR="0015743E">
        <w:rPr>
          <w:rFonts w:ascii="Times New Roman" w:hAnsi="Times New Roman" w:cs="Times New Roman"/>
          <w:sz w:val="24"/>
          <w:szCs w:val="24"/>
        </w:rPr>
        <w:t xml:space="preserve">Ar Rīgas apgabaltiesas Civillietu tiesas kolēģijas 2021. gada 12. janvāra spriedumu </w:t>
      </w:r>
      <w:r w:rsidR="000F3DD6">
        <w:rPr>
          <w:rFonts w:ascii="Times New Roman" w:hAnsi="Times New Roman" w:cs="Times New Roman"/>
          <w:sz w:val="24"/>
          <w:szCs w:val="24"/>
        </w:rPr>
        <w:t xml:space="preserve">mantojuma atstājēja </w:t>
      </w:r>
      <w:r w:rsidR="00B26484">
        <w:rPr>
          <w:rFonts w:ascii="Times New Roman" w:hAnsi="Times New Roman" w:cs="Times New Roman"/>
          <w:sz w:val="24"/>
          <w:szCs w:val="24"/>
        </w:rPr>
        <w:t xml:space="preserve">lejupējo </w:t>
      </w:r>
      <w:r w:rsidR="002C44AA">
        <w:rPr>
          <w:rFonts w:ascii="Times New Roman" w:hAnsi="Times New Roman" w:cs="Times New Roman"/>
          <w:sz w:val="24"/>
          <w:szCs w:val="24"/>
        </w:rPr>
        <w:t>[pers. B]</w:t>
      </w:r>
      <w:r w:rsidR="0015743E">
        <w:rPr>
          <w:rFonts w:ascii="Times New Roman" w:hAnsi="Times New Roman" w:cs="Times New Roman"/>
          <w:sz w:val="24"/>
          <w:szCs w:val="24"/>
        </w:rPr>
        <w:t xml:space="preserve"> un </w:t>
      </w:r>
      <w:r w:rsidR="002C44AA">
        <w:rPr>
          <w:rFonts w:ascii="Times New Roman" w:hAnsi="Times New Roman" w:cs="Times New Roman"/>
          <w:sz w:val="24"/>
          <w:szCs w:val="24"/>
        </w:rPr>
        <w:t xml:space="preserve">[pers. C] </w:t>
      </w:r>
      <w:r w:rsidR="00B26484">
        <w:rPr>
          <w:rFonts w:ascii="Times New Roman" w:hAnsi="Times New Roman" w:cs="Times New Roman"/>
          <w:sz w:val="24"/>
          <w:szCs w:val="24"/>
        </w:rPr>
        <w:t xml:space="preserve">celtā </w:t>
      </w:r>
      <w:r w:rsidR="0015743E">
        <w:rPr>
          <w:rFonts w:ascii="Times New Roman" w:hAnsi="Times New Roman" w:cs="Times New Roman"/>
          <w:sz w:val="24"/>
          <w:szCs w:val="24"/>
        </w:rPr>
        <w:t xml:space="preserve">prasība </w:t>
      </w:r>
      <w:r w:rsidR="00B26484">
        <w:rPr>
          <w:rFonts w:ascii="Times New Roman" w:hAnsi="Times New Roman" w:cs="Times New Roman"/>
          <w:sz w:val="24"/>
          <w:szCs w:val="24"/>
        </w:rPr>
        <w:t xml:space="preserve">pret </w:t>
      </w:r>
      <w:r w:rsidR="002C44AA">
        <w:rPr>
          <w:rFonts w:ascii="Times New Roman" w:hAnsi="Times New Roman" w:cs="Times New Roman"/>
          <w:sz w:val="24"/>
          <w:szCs w:val="24"/>
        </w:rPr>
        <w:t xml:space="preserve">[pers. D] </w:t>
      </w:r>
      <w:r w:rsidR="004947DD">
        <w:rPr>
          <w:rFonts w:ascii="Times New Roman" w:hAnsi="Times New Roman" w:cs="Times New Roman"/>
          <w:sz w:val="24"/>
          <w:szCs w:val="24"/>
        </w:rPr>
        <w:t>pārdzīvojošo</w:t>
      </w:r>
      <w:r w:rsidR="00B26484">
        <w:rPr>
          <w:rFonts w:ascii="Times New Roman" w:hAnsi="Times New Roman" w:cs="Times New Roman"/>
          <w:sz w:val="24"/>
          <w:szCs w:val="24"/>
        </w:rPr>
        <w:t xml:space="preserve"> laulāto </w:t>
      </w:r>
      <w:r w:rsidR="002C44AA">
        <w:rPr>
          <w:rFonts w:ascii="Times New Roman" w:hAnsi="Times New Roman" w:cs="Times New Roman"/>
          <w:sz w:val="24"/>
          <w:szCs w:val="24"/>
        </w:rPr>
        <w:t>[pers. A]</w:t>
      </w:r>
      <w:r w:rsidR="00B26484">
        <w:rPr>
          <w:rFonts w:ascii="Times New Roman" w:hAnsi="Times New Roman" w:cs="Times New Roman"/>
          <w:sz w:val="24"/>
          <w:szCs w:val="24"/>
        </w:rPr>
        <w:t xml:space="preserve"> </w:t>
      </w:r>
      <w:r w:rsidR="0015743E">
        <w:rPr>
          <w:rFonts w:ascii="Times New Roman" w:hAnsi="Times New Roman" w:cs="Times New Roman"/>
          <w:sz w:val="24"/>
          <w:szCs w:val="24"/>
        </w:rPr>
        <w:t>apmierināta daļ</w:t>
      </w:r>
      <w:r w:rsidR="0074740C">
        <w:rPr>
          <w:rFonts w:ascii="Times New Roman" w:hAnsi="Times New Roman" w:cs="Times New Roman"/>
          <w:sz w:val="24"/>
          <w:szCs w:val="24"/>
        </w:rPr>
        <w:t>ēji, piedzenot</w:t>
      </w:r>
      <w:r w:rsidR="0015743E">
        <w:rPr>
          <w:rFonts w:ascii="Times New Roman" w:hAnsi="Times New Roman" w:cs="Times New Roman"/>
          <w:sz w:val="24"/>
          <w:szCs w:val="24"/>
        </w:rPr>
        <w:t xml:space="preserve"> </w:t>
      </w:r>
      <w:r w:rsidR="002C44AA">
        <w:rPr>
          <w:rFonts w:ascii="Times New Roman" w:hAnsi="Times New Roman" w:cs="Times New Roman"/>
          <w:sz w:val="24"/>
          <w:szCs w:val="24"/>
        </w:rPr>
        <w:t>[pers. B]</w:t>
      </w:r>
      <w:r w:rsidR="00D63291">
        <w:rPr>
          <w:rFonts w:ascii="Times New Roman" w:hAnsi="Times New Roman" w:cs="Times New Roman"/>
          <w:sz w:val="24"/>
          <w:szCs w:val="24"/>
        </w:rPr>
        <w:t xml:space="preserve"> labā </w:t>
      </w:r>
      <w:r w:rsidR="0015743E">
        <w:rPr>
          <w:rFonts w:ascii="Times New Roman" w:hAnsi="Times New Roman" w:cs="Times New Roman"/>
          <w:sz w:val="24"/>
          <w:szCs w:val="24"/>
        </w:rPr>
        <w:t>neatņemam</w:t>
      </w:r>
      <w:r w:rsidR="0074740C">
        <w:rPr>
          <w:rFonts w:ascii="Times New Roman" w:hAnsi="Times New Roman" w:cs="Times New Roman"/>
          <w:sz w:val="24"/>
          <w:szCs w:val="24"/>
        </w:rPr>
        <w:t>o</w:t>
      </w:r>
      <w:r w:rsidR="0015743E">
        <w:rPr>
          <w:rFonts w:ascii="Times New Roman" w:hAnsi="Times New Roman" w:cs="Times New Roman"/>
          <w:sz w:val="24"/>
          <w:szCs w:val="24"/>
        </w:rPr>
        <w:t xml:space="preserve"> </w:t>
      </w:r>
      <w:r w:rsidR="00BA7314">
        <w:rPr>
          <w:rFonts w:ascii="Times New Roman" w:hAnsi="Times New Roman" w:cs="Times New Roman"/>
          <w:sz w:val="24"/>
          <w:szCs w:val="24"/>
        </w:rPr>
        <w:t xml:space="preserve">mantojuma </w:t>
      </w:r>
      <w:r w:rsidR="0015743E">
        <w:rPr>
          <w:rFonts w:ascii="Times New Roman" w:hAnsi="Times New Roman" w:cs="Times New Roman"/>
          <w:sz w:val="24"/>
          <w:szCs w:val="24"/>
        </w:rPr>
        <w:t>daļ</w:t>
      </w:r>
      <w:r w:rsidR="0074740C">
        <w:rPr>
          <w:rFonts w:ascii="Times New Roman" w:hAnsi="Times New Roman" w:cs="Times New Roman"/>
          <w:sz w:val="24"/>
          <w:szCs w:val="24"/>
        </w:rPr>
        <w:t>u</w:t>
      </w:r>
      <w:r w:rsidR="0015743E">
        <w:rPr>
          <w:rFonts w:ascii="Times New Roman" w:hAnsi="Times New Roman" w:cs="Times New Roman"/>
          <w:sz w:val="24"/>
          <w:szCs w:val="24"/>
        </w:rPr>
        <w:t xml:space="preserve"> 98 060,78 </w:t>
      </w:r>
      <w:r w:rsidR="0015743E">
        <w:rPr>
          <w:rFonts w:ascii="Times New Roman" w:hAnsi="Times New Roman" w:cs="Times New Roman"/>
          <w:i/>
          <w:iCs/>
          <w:sz w:val="24"/>
          <w:szCs w:val="24"/>
        </w:rPr>
        <w:t>euro</w:t>
      </w:r>
      <w:r w:rsidR="00D63291">
        <w:rPr>
          <w:rFonts w:ascii="Times New Roman" w:hAnsi="Times New Roman" w:cs="Times New Roman"/>
          <w:sz w:val="24"/>
          <w:szCs w:val="24"/>
        </w:rPr>
        <w:t xml:space="preserve">, bet </w:t>
      </w:r>
      <w:r w:rsidR="002C44AA">
        <w:rPr>
          <w:rFonts w:ascii="Times New Roman" w:hAnsi="Times New Roman" w:cs="Times New Roman"/>
          <w:sz w:val="24"/>
          <w:szCs w:val="24"/>
        </w:rPr>
        <w:t>[pers. C]</w:t>
      </w:r>
      <w:r w:rsidR="00D63291">
        <w:rPr>
          <w:rFonts w:ascii="Times New Roman" w:hAnsi="Times New Roman" w:cs="Times New Roman"/>
          <w:sz w:val="24"/>
          <w:szCs w:val="24"/>
        </w:rPr>
        <w:t xml:space="preserve"> labā – 133 897,27 </w:t>
      </w:r>
      <w:r w:rsidR="00D63291">
        <w:rPr>
          <w:rFonts w:ascii="Times New Roman" w:hAnsi="Times New Roman" w:cs="Times New Roman"/>
          <w:i/>
          <w:iCs/>
          <w:sz w:val="24"/>
          <w:szCs w:val="24"/>
        </w:rPr>
        <w:t>euro</w:t>
      </w:r>
      <w:r w:rsidR="00D63291">
        <w:rPr>
          <w:rFonts w:ascii="Times New Roman" w:hAnsi="Times New Roman" w:cs="Times New Roman"/>
          <w:sz w:val="24"/>
          <w:szCs w:val="24"/>
        </w:rPr>
        <w:t>.</w:t>
      </w:r>
    </w:p>
    <w:p w14:paraId="0CB1AF44" w14:textId="19C9C6AC" w:rsidR="00B26484" w:rsidRDefault="002350E0" w:rsidP="00B26484">
      <w:pPr>
        <w:ind w:firstLine="709"/>
        <w:contextualSpacing/>
        <w:jc w:val="both"/>
        <w:rPr>
          <w:rFonts w:ascii="Times New Roman" w:hAnsi="Times New Roman" w:cs="Times New Roman"/>
          <w:sz w:val="24"/>
          <w:szCs w:val="24"/>
        </w:rPr>
      </w:pPr>
      <w:r>
        <w:rPr>
          <w:rFonts w:ascii="Times New Roman" w:hAnsi="Times New Roman" w:cs="Times New Roman"/>
          <w:sz w:val="24"/>
          <w:szCs w:val="24"/>
        </w:rPr>
        <w:t>Attiecībā uz to</w:t>
      </w:r>
      <w:r w:rsidR="00B26484">
        <w:rPr>
          <w:rFonts w:ascii="Times New Roman" w:hAnsi="Times New Roman" w:cs="Times New Roman"/>
          <w:sz w:val="24"/>
          <w:szCs w:val="24"/>
        </w:rPr>
        <w:t>, vai</w:t>
      </w:r>
      <w:r>
        <w:rPr>
          <w:rFonts w:ascii="Times New Roman" w:hAnsi="Times New Roman" w:cs="Times New Roman"/>
          <w:sz w:val="24"/>
          <w:szCs w:val="24"/>
        </w:rPr>
        <w:t xml:space="preserve"> neatņemamās daļas vērtīb</w:t>
      </w:r>
      <w:r w:rsidR="00803B75">
        <w:rPr>
          <w:rFonts w:ascii="Times New Roman" w:hAnsi="Times New Roman" w:cs="Times New Roman"/>
          <w:sz w:val="24"/>
          <w:szCs w:val="24"/>
        </w:rPr>
        <w:t>as noteikšanai jāņem vērā prasītājiem ar testamentu novēlēt</w:t>
      </w:r>
      <w:r w:rsidR="003E24E8">
        <w:rPr>
          <w:rFonts w:ascii="Times New Roman" w:hAnsi="Times New Roman" w:cs="Times New Roman"/>
          <w:sz w:val="24"/>
          <w:szCs w:val="24"/>
        </w:rPr>
        <w:t>ā</w:t>
      </w:r>
      <w:r w:rsidR="00803B75">
        <w:rPr>
          <w:rFonts w:ascii="Times New Roman" w:hAnsi="Times New Roman" w:cs="Times New Roman"/>
          <w:sz w:val="24"/>
          <w:szCs w:val="24"/>
        </w:rPr>
        <w:t xml:space="preserve"> mant</w:t>
      </w:r>
      <w:r w:rsidR="003E24E8">
        <w:rPr>
          <w:rFonts w:ascii="Times New Roman" w:hAnsi="Times New Roman" w:cs="Times New Roman"/>
          <w:sz w:val="24"/>
          <w:szCs w:val="24"/>
        </w:rPr>
        <w:t>a</w:t>
      </w:r>
      <w:r w:rsidR="00B26484">
        <w:rPr>
          <w:rFonts w:ascii="Times New Roman" w:hAnsi="Times New Roman" w:cs="Times New Roman"/>
          <w:sz w:val="24"/>
          <w:szCs w:val="24"/>
        </w:rPr>
        <w:t>, kas</w:t>
      </w:r>
      <w:r w:rsidR="00803B75">
        <w:rPr>
          <w:rFonts w:ascii="Times New Roman" w:hAnsi="Times New Roman" w:cs="Times New Roman"/>
          <w:sz w:val="24"/>
          <w:szCs w:val="24"/>
        </w:rPr>
        <w:t xml:space="preserve"> atrodas ārzemēs</w:t>
      </w:r>
      <w:r w:rsidR="00B26484">
        <w:rPr>
          <w:rFonts w:ascii="Times New Roman" w:hAnsi="Times New Roman" w:cs="Times New Roman"/>
          <w:sz w:val="24"/>
          <w:szCs w:val="24"/>
        </w:rPr>
        <w:t>,</w:t>
      </w:r>
      <w:r w:rsidR="0092214A">
        <w:rPr>
          <w:rFonts w:ascii="Times New Roman" w:hAnsi="Times New Roman" w:cs="Times New Roman"/>
          <w:sz w:val="24"/>
          <w:szCs w:val="24"/>
        </w:rPr>
        <w:t xml:space="preserve"> </w:t>
      </w:r>
      <w:r w:rsidR="006101EE">
        <w:rPr>
          <w:rFonts w:ascii="Times New Roman" w:hAnsi="Times New Roman" w:cs="Times New Roman"/>
          <w:sz w:val="24"/>
          <w:szCs w:val="24"/>
        </w:rPr>
        <w:t>kā arī</w:t>
      </w:r>
      <w:r w:rsidR="0092214A">
        <w:rPr>
          <w:rFonts w:ascii="Times New Roman" w:hAnsi="Times New Roman" w:cs="Times New Roman"/>
          <w:sz w:val="24"/>
          <w:szCs w:val="24"/>
        </w:rPr>
        <w:t xml:space="preserve"> </w:t>
      </w:r>
      <w:r w:rsidR="00B26484">
        <w:rPr>
          <w:rFonts w:ascii="Times New Roman" w:hAnsi="Times New Roman" w:cs="Times New Roman"/>
          <w:sz w:val="24"/>
          <w:szCs w:val="24"/>
        </w:rPr>
        <w:t xml:space="preserve">mantojuma atstājēja </w:t>
      </w:r>
      <w:r w:rsidR="00132F0A">
        <w:rPr>
          <w:rFonts w:ascii="Times New Roman" w:hAnsi="Times New Roman" w:cs="Times New Roman"/>
          <w:sz w:val="24"/>
          <w:szCs w:val="24"/>
        </w:rPr>
        <w:t xml:space="preserve">veiktais </w:t>
      </w:r>
      <w:r w:rsidR="00B26484">
        <w:rPr>
          <w:rFonts w:ascii="Times New Roman" w:hAnsi="Times New Roman" w:cs="Times New Roman"/>
          <w:sz w:val="24"/>
          <w:szCs w:val="24"/>
        </w:rPr>
        <w:t>ieguldījums pilngadīg</w:t>
      </w:r>
      <w:r w:rsidR="00132F0A">
        <w:rPr>
          <w:rFonts w:ascii="Times New Roman" w:hAnsi="Times New Roman" w:cs="Times New Roman"/>
          <w:sz w:val="24"/>
          <w:szCs w:val="24"/>
        </w:rPr>
        <w:t>o</w:t>
      </w:r>
      <w:r w:rsidR="00B26484">
        <w:rPr>
          <w:rFonts w:ascii="Times New Roman" w:hAnsi="Times New Roman" w:cs="Times New Roman"/>
          <w:sz w:val="24"/>
          <w:szCs w:val="24"/>
        </w:rPr>
        <w:t xml:space="preserve"> bērnu aprūpē, </w:t>
      </w:r>
      <w:r>
        <w:rPr>
          <w:rFonts w:ascii="Times New Roman" w:hAnsi="Times New Roman" w:cs="Times New Roman"/>
          <w:sz w:val="24"/>
          <w:szCs w:val="24"/>
        </w:rPr>
        <w:t>apgabaltiesa sniegusi</w:t>
      </w:r>
      <w:r w:rsidR="00B26484">
        <w:rPr>
          <w:rFonts w:ascii="Times New Roman" w:hAnsi="Times New Roman" w:cs="Times New Roman"/>
          <w:sz w:val="24"/>
          <w:szCs w:val="24"/>
        </w:rPr>
        <w:t xml:space="preserve"> šād</w:t>
      </w:r>
      <w:r>
        <w:rPr>
          <w:rFonts w:ascii="Times New Roman" w:hAnsi="Times New Roman" w:cs="Times New Roman"/>
          <w:sz w:val="24"/>
          <w:szCs w:val="24"/>
        </w:rPr>
        <w:t>us</w:t>
      </w:r>
      <w:r w:rsidR="00B26484">
        <w:rPr>
          <w:rFonts w:ascii="Times New Roman" w:hAnsi="Times New Roman" w:cs="Times New Roman"/>
          <w:sz w:val="24"/>
          <w:szCs w:val="24"/>
        </w:rPr>
        <w:t xml:space="preserve"> argument</w:t>
      </w:r>
      <w:r>
        <w:rPr>
          <w:rFonts w:ascii="Times New Roman" w:hAnsi="Times New Roman" w:cs="Times New Roman"/>
          <w:sz w:val="24"/>
          <w:szCs w:val="24"/>
        </w:rPr>
        <w:t>us</w:t>
      </w:r>
      <w:r w:rsidR="00B26484">
        <w:rPr>
          <w:rFonts w:ascii="Times New Roman" w:hAnsi="Times New Roman" w:cs="Times New Roman"/>
          <w:sz w:val="24"/>
          <w:szCs w:val="24"/>
        </w:rPr>
        <w:t>.</w:t>
      </w:r>
    </w:p>
    <w:p w14:paraId="1813179E" w14:textId="529D9E17" w:rsidR="00622F8D" w:rsidRDefault="0015743E" w:rsidP="00622F8D">
      <w:pPr>
        <w:ind w:firstLine="709"/>
        <w:contextualSpacing/>
        <w:jc w:val="both"/>
        <w:rPr>
          <w:rFonts w:ascii="Times New Roman" w:hAnsi="Times New Roman" w:cs="Times New Roman"/>
          <w:sz w:val="24"/>
          <w:szCs w:val="24"/>
        </w:rPr>
      </w:pPr>
      <w:r>
        <w:rPr>
          <w:rFonts w:ascii="Times New Roman" w:hAnsi="Times New Roman" w:cs="Times New Roman"/>
          <w:sz w:val="24"/>
          <w:szCs w:val="24"/>
        </w:rPr>
        <w:t>[1.1]</w:t>
      </w:r>
      <w:r w:rsidR="00F27C41">
        <w:rPr>
          <w:rFonts w:ascii="Times New Roman" w:hAnsi="Times New Roman" w:cs="Times New Roman"/>
          <w:sz w:val="24"/>
          <w:szCs w:val="24"/>
        </w:rPr>
        <w:t> </w:t>
      </w:r>
      <w:r w:rsidR="00766456">
        <w:rPr>
          <w:rFonts w:ascii="Times New Roman" w:hAnsi="Times New Roman" w:cs="Times New Roman"/>
          <w:sz w:val="24"/>
          <w:szCs w:val="24"/>
        </w:rPr>
        <w:t>Prasība par neatņemamās daļas iz</w:t>
      </w:r>
      <w:r w:rsidR="00BA7314">
        <w:rPr>
          <w:rFonts w:ascii="Times New Roman" w:hAnsi="Times New Roman" w:cs="Times New Roman"/>
          <w:sz w:val="24"/>
          <w:szCs w:val="24"/>
        </w:rPr>
        <w:t>prasīšanu</w:t>
      </w:r>
      <w:r w:rsidR="00766456">
        <w:rPr>
          <w:rFonts w:ascii="Times New Roman" w:hAnsi="Times New Roman" w:cs="Times New Roman"/>
          <w:sz w:val="24"/>
          <w:szCs w:val="24"/>
        </w:rPr>
        <w:t xml:space="preserve"> izriet no mantojuma tiesībām, jo tā ir vērsta uz likumisko mantinieku tiesību aizsardzību, </w:t>
      </w:r>
      <w:r w:rsidR="00132F0A">
        <w:rPr>
          <w:rFonts w:ascii="Times New Roman" w:hAnsi="Times New Roman" w:cs="Times New Roman"/>
          <w:sz w:val="24"/>
          <w:szCs w:val="24"/>
        </w:rPr>
        <w:t>nodrošinot, ka tie netiek</w:t>
      </w:r>
      <w:r w:rsidR="00766456">
        <w:rPr>
          <w:rFonts w:ascii="Times New Roman" w:hAnsi="Times New Roman" w:cs="Times New Roman"/>
          <w:sz w:val="24"/>
          <w:szCs w:val="24"/>
        </w:rPr>
        <w:t xml:space="preserve"> atstumt</w:t>
      </w:r>
      <w:r w:rsidR="00132F0A">
        <w:rPr>
          <w:rFonts w:ascii="Times New Roman" w:hAnsi="Times New Roman" w:cs="Times New Roman"/>
          <w:sz w:val="24"/>
          <w:szCs w:val="24"/>
        </w:rPr>
        <w:t>i</w:t>
      </w:r>
      <w:r w:rsidR="00766456">
        <w:rPr>
          <w:rFonts w:ascii="Times New Roman" w:hAnsi="Times New Roman" w:cs="Times New Roman"/>
          <w:sz w:val="24"/>
          <w:szCs w:val="24"/>
        </w:rPr>
        <w:t xml:space="preserve"> no tiesībām uz mantojuma daļu.</w:t>
      </w:r>
      <w:r w:rsidR="00622F8D">
        <w:rPr>
          <w:rFonts w:ascii="Times New Roman" w:hAnsi="Times New Roman" w:cs="Times New Roman"/>
          <w:sz w:val="24"/>
          <w:szCs w:val="24"/>
        </w:rPr>
        <w:t xml:space="preserve"> </w:t>
      </w:r>
      <w:r w:rsidR="00766456">
        <w:rPr>
          <w:rFonts w:ascii="Times New Roman" w:hAnsi="Times New Roman" w:cs="Times New Roman"/>
          <w:sz w:val="24"/>
          <w:szCs w:val="24"/>
        </w:rPr>
        <w:t>Ievērojot minēto</w:t>
      </w:r>
      <w:r w:rsidR="00622F8D">
        <w:rPr>
          <w:rFonts w:ascii="Times New Roman" w:hAnsi="Times New Roman" w:cs="Times New Roman"/>
          <w:sz w:val="24"/>
          <w:szCs w:val="24"/>
        </w:rPr>
        <w:t xml:space="preserve">, atbilstoši Civillikuma 16. panta tiesiskajam regulējumam pušu starpā pastāvošais strīds par mantojuma tiesībām uz mantojumu, kas atrodas Latvijā, ir izšķirams, piemērojot Latvijas </w:t>
      </w:r>
      <w:r w:rsidR="00447ABB">
        <w:rPr>
          <w:rFonts w:ascii="Times New Roman" w:hAnsi="Times New Roman" w:cs="Times New Roman"/>
          <w:sz w:val="24"/>
          <w:szCs w:val="24"/>
        </w:rPr>
        <w:t>likumu</w:t>
      </w:r>
      <w:r w:rsidR="00622F8D">
        <w:rPr>
          <w:rFonts w:ascii="Times New Roman" w:hAnsi="Times New Roman" w:cs="Times New Roman"/>
          <w:sz w:val="24"/>
          <w:szCs w:val="24"/>
        </w:rPr>
        <w:t>.</w:t>
      </w:r>
    </w:p>
    <w:p w14:paraId="4B4BCA74" w14:textId="5DA5A412" w:rsidR="007B5DAA" w:rsidRPr="003E24E8" w:rsidRDefault="004C788C" w:rsidP="00027E06">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Pamatojoties uz šo </w:t>
      </w:r>
      <w:r w:rsidR="00F344B2">
        <w:rPr>
          <w:rFonts w:ascii="Times New Roman" w:hAnsi="Times New Roman" w:cs="Times New Roman"/>
          <w:sz w:val="24"/>
          <w:szCs w:val="24"/>
        </w:rPr>
        <w:t>kolīziju</w:t>
      </w:r>
      <w:r>
        <w:rPr>
          <w:rFonts w:ascii="Times New Roman" w:hAnsi="Times New Roman" w:cs="Times New Roman"/>
          <w:sz w:val="24"/>
          <w:szCs w:val="24"/>
        </w:rPr>
        <w:t xml:space="preserve"> normu,</w:t>
      </w:r>
      <w:r w:rsidR="00766456">
        <w:rPr>
          <w:rFonts w:ascii="Times New Roman" w:hAnsi="Times New Roman" w:cs="Times New Roman"/>
          <w:sz w:val="24"/>
          <w:szCs w:val="24"/>
        </w:rPr>
        <w:t xml:space="preserve"> apgabaltiesa atzinusi, ka </w:t>
      </w:r>
      <w:r w:rsidR="00447ABB">
        <w:rPr>
          <w:rFonts w:ascii="Times New Roman" w:hAnsi="Times New Roman" w:cs="Times New Roman"/>
          <w:sz w:val="24"/>
          <w:szCs w:val="24"/>
        </w:rPr>
        <w:t xml:space="preserve">Latvijas </w:t>
      </w:r>
      <w:r w:rsidR="00F344B2">
        <w:rPr>
          <w:rFonts w:ascii="Times New Roman" w:hAnsi="Times New Roman" w:cs="Times New Roman"/>
          <w:sz w:val="24"/>
          <w:szCs w:val="24"/>
        </w:rPr>
        <w:t>tiesiskajā regulējumā</w:t>
      </w:r>
      <w:r>
        <w:rPr>
          <w:rFonts w:ascii="Times New Roman" w:hAnsi="Times New Roman" w:cs="Times New Roman"/>
          <w:sz w:val="24"/>
          <w:szCs w:val="24"/>
        </w:rPr>
        <w:t xml:space="preserve"> paredzētais testatora gribas ierobežojums</w:t>
      </w:r>
      <w:r w:rsidR="00056B2A">
        <w:rPr>
          <w:rFonts w:ascii="Times New Roman" w:hAnsi="Times New Roman" w:cs="Times New Roman"/>
          <w:sz w:val="24"/>
          <w:szCs w:val="24"/>
        </w:rPr>
        <w:t xml:space="preserve">, kas izpaužas kā neatņemamās daļas izdalīšana </w:t>
      </w:r>
      <w:r w:rsidR="00056B2A" w:rsidRPr="003E24E8">
        <w:rPr>
          <w:rFonts w:ascii="Times New Roman" w:hAnsi="Times New Roman" w:cs="Times New Roman"/>
          <w:sz w:val="24"/>
          <w:szCs w:val="24"/>
        </w:rPr>
        <w:t xml:space="preserve">no </w:t>
      </w:r>
      <w:r w:rsidR="00801720" w:rsidRPr="003E24E8">
        <w:rPr>
          <w:rFonts w:ascii="Times New Roman" w:hAnsi="Times New Roman" w:cs="Times New Roman"/>
          <w:sz w:val="24"/>
          <w:szCs w:val="24"/>
        </w:rPr>
        <w:t xml:space="preserve">piešķirtā </w:t>
      </w:r>
      <w:r w:rsidR="00056B2A" w:rsidRPr="003E24E8">
        <w:rPr>
          <w:rFonts w:ascii="Times New Roman" w:hAnsi="Times New Roman" w:cs="Times New Roman"/>
          <w:sz w:val="24"/>
          <w:szCs w:val="24"/>
        </w:rPr>
        <w:t>mantojuma,</w:t>
      </w:r>
      <w:r w:rsidRPr="003E24E8">
        <w:rPr>
          <w:rFonts w:ascii="Times New Roman" w:hAnsi="Times New Roman" w:cs="Times New Roman"/>
          <w:sz w:val="24"/>
          <w:szCs w:val="24"/>
        </w:rPr>
        <w:t xml:space="preserve"> var tikt piemērots tikai attiecībā uz Latvijā esošo mantojuma daļu.</w:t>
      </w:r>
      <w:r w:rsidR="007B5DAA" w:rsidRPr="003E24E8">
        <w:rPr>
          <w:rFonts w:ascii="Times New Roman" w:hAnsi="Times New Roman" w:cs="Times New Roman"/>
          <w:sz w:val="24"/>
          <w:szCs w:val="24"/>
        </w:rPr>
        <w:t xml:space="preserve"> </w:t>
      </w:r>
      <w:r w:rsidR="00B73F76" w:rsidRPr="003E24E8">
        <w:rPr>
          <w:rFonts w:ascii="Times New Roman" w:hAnsi="Times New Roman" w:cs="Times New Roman"/>
          <w:sz w:val="24"/>
          <w:szCs w:val="24"/>
        </w:rPr>
        <w:t>Tāpat ņemts vērā</w:t>
      </w:r>
      <w:r w:rsidR="00C630D5" w:rsidRPr="003E24E8">
        <w:rPr>
          <w:rFonts w:ascii="Times New Roman" w:hAnsi="Times New Roman" w:cs="Times New Roman"/>
          <w:sz w:val="24"/>
          <w:szCs w:val="24"/>
        </w:rPr>
        <w:t>, ka pārrobežu mantojuma lieta ti</w:t>
      </w:r>
      <w:r w:rsidR="00AF5125" w:rsidRPr="003E24E8">
        <w:rPr>
          <w:rFonts w:ascii="Times New Roman" w:hAnsi="Times New Roman" w:cs="Times New Roman"/>
          <w:sz w:val="24"/>
          <w:szCs w:val="24"/>
        </w:rPr>
        <w:t>ka</w:t>
      </w:r>
      <w:r w:rsidR="00C630D5" w:rsidRPr="003E24E8">
        <w:rPr>
          <w:rFonts w:ascii="Times New Roman" w:hAnsi="Times New Roman" w:cs="Times New Roman"/>
          <w:sz w:val="24"/>
          <w:szCs w:val="24"/>
        </w:rPr>
        <w:t xml:space="preserve"> vesta divās jurisdikcijās, katrā no tām piemērojot attiecīgās valsts likumu</w:t>
      </w:r>
      <w:r w:rsidR="00181138">
        <w:rPr>
          <w:rFonts w:ascii="Times New Roman" w:hAnsi="Times New Roman" w:cs="Times New Roman"/>
          <w:sz w:val="24"/>
          <w:szCs w:val="24"/>
        </w:rPr>
        <w:t xml:space="preserve"> tās teritorijā esošai mantai</w:t>
      </w:r>
      <w:r w:rsidR="00C630D5" w:rsidRPr="003E24E8">
        <w:rPr>
          <w:rFonts w:ascii="Times New Roman" w:hAnsi="Times New Roman" w:cs="Times New Roman"/>
          <w:sz w:val="24"/>
          <w:szCs w:val="24"/>
        </w:rPr>
        <w:t xml:space="preserve">. </w:t>
      </w:r>
    </w:p>
    <w:p w14:paraId="337947E5" w14:textId="650B91A8" w:rsidR="00027E06" w:rsidRDefault="00027E06" w:rsidP="00027E06">
      <w:pPr>
        <w:ind w:firstLine="709"/>
        <w:contextualSpacing/>
        <w:jc w:val="both"/>
        <w:rPr>
          <w:rFonts w:ascii="Times New Roman" w:hAnsi="Times New Roman" w:cs="Times New Roman"/>
          <w:sz w:val="24"/>
          <w:szCs w:val="24"/>
        </w:rPr>
      </w:pPr>
      <w:r w:rsidRPr="003E24E8">
        <w:rPr>
          <w:rFonts w:ascii="Times New Roman" w:hAnsi="Times New Roman" w:cs="Times New Roman"/>
          <w:sz w:val="24"/>
          <w:szCs w:val="24"/>
        </w:rPr>
        <w:t>Šī apsvēruma dēļ apgabaltiesa nav piešķīrusi</w:t>
      </w:r>
      <w:r>
        <w:rPr>
          <w:rFonts w:ascii="Times New Roman" w:hAnsi="Times New Roman" w:cs="Times New Roman"/>
          <w:sz w:val="24"/>
          <w:szCs w:val="24"/>
        </w:rPr>
        <w:t xml:space="preserve"> tiesisku nozīmi apstāklim, ka ar testamentu prasītājiem ir novēlēta puse no Izraēlā esošā mantojuma</w:t>
      </w:r>
      <w:r w:rsidR="00E751E6">
        <w:rPr>
          <w:rFonts w:ascii="Times New Roman" w:hAnsi="Times New Roman" w:cs="Times New Roman"/>
          <w:sz w:val="24"/>
          <w:szCs w:val="24"/>
        </w:rPr>
        <w:t xml:space="preserve">, norādot, ka </w:t>
      </w:r>
      <w:r w:rsidR="00347013">
        <w:rPr>
          <w:rFonts w:ascii="Times New Roman" w:hAnsi="Times New Roman" w:cs="Times New Roman"/>
          <w:sz w:val="24"/>
          <w:szCs w:val="24"/>
        </w:rPr>
        <w:t>atbilstoši testamentam</w:t>
      </w:r>
      <w:r>
        <w:rPr>
          <w:rFonts w:ascii="Times New Roman" w:hAnsi="Times New Roman" w:cs="Times New Roman"/>
          <w:sz w:val="24"/>
          <w:szCs w:val="24"/>
        </w:rPr>
        <w:t xml:space="preserve"> visa </w:t>
      </w:r>
      <w:r w:rsidR="0010712D">
        <w:rPr>
          <w:rFonts w:ascii="Times New Roman" w:hAnsi="Times New Roman" w:cs="Times New Roman"/>
          <w:sz w:val="24"/>
          <w:szCs w:val="24"/>
        </w:rPr>
        <w:t>ārpus Izraēlas</w:t>
      </w:r>
      <w:r>
        <w:rPr>
          <w:rFonts w:ascii="Times New Roman" w:hAnsi="Times New Roman" w:cs="Times New Roman"/>
          <w:sz w:val="24"/>
          <w:szCs w:val="24"/>
        </w:rPr>
        <w:t xml:space="preserve"> esošā manta ir </w:t>
      </w:r>
      <w:r w:rsidR="00F344B2">
        <w:rPr>
          <w:rFonts w:ascii="Times New Roman" w:hAnsi="Times New Roman" w:cs="Times New Roman"/>
          <w:sz w:val="24"/>
          <w:szCs w:val="24"/>
        </w:rPr>
        <w:t>piešķirta</w:t>
      </w:r>
      <w:r>
        <w:rPr>
          <w:rFonts w:ascii="Times New Roman" w:hAnsi="Times New Roman" w:cs="Times New Roman"/>
          <w:sz w:val="24"/>
          <w:szCs w:val="24"/>
        </w:rPr>
        <w:t xml:space="preserve"> </w:t>
      </w:r>
      <w:r w:rsidR="00E751E6">
        <w:rPr>
          <w:rFonts w:ascii="Times New Roman" w:hAnsi="Times New Roman" w:cs="Times New Roman"/>
          <w:sz w:val="24"/>
          <w:szCs w:val="24"/>
        </w:rPr>
        <w:t xml:space="preserve">tikai </w:t>
      </w:r>
      <w:r>
        <w:rPr>
          <w:rFonts w:ascii="Times New Roman" w:hAnsi="Times New Roman" w:cs="Times New Roman"/>
          <w:sz w:val="24"/>
          <w:szCs w:val="24"/>
        </w:rPr>
        <w:t>atbildētājai</w:t>
      </w:r>
      <w:r w:rsidR="00E751E6">
        <w:rPr>
          <w:rFonts w:ascii="Times New Roman" w:hAnsi="Times New Roman" w:cs="Times New Roman"/>
          <w:sz w:val="24"/>
          <w:szCs w:val="24"/>
        </w:rPr>
        <w:t xml:space="preserve">, secīgi </w:t>
      </w:r>
      <w:r>
        <w:rPr>
          <w:rFonts w:ascii="Times New Roman" w:hAnsi="Times New Roman" w:cs="Times New Roman"/>
          <w:sz w:val="24"/>
          <w:szCs w:val="24"/>
        </w:rPr>
        <w:t xml:space="preserve">prasītāji ir </w:t>
      </w:r>
      <w:r w:rsidR="00AF5125">
        <w:rPr>
          <w:rFonts w:ascii="Times New Roman" w:hAnsi="Times New Roman" w:cs="Times New Roman"/>
          <w:sz w:val="24"/>
          <w:szCs w:val="24"/>
        </w:rPr>
        <w:t xml:space="preserve">pilnībā </w:t>
      </w:r>
      <w:r>
        <w:rPr>
          <w:rFonts w:ascii="Times New Roman" w:hAnsi="Times New Roman" w:cs="Times New Roman"/>
          <w:sz w:val="24"/>
          <w:szCs w:val="24"/>
        </w:rPr>
        <w:t>atstumti no Latvijā esošās mantas mantošanas</w:t>
      </w:r>
      <w:r w:rsidR="00BA7314">
        <w:rPr>
          <w:rFonts w:ascii="Times New Roman" w:hAnsi="Times New Roman" w:cs="Times New Roman"/>
          <w:sz w:val="24"/>
          <w:szCs w:val="24"/>
        </w:rPr>
        <w:t>,</w:t>
      </w:r>
      <w:r w:rsidR="00347013">
        <w:rPr>
          <w:rFonts w:ascii="Times New Roman" w:hAnsi="Times New Roman" w:cs="Times New Roman"/>
          <w:sz w:val="24"/>
          <w:szCs w:val="24"/>
        </w:rPr>
        <w:t xml:space="preserve"> un </w:t>
      </w:r>
      <w:r>
        <w:rPr>
          <w:rFonts w:ascii="Times New Roman" w:hAnsi="Times New Roman" w:cs="Times New Roman"/>
          <w:sz w:val="24"/>
          <w:szCs w:val="24"/>
        </w:rPr>
        <w:t xml:space="preserve">viņiem </w:t>
      </w:r>
      <w:r w:rsidR="00347013">
        <w:rPr>
          <w:rFonts w:ascii="Times New Roman" w:hAnsi="Times New Roman" w:cs="Times New Roman"/>
          <w:sz w:val="24"/>
          <w:szCs w:val="24"/>
        </w:rPr>
        <w:t xml:space="preserve">tā rezultātā </w:t>
      </w:r>
      <w:r w:rsidR="00B73F76">
        <w:rPr>
          <w:rFonts w:ascii="Times New Roman" w:hAnsi="Times New Roman" w:cs="Times New Roman"/>
          <w:sz w:val="24"/>
          <w:szCs w:val="24"/>
        </w:rPr>
        <w:t>radušās</w:t>
      </w:r>
      <w:r>
        <w:rPr>
          <w:rFonts w:ascii="Times New Roman" w:hAnsi="Times New Roman" w:cs="Times New Roman"/>
          <w:sz w:val="24"/>
          <w:szCs w:val="24"/>
        </w:rPr>
        <w:t xml:space="preserve"> tiesības uz neatņemamo daļu</w:t>
      </w:r>
      <w:r w:rsidR="00263E94">
        <w:rPr>
          <w:rFonts w:ascii="Times New Roman" w:hAnsi="Times New Roman" w:cs="Times New Roman"/>
          <w:sz w:val="24"/>
          <w:szCs w:val="24"/>
        </w:rPr>
        <w:t>, kuras aprēķināšanai jāņem vērā vienīgi Latvijā esošā manta</w:t>
      </w:r>
      <w:r>
        <w:rPr>
          <w:rFonts w:ascii="Times New Roman" w:hAnsi="Times New Roman" w:cs="Times New Roman"/>
          <w:sz w:val="24"/>
          <w:szCs w:val="24"/>
        </w:rPr>
        <w:t>.</w:t>
      </w:r>
    </w:p>
    <w:p w14:paraId="5AB92343" w14:textId="6A3FE0B3" w:rsidR="00F344B2" w:rsidRDefault="00027E06" w:rsidP="00F344B2">
      <w:pPr>
        <w:ind w:firstLine="709"/>
        <w:contextualSpacing/>
        <w:jc w:val="both"/>
        <w:rPr>
          <w:rFonts w:ascii="Times New Roman" w:hAnsi="Times New Roman" w:cs="Times New Roman"/>
          <w:sz w:val="24"/>
          <w:szCs w:val="24"/>
        </w:rPr>
      </w:pPr>
      <w:r>
        <w:rPr>
          <w:rFonts w:ascii="Times New Roman" w:hAnsi="Times New Roman" w:cs="Times New Roman"/>
          <w:sz w:val="24"/>
          <w:szCs w:val="24"/>
        </w:rPr>
        <w:t>[1.2] Civillikuma 763. pant</w:t>
      </w:r>
      <w:r w:rsidR="00F344B2">
        <w:rPr>
          <w:rFonts w:ascii="Times New Roman" w:hAnsi="Times New Roman" w:cs="Times New Roman"/>
          <w:sz w:val="24"/>
          <w:szCs w:val="24"/>
        </w:rPr>
        <w:t>a pir</w:t>
      </w:r>
      <w:r w:rsidR="00317578">
        <w:rPr>
          <w:rFonts w:ascii="Times New Roman" w:hAnsi="Times New Roman" w:cs="Times New Roman"/>
          <w:sz w:val="24"/>
          <w:szCs w:val="24"/>
        </w:rPr>
        <w:t xml:space="preserve">mās daļas tiesiskais regulējums neparedz, ka mantojuma atstājēja izdevumi par </w:t>
      </w:r>
      <w:r w:rsidR="00E751E6">
        <w:rPr>
          <w:rFonts w:ascii="Times New Roman" w:hAnsi="Times New Roman" w:cs="Times New Roman"/>
          <w:sz w:val="24"/>
          <w:szCs w:val="24"/>
        </w:rPr>
        <w:t xml:space="preserve">lejupējo </w:t>
      </w:r>
      <w:r w:rsidR="00347013">
        <w:rPr>
          <w:rFonts w:ascii="Times New Roman" w:hAnsi="Times New Roman" w:cs="Times New Roman"/>
          <w:sz w:val="24"/>
          <w:szCs w:val="24"/>
        </w:rPr>
        <w:t xml:space="preserve">aprūpi </w:t>
      </w:r>
      <w:r w:rsidR="00AF5125">
        <w:rPr>
          <w:rFonts w:ascii="Times New Roman" w:hAnsi="Times New Roman" w:cs="Times New Roman"/>
          <w:sz w:val="24"/>
          <w:szCs w:val="24"/>
        </w:rPr>
        <w:t>(</w:t>
      </w:r>
      <w:r w:rsidR="00B73F76">
        <w:rPr>
          <w:rFonts w:ascii="Times New Roman" w:hAnsi="Times New Roman" w:cs="Times New Roman"/>
          <w:sz w:val="24"/>
          <w:szCs w:val="24"/>
        </w:rPr>
        <w:t xml:space="preserve">piemēram, par </w:t>
      </w:r>
      <w:r w:rsidR="00317578">
        <w:rPr>
          <w:rFonts w:ascii="Times New Roman" w:hAnsi="Times New Roman" w:cs="Times New Roman"/>
          <w:sz w:val="24"/>
          <w:szCs w:val="24"/>
        </w:rPr>
        <w:t>ēdienu, apģērbu un mājokli</w:t>
      </w:r>
      <w:r w:rsidR="00347013">
        <w:rPr>
          <w:rFonts w:ascii="Times New Roman" w:hAnsi="Times New Roman" w:cs="Times New Roman"/>
          <w:sz w:val="24"/>
          <w:szCs w:val="24"/>
        </w:rPr>
        <w:t>)</w:t>
      </w:r>
      <w:r w:rsidR="00317578">
        <w:rPr>
          <w:rFonts w:ascii="Times New Roman" w:hAnsi="Times New Roman" w:cs="Times New Roman"/>
          <w:sz w:val="24"/>
          <w:szCs w:val="24"/>
        </w:rPr>
        <w:t xml:space="preserve"> </w:t>
      </w:r>
      <w:r w:rsidR="008443E5">
        <w:rPr>
          <w:rFonts w:ascii="Times New Roman" w:hAnsi="Times New Roman" w:cs="Times New Roman"/>
          <w:sz w:val="24"/>
          <w:szCs w:val="24"/>
        </w:rPr>
        <w:t>ir pievienojami to</w:t>
      </w:r>
      <w:r w:rsidR="00317578">
        <w:rPr>
          <w:rFonts w:ascii="Times New Roman" w:hAnsi="Times New Roman" w:cs="Times New Roman"/>
          <w:sz w:val="24"/>
          <w:szCs w:val="24"/>
        </w:rPr>
        <w:t xml:space="preserve"> mantojuma daļ</w:t>
      </w:r>
      <w:r w:rsidR="008443E5">
        <w:rPr>
          <w:rFonts w:ascii="Times New Roman" w:hAnsi="Times New Roman" w:cs="Times New Roman"/>
          <w:sz w:val="24"/>
          <w:szCs w:val="24"/>
        </w:rPr>
        <w:t>ai</w:t>
      </w:r>
      <w:r w:rsidR="00317578">
        <w:rPr>
          <w:rFonts w:ascii="Times New Roman" w:hAnsi="Times New Roman" w:cs="Times New Roman"/>
          <w:sz w:val="24"/>
          <w:szCs w:val="24"/>
        </w:rPr>
        <w:t xml:space="preserve">, </w:t>
      </w:r>
      <w:r w:rsidR="008443E5">
        <w:rPr>
          <w:rFonts w:ascii="Times New Roman" w:hAnsi="Times New Roman" w:cs="Times New Roman"/>
          <w:sz w:val="24"/>
          <w:szCs w:val="24"/>
        </w:rPr>
        <w:t>ja</w:t>
      </w:r>
      <w:r w:rsidR="00317578">
        <w:rPr>
          <w:rFonts w:ascii="Times New Roman" w:hAnsi="Times New Roman" w:cs="Times New Roman"/>
          <w:sz w:val="24"/>
          <w:szCs w:val="24"/>
        </w:rPr>
        <w:t xml:space="preserve"> lejupējie ir pilngadīgi vai </w:t>
      </w:r>
      <w:r w:rsidR="008443E5">
        <w:rPr>
          <w:rFonts w:ascii="Times New Roman" w:hAnsi="Times New Roman" w:cs="Times New Roman"/>
          <w:sz w:val="24"/>
          <w:szCs w:val="24"/>
        </w:rPr>
        <w:t xml:space="preserve">ir </w:t>
      </w:r>
      <w:r w:rsidR="00E751E6">
        <w:rPr>
          <w:rFonts w:ascii="Times New Roman" w:hAnsi="Times New Roman" w:cs="Times New Roman"/>
          <w:sz w:val="24"/>
          <w:szCs w:val="24"/>
        </w:rPr>
        <w:t>spējīgi</w:t>
      </w:r>
      <w:r w:rsidR="00317578">
        <w:rPr>
          <w:rFonts w:ascii="Times New Roman" w:hAnsi="Times New Roman" w:cs="Times New Roman"/>
          <w:sz w:val="24"/>
          <w:szCs w:val="24"/>
        </w:rPr>
        <w:t xml:space="preserve"> sevi apgādāt. </w:t>
      </w:r>
    </w:p>
    <w:p w14:paraId="235DCFF5" w14:textId="60FFBC0C" w:rsidR="00317578" w:rsidRDefault="00317578" w:rsidP="00317578">
      <w:pPr>
        <w:ind w:firstLine="709"/>
        <w:contextualSpacing/>
        <w:jc w:val="center"/>
        <w:rPr>
          <w:rFonts w:ascii="Times New Roman" w:hAnsi="Times New Roman" w:cs="Times New Roman"/>
          <w:sz w:val="24"/>
          <w:szCs w:val="24"/>
        </w:rPr>
      </w:pPr>
    </w:p>
    <w:p w14:paraId="4DDE1497" w14:textId="1A12E269" w:rsidR="00317578" w:rsidRDefault="00317578" w:rsidP="00317578">
      <w:pPr>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74740C">
        <w:rPr>
          <w:rFonts w:ascii="Times New Roman" w:hAnsi="Times New Roman" w:cs="Times New Roman"/>
          <w:sz w:val="24"/>
          <w:szCs w:val="24"/>
        </w:rPr>
        <w:t xml:space="preserve"> Par </w:t>
      </w:r>
      <w:r w:rsidR="0015087D">
        <w:rPr>
          <w:rFonts w:ascii="Times New Roman" w:hAnsi="Times New Roman" w:cs="Times New Roman"/>
          <w:sz w:val="24"/>
          <w:szCs w:val="24"/>
        </w:rPr>
        <w:t xml:space="preserve">apgabaltiesas </w:t>
      </w:r>
      <w:r w:rsidR="0074740C">
        <w:rPr>
          <w:rFonts w:ascii="Times New Roman" w:hAnsi="Times New Roman" w:cs="Times New Roman"/>
          <w:sz w:val="24"/>
          <w:szCs w:val="24"/>
        </w:rPr>
        <w:t xml:space="preserve">spriedumu atbildētāja iesniegusi kasācijas sūdzību, lūdzot spriedumu atcelt tā </w:t>
      </w:r>
      <w:r w:rsidR="00EF0857">
        <w:rPr>
          <w:rFonts w:ascii="Times New Roman" w:hAnsi="Times New Roman" w:cs="Times New Roman"/>
          <w:sz w:val="24"/>
          <w:szCs w:val="24"/>
        </w:rPr>
        <w:t>apmierinātajā daļā.</w:t>
      </w:r>
    </w:p>
    <w:p w14:paraId="41589130" w14:textId="0134285B" w:rsidR="00EF0857" w:rsidRDefault="00EF0857" w:rsidP="00317578">
      <w:pPr>
        <w:ind w:firstLine="709"/>
        <w:contextualSpacing/>
        <w:jc w:val="both"/>
        <w:rPr>
          <w:rFonts w:ascii="Times New Roman" w:hAnsi="Times New Roman" w:cs="Times New Roman"/>
          <w:sz w:val="24"/>
          <w:szCs w:val="24"/>
        </w:rPr>
      </w:pPr>
      <w:r>
        <w:rPr>
          <w:rFonts w:ascii="Times New Roman" w:hAnsi="Times New Roman" w:cs="Times New Roman"/>
          <w:sz w:val="24"/>
          <w:szCs w:val="24"/>
        </w:rPr>
        <w:t>Kasācijas sūdzība pamatota ar šādiem argumentiem.</w:t>
      </w:r>
    </w:p>
    <w:p w14:paraId="5ADA8773" w14:textId="7736E690" w:rsidR="007B5DAA" w:rsidRDefault="00EF0857" w:rsidP="00211099">
      <w:pPr>
        <w:ind w:firstLine="709"/>
        <w:contextualSpacing/>
        <w:jc w:val="both"/>
        <w:rPr>
          <w:rFonts w:ascii="Times New Roman" w:hAnsi="Times New Roman" w:cs="Times New Roman"/>
          <w:sz w:val="24"/>
          <w:szCs w:val="24"/>
        </w:rPr>
      </w:pPr>
      <w:r>
        <w:rPr>
          <w:rFonts w:ascii="Times New Roman" w:hAnsi="Times New Roman" w:cs="Times New Roman"/>
          <w:sz w:val="24"/>
          <w:szCs w:val="24"/>
        </w:rPr>
        <w:t>[2.1]</w:t>
      </w:r>
      <w:r w:rsidR="00211099">
        <w:rPr>
          <w:rFonts w:ascii="Times New Roman" w:hAnsi="Times New Roman" w:cs="Times New Roman"/>
          <w:sz w:val="24"/>
          <w:szCs w:val="24"/>
        </w:rPr>
        <w:t> </w:t>
      </w:r>
      <w:r w:rsidR="00980683">
        <w:rPr>
          <w:rFonts w:ascii="Times New Roman" w:hAnsi="Times New Roman" w:cs="Times New Roman"/>
          <w:sz w:val="24"/>
          <w:szCs w:val="24"/>
        </w:rPr>
        <w:t>Tiesa,</w:t>
      </w:r>
      <w:r w:rsidR="007C06EA">
        <w:rPr>
          <w:rFonts w:ascii="Times New Roman" w:hAnsi="Times New Roman" w:cs="Times New Roman"/>
          <w:sz w:val="24"/>
          <w:szCs w:val="24"/>
        </w:rPr>
        <w:t xml:space="preserve"> atsaucoties uz Civillikuma 16. pantu</w:t>
      </w:r>
      <w:r w:rsidR="00980683">
        <w:rPr>
          <w:rFonts w:ascii="Times New Roman" w:hAnsi="Times New Roman" w:cs="Times New Roman"/>
          <w:sz w:val="24"/>
          <w:szCs w:val="24"/>
        </w:rPr>
        <w:t>, nepamatoti</w:t>
      </w:r>
      <w:r w:rsidR="007C06EA">
        <w:rPr>
          <w:rFonts w:ascii="Times New Roman" w:hAnsi="Times New Roman" w:cs="Times New Roman"/>
          <w:sz w:val="24"/>
          <w:szCs w:val="24"/>
        </w:rPr>
        <w:t xml:space="preserve"> sašaurinājusi Civillikuma 382. panta tvērumu, kā rezultātā nonākusi </w:t>
      </w:r>
      <w:r w:rsidR="003E24E8">
        <w:rPr>
          <w:rFonts w:ascii="Times New Roman" w:hAnsi="Times New Roman" w:cs="Times New Roman"/>
          <w:sz w:val="24"/>
          <w:szCs w:val="24"/>
        </w:rPr>
        <w:t>pie</w:t>
      </w:r>
      <w:r w:rsidR="007C06EA">
        <w:rPr>
          <w:rFonts w:ascii="Times New Roman" w:hAnsi="Times New Roman" w:cs="Times New Roman"/>
          <w:sz w:val="24"/>
          <w:szCs w:val="24"/>
        </w:rPr>
        <w:t xml:space="preserve"> kļūdaina secinājuma, ka </w:t>
      </w:r>
      <w:r w:rsidR="00347013">
        <w:rPr>
          <w:rFonts w:ascii="Times New Roman" w:hAnsi="Times New Roman" w:cs="Times New Roman"/>
          <w:sz w:val="24"/>
          <w:szCs w:val="24"/>
        </w:rPr>
        <w:t>mantojums</w:t>
      </w:r>
      <w:r w:rsidR="008443E5">
        <w:rPr>
          <w:rFonts w:ascii="Times New Roman" w:hAnsi="Times New Roman" w:cs="Times New Roman"/>
          <w:sz w:val="24"/>
          <w:szCs w:val="24"/>
        </w:rPr>
        <w:t xml:space="preserve"> kā kopība var tikt dalīt</w:t>
      </w:r>
      <w:r w:rsidR="005174FD">
        <w:rPr>
          <w:rFonts w:ascii="Times New Roman" w:hAnsi="Times New Roman" w:cs="Times New Roman"/>
          <w:sz w:val="24"/>
          <w:szCs w:val="24"/>
        </w:rPr>
        <w:t>s</w:t>
      </w:r>
      <w:r w:rsidR="008443E5">
        <w:rPr>
          <w:rFonts w:ascii="Times New Roman" w:hAnsi="Times New Roman" w:cs="Times New Roman"/>
          <w:sz w:val="24"/>
          <w:szCs w:val="24"/>
        </w:rPr>
        <w:t xml:space="preserve"> atkarībā no </w:t>
      </w:r>
      <w:r w:rsidR="00980683">
        <w:rPr>
          <w:rFonts w:ascii="Times New Roman" w:hAnsi="Times New Roman" w:cs="Times New Roman"/>
          <w:sz w:val="24"/>
          <w:szCs w:val="24"/>
        </w:rPr>
        <w:t>mantas</w:t>
      </w:r>
      <w:r w:rsidR="008443E5">
        <w:rPr>
          <w:rFonts w:ascii="Times New Roman" w:hAnsi="Times New Roman" w:cs="Times New Roman"/>
          <w:sz w:val="24"/>
          <w:szCs w:val="24"/>
        </w:rPr>
        <w:t xml:space="preserve"> atrašanās vietas</w:t>
      </w:r>
      <w:r w:rsidR="00347013">
        <w:rPr>
          <w:rFonts w:ascii="Times New Roman" w:hAnsi="Times New Roman" w:cs="Times New Roman"/>
          <w:sz w:val="24"/>
          <w:szCs w:val="24"/>
        </w:rPr>
        <w:t xml:space="preserve">. </w:t>
      </w:r>
    </w:p>
    <w:p w14:paraId="15E474CC" w14:textId="73E64DFB" w:rsidR="00211099" w:rsidRDefault="006B6DB2" w:rsidP="007C06EA">
      <w:pPr>
        <w:ind w:firstLine="709"/>
        <w:contextualSpacing/>
        <w:jc w:val="both"/>
        <w:rPr>
          <w:rFonts w:ascii="Times New Roman" w:hAnsi="Times New Roman" w:cs="Times New Roman"/>
          <w:sz w:val="24"/>
          <w:szCs w:val="24"/>
        </w:rPr>
      </w:pPr>
      <w:r>
        <w:rPr>
          <w:rFonts w:ascii="Times New Roman" w:hAnsi="Times New Roman" w:cs="Times New Roman"/>
          <w:sz w:val="24"/>
          <w:szCs w:val="24"/>
        </w:rPr>
        <w:t>M</w:t>
      </w:r>
      <w:r w:rsidR="00211099">
        <w:rPr>
          <w:rFonts w:ascii="Times New Roman" w:hAnsi="Times New Roman" w:cs="Times New Roman"/>
          <w:sz w:val="24"/>
          <w:szCs w:val="24"/>
        </w:rPr>
        <w:t>antas</w:t>
      </w:r>
      <w:r w:rsidR="00980683">
        <w:rPr>
          <w:rFonts w:ascii="Times New Roman" w:hAnsi="Times New Roman" w:cs="Times New Roman"/>
          <w:sz w:val="24"/>
          <w:szCs w:val="24"/>
        </w:rPr>
        <w:t>, kas atrodas Izraēlā</w:t>
      </w:r>
      <w:r>
        <w:rPr>
          <w:rFonts w:ascii="Times New Roman" w:hAnsi="Times New Roman" w:cs="Times New Roman"/>
          <w:sz w:val="24"/>
          <w:szCs w:val="24"/>
        </w:rPr>
        <w:t xml:space="preserve"> un mantota saskaņā ar Izraēlas likumu,</w:t>
      </w:r>
      <w:r w:rsidR="00211099">
        <w:rPr>
          <w:rFonts w:ascii="Times New Roman" w:hAnsi="Times New Roman" w:cs="Times New Roman"/>
          <w:sz w:val="24"/>
          <w:szCs w:val="24"/>
        </w:rPr>
        <w:t xml:space="preserve"> ieskaitīšana </w:t>
      </w:r>
      <w:r w:rsidR="002C44AA">
        <w:rPr>
          <w:rFonts w:ascii="Times New Roman" w:hAnsi="Times New Roman" w:cs="Times New Roman"/>
          <w:sz w:val="24"/>
          <w:szCs w:val="24"/>
        </w:rPr>
        <w:t>[pers. D]</w:t>
      </w:r>
      <w:r w:rsidR="00980683">
        <w:rPr>
          <w:rFonts w:ascii="Times New Roman" w:hAnsi="Times New Roman" w:cs="Times New Roman"/>
          <w:sz w:val="24"/>
          <w:szCs w:val="24"/>
        </w:rPr>
        <w:t xml:space="preserve"> </w:t>
      </w:r>
      <w:r w:rsidR="00211099">
        <w:rPr>
          <w:rFonts w:ascii="Times New Roman" w:hAnsi="Times New Roman" w:cs="Times New Roman"/>
          <w:sz w:val="24"/>
          <w:szCs w:val="24"/>
        </w:rPr>
        <w:t xml:space="preserve">mantojuma masā, lai atbilstoši </w:t>
      </w:r>
      <w:r>
        <w:rPr>
          <w:rFonts w:ascii="Times New Roman" w:hAnsi="Times New Roman" w:cs="Times New Roman"/>
          <w:sz w:val="24"/>
          <w:szCs w:val="24"/>
        </w:rPr>
        <w:t>Latvijas likumam (</w:t>
      </w:r>
      <w:r w:rsidR="00211099">
        <w:rPr>
          <w:rFonts w:ascii="Times New Roman" w:hAnsi="Times New Roman" w:cs="Times New Roman"/>
          <w:sz w:val="24"/>
          <w:szCs w:val="24"/>
        </w:rPr>
        <w:t>Civillikuma 425. pantam</w:t>
      </w:r>
      <w:r>
        <w:rPr>
          <w:rFonts w:ascii="Times New Roman" w:hAnsi="Times New Roman" w:cs="Times New Roman"/>
          <w:sz w:val="24"/>
          <w:szCs w:val="24"/>
        </w:rPr>
        <w:t>)</w:t>
      </w:r>
      <w:r w:rsidR="00211099">
        <w:rPr>
          <w:rFonts w:ascii="Times New Roman" w:hAnsi="Times New Roman" w:cs="Times New Roman"/>
          <w:sz w:val="24"/>
          <w:szCs w:val="24"/>
        </w:rPr>
        <w:t xml:space="preserve"> noteiktu </w:t>
      </w:r>
      <w:r>
        <w:rPr>
          <w:rFonts w:ascii="Times New Roman" w:hAnsi="Times New Roman" w:cs="Times New Roman"/>
          <w:sz w:val="24"/>
          <w:szCs w:val="24"/>
        </w:rPr>
        <w:t xml:space="preserve">prasītāju </w:t>
      </w:r>
      <w:r w:rsidR="00211099">
        <w:rPr>
          <w:rFonts w:ascii="Times New Roman" w:hAnsi="Times New Roman" w:cs="Times New Roman"/>
          <w:sz w:val="24"/>
          <w:szCs w:val="24"/>
        </w:rPr>
        <w:t>neatņemamās daļas vērtību</w:t>
      </w:r>
      <w:r>
        <w:rPr>
          <w:rFonts w:ascii="Times New Roman" w:hAnsi="Times New Roman" w:cs="Times New Roman"/>
          <w:sz w:val="24"/>
          <w:szCs w:val="24"/>
        </w:rPr>
        <w:t xml:space="preserve"> no visa atstātā mantojuma</w:t>
      </w:r>
      <w:r w:rsidR="00211099">
        <w:rPr>
          <w:rFonts w:ascii="Times New Roman" w:hAnsi="Times New Roman" w:cs="Times New Roman"/>
          <w:sz w:val="24"/>
          <w:szCs w:val="24"/>
        </w:rPr>
        <w:t xml:space="preserve">, </w:t>
      </w:r>
      <w:r>
        <w:rPr>
          <w:rFonts w:ascii="Times New Roman" w:hAnsi="Times New Roman" w:cs="Times New Roman"/>
          <w:sz w:val="24"/>
          <w:szCs w:val="24"/>
        </w:rPr>
        <w:t>nekādā veidā neietekmē Izraelā esošo mantojuma daļu. Tiesas rīcība atbilstoši Latvijas likumam nevar tikt tulkota</w:t>
      </w:r>
      <w:r w:rsidR="00116DAD">
        <w:rPr>
          <w:rFonts w:ascii="Times New Roman" w:hAnsi="Times New Roman" w:cs="Times New Roman"/>
          <w:sz w:val="24"/>
          <w:szCs w:val="24"/>
        </w:rPr>
        <w:t xml:space="preserve"> kā</w:t>
      </w:r>
      <w:r>
        <w:rPr>
          <w:rFonts w:ascii="Times New Roman" w:hAnsi="Times New Roman" w:cs="Times New Roman"/>
          <w:sz w:val="24"/>
          <w:szCs w:val="24"/>
        </w:rPr>
        <w:t xml:space="preserve"> </w:t>
      </w:r>
      <w:r w:rsidR="00211099">
        <w:rPr>
          <w:rFonts w:ascii="Times New Roman" w:hAnsi="Times New Roman" w:cs="Times New Roman"/>
          <w:sz w:val="24"/>
          <w:szCs w:val="24"/>
        </w:rPr>
        <w:t xml:space="preserve">tiesas kompetences pārkāpums. </w:t>
      </w:r>
    </w:p>
    <w:p w14:paraId="0CF21ABC" w14:textId="65254E4C" w:rsidR="005A199C" w:rsidRDefault="00873C86" w:rsidP="00873C86">
      <w:pPr>
        <w:ind w:firstLine="709"/>
        <w:contextualSpacing/>
        <w:jc w:val="both"/>
        <w:rPr>
          <w:rFonts w:ascii="Times New Roman" w:hAnsi="Times New Roman" w:cs="Times New Roman"/>
          <w:sz w:val="24"/>
          <w:szCs w:val="24"/>
        </w:rPr>
      </w:pPr>
      <w:r>
        <w:rPr>
          <w:rFonts w:ascii="Times New Roman" w:hAnsi="Times New Roman" w:cs="Times New Roman"/>
          <w:sz w:val="24"/>
          <w:szCs w:val="24"/>
        </w:rPr>
        <w:t>[2.2]</w:t>
      </w:r>
      <w:r w:rsidR="00E734F3">
        <w:rPr>
          <w:rFonts w:ascii="Times New Roman" w:hAnsi="Times New Roman" w:cs="Times New Roman"/>
          <w:sz w:val="24"/>
          <w:szCs w:val="24"/>
        </w:rPr>
        <w:t> </w:t>
      </w:r>
      <w:r w:rsidR="005A199C">
        <w:rPr>
          <w:rFonts w:ascii="Times New Roman" w:hAnsi="Times New Roman" w:cs="Times New Roman"/>
          <w:sz w:val="24"/>
          <w:szCs w:val="24"/>
        </w:rPr>
        <w:t>Apgabaltiesa nepamatoti aprobežoju</w:t>
      </w:r>
      <w:r w:rsidR="003E24E8">
        <w:rPr>
          <w:rFonts w:ascii="Times New Roman" w:hAnsi="Times New Roman" w:cs="Times New Roman"/>
          <w:sz w:val="24"/>
          <w:szCs w:val="24"/>
        </w:rPr>
        <w:t>s</w:t>
      </w:r>
      <w:r w:rsidR="005A199C">
        <w:rPr>
          <w:rFonts w:ascii="Times New Roman" w:hAnsi="Times New Roman" w:cs="Times New Roman"/>
          <w:sz w:val="24"/>
          <w:szCs w:val="24"/>
        </w:rPr>
        <w:t xml:space="preserve">ies ar Civillikuma 763. pantā ietvertās tiesību normas gramatisko interpretāciju, neņemot vērā, ka </w:t>
      </w:r>
      <w:r w:rsidR="000E4F45">
        <w:rPr>
          <w:rFonts w:ascii="Times New Roman" w:hAnsi="Times New Roman" w:cs="Times New Roman"/>
          <w:sz w:val="24"/>
          <w:szCs w:val="24"/>
        </w:rPr>
        <w:t>šī tiesību norma</w:t>
      </w:r>
      <w:r w:rsidR="00801720">
        <w:rPr>
          <w:rFonts w:ascii="Times New Roman" w:hAnsi="Times New Roman" w:cs="Times New Roman"/>
          <w:sz w:val="24"/>
          <w:szCs w:val="24"/>
        </w:rPr>
        <w:t xml:space="preserve"> ir vērtējama</w:t>
      </w:r>
      <w:r w:rsidR="005A199C">
        <w:rPr>
          <w:rFonts w:ascii="Times New Roman" w:hAnsi="Times New Roman" w:cs="Times New Roman"/>
          <w:sz w:val="24"/>
          <w:szCs w:val="24"/>
        </w:rPr>
        <w:t xml:space="preserve"> kopsakarā ar ģimenes tiesību regulējumu.</w:t>
      </w:r>
    </w:p>
    <w:p w14:paraId="63451491" w14:textId="67D0ADDF" w:rsidR="005A210E" w:rsidRPr="005A199C" w:rsidRDefault="00873C86" w:rsidP="005A199C">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Attiecīgi atbilstoši Civillikuma 177. un 179. pantam bērna aprūpe un uzraudzība ir vecāka pienākums līdz brīdim, kamēr bērns pats sevi ir spējīgs apgādāt, </w:t>
      </w:r>
      <w:r w:rsidR="00E734F3">
        <w:rPr>
          <w:rFonts w:ascii="Times New Roman" w:hAnsi="Times New Roman" w:cs="Times New Roman"/>
          <w:sz w:val="24"/>
          <w:szCs w:val="24"/>
        </w:rPr>
        <w:t xml:space="preserve">secīgi uz mantojuma atstājēja vēlāk sniegto finansiālo atbalstu attiecas iepriekš saņemtā pievienojums, kas ir ieskaitāms neatņemamajā daļā. </w:t>
      </w:r>
    </w:p>
    <w:p w14:paraId="53976536" w14:textId="585A7A94" w:rsidR="005A210E" w:rsidRPr="0069012C" w:rsidRDefault="005A210E" w:rsidP="0069012C">
      <w:pPr>
        <w:jc w:val="center"/>
        <w:rPr>
          <w:rFonts w:ascii="Times New Roman" w:hAnsi="Times New Roman" w:cs="Times New Roman"/>
          <w:b/>
          <w:sz w:val="24"/>
          <w:szCs w:val="24"/>
        </w:rPr>
      </w:pPr>
      <w:r>
        <w:rPr>
          <w:rFonts w:ascii="Times New Roman" w:hAnsi="Times New Roman" w:cs="Times New Roman"/>
          <w:b/>
          <w:sz w:val="24"/>
          <w:szCs w:val="24"/>
        </w:rPr>
        <w:t>Motīvu daļa</w:t>
      </w:r>
    </w:p>
    <w:p w14:paraId="1C361EB7" w14:textId="6EFF371A" w:rsidR="005A210E" w:rsidRDefault="006F2B22" w:rsidP="005A210E">
      <w:pPr>
        <w:autoSpaceDE w:val="0"/>
        <w:autoSpaceDN w:val="0"/>
        <w:adjustRightInd w:val="0"/>
        <w:spacing w:after="0"/>
        <w:ind w:firstLine="709"/>
        <w:jc w:val="both"/>
        <w:rPr>
          <w:rFonts w:ascii="Times New Roman" w:eastAsia="Times New Roman" w:hAnsi="Times New Roman" w:cs="Times New Roman"/>
          <w:iCs/>
          <w:sz w:val="24"/>
          <w:szCs w:val="24"/>
          <w:lang w:eastAsia="lv-LV"/>
        </w:rPr>
      </w:pPr>
      <w:r w:rsidRPr="005A210E">
        <w:rPr>
          <w:rFonts w:ascii="Times New Roman" w:hAnsi="Times New Roman" w:cs="Times New Roman"/>
          <w:sz w:val="24"/>
          <w:szCs w:val="24"/>
        </w:rPr>
        <w:lastRenderedPageBreak/>
        <w:t>[</w:t>
      </w:r>
      <w:r w:rsidR="00317578">
        <w:rPr>
          <w:rFonts w:ascii="Times New Roman" w:hAnsi="Times New Roman" w:cs="Times New Roman"/>
          <w:sz w:val="24"/>
          <w:szCs w:val="24"/>
        </w:rPr>
        <w:t>3</w:t>
      </w:r>
      <w:r w:rsidRPr="005A210E">
        <w:rPr>
          <w:rFonts w:ascii="Times New Roman" w:hAnsi="Times New Roman" w:cs="Times New Roman"/>
          <w:sz w:val="24"/>
          <w:szCs w:val="24"/>
        </w:rPr>
        <w:t>]</w:t>
      </w:r>
      <w:r w:rsidR="00D5205A">
        <w:rPr>
          <w:rFonts w:ascii="Times New Roman" w:hAnsi="Times New Roman" w:cs="Times New Roman"/>
          <w:sz w:val="24"/>
          <w:szCs w:val="24"/>
        </w:rPr>
        <w:t> </w:t>
      </w:r>
      <w:r w:rsidR="005A210E" w:rsidRPr="005A210E">
        <w:rPr>
          <w:rFonts w:ascii="Times New Roman" w:eastAsia="Times New Roman" w:hAnsi="Times New Roman" w:cs="Times New Roman"/>
          <w:iCs/>
          <w:sz w:val="24"/>
          <w:szCs w:val="24"/>
          <w:lang w:eastAsia="lv-LV"/>
        </w:rPr>
        <w:t>Pārbaudījis spriedum</w:t>
      </w:r>
      <w:r w:rsidR="00116DAD">
        <w:rPr>
          <w:rFonts w:ascii="Times New Roman" w:eastAsia="Times New Roman" w:hAnsi="Times New Roman" w:cs="Times New Roman"/>
          <w:iCs/>
          <w:sz w:val="24"/>
          <w:szCs w:val="24"/>
          <w:lang w:eastAsia="lv-LV"/>
        </w:rPr>
        <w:t>u</w:t>
      </w:r>
      <w:r w:rsidR="005A210E" w:rsidRPr="005A210E">
        <w:rPr>
          <w:rFonts w:ascii="Times New Roman" w:eastAsia="Times New Roman" w:hAnsi="Times New Roman" w:cs="Times New Roman"/>
          <w:iCs/>
          <w:sz w:val="24"/>
          <w:szCs w:val="24"/>
          <w:lang w:eastAsia="lv-LV"/>
        </w:rPr>
        <w:t xml:space="preserve"> attiecībā uz personu, kura to pārsūdzējusi, un attiecībā uz argumentiem, kas minēti kasācijas sūdzībā, kā to nosaka Civilprocesa likuma 473.</w:t>
      </w:r>
      <w:r w:rsidR="003E24E8">
        <w:rPr>
          <w:rFonts w:ascii="Times New Roman" w:eastAsia="Times New Roman" w:hAnsi="Times New Roman" w:cs="Times New Roman"/>
          <w:iCs/>
          <w:sz w:val="24"/>
          <w:szCs w:val="24"/>
          <w:lang w:eastAsia="lv-LV"/>
        </w:rPr>
        <w:t> </w:t>
      </w:r>
      <w:r w:rsidR="005A210E" w:rsidRPr="005A210E">
        <w:rPr>
          <w:rFonts w:ascii="Times New Roman" w:eastAsia="Times New Roman" w:hAnsi="Times New Roman" w:cs="Times New Roman"/>
          <w:iCs/>
          <w:sz w:val="24"/>
          <w:szCs w:val="24"/>
          <w:lang w:eastAsia="lv-LV"/>
        </w:rPr>
        <w:t xml:space="preserve">panta pirmā daļa, Senāts atzīst, ka spriedums </w:t>
      </w:r>
      <w:r w:rsidR="00062CEB">
        <w:rPr>
          <w:rFonts w:ascii="Times New Roman" w:eastAsia="Times New Roman" w:hAnsi="Times New Roman" w:cs="Times New Roman"/>
          <w:iCs/>
          <w:sz w:val="24"/>
          <w:szCs w:val="24"/>
          <w:lang w:eastAsia="lv-LV"/>
        </w:rPr>
        <w:t xml:space="preserve">daļā, ar kuru apmierināta prasība, ir </w:t>
      </w:r>
      <w:r w:rsidR="005A210E" w:rsidRPr="005A210E">
        <w:rPr>
          <w:rFonts w:ascii="Times New Roman" w:eastAsia="Times New Roman" w:hAnsi="Times New Roman" w:cs="Times New Roman"/>
          <w:iCs/>
          <w:sz w:val="24"/>
          <w:szCs w:val="24"/>
          <w:lang w:eastAsia="lv-LV"/>
        </w:rPr>
        <w:t>atceļams.</w:t>
      </w:r>
    </w:p>
    <w:p w14:paraId="6A549AE8" w14:textId="4AC7B91B" w:rsidR="00FD4343" w:rsidRDefault="00FD4343" w:rsidP="005A210E">
      <w:pPr>
        <w:autoSpaceDE w:val="0"/>
        <w:autoSpaceDN w:val="0"/>
        <w:adjustRightInd w:val="0"/>
        <w:spacing w:after="0"/>
        <w:ind w:firstLine="709"/>
        <w:jc w:val="both"/>
        <w:rPr>
          <w:rFonts w:ascii="Times New Roman" w:eastAsia="Times New Roman" w:hAnsi="Times New Roman" w:cs="Times New Roman"/>
          <w:iCs/>
          <w:sz w:val="24"/>
          <w:szCs w:val="24"/>
          <w:lang w:eastAsia="lv-LV"/>
        </w:rPr>
      </w:pPr>
    </w:p>
    <w:p w14:paraId="5763948F" w14:textId="4299EDE4" w:rsidR="008D77EE" w:rsidRDefault="00FD4343" w:rsidP="00535394">
      <w:pPr>
        <w:autoSpaceDE w:val="0"/>
        <w:autoSpaceDN w:val="0"/>
        <w:adjustRightInd w:val="0"/>
        <w:spacing w:after="0"/>
        <w:ind w:firstLine="709"/>
        <w:jc w:val="both"/>
        <w:rPr>
          <w:rFonts w:ascii="Times New Roman" w:hAnsi="Times New Roman" w:cs="Times New Roman"/>
          <w:sz w:val="24"/>
          <w:szCs w:val="24"/>
        </w:rPr>
      </w:pPr>
      <w:r>
        <w:rPr>
          <w:rFonts w:ascii="Times New Roman" w:eastAsia="Times New Roman" w:hAnsi="Times New Roman" w:cs="Times New Roman"/>
          <w:iCs/>
          <w:sz w:val="24"/>
          <w:szCs w:val="24"/>
          <w:lang w:eastAsia="lv-LV"/>
        </w:rPr>
        <w:t>[4]</w:t>
      </w:r>
      <w:r w:rsidR="00FC3879">
        <w:rPr>
          <w:rFonts w:ascii="Times New Roman" w:eastAsia="Times New Roman" w:hAnsi="Times New Roman" w:cs="Times New Roman"/>
          <w:iCs/>
          <w:sz w:val="24"/>
          <w:szCs w:val="24"/>
          <w:lang w:eastAsia="lv-LV"/>
        </w:rPr>
        <w:t> </w:t>
      </w:r>
      <w:r w:rsidR="008D77EE">
        <w:rPr>
          <w:rFonts w:ascii="Times New Roman" w:hAnsi="Times New Roman" w:cs="Times New Roman"/>
          <w:sz w:val="24"/>
          <w:szCs w:val="24"/>
        </w:rPr>
        <w:t>S</w:t>
      </w:r>
      <w:r w:rsidR="008D77EE" w:rsidRPr="008D77EE">
        <w:rPr>
          <w:rFonts w:ascii="Times New Roman" w:hAnsi="Times New Roman" w:cs="Times New Roman"/>
          <w:sz w:val="24"/>
          <w:szCs w:val="24"/>
        </w:rPr>
        <w:t>tarptautiskās jurisdikcijas pārbaudes posmā tiesa, kurā celta prasība, nevērtē tās pamatotību saskaņā ar valsts tiesību normām, bet vienīgi identificē piesaistes punktus, kas pamato tās jurisdikciju.</w:t>
      </w:r>
    </w:p>
    <w:p w14:paraId="26480FD8" w14:textId="62D9F049" w:rsidR="0071593B" w:rsidRPr="008D77EE" w:rsidRDefault="0071593B" w:rsidP="00535394">
      <w:pPr>
        <w:autoSpaceDE w:val="0"/>
        <w:autoSpaceDN w:val="0"/>
        <w:adjustRightInd w:val="0"/>
        <w:spacing w:after="0"/>
        <w:ind w:firstLine="70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Atbilstoši Latvijas likumam mantojums ir kopība, kurā ietilpst visa kustamā un nekustamā manta, kā arī citiem atdodamās tiesības un saistības, kas mantojuma atstājējam piederējušas viņa nāves laikā, kā to paredz Civillikuma 382.</w:t>
      </w:r>
      <w:r w:rsidR="007E51BB">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pants.</w:t>
      </w:r>
    </w:p>
    <w:p w14:paraId="18FDD5EA" w14:textId="5DE419FA" w:rsidR="00767912" w:rsidRDefault="009862C4" w:rsidP="006122C6">
      <w:pPr>
        <w:autoSpaceDE w:val="0"/>
        <w:autoSpaceDN w:val="0"/>
        <w:adjustRightInd w:val="0"/>
        <w:spacing w:after="0"/>
        <w:ind w:firstLine="70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Civillikuma 16.</w:t>
      </w:r>
      <w:r w:rsidR="007E51BB">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pant</w:t>
      </w:r>
      <w:r w:rsidR="005C3715">
        <w:rPr>
          <w:rFonts w:ascii="Times New Roman" w:eastAsia="Times New Roman" w:hAnsi="Times New Roman" w:cs="Times New Roman"/>
          <w:iCs/>
          <w:sz w:val="24"/>
          <w:szCs w:val="24"/>
          <w:lang w:eastAsia="lv-LV"/>
        </w:rPr>
        <w:t>ā</w:t>
      </w:r>
      <w:r>
        <w:rPr>
          <w:rFonts w:ascii="Times New Roman" w:eastAsia="Times New Roman" w:hAnsi="Times New Roman" w:cs="Times New Roman"/>
          <w:iCs/>
          <w:sz w:val="24"/>
          <w:szCs w:val="24"/>
          <w:lang w:eastAsia="lv-LV"/>
        </w:rPr>
        <w:t xml:space="preserve"> </w:t>
      </w:r>
      <w:r w:rsidR="00BE5379">
        <w:rPr>
          <w:rFonts w:ascii="Times New Roman" w:eastAsia="Times New Roman" w:hAnsi="Times New Roman" w:cs="Times New Roman"/>
          <w:iCs/>
          <w:sz w:val="24"/>
          <w:szCs w:val="24"/>
          <w:lang w:eastAsia="lv-LV"/>
        </w:rPr>
        <w:t>vienpus</w:t>
      </w:r>
      <w:r w:rsidR="00C92163">
        <w:rPr>
          <w:rFonts w:ascii="Times New Roman" w:eastAsia="Times New Roman" w:hAnsi="Times New Roman" w:cs="Times New Roman"/>
          <w:iCs/>
          <w:sz w:val="24"/>
          <w:szCs w:val="24"/>
          <w:lang w:eastAsia="lv-LV"/>
        </w:rPr>
        <w:t>īg</w:t>
      </w:r>
      <w:r w:rsidR="00BA7314">
        <w:rPr>
          <w:rFonts w:ascii="Times New Roman" w:eastAsia="Times New Roman" w:hAnsi="Times New Roman" w:cs="Times New Roman"/>
          <w:iCs/>
          <w:sz w:val="24"/>
          <w:szCs w:val="24"/>
          <w:lang w:eastAsia="lv-LV"/>
        </w:rPr>
        <w:t>i</w:t>
      </w:r>
      <w:r w:rsidR="00BE5379">
        <w:rPr>
          <w:rFonts w:ascii="Times New Roman" w:eastAsia="Times New Roman" w:hAnsi="Times New Roman" w:cs="Times New Roman"/>
          <w:iCs/>
          <w:sz w:val="24"/>
          <w:szCs w:val="24"/>
          <w:lang w:eastAsia="lv-LV"/>
        </w:rPr>
        <w:t xml:space="preserve"> </w:t>
      </w:r>
      <w:r w:rsidR="00BA7314">
        <w:rPr>
          <w:rFonts w:ascii="Times New Roman" w:eastAsia="Times New Roman" w:hAnsi="Times New Roman" w:cs="Times New Roman"/>
          <w:iCs/>
          <w:sz w:val="24"/>
          <w:szCs w:val="24"/>
          <w:lang w:eastAsia="lv-LV"/>
        </w:rPr>
        <w:t xml:space="preserve">ietvertā </w:t>
      </w:r>
      <w:r w:rsidR="002225C6">
        <w:rPr>
          <w:rFonts w:ascii="Times New Roman" w:eastAsia="Times New Roman" w:hAnsi="Times New Roman" w:cs="Times New Roman"/>
          <w:iCs/>
          <w:sz w:val="24"/>
          <w:szCs w:val="24"/>
          <w:lang w:eastAsia="lv-LV"/>
        </w:rPr>
        <w:t xml:space="preserve">starptautisko privāttiesību </w:t>
      </w:r>
      <w:r>
        <w:rPr>
          <w:rFonts w:ascii="Times New Roman" w:eastAsia="Times New Roman" w:hAnsi="Times New Roman" w:cs="Times New Roman"/>
          <w:iCs/>
          <w:sz w:val="24"/>
          <w:szCs w:val="24"/>
          <w:lang w:eastAsia="lv-LV"/>
        </w:rPr>
        <w:t>kolīziju norma</w:t>
      </w:r>
      <w:r w:rsidR="006122C6" w:rsidRPr="006122C6">
        <w:rPr>
          <w:rFonts w:ascii="Times New Roman" w:eastAsia="Times New Roman" w:hAnsi="Times New Roman" w:cs="Times New Roman"/>
          <w:iCs/>
          <w:sz w:val="24"/>
          <w:szCs w:val="24"/>
          <w:lang w:eastAsia="lv-LV"/>
        </w:rPr>
        <w:t xml:space="preserve"> </w:t>
      </w:r>
      <w:r w:rsidR="006122C6">
        <w:rPr>
          <w:rFonts w:ascii="Times New Roman" w:eastAsia="Times New Roman" w:hAnsi="Times New Roman" w:cs="Times New Roman"/>
          <w:iCs/>
          <w:sz w:val="24"/>
          <w:szCs w:val="24"/>
          <w:lang w:eastAsia="lv-LV"/>
        </w:rPr>
        <w:t xml:space="preserve">noteic vienīgi piesaistes kritēriju valstij, kuras materiāltiesiskais regulējums tiks </w:t>
      </w:r>
      <w:r w:rsidR="00C90F19">
        <w:rPr>
          <w:rFonts w:ascii="Times New Roman" w:eastAsia="Times New Roman" w:hAnsi="Times New Roman" w:cs="Times New Roman"/>
          <w:iCs/>
          <w:sz w:val="24"/>
          <w:szCs w:val="24"/>
          <w:lang w:eastAsia="lv-LV"/>
        </w:rPr>
        <w:t xml:space="preserve">piemērots </w:t>
      </w:r>
      <w:r w:rsidR="00BE5379">
        <w:rPr>
          <w:rFonts w:ascii="Times New Roman" w:eastAsia="Times New Roman" w:hAnsi="Times New Roman" w:cs="Times New Roman"/>
          <w:iCs/>
          <w:sz w:val="24"/>
          <w:szCs w:val="24"/>
          <w:lang w:eastAsia="lv-LV"/>
        </w:rPr>
        <w:t>mantojuma tiesīb</w:t>
      </w:r>
      <w:r w:rsidR="006122C6">
        <w:rPr>
          <w:rFonts w:ascii="Times New Roman" w:eastAsia="Times New Roman" w:hAnsi="Times New Roman" w:cs="Times New Roman"/>
          <w:iCs/>
          <w:sz w:val="24"/>
          <w:szCs w:val="24"/>
          <w:lang w:eastAsia="lv-LV"/>
        </w:rPr>
        <w:t xml:space="preserve">ās </w:t>
      </w:r>
      <w:r w:rsidR="00BE5379">
        <w:rPr>
          <w:rFonts w:ascii="Times New Roman" w:eastAsia="Times New Roman" w:hAnsi="Times New Roman" w:cs="Times New Roman"/>
          <w:iCs/>
          <w:sz w:val="24"/>
          <w:szCs w:val="24"/>
          <w:lang w:eastAsia="lv-LV"/>
        </w:rPr>
        <w:t>uz mantojumu, kas atrodas Latvijā</w:t>
      </w:r>
      <w:r w:rsidR="006122C6">
        <w:rPr>
          <w:rFonts w:ascii="Times New Roman" w:eastAsia="Times New Roman" w:hAnsi="Times New Roman" w:cs="Times New Roman"/>
          <w:iCs/>
          <w:sz w:val="24"/>
          <w:szCs w:val="24"/>
          <w:lang w:eastAsia="lv-LV"/>
        </w:rPr>
        <w:t xml:space="preserve">. </w:t>
      </w:r>
      <w:r w:rsidR="00E65695">
        <w:rPr>
          <w:rFonts w:ascii="Times New Roman" w:eastAsia="Times New Roman" w:hAnsi="Times New Roman" w:cs="Times New Roman"/>
          <w:iCs/>
          <w:sz w:val="24"/>
          <w:szCs w:val="24"/>
          <w:lang w:eastAsia="lv-LV"/>
        </w:rPr>
        <w:t>Šī norma ne</w:t>
      </w:r>
      <w:r w:rsidR="00A327D3">
        <w:rPr>
          <w:rFonts w:ascii="Times New Roman" w:eastAsia="Times New Roman" w:hAnsi="Times New Roman" w:cs="Times New Roman"/>
          <w:iCs/>
          <w:sz w:val="24"/>
          <w:szCs w:val="24"/>
          <w:lang w:eastAsia="lv-LV"/>
        </w:rPr>
        <w:t>pārgroza</w:t>
      </w:r>
      <w:r w:rsidR="00E65695">
        <w:rPr>
          <w:rFonts w:ascii="Times New Roman" w:eastAsia="Times New Roman" w:hAnsi="Times New Roman" w:cs="Times New Roman"/>
          <w:iCs/>
          <w:sz w:val="24"/>
          <w:szCs w:val="24"/>
          <w:lang w:eastAsia="lv-LV"/>
        </w:rPr>
        <w:t xml:space="preserve"> Latvijas</w:t>
      </w:r>
      <w:r w:rsidR="00A327D3">
        <w:rPr>
          <w:rFonts w:ascii="Times New Roman" w:eastAsia="Times New Roman" w:hAnsi="Times New Roman" w:cs="Times New Roman"/>
          <w:iCs/>
          <w:sz w:val="24"/>
          <w:szCs w:val="24"/>
          <w:lang w:eastAsia="lv-LV"/>
        </w:rPr>
        <w:t xml:space="preserve"> mat</w:t>
      </w:r>
      <w:r w:rsidR="00AA703A">
        <w:rPr>
          <w:rFonts w:ascii="Times New Roman" w:eastAsia="Times New Roman" w:hAnsi="Times New Roman" w:cs="Times New Roman"/>
          <w:iCs/>
          <w:sz w:val="24"/>
          <w:szCs w:val="24"/>
          <w:lang w:eastAsia="lv-LV"/>
        </w:rPr>
        <w:t>e</w:t>
      </w:r>
      <w:r w:rsidR="00A327D3">
        <w:rPr>
          <w:rFonts w:ascii="Times New Roman" w:eastAsia="Times New Roman" w:hAnsi="Times New Roman" w:cs="Times New Roman"/>
          <w:iCs/>
          <w:sz w:val="24"/>
          <w:szCs w:val="24"/>
          <w:lang w:eastAsia="lv-LV"/>
        </w:rPr>
        <w:t>r</w:t>
      </w:r>
      <w:r w:rsidR="00AA703A">
        <w:rPr>
          <w:rFonts w:ascii="Times New Roman" w:eastAsia="Times New Roman" w:hAnsi="Times New Roman" w:cs="Times New Roman"/>
          <w:iCs/>
          <w:sz w:val="24"/>
          <w:szCs w:val="24"/>
          <w:lang w:eastAsia="lv-LV"/>
        </w:rPr>
        <w:t>i</w:t>
      </w:r>
      <w:r w:rsidR="00A327D3">
        <w:rPr>
          <w:rFonts w:ascii="Times New Roman" w:eastAsia="Times New Roman" w:hAnsi="Times New Roman" w:cs="Times New Roman"/>
          <w:iCs/>
          <w:sz w:val="24"/>
          <w:szCs w:val="24"/>
          <w:lang w:eastAsia="lv-LV"/>
        </w:rPr>
        <w:t>āltiesisko regulējumu</w:t>
      </w:r>
      <w:r w:rsidR="00E65695">
        <w:rPr>
          <w:rFonts w:ascii="Times New Roman" w:eastAsia="Times New Roman" w:hAnsi="Times New Roman" w:cs="Times New Roman"/>
          <w:iCs/>
          <w:sz w:val="24"/>
          <w:szCs w:val="24"/>
          <w:lang w:eastAsia="lv-LV"/>
        </w:rPr>
        <w:t xml:space="preserve"> </w:t>
      </w:r>
      <w:r w:rsidR="00A327D3">
        <w:rPr>
          <w:rFonts w:ascii="Times New Roman" w:eastAsia="Times New Roman" w:hAnsi="Times New Roman" w:cs="Times New Roman"/>
          <w:iCs/>
          <w:sz w:val="24"/>
          <w:szCs w:val="24"/>
          <w:lang w:eastAsia="lv-LV"/>
        </w:rPr>
        <w:t xml:space="preserve">un </w:t>
      </w:r>
      <w:r w:rsidR="00E65695">
        <w:rPr>
          <w:rFonts w:ascii="Times New Roman" w:eastAsia="Times New Roman" w:hAnsi="Times New Roman" w:cs="Times New Roman"/>
          <w:iCs/>
          <w:sz w:val="24"/>
          <w:szCs w:val="24"/>
          <w:lang w:eastAsia="lv-LV"/>
        </w:rPr>
        <w:t>tiesiskajā sistēmā pastāvošo izpratni par mantojumu kā nedalāmu kopumu, neatkarīgi no mantas atrašanās vietas.</w:t>
      </w:r>
      <w:r w:rsidR="004371BD">
        <w:rPr>
          <w:rFonts w:ascii="Times New Roman" w:eastAsia="Times New Roman" w:hAnsi="Times New Roman" w:cs="Times New Roman"/>
          <w:iCs/>
          <w:sz w:val="24"/>
          <w:szCs w:val="24"/>
          <w:lang w:eastAsia="lv-LV"/>
        </w:rPr>
        <w:t xml:space="preserve"> </w:t>
      </w:r>
    </w:p>
    <w:p w14:paraId="2BA89D15" w14:textId="412FB1FF" w:rsidR="009862C4" w:rsidRDefault="004371BD" w:rsidP="006122C6">
      <w:pPr>
        <w:autoSpaceDE w:val="0"/>
        <w:autoSpaceDN w:val="0"/>
        <w:adjustRightInd w:val="0"/>
        <w:spacing w:after="0"/>
        <w:ind w:firstLine="709"/>
        <w:jc w:val="both"/>
        <w:rPr>
          <w:rFonts w:ascii="Times New Roman" w:hAnsi="Times New Roman" w:cs="Times New Roman"/>
          <w:sz w:val="24"/>
          <w:szCs w:val="24"/>
        </w:rPr>
      </w:pPr>
      <w:r>
        <w:rPr>
          <w:rFonts w:ascii="Times New Roman" w:eastAsia="Times New Roman" w:hAnsi="Times New Roman" w:cs="Times New Roman"/>
          <w:iCs/>
          <w:sz w:val="24"/>
          <w:szCs w:val="24"/>
          <w:lang w:eastAsia="lv-LV"/>
        </w:rPr>
        <w:t>Tas, ka mantojuma masā ietilpstošā manta atrodas dažādās jurisdikcijās</w:t>
      </w:r>
      <w:r w:rsidR="00AE01FD">
        <w:rPr>
          <w:rFonts w:ascii="Times New Roman" w:eastAsia="Times New Roman" w:hAnsi="Times New Roman" w:cs="Times New Roman"/>
          <w:iCs/>
          <w:sz w:val="24"/>
          <w:szCs w:val="24"/>
          <w:lang w:eastAsia="lv-LV"/>
        </w:rPr>
        <w:t xml:space="preserve"> un </w:t>
      </w:r>
      <w:r>
        <w:rPr>
          <w:rFonts w:ascii="Times New Roman" w:eastAsia="Times New Roman" w:hAnsi="Times New Roman" w:cs="Times New Roman"/>
          <w:iCs/>
          <w:sz w:val="24"/>
          <w:szCs w:val="24"/>
          <w:lang w:eastAsia="lv-LV"/>
        </w:rPr>
        <w:t xml:space="preserve">rīcībai ar mantu </w:t>
      </w:r>
      <w:r w:rsidR="00AE01FD">
        <w:rPr>
          <w:rFonts w:ascii="Times New Roman" w:eastAsia="Times New Roman" w:hAnsi="Times New Roman" w:cs="Times New Roman"/>
          <w:iCs/>
          <w:sz w:val="24"/>
          <w:szCs w:val="24"/>
          <w:lang w:eastAsia="lv-LV"/>
        </w:rPr>
        <w:t xml:space="preserve">nepieciešama tās valsts </w:t>
      </w:r>
      <w:r w:rsidR="00AE01FD" w:rsidRPr="00AE01FD">
        <w:rPr>
          <w:rFonts w:ascii="Times New Roman" w:eastAsia="Times New Roman" w:hAnsi="Times New Roman" w:cs="Times New Roman"/>
          <w:iCs/>
          <w:sz w:val="24"/>
          <w:szCs w:val="24"/>
          <w:lang w:eastAsia="lv-LV"/>
        </w:rPr>
        <w:t>leģitimācija saskaņā ar vietējo likumu, neietekmē jautājumu</w:t>
      </w:r>
      <w:r w:rsidR="00AE01FD">
        <w:rPr>
          <w:rFonts w:ascii="Times New Roman" w:eastAsia="Times New Roman" w:hAnsi="Times New Roman" w:cs="Times New Roman"/>
          <w:iCs/>
          <w:sz w:val="24"/>
          <w:szCs w:val="24"/>
          <w:lang w:eastAsia="lv-LV"/>
        </w:rPr>
        <w:t>, vai</w:t>
      </w:r>
      <w:r w:rsidR="00AE01FD" w:rsidRPr="00AE01FD">
        <w:rPr>
          <w:rFonts w:ascii="Times New Roman" w:eastAsia="Times New Roman" w:hAnsi="Times New Roman" w:cs="Times New Roman"/>
          <w:iCs/>
          <w:sz w:val="24"/>
          <w:szCs w:val="24"/>
          <w:lang w:eastAsia="lv-LV"/>
        </w:rPr>
        <w:t xml:space="preserve"> </w:t>
      </w:r>
      <w:r w:rsidR="00AE01FD" w:rsidRPr="00AE01FD">
        <w:rPr>
          <w:rFonts w:ascii="Times New Roman" w:hAnsi="Times New Roman" w:cs="Times New Roman"/>
          <w:sz w:val="24"/>
          <w:szCs w:val="24"/>
        </w:rPr>
        <w:t>prasītāj</w:t>
      </w:r>
      <w:r w:rsidR="00767912">
        <w:rPr>
          <w:rFonts w:ascii="Times New Roman" w:hAnsi="Times New Roman" w:cs="Times New Roman"/>
          <w:sz w:val="24"/>
          <w:szCs w:val="24"/>
        </w:rPr>
        <w:t>ie</w:t>
      </w:r>
      <w:r w:rsidR="00AE01FD" w:rsidRPr="00AE01FD">
        <w:rPr>
          <w:rFonts w:ascii="Times New Roman" w:hAnsi="Times New Roman" w:cs="Times New Roman"/>
          <w:sz w:val="24"/>
          <w:szCs w:val="24"/>
        </w:rPr>
        <w:t xml:space="preserve">m </w:t>
      </w:r>
      <w:r w:rsidR="00AE01FD">
        <w:rPr>
          <w:rFonts w:ascii="Times New Roman" w:hAnsi="Times New Roman" w:cs="Times New Roman"/>
          <w:sz w:val="24"/>
          <w:szCs w:val="24"/>
        </w:rPr>
        <w:t>pēc Latvijas likuma</w:t>
      </w:r>
      <w:r w:rsidR="00AE01FD" w:rsidRPr="00AE01FD">
        <w:rPr>
          <w:rFonts w:ascii="Times New Roman" w:hAnsi="Times New Roman" w:cs="Times New Roman"/>
          <w:sz w:val="24"/>
          <w:szCs w:val="24"/>
        </w:rPr>
        <w:t xml:space="preserve"> ir materiālā tiesība, kuras aizsardzību vai atjaunošanu viņ</w:t>
      </w:r>
      <w:r w:rsidR="00767912">
        <w:rPr>
          <w:rFonts w:ascii="Times New Roman" w:hAnsi="Times New Roman" w:cs="Times New Roman"/>
          <w:sz w:val="24"/>
          <w:szCs w:val="24"/>
        </w:rPr>
        <w:t>i</w:t>
      </w:r>
      <w:r w:rsidR="00AE01FD" w:rsidRPr="00AE01FD">
        <w:rPr>
          <w:rFonts w:ascii="Times New Roman" w:hAnsi="Times New Roman" w:cs="Times New Roman"/>
          <w:sz w:val="24"/>
          <w:szCs w:val="24"/>
        </w:rPr>
        <w:t xml:space="preserve"> grib panākt</w:t>
      </w:r>
      <w:r w:rsidR="002063F8">
        <w:rPr>
          <w:rFonts w:ascii="Times New Roman" w:hAnsi="Times New Roman" w:cs="Times New Roman"/>
          <w:sz w:val="24"/>
          <w:szCs w:val="24"/>
        </w:rPr>
        <w:t>, un tas nenonāk konfliktā ar ārvalsts likumu</w:t>
      </w:r>
      <w:r w:rsidR="00AE01FD">
        <w:rPr>
          <w:rFonts w:ascii="Times New Roman" w:hAnsi="Times New Roman" w:cs="Times New Roman"/>
          <w:sz w:val="24"/>
          <w:szCs w:val="24"/>
        </w:rPr>
        <w:t>.</w:t>
      </w:r>
    </w:p>
    <w:p w14:paraId="626077B9" w14:textId="77777777" w:rsidR="008D77EE" w:rsidRDefault="004E5B04" w:rsidP="006122C6">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Tiesa, atsaucoties uz pirmskara doktrīnā izteikto atziņu par atteikšanos no mantojuma universalitātes un mantojuma vienības (nedalāmības) principa, nav ņēmusi vērā kontekstu, kādā </w:t>
      </w:r>
      <w:r w:rsidRPr="00C92163">
        <w:rPr>
          <w:rFonts w:ascii="Times New Roman" w:hAnsi="Times New Roman" w:cs="Times New Roman"/>
          <w:sz w:val="24"/>
          <w:szCs w:val="24"/>
        </w:rPr>
        <w:t xml:space="preserve">tā izteikta. </w:t>
      </w:r>
    </w:p>
    <w:p w14:paraId="4F2A21FD" w14:textId="7042FDB6" w:rsidR="009B4DD5" w:rsidRDefault="00EE1AEC" w:rsidP="006122C6">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L</w:t>
      </w:r>
      <w:r w:rsidR="004E5B04" w:rsidRPr="00C92163">
        <w:rPr>
          <w:rFonts w:ascii="Times New Roman" w:hAnsi="Times New Roman" w:cs="Times New Roman"/>
          <w:sz w:val="24"/>
          <w:szCs w:val="24"/>
        </w:rPr>
        <w:t xml:space="preserve">īdz Civillikuma </w:t>
      </w:r>
      <w:r w:rsidR="007E069D">
        <w:rPr>
          <w:rFonts w:ascii="Times New Roman" w:hAnsi="Times New Roman" w:cs="Times New Roman"/>
          <w:sz w:val="24"/>
          <w:szCs w:val="24"/>
        </w:rPr>
        <w:t>regulējumam</w:t>
      </w:r>
      <w:r w:rsidR="004E5B04" w:rsidRPr="00C92163">
        <w:rPr>
          <w:rFonts w:ascii="Times New Roman" w:hAnsi="Times New Roman" w:cs="Times New Roman"/>
          <w:sz w:val="24"/>
          <w:szCs w:val="24"/>
        </w:rPr>
        <w:t xml:space="preserve"> </w:t>
      </w:r>
      <w:r w:rsidR="00C92163" w:rsidRPr="00C92163">
        <w:rPr>
          <w:rFonts w:ascii="Times New Roman" w:hAnsi="Times New Roman" w:cs="Times New Roman"/>
          <w:sz w:val="24"/>
          <w:szCs w:val="24"/>
        </w:rPr>
        <w:t>Baltijas Vietējo likumu kopojuma</w:t>
      </w:r>
      <w:r w:rsidR="00C92163">
        <w:rPr>
          <w:rFonts w:ascii="Times New Roman" w:hAnsi="Times New Roman" w:cs="Times New Roman"/>
          <w:sz w:val="24"/>
          <w:szCs w:val="24"/>
        </w:rPr>
        <w:t xml:space="preserve"> Ievada XXXIV pantā, risinot jautājumu par likuma piemērošanu, ja mantošanas tiesiskajā attiecībā ir </w:t>
      </w:r>
      <w:r>
        <w:rPr>
          <w:rFonts w:ascii="Times New Roman" w:hAnsi="Times New Roman" w:cs="Times New Roman"/>
          <w:sz w:val="24"/>
          <w:szCs w:val="24"/>
        </w:rPr>
        <w:t>pārrobežu</w:t>
      </w:r>
      <w:r w:rsidR="00C92163">
        <w:rPr>
          <w:rFonts w:ascii="Times New Roman" w:hAnsi="Times New Roman" w:cs="Times New Roman"/>
          <w:sz w:val="24"/>
          <w:szCs w:val="24"/>
        </w:rPr>
        <w:t xml:space="preserve"> elements, paredzēja divpusīgu kolīziju normu, proti, aicinājums mantot un mantojuma pieņemšana </w:t>
      </w:r>
      <w:r w:rsidR="00B24BCB">
        <w:rPr>
          <w:rFonts w:ascii="Times New Roman" w:hAnsi="Times New Roman" w:cs="Times New Roman"/>
          <w:sz w:val="24"/>
          <w:szCs w:val="24"/>
        </w:rPr>
        <w:t xml:space="preserve">bija </w:t>
      </w:r>
      <w:r w:rsidR="00C92163">
        <w:rPr>
          <w:rFonts w:ascii="Times New Roman" w:hAnsi="Times New Roman" w:cs="Times New Roman"/>
          <w:sz w:val="24"/>
          <w:szCs w:val="24"/>
        </w:rPr>
        <w:t>apsprie</w:t>
      </w:r>
      <w:r w:rsidR="007E069D">
        <w:rPr>
          <w:rFonts w:ascii="Times New Roman" w:hAnsi="Times New Roman" w:cs="Times New Roman"/>
          <w:sz w:val="24"/>
          <w:szCs w:val="24"/>
        </w:rPr>
        <w:t xml:space="preserve">žama </w:t>
      </w:r>
      <w:r w:rsidR="00C92163">
        <w:rPr>
          <w:rFonts w:ascii="Times New Roman" w:hAnsi="Times New Roman" w:cs="Times New Roman"/>
          <w:sz w:val="24"/>
          <w:szCs w:val="24"/>
        </w:rPr>
        <w:t>pēc tās valsts likuma</w:t>
      </w:r>
      <w:r w:rsidR="007E069D">
        <w:rPr>
          <w:rFonts w:ascii="Times New Roman" w:hAnsi="Times New Roman" w:cs="Times New Roman"/>
          <w:sz w:val="24"/>
          <w:szCs w:val="24"/>
        </w:rPr>
        <w:t>, kur</w:t>
      </w:r>
      <w:r w:rsidR="00BA7314">
        <w:rPr>
          <w:rFonts w:ascii="Times New Roman" w:hAnsi="Times New Roman" w:cs="Times New Roman"/>
          <w:sz w:val="24"/>
          <w:szCs w:val="24"/>
        </w:rPr>
        <w:t>ā</w:t>
      </w:r>
      <w:r w:rsidR="007E069D">
        <w:rPr>
          <w:rFonts w:ascii="Times New Roman" w:hAnsi="Times New Roman" w:cs="Times New Roman"/>
          <w:sz w:val="24"/>
          <w:szCs w:val="24"/>
        </w:rPr>
        <w:t xml:space="preserve"> mantojuma atstājējam bija pēdējā dzīves vieta. Pieņemot Civillikumu, </w:t>
      </w:r>
      <w:r w:rsidR="008D09A5">
        <w:rPr>
          <w:rFonts w:ascii="Times New Roman" w:hAnsi="Times New Roman" w:cs="Times New Roman"/>
          <w:sz w:val="24"/>
          <w:szCs w:val="24"/>
        </w:rPr>
        <w:t xml:space="preserve">likumdevējs </w:t>
      </w:r>
      <w:r w:rsidR="009B4DD5">
        <w:rPr>
          <w:rFonts w:ascii="Times New Roman" w:hAnsi="Times New Roman" w:cs="Times New Roman"/>
          <w:sz w:val="24"/>
          <w:szCs w:val="24"/>
        </w:rPr>
        <w:t>ar Civillikuma ievada 16.</w:t>
      </w:r>
      <w:r w:rsidR="00EB684B">
        <w:rPr>
          <w:rFonts w:ascii="Times New Roman" w:hAnsi="Times New Roman" w:cs="Times New Roman"/>
          <w:sz w:val="24"/>
          <w:szCs w:val="24"/>
        </w:rPr>
        <w:t> </w:t>
      </w:r>
      <w:r w:rsidR="009B4DD5">
        <w:rPr>
          <w:rFonts w:ascii="Times New Roman" w:hAnsi="Times New Roman" w:cs="Times New Roman"/>
          <w:sz w:val="24"/>
          <w:szCs w:val="24"/>
        </w:rPr>
        <w:t xml:space="preserve">pantu </w:t>
      </w:r>
      <w:r w:rsidR="007E069D">
        <w:rPr>
          <w:rFonts w:ascii="Times New Roman" w:hAnsi="Times New Roman" w:cs="Times New Roman"/>
          <w:sz w:val="24"/>
          <w:szCs w:val="24"/>
        </w:rPr>
        <w:t>no šādas pieejas atteicās</w:t>
      </w:r>
      <w:r w:rsidR="00B24BCB">
        <w:rPr>
          <w:rFonts w:ascii="Times New Roman" w:hAnsi="Times New Roman" w:cs="Times New Roman"/>
          <w:sz w:val="24"/>
          <w:szCs w:val="24"/>
        </w:rPr>
        <w:t>, jo starptautisko privāttiesību kolīziju normu</w:t>
      </w:r>
      <w:r>
        <w:rPr>
          <w:rFonts w:ascii="Times New Roman" w:hAnsi="Times New Roman" w:cs="Times New Roman"/>
          <w:sz w:val="24"/>
          <w:szCs w:val="24"/>
        </w:rPr>
        <w:t xml:space="preserve"> regulējums</w:t>
      </w:r>
      <w:r w:rsidR="00B24BCB">
        <w:rPr>
          <w:rFonts w:ascii="Times New Roman" w:hAnsi="Times New Roman" w:cs="Times New Roman"/>
          <w:sz w:val="24"/>
          <w:szCs w:val="24"/>
        </w:rPr>
        <w:t xml:space="preserve">, ja nav starpvalstu vienošanās, izplatās tikai normu pieņēmušās valsts teritorijā. </w:t>
      </w:r>
      <w:r w:rsidR="00A87D29">
        <w:rPr>
          <w:rFonts w:ascii="Times New Roman" w:hAnsi="Times New Roman" w:cs="Times New Roman"/>
          <w:sz w:val="24"/>
          <w:szCs w:val="24"/>
        </w:rPr>
        <w:t xml:space="preserve">Atteikšanās no mantojuma universalitātes principa saprotams </w:t>
      </w:r>
      <w:r>
        <w:rPr>
          <w:rFonts w:ascii="Times New Roman" w:hAnsi="Times New Roman" w:cs="Times New Roman"/>
          <w:sz w:val="24"/>
          <w:szCs w:val="24"/>
        </w:rPr>
        <w:t>šajā pārrobežu kontekstā, atsakoties no ārvalsts likuma piemērošanas attiecībā uz mantu, kas atrodas Latvijā, nodrošinot valsts civiltiesiskās apgrozības aizsardzību</w:t>
      </w:r>
      <w:r w:rsidR="008D77EE">
        <w:rPr>
          <w:rFonts w:ascii="Times New Roman" w:hAnsi="Times New Roman" w:cs="Times New Roman"/>
          <w:sz w:val="24"/>
          <w:szCs w:val="24"/>
        </w:rPr>
        <w:t>. Š</w:t>
      </w:r>
      <w:r w:rsidR="009B4DD5">
        <w:rPr>
          <w:rFonts w:ascii="Times New Roman" w:hAnsi="Times New Roman" w:cs="Times New Roman"/>
          <w:sz w:val="24"/>
          <w:szCs w:val="24"/>
        </w:rPr>
        <w:t>ī norma pēc</w:t>
      </w:r>
      <w:r w:rsidR="00767912">
        <w:rPr>
          <w:rFonts w:ascii="Times New Roman" w:hAnsi="Times New Roman" w:cs="Times New Roman"/>
          <w:sz w:val="24"/>
          <w:szCs w:val="24"/>
        </w:rPr>
        <w:t xml:space="preserve"> tās</w:t>
      </w:r>
      <w:r w:rsidR="009B4DD5">
        <w:rPr>
          <w:rFonts w:ascii="Times New Roman" w:hAnsi="Times New Roman" w:cs="Times New Roman"/>
          <w:sz w:val="24"/>
          <w:szCs w:val="24"/>
        </w:rPr>
        <w:t xml:space="preserve"> pieņemšanas mērķa, kā </w:t>
      </w:r>
      <w:r w:rsidR="00767912">
        <w:rPr>
          <w:rFonts w:ascii="Times New Roman" w:hAnsi="Times New Roman" w:cs="Times New Roman"/>
          <w:sz w:val="24"/>
          <w:szCs w:val="24"/>
        </w:rPr>
        <w:t xml:space="preserve">jau </w:t>
      </w:r>
      <w:r w:rsidR="009B4DD5">
        <w:rPr>
          <w:rFonts w:ascii="Times New Roman" w:hAnsi="Times New Roman" w:cs="Times New Roman"/>
          <w:sz w:val="24"/>
          <w:szCs w:val="24"/>
        </w:rPr>
        <w:t xml:space="preserve">tas minēts iepriekš, neregulē </w:t>
      </w:r>
      <w:r w:rsidR="008D77EE">
        <w:rPr>
          <w:rFonts w:ascii="Times New Roman" w:hAnsi="Times New Roman" w:cs="Times New Roman"/>
          <w:sz w:val="24"/>
          <w:szCs w:val="24"/>
        </w:rPr>
        <w:t xml:space="preserve">Latvijas </w:t>
      </w:r>
      <w:r w:rsidR="009B4DD5">
        <w:rPr>
          <w:rFonts w:ascii="Times New Roman" w:hAnsi="Times New Roman" w:cs="Times New Roman"/>
          <w:sz w:val="24"/>
          <w:szCs w:val="24"/>
        </w:rPr>
        <w:t>materiālās tiesības</w:t>
      </w:r>
      <w:r w:rsidR="008D77EE">
        <w:rPr>
          <w:rFonts w:ascii="Times New Roman" w:hAnsi="Times New Roman" w:cs="Times New Roman"/>
          <w:sz w:val="24"/>
          <w:szCs w:val="24"/>
        </w:rPr>
        <w:t xml:space="preserve">, bet </w:t>
      </w:r>
      <w:r w:rsidR="008D77EE" w:rsidRPr="008D77EE">
        <w:rPr>
          <w:rFonts w:ascii="Times New Roman" w:hAnsi="Times New Roman" w:cs="Times New Roman"/>
          <w:sz w:val="24"/>
          <w:szCs w:val="24"/>
        </w:rPr>
        <w:t>identificē piesaistes punktus, kas pamato</w:t>
      </w:r>
      <w:r w:rsidR="008D77EE">
        <w:rPr>
          <w:rFonts w:ascii="Times New Roman" w:hAnsi="Times New Roman" w:cs="Times New Roman"/>
          <w:sz w:val="24"/>
          <w:szCs w:val="24"/>
        </w:rPr>
        <w:t xml:space="preserve"> strīda pakļautību</w:t>
      </w:r>
      <w:r w:rsidR="008D77EE" w:rsidRPr="008D77EE">
        <w:rPr>
          <w:rFonts w:ascii="Times New Roman" w:hAnsi="Times New Roman" w:cs="Times New Roman"/>
          <w:sz w:val="24"/>
          <w:szCs w:val="24"/>
        </w:rPr>
        <w:t xml:space="preserve"> </w:t>
      </w:r>
      <w:r w:rsidR="008D77EE">
        <w:rPr>
          <w:rFonts w:ascii="Times New Roman" w:hAnsi="Times New Roman" w:cs="Times New Roman"/>
          <w:sz w:val="24"/>
          <w:szCs w:val="24"/>
        </w:rPr>
        <w:t>Latvijas</w:t>
      </w:r>
      <w:r w:rsidR="008D77EE" w:rsidRPr="008D77EE">
        <w:rPr>
          <w:rFonts w:ascii="Times New Roman" w:hAnsi="Times New Roman" w:cs="Times New Roman"/>
          <w:sz w:val="24"/>
          <w:szCs w:val="24"/>
        </w:rPr>
        <w:t xml:space="preserve"> jurisdikcij</w:t>
      </w:r>
      <w:r w:rsidR="008D77EE">
        <w:rPr>
          <w:rFonts w:ascii="Times New Roman" w:hAnsi="Times New Roman" w:cs="Times New Roman"/>
          <w:sz w:val="24"/>
          <w:szCs w:val="24"/>
        </w:rPr>
        <w:t>ai</w:t>
      </w:r>
      <w:r w:rsidR="008D77EE" w:rsidRPr="008D77EE">
        <w:rPr>
          <w:rFonts w:ascii="Times New Roman" w:hAnsi="Times New Roman" w:cs="Times New Roman"/>
          <w:sz w:val="24"/>
          <w:szCs w:val="24"/>
        </w:rPr>
        <w:t>.</w:t>
      </w:r>
    </w:p>
    <w:p w14:paraId="4012884D" w14:textId="77777777" w:rsidR="009B4DD5" w:rsidRDefault="009B4DD5" w:rsidP="00535394">
      <w:pPr>
        <w:autoSpaceDE w:val="0"/>
        <w:autoSpaceDN w:val="0"/>
        <w:adjustRightInd w:val="0"/>
        <w:spacing w:after="0"/>
        <w:ind w:firstLine="709"/>
        <w:jc w:val="both"/>
        <w:rPr>
          <w:rFonts w:ascii="Times New Roman" w:eastAsia="Times New Roman" w:hAnsi="Times New Roman" w:cs="Times New Roman"/>
          <w:iCs/>
          <w:sz w:val="24"/>
          <w:szCs w:val="24"/>
          <w:lang w:eastAsia="lv-LV"/>
        </w:rPr>
      </w:pPr>
    </w:p>
    <w:p w14:paraId="4807ADB8" w14:textId="5AFBF2F3" w:rsidR="00D85287" w:rsidRDefault="00BD6587" w:rsidP="00535394">
      <w:pPr>
        <w:autoSpaceDE w:val="0"/>
        <w:autoSpaceDN w:val="0"/>
        <w:adjustRightInd w:val="0"/>
        <w:spacing w:after="0"/>
        <w:ind w:firstLine="70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 </w:t>
      </w:r>
      <w:r w:rsidR="00D85287">
        <w:rPr>
          <w:rFonts w:ascii="Times New Roman" w:eastAsia="Times New Roman" w:hAnsi="Times New Roman" w:cs="Times New Roman"/>
          <w:iCs/>
          <w:sz w:val="24"/>
          <w:szCs w:val="24"/>
          <w:lang w:eastAsia="lv-LV"/>
        </w:rPr>
        <w:t>Var piekrist tiesas secinājumam, ka Latvijas tiesām nav jurisdikcijas pār mantu, kas atrodas Izraēlā, taču tiesai ir jurisdikcija par pieteikto strīdu, kas izriet no tiesībām uz neatņemam</w:t>
      </w:r>
      <w:r>
        <w:rPr>
          <w:rFonts w:ascii="Times New Roman" w:eastAsia="Times New Roman" w:hAnsi="Times New Roman" w:cs="Times New Roman"/>
          <w:iCs/>
          <w:sz w:val="24"/>
          <w:szCs w:val="24"/>
          <w:lang w:eastAsia="lv-LV"/>
        </w:rPr>
        <w:t>o</w:t>
      </w:r>
      <w:r w:rsidR="00D85287">
        <w:rPr>
          <w:rFonts w:ascii="Times New Roman" w:eastAsia="Times New Roman" w:hAnsi="Times New Roman" w:cs="Times New Roman"/>
          <w:iCs/>
          <w:sz w:val="24"/>
          <w:szCs w:val="24"/>
          <w:lang w:eastAsia="lv-LV"/>
        </w:rPr>
        <w:t xml:space="preserve"> daļu pēc Latvijas likuma</w:t>
      </w:r>
      <w:r w:rsidR="00A327D3">
        <w:rPr>
          <w:rFonts w:ascii="Times New Roman" w:eastAsia="Times New Roman" w:hAnsi="Times New Roman" w:cs="Times New Roman"/>
          <w:iCs/>
          <w:sz w:val="24"/>
          <w:szCs w:val="24"/>
          <w:lang w:eastAsia="lv-LV"/>
        </w:rPr>
        <w:t>, un tiesa, izskatot šādu strīdu, nenodibina, negroza un neizbeidz kādas tiesiskās attiecības uz Izraēlā esošu mantu</w:t>
      </w:r>
      <w:r w:rsidR="0089617B">
        <w:rPr>
          <w:rFonts w:ascii="Times New Roman" w:eastAsia="Times New Roman" w:hAnsi="Times New Roman" w:cs="Times New Roman"/>
          <w:iCs/>
          <w:sz w:val="24"/>
          <w:szCs w:val="24"/>
          <w:lang w:eastAsia="lv-LV"/>
        </w:rPr>
        <w:t xml:space="preserve">, kas ietilpst </w:t>
      </w:r>
      <w:r w:rsidR="00A67756">
        <w:rPr>
          <w:rFonts w:ascii="Times New Roman" w:eastAsia="Times New Roman" w:hAnsi="Times New Roman" w:cs="Times New Roman"/>
          <w:iCs/>
          <w:sz w:val="24"/>
          <w:szCs w:val="24"/>
          <w:lang w:eastAsia="lv-LV"/>
        </w:rPr>
        <w:t xml:space="preserve">[pers. D] </w:t>
      </w:r>
      <w:r w:rsidR="0089617B">
        <w:rPr>
          <w:rFonts w:ascii="Times New Roman" w:hAnsi="Times New Roman" w:cs="Times New Roman"/>
          <w:sz w:val="24"/>
          <w:szCs w:val="24"/>
        </w:rPr>
        <w:t>mantojuma masā</w:t>
      </w:r>
      <w:r w:rsidR="00D85287">
        <w:rPr>
          <w:rFonts w:ascii="Times New Roman" w:eastAsia="Times New Roman" w:hAnsi="Times New Roman" w:cs="Times New Roman"/>
          <w:iCs/>
          <w:sz w:val="24"/>
          <w:szCs w:val="24"/>
          <w:lang w:eastAsia="lv-LV"/>
        </w:rPr>
        <w:t>.</w:t>
      </w:r>
      <w:r w:rsidR="001C7C67">
        <w:rPr>
          <w:rFonts w:ascii="Times New Roman" w:eastAsia="Times New Roman" w:hAnsi="Times New Roman" w:cs="Times New Roman"/>
          <w:iCs/>
          <w:sz w:val="24"/>
          <w:szCs w:val="24"/>
          <w:lang w:eastAsia="lv-LV"/>
        </w:rPr>
        <w:t xml:space="preserve"> </w:t>
      </w:r>
    </w:p>
    <w:p w14:paraId="1DB875C4" w14:textId="2E4F61EB" w:rsidR="00D85287" w:rsidRDefault="00AB0AD2" w:rsidP="00535394">
      <w:pPr>
        <w:autoSpaceDE w:val="0"/>
        <w:autoSpaceDN w:val="0"/>
        <w:adjustRightInd w:val="0"/>
        <w:spacing w:after="0"/>
        <w:ind w:firstLine="70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Civillikuma 788.</w:t>
      </w:r>
      <w:r w:rsidR="00EB684B">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pants paredz, ja kāds neatņemamās daļas tiesīgais testamentā palicis neievērots vai bez likumiska iemesla atstumts no mantojuma, viņam ir tiesība prasīt, lai nodala viņa neatņemamo daļu, vai arī ja viņam novēlēts mazāk par šo daļu, lai to papildina.</w:t>
      </w:r>
    </w:p>
    <w:p w14:paraId="2AECDFA6" w14:textId="366C39AE" w:rsidR="00387D10" w:rsidRDefault="00AB0AD2" w:rsidP="00535394">
      <w:pPr>
        <w:autoSpaceDE w:val="0"/>
        <w:autoSpaceDN w:val="0"/>
        <w:adjustRightInd w:val="0"/>
        <w:spacing w:after="0"/>
        <w:ind w:firstLine="70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Ja prasītāji saskaņā ar to pašu testamentu</w:t>
      </w:r>
      <w:r w:rsidR="004371BD">
        <w:rPr>
          <w:rFonts w:ascii="Times New Roman" w:eastAsia="Times New Roman" w:hAnsi="Times New Roman" w:cs="Times New Roman"/>
          <w:iCs/>
          <w:sz w:val="24"/>
          <w:szCs w:val="24"/>
          <w:lang w:eastAsia="lv-LV"/>
        </w:rPr>
        <w:t>, kas atzīts par stājušos likumīgā spēkā uz mantu, kas atrodas Latvijā,</w:t>
      </w:r>
      <w:r>
        <w:rPr>
          <w:rFonts w:ascii="Times New Roman" w:eastAsia="Times New Roman" w:hAnsi="Times New Roman" w:cs="Times New Roman"/>
          <w:iCs/>
          <w:sz w:val="24"/>
          <w:szCs w:val="24"/>
          <w:lang w:eastAsia="lv-LV"/>
        </w:rPr>
        <w:t xml:space="preserve"> </w:t>
      </w:r>
      <w:r w:rsidR="0089617B">
        <w:rPr>
          <w:rFonts w:ascii="Times New Roman" w:eastAsia="Times New Roman" w:hAnsi="Times New Roman" w:cs="Times New Roman"/>
          <w:iCs/>
          <w:sz w:val="24"/>
          <w:szCs w:val="24"/>
          <w:lang w:eastAsia="lv-LV"/>
        </w:rPr>
        <w:t xml:space="preserve">ārvalstī uz tur esošo mantu ir </w:t>
      </w:r>
      <w:r>
        <w:rPr>
          <w:rFonts w:ascii="Times New Roman" w:eastAsia="Times New Roman" w:hAnsi="Times New Roman" w:cs="Times New Roman"/>
          <w:iCs/>
          <w:sz w:val="24"/>
          <w:szCs w:val="24"/>
          <w:lang w:eastAsia="lv-LV"/>
        </w:rPr>
        <w:t xml:space="preserve">iecelti par testamentārajiem </w:t>
      </w:r>
      <w:r>
        <w:rPr>
          <w:rFonts w:ascii="Times New Roman" w:eastAsia="Times New Roman" w:hAnsi="Times New Roman" w:cs="Times New Roman"/>
          <w:iCs/>
          <w:sz w:val="24"/>
          <w:szCs w:val="24"/>
          <w:lang w:eastAsia="lv-LV"/>
        </w:rPr>
        <w:lastRenderedPageBreak/>
        <w:t xml:space="preserve">mantiniekiem, </w:t>
      </w:r>
      <w:r w:rsidR="000B7A9B">
        <w:rPr>
          <w:rFonts w:ascii="Times New Roman" w:eastAsia="Times New Roman" w:hAnsi="Times New Roman" w:cs="Times New Roman"/>
          <w:iCs/>
          <w:sz w:val="24"/>
          <w:szCs w:val="24"/>
          <w:lang w:eastAsia="lv-LV"/>
        </w:rPr>
        <w:t xml:space="preserve">pretēji prasībā norādītajam </w:t>
      </w:r>
      <w:r>
        <w:rPr>
          <w:rFonts w:ascii="Times New Roman" w:eastAsia="Times New Roman" w:hAnsi="Times New Roman" w:cs="Times New Roman"/>
          <w:iCs/>
          <w:sz w:val="24"/>
          <w:szCs w:val="24"/>
          <w:lang w:eastAsia="lv-LV"/>
        </w:rPr>
        <w:t>neizpildās Civillikuma 788.</w:t>
      </w:r>
      <w:r w:rsidR="00EB684B">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pant</w:t>
      </w:r>
      <w:r w:rsidR="0089617B">
        <w:rPr>
          <w:rFonts w:ascii="Times New Roman" w:eastAsia="Times New Roman" w:hAnsi="Times New Roman" w:cs="Times New Roman"/>
          <w:iCs/>
          <w:sz w:val="24"/>
          <w:szCs w:val="24"/>
          <w:lang w:eastAsia="lv-LV"/>
        </w:rPr>
        <w:t>ā ietvertā</w:t>
      </w:r>
      <w:r w:rsidR="00387D10">
        <w:rPr>
          <w:rFonts w:ascii="Times New Roman" w:eastAsia="Times New Roman" w:hAnsi="Times New Roman" w:cs="Times New Roman"/>
          <w:iCs/>
          <w:sz w:val="24"/>
          <w:szCs w:val="24"/>
          <w:lang w:eastAsia="lv-LV"/>
        </w:rPr>
        <w:t>s</w:t>
      </w:r>
      <w:r w:rsidR="0089617B">
        <w:rPr>
          <w:rFonts w:ascii="Times New Roman" w:eastAsia="Times New Roman" w:hAnsi="Times New Roman" w:cs="Times New Roman"/>
          <w:iCs/>
          <w:sz w:val="24"/>
          <w:szCs w:val="24"/>
          <w:lang w:eastAsia="lv-LV"/>
        </w:rPr>
        <w:t xml:space="preserve"> tiesību normas</w:t>
      </w:r>
      <w:r>
        <w:rPr>
          <w:rFonts w:ascii="Times New Roman" w:eastAsia="Times New Roman" w:hAnsi="Times New Roman" w:cs="Times New Roman"/>
          <w:iCs/>
          <w:sz w:val="24"/>
          <w:szCs w:val="24"/>
          <w:lang w:eastAsia="lv-LV"/>
        </w:rPr>
        <w:t xml:space="preserve"> pazīme “palicis neievērots” vai </w:t>
      </w:r>
      <w:r w:rsidR="0089617B">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bez likumiska iemesla atstumts</w:t>
      </w:r>
      <w:r w:rsidR="0089617B">
        <w:rPr>
          <w:rFonts w:ascii="Times New Roman" w:eastAsia="Times New Roman" w:hAnsi="Times New Roman" w:cs="Times New Roman"/>
          <w:iCs/>
          <w:sz w:val="24"/>
          <w:szCs w:val="24"/>
          <w:lang w:eastAsia="lv-LV"/>
        </w:rPr>
        <w:t>”</w:t>
      </w:r>
      <w:r w:rsidR="004E5B04">
        <w:rPr>
          <w:rFonts w:ascii="Times New Roman" w:eastAsia="Times New Roman" w:hAnsi="Times New Roman" w:cs="Times New Roman"/>
          <w:iCs/>
          <w:sz w:val="24"/>
          <w:szCs w:val="24"/>
          <w:lang w:eastAsia="lv-LV"/>
        </w:rPr>
        <w:t xml:space="preserve">. </w:t>
      </w:r>
      <w:r w:rsidR="00387D10">
        <w:rPr>
          <w:rFonts w:ascii="Times New Roman" w:eastAsia="Times New Roman" w:hAnsi="Times New Roman" w:cs="Times New Roman"/>
          <w:iCs/>
          <w:sz w:val="24"/>
          <w:szCs w:val="24"/>
          <w:lang w:eastAsia="lv-LV"/>
        </w:rPr>
        <w:t xml:space="preserve">Tātad neatņemamās daļas tiesīgā tiesību aizskārums var izpausties kā tādas daļas saņemšana, kas mazāka par </w:t>
      </w:r>
      <w:r w:rsidR="00562486">
        <w:rPr>
          <w:rFonts w:ascii="Times New Roman" w:eastAsia="Times New Roman" w:hAnsi="Times New Roman" w:cs="Times New Roman"/>
          <w:iCs/>
          <w:sz w:val="24"/>
          <w:szCs w:val="24"/>
          <w:lang w:eastAsia="lv-LV"/>
        </w:rPr>
        <w:t xml:space="preserve">Latvijas </w:t>
      </w:r>
      <w:r w:rsidR="00387D10">
        <w:rPr>
          <w:rFonts w:ascii="Times New Roman" w:eastAsia="Times New Roman" w:hAnsi="Times New Roman" w:cs="Times New Roman"/>
          <w:iCs/>
          <w:sz w:val="24"/>
          <w:szCs w:val="24"/>
          <w:lang w:eastAsia="lv-LV"/>
        </w:rPr>
        <w:t>likumā noteikto</w:t>
      </w:r>
      <w:r w:rsidR="00562486">
        <w:rPr>
          <w:rFonts w:ascii="Times New Roman" w:eastAsia="Times New Roman" w:hAnsi="Times New Roman" w:cs="Times New Roman"/>
          <w:iCs/>
          <w:sz w:val="24"/>
          <w:szCs w:val="24"/>
          <w:lang w:eastAsia="lv-LV"/>
        </w:rPr>
        <w:t>, kas dod tiesības saņemt kompensāciju no testamentārās mantinieces Latvijā par to, ka ar testamentu aizskartas viņu mantiskās intereses</w:t>
      </w:r>
      <w:r w:rsidR="00387D10">
        <w:rPr>
          <w:rFonts w:ascii="Times New Roman" w:eastAsia="Times New Roman" w:hAnsi="Times New Roman" w:cs="Times New Roman"/>
          <w:iCs/>
          <w:sz w:val="24"/>
          <w:szCs w:val="24"/>
          <w:lang w:eastAsia="lv-LV"/>
        </w:rPr>
        <w:t>.</w:t>
      </w:r>
    </w:p>
    <w:p w14:paraId="296346AE" w14:textId="5E20BE5E" w:rsidR="00BD6587" w:rsidRDefault="00200F59" w:rsidP="00535394">
      <w:pPr>
        <w:autoSpaceDE w:val="0"/>
        <w:autoSpaceDN w:val="0"/>
        <w:adjustRightInd w:val="0"/>
        <w:spacing w:after="0"/>
        <w:ind w:firstLine="70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00387D10">
        <w:rPr>
          <w:rFonts w:ascii="Times New Roman" w:eastAsia="Times New Roman" w:hAnsi="Times New Roman" w:cs="Times New Roman"/>
          <w:iCs/>
          <w:sz w:val="24"/>
          <w:szCs w:val="24"/>
          <w:lang w:eastAsia="lv-LV"/>
        </w:rPr>
        <w:t>tbilstoši Civillikuma 425. panta pirmajai daļai</w:t>
      </w:r>
      <w:r>
        <w:rPr>
          <w:rFonts w:ascii="Times New Roman" w:eastAsia="Times New Roman" w:hAnsi="Times New Roman" w:cs="Times New Roman"/>
          <w:iCs/>
          <w:sz w:val="24"/>
          <w:szCs w:val="24"/>
          <w:lang w:eastAsia="lv-LV"/>
        </w:rPr>
        <w:t xml:space="preserve"> šādu kategoriju lietās</w:t>
      </w:r>
      <w:r w:rsidR="00387D10">
        <w:rPr>
          <w:rFonts w:ascii="Times New Roman" w:eastAsia="Times New Roman" w:hAnsi="Times New Roman" w:cs="Times New Roman"/>
          <w:iCs/>
          <w:sz w:val="24"/>
          <w:szCs w:val="24"/>
          <w:lang w:eastAsia="lv-LV"/>
        </w:rPr>
        <w:t xml:space="preserve"> mantojuma </w:t>
      </w:r>
      <w:r>
        <w:rPr>
          <w:rFonts w:ascii="Times New Roman" w:eastAsia="Times New Roman" w:hAnsi="Times New Roman" w:cs="Times New Roman"/>
          <w:iCs/>
          <w:sz w:val="24"/>
          <w:szCs w:val="24"/>
          <w:lang w:eastAsia="lv-LV"/>
        </w:rPr>
        <w:t xml:space="preserve">masas </w:t>
      </w:r>
      <w:r w:rsidR="00387D10">
        <w:rPr>
          <w:rFonts w:ascii="Times New Roman" w:eastAsia="Times New Roman" w:hAnsi="Times New Roman" w:cs="Times New Roman"/>
          <w:iCs/>
          <w:sz w:val="24"/>
          <w:szCs w:val="24"/>
          <w:lang w:eastAsia="lv-LV"/>
        </w:rPr>
        <w:t xml:space="preserve">sastāvs ir tikai viens no pierādīšanas priekšmetā ietilpstošajiem faktiem, kas </w:t>
      </w:r>
      <w:r>
        <w:rPr>
          <w:rFonts w:ascii="Times New Roman" w:eastAsia="Times New Roman" w:hAnsi="Times New Roman" w:cs="Times New Roman"/>
          <w:iCs/>
          <w:sz w:val="24"/>
          <w:szCs w:val="24"/>
          <w:lang w:eastAsia="lv-LV"/>
        </w:rPr>
        <w:t>nodibināms</w:t>
      </w:r>
      <w:r w:rsidR="00387D10">
        <w:rPr>
          <w:rFonts w:ascii="Times New Roman" w:eastAsia="Times New Roman" w:hAnsi="Times New Roman" w:cs="Times New Roman"/>
          <w:iCs/>
          <w:sz w:val="24"/>
          <w:szCs w:val="24"/>
          <w:lang w:eastAsia="lv-LV"/>
        </w:rPr>
        <w:t>, lai noteiktu atlīdzināmās neatņemamās daļas apmēru</w:t>
      </w:r>
      <w:r>
        <w:rPr>
          <w:rFonts w:ascii="Times New Roman" w:eastAsia="Times New Roman" w:hAnsi="Times New Roman" w:cs="Times New Roman"/>
          <w:iCs/>
          <w:sz w:val="24"/>
          <w:szCs w:val="24"/>
          <w:lang w:eastAsia="lv-LV"/>
        </w:rPr>
        <w:t>, taču tiesa</w:t>
      </w:r>
      <w:r w:rsidR="00767912" w:rsidRPr="00767912">
        <w:rPr>
          <w:rFonts w:ascii="Times New Roman" w:eastAsia="Times New Roman" w:hAnsi="Times New Roman" w:cs="Times New Roman"/>
          <w:iCs/>
          <w:sz w:val="24"/>
          <w:szCs w:val="24"/>
          <w:lang w:eastAsia="lv-LV"/>
        </w:rPr>
        <w:t xml:space="preserve"> </w:t>
      </w:r>
      <w:r w:rsidR="00767912">
        <w:rPr>
          <w:rFonts w:ascii="Times New Roman" w:eastAsia="Times New Roman" w:hAnsi="Times New Roman" w:cs="Times New Roman"/>
          <w:iCs/>
          <w:sz w:val="24"/>
          <w:szCs w:val="24"/>
          <w:lang w:eastAsia="lv-LV"/>
        </w:rPr>
        <w:t>šim jautājumam nav pievērsusies, jo</w:t>
      </w:r>
      <w:r>
        <w:rPr>
          <w:rFonts w:ascii="Times New Roman" w:eastAsia="Times New Roman" w:hAnsi="Times New Roman" w:cs="Times New Roman"/>
          <w:iCs/>
          <w:sz w:val="24"/>
          <w:szCs w:val="24"/>
          <w:lang w:eastAsia="lv-LV"/>
        </w:rPr>
        <w:t xml:space="preserve"> Civillikuma 16.</w:t>
      </w:r>
      <w:r w:rsidR="00EB684B">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pantu iztulkoj</w:t>
      </w:r>
      <w:r w:rsidR="00BA7314">
        <w:rPr>
          <w:rFonts w:ascii="Times New Roman" w:eastAsia="Times New Roman" w:hAnsi="Times New Roman" w:cs="Times New Roman"/>
          <w:iCs/>
          <w:sz w:val="24"/>
          <w:szCs w:val="24"/>
          <w:lang w:eastAsia="lv-LV"/>
        </w:rPr>
        <w:t>usi</w:t>
      </w:r>
      <w:r>
        <w:rPr>
          <w:rFonts w:ascii="Times New Roman" w:eastAsia="Times New Roman" w:hAnsi="Times New Roman" w:cs="Times New Roman"/>
          <w:iCs/>
          <w:sz w:val="24"/>
          <w:szCs w:val="24"/>
          <w:lang w:eastAsia="lv-LV"/>
        </w:rPr>
        <w:t xml:space="preserve"> un piemēroj</w:t>
      </w:r>
      <w:r w:rsidR="00BA7314">
        <w:rPr>
          <w:rFonts w:ascii="Times New Roman" w:eastAsia="Times New Roman" w:hAnsi="Times New Roman" w:cs="Times New Roman"/>
          <w:iCs/>
          <w:sz w:val="24"/>
          <w:szCs w:val="24"/>
          <w:lang w:eastAsia="lv-LV"/>
        </w:rPr>
        <w:t>usi</w:t>
      </w:r>
      <w:r>
        <w:rPr>
          <w:rFonts w:ascii="Times New Roman" w:eastAsia="Times New Roman" w:hAnsi="Times New Roman" w:cs="Times New Roman"/>
          <w:iCs/>
          <w:sz w:val="24"/>
          <w:szCs w:val="24"/>
          <w:lang w:eastAsia="lv-LV"/>
        </w:rPr>
        <w:t xml:space="preserve"> nepareizi</w:t>
      </w:r>
      <w:r w:rsidR="00767912">
        <w:rPr>
          <w:rFonts w:ascii="Times New Roman" w:eastAsia="Times New Roman" w:hAnsi="Times New Roman" w:cs="Times New Roman"/>
          <w:iCs/>
          <w:sz w:val="24"/>
          <w:szCs w:val="24"/>
          <w:lang w:eastAsia="lv-LV"/>
        </w:rPr>
        <w:t xml:space="preserve">. </w:t>
      </w:r>
      <w:r w:rsidR="00BD6587">
        <w:rPr>
          <w:rFonts w:ascii="Times New Roman" w:eastAsia="Times New Roman" w:hAnsi="Times New Roman" w:cs="Times New Roman"/>
          <w:iCs/>
          <w:sz w:val="24"/>
          <w:szCs w:val="24"/>
          <w:lang w:eastAsia="lv-LV"/>
        </w:rPr>
        <w:t>S</w:t>
      </w:r>
      <w:r w:rsidR="00767912">
        <w:rPr>
          <w:rFonts w:ascii="Times New Roman" w:eastAsia="Times New Roman" w:hAnsi="Times New Roman" w:cs="Times New Roman"/>
          <w:iCs/>
          <w:sz w:val="24"/>
          <w:szCs w:val="24"/>
          <w:lang w:eastAsia="lv-LV"/>
        </w:rPr>
        <w:t>ašaurin</w:t>
      </w:r>
      <w:r w:rsidR="00BD6587">
        <w:rPr>
          <w:rFonts w:ascii="Times New Roman" w:eastAsia="Times New Roman" w:hAnsi="Times New Roman" w:cs="Times New Roman"/>
          <w:iCs/>
          <w:sz w:val="24"/>
          <w:szCs w:val="24"/>
          <w:lang w:eastAsia="lv-LV"/>
        </w:rPr>
        <w:t>ot</w:t>
      </w:r>
      <w:r w:rsidR="00767912">
        <w:rPr>
          <w:rFonts w:ascii="Times New Roman" w:eastAsia="Times New Roman" w:hAnsi="Times New Roman" w:cs="Times New Roman"/>
          <w:iCs/>
          <w:sz w:val="24"/>
          <w:szCs w:val="24"/>
          <w:lang w:eastAsia="lv-LV"/>
        </w:rPr>
        <w:t xml:space="preserve"> materiāltiesiskā regulējuma tvērumu</w:t>
      </w:r>
      <w:r w:rsidR="00BD6587">
        <w:rPr>
          <w:rFonts w:ascii="Times New Roman" w:eastAsia="Times New Roman" w:hAnsi="Times New Roman" w:cs="Times New Roman"/>
          <w:iCs/>
          <w:sz w:val="24"/>
          <w:szCs w:val="24"/>
          <w:lang w:eastAsia="lv-LV"/>
        </w:rPr>
        <w:t>, tiesa</w:t>
      </w:r>
      <w:r w:rsidR="00767912">
        <w:rPr>
          <w:rFonts w:ascii="Times New Roman" w:eastAsia="Times New Roman" w:hAnsi="Times New Roman" w:cs="Times New Roman"/>
          <w:iCs/>
          <w:sz w:val="24"/>
          <w:szCs w:val="24"/>
          <w:lang w:eastAsia="lv-LV"/>
        </w:rPr>
        <w:t xml:space="preserve"> nepamatoti pieļāvusi atkāpi no Civillikuma 382. pantā nostiprinātā </w:t>
      </w:r>
      <w:r w:rsidR="00BD6587">
        <w:rPr>
          <w:rFonts w:ascii="Times New Roman" w:eastAsia="Times New Roman" w:hAnsi="Times New Roman" w:cs="Times New Roman"/>
          <w:iCs/>
          <w:sz w:val="24"/>
          <w:szCs w:val="24"/>
          <w:lang w:eastAsia="lv-LV"/>
        </w:rPr>
        <w:t xml:space="preserve">mantojuma </w:t>
      </w:r>
      <w:r w:rsidR="00767912" w:rsidRPr="00213DF2">
        <w:rPr>
          <w:rFonts w:ascii="Times New Roman" w:eastAsia="Times New Roman" w:hAnsi="Times New Roman" w:cs="Times New Roman"/>
          <w:iCs/>
          <w:sz w:val="24"/>
          <w:szCs w:val="24"/>
          <w:lang w:eastAsia="lv-LV"/>
        </w:rPr>
        <w:t>universālsukcesijas princip</w:t>
      </w:r>
      <w:r w:rsidR="00767912">
        <w:rPr>
          <w:rFonts w:ascii="Times New Roman" w:eastAsia="Times New Roman" w:hAnsi="Times New Roman" w:cs="Times New Roman"/>
          <w:iCs/>
          <w:sz w:val="24"/>
          <w:szCs w:val="24"/>
          <w:lang w:eastAsia="lv-LV"/>
        </w:rPr>
        <w:t>a</w:t>
      </w:r>
      <w:r w:rsidR="00BD6587">
        <w:rPr>
          <w:rFonts w:ascii="Times New Roman" w:eastAsia="Times New Roman" w:hAnsi="Times New Roman" w:cs="Times New Roman"/>
          <w:iCs/>
          <w:sz w:val="24"/>
          <w:szCs w:val="24"/>
          <w:lang w:eastAsia="lv-LV"/>
        </w:rPr>
        <w:t>.</w:t>
      </w:r>
    </w:p>
    <w:p w14:paraId="7CFBC555" w14:textId="77777777" w:rsidR="004631CA" w:rsidRDefault="004631CA" w:rsidP="004631CA">
      <w:pPr>
        <w:autoSpaceDE w:val="0"/>
        <w:autoSpaceDN w:val="0"/>
        <w:adjustRightInd w:val="0"/>
        <w:spacing w:after="0"/>
        <w:ind w:firstLine="709"/>
        <w:jc w:val="both"/>
        <w:rPr>
          <w:rFonts w:ascii="Times New Roman" w:eastAsia="Times New Roman" w:hAnsi="Times New Roman" w:cs="Times New Roman"/>
          <w:iCs/>
          <w:sz w:val="24"/>
          <w:szCs w:val="24"/>
          <w:lang w:eastAsia="lv-LV"/>
        </w:rPr>
      </w:pPr>
    </w:p>
    <w:p w14:paraId="7FBDA17F" w14:textId="553C9CDB" w:rsidR="000F7AE3" w:rsidRDefault="00BD5420" w:rsidP="00593D47">
      <w:pPr>
        <w:autoSpaceDE w:val="0"/>
        <w:autoSpaceDN w:val="0"/>
        <w:adjustRightInd w:val="0"/>
        <w:spacing w:after="0"/>
        <w:ind w:firstLine="70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w:t>
      </w:r>
      <w:r w:rsidR="00A03306">
        <w:rPr>
          <w:rFonts w:ascii="Times New Roman" w:eastAsia="Times New Roman" w:hAnsi="Times New Roman" w:cs="Times New Roman"/>
          <w:iCs/>
          <w:sz w:val="24"/>
          <w:szCs w:val="24"/>
          <w:lang w:eastAsia="lv-LV"/>
        </w:rPr>
        <w:t> </w:t>
      </w:r>
      <w:r w:rsidR="009C1332">
        <w:rPr>
          <w:rFonts w:ascii="Times New Roman" w:eastAsia="Times New Roman" w:hAnsi="Times New Roman" w:cs="Times New Roman"/>
          <w:iCs/>
          <w:sz w:val="24"/>
          <w:szCs w:val="24"/>
          <w:lang w:eastAsia="lv-LV"/>
        </w:rPr>
        <w:t xml:space="preserve">Senāts </w:t>
      </w:r>
      <w:r w:rsidR="00C64101">
        <w:rPr>
          <w:rFonts w:ascii="Times New Roman" w:eastAsia="Times New Roman" w:hAnsi="Times New Roman" w:cs="Times New Roman"/>
          <w:iCs/>
          <w:sz w:val="24"/>
          <w:szCs w:val="24"/>
          <w:lang w:eastAsia="lv-LV"/>
        </w:rPr>
        <w:t>piekrīt kasācijas sūdzībā norādītajam</w:t>
      </w:r>
      <w:r w:rsidR="009C1332">
        <w:rPr>
          <w:rFonts w:ascii="Times New Roman" w:eastAsia="Times New Roman" w:hAnsi="Times New Roman" w:cs="Times New Roman"/>
          <w:iCs/>
          <w:sz w:val="24"/>
          <w:szCs w:val="24"/>
          <w:lang w:eastAsia="lv-LV"/>
        </w:rPr>
        <w:t xml:space="preserve">, ka tiesa Civillikuma 763. panta pirmo daļu iztulkojusi un piemērojusi nepareizi, </w:t>
      </w:r>
      <w:r w:rsidR="00E84F6F">
        <w:rPr>
          <w:rFonts w:ascii="Times New Roman" w:eastAsia="Times New Roman" w:hAnsi="Times New Roman" w:cs="Times New Roman"/>
          <w:iCs/>
          <w:sz w:val="24"/>
          <w:szCs w:val="24"/>
          <w:lang w:eastAsia="lv-LV"/>
        </w:rPr>
        <w:t>secin</w:t>
      </w:r>
      <w:r w:rsidR="009C1332">
        <w:rPr>
          <w:rFonts w:ascii="Times New Roman" w:eastAsia="Times New Roman" w:hAnsi="Times New Roman" w:cs="Times New Roman"/>
          <w:iCs/>
          <w:sz w:val="24"/>
          <w:szCs w:val="24"/>
          <w:lang w:eastAsia="lv-LV"/>
        </w:rPr>
        <w:t>ot</w:t>
      </w:r>
      <w:r w:rsidR="00E84F6F">
        <w:rPr>
          <w:rFonts w:ascii="Times New Roman" w:eastAsia="Times New Roman" w:hAnsi="Times New Roman" w:cs="Times New Roman"/>
          <w:iCs/>
          <w:sz w:val="24"/>
          <w:szCs w:val="24"/>
          <w:lang w:eastAsia="lv-LV"/>
        </w:rPr>
        <w:t>, ka lejupējam nav jāpievieno mantojuma atstājēja sniegtais ieguldījums tā uzturēšanai</w:t>
      </w:r>
      <w:r w:rsidR="008266D6">
        <w:rPr>
          <w:rFonts w:ascii="Times New Roman" w:eastAsia="Times New Roman" w:hAnsi="Times New Roman" w:cs="Times New Roman"/>
          <w:iCs/>
          <w:sz w:val="24"/>
          <w:szCs w:val="24"/>
          <w:lang w:eastAsia="lv-LV"/>
        </w:rPr>
        <w:t>, ja</w:t>
      </w:r>
      <w:r w:rsidR="00E84F6F">
        <w:rPr>
          <w:rFonts w:ascii="Times New Roman" w:eastAsia="Times New Roman" w:hAnsi="Times New Roman" w:cs="Times New Roman"/>
          <w:iCs/>
          <w:sz w:val="24"/>
          <w:szCs w:val="24"/>
          <w:lang w:eastAsia="lv-LV"/>
        </w:rPr>
        <w:t xml:space="preserve"> </w:t>
      </w:r>
      <w:r w:rsidR="00593D47">
        <w:rPr>
          <w:rFonts w:ascii="Times New Roman" w:eastAsia="Times New Roman" w:hAnsi="Times New Roman" w:cs="Times New Roman"/>
          <w:iCs/>
          <w:sz w:val="24"/>
          <w:szCs w:val="24"/>
          <w:lang w:eastAsia="lv-LV"/>
        </w:rPr>
        <w:t>lejupējais bija spējīgs sevi apgādāt.</w:t>
      </w:r>
    </w:p>
    <w:p w14:paraId="4CABE369" w14:textId="51633BBE" w:rsidR="00133E25" w:rsidRDefault="000F7AE3" w:rsidP="00133E25">
      <w:pPr>
        <w:autoSpaceDE w:val="0"/>
        <w:autoSpaceDN w:val="0"/>
        <w:adjustRightInd w:val="0"/>
        <w:spacing w:after="0"/>
        <w:ind w:firstLine="70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[5.1] </w:t>
      </w:r>
      <w:r w:rsidR="00BD6587">
        <w:rPr>
          <w:rFonts w:ascii="Times New Roman" w:eastAsia="Times New Roman" w:hAnsi="Times New Roman" w:cs="Times New Roman"/>
          <w:iCs/>
          <w:sz w:val="24"/>
          <w:szCs w:val="24"/>
          <w:lang w:eastAsia="lv-LV"/>
        </w:rPr>
        <w:t>N</w:t>
      </w:r>
      <w:r w:rsidR="00133E25">
        <w:rPr>
          <w:rFonts w:ascii="Times New Roman" w:eastAsia="Times New Roman" w:hAnsi="Times New Roman" w:cs="Times New Roman"/>
          <w:iCs/>
          <w:sz w:val="24"/>
          <w:szCs w:val="24"/>
          <w:lang w:eastAsia="lv-LV"/>
        </w:rPr>
        <w:t>o Civillikuma 757.–765. pantā ietvertā regulējuma un judikatūras atziņām</w:t>
      </w:r>
      <w:r w:rsidR="00BD6587">
        <w:rPr>
          <w:rFonts w:ascii="Times New Roman" w:eastAsia="Times New Roman" w:hAnsi="Times New Roman" w:cs="Times New Roman"/>
          <w:iCs/>
          <w:sz w:val="24"/>
          <w:szCs w:val="24"/>
          <w:lang w:eastAsia="lv-LV"/>
        </w:rPr>
        <w:t xml:space="preserve"> izriet</w:t>
      </w:r>
      <w:r w:rsidR="00133E25">
        <w:rPr>
          <w:rFonts w:ascii="Times New Roman" w:eastAsia="Times New Roman" w:hAnsi="Times New Roman" w:cs="Times New Roman"/>
          <w:iCs/>
          <w:sz w:val="24"/>
          <w:szCs w:val="24"/>
          <w:lang w:eastAsia="lv-LV"/>
        </w:rPr>
        <w:t xml:space="preserve">, </w:t>
      </w:r>
      <w:r w:rsidR="00BD6587">
        <w:rPr>
          <w:rFonts w:ascii="Times New Roman" w:eastAsia="Times New Roman" w:hAnsi="Times New Roman" w:cs="Times New Roman"/>
          <w:iCs/>
          <w:sz w:val="24"/>
          <w:szCs w:val="24"/>
          <w:lang w:eastAsia="lv-LV"/>
        </w:rPr>
        <w:t xml:space="preserve">ka </w:t>
      </w:r>
      <w:r w:rsidR="00A307F3">
        <w:rPr>
          <w:rFonts w:ascii="Times New Roman" w:eastAsia="Times New Roman" w:hAnsi="Times New Roman" w:cs="Times New Roman"/>
          <w:iCs/>
          <w:sz w:val="24"/>
          <w:szCs w:val="24"/>
          <w:lang w:eastAsia="lv-LV"/>
        </w:rPr>
        <w:t xml:space="preserve">iepriekš saņemtā pievienojuma </w:t>
      </w:r>
      <w:r w:rsidR="00133E25">
        <w:rPr>
          <w:rFonts w:ascii="Times New Roman" w:eastAsia="Times New Roman" w:hAnsi="Times New Roman" w:cs="Times New Roman"/>
          <w:iCs/>
          <w:sz w:val="24"/>
          <w:szCs w:val="24"/>
          <w:lang w:eastAsia="lv-LV"/>
        </w:rPr>
        <w:t xml:space="preserve">institūta mērķis ir nodrošināt, </w:t>
      </w:r>
      <w:r w:rsidR="00BD6587">
        <w:rPr>
          <w:rFonts w:ascii="Times New Roman" w:eastAsia="Times New Roman" w:hAnsi="Times New Roman" w:cs="Times New Roman"/>
          <w:iCs/>
          <w:sz w:val="24"/>
          <w:szCs w:val="24"/>
          <w:lang w:eastAsia="lv-LV"/>
        </w:rPr>
        <w:t>lai</w:t>
      </w:r>
      <w:r w:rsidR="00133E25">
        <w:rPr>
          <w:rFonts w:ascii="Times New Roman" w:eastAsia="Times New Roman" w:hAnsi="Times New Roman" w:cs="Times New Roman"/>
          <w:iCs/>
          <w:sz w:val="24"/>
          <w:szCs w:val="24"/>
          <w:lang w:eastAsia="lv-LV"/>
        </w:rPr>
        <w:t xml:space="preserve"> mantojuma sadales gaitā tiek ņemts vērā mantojuma atstājēja dzīves laikā </w:t>
      </w:r>
      <w:r w:rsidR="00031066">
        <w:rPr>
          <w:rFonts w:ascii="Times New Roman" w:eastAsia="Times New Roman" w:hAnsi="Times New Roman" w:cs="Times New Roman"/>
          <w:iCs/>
          <w:sz w:val="24"/>
          <w:szCs w:val="24"/>
          <w:lang w:eastAsia="lv-LV"/>
        </w:rPr>
        <w:t>piešķirtais</w:t>
      </w:r>
      <w:r w:rsidR="00133E25">
        <w:rPr>
          <w:rFonts w:ascii="Times New Roman" w:eastAsia="Times New Roman" w:hAnsi="Times New Roman" w:cs="Times New Roman"/>
          <w:iCs/>
          <w:sz w:val="24"/>
          <w:szCs w:val="24"/>
          <w:lang w:eastAsia="lv-LV"/>
        </w:rPr>
        <w:t xml:space="preserve"> </w:t>
      </w:r>
      <w:r w:rsidR="00031066">
        <w:rPr>
          <w:rFonts w:ascii="Times New Roman" w:eastAsia="Times New Roman" w:hAnsi="Times New Roman" w:cs="Times New Roman"/>
          <w:iCs/>
          <w:sz w:val="24"/>
          <w:szCs w:val="24"/>
          <w:lang w:eastAsia="lv-LV"/>
        </w:rPr>
        <w:t xml:space="preserve">mantiski novērtējamais </w:t>
      </w:r>
      <w:r w:rsidR="00133E25">
        <w:rPr>
          <w:rFonts w:ascii="Times New Roman" w:eastAsia="Times New Roman" w:hAnsi="Times New Roman" w:cs="Times New Roman"/>
          <w:iCs/>
          <w:sz w:val="24"/>
          <w:szCs w:val="24"/>
          <w:lang w:eastAsia="lv-LV"/>
        </w:rPr>
        <w:t xml:space="preserve">labums lejupējiem (sk. arī </w:t>
      </w:r>
      <w:r w:rsidR="00133E25">
        <w:rPr>
          <w:rFonts w:ascii="Times New Roman" w:eastAsia="Times New Roman" w:hAnsi="Times New Roman" w:cs="Times New Roman"/>
          <w:i/>
          <w:sz w:val="24"/>
          <w:szCs w:val="24"/>
          <w:lang w:eastAsia="lv-LV"/>
        </w:rPr>
        <w:t>Senāta 2021. gada 15. aprīļa spriedumu lietā Nr. SKC</w:t>
      </w:r>
      <w:r w:rsidR="00432D9C">
        <w:rPr>
          <w:rFonts w:ascii="Times New Roman" w:eastAsia="Times New Roman" w:hAnsi="Times New Roman" w:cs="Times New Roman"/>
          <w:i/>
          <w:sz w:val="24"/>
          <w:szCs w:val="24"/>
          <w:lang w:eastAsia="lv-LV"/>
        </w:rPr>
        <w:noBreakHyphen/>
      </w:r>
      <w:r w:rsidR="00133E25">
        <w:rPr>
          <w:rFonts w:ascii="Times New Roman" w:eastAsia="Times New Roman" w:hAnsi="Times New Roman" w:cs="Times New Roman"/>
          <w:i/>
          <w:sz w:val="24"/>
          <w:szCs w:val="24"/>
          <w:lang w:eastAsia="lv-LV"/>
        </w:rPr>
        <w:t>16/2021 (</w:t>
      </w:r>
      <w:r w:rsidR="00133E25" w:rsidRPr="00133E25">
        <w:rPr>
          <w:rFonts w:ascii="Times New Roman" w:eastAsia="Times New Roman" w:hAnsi="Times New Roman" w:cs="Times New Roman"/>
          <w:i/>
          <w:sz w:val="24"/>
          <w:szCs w:val="24"/>
          <w:lang w:eastAsia="lv-LV"/>
        </w:rPr>
        <w:t>ECLI:LV:AT:2021:0415.C33624616.11.S</w:t>
      </w:r>
      <w:r w:rsidR="00133E25">
        <w:rPr>
          <w:rFonts w:ascii="Times New Roman" w:eastAsia="Times New Roman" w:hAnsi="Times New Roman" w:cs="Times New Roman"/>
          <w:i/>
          <w:sz w:val="24"/>
          <w:szCs w:val="24"/>
          <w:lang w:eastAsia="lv-LV"/>
        </w:rPr>
        <w:t>)</w:t>
      </w:r>
      <w:r w:rsidR="00133E25">
        <w:rPr>
          <w:rFonts w:ascii="Times New Roman" w:eastAsia="Times New Roman" w:hAnsi="Times New Roman" w:cs="Times New Roman"/>
          <w:iCs/>
          <w:sz w:val="24"/>
          <w:szCs w:val="24"/>
          <w:lang w:eastAsia="lv-LV"/>
        </w:rPr>
        <w:t xml:space="preserve">). </w:t>
      </w:r>
    </w:p>
    <w:p w14:paraId="4B8B7333" w14:textId="1F8397BA" w:rsidR="000448BD" w:rsidRDefault="00547842" w:rsidP="00133E25">
      <w:pPr>
        <w:autoSpaceDE w:val="0"/>
        <w:autoSpaceDN w:val="0"/>
        <w:adjustRightInd w:val="0"/>
        <w:spacing w:after="0"/>
        <w:ind w:firstLine="70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[5.2] </w:t>
      </w:r>
      <w:r w:rsidR="00133E25" w:rsidRPr="000448BD">
        <w:rPr>
          <w:rFonts w:ascii="Times New Roman" w:eastAsia="Times New Roman" w:hAnsi="Times New Roman" w:cs="Times New Roman"/>
          <w:iCs/>
          <w:sz w:val="24"/>
          <w:szCs w:val="24"/>
          <w:lang w:eastAsia="lv-LV"/>
        </w:rPr>
        <w:t>Civillikuma 763. panta pirmā daļa paredz</w:t>
      </w:r>
      <w:r w:rsidR="000448BD" w:rsidRPr="00BA7314">
        <w:rPr>
          <w:rFonts w:ascii="Times New Roman" w:eastAsia="Times New Roman" w:hAnsi="Times New Roman" w:cs="Times New Roman"/>
          <w:iCs/>
          <w:sz w:val="24"/>
          <w:szCs w:val="24"/>
          <w:lang w:eastAsia="lv-LV"/>
        </w:rPr>
        <w:t>, j</w:t>
      </w:r>
      <w:r w:rsidR="000448BD" w:rsidRPr="00BA7314">
        <w:rPr>
          <w:rFonts w:ascii="Times New Roman" w:hAnsi="Times New Roman" w:cs="Times New Roman"/>
          <w:sz w:val="24"/>
          <w:szCs w:val="24"/>
          <w:shd w:val="clear" w:color="auto" w:fill="FFFFFF"/>
        </w:rPr>
        <w:t>a mantojuma atstājējs nav tieši noteicis citādi, tas, ko lejupējie dabūjuši no augšupējiem ēdienam, miteklim, apģērbam, kopšanai, audzināšanai un izglītošanai obligātoriskās skolās, nav jāpievieno</w:t>
      </w:r>
      <w:r w:rsidR="000448BD" w:rsidRPr="000448BD">
        <w:rPr>
          <w:rFonts w:ascii="Times New Roman" w:hAnsi="Times New Roman" w:cs="Times New Roman"/>
          <w:color w:val="414142"/>
          <w:sz w:val="24"/>
          <w:szCs w:val="24"/>
          <w:shd w:val="clear" w:color="auto" w:fill="FFFFFF"/>
        </w:rPr>
        <w:t>.</w:t>
      </w:r>
      <w:r w:rsidR="00133E25" w:rsidRPr="000448BD">
        <w:rPr>
          <w:rFonts w:ascii="Times New Roman" w:eastAsia="Times New Roman" w:hAnsi="Times New Roman" w:cs="Times New Roman"/>
          <w:iCs/>
          <w:sz w:val="24"/>
          <w:szCs w:val="24"/>
          <w:lang w:eastAsia="lv-LV"/>
        </w:rPr>
        <w:t xml:space="preserve"> </w:t>
      </w:r>
    </w:p>
    <w:p w14:paraId="6A2CA52A" w14:textId="62493A3B" w:rsidR="00B30584" w:rsidRDefault="000448BD" w:rsidP="00133E25">
      <w:pPr>
        <w:autoSpaceDE w:val="0"/>
        <w:autoSpaceDN w:val="0"/>
        <w:adjustRightInd w:val="0"/>
        <w:spacing w:after="0"/>
        <w:ind w:firstLine="70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Minētā norma nepastāv ārpus Civillikuma vienotās sistēmas, tāpēc tās satura izpratnei </w:t>
      </w:r>
      <w:r w:rsidR="00FB5BAF">
        <w:rPr>
          <w:rFonts w:ascii="Times New Roman" w:eastAsia="Times New Roman" w:hAnsi="Times New Roman" w:cs="Times New Roman"/>
          <w:iCs/>
          <w:sz w:val="24"/>
          <w:szCs w:val="24"/>
          <w:lang w:eastAsia="lv-LV"/>
        </w:rPr>
        <w:t>ņemama vērā tiesību institūtu savstarpējā mijiedarbība un likumsakarības, kā tas nepārprotami izriet no Civillikuma 6.</w:t>
      </w:r>
      <w:r w:rsidR="00EB684B">
        <w:rPr>
          <w:rFonts w:ascii="Times New Roman" w:eastAsia="Times New Roman" w:hAnsi="Times New Roman" w:cs="Times New Roman"/>
          <w:iCs/>
          <w:sz w:val="24"/>
          <w:szCs w:val="24"/>
          <w:lang w:eastAsia="lv-LV"/>
        </w:rPr>
        <w:t> </w:t>
      </w:r>
      <w:r w:rsidR="00FB5BAF">
        <w:rPr>
          <w:rFonts w:ascii="Times New Roman" w:eastAsia="Times New Roman" w:hAnsi="Times New Roman" w:cs="Times New Roman"/>
          <w:iCs/>
          <w:sz w:val="24"/>
          <w:szCs w:val="24"/>
          <w:lang w:eastAsia="lv-LV"/>
        </w:rPr>
        <w:t>panta, pretējā gadījumā tiesai būtu jāspēj paskaidrot, k</w:t>
      </w:r>
      <w:r w:rsidR="00BA6089">
        <w:rPr>
          <w:rFonts w:ascii="Times New Roman" w:eastAsia="Times New Roman" w:hAnsi="Times New Roman" w:cs="Times New Roman"/>
          <w:iCs/>
          <w:sz w:val="24"/>
          <w:szCs w:val="24"/>
          <w:lang w:eastAsia="lv-LV"/>
        </w:rPr>
        <w:t>ādi</w:t>
      </w:r>
      <w:r w:rsidR="00FB5BAF">
        <w:rPr>
          <w:rFonts w:ascii="Times New Roman" w:eastAsia="Times New Roman" w:hAnsi="Times New Roman" w:cs="Times New Roman"/>
          <w:iCs/>
          <w:sz w:val="24"/>
          <w:szCs w:val="24"/>
          <w:lang w:eastAsia="lv-LV"/>
        </w:rPr>
        <w:t xml:space="preserve"> ir</w:t>
      </w:r>
      <w:r w:rsidR="00BA6089">
        <w:rPr>
          <w:rFonts w:ascii="Times New Roman" w:eastAsia="Times New Roman" w:hAnsi="Times New Roman" w:cs="Times New Roman"/>
          <w:iCs/>
          <w:sz w:val="24"/>
          <w:szCs w:val="24"/>
          <w:lang w:eastAsia="lv-LV"/>
        </w:rPr>
        <w:t xml:space="preserve"> tie izdevumi bērnam pēc viņa pilngadības sasniegšanas, kas attiecas uz bērna audzināšanu un obligāti minimālās izglītības nodrošināšanu un nebūtu jāpievieno saņemtajam mantojumam.</w:t>
      </w:r>
    </w:p>
    <w:p w14:paraId="4905935A" w14:textId="0D7761D3" w:rsidR="00B30584" w:rsidRPr="00F97AE8" w:rsidRDefault="00BA6089" w:rsidP="00133E25">
      <w:pPr>
        <w:autoSpaceDE w:val="0"/>
        <w:autoSpaceDN w:val="0"/>
        <w:adjustRightInd w:val="0"/>
        <w:spacing w:after="0"/>
        <w:ind w:firstLine="709"/>
        <w:jc w:val="both"/>
        <w:rPr>
          <w:rFonts w:ascii="Times New Roman" w:hAnsi="Times New Roman" w:cs="Times New Roman"/>
          <w:sz w:val="24"/>
          <w:szCs w:val="24"/>
          <w:shd w:val="clear" w:color="auto" w:fill="FFFFFF"/>
        </w:rPr>
      </w:pPr>
      <w:r w:rsidRPr="00F97AE8">
        <w:rPr>
          <w:rFonts w:ascii="Times New Roman" w:eastAsia="Times New Roman" w:hAnsi="Times New Roman" w:cs="Times New Roman"/>
          <w:iCs/>
          <w:sz w:val="24"/>
          <w:szCs w:val="24"/>
          <w:lang w:eastAsia="lv-LV"/>
        </w:rPr>
        <w:t>Civillikuma 763. panta pirmās daļas</w:t>
      </w:r>
      <w:r w:rsidR="00B30584" w:rsidRPr="00F97AE8">
        <w:rPr>
          <w:rFonts w:ascii="Times New Roman" w:eastAsia="Times New Roman" w:hAnsi="Times New Roman" w:cs="Times New Roman"/>
          <w:iCs/>
          <w:sz w:val="24"/>
          <w:szCs w:val="24"/>
          <w:lang w:eastAsia="lv-LV"/>
        </w:rPr>
        <w:t xml:space="preserve"> tiesību normā izdevumus raksturojošās</w:t>
      </w:r>
      <w:r w:rsidR="00B30584" w:rsidRPr="00F97AE8">
        <w:rPr>
          <w:rFonts w:ascii="Times New Roman" w:hAnsi="Times New Roman" w:cs="Times New Roman"/>
          <w:sz w:val="24"/>
          <w:szCs w:val="24"/>
          <w:shd w:val="clear" w:color="auto" w:fill="FFFFFF"/>
        </w:rPr>
        <w:t xml:space="preserve"> pazīmes (ēdiens, miteklis, apģērbs, kopšana, audzināšana un izglītošana) pilnībā atbilst Civillikuma 177.</w:t>
      </w:r>
      <w:r w:rsidR="00EB684B" w:rsidRPr="00F97AE8">
        <w:rPr>
          <w:rFonts w:ascii="Times New Roman" w:hAnsi="Times New Roman" w:cs="Times New Roman"/>
          <w:sz w:val="24"/>
          <w:szCs w:val="24"/>
          <w:shd w:val="clear" w:color="auto" w:fill="FFFFFF"/>
        </w:rPr>
        <w:t> </w:t>
      </w:r>
      <w:r w:rsidR="00B30584" w:rsidRPr="00F97AE8">
        <w:rPr>
          <w:rFonts w:ascii="Times New Roman" w:hAnsi="Times New Roman" w:cs="Times New Roman"/>
          <w:sz w:val="24"/>
          <w:szCs w:val="24"/>
          <w:shd w:val="clear" w:color="auto" w:fill="FFFFFF"/>
        </w:rPr>
        <w:t>panta ceturtajā daļā norādītajām tiesību normas pazīmēm, kas raksturo vecāka pienākumu uzturēt bērnu.</w:t>
      </w:r>
    </w:p>
    <w:p w14:paraId="56BAE876" w14:textId="5BDC07F8" w:rsidR="00B30584" w:rsidRDefault="00B30584" w:rsidP="00B30584">
      <w:pPr>
        <w:autoSpaceDE w:val="0"/>
        <w:autoSpaceDN w:val="0"/>
        <w:adjustRightInd w:val="0"/>
        <w:spacing w:after="0"/>
        <w:ind w:firstLine="70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Tādējādi secināms, ka Civillikuma 763. pantā paredzēt</w:t>
      </w:r>
      <w:r w:rsidR="009A6D1D">
        <w:rPr>
          <w:rFonts w:ascii="Times New Roman" w:eastAsia="Times New Roman" w:hAnsi="Times New Roman" w:cs="Times New Roman"/>
          <w:iCs/>
          <w:sz w:val="24"/>
          <w:szCs w:val="24"/>
          <w:lang w:eastAsia="lv-LV"/>
        </w:rPr>
        <w:t>ais</w:t>
      </w:r>
      <w:r>
        <w:rPr>
          <w:rFonts w:ascii="Times New Roman" w:eastAsia="Times New Roman" w:hAnsi="Times New Roman" w:cs="Times New Roman"/>
          <w:iCs/>
          <w:sz w:val="24"/>
          <w:szCs w:val="24"/>
          <w:lang w:eastAsia="lv-LV"/>
        </w:rPr>
        <w:t xml:space="preserve"> izņēmum</w:t>
      </w:r>
      <w:r w:rsidR="009A6D1D">
        <w:rPr>
          <w:rFonts w:ascii="Times New Roman" w:eastAsia="Times New Roman" w:hAnsi="Times New Roman" w:cs="Times New Roman"/>
          <w:iCs/>
          <w:sz w:val="24"/>
          <w:szCs w:val="24"/>
          <w:lang w:eastAsia="lv-LV"/>
        </w:rPr>
        <w:t>s</w:t>
      </w:r>
      <w:r>
        <w:rPr>
          <w:rFonts w:ascii="Times New Roman" w:eastAsia="Times New Roman" w:hAnsi="Times New Roman" w:cs="Times New Roman"/>
          <w:iCs/>
          <w:sz w:val="24"/>
          <w:szCs w:val="24"/>
          <w:lang w:eastAsia="lv-LV"/>
        </w:rPr>
        <w:t xml:space="preserve"> </w:t>
      </w:r>
      <w:r w:rsidR="009A6D1D">
        <w:rPr>
          <w:rFonts w:ascii="Times New Roman" w:eastAsia="Times New Roman" w:hAnsi="Times New Roman" w:cs="Times New Roman"/>
          <w:iCs/>
          <w:sz w:val="24"/>
          <w:szCs w:val="24"/>
          <w:lang w:eastAsia="lv-LV"/>
        </w:rPr>
        <w:t xml:space="preserve">no iepriekš saņemtā pievienojuma </w:t>
      </w:r>
      <w:r>
        <w:rPr>
          <w:rFonts w:ascii="Times New Roman" w:eastAsia="Times New Roman" w:hAnsi="Times New Roman" w:cs="Times New Roman"/>
          <w:iCs/>
          <w:sz w:val="24"/>
          <w:szCs w:val="24"/>
          <w:lang w:eastAsia="lv-LV"/>
        </w:rPr>
        <w:t>saistīt</w:t>
      </w:r>
      <w:r w:rsidR="009A6D1D">
        <w:rPr>
          <w:rFonts w:ascii="Times New Roman" w:eastAsia="Times New Roman" w:hAnsi="Times New Roman" w:cs="Times New Roman"/>
          <w:iCs/>
          <w:sz w:val="24"/>
          <w:szCs w:val="24"/>
          <w:lang w:eastAsia="lv-LV"/>
        </w:rPr>
        <w:t>s</w:t>
      </w:r>
      <w:r>
        <w:rPr>
          <w:rFonts w:ascii="Times New Roman" w:eastAsia="Times New Roman" w:hAnsi="Times New Roman" w:cs="Times New Roman"/>
          <w:iCs/>
          <w:sz w:val="24"/>
          <w:szCs w:val="24"/>
          <w:lang w:eastAsia="lv-LV"/>
        </w:rPr>
        <w:t xml:space="preserve"> ar tādiem </w:t>
      </w:r>
      <w:r w:rsidR="009A6D1D">
        <w:rPr>
          <w:rFonts w:ascii="Times New Roman" w:eastAsia="Times New Roman" w:hAnsi="Times New Roman" w:cs="Times New Roman"/>
          <w:iCs/>
          <w:sz w:val="24"/>
          <w:szCs w:val="24"/>
          <w:lang w:eastAsia="lv-LV"/>
        </w:rPr>
        <w:t>izdevumiem</w:t>
      </w:r>
      <w:r>
        <w:rPr>
          <w:rFonts w:ascii="Times New Roman" w:eastAsia="Times New Roman" w:hAnsi="Times New Roman" w:cs="Times New Roman"/>
          <w:iCs/>
          <w:sz w:val="24"/>
          <w:szCs w:val="24"/>
          <w:lang w:eastAsia="lv-LV"/>
        </w:rPr>
        <w:t>, k</w:t>
      </w:r>
      <w:r w:rsidR="009A6D1D">
        <w:rPr>
          <w:rFonts w:ascii="Times New Roman" w:eastAsia="Times New Roman" w:hAnsi="Times New Roman" w:cs="Times New Roman"/>
          <w:iCs/>
          <w:sz w:val="24"/>
          <w:szCs w:val="24"/>
          <w:lang w:eastAsia="lv-LV"/>
        </w:rPr>
        <w:t>ur</w:t>
      </w:r>
      <w:r w:rsidR="00020713">
        <w:rPr>
          <w:rFonts w:ascii="Times New Roman" w:eastAsia="Times New Roman" w:hAnsi="Times New Roman" w:cs="Times New Roman"/>
          <w:iCs/>
          <w:sz w:val="24"/>
          <w:szCs w:val="24"/>
          <w:lang w:eastAsia="lv-LV"/>
        </w:rPr>
        <w:t>us</w:t>
      </w:r>
      <w:r>
        <w:rPr>
          <w:rFonts w:ascii="Times New Roman" w:eastAsia="Times New Roman" w:hAnsi="Times New Roman" w:cs="Times New Roman"/>
          <w:iCs/>
          <w:sz w:val="24"/>
          <w:szCs w:val="24"/>
          <w:lang w:eastAsia="lv-LV"/>
        </w:rPr>
        <w:t xml:space="preserve"> mantojuma atstājēj</w:t>
      </w:r>
      <w:r w:rsidR="00020713">
        <w:rPr>
          <w:rFonts w:ascii="Times New Roman" w:eastAsia="Times New Roman" w:hAnsi="Times New Roman" w:cs="Times New Roman"/>
          <w:iCs/>
          <w:sz w:val="24"/>
          <w:szCs w:val="24"/>
          <w:lang w:eastAsia="lv-LV"/>
        </w:rPr>
        <w:t>s taisījis, izpildot</w:t>
      </w:r>
      <w:r>
        <w:rPr>
          <w:rFonts w:ascii="Times New Roman" w:eastAsia="Times New Roman" w:hAnsi="Times New Roman" w:cs="Times New Roman"/>
          <w:iCs/>
          <w:sz w:val="24"/>
          <w:szCs w:val="24"/>
          <w:lang w:eastAsia="lv-LV"/>
        </w:rPr>
        <w:t xml:space="preserve"> no ģimenes tiesiskajām attiecībām izrietoš</w:t>
      </w:r>
      <w:r w:rsidR="00020713">
        <w:rPr>
          <w:rFonts w:ascii="Times New Roman" w:eastAsia="Times New Roman" w:hAnsi="Times New Roman" w:cs="Times New Roman"/>
          <w:iCs/>
          <w:sz w:val="24"/>
          <w:szCs w:val="24"/>
          <w:lang w:eastAsia="lv-LV"/>
        </w:rPr>
        <w:t>u</w:t>
      </w:r>
      <w:r>
        <w:rPr>
          <w:rFonts w:ascii="Times New Roman" w:eastAsia="Times New Roman" w:hAnsi="Times New Roman" w:cs="Times New Roman"/>
          <w:iCs/>
          <w:sz w:val="24"/>
          <w:szCs w:val="24"/>
          <w:lang w:eastAsia="lv-LV"/>
        </w:rPr>
        <w:t xml:space="preserve"> pienākum</w:t>
      </w:r>
      <w:r w:rsidR="00020713">
        <w:rPr>
          <w:rFonts w:ascii="Times New Roman" w:eastAsia="Times New Roman" w:hAnsi="Times New Roman" w:cs="Times New Roman"/>
          <w:iCs/>
          <w:sz w:val="24"/>
          <w:szCs w:val="24"/>
          <w:lang w:eastAsia="lv-LV"/>
        </w:rPr>
        <w:t>u</w:t>
      </w:r>
      <w:r w:rsidR="009A6D1D">
        <w:rPr>
          <w:rFonts w:ascii="Times New Roman" w:eastAsia="Times New Roman" w:hAnsi="Times New Roman" w:cs="Times New Roman"/>
          <w:iCs/>
          <w:sz w:val="24"/>
          <w:szCs w:val="24"/>
          <w:lang w:eastAsia="lv-LV"/>
        </w:rPr>
        <w:t xml:space="preserve"> pret</w:t>
      </w:r>
      <w:r>
        <w:rPr>
          <w:rFonts w:ascii="Times New Roman" w:eastAsia="Times New Roman" w:hAnsi="Times New Roman" w:cs="Times New Roman"/>
          <w:iCs/>
          <w:sz w:val="24"/>
          <w:szCs w:val="24"/>
          <w:lang w:eastAsia="lv-LV"/>
        </w:rPr>
        <w:t xml:space="preserve"> lejupējiem, citiem vārdiem, </w:t>
      </w:r>
      <w:r w:rsidR="009A6D1D">
        <w:rPr>
          <w:rFonts w:ascii="Times New Roman" w:eastAsia="Times New Roman" w:hAnsi="Times New Roman" w:cs="Times New Roman"/>
          <w:iCs/>
          <w:sz w:val="24"/>
          <w:szCs w:val="24"/>
          <w:lang w:eastAsia="lv-LV"/>
        </w:rPr>
        <w:t>šie izdevumi</w:t>
      </w:r>
      <w:r>
        <w:rPr>
          <w:rFonts w:ascii="Times New Roman" w:eastAsia="Times New Roman" w:hAnsi="Times New Roman" w:cs="Times New Roman"/>
          <w:iCs/>
          <w:sz w:val="24"/>
          <w:szCs w:val="24"/>
          <w:lang w:eastAsia="lv-LV"/>
        </w:rPr>
        <w:t xml:space="preserve"> nevar tikt uzskatīt</w:t>
      </w:r>
      <w:r w:rsidR="009A6D1D">
        <w:rPr>
          <w:rFonts w:ascii="Times New Roman" w:eastAsia="Times New Roman" w:hAnsi="Times New Roman" w:cs="Times New Roman"/>
          <w:iCs/>
          <w:sz w:val="24"/>
          <w:szCs w:val="24"/>
          <w:lang w:eastAsia="lv-LV"/>
        </w:rPr>
        <w:t>i</w:t>
      </w:r>
      <w:r>
        <w:rPr>
          <w:rFonts w:ascii="Times New Roman" w:eastAsia="Times New Roman" w:hAnsi="Times New Roman" w:cs="Times New Roman"/>
          <w:iCs/>
          <w:sz w:val="24"/>
          <w:szCs w:val="24"/>
          <w:lang w:eastAsia="lv-LV"/>
        </w:rPr>
        <w:t xml:space="preserve"> par tādu papildu sniegto mantisko labumu, uz ko būtu attiecināms iepriekš saņemtā pievienojums.</w:t>
      </w:r>
    </w:p>
    <w:p w14:paraId="034A27F7" w14:textId="7384CADA" w:rsidR="00F344B2" w:rsidRDefault="00547842" w:rsidP="001F2C24">
      <w:pPr>
        <w:autoSpaceDE w:val="0"/>
        <w:autoSpaceDN w:val="0"/>
        <w:adjustRightInd w:val="0"/>
        <w:spacing w:after="0"/>
        <w:ind w:firstLine="70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[5.3] </w:t>
      </w:r>
      <w:r w:rsidR="00E85B6B">
        <w:rPr>
          <w:rFonts w:ascii="Times New Roman" w:eastAsia="Times New Roman" w:hAnsi="Times New Roman" w:cs="Times New Roman"/>
          <w:iCs/>
          <w:sz w:val="24"/>
          <w:szCs w:val="24"/>
          <w:lang w:eastAsia="lv-LV"/>
        </w:rPr>
        <w:t>Vērtējot bērna spēju sevi apgādāt, ir būtiski</w:t>
      </w:r>
      <w:r w:rsidR="00924AEB">
        <w:rPr>
          <w:rFonts w:ascii="Times New Roman" w:eastAsia="Times New Roman" w:hAnsi="Times New Roman" w:cs="Times New Roman"/>
          <w:iCs/>
          <w:sz w:val="24"/>
          <w:szCs w:val="24"/>
          <w:lang w:eastAsia="lv-LV"/>
        </w:rPr>
        <w:t xml:space="preserve"> </w:t>
      </w:r>
      <w:r w:rsidR="00924AEB" w:rsidRPr="000F7AE3">
        <w:rPr>
          <w:rFonts w:ascii="Times New Roman" w:eastAsia="Times New Roman" w:hAnsi="Times New Roman" w:cs="Times New Roman"/>
          <w:iCs/>
          <w:sz w:val="24"/>
          <w:szCs w:val="24"/>
          <w:lang w:eastAsia="lv-LV"/>
        </w:rPr>
        <w:t>Civillikuma 179.</w:t>
      </w:r>
      <w:r w:rsidR="00924AEB">
        <w:rPr>
          <w:rFonts w:ascii="Times New Roman" w:eastAsia="Times New Roman" w:hAnsi="Times New Roman" w:cs="Times New Roman"/>
          <w:iCs/>
          <w:sz w:val="24"/>
          <w:szCs w:val="24"/>
          <w:lang w:eastAsia="lv-LV"/>
        </w:rPr>
        <w:t> </w:t>
      </w:r>
      <w:r w:rsidR="00924AEB" w:rsidRPr="000F7AE3">
        <w:rPr>
          <w:rFonts w:ascii="Times New Roman" w:eastAsia="Times New Roman" w:hAnsi="Times New Roman" w:cs="Times New Roman"/>
          <w:iCs/>
          <w:sz w:val="24"/>
          <w:szCs w:val="24"/>
          <w:lang w:eastAsia="lv-LV"/>
        </w:rPr>
        <w:t>pant</w:t>
      </w:r>
      <w:r w:rsidR="00924AEB">
        <w:rPr>
          <w:rFonts w:ascii="Times New Roman" w:eastAsia="Times New Roman" w:hAnsi="Times New Roman" w:cs="Times New Roman"/>
          <w:iCs/>
          <w:sz w:val="24"/>
          <w:szCs w:val="24"/>
          <w:lang w:eastAsia="lv-LV"/>
        </w:rPr>
        <w:t>a</w:t>
      </w:r>
      <w:r w:rsidR="00924AEB" w:rsidRPr="000F7AE3">
        <w:rPr>
          <w:rFonts w:ascii="Times New Roman" w:eastAsia="Times New Roman" w:hAnsi="Times New Roman" w:cs="Times New Roman"/>
          <w:iCs/>
          <w:sz w:val="24"/>
          <w:szCs w:val="24"/>
          <w:lang w:eastAsia="lv-LV"/>
        </w:rPr>
        <w:t xml:space="preserve"> </w:t>
      </w:r>
      <w:r w:rsidR="00924AEB">
        <w:rPr>
          <w:rFonts w:ascii="Times New Roman" w:eastAsia="Times New Roman" w:hAnsi="Times New Roman" w:cs="Times New Roman"/>
          <w:iCs/>
          <w:sz w:val="24"/>
          <w:szCs w:val="24"/>
          <w:lang w:eastAsia="lv-LV"/>
        </w:rPr>
        <w:t>interpretācij</w:t>
      </w:r>
      <w:r>
        <w:rPr>
          <w:rFonts w:ascii="Times New Roman" w:eastAsia="Times New Roman" w:hAnsi="Times New Roman" w:cs="Times New Roman"/>
          <w:iCs/>
          <w:sz w:val="24"/>
          <w:szCs w:val="24"/>
          <w:lang w:eastAsia="lv-LV"/>
        </w:rPr>
        <w:t>ā ņem</w:t>
      </w:r>
      <w:r w:rsidR="00E85B6B">
        <w:rPr>
          <w:rFonts w:ascii="Times New Roman" w:eastAsia="Times New Roman" w:hAnsi="Times New Roman" w:cs="Times New Roman"/>
          <w:iCs/>
          <w:sz w:val="24"/>
          <w:szCs w:val="24"/>
          <w:lang w:eastAsia="lv-LV"/>
        </w:rPr>
        <w:t>t</w:t>
      </w:r>
      <w:r>
        <w:rPr>
          <w:rFonts w:ascii="Times New Roman" w:eastAsia="Times New Roman" w:hAnsi="Times New Roman" w:cs="Times New Roman"/>
          <w:iCs/>
          <w:sz w:val="24"/>
          <w:szCs w:val="24"/>
          <w:lang w:eastAsia="lv-LV"/>
        </w:rPr>
        <w:t xml:space="preserve"> vērā judikatūrā </w:t>
      </w:r>
      <w:r w:rsidR="00045967">
        <w:rPr>
          <w:rFonts w:ascii="Times New Roman" w:eastAsia="Times New Roman" w:hAnsi="Times New Roman" w:cs="Times New Roman"/>
          <w:iCs/>
          <w:sz w:val="24"/>
          <w:szCs w:val="24"/>
          <w:lang w:eastAsia="lv-LV"/>
        </w:rPr>
        <w:t xml:space="preserve">jau </w:t>
      </w:r>
      <w:r>
        <w:rPr>
          <w:rFonts w:ascii="Times New Roman" w:eastAsia="Times New Roman" w:hAnsi="Times New Roman" w:cs="Times New Roman"/>
          <w:iCs/>
          <w:sz w:val="24"/>
          <w:szCs w:val="24"/>
          <w:lang w:eastAsia="lv-LV"/>
        </w:rPr>
        <w:t>sniegtās atziņas,</w:t>
      </w:r>
      <w:r w:rsidR="00924AEB">
        <w:rPr>
          <w:rFonts w:ascii="Times New Roman" w:eastAsia="Times New Roman" w:hAnsi="Times New Roman" w:cs="Times New Roman"/>
          <w:iCs/>
          <w:sz w:val="24"/>
          <w:szCs w:val="24"/>
          <w:lang w:eastAsia="lv-LV"/>
        </w:rPr>
        <w:t xml:space="preserve"> </w:t>
      </w:r>
      <w:r w:rsidR="00924AEB" w:rsidRPr="000F7AE3">
        <w:rPr>
          <w:rFonts w:ascii="Times New Roman" w:eastAsia="Times New Roman" w:hAnsi="Times New Roman" w:cs="Times New Roman"/>
          <w:iCs/>
          <w:sz w:val="24"/>
          <w:szCs w:val="24"/>
          <w:lang w:eastAsia="lv-LV"/>
        </w:rPr>
        <w:t>ka bērns, kurš mācās vidējās vai augstākās mācību iestādes dienas nodaļā un nav vecāks par 24</w:t>
      </w:r>
      <w:r w:rsidR="00924AEB">
        <w:rPr>
          <w:rFonts w:ascii="Times New Roman" w:eastAsia="Times New Roman" w:hAnsi="Times New Roman" w:cs="Times New Roman"/>
          <w:iCs/>
          <w:sz w:val="24"/>
          <w:szCs w:val="24"/>
          <w:lang w:eastAsia="lv-LV"/>
        </w:rPr>
        <w:t> </w:t>
      </w:r>
      <w:r w:rsidR="00924AEB" w:rsidRPr="000F7AE3">
        <w:rPr>
          <w:rFonts w:ascii="Times New Roman" w:eastAsia="Times New Roman" w:hAnsi="Times New Roman" w:cs="Times New Roman"/>
          <w:iCs/>
          <w:sz w:val="24"/>
          <w:szCs w:val="24"/>
          <w:lang w:eastAsia="lv-LV"/>
        </w:rPr>
        <w:t xml:space="preserve">gadiem, ir uzskatāms par nespējīgu sevi apgādāt, līdz ar to vecākiem ir pienākums </w:t>
      </w:r>
      <w:r w:rsidR="00F97AE8">
        <w:rPr>
          <w:rFonts w:ascii="Times New Roman" w:eastAsia="Times New Roman" w:hAnsi="Times New Roman" w:cs="Times New Roman"/>
          <w:iCs/>
          <w:sz w:val="24"/>
          <w:szCs w:val="24"/>
          <w:lang w:eastAsia="lv-LV"/>
        </w:rPr>
        <w:t xml:space="preserve">viņu </w:t>
      </w:r>
      <w:r w:rsidR="00924AEB" w:rsidRPr="000F7AE3">
        <w:rPr>
          <w:rFonts w:ascii="Times New Roman" w:eastAsia="Times New Roman" w:hAnsi="Times New Roman" w:cs="Times New Roman"/>
          <w:iCs/>
          <w:sz w:val="24"/>
          <w:szCs w:val="24"/>
          <w:lang w:eastAsia="lv-LV"/>
        </w:rPr>
        <w:t xml:space="preserve">uzturēt. Turpretī, ja bērns ir vecāks par 24 gadiem un turpina mācīties, tad pieņemams, ka </w:t>
      </w:r>
      <w:r w:rsidR="00F97AE8">
        <w:rPr>
          <w:rFonts w:ascii="Times New Roman" w:eastAsia="Times New Roman" w:hAnsi="Times New Roman" w:cs="Times New Roman"/>
          <w:iCs/>
          <w:sz w:val="24"/>
          <w:szCs w:val="24"/>
          <w:lang w:eastAsia="lv-LV"/>
        </w:rPr>
        <w:t>viņš</w:t>
      </w:r>
      <w:r w:rsidR="00924AEB" w:rsidRPr="000F7AE3">
        <w:rPr>
          <w:rFonts w:ascii="Times New Roman" w:eastAsia="Times New Roman" w:hAnsi="Times New Roman" w:cs="Times New Roman"/>
          <w:iCs/>
          <w:sz w:val="24"/>
          <w:szCs w:val="24"/>
          <w:lang w:eastAsia="lv-LV"/>
        </w:rPr>
        <w:t xml:space="preserve"> spēj sevi apgādāt un vecākiem vairs nav pienākum</w:t>
      </w:r>
      <w:r w:rsidR="005174FD">
        <w:rPr>
          <w:rFonts w:ascii="Times New Roman" w:eastAsia="Times New Roman" w:hAnsi="Times New Roman" w:cs="Times New Roman"/>
          <w:iCs/>
          <w:sz w:val="24"/>
          <w:szCs w:val="24"/>
          <w:lang w:eastAsia="lv-LV"/>
        </w:rPr>
        <w:t>a</w:t>
      </w:r>
      <w:r w:rsidR="00924AEB" w:rsidRPr="000F7AE3">
        <w:rPr>
          <w:rFonts w:ascii="Times New Roman" w:eastAsia="Times New Roman" w:hAnsi="Times New Roman" w:cs="Times New Roman"/>
          <w:iCs/>
          <w:sz w:val="24"/>
          <w:szCs w:val="24"/>
          <w:lang w:eastAsia="lv-LV"/>
        </w:rPr>
        <w:t xml:space="preserve"> uzturēt bērnu</w:t>
      </w:r>
      <w:r w:rsidR="00924AEB">
        <w:rPr>
          <w:rFonts w:ascii="Times New Roman" w:eastAsia="Times New Roman" w:hAnsi="Times New Roman" w:cs="Times New Roman"/>
          <w:iCs/>
          <w:sz w:val="24"/>
          <w:szCs w:val="24"/>
          <w:lang w:eastAsia="lv-LV"/>
        </w:rPr>
        <w:t xml:space="preserve"> (sk. </w:t>
      </w:r>
      <w:r w:rsidR="00924AEB">
        <w:rPr>
          <w:rFonts w:ascii="Times New Roman" w:eastAsia="Times New Roman" w:hAnsi="Times New Roman" w:cs="Times New Roman"/>
          <w:i/>
          <w:sz w:val="24"/>
          <w:szCs w:val="24"/>
          <w:lang w:eastAsia="lv-LV"/>
        </w:rPr>
        <w:t>Senāta 2015. gada 7. janvāra spriedum</w:t>
      </w:r>
      <w:r w:rsidR="00440A7B">
        <w:rPr>
          <w:rFonts w:ascii="Times New Roman" w:eastAsia="Times New Roman" w:hAnsi="Times New Roman" w:cs="Times New Roman"/>
          <w:i/>
          <w:sz w:val="24"/>
          <w:szCs w:val="24"/>
          <w:lang w:eastAsia="lv-LV"/>
        </w:rPr>
        <w:t>a</w:t>
      </w:r>
      <w:r w:rsidR="00924AEB">
        <w:rPr>
          <w:rFonts w:ascii="Times New Roman" w:eastAsia="Times New Roman" w:hAnsi="Times New Roman" w:cs="Times New Roman"/>
          <w:i/>
          <w:sz w:val="24"/>
          <w:szCs w:val="24"/>
          <w:lang w:eastAsia="lv-LV"/>
        </w:rPr>
        <w:t xml:space="preserve"> lietā Nr</w:t>
      </w:r>
      <w:r w:rsidR="00924AEB" w:rsidRPr="00BF349E">
        <w:rPr>
          <w:rFonts w:ascii="Times New Roman" w:eastAsia="Times New Roman" w:hAnsi="Times New Roman" w:cs="Times New Roman"/>
          <w:i/>
          <w:sz w:val="24"/>
          <w:szCs w:val="24"/>
          <w:lang w:eastAsia="lv-LV"/>
        </w:rPr>
        <w:t>. SKC-1478/2015 (</w:t>
      </w:r>
      <w:r w:rsidR="00BF349E" w:rsidRPr="00BF349E">
        <w:rPr>
          <w:rFonts w:ascii="Times New Roman" w:eastAsia="Times New Roman" w:hAnsi="Times New Roman" w:cs="Times New Roman"/>
          <w:i/>
          <w:sz w:val="24"/>
          <w:szCs w:val="24"/>
          <w:lang w:eastAsia="lv-LV"/>
        </w:rPr>
        <w:t>C29724712</w:t>
      </w:r>
      <w:r w:rsidR="00924AEB" w:rsidRPr="00BF349E">
        <w:rPr>
          <w:rFonts w:ascii="Times New Roman" w:eastAsia="Times New Roman" w:hAnsi="Times New Roman" w:cs="Times New Roman"/>
          <w:i/>
          <w:sz w:val="24"/>
          <w:szCs w:val="24"/>
          <w:lang w:eastAsia="lv-LV"/>
        </w:rPr>
        <w:t>)</w:t>
      </w:r>
      <w:r w:rsidR="00AC5196">
        <w:rPr>
          <w:rFonts w:ascii="Times New Roman" w:eastAsia="Times New Roman" w:hAnsi="Times New Roman" w:cs="Times New Roman"/>
          <w:i/>
          <w:sz w:val="24"/>
          <w:szCs w:val="24"/>
          <w:lang w:eastAsia="lv-LV"/>
        </w:rPr>
        <w:t xml:space="preserve"> 8.2. apakšpunktu</w:t>
      </w:r>
      <w:r w:rsidR="00BF349E">
        <w:rPr>
          <w:rFonts w:ascii="Times New Roman" w:eastAsia="Times New Roman" w:hAnsi="Times New Roman" w:cs="Times New Roman"/>
          <w:iCs/>
          <w:sz w:val="24"/>
          <w:szCs w:val="24"/>
          <w:lang w:eastAsia="lv-LV"/>
        </w:rPr>
        <w:t>)</w:t>
      </w:r>
      <w:r w:rsidR="00924AEB" w:rsidRPr="00BF349E">
        <w:rPr>
          <w:rFonts w:ascii="Times New Roman" w:eastAsia="Times New Roman" w:hAnsi="Times New Roman" w:cs="Times New Roman"/>
          <w:iCs/>
          <w:sz w:val="24"/>
          <w:szCs w:val="24"/>
          <w:lang w:eastAsia="lv-LV"/>
        </w:rPr>
        <w:t>.</w:t>
      </w:r>
    </w:p>
    <w:p w14:paraId="493B0979" w14:textId="77777777" w:rsidR="00F344B2" w:rsidRDefault="00F344B2" w:rsidP="00F344B2">
      <w:pPr>
        <w:autoSpaceDE w:val="0"/>
        <w:autoSpaceDN w:val="0"/>
        <w:adjustRightInd w:val="0"/>
        <w:spacing w:after="0"/>
        <w:ind w:firstLine="709"/>
        <w:jc w:val="both"/>
        <w:rPr>
          <w:rFonts w:ascii="TimesNewRomanPSMT" w:hAnsi="TimesNewRomanPSMT" w:cs="TimesNewRomanPSMT"/>
          <w:sz w:val="24"/>
          <w:szCs w:val="24"/>
        </w:rPr>
      </w:pPr>
    </w:p>
    <w:p w14:paraId="193A38A0" w14:textId="79036B70" w:rsidR="0039113B" w:rsidRPr="00924AEB" w:rsidRDefault="00317578" w:rsidP="00924AEB">
      <w:pPr>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924AEB">
        <w:rPr>
          <w:rFonts w:ascii="Times New Roman" w:hAnsi="Times New Roman" w:cs="Times New Roman"/>
          <w:sz w:val="24"/>
          <w:szCs w:val="24"/>
        </w:rPr>
        <w:t>6</w:t>
      </w:r>
      <w:r>
        <w:rPr>
          <w:rFonts w:ascii="Times New Roman" w:hAnsi="Times New Roman" w:cs="Times New Roman"/>
          <w:sz w:val="24"/>
          <w:szCs w:val="24"/>
        </w:rPr>
        <w:t>] </w:t>
      </w:r>
      <w:r w:rsidR="002F36D4">
        <w:rPr>
          <w:rFonts w:ascii="Times New Roman" w:hAnsi="Times New Roman" w:cs="Times New Roman"/>
          <w:sz w:val="24"/>
          <w:szCs w:val="24"/>
        </w:rPr>
        <w:t>Atbildētāja</w:t>
      </w:r>
      <w:r w:rsidR="001F2C24">
        <w:rPr>
          <w:rFonts w:ascii="Times New Roman" w:hAnsi="Times New Roman" w:cs="Times New Roman"/>
          <w:sz w:val="24"/>
          <w:szCs w:val="24"/>
        </w:rPr>
        <w:t>s pārstāvei</w:t>
      </w:r>
      <w:r w:rsidR="002F36D4">
        <w:rPr>
          <w:rFonts w:ascii="Times New Roman" w:hAnsi="Times New Roman" w:cs="Times New Roman"/>
          <w:sz w:val="24"/>
          <w:szCs w:val="24"/>
        </w:rPr>
        <w:t xml:space="preserve"> saskaņā ar Civilprocesa likuma 458. panta otro daļu atmaksājama drošības nauda</w:t>
      </w:r>
      <w:r>
        <w:rPr>
          <w:rFonts w:ascii="Times New Roman" w:hAnsi="Times New Roman" w:cs="Times New Roman"/>
          <w:sz w:val="24"/>
          <w:szCs w:val="24"/>
        </w:rPr>
        <w:t xml:space="preserve"> 300 </w:t>
      </w:r>
      <w:r>
        <w:rPr>
          <w:rFonts w:ascii="Times New Roman" w:hAnsi="Times New Roman" w:cs="Times New Roman"/>
          <w:i/>
          <w:iCs/>
          <w:sz w:val="24"/>
          <w:szCs w:val="24"/>
        </w:rPr>
        <w:t>euro</w:t>
      </w:r>
      <w:r w:rsidR="002F36D4">
        <w:rPr>
          <w:rFonts w:ascii="Times New Roman" w:hAnsi="Times New Roman" w:cs="Times New Roman"/>
          <w:sz w:val="24"/>
          <w:szCs w:val="24"/>
        </w:rPr>
        <w:t>.</w:t>
      </w:r>
    </w:p>
    <w:p w14:paraId="46ADB3B9" w14:textId="77777777" w:rsidR="006F2B22" w:rsidRDefault="006F2B22" w:rsidP="002F36D4">
      <w:pPr>
        <w:pStyle w:val="tv213"/>
        <w:shd w:val="clear" w:color="auto" w:fill="FFFFFF"/>
        <w:spacing w:before="0" w:beforeAutospacing="0" w:after="0" w:afterAutospacing="0" w:line="23" w:lineRule="atLeast"/>
        <w:jc w:val="center"/>
        <w:rPr>
          <w:b/>
        </w:rPr>
      </w:pPr>
      <w:r>
        <w:rPr>
          <w:b/>
        </w:rPr>
        <w:t>Rezolutīvā daļa</w:t>
      </w:r>
    </w:p>
    <w:p w14:paraId="10D49D59" w14:textId="77777777" w:rsidR="006F2B22" w:rsidRDefault="006F2B22" w:rsidP="006F2B22">
      <w:pPr>
        <w:pStyle w:val="tv213"/>
        <w:shd w:val="clear" w:color="auto" w:fill="FFFFFF"/>
        <w:spacing w:before="0" w:beforeAutospacing="0" w:after="0" w:afterAutospacing="0" w:line="23" w:lineRule="atLeast"/>
        <w:ind w:firstLine="709"/>
        <w:jc w:val="center"/>
        <w:rPr>
          <w:b/>
        </w:rPr>
      </w:pPr>
    </w:p>
    <w:p w14:paraId="47A50A57" w14:textId="77777777" w:rsidR="006F2B22" w:rsidRDefault="006F2B22" w:rsidP="006F2B22">
      <w:pPr>
        <w:pStyle w:val="tv213"/>
        <w:shd w:val="clear" w:color="auto" w:fill="FFFFFF"/>
        <w:spacing w:before="0" w:beforeAutospacing="0" w:after="0" w:afterAutospacing="0" w:line="293" w:lineRule="atLeast"/>
        <w:ind w:firstLine="709"/>
        <w:jc w:val="both"/>
      </w:pPr>
      <w:r>
        <w:t>Pamatojoties uz Civilprocesa likuma 474. panta 2. punktu, Senāts</w:t>
      </w:r>
    </w:p>
    <w:p w14:paraId="218A8F7D" w14:textId="77777777" w:rsidR="006F2B22" w:rsidRDefault="006F2B22" w:rsidP="006F2B22">
      <w:pPr>
        <w:pStyle w:val="tv213"/>
        <w:shd w:val="clear" w:color="auto" w:fill="FFFFFF"/>
        <w:spacing w:before="0" w:beforeAutospacing="0" w:after="0" w:afterAutospacing="0" w:line="293" w:lineRule="atLeast"/>
        <w:ind w:firstLine="709"/>
        <w:jc w:val="center"/>
      </w:pPr>
    </w:p>
    <w:p w14:paraId="5BAF66C1" w14:textId="77777777" w:rsidR="006F2B22" w:rsidRDefault="006F2B22" w:rsidP="002F36D4">
      <w:pPr>
        <w:pStyle w:val="tv213"/>
        <w:shd w:val="clear" w:color="auto" w:fill="FFFFFF"/>
        <w:spacing w:before="0" w:beforeAutospacing="0" w:after="0" w:afterAutospacing="0" w:line="293" w:lineRule="atLeast"/>
        <w:jc w:val="center"/>
        <w:rPr>
          <w:b/>
        </w:rPr>
      </w:pPr>
      <w:r>
        <w:rPr>
          <w:b/>
        </w:rPr>
        <w:t>nosprieda</w:t>
      </w:r>
    </w:p>
    <w:p w14:paraId="7305EABA" w14:textId="77777777" w:rsidR="006F2B22" w:rsidRDefault="006F2B22" w:rsidP="006F2B22">
      <w:pPr>
        <w:pStyle w:val="tv213"/>
        <w:shd w:val="clear" w:color="auto" w:fill="FFFFFF"/>
        <w:spacing w:before="0" w:beforeAutospacing="0" w:after="0" w:afterAutospacing="0" w:line="293" w:lineRule="atLeast"/>
        <w:ind w:firstLine="709"/>
        <w:jc w:val="center"/>
        <w:rPr>
          <w:b/>
        </w:rPr>
      </w:pPr>
    </w:p>
    <w:p w14:paraId="450AE1FF" w14:textId="2C74A705" w:rsidR="006F2B22" w:rsidRDefault="006F2B22" w:rsidP="006F2B22">
      <w:pPr>
        <w:pStyle w:val="tv213"/>
        <w:shd w:val="clear" w:color="auto" w:fill="FFFFFF"/>
        <w:spacing w:before="0" w:beforeAutospacing="0" w:after="0" w:afterAutospacing="0" w:line="293" w:lineRule="atLeast"/>
        <w:ind w:firstLine="709"/>
        <w:jc w:val="both"/>
      </w:pPr>
      <w:r>
        <w:t xml:space="preserve">Rīgas apgabaltiesas Civillietu tiesas kolēģijas </w:t>
      </w:r>
      <w:r w:rsidR="00317578">
        <w:t>2021. gada 12. janvāra</w:t>
      </w:r>
      <w:r>
        <w:t xml:space="preserve"> spriedumu </w:t>
      </w:r>
      <w:r w:rsidR="0074740C">
        <w:t xml:space="preserve">tā apmierinātajā daļā </w:t>
      </w:r>
      <w:r w:rsidR="002F36D4">
        <w:t xml:space="preserve">atcelt </w:t>
      </w:r>
      <w:r>
        <w:t>un lietu nodot jaunai izskatīšanai apelācijas instances ties</w:t>
      </w:r>
      <w:r w:rsidR="002F36D4">
        <w:t>ā</w:t>
      </w:r>
      <w:r>
        <w:t>.</w:t>
      </w:r>
    </w:p>
    <w:p w14:paraId="4D8CDA5D" w14:textId="55F2BC71" w:rsidR="006F2B22" w:rsidRDefault="006F2B22" w:rsidP="001F2C24">
      <w:pPr>
        <w:pStyle w:val="tv213"/>
        <w:shd w:val="clear" w:color="auto" w:fill="FFFFFF"/>
        <w:spacing w:before="0" w:beforeAutospacing="0" w:after="0" w:afterAutospacing="0" w:line="293" w:lineRule="atLeast"/>
        <w:ind w:firstLine="709"/>
        <w:jc w:val="both"/>
      </w:pPr>
      <w:r>
        <w:t xml:space="preserve">Atmaksāt </w:t>
      </w:r>
      <w:r w:rsidR="001F2C24">
        <w:t>SIA ,,</w:t>
      </w:r>
      <w:r w:rsidR="001F2C24" w:rsidRPr="001F2C24">
        <w:t>ZAB COBALT</w:t>
      </w:r>
      <w:r w:rsidR="001F2C24">
        <w:t>”</w:t>
      </w:r>
      <w:r>
        <w:t xml:space="preserve"> drošības naudu 300</w:t>
      </w:r>
      <w:r w:rsidR="00317578">
        <w:t> </w:t>
      </w:r>
      <w:r w:rsidR="00317578">
        <w:rPr>
          <w:i/>
          <w:iCs/>
        </w:rPr>
        <w:t>euro</w:t>
      </w:r>
      <w:r w:rsidR="009E4C69">
        <w:t xml:space="preserve"> (trīs simti </w:t>
      </w:r>
      <w:r w:rsidR="009E4C69">
        <w:rPr>
          <w:i/>
        </w:rPr>
        <w:t>euro</w:t>
      </w:r>
      <w:r w:rsidR="009E4C69">
        <w:t>)</w:t>
      </w:r>
      <w:r>
        <w:t>.</w:t>
      </w:r>
    </w:p>
    <w:p w14:paraId="2FA1FCC0" w14:textId="77777777" w:rsidR="006F2B22" w:rsidRDefault="006F2B22" w:rsidP="006F2B22">
      <w:pPr>
        <w:pStyle w:val="tv213"/>
        <w:shd w:val="clear" w:color="auto" w:fill="FFFFFF"/>
        <w:spacing w:before="0" w:beforeAutospacing="0" w:after="0" w:afterAutospacing="0" w:line="293" w:lineRule="atLeast"/>
        <w:ind w:firstLine="709"/>
        <w:jc w:val="both"/>
      </w:pPr>
      <w:r>
        <w:t>Spriedums nav pārsūdzams.</w:t>
      </w:r>
    </w:p>
    <w:sectPr w:rsidR="006F2B22" w:rsidSect="008D09A5">
      <w:footerReference w:type="default" r:id="rId8"/>
      <w:footerReference w:type="first" r:id="rId9"/>
      <w:pgSz w:w="11906" w:h="16838"/>
      <w:pgMar w:top="1021" w:right="1134"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87D2D" w14:textId="77777777" w:rsidR="004C240E" w:rsidRDefault="004C240E" w:rsidP="00B50190">
      <w:pPr>
        <w:spacing w:after="0" w:line="240" w:lineRule="auto"/>
      </w:pPr>
      <w:r>
        <w:separator/>
      </w:r>
    </w:p>
  </w:endnote>
  <w:endnote w:type="continuationSeparator" w:id="0">
    <w:p w14:paraId="70196EA6" w14:textId="77777777" w:rsidR="004C240E" w:rsidRDefault="004C240E" w:rsidP="00B50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97F2" w14:textId="0365460B" w:rsidR="00AC2D41" w:rsidRPr="00FF685D" w:rsidRDefault="00AC2D41" w:rsidP="00CF2EA9">
    <w:pPr>
      <w:pStyle w:val="Footer"/>
      <w:tabs>
        <w:tab w:val="clear" w:pos="9026"/>
        <w:tab w:val="center" w:pos="4153"/>
        <w:tab w:val="left" w:pos="5134"/>
      </w:tabs>
      <w:jc w:val="center"/>
      <w:rPr>
        <w:rFonts w:ascii="Times New Roman" w:hAnsi="Times New Roman" w:cs="Times New Roman"/>
        <w:sz w:val="24"/>
        <w:szCs w:val="24"/>
      </w:rPr>
    </w:pPr>
    <w:r w:rsidRPr="00FF685D">
      <w:rPr>
        <w:rFonts w:ascii="Times New Roman" w:hAnsi="Times New Roman" w:cs="Times New Roman"/>
        <w:sz w:val="24"/>
        <w:szCs w:val="24"/>
      </w:rPr>
      <w:fldChar w:fldCharType="begin"/>
    </w:r>
    <w:r w:rsidRPr="00FF685D">
      <w:rPr>
        <w:rFonts w:ascii="Times New Roman" w:hAnsi="Times New Roman" w:cs="Times New Roman"/>
        <w:sz w:val="24"/>
        <w:szCs w:val="24"/>
      </w:rPr>
      <w:instrText xml:space="preserve"> PAGE   \* MERGEFORMAT </w:instrText>
    </w:r>
    <w:r w:rsidRPr="00FF685D">
      <w:rPr>
        <w:rFonts w:ascii="Times New Roman" w:hAnsi="Times New Roman" w:cs="Times New Roman"/>
        <w:sz w:val="24"/>
        <w:szCs w:val="24"/>
      </w:rPr>
      <w:fldChar w:fldCharType="separate"/>
    </w:r>
    <w:r w:rsidR="00E37E4F" w:rsidRPr="00FF685D">
      <w:rPr>
        <w:rFonts w:ascii="Times New Roman" w:hAnsi="Times New Roman" w:cs="Times New Roman"/>
        <w:noProof/>
        <w:sz w:val="24"/>
        <w:szCs w:val="24"/>
      </w:rPr>
      <w:t>6</w:t>
    </w:r>
    <w:r w:rsidRPr="00FF685D">
      <w:rPr>
        <w:rFonts w:ascii="Times New Roman" w:hAnsi="Times New Roman" w:cs="Times New Roman"/>
        <w:noProof/>
        <w:sz w:val="24"/>
        <w:szCs w:val="24"/>
      </w:rPr>
      <w:fldChar w:fldCharType="end"/>
    </w:r>
    <w:r w:rsidRPr="00FF685D">
      <w:rPr>
        <w:rFonts w:ascii="Times New Roman" w:hAnsi="Times New Roman" w:cs="Times New Roman"/>
        <w:sz w:val="24"/>
        <w:szCs w:val="24"/>
      </w:rPr>
      <w:t xml:space="preserve"> no </w:t>
    </w:r>
    <w:r w:rsidR="00FF685D" w:rsidRPr="00FF685D">
      <w:rPr>
        <w:rFonts w:ascii="Times New Roman" w:hAnsi="Times New Roman" w:cs="Times New Roman"/>
        <w:sz w:val="24"/>
        <w:szCs w:val="24"/>
      </w:rPr>
      <w:t>4</w:t>
    </w:r>
  </w:p>
  <w:p w14:paraId="6A0E3BF1" w14:textId="77777777" w:rsidR="00AC2D41" w:rsidRPr="00FF685D" w:rsidRDefault="00AC2D41">
    <w:pPr>
      <w:pStyle w:val="Foo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AE50" w14:textId="17945924" w:rsidR="00B50190" w:rsidRPr="00EC2CDF" w:rsidRDefault="00B50190" w:rsidP="00EC2CDF">
    <w:pPr>
      <w:pStyle w:val="Footer"/>
      <w:jc w:val="center"/>
    </w:pPr>
    <w:r w:rsidRPr="00EC2CDF">
      <w:rPr>
        <w:rFonts w:ascii="Times New Roman" w:hAnsi="Times New Roman"/>
        <w:sz w:val="24"/>
        <w:szCs w:val="24"/>
      </w:rPr>
      <w:fldChar w:fldCharType="begin"/>
    </w:r>
    <w:r w:rsidRPr="00EC2CDF">
      <w:rPr>
        <w:rFonts w:ascii="Times New Roman" w:hAnsi="Times New Roman"/>
        <w:sz w:val="24"/>
        <w:szCs w:val="24"/>
      </w:rPr>
      <w:instrText xml:space="preserve"> PAGE   \* MERGEFORMAT </w:instrText>
    </w:r>
    <w:r w:rsidRPr="00EC2CDF">
      <w:rPr>
        <w:rFonts w:ascii="Times New Roman" w:hAnsi="Times New Roman"/>
        <w:sz w:val="24"/>
        <w:szCs w:val="24"/>
      </w:rPr>
      <w:fldChar w:fldCharType="separate"/>
    </w:r>
    <w:r w:rsidR="00E37E4F" w:rsidRPr="00EC2CDF">
      <w:rPr>
        <w:rFonts w:ascii="Times New Roman" w:hAnsi="Times New Roman"/>
        <w:noProof/>
        <w:sz w:val="24"/>
        <w:szCs w:val="24"/>
      </w:rPr>
      <w:t>1</w:t>
    </w:r>
    <w:r w:rsidRPr="00EC2CDF">
      <w:rPr>
        <w:rFonts w:ascii="Times New Roman" w:hAnsi="Times New Roman"/>
        <w:noProof/>
        <w:sz w:val="24"/>
        <w:szCs w:val="24"/>
      </w:rPr>
      <w:fldChar w:fldCharType="end"/>
    </w:r>
    <w:r w:rsidRPr="00EC2CDF">
      <w:rPr>
        <w:rFonts w:ascii="Times New Roman" w:hAnsi="Times New Roman"/>
        <w:sz w:val="24"/>
        <w:szCs w:val="24"/>
      </w:rPr>
      <w:t xml:space="preserve"> no </w:t>
    </w:r>
    <w:r w:rsidR="00EC2CDF" w:rsidRPr="00EC2CDF">
      <w:rPr>
        <w:rFonts w:ascii="Times New Roman" w:hAnsi="Times New Roman"/>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7A129" w14:textId="77777777" w:rsidR="004C240E" w:rsidRDefault="004C240E" w:rsidP="00B50190">
      <w:pPr>
        <w:spacing w:after="0" w:line="240" w:lineRule="auto"/>
      </w:pPr>
      <w:r>
        <w:separator/>
      </w:r>
    </w:p>
  </w:footnote>
  <w:footnote w:type="continuationSeparator" w:id="0">
    <w:p w14:paraId="688BD055" w14:textId="77777777" w:rsidR="004C240E" w:rsidRDefault="004C240E" w:rsidP="00B501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22"/>
    <w:rsid w:val="000020CA"/>
    <w:rsid w:val="00016506"/>
    <w:rsid w:val="00020713"/>
    <w:rsid w:val="00025918"/>
    <w:rsid w:val="00025C58"/>
    <w:rsid w:val="00027E06"/>
    <w:rsid w:val="00031066"/>
    <w:rsid w:val="000447BD"/>
    <w:rsid w:val="000448BD"/>
    <w:rsid w:val="00045967"/>
    <w:rsid w:val="00056B2A"/>
    <w:rsid w:val="0006003C"/>
    <w:rsid w:val="00062CEB"/>
    <w:rsid w:val="00082A63"/>
    <w:rsid w:val="00090CEB"/>
    <w:rsid w:val="000A6379"/>
    <w:rsid w:val="000B7A9B"/>
    <w:rsid w:val="000C13C1"/>
    <w:rsid w:val="000C4C38"/>
    <w:rsid w:val="000C7234"/>
    <w:rsid w:val="000D655A"/>
    <w:rsid w:val="000E4F45"/>
    <w:rsid w:val="000F3DD6"/>
    <w:rsid w:val="000F4BA9"/>
    <w:rsid w:val="000F7AE3"/>
    <w:rsid w:val="00103AD4"/>
    <w:rsid w:val="00104BD0"/>
    <w:rsid w:val="0010712D"/>
    <w:rsid w:val="00116DAD"/>
    <w:rsid w:val="00117787"/>
    <w:rsid w:val="00132F0A"/>
    <w:rsid w:val="00133860"/>
    <w:rsid w:val="00133E25"/>
    <w:rsid w:val="00146B09"/>
    <w:rsid w:val="0015087D"/>
    <w:rsid w:val="0015743E"/>
    <w:rsid w:val="0017367E"/>
    <w:rsid w:val="00181138"/>
    <w:rsid w:val="00192C95"/>
    <w:rsid w:val="001A4EE0"/>
    <w:rsid w:val="001B2C2A"/>
    <w:rsid w:val="001B4DBE"/>
    <w:rsid w:val="001B5289"/>
    <w:rsid w:val="001C344F"/>
    <w:rsid w:val="001C4C75"/>
    <w:rsid w:val="001C6848"/>
    <w:rsid w:val="001C71E2"/>
    <w:rsid w:val="001C7C67"/>
    <w:rsid w:val="001D2AE5"/>
    <w:rsid w:val="001F2C24"/>
    <w:rsid w:val="00200F59"/>
    <w:rsid w:val="002010CD"/>
    <w:rsid w:val="002063F8"/>
    <w:rsid w:val="002069B7"/>
    <w:rsid w:val="00210B41"/>
    <w:rsid w:val="00211099"/>
    <w:rsid w:val="00213CC5"/>
    <w:rsid w:val="00213DF2"/>
    <w:rsid w:val="002225C6"/>
    <w:rsid w:val="002348DB"/>
    <w:rsid w:val="002350E0"/>
    <w:rsid w:val="00263E94"/>
    <w:rsid w:val="00277B96"/>
    <w:rsid w:val="0028040F"/>
    <w:rsid w:val="0028652F"/>
    <w:rsid w:val="00290323"/>
    <w:rsid w:val="00292425"/>
    <w:rsid w:val="00296334"/>
    <w:rsid w:val="002A094E"/>
    <w:rsid w:val="002A190F"/>
    <w:rsid w:val="002A3410"/>
    <w:rsid w:val="002C22DA"/>
    <w:rsid w:val="002C44AA"/>
    <w:rsid w:val="002C6E0A"/>
    <w:rsid w:val="002D1362"/>
    <w:rsid w:val="002F36D4"/>
    <w:rsid w:val="002F600E"/>
    <w:rsid w:val="00306C49"/>
    <w:rsid w:val="00317578"/>
    <w:rsid w:val="00327832"/>
    <w:rsid w:val="00331987"/>
    <w:rsid w:val="00336396"/>
    <w:rsid w:val="003412A1"/>
    <w:rsid w:val="00347013"/>
    <w:rsid w:val="00360EFF"/>
    <w:rsid w:val="003739C7"/>
    <w:rsid w:val="00382615"/>
    <w:rsid w:val="003861DD"/>
    <w:rsid w:val="00387D10"/>
    <w:rsid w:val="00390F21"/>
    <w:rsid w:val="0039113B"/>
    <w:rsid w:val="003A7F48"/>
    <w:rsid w:val="003B0075"/>
    <w:rsid w:val="003B6CC3"/>
    <w:rsid w:val="003C7C43"/>
    <w:rsid w:val="003D26D6"/>
    <w:rsid w:val="003D372E"/>
    <w:rsid w:val="003E24E8"/>
    <w:rsid w:val="003E328E"/>
    <w:rsid w:val="003F27D9"/>
    <w:rsid w:val="00430ADE"/>
    <w:rsid w:val="00432D9C"/>
    <w:rsid w:val="0043429D"/>
    <w:rsid w:val="004371BD"/>
    <w:rsid w:val="00440A7B"/>
    <w:rsid w:val="00441499"/>
    <w:rsid w:val="00447ABB"/>
    <w:rsid w:val="00450D92"/>
    <w:rsid w:val="00456C8F"/>
    <w:rsid w:val="004574D4"/>
    <w:rsid w:val="004631CA"/>
    <w:rsid w:val="0046731B"/>
    <w:rsid w:val="00472860"/>
    <w:rsid w:val="004730ED"/>
    <w:rsid w:val="004755B5"/>
    <w:rsid w:val="00481482"/>
    <w:rsid w:val="0048337E"/>
    <w:rsid w:val="004947DD"/>
    <w:rsid w:val="00495642"/>
    <w:rsid w:val="004A0D77"/>
    <w:rsid w:val="004A105F"/>
    <w:rsid w:val="004A7A27"/>
    <w:rsid w:val="004B2174"/>
    <w:rsid w:val="004C1749"/>
    <w:rsid w:val="004C240E"/>
    <w:rsid w:val="004C3767"/>
    <w:rsid w:val="004C783A"/>
    <w:rsid w:val="004C788C"/>
    <w:rsid w:val="004D190D"/>
    <w:rsid w:val="004E5B04"/>
    <w:rsid w:val="005142AB"/>
    <w:rsid w:val="005174FD"/>
    <w:rsid w:val="00517E05"/>
    <w:rsid w:val="005218FC"/>
    <w:rsid w:val="00535394"/>
    <w:rsid w:val="00543353"/>
    <w:rsid w:val="005452AF"/>
    <w:rsid w:val="00547842"/>
    <w:rsid w:val="00552507"/>
    <w:rsid w:val="00560922"/>
    <w:rsid w:val="00562486"/>
    <w:rsid w:val="00575092"/>
    <w:rsid w:val="00590EA7"/>
    <w:rsid w:val="00593D47"/>
    <w:rsid w:val="005A00AE"/>
    <w:rsid w:val="005A115A"/>
    <w:rsid w:val="005A199C"/>
    <w:rsid w:val="005A210E"/>
    <w:rsid w:val="005A77A9"/>
    <w:rsid w:val="005B1E32"/>
    <w:rsid w:val="005B6B9E"/>
    <w:rsid w:val="005C3715"/>
    <w:rsid w:val="005D2B52"/>
    <w:rsid w:val="005D492A"/>
    <w:rsid w:val="005E2714"/>
    <w:rsid w:val="005E339B"/>
    <w:rsid w:val="005E4FD7"/>
    <w:rsid w:val="00607A24"/>
    <w:rsid w:val="006101EE"/>
    <w:rsid w:val="006106EA"/>
    <w:rsid w:val="006122C6"/>
    <w:rsid w:val="00617873"/>
    <w:rsid w:val="006179D6"/>
    <w:rsid w:val="00622F8D"/>
    <w:rsid w:val="00650789"/>
    <w:rsid w:val="00664574"/>
    <w:rsid w:val="00675CE4"/>
    <w:rsid w:val="0069012C"/>
    <w:rsid w:val="006A4277"/>
    <w:rsid w:val="006A77BD"/>
    <w:rsid w:val="006B3776"/>
    <w:rsid w:val="006B6DB2"/>
    <w:rsid w:val="006F2B22"/>
    <w:rsid w:val="00701AEF"/>
    <w:rsid w:val="00702E72"/>
    <w:rsid w:val="0071593B"/>
    <w:rsid w:val="00734DB9"/>
    <w:rsid w:val="00745B6D"/>
    <w:rsid w:val="0074740C"/>
    <w:rsid w:val="00757A84"/>
    <w:rsid w:val="00766456"/>
    <w:rsid w:val="0076715C"/>
    <w:rsid w:val="00767912"/>
    <w:rsid w:val="00783FAD"/>
    <w:rsid w:val="00787B44"/>
    <w:rsid w:val="007B1554"/>
    <w:rsid w:val="007B2D53"/>
    <w:rsid w:val="007B4D3B"/>
    <w:rsid w:val="007B5DAA"/>
    <w:rsid w:val="007C06EA"/>
    <w:rsid w:val="007C72F3"/>
    <w:rsid w:val="007C7F73"/>
    <w:rsid w:val="007E069D"/>
    <w:rsid w:val="007E3F40"/>
    <w:rsid w:val="007E51BB"/>
    <w:rsid w:val="007E60C1"/>
    <w:rsid w:val="007E6B51"/>
    <w:rsid w:val="007F2411"/>
    <w:rsid w:val="00801720"/>
    <w:rsid w:val="00803B75"/>
    <w:rsid w:val="008111D1"/>
    <w:rsid w:val="00813FB2"/>
    <w:rsid w:val="008159CE"/>
    <w:rsid w:val="008262FE"/>
    <w:rsid w:val="008266D6"/>
    <w:rsid w:val="0083076A"/>
    <w:rsid w:val="008326CA"/>
    <w:rsid w:val="0083272E"/>
    <w:rsid w:val="00834C20"/>
    <w:rsid w:val="00843C3D"/>
    <w:rsid w:val="008443E5"/>
    <w:rsid w:val="00860FA2"/>
    <w:rsid w:val="008630E1"/>
    <w:rsid w:val="00873C86"/>
    <w:rsid w:val="0087453D"/>
    <w:rsid w:val="00894F54"/>
    <w:rsid w:val="008953BE"/>
    <w:rsid w:val="0089617B"/>
    <w:rsid w:val="008B5B22"/>
    <w:rsid w:val="008D09A5"/>
    <w:rsid w:val="008D3263"/>
    <w:rsid w:val="008D77EE"/>
    <w:rsid w:val="008E07DC"/>
    <w:rsid w:val="008E3D31"/>
    <w:rsid w:val="008F203F"/>
    <w:rsid w:val="008F6147"/>
    <w:rsid w:val="008F61B2"/>
    <w:rsid w:val="00906297"/>
    <w:rsid w:val="009156E9"/>
    <w:rsid w:val="009172AF"/>
    <w:rsid w:val="0092214A"/>
    <w:rsid w:val="00924AEB"/>
    <w:rsid w:val="00926794"/>
    <w:rsid w:val="00980683"/>
    <w:rsid w:val="009821FA"/>
    <w:rsid w:val="00984F36"/>
    <w:rsid w:val="00985877"/>
    <w:rsid w:val="009862C4"/>
    <w:rsid w:val="00986A15"/>
    <w:rsid w:val="009933F2"/>
    <w:rsid w:val="009A6D1D"/>
    <w:rsid w:val="009B0EB9"/>
    <w:rsid w:val="009B4DD5"/>
    <w:rsid w:val="009C1332"/>
    <w:rsid w:val="009E3427"/>
    <w:rsid w:val="009E4C69"/>
    <w:rsid w:val="00A022BD"/>
    <w:rsid w:val="00A03306"/>
    <w:rsid w:val="00A307F3"/>
    <w:rsid w:val="00A327D3"/>
    <w:rsid w:val="00A32E3F"/>
    <w:rsid w:val="00A33585"/>
    <w:rsid w:val="00A34356"/>
    <w:rsid w:val="00A50473"/>
    <w:rsid w:val="00A62FD3"/>
    <w:rsid w:val="00A67756"/>
    <w:rsid w:val="00A757C8"/>
    <w:rsid w:val="00A85C96"/>
    <w:rsid w:val="00A87D29"/>
    <w:rsid w:val="00A97047"/>
    <w:rsid w:val="00AA3A51"/>
    <w:rsid w:val="00AA703A"/>
    <w:rsid w:val="00AB0AD2"/>
    <w:rsid w:val="00AB33EC"/>
    <w:rsid w:val="00AC1475"/>
    <w:rsid w:val="00AC1C6F"/>
    <w:rsid w:val="00AC2D41"/>
    <w:rsid w:val="00AC5196"/>
    <w:rsid w:val="00AC781D"/>
    <w:rsid w:val="00AD47C6"/>
    <w:rsid w:val="00AD544E"/>
    <w:rsid w:val="00AE01FD"/>
    <w:rsid w:val="00AE6A48"/>
    <w:rsid w:val="00AF5125"/>
    <w:rsid w:val="00B10D20"/>
    <w:rsid w:val="00B17DE1"/>
    <w:rsid w:val="00B22B60"/>
    <w:rsid w:val="00B24BCB"/>
    <w:rsid w:val="00B26484"/>
    <w:rsid w:val="00B30584"/>
    <w:rsid w:val="00B4394E"/>
    <w:rsid w:val="00B44CB7"/>
    <w:rsid w:val="00B50190"/>
    <w:rsid w:val="00B54143"/>
    <w:rsid w:val="00B57F03"/>
    <w:rsid w:val="00B6095A"/>
    <w:rsid w:val="00B67208"/>
    <w:rsid w:val="00B704B6"/>
    <w:rsid w:val="00B73F76"/>
    <w:rsid w:val="00B901C2"/>
    <w:rsid w:val="00B91804"/>
    <w:rsid w:val="00B9523A"/>
    <w:rsid w:val="00B95271"/>
    <w:rsid w:val="00B9728A"/>
    <w:rsid w:val="00BA6089"/>
    <w:rsid w:val="00BA7314"/>
    <w:rsid w:val="00BB6C0B"/>
    <w:rsid w:val="00BC21FE"/>
    <w:rsid w:val="00BC3F0E"/>
    <w:rsid w:val="00BC518C"/>
    <w:rsid w:val="00BD5420"/>
    <w:rsid w:val="00BD6587"/>
    <w:rsid w:val="00BE490D"/>
    <w:rsid w:val="00BE5379"/>
    <w:rsid w:val="00BE7D6D"/>
    <w:rsid w:val="00BF349E"/>
    <w:rsid w:val="00C10777"/>
    <w:rsid w:val="00C11A8F"/>
    <w:rsid w:val="00C144A9"/>
    <w:rsid w:val="00C177C6"/>
    <w:rsid w:val="00C33DBF"/>
    <w:rsid w:val="00C35481"/>
    <w:rsid w:val="00C35E0D"/>
    <w:rsid w:val="00C36B4E"/>
    <w:rsid w:val="00C46919"/>
    <w:rsid w:val="00C53985"/>
    <w:rsid w:val="00C57891"/>
    <w:rsid w:val="00C630D5"/>
    <w:rsid w:val="00C64101"/>
    <w:rsid w:val="00C71ABD"/>
    <w:rsid w:val="00C77E01"/>
    <w:rsid w:val="00C85051"/>
    <w:rsid w:val="00C90F19"/>
    <w:rsid w:val="00C92163"/>
    <w:rsid w:val="00C949BE"/>
    <w:rsid w:val="00C95365"/>
    <w:rsid w:val="00C964F3"/>
    <w:rsid w:val="00CB40BE"/>
    <w:rsid w:val="00CB67FB"/>
    <w:rsid w:val="00CE3866"/>
    <w:rsid w:val="00CE6388"/>
    <w:rsid w:val="00CF2EA9"/>
    <w:rsid w:val="00CF7DA7"/>
    <w:rsid w:val="00D10AFA"/>
    <w:rsid w:val="00D10F54"/>
    <w:rsid w:val="00D16975"/>
    <w:rsid w:val="00D17D39"/>
    <w:rsid w:val="00D259A4"/>
    <w:rsid w:val="00D4243F"/>
    <w:rsid w:val="00D456B1"/>
    <w:rsid w:val="00D5205A"/>
    <w:rsid w:val="00D53956"/>
    <w:rsid w:val="00D6065F"/>
    <w:rsid w:val="00D63291"/>
    <w:rsid w:val="00D65C56"/>
    <w:rsid w:val="00D6763E"/>
    <w:rsid w:val="00D7218B"/>
    <w:rsid w:val="00D72356"/>
    <w:rsid w:val="00D7362D"/>
    <w:rsid w:val="00D813B5"/>
    <w:rsid w:val="00D85287"/>
    <w:rsid w:val="00D85EA1"/>
    <w:rsid w:val="00DA0900"/>
    <w:rsid w:val="00DB12A4"/>
    <w:rsid w:val="00DB263D"/>
    <w:rsid w:val="00DC506D"/>
    <w:rsid w:val="00DC5840"/>
    <w:rsid w:val="00DF4E9B"/>
    <w:rsid w:val="00DF50FD"/>
    <w:rsid w:val="00DF7A17"/>
    <w:rsid w:val="00E004A0"/>
    <w:rsid w:val="00E0660C"/>
    <w:rsid w:val="00E12D37"/>
    <w:rsid w:val="00E13C02"/>
    <w:rsid w:val="00E31F11"/>
    <w:rsid w:val="00E37E4F"/>
    <w:rsid w:val="00E51A58"/>
    <w:rsid w:val="00E65695"/>
    <w:rsid w:val="00E673DB"/>
    <w:rsid w:val="00E734F3"/>
    <w:rsid w:val="00E75016"/>
    <w:rsid w:val="00E751E6"/>
    <w:rsid w:val="00E84BC8"/>
    <w:rsid w:val="00E84F6F"/>
    <w:rsid w:val="00E85B6B"/>
    <w:rsid w:val="00E9087F"/>
    <w:rsid w:val="00E958E1"/>
    <w:rsid w:val="00EB684B"/>
    <w:rsid w:val="00EC191F"/>
    <w:rsid w:val="00EC2B70"/>
    <w:rsid w:val="00EC2CDF"/>
    <w:rsid w:val="00ED1D21"/>
    <w:rsid w:val="00ED62F9"/>
    <w:rsid w:val="00EE1AEC"/>
    <w:rsid w:val="00EF0857"/>
    <w:rsid w:val="00F02EEC"/>
    <w:rsid w:val="00F05478"/>
    <w:rsid w:val="00F1271B"/>
    <w:rsid w:val="00F21326"/>
    <w:rsid w:val="00F2384D"/>
    <w:rsid w:val="00F25E38"/>
    <w:rsid w:val="00F27C41"/>
    <w:rsid w:val="00F344B2"/>
    <w:rsid w:val="00F4394F"/>
    <w:rsid w:val="00F4546A"/>
    <w:rsid w:val="00F46A38"/>
    <w:rsid w:val="00F47DC1"/>
    <w:rsid w:val="00F507A0"/>
    <w:rsid w:val="00F52739"/>
    <w:rsid w:val="00F5391B"/>
    <w:rsid w:val="00F56718"/>
    <w:rsid w:val="00F75B3D"/>
    <w:rsid w:val="00F97AE8"/>
    <w:rsid w:val="00FB5BAF"/>
    <w:rsid w:val="00FC3879"/>
    <w:rsid w:val="00FD2375"/>
    <w:rsid w:val="00FD287F"/>
    <w:rsid w:val="00FD4343"/>
    <w:rsid w:val="00FF685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AA5C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B2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6F2B2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6F2B22"/>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2B22"/>
    <w:rPr>
      <w:rFonts w:asciiTheme="minorHAnsi" w:hAnsiTheme="minorHAnsi"/>
      <w:sz w:val="22"/>
    </w:rPr>
  </w:style>
  <w:style w:type="paragraph" w:styleId="Footer">
    <w:name w:val="footer"/>
    <w:basedOn w:val="Normal"/>
    <w:link w:val="FooterChar"/>
    <w:uiPriority w:val="99"/>
    <w:unhideWhenUsed/>
    <w:rsid w:val="00B50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190"/>
    <w:rPr>
      <w:rFonts w:asciiTheme="minorHAnsi" w:hAnsiTheme="minorHAnsi"/>
      <w:sz w:val="22"/>
    </w:rPr>
  </w:style>
  <w:style w:type="paragraph" w:styleId="BalloonText">
    <w:name w:val="Balloon Text"/>
    <w:basedOn w:val="Normal"/>
    <w:link w:val="BalloonTextChar"/>
    <w:uiPriority w:val="99"/>
    <w:semiHidden/>
    <w:unhideWhenUsed/>
    <w:rsid w:val="00D736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62D"/>
    <w:rPr>
      <w:rFonts w:ascii="Segoe UI" w:hAnsi="Segoe UI" w:cs="Segoe UI"/>
      <w:sz w:val="18"/>
      <w:szCs w:val="18"/>
    </w:rPr>
  </w:style>
  <w:style w:type="character" w:styleId="CommentReference">
    <w:name w:val="annotation reference"/>
    <w:basedOn w:val="DefaultParagraphFont"/>
    <w:uiPriority w:val="99"/>
    <w:semiHidden/>
    <w:unhideWhenUsed/>
    <w:rsid w:val="00B9728A"/>
    <w:rPr>
      <w:sz w:val="16"/>
      <w:szCs w:val="16"/>
    </w:rPr>
  </w:style>
  <w:style w:type="paragraph" w:styleId="CommentText">
    <w:name w:val="annotation text"/>
    <w:basedOn w:val="Normal"/>
    <w:link w:val="CommentTextChar"/>
    <w:uiPriority w:val="99"/>
    <w:semiHidden/>
    <w:unhideWhenUsed/>
    <w:rsid w:val="00B9728A"/>
    <w:pPr>
      <w:spacing w:line="240" w:lineRule="auto"/>
    </w:pPr>
    <w:rPr>
      <w:sz w:val="20"/>
      <w:szCs w:val="20"/>
    </w:rPr>
  </w:style>
  <w:style w:type="character" w:customStyle="1" w:styleId="CommentTextChar">
    <w:name w:val="Comment Text Char"/>
    <w:basedOn w:val="DefaultParagraphFont"/>
    <w:link w:val="CommentText"/>
    <w:uiPriority w:val="99"/>
    <w:semiHidden/>
    <w:rsid w:val="00B9728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9728A"/>
    <w:rPr>
      <w:b/>
      <w:bCs/>
    </w:rPr>
  </w:style>
  <w:style w:type="character" w:customStyle="1" w:styleId="CommentSubjectChar">
    <w:name w:val="Comment Subject Char"/>
    <w:basedOn w:val="CommentTextChar"/>
    <w:link w:val="CommentSubject"/>
    <w:uiPriority w:val="99"/>
    <w:semiHidden/>
    <w:rsid w:val="00B9728A"/>
    <w:rPr>
      <w:rFonts w:asciiTheme="minorHAnsi" w:hAnsiTheme="minorHAnsi"/>
      <w:b/>
      <w:bCs/>
      <w:sz w:val="20"/>
      <w:szCs w:val="20"/>
    </w:rPr>
  </w:style>
  <w:style w:type="paragraph" w:styleId="Revision">
    <w:name w:val="Revision"/>
    <w:hidden/>
    <w:uiPriority w:val="99"/>
    <w:semiHidden/>
    <w:rsid w:val="0048337E"/>
    <w:pPr>
      <w:spacing w:after="0" w:line="240" w:lineRule="auto"/>
    </w:pPr>
    <w:rPr>
      <w:rFonts w:asciiTheme="minorHAnsi" w:hAnsiTheme="minorHAnsi"/>
      <w:sz w:val="22"/>
    </w:rPr>
  </w:style>
  <w:style w:type="character" w:styleId="Hyperlink">
    <w:name w:val="Hyperlink"/>
    <w:basedOn w:val="DefaultParagraphFont"/>
    <w:uiPriority w:val="99"/>
    <w:semiHidden/>
    <w:unhideWhenUsed/>
    <w:rsid w:val="002C44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601CF-8F24-457F-9772-C736AB10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8447</Words>
  <Characters>4815</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2023-01-09T14:59:00Z</dcterms:created>
  <dcterms:modified xsi:type="dcterms:W3CDTF">2023-01-11T06:31:00Z</dcterms:modified>
</cp:coreProperties>
</file>