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0C49" w14:textId="7AA39793" w:rsidR="008B4F40" w:rsidRDefault="005A1E16" w:rsidP="005A1E16">
      <w:pPr>
        <w:spacing w:line="276" w:lineRule="auto"/>
        <w:jc w:val="both"/>
        <w:rPr>
          <w:b/>
          <w:bCs/>
        </w:rPr>
      </w:pPr>
      <w:r w:rsidRPr="0070127F">
        <w:rPr>
          <w:b/>
          <w:bCs/>
        </w:rPr>
        <w:t>Neliela ar likumu aizsargāto interešu apdraudējuma izvērtēšana maznozīmīga noziedzīga nodarījuma kontekstā</w:t>
      </w:r>
    </w:p>
    <w:p w14:paraId="70FAEB4B" w14:textId="5F665C93" w:rsidR="005A1E16" w:rsidRDefault="005A1E16" w:rsidP="005A1E16">
      <w:pPr>
        <w:spacing w:line="276" w:lineRule="auto"/>
        <w:jc w:val="both"/>
      </w:pPr>
      <w:r w:rsidRPr="0070127F">
        <w:t>Neliels ar likumu aizsargāto interešu apdraudējums (likuma „Par Krimināllikuma spēkā stāšanās un piemērošanas kārtību” 19.</w:t>
      </w:r>
      <w:proofErr w:type="gramStart"/>
      <w:r w:rsidRPr="0070127F">
        <w:rPr>
          <w:vertAlign w:val="superscript"/>
        </w:rPr>
        <w:t>2</w:t>
      </w:r>
      <w:r w:rsidRPr="0070127F">
        <w:t>panta</w:t>
      </w:r>
      <w:proofErr w:type="gramEnd"/>
      <w:r w:rsidRPr="0070127F">
        <w:t xml:space="preserve"> pirmā daļa) ir ģenerālklauzula – tā kritēriji normatīvajos aktos nav noteikti, tie jāizvērtē tiesai, kas izskata lietu pēc būtības. Ar likumu aizsargāto interešu apdraudējuma apmēru izvērtē saistībā ar konkrētā noziedzīgā nodarījuma faktiskajiem apstākļiem, arī, cik nozīmīga ir ar likumu aizsargātā interese, kāds ir apdraudējuma veids, tā smagums, apjoms, ilgums u.tml.</w:t>
      </w:r>
    </w:p>
    <w:p w14:paraId="74FA6FB5" w14:textId="469C59B5" w:rsidR="005A1E16" w:rsidRDefault="005A1E16" w:rsidP="005A1E16">
      <w:pPr>
        <w:spacing w:line="276" w:lineRule="auto"/>
        <w:jc w:val="both"/>
      </w:pPr>
    </w:p>
    <w:p w14:paraId="772A3E68" w14:textId="5787C277" w:rsidR="005A1E16" w:rsidRDefault="005A1E16" w:rsidP="005A1E16">
      <w:pPr>
        <w:spacing w:line="276" w:lineRule="auto"/>
        <w:jc w:val="both"/>
        <w:rPr>
          <w:b/>
          <w:bCs/>
        </w:rPr>
      </w:pPr>
      <w:r w:rsidRPr="0070127F">
        <w:rPr>
          <w:b/>
          <w:bCs/>
        </w:rPr>
        <w:t>Neizpaužamu ziņu izpaušana</w:t>
      </w:r>
    </w:p>
    <w:p w14:paraId="0E3C264D" w14:textId="553E8173" w:rsidR="005A1E16" w:rsidRDefault="005A1E16" w:rsidP="005A1E16">
      <w:pPr>
        <w:spacing w:line="276" w:lineRule="auto"/>
        <w:jc w:val="both"/>
      </w:pPr>
      <w:r w:rsidRPr="0070127F">
        <w:t xml:space="preserve">Krimināllikuma </w:t>
      </w:r>
      <w:proofErr w:type="gramStart"/>
      <w:r w:rsidRPr="0070127F">
        <w:t>329.pantā</w:t>
      </w:r>
      <w:proofErr w:type="gramEnd"/>
      <w:r w:rsidRPr="0070127F">
        <w:t xml:space="preserve"> paredzētais noziedzīgais nodarījums ir pabeigts ar neizpaužamu ziņu, kas nav valsts noslēpums, izpaušanas brīdi neatkarīgi no apjoma (pilnīga vai daļēja), kādā neizpaužamās ziņas tikušas izpaustas.</w:t>
      </w:r>
    </w:p>
    <w:p w14:paraId="3079BE86" w14:textId="03A0E6E0" w:rsidR="009C0BA3" w:rsidRDefault="009C0BA3" w:rsidP="005A1E16">
      <w:pPr>
        <w:pStyle w:val="BodyText2"/>
        <w:spacing w:after="0" w:line="276" w:lineRule="auto"/>
      </w:pPr>
    </w:p>
    <w:p w14:paraId="2A1FA9D4" w14:textId="77777777" w:rsidR="005A1E16" w:rsidRPr="005A1E16" w:rsidRDefault="00A55A3A" w:rsidP="004C5539">
      <w:pPr>
        <w:spacing w:line="276" w:lineRule="auto"/>
        <w:jc w:val="center"/>
        <w:rPr>
          <w:b/>
        </w:rPr>
      </w:pPr>
      <w:r w:rsidRPr="005A1E16">
        <w:rPr>
          <w:b/>
        </w:rPr>
        <w:t>Latvijas Republikas Senāt</w:t>
      </w:r>
      <w:r w:rsidR="005A1E16" w:rsidRPr="005A1E16">
        <w:rPr>
          <w:b/>
        </w:rPr>
        <w:t xml:space="preserve">a </w:t>
      </w:r>
    </w:p>
    <w:p w14:paraId="0A4BF4CA" w14:textId="77777777" w:rsidR="005A1E16" w:rsidRPr="005A1E16" w:rsidRDefault="005A1E16" w:rsidP="004C5539">
      <w:pPr>
        <w:spacing w:line="276" w:lineRule="auto"/>
        <w:jc w:val="center"/>
        <w:rPr>
          <w:b/>
        </w:rPr>
      </w:pPr>
      <w:r w:rsidRPr="005A1E16">
        <w:rPr>
          <w:b/>
        </w:rPr>
        <w:t>Krimināllietu departamenta</w:t>
      </w:r>
    </w:p>
    <w:p w14:paraId="051DD6A0" w14:textId="6E92A189" w:rsidR="00772A7C" w:rsidRPr="005A1E16" w:rsidRDefault="005A1E16" w:rsidP="004C5539">
      <w:pPr>
        <w:spacing w:line="276" w:lineRule="auto"/>
        <w:jc w:val="center"/>
        <w:rPr>
          <w:b/>
        </w:rPr>
      </w:pPr>
      <w:proofErr w:type="gramStart"/>
      <w:r w:rsidRPr="005A1E16">
        <w:rPr>
          <w:b/>
        </w:rPr>
        <w:t>2022.gada</w:t>
      </w:r>
      <w:proofErr w:type="gramEnd"/>
      <w:r w:rsidRPr="005A1E16">
        <w:rPr>
          <w:b/>
        </w:rPr>
        <w:t xml:space="preserve"> 30.novembra</w:t>
      </w:r>
    </w:p>
    <w:p w14:paraId="78A8A624" w14:textId="1BBAAC28" w:rsidR="009C0BA3" w:rsidRPr="005A1E16" w:rsidRDefault="00606650" w:rsidP="004C5539">
      <w:pPr>
        <w:spacing w:line="276" w:lineRule="auto"/>
        <w:jc w:val="center"/>
        <w:rPr>
          <w:b/>
        </w:rPr>
      </w:pPr>
      <w:r w:rsidRPr="005A1E16">
        <w:rPr>
          <w:b/>
        </w:rPr>
        <w:t>LĒMUMS</w:t>
      </w:r>
    </w:p>
    <w:p w14:paraId="0C78AD30" w14:textId="4FC9B465" w:rsidR="009C0BA3" w:rsidRPr="005A1E16" w:rsidRDefault="005A1E16" w:rsidP="004C5539">
      <w:pPr>
        <w:spacing w:line="276" w:lineRule="auto"/>
        <w:jc w:val="center"/>
        <w:rPr>
          <w:b/>
        </w:rPr>
      </w:pPr>
      <w:r w:rsidRPr="005A1E16">
        <w:rPr>
          <w:b/>
        </w:rPr>
        <w:t>Lieta Nr. </w:t>
      </w:r>
      <w:r w:rsidRPr="005A1E16">
        <w:rPr>
          <w:b/>
          <w:lang w:eastAsia="lv-LV"/>
        </w:rPr>
        <w:t xml:space="preserve">11860006116, </w:t>
      </w:r>
      <w:r w:rsidRPr="005A1E16">
        <w:rPr>
          <w:b/>
        </w:rPr>
        <w:t>SKK</w:t>
      </w:r>
      <w:r w:rsidRPr="005A1E16">
        <w:rPr>
          <w:b/>
        </w:rPr>
        <w:noBreakHyphen/>
        <w:t>313/2022</w:t>
      </w:r>
    </w:p>
    <w:p w14:paraId="081A69D3" w14:textId="051057BE" w:rsidR="005A1E16" w:rsidRPr="005A1E16" w:rsidRDefault="005A1E16" w:rsidP="004C5539">
      <w:pPr>
        <w:spacing w:line="276" w:lineRule="auto"/>
        <w:jc w:val="center"/>
        <w:rPr>
          <w:b/>
        </w:rPr>
      </w:pPr>
      <w:hyperlink r:id="rId7" w:history="1">
        <w:r w:rsidRPr="005A1E16">
          <w:rPr>
            <w:rStyle w:val="Hyperlink"/>
            <w:shd w:val="clear" w:color="auto" w:fill="FFFFFF"/>
          </w:rPr>
          <w:t>ECLI:LV:AT:2022:1130.11860006116.4.L</w:t>
        </w:r>
      </w:hyperlink>
    </w:p>
    <w:p w14:paraId="13994BDA" w14:textId="77777777" w:rsidR="00C52066" w:rsidRDefault="00C52066" w:rsidP="004C5539">
      <w:pPr>
        <w:spacing w:line="276" w:lineRule="auto"/>
        <w:ind w:firstLine="567"/>
        <w:jc w:val="both"/>
      </w:pPr>
    </w:p>
    <w:p w14:paraId="5AE13377" w14:textId="22793861" w:rsidR="00C52066" w:rsidRDefault="00C52066" w:rsidP="004C5539">
      <w:pPr>
        <w:spacing w:line="276" w:lineRule="auto"/>
        <w:ind w:firstLine="567"/>
        <w:jc w:val="both"/>
      </w:pPr>
      <w:r>
        <w:t>Tiesa šādā sastāvā</w:t>
      </w:r>
      <w:r w:rsidRPr="007E0DE2">
        <w:t xml:space="preserve">: </w:t>
      </w:r>
      <w:r>
        <w:t>senatori</w:t>
      </w:r>
      <w:r w:rsidR="00A55A3A">
        <w:t xml:space="preserve"> Sandra Kaija</w:t>
      </w:r>
      <w:r>
        <w:t xml:space="preserve">, </w:t>
      </w:r>
      <w:r w:rsidR="00A55A3A">
        <w:t>Irīna Jansone, Aivars Uminskis</w:t>
      </w:r>
    </w:p>
    <w:p w14:paraId="19E933E9" w14:textId="77777777" w:rsidR="00A55A3A" w:rsidRDefault="00A55A3A" w:rsidP="004C5539">
      <w:pPr>
        <w:spacing w:line="276" w:lineRule="auto"/>
        <w:ind w:firstLine="567"/>
        <w:jc w:val="both"/>
      </w:pPr>
    </w:p>
    <w:p w14:paraId="49706509" w14:textId="1F79A9D3" w:rsidR="00A55A3A" w:rsidRPr="00D70DCE" w:rsidRDefault="00A55A3A" w:rsidP="004C5539">
      <w:pPr>
        <w:spacing w:line="276" w:lineRule="auto"/>
        <w:ind w:firstLine="567"/>
        <w:jc w:val="both"/>
      </w:pPr>
      <w:r w:rsidRPr="00694E60">
        <w:t xml:space="preserve">izskatīja rakstveida procesā krimināllietu sakarā ar </w:t>
      </w:r>
      <w:r>
        <w:t xml:space="preserve">apsūdzētā </w:t>
      </w:r>
      <w:r w:rsidR="005A1E16">
        <w:t>[pers. A]</w:t>
      </w:r>
      <w:r>
        <w:t xml:space="preserve"> kasācijas sūdzību un tās </w:t>
      </w:r>
      <w:r w:rsidRPr="00EA5EAB">
        <w:t xml:space="preserve">papildinājumiem par Latgales apgabaltiesas </w:t>
      </w:r>
      <w:proofErr w:type="gramStart"/>
      <w:r w:rsidRPr="00EA5EAB">
        <w:t>2022.gada</w:t>
      </w:r>
      <w:proofErr w:type="gramEnd"/>
      <w:r w:rsidRPr="00EA5EAB">
        <w:t xml:space="preserve"> 18.janvāra spriedumu</w:t>
      </w:r>
      <w:r w:rsidRPr="00D70DCE">
        <w:t>.</w:t>
      </w:r>
    </w:p>
    <w:p w14:paraId="1F74A6B3" w14:textId="77777777" w:rsidR="00A55A3A" w:rsidRDefault="00A55A3A" w:rsidP="004C5539">
      <w:pPr>
        <w:spacing w:line="276" w:lineRule="auto"/>
        <w:ind w:firstLine="567"/>
        <w:jc w:val="both"/>
      </w:pPr>
    </w:p>
    <w:p w14:paraId="3CD419DE" w14:textId="77777777" w:rsidR="00EA5EAB" w:rsidRDefault="00EA5EAB" w:rsidP="004C5539">
      <w:pPr>
        <w:spacing w:line="276" w:lineRule="auto"/>
        <w:jc w:val="center"/>
        <w:rPr>
          <w:b/>
        </w:rPr>
      </w:pPr>
      <w:r w:rsidRPr="00694E60">
        <w:rPr>
          <w:b/>
        </w:rPr>
        <w:t>Aprakstošā daļa</w:t>
      </w:r>
    </w:p>
    <w:p w14:paraId="18102D8F" w14:textId="77777777" w:rsidR="00B75792" w:rsidRDefault="00B75792" w:rsidP="004C5539">
      <w:pPr>
        <w:spacing w:line="276" w:lineRule="auto"/>
        <w:ind w:firstLine="567"/>
        <w:jc w:val="center"/>
        <w:rPr>
          <w:b/>
        </w:rPr>
      </w:pPr>
    </w:p>
    <w:p w14:paraId="644524A2" w14:textId="45EA5A78" w:rsidR="00F36FF2" w:rsidRDefault="00EA5EAB" w:rsidP="004C5539">
      <w:pPr>
        <w:spacing w:line="276" w:lineRule="auto"/>
        <w:ind w:firstLine="567"/>
        <w:jc w:val="both"/>
      </w:pPr>
      <w:r w:rsidRPr="00EA5EAB">
        <w:t>[1]</w:t>
      </w:r>
      <w:r>
        <w:t xml:space="preserve"> Ar </w:t>
      </w:r>
      <w:r w:rsidR="00D70DCE">
        <w:t xml:space="preserve">Rēzeknes tiesas </w:t>
      </w:r>
      <w:proofErr w:type="gramStart"/>
      <w:r w:rsidR="00D70DCE">
        <w:t>2021.gada</w:t>
      </w:r>
      <w:proofErr w:type="gramEnd"/>
      <w:r w:rsidR="00D70DCE">
        <w:t xml:space="preserve"> 13.septembra spriedumu</w:t>
      </w:r>
    </w:p>
    <w:p w14:paraId="1D1BB225" w14:textId="3045F55C" w:rsidR="00F36FF2" w:rsidRDefault="005A1E16" w:rsidP="004C5539">
      <w:pPr>
        <w:spacing w:line="276" w:lineRule="auto"/>
        <w:ind w:firstLine="567"/>
        <w:jc w:val="both"/>
      </w:pPr>
      <w:r>
        <w:t>[pers. A]</w:t>
      </w:r>
      <w:r w:rsidR="00D70DCE">
        <w:t xml:space="preserve">, personas kods </w:t>
      </w:r>
      <w:r>
        <w:t>[..]</w:t>
      </w:r>
      <w:r w:rsidR="00D70DCE">
        <w:t>,</w:t>
      </w:r>
    </w:p>
    <w:p w14:paraId="4B4F4E8E" w14:textId="01ADB4FF" w:rsidR="00D70DCE" w:rsidRDefault="00D70DCE" w:rsidP="004C5539">
      <w:pPr>
        <w:spacing w:line="276" w:lineRule="auto"/>
        <w:ind w:firstLine="567"/>
        <w:jc w:val="both"/>
      </w:pPr>
      <w:r>
        <w:t xml:space="preserve">atzīts par vainīgu Krimināllikuma </w:t>
      </w:r>
      <w:proofErr w:type="gramStart"/>
      <w:r>
        <w:t>329.pantā</w:t>
      </w:r>
      <w:proofErr w:type="gramEnd"/>
      <w:r>
        <w:t xml:space="preserve"> paredzētajā noziedzīgajā nodarījumā un, piemērojot </w:t>
      </w:r>
      <w:r w:rsidRPr="00694E60">
        <w:t>Krimināllikuma 49.</w:t>
      </w:r>
      <w:r w:rsidRPr="00694E60">
        <w:rPr>
          <w:vertAlign w:val="superscript"/>
        </w:rPr>
        <w:t>1</w:t>
      </w:r>
      <w:r>
        <w:t>panta pirmās daļas 2.</w:t>
      </w:r>
      <w:r w:rsidRPr="00694E60">
        <w:t>punktu, sodīts ar</w:t>
      </w:r>
      <w:r>
        <w:t xml:space="preserve"> nauda</w:t>
      </w:r>
      <w:r w:rsidR="006F0A58">
        <w:t xml:space="preserve">s sodu </w:t>
      </w:r>
      <w:r w:rsidR="0091267E">
        <w:t>4</w:t>
      </w:r>
      <w:r w:rsidR="006F0A58">
        <w:t xml:space="preserve"> Latvijas Republikā noteikto</w:t>
      </w:r>
      <w:r>
        <w:t xml:space="preserve"> minimālo mēnešalgu apmērā, tas ir, 2000 </w:t>
      </w:r>
      <w:r w:rsidRPr="00D70DCE">
        <w:rPr>
          <w:i/>
        </w:rPr>
        <w:t>euro</w:t>
      </w:r>
      <w:r>
        <w:t>.</w:t>
      </w:r>
    </w:p>
    <w:p w14:paraId="2D48B73B" w14:textId="77777777" w:rsidR="00B75792" w:rsidRPr="001D68D9" w:rsidRDefault="00B75792" w:rsidP="004C5539">
      <w:pPr>
        <w:spacing w:line="276" w:lineRule="auto"/>
        <w:jc w:val="both"/>
        <w:rPr>
          <w:rFonts w:ascii="TimesNewRomanPSMT" w:eastAsiaTheme="minorHAnsi" w:hAnsi="TimesNewRomanPSMT" w:cs="TimesNewRomanPSMT"/>
          <w:lang w:eastAsia="en-US"/>
        </w:rPr>
      </w:pPr>
    </w:p>
    <w:p w14:paraId="59AA150B" w14:textId="2D50C2DE" w:rsidR="00B75792" w:rsidRDefault="001C7DC2" w:rsidP="004C5539">
      <w:pPr>
        <w:spacing w:line="276" w:lineRule="auto"/>
        <w:ind w:firstLine="567"/>
        <w:jc w:val="both"/>
      </w:pPr>
      <w:r>
        <w:t xml:space="preserve">[2] </w:t>
      </w:r>
      <w:r w:rsidR="00B75792" w:rsidRPr="001C7DC2">
        <w:t xml:space="preserve">Ar pirmās instances tiesas spriedumu </w:t>
      </w:r>
      <w:r w:rsidR="005A1E16">
        <w:t>[pers. A]</w:t>
      </w:r>
      <w:r w:rsidR="00B75792" w:rsidRPr="001C7DC2">
        <w:t xml:space="preserve"> atzīts par vainīgu un sodīts pēc Krimināllikuma </w:t>
      </w:r>
      <w:proofErr w:type="gramStart"/>
      <w:r w:rsidR="00B75792" w:rsidRPr="001C7DC2">
        <w:t>329.panta</w:t>
      </w:r>
      <w:proofErr w:type="gramEnd"/>
      <w:r w:rsidR="00B75792" w:rsidRPr="001C7DC2">
        <w:t xml:space="preserve"> par </w:t>
      </w:r>
      <w:r w:rsidRPr="001C7DC2">
        <w:t xml:space="preserve">to, ka, </w:t>
      </w:r>
      <w:r w:rsidR="00B75792" w:rsidRPr="001C7DC2">
        <w:t>būdams valsts amatpersona, kas bijis brīdināts par ziņu neizpaušanu, izpauda neizpaužamas ziņas, kas nav valsts noslēpums.</w:t>
      </w:r>
    </w:p>
    <w:p w14:paraId="267156F2" w14:textId="77777777" w:rsidR="001C7DC2" w:rsidRDefault="001C7DC2" w:rsidP="004C5539">
      <w:pPr>
        <w:spacing w:line="276" w:lineRule="auto"/>
        <w:ind w:firstLine="567"/>
        <w:jc w:val="both"/>
      </w:pPr>
    </w:p>
    <w:p w14:paraId="056C9E14" w14:textId="054C0C23" w:rsidR="00EA2155" w:rsidRDefault="001C7DC2" w:rsidP="004C5539">
      <w:pPr>
        <w:spacing w:line="276" w:lineRule="auto"/>
        <w:ind w:firstLine="567"/>
        <w:jc w:val="both"/>
      </w:pPr>
      <w:r>
        <w:t xml:space="preserve">[3] Ar Latgales apgabaltiesas </w:t>
      </w:r>
      <w:proofErr w:type="gramStart"/>
      <w:r>
        <w:t>2022.gada</w:t>
      </w:r>
      <w:proofErr w:type="gramEnd"/>
      <w:r>
        <w:t xml:space="preserve"> 18.janvāra spriedumu, iztiesājot lietu sakarā ar apsūdzētā </w:t>
      </w:r>
      <w:r w:rsidR="005A1E16">
        <w:t>[pers. A]</w:t>
      </w:r>
      <w:r>
        <w:t xml:space="preserve"> apelācijas sūdzību, Rēzeknes tiesas 2021.gada 13.septembra spriedums atcelts daļā par </w:t>
      </w:r>
      <w:r w:rsidR="005A1E16">
        <w:t>[pers. A]</w:t>
      </w:r>
      <w:r>
        <w:t xml:space="preserve"> noteikto sodu.</w:t>
      </w:r>
    </w:p>
    <w:p w14:paraId="5555A6B5" w14:textId="767839D8" w:rsidR="001C7DC2" w:rsidRDefault="005A1E16" w:rsidP="004C5539">
      <w:pPr>
        <w:spacing w:line="276" w:lineRule="auto"/>
        <w:ind w:firstLine="567"/>
        <w:jc w:val="both"/>
      </w:pPr>
      <w:r>
        <w:t>[Pers. A]</w:t>
      </w:r>
      <w:r w:rsidR="001C7DC2">
        <w:t xml:space="preserve"> </w:t>
      </w:r>
      <w:r w:rsidR="00EA2155">
        <w:t>par</w:t>
      </w:r>
      <w:r w:rsidR="001C7DC2">
        <w:t xml:space="preserve"> Krimināllikuma </w:t>
      </w:r>
      <w:proofErr w:type="gramStart"/>
      <w:r w:rsidR="001C7DC2">
        <w:t>329.pantā</w:t>
      </w:r>
      <w:proofErr w:type="gramEnd"/>
      <w:r w:rsidR="001C7DC2">
        <w:t xml:space="preserve"> paredzēt</w:t>
      </w:r>
      <w:r w:rsidR="00EA2155">
        <w:t xml:space="preserve">ā noziedzīgā nodarījuma izdarīšanu, </w:t>
      </w:r>
      <w:r w:rsidR="001C7DC2">
        <w:t xml:space="preserve">piemērojot </w:t>
      </w:r>
      <w:r w:rsidR="001C7DC2" w:rsidRPr="00694E60">
        <w:t>Krimināllikuma 49.</w:t>
      </w:r>
      <w:r w:rsidR="001C7DC2" w:rsidRPr="00694E60">
        <w:rPr>
          <w:vertAlign w:val="superscript"/>
        </w:rPr>
        <w:t>1</w:t>
      </w:r>
      <w:r w:rsidR="001C7DC2">
        <w:t>panta pirmās daļas 2.</w:t>
      </w:r>
      <w:r w:rsidR="001C7DC2" w:rsidRPr="00694E60">
        <w:t xml:space="preserve">punktu, </w:t>
      </w:r>
      <w:r w:rsidR="00607E33">
        <w:t xml:space="preserve">sodīts </w:t>
      </w:r>
      <w:r w:rsidR="001C7DC2" w:rsidRPr="00694E60">
        <w:t>ar</w:t>
      </w:r>
      <w:r w:rsidR="001C7DC2">
        <w:t xml:space="preserve"> naudas sodu </w:t>
      </w:r>
      <w:r w:rsidR="0091267E">
        <w:t>2</w:t>
      </w:r>
      <w:r w:rsidR="001C7DC2">
        <w:t xml:space="preserve"> Latvijas Republikā noteikto minimālo mēnešalgu apmērā, tas ir, 1000 </w:t>
      </w:r>
      <w:r w:rsidR="001C7DC2" w:rsidRPr="00D70DCE">
        <w:rPr>
          <w:i/>
        </w:rPr>
        <w:t>euro</w:t>
      </w:r>
      <w:r w:rsidR="001C7DC2">
        <w:t>.</w:t>
      </w:r>
      <w:r w:rsidR="00F50878" w:rsidRPr="00F50878">
        <w:t xml:space="preserve"> </w:t>
      </w:r>
      <w:r w:rsidR="00F50878">
        <w:t>Pārējā daļā pirmās instances tiesas spriedums atstāts negrozīts.</w:t>
      </w:r>
    </w:p>
    <w:p w14:paraId="303EAC68" w14:textId="6C7938D0" w:rsidR="001C7DC2" w:rsidRDefault="001C7DC2" w:rsidP="004C5539">
      <w:pPr>
        <w:spacing w:line="276" w:lineRule="auto"/>
        <w:ind w:firstLine="567"/>
        <w:jc w:val="both"/>
      </w:pPr>
    </w:p>
    <w:p w14:paraId="226F8342" w14:textId="1684B20A" w:rsidR="001C7DC2" w:rsidRDefault="001C7DC2" w:rsidP="004C5539">
      <w:pPr>
        <w:spacing w:line="276" w:lineRule="auto"/>
        <w:ind w:firstLine="567"/>
        <w:jc w:val="both"/>
      </w:pPr>
      <w:r>
        <w:t>[4] Par apelācijas instances tiesas spriedumu kasācijas sūdzību</w:t>
      </w:r>
      <w:r w:rsidR="00F73C72">
        <w:t xml:space="preserve"> un tās papildinājumus iesniedzis </w:t>
      </w:r>
      <w:r>
        <w:t xml:space="preserve">apsūdzētais </w:t>
      </w:r>
      <w:r w:rsidR="005A1E16">
        <w:t>[pers. A]</w:t>
      </w:r>
      <w:r>
        <w:t xml:space="preserve">, lūdzot atcelt Latgales apgabaltiesas </w:t>
      </w:r>
      <w:proofErr w:type="gramStart"/>
      <w:r>
        <w:t>2022.gada</w:t>
      </w:r>
      <w:proofErr w:type="gramEnd"/>
      <w:r>
        <w:t xml:space="preserve"> 18.janvāra spriedumu pilnībā un nosūtīt lietu</w:t>
      </w:r>
      <w:r w:rsidR="00DA0153">
        <w:t xml:space="preserve"> jaunai izskatīšanai.</w:t>
      </w:r>
    </w:p>
    <w:p w14:paraId="31112EBE" w14:textId="121F177C" w:rsidR="00C86A8D" w:rsidRDefault="00C86A8D" w:rsidP="004C5539">
      <w:pPr>
        <w:spacing w:line="276" w:lineRule="auto"/>
        <w:ind w:firstLine="567"/>
        <w:jc w:val="both"/>
      </w:pPr>
      <w:r w:rsidRPr="00694E60">
        <w:t xml:space="preserve">Kasācijas </w:t>
      </w:r>
      <w:r>
        <w:t>sūdzīb</w:t>
      </w:r>
      <w:r w:rsidR="00F50878">
        <w:t>u</w:t>
      </w:r>
      <w:r w:rsidRPr="00694E60">
        <w:t xml:space="preserve"> </w:t>
      </w:r>
      <w:r w:rsidR="00F73C72">
        <w:t>un tās papildinājum</w:t>
      </w:r>
      <w:r w:rsidR="00F50878">
        <w:t>u</w:t>
      </w:r>
      <w:r w:rsidR="00F73C72">
        <w:t xml:space="preserve">s </w:t>
      </w:r>
      <w:r>
        <w:t>apsūdzētais pamatojis</w:t>
      </w:r>
      <w:r w:rsidRPr="00694E60">
        <w:t xml:space="preserve"> ar </w:t>
      </w:r>
      <w:r w:rsidR="0091267E">
        <w:t>šādiem</w:t>
      </w:r>
      <w:r>
        <w:t xml:space="preserve"> argumentiem.</w:t>
      </w:r>
    </w:p>
    <w:p w14:paraId="3B175594" w14:textId="7D931D50" w:rsidR="00DE6A89" w:rsidRDefault="00F73C72" w:rsidP="00DE6A89">
      <w:pPr>
        <w:spacing w:line="276" w:lineRule="auto"/>
        <w:ind w:firstLine="567"/>
        <w:jc w:val="both"/>
      </w:pPr>
      <w:r>
        <w:t>[4</w:t>
      </w:r>
      <w:r w:rsidR="00F02CD1">
        <w:t xml:space="preserve">.1] </w:t>
      </w:r>
      <w:r w:rsidR="0091267E">
        <w:t xml:space="preserve">Apelācijas instances tiesa pieļāvusi Kriminālprocesa likuma </w:t>
      </w:r>
      <w:proofErr w:type="gramStart"/>
      <w:r w:rsidR="0091267E">
        <w:t>574.pantā</w:t>
      </w:r>
      <w:proofErr w:type="gramEnd"/>
      <w:r w:rsidR="0091267E">
        <w:t xml:space="preserve"> paredzēto pārkāpumu, nepareizi </w:t>
      </w:r>
      <w:r w:rsidR="00F50878">
        <w:t>kvalificējot noziedzīgo nodarījumu pēc</w:t>
      </w:r>
      <w:r w:rsidR="0091267E">
        <w:t xml:space="preserve"> Krimināllikuma 329.pant</w:t>
      </w:r>
      <w:r w:rsidR="00F50878">
        <w:t xml:space="preserve">a, </w:t>
      </w:r>
      <w:r w:rsidR="0091267E">
        <w:t xml:space="preserve">jo </w:t>
      </w:r>
      <w:r w:rsidR="004A0874" w:rsidRPr="00C86D95">
        <w:rPr>
          <w:color w:val="000000" w:themeColor="text1"/>
        </w:rPr>
        <w:t>apsūdzētā</w:t>
      </w:r>
      <w:r w:rsidR="0091267E" w:rsidRPr="00C86D95">
        <w:rPr>
          <w:color w:val="000000" w:themeColor="text1"/>
        </w:rPr>
        <w:t xml:space="preserve"> </w:t>
      </w:r>
      <w:r w:rsidR="00E659C8" w:rsidRPr="00C86D95">
        <w:rPr>
          <w:color w:val="000000" w:themeColor="text1"/>
        </w:rPr>
        <w:t xml:space="preserve">darbībās </w:t>
      </w:r>
      <w:r w:rsidR="004D098A" w:rsidRPr="00AA1108">
        <w:t>na</w:t>
      </w:r>
      <w:r w:rsidR="00AA1108" w:rsidRPr="00AA1108">
        <w:t xml:space="preserve">v </w:t>
      </w:r>
      <w:r w:rsidR="00062C5B" w:rsidRPr="00AA1108">
        <w:t>inkriminētā</w:t>
      </w:r>
      <w:r w:rsidR="00AA1108" w:rsidRPr="00AA1108">
        <w:t xml:space="preserve"> </w:t>
      </w:r>
      <w:r w:rsidR="00E659C8">
        <w:t>noziedzīgā nodarījuma sastāva</w:t>
      </w:r>
      <w:r w:rsidR="0091267E" w:rsidRPr="004A0874">
        <w:t>.</w:t>
      </w:r>
    </w:p>
    <w:p w14:paraId="33606B8E" w14:textId="13D98A56" w:rsidR="00DE6A89" w:rsidRDefault="000E7511" w:rsidP="00523325">
      <w:pPr>
        <w:spacing w:line="276" w:lineRule="auto"/>
        <w:ind w:firstLine="567"/>
        <w:jc w:val="both"/>
      </w:pPr>
      <w:r w:rsidRPr="006463B6">
        <w:lastRenderedPageBreak/>
        <w:t>Apsūdzēt</w:t>
      </w:r>
      <w:r w:rsidR="00523325">
        <w:t>ais nav izpaudis neizpaužamas ziņas, kuras nav valsts noslēpums, jo</w:t>
      </w:r>
      <w:r w:rsidR="0091267E">
        <w:t xml:space="preserve"> nosūtīto</w:t>
      </w:r>
      <w:r w:rsidR="00A94AB0">
        <w:t xml:space="preserve"> </w:t>
      </w:r>
      <w:r w:rsidR="0091267E">
        <w:t xml:space="preserve">ziņu saturs par </w:t>
      </w:r>
      <w:r w:rsidR="005A1E16">
        <w:t>[pers. B]</w:t>
      </w:r>
      <w:r w:rsidR="0091267E">
        <w:t xml:space="preserve"> </w:t>
      </w:r>
      <w:r w:rsidR="0091267E" w:rsidRPr="00E8385A">
        <w:t xml:space="preserve">sodāmībām </w:t>
      </w:r>
      <w:r w:rsidR="00A94AB0" w:rsidRPr="00E8385A">
        <w:t xml:space="preserve">neatbilst </w:t>
      </w:r>
      <w:r w:rsidR="00DF2B35">
        <w:t xml:space="preserve">Iekšlietu ministrijas Informācijas centra informācijas sistēmā </w:t>
      </w:r>
      <w:r w:rsidR="004F1E55">
        <w:t>esošajām ziņām</w:t>
      </w:r>
      <w:r w:rsidR="00523325">
        <w:t>.</w:t>
      </w:r>
    </w:p>
    <w:p w14:paraId="449A831B" w14:textId="0A21A7C7" w:rsidR="00CA40C5" w:rsidRPr="00390D66" w:rsidRDefault="005F5D7B" w:rsidP="00DE6A89">
      <w:pPr>
        <w:spacing w:line="276" w:lineRule="auto"/>
        <w:ind w:firstLine="567"/>
        <w:jc w:val="both"/>
      </w:pPr>
      <w:r w:rsidRPr="00F03275">
        <w:t>Turklāt persona</w:t>
      </w:r>
      <w:r w:rsidR="004F1E55">
        <w:t>i</w:t>
      </w:r>
      <w:r w:rsidRPr="00F03275">
        <w:t xml:space="preserve">, </w:t>
      </w:r>
      <w:r w:rsidR="00F03275" w:rsidRPr="00F03275">
        <w:t>kurai tika nosūtītas ziņas,</w:t>
      </w:r>
      <w:r w:rsidR="00462854">
        <w:t xml:space="preserve"> </w:t>
      </w:r>
      <w:r w:rsidR="004F1E55">
        <w:t>informācija</w:t>
      </w:r>
      <w:r w:rsidR="003A4664">
        <w:t xml:space="preserve"> par </w:t>
      </w:r>
      <w:r w:rsidR="005A1E16">
        <w:t>[pers. B]</w:t>
      </w:r>
      <w:r w:rsidR="003A4664">
        <w:t xml:space="preserve"> sodāmību un brīvības atņemšanas soda izciešanu</w:t>
      </w:r>
      <w:r w:rsidR="00F03275" w:rsidRPr="00F03275">
        <w:t xml:space="preserve"> jau iepriekš </w:t>
      </w:r>
      <w:r w:rsidR="00F03275">
        <w:t xml:space="preserve">bija </w:t>
      </w:r>
      <w:r w:rsidR="004F1E55">
        <w:t>zināma.</w:t>
      </w:r>
    </w:p>
    <w:p w14:paraId="280C94D1" w14:textId="53C160D1" w:rsidR="0072693D" w:rsidRDefault="00F03275" w:rsidP="004C5539">
      <w:pPr>
        <w:spacing w:line="276" w:lineRule="auto"/>
        <w:ind w:firstLine="567"/>
        <w:jc w:val="both"/>
      </w:pPr>
      <w:r w:rsidRPr="00F03275">
        <w:t xml:space="preserve">[4.2] </w:t>
      </w:r>
      <w:r w:rsidR="00113FB7">
        <w:t>Apelācijas instances t</w:t>
      </w:r>
      <w:r w:rsidR="0072693D">
        <w:t>iesa</w:t>
      </w:r>
      <w:r w:rsidR="004F1E55">
        <w:t xml:space="preserve">, atzīstot, ka nav pamata Krimināllikuma </w:t>
      </w:r>
      <w:proofErr w:type="gramStart"/>
      <w:r w:rsidR="004F1E55">
        <w:t>58.panta</w:t>
      </w:r>
      <w:proofErr w:type="gramEnd"/>
      <w:r w:rsidR="004F1E55">
        <w:t xml:space="preserve"> pirmās daļas un 59.panta trešās daļas nosacījumu piemērošanai, pārkāpusi Krimināllikuma 46.panta otro daļu. Tiesa nav izvērtējusi </w:t>
      </w:r>
      <w:r w:rsidR="00523325">
        <w:t xml:space="preserve">ar </w:t>
      </w:r>
      <w:r w:rsidR="004F1E55">
        <w:t>noziedzīg</w:t>
      </w:r>
      <w:r w:rsidR="00523325">
        <w:t>o</w:t>
      </w:r>
      <w:r w:rsidR="0072693D">
        <w:t xml:space="preserve"> nodarījum</w:t>
      </w:r>
      <w:r w:rsidR="00523325">
        <w:t>u</w:t>
      </w:r>
      <w:r w:rsidR="0072693D">
        <w:t xml:space="preserve"> radīto kaitējumu, kas</w:t>
      </w:r>
      <w:r w:rsidR="00DA0153">
        <w:t xml:space="preserve"> atbil</w:t>
      </w:r>
      <w:r w:rsidR="004F1E55">
        <w:t xml:space="preserve">stoši </w:t>
      </w:r>
      <w:r w:rsidR="004F1E55" w:rsidRPr="002E7816">
        <w:t>judikatūrā atzītajam</w:t>
      </w:r>
      <w:r w:rsidR="0072693D" w:rsidRPr="002E7816">
        <w:t xml:space="preserve"> </w:t>
      </w:r>
      <w:r w:rsidR="0072693D">
        <w:t xml:space="preserve">it sevišķi jāvērtē gadījumos, kad </w:t>
      </w:r>
      <w:r w:rsidR="00DA0153">
        <w:t>jālemj</w:t>
      </w:r>
      <w:r w:rsidR="0072693D">
        <w:t xml:space="preserve"> jautājums par Krimināllikuma </w:t>
      </w:r>
      <w:proofErr w:type="gramStart"/>
      <w:r w:rsidR="0072693D">
        <w:t>58.panta</w:t>
      </w:r>
      <w:proofErr w:type="gramEnd"/>
      <w:r w:rsidR="0072693D">
        <w:t xml:space="preserve"> </w:t>
      </w:r>
      <w:r w:rsidR="004F1E55">
        <w:t>pirmās daļas piemērošanu</w:t>
      </w:r>
      <w:r w:rsidR="0039678C">
        <w:t xml:space="preserve"> </w:t>
      </w:r>
      <w:r w:rsidR="0039678C" w:rsidRPr="00B24F6C">
        <w:t>(</w:t>
      </w:r>
      <w:r w:rsidR="0039678C">
        <w:rPr>
          <w:i/>
        </w:rPr>
        <w:t>Augstākās tiesas</w:t>
      </w:r>
      <w:r w:rsidR="0039678C" w:rsidRPr="00B24F6C">
        <w:rPr>
          <w:i/>
        </w:rPr>
        <w:t xml:space="preserve"> 20</w:t>
      </w:r>
      <w:r w:rsidR="0039678C">
        <w:rPr>
          <w:i/>
        </w:rPr>
        <w:t>14</w:t>
      </w:r>
      <w:r w:rsidR="0039678C" w:rsidRPr="00B24F6C">
        <w:rPr>
          <w:i/>
        </w:rPr>
        <w:t xml:space="preserve">.gada </w:t>
      </w:r>
      <w:r w:rsidR="0039678C">
        <w:rPr>
          <w:i/>
        </w:rPr>
        <w:t>19.septembra</w:t>
      </w:r>
      <w:r w:rsidR="0039678C" w:rsidRPr="00B24F6C">
        <w:rPr>
          <w:i/>
        </w:rPr>
        <w:t xml:space="preserve"> lēmums lietā Nr.</w:t>
      </w:r>
      <w:r w:rsidR="00DE6A89">
        <w:rPr>
          <w:i/>
        </w:rPr>
        <w:t> </w:t>
      </w:r>
      <w:r w:rsidR="0039678C" w:rsidRPr="00B24F6C">
        <w:rPr>
          <w:i/>
        </w:rPr>
        <w:t>SKK-</w:t>
      </w:r>
      <w:r w:rsidR="0039678C">
        <w:rPr>
          <w:i/>
        </w:rPr>
        <w:t>417</w:t>
      </w:r>
      <w:r w:rsidR="0039678C" w:rsidRPr="00B24F6C">
        <w:rPr>
          <w:i/>
        </w:rPr>
        <w:t>/20</w:t>
      </w:r>
      <w:r w:rsidR="0039678C">
        <w:rPr>
          <w:i/>
        </w:rPr>
        <w:t>14</w:t>
      </w:r>
      <w:r w:rsidR="0039678C" w:rsidRPr="00B24F6C">
        <w:rPr>
          <w:i/>
        </w:rPr>
        <w:t xml:space="preserve"> </w:t>
      </w:r>
      <w:r w:rsidR="0039678C">
        <w:rPr>
          <w:i/>
        </w:rPr>
        <w:t>(</w:t>
      </w:r>
      <w:r w:rsidR="0039678C" w:rsidRPr="004A7F47">
        <w:rPr>
          <w:i/>
          <w:iCs/>
          <w:spacing w:val="-2"/>
        </w:rPr>
        <w:t>11514006512</w:t>
      </w:r>
      <w:r w:rsidR="0039678C">
        <w:rPr>
          <w:i/>
        </w:rPr>
        <w:t>)</w:t>
      </w:r>
      <w:r w:rsidR="0039678C" w:rsidRPr="00B24F6C">
        <w:t>)</w:t>
      </w:r>
      <w:r w:rsidR="0039678C">
        <w:t>.</w:t>
      </w:r>
    </w:p>
    <w:p w14:paraId="50A959AA" w14:textId="5CAC7FE6" w:rsidR="00F03275" w:rsidRPr="00F03275" w:rsidRDefault="00E5061F" w:rsidP="004C5539">
      <w:pPr>
        <w:spacing w:line="276" w:lineRule="auto"/>
        <w:ind w:firstLine="567"/>
        <w:jc w:val="both"/>
      </w:pPr>
      <w:r>
        <w:t>[4.3]</w:t>
      </w:r>
      <w:r w:rsidR="00BD3155">
        <w:t xml:space="preserve"> </w:t>
      </w:r>
      <w:r w:rsidR="00332D2F">
        <w:t xml:space="preserve">Nosakot naudas soda apmēru, </w:t>
      </w:r>
      <w:r w:rsidR="004F1E55">
        <w:t xml:space="preserve">apelācijas instances </w:t>
      </w:r>
      <w:r w:rsidR="00332D2F">
        <w:t>t</w:t>
      </w:r>
      <w:r w:rsidR="00F91C14">
        <w:t xml:space="preserve">iesa nav </w:t>
      </w:r>
      <w:r w:rsidR="004F1E55">
        <w:t xml:space="preserve">ievērojusi Krimināllikuma </w:t>
      </w:r>
      <w:proofErr w:type="gramStart"/>
      <w:r w:rsidR="004F1E55">
        <w:t>41.panta</w:t>
      </w:r>
      <w:proofErr w:type="gramEnd"/>
      <w:r w:rsidR="004F1E55">
        <w:t xml:space="preserve"> ceturto daļu, jo nav novērtējusi apsūdzētā iespējas nekavējoties samaksāt</w:t>
      </w:r>
      <w:r w:rsidR="00F91C14">
        <w:t xml:space="preserve"> naudas sodu </w:t>
      </w:r>
      <w:r w:rsidR="00332D2F">
        <w:t>vai gūt ienākumus, kas viņam ļautu likumā noteiktajā laikā samaksāt uzlikto naudas sodu</w:t>
      </w:r>
      <w:r w:rsidR="004F1E55">
        <w:t>.</w:t>
      </w:r>
    </w:p>
    <w:p w14:paraId="7C60F55C" w14:textId="77777777" w:rsidR="00F02CD1" w:rsidRDefault="00F02CD1" w:rsidP="004C5539">
      <w:pPr>
        <w:spacing w:line="276" w:lineRule="auto"/>
        <w:ind w:firstLine="567"/>
        <w:jc w:val="both"/>
      </w:pPr>
    </w:p>
    <w:p w14:paraId="73B05540" w14:textId="77777777" w:rsidR="00F02CD1" w:rsidRDefault="00F02CD1" w:rsidP="004C5539">
      <w:pPr>
        <w:spacing w:line="276" w:lineRule="auto"/>
        <w:jc w:val="center"/>
        <w:rPr>
          <w:b/>
        </w:rPr>
      </w:pPr>
      <w:r w:rsidRPr="003F2999">
        <w:rPr>
          <w:b/>
        </w:rPr>
        <w:t>Motīvu daļa</w:t>
      </w:r>
    </w:p>
    <w:p w14:paraId="08BE9F00" w14:textId="77777777" w:rsidR="00A42C16" w:rsidRPr="00A42C16" w:rsidRDefault="00A42C16" w:rsidP="004C5539">
      <w:pPr>
        <w:spacing w:line="276" w:lineRule="auto"/>
      </w:pPr>
    </w:p>
    <w:p w14:paraId="13E668D8" w14:textId="7F131DDE" w:rsidR="00A42C16" w:rsidRPr="00A42C16" w:rsidRDefault="00A42C16" w:rsidP="004C5539">
      <w:pPr>
        <w:spacing w:line="276" w:lineRule="auto"/>
        <w:ind w:firstLine="567"/>
        <w:jc w:val="both"/>
      </w:pPr>
      <w:r w:rsidRPr="00A42C16">
        <w:t xml:space="preserve">[5] Senāts atzīst, ka Latgales apgabaltiesas </w:t>
      </w:r>
      <w:proofErr w:type="gramStart"/>
      <w:r w:rsidRPr="00A42C16">
        <w:t>2022.gada</w:t>
      </w:r>
      <w:proofErr w:type="gramEnd"/>
      <w:r w:rsidRPr="00A42C16">
        <w:t xml:space="preserve"> 18.janvāra spriedums atceļams daļā par apsūdzētajam </w:t>
      </w:r>
      <w:r w:rsidR="005A1E16">
        <w:t>[pers. A]</w:t>
      </w:r>
      <w:r w:rsidRPr="00A42C16">
        <w:t xml:space="preserve"> noteikto sodu pēc Krimināllikuma 329.panta. Atceltajā daļā lieta nosūtāma jaunai izskatīšanai apelācijas instances tiesā. Pārējā daļā spriedums atstājams negrozīts.</w:t>
      </w:r>
    </w:p>
    <w:p w14:paraId="0950CF88" w14:textId="77777777" w:rsidR="00A42C16" w:rsidRDefault="00A42C16" w:rsidP="004C5539">
      <w:pPr>
        <w:spacing w:line="276" w:lineRule="auto"/>
        <w:ind w:firstLine="567"/>
        <w:jc w:val="both"/>
      </w:pPr>
    </w:p>
    <w:p w14:paraId="4BC0E204" w14:textId="77777777" w:rsidR="00A42C16" w:rsidRPr="00A42C16" w:rsidRDefault="00A42C16" w:rsidP="004C5539">
      <w:pPr>
        <w:spacing w:line="276" w:lineRule="auto"/>
        <w:ind w:firstLine="567"/>
        <w:jc w:val="both"/>
      </w:pPr>
      <w:r w:rsidRPr="00A42C16">
        <w:t xml:space="preserve">[6] Senāts atzīst, ka lietā konstatējams Kriminālprocesa likuma </w:t>
      </w:r>
      <w:proofErr w:type="gramStart"/>
      <w:r w:rsidRPr="00A42C16">
        <w:t>574.panta</w:t>
      </w:r>
      <w:proofErr w:type="gramEnd"/>
      <w:r w:rsidRPr="00A42C16">
        <w:t xml:space="preserve"> 1.punktā norādītais pamats apelācijas instances tiesas sprieduma atcelšanai, jo apelācijas instances tiesa kļūdaini interpretējusi Krimināllikuma 58.panta pirmo daļu.</w:t>
      </w:r>
    </w:p>
    <w:p w14:paraId="5E204855" w14:textId="17795C9D" w:rsidR="00E65E57" w:rsidRDefault="00A42C16" w:rsidP="004C5539">
      <w:pPr>
        <w:spacing w:line="276" w:lineRule="auto"/>
        <w:ind w:firstLine="567"/>
        <w:jc w:val="both"/>
      </w:pPr>
      <w:r w:rsidRPr="00A42C16">
        <w:t>[</w:t>
      </w:r>
      <w:r w:rsidR="005D480C">
        <w:t>6</w:t>
      </w:r>
      <w:r w:rsidRPr="00A42C16">
        <w:t xml:space="preserve">.1.] </w:t>
      </w:r>
      <w:r>
        <w:t>Apelācijas instances tiesa,</w:t>
      </w:r>
      <w:r w:rsidRPr="002A1809">
        <w:t xml:space="preserve"> </w:t>
      </w:r>
      <w:r>
        <w:t xml:space="preserve">atzīstot ka </w:t>
      </w:r>
      <w:r w:rsidRPr="00AE3C61">
        <w:t xml:space="preserve">apsūdzētā </w:t>
      </w:r>
      <w:r w:rsidR="005A1E16">
        <w:t>[pers. A]</w:t>
      </w:r>
      <w:r w:rsidRPr="00AE3C61">
        <w:t xml:space="preserve"> atbrīvošanai no soda saskaņā ar</w:t>
      </w:r>
      <w:r>
        <w:t xml:space="preserve"> </w:t>
      </w:r>
      <w:r w:rsidRPr="00AE3C61">
        <w:t xml:space="preserve">Krimināllikuma </w:t>
      </w:r>
      <w:proofErr w:type="gramStart"/>
      <w:r w:rsidRPr="00AE3C61">
        <w:t>59.panta</w:t>
      </w:r>
      <w:proofErr w:type="gramEnd"/>
      <w:r w:rsidRPr="00AE3C61">
        <w:t xml:space="preserve"> trešo daļu un 58.panta pirmo daļu nav tiesiska pamata</w:t>
      </w:r>
      <w:r>
        <w:t xml:space="preserve">, norādījusi, ka </w:t>
      </w:r>
      <w:r w:rsidR="005A1E16">
        <w:t>[pers. A]</w:t>
      </w:r>
      <w:r w:rsidRPr="00AE3C61">
        <w:t xml:space="preserve"> izdarīj</w:t>
      </w:r>
      <w:r>
        <w:t>is</w:t>
      </w:r>
      <w:r w:rsidRPr="00AE3C61">
        <w:t xml:space="preserve"> noziegumu ar</w:t>
      </w:r>
      <w:r>
        <w:t xml:space="preserve"> </w:t>
      </w:r>
      <w:r w:rsidRPr="00AE3C61">
        <w:t xml:space="preserve">formālu sastāvu, kas nekādu seku iestāšanos neprasa, bet sodāma ir pati kaitīgā darbība. </w:t>
      </w:r>
      <w:r>
        <w:t>Tiesa norādījusi</w:t>
      </w:r>
      <w:r w:rsidRPr="006B6196">
        <w:t xml:space="preserve">, ja </w:t>
      </w:r>
      <w:r w:rsidRPr="00AE3C61">
        <w:t>likumdevējs ir atzinis neizpaužamo ziņu izpaušanu par kriminālsodām</w:t>
      </w:r>
      <w:r w:rsidRPr="00A42C16">
        <w:t>u</w:t>
      </w:r>
      <w:r w:rsidRPr="00AE3C61">
        <w:t xml:space="preserve"> darbību, nav pamata</w:t>
      </w:r>
      <w:r>
        <w:t xml:space="preserve"> </w:t>
      </w:r>
      <w:r w:rsidRPr="00AE3C61">
        <w:t>secinājumam, ka šāda darbība neapdraud ar likumu aizsargātas intereses vai apdraud tās</w:t>
      </w:r>
      <w:r>
        <w:t xml:space="preserve"> </w:t>
      </w:r>
      <w:r w:rsidRPr="00AE3C61">
        <w:t>nebūtiski.</w:t>
      </w:r>
    </w:p>
    <w:p w14:paraId="0B356BDE" w14:textId="6D3150F8" w:rsidR="00E65E57" w:rsidRDefault="00E65E57" w:rsidP="00523325">
      <w:pPr>
        <w:spacing w:line="276" w:lineRule="auto"/>
        <w:ind w:firstLine="567"/>
        <w:jc w:val="both"/>
      </w:pPr>
      <w:r>
        <w:t xml:space="preserve">Pamatojot šādu atzinumu, apelācijas instances tiesa atsaukusies uz </w:t>
      </w:r>
      <w:proofErr w:type="gramStart"/>
      <w:r w:rsidRPr="00AE3C61">
        <w:t>2020.gada</w:t>
      </w:r>
      <w:proofErr w:type="gramEnd"/>
      <w:r w:rsidRPr="00AE3C61">
        <w:t xml:space="preserve"> 1.</w:t>
      </w:r>
      <w:r w:rsidR="00DE6A89">
        <w:t>jūlija (domājams</w:t>
      </w:r>
      <w:r w:rsidR="00523325">
        <w:t xml:space="preserve"> –</w:t>
      </w:r>
      <w:r w:rsidR="00DE6A89">
        <w:t xml:space="preserve"> 2020.gada 11.jūnija)</w:t>
      </w:r>
      <w:r w:rsidRPr="00AE3C61">
        <w:t xml:space="preserve"> likumu </w:t>
      </w:r>
      <w:r w:rsidR="00C37D06">
        <w:t>,,</w:t>
      </w:r>
      <w:r w:rsidRPr="00AE3C61">
        <w:t>Grozījumi Krimināllikumā” (stājās spēkā 2020.gada</w:t>
      </w:r>
      <w:r>
        <w:t xml:space="preserve"> </w:t>
      </w:r>
      <w:r w:rsidRPr="00AE3C61">
        <w:t>6.jūlijā)</w:t>
      </w:r>
      <w:r>
        <w:t>, ar kuru</w:t>
      </w:r>
      <w:r w:rsidRPr="00AE3C61">
        <w:t xml:space="preserve"> ieviests jauns jēdziens </w:t>
      </w:r>
      <w:r w:rsidR="00C37D06">
        <w:t>,,</w:t>
      </w:r>
      <w:r w:rsidRPr="00AE3C61">
        <w:t>maznozīmīgs noziedzīgs nodarījums”, kas aizstāja līdz šim</w:t>
      </w:r>
      <w:r>
        <w:t xml:space="preserve"> </w:t>
      </w:r>
      <w:r w:rsidR="00DE6A89">
        <w:t>Krimināllikuma 58.</w:t>
      </w:r>
      <w:r w:rsidRPr="00AE3C61">
        <w:t xml:space="preserve">panta pirmajā daļā izmantoto formulējumu </w:t>
      </w:r>
      <w:r w:rsidR="00977E9D">
        <w:t>,,</w:t>
      </w:r>
      <w:r w:rsidRPr="00AE3C61">
        <w:t>noziedzīgs nodarījums,</w:t>
      </w:r>
      <w:r>
        <w:t xml:space="preserve"> </w:t>
      </w:r>
      <w:r w:rsidRPr="00AE3C61">
        <w:t>kuram gan ir šajā likumā paredzētā nodarījuma pazīmes, bet ar kuru nav radīts tāds kaitējums,</w:t>
      </w:r>
      <w:r>
        <w:t xml:space="preserve"> </w:t>
      </w:r>
      <w:r w:rsidRPr="00AE3C61">
        <w:t>lai vajadzētu piespriest kriminālsodu”.</w:t>
      </w:r>
      <w:r>
        <w:t xml:space="preserve"> </w:t>
      </w:r>
      <w:r w:rsidRPr="00AE3C61">
        <w:t xml:space="preserve">Savukārt likuma </w:t>
      </w:r>
      <w:r w:rsidR="008475B4">
        <w:t>,,</w:t>
      </w:r>
      <w:r w:rsidRPr="00AE3C61">
        <w:t>Par Krimināllikuma spēkā stāšanās un piemērošanas</w:t>
      </w:r>
      <w:r>
        <w:t xml:space="preserve"> </w:t>
      </w:r>
      <w:r w:rsidRPr="00AE3C61">
        <w:t xml:space="preserve">kārtību” </w:t>
      </w:r>
      <w:r>
        <w:rPr>
          <w:rFonts w:asciiTheme="majorBidi" w:hAnsiTheme="majorBidi" w:cstheme="majorBidi"/>
          <w:iCs/>
          <w:color w:val="000000"/>
          <w:lang w:eastAsia="lv-LV"/>
        </w:rPr>
        <w:t>19</w:t>
      </w:r>
      <w:r w:rsidRPr="00346DF3">
        <w:rPr>
          <w:rFonts w:asciiTheme="majorBidi" w:hAnsiTheme="majorBidi" w:cstheme="majorBidi"/>
          <w:iCs/>
          <w:color w:val="000000"/>
          <w:lang w:eastAsia="lv-LV"/>
        </w:rPr>
        <w:t>.</w:t>
      </w:r>
      <w:r w:rsidRPr="00346DF3">
        <w:rPr>
          <w:rFonts w:asciiTheme="majorBidi" w:hAnsiTheme="majorBidi" w:cstheme="majorBidi"/>
          <w:iCs/>
          <w:color w:val="000000"/>
          <w:vertAlign w:val="superscript"/>
          <w:lang w:eastAsia="lv-LV"/>
        </w:rPr>
        <w:t>2</w:t>
      </w:r>
      <w:r w:rsidRPr="00346DF3">
        <w:rPr>
          <w:rFonts w:asciiTheme="majorBidi" w:hAnsiTheme="majorBidi" w:cstheme="majorBidi"/>
          <w:iCs/>
          <w:color w:val="000000"/>
          <w:lang w:eastAsia="lv-LV"/>
        </w:rPr>
        <w:t>pant</w:t>
      </w:r>
      <w:r>
        <w:rPr>
          <w:rFonts w:asciiTheme="majorBidi" w:hAnsiTheme="majorBidi" w:cstheme="majorBidi"/>
          <w:iCs/>
          <w:color w:val="000000"/>
          <w:lang w:eastAsia="lv-LV"/>
        </w:rPr>
        <w:t xml:space="preserve">ā </w:t>
      </w:r>
      <w:r w:rsidRPr="00AE3C61">
        <w:t>detalizēti izklāstītas maznozīmīga noziedzīga nodarījuma pazīmes, proti,</w:t>
      </w:r>
      <w:r>
        <w:t xml:space="preserve"> </w:t>
      </w:r>
      <w:r w:rsidRPr="00AE3C61">
        <w:t xml:space="preserve">ka </w:t>
      </w:r>
      <w:r w:rsidR="00EF3DA5">
        <w:t xml:space="preserve"> tas</w:t>
      </w:r>
      <w:r w:rsidRPr="00AE3C61">
        <w:t xml:space="preserve"> ir nodarījums, kura rezultātā nodarīts mantisks</w:t>
      </w:r>
      <w:r>
        <w:t xml:space="preserve"> </w:t>
      </w:r>
      <w:r w:rsidRPr="00AE3C61">
        <w:t>zaudējums, kas noziedzīga nodarījuma izdarīšanas brīdī bijis mazāks par pusi no tai laikā</w:t>
      </w:r>
      <w:r>
        <w:t xml:space="preserve"> </w:t>
      </w:r>
      <w:r w:rsidRPr="00AE3C61">
        <w:t xml:space="preserve">Latvijas Republikā noteiktās minimālās </w:t>
      </w:r>
      <w:r w:rsidRPr="00194801">
        <w:t>mēnešalgas vai kura radītais ar likumu aizsargāto interešu apdraudējums ir neliels.</w:t>
      </w:r>
    </w:p>
    <w:p w14:paraId="174D701B" w14:textId="627691AF" w:rsidR="00546100" w:rsidRDefault="005D480C" w:rsidP="004C5539">
      <w:pPr>
        <w:tabs>
          <w:tab w:val="left" w:pos="709"/>
        </w:tabs>
        <w:spacing w:line="276" w:lineRule="auto"/>
        <w:ind w:firstLine="567"/>
        <w:contextualSpacing/>
        <w:jc w:val="both"/>
        <w:rPr>
          <w:color w:val="00000A"/>
        </w:rPr>
      </w:pPr>
      <w:bookmarkStart w:id="0" w:name="OLE_LINK2"/>
      <w:bookmarkEnd w:id="0"/>
      <w:r w:rsidRPr="00346DF3">
        <w:rPr>
          <w:rFonts w:asciiTheme="majorBidi" w:hAnsiTheme="majorBidi" w:cstheme="majorBidi"/>
        </w:rPr>
        <w:t>[</w:t>
      </w:r>
      <w:r>
        <w:rPr>
          <w:rFonts w:asciiTheme="majorBidi" w:hAnsiTheme="majorBidi" w:cstheme="majorBidi"/>
        </w:rPr>
        <w:t>6.2</w:t>
      </w:r>
      <w:r w:rsidRPr="00346DF3">
        <w:rPr>
          <w:rFonts w:asciiTheme="majorBidi" w:hAnsiTheme="majorBidi" w:cstheme="majorBidi"/>
        </w:rPr>
        <w:t xml:space="preserve">] </w:t>
      </w:r>
      <w:r>
        <w:t xml:space="preserve">Senāts norāda, ka saskaņā ar </w:t>
      </w:r>
      <w:r w:rsidRPr="005D480C">
        <w:t>likumprojekta</w:t>
      </w:r>
      <w:bookmarkStart w:id="1" w:name="OLE_LINK1"/>
      <w:proofErr w:type="gramStart"/>
      <w:r w:rsidRPr="005D480C">
        <w:t xml:space="preserve"> </w:t>
      </w:r>
      <w:bookmarkEnd w:id="1"/>
      <w:r w:rsidR="008475B4">
        <w:t>,,</w:t>
      </w:r>
      <w:proofErr w:type="gramEnd"/>
      <w:r w:rsidRPr="005D480C">
        <w:t>Grozījum</w:t>
      </w:r>
      <w:r w:rsidR="00856E15">
        <w:t>s</w:t>
      </w:r>
      <w:r w:rsidRPr="005D480C">
        <w:t xml:space="preserve"> likumā </w:t>
      </w:r>
      <w:r w:rsidR="008475B4">
        <w:rPr>
          <w:color w:val="00000A"/>
        </w:rPr>
        <w:t>,,</w:t>
      </w:r>
      <w:r w:rsidRPr="006C6CEB">
        <w:rPr>
          <w:color w:val="00000A"/>
        </w:rPr>
        <w:t>Par Krimināllikuma spēkā stāšanās un piemērošanas kārtību</w:t>
      </w:r>
      <w:r>
        <w:rPr>
          <w:color w:val="00000A"/>
        </w:rPr>
        <w:t>”</w:t>
      </w:r>
      <w:r w:rsidR="00345518">
        <w:rPr>
          <w:color w:val="00000A"/>
        </w:rPr>
        <w:t>”</w:t>
      </w:r>
      <w:r>
        <w:rPr>
          <w:color w:val="00000A"/>
        </w:rPr>
        <w:t xml:space="preserve"> </w:t>
      </w:r>
      <w:r w:rsidRPr="006C6CEB">
        <w:rPr>
          <w:color w:val="00000A"/>
        </w:rPr>
        <w:t>anotācij</w:t>
      </w:r>
      <w:r>
        <w:rPr>
          <w:color w:val="00000A"/>
        </w:rPr>
        <w:t xml:space="preserve">u </w:t>
      </w:r>
      <w:r w:rsidRPr="00B91F9A">
        <w:rPr>
          <w:color w:val="00000A"/>
        </w:rPr>
        <w:t xml:space="preserve">atkarībā no sekām </w:t>
      </w:r>
      <w:r>
        <w:rPr>
          <w:color w:val="00000A"/>
        </w:rPr>
        <w:t xml:space="preserve">ir </w:t>
      </w:r>
      <w:r w:rsidRPr="00B91F9A">
        <w:rPr>
          <w:color w:val="00000A"/>
        </w:rPr>
        <w:lastRenderedPageBreak/>
        <w:t>noteikt</w:t>
      </w:r>
      <w:r>
        <w:rPr>
          <w:color w:val="00000A"/>
        </w:rPr>
        <w:t>i</w:t>
      </w:r>
      <w:r w:rsidRPr="00B91F9A">
        <w:rPr>
          <w:color w:val="00000A"/>
        </w:rPr>
        <w:t xml:space="preserve"> div</w:t>
      </w:r>
      <w:r>
        <w:rPr>
          <w:color w:val="00000A"/>
        </w:rPr>
        <w:t>i</w:t>
      </w:r>
      <w:r w:rsidRPr="00B91F9A">
        <w:rPr>
          <w:color w:val="00000A"/>
        </w:rPr>
        <w:t xml:space="preserve"> konkrēt</w:t>
      </w:r>
      <w:r>
        <w:rPr>
          <w:color w:val="00000A"/>
        </w:rPr>
        <w:t>i</w:t>
      </w:r>
      <w:r w:rsidRPr="00B91F9A">
        <w:rPr>
          <w:color w:val="00000A"/>
        </w:rPr>
        <w:t xml:space="preserve"> maznozīmīguma kritērij</w:t>
      </w:r>
      <w:r>
        <w:rPr>
          <w:color w:val="00000A"/>
        </w:rPr>
        <w:t>i</w:t>
      </w:r>
      <w:r w:rsidRPr="00B91F9A">
        <w:rPr>
          <w:color w:val="00000A"/>
        </w:rPr>
        <w:t>, proti, vien</w:t>
      </w:r>
      <w:r>
        <w:rPr>
          <w:color w:val="00000A"/>
        </w:rPr>
        <w:t>s</w:t>
      </w:r>
      <w:r w:rsidRPr="00B91F9A">
        <w:rPr>
          <w:color w:val="00000A"/>
        </w:rPr>
        <w:t xml:space="preserve"> kritērij</w:t>
      </w:r>
      <w:r>
        <w:rPr>
          <w:color w:val="00000A"/>
        </w:rPr>
        <w:t>s ir</w:t>
      </w:r>
      <w:r w:rsidRPr="00B91F9A">
        <w:rPr>
          <w:color w:val="00000A"/>
        </w:rPr>
        <w:t xml:space="preserve"> attiecināt</w:t>
      </w:r>
      <w:r>
        <w:rPr>
          <w:color w:val="00000A"/>
        </w:rPr>
        <w:t>s</w:t>
      </w:r>
      <w:r w:rsidRPr="00B91F9A">
        <w:rPr>
          <w:color w:val="00000A"/>
        </w:rPr>
        <w:t xml:space="preserve"> uz mantiskā zaudējuma apmēru, nosakot, ka noziedzīga nodarījuma izdarīšanas </w:t>
      </w:r>
      <w:r w:rsidRPr="005D480C">
        <w:rPr>
          <w:color w:val="00000A"/>
        </w:rPr>
        <w:t>brīdī tas ir bijis mazāks par</w:t>
      </w:r>
      <w:r w:rsidRPr="005D480C">
        <w:rPr>
          <w:b/>
          <w:bCs/>
          <w:iCs/>
          <w:color w:val="00000A"/>
        </w:rPr>
        <w:t xml:space="preserve"> </w:t>
      </w:r>
      <w:r w:rsidRPr="005D480C">
        <w:rPr>
          <w:color w:val="00000A"/>
        </w:rPr>
        <w:t xml:space="preserve">pusi no tai laikā Latvijas Republikā noteiktās minimālās mēnešalgas, bet otrs kritērijs ir attiecināts uz ar likumu aizsargāto interešu apdraudējumu, nosakot, </w:t>
      </w:r>
      <w:r w:rsidRPr="00523325">
        <w:t xml:space="preserve">ka tas ir bijis neliels. Otrais kritērijs attiecas uz nemantiska rakstura noziedzīgiem nodarījumiem, piemēram, </w:t>
      </w:r>
      <w:r w:rsidR="008475B4" w:rsidRPr="00523325">
        <w:t>Krimināllikuma</w:t>
      </w:r>
      <w:r w:rsidRPr="00523325">
        <w:t xml:space="preserve"> 106.pantu </w:t>
      </w:r>
      <w:r w:rsidR="008475B4" w:rsidRPr="00523325">
        <w:t>,,</w:t>
      </w:r>
      <w:r w:rsidRPr="00523325">
        <w:t>Datu slēpšana par dabas vides piesārņojumu</w:t>
      </w:r>
      <w:r w:rsidR="00345518" w:rsidRPr="00523325">
        <w:t>”</w:t>
      </w:r>
      <w:r w:rsidRPr="00523325">
        <w:t xml:space="preserve">, </w:t>
      </w:r>
      <w:r w:rsidR="00345518" w:rsidRPr="00523325">
        <w:t>Krimināllikuma</w:t>
      </w:r>
      <w:r w:rsidRPr="00523325">
        <w:t xml:space="preserve"> 194.</w:t>
      </w:r>
      <w:r w:rsidRPr="00523325">
        <w:rPr>
          <w:vertAlign w:val="superscript"/>
        </w:rPr>
        <w:t>1</w:t>
      </w:r>
      <w:r w:rsidRPr="00523325">
        <w:t xml:space="preserve">pantu </w:t>
      </w:r>
      <w:r w:rsidR="00345518" w:rsidRPr="00523325">
        <w:t>,,</w:t>
      </w:r>
      <w:r w:rsidRPr="00523325">
        <w:t>Nepatiesu datu vai ziņu izplatīšana par Latvijas Republikas finanšu sistēmas stāvokli</w:t>
      </w:r>
      <w:r w:rsidR="00345518" w:rsidRPr="00523325">
        <w:t>”</w:t>
      </w:r>
      <w:r w:rsidRPr="00523325">
        <w:t>,</w:t>
      </w:r>
      <w:r w:rsidR="00345518" w:rsidRPr="00523325">
        <w:t xml:space="preserve"> Krimināllikuma</w:t>
      </w:r>
      <w:r w:rsidRPr="00523325">
        <w:t xml:space="preserve"> 217.pantu </w:t>
      </w:r>
      <w:r w:rsidR="00345518" w:rsidRPr="00523325">
        <w:t>,,</w:t>
      </w:r>
      <w:r w:rsidRPr="00523325">
        <w:t xml:space="preserve">Grāmatvedības un statistiskās </w:t>
      </w:r>
      <w:r w:rsidRPr="00B91F9A">
        <w:rPr>
          <w:color w:val="00000A"/>
        </w:rPr>
        <w:t>informācijas noteikumu pārkāpšana</w:t>
      </w:r>
      <w:r w:rsidR="00345518">
        <w:rPr>
          <w:color w:val="00000A"/>
        </w:rPr>
        <w:t>”</w:t>
      </w:r>
      <w:r w:rsidRPr="00B91F9A">
        <w:rPr>
          <w:color w:val="00000A"/>
        </w:rPr>
        <w:t xml:space="preserve"> u.c. Ja pirmais kritērijs ir novērtējams konkrēta mantiska zaudējuma apmērā, tad otrais kritērijs ir vērtējams atbilstoši aizsargāto interešu apdraudējuma apmēram, līdzīgi kā tiek vērtēts būtiska kaitējuma kritērijs, kas </w:t>
      </w:r>
      <w:r w:rsidRPr="00856E15">
        <w:t xml:space="preserve">saistīts </w:t>
      </w:r>
      <w:r w:rsidRPr="00856E15">
        <w:rPr>
          <w:color w:val="00000A"/>
        </w:rPr>
        <w:t xml:space="preserve">ar citu ar </w:t>
      </w:r>
      <w:r w:rsidRPr="00856E15">
        <w:t xml:space="preserve">likumu </w:t>
      </w:r>
      <w:r w:rsidRPr="00B91F9A">
        <w:rPr>
          <w:color w:val="00000A"/>
        </w:rPr>
        <w:t xml:space="preserve">aizsargāto interešu apdraudējumu. </w:t>
      </w:r>
      <w:r w:rsidRPr="00856E15">
        <w:rPr>
          <w:color w:val="00000A"/>
        </w:rPr>
        <w:t xml:space="preserve">Ar likumu aizsargāta interese – tiesiskais labums </w:t>
      </w:r>
      <w:r w:rsidR="00523325" w:rsidRPr="00856E15">
        <w:rPr>
          <w:color w:val="00000A"/>
        </w:rPr>
        <w:t xml:space="preserve">– </w:t>
      </w:r>
      <w:r w:rsidRPr="00856E15">
        <w:rPr>
          <w:color w:val="00000A"/>
        </w:rPr>
        <w:t>var būt arī ar nemantisku raksturu</w:t>
      </w:r>
      <w:r w:rsidRPr="00B91F9A">
        <w:rPr>
          <w:color w:val="00000A"/>
        </w:rPr>
        <w:t>. Intereses satura un nozīmes apzināšanās ir svarīgs noziedzīga nodarījuma klasifikācijas elements visos gadījumos, kad panta dispozīcija paredz prasību konstatēt ar likumu apdraudēto interešu un tiesību apdraudējuma faktu.</w:t>
      </w:r>
      <w:r>
        <w:rPr>
          <w:color w:val="00000A"/>
        </w:rPr>
        <w:t xml:space="preserve"> V</w:t>
      </w:r>
      <w:r w:rsidRPr="00B91F9A">
        <w:rPr>
          <w:color w:val="00000A"/>
        </w:rPr>
        <w:t>ērtējot ar likumu aizsargāto interešu apdraudējuma apmēru, nepieciešams vērtēt visu to sociālā labuma kopumu, ko cietušā persona iegūtu, ja šāds apdraudējums netiktu veikts. Tikai tad, ja šo interešu aizskārums ir neliels, var lemt par kriminālprocesa neuzsākšanu vai izbeigšanu, vai atbrīvošanu no kriminālatbildības</w:t>
      </w:r>
      <w:r>
        <w:rPr>
          <w:color w:val="00000A"/>
        </w:rPr>
        <w:t xml:space="preserve"> </w:t>
      </w:r>
      <w:r w:rsidRPr="001339DC">
        <w:rPr>
          <w:rFonts w:asciiTheme="majorBidi" w:hAnsiTheme="majorBidi" w:cstheme="majorBidi"/>
        </w:rPr>
        <w:t>(</w:t>
      </w:r>
      <w:r w:rsidR="00EF3DA5">
        <w:rPr>
          <w:i/>
          <w:iCs/>
        </w:rPr>
        <w:t>L</w:t>
      </w:r>
      <w:r w:rsidRPr="001339DC">
        <w:rPr>
          <w:i/>
          <w:iCs/>
        </w:rPr>
        <w:t xml:space="preserve">ikumprojekta </w:t>
      </w:r>
      <w:r w:rsidR="00345518">
        <w:rPr>
          <w:i/>
          <w:iCs/>
        </w:rPr>
        <w:t>,,</w:t>
      </w:r>
      <w:r w:rsidRPr="001339DC">
        <w:rPr>
          <w:i/>
          <w:iCs/>
        </w:rPr>
        <w:t>Grozījums</w:t>
      </w:r>
      <w:r w:rsidR="00546100" w:rsidRPr="001339DC">
        <w:rPr>
          <w:i/>
          <w:iCs/>
        </w:rPr>
        <w:t xml:space="preserve"> </w:t>
      </w:r>
      <w:r w:rsidRPr="001339DC">
        <w:rPr>
          <w:i/>
          <w:iCs/>
        </w:rPr>
        <w:t xml:space="preserve">likumā </w:t>
      </w:r>
      <w:r w:rsidR="00345518">
        <w:rPr>
          <w:i/>
          <w:iCs/>
        </w:rPr>
        <w:t>,,</w:t>
      </w:r>
      <w:r w:rsidRPr="001339DC">
        <w:rPr>
          <w:i/>
          <w:iCs/>
        </w:rPr>
        <w:t>Par Krimināllikuma spēkā stāšanās un piemērošanas kārtību</w:t>
      </w:r>
      <w:r w:rsidRPr="001339DC">
        <w:t>”</w:t>
      </w:r>
      <w:r w:rsidR="00345518">
        <w:t>”</w:t>
      </w:r>
      <w:r w:rsidRPr="001339DC">
        <w:t xml:space="preserve"> </w:t>
      </w:r>
      <w:r w:rsidRPr="001339DC">
        <w:rPr>
          <w:rFonts w:asciiTheme="majorBidi" w:hAnsiTheme="majorBidi" w:cstheme="majorBidi"/>
          <w:i/>
          <w:iCs/>
        </w:rPr>
        <w:t xml:space="preserve">anotācija. </w:t>
      </w:r>
      <w:r w:rsidRPr="006463B6">
        <w:rPr>
          <w:i/>
          <w:iCs/>
        </w:rPr>
        <w:t>Pieejams</w:t>
      </w:r>
      <w:r w:rsidRPr="001339DC">
        <w:rPr>
          <w:rFonts w:asciiTheme="majorBidi" w:hAnsiTheme="majorBidi" w:cstheme="majorBidi"/>
          <w:i/>
          <w:iCs/>
        </w:rPr>
        <w:t xml:space="preserve">: </w:t>
      </w:r>
      <w:r w:rsidR="00546100" w:rsidRPr="001339DC">
        <w:rPr>
          <w:i/>
          <w:iCs/>
        </w:rPr>
        <w:t>https://titania.saeima.lv/LIVS13/SaeimaLIVS13.nsf/0/B466257A7D138F1CC225848F003DCAFA?OpenDocument</w:t>
      </w:r>
      <w:r w:rsidRPr="001339DC">
        <w:rPr>
          <w:rFonts w:asciiTheme="majorBidi" w:hAnsiTheme="majorBidi" w:cstheme="majorBidi"/>
        </w:rPr>
        <w:t>).</w:t>
      </w:r>
    </w:p>
    <w:p w14:paraId="658DF438" w14:textId="654AC4FF" w:rsidR="00546100" w:rsidRDefault="00546100" w:rsidP="004C5539">
      <w:pPr>
        <w:tabs>
          <w:tab w:val="left" w:pos="709"/>
        </w:tabs>
        <w:spacing w:line="276" w:lineRule="auto"/>
        <w:ind w:firstLine="567"/>
        <w:contextualSpacing/>
        <w:jc w:val="both"/>
        <w:rPr>
          <w:color w:val="00000A"/>
        </w:rPr>
      </w:pPr>
      <w:r>
        <w:rPr>
          <w:rFonts w:asciiTheme="majorBidi" w:hAnsiTheme="majorBidi" w:cstheme="majorBidi"/>
          <w:lang w:eastAsia="lv-LV"/>
        </w:rPr>
        <w:t>Augstākās tiesas judikatūrā ir norādīts, ka</w:t>
      </w:r>
      <w:r w:rsidR="00345518" w:rsidRPr="00D06E1B">
        <w:rPr>
          <w:rFonts w:asciiTheme="majorBidi" w:hAnsiTheme="majorBidi" w:cstheme="majorBidi"/>
          <w:color w:val="000000" w:themeColor="text1"/>
          <w:lang w:eastAsia="lv-LV"/>
        </w:rPr>
        <w:t>,</w:t>
      </w:r>
      <w:r>
        <w:rPr>
          <w:rFonts w:asciiTheme="majorBidi" w:hAnsiTheme="majorBidi" w:cstheme="majorBidi"/>
          <w:lang w:eastAsia="lv-LV"/>
        </w:rPr>
        <w:t xml:space="preserve"> lai arī </w:t>
      </w:r>
      <w:r>
        <w:t xml:space="preserve">noziedzīgs nodarījums ar formālu sastāvu neparedz kādu konkrētu seku iestāšanos, taču tas nenozīmē, ka ar šādu noziedzīgu nodarījumu netiek nodarīts kaitējums vispār, jo, kā noteikts Krimināllikuma </w:t>
      </w:r>
      <w:proofErr w:type="gramStart"/>
      <w:r>
        <w:t>6.panta</w:t>
      </w:r>
      <w:proofErr w:type="gramEnd"/>
      <w:r>
        <w:t xml:space="preserve"> pirmajā daļā, tad par noziedzīgu nodarījumu atzīstams ar nodomu (tīši) vai aiz neuzmanības izdarīts kaitīgs nodarījums [..]. Tāpēc atbilstoši Krimināllikuma 46.panta otrajai daļai tiesai jāizvērtē radītais kaitējums, it sevišķi tajos gadījumos, kad jālemj par Krimināllikuma 58.panta pirmās daļas piemērošanu </w:t>
      </w:r>
      <w:r w:rsidRPr="00B24F6C">
        <w:t>(</w:t>
      </w:r>
      <w:r>
        <w:rPr>
          <w:i/>
        </w:rPr>
        <w:t>Augstākās tiesas</w:t>
      </w:r>
      <w:r w:rsidRPr="00B24F6C">
        <w:rPr>
          <w:i/>
        </w:rPr>
        <w:t xml:space="preserve"> 20</w:t>
      </w:r>
      <w:r>
        <w:rPr>
          <w:i/>
        </w:rPr>
        <w:t>14</w:t>
      </w:r>
      <w:r w:rsidRPr="00B24F6C">
        <w:rPr>
          <w:i/>
        </w:rPr>
        <w:t xml:space="preserve">.gada </w:t>
      </w:r>
      <w:r>
        <w:rPr>
          <w:i/>
        </w:rPr>
        <w:t>19.septembra</w:t>
      </w:r>
      <w:r w:rsidRPr="00B24F6C">
        <w:rPr>
          <w:i/>
        </w:rPr>
        <w:t xml:space="preserve"> lēmums lietā Nr.</w:t>
      </w:r>
      <w:r w:rsidR="008C4482">
        <w:rPr>
          <w:i/>
        </w:rPr>
        <w:t> </w:t>
      </w:r>
      <w:r w:rsidRPr="00B24F6C">
        <w:rPr>
          <w:i/>
        </w:rPr>
        <w:t>SKK-</w:t>
      </w:r>
      <w:r>
        <w:rPr>
          <w:i/>
        </w:rPr>
        <w:t>417</w:t>
      </w:r>
      <w:r w:rsidRPr="00B24F6C">
        <w:rPr>
          <w:i/>
        </w:rPr>
        <w:t>/20</w:t>
      </w:r>
      <w:r>
        <w:rPr>
          <w:i/>
        </w:rPr>
        <w:t>14</w:t>
      </w:r>
      <w:r w:rsidRPr="00B24F6C">
        <w:rPr>
          <w:i/>
        </w:rPr>
        <w:t xml:space="preserve"> </w:t>
      </w:r>
      <w:r>
        <w:rPr>
          <w:i/>
        </w:rPr>
        <w:t>(</w:t>
      </w:r>
      <w:r w:rsidRPr="004A7F47">
        <w:rPr>
          <w:i/>
          <w:iCs/>
          <w:spacing w:val="-2"/>
        </w:rPr>
        <w:t>11514006512</w:t>
      </w:r>
      <w:r>
        <w:rPr>
          <w:i/>
        </w:rPr>
        <w:t>)</w:t>
      </w:r>
      <w:r w:rsidRPr="00B24F6C">
        <w:t>)</w:t>
      </w:r>
      <w:r>
        <w:t>.</w:t>
      </w:r>
    </w:p>
    <w:p w14:paraId="026790DC" w14:textId="06DAAAB9" w:rsidR="00546100" w:rsidRDefault="00546100" w:rsidP="004C5539">
      <w:pPr>
        <w:tabs>
          <w:tab w:val="left" w:pos="709"/>
        </w:tabs>
        <w:spacing w:line="276" w:lineRule="auto"/>
        <w:ind w:firstLine="567"/>
        <w:contextualSpacing/>
        <w:jc w:val="both"/>
        <w:rPr>
          <w:color w:val="00000A"/>
        </w:rPr>
      </w:pPr>
      <w:r>
        <w:t xml:space="preserve">Arī krimināltiesību doktrīnā ir atzīts, ka katrs nodarījums izraisa kaitīgās sekas, kas izpaužas noteiktu, ar Krimināllikumu aizsargātu interešu apdraudējumā [..]. Kaitīgas sekas [..] ir viena no noziedzīgā nodarījuma pazīmēm, ko apzīmējam ar nodarījuma kaitīgumu </w:t>
      </w:r>
      <w:proofErr w:type="gramStart"/>
      <w:r w:rsidRPr="00DA3C9B">
        <w:rPr>
          <w:rFonts w:asciiTheme="majorBidi" w:hAnsiTheme="majorBidi" w:cstheme="majorBidi"/>
          <w:lang w:eastAsia="lv-LV"/>
        </w:rPr>
        <w:t>(</w:t>
      </w:r>
      <w:proofErr w:type="gramEnd"/>
      <w:r w:rsidRPr="009D7D91">
        <w:rPr>
          <w:rFonts w:asciiTheme="majorBidi" w:hAnsiTheme="majorBidi" w:cstheme="majorBidi"/>
          <w:i/>
          <w:iCs/>
          <w:lang w:eastAsia="lv-LV"/>
        </w:rPr>
        <w:t>Krastiņš, U. Noziedzīga nodarījuma sastāvs un nodarījuma kvalifikācija. Teorētiskie aspekti.</w:t>
      </w:r>
      <w:r w:rsidR="00C40969">
        <w:rPr>
          <w:rFonts w:asciiTheme="majorBidi" w:hAnsiTheme="majorBidi" w:cstheme="majorBidi"/>
          <w:i/>
          <w:iCs/>
          <w:lang w:eastAsia="lv-LV"/>
        </w:rPr>
        <w:t xml:space="preserve"> </w:t>
      </w:r>
      <w:r w:rsidRPr="009D7D91">
        <w:rPr>
          <w:rFonts w:asciiTheme="majorBidi" w:hAnsiTheme="majorBidi" w:cstheme="majorBidi"/>
          <w:i/>
          <w:iCs/>
          <w:lang w:eastAsia="lv-LV"/>
        </w:rPr>
        <w:t>Rīga</w:t>
      </w:r>
      <w:r w:rsidRPr="00DA3C9B">
        <w:rPr>
          <w:rFonts w:asciiTheme="majorBidi" w:hAnsiTheme="majorBidi" w:cstheme="majorBidi"/>
          <w:i/>
          <w:lang w:eastAsia="lv-LV"/>
        </w:rPr>
        <w:t>:</w:t>
      </w:r>
      <w:r>
        <w:rPr>
          <w:rFonts w:asciiTheme="majorBidi" w:hAnsiTheme="majorBidi" w:cstheme="majorBidi"/>
          <w:i/>
          <w:lang w:eastAsia="lv-LV"/>
        </w:rPr>
        <w:t xml:space="preserve"> </w:t>
      </w:r>
      <w:r w:rsidRPr="00DA3C9B">
        <w:rPr>
          <w:rFonts w:asciiTheme="majorBidi" w:hAnsiTheme="majorBidi" w:cstheme="majorBidi"/>
          <w:i/>
          <w:lang w:eastAsia="lv-LV"/>
        </w:rPr>
        <w:t>Tiesu namu aģentūra, 201</w:t>
      </w:r>
      <w:r>
        <w:rPr>
          <w:rFonts w:asciiTheme="majorBidi" w:hAnsiTheme="majorBidi" w:cstheme="majorBidi"/>
          <w:i/>
          <w:lang w:eastAsia="lv-LV"/>
        </w:rPr>
        <w:t>4</w:t>
      </w:r>
      <w:r w:rsidRPr="00DA3C9B">
        <w:rPr>
          <w:rFonts w:asciiTheme="majorBidi" w:hAnsiTheme="majorBidi" w:cstheme="majorBidi"/>
          <w:i/>
          <w:lang w:eastAsia="lv-LV"/>
        </w:rPr>
        <w:t xml:space="preserve">, </w:t>
      </w:r>
      <w:r>
        <w:rPr>
          <w:rFonts w:asciiTheme="majorBidi" w:hAnsiTheme="majorBidi" w:cstheme="majorBidi"/>
          <w:i/>
          <w:lang w:eastAsia="lv-LV"/>
        </w:rPr>
        <w:t>92</w:t>
      </w:r>
      <w:r w:rsidRPr="00DA3C9B">
        <w:rPr>
          <w:rFonts w:asciiTheme="majorBidi" w:hAnsiTheme="majorBidi" w:cstheme="majorBidi"/>
          <w:i/>
          <w:lang w:eastAsia="lv-LV"/>
        </w:rPr>
        <w:t>.</w:t>
      </w:r>
      <w:r w:rsidR="00C40969">
        <w:rPr>
          <w:rFonts w:asciiTheme="majorBidi" w:hAnsiTheme="majorBidi" w:cstheme="majorBidi"/>
          <w:i/>
          <w:lang w:eastAsia="lv-LV"/>
        </w:rPr>
        <w:t>lpp.</w:t>
      </w:r>
      <w:r w:rsidRPr="00DA3C9B">
        <w:rPr>
          <w:rFonts w:asciiTheme="majorBidi" w:hAnsiTheme="majorBidi" w:cstheme="majorBidi"/>
          <w:lang w:eastAsia="lv-LV"/>
        </w:rPr>
        <w:t>).</w:t>
      </w:r>
    </w:p>
    <w:p w14:paraId="1FEAD8A7" w14:textId="0F0B9F8F" w:rsidR="009475C6" w:rsidRDefault="00546100" w:rsidP="004C5539">
      <w:pPr>
        <w:tabs>
          <w:tab w:val="left" w:pos="709"/>
        </w:tabs>
        <w:spacing w:line="276" w:lineRule="auto"/>
        <w:ind w:firstLine="567"/>
        <w:contextualSpacing/>
        <w:jc w:val="both"/>
        <w:rPr>
          <w:color w:val="00000A"/>
        </w:rPr>
      </w:pPr>
      <w:r>
        <w:rPr>
          <w:rFonts w:asciiTheme="majorBidi" w:hAnsiTheme="majorBidi" w:cstheme="majorBidi"/>
          <w:lang w:eastAsia="lv-LV"/>
        </w:rPr>
        <w:t xml:space="preserve">Senāts </w:t>
      </w:r>
      <w:r w:rsidRPr="00DA3C9B">
        <w:rPr>
          <w:rFonts w:asciiTheme="majorBidi" w:hAnsiTheme="majorBidi" w:cstheme="majorBidi"/>
          <w:lang w:eastAsia="lv-LV"/>
        </w:rPr>
        <w:t>norāda, ka,</w:t>
      </w:r>
      <w:r>
        <w:rPr>
          <w:rFonts w:asciiTheme="majorBidi" w:hAnsiTheme="majorBidi" w:cstheme="majorBidi"/>
          <w:lang w:eastAsia="lv-LV"/>
        </w:rPr>
        <w:t xml:space="preserve"> izskatot lietu no jauna, </w:t>
      </w:r>
      <w:r w:rsidRPr="00DA3C9B">
        <w:rPr>
          <w:rFonts w:asciiTheme="majorBidi" w:hAnsiTheme="majorBidi" w:cstheme="majorBidi"/>
          <w:lang w:eastAsia="lv-LV"/>
        </w:rPr>
        <w:t xml:space="preserve">apelācijas instances tiesai ir jāizvērtē </w:t>
      </w:r>
      <w:r>
        <w:rPr>
          <w:rFonts w:asciiTheme="majorBidi" w:hAnsiTheme="majorBidi" w:cstheme="majorBidi"/>
          <w:lang w:eastAsia="lv-LV"/>
        </w:rPr>
        <w:t xml:space="preserve">ar noziedzīgo nodarījumu </w:t>
      </w:r>
      <w:r w:rsidRPr="00DA3C9B">
        <w:rPr>
          <w:rFonts w:asciiTheme="majorBidi" w:hAnsiTheme="majorBidi" w:cstheme="majorBidi"/>
          <w:lang w:eastAsia="lv-LV"/>
        </w:rPr>
        <w:t>radīt</w:t>
      </w:r>
      <w:r>
        <w:rPr>
          <w:rFonts w:asciiTheme="majorBidi" w:hAnsiTheme="majorBidi" w:cstheme="majorBidi"/>
          <w:lang w:eastAsia="lv-LV"/>
        </w:rPr>
        <w:t>ais</w:t>
      </w:r>
      <w:r w:rsidRPr="00DA3C9B">
        <w:rPr>
          <w:rFonts w:asciiTheme="majorBidi" w:hAnsiTheme="majorBidi" w:cstheme="majorBidi"/>
          <w:lang w:eastAsia="lv-LV"/>
        </w:rPr>
        <w:t xml:space="preserve"> </w:t>
      </w:r>
      <w:r w:rsidRPr="00314202">
        <w:rPr>
          <w:rFonts w:asciiTheme="majorBidi" w:hAnsiTheme="majorBidi" w:cstheme="majorBidi"/>
          <w:lang w:eastAsia="lv-LV"/>
        </w:rPr>
        <w:t>kaitējums, t</w:t>
      </w:r>
      <w:r w:rsidR="00345518">
        <w:rPr>
          <w:rFonts w:asciiTheme="majorBidi" w:hAnsiTheme="majorBidi" w:cstheme="majorBidi"/>
          <w:lang w:eastAsia="lv-LV"/>
        </w:rPr>
        <w:t>ai skaitā,</w:t>
      </w:r>
      <w:r w:rsidRPr="00314202">
        <w:rPr>
          <w:rFonts w:asciiTheme="majorBidi" w:hAnsiTheme="majorBidi" w:cstheme="majorBidi"/>
          <w:lang w:eastAsia="lv-LV"/>
        </w:rPr>
        <w:t xml:space="preserve"> izvērtējot </w:t>
      </w:r>
      <w:r>
        <w:rPr>
          <w:rFonts w:asciiTheme="majorBidi" w:hAnsiTheme="majorBidi" w:cstheme="majorBidi"/>
          <w:lang w:eastAsia="lv-LV"/>
        </w:rPr>
        <w:t>ar</w:t>
      </w:r>
      <w:r w:rsidRPr="00AE3C61">
        <w:t xml:space="preserve"> likumu aizsargāto</w:t>
      </w:r>
      <w:r>
        <w:t xml:space="preserve"> </w:t>
      </w:r>
      <w:r w:rsidRPr="00AE3C61">
        <w:t>interešu apdraudējum</w:t>
      </w:r>
      <w:r>
        <w:t>u</w:t>
      </w:r>
      <w:r>
        <w:rPr>
          <w:rFonts w:asciiTheme="majorBidi" w:hAnsiTheme="majorBidi" w:cstheme="majorBidi"/>
          <w:lang w:eastAsia="lv-LV"/>
        </w:rPr>
        <w:t xml:space="preserve"> </w:t>
      </w:r>
      <w:r w:rsidRPr="00DA3C9B">
        <w:rPr>
          <w:rFonts w:asciiTheme="majorBidi" w:hAnsiTheme="majorBidi" w:cstheme="majorBidi"/>
          <w:lang w:eastAsia="lv-LV"/>
        </w:rPr>
        <w:t xml:space="preserve">un tikai pēc tam jāapsver iespēja </w:t>
      </w:r>
      <w:r>
        <w:rPr>
          <w:rFonts w:asciiTheme="majorBidi" w:hAnsiTheme="majorBidi" w:cstheme="majorBidi"/>
          <w:lang w:eastAsia="lv-LV"/>
        </w:rPr>
        <w:t xml:space="preserve">apsūdzēto </w:t>
      </w:r>
      <w:r w:rsidRPr="00DA3C9B">
        <w:rPr>
          <w:rFonts w:asciiTheme="majorBidi" w:hAnsiTheme="majorBidi" w:cstheme="majorBidi"/>
          <w:lang w:eastAsia="lv-LV"/>
        </w:rPr>
        <w:t>atbrīvot no soda saskaņā ar Kr</w:t>
      </w:r>
      <w:r w:rsidRPr="00194801">
        <w:rPr>
          <w:rFonts w:asciiTheme="majorBidi" w:hAnsiTheme="majorBidi" w:cstheme="majorBidi"/>
          <w:lang w:eastAsia="lv-LV"/>
        </w:rPr>
        <w:t xml:space="preserve">imināllikuma </w:t>
      </w:r>
      <w:proofErr w:type="gramStart"/>
      <w:r w:rsidRPr="00194801">
        <w:rPr>
          <w:rFonts w:asciiTheme="majorBidi" w:hAnsiTheme="majorBidi" w:cstheme="majorBidi"/>
          <w:lang w:eastAsia="lv-LV"/>
        </w:rPr>
        <w:t>58.panta</w:t>
      </w:r>
      <w:proofErr w:type="gramEnd"/>
      <w:r w:rsidRPr="00194801">
        <w:rPr>
          <w:rFonts w:asciiTheme="majorBidi" w:hAnsiTheme="majorBidi" w:cstheme="majorBidi"/>
          <w:lang w:eastAsia="lv-LV"/>
        </w:rPr>
        <w:t xml:space="preserve"> pirmo daļu.</w:t>
      </w:r>
    </w:p>
    <w:p w14:paraId="6E635391" w14:textId="4BF4F49C" w:rsidR="00E65E57" w:rsidRDefault="00546100" w:rsidP="00C86D95">
      <w:pPr>
        <w:tabs>
          <w:tab w:val="left" w:pos="709"/>
        </w:tabs>
        <w:spacing w:line="276" w:lineRule="auto"/>
        <w:ind w:firstLine="567"/>
        <w:contextualSpacing/>
        <w:jc w:val="both"/>
      </w:pPr>
      <w:r>
        <w:rPr>
          <w:rFonts w:asciiTheme="majorBidi" w:hAnsiTheme="majorBidi" w:cstheme="majorBidi"/>
          <w:lang w:eastAsia="lv-LV"/>
        </w:rPr>
        <w:t xml:space="preserve">Senāts atzīst, ka ar </w:t>
      </w:r>
      <w:r w:rsidRPr="00847258">
        <w:t>likumu aizsargāto interešu n</w:t>
      </w:r>
      <w:r w:rsidRPr="00847258">
        <w:rPr>
          <w:rFonts w:asciiTheme="majorBidi" w:hAnsiTheme="majorBidi" w:cstheme="majorBidi"/>
          <w:lang w:eastAsia="lv-LV"/>
        </w:rPr>
        <w:t>eliela apdraudējuma kritēriji normatīvajos aktos nav noteikti, tādējādi tie jāizvērtē tiesai, kas izskata lietu pēc būtības.</w:t>
      </w:r>
      <w:r w:rsidR="00C86D95">
        <w:rPr>
          <w:rFonts w:asciiTheme="majorBidi" w:hAnsiTheme="majorBidi" w:cstheme="majorBidi"/>
          <w:lang w:eastAsia="lv-LV"/>
        </w:rPr>
        <w:t xml:space="preserve"> </w:t>
      </w:r>
      <w:r w:rsidR="00847258" w:rsidRPr="00847258">
        <w:rPr>
          <w:rFonts w:asciiTheme="majorBidi" w:hAnsiTheme="majorBidi" w:cstheme="majorBidi"/>
          <w:lang w:eastAsia="lv-LV"/>
        </w:rPr>
        <w:t xml:space="preserve">Ar </w:t>
      </w:r>
      <w:r w:rsidRPr="00847258">
        <w:t>likumu aizsargāto interešu apdraudējumu, jāvērtē saistībā ar</w:t>
      </w:r>
      <w:r>
        <w:t xml:space="preserve"> konkrētā noziedzīgā nodarījuma faktiskajiem apstākļiem, arī, cik nozīmīga ir ar likumu aizsargātā interese, kāds ir apdraudējuma veids, tā smagums, apjoms, ilgums u.tml.</w:t>
      </w:r>
    </w:p>
    <w:p w14:paraId="0F58DF57" w14:textId="77777777" w:rsidR="00345518" w:rsidRDefault="00345518" w:rsidP="00C86D95">
      <w:pPr>
        <w:tabs>
          <w:tab w:val="left" w:pos="709"/>
        </w:tabs>
        <w:spacing w:line="276" w:lineRule="auto"/>
        <w:ind w:firstLine="567"/>
        <w:contextualSpacing/>
        <w:jc w:val="both"/>
      </w:pPr>
    </w:p>
    <w:p w14:paraId="61111824" w14:textId="22D62A50" w:rsidR="009475C6" w:rsidRPr="009475C6" w:rsidRDefault="009475C6" w:rsidP="004C5539">
      <w:pPr>
        <w:tabs>
          <w:tab w:val="left" w:pos="709"/>
        </w:tabs>
        <w:spacing w:line="276" w:lineRule="auto"/>
        <w:ind w:firstLine="567"/>
        <w:contextualSpacing/>
        <w:jc w:val="both"/>
      </w:pPr>
      <w:r w:rsidRPr="009475C6">
        <w:rPr>
          <w:rFonts w:asciiTheme="majorBidi" w:hAnsiTheme="majorBidi" w:cstheme="majorBidi"/>
          <w:lang w:eastAsia="lv-LV"/>
        </w:rPr>
        <w:t>[7]</w:t>
      </w:r>
      <w:r w:rsidRPr="009475C6">
        <w:rPr>
          <w:rFonts w:asciiTheme="majorBidi" w:hAnsiTheme="majorBidi" w:cstheme="majorBidi"/>
        </w:rPr>
        <w:t xml:space="preserve"> </w:t>
      </w:r>
      <w:r w:rsidRPr="009475C6">
        <w:rPr>
          <w:rFonts w:asciiTheme="majorBidi" w:hAnsiTheme="majorBidi" w:cstheme="majorBidi"/>
          <w:shd w:val="clear" w:color="auto" w:fill="FFFFFF"/>
        </w:rPr>
        <w:t xml:space="preserve">Senāts atzīst </w:t>
      </w:r>
      <w:r w:rsidRPr="009475C6">
        <w:rPr>
          <w:rFonts w:asciiTheme="majorBidi" w:hAnsiTheme="majorBidi" w:cstheme="majorBidi"/>
        </w:rPr>
        <w:t xml:space="preserve">par nepamatotu </w:t>
      </w:r>
      <w:r w:rsidRPr="009475C6">
        <w:t xml:space="preserve">apsūdzētā </w:t>
      </w:r>
      <w:r w:rsidR="005A1E16">
        <w:t>[pers. A]</w:t>
      </w:r>
      <w:r w:rsidRPr="009475C6">
        <w:t xml:space="preserve"> </w:t>
      </w:r>
      <w:r w:rsidRPr="009475C6">
        <w:rPr>
          <w:rFonts w:asciiTheme="majorBidi" w:hAnsiTheme="majorBidi" w:cstheme="majorBidi"/>
        </w:rPr>
        <w:t xml:space="preserve">kasācijas sūdzībā pausto apgalvojumu, ka </w:t>
      </w:r>
      <w:bookmarkStart w:id="2" w:name="_Hlk120104283"/>
      <w:r w:rsidRPr="009475C6">
        <w:rPr>
          <w:rFonts w:asciiTheme="majorBidi" w:hAnsiTheme="majorBidi" w:cstheme="majorBidi"/>
        </w:rPr>
        <w:t xml:space="preserve">apelācijas instances tiesa pieļāvusi Kriminālprocesa likuma </w:t>
      </w:r>
      <w:proofErr w:type="gramStart"/>
      <w:r w:rsidRPr="009475C6">
        <w:rPr>
          <w:rFonts w:asciiTheme="majorBidi" w:hAnsiTheme="majorBidi" w:cstheme="majorBidi"/>
        </w:rPr>
        <w:t>574.pantā</w:t>
      </w:r>
      <w:proofErr w:type="gramEnd"/>
      <w:r w:rsidRPr="009475C6">
        <w:rPr>
          <w:rFonts w:asciiTheme="majorBidi" w:hAnsiTheme="majorBidi" w:cstheme="majorBidi"/>
        </w:rPr>
        <w:t xml:space="preserve"> paredzēto pārkāpumu, nepareizi </w:t>
      </w:r>
      <w:r w:rsidR="00F50878">
        <w:t>kvalificējot noziedzīgo nodarījumu pēc Krimināllikuma 329.panta</w:t>
      </w:r>
      <w:r w:rsidRPr="009475C6">
        <w:rPr>
          <w:rFonts w:asciiTheme="majorBidi" w:hAnsiTheme="majorBidi" w:cstheme="majorBidi"/>
        </w:rPr>
        <w:t xml:space="preserve">, proti, ka </w:t>
      </w:r>
      <w:r w:rsidRPr="009475C6">
        <w:t>viņa darbībās nav noziedzīgā nodarījuma sastāva.</w:t>
      </w:r>
      <w:bookmarkEnd w:id="2"/>
    </w:p>
    <w:p w14:paraId="180A6DBD" w14:textId="77777777" w:rsidR="009475C6" w:rsidRDefault="009475C6" w:rsidP="004C5539">
      <w:pPr>
        <w:tabs>
          <w:tab w:val="left" w:pos="709"/>
        </w:tabs>
        <w:spacing w:line="276" w:lineRule="auto"/>
        <w:ind w:firstLine="567"/>
        <w:contextualSpacing/>
        <w:jc w:val="both"/>
      </w:pPr>
      <w:r w:rsidRPr="009475C6">
        <w:t xml:space="preserve">[7.1] </w:t>
      </w:r>
      <w:r w:rsidRPr="009475C6">
        <w:rPr>
          <w:rFonts w:asciiTheme="majorBidi" w:hAnsiTheme="majorBidi" w:cstheme="majorBidi"/>
        </w:rPr>
        <w:t xml:space="preserve">Saskaņā ar Krimināllikuma </w:t>
      </w:r>
      <w:proofErr w:type="gramStart"/>
      <w:r w:rsidRPr="009475C6">
        <w:rPr>
          <w:rFonts w:asciiTheme="majorBidi" w:hAnsiTheme="majorBidi" w:cstheme="majorBidi"/>
        </w:rPr>
        <w:t>1.panta</w:t>
      </w:r>
      <w:proofErr w:type="gramEnd"/>
      <w:r w:rsidRPr="009475C6">
        <w:rPr>
          <w:rFonts w:asciiTheme="majorBidi" w:hAnsiTheme="majorBidi" w:cstheme="majorBidi"/>
        </w:rPr>
        <w:t xml:space="preserve"> pirmo daļu pie kriminālatbildības saucama un sodāma tikai tāda persona, kura ir vainīga noziedzīga nodarījuma izdarīšanā, tas ir, kura ar nodomu (tīši) vai aiz neuzmanības izdarījusi šajā likumā paredzētu nodarījumu, kuram ir visas noziedzīgā nodarījuma sastāva pazīmes.</w:t>
      </w:r>
    </w:p>
    <w:p w14:paraId="6E2A7BC1" w14:textId="6320A5E1" w:rsidR="009475C6" w:rsidRPr="009475C6" w:rsidRDefault="009475C6" w:rsidP="004C5539">
      <w:pPr>
        <w:tabs>
          <w:tab w:val="left" w:pos="709"/>
        </w:tabs>
        <w:spacing w:line="276" w:lineRule="auto"/>
        <w:ind w:firstLine="567"/>
        <w:contextualSpacing/>
        <w:jc w:val="both"/>
      </w:pPr>
      <w:r w:rsidRPr="009475C6">
        <w:t xml:space="preserve">Krimināllikuma </w:t>
      </w:r>
      <w:proofErr w:type="gramStart"/>
      <w:r w:rsidRPr="009475C6">
        <w:t>329.pantā</w:t>
      </w:r>
      <w:proofErr w:type="gramEnd"/>
      <w:r w:rsidRPr="009475C6">
        <w:t xml:space="preserve"> noteikta kriminālatbildība par neizpaužamu ziņu, kas nav valsts noslēpums, izpaušanu, ja to izdarījusi valsts amatpersona, kas par ziņu neizpaušanu bijusi brīdināta vai kas saskaņā ar likumu ir atbildīga par ziņu glabāšanu.</w:t>
      </w:r>
    </w:p>
    <w:p w14:paraId="28BCB5F3" w14:textId="0C6583BB" w:rsidR="009475C6" w:rsidRPr="00314202" w:rsidRDefault="009475C6" w:rsidP="004C5539">
      <w:pPr>
        <w:tabs>
          <w:tab w:val="left" w:pos="709"/>
        </w:tabs>
        <w:spacing w:line="276" w:lineRule="auto"/>
        <w:ind w:firstLine="567"/>
        <w:contextualSpacing/>
        <w:jc w:val="both"/>
      </w:pPr>
      <w:r>
        <w:rPr>
          <w:rFonts w:eastAsia="Calibri"/>
        </w:rPr>
        <w:t xml:space="preserve">[7.2] </w:t>
      </w:r>
      <w:r w:rsidR="00847258">
        <w:t xml:space="preserve">Izvērtējot lietā esošos pierādījumus, apelācijas instances tiesa atzinusi, ka pirmās instances tiesa apsūdzēto </w:t>
      </w:r>
      <w:r w:rsidR="005A1E16">
        <w:t>[pers. A]</w:t>
      </w:r>
      <w:r w:rsidR="00847258">
        <w:t xml:space="preserve"> likumīgi un pamatoti notiesājusi par Krimināllikuma </w:t>
      </w:r>
      <w:proofErr w:type="gramStart"/>
      <w:r w:rsidR="00847258">
        <w:t>329.pantā</w:t>
      </w:r>
      <w:proofErr w:type="gramEnd"/>
      <w:r w:rsidR="00847258">
        <w:t xml:space="preserve"> paredzētā noziedzīgā nodarījuma izdarīšanu, norādot, ka </w:t>
      </w:r>
      <w:r w:rsidR="00847258" w:rsidRPr="00C72585">
        <w:rPr>
          <w:rFonts w:eastAsia="Calibri"/>
        </w:rPr>
        <w:t xml:space="preserve">apsūdzētā darbībās </w:t>
      </w:r>
      <w:r w:rsidR="00847258">
        <w:rPr>
          <w:rFonts w:eastAsia="Calibri"/>
        </w:rPr>
        <w:t xml:space="preserve">konstatējamas </w:t>
      </w:r>
      <w:r w:rsidR="00847258" w:rsidRPr="00C72585">
        <w:rPr>
          <w:rFonts w:eastAsia="Calibri"/>
        </w:rPr>
        <w:t>visas nepieciešamās un obligātās Krimināllikuma</w:t>
      </w:r>
      <w:r w:rsidR="00847258">
        <w:rPr>
          <w:rFonts w:eastAsia="Calibri"/>
        </w:rPr>
        <w:t xml:space="preserve"> 329</w:t>
      </w:r>
      <w:r w:rsidR="00847258" w:rsidRPr="00C72585">
        <w:rPr>
          <w:rFonts w:eastAsia="Calibri"/>
        </w:rPr>
        <w:t>.pantā paredzētā noziedzīgā nodarījuma sastāva pazīmes</w:t>
      </w:r>
      <w:r w:rsidR="00847258">
        <w:rPr>
          <w:rFonts w:eastAsia="Calibri"/>
        </w:rPr>
        <w:t>.</w:t>
      </w:r>
      <w:r w:rsidR="00847258" w:rsidRPr="00C72585" w:rsidDel="00847258">
        <w:rPr>
          <w:rFonts w:eastAsia="Calibri"/>
        </w:rPr>
        <w:t xml:space="preserve"> </w:t>
      </w:r>
    </w:p>
    <w:p w14:paraId="6D84C8EF" w14:textId="3C3FC410" w:rsidR="002E7816" w:rsidRPr="002E7816" w:rsidRDefault="009475C6" w:rsidP="00847258">
      <w:pPr>
        <w:tabs>
          <w:tab w:val="left" w:pos="709"/>
        </w:tabs>
        <w:spacing w:line="276" w:lineRule="auto"/>
        <w:ind w:firstLine="567"/>
        <w:contextualSpacing/>
        <w:jc w:val="both"/>
      </w:pPr>
      <w:r w:rsidRPr="002E7816">
        <w:t xml:space="preserve">Senāts konstatē, ka apelācijas instances tiesa, atsaucoties uz tiesību teorijā pausto atziņu, ka no objektīvās puses noziedzīgais nodarījums raksturojas ar aktīvu darbību – neizpaužamu ziņu izpaušanu –, kas var notikt jebkādā veidā, kā rezultātā neizpaužamā informācija tiek darīta zināma citai personai, kurai nav tiesību ar to iepazīties </w:t>
      </w:r>
      <w:proofErr w:type="gramStart"/>
      <w:r w:rsidRPr="002E7816">
        <w:t>(</w:t>
      </w:r>
      <w:proofErr w:type="gramEnd"/>
      <w:r w:rsidRPr="002E7816">
        <w:rPr>
          <w:i/>
        </w:rPr>
        <w:t xml:space="preserve">Krastiņš U., </w:t>
      </w:r>
      <w:proofErr w:type="spellStart"/>
      <w:r w:rsidRPr="002E7816">
        <w:rPr>
          <w:i/>
        </w:rPr>
        <w:t>Liholaja</w:t>
      </w:r>
      <w:proofErr w:type="spellEnd"/>
      <w:r w:rsidRPr="002E7816">
        <w:rPr>
          <w:i/>
        </w:rPr>
        <w:t> V., Hamkova D. Krimināllikuma komentāri. Trešā daļa (XVIII</w:t>
      </w:r>
      <w:r w:rsidRPr="002E7816">
        <w:rPr>
          <w:i/>
        </w:rPr>
        <w:noBreakHyphen/>
        <w:t>XXV nodaļa). Rīga: Tiesu namu aģentūra, 2016, 628.lpp.</w:t>
      </w:r>
      <w:r w:rsidRPr="002E7816">
        <w:t xml:space="preserve">), kā arī izvērtējot lietā esošos pierādījumus to kopumā un savstarpējā sakarībā atzinusi, </w:t>
      </w:r>
      <w:r>
        <w:t xml:space="preserve">ka, </w:t>
      </w:r>
      <w:r w:rsidRPr="002E7816">
        <w:t xml:space="preserve">lai arī </w:t>
      </w:r>
      <w:r w:rsidR="005A1E16">
        <w:t>[pers. A]</w:t>
      </w:r>
      <w:r w:rsidRPr="002E7816">
        <w:t xml:space="preserve"> īsziņās neizmantoja juridisko valodu un nenorādīja konkrētus Krimināllikuma pantus, tomēr apsūdzētā izpaustās informācijas burtiskais teksts saturēja Iekšlietu ministrijas Informācijas centra informācijas sistēmā esošās ziņas par </w:t>
      </w:r>
      <w:bookmarkStart w:id="3" w:name="_Hlk120104932"/>
      <w:r w:rsidR="005A1E16">
        <w:t>[pers. B]</w:t>
      </w:r>
      <w:r w:rsidRPr="002E7816">
        <w:t xml:space="preserve"> sodāmībām</w:t>
      </w:r>
      <w:bookmarkEnd w:id="3"/>
      <w:r w:rsidRPr="002E7816">
        <w:t xml:space="preserve">. Tiesa atzinusi, ka šīs ziņas ir ierobežotas pieejamības informācija, par kuru izpaušanu </w:t>
      </w:r>
      <w:r w:rsidRPr="002B1B27">
        <w:t>neatkarīgi no to apjoma</w:t>
      </w:r>
      <w:r w:rsidRPr="002E7816">
        <w:t xml:space="preserve"> ir paredzēta kriminālatbildība</w:t>
      </w:r>
      <w:r w:rsidR="00314202" w:rsidRPr="002E7816">
        <w:t>. A</w:t>
      </w:r>
      <w:r w:rsidRPr="002E7816">
        <w:t xml:space="preserve">pelācijas instances tiesa arī atzinusi, ka personas, kurai </w:t>
      </w:r>
      <w:r w:rsidR="005A1E16">
        <w:t>[pers. A]</w:t>
      </w:r>
      <w:r w:rsidRPr="002E7816">
        <w:t xml:space="preserve"> izpaudis neizpaužamas ziņas, iepriekšēja informētība par </w:t>
      </w:r>
      <w:r w:rsidR="005A1E16">
        <w:t>[pers. B]</w:t>
      </w:r>
      <w:r w:rsidRPr="002E7816">
        <w:t xml:space="preserve"> sodāmībām, neļauj atzīt šo ziņu izpaušanu par tiesisku. Senātam nav pamata apšaubīt šo atzinumu.</w:t>
      </w:r>
    </w:p>
    <w:p w14:paraId="22D78C50" w14:textId="26E75BC4" w:rsidR="009475C6" w:rsidRPr="00E8385A" w:rsidRDefault="009475C6" w:rsidP="004C5539">
      <w:pPr>
        <w:tabs>
          <w:tab w:val="left" w:pos="709"/>
        </w:tabs>
        <w:spacing w:line="276" w:lineRule="auto"/>
        <w:ind w:firstLine="567"/>
        <w:contextualSpacing/>
        <w:jc w:val="both"/>
        <w:rPr>
          <w:rFonts w:asciiTheme="majorBidi" w:hAnsiTheme="majorBidi" w:cstheme="majorBidi"/>
          <w:i/>
          <w:iCs/>
        </w:rPr>
      </w:pPr>
      <w:r w:rsidRPr="00E8385A">
        <w:rPr>
          <w:rFonts w:asciiTheme="majorBidi" w:hAnsiTheme="majorBidi" w:cstheme="majorBidi"/>
        </w:rPr>
        <w:t xml:space="preserve">Arī Augstākās tiesas judikatūrā ir norādīts, ka Krimināllikuma </w:t>
      </w:r>
      <w:proofErr w:type="gramStart"/>
      <w:r w:rsidRPr="00E8385A">
        <w:rPr>
          <w:rFonts w:asciiTheme="majorBidi" w:hAnsiTheme="majorBidi" w:cstheme="majorBidi"/>
        </w:rPr>
        <w:t>329.pantā</w:t>
      </w:r>
      <w:proofErr w:type="gramEnd"/>
      <w:r w:rsidRPr="00E8385A">
        <w:rPr>
          <w:rFonts w:asciiTheme="majorBidi" w:hAnsiTheme="majorBidi" w:cstheme="majorBidi"/>
        </w:rPr>
        <w:t xml:space="preserve"> paredzētā noziedzīgā nodarījuma objektīvo pusi veido informācijas (ziņu), kas valsts amatpersonai ir pieejama saskaņā ar valsts amatpersonas pienākumu pildīšanu, izpaušana vai izmantošana mērķiem, kas nav saistīti ar valsts amatpersonas pienākumu pildīšanu vai konkrētu darba uzdevumu veikšanu, ja neizpaužamas ziņas saturoša informācija jebkādā veidā nokļūst pie vēl kaut vienas personas (formāls noziedzīgs nodarījums) </w:t>
      </w:r>
      <w:r w:rsidR="00F03657" w:rsidRPr="00F03657">
        <w:rPr>
          <w:rFonts w:asciiTheme="majorBidi" w:hAnsiTheme="majorBidi" w:cstheme="majorBidi"/>
          <w:iCs/>
        </w:rPr>
        <w:t>(</w:t>
      </w:r>
      <w:r w:rsidR="00F03657" w:rsidRPr="00F03657">
        <w:rPr>
          <w:rFonts w:asciiTheme="majorBidi" w:hAnsiTheme="majorBidi" w:cstheme="majorBidi"/>
          <w:i/>
          <w:iCs/>
        </w:rPr>
        <w:t xml:space="preserve">Augstākās tiesas </w:t>
      </w:r>
      <w:r w:rsidRPr="00F03657">
        <w:rPr>
          <w:rFonts w:asciiTheme="majorBidi" w:hAnsiTheme="majorBidi" w:cstheme="majorBidi"/>
          <w:i/>
          <w:iCs/>
        </w:rPr>
        <w:t>2017.gada 1.marta lēmums lietā Nr. SKK-147/2017</w:t>
      </w:r>
      <w:r w:rsidR="00F03657" w:rsidRPr="00F03657">
        <w:rPr>
          <w:rFonts w:asciiTheme="majorBidi" w:hAnsiTheme="majorBidi" w:cstheme="majorBidi"/>
          <w:i/>
          <w:iCs/>
        </w:rPr>
        <w:t xml:space="preserve"> (15830005412)</w:t>
      </w:r>
      <w:r w:rsidRPr="00F03657">
        <w:rPr>
          <w:rFonts w:asciiTheme="majorBidi" w:hAnsiTheme="majorBidi" w:cstheme="majorBidi"/>
          <w:iCs/>
        </w:rPr>
        <w:t>)</w:t>
      </w:r>
      <w:r w:rsidRPr="00F03657">
        <w:rPr>
          <w:rFonts w:asciiTheme="majorBidi" w:hAnsiTheme="majorBidi" w:cstheme="majorBidi"/>
          <w:i/>
          <w:iCs/>
        </w:rPr>
        <w:t>.</w:t>
      </w:r>
    </w:p>
    <w:p w14:paraId="42A54C38" w14:textId="00F5809C" w:rsidR="00E8385A" w:rsidRPr="0025741E" w:rsidRDefault="00E8385A" w:rsidP="004C5539">
      <w:pPr>
        <w:spacing w:line="276" w:lineRule="auto"/>
        <w:ind w:firstLine="567"/>
        <w:jc w:val="both"/>
      </w:pPr>
      <w:r w:rsidRPr="0025741E">
        <w:t xml:space="preserve">Senāts piekrīt krimināltiesību teorijā paustajai atziņai, ka Krimināllikuma </w:t>
      </w:r>
      <w:proofErr w:type="gramStart"/>
      <w:r w:rsidRPr="0025741E">
        <w:t>329.pantā</w:t>
      </w:r>
      <w:proofErr w:type="gramEnd"/>
      <w:r w:rsidRPr="0025741E">
        <w:t xml:space="preserve"> paredzētā noziedzīgā nodarījuma priekšmets – neizpaužamas ziņas – ir informācija, kas nav valsts noslēpums, bet kurai normatīvajā aktā paredzēta īpaša izmantošanas kārtība vai izplatīšanas aizliegums (</w:t>
      </w:r>
      <w:r w:rsidRPr="0025741E">
        <w:rPr>
          <w:i/>
        </w:rPr>
        <w:t xml:space="preserve">Krastiņš U., </w:t>
      </w:r>
      <w:proofErr w:type="spellStart"/>
      <w:r w:rsidRPr="0025741E">
        <w:rPr>
          <w:i/>
        </w:rPr>
        <w:t>Liholaja</w:t>
      </w:r>
      <w:proofErr w:type="spellEnd"/>
      <w:r w:rsidRPr="0025741E">
        <w:rPr>
          <w:i/>
        </w:rPr>
        <w:t> V., Hamkova D. Krimināllikuma komentāri. Trešā daļa (XVIII</w:t>
      </w:r>
      <w:r w:rsidRPr="0025741E">
        <w:rPr>
          <w:i/>
        </w:rPr>
        <w:noBreakHyphen/>
        <w:t>XXV nodaļa). Rīga: Tiesu namu aģentūra, 2016, 627.lpp.</w:t>
      </w:r>
      <w:r w:rsidRPr="0025741E">
        <w:t>)</w:t>
      </w:r>
      <w:r w:rsidR="0025741E" w:rsidRPr="0025741E">
        <w:t>.</w:t>
      </w:r>
    </w:p>
    <w:p w14:paraId="753960BE" w14:textId="0786768F" w:rsidR="00E8385A" w:rsidRPr="0025741E" w:rsidRDefault="00E8385A" w:rsidP="004C5539">
      <w:pPr>
        <w:spacing w:line="276" w:lineRule="auto"/>
        <w:ind w:firstLine="567"/>
        <w:jc w:val="both"/>
      </w:pPr>
      <w:r w:rsidRPr="0025741E">
        <w:rPr>
          <w:rFonts w:asciiTheme="majorBidi" w:hAnsiTheme="majorBidi" w:cstheme="majorBidi"/>
        </w:rPr>
        <w:t xml:space="preserve">Senāts atzīst, ka Krimināllikuma </w:t>
      </w:r>
      <w:proofErr w:type="gramStart"/>
      <w:r w:rsidRPr="0025741E">
        <w:rPr>
          <w:rFonts w:asciiTheme="majorBidi" w:hAnsiTheme="majorBidi" w:cstheme="majorBidi"/>
        </w:rPr>
        <w:t>329.pantā</w:t>
      </w:r>
      <w:proofErr w:type="gramEnd"/>
      <w:r w:rsidRPr="0025741E">
        <w:rPr>
          <w:rFonts w:asciiTheme="majorBidi" w:hAnsiTheme="majorBidi" w:cstheme="majorBidi"/>
        </w:rPr>
        <w:t xml:space="preserve"> paredzētais noziedzīgais nodarījums ir pabeigts ar neizpaužamu ziņu</w:t>
      </w:r>
      <w:r w:rsidRPr="0025741E">
        <w:t>, kas nav valsts noslēpums, izpaušanas</w:t>
      </w:r>
      <w:r w:rsidRPr="0025741E">
        <w:rPr>
          <w:rFonts w:asciiTheme="majorBidi" w:hAnsiTheme="majorBidi" w:cstheme="majorBidi"/>
        </w:rPr>
        <w:t xml:space="preserve"> brīdi neatkarīgi no</w:t>
      </w:r>
      <w:r w:rsidRPr="0025741E">
        <w:t xml:space="preserve"> apjoma (pilnīga vai daļēja), kādā neizpaužamās ziņas </w:t>
      </w:r>
      <w:r w:rsidR="0063496A">
        <w:t xml:space="preserve"> tikušas</w:t>
      </w:r>
      <w:r w:rsidR="00847258">
        <w:t xml:space="preserve"> </w:t>
      </w:r>
      <w:r w:rsidRPr="0025741E">
        <w:t>izpaustas.</w:t>
      </w:r>
    </w:p>
    <w:p w14:paraId="3541436C" w14:textId="78976EDE" w:rsidR="00E8385A" w:rsidRPr="00ED38B2" w:rsidRDefault="00E8385A" w:rsidP="004C5539">
      <w:pPr>
        <w:widowControl w:val="0"/>
        <w:spacing w:line="276" w:lineRule="auto"/>
        <w:ind w:firstLine="567"/>
        <w:jc w:val="both"/>
      </w:pPr>
      <w:r w:rsidRPr="00ED38B2">
        <w:t xml:space="preserve">Senāts konstatē, ka kasācijas sūdzības argumenti šajā daļā pamatoti ar apsūdzētā subjektīvo viedokli </w:t>
      </w:r>
      <w:r w:rsidR="0025741E" w:rsidRPr="00ED38B2">
        <w:t>par</w:t>
      </w:r>
      <w:r w:rsidR="00F03657">
        <w:t xml:space="preserve"> </w:t>
      </w:r>
      <w:r w:rsidRPr="00ED38B2">
        <w:t xml:space="preserve">Krimināllikuma </w:t>
      </w:r>
      <w:proofErr w:type="gramStart"/>
      <w:r w:rsidRPr="00ED38B2">
        <w:t>329.pantā</w:t>
      </w:r>
      <w:proofErr w:type="gramEnd"/>
      <w:r w:rsidRPr="00ED38B2">
        <w:t xml:space="preserve"> paredzētā noziedzīgā nodarījuma sastāva pazīmēm un vērsti uz to, lai panāktu apelācijas instances tiesas nolēmuma atcelšanu nevis juridisku, bet faktisku iemeslu dēļ, kas ir pretrunā ar Kriminālprocesa likuma 569.panta pirmo daļu, kas noteic, ka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p>
    <w:p w14:paraId="23C45D61" w14:textId="77777777" w:rsidR="00E8385A" w:rsidRPr="000E7511" w:rsidRDefault="00E8385A" w:rsidP="004C5539">
      <w:pPr>
        <w:tabs>
          <w:tab w:val="left" w:pos="709"/>
        </w:tabs>
        <w:spacing w:line="276" w:lineRule="auto"/>
        <w:contextualSpacing/>
        <w:jc w:val="both"/>
        <w:rPr>
          <w:rFonts w:asciiTheme="majorBidi" w:hAnsiTheme="majorBidi" w:cstheme="majorBidi"/>
          <w:lang w:eastAsia="lv-LV"/>
        </w:rPr>
      </w:pPr>
    </w:p>
    <w:p w14:paraId="3F3F0F3B" w14:textId="1F83A67C" w:rsidR="00E8385A" w:rsidRPr="00E8385A" w:rsidRDefault="00E8385A" w:rsidP="004C5539">
      <w:pPr>
        <w:spacing w:line="276" w:lineRule="auto"/>
        <w:ind w:firstLine="567"/>
        <w:jc w:val="both"/>
      </w:pPr>
      <w:r>
        <w:t>[8</w:t>
      </w:r>
      <w:r w:rsidRPr="00E8385A">
        <w:t>] Ievērojot to, ka lieta apelācijas instances tiesā atceltajā daļā jāiztiesā no jauna atbilstoši Kriminālprocesa likuma 53.nodaļas prasībām, pārējie kasācijas sūdzības argumenti, kas saistīti ar soda noteikšanu apsūdzētajam, izvērtējami apelācijas instances tiesā.</w:t>
      </w:r>
    </w:p>
    <w:p w14:paraId="71381EBA" w14:textId="77777777" w:rsidR="00E8385A" w:rsidRDefault="00E8385A" w:rsidP="004C5539">
      <w:pPr>
        <w:spacing w:line="276" w:lineRule="auto"/>
        <w:ind w:firstLine="709"/>
        <w:jc w:val="both"/>
        <w:rPr>
          <w:bCs/>
        </w:rPr>
      </w:pPr>
    </w:p>
    <w:p w14:paraId="10FFACAD" w14:textId="2951370D" w:rsidR="00E8385A" w:rsidRDefault="00E8385A" w:rsidP="004C5539">
      <w:pPr>
        <w:spacing w:line="276" w:lineRule="auto"/>
        <w:ind w:firstLine="567"/>
        <w:jc w:val="both"/>
        <w:rPr>
          <w:rFonts w:asciiTheme="majorBidi" w:hAnsiTheme="majorBidi" w:cstheme="majorBidi"/>
        </w:rPr>
      </w:pPr>
      <w:r w:rsidRPr="00E8385A">
        <w:rPr>
          <w:bCs/>
        </w:rPr>
        <w:t xml:space="preserve">[9] </w:t>
      </w:r>
      <w:r w:rsidRPr="00E8385A">
        <w:rPr>
          <w:rFonts w:asciiTheme="majorBidi" w:hAnsiTheme="majorBidi" w:cstheme="majorBidi"/>
        </w:rPr>
        <w:t xml:space="preserve">Apsūdzētajam </w:t>
      </w:r>
      <w:r w:rsidR="00F25B5E">
        <w:rPr>
          <w:rFonts w:asciiTheme="majorBidi" w:hAnsiTheme="majorBidi" w:cstheme="majorBidi"/>
        </w:rPr>
        <w:t>[pers. A]</w:t>
      </w:r>
      <w:r w:rsidRPr="00E8385A">
        <w:rPr>
          <w:rFonts w:asciiTheme="majorBidi" w:hAnsiTheme="majorBidi" w:cstheme="majorBidi"/>
        </w:rPr>
        <w:t xml:space="preserve"> lietā piemērots drošības līdzeklis – uzturēšanās noteiktā vietā. Senāts atzīst, ka, atceļot apelācijas instances tiesas spriedumu daļā par </w:t>
      </w:r>
      <w:r w:rsidR="00F25B5E">
        <w:rPr>
          <w:rFonts w:asciiTheme="majorBidi" w:hAnsiTheme="majorBidi" w:cstheme="majorBidi"/>
        </w:rPr>
        <w:t>[pers. A]</w:t>
      </w:r>
      <w:r w:rsidR="00523325">
        <w:rPr>
          <w:rFonts w:asciiTheme="majorBidi" w:hAnsiTheme="majorBidi" w:cstheme="majorBidi"/>
        </w:rPr>
        <w:t xml:space="preserve"> </w:t>
      </w:r>
      <w:r w:rsidRPr="00E8385A">
        <w:rPr>
          <w:rFonts w:asciiTheme="majorBidi" w:hAnsiTheme="majorBidi" w:cstheme="majorBidi"/>
        </w:rPr>
        <w:t xml:space="preserve">noteikto sodu, apsūdzētajam </w:t>
      </w:r>
      <w:r w:rsidRPr="00E8385A">
        <w:rPr>
          <w:rFonts w:asciiTheme="majorBidi" w:eastAsia="Calibri" w:hAnsiTheme="majorBidi" w:cstheme="majorBidi"/>
        </w:rPr>
        <w:t>turpināma minētā drošības līdzekļa piemērošana,</w:t>
      </w:r>
      <w:r w:rsidRPr="00E8385A">
        <w:rPr>
          <w:rFonts w:asciiTheme="majorBidi" w:hAnsiTheme="majorBidi" w:cstheme="majorBidi"/>
        </w:rPr>
        <w:t xml:space="preserve"> jo nav zudis vai mainījies drošības līdzekļa piemērošanas pamats, tā piemērošanas nosacījumi, kā arī nav noskaidroti citi apstākļi, kas būtu par pamatu mainīt drošības līdzekļa izvēli. Apsūdzētajam </w:t>
      </w:r>
      <w:r w:rsidR="00F25B5E">
        <w:rPr>
          <w:rFonts w:asciiTheme="majorBidi" w:hAnsiTheme="majorBidi" w:cstheme="majorBidi"/>
        </w:rPr>
        <w:t>[pers. A]</w:t>
      </w:r>
      <w:r w:rsidRPr="00E8385A">
        <w:rPr>
          <w:rFonts w:asciiTheme="majorBidi" w:hAnsiTheme="majorBidi" w:cstheme="majorBidi"/>
        </w:rPr>
        <w:t xml:space="preserve"> piemērotais drošības līdzeklis ir samērīgs un nepamatoti neierobežo viņa pamattiesības.</w:t>
      </w:r>
    </w:p>
    <w:p w14:paraId="4631A9FA" w14:textId="77777777" w:rsidR="00E8385A" w:rsidRPr="00E8385A" w:rsidRDefault="00E8385A" w:rsidP="004C5539">
      <w:pPr>
        <w:spacing w:line="276" w:lineRule="auto"/>
        <w:ind w:firstLine="709"/>
        <w:jc w:val="both"/>
        <w:rPr>
          <w:rFonts w:asciiTheme="majorBidi" w:hAnsiTheme="majorBidi" w:cstheme="majorBidi"/>
        </w:rPr>
      </w:pPr>
    </w:p>
    <w:p w14:paraId="3B9019ED" w14:textId="77777777" w:rsidR="00E8385A" w:rsidRPr="00E8385A" w:rsidRDefault="00E8385A" w:rsidP="004C5539">
      <w:pPr>
        <w:spacing w:line="276" w:lineRule="auto"/>
        <w:jc w:val="center"/>
        <w:rPr>
          <w:rFonts w:asciiTheme="majorBidi" w:hAnsiTheme="majorBidi" w:cstheme="majorBidi"/>
        </w:rPr>
      </w:pPr>
      <w:bookmarkStart w:id="4" w:name="_Hlk81573784"/>
      <w:r w:rsidRPr="00E8385A">
        <w:rPr>
          <w:rFonts w:asciiTheme="majorBidi" w:hAnsiTheme="majorBidi" w:cstheme="majorBidi"/>
          <w:b/>
        </w:rPr>
        <w:t>Rezolutīvā daļa</w:t>
      </w:r>
    </w:p>
    <w:p w14:paraId="223F71F7" w14:textId="77777777" w:rsidR="00E8385A" w:rsidRPr="00E8385A" w:rsidRDefault="00E8385A" w:rsidP="004C5539">
      <w:pPr>
        <w:pStyle w:val="tv213"/>
        <w:spacing w:before="0" w:beforeAutospacing="0" w:after="0" w:afterAutospacing="0" w:line="276" w:lineRule="auto"/>
        <w:jc w:val="both"/>
        <w:rPr>
          <w:rFonts w:asciiTheme="majorBidi" w:hAnsiTheme="majorBidi" w:cstheme="majorBidi"/>
        </w:rPr>
      </w:pPr>
    </w:p>
    <w:p w14:paraId="7703D48A" w14:textId="7CDE390C" w:rsidR="00E8385A" w:rsidRPr="00E8385A" w:rsidRDefault="00E8385A" w:rsidP="004C5539">
      <w:pPr>
        <w:pStyle w:val="tv213"/>
        <w:spacing w:before="0" w:beforeAutospacing="0" w:after="0" w:afterAutospacing="0" w:line="276" w:lineRule="auto"/>
        <w:ind w:firstLine="567"/>
        <w:jc w:val="both"/>
        <w:rPr>
          <w:rFonts w:asciiTheme="majorBidi" w:hAnsiTheme="majorBidi" w:cstheme="majorBidi"/>
        </w:rPr>
      </w:pPr>
      <w:bookmarkStart w:id="5" w:name="Dropdown14"/>
      <w:r w:rsidRPr="00E8385A">
        <w:rPr>
          <w:rFonts w:asciiTheme="majorBidi" w:hAnsiTheme="majorBidi" w:cstheme="majorBidi"/>
        </w:rPr>
        <w:t xml:space="preserve">Pamatojoties uz Kriminālprocesa likuma 585. un </w:t>
      </w:r>
      <w:proofErr w:type="gramStart"/>
      <w:r w:rsidRPr="00E8385A">
        <w:rPr>
          <w:rFonts w:asciiTheme="majorBidi" w:hAnsiTheme="majorBidi" w:cstheme="majorBidi"/>
        </w:rPr>
        <w:t>587.pantu</w:t>
      </w:r>
      <w:proofErr w:type="gramEnd"/>
      <w:r w:rsidRPr="00E8385A">
        <w:rPr>
          <w:rFonts w:asciiTheme="majorBidi" w:hAnsiTheme="majorBidi" w:cstheme="majorBidi"/>
        </w:rPr>
        <w:t>,</w:t>
      </w:r>
      <w:r w:rsidR="00BA214C">
        <w:rPr>
          <w:rFonts w:asciiTheme="majorBidi" w:hAnsiTheme="majorBidi" w:cstheme="majorBidi"/>
        </w:rPr>
        <w:t xml:space="preserve"> </w:t>
      </w:r>
      <w:r w:rsidRPr="00E8385A">
        <w:rPr>
          <w:rFonts w:asciiTheme="majorBidi" w:hAnsiTheme="majorBidi" w:cstheme="majorBidi"/>
        </w:rPr>
        <w:t>tiesa</w:t>
      </w:r>
    </w:p>
    <w:p w14:paraId="68FD9ABB" w14:textId="77777777" w:rsidR="00E8385A" w:rsidRPr="00346DF3" w:rsidRDefault="00E8385A" w:rsidP="004C5539">
      <w:pPr>
        <w:spacing w:line="276" w:lineRule="auto"/>
        <w:jc w:val="both"/>
        <w:rPr>
          <w:rFonts w:asciiTheme="majorBidi" w:hAnsiTheme="majorBidi" w:cstheme="majorBidi"/>
        </w:rPr>
      </w:pPr>
    </w:p>
    <w:bookmarkEnd w:id="5"/>
    <w:p w14:paraId="6425E7A6" w14:textId="77777777" w:rsidR="00E8385A" w:rsidRPr="00E8385A" w:rsidRDefault="00E8385A" w:rsidP="004C5539">
      <w:pPr>
        <w:pStyle w:val="tv213"/>
        <w:spacing w:before="0" w:beforeAutospacing="0" w:after="0" w:afterAutospacing="0" w:line="276" w:lineRule="auto"/>
        <w:jc w:val="center"/>
        <w:rPr>
          <w:rFonts w:asciiTheme="majorBidi" w:hAnsiTheme="majorBidi" w:cstheme="majorBidi"/>
          <w:b/>
        </w:rPr>
      </w:pPr>
      <w:r w:rsidRPr="00E8385A">
        <w:rPr>
          <w:rFonts w:asciiTheme="majorBidi" w:hAnsiTheme="majorBidi" w:cstheme="majorBidi"/>
          <w:b/>
        </w:rPr>
        <w:t>nolēma:</w:t>
      </w:r>
    </w:p>
    <w:p w14:paraId="1D34C4D7" w14:textId="77777777" w:rsidR="00E8385A" w:rsidRPr="00346DF3" w:rsidRDefault="00E8385A" w:rsidP="004C5539">
      <w:pPr>
        <w:pStyle w:val="tv213"/>
        <w:spacing w:before="0" w:beforeAutospacing="0" w:after="0" w:afterAutospacing="0" w:line="276" w:lineRule="auto"/>
        <w:jc w:val="both"/>
        <w:rPr>
          <w:rFonts w:asciiTheme="majorBidi" w:hAnsiTheme="majorBidi" w:cstheme="majorBidi"/>
          <w:b/>
        </w:rPr>
      </w:pPr>
    </w:p>
    <w:p w14:paraId="0C703769" w14:textId="061DCB6D" w:rsidR="00E8385A" w:rsidRPr="00E8385A" w:rsidRDefault="00E8385A" w:rsidP="004C5539">
      <w:pPr>
        <w:tabs>
          <w:tab w:val="left" w:pos="1134"/>
        </w:tabs>
        <w:spacing w:line="276" w:lineRule="auto"/>
        <w:ind w:firstLine="567"/>
        <w:jc w:val="both"/>
        <w:rPr>
          <w:rFonts w:asciiTheme="majorBidi" w:hAnsiTheme="majorBidi" w:cstheme="majorBidi"/>
        </w:rPr>
      </w:pPr>
      <w:r w:rsidRPr="00E8385A">
        <w:rPr>
          <w:rFonts w:asciiTheme="majorBidi" w:hAnsiTheme="majorBidi" w:cstheme="majorBidi"/>
        </w:rPr>
        <w:t xml:space="preserve">atcelt </w:t>
      </w:r>
      <w:r w:rsidRPr="00E8385A">
        <w:t xml:space="preserve">Latgales apgabaltiesas </w:t>
      </w:r>
      <w:proofErr w:type="gramStart"/>
      <w:r w:rsidRPr="00E8385A">
        <w:t>2022.gada</w:t>
      </w:r>
      <w:proofErr w:type="gramEnd"/>
      <w:r w:rsidRPr="00E8385A">
        <w:t xml:space="preserve"> 18.janvāra spriedumu</w:t>
      </w:r>
      <w:r w:rsidRPr="00E8385A">
        <w:rPr>
          <w:rFonts w:asciiTheme="majorBidi" w:hAnsiTheme="majorBidi" w:cstheme="majorBidi"/>
        </w:rPr>
        <w:t xml:space="preserve"> daļā par apsūdzētajam </w:t>
      </w:r>
      <w:r w:rsidR="00F25B5E">
        <w:t>[pers. A]</w:t>
      </w:r>
      <w:r w:rsidRPr="00E8385A">
        <w:rPr>
          <w:rFonts w:asciiTheme="majorBidi" w:hAnsiTheme="majorBidi" w:cstheme="majorBidi"/>
        </w:rPr>
        <w:t xml:space="preserve"> noteikto sodu pēc Krimināllikuma 329.panta.</w:t>
      </w:r>
    </w:p>
    <w:p w14:paraId="480A7FAD" w14:textId="77777777" w:rsidR="00E8385A" w:rsidRPr="00E8385A" w:rsidRDefault="00E8385A" w:rsidP="004C5539">
      <w:pPr>
        <w:tabs>
          <w:tab w:val="left" w:pos="1134"/>
        </w:tabs>
        <w:spacing w:line="276" w:lineRule="auto"/>
        <w:ind w:firstLine="567"/>
        <w:jc w:val="both"/>
        <w:rPr>
          <w:rFonts w:asciiTheme="majorBidi" w:hAnsiTheme="majorBidi" w:cstheme="majorBidi"/>
        </w:rPr>
      </w:pPr>
      <w:r w:rsidRPr="00E8385A">
        <w:rPr>
          <w:rFonts w:asciiTheme="majorBidi" w:hAnsiTheme="majorBidi" w:cstheme="majorBidi"/>
        </w:rPr>
        <w:t xml:space="preserve">Atceltajā daļā lietu nosūtīt jaunai izskatīšanai </w:t>
      </w:r>
      <w:r w:rsidRPr="00E8385A">
        <w:t xml:space="preserve">Latgales </w:t>
      </w:r>
      <w:r w:rsidRPr="00E8385A">
        <w:rPr>
          <w:rFonts w:asciiTheme="majorBidi" w:hAnsiTheme="majorBidi" w:cstheme="majorBidi"/>
        </w:rPr>
        <w:t>apgabaltiesā, bet pārējā daļā apelācijas instances tiesas spriedumu atstāt negrozītu.</w:t>
      </w:r>
    </w:p>
    <w:p w14:paraId="30DAFB9D" w14:textId="77777777" w:rsidR="00030A37" w:rsidRDefault="00E8385A" w:rsidP="00030A37">
      <w:pPr>
        <w:tabs>
          <w:tab w:val="left" w:pos="1134"/>
        </w:tabs>
        <w:spacing w:line="276" w:lineRule="auto"/>
        <w:ind w:firstLine="567"/>
        <w:jc w:val="both"/>
        <w:rPr>
          <w:rFonts w:asciiTheme="majorBidi" w:hAnsiTheme="majorBidi" w:cstheme="majorBidi"/>
        </w:rPr>
      </w:pPr>
      <w:r w:rsidRPr="00E8385A">
        <w:rPr>
          <w:rFonts w:asciiTheme="majorBidi" w:hAnsiTheme="majorBidi" w:cstheme="majorBidi"/>
        </w:rPr>
        <w:t xml:space="preserve">Apsūdzētajam </w:t>
      </w:r>
      <w:r w:rsidR="00F25B5E">
        <w:t>[pers. A]</w:t>
      </w:r>
      <w:r w:rsidRPr="00E8385A">
        <w:rPr>
          <w:rFonts w:asciiTheme="majorBidi" w:hAnsiTheme="majorBidi" w:cstheme="majorBidi"/>
        </w:rPr>
        <w:t xml:space="preserve"> turpināt piemērot drošības līdzekli – uzturēšan</w:t>
      </w:r>
      <w:r w:rsidR="00523325">
        <w:rPr>
          <w:rFonts w:asciiTheme="majorBidi" w:hAnsiTheme="majorBidi" w:cstheme="majorBidi"/>
        </w:rPr>
        <w:t>o</w:t>
      </w:r>
      <w:r w:rsidRPr="00E8385A">
        <w:rPr>
          <w:rFonts w:asciiTheme="majorBidi" w:hAnsiTheme="majorBidi" w:cstheme="majorBidi"/>
        </w:rPr>
        <w:t>s noteiktā vietā.</w:t>
      </w:r>
    </w:p>
    <w:p w14:paraId="49A4E1FD" w14:textId="2E348B91" w:rsidR="00E8385A" w:rsidRPr="00E8385A" w:rsidRDefault="00E8385A" w:rsidP="00030A37">
      <w:pPr>
        <w:tabs>
          <w:tab w:val="left" w:pos="1134"/>
        </w:tabs>
        <w:spacing w:line="276" w:lineRule="auto"/>
        <w:ind w:firstLine="567"/>
        <w:jc w:val="both"/>
        <w:rPr>
          <w:rFonts w:asciiTheme="majorBidi" w:hAnsiTheme="majorBidi" w:cstheme="majorBidi"/>
        </w:rPr>
      </w:pPr>
      <w:r w:rsidRPr="00E8385A">
        <w:rPr>
          <w:rFonts w:asciiTheme="majorBidi" w:hAnsiTheme="majorBidi" w:cstheme="majorBidi"/>
        </w:rPr>
        <w:t>Lēmums nav pārsūdzams.</w:t>
      </w:r>
    </w:p>
    <w:bookmarkEnd w:id="4"/>
    <w:p w14:paraId="557E91AF" w14:textId="77777777" w:rsidR="00E8385A" w:rsidRPr="00E8385A" w:rsidRDefault="00E8385A" w:rsidP="004C5539">
      <w:pPr>
        <w:spacing w:line="276" w:lineRule="auto"/>
        <w:ind w:firstLine="709"/>
        <w:jc w:val="both"/>
      </w:pPr>
    </w:p>
    <w:p w14:paraId="51837D25" w14:textId="77777777" w:rsidR="00E8385A" w:rsidRPr="00E8385A" w:rsidRDefault="00E8385A" w:rsidP="005A1E16">
      <w:pPr>
        <w:spacing w:line="276" w:lineRule="auto"/>
        <w:jc w:val="both"/>
      </w:pPr>
    </w:p>
    <w:p w14:paraId="22A5B5FD" w14:textId="77777777" w:rsidR="009C0BA3" w:rsidRDefault="009C0BA3" w:rsidP="004C5539">
      <w:pPr>
        <w:spacing w:line="276" w:lineRule="auto"/>
        <w:jc w:val="right"/>
      </w:pPr>
    </w:p>
    <w:sectPr w:rsidR="009C0BA3" w:rsidSect="00B7579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4470" w14:textId="77777777" w:rsidR="00A259CA" w:rsidRDefault="00A259CA" w:rsidP="00E12AD0">
      <w:r>
        <w:separator/>
      </w:r>
    </w:p>
  </w:endnote>
  <w:endnote w:type="continuationSeparator" w:id="0">
    <w:p w14:paraId="14F7CE48" w14:textId="77777777" w:rsidR="00A259CA" w:rsidRDefault="00A259CA"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3E5C5819" w14:textId="344D5EC1" w:rsidR="00DA0153" w:rsidRPr="00DA0153" w:rsidRDefault="00DA0153">
            <w:pPr>
              <w:pStyle w:val="Footer"/>
              <w:jc w:val="center"/>
            </w:pPr>
            <w:r w:rsidRPr="00DA0153">
              <w:rPr>
                <w:bCs/>
              </w:rPr>
              <w:fldChar w:fldCharType="begin"/>
            </w:r>
            <w:r w:rsidRPr="00DA0153">
              <w:rPr>
                <w:bCs/>
              </w:rPr>
              <w:instrText xml:space="preserve"> PAGE </w:instrText>
            </w:r>
            <w:r w:rsidRPr="00DA0153">
              <w:rPr>
                <w:bCs/>
              </w:rPr>
              <w:fldChar w:fldCharType="separate"/>
            </w:r>
            <w:r w:rsidR="002B1B27">
              <w:rPr>
                <w:bCs/>
                <w:noProof/>
              </w:rPr>
              <w:t>5</w:t>
            </w:r>
            <w:r w:rsidRPr="00DA0153">
              <w:rPr>
                <w:bCs/>
              </w:rPr>
              <w:fldChar w:fldCharType="end"/>
            </w:r>
            <w:r w:rsidRPr="00DA0153">
              <w:t xml:space="preserve"> no </w:t>
            </w:r>
            <w:r w:rsidRPr="00DA0153">
              <w:rPr>
                <w:bCs/>
              </w:rPr>
              <w:fldChar w:fldCharType="begin"/>
            </w:r>
            <w:r w:rsidRPr="00DA0153">
              <w:rPr>
                <w:bCs/>
              </w:rPr>
              <w:instrText xml:space="preserve"> NUMPAGES  </w:instrText>
            </w:r>
            <w:r w:rsidRPr="00DA0153">
              <w:rPr>
                <w:bCs/>
              </w:rPr>
              <w:fldChar w:fldCharType="separate"/>
            </w:r>
            <w:r w:rsidR="002B1B27">
              <w:rPr>
                <w:bCs/>
                <w:noProof/>
              </w:rPr>
              <w:t>5</w:t>
            </w:r>
            <w:r w:rsidRPr="00DA0153">
              <w:rPr>
                <w:bCs/>
              </w:rPr>
              <w:fldChar w:fldCharType="end"/>
            </w:r>
          </w:p>
        </w:sdtContent>
      </w:sdt>
    </w:sdtContent>
  </w:sdt>
  <w:p w14:paraId="7B9FC655" w14:textId="77777777" w:rsidR="00DA0153" w:rsidRDefault="00DA0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5F08" w14:textId="77777777" w:rsidR="00A259CA" w:rsidRDefault="00A259CA" w:rsidP="00E12AD0">
      <w:r>
        <w:separator/>
      </w:r>
    </w:p>
  </w:footnote>
  <w:footnote w:type="continuationSeparator" w:id="0">
    <w:p w14:paraId="664C33A3" w14:textId="77777777" w:rsidR="00A259CA" w:rsidRDefault="00A259CA"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C9B"/>
    <w:rsid w:val="00024C30"/>
    <w:rsid w:val="00030A37"/>
    <w:rsid w:val="00062C5B"/>
    <w:rsid w:val="00074426"/>
    <w:rsid w:val="00082DED"/>
    <w:rsid w:val="000D743E"/>
    <w:rsid w:val="000E2F2D"/>
    <w:rsid w:val="000E7511"/>
    <w:rsid w:val="00111C5B"/>
    <w:rsid w:val="00113FB7"/>
    <w:rsid w:val="00121D0E"/>
    <w:rsid w:val="001339DC"/>
    <w:rsid w:val="001339DF"/>
    <w:rsid w:val="0016754C"/>
    <w:rsid w:val="001C1F72"/>
    <w:rsid w:val="001C7DC2"/>
    <w:rsid w:val="001D68D9"/>
    <w:rsid w:val="001E52A1"/>
    <w:rsid w:val="00200E74"/>
    <w:rsid w:val="00203762"/>
    <w:rsid w:val="00247B1B"/>
    <w:rsid w:val="0025741E"/>
    <w:rsid w:val="00274266"/>
    <w:rsid w:val="00291245"/>
    <w:rsid w:val="002B1B27"/>
    <w:rsid w:val="002E0B28"/>
    <w:rsid w:val="002E7816"/>
    <w:rsid w:val="002E7E14"/>
    <w:rsid w:val="003003F8"/>
    <w:rsid w:val="00314202"/>
    <w:rsid w:val="00332D2F"/>
    <w:rsid w:val="0034443C"/>
    <w:rsid w:val="00345518"/>
    <w:rsid w:val="00390D66"/>
    <w:rsid w:val="0039678C"/>
    <w:rsid w:val="003A4664"/>
    <w:rsid w:val="003B1394"/>
    <w:rsid w:val="00414995"/>
    <w:rsid w:val="00431DEC"/>
    <w:rsid w:val="00462854"/>
    <w:rsid w:val="00466620"/>
    <w:rsid w:val="004A0874"/>
    <w:rsid w:val="004B79FC"/>
    <w:rsid w:val="004C16F5"/>
    <w:rsid w:val="004C5539"/>
    <w:rsid w:val="004D098A"/>
    <w:rsid w:val="004F1E55"/>
    <w:rsid w:val="004F41FE"/>
    <w:rsid w:val="00523325"/>
    <w:rsid w:val="00546100"/>
    <w:rsid w:val="00574C23"/>
    <w:rsid w:val="00580D02"/>
    <w:rsid w:val="005A1E16"/>
    <w:rsid w:val="005D480C"/>
    <w:rsid w:val="005F5D7B"/>
    <w:rsid w:val="00606650"/>
    <w:rsid w:val="00607E33"/>
    <w:rsid w:val="0063496A"/>
    <w:rsid w:val="006463B6"/>
    <w:rsid w:val="0068033C"/>
    <w:rsid w:val="00682CAF"/>
    <w:rsid w:val="006B5B11"/>
    <w:rsid w:val="006F0A58"/>
    <w:rsid w:val="00700CFA"/>
    <w:rsid w:val="00714003"/>
    <w:rsid w:val="0072693D"/>
    <w:rsid w:val="0073479B"/>
    <w:rsid w:val="00772A7C"/>
    <w:rsid w:val="00787F77"/>
    <w:rsid w:val="007A6D90"/>
    <w:rsid w:val="007E0DE2"/>
    <w:rsid w:val="007F5EA3"/>
    <w:rsid w:val="00847258"/>
    <w:rsid w:val="008475B4"/>
    <w:rsid w:val="00854222"/>
    <w:rsid w:val="00856E15"/>
    <w:rsid w:val="008B4F40"/>
    <w:rsid w:val="008C4482"/>
    <w:rsid w:val="0090429A"/>
    <w:rsid w:val="0091267E"/>
    <w:rsid w:val="009475C6"/>
    <w:rsid w:val="00950106"/>
    <w:rsid w:val="009770B6"/>
    <w:rsid w:val="009776EF"/>
    <w:rsid w:val="00977E9D"/>
    <w:rsid w:val="009C0BA3"/>
    <w:rsid w:val="009C7108"/>
    <w:rsid w:val="009F33FD"/>
    <w:rsid w:val="00A259CA"/>
    <w:rsid w:val="00A33031"/>
    <w:rsid w:val="00A42C16"/>
    <w:rsid w:val="00A55A3A"/>
    <w:rsid w:val="00A63477"/>
    <w:rsid w:val="00A94AB0"/>
    <w:rsid w:val="00AA1108"/>
    <w:rsid w:val="00AE1835"/>
    <w:rsid w:val="00AE642E"/>
    <w:rsid w:val="00B75792"/>
    <w:rsid w:val="00B75ECE"/>
    <w:rsid w:val="00B80627"/>
    <w:rsid w:val="00BA214C"/>
    <w:rsid w:val="00BA56FD"/>
    <w:rsid w:val="00BD3155"/>
    <w:rsid w:val="00C2025B"/>
    <w:rsid w:val="00C37D06"/>
    <w:rsid w:val="00C40969"/>
    <w:rsid w:val="00C52066"/>
    <w:rsid w:val="00C86A8D"/>
    <w:rsid w:val="00C86D95"/>
    <w:rsid w:val="00CA40C5"/>
    <w:rsid w:val="00CF1A8E"/>
    <w:rsid w:val="00D01835"/>
    <w:rsid w:val="00D01929"/>
    <w:rsid w:val="00D062F2"/>
    <w:rsid w:val="00D06E1B"/>
    <w:rsid w:val="00D11C90"/>
    <w:rsid w:val="00D60EEA"/>
    <w:rsid w:val="00D67877"/>
    <w:rsid w:val="00D70DCE"/>
    <w:rsid w:val="00DA0153"/>
    <w:rsid w:val="00DE6A89"/>
    <w:rsid w:val="00DF2B35"/>
    <w:rsid w:val="00E113E8"/>
    <w:rsid w:val="00E12AD0"/>
    <w:rsid w:val="00E230F8"/>
    <w:rsid w:val="00E33CA4"/>
    <w:rsid w:val="00E5061F"/>
    <w:rsid w:val="00E659C8"/>
    <w:rsid w:val="00E65E57"/>
    <w:rsid w:val="00E8385A"/>
    <w:rsid w:val="00E85B48"/>
    <w:rsid w:val="00EA2155"/>
    <w:rsid w:val="00EA5EAB"/>
    <w:rsid w:val="00EC73B8"/>
    <w:rsid w:val="00ED38B2"/>
    <w:rsid w:val="00EF3DA5"/>
    <w:rsid w:val="00EF6DC3"/>
    <w:rsid w:val="00F02CD1"/>
    <w:rsid w:val="00F03275"/>
    <w:rsid w:val="00F0347F"/>
    <w:rsid w:val="00F03657"/>
    <w:rsid w:val="00F04E77"/>
    <w:rsid w:val="00F05E58"/>
    <w:rsid w:val="00F25B5E"/>
    <w:rsid w:val="00F36FF2"/>
    <w:rsid w:val="00F50878"/>
    <w:rsid w:val="00F602C0"/>
    <w:rsid w:val="00F623D0"/>
    <w:rsid w:val="00F722C8"/>
    <w:rsid w:val="00F73C72"/>
    <w:rsid w:val="00F91C14"/>
    <w:rsid w:val="00FB5A94"/>
    <w:rsid w:val="00FF46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0CFA"/>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5A1E16"/>
    <w:rPr>
      <w:color w:val="605E5C"/>
      <w:shd w:val="clear" w:color="auto" w:fill="E1DFDD"/>
    </w:rPr>
  </w:style>
  <w:style w:type="character" w:styleId="FollowedHyperlink">
    <w:name w:val="FollowedHyperlink"/>
    <w:basedOn w:val="DefaultParagraphFont"/>
    <w:uiPriority w:val="99"/>
    <w:semiHidden/>
    <w:unhideWhenUsed/>
    <w:rsid w:val="00BA5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9280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6D6D-6163-4748-B517-752AD9E0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9946</Words>
  <Characters>5670</Characters>
  <Application>Microsoft Office Word</Application>
  <DocSecurity>0</DocSecurity>
  <Lines>47</Lines>
  <Paragraphs>31</Paragraphs>
  <ScaleCrop>false</ScaleCrop>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2023-01-11T09:44:00Z</dcterms:created>
  <dcterms:modified xsi:type="dcterms:W3CDTF">2023-01-11T09:44:00Z</dcterms:modified>
</cp:coreProperties>
</file>