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E5D90" w14:textId="77777777" w:rsidR="00692B22" w:rsidRDefault="00692B22" w:rsidP="00692B22">
      <w:pPr>
        <w:spacing w:after="0" w:line="276" w:lineRule="auto"/>
        <w:jc w:val="both"/>
        <w:rPr>
          <w:b/>
          <w:bCs/>
          <w:lang w:val="lv-LV" w:eastAsia="zh-CN"/>
        </w:rPr>
      </w:pPr>
      <w:proofErr w:type="spellStart"/>
      <w:r>
        <w:rPr>
          <w:b/>
          <w:bCs/>
        </w:rPr>
        <w:t>Apgabaltiesas</w:t>
      </w:r>
      <w:proofErr w:type="spellEnd"/>
      <w:r>
        <w:rPr>
          <w:b/>
          <w:bCs/>
        </w:rPr>
        <w:t xml:space="preserve"> </w:t>
      </w:r>
      <w:proofErr w:type="spellStart"/>
      <w:r>
        <w:rPr>
          <w:b/>
          <w:bCs/>
        </w:rPr>
        <w:t>lēmuma</w:t>
      </w:r>
      <w:proofErr w:type="spellEnd"/>
      <w:r>
        <w:rPr>
          <w:b/>
          <w:bCs/>
        </w:rPr>
        <w:t xml:space="preserve">, </w:t>
      </w:r>
      <w:proofErr w:type="spellStart"/>
      <w:r>
        <w:rPr>
          <w:b/>
          <w:bCs/>
        </w:rPr>
        <w:t>ar</w:t>
      </w:r>
      <w:proofErr w:type="spellEnd"/>
      <w:r>
        <w:rPr>
          <w:b/>
          <w:bCs/>
        </w:rPr>
        <w:t xml:space="preserve"> kuru </w:t>
      </w:r>
      <w:proofErr w:type="spellStart"/>
      <w:r>
        <w:rPr>
          <w:b/>
          <w:bCs/>
        </w:rPr>
        <w:t>izlemts</w:t>
      </w:r>
      <w:proofErr w:type="spellEnd"/>
      <w:r>
        <w:rPr>
          <w:b/>
          <w:bCs/>
        </w:rPr>
        <w:t xml:space="preserve"> </w:t>
      </w:r>
      <w:proofErr w:type="spellStart"/>
      <w:r>
        <w:rPr>
          <w:b/>
          <w:bCs/>
        </w:rPr>
        <w:t>pieteikums</w:t>
      </w:r>
      <w:proofErr w:type="spellEnd"/>
      <w:r>
        <w:rPr>
          <w:b/>
          <w:bCs/>
        </w:rPr>
        <w:t xml:space="preserve"> par </w:t>
      </w:r>
      <w:proofErr w:type="spellStart"/>
      <w:r>
        <w:rPr>
          <w:b/>
          <w:bCs/>
        </w:rPr>
        <w:t>atteikšanos</w:t>
      </w:r>
      <w:proofErr w:type="spellEnd"/>
      <w:r>
        <w:rPr>
          <w:b/>
          <w:bCs/>
        </w:rPr>
        <w:t xml:space="preserve"> </w:t>
      </w:r>
      <w:proofErr w:type="spellStart"/>
      <w:r>
        <w:rPr>
          <w:b/>
          <w:bCs/>
        </w:rPr>
        <w:t>izpildīt</w:t>
      </w:r>
      <w:proofErr w:type="spellEnd"/>
      <w:r>
        <w:rPr>
          <w:b/>
          <w:bCs/>
        </w:rPr>
        <w:t xml:space="preserve"> bez </w:t>
      </w:r>
      <w:proofErr w:type="spellStart"/>
      <w:r>
        <w:rPr>
          <w:b/>
          <w:bCs/>
        </w:rPr>
        <w:t>atzīšanas</w:t>
      </w:r>
      <w:proofErr w:type="spellEnd"/>
      <w:r>
        <w:rPr>
          <w:b/>
          <w:bCs/>
        </w:rPr>
        <w:t xml:space="preserve"> </w:t>
      </w:r>
      <w:proofErr w:type="spellStart"/>
      <w:r>
        <w:rPr>
          <w:b/>
          <w:bCs/>
        </w:rPr>
        <w:t>izpildāmu</w:t>
      </w:r>
      <w:proofErr w:type="spellEnd"/>
      <w:r>
        <w:rPr>
          <w:b/>
          <w:bCs/>
        </w:rPr>
        <w:t xml:space="preserve"> </w:t>
      </w:r>
      <w:proofErr w:type="spellStart"/>
      <w:r>
        <w:rPr>
          <w:b/>
          <w:bCs/>
        </w:rPr>
        <w:t>citas</w:t>
      </w:r>
      <w:proofErr w:type="spellEnd"/>
      <w:r>
        <w:rPr>
          <w:b/>
          <w:bCs/>
        </w:rPr>
        <w:t xml:space="preserve"> </w:t>
      </w:r>
      <w:proofErr w:type="spellStart"/>
      <w:r>
        <w:rPr>
          <w:b/>
          <w:bCs/>
        </w:rPr>
        <w:t>Eiropas</w:t>
      </w:r>
      <w:proofErr w:type="spellEnd"/>
      <w:r>
        <w:rPr>
          <w:b/>
          <w:bCs/>
        </w:rPr>
        <w:t xml:space="preserve"> </w:t>
      </w:r>
      <w:proofErr w:type="spellStart"/>
      <w:r>
        <w:rPr>
          <w:b/>
          <w:bCs/>
        </w:rPr>
        <w:t>Savienības</w:t>
      </w:r>
      <w:proofErr w:type="spellEnd"/>
      <w:r>
        <w:rPr>
          <w:b/>
          <w:bCs/>
        </w:rPr>
        <w:t xml:space="preserve"> </w:t>
      </w:r>
      <w:proofErr w:type="spellStart"/>
      <w:r>
        <w:rPr>
          <w:b/>
          <w:bCs/>
        </w:rPr>
        <w:t>valsts</w:t>
      </w:r>
      <w:proofErr w:type="spellEnd"/>
      <w:r>
        <w:rPr>
          <w:b/>
          <w:bCs/>
        </w:rPr>
        <w:t xml:space="preserve"> </w:t>
      </w:r>
      <w:proofErr w:type="spellStart"/>
      <w:r>
        <w:rPr>
          <w:b/>
          <w:bCs/>
        </w:rPr>
        <w:t>tiesas</w:t>
      </w:r>
      <w:proofErr w:type="spellEnd"/>
      <w:r>
        <w:rPr>
          <w:b/>
          <w:bCs/>
        </w:rPr>
        <w:t xml:space="preserve"> </w:t>
      </w:r>
      <w:proofErr w:type="spellStart"/>
      <w:r>
        <w:rPr>
          <w:b/>
          <w:bCs/>
        </w:rPr>
        <w:t>nolēmumu</w:t>
      </w:r>
      <w:proofErr w:type="spellEnd"/>
      <w:r>
        <w:rPr>
          <w:b/>
          <w:bCs/>
        </w:rPr>
        <w:t xml:space="preserve">, </w:t>
      </w:r>
      <w:proofErr w:type="spellStart"/>
      <w:r>
        <w:rPr>
          <w:b/>
          <w:bCs/>
        </w:rPr>
        <w:t>nepārsūdzamība</w:t>
      </w:r>
      <w:proofErr w:type="spellEnd"/>
    </w:p>
    <w:p w14:paraId="4C9830DB" w14:textId="77777777" w:rsidR="00692B22" w:rsidRPr="00692B22" w:rsidRDefault="00692B22" w:rsidP="00692B22">
      <w:pPr>
        <w:spacing w:after="0" w:line="276" w:lineRule="auto"/>
        <w:jc w:val="both"/>
        <w:rPr>
          <w:lang w:val="lv-LV"/>
        </w:rPr>
      </w:pPr>
      <w:r w:rsidRPr="00692B22">
        <w:rPr>
          <w:lang w:val="lv-LV"/>
        </w:rPr>
        <w:t>Saskaņā ar Eiropas Parlamenta un Padomes 2012. gada 12. decembra regulu (ES) Nr. 1215/2012 par jurisdikciju un spriedumu atzīšanu un izpildi civillietās un komerclietās pieņemtam tiesas lēmumam par atteikumu izpildīt citas Eiropas Savienības dalībvalsts tiesas nolēmumu, kas pieņemts pēc personas, pret kuru lūgta šī nolēmuma izpilde, pieteikuma, ir paredzēta viena līmeņa pārsūdzība, proti, apgabaltiesas lēmums Senātā nav pārsūdzams.</w:t>
      </w:r>
    </w:p>
    <w:p w14:paraId="39EBA3CD" w14:textId="77777777" w:rsidR="005F1550" w:rsidRPr="002073F0" w:rsidRDefault="005F1550" w:rsidP="00B662D2">
      <w:pPr>
        <w:spacing w:after="0" w:line="276" w:lineRule="auto"/>
        <w:jc w:val="center"/>
        <w:rPr>
          <w:b/>
          <w:szCs w:val="24"/>
          <w:lang w:val="lv-LV"/>
        </w:rPr>
      </w:pPr>
      <w:bookmarkStart w:id="0" w:name="Dropdown1"/>
    </w:p>
    <w:p w14:paraId="10B71524" w14:textId="7C196230" w:rsidR="00B662D2" w:rsidRDefault="00B662D2" w:rsidP="00B662D2">
      <w:pPr>
        <w:spacing w:after="0" w:line="276" w:lineRule="auto"/>
        <w:jc w:val="center"/>
        <w:rPr>
          <w:b/>
          <w:sz w:val="28"/>
          <w:szCs w:val="28"/>
          <w:lang w:val="lv-LV"/>
        </w:rPr>
      </w:pPr>
      <w:r>
        <w:rPr>
          <w:b/>
          <w:sz w:val="28"/>
          <w:szCs w:val="28"/>
          <w:lang w:val="lv-LV"/>
        </w:rPr>
        <w:t>Latvijas Republikas Senāt</w:t>
      </w:r>
      <w:r w:rsidR="005F1550">
        <w:rPr>
          <w:b/>
          <w:sz w:val="28"/>
          <w:szCs w:val="28"/>
          <w:lang w:val="lv-LV"/>
        </w:rPr>
        <w:t>a</w:t>
      </w:r>
    </w:p>
    <w:p w14:paraId="74D8BDA0" w14:textId="3AF653D8" w:rsidR="005F1550" w:rsidRDefault="005F1550" w:rsidP="00B662D2">
      <w:pPr>
        <w:spacing w:after="0" w:line="276" w:lineRule="auto"/>
        <w:jc w:val="center"/>
        <w:rPr>
          <w:b/>
          <w:sz w:val="28"/>
          <w:szCs w:val="28"/>
          <w:lang w:val="lv-LV"/>
        </w:rPr>
      </w:pPr>
      <w:r>
        <w:rPr>
          <w:b/>
          <w:sz w:val="28"/>
          <w:szCs w:val="28"/>
          <w:lang w:val="lv-LV"/>
        </w:rPr>
        <w:t>Civillietu departamenta</w:t>
      </w:r>
    </w:p>
    <w:p w14:paraId="16FB6B87" w14:textId="38DF8651" w:rsidR="005F1550" w:rsidRDefault="005F1550" w:rsidP="00B662D2">
      <w:pPr>
        <w:spacing w:after="0" w:line="276" w:lineRule="auto"/>
        <w:jc w:val="center"/>
        <w:rPr>
          <w:b/>
          <w:sz w:val="28"/>
          <w:szCs w:val="28"/>
          <w:lang w:val="lv-LV"/>
        </w:rPr>
      </w:pPr>
      <w:bookmarkStart w:id="1" w:name="_Hlk121836207"/>
      <w:r>
        <w:rPr>
          <w:b/>
          <w:sz w:val="28"/>
          <w:szCs w:val="28"/>
          <w:lang w:val="lv-LV"/>
        </w:rPr>
        <w:t>2022.</w:t>
      </w:r>
      <w:r w:rsidR="00692B22">
        <w:rPr>
          <w:b/>
          <w:sz w:val="28"/>
          <w:szCs w:val="28"/>
          <w:lang w:val="lv-LV"/>
        </w:rPr>
        <w:t> </w:t>
      </w:r>
      <w:r>
        <w:rPr>
          <w:b/>
          <w:sz w:val="28"/>
          <w:szCs w:val="28"/>
          <w:lang w:val="lv-LV"/>
        </w:rPr>
        <w:t>gada 8. novembra</w:t>
      </w:r>
    </w:p>
    <w:p w14:paraId="5AB2CC6F" w14:textId="7CB533B4" w:rsidR="00B662D2" w:rsidRDefault="00B662D2" w:rsidP="00B662D2">
      <w:pPr>
        <w:spacing w:after="0" w:line="276" w:lineRule="auto"/>
        <w:jc w:val="center"/>
        <w:rPr>
          <w:b/>
          <w:lang w:val="lv-LV"/>
        </w:rPr>
      </w:pPr>
      <w:r>
        <w:rPr>
          <w:b/>
          <w:lang w:val="lv-LV"/>
        </w:rPr>
        <w:t>RĪCĪBAS SĒDES LĒMUMS</w:t>
      </w:r>
    </w:p>
    <w:p w14:paraId="2E02728C" w14:textId="77777777" w:rsidR="005F1550" w:rsidRPr="005F1550" w:rsidRDefault="005F1550" w:rsidP="005F1550">
      <w:pPr>
        <w:pStyle w:val="NoSpacing"/>
        <w:spacing w:line="276" w:lineRule="auto"/>
        <w:jc w:val="center"/>
        <w:rPr>
          <w:b/>
          <w:bCs/>
          <w:lang w:val="lv-LV" w:eastAsia="lv-LV"/>
        </w:rPr>
      </w:pPr>
      <w:r w:rsidRPr="005F1550">
        <w:rPr>
          <w:b/>
          <w:bCs/>
          <w:lang w:val="lv-LV" w:eastAsia="lv-LV"/>
        </w:rPr>
        <w:t>Lieta Nr. </w:t>
      </w:r>
      <w:r w:rsidRPr="005F1550">
        <w:rPr>
          <w:rFonts w:cs="Times New Roman"/>
          <w:b/>
          <w:bCs/>
          <w:lang w:val="fr-FR"/>
        </w:rPr>
        <w:t>C68328521</w:t>
      </w:r>
      <w:r w:rsidRPr="005F1550">
        <w:rPr>
          <w:rFonts w:cs="Times New Roman"/>
          <w:b/>
          <w:bCs/>
          <w:lang w:val="lv-LV" w:eastAsia="lv-LV"/>
        </w:rPr>
        <w:t>,</w:t>
      </w:r>
      <w:r w:rsidRPr="005F1550">
        <w:rPr>
          <w:b/>
          <w:bCs/>
          <w:lang w:val="lv-LV" w:eastAsia="lv-LV"/>
        </w:rPr>
        <w:t xml:space="preserve"> SKC-987/2022</w:t>
      </w:r>
    </w:p>
    <w:bookmarkEnd w:id="1"/>
    <w:p w14:paraId="5D6F1E45" w14:textId="53A0C740" w:rsidR="00315391" w:rsidRDefault="00692B22" w:rsidP="00B662D2">
      <w:pPr>
        <w:spacing w:after="0" w:line="276" w:lineRule="auto"/>
        <w:jc w:val="center"/>
        <w:rPr>
          <w:rFonts w:cs="Times New Roman"/>
          <w:szCs w:val="24"/>
        </w:rPr>
      </w:pPr>
      <w:r w:rsidRPr="00692B22">
        <w:rPr>
          <w:rFonts w:cs="Times New Roman"/>
          <w:szCs w:val="24"/>
        </w:rPr>
        <w:fldChar w:fldCharType="begin"/>
      </w:r>
      <w:r w:rsidRPr="00692B22">
        <w:rPr>
          <w:rFonts w:cs="Times New Roman"/>
          <w:szCs w:val="24"/>
        </w:rPr>
        <w:instrText xml:space="preserve"> HYPERLINK "https://manas.tiesas.lv/eTiesasMvc/lv/nolemumi" </w:instrText>
      </w:r>
      <w:r w:rsidRPr="00692B22">
        <w:rPr>
          <w:rFonts w:cs="Times New Roman"/>
          <w:szCs w:val="24"/>
        </w:rPr>
        <w:fldChar w:fldCharType="separate"/>
      </w:r>
      <w:r w:rsidRPr="00692B22">
        <w:rPr>
          <w:rStyle w:val="Hyperlink"/>
          <w:rFonts w:cs="Times New Roman"/>
          <w:szCs w:val="24"/>
          <w:shd w:val="clear" w:color="auto" w:fill="FFFFFF"/>
        </w:rPr>
        <w:t>ECLI:LV:</w:t>
      </w:r>
      <w:proofErr w:type="gramStart"/>
      <w:r w:rsidRPr="00692B22">
        <w:rPr>
          <w:rStyle w:val="Hyperlink"/>
          <w:rFonts w:cs="Times New Roman"/>
          <w:szCs w:val="24"/>
          <w:shd w:val="clear" w:color="auto" w:fill="FFFFFF"/>
        </w:rPr>
        <w:t>AT:2022:1108</w:t>
      </w:r>
      <w:proofErr w:type="gramEnd"/>
      <w:r w:rsidRPr="00692B22">
        <w:rPr>
          <w:rStyle w:val="Hyperlink"/>
          <w:rFonts w:cs="Times New Roman"/>
          <w:szCs w:val="24"/>
          <w:shd w:val="clear" w:color="auto" w:fill="FFFFFF"/>
        </w:rPr>
        <w:t>.C68328521.11.L</w:t>
      </w:r>
      <w:r w:rsidRPr="00692B22">
        <w:rPr>
          <w:rFonts w:cs="Times New Roman"/>
          <w:szCs w:val="24"/>
        </w:rPr>
        <w:fldChar w:fldCharType="end"/>
      </w:r>
    </w:p>
    <w:p w14:paraId="5A08CAA0" w14:textId="77777777" w:rsidR="002073F0" w:rsidRDefault="002073F0" w:rsidP="002073F0">
      <w:pPr>
        <w:spacing w:after="0" w:line="276" w:lineRule="auto"/>
        <w:jc w:val="center"/>
        <w:rPr>
          <w:b/>
          <w:lang w:val="lv-LV"/>
        </w:rPr>
      </w:pPr>
    </w:p>
    <w:bookmarkEnd w:id="0"/>
    <w:p w14:paraId="75644AE6" w14:textId="2EF12A9E" w:rsidR="002B6F95" w:rsidRDefault="007360E2" w:rsidP="007360E2">
      <w:pPr>
        <w:pStyle w:val="NoSpacing"/>
        <w:spacing w:line="276" w:lineRule="auto"/>
        <w:ind w:firstLine="709"/>
        <w:jc w:val="both"/>
        <w:rPr>
          <w:lang w:val="lv-LV"/>
        </w:rPr>
      </w:pPr>
      <w:r w:rsidRPr="007360E2">
        <w:rPr>
          <w:lang w:val="lv-LV"/>
        </w:rPr>
        <w:t>Senatoru kolēģija šādā sastāvā: senatore Dzintra Balta, sen</w:t>
      </w:r>
      <w:r>
        <w:rPr>
          <w:lang w:val="lv-LV"/>
        </w:rPr>
        <w:t>ators</w:t>
      </w:r>
      <w:r w:rsidRPr="007360E2">
        <w:rPr>
          <w:lang w:val="lv-LV"/>
        </w:rPr>
        <w:t xml:space="preserve"> Intars Bisters</w:t>
      </w:r>
      <w:r>
        <w:rPr>
          <w:lang w:val="lv-LV"/>
        </w:rPr>
        <w:t>,</w:t>
      </w:r>
      <w:r w:rsidRPr="007360E2">
        <w:rPr>
          <w:lang w:val="lv-LV"/>
        </w:rPr>
        <w:t xml:space="preserve"> </w:t>
      </w:r>
      <w:r>
        <w:rPr>
          <w:lang w:val="lv-LV"/>
        </w:rPr>
        <w:t>senatore</w:t>
      </w:r>
      <w:r w:rsidR="00EA4A48">
        <w:rPr>
          <w:lang w:val="lv-LV"/>
        </w:rPr>
        <w:t xml:space="preserve"> </w:t>
      </w:r>
      <w:r w:rsidRPr="007360E2">
        <w:rPr>
          <w:lang w:val="lv-LV"/>
        </w:rPr>
        <w:t>Kristīne</w:t>
      </w:r>
      <w:r w:rsidR="00EA4A48">
        <w:rPr>
          <w:lang w:val="lv-LV"/>
        </w:rPr>
        <w:t xml:space="preserve"> </w:t>
      </w:r>
      <w:r w:rsidRPr="007360E2">
        <w:rPr>
          <w:lang w:val="lv-LV"/>
        </w:rPr>
        <w:t>Zīle</w:t>
      </w:r>
    </w:p>
    <w:p w14:paraId="74FCCD5B" w14:textId="77777777" w:rsidR="005F1550" w:rsidRPr="007360E2" w:rsidRDefault="005F1550" w:rsidP="007360E2">
      <w:pPr>
        <w:pStyle w:val="NoSpacing"/>
        <w:spacing w:line="276" w:lineRule="auto"/>
        <w:ind w:firstLine="709"/>
        <w:jc w:val="both"/>
        <w:rPr>
          <w:lang w:val="lv-LV"/>
        </w:rPr>
      </w:pPr>
    </w:p>
    <w:p w14:paraId="5A4A70AD" w14:textId="3EE31C69" w:rsidR="00B662D2" w:rsidRDefault="00EA4A48" w:rsidP="00B662D2">
      <w:pPr>
        <w:tabs>
          <w:tab w:val="left" w:pos="709"/>
        </w:tabs>
        <w:autoSpaceDE w:val="0"/>
        <w:autoSpaceDN w:val="0"/>
        <w:adjustRightInd w:val="0"/>
        <w:spacing w:after="0" w:line="276" w:lineRule="auto"/>
        <w:jc w:val="both"/>
        <w:rPr>
          <w:szCs w:val="24"/>
          <w:lang w:val="lv-LV"/>
        </w:rPr>
      </w:pPr>
      <w:r>
        <w:rPr>
          <w:szCs w:val="24"/>
          <w:lang w:val="lv-LV"/>
        </w:rPr>
        <w:tab/>
      </w:r>
      <w:r w:rsidR="00B662D2" w:rsidRPr="00757461">
        <w:rPr>
          <w:szCs w:val="24"/>
          <w:lang w:val="lv-LV"/>
        </w:rPr>
        <w:t xml:space="preserve">rīcības sēdē izskatīja </w:t>
      </w:r>
      <w:r w:rsidR="00BE7B27">
        <w:rPr>
          <w:szCs w:val="24"/>
          <w:lang w:val="lv-LV"/>
        </w:rPr>
        <w:t xml:space="preserve">jautājumu par </w:t>
      </w:r>
      <w:r w:rsidR="00002412" w:rsidRPr="0048237C">
        <w:rPr>
          <w:rFonts w:cs="Times New Roman"/>
          <w:lang w:val="lv-LV"/>
        </w:rPr>
        <w:t>S</w:t>
      </w:r>
      <w:r w:rsidR="005F22A7" w:rsidRPr="0048237C">
        <w:rPr>
          <w:rFonts w:cs="Times New Roman"/>
          <w:lang w:val="lv-LV"/>
        </w:rPr>
        <w:t>IA</w:t>
      </w:r>
      <w:r w:rsidR="00815919" w:rsidRPr="0048237C">
        <w:rPr>
          <w:rFonts w:cs="Times New Roman"/>
          <w:lang w:val="lv-LV"/>
        </w:rPr>
        <w:t> </w:t>
      </w:r>
      <w:r w:rsidR="005F22A7" w:rsidRPr="0048237C">
        <w:rPr>
          <w:rFonts w:cs="Times New Roman"/>
          <w:lang w:val="lv-LV"/>
        </w:rPr>
        <w:t>„JULIANUS INKASSO LATVIJA</w:t>
      </w:r>
      <w:r w:rsidR="00002412" w:rsidRPr="0048237C">
        <w:rPr>
          <w:rFonts w:cs="Times New Roman"/>
          <w:lang w:val="lv-LV"/>
        </w:rPr>
        <w:t xml:space="preserve">” </w:t>
      </w:r>
      <w:r w:rsidR="00BE7B27">
        <w:rPr>
          <w:szCs w:val="24"/>
          <w:lang w:val="lv-LV"/>
        </w:rPr>
        <w:t>blakus sūdzības, kas iesniegta</w:t>
      </w:r>
      <w:r w:rsidR="00FB70DA">
        <w:rPr>
          <w:szCs w:val="24"/>
          <w:lang w:val="lv-LV"/>
        </w:rPr>
        <w:t xml:space="preserve"> par </w:t>
      </w:r>
      <w:r w:rsidR="005F22A7">
        <w:rPr>
          <w:szCs w:val="24"/>
          <w:lang w:val="lv-LV"/>
        </w:rPr>
        <w:t>Rīgas</w:t>
      </w:r>
      <w:r>
        <w:rPr>
          <w:szCs w:val="24"/>
          <w:lang w:val="lv-LV"/>
        </w:rPr>
        <w:t xml:space="preserve"> </w:t>
      </w:r>
      <w:r w:rsidR="00AE6728">
        <w:rPr>
          <w:szCs w:val="24"/>
          <w:lang w:val="lv-LV"/>
        </w:rPr>
        <w:t>apgabaltiesas Civillietu</w:t>
      </w:r>
      <w:r>
        <w:rPr>
          <w:szCs w:val="24"/>
          <w:lang w:val="lv-LV"/>
        </w:rPr>
        <w:t xml:space="preserve"> </w:t>
      </w:r>
      <w:r w:rsidR="00B662D2" w:rsidRPr="00757461">
        <w:rPr>
          <w:szCs w:val="24"/>
          <w:lang w:val="lv-LV"/>
        </w:rPr>
        <w:t>tiesa</w:t>
      </w:r>
      <w:r w:rsidR="005F22A7">
        <w:rPr>
          <w:szCs w:val="24"/>
          <w:lang w:val="lv-LV"/>
        </w:rPr>
        <w:t>s kolēģijas 2022</w:t>
      </w:r>
      <w:r w:rsidR="006D04B1">
        <w:rPr>
          <w:szCs w:val="24"/>
          <w:lang w:val="lv-LV"/>
        </w:rPr>
        <w:t>.</w:t>
      </w:r>
      <w:r w:rsidR="002B6F95">
        <w:rPr>
          <w:szCs w:val="24"/>
          <w:lang w:val="lv-LV"/>
        </w:rPr>
        <w:t> </w:t>
      </w:r>
      <w:r w:rsidR="006D04B1">
        <w:rPr>
          <w:szCs w:val="24"/>
          <w:lang w:val="lv-LV"/>
        </w:rPr>
        <w:t xml:space="preserve">gada </w:t>
      </w:r>
      <w:r w:rsidR="005F22A7">
        <w:rPr>
          <w:szCs w:val="24"/>
          <w:lang w:val="lv-LV"/>
        </w:rPr>
        <w:t>20.</w:t>
      </w:r>
      <w:r>
        <w:rPr>
          <w:szCs w:val="24"/>
          <w:lang w:val="lv-LV"/>
        </w:rPr>
        <w:t> </w:t>
      </w:r>
      <w:r w:rsidR="005F22A7">
        <w:rPr>
          <w:szCs w:val="24"/>
          <w:lang w:val="lv-LV"/>
        </w:rPr>
        <w:t xml:space="preserve">jūlija </w:t>
      </w:r>
      <w:r w:rsidR="00B662D2" w:rsidRPr="00757461">
        <w:rPr>
          <w:szCs w:val="24"/>
          <w:lang w:val="lv-LV"/>
        </w:rPr>
        <w:t>lēmumu</w:t>
      </w:r>
      <w:r w:rsidR="00BE7B27">
        <w:rPr>
          <w:szCs w:val="24"/>
          <w:lang w:val="lv-LV"/>
        </w:rPr>
        <w:t>, virzību.</w:t>
      </w:r>
      <w:r w:rsidR="007A228E" w:rsidRPr="00757461">
        <w:rPr>
          <w:szCs w:val="24"/>
          <w:lang w:val="lv-LV"/>
        </w:rPr>
        <w:t xml:space="preserve"> </w:t>
      </w:r>
    </w:p>
    <w:p w14:paraId="01BEF85B" w14:textId="77777777" w:rsidR="00750338" w:rsidRPr="008E56B8" w:rsidRDefault="00750338" w:rsidP="000C4B27">
      <w:pPr>
        <w:pStyle w:val="NoSpacing"/>
        <w:rPr>
          <w:lang w:val="lv-LV"/>
        </w:rPr>
      </w:pPr>
    </w:p>
    <w:p w14:paraId="238686D1" w14:textId="77777777" w:rsidR="00B662D2" w:rsidRDefault="00B662D2" w:rsidP="00B662D2">
      <w:pPr>
        <w:autoSpaceDE w:val="0"/>
        <w:autoSpaceDN w:val="0"/>
        <w:adjustRightInd w:val="0"/>
        <w:spacing w:after="0" w:line="276" w:lineRule="auto"/>
        <w:ind w:firstLine="720"/>
        <w:jc w:val="both"/>
        <w:rPr>
          <w:szCs w:val="24"/>
          <w:lang w:val="lv-LV"/>
        </w:rPr>
      </w:pPr>
      <w:r>
        <w:rPr>
          <w:rFonts w:ascii="TimesNewRomanPSMT" w:hAnsi="TimesNewRomanPSMT" w:cs="TimesNewRomanPSMT"/>
          <w:szCs w:val="24"/>
          <w:lang w:val="lv-LV"/>
        </w:rPr>
        <w:t>S</w:t>
      </w:r>
      <w:r>
        <w:rPr>
          <w:szCs w:val="24"/>
          <w:lang w:val="lv-LV"/>
        </w:rPr>
        <w:t xml:space="preserve">enatoru kolēģija </w:t>
      </w:r>
    </w:p>
    <w:p w14:paraId="7AEECDC6" w14:textId="77777777" w:rsidR="00B662D2" w:rsidRPr="008A64C8" w:rsidRDefault="00B662D2" w:rsidP="009120A0">
      <w:pPr>
        <w:autoSpaceDE w:val="0"/>
        <w:autoSpaceDN w:val="0"/>
        <w:adjustRightInd w:val="0"/>
        <w:spacing w:after="0" w:line="276" w:lineRule="auto"/>
        <w:jc w:val="center"/>
        <w:rPr>
          <w:b/>
          <w:szCs w:val="24"/>
          <w:lang w:val="lv-LV"/>
        </w:rPr>
      </w:pPr>
      <w:r>
        <w:rPr>
          <w:b/>
          <w:szCs w:val="24"/>
          <w:lang w:val="lv-LV"/>
        </w:rPr>
        <w:t>konstatēja</w:t>
      </w:r>
    </w:p>
    <w:p w14:paraId="1A1AFAC0" w14:textId="716CD9AE" w:rsidR="00BE7B27" w:rsidRDefault="00BE7B27" w:rsidP="009120A0">
      <w:pPr>
        <w:autoSpaceDE w:val="0"/>
        <w:autoSpaceDN w:val="0"/>
        <w:adjustRightInd w:val="0"/>
        <w:spacing w:after="0" w:line="276" w:lineRule="auto"/>
        <w:jc w:val="center"/>
        <w:rPr>
          <w:rFonts w:cs="Times New Roman"/>
          <w:szCs w:val="24"/>
          <w:lang w:val="lv-LV"/>
        </w:rPr>
      </w:pPr>
    </w:p>
    <w:p w14:paraId="67FF8454" w14:textId="0BB2737E" w:rsidR="00750338" w:rsidRDefault="00BE7B27" w:rsidP="00937E25">
      <w:pPr>
        <w:autoSpaceDE w:val="0"/>
        <w:autoSpaceDN w:val="0"/>
        <w:adjustRightInd w:val="0"/>
        <w:spacing w:after="0" w:line="276" w:lineRule="auto"/>
        <w:ind w:firstLine="720"/>
        <w:jc w:val="both"/>
        <w:rPr>
          <w:rFonts w:cs="Times New Roman"/>
          <w:szCs w:val="24"/>
          <w:lang w:val="lt-LT"/>
        </w:rPr>
      </w:pPr>
      <w:r>
        <w:rPr>
          <w:rFonts w:cs="Times New Roman"/>
          <w:szCs w:val="24"/>
          <w:lang w:val="lt-LT"/>
        </w:rPr>
        <w:t>[1] </w:t>
      </w:r>
      <w:r w:rsidR="005F1550">
        <w:rPr>
          <w:rFonts w:cs="Times New Roman"/>
          <w:szCs w:val="24"/>
          <w:lang w:val="lt-LT"/>
        </w:rPr>
        <w:t>[Pers. A]</w:t>
      </w:r>
      <w:r w:rsidRPr="00B21BEB">
        <w:rPr>
          <w:rFonts w:cs="Times New Roman"/>
          <w:szCs w:val="24"/>
          <w:lang w:val="lt-LT"/>
        </w:rPr>
        <w:t xml:space="preserve"> iesniegusi </w:t>
      </w:r>
      <w:r w:rsidR="000B5469">
        <w:rPr>
          <w:rFonts w:cs="Times New Roman"/>
          <w:szCs w:val="24"/>
          <w:lang w:val="lt-LT"/>
        </w:rPr>
        <w:t xml:space="preserve">tiesā </w:t>
      </w:r>
      <w:r w:rsidRPr="00B21BEB">
        <w:rPr>
          <w:rFonts w:cs="Times New Roman"/>
          <w:szCs w:val="24"/>
          <w:lang w:val="lt-LT"/>
        </w:rPr>
        <w:t xml:space="preserve">pieteikumu </w:t>
      </w:r>
      <w:r>
        <w:rPr>
          <w:rFonts w:cs="Times New Roman"/>
          <w:szCs w:val="24"/>
          <w:lang w:val="lt-LT"/>
        </w:rPr>
        <w:t xml:space="preserve">pret piedzinējām Evelekt Hulgi OU un </w:t>
      </w:r>
      <w:r w:rsidRPr="0048237C">
        <w:rPr>
          <w:rFonts w:cs="Times New Roman"/>
          <w:lang w:val="lv-LV"/>
        </w:rPr>
        <w:t xml:space="preserve">SIA „JULIANUS INKASSO LATVIJA” </w:t>
      </w:r>
      <w:r w:rsidRPr="00B21BEB">
        <w:rPr>
          <w:rFonts w:cs="Times New Roman"/>
          <w:szCs w:val="24"/>
          <w:lang w:val="lt-LT"/>
        </w:rPr>
        <w:t xml:space="preserve">par </w:t>
      </w:r>
      <w:r>
        <w:rPr>
          <w:rFonts w:cs="Times New Roman"/>
          <w:szCs w:val="24"/>
          <w:lang w:val="lt-LT"/>
        </w:rPr>
        <w:t>Igaunijas Republikas Harju apriņķa tiesas 2019. </w:t>
      </w:r>
      <w:r w:rsidRPr="00B21BEB">
        <w:rPr>
          <w:rFonts w:cs="Times New Roman"/>
          <w:szCs w:val="24"/>
          <w:lang w:val="lt-LT"/>
        </w:rPr>
        <w:t>gada 28.</w:t>
      </w:r>
      <w:r w:rsidR="00EA4A48">
        <w:rPr>
          <w:rFonts w:cs="Times New Roman"/>
          <w:szCs w:val="24"/>
          <w:lang w:val="lt-LT"/>
        </w:rPr>
        <w:t> </w:t>
      </w:r>
      <w:r w:rsidRPr="00B21BEB">
        <w:rPr>
          <w:rFonts w:cs="Times New Roman"/>
          <w:szCs w:val="24"/>
          <w:lang w:val="lt-LT"/>
        </w:rPr>
        <w:t>jūnija sprieduma un 2019. </w:t>
      </w:r>
      <w:r>
        <w:rPr>
          <w:rFonts w:cs="Times New Roman"/>
          <w:szCs w:val="24"/>
          <w:lang w:val="lt-LT"/>
        </w:rPr>
        <w:t>gada 4. </w:t>
      </w:r>
      <w:r w:rsidRPr="00B21BEB">
        <w:rPr>
          <w:rFonts w:cs="Times New Roman"/>
          <w:szCs w:val="24"/>
          <w:lang w:val="lt-LT"/>
        </w:rPr>
        <w:t>septembra lēmuma</w:t>
      </w:r>
      <w:r w:rsidR="009120A0">
        <w:rPr>
          <w:rFonts w:cs="Times New Roman"/>
          <w:szCs w:val="24"/>
          <w:lang w:val="lt-LT"/>
        </w:rPr>
        <w:t xml:space="preserve"> lietā Nr. </w:t>
      </w:r>
      <w:r w:rsidR="009120A0" w:rsidRPr="005F22A7">
        <w:rPr>
          <w:rFonts w:cs="Times New Roman"/>
          <w:szCs w:val="24"/>
          <w:lang w:val="lt-LT"/>
        </w:rPr>
        <w:t>2-18-8424</w:t>
      </w:r>
      <w:r>
        <w:rPr>
          <w:rFonts w:cs="Times New Roman"/>
          <w:szCs w:val="24"/>
          <w:lang w:val="lt-LT"/>
        </w:rPr>
        <w:t xml:space="preserve">, par kuriem izsniegta </w:t>
      </w:r>
      <w:r w:rsidR="00750338" w:rsidRPr="00413DF8">
        <w:rPr>
          <w:bdr w:val="none" w:sz="0" w:space="0" w:color="auto" w:frame="1"/>
          <w:lang w:val="lv-LV"/>
        </w:rPr>
        <w:t>Eiropas Parlamenta un Padomes 2012.</w:t>
      </w:r>
      <w:r w:rsidR="00EA4A48">
        <w:rPr>
          <w:bdr w:val="none" w:sz="0" w:space="0" w:color="auto" w:frame="1"/>
          <w:lang w:val="lv-LV"/>
        </w:rPr>
        <w:t> </w:t>
      </w:r>
      <w:r w:rsidR="00750338" w:rsidRPr="00413DF8">
        <w:rPr>
          <w:bdr w:val="none" w:sz="0" w:space="0" w:color="auto" w:frame="1"/>
          <w:lang w:val="lv-LV"/>
        </w:rPr>
        <w:t>gada 12.</w:t>
      </w:r>
      <w:r w:rsidR="00EA4A48">
        <w:rPr>
          <w:bdr w:val="none" w:sz="0" w:space="0" w:color="auto" w:frame="1"/>
          <w:lang w:val="lv-LV"/>
        </w:rPr>
        <w:t> </w:t>
      </w:r>
      <w:r w:rsidR="00750338" w:rsidRPr="00413DF8">
        <w:rPr>
          <w:bdr w:val="none" w:sz="0" w:space="0" w:color="auto" w:frame="1"/>
          <w:lang w:val="lv-LV"/>
        </w:rPr>
        <w:t>decembra regula</w:t>
      </w:r>
      <w:r w:rsidR="00750338">
        <w:rPr>
          <w:bdr w:val="none" w:sz="0" w:space="0" w:color="auto" w:frame="1"/>
          <w:lang w:val="lv-LV"/>
        </w:rPr>
        <w:t>s</w:t>
      </w:r>
      <w:r w:rsidR="00750338" w:rsidRPr="00413DF8">
        <w:rPr>
          <w:bdr w:val="none" w:sz="0" w:space="0" w:color="auto" w:frame="1"/>
          <w:lang w:val="lv-LV"/>
        </w:rPr>
        <w:t xml:space="preserve"> (ES) Nr.</w:t>
      </w:r>
      <w:r w:rsidR="00EA4A48">
        <w:rPr>
          <w:bdr w:val="none" w:sz="0" w:space="0" w:color="auto" w:frame="1"/>
          <w:lang w:val="lv-LV"/>
        </w:rPr>
        <w:t> </w:t>
      </w:r>
      <w:r w:rsidR="00750338" w:rsidRPr="00413DF8">
        <w:rPr>
          <w:bdr w:val="none" w:sz="0" w:space="0" w:color="auto" w:frame="1"/>
          <w:lang w:val="lv-LV"/>
        </w:rPr>
        <w:t>1215/2012 par jurisdikciju un spriedumu atzīšanu un izpildi civillietās un komerclietās</w:t>
      </w:r>
      <w:r w:rsidR="00750338">
        <w:rPr>
          <w:rFonts w:cs="Times New Roman"/>
          <w:szCs w:val="24"/>
          <w:lang w:val="lt-LT"/>
        </w:rPr>
        <w:t xml:space="preserve"> </w:t>
      </w:r>
      <w:r>
        <w:rPr>
          <w:rFonts w:cs="Times New Roman"/>
          <w:szCs w:val="24"/>
          <w:lang w:val="lt-LT"/>
        </w:rPr>
        <w:t>53.</w:t>
      </w:r>
      <w:r w:rsidR="00EA4A48">
        <w:rPr>
          <w:rFonts w:cs="Times New Roman"/>
          <w:szCs w:val="24"/>
          <w:lang w:val="lt-LT"/>
        </w:rPr>
        <w:t> </w:t>
      </w:r>
      <w:r>
        <w:rPr>
          <w:rFonts w:cs="Times New Roman"/>
          <w:szCs w:val="24"/>
          <w:lang w:val="lt-LT"/>
        </w:rPr>
        <w:t>pantā minētā apliecība, izpildes apturēšanu un</w:t>
      </w:r>
      <w:r w:rsidR="00EA4A48">
        <w:rPr>
          <w:rFonts w:cs="Times New Roman"/>
          <w:szCs w:val="24"/>
          <w:lang w:val="lt-LT"/>
        </w:rPr>
        <w:t xml:space="preserve"> izpildes </w:t>
      </w:r>
      <w:r w:rsidRPr="00B21BEB">
        <w:rPr>
          <w:rFonts w:cs="Times New Roman"/>
          <w:szCs w:val="24"/>
          <w:lang w:val="lt-LT"/>
        </w:rPr>
        <w:t>atteikšanu</w:t>
      </w:r>
      <w:r>
        <w:rPr>
          <w:rFonts w:cs="Times New Roman"/>
          <w:szCs w:val="24"/>
          <w:lang w:val="lt-LT"/>
        </w:rPr>
        <w:t xml:space="preserve">. </w:t>
      </w:r>
    </w:p>
    <w:p w14:paraId="769063F8" w14:textId="77777777" w:rsidR="00750338" w:rsidRDefault="00750338" w:rsidP="00750338">
      <w:pPr>
        <w:autoSpaceDE w:val="0"/>
        <w:autoSpaceDN w:val="0"/>
        <w:adjustRightInd w:val="0"/>
        <w:spacing w:after="0" w:line="276" w:lineRule="auto"/>
        <w:jc w:val="both"/>
        <w:rPr>
          <w:rFonts w:cs="Times New Roman"/>
          <w:szCs w:val="24"/>
          <w:lang w:val="lt-LT"/>
        </w:rPr>
      </w:pPr>
    </w:p>
    <w:p w14:paraId="32CCCE43" w14:textId="70908E0B" w:rsidR="000B5469" w:rsidRDefault="000B5469" w:rsidP="00750338">
      <w:pPr>
        <w:autoSpaceDE w:val="0"/>
        <w:autoSpaceDN w:val="0"/>
        <w:adjustRightInd w:val="0"/>
        <w:spacing w:after="0" w:line="276" w:lineRule="auto"/>
        <w:ind w:firstLine="720"/>
        <w:jc w:val="both"/>
        <w:rPr>
          <w:rFonts w:cs="Times New Roman"/>
          <w:szCs w:val="24"/>
          <w:lang w:val="lt-LT"/>
        </w:rPr>
      </w:pPr>
      <w:r>
        <w:rPr>
          <w:rFonts w:cs="Times New Roman"/>
          <w:szCs w:val="24"/>
          <w:lang w:val="lt-LT"/>
        </w:rPr>
        <w:t>[2]</w:t>
      </w:r>
      <w:r w:rsidR="00EA4A48">
        <w:rPr>
          <w:rFonts w:cs="Times New Roman"/>
          <w:szCs w:val="24"/>
          <w:lang w:val="lt-LT"/>
        </w:rPr>
        <w:t> </w:t>
      </w:r>
      <w:r w:rsidR="00BE7B27" w:rsidRPr="00240AA1">
        <w:rPr>
          <w:rFonts w:cs="Times New Roman"/>
          <w:szCs w:val="24"/>
          <w:lang w:val="lt-LT"/>
        </w:rPr>
        <w:t>Ar Rīgas pilsētas Pārdaugavas tiesas 2022.</w:t>
      </w:r>
      <w:r w:rsidR="00EA4A48">
        <w:rPr>
          <w:rFonts w:cs="Times New Roman"/>
          <w:szCs w:val="24"/>
          <w:lang w:val="lt-LT"/>
        </w:rPr>
        <w:t> </w:t>
      </w:r>
      <w:r w:rsidR="00BE7B27" w:rsidRPr="00240AA1">
        <w:rPr>
          <w:rFonts w:cs="Times New Roman"/>
          <w:szCs w:val="24"/>
          <w:lang w:val="lt-LT"/>
        </w:rPr>
        <w:t>gada 6.</w:t>
      </w:r>
      <w:r w:rsidR="00EA4A48">
        <w:rPr>
          <w:rFonts w:cs="Times New Roman"/>
          <w:szCs w:val="24"/>
          <w:lang w:val="lt-LT"/>
        </w:rPr>
        <w:t> </w:t>
      </w:r>
      <w:r w:rsidR="00BE7B27" w:rsidRPr="00240AA1">
        <w:rPr>
          <w:rFonts w:cs="Times New Roman"/>
          <w:szCs w:val="24"/>
          <w:lang w:val="lt-LT"/>
        </w:rPr>
        <w:t>aprīļa lēmumu</w:t>
      </w:r>
      <w:r w:rsidR="00BE7B27">
        <w:rPr>
          <w:rFonts w:cs="Times New Roman"/>
          <w:szCs w:val="24"/>
          <w:lang w:val="lt-LT"/>
        </w:rPr>
        <w:t xml:space="preserve"> </w:t>
      </w:r>
      <w:r w:rsidR="00BE7B27" w:rsidRPr="00240AA1">
        <w:rPr>
          <w:rFonts w:cs="Times New Roman"/>
          <w:szCs w:val="24"/>
          <w:lang w:val="lt-LT"/>
        </w:rPr>
        <w:t>pieteikums noraidīts</w:t>
      </w:r>
      <w:r w:rsidR="00BE7B27">
        <w:rPr>
          <w:rFonts w:cs="Times New Roman"/>
          <w:szCs w:val="24"/>
          <w:lang w:val="lt-LT"/>
        </w:rPr>
        <w:t>.</w:t>
      </w:r>
    </w:p>
    <w:p w14:paraId="7A8103AF" w14:textId="77777777" w:rsidR="00750338" w:rsidRPr="0048237C" w:rsidRDefault="00750338" w:rsidP="00750338">
      <w:pPr>
        <w:pStyle w:val="NoSpacing"/>
        <w:rPr>
          <w:lang w:val="lt-LT"/>
        </w:rPr>
      </w:pPr>
    </w:p>
    <w:p w14:paraId="49E188C2" w14:textId="67FE331E" w:rsidR="009120A0" w:rsidRPr="005F22A7" w:rsidRDefault="000B5469" w:rsidP="009120A0">
      <w:pPr>
        <w:autoSpaceDE w:val="0"/>
        <w:autoSpaceDN w:val="0"/>
        <w:adjustRightInd w:val="0"/>
        <w:spacing w:after="0" w:line="276" w:lineRule="auto"/>
        <w:ind w:firstLine="720"/>
        <w:jc w:val="both"/>
        <w:rPr>
          <w:rFonts w:cs="Times New Roman"/>
          <w:szCs w:val="24"/>
          <w:lang w:val="lt-LT"/>
        </w:rPr>
      </w:pPr>
      <w:r>
        <w:rPr>
          <w:rFonts w:cs="Times New Roman"/>
          <w:szCs w:val="24"/>
          <w:lang w:val="lt-LT"/>
        </w:rPr>
        <w:t>[3]</w:t>
      </w:r>
      <w:r w:rsidR="00EA4A48">
        <w:rPr>
          <w:rFonts w:cs="Times New Roman"/>
          <w:szCs w:val="24"/>
          <w:lang w:val="lt-LT"/>
        </w:rPr>
        <w:t> </w:t>
      </w:r>
      <w:r>
        <w:rPr>
          <w:szCs w:val="24"/>
          <w:lang w:val="lv-LV"/>
        </w:rPr>
        <w:t>Rīgas</w:t>
      </w:r>
      <w:r w:rsidR="00EA4A48">
        <w:rPr>
          <w:szCs w:val="24"/>
          <w:lang w:val="lv-LV"/>
        </w:rPr>
        <w:t xml:space="preserve"> </w:t>
      </w:r>
      <w:r>
        <w:rPr>
          <w:szCs w:val="24"/>
          <w:lang w:val="lv-LV"/>
        </w:rPr>
        <w:t>apgabaltiesas Civillietu</w:t>
      </w:r>
      <w:r w:rsidR="00EA4A48">
        <w:rPr>
          <w:szCs w:val="24"/>
          <w:lang w:val="lv-LV"/>
        </w:rPr>
        <w:t xml:space="preserve"> </w:t>
      </w:r>
      <w:r w:rsidRPr="00757461">
        <w:rPr>
          <w:szCs w:val="24"/>
          <w:lang w:val="lv-LV"/>
        </w:rPr>
        <w:t>tiesa</w:t>
      </w:r>
      <w:r>
        <w:rPr>
          <w:szCs w:val="24"/>
          <w:lang w:val="lv-LV"/>
        </w:rPr>
        <w:t>s kolēģija ar 2022. gada 20.</w:t>
      </w:r>
      <w:r w:rsidR="00EA4A48">
        <w:rPr>
          <w:szCs w:val="24"/>
          <w:lang w:val="lv-LV"/>
        </w:rPr>
        <w:t> </w:t>
      </w:r>
      <w:r>
        <w:rPr>
          <w:szCs w:val="24"/>
          <w:lang w:val="lv-LV"/>
        </w:rPr>
        <w:t>jūlija lēmumu izskatīja un apmierināja</w:t>
      </w:r>
      <w:r w:rsidRPr="000B5469">
        <w:rPr>
          <w:rFonts w:cs="Times New Roman"/>
          <w:szCs w:val="24"/>
          <w:lang w:val="lt-LT"/>
        </w:rPr>
        <w:t xml:space="preserve"> </w:t>
      </w:r>
      <w:r w:rsidR="005A7726">
        <w:rPr>
          <w:rFonts w:cs="Times New Roman"/>
          <w:szCs w:val="24"/>
          <w:lang w:val="lt-LT"/>
        </w:rPr>
        <w:t>[pers. A]</w:t>
      </w:r>
      <w:r w:rsidR="00750338">
        <w:rPr>
          <w:rFonts w:cs="Times New Roman"/>
          <w:szCs w:val="24"/>
          <w:lang w:val="lt-LT"/>
        </w:rPr>
        <w:t xml:space="preserve"> blakus sūdzību; atcēla</w:t>
      </w:r>
      <w:r>
        <w:rPr>
          <w:rFonts w:cs="Times New Roman"/>
          <w:szCs w:val="24"/>
          <w:lang w:val="lt-LT"/>
        </w:rPr>
        <w:t xml:space="preserve"> </w:t>
      </w:r>
      <w:r w:rsidR="009120A0" w:rsidRPr="005F22A7">
        <w:rPr>
          <w:rFonts w:cs="Times New Roman"/>
          <w:szCs w:val="24"/>
          <w:lang w:val="lt-LT"/>
        </w:rPr>
        <w:t>Rīgas pi</w:t>
      </w:r>
      <w:r w:rsidR="009120A0">
        <w:rPr>
          <w:rFonts w:cs="Times New Roman"/>
          <w:szCs w:val="24"/>
          <w:lang w:val="lt-LT"/>
        </w:rPr>
        <w:t>lsētas Pārdaugavas ti</w:t>
      </w:r>
      <w:r w:rsidR="00750338">
        <w:rPr>
          <w:rFonts w:cs="Times New Roman"/>
          <w:szCs w:val="24"/>
          <w:lang w:val="lt-LT"/>
        </w:rPr>
        <w:t>esas 2022. gada 6. aprīļa lēmumu</w:t>
      </w:r>
      <w:r w:rsidR="009120A0">
        <w:rPr>
          <w:rFonts w:cs="Times New Roman"/>
          <w:szCs w:val="24"/>
          <w:lang w:val="lt-LT"/>
        </w:rPr>
        <w:t>; a</w:t>
      </w:r>
      <w:r w:rsidR="00750338">
        <w:rPr>
          <w:rFonts w:cs="Times New Roman"/>
          <w:szCs w:val="24"/>
          <w:lang w:val="lt-LT"/>
        </w:rPr>
        <w:t>tteica</w:t>
      </w:r>
      <w:r w:rsidR="009120A0" w:rsidRPr="005F22A7">
        <w:rPr>
          <w:rFonts w:cs="Times New Roman"/>
          <w:szCs w:val="24"/>
          <w:lang w:val="lt-LT"/>
        </w:rPr>
        <w:t xml:space="preserve"> izpildīt Harju apriņķa tiesas 2019.</w:t>
      </w:r>
      <w:r w:rsidR="00EA4A48">
        <w:rPr>
          <w:rFonts w:cs="Times New Roman"/>
          <w:szCs w:val="24"/>
          <w:lang w:val="lt-LT"/>
        </w:rPr>
        <w:t> </w:t>
      </w:r>
      <w:r w:rsidR="009120A0" w:rsidRPr="005F22A7">
        <w:rPr>
          <w:rFonts w:cs="Times New Roman"/>
          <w:szCs w:val="24"/>
          <w:lang w:val="lt-LT"/>
        </w:rPr>
        <w:t>gada 28.</w:t>
      </w:r>
      <w:r w:rsidR="00EA4A48">
        <w:rPr>
          <w:rFonts w:cs="Times New Roman"/>
          <w:szCs w:val="24"/>
          <w:lang w:val="lt-LT"/>
        </w:rPr>
        <w:t> </w:t>
      </w:r>
      <w:r w:rsidR="009120A0" w:rsidRPr="005F22A7">
        <w:rPr>
          <w:rFonts w:cs="Times New Roman"/>
          <w:szCs w:val="24"/>
          <w:lang w:val="lt-LT"/>
        </w:rPr>
        <w:t xml:space="preserve">jūnija spriedumu un </w:t>
      </w:r>
      <w:r w:rsidR="009120A0">
        <w:rPr>
          <w:rFonts w:cs="Times New Roman"/>
          <w:szCs w:val="24"/>
          <w:lang w:val="lt-LT"/>
        </w:rPr>
        <w:t>2019. gada 4. s</w:t>
      </w:r>
      <w:r w:rsidR="009120A0" w:rsidRPr="005F22A7">
        <w:rPr>
          <w:rFonts w:cs="Times New Roman"/>
          <w:szCs w:val="24"/>
          <w:lang w:val="lt-LT"/>
        </w:rPr>
        <w:t xml:space="preserve">eptembra </w:t>
      </w:r>
      <w:r w:rsidR="009120A0">
        <w:rPr>
          <w:rFonts w:cs="Times New Roman"/>
          <w:szCs w:val="24"/>
          <w:lang w:val="lt-LT"/>
        </w:rPr>
        <w:t>lēmumu lietā Nr. </w:t>
      </w:r>
      <w:r w:rsidR="009120A0" w:rsidRPr="005F22A7">
        <w:rPr>
          <w:rFonts w:cs="Times New Roman"/>
          <w:szCs w:val="24"/>
          <w:lang w:val="lt-LT"/>
        </w:rPr>
        <w:t>2-18-8424.</w:t>
      </w:r>
    </w:p>
    <w:p w14:paraId="0E91D145" w14:textId="043EE339" w:rsidR="00BE7B27" w:rsidRDefault="000B5469" w:rsidP="00750338">
      <w:pPr>
        <w:autoSpaceDE w:val="0"/>
        <w:autoSpaceDN w:val="0"/>
        <w:adjustRightInd w:val="0"/>
        <w:spacing w:after="0" w:line="276" w:lineRule="auto"/>
        <w:ind w:firstLine="720"/>
        <w:jc w:val="both"/>
        <w:rPr>
          <w:rFonts w:cs="Times New Roman"/>
          <w:szCs w:val="24"/>
          <w:lang w:val="lt-LT"/>
        </w:rPr>
      </w:pPr>
      <w:r>
        <w:rPr>
          <w:rFonts w:cs="Times New Roman"/>
          <w:szCs w:val="24"/>
          <w:lang w:val="lt-LT"/>
        </w:rPr>
        <w:t>Apgabaltiesas lēmumā norādīts, ka tas pārsūdzams Senātā.</w:t>
      </w:r>
    </w:p>
    <w:p w14:paraId="343B53F8" w14:textId="77777777" w:rsidR="007360E2" w:rsidRDefault="007360E2" w:rsidP="00750338">
      <w:pPr>
        <w:autoSpaceDE w:val="0"/>
        <w:autoSpaceDN w:val="0"/>
        <w:adjustRightInd w:val="0"/>
        <w:spacing w:after="0" w:line="240" w:lineRule="auto"/>
        <w:jc w:val="both"/>
        <w:rPr>
          <w:rFonts w:cs="Times New Roman"/>
          <w:szCs w:val="24"/>
          <w:lang w:val="lt-LT"/>
        </w:rPr>
      </w:pPr>
    </w:p>
    <w:p w14:paraId="2BF3BBF6" w14:textId="0F21E8E4" w:rsidR="009244AB" w:rsidRDefault="009120A0" w:rsidP="005F22A7">
      <w:pPr>
        <w:autoSpaceDE w:val="0"/>
        <w:autoSpaceDN w:val="0"/>
        <w:adjustRightInd w:val="0"/>
        <w:spacing w:after="0" w:line="276" w:lineRule="auto"/>
        <w:ind w:firstLine="720"/>
        <w:jc w:val="both"/>
        <w:rPr>
          <w:rFonts w:cs="Times New Roman"/>
          <w:szCs w:val="24"/>
          <w:lang w:val="lv-LV"/>
        </w:rPr>
      </w:pPr>
      <w:r>
        <w:rPr>
          <w:lang w:val="lv-LV"/>
        </w:rPr>
        <w:t>[4</w:t>
      </w:r>
      <w:r w:rsidR="001E3504">
        <w:rPr>
          <w:lang w:val="lv-LV"/>
        </w:rPr>
        <w:t>]</w:t>
      </w:r>
      <w:r>
        <w:rPr>
          <w:lang w:val="lv-LV"/>
        </w:rPr>
        <w:t> </w:t>
      </w:r>
      <w:r w:rsidR="005F22A7" w:rsidRPr="0048237C">
        <w:rPr>
          <w:rFonts w:cs="Times New Roman"/>
          <w:lang w:val="lt-LT"/>
        </w:rPr>
        <w:t>SIA</w:t>
      </w:r>
      <w:r w:rsidR="00815919" w:rsidRPr="0048237C">
        <w:rPr>
          <w:rFonts w:cs="Times New Roman"/>
          <w:lang w:val="lt-LT"/>
        </w:rPr>
        <w:t> </w:t>
      </w:r>
      <w:r w:rsidR="005F22A7" w:rsidRPr="0048237C">
        <w:rPr>
          <w:rFonts w:cs="Times New Roman"/>
          <w:lang w:val="lt-LT"/>
        </w:rPr>
        <w:t xml:space="preserve">„JULIANUS INKASSO LATVIJA” </w:t>
      </w:r>
      <w:r w:rsidR="00793DB5" w:rsidRPr="009F77C6">
        <w:rPr>
          <w:rFonts w:cs="Times New Roman"/>
          <w:szCs w:val="24"/>
          <w:lang w:val="lv-LV"/>
        </w:rPr>
        <w:t>iesniegusi</w:t>
      </w:r>
      <w:r w:rsidR="001E3504" w:rsidRPr="009F77C6">
        <w:rPr>
          <w:rFonts w:cs="Times New Roman"/>
          <w:szCs w:val="24"/>
          <w:lang w:val="lv-LV"/>
        </w:rPr>
        <w:t xml:space="preserve"> blakus sūdzību</w:t>
      </w:r>
      <w:r>
        <w:rPr>
          <w:rFonts w:cs="Times New Roman"/>
          <w:szCs w:val="24"/>
          <w:lang w:val="lv-LV"/>
        </w:rPr>
        <w:t>, lūdzot atcelt</w:t>
      </w:r>
      <w:r w:rsidR="001E3504" w:rsidRPr="009F77C6">
        <w:rPr>
          <w:rFonts w:cs="Times New Roman"/>
          <w:szCs w:val="24"/>
          <w:lang w:val="lv-LV"/>
        </w:rPr>
        <w:t xml:space="preserve"> </w:t>
      </w:r>
      <w:r>
        <w:rPr>
          <w:rFonts w:cs="Times New Roman"/>
          <w:szCs w:val="24"/>
          <w:lang w:val="lv-LV"/>
        </w:rPr>
        <w:t xml:space="preserve">apgabaltiesas </w:t>
      </w:r>
      <w:r w:rsidR="001E3504" w:rsidRPr="009F77C6">
        <w:rPr>
          <w:rFonts w:cs="Times New Roman"/>
          <w:szCs w:val="24"/>
          <w:lang w:val="lv-LV"/>
        </w:rPr>
        <w:t>lēmumu</w:t>
      </w:r>
      <w:r w:rsidR="00002412">
        <w:rPr>
          <w:rFonts w:cs="Times New Roman"/>
          <w:szCs w:val="24"/>
          <w:lang w:val="lv-LV"/>
        </w:rPr>
        <w:t>.</w:t>
      </w:r>
    </w:p>
    <w:p w14:paraId="042B5D4C" w14:textId="77777777" w:rsidR="00750338" w:rsidRDefault="00750338" w:rsidP="00750338">
      <w:pPr>
        <w:pStyle w:val="NoSpacing"/>
        <w:rPr>
          <w:lang w:val="lv-LV"/>
        </w:rPr>
      </w:pPr>
    </w:p>
    <w:p w14:paraId="79AE1208" w14:textId="29E2809D" w:rsidR="009120A0" w:rsidRPr="009120A0" w:rsidRDefault="009120A0" w:rsidP="0061404A">
      <w:pPr>
        <w:autoSpaceDE w:val="0"/>
        <w:autoSpaceDN w:val="0"/>
        <w:adjustRightInd w:val="0"/>
        <w:spacing w:after="0" w:line="276" w:lineRule="auto"/>
        <w:jc w:val="center"/>
        <w:rPr>
          <w:rFonts w:cs="Times New Roman"/>
          <w:b/>
          <w:szCs w:val="24"/>
          <w:lang w:val="lv-LV"/>
        </w:rPr>
      </w:pPr>
      <w:r w:rsidRPr="009120A0">
        <w:rPr>
          <w:rFonts w:cs="Times New Roman"/>
          <w:b/>
          <w:szCs w:val="24"/>
          <w:lang w:val="lv-LV"/>
        </w:rPr>
        <w:t>Motīvu daļa</w:t>
      </w:r>
    </w:p>
    <w:p w14:paraId="40CFF82B" w14:textId="77777777" w:rsidR="00413DF8" w:rsidRDefault="00413DF8" w:rsidP="00413DF8">
      <w:pPr>
        <w:autoSpaceDE w:val="0"/>
        <w:autoSpaceDN w:val="0"/>
        <w:adjustRightInd w:val="0"/>
        <w:spacing w:after="0" w:line="276" w:lineRule="auto"/>
        <w:ind w:firstLine="720"/>
        <w:jc w:val="both"/>
        <w:rPr>
          <w:rFonts w:cs="Times New Roman"/>
          <w:szCs w:val="24"/>
          <w:lang w:val="lv-LV"/>
        </w:rPr>
      </w:pPr>
    </w:p>
    <w:p w14:paraId="43DFE0C6" w14:textId="65A1AB7A" w:rsidR="00EF6D08" w:rsidRPr="0048237C" w:rsidRDefault="009120A0" w:rsidP="00EF6D08">
      <w:pPr>
        <w:autoSpaceDE w:val="0"/>
        <w:autoSpaceDN w:val="0"/>
        <w:adjustRightInd w:val="0"/>
        <w:spacing w:after="0" w:line="276" w:lineRule="auto"/>
        <w:ind w:firstLine="720"/>
        <w:jc w:val="both"/>
        <w:rPr>
          <w:szCs w:val="24"/>
          <w:lang w:val="lv-LV"/>
        </w:rPr>
      </w:pPr>
      <w:r w:rsidRPr="0048237C">
        <w:rPr>
          <w:rFonts w:cs="Times New Roman"/>
          <w:szCs w:val="24"/>
          <w:lang w:val="lv-LV"/>
        </w:rPr>
        <w:t>[5</w:t>
      </w:r>
      <w:r w:rsidR="008F5352" w:rsidRPr="0048237C">
        <w:rPr>
          <w:rFonts w:cs="Times New Roman"/>
          <w:szCs w:val="24"/>
          <w:lang w:val="lv-LV"/>
        </w:rPr>
        <w:t>] </w:t>
      </w:r>
      <w:r w:rsidR="00B662D2" w:rsidRPr="0048237C">
        <w:rPr>
          <w:szCs w:val="24"/>
          <w:lang w:val="lv-LV"/>
        </w:rPr>
        <w:t xml:space="preserve">Senatoru kolēģija </w:t>
      </w:r>
      <w:r w:rsidR="004C193E" w:rsidRPr="0048237C">
        <w:rPr>
          <w:szCs w:val="24"/>
          <w:lang w:val="lv-LV"/>
        </w:rPr>
        <w:t xml:space="preserve">vispirms pārbaudīs, vai </w:t>
      </w:r>
      <w:r w:rsidRPr="0048237C">
        <w:rPr>
          <w:szCs w:val="24"/>
          <w:lang w:val="lv-LV"/>
        </w:rPr>
        <w:t>blakus sūdzība ir pieņem</w:t>
      </w:r>
      <w:r w:rsidR="004C193E" w:rsidRPr="0048237C">
        <w:rPr>
          <w:szCs w:val="24"/>
          <w:lang w:val="lv-LV"/>
        </w:rPr>
        <w:t>ama</w:t>
      </w:r>
      <w:r w:rsidR="00EF6D08" w:rsidRPr="0048237C">
        <w:rPr>
          <w:szCs w:val="24"/>
          <w:lang w:val="lv-LV"/>
        </w:rPr>
        <w:t xml:space="preserve">. </w:t>
      </w:r>
    </w:p>
    <w:p w14:paraId="7981342A" w14:textId="77777777" w:rsidR="00413DF8" w:rsidRDefault="00413DF8" w:rsidP="00155A57">
      <w:pPr>
        <w:pStyle w:val="NoSpacing"/>
        <w:rPr>
          <w:lang w:val="lv-LV"/>
        </w:rPr>
      </w:pPr>
    </w:p>
    <w:p w14:paraId="5F13DC0C" w14:textId="77777777" w:rsidR="0048237C" w:rsidRDefault="00413DF8" w:rsidP="00B04241">
      <w:pPr>
        <w:pStyle w:val="NoSpacing"/>
        <w:spacing w:line="276" w:lineRule="auto"/>
        <w:ind w:firstLine="720"/>
        <w:jc w:val="both"/>
        <w:rPr>
          <w:bdr w:val="none" w:sz="0" w:space="0" w:color="auto" w:frame="1"/>
          <w:lang w:val="lv-LV"/>
        </w:rPr>
      </w:pPr>
      <w:r>
        <w:rPr>
          <w:szCs w:val="24"/>
          <w:lang w:val="lv-LV"/>
        </w:rPr>
        <w:t>[6]</w:t>
      </w:r>
      <w:r w:rsidR="00EA4A48">
        <w:rPr>
          <w:szCs w:val="24"/>
          <w:lang w:val="lv-LV"/>
        </w:rPr>
        <w:t> </w:t>
      </w:r>
      <w:r>
        <w:rPr>
          <w:szCs w:val="24"/>
          <w:lang w:val="lv-LV"/>
        </w:rPr>
        <w:t>K</w:t>
      </w:r>
      <w:r w:rsidRPr="001F1527">
        <w:rPr>
          <w:bdr w:val="none" w:sz="0" w:space="0" w:color="auto" w:frame="1"/>
          <w:lang w:val="lv-LV"/>
        </w:rPr>
        <w:t xml:space="preserve">ārtību, kādā vienas </w:t>
      </w:r>
      <w:r>
        <w:rPr>
          <w:bdr w:val="none" w:sz="0" w:space="0" w:color="auto" w:frame="1"/>
          <w:lang w:val="lv-LV"/>
        </w:rPr>
        <w:t>Eiropas Savienības</w:t>
      </w:r>
      <w:r w:rsidRPr="001F1527">
        <w:rPr>
          <w:bdr w:val="none" w:sz="0" w:space="0" w:color="auto" w:frame="1"/>
          <w:lang w:val="lv-LV"/>
        </w:rPr>
        <w:t xml:space="preserve"> dalīb</w:t>
      </w:r>
      <w:r>
        <w:rPr>
          <w:bdr w:val="none" w:sz="0" w:space="0" w:color="auto" w:frame="1"/>
          <w:lang w:val="lv-LV"/>
        </w:rPr>
        <w:t>v</w:t>
      </w:r>
      <w:r w:rsidRPr="001F1527">
        <w:rPr>
          <w:bdr w:val="none" w:sz="0" w:space="0" w:color="auto" w:frame="1"/>
          <w:lang w:val="lv-LV"/>
        </w:rPr>
        <w:t>alsts spriedumu var atzīt un izpildīt citā dalībvalstī, noteic</w:t>
      </w:r>
      <w:r w:rsidR="00EA4A48">
        <w:rPr>
          <w:bdr w:val="none" w:sz="0" w:space="0" w:color="auto" w:frame="1"/>
          <w:lang w:val="lv-LV"/>
        </w:rPr>
        <w:t xml:space="preserve"> </w:t>
      </w:r>
      <w:r w:rsidRPr="00413DF8">
        <w:rPr>
          <w:bdr w:val="none" w:sz="0" w:space="0" w:color="auto" w:frame="1"/>
          <w:lang w:val="lv-LV"/>
        </w:rPr>
        <w:t>Eiropas Parlamenta un Padomes 2012.</w:t>
      </w:r>
      <w:r w:rsidR="00EA4A48">
        <w:rPr>
          <w:bdr w:val="none" w:sz="0" w:space="0" w:color="auto" w:frame="1"/>
          <w:lang w:val="lv-LV"/>
        </w:rPr>
        <w:t> </w:t>
      </w:r>
      <w:r w:rsidRPr="00413DF8">
        <w:rPr>
          <w:bdr w:val="none" w:sz="0" w:space="0" w:color="auto" w:frame="1"/>
          <w:lang w:val="lv-LV"/>
        </w:rPr>
        <w:t>gada 12.</w:t>
      </w:r>
      <w:r w:rsidR="00EA4A48">
        <w:rPr>
          <w:bdr w:val="none" w:sz="0" w:space="0" w:color="auto" w:frame="1"/>
          <w:lang w:val="lv-LV"/>
        </w:rPr>
        <w:t> </w:t>
      </w:r>
      <w:r w:rsidRPr="00413DF8">
        <w:rPr>
          <w:bdr w:val="none" w:sz="0" w:space="0" w:color="auto" w:frame="1"/>
          <w:lang w:val="lv-LV"/>
        </w:rPr>
        <w:t>decembra regula (ES) Nr.</w:t>
      </w:r>
      <w:r w:rsidR="00EA4A48">
        <w:rPr>
          <w:bdr w:val="none" w:sz="0" w:space="0" w:color="auto" w:frame="1"/>
          <w:lang w:val="lv-LV"/>
        </w:rPr>
        <w:t> </w:t>
      </w:r>
      <w:r w:rsidRPr="00413DF8">
        <w:rPr>
          <w:bdr w:val="none" w:sz="0" w:space="0" w:color="auto" w:frame="1"/>
          <w:lang w:val="lv-LV"/>
        </w:rPr>
        <w:t xml:space="preserve">1215/2012 par jurisdikciju un spriedumu atzīšanu un izpildi civillietās un komerclietās </w:t>
      </w:r>
      <w:r w:rsidR="001F7791">
        <w:rPr>
          <w:bdr w:val="none" w:sz="0" w:space="0" w:color="auto" w:frame="1"/>
          <w:lang w:val="lv-LV"/>
        </w:rPr>
        <w:t xml:space="preserve">(pārstrādātā versija) </w:t>
      </w:r>
      <w:r w:rsidR="00F16EC5">
        <w:rPr>
          <w:bdr w:val="none" w:sz="0" w:space="0" w:color="auto" w:frame="1"/>
          <w:lang w:val="lv-LV"/>
        </w:rPr>
        <w:t xml:space="preserve">(turpmāk </w:t>
      </w:r>
      <w:r w:rsidR="00EA4A48">
        <w:rPr>
          <w:bdr w:val="none" w:sz="0" w:space="0" w:color="auto" w:frame="1"/>
          <w:lang w:val="lv-LV"/>
        </w:rPr>
        <w:t>–</w:t>
      </w:r>
      <w:r w:rsidR="00F16EC5">
        <w:rPr>
          <w:bdr w:val="none" w:sz="0" w:space="0" w:color="auto" w:frame="1"/>
          <w:lang w:val="lv-LV"/>
        </w:rPr>
        <w:t xml:space="preserve"> </w:t>
      </w:r>
      <w:r w:rsidR="003A753E">
        <w:rPr>
          <w:bdr w:val="none" w:sz="0" w:space="0" w:color="auto" w:frame="1"/>
          <w:lang w:val="lv-LV"/>
        </w:rPr>
        <w:t xml:space="preserve">Regula </w:t>
      </w:r>
      <w:r w:rsidR="00EA4A48">
        <w:rPr>
          <w:bdr w:val="none" w:sz="0" w:space="0" w:color="auto" w:frame="1"/>
          <w:lang w:val="lv-LV"/>
        </w:rPr>
        <w:t>Nr. </w:t>
      </w:r>
      <w:r w:rsidR="003A753E" w:rsidRPr="0048237C">
        <w:rPr>
          <w:lang w:val="lv-LV"/>
        </w:rPr>
        <w:t>1215/2012</w:t>
      </w:r>
      <w:r w:rsidR="001F7791">
        <w:rPr>
          <w:bdr w:val="none" w:sz="0" w:space="0" w:color="auto" w:frame="1"/>
          <w:lang w:val="lv-LV"/>
        </w:rPr>
        <w:t>)</w:t>
      </w:r>
      <w:r>
        <w:rPr>
          <w:bdr w:val="none" w:sz="0" w:space="0" w:color="auto" w:frame="1"/>
          <w:lang w:val="lv-LV"/>
        </w:rPr>
        <w:t xml:space="preserve">, kas paredz, ka </w:t>
      </w:r>
      <w:r w:rsidR="00750338">
        <w:rPr>
          <w:bdr w:val="none" w:sz="0" w:space="0" w:color="auto" w:frame="1"/>
          <w:lang w:val="lv-LV"/>
        </w:rPr>
        <w:t>Eiropas Savienības dalībvalstī</w:t>
      </w:r>
      <w:r w:rsidR="00EA4A48" w:rsidRPr="0048237C">
        <w:rPr>
          <w:lang w:val="lv-LV"/>
        </w:rPr>
        <w:t xml:space="preserve"> </w:t>
      </w:r>
      <w:r w:rsidRPr="00413DF8">
        <w:rPr>
          <w:bdr w:val="none" w:sz="0" w:space="0" w:color="auto" w:frame="1"/>
          <w:lang w:val="lv-LV"/>
        </w:rPr>
        <w:t>pieņemtu spriedumu pārējās dalībvalstis atzī</w:t>
      </w:r>
      <w:r>
        <w:rPr>
          <w:bdr w:val="none" w:sz="0" w:space="0" w:color="auto" w:frame="1"/>
          <w:lang w:val="lv-LV"/>
        </w:rPr>
        <w:t>s</w:t>
      </w:r>
      <w:r w:rsidRPr="00413DF8">
        <w:rPr>
          <w:bdr w:val="none" w:sz="0" w:space="0" w:color="auto" w:frame="1"/>
          <w:lang w:val="lv-LV"/>
        </w:rPr>
        <w:t>t bez jebkādas īpašas procedūras</w:t>
      </w:r>
      <w:r w:rsidR="00EA4A48">
        <w:rPr>
          <w:bdr w:val="none" w:sz="0" w:space="0" w:color="auto" w:frame="1"/>
          <w:lang w:val="lv-LV"/>
        </w:rPr>
        <w:t xml:space="preserve"> </w:t>
      </w:r>
      <w:r w:rsidR="00870A3D">
        <w:rPr>
          <w:bdr w:val="none" w:sz="0" w:space="0" w:color="auto" w:frame="1"/>
          <w:lang w:val="lv-LV"/>
        </w:rPr>
        <w:t>(</w:t>
      </w:r>
      <w:r w:rsidR="00870A3D" w:rsidRPr="00937E25">
        <w:rPr>
          <w:i/>
          <w:iCs/>
          <w:bdr w:val="none" w:sz="0" w:space="0" w:color="auto" w:frame="1"/>
          <w:lang w:val="lv-LV"/>
        </w:rPr>
        <w:t>36.</w:t>
      </w:r>
      <w:r w:rsidR="00EA4A48">
        <w:rPr>
          <w:i/>
          <w:iCs/>
          <w:bdr w:val="none" w:sz="0" w:space="0" w:color="auto" w:frame="1"/>
          <w:lang w:val="lv-LV"/>
        </w:rPr>
        <w:t> </w:t>
      </w:r>
      <w:r w:rsidR="00870A3D" w:rsidRPr="00937E25">
        <w:rPr>
          <w:i/>
          <w:iCs/>
          <w:bdr w:val="none" w:sz="0" w:space="0" w:color="auto" w:frame="1"/>
          <w:lang w:val="lv-LV"/>
        </w:rPr>
        <w:t>pants</w:t>
      </w:r>
      <w:r w:rsidR="00870A3D">
        <w:rPr>
          <w:bdr w:val="none" w:sz="0" w:space="0" w:color="auto" w:frame="1"/>
          <w:lang w:val="lv-LV"/>
        </w:rPr>
        <w:t>).</w:t>
      </w:r>
      <w:r w:rsidR="00053E6F">
        <w:rPr>
          <w:bdr w:val="none" w:sz="0" w:space="0" w:color="auto" w:frame="1"/>
          <w:lang w:val="lv-LV"/>
        </w:rPr>
        <w:t xml:space="preserve"> </w:t>
      </w:r>
      <w:r w:rsidR="00870A3D">
        <w:rPr>
          <w:bdr w:val="none" w:sz="0" w:space="0" w:color="auto" w:frame="1"/>
          <w:lang w:val="lv-LV"/>
        </w:rPr>
        <w:t>L</w:t>
      </w:r>
      <w:r w:rsidRPr="00413DF8">
        <w:rPr>
          <w:bdr w:val="none" w:sz="0" w:space="0" w:color="auto" w:frame="1"/>
          <w:lang w:val="lv-LV"/>
        </w:rPr>
        <w:t>īdz ar to, pamatojoties uz savstarpējās uzticēšanās principu,</w:t>
      </w:r>
      <w:r w:rsidR="00870A3D">
        <w:rPr>
          <w:bdr w:val="none" w:sz="0" w:space="0" w:color="auto" w:frame="1"/>
          <w:lang w:val="lv-LV"/>
        </w:rPr>
        <w:t xml:space="preserve"> spriedums, kas ir</w:t>
      </w:r>
      <w:r w:rsidR="00EA4A48">
        <w:rPr>
          <w:bdr w:val="none" w:sz="0" w:space="0" w:color="auto" w:frame="1"/>
          <w:lang w:val="lv-LV"/>
        </w:rPr>
        <w:t xml:space="preserve"> </w:t>
      </w:r>
      <w:r w:rsidRPr="00413DF8">
        <w:rPr>
          <w:bdr w:val="none" w:sz="0" w:space="0" w:color="auto" w:frame="1"/>
          <w:lang w:val="lv-LV"/>
        </w:rPr>
        <w:t>izpildāms izcelsm</w:t>
      </w:r>
      <w:r w:rsidR="00216F1B">
        <w:rPr>
          <w:bdr w:val="none" w:sz="0" w:space="0" w:color="auto" w:frame="1"/>
          <w:lang w:val="lv-LV"/>
        </w:rPr>
        <w:t>es valstī, ir izpildāms arī pārē</w:t>
      </w:r>
      <w:r w:rsidRPr="00413DF8">
        <w:rPr>
          <w:bdr w:val="none" w:sz="0" w:space="0" w:color="auto" w:frame="1"/>
          <w:lang w:val="lv-LV"/>
        </w:rPr>
        <w:t>jās Eiropas Savienības dalībvalstīs</w:t>
      </w:r>
      <w:r>
        <w:rPr>
          <w:bdr w:val="none" w:sz="0" w:space="0" w:color="auto" w:frame="1"/>
          <w:lang w:val="lv-LV"/>
        </w:rPr>
        <w:t xml:space="preserve"> (</w:t>
      </w:r>
      <w:r w:rsidRPr="00937E25">
        <w:rPr>
          <w:i/>
          <w:iCs/>
          <w:bdr w:val="none" w:sz="0" w:space="0" w:color="auto" w:frame="1"/>
          <w:lang w:val="lv-LV"/>
        </w:rPr>
        <w:t>39.</w:t>
      </w:r>
      <w:r w:rsidR="00EA4A48">
        <w:rPr>
          <w:i/>
          <w:iCs/>
          <w:bdr w:val="none" w:sz="0" w:space="0" w:color="auto" w:frame="1"/>
          <w:lang w:val="lv-LV"/>
        </w:rPr>
        <w:t> </w:t>
      </w:r>
      <w:r w:rsidRPr="00937E25">
        <w:rPr>
          <w:i/>
          <w:iCs/>
          <w:bdr w:val="none" w:sz="0" w:space="0" w:color="auto" w:frame="1"/>
          <w:lang w:val="lv-LV"/>
        </w:rPr>
        <w:t>pants</w:t>
      </w:r>
      <w:r>
        <w:rPr>
          <w:bdr w:val="none" w:sz="0" w:space="0" w:color="auto" w:frame="1"/>
          <w:lang w:val="lv-LV"/>
        </w:rPr>
        <w:t>).</w:t>
      </w:r>
    </w:p>
    <w:p w14:paraId="270C92DB" w14:textId="77777777" w:rsidR="0048237C" w:rsidRDefault="00EC26AA" w:rsidP="00B04241">
      <w:pPr>
        <w:pStyle w:val="NoSpacing"/>
        <w:spacing w:line="276" w:lineRule="auto"/>
        <w:ind w:firstLine="720"/>
        <w:jc w:val="both"/>
        <w:rPr>
          <w:bdr w:val="none" w:sz="0" w:space="0" w:color="auto" w:frame="1"/>
          <w:lang w:val="lv-LV"/>
        </w:rPr>
      </w:pPr>
      <w:r>
        <w:rPr>
          <w:bdr w:val="none" w:sz="0" w:space="0" w:color="auto" w:frame="1"/>
          <w:lang w:val="lv-LV"/>
        </w:rPr>
        <w:t xml:space="preserve">Sprieduma izpilde notiek bez atzīšanas, bet </w:t>
      </w:r>
      <w:r w:rsidR="005C70D4">
        <w:rPr>
          <w:bdr w:val="none" w:sz="0" w:space="0" w:color="auto" w:frame="1"/>
          <w:lang w:val="lv-LV"/>
        </w:rPr>
        <w:t xml:space="preserve">iespējama </w:t>
      </w:r>
      <w:r w:rsidR="00EA4A48">
        <w:rPr>
          <w:bdr w:val="none" w:sz="0" w:space="0" w:color="auto" w:frame="1"/>
          <w:lang w:val="lv-LV"/>
        </w:rPr>
        <w:t xml:space="preserve">lūguma atteikt </w:t>
      </w:r>
      <w:r>
        <w:rPr>
          <w:bdr w:val="none" w:sz="0" w:space="0" w:color="auto" w:frame="1"/>
          <w:lang w:val="lv-LV"/>
        </w:rPr>
        <w:t>izpild</w:t>
      </w:r>
      <w:r w:rsidR="00EA4A48">
        <w:rPr>
          <w:bdr w:val="none" w:sz="0" w:space="0" w:color="auto" w:frame="1"/>
          <w:lang w:val="lv-LV"/>
        </w:rPr>
        <w:t xml:space="preserve">i </w:t>
      </w:r>
      <w:r w:rsidR="001F7791">
        <w:rPr>
          <w:bdr w:val="none" w:sz="0" w:space="0" w:color="auto" w:frame="1"/>
          <w:lang w:val="lv-LV"/>
        </w:rPr>
        <w:t>izvērtēšana</w:t>
      </w:r>
      <w:r w:rsidR="00545C10">
        <w:rPr>
          <w:bdr w:val="none" w:sz="0" w:space="0" w:color="auto" w:frame="1"/>
          <w:lang w:val="lv-LV"/>
        </w:rPr>
        <w:t xml:space="preserve">. </w:t>
      </w:r>
      <w:r w:rsidR="00FA347D">
        <w:rPr>
          <w:bdr w:val="none" w:sz="0" w:space="0" w:color="auto" w:frame="1"/>
          <w:lang w:val="lv-LV"/>
        </w:rPr>
        <w:t>Res</w:t>
      </w:r>
      <w:r w:rsidR="001F7791">
        <w:rPr>
          <w:bdr w:val="none" w:sz="0" w:space="0" w:color="auto" w:frame="1"/>
          <w:lang w:val="lv-LV"/>
        </w:rPr>
        <w:t xml:space="preserve">pektīvi, pēc </w:t>
      </w:r>
      <w:r w:rsidR="005C70D4">
        <w:rPr>
          <w:bdr w:val="none" w:sz="0" w:space="0" w:color="auto" w:frame="1"/>
          <w:lang w:val="lv-LV"/>
        </w:rPr>
        <w:t xml:space="preserve">personas, pret kuru lūgta izpilde, </w:t>
      </w:r>
      <w:r w:rsidR="001F7791">
        <w:rPr>
          <w:bdr w:val="none" w:sz="0" w:space="0" w:color="auto" w:frame="1"/>
          <w:lang w:val="lv-LV"/>
        </w:rPr>
        <w:t>pieteikuma</w:t>
      </w:r>
      <w:r w:rsidR="005C70D4">
        <w:rPr>
          <w:bdr w:val="none" w:sz="0" w:space="0" w:color="auto" w:frame="1"/>
          <w:lang w:val="lv-LV"/>
        </w:rPr>
        <w:t xml:space="preserve"> </w:t>
      </w:r>
      <w:r w:rsidR="001F7791">
        <w:rPr>
          <w:bdr w:val="none" w:sz="0" w:space="0" w:color="auto" w:frame="1"/>
          <w:lang w:val="lv-LV"/>
        </w:rPr>
        <w:t xml:space="preserve">sprieduma izpildi atsaka, ja ir konstatēts, ka pastāv viens no </w:t>
      </w:r>
      <w:r w:rsidR="005C70D4">
        <w:rPr>
          <w:bdr w:val="none" w:sz="0" w:space="0" w:color="auto" w:frame="1"/>
          <w:lang w:val="lv-LV"/>
        </w:rPr>
        <w:t>R</w:t>
      </w:r>
      <w:r w:rsidR="001F7791">
        <w:rPr>
          <w:bdr w:val="none" w:sz="0" w:space="0" w:color="auto" w:frame="1"/>
          <w:lang w:val="lv-LV"/>
        </w:rPr>
        <w:t xml:space="preserve">egulas </w:t>
      </w:r>
      <w:r w:rsidR="005C70D4">
        <w:rPr>
          <w:bdr w:val="none" w:sz="0" w:space="0" w:color="auto" w:frame="1"/>
          <w:lang w:val="lv-LV"/>
        </w:rPr>
        <w:t xml:space="preserve">Nr. 1215/2012 </w:t>
      </w:r>
      <w:r w:rsidR="001F7791">
        <w:rPr>
          <w:bdr w:val="none" w:sz="0" w:space="0" w:color="auto" w:frame="1"/>
          <w:lang w:val="lv-LV"/>
        </w:rPr>
        <w:t>45.</w:t>
      </w:r>
      <w:r w:rsidR="00EA4A48">
        <w:rPr>
          <w:bdr w:val="none" w:sz="0" w:space="0" w:color="auto" w:frame="1"/>
          <w:lang w:val="lv-LV"/>
        </w:rPr>
        <w:t> </w:t>
      </w:r>
      <w:r w:rsidR="001F7791">
        <w:rPr>
          <w:bdr w:val="none" w:sz="0" w:space="0" w:color="auto" w:frame="1"/>
          <w:lang w:val="lv-LV"/>
        </w:rPr>
        <w:t xml:space="preserve">pantā minētajiem </w:t>
      </w:r>
      <w:r w:rsidR="00EA4A48">
        <w:rPr>
          <w:bdr w:val="none" w:sz="0" w:space="0" w:color="auto" w:frame="1"/>
          <w:lang w:val="lv-LV"/>
        </w:rPr>
        <w:t>apstākļiem</w:t>
      </w:r>
      <w:r w:rsidR="00937E25">
        <w:rPr>
          <w:bdr w:val="none" w:sz="0" w:space="0" w:color="auto" w:frame="1"/>
          <w:lang w:val="lv-LV"/>
        </w:rPr>
        <w:t xml:space="preserve"> </w:t>
      </w:r>
      <w:r w:rsidR="00815919">
        <w:rPr>
          <w:bdr w:val="none" w:sz="0" w:space="0" w:color="auto" w:frame="1"/>
          <w:lang w:val="lv-LV"/>
        </w:rPr>
        <w:t>(</w:t>
      </w:r>
      <w:r w:rsidR="00815919" w:rsidRPr="00E84866">
        <w:rPr>
          <w:i/>
          <w:iCs/>
          <w:bdr w:val="none" w:sz="0" w:space="0" w:color="auto" w:frame="1"/>
          <w:lang w:val="lv-LV"/>
        </w:rPr>
        <w:t>46. pants</w:t>
      </w:r>
      <w:r w:rsidR="00815919">
        <w:rPr>
          <w:bdr w:val="none" w:sz="0" w:space="0" w:color="auto" w:frame="1"/>
          <w:lang w:val="lv-LV"/>
        </w:rPr>
        <w:t>)</w:t>
      </w:r>
      <w:r w:rsidR="001F7791">
        <w:rPr>
          <w:bdr w:val="none" w:sz="0" w:space="0" w:color="auto" w:frame="1"/>
          <w:lang w:val="lv-LV"/>
        </w:rPr>
        <w:t>.</w:t>
      </w:r>
    </w:p>
    <w:p w14:paraId="32A35F58" w14:textId="105EFC95" w:rsidR="005752E2" w:rsidRPr="00B04241" w:rsidRDefault="005752E2" w:rsidP="0048237C">
      <w:pPr>
        <w:pStyle w:val="NoSpacing"/>
        <w:spacing w:line="276" w:lineRule="auto"/>
        <w:jc w:val="both"/>
        <w:rPr>
          <w:lang w:val="lv-LV"/>
        </w:rPr>
      </w:pPr>
      <w:r w:rsidRPr="00B04241">
        <w:rPr>
          <w:lang w:val="lv-LV"/>
        </w:rPr>
        <w:t xml:space="preserve">Jebkura puse var pārsūdzēt </w:t>
      </w:r>
      <w:r w:rsidR="00221110">
        <w:rPr>
          <w:lang w:val="lv-LV"/>
        </w:rPr>
        <w:t xml:space="preserve">tiesas </w:t>
      </w:r>
      <w:r w:rsidRPr="00B04241">
        <w:rPr>
          <w:lang w:val="lv-LV"/>
        </w:rPr>
        <w:t>l</w:t>
      </w:r>
      <w:r w:rsidR="00B04241">
        <w:rPr>
          <w:lang w:val="lv-LV"/>
        </w:rPr>
        <w:t>ēmumu par izpildes atteikumu.</w:t>
      </w:r>
      <w:r w:rsidRPr="00B04241">
        <w:rPr>
          <w:lang w:val="lv-LV"/>
        </w:rPr>
        <w:t xml:space="preserve"> Pārsūdz</w:t>
      </w:r>
      <w:r w:rsidR="00B04241" w:rsidRPr="00B04241">
        <w:rPr>
          <w:lang w:val="lv-LV"/>
        </w:rPr>
        <w:t xml:space="preserve">ība </w:t>
      </w:r>
      <w:r w:rsidRPr="00B04241">
        <w:rPr>
          <w:lang w:val="lv-LV"/>
        </w:rPr>
        <w:t xml:space="preserve">jāiesniedz tiesā, ko attiecīgā dalībvalsts saskaņā ar </w:t>
      </w:r>
      <w:r w:rsidR="00815919">
        <w:rPr>
          <w:bdr w:val="none" w:sz="0" w:space="0" w:color="auto" w:frame="1"/>
          <w:lang w:val="lv-LV"/>
        </w:rPr>
        <w:t>Regula Nr. </w:t>
      </w:r>
      <w:r w:rsidR="00815919" w:rsidRPr="0048237C">
        <w:rPr>
          <w:lang w:val="lv-LV"/>
        </w:rPr>
        <w:t xml:space="preserve">1215/2012 </w:t>
      </w:r>
      <w:r w:rsidRPr="00B04241">
        <w:rPr>
          <w:lang w:val="lv-LV"/>
        </w:rPr>
        <w:t>75.</w:t>
      </w:r>
      <w:r w:rsidR="00EA4A48">
        <w:rPr>
          <w:lang w:val="lv-LV"/>
        </w:rPr>
        <w:t> </w:t>
      </w:r>
      <w:r w:rsidRPr="00B04241">
        <w:rPr>
          <w:lang w:val="lv-LV"/>
        </w:rPr>
        <w:t xml:space="preserve">panta </w:t>
      </w:r>
      <w:r w:rsidR="00EA4A48">
        <w:rPr>
          <w:lang w:val="lv-LV"/>
        </w:rPr>
        <w:t>„</w:t>
      </w:r>
      <w:r w:rsidRPr="00B04241">
        <w:rPr>
          <w:lang w:val="lv-LV"/>
        </w:rPr>
        <w:t>b</w:t>
      </w:r>
      <w:r w:rsidR="00EA4A48">
        <w:rPr>
          <w:lang w:val="lv-LV"/>
        </w:rPr>
        <w:t>” </w:t>
      </w:r>
      <w:r w:rsidRPr="00B04241">
        <w:rPr>
          <w:lang w:val="lv-LV"/>
        </w:rPr>
        <w:t xml:space="preserve">punktu ir paziņojusi </w:t>
      </w:r>
      <w:r w:rsidR="00815919">
        <w:rPr>
          <w:lang w:val="lv-LV"/>
        </w:rPr>
        <w:t xml:space="preserve">Eiropas </w:t>
      </w:r>
      <w:r w:rsidRPr="00B04241">
        <w:rPr>
          <w:lang w:val="lv-LV"/>
        </w:rPr>
        <w:t>Komisijai (</w:t>
      </w:r>
      <w:r w:rsidRPr="00937E25">
        <w:rPr>
          <w:i/>
          <w:iCs/>
          <w:lang w:val="lv-LV"/>
        </w:rPr>
        <w:t>49.</w:t>
      </w:r>
      <w:r w:rsidR="00EA4A48">
        <w:rPr>
          <w:i/>
          <w:iCs/>
          <w:lang w:val="lv-LV"/>
        </w:rPr>
        <w:t> </w:t>
      </w:r>
      <w:r w:rsidRPr="00937E25">
        <w:rPr>
          <w:i/>
          <w:iCs/>
          <w:lang w:val="lv-LV"/>
        </w:rPr>
        <w:t>pants</w:t>
      </w:r>
      <w:r w:rsidRPr="00B04241">
        <w:rPr>
          <w:lang w:val="lv-LV"/>
        </w:rPr>
        <w:t>)</w:t>
      </w:r>
      <w:r w:rsidR="005C70D4">
        <w:rPr>
          <w:lang w:val="lv-LV"/>
        </w:rPr>
        <w:t>.</w:t>
      </w:r>
    </w:p>
    <w:p w14:paraId="54F05EE4" w14:textId="4A06EDDD" w:rsidR="00B04241" w:rsidRPr="00B04241" w:rsidRDefault="00B04241" w:rsidP="00B04241">
      <w:pPr>
        <w:pStyle w:val="NoSpacing"/>
        <w:spacing w:line="276" w:lineRule="auto"/>
        <w:ind w:firstLine="720"/>
        <w:jc w:val="both"/>
        <w:rPr>
          <w:bdr w:val="none" w:sz="0" w:space="0" w:color="auto" w:frame="1"/>
          <w:lang w:val="lv-LV"/>
        </w:rPr>
      </w:pPr>
      <w:r w:rsidRPr="00F16EC5">
        <w:rPr>
          <w:bdr w:val="none" w:sz="0" w:space="0" w:color="auto" w:frame="1"/>
          <w:lang w:val="lv-LV"/>
        </w:rPr>
        <w:t xml:space="preserve">Izpildes atteikuma procedūru, ciktāl uz to neattiecas </w:t>
      </w:r>
      <w:r w:rsidR="00815919">
        <w:rPr>
          <w:bdr w:val="none" w:sz="0" w:space="0" w:color="auto" w:frame="1"/>
          <w:lang w:val="lv-LV"/>
        </w:rPr>
        <w:t>Regula Nr. </w:t>
      </w:r>
      <w:r w:rsidR="00815919" w:rsidRPr="0048237C">
        <w:rPr>
          <w:lang w:val="lv-LV"/>
        </w:rPr>
        <w:t>1215/2012</w:t>
      </w:r>
      <w:r w:rsidRPr="00F16EC5">
        <w:rPr>
          <w:bdr w:val="none" w:sz="0" w:space="0" w:color="auto" w:frame="1"/>
          <w:lang w:val="lv-LV"/>
        </w:rPr>
        <w:t>, reglamentē uzrunātās dalībvalsts tiesību akti (</w:t>
      </w:r>
      <w:r w:rsidRPr="00937E25">
        <w:rPr>
          <w:i/>
          <w:iCs/>
          <w:bdr w:val="none" w:sz="0" w:space="0" w:color="auto" w:frame="1"/>
          <w:lang w:val="lv-LV"/>
        </w:rPr>
        <w:t>47.</w:t>
      </w:r>
      <w:r w:rsidR="00EA4A48" w:rsidRPr="00937E25">
        <w:rPr>
          <w:i/>
          <w:iCs/>
          <w:bdr w:val="none" w:sz="0" w:space="0" w:color="auto" w:frame="1"/>
          <w:lang w:val="lv-LV"/>
        </w:rPr>
        <w:t> </w:t>
      </w:r>
      <w:r w:rsidRPr="00937E25">
        <w:rPr>
          <w:i/>
          <w:iCs/>
          <w:bdr w:val="none" w:sz="0" w:space="0" w:color="auto" w:frame="1"/>
          <w:lang w:val="lv-LV"/>
        </w:rPr>
        <w:t>panta 2. punkts</w:t>
      </w:r>
      <w:r>
        <w:rPr>
          <w:bdr w:val="none" w:sz="0" w:space="0" w:color="auto" w:frame="1"/>
          <w:lang w:val="lv-LV"/>
        </w:rPr>
        <w:t xml:space="preserve">). </w:t>
      </w:r>
    </w:p>
    <w:p w14:paraId="3D1ED8B4" w14:textId="6BD372C7" w:rsidR="00FA347D" w:rsidRPr="003A753E" w:rsidRDefault="005752E2" w:rsidP="003A753E">
      <w:pPr>
        <w:pStyle w:val="NoSpacing"/>
        <w:spacing w:line="276" w:lineRule="auto"/>
        <w:ind w:firstLine="720"/>
        <w:jc w:val="both"/>
        <w:rPr>
          <w:szCs w:val="24"/>
          <w:lang w:val="lv-LV"/>
        </w:rPr>
      </w:pPr>
      <w:r>
        <w:rPr>
          <w:szCs w:val="24"/>
          <w:lang w:val="lv-LV"/>
        </w:rPr>
        <w:t>D</w:t>
      </w:r>
      <w:r w:rsidR="00FA347D">
        <w:rPr>
          <w:szCs w:val="24"/>
          <w:lang w:val="lv-LV"/>
        </w:rPr>
        <w:t>alībvalstis Komisijai paziņo a) </w:t>
      </w:r>
      <w:r w:rsidR="00FA347D" w:rsidRPr="00F16EC5">
        <w:rPr>
          <w:szCs w:val="24"/>
          <w:lang w:val="lv-LV"/>
        </w:rPr>
        <w:t>t</w:t>
      </w:r>
      <w:r w:rsidR="00FA347D">
        <w:rPr>
          <w:lang w:val="lv-LV"/>
        </w:rPr>
        <w:t>iesas, kam</w:t>
      </w:r>
      <w:r w:rsidR="00FA347D" w:rsidRPr="00F16EC5">
        <w:rPr>
          <w:lang w:val="lv-LV"/>
        </w:rPr>
        <w:t xml:space="preserve"> jāiesniedz sprieduma izpildes atteikuma</w:t>
      </w:r>
      <w:r w:rsidR="00FA347D" w:rsidRPr="0048237C">
        <w:rPr>
          <w:lang w:val="lv-LV"/>
        </w:rPr>
        <w:t xml:space="preserve"> </w:t>
      </w:r>
      <w:r w:rsidR="00FA347D" w:rsidRPr="003A753E">
        <w:rPr>
          <w:lang w:val="lv-LV"/>
        </w:rPr>
        <w:t>pieteikums; b)</w:t>
      </w:r>
      <w:r w:rsidR="00EA4A48">
        <w:rPr>
          <w:lang w:val="lv-LV"/>
        </w:rPr>
        <w:t> </w:t>
      </w:r>
      <w:r w:rsidR="00FA347D" w:rsidRPr="003A753E">
        <w:rPr>
          <w:lang w:val="lv-LV"/>
        </w:rPr>
        <w:t xml:space="preserve">tiesas, kurās jāiesniedz pārsūdzību par spriedumu izpildes atteikuma lēmuma </w:t>
      </w:r>
      <w:r w:rsidR="00FA347D" w:rsidRPr="003A753E">
        <w:rPr>
          <w:szCs w:val="24"/>
          <w:lang w:val="lv-LV"/>
        </w:rPr>
        <w:t>piemērošanu; c)</w:t>
      </w:r>
      <w:r w:rsidR="00EA4A48">
        <w:rPr>
          <w:szCs w:val="24"/>
          <w:lang w:val="lv-LV"/>
        </w:rPr>
        <w:t> </w:t>
      </w:r>
      <w:r w:rsidR="00FA347D" w:rsidRPr="003A753E">
        <w:rPr>
          <w:szCs w:val="24"/>
          <w:lang w:val="lv-LV"/>
        </w:rPr>
        <w:t>tiesas, kurās iesniedz jebkādu tālāku pārsūdzību [..]. Komisija dara informāciju publiski pieejamu, jo īpaši –</w:t>
      </w:r>
      <w:r w:rsidR="00EA4A48">
        <w:rPr>
          <w:szCs w:val="24"/>
          <w:lang w:val="lv-LV"/>
        </w:rPr>
        <w:t xml:space="preserve"> </w:t>
      </w:r>
      <w:r w:rsidR="00FA347D" w:rsidRPr="003A753E">
        <w:rPr>
          <w:szCs w:val="24"/>
          <w:lang w:val="lv-LV"/>
        </w:rPr>
        <w:t>izmantojot Eiropas T</w:t>
      </w:r>
      <w:r w:rsidRPr="003A753E">
        <w:rPr>
          <w:szCs w:val="24"/>
          <w:lang w:val="lv-LV"/>
        </w:rPr>
        <w:t>iesiskā</w:t>
      </w:r>
      <w:r w:rsidR="00FA347D" w:rsidRPr="003A753E">
        <w:rPr>
          <w:szCs w:val="24"/>
          <w:lang w:val="lv-LV"/>
        </w:rPr>
        <w:t>s sadarbības t</w:t>
      </w:r>
      <w:r w:rsidRPr="003A753E">
        <w:rPr>
          <w:szCs w:val="24"/>
          <w:lang w:val="lv-LV"/>
        </w:rPr>
        <w:t>īklu (</w:t>
      </w:r>
      <w:r w:rsidRPr="00937E25">
        <w:rPr>
          <w:i/>
          <w:iCs/>
          <w:szCs w:val="24"/>
          <w:lang w:val="lv-LV"/>
        </w:rPr>
        <w:t>75.</w:t>
      </w:r>
      <w:r w:rsidR="00EA4A48">
        <w:rPr>
          <w:i/>
          <w:iCs/>
          <w:szCs w:val="24"/>
          <w:lang w:val="lv-LV"/>
        </w:rPr>
        <w:t> </w:t>
      </w:r>
      <w:r w:rsidRPr="00937E25">
        <w:rPr>
          <w:i/>
          <w:iCs/>
          <w:szCs w:val="24"/>
          <w:lang w:val="lv-LV"/>
        </w:rPr>
        <w:t>pants</w:t>
      </w:r>
      <w:r w:rsidRPr="003A753E">
        <w:rPr>
          <w:szCs w:val="24"/>
          <w:lang w:val="lv-LV"/>
        </w:rPr>
        <w:t>)</w:t>
      </w:r>
      <w:r w:rsidR="00B04241" w:rsidRPr="003A753E">
        <w:rPr>
          <w:szCs w:val="24"/>
          <w:lang w:val="lv-LV"/>
        </w:rPr>
        <w:t>.</w:t>
      </w:r>
    </w:p>
    <w:p w14:paraId="596004EB" w14:textId="1BF19530" w:rsidR="003A753E" w:rsidRPr="003A753E" w:rsidRDefault="003A753E" w:rsidP="003A753E">
      <w:pPr>
        <w:spacing w:after="0" w:line="276" w:lineRule="auto"/>
        <w:ind w:firstLine="720"/>
        <w:jc w:val="both"/>
        <w:rPr>
          <w:szCs w:val="24"/>
          <w:lang w:val="lv-LV"/>
        </w:rPr>
      </w:pPr>
      <w:r w:rsidRPr="003A753E">
        <w:rPr>
          <w:szCs w:val="24"/>
          <w:lang w:val="lv-LV"/>
        </w:rPr>
        <w:t>Tiesiskās sadarbības tīkla e-justice portālā par Regulas 1215/2012 procedūrām norādīts:</w:t>
      </w:r>
    </w:p>
    <w:p w14:paraId="2D5C0CC5" w14:textId="52F1D6FC" w:rsidR="003A753E" w:rsidRPr="003A753E" w:rsidRDefault="003A753E" w:rsidP="003A753E">
      <w:pPr>
        <w:spacing w:after="0" w:line="276" w:lineRule="auto"/>
        <w:ind w:firstLine="720"/>
        <w:jc w:val="both"/>
        <w:rPr>
          <w:szCs w:val="24"/>
          <w:lang w:val="lv-LV"/>
        </w:rPr>
      </w:pPr>
      <w:r>
        <w:rPr>
          <w:szCs w:val="24"/>
          <w:lang w:val="lv-LV"/>
        </w:rPr>
        <w:t xml:space="preserve">- </w:t>
      </w:r>
      <w:r w:rsidRPr="003A753E">
        <w:rPr>
          <w:szCs w:val="24"/>
          <w:lang w:val="lv-LV"/>
        </w:rPr>
        <w:t>75.</w:t>
      </w:r>
      <w:r w:rsidR="00EA4A48">
        <w:rPr>
          <w:szCs w:val="24"/>
          <w:lang w:val="lv-LV"/>
        </w:rPr>
        <w:t> </w:t>
      </w:r>
      <w:r w:rsidRPr="003A753E">
        <w:rPr>
          <w:szCs w:val="24"/>
          <w:lang w:val="lv-LV"/>
        </w:rPr>
        <w:t xml:space="preserve">panta </w:t>
      </w:r>
      <w:r w:rsidR="00EA4A48">
        <w:rPr>
          <w:szCs w:val="24"/>
          <w:lang w:val="lv-LV"/>
        </w:rPr>
        <w:t>„</w:t>
      </w:r>
      <w:r w:rsidRPr="003A753E">
        <w:rPr>
          <w:szCs w:val="24"/>
          <w:lang w:val="lv-LV"/>
        </w:rPr>
        <w:t>a</w:t>
      </w:r>
      <w:r w:rsidR="00EA4A48">
        <w:rPr>
          <w:szCs w:val="24"/>
          <w:lang w:val="lv-LV"/>
        </w:rPr>
        <w:t>” </w:t>
      </w:r>
      <w:r w:rsidRPr="003A753E">
        <w:rPr>
          <w:szCs w:val="24"/>
          <w:lang w:val="lv-LV"/>
        </w:rPr>
        <w:t>punkts (tiesu kam jāiesniedz sprieduma izpildes atteikuma pieteikums saskaņā ar 36.</w:t>
      </w:r>
      <w:r w:rsidR="00EA4A48">
        <w:rPr>
          <w:szCs w:val="24"/>
          <w:lang w:val="lv-LV"/>
        </w:rPr>
        <w:t> </w:t>
      </w:r>
      <w:r w:rsidRPr="003A753E">
        <w:rPr>
          <w:szCs w:val="24"/>
          <w:lang w:val="lv-LV"/>
        </w:rPr>
        <w:t>panta 2.</w:t>
      </w:r>
      <w:r w:rsidR="00EA4A48">
        <w:rPr>
          <w:szCs w:val="24"/>
          <w:lang w:val="lv-LV"/>
        </w:rPr>
        <w:t> </w:t>
      </w:r>
      <w:r w:rsidRPr="003A753E">
        <w:rPr>
          <w:szCs w:val="24"/>
          <w:lang w:val="lv-LV"/>
        </w:rPr>
        <w:t>punktu, 45.</w:t>
      </w:r>
      <w:r w:rsidR="00EA4A48">
        <w:rPr>
          <w:szCs w:val="24"/>
          <w:lang w:val="lv-LV"/>
        </w:rPr>
        <w:t> </w:t>
      </w:r>
      <w:r w:rsidRPr="003A753E">
        <w:rPr>
          <w:szCs w:val="24"/>
          <w:lang w:val="lv-LV"/>
        </w:rPr>
        <w:t>panta 4.</w:t>
      </w:r>
      <w:r w:rsidR="00EA4A48">
        <w:rPr>
          <w:szCs w:val="24"/>
          <w:lang w:val="lv-LV"/>
        </w:rPr>
        <w:t> </w:t>
      </w:r>
      <w:r w:rsidRPr="003A753E">
        <w:rPr>
          <w:szCs w:val="24"/>
          <w:lang w:val="lv-LV"/>
        </w:rPr>
        <w:t>punktu un 47.</w:t>
      </w:r>
      <w:r w:rsidR="00EA4A48">
        <w:rPr>
          <w:szCs w:val="24"/>
          <w:lang w:val="lv-LV"/>
        </w:rPr>
        <w:t> </w:t>
      </w:r>
      <w:r w:rsidRPr="003A753E">
        <w:rPr>
          <w:szCs w:val="24"/>
          <w:lang w:val="lv-LV"/>
        </w:rPr>
        <w:t>panta 1.</w:t>
      </w:r>
      <w:r w:rsidR="00EA4A48">
        <w:rPr>
          <w:szCs w:val="24"/>
          <w:lang w:val="lv-LV"/>
        </w:rPr>
        <w:t> </w:t>
      </w:r>
      <w:r w:rsidRPr="003A753E">
        <w:rPr>
          <w:szCs w:val="24"/>
          <w:lang w:val="lv-LV"/>
        </w:rPr>
        <w:t>punktu, nosaukumi un kontaktinformācija)</w:t>
      </w:r>
      <w:r w:rsidR="009252B3">
        <w:rPr>
          <w:szCs w:val="24"/>
          <w:lang w:val="lv-LV"/>
        </w:rPr>
        <w:t xml:space="preserve"> </w:t>
      </w:r>
      <w:r w:rsidRPr="003A753E">
        <w:rPr>
          <w:szCs w:val="24"/>
          <w:lang w:val="lv-LV"/>
        </w:rPr>
        <w:t>Latvijā: rajona (pilsētas) tiesa, kuras jurisdik</w:t>
      </w:r>
      <w:r>
        <w:rPr>
          <w:szCs w:val="24"/>
          <w:lang w:val="lv-LV"/>
        </w:rPr>
        <w:t>cijā izpildāmi minētie nolēmumi.</w:t>
      </w:r>
    </w:p>
    <w:p w14:paraId="7DCD77E4" w14:textId="58045019" w:rsidR="003A753E" w:rsidRPr="003A753E" w:rsidRDefault="003A753E" w:rsidP="003A753E">
      <w:pPr>
        <w:pStyle w:val="NoSpacing"/>
        <w:spacing w:line="276" w:lineRule="auto"/>
        <w:ind w:firstLine="720"/>
        <w:jc w:val="both"/>
        <w:rPr>
          <w:szCs w:val="24"/>
          <w:lang w:val="lv-LV"/>
        </w:rPr>
      </w:pPr>
      <w:r>
        <w:rPr>
          <w:szCs w:val="24"/>
          <w:lang w:val="lv-LV"/>
        </w:rPr>
        <w:t xml:space="preserve">- </w:t>
      </w:r>
      <w:r w:rsidRPr="003A753E">
        <w:rPr>
          <w:szCs w:val="24"/>
          <w:lang w:val="lv-LV"/>
        </w:rPr>
        <w:t xml:space="preserve">75. panta </w:t>
      </w:r>
      <w:r w:rsidR="009252B3">
        <w:rPr>
          <w:szCs w:val="24"/>
          <w:lang w:val="lv-LV"/>
        </w:rPr>
        <w:t>„</w:t>
      </w:r>
      <w:r w:rsidRPr="003A753E">
        <w:rPr>
          <w:szCs w:val="24"/>
          <w:lang w:val="lv-LV"/>
        </w:rPr>
        <w:t>b</w:t>
      </w:r>
      <w:r w:rsidR="009252B3">
        <w:rPr>
          <w:szCs w:val="24"/>
          <w:lang w:val="lv-LV"/>
        </w:rPr>
        <w:t>”</w:t>
      </w:r>
      <w:r w:rsidRPr="003A753E">
        <w:rPr>
          <w:szCs w:val="24"/>
          <w:lang w:val="lv-LV"/>
        </w:rPr>
        <w:t> punkts (tiesu, kurās iesniedz pārsūdzību par sprieduma izpildes atteikuma lēmuma piemērošanu saskaņā ar 49. panta 2. punktu, nosaukumi un kontaktinformācija)</w:t>
      </w:r>
      <w:r>
        <w:rPr>
          <w:szCs w:val="24"/>
          <w:lang w:val="lv-LV"/>
        </w:rPr>
        <w:t xml:space="preserve"> Latvijā:</w:t>
      </w:r>
      <w:r w:rsidR="009252B3">
        <w:rPr>
          <w:szCs w:val="24"/>
          <w:lang w:val="lv-LV"/>
        </w:rPr>
        <w:t xml:space="preserve"> </w:t>
      </w:r>
      <w:r w:rsidRPr="003A753E">
        <w:rPr>
          <w:szCs w:val="24"/>
          <w:lang w:val="lv-LV"/>
        </w:rPr>
        <w:t>apgabaltiesa ar rajona (pilsētas) tiesas starpniecību, kas pieņēmusi lēmumu.</w:t>
      </w:r>
    </w:p>
    <w:p w14:paraId="77023D7A" w14:textId="661F737B" w:rsidR="003A753E" w:rsidRPr="005F1550" w:rsidRDefault="003A753E" w:rsidP="003A753E">
      <w:pPr>
        <w:pStyle w:val="NoSpacing"/>
        <w:spacing w:line="276" w:lineRule="auto"/>
        <w:ind w:firstLine="720"/>
        <w:jc w:val="both"/>
        <w:rPr>
          <w:szCs w:val="24"/>
          <w:lang w:val="lv-LV"/>
        </w:rPr>
      </w:pPr>
      <w:r>
        <w:rPr>
          <w:szCs w:val="24"/>
          <w:lang w:val="lv-LV"/>
        </w:rPr>
        <w:t xml:space="preserve">- </w:t>
      </w:r>
      <w:r w:rsidRPr="003A753E">
        <w:rPr>
          <w:szCs w:val="24"/>
          <w:lang w:val="lv-LV"/>
        </w:rPr>
        <w:t xml:space="preserve">75. panta </w:t>
      </w:r>
      <w:r w:rsidR="009252B3">
        <w:rPr>
          <w:szCs w:val="24"/>
          <w:lang w:val="lv-LV"/>
        </w:rPr>
        <w:t>„</w:t>
      </w:r>
      <w:r w:rsidRPr="003A753E">
        <w:rPr>
          <w:szCs w:val="24"/>
          <w:lang w:val="lv-LV"/>
        </w:rPr>
        <w:t>c</w:t>
      </w:r>
      <w:r w:rsidR="009252B3">
        <w:rPr>
          <w:szCs w:val="24"/>
          <w:lang w:val="lv-LV"/>
        </w:rPr>
        <w:t>”</w:t>
      </w:r>
      <w:r w:rsidRPr="003A753E">
        <w:rPr>
          <w:szCs w:val="24"/>
          <w:lang w:val="lv-LV"/>
        </w:rPr>
        <w:t> punkts (tiesu, kurās iesniedz jebkādu tālāku pārsūdzību saskaņā ar 50. pantu, nosaukumi un kontaktinformācija)</w:t>
      </w:r>
      <w:r w:rsidR="009252B3">
        <w:rPr>
          <w:szCs w:val="24"/>
          <w:lang w:val="lv-LV"/>
        </w:rPr>
        <w:t xml:space="preserve"> </w:t>
      </w:r>
      <w:r w:rsidRPr="003A753E">
        <w:rPr>
          <w:szCs w:val="24"/>
          <w:lang w:val="lv-LV"/>
        </w:rPr>
        <w:t>Latvij</w:t>
      </w:r>
      <w:r>
        <w:rPr>
          <w:szCs w:val="24"/>
          <w:lang w:val="lv-LV"/>
        </w:rPr>
        <w:t xml:space="preserve">ā </w:t>
      </w:r>
      <w:r w:rsidR="009252B3">
        <w:rPr>
          <w:szCs w:val="24"/>
          <w:lang w:val="lv-LV"/>
        </w:rPr>
        <w:t>–</w:t>
      </w:r>
      <w:r>
        <w:rPr>
          <w:szCs w:val="24"/>
          <w:lang w:val="lv-LV"/>
        </w:rPr>
        <w:t xml:space="preserve"> n</w:t>
      </w:r>
      <w:r w:rsidRPr="003A753E">
        <w:rPr>
          <w:szCs w:val="24"/>
          <w:lang w:val="lv-LV"/>
        </w:rPr>
        <w:t xml:space="preserve">av attiecināms (sk. </w:t>
      </w:r>
      <w:hyperlink r:id="rId8" w:history="1">
        <w:r w:rsidRPr="003A753E">
          <w:rPr>
            <w:rStyle w:val="Hyperlink"/>
            <w:szCs w:val="24"/>
            <w:lang w:val="lv-LV"/>
          </w:rPr>
          <w:t>https://e-justice.europa.eu/content_brussels_i_regulation_recast-350-lv-lv.do?member=1</w:t>
        </w:r>
      </w:hyperlink>
      <w:r w:rsidRPr="003A753E">
        <w:rPr>
          <w:rStyle w:val="Hyperlink"/>
          <w:szCs w:val="24"/>
          <w:lang w:val="lv-LV"/>
        </w:rPr>
        <w:t>).</w:t>
      </w:r>
    </w:p>
    <w:p w14:paraId="225DEFF8" w14:textId="77777777" w:rsidR="00B04241" w:rsidRPr="00FA347D" w:rsidRDefault="00B04241" w:rsidP="003A753E">
      <w:pPr>
        <w:pStyle w:val="NoSpacing"/>
        <w:spacing w:line="276" w:lineRule="auto"/>
        <w:jc w:val="both"/>
        <w:rPr>
          <w:lang w:val="lv-LV"/>
        </w:rPr>
      </w:pPr>
    </w:p>
    <w:p w14:paraId="71D90DAC" w14:textId="3F80E29A" w:rsidR="00815919" w:rsidRDefault="00155A57" w:rsidP="00E6797E">
      <w:pPr>
        <w:pStyle w:val="NoSpacing"/>
        <w:spacing w:line="276" w:lineRule="auto"/>
        <w:ind w:firstLine="720"/>
        <w:jc w:val="both"/>
        <w:rPr>
          <w:lang w:val="lv-LV"/>
        </w:rPr>
      </w:pPr>
      <w:r>
        <w:rPr>
          <w:lang w:val="lv-LV"/>
        </w:rPr>
        <w:t>[7]</w:t>
      </w:r>
      <w:r w:rsidR="003A753E">
        <w:rPr>
          <w:lang w:val="lv-LV"/>
        </w:rPr>
        <w:t> </w:t>
      </w:r>
      <w:r w:rsidR="00E6797E">
        <w:rPr>
          <w:lang w:val="lv-LV"/>
        </w:rPr>
        <w:t>R</w:t>
      </w:r>
      <w:r w:rsidR="00986DD2">
        <w:rPr>
          <w:lang w:val="lv-LV"/>
        </w:rPr>
        <w:t>egula</w:t>
      </w:r>
      <w:r w:rsidR="009252B3">
        <w:rPr>
          <w:lang w:val="lv-LV"/>
        </w:rPr>
        <w:t>s</w:t>
      </w:r>
      <w:r w:rsidR="00EF0397">
        <w:rPr>
          <w:lang w:val="lv-LV"/>
        </w:rPr>
        <w:t xml:space="preserve"> </w:t>
      </w:r>
      <w:r w:rsidR="009252B3">
        <w:rPr>
          <w:lang w:val="lv-LV"/>
        </w:rPr>
        <w:t>Nr. </w:t>
      </w:r>
      <w:r w:rsidR="003A753E" w:rsidRPr="003A753E">
        <w:t>1215/2012</w:t>
      </w:r>
      <w:r w:rsidR="003A753E" w:rsidRPr="00377A9E">
        <w:rPr>
          <w:b/>
        </w:rPr>
        <w:t xml:space="preserve"> </w:t>
      </w:r>
      <w:r w:rsidR="009252B3">
        <w:rPr>
          <w:bCs/>
          <w:lang w:val="lv-LV"/>
        </w:rPr>
        <w:t xml:space="preserve">piemērošanu </w:t>
      </w:r>
      <w:r w:rsidR="00E6797E">
        <w:rPr>
          <w:lang w:val="lv-LV"/>
        </w:rPr>
        <w:t xml:space="preserve">Latvijā </w:t>
      </w:r>
      <w:r w:rsidR="009252B3">
        <w:rPr>
          <w:lang w:val="lv-LV"/>
        </w:rPr>
        <w:t xml:space="preserve">nodrošina </w:t>
      </w:r>
      <w:r w:rsidR="00E6797E">
        <w:rPr>
          <w:lang w:val="lv-LV"/>
        </w:rPr>
        <w:t>Civilprocesa likum</w:t>
      </w:r>
      <w:r w:rsidR="009252B3">
        <w:rPr>
          <w:lang w:val="lv-LV"/>
        </w:rPr>
        <w:t>a</w:t>
      </w:r>
      <w:r w:rsidR="00937E25">
        <w:rPr>
          <w:lang w:val="lv-LV"/>
        </w:rPr>
        <w:t xml:space="preserve"> </w:t>
      </w:r>
      <w:r w:rsidR="00EF6D08" w:rsidRPr="00EF6D08">
        <w:rPr>
          <w:lang w:val="lt-LT"/>
        </w:rPr>
        <w:t>normas.</w:t>
      </w:r>
      <w:r w:rsidR="00EF6D08">
        <w:rPr>
          <w:lang w:val="lv-LV"/>
        </w:rPr>
        <w:t xml:space="preserve"> </w:t>
      </w:r>
    </w:p>
    <w:p w14:paraId="45F7D3CD" w14:textId="50E831A7" w:rsidR="00215AEB" w:rsidRDefault="00815919" w:rsidP="00E6797E">
      <w:pPr>
        <w:pStyle w:val="NoSpacing"/>
        <w:spacing w:line="276" w:lineRule="auto"/>
        <w:ind w:firstLine="720"/>
        <w:jc w:val="both"/>
        <w:rPr>
          <w:lang w:val="lv-LV"/>
        </w:rPr>
      </w:pPr>
      <w:r>
        <w:rPr>
          <w:lang w:val="lv-LV"/>
        </w:rPr>
        <w:t xml:space="preserve">Civilprocesa likuma </w:t>
      </w:r>
      <w:r w:rsidR="00E6797E">
        <w:rPr>
          <w:lang w:val="lv-LV"/>
        </w:rPr>
        <w:t>77. nodaļā pēc</w:t>
      </w:r>
      <w:r w:rsidR="009252B3">
        <w:rPr>
          <w:lang w:val="lv-LV"/>
        </w:rPr>
        <w:t xml:space="preserve"> </w:t>
      </w:r>
      <w:r w:rsidR="003A753E">
        <w:rPr>
          <w:lang w:val="lv-LV"/>
        </w:rPr>
        <w:t>vispārīgā</w:t>
      </w:r>
      <w:r w:rsidR="009252B3">
        <w:rPr>
          <w:lang w:val="lv-LV"/>
        </w:rPr>
        <w:t xml:space="preserve"> </w:t>
      </w:r>
      <w:r w:rsidR="007C2A3D">
        <w:rPr>
          <w:lang w:val="lv-LV"/>
        </w:rPr>
        <w:t xml:space="preserve">principa </w:t>
      </w:r>
      <w:r w:rsidR="00870A3D">
        <w:rPr>
          <w:lang w:val="lv-LV"/>
        </w:rPr>
        <w:t>ārvalsts (izņemot Eirop</w:t>
      </w:r>
      <w:r w:rsidR="007C2A3D">
        <w:rPr>
          <w:lang w:val="lv-LV"/>
        </w:rPr>
        <w:t>as</w:t>
      </w:r>
      <w:r w:rsidR="009252B3">
        <w:rPr>
          <w:lang w:val="lv-LV"/>
        </w:rPr>
        <w:t xml:space="preserve"> </w:t>
      </w:r>
      <w:r w:rsidR="00870A3D">
        <w:rPr>
          <w:lang w:val="lv-LV"/>
        </w:rPr>
        <w:t xml:space="preserve">Savienības dalībvalsts, Norvēģijas, Šveices un Islandes) tiesas nolēmumam </w:t>
      </w:r>
      <w:r w:rsidR="00215AEB">
        <w:rPr>
          <w:lang w:val="lv-LV"/>
        </w:rPr>
        <w:t xml:space="preserve">ir </w:t>
      </w:r>
      <w:r w:rsidR="00870A3D">
        <w:rPr>
          <w:lang w:val="lv-LV"/>
        </w:rPr>
        <w:t>paredzēta</w:t>
      </w:r>
      <w:r w:rsidR="003404AE">
        <w:rPr>
          <w:lang w:val="lv-LV"/>
        </w:rPr>
        <w:t xml:space="preserve"> atzīšanas lūgšana un </w:t>
      </w:r>
      <w:r w:rsidR="00870A3D">
        <w:rPr>
          <w:lang w:val="lv-LV"/>
        </w:rPr>
        <w:t>pā</w:t>
      </w:r>
      <w:r w:rsidR="003A753E">
        <w:rPr>
          <w:lang w:val="lv-LV"/>
        </w:rPr>
        <w:t>rsūdzība kārtībā, kāda noteikta</w:t>
      </w:r>
      <w:r w:rsidR="009252B3">
        <w:rPr>
          <w:lang w:val="lv-LV"/>
        </w:rPr>
        <w:t xml:space="preserve"> </w:t>
      </w:r>
      <w:r w:rsidR="00870A3D">
        <w:rPr>
          <w:lang w:val="lv-LV"/>
        </w:rPr>
        <w:t>641.</w:t>
      </w:r>
      <w:r w:rsidR="009252B3">
        <w:rPr>
          <w:lang w:val="lv-LV"/>
        </w:rPr>
        <w:t> </w:t>
      </w:r>
      <w:r w:rsidR="00870A3D">
        <w:rPr>
          <w:lang w:val="lv-LV"/>
        </w:rPr>
        <w:t>panta pirmajā daļ</w:t>
      </w:r>
      <w:r w:rsidR="003A753E">
        <w:rPr>
          <w:lang w:val="lv-LV"/>
        </w:rPr>
        <w:t>ā.</w:t>
      </w:r>
    </w:p>
    <w:p w14:paraId="72203083" w14:textId="20D7752B" w:rsidR="00216F1B" w:rsidRDefault="005752E2" w:rsidP="00A14563">
      <w:pPr>
        <w:pStyle w:val="NoSpacing"/>
        <w:spacing w:line="276" w:lineRule="auto"/>
        <w:ind w:firstLine="720"/>
        <w:jc w:val="both"/>
        <w:rPr>
          <w:lang w:val="lv-LV"/>
        </w:rPr>
      </w:pPr>
      <w:r>
        <w:rPr>
          <w:lang w:val="lv-LV"/>
        </w:rPr>
        <w:t xml:space="preserve">Savukārt </w:t>
      </w:r>
      <w:r w:rsidR="00215AEB">
        <w:rPr>
          <w:lang w:val="lv-LV"/>
        </w:rPr>
        <w:t>Civilprocesa likuma 644.</w:t>
      </w:r>
      <w:r w:rsidR="009252B3">
        <w:rPr>
          <w:lang w:val="lv-LV"/>
        </w:rPr>
        <w:t> </w:t>
      </w:r>
      <w:r w:rsidR="00215AEB">
        <w:rPr>
          <w:lang w:val="lv-LV"/>
        </w:rPr>
        <w:t>panta trešajā daļ</w:t>
      </w:r>
      <w:r w:rsidR="00170F36">
        <w:rPr>
          <w:lang w:val="lv-LV"/>
        </w:rPr>
        <w:t>ā ir</w:t>
      </w:r>
      <w:r w:rsidR="003A753E">
        <w:rPr>
          <w:lang w:val="lv-LV"/>
        </w:rPr>
        <w:t xml:space="preserve"> nosaukti </w:t>
      </w:r>
      <w:r w:rsidR="00956920">
        <w:rPr>
          <w:lang w:val="lv-LV"/>
        </w:rPr>
        <w:t xml:space="preserve">tie </w:t>
      </w:r>
      <w:r w:rsidR="00215AEB">
        <w:rPr>
          <w:lang w:val="lv-LV"/>
        </w:rPr>
        <w:t>gadījumi, kuros izpilde ir paredzēta bez atzīšanas un attiecīgi ir iespējams lūgt izpildes atteikumu (</w:t>
      </w:r>
      <w:r w:rsidR="00215AEB" w:rsidRPr="00937E25">
        <w:rPr>
          <w:i/>
          <w:iCs/>
          <w:lang w:val="lv-LV"/>
        </w:rPr>
        <w:t>644.</w:t>
      </w:r>
      <w:r w:rsidR="00215AEB" w:rsidRPr="00937E25">
        <w:rPr>
          <w:i/>
          <w:iCs/>
          <w:vertAlign w:val="superscript"/>
          <w:lang w:val="lv-LV"/>
        </w:rPr>
        <w:t>3</w:t>
      </w:r>
      <w:r w:rsidR="009252B3" w:rsidRPr="00937E25">
        <w:rPr>
          <w:i/>
          <w:iCs/>
          <w:lang w:val="lv-LV"/>
        </w:rPr>
        <w:t> </w:t>
      </w:r>
      <w:r w:rsidRPr="00937E25">
        <w:rPr>
          <w:i/>
          <w:iCs/>
          <w:lang w:val="lv-LV"/>
        </w:rPr>
        <w:t>pants</w:t>
      </w:r>
      <w:r>
        <w:rPr>
          <w:lang w:val="lv-LV"/>
        </w:rPr>
        <w:t>), t</w:t>
      </w:r>
      <w:r w:rsidR="00ED318F">
        <w:rPr>
          <w:lang w:val="lv-LV"/>
        </w:rPr>
        <w:t>ostarp</w:t>
      </w:r>
      <w:r w:rsidR="009252B3">
        <w:rPr>
          <w:lang w:val="lv-LV"/>
        </w:rPr>
        <w:t xml:space="preserve"> </w:t>
      </w:r>
      <w:r w:rsidR="003404AE" w:rsidRPr="003404AE">
        <w:rPr>
          <w:lang w:val="lv-LV"/>
        </w:rPr>
        <w:t>644.</w:t>
      </w:r>
      <w:r w:rsidR="003404AE" w:rsidRPr="003404AE">
        <w:rPr>
          <w:vertAlign w:val="superscript"/>
          <w:lang w:val="lv-LV"/>
        </w:rPr>
        <w:t>3</w:t>
      </w:r>
      <w:r w:rsidR="003A753E">
        <w:rPr>
          <w:lang w:val="lv-LV"/>
        </w:rPr>
        <w:t> </w:t>
      </w:r>
      <w:r w:rsidR="003404AE" w:rsidRPr="003404AE">
        <w:rPr>
          <w:lang w:val="lv-LV"/>
        </w:rPr>
        <w:t xml:space="preserve">panta </w:t>
      </w:r>
      <w:r w:rsidR="003404AE">
        <w:rPr>
          <w:lang w:val="lv-LV"/>
        </w:rPr>
        <w:t>4</w:t>
      </w:r>
      <w:r w:rsidR="003404AE" w:rsidRPr="003404AE">
        <w:rPr>
          <w:vertAlign w:val="superscript"/>
          <w:lang w:val="lv-LV"/>
        </w:rPr>
        <w:t>2</w:t>
      </w:r>
      <w:r w:rsidR="009252B3">
        <w:rPr>
          <w:lang w:val="lv-LV"/>
        </w:rPr>
        <w:t> </w:t>
      </w:r>
      <w:r w:rsidR="003404AE" w:rsidRPr="003404AE">
        <w:rPr>
          <w:lang w:val="lv-LV"/>
        </w:rPr>
        <w:t xml:space="preserve">daļa </w:t>
      </w:r>
      <w:r w:rsidR="003404AE" w:rsidRPr="003404AE">
        <w:rPr>
          <w:rFonts w:cs="Times New Roman"/>
          <w:szCs w:val="24"/>
          <w:lang w:val="lv-LV"/>
        </w:rPr>
        <w:t>noteic, ka r</w:t>
      </w:r>
      <w:r w:rsidR="003404AE" w:rsidRPr="003404AE">
        <w:rPr>
          <w:rFonts w:cs="Times New Roman"/>
          <w:szCs w:val="24"/>
          <w:shd w:val="clear" w:color="auto" w:fill="FFFFFF"/>
          <w:lang w:val="lv-LV"/>
        </w:rPr>
        <w:t xml:space="preserve">ajona (pilsētas) tiesa, kuras darbības teritorijā izpildāms ārvalsts tiesas nolēmums, par kuru izsniegta </w:t>
      </w:r>
      <w:r w:rsidR="009252B3">
        <w:rPr>
          <w:rFonts w:cs="Times New Roman"/>
          <w:szCs w:val="24"/>
          <w:shd w:val="clear" w:color="auto" w:fill="FFFFFF"/>
          <w:lang w:val="lv-LV"/>
        </w:rPr>
        <w:t>R</w:t>
      </w:r>
      <w:r w:rsidR="003404AE" w:rsidRPr="003404AE">
        <w:rPr>
          <w:rFonts w:cs="Times New Roman"/>
          <w:szCs w:val="24"/>
          <w:shd w:val="clear" w:color="auto" w:fill="FFFFFF"/>
          <w:lang w:val="lv-LV"/>
        </w:rPr>
        <w:t>egulas Nr. </w:t>
      </w:r>
      <w:hyperlink r:id="rId9" w:tgtFrame="_blank" w:history="1">
        <w:r w:rsidR="003404AE" w:rsidRPr="003404AE">
          <w:rPr>
            <w:rStyle w:val="Hyperlink"/>
            <w:rFonts w:cs="Times New Roman"/>
            <w:color w:val="auto"/>
            <w:szCs w:val="24"/>
            <w:u w:val="none"/>
            <w:shd w:val="clear" w:color="auto" w:fill="FFFFFF"/>
            <w:lang w:val="lv-LV"/>
          </w:rPr>
          <w:t>1215/2012</w:t>
        </w:r>
      </w:hyperlink>
      <w:r w:rsidR="003404AE">
        <w:rPr>
          <w:rFonts w:cs="Times New Roman"/>
          <w:szCs w:val="24"/>
          <w:lang w:val="lv-LV"/>
        </w:rPr>
        <w:t xml:space="preserve"> </w:t>
      </w:r>
      <w:r w:rsidR="003404AE" w:rsidRPr="003404AE">
        <w:rPr>
          <w:rFonts w:cs="Times New Roman"/>
          <w:szCs w:val="24"/>
          <w:shd w:val="clear" w:color="auto" w:fill="FFFFFF"/>
          <w:lang w:val="lv-LV"/>
        </w:rPr>
        <w:t> </w:t>
      </w:r>
      <w:r w:rsidR="00B04241">
        <w:rPr>
          <w:rFonts w:cs="Times New Roman"/>
          <w:szCs w:val="24"/>
          <w:shd w:val="clear" w:color="auto" w:fill="FFFFFF"/>
          <w:lang w:val="lv-LV"/>
        </w:rPr>
        <w:t>53. </w:t>
      </w:r>
      <w:r w:rsidR="003404AE" w:rsidRPr="003404AE">
        <w:rPr>
          <w:rFonts w:cs="Times New Roman"/>
          <w:szCs w:val="24"/>
          <w:shd w:val="clear" w:color="auto" w:fill="FFFFFF"/>
          <w:lang w:val="lv-LV"/>
        </w:rPr>
        <w:t xml:space="preserve">pantā </w:t>
      </w:r>
      <w:r w:rsidR="003404AE">
        <w:rPr>
          <w:rFonts w:cs="Times New Roman"/>
          <w:szCs w:val="24"/>
          <w:shd w:val="clear" w:color="auto" w:fill="FFFFFF"/>
          <w:lang w:val="lv-LV"/>
        </w:rPr>
        <w:t xml:space="preserve">[..] </w:t>
      </w:r>
      <w:r w:rsidR="003404AE" w:rsidRPr="003404AE">
        <w:rPr>
          <w:rFonts w:cs="Times New Roman"/>
          <w:szCs w:val="24"/>
          <w:shd w:val="clear" w:color="auto" w:fill="FFFFFF"/>
          <w:lang w:val="lv-LV"/>
        </w:rPr>
        <w:t>minētā apliecība, pēc parādnieka pieteikuma saņemšanas, pamatojoties uz minētās regulas 46.</w:t>
      </w:r>
      <w:r w:rsidR="009252B3">
        <w:rPr>
          <w:rFonts w:cs="Times New Roman"/>
          <w:szCs w:val="24"/>
          <w:shd w:val="clear" w:color="auto" w:fill="FFFFFF"/>
          <w:lang w:val="lv-LV"/>
        </w:rPr>
        <w:t> </w:t>
      </w:r>
      <w:r w:rsidR="003404AE" w:rsidRPr="003404AE">
        <w:rPr>
          <w:rFonts w:cs="Times New Roman"/>
          <w:szCs w:val="24"/>
          <w:shd w:val="clear" w:color="auto" w:fill="FFFFFF"/>
          <w:lang w:val="lv-LV"/>
        </w:rPr>
        <w:t>pantu, var atteikt nolēmuma izpildi.</w:t>
      </w:r>
      <w:r w:rsidR="00815919">
        <w:rPr>
          <w:lang w:val="lv-LV"/>
        </w:rPr>
        <w:t xml:space="preserve"> </w:t>
      </w:r>
      <w:r w:rsidR="00215AEB">
        <w:rPr>
          <w:lang w:val="lv-LV"/>
        </w:rPr>
        <w:t>Izpildes atteikumam ir paredzēta viena līmeņa pārsūdzība (</w:t>
      </w:r>
      <w:r w:rsidR="00215AEB" w:rsidRPr="00937E25">
        <w:rPr>
          <w:i/>
          <w:iCs/>
          <w:lang w:val="lv-LV"/>
        </w:rPr>
        <w:t>644.</w:t>
      </w:r>
      <w:r w:rsidR="00215AEB" w:rsidRPr="00937E25">
        <w:rPr>
          <w:i/>
          <w:iCs/>
          <w:vertAlign w:val="superscript"/>
          <w:lang w:val="lv-LV"/>
        </w:rPr>
        <w:t>3</w:t>
      </w:r>
      <w:r w:rsidR="009252B3" w:rsidRPr="00937E25">
        <w:rPr>
          <w:i/>
          <w:iCs/>
          <w:lang w:val="lv-LV"/>
        </w:rPr>
        <w:t> </w:t>
      </w:r>
      <w:r w:rsidR="002175E1" w:rsidRPr="00937E25">
        <w:rPr>
          <w:i/>
          <w:iCs/>
          <w:lang w:val="lv-LV"/>
        </w:rPr>
        <w:t>panta</w:t>
      </w:r>
      <w:r w:rsidR="00215AEB" w:rsidRPr="00937E25">
        <w:rPr>
          <w:i/>
          <w:iCs/>
          <w:lang w:val="lv-LV"/>
        </w:rPr>
        <w:t xml:space="preserve"> sestā daļa</w:t>
      </w:r>
      <w:r w:rsidR="00215AEB">
        <w:rPr>
          <w:lang w:val="lv-LV"/>
        </w:rPr>
        <w:t>).</w:t>
      </w:r>
    </w:p>
    <w:p w14:paraId="091AE541" w14:textId="5C206900" w:rsidR="00EB70BD" w:rsidRDefault="005A6D92" w:rsidP="00CF5303">
      <w:pPr>
        <w:pStyle w:val="NoSpacing"/>
        <w:spacing w:line="276" w:lineRule="auto"/>
        <w:ind w:firstLine="720"/>
        <w:jc w:val="both"/>
        <w:rPr>
          <w:lang w:val="lv-LV"/>
        </w:rPr>
      </w:pPr>
      <w:r w:rsidRPr="00EF0397">
        <w:rPr>
          <w:lang w:val="lv-LV"/>
        </w:rPr>
        <w:t>I</w:t>
      </w:r>
      <w:r w:rsidR="00216F1B" w:rsidRPr="00EF0397">
        <w:rPr>
          <w:lang w:val="lv-LV"/>
        </w:rPr>
        <w:t>evērojo</w:t>
      </w:r>
      <w:r w:rsidRPr="00EF0397">
        <w:rPr>
          <w:lang w:val="lv-LV"/>
        </w:rPr>
        <w:t>t norādīto tiesisko regulējumu,</w:t>
      </w:r>
      <w:r w:rsidR="00A14563" w:rsidRPr="00EF0397">
        <w:rPr>
          <w:lang w:val="lv-LV"/>
        </w:rPr>
        <w:t xml:space="preserve"> </w:t>
      </w:r>
      <w:r w:rsidR="00170F36" w:rsidRPr="00EF0397">
        <w:rPr>
          <w:lang w:val="lv-LV"/>
        </w:rPr>
        <w:t xml:space="preserve">nošķirami </w:t>
      </w:r>
      <w:r w:rsidR="002175E1" w:rsidRPr="00EF0397">
        <w:rPr>
          <w:lang w:val="lv-LV"/>
        </w:rPr>
        <w:t>gadījumi, k</w:t>
      </w:r>
      <w:r w:rsidRPr="00EF0397">
        <w:rPr>
          <w:lang w:val="lv-LV"/>
        </w:rPr>
        <w:t>ad</w:t>
      </w:r>
      <w:r w:rsidR="002175E1" w:rsidRPr="00EF0397">
        <w:rPr>
          <w:lang w:val="lv-LV"/>
        </w:rPr>
        <w:t xml:space="preserve"> apgabaltiesas l</w:t>
      </w:r>
      <w:r w:rsidR="00216F1B" w:rsidRPr="00EF0397">
        <w:rPr>
          <w:lang w:val="lv-LV"/>
        </w:rPr>
        <w:t>ēmumu</w:t>
      </w:r>
      <w:r w:rsidR="002175E1" w:rsidRPr="00EF0397">
        <w:rPr>
          <w:lang w:val="lv-LV"/>
        </w:rPr>
        <w:t xml:space="preserve"> </w:t>
      </w:r>
      <w:r w:rsidR="0080702E" w:rsidRPr="00EF0397">
        <w:rPr>
          <w:lang w:val="lv-LV"/>
        </w:rPr>
        <w:t>l</w:t>
      </w:r>
      <w:r w:rsidR="00CF5303">
        <w:rPr>
          <w:lang w:val="lv-LV"/>
        </w:rPr>
        <w:t>ietā par ārvalsts tiesu nolēmumu</w:t>
      </w:r>
      <w:r w:rsidR="0080702E" w:rsidRPr="00EF0397">
        <w:rPr>
          <w:lang w:val="lv-LV"/>
        </w:rPr>
        <w:t xml:space="preserve"> atzīšanu un izpildi </w:t>
      </w:r>
      <w:r w:rsidR="002175E1" w:rsidRPr="00EF0397">
        <w:rPr>
          <w:lang w:val="lv-LV"/>
        </w:rPr>
        <w:t xml:space="preserve">var pārsūdzēt </w:t>
      </w:r>
      <w:r w:rsidR="00245DCD" w:rsidRPr="00EF0397">
        <w:rPr>
          <w:lang w:val="lv-LV"/>
        </w:rPr>
        <w:t xml:space="preserve">Augstākajā tiesā </w:t>
      </w:r>
      <w:r w:rsidR="002175E1" w:rsidRPr="007360E2">
        <w:rPr>
          <w:lang w:val="lv-LV"/>
        </w:rPr>
        <w:t>(</w:t>
      </w:r>
      <w:r w:rsidR="00937E25">
        <w:rPr>
          <w:i/>
          <w:iCs/>
          <w:lang w:val="lv-LV"/>
        </w:rPr>
        <w:t>Civilprocesa </w:t>
      </w:r>
      <w:r w:rsidR="0080702E" w:rsidRPr="00937E25">
        <w:rPr>
          <w:i/>
          <w:iCs/>
          <w:lang w:val="lv-LV"/>
        </w:rPr>
        <w:t>likuma 641.</w:t>
      </w:r>
      <w:r w:rsidR="009252B3" w:rsidRPr="00937E25">
        <w:rPr>
          <w:i/>
          <w:iCs/>
          <w:lang w:val="lv-LV"/>
        </w:rPr>
        <w:t> </w:t>
      </w:r>
      <w:r w:rsidR="00170F36" w:rsidRPr="00937E25">
        <w:rPr>
          <w:i/>
          <w:iCs/>
          <w:lang w:val="lv-LV"/>
        </w:rPr>
        <w:t>panta pirmā daļa</w:t>
      </w:r>
      <w:r w:rsidR="002175E1" w:rsidRPr="007360E2">
        <w:rPr>
          <w:lang w:val="lv-LV"/>
        </w:rPr>
        <w:t>)</w:t>
      </w:r>
      <w:r w:rsidR="002175E1" w:rsidRPr="00EF0397">
        <w:rPr>
          <w:lang w:val="lv-LV"/>
        </w:rPr>
        <w:t xml:space="preserve"> un kad apgab</w:t>
      </w:r>
      <w:r w:rsidR="003A753E">
        <w:rPr>
          <w:lang w:val="lv-LV"/>
        </w:rPr>
        <w:t>altiesa</w:t>
      </w:r>
      <w:r w:rsidR="009252B3">
        <w:rPr>
          <w:lang w:val="lv-LV"/>
        </w:rPr>
        <w:t>s</w:t>
      </w:r>
      <w:r w:rsidR="003A753E">
        <w:rPr>
          <w:lang w:val="lv-LV"/>
        </w:rPr>
        <w:t xml:space="preserve"> lēmums ir galīgs</w:t>
      </w:r>
      <w:r w:rsidR="00155A57" w:rsidRPr="007360E2">
        <w:rPr>
          <w:lang w:val="lv-LV"/>
        </w:rPr>
        <w:t>.</w:t>
      </w:r>
      <w:r w:rsidR="00B04241">
        <w:rPr>
          <w:lang w:val="lv-LV"/>
        </w:rPr>
        <w:t xml:space="preserve"> </w:t>
      </w:r>
    </w:p>
    <w:p w14:paraId="05E26531" w14:textId="77777777" w:rsidR="009252B3" w:rsidRDefault="009252B3" w:rsidP="00CF5303">
      <w:pPr>
        <w:pStyle w:val="NoSpacing"/>
        <w:spacing w:line="276" w:lineRule="auto"/>
        <w:ind w:firstLine="720"/>
        <w:jc w:val="both"/>
        <w:rPr>
          <w:lang w:val="lv-LV"/>
        </w:rPr>
      </w:pPr>
    </w:p>
    <w:p w14:paraId="5E7DFBFC" w14:textId="474B8DF2" w:rsidR="000A0EBE" w:rsidRDefault="009252B3" w:rsidP="00CF5303">
      <w:pPr>
        <w:pStyle w:val="NoSpacing"/>
        <w:spacing w:line="276" w:lineRule="auto"/>
        <w:ind w:firstLine="720"/>
        <w:jc w:val="both"/>
        <w:rPr>
          <w:lang w:val="lv-LV"/>
        </w:rPr>
      </w:pPr>
      <w:r>
        <w:rPr>
          <w:lang w:val="lv-LV"/>
        </w:rPr>
        <w:lastRenderedPageBreak/>
        <w:t>[8] Ņemot vērā iepriekš izskaidroto kārtību, šajā lietā i</w:t>
      </w:r>
      <w:r w:rsidR="00EF0397">
        <w:rPr>
          <w:lang w:val="lv-LV"/>
        </w:rPr>
        <w:t xml:space="preserve">zpildes atteikuma gadījumā par </w:t>
      </w:r>
      <w:r w:rsidR="00B04241">
        <w:rPr>
          <w:lang w:val="lv-LV"/>
        </w:rPr>
        <w:t>Igaunijas</w:t>
      </w:r>
      <w:r>
        <w:rPr>
          <w:lang w:val="lv-LV"/>
        </w:rPr>
        <w:t xml:space="preserve"> (Eiropas Savienības dalībvalsts</w:t>
      </w:r>
      <w:r w:rsidR="00B04241">
        <w:rPr>
          <w:lang w:val="lv-LV"/>
        </w:rPr>
        <w:t>) ties</w:t>
      </w:r>
      <w:r w:rsidR="00221110">
        <w:rPr>
          <w:lang w:val="lv-LV"/>
        </w:rPr>
        <w:t xml:space="preserve">as nolēmumu – </w:t>
      </w:r>
      <w:r w:rsidR="00A14563">
        <w:rPr>
          <w:lang w:val="lv-LV"/>
        </w:rPr>
        <w:t>pirmās instances tiesas lēmuma tiesiskums pārbaudāms tikai</w:t>
      </w:r>
      <w:r w:rsidR="000869B4">
        <w:rPr>
          <w:lang w:val="lv-LV"/>
        </w:rPr>
        <w:t xml:space="preserve"> vienā instancē (apgabaltiesā)</w:t>
      </w:r>
      <w:r w:rsidR="00956920">
        <w:rPr>
          <w:lang w:val="lv-LV"/>
        </w:rPr>
        <w:t>.</w:t>
      </w:r>
    </w:p>
    <w:p w14:paraId="0872EA25" w14:textId="77777777" w:rsidR="00B04241" w:rsidRDefault="00B04241" w:rsidP="00221110">
      <w:pPr>
        <w:pStyle w:val="NoSpacing"/>
        <w:jc w:val="both"/>
        <w:rPr>
          <w:lang w:val="lv-LV"/>
        </w:rPr>
      </w:pPr>
    </w:p>
    <w:p w14:paraId="5AA5ED38" w14:textId="06B469A7" w:rsidR="00027002" w:rsidRDefault="00155A57" w:rsidP="00027002">
      <w:pPr>
        <w:pStyle w:val="NoSpacing"/>
        <w:spacing w:line="276" w:lineRule="auto"/>
        <w:jc w:val="both"/>
        <w:rPr>
          <w:rFonts w:cs="Times New Roman"/>
          <w:lang w:val="lv-LV"/>
        </w:rPr>
      </w:pPr>
      <w:r>
        <w:rPr>
          <w:lang w:val="lv-LV"/>
        </w:rPr>
        <w:tab/>
      </w:r>
      <w:r w:rsidR="003A753E">
        <w:rPr>
          <w:lang w:val="lv-LV"/>
        </w:rPr>
        <w:t>[9]</w:t>
      </w:r>
      <w:r w:rsidR="00ED318F">
        <w:rPr>
          <w:lang w:val="lv-LV"/>
        </w:rPr>
        <w:t> </w:t>
      </w:r>
      <w:r w:rsidR="00216F1B">
        <w:rPr>
          <w:lang w:val="lv-LV"/>
        </w:rPr>
        <w:t xml:space="preserve">Secināms, ka </w:t>
      </w:r>
      <w:r w:rsidRPr="00155A57">
        <w:rPr>
          <w:lang w:val="lv-LV"/>
        </w:rPr>
        <w:t>Rīgas apgabaltiesas lēmumā nepamatoti norādīts, ka lēmums ir pārsūdzams</w:t>
      </w:r>
      <w:r w:rsidR="00245DCD">
        <w:rPr>
          <w:lang w:val="lv-LV"/>
        </w:rPr>
        <w:t xml:space="preserve"> Senātā</w:t>
      </w:r>
      <w:r w:rsidRPr="00155A57">
        <w:rPr>
          <w:lang w:val="lv-LV"/>
        </w:rPr>
        <w:t xml:space="preserve">. Attiecīgi arī nepamatoti pieņemta </w:t>
      </w:r>
      <w:r w:rsidRPr="00155A57">
        <w:rPr>
          <w:rFonts w:cs="Times New Roman"/>
          <w:lang w:val="lv-LV"/>
        </w:rPr>
        <w:t>SIA</w:t>
      </w:r>
      <w:r w:rsidR="005C70D4">
        <w:rPr>
          <w:rFonts w:cs="Times New Roman"/>
          <w:lang w:val="lv-LV"/>
        </w:rPr>
        <w:t> </w:t>
      </w:r>
      <w:r w:rsidRPr="00155A57">
        <w:rPr>
          <w:rFonts w:cs="Times New Roman"/>
          <w:lang w:val="lv-LV"/>
        </w:rPr>
        <w:t>„JULIANUS I</w:t>
      </w:r>
      <w:r w:rsidR="00436A74">
        <w:rPr>
          <w:rFonts w:cs="Times New Roman"/>
          <w:lang w:val="lv-LV"/>
        </w:rPr>
        <w:t>NKASSO LATVIJA” blakus sūdzība tā vietā, lai atteiktu to pieņemt.</w:t>
      </w:r>
    </w:p>
    <w:p w14:paraId="5AB6A2AF" w14:textId="14CF3DE6" w:rsidR="00436A74" w:rsidRPr="000E308B" w:rsidRDefault="00436A74" w:rsidP="00436A74">
      <w:pPr>
        <w:pStyle w:val="NoSpacing"/>
        <w:spacing w:line="276" w:lineRule="auto"/>
        <w:ind w:firstLine="720"/>
        <w:jc w:val="both"/>
        <w:rPr>
          <w:rFonts w:cs="Times New Roman"/>
          <w:lang w:val="lv-LV"/>
        </w:rPr>
      </w:pPr>
      <w:r>
        <w:rPr>
          <w:rFonts w:cs="Times New Roman"/>
          <w:lang w:val="lv-LV"/>
        </w:rPr>
        <w:t xml:space="preserve">Līdz ar to </w:t>
      </w:r>
      <w:r w:rsidR="00155A57" w:rsidRPr="00155A57">
        <w:rPr>
          <w:rFonts w:cs="Times New Roman"/>
          <w:lang w:val="lv-LV"/>
        </w:rPr>
        <w:t>blakus sūdzību ir j</w:t>
      </w:r>
      <w:r w:rsidR="00155A57">
        <w:rPr>
          <w:rFonts w:cs="Times New Roman"/>
          <w:lang w:val="lv-LV"/>
        </w:rPr>
        <w:t>āa</w:t>
      </w:r>
      <w:r w:rsidR="00155A57" w:rsidRPr="00155A57">
        <w:rPr>
          <w:rFonts w:cs="Times New Roman"/>
          <w:lang w:val="lv-LV"/>
        </w:rPr>
        <w:t>t</w:t>
      </w:r>
      <w:r w:rsidR="00155A57">
        <w:rPr>
          <w:rFonts w:cs="Times New Roman"/>
          <w:lang w:val="lv-LV"/>
        </w:rPr>
        <w:t>s</w:t>
      </w:r>
      <w:r w:rsidR="00155A57" w:rsidRPr="00155A57">
        <w:rPr>
          <w:rFonts w:cs="Times New Roman"/>
          <w:lang w:val="lv-LV"/>
        </w:rPr>
        <w:t>aka pieņemt</w:t>
      </w:r>
      <w:r>
        <w:rPr>
          <w:rFonts w:cs="Times New Roman"/>
          <w:lang w:val="lv-LV"/>
        </w:rPr>
        <w:t xml:space="preserve"> Senātā, bet lieta jānosūta apgabaltiesai likumā noteikto darbību izpildei.</w:t>
      </w:r>
    </w:p>
    <w:p w14:paraId="47C7D76F" w14:textId="77777777" w:rsidR="00155A57" w:rsidRPr="00155A57" w:rsidRDefault="00155A57" w:rsidP="00155A57">
      <w:pPr>
        <w:pStyle w:val="NoSpacing"/>
        <w:spacing w:line="276" w:lineRule="auto"/>
        <w:ind w:firstLine="720"/>
        <w:jc w:val="both"/>
        <w:rPr>
          <w:rFonts w:cs="Times New Roman"/>
          <w:lang w:val="lv-LV"/>
        </w:rPr>
      </w:pPr>
    </w:p>
    <w:p w14:paraId="431E2B9F" w14:textId="71FC1360" w:rsidR="002175E1" w:rsidRDefault="00155A57" w:rsidP="00170F36">
      <w:pPr>
        <w:pStyle w:val="NoSpacing"/>
        <w:spacing w:line="276" w:lineRule="auto"/>
        <w:ind w:firstLine="720"/>
        <w:jc w:val="both"/>
        <w:rPr>
          <w:rFonts w:cs="Times New Roman"/>
          <w:lang w:val="lv-LV"/>
        </w:rPr>
      </w:pPr>
      <w:r w:rsidRPr="00155A57">
        <w:rPr>
          <w:rFonts w:cs="Times New Roman"/>
          <w:lang w:val="lv-LV"/>
        </w:rPr>
        <w:t>[</w:t>
      </w:r>
      <w:r w:rsidR="005C70D4">
        <w:rPr>
          <w:rFonts w:cs="Times New Roman"/>
          <w:lang w:val="lv-LV"/>
        </w:rPr>
        <w:t>10</w:t>
      </w:r>
      <w:r w:rsidRPr="00155A57">
        <w:rPr>
          <w:rFonts w:cs="Times New Roman"/>
          <w:lang w:val="lv-LV"/>
        </w:rPr>
        <w:t>]</w:t>
      </w:r>
      <w:r w:rsidR="005C70D4">
        <w:rPr>
          <w:rFonts w:cs="Times New Roman"/>
          <w:lang w:val="lv-LV"/>
        </w:rPr>
        <w:t> </w:t>
      </w:r>
      <w:r w:rsidRPr="00155A57">
        <w:rPr>
          <w:rFonts w:cs="Times New Roman"/>
          <w:lang w:val="lv-LV"/>
        </w:rPr>
        <w:t>Ievērojot, ka blakus sūdzība iesniegta par lēmumu, kurā kļūdaini norādīts, ka tas ir pārsūdzams, iemaksātā drošības nauda atmaksājama (</w:t>
      </w:r>
      <w:bookmarkStart w:id="2" w:name="_Hlk116420199"/>
      <w:r w:rsidRPr="00937E25">
        <w:rPr>
          <w:rFonts w:cs="Times New Roman"/>
          <w:i/>
          <w:iCs/>
          <w:lang w:val="lv-LV"/>
        </w:rPr>
        <w:t>Civ</w:t>
      </w:r>
      <w:r w:rsidR="003404AE" w:rsidRPr="00937E25">
        <w:rPr>
          <w:rFonts w:cs="Times New Roman"/>
          <w:i/>
          <w:iCs/>
          <w:lang w:val="lv-LV"/>
        </w:rPr>
        <w:t>i</w:t>
      </w:r>
      <w:r w:rsidRPr="00937E25">
        <w:rPr>
          <w:rFonts w:cs="Times New Roman"/>
          <w:i/>
          <w:iCs/>
          <w:lang w:val="lv-LV"/>
        </w:rPr>
        <w:t>lprocesa likuma 444.</w:t>
      </w:r>
      <w:r w:rsidRPr="00937E25">
        <w:rPr>
          <w:rFonts w:cs="Times New Roman"/>
          <w:i/>
          <w:iCs/>
          <w:vertAlign w:val="superscript"/>
          <w:lang w:val="lv-LV"/>
        </w:rPr>
        <w:t>1</w:t>
      </w:r>
      <w:r w:rsidR="005C70D4" w:rsidRPr="00937E25">
        <w:rPr>
          <w:rFonts w:cs="Times New Roman"/>
          <w:i/>
          <w:iCs/>
          <w:lang w:val="lv-LV"/>
        </w:rPr>
        <w:t> </w:t>
      </w:r>
      <w:r w:rsidRPr="00937E25">
        <w:rPr>
          <w:rFonts w:cs="Times New Roman"/>
          <w:i/>
          <w:iCs/>
          <w:lang w:val="lv-LV"/>
        </w:rPr>
        <w:t xml:space="preserve">panta otrās daļas </w:t>
      </w:r>
      <w:bookmarkEnd w:id="2"/>
      <w:r w:rsidRPr="00937E25">
        <w:rPr>
          <w:rFonts w:cs="Times New Roman"/>
          <w:i/>
          <w:iCs/>
          <w:lang w:val="lv-LV"/>
        </w:rPr>
        <w:t>otrais teikums</w:t>
      </w:r>
      <w:r w:rsidRPr="00155A57">
        <w:rPr>
          <w:rFonts w:cs="Times New Roman"/>
          <w:lang w:val="lv-LV"/>
        </w:rPr>
        <w:t>).</w:t>
      </w:r>
    </w:p>
    <w:p w14:paraId="17313018" w14:textId="77777777" w:rsidR="00155A57" w:rsidRPr="005C70D4" w:rsidRDefault="00155A57" w:rsidP="005C70D4">
      <w:pPr>
        <w:pStyle w:val="NoSpacing"/>
        <w:spacing w:line="276" w:lineRule="auto"/>
        <w:ind w:firstLine="720"/>
        <w:jc w:val="both"/>
        <w:rPr>
          <w:rFonts w:cs="Times New Roman"/>
          <w:lang w:val="lv-LV"/>
        </w:rPr>
      </w:pPr>
    </w:p>
    <w:p w14:paraId="0002627F" w14:textId="0A289147" w:rsidR="0081795C" w:rsidRPr="005C70D4" w:rsidRDefault="00B662D2" w:rsidP="005C70D4">
      <w:pPr>
        <w:pStyle w:val="NoSpacing"/>
        <w:spacing w:line="276" w:lineRule="auto"/>
        <w:ind w:firstLine="720"/>
        <w:jc w:val="both"/>
        <w:rPr>
          <w:rFonts w:cs="Times New Roman"/>
          <w:lang w:val="lv-LV"/>
        </w:rPr>
      </w:pPr>
      <w:r w:rsidRPr="005C70D4">
        <w:rPr>
          <w:rFonts w:cs="Times New Roman"/>
          <w:lang w:val="lv-LV"/>
        </w:rPr>
        <w:t>Pamatojoties uz Civilprocesa likuma 464.</w:t>
      </w:r>
      <w:r w:rsidR="002B6F95" w:rsidRPr="005C70D4">
        <w:rPr>
          <w:rFonts w:cs="Times New Roman"/>
          <w:lang w:val="lv-LV"/>
        </w:rPr>
        <w:t> </w:t>
      </w:r>
      <w:r w:rsidRPr="005C70D4">
        <w:rPr>
          <w:rFonts w:cs="Times New Roman"/>
          <w:lang w:val="lv-LV"/>
        </w:rPr>
        <w:t xml:space="preserve">panta </w:t>
      </w:r>
      <w:r w:rsidR="00413DF8" w:rsidRPr="005C70D4">
        <w:rPr>
          <w:rFonts w:cs="Times New Roman"/>
          <w:lang w:val="lv-LV"/>
        </w:rPr>
        <w:t xml:space="preserve">sesto </w:t>
      </w:r>
      <w:r w:rsidRPr="005C70D4">
        <w:rPr>
          <w:rFonts w:cs="Times New Roman"/>
          <w:lang w:val="lv-LV"/>
        </w:rPr>
        <w:t>daļu</w:t>
      </w:r>
      <w:r w:rsidR="005C70D4" w:rsidRPr="005C70D4">
        <w:rPr>
          <w:rFonts w:cs="Times New Roman"/>
          <w:lang w:val="lv-LV"/>
        </w:rPr>
        <w:t xml:space="preserve"> un Civilprocesa likuma 444.</w:t>
      </w:r>
      <w:r w:rsidR="005C70D4" w:rsidRPr="00937E25">
        <w:rPr>
          <w:rFonts w:cs="Times New Roman"/>
          <w:vertAlign w:val="superscript"/>
          <w:lang w:val="lv-LV"/>
        </w:rPr>
        <w:t>1</w:t>
      </w:r>
      <w:r w:rsidR="005C70D4">
        <w:rPr>
          <w:rFonts w:cs="Times New Roman"/>
          <w:vertAlign w:val="superscript"/>
          <w:lang w:val="lv-LV"/>
        </w:rPr>
        <w:t> </w:t>
      </w:r>
      <w:r w:rsidR="005C70D4" w:rsidRPr="005C70D4">
        <w:rPr>
          <w:rFonts w:cs="Times New Roman"/>
          <w:lang w:val="lv-LV"/>
        </w:rPr>
        <w:t>panta otr</w:t>
      </w:r>
      <w:r w:rsidR="005C70D4">
        <w:rPr>
          <w:rFonts w:cs="Times New Roman"/>
          <w:lang w:val="lv-LV"/>
        </w:rPr>
        <w:t>o</w:t>
      </w:r>
      <w:r w:rsidR="005C70D4" w:rsidRPr="005C70D4">
        <w:rPr>
          <w:rFonts w:cs="Times New Roman"/>
          <w:lang w:val="lv-LV"/>
        </w:rPr>
        <w:t xml:space="preserve"> daļ</w:t>
      </w:r>
      <w:r w:rsidR="005C70D4">
        <w:rPr>
          <w:rFonts w:cs="Times New Roman"/>
          <w:lang w:val="lv-LV"/>
        </w:rPr>
        <w:t>u</w:t>
      </w:r>
      <w:r w:rsidRPr="005C70D4">
        <w:rPr>
          <w:rFonts w:cs="Times New Roman"/>
          <w:lang w:val="lv-LV"/>
        </w:rPr>
        <w:t>, senatoru kolēģija</w:t>
      </w:r>
    </w:p>
    <w:p w14:paraId="49FAAACD" w14:textId="77777777" w:rsidR="00A14563" w:rsidRPr="001E3504" w:rsidRDefault="00A14563" w:rsidP="007C2A3D">
      <w:pPr>
        <w:autoSpaceDE w:val="0"/>
        <w:autoSpaceDN w:val="0"/>
        <w:adjustRightInd w:val="0"/>
        <w:spacing w:after="0" w:line="360" w:lineRule="auto"/>
        <w:jc w:val="both"/>
        <w:rPr>
          <w:rFonts w:eastAsia="Times New Roman" w:cs="Times New Roman"/>
          <w:szCs w:val="24"/>
          <w:lang w:val="lv-LV" w:eastAsia="lv-LV"/>
        </w:rPr>
      </w:pPr>
    </w:p>
    <w:p w14:paraId="7689498C" w14:textId="77777777" w:rsidR="0081795C" w:rsidRPr="001E3504" w:rsidRDefault="0081795C" w:rsidP="0002662B">
      <w:pPr>
        <w:autoSpaceDE w:val="0"/>
        <w:autoSpaceDN w:val="0"/>
        <w:adjustRightInd w:val="0"/>
        <w:spacing w:after="0" w:line="360" w:lineRule="auto"/>
        <w:jc w:val="center"/>
        <w:rPr>
          <w:rFonts w:eastAsia="Times New Roman" w:cs="Times New Roman"/>
          <w:b/>
          <w:bCs/>
          <w:szCs w:val="24"/>
          <w:lang w:val="lv-LV" w:eastAsia="lv-LV"/>
        </w:rPr>
      </w:pPr>
      <w:r>
        <w:rPr>
          <w:rFonts w:eastAsia="Times New Roman" w:cs="Times New Roman"/>
          <w:b/>
          <w:bCs/>
          <w:szCs w:val="24"/>
          <w:lang w:val="lv-LV" w:eastAsia="lv-LV"/>
        </w:rPr>
        <w:t>n</w:t>
      </w:r>
      <w:r w:rsidR="00B662D2">
        <w:rPr>
          <w:rFonts w:eastAsia="Times New Roman" w:cs="Times New Roman"/>
          <w:b/>
          <w:bCs/>
          <w:szCs w:val="24"/>
          <w:lang w:val="lv-LV" w:eastAsia="lv-LV"/>
        </w:rPr>
        <w:t>olēma</w:t>
      </w:r>
    </w:p>
    <w:p w14:paraId="710DC37B" w14:textId="21A2A6EC" w:rsidR="00170F36" w:rsidRDefault="00170F36" w:rsidP="00FB70DA">
      <w:pPr>
        <w:tabs>
          <w:tab w:val="left" w:pos="709"/>
        </w:tabs>
        <w:autoSpaceDE w:val="0"/>
        <w:autoSpaceDN w:val="0"/>
        <w:adjustRightInd w:val="0"/>
        <w:spacing w:after="0" w:line="276" w:lineRule="auto"/>
        <w:jc w:val="both"/>
        <w:rPr>
          <w:rFonts w:eastAsia="Times New Roman" w:cs="Times New Roman"/>
          <w:szCs w:val="24"/>
          <w:lang w:val="lv-LV" w:eastAsia="lv-LV"/>
        </w:rPr>
      </w:pPr>
    </w:p>
    <w:p w14:paraId="4236DACB" w14:textId="2DE4236E" w:rsidR="00436A74" w:rsidRDefault="00F86B7F" w:rsidP="00327554">
      <w:pPr>
        <w:pStyle w:val="NoSpacing"/>
        <w:spacing w:line="276" w:lineRule="auto"/>
        <w:jc w:val="both"/>
        <w:rPr>
          <w:lang w:val="lv-LV"/>
        </w:rPr>
      </w:pPr>
      <w:r>
        <w:rPr>
          <w:rFonts w:eastAsia="Times New Roman" w:cs="Times New Roman"/>
          <w:lang w:val="lv-LV" w:eastAsia="lv-LV"/>
        </w:rPr>
        <w:tab/>
      </w:r>
      <w:r w:rsidR="00B662D2" w:rsidRPr="00086376">
        <w:rPr>
          <w:rFonts w:eastAsia="Times New Roman" w:cs="Times New Roman"/>
          <w:lang w:val="lv-LV" w:eastAsia="lv-LV"/>
        </w:rPr>
        <w:t xml:space="preserve">atteikt </w:t>
      </w:r>
      <w:r w:rsidR="00B662D2" w:rsidRPr="00086376">
        <w:rPr>
          <w:rFonts w:ascii="TimesNewRomanPSMT" w:hAnsi="TimesNewRomanPSMT" w:cs="TimesNewRomanPSMT"/>
          <w:lang w:val="lv-LV"/>
        </w:rPr>
        <w:t xml:space="preserve">pieņemt </w:t>
      </w:r>
      <w:r w:rsidR="00436A74">
        <w:rPr>
          <w:rFonts w:ascii="TimesNewRomanPSMT" w:hAnsi="TimesNewRomanPSMT" w:cs="TimesNewRomanPSMT"/>
          <w:lang w:val="lv-LV"/>
        </w:rPr>
        <w:t xml:space="preserve">Senātā </w:t>
      </w:r>
      <w:r w:rsidR="005F22A7" w:rsidRPr="0048237C">
        <w:rPr>
          <w:rFonts w:cs="Times New Roman"/>
          <w:lang w:val="lv-LV"/>
        </w:rPr>
        <w:t>SIA</w:t>
      </w:r>
      <w:r w:rsidR="00A84844" w:rsidRPr="0048237C">
        <w:rPr>
          <w:rFonts w:cs="Times New Roman"/>
          <w:lang w:val="lv-LV"/>
        </w:rPr>
        <w:t> </w:t>
      </w:r>
      <w:r w:rsidR="005F22A7" w:rsidRPr="0048237C">
        <w:rPr>
          <w:rFonts w:cs="Times New Roman"/>
          <w:lang w:val="lv-LV"/>
        </w:rPr>
        <w:t xml:space="preserve">„JULIANUS INKASSO LATVIJA” </w:t>
      </w:r>
      <w:r w:rsidR="005F22A7">
        <w:rPr>
          <w:lang w:val="lv-LV"/>
        </w:rPr>
        <w:t>blakus sūdzību par Rīgas</w:t>
      </w:r>
      <w:r w:rsidR="005C70D4">
        <w:rPr>
          <w:lang w:val="lv-LV"/>
        </w:rPr>
        <w:t xml:space="preserve"> </w:t>
      </w:r>
      <w:r w:rsidR="005F22A7">
        <w:rPr>
          <w:lang w:val="lv-LV"/>
        </w:rPr>
        <w:t>apgabaltiesas Civillietu</w:t>
      </w:r>
      <w:r w:rsidR="005C70D4">
        <w:rPr>
          <w:lang w:val="lv-LV"/>
        </w:rPr>
        <w:t xml:space="preserve"> </w:t>
      </w:r>
      <w:r w:rsidR="005F22A7" w:rsidRPr="00757461">
        <w:rPr>
          <w:lang w:val="lv-LV"/>
        </w:rPr>
        <w:t>tiesa</w:t>
      </w:r>
      <w:r w:rsidR="005F22A7">
        <w:rPr>
          <w:lang w:val="lv-LV"/>
        </w:rPr>
        <w:t>s kolēģijas 2022. gada 20.</w:t>
      </w:r>
      <w:r w:rsidR="005C70D4">
        <w:rPr>
          <w:lang w:val="lv-LV"/>
        </w:rPr>
        <w:t> </w:t>
      </w:r>
      <w:r w:rsidR="005F22A7">
        <w:rPr>
          <w:lang w:val="lv-LV"/>
        </w:rPr>
        <w:t xml:space="preserve">jūlija </w:t>
      </w:r>
      <w:r w:rsidR="005F22A7" w:rsidRPr="00757461">
        <w:rPr>
          <w:lang w:val="lv-LV"/>
        </w:rPr>
        <w:t>lēmumu</w:t>
      </w:r>
      <w:r w:rsidR="00436A74">
        <w:rPr>
          <w:lang w:val="lv-LV"/>
        </w:rPr>
        <w:t xml:space="preserve"> un nosūtīt lietu Rīgas apgabaltiesai likumā noteikto darbību izpildei.</w:t>
      </w:r>
    </w:p>
    <w:p w14:paraId="40353E03" w14:textId="77777777" w:rsidR="005709C5" w:rsidRDefault="00413DF8" w:rsidP="00327554">
      <w:pPr>
        <w:pStyle w:val="NoSpacing"/>
        <w:spacing w:line="276" w:lineRule="auto"/>
        <w:jc w:val="both"/>
        <w:rPr>
          <w:lang w:val="lv-LV"/>
        </w:rPr>
      </w:pPr>
      <w:r>
        <w:rPr>
          <w:lang w:val="lv-LV"/>
        </w:rPr>
        <w:tab/>
        <w:t xml:space="preserve">Atmaksāt </w:t>
      </w:r>
      <w:r>
        <w:rPr>
          <w:rFonts w:cs="Times New Roman"/>
        </w:rPr>
        <w:t>SIA</w:t>
      </w:r>
      <w:r w:rsidR="005C70D4">
        <w:rPr>
          <w:rFonts w:cs="Times New Roman"/>
        </w:rPr>
        <w:t> </w:t>
      </w:r>
      <w:r>
        <w:rPr>
          <w:rFonts w:cs="Times New Roman"/>
        </w:rPr>
        <w:t xml:space="preserve">„JULIANUS INKASSO LATVIJA” </w:t>
      </w:r>
      <w:r w:rsidRPr="00413DF8">
        <w:rPr>
          <w:rFonts w:cs="Times New Roman"/>
          <w:lang w:val="lv-LV"/>
        </w:rPr>
        <w:t>drošības naudu 7</w:t>
      </w:r>
      <w:r>
        <w:rPr>
          <w:rFonts w:cs="Times New Roman"/>
        </w:rPr>
        <w:t>0</w:t>
      </w:r>
      <w:r w:rsidR="005C70D4">
        <w:rPr>
          <w:rFonts w:cs="Times New Roman"/>
        </w:rPr>
        <w:t> </w:t>
      </w:r>
      <w:r w:rsidRPr="00413DF8">
        <w:rPr>
          <w:rFonts w:cs="Times New Roman"/>
          <w:i/>
        </w:rPr>
        <w:t>euro</w:t>
      </w:r>
      <w:r w:rsidR="005709C5">
        <w:rPr>
          <w:rFonts w:cs="Times New Roman"/>
          <w:i/>
        </w:rPr>
        <w:t xml:space="preserve"> </w:t>
      </w:r>
      <w:r w:rsidR="005709C5">
        <w:rPr>
          <w:lang w:val="lv-LV"/>
        </w:rPr>
        <w:t xml:space="preserve">(septiņdesmit </w:t>
      </w:r>
      <w:r w:rsidR="005709C5">
        <w:rPr>
          <w:i/>
          <w:iCs/>
          <w:lang w:val="lv-LV"/>
        </w:rPr>
        <w:t>euro</w:t>
      </w:r>
      <w:r w:rsidR="005709C5">
        <w:rPr>
          <w:lang w:val="lv-LV"/>
        </w:rPr>
        <w:t>).</w:t>
      </w:r>
    </w:p>
    <w:p w14:paraId="4955E87B" w14:textId="449DE6AF" w:rsidR="007360E2" w:rsidRPr="005A7726" w:rsidRDefault="00B662D2" w:rsidP="005A7726">
      <w:pPr>
        <w:pStyle w:val="NoSpacing"/>
        <w:spacing w:line="276" w:lineRule="auto"/>
        <w:ind w:firstLine="720"/>
        <w:jc w:val="both"/>
        <w:rPr>
          <w:lang w:val="lv-LV"/>
        </w:rPr>
      </w:pPr>
      <w:r w:rsidRPr="00086376">
        <w:rPr>
          <w:rFonts w:ascii="TimesNewRomanPSMT" w:hAnsi="TimesNewRomanPSMT" w:cs="TimesNewRomanPSMT"/>
          <w:lang w:val="lv-LV"/>
        </w:rPr>
        <w:t>Lēmums nav pārsūdzams.</w:t>
      </w:r>
    </w:p>
    <w:sectPr w:rsidR="007360E2" w:rsidRPr="005A7726" w:rsidSect="00750338">
      <w:footerReference w:type="default" r:id="rId10"/>
      <w:pgSz w:w="11906" w:h="16838"/>
      <w:pgMar w:top="993" w:right="991" w:bottom="567"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CBA6" w14:textId="77777777" w:rsidR="00CA0611" w:rsidRDefault="00CA0611" w:rsidP="00750338">
      <w:pPr>
        <w:spacing w:after="0" w:line="240" w:lineRule="auto"/>
      </w:pPr>
      <w:r>
        <w:separator/>
      </w:r>
    </w:p>
  </w:endnote>
  <w:endnote w:type="continuationSeparator" w:id="0">
    <w:p w14:paraId="6596E33D" w14:textId="77777777" w:rsidR="00CA0611" w:rsidRDefault="00CA0611" w:rsidP="0075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02554"/>
      <w:docPartObj>
        <w:docPartGallery w:val="Page Numbers (Bottom of Page)"/>
        <w:docPartUnique/>
      </w:docPartObj>
    </w:sdtPr>
    <w:sdtEndPr/>
    <w:sdtContent>
      <w:sdt>
        <w:sdtPr>
          <w:id w:val="1241530415"/>
          <w:docPartObj>
            <w:docPartGallery w:val="Page Numbers (Top of Page)"/>
            <w:docPartUnique/>
          </w:docPartObj>
        </w:sdtPr>
        <w:sdtEndPr/>
        <w:sdtContent>
          <w:p w14:paraId="42EF8054" w14:textId="61553A89" w:rsidR="00750338" w:rsidRDefault="00750338">
            <w:pPr>
              <w:pStyle w:val="Footer"/>
              <w:jc w:val="center"/>
            </w:pPr>
            <w:r w:rsidRPr="00750338">
              <w:rPr>
                <w:rFonts w:cs="Times New Roman"/>
                <w:bCs/>
                <w:szCs w:val="24"/>
              </w:rPr>
              <w:fldChar w:fldCharType="begin"/>
            </w:r>
            <w:r w:rsidRPr="00750338">
              <w:rPr>
                <w:rFonts w:cs="Times New Roman"/>
                <w:bCs/>
              </w:rPr>
              <w:instrText xml:space="preserve"> PAGE </w:instrText>
            </w:r>
            <w:r w:rsidRPr="00750338">
              <w:rPr>
                <w:rFonts w:cs="Times New Roman"/>
                <w:bCs/>
                <w:szCs w:val="24"/>
              </w:rPr>
              <w:fldChar w:fldCharType="separate"/>
            </w:r>
            <w:r w:rsidR="00436A74">
              <w:rPr>
                <w:rFonts w:cs="Times New Roman"/>
                <w:bCs/>
                <w:noProof/>
              </w:rPr>
              <w:t>3</w:t>
            </w:r>
            <w:r w:rsidRPr="00750338">
              <w:rPr>
                <w:rFonts w:cs="Times New Roman"/>
                <w:bCs/>
                <w:szCs w:val="24"/>
              </w:rPr>
              <w:fldChar w:fldCharType="end"/>
            </w:r>
            <w:r w:rsidRPr="00750338">
              <w:rPr>
                <w:rFonts w:cs="Times New Roman"/>
              </w:rPr>
              <w:t xml:space="preserve"> no </w:t>
            </w:r>
            <w:r w:rsidRPr="00750338">
              <w:rPr>
                <w:rFonts w:cs="Times New Roman"/>
                <w:bCs/>
                <w:szCs w:val="24"/>
              </w:rPr>
              <w:fldChar w:fldCharType="begin"/>
            </w:r>
            <w:r w:rsidRPr="00750338">
              <w:rPr>
                <w:rFonts w:cs="Times New Roman"/>
                <w:bCs/>
              </w:rPr>
              <w:instrText xml:space="preserve"> NUMPAGES  </w:instrText>
            </w:r>
            <w:r w:rsidRPr="00750338">
              <w:rPr>
                <w:rFonts w:cs="Times New Roman"/>
                <w:bCs/>
                <w:szCs w:val="24"/>
              </w:rPr>
              <w:fldChar w:fldCharType="separate"/>
            </w:r>
            <w:r w:rsidR="00436A74">
              <w:rPr>
                <w:rFonts w:cs="Times New Roman"/>
                <w:bCs/>
                <w:noProof/>
              </w:rPr>
              <w:t>3</w:t>
            </w:r>
            <w:r w:rsidRPr="00750338">
              <w:rPr>
                <w:rFonts w:cs="Times New Roman"/>
                <w:bCs/>
                <w:szCs w:val="24"/>
              </w:rPr>
              <w:fldChar w:fldCharType="end"/>
            </w:r>
          </w:p>
        </w:sdtContent>
      </w:sdt>
    </w:sdtContent>
  </w:sdt>
  <w:p w14:paraId="56058A7C" w14:textId="77777777" w:rsidR="00750338" w:rsidRDefault="00750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0BF15" w14:textId="77777777" w:rsidR="00CA0611" w:rsidRDefault="00CA0611" w:rsidP="00750338">
      <w:pPr>
        <w:spacing w:after="0" w:line="240" w:lineRule="auto"/>
      </w:pPr>
      <w:r>
        <w:separator/>
      </w:r>
    </w:p>
  </w:footnote>
  <w:footnote w:type="continuationSeparator" w:id="0">
    <w:p w14:paraId="425E664A" w14:textId="77777777" w:rsidR="00CA0611" w:rsidRDefault="00CA0611" w:rsidP="00750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52B3E"/>
    <w:multiLevelType w:val="hybridMultilevel"/>
    <w:tmpl w:val="2DD247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4059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D2"/>
    <w:rsid w:val="00002412"/>
    <w:rsid w:val="00015E63"/>
    <w:rsid w:val="000162C4"/>
    <w:rsid w:val="0002662B"/>
    <w:rsid w:val="00027002"/>
    <w:rsid w:val="00053E6F"/>
    <w:rsid w:val="00061216"/>
    <w:rsid w:val="00086376"/>
    <w:rsid w:val="000869B4"/>
    <w:rsid w:val="000A0EBE"/>
    <w:rsid w:val="000B1B38"/>
    <w:rsid w:val="000B5469"/>
    <w:rsid w:val="000C4B27"/>
    <w:rsid w:val="000C6FC2"/>
    <w:rsid w:val="000D3270"/>
    <w:rsid w:val="000E308B"/>
    <w:rsid w:val="00111C12"/>
    <w:rsid w:val="0011433B"/>
    <w:rsid w:val="00145462"/>
    <w:rsid w:val="00155A57"/>
    <w:rsid w:val="00170F36"/>
    <w:rsid w:val="00171EAE"/>
    <w:rsid w:val="001777C1"/>
    <w:rsid w:val="001A3083"/>
    <w:rsid w:val="001B4F89"/>
    <w:rsid w:val="001E3504"/>
    <w:rsid w:val="001F7791"/>
    <w:rsid w:val="002073F0"/>
    <w:rsid w:val="00215AEB"/>
    <w:rsid w:val="00216F1B"/>
    <w:rsid w:val="002175E1"/>
    <w:rsid w:val="00221110"/>
    <w:rsid w:val="00226B53"/>
    <w:rsid w:val="00245DCD"/>
    <w:rsid w:val="00267D8D"/>
    <w:rsid w:val="00271697"/>
    <w:rsid w:val="00291689"/>
    <w:rsid w:val="002B6DDF"/>
    <w:rsid w:val="002B6F95"/>
    <w:rsid w:val="00315391"/>
    <w:rsid w:val="00327554"/>
    <w:rsid w:val="003404AE"/>
    <w:rsid w:val="00352242"/>
    <w:rsid w:val="003A753E"/>
    <w:rsid w:val="00413DF8"/>
    <w:rsid w:val="004248DF"/>
    <w:rsid w:val="00436A74"/>
    <w:rsid w:val="0045130B"/>
    <w:rsid w:val="00451D79"/>
    <w:rsid w:val="0048237C"/>
    <w:rsid w:val="0049799E"/>
    <w:rsid w:val="004B10F6"/>
    <w:rsid w:val="004B3B14"/>
    <w:rsid w:val="004C193E"/>
    <w:rsid w:val="00522446"/>
    <w:rsid w:val="005378CC"/>
    <w:rsid w:val="00545C10"/>
    <w:rsid w:val="005461F0"/>
    <w:rsid w:val="005572D4"/>
    <w:rsid w:val="005636C1"/>
    <w:rsid w:val="005709C5"/>
    <w:rsid w:val="005752E2"/>
    <w:rsid w:val="0058179A"/>
    <w:rsid w:val="0058525E"/>
    <w:rsid w:val="00592849"/>
    <w:rsid w:val="005A6D92"/>
    <w:rsid w:val="005A7726"/>
    <w:rsid w:val="005C70D4"/>
    <w:rsid w:val="005D56F6"/>
    <w:rsid w:val="005D5988"/>
    <w:rsid w:val="005E4657"/>
    <w:rsid w:val="005F1550"/>
    <w:rsid w:val="005F22A7"/>
    <w:rsid w:val="0061404A"/>
    <w:rsid w:val="00632A97"/>
    <w:rsid w:val="00692B22"/>
    <w:rsid w:val="006D04B1"/>
    <w:rsid w:val="00702A5E"/>
    <w:rsid w:val="00707130"/>
    <w:rsid w:val="0073306C"/>
    <w:rsid w:val="007360E2"/>
    <w:rsid w:val="00750338"/>
    <w:rsid w:val="00757461"/>
    <w:rsid w:val="0076400B"/>
    <w:rsid w:val="007776C0"/>
    <w:rsid w:val="00793DB5"/>
    <w:rsid w:val="007A228E"/>
    <w:rsid w:val="007A248C"/>
    <w:rsid w:val="007A5F4B"/>
    <w:rsid w:val="007B5D37"/>
    <w:rsid w:val="007C2A3D"/>
    <w:rsid w:val="007D4F5B"/>
    <w:rsid w:val="007E54B5"/>
    <w:rsid w:val="00800A7C"/>
    <w:rsid w:val="0080702E"/>
    <w:rsid w:val="00815919"/>
    <w:rsid w:val="0081795C"/>
    <w:rsid w:val="00843C5D"/>
    <w:rsid w:val="008465E1"/>
    <w:rsid w:val="008632F0"/>
    <w:rsid w:val="00870A3D"/>
    <w:rsid w:val="008A64C8"/>
    <w:rsid w:val="008B255D"/>
    <w:rsid w:val="008B3955"/>
    <w:rsid w:val="008E56B8"/>
    <w:rsid w:val="008F5352"/>
    <w:rsid w:val="008F79AA"/>
    <w:rsid w:val="009120A0"/>
    <w:rsid w:val="009244AB"/>
    <w:rsid w:val="009252B3"/>
    <w:rsid w:val="00931CC3"/>
    <w:rsid w:val="00937E25"/>
    <w:rsid w:val="00953184"/>
    <w:rsid w:val="00956920"/>
    <w:rsid w:val="00986DD2"/>
    <w:rsid w:val="009A27A4"/>
    <w:rsid w:val="009D42A1"/>
    <w:rsid w:val="009D6EAD"/>
    <w:rsid w:val="009F293B"/>
    <w:rsid w:val="009F77C6"/>
    <w:rsid w:val="00A02E6E"/>
    <w:rsid w:val="00A14563"/>
    <w:rsid w:val="00A37E07"/>
    <w:rsid w:val="00A84844"/>
    <w:rsid w:val="00A94E4C"/>
    <w:rsid w:val="00AB1283"/>
    <w:rsid w:val="00AD68B6"/>
    <w:rsid w:val="00AE0C65"/>
    <w:rsid w:val="00AE6728"/>
    <w:rsid w:val="00B04241"/>
    <w:rsid w:val="00B10734"/>
    <w:rsid w:val="00B25BDA"/>
    <w:rsid w:val="00B662D2"/>
    <w:rsid w:val="00BD4746"/>
    <w:rsid w:val="00BE7B27"/>
    <w:rsid w:val="00C0382F"/>
    <w:rsid w:val="00C47450"/>
    <w:rsid w:val="00C65BB0"/>
    <w:rsid w:val="00C72EEC"/>
    <w:rsid w:val="00C76234"/>
    <w:rsid w:val="00C8415D"/>
    <w:rsid w:val="00CA0611"/>
    <w:rsid w:val="00CF5303"/>
    <w:rsid w:val="00D2783E"/>
    <w:rsid w:val="00D364DF"/>
    <w:rsid w:val="00D979A2"/>
    <w:rsid w:val="00DC03AE"/>
    <w:rsid w:val="00DD661A"/>
    <w:rsid w:val="00E353FB"/>
    <w:rsid w:val="00E6797E"/>
    <w:rsid w:val="00E71EF2"/>
    <w:rsid w:val="00E843E7"/>
    <w:rsid w:val="00EA4A48"/>
    <w:rsid w:val="00EB70BD"/>
    <w:rsid w:val="00EC26AA"/>
    <w:rsid w:val="00EC40AA"/>
    <w:rsid w:val="00ED318F"/>
    <w:rsid w:val="00EF0397"/>
    <w:rsid w:val="00EF1402"/>
    <w:rsid w:val="00EF6D08"/>
    <w:rsid w:val="00F01E6F"/>
    <w:rsid w:val="00F16EC5"/>
    <w:rsid w:val="00F202B9"/>
    <w:rsid w:val="00F3774A"/>
    <w:rsid w:val="00F42774"/>
    <w:rsid w:val="00F546EB"/>
    <w:rsid w:val="00F86B7F"/>
    <w:rsid w:val="00FA347D"/>
    <w:rsid w:val="00FB3452"/>
    <w:rsid w:val="00FB3771"/>
    <w:rsid w:val="00FB70DA"/>
    <w:rsid w:val="00FB728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A8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D2"/>
    <w:pPr>
      <w:spacing w:line="256" w:lineRule="auto"/>
    </w:pPr>
    <w:rPr>
      <w:lang w:val="en-US"/>
    </w:rPr>
  </w:style>
  <w:style w:type="paragraph" w:styleId="Heading2">
    <w:name w:val="heading 2"/>
    <w:basedOn w:val="Normal"/>
    <w:next w:val="Normal"/>
    <w:link w:val="Heading2Char"/>
    <w:uiPriority w:val="9"/>
    <w:unhideWhenUsed/>
    <w:qFormat/>
    <w:rsid w:val="00BE7B27"/>
    <w:pPr>
      <w:keepNext/>
      <w:keepLines/>
      <w:spacing w:before="360" w:after="120" w:line="240" w:lineRule="auto"/>
      <w:jc w:val="center"/>
      <w:outlineLvl w:val="1"/>
    </w:pPr>
    <w:rPr>
      <w:rFonts w:eastAsiaTheme="majorEastAsia" w:cstheme="majorBidi"/>
      <w:b/>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662D2"/>
    <w:pPr>
      <w:spacing w:after="0" w:line="240" w:lineRule="auto"/>
    </w:pPr>
    <w:rPr>
      <w:lang w:val="en-US"/>
    </w:rPr>
  </w:style>
  <w:style w:type="paragraph" w:styleId="BalloonText">
    <w:name w:val="Balloon Text"/>
    <w:basedOn w:val="Normal"/>
    <w:link w:val="BalloonTextChar"/>
    <w:uiPriority w:val="99"/>
    <w:semiHidden/>
    <w:unhideWhenUsed/>
    <w:rsid w:val="007A2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28E"/>
    <w:rPr>
      <w:rFonts w:ascii="Segoe UI" w:hAnsi="Segoe UI" w:cs="Segoe UI"/>
      <w:sz w:val="18"/>
      <w:szCs w:val="18"/>
      <w:lang w:val="en-US"/>
    </w:rPr>
  </w:style>
  <w:style w:type="paragraph" w:styleId="Header">
    <w:name w:val="header"/>
    <w:basedOn w:val="Normal"/>
    <w:link w:val="HeaderChar"/>
    <w:uiPriority w:val="99"/>
    <w:unhideWhenUsed/>
    <w:rsid w:val="000C4B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4B27"/>
    <w:rPr>
      <w:lang w:val="en-US"/>
    </w:rPr>
  </w:style>
  <w:style w:type="paragraph" w:customStyle="1" w:styleId="Default">
    <w:name w:val="Default"/>
    <w:rsid w:val="001B4F89"/>
    <w:pPr>
      <w:autoSpaceDE w:val="0"/>
      <w:autoSpaceDN w:val="0"/>
      <w:adjustRightInd w:val="0"/>
      <w:spacing w:after="0" w:line="240" w:lineRule="auto"/>
    </w:pPr>
    <w:rPr>
      <w:rFonts w:cs="Times New Roman"/>
      <w:color w:val="000000"/>
      <w:szCs w:val="24"/>
    </w:rPr>
  </w:style>
  <w:style w:type="character" w:customStyle="1" w:styleId="Heading2Char">
    <w:name w:val="Heading 2 Char"/>
    <w:basedOn w:val="DefaultParagraphFont"/>
    <w:link w:val="Heading2"/>
    <w:uiPriority w:val="9"/>
    <w:rsid w:val="00BE7B27"/>
    <w:rPr>
      <w:rFonts w:eastAsiaTheme="majorEastAsia" w:cstheme="majorBidi"/>
      <w:b/>
      <w:szCs w:val="26"/>
    </w:rPr>
  </w:style>
  <w:style w:type="paragraph" w:styleId="NormalWeb">
    <w:name w:val="Normal (Web)"/>
    <w:basedOn w:val="Normal"/>
    <w:uiPriority w:val="99"/>
    <w:semiHidden/>
    <w:unhideWhenUsed/>
    <w:rsid w:val="00413DF8"/>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413DF8"/>
    <w:rPr>
      <w:color w:val="0000FF"/>
      <w:u w:val="single"/>
    </w:rPr>
  </w:style>
  <w:style w:type="paragraph" w:styleId="Footer">
    <w:name w:val="footer"/>
    <w:basedOn w:val="Normal"/>
    <w:link w:val="FooterChar"/>
    <w:uiPriority w:val="99"/>
    <w:unhideWhenUsed/>
    <w:rsid w:val="00750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338"/>
    <w:rPr>
      <w:lang w:val="en-US"/>
    </w:rPr>
  </w:style>
  <w:style w:type="paragraph" w:styleId="FootnoteText">
    <w:name w:val="footnote text"/>
    <w:basedOn w:val="Normal"/>
    <w:link w:val="FootnoteTextChar"/>
    <w:uiPriority w:val="99"/>
    <w:semiHidden/>
    <w:unhideWhenUsed/>
    <w:rsid w:val="003A753E"/>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3A753E"/>
    <w:rPr>
      <w:sz w:val="20"/>
      <w:szCs w:val="20"/>
    </w:rPr>
  </w:style>
  <w:style w:type="character" w:styleId="FootnoteReference">
    <w:name w:val="footnote reference"/>
    <w:basedOn w:val="DefaultParagraphFont"/>
    <w:uiPriority w:val="99"/>
    <w:semiHidden/>
    <w:unhideWhenUsed/>
    <w:rsid w:val="003A753E"/>
    <w:rPr>
      <w:vertAlign w:val="superscript"/>
    </w:rPr>
  </w:style>
  <w:style w:type="paragraph" w:styleId="Revision">
    <w:name w:val="Revision"/>
    <w:hidden/>
    <w:uiPriority w:val="99"/>
    <w:semiHidden/>
    <w:rsid w:val="00EA4A48"/>
    <w:pPr>
      <w:spacing w:after="0" w:line="240" w:lineRule="auto"/>
    </w:pPr>
    <w:rPr>
      <w:lang w:val="en-US"/>
    </w:rPr>
  </w:style>
  <w:style w:type="character" w:styleId="CommentReference">
    <w:name w:val="annotation reference"/>
    <w:basedOn w:val="DefaultParagraphFont"/>
    <w:uiPriority w:val="99"/>
    <w:semiHidden/>
    <w:unhideWhenUsed/>
    <w:rsid w:val="009252B3"/>
    <w:rPr>
      <w:sz w:val="16"/>
      <w:szCs w:val="16"/>
    </w:rPr>
  </w:style>
  <w:style w:type="paragraph" w:styleId="CommentText">
    <w:name w:val="annotation text"/>
    <w:basedOn w:val="Normal"/>
    <w:link w:val="CommentTextChar"/>
    <w:uiPriority w:val="99"/>
    <w:semiHidden/>
    <w:unhideWhenUsed/>
    <w:rsid w:val="009252B3"/>
    <w:pPr>
      <w:spacing w:line="240" w:lineRule="auto"/>
    </w:pPr>
    <w:rPr>
      <w:sz w:val="20"/>
      <w:szCs w:val="20"/>
    </w:rPr>
  </w:style>
  <w:style w:type="character" w:customStyle="1" w:styleId="CommentTextChar">
    <w:name w:val="Comment Text Char"/>
    <w:basedOn w:val="DefaultParagraphFont"/>
    <w:link w:val="CommentText"/>
    <w:uiPriority w:val="99"/>
    <w:semiHidden/>
    <w:rsid w:val="009252B3"/>
    <w:rPr>
      <w:sz w:val="20"/>
      <w:szCs w:val="20"/>
      <w:lang w:val="en-US"/>
    </w:rPr>
  </w:style>
  <w:style w:type="paragraph" w:styleId="CommentSubject">
    <w:name w:val="annotation subject"/>
    <w:basedOn w:val="CommentText"/>
    <w:next w:val="CommentText"/>
    <w:link w:val="CommentSubjectChar"/>
    <w:uiPriority w:val="99"/>
    <w:semiHidden/>
    <w:unhideWhenUsed/>
    <w:rsid w:val="009252B3"/>
    <w:rPr>
      <w:b/>
      <w:bCs/>
    </w:rPr>
  </w:style>
  <w:style w:type="character" w:customStyle="1" w:styleId="CommentSubjectChar">
    <w:name w:val="Comment Subject Char"/>
    <w:basedOn w:val="CommentTextChar"/>
    <w:link w:val="CommentSubject"/>
    <w:uiPriority w:val="99"/>
    <w:semiHidden/>
    <w:rsid w:val="009252B3"/>
    <w:rPr>
      <w:b/>
      <w:bCs/>
      <w:sz w:val="20"/>
      <w:szCs w:val="20"/>
      <w:lang w:val="en-US"/>
    </w:rPr>
  </w:style>
  <w:style w:type="character" w:styleId="FollowedHyperlink">
    <w:name w:val="FollowedHyperlink"/>
    <w:basedOn w:val="DefaultParagraphFont"/>
    <w:uiPriority w:val="99"/>
    <w:semiHidden/>
    <w:unhideWhenUsed/>
    <w:rsid w:val="00815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316154">
      <w:bodyDiv w:val="1"/>
      <w:marLeft w:val="0"/>
      <w:marRight w:val="0"/>
      <w:marTop w:val="0"/>
      <w:marBottom w:val="0"/>
      <w:divBdr>
        <w:top w:val="none" w:sz="0" w:space="0" w:color="auto"/>
        <w:left w:val="none" w:sz="0" w:space="0" w:color="auto"/>
        <w:bottom w:val="none" w:sz="0" w:space="0" w:color="auto"/>
        <w:right w:val="none" w:sz="0" w:space="0" w:color="auto"/>
      </w:divBdr>
    </w:div>
    <w:div w:id="1223712715">
      <w:bodyDiv w:val="1"/>
      <w:marLeft w:val="0"/>
      <w:marRight w:val="0"/>
      <w:marTop w:val="0"/>
      <w:marBottom w:val="0"/>
      <w:divBdr>
        <w:top w:val="none" w:sz="0" w:space="0" w:color="auto"/>
        <w:left w:val="none" w:sz="0" w:space="0" w:color="auto"/>
        <w:bottom w:val="none" w:sz="0" w:space="0" w:color="auto"/>
        <w:right w:val="none" w:sz="0" w:space="0" w:color="auto"/>
      </w:divBdr>
    </w:div>
    <w:div w:id="1723602292">
      <w:bodyDiv w:val="1"/>
      <w:marLeft w:val="0"/>
      <w:marRight w:val="0"/>
      <w:marTop w:val="0"/>
      <w:marBottom w:val="0"/>
      <w:divBdr>
        <w:top w:val="none" w:sz="0" w:space="0" w:color="auto"/>
        <w:left w:val="none" w:sz="0" w:space="0" w:color="auto"/>
        <w:bottom w:val="none" w:sz="0" w:space="0" w:color="auto"/>
        <w:right w:val="none" w:sz="0" w:space="0" w:color="auto"/>
      </w:divBdr>
    </w:div>
    <w:div w:id="1846700504">
      <w:bodyDiv w:val="1"/>
      <w:marLeft w:val="0"/>
      <w:marRight w:val="0"/>
      <w:marTop w:val="0"/>
      <w:marBottom w:val="0"/>
      <w:divBdr>
        <w:top w:val="none" w:sz="0" w:space="0" w:color="auto"/>
        <w:left w:val="none" w:sz="0" w:space="0" w:color="auto"/>
        <w:bottom w:val="none" w:sz="0" w:space="0" w:color="auto"/>
        <w:right w:val="none" w:sz="0" w:space="0" w:color="auto"/>
      </w:divBdr>
    </w:div>
    <w:div w:id="18565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stice.europa.eu/content_brussels_i_regulation_recast-350-lv-lv.do?member=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ur-lex.europa.eu/eli/reg/2012/1215/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34274-577A-47AC-B6E5-4ECBCF042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4735</Words>
  <Characters>2699</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2022-12-13T15:29:00Z</dcterms:created>
  <dcterms:modified xsi:type="dcterms:W3CDTF">2022-12-15T07:48:00Z</dcterms:modified>
</cp:coreProperties>
</file>