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11DB" w14:textId="77777777" w:rsidR="007A4254" w:rsidRDefault="007A4254" w:rsidP="007A4254">
      <w:pPr>
        <w:spacing w:line="276" w:lineRule="auto"/>
        <w:jc w:val="both"/>
        <w:rPr>
          <w:b/>
          <w:bCs/>
          <w:sz w:val="22"/>
          <w:szCs w:val="22"/>
          <w:lang w:eastAsia="lv-LV"/>
        </w:rPr>
      </w:pPr>
      <w:r>
        <w:rPr>
          <w:b/>
          <w:bCs/>
        </w:rPr>
        <w:t>Tiesneša goda un cieņas aizsardzība</w:t>
      </w:r>
    </w:p>
    <w:p w14:paraId="703FB94D" w14:textId="77777777" w:rsidR="007A4254" w:rsidRDefault="007A4254" w:rsidP="007A4254">
      <w:pPr>
        <w:spacing w:line="276" w:lineRule="auto"/>
        <w:jc w:val="both"/>
      </w:pPr>
      <w:r>
        <w:t xml:space="preserve">Tiesai ir jābauda sabiedrības uzticība, un tāpēc tā ir jāaizsargā pret nopietni kaitējošiem uzbrukumiem, kas ir pēc būtības nepamatoti. Minētais jāņem vērā, vērtējot, vai preses publikācija ir tik aizskaroša, ka pārkāpj uz presi attiecināmās vārda brīvības robežas, un tādējādi ir aizskārusi tiesneša godu un cieņu. </w:t>
      </w:r>
    </w:p>
    <w:p w14:paraId="57B4A865" w14:textId="77777777" w:rsidR="007A4254" w:rsidRDefault="007A4254" w:rsidP="007A4254">
      <w:pPr>
        <w:spacing w:line="276" w:lineRule="auto"/>
        <w:jc w:val="both"/>
      </w:pPr>
      <w:r>
        <w:t>Pat atbildot uz viņu kritizējošu publikāciju, tiesnesim saziņā ir jāievēro diskrētums. Šis apsvērums jāņem vērā pieļaujamās tiesneša kritikas robežu noteikšanā.</w:t>
      </w:r>
    </w:p>
    <w:p w14:paraId="40F1CB78" w14:textId="77777777" w:rsidR="007A4254" w:rsidRDefault="007A4254" w:rsidP="007A4254">
      <w:pPr>
        <w:spacing w:line="276" w:lineRule="auto"/>
        <w:jc w:val="both"/>
        <w:rPr>
          <w:b/>
        </w:rPr>
      </w:pPr>
    </w:p>
    <w:p w14:paraId="27E93E38" w14:textId="0158A655" w:rsidR="005C418F" w:rsidRPr="00F24C91" w:rsidRDefault="005C418F" w:rsidP="004F423C">
      <w:pPr>
        <w:spacing w:line="276" w:lineRule="auto"/>
        <w:jc w:val="center"/>
        <w:rPr>
          <w:b/>
        </w:rPr>
      </w:pPr>
      <w:r w:rsidRPr="00F24C91">
        <w:rPr>
          <w:b/>
        </w:rPr>
        <w:t>Latvijas Republikas Senāt</w:t>
      </w:r>
      <w:r w:rsidR="005A7751" w:rsidRPr="00F24C91">
        <w:rPr>
          <w:b/>
        </w:rPr>
        <w:t>a</w:t>
      </w:r>
    </w:p>
    <w:p w14:paraId="55EAE6A0" w14:textId="636C4856" w:rsidR="005A7751" w:rsidRPr="00F24C91" w:rsidRDefault="005A7751" w:rsidP="004F423C">
      <w:pPr>
        <w:spacing w:line="276" w:lineRule="auto"/>
        <w:jc w:val="center"/>
        <w:rPr>
          <w:b/>
        </w:rPr>
      </w:pPr>
      <w:r w:rsidRPr="00F24C91">
        <w:rPr>
          <w:b/>
        </w:rPr>
        <w:t>Civillietu departamenta</w:t>
      </w:r>
    </w:p>
    <w:p w14:paraId="57DFBA89" w14:textId="749D1777" w:rsidR="005A7751" w:rsidRPr="00F24C91" w:rsidRDefault="005A7751" w:rsidP="004F423C">
      <w:pPr>
        <w:spacing w:line="276" w:lineRule="auto"/>
        <w:jc w:val="center"/>
        <w:rPr>
          <w:b/>
        </w:rPr>
      </w:pPr>
      <w:proofErr w:type="gramStart"/>
      <w:r w:rsidRPr="00F24C91">
        <w:rPr>
          <w:b/>
        </w:rPr>
        <w:t>2022.gada</w:t>
      </w:r>
      <w:proofErr w:type="gramEnd"/>
      <w:r w:rsidRPr="00F24C91">
        <w:rPr>
          <w:b/>
        </w:rPr>
        <w:t xml:space="preserve"> 15.septembra</w:t>
      </w:r>
    </w:p>
    <w:sdt>
      <w:sdtPr>
        <w:rPr>
          <w:b/>
        </w:rPr>
        <w:id w:val="899789488"/>
        <w:placeholder>
          <w:docPart w:val="F2B6534A6B6E46B09B5108CC4013B9C5"/>
        </w:placeholder>
        <w:comboBox>
          <w:listItem w:displayText="SPRIEDUMS" w:value="SPRIEDUMS"/>
          <w:listItem w:displayText="LĒMUMS" w:value="LĒMUMS"/>
          <w:listItem w:displayText="RĪCĪBAS SĒDES LĒMUMS" w:value="RĪCĪBAS SĒDES LĒMUMS"/>
        </w:comboBox>
      </w:sdtPr>
      <w:sdtEndPr/>
      <w:sdtContent>
        <w:p w14:paraId="71185B1A" w14:textId="77777777" w:rsidR="005A7751" w:rsidRPr="00F24C91" w:rsidRDefault="005A7751" w:rsidP="004F423C">
          <w:pPr>
            <w:spacing w:line="276" w:lineRule="auto"/>
            <w:jc w:val="center"/>
            <w:rPr>
              <w:b/>
            </w:rPr>
          </w:pPr>
          <w:r w:rsidRPr="00F24C91">
            <w:rPr>
              <w:b/>
            </w:rPr>
            <w:t>SPRIEDUMS</w:t>
          </w:r>
        </w:p>
      </w:sdtContent>
    </w:sdt>
    <w:p w14:paraId="571C3E46" w14:textId="47D31DAC" w:rsidR="005A7751" w:rsidRPr="00F24C91" w:rsidRDefault="005A7751" w:rsidP="004F423C">
      <w:pPr>
        <w:spacing w:line="276" w:lineRule="auto"/>
        <w:jc w:val="center"/>
        <w:rPr>
          <w:b/>
          <w:bCs/>
          <w:lang w:eastAsia="lv-LV"/>
        </w:rPr>
      </w:pPr>
      <w:r w:rsidRPr="00F24C91">
        <w:rPr>
          <w:b/>
          <w:bCs/>
          <w:lang w:eastAsia="lv-LV"/>
        </w:rPr>
        <w:t>Lieta Nr.</w:t>
      </w:r>
      <w:r w:rsidRPr="00F24C91">
        <w:rPr>
          <w:b/>
          <w:bCs/>
        </w:rPr>
        <w:t> </w:t>
      </w:r>
      <w:r w:rsidRPr="00F24C91">
        <w:rPr>
          <w:b/>
          <w:bCs/>
          <w:lang w:eastAsia="lv-LV"/>
        </w:rPr>
        <w:t>C73521818, SKC</w:t>
      </w:r>
      <w:r w:rsidRPr="00F24C91">
        <w:rPr>
          <w:b/>
          <w:bCs/>
          <w:lang w:eastAsia="lv-LV"/>
        </w:rPr>
        <w:noBreakHyphen/>
        <w:t>13/2022</w:t>
      </w:r>
    </w:p>
    <w:p w14:paraId="09263551" w14:textId="5518696D" w:rsidR="005A7751" w:rsidRPr="00F24C91" w:rsidRDefault="003378D8" w:rsidP="004F423C">
      <w:pPr>
        <w:spacing w:line="276" w:lineRule="auto"/>
        <w:jc w:val="center"/>
        <w:rPr>
          <w:lang w:eastAsia="lv-LV"/>
        </w:rPr>
      </w:pPr>
      <w:hyperlink r:id="rId8" w:history="1">
        <w:r w:rsidR="00F61F9D" w:rsidRPr="00F24C91">
          <w:rPr>
            <w:rStyle w:val="Hyperlink"/>
            <w:shd w:val="clear" w:color="auto" w:fill="FFFFFF"/>
          </w:rPr>
          <w:t>ECLI:LV:AT:2022:0915.C73521818.10.S</w:t>
        </w:r>
      </w:hyperlink>
    </w:p>
    <w:p w14:paraId="5CAF960C" w14:textId="77777777" w:rsidR="005A7751" w:rsidRPr="00F24C91" w:rsidRDefault="005A7751" w:rsidP="004F423C">
      <w:pPr>
        <w:spacing w:line="276" w:lineRule="auto"/>
        <w:jc w:val="center"/>
        <w:rPr>
          <w:b/>
        </w:rPr>
      </w:pPr>
    </w:p>
    <w:p w14:paraId="7C7D06B6" w14:textId="1B4AE004" w:rsidR="00866148" w:rsidRPr="00F24C91" w:rsidRDefault="003378D8" w:rsidP="004F423C">
      <w:pPr>
        <w:spacing w:line="276" w:lineRule="auto"/>
        <w:ind w:firstLine="709"/>
        <w:jc w:val="both"/>
      </w:pPr>
      <w:sdt>
        <w:sdtPr>
          <w:id w:val="-902674180"/>
          <w:placeholder>
            <w:docPart w:val="2314BDE8D6594C50856BB1A7D5CBCE1D"/>
          </w:placeholder>
          <w:comboBox>
            <w:listItem w:displayText="Tiesa" w:value="Tiesa"/>
            <w:listItem w:displayText="Senatoru kolēģija" w:value="Senatoru kolēģija"/>
          </w:comboBox>
        </w:sdtPr>
        <w:sdtEndPr/>
        <w:sdtContent>
          <w:r w:rsidR="005C418F" w:rsidRPr="00F24C91">
            <w:t>Tiesa</w:t>
          </w:r>
        </w:sdtContent>
      </w:sdt>
      <w:r w:rsidR="005C418F" w:rsidRPr="00F24C91">
        <w:t xml:space="preserve"> šādā sastāvā</w:t>
      </w:r>
      <w:r w:rsidR="00280C3D" w:rsidRPr="00F24C91">
        <w:t xml:space="preserve">: </w:t>
      </w:r>
      <w:r w:rsidR="00920BF5" w:rsidRPr="00F24C91">
        <w:t>senators referents Normunds Salenieks,</w:t>
      </w:r>
      <w:r w:rsidR="00E70363" w:rsidRPr="00F24C91">
        <w:t xml:space="preserve"> senatori Kaspars Balodis</w:t>
      </w:r>
      <w:r w:rsidR="00280C3D" w:rsidRPr="00F24C91">
        <w:t xml:space="preserve"> un</w:t>
      </w:r>
      <w:r w:rsidR="00920BF5" w:rsidRPr="00F24C91">
        <w:t xml:space="preserve"> </w:t>
      </w:r>
      <w:r w:rsidR="00E70363" w:rsidRPr="00F24C91">
        <w:t>Dzintra Balta</w:t>
      </w:r>
    </w:p>
    <w:p w14:paraId="1B887AE8" w14:textId="60A2DC27" w:rsidR="005C418F" w:rsidRPr="00F24C91" w:rsidRDefault="00920BF5" w:rsidP="004F423C">
      <w:pPr>
        <w:spacing w:line="276" w:lineRule="auto"/>
        <w:ind w:firstLine="709"/>
        <w:jc w:val="both"/>
      </w:pPr>
      <w:r w:rsidRPr="00F24C91">
        <w:t xml:space="preserve">rakstveida procesā </w:t>
      </w:r>
      <w:r w:rsidR="00866148" w:rsidRPr="00F24C91">
        <w:t xml:space="preserve">izskatīja </w:t>
      </w:r>
      <w:r w:rsidR="005A7751" w:rsidRPr="00F24C91">
        <w:t>[pers. A]</w:t>
      </w:r>
      <w:r w:rsidR="00502CE4" w:rsidRPr="00F24C91">
        <w:t xml:space="preserve"> kasācijas sūdzību par Zemgales apgabaltiesas Civillietu tiesas kolēģijas 2020. gada 4. februāra spriedumu </w:t>
      </w:r>
      <w:r w:rsidRPr="00F24C91">
        <w:t>civilliet</w:t>
      </w:r>
      <w:r w:rsidR="00502CE4" w:rsidRPr="00F24C91">
        <w:t>ā</w:t>
      </w:r>
      <w:r w:rsidRPr="00F24C91">
        <w:t xml:space="preserve"> </w:t>
      </w:r>
      <w:r w:rsidR="005A7751" w:rsidRPr="00F24C91">
        <w:t>[pers. A]</w:t>
      </w:r>
      <w:r w:rsidR="00E70363" w:rsidRPr="00F24C91">
        <w:t xml:space="preserve"> </w:t>
      </w:r>
      <w:r w:rsidRPr="00F24C91">
        <w:t xml:space="preserve">prasībā pret </w:t>
      </w:r>
      <w:r w:rsidR="00E70363" w:rsidRPr="00F24C91">
        <w:t xml:space="preserve">AS „Cits medijs” un </w:t>
      </w:r>
      <w:r w:rsidR="009C5DE4" w:rsidRPr="00F24C91">
        <w:t>[pers. B]</w:t>
      </w:r>
      <w:r w:rsidR="00E70363" w:rsidRPr="00F24C91">
        <w:t xml:space="preserve"> </w:t>
      </w:r>
      <w:r w:rsidRPr="00F24C91">
        <w:t>par goda un cieņas aizskārumu</w:t>
      </w:r>
      <w:r w:rsidR="00280C3D" w:rsidRPr="00F24C91">
        <w:t xml:space="preserve"> un kompensācijas piedziņu</w:t>
      </w:r>
      <w:r w:rsidR="00CB42FB" w:rsidRPr="00F24C91">
        <w:t>.</w:t>
      </w:r>
    </w:p>
    <w:p w14:paraId="350A31D3" w14:textId="77777777" w:rsidR="004F423C" w:rsidRPr="00F24C91" w:rsidRDefault="004F423C" w:rsidP="004F423C">
      <w:pPr>
        <w:spacing w:line="276" w:lineRule="auto"/>
        <w:jc w:val="center"/>
        <w:rPr>
          <w:b/>
          <w:shd w:val="clear" w:color="auto" w:fill="FFFFFF"/>
        </w:rPr>
      </w:pPr>
    </w:p>
    <w:p w14:paraId="5DDFCE1A" w14:textId="73F26499" w:rsidR="005C418F" w:rsidRPr="00F24C91" w:rsidRDefault="005C418F" w:rsidP="004F423C">
      <w:pPr>
        <w:spacing w:line="276" w:lineRule="auto"/>
        <w:jc w:val="center"/>
        <w:rPr>
          <w:shd w:val="clear" w:color="auto" w:fill="FFFFFF"/>
        </w:rPr>
      </w:pPr>
      <w:r w:rsidRPr="00F24C91">
        <w:rPr>
          <w:b/>
          <w:shd w:val="clear" w:color="auto" w:fill="FFFFFF"/>
        </w:rPr>
        <w:t>Aprakstošā daļa</w:t>
      </w:r>
    </w:p>
    <w:p w14:paraId="4EDA3DB8" w14:textId="77777777" w:rsidR="004F423C" w:rsidRPr="00F24C91" w:rsidRDefault="004F423C" w:rsidP="004F423C">
      <w:pPr>
        <w:pStyle w:val="NormalWeb"/>
        <w:shd w:val="clear" w:color="auto" w:fill="FFFFFF"/>
        <w:spacing w:before="0" w:beforeAutospacing="0" w:after="0" w:afterAutospacing="0" w:line="276" w:lineRule="auto"/>
        <w:ind w:firstLine="709"/>
        <w:jc w:val="both"/>
        <w:rPr>
          <w:shd w:val="clear" w:color="auto" w:fill="FFFFFF"/>
        </w:rPr>
      </w:pPr>
    </w:p>
    <w:p w14:paraId="4B14727B" w14:textId="2AB8AD88" w:rsidR="0096765A" w:rsidRPr="00F24C91" w:rsidRDefault="0096765A" w:rsidP="004F423C">
      <w:pPr>
        <w:pStyle w:val="NormalWeb"/>
        <w:shd w:val="clear" w:color="auto" w:fill="FFFFFF"/>
        <w:spacing w:before="0" w:beforeAutospacing="0" w:after="0" w:afterAutospacing="0" w:line="276" w:lineRule="auto"/>
        <w:ind w:firstLine="709"/>
        <w:jc w:val="both"/>
        <w:rPr>
          <w:shd w:val="clear" w:color="auto" w:fill="FFFFFF"/>
        </w:rPr>
      </w:pPr>
      <w:r w:rsidRPr="00F24C91">
        <w:rPr>
          <w:shd w:val="clear" w:color="auto" w:fill="FFFFFF"/>
        </w:rPr>
        <w:t xml:space="preserve">[1] Prasītāja </w:t>
      </w:r>
      <w:r w:rsidR="005A7751" w:rsidRPr="00F24C91">
        <w:rPr>
          <w:shd w:val="clear" w:color="auto" w:fill="FFFFFF"/>
        </w:rPr>
        <w:t>[pers. A]</w:t>
      </w:r>
      <w:r w:rsidRPr="00F24C91">
        <w:rPr>
          <w:shd w:val="clear" w:color="auto" w:fill="FFFFFF"/>
        </w:rPr>
        <w:t xml:space="preserve"> iesniegusi tiesā prasības pieteikumu, kurā norādījusi, ka </w:t>
      </w:r>
      <w:r w:rsidR="00A44151" w:rsidRPr="00F24C91">
        <w:rPr>
          <w:shd w:val="clear" w:color="auto" w:fill="FFFFFF"/>
        </w:rPr>
        <w:t xml:space="preserve">AS „Cits medijs” piederošajā masu informācijas līdzeklī žurnālā </w:t>
      </w:r>
      <w:r w:rsidR="003E2ED6" w:rsidRPr="00F24C91">
        <w:rPr>
          <w:shd w:val="clear" w:color="auto" w:fill="FFFFFF"/>
        </w:rPr>
        <w:t>„Ir”</w:t>
      </w:r>
      <w:r w:rsidR="00A44151" w:rsidRPr="00F24C91">
        <w:rPr>
          <w:shd w:val="clear" w:color="auto" w:fill="FFFFFF"/>
        </w:rPr>
        <w:t xml:space="preserve"> laika periodā no 2017. gada </w:t>
      </w:r>
      <w:r w:rsidR="003E2ED6" w:rsidRPr="00F24C91">
        <w:rPr>
          <w:shd w:val="clear" w:color="auto" w:fill="FFFFFF"/>
        </w:rPr>
        <w:t>23.</w:t>
      </w:r>
      <w:r w:rsidR="009C5DE4" w:rsidRPr="00F24C91">
        <w:rPr>
          <w:shd w:val="clear" w:color="auto" w:fill="FFFFFF"/>
        </w:rPr>
        <w:t xml:space="preserve"> </w:t>
      </w:r>
      <w:r w:rsidR="00A44151" w:rsidRPr="00F24C91">
        <w:rPr>
          <w:shd w:val="clear" w:color="auto" w:fill="FFFFFF"/>
        </w:rPr>
        <w:t xml:space="preserve">novembra līdz 2017. gada </w:t>
      </w:r>
      <w:r w:rsidR="003E2ED6" w:rsidRPr="00F24C91">
        <w:rPr>
          <w:shd w:val="clear" w:color="auto" w:fill="FFFFFF"/>
        </w:rPr>
        <w:t>13.</w:t>
      </w:r>
      <w:r w:rsidR="009C5DE4" w:rsidRPr="00F24C91">
        <w:rPr>
          <w:shd w:val="clear" w:color="auto" w:fill="FFFFFF"/>
        </w:rPr>
        <w:t xml:space="preserve"> </w:t>
      </w:r>
      <w:r w:rsidR="00A44151" w:rsidRPr="00F24C91">
        <w:rPr>
          <w:shd w:val="clear" w:color="auto" w:fill="FFFFFF"/>
        </w:rPr>
        <w:t>decembrim publicētie raksti</w:t>
      </w:r>
      <w:r w:rsidR="00602736" w:rsidRPr="00F24C91">
        <w:rPr>
          <w:shd w:val="clear" w:color="auto" w:fill="FFFFFF"/>
        </w:rPr>
        <w:t xml:space="preserve">, kuriem kā autore norādīta žurnāliste </w:t>
      </w:r>
      <w:r w:rsidR="009C5DE4" w:rsidRPr="00F24C91">
        <w:rPr>
          <w:shd w:val="clear" w:color="auto" w:fill="FFFFFF"/>
        </w:rPr>
        <w:t>[pers. B]</w:t>
      </w:r>
      <w:r w:rsidR="00602736" w:rsidRPr="00F24C91">
        <w:rPr>
          <w:shd w:val="clear" w:color="auto" w:fill="FFFFFF"/>
        </w:rPr>
        <w:t>,</w:t>
      </w:r>
      <w:r w:rsidR="00A44151" w:rsidRPr="00F24C91">
        <w:rPr>
          <w:shd w:val="clear" w:color="auto" w:fill="FFFFFF"/>
        </w:rPr>
        <w:t xml:space="preserve"> </w:t>
      </w:r>
      <w:r w:rsidRPr="00F24C91">
        <w:t xml:space="preserve">smagi apvaino prasītāju, </w:t>
      </w:r>
      <w:r w:rsidR="007D10BF" w:rsidRPr="00F24C91">
        <w:t xml:space="preserve">kura stādā tiesneša amatā, </w:t>
      </w:r>
      <w:r w:rsidRPr="00F24C91">
        <w:t xml:space="preserve">jo atspoguļo </w:t>
      </w:r>
      <w:r w:rsidR="007D10BF" w:rsidRPr="00F24C91">
        <w:t>viņu</w:t>
      </w:r>
      <w:r w:rsidRPr="00F24C91">
        <w:t xml:space="preserve"> kā nekompetentu, paviršu vai korumpētu amatpersonu – tādu, kāda patiesībā viņa nav.</w:t>
      </w:r>
      <w:r w:rsidRPr="00F24C91">
        <w:rPr>
          <w:shd w:val="clear" w:color="auto" w:fill="FFFFFF"/>
        </w:rPr>
        <w:t xml:space="preserve"> Prasība pamatota ar Civillikuma 2352.</w:t>
      </w:r>
      <w:r w:rsidRPr="00F24C91">
        <w:rPr>
          <w:shd w:val="clear" w:color="auto" w:fill="FFFFFF"/>
          <w:vertAlign w:val="superscript"/>
        </w:rPr>
        <w:t>1</w:t>
      </w:r>
      <w:r w:rsidRPr="00F24C91">
        <w:rPr>
          <w:shd w:val="clear" w:color="auto" w:fill="FFFFFF"/>
        </w:rPr>
        <w:t> pantu, likuma „Par presi un citiem masu informācijas līdzekļiem” 7. un 21. pantu.</w:t>
      </w:r>
    </w:p>
    <w:p w14:paraId="6A78BEF5" w14:textId="24915749" w:rsidR="0096765A" w:rsidRPr="00F24C91" w:rsidRDefault="0096765A" w:rsidP="004F423C">
      <w:pPr>
        <w:pStyle w:val="NormalWeb"/>
        <w:shd w:val="clear" w:color="auto" w:fill="FFFFFF"/>
        <w:spacing w:before="0" w:beforeAutospacing="0" w:after="0" w:afterAutospacing="0" w:line="276" w:lineRule="auto"/>
        <w:ind w:firstLine="709"/>
        <w:jc w:val="both"/>
        <w:rPr>
          <w:shd w:val="clear" w:color="auto" w:fill="FFFFFF"/>
        </w:rPr>
      </w:pPr>
      <w:r w:rsidRPr="00F24C91">
        <w:rPr>
          <w:shd w:val="clear" w:color="auto" w:fill="FFFFFF"/>
        </w:rPr>
        <w:t>Prasītāja lūdz: 1) atzīt, ka rakst</w:t>
      </w:r>
      <w:r w:rsidR="00602736" w:rsidRPr="00F24C91">
        <w:rPr>
          <w:shd w:val="clear" w:color="auto" w:fill="FFFFFF"/>
        </w:rPr>
        <w:t xml:space="preserve">os </w:t>
      </w:r>
      <w:r w:rsidRPr="00F24C91">
        <w:rPr>
          <w:shd w:val="clear" w:color="auto" w:fill="FFFFFF"/>
        </w:rPr>
        <w:t xml:space="preserve">ietvertas prasītājas godu un cieņu aizskarošas ziņas; 2) uzlikt par pienākumu </w:t>
      </w:r>
      <w:r w:rsidR="009C5DE4" w:rsidRPr="00F24C91">
        <w:rPr>
          <w:shd w:val="clear" w:color="auto" w:fill="FFFFFF"/>
        </w:rPr>
        <w:t>[pers. B]</w:t>
      </w:r>
      <w:r w:rsidRPr="00F24C91">
        <w:rPr>
          <w:shd w:val="clear" w:color="auto" w:fill="FFFFFF"/>
        </w:rPr>
        <w:t xml:space="preserve"> un AS „Cits medijs” publiski atvainoties prasītājai par goda un cieņas aizskārumu, atvainošanos publicējot žurnālā</w:t>
      </w:r>
      <w:proofErr w:type="gramStart"/>
      <w:r w:rsidR="00F77331" w:rsidRPr="00F24C91">
        <w:rPr>
          <w:shd w:val="clear" w:color="auto" w:fill="FFFFFF"/>
        </w:rPr>
        <w:t xml:space="preserve"> ,I</w:t>
      </w:r>
      <w:proofErr w:type="gramEnd"/>
      <w:r w:rsidR="00F77331" w:rsidRPr="00F24C91">
        <w:rPr>
          <w:shd w:val="clear" w:color="auto" w:fill="FFFFFF"/>
        </w:rPr>
        <w:t>r”</w:t>
      </w:r>
      <w:r w:rsidRPr="00F24C91">
        <w:rPr>
          <w:shd w:val="clear" w:color="auto" w:fill="FFFFFF"/>
        </w:rPr>
        <w:t>, kā arī nodrošināt to, ka rakstu elektroniskās versijas pieejamas tikai kopā ar rakstu par atvainošanos; 3) piedzīt no AS „Cits medijs” kompensāciju par labu prasītājai kā atlīdzību par viņas goda un cieņas aizskārumu pēc tiesas ieskata, bet ne mazāku kā 5000 </w:t>
      </w:r>
      <w:r w:rsidR="0056264A" w:rsidRPr="00F24C91">
        <w:rPr>
          <w:shd w:val="clear" w:color="auto" w:fill="FFFFFF"/>
        </w:rPr>
        <w:t>EUR</w:t>
      </w:r>
      <w:r w:rsidRPr="00F24C91">
        <w:rPr>
          <w:shd w:val="clear" w:color="auto" w:fill="FFFFFF"/>
        </w:rPr>
        <w:t>; 4) atzīt prasītājas tiesības par laiku līdz sprieduma izpildei saņemt 6 % procentus gadā no piedzenamajām summām.</w:t>
      </w:r>
    </w:p>
    <w:p w14:paraId="5FE9B239" w14:textId="75E870EE" w:rsidR="0096765A" w:rsidRPr="00F24C91" w:rsidRDefault="0096765A" w:rsidP="004F423C">
      <w:pPr>
        <w:pStyle w:val="NormalWeb"/>
        <w:shd w:val="clear" w:color="auto" w:fill="FFFFFF"/>
        <w:spacing w:before="0" w:beforeAutospacing="0" w:after="0" w:afterAutospacing="0" w:line="276" w:lineRule="auto"/>
        <w:ind w:firstLine="709"/>
        <w:jc w:val="both"/>
        <w:rPr>
          <w:shd w:val="clear" w:color="auto" w:fill="FFFFFF"/>
        </w:rPr>
      </w:pPr>
    </w:p>
    <w:p w14:paraId="70A7FB4D" w14:textId="77777777" w:rsidR="003E2ED6" w:rsidRPr="00F24C91" w:rsidRDefault="003E2ED6" w:rsidP="003E2ED6">
      <w:pPr>
        <w:pStyle w:val="NormalWeb"/>
        <w:shd w:val="clear" w:color="auto" w:fill="FFFFFF"/>
        <w:spacing w:before="0" w:beforeAutospacing="0" w:after="0" w:afterAutospacing="0"/>
        <w:ind w:firstLine="709"/>
        <w:jc w:val="both"/>
        <w:rPr>
          <w:shd w:val="clear" w:color="auto" w:fill="FFFFFF"/>
        </w:rPr>
      </w:pPr>
      <w:r w:rsidRPr="00F24C91">
        <w:rPr>
          <w:shd w:val="clear" w:color="auto" w:fill="FFFFFF"/>
        </w:rPr>
        <w:t>[2] </w:t>
      </w:r>
      <w:bookmarkStart w:id="0" w:name="_Hlk108455697"/>
      <w:r w:rsidRPr="00F24C91">
        <w:rPr>
          <w:shd w:val="clear" w:color="auto" w:fill="FFFFFF"/>
        </w:rPr>
        <w:t xml:space="preserve">Prasītāja atsaucas uz šādiem žurnālā „Ir” publicētiem rakstiem </w:t>
      </w:r>
      <w:bookmarkEnd w:id="0"/>
      <w:r w:rsidRPr="00F24C91">
        <w:rPr>
          <w:shd w:val="clear" w:color="auto" w:fill="FFFFFF"/>
        </w:rPr>
        <w:t>(turpmāk – rakstu sērija): 1) „</w:t>
      </w:r>
      <w:hyperlink r:id="rId9" w:history="1">
        <w:r w:rsidRPr="00F24C91">
          <w:rPr>
            <w:rStyle w:val="Hyperlink"/>
            <w:shd w:val="clear" w:color="auto" w:fill="FFFFFF"/>
          </w:rPr>
          <w:t>Tiesneši pret likumu</w:t>
        </w:r>
      </w:hyperlink>
      <w:r w:rsidRPr="00F24C91">
        <w:rPr>
          <w:shd w:val="clear" w:color="auto" w:fill="FFFFFF"/>
        </w:rPr>
        <w:t>” (23. un 29. novembris, 2017, turpmāk – 1. raksts); 2) „</w:t>
      </w:r>
      <w:hyperlink r:id="rId10" w:history="1">
        <w:r w:rsidRPr="00F24C91">
          <w:rPr>
            <w:rStyle w:val="Hyperlink"/>
            <w:shd w:val="clear" w:color="auto" w:fill="FFFFFF"/>
          </w:rPr>
          <w:t xml:space="preserve">Shēmotāju </w:t>
        </w:r>
        <w:proofErr w:type="spellStart"/>
        <w:r w:rsidRPr="00F24C91">
          <w:rPr>
            <w:rStyle w:val="Hyperlink"/>
            <w:shd w:val="clear" w:color="auto" w:fill="FFFFFF"/>
          </w:rPr>
          <w:t>glābējeņģeļi</w:t>
        </w:r>
        <w:proofErr w:type="spellEnd"/>
      </w:hyperlink>
      <w:r w:rsidRPr="00F24C91">
        <w:rPr>
          <w:shd w:val="clear" w:color="auto" w:fill="FFFFFF"/>
        </w:rPr>
        <w:t>” (30. novembris un 6. decembris, 2017, turpmāk – 2. raksts); 3) „</w:t>
      </w:r>
      <w:hyperlink r:id="rId11" w:history="1">
        <w:r w:rsidRPr="00F24C91">
          <w:rPr>
            <w:rStyle w:val="Hyperlink"/>
            <w:shd w:val="clear" w:color="auto" w:fill="FFFFFF"/>
          </w:rPr>
          <w:t>Nav vārdu</w:t>
        </w:r>
      </w:hyperlink>
      <w:r w:rsidRPr="00F24C91">
        <w:rPr>
          <w:shd w:val="clear" w:color="auto" w:fill="FFFFFF"/>
        </w:rPr>
        <w:t>” (7. un 13. decembris, 2017, turpmāk – 3. raksts).</w:t>
      </w:r>
    </w:p>
    <w:p w14:paraId="3BB29E24" w14:textId="2EE9C673" w:rsidR="00DB12AA" w:rsidRPr="00F24C91" w:rsidRDefault="00DB12AA" w:rsidP="004F423C">
      <w:pPr>
        <w:pStyle w:val="NormalWeb"/>
        <w:shd w:val="clear" w:color="auto" w:fill="FFFFFF"/>
        <w:spacing w:before="0" w:beforeAutospacing="0" w:after="0" w:afterAutospacing="0" w:line="276" w:lineRule="auto"/>
        <w:ind w:firstLine="709"/>
        <w:jc w:val="both"/>
      </w:pPr>
      <w:r w:rsidRPr="00F24C91">
        <w:t>[</w:t>
      </w:r>
      <w:r w:rsidR="00474B5B" w:rsidRPr="00F24C91">
        <w:t>2</w:t>
      </w:r>
      <w:r w:rsidRPr="00F24C91">
        <w:t>.1]</w:t>
      </w:r>
      <w:r w:rsidR="00A047E3" w:rsidRPr="00F24C91">
        <w:t> </w:t>
      </w:r>
      <w:r w:rsidRPr="00F24C91">
        <w:t xml:space="preserve">1. raksta ievadā norādīts rakstu sērijas mērķis: „Ļaunprātīgos maksātnespējas procesos Latvija septiņos gados zaudējusi vismaz 665 miljonus eiro – </w:t>
      </w:r>
      <w:proofErr w:type="gramStart"/>
      <w:r w:rsidR="00FA62E8" w:rsidRPr="00F24C91">
        <w:t>šis Ārvalstu investoru padomes</w:t>
      </w:r>
      <w:proofErr w:type="gramEnd"/>
      <w:r w:rsidRPr="00F24C91">
        <w:t xml:space="preserve"> pērn aplēstais skaitlis medijos daudz atkārtots. Bet kurš par to ir atbildīgs? Atsevišķos maksātnespējas procesos gaismā celti administratoru pārkāpumi, taču ēnā nedrīkst palikt fakts, </w:t>
      </w:r>
      <w:r w:rsidRPr="00F24C91">
        <w:lastRenderedPageBreak/>
        <w:t xml:space="preserve">ka par visām maksātnespējas lietām Latvijā lemj tiesa. Tāpēc </w:t>
      </w:r>
      <w:r w:rsidR="003E2ED6" w:rsidRPr="00F24C91">
        <w:t>„Ir”</w:t>
      </w:r>
      <w:r w:rsidRPr="00F24C91">
        <w:t xml:space="preserve"> pēta – kuri tiesneši ir gājuši pret likumu, ļaujot negodprātīgam biznesam zelt uz tiesiskuma rēķina?”</w:t>
      </w:r>
    </w:p>
    <w:p w14:paraId="5D619C62" w14:textId="0D193477" w:rsidR="003C7A7E" w:rsidRPr="00F24C91" w:rsidRDefault="00DB12AA" w:rsidP="004F423C">
      <w:pPr>
        <w:pStyle w:val="NormalWeb"/>
        <w:shd w:val="clear" w:color="auto" w:fill="FFFFFF"/>
        <w:spacing w:before="0" w:beforeAutospacing="0" w:after="0" w:afterAutospacing="0" w:line="276" w:lineRule="auto"/>
        <w:ind w:firstLine="709"/>
        <w:jc w:val="both"/>
      </w:pPr>
      <w:r w:rsidRPr="00F24C91">
        <w:t>Z</w:t>
      </w:r>
      <w:r w:rsidR="003C7A7E" w:rsidRPr="00F24C91">
        <w:t>em apakšvirsraksta „</w:t>
      </w:r>
      <w:r w:rsidR="00071651" w:rsidRPr="00F24C91">
        <w:t>A</w:t>
      </w:r>
      <w:r w:rsidR="003C7A7E" w:rsidRPr="00F24C91">
        <w:t xml:space="preserve">izdomīgo lietu rekordisti – tiesneši, pie kuriem visbiežāk nonāca </w:t>
      </w:r>
      <w:r w:rsidR="00E23F0D" w:rsidRPr="00F24C91">
        <w:t>„</w:t>
      </w:r>
      <w:r w:rsidR="003C7A7E" w:rsidRPr="00F24C91">
        <w:t>ceļojošo firmu” maksātnespējas vai tiesiskās aizsardzības procesa lietas”</w:t>
      </w:r>
      <w:r w:rsidR="00F61F9D" w:rsidRPr="00F24C91">
        <w:t xml:space="preserve"> [numurs]</w:t>
      </w:r>
      <w:r w:rsidR="008F0476" w:rsidRPr="00F24C91">
        <w:t> </w:t>
      </w:r>
      <w:r w:rsidR="003C7A7E" w:rsidRPr="00F24C91">
        <w:t xml:space="preserve">pozīcijā norādīta </w:t>
      </w:r>
      <w:r w:rsidR="00E02B62" w:rsidRPr="00F24C91">
        <w:t xml:space="preserve">[..] </w:t>
      </w:r>
      <w:r w:rsidR="003C7A7E" w:rsidRPr="00F24C91">
        <w:t xml:space="preserve">tiesnese </w:t>
      </w:r>
      <w:r w:rsidR="005A7751" w:rsidRPr="00F24C91">
        <w:t>[pers. A]</w:t>
      </w:r>
      <w:r w:rsidR="003C7A7E" w:rsidRPr="00F24C91">
        <w:t>. Raksta nobeigumā norādīts, ka nākamajā numurā tiks minēts, kuri tiesneši visbiežāk pārkāpuši likumu aizdomīgajos maksātnespējas procesos.</w:t>
      </w:r>
    </w:p>
    <w:p w14:paraId="2859FA99" w14:textId="30D8D134" w:rsidR="00DB12AA" w:rsidRPr="00F24C91" w:rsidRDefault="00DB12AA" w:rsidP="004F423C">
      <w:pPr>
        <w:pStyle w:val="NormalWeb"/>
        <w:shd w:val="clear" w:color="auto" w:fill="FFFFFF"/>
        <w:spacing w:before="0" w:beforeAutospacing="0" w:after="0" w:afterAutospacing="0" w:line="276" w:lineRule="auto"/>
        <w:ind w:firstLine="709"/>
        <w:jc w:val="both"/>
        <w:rPr>
          <w:shd w:val="clear" w:color="auto" w:fill="FFFFFF"/>
        </w:rPr>
      </w:pPr>
      <w:r w:rsidRPr="00F24C91">
        <w:rPr>
          <w:shd w:val="clear" w:color="auto" w:fill="FFFFFF"/>
        </w:rPr>
        <w:t>[</w:t>
      </w:r>
      <w:r w:rsidR="00474B5B" w:rsidRPr="00F24C91">
        <w:rPr>
          <w:shd w:val="clear" w:color="auto" w:fill="FFFFFF"/>
        </w:rPr>
        <w:t>2</w:t>
      </w:r>
      <w:r w:rsidRPr="00F24C91">
        <w:rPr>
          <w:shd w:val="clear" w:color="auto" w:fill="FFFFFF"/>
        </w:rPr>
        <w:t>.2]</w:t>
      </w:r>
      <w:r w:rsidR="00A047E3" w:rsidRPr="00F24C91">
        <w:rPr>
          <w:shd w:val="clear" w:color="auto" w:fill="FFFFFF"/>
        </w:rPr>
        <w:t> </w:t>
      </w:r>
      <w:r w:rsidR="003C7A7E" w:rsidRPr="00F24C91">
        <w:rPr>
          <w:shd w:val="clear" w:color="auto" w:fill="FFFFFF"/>
        </w:rPr>
        <w:t>2. rakst</w:t>
      </w:r>
      <w:r w:rsidR="002C5563" w:rsidRPr="00F24C91">
        <w:rPr>
          <w:shd w:val="clear" w:color="auto" w:fill="FFFFFF"/>
        </w:rPr>
        <w:t>s</w:t>
      </w:r>
      <w:r w:rsidR="002C5563" w:rsidRPr="00F24C91">
        <w:t xml:space="preserve"> iesākas ar vārdiem: „Nekompetence, paviršība vai varbūt korupcija? Šāds jautājums rodas, pētot to tiesnešu pieļautos likumpārkāpumus, pie kuriem visbiežāk nonākuši uzņēmumi, kuri neilgi pirms maksātnespējas vai tiesiskās aizsardzības mainījuši savu juridisko adresi [..] Pirms nedēļas stāstījām par bēdīgo kopainu, šoreiz</w:t>
      </w:r>
      <w:r w:rsidRPr="00F24C91">
        <w:t xml:space="preserve"> –</w:t>
      </w:r>
      <w:r w:rsidR="002C5563" w:rsidRPr="00F24C91">
        <w:t xml:space="preserve"> sīkāk par konkrētiem tiesnešiem un viņu kļūdām lietās, kur lemts par miljoniem</w:t>
      </w:r>
      <w:r w:rsidR="00213CDA" w:rsidRPr="00F24C91">
        <w:t>.</w:t>
      </w:r>
      <w:r w:rsidR="002C5563" w:rsidRPr="00F24C91">
        <w:t>”</w:t>
      </w:r>
      <w:r w:rsidR="00071651" w:rsidRPr="00F24C91">
        <w:rPr>
          <w:shd w:val="clear" w:color="auto" w:fill="FFFFFF"/>
        </w:rPr>
        <w:t xml:space="preserve"> </w:t>
      </w:r>
    </w:p>
    <w:p w14:paraId="5662FB4C" w14:textId="0AE64D58" w:rsidR="00063D9D" w:rsidRPr="00F24C91" w:rsidRDefault="00DB12AA" w:rsidP="004F423C">
      <w:pPr>
        <w:pStyle w:val="NormalWeb"/>
        <w:shd w:val="clear" w:color="auto" w:fill="FFFFFF"/>
        <w:spacing w:before="0" w:beforeAutospacing="0" w:after="0" w:afterAutospacing="0" w:line="276" w:lineRule="auto"/>
        <w:ind w:firstLine="709"/>
        <w:jc w:val="both"/>
        <w:rPr>
          <w:shd w:val="clear" w:color="auto" w:fill="FFFFFF"/>
        </w:rPr>
      </w:pPr>
      <w:r w:rsidRPr="00F24C91">
        <w:rPr>
          <w:shd w:val="clear" w:color="auto" w:fill="FFFFFF"/>
        </w:rPr>
        <w:t>Z</w:t>
      </w:r>
      <w:r w:rsidR="00213CDA" w:rsidRPr="00F24C91">
        <w:rPr>
          <w:shd w:val="clear" w:color="auto" w:fill="FFFFFF"/>
        </w:rPr>
        <w:t>em apakšvirsraksta „</w:t>
      </w:r>
      <w:r w:rsidR="00E02B62" w:rsidRPr="00F24C91">
        <w:rPr>
          <w:shd w:val="clear" w:color="auto" w:fill="FFFFFF"/>
        </w:rPr>
        <w:t>[..]</w:t>
      </w:r>
      <w:r w:rsidR="00213CDA" w:rsidRPr="00F24C91">
        <w:rPr>
          <w:shd w:val="clear" w:color="auto" w:fill="FFFFFF"/>
        </w:rPr>
        <w:t xml:space="preserve"> priekšpilsētas var!” </w:t>
      </w:r>
      <w:r w:rsidR="003C7A7E" w:rsidRPr="00F24C91">
        <w:rPr>
          <w:shd w:val="clear" w:color="auto" w:fill="FFFFFF"/>
        </w:rPr>
        <w:t xml:space="preserve">iekļauta informācija par </w:t>
      </w:r>
      <w:r w:rsidR="00043F0B" w:rsidRPr="00F24C91">
        <w:rPr>
          <w:shd w:val="clear" w:color="auto" w:fill="FFFFFF"/>
        </w:rPr>
        <w:t xml:space="preserve">tiesnesi </w:t>
      </w:r>
      <w:r w:rsidR="005A7751" w:rsidRPr="00F24C91">
        <w:rPr>
          <w:shd w:val="clear" w:color="auto" w:fill="FFFFFF"/>
        </w:rPr>
        <w:t>[pers. A]</w:t>
      </w:r>
      <w:r w:rsidR="008F0476" w:rsidRPr="00F24C91">
        <w:rPr>
          <w:shd w:val="clear" w:color="auto" w:fill="FFFFFF"/>
        </w:rPr>
        <w:t>: 16</w:t>
      </w:r>
      <w:r w:rsidR="003C7A7E" w:rsidRPr="00F24C91">
        <w:rPr>
          <w:shd w:val="clear" w:color="auto" w:fill="FFFFFF"/>
        </w:rPr>
        <w:t xml:space="preserve"> ceļojošie uzņēmum</w:t>
      </w:r>
      <w:r w:rsidR="008F0476" w:rsidRPr="00F24C91">
        <w:rPr>
          <w:shd w:val="clear" w:color="auto" w:fill="FFFFFF"/>
        </w:rPr>
        <w:t xml:space="preserve">i; 0 </w:t>
      </w:r>
      <w:r w:rsidR="003C7A7E" w:rsidRPr="00F24C91">
        <w:rPr>
          <w:shd w:val="clear" w:color="auto" w:fill="FFFFFF"/>
        </w:rPr>
        <w:t>protesti Augstākajā tiesā</w:t>
      </w:r>
      <w:r w:rsidR="008F0476" w:rsidRPr="00F24C91">
        <w:rPr>
          <w:shd w:val="clear" w:color="auto" w:fill="FFFFFF"/>
        </w:rPr>
        <w:t>;</w:t>
      </w:r>
      <w:r w:rsidR="003C7A7E" w:rsidRPr="00F24C91">
        <w:rPr>
          <w:shd w:val="clear" w:color="auto" w:fill="FFFFFF"/>
        </w:rPr>
        <w:t xml:space="preserve"> </w:t>
      </w:r>
      <w:r w:rsidRPr="00F24C91">
        <w:rPr>
          <w:shd w:val="clear" w:color="auto" w:fill="FFFFFF"/>
        </w:rPr>
        <w:t>29.7 miljoni „atceļojušo” firmu saistību</w:t>
      </w:r>
      <w:r w:rsidR="00063D9D" w:rsidRPr="00F24C91">
        <w:rPr>
          <w:shd w:val="clear" w:color="auto" w:fill="FFFFFF"/>
        </w:rPr>
        <w:t>.</w:t>
      </w:r>
      <w:r w:rsidR="008F0476" w:rsidRPr="00F24C91">
        <w:rPr>
          <w:shd w:val="clear" w:color="auto" w:fill="FFFFFF"/>
        </w:rPr>
        <w:t xml:space="preserve"> </w:t>
      </w:r>
      <w:r w:rsidR="00043F0B" w:rsidRPr="00F24C91">
        <w:rPr>
          <w:shd w:val="clear" w:color="auto" w:fill="FFFFFF"/>
        </w:rPr>
        <w:t>Papildus arī norādīts: „</w:t>
      </w:r>
      <w:proofErr w:type="gramStart"/>
      <w:r w:rsidR="00E02B62" w:rsidRPr="00F24C91">
        <w:rPr>
          <w:shd w:val="clear" w:color="auto" w:fill="FFFFFF"/>
        </w:rPr>
        <w:t>[</w:t>
      </w:r>
      <w:proofErr w:type="gramEnd"/>
      <w:r w:rsidR="00E02B62" w:rsidRPr="00F24C91">
        <w:rPr>
          <w:shd w:val="clear" w:color="auto" w:fill="FFFFFF"/>
        </w:rPr>
        <w:t>Pers.</w:t>
      </w:r>
      <w:r w:rsidR="00B755AC" w:rsidRPr="00F24C91">
        <w:rPr>
          <w:shd w:val="clear" w:color="auto" w:fill="FFFFFF"/>
        </w:rPr>
        <w:t> </w:t>
      </w:r>
      <w:r w:rsidR="00E02B62" w:rsidRPr="00F24C91">
        <w:t>A</w:t>
      </w:r>
      <w:r w:rsidR="008F0476" w:rsidRPr="00F24C91">
        <w:rPr>
          <w:shd w:val="clear" w:color="auto" w:fill="FFFFFF"/>
        </w:rPr>
        <w:t xml:space="preserve"> darbam uzmanību piesaista vēl kāds apstāklis. Tiesneses dzīvesbiedrs ir uzņēmējs </w:t>
      </w:r>
      <w:proofErr w:type="gramStart"/>
      <w:r w:rsidR="00E02B62" w:rsidRPr="00F24C91">
        <w:rPr>
          <w:shd w:val="clear" w:color="auto" w:fill="FFFFFF"/>
        </w:rPr>
        <w:t>[</w:t>
      </w:r>
      <w:proofErr w:type="gramEnd"/>
      <w:r w:rsidR="00E02B62" w:rsidRPr="00F24C91">
        <w:rPr>
          <w:shd w:val="clear" w:color="auto" w:fill="FFFFFF"/>
        </w:rPr>
        <w:t xml:space="preserve">pers. </w:t>
      </w:r>
      <w:r w:rsidR="003E2ED6" w:rsidRPr="00F24C91">
        <w:rPr>
          <w:shd w:val="clear" w:color="auto" w:fill="FFFFFF"/>
        </w:rPr>
        <w:t>C</w:t>
      </w:r>
      <w:r w:rsidR="00E02B62" w:rsidRPr="00F24C91">
        <w:rPr>
          <w:shd w:val="clear" w:color="auto" w:fill="FFFFFF"/>
        </w:rPr>
        <w:t>]</w:t>
      </w:r>
      <w:r w:rsidR="008F0476" w:rsidRPr="00F24C91">
        <w:rPr>
          <w:shd w:val="clear" w:color="auto" w:fill="FFFFFF"/>
        </w:rPr>
        <w:t>, kurš 90.</w:t>
      </w:r>
      <w:r w:rsidR="00043F0B" w:rsidRPr="00F24C91">
        <w:rPr>
          <w:shd w:val="clear" w:color="auto" w:fill="FFFFFF"/>
        </w:rPr>
        <w:t> </w:t>
      </w:r>
      <w:r w:rsidR="008F0476" w:rsidRPr="00F24C91">
        <w:rPr>
          <w:shd w:val="clear" w:color="auto" w:fill="FFFFFF"/>
        </w:rPr>
        <w:t xml:space="preserve">gados pats bijis administratora pārstāvis vairākiem uzņēmumiem, bet šobrīd ir </w:t>
      </w:r>
      <w:r w:rsidR="00B755AC" w:rsidRPr="00F24C91">
        <w:rPr>
          <w:shd w:val="clear" w:color="auto" w:fill="FFFFFF"/>
        </w:rPr>
        <w:t>[..]</w:t>
      </w:r>
      <w:r w:rsidR="008F0476" w:rsidRPr="00F24C91">
        <w:rPr>
          <w:shd w:val="clear" w:color="auto" w:fill="FFFFFF"/>
        </w:rPr>
        <w:t xml:space="preserve"> ministrijas valsts sekretāra padomnieks un </w:t>
      </w:r>
      <w:r w:rsidR="002B715A">
        <w:rPr>
          <w:shd w:val="clear" w:color="auto" w:fill="FFFFFF"/>
        </w:rPr>
        <w:t xml:space="preserve">[..] </w:t>
      </w:r>
      <w:r w:rsidR="008F0476" w:rsidRPr="00F24C91">
        <w:rPr>
          <w:shd w:val="clear" w:color="auto" w:fill="FFFFFF"/>
        </w:rPr>
        <w:t xml:space="preserve">apvienības </w:t>
      </w:r>
      <w:r w:rsidR="00B755AC" w:rsidRPr="00F24C91">
        <w:rPr>
          <w:shd w:val="clear" w:color="auto" w:fill="FFFFFF"/>
        </w:rPr>
        <w:t>[amats]</w:t>
      </w:r>
      <w:r w:rsidR="008F0476" w:rsidRPr="00F24C91">
        <w:rPr>
          <w:shd w:val="clear" w:color="auto" w:fill="FFFFFF"/>
        </w:rPr>
        <w:t xml:space="preserve"> </w:t>
      </w:r>
      <w:r w:rsidR="00B755AC" w:rsidRPr="00F24C91">
        <w:rPr>
          <w:shd w:val="clear" w:color="auto" w:fill="FFFFFF"/>
        </w:rPr>
        <w:t>[pers. </w:t>
      </w:r>
      <w:r w:rsidR="003E2ED6" w:rsidRPr="00F24C91">
        <w:rPr>
          <w:shd w:val="clear" w:color="auto" w:fill="FFFFFF"/>
        </w:rPr>
        <w:t>D</w:t>
      </w:r>
      <w:r w:rsidR="00B755AC" w:rsidRPr="00F24C91">
        <w:rPr>
          <w:shd w:val="clear" w:color="auto" w:fill="FFFFFF"/>
        </w:rPr>
        <w:t>]</w:t>
      </w:r>
      <w:r w:rsidR="008F0476" w:rsidRPr="00F24C91">
        <w:rPr>
          <w:shd w:val="clear" w:color="auto" w:fill="FFFFFF"/>
        </w:rPr>
        <w:t xml:space="preserve"> biznesa partneris.</w:t>
      </w:r>
      <w:r w:rsidR="00043F0B" w:rsidRPr="00F24C91">
        <w:rPr>
          <w:shd w:val="clear" w:color="auto" w:fill="FFFFFF"/>
        </w:rPr>
        <w:t>”</w:t>
      </w:r>
    </w:p>
    <w:p w14:paraId="06E252A1" w14:textId="54E31C9D" w:rsidR="00DB12AA" w:rsidRPr="00F24C91" w:rsidRDefault="00DB12AA" w:rsidP="004F423C">
      <w:pPr>
        <w:pStyle w:val="NormalWeb"/>
        <w:shd w:val="clear" w:color="auto" w:fill="FFFFFF"/>
        <w:spacing w:before="0" w:beforeAutospacing="0" w:after="0" w:afterAutospacing="0" w:line="276" w:lineRule="auto"/>
        <w:ind w:firstLine="709"/>
        <w:jc w:val="both"/>
        <w:rPr>
          <w:shd w:val="clear" w:color="auto" w:fill="FFFFFF"/>
        </w:rPr>
      </w:pPr>
      <w:r w:rsidRPr="00F24C91">
        <w:rPr>
          <w:shd w:val="clear" w:color="auto" w:fill="FFFFFF"/>
        </w:rPr>
        <w:t>[</w:t>
      </w:r>
      <w:r w:rsidR="00474B5B" w:rsidRPr="00F24C91">
        <w:rPr>
          <w:shd w:val="clear" w:color="auto" w:fill="FFFFFF"/>
        </w:rPr>
        <w:t>2</w:t>
      </w:r>
      <w:r w:rsidRPr="00F24C91">
        <w:rPr>
          <w:shd w:val="clear" w:color="auto" w:fill="FFFFFF"/>
        </w:rPr>
        <w:t>.3]</w:t>
      </w:r>
      <w:r w:rsidR="00A047E3" w:rsidRPr="00F24C91">
        <w:rPr>
          <w:shd w:val="clear" w:color="auto" w:fill="FFFFFF"/>
        </w:rPr>
        <w:t> </w:t>
      </w:r>
      <w:r w:rsidR="00063D9D" w:rsidRPr="00F24C91">
        <w:rPr>
          <w:shd w:val="clear" w:color="auto" w:fill="FFFFFF"/>
        </w:rPr>
        <w:t>3. rakst</w:t>
      </w:r>
      <w:r w:rsidR="0089326A" w:rsidRPr="00F24C91">
        <w:rPr>
          <w:shd w:val="clear" w:color="auto" w:fill="FFFFFF"/>
        </w:rPr>
        <w:t xml:space="preserve">a </w:t>
      </w:r>
      <w:r w:rsidR="00071651" w:rsidRPr="00F24C91">
        <w:rPr>
          <w:shd w:val="clear" w:color="auto" w:fill="FFFFFF"/>
        </w:rPr>
        <w:t>ievaddaļā norādīts</w:t>
      </w:r>
      <w:r w:rsidR="00063D9D" w:rsidRPr="00F24C91">
        <w:rPr>
          <w:shd w:val="clear" w:color="auto" w:fill="FFFFFF"/>
        </w:rPr>
        <w:t xml:space="preserve">: </w:t>
      </w:r>
      <w:r w:rsidR="0089326A" w:rsidRPr="00F24C91">
        <w:rPr>
          <w:shd w:val="clear" w:color="auto" w:fill="FFFFFF"/>
        </w:rPr>
        <w:t>„</w:t>
      </w:r>
      <w:r w:rsidR="00063D9D" w:rsidRPr="00F24C91">
        <w:rPr>
          <w:shd w:val="clear" w:color="auto" w:fill="FFFFFF"/>
        </w:rPr>
        <w:t>Aizvadītajās divās nedēļās izgaismojām tiesnešus, kas visbiežāk pieļāvuši likumpārkāpumus, lemjot par milzīgu parādu un vērtīgu aktīvu likteni – viņi visi arī šobrīd ir amatā, pat ja pēc protestiem Augstākajā tiesā atcelto spriedumu skaits vairs nav uz rokas pirkstiem saskaitāms</w:t>
      </w:r>
      <w:r w:rsidR="00213CDA" w:rsidRPr="00F24C91">
        <w:rPr>
          <w:shd w:val="clear" w:color="auto" w:fill="FFFFFF"/>
        </w:rPr>
        <w:t xml:space="preserve">. Ministrs </w:t>
      </w:r>
      <w:r w:rsidR="00B755AC" w:rsidRPr="00F24C91">
        <w:rPr>
          <w:shd w:val="clear" w:color="auto" w:fill="FFFFFF"/>
        </w:rPr>
        <w:t>[pers. </w:t>
      </w:r>
      <w:r w:rsidR="003E2ED6" w:rsidRPr="00F24C91">
        <w:rPr>
          <w:shd w:val="clear" w:color="auto" w:fill="FFFFFF"/>
        </w:rPr>
        <w:t>E</w:t>
      </w:r>
      <w:r w:rsidR="00B755AC" w:rsidRPr="00F24C91">
        <w:rPr>
          <w:shd w:val="clear" w:color="auto" w:fill="FFFFFF"/>
        </w:rPr>
        <w:t>]</w:t>
      </w:r>
      <w:r w:rsidR="00213CDA" w:rsidRPr="00F24C91">
        <w:rPr>
          <w:shd w:val="clear" w:color="auto" w:fill="FFFFFF"/>
        </w:rPr>
        <w:t xml:space="preserve"> bija laikus piekritis sarunai, taču vēlā vakarā pirms norunātās intervijas dienas pēkšņi saņēmām ziņu — tikšanās atcelta!</w:t>
      </w:r>
      <w:r w:rsidR="00071651" w:rsidRPr="00F24C91">
        <w:rPr>
          <w:shd w:val="clear" w:color="auto" w:fill="FFFFFF"/>
        </w:rPr>
        <w:t>”</w:t>
      </w:r>
    </w:p>
    <w:p w14:paraId="6DF2A1A5" w14:textId="20E3C10C" w:rsidR="005C418F" w:rsidRPr="00F24C91" w:rsidRDefault="00071651" w:rsidP="004F423C">
      <w:pPr>
        <w:pStyle w:val="NormalWeb"/>
        <w:shd w:val="clear" w:color="auto" w:fill="FFFFFF"/>
        <w:spacing w:before="0" w:beforeAutospacing="0" w:after="0" w:afterAutospacing="0" w:line="276" w:lineRule="auto"/>
        <w:ind w:firstLine="709"/>
        <w:jc w:val="both"/>
        <w:rPr>
          <w:shd w:val="clear" w:color="auto" w:fill="FFFFFF"/>
        </w:rPr>
      </w:pPr>
      <w:r w:rsidRPr="00F24C91">
        <w:rPr>
          <w:shd w:val="clear" w:color="auto" w:fill="FFFFFF"/>
        </w:rPr>
        <w:t>Turpmāk rakstā norādīts: „</w:t>
      </w:r>
      <w:r w:rsidR="0089326A" w:rsidRPr="00F24C91">
        <w:rPr>
          <w:shd w:val="clear" w:color="auto" w:fill="FFFFFF"/>
        </w:rPr>
        <w:t>Jau gandrīz desmit gadus – kopš 2008.</w:t>
      </w:r>
      <w:r w:rsidR="00495F3A" w:rsidRPr="00F24C91">
        <w:rPr>
          <w:shd w:val="clear" w:color="auto" w:fill="FFFFFF"/>
        </w:rPr>
        <w:t> </w:t>
      </w:r>
      <w:r w:rsidR="0089326A" w:rsidRPr="00F24C91">
        <w:rPr>
          <w:shd w:val="clear" w:color="auto" w:fill="FFFFFF"/>
        </w:rPr>
        <w:t>gada –</w:t>
      </w:r>
      <w:r w:rsidR="00B755AC" w:rsidRPr="00F24C91">
        <w:rPr>
          <w:shd w:val="clear" w:color="auto" w:fill="FFFFFF"/>
        </w:rPr>
        <w:t xml:space="preserve"> [..] </w:t>
      </w:r>
      <w:r w:rsidR="0089326A" w:rsidRPr="00F24C91">
        <w:rPr>
          <w:shd w:val="clear" w:color="auto" w:fill="FFFFFF"/>
        </w:rPr>
        <w:t xml:space="preserve">ministra vai valsts sekretāra ārštata padomnieks </w:t>
      </w:r>
      <w:r w:rsidR="00B755AC" w:rsidRPr="00F24C91">
        <w:rPr>
          <w:shd w:val="clear" w:color="auto" w:fill="FFFFFF"/>
        </w:rPr>
        <w:t>[..]</w:t>
      </w:r>
      <w:r w:rsidR="0089326A" w:rsidRPr="00F24C91">
        <w:rPr>
          <w:shd w:val="clear" w:color="auto" w:fill="FFFFFF"/>
        </w:rPr>
        <w:t xml:space="preserve"> ir jurists </w:t>
      </w:r>
      <w:r w:rsidR="00B755AC" w:rsidRPr="00F24C91">
        <w:rPr>
          <w:shd w:val="clear" w:color="auto" w:fill="FFFFFF"/>
        </w:rPr>
        <w:t>[pers. </w:t>
      </w:r>
      <w:r w:rsidR="003E2ED6" w:rsidRPr="00F24C91">
        <w:rPr>
          <w:shd w:val="clear" w:color="auto" w:fill="FFFFFF"/>
        </w:rPr>
        <w:t>C</w:t>
      </w:r>
      <w:r w:rsidR="00B755AC" w:rsidRPr="00F24C91">
        <w:rPr>
          <w:shd w:val="clear" w:color="auto" w:fill="FFFFFF"/>
        </w:rPr>
        <w:t>]</w:t>
      </w:r>
      <w:r w:rsidR="0089326A" w:rsidRPr="00F24C91">
        <w:rPr>
          <w:shd w:val="clear" w:color="auto" w:fill="FFFFFF"/>
        </w:rPr>
        <w:t xml:space="preserve">, kas darbojas dažādās biznesa jomās. Viņa </w:t>
      </w:r>
      <w:r w:rsidR="00063D9D" w:rsidRPr="00F24C91">
        <w:rPr>
          <w:shd w:val="clear" w:color="auto" w:fill="FFFFFF"/>
        </w:rPr>
        <w:t xml:space="preserve">dzīvesbiedre ir </w:t>
      </w:r>
      <w:r w:rsidR="00B755AC" w:rsidRPr="00F24C91">
        <w:rPr>
          <w:shd w:val="clear" w:color="auto" w:fill="FFFFFF"/>
        </w:rPr>
        <w:t xml:space="preserve">[..] </w:t>
      </w:r>
      <w:r w:rsidR="00063D9D" w:rsidRPr="00F24C91">
        <w:rPr>
          <w:shd w:val="clear" w:color="auto" w:fill="FFFFFF"/>
        </w:rPr>
        <w:t xml:space="preserve">tiesnese </w:t>
      </w:r>
      <w:r w:rsidR="005A7751" w:rsidRPr="00F24C91">
        <w:rPr>
          <w:shd w:val="clear" w:color="auto" w:fill="FFFFFF"/>
        </w:rPr>
        <w:t>[pers. A]</w:t>
      </w:r>
      <w:r w:rsidR="00063D9D" w:rsidRPr="00F24C91">
        <w:rPr>
          <w:shd w:val="clear" w:color="auto" w:fill="FFFFFF"/>
        </w:rPr>
        <w:t xml:space="preserve">, </w:t>
      </w:r>
      <w:proofErr w:type="gramStart"/>
      <w:r w:rsidR="00063D9D" w:rsidRPr="00F24C91">
        <w:rPr>
          <w:shd w:val="clear" w:color="auto" w:fill="FFFFFF"/>
        </w:rPr>
        <w:t xml:space="preserve">kas </w:t>
      </w:r>
      <w:r w:rsidR="00F17315" w:rsidRPr="00F24C91">
        <w:rPr>
          <w:shd w:val="clear" w:color="auto" w:fill="FFFFFF"/>
        </w:rPr>
        <w:t>„Ir”</w:t>
      </w:r>
      <w:r w:rsidR="00B755AC" w:rsidRPr="00F24C91">
        <w:rPr>
          <w:shd w:val="clear" w:color="auto" w:fill="FFFFFF"/>
        </w:rPr>
        <w:t xml:space="preserve"> </w:t>
      </w:r>
      <w:r w:rsidR="00063D9D" w:rsidRPr="00F24C91">
        <w:rPr>
          <w:shd w:val="clear" w:color="auto" w:fill="FFFFFF"/>
        </w:rPr>
        <w:t>pētījumā izcēlās ar ievērojamu</w:t>
      </w:r>
      <w:proofErr w:type="gramEnd"/>
      <w:r w:rsidR="00063D9D" w:rsidRPr="00F24C91">
        <w:rPr>
          <w:shd w:val="clear" w:color="auto" w:fill="FFFFFF"/>
        </w:rPr>
        <w:t xml:space="preserve"> „</w:t>
      </w:r>
      <w:proofErr w:type="spellStart"/>
      <w:r w:rsidR="00063D9D" w:rsidRPr="00F24C91">
        <w:rPr>
          <w:shd w:val="clear" w:color="auto" w:fill="FFFFFF"/>
        </w:rPr>
        <w:t>ceļotājfirmu</w:t>
      </w:r>
      <w:proofErr w:type="spellEnd"/>
      <w:r w:rsidR="00063D9D" w:rsidRPr="00F24C91">
        <w:rPr>
          <w:shd w:val="clear" w:color="auto" w:fill="FFFFFF"/>
        </w:rPr>
        <w:t>” skaitu.”</w:t>
      </w:r>
    </w:p>
    <w:p w14:paraId="0440D048" w14:textId="4582FA13" w:rsidR="003376ED" w:rsidRPr="00F24C91" w:rsidRDefault="003376ED" w:rsidP="004F423C">
      <w:pPr>
        <w:pStyle w:val="NormalWeb"/>
        <w:shd w:val="clear" w:color="auto" w:fill="FFFFFF"/>
        <w:spacing w:before="0" w:beforeAutospacing="0" w:after="0" w:afterAutospacing="0" w:line="276" w:lineRule="auto"/>
        <w:ind w:firstLine="709"/>
        <w:jc w:val="both"/>
        <w:rPr>
          <w:shd w:val="clear" w:color="auto" w:fill="FFFFFF"/>
        </w:rPr>
      </w:pPr>
    </w:p>
    <w:p w14:paraId="09B733E3" w14:textId="7205CBFB" w:rsidR="0038089E" w:rsidRPr="00F24C91" w:rsidRDefault="00A53177" w:rsidP="004F423C">
      <w:pPr>
        <w:pStyle w:val="NormalWeb"/>
        <w:shd w:val="clear" w:color="auto" w:fill="FFFFFF"/>
        <w:spacing w:before="0" w:beforeAutospacing="0" w:after="0" w:afterAutospacing="0" w:line="276" w:lineRule="auto"/>
        <w:ind w:firstLine="709"/>
        <w:jc w:val="both"/>
      </w:pPr>
      <w:r w:rsidRPr="00F24C91">
        <w:t>[</w:t>
      </w:r>
      <w:r w:rsidR="00D5091B" w:rsidRPr="00F24C91">
        <w:t>3</w:t>
      </w:r>
      <w:r w:rsidRPr="00F24C91">
        <w:t>]</w:t>
      </w:r>
      <w:r w:rsidR="00AE1F88" w:rsidRPr="00F24C91">
        <w:t> </w:t>
      </w:r>
      <w:r w:rsidRPr="00F24C91">
        <w:t>Zemgales rajona tiesa</w:t>
      </w:r>
      <w:r w:rsidR="00E44E44" w:rsidRPr="00F24C91">
        <w:t xml:space="preserve"> ar</w:t>
      </w:r>
      <w:r w:rsidRPr="00F24C91">
        <w:t xml:space="preserve"> 2019. gada 25. marta spriedumu </w:t>
      </w:r>
      <w:r w:rsidR="00D5091B" w:rsidRPr="00F24C91">
        <w:t>prasītājas</w:t>
      </w:r>
      <w:r w:rsidRPr="00F24C91">
        <w:t xml:space="preserve"> prasīb</w:t>
      </w:r>
      <w:r w:rsidR="00E44E44" w:rsidRPr="00F24C91">
        <w:t xml:space="preserve">u </w:t>
      </w:r>
      <w:r w:rsidRPr="00F24C91">
        <w:t>noraidī</w:t>
      </w:r>
      <w:r w:rsidR="00E44E44" w:rsidRPr="00F24C91">
        <w:t>ja.</w:t>
      </w:r>
      <w:r w:rsidR="00D777C5" w:rsidRPr="00F24C91">
        <w:t xml:space="preserve"> Spriedums pamatots ar šādiem argumentiem.</w:t>
      </w:r>
    </w:p>
    <w:p w14:paraId="0C263683" w14:textId="6EB4B908" w:rsidR="005F1DD3" w:rsidRPr="00F24C91" w:rsidRDefault="0038089E" w:rsidP="004F423C">
      <w:pPr>
        <w:pStyle w:val="NormalWeb"/>
        <w:shd w:val="clear" w:color="auto" w:fill="FFFFFF"/>
        <w:spacing w:before="0" w:beforeAutospacing="0" w:after="0" w:afterAutospacing="0" w:line="276" w:lineRule="auto"/>
        <w:ind w:firstLine="709"/>
        <w:jc w:val="both"/>
      </w:pPr>
      <w:r w:rsidRPr="00F24C91">
        <w:t>[3.1]</w:t>
      </w:r>
      <w:r w:rsidR="00AE1F88" w:rsidRPr="00F24C91">
        <w:t> </w:t>
      </w:r>
      <w:r w:rsidRPr="00F24C91">
        <w:t>Rakstu sērijai par maksātnespējas procesa problēmām bija paaugstināta sabiedrības interese, tādējādi publikācijām ir leģitīms mērķis.</w:t>
      </w:r>
      <w:r w:rsidR="005F1DD3" w:rsidRPr="00F24C91">
        <w:t xml:space="preserve"> Prasītājas pārstāve tiesas sēdē atzinusi, ka rakstos aplūkotā problēma, kas saistīta ar uzņēmumu juridiskās adreses maiņu, lai nokļūtu kādā konkrētā tiesā, pastāv.</w:t>
      </w:r>
    </w:p>
    <w:p w14:paraId="6BEEF0BF" w14:textId="4896C46D" w:rsidR="00B559A9" w:rsidRPr="00F24C91" w:rsidRDefault="00B559A9" w:rsidP="004F423C">
      <w:pPr>
        <w:pStyle w:val="NormalWeb"/>
        <w:shd w:val="clear" w:color="auto" w:fill="FFFFFF"/>
        <w:spacing w:before="0" w:beforeAutospacing="0" w:after="0" w:afterAutospacing="0" w:line="276" w:lineRule="auto"/>
        <w:ind w:firstLine="709"/>
        <w:jc w:val="both"/>
      </w:pPr>
      <w:r w:rsidRPr="00F24C91">
        <w:t>1. raksta ievaddaļā norādītais liecina par rakstu sērijas mērķi darīt zināmu lasītājam par veikto pētījumu saistībā ar tiesnešu skatītajām maksātnespējas lietām. Kā secināms no raksta satura, autors secinājis, ka uzņēmumi maina juridiskās adreses pirms maksātnespējas procesa vai tiesiskās aizsardzības procesa uzsākšanas. Prasītājas vārds rakstos pieminēts saistībā ar „ceļojošo” uzņēmumu lietu izskatīšanu.</w:t>
      </w:r>
    </w:p>
    <w:p w14:paraId="68C724C9" w14:textId="6973F56F" w:rsidR="0038089E" w:rsidRPr="00F24C91" w:rsidRDefault="0038089E" w:rsidP="004F423C">
      <w:pPr>
        <w:pStyle w:val="NormalWeb"/>
        <w:shd w:val="clear" w:color="auto" w:fill="FFFFFF"/>
        <w:spacing w:before="0" w:beforeAutospacing="0" w:after="0" w:afterAutospacing="0" w:line="276" w:lineRule="auto"/>
        <w:ind w:firstLine="709"/>
        <w:jc w:val="both"/>
      </w:pPr>
      <w:r w:rsidRPr="00F24C91">
        <w:t>[3.2]</w:t>
      </w:r>
      <w:r w:rsidR="00AE1F88" w:rsidRPr="00F24C91">
        <w:t> </w:t>
      </w:r>
      <w:r w:rsidR="005F1DD3" w:rsidRPr="00F24C91">
        <w:t>Iepriek</w:t>
      </w:r>
      <w:r w:rsidR="00F24067" w:rsidRPr="00F24C91">
        <w:t>š minētais</w:t>
      </w:r>
      <w:r w:rsidR="005F1DD3" w:rsidRPr="00F24C91">
        <w:t xml:space="preserve"> dod pamatu pētīt šo apstākļu cēloņus un veido faktisko bāzi prasītājas pieminēšanai šajos rakstos. </w:t>
      </w:r>
      <w:r w:rsidRPr="00F24C91">
        <w:t>Prasītājai nav tiesību izvēlēties būt vai nebūt pieminētai rakstos, jo rakstu satur</w:t>
      </w:r>
      <w:r w:rsidR="00500CDA" w:rsidRPr="00F24C91">
        <w:t>ā</w:t>
      </w:r>
      <w:r w:rsidRPr="00F24C91">
        <w:t xml:space="preserve"> ir norādīts uz faktiem, kādēļ viņa ir pieminēta. Tiesai nav pamata ierobežot atbildētāju tiesīb</w:t>
      </w:r>
      <w:r w:rsidR="00147D63" w:rsidRPr="00F24C91">
        <w:t>as</w:t>
      </w:r>
      <w:r w:rsidRPr="00F24C91">
        <w:t xml:space="preserve"> uz vārda brīvību.</w:t>
      </w:r>
    </w:p>
    <w:p w14:paraId="178EEF07" w14:textId="093A1921" w:rsidR="00D777C5" w:rsidRPr="00F24C91" w:rsidRDefault="00D777C5" w:rsidP="004F423C">
      <w:pPr>
        <w:pStyle w:val="NormalWeb"/>
        <w:shd w:val="clear" w:color="auto" w:fill="FFFFFF"/>
        <w:spacing w:before="0" w:beforeAutospacing="0" w:after="0" w:afterAutospacing="0" w:line="276" w:lineRule="auto"/>
        <w:ind w:firstLine="709"/>
        <w:jc w:val="both"/>
      </w:pPr>
      <w:r w:rsidRPr="00F24C91">
        <w:t>[3.</w:t>
      </w:r>
      <w:r w:rsidR="0038089E" w:rsidRPr="00F24C91">
        <w:t>3</w:t>
      </w:r>
      <w:r w:rsidRPr="00F24C91">
        <w:t>]</w:t>
      </w:r>
      <w:r w:rsidR="00AE1F88" w:rsidRPr="00F24C91">
        <w:t> </w:t>
      </w:r>
      <w:r w:rsidR="00071651" w:rsidRPr="00F24C91">
        <w:t>2</w:t>
      </w:r>
      <w:r w:rsidRPr="00F24C91">
        <w:t xml:space="preserve">. rakstā minētā frāze „kompetence, paviršība vai varbūt korupcija?” jau no formas un gramatikas viedokļa norāda uz to, ka tiek uzdots retorisks jautājums, uz kuru lasītājam jāatbild, izlasot rakstu kopumā. </w:t>
      </w:r>
      <w:r w:rsidR="00B559A9" w:rsidRPr="00F24C91">
        <w:t>A</w:t>
      </w:r>
      <w:r w:rsidRPr="00F24C91">
        <w:t xml:space="preserve">rī frāzes turpinājums „pirms nedēļas stāstījām par bēdīgo kopainu, šoreiz – sīkāk par konkrētiem tiesnešiem un viņu kļūdām, lietās, kur lemts par </w:t>
      </w:r>
      <w:r w:rsidRPr="00F24C91">
        <w:lastRenderedPageBreak/>
        <w:t>miljoniem” norāda uz to, ka sekos informācija par konkrētiem tiesnešiem, kuru izlasot lasītājs varēs izdarīt secinājumus.</w:t>
      </w:r>
    </w:p>
    <w:p w14:paraId="69500C3A" w14:textId="5B20817E" w:rsidR="005007BE" w:rsidRPr="00F24C91" w:rsidRDefault="00BD00F7" w:rsidP="004F423C">
      <w:pPr>
        <w:pStyle w:val="NormalWeb"/>
        <w:shd w:val="clear" w:color="auto" w:fill="FFFFFF"/>
        <w:spacing w:before="0" w:beforeAutospacing="0" w:after="0" w:afterAutospacing="0" w:line="276" w:lineRule="auto"/>
        <w:ind w:firstLine="709"/>
        <w:jc w:val="both"/>
      </w:pPr>
      <w:r w:rsidRPr="00F24C91">
        <w:t>[3.</w:t>
      </w:r>
      <w:r w:rsidR="00B559A9" w:rsidRPr="00F24C91">
        <w:t>4</w:t>
      </w:r>
      <w:r w:rsidRPr="00F24C91">
        <w:t>]</w:t>
      </w:r>
      <w:r w:rsidR="00AE1F88" w:rsidRPr="00F24C91">
        <w:t> </w:t>
      </w:r>
      <w:r w:rsidRPr="00F24C91">
        <w:t xml:space="preserve">Vērtējot to, vai neitrāls lasītājs rakstos minētos izteikumus </w:t>
      </w:r>
      <w:r w:rsidR="00495F3A" w:rsidRPr="00F24C91">
        <w:t>varētu attiecināt</w:t>
      </w:r>
      <w:r w:rsidRPr="00F24C91">
        <w:t xml:space="preserve"> uz prasītāju, piedēvējot viņai</w:t>
      </w:r>
      <w:r w:rsidR="00495F3A" w:rsidRPr="00F24C91">
        <w:t xml:space="preserve"> tādas tiesneses statusu, kura ir</w:t>
      </w:r>
      <w:r w:rsidRPr="00F24C91">
        <w:t xml:space="preserve"> korumpēta, pavirša</w:t>
      </w:r>
      <w:r w:rsidR="00495F3A" w:rsidRPr="00F24C91">
        <w:t xml:space="preserve"> un</w:t>
      </w:r>
      <w:r w:rsidRPr="00F24C91">
        <w:t xml:space="preserve"> nekompetenta, tiesa secina, ka uz lietā iesniegto pierādījumu pamata šādu secinājumu izdarīt nevar.</w:t>
      </w:r>
      <w:r w:rsidR="009C7305" w:rsidRPr="00F24C91">
        <w:t xml:space="preserve"> </w:t>
      </w:r>
    </w:p>
    <w:p w14:paraId="399815AD" w14:textId="718960B0" w:rsidR="0021352C" w:rsidRPr="00F24C91" w:rsidRDefault="0064249B" w:rsidP="004F423C">
      <w:pPr>
        <w:pStyle w:val="NormalWeb"/>
        <w:shd w:val="clear" w:color="auto" w:fill="FFFFFF"/>
        <w:spacing w:before="0" w:beforeAutospacing="0" w:after="0" w:afterAutospacing="0" w:line="276" w:lineRule="auto"/>
        <w:ind w:firstLine="709"/>
        <w:jc w:val="both"/>
      </w:pPr>
      <w:r w:rsidRPr="00F24C91">
        <w:t xml:space="preserve">Rakstu sērija </w:t>
      </w:r>
      <w:r w:rsidR="00E71058" w:rsidRPr="00F24C91">
        <w:t xml:space="preserve">pieminēta </w:t>
      </w:r>
      <w:r w:rsidR="009C7305" w:rsidRPr="00F24C91">
        <w:t xml:space="preserve">Latvijas Televīzijas 2017. gada </w:t>
      </w:r>
      <w:r w:rsidR="003564AD" w:rsidRPr="00F24C91">
        <w:t xml:space="preserve">[..] </w:t>
      </w:r>
      <w:r w:rsidR="009C7305" w:rsidRPr="00F24C91">
        <w:t>raidījum</w:t>
      </w:r>
      <w:r w:rsidR="00E71058" w:rsidRPr="00F24C91">
        <w:t>ā</w:t>
      </w:r>
      <w:r w:rsidR="009C7305" w:rsidRPr="00F24C91">
        <w:t xml:space="preserve"> </w:t>
      </w:r>
      <w:r w:rsidR="003564AD" w:rsidRPr="00F24C91">
        <w:t>[..]</w:t>
      </w:r>
      <w:r w:rsidRPr="00F24C91">
        <w:t xml:space="preserve">, </w:t>
      </w:r>
      <w:r w:rsidR="00E71058" w:rsidRPr="00F24C91">
        <w:t xml:space="preserve">kur diskusijas dalībnieki apsprieda maksātnespējas procesa problemātiku, </w:t>
      </w:r>
      <w:r w:rsidRPr="00F24C91">
        <w:t xml:space="preserve">tomēr ne raidījuma </w:t>
      </w:r>
      <w:r w:rsidR="00094671" w:rsidRPr="00F24C91">
        <w:t>vadītājs</w:t>
      </w:r>
      <w:r w:rsidR="009C7305" w:rsidRPr="00F24C91">
        <w:t xml:space="preserve">, ne pārējās diskusijā piedalījušās personas nav atzīstamas par </w:t>
      </w:r>
      <w:r w:rsidR="00E71058" w:rsidRPr="00F24C91">
        <w:t>„</w:t>
      </w:r>
      <w:r w:rsidR="009C7305" w:rsidRPr="00F24C91">
        <w:t>neitrālu lasītāju”, jo visas šīs personas ir cieši saistītas ar izvirzīto problēmu, gan kā tiesu sistēmai piederošas personas, gan kā problēmu pētījušas personas, gan kā žurnālists, kas veido televīzijas raidījumu.</w:t>
      </w:r>
    </w:p>
    <w:p w14:paraId="54974B83" w14:textId="4B38C4B2" w:rsidR="00A30485" w:rsidRPr="00F24C91" w:rsidRDefault="00A30485" w:rsidP="004F423C">
      <w:pPr>
        <w:pStyle w:val="NormalWeb"/>
        <w:shd w:val="clear" w:color="auto" w:fill="FFFFFF"/>
        <w:spacing w:before="0" w:beforeAutospacing="0" w:after="0" w:afterAutospacing="0" w:line="276" w:lineRule="auto"/>
        <w:ind w:firstLine="709"/>
        <w:jc w:val="both"/>
        <w:rPr>
          <w:shd w:val="clear" w:color="auto" w:fill="FFFFFF"/>
        </w:rPr>
      </w:pPr>
    </w:p>
    <w:p w14:paraId="53882749" w14:textId="32F1098C" w:rsidR="00A30485" w:rsidRPr="00F24C91" w:rsidRDefault="00A30485" w:rsidP="004F423C">
      <w:pPr>
        <w:pStyle w:val="NormalWeb"/>
        <w:shd w:val="clear" w:color="auto" w:fill="FFFFFF"/>
        <w:spacing w:before="0" w:beforeAutospacing="0" w:after="0" w:afterAutospacing="0" w:line="276" w:lineRule="auto"/>
        <w:ind w:firstLine="709"/>
        <w:jc w:val="both"/>
      </w:pPr>
      <w:r w:rsidRPr="00F24C91">
        <w:t>[</w:t>
      </w:r>
      <w:r w:rsidR="00D5091B" w:rsidRPr="00F24C91">
        <w:t>4</w:t>
      </w:r>
      <w:r w:rsidRPr="00F24C91">
        <w:t>]</w:t>
      </w:r>
      <w:r w:rsidR="00AE1F88" w:rsidRPr="00F24C91">
        <w:t> </w:t>
      </w:r>
      <w:r w:rsidR="00D5091B" w:rsidRPr="00F24C91">
        <w:t>Izvērtējusi prasītājas apelācijas sūdzību par pirmās instances tiesas spriedumu, Zemgales apgabaltiesas Civillietu tiesas kolēģija ar 2020.</w:t>
      </w:r>
      <w:r w:rsidR="005007BE" w:rsidRPr="00F24C91">
        <w:t> </w:t>
      </w:r>
      <w:r w:rsidR="00D5091B" w:rsidRPr="00F24C91">
        <w:t>gada 4.</w:t>
      </w:r>
      <w:r w:rsidR="005007BE" w:rsidRPr="00F24C91">
        <w:t> </w:t>
      </w:r>
      <w:r w:rsidR="00D5091B" w:rsidRPr="00F24C91">
        <w:t xml:space="preserve">februāra </w:t>
      </w:r>
      <w:r w:rsidR="00E44E44" w:rsidRPr="00F24C91">
        <w:t xml:space="preserve">spriedumu </w:t>
      </w:r>
      <w:r w:rsidR="00D5091B" w:rsidRPr="00F24C91">
        <w:t>prasību noraidīja.</w:t>
      </w:r>
      <w:r w:rsidR="00D574E6" w:rsidRPr="00F24C91">
        <w:t xml:space="preserve"> Tiesa atzina, ka pirmās instances tiesas spriedumā ietvertais pamatojums ir pareizs, lietas faktiskajiem apstākļiem atbilstošs, līdz ar to tam pilnībā pievienojās.</w:t>
      </w:r>
      <w:r w:rsidR="00D5091B" w:rsidRPr="00F24C91">
        <w:t xml:space="preserve"> </w:t>
      </w:r>
      <w:r w:rsidR="00E44E44" w:rsidRPr="00F24C91">
        <w:t xml:space="preserve">Spriedums </w:t>
      </w:r>
      <w:r w:rsidR="00DB7741" w:rsidRPr="00F24C91">
        <w:t xml:space="preserve">papildus </w:t>
      </w:r>
      <w:r w:rsidR="00E44E44" w:rsidRPr="00F24C91">
        <w:t>pamatots ar šādiem argumentiem.</w:t>
      </w:r>
    </w:p>
    <w:p w14:paraId="4C8AB993" w14:textId="5861473D" w:rsidR="000431EB" w:rsidRPr="00F24C91" w:rsidRDefault="000431EB" w:rsidP="004F423C">
      <w:pPr>
        <w:pStyle w:val="NormalWeb"/>
        <w:shd w:val="clear" w:color="auto" w:fill="FFFFFF"/>
        <w:spacing w:before="0" w:beforeAutospacing="0" w:after="0" w:afterAutospacing="0" w:line="276" w:lineRule="auto"/>
        <w:ind w:firstLine="709"/>
        <w:jc w:val="both"/>
      </w:pPr>
      <w:r w:rsidRPr="00F24C91">
        <w:t>[4.</w:t>
      </w:r>
      <w:r w:rsidR="000C46B0" w:rsidRPr="00F24C91">
        <w:t>1</w:t>
      </w:r>
      <w:r w:rsidRPr="00F24C91">
        <w:t>]</w:t>
      </w:r>
      <w:r w:rsidR="00AE1F88" w:rsidRPr="00F24C91">
        <w:t> </w:t>
      </w:r>
      <w:r w:rsidRPr="00F24C91">
        <w:t xml:space="preserve">Lietā nav strīda par to, ka </w:t>
      </w:r>
      <w:r w:rsidR="005007BE" w:rsidRPr="00F24C91">
        <w:t>auditorkompānijas „</w:t>
      </w:r>
      <w:proofErr w:type="spellStart"/>
      <w:r w:rsidRPr="00F24C91">
        <w:t>Deloitte</w:t>
      </w:r>
      <w:proofErr w:type="spellEnd"/>
      <w:r w:rsidR="005007BE" w:rsidRPr="00F24C91">
        <w:t>”</w:t>
      </w:r>
      <w:r w:rsidRPr="00F24C91">
        <w:t xml:space="preserve"> veikt</w:t>
      </w:r>
      <w:r w:rsidR="005007BE" w:rsidRPr="00F24C91">
        <w:t>ais</w:t>
      </w:r>
      <w:r w:rsidRPr="00F24C91">
        <w:t xml:space="preserve"> pētījum</w:t>
      </w:r>
      <w:r w:rsidR="005007BE" w:rsidRPr="00F24C91">
        <w:t>s</w:t>
      </w:r>
      <w:r w:rsidRPr="00F24C91">
        <w:t xml:space="preserve"> „Ļaunprātīga maksātnespējas procesa riski Latvijā”</w:t>
      </w:r>
      <w:r w:rsidR="005007BE" w:rsidRPr="00F24C91">
        <w:t xml:space="preserve"> un</w:t>
      </w:r>
      <w:r w:rsidRPr="00F24C91">
        <w:t xml:space="preserve"> Ārvalstu investoru padomes sniegt</w:t>
      </w:r>
      <w:r w:rsidR="005007BE" w:rsidRPr="00F24C91">
        <w:t xml:space="preserve">ais </w:t>
      </w:r>
      <w:r w:rsidRPr="00F24C91">
        <w:t>viedok</w:t>
      </w:r>
      <w:r w:rsidR="005007BE" w:rsidRPr="00F24C91">
        <w:t>lis liecina, ka bija</w:t>
      </w:r>
      <w:r w:rsidRPr="00F24C91">
        <w:t xml:space="preserve"> maksātnespējas procesi, kas radīj</w:t>
      </w:r>
      <w:r w:rsidR="005007BE" w:rsidRPr="00F24C91">
        <w:t>a</w:t>
      </w:r>
      <w:r w:rsidRPr="00F24C91">
        <w:t xml:space="preserve"> nesapratni un protestu iesniegšanu par pieņemtajiem nolēmumiem un to atcelšanu</w:t>
      </w:r>
      <w:r w:rsidR="005007BE" w:rsidRPr="00F24C91">
        <w:t>. Ta</w:t>
      </w:r>
      <w:r w:rsidRPr="00F24C91">
        <w:t>s motivēja veikt pētniecību šajā jomā. Prasītāja neapstrīd rakstos minētos faktiskos apstākļus.</w:t>
      </w:r>
    </w:p>
    <w:p w14:paraId="0B48FF36" w14:textId="217EEB5D" w:rsidR="000431EB" w:rsidRPr="00F24C91" w:rsidRDefault="000431EB" w:rsidP="004F423C">
      <w:pPr>
        <w:pStyle w:val="NormalWeb"/>
        <w:shd w:val="clear" w:color="auto" w:fill="FFFFFF"/>
        <w:spacing w:before="0" w:beforeAutospacing="0" w:after="0" w:afterAutospacing="0" w:line="276" w:lineRule="auto"/>
        <w:ind w:firstLine="709"/>
        <w:jc w:val="both"/>
      </w:pPr>
      <w:r w:rsidRPr="00F24C91">
        <w:t xml:space="preserve">Minētais norāda uz rakstu sērijas mērķi – darīt zināmu lasītājam par veikto pētījumu saistībā ar tiesnešu skatītajām maksātnespējas lietām. </w:t>
      </w:r>
      <w:r w:rsidR="0056264A" w:rsidRPr="00F24C91">
        <w:t>A</w:t>
      </w:r>
      <w:r w:rsidRPr="00F24C91">
        <w:t xml:space="preserve">utors secinājis, ka uzņēmumi maina juridiskās adreses pirms maksātnespējas procesa vai tiesiskās aizsardzības procesa uzsākšanas. Prasītājas vārds rakstos pieminēts saistībā ar „ceļojošo” uzņēmumu lietu izskatīšanu. </w:t>
      </w:r>
      <w:r w:rsidR="00513160" w:rsidRPr="00F24C91">
        <w:t>P</w:t>
      </w:r>
      <w:r w:rsidRPr="00F24C91">
        <w:t>rasītāja nav nodēvēta par likumpārkāpēju</w:t>
      </w:r>
      <w:r w:rsidR="00513160" w:rsidRPr="00F24C91">
        <w:t>.</w:t>
      </w:r>
    </w:p>
    <w:p w14:paraId="2C3ED0F0" w14:textId="2C53D767" w:rsidR="000C46B0" w:rsidRPr="00F24C91" w:rsidRDefault="000C46B0" w:rsidP="004F423C">
      <w:pPr>
        <w:pStyle w:val="NormalWeb"/>
        <w:shd w:val="clear" w:color="auto" w:fill="FFFFFF"/>
        <w:spacing w:before="0" w:beforeAutospacing="0" w:after="0" w:afterAutospacing="0" w:line="276" w:lineRule="auto"/>
        <w:ind w:firstLine="709"/>
        <w:jc w:val="both"/>
      </w:pPr>
      <w:r w:rsidRPr="00F24C91">
        <w:t>[4.2]</w:t>
      </w:r>
      <w:r w:rsidR="0096765A" w:rsidRPr="00F24C91">
        <w:t> </w:t>
      </w:r>
      <w:r w:rsidRPr="00F24C91">
        <w:t xml:space="preserve">Pie tiesneses </w:t>
      </w:r>
      <w:r w:rsidR="005A7751" w:rsidRPr="00F24C91">
        <w:t>[pers. A]</w:t>
      </w:r>
      <w:r w:rsidRPr="00F24C91">
        <w:t xml:space="preserve"> nonākušas tā saucamās „</w:t>
      </w:r>
      <w:proofErr w:type="spellStart"/>
      <w:r w:rsidRPr="00F24C91">
        <w:t>ceļotājfirmas</w:t>
      </w:r>
      <w:proofErr w:type="spellEnd"/>
      <w:r w:rsidRPr="00F24C91">
        <w:t>”, kas ierindo prasītāju</w:t>
      </w:r>
      <w:r w:rsidR="00F61F9D" w:rsidRPr="00F24C91">
        <w:t xml:space="preserve"> [numurs]</w:t>
      </w:r>
      <w:r w:rsidRPr="00F24C91">
        <w:t xml:space="preserve"> vietā pēc izskatīto lietu skaita ar „ceļojošajiem” uzņēmumiem. Minētais fakts nav apstrīdēts. </w:t>
      </w:r>
      <w:r w:rsidR="0056264A" w:rsidRPr="00F24C91">
        <w:t>Šī</w:t>
      </w:r>
      <w:r w:rsidRPr="00F24C91">
        <w:t xml:space="preserve"> iemesla dēļ prasītājas vārds tika pieminēts rakstos. Otrs iemesls prasītājas vārda pieminēšanai bija viņas vīra saistība ar bijušo tieslietu ministru. Tiesas ieskatā raksta autora skaidrojums par </w:t>
      </w:r>
      <w:r w:rsidR="005A7751" w:rsidRPr="00F24C91">
        <w:t>[pers. A]</w:t>
      </w:r>
      <w:r w:rsidRPr="00F24C91">
        <w:t xml:space="preserve"> vārda iekļaušanu rakstos ir vērā ņemams, jo faktiski apstiprinās ar publikāciju saturu un citos rakstos veiktajiem pētījumiem par administratoru darbību.</w:t>
      </w:r>
    </w:p>
    <w:p w14:paraId="7F695218" w14:textId="651DD428" w:rsidR="000C46B0" w:rsidRPr="00F24C91" w:rsidRDefault="000C46B0" w:rsidP="004F423C">
      <w:pPr>
        <w:pStyle w:val="NormalWeb"/>
        <w:shd w:val="clear" w:color="auto" w:fill="FFFFFF"/>
        <w:spacing w:before="0" w:beforeAutospacing="0" w:after="0" w:afterAutospacing="0" w:line="276" w:lineRule="auto"/>
        <w:ind w:firstLine="709"/>
        <w:jc w:val="both"/>
      </w:pPr>
      <w:r w:rsidRPr="00F24C91">
        <w:t>[4.3]</w:t>
      </w:r>
      <w:r w:rsidR="0096765A" w:rsidRPr="00F24C91">
        <w:t> </w:t>
      </w:r>
      <w:r w:rsidRPr="00F24C91">
        <w:t xml:space="preserve">Frāzes, kas prasītājas ieskatā attiecās arī uz viņu un ir viņas godu un cieņu aizskarošas, ir iekļautas 2. raksta un 3. raksta ievaddaļā, kas faktiski satur vispārīgu informāciju par rakstā gaidāmo saturu. No 3. raksta ievaddaļas izriet, ka raksta mērķis ir atspoguļot ministrijas </w:t>
      </w:r>
      <w:r w:rsidR="000770D3" w:rsidRPr="00F24C91">
        <w:t>vai</w:t>
      </w:r>
      <w:r w:rsidRPr="00F24C91">
        <w:t xml:space="preserve"> ministra viedokli un rīcību saistībā ar iepriekš izgaismoto problēmu maksātnespējas jomā, par ko norāda konkrētas personas – </w:t>
      </w:r>
      <w:r w:rsidR="003564AD" w:rsidRPr="00F24C91">
        <w:t>[pers. </w:t>
      </w:r>
      <w:r w:rsidR="00F17315" w:rsidRPr="00F24C91">
        <w:t>D</w:t>
      </w:r>
      <w:r w:rsidR="003564AD" w:rsidRPr="00F24C91">
        <w:t>]</w:t>
      </w:r>
      <w:r w:rsidRPr="00F24C91">
        <w:t xml:space="preserve"> – pieminēšana raksta ievaddaļā.</w:t>
      </w:r>
    </w:p>
    <w:p w14:paraId="7429B749" w14:textId="1A41176B" w:rsidR="000C46B0" w:rsidRPr="00F24C91" w:rsidRDefault="009D20C4" w:rsidP="004F423C">
      <w:pPr>
        <w:pStyle w:val="NormalWeb"/>
        <w:shd w:val="clear" w:color="auto" w:fill="FFFFFF"/>
        <w:spacing w:before="0" w:beforeAutospacing="0" w:after="0" w:afterAutospacing="0" w:line="276" w:lineRule="auto"/>
        <w:ind w:firstLine="709"/>
        <w:jc w:val="both"/>
      </w:pPr>
      <w:r w:rsidRPr="00F24C91">
        <w:t>Šo rakstu</w:t>
      </w:r>
      <w:r w:rsidR="000C46B0" w:rsidRPr="00F24C91">
        <w:t xml:space="preserve"> ievaddaļ</w:t>
      </w:r>
      <w:r w:rsidRPr="00F24C91">
        <w:t>u</w:t>
      </w:r>
      <w:r w:rsidR="00217E6E" w:rsidRPr="00F24C91">
        <w:t xml:space="preserve"> </w:t>
      </w:r>
      <w:r w:rsidR="00AE7070" w:rsidRPr="00F24C91">
        <w:t xml:space="preserve">nav pamata </w:t>
      </w:r>
      <w:r w:rsidR="000C46B0" w:rsidRPr="00F24C91">
        <w:t>attiecināt uz kādu konkrētu tiesnesi</w:t>
      </w:r>
      <w:r w:rsidRPr="00F24C91">
        <w:t>, neņemot vērā to pamatdaļu</w:t>
      </w:r>
      <w:r w:rsidR="0036786D" w:rsidRPr="00F24C91">
        <w:t>.</w:t>
      </w:r>
      <w:r w:rsidR="000C46B0" w:rsidRPr="00F24C91">
        <w:t xml:space="preserve"> Rakstu pamatdaļā nav minēt</w:t>
      </w:r>
      <w:r w:rsidR="0056264A" w:rsidRPr="00F24C91">
        <w:t>s</w:t>
      </w:r>
      <w:r w:rsidR="000C46B0" w:rsidRPr="00F24C91">
        <w:t xml:space="preserve">, ka </w:t>
      </w:r>
      <w:r w:rsidR="0096765A" w:rsidRPr="00F24C91">
        <w:t xml:space="preserve">prasītāja </w:t>
      </w:r>
      <w:r w:rsidR="000C46B0" w:rsidRPr="00F24C91">
        <w:t xml:space="preserve">būtu pārkāpusi likumu, pieļāvusi kļūdas, bijusi pavirša vai korumpēta. 2. rakstā sniegta patiesa informācija par to, ka </w:t>
      </w:r>
      <w:r w:rsidR="0096765A" w:rsidRPr="00F24C91">
        <w:t xml:space="preserve">prasītājas </w:t>
      </w:r>
      <w:r w:rsidR="000C46B0" w:rsidRPr="00F24C91">
        <w:t>nolēmumi Augstākajā tiesā nav protestēti. Turpretī rakstos atspoguļotā informācija par vairākiem citiem tiesnešiem</w:t>
      </w:r>
      <w:r w:rsidR="00217E6E" w:rsidRPr="00F24C91">
        <w:t xml:space="preserve"> </w:t>
      </w:r>
      <w:r w:rsidR="000C46B0" w:rsidRPr="00F24C91">
        <w:t xml:space="preserve">satur norādi </w:t>
      </w:r>
      <w:r w:rsidR="00217E6E" w:rsidRPr="00F24C91">
        <w:t>par</w:t>
      </w:r>
      <w:r w:rsidR="000C46B0" w:rsidRPr="00F24C91">
        <w:t xml:space="preserve"> viņu pieļautajiem likumpārkāpumiem. Minētais nedod pamatu uzskatīt, ka prasītājas norādītās frāzes būtu uzskatāmas par ziņām par to, ka prasītāja ir pieļāvusi </w:t>
      </w:r>
      <w:r w:rsidR="000C46B0" w:rsidRPr="00F24C91">
        <w:lastRenderedPageBreak/>
        <w:t>kļūdas, pārkāpusi likumu, būtu pavirša nekompetenta vai korumpēta</w:t>
      </w:r>
      <w:r w:rsidR="00217E6E" w:rsidRPr="00F24C91">
        <w:t>.</w:t>
      </w:r>
      <w:r w:rsidR="000C46B0" w:rsidRPr="00F24C91">
        <w:t xml:space="preserve"> </w:t>
      </w:r>
      <w:r w:rsidR="00217E6E" w:rsidRPr="00F24C91">
        <w:t>K</w:t>
      </w:r>
      <w:r w:rsidR="000C46B0" w:rsidRPr="00F24C91">
        <w:t>opējais publikāciju konteksts nedod pamatu tā uzskatīt.</w:t>
      </w:r>
    </w:p>
    <w:p w14:paraId="0ACD2342" w14:textId="5770C20B" w:rsidR="00D574E6" w:rsidRPr="00F24C91" w:rsidRDefault="00D574E6" w:rsidP="004F423C">
      <w:pPr>
        <w:pStyle w:val="NormalWeb"/>
        <w:shd w:val="clear" w:color="auto" w:fill="FFFFFF"/>
        <w:spacing w:before="0" w:beforeAutospacing="0" w:after="0" w:afterAutospacing="0" w:line="276" w:lineRule="auto"/>
        <w:ind w:firstLine="709"/>
        <w:jc w:val="both"/>
      </w:pPr>
      <w:r w:rsidRPr="00F24C91">
        <w:t>[4.</w:t>
      </w:r>
      <w:r w:rsidR="00094671" w:rsidRPr="00F24C91">
        <w:t>4</w:t>
      </w:r>
      <w:r w:rsidRPr="00F24C91">
        <w:t>]</w:t>
      </w:r>
      <w:r w:rsidR="0096765A" w:rsidRPr="00F24C91">
        <w:t> </w:t>
      </w:r>
      <w:r w:rsidRPr="00F24C91">
        <w:t xml:space="preserve">Viedoklis, kas attiecas uz </w:t>
      </w:r>
      <w:r w:rsidR="00276874" w:rsidRPr="00F24C91">
        <w:t>prasītāju</w:t>
      </w:r>
      <w:r w:rsidR="00DF6A8C" w:rsidRPr="00F24C91">
        <w:t>,</w:t>
      </w:r>
      <w:r w:rsidRPr="00F24C91">
        <w:t xml:space="preserve"> nav pausts rupjā </w:t>
      </w:r>
      <w:r w:rsidR="000770D3" w:rsidRPr="00F24C91">
        <w:t xml:space="preserve">vai </w:t>
      </w:r>
      <w:r w:rsidRPr="00F24C91">
        <w:t>aizskarošā veidā. Lai gan tiesas ieskatā strīdus izteicieni nav attiecināmi uz prasītāju, tiesa uzskata, ka ne vienmēr frāzes „tiesnešu pieļautie likumpārkāpumi jeb kļūdas” lietošana, ja autora rīcībā nav augstākas instances tiesas nolēmuma, ar kuru pārkāpums jeb kļūda konstatēta, būtu vērtējams, kā goda un cieņas aizskārums.</w:t>
      </w:r>
    </w:p>
    <w:p w14:paraId="06338B90" w14:textId="562BB741" w:rsidR="00094671" w:rsidRPr="00F24C91" w:rsidRDefault="00094671" w:rsidP="004F423C">
      <w:pPr>
        <w:pStyle w:val="NormalWeb"/>
        <w:shd w:val="clear" w:color="auto" w:fill="FFFFFF"/>
        <w:spacing w:before="0" w:beforeAutospacing="0" w:after="0" w:afterAutospacing="0" w:line="276" w:lineRule="auto"/>
        <w:ind w:firstLine="709"/>
        <w:jc w:val="both"/>
      </w:pPr>
      <w:r w:rsidRPr="00F24C91">
        <w:t>[4.5]</w:t>
      </w:r>
      <w:r w:rsidR="00A44151" w:rsidRPr="00F24C91">
        <w:t> </w:t>
      </w:r>
      <w:r w:rsidRPr="00F24C91">
        <w:t xml:space="preserve">Neitrālam lasītājam, izlasot visus rakstus kopumā, nebūtu pamats attiecināt strīdus izteicienus uz tiesnesi </w:t>
      </w:r>
      <w:r w:rsidR="005A7751" w:rsidRPr="00F24C91">
        <w:t>[pers. A]</w:t>
      </w:r>
      <w:r w:rsidRPr="00F24C91">
        <w:t>. No rakstu satura lasītājs var vien izdarīt secinājumus par viņas laulātā saistību ar tieslietu ministru un to, ka tiesneses tiesvedībā nonākušas maksātnespējas lietas, kurās pirms maksātnespējas procesa uzsākšanas uzņēmumi mainījuši juridisko adresi. Tālākie lasītāju secinājumi par to, vai</w:t>
      </w:r>
      <w:r w:rsidR="00147D63" w:rsidRPr="00F24C91">
        <w:t xml:space="preserve">, </w:t>
      </w:r>
      <w:r w:rsidRPr="00F24C91">
        <w:t>uzsākot tiesvedības</w:t>
      </w:r>
      <w:r w:rsidR="00147D63" w:rsidRPr="00F24C91">
        <w:t xml:space="preserve">, kur iesaistīti šādi </w:t>
      </w:r>
      <w:r w:rsidRPr="00F24C91">
        <w:t>uzņēmumi</w:t>
      </w:r>
      <w:r w:rsidR="00147D63" w:rsidRPr="00F24C91">
        <w:t>,</w:t>
      </w:r>
      <w:r w:rsidRPr="00F24C91">
        <w:t xml:space="preserve"> tiesnese ir vai nav pārkāpusi likumu, ir atkarīgi no viņu zināšanām un izpratnes par šiem procesiem kopumā, par ko nenes atbildību šo rakstu autor</w:t>
      </w:r>
      <w:r w:rsidR="00147D63" w:rsidRPr="00F24C91">
        <w:t>s</w:t>
      </w:r>
      <w:r w:rsidRPr="00F24C91">
        <w:t>.</w:t>
      </w:r>
    </w:p>
    <w:p w14:paraId="6179D7EB" w14:textId="472FD544" w:rsidR="0021352C" w:rsidRPr="00F24C91" w:rsidRDefault="00DF6A8C" w:rsidP="004F423C">
      <w:pPr>
        <w:pStyle w:val="NormalWeb"/>
        <w:shd w:val="clear" w:color="auto" w:fill="FFFFFF"/>
        <w:spacing w:before="0" w:beforeAutospacing="0" w:after="0" w:afterAutospacing="0" w:line="276" w:lineRule="auto"/>
        <w:ind w:firstLine="709"/>
        <w:jc w:val="both"/>
      </w:pPr>
      <w:r w:rsidRPr="00F24C91">
        <w:t>[4.</w:t>
      </w:r>
      <w:r w:rsidR="00570A3C" w:rsidRPr="00F24C91">
        <w:t>6</w:t>
      </w:r>
      <w:r w:rsidRPr="00F24C91">
        <w:t>]</w:t>
      </w:r>
      <w:r w:rsidR="003564AD" w:rsidRPr="00F24C91">
        <w:t xml:space="preserve"> </w:t>
      </w:r>
      <w:r w:rsidR="00D574E6" w:rsidRPr="00F24C91">
        <w:t>Prasītājai, kura pārstāv vienu no valsts varas atzariem, tas ir, tiesu varu, pieņemamās kritikas robežas pret tiesnesi ir plašāk</w:t>
      </w:r>
      <w:r w:rsidR="0056264A" w:rsidRPr="00F24C91">
        <w:t>a</w:t>
      </w:r>
      <w:r w:rsidR="00D574E6" w:rsidRPr="00F24C91">
        <w:t>s nekā vidusmēra iedzīvotājiem.</w:t>
      </w:r>
      <w:r w:rsidR="00E44D6C" w:rsidRPr="00F24C91">
        <w:t xml:space="preserve"> V</w:t>
      </w:r>
      <w:r w:rsidR="00D5674E" w:rsidRPr="00F24C91">
        <w:t>ienlaikus t</w:t>
      </w:r>
      <w:r w:rsidR="0021352C" w:rsidRPr="00F24C91">
        <w:t>iesnešiem ir jābauda sabiedrības uzticība un tiesneši ir jāaizsargā pret destruktīviem uzbrukumiem</w:t>
      </w:r>
      <w:r w:rsidR="00641F88" w:rsidRPr="00F24C91">
        <w:t>. T</w:t>
      </w:r>
      <w:r w:rsidR="0021352C" w:rsidRPr="00F24C91">
        <w:t xml:space="preserve">omēr konkrētajā situācijā prasītājai nebija liegtas tiesības atbildēt uz viņasprāt nepamatotiem izteikumiem, jo viņa bija aicināta piedalīties raidījumā </w:t>
      </w:r>
      <w:r w:rsidR="00F65CEE" w:rsidRPr="00F24C91">
        <w:t>[.</w:t>
      </w:r>
      <w:r w:rsidR="004F423C" w:rsidRPr="00F24C91">
        <w:t>.</w:t>
      </w:r>
      <w:r w:rsidR="00F65CEE" w:rsidRPr="00F24C91">
        <w:t>]</w:t>
      </w:r>
      <w:r w:rsidR="0021352C" w:rsidRPr="00F24C91">
        <w:t>, uz kuru neieradās. Tādējādi prasītājai bija dota iespēja izskaidrot, vai tiesnesis var vai nevar ietekmēt uzņēmumu juridisko adrešu maiņu, vai pieņemot šādas lietas tiesvedībā tiesnesis ir vai nav pārkāpis likumu.</w:t>
      </w:r>
    </w:p>
    <w:p w14:paraId="34848AE1" w14:textId="5BD09B13" w:rsidR="00A30485" w:rsidRPr="00F24C91" w:rsidRDefault="00A30485" w:rsidP="004F423C">
      <w:pPr>
        <w:pStyle w:val="NormalWeb"/>
        <w:shd w:val="clear" w:color="auto" w:fill="FFFFFF"/>
        <w:spacing w:before="0" w:beforeAutospacing="0" w:after="0" w:afterAutospacing="0" w:line="276" w:lineRule="auto"/>
        <w:ind w:firstLine="709"/>
        <w:jc w:val="both"/>
      </w:pPr>
    </w:p>
    <w:p w14:paraId="41B3DE88" w14:textId="53B69CBD" w:rsidR="00A30485" w:rsidRPr="00F24C91" w:rsidRDefault="00A30485" w:rsidP="004F423C">
      <w:pPr>
        <w:pStyle w:val="NormalWeb"/>
        <w:shd w:val="clear" w:color="auto" w:fill="FFFFFF"/>
        <w:spacing w:before="0" w:beforeAutospacing="0" w:after="0" w:afterAutospacing="0" w:line="276" w:lineRule="auto"/>
        <w:ind w:firstLine="709"/>
        <w:jc w:val="both"/>
      </w:pPr>
      <w:r w:rsidRPr="00F24C91">
        <w:t>[</w:t>
      </w:r>
      <w:r w:rsidR="00D5091B" w:rsidRPr="00F24C91">
        <w:t>5</w:t>
      </w:r>
      <w:r w:rsidRPr="00F24C91">
        <w:t>]</w:t>
      </w:r>
      <w:r w:rsidR="00DE2284" w:rsidRPr="00F24C91">
        <w:t> </w:t>
      </w:r>
      <w:r w:rsidR="00D5091B" w:rsidRPr="00F24C91">
        <w:t>Prasītāja iesniegusi kasācijas sūdzību</w:t>
      </w:r>
      <w:r w:rsidR="006626AB" w:rsidRPr="00F24C91">
        <w:t>, kurā lū</w:t>
      </w:r>
      <w:r w:rsidR="00147D63" w:rsidRPr="00F24C91">
        <w:t>dz</w:t>
      </w:r>
      <w:r w:rsidR="006626AB" w:rsidRPr="00F24C91">
        <w:t xml:space="preserve"> atcelt Zemgales apgabaltiesas 2020. gada 4. februāra spriedumu</w:t>
      </w:r>
      <w:r w:rsidR="0056264A" w:rsidRPr="00F24C91">
        <w:t xml:space="preserve"> un </w:t>
      </w:r>
      <w:r w:rsidR="00147D63" w:rsidRPr="00F24C91">
        <w:t xml:space="preserve">nodot </w:t>
      </w:r>
      <w:r w:rsidR="006626AB" w:rsidRPr="00F24C91">
        <w:t xml:space="preserve">lietu jaunai izskatīšanai apelācijas instances tiesā. </w:t>
      </w:r>
      <w:r w:rsidR="00010E8A" w:rsidRPr="00F24C91">
        <w:t>Kasācijas sūdzībā norādīti šādi argumenti.</w:t>
      </w:r>
    </w:p>
    <w:p w14:paraId="680C486B" w14:textId="76AB39DA" w:rsidR="00597D54" w:rsidRPr="00F24C91" w:rsidRDefault="00747F53" w:rsidP="004F423C">
      <w:pPr>
        <w:pStyle w:val="NormalWeb"/>
        <w:shd w:val="clear" w:color="auto" w:fill="FFFFFF"/>
        <w:spacing w:before="0" w:beforeAutospacing="0" w:after="0" w:afterAutospacing="0" w:line="276" w:lineRule="auto"/>
        <w:ind w:firstLine="709"/>
        <w:jc w:val="both"/>
      </w:pPr>
      <w:r w:rsidRPr="00F24C91">
        <w:t>[5.1]</w:t>
      </w:r>
      <w:r w:rsidR="00DE2284" w:rsidRPr="00F24C91">
        <w:t> </w:t>
      </w:r>
      <w:r w:rsidRPr="00F24C91">
        <w:t xml:space="preserve">Nepastāvēja nekādi pamatoti notikumi, kā arī nebija nekādas prasītājas darbības, kas dotu pamatu viņu iekļaut rakstu sērijā, kuras galvenais mērķis bija kritizēt tiesnešus par viņu pieļautajām kļūdām un izteikt aizdomas par viņu iespējamo nekompetenci, paviršību vai korupciju. Tikai daudzu maksātnespējas procesa lietu izskatīšana un prasītājas vīra saistība ar bijušo tieslietu ministru neattaisno prasītājai nodarīto – sabiedrības vērtējuma par prasītāju pasliktināšanos. </w:t>
      </w:r>
    </w:p>
    <w:p w14:paraId="0B62FC4E" w14:textId="1E9437C8" w:rsidR="004578D4" w:rsidRPr="00F24C91" w:rsidRDefault="004578D4" w:rsidP="004F423C">
      <w:pPr>
        <w:pStyle w:val="NormalWeb"/>
        <w:shd w:val="clear" w:color="auto" w:fill="FFFFFF"/>
        <w:spacing w:before="0" w:beforeAutospacing="0" w:after="0" w:afterAutospacing="0" w:line="276" w:lineRule="auto"/>
        <w:ind w:firstLine="709"/>
        <w:jc w:val="both"/>
      </w:pPr>
      <w:r w:rsidRPr="00F24C91">
        <w:t>[5.2]</w:t>
      </w:r>
      <w:r w:rsidR="00DE2284" w:rsidRPr="00F24C91">
        <w:t> </w:t>
      </w:r>
      <w:r w:rsidRPr="00F24C91">
        <w:t>Tiesa kā attiecināmu un pieļaujamu pierādījumu ir pievienojusi</w:t>
      </w:r>
      <w:r w:rsidR="00F815AE" w:rsidRPr="00F24C91">
        <w:t xml:space="preserve"> profesores</w:t>
      </w:r>
      <w:r w:rsidRPr="00F24C91">
        <w:t xml:space="preserve"> valodn</w:t>
      </w:r>
      <w:r w:rsidR="00F815AE" w:rsidRPr="00F24C91">
        <w:t xml:space="preserve">iecībā </w:t>
      </w:r>
      <w:r w:rsidR="003564AD" w:rsidRPr="00F24C91">
        <w:t>[pers. </w:t>
      </w:r>
      <w:r w:rsidR="000D20F4" w:rsidRPr="00F24C91">
        <w:t>F</w:t>
      </w:r>
      <w:r w:rsidR="003564AD" w:rsidRPr="00F24C91">
        <w:t xml:space="preserve">] </w:t>
      </w:r>
      <w:r w:rsidRPr="00F24C91">
        <w:t>2019. gada 13. decembra atzinumu</w:t>
      </w:r>
      <w:r w:rsidR="009E5BE1" w:rsidRPr="00F24C91">
        <w:t xml:space="preserve"> par rakstu sērijā izteikto attiecībā uz prasītāju (</w:t>
      </w:r>
      <w:r w:rsidR="009E5BE1" w:rsidRPr="00F24C91">
        <w:rPr>
          <w:i/>
          <w:iCs/>
        </w:rPr>
        <w:t>lietas lapa 132–134</w:t>
      </w:r>
      <w:r w:rsidR="009E5BE1" w:rsidRPr="00F24C91">
        <w:t>)</w:t>
      </w:r>
      <w:r w:rsidRPr="00F24C91">
        <w:t>, taču analizējusi</w:t>
      </w:r>
      <w:r w:rsidR="00094671" w:rsidRPr="00F24C91">
        <w:t xml:space="preserve"> tikai tajā</w:t>
      </w:r>
      <w:r w:rsidRPr="00F24C91">
        <w:t xml:space="preserve"> izteikto secinājumu, ka rakstos nav atrodami izteikumi, kas liecinātu par tiesneses profesionālo nekompetenci vai paviršību, pildot amata pienākumus, bet atzinumā izteiktos secinājumus par to, ka prasītāja ir viena no tiesnesēm, kura, iespējams, ir pieļāvusi likumpārkāpumus maksātnespējas procesos un bijusi korumpēta, nav pat pieminējusi, nemaz nerunājot par to analīzi.</w:t>
      </w:r>
    </w:p>
    <w:p w14:paraId="20BC7BF8" w14:textId="13231E8F" w:rsidR="00010E8A" w:rsidRPr="00F24C91" w:rsidRDefault="00010E8A" w:rsidP="004F423C">
      <w:pPr>
        <w:pStyle w:val="NormalWeb"/>
        <w:shd w:val="clear" w:color="auto" w:fill="FFFFFF"/>
        <w:spacing w:before="0" w:beforeAutospacing="0" w:after="0" w:afterAutospacing="0" w:line="276" w:lineRule="auto"/>
        <w:ind w:firstLine="709"/>
        <w:jc w:val="both"/>
      </w:pPr>
      <w:r w:rsidRPr="00F24C91">
        <w:t>[5.</w:t>
      </w:r>
      <w:r w:rsidR="004578D4" w:rsidRPr="00F24C91">
        <w:t>3</w:t>
      </w:r>
      <w:r w:rsidRPr="00F24C91">
        <w:t>]</w:t>
      </w:r>
      <w:r w:rsidR="00DE2284" w:rsidRPr="00F24C91">
        <w:t> </w:t>
      </w:r>
      <w:r w:rsidR="00597D54" w:rsidRPr="00F24C91">
        <w:t>R</w:t>
      </w:r>
      <w:r w:rsidR="00747F53" w:rsidRPr="00F24C91">
        <w:t xml:space="preserve">aidījuma </w:t>
      </w:r>
      <w:r w:rsidR="00F65CEE" w:rsidRPr="00F24C91">
        <w:t>[..]</w:t>
      </w:r>
      <w:r w:rsidR="00747F53" w:rsidRPr="00F24C91">
        <w:t xml:space="preserve"> vadītājam, iepazīstoties ar rakstu sērijā minēto, bija radies secinājums, ka visiem</w:t>
      </w:r>
      <w:r w:rsidR="00D659ED" w:rsidRPr="00F24C91">
        <w:t xml:space="preserve"> rakstu sērijā minētajiem</w:t>
      </w:r>
      <w:r w:rsidR="00747F53" w:rsidRPr="00F24C91">
        <w:t xml:space="preserve"> septiņiem tiesnešiem (tajā skaitā arī prasītājai) vairs nebūtu jāieņem tiesneša amats</w:t>
      </w:r>
      <w:r w:rsidR="004A0572" w:rsidRPr="00F24C91">
        <w:t>.</w:t>
      </w:r>
      <w:r w:rsidR="00597D54" w:rsidRPr="00F24C91">
        <w:t xml:space="preserve"> Tāpat arī </w:t>
      </w:r>
      <w:r w:rsidR="00F815AE" w:rsidRPr="00F24C91">
        <w:t>valodnieces</w:t>
      </w:r>
      <w:r w:rsidR="00350094" w:rsidRPr="00F24C91">
        <w:t xml:space="preserve"> </w:t>
      </w:r>
      <w:r w:rsidR="00597D54" w:rsidRPr="00F24C91">
        <w:t>atzinum</w:t>
      </w:r>
      <w:r w:rsidR="007B07FC" w:rsidRPr="00F24C91">
        <w:t>ā</w:t>
      </w:r>
      <w:r w:rsidR="00597D54" w:rsidRPr="00F24C91">
        <w:t xml:space="preserve"> secinā</w:t>
      </w:r>
      <w:r w:rsidR="00350094" w:rsidRPr="00F24C91">
        <w:t>ts,</w:t>
      </w:r>
      <w:r w:rsidR="004A0572" w:rsidRPr="00F24C91">
        <w:t xml:space="preserve"> ka </w:t>
      </w:r>
      <w:r w:rsidR="006F5BFE" w:rsidRPr="00F24C91">
        <w:t>rakstu sērijā</w:t>
      </w:r>
      <w:r w:rsidR="004A0572" w:rsidRPr="00F24C91">
        <w:t xml:space="preserve"> ir rodami atsevišķi dažādas nozīmes – gan </w:t>
      </w:r>
      <w:proofErr w:type="spellStart"/>
      <w:r w:rsidR="004A0572" w:rsidRPr="00F24C91">
        <w:t>implicīti</w:t>
      </w:r>
      <w:proofErr w:type="spellEnd"/>
      <w:r w:rsidR="004A0572" w:rsidRPr="00F24C91">
        <w:t xml:space="preserve">, gan vairāk vai mazāk </w:t>
      </w:r>
      <w:proofErr w:type="spellStart"/>
      <w:r w:rsidR="004A0572" w:rsidRPr="00F24C91">
        <w:t>eksplicīti</w:t>
      </w:r>
      <w:proofErr w:type="spellEnd"/>
      <w:r w:rsidR="004A0572" w:rsidRPr="00F24C91">
        <w:t xml:space="preserve"> un pat pretrunīgi – izteikumi, kas lasītājam ļauj/liek secināt, ka </w:t>
      </w:r>
      <w:r w:rsidR="005A7751" w:rsidRPr="00F24C91">
        <w:t>[pers. A]</w:t>
      </w:r>
      <w:r w:rsidR="004A0572" w:rsidRPr="00F24C91">
        <w:t xml:space="preserve"> ir viena no tiesnesēm, kura, iespējams, ir pieļāvusi likumpārkāpumus maksātnespējas procesos un bijusi korumpēta.</w:t>
      </w:r>
      <w:r w:rsidR="00597D54" w:rsidRPr="00F24C91">
        <w:t xml:space="preserve"> </w:t>
      </w:r>
    </w:p>
    <w:p w14:paraId="2B9BE7E2" w14:textId="39A597C7" w:rsidR="004A0572" w:rsidRPr="00F24C91" w:rsidRDefault="00597D54" w:rsidP="004F423C">
      <w:pPr>
        <w:pStyle w:val="NormalWeb"/>
        <w:shd w:val="clear" w:color="auto" w:fill="FFFFFF"/>
        <w:spacing w:before="0" w:beforeAutospacing="0" w:after="0" w:afterAutospacing="0" w:line="276" w:lineRule="auto"/>
        <w:ind w:firstLine="709"/>
        <w:jc w:val="both"/>
      </w:pPr>
      <w:r w:rsidRPr="00F24C91">
        <w:lastRenderedPageBreak/>
        <w:t>Tādējādi ne tikai neitrālam, bet arī analītiskam rakstu lasītājam (gan žurnālistam, gan profesorei) rakstu sērijā pausto izteikumu konteksts ļāvis izdarīt secinājumus par prasītāju kā iespējamu likumpārkāpēju vai korumpētu personu, kurai būtu jāatstāj amats.</w:t>
      </w:r>
    </w:p>
    <w:p w14:paraId="0098F6A4" w14:textId="49DBB107" w:rsidR="00597D54" w:rsidRPr="00F24C91" w:rsidRDefault="00597D54" w:rsidP="004F423C">
      <w:pPr>
        <w:pStyle w:val="NormalWeb"/>
        <w:shd w:val="clear" w:color="auto" w:fill="FFFFFF"/>
        <w:spacing w:before="0" w:beforeAutospacing="0" w:after="0" w:afterAutospacing="0" w:line="276" w:lineRule="auto"/>
        <w:ind w:firstLine="709"/>
        <w:jc w:val="both"/>
      </w:pPr>
      <w:r w:rsidRPr="00F24C91">
        <w:t>[5.</w:t>
      </w:r>
      <w:r w:rsidR="004578D4" w:rsidRPr="00F24C91">
        <w:t>4</w:t>
      </w:r>
      <w:r w:rsidRPr="00F24C91">
        <w:t>]</w:t>
      </w:r>
      <w:r w:rsidR="00DE2284" w:rsidRPr="00F24C91">
        <w:t> </w:t>
      </w:r>
      <w:r w:rsidR="00C6119D" w:rsidRPr="00F24C91">
        <w:t>Prasītājas kā tiesneses amats nerada imunitāti pret kritiku viņas darbam, bet, atbilstoši Eiropas Cilvēktiesību tiesas praksei, rada augstāku tolerances slieksni</w:t>
      </w:r>
      <w:r w:rsidR="00F815AE" w:rsidRPr="00F24C91">
        <w:t>.</w:t>
      </w:r>
    </w:p>
    <w:p w14:paraId="7040DA82" w14:textId="3D594651" w:rsidR="00C6119D" w:rsidRPr="00F24C91" w:rsidRDefault="00C6119D" w:rsidP="004F423C">
      <w:pPr>
        <w:pStyle w:val="NormalWeb"/>
        <w:shd w:val="clear" w:color="auto" w:fill="FFFFFF"/>
        <w:spacing w:before="0" w:beforeAutospacing="0" w:after="0" w:afterAutospacing="0" w:line="276" w:lineRule="auto"/>
        <w:ind w:firstLine="709"/>
        <w:jc w:val="both"/>
      </w:pPr>
      <w:r w:rsidRPr="00F24C91">
        <w:t>[5.</w:t>
      </w:r>
      <w:r w:rsidR="00010E8A" w:rsidRPr="00F24C91">
        <w:t>5</w:t>
      </w:r>
      <w:r w:rsidRPr="00F24C91">
        <w:t>]</w:t>
      </w:r>
      <w:r w:rsidR="00DE2284" w:rsidRPr="00F24C91">
        <w:t> </w:t>
      </w:r>
      <w:r w:rsidRPr="00F24C91">
        <w:t>Tiesa ir atsaukusies uz faktiem, kas šajā lietā nemaz nebija pierādīti</w:t>
      </w:r>
      <w:r w:rsidR="00F815AE" w:rsidRPr="00F24C91">
        <w:t>. P</w:t>
      </w:r>
      <w:r w:rsidRPr="00F24C91">
        <w:t>roti, tiesa konstatēja, ka prasītājai nebija liegtas tiesības atbildēt uz viņasprāt nepamatotiem izteikumiem, jo viņa bija aicināta piedalīties raidījumā</w:t>
      </w:r>
      <w:r w:rsidR="004F423C" w:rsidRPr="00F24C91">
        <w:t xml:space="preserve"> [..]</w:t>
      </w:r>
      <w:r w:rsidRPr="00F24C91">
        <w:t xml:space="preserve">, uz kuru neieradās. Lietā </w:t>
      </w:r>
      <w:r w:rsidR="00E04A81" w:rsidRPr="00F24C91">
        <w:t xml:space="preserve">nav </w:t>
      </w:r>
      <w:r w:rsidRPr="00F24C91">
        <w:t>pierādījumu par to, ka prasītāja b</w:t>
      </w:r>
      <w:r w:rsidR="006F5BFE" w:rsidRPr="00F24C91">
        <w:t>ūtu</w:t>
      </w:r>
      <w:r w:rsidRPr="00F24C91">
        <w:t xml:space="preserve"> aicināta piedalīties raidījumā.</w:t>
      </w:r>
    </w:p>
    <w:p w14:paraId="0B5F38E4" w14:textId="5F162D03" w:rsidR="00046679" w:rsidRPr="00F24C91" w:rsidRDefault="00046679" w:rsidP="004F423C">
      <w:pPr>
        <w:pStyle w:val="NormalWeb"/>
        <w:shd w:val="clear" w:color="auto" w:fill="FFFFFF"/>
        <w:spacing w:before="0" w:beforeAutospacing="0" w:after="0" w:afterAutospacing="0" w:line="276" w:lineRule="auto"/>
        <w:ind w:firstLine="709"/>
        <w:jc w:val="both"/>
      </w:pPr>
    </w:p>
    <w:p w14:paraId="02A24087" w14:textId="1FA7F234" w:rsidR="00046679" w:rsidRPr="00F24C91" w:rsidRDefault="00046679" w:rsidP="004F423C">
      <w:pPr>
        <w:pStyle w:val="NormalWeb"/>
        <w:shd w:val="clear" w:color="auto" w:fill="FFFFFF"/>
        <w:spacing w:before="0" w:beforeAutospacing="0" w:after="0" w:afterAutospacing="0" w:line="276" w:lineRule="auto"/>
        <w:ind w:firstLine="709"/>
        <w:jc w:val="both"/>
      </w:pPr>
      <w:r w:rsidRPr="00F24C91">
        <w:t>[6]</w:t>
      </w:r>
      <w:r w:rsidR="00DE2284" w:rsidRPr="00F24C91">
        <w:t> </w:t>
      </w:r>
      <w:r w:rsidRPr="00F24C91">
        <w:t>Atbildētāji iesnieguši paskaidrojumus par kasācijas sūdzību</w:t>
      </w:r>
      <w:r w:rsidR="00A767EA" w:rsidRPr="00F24C91">
        <w:t>, lūdzot kasācijas sūdzību</w:t>
      </w:r>
      <w:r w:rsidR="008C2A32" w:rsidRPr="00F24C91">
        <w:t xml:space="preserve"> noraidīt</w:t>
      </w:r>
      <w:r w:rsidR="00A767EA" w:rsidRPr="00F24C91">
        <w:t>.</w:t>
      </w:r>
      <w:r w:rsidRPr="00F24C91">
        <w:t xml:space="preserve"> </w:t>
      </w:r>
      <w:r w:rsidR="00CC383F" w:rsidRPr="00F24C91">
        <w:t xml:space="preserve">Paskaidrojumos citastarp </w:t>
      </w:r>
      <w:r w:rsidR="0073193A" w:rsidRPr="00F24C91">
        <w:t>uz</w:t>
      </w:r>
      <w:r w:rsidR="0056264A" w:rsidRPr="00F24C91">
        <w:t>s</w:t>
      </w:r>
      <w:r w:rsidR="0073193A" w:rsidRPr="00F24C91">
        <w:t>vērts</w:t>
      </w:r>
      <w:r w:rsidR="00CC383F" w:rsidRPr="00F24C91">
        <w:t>, ka</w:t>
      </w:r>
      <w:r w:rsidR="0073193A" w:rsidRPr="00F24C91">
        <w:t xml:space="preserve"> prasītāja</w:t>
      </w:r>
      <w:r w:rsidR="00CC383F" w:rsidRPr="00F24C91">
        <w:t xml:space="preserve"> kasācijas sūdzībā nav </w:t>
      </w:r>
      <w:r w:rsidR="0099765F" w:rsidRPr="00F24C91">
        <w:t>norā</w:t>
      </w:r>
      <w:r w:rsidR="0073193A" w:rsidRPr="00F24C91">
        <w:t>dījusi</w:t>
      </w:r>
      <w:r w:rsidR="0099765F" w:rsidRPr="00F24C91">
        <w:t>, kā viņas ieskatā piemērotās tiesību normas ir nepareizi attiecinātas uz tiesas konstatētajiem apstākļiem vai nepareizi iztulkotas.</w:t>
      </w:r>
    </w:p>
    <w:p w14:paraId="3D03E8FF" w14:textId="77777777" w:rsidR="004F423C" w:rsidRPr="00F24C91" w:rsidRDefault="004F423C" w:rsidP="004F423C">
      <w:pPr>
        <w:shd w:val="clear" w:color="auto" w:fill="FFFFFF"/>
        <w:spacing w:line="276" w:lineRule="auto"/>
        <w:jc w:val="center"/>
        <w:rPr>
          <w:b/>
        </w:rPr>
      </w:pPr>
    </w:p>
    <w:p w14:paraId="10302DDB" w14:textId="5468369C" w:rsidR="005C418F" w:rsidRPr="00F24C91" w:rsidRDefault="005C418F" w:rsidP="004F423C">
      <w:pPr>
        <w:shd w:val="clear" w:color="auto" w:fill="FFFFFF"/>
        <w:spacing w:line="276" w:lineRule="auto"/>
        <w:jc w:val="center"/>
      </w:pPr>
      <w:r w:rsidRPr="00F24C91">
        <w:rPr>
          <w:b/>
        </w:rPr>
        <w:t>Motīvu daļa</w:t>
      </w:r>
    </w:p>
    <w:p w14:paraId="71F242AC" w14:textId="77777777" w:rsidR="004F423C" w:rsidRPr="00F24C91" w:rsidRDefault="004F423C" w:rsidP="004F423C">
      <w:pPr>
        <w:shd w:val="clear" w:color="auto" w:fill="FFFFFF"/>
        <w:spacing w:line="276" w:lineRule="auto"/>
        <w:ind w:firstLine="567"/>
        <w:jc w:val="both"/>
      </w:pPr>
    </w:p>
    <w:p w14:paraId="6A0BB8FD" w14:textId="5A0E4ECF" w:rsidR="004A429A" w:rsidRPr="00F24C91" w:rsidRDefault="00CB42FB" w:rsidP="004F423C">
      <w:pPr>
        <w:shd w:val="clear" w:color="auto" w:fill="FFFFFF"/>
        <w:spacing w:line="276" w:lineRule="auto"/>
        <w:ind w:firstLine="567"/>
        <w:jc w:val="both"/>
      </w:pPr>
      <w:r w:rsidRPr="00F24C91">
        <w:t>[7</w:t>
      </w:r>
      <w:r w:rsidR="004A429A" w:rsidRPr="00F24C91">
        <w:t>]</w:t>
      </w:r>
      <w:r w:rsidR="00DE2284" w:rsidRPr="00F24C91">
        <w:t> </w:t>
      </w:r>
      <w:r w:rsidR="004A429A" w:rsidRPr="00F24C91">
        <w:t xml:space="preserve">Izskatāmās lietas tiesību jautājums saistīts ar divu pamattiesību </w:t>
      </w:r>
      <w:r w:rsidR="00DB0E21" w:rsidRPr="00F24C91">
        <w:t>– vārda brīvības un privātās dzīves neaizskaramības –</w:t>
      </w:r>
      <w:r w:rsidR="00923457" w:rsidRPr="00F24C91">
        <w:t xml:space="preserve"> </w:t>
      </w:r>
      <w:r w:rsidR="004A429A" w:rsidRPr="00F24C91">
        <w:t>līdzsvarošanu.</w:t>
      </w:r>
    </w:p>
    <w:p w14:paraId="6EC52EA0" w14:textId="71030C8F" w:rsidR="00DB0E21" w:rsidRPr="00F24C91" w:rsidRDefault="00D6382B" w:rsidP="004F423C">
      <w:pPr>
        <w:shd w:val="clear" w:color="auto" w:fill="FFFFFF"/>
        <w:spacing w:line="276" w:lineRule="auto"/>
        <w:ind w:firstLine="567"/>
        <w:jc w:val="both"/>
      </w:pPr>
      <w:r w:rsidRPr="00F24C91">
        <w:t>[</w:t>
      </w:r>
      <w:r w:rsidR="00CB42FB" w:rsidRPr="00F24C91">
        <w:t>7</w:t>
      </w:r>
      <w:r w:rsidRPr="00F24C91">
        <w:t>.1]</w:t>
      </w:r>
      <w:r w:rsidR="00DE2284" w:rsidRPr="00F24C91">
        <w:t> </w:t>
      </w:r>
      <w:r w:rsidR="004A429A" w:rsidRPr="00F24C91">
        <w:t>Latvijas Republikas Satversmes 100. pants noteic, ka ikvienam ir tiesības uz vārda brīvību, kas ietver tiesības brīvi iegūt, paturēt un izplatīt informāciju, paust savus uzskatus.</w:t>
      </w:r>
      <w:r w:rsidR="004F6232" w:rsidRPr="00F24C91">
        <w:t xml:space="preserve"> </w:t>
      </w:r>
      <w:r w:rsidR="004803CA" w:rsidRPr="00F24C91">
        <w:t xml:space="preserve">Šīs tiesības var ierobežot Latvijas Republikas Satversmes 116. pantā noteiktajos gadījumos. </w:t>
      </w:r>
    </w:p>
    <w:p w14:paraId="0CCD0029" w14:textId="77777777" w:rsidR="00DE2284" w:rsidRPr="00F24C91" w:rsidRDefault="004F6232" w:rsidP="004F423C">
      <w:pPr>
        <w:shd w:val="clear" w:color="auto" w:fill="FFFFFF"/>
        <w:spacing w:line="276" w:lineRule="auto"/>
        <w:ind w:firstLine="567"/>
        <w:jc w:val="both"/>
      </w:pPr>
      <w:r w:rsidRPr="00F24C91">
        <w:t>Minēt</w:t>
      </w:r>
      <w:r w:rsidR="004803CA" w:rsidRPr="00F24C91">
        <w:t>o</w:t>
      </w:r>
      <w:r w:rsidRPr="00F24C91">
        <w:t xml:space="preserve"> </w:t>
      </w:r>
      <w:r w:rsidR="00F815AE" w:rsidRPr="00F24C91">
        <w:t xml:space="preserve">Latvijas Republikas Satversmes </w:t>
      </w:r>
      <w:r w:rsidRPr="00F24C91">
        <w:t>norm</w:t>
      </w:r>
      <w:r w:rsidR="004803CA" w:rsidRPr="00F24C91">
        <w:t>u</w:t>
      </w:r>
      <w:r w:rsidRPr="00F24C91">
        <w:t xml:space="preserve"> tvērumam atbilst</w:t>
      </w:r>
      <w:r w:rsidR="006D22C0" w:rsidRPr="00F24C91">
        <w:t xml:space="preserve"> </w:t>
      </w:r>
      <w:r w:rsidRPr="00F24C91">
        <w:t>Eiropas Cilvēka tiesību un pamatbrīvību aizsardzības konvencijas 10. pants, kas paredz, ka ikvienam ir tiesības uz vārda brīvību, kā arī noteikts, ka šo tiesību īstenošana var tikt pakļauta ierobežojumiem, bet tikai tādiem, kas paredzēti likumā</w:t>
      </w:r>
      <w:r w:rsidR="006D22C0" w:rsidRPr="00F24C91">
        <w:t xml:space="preserve"> </w:t>
      </w:r>
      <w:r w:rsidRPr="00F24C91">
        <w:t>un nepieciešami demokrātiskā sabiedrībā, tostarp, lai aizsargātu citu personu</w:t>
      </w:r>
      <w:r w:rsidR="006D22C0" w:rsidRPr="00F24C91">
        <w:t xml:space="preserve"> </w:t>
      </w:r>
      <w:r w:rsidRPr="00F24C91">
        <w:t>reputāciju un tiesības.</w:t>
      </w:r>
      <w:r w:rsidR="004803CA" w:rsidRPr="00F24C91">
        <w:t xml:space="preserve"> </w:t>
      </w:r>
    </w:p>
    <w:p w14:paraId="783084A0" w14:textId="7E3AF92D" w:rsidR="007F172E" w:rsidRPr="00F24C91" w:rsidRDefault="00D6382B" w:rsidP="004F423C">
      <w:pPr>
        <w:shd w:val="clear" w:color="auto" w:fill="FFFFFF"/>
        <w:spacing w:line="276" w:lineRule="auto"/>
        <w:ind w:firstLine="567"/>
        <w:jc w:val="both"/>
      </w:pPr>
      <w:r w:rsidRPr="00F24C91">
        <w:t>[</w:t>
      </w:r>
      <w:r w:rsidR="000B1FB3" w:rsidRPr="00F24C91">
        <w:t>7</w:t>
      </w:r>
      <w:r w:rsidRPr="00F24C91">
        <w:t>.2]</w:t>
      </w:r>
      <w:r w:rsidR="00DE2284" w:rsidRPr="00F24C91">
        <w:t> </w:t>
      </w:r>
      <w:r w:rsidR="004803CA" w:rsidRPr="00F24C91">
        <w:t>Personu reputāciju jeb godu un cieņu, kas ir daļa no p</w:t>
      </w:r>
      <w:r w:rsidR="007F172E" w:rsidRPr="00F24C91">
        <w:t>rivātās dzīves neaizskaramī</w:t>
      </w:r>
      <w:r w:rsidR="004803CA" w:rsidRPr="00F24C91">
        <w:t>bas,</w:t>
      </w:r>
      <w:r w:rsidR="007F172E" w:rsidRPr="00F24C91">
        <w:t xml:space="preserve"> aizsargā </w:t>
      </w:r>
      <w:r w:rsidR="00F815AE" w:rsidRPr="00F24C91">
        <w:t xml:space="preserve">Latvijas Republikas </w:t>
      </w:r>
      <w:r w:rsidR="007F172E" w:rsidRPr="00F24C91">
        <w:t>Satversmes 96. pants</w:t>
      </w:r>
      <w:r w:rsidR="002870D3" w:rsidRPr="00F24C91">
        <w:t>, un</w:t>
      </w:r>
      <w:r w:rsidR="007F172E" w:rsidRPr="00F24C91">
        <w:t xml:space="preserve"> </w:t>
      </w:r>
      <w:r w:rsidR="004803CA" w:rsidRPr="00F24C91">
        <w:t>t</w:t>
      </w:r>
      <w:r w:rsidR="007F172E" w:rsidRPr="00F24C91">
        <w:t xml:space="preserve">am </w:t>
      </w:r>
      <w:r w:rsidR="004C2DDD" w:rsidRPr="00F24C91">
        <w:t>atbilst Eiropas Cilvēka tiesību un pamatbrīvību aizsardzības konvencijas 8. pants (sk. </w:t>
      </w:r>
      <w:r w:rsidR="004C2DDD" w:rsidRPr="00F24C91">
        <w:rPr>
          <w:i/>
          <w:iCs/>
        </w:rPr>
        <w:t xml:space="preserve">Senāta </w:t>
      </w:r>
      <w:bookmarkStart w:id="1" w:name="_Hlk114469680"/>
      <w:r w:rsidR="004C2DDD" w:rsidRPr="00F24C91">
        <w:rPr>
          <w:i/>
          <w:iCs/>
        </w:rPr>
        <w:t>2021. gada 4. augusta sprieduma lietā Nr. SKC</w:t>
      </w:r>
      <w:r w:rsidR="004C2DDD" w:rsidRPr="00F24C91">
        <w:rPr>
          <w:i/>
          <w:iCs/>
        </w:rPr>
        <w:noBreakHyphen/>
        <w:t xml:space="preserve">75/2021, </w:t>
      </w:r>
      <w:hyperlink r:id="rId12" w:history="1">
        <w:r w:rsidR="004C2DDD" w:rsidRPr="00F24C91">
          <w:rPr>
            <w:rStyle w:val="Hyperlink"/>
            <w:i/>
            <w:iCs/>
          </w:rPr>
          <w:t>ECLI:LV:AT:2021:0804.C29239318.10.S</w:t>
        </w:r>
      </w:hyperlink>
      <w:bookmarkEnd w:id="1"/>
      <w:r w:rsidR="004C2DDD" w:rsidRPr="00F24C91">
        <w:rPr>
          <w:i/>
          <w:iCs/>
        </w:rPr>
        <w:t>, 7. punktu</w:t>
      </w:r>
      <w:r w:rsidR="004C2DDD" w:rsidRPr="00F24C91">
        <w:t>).</w:t>
      </w:r>
    </w:p>
    <w:p w14:paraId="706625BD" w14:textId="2B34F7EB" w:rsidR="00110217" w:rsidRPr="00F24C91" w:rsidRDefault="007F172E" w:rsidP="004F423C">
      <w:pPr>
        <w:shd w:val="clear" w:color="auto" w:fill="FFFFFF"/>
        <w:spacing w:line="276" w:lineRule="auto"/>
        <w:ind w:firstLine="567"/>
        <w:jc w:val="both"/>
      </w:pPr>
      <w:r w:rsidRPr="00F24C91">
        <w:t>Goda un cieņas aizsardzības tiesiskais regulējums, kas var būt par pamatu vārda brīvības ierobežošanai, ietverts Civillikuma 2352.</w:t>
      </w:r>
      <w:r w:rsidRPr="00F24C91">
        <w:rPr>
          <w:vertAlign w:val="superscript"/>
        </w:rPr>
        <w:t>1</w:t>
      </w:r>
      <w:r w:rsidR="004C2DDD" w:rsidRPr="00F24C91">
        <w:t> </w:t>
      </w:r>
      <w:r w:rsidRPr="00F24C91">
        <w:t>pantā, kura pirmā daļa paredz, ka katram ir tiesības prasīt tiesas ceļā atsaukt ziņas, kas aizskar viņa godu un cieņu, ja šādu ziņu izplatītājs nepierāda, ka tās atbilst patiesībai. Saskaņā ar minētā panta trešo daļu, ja kāds prettiesiski aizskar personas godu un cieņu mutvārdiem, rakstveidā vai ar darbiem, tad viņam jādod atlīdzība (mantiska kompensācija). Atlīdzības apmēru nosaka tiesa</w:t>
      </w:r>
      <w:r w:rsidR="004A429A" w:rsidRPr="00F24C91">
        <w:t>.</w:t>
      </w:r>
    </w:p>
    <w:p w14:paraId="2A17AF5D" w14:textId="727CD276" w:rsidR="0081428A" w:rsidRPr="00F24C91" w:rsidDel="00DE2284" w:rsidRDefault="0081428A" w:rsidP="004F423C">
      <w:pPr>
        <w:shd w:val="clear" w:color="auto" w:fill="FFFFFF"/>
        <w:spacing w:line="276" w:lineRule="auto"/>
        <w:ind w:firstLine="567"/>
        <w:jc w:val="both"/>
      </w:pPr>
      <w:r w:rsidRPr="00F24C91" w:rsidDel="00DE2284">
        <w:t xml:space="preserve">Masu informācijas līdzekļiem jāievēro arī likuma „Par presi un citiem masu informācijas līdzekļiem” 7. panta piektajā daļā noteiktais </w:t>
      </w:r>
      <w:r w:rsidR="002C1901" w:rsidRPr="00F24C91" w:rsidDel="00DE2284">
        <w:t>aizliegums</w:t>
      </w:r>
      <w:r w:rsidRPr="00F24C91" w:rsidDel="00DE2284">
        <w:rPr>
          <w:i/>
          <w:iCs/>
        </w:rPr>
        <w:t xml:space="preserve"> </w:t>
      </w:r>
      <w:r w:rsidRPr="00F24C91" w:rsidDel="00DE2284">
        <w:t>publicēt informāciju, kura aizskar fizisko un juridisko personu godu un cieņu un ceļ tām neslavu. Saskaņā ar šā likuma 21. panta pirmo daļu, goda un cieņas aizskaršanas gadījumos fiziskajām un juridiskajām personām ir tiesības prasīt atvainošanos, bet atbilstoši 28. pantam masu informācijas līdzeklim ir jāatlīdzina kaitējums, arī morālais kaitējums, ko masu informācijas līdzeklis nodarījis, sniedzot nepatiesas ziņas, ceļot neslavu un aizskarot tās godu un cieņu, jāatlīdzina šai personai likumā noteiktajā kārtībā.</w:t>
      </w:r>
    </w:p>
    <w:p w14:paraId="506B585A" w14:textId="77777777" w:rsidR="00CB42FB" w:rsidRPr="00F24C91" w:rsidRDefault="00CB42FB" w:rsidP="004F423C">
      <w:pPr>
        <w:shd w:val="clear" w:color="auto" w:fill="FFFFFF"/>
        <w:spacing w:line="276" w:lineRule="auto"/>
        <w:ind w:firstLine="567"/>
        <w:jc w:val="both"/>
      </w:pPr>
    </w:p>
    <w:p w14:paraId="7FFC40B4" w14:textId="0A5799B8" w:rsidR="007D7FE1" w:rsidRPr="00F24C91" w:rsidRDefault="007D7FE1" w:rsidP="004F423C">
      <w:pPr>
        <w:shd w:val="clear" w:color="auto" w:fill="FFFFFF"/>
        <w:spacing w:line="276" w:lineRule="auto"/>
        <w:ind w:firstLine="567"/>
        <w:jc w:val="both"/>
      </w:pPr>
      <w:r w:rsidRPr="00F24C91">
        <w:t>[</w:t>
      </w:r>
      <w:r w:rsidR="00BC5D65" w:rsidRPr="00F24C91">
        <w:t>8</w:t>
      </w:r>
      <w:r w:rsidRPr="00F24C91">
        <w:t>] Kasācijas kārtībā pārbaudot tiesas spriedumu prasībā par goda un cieņas aizskārumu kontekstā ar kasācijas sūdzībā norādītajiem iebildumiem</w:t>
      </w:r>
      <w:r w:rsidR="00E912F4" w:rsidRPr="00F24C91">
        <w:t>,</w:t>
      </w:r>
      <w:r w:rsidRPr="00F24C91">
        <w:t xml:space="preserve"> Senātam jāpārbauda, vai tiesa ir pareizi piemērojusi Civillikuma 2352.</w:t>
      </w:r>
      <w:r w:rsidRPr="00F24C91">
        <w:rPr>
          <w:vertAlign w:val="superscript"/>
        </w:rPr>
        <w:t>1</w:t>
      </w:r>
      <w:r w:rsidRPr="00F24C91">
        <w:t xml:space="preserve"> pantu un vai ir ievērojusi Eiropas Cilvēktiesību tiesas un Senāta judikatūru tiesību uz vārda brīvību un tiesību uz privātās dzīves neaizskaramību jomā. </w:t>
      </w:r>
    </w:p>
    <w:p w14:paraId="0B4B2AB0" w14:textId="09036BD1" w:rsidR="007D7FE1" w:rsidRPr="00F24C91" w:rsidRDefault="007D7FE1" w:rsidP="004F423C">
      <w:pPr>
        <w:shd w:val="clear" w:color="auto" w:fill="FFFFFF"/>
        <w:spacing w:line="276" w:lineRule="auto"/>
        <w:ind w:firstLine="567"/>
        <w:jc w:val="both"/>
      </w:pPr>
      <w:r w:rsidRPr="00F24C91">
        <w:t>[</w:t>
      </w:r>
      <w:r w:rsidR="00BC5D65" w:rsidRPr="00F24C91">
        <w:t>8</w:t>
      </w:r>
      <w:r w:rsidRPr="00F24C91">
        <w:t>.1]</w:t>
      </w:r>
      <w:r w:rsidR="00100056" w:rsidRPr="00F24C91">
        <w:t> </w:t>
      </w:r>
      <w:r w:rsidRPr="00F24C91">
        <w:t xml:space="preserve">No tiesībām uz privātās dzīves neaizskaramību izriet tiesības uz tiesas aizsardzību, ja par personu publiskoti godu un cieņu aizskaroši izteikumi bez jebkādas faktiskās bāzes. No kasācijas sūdzības </w:t>
      </w:r>
      <w:r w:rsidR="00811F46" w:rsidRPr="00F24C91">
        <w:t xml:space="preserve">(sk. </w:t>
      </w:r>
      <w:r w:rsidR="00811F46" w:rsidRPr="00F24C91">
        <w:rPr>
          <w:i/>
          <w:iCs/>
        </w:rPr>
        <w:t>šī sprieduma 5.1. punktu</w:t>
      </w:r>
      <w:r w:rsidR="00811F46" w:rsidRPr="00F24C91">
        <w:t>; turpmāk skaitlis kvadrātiekavās teikumā nozīmē atsauci uz konkrēto šī sprieduma punktu)</w:t>
      </w:r>
      <w:r w:rsidRPr="00F24C91">
        <w:t xml:space="preserve"> izriet, ka tiesa kļūdaini liegusi prasītājai Civillikuma 2352.</w:t>
      </w:r>
      <w:r w:rsidRPr="00F24C91">
        <w:rPr>
          <w:vertAlign w:val="superscript"/>
        </w:rPr>
        <w:t>1</w:t>
      </w:r>
      <w:r w:rsidRPr="00F24C91">
        <w:t> pantā noteikto aizsardzību, jo nepareizi noteikusi, ka konkrētajos apstākļos pastāvēja faktiskā bāze pieteicējas vārda pieminēšanai rakstu sērijā.</w:t>
      </w:r>
    </w:p>
    <w:p w14:paraId="5DB147A0" w14:textId="4E009745" w:rsidR="007D7FE1" w:rsidRPr="00F24C91" w:rsidRDefault="007D7FE1" w:rsidP="004F423C">
      <w:pPr>
        <w:shd w:val="clear" w:color="auto" w:fill="FFFFFF"/>
        <w:spacing w:line="276" w:lineRule="auto"/>
        <w:ind w:firstLine="567"/>
        <w:jc w:val="both"/>
      </w:pPr>
      <w:r w:rsidRPr="00F24C91">
        <w:t>[</w:t>
      </w:r>
      <w:r w:rsidR="00BC5D65" w:rsidRPr="00F24C91">
        <w:t>8</w:t>
      </w:r>
      <w:r w:rsidRPr="00F24C91">
        <w:t>.2]</w:t>
      </w:r>
      <w:r w:rsidR="00100056" w:rsidRPr="00F24C91">
        <w:t> </w:t>
      </w:r>
      <w:r w:rsidRPr="00F24C91">
        <w:t xml:space="preserve">Pārbaudot strīdus publikāciju, tiesai jāvērtē vai tā varēja radīt prasītāja goda un cieņas aizskārumu. Kasācijas sūdzībā norādīts [5.2], [5.3], ka tiesa šos apstākļus novērtējusi kļūdaini un nav ņēmusi vērā vairākus pierādījumus, ko iesniegusi prasītāja. </w:t>
      </w:r>
    </w:p>
    <w:p w14:paraId="7515ACF9" w14:textId="400AE013" w:rsidR="007D7FE1" w:rsidRPr="00F24C91" w:rsidRDefault="007D7FE1" w:rsidP="004F423C">
      <w:pPr>
        <w:shd w:val="clear" w:color="auto" w:fill="FFFFFF"/>
        <w:spacing w:line="276" w:lineRule="auto"/>
        <w:ind w:firstLine="567"/>
        <w:jc w:val="both"/>
      </w:pPr>
      <w:r w:rsidRPr="00F24C91">
        <w:t>[</w:t>
      </w:r>
      <w:r w:rsidR="00BC5D65" w:rsidRPr="00F24C91">
        <w:t>8</w:t>
      </w:r>
      <w:r w:rsidRPr="00F24C91">
        <w:t>.3]</w:t>
      </w:r>
      <w:r w:rsidR="00100056" w:rsidRPr="00F24C91">
        <w:t> </w:t>
      </w:r>
      <w:r w:rsidRPr="00F24C91">
        <w:t>Viens no aspektiem, kas tiesai ir jāņem vērā, līdzsvarojot tiesības uz vārda brīvību un personas tiesības uz goda un cieņas aizsardzību, ir tās personas statuss, par kuru publiskotas aizskarošas ziņas. Kasācijas sūdzībā norādīts [5.4], [5.5], ka nav pareizs tiesas novērtējums attiecībā uz pieteicējas kā tiesneses goda un cieņas aizsardzību.</w:t>
      </w:r>
    </w:p>
    <w:p w14:paraId="5B99C338" w14:textId="3183061B" w:rsidR="007D7FE1" w:rsidRPr="00F24C91" w:rsidRDefault="007D7FE1" w:rsidP="004F423C">
      <w:pPr>
        <w:shd w:val="clear" w:color="auto" w:fill="FFFFFF"/>
        <w:spacing w:line="276" w:lineRule="auto"/>
        <w:ind w:firstLine="567"/>
        <w:jc w:val="both"/>
      </w:pPr>
      <w:r w:rsidRPr="00F24C91">
        <w:t>[</w:t>
      </w:r>
      <w:r w:rsidR="00BC5D65" w:rsidRPr="00F24C91">
        <w:t>8</w:t>
      </w:r>
      <w:r w:rsidRPr="00F24C91">
        <w:t>.4]</w:t>
      </w:r>
      <w:r w:rsidR="00100056" w:rsidRPr="00F24C91">
        <w:t> </w:t>
      </w:r>
      <w:r w:rsidRPr="00F24C91">
        <w:t>Ņemot vērā iepriekš minēto, Senāt</w:t>
      </w:r>
      <w:r w:rsidR="00811F46" w:rsidRPr="00F24C91">
        <w:t>s pārliecināsies</w:t>
      </w:r>
      <w:r w:rsidRPr="00F24C91">
        <w:t>, vai tiesa ir noskaidrojusi, ka rakstu sērijai un tajā lietotajiem izteikumiem, ciktāl tie attiecās uz prasītāju, bija faktiskā bāze [</w:t>
      </w:r>
      <w:r w:rsidR="00811F46" w:rsidRPr="00F24C91">
        <w:t>11</w:t>
      </w:r>
      <w:r w:rsidRPr="00F24C91">
        <w:t>], vai tiesa ir pieļāvusi kļūdas pierādījumu vērtēšanā [</w:t>
      </w:r>
      <w:r w:rsidR="00811F46" w:rsidRPr="00F24C91">
        <w:t>12</w:t>
      </w:r>
      <w:r w:rsidRPr="00F24C91">
        <w:t>] un vai tiesa ir pareizi novērtējusi prasītājas kā tiesneses pieļaujamās kritikas robežas [</w:t>
      </w:r>
      <w:r w:rsidR="00811F46" w:rsidRPr="00F24C91">
        <w:t>13</w:t>
      </w:r>
      <w:r w:rsidRPr="00F24C91">
        <w:t>].</w:t>
      </w:r>
    </w:p>
    <w:p w14:paraId="0EBD8B9D" w14:textId="77777777" w:rsidR="00BC5D65" w:rsidRPr="00F24C91" w:rsidRDefault="00BC5D65" w:rsidP="004F423C">
      <w:pPr>
        <w:shd w:val="clear" w:color="auto" w:fill="FFFFFF"/>
        <w:spacing w:line="276" w:lineRule="auto"/>
        <w:ind w:firstLine="567"/>
        <w:jc w:val="both"/>
      </w:pPr>
    </w:p>
    <w:p w14:paraId="63CDBA59" w14:textId="0A769C99" w:rsidR="00BC5D65" w:rsidRPr="00F24C91" w:rsidRDefault="00BC5D65" w:rsidP="004F423C">
      <w:pPr>
        <w:shd w:val="clear" w:color="auto" w:fill="FFFFFF"/>
        <w:spacing w:line="276" w:lineRule="auto"/>
        <w:ind w:firstLine="567"/>
        <w:jc w:val="both"/>
      </w:pPr>
      <w:r w:rsidRPr="00F24C91">
        <w:t>[9] </w:t>
      </w:r>
      <w:proofErr w:type="gramStart"/>
      <w:r w:rsidRPr="00F24C91">
        <w:t>Tā kā apelācijas instances tiesa, izmantodama Civilprocesa likuma 432. panta piektajā daļā piešķirtās tiesības, pievienojusies pirmās instances tiesas sprieduma motivācijai, prasības noraidīšanas pamatojumu</w:t>
      </w:r>
      <w:proofErr w:type="gramEnd"/>
      <w:r w:rsidRPr="00F24C91">
        <w:t xml:space="preserve"> Senāts vērtēs abu instanču spriedumos norādīto argumentu kontekstā.</w:t>
      </w:r>
    </w:p>
    <w:p w14:paraId="3F64F6A2" w14:textId="634BE9DF" w:rsidR="007D7FE1" w:rsidRPr="00F24C91" w:rsidRDefault="007D7FE1" w:rsidP="004F423C">
      <w:pPr>
        <w:shd w:val="clear" w:color="auto" w:fill="FFFFFF"/>
        <w:spacing w:line="276" w:lineRule="auto"/>
        <w:ind w:firstLine="567"/>
        <w:jc w:val="both"/>
      </w:pPr>
    </w:p>
    <w:p w14:paraId="7257EBA5" w14:textId="77777777" w:rsidR="0056264A" w:rsidRPr="00F24C91" w:rsidRDefault="0056264A" w:rsidP="004F423C">
      <w:pPr>
        <w:shd w:val="clear" w:color="auto" w:fill="FFFFFF"/>
        <w:spacing w:line="276" w:lineRule="auto"/>
        <w:ind w:firstLine="567"/>
        <w:jc w:val="both"/>
      </w:pPr>
    </w:p>
    <w:p w14:paraId="57F63005" w14:textId="1A9D0EFA" w:rsidR="00F01CA0" w:rsidRPr="00F24C91" w:rsidRDefault="00552743" w:rsidP="004F423C">
      <w:pPr>
        <w:shd w:val="clear" w:color="auto" w:fill="FFFFFF"/>
        <w:spacing w:line="276" w:lineRule="auto"/>
        <w:ind w:firstLine="567"/>
        <w:jc w:val="both"/>
        <w:rPr>
          <w:i/>
        </w:rPr>
      </w:pPr>
      <w:r w:rsidRPr="00F24C91">
        <w:rPr>
          <w:i/>
        </w:rPr>
        <w:t>Par preses brīvību</w:t>
      </w:r>
    </w:p>
    <w:p w14:paraId="42F8EC28" w14:textId="7DAF9863" w:rsidR="00225D5C" w:rsidRPr="00F24C91" w:rsidRDefault="00646DA7" w:rsidP="004F423C">
      <w:pPr>
        <w:shd w:val="clear" w:color="auto" w:fill="FFFFFF"/>
        <w:spacing w:line="276" w:lineRule="auto"/>
        <w:ind w:firstLine="567"/>
        <w:jc w:val="both"/>
      </w:pPr>
      <w:r w:rsidRPr="00F24C91">
        <w:t>[</w:t>
      </w:r>
      <w:r w:rsidR="00811F46" w:rsidRPr="00F24C91">
        <w:t>10</w:t>
      </w:r>
      <w:r w:rsidRPr="00F24C91">
        <w:t>]</w:t>
      </w:r>
      <w:r w:rsidR="007A61C2" w:rsidRPr="00F24C91">
        <w:t> </w:t>
      </w:r>
      <w:r w:rsidR="00225D5C" w:rsidRPr="00F24C91">
        <w:t>Noraidot</w:t>
      </w:r>
      <w:r w:rsidR="00D11C2F" w:rsidRPr="00F24C91">
        <w:t xml:space="preserve"> prasītājas</w:t>
      </w:r>
      <w:r w:rsidR="00225D5C" w:rsidRPr="00F24C91">
        <w:t xml:space="preserve"> </w:t>
      </w:r>
      <w:r w:rsidR="00D11C2F" w:rsidRPr="00F24C91">
        <w:t>prasību, tiesa atzinusi, ka atbildētāju tiesību uz vārda brīvību ierobežošana prasītājas goda un cieņas aizsardzības interesēs nav pamatota.</w:t>
      </w:r>
      <w:r w:rsidR="00225D5C" w:rsidRPr="00F24C91">
        <w:t xml:space="preserve"> </w:t>
      </w:r>
    </w:p>
    <w:p w14:paraId="61B3EBE2" w14:textId="6EEAA1E6" w:rsidR="0012006F" w:rsidRPr="00F24C91" w:rsidRDefault="00D11C2F" w:rsidP="004F423C">
      <w:pPr>
        <w:shd w:val="clear" w:color="auto" w:fill="FFFFFF"/>
        <w:spacing w:line="276" w:lineRule="auto"/>
        <w:ind w:firstLine="567"/>
        <w:jc w:val="both"/>
      </w:pPr>
      <w:r w:rsidRPr="00F24C91">
        <w:t>[</w:t>
      </w:r>
      <w:r w:rsidR="00811F46" w:rsidRPr="00F24C91">
        <w:t>10</w:t>
      </w:r>
      <w:r w:rsidRPr="00F24C91">
        <w:t>.1]</w:t>
      </w:r>
      <w:r w:rsidR="007A61C2" w:rsidRPr="00F24C91">
        <w:t xml:space="preserve"> Senāts atzīst, ka tiesa </w:t>
      </w:r>
      <w:r w:rsidR="0099765F" w:rsidRPr="00F24C91">
        <w:t xml:space="preserve">ir </w:t>
      </w:r>
      <w:r w:rsidR="007A61C2" w:rsidRPr="00F24C91">
        <w:t>pamatoti norādījusi, ka u</w:t>
      </w:r>
      <w:r w:rsidR="0012006F" w:rsidRPr="00F24C91">
        <w:t>z atbildētājiem – žurnālisti un preses izdevumu – attiecas plašas vārda brīvības un preses brīvības kā vārda brīvības neatņemamas sastāvdaļas garantijas.</w:t>
      </w:r>
    </w:p>
    <w:p w14:paraId="6823604B" w14:textId="78F9ED6A" w:rsidR="00646DA7" w:rsidRPr="00F24C91" w:rsidRDefault="007A61C2" w:rsidP="004F423C">
      <w:pPr>
        <w:shd w:val="clear" w:color="auto" w:fill="FFFFFF"/>
        <w:spacing w:line="276" w:lineRule="auto"/>
        <w:ind w:firstLine="567"/>
        <w:jc w:val="both"/>
        <w:rPr>
          <w:bCs/>
        </w:rPr>
      </w:pPr>
      <w:r w:rsidRPr="00F24C91">
        <w:t>Atgādināms, ka p</w:t>
      </w:r>
      <w:r w:rsidR="008121FA" w:rsidRPr="00F24C91">
        <w:t xml:space="preserve">reses brīvība ir viens no demokrātiskas sabiedrības būtiskiem pamatiem un pamatnosacījumiem ikvienas personas attīstībai un izaugsmei. </w:t>
      </w:r>
      <w:r w:rsidR="00646DA7" w:rsidRPr="00F24C91">
        <w:t xml:space="preserve">Ja </w:t>
      </w:r>
      <w:r w:rsidR="006C60E6" w:rsidRPr="00F24C91">
        <w:t>pietiekami neaizsargātu masu informācijas līdzekļu tiesības uz vārda brīvību</w:t>
      </w:r>
      <w:r w:rsidR="00646DA7" w:rsidRPr="00F24C91">
        <w:t>, tie nevarētu pildīt savu tā saukto „sabiedrības sargsuņa” pienākumu demokrātiskā un tiesiskā valstī</w:t>
      </w:r>
      <w:r w:rsidR="00225D5C" w:rsidRPr="00F24C91">
        <w:t>. Tāpēc vārda brīvības ierobežojumiem ir jābūt izņēmuma rakstura, un jebkuru ierobežojumu nepieciešamība ir pārliecinoši jāpamato</w:t>
      </w:r>
      <w:r w:rsidR="00646DA7" w:rsidRPr="00F24C91">
        <w:t xml:space="preserve"> (</w:t>
      </w:r>
      <w:r w:rsidR="008121FA" w:rsidRPr="00F24C91">
        <w:t xml:space="preserve">sk. </w:t>
      </w:r>
      <w:r w:rsidRPr="00F24C91">
        <w:rPr>
          <w:i/>
          <w:iCs/>
        </w:rPr>
        <w:t>Senāta</w:t>
      </w:r>
      <w:r w:rsidRPr="00F24C91">
        <w:t xml:space="preserve"> </w:t>
      </w:r>
      <w:r w:rsidR="00646DA7" w:rsidRPr="00F24C91">
        <w:rPr>
          <w:bCs/>
          <w:i/>
          <w:iCs/>
        </w:rPr>
        <w:t>2019. gada 10. jūlija sprieduma lietā Nr. SKC</w:t>
      </w:r>
      <w:r w:rsidR="00646DA7" w:rsidRPr="00F24C91">
        <w:rPr>
          <w:bCs/>
          <w:i/>
          <w:iCs/>
        </w:rPr>
        <w:noBreakHyphen/>
        <w:t xml:space="preserve">40/2019, </w:t>
      </w:r>
      <w:hyperlink r:id="rId13" w:history="1">
        <w:r w:rsidR="00646DA7" w:rsidRPr="00F24C91">
          <w:rPr>
            <w:rStyle w:val="Hyperlink"/>
            <w:bCs/>
            <w:i/>
            <w:iCs/>
          </w:rPr>
          <w:t>ECLI:LV:AT:2019:0710.C30292615.1.S</w:t>
        </w:r>
      </w:hyperlink>
      <w:r w:rsidR="00646DA7" w:rsidRPr="00F24C91">
        <w:rPr>
          <w:bCs/>
          <w:i/>
          <w:iCs/>
        </w:rPr>
        <w:t xml:space="preserve">, 9. punktu </w:t>
      </w:r>
      <w:r w:rsidR="00646DA7" w:rsidRPr="00F24C91">
        <w:rPr>
          <w:bCs/>
        </w:rPr>
        <w:t>un tajā norādīto Eiropas Cilvēktiesību tiesas judikatūru).</w:t>
      </w:r>
    </w:p>
    <w:p w14:paraId="39B44D00" w14:textId="77777777" w:rsidR="0012006F" w:rsidRPr="00F24C91" w:rsidRDefault="00646DA7" w:rsidP="004F423C">
      <w:pPr>
        <w:shd w:val="clear" w:color="auto" w:fill="FFFFFF"/>
        <w:spacing w:line="276" w:lineRule="auto"/>
        <w:ind w:firstLine="567"/>
        <w:jc w:val="both"/>
      </w:pPr>
      <w:r w:rsidRPr="00F24C91">
        <w:t>Eiropas Cilvēktiesību tiesa</w:t>
      </w:r>
      <w:r w:rsidR="00713458" w:rsidRPr="00F24C91">
        <w:t>s praksē atzīts, ka, v</w:t>
      </w:r>
      <w:r w:rsidRPr="00F24C91">
        <w:t xml:space="preserve">ērtējot vārda brīvības ierobežojuma samērīgumu, </w:t>
      </w:r>
      <w:r w:rsidR="00713458" w:rsidRPr="00F24C91">
        <w:t xml:space="preserve">ir jāņem vērā arī piemērotās sankcijas raksturs un bardzība. </w:t>
      </w:r>
      <w:r w:rsidR="00455B42" w:rsidRPr="00F24C91">
        <w:t>Sankcijas nedrīkst</w:t>
      </w:r>
      <w:r w:rsidR="00225D5C" w:rsidRPr="00F24C91">
        <w:t xml:space="preserve">ētu </w:t>
      </w:r>
      <w:r w:rsidR="00455B42" w:rsidRPr="00F24C91">
        <w:t xml:space="preserve">būt tādas, kas masu informācijas līdzekļus atturētu no iesaistes sabiedrības debatēs par jautājumiem, kas izraisa pamatotas bažas sabiedrībā </w:t>
      </w:r>
      <w:proofErr w:type="gramStart"/>
      <w:r w:rsidR="00455B42" w:rsidRPr="00F24C91">
        <w:t>(</w:t>
      </w:r>
      <w:proofErr w:type="gramEnd"/>
      <w:r w:rsidR="00455B42" w:rsidRPr="00F24C91">
        <w:t xml:space="preserve">sk. </w:t>
      </w:r>
      <w:r w:rsidR="00455B42" w:rsidRPr="00F24C91">
        <w:rPr>
          <w:i/>
          <w:iCs/>
        </w:rPr>
        <w:t>Eiropas Cilvēktiesību tie</w:t>
      </w:r>
      <w:r w:rsidR="00772588" w:rsidRPr="00F24C91">
        <w:rPr>
          <w:i/>
          <w:iCs/>
        </w:rPr>
        <w:t>s</w:t>
      </w:r>
      <w:r w:rsidR="00455B42" w:rsidRPr="00F24C91">
        <w:rPr>
          <w:i/>
          <w:iCs/>
        </w:rPr>
        <w:t xml:space="preserve">as </w:t>
      </w:r>
      <w:r w:rsidR="00455B42" w:rsidRPr="00F24C91">
        <w:rPr>
          <w:i/>
          <w:iCs/>
        </w:rPr>
        <w:lastRenderedPageBreak/>
        <w:t xml:space="preserve">2021. gada </w:t>
      </w:r>
      <w:r w:rsidR="00772588" w:rsidRPr="00F24C91">
        <w:rPr>
          <w:i/>
          <w:iCs/>
        </w:rPr>
        <w:t>9. decembra sprieduma lietā „</w:t>
      </w:r>
      <w:proofErr w:type="spellStart"/>
      <w:r w:rsidR="00772588" w:rsidRPr="00F24C91">
        <w:rPr>
          <w:i/>
          <w:iCs/>
        </w:rPr>
        <w:t>Wojczuk</w:t>
      </w:r>
      <w:proofErr w:type="spellEnd"/>
      <w:r w:rsidR="00772588" w:rsidRPr="00F24C91">
        <w:rPr>
          <w:i/>
          <w:iCs/>
        </w:rPr>
        <w:t xml:space="preserve"> v. </w:t>
      </w:r>
      <w:proofErr w:type="spellStart"/>
      <w:r w:rsidR="00772588" w:rsidRPr="00F24C91">
        <w:rPr>
          <w:i/>
          <w:iCs/>
        </w:rPr>
        <w:t>Poland</w:t>
      </w:r>
      <w:proofErr w:type="spellEnd"/>
      <w:r w:rsidR="00772588" w:rsidRPr="00F24C91">
        <w:rPr>
          <w:i/>
          <w:iCs/>
        </w:rPr>
        <w:t>”, iesnieguma Nr. </w:t>
      </w:r>
      <w:hyperlink r:id="rId14" w:history="1">
        <w:r w:rsidR="00772588" w:rsidRPr="00F24C91">
          <w:rPr>
            <w:rStyle w:val="Hyperlink"/>
            <w:i/>
            <w:iCs/>
          </w:rPr>
          <w:t>52969/13</w:t>
        </w:r>
      </w:hyperlink>
      <w:r w:rsidR="00772588" w:rsidRPr="00F24C91">
        <w:rPr>
          <w:i/>
          <w:iCs/>
        </w:rPr>
        <w:t>, 104. punktu</w:t>
      </w:r>
      <w:r w:rsidR="00772588" w:rsidRPr="00F24C91">
        <w:t>).</w:t>
      </w:r>
    </w:p>
    <w:p w14:paraId="1B56E815" w14:textId="11CAE26A" w:rsidR="00646DA7" w:rsidRPr="00F24C91" w:rsidRDefault="00713458" w:rsidP="004F423C">
      <w:pPr>
        <w:shd w:val="clear" w:color="auto" w:fill="FFFFFF"/>
        <w:spacing w:line="276" w:lineRule="auto"/>
        <w:ind w:firstLine="567"/>
        <w:jc w:val="both"/>
      </w:pPr>
      <w:r w:rsidRPr="00F24C91">
        <w:t>Atturoš</w:t>
      </w:r>
      <w:r w:rsidR="00FE7D0A" w:rsidRPr="00F24C91">
        <w:t>u</w:t>
      </w:r>
      <w:r w:rsidRPr="00F24C91">
        <w:t xml:space="preserve"> iedarbīb</w:t>
      </w:r>
      <w:r w:rsidR="00FE7D0A" w:rsidRPr="00F24C91">
        <w:t>u</w:t>
      </w:r>
      <w:r w:rsidRPr="00F24C91">
        <w:t xml:space="preserve"> </w:t>
      </w:r>
      <w:r w:rsidR="00FE7D0A" w:rsidRPr="00F24C91">
        <w:t xml:space="preserve">uz vārda brīvības īstenošanu </w:t>
      </w:r>
      <w:r w:rsidR="00A85D0E" w:rsidRPr="00F24C91">
        <w:t xml:space="preserve">var </w:t>
      </w:r>
      <w:r w:rsidR="00FE7D0A" w:rsidRPr="00F24C91">
        <w:t xml:space="preserve">radīt </w:t>
      </w:r>
      <w:r w:rsidR="00A85D0E" w:rsidRPr="00F24C91">
        <w:t>ne</w:t>
      </w:r>
      <w:r w:rsidR="00646DA7" w:rsidRPr="00F24C91">
        <w:t xml:space="preserve"> vien krimināltiesisk</w:t>
      </w:r>
      <w:r w:rsidR="00FE7D0A" w:rsidRPr="00F24C91">
        <w:t>as</w:t>
      </w:r>
      <w:r w:rsidR="00646DA7" w:rsidRPr="00F24C91">
        <w:t xml:space="preserve"> </w:t>
      </w:r>
      <w:r w:rsidR="00A85D0E" w:rsidRPr="00F24C91">
        <w:t>sankcij</w:t>
      </w:r>
      <w:r w:rsidR="00FE7D0A" w:rsidRPr="00F24C91">
        <w:t>as</w:t>
      </w:r>
      <w:r w:rsidR="00646DA7" w:rsidRPr="00F24C91">
        <w:t>, bet</w:t>
      </w:r>
      <w:r w:rsidR="00FE7D0A" w:rsidRPr="00F24C91">
        <w:t xml:space="preserve"> tostarp</w:t>
      </w:r>
      <w:r w:rsidR="00646DA7" w:rsidRPr="00F24C91">
        <w:t xml:space="preserve"> arī tiesas noteikt</w:t>
      </w:r>
      <w:r w:rsidR="00FE7D0A" w:rsidRPr="00F24C91">
        <w:t>s</w:t>
      </w:r>
      <w:r w:rsidR="00646DA7" w:rsidRPr="00F24C91">
        <w:t xml:space="preserve"> pienāku</w:t>
      </w:r>
      <w:r w:rsidRPr="00F24C91">
        <w:t>m</w:t>
      </w:r>
      <w:r w:rsidR="00FE7D0A" w:rsidRPr="00F24C91">
        <w:t>s</w:t>
      </w:r>
      <w:r w:rsidR="00646DA7" w:rsidRPr="00F24C91">
        <w:t xml:space="preserve"> atsaukt </w:t>
      </w:r>
      <w:r w:rsidRPr="00F24C91">
        <w:t>publikāciju</w:t>
      </w:r>
      <w:r w:rsidR="00A85D0E" w:rsidRPr="00F24C91">
        <w:t xml:space="preserve">, </w:t>
      </w:r>
      <w:r w:rsidR="00A25CC0" w:rsidRPr="00F24C91">
        <w:t xml:space="preserve">jo tas var </w:t>
      </w:r>
      <w:r w:rsidR="0012006F" w:rsidRPr="00F24C91">
        <w:t>skart</w:t>
      </w:r>
      <w:r w:rsidR="00A25CC0" w:rsidRPr="00F24C91">
        <w:t xml:space="preserve"> publikācijas autora profesionālo uzticamību </w:t>
      </w:r>
      <w:proofErr w:type="gramStart"/>
      <w:r w:rsidR="00A25CC0" w:rsidRPr="00F24C91">
        <w:t>(</w:t>
      </w:r>
      <w:proofErr w:type="gramEnd"/>
      <w:r w:rsidR="00A25CC0" w:rsidRPr="00F24C91">
        <w:t xml:space="preserve">sk. </w:t>
      </w:r>
      <w:r w:rsidR="00A25CC0" w:rsidRPr="00F24C91">
        <w:rPr>
          <w:i/>
          <w:iCs/>
        </w:rPr>
        <w:t xml:space="preserve">Eiropas </w:t>
      </w:r>
      <w:proofErr w:type="spellStart"/>
      <w:r w:rsidR="00A25CC0" w:rsidRPr="00F24C91">
        <w:rPr>
          <w:i/>
          <w:iCs/>
        </w:rPr>
        <w:t>Civlēktiesību</w:t>
      </w:r>
      <w:proofErr w:type="spellEnd"/>
      <w:r w:rsidR="00A25CC0" w:rsidRPr="00F24C91">
        <w:rPr>
          <w:i/>
          <w:iCs/>
        </w:rPr>
        <w:t xml:space="preserve"> tiesas 2009. gada 1. decembra sprieduma lietā </w:t>
      </w:r>
      <w:r w:rsidR="00575AB1" w:rsidRPr="00F24C91">
        <w:rPr>
          <w:i/>
          <w:iCs/>
        </w:rPr>
        <w:t>„</w:t>
      </w:r>
      <w:proofErr w:type="spellStart"/>
      <w:r w:rsidR="00A25CC0" w:rsidRPr="00F24C91">
        <w:rPr>
          <w:i/>
          <w:iCs/>
        </w:rPr>
        <w:t>Karsai</w:t>
      </w:r>
      <w:proofErr w:type="spellEnd"/>
      <w:r w:rsidR="00A25CC0" w:rsidRPr="00F24C91">
        <w:rPr>
          <w:i/>
          <w:iCs/>
        </w:rPr>
        <w:t xml:space="preserve"> v. </w:t>
      </w:r>
      <w:proofErr w:type="spellStart"/>
      <w:r w:rsidR="00A25CC0" w:rsidRPr="00F24C91">
        <w:rPr>
          <w:i/>
          <w:iCs/>
        </w:rPr>
        <w:t>Hungary</w:t>
      </w:r>
      <w:proofErr w:type="spellEnd"/>
      <w:r w:rsidR="00A25CC0" w:rsidRPr="00F24C91">
        <w:rPr>
          <w:i/>
          <w:iCs/>
        </w:rPr>
        <w:t>”, iesnieguma Nr. </w:t>
      </w:r>
      <w:hyperlink r:id="rId15" w:history="1">
        <w:r w:rsidR="00FE7D0A" w:rsidRPr="00F24C91">
          <w:rPr>
            <w:rStyle w:val="Hyperlink"/>
            <w:i/>
            <w:iCs/>
          </w:rPr>
          <w:t>5380/07</w:t>
        </w:r>
      </w:hyperlink>
      <w:r w:rsidR="00A25CC0" w:rsidRPr="00F24C91">
        <w:rPr>
          <w:i/>
          <w:iCs/>
        </w:rPr>
        <w:t>, 36. punktu</w:t>
      </w:r>
      <w:r w:rsidR="00A25CC0" w:rsidRPr="00F24C91">
        <w:t>).</w:t>
      </w:r>
      <w:r w:rsidR="00CD5C5A" w:rsidRPr="00F24C91">
        <w:t xml:space="preserve"> No otras puses, </w:t>
      </w:r>
      <w:r w:rsidR="0098770B" w:rsidRPr="00F24C91">
        <w:t>par samērīgu ierobežojumu bez atturošas iedarbības var atzīt</w:t>
      </w:r>
      <w:r w:rsidR="002B2621" w:rsidRPr="00F24C91">
        <w:t xml:space="preserve"> </w:t>
      </w:r>
      <w:r w:rsidR="0012006F" w:rsidRPr="00F24C91">
        <w:t xml:space="preserve">pat </w:t>
      </w:r>
      <w:r w:rsidR="002B2621" w:rsidRPr="00F24C91">
        <w:t>arī krimināltiesisku sankciju</w:t>
      </w:r>
      <w:r w:rsidR="0098770B" w:rsidRPr="00F24C91">
        <w:t xml:space="preserve"> </w:t>
      </w:r>
      <w:r w:rsidR="002B2621" w:rsidRPr="00F24C91">
        <w:t>(</w:t>
      </w:r>
      <w:r w:rsidR="0098770B" w:rsidRPr="00F24C91">
        <w:t>naudas sodu</w:t>
      </w:r>
      <w:r w:rsidR="002B2621" w:rsidRPr="00F24C91">
        <w:t>)</w:t>
      </w:r>
      <w:r w:rsidR="0098770B" w:rsidRPr="00F24C91">
        <w:t xml:space="preserve">, ja masu informācijas līdzeklis </w:t>
      </w:r>
      <w:r w:rsidR="00575AB1" w:rsidRPr="00F24C91">
        <w:t xml:space="preserve">bez pietiekamas faktiskās bāzes </w:t>
      </w:r>
      <w:r w:rsidR="0098770B" w:rsidRPr="00F24C91">
        <w:t>izplatījis apsūdzošus apgalvojumus par amatpersonu</w:t>
      </w:r>
      <w:r w:rsidR="00575AB1" w:rsidRPr="00F24C91">
        <w:t xml:space="preserve"> </w:t>
      </w:r>
      <w:proofErr w:type="gramStart"/>
      <w:r w:rsidR="0098770B" w:rsidRPr="00F24C91">
        <w:t>(</w:t>
      </w:r>
      <w:proofErr w:type="gramEnd"/>
      <w:r w:rsidR="0098770B" w:rsidRPr="00F24C91">
        <w:t xml:space="preserve">sk. </w:t>
      </w:r>
      <w:r w:rsidR="0098770B" w:rsidRPr="00F24C91">
        <w:rPr>
          <w:i/>
          <w:iCs/>
        </w:rPr>
        <w:t>Eiropas Cilvēktiesību tiesas</w:t>
      </w:r>
      <w:r w:rsidR="007A61C2" w:rsidRPr="00F24C91">
        <w:rPr>
          <w:i/>
          <w:iCs/>
        </w:rPr>
        <w:t xml:space="preserve"> (Lielā palāta)</w:t>
      </w:r>
      <w:r w:rsidR="0098770B" w:rsidRPr="00F24C91">
        <w:rPr>
          <w:i/>
          <w:iCs/>
        </w:rPr>
        <w:t xml:space="preserve"> 2004. gada</w:t>
      </w:r>
      <w:r w:rsidR="007A61C2" w:rsidRPr="00F24C91">
        <w:rPr>
          <w:i/>
          <w:iCs/>
        </w:rPr>
        <w:t xml:space="preserve"> 17. decembra</w:t>
      </w:r>
      <w:r w:rsidR="0098770B" w:rsidRPr="00F24C91">
        <w:rPr>
          <w:i/>
          <w:iCs/>
        </w:rPr>
        <w:t xml:space="preserve"> sprieduma lietā </w:t>
      </w:r>
      <w:r w:rsidR="00575AB1" w:rsidRPr="00F24C91">
        <w:rPr>
          <w:i/>
          <w:iCs/>
        </w:rPr>
        <w:t>„</w:t>
      </w:r>
      <w:proofErr w:type="spellStart"/>
      <w:r w:rsidR="00575AB1" w:rsidRPr="00F24C91">
        <w:rPr>
          <w:i/>
          <w:iCs/>
        </w:rPr>
        <w:t>Pedersen</w:t>
      </w:r>
      <w:proofErr w:type="spellEnd"/>
      <w:r w:rsidR="00575AB1" w:rsidRPr="00F24C91">
        <w:rPr>
          <w:i/>
          <w:iCs/>
        </w:rPr>
        <w:t xml:space="preserve"> </w:t>
      </w:r>
      <w:proofErr w:type="spellStart"/>
      <w:r w:rsidR="00575AB1" w:rsidRPr="00F24C91">
        <w:rPr>
          <w:i/>
          <w:iCs/>
        </w:rPr>
        <w:t>and</w:t>
      </w:r>
      <w:proofErr w:type="spellEnd"/>
      <w:r w:rsidR="00575AB1" w:rsidRPr="00F24C91">
        <w:rPr>
          <w:i/>
          <w:iCs/>
        </w:rPr>
        <w:t xml:space="preserve"> </w:t>
      </w:r>
      <w:proofErr w:type="spellStart"/>
      <w:r w:rsidR="00575AB1" w:rsidRPr="00F24C91">
        <w:rPr>
          <w:i/>
          <w:iCs/>
        </w:rPr>
        <w:t>Baadsgaard</w:t>
      </w:r>
      <w:proofErr w:type="spellEnd"/>
      <w:r w:rsidR="00575AB1" w:rsidRPr="00F24C91">
        <w:rPr>
          <w:i/>
          <w:iCs/>
        </w:rPr>
        <w:t xml:space="preserve"> v. </w:t>
      </w:r>
      <w:proofErr w:type="spellStart"/>
      <w:r w:rsidR="00575AB1" w:rsidRPr="00F24C91">
        <w:rPr>
          <w:i/>
          <w:iCs/>
        </w:rPr>
        <w:t>Denmark</w:t>
      </w:r>
      <w:proofErr w:type="spellEnd"/>
      <w:r w:rsidR="00575AB1" w:rsidRPr="00F24C91">
        <w:rPr>
          <w:i/>
          <w:iCs/>
        </w:rPr>
        <w:t>”, iesnieguma Nr. </w:t>
      </w:r>
      <w:hyperlink r:id="rId16" w:history="1">
        <w:r w:rsidR="00575AB1" w:rsidRPr="00F24C91">
          <w:rPr>
            <w:rStyle w:val="Hyperlink"/>
            <w:i/>
            <w:iCs/>
          </w:rPr>
          <w:t>49017/99</w:t>
        </w:r>
      </w:hyperlink>
      <w:r w:rsidR="00575AB1" w:rsidRPr="00F24C91">
        <w:rPr>
          <w:i/>
          <w:iCs/>
        </w:rPr>
        <w:t>, 92.–93. punktu</w:t>
      </w:r>
      <w:r w:rsidR="0098770B" w:rsidRPr="00F24C91">
        <w:t>).</w:t>
      </w:r>
    </w:p>
    <w:p w14:paraId="541470C4" w14:textId="31F81EC4" w:rsidR="00362761" w:rsidRPr="00F24C91" w:rsidRDefault="00D6382B" w:rsidP="004F423C">
      <w:pPr>
        <w:shd w:val="clear" w:color="auto" w:fill="FFFFFF"/>
        <w:spacing w:line="276" w:lineRule="auto"/>
        <w:ind w:firstLine="567"/>
        <w:jc w:val="both"/>
      </w:pPr>
      <w:r w:rsidRPr="00F24C91">
        <w:t>[</w:t>
      </w:r>
      <w:r w:rsidR="00553E89" w:rsidRPr="00F24C91">
        <w:t>10</w:t>
      </w:r>
      <w:r w:rsidRPr="00F24C91">
        <w:t>.2]</w:t>
      </w:r>
      <w:r w:rsidR="007D7FE1" w:rsidRPr="00F24C91">
        <w:t> Senāts atgādina, ka, i</w:t>
      </w:r>
      <w:r w:rsidRPr="00F24C91">
        <w:t>zskatot valsts amatpersonas prasību par goda un cieņa</w:t>
      </w:r>
      <w:r w:rsidR="0056264A" w:rsidRPr="00F24C91">
        <w:t>s</w:t>
      </w:r>
      <w:r w:rsidRPr="00F24C91">
        <w:t xml:space="preserve"> aizskārumu</w:t>
      </w:r>
      <w:r w:rsidR="0012006F" w:rsidRPr="00F24C91">
        <w:t xml:space="preserve">, ko radījusi </w:t>
      </w:r>
      <w:r w:rsidR="00052409" w:rsidRPr="00F24C91">
        <w:t xml:space="preserve">preses </w:t>
      </w:r>
      <w:r w:rsidR="0012006F" w:rsidRPr="00F24C91">
        <w:t>publikācija</w:t>
      </w:r>
      <w:r w:rsidRPr="00F24C91">
        <w:t xml:space="preserve">, </w:t>
      </w:r>
      <w:r w:rsidR="00052409" w:rsidRPr="00F24C91">
        <w:t xml:space="preserve">kas aplūko sabiedrību interesējošu jautājumu, </w:t>
      </w:r>
      <w:r w:rsidRPr="00F24C91">
        <w:t>tiesai jāvērtē, vai</w:t>
      </w:r>
      <w:r w:rsidR="00052409" w:rsidRPr="00F24C91">
        <w:t xml:space="preserve"> šī</w:t>
      </w:r>
      <w:r w:rsidRPr="00F24C91">
        <w:t xml:space="preserve"> </w:t>
      </w:r>
      <w:r w:rsidR="002C1901" w:rsidRPr="00F24C91">
        <w:t>publikācija</w:t>
      </w:r>
      <w:r w:rsidRPr="00F24C91">
        <w:t xml:space="preserve"> </w:t>
      </w:r>
      <w:r w:rsidR="00052409" w:rsidRPr="00F24C91">
        <w:t>bija tik aizskaroša, ka pārkāpa</w:t>
      </w:r>
      <w:r w:rsidRPr="00F24C91">
        <w:t xml:space="preserve"> </w:t>
      </w:r>
      <w:r w:rsidR="00052409" w:rsidRPr="00F24C91">
        <w:t>uz presi attiecināmās</w:t>
      </w:r>
      <w:r w:rsidRPr="00F24C91">
        <w:t xml:space="preserve"> vārda brīvības robežas.</w:t>
      </w:r>
      <w:r w:rsidR="00CC5C6D" w:rsidRPr="00F24C91">
        <w:t xml:space="preserve"> </w:t>
      </w:r>
    </w:p>
    <w:p w14:paraId="3780FFE9" w14:textId="16C10891" w:rsidR="00D6382B" w:rsidRPr="00F24C91" w:rsidRDefault="00CC5C6D" w:rsidP="004F423C">
      <w:pPr>
        <w:shd w:val="clear" w:color="auto" w:fill="FFFFFF"/>
        <w:spacing w:line="276" w:lineRule="auto"/>
        <w:ind w:firstLine="567"/>
        <w:jc w:val="both"/>
      </w:pPr>
      <w:r w:rsidRPr="00F24C91">
        <w:t xml:space="preserve">Dažādām amatpersonām </w:t>
      </w:r>
      <w:r w:rsidR="00052409" w:rsidRPr="00F24C91">
        <w:t>ir atzītas</w:t>
      </w:r>
      <w:r w:rsidRPr="00F24C91">
        <w:t xml:space="preserve"> atšķirīgas pieļaujamās kritikas robežas.</w:t>
      </w:r>
      <w:r w:rsidR="00967657" w:rsidRPr="00F24C91">
        <w:t xml:space="preserve"> </w:t>
      </w:r>
      <w:r w:rsidRPr="00F24C91">
        <w:t xml:space="preserve">Īpašas prasības </w:t>
      </w:r>
      <w:r w:rsidR="00967657" w:rsidRPr="00F24C91">
        <w:t>attiecas uz tiesnešu goda un cieņas aizskārumu</w:t>
      </w:r>
      <w:r w:rsidRPr="00F24C91">
        <w:t xml:space="preserve"> </w:t>
      </w:r>
      <w:r w:rsidR="007E67FB" w:rsidRPr="00F24C91">
        <w:t>[13]</w:t>
      </w:r>
      <w:r w:rsidRPr="00F24C91">
        <w:t>.</w:t>
      </w:r>
    </w:p>
    <w:p w14:paraId="3C3B6B95" w14:textId="55AB0428" w:rsidR="00B262CF" w:rsidRPr="00F24C91" w:rsidRDefault="00052409" w:rsidP="004F423C">
      <w:pPr>
        <w:shd w:val="clear" w:color="auto" w:fill="FFFFFF"/>
        <w:spacing w:line="276" w:lineRule="auto"/>
        <w:ind w:firstLine="567"/>
        <w:jc w:val="both"/>
      </w:pPr>
      <w:r w:rsidRPr="00F24C91">
        <w:t>Vērtējot, vai pieļauts minēto robežu pārkāpums,</w:t>
      </w:r>
      <w:r w:rsidR="00B262CF" w:rsidRPr="00F24C91">
        <w:t xml:space="preserve"> jāņem vērā, ka no Civillikuma 2352.</w:t>
      </w:r>
      <w:r w:rsidR="00B262CF" w:rsidRPr="00F24C91">
        <w:rPr>
          <w:vertAlign w:val="superscript"/>
        </w:rPr>
        <w:t>1</w:t>
      </w:r>
      <w:r w:rsidR="00B262CF" w:rsidRPr="00F24C91">
        <w:t xml:space="preserve"> panta izriet, ka atbildība iestājas ne vien par godu un cieņu aizskarošu ziņu publicēšanu, bet arī par nepamatota un aizskaroša viedokļa paušanu bez jebkādas faktiskas bāzes, </w:t>
      </w:r>
      <w:r w:rsidRPr="00F24C91">
        <w:t>proti</w:t>
      </w:r>
      <w:r w:rsidR="00B262CF" w:rsidRPr="00F24C91">
        <w:t xml:space="preserve">, gadījumos, kad viedoklis ir rupjš un klaji aizskarošs </w:t>
      </w:r>
      <w:proofErr w:type="gramStart"/>
      <w:r w:rsidR="00B262CF" w:rsidRPr="00F24C91">
        <w:t>(</w:t>
      </w:r>
      <w:proofErr w:type="gramEnd"/>
      <w:r w:rsidR="00B262CF" w:rsidRPr="00F24C91">
        <w:t xml:space="preserve">sk. </w:t>
      </w:r>
      <w:r w:rsidR="00B262CF" w:rsidRPr="00F24C91">
        <w:rPr>
          <w:i/>
          <w:iCs/>
        </w:rPr>
        <w:t xml:space="preserve">Senāta </w:t>
      </w:r>
      <w:r w:rsidR="00B262CF" w:rsidRPr="00F24C91">
        <w:rPr>
          <w:bCs/>
          <w:i/>
          <w:iCs/>
        </w:rPr>
        <w:t>2019. gada 10. jūlija sprieduma lietā Nr. SKC</w:t>
      </w:r>
      <w:r w:rsidR="00B262CF" w:rsidRPr="00F24C91">
        <w:rPr>
          <w:bCs/>
          <w:i/>
          <w:iCs/>
        </w:rPr>
        <w:noBreakHyphen/>
        <w:t>40/2019</w:t>
      </w:r>
      <w:r w:rsidRPr="00F24C91">
        <w:rPr>
          <w:bCs/>
          <w:i/>
          <w:iCs/>
        </w:rPr>
        <w:t>,</w:t>
      </w:r>
      <w:r w:rsidR="00B262CF" w:rsidRPr="00F24C91">
        <w:rPr>
          <w:bCs/>
          <w:i/>
          <w:iCs/>
        </w:rPr>
        <w:t xml:space="preserve"> </w:t>
      </w:r>
      <w:hyperlink r:id="rId17" w:history="1">
        <w:r w:rsidR="00B262CF" w:rsidRPr="00F24C91">
          <w:rPr>
            <w:rStyle w:val="Hyperlink"/>
            <w:bCs/>
            <w:i/>
            <w:iCs/>
          </w:rPr>
          <w:t>ECLI:LV:AT:2019:0710.C30292615.1.S</w:t>
        </w:r>
      </w:hyperlink>
      <w:r w:rsidR="00B262CF" w:rsidRPr="00F24C91">
        <w:rPr>
          <w:bCs/>
          <w:i/>
          <w:iCs/>
        </w:rPr>
        <w:t xml:space="preserve">, </w:t>
      </w:r>
      <w:r w:rsidR="00B262CF" w:rsidRPr="00F24C91">
        <w:rPr>
          <w:i/>
          <w:iCs/>
        </w:rPr>
        <w:t>8.4. punktu</w:t>
      </w:r>
      <w:r w:rsidR="00B262CF" w:rsidRPr="00F24C91">
        <w:t>).</w:t>
      </w:r>
    </w:p>
    <w:p w14:paraId="21DB85B6" w14:textId="7DA55920" w:rsidR="00FE2E29" w:rsidRPr="00F24C91" w:rsidRDefault="00FE2E29" w:rsidP="004F423C">
      <w:pPr>
        <w:shd w:val="clear" w:color="auto" w:fill="FFFFFF"/>
        <w:spacing w:line="276" w:lineRule="auto"/>
        <w:ind w:firstLine="567"/>
        <w:jc w:val="both"/>
      </w:pPr>
    </w:p>
    <w:p w14:paraId="388FEFC9" w14:textId="5F5C785A" w:rsidR="00B1595B" w:rsidRPr="00F24C91" w:rsidRDefault="00B1595B" w:rsidP="004F423C">
      <w:pPr>
        <w:shd w:val="clear" w:color="auto" w:fill="FFFFFF"/>
        <w:spacing w:line="276" w:lineRule="auto"/>
        <w:ind w:firstLine="567"/>
        <w:jc w:val="both"/>
        <w:rPr>
          <w:i/>
        </w:rPr>
      </w:pPr>
      <w:r w:rsidRPr="00F24C91">
        <w:rPr>
          <w:i/>
        </w:rPr>
        <w:t>Par izteikumu faktisko bāzi</w:t>
      </w:r>
    </w:p>
    <w:p w14:paraId="0B10A59E" w14:textId="1393962A" w:rsidR="00037AC3" w:rsidRPr="00F24C91" w:rsidRDefault="00FE2E29" w:rsidP="004F423C">
      <w:pPr>
        <w:shd w:val="clear" w:color="auto" w:fill="FFFFFF"/>
        <w:spacing w:line="276" w:lineRule="auto"/>
        <w:ind w:firstLine="567"/>
        <w:jc w:val="both"/>
      </w:pPr>
      <w:r w:rsidRPr="00F24C91">
        <w:t>[</w:t>
      </w:r>
      <w:r w:rsidR="00553E89" w:rsidRPr="00F24C91">
        <w:t>11</w:t>
      </w:r>
      <w:r w:rsidRPr="00F24C91">
        <w:t>]</w:t>
      </w:r>
      <w:r w:rsidR="00553E89" w:rsidRPr="00F24C91">
        <w:t> </w:t>
      </w:r>
      <w:proofErr w:type="spellStart"/>
      <w:r w:rsidR="00F815AE" w:rsidRPr="00F24C91">
        <w:t>Kasatore</w:t>
      </w:r>
      <w:proofErr w:type="spellEnd"/>
      <w:r w:rsidR="008E424C" w:rsidRPr="00F24C91">
        <w:t xml:space="preserve"> neapstrīd tiesas spriedumā </w:t>
      </w:r>
      <w:r w:rsidR="008348BC" w:rsidRPr="00F24C91">
        <w:t>norādīto</w:t>
      </w:r>
      <w:r w:rsidR="008E424C" w:rsidRPr="00F24C91">
        <w:t xml:space="preserve">, ka rakstu sērijā </w:t>
      </w:r>
      <w:r w:rsidR="000907E7" w:rsidRPr="00F24C91">
        <w:t>nav</w:t>
      </w:r>
      <w:r w:rsidR="008E424C" w:rsidRPr="00F24C91">
        <w:t xml:space="preserve"> iekļautas</w:t>
      </w:r>
      <w:r w:rsidR="000907E7" w:rsidRPr="00F24C91">
        <w:t xml:space="preserve"> nepatiesas</w:t>
      </w:r>
      <w:r w:rsidR="008E424C" w:rsidRPr="00F24C91">
        <w:t xml:space="preserve"> </w:t>
      </w:r>
      <w:r w:rsidR="00933760" w:rsidRPr="00F24C91">
        <w:t>ziņas [4.3],</w:t>
      </w:r>
      <w:r w:rsidR="008E424C" w:rsidRPr="00F24C91">
        <w:t xml:space="preserve"> </w:t>
      </w:r>
      <w:r w:rsidR="000907E7" w:rsidRPr="00F24C91">
        <w:t xml:space="preserve">taču </w:t>
      </w:r>
      <w:r w:rsidR="00F815AE" w:rsidRPr="00F24C91">
        <w:t>norāda</w:t>
      </w:r>
      <w:r w:rsidRPr="00F24C91">
        <w:t xml:space="preserve">, ka nepastāvēja nekādi </w:t>
      </w:r>
      <w:r w:rsidR="000907E7" w:rsidRPr="00F24C91">
        <w:t>apstākļi</w:t>
      </w:r>
      <w:r w:rsidRPr="00F24C91">
        <w:t>, kas dotu pamatu viņu iekļaut strīdus rakstu sērijā</w:t>
      </w:r>
      <w:r w:rsidR="0013692A" w:rsidRPr="00F24C91">
        <w:t>, kas varēja pasliktināt sabiedrības vērtējumu par prasītāju</w:t>
      </w:r>
      <w:r w:rsidRPr="00F24C91">
        <w:t xml:space="preserve"> [5.1].</w:t>
      </w:r>
      <w:r w:rsidR="00037AC3" w:rsidRPr="00F24C91">
        <w:t xml:space="preserve"> </w:t>
      </w:r>
    </w:p>
    <w:p w14:paraId="35729502" w14:textId="0E6C991E" w:rsidR="00FE2E29" w:rsidRPr="00F24C91" w:rsidRDefault="00037AC3" w:rsidP="004F423C">
      <w:pPr>
        <w:shd w:val="clear" w:color="auto" w:fill="FFFFFF"/>
        <w:spacing w:line="276" w:lineRule="auto"/>
        <w:ind w:firstLine="567"/>
        <w:jc w:val="both"/>
      </w:pPr>
      <w:r w:rsidRPr="00F24C91">
        <w:t xml:space="preserve">Senātam </w:t>
      </w:r>
      <w:r w:rsidR="008C1C30" w:rsidRPr="00F24C91">
        <w:t>jāpārliecinās, vai</w:t>
      </w:r>
      <w:r w:rsidR="000763A8" w:rsidRPr="00F24C91">
        <w:t xml:space="preserve">, pārbaudot </w:t>
      </w:r>
      <w:r w:rsidRPr="00F24C91">
        <w:t>faktisk</w:t>
      </w:r>
      <w:r w:rsidR="000763A8" w:rsidRPr="00F24C91">
        <w:t>o</w:t>
      </w:r>
      <w:r w:rsidRPr="00F24C91">
        <w:t xml:space="preserve"> bāz</w:t>
      </w:r>
      <w:r w:rsidR="000763A8" w:rsidRPr="00F24C91">
        <w:t>i</w:t>
      </w:r>
      <w:r w:rsidRPr="00F24C91">
        <w:t xml:space="preserve"> prasītājas pieminēšanai strīdus rakstu sērijā </w:t>
      </w:r>
      <w:r w:rsidR="000763A8" w:rsidRPr="00F24C91">
        <w:t>un atspoguļojot attiecīgo informāciju par prasītāju</w:t>
      </w:r>
      <w:r w:rsidRPr="00F24C91">
        <w:t xml:space="preserve">, </w:t>
      </w:r>
      <w:r w:rsidR="00BD61E8" w:rsidRPr="00F24C91">
        <w:t>tiesa ir ņēmusi vērā Eiropas Cilvēktiesību tiesas un Senāta judikatūrā norādītās prasīb</w:t>
      </w:r>
      <w:r w:rsidR="00A25254" w:rsidRPr="00F24C91">
        <w:t>a</w:t>
      </w:r>
      <w:r w:rsidR="00BD61E8" w:rsidRPr="00F24C91">
        <w:t>s</w:t>
      </w:r>
      <w:r w:rsidR="00FB38E8" w:rsidRPr="00F24C91">
        <w:t>.</w:t>
      </w:r>
    </w:p>
    <w:p w14:paraId="0B815B2C" w14:textId="1FF4752B" w:rsidR="007D060F" w:rsidRPr="00F24C91" w:rsidRDefault="00120ECF" w:rsidP="004F423C">
      <w:pPr>
        <w:shd w:val="clear" w:color="auto" w:fill="FFFFFF"/>
        <w:spacing w:line="276" w:lineRule="auto"/>
        <w:ind w:firstLine="567"/>
        <w:jc w:val="both"/>
      </w:pPr>
      <w:r w:rsidRPr="00F24C91">
        <w:t>[</w:t>
      </w:r>
      <w:r w:rsidR="00646DA7" w:rsidRPr="00F24C91">
        <w:t>1</w:t>
      </w:r>
      <w:r w:rsidR="00553E89" w:rsidRPr="00F24C91">
        <w:t>1</w:t>
      </w:r>
      <w:r w:rsidRPr="00F24C91">
        <w:t>.1]</w:t>
      </w:r>
      <w:r w:rsidR="00553E89" w:rsidRPr="00F24C91">
        <w:t> </w:t>
      </w:r>
      <w:r w:rsidR="00772A78" w:rsidRPr="00F24C91">
        <w:t xml:space="preserve">Uzsverot preses nozīmīgo lomu demokrātiskā sabiedrībā, Eiropas Cilvēktiesību tiesa norādījusi, ka, lai gan </w:t>
      </w:r>
      <w:r w:rsidR="00362761" w:rsidRPr="00F24C91">
        <w:t>prese</w:t>
      </w:r>
      <w:r w:rsidR="00772A78" w:rsidRPr="00F24C91">
        <w:t xml:space="preserve"> ne</w:t>
      </w:r>
      <w:r w:rsidR="00362761" w:rsidRPr="00F24C91">
        <w:t>drīkst</w:t>
      </w:r>
      <w:r w:rsidR="00772A78" w:rsidRPr="00F24C91">
        <w:t xml:space="preserve"> pārkāpt robežas, kas noteiktas, it īpaši, </w:t>
      </w:r>
      <w:r w:rsidR="00BD6BAF" w:rsidRPr="00F24C91">
        <w:t xml:space="preserve">citu personu reputācijas </w:t>
      </w:r>
      <w:r w:rsidR="008121FA" w:rsidRPr="00F24C91">
        <w:t>aizsardzības interesēs</w:t>
      </w:r>
      <w:r w:rsidR="00772A78" w:rsidRPr="00F24C91">
        <w:t xml:space="preserve">, </w:t>
      </w:r>
      <w:r w:rsidR="00362761" w:rsidRPr="00F24C91">
        <w:t>tās</w:t>
      </w:r>
      <w:r w:rsidR="00852F52" w:rsidRPr="00F24C91">
        <w:t xml:space="preserve"> uzdevums ir savu pienākumu ietvarā sniegt sabiedrībai ziņas un viedokli </w:t>
      </w:r>
      <w:r w:rsidR="00772A78" w:rsidRPr="00F24C91">
        <w:t>par visiem sabiedrību interesējošiem jautājumiem (</w:t>
      </w:r>
      <w:bookmarkStart w:id="2" w:name="_Hlk114470254"/>
      <w:r w:rsidR="00772A78" w:rsidRPr="00F24C91">
        <w:rPr>
          <w:i/>
        </w:rPr>
        <w:t xml:space="preserve">Eiropas Cilvēktiesību tiesas </w:t>
      </w:r>
      <w:r w:rsidR="00772A78" w:rsidRPr="00F24C91">
        <w:rPr>
          <w:bCs/>
          <w:i/>
          <w:iCs/>
        </w:rPr>
        <w:t>2016. gada 22. novembra spriedum</w:t>
      </w:r>
      <w:r w:rsidR="003C3B38" w:rsidRPr="00F24C91">
        <w:rPr>
          <w:bCs/>
          <w:i/>
          <w:iCs/>
        </w:rPr>
        <w:t>a</w:t>
      </w:r>
      <w:r w:rsidR="00772A78" w:rsidRPr="00F24C91">
        <w:rPr>
          <w:bCs/>
          <w:i/>
          <w:iCs/>
        </w:rPr>
        <w:t xml:space="preserve"> lietā „</w:t>
      </w:r>
      <w:proofErr w:type="spellStart"/>
      <w:r w:rsidR="00772A78" w:rsidRPr="00F24C91">
        <w:rPr>
          <w:bCs/>
          <w:i/>
          <w:iCs/>
        </w:rPr>
        <w:t>Grebneva</w:t>
      </w:r>
      <w:proofErr w:type="spellEnd"/>
      <w:r w:rsidR="00772A78" w:rsidRPr="00F24C91">
        <w:rPr>
          <w:bCs/>
          <w:i/>
          <w:iCs/>
        </w:rPr>
        <w:t xml:space="preserve"> </w:t>
      </w:r>
      <w:proofErr w:type="spellStart"/>
      <w:r w:rsidR="00772A78" w:rsidRPr="00F24C91">
        <w:rPr>
          <w:bCs/>
          <w:i/>
          <w:iCs/>
        </w:rPr>
        <w:t>and</w:t>
      </w:r>
      <w:proofErr w:type="spellEnd"/>
      <w:r w:rsidR="00772A78" w:rsidRPr="00F24C91">
        <w:rPr>
          <w:bCs/>
          <w:i/>
          <w:iCs/>
        </w:rPr>
        <w:t xml:space="preserve"> </w:t>
      </w:r>
      <w:proofErr w:type="spellStart"/>
      <w:r w:rsidR="00772A78" w:rsidRPr="00F24C91">
        <w:rPr>
          <w:bCs/>
          <w:i/>
          <w:iCs/>
        </w:rPr>
        <w:t>Alisimchik</w:t>
      </w:r>
      <w:proofErr w:type="spellEnd"/>
      <w:r w:rsidR="00772A78" w:rsidRPr="00F24C91">
        <w:rPr>
          <w:bCs/>
          <w:i/>
          <w:iCs/>
        </w:rPr>
        <w:t xml:space="preserve"> v. </w:t>
      </w:r>
      <w:proofErr w:type="spellStart"/>
      <w:r w:rsidR="00772A78" w:rsidRPr="00F24C91">
        <w:rPr>
          <w:bCs/>
          <w:i/>
          <w:iCs/>
        </w:rPr>
        <w:t>Russia</w:t>
      </w:r>
      <w:proofErr w:type="spellEnd"/>
      <w:r w:rsidR="00772A78" w:rsidRPr="00F24C91">
        <w:rPr>
          <w:bCs/>
          <w:i/>
          <w:iCs/>
        </w:rPr>
        <w:t>”, iesnieguma Nr. </w:t>
      </w:r>
      <w:hyperlink r:id="rId18" w:tgtFrame="_blank" w:history="1">
        <w:r w:rsidR="00772A78" w:rsidRPr="00F24C91">
          <w:rPr>
            <w:rStyle w:val="Hyperlink"/>
            <w:bCs/>
            <w:i/>
            <w:iCs/>
          </w:rPr>
          <w:t>8918/05</w:t>
        </w:r>
      </w:hyperlink>
      <w:bookmarkEnd w:id="2"/>
      <w:r w:rsidR="00046CE5" w:rsidRPr="00F24C91">
        <w:rPr>
          <w:i/>
        </w:rPr>
        <w:t xml:space="preserve">, </w:t>
      </w:r>
      <w:r w:rsidR="00772A78" w:rsidRPr="00F24C91">
        <w:rPr>
          <w:i/>
        </w:rPr>
        <w:t>54. punkts</w:t>
      </w:r>
      <w:r w:rsidR="00772A78" w:rsidRPr="00F24C91">
        <w:t>).</w:t>
      </w:r>
      <w:r w:rsidR="007D060F" w:rsidRPr="00F24C91">
        <w:t xml:space="preserve"> Tieslietu sistēmas darbība neapšaubāmi ir jautājums, kas ir sabiedrības interešu lokā, jo šī sistēma kalpo sabiedrības kopuma interesēm un pieprasa izglītotas sabiedrības iesaisti. Caur presi politiķi un sabiedriskā doma var pārliecināties, ka tiesneši veic savus pienākumus atbilstoši mērķim, kas ir </w:t>
      </w:r>
      <w:r w:rsidR="00822122" w:rsidRPr="00F24C91">
        <w:t xml:space="preserve">viņiem uzticētā uzdevuma pamatā (sk. </w:t>
      </w:r>
      <w:r w:rsidR="00822122" w:rsidRPr="00F24C91">
        <w:rPr>
          <w:i/>
          <w:iCs/>
        </w:rPr>
        <w:t>Eiropas Cilvēktiesību tiesas 2018. gada 8. novembra sprieduma lietā „</w:t>
      </w:r>
      <w:proofErr w:type="spellStart"/>
      <w:r w:rsidR="00822122" w:rsidRPr="00F24C91">
        <w:rPr>
          <w:i/>
          <w:iCs/>
        </w:rPr>
        <w:t>Narodni</w:t>
      </w:r>
      <w:proofErr w:type="spellEnd"/>
      <w:r w:rsidR="00822122" w:rsidRPr="00F24C91">
        <w:rPr>
          <w:i/>
          <w:iCs/>
        </w:rPr>
        <w:t xml:space="preserve"> List </w:t>
      </w:r>
      <w:proofErr w:type="spellStart"/>
      <w:r w:rsidR="00822122" w:rsidRPr="00F24C91">
        <w:rPr>
          <w:i/>
          <w:iCs/>
        </w:rPr>
        <w:t>d.d</w:t>
      </w:r>
      <w:proofErr w:type="spellEnd"/>
      <w:r w:rsidR="00822122" w:rsidRPr="00F24C91">
        <w:rPr>
          <w:i/>
          <w:iCs/>
        </w:rPr>
        <w:t xml:space="preserve">. v. </w:t>
      </w:r>
      <w:proofErr w:type="spellStart"/>
      <w:r w:rsidR="00822122" w:rsidRPr="00F24C91">
        <w:rPr>
          <w:i/>
          <w:iCs/>
        </w:rPr>
        <w:t>Croatia</w:t>
      </w:r>
      <w:proofErr w:type="spellEnd"/>
      <w:r w:rsidR="00822122" w:rsidRPr="00F24C91">
        <w:rPr>
          <w:i/>
          <w:iCs/>
        </w:rPr>
        <w:t>”, iesnieguma Nr. </w:t>
      </w:r>
      <w:hyperlink r:id="rId19" w:history="1">
        <w:r w:rsidR="00822122" w:rsidRPr="00F24C91">
          <w:rPr>
            <w:rStyle w:val="Hyperlink"/>
            <w:i/>
            <w:iCs/>
          </w:rPr>
          <w:t>2782/12</w:t>
        </w:r>
      </w:hyperlink>
      <w:r w:rsidR="00822122" w:rsidRPr="00F24C91">
        <w:rPr>
          <w:i/>
          <w:iCs/>
        </w:rPr>
        <w:t>, 59. punktu</w:t>
      </w:r>
      <w:r w:rsidR="00822122" w:rsidRPr="00F24C91">
        <w:t xml:space="preserve"> un tajā norādīto judikatūru). </w:t>
      </w:r>
    </w:p>
    <w:p w14:paraId="001CD324" w14:textId="227D7961" w:rsidR="008835F1" w:rsidRPr="00F24C91" w:rsidRDefault="00A23ED7" w:rsidP="004F423C">
      <w:pPr>
        <w:shd w:val="clear" w:color="auto" w:fill="FFFFFF"/>
        <w:spacing w:line="276" w:lineRule="auto"/>
        <w:ind w:firstLine="567"/>
        <w:jc w:val="both"/>
      </w:pPr>
      <w:r w:rsidRPr="00F24C91">
        <w:t>Senāts vairākkārt norādījis, ka a</w:t>
      </w:r>
      <w:r w:rsidR="00946618" w:rsidRPr="00F24C91">
        <w:t xml:space="preserve">rī lai sniegtu asu un negatīvu personas vērtējumu, jāpastāv zināmam pamatam, piemēram, kādiem notikumiem vai arī cietušais pats veicis kādas darbības, kas radījušas pamatu konkrētam viņa personības vai darbības vērtējumam </w:t>
      </w:r>
      <w:proofErr w:type="gramStart"/>
      <w:r w:rsidR="00946618" w:rsidRPr="00F24C91">
        <w:t>(</w:t>
      </w:r>
      <w:proofErr w:type="gramEnd"/>
      <w:r w:rsidRPr="00F24C91">
        <w:t xml:space="preserve">sk., piemēram, </w:t>
      </w:r>
      <w:r w:rsidR="00946618" w:rsidRPr="00F24C91">
        <w:rPr>
          <w:i/>
          <w:iCs/>
        </w:rPr>
        <w:t>Senāta 2015. gada 24. septembra spriedum</w:t>
      </w:r>
      <w:r w:rsidR="0013692A" w:rsidRPr="00F24C91">
        <w:rPr>
          <w:i/>
          <w:iCs/>
        </w:rPr>
        <w:t>a</w:t>
      </w:r>
      <w:r w:rsidR="00946618" w:rsidRPr="00F24C91">
        <w:rPr>
          <w:i/>
          <w:iCs/>
        </w:rPr>
        <w:t xml:space="preserve"> lietā Nr. SKC</w:t>
      </w:r>
      <w:r w:rsidR="00946618" w:rsidRPr="00F24C91">
        <w:rPr>
          <w:i/>
          <w:iCs/>
        </w:rPr>
        <w:noBreakHyphen/>
        <w:t>204/2015</w:t>
      </w:r>
      <w:r w:rsidR="0013692A" w:rsidRPr="00F24C91">
        <w:rPr>
          <w:i/>
          <w:iCs/>
        </w:rPr>
        <w:t xml:space="preserve">, </w:t>
      </w:r>
      <w:hyperlink r:id="rId20" w:history="1">
        <w:r w:rsidR="00946618" w:rsidRPr="00F24C91">
          <w:rPr>
            <w:rStyle w:val="Hyperlink"/>
            <w:i/>
            <w:iCs/>
          </w:rPr>
          <w:t>C31370910</w:t>
        </w:r>
      </w:hyperlink>
      <w:r w:rsidR="00946618" w:rsidRPr="00F24C91">
        <w:rPr>
          <w:i/>
          <w:iCs/>
        </w:rPr>
        <w:t>, 7.1. punkt</w:t>
      </w:r>
      <w:r w:rsidR="0013692A" w:rsidRPr="00F24C91">
        <w:rPr>
          <w:i/>
          <w:iCs/>
        </w:rPr>
        <w:t>u</w:t>
      </w:r>
      <w:r w:rsidR="00B77EE2" w:rsidRPr="00F24C91">
        <w:rPr>
          <w:i/>
          <w:iCs/>
        </w:rPr>
        <w:t xml:space="preserve"> </w:t>
      </w:r>
      <w:r w:rsidR="00B77EE2" w:rsidRPr="00F24C91">
        <w:t>un tajā norādīto judikatūru</w:t>
      </w:r>
      <w:r w:rsidR="00946618" w:rsidRPr="00F24C91">
        <w:t>).</w:t>
      </w:r>
      <w:r w:rsidR="00553E89" w:rsidRPr="00F24C91">
        <w:t xml:space="preserve"> Kā arī</w:t>
      </w:r>
      <w:r w:rsidR="00100056" w:rsidRPr="00F24C91">
        <w:t xml:space="preserve"> Senāts atzinis</w:t>
      </w:r>
      <w:r w:rsidR="00553E89" w:rsidRPr="00F24C91">
        <w:t xml:space="preserve">, ka </w:t>
      </w:r>
      <w:r w:rsidR="00553E89" w:rsidRPr="00F24C91">
        <w:rPr>
          <w:iCs/>
          <w:color w:val="000000"/>
        </w:rPr>
        <w:t>m</w:t>
      </w:r>
      <w:r w:rsidR="00933760" w:rsidRPr="00F24C91">
        <w:rPr>
          <w:iCs/>
          <w:color w:val="000000"/>
        </w:rPr>
        <w:t xml:space="preserve">asu informācijas līdzekļiem ir tiesības </w:t>
      </w:r>
      <w:r w:rsidR="00933760" w:rsidRPr="00F24C91">
        <w:rPr>
          <w:iCs/>
          <w:color w:val="000000"/>
        </w:rPr>
        <w:lastRenderedPageBreak/>
        <w:t>pielietot arī iespējamu pārspīlēšanas vai pat provokācijas pakāpi, vai, citiem vārdiem, izteikt nedaudz pārmērīgus apgalvojumus</w:t>
      </w:r>
      <w:r w:rsidR="00B77EE2" w:rsidRPr="00F24C91">
        <w:t xml:space="preserve"> </w:t>
      </w:r>
      <w:r w:rsidR="00933760" w:rsidRPr="00F24C91">
        <w:t xml:space="preserve">(sk. </w:t>
      </w:r>
      <w:r w:rsidR="0056264A" w:rsidRPr="00F24C91">
        <w:rPr>
          <w:i/>
          <w:iCs/>
        </w:rPr>
        <w:t>Senāta</w:t>
      </w:r>
      <w:r w:rsidR="0056264A" w:rsidRPr="00F24C91">
        <w:t xml:space="preserve"> </w:t>
      </w:r>
      <w:r w:rsidR="00933760" w:rsidRPr="00F24C91">
        <w:rPr>
          <w:bCs/>
          <w:i/>
          <w:iCs/>
        </w:rPr>
        <w:t>2019. gada 10. jūlija sprieduma lietā Nr. SKC</w:t>
      </w:r>
      <w:r w:rsidR="00933760" w:rsidRPr="00F24C91">
        <w:rPr>
          <w:bCs/>
          <w:i/>
          <w:iCs/>
        </w:rPr>
        <w:noBreakHyphen/>
        <w:t>40/2019</w:t>
      </w:r>
      <w:r w:rsidR="00553E89" w:rsidRPr="00F24C91">
        <w:rPr>
          <w:bCs/>
          <w:i/>
          <w:iCs/>
        </w:rPr>
        <w:t>,</w:t>
      </w:r>
      <w:r w:rsidR="00933760" w:rsidRPr="00F24C91">
        <w:rPr>
          <w:bCs/>
          <w:i/>
          <w:iCs/>
        </w:rPr>
        <w:t xml:space="preserve"> </w:t>
      </w:r>
      <w:hyperlink r:id="rId21" w:history="1">
        <w:r w:rsidR="00933760" w:rsidRPr="00F24C91">
          <w:rPr>
            <w:rStyle w:val="Hyperlink"/>
            <w:bCs/>
            <w:i/>
            <w:iCs/>
          </w:rPr>
          <w:t>ECLI:LV:AT:2019:0710.C30292615.1.S</w:t>
        </w:r>
      </w:hyperlink>
      <w:r w:rsidR="00933760" w:rsidRPr="00F24C91">
        <w:rPr>
          <w:bCs/>
          <w:i/>
          <w:iCs/>
        </w:rPr>
        <w:t>, 9. un 9.6 punkt</w:t>
      </w:r>
      <w:r w:rsidR="002E05C8" w:rsidRPr="00F24C91">
        <w:rPr>
          <w:bCs/>
          <w:i/>
          <w:iCs/>
        </w:rPr>
        <w:t>us</w:t>
      </w:r>
      <w:r w:rsidR="00933760" w:rsidRPr="00F24C91">
        <w:rPr>
          <w:bCs/>
          <w:i/>
          <w:iCs/>
        </w:rPr>
        <w:t xml:space="preserve"> </w:t>
      </w:r>
      <w:r w:rsidR="00933760" w:rsidRPr="00F24C91">
        <w:rPr>
          <w:bCs/>
        </w:rPr>
        <w:t>un tajos norādīto Eiropas Cilvēktiesību tiesas judikatūru</w:t>
      </w:r>
      <w:r w:rsidR="00933760" w:rsidRPr="00F24C91">
        <w:t>).</w:t>
      </w:r>
      <w:r w:rsidR="00B77EE2" w:rsidRPr="00F24C91">
        <w:t xml:space="preserve"> </w:t>
      </w:r>
    </w:p>
    <w:p w14:paraId="3F6B7C67" w14:textId="5E9D5E7E" w:rsidR="00B77EE2" w:rsidRPr="00F24C91" w:rsidRDefault="00362761" w:rsidP="004F423C">
      <w:pPr>
        <w:shd w:val="clear" w:color="auto" w:fill="FFFFFF"/>
        <w:spacing w:line="276" w:lineRule="auto"/>
        <w:ind w:firstLine="567"/>
        <w:jc w:val="both"/>
      </w:pPr>
      <w:r w:rsidRPr="00F24C91">
        <w:t>Tomēr z</w:t>
      </w:r>
      <w:r w:rsidR="002E05C8" w:rsidRPr="00F24C91">
        <w:t xml:space="preserve">ināma naidīguma pakāpe un noteiktu </w:t>
      </w:r>
      <w:r w:rsidRPr="00F24C91">
        <w:t>izteikumu</w:t>
      </w:r>
      <w:r w:rsidR="002E05C8" w:rsidRPr="00F24C91">
        <w:t xml:space="preserve"> iespējamā nopietnība nenovērš augsto vārda brīvības aizsardzības līmeni, </w:t>
      </w:r>
      <w:r w:rsidR="00B5238B" w:rsidRPr="00F24C91">
        <w:t xml:space="preserve">ja </w:t>
      </w:r>
      <w:r w:rsidR="008835F1" w:rsidRPr="00F24C91">
        <w:t>raksts</w:t>
      </w:r>
      <w:r w:rsidR="00B5238B" w:rsidRPr="00F24C91">
        <w:t xml:space="preserve"> attiecas uz</w:t>
      </w:r>
      <w:r w:rsidR="002E05C8" w:rsidRPr="00F24C91">
        <w:t xml:space="preserve"> sabiedrības interešu jautājum</w:t>
      </w:r>
      <w:r w:rsidR="00B5238B" w:rsidRPr="00F24C91">
        <w:t>u</w:t>
      </w:r>
      <w:r w:rsidR="00D9494D" w:rsidRPr="00F24C91">
        <w:t>. Pat arī dzēlīgas un sarkastiskas izteiksmes lietojums var būt saderīgs ar Eiropas Cilvēka tiesību un pamatbrīvību aizsardzības konvencijas 10. pant</w:t>
      </w:r>
      <w:r w:rsidR="008835F1" w:rsidRPr="00F24C91">
        <w:t>a prasībām</w:t>
      </w:r>
      <w:r w:rsidR="00B5238B" w:rsidRPr="00F24C91">
        <w:t xml:space="preserve"> </w:t>
      </w:r>
      <w:proofErr w:type="gramStart"/>
      <w:r w:rsidR="00B5238B" w:rsidRPr="00F24C91">
        <w:t>(</w:t>
      </w:r>
      <w:proofErr w:type="gramEnd"/>
      <w:r w:rsidR="00B5238B" w:rsidRPr="00F24C91">
        <w:t xml:space="preserve">sk. </w:t>
      </w:r>
      <w:r w:rsidR="00B5238B" w:rsidRPr="00F24C91">
        <w:rPr>
          <w:i/>
        </w:rPr>
        <w:t>Eiropas Cilvēktiesību tiesas</w:t>
      </w:r>
      <w:r w:rsidR="00553E89" w:rsidRPr="00F24C91">
        <w:rPr>
          <w:i/>
        </w:rPr>
        <w:t xml:space="preserve"> (Lielā palāta)</w:t>
      </w:r>
      <w:r w:rsidR="00B5238B" w:rsidRPr="00F24C91">
        <w:rPr>
          <w:i/>
        </w:rPr>
        <w:t xml:space="preserve"> 2015. gada 23. aprīļa spriedum</w:t>
      </w:r>
      <w:r w:rsidR="00D9494D" w:rsidRPr="00F24C91">
        <w:rPr>
          <w:i/>
        </w:rPr>
        <w:t>a</w:t>
      </w:r>
      <w:r w:rsidR="00B5238B" w:rsidRPr="00F24C91">
        <w:rPr>
          <w:i/>
        </w:rPr>
        <w:t xml:space="preserve"> lietā „</w:t>
      </w:r>
      <w:proofErr w:type="spellStart"/>
      <w:r w:rsidR="00B5238B" w:rsidRPr="00F24C91">
        <w:rPr>
          <w:i/>
        </w:rPr>
        <w:t>Morice</w:t>
      </w:r>
      <w:proofErr w:type="spellEnd"/>
      <w:r w:rsidR="00B5238B" w:rsidRPr="00F24C91">
        <w:rPr>
          <w:i/>
        </w:rPr>
        <w:t xml:space="preserve"> v. </w:t>
      </w:r>
      <w:proofErr w:type="spellStart"/>
      <w:r w:rsidR="00B5238B" w:rsidRPr="00F24C91">
        <w:rPr>
          <w:i/>
        </w:rPr>
        <w:t>France</w:t>
      </w:r>
      <w:proofErr w:type="spellEnd"/>
      <w:r w:rsidR="00B5238B" w:rsidRPr="00F24C91">
        <w:rPr>
          <w:i/>
        </w:rPr>
        <w:t>”, iesnieguma Nr. </w:t>
      </w:r>
      <w:hyperlink r:id="rId22" w:history="1">
        <w:r w:rsidR="00B5238B" w:rsidRPr="00F24C91">
          <w:rPr>
            <w:rStyle w:val="Hyperlink"/>
            <w:i/>
          </w:rPr>
          <w:t>29369/10</w:t>
        </w:r>
      </w:hyperlink>
      <w:r w:rsidR="00B5238B" w:rsidRPr="00F24C91">
        <w:rPr>
          <w:i/>
        </w:rPr>
        <w:t>, 125.</w:t>
      </w:r>
      <w:r w:rsidR="00D9494D" w:rsidRPr="00F24C91">
        <w:rPr>
          <w:i/>
        </w:rPr>
        <w:t xml:space="preserve"> un 139. </w:t>
      </w:r>
      <w:r w:rsidR="00B5238B" w:rsidRPr="00F24C91">
        <w:rPr>
          <w:i/>
        </w:rPr>
        <w:t>punktu</w:t>
      </w:r>
      <w:r w:rsidR="00B5238B" w:rsidRPr="00F24C91">
        <w:rPr>
          <w:iCs/>
        </w:rPr>
        <w:t>).</w:t>
      </w:r>
    </w:p>
    <w:p w14:paraId="4E364880" w14:textId="7D7CFFBA" w:rsidR="00933760" w:rsidRPr="00F24C91" w:rsidRDefault="00B77EE2" w:rsidP="004F423C">
      <w:pPr>
        <w:shd w:val="clear" w:color="auto" w:fill="FFFFFF"/>
        <w:spacing w:line="276" w:lineRule="auto"/>
        <w:ind w:firstLine="567"/>
        <w:jc w:val="both"/>
      </w:pPr>
      <w:r w:rsidRPr="00F24C91">
        <w:t>Turklāt nevar</w:t>
      </w:r>
      <w:r w:rsidRPr="00F24C91">
        <w:rPr>
          <w:iCs/>
          <w:color w:val="000000"/>
        </w:rPr>
        <w:t xml:space="preserve"> vērtēt tikai konkrētās frāzes, uz kurām norāda prasītājs, bet raksts ir jāvērtē tā kopumā, kā arī jāvērtē situācija, kādā raksts tapa (sk. </w:t>
      </w:r>
      <w:r w:rsidRPr="00F24C91">
        <w:rPr>
          <w:i/>
          <w:iCs/>
        </w:rPr>
        <w:t>Senāta 2009. gada 25. novembra spriedumu lietā Nr. SKC</w:t>
      </w:r>
      <w:r w:rsidRPr="00F24C91">
        <w:rPr>
          <w:i/>
          <w:iCs/>
        </w:rPr>
        <w:noBreakHyphen/>
        <w:t xml:space="preserve">276/2009, </w:t>
      </w:r>
      <w:hyperlink r:id="rId23" w:history="1">
        <w:r w:rsidRPr="00F24C91">
          <w:rPr>
            <w:rStyle w:val="Hyperlink"/>
            <w:i/>
            <w:iCs/>
          </w:rPr>
          <w:t>C27054205</w:t>
        </w:r>
      </w:hyperlink>
      <w:r w:rsidRPr="00F24C91">
        <w:rPr>
          <w:iCs/>
          <w:color w:val="000000"/>
        </w:rPr>
        <w:t>).</w:t>
      </w:r>
    </w:p>
    <w:p w14:paraId="7FC418A8" w14:textId="7C48C2D9" w:rsidR="001F5D0C" w:rsidRPr="00F24C91" w:rsidRDefault="00120ECF" w:rsidP="004F423C">
      <w:pPr>
        <w:shd w:val="clear" w:color="auto" w:fill="FFFFFF"/>
        <w:spacing w:line="276" w:lineRule="auto"/>
        <w:ind w:firstLine="567"/>
        <w:jc w:val="both"/>
      </w:pPr>
      <w:r w:rsidRPr="00F24C91">
        <w:t>[</w:t>
      </w:r>
      <w:r w:rsidR="00553E89" w:rsidRPr="00F24C91">
        <w:t>11.2</w:t>
      </w:r>
      <w:r w:rsidRPr="00F24C91">
        <w:t>]</w:t>
      </w:r>
      <w:r w:rsidR="00DE3642" w:rsidRPr="00F24C91">
        <w:t> </w:t>
      </w:r>
      <w:r w:rsidR="00371A81" w:rsidRPr="00F24C91">
        <w:t>T</w:t>
      </w:r>
      <w:r w:rsidR="00496F8A" w:rsidRPr="00F24C91">
        <w:t xml:space="preserve">iesa </w:t>
      </w:r>
      <w:r w:rsidR="00042EB1" w:rsidRPr="00F24C91">
        <w:t xml:space="preserve">atzinusi, ka </w:t>
      </w:r>
      <w:r w:rsidR="00496F8A" w:rsidRPr="00F24C91">
        <w:t>rakstu sērija bija veltīta t. s. „ceļojošo” uzņēmumu maksātnespējas procesu norisei</w:t>
      </w:r>
      <w:r w:rsidR="00042EB1" w:rsidRPr="00F24C91">
        <w:t xml:space="preserve"> un</w:t>
      </w:r>
      <w:r w:rsidR="00496F8A" w:rsidRPr="00F24C91">
        <w:t xml:space="preserve"> par </w:t>
      </w:r>
      <w:r w:rsidR="00042EB1" w:rsidRPr="00F24C91">
        <w:t>to</w:t>
      </w:r>
      <w:r w:rsidR="00496F8A" w:rsidRPr="00F24C91">
        <w:t xml:space="preserve"> rakstu publicēšanas laikā bija paaugstināta sabiedrības interese [3.1]</w:t>
      </w:r>
      <w:r w:rsidR="00C82242" w:rsidRPr="00F24C91">
        <w:t>, [4.1]</w:t>
      </w:r>
      <w:r w:rsidR="00496F8A" w:rsidRPr="00F24C91">
        <w:t>,</w:t>
      </w:r>
      <w:r w:rsidR="00D014C7" w:rsidRPr="00F24C91">
        <w:t xml:space="preserve"> ka</w:t>
      </w:r>
      <w:r w:rsidR="00496F8A" w:rsidRPr="00F24C91">
        <w:t xml:space="preserve"> </w:t>
      </w:r>
      <w:r w:rsidR="00D014C7" w:rsidRPr="00F24C91">
        <w:t xml:space="preserve">jautājuma izpētē noskaidrojies, ka </w:t>
      </w:r>
      <w:r w:rsidR="00F24067" w:rsidRPr="00F24C91">
        <w:t xml:space="preserve">prasītāja kā tiesnese izskatījusi </w:t>
      </w:r>
      <w:r w:rsidR="00D014C7" w:rsidRPr="00F24C91">
        <w:t>lielu skaitu šādu lietu</w:t>
      </w:r>
      <w:r w:rsidR="00CE235A" w:rsidRPr="00F24C91">
        <w:t xml:space="preserve">, </w:t>
      </w:r>
      <w:r w:rsidR="00C82242" w:rsidRPr="00F24C91">
        <w:t>ka prasītājas vīrs profesionālajā jomā bijis saistīts ar maksātnespējas procesa jomu ietekmējošiem politiķiem</w:t>
      </w:r>
      <w:r w:rsidR="00CE235A" w:rsidRPr="00F24C91">
        <w:t xml:space="preserve"> un ka minētie apstākļi </w:t>
      </w:r>
      <w:r w:rsidR="00D014C7" w:rsidRPr="00F24C91">
        <w:t>veido faktisko bāzi prasītājas pieminēšanai šajos rakstos [3.2]</w:t>
      </w:r>
      <w:r w:rsidR="00C82242" w:rsidRPr="00F24C91">
        <w:t>, [4.2]</w:t>
      </w:r>
      <w:r w:rsidR="00D014C7" w:rsidRPr="00F24C91">
        <w:t xml:space="preserve">. </w:t>
      </w:r>
    </w:p>
    <w:p w14:paraId="2942656D" w14:textId="0E67ECE8" w:rsidR="00B93B11" w:rsidRPr="00F24C91" w:rsidRDefault="008A590D" w:rsidP="004F423C">
      <w:pPr>
        <w:shd w:val="clear" w:color="auto" w:fill="FFFFFF"/>
        <w:spacing w:line="276" w:lineRule="auto"/>
        <w:ind w:firstLine="567"/>
        <w:jc w:val="both"/>
      </w:pPr>
      <w:r w:rsidRPr="00F24C91">
        <w:t>[</w:t>
      </w:r>
      <w:r w:rsidR="00DE3642" w:rsidRPr="00F24C91">
        <w:t>11.2.1</w:t>
      </w:r>
      <w:r w:rsidRPr="00F24C91">
        <w:t>]</w:t>
      </w:r>
      <w:r w:rsidR="00DE3642" w:rsidRPr="00F24C91">
        <w:t> </w:t>
      </w:r>
      <w:r w:rsidR="00B93B11" w:rsidRPr="00F24C91">
        <w:t xml:space="preserve">Nav šaubu, ka laikā, kad tika publicēta strīdus rakstu sērija, maksātnespējas procesu norise tiesās bija sabiedrību interesējošs jautājums un masu informācijas līdzekļiem bija ne vien tiesības sabiedrību par to informēt, bet sabiedrība to arī varēja pamatoti sagaidīt. </w:t>
      </w:r>
      <w:r w:rsidR="00CE235A" w:rsidRPr="00F24C91">
        <w:t>Taču, nepastāvot citiem apstākļiem, sabiedrības interese par šo jautājumu nav pamats rakstā pieminēt kādu konkrētu tiesnesi, tostarp prasītāju.</w:t>
      </w:r>
    </w:p>
    <w:p w14:paraId="5A66CA59" w14:textId="4E01D799" w:rsidR="009D2369" w:rsidRPr="00F24C91" w:rsidRDefault="008A590D" w:rsidP="004F423C">
      <w:pPr>
        <w:shd w:val="clear" w:color="auto" w:fill="FFFFFF"/>
        <w:spacing w:line="276" w:lineRule="auto"/>
        <w:ind w:firstLine="567"/>
        <w:jc w:val="both"/>
      </w:pPr>
      <w:r w:rsidRPr="00F24C91">
        <w:t>[</w:t>
      </w:r>
      <w:r w:rsidR="00DE3642" w:rsidRPr="00F24C91">
        <w:t>11.2.2</w:t>
      </w:r>
      <w:r w:rsidRPr="00F24C91">
        <w:t>]</w:t>
      </w:r>
      <w:r w:rsidR="00DE3642" w:rsidRPr="00F24C91">
        <w:t> </w:t>
      </w:r>
      <w:r w:rsidR="00065359" w:rsidRPr="00F24C91">
        <w:t>Viens no apstākļiem, kas varētu attaisnot konkrēta tiesneša pieminēšanu rakstu sērijā, ir iepriekš minētais fakts, ka tiesnesis izskatījis lielu skaitu „ceļojošo uzņēmumu” maksātnespējas procesa lietu</w:t>
      </w:r>
      <w:r w:rsidRPr="00F24C91">
        <w:t xml:space="preserve"> [</w:t>
      </w:r>
      <w:r w:rsidR="00100056" w:rsidRPr="00F24C91">
        <w:t>2</w:t>
      </w:r>
      <w:r w:rsidRPr="00F24C91">
        <w:t>.1], [</w:t>
      </w:r>
      <w:r w:rsidR="00100056" w:rsidRPr="00F24C91">
        <w:t>2</w:t>
      </w:r>
      <w:r w:rsidRPr="00F24C91">
        <w:t>.2]</w:t>
      </w:r>
      <w:r w:rsidR="00065359" w:rsidRPr="00F24C91">
        <w:t xml:space="preserve">. </w:t>
      </w:r>
      <w:r w:rsidR="008D06F2" w:rsidRPr="00F24C91">
        <w:t xml:space="preserve">Līdzīgi kā citi tiesneši, kas pieminēti rakstu sērijā, arī </w:t>
      </w:r>
      <w:r w:rsidR="009E5BE1" w:rsidRPr="00F24C91">
        <w:t>prasītāja</w:t>
      </w:r>
      <w:r w:rsidR="008D06F2" w:rsidRPr="00F24C91">
        <w:t xml:space="preserve"> ir izskatījusi lietu skaitu šādu lietu</w:t>
      </w:r>
      <w:r w:rsidR="00065359" w:rsidRPr="00F24C91">
        <w:t>. T</w:t>
      </w:r>
      <w:r w:rsidR="008D06F2" w:rsidRPr="00F24C91">
        <w:t xml:space="preserve">aču atšķirībā no citiem tiesnešiem </w:t>
      </w:r>
      <w:r w:rsidR="00E33182" w:rsidRPr="00F24C91">
        <w:t>prasītājas kā tiesneses pieņemtie nolēmumi nav tikuši atcelti.</w:t>
      </w:r>
      <w:r w:rsidR="00065359" w:rsidRPr="00F24C91">
        <w:t xml:space="preserve"> </w:t>
      </w:r>
    </w:p>
    <w:p w14:paraId="7B12698B" w14:textId="32474275" w:rsidR="00065359" w:rsidRPr="00F24C91" w:rsidRDefault="00065359" w:rsidP="004F423C">
      <w:pPr>
        <w:shd w:val="clear" w:color="auto" w:fill="FFFFFF"/>
        <w:spacing w:line="276" w:lineRule="auto"/>
        <w:ind w:firstLine="567"/>
        <w:jc w:val="both"/>
      </w:pPr>
      <w:r w:rsidRPr="00F24C91">
        <w:t xml:space="preserve">Līdz ar to, ja arī šis apstāklis attaisno prasītājas pieminēšanu rakstu sērijā, svarīgi, lai </w:t>
      </w:r>
      <w:r w:rsidR="008A590D" w:rsidRPr="00F24C91">
        <w:t xml:space="preserve">šis papildu apstāklis būtu akcentēts </w:t>
      </w:r>
      <w:r w:rsidRPr="00F24C91">
        <w:t>lasītājiem skaidri uz</w:t>
      </w:r>
      <w:r w:rsidR="00F70ADB" w:rsidRPr="00F24C91">
        <w:t>t</w:t>
      </w:r>
      <w:r w:rsidRPr="00F24C91">
        <w:t>veramā veidā.</w:t>
      </w:r>
      <w:r w:rsidR="008A590D" w:rsidRPr="00F24C91">
        <w:t xml:space="preserve"> Rakstu sērijā ir norādīts, ka prasītāj</w:t>
      </w:r>
      <w:r w:rsidR="00347A24" w:rsidRPr="00F24C91">
        <w:t>a</w:t>
      </w:r>
      <w:r w:rsidR="008A590D" w:rsidRPr="00F24C91">
        <w:t>s nolēmumi Augstākajā tiesā nav protestēti [</w:t>
      </w:r>
      <w:r w:rsidR="00100056" w:rsidRPr="00F24C91">
        <w:t>2</w:t>
      </w:r>
      <w:r w:rsidR="008A590D" w:rsidRPr="00F24C91">
        <w:t>.2], ko vērtējumā ņēmusi vērā arī tiesa [4.3].</w:t>
      </w:r>
    </w:p>
    <w:p w14:paraId="2F16C324" w14:textId="410132EF" w:rsidR="00CC02AD" w:rsidRPr="00F24C91" w:rsidRDefault="008A590D" w:rsidP="004F423C">
      <w:pPr>
        <w:shd w:val="clear" w:color="auto" w:fill="FFFFFF"/>
        <w:spacing w:line="276" w:lineRule="auto"/>
        <w:ind w:firstLine="567"/>
        <w:jc w:val="both"/>
      </w:pPr>
      <w:r w:rsidRPr="00F24C91">
        <w:t>[</w:t>
      </w:r>
      <w:r w:rsidR="00DE3642" w:rsidRPr="00F24C91">
        <w:t>11.2.3</w:t>
      </w:r>
      <w:r w:rsidRPr="00F24C91">
        <w:t>]</w:t>
      </w:r>
      <w:r w:rsidR="00DE3642" w:rsidRPr="00F24C91">
        <w:t> </w:t>
      </w:r>
      <w:r w:rsidR="009D2369" w:rsidRPr="00F24C91">
        <w:t>Žurnālistu noskaidrotais attiecībā uz</w:t>
      </w:r>
      <w:r w:rsidR="00E33182" w:rsidRPr="00F24C91">
        <w:t xml:space="preserve"> prasītājas vīra profesionāl</w:t>
      </w:r>
      <w:r w:rsidR="009D2369" w:rsidRPr="00F24C91">
        <w:t>o</w:t>
      </w:r>
      <w:r w:rsidR="00E33182" w:rsidRPr="00F24C91">
        <w:t xml:space="preserve"> </w:t>
      </w:r>
      <w:r w:rsidR="009D2369" w:rsidRPr="00F24C91">
        <w:t>darbību [</w:t>
      </w:r>
      <w:r w:rsidR="00100056" w:rsidRPr="00F24C91">
        <w:t>2</w:t>
      </w:r>
      <w:r w:rsidR="009D2369" w:rsidRPr="00F24C91">
        <w:t>.3] pats par sevi nevarētu būt pamats prasītājas pieminēšanai līdzās tiesnešiem, kuri ir izskatījuši lielu skaitu attiecīgo lietu un par kuru nolēmumiem ir iesniegti protesti Austākajā tiesā. Vienlaikus šis apstāklis kontekstā ar iepriekš [</w:t>
      </w:r>
      <w:r w:rsidR="00DE3642" w:rsidRPr="00F24C91">
        <w:t>11.2.2</w:t>
      </w:r>
      <w:r w:rsidR="009D2369" w:rsidRPr="00F24C91">
        <w:t>] minēto apstākli</w:t>
      </w:r>
      <w:r w:rsidR="00E33182" w:rsidRPr="00F24C91">
        <w:t xml:space="preserve"> varēja veidot </w:t>
      </w:r>
      <w:r w:rsidR="005E74B0" w:rsidRPr="00F24C91">
        <w:t>pietiekamu faktisko bāzi</w:t>
      </w:r>
      <w:r w:rsidR="009D2369" w:rsidRPr="00F24C91">
        <w:t xml:space="preserve"> prasītājas pieminēšanai rakstu sērijā, ja vien atspoguļotā informācija ir precīza un pilnīga.</w:t>
      </w:r>
    </w:p>
    <w:p w14:paraId="3B72ECD8" w14:textId="72CD5A04" w:rsidR="00B938E7" w:rsidRPr="00F24C91" w:rsidRDefault="009D2369" w:rsidP="004F423C">
      <w:pPr>
        <w:shd w:val="clear" w:color="auto" w:fill="FFFFFF"/>
        <w:spacing w:line="276" w:lineRule="auto"/>
        <w:ind w:firstLine="567"/>
        <w:jc w:val="both"/>
      </w:pPr>
      <w:r w:rsidRPr="00F24C91">
        <w:t>Prasītāja nav apstrīdējusi, ka rakstu sērijā atspoguļotā informācija būtu kļūdaina</w:t>
      </w:r>
      <w:r w:rsidR="00F70ADB" w:rsidRPr="00F24C91">
        <w:t>,</w:t>
      </w:r>
      <w:r w:rsidRPr="00F24C91">
        <w:t xml:space="preserve"> </w:t>
      </w:r>
      <w:r w:rsidR="00DE3642" w:rsidRPr="00F24C91">
        <w:t xml:space="preserve">jeb </w:t>
      </w:r>
      <w:r w:rsidR="00CC02AD" w:rsidRPr="00F24C91">
        <w:t>ka rakst</w:t>
      </w:r>
      <w:r w:rsidR="00EF1E24" w:rsidRPr="00F24C91">
        <w:t>os būtu norādītas</w:t>
      </w:r>
      <w:r w:rsidR="00CC02AD" w:rsidRPr="00F24C91">
        <w:t xml:space="preserve"> nepatiesas ziņas. </w:t>
      </w:r>
      <w:r w:rsidR="005E74B0" w:rsidRPr="00F24C91">
        <w:t>Tādējādi</w:t>
      </w:r>
      <w:r w:rsidR="00D014C7" w:rsidRPr="00F24C91">
        <w:t xml:space="preserve"> Senāt</w:t>
      </w:r>
      <w:r w:rsidR="005E74B0" w:rsidRPr="00F24C91">
        <w:t>s atzīst</w:t>
      </w:r>
      <w:r w:rsidR="00BD61E8" w:rsidRPr="00F24C91">
        <w:t xml:space="preserve">, ka </w:t>
      </w:r>
      <w:r w:rsidR="00CC02AD" w:rsidRPr="00F24C91">
        <w:t>tiesas secinājum</w:t>
      </w:r>
      <w:r w:rsidR="00BD61E8" w:rsidRPr="00F24C91">
        <w:t>i</w:t>
      </w:r>
      <w:r w:rsidR="00CC02AD" w:rsidRPr="00F24C91">
        <w:t xml:space="preserve"> par to, ka iepriekš </w:t>
      </w:r>
      <w:r w:rsidR="005E74B0" w:rsidRPr="00F24C91">
        <w:t>minētie apstākļi</w:t>
      </w:r>
      <w:r w:rsidR="00D014C7" w:rsidRPr="00F24C91">
        <w:t xml:space="preserve"> ir pietiekami</w:t>
      </w:r>
      <w:r w:rsidR="00755348" w:rsidRPr="00F24C91">
        <w:t xml:space="preserve"> tiesneses vārda pieminēšanai rakstu sērijā</w:t>
      </w:r>
      <w:r w:rsidR="00BD61E8" w:rsidRPr="00F24C91">
        <w:t>, atbilst Eiropas Cilvēktiesību tiesas un Senāta judikatūrā norādītajām prasībām.</w:t>
      </w:r>
    </w:p>
    <w:p w14:paraId="3745B018" w14:textId="566BCEDE" w:rsidR="00C82242" w:rsidRPr="00F24C91" w:rsidRDefault="00933760" w:rsidP="004F423C">
      <w:pPr>
        <w:shd w:val="clear" w:color="auto" w:fill="FFFFFF"/>
        <w:spacing w:line="276" w:lineRule="auto"/>
        <w:ind w:firstLine="567"/>
        <w:jc w:val="both"/>
      </w:pPr>
      <w:r w:rsidRPr="00F24C91">
        <w:t>[</w:t>
      </w:r>
      <w:r w:rsidR="00DE3642" w:rsidRPr="00F24C91">
        <w:t>11.3</w:t>
      </w:r>
      <w:r w:rsidRPr="00F24C91">
        <w:t>]</w:t>
      </w:r>
      <w:r w:rsidR="00DE3642" w:rsidRPr="00F24C91">
        <w:t> </w:t>
      </w:r>
      <w:r w:rsidR="00371A81" w:rsidRPr="00F24C91">
        <w:t>Tiesa atzinusi, ka</w:t>
      </w:r>
      <w:r w:rsidR="00D43976" w:rsidRPr="00F24C91">
        <w:t xml:space="preserve"> prasītājas apgalvojums, ka </w:t>
      </w:r>
      <w:r w:rsidR="000770D3" w:rsidRPr="00F24C91">
        <w:t>rakstu sērija</w:t>
      </w:r>
      <w:r w:rsidR="00D43976" w:rsidRPr="00F24C91">
        <w:t xml:space="preserve"> viņu atspoguļo kā nekompetentu, paviršu vai korumpētu tiesnesi, nav pamatots. Tiesa norādījusi, ka, ņemot vērā rakstos lietotos izteiksmes līdzekļus un izlasot katru rakstu kopumā, var secināt, ka raksti </w:t>
      </w:r>
      <w:r w:rsidR="00D43976" w:rsidRPr="00F24C91">
        <w:lastRenderedPageBreak/>
        <w:t xml:space="preserve">lasītājiem uzdod jautājumus, nevis sniedz atbildes [3.3], strīdus frāzes, </w:t>
      </w:r>
      <w:r w:rsidR="00B73D19" w:rsidRPr="00F24C91">
        <w:t xml:space="preserve">kuras par godu un cieņu aizskarošām uzskatījusi prasītāja, tiesa novērtējusi un atzinusi par vispārīgām un tādām, kuras nevar attiecināt uz kādu konkrētu rakstā pieminētu tiesnesi, proti, rakstu sērijā nav ietvertas ziņas par to, ka prasītāja būtu </w:t>
      </w:r>
      <w:r w:rsidR="00E47C2E" w:rsidRPr="00F24C91">
        <w:t>pārkāpusi likumu, būtu pavirša, nekompetenta vai korumpēta</w:t>
      </w:r>
      <w:r w:rsidR="00B73D19" w:rsidRPr="00F24C91">
        <w:t xml:space="preserve"> [4.3].</w:t>
      </w:r>
      <w:r w:rsidR="00E50E45" w:rsidRPr="00F24C91">
        <w:t xml:space="preserve"> </w:t>
      </w:r>
      <w:r w:rsidR="00036275" w:rsidRPr="00F24C91">
        <w:t xml:space="preserve">Tādējādi varētu uzskatīt, ka rakstos par prasītāju ir pausts viedoklis, taču tas nav izteikts rupjā </w:t>
      </w:r>
      <w:r w:rsidR="000770D3" w:rsidRPr="00F24C91">
        <w:t>vai</w:t>
      </w:r>
      <w:r w:rsidR="00036275" w:rsidRPr="00F24C91">
        <w:t xml:space="preserve"> aizskatošā veidā [4.4].</w:t>
      </w:r>
    </w:p>
    <w:p w14:paraId="658FC7DA" w14:textId="5AA1F2E7" w:rsidR="00A70566" w:rsidRPr="00F24C91" w:rsidRDefault="00036275" w:rsidP="004F423C">
      <w:pPr>
        <w:spacing w:line="276" w:lineRule="auto"/>
        <w:ind w:firstLine="567"/>
        <w:jc w:val="both"/>
      </w:pPr>
      <w:r w:rsidRPr="00F24C91">
        <w:t xml:space="preserve">Senāts atzīst, ka </w:t>
      </w:r>
      <w:r w:rsidR="00AD7CD0" w:rsidRPr="00F24C91">
        <w:t xml:space="preserve">gan </w:t>
      </w:r>
      <w:r w:rsidRPr="00F24C91">
        <w:t>pirmās instances tiesas</w:t>
      </w:r>
      <w:r w:rsidR="00AD7CD0" w:rsidRPr="00F24C91">
        <w:t xml:space="preserve">, gan </w:t>
      </w:r>
      <w:r w:rsidRPr="00F24C91">
        <w:t>apelācijas instances tiesas spriedumā</w:t>
      </w:r>
      <w:r w:rsidR="00AD7CD0" w:rsidRPr="00F24C91">
        <w:t xml:space="preserve"> ietvertais strīdus publikāciju novērtējums liecina par rūpīgu un detalizētu šo publikāciju teksta analīzi.</w:t>
      </w:r>
      <w:r w:rsidR="00EC194A" w:rsidRPr="00F24C91">
        <w:t xml:space="preserve"> </w:t>
      </w:r>
      <w:r w:rsidR="007639CE" w:rsidRPr="00F24C91">
        <w:t xml:space="preserve">Gan katrs raksts, gan visa </w:t>
      </w:r>
      <w:r w:rsidR="00AD7CD0" w:rsidRPr="00F24C91">
        <w:t>rakstu sērij</w:t>
      </w:r>
      <w:r w:rsidR="00EC194A" w:rsidRPr="00F24C91">
        <w:t>a</w:t>
      </w:r>
      <w:r w:rsidR="00AD7CD0" w:rsidRPr="00F24C91">
        <w:t xml:space="preserve"> </w:t>
      </w:r>
      <w:r w:rsidR="007639CE" w:rsidRPr="00F24C91">
        <w:t xml:space="preserve">spriedumos </w:t>
      </w:r>
      <w:r w:rsidR="00EC194A" w:rsidRPr="00F24C91">
        <w:t xml:space="preserve">aplūkota kopumā, kā arī ir novērtēti atsevišķi teikumi un izteiksmes līdzekļi, </w:t>
      </w:r>
      <w:r w:rsidR="00AF14A3" w:rsidRPr="00F24C91">
        <w:t>secinot, ka ne</w:t>
      </w:r>
      <w:r w:rsidR="00EC194A" w:rsidRPr="00F24C91">
        <w:t xml:space="preserve"> raksti kopumā</w:t>
      </w:r>
      <w:r w:rsidR="00AF14A3" w:rsidRPr="00F24C91">
        <w:t xml:space="preserve">, ne </w:t>
      </w:r>
      <w:r w:rsidR="00EC194A" w:rsidRPr="00F24C91">
        <w:t xml:space="preserve">atsevišķas to daļas </w:t>
      </w:r>
      <w:r w:rsidR="00AF14A3" w:rsidRPr="00F24C91">
        <w:t>ne</w:t>
      </w:r>
      <w:r w:rsidR="00EC194A" w:rsidRPr="00F24C91">
        <w:t xml:space="preserve">satur prasītājas godu un cieņu aizskarošas ziņas </w:t>
      </w:r>
      <w:r w:rsidR="00AF14A3" w:rsidRPr="00F24C91">
        <w:t>un ne</w:t>
      </w:r>
      <w:r w:rsidR="00EC194A" w:rsidRPr="00F24C91">
        <w:t>sniedz pārmērīgi aizskarošu viedokli</w:t>
      </w:r>
      <w:r w:rsidR="00AF14A3" w:rsidRPr="00F24C91">
        <w:t xml:space="preserve"> par prasītāju</w:t>
      </w:r>
      <w:r w:rsidR="00F67547" w:rsidRPr="00F24C91">
        <w:t xml:space="preserve"> </w:t>
      </w:r>
      <w:proofErr w:type="gramStart"/>
      <w:r w:rsidR="00F67547" w:rsidRPr="00F24C91">
        <w:t>(</w:t>
      </w:r>
      <w:proofErr w:type="gramEnd"/>
      <w:r w:rsidR="00AC7D85" w:rsidRPr="00F24C91">
        <w:rPr>
          <w:i/>
          <w:iCs/>
        </w:rPr>
        <w:t>a</w:t>
      </w:r>
      <w:r w:rsidR="00F67547" w:rsidRPr="00F24C91">
        <w:rPr>
          <w:i/>
          <w:iCs/>
        </w:rPr>
        <w:t xml:space="preserve"> </w:t>
      </w:r>
      <w:proofErr w:type="spellStart"/>
      <w:r w:rsidR="00F67547" w:rsidRPr="00F24C91">
        <w:rPr>
          <w:i/>
          <w:iCs/>
        </w:rPr>
        <w:t>contrario</w:t>
      </w:r>
      <w:proofErr w:type="spellEnd"/>
      <w:r w:rsidR="00F67547" w:rsidRPr="00F24C91">
        <w:t xml:space="preserve"> </w:t>
      </w:r>
      <w:r w:rsidR="00AC7D85" w:rsidRPr="00F24C91">
        <w:t>sk</w:t>
      </w:r>
      <w:r w:rsidR="00F67547" w:rsidRPr="00F24C91">
        <w:t xml:space="preserve">. </w:t>
      </w:r>
      <w:r w:rsidR="00AC7D85" w:rsidRPr="00F24C91">
        <w:rPr>
          <w:i/>
          <w:iCs/>
        </w:rPr>
        <w:t>Senāta 2020. gada 25. novembra sprieduma lietā Nr. SKC</w:t>
      </w:r>
      <w:r w:rsidR="00AC7D85" w:rsidRPr="00F24C91">
        <w:rPr>
          <w:i/>
          <w:iCs/>
        </w:rPr>
        <w:noBreakHyphen/>
        <w:t xml:space="preserve">41/2020, </w:t>
      </w:r>
      <w:hyperlink r:id="rId24" w:history="1">
        <w:r w:rsidR="00AC7D85" w:rsidRPr="00F24C91">
          <w:rPr>
            <w:rStyle w:val="Hyperlink"/>
            <w:i/>
            <w:iCs/>
          </w:rPr>
          <w:t>ECLI:LV:AT:2020:1125.C28330013.6.S</w:t>
        </w:r>
      </w:hyperlink>
      <w:r w:rsidR="00AC7D85" w:rsidRPr="00F24C91">
        <w:rPr>
          <w:i/>
          <w:iCs/>
        </w:rPr>
        <w:t>, 12.</w:t>
      </w:r>
      <w:r w:rsidR="007D7F67" w:rsidRPr="00F24C91">
        <w:rPr>
          <w:i/>
          <w:iCs/>
        </w:rPr>
        <w:t>2</w:t>
      </w:r>
      <w:r w:rsidR="00AC7D85" w:rsidRPr="00F24C91">
        <w:rPr>
          <w:i/>
          <w:iCs/>
        </w:rPr>
        <w:t>. punktu</w:t>
      </w:r>
      <w:r w:rsidR="0073193A" w:rsidRPr="00F24C91">
        <w:t>, kur</w:t>
      </w:r>
      <w:r w:rsidR="00F67547" w:rsidRPr="00F24C91">
        <w:t xml:space="preserve"> tiesai bija jāvērtē</w:t>
      </w:r>
      <w:r w:rsidR="00B77D19" w:rsidRPr="00F24C91">
        <w:t xml:space="preserve"> </w:t>
      </w:r>
      <w:r w:rsidR="00F67547" w:rsidRPr="00F24C91">
        <w:t>atbildētāja</w:t>
      </w:r>
      <w:r w:rsidR="00B77D19" w:rsidRPr="00F24C91">
        <w:t>s</w:t>
      </w:r>
      <w:r w:rsidR="00F67547" w:rsidRPr="00F24C91">
        <w:t xml:space="preserve"> apgalvojuma formā </w:t>
      </w:r>
      <w:r w:rsidR="00B77D19" w:rsidRPr="00F24C91">
        <w:t>sniegtā</w:t>
      </w:r>
      <w:r w:rsidR="00475C97" w:rsidRPr="00F24C91">
        <w:t xml:space="preserve"> </w:t>
      </w:r>
      <w:r w:rsidR="00F67547" w:rsidRPr="00F24C91">
        <w:t>informācij</w:t>
      </w:r>
      <w:r w:rsidR="00B77D19" w:rsidRPr="00F24C91">
        <w:t>a</w:t>
      </w:r>
      <w:r w:rsidR="00F67547" w:rsidRPr="00F24C91">
        <w:t xml:space="preserve"> par tiesnešu iesaisti krāpšanas shēmās </w:t>
      </w:r>
      <w:r w:rsidR="00B77D19" w:rsidRPr="00F24C91">
        <w:t>un izteiktais viedoklis par konkrēto</w:t>
      </w:r>
      <w:r w:rsidR="00F67547" w:rsidRPr="00F24C91">
        <w:t xml:space="preserve"> tiesnesi </w:t>
      </w:r>
      <w:r w:rsidR="00B77D19" w:rsidRPr="00F24C91">
        <w:t>kā par</w:t>
      </w:r>
      <w:r w:rsidR="00F67547" w:rsidRPr="00F24C91">
        <w:t xml:space="preserve"> negodprātīgu un, visticamākais, korumpētu amatpersonu).</w:t>
      </w:r>
      <w:r w:rsidR="00BA3D95" w:rsidRPr="00F24C91">
        <w:t xml:space="preserve"> </w:t>
      </w:r>
      <w:r w:rsidR="00603D65" w:rsidRPr="00F24C91">
        <w:t>Jāpiekrīt a</w:t>
      </w:r>
      <w:r w:rsidR="00BA3D95" w:rsidRPr="00F24C91">
        <w:t>tbildētāju paskaidrojumos</w:t>
      </w:r>
      <w:r w:rsidR="00146619" w:rsidRPr="00F24C91">
        <w:t xml:space="preserve"> par kasācijas sūdzību</w:t>
      </w:r>
      <w:r w:rsidR="00BA3D95" w:rsidRPr="00F24C91">
        <w:t xml:space="preserve"> norādītajam [6], ka </w:t>
      </w:r>
      <w:r w:rsidR="00146619" w:rsidRPr="00F24C91">
        <w:t>kasācijas sūdzīb</w:t>
      </w:r>
      <w:r w:rsidR="00603D65" w:rsidRPr="00F24C91">
        <w:t xml:space="preserve">as argumenti </w:t>
      </w:r>
      <w:r w:rsidR="00146619" w:rsidRPr="00F24C91">
        <w:t>nedod pamatu apšaubīt, ka tiesas konstatētie faktisk</w:t>
      </w:r>
      <w:r w:rsidR="00F70ADB" w:rsidRPr="00F24C91">
        <w:t>ie</w:t>
      </w:r>
      <w:r w:rsidR="00146619" w:rsidRPr="00F24C91">
        <w:t xml:space="preserve"> apstākļi ir pareizi attiecināti uz prasības pamatojumā norādīto normu tiesiskā sastāva pazīmēm.</w:t>
      </w:r>
    </w:p>
    <w:p w14:paraId="6AD6B042" w14:textId="0F04DC80" w:rsidR="00036275" w:rsidRPr="00F24C91" w:rsidRDefault="00A70566" w:rsidP="004F423C">
      <w:pPr>
        <w:shd w:val="clear" w:color="auto" w:fill="FFFFFF"/>
        <w:spacing w:line="276" w:lineRule="auto"/>
        <w:ind w:firstLine="567"/>
        <w:jc w:val="both"/>
      </w:pPr>
      <w:r w:rsidRPr="00F24C91">
        <w:t xml:space="preserve">Līdz ar to </w:t>
      </w:r>
      <w:r w:rsidR="003371E2" w:rsidRPr="00F24C91">
        <w:t xml:space="preserve">Senāts secina, ka </w:t>
      </w:r>
      <w:r w:rsidRPr="00F24C91">
        <w:t>Civillikuma 2352.</w:t>
      </w:r>
      <w:r w:rsidRPr="00F24C91">
        <w:rPr>
          <w:vertAlign w:val="superscript"/>
        </w:rPr>
        <w:t>1</w:t>
      </w:r>
      <w:r w:rsidRPr="00F24C91">
        <w:t xml:space="preserve"> panta un </w:t>
      </w:r>
      <w:r w:rsidRPr="00F24C91" w:rsidDel="00DE2284">
        <w:t>likuma „Par presi un citiem masu informācijas līdzekļiem” 7. panta piekt</w:t>
      </w:r>
      <w:r w:rsidRPr="00F24C91">
        <w:t>ās</w:t>
      </w:r>
      <w:r w:rsidRPr="00F24C91" w:rsidDel="00DE2284">
        <w:t xml:space="preserve"> daļ</w:t>
      </w:r>
      <w:r w:rsidRPr="00F24C91">
        <w:t>as</w:t>
      </w:r>
      <w:r w:rsidR="00A842F4" w:rsidRPr="00F24C91">
        <w:t xml:space="preserve"> normas, ar kurām pamat</w:t>
      </w:r>
      <w:r w:rsidR="00EC190E" w:rsidRPr="00F24C91">
        <w:t>ots</w:t>
      </w:r>
      <w:r w:rsidR="00A842F4" w:rsidRPr="00F24C91">
        <w:t xml:space="preserve"> prasības pieteikums,</w:t>
      </w:r>
      <w:r w:rsidRPr="00F24C91">
        <w:t xml:space="preserve"> </w:t>
      </w:r>
      <w:r w:rsidR="003371E2" w:rsidRPr="00F24C91">
        <w:t xml:space="preserve">ir iztulkotas, ņemot vērā Senāta un Eiropas Cilvēktiesību tiesas judikatūru, un tādējādi </w:t>
      </w:r>
      <w:r w:rsidRPr="00F24C91">
        <w:t xml:space="preserve">pareizi attiecinātas uz konstatētajiem apstākļiem. </w:t>
      </w:r>
      <w:r w:rsidR="000770D3" w:rsidRPr="00F24C91">
        <w:t>A</w:t>
      </w:r>
      <w:r w:rsidR="009A2569" w:rsidRPr="00F24C91">
        <w:t>tbilstoši Civilprocesa likuma 450. panta trešajai daļai, 451. un 452. pantam</w:t>
      </w:r>
      <w:r w:rsidR="000770D3" w:rsidRPr="00F24C91">
        <w:t xml:space="preserve"> apstākļu un pierādījumu pārvērtēšana nav Senāta kā kasācijas instances tiesas kompetencē.</w:t>
      </w:r>
    </w:p>
    <w:p w14:paraId="2A59AF86" w14:textId="4DAF6100" w:rsidR="006752CA" w:rsidRPr="00F24C91" w:rsidRDefault="006752CA" w:rsidP="004F423C">
      <w:pPr>
        <w:shd w:val="clear" w:color="auto" w:fill="FFFFFF"/>
        <w:spacing w:line="276" w:lineRule="auto"/>
        <w:ind w:firstLine="567"/>
        <w:jc w:val="both"/>
      </w:pPr>
    </w:p>
    <w:p w14:paraId="7981F9B2" w14:textId="5C4021F2" w:rsidR="00B1595B" w:rsidRPr="00F24C91" w:rsidRDefault="00B1595B" w:rsidP="004F423C">
      <w:pPr>
        <w:shd w:val="clear" w:color="auto" w:fill="FFFFFF"/>
        <w:spacing w:line="276" w:lineRule="auto"/>
        <w:ind w:firstLine="567"/>
        <w:jc w:val="both"/>
        <w:rPr>
          <w:i/>
        </w:rPr>
      </w:pPr>
      <w:r w:rsidRPr="00F24C91">
        <w:rPr>
          <w:i/>
        </w:rPr>
        <w:t xml:space="preserve">Par pierādījumu </w:t>
      </w:r>
      <w:r w:rsidR="002667FB" w:rsidRPr="00F24C91">
        <w:rPr>
          <w:i/>
        </w:rPr>
        <w:t>no</w:t>
      </w:r>
      <w:r w:rsidRPr="00F24C91">
        <w:rPr>
          <w:i/>
        </w:rPr>
        <w:t>vērtēšanu</w:t>
      </w:r>
    </w:p>
    <w:p w14:paraId="657303E1" w14:textId="67B9889E" w:rsidR="0020074A" w:rsidRPr="00F24C91" w:rsidRDefault="00AC7F2B" w:rsidP="004F423C">
      <w:pPr>
        <w:shd w:val="clear" w:color="auto" w:fill="FFFFFF"/>
        <w:spacing w:line="276" w:lineRule="auto"/>
        <w:ind w:firstLine="567"/>
        <w:jc w:val="both"/>
      </w:pPr>
      <w:r w:rsidRPr="00F24C91">
        <w:t>[</w:t>
      </w:r>
      <w:r w:rsidR="003A2619" w:rsidRPr="00F24C91">
        <w:t>1</w:t>
      </w:r>
      <w:r w:rsidR="0022477B" w:rsidRPr="00F24C91">
        <w:t>2</w:t>
      </w:r>
      <w:r w:rsidRPr="00F24C91">
        <w:t>]</w:t>
      </w:r>
      <w:r w:rsidR="0022477B" w:rsidRPr="00F24C91">
        <w:t> K</w:t>
      </w:r>
      <w:r w:rsidR="0020074A" w:rsidRPr="00F24C91">
        <w:t>asācijas sūdzīb</w:t>
      </w:r>
      <w:r w:rsidR="0063786F" w:rsidRPr="00F24C91">
        <w:t>ā izteikti</w:t>
      </w:r>
      <w:r w:rsidR="0022477B" w:rsidRPr="00F24C91">
        <w:t xml:space="preserve"> </w:t>
      </w:r>
      <w:r w:rsidR="0063786F" w:rsidRPr="00F24C91">
        <w:t>pārmetumi par pierādījumu novērtēšanas pārkāpumu, tiesai pienācīgi</w:t>
      </w:r>
      <w:proofErr w:type="gramStart"/>
      <w:r w:rsidR="008C1C30" w:rsidRPr="00F24C91">
        <w:t xml:space="preserve"> </w:t>
      </w:r>
      <w:r w:rsidR="0063786F" w:rsidRPr="00F24C91">
        <w:t xml:space="preserve">nenovērtējot </w:t>
      </w:r>
      <w:r w:rsidR="003A2619" w:rsidRPr="00F24C91">
        <w:t xml:space="preserve">valodnieces </w:t>
      </w:r>
      <w:r w:rsidR="0063786F" w:rsidRPr="00F24C91">
        <w:t>atzinumu</w:t>
      </w:r>
      <w:proofErr w:type="gramEnd"/>
      <w:r w:rsidR="00606DBF" w:rsidRPr="00F24C91">
        <w:t xml:space="preserve"> [5.2]</w:t>
      </w:r>
      <w:r w:rsidR="001F1402" w:rsidRPr="00F24C91">
        <w:t>,</w:t>
      </w:r>
      <w:r w:rsidR="0022477B" w:rsidRPr="00F24C91">
        <w:t xml:space="preserve"> un to, kā </w:t>
      </w:r>
      <w:r w:rsidR="008C1C30" w:rsidRPr="00F24C91">
        <w:t>publikācijas varētu būt uztvēris žurnālists [5.3].</w:t>
      </w:r>
    </w:p>
    <w:p w14:paraId="5399529C" w14:textId="4810CAF5" w:rsidR="00AC7F2B" w:rsidRPr="00F24C91" w:rsidRDefault="00D97D12" w:rsidP="004F423C">
      <w:pPr>
        <w:shd w:val="clear" w:color="auto" w:fill="FFFFFF"/>
        <w:spacing w:line="276" w:lineRule="auto"/>
        <w:ind w:firstLine="567"/>
        <w:jc w:val="both"/>
      </w:pPr>
      <w:r w:rsidRPr="00F24C91">
        <w:t>[</w:t>
      </w:r>
      <w:r w:rsidR="0022477B" w:rsidRPr="00F24C91">
        <w:t>12</w:t>
      </w:r>
      <w:r w:rsidRPr="00F24C91">
        <w:t>.1]</w:t>
      </w:r>
      <w:r w:rsidR="0022477B" w:rsidRPr="00F24C91">
        <w:t> </w:t>
      </w:r>
      <w:r w:rsidR="0063786F" w:rsidRPr="00F24C91">
        <w:t>Senāts ir atzinis, ka t</w:t>
      </w:r>
      <w:r w:rsidR="00AC7F2B" w:rsidRPr="00F24C91">
        <w:t xml:space="preserve">as, vai strīdus izteikumi vērtējami kā ziņa vai viedoklis </w:t>
      </w:r>
      <w:proofErr w:type="gramStart"/>
      <w:r w:rsidR="00AC7F2B" w:rsidRPr="00F24C91">
        <w:t>un</w:t>
      </w:r>
      <w:proofErr w:type="gramEnd"/>
      <w:r w:rsidR="00AC7F2B" w:rsidRPr="00F24C91">
        <w:t xml:space="preserve"> vai tie ir godu un cieņu aizskaroši, ir juridiskās kvalifikācijas, proti Civillikuma 2352.</w:t>
      </w:r>
      <w:r w:rsidR="00AC7F2B" w:rsidRPr="00F24C91">
        <w:rPr>
          <w:vertAlign w:val="superscript"/>
        </w:rPr>
        <w:t>1</w:t>
      </w:r>
      <w:r w:rsidR="00AC7F2B" w:rsidRPr="00F24C91">
        <w:t xml:space="preserve"> panta piemērošanas, nevis valodas speciālista kompetences jautājums. Tiesību piemērošanas jomā tiesa īsteno tiesas spriešanas kompetenci, un atbilstoši </w:t>
      </w:r>
      <w:proofErr w:type="spellStart"/>
      <w:r w:rsidR="00AC7F2B" w:rsidRPr="00F24C91">
        <w:rPr>
          <w:i/>
          <w:iCs/>
        </w:rPr>
        <w:t>iura</w:t>
      </w:r>
      <w:proofErr w:type="spellEnd"/>
      <w:r w:rsidR="00AC7F2B" w:rsidRPr="00F24C91">
        <w:rPr>
          <w:i/>
          <w:iCs/>
        </w:rPr>
        <w:t xml:space="preserve"> </w:t>
      </w:r>
      <w:proofErr w:type="spellStart"/>
      <w:r w:rsidR="00AC7F2B" w:rsidRPr="00F24C91">
        <w:rPr>
          <w:i/>
          <w:iCs/>
        </w:rPr>
        <w:t>novit</w:t>
      </w:r>
      <w:proofErr w:type="spellEnd"/>
      <w:r w:rsidR="00AC7F2B" w:rsidRPr="00F24C91">
        <w:rPr>
          <w:i/>
          <w:iCs/>
        </w:rPr>
        <w:t xml:space="preserve"> </w:t>
      </w:r>
      <w:proofErr w:type="spellStart"/>
      <w:r w:rsidR="00AC7F2B" w:rsidRPr="00F24C91">
        <w:rPr>
          <w:i/>
          <w:iCs/>
        </w:rPr>
        <w:t>curia</w:t>
      </w:r>
      <w:proofErr w:type="spellEnd"/>
      <w:r w:rsidR="00AC7F2B" w:rsidRPr="00F24C91">
        <w:rPr>
          <w:i/>
          <w:iCs/>
        </w:rPr>
        <w:t xml:space="preserve"> </w:t>
      </w:r>
      <w:r w:rsidR="00AC7F2B" w:rsidRPr="00F24C91">
        <w:t>principam tiesu kā tiesību lietpratēju nevar saistīt lingvistikas speciālista viedoklis izteikumu kvalificēšanā un juridisko seku noteikšanā. Lingvistikas speciālista izziņa, ciktāl tā saistīta ar izteikumu juridisko kvalifikāciju, nav atzīstama par pierādījumu Civilprocesa likuma 92. panta izpratnē, jo tajā netiek sniegtas speciālista kompetencē esošas ziņas par faktiem</w:t>
      </w:r>
      <w:r w:rsidR="00A1484E" w:rsidRPr="00F24C91">
        <w:t xml:space="preserve"> </w:t>
      </w:r>
      <w:proofErr w:type="gramStart"/>
      <w:r w:rsidR="00A1484E" w:rsidRPr="00F24C91">
        <w:t>(</w:t>
      </w:r>
      <w:proofErr w:type="gramEnd"/>
      <w:r w:rsidR="00A1484E" w:rsidRPr="00F24C91">
        <w:t xml:space="preserve">sk. </w:t>
      </w:r>
      <w:r w:rsidR="00A1484E" w:rsidRPr="00F24C91">
        <w:rPr>
          <w:i/>
          <w:iCs/>
        </w:rPr>
        <w:t>Senāta 2021. gada 4. augusta sprieduma lietā Nr. SKC</w:t>
      </w:r>
      <w:r w:rsidR="00A1484E" w:rsidRPr="00F24C91">
        <w:rPr>
          <w:i/>
          <w:iCs/>
        </w:rPr>
        <w:noBreakHyphen/>
        <w:t xml:space="preserve">75/2021, </w:t>
      </w:r>
      <w:hyperlink r:id="rId25" w:history="1">
        <w:r w:rsidR="00A1484E" w:rsidRPr="00F24C91">
          <w:rPr>
            <w:rStyle w:val="Hyperlink"/>
            <w:i/>
            <w:iCs/>
          </w:rPr>
          <w:t>ECLI:LV:AT:2021:0804.C29239318.10.S</w:t>
        </w:r>
      </w:hyperlink>
      <w:r w:rsidR="00A1484E" w:rsidRPr="00F24C91">
        <w:rPr>
          <w:i/>
          <w:iCs/>
        </w:rPr>
        <w:t>, 10. punktu</w:t>
      </w:r>
      <w:r w:rsidR="00A1484E" w:rsidRPr="00F24C91">
        <w:t>).</w:t>
      </w:r>
    </w:p>
    <w:p w14:paraId="39D9CB19" w14:textId="52CA6F17" w:rsidR="00391776" w:rsidRPr="00F24C91" w:rsidRDefault="00391776" w:rsidP="004F423C">
      <w:pPr>
        <w:shd w:val="clear" w:color="auto" w:fill="FFFFFF"/>
        <w:spacing w:line="276" w:lineRule="auto"/>
        <w:ind w:firstLine="567"/>
        <w:jc w:val="both"/>
      </w:pPr>
      <w:r w:rsidRPr="00F24C91">
        <w:t>No minētās Senāta judikatūras izriet, ka rakstu sērijā ietverto izteikumu saistīšana ar Civillikuma 2352.</w:t>
      </w:r>
      <w:r w:rsidRPr="00F24C91">
        <w:rPr>
          <w:vertAlign w:val="superscript"/>
        </w:rPr>
        <w:t>1</w:t>
      </w:r>
      <w:r w:rsidRPr="00F24C91">
        <w:t> panta tiesiskā sastāva pazīmēm ir</w:t>
      </w:r>
      <w:r w:rsidR="00570A3C" w:rsidRPr="00F24C91">
        <w:t xml:space="preserve"> nevis pierādīšanas, bet gan</w:t>
      </w:r>
      <w:r w:rsidRPr="00F24C91">
        <w:t xml:space="preserve"> tiesas kompetences jautājums</w:t>
      </w:r>
      <w:r w:rsidR="00570A3C" w:rsidRPr="00F24C91">
        <w:t xml:space="preserve">. </w:t>
      </w:r>
      <w:r w:rsidR="00172BE3" w:rsidRPr="00F24C91">
        <w:t xml:space="preserve">Tādējādi arī tas, vai lasītājs strīdus publikācijas varēja uztvert tā, ka prasītāja </w:t>
      </w:r>
      <w:r w:rsidR="007639CE" w:rsidRPr="00F24C91">
        <w:t xml:space="preserve">kā tiesnese </w:t>
      </w:r>
      <w:r w:rsidR="00172BE3" w:rsidRPr="00F24C91">
        <w:t>ir pieļāvusi likumpārkāpumus maksātnespējas procesos un bijusi korumpēta, ir juridiskās kvalifikācijas, nevis valodnieka ekspertīzes jautājums.</w:t>
      </w:r>
    </w:p>
    <w:p w14:paraId="174253C0" w14:textId="3C89EAF4" w:rsidR="00D20E69" w:rsidRPr="00F24C91" w:rsidRDefault="00FE2E29" w:rsidP="004F423C">
      <w:pPr>
        <w:shd w:val="clear" w:color="auto" w:fill="FFFFFF"/>
        <w:spacing w:line="276" w:lineRule="auto"/>
        <w:ind w:firstLine="567"/>
        <w:jc w:val="both"/>
      </w:pPr>
      <w:r w:rsidRPr="00F24C91">
        <w:t>[</w:t>
      </w:r>
      <w:r w:rsidR="000A6BB2" w:rsidRPr="00F24C91">
        <w:t>12</w:t>
      </w:r>
      <w:r w:rsidR="00D97D12" w:rsidRPr="00F24C91">
        <w:t>.2</w:t>
      </w:r>
      <w:r w:rsidRPr="00F24C91">
        <w:t xml:space="preserve">] </w:t>
      </w:r>
      <w:r w:rsidR="00E1048B" w:rsidRPr="00F24C91">
        <w:t>A</w:t>
      </w:r>
      <w:r w:rsidR="00B66785" w:rsidRPr="00F24C91">
        <w:t xml:space="preserve">bu instanču tiesa </w:t>
      </w:r>
      <w:r w:rsidR="00D20E69" w:rsidRPr="00F24C91">
        <w:t xml:space="preserve">vērtējusi, kā rakstu sēriju varētu uztvert </w:t>
      </w:r>
      <w:r w:rsidRPr="00F24C91">
        <w:t>neitrāl</w:t>
      </w:r>
      <w:r w:rsidR="00D20E69" w:rsidRPr="00F24C91">
        <w:t>s</w:t>
      </w:r>
      <w:r w:rsidRPr="00F24C91">
        <w:t xml:space="preserve"> lasītāj</w:t>
      </w:r>
      <w:r w:rsidR="00D20E69" w:rsidRPr="00F24C91">
        <w:t>s</w:t>
      </w:r>
      <w:r w:rsidRPr="00F24C91">
        <w:t xml:space="preserve"> [3.4], [4.</w:t>
      </w:r>
      <w:r w:rsidR="00094671" w:rsidRPr="00F24C91">
        <w:t>5</w:t>
      </w:r>
      <w:r w:rsidRPr="00F24C91">
        <w:t xml:space="preserve">]. </w:t>
      </w:r>
    </w:p>
    <w:p w14:paraId="12B629D4" w14:textId="0744796B" w:rsidR="001A4FE7" w:rsidRPr="00F24C91" w:rsidRDefault="00FE2E29" w:rsidP="004F423C">
      <w:pPr>
        <w:shd w:val="clear" w:color="auto" w:fill="FFFFFF"/>
        <w:spacing w:line="276" w:lineRule="auto"/>
        <w:ind w:firstLine="567"/>
        <w:jc w:val="both"/>
      </w:pPr>
      <w:r w:rsidRPr="00F24C91">
        <w:lastRenderedPageBreak/>
        <w:t>Šāda pieeja atbilst Senāta judikatūrā nostiprinātajām atziņām.</w:t>
      </w:r>
      <w:r w:rsidR="00D20E69" w:rsidRPr="00F24C91">
        <w:t xml:space="preserve"> Proti, S</w:t>
      </w:r>
      <w:r w:rsidRPr="00F24C91">
        <w:t>enāts ir atzinis, ka, atklājot Civillikuma 2352.</w:t>
      </w:r>
      <w:r w:rsidRPr="00F24C91">
        <w:rPr>
          <w:vertAlign w:val="superscript"/>
        </w:rPr>
        <w:t>1</w:t>
      </w:r>
      <w:r w:rsidR="001A4FE7" w:rsidRPr="00F24C91">
        <w:t> </w:t>
      </w:r>
      <w:r w:rsidRPr="00F24C91">
        <w:t>panta saturu būtiska nozīme ir ta</w:t>
      </w:r>
      <w:r w:rsidR="00E14522" w:rsidRPr="00F24C91">
        <w:t>m</w:t>
      </w:r>
      <w:r w:rsidRPr="00F24C91">
        <w:t xml:space="preserve">, kādu nozīmi </w:t>
      </w:r>
      <w:r w:rsidR="00450776" w:rsidRPr="00F24C91">
        <w:t xml:space="preserve">attiecīgajam </w:t>
      </w:r>
      <w:r w:rsidRPr="00F24C91">
        <w:t xml:space="preserve">izteikumam </w:t>
      </w:r>
      <w:r w:rsidR="00450776" w:rsidRPr="00F24C91">
        <w:t xml:space="preserve">vai publikācijai </w:t>
      </w:r>
      <w:r w:rsidRPr="00F24C91">
        <w:t xml:space="preserve">varētu piešķirt neitrāla persona </w:t>
      </w:r>
      <w:proofErr w:type="gramStart"/>
      <w:r w:rsidRPr="00F24C91">
        <w:t>(</w:t>
      </w:r>
      <w:proofErr w:type="gramEnd"/>
      <w:r w:rsidRPr="00F24C91">
        <w:t xml:space="preserve">sk. </w:t>
      </w:r>
      <w:r w:rsidR="002141EB" w:rsidRPr="00F24C91">
        <w:rPr>
          <w:i/>
          <w:iCs/>
        </w:rPr>
        <w:t>Senāta 2015. gada 24. septembra spriedum</w:t>
      </w:r>
      <w:r w:rsidR="00F70ADB" w:rsidRPr="00F24C91">
        <w:rPr>
          <w:i/>
          <w:iCs/>
        </w:rPr>
        <w:t>a</w:t>
      </w:r>
      <w:r w:rsidR="002141EB" w:rsidRPr="00F24C91">
        <w:rPr>
          <w:i/>
          <w:iCs/>
        </w:rPr>
        <w:t xml:space="preserve"> lietā Nr. SKC</w:t>
      </w:r>
      <w:r w:rsidR="002141EB" w:rsidRPr="00F24C91">
        <w:rPr>
          <w:i/>
          <w:iCs/>
        </w:rPr>
        <w:noBreakHyphen/>
        <w:t>204/2015</w:t>
      </w:r>
      <w:r w:rsidR="00E14522" w:rsidRPr="00F24C91">
        <w:rPr>
          <w:i/>
          <w:iCs/>
        </w:rPr>
        <w:t xml:space="preserve">, </w:t>
      </w:r>
      <w:hyperlink r:id="rId26" w:history="1">
        <w:r w:rsidR="002141EB" w:rsidRPr="00F24C91">
          <w:rPr>
            <w:rStyle w:val="Hyperlink"/>
            <w:i/>
            <w:iCs/>
          </w:rPr>
          <w:t>C31370910</w:t>
        </w:r>
      </w:hyperlink>
      <w:r w:rsidR="002141EB" w:rsidRPr="00F24C91">
        <w:rPr>
          <w:i/>
          <w:iCs/>
        </w:rPr>
        <w:t>, 7.3. punktu,</w:t>
      </w:r>
      <w:r w:rsidR="002141EB" w:rsidRPr="00F24C91">
        <w:t xml:space="preserve"> </w:t>
      </w:r>
      <w:r w:rsidR="002141EB" w:rsidRPr="00F24C91">
        <w:rPr>
          <w:i/>
          <w:iCs/>
        </w:rPr>
        <w:t>2018. gada 28. februāra spriedum</w:t>
      </w:r>
      <w:r w:rsidR="00F70ADB" w:rsidRPr="00F24C91">
        <w:rPr>
          <w:i/>
          <w:iCs/>
        </w:rPr>
        <w:t>a</w:t>
      </w:r>
      <w:r w:rsidR="002141EB" w:rsidRPr="00F24C91">
        <w:rPr>
          <w:i/>
          <w:iCs/>
        </w:rPr>
        <w:t xml:space="preserve"> lietā Nr. SKC</w:t>
      </w:r>
      <w:r w:rsidR="002141EB" w:rsidRPr="00F24C91">
        <w:rPr>
          <w:i/>
          <w:iCs/>
        </w:rPr>
        <w:noBreakHyphen/>
        <w:t>68/2018</w:t>
      </w:r>
      <w:r w:rsidR="00E14522" w:rsidRPr="00F24C91">
        <w:rPr>
          <w:i/>
          <w:iCs/>
        </w:rPr>
        <w:t xml:space="preserve">, </w:t>
      </w:r>
      <w:hyperlink r:id="rId27" w:history="1">
        <w:r w:rsidR="002141EB" w:rsidRPr="00F24C91">
          <w:rPr>
            <w:rStyle w:val="Hyperlink"/>
            <w:i/>
            <w:iCs/>
          </w:rPr>
          <w:t>ECLI:LV:AT:2018:0228.C31370910.1.S</w:t>
        </w:r>
      </w:hyperlink>
      <w:r w:rsidRPr="00F24C91">
        <w:rPr>
          <w:i/>
          <w:iCs/>
        </w:rPr>
        <w:t>, 9.</w:t>
      </w:r>
      <w:r w:rsidR="002141EB" w:rsidRPr="00F24C91">
        <w:rPr>
          <w:i/>
          <w:iCs/>
        </w:rPr>
        <w:t> </w:t>
      </w:r>
      <w:r w:rsidRPr="00F24C91">
        <w:rPr>
          <w:i/>
          <w:iCs/>
        </w:rPr>
        <w:t>punktu</w:t>
      </w:r>
      <w:r w:rsidRPr="00F24C91">
        <w:t>)</w:t>
      </w:r>
      <w:r w:rsidR="00477FEB" w:rsidRPr="00F24C91">
        <w:t>,</w:t>
      </w:r>
      <w:r w:rsidR="002141EB" w:rsidRPr="00F24C91">
        <w:t xml:space="preserve"> neitrāls lasītājs (</w:t>
      </w:r>
      <w:r w:rsidR="00E14522" w:rsidRPr="00F24C91">
        <w:t xml:space="preserve">sk. </w:t>
      </w:r>
      <w:r w:rsidR="00F70ADB" w:rsidRPr="00F24C91">
        <w:rPr>
          <w:i/>
          <w:iCs/>
        </w:rPr>
        <w:t>Senāta</w:t>
      </w:r>
      <w:r w:rsidR="00F70ADB" w:rsidRPr="00F24C91">
        <w:t xml:space="preserve"> </w:t>
      </w:r>
      <w:r w:rsidR="002141EB" w:rsidRPr="00F24C91">
        <w:rPr>
          <w:bCs/>
          <w:i/>
          <w:iCs/>
        </w:rPr>
        <w:t>2017. gada 21. februāra spriedum</w:t>
      </w:r>
      <w:r w:rsidR="00F70ADB" w:rsidRPr="00F24C91">
        <w:rPr>
          <w:bCs/>
          <w:i/>
          <w:iCs/>
        </w:rPr>
        <w:t>a</w:t>
      </w:r>
      <w:r w:rsidR="002141EB" w:rsidRPr="00F24C91">
        <w:rPr>
          <w:bCs/>
          <w:i/>
          <w:iCs/>
        </w:rPr>
        <w:t xml:space="preserve"> lietā Nr. SKC</w:t>
      </w:r>
      <w:r w:rsidR="002141EB" w:rsidRPr="00F24C91">
        <w:rPr>
          <w:bCs/>
          <w:i/>
          <w:iCs/>
        </w:rPr>
        <w:noBreakHyphen/>
        <w:t xml:space="preserve">26/2017, </w:t>
      </w:r>
      <w:hyperlink r:id="rId28" w:history="1">
        <w:r w:rsidR="002141EB" w:rsidRPr="00F24C91">
          <w:rPr>
            <w:rStyle w:val="Hyperlink"/>
            <w:bCs/>
            <w:i/>
            <w:iCs/>
          </w:rPr>
          <w:t>C30706512</w:t>
        </w:r>
      </w:hyperlink>
      <w:r w:rsidR="002141EB" w:rsidRPr="00F24C91">
        <w:rPr>
          <w:bCs/>
          <w:i/>
          <w:iCs/>
        </w:rPr>
        <w:t xml:space="preserve">, </w:t>
      </w:r>
      <w:r w:rsidR="00E14522" w:rsidRPr="00F24C91">
        <w:rPr>
          <w:bCs/>
          <w:i/>
          <w:iCs/>
        </w:rPr>
        <w:t>7. punktu</w:t>
      </w:r>
      <w:r w:rsidR="002141EB" w:rsidRPr="00F24C91">
        <w:rPr>
          <w:bCs/>
        </w:rPr>
        <w:t>)</w:t>
      </w:r>
      <w:r w:rsidR="0087150C" w:rsidRPr="00F24C91">
        <w:rPr>
          <w:bCs/>
        </w:rPr>
        <w:t xml:space="preserve">, vidusmēra lasītājs (sk. </w:t>
      </w:r>
      <w:r w:rsidR="0087150C" w:rsidRPr="00F24C91">
        <w:rPr>
          <w:i/>
          <w:iCs/>
        </w:rPr>
        <w:t>Senāta 2012. gada 12. septembra spriedum</w:t>
      </w:r>
      <w:r w:rsidR="00F70ADB" w:rsidRPr="00F24C91">
        <w:rPr>
          <w:i/>
          <w:iCs/>
        </w:rPr>
        <w:t>a</w:t>
      </w:r>
      <w:r w:rsidR="0087150C" w:rsidRPr="00F24C91">
        <w:rPr>
          <w:i/>
          <w:iCs/>
        </w:rPr>
        <w:t xml:space="preserve"> lietā Nr. SKC</w:t>
      </w:r>
      <w:r w:rsidR="0087150C" w:rsidRPr="00F24C91">
        <w:rPr>
          <w:i/>
          <w:iCs/>
        </w:rPr>
        <w:noBreakHyphen/>
        <w:t xml:space="preserve">482/2012, </w:t>
      </w:r>
      <w:hyperlink r:id="rId29" w:history="1">
        <w:r w:rsidR="0087150C" w:rsidRPr="00F24C91">
          <w:rPr>
            <w:rStyle w:val="Hyperlink"/>
            <w:i/>
            <w:iCs/>
          </w:rPr>
          <w:t>C04235008</w:t>
        </w:r>
      </w:hyperlink>
      <w:r w:rsidR="0087150C" w:rsidRPr="00F24C91">
        <w:rPr>
          <w:i/>
          <w:iCs/>
        </w:rPr>
        <w:t>, 9.3. punktu</w:t>
      </w:r>
      <w:r w:rsidR="0087150C" w:rsidRPr="00F24C91">
        <w:rPr>
          <w:bCs/>
        </w:rPr>
        <w:t xml:space="preserve">) vai </w:t>
      </w:r>
      <w:r w:rsidR="0087150C" w:rsidRPr="00F24C91">
        <w:t xml:space="preserve">vidusmēra mūsdienu lasītājs (sk. </w:t>
      </w:r>
      <w:r w:rsidR="0087150C" w:rsidRPr="00F24C91">
        <w:rPr>
          <w:i/>
          <w:iCs/>
        </w:rPr>
        <w:t>Senāta 2017. gada 20. oktobra sprieduma lietā SKC</w:t>
      </w:r>
      <w:r w:rsidR="0087150C" w:rsidRPr="00F24C91">
        <w:rPr>
          <w:i/>
          <w:iCs/>
        </w:rPr>
        <w:noBreakHyphen/>
        <w:t>233/2017</w:t>
      </w:r>
      <w:r w:rsidR="00F70ADB" w:rsidRPr="00F24C91">
        <w:rPr>
          <w:i/>
          <w:iCs/>
        </w:rPr>
        <w:t>,</w:t>
      </w:r>
      <w:r w:rsidR="0087150C" w:rsidRPr="00F24C91">
        <w:rPr>
          <w:i/>
          <w:iCs/>
        </w:rPr>
        <w:t xml:space="preserve"> </w:t>
      </w:r>
      <w:hyperlink r:id="rId30" w:history="1">
        <w:r w:rsidR="0087150C" w:rsidRPr="00F24C91">
          <w:rPr>
            <w:rStyle w:val="Hyperlink"/>
            <w:i/>
            <w:iCs/>
          </w:rPr>
          <w:t>ECLI:LV:AT:2017:1020.C27151112.2.S</w:t>
        </w:r>
      </w:hyperlink>
      <w:r w:rsidR="0087150C" w:rsidRPr="00F24C91">
        <w:rPr>
          <w:i/>
          <w:iCs/>
        </w:rPr>
        <w:t>, 7.5. punkt</w:t>
      </w:r>
      <w:r w:rsidR="001A4FE7" w:rsidRPr="00F24C91">
        <w:rPr>
          <w:i/>
          <w:iCs/>
        </w:rPr>
        <w:t xml:space="preserve">u, </w:t>
      </w:r>
      <w:r w:rsidR="0087150C" w:rsidRPr="00F24C91">
        <w:rPr>
          <w:i/>
          <w:iCs/>
        </w:rPr>
        <w:t>2017. gada 22. decembra sprieduma lietā SKC</w:t>
      </w:r>
      <w:r w:rsidR="0087150C" w:rsidRPr="00F24C91">
        <w:rPr>
          <w:i/>
          <w:iCs/>
        </w:rPr>
        <w:noBreakHyphen/>
        <w:t>25/2017</w:t>
      </w:r>
      <w:r w:rsidR="00F70ADB" w:rsidRPr="00F24C91">
        <w:rPr>
          <w:i/>
          <w:iCs/>
        </w:rPr>
        <w:t xml:space="preserve">, </w:t>
      </w:r>
      <w:hyperlink r:id="rId31" w:history="1">
        <w:r w:rsidR="0087150C" w:rsidRPr="00F24C91">
          <w:rPr>
            <w:rStyle w:val="Hyperlink"/>
            <w:i/>
            <w:iCs/>
          </w:rPr>
          <w:t>ECLI:LV:AT:2017:1222.C31477710.1.S</w:t>
        </w:r>
      </w:hyperlink>
      <w:r w:rsidR="0087150C" w:rsidRPr="00F24C91">
        <w:rPr>
          <w:i/>
          <w:iCs/>
        </w:rPr>
        <w:t>, 6.2. punktu</w:t>
      </w:r>
      <w:r w:rsidR="0087150C" w:rsidRPr="00F24C91">
        <w:t>).</w:t>
      </w:r>
      <w:r w:rsidR="001A4FE7" w:rsidRPr="00F24C91">
        <w:t xml:space="preserve"> </w:t>
      </w:r>
    </w:p>
    <w:p w14:paraId="3F7B1B9F" w14:textId="6B7580BC" w:rsidR="00716302" w:rsidRPr="00F24C91" w:rsidRDefault="001D499F" w:rsidP="004F423C">
      <w:pPr>
        <w:shd w:val="clear" w:color="auto" w:fill="FFFFFF"/>
        <w:spacing w:line="276" w:lineRule="auto"/>
        <w:ind w:firstLine="567"/>
        <w:jc w:val="both"/>
      </w:pPr>
      <w:r w:rsidRPr="00F24C91">
        <w:t>No minētā</w:t>
      </w:r>
      <w:r w:rsidR="00CD34CE" w:rsidRPr="00F24C91">
        <w:t xml:space="preserve"> izriet</w:t>
      </w:r>
      <w:r w:rsidR="002E3FD4" w:rsidRPr="00F24C91">
        <w:t>,</w:t>
      </w:r>
      <w:r w:rsidR="00CD34CE" w:rsidRPr="00F24C91">
        <w:t xml:space="preserve"> ka,</w:t>
      </w:r>
      <w:r w:rsidR="002E3FD4" w:rsidRPr="00F24C91">
        <w:t xml:space="preserve"> </w:t>
      </w:r>
      <w:r w:rsidR="00CD34CE" w:rsidRPr="00F24C91">
        <w:t>lemjot, vai konkrētā publikācija ir prasītāja godu un cieņu aizskaroša, tiesai ir jāapsver</w:t>
      </w:r>
      <w:r w:rsidR="002E3FD4" w:rsidRPr="00F24C91">
        <w:t>, kā</w:t>
      </w:r>
      <w:r w:rsidR="003A2619" w:rsidRPr="00F24C91">
        <w:t xml:space="preserve"> </w:t>
      </w:r>
      <w:r w:rsidR="00CD34CE" w:rsidRPr="00F24C91">
        <w:t>to</w:t>
      </w:r>
      <w:r w:rsidR="003A2619" w:rsidRPr="00F24C91">
        <w:t xml:space="preserve"> uztvertu</w:t>
      </w:r>
      <w:r w:rsidR="000825B8" w:rsidRPr="00F24C91">
        <w:t xml:space="preserve"> </w:t>
      </w:r>
      <w:r w:rsidR="00CD34CE" w:rsidRPr="00F24C91">
        <w:t>n</w:t>
      </w:r>
      <w:r w:rsidR="00477FEB" w:rsidRPr="00F24C91">
        <w:t xml:space="preserve">eitrāla persona, neitrāls lasītājs, vidusmēra lasītājs vai vidusmēra mūsdienu lasītājs </w:t>
      </w:r>
      <w:r w:rsidR="000825B8" w:rsidRPr="00F24C91">
        <w:t>– vai šāds lasītājs publikācijā minētos izteikumus uztvertu tā, kā norādī</w:t>
      </w:r>
      <w:r w:rsidR="00A3666C" w:rsidRPr="00F24C91">
        <w:t>ts prasības pieteikumā</w:t>
      </w:r>
      <w:r w:rsidR="000825B8" w:rsidRPr="00F24C91">
        <w:t>, vai arī citādi.</w:t>
      </w:r>
      <w:r w:rsidR="00CD34CE" w:rsidRPr="00F24C91">
        <w:t xml:space="preserve"> Konkrētajā gadījumā</w:t>
      </w:r>
      <w:r w:rsidR="00E00557" w:rsidRPr="00F24C91">
        <w:t>, veicot vispusīgu rakstu sērijas novērtējumu,</w:t>
      </w:r>
      <w:r w:rsidR="00CD34CE" w:rsidRPr="00F24C91">
        <w:t xml:space="preserve"> tiesa atzina, ka </w:t>
      </w:r>
      <w:r w:rsidR="00E00557" w:rsidRPr="00F24C91">
        <w:t xml:space="preserve">nav pamata prasības pieteikumā izvirzītajam apgalvojumam, ka tā neitrālam lasītājam rada priekšstatu, ka prasītāja ir </w:t>
      </w:r>
      <w:r w:rsidR="00CD34CE" w:rsidRPr="00F24C91">
        <w:t>korumpēta, pavirša un nekompetenta</w:t>
      </w:r>
      <w:r w:rsidR="00E00557" w:rsidRPr="00F24C91">
        <w:t xml:space="preserve"> tiesnese. </w:t>
      </w:r>
      <w:r w:rsidRPr="00F24C91">
        <w:t xml:space="preserve">Iepriekš minētā judikatūra par ziņu un viedokļa nošķīrumu kā juridiskās kvalifikācijas, nevis ekspertīzes jautājumu </w:t>
      </w:r>
      <w:r w:rsidR="00E00557" w:rsidRPr="00F24C91">
        <w:t>[</w:t>
      </w:r>
      <w:r w:rsidR="000A6BB2" w:rsidRPr="00F24C91">
        <w:t>12</w:t>
      </w:r>
      <w:r w:rsidR="00E00557" w:rsidRPr="00F24C91">
        <w:t xml:space="preserve">.1] </w:t>
      </w:r>
      <w:r w:rsidRPr="00F24C91">
        <w:t>vienlīdz attiecas uz tiesas vērtējumu, kā publikāciju vērtētu neitrāls lasītājs.</w:t>
      </w:r>
    </w:p>
    <w:p w14:paraId="0FDB4049" w14:textId="38304E29" w:rsidR="0022477B" w:rsidRPr="00F24C91" w:rsidRDefault="0022477B" w:rsidP="004F423C">
      <w:pPr>
        <w:shd w:val="clear" w:color="auto" w:fill="FFFFFF"/>
        <w:spacing w:line="276" w:lineRule="auto"/>
        <w:ind w:firstLine="567"/>
        <w:jc w:val="both"/>
      </w:pPr>
      <w:r w:rsidRPr="00F24C91">
        <w:t>Tādējādi secināms, ka nav pamatoti kasācijas sūdzībā izteiktie pārmetumi par pierādījumu novērtēšanas pārkāpumu, tiesai pienācīgi nenovērtējot valodnieces atzinumu</w:t>
      </w:r>
      <w:r w:rsidR="00BC5D65" w:rsidRPr="00F24C91">
        <w:t>,</w:t>
      </w:r>
      <w:r w:rsidRPr="00F24C91">
        <w:t xml:space="preserve"> un to, kā publikācijas varētu būt uztvēris žurnālists.</w:t>
      </w:r>
    </w:p>
    <w:p w14:paraId="442FE1DA" w14:textId="77777777" w:rsidR="002E3FD4" w:rsidRPr="00F24C91" w:rsidRDefault="002E3FD4" w:rsidP="004F423C">
      <w:pPr>
        <w:shd w:val="clear" w:color="auto" w:fill="FFFFFF"/>
        <w:spacing w:line="276" w:lineRule="auto"/>
        <w:ind w:firstLine="567"/>
        <w:jc w:val="both"/>
      </w:pPr>
    </w:p>
    <w:p w14:paraId="43B052ED" w14:textId="2E8A8E13" w:rsidR="00B1595B" w:rsidRPr="00F24C91" w:rsidRDefault="00B1595B" w:rsidP="004F423C">
      <w:pPr>
        <w:shd w:val="clear" w:color="auto" w:fill="FFFFFF"/>
        <w:spacing w:line="276" w:lineRule="auto"/>
        <w:ind w:firstLine="567"/>
        <w:jc w:val="both"/>
        <w:rPr>
          <w:i/>
        </w:rPr>
      </w:pPr>
      <w:r w:rsidRPr="00F24C91">
        <w:rPr>
          <w:i/>
        </w:rPr>
        <w:t>Par tiesnešu pieļaujamās kritikas robežām</w:t>
      </w:r>
    </w:p>
    <w:p w14:paraId="46739D6D" w14:textId="025C91E0" w:rsidR="00E44D6C" w:rsidRPr="00F24C91" w:rsidRDefault="00716302" w:rsidP="004F423C">
      <w:pPr>
        <w:shd w:val="clear" w:color="auto" w:fill="FFFFFF"/>
        <w:spacing w:line="276" w:lineRule="auto"/>
        <w:ind w:firstLine="567"/>
        <w:jc w:val="both"/>
      </w:pPr>
      <w:r w:rsidRPr="00F24C91">
        <w:t>[</w:t>
      </w:r>
      <w:r w:rsidR="000A6BB2" w:rsidRPr="00F24C91">
        <w:t>13</w:t>
      </w:r>
      <w:r w:rsidRPr="00F24C91">
        <w:t>]</w:t>
      </w:r>
      <w:r w:rsidR="000A6BB2" w:rsidRPr="00F24C91">
        <w:t> </w:t>
      </w:r>
      <w:r w:rsidR="00EB26DD" w:rsidRPr="00F24C91">
        <w:t>A</w:t>
      </w:r>
      <w:r w:rsidR="00DB1F84" w:rsidRPr="00F24C91">
        <w:t>pelācijas instances tiesa</w:t>
      </w:r>
      <w:r w:rsidR="00EB26DD" w:rsidRPr="00F24C91">
        <w:t xml:space="preserve"> pamatoti</w:t>
      </w:r>
      <w:r w:rsidR="00DB1F84" w:rsidRPr="00F24C91">
        <w:t xml:space="preserve"> </w:t>
      </w:r>
      <w:r w:rsidR="00641F88" w:rsidRPr="00F24C91">
        <w:t>norādījusi uz tiesnešu</w:t>
      </w:r>
      <w:r w:rsidR="00EB26DD" w:rsidRPr="00F24C91">
        <w:t xml:space="preserve"> </w:t>
      </w:r>
      <w:r w:rsidR="00D5674E" w:rsidRPr="00F24C91">
        <w:t>pieļaujamās kritikas robež</w:t>
      </w:r>
      <w:r w:rsidR="003A2619" w:rsidRPr="00F24C91">
        <w:t>ām</w:t>
      </w:r>
      <w:r w:rsidR="00D5674E" w:rsidRPr="00F24C91">
        <w:t xml:space="preserve"> </w:t>
      </w:r>
      <w:r w:rsidR="00641F88" w:rsidRPr="00F24C91">
        <w:t>un to, ka</w:t>
      </w:r>
      <w:r w:rsidR="00EB26DD" w:rsidRPr="00F24C91">
        <w:t xml:space="preserve"> tiesneši ir jāaizsargā pret destruktīviem uzbrukumiem</w:t>
      </w:r>
      <w:r w:rsidR="00641F88" w:rsidRPr="00F24C91">
        <w:t xml:space="preserve"> [4.6]. Tomēr Senāts nepiekrīt tiesas secinājumam, ka konkrētajā situācijā</w:t>
      </w:r>
      <w:r w:rsidR="00790CDE" w:rsidRPr="00F24C91">
        <w:t xml:space="preserve"> aizsardzību pret destruktīviem uzbrukumiem</w:t>
      </w:r>
      <w:r w:rsidR="00817117" w:rsidRPr="00F24C91">
        <w:t xml:space="preserve"> prasītājai nodrošināja</w:t>
      </w:r>
      <w:r w:rsidR="00641F88" w:rsidRPr="00F24C91">
        <w:t xml:space="preserve"> </w:t>
      </w:r>
      <w:r w:rsidR="00817117" w:rsidRPr="00F24C91">
        <w:t>iespēja</w:t>
      </w:r>
      <w:r w:rsidR="00641F88" w:rsidRPr="00F24C91">
        <w:t xml:space="preserve"> piedalīties </w:t>
      </w:r>
      <w:r w:rsidR="00F91193" w:rsidRPr="00F24C91">
        <w:t xml:space="preserve">televīzijas </w:t>
      </w:r>
      <w:r w:rsidR="00641F88" w:rsidRPr="00F24C91">
        <w:t xml:space="preserve">raidījumā </w:t>
      </w:r>
      <w:r w:rsidR="00F65CEE" w:rsidRPr="00F24C91">
        <w:t>[..]</w:t>
      </w:r>
      <w:r w:rsidR="00D5674E" w:rsidRPr="00F24C91">
        <w:t>.</w:t>
      </w:r>
      <w:r w:rsidR="007B2BFF" w:rsidRPr="00F24C91">
        <w:t xml:space="preserve"> </w:t>
      </w:r>
    </w:p>
    <w:p w14:paraId="47D31C18" w14:textId="5FF7947C" w:rsidR="00716302" w:rsidRPr="00F24C91" w:rsidRDefault="00FF4459" w:rsidP="004F423C">
      <w:pPr>
        <w:shd w:val="clear" w:color="auto" w:fill="FFFFFF"/>
        <w:spacing w:line="276" w:lineRule="auto"/>
        <w:ind w:firstLine="567"/>
        <w:jc w:val="both"/>
      </w:pPr>
      <w:r w:rsidRPr="00F24C91">
        <w:t>[</w:t>
      </w:r>
      <w:r w:rsidR="000A6BB2" w:rsidRPr="00F24C91">
        <w:t>13</w:t>
      </w:r>
      <w:r w:rsidRPr="00F24C91">
        <w:t>.1]</w:t>
      </w:r>
      <w:r w:rsidR="000A6BB2" w:rsidRPr="00F24C91">
        <w:t> </w:t>
      </w:r>
      <w:r w:rsidR="00DB1F84" w:rsidRPr="00F24C91">
        <w:t>Eiropas Cilvēktiesību tiesa</w:t>
      </w:r>
      <w:r w:rsidR="00007D5B" w:rsidRPr="00F24C91">
        <w:t xml:space="preserve"> </w:t>
      </w:r>
      <w:r w:rsidR="00DB1F84" w:rsidRPr="00F24C91">
        <w:t>attiecībā uz tiesnešiem ir atzinusi plašāku kritikas robežu pastāvēšanu nekā attiecībā uz vidusmēra</w:t>
      </w:r>
      <w:r w:rsidR="00007D5B" w:rsidRPr="00F24C91">
        <w:t xml:space="preserve"> </w:t>
      </w:r>
      <w:r w:rsidR="00DB1F84" w:rsidRPr="00F24C91">
        <w:t xml:space="preserve">sabiedrības locekļiem, </w:t>
      </w:r>
      <w:r w:rsidR="007B2BFF" w:rsidRPr="00F24C91">
        <w:t xml:space="preserve">taču </w:t>
      </w:r>
      <w:r w:rsidR="00DB1F84" w:rsidRPr="00F24C91">
        <w:t>tā vienlaikus uzsvērusi, ka tiesai kā tiesiskas valsts pamatvērtības –</w:t>
      </w:r>
      <w:r w:rsidR="00007D5B" w:rsidRPr="00F24C91">
        <w:t xml:space="preserve"> </w:t>
      </w:r>
      <w:r w:rsidR="00DB1F84" w:rsidRPr="00F24C91">
        <w:t>taisnīguma – nodrošinātājai ir jābauda sabiedrības uzticība, ja tā vēlas veiksmīgi pildīt savus</w:t>
      </w:r>
      <w:r w:rsidR="00007D5B" w:rsidRPr="00F24C91">
        <w:t xml:space="preserve"> </w:t>
      </w:r>
      <w:r w:rsidR="00DB1F84" w:rsidRPr="00F24C91">
        <w:t>pienākumus. Tādēļ var izrādīties, ka šī uzticība ir jāaizsargā pret nopietni kaitējošiem</w:t>
      </w:r>
      <w:r w:rsidR="00007D5B" w:rsidRPr="00F24C91">
        <w:t xml:space="preserve"> </w:t>
      </w:r>
      <w:r w:rsidR="00DB1F84" w:rsidRPr="00F24C91">
        <w:t>uzbrukumiem, kas ir pēc būtības nepamatoti, jo īpaši ņemot vērā, ka tiesnešiem, kuri tiek kritizēti,</w:t>
      </w:r>
      <w:r w:rsidR="00007D5B" w:rsidRPr="00F24C91">
        <w:t xml:space="preserve"> </w:t>
      </w:r>
      <w:r w:rsidR="00DB1F84" w:rsidRPr="00F24C91">
        <w:t>ir jāievēro diskrētums, tāpēc tiem ir liegta iespēja atbildēt</w:t>
      </w:r>
      <w:r w:rsidR="008A0C56" w:rsidRPr="00F24C91">
        <w:t xml:space="preserve">. </w:t>
      </w:r>
      <w:r w:rsidR="000F6A14" w:rsidRPr="00F24C91">
        <w:t>Izteikumi par</w:t>
      </w:r>
      <w:r w:rsidR="008A0C56" w:rsidRPr="00F24C91">
        <w:t xml:space="preserve"> tiesne</w:t>
      </w:r>
      <w:r w:rsidR="000F6A14" w:rsidRPr="00F24C91">
        <w:t>ša</w:t>
      </w:r>
      <w:r w:rsidR="008A0C56" w:rsidRPr="00F24C91">
        <w:t xml:space="preserve"> likum</w:t>
      </w:r>
      <w:r w:rsidR="000F6A14" w:rsidRPr="00F24C91">
        <w:t>pārkāpumu</w:t>
      </w:r>
      <w:r w:rsidR="008A0C56" w:rsidRPr="00F24C91">
        <w:t xml:space="preserve"> vai profesionāl</w:t>
      </w:r>
      <w:r w:rsidR="000F6A14" w:rsidRPr="00F24C91">
        <w:t>o pienākumu neievērošanu</w:t>
      </w:r>
      <w:r w:rsidR="008A0C56" w:rsidRPr="00F24C91">
        <w:t xml:space="preserve"> var ne tikai kaitēt tiesneša reputācijai, bet arī apdraudēt sabiedrības uzticību tiesai kopumā </w:t>
      </w:r>
      <w:proofErr w:type="gramStart"/>
      <w:r w:rsidR="00DB1F84" w:rsidRPr="00F24C91">
        <w:t>(</w:t>
      </w:r>
      <w:proofErr w:type="gramEnd"/>
      <w:r w:rsidR="00007D5B" w:rsidRPr="00F24C91">
        <w:t xml:space="preserve">sk. </w:t>
      </w:r>
      <w:r w:rsidR="00007D5B" w:rsidRPr="00F24C91">
        <w:rPr>
          <w:i/>
          <w:iCs/>
        </w:rPr>
        <w:t>Senāta 2020. gada 25. novembra sprieduma lietā Nr. SKC</w:t>
      </w:r>
      <w:r w:rsidR="00007D5B" w:rsidRPr="00F24C91">
        <w:rPr>
          <w:i/>
          <w:iCs/>
        </w:rPr>
        <w:noBreakHyphen/>
        <w:t xml:space="preserve">41/2020, </w:t>
      </w:r>
      <w:hyperlink r:id="rId32" w:history="1">
        <w:r w:rsidR="00007D5B" w:rsidRPr="00F24C91">
          <w:rPr>
            <w:rStyle w:val="Hyperlink"/>
            <w:i/>
            <w:iCs/>
          </w:rPr>
          <w:t>ECLI:LV:AT:2020:1125.C28330013.6.S</w:t>
        </w:r>
      </w:hyperlink>
      <w:r w:rsidR="00007D5B" w:rsidRPr="00F24C91">
        <w:rPr>
          <w:i/>
          <w:iCs/>
        </w:rPr>
        <w:t>, 12.4. punkt</w:t>
      </w:r>
      <w:r w:rsidR="000A6BB2" w:rsidRPr="00F24C91">
        <w:rPr>
          <w:i/>
          <w:iCs/>
        </w:rPr>
        <w:t xml:space="preserve">ā </w:t>
      </w:r>
      <w:r w:rsidR="000A6BB2" w:rsidRPr="00F24C91">
        <w:t>ietvertās norādes uz</w:t>
      </w:r>
      <w:r w:rsidR="000A6BB2" w:rsidRPr="00F24C91">
        <w:rPr>
          <w:i/>
          <w:iCs/>
        </w:rPr>
        <w:t xml:space="preserve"> </w:t>
      </w:r>
      <w:r w:rsidR="00007D5B" w:rsidRPr="00F24C91">
        <w:t xml:space="preserve">Eiropas Cilvēktiesību tiesas </w:t>
      </w:r>
      <w:r w:rsidR="00DB1F84" w:rsidRPr="00F24C91">
        <w:t>judikatūr</w:t>
      </w:r>
      <w:r w:rsidR="00007D5B" w:rsidRPr="00F24C91">
        <w:t>u</w:t>
      </w:r>
      <w:r w:rsidR="00DB1F84" w:rsidRPr="00F24C91">
        <w:t>)</w:t>
      </w:r>
      <w:r w:rsidR="00007D5B" w:rsidRPr="00F24C91">
        <w:t>.</w:t>
      </w:r>
      <w:r w:rsidR="00453319" w:rsidRPr="00F24C91">
        <w:t xml:space="preserve"> </w:t>
      </w:r>
      <w:r w:rsidR="002F5744" w:rsidRPr="00F24C91">
        <w:t xml:space="preserve">Tādējādi </w:t>
      </w:r>
      <w:r w:rsidR="00453319" w:rsidRPr="00F24C91">
        <w:t xml:space="preserve">kasācijas sūdzībā </w:t>
      </w:r>
      <w:r w:rsidR="002F5744" w:rsidRPr="00F24C91">
        <w:t xml:space="preserve">pamatoti </w:t>
      </w:r>
      <w:r w:rsidR="00453319" w:rsidRPr="00F24C91">
        <w:t>norādīt</w:t>
      </w:r>
      <w:r w:rsidR="00AA1E47" w:rsidRPr="00F24C91">
        <w:t>s uz atšķirīgo</w:t>
      </w:r>
      <w:r w:rsidR="00453319" w:rsidRPr="00F24C91">
        <w:t xml:space="preserve"> </w:t>
      </w:r>
      <w:r w:rsidR="00954AFA" w:rsidRPr="00F24C91">
        <w:t>tolerances slieksni</w:t>
      </w:r>
      <w:r w:rsidR="00AA1E47" w:rsidRPr="00F24C91">
        <w:t>, vērtējot tiesneša goda un cieņas aizskārumu</w:t>
      </w:r>
      <w:r w:rsidR="00954AFA" w:rsidRPr="00F24C91">
        <w:t xml:space="preserve"> [5.4].</w:t>
      </w:r>
    </w:p>
    <w:p w14:paraId="5A4CAA2B" w14:textId="6718D142" w:rsidR="00641F88" w:rsidRPr="00F24C91" w:rsidRDefault="00790CDE" w:rsidP="004F423C">
      <w:pPr>
        <w:shd w:val="clear" w:color="auto" w:fill="FFFFFF"/>
        <w:spacing w:line="276" w:lineRule="auto"/>
        <w:ind w:firstLine="567"/>
        <w:jc w:val="both"/>
      </w:pPr>
      <w:r w:rsidRPr="00F24C91">
        <w:t xml:space="preserve">Tiesneša tiesības publiski apspriest izskatīto lietu apstākļus ir ierobežotas. </w:t>
      </w:r>
      <w:r w:rsidR="00E2231B" w:rsidRPr="00F24C91">
        <w:t xml:space="preserve">Ne vienmēr tiesnesim būs iespēja publiskā diskusijā izskaidrot visus viņa pieņemto nolēmumu aspektus. </w:t>
      </w:r>
      <w:r w:rsidR="006467AE" w:rsidRPr="00F24C91">
        <w:t xml:space="preserve">Līdz ar to </w:t>
      </w:r>
      <w:r w:rsidR="00954AFA" w:rsidRPr="00F24C91">
        <w:t xml:space="preserve">Senāta ieskatā nav pamatoti </w:t>
      </w:r>
      <w:r w:rsidR="006467AE" w:rsidRPr="00F24C91">
        <w:t>sagaidīt, ka tiesnesis piedalīsies</w:t>
      </w:r>
      <w:r w:rsidR="00954AFA" w:rsidRPr="00F24C91">
        <w:t xml:space="preserve"> </w:t>
      </w:r>
      <w:r w:rsidR="00C036E2" w:rsidRPr="00F24C91">
        <w:t xml:space="preserve">televīzijas raidījumā vai citā </w:t>
      </w:r>
      <w:r w:rsidR="00954AFA" w:rsidRPr="00F24C91">
        <w:t xml:space="preserve">publiskā </w:t>
      </w:r>
      <w:r w:rsidR="00C036E2" w:rsidRPr="00F24C91">
        <w:t xml:space="preserve">pasākumā, </w:t>
      </w:r>
      <w:r w:rsidR="006467AE" w:rsidRPr="00F24C91">
        <w:t>kur viņam pieprasīs</w:t>
      </w:r>
      <w:r w:rsidR="00C036E2" w:rsidRPr="00F24C91">
        <w:t xml:space="preserve"> izskaidrot pieņemtos nolēmumus vai rīcību. </w:t>
      </w:r>
      <w:r w:rsidRPr="00F24C91">
        <w:t xml:space="preserve">Tāpēc </w:t>
      </w:r>
      <w:r w:rsidR="00E2231B" w:rsidRPr="00F24C91">
        <w:t xml:space="preserve">pat </w:t>
      </w:r>
      <w:r w:rsidRPr="00F24C91">
        <w:t>n</w:t>
      </w:r>
      <w:r w:rsidR="00F91193" w:rsidRPr="00F24C91">
        <w:t>eatkarīgi no tā, vai prasītāja bija</w:t>
      </w:r>
      <w:proofErr w:type="gramStart"/>
      <w:r w:rsidR="00F91193" w:rsidRPr="00F24C91">
        <w:t xml:space="preserve"> vai nebija aicināta piedalīties televīzijas raidījumā, kurā </w:t>
      </w:r>
      <w:r w:rsidR="002F5744" w:rsidRPr="00F24C91">
        <w:lastRenderedPageBreak/>
        <w:t xml:space="preserve">viņai </w:t>
      </w:r>
      <w:r w:rsidRPr="00F24C91">
        <w:t>tiktu dota</w:t>
      </w:r>
      <w:r w:rsidR="00F91193" w:rsidRPr="00F24C91">
        <w:t xml:space="preserve"> iespēja izskaidrot pieņemtos nolēmumus</w:t>
      </w:r>
      <w:proofErr w:type="gramEnd"/>
      <w:r w:rsidR="00F91193" w:rsidRPr="00F24C91">
        <w:t xml:space="preserve"> [5.5]</w:t>
      </w:r>
      <w:r w:rsidR="006D3E73" w:rsidRPr="00F24C91">
        <w:t>,</w:t>
      </w:r>
      <w:r w:rsidR="00F91193" w:rsidRPr="00F24C91">
        <w:t xml:space="preserve"> </w:t>
      </w:r>
      <w:r w:rsidRPr="00F24C91">
        <w:t>ir jāņem vērā</w:t>
      </w:r>
      <w:r w:rsidR="004F206B" w:rsidRPr="00F24C91">
        <w:t xml:space="preserve"> </w:t>
      </w:r>
      <w:r w:rsidR="00954AFA" w:rsidRPr="00F24C91">
        <w:t xml:space="preserve">iepriekš </w:t>
      </w:r>
      <w:r w:rsidR="004F206B" w:rsidRPr="00F24C91">
        <w:t>minētajā judikatūrā atzīt</w:t>
      </w:r>
      <w:r w:rsidR="006D3E73" w:rsidRPr="00F24C91">
        <w:t xml:space="preserve">ā </w:t>
      </w:r>
      <w:r w:rsidR="006467AE" w:rsidRPr="00F24C91">
        <w:t xml:space="preserve">no tiesnešu darba specifikas izrietošā </w:t>
      </w:r>
      <w:r w:rsidR="00F91193" w:rsidRPr="00F24C91">
        <w:t>prasīb</w:t>
      </w:r>
      <w:r w:rsidR="006D3E73" w:rsidRPr="00F24C91">
        <w:t>a</w:t>
      </w:r>
      <w:r w:rsidR="00F91193" w:rsidRPr="00F24C91">
        <w:t xml:space="preserve">, ka tiesnešiem ir jāievēro diskrētums un </w:t>
      </w:r>
      <w:r w:rsidR="00954AFA" w:rsidRPr="00F24C91">
        <w:t>viņiem</w:t>
      </w:r>
      <w:r w:rsidR="00F91193" w:rsidRPr="00F24C91">
        <w:t xml:space="preserve"> </w:t>
      </w:r>
      <w:r w:rsidR="00450776" w:rsidRPr="00F24C91">
        <w:t>var būt liegta</w:t>
      </w:r>
      <w:r w:rsidR="00F91193" w:rsidRPr="00F24C91">
        <w:t xml:space="preserve"> iespēja atbildēt</w:t>
      </w:r>
      <w:r w:rsidR="006D3E73" w:rsidRPr="00F24C91">
        <w:t>.</w:t>
      </w:r>
    </w:p>
    <w:p w14:paraId="693019FB" w14:textId="25AAB46C" w:rsidR="00516979" w:rsidRPr="00F24C91" w:rsidRDefault="00516979" w:rsidP="004F423C">
      <w:pPr>
        <w:shd w:val="clear" w:color="auto" w:fill="FFFFFF"/>
        <w:spacing w:line="276" w:lineRule="auto"/>
        <w:ind w:firstLine="567"/>
        <w:jc w:val="both"/>
      </w:pPr>
      <w:r w:rsidRPr="00F24C91">
        <w:t>[</w:t>
      </w:r>
      <w:r w:rsidR="002F5744" w:rsidRPr="00F24C91">
        <w:t>13</w:t>
      </w:r>
      <w:r w:rsidRPr="00F24C91">
        <w:t>.2]</w:t>
      </w:r>
      <w:r w:rsidR="000A6BB2" w:rsidRPr="00F24C91">
        <w:t> </w:t>
      </w:r>
      <w:r w:rsidRPr="00F24C91">
        <w:t>Turklāt ir būtiski nošķirt situāciju, kad personai, par kuru žurnālisti gatavo</w:t>
      </w:r>
      <w:r w:rsidR="004262B1" w:rsidRPr="00F24C91">
        <w:t>, iespējams, aizskarošu publikāciju vai raidījumu, tiek dota iespēja izskaidrot savu rīcību vai</w:t>
      </w:r>
      <w:r w:rsidR="00657DA5" w:rsidRPr="00F24C91">
        <w:t xml:space="preserve"> izteikt</w:t>
      </w:r>
      <w:r w:rsidR="004262B1" w:rsidRPr="00F24C91">
        <w:t xml:space="preserve"> viedokli, lai to varētu atspoguļot konkrētajā publikācijā vai raidījumā, no situācijas, k</w:t>
      </w:r>
      <w:r w:rsidR="00F71377" w:rsidRPr="00F24C91">
        <w:t xml:space="preserve">ad </w:t>
      </w:r>
      <w:r w:rsidR="004262B1" w:rsidRPr="00F24C91">
        <w:t>person</w:t>
      </w:r>
      <w:r w:rsidR="00F71377" w:rsidRPr="00F24C91">
        <w:t>ai</w:t>
      </w:r>
      <w:r w:rsidR="004262B1" w:rsidRPr="00F24C91">
        <w:t xml:space="preserve"> iespēja izskaidrot savu rīcību vai viedokli tiek dota jau pēc publikācijas vai raidījuma publiskošanas</w:t>
      </w:r>
      <w:r w:rsidR="00DB2A41" w:rsidRPr="00F24C91">
        <w:t xml:space="preserve"> un turklāt </w:t>
      </w:r>
      <w:r w:rsidR="00F71377" w:rsidRPr="00F24C91">
        <w:t>šo iespēju dod pavisam cits</w:t>
      </w:r>
      <w:r w:rsidR="00DB2A41" w:rsidRPr="00F24C91">
        <w:t xml:space="preserve"> masu informācijas līdzekl</w:t>
      </w:r>
      <w:r w:rsidR="00F71377" w:rsidRPr="00F24C91">
        <w:t>is</w:t>
      </w:r>
      <w:r w:rsidR="004262B1" w:rsidRPr="00F24C91">
        <w:t>, kā tas ir izskatāmajā lietā.</w:t>
      </w:r>
      <w:r w:rsidR="00F71377" w:rsidRPr="00F24C91">
        <w:t xml:space="preserve"> Pirmajā gadījumā </w:t>
      </w:r>
      <w:r w:rsidR="009528C2" w:rsidRPr="00F24C91">
        <w:t>žurnālists vēl pirms publikācijas vai raidījuma publiskošanas var pārbaudīt publiskojamo informāciju un persona</w:t>
      </w:r>
      <w:r w:rsidR="00657DA5" w:rsidRPr="00F24C91">
        <w:t xml:space="preserve">s izteikumi var tikt atspoguļoti līdzās negatīvajai informācijai par personu </w:t>
      </w:r>
      <w:r w:rsidR="009528C2" w:rsidRPr="00F24C91">
        <w:t>(sal. sk.</w:t>
      </w:r>
      <w:r w:rsidR="00F70ADB" w:rsidRPr="00F24C91">
        <w:t xml:space="preserve"> </w:t>
      </w:r>
      <w:r w:rsidR="00F70ADB" w:rsidRPr="00F24C91">
        <w:rPr>
          <w:i/>
          <w:iCs/>
        </w:rPr>
        <w:t>Senāta</w:t>
      </w:r>
      <w:r w:rsidR="009528C2" w:rsidRPr="00F24C91">
        <w:t xml:space="preserve"> </w:t>
      </w:r>
      <w:r w:rsidR="009528C2" w:rsidRPr="00F24C91">
        <w:rPr>
          <w:bCs/>
          <w:i/>
          <w:iCs/>
        </w:rPr>
        <w:t>2020. gada 30. aprīļa sprieduma lietā Nr. SKC</w:t>
      </w:r>
      <w:r w:rsidR="009528C2" w:rsidRPr="00F24C91">
        <w:rPr>
          <w:bCs/>
          <w:i/>
          <w:iCs/>
        </w:rPr>
        <w:noBreakHyphen/>
        <w:t>77/2020</w:t>
      </w:r>
      <w:r w:rsidR="00F70ADB" w:rsidRPr="00F24C91">
        <w:rPr>
          <w:bCs/>
          <w:i/>
          <w:iCs/>
        </w:rPr>
        <w:t>,</w:t>
      </w:r>
      <w:r w:rsidR="009528C2" w:rsidRPr="00F24C91">
        <w:rPr>
          <w:bCs/>
          <w:i/>
          <w:iCs/>
        </w:rPr>
        <w:t xml:space="preserve"> </w:t>
      </w:r>
      <w:hyperlink r:id="rId33" w:history="1">
        <w:r w:rsidR="009528C2" w:rsidRPr="00F24C91">
          <w:rPr>
            <w:rStyle w:val="Hyperlink"/>
            <w:bCs/>
            <w:i/>
            <w:iCs/>
          </w:rPr>
          <w:t>ECLI:LV:AT:2020:0430.C30450117.7.S</w:t>
        </w:r>
      </w:hyperlink>
      <w:r w:rsidR="009528C2" w:rsidRPr="00F24C91">
        <w:rPr>
          <w:bCs/>
        </w:rPr>
        <w:t>,</w:t>
      </w:r>
      <w:r w:rsidR="009528C2" w:rsidRPr="00F24C91">
        <w:rPr>
          <w:b/>
        </w:rPr>
        <w:t xml:space="preserve"> </w:t>
      </w:r>
      <w:r w:rsidR="009528C2" w:rsidRPr="00F24C91">
        <w:rPr>
          <w:bCs/>
          <w:i/>
          <w:iCs/>
        </w:rPr>
        <w:t>10.1. punktu</w:t>
      </w:r>
      <w:r w:rsidR="009528C2" w:rsidRPr="00F24C91">
        <w:t xml:space="preserve">), turpretim otrajā gadījumā personas paskaidrojumi nedod iespēju novērt neprecizitātes un aizskarošās publikācijas lasītāji vai raidījuma skaitītāji var nemaz neuzzināt, ka persona </w:t>
      </w:r>
      <w:r w:rsidR="00657DA5" w:rsidRPr="00F24C91">
        <w:t>vēlāk ir izskaidrojusi savu rīcību vai izteikusi viedokli.</w:t>
      </w:r>
    </w:p>
    <w:p w14:paraId="53E09A0C" w14:textId="2C630834" w:rsidR="007B2BFF" w:rsidRPr="00F24C91" w:rsidRDefault="00FF4459" w:rsidP="004F423C">
      <w:pPr>
        <w:shd w:val="clear" w:color="auto" w:fill="FFFFFF"/>
        <w:spacing w:line="276" w:lineRule="auto"/>
        <w:ind w:firstLine="567"/>
        <w:jc w:val="both"/>
      </w:pPr>
      <w:r w:rsidRPr="00F24C91">
        <w:t>[</w:t>
      </w:r>
      <w:r w:rsidR="002F5744" w:rsidRPr="00F24C91">
        <w:t>13</w:t>
      </w:r>
      <w:r w:rsidRPr="00F24C91">
        <w:t>.</w:t>
      </w:r>
      <w:r w:rsidR="00516979" w:rsidRPr="00F24C91">
        <w:t>3</w:t>
      </w:r>
      <w:r w:rsidRPr="00F24C91">
        <w:t xml:space="preserve">] </w:t>
      </w:r>
      <w:r w:rsidR="00450776" w:rsidRPr="00F24C91">
        <w:t>Vienlaikus</w:t>
      </w:r>
      <w:r w:rsidR="00C036E2" w:rsidRPr="00F24C91">
        <w:t xml:space="preserve"> minētā</w:t>
      </w:r>
      <w:r w:rsidR="00450776" w:rsidRPr="00F24C91">
        <w:t xml:space="preserve"> </w:t>
      </w:r>
      <w:r w:rsidR="00D5674E" w:rsidRPr="00F24C91">
        <w:t>tiesas norāde</w:t>
      </w:r>
      <w:r w:rsidR="00E2231B" w:rsidRPr="00F24C91">
        <w:t xml:space="preserve"> par to, ka prasītājai bijusi iespēja izskaidrot savu rīcību, piedaloties televīzijas raidījumā,</w:t>
      </w:r>
      <w:r w:rsidR="00D5674E" w:rsidRPr="00F24C91">
        <w:t xml:space="preserve"> nav bijusi izšķiroša prasības noraidīšanai un tāpēc konkrētajā gadījumā nebūtu atzīstama par pamat</w:t>
      </w:r>
      <w:r w:rsidR="00450776" w:rsidRPr="00F24C91">
        <w:t xml:space="preserve">u pārsūdzētā </w:t>
      </w:r>
      <w:r w:rsidR="00D5674E" w:rsidRPr="00F24C91">
        <w:t>spriedum</w:t>
      </w:r>
      <w:r w:rsidR="00450776" w:rsidRPr="00F24C91">
        <w:t>a atcelšanai</w:t>
      </w:r>
      <w:r w:rsidR="00D5674E" w:rsidRPr="00F24C91">
        <w:t>.</w:t>
      </w:r>
      <w:r w:rsidR="00641F88" w:rsidRPr="00F24C91">
        <w:t xml:space="preserve"> </w:t>
      </w:r>
      <w:r w:rsidR="00C036E2" w:rsidRPr="00F24C91">
        <w:t>Citiem vārdiem</w:t>
      </w:r>
      <w:r w:rsidR="00885895" w:rsidRPr="00F24C91">
        <w:t xml:space="preserve">, </w:t>
      </w:r>
      <w:r w:rsidR="000517D7" w:rsidRPr="00F24C91">
        <w:t>ievērojot</w:t>
      </w:r>
      <w:r w:rsidR="00885895" w:rsidRPr="00F24C91">
        <w:t xml:space="preserve"> secinājumu, ka </w:t>
      </w:r>
      <w:r w:rsidR="007B2BFF" w:rsidRPr="00F24C91">
        <w:t>rakstu sērij</w:t>
      </w:r>
      <w:r w:rsidR="00960953" w:rsidRPr="00F24C91">
        <w:t>ā</w:t>
      </w:r>
      <w:r w:rsidR="00691BD9" w:rsidRPr="00F24C91">
        <w:t xml:space="preserve">, </w:t>
      </w:r>
      <w:r w:rsidR="000517D7" w:rsidRPr="00F24C91">
        <w:t>balstoties uz</w:t>
      </w:r>
      <w:r w:rsidR="00691BD9" w:rsidRPr="00F24C91">
        <w:t xml:space="preserve"> pastāvošo faktisko bāzi, </w:t>
      </w:r>
      <w:r w:rsidR="00960953" w:rsidRPr="00F24C91">
        <w:t>bija iekļauta precīza un korekta informācija par prasītāju kā tiesnesi</w:t>
      </w:r>
      <w:r w:rsidR="00691BD9" w:rsidRPr="00F24C91">
        <w:t xml:space="preserve"> un viņas izskatītajām maksātnespējas procesa lietām</w:t>
      </w:r>
      <w:r w:rsidR="00960953" w:rsidRPr="00F24C91">
        <w:t xml:space="preserve"> </w:t>
      </w:r>
      <w:r w:rsidR="00C036E2" w:rsidRPr="00F24C91">
        <w:t>[</w:t>
      </w:r>
      <w:r w:rsidR="002F5744" w:rsidRPr="00F24C91">
        <w:t>11</w:t>
      </w:r>
      <w:r w:rsidR="00C036E2" w:rsidRPr="00F24C91">
        <w:t>]</w:t>
      </w:r>
      <w:r w:rsidR="00FD0CF6" w:rsidRPr="00F24C91">
        <w:t>,</w:t>
      </w:r>
      <w:r w:rsidR="00691BD9" w:rsidRPr="00F24C91">
        <w:t xml:space="preserve"> </w:t>
      </w:r>
      <w:r w:rsidR="00D524DF" w:rsidRPr="00F24C91">
        <w:t xml:space="preserve">atbildētāji nav pārsnieguši pieļaujamās kritikas robežas attiecībā uz prasītāju un līdz ar to </w:t>
      </w:r>
      <w:r w:rsidR="00691BD9" w:rsidRPr="00F24C91">
        <w:t>nevar runāt par destruktīvu uzbrukumu</w:t>
      </w:r>
      <w:r w:rsidR="00D524DF" w:rsidRPr="00F24C91">
        <w:t xml:space="preserve"> pret tiesnesi</w:t>
      </w:r>
      <w:r w:rsidR="00691BD9" w:rsidRPr="00F24C91">
        <w:t xml:space="preserve">, pret ko </w:t>
      </w:r>
      <w:r w:rsidR="000517D7" w:rsidRPr="00F24C91">
        <w:t>prasītājai</w:t>
      </w:r>
      <w:r w:rsidR="00691BD9" w:rsidRPr="00F24C91">
        <w:t xml:space="preserve"> būtu </w:t>
      </w:r>
      <w:r w:rsidR="00AA1E47" w:rsidRPr="00F24C91">
        <w:t xml:space="preserve">bijis </w:t>
      </w:r>
      <w:r w:rsidR="00691BD9" w:rsidRPr="00F24C91">
        <w:t>jāaizstāvas, piedaloties televīzijas raidījumā</w:t>
      </w:r>
      <w:r w:rsidR="00371FE8" w:rsidRPr="00F24C91">
        <w:t>.</w:t>
      </w:r>
    </w:p>
    <w:p w14:paraId="73165902" w14:textId="77777777" w:rsidR="00716302" w:rsidRPr="00F24C91" w:rsidRDefault="00716302" w:rsidP="004F423C">
      <w:pPr>
        <w:spacing w:line="276" w:lineRule="auto"/>
        <w:ind w:firstLine="567"/>
        <w:jc w:val="both"/>
      </w:pPr>
    </w:p>
    <w:p w14:paraId="1479484B" w14:textId="46303618" w:rsidR="00B1595B" w:rsidRPr="00F24C91" w:rsidRDefault="00B1595B" w:rsidP="004F423C">
      <w:pPr>
        <w:spacing w:line="276" w:lineRule="auto"/>
        <w:ind w:firstLine="567"/>
        <w:jc w:val="both"/>
        <w:rPr>
          <w:i/>
        </w:rPr>
      </w:pPr>
      <w:r w:rsidRPr="00F24C91">
        <w:rPr>
          <w:i/>
        </w:rPr>
        <w:t>Secinājums</w:t>
      </w:r>
    </w:p>
    <w:p w14:paraId="6A4E56DE" w14:textId="51BEA89D" w:rsidR="00380ADB" w:rsidRPr="00F24C91" w:rsidRDefault="00110217" w:rsidP="004F423C">
      <w:pPr>
        <w:spacing w:line="276" w:lineRule="auto"/>
        <w:ind w:firstLine="567"/>
        <w:jc w:val="both"/>
      </w:pPr>
      <w:r w:rsidRPr="00F24C91">
        <w:t>[</w:t>
      </w:r>
      <w:r w:rsidR="002F5744" w:rsidRPr="00F24C91">
        <w:t>14</w:t>
      </w:r>
      <w:r w:rsidRPr="00F24C91">
        <w:t xml:space="preserve">] </w:t>
      </w:r>
      <w:r w:rsidR="00380ADB" w:rsidRPr="00F24C91">
        <w:t>Rezumējot izklāstīto, Senāts secina, ka nav pamata kasācijas sūdzības apmierināšanai un apelācijas instances tiesas sprieduma atcelšanai.</w:t>
      </w:r>
    </w:p>
    <w:p w14:paraId="0E82D56A" w14:textId="77777777" w:rsidR="003378D8" w:rsidRDefault="003378D8" w:rsidP="004F423C">
      <w:pPr>
        <w:shd w:val="clear" w:color="auto" w:fill="FFFFFF"/>
        <w:spacing w:line="276" w:lineRule="auto"/>
        <w:jc w:val="center"/>
        <w:rPr>
          <w:b/>
        </w:rPr>
      </w:pPr>
    </w:p>
    <w:p w14:paraId="17E8BF5B" w14:textId="4ECD572C" w:rsidR="005C418F" w:rsidRDefault="005C418F" w:rsidP="004F423C">
      <w:pPr>
        <w:shd w:val="clear" w:color="auto" w:fill="FFFFFF"/>
        <w:spacing w:line="276" w:lineRule="auto"/>
        <w:jc w:val="center"/>
        <w:rPr>
          <w:b/>
        </w:rPr>
      </w:pPr>
      <w:r w:rsidRPr="00F24C91">
        <w:rPr>
          <w:b/>
        </w:rPr>
        <w:t xml:space="preserve">Rezolutīvā daļa </w:t>
      </w:r>
    </w:p>
    <w:p w14:paraId="3696119F" w14:textId="77777777" w:rsidR="003378D8" w:rsidRPr="00F24C91" w:rsidRDefault="003378D8" w:rsidP="004F423C">
      <w:pPr>
        <w:shd w:val="clear" w:color="auto" w:fill="FFFFFF"/>
        <w:spacing w:line="276" w:lineRule="auto"/>
        <w:jc w:val="center"/>
        <w:rPr>
          <w:b/>
        </w:rPr>
      </w:pPr>
    </w:p>
    <w:p w14:paraId="5701C812" w14:textId="04F7B213" w:rsidR="005C418F" w:rsidRDefault="005C418F" w:rsidP="004F423C">
      <w:pPr>
        <w:shd w:val="clear" w:color="auto" w:fill="FFFFFF"/>
        <w:spacing w:line="276" w:lineRule="auto"/>
        <w:ind w:firstLine="709"/>
        <w:jc w:val="both"/>
      </w:pPr>
      <w:r w:rsidRPr="00F24C91">
        <w:t xml:space="preserve">Pamatojoties uz </w:t>
      </w:r>
      <w:r w:rsidR="00110217" w:rsidRPr="00F24C91">
        <w:t>474. panta 1. punktu,</w:t>
      </w:r>
      <w:r w:rsidRPr="00F24C91">
        <w:t xml:space="preserve"> </w:t>
      </w:r>
      <w:sdt>
        <w:sdtPr>
          <w:id w:val="376902454"/>
          <w:placeholder>
            <w:docPart w:val="0FE2756729AE43BE88C5E27E673A3DE5"/>
          </w:placeholder>
          <w:comboBox>
            <w:listItem w:displayText="Senāts" w:value="Senāts"/>
            <w:listItem w:displayText="Senatoru kolēģija" w:value="Senatoru kolēģija"/>
            <w:listItem w:displayText="Tiesa" w:value="Tiesa"/>
          </w:comboBox>
        </w:sdtPr>
        <w:sdtEndPr/>
        <w:sdtContent>
          <w:r w:rsidRPr="00F24C91">
            <w:t>Senāts</w:t>
          </w:r>
        </w:sdtContent>
      </w:sdt>
    </w:p>
    <w:p w14:paraId="2D7724D9" w14:textId="77777777" w:rsidR="003378D8" w:rsidRPr="00F24C91" w:rsidRDefault="003378D8" w:rsidP="004F423C">
      <w:pPr>
        <w:shd w:val="clear" w:color="auto" w:fill="FFFFFF"/>
        <w:spacing w:line="276" w:lineRule="auto"/>
        <w:ind w:firstLine="709"/>
        <w:jc w:val="both"/>
      </w:pPr>
    </w:p>
    <w:sdt>
      <w:sdtPr>
        <w:rPr>
          <w:b/>
          <w:bCs/>
        </w:rPr>
        <w:id w:val="-696303738"/>
        <w:placeholder>
          <w:docPart w:val="2314BDE8D6594C50856BB1A7D5CBCE1D"/>
        </w:placeholder>
        <w:comboBox>
          <w:listItem w:displayText="nosprieda" w:value="nosprieda"/>
          <w:listItem w:displayText="nolēma" w:value="nolēma"/>
        </w:comboBox>
      </w:sdtPr>
      <w:sdtEndPr/>
      <w:sdtContent>
        <w:p w14:paraId="7A653559" w14:textId="77777777" w:rsidR="005C418F" w:rsidRPr="00F24C91" w:rsidRDefault="005C418F" w:rsidP="004F423C">
          <w:pPr>
            <w:shd w:val="clear" w:color="auto" w:fill="FFFFFF"/>
            <w:spacing w:line="276" w:lineRule="auto"/>
            <w:jc w:val="center"/>
            <w:rPr>
              <w:b/>
              <w:bCs/>
            </w:rPr>
          </w:pPr>
          <w:r w:rsidRPr="00F24C91">
            <w:rPr>
              <w:b/>
              <w:bCs/>
            </w:rPr>
            <w:t>nosprieda</w:t>
          </w:r>
        </w:p>
      </w:sdtContent>
    </w:sdt>
    <w:p w14:paraId="1BCC3AC7" w14:textId="77777777" w:rsidR="003378D8" w:rsidRDefault="003378D8" w:rsidP="004F423C">
      <w:pPr>
        <w:spacing w:line="276" w:lineRule="auto"/>
        <w:ind w:firstLine="709"/>
        <w:jc w:val="both"/>
      </w:pPr>
    </w:p>
    <w:p w14:paraId="17BC9D3B" w14:textId="4C420525" w:rsidR="005C418F" w:rsidRPr="00F24C91" w:rsidRDefault="00110217" w:rsidP="004F423C">
      <w:pPr>
        <w:spacing w:line="276" w:lineRule="auto"/>
        <w:ind w:firstLine="709"/>
        <w:jc w:val="both"/>
      </w:pPr>
      <w:r w:rsidRPr="00F24C91">
        <w:t xml:space="preserve">Zemgales apgabaltiesas Civillietu tiesas kolēģijas 2020. gada 4. februāra spriedumu atstāt negrozītu, bet </w:t>
      </w:r>
      <w:r w:rsidR="005A7751" w:rsidRPr="00F24C91">
        <w:t>[pers. A]</w:t>
      </w:r>
      <w:r w:rsidRPr="00F24C91">
        <w:t xml:space="preserve"> kasācijas sūdzību noraidīt.</w:t>
      </w:r>
    </w:p>
    <w:p w14:paraId="2B6CE20E" w14:textId="77777777" w:rsidR="00FF2807" w:rsidRPr="00F24C91" w:rsidRDefault="00FF2807" w:rsidP="004F423C">
      <w:pPr>
        <w:spacing w:line="276" w:lineRule="auto"/>
        <w:ind w:firstLine="709"/>
        <w:jc w:val="both"/>
      </w:pPr>
    </w:p>
    <w:p w14:paraId="111A7705" w14:textId="21A5C75C" w:rsidR="004A429A" w:rsidRPr="004F423C" w:rsidRDefault="004A429A" w:rsidP="004F423C">
      <w:pPr>
        <w:spacing w:line="276" w:lineRule="auto"/>
        <w:ind w:firstLine="709"/>
        <w:jc w:val="both"/>
      </w:pPr>
      <w:r w:rsidRPr="00F24C91">
        <w:t>Spriedums nav pārsūdzams.</w:t>
      </w:r>
    </w:p>
    <w:sectPr w:rsidR="004A429A" w:rsidRPr="004F423C" w:rsidSect="00A047E3">
      <w:headerReference w:type="even" r:id="rId34"/>
      <w:footerReference w:type="even" r:id="rId35"/>
      <w:footerReference w:type="default" r:id="rId36"/>
      <w:pgSz w:w="11906" w:h="16838"/>
      <w:pgMar w:top="1134" w:right="1134" w:bottom="1134" w:left="1701" w:header="709" w:footer="39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66C2" w14:textId="77777777" w:rsidR="00C45196" w:rsidRDefault="00C45196" w:rsidP="005C418F">
      <w:r>
        <w:separator/>
      </w:r>
    </w:p>
  </w:endnote>
  <w:endnote w:type="continuationSeparator" w:id="0">
    <w:p w14:paraId="2BAEB786" w14:textId="77777777" w:rsidR="00C45196" w:rsidRDefault="00C45196" w:rsidP="005C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4A2C" w14:textId="77777777" w:rsidR="00D878A8" w:rsidRDefault="000825B8" w:rsidP="00037A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C0395F" w14:textId="77777777" w:rsidR="00D878A8" w:rsidRDefault="00337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90219"/>
      <w:docPartObj>
        <w:docPartGallery w:val="Page Numbers (Bottom of Page)"/>
        <w:docPartUnique/>
      </w:docPartObj>
    </w:sdtPr>
    <w:sdtEndPr/>
    <w:sdtContent>
      <w:sdt>
        <w:sdtPr>
          <w:id w:val="1728636285"/>
          <w:docPartObj>
            <w:docPartGallery w:val="Page Numbers (Top of Page)"/>
            <w:docPartUnique/>
          </w:docPartObj>
        </w:sdtPr>
        <w:sdtEndPr/>
        <w:sdtContent>
          <w:p w14:paraId="3259FFA5" w14:textId="6730C229" w:rsidR="00A047E3" w:rsidRDefault="00A047E3">
            <w:pPr>
              <w:pStyle w:val="Footer"/>
              <w:jc w:val="center"/>
            </w:pPr>
            <w:r w:rsidRPr="00A047E3">
              <w:fldChar w:fldCharType="begin"/>
            </w:r>
            <w:r w:rsidRPr="00A047E3">
              <w:instrText xml:space="preserve"> PAGE </w:instrText>
            </w:r>
            <w:r w:rsidRPr="00A047E3">
              <w:fldChar w:fldCharType="separate"/>
            </w:r>
            <w:r w:rsidR="00591178">
              <w:rPr>
                <w:noProof/>
              </w:rPr>
              <w:t>9</w:t>
            </w:r>
            <w:r w:rsidRPr="00A047E3">
              <w:fldChar w:fldCharType="end"/>
            </w:r>
            <w:r w:rsidRPr="00A047E3">
              <w:t xml:space="preserve"> no </w:t>
            </w:r>
            <w:r w:rsidR="009C5833">
              <w:rPr>
                <w:noProof/>
              </w:rPr>
              <w:fldChar w:fldCharType="begin"/>
            </w:r>
            <w:r w:rsidR="009C5833">
              <w:rPr>
                <w:noProof/>
              </w:rPr>
              <w:instrText xml:space="preserve"> NUMPAGES  </w:instrText>
            </w:r>
            <w:r w:rsidR="009C5833">
              <w:rPr>
                <w:noProof/>
              </w:rPr>
              <w:fldChar w:fldCharType="separate"/>
            </w:r>
            <w:r w:rsidR="00591178">
              <w:rPr>
                <w:noProof/>
              </w:rPr>
              <w:t>10</w:t>
            </w:r>
            <w:r w:rsidR="009C5833">
              <w:rPr>
                <w:noProof/>
              </w:rPr>
              <w:fldChar w:fldCharType="end"/>
            </w:r>
          </w:p>
        </w:sdtContent>
      </w:sdt>
    </w:sdtContent>
  </w:sdt>
  <w:p w14:paraId="5B1A1F25" w14:textId="77777777" w:rsidR="00D878A8" w:rsidRDefault="0033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BA12" w14:textId="77777777" w:rsidR="00C45196" w:rsidRDefault="00C45196" w:rsidP="005C418F">
      <w:r>
        <w:separator/>
      </w:r>
    </w:p>
  </w:footnote>
  <w:footnote w:type="continuationSeparator" w:id="0">
    <w:p w14:paraId="22EFCCC1" w14:textId="77777777" w:rsidR="00C45196" w:rsidRDefault="00C45196" w:rsidP="005C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F92F" w14:textId="77777777" w:rsidR="00D878A8" w:rsidRPr="007E1072" w:rsidRDefault="003378D8" w:rsidP="00B47212">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0690"/>
    <w:multiLevelType w:val="multilevel"/>
    <w:tmpl w:val="CFAA4512"/>
    <w:lvl w:ilvl="0">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1843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18F"/>
    <w:rsid w:val="00007D5B"/>
    <w:rsid w:val="00010E8A"/>
    <w:rsid w:val="00032AA7"/>
    <w:rsid w:val="00036275"/>
    <w:rsid w:val="00037AC3"/>
    <w:rsid w:val="00042EB1"/>
    <w:rsid w:val="000431EB"/>
    <w:rsid w:val="00043F0B"/>
    <w:rsid w:val="000460B2"/>
    <w:rsid w:val="00046679"/>
    <w:rsid w:val="00046CE5"/>
    <w:rsid w:val="000517D7"/>
    <w:rsid w:val="00052409"/>
    <w:rsid w:val="00061D0B"/>
    <w:rsid w:val="00063D9D"/>
    <w:rsid w:val="00065359"/>
    <w:rsid w:val="00071651"/>
    <w:rsid w:val="00072BFD"/>
    <w:rsid w:val="000734E5"/>
    <w:rsid w:val="000763A8"/>
    <w:rsid w:val="000770D3"/>
    <w:rsid w:val="000825B8"/>
    <w:rsid w:val="000907E7"/>
    <w:rsid w:val="00094671"/>
    <w:rsid w:val="00097426"/>
    <w:rsid w:val="000A6BB2"/>
    <w:rsid w:val="000A78ED"/>
    <w:rsid w:val="000B1FB3"/>
    <w:rsid w:val="000B5F77"/>
    <w:rsid w:val="000B6DAE"/>
    <w:rsid w:val="000C46B0"/>
    <w:rsid w:val="000D20F4"/>
    <w:rsid w:val="000E10D8"/>
    <w:rsid w:val="000E2E33"/>
    <w:rsid w:val="000F6A14"/>
    <w:rsid w:val="000F7327"/>
    <w:rsid w:val="00100056"/>
    <w:rsid w:val="00103ACF"/>
    <w:rsid w:val="00110217"/>
    <w:rsid w:val="0012006F"/>
    <w:rsid w:val="00120ECF"/>
    <w:rsid w:val="00123195"/>
    <w:rsid w:val="00132E2B"/>
    <w:rsid w:val="00132FCC"/>
    <w:rsid w:val="0013692A"/>
    <w:rsid w:val="00146619"/>
    <w:rsid w:val="00147D63"/>
    <w:rsid w:val="00150718"/>
    <w:rsid w:val="00164BFE"/>
    <w:rsid w:val="00172BE3"/>
    <w:rsid w:val="0018395D"/>
    <w:rsid w:val="00186917"/>
    <w:rsid w:val="0019376B"/>
    <w:rsid w:val="0019747C"/>
    <w:rsid w:val="001A150E"/>
    <w:rsid w:val="001A4FE7"/>
    <w:rsid w:val="001C6136"/>
    <w:rsid w:val="001D4307"/>
    <w:rsid w:val="001D499F"/>
    <w:rsid w:val="001D6F15"/>
    <w:rsid w:val="001F1402"/>
    <w:rsid w:val="001F5D0C"/>
    <w:rsid w:val="001F75C4"/>
    <w:rsid w:val="0020074A"/>
    <w:rsid w:val="0021061E"/>
    <w:rsid w:val="0021352C"/>
    <w:rsid w:val="00213CDA"/>
    <w:rsid w:val="002141EB"/>
    <w:rsid w:val="00217E6E"/>
    <w:rsid w:val="00223761"/>
    <w:rsid w:val="00223A23"/>
    <w:rsid w:val="0022477B"/>
    <w:rsid w:val="00225D5C"/>
    <w:rsid w:val="002525A3"/>
    <w:rsid w:val="00264BA1"/>
    <w:rsid w:val="002667FB"/>
    <w:rsid w:val="00276874"/>
    <w:rsid w:val="00280C3D"/>
    <w:rsid w:val="00285241"/>
    <w:rsid w:val="002870D3"/>
    <w:rsid w:val="00297248"/>
    <w:rsid w:val="002B2621"/>
    <w:rsid w:val="002B61B5"/>
    <w:rsid w:val="002B715A"/>
    <w:rsid w:val="002C1901"/>
    <w:rsid w:val="002C2F24"/>
    <w:rsid w:val="002C5563"/>
    <w:rsid w:val="002D5E88"/>
    <w:rsid w:val="002E05C8"/>
    <w:rsid w:val="002E3FD4"/>
    <w:rsid w:val="002F25B3"/>
    <w:rsid w:val="002F5744"/>
    <w:rsid w:val="002F720F"/>
    <w:rsid w:val="00333965"/>
    <w:rsid w:val="00335956"/>
    <w:rsid w:val="003371E2"/>
    <w:rsid w:val="003376ED"/>
    <w:rsid w:val="003378D8"/>
    <w:rsid w:val="00347A24"/>
    <w:rsid w:val="00350094"/>
    <w:rsid w:val="003564AD"/>
    <w:rsid w:val="00362761"/>
    <w:rsid w:val="0036786D"/>
    <w:rsid w:val="00371A28"/>
    <w:rsid w:val="00371A81"/>
    <w:rsid w:val="00371FE8"/>
    <w:rsid w:val="0038089E"/>
    <w:rsid w:val="00380ADB"/>
    <w:rsid w:val="00381112"/>
    <w:rsid w:val="00391776"/>
    <w:rsid w:val="003A2619"/>
    <w:rsid w:val="003C1884"/>
    <w:rsid w:val="003C3B38"/>
    <w:rsid w:val="003C798F"/>
    <w:rsid w:val="003C7A7E"/>
    <w:rsid w:val="003E2ED6"/>
    <w:rsid w:val="003F27CB"/>
    <w:rsid w:val="004262B1"/>
    <w:rsid w:val="00434760"/>
    <w:rsid w:val="00450776"/>
    <w:rsid w:val="00453319"/>
    <w:rsid w:val="00455B42"/>
    <w:rsid w:val="004578D4"/>
    <w:rsid w:val="0047116F"/>
    <w:rsid w:val="00474B5B"/>
    <w:rsid w:val="00475C97"/>
    <w:rsid w:val="00477FEB"/>
    <w:rsid w:val="004803CA"/>
    <w:rsid w:val="00493D3A"/>
    <w:rsid w:val="00495F3A"/>
    <w:rsid w:val="00496F8A"/>
    <w:rsid w:val="004A0572"/>
    <w:rsid w:val="004A429A"/>
    <w:rsid w:val="004A62D6"/>
    <w:rsid w:val="004C2DDD"/>
    <w:rsid w:val="004F206B"/>
    <w:rsid w:val="004F423C"/>
    <w:rsid w:val="004F6232"/>
    <w:rsid w:val="004F7B6D"/>
    <w:rsid w:val="005007BE"/>
    <w:rsid w:val="00500CDA"/>
    <w:rsid w:val="00502CE4"/>
    <w:rsid w:val="00513062"/>
    <w:rsid w:val="00513160"/>
    <w:rsid w:val="00516979"/>
    <w:rsid w:val="00530145"/>
    <w:rsid w:val="00531B1E"/>
    <w:rsid w:val="00552743"/>
    <w:rsid w:val="00553E89"/>
    <w:rsid w:val="00556AA6"/>
    <w:rsid w:val="0056264A"/>
    <w:rsid w:val="00570A3C"/>
    <w:rsid w:val="005739DF"/>
    <w:rsid w:val="005756FB"/>
    <w:rsid w:val="00575AB1"/>
    <w:rsid w:val="005819DB"/>
    <w:rsid w:val="00591178"/>
    <w:rsid w:val="00594C97"/>
    <w:rsid w:val="00596FCB"/>
    <w:rsid w:val="00597D54"/>
    <w:rsid w:val="005A08F5"/>
    <w:rsid w:val="005A63B7"/>
    <w:rsid w:val="005A7751"/>
    <w:rsid w:val="005C3966"/>
    <w:rsid w:val="005C418F"/>
    <w:rsid w:val="005E728F"/>
    <w:rsid w:val="005E74B0"/>
    <w:rsid w:val="005F1DD3"/>
    <w:rsid w:val="005F617C"/>
    <w:rsid w:val="00602736"/>
    <w:rsid w:val="00603D65"/>
    <w:rsid w:val="00606DBF"/>
    <w:rsid w:val="00611064"/>
    <w:rsid w:val="00611670"/>
    <w:rsid w:val="00614779"/>
    <w:rsid w:val="00617DED"/>
    <w:rsid w:val="006272A5"/>
    <w:rsid w:val="0063157E"/>
    <w:rsid w:val="00632DC7"/>
    <w:rsid w:val="0063786F"/>
    <w:rsid w:val="00637C7D"/>
    <w:rsid w:val="00641F88"/>
    <w:rsid w:val="0064249B"/>
    <w:rsid w:val="006467AE"/>
    <w:rsid w:val="00646DA7"/>
    <w:rsid w:val="006527CE"/>
    <w:rsid w:val="00657DA5"/>
    <w:rsid w:val="006626AB"/>
    <w:rsid w:val="006752CA"/>
    <w:rsid w:val="00691BD9"/>
    <w:rsid w:val="006B05A7"/>
    <w:rsid w:val="006C60E6"/>
    <w:rsid w:val="006D22C0"/>
    <w:rsid w:val="006D3E73"/>
    <w:rsid w:val="006F5BFE"/>
    <w:rsid w:val="00713458"/>
    <w:rsid w:val="00713DE3"/>
    <w:rsid w:val="00716302"/>
    <w:rsid w:val="007202F4"/>
    <w:rsid w:val="0073193A"/>
    <w:rsid w:val="00747F53"/>
    <w:rsid w:val="00755348"/>
    <w:rsid w:val="00756BA9"/>
    <w:rsid w:val="007639CE"/>
    <w:rsid w:val="00771440"/>
    <w:rsid w:val="00772588"/>
    <w:rsid w:val="00772A78"/>
    <w:rsid w:val="007737E8"/>
    <w:rsid w:val="0078092A"/>
    <w:rsid w:val="007852C5"/>
    <w:rsid w:val="007876F7"/>
    <w:rsid w:val="00790CDE"/>
    <w:rsid w:val="007A12EC"/>
    <w:rsid w:val="007A1F84"/>
    <w:rsid w:val="007A4254"/>
    <w:rsid w:val="007A61C2"/>
    <w:rsid w:val="007A72EA"/>
    <w:rsid w:val="007B07FC"/>
    <w:rsid w:val="007B2BFF"/>
    <w:rsid w:val="007C297E"/>
    <w:rsid w:val="007D060F"/>
    <w:rsid w:val="007D10BF"/>
    <w:rsid w:val="007D7F67"/>
    <w:rsid w:val="007D7FE1"/>
    <w:rsid w:val="007E1D9C"/>
    <w:rsid w:val="007E67FB"/>
    <w:rsid w:val="007F172E"/>
    <w:rsid w:val="007F56A4"/>
    <w:rsid w:val="007F5AA8"/>
    <w:rsid w:val="00811F46"/>
    <w:rsid w:val="008121FA"/>
    <w:rsid w:val="0081428A"/>
    <w:rsid w:val="00817117"/>
    <w:rsid w:val="00821B87"/>
    <w:rsid w:val="00822122"/>
    <w:rsid w:val="008348BC"/>
    <w:rsid w:val="00836F87"/>
    <w:rsid w:val="00852F52"/>
    <w:rsid w:val="00866148"/>
    <w:rsid w:val="008712C9"/>
    <w:rsid w:val="0087150C"/>
    <w:rsid w:val="00873747"/>
    <w:rsid w:val="008761C2"/>
    <w:rsid w:val="008820A9"/>
    <w:rsid w:val="008835F1"/>
    <w:rsid w:val="00885895"/>
    <w:rsid w:val="0089326A"/>
    <w:rsid w:val="008A0C56"/>
    <w:rsid w:val="008A1C75"/>
    <w:rsid w:val="008A590D"/>
    <w:rsid w:val="008B186F"/>
    <w:rsid w:val="008B2213"/>
    <w:rsid w:val="008C1C30"/>
    <w:rsid w:val="008C2A32"/>
    <w:rsid w:val="008C48DD"/>
    <w:rsid w:val="008D06F2"/>
    <w:rsid w:val="008D74AC"/>
    <w:rsid w:val="008E424C"/>
    <w:rsid w:val="008F0476"/>
    <w:rsid w:val="00906423"/>
    <w:rsid w:val="00920BF5"/>
    <w:rsid w:val="00923457"/>
    <w:rsid w:val="00933760"/>
    <w:rsid w:val="00935E1B"/>
    <w:rsid w:val="00936B0C"/>
    <w:rsid w:val="00946618"/>
    <w:rsid w:val="009528C2"/>
    <w:rsid w:val="00954353"/>
    <w:rsid w:val="00954AFA"/>
    <w:rsid w:val="00956ECC"/>
    <w:rsid w:val="00960953"/>
    <w:rsid w:val="00961AED"/>
    <w:rsid w:val="00967657"/>
    <w:rsid w:val="0096765A"/>
    <w:rsid w:val="0098770B"/>
    <w:rsid w:val="0099765F"/>
    <w:rsid w:val="009A2569"/>
    <w:rsid w:val="009C5833"/>
    <w:rsid w:val="009C5DE4"/>
    <w:rsid w:val="009C7305"/>
    <w:rsid w:val="009D20C4"/>
    <w:rsid w:val="009D2369"/>
    <w:rsid w:val="009D26D5"/>
    <w:rsid w:val="009E5BE1"/>
    <w:rsid w:val="00A047E3"/>
    <w:rsid w:val="00A1484E"/>
    <w:rsid w:val="00A23ED7"/>
    <w:rsid w:val="00A25254"/>
    <w:rsid w:val="00A25CC0"/>
    <w:rsid w:val="00A30485"/>
    <w:rsid w:val="00A3666C"/>
    <w:rsid w:val="00A44151"/>
    <w:rsid w:val="00A449DE"/>
    <w:rsid w:val="00A44AFF"/>
    <w:rsid w:val="00A53177"/>
    <w:rsid w:val="00A57562"/>
    <w:rsid w:val="00A61865"/>
    <w:rsid w:val="00A70566"/>
    <w:rsid w:val="00A765BF"/>
    <w:rsid w:val="00A767EA"/>
    <w:rsid w:val="00A83E6A"/>
    <w:rsid w:val="00A842F4"/>
    <w:rsid w:val="00A85D0E"/>
    <w:rsid w:val="00A91DA7"/>
    <w:rsid w:val="00AA1E47"/>
    <w:rsid w:val="00AB22FC"/>
    <w:rsid w:val="00AB6943"/>
    <w:rsid w:val="00AC7D85"/>
    <w:rsid w:val="00AC7F2B"/>
    <w:rsid w:val="00AD7CD0"/>
    <w:rsid w:val="00AE1F88"/>
    <w:rsid w:val="00AE7070"/>
    <w:rsid w:val="00AF14A3"/>
    <w:rsid w:val="00B06759"/>
    <w:rsid w:val="00B1595B"/>
    <w:rsid w:val="00B262CF"/>
    <w:rsid w:val="00B277B3"/>
    <w:rsid w:val="00B35E40"/>
    <w:rsid w:val="00B5238B"/>
    <w:rsid w:val="00B528E9"/>
    <w:rsid w:val="00B559A9"/>
    <w:rsid w:val="00B66785"/>
    <w:rsid w:val="00B73020"/>
    <w:rsid w:val="00B73D19"/>
    <w:rsid w:val="00B755AC"/>
    <w:rsid w:val="00B77D19"/>
    <w:rsid w:val="00B77EE2"/>
    <w:rsid w:val="00B938E7"/>
    <w:rsid w:val="00B93B11"/>
    <w:rsid w:val="00BA3D95"/>
    <w:rsid w:val="00BA4CCE"/>
    <w:rsid w:val="00BC5D65"/>
    <w:rsid w:val="00BD00F7"/>
    <w:rsid w:val="00BD61E8"/>
    <w:rsid w:val="00BD6BAF"/>
    <w:rsid w:val="00BE587C"/>
    <w:rsid w:val="00C0342F"/>
    <w:rsid w:val="00C036E2"/>
    <w:rsid w:val="00C11046"/>
    <w:rsid w:val="00C44976"/>
    <w:rsid w:val="00C45196"/>
    <w:rsid w:val="00C5090E"/>
    <w:rsid w:val="00C6119D"/>
    <w:rsid w:val="00C664FD"/>
    <w:rsid w:val="00C76126"/>
    <w:rsid w:val="00C82242"/>
    <w:rsid w:val="00C87EFD"/>
    <w:rsid w:val="00CA3795"/>
    <w:rsid w:val="00CB0CB8"/>
    <w:rsid w:val="00CB42FB"/>
    <w:rsid w:val="00CC02AD"/>
    <w:rsid w:val="00CC2802"/>
    <w:rsid w:val="00CC383F"/>
    <w:rsid w:val="00CC5C6D"/>
    <w:rsid w:val="00CD34CE"/>
    <w:rsid w:val="00CD5C5A"/>
    <w:rsid w:val="00CE235A"/>
    <w:rsid w:val="00CF5C24"/>
    <w:rsid w:val="00D014C7"/>
    <w:rsid w:val="00D07D4C"/>
    <w:rsid w:val="00D11C2F"/>
    <w:rsid w:val="00D130C7"/>
    <w:rsid w:val="00D16ED7"/>
    <w:rsid w:val="00D20E69"/>
    <w:rsid w:val="00D41AD3"/>
    <w:rsid w:val="00D43976"/>
    <w:rsid w:val="00D45F6D"/>
    <w:rsid w:val="00D5091B"/>
    <w:rsid w:val="00D524DF"/>
    <w:rsid w:val="00D5674E"/>
    <w:rsid w:val="00D574E6"/>
    <w:rsid w:val="00D6382B"/>
    <w:rsid w:val="00D659ED"/>
    <w:rsid w:val="00D74944"/>
    <w:rsid w:val="00D760A1"/>
    <w:rsid w:val="00D777C5"/>
    <w:rsid w:val="00D84EC0"/>
    <w:rsid w:val="00D9494D"/>
    <w:rsid w:val="00D94AE6"/>
    <w:rsid w:val="00D95A8A"/>
    <w:rsid w:val="00D9742C"/>
    <w:rsid w:val="00D97D12"/>
    <w:rsid w:val="00DA6985"/>
    <w:rsid w:val="00DB0E21"/>
    <w:rsid w:val="00DB12AA"/>
    <w:rsid w:val="00DB1F84"/>
    <w:rsid w:val="00DB2A41"/>
    <w:rsid w:val="00DB7741"/>
    <w:rsid w:val="00DC0D44"/>
    <w:rsid w:val="00DC1394"/>
    <w:rsid w:val="00DC2D21"/>
    <w:rsid w:val="00DE2284"/>
    <w:rsid w:val="00DE3642"/>
    <w:rsid w:val="00DF6A8C"/>
    <w:rsid w:val="00E00557"/>
    <w:rsid w:val="00E02B62"/>
    <w:rsid w:val="00E039FA"/>
    <w:rsid w:val="00E04A81"/>
    <w:rsid w:val="00E078C0"/>
    <w:rsid w:val="00E1048B"/>
    <w:rsid w:val="00E14522"/>
    <w:rsid w:val="00E2231B"/>
    <w:rsid w:val="00E23F0D"/>
    <w:rsid w:val="00E31656"/>
    <w:rsid w:val="00E33182"/>
    <w:rsid w:val="00E34678"/>
    <w:rsid w:val="00E41757"/>
    <w:rsid w:val="00E44D6C"/>
    <w:rsid w:val="00E44E44"/>
    <w:rsid w:val="00E4753D"/>
    <w:rsid w:val="00E479F5"/>
    <w:rsid w:val="00E47C2E"/>
    <w:rsid w:val="00E50E45"/>
    <w:rsid w:val="00E56A53"/>
    <w:rsid w:val="00E65D03"/>
    <w:rsid w:val="00E70363"/>
    <w:rsid w:val="00E71058"/>
    <w:rsid w:val="00E862F5"/>
    <w:rsid w:val="00E912F4"/>
    <w:rsid w:val="00E92293"/>
    <w:rsid w:val="00EB26DD"/>
    <w:rsid w:val="00EC190E"/>
    <w:rsid w:val="00EC194A"/>
    <w:rsid w:val="00EC5DF8"/>
    <w:rsid w:val="00ED6296"/>
    <w:rsid w:val="00EF1049"/>
    <w:rsid w:val="00EF1E24"/>
    <w:rsid w:val="00F01CA0"/>
    <w:rsid w:val="00F118A7"/>
    <w:rsid w:val="00F17315"/>
    <w:rsid w:val="00F20EAE"/>
    <w:rsid w:val="00F24067"/>
    <w:rsid w:val="00F24C91"/>
    <w:rsid w:val="00F35248"/>
    <w:rsid w:val="00F35FB4"/>
    <w:rsid w:val="00F41C82"/>
    <w:rsid w:val="00F432A7"/>
    <w:rsid w:val="00F51417"/>
    <w:rsid w:val="00F53C52"/>
    <w:rsid w:val="00F5422B"/>
    <w:rsid w:val="00F61F9D"/>
    <w:rsid w:val="00F632D1"/>
    <w:rsid w:val="00F65CEE"/>
    <w:rsid w:val="00F67547"/>
    <w:rsid w:val="00F7062C"/>
    <w:rsid w:val="00F70ADB"/>
    <w:rsid w:val="00F71377"/>
    <w:rsid w:val="00F77331"/>
    <w:rsid w:val="00F815AE"/>
    <w:rsid w:val="00F91193"/>
    <w:rsid w:val="00FA3EC9"/>
    <w:rsid w:val="00FA62E8"/>
    <w:rsid w:val="00FB38E8"/>
    <w:rsid w:val="00FB742F"/>
    <w:rsid w:val="00FD0CF6"/>
    <w:rsid w:val="00FD5420"/>
    <w:rsid w:val="00FE2E29"/>
    <w:rsid w:val="00FE7D0A"/>
    <w:rsid w:val="00FF2807"/>
    <w:rsid w:val="00FF4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F1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418F"/>
    <w:pPr>
      <w:tabs>
        <w:tab w:val="center" w:pos="4153"/>
        <w:tab w:val="right" w:pos="8306"/>
      </w:tabs>
    </w:pPr>
  </w:style>
  <w:style w:type="character" w:customStyle="1" w:styleId="FooterChar">
    <w:name w:val="Footer Char"/>
    <w:basedOn w:val="DefaultParagraphFont"/>
    <w:link w:val="Footer"/>
    <w:uiPriority w:val="99"/>
    <w:rsid w:val="005C418F"/>
    <w:rPr>
      <w:rFonts w:ascii="Times New Roman" w:eastAsia="Times New Roman" w:hAnsi="Times New Roman" w:cs="Times New Roman"/>
      <w:sz w:val="24"/>
      <w:szCs w:val="24"/>
      <w:lang w:eastAsia="ru-RU"/>
    </w:rPr>
  </w:style>
  <w:style w:type="character" w:styleId="PageNumber">
    <w:name w:val="page number"/>
    <w:basedOn w:val="DefaultParagraphFont"/>
    <w:rsid w:val="005C418F"/>
  </w:style>
  <w:style w:type="paragraph" w:styleId="Header">
    <w:name w:val="header"/>
    <w:basedOn w:val="Normal"/>
    <w:link w:val="HeaderChar"/>
    <w:rsid w:val="005C418F"/>
    <w:pPr>
      <w:tabs>
        <w:tab w:val="center" w:pos="4320"/>
        <w:tab w:val="right" w:pos="8640"/>
      </w:tabs>
    </w:pPr>
    <w:rPr>
      <w:lang w:val="x-none"/>
    </w:rPr>
  </w:style>
  <w:style w:type="character" w:customStyle="1" w:styleId="HeaderChar">
    <w:name w:val="Header Char"/>
    <w:basedOn w:val="DefaultParagraphFont"/>
    <w:link w:val="Header"/>
    <w:rsid w:val="005C418F"/>
    <w:rPr>
      <w:rFonts w:ascii="Times New Roman" w:eastAsia="Times New Roman" w:hAnsi="Times New Roman" w:cs="Times New Roman"/>
      <w:sz w:val="24"/>
      <w:szCs w:val="24"/>
      <w:lang w:val="x-none" w:eastAsia="ru-RU"/>
    </w:rPr>
  </w:style>
  <w:style w:type="table" w:styleId="TableGrid">
    <w:name w:val="Table Grid"/>
    <w:basedOn w:val="TableNormal"/>
    <w:rsid w:val="005C41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418F"/>
    <w:pPr>
      <w:spacing w:before="100" w:beforeAutospacing="1" w:after="100" w:afterAutospacing="1"/>
    </w:pPr>
    <w:rPr>
      <w:lang w:eastAsia="lv-LV"/>
    </w:rPr>
  </w:style>
  <w:style w:type="character" w:styleId="Hyperlink">
    <w:name w:val="Hyperlink"/>
    <w:basedOn w:val="DefaultParagraphFont"/>
    <w:uiPriority w:val="99"/>
    <w:unhideWhenUsed/>
    <w:rsid w:val="000460B2"/>
    <w:rPr>
      <w:color w:val="0563C1" w:themeColor="hyperlink"/>
      <w:u w:val="single"/>
    </w:rPr>
  </w:style>
  <w:style w:type="character" w:customStyle="1" w:styleId="UnresolvedMention1">
    <w:name w:val="Unresolved Mention1"/>
    <w:basedOn w:val="DefaultParagraphFont"/>
    <w:uiPriority w:val="99"/>
    <w:semiHidden/>
    <w:unhideWhenUsed/>
    <w:rsid w:val="000460B2"/>
    <w:rPr>
      <w:color w:val="605E5C"/>
      <w:shd w:val="clear" w:color="auto" w:fill="E1DFDD"/>
    </w:rPr>
  </w:style>
  <w:style w:type="character" w:styleId="FollowedHyperlink">
    <w:name w:val="FollowedHyperlink"/>
    <w:basedOn w:val="DefaultParagraphFont"/>
    <w:uiPriority w:val="99"/>
    <w:semiHidden/>
    <w:unhideWhenUsed/>
    <w:rsid w:val="002141EB"/>
    <w:rPr>
      <w:color w:val="954F72" w:themeColor="followedHyperlink"/>
      <w:u w:val="single"/>
    </w:rPr>
  </w:style>
  <w:style w:type="paragraph" w:styleId="Revision">
    <w:name w:val="Revision"/>
    <w:hidden/>
    <w:uiPriority w:val="99"/>
    <w:semiHidden/>
    <w:rsid w:val="00502CE4"/>
    <w:pPr>
      <w:spacing w:after="0"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0E2E33"/>
    <w:rPr>
      <w:sz w:val="16"/>
      <w:szCs w:val="16"/>
    </w:rPr>
  </w:style>
  <w:style w:type="paragraph" w:styleId="CommentText">
    <w:name w:val="annotation text"/>
    <w:basedOn w:val="Normal"/>
    <w:link w:val="CommentTextChar"/>
    <w:uiPriority w:val="99"/>
    <w:semiHidden/>
    <w:unhideWhenUsed/>
    <w:rsid w:val="000E2E33"/>
    <w:rPr>
      <w:sz w:val="20"/>
      <w:szCs w:val="20"/>
    </w:rPr>
  </w:style>
  <w:style w:type="character" w:customStyle="1" w:styleId="CommentTextChar">
    <w:name w:val="Comment Text Char"/>
    <w:basedOn w:val="DefaultParagraphFont"/>
    <w:link w:val="CommentText"/>
    <w:uiPriority w:val="99"/>
    <w:semiHidden/>
    <w:rsid w:val="000E2E3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E2E33"/>
    <w:rPr>
      <w:b/>
      <w:bCs/>
    </w:rPr>
  </w:style>
  <w:style w:type="character" w:customStyle="1" w:styleId="CommentSubjectChar">
    <w:name w:val="Comment Subject Char"/>
    <w:basedOn w:val="CommentTextChar"/>
    <w:link w:val="CommentSubject"/>
    <w:uiPriority w:val="99"/>
    <w:semiHidden/>
    <w:rsid w:val="000E2E33"/>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35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FB4"/>
    <w:rPr>
      <w:rFonts w:ascii="Segoe UI" w:eastAsia="Times New Roman" w:hAnsi="Segoe UI" w:cs="Segoe UI"/>
      <w:sz w:val="18"/>
      <w:szCs w:val="18"/>
      <w:lang w:eastAsia="ru-RU"/>
    </w:rPr>
  </w:style>
  <w:style w:type="character" w:styleId="UnresolvedMention">
    <w:name w:val="Unresolved Mention"/>
    <w:basedOn w:val="DefaultParagraphFont"/>
    <w:uiPriority w:val="99"/>
    <w:semiHidden/>
    <w:unhideWhenUsed/>
    <w:rsid w:val="007E6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0974">
      <w:bodyDiv w:val="1"/>
      <w:marLeft w:val="0"/>
      <w:marRight w:val="0"/>
      <w:marTop w:val="0"/>
      <w:marBottom w:val="0"/>
      <w:divBdr>
        <w:top w:val="none" w:sz="0" w:space="0" w:color="auto"/>
        <w:left w:val="none" w:sz="0" w:space="0" w:color="auto"/>
        <w:bottom w:val="none" w:sz="0" w:space="0" w:color="auto"/>
        <w:right w:val="none" w:sz="0" w:space="0" w:color="auto"/>
      </w:divBdr>
    </w:div>
    <w:div w:id="833883288">
      <w:bodyDiv w:val="1"/>
      <w:marLeft w:val="0"/>
      <w:marRight w:val="0"/>
      <w:marTop w:val="0"/>
      <w:marBottom w:val="0"/>
      <w:divBdr>
        <w:top w:val="none" w:sz="0" w:space="0" w:color="auto"/>
        <w:left w:val="none" w:sz="0" w:space="0" w:color="auto"/>
        <w:bottom w:val="none" w:sz="0" w:space="0" w:color="auto"/>
        <w:right w:val="none" w:sz="0" w:space="0" w:color="auto"/>
      </w:divBdr>
    </w:div>
    <w:div w:id="1666277764">
      <w:bodyDiv w:val="1"/>
      <w:marLeft w:val="0"/>
      <w:marRight w:val="0"/>
      <w:marTop w:val="0"/>
      <w:marBottom w:val="0"/>
      <w:divBdr>
        <w:top w:val="none" w:sz="0" w:space="0" w:color="auto"/>
        <w:left w:val="none" w:sz="0" w:space="0" w:color="auto"/>
        <w:bottom w:val="none" w:sz="0" w:space="0" w:color="auto"/>
        <w:right w:val="none" w:sz="0" w:space="0" w:color="auto"/>
      </w:divBdr>
    </w:div>
    <w:div w:id="1669290544">
      <w:bodyDiv w:val="1"/>
      <w:marLeft w:val="0"/>
      <w:marRight w:val="0"/>
      <w:marTop w:val="0"/>
      <w:marBottom w:val="0"/>
      <w:divBdr>
        <w:top w:val="none" w:sz="0" w:space="0" w:color="auto"/>
        <w:left w:val="none" w:sz="0" w:space="0" w:color="auto"/>
        <w:bottom w:val="none" w:sz="0" w:space="0" w:color="auto"/>
        <w:right w:val="none" w:sz="0" w:space="0" w:color="auto"/>
      </w:divBdr>
    </w:div>
    <w:div w:id="1674186817">
      <w:bodyDiv w:val="1"/>
      <w:marLeft w:val="0"/>
      <w:marRight w:val="0"/>
      <w:marTop w:val="0"/>
      <w:marBottom w:val="0"/>
      <w:divBdr>
        <w:top w:val="none" w:sz="0" w:space="0" w:color="auto"/>
        <w:left w:val="none" w:sz="0" w:space="0" w:color="auto"/>
        <w:bottom w:val="none" w:sz="0" w:space="0" w:color="auto"/>
        <w:right w:val="none" w:sz="0" w:space="0" w:color="auto"/>
      </w:divBdr>
    </w:div>
    <w:div w:id="21333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s://tis.ta.gov.lv/tisreal?Form=TISDOCFILEVIEW&amp;id=74920029" TargetMode="External"/><Relationship Id="rId18" Type="http://schemas.openxmlformats.org/officeDocument/2006/relationships/hyperlink" Target="http://hudoc.echr.coe.int/eng?i=001-168761" TargetMode="External"/><Relationship Id="rId26" Type="http://schemas.openxmlformats.org/officeDocument/2006/relationships/hyperlink" Target="https://tis.ta.gov.lv/tisreal?Form=TISDOCFILEVIEW&amp;id=6218520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is.ta.gov.lv/tisreal?Form=TISDOCFILEVIEW&amp;id=7492002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is.ta.gov.lv/tisreal?Form=TISDOCFILEVIEW&amp;id=82454769" TargetMode="External"/><Relationship Id="rId17" Type="http://schemas.openxmlformats.org/officeDocument/2006/relationships/hyperlink" Target="https://tis.ta.gov.lv/tisreal?Form=TISDOCFILEVIEW&amp;id=74920029" TargetMode="External"/><Relationship Id="rId25" Type="http://schemas.openxmlformats.org/officeDocument/2006/relationships/hyperlink" Target="https://tis.ta.gov.lv/tisreal?Form=TISDOCFILEVIEW&amp;id=82454769" TargetMode="External"/><Relationship Id="rId33" Type="http://schemas.openxmlformats.org/officeDocument/2006/relationships/hyperlink" Target="https://tis.ta.gov.lv/tisreal?Form=TISDOCFILEVIEW&amp;id=77713001"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udoc.echr.coe.int/eng?i=001-67818" TargetMode="External"/><Relationship Id="rId20" Type="http://schemas.openxmlformats.org/officeDocument/2006/relationships/hyperlink" Target="https://tis.ta.gov.lv/tisreal?Form=TISDOCFILEVIEW&amp;id=62185200" TargetMode="External"/><Relationship Id="rId29" Type="http://schemas.openxmlformats.org/officeDocument/2006/relationships/hyperlink" Target="https://tis.ta.gov.lv/tisreal?Form=TISDOCFILEVIEW&amp;id=531911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lv/2017/12/05/nav-vardu/" TargetMode="External"/><Relationship Id="rId24" Type="http://schemas.openxmlformats.org/officeDocument/2006/relationships/hyperlink" Target="https://tis.ta.gov.lv/tisreal?Form=TISDOCFILEVIEW&amp;id=79784901" TargetMode="External"/><Relationship Id="rId32" Type="http://schemas.openxmlformats.org/officeDocument/2006/relationships/hyperlink" Target="https://tis.ta.gov.lv/tisreal?Form=TISDOCFILEVIEW&amp;id=7978490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doc.echr.coe.int/eng?i=001-95920" TargetMode="External"/><Relationship Id="rId23" Type="http://schemas.openxmlformats.org/officeDocument/2006/relationships/hyperlink" Target="https://tis.ta.gov.lv/tisreal?Form=TISDOCFILEVIEW&amp;id=1030735" TargetMode="External"/><Relationship Id="rId28" Type="http://schemas.openxmlformats.org/officeDocument/2006/relationships/hyperlink" Target="https://tis.ta.gov.lv/tisreal?Form=TISDOCFILEVIEW&amp;id=66668085" TargetMode="External"/><Relationship Id="rId36" Type="http://schemas.openxmlformats.org/officeDocument/2006/relationships/footer" Target="footer2.xml"/><Relationship Id="rId10" Type="http://schemas.openxmlformats.org/officeDocument/2006/relationships/hyperlink" Target="https://ir.lv/2017/11/29/shemotaju-glabejengeli/" TargetMode="External"/><Relationship Id="rId19" Type="http://schemas.openxmlformats.org/officeDocument/2006/relationships/hyperlink" Target="https://hudoc.echr.coe.int/eng?i=001-187397" TargetMode="External"/><Relationship Id="rId31" Type="http://schemas.openxmlformats.org/officeDocument/2006/relationships/hyperlink" Target="https://tis.ta.gov.lv/tisreal?Form=TISDOCFILEVIEW&amp;id=69317931" TargetMode="External"/><Relationship Id="rId4" Type="http://schemas.openxmlformats.org/officeDocument/2006/relationships/settings" Target="settings.xml"/><Relationship Id="rId9" Type="http://schemas.openxmlformats.org/officeDocument/2006/relationships/hyperlink" Target="https://ir.lv/2017/11/22/tiesnesi-pret-likumu/" TargetMode="External"/><Relationship Id="rId14" Type="http://schemas.openxmlformats.org/officeDocument/2006/relationships/hyperlink" Target="https://hudoc.echr.coe.int/eng?i=001-213790" TargetMode="External"/><Relationship Id="rId22" Type="http://schemas.openxmlformats.org/officeDocument/2006/relationships/hyperlink" Target="http://hudoc.echr.coe.int/eng?i=001-154265" TargetMode="External"/><Relationship Id="rId27" Type="http://schemas.openxmlformats.org/officeDocument/2006/relationships/hyperlink" Target="https://tis.ta.gov.lv/tisreal?Form=TISDOCFILEVIEW&amp;id=70060718" TargetMode="External"/><Relationship Id="rId30" Type="http://schemas.openxmlformats.org/officeDocument/2006/relationships/hyperlink" Target="https://tis.ta.gov.lv/tisreal?Form=TISDOCFILEVIEW&amp;id=68748430"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4BDE8D6594C50856BB1A7D5CBCE1D"/>
        <w:category>
          <w:name w:val="General"/>
          <w:gallery w:val="placeholder"/>
        </w:category>
        <w:types>
          <w:type w:val="bbPlcHdr"/>
        </w:types>
        <w:behaviors>
          <w:behavior w:val="content"/>
        </w:behaviors>
        <w:guid w:val="{CFC89C90-F2CF-4824-9281-5BC5844359AA}"/>
      </w:docPartPr>
      <w:docPartBody>
        <w:p w:rsidR="00A42788" w:rsidRDefault="00901A72" w:rsidP="00901A72">
          <w:pPr>
            <w:pStyle w:val="2314BDE8D6594C50856BB1A7D5CBCE1D"/>
          </w:pPr>
          <w:r w:rsidRPr="005E35BB">
            <w:rPr>
              <w:rStyle w:val="PlaceholderText"/>
            </w:rPr>
            <w:t>Choose an item.</w:t>
          </w:r>
        </w:p>
      </w:docPartBody>
    </w:docPart>
    <w:docPart>
      <w:docPartPr>
        <w:name w:val="0FE2756729AE43BE88C5E27E673A3DE5"/>
        <w:category>
          <w:name w:val="General"/>
          <w:gallery w:val="placeholder"/>
        </w:category>
        <w:types>
          <w:type w:val="bbPlcHdr"/>
        </w:types>
        <w:behaviors>
          <w:behavior w:val="content"/>
        </w:behaviors>
        <w:guid w:val="{8D3D79F8-A27F-4846-9752-D82CF78E9D4F}"/>
      </w:docPartPr>
      <w:docPartBody>
        <w:p w:rsidR="00A42788" w:rsidRDefault="00901A72" w:rsidP="00901A72">
          <w:pPr>
            <w:pStyle w:val="0FE2756729AE43BE88C5E27E673A3DE5"/>
          </w:pPr>
          <w:r w:rsidRPr="005E35BB">
            <w:rPr>
              <w:rStyle w:val="PlaceholderText"/>
            </w:rPr>
            <w:t>Choose an item.</w:t>
          </w:r>
        </w:p>
      </w:docPartBody>
    </w:docPart>
    <w:docPart>
      <w:docPartPr>
        <w:name w:val="F2B6534A6B6E46B09B5108CC4013B9C5"/>
        <w:category>
          <w:name w:val="General"/>
          <w:gallery w:val="placeholder"/>
        </w:category>
        <w:types>
          <w:type w:val="bbPlcHdr"/>
        </w:types>
        <w:behaviors>
          <w:behavior w:val="content"/>
        </w:behaviors>
        <w:guid w:val="{013617E3-652D-4E92-A8FC-E64800E85754}"/>
      </w:docPartPr>
      <w:docPartBody>
        <w:p w:rsidR="00F04E11" w:rsidRDefault="00A8657A" w:rsidP="00A8657A">
          <w:pPr>
            <w:pStyle w:val="F2B6534A6B6E46B09B5108CC4013B9C5"/>
          </w:pPr>
          <w:r w:rsidRPr="005E35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72"/>
    <w:rsid w:val="001A54ED"/>
    <w:rsid w:val="001B2C2B"/>
    <w:rsid w:val="00391B88"/>
    <w:rsid w:val="004D4A06"/>
    <w:rsid w:val="004D7966"/>
    <w:rsid w:val="00556872"/>
    <w:rsid w:val="0062482D"/>
    <w:rsid w:val="00721CCB"/>
    <w:rsid w:val="00901A72"/>
    <w:rsid w:val="0095796E"/>
    <w:rsid w:val="00A42788"/>
    <w:rsid w:val="00A8657A"/>
    <w:rsid w:val="00B52A77"/>
    <w:rsid w:val="00C22994"/>
    <w:rsid w:val="00D57ADC"/>
    <w:rsid w:val="00F04E11"/>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57A"/>
    <w:rPr>
      <w:color w:val="808080"/>
    </w:rPr>
  </w:style>
  <w:style w:type="paragraph" w:customStyle="1" w:styleId="2314BDE8D6594C50856BB1A7D5CBCE1D">
    <w:name w:val="2314BDE8D6594C50856BB1A7D5CBCE1D"/>
    <w:rsid w:val="00901A72"/>
  </w:style>
  <w:style w:type="paragraph" w:customStyle="1" w:styleId="0FE2756729AE43BE88C5E27E673A3DE5">
    <w:name w:val="0FE2756729AE43BE88C5E27E673A3DE5"/>
    <w:rsid w:val="00901A72"/>
  </w:style>
  <w:style w:type="paragraph" w:customStyle="1" w:styleId="F2B6534A6B6E46B09B5108CC4013B9C5">
    <w:name w:val="F2B6534A6B6E46B09B5108CC4013B9C5"/>
    <w:rsid w:val="00A8657A"/>
    <w:rPr>
      <w:lang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E5EB-7B9E-468A-A916-4113EE77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25679</Words>
  <Characters>14638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2022-09-15T08:24:00Z</dcterms:created>
  <dcterms:modified xsi:type="dcterms:W3CDTF">2022-10-05T06:52:00Z</dcterms:modified>
</cp:coreProperties>
</file>