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6A966C" w14:textId="77777777" w:rsidR="00214BD7" w:rsidRDefault="00214BD7" w:rsidP="00214BD7">
      <w:pPr>
        <w:autoSpaceDE w:val="0"/>
        <w:autoSpaceDN w:val="0"/>
        <w:spacing w:line="276" w:lineRule="auto"/>
        <w:jc w:val="both"/>
        <w:rPr>
          <w:rFonts w:ascii="TimesNewRomanPSMT" w:hAnsi="TimesNewRomanPSMT"/>
          <w:b/>
          <w:bCs/>
          <w:lang w:val="en-US" w:eastAsia="en-US"/>
        </w:rPr>
      </w:pPr>
      <w:r>
        <w:rPr>
          <w:rFonts w:ascii="TimesNewRomanPSMT" w:hAnsi="TimesNewRomanPSMT"/>
          <w:b/>
          <w:bCs/>
        </w:rPr>
        <w:t xml:space="preserve">Salīdzināmo nekontrolēto cenu metodes piemērošanā noskaidrojamie apstākļi </w:t>
      </w:r>
    </w:p>
    <w:p w14:paraId="3619710C" w14:textId="77777777" w:rsidR="00214BD7" w:rsidRDefault="00214BD7" w:rsidP="00214BD7">
      <w:pPr>
        <w:autoSpaceDE w:val="0"/>
        <w:autoSpaceDN w:val="0"/>
        <w:spacing w:line="276" w:lineRule="auto"/>
        <w:jc w:val="both"/>
        <w:rPr>
          <w:rFonts w:ascii="TimesNewRomanPSMT" w:hAnsi="TimesNewRomanPSMT"/>
        </w:rPr>
      </w:pPr>
      <w:r>
        <w:rPr>
          <w:rFonts w:ascii="TimesNewRomanPSMT" w:hAnsi="TimesNewRomanPSMT"/>
        </w:rPr>
        <w:t>Piemērojot salīdzināmo nekontrolēto cenu metodi, primāri ir noskaidrojams, vai pārbaudāmais darījums starp saistītajiem uzņēmumiem ir salīdzināms ar darījumu starp neatkarīgajiem uzņēmumiem un vai ir identificējamas atšķirības, kas būtiski ietekmē salīdzināmības drošumu un ticamību. Ja šādas atšķirības ir identificējamas, nepieciešams veikt pielāgojumus, ja tas ir iespējams, lai tādējādi izslēgtu identificēto atšķirību būtisku ietekmi.</w:t>
      </w:r>
    </w:p>
    <w:p w14:paraId="09129B9A" w14:textId="77777777" w:rsidR="00214BD7" w:rsidRDefault="00214BD7" w:rsidP="00214BD7">
      <w:pPr>
        <w:autoSpaceDE w:val="0"/>
        <w:autoSpaceDN w:val="0"/>
        <w:spacing w:line="276" w:lineRule="auto"/>
        <w:jc w:val="both"/>
        <w:rPr>
          <w:rFonts w:ascii="TimesNewRomanPSMT" w:hAnsi="TimesNewRomanPSMT"/>
        </w:rPr>
      </w:pPr>
      <w:r>
        <w:rPr>
          <w:rFonts w:ascii="TimesNewRomanPSMT" w:hAnsi="TimesNewRomanPSMT"/>
        </w:rPr>
        <w:t xml:space="preserve">Piemērojot salīdzināmo nekontrolēto cenu metodi, nepieciešams salīdzināt virkni darījumus raksturojošo elementu. Tiesību normās norādīts arī uz korekciju un matemātisku aprēķinu veikšanu, lai uzlabotu salīdzināšanas ticamību un izslēgtu salīdzināmajos darījumos konstatēto atšķirību būtisku ietekmi. Proti, ja salīdzināmības analīzes rezultātā salīdzināmajos darījumos tiek konstatētas atšķirības un to būtiska ietekme, ir nepieciešams veikt atbilstošas korekcijas vai matemātiskus aprēķinus. </w:t>
      </w:r>
    </w:p>
    <w:p w14:paraId="45389B5C" w14:textId="77777777" w:rsidR="00214BD7" w:rsidRDefault="00214BD7" w:rsidP="00214BD7">
      <w:pPr>
        <w:autoSpaceDE w:val="0"/>
        <w:autoSpaceDN w:val="0"/>
        <w:spacing w:line="276" w:lineRule="auto"/>
        <w:rPr>
          <w:rFonts w:ascii="TimesNewRomanPSMT" w:hAnsi="TimesNewRomanPSMT"/>
        </w:rPr>
      </w:pPr>
    </w:p>
    <w:p w14:paraId="27ACE3BA" w14:textId="77777777" w:rsidR="00214BD7" w:rsidRDefault="00214BD7" w:rsidP="00214BD7">
      <w:pPr>
        <w:autoSpaceDE w:val="0"/>
        <w:autoSpaceDN w:val="0"/>
        <w:spacing w:line="276" w:lineRule="auto"/>
        <w:rPr>
          <w:rFonts w:ascii="TimesNewRomanPSMT" w:hAnsi="TimesNewRomanPSMT"/>
          <w:b/>
          <w:bCs/>
        </w:rPr>
      </w:pPr>
      <w:r>
        <w:rPr>
          <w:rFonts w:ascii="TimesNewRomanPSMT" w:hAnsi="TimesNewRomanPSMT"/>
          <w:b/>
          <w:bCs/>
        </w:rPr>
        <w:t xml:space="preserve">Tiesību iepazīties ar lietas materiāliem un izteikties par tiem ierobežošana </w:t>
      </w:r>
    </w:p>
    <w:p w14:paraId="2EA91F1A" w14:textId="77777777" w:rsidR="00214BD7" w:rsidRDefault="00214BD7" w:rsidP="00214BD7">
      <w:pPr>
        <w:autoSpaceDE w:val="0"/>
        <w:autoSpaceDN w:val="0"/>
        <w:spacing w:line="276" w:lineRule="auto"/>
        <w:jc w:val="both"/>
        <w:rPr>
          <w:rFonts w:ascii="TimesNewRomanPSMT" w:hAnsi="TimesNewRomanPSMT"/>
        </w:rPr>
      </w:pPr>
      <w:r>
        <w:rPr>
          <w:rFonts w:ascii="TimesNewRomanPSMT" w:hAnsi="TimesNewRomanPSMT"/>
        </w:rPr>
        <w:t xml:space="preserve">Administratīvā procesa dalībniekiem tiesā ir no tiesību normām izrietošas tiesības iepazīties ar lietas materiāliem un izteikt par tiem savu viedokli. Arī Eiropas Cilvēktiesību tiesa ir uzsvērusi, ka procesa dalībniekiem ir jānodrošina iespēja iepazīties ar pierādījumiem, kā arī piemērotā formā un atbilstošā laikā sniegt viedokli par šiem pierādījumiem, to saturu un autentiskumu. Īpaša nozīme ir personu uzticībai taisnīgai tiesai, kas balstās arī uz pieņēmumu, ka personai tiek dota iespēja paust viedokli par katru lietas materiālos esošo dokumentu. </w:t>
      </w:r>
    </w:p>
    <w:p w14:paraId="291AFBB1" w14:textId="77777777" w:rsidR="00214BD7" w:rsidRDefault="00214BD7" w:rsidP="00214BD7">
      <w:pPr>
        <w:autoSpaceDE w:val="0"/>
        <w:autoSpaceDN w:val="0"/>
        <w:spacing w:line="276" w:lineRule="auto"/>
        <w:jc w:val="both"/>
        <w:rPr>
          <w:rFonts w:ascii="TimesNewRomanPSMT" w:hAnsi="TimesNewRomanPSMT"/>
        </w:rPr>
      </w:pPr>
      <w:r>
        <w:rPr>
          <w:rFonts w:ascii="TimesNewRomanPSMT" w:hAnsi="TimesNewRomanPSMT"/>
        </w:rPr>
        <w:t>Vienlaikus Administratīvā procesa likuma 145.panta ceturtā daļa pieļauj ierobežot procesa dalībnieka tiesības iepazīties ar atsevišķiem lietas materiāliem, ja tam ir pamatots un likumā norādīts iemesls. Tas rada izņēmumu no Administratīvā procesa likuma 247.panta trešajā daļā noteiktā vispārīgā principa, kas paredz tiesas sprieduma pamatošanu vienīgi ar tādiem apstākļiem, par kuriem dalībniekiem bijusi iespēja izteikties. Tātad lietas dalībnieku tiesības iepazīties un izteikties par atsevišķiem lietas materiāliem nav absolūtas un var tikt ierobežotas likumā noteiktajos gadījumos.</w:t>
      </w:r>
    </w:p>
    <w:p w14:paraId="7793D6D3" w14:textId="1FE0CD62" w:rsidR="006E4A34" w:rsidRPr="00214BD7" w:rsidRDefault="006E4A34" w:rsidP="00214BD7">
      <w:pPr>
        <w:pStyle w:val="ATpamattesksts"/>
        <w:jc w:val="right"/>
        <w:rPr>
          <w:color w:val="FFFFFF"/>
        </w:rPr>
      </w:pPr>
      <w:r w:rsidRPr="002E6368">
        <w:rPr>
          <w:color w:val="FFFFFF"/>
        </w:rPr>
        <w:t>NORAKSTS</w:t>
      </w:r>
    </w:p>
    <w:p w14:paraId="7DA54E2A" w14:textId="7481AED1" w:rsidR="006E4A34" w:rsidRPr="00214BD7" w:rsidRDefault="00214BD7" w:rsidP="00214BD7">
      <w:pPr>
        <w:spacing w:line="276" w:lineRule="auto"/>
        <w:jc w:val="center"/>
        <w:rPr>
          <w:b/>
          <w:bCs/>
        </w:rPr>
      </w:pPr>
      <w:r w:rsidRPr="00214BD7">
        <w:rPr>
          <w:b/>
          <w:bCs/>
        </w:rPr>
        <w:t>Latvijas Republikas Senāta</w:t>
      </w:r>
    </w:p>
    <w:p w14:paraId="0BA282D4" w14:textId="7544EA5F" w:rsidR="00214BD7" w:rsidRPr="00214BD7" w:rsidRDefault="00214BD7" w:rsidP="00214BD7">
      <w:pPr>
        <w:spacing w:line="276" w:lineRule="auto"/>
        <w:jc w:val="center"/>
        <w:rPr>
          <w:b/>
          <w:bCs/>
        </w:rPr>
      </w:pPr>
      <w:r w:rsidRPr="00214BD7">
        <w:rPr>
          <w:b/>
          <w:bCs/>
        </w:rPr>
        <w:t>Administratīvo lietu departamenta</w:t>
      </w:r>
    </w:p>
    <w:p w14:paraId="5469ADFF" w14:textId="6FE03D70" w:rsidR="00214BD7" w:rsidRPr="00214BD7" w:rsidRDefault="00214BD7" w:rsidP="00214BD7">
      <w:pPr>
        <w:spacing w:line="276" w:lineRule="auto"/>
        <w:jc w:val="center"/>
        <w:rPr>
          <w:b/>
          <w:bCs/>
        </w:rPr>
      </w:pPr>
      <w:r w:rsidRPr="00214BD7">
        <w:rPr>
          <w:b/>
          <w:bCs/>
        </w:rPr>
        <w:t>2021.gada 21.decembra</w:t>
      </w:r>
    </w:p>
    <w:p w14:paraId="49B4A8A7" w14:textId="77777777" w:rsidR="006E4A34" w:rsidRPr="00214BD7" w:rsidRDefault="006E4A34" w:rsidP="00214BD7">
      <w:pPr>
        <w:spacing w:line="276" w:lineRule="auto"/>
        <w:jc w:val="center"/>
        <w:rPr>
          <w:b/>
          <w:bCs/>
        </w:rPr>
      </w:pPr>
      <w:r w:rsidRPr="00214BD7">
        <w:rPr>
          <w:b/>
          <w:bCs/>
        </w:rPr>
        <w:t>SPRIEDUMS</w:t>
      </w:r>
    </w:p>
    <w:p w14:paraId="0E33E020" w14:textId="1FCD72AD" w:rsidR="00214BD7" w:rsidRPr="00214BD7" w:rsidRDefault="00214BD7" w:rsidP="00214BD7">
      <w:pPr>
        <w:spacing w:line="276" w:lineRule="auto"/>
        <w:jc w:val="center"/>
        <w:rPr>
          <w:b/>
        </w:rPr>
      </w:pPr>
      <w:r w:rsidRPr="00214BD7">
        <w:rPr>
          <w:b/>
        </w:rPr>
        <w:t>Lieta Nr. A420275316; SKA-103/2021</w:t>
      </w:r>
    </w:p>
    <w:p w14:paraId="08A1E681" w14:textId="32925940" w:rsidR="00214BD7" w:rsidRDefault="00214BD7" w:rsidP="00214BD7">
      <w:pPr>
        <w:spacing w:line="276" w:lineRule="auto"/>
        <w:jc w:val="center"/>
      </w:pPr>
      <w:hyperlink r:id="rId8" w:history="1">
        <w:r w:rsidRPr="00C31F0A">
          <w:rPr>
            <w:rStyle w:val="Hyperlink"/>
          </w:rPr>
          <w:t>ECLI:LV:AT:2021:1221.A420275316.12.S</w:t>
        </w:r>
      </w:hyperlink>
      <w:r>
        <w:t xml:space="preserve"> </w:t>
      </w:r>
    </w:p>
    <w:p w14:paraId="2F5005E6" w14:textId="77777777" w:rsidR="006E4A34" w:rsidRDefault="006E4A34" w:rsidP="00214BD7">
      <w:pPr>
        <w:spacing w:line="276" w:lineRule="auto"/>
        <w:ind w:firstLine="567"/>
        <w:jc w:val="both"/>
      </w:pPr>
    </w:p>
    <w:p w14:paraId="2BFF1043" w14:textId="77777777" w:rsidR="006E4A34" w:rsidRDefault="006E4A34" w:rsidP="00214BD7">
      <w:pPr>
        <w:spacing w:line="276" w:lineRule="auto"/>
        <w:ind w:firstLine="567"/>
        <w:jc w:val="both"/>
      </w:pPr>
      <w:r>
        <w:t xml:space="preserve">Tiesa šādā sastāvā: senatores </w:t>
      </w:r>
      <w:r w:rsidR="00551618">
        <w:t xml:space="preserve">Diāna </w:t>
      </w:r>
      <w:r w:rsidR="00551618" w:rsidRPr="00035FD9">
        <w:t>Makarova</w:t>
      </w:r>
      <w:r w:rsidRPr="00035FD9">
        <w:t xml:space="preserve">, </w:t>
      </w:r>
      <w:r w:rsidR="00035FD9" w:rsidRPr="00035FD9">
        <w:t>Dzintra Amerika</w:t>
      </w:r>
      <w:r w:rsidRPr="00035FD9">
        <w:t xml:space="preserve">, </w:t>
      </w:r>
      <w:r w:rsidR="00035FD9">
        <w:t>Vēsma Kakste</w:t>
      </w:r>
    </w:p>
    <w:p w14:paraId="731FADA8" w14:textId="77777777" w:rsidR="006E4A34" w:rsidRDefault="006E4A34" w:rsidP="00214BD7">
      <w:pPr>
        <w:spacing w:line="276" w:lineRule="auto"/>
        <w:ind w:firstLine="567"/>
        <w:jc w:val="both"/>
      </w:pPr>
    </w:p>
    <w:p w14:paraId="215605A3" w14:textId="1DF62E25" w:rsidR="0088446A" w:rsidRPr="0075027C" w:rsidRDefault="006E4A34" w:rsidP="00214BD7">
      <w:pPr>
        <w:spacing w:line="276" w:lineRule="auto"/>
        <w:ind w:firstLine="567"/>
        <w:jc w:val="both"/>
      </w:pPr>
      <w:r>
        <w:t xml:space="preserve">rakstveida procesā izskatīja administratīvo lietu, </w:t>
      </w:r>
      <w:r w:rsidR="0088446A" w:rsidRPr="0088446A">
        <w:t>kas ierosināta</w:t>
      </w:r>
      <w:r w:rsidR="004B7E48">
        <w:t xml:space="preserve">, pamatojoties uz </w:t>
      </w:r>
      <w:bookmarkStart w:id="0" w:name="_Hlk66721699"/>
      <w:r w:rsidR="004B7E48">
        <w:t>AS </w:t>
      </w:r>
      <w:bookmarkStart w:id="1" w:name="_Hlk88033497"/>
      <w:r w:rsidR="0088446A" w:rsidRPr="0088446A">
        <w:t>„</w:t>
      </w:r>
      <w:bookmarkEnd w:id="1"/>
      <w:r w:rsidR="00AA51AA">
        <w:t>RĪGAS DZIRNAVNIEKS</w:t>
      </w:r>
      <w:r w:rsidR="0088446A" w:rsidRPr="0088446A">
        <w:t xml:space="preserve">” </w:t>
      </w:r>
      <w:bookmarkEnd w:id="0"/>
      <w:r w:rsidR="0088446A" w:rsidRPr="0075027C">
        <w:t>pieteikum</w:t>
      </w:r>
      <w:r w:rsidR="004B7E48">
        <w:t>u</w:t>
      </w:r>
      <w:r w:rsidR="0088446A" w:rsidRPr="0075027C">
        <w:t xml:space="preserve"> par Valsts ieņēmumu dienesta 201</w:t>
      </w:r>
      <w:r w:rsidR="004B7E48">
        <w:t>6</w:t>
      </w:r>
      <w:r w:rsidR="0088446A" w:rsidRPr="0075027C">
        <w:t xml:space="preserve">.gada </w:t>
      </w:r>
      <w:r w:rsidR="004B7E48">
        <w:t>9</w:t>
      </w:r>
      <w:r w:rsidR="0088446A" w:rsidRPr="0075027C">
        <w:t>.</w:t>
      </w:r>
      <w:r w:rsidR="004B7E48">
        <w:t>jūnija</w:t>
      </w:r>
      <w:r w:rsidR="0088446A" w:rsidRPr="0075027C">
        <w:t xml:space="preserve"> lēmuma Nr. </w:t>
      </w:r>
      <w:r w:rsidR="004B7E48">
        <w:t>30.2-22.7/4061</w:t>
      </w:r>
      <w:r w:rsidR="0088446A" w:rsidRPr="0075027C">
        <w:t xml:space="preserve"> atcelšanu, sakarā a</w:t>
      </w:r>
      <w:r w:rsidR="004B7E48">
        <w:t xml:space="preserve">r Valsts ieņēmumu dienesta </w:t>
      </w:r>
      <w:r w:rsidR="0088446A" w:rsidRPr="0075027C">
        <w:t>kasācijas sūdzību par Administratīvās apgabaltiesas 201</w:t>
      </w:r>
      <w:r w:rsidR="004B7E48">
        <w:t>8</w:t>
      </w:r>
      <w:r w:rsidR="0088446A" w:rsidRPr="0075027C">
        <w:t xml:space="preserve">.gada </w:t>
      </w:r>
      <w:r w:rsidR="004B7E48">
        <w:t>19.septembra</w:t>
      </w:r>
      <w:r w:rsidR="0088446A" w:rsidRPr="0075027C">
        <w:t xml:space="preserve"> spriedumu.</w:t>
      </w:r>
    </w:p>
    <w:p w14:paraId="7C22FE93" w14:textId="77777777" w:rsidR="006E4A34" w:rsidRPr="0075027C" w:rsidRDefault="006E4A34" w:rsidP="00214BD7">
      <w:pPr>
        <w:spacing w:line="276" w:lineRule="auto"/>
        <w:ind w:firstLine="567"/>
        <w:jc w:val="both"/>
      </w:pPr>
    </w:p>
    <w:p w14:paraId="658D4EBA" w14:textId="77777777" w:rsidR="006E4A34" w:rsidRPr="0075027C" w:rsidRDefault="006E4A34" w:rsidP="00214BD7">
      <w:pPr>
        <w:pStyle w:val="ATpamattesksts"/>
        <w:ind w:firstLine="0"/>
        <w:jc w:val="center"/>
      </w:pPr>
      <w:r w:rsidRPr="0075027C">
        <w:rPr>
          <w:b/>
          <w:bCs/>
        </w:rPr>
        <w:t>Aprakstošā daļa</w:t>
      </w:r>
    </w:p>
    <w:p w14:paraId="79122330" w14:textId="77777777" w:rsidR="006E4A34" w:rsidRPr="0075027C" w:rsidRDefault="006E4A34" w:rsidP="00214BD7">
      <w:pPr>
        <w:spacing w:line="276" w:lineRule="auto"/>
        <w:ind w:firstLine="567"/>
        <w:jc w:val="both"/>
      </w:pPr>
    </w:p>
    <w:p w14:paraId="47DCDEAD" w14:textId="5ED0DE22" w:rsidR="0088446A" w:rsidRPr="00531A5D" w:rsidRDefault="0088446A" w:rsidP="00214BD7">
      <w:pPr>
        <w:autoSpaceDE w:val="0"/>
        <w:autoSpaceDN w:val="0"/>
        <w:adjustRightInd w:val="0"/>
        <w:spacing w:line="276" w:lineRule="auto"/>
        <w:ind w:firstLine="567"/>
        <w:jc w:val="both"/>
      </w:pPr>
      <w:r w:rsidRPr="0075027C">
        <w:t xml:space="preserve">[1] Valsts ieņēmumu dienests pieteicējai </w:t>
      </w:r>
      <w:r w:rsidR="00446CC2">
        <w:t>A</w:t>
      </w:r>
      <w:r w:rsidRPr="0075027C">
        <w:t>S </w:t>
      </w:r>
      <w:bookmarkStart w:id="2" w:name="_Hlk88025544"/>
      <w:r w:rsidRPr="0075027C">
        <w:t>„</w:t>
      </w:r>
      <w:bookmarkEnd w:id="2"/>
      <w:r w:rsidR="00AA51AA">
        <w:t>RĪGAS DZIRNAVNIEKS</w:t>
      </w:r>
      <w:r w:rsidRPr="0075027C">
        <w:t xml:space="preserve">” </w:t>
      </w:r>
      <w:r w:rsidR="00446CC2">
        <w:t xml:space="preserve">veica </w:t>
      </w:r>
      <w:r w:rsidR="0026250F" w:rsidRPr="0075027C">
        <w:t xml:space="preserve">uzņēmumu ienākuma nodokļa auditu par </w:t>
      </w:r>
      <w:r w:rsidR="00446CC2">
        <w:t xml:space="preserve">laika posmu no 2013.gada jūlija līdz 2014.gada </w:t>
      </w:r>
      <w:r w:rsidR="00815C4D">
        <w:t xml:space="preserve">jūnijam, pārbaudot arī transfertcenas atbilstību darījuma tirgus cenai. Atzīstot, ka </w:t>
      </w:r>
      <w:r w:rsidR="0026250F" w:rsidRPr="0075027C">
        <w:t xml:space="preserve">pieteicēja </w:t>
      </w:r>
      <w:r w:rsidR="00AE0119" w:rsidRPr="0075027C">
        <w:t>n</w:t>
      </w:r>
      <w:r w:rsidR="0026250F" w:rsidRPr="0075027C">
        <w:t xml:space="preserve">o saistītajiem uzņēmumiem </w:t>
      </w:r>
      <w:r w:rsidR="00815C4D">
        <w:t xml:space="preserve">saņēmusi aizdevumus ar procentu likmēm, </w:t>
      </w:r>
      <w:r w:rsidR="0026250F" w:rsidRPr="0075027C">
        <w:t>kas pārsniedz tirgus cenas</w:t>
      </w:r>
      <w:r w:rsidR="00AE0119" w:rsidRPr="0075027C">
        <w:t xml:space="preserve">, </w:t>
      </w:r>
      <w:r w:rsidR="00CA4A38">
        <w:t>dienest</w:t>
      </w:r>
      <w:r w:rsidR="00815C4D">
        <w:t xml:space="preserve">s koriģēja pieteicējas ar </w:t>
      </w:r>
      <w:r w:rsidR="00815C4D">
        <w:lastRenderedPageBreak/>
        <w:t xml:space="preserve">uzņēmumu ienākuma nodokli apliekamos </w:t>
      </w:r>
      <w:r w:rsidR="00330B0F">
        <w:t>ienākumus</w:t>
      </w:r>
      <w:r w:rsidR="00815C4D">
        <w:t xml:space="preserve">, kā rezultātā papildu nomaksai budžetā noteica uzņēmumu ienākuma nodokli, nokavējuma naudu un soda naudu, kā arī zaudējumu summas, ko pārnes uz nākamajiem taksācijas periodiem. </w:t>
      </w:r>
      <w:r w:rsidRPr="0075027C">
        <w:t>Administratīvais process iestādē noslēdzies ar Valsts ieņēmumu dienesta 201</w:t>
      </w:r>
      <w:r w:rsidR="00815C4D">
        <w:t>6</w:t>
      </w:r>
      <w:r w:rsidRPr="0075027C">
        <w:t xml:space="preserve">.gada </w:t>
      </w:r>
      <w:r w:rsidR="00815C4D">
        <w:t xml:space="preserve">9.jūnija </w:t>
      </w:r>
      <w:r w:rsidRPr="0075027C">
        <w:t>lēmumu Nr. </w:t>
      </w:r>
      <w:r w:rsidR="00456A95">
        <w:t>30.2-22.7/4061</w:t>
      </w:r>
      <w:r w:rsidRPr="00531A5D">
        <w:t>.</w:t>
      </w:r>
    </w:p>
    <w:p w14:paraId="7F575E99" w14:textId="1684A261" w:rsidR="0088446A" w:rsidRPr="007274C5" w:rsidRDefault="0088446A" w:rsidP="00214BD7">
      <w:pPr>
        <w:autoSpaceDE w:val="0"/>
        <w:autoSpaceDN w:val="0"/>
        <w:adjustRightInd w:val="0"/>
        <w:spacing w:line="276" w:lineRule="auto"/>
        <w:ind w:firstLine="567"/>
        <w:jc w:val="both"/>
      </w:pPr>
      <w:r w:rsidRPr="00531A5D">
        <w:t xml:space="preserve">Iebilstot pret </w:t>
      </w:r>
      <w:r w:rsidR="0075027C">
        <w:t>minēto lēmumu</w:t>
      </w:r>
      <w:r w:rsidRPr="00531A5D">
        <w:t>, pieteicēja</w:t>
      </w:r>
      <w:r>
        <w:t xml:space="preserve"> vērsās tiesā.</w:t>
      </w:r>
    </w:p>
    <w:p w14:paraId="55D505EC" w14:textId="77777777" w:rsidR="0088446A" w:rsidRPr="007274C5" w:rsidRDefault="0088446A" w:rsidP="00214BD7">
      <w:pPr>
        <w:spacing w:line="276" w:lineRule="auto"/>
        <w:ind w:firstLine="567"/>
        <w:jc w:val="both"/>
      </w:pPr>
    </w:p>
    <w:p w14:paraId="68510FC4" w14:textId="2142FF83" w:rsidR="0088446A" w:rsidRDefault="0088446A" w:rsidP="00214BD7">
      <w:pPr>
        <w:autoSpaceDE w:val="0"/>
        <w:autoSpaceDN w:val="0"/>
        <w:adjustRightInd w:val="0"/>
        <w:spacing w:line="276" w:lineRule="auto"/>
        <w:ind w:firstLine="567"/>
        <w:jc w:val="both"/>
      </w:pPr>
      <w:r w:rsidRPr="007274C5">
        <w:t>[</w:t>
      </w:r>
      <w:r>
        <w:t>2</w:t>
      </w:r>
      <w:r w:rsidRPr="007274C5">
        <w:t>]</w:t>
      </w:r>
      <w:r>
        <w:t> Administratīvā apgabaltiesa ar 201</w:t>
      </w:r>
      <w:r w:rsidR="00456A95">
        <w:t>8</w:t>
      </w:r>
      <w:r>
        <w:t xml:space="preserve">.gada </w:t>
      </w:r>
      <w:r w:rsidR="00456A95">
        <w:t xml:space="preserve">19.septembra </w:t>
      </w:r>
      <w:r>
        <w:t xml:space="preserve">spriedumu pieteikumu </w:t>
      </w:r>
      <w:r w:rsidR="00456A95">
        <w:t xml:space="preserve">apmierināja un atcēla pārsūdzēto lēmumu. Spriedumā </w:t>
      </w:r>
      <w:r>
        <w:t>norādīti turpmāk minētie argumenti.</w:t>
      </w:r>
    </w:p>
    <w:p w14:paraId="35891ED2" w14:textId="65DB07A2" w:rsidR="00456A95" w:rsidRDefault="00456A95" w:rsidP="00214BD7">
      <w:pPr>
        <w:autoSpaceDE w:val="0"/>
        <w:autoSpaceDN w:val="0"/>
        <w:adjustRightInd w:val="0"/>
        <w:spacing w:line="276" w:lineRule="auto"/>
        <w:ind w:firstLine="567"/>
        <w:jc w:val="both"/>
      </w:pPr>
      <w:r>
        <w:t>[</w:t>
      </w:r>
      <w:r w:rsidR="00E80007">
        <w:t>2.1</w:t>
      </w:r>
      <w:r>
        <w:t>] Pieteicēja ar</w:t>
      </w:r>
      <w:r w:rsidR="00236BE9">
        <w:t xml:space="preserve"> Lietuvas</w:t>
      </w:r>
      <w:r>
        <w:t xml:space="preserve"> uzņēmumu UAB </w:t>
      </w:r>
      <w:r w:rsidR="00236BE9" w:rsidRPr="0075027C">
        <w:t>„</w:t>
      </w:r>
      <w:r>
        <w:t>Malinvest</w:t>
      </w:r>
      <w:r w:rsidR="00236BE9">
        <w:t>”</w:t>
      </w:r>
      <w:r>
        <w:t xml:space="preserve"> 2013.gada 19.martā noslēdz</w:t>
      </w:r>
      <w:r w:rsidR="00236BE9">
        <w:t>a</w:t>
      </w:r>
      <w:r>
        <w:t xml:space="preserve"> aizdevuma līgumu, aizņemoties 5 797 874 </w:t>
      </w:r>
      <w:r w:rsidRPr="00236BE9">
        <w:rPr>
          <w:i/>
          <w:iCs/>
        </w:rPr>
        <w:t>euro</w:t>
      </w:r>
      <w:r>
        <w:t>, savukārt 2014.gada 28.martā pieteicēja aizdevuma līguma noslēdza ar UAB </w:t>
      </w:r>
      <w:r w:rsidR="00236BE9" w:rsidRPr="0075027C">
        <w:t>„</w:t>
      </w:r>
      <w:r>
        <w:t>Malsena Plius</w:t>
      </w:r>
      <w:r w:rsidR="00236BE9">
        <w:t>”</w:t>
      </w:r>
      <w:r>
        <w:t>, aizņemoties 3 350 000 </w:t>
      </w:r>
      <w:r w:rsidRPr="00236BE9">
        <w:rPr>
          <w:i/>
          <w:iCs/>
        </w:rPr>
        <w:t>euro</w:t>
      </w:r>
      <w:r>
        <w:t xml:space="preserve">. </w:t>
      </w:r>
      <w:r w:rsidR="00236BE9">
        <w:t xml:space="preserve">Pieteicēja un minētie uzņēmumi ir saistītie uzņēmumi. </w:t>
      </w:r>
      <w:r>
        <w:t xml:space="preserve">Abos gadījumos aizdevumiem piemērota sešu procentu likme gadā. </w:t>
      </w:r>
      <w:r w:rsidR="00C76E56">
        <w:t>Lietā ir strīds, vai šī procentu likme ir augstāka par šādu darījumu tirgus vērtību.</w:t>
      </w:r>
    </w:p>
    <w:p w14:paraId="7FFEB84F" w14:textId="0C1D8E0A" w:rsidR="00C76E56" w:rsidRDefault="00C76E56" w:rsidP="00214BD7">
      <w:pPr>
        <w:autoSpaceDE w:val="0"/>
        <w:autoSpaceDN w:val="0"/>
        <w:adjustRightInd w:val="0"/>
        <w:spacing w:line="276" w:lineRule="auto"/>
        <w:ind w:firstLine="567"/>
        <w:jc w:val="both"/>
      </w:pPr>
      <w:r>
        <w:t>[</w:t>
      </w:r>
      <w:r w:rsidR="00E80007">
        <w:t>2.2]</w:t>
      </w:r>
      <w:r>
        <w:t xml:space="preserve"> Atbilstoši likuma </w:t>
      </w:r>
      <w:r w:rsidR="00236BE9" w:rsidRPr="0075027C">
        <w:t>„</w:t>
      </w:r>
      <w:r>
        <w:t>Par nodokļiem un nodevām” 15.</w:t>
      </w:r>
      <w:r w:rsidRPr="00236BE9">
        <w:rPr>
          <w:vertAlign w:val="superscript"/>
        </w:rPr>
        <w:t>2</w:t>
      </w:r>
      <w:r>
        <w:t>pantam, kas bija spēkā 2013. un 2014.gadā</w:t>
      </w:r>
      <w:r w:rsidR="00A36979">
        <w:t>,</w:t>
      </w:r>
      <w:r>
        <w:t xml:space="preserve"> pieteicēja</w:t>
      </w:r>
      <w:r w:rsidR="00A36979">
        <w:t>i</w:t>
      </w:r>
      <w:r>
        <w:t xml:space="preserve"> bija pienākums pamatot darījuma cenas atbilstību t</w:t>
      </w:r>
      <w:r w:rsidR="00A36979">
        <w:t>i</w:t>
      </w:r>
      <w:r>
        <w:t xml:space="preserve">rgus cenai. Pieteicēja ir iesniegusi </w:t>
      </w:r>
      <w:r w:rsidR="00236BE9">
        <w:t>t</w:t>
      </w:r>
      <w:r>
        <w:t>ransfertcenas dokumentāciju, taču tā ir sagatavota pēc darījum</w:t>
      </w:r>
      <w:r w:rsidR="00236BE9">
        <w:t>iem</w:t>
      </w:r>
      <w:r w:rsidR="00A36979">
        <w:t> –</w:t>
      </w:r>
      <w:r>
        <w:t xml:space="preserve"> tikai audita laikā, tātad tā nebija pamats pieteicējas darījumu nosacījumu veidošanai. Līdz ar to šī dokumentācija ir izmantojama vienīgi kā pieteicējas paskaidrojumi</w:t>
      </w:r>
      <w:r w:rsidR="00845B12">
        <w:t xml:space="preserve">, lai pamatotu </w:t>
      </w:r>
      <w:r>
        <w:t>pieteicējas rīcīb</w:t>
      </w:r>
      <w:r w:rsidR="00845B12">
        <w:t>u</w:t>
      </w:r>
      <w:r>
        <w:t xml:space="preserve"> darījumu slēgšanā.</w:t>
      </w:r>
    </w:p>
    <w:p w14:paraId="6CABB3E7" w14:textId="73FB3DAE" w:rsidR="00C76E56" w:rsidRDefault="00C76E56" w:rsidP="00214BD7">
      <w:pPr>
        <w:autoSpaceDE w:val="0"/>
        <w:autoSpaceDN w:val="0"/>
        <w:adjustRightInd w:val="0"/>
        <w:spacing w:line="276" w:lineRule="auto"/>
        <w:ind w:firstLine="567"/>
        <w:jc w:val="both"/>
      </w:pPr>
      <w:r>
        <w:t>[</w:t>
      </w:r>
      <w:r w:rsidR="00E80007">
        <w:t>2.3</w:t>
      </w:r>
      <w:r>
        <w:t>] </w:t>
      </w:r>
      <w:r w:rsidR="00845B12">
        <w:t>Gan pieteicēja, gan dienests ir piemēroj</w:t>
      </w:r>
      <w:r w:rsidR="00A36979">
        <w:t>is</w:t>
      </w:r>
      <w:r w:rsidR="00845B12">
        <w:t xml:space="preserve"> ārējo salīdzināmo nekontrolēto cenu metodi, </w:t>
      </w:r>
      <w:r w:rsidR="00D9697B">
        <w:t xml:space="preserve">kas ir paredzēta Ministru kabineta 2006.gada 4.jūlija noteikumu Nr. 556 </w:t>
      </w:r>
      <w:r w:rsidR="00236BE9" w:rsidRPr="0075027C">
        <w:t>„</w:t>
      </w:r>
      <w:r w:rsidR="00D9697B">
        <w:t xml:space="preserve">Likuma </w:t>
      </w:r>
      <w:r w:rsidR="00236BE9" w:rsidRPr="0075027C">
        <w:t>„</w:t>
      </w:r>
      <w:r w:rsidR="00D9697B">
        <w:t>Par uzņēmumu ienākuma nodokli” normu piemērošanas kārtība</w:t>
      </w:r>
      <w:r w:rsidR="000D30CB">
        <w:t>”</w:t>
      </w:r>
      <w:r w:rsidR="00D9697B">
        <w:t xml:space="preserve"> (turpmāk – noteikumi Nr. 556) 84.punktā.</w:t>
      </w:r>
      <w:r w:rsidR="00845B12">
        <w:t xml:space="preserve"> Tā kā lietas dalībnieku starpā </w:t>
      </w:r>
      <w:r w:rsidR="00845B12">
        <w:lastRenderedPageBreak/>
        <w:t>nav strīda par piemērojamo transfertcenas metodi, apgabaltiesa</w:t>
      </w:r>
      <w:r w:rsidR="00A36979">
        <w:t>i</w:t>
      </w:r>
      <w:r w:rsidR="00845B12">
        <w:t xml:space="preserve"> nav īpaši jāpamato šīs metodes izvēle.</w:t>
      </w:r>
    </w:p>
    <w:p w14:paraId="74019CEC" w14:textId="01AA08F8" w:rsidR="00E76538" w:rsidRDefault="00845B12" w:rsidP="00214BD7">
      <w:pPr>
        <w:autoSpaceDE w:val="0"/>
        <w:autoSpaceDN w:val="0"/>
        <w:adjustRightInd w:val="0"/>
        <w:spacing w:line="276" w:lineRule="auto"/>
        <w:ind w:firstLine="567"/>
        <w:jc w:val="both"/>
      </w:pPr>
      <w:r>
        <w:t>[</w:t>
      </w:r>
      <w:r w:rsidR="00E80007">
        <w:t>2.4</w:t>
      </w:r>
      <w:r>
        <w:t>] </w:t>
      </w:r>
      <w:r w:rsidR="00D9697B">
        <w:t xml:space="preserve">Publiski nav pieejamas ziņas par konkrētiem nefinanšu institūciju kreditēšanas darījumiem. Arī finanšu iestāžu darījumi ir konfidenciāla informācija. Attiecīgi veids, kā noskaidrot aptuveno darījumu saturu, ir statistikas pārskati. </w:t>
      </w:r>
      <w:r w:rsidR="00A36979">
        <w:t xml:space="preserve">Abi lietas dalībnieki ir izmantojuši Latvijas Bankas publicētos statistikas datus. </w:t>
      </w:r>
      <w:r w:rsidR="00D9697B">
        <w:t xml:space="preserve">Centrālās statistikas pārvaldes dati salīdzinājumā ar Latvijas Bankas datiem ir pārāk vispārīgi, lai </w:t>
      </w:r>
      <w:r w:rsidR="00236BE9">
        <w:t xml:space="preserve">salīdzinātu </w:t>
      </w:r>
      <w:r w:rsidR="00D9697B">
        <w:t>darījumu</w:t>
      </w:r>
      <w:r w:rsidR="00236BE9">
        <w:t>s</w:t>
      </w:r>
      <w:r w:rsidR="00D47256">
        <w:t>.</w:t>
      </w:r>
      <w:r w:rsidR="00E76538">
        <w:t xml:space="preserve"> Tātad ir izmantojami Latvijas Bankas apkopotie dati.</w:t>
      </w:r>
    </w:p>
    <w:p w14:paraId="04C68266" w14:textId="1AE1D61E" w:rsidR="00D47256" w:rsidRDefault="00236BE9" w:rsidP="00214BD7">
      <w:pPr>
        <w:autoSpaceDE w:val="0"/>
        <w:autoSpaceDN w:val="0"/>
        <w:adjustRightInd w:val="0"/>
        <w:spacing w:line="276" w:lineRule="auto"/>
        <w:ind w:firstLine="567"/>
        <w:jc w:val="both"/>
      </w:pPr>
      <w:r>
        <w:t>[2.5] </w:t>
      </w:r>
      <w:r w:rsidR="00E76538">
        <w:t>A</w:t>
      </w:r>
      <w:r w:rsidR="00D47256">
        <w:t xml:space="preserve">pgabaltiesa no Latvijas Bankas ieguva nedaudz precīzākas ziņas par banku sniegtajiem datiem, tomēr Latvijas Banka norādīja, ka šāda rakstura informācija ir konfidenciāla un tiesas spriešanas mērķiem nebūtu izmantojama. Līdz ar to apgabaltiesa šos datus kā tiešu pierādīšanas līdzekli neizmanto. </w:t>
      </w:r>
      <w:r w:rsidR="00330B0F">
        <w:t xml:space="preserve">Tāpēc </w:t>
      </w:r>
      <w:r w:rsidR="00D47256">
        <w:t xml:space="preserve">vienīgā objektīvā salīdzināmā informācija par finanšu iestāžu darījumiem ar nefinanšu institūcijām ir Latvijas Bankas publicētie statistikas pārskati. Lietas dalībnieki objektīvi nevarēja saņemt precīzāku informāciju, kas būtu salīdzināma ar nefinanšu institūciju veiktiem kreditēšanas darījumiem. Līdz ar to lietā pārbaudāms, kuri Latvijas Bankas statistikas </w:t>
      </w:r>
      <w:r w:rsidR="0040591A">
        <w:t>dati ir salīdzināmi ar pieteicējas transferta darījumiem.</w:t>
      </w:r>
    </w:p>
    <w:p w14:paraId="0374B41B" w14:textId="4DD7857C" w:rsidR="0040591A" w:rsidRDefault="0040591A" w:rsidP="00214BD7">
      <w:pPr>
        <w:autoSpaceDE w:val="0"/>
        <w:autoSpaceDN w:val="0"/>
        <w:adjustRightInd w:val="0"/>
        <w:spacing w:line="276" w:lineRule="auto"/>
        <w:ind w:firstLine="567"/>
        <w:jc w:val="both"/>
      </w:pPr>
      <w:r>
        <w:t>[</w:t>
      </w:r>
      <w:r w:rsidR="00E80007">
        <w:t>2.</w:t>
      </w:r>
      <w:r w:rsidR="00061D22">
        <w:t>6</w:t>
      </w:r>
      <w:r>
        <w:t xml:space="preserve">] Latvijas Bankas apkopotā un publicētā </w:t>
      </w:r>
      <w:r w:rsidR="009A09F0" w:rsidRPr="0075027C">
        <w:t>„</w:t>
      </w:r>
      <w:r w:rsidR="00694902" w:rsidRPr="00961AF1">
        <w:rPr>
          <w:lang w:eastAsia="lv-LV"/>
        </w:rPr>
        <w:t>Monetāro finanšu iestāžu (MFI) procentu likmju statistika</w:t>
      </w:r>
      <w:r w:rsidR="00824778">
        <w:rPr>
          <w:lang w:eastAsia="lv-LV"/>
        </w:rPr>
        <w:t xml:space="preserve"> </w:t>
      </w:r>
      <w:r w:rsidR="00694902" w:rsidRPr="00961AF1">
        <w:rPr>
          <w:lang w:eastAsia="lv-LV"/>
        </w:rPr>
        <w:t>darījumos ar rezidentu nefinanšu sabiedrībām un mājsaimniecībām (21.tabula)”</w:t>
      </w:r>
      <w:r w:rsidR="00694902">
        <w:rPr>
          <w:lang w:eastAsia="lv-LV"/>
        </w:rPr>
        <w:t xml:space="preserve"> </w:t>
      </w:r>
      <w:r>
        <w:t>(turpmāk – Statistikas tabula) ir pieejama Latvijas Bankas interneta vietnē. Tajā nav atsevišķi izdalīti darījumi ar nemainīgu procentu likmi. Tomēr, ņemot vērā Latvijas Bankas skaidrojumu, atzīstams, ka darījumi ar nemainīgu procentu likmi</w:t>
      </w:r>
      <w:r w:rsidR="00291FA8">
        <w:t xml:space="preserve"> </w:t>
      </w:r>
      <w:r>
        <w:t xml:space="preserve">visprecīzāk atbilst tādiem darījumiem, kuros mainīgā procentu likme netiek </w:t>
      </w:r>
      <w:r w:rsidR="00291FA8">
        <w:t xml:space="preserve">pārskatīta </w:t>
      </w:r>
      <w:r w:rsidR="002B03F8">
        <w:t>ilgāk par vienu gadu</w:t>
      </w:r>
      <w:r w:rsidR="002E5BB2">
        <w:t>, t. i.</w:t>
      </w:r>
      <w:r w:rsidR="009A09F0">
        <w:t>,</w:t>
      </w:r>
      <w:r w:rsidR="002E5BB2">
        <w:t xml:space="preserve"> Statistikas tabulā apkopotajām ziņām par citiem kredītiem, kuru apjoms </w:t>
      </w:r>
      <w:bookmarkStart w:id="3" w:name="_Hlk87778926"/>
      <w:r w:rsidR="002E5BB2">
        <w:t xml:space="preserve">pārsniedz </w:t>
      </w:r>
      <w:r w:rsidR="002E5BB2">
        <w:lastRenderedPageBreak/>
        <w:t xml:space="preserve">vienu miljonu </w:t>
      </w:r>
      <w:r w:rsidR="002E5BB2" w:rsidRPr="009A09F0">
        <w:rPr>
          <w:i/>
          <w:iCs/>
        </w:rPr>
        <w:t>euro</w:t>
      </w:r>
      <w:r w:rsidR="002E5BB2">
        <w:t xml:space="preserve">, procentu likmes darbības </w:t>
      </w:r>
      <w:r w:rsidR="00BE0DEB">
        <w:t xml:space="preserve">sākotnējā perioda dalījumā, mainīgā procentu likme ilgāk par gadu. </w:t>
      </w:r>
      <w:bookmarkEnd w:id="3"/>
      <w:r w:rsidR="00BE0DEB">
        <w:t>Šos datus nodokļ</w:t>
      </w:r>
      <w:r w:rsidR="00E76538">
        <w:t>a</w:t>
      </w:r>
      <w:r w:rsidR="00BE0DEB">
        <w:t xml:space="preserve"> aprēķināšanā izmantoja arī dienests</w:t>
      </w:r>
      <w:r w:rsidR="002B03F8">
        <w:t>.</w:t>
      </w:r>
    </w:p>
    <w:p w14:paraId="1E273657" w14:textId="64DFF684" w:rsidR="00821D88" w:rsidRDefault="00BE0DEB" w:rsidP="00214BD7">
      <w:pPr>
        <w:autoSpaceDE w:val="0"/>
        <w:autoSpaceDN w:val="0"/>
        <w:adjustRightInd w:val="0"/>
        <w:spacing w:line="276" w:lineRule="auto"/>
        <w:ind w:firstLine="567"/>
        <w:jc w:val="both"/>
      </w:pPr>
      <w:r>
        <w:t>[</w:t>
      </w:r>
      <w:r w:rsidR="00E80007">
        <w:t>2.</w:t>
      </w:r>
      <w:r w:rsidR="00061D22">
        <w:t>7</w:t>
      </w:r>
      <w:r>
        <w:t>] </w:t>
      </w:r>
      <w:r w:rsidR="00E76538">
        <w:t>Ir vispārzināms, ka mainīgo likmi līzinga devēji izmanto, lai nepakļautu sevi vispārējā tirgus stāvokļa riskam, pārceļot šo risku uz klientu.</w:t>
      </w:r>
      <w:r w:rsidR="00ED5708">
        <w:t xml:space="preserve"> Š</w:t>
      </w:r>
      <w:r w:rsidR="00821D88">
        <w:t>a</w:t>
      </w:r>
      <w:r w:rsidR="00ED5708">
        <w:t>jā ziņā ir konstatējama atšķirība starp pieteicējas darījumiem un Statistikas tabulā iekļautajiem darījumiem. Tomēr apstākļos, ka</w:t>
      </w:r>
      <w:r w:rsidR="00330B0F">
        <w:t>d</w:t>
      </w:r>
      <w:r w:rsidR="00ED5708">
        <w:t xml:space="preserve"> pieteicējas noslēgto līgumu termiņš nepārsniedz gadu līdz pusotr</w:t>
      </w:r>
      <w:r w:rsidR="009A09F0">
        <w:t>am</w:t>
      </w:r>
      <w:r w:rsidR="00ED5708">
        <w:t xml:space="preserve"> gad</w:t>
      </w:r>
      <w:r w:rsidR="009A09F0">
        <w:t>am</w:t>
      </w:r>
      <w:r w:rsidR="00ED5708">
        <w:t>, atšķirība, ka pieteicējas līgumi ir ar fiksēto likmi, bet sta</w:t>
      </w:r>
      <w:r w:rsidR="00821D88">
        <w:t>t</w:t>
      </w:r>
      <w:r w:rsidR="00ED5708">
        <w:t xml:space="preserve">istika ir par darījumiem ar mainīgo likmi, nav tāda, kas varētu būtiski ietekmēt darījumu cenu, ja pieteicēja darījumus būtu veikusi neierobežotas konkurences </w:t>
      </w:r>
      <w:r w:rsidR="00821D88">
        <w:t>apstākļos. Līdz ar to cenu salīdzināšanā vispārīgi ir izmantojami Latvijas Bankas statistikas dati par citiem kredītiem, kuru apjoms</w:t>
      </w:r>
      <w:r w:rsidR="00821D88" w:rsidRPr="00821D88">
        <w:t xml:space="preserve"> </w:t>
      </w:r>
      <w:r w:rsidR="00821D88">
        <w:t xml:space="preserve">pārsniedz vienu miljonu </w:t>
      </w:r>
      <w:r w:rsidR="00821D88" w:rsidRPr="009A09F0">
        <w:rPr>
          <w:i/>
          <w:iCs/>
        </w:rPr>
        <w:t>euro</w:t>
      </w:r>
      <w:r w:rsidR="00821D88">
        <w:t xml:space="preserve">, procentu likmes darbības sākotnējā perioda dalījumā, mainīgā procentu likme ilgāk par gadu. Pieteicējas piemērotā cenu noteikšanas kārtība nav pietiekami izsekojama. No </w:t>
      </w:r>
      <w:r w:rsidR="009A09F0">
        <w:t>pieteicējas t</w:t>
      </w:r>
      <w:r w:rsidR="00821D88">
        <w:t>ransfertcenu dokumentācijas secināms, ka Latvijas Bankas dati tiek izmantoti tādā veidā, lai cenu aprēķins pēc iespējas pietuvinātos pieteicējas darījumu cenai. Nav saskatāms objektīvs pamats konkrēto Latvijas Bankas statistikas datu izmantošanai konkrēto darījumu salīdzināšanai, jo pieteicējas izmantotie statistikas dati acīmredzami ir pārāk atšķirīgi no pieteicējas darījumiem.</w:t>
      </w:r>
    </w:p>
    <w:p w14:paraId="209BF83F" w14:textId="22900D60" w:rsidR="00821D88" w:rsidRDefault="00821D88" w:rsidP="00214BD7">
      <w:pPr>
        <w:autoSpaceDE w:val="0"/>
        <w:autoSpaceDN w:val="0"/>
        <w:adjustRightInd w:val="0"/>
        <w:spacing w:line="276" w:lineRule="auto"/>
        <w:ind w:firstLine="567"/>
        <w:jc w:val="both"/>
      </w:pPr>
      <w:r>
        <w:t>[</w:t>
      </w:r>
      <w:r w:rsidR="00741783">
        <w:t>2.</w:t>
      </w:r>
      <w:r w:rsidR="00061D22">
        <w:t>8</w:t>
      </w:r>
      <w:r>
        <w:t>] Statistikas tabulā par citiem kredītiem</w:t>
      </w:r>
      <w:r w:rsidR="00824778">
        <w:t xml:space="preserve"> (</w:t>
      </w:r>
      <w:r>
        <w:t xml:space="preserve">kuru apjoms pārsniedz vienu miljonu </w:t>
      </w:r>
      <w:r w:rsidRPr="009A09F0">
        <w:rPr>
          <w:i/>
          <w:iCs/>
        </w:rPr>
        <w:t>euro</w:t>
      </w:r>
      <w:r>
        <w:t>, procentu likmes darbības sākotnējā perioda dalījumā, mainīgā procentu likme ilgāk par gadu</w:t>
      </w:r>
      <w:r w:rsidR="00824778">
        <w:t>)</w:t>
      </w:r>
      <w:r>
        <w:t xml:space="preserve"> pieteicējai</w:t>
      </w:r>
      <w:r w:rsidR="00E74373">
        <w:t xml:space="preserve"> darījumu slēgšanas laikā </w:t>
      </w:r>
      <w:r w:rsidR="008C51F7">
        <w:t xml:space="preserve">2013.gada martā bija pieejamas ziņas par 2012.gada decembri, savukārt 2014.gada martā – par 2013.gada decembri. Līdz ar to dienests pamatoti pieteicējas darījumu novērtēšanā izmantojis ziņas par 2012.gada decembri un 2013.gada decembri. Statistikas tabulā, ievērojot iepriekš </w:t>
      </w:r>
      <w:r w:rsidR="000F6A54">
        <w:t>minētos</w:t>
      </w:r>
      <w:r w:rsidR="008C51F7">
        <w:t xml:space="preserve"> darījumu parametrus, </w:t>
      </w:r>
      <w:r w:rsidR="008C51F7">
        <w:lastRenderedPageBreak/>
        <w:t>norādīts, ka 2012.gada decembrī procentu likme bija 3,71, savukārt 2013.gada decembrī – 4,32. Tās ir likmes, ko piemērojis dienests. Taču, ņemot vērā dienesta citā lietā sniegtos paskaidrojumus, kā arī</w:t>
      </w:r>
      <w:r w:rsidR="009964DE" w:rsidRPr="009964DE">
        <w:rPr>
          <w:color w:val="000000"/>
        </w:rPr>
        <w:t xml:space="preserve"> </w:t>
      </w:r>
      <w:r w:rsidR="009964DE">
        <w:rPr>
          <w:color w:val="000000"/>
        </w:rPr>
        <w:t>E</w:t>
      </w:r>
      <w:r w:rsidR="009964DE" w:rsidRPr="00FA5F6E">
        <w:rPr>
          <w:color w:val="000000"/>
        </w:rPr>
        <w:t>konomiskās sadarbības un attīstības organizācijas dokumenta</w:t>
      </w:r>
      <w:r w:rsidR="009964DE">
        <w:rPr>
          <w:color w:val="000000"/>
        </w:rPr>
        <w:t xml:space="preserve"> </w:t>
      </w:r>
      <w:r w:rsidR="009964DE" w:rsidRPr="00FA5F6E">
        <w:rPr>
          <w:color w:val="000000"/>
        </w:rPr>
        <w:t>„Transferta cenu noteikšanas vadlīnijas daudznacionāliem komersantiem un nodokļu</w:t>
      </w:r>
      <w:r w:rsidR="009964DE">
        <w:rPr>
          <w:color w:val="000000"/>
        </w:rPr>
        <w:t xml:space="preserve"> </w:t>
      </w:r>
      <w:r w:rsidR="009964DE" w:rsidRPr="00FA5F6E">
        <w:rPr>
          <w:color w:val="000000"/>
        </w:rPr>
        <w:t>administrācijām” (turpmāk</w:t>
      </w:r>
      <w:r w:rsidR="009964DE">
        <w:rPr>
          <w:color w:val="000000"/>
        </w:rPr>
        <w:t> </w:t>
      </w:r>
      <w:r w:rsidR="009964DE" w:rsidRPr="00FA5F6E">
        <w:rPr>
          <w:color w:val="000000"/>
        </w:rPr>
        <w:t>–</w:t>
      </w:r>
      <w:r w:rsidR="009964DE">
        <w:rPr>
          <w:color w:val="000000"/>
        </w:rPr>
        <w:t> V</w:t>
      </w:r>
      <w:r w:rsidR="009964DE" w:rsidRPr="00FA5F6E">
        <w:rPr>
          <w:color w:val="000000"/>
        </w:rPr>
        <w:t>adlīnijas)</w:t>
      </w:r>
      <w:r w:rsidR="008C51F7">
        <w:t xml:space="preserve"> 1.35.punktu, nevienā gadījumā</w:t>
      </w:r>
      <w:r w:rsidR="00E00711">
        <w:t xml:space="preserve"> nepielāgoti </w:t>
      </w:r>
      <w:r w:rsidR="008C51F7">
        <w:t>nozares vidējie atskaišu dati paši par sevi nenodrošina nesaistītu pušu darījumu principam atbilstošu</w:t>
      </w:r>
      <w:r w:rsidR="00E74373">
        <w:t>s</w:t>
      </w:r>
      <w:r w:rsidR="008C51F7">
        <w:t xml:space="preserve"> apstākļus. Tāpēc Latvijas Bankas apkopotie statistikas dati cenu salīdzināšanai tiešā veidā nebūtu izmantojami.</w:t>
      </w:r>
    </w:p>
    <w:p w14:paraId="21E2C6A2" w14:textId="33379388" w:rsidR="00BD0113" w:rsidRDefault="008C51F7" w:rsidP="00214BD7">
      <w:pPr>
        <w:autoSpaceDE w:val="0"/>
        <w:autoSpaceDN w:val="0"/>
        <w:adjustRightInd w:val="0"/>
        <w:spacing w:line="276" w:lineRule="auto"/>
        <w:ind w:firstLine="567"/>
        <w:jc w:val="both"/>
      </w:pPr>
      <w:r>
        <w:t>[</w:t>
      </w:r>
      <w:r w:rsidR="00741783">
        <w:t>2.</w:t>
      </w:r>
      <w:r w:rsidR="00061D22">
        <w:t>9</w:t>
      </w:r>
      <w:r>
        <w:t xml:space="preserve">] Ir vispārzināms, ka vidējie dati tiek aprēķināti no datiem, kur vai nu visi rādītāji ir praktiski vienādi, vai nu rādītāju amplitūda </w:t>
      </w:r>
      <w:r w:rsidR="00BD0113">
        <w:t xml:space="preserve">ir tāda, ka ar augstākiem rādītājiem izlīdzinās zemākie rādītāji. Arī </w:t>
      </w:r>
      <w:bookmarkStart w:id="4" w:name="_Hlk88031798"/>
      <w:r w:rsidR="00BD0113">
        <w:t xml:space="preserve">likuma </w:t>
      </w:r>
      <w:r w:rsidR="00E74373" w:rsidRPr="0075027C">
        <w:t>„</w:t>
      </w:r>
      <w:r w:rsidR="00BD0113">
        <w:t>Par uzņēmumu ienākuma nodokli” 6.</w:t>
      </w:r>
      <w:r w:rsidR="00BD0113" w:rsidRPr="00E74373">
        <w:rPr>
          <w:vertAlign w:val="superscript"/>
        </w:rPr>
        <w:t>4</w:t>
      </w:r>
      <w:r w:rsidR="00BD0113">
        <w:t xml:space="preserve">panta pirmā daļa regulēja apliekamā ienākuma koriģēšanu par procentu maksājumiem. </w:t>
      </w:r>
      <w:bookmarkEnd w:id="4"/>
      <w:r w:rsidR="00E74373">
        <w:t>T</w:t>
      </w:r>
      <w:r w:rsidR="00BD0113">
        <w:t>ātad likumā bija iekļauts mehānisms, kas statistikas vidējos rādītājus pievirzīja nedaudz tuvāk to hipotētiskai augšējai robežai.</w:t>
      </w:r>
    </w:p>
    <w:p w14:paraId="09E94C90" w14:textId="3B813F70" w:rsidR="00BD0113" w:rsidRDefault="00BD0113" w:rsidP="00214BD7">
      <w:pPr>
        <w:autoSpaceDE w:val="0"/>
        <w:autoSpaceDN w:val="0"/>
        <w:adjustRightInd w:val="0"/>
        <w:spacing w:line="276" w:lineRule="auto"/>
        <w:ind w:firstLine="567"/>
        <w:jc w:val="both"/>
      </w:pPr>
      <w:r>
        <w:t>[</w:t>
      </w:r>
      <w:r w:rsidR="00741783">
        <w:t>2.</w:t>
      </w:r>
      <w:r w:rsidR="00061D22">
        <w:t>10</w:t>
      </w:r>
      <w:r>
        <w:t>] Transfertcenu aprēķināšanas piemēros</w:t>
      </w:r>
      <w:r w:rsidR="00094F6C">
        <w:t xml:space="preserve">, kas pieejami interneta vietnē </w:t>
      </w:r>
      <w:hyperlink r:id="rId9" w:history="1">
        <w:r w:rsidR="005D558A" w:rsidRPr="006F6D8D">
          <w:rPr>
            <w:rStyle w:val="Hyperlink"/>
            <w:color w:val="000000" w:themeColor="text1"/>
            <w:u w:val="none"/>
          </w:rPr>
          <w:t>www.transfertcenas.lv</w:t>
        </w:r>
      </w:hyperlink>
      <w:r w:rsidR="00094F6C" w:rsidRPr="005D558A">
        <w:t>,</w:t>
      </w:r>
      <w:r w:rsidRPr="005D558A">
        <w:t xml:space="preserve"> </w:t>
      </w:r>
      <w:bookmarkStart w:id="5" w:name="_Hlk87790394"/>
      <w:r w:rsidRPr="005D558A">
        <w:t>salīdz</w:t>
      </w:r>
      <w:r>
        <w:t>ināmās cenas noteikšanai tiek ņemta vērā cenu amplitūda, nevis šo cenu vidējais lielums.</w:t>
      </w:r>
      <w:bookmarkEnd w:id="5"/>
      <w:r>
        <w:t xml:space="preserve"> </w:t>
      </w:r>
    </w:p>
    <w:p w14:paraId="38CA8E28" w14:textId="0B5DE635" w:rsidR="00BD0113" w:rsidRDefault="00BD0113" w:rsidP="00214BD7">
      <w:pPr>
        <w:autoSpaceDE w:val="0"/>
        <w:autoSpaceDN w:val="0"/>
        <w:adjustRightInd w:val="0"/>
        <w:spacing w:line="276" w:lineRule="auto"/>
        <w:ind w:firstLine="567"/>
        <w:jc w:val="both"/>
      </w:pPr>
      <w:r>
        <w:t xml:space="preserve">Pārbaudot apgabaltiesai pieejamos Latvijas Bankas statistikas datus par finanšu iestāžu sniegtajām ziņām, konstatējams, ka 2012.gada decembra vidējā procentu likme 3,71 veidojas no procentu amplitūdas no 1,3 līdz 6,79 procentiem, savukārt 2013.gada decembrī šī amplitūda bija no 2,9 līdz 7,8 procentiem, no kā izrēķināts vidējais rādītājs </w:t>
      </w:r>
      <w:r w:rsidR="009C6DC9">
        <w:t xml:space="preserve">4,32 procenti. Turklāt pamatā visi aizdevumi, kuru apmērs pārsniedz vienu miljonu </w:t>
      </w:r>
      <w:r w:rsidR="009C6DC9" w:rsidRPr="00E74373">
        <w:rPr>
          <w:i/>
          <w:iCs/>
        </w:rPr>
        <w:t>euro</w:t>
      </w:r>
      <w:r w:rsidR="009C6DC9">
        <w:t xml:space="preserve">, izsniegti ar nodrošinājumu. Lai gan šī informācija nav pieejama lietas dalībniekiem, apgabaltiesa vērtē, ka lietas dalībnieku rīcībā esošo Latvijas Bankas statistikas datu izmantošana tiešā veidā </w:t>
      </w:r>
      <w:r w:rsidR="009C6DC9">
        <w:lastRenderedPageBreak/>
        <w:t>nav iespējama, jo no tās nav iespējams konstatēt salīdzināmo darījumu būtiskas detaļas.</w:t>
      </w:r>
    </w:p>
    <w:p w14:paraId="339B89DB" w14:textId="7D36BD02" w:rsidR="009C6DC9" w:rsidRDefault="009C6DC9" w:rsidP="00214BD7">
      <w:pPr>
        <w:autoSpaceDE w:val="0"/>
        <w:autoSpaceDN w:val="0"/>
        <w:adjustRightInd w:val="0"/>
        <w:spacing w:line="276" w:lineRule="auto"/>
        <w:ind w:firstLine="567"/>
        <w:jc w:val="both"/>
      </w:pPr>
      <w:r>
        <w:t>[</w:t>
      </w:r>
      <w:r w:rsidR="00741783">
        <w:t>2.1</w:t>
      </w:r>
      <w:r w:rsidR="00061D22">
        <w:t>1</w:t>
      </w:r>
      <w:r>
        <w:t>] Dienesta</w:t>
      </w:r>
      <w:r w:rsidR="00E74373">
        <w:t>m</w:t>
      </w:r>
      <w:r>
        <w:t xml:space="preserve">, ņemot vērā Latvijas Bankas statistikas datus, bija jāveic matemātiski aprēķini un pieņemami precīzas finanšu datu korekcijas, lai izslēgtu salīdzināmajos darījumos konstatēto atšķirību būtisku ietekmi. Dienests šādus aprēķinus nav vecis, lai gan vispārīgi atzinis, ka par aizdevumiem, kas ir izsniegti ar nodrošinājumu, procentu likmes ir mazākas, kā arī zinot, ka mainīgās procentu likmes piemērošanā procentu maksājumu palielina EURIBOR procentu likmes. Līdz ar </w:t>
      </w:r>
      <w:r w:rsidR="00FF74F3">
        <w:t xml:space="preserve">to </w:t>
      </w:r>
      <w:r>
        <w:t xml:space="preserve">dienests nepamatoti strīdus darījumiem piemērojis procentu likmes 3,71 un 4,32, tādējādi nepamatoti koriģējis arī apliekamo ienākumu. Taču, tā kā pieteicējas procentu likmes </w:t>
      </w:r>
      <w:r w:rsidR="00BB4E11">
        <w:t xml:space="preserve">vispārīgi atbilst to aizdevumu procentu amplitūdai, kas izmantoti finanšu iestāžu izsniegtajiem kredītiem ar nodrošinājumu, nav pamata dienestam </w:t>
      </w:r>
      <w:r w:rsidR="00B56067">
        <w:t xml:space="preserve">uzdot </w:t>
      </w:r>
      <w:r w:rsidR="00BB4E11">
        <w:t>atkārtoti lemt par transfertcenu izvērtējumu.</w:t>
      </w:r>
    </w:p>
    <w:p w14:paraId="2E55AA9B" w14:textId="277EB794" w:rsidR="00BB4E11" w:rsidRDefault="00BB4E11" w:rsidP="00214BD7">
      <w:pPr>
        <w:autoSpaceDE w:val="0"/>
        <w:autoSpaceDN w:val="0"/>
        <w:adjustRightInd w:val="0"/>
        <w:spacing w:line="276" w:lineRule="auto"/>
        <w:ind w:firstLine="567"/>
        <w:jc w:val="both"/>
      </w:pPr>
    </w:p>
    <w:p w14:paraId="4355763E" w14:textId="6B63BEA9" w:rsidR="00BB4E11" w:rsidRDefault="00BB4E11" w:rsidP="00214BD7">
      <w:pPr>
        <w:autoSpaceDE w:val="0"/>
        <w:autoSpaceDN w:val="0"/>
        <w:adjustRightInd w:val="0"/>
        <w:spacing w:line="276" w:lineRule="auto"/>
        <w:ind w:firstLine="567"/>
        <w:jc w:val="both"/>
      </w:pPr>
      <w:r>
        <w:t>[</w:t>
      </w:r>
      <w:r w:rsidR="00741783">
        <w:t>3</w:t>
      </w:r>
      <w:r>
        <w:t>] Dienests iesniedzis kasācijas sūdzību, norādot turpmāk minētos argumentus.</w:t>
      </w:r>
    </w:p>
    <w:p w14:paraId="326A22B1" w14:textId="25643351" w:rsidR="00BB4E11" w:rsidRDefault="00BB4E11" w:rsidP="00214BD7">
      <w:pPr>
        <w:autoSpaceDE w:val="0"/>
        <w:autoSpaceDN w:val="0"/>
        <w:adjustRightInd w:val="0"/>
        <w:spacing w:line="276" w:lineRule="auto"/>
        <w:ind w:firstLine="567"/>
        <w:jc w:val="both"/>
      </w:pPr>
      <w:r>
        <w:t>[</w:t>
      </w:r>
      <w:r w:rsidR="00741783">
        <w:t>3.1</w:t>
      </w:r>
      <w:r>
        <w:t>] Apgabaltiesa nepareizi interpretējusi Vadlīniju 1.</w:t>
      </w:r>
      <w:r w:rsidR="00B56067">
        <w:t>3</w:t>
      </w:r>
      <w:r>
        <w:t xml:space="preserve">5.punktu, </w:t>
      </w:r>
      <w:r w:rsidR="001F1678">
        <w:t xml:space="preserve">kas atbilst noteikumu Nr. 556 92.3.apakšpunktam, </w:t>
      </w:r>
      <w:r>
        <w:t>jo tas runā par nozares vidējiem ieņēmumiem. Izskatāmajā gadījumā netiek risināts jautājums par attiecīgās nozares vidējiem ieņēmumiem. Šajā lietā ir jānoskaidro strīdus darījumu cenas atbilstība tirgus cenai.</w:t>
      </w:r>
    </w:p>
    <w:p w14:paraId="15E7A87C" w14:textId="480181DA" w:rsidR="00BB4E11" w:rsidRDefault="00BB4E11" w:rsidP="00214BD7">
      <w:pPr>
        <w:autoSpaceDE w:val="0"/>
        <w:autoSpaceDN w:val="0"/>
        <w:adjustRightInd w:val="0"/>
        <w:spacing w:line="276" w:lineRule="auto"/>
        <w:ind w:firstLine="567"/>
        <w:jc w:val="both"/>
      </w:pPr>
      <w:r>
        <w:t>[</w:t>
      </w:r>
      <w:r w:rsidR="00741783">
        <w:t>3.2</w:t>
      </w:r>
      <w:r>
        <w:t>] </w:t>
      </w:r>
      <w:r w:rsidR="001F1678">
        <w:t xml:space="preserve">Apgabaltiesa nav vērtējusi, vai </w:t>
      </w:r>
      <w:bookmarkStart w:id="6" w:name="_Hlk87787722"/>
      <w:r w:rsidR="001F1678">
        <w:t>nodrošinājuma neesība ir būtisks darījumu salīdzināmības apstāklis aizdevuma procentu likmes noteikšanā un cik lielā mērā tas ietekmē darījuma tirgus cenas noteikšanu pieteicējas darījumos ar saistītiem uzņēmumiem.</w:t>
      </w:r>
      <w:r w:rsidR="00604F0F">
        <w:t xml:space="preserve"> </w:t>
      </w:r>
      <w:bookmarkEnd w:id="6"/>
      <w:r w:rsidR="00AE1CB8">
        <w:t>No sprieduma izriet, ka apgabaltiesas rīcībā bija detalizētāka informācija, kura nebija pieejama lietas dalībniekiem un kas nav pievienota lietas materiāliem. Apgabaltiesa</w:t>
      </w:r>
      <w:r w:rsidR="00141F8C">
        <w:t>s</w:t>
      </w:r>
      <w:r w:rsidR="00AE1CB8">
        <w:t xml:space="preserve"> spriedumā norād</w:t>
      </w:r>
      <w:r w:rsidR="00141F8C">
        <w:t>īts</w:t>
      </w:r>
      <w:r w:rsidR="00AE1CB8">
        <w:t xml:space="preserve">, ka </w:t>
      </w:r>
      <w:r w:rsidR="00141F8C">
        <w:t xml:space="preserve">apgabaltiesas </w:t>
      </w:r>
      <w:r w:rsidR="00AE1CB8">
        <w:lastRenderedPageBreak/>
        <w:t>izmantotajos datos ir ziņas par aizdevumiem, kuri pamatā izsniegti ar nodrošinājumu. Šis formulējums liecina, ka apgabaltiesas rīcībā bija ziņas arī par aizdevumiem bez nodrošinājum</w:t>
      </w:r>
      <w:r w:rsidR="00B56067">
        <w:t>a</w:t>
      </w:r>
      <w:r w:rsidR="00AE1CB8">
        <w:t>. Apgabaltiesa norād</w:t>
      </w:r>
      <w:r w:rsidR="00141F8C">
        <w:t>ījusi</w:t>
      </w:r>
      <w:r w:rsidR="00AE1CB8">
        <w:t xml:space="preserve">, ka lietas dalībnieku rīcībā esošie Latvijas Bankas statistikas dati nav izmantojami, jo no tiem nav iespējams konstatēt salīdzināmo darījumu būtiskas detaļas. Taču apgabaltiesa </w:t>
      </w:r>
      <w:r w:rsidR="00141F8C">
        <w:t>nav norādījusi</w:t>
      </w:r>
      <w:r w:rsidR="00AE1CB8">
        <w:t xml:space="preserve">, kādas ir </w:t>
      </w:r>
      <w:r w:rsidR="005A3CE2">
        <w:t>darījumu detaļas, izņemot nodrošinājumu, kas ir būtiskas salīdzināmo darījumu detaļām. Turklāt a</w:t>
      </w:r>
      <w:r w:rsidR="00604F0F">
        <w:t>pgabaltiesa, atsaucoties uz dienesta paskaidrojumiem citā lietā, izdarīj</w:t>
      </w:r>
      <w:r w:rsidR="00141F8C">
        <w:t>usi</w:t>
      </w:r>
      <w:r w:rsidR="00604F0F">
        <w:t xml:space="preserve"> pieņēmumus, ka aizdevumiem ar nodrošinājumu ir zemākas procentu likmes. Šajā ziņā apgabaltiesa nav ņēmusi vērā, ka pieteicējas mātes sabiedrība UAB </w:t>
      </w:r>
      <w:r w:rsidR="00141F8C" w:rsidRPr="0075027C">
        <w:t>„</w:t>
      </w:r>
      <w:r w:rsidR="00604F0F">
        <w:t>Malinvest</w:t>
      </w:r>
      <w:r w:rsidR="00141F8C">
        <w:t>”</w:t>
      </w:r>
      <w:r w:rsidR="00604F0F">
        <w:t xml:space="preserve"> kontrolēja savas me</w:t>
      </w:r>
      <w:r w:rsidR="00141F8C">
        <w:t>i</w:t>
      </w:r>
      <w:r w:rsidR="00604F0F">
        <w:t>tas sabiedrības</w:t>
      </w:r>
      <w:r w:rsidR="00824778">
        <w:t> – </w:t>
      </w:r>
      <w:r w:rsidR="00604F0F">
        <w:t>pieteicējas</w:t>
      </w:r>
      <w:r w:rsidR="00824778">
        <w:t> – </w:t>
      </w:r>
      <w:r w:rsidR="00604F0F">
        <w:t xml:space="preserve">īpašuma tiesības uz aktīviem, tādēļ nodrošinājuma </w:t>
      </w:r>
      <w:r w:rsidR="005A3CE2">
        <w:t>izsniegšanai būtu maza nozīme mātes sabiedrībai kā aizdevējai. Tas nozīmē, ka apgabaltiesai bija jākonstatē, ka nodrošinājuma neesība neraksturo darījuma ekonomisko būtību un nodrošinājums nav būtisks salīdzinā</w:t>
      </w:r>
      <w:r w:rsidR="00141F8C">
        <w:t xml:space="preserve">mības </w:t>
      </w:r>
      <w:r w:rsidR="005A3CE2">
        <w:t>faktors.</w:t>
      </w:r>
    </w:p>
    <w:p w14:paraId="0082D06B" w14:textId="24B97E3F" w:rsidR="005A3CE2" w:rsidRDefault="005A3CE2" w:rsidP="00214BD7">
      <w:pPr>
        <w:autoSpaceDE w:val="0"/>
        <w:autoSpaceDN w:val="0"/>
        <w:adjustRightInd w:val="0"/>
        <w:spacing w:line="276" w:lineRule="auto"/>
        <w:ind w:firstLine="567"/>
        <w:jc w:val="both"/>
      </w:pPr>
      <w:r>
        <w:t>[</w:t>
      </w:r>
      <w:r w:rsidR="00741783">
        <w:t>3.3</w:t>
      </w:r>
      <w:r>
        <w:t xml:space="preserve">] Tā vietā, lai piemērotu noteikumu Nr. 556 84., </w:t>
      </w:r>
      <w:r w:rsidR="00993A9F">
        <w:t xml:space="preserve">91., </w:t>
      </w:r>
      <w:r>
        <w:t>92. un 93.punktu, kā arī Vadlīniju</w:t>
      </w:r>
      <w:r w:rsidR="00824778">
        <w:t xml:space="preserve"> </w:t>
      </w:r>
      <w:r>
        <w:t>3.55.</w:t>
      </w:r>
      <w:r w:rsidR="00F74873">
        <w:t>–</w:t>
      </w:r>
      <w:r>
        <w:t>3.62.punktu, apgabaltiesa atsaukusies uz interneta vietnē pieejamo informāciju par transfertcenām, kurā pat nav atspoguļots piemērs par salīdzināmo nekontrolēto cenu metodes ietvaros cenu amplitūdas izmantošanu. No sprieduma izriet, ka apgabaltiesai bija zināma skaitļu virkne</w:t>
      </w:r>
      <w:r w:rsidR="00993A9F">
        <w:t xml:space="preserve">, ko apgabaltiesa nav izmantojusi dienesta piemēroto datu ticamības pārbaudīšanai. </w:t>
      </w:r>
    </w:p>
    <w:p w14:paraId="6813882A" w14:textId="0552E185" w:rsidR="00993A9F" w:rsidRDefault="00993A9F" w:rsidP="00214BD7">
      <w:pPr>
        <w:autoSpaceDE w:val="0"/>
        <w:autoSpaceDN w:val="0"/>
        <w:adjustRightInd w:val="0"/>
        <w:spacing w:line="276" w:lineRule="auto"/>
        <w:ind w:firstLine="567"/>
        <w:jc w:val="both"/>
      </w:pPr>
      <w:r>
        <w:t>[</w:t>
      </w:r>
      <w:r w:rsidR="00741783">
        <w:t>3.4</w:t>
      </w:r>
      <w:r>
        <w:t>] Apgabaltiesa atzinusi, ka pieteicējas izmantotie dati transfertcenas pārbaudīšanai nav derīgi un pieteicējas statistikas aprēķins nav pareizs. Neskatoties uz to, tiesa atcēl</w:t>
      </w:r>
      <w:r w:rsidR="00141F8C">
        <w:t>usi</w:t>
      </w:r>
      <w:r>
        <w:t xml:space="preserve"> dienesta lēmumu, tādējādi pēc būtības atzīstot pieteicējas aprēķinu, ko pati novērtējusi kā nepareizu. </w:t>
      </w:r>
    </w:p>
    <w:p w14:paraId="3F501881" w14:textId="23A71730" w:rsidR="00993A9F" w:rsidRDefault="00993A9F" w:rsidP="00214BD7">
      <w:pPr>
        <w:autoSpaceDE w:val="0"/>
        <w:autoSpaceDN w:val="0"/>
        <w:adjustRightInd w:val="0"/>
        <w:spacing w:line="276" w:lineRule="auto"/>
        <w:ind w:firstLine="567"/>
        <w:jc w:val="both"/>
      </w:pPr>
      <w:r>
        <w:t>[</w:t>
      </w:r>
      <w:r w:rsidR="00741783">
        <w:t>3.5</w:t>
      </w:r>
      <w:r>
        <w:t>] Ņemot vērā minēto, apgabaltiesa ir pārkāpusi noteikumu Nr. 556 84., 91., 92. un 93.punktu, Vadlīniju 1.35., 3.57.punktu</w:t>
      </w:r>
      <w:r w:rsidR="00741783">
        <w:t>, kā arī Administratīvā procesa likuma 103.panta otro daļu un 154.panta pirmo daļu.</w:t>
      </w:r>
    </w:p>
    <w:p w14:paraId="70ADA9EB" w14:textId="515C9DCF" w:rsidR="00291FA8" w:rsidRDefault="00291FA8" w:rsidP="00214BD7">
      <w:pPr>
        <w:autoSpaceDE w:val="0"/>
        <w:autoSpaceDN w:val="0"/>
        <w:adjustRightInd w:val="0"/>
        <w:spacing w:line="276" w:lineRule="auto"/>
        <w:ind w:firstLine="567"/>
        <w:jc w:val="both"/>
      </w:pPr>
    </w:p>
    <w:p w14:paraId="23D630E0" w14:textId="28EADA63" w:rsidR="0088446A" w:rsidRDefault="0088446A" w:rsidP="00214BD7">
      <w:pPr>
        <w:pStyle w:val="NoSpacing"/>
        <w:spacing w:line="276" w:lineRule="auto"/>
        <w:ind w:firstLine="567"/>
        <w:jc w:val="both"/>
        <w:rPr>
          <w:rFonts w:cs="Times New Roman"/>
          <w:szCs w:val="24"/>
        </w:rPr>
      </w:pPr>
      <w:r>
        <w:rPr>
          <w:rFonts w:cs="Times New Roman"/>
          <w:szCs w:val="24"/>
        </w:rPr>
        <w:t>[4] </w:t>
      </w:r>
      <w:r w:rsidR="00741783">
        <w:rPr>
          <w:rFonts w:cs="Times New Roman"/>
          <w:szCs w:val="24"/>
        </w:rPr>
        <w:t>Pieteicēja</w:t>
      </w:r>
      <w:r>
        <w:rPr>
          <w:rFonts w:cs="Times New Roman"/>
          <w:szCs w:val="24"/>
        </w:rPr>
        <w:t xml:space="preserve"> ir iesnie</w:t>
      </w:r>
      <w:r w:rsidR="00741783">
        <w:rPr>
          <w:rFonts w:cs="Times New Roman"/>
          <w:szCs w:val="24"/>
        </w:rPr>
        <w:t>gusi</w:t>
      </w:r>
      <w:r>
        <w:rPr>
          <w:rFonts w:cs="Times New Roman"/>
          <w:szCs w:val="24"/>
        </w:rPr>
        <w:t xml:space="preserve"> paskaidrojumus</w:t>
      </w:r>
      <w:r w:rsidR="004E2484">
        <w:rPr>
          <w:rFonts w:cs="Times New Roman"/>
          <w:szCs w:val="24"/>
        </w:rPr>
        <w:t>,</w:t>
      </w:r>
      <w:r>
        <w:rPr>
          <w:rFonts w:cs="Times New Roman"/>
          <w:szCs w:val="24"/>
        </w:rPr>
        <w:t xml:space="preserve"> norādot, ka kasācijas sūdzība ir noraidāma.</w:t>
      </w:r>
    </w:p>
    <w:p w14:paraId="6B1DD092" w14:textId="77777777" w:rsidR="006E4A34" w:rsidRDefault="006E4A34" w:rsidP="00214BD7">
      <w:pPr>
        <w:spacing w:line="276" w:lineRule="auto"/>
        <w:ind w:firstLine="567"/>
        <w:jc w:val="both"/>
      </w:pPr>
    </w:p>
    <w:p w14:paraId="71D77104" w14:textId="77777777" w:rsidR="006E4A34" w:rsidRDefault="006E4A34" w:rsidP="00214BD7">
      <w:pPr>
        <w:spacing w:line="276" w:lineRule="auto"/>
        <w:jc w:val="center"/>
      </w:pPr>
      <w:r>
        <w:rPr>
          <w:b/>
          <w:bCs/>
        </w:rPr>
        <w:t>Motīvu daļa</w:t>
      </w:r>
    </w:p>
    <w:p w14:paraId="71178995" w14:textId="77777777" w:rsidR="006E4A34" w:rsidRDefault="006E4A34" w:rsidP="00214BD7">
      <w:pPr>
        <w:spacing w:line="276" w:lineRule="auto"/>
        <w:ind w:firstLine="567"/>
        <w:jc w:val="both"/>
      </w:pPr>
    </w:p>
    <w:p w14:paraId="5B53BF42" w14:textId="2171D3CD" w:rsidR="00D12265" w:rsidRDefault="004B7E48" w:rsidP="00214BD7">
      <w:pPr>
        <w:spacing w:line="276" w:lineRule="auto"/>
        <w:ind w:firstLine="567"/>
        <w:jc w:val="both"/>
        <w:rPr>
          <w:shd w:val="clear" w:color="auto" w:fill="FFFFFF"/>
        </w:rPr>
      </w:pPr>
      <w:r>
        <w:t>[</w:t>
      </w:r>
      <w:r w:rsidR="004E1BD0">
        <w:t>5</w:t>
      </w:r>
      <w:r>
        <w:t>]</w:t>
      </w:r>
      <w:r w:rsidR="00D12265">
        <w:rPr>
          <w:shd w:val="clear" w:color="auto" w:fill="FFFFFF"/>
        </w:rPr>
        <w:t xml:space="preserve"> Lietā </w:t>
      </w:r>
      <w:r w:rsidR="00A66B3C">
        <w:rPr>
          <w:shd w:val="clear" w:color="auto" w:fill="FFFFFF"/>
        </w:rPr>
        <w:t>ir strīds par to</w:t>
      </w:r>
      <w:r w:rsidR="00D12265">
        <w:rPr>
          <w:shd w:val="clear" w:color="auto" w:fill="FFFFFF"/>
        </w:rPr>
        <w:t>, vai pieteicējas un Lietuvas uzņēmumu transfertcen</w:t>
      </w:r>
      <w:r w:rsidR="00CA58D1">
        <w:rPr>
          <w:shd w:val="clear" w:color="auto" w:fill="FFFFFF"/>
        </w:rPr>
        <w:t>as</w:t>
      </w:r>
      <w:r w:rsidR="00D12265">
        <w:rPr>
          <w:shd w:val="clear" w:color="auto" w:fill="FFFFFF"/>
        </w:rPr>
        <w:t xml:space="preserve"> atbilst tirgus cenai.</w:t>
      </w:r>
    </w:p>
    <w:p w14:paraId="36DD39B1" w14:textId="47E57B78" w:rsidR="00D12265" w:rsidRDefault="00C73864" w:rsidP="00214BD7">
      <w:pPr>
        <w:spacing w:line="276" w:lineRule="auto"/>
        <w:ind w:firstLine="567"/>
        <w:jc w:val="both"/>
        <w:rPr>
          <w:shd w:val="clear" w:color="auto" w:fill="FFFFFF"/>
        </w:rPr>
      </w:pPr>
      <w:r>
        <w:rPr>
          <w:shd w:val="clear" w:color="auto" w:fill="FFFFFF"/>
        </w:rPr>
        <w:t xml:space="preserve">Lai </w:t>
      </w:r>
      <w:r w:rsidR="000E3B4D">
        <w:rPr>
          <w:shd w:val="clear" w:color="auto" w:fill="FFFFFF"/>
        </w:rPr>
        <w:t xml:space="preserve">pārbaudītu </w:t>
      </w:r>
      <w:r>
        <w:rPr>
          <w:shd w:val="clear" w:color="auto" w:fill="FFFFFF"/>
        </w:rPr>
        <w:t>saistīto uzņēmumu starpā noslēgto darījumu vērtības atbilstību tirgus vērtībai,</w:t>
      </w:r>
      <w:r w:rsidR="00D6684D">
        <w:rPr>
          <w:shd w:val="clear" w:color="auto" w:fill="FFFFFF"/>
        </w:rPr>
        <w:t xml:space="preserve"> normatīvajos aktos</w:t>
      </w:r>
      <w:r>
        <w:rPr>
          <w:shd w:val="clear" w:color="auto" w:fill="FFFFFF"/>
        </w:rPr>
        <w:t xml:space="preserve"> ir paredzētas vairākas metodes. </w:t>
      </w:r>
      <w:r w:rsidR="00D12265">
        <w:rPr>
          <w:shd w:val="clear" w:color="auto" w:fill="FFFFFF"/>
        </w:rPr>
        <w:t xml:space="preserve">Lietas dalībnieku starpā </w:t>
      </w:r>
      <w:r w:rsidR="00A66B3C">
        <w:rPr>
          <w:shd w:val="clear" w:color="auto" w:fill="FFFFFF"/>
        </w:rPr>
        <w:t>ir vienprātība</w:t>
      </w:r>
      <w:r w:rsidR="00D12265">
        <w:rPr>
          <w:shd w:val="clear" w:color="auto" w:fill="FFFFFF"/>
        </w:rPr>
        <w:t xml:space="preserve">, ka </w:t>
      </w:r>
      <w:r>
        <w:rPr>
          <w:shd w:val="clear" w:color="auto" w:fill="FFFFFF"/>
        </w:rPr>
        <w:t xml:space="preserve">izskatāmajā gadījumā </w:t>
      </w:r>
      <w:r w:rsidR="00D12265">
        <w:rPr>
          <w:shd w:val="clear" w:color="auto" w:fill="FFFFFF"/>
        </w:rPr>
        <w:t xml:space="preserve">ir piemērojama noteikumu Nr. 556 </w:t>
      </w:r>
      <w:r w:rsidR="000C1F42">
        <w:rPr>
          <w:shd w:val="clear" w:color="auto" w:fill="FFFFFF"/>
        </w:rPr>
        <w:t>(</w:t>
      </w:r>
      <w:r w:rsidR="00976765">
        <w:t xml:space="preserve">zaudēja spēku 2018.gada 1.janvārī) </w:t>
      </w:r>
      <w:r w:rsidR="00D12265">
        <w:rPr>
          <w:shd w:val="clear" w:color="auto" w:fill="FFFFFF"/>
        </w:rPr>
        <w:t>84.punktā paredzētā salīdzināmo nekontrolēto cenu metode un ir izmantojami ārējie salīdzināmie dati – Latvijas Bankas apkopotie statistikas dati. Arī apgabaltiesa tam</w:t>
      </w:r>
      <w:r w:rsidR="00A66B3C">
        <w:rPr>
          <w:shd w:val="clear" w:color="auto" w:fill="FFFFFF"/>
        </w:rPr>
        <w:t xml:space="preserve"> ir</w:t>
      </w:r>
      <w:r w:rsidR="00D12265">
        <w:rPr>
          <w:shd w:val="clear" w:color="auto" w:fill="FFFFFF"/>
        </w:rPr>
        <w:t xml:space="preserve"> piekritusi.</w:t>
      </w:r>
      <w:r w:rsidR="00A66B3C">
        <w:rPr>
          <w:shd w:val="clear" w:color="auto" w:fill="FFFFFF"/>
        </w:rPr>
        <w:t xml:space="preserve"> Tomēr l</w:t>
      </w:r>
      <w:r w:rsidR="00D12265">
        <w:rPr>
          <w:shd w:val="clear" w:color="auto" w:fill="FFFFFF"/>
        </w:rPr>
        <w:t>ietas dalībnieku starpā ir strīds par šo datu izmantošanas veidu.</w:t>
      </w:r>
    </w:p>
    <w:p w14:paraId="1833F300" w14:textId="77777777" w:rsidR="00C73864" w:rsidRDefault="00C73864" w:rsidP="00214BD7">
      <w:pPr>
        <w:spacing w:line="276" w:lineRule="auto"/>
        <w:ind w:firstLine="567"/>
        <w:jc w:val="both"/>
        <w:rPr>
          <w:lang w:eastAsia="lv-LV"/>
        </w:rPr>
      </w:pPr>
    </w:p>
    <w:p w14:paraId="58E33C42" w14:textId="5CA39A30" w:rsidR="00717EF2" w:rsidRPr="00961AF1" w:rsidRDefault="00717EF2" w:rsidP="00214BD7">
      <w:pPr>
        <w:spacing w:line="276" w:lineRule="auto"/>
        <w:ind w:firstLine="567"/>
        <w:jc w:val="both"/>
        <w:rPr>
          <w:lang w:eastAsia="lv-LV"/>
        </w:rPr>
      </w:pPr>
      <w:r w:rsidRPr="00961AF1">
        <w:rPr>
          <w:lang w:eastAsia="lv-LV"/>
        </w:rPr>
        <w:t>[</w:t>
      </w:r>
      <w:r w:rsidR="004E1BD0">
        <w:rPr>
          <w:lang w:eastAsia="lv-LV"/>
        </w:rPr>
        <w:t>6</w:t>
      </w:r>
      <w:r w:rsidRPr="005D558A">
        <w:rPr>
          <w:lang w:eastAsia="lv-LV"/>
        </w:rPr>
        <w:t>] Lietas dalībnieki ir izmantoju</w:t>
      </w:r>
      <w:r w:rsidR="001153E0">
        <w:rPr>
          <w:lang w:eastAsia="lv-LV"/>
        </w:rPr>
        <w:t>š</w:t>
      </w:r>
      <w:r w:rsidRPr="005D558A">
        <w:rPr>
          <w:lang w:eastAsia="lv-LV"/>
        </w:rPr>
        <w:t xml:space="preserve">i </w:t>
      </w:r>
      <w:r w:rsidR="003D2570" w:rsidRPr="005D558A">
        <w:rPr>
          <w:lang w:eastAsia="lv-LV"/>
        </w:rPr>
        <w:t>Statistikas tabul</w:t>
      </w:r>
      <w:r w:rsidR="00B56BC2">
        <w:rPr>
          <w:lang w:eastAsia="lv-LV"/>
        </w:rPr>
        <w:t>u</w:t>
      </w:r>
      <w:r w:rsidR="003D2570" w:rsidRPr="005D558A">
        <w:rPr>
          <w:lang w:eastAsia="lv-LV"/>
        </w:rPr>
        <w:t xml:space="preserve"> </w:t>
      </w:r>
      <w:r w:rsidRPr="005D558A">
        <w:rPr>
          <w:lang w:eastAsia="lv-LV"/>
        </w:rPr>
        <w:t>(pieejam</w:t>
      </w:r>
      <w:r w:rsidR="005D558A" w:rsidRPr="005D558A">
        <w:rPr>
          <w:lang w:eastAsia="lv-LV"/>
        </w:rPr>
        <w:t>a</w:t>
      </w:r>
      <w:r w:rsidRPr="005D558A">
        <w:rPr>
          <w:lang w:eastAsia="lv-LV"/>
        </w:rPr>
        <w:t>:</w:t>
      </w:r>
      <w:r w:rsidR="005D558A" w:rsidRPr="005D558A">
        <w:rPr>
          <w:lang w:eastAsia="lv-LV"/>
        </w:rPr>
        <w:t xml:space="preserve"> </w:t>
      </w:r>
      <w:r w:rsidR="005D558A" w:rsidRPr="005D558A">
        <w:rPr>
          <w:i/>
          <w:iCs/>
          <w:lang w:eastAsia="lv-LV"/>
        </w:rPr>
        <w:t>https://www.bank.lv/statistika/procentu-likmju-statistikas-raditaji/videjas-svertas-procentu-likmes</w:t>
      </w:r>
      <w:r w:rsidR="005D558A" w:rsidRPr="005D558A">
        <w:rPr>
          <w:lang w:eastAsia="lv-LV"/>
        </w:rPr>
        <w:t>).</w:t>
      </w:r>
    </w:p>
    <w:p w14:paraId="31EF4A8E" w14:textId="481926CE" w:rsidR="00F376B0" w:rsidRPr="00961AF1" w:rsidRDefault="003D2570" w:rsidP="00214BD7">
      <w:pPr>
        <w:spacing w:line="276" w:lineRule="auto"/>
        <w:ind w:firstLine="567"/>
        <w:jc w:val="both"/>
        <w:rPr>
          <w:rFonts w:eastAsia="Calibri"/>
          <w:lang w:eastAsia="en-US"/>
        </w:rPr>
      </w:pPr>
      <w:r w:rsidRPr="00961AF1">
        <w:rPr>
          <w:lang w:eastAsia="lv-LV"/>
        </w:rPr>
        <w:t xml:space="preserve">Dienests atzinis, ka ir jāizmanto Statistikas tabulā apkopotās ziņas par citiem kredītiem, kuru apjoms pārsniedz </w:t>
      </w:r>
      <w:r w:rsidR="00F12C52">
        <w:rPr>
          <w:lang w:eastAsia="lv-LV"/>
        </w:rPr>
        <w:t>vienu</w:t>
      </w:r>
      <w:r w:rsidRPr="00961AF1">
        <w:rPr>
          <w:lang w:eastAsia="lv-LV"/>
        </w:rPr>
        <w:t xml:space="preserve"> miljonu </w:t>
      </w:r>
      <w:r w:rsidRPr="00F12C52">
        <w:rPr>
          <w:i/>
          <w:iCs/>
          <w:lang w:eastAsia="lv-LV"/>
        </w:rPr>
        <w:t>euro</w:t>
      </w:r>
      <w:r w:rsidRPr="00961AF1">
        <w:rPr>
          <w:lang w:eastAsia="lv-LV"/>
        </w:rPr>
        <w:t xml:space="preserve">, procentu likmes darbības sākotnējā perioda dalījumā, mainīgā procentu likme ilgāk par gadu. </w:t>
      </w:r>
      <w:r w:rsidR="00E31D13">
        <w:rPr>
          <w:lang w:eastAsia="lv-LV"/>
        </w:rPr>
        <w:t>Atbilstoši Statistikas tabulai s</w:t>
      </w:r>
      <w:r w:rsidR="00F12C52">
        <w:rPr>
          <w:lang w:eastAsia="lv-LV"/>
        </w:rPr>
        <w:t xml:space="preserve">trīdus darījumu laikā </w:t>
      </w:r>
      <w:r w:rsidR="001E6FC0">
        <w:rPr>
          <w:lang w:eastAsia="lv-LV"/>
        </w:rPr>
        <w:t xml:space="preserve">2013.gada 19.martā bija pieejamas ziņas par finanšu iestāžu darījumiem 2012.gada decembrī, savukārt 2014.gada 28.martā – par darījumiem 2013.gada decembrī. 2012.gada decembrī vidējā procentu likme bija 3,71, savukārt 2013.gada decembrī – 4,32 procenti. Ievērojot minēto, dienests atzinis, ka </w:t>
      </w:r>
      <w:r w:rsidR="00A66B3C">
        <w:rPr>
          <w:lang w:eastAsia="lv-LV"/>
        </w:rPr>
        <w:t xml:space="preserve">pieteicējas </w:t>
      </w:r>
      <w:r w:rsidR="001E6FC0">
        <w:rPr>
          <w:lang w:eastAsia="lv-LV"/>
        </w:rPr>
        <w:t xml:space="preserve">darījumiem piemērotā sešu procentu likme </w:t>
      </w:r>
      <w:r w:rsidR="001E6FC0">
        <w:rPr>
          <w:lang w:eastAsia="lv-LV"/>
        </w:rPr>
        <w:lastRenderedPageBreak/>
        <w:t>neatbilst tirgus vērtībai, tāpēc strīdus darījumiem piemērojis minētās Statistikas tabulā norādītās procentu likmes</w:t>
      </w:r>
      <w:r w:rsidR="00F376B0">
        <w:rPr>
          <w:lang w:eastAsia="lv-LV"/>
        </w:rPr>
        <w:t xml:space="preserve"> un atbilstoši likuma </w:t>
      </w:r>
      <w:r w:rsidR="00F376B0" w:rsidRPr="00961AF1">
        <w:rPr>
          <w:rFonts w:eastAsia="Calibri"/>
          <w:lang w:eastAsia="en-US"/>
        </w:rPr>
        <w:t>„Par uzņēmumu ienākuma nodokli”, kas bija spēkā līdz 201</w:t>
      </w:r>
      <w:r w:rsidR="00101FD0">
        <w:rPr>
          <w:rFonts w:eastAsia="Calibri"/>
          <w:lang w:eastAsia="en-US"/>
        </w:rPr>
        <w:t>8</w:t>
      </w:r>
      <w:r w:rsidR="00F376B0" w:rsidRPr="00961AF1">
        <w:rPr>
          <w:rFonts w:eastAsia="Calibri"/>
          <w:lang w:eastAsia="en-US"/>
        </w:rPr>
        <w:t xml:space="preserve">.gada </w:t>
      </w:r>
      <w:r w:rsidR="00101FD0">
        <w:rPr>
          <w:rFonts w:eastAsia="Calibri"/>
          <w:lang w:eastAsia="en-US"/>
        </w:rPr>
        <w:t>1.janvāri</w:t>
      </w:r>
      <w:r w:rsidR="00F376B0" w:rsidRPr="00961AF1">
        <w:rPr>
          <w:rFonts w:eastAsia="Calibri"/>
          <w:lang w:eastAsia="en-US"/>
        </w:rPr>
        <w:t>m, 12.pant</w:t>
      </w:r>
      <w:r w:rsidR="00F376B0">
        <w:rPr>
          <w:rFonts w:eastAsia="Calibri"/>
          <w:lang w:eastAsia="en-US"/>
        </w:rPr>
        <w:t>a otrās daļas 3. un 4.punktam koriģējis pieteicējas apliekamo ienākumu</w:t>
      </w:r>
      <w:r w:rsidR="00F376B0" w:rsidRPr="00961AF1">
        <w:rPr>
          <w:rFonts w:eastAsia="Calibri"/>
          <w:lang w:eastAsia="en-US"/>
        </w:rPr>
        <w:t>.</w:t>
      </w:r>
    </w:p>
    <w:p w14:paraId="7A91F2BA" w14:textId="345F8D78" w:rsidR="007C713A" w:rsidRDefault="00A66B3C" w:rsidP="00214BD7">
      <w:pPr>
        <w:spacing w:line="276" w:lineRule="auto"/>
        <w:ind w:firstLine="567"/>
        <w:jc w:val="both"/>
        <w:rPr>
          <w:lang w:eastAsia="lv-LV"/>
        </w:rPr>
      </w:pPr>
      <w:r>
        <w:rPr>
          <w:lang w:eastAsia="lv-LV"/>
        </w:rPr>
        <w:t xml:space="preserve">Savukārt pieteicēja, lai pamatotu, ka tās darījumu cenas atbilst tirgus cenām, ir </w:t>
      </w:r>
      <w:r w:rsidR="00D36714">
        <w:rPr>
          <w:lang w:eastAsia="lv-LV"/>
        </w:rPr>
        <w:t>pārrēķinājusi Statistikas tabulā esošos datus, kā rezultātā noteikusi</w:t>
      </w:r>
      <w:r w:rsidR="003D2570" w:rsidRPr="00961AF1">
        <w:rPr>
          <w:lang w:eastAsia="lv-LV"/>
        </w:rPr>
        <w:t xml:space="preserve"> vidējos aritmētiskos lielumus no Statistikas tabulā </w:t>
      </w:r>
      <w:r>
        <w:rPr>
          <w:lang w:eastAsia="lv-LV"/>
        </w:rPr>
        <w:t xml:space="preserve">jau </w:t>
      </w:r>
      <w:r w:rsidR="003D2570" w:rsidRPr="00961AF1">
        <w:rPr>
          <w:lang w:eastAsia="lv-LV"/>
        </w:rPr>
        <w:t xml:space="preserve">aprēķinātajām vidējām svērtām </w:t>
      </w:r>
      <w:r w:rsidR="00CA58D1">
        <w:rPr>
          <w:lang w:eastAsia="lv-LV"/>
        </w:rPr>
        <w:t xml:space="preserve">procentu </w:t>
      </w:r>
      <w:r w:rsidR="003D2570" w:rsidRPr="00961AF1">
        <w:rPr>
          <w:lang w:eastAsia="lv-LV"/>
        </w:rPr>
        <w:t>likmēm dažādu darījumu kopām</w:t>
      </w:r>
      <w:r w:rsidR="00D36714">
        <w:rPr>
          <w:lang w:eastAsia="lv-LV"/>
        </w:rPr>
        <w:t xml:space="preserve"> – aizdevumiem, kas nepārsniedz 0,25 miljonus </w:t>
      </w:r>
      <w:r w:rsidR="00D36714" w:rsidRPr="00A66B3C">
        <w:rPr>
          <w:i/>
          <w:iCs/>
          <w:lang w:eastAsia="lv-LV"/>
        </w:rPr>
        <w:t>euro</w:t>
      </w:r>
      <w:r w:rsidR="00D36714">
        <w:rPr>
          <w:lang w:eastAsia="lv-LV"/>
        </w:rPr>
        <w:t>, aizdevumiem ar apjomu no 0,25 miljon</w:t>
      </w:r>
      <w:r w:rsidR="00E31D13">
        <w:rPr>
          <w:lang w:eastAsia="lv-LV"/>
        </w:rPr>
        <w:t>a</w:t>
      </w:r>
      <w:r w:rsidR="00D36714">
        <w:rPr>
          <w:lang w:eastAsia="lv-LV"/>
        </w:rPr>
        <w:t xml:space="preserve"> līdz vienam miljonam </w:t>
      </w:r>
      <w:r w:rsidR="00D36714" w:rsidRPr="00A66B3C">
        <w:rPr>
          <w:i/>
          <w:iCs/>
          <w:lang w:eastAsia="lv-LV"/>
        </w:rPr>
        <w:t>euro</w:t>
      </w:r>
      <w:r w:rsidR="00D36714">
        <w:rPr>
          <w:lang w:eastAsia="lv-LV"/>
        </w:rPr>
        <w:t xml:space="preserve">, aizdevumiem, kas pārsniedz vienu miljonu </w:t>
      </w:r>
      <w:r w:rsidR="00D36714" w:rsidRPr="00A66B3C">
        <w:rPr>
          <w:i/>
          <w:iCs/>
          <w:lang w:eastAsia="lv-LV"/>
        </w:rPr>
        <w:t>euro</w:t>
      </w:r>
      <w:r w:rsidR="00D36714">
        <w:rPr>
          <w:lang w:eastAsia="lv-LV"/>
        </w:rPr>
        <w:t>. T</w:t>
      </w:r>
      <w:r w:rsidR="00961AF1">
        <w:rPr>
          <w:lang w:eastAsia="lv-LV"/>
        </w:rPr>
        <w:t>ā rezultātā</w:t>
      </w:r>
      <w:r w:rsidR="00D36714">
        <w:rPr>
          <w:lang w:eastAsia="lv-LV"/>
        </w:rPr>
        <w:t xml:space="preserve"> pieteicēja</w:t>
      </w:r>
      <w:r w:rsidR="00961AF1">
        <w:rPr>
          <w:lang w:eastAsia="lv-LV"/>
        </w:rPr>
        <w:t xml:space="preserve"> nonākusi pie procentu likm</w:t>
      </w:r>
      <w:r>
        <w:rPr>
          <w:lang w:eastAsia="lv-LV"/>
        </w:rPr>
        <w:t>ju</w:t>
      </w:r>
      <w:r w:rsidR="00961AF1">
        <w:rPr>
          <w:lang w:eastAsia="lv-LV"/>
        </w:rPr>
        <w:t xml:space="preserve"> </w:t>
      </w:r>
      <w:r w:rsidR="00D36714">
        <w:rPr>
          <w:lang w:eastAsia="lv-LV"/>
        </w:rPr>
        <w:t>a</w:t>
      </w:r>
      <w:r w:rsidR="00961AF1">
        <w:rPr>
          <w:lang w:eastAsia="lv-LV"/>
        </w:rPr>
        <w:t>mplitūd</w:t>
      </w:r>
      <w:r w:rsidR="00D36714">
        <w:rPr>
          <w:lang w:eastAsia="lv-LV"/>
        </w:rPr>
        <w:t>as</w:t>
      </w:r>
      <w:r w:rsidR="00961AF1">
        <w:rPr>
          <w:lang w:eastAsia="lv-LV"/>
        </w:rPr>
        <w:t>. Ņemot vērā, ka strīdus darījum</w:t>
      </w:r>
      <w:r>
        <w:rPr>
          <w:lang w:eastAsia="lv-LV"/>
        </w:rPr>
        <w:t>iem piemērotā</w:t>
      </w:r>
      <w:r w:rsidR="00961AF1">
        <w:rPr>
          <w:lang w:eastAsia="lv-LV"/>
        </w:rPr>
        <w:t xml:space="preserve"> sešu procentu likme iekļaujas </w:t>
      </w:r>
      <w:r w:rsidR="00B67B5C">
        <w:rPr>
          <w:lang w:eastAsia="lv-LV"/>
        </w:rPr>
        <w:t>pieteicējas aprēķinātajā amplitūdā,</w:t>
      </w:r>
      <w:r w:rsidR="001E6FC0">
        <w:rPr>
          <w:lang w:eastAsia="lv-LV"/>
        </w:rPr>
        <w:t xml:space="preserve"> pieteicēja</w:t>
      </w:r>
      <w:r w:rsidR="007C713A">
        <w:rPr>
          <w:lang w:eastAsia="lv-LV"/>
        </w:rPr>
        <w:t>s ieskatā nav pamata apstrīdēt strīdus darījumu cenas atbilstību tirgus cenai.</w:t>
      </w:r>
    </w:p>
    <w:p w14:paraId="37A01394" w14:textId="5226F1FF" w:rsidR="00C92EA1" w:rsidRDefault="00C92EA1" w:rsidP="00214BD7">
      <w:pPr>
        <w:spacing w:line="276" w:lineRule="auto"/>
        <w:ind w:firstLine="567"/>
        <w:jc w:val="both"/>
      </w:pPr>
      <w:r w:rsidRPr="00961AF1">
        <w:rPr>
          <w:lang w:eastAsia="lv-LV"/>
        </w:rPr>
        <w:t>Apgabaltiesa</w:t>
      </w:r>
      <w:r>
        <w:rPr>
          <w:lang w:eastAsia="lv-LV"/>
        </w:rPr>
        <w:t xml:space="preserve"> atzinusi, ka pieteicējas izmantotie statistikas dati acīmredzami ir pārāk atšķirīgi no pieteicējas darījumiem un pieteicējas piemērotā cenu noteikšanas kārtība nav pietiekami izsekojama, lai katrai trešajai personai būtu iespēja identificēt salīdzināmos darījumus un tos novērtēt. Apgabaltiesa secinājusi, ka cenu salīdzināšanā vispārīgi ir izmantojami Latvijas Bankas statistikas dati par citiem kredītiem, kuru apjoms pārsniedz vienu miljonu </w:t>
      </w:r>
      <w:r w:rsidRPr="00F752DC">
        <w:rPr>
          <w:i/>
          <w:iCs/>
          <w:lang w:eastAsia="lv-LV"/>
        </w:rPr>
        <w:t>euro</w:t>
      </w:r>
      <w:r>
        <w:rPr>
          <w:lang w:eastAsia="lv-LV"/>
        </w:rPr>
        <w:t xml:space="preserve">, procentu likmes darbības sākotnējā perioda dalījumā, mainīgā procentu likme ilgāk par gadu. Tieši šādus salīdzināmos datus ir izmantojis arī dienests. Tāpat apgabaltiesa piekritusi dienestam, ka pieteicējas darījumu novērtēšanā ir izmantojami dati par 2012.gada decembri un 2013.gada decembri. Vienlaikus apgabaltiesa atzinusi, ka nav izmantojamas dienesta iepriekš norādītās procentu likmes. </w:t>
      </w:r>
      <w:r w:rsidR="00417B80">
        <w:rPr>
          <w:lang w:eastAsia="lv-LV"/>
        </w:rPr>
        <w:t>A</w:t>
      </w:r>
      <w:r>
        <w:rPr>
          <w:lang w:eastAsia="lv-LV"/>
        </w:rPr>
        <w:t>pgabaltiesa ir izmantojusi pašas no Latvijas Bankas iegūtos datus</w:t>
      </w:r>
      <w:r w:rsidR="00A13D2D">
        <w:rPr>
          <w:lang w:eastAsia="lv-LV"/>
        </w:rPr>
        <w:t xml:space="preserve">, kā rezultātā </w:t>
      </w:r>
      <w:r>
        <w:rPr>
          <w:lang w:eastAsia="lv-LV"/>
        </w:rPr>
        <w:t xml:space="preserve">secinājusi, ka </w:t>
      </w:r>
      <w:r>
        <w:t xml:space="preserve">pieteicējas aizdevuma darījumu procentu likmes iekļaujas </w:t>
      </w:r>
      <w:r>
        <w:lastRenderedPageBreak/>
        <w:t>apgabaltiesas izmantoto procentu likmju diapazonā. Līdz ar to apgabaltiesa atzinusi, ka strīdus darījumu cena atbilst tirgus cenai.</w:t>
      </w:r>
    </w:p>
    <w:p w14:paraId="2B40607D" w14:textId="3B4FE504" w:rsidR="00606D50" w:rsidRDefault="00C92EA1" w:rsidP="00214BD7">
      <w:pPr>
        <w:spacing w:line="276" w:lineRule="auto"/>
        <w:ind w:firstLine="567"/>
        <w:jc w:val="both"/>
      </w:pPr>
      <w:r>
        <w:t>Dienests kasācijas sūdzībā norāda, ka informācija</w:t>
      </w:r>
      <w:r w:rsidR="00CA58D1">
        <w:t>, ar ko pamatoti tiesas secinājumi,</w:t>
      </w:r>
      <w:r>
        <w:t xml:space="preserve"> nebija pieejama ne dienestam, ne pieteicējai, </w:t>
      </w:r>
      <w:r w:rsidR="00606D50">
        <w:t>līdz ar to tiesa, atceļot pārsūdzēto lēmumu, ir vērtējusi detalizētākus datus, par kuru ietekmi uz dienesta veiktajiem nodokļa aprēķiniem dienests nevar izteikties.</w:t>
      </w:r>
    </w:p>
    <w:p w14:paraId="032914CE" w14:textId="5A0FDF9A" w:rsidR="00C92EA1" w:rsidRDefault="00C92EA1" w:rsidP="00214BD7">
      <w:pPr>
        <w:spacing w:line="276" w:lineRule="auto"/>
        <w:ind w:firstLine="567"/>
        <w:jc w:val="both"/>
      </w:pPr>
    </w:p>
    <w:p w14:paraId="568BF88E" w14:textId="702C8EBA" w:rsidR="005F2B96" w:rsidRPr="00BD7794" w:rsidRDefault="00C92EA1" w:rsidP="00214BD7">
      <w:pPr>
        <w:spacing w:line="276" w:lineRule="auto"/>
        <w:ind w:firstLine="567"/>
        <w:jc w:val="both"/>
      </w:pPr>
      <w:r>
        <w:t>[</w:t>
      </w:r>
      <w:r w:rsidR="004E1BD0">
        <w:t>7</w:t>
      </w:r>
      <w:r>
        <w:t>] </w:t>
      </w:r>
      <w:r w:rsidR="005F2B96">
        <w:t>Senāts n</w:t>
      </w:r>
      <w:r w:rsidR="005F2B96" w:rsidRPr="00DD49DD">
        <w:t>o lietas materiāliem</w:t>
      </w:r>
      <w:r w:rsidR="005F2B96">
        <w:t xml:space="preserve"> konstatē, ka apgabaltiesa Latvijas Bankai ir pieprasījusi iesniegt </w:t>
      </w:r>
      <w:r w:rsidR="005F2B96" w:rsidRPr="00DD49DD">
        <w:t xml:space="preserve">monetāro finanšu iestāžu datus, kuri izmantoti Latvijas Bankas apkopotajā statistikā par nefinanšu sabiedrībām izsniegto kredītu procentu likmēm (jaunajiem darījumiem) ailē (ar apakšailēm) </w:t>
      </w:r>
      <w:r w:rsidR="005F2B96" w:rsidRPr="0088446A">
        <w:t>„</w:t>
      </w:r>
      <w:r w:rsidR="005F2B96" w:rsidRPr="00DD49DD">
        <w:t xml:space="preserve">Citi kredīti, kuru apjoms pārsniedz 1 milj. </w:t>
      </w:r>
      <w:r w:rsidR="005F2B96" w:rsidRPr="00DD49DD">
        <w:rPr>
          <w:i/>
          <w:iCs/>
        </w:rPr>
        <w:t>euro</w:t>
      </w:r>
      <w:r w:rsidR="005F2B96" w:rsidRPr="00DD49DD">
        <w:t>, procentu likmes darbības sākotnējā perioda dalījumā” par 2012.gada decembri, par 2013.</w:t>
      </w:r>
      <w:r w:rsidR="005F2B96">
        <w:t xml:space="preserve"> </w:t>
      </w:r>
      <w:r w:rsidR="005F2B96" w:rsidRPr="00DD49DD">
        <w:t xml:space="preserve">un 2014.gada mēnešiem, par kuriem informācija statistikā iekļauta 2014.gada 27.martā. </w:t>
      </w:r>
      <w:r w:rsidR="005F2B96">
        <w:t>Latvijas Banka ir iesniegusi šos datus</w:t>
      </w:r>
      <w:r w:rsidR="003171D7">
        <w:t>, taču l</w:t>
      </w:r>
      <w:r w:rsidR="005F2B96">
        <w:t xml:space="preserve">ietas materiālos </w:t>
      </w:r>
      <w:r w:rsidR="003171D7">
        <w:t>tie</w:t>
      </w:r>
      <w:r w:rsidR="005F2B96">
        <w:t xml:space="preserve"> nav atrodami. No lietas materiāliem izriet, ka Latvijas Bankas iesniegtos datus apgabaltiesa pēc sprieduma sastādīšanas ir nosūtījusi atpakaļ Latvijas </w:t>
      </w:r>
      <w:r w:rsidR="005F2B96" w:rsidRPr="00BD7794">
        <w:t>Bankai.</w:t>
      </w:r>
    </w:p>
    <w:p w14:paraId="140D0D41" w14:textId="65F24A11" w:rsidR="005F2B96" w:rsidRDefault="005F2B96" w:rsidP="00214BD7">
      <w:pPr>
        <w:spacing w:line="276" w:lineRule="auto"/>
        <w:ind w:firstLine="567"/>
        <w:jc w:val="both"/>
      </w:pPr>
      <w:r>
        <w:t>A</w:t>
      </w:r>
      <w:r w:rsidRPr="00BD7794">
        <w:t>pgabaltiesas spriedumā norādīts, ka tiesa pēc savas iniciatīvas no Latvijas Bankas iegūtos datus neizmantos kā tiešu pierādīšanas līdzekli</w:t>
      </w:r>
      <w:r w:rsidR="009D0973">
        <w:t>. T</w:t>
      </w:r>
      <w:r>
        <w:t xml:space="preserve">omēr apgabaltiesa izšķirošo secinājumu, pret ko iebilst kasators, ir izdarījusi un </w:t>
      </w:r>
      <w:r w:rsidRPr="00BD7794">
        <w:t>pieteikum</w:t>
      </w:r>
      <w:r>
        <w:t>u</w:t>
      </w:r>
      <w:r w:rsidRPr="00BD7794">
        <w:t xml:space="preserve"> apmierinā</w:t>
      </w:r>
      <w:r>
        <w:t xml:space="preserve">jusi </w:t>
      </w:r>
      <w:r w:rsidRPr="00BD7794">
        <w:t>tieši uz š</w:t>
      </w:r>
      <w:r>
        <w:t xml:space="preserve">o </w:t>
      </w:r>
      <w:r w:rsidRPr="00BD7794">
        <w:t>pierādījum</w:t>
      </w:r>
      <w:r>
        <w:t>u</w:t>
      </w:r>
      <w:r w:rsidRPr="00BD7794">
        <w:t xml:space="preserve"> pamata</w:t>
      </w:r>
      <w:r w:rsidR="00DF7CAC">
        <w:t>.</w:t>
      </w:r>
    </w:p>
    <w:p w14:paraId="4E3D7BEF" w14:textId="77777777" w:rsidR="003F6E21" w:rsidRDefault="00DF7CAC" w:rsidP="00214BD7">
      <w:pPr>
        <w:spacing w:line="276" w:lineRule="auto"/>
        <w:ind w:firstLine="567"/>
        <w:jc w:val="both"/>
      </w:pPr>
      <w:r>
        <w:t>Šajā sakarā norādām</w:t>
      </w:r>
      <w:r w:rsidR="003F6E21">
        <w:t>i divi apsvērumi.</w:t>
      </w:r>
    </w:p>
    <w:p w14:paraId="271F40AB" w14:textId="1162810F" w:rsidR="00F34618" w:rsidRDefault="003F6E21" w:rsidP="00214BD7">
      <w:pPr>
        <w:spacing w:line="276" w:lineRule="auto"/>
        <w:ind w:firstLine="567"/>
        <w:jc w:val="both"/>
        <w:rPr>
          <w:rFonts w:ascii="TimesNewRomanPSMT" w:eastAsia="Calibri" w:hAnsi="TimesNewRomanPSMT" w:cs="TimesNewRomanPSMT"/>
          <w:lang w:eastAsia="lv-LV"/>
        </w:rPr>
      </w:pPr>
      <w:r>
        <w:t xml:space="preserve">Pirmkārt, </w:t>
      </w:r>
      <w:r w:rsidR="000C1F42">
        <w:t xml:space="preserve">kā minēts iepriekš, </w:t>
      </w:r>
      <w:r w:rsidR="00F950AD">
        <w:t xml:space="preserve">noteikumi Nr. 556 darījumu cenas </w:t>
      </w:r>
      <w:r w:rsidR="00283947">
        <w:t>pārbaudei</w:t>
      </w:r>
      <w:r w:rsidR="00F950AD">
        <w:t xml:space="preserve"> paredz vairākas metodes. </w:t>
      </w:r>
      <w:r w:rsidR="007925DA">
        <w:rPr>
          <w:rFonts w:ascii="TimesNewRomanPSMT" w:hAnsi="TimesNewRomanPSMT" w:cs="TimesNewRomanPSMT"/>
        </w:rPr>
        <w:t>Senāts</w:t>
      </w:r>
      <w:r w:rsidR="00DF7CAC">
        <w:rPr>
          <w:rFonts w:ascii="TimesNewRomanPSMT" w:hAnsi="TimesNewRomanPSMT" w:cs="TimesNewRomanPSMT"/>
        </w:rPr>
        <w:t xml:space="preserve"> jau iepriekš</w:t>
      </w:r>
      <w:r w:rsidR="007925DA">
        <w:rPr>
          <w:rFonts w:ascii="TimesNewRomanPSMT" w:hAnsi="TimesNewRomanPSMT" w:cs="TimesNewRomanPSMT"/>
        </w:rPr>
        <w:t xml:space="preserve"> ir atzinis, ka a</w:t>
      </w:r>
      <w:r w:rsidR="007925DA" w:rsidRPr="00102DA4">
        <w:rPr>
          <w:rFonts w:ascii="TimesNewRomanPSMT" w:hAnsi="TimesNewRomanPSMT" w:cs="TimesNewRomanPSMT"/>
        </w:rPr>
        <w:t xml:space="preserve">tbilstošas metodes izvēle vispirms ir nodokļu maksātāja pienākums, jo nodokļu maksātājam ir pieejama visprecīzākā informācija par savu darbību, nozares informācija, informācija par uzņēmuma un saistīto uzņēmumu funkcijām, riskiem, pieejami </w:t>
      </w:r>
      <w:r w:rsidR="007925DA" w:rsidRPr="00102DA4">
        <w:rPr>
          <w:rFonts w:ascii="TimesNewRomanPSMT" w:hAnsi="TimesNewRomanPSMT" w:cs="TimesNewRomanPSMT"/>
        </w:rPr>
        <w:lastRenderedPageBreak/>
        <w:t>ekonomiskie dati (</w:t>
      </w:r>
      <w:r w:rsidR="007925DA">
        <w:rPr>
          <w:rFonts w:ascii="TimesNewRomanPSMT" w:hAnsi="TimesNewRomanPSMT" w:cs="TimesNewRomanPSMT"/>
          <w:i/>
        </w:rPr>
        <w:t xml:space="preserve">Senāta </w:t>
      </w:r>
      <w:r w:rsidR="007925DA" w:rsidRPr="00102DA4">
        <w:rPr>
          <w:rFonts w:ascii="TimesNewRomanPSMT" w:hAnsi="TimesNewRomanPSMT" w:cs="TimesNewRomanPSMT"/>
          <w:i/>
        </w:rPr>
        <w:t>2016.gada 8.februāra sprieduma lietā Nr. SKA-514/2016</w:t>
      </w:r>
      <w:r w:rsidR="007925DA">
        <w:rPr>
          <w:rFonts w:ascii="TimesNewRomanPSMT" w:hAnsi="TimesNewRomanPSMT" w:cs="TimesNewRomanPSMT"/>
          <w:i/>
        </w:rPr>
        <w:t xml:space="preserve"> </w:t>
      </w:r>
      <w:r w:rsidR="007925DA" w:rsidRPr="00B73596">
        <w:rPr>
          <w:rFonts w:ascii="TimesNewRomanPSMT" w:hAnsi="TimesNewRomanPSMT" w:cs="TimesNewRomanPSMT"/>
          <w:i/>
        </w:rPr>
        <w:t>(</w:t>
      </w:r>
      <w:r w:rsidR="007925DA" w:rsidRPr="00B73596">
        <w:rPr>
          <w:i/>
          <w:lang w:eastAsia="lv-LV"/>
        </w:rPr>
        <w:t>A420619111</w:t>
      </w:r>
      <w:r w:rsidR="007925DA" w:rsidRPr="00B73596">
        <w:rPr>
          <w:rFonts w:ascii="TimesNewRomanPSMT" w:hAnsi="TimesNewRomanPSMT" w:cs="TimesNewRomanPSMT"/>
          <w:i/>
        </w:rPr>
        <w:t>)</w:t>
      </w:r>
      <w:r w:rsidR="007925DA" w:rsidRPr="00102DA4">
        <w:rPr>
          <w:rFonts w:ascii="TimesNewRomanPSMT" w:hAnsi="TimesNewRomanPSMT" w:cs="TimesNewRomanPSMT"/>
          <w:i/>
        </w:rPr>
        <w:t xml:space="preserve"> 9.punkts</w:t>
      </w:r>
      <w:r w:rsidR="007925DA" w:rsidRPr="00102DA4">
        <w:rPr>
          <w:rFonts w:ascii="TimesNewRomanPSMT" w:hAnsi="TimesNewRomanPSMT" w:cs="TimesNewRomanPSMT"/>
        </w:rPr>
        <w:t>).</w:t>
      </w:r>
      <w:r w:rsidR="007925DA">
        <w:rPr>
          <w:rFonts w:ascii="TimesNewRomanPSMT" w:hAnsi="TimesNewRomanPSMT" w:cs="TimesNewRomanPSMT"/>
        </w:rPr>
        <w:t xml:space="preserve"> </w:t>
      </w:r>
      <w:r w:rsidR="00DF7CAC">
        <w:rPr>
          <w:rFonts w:ascii="TimesNewRomanPSMT" w:hAnsi="TimesNewRomanPSMT" w:cs="TimesNewRomanPSMT"/>
        </w:rPr>
        <w:t xml:space="preserve">Tātad, ja </w:t>
      </w:r>
      <w:r w:rsidR="007925DA" w:rsidRPr="00605C74">
        <w:rPr>
          <w:rFonts w:ascii="TimesNewRomanPSMT" w:eastAsia="Calibri" w:hAnsi="TimesNewRomanPSMT" w:cs="TimesNewRomanPSMT"/>
          <w:lang w:eastAsia="lv-LV"/>
        </w:rPr>
        <w:t>nodokļu maks</w:t>
      </w:r>
      <w:r w:rsidR="007925DA">
        <w:rPr>
          <w:rFonts w:ascii="TimesNewRomanPSMT" w:eastAsia="Calibri" w:hAnsi="TimesNewRomanPSMT" w:cs="TimesNewRomanPSMT"/>
          <w:lang w:eastAsia="lv-LV"/>
        </w:rPr>
        <w:t xml:space="preserve">ātājs norāda uz konkrētu metodi, kas izmantota, nosakot cenas darījumos ar saistītajiem uzņēmumiem, dienestam ir </w:t>
      </w:r>
      <w:r w:rsidR="008B4A04">
        <w:rPr>
          <w:rFonts w:ascii="TimesNewRomanPSMT" w:eastAsia="Calibri" w:hAnsi="TimesNewRomanPSMT" w:cs="TimesNewRomanPSMT"/>
          <w:lang w:eastAsia="lv-LV"/>
        </w:rPr>
        <w:t>jā</w:t>
      </w:r>
      <w:r w:rsidR="007925DA">
        <w:rPr>
          <w:rFonts w:ascii="TimesNewRomanPSMT" w:eastAsia="Calibri" w:hAnsi="TimesNewRomanPSMT" w:cs="TimesNewRomanPSMT"/>
          <w:lang w:eastAsia="lv-LV"/>
        </w:rPr>
        <w:t>respektē š</w:t>
      </w:r>
      <w:r w:rsidR="00283947">
        <w:rPr>
          <w:rFonts w:ascii="TimesNewRomanPSMT" w:eastAsia="Calibri" w:hAnsi="TimesNewRomanPSMT" w:cs="TimesNewRomanPSMT"/>
          <w:lang w:eastAsia="lv-LV"/>
        </w:rPr>
        <w:t>ī</w:t>
      </w:r>
      <w:r w:rsidR="007925DA">
        <w:rPr>
          <w:rFonts w:ascii="TimesNewRomanPSMT" w:eastAsia="Calibri" w:hAnsi="TimesNewRomanPSMT" w:cs="TimesNewRomanPSMT"/>
          <w:lang w:eastAsia="lv-LV"/>
        </w:rPr>
        <w:t xml:space="preserve"> izvēl</w:t>
      </w:r>
      <w:r w:rsidR="00283947">
        <w:rPr>
          <w:rFonts w:ascii="TimesNewRomanPSMT" w:eastAsia="Calibri" w:hAnsi="TimesNewRomanPSMT" w:cs="TimesNewRomanPSMT"/>
          <w:lang w:eastAsia="lv-LV"/>
        </w:rPr>
        <w:t>e</w:t>
      </w:r>
      <w:r w:rsidR="007925DA">
        <w:rPr>
          <w:rFonts w:ascii="TimesNewRomanPSMT" w:eastAsia="Calibri" w:hAnsi="TimesNewRomanPSMT" w:cs="TimesNewRomanPSMT"/>
          <w:lang w:eastAsia="lv-LV"/>
        </w:rPr>
        <w:t xml:space="preserve"> un primāri </w:t>
      </w:r>
      <w:r w:rsidR="008B4A04">
        <w:rPr>
          <w:rFonts w:ascii="TimesNewRomanPSMT" w:eastAsia="Calibri" w:hAnsi="TimesNewRomanPSMT" w:cs="TimesNewRomanPSMT"/>
          <w:lang w:eastAsia="lv-LV"/>
        </w:rPr>
        <w:t>jā</w:t>
      </w:r>
      <w:r w:rsidR="007925DA">
        <w:rPr>
          <w:rFonts w:ascii="TimesNewRomanPSMT" w:eastAsia="Calibri" w:hAnsi="TimesNewRomanPSMT" w:cs="TimesNewRomanPSMT"/>
          <w:lang w:eastAsia="lv-LV"/>
        </w:rPr>
        <w:t>pārbaud</w:t>
      </w:r>
      <w:r w:rsidR="008B4A04">
        <w:rPr>
          <w:rFonts w:ascii="TimesNewRomanPSMT" w:eastAsia="Calibri" w:hAnsi="TimesNewRomanPSMT" w:cs="TimesNewRomanPSMT"/>
          <w:lang w:eastAsia="lv-LV"/>
        </w:rPr>
        <w:t>a</w:t>
      </w:r>
      <w:r w:rsidR="007925DA">
        <w:rPr>
          <w:rFonts w:ascii="TimesNewRomanPSMT" w:eastAsia="Calibri" w:hAnsi="TimesNewRomanPSMT" w:cs="TimesNewRomanPSMT"/>
          <w:lang w:eastAsia="lv-LV"/>
        </w:rPr>
        <w:t xml:space="preserve"> tieši nodokļ</w:t>
      </w:r>
      <w:r w:rsidR="00DF7CAC">
        <w:rPr>
          <w:rFonts w:ascii="TimesNewRomanPSMT" w:eastAsia="Calibri" w:hAnsi="TimesNewRomanPSMT" w:cs="TimesNewRomanPSMT"/>
          <w:lang w:eastAsia="lv-LV"/>
        </w:rPr>
        <w:t>u</w:t>
      </w:r>
      <w:r w:rsidR="007925DA">
        <w:rPr>
          <w:rFonts w:ascii="TimesNewRomanPSMT" w:eastAsia="Calibri" w:hAnsi="TimesNewRomanPSMT" w:cs="TimesNewRomanPSMT"/>
          <w:lang w:eastAsia="lv-LV"/>
        </w:rPr>
        <w:t xml:space="preserve"> maksātāja izvēlētās metodes piemērotīb</w:t>
      </w:r>
      <w:r w:rsidR="00283947">
        <w:rPr>
          <w:rFonts w:ascii="TimesNewRomanPSMT" w:eastAsia="Calibri" w:hAnsi="TimesNewRomanPSMT" w:cs="TimesNewRomanPSMT"/>
          <w:lang w:eastAsia="lv-LV"/>
        </w:rPr>
        <w:t>a</w:t>
      </w:r>
      <w:r w:rsidR="007925DA">
        <w:rPr>
          <w:rFonts w:ascii="TimesNewRomanPSMT" w:eastAsia="Calibri" w:hAnsi="TimesNewRomanPSMT" w:cs="TimesNewRomanPSMT"/>
          <w:lang w:eastAsia="lv-LV"/>
        </w:rPr>
        <w:t>.</w:t>
      </w:r>
      <w:r w:rsidR="00DF7CAC">
        <w:rPr>
          <w:rFonts w:ascii="TimesNewRomanPSMT" w:eastAsia="Calibri" w:hAnsi="TimesNewRomanPSMT" w:cs="TimesNewRomanPSMT"/>
          <w:lang w:eastAsia="lv-LV"/>
        </w:rPr>
        <w:t xml:space="preserve"> </w:t>
      </w:r>
      <w:r w:rsidR="003171D7">
        <w:rPr>
          <w:rFonts w:ascii="TimesNewRomanPSMT" w:eastAsia="Calibri" w:hAnsi="TimesNewRomanPSMT" w:cs="TimesNewRomanPSMT"/>
          <w:lang w:eastAsia="lv-LV"/>
        </w:rPr>
        <w:t xml:space="preserve">Veicot pārbaudi, dienestam ir tiesības arī atkāpties no šīs metodes, ja tiek atzīts, ka nodokļu maksātājs ir izvēlējies neatbilstošu metodi un ja tiek konstatēta piemērotāka metode, tomēr šādā gadījumā dienestam ir jāspēj skaidri norādīt, kas liecina par nepieciešamību piemērot citu metodi un kāpēc nodokļu maksātāja rīcība, izvēloties citu metodi, </w:t>
      </w:r>
      <w:r w:rsidR="00BD0B38">
        <w:rPr>
          <w:rFonts w:ascii="TimesNewRomanPSMT" w:eastAsia="Calibri" w:hAnsi="TimesNewRomanPSMT" w:cs="TimesNewRomanPSMT"/>
          <w:lang w:eastAsia="lv-LV"/>
        </w:rPr>
        <w:t xml:space="preserve">ir </w:t>
      </w:r>
      <w:r w:rsidR="003171D7">
        <w:rPr>
          <w:rFonts w:ascii="TimesNewRomanPSMT" w:eastAsia="Calibri" w:hAnsi="TimesNewRomanPSMT" w:cs="TimesNewRomanPSMT"/>
          <w:lang w:eastAsia="lv-LV"/>
        </w:rPr>
        <w:t>bijusi kļūdaina</w:t>
      </w:r>
      <w:r w:rsidR="00723DFD">
        <w:rPr>
          <w:rFonts w:ascii="TimesNewRomanPSMT" w:eastAsia="Calibri" w:hAnsi="TimesNewRomanPSMT" w:cs="TimesNewRomanPSMT"/>
          <w:lang w:eastAsia="lv-LV"/>
        </w:rPr>
        <w:t xml:space="preserve">. </w:t>
      </w:r>
      <w:r w:rsidR="00DF7CAC">
        <w:rPr>
          <w:rFonts w:ascii="TimesNewRomanPSMT" w:eastAsia="Calibri" w:hAnsi="TimesNewRomanPSMT" w:cs="TimesNewRomanPSMT"/>
          <w:lang w:eastAsia="lv-LV"/>
        </w:rPr>
        <w:t xml:space="preserve">Minētais </w:t>
      </w:r>
      <w:r w:rsidR="00723DFD">
        <w:rPr>
          <w:rFonts w:ascii="TimesNewRomanPSMT" w:eastAsia="Calibri" w:hAnsi="TimesNewRomanPSMT" w:cs="TimesNewRomanPSMT"/>
          <w:lang w:eastAsia="lv-LV"/>
        </w:rPr>
        <w:t xml:space="preserve">ir </w:t>
      </w:r>
      <w:r w:rsidR="00DF7CAC">
        <w:rPr>
          <w:rFonts w:ascii="TimesNewRomanPSMT" w:eastAsia="Calibri" w:hAnsi="TimesNewRomanPSMT" w:cs="TimesNewRomanPSMT"/>
          <w:lang w:eastAsia="lv-LV"/>
        </w:rPr>
        <w:t xml:space="preserve">attiecināms arī uz informāciju, kuru nodokļu maksātājs, piemērojot konkrēto metodi, </w:t>
      </w:r>
      <w:r w:rsidR="00AD6A4F">
        <w:rPr>
          <w:rFonts w:ascii="TimesNewRomanPSMT" w:eastAsia="Calibri" w:hAnsi="TimesNewRomanPSMT" w:cs="TimesNewRomanPSMT"/>
          <w:lang w:eastAsia="lv-LV"/>
        </w:rPr>
        <w:t>i</w:t>
      </w:r>
      <w:r w:rsidR="00DF7CAC">
        <w:rPr>
          <w:rFonts w:ascii="TimesNewRomanPSMT" w:eastAsia="Calibri" w:hAnsi="TimesNewRomanPSMT" w:cs="TimesNewRomanPSMT"/>
          <w:lang w:eastAsia="lv-LV"/>
        </w:rPr>
        <w:t>zmanto darījumu vērtības (cenas) salīdzināšanai</w:t>
      </w:r>
      <w:r w:rsidR="005B3E05">
        <w:rPr>
          <w:rFonts w:ascii="TimesNewRomanPSMT" w:eastAsia="Calibri" w:hAnsi="TimesNewRomanPSMT" w:cs="TimesNewRomanPSMT"/>
          <w:lang w:eastAsia="lv-LV"/>
        </w:rPr>
        <w:t xml:space="preserve"> un pamatošanai</w:t>
      </w:r>
      <w:r w:rsidR="00DF7CAC">
        <w:rPr>
          <w:rFonts w:ascii="TimesNewRomanPSMT" w:eastAsia="Calibri" w:hAnsi="TimesNewRomanPSMT" w:cs="TimesNewRomanPSMT"/>
          <w:lang w:eastAsia="lv-LV"/>
        </w:rPr>
        <w:t xml:space="preserve">. </w:t>
      </w:r>
    </w:p>
    <w:p w14:paraId="491D378B" w14:textId="34862551" w:rsidR="00DF7CAC" w:rsidRDefault="00F34618" w:rsidP="00214BD7">
      <w:pPr>
        <w:spacing w:line="276" w:lineRule="auto"/>
        <w:ind w:firstLine="567"/>
        <w:jc w:val="both"/>
        <w:rPr>
          <w:rFonts w:ascii="TimesNewRomanPSMT" w:eastAsia="Calibri" w:hAnsi="TimesNewRomanPSMT" w:cs="TimesNewRomanPSMT"/>
          <w:lang w:eastAsia="lv-LV"/>
        </w:rPr>
      </w:pPr>
      <w:r>
        <w:rPr>
          <w:rFonts w:ascii="TimesNewRomanPSMT" w:eastAsia="Calibri" w:hAnsi="TimesNewRomanPSMT" w:cs="TimesNewRomanPSMT"/>
          <w:lang w:eastAsia="lv-LV"/>
        </w:rPr>
        <w:t>Pieteicēja</w:t>
      </w:r>
      <w:r w:rsidR="005F2FF9">
        <w:rPr>
          <w:rFonts w:ascii="TimesNewRomanPSMT" w:eastAsia="Calibri" w:hAnsi="TimesNewRomanPSMT" w:cs="TimesNewRomanPSMT"/>
          <w:lang w:eastAsia="lv-LV"/>
        </w:rPr>
        <w:t>, piemērojot salīdzināmo nekontrolēto cenu metodi,</w:t>
      </w:r>
      <w:r w:rsidR="00DD5511">
        <w:rPr>
          <w:rFonts w:ascii="TimesNewRomanPSMT" w:eastAsia="Calibri" w:hAnsi="TimesNewRomanPSMT" w:cs="TimesNewRomanPSMT"/>
          <w:lang w:eastAsia="lv-LV"/>
        </w:rPr>
        <w:t xml:space="preserve"> lai </w:t>
      </w:r>
      <w:r>
        <w:rPr>
          <w:rFonts w:ascii="TimesNewRomanPSMT" w:eastAsia="Calibri" w:hAnsi="TimesNewRomanPSMT" w:cs="TimesNewRomanPSMT"/>
          <w:lang w:eastAsia="lv-LV"/>
        </w:rPr>
        <w:t>pamatotu</w:t>
      </w:r>
      <w:r w:rsidR="00DD5511">
        <w:rPr>
          <w:rFonts w:ascii="TimesNewRomanPSMT" w:eastAsia="Calibri" w:hAnsi="TimesNewRomanPSMT" w:cs="TimesNewRomanPSMT"/>
          <w:lang w:eastAsia="lv-LV"/>
        </w:rPr>
        <w:t xml:space="preserve"> savu darījumu vērtīb</w:t>
      </w:r>
      <w:r>
        <w:rPr>
          <w:rFonts w:ascii="TimesNewRomanPSMT" w:eastAsia="Calibri" w:hAnsi="TimesNewRomanPSMT" w:cs="TimesNewRomanPSMT"/>
          <w:lang w:eastAsia="lv-LV"/>
        </w:rPr>
        <w:t xml:space="preserve">as atbilstību tirgus </w:t>
      </w:r>
      <w:r w:rsidR="00DD5511">
        <w:rPr>
          <w:rFonts w:ascii="TimesNewRomanPSMT" w:eastAsia="Calibri" w:hAnsi="TimesNewRomanPSMT" w:cs="TimesNewRomanPSMT"/>
          <w:lang w:eastAsia="lv-LV"/>
        </w:rPr>
        <w:t>vērtīb</w:t>
      </w:r>
      <w:r>
        <w:rPr>
          <w:rFonts w:ascii="TimesNewRomanPSMT" w:eastAsia="Calibri" w:hAnsi="TimesNewRomanPSMT" w:cs="TimesNewRomanPSMT"/>
          <w:lang w:eastAsia="lv-LV"/>
        </w:rPr>
        <w:t>ai</w:t>
      </w:r>
      <w:r w:rsidR="00DD5511">
        <w:rPr>
          <w:rFonts w:ascii="TimesNewRomanPSMT" w:eastAsia="Calibri" w:hAnsi="TimesNewRomanPSMT" w:cs="TimesNewRomanPSMT"/>
          <w:lang w:eastAsia="lv-LV"/>
        </w:rPr>
        <w:t>,</w:t>
      </w:r>
      <w:r>
        <w:rPr>
          <w:rFonts w:ascii="TimesNewRomanPSMT" w:eastAsia="Calibri" w:hAnsi="TimesNewRomanPSMT" w:cs="TimesNewRomanPSMT"/>
          <w:lang w:eastAsia="lv-LV"/>
        </w:rPr>
        <w:t xml:space="preserve"> ir</w:t>
      </w:r>
      <w:r w:rsidR="00DD5511">
        <w:rPr>
          <w:rFonts w:ascii="TimesNewRomanPSMT" w:eastAsia="Calibri" w:hAnsi="TimesNewRomanPSMT" w:cs="TimesNewRomanPSMT"/>
          <w:lang w:eastAsia="lv-LV"/>
        </w:rPr>
        <w:t xml:space="preserve"> izmanto</w:t>
      </w:r>
      <w:r>
        <w:rPr>
          <w:rFonts w:ascii="TimesNewRomanPSMT" w:eastAsia="Calibri" w:hAnsi="TimesNewRomanPSMT" w:cs="TimesNewRomanPSMT"/>
          <w:lang w:eastAsia="lv-LV"/>
        </w:rPr>
        <w:t>jusi</w:t>
      </w:r>
      <w:r w:rsidR="00DD5511">
        <w:rPr>
          <w:rFonts w:ascii="TimesNewRomanPSMT" w:eastAsia="Calibri" w:hAnsi="TimesNewRomanPSMT" w:cs="TimesNewRomanPSMT"/>
          <w:lang w:eastAsia="lv-LV"/>
        </w:rPr>
        <w:t xml:space="preserve"> tādu informāciju, kas </w:t>
      </w:r>
      <w:r>
        <w:rPr>
          <w:rFonts w:ascii="TimesNewRomanPSMT" w:eastAsia="Calibri" w:hAnsi="TimesNewRomanPSMT" w:cs="TimesNewRomanPSMT"/>
          <w:lang w:eastAsia="lv-LV"/>
        </w:rPr>
        <w:t xml:space="preserve">pieteicējai bija pieejama darījumu veikšanas un darījumu vērtības salīdzināšanas brīdī. Dienests ir akceptējis šīs informācijas izmantošanu, </w:t>
      </w:r>
      <w:r w:rsidR="00B347B0">
        <w:rPr>
          <w:rFonts w:ascii="TimesNewRomanPSMT" w:eastAsia="Calibri" w:hAnsi="TimesNewRomanPSMT" w:cs="TimesNewRomanPSMT"/>
          <w:lang w:eastAsia="lv-LV"/>
        </w:rPr>
        <w:t xml:space="preserve">vienlaikus uzskatot, ka pieteicējas rīcība, </w:t>
      </w:r>
      <w:r w:rsidR="00976765">
        <w:rPr>
          <w:rFonts w:ascii="TimesNewRomanPSMT" w:eastAsia="Calibri" w:hAnsi="TimesNewRomanPSMT" w:cs="TimesNewRomanPSMT"/>
          <w:lang w:eastAsia="lv-LV"/>
        </w:rPr>
        <w:t>izmantojot konkrēto informāciju</w:t>
      </w:r>
      <w:r w:rsidR="008B4A04">
        <w:rPr>
          <w:rFonts w:ascii="TimesNewRomanPSMT" w:eastAsia="Calibri" w:hAnsi="TimesNewRomanPSMT" w:cs="TimesNewRomanPSMT"/>
          <w:lang w:eastAsia="lv-LV"/>
        </w:rPr>
        <w:t xml:space="preserve">, </w:t>
      </w:r>
      <w:r w:rsidR="00B347B0">
        <w:rPr>
          <w:rFonts w:ascii="TimesNewRomanPSMT" w:eastAsia="Calibri" w:hAnsi="TimesNewRomanPSMT" w:cs="TimesNewRomanPSMT"/>
          <w:lang w:eastAsia="lv-LV"/>
        </w:rPr>
        <w:t xml:space="preserve">ir kļūdaina, tāpēc </w:t>
      </w:r>
      <w:r w:rsidR="00976765">
        <w:rPr>
          <w:rFonts w:ascii="TimesNewRomanPSMT" w:eastAsia="Calibri" w:hAnsi="TimesNewRomanPSMT" w:cs="TimesNewRomanPSMT"/>
          <w:lang w:eastAsia="lv-LV"/>
        </w:rPr>
        <w:t xml:space="preserve">ir </w:t>
      </w:r>
      <w:r w:rsidR="008B4A04">
        <w:rPr>
          <w:rFonts w:ascii="TimesNewRomanPSMT" w:eastAsia="Calibri" w:hAnsi="TimesNewRomanPSMT" w:cs="TimesNewRomanPSMT"/>
          <w:lang w:eastAsia="lv-LV"/>
        </w:rPr>
        <w:t xml:space="preserve">labojis šo kļūdu, </w:t>
      </w:r>
      <w:r w:rsidR="00976765">
        <w:rPr>
          <w:rFonts w:ascii="TimesNewRomanPSMT" w:eastAsia="Calibri" w:hAnsi="TimesNewRomanPSMT" w:cs="TimesNewRomanPSMT"/>
          <w:lang w:eastAsia="lv-LV"/>
        </w:rPr>
        <w:t>norād</w:t>
      </w:r>
      <w:r w:rsidR="008B4A04">
        <w:rPr>
          <w:rFonts w:ascii="TimesNewRomanPSMT" w:eastAsia="Calibri" w:hAnsi="TimesNewRomanPSMT" w:cs="TimesNewRomanPSMT"/>
          <w:lang w:eastAsia="lv-LV"/>
        </w:rPr>
        <w:t>ot</w:t>
      </w:r>
      <w:r w:rsidR="00976765">
        <w:rPr>
          <w:rFonts w:ascii="TimesNewRomanPSMT" w:eastAsia="Calibri" w:hAnsi="TimesNewRomanPSMT" w:cs="TimesNewRomanPSMT"/>
          <w:lang w:eastAsia="lv-LV"/>
        </w:rPr>
        <w:t xml:space="preserve">, kāds dienesta ieskatā ir pareizais šīs informācijas izmantošanas veids. </w:t>
      </w:r>
      <w:r w:rsidR="00B347B0">
        <w:rPr>
          <w:rFonts w:ascii="TimesNewRomanPSMT" w:eastAsia="Calibri" w:hAnsi="TimesNewRomanPSMT" w:cs="TimesNewRomanPSMT"/>
          <w:lang w:eastAsia="lv-LV"/>
        </w:rPr>
        <w:t>Arī tiesa ir secinājusi, ka dienestam bija jāveic matemātiskie aprēķini un finanšu datu korekcijas, ko dienests tiesas ieskatā nav darījis.</w:t>
      </w:r>
      <w:r w:rsidR="00230E5C">
        <w:rPr>
          <w:rFonts w:ascii="TimesNewRomanPSMT" w:eastAsia="Calibri" w:hAnsi="TimesNewRomanPSMT" w:cs="TimesNewRomanPSMT"/>
          <w:lang w:eastAsia="lv-LV"/>
        </w:rPr>
        <w:t xml:space="preserve"> </w:t>
      </w:r>
      <w:r w:rsidR="00832791">
        <w:rPr>
          <w:rFonts w:ascii="TimesNewRomanPSMT" w:eastAsia="Calibri" w:hAnsi="TimesNewRomanPSMT" w:cs="TimesNewRomanPSMT"/>
          <w:lang w:eastAsia="lv-LV"/>
        </w:rPr>
        <w:t>Ievērojot minēto, nav saprotams</w:t>
      </w:r>
      <w:r w:rsidR="00230E5C">
        <w:rPr>
          <w:rFonts w:ascii="TimesNewRomanPSMT" w:eastAsia="Calibri" w:hAnsi="TimesNewRomanPSMT" w:cs="TimesNewRomanPSMT"/>
          <w:lang w:eastAsia="lv-LV"/>
        </w:rPr>
        <w:t xml:space="preserve">, </w:t>
      </w:r>
      <w:r w:rsidR="00DF7CAC">
        <w:rPr>
          <w:rFonts w:ascii="TimesNewRomanPSMT" w:eastAsia="Calibri" w:hAnsi="TimesNewRomanPSMT" w:cs="TimesNewRomanPSMT"/>
          <w:lang w:eastAsia="lv-LV"/>
        </w:rPr>
        <w:t xml:space="preserve">kāpēc </w:t>
      </w:r>
      <w:r w:rsidR="00B347B0">
        <w:rPr>
          <w:rFonts w:ascii="TimesNewRomanPSMT" w:eastAsia="Calibri" w:hAnsi="TimesNewRomanPSMT" w:cs="TimesNewRomanPSMT"/>
          <w:lang w:eastAsia="lv-LV"/>
        </w:rPr>
        <w:t xml:space="preserve">šādos apstākļos </w:t>
      </w:r>
      <w:r w:rsidR="00DF7CAC">
        <w:rPr>
          <w:rFonts w:ascii="TimesNewRomanPSMT" w:eastAsia="Calibri" w:hAnsi="TimesNewRomanPSMT" w:cs="TimesNewRomanPSMT"/>
          <w:lang w:eastAsia="lv-LV"/>
        </w:rPr>
        <w:t>darījumu vērtības sa</w:t>
      </w:r>
      <w:r w:rsidR="003171D7">
        <w:rPr>
          <w:rFonts w:ascii="TimesNewRomanPSMT" w:eastAsia="Calibri" w:hAnsi="TimesNewRomanPSMT" w:cs="TimesNewRomanPSMT"/>
          <w:lang w:eastAsia="lv-LV"/>
        </w:rPr>
        <w:t>līdzināšanai</w:t>
      </w:r>
      <w:r w:rsidR="00832791">
        <w:rPr>
          <w:rFonts w:ascii="TimesNewRomanPSMT" w:eastAsia="Calibri" w:hAnsi="TimesNewRomanPSMT" w:cs="TimesNewRomanPSMT"/>
          <w:lang w:eastAsia="lv-LV"/>
        </w:rPr>
        <w:t xml:space="preserve"> tiesa</w:t>
      </w:r>
      <w:r w:rsidR="005B3E05">
        <w:rPr>
          <w:rFonts w:ascii="TimesNewRomanPSMT" w:eastAsia="Calibri" w:hAnsi="TimesNewRomanPSMT" w:cs="TimesNewRomanPSMT"/>
          <w:lang w:eastAsia="lv-LV"/>
        </w:rPr>
        <w:t xml:space="preserve"> ir</w:t>
      </w:r>
      <w:r w:rsidR="003171D7">
        <w:rPr>
          <w:rFonts w:ascii="TimesNewRomanPSMT" w:eastAsia="Calibri" w:hAnsi="TimesNewRomanPSMT" w:cs="TimesNewRomanPSMT"/>
          <w:lang w:eastAsia="lv-LV"/>
        </w:rPr>
        <w:t xml:space="preserve"> </w:t>
      </w:r>
      <w:r w:rsidR="00DF7CAC">
        <w:rPr>
          <w:rFonts w:ascii="TimesNewRomanPSMT" w:eastAsia="Calibri" w:hAnsi="TimesNewRomanPSMT" w:cs="TimesNewRomanPSMT"/>
          <w:lang w:eastAsia="lv-LV"/>
        </w:rPr>
        <w:t>izmantoj</w:t>
      </w:r>
      <w:r w:rsidR="00832791">
        <w:rPr>
          <w:rFonts w:ascii="TimesNewRomanPSMT" w:eastAsia="Calibri" w:hAnsi="TimesNewRomanPSMT" w:cs="TimesNewRomanPSMT"/>
          <w:lang w:eastAsia="lv-LV"/>
        </w:rPr>
        <w:t>usi</w:t>
      </w:r>
      <w:r w:rsidR="003F6A1D">
        <w:rPr>
          <w:rFonts w:ascii="TimesNewRomanPSMT" w:eastAsia="Calibri" w:hAnsi="TimesNewRomanPSMT" w:cs="TimesNewRomanPSMT"/>
          <w:lang w:eastAsia="lv-LV"/>
        </w:rPr>
        <w:t xml:space="preserve"> </w:t>
      </w:r>
      <w:r w:rsidR="00B347B0">
        <w:rPr>
          <w:rFonts w:ascii="TimesNewRomanPSMT" w:eastAsia="Calibri" w:hAnsi="TimesNewRomanPSMT" w:cs="TimesNewRomanPSMT"/>
          <w:lang w:eastAsia="lv-LV"/>
        </w:rPr>
        <w:t>nevis pieteicējas un dienesta izmantot</w:t>
      </w:r>
      <w:r w:rsidR="00832791">
        <w:rPr>
          <w:rFonts w:ascii="TimesNewRomanPSMT" w:eastAsia="Calibri" w:hAnsi="TimesNewRomanPSMT" w:cs="TimesNewRomanPSMT"/>
          <w:lang w:eastAsia="lv-LV"/>
        </w:rPr>
        <w:t>o</w:t>
      </w:r>
      <w:r w:rsidR="00B347B0">
        <w:rPr>
          <w:rFonts w:ascii="TimesNewRomanPSMT" w:eastAsia="Calibri" w:hAnsi="TimesNewRomanPSMT" w:cs="TimesNewRomanPSMT"/>
          <w:lang w:eastAsia="lv-LV"/>
        </w:rPr>
        <w:t xml:space="preserve"> informācij</w:t>
      </w:r>
      <w:r w:rsidR="00832791">
        <w:rPr>
          <w:rFonts w:ascii="TimesNewRomanPSMT" w:eastAsia="Calibri" w:hAnsi="TimesNewRomanPSMT" w:cs="TimesNewRomanPSMT"/>
          <w:lang w:eastAsia="lv-LV"/>
        </w:rPr>
        <w:t>u</w:t>
      </w:r>
      <w:r w:rsidR="00B347B0">
        <w:rPr>
          <w:rFonts w:ascii="TimesNewRomanPSMT" w:eastAsia="Calibri" w:hAnsi="TimesNewRomanPSMT" w:cs="TimesNewRomanPSMT"/>
          <w:lang w:eastAsia="lv-LV"/>
        </w:rPr>
        <w:t xml:space="preserve">, nepieciešamības gadījumā to koriģējot, bet gan </w:t>
      </w:r>
      <w:r w:rsidR="003F6A1D">
        <w:rPr>
          <w:rFonts w:ascii="TimesNewRomanPSMT" w:eastAsia="Calibri" w:hAnsi="TimesNewRomanPSMT" w:cs="TimesNewRomanPSMT"/>
          <w:lang w:eastAsia="lv-LV"/>
        </w:rPr>
        <w:t>tād</w:t>
      </w:r>
      <w:r w:rsidR="00832791">
        <w:rPr>
          <w:rFonts w:ascii="TimesNewRomanPSMT" w:eastAsia="Calibri" w:hAnsi="TimesNewRomanPSMT" w:cs="TimesNewRomanPSMT"/>
          <w:lang w:eastAsia="lv-LV"/>
        </w:rPr>
        <w:t>u</w:t>
      </w:r>
      <w:r w:rsidR="003F6A1D">
        <w:rPr>
          <w:rFonts w:ascii="TimesNewRomanPSMT" w:eastAsia="Calibri" w:hAnsi="TimesNewRomanPSMT" w:cs="TimesNewRomanPSMT"/>
          <w:lang w:eastAsia="lv-LV"/>
        </w:rPr>
        <w:t xml:space="preserve"> informācij</w:t>
      </w:r>
      <w:r w:rsidR="00832791">
        <w:rPr>
          <w:rFonts w:ascii="TimesNewRomanPSMT" w:eastAsia="Calibri" w:hAnsi="TimesNewRomanPSMT" w:cs="TimesNewRomanPSMT"/>
          <w:lang w:eastAsia="lv-LV"/>
        </w:rPr>
        <w:t>u</w:t>
      </w:r>
      <w:r w:rsidR="003F6A1D">
        <w:rPr>
          <w:rFonts w:ascii="TimesNewRomanPSMT" w:eastAsia="Calibri" w:hAnsi="TimesNewRomanPSMT" w:cs="TimesNewRomanPSMT"/>
          <w:lang w:eastAsia="lv-LV"/>
        </w:rPr>
        <w:t>, k</w:t>
      </w:r>
      <w:r w:rsidR="00456124">
        <w:rPr>
          <w:rFonts w:ascii="TimesNewRomanPSMT" w:eastAsia="Calibri" w:hAnsi="TimesNewRomanPSMT" w:cs="TimesNewRomanPSMT"/>
          <w:lang w:eastAsia="lv-LV"/>
        </w:rPr>
        <w:t>o tiesa ieguvusi tiesvedības laikā un k</w:t>
      </w:r>
      <w:r w:rsidR="003F6A1D">
        <w:rPr>
          <w:rFonts w:ascii="TimesNewRomanPSMT" w:eastAsia="Calibri" w:hAnsi="TimesNewRomanPSMT" w:cs="TimesNewRomanPSMT"/>
          <w:lang w:eastAsia="lv-LV"/>
        </w:rPr>
        <w:t>as</w:t>
      </w:r>
      <w:r w:rsidR="003171D7">
        <w:rPr>
          <w:rFonts w:ascii="TimesNewRomanPSMT" w:eastAsia="Calibri" w:hAnsi="TimesNewRomanPSMT" w:cs="TimesNewRomanPSMT"/>
          <w:lang w:eastAsia="lv-LV"/>
        </w:rPr>
        <w:t xml:space="preserve"> nebija un nevarēja būt pieejama </w:t>
      </w:r>
      <w:r w:rsidR="003F6E21">
        <w:rPr>
          <w:rFonts w:ascii="TimesNewRomanPSMT" w:eastAsia="Calibri" w:hAnsi="TimesNewRomanPSMT" w:cs="TimesNewRomanPSMT"/>
          <w:lang w:eastAsia="lv-LV"/>
        </w:rPr>
        <w:t>pieteicēja</w:t>
      </w:r>
      <w:r w:rsidR="00F025AA">
        <w:rPr>
          <w:rFonts w:ascii="TimesNewRomanPSMT" w:eastAsia="Calibri" w:hAnsi="TimesNewRomanPSMT" w:cs="TimesNewRomanPSMT"/>
          <w:lang w:eastAsia="lv-LV"/>
        </w:rPr>
        <w:t>i</w:t>
      </w:r>
      <w:r w:rsidR="003F6E21">
        <w:rPr>
          <w:rFonts w:ascii="TimesNewRomanPSMT" w:eastAsia="Calibri" w:hAnsi="TimesNewRomanPSMT" w:cs="TimesNewRomanPSMT"/>
          <w:lang w:eastAsia="lv-LV"/>
        </w:rPr>
        <w:t xml:space="preserve"> </w:t>
      </w:r>
      <w:r w:rsidR="003171D7">
        <w:rPr>
          <w:rFonts w:ascii="TimesNewRomanPSMT" w:eastAsia="Calibri" w:hAnsi="TimesNewRomanPSMT" w:cs="TimesNewRomanPSMT"/>
          <w:lang w:eastAsia="lv-LV"/>
        </w:rPr>
        <w:t xml:space="preserve">strīdus darījumu </w:t>
      </w:r>
      <w:r w:rsidR="00976765">
        <w:rPr>
          <w:rFonts w:ascii="TimesNewRomanPSMT" w:eastAsia="Calibri" w:hAnsi="TimesNewRomanPSMT" w:cs="TimesNewRomanPSMT"/>
          <w:lang w:eastAsia="lv-LV"/>
        </w:rPr>
        <w:t xml:space="preserve">veikšanas </w:t>
      </w:r>
      <w:r w:rsidR="003F6A1D">
        <w:rPr>
          <w:rFonts w:ascii="TimesNewRomanPSMT" w:eastAsia="Calibri" w:hAnsi="TimesNewRomanPSMT" w:cs="TimesNewRomanPSMT"/>
          <w:lang w:eastAsia="lv-LV"/>
        </w:rPr>
        <w:t xml:space="preserve">un darījumu vērtības salīdzināšanas </w:t>
      </w:r>
      <w:r w:rsidR="003171D7">
        <w:rPr>
          <w:rFonts w:ascii="TimesNewRomanPSMT" w:eastAsia="Calibri" w:hAnsi="TimesNewRomanPSMT" w:cs="TimesNewRomanPSMT"/>
          <w:lang w:eastAsia="lv-LV"/>
        </w:rPr>
        <w:t>brīdī</w:t>
      </w:r>
      <w:r w:rsidR="00DF7CAC">
        <w:rPr>
          <w:rFonts w:ascii="TimesNewRomanPSMT" w:eastAsia="Calibri" w:hAnsi="TimesNewRomanPSMT" w:cs="TimesNewRomanPSMT"/>
          <w:lang w:eastAsia="lv-LV"/>
        </w:rPr>
        <w:t xml:space="preserve"> </w:t>
      </w:r>
      <w:r w:rsidR="003F6E21">
        <w:rPr>
          <w:rFonts w:ascii="TimesNewRomanPSMT" w:eastAsia="Calibri" w:hAnsi="TimesNewRomanPSMT" w:cs="TimesNewRomanPSMT"/>
          <w:lang w:eastAsia="lv-LV"/>
        </w:rPr>
        <w:t xml:space="preserve">un dienestam pārbaudes </w:t>
      </w:r>
      <w:r w:rsidR="00F025AA">
        <w:rPr>
          <w:rFonts w:ascii="TimesNewRomanPSMT" w:eastAsia="Calibri" w:hAnsi="TimesNewRomanPSMT" w:cs="TimesNewRomanPSMT"/>
          <w:lang w:eastAsia="lv-LV"/>
        </w:rPr>
        <w:t>laikā</w:t>
      </w:r>
      <w:r w:rsidR="003F6E21">
        <w:rPr>
          <w:rFonts w:ascii="TimesNewRomanPSMT" w:eastAsia="Calibri" w:hAnsi="TimesNewRomanPSMT" w:cs="TimesNewRomanPSMT"/>
          <w:lang w:eastAsia="lv-LV"/>
        </w:rPr>
        <w:t>.</w:t>
      </w:r>
    </w:p>
    <w:p w14:paraId="5AFB9D48" w14:textId="6DF1B24C" w:rsidR="00BF560C" w:rsidRDefault="003F6E21" w:rsidP="00214BD7">
      <w:pPr>
        <w:spacing w:line="276" w:lineRule="auto"/>
        <w:ind w:firstLine="567"/>
        <w:jc w:val="both"/>
        <w:rPr>
          <w:rFonts w:ascii="TimesNewRomanPSMT" w:eastAsia="Calibri" w:hAnsi="TimesNewRomanPSMT" w:cs="TimesNewRomanPSMT"/>
          <w:lang w:eastAsia="lv-LV"/>
        </w:rPr>
      </w:pPr>
      <w:r>
        <w:rPr>
          <w:rFonts w:ascii="TimesNewRomanPSMT" w:eastAsia="Calibri" w:hAnsi="TimesNewRomanPSMT" w:cs="TimesNewRomanPSMT"/>
          <w:lang w:eastAsia="lv-LV"/>
        </w:rPr>
        <w:lastRenderedPageBreak/>
        <w:t xml:space="preserve">Otrkārt, </w:t>
      </w:r>
      <w:r w:rsidR="005B3E05">
        <w:rPr>
          <w:rFonts w:ascii="TimesNewRomanPSMT" w:eastAsia="Calibri" w:hAnsi="TimesNewRomanPSMT" w:cs="TimesNewRomanPSMT"/>
          <w:lang w:eastAsia="lv-LV"/>
        </w:rPr>
        <w:t xml:space="preserve">no dienesta kasācijas sūdzības argumentācijas izriet, ka dienests </w:t>
      </w:r>
      <w:r w:rsidR="00515AEA">
        <w:rPr>
          <w:rFonts w:ascii="TimesNewRomanPSMT" w:eastAsia="Calibri" w:hAnsi="TimesNewRomanPSMT" w:cs="TimesNewRomanPSMT"/>
          <w:lang w:eastAsia="lv-LV"/>
        </w:rPr>
        <w:t>pēc būtības neiebilst</w:t>
      </w:r>
      <w:r w:rsidR="003411E3">
        <w:rPr>
          <w:rFonts w:ascii="TimesNewRomanPSMT" w:eastAsia="Calibri" w:hAnsi="TimesNewRomanPSMT" w:cs="TimesNewRomanPSMT"/>
          <w:lang w:eastAsia="lv-LV"/>
        </w:rPr>
        <w:t xml:space="preserve">, ka izskatāmajā gadījumā varētu izmantot </w:t>
      </w:r>
      <w:r w:rsidR="00515AEA">
        <w:rPr>
          <w:rFonts w:ascii="TimesNewRomanPSMT" w:eastAsia="Calibri" w:hAnsi="TimesNewRomanPSMT" w:cs="TimesNewRomanPSMT"/>
          <w:lang w:eastAsia="lv-LV"/>
        </w:rPr>
        <w:t>tiesas iegūto</w:t>
      </w:r>
      <w:r w:rsidR="003411E3">
        <w:rPr>
          <w:rFonts w:ascii="TimesNewRomanPSMT" w:eastAsia="Calibri" w:hAnsi="TimesNewRomanPSMT" w:cs="TimesNewRomanPSMT"/>
          <w:lang w:eastAsia="lv-LV"/>
        </w:rPr>
        <w:t>s</w:t>
      </w:r>
      <w:r w:rsidR="00515AEA">
        <w:rPr>
          <w:rFonts w:ascii="TimesNewRomanPSMT" w:eastAsia="Calibri" w:hAnsi="TimesNewRomanPSMT" w:cs="TimesNewRomanPSMT"/>
          <w:lang w:eastAsia="lv-LV"/>
        </w:rPr>
        <w:t xml:space="preserve"> pierādījumu</w:t>
      </w:r>
      <w:r w:rsidR="003411E3">
        <w:rPr>
          <w:rFonts w:ascii="TimesNewRomanPSMT" w:eastAsia="Calibri" w:hAnsi="TimesNewRomanPSMT" w:cs="TimesNewRomanPSMT"/>
          <w:lang w:eastAsia="lv-LV"/>
        </w:rPr>
        <w:t>s</w:t>
      </w:r>
      <w:r w:rsidR="00515AEA">
        <w:rPr>
          <w:rFonts w:ascii="TimesNewRomanPSMT" w:eastAsia="Calibri" w:hAnsi="TimesNewRomanPSMT" w:cs="TimesNewRomanPSMT"/>
          <w:lang w:eastAsia="lv-LV"/>
        </w:rPr>
        <w:t xml:space="preserve">. </w:t>
      </w:r>
      <w:r w:rsidR="00980CF9">
        <w:rPr>
          <w:rFonts w:ascii="TimesNewRomanPSMT" w:eastAsia="Calibri" w:hAnsi="TimesNewRomanPSMT" w:cs="TimesNewRomanPSMT"/>
          <w:lang w:eastAsia="lv-LV"/>
        </w:rPr>
        <w:t>Arī pieteicējas paskaidrojumos š</w:t>
      </w:r>
      <w:r w:rsidR="00515AEA">
        <w:rPr>
          <w:rFonts w:ascii="TimesNewRomanPSMT" w:eastAsia="Calibri" w:hAnsi="TimesNewRomanPSMT" w:cs="TimesNewRomanPSMT"/>
          <w:lang w:eastAsia="lv-LV"/>
        </w:rPr>
        <w:t xml:space="preserve">ādi </w:t>
      </w:r>
      <w:r w:rsidR="00F025AA">
        <w:rPr>
          <w:rFonts w:ascii="TimesNewRomanPSMT" w:eastAsia="Calibri" w:hAnsi="TimesNewRomanPSMT" w:cs="TimesNewRomanPSMT"/>
          <w:lang w:eastAsia="lv-LV"/>
        </w:rPr>
        <w:t>iebildumi</w:t>
      </w:r>
      <w:r w:rsidR="00515AEA">
        <w:rPr>
          <w:rFonts w:ascii="TimesNewRomanPSMT" w:eastAsia="Calibri" w:hAnsi="TimesNewRomanPSMT" w:cs="TimesNewRomanPSMT"/>
          <w:lang w:eastAsia="lv-LV"/>
        </w:rPr>
        <w:t xml:space="preserve"> nav norādīti</w:t>
      </w:r>
      <w:r w:rsidR="00BF560C">
        <w:rPr>
          <w:rFonts w:ascii="TimesNewRomanPSMT" w:eastAsia="Calibri" w:hAnsi="TimesNewRomanPSMT" w:cs="TimesNewRomanPSMT"/>
          <w:lang w:eastAsia="lv-LV"/>
        </w:rPr>
        <w:t xml:space="preserve">. Vienlaikus dienests pārmet tiesai, ka lietas dalībniekiem netika nodrošināta iespēja iepazīties un izteikties par tiesas spriedumu pamatojošiem pierādījumiem. </w:t>
      </w:r>
    </w:p>
    <w:p w14:paraId="1F9A9FDB" w14:textId="3E3C8E2E" w:rsidR="00A31EA5" w:rsidRPr="00A31EA5" w:rsidRDefault="00BF560C" w:rsidP="00214BD7">
      <w:pPr>
        <w:spacing w:line="276" w:lineRule="auto"/>
        <w:ind w:firstLine="567"/>
        <w:jc w:val="both"/>
        <w:rPr>
          <w:lang w:eastAsia="lv-LV"/>
        </w:rPr>
      </w:pPr>
      <w:r>
        <w:rPr>
          <w:rFonts w:ascii="TimesNewRomanPSMT" w:eastAsia="Calibri" w:hAnsi="TimesNewRomanPSMT" w:cs="TimesNewRomanPSMT"/>
          <w:lang w:eastAsia="lv-LV"/>
        </w:rPr>
        <w:t xml:space="preserve">Senāts atgādina, ka atbilstoši </w:t>
      </w:r>
      <w:r w:rsidR="00A31EA5" w:rsidRPr="00DD49DD">
        <w:t>Administratīvā procesa likuma 14.</w:t>
      </w:r>
      <w:r w:rsidR="00A31EA5" w:rsidRPr="00A31EA5">
        <w:rPr>
          <w:vertAlign w:val="superscript"/>
        </w:rPr>
        <w:t>1</w:t>
      </w:r>
      <w:r w:rsidR="00A31EA5" w:rsidRPr="00DD49DD">
        <w:t>pantā nostiprināta</w:t>
      </w:r>
      <w:r>
        <w:t>jam</w:t>
      </w:r>
      <w:r w:rsidR="00A31EA5" w:rsidRPr="00DD49DD">
        <w:t xml:space="preserve"> procesuālā taisnīguma princip</w:t>
      </w:r>
      <w:r>
        <w:t>am</w:t>
      </w:r>
      <w:r w:rsidR="00A31EA5" w:rsidRPr="00DD49DD">
        <w:t xml:space="preserve"> tiesai ir jādod procesa dalībniekiem pienācīga iespēja izteikt savu viedokli. Likuma 145.panta pirmā daļa paredz virkni administratīvā procesa dalībnieka tiesību, tostarp piedalīties pierādījumu pārbaudīšanā, pieteikt lūgumus, izteikt savus apsvērumus un argumentus, sniegt paskaidrojumus. Atbilstoši 245.pantam tiesa, iztiesājot administratīvo lietu rakstveida procesā, ievēro administratīvās lietas tiesvedības principus un procesa dalībnieku procesuālās tiesības, ciktāl to pieļauj </w:t>
      </w:r>
      <w:r w:rsidR="00A31EA5" w:rsidRPr="00A31EA5">
        <w:t>rakstveida procesa būtība. Savukārt 247.panta otrā daļa noteic, ka t</w:t>
      </w:r>
      <w:r w:rsidR="00A31EA5" w:rsidRPr="00B618FD">
        <w:rPr>
          <w:lang w:eastAsia="lv-LV"/>
        </w:rPr>
        <w:t>iesa spriedumu pamato ar apstākļiem, kuri nodibināti ar pierādījumiem lietā vai kurus saskaņā ar šā likuma</w:t>
      </w:r>
      <w:r w:rsidR="00A31EA5" w:rsidRPr="00A31EA5">
        <w:rPr>
          <w:lang w:eastAsia="lv-LV"/>
        </w:rPr>
        <w:t xml:space="preserve"> 153.pantu </w:t>
      </w:r>
      <w:r w:rsidR="00A31EA5" w:rsidRPr="00B618FD">
        <w:rPr>
          <w:lang w:eastAsia="lv-LV"/>
        </w:rPr>
        <w:t>nav nepieciešams pierādīt.</w:t>
      </w:r>
      <w:r w:rsidR="00A31EA5" w:rsidRPr="00A31EA5">
        <w:rPr>
          <w:lang w:eastAsia="lv-LV"/>
        </w:rPr>
        <w:t xml:space="preserve"> Atbilstoši šā panta trešajai daļai t</w:t>
      </w:r>
      <w:r w:rsidR="00A31EA5" w:rsidRPr="00B618FD">
        <w:rPr>
          <w:lang w:eastAsia="lv-LV"/>
        </w:rPr>
        <w:t>iesa spriedumu drīkst pamatot tikai ar tādiem apstākļiem, par kuriem administratīvā procesa dalībniekiem ir bijusi iespēja mutvārdos vai rakstveidā izteikt savu viedokli.</w:t>
      </w:r>
    </w:p>
    <w:p w14:paraId="09F3627D" w14:textId="77777777" w:rsidR="00A31EA5" w:rsidRPr="00A31EA5" w:rsidRDefault="00A31EA5" w:rsidP="00214BD7">
      <w:pPr>
        <w:spacing w:line="276" w:lineRule="auto"/>
        <w:ind w:firstLine="567"/>
        <w:jc w:val="both"/>
        <w:rPr>
          <w:lang w:eastAsia="en-US"/>
        </w:rPr>
      </w:pPr>
      <w:r w:rsidRPr="00A31EA5">
        <w:rPr>
          <w:lang w:eastAsia="lv-LV"/>
        </w:rPr>
        <w:t xml:space="preserve">Tātad minētajās tiesību normās ir nostiprinātas lietas dalībnieku tiesības iepazīties ar lietas materiāliem un izteikt par tiem savu viedokli. </w:t>
      </w:r>
      <w:r w:rsidRPr="00A31EA5">
        <w:t>Arī Eiropas Cilvēktiesību tiesa uzsvērusi, ka procesa dalībniekiem ir jānodrošina iespēja iepazīties ar pierādījumiem, kā arī piemērotā formā un atbilstošā laikā sniegt viedokli par šiem pierādījumiem, to saturu un autentiskumu. Īpaša nozīme ir personu uzticībai taisnīgai tiesai</w:t>
      </w:r>
      <w:r w:rsidRPr="00DD49DD">
        <w:t xml:space="preserve">, kas balstās arī uz pieņēmumu, ka personai tiek dota iespēja paust viedokli par katru lietas materiālos esošo dokumentu. Tā ir daļa no Eiropas Cilvēka </w:t>
      </w:r>
      <w:r w:rsidRPr="00A31EA5">
        <w:t xml:space="preserve">tiesību un pamatbrīvību aizsardzības konvencijas 6.panta </w:t>
      </w:r>
      <w:r w:rsidRPr="00A31EA5">
        <w:lastRenderedPageBreak/>
        <w:t>1.punkta tiesībām uz taisnīgu tiesu (</w:t>
      </w:r>
      <w:r w:rsidRPr="00A31EA5">
        <w:rPr>
          <w:i/>
          <w:iCs/>
        </w:rPr>
        <w:t>Eiropas Cilvēktiesību tiesas 2021.gada 4.februāra sprieduma Valentīnas Vorotņikovas pieteikumā pret Latviju, iesnieguma Nr. 68188/13, 21.punkts</w:t>
      </w:r>
      <w:r w:rsidRPr="00A31EA5">
        <w:t xml:space="preserve">). </w:t>
      </w:r>
    </w:p>
    <w:p w14:paraId="5916054A" w14:textId="4BF2F403" w:rsidR="00A31EA5" w:rsidRDefault="00A31EA5" w:rsidP="00214BD7">
      <w:pPr>
        <w:spacing w:line="276" w:lineRule="auto"/>
        <w:ind w:firstLine="567"/>
        <w:jc w:val="both"/>
      </w:pPr>
      <w:r w:rsidRPr="00A31EA5">
        <w:rPr>
          <w:lang w:eastAsia="lv-LV"/>
        </w:rPr>
        <w:t xml:space="preserve">Vienlaikus </w:t>
      </w:r>
      <w:r w:rsidRPr="00A31EA5">
        <w:t xml:space="preserve">Administratīvā procesa likuma 145.panta ceturtā daļa pieļauj ierobežot procesa dalībnieka tiesības </w:t>
      </w:r>
      <w:r w:rsidRPr="00DD49DD">
        <w:t xml:space="preserve">iepazīties ar atsevišķiem lietas materiāliem, ja tam ir pamatots un likumā norādīts iemesls. </w:t>
      </w:r>
      <w:r w:rsidR="00CA58D1">
        <w:t xml:space="preserve">Minētais </w:t>
      </w:r>
      <w:r w:rsidRPr="00DD49DD">
        <w:t>rada izņēmumu no Administratīvā procesa likuma 247.panta trešajā daļā noteiktā vispārīgā principa, kas paredz tiesas sprieduma</w:t>
      </w:r>
      <w:r>
        <w:t xml:space="preserve"> pamatošanu vienīgi ar tādiem apstākļiem, par kuriem dalībniekiem bijusi iespēja izteikties (</w:t>
      </w:r>
      <w:r w:rsidR="00894B31">
        <w:t>sal. </w:t>
      </w:r>
      <w:r w:rsidRPr="00530FB3">
        <w:rPr>
          <w:i/>
          <w:iCs/>
        </w:rPr>
        <w:t>Senāta 2015.gada 30.septembra sprieduma lietā Nr.</w:t>
      </w:r>
      <w:r w:rsidR="00DA2740">
        <w:rPr>
          <w:i/>
          <w:iCs/>
        </w:rPr>
        <w:t> </w:t>
      </w:r>
      <w:r w:rsidRPr="00530FB3">
        <w:rPr>
          <w:i/>
          <w:iCs/>
        </w:rPr>
        <w:t>SKA-160/2015 (A420447811) 11.punkts</w:t>
      </w:r>
      <w:r>
        <w:t>).</w:t>
      </w:r>
    </w:p>
    <w:p w14:paraId="1ECEADB5" w14:textId="32663FA6" w:rsidR="00A31EA5" w:rsidRDefault="00A31EA5" w:rsidP="00214BD7">
      <w:pPr>
        <w:spacing w:line="276" w:lineRule="auto"/>
        <w:ind w:firstLine="567"/>
        <w:jc w:val="both"/>
      </w:pPr>
      <w:r>
        <w:t>Tātad lietas dalībnieku tiesības</w:t>
      </w:r>
      <w:r w:rsidR="00894B31">
        <w:t xml:space="preserve"> iepazīties un</w:t>
      </w:r>
      <w:r>
        <w:t xml:space="preserve"> izteikties par </w:t>
      </w:r>
      <w:r w:rsidR="00894B31">
        <w:t xml:space="preserve">atsevišķiem </w:t>
      </w:r>
      <w:r>
        <w:t>lietas materiāliem nav absolūtas un var tikt ierobežotas likumā noteiktajos gadījumos.</w:t>
      </w:r>
    </w:p>
    <w:p w14:paraId="07346F6C" w14:textId="3D34F5B9" w:rsidR="009D50AB" w:rsidRDefault="002814A2" w:rsidP="00214BD7">
      <w:pPr>
        <w:spacing w:line="276" w:lineRule="auto"/>
        <w:ind w:firstLine="567"/>
        <w:jc w:val="both"/>
      </w:pPr>
      <w:r>
        <w:t>Latvijas Banka</w:t>
      </w:r>
      <w:r w:rsidR="003F6E21">
        <w:t>, iesniedzot tiesas pieprasītos pierādījumus,</w:t>
      </w:r>
      <w:r>
        <w:t xml:space="preserve"> </w:t>
      </w:r>
      <w:r w:rsidR="00AC4F62">
        <w:t>saskaņā ar A</w:t>
      </w:r>
      <w:r w:rsidR="00C92EA1" w:rsidRPr="00DD49DD">
        <w:t xml:space="preserve">dministratīvā procesa likuma 145.panta ceturto daļu, </w:t>
      </w:r>
      <w:r>
        <w:t xml:space="preserve">ir </w:t>
      </w:r>
      <w:r w:rsidR="00C92EA1" w:rsidRPr="00DD49DD">
        <w:t xml:space="preserve">lūgusi noteikt ierobežojumu lietas dalībniekiem iepazīties ar </w:t>
      </w:r>
      <w:r w:rsidR="004F08E3">
        <w:t xml:space="preserve">iesniegto </w:t>
      </w:r>
      <w:r w:rsidR="00C92EA1" w:rsidRPr="00DD49DD">
        <w:t>materiālu attiecīgo daļu un pēc tiesas galīgā nolēmuma spēkā stāšanās pieprasītos datus atdot Latvijas Bankai vai iznīcināt.</w:t>
      </w:r>
      <w:r w:rsidR="003F6E21">
        <w:t xml:space="preserve"> </w:t>
      </w:r>
      <w:r w:rsidR="00AC4F62">
        <w:t>Tātad, ja tiesa</w:t>
      </w:r>
      <w:r w:rsidR="00B72F7C">
        <w:t xml:space="preserve"> secinātu un pamatotu, ka izskatāmajā lietā transfert</w:t>
      </w:r>
      <w:r w:rsidR="006004A3">
        <w:t>c</w:t>
      </w:r>
      <w:r w:rsidR="00B72F7C">
        <w:t>enu pārbaudei ir izmantojamas pēc tiesas iniciatīvas iegūtās ziņas un</w:t>
      </w:r>
      <w:r w:rsidR="00AC4F62">
        <w:t>, konstatējot likumā noteiktos gadījumus, Latvijas Bankas iesniegtajiem pierādījumiem noteiktu ierobežotas pieejamības statusu, lietas dalībniekiem nebūtu pamata pārmest</w:t>
      </w:r>
      <w:r w:rsidR="00BF560C">
        <w:t xml:space="preserve"> tiesai</w:t>
      </w:r>
      <w:r w:rsidR="00AC4F62">
        <w:t xml:space="preserve">, ka nav </w:t>
      </w:r>
      <w:r w:rsidR="00BF560C">
        <w:t xml:space="preserve">nodrošinātas </w:t>
      </w:r>
      <w:r w:rsidR="00AC4F62">
        <w:t>viņu procesuālās tiesības</w:t>
      </w:r>
      <w:r w:rsidR="00BF560C">
        <w:t xml:space="preserve"> iepazīties ar atsevišķiem lietas materiāliem</w:t>
      </w:r>
      <w:r w:rsidR="00AC4F62">
        <w:t xml:space="preserve">. </w:t>
      </w:r>
      <w:r w:rsidR="003F6E21">
        <w:t>T</w:t>
      </w:r>
      <w:r w:rsidR="00AC4F62">
        <w:t>aču t</w:t>
      </w:r>
      <w:r w:rsidR="003F6E21">
        <w:t xml:space="preserve">iesa nav pieņēmusi lēmumu </w:t>
      </w:r>
      <w:r w:rsidR="00C92EA1">
        <w:t>par ierobežotas pieejamības statusa</w:t>
      </w:r>
      <w:r w:rsidR="003F6E21">
        <w:t xml:space="preserve"> noteikšanu </w:t>
      </w:r>
      <w:r w:rsidR="00C92EA1">
        <w:t xml:space="preserve">Latvijas Bankas iesniegtajiem </w:t>
      </w:r>
      <w:r w:rsidR="00894B31">
        <w:t>datiem</w:t>
      </w:r>
      <w:r w:rsidR="00AC4F62">
        <w:t xml:space="preserve">, jo, kā jau minēts, tiesa tos lietas materiāliem nav pievienojusi. </w:t>
      </w:r>
    </w:p>
    <w:p w14:paraId="750A426E" w14:textId="581DC147" w:rsidR="00DA2740" w:rsidRDefault="009D50AB" w:rsidP="00214BD7">
      <w:pPr>
        <w:spacing w:line="276" w:lineRule="auto"/>
        <w:ind w:firstLine="567"/>
        <w:jc w:val="both"/>
      </w:pPr>
      <w:r>
        <w:t xml:space="preserve">Šādu apstākļu kopumā apgabaltiesas rīcība atzīstama par neatbilstošu </w:t>
      </w:r>
      <w:r w:rsidR="00B72F7C" w:rsidRPr="00D16C2A">
        <w:t xml:space="preserve">Administratīvā procesa likuma </w:t>
      </w:r>
      <w:r w:rsidR="00B72F7C">
        <w:t>2</w:t>
      </w:r>
      <w:r w:rsidR="00B72F7C" w:rsidRPr="00D16C2A">
        <w:t>47.panta otrajai un trešajai</w:t>
      </w:r>
      <w:r w:rsidR="00B72F7C">
        <w:t xml:space="preserve"> daļai. </w:t>
      </w:r>
      <w:r w:rsidR="00744AF9">
        <w:t>T</w:t>
      </w:r>
      <w:r w:rsidR="00B72F7C">
        <w:t>urklāt, t</w:t>
      </w:r>
      <w:r w:rsidR="00744AF9">
        <w:t xml:space="preserve">ā kā </w:t>
      </w:r>
      <w:r w:rsidR="008861EA">
        <w:t>pierādījumi</w:t>
      </w:r>
      <w:r w:rsidR="00515AEA">
        <w:t xml:space="preserve">, kas kā </w:t>
      </w:r>
      <w:r w:rsidR="00B72F7C">
        <w:t xml:space="preserve">izšķiroši </w:t>
      </w:r>
      <w:r w:rsidR="00515AEA">
        <w:t>izmantoti tiesas sprieduma pamatošanai,</w:t>
      </w:r>
      <w:r w:rsidR="008861EA">
        <w:t xml:space="preserve"> </w:t>
      </w:r>
      <w:r w:rsidR="00744AF9">
        <w:t xml:space="preserve">lietas </w:t>
      </w:r>
      <w:r w:rsidR="00744AF9">
        <w:lastRenderedPageBreak/>
        <w:t>materiāliem nav pievienot</w:t>
      </w:r>
      <w:r w:rsidR="008861EA">
        <w:t>i</w:t>
      </w:r>
      <w:r w:rsidR="00744AF9">
        <w:t xml:space="preserve">, </w:t>
      </w:r>
      <w:r w:rsidR="00515AEA">
        <w:t xml:space="preserve">arī </w:t>
      </w:r>
      <w:r w:rsidR="00744AF9">
        <w:t xml:space="preserve">Senātam nav iespējas pārbaudīt, vai apgabaltiesa </w:t>
      </w:r>
      <w:r w:rsidR="00515AEA">
        <w:t>to</w:t>
      </w:r>
      <w:r w:rsidR="00744AF9">
        <w:t xml:space="preserve">s ir novērtējusi atbilstoši Administratīvā procesa likuma 154.panta prasībām. </w:t>
      </w:r>
      <w:r w:rsidR="008861EA">
        <w:t xml:space="preserve">Vienlaikus jāpiekrīt dienestam, ka </w:t>
      </w:r>
      <w:r w:rsidR="005C04AF">
        <w:t>apgabaltiesas spriedumā lietotie formulēj</w:t>
      </w:r>
      <w:r w:rsidR="0097325B">
        <w:t>um</w:t>
      </w:r>
      <w:r w:rsidR="005C04AF">
        <w:t xml:space="preserve">i </w:t>
      </w:r>
      <w:r w:rsidR="004F08E3">
        <w:t xml:space="preserve">dod pamatu </w:t>
      </w:r>
      <w:r w:rsidR="005C04AF">
        <w:t>secinā</w:t>
      </w:r>
      <w:r w:rsidR="004F08E3">
        <w:t>jumam</w:t>
      </w:r>
      <w:r w:rsidR="005C04AF">
        <w:t xml:space="preserve">, ka </w:t>
      </w:r>
      <w:r w:rsidR="008861EA">
        <w:t xml:space="preserve">minētās tiesību normas prasības nav ievērotas </w:t>
      </w:r>
      <w:r w:rsidR="005C04AF" w:rsidRPr="00D16C2A">
        <w:t xml:space="preserve">(par to </w:t>
      </w:r>
      <w:r w:rsidR="00D6684D" w:rsidRPr="00D16C2A">
        <w:t xml:space="preserve">turpmākajos </w:t>
      </w:r>
      <w:r w:rsidR="005C04AF" w:rsidRPr="00D16C2A">
        <w:t>punkt</w:t>
      </w:r>
      <w:r w:rsidR="00570A8B" w:rsidRPr="00D16C2A">
        <w:t>os</w:t>
      </w:r>
      <w:r w:rsidR="005C04AF" w:rsidRPr="00D16C2A">
        <w:t>).</w:t>
      </w:r>
    </w:p>
    <w:p w14:paraId="40E43517" w14:textId="6766E6CC" w:rsidR="00C41CF5" w:rsidRDefault="00F025AA" w:rsidP="00214BD7">
      <w:pPr>
        <w:spacing w:line="276" w:lineRule="auto"/>
        <w:ind w:firstLine="567"/>
        <w:jc w:val="both"/>
      </w:pPr>
      <w:r>
        <w:t>Minēt</w:t>
      </w:r>
      <w:r w:rsidR="00980CF9">
        <w:t xml:space="preserve">ie pārkāpumi ir pamats </w:t>
      </w:r>
      <w:r>
        <w:t>apgabaltiesas sprieduma atcelšanai</w:t>
      </w:r>
      <w:r w:rsidR="003411E3">
        <w:t xml:space="preserve"> un lietas nosūtīšanai </w:t>
      </w:r>
      <w:r w:rsidR="00456124">
        <w:t xml:space="preserve">apgabaltiesai </w:t>
      </w:r>
      <w:r w:rsidR="003411E3">
        <w:t>jaunai izskatīšanai</w:t>
      </w:r>
      <w:r>
        <w:t>. Vienlaikus, ievērojot procesuālās ekonomijas principu, Senāts atzīst par nepieciešamu atbildēt uz kasācijas sūdzības argumentiem</w:t>
      </w:r>
      <w:r w:rsidR="003411E3">
        <w:t>, kas attiecas uz transfertcenas jautājumiem pēc būtības</w:t>
      </w:r>
      <w:r>
        <w:t>.</w:t>
      </w:r>
    </w:p>
    <w:p w14:paraId="0990BFC6" w14:textId="77777777" w:rsidR="00C92EA1" w:rsidRDefault="00C92EA1" w:rsidP="00214BD7">
      <w:pPr>
        <w:spacing w:line="276" w:lineRule="auto"/>
        <w:ind w:firstLine="567"/>
        <w:jc w:val="both"/>
        <w:rPr>
          <w:lang w:eastAsia="lv-LV"/>
        </w:rPr>
      </w:pPr>
    </w:p>
    <w:p w14:paraId="080DB7A7" w14:textId="6A301762" w:rsidR="009A3B43" w:rsidRDefault="00B55810" w:rsidP="00214BD7">
      <w:pPr>
        <w:spacing w:line="276" w:lineRule="auto"/>
        <w:ind w:firstLine="567"/>
        <w:jc w:val="both"/>
        <w:rPr>
          <w:lang w:eastAsia="lv-LV"/>
        </w:rPr>
      </w:pPr>
      <w:r>
        <w:rPr>
          <w:lang w:eastAsia="lv-LV"/>
        </w:rPr>
        <w:t>[</w:t>
      </w:r>
      <w:r w:rsidR="004E1BD0">
        <w:rPr>
          <w:lang w:eastAsia="lv-LV"/>
        </w:rPr>
        <w:t>8</w:t>
      </w:r>
      <w:r>
        <w:rPr>
          <w:lang w:eastAsia="lv-LV"/>
        </w:rPr>
        <w:t>]</w:t>
      </w:r>
      <w:r w:rsidR="00417B80">
        <w:rPr>
          <w:lang w:eastAsia="lv-LV"/>
        </w:rPr>
        <w:t> A</w:t>
      </w:r>
      <w:r w:rsidR="00A33DF5">
        <w:rPr>
          <w:lang w:eastAsia="lv-LV"/>
        </w:rPr>
        <w:t>pgabaltiesa atzinusi, ka</w:t>
      </w:r>
      <w:r w:rsidR="009A3B43">
        <w:rPr>
          <w:lang w:eastAsia="lv-LV"/>
        </w:rPr>
        <w:t xml:space="preserve"> Latvijas Bankas apkopotie statistikas dati cenu salīdzināšan</w:t>
      </w:r>
      <w:r w:rsidR="00B67B5C">
        <w:rPr>
          <w:lang w:eastAsia="lv-LV"/>
        </w:rPr>
        <w:t>ai</w:t>
      </w:r>
      <w:r w:rsidR="009A3B43">
        <w:rPr>
          <w:lang w:eastAsia="lv-LV"/>
        </w:rPr>
        <w:t xml:space="preserve"> tiešā veidā nav izmantojami.</w:t>
      </w:r>
      <w:r w:rsidR="00F752DC">
        <w:rPr>
          <w:lang w:eastAsia="lv-LV"/>
        </w:rPr>
        <w:t xml:space="preserve"> </w:t>
      </w:r>
    </w:p>
    <w:p w14:paraId="4192BBF2" w14:textId="6DA98958" w:rsidR="009357BE" w:rsidRDefault="0062079E" w:rsidP="00214BD7">
      <w:pPr>
        <w:spacing w:line="276" w:lineRule="auto"/>
        <w:ind w:firstLine="567"/>
        <w:jc w:val="both"/>
        <w:rPr>
          <w:lang w:eastAsia="lv-LV"/>
        </w:rPr>
      </w:pPr>
      <w:r>
        <w:rPr>
          <w:lang w:eastAsia="lv-LV"/>
        </w:rPr>
        <w:t xml:space="preserve">Dienesta nostāja šajā jautājumā nav </w:t>
      </w:r>
      <w:r w:rsidR="00F752DC">
        <w:rPr>
          <w:lang w:eastAsia="lv-LV"/>
        </w:rPr>
        <w:t>viennozīmīg</w:t>
      </w:r>
      <w:r>
        <w:rPr>
          <w:lang w:eastAsia="lv-LV"/>
        </w:rPr>
        <w:t xml:space="preserve">a, </w:t>
      </w:r>
      <w:r w:rsidR="00F752DC">
        <w:rPr>
          <w:lang w:eastAsia="lv-LV"/>
        </w:rPr>
        <w:t>jo, no vienas puses, dienests norāda, ka</w:t>
      </w:r>
      <w:r w:rsidR="00865F06">
        <w:rPr>
          <w:lang w:eastAsia="lv-LV"/>
        </w:rPr>
        <w:t xml:space="preserve"> šāds </w:t>
      </w:r>
      <w:r w:rsidR="00F752DC">
        <w:rPr>
          <w:lang w:eastAsia="lv-LV"/>
        </w:rPr>
        <w:t>apgabaltiesa</w:t>
      </w:r>
      <w:r w:rsidR="00865F06">
        <w:rPr>
          <w:lang w:eastAsia="lv-LV"/>
        </w:rPr>
        <w:t>s secinājums ir</w:t>
      </w:r>
      <w:r w:rsidR="00F752DC">
        <w:rPr>
          <w:lang w:eastAsia="lv-LV"/>
        </w:rPr>
        <w:t xml:space="preserve"> kļūdain</w:t>
      </w:r>
      <w:r w:rsidR="00865F06">
        <w:rPr>
          <w:lang w:eastAsia="lv-LV"/>
        </w:rPr>
        <w:t xml:space="preserve">s, </w:t>
      </w:r>
      <w:r w:rsidR="00F752DC">
        <w:rPr>
          <w:lang w:eastAsia="lv-LV"/>
        </w:rPr>
        <w:t xml:space="preserve">no otras puses, dienests </w:t>
      </w:r>
      <w:r w:rsidR="009357BE">
        <w:rPr>
          <w:lang w:eastAsia="lv-LV"/>
        </w:rPr>
        <w:t>pārmet apgabaltiesai, ka tā</w:t>
      </w:r>
      <w:r w:rsidR="009357BE" w:rsidRPr="009357BE">
        <w:rPr>
          <w:lang w:eastAsia="lv-LV"/>
        </w:rPr>
        <w:t xml:space="preserve"> </w:t>
      </w:r>
      <w:r w:rsidR="009357BE">
        <w:rPr>
          <w:lang w:eastAsia="lv-LV"/>
        </w:rPr>
        <w:t>nav rīkojusies atbilstošā veidā, lai tiktu nodrošināta nepieciešamo korekciju veikšana, pielāgojot Latvijas Bankas datus</w:t>
      </w:r>
      <w:r w:rsidR="00865F06">
        <w:rPr>
          <w:lang w:eastAsia="lv-LV"/>
        </w:rPr>
        <w:t>, lai tie varētu tikt izmantoti izskatāmajā gadījumā</w:t>
      </w:r>
      <w:r w:rsidR="009357BE">
        <w:rPr>
          <w:lang w:eastAsia="lv-LV"/>
        </w:rPr>
        <w:t>. Līdz ar to</w:t>
      </w:r>
      <w:r>
        <w:rPr>
          <w:lang w:eastAsia="lv-LV"/>
        </w:rPr>
        <w:t xml:space="preserve">, vērtējot ar transfertcenu saistītos jautājumus, izskatāmajā gadījumā primāri </w:t>
      </w:r>
      <w:r w:rsidR="009357BE">
        <w:rPr>
          <w:lang w:eastAsia="lv-LV"/>
        </w:rPr>
        <w:t>noskaidrojams, vai Latvijas Bankas statistikas datu izmantošanai ir nepieciešama to korekcija.</w:t>
      </w:r>
    </w:p>
    <w:p w14:paraId="12DB92F2" w14:textId="0CA10C8F" w:rsidR="00A679B0" w:rsidRDefault="00A679B0" w:rsidP="00214BD7">
      <w:pPr>
        <w:spacing w:line="276" w:lineRule="auto"/>
        <w:ind w:firstLine="567"/>
        <w:jc w:val="both"/>
        <w:rPr>
          <w:lang w:eastAsia="lv-LV"/>
        </w:rPr>
      </w:pPr>
    </w:p>
    <w:p w14:paraId="196B77BC" w14:textId="4B75E99F" w:rsidR="00A679B0" w:rsidRDefault="00A679B0" w:rsidP="00214BD7">
      <w:pPr>
        <w:spacing w:line="276" w:lineRule="auto"/>
        <w:ind w:firstLine="567"/>
        <w:jc w:val="both"/>
        <w:rPr>
          <w:lang w:eastAsia="lv-LV"/>
        </w:rPr>
      </w:pPr>
      <w:r>
        <w:rPr>
          <w:lang w:eastAsia="lv-LV"/>
        </w:rPr>
        <w:t>[</w:t>
      </w:r>
      <w:r w:rsidR="004E1BD0">
        <w:rPr>
          <w:lang w:eastAsia="lv-LV"/>
        </w:rPr>
        <w:t>9</w:t>
      </w:r>
      <w:r>
        <w:rPr>
          <w:lang w:eastAsia="lv-LV"/>
        </w:rPr>
        <w:t>] Apgabaltiesa secinājumu, ka Latvijas Bankas statistikas dati nav izmantojami tiešā veidā</w:t>
      </w:r>
      <w:r w:rsidR="00BE20B2">
        <w:rPr>
          <w:lang w:eastAsia="lv-LV"/>
        </w:rPr>
        <w:t>,</w:t>
      </w:r>
      <w:r>
        <w:rPr>
          <w:lang w:eastAsia="lv-LV"/>
        </w:rPr>
        <w:t xml:space="preserve"> ir pamatojusi ar Vadlīniju 1.35.punktu, savukārt dienests uzskata, ka no </w:t>
      </w:r>
      <w:r w:rsidR="00A33DF5">
        <w:rPr>
          <w:lang w:eastAsia="lv-LV"/>
        </w:rPr>
        <w:t xml:space="preserve">Vadlīniju 1.35.punkta šāds </w:t>
      </w:r>
      <w:r>
        <w:rPr>
          <w:lang w:eastAsia="lv-LV"/>
        </w:rPr>
        <w:t xml:space="preserve">secinājums neizriet, jo </w:t>
      </w:r>
      <w:r w:rsidR="00A33DF5">
        <w:rPr>
          <w:lang w:eastAsia="lv-LV"/>
        </w:rPr>
        <w:t>tas</w:t>
      </w:r>
      <w:r>
        <w:rPr>
          <w:lang w:eastAsia="lv-LV"/>
        </w:rPr>
        <w:t xml:space="preserve"> runā par nozares vidējiem ieņēmumiem, savukārt izskatāmajā gadījumā runa ir vidējām cenām.</w:t>
      </w:r>
    </w:p>
    <w:p w14:paraId="4510A4CA" w14:textId="08ECBAD0" w:rsidR="00E2137C" w:rsidRDefault="00E2137C" w:rsidP="00214BD7">
      <w:pPr>
        <w:spacing w:line="276" w:lineRule="auto"/>
        <w:ind w:firstLine="567"/>
        <w:jc w:val="both"/>
        <w:rPr>
          <w:lang w:eastAsia="lv-LV"/>
        </w:rPr>
      </w:pPr>
      <w:r>
        <w:rPr>
          <w:lang w:eastAsia="lv-LV"/>
        </w:rPr>
        <w:t>Vadlīniju 1.35.punkts iekļauts sadaļā, kas skaidro ar salīdzināmības analīzi saistītos apstākļus. 1.35.punktā norādīts, ka vi</w:t>
      </w:r>
      <w:r w:rsidR="00C66D45">
        <w:rPr>
          <w:lang w:eastAsia="lv-LV"/>
        </w:rPr>
        <w:t>s</w:t>
      </w:r>
      <w:r>
        <w:rPr>
          <w:lang w:eastAsia="lv-LV"/>
        </w:rPr>
        <w:t xml:space="preserve">as metodes, kurās piemēro </w:t>
      </w:r>
      <w:r>
        <w:rPr>
          <w:lang w:eastAsia="lv-LV"/>
        </w:rPr>
        <w:lastRenderedPageBreak/>
        <w:t xml:space="preserve">nesaistītu pušu darījuma principu, var saistīt ar koncepciju, ka neatkarīgi uzņēmumi izskata tiem pieejamos variantus un, tos savā starpā salīdzinot, tie ņem vērā jebkādas atšķirības variantu starpā, kas būtiski ietekmē </w:t>
      </w:r>
      <w:r w:rsidR="009D3194">
        <w:rPr>
          <w:lang w:eastAsia="lv-LV"/>
        </w:rPr>
        <w:t xml:space="preserve">darījumu </w:t>
      </w:r>
      <w:r>
        <w:rPr>
          <w:lang w:eastAsia="lv-LV"/>
        </w:rPr>
        <w:t xml:space="preserve">vērtību. Tādēļ salīdzināmās nekontrolētās cenas metodē salīdzina kontrolētu darījumu ar līdzīgu nekontrolētu darījumu, lai sniegtu novērtējumu cenai, par kādu puses būtu vienojošās, ja tās tiešā veidā meklētu tirgus alternatīvu kontrolētajam darījumam. </w:t>
      </w:r>
      <w:r w:rsidR="00A12079">
        <w:rPr>
          <w:lang w:eastAsia="lv-LV"/>
        </w:rPr>
        <w:t xml:space="preserve">Tomēr šāda metode kļūst mazāk uzticams aizstājējs nesaistītu pušu darījumiem, ja nav salīdzināmas visas pazīmes šādiem nekontrolētiem darījumiem, kuri būtiski ietekmē cenu, kāda tiek maksāta neatkarīgu uzņēmumu starpā. </w:t>
      </w:r>
      <w:r>
        <w:rPr>
          <w:lang w:eastAsia="lv-LV"/>
        </w:rPr>
        <w:t xml:space="preserve">1.35.punktā norādīts, ka līdzīgā veidā tālāk pārdošanas cenas un izmaksu plus metodēs salīdzina bruto peļņas normu, kas gūta kontrolētā darījumā, ar bruto peļņas normām, kas gūtas līdzīgos nekontrolētos darījumos. Šāds salīdzinājums sniedz novērtējumu bruto peļņas normai, kādu viena no pusēm būtu guvusi, ja tā būtu pildījusi tādas pašas </w:t>
      </w:r>
      <w:r w:rsidR="00C01DD4">
        <w:rPr>
          <w:lang w:eastAsia="lv-LV"/>
        </w:rPr>
        <w:t>funkcijas neatkarīgiem uzņēmumiem, un tādēļ tā sniedz novērtējumu samaksai, kādu šī puse būtu pieprasījusi un kādu otra puse būtu vēlējusies maksāt atbilstoši nesaistītu pušu darījumu principam. 1.35.punktā arī norādīts, ka citas Vadlīnijās aplūkotās metodes ir balstītas uz tīrās peļņas rādītāju salīdzinājumiem neatkarīg</w:t>
      </w:r>
      <w:r w:rsidR="00865F06">
        <w:rPr>
          <w:lang w:eastAsia="lv-LV"/>
        </w:rPr>
        <w:t>o</w:t>
      </w:r>
      <w:r w:rsidR="00C01DD4">
        <w:rPr>
          <w:lang w:eastAsia="lv-LV"/>
        </w:rPr>
        <w:t xml:space="preserve"> un saistīto uzņēmumu starpā kā līdzekļiem, lai novērtētu peļņu, kādu viens vai katrs no saistītajiem uzņēmumiem varētu gūt, </w:t>
      </w:r>
      <w:r w:rsidR="006E0352">
        <w:rPr>
          <w:lang w:eastAsia="lv-LV"/>
        </w:rPr>
        <w:t>j</w:t>
      </w:r>
      <w:r w:rsidR="00C01DD4">
        <w:rPr>
          <w:lang w:eastAsia="lv-LV"/>
        </w:rPr>
        <w:t>a tie veiktu darījumus tikai ar neatkarīgiem uzņēmumiem, un tādēļ samaks</w:t>
      </w:r>
      <w:r w:rsidR="0057527E">
        <w:rPr>
          <w:lang w:eastAsia="lv-LV"/>
        </w:rPr>
        <w:t>u</w:t>
      </w:r>
      <w:r w:rsidR="00C01DD4">
        <w:rPr>
          <w:lang w:eastAsia="lv-LV"/>
        </w:rPr>
        <w:t xml:space="preserve">, ko šādi uzņēmumi būtu pieprasījuši atbilstoši nesaistītu pušu darījumu principam, lai kompensētu resursus, ko tie izmantojuši kontrolētā darījumā. Rezultātā Vadlīniju 1.35.punktā norādīts: </w:t>
      </w:r>
      <w:r w:rsidR="00C01DD4" w:rsidRPr="0057527E">
        <w:rPr>
          <w:lang w:eastAsia="lv-LV"/>
        </w:rPr>
        <w:t>kad pastāv atšķirības salīdzināmo situāciju starpā, kuras varētu būtiski ietekmēt salīdzinājumu, ir jāveic iespējamie salīdzināmības pielāgojumi, lai uzlabotu salīdzināmības drošumu. Tādēļ nevienā</w:t>
      </w:r>
      <w:r w:rsidR="00C01DD4">
        <w:rPr>
          <w:lang w:eastAsia="lv-LV"/>
        </w:rPr>
        <w:t xml:space="preserve"> gadījumā nepielāgoti nozares vidējie atskaišu dati paši par sevi nenodrošina nesaistītu pušu darījumu principam atbilstošus apstākļus.</w:t>
      </w:r>
    </w:p>
    <w:p w14:paraId="242B088A" w14:textId="4FED4245" w:rsidR="000F129A" w:rsidRDefault="00C66D45" w:rsidP="00214BD7">
      <w:pPr>
        <w:spacing w:line="276" w:lineRule="auto"/>
        <w:ind w:firstLine="567"/>
        <w:jc w:val="both"/>
        <w:rPr>
          <w:lang w:eastAsia="lv-LV"/>
        </w:rPr>
      </w:pPr>
      <w:r>
        <w:rPr>
          <w:lang w:eastAsia="lv-LV"/>
        </w:rPr>
        <w:lastRenderedPageBreak/>
        <w:t xml:space="preserve">Kā redzams, Vadlīniju 1.35.punkts runā par vairākām transfertcenu metodēm un </w:t>
      </w:r>
      <w:r w:rsidR="00D43ACB">
        <w:rPr>
          <w:lang w:eastAsia="lv-LV"/>
        </w:rPr>
        <w:t>uz</w:t>
      </w:r>
      <w:r>
        <w:rPr>
          <w:lang w:eastAsia="lv-LV"/>
        </w:rPr>
        <w:t>sver nepieciešamību</w:t>
      </w:r>
      <w:r w:rsidR="00D43ACB">
        <w:rPr>
          <w:lang w:eastAsia="lv-LV"/>
        </w:rPr>
        <w:t>, pirmkārt,</w:t>
      </w:r>
      <w:r>
        <w:rPr>
          <w:lang w:eastAsia="lv-LV"/>
        </w:rPr>
        <w:t xml:space="preserve"> </w:t>
      </w:r>
      <w:r w:rsidR="0000412C">
        <w:rPr>
          <w:lang w:eastAsia="lv-LV"/>
        </w:rPr>
        <w:t xml:space="preserve">salīdzināt salīdzināmās situācijas un </w:t>
      </w:r>
      <w:r>
        <w:rPr>
          <w:lang w:eastAsia="lv-LV"/>
        </w:rPr>
        <w:t xml:space="preserve">ņemt vērā atšķirības, kas var būtiski ietekmēt salīdzinājumu, </w:t>
      </w:r>
      <w:r w:rsidR="00D43ACB">
        <w:rPr>
          <w:lang w:eastAsia="lv-LV"/>
        </w:rPr>
        <w:t xml:space="preserve">otrkārt, </w:t>
      </w:r>
      <w:r>
        <w:rPr>
          <w:lang w:eastAsia="lv-LV"/>
        </w:rPr>
        <w:t>uzlabot salīdzināmības drošumu, veicot iespējamos pielāgojumus.</w:t>
      </w:r>
      <w:r w:rsidR="006E0352">
        <w:rPr>
          <w:lang w:eastAsia="lv-LV"/>
        </w:rPr>
        <w:t xml:space="preserve"> </w:t>
      </w:r>
      <w:r w:rsidR="00D43ACB">
        <w:rPr>
          <w:lang w:eastAsia="lv-LV"/>
        </w:rPr>
        <w:t xml:space="preserve">Tātad, piemērojot salīdzināmo </w:t>
      </w:r>
      <w:r w:rsidR="0000412C">
        <w:rPr>
          <w:lang w:eastAsia="lv-LV"/>
        </w:rPr>
        <w:t>ne</w:t>
      </w:r>
      <w:r w:rsidR="00D43ACB">
        <w:rPr>
          <w:lang w:eastAsia="lv-LV"/>
        </w:rPr>
        <w:t>kontrolēto cenu metodi, primāri ir noskaidrojams, vai</w:t>
      </w:r>
      <w:r w:rsidR="00A12079">
        <w:rPr>
          <w:lang w:eastAsia="lv-LV"/>
        </w:rPr>
        <w:t xml:space="preserve"> pārbaudāmais darījums starp saistītajiem uzņēmumiem ir salīdzināms ar darījumu starp neatkarīgajiem uzņēmumiem un vai</w:t>
      </w:r>
      <w:r w:rsidR="00D43ACB">
        <w:rPr>
          <w:lang w:eastAsia="lv-LV"/>
        </w:rPr>
        <w:t xml:space="preserve"> ir identificējamas atšķirības</w:t>
      </w:r>
      <w:r w:rsidR="00A12079">
        <w:rPr>
          <w:lang w:eastAsia="lv-LV"/>
        </w:rPr>
        <w:t xml:space="preserve">, kas </w:t>
      </w:r>
      <w:r w:rsidR="0057527E">
        <w:rPr>
          <w:lang w:eastAsia="lv-LV"/>
        </w:rPr>
        <w:t xml:space="preserve">būtiski </w:t>
      </w:r>
      <w:r w:rsidR="00A12079">
        <w:rPr>
          <w:lang w:eastAsia="lv-LV"/>
        </w:rPr>
        <w:t>ietekmē salīdzināmības drošumu un ticamību.</w:t>
      </w:r>
      <w:r w:rsidR="000F129A">
        <w:rPr>
          <w:lang w:eastAsia="lv-LV"/>
        </w:rPr>
        <w:t xml:space="preserve"> Ja šādas atšķirības ir identificējamas, nepieciešams veikt pielāgojumus, </w:t>
      </w:r>
      <w:r w:rsidR="0000412C">
        <w:rPr>
          <w:lang w:eastAsia="lv-LV"/>
        </w:rPr>
        <w:t xml:space="preserve">ja tas ir iespējams, </w:t>
      </w:r>
      <w:r w:rsidR="000F129A">
        <w:rPr>
          <w:lang w:eastAsia="lv-LV"/>
        </w:rPr>
        <w:t xml:space="preserve">lai </w:t>
      </w:r>
      <w:r w:rsidR="0057527E">
        <w:rPr>
          <w:lang w:eastAsia="lv-LV"/>
        </w:rPr>
        <w:t xml:space="preserve">tādējādi </w:t>
      </w:r>
      <w:r w:rsidR="000F129A">
        <w:rPr>
          <w:lang w:eastAsia="lv-LV"/>
        </w:rPr>
        <w:t>izslēgtu identificēto atšķirību būtisku ietekmi.</w:t>
      </w:r>
    </w:p>
    <w:p w14:paraId="36124641" w14:textId="77777777" w:rsidR="009A3B43" w:rsidRPr="005E2C45" w:rsidRDefault="009A3B43" w:rsidP="00214BD7">
      <w:pPr>
        <w:spacing w:line="276" w:lineRule="auto"/>
        <w:ind w:firstLine="567"/>
        <w:jc w:val="both"/>
        <w:rPr>
          <w:lang w:eastAsia="lv-LV"/>
        </w:rPr>
      </w:pPr>
    </w:p>
    <w:p w14:paraId="206B74EB" w14:textId="17E9D237" w:rsidR="00F21C36" w:rsidRDefault="00DA6F89" w:rsidP="00214BD7">
      <w:pPr>
        <w:spacing w:line="276" w:lineRule="auto"/>
        <w:ind w:firstLine="567"/>
        <w:jc w:val="both"/>
        <w:rPr>
          <w:lang w:eastAsia="lv-LV"/>
        </w:rPr>
      </w:pPr>
      <w:r w:rsidRPr="00DE321F">
        <w:rPr>
          <w:lang w:eastAsia="lv-LV"/>
        </w:rPr>
        <w:t>[</w:t>
      </w:r>
      <w:r w:rsidR="004E1BD0">
        <w:rPr>
          <w:lang w:eastAsia="lv-LV"/>
        </w:rPr>
        <w:t>10</w:t>
      </w:r>
      <w:r w:rsidRPr="00DE321F">
        <w:rPr>
          <w:lang w:eastAsia="lv-LV"/>
        </w:rPr>
        <w:t>] </w:t>
      </w:r>
      <w:r w:rsidR="00F21C36">
        <w:rPr>
          <w:lang w:eastAsia="lv-LV"/>
        </w:rPr>
        <w:t xml:space="preserve">Tas izriet arī no </w:t>
      </w:r>
      <w:r w:rsidR="00101FD0">
        <w:rPr>
          <w:lang w:eastAsia="lv-LV"/>
        </w:rPr>
        <w:t>turpmāk norādītā</w:t>
      </w:r>
      <w:r w:rsidR="00F21C36">
        <w:rPr>
          <w:lang w:eastAsia="lv-LV"/>
        </w:rPr>
        <w:t>.</w:t>
      </w:r>
    </w:p>
    <w:p w14:paraId="6E1805E1" w14:textId="526BAFE6" w:rsidR="008B2B80" w:rsidRDefault="00F21C36" w:rsidP="00214BD7">
      <w:pPr>
        <w:spacing w:line="276" w:lineRule="auto"/>
        <w:ind w:firstLine="567"/>
        <w:jc w:val="both"/>
        <w:rPr>
          <w:lang w:eastAsia="lv-LV"/>
        </w:rPr>
      </w:pPr>
      <w:r>
        <w:rPr>
          <w:lang w:eastAsia="lv-LV"/>
        </w:rPr>
        <w:t>Proti, s</w:t>
      </w:r>
      <w:r w:rsidR="008B2B80">
        <w:rPr>
          <w:lang w:eastAsia="lv-LV"/>
        </w:rPr>
        <w:t xml:space="preserve">askaņā ar noteikumu Nr. 556 </w:t>
      </w:r>
      <w:r w:rsidR="008B2B80" w:rsidRPr="00961AF1">
        <w:rPr>
          <w:lang w:eastAsia="lv-LV"/>
        </w:rPr>
        <w:t>84.punkt</w:t>
      </w:r>
      <w:r w:rsidR="008B2B80">
        <w:rPr>
          <w:lang w:eastAsia="lv-LV"/>
        </w:rPr>
        <w:t xml:space="preserve">u salīdzināmo nekontrolēto cenu metode ir </w:t>
      </w:r>
      <w:r w:rsidR="008B2B80" w:rsidRPr="00961AF1">
        <w:rPr>
          <w:lang w:eastAsia="lv-LV"/>
        </w:rPr>
        <w:t xml:space="preserve">metode, </w:t>
      </w:r>
      <w:r w:rsidR="008B2B80" w:rsidRPr="0019695F">
        <w:rPr>
          <w:lang w:eastAsia="lv-LV"/>
        </w:rPr>
        <w:t xml:space="preserve">kuras ietvaros salīdzina saistītu uzņēmumu savstarpējā darījumā piemēroto cenu ar saistīta uzņēmuma un ar to nesaistīta komersanta salīdzināma darījuma cenu vai ar citu nesaistītu komersanta salīdzināma darījuma cenu salīdzināmos apstākļos </w:t>
      </w:r>
      <w:r w:rsidR="008B2B80" w:rsidRPr="00961AF1">
        <w:rPr>
          <w:lang w:eastAsia="lv-LV"/>
        </w:rPr>
        <w:t>(84.1.apakšpunkts</w:t>
      </w:r>
      <w:r w:rsidR="008B2B80" w:rsidRPr="0019695F">
        <w:rPr>
          <w:lang w:eastAsia="lv-LV"/>
        </w:rPr>
        <w:t>)</w:t>
      </w:r>
      <w:r w:rsidR="008B2B80" w:rsidRPr="00961AF1">
        <w:rPr>
          <w:lang w:eastAsia="lv-LV"/>
        </w:rPr>
        <w:t xml:space="preserve">. Šo metodi </w:t>
      </w:r>
      <w:r w:rsidR="008B2B80" w:rsidRPr="0019695F">
        <w:rPr>
          <w:lang w:eastAsia="lv-LV"/>
        </w:rPr>
        <w:t>piemēro, ja tiek veikti darījumi ar precēm vai pakalpojumiem, kuru cenas ir salīdzināmas ar nesaistītu komersantu darījumu cenām, vai ja ir iespējams veikt pietiekami precīzas korekcijas, lai izslēgtu darījumu atšķirību būtisku ietekmi uz darījuma vērtību vai preces, produkta vai pakalpojuma cenu</w:t>
      </w:r>
      <w:r w:rsidR="008B2B80" w:rsidRPr="00961AF1">
        <w:rPr>
          <w:lang w:eastAsia="lv-LV"/>
        </w:rPr>
        <w:t xml:space="preserve"> (84.2.apakšpunkts)</w:t>
      </w:r>
      <w:r w:rsidR="008B2B80" w:rsidRPr="0019695F">
        <w:rPr>
          <w:lang w:eastAsia="lv-LV"/>
        </w:rPr>
        <w:t>.</w:t>
      </w:r>
    </w:p>
    <w:p w14:paraId="372EEF34" w14:textId="4D149D5A" w:rsidR="0033428D" w:rsidRDefault="008B2B80" w:rsidP="00214BD7">
      <w:pPr>
        <w:spacing w:line="276" w:lineRule="auto"/>
        <w:ind w:firstLine="567"/>
        <w:jc w:val="both"/>
        <w:rPr>
          <w:lang w:eastAsia="lv-LV"/>
        </w:rPr>
      </w:pPr>
      <w:r w:rsidRPr="00101FD0">
        <w:rPr>
          <w:lang w:eastAsia="lv-LV"/>
        </w:rPr>
        <w:t xml:space="preserve">Tātad </w:t>
      </w:r>
      <w:r w:rsidR="0078717C" w:rsidRPr="00101FD0">
        <w:rPr>
          <w:lang w:eastAsia="lv-LV"/>
        </w:rPr>
        <w:t>arī</w:t>
      </w:r>
      <w:r w:rsidR="00101FD0" w:rsidRPr="00101FD0">
        <w:rPr>
          <w:lang w:eastAsia="lv-LV"/>
        </w:rPr>
        <w:t xml:space="preserve"> </w:t>
      </w:r>
      <w:r w:rsidR="002F02B9">
        <w:rPr>
          <w:lang w:eastAsia="lv-LV"/>
        </w:rPr>
        <w:t>noteikumos Nr. 556</w:t>
      </w:r>
      <w:r w:rsidR="00101FD0" w:rsidRPr="00101FD0">
        <w:rPr>
          <w:lang w:eastAsia="lv-LV"/>
        </w:rPr>
        <w:t xml:space="preserve"> </w:t>
      </w:r>
      <w:r w:rsidR="0078717C" w:rsidRPr="00101FD0">
        <w:rPr>
          <w:lang w:eastAsia="lv-LV"/>
        </w:rPr>
        <w:t>norādīts</w:t>
      </w:r>
      <w:r w:rsidR="0078717C">
        <w:rPr>
          <w:lang w:eastAsia="lv-LV"/>
        </w:rPr>
        <w:t xml:space="preserve">, ka salīdzināmo nekontrolēto cenu </w:t>
      </w:r>
      <w:r>
        <w:rPr>
          <w:lang w:eastAsia="lv-LV"/>
        </w:rPr>
        <w:t xml:space="preserve">metodes piemērošanai </w:t>
      </w:r>
      <w:r w:rsidR="009B1479" w:rsidRPr="00DE321F">
        <w:rPr>
          <w:lang w:eastAsia="lv-LV"/>
        </w:rPr>
        <w:t>darījumiem starp saistītajiem uzņēmumiem un darījumiem starp neatkarīgajiem uzņēmumiem ir jābūt salīdzināmiem.</w:t>
      </w:r>
    </w:p>
    <w:p w14:paraId="44AEC9F6" w14:textId="33B0E38F" w:rsidR="00E0284E" w:rsidRPr="00B84949" w:rsidRDefault="00DE321F" w:rsidP="00214BD7">
      <w:pPr>
        <w:spacing w:line="276" w:lineRule="auto"/>
        <w:ind w:firstLine="567"/>
        <w:jc w:val="both"/>
        <w:rPr>
          <w:lang w:eastAsia="lv-LV"/>
        </w:rPr>
      </w:pPr>
      <w:r>
        <w:rPr>
          <w:lang w:eastAsia="lv-LV"/>
        </w:rPr>
        <w:t>Note</w:t>
      </w:r>
      <w:r w:rsidR="00FD65CE" w:rsidRPr="00DE321F">
        <w:rPr>
          <w:lang w:eastAsia="lv-LV"/>
        </w:rPr>
        <w:t xml:space="preserve">ikumu </w:t>
      </w:r>
      <w:r w:rsidR="008B2B80">
        <w:rPr>
          <w:lang w:eastAsia="lv-LV"/>
        </w:rPr>
        <w:t xml:space="preserve">Nr. 556 </w:t>
      </w:r>
      <w:r w:rsidR="00FD65CE" w:rsidRPr="00DE321F">
        <w:rPr>
          <w:lang w:eastAsia="lv-LV"/>
        </w:rPr>
        <w:t>91.punkt</w:t>
      </w:r>
      <w:r>
        <w:rPr>
          <w:lang w:eastAsia="lv-LV"/>
        </w:rPr>
        <w:t xml:space="preserve">s noteic: </w:t>
      </w:r>
      <w:r w:rsidR="003900C8" w:rsidRPr="00DE321F">
        <w:rPr>
          <w:lang w:eastAsia="lv-LV"/>
        </w:rPr>
        <w:t>p</w:t>
      </w:r>
      <w:r w:rsidR="003900C8" w:rsidRPr="00DE321F">
        <w:rPr>
          <w:shd w:val="clear" w:color="auto" w:fill="FFFFFF"/>
        </w:rPr>
        <w:t>iemērojot preču (produktu, pakalpojumu) tirgus cenas</w:t>
      </w:r>
      <w:r w:rsidR="003900C8" w:rsidRPr="00E0284E">
        <w:rPr>
          <w:shd w:val="clear" w:color="auto" w:fill="FFFFFF"/>
        </w:rPr>
        <w:t xml:space="preserve"> vai darījuma vērtības noteikšanas metodes, l</w:t>
      </w:r>
      <w:r w:rsidR="00D068CA" w:rsidRPr="00E0284E">
        <w:rPr>
          <w:shd w:val="clear" w:color="auto" w:fill="FFFFFF"/>
        </w:rPr>
        <w:t>a</w:t>
      </w:r>
      <w:r w:rsidR="00FD65CE" w:rsidRPr="00FD65CE">
        <w:rPr>
          <w:lang w:eastAsia="lv-LV"/>
        </w:rPr>
        <w:t>i noteiktu salīdzināmus darījumus, nosaka</w:t>
      </w:r>
      <w:r w:rsidR="00E0284E">
        <w:rPr>
          <w:lang w:eastAsia="lv-LV"/>
        </w:rPr>
        <w:t>:</w:t>
      </w:r>
      <w:r w:rsidR="00FD65CE" w:rsidRPr="00FD65CE">
        <w:rPr>
          <w:lang w:eastAsia="lv-LV"/>
        </w:rPr>
        <w:t xml:space="preserve"> saistītā uzņēmuma darījumā vai darījumu virknē </w:t>
      </w:r>
      <w:r w:rsidR="00FD65CE" w:rsidRPr="00FD65CE">
        <w:rPr>
          <w:lang w:eastAsia="lv-LV"/>
        </w:rPr>
        <w:lastRenderedPageBreak/>
        <w:t>veikto funkciju un ar tām saistīto risku salīdzināmību ar attiecīgajā komercdarbības nozarē un līdzīgā ģeogrāfiskajā tirgū esošā neatkarīgā saimnieciskās darbības veicēja līdzīgos darījumos veiktajām funkcijām un ar tām saistītajiem riskiem un izmantotajiem aktīviem, kā arī citus darījumu cenu ietekmējošus faktorus</w:t>
      </w:r>
      <w:r w:rsidR="00FD65CE" w:rsidRPr="00E0284E">
        <w:rPr>
          <w:lang w:eastAsia="lv-LV"/>
        </w:rPr>
        <w:t xml:space="preserve"> (91.1.apakšpunkts), </w:t>
      </w:r>
      <w:r w:rsidR="00FD65CE" w:rsidRPr="00FD65CE">
        <w:rPr>
          <w:lang w:eastAsia="lv-LV"/>
        </w:rPr>
        <w:t>darījuma priekšmeta salīdzināmību, tas ir, saistīta uzņēmuma piegādāto vai iegādāto preču (produktu) vai sniegto vai saņemto pakalpojumu salīdzinājumu ar nesaistītu komersantu attiecīgo darījumu priekšmetu</w:t>
      </w:r>
      <w:r w:rsidR="00FD65CE" w:rsidRPr="00B84949">
        <w:rPr>
          <w:lang w:eastAsia="lv-LV"/>
        </w:rPr>
        <w:t xml:space="preserve"> (91.2.apakšpunkts)</w:t>
      </w:r>
      <w:r w:rsidR="00FD65CE" w:rsidRPr="00FD65CE">
        <w:rPr>
          <w:lang w:eastAsia="lv-LV"/>
        </w:rPr>
        <w:t>.</w:t>
      </w:r>
      <w:r w:rsidR="007B14F8" w:rsidRPr="00B84949">
        <w:rPr>
          <w:lang w:eastAsia="lv-LV"/>
        </w:rPr>
        <w:t xml:space="preserve"> </w:t>
      </w:r>
    </w:p>
    <w:p w14:paraId="76CFDBD1" w14:textId="64CD7BD8" w:rsidR="00FD65CE" w:rsidRPr="00FD65CE" w:rsidRDefault="008B2B80" w:rsidP="00214BD7">
      <w:pPr>
        <w:spacing w:line="276" w:lineRule="auto"/>
        <w:ind w:firstLine="567"/>
        <w:jc w:val="both"/>
        <w:rPr>
          <w:lang w:eastAsia="lv-LV"/>
        </w:rPr>
      </w:pPr>
      <w:r w:rsidRPr="00B84949">
        <w:rPr>
          <w:lang w:eastAsia="lv-LV"/>
        </w:rPr>
        <w:t>Minētajā tiesību normā ir noteikti vairāki salīdzināmības faktori</w:t>
      </w:r>
      <w:r w:rsidR="00B84949" w:rsidRPr="00B84949">
        <w:rPr>
          <w:lang w:eastAsia="lv-LV"/>
        </w:rPr>
        <w:t xml:space="preserve">, tostarp ir paredzēta </w:t>
      </w:r>
      <w:r w:rsidR="007B14F8" w:rsidRPr="00B84949">
        <w:rPr>
          <w:lang w:eastAsia="lv-LV"/>
        </w:rPr>
        <w:t>risku salīdzināmīb</w:t>
      </w:r>
      <w:r w:rsidR="00E0284E" w:rsidRPr="00B84949">
        <w:rPr>
          <w:lang w:eastAsia="lv-LV"/>
        </w:rPr>
        <w:t>a</w:t>
      </w:r>
      <w:r w:rsidR="007B14F8" w:rsidRPr="00B84949">
        <w:rPr>
          <w:lang w:eastAsia="lv-LV"/>
        </w:rPr>
        <w:t>.</w:t>
      </w:r>
    </w:p>
    <w:p w14:paraId="790DAEF1" w14:textId="77777777" w:rsidR="00A269A3" w:rsidRPr="00B84949" w:rsidRDefault="00FD65CE" w:rsidP="00214BD7">
      <w:pPr>
        <w:spacing w:line="276" w:lineRule="auto"/>
        <w:ind w:firstLine="567"/>
        <w:jc w:val="both"/>
        <w:rPr>
          <w:shd w:val="clear" w:color="auto" w:fill="FFFFFF"/>
        </w:rPr>
      </w:pPr>
      <w:r w:rsidRPr="00B84949">
        <w:rPr>
          <w:shd w:val="clear" w:color="auto" w:fill="FFFFFF"/>
        </w:rPr>
        <w:t>Noteikumu 92.2.apakšpunkts noteic, ka salīdzināmie riski atkarībā no veiktajām funkcijām var būt tirgus riski, kreditoru un debitoru riski, zaudējumu riski, kas saistīti ar preču krājumu uzglabāšanu, valūtas svārstību riski un zaudējumu riski, kas saistīti ar ražošanas iekārtu nolietošanos vai neveiksmīgu ieguldījumu konkrētā produkta pētniecības un attīstības projektā, apdrošināšanas un garantiju riski un citi riski</w:t>
      </w:r>
      <w:r w:rsidR="007B14F8" w:rsidRPr="00B84949">
        <w:rPr>
          <w:shd w:val="clear" w:color="auto" w:fill="FFFFFF"/>
        </w:rPr>
        <w:t>.</w:t>
      </w:r>
      <w:r w:rsidR="00A269A3" w:rsidRPr="00B84949">
        <w:rPr>
          <w:shd w:val="clear" w:color="auto" w:fill="FFFFFF"/>
        </w:rPr>
        <w:t xml:space="preserve"> </w:t>
      </w:r>
    </w:p>
    <w:p w14:paraId="298747D0" w14:textId="358D7E15" w:rsidR="00A269A3" w:rsidRDefault="00E0284E" w:rsidP="00214BD7">
      <w:pPr>
        <w:spacing w:line="276" w:lineRule="auto"/>
        <w:ind w:firstLine="567"/>
        <w:jc w:val="both"/>
        <w:rPr>
          <w:lang w:eastAsia="lv-LV"/>
        </w:rPr>
      </w:pPr>
      <w:r w:rsidRPr="00B84949">
        <w:rPr>
          <w:lang w:eastAsia="lv-LV"/>
        </w:rPr>
        <w:t xml:space="preserve">Noteikumu </w:t>
      </w:r>
      <w:r w:rsidR="00A269A3" w:rsidRPr="00A269A3">
        <w:rPr>
          <w:lang w:eastAsia="lv-LV"/>
        </w:rPr>
        <w:t>92.3.</w:t>
      </w:r>
      <w:r w:rsidR="00A269A3" w:rsidRPr="00B84949">
        <w:rPr>
          <w:lang w:eastAsia="lv-LV"/>
        </w:rPr>
        <w:t>1. un 92.3.2.apakšpunkts noteic, ka</w:t>
      </w:r>
      <w:r w:rsidR="003E1A8B" w:rsidRPr="00B84949">
        <w:rPr>
          <w:lang w:eastAsia="lv-LV"/>
        </w:rPr>
        <w:t>, p</w:t>
      </w:r>
      <w:r w:rsidR="003E1A8B" w:rsidRPr="00B84949">
        <w:rPr>
          <w:shd w:val="clear" w:color="auto" w:fill="FFFFFF"/>
        </w:rPr>
        <w:t>iemērojot</w:t>
      </w:r>
      <w:r w:rsidR="008B2B80" w:rsidRPr="00B84949">
        <w:rPr>
          <w:shd w:val="clear" w:color="auto" w:fill="FFFFFF"/>
        </w:rPr>
        <w:t xml:space="preserve"> citstarp</w:t>
      </w:r>
      <w:r w:rsidR="003E1A8B" w:rsidRPr="00B84949">
        <w:rPr>
          <w:shd w:val="clear" w:color="auto" w:fill="FFFFFF"/>
        </w:rPr>
        <w:t xml:space="preserve"> </w:t>
      </w:r>
      <w:r w:rsidR="00212F0A">
        <w:rPr>
          <w:shd w:val="clear" w:color="auto" w:fill="FFFFFF"/>
        </w:rPr>
        <w:t xml:space="preserve">salīdzināmo nekontrolēto cenu </w:t>
      </w:r>
      <w:r w:rsidR="003E1A8B" w:rsidRPr="00B84949">
        <w:rPr>
          <w:shd w:val="clear" w:color="auto" w:fill="FFFFFF"/>
        </w:rPr>
        <w:t>metod</w:t>
      </w:r>
      <w:r w:rsidR="008B2B80" w:rsidRPr="00B84949">
        <w:rPr>
          <w:shd w:val="clear" w:color="auto" w:fill="FFFFFF"/>
        </w:rPr>
        <w:t>i</w:t>
      </w:r>
      <w:r w:rsidR="003E1A8B" w:rsidRPr="00B84949">
        <w:rPr>
          <w:shd w:val="clear" w:color="auto" w:fill="FFFFFF"/>
        </w:rPr>
        <w:t xml:space="preserve">, </w:t>
      </w:r>
      <w:r w:rsidR="00A269A3" w:rsidRPr="00B84949">
        <w:rPr>
          <w:lang w:eastAsia="lv-LV"/>
        </w:rPr>
        <w:t>p</w:t>
      </w:r>
      <w:r w:rsidR="00A269A3" w:rsidRPr="00A269A3">
        <w:rPr>
          <w:lang w:eastAsia="lv-LV"/>
        </w:rPr>
        <w:t>ar salīdzināmo darījumu vai komersantu izvēlas, ja ir spēkā vismaz viens no šādiem nosacījumiem: neviena atšķirība (ja tāda ir) starp salīdzināmiem darījumiem vai starp komersantiem, kas veic šos darījumus, nevar būtiski ietekmēt cenu neierobežotas konkurences apstākļos; var veikt matemātiskus aprēķinus un pieņemami precīzas finanšu datu korekcijas, lai izslēgtu šādu salīdzināmajos darījumos konstatēto atšķirību būtisku ietekmi.</w:t>
      </w:r>
    </w:p>
    <w:p w14:paraId="036626D5" w14:textId="65C3D0BC" w:rsidR="00212F0A" w:rsidRDefault="006C4806" w:rsidP="00214BD7">
      <w:pPr>
        <w:spacing w:line="276" w:lineRule="auto"/>
        <w:ind w:firstLine="567"/>
        <w:jc w:val="both"/>
        <w:rPr>
          <w:lang w:eastAsia="lv-LV"/>
        </w:rPr>
      </w:pPr>
      <w:r>
        <w:rPr>
          <w:lang w:eastAsia="lv-LV"/>
        </w:rPr>
        <w:t xml:space="preserve">No minētajām </w:t>
      </w:r>
      <w:r w:rsidRPr="00E0284E">
        <w:rPr>
          <w:lang w:eastAsia="lv-LV"/>
        </w:rPr>
        <w:t>tiesību normām</w:t>
      </w:r>
      <w:r w:rsidR="00F229EC">
        <w:rPr>
          <w:lang w:eastAsia="lv-LV"/>
        </w:rPr>
        <w:t>, pirmkārt,</w:t>
      </w:r>
      <w:r w:rsidRPr="00E0284E">
        <w:rPr>
          <w:lang w:eastAsia="lv-LV"/>
        </w:rPr>
        <w:t xml:space="preserve"> </w:t>
      </w:r>
      <w:r>
        <w:rPr>
          <w:lang w:eastAsia="lv-LV"/>
        </w:rPr>
        <w:t>izriet, ka</w:t>
      </w:r>
      <w:r w:rsidR="00F229EC">
        <w:rPr>
          <w:lang w:eastAsia="lv-LV"/>
        </w:rPr>
        <w:t xml:space="preserve"> </w:t>
      </w:r>
      <w:r>
        <w:rPr>
          <w:lang w:eastAsia="lv-LV"/>
        </w:rPr>
        <w:t>ir jāveic u</w:t>
      </w:r>
      <w:r w:rsidRPr="00E0284E">
        <w:rPr>
          <w:lang w:eastAsia="lv-LV"/>
        </w:rPr>
        <w:t>zņēmuma funkciju un ar to saistīto risku, izmantoto aktīvu un darījuma priekšmeta, kā arī citu darījuma cenu ietekmējošo faktoru salīdzināmā analīze. Atbilstoši Vadlīnij</w:t>
      </w:r>
      <w:r>
        <w:rPr>
          <w:lang w:eastAsia="lv-LV"/>
        </w:rPr>
        <w:t>ām</w:t>
      </w:r>
      <w:r w:rsidR="00212F0A">
        <w:rPr>
          <w:lang w:eastAsia="lv-LV"/>
        </w:rPr>
        <w:t xml:space="preserve"> </w:t>
      </w:r>
      <w:r w:rsidRPr="00E0284E">
        <w:rPr>
          <w:shd w:val="clear" w:color="auto" w:fill="FFFFFF"/>
        </w:rPr>
        <w:t xml:space="preserve">par cenu ietekmējošiem faktoriem uzskatāmi arī līgumiskie </w:t>
      </w:r>
      <w:r w:rsidRPr="00E0284E">
        <w:rPr>
          <w:shd w:val="clear" w:color="auto" w:fill="FFFFFF"/>
        </w:rPr>
        <w:lastRenderedPageBreak/>
        <w:t>nosacījumi, ekonomiskie apstākļi un biznesa stratēģija</w:t>
      </w:r>
      <w:r>
        <w:rPr>
          <w:shd w:val="clear" w:color="auto" w:fill="FFFFFF"/>
        </w:rPr>
        <w:t xml:space="preserve"> (</w:t>
      </w:r>
      <w:r w:rsidRPr="00E0284E">
        <w:rPr>
          <w:shd w:val="clear" w:color="auto" w:fill="FFFFFF"/>
        </w:rPr>
        <w:t>1.33.</w:t>
      </w:r>
      <w:r w:rsidR="00FA066F">
        <w:rPr>
          <w:shd w:val="clear" w:color="auto" w:fill="FFFFFF"/>
        </w:rPr>
        <w:t>–</w:t>
      </w:r>
      <w:r w:rsidRPr="00E0284E">
        <w:rPr>
          <w:shd w:val="clear" w:color="auto" w:fill="FFFFFF"/>
        </w:rPr>
        <w:t>1.63</w:t>
      </w:r>
      <w:r w:rsidRPr="00A97CE8">
        <w:rPr>
          <w:shd w:val="clear" w:color="auto" w:fill="FFFFFF"/>
        </w:rPr>
        <w:t>.</w:t>
      </w:r>
      <w:r w:rsidR="00101FD0" w:rsidRPr="00A97CE8">
        <w:rPr>
          <w:shd w:val="clear" w:color="auto" w:fill="FFFFFF"/>
        </w:rPr>
        <w:t>punkts</w:t>
      </w:r>
      <w:r w:rsidRPr="00A97CE8">
        <w:rPr>
          <w:shd w:val="clear" w:color="auto" w:fill="FFFFFF"/>
        </w:rPr>
        <w:t xml:space="preserve">). </w:t>
      </w:r>
      <w:r w:rsidR="00F648FE" w:rsidRPr="00A97CE8">
        <w:rPr>
          <w:shd w:val="clear" w:color="auto" w:fill="FFFFFF"/>
        </w:rPr>
        <w:t>T</w:t>
      </w:r>
      <w:r w:rsidRPr="00A97CE8">
        <w:rPr>
          <w:shd w:val="clear" w:color="auto" w:fill="FFFFFF"/>
        </w:rPr>
        <w:t xml:space="preserve">as nozīmē, ka, piemērojot </w:t>
      </w:r>
      <w:r w:rsidR="00B84949" w:rsidRPr="00A97CE8">
        <w:rPr>
          <w:shd w:val="clear" w:color="auto" w:fill="FFFFFF"/>
        </w:rPr>
        <w:t xml:space="preserve">salīdzināmo nekontrolēto cenu </w:t>
      </w:r>
      <w:r w:rsidRPr="00A97CE8">
        <w:rPr>
          <w:shd w:val="clear" w:color="auto" w:fill="FFFFFF"/>
        </w:rPr>
        <w:t>metodi, nepieciešams salīdzināt</w:t>
      </w:r>
      <w:r w:rsidRPr="00E0284E">
        <w:rPr>
          <w:shd w:val="clear" w:color="auto" w:fill="FFFFFF"/>
        </w:rPr>
        <w:t xml:space="preserve"> virkni darījumu</w:t>
      </w:r>
      <w:r w:rsidR="00434A67">
        <w:rPr>
          <w:shd w:val="clear" w:color="auto" w:fill="FFFFFF"/>
        </w:rPr>
        <w:t>s</w:t>
      </w:r>
      <w:r w:rsidRPr="00E0284E">
        <w:rPr>
          <w:shd w:val="clear" w:color="auto" w:fill="FFFFFF"/>
        </w:rPr>
        <w:t xml:space="preserve"> raksturojošo elementu.</w:t>
      </w:r>
      <w:r w:rsidR="00F648FE">
        <w:rPr>
          <w:shd w:val="clear" w:color="auto" w:fill="FFFFFF"/>
        </w:rPr>
        <w:t xml:space="preserve"> Otrkārt, </w:t>
      </w:r>
      <w:r w:rsidR="00F229EC">
        <w:rPr>
          <w:shd w:val="clear" w:color="auto" w:fill="FFFFFF"/>
        </w:rPr>
        <w:t>m</w:t>
      </w:r>
      <w:r w:rsidR="00585DFB" w:rsidRPr="00585DFB">
        <w:rPr>
          <w:lang w:eastAsia="lv-LV"/>
        </w:rPr>
        <w:t>inētajās tiesību normās</w:t>
      </w:r>
      <w:r w:rsidR="00F648FE">
        <w:rPr>
          <w:lang w:eastAsia="lv-LV"/>
        </w:rPr>
        <w:t xml:space="preserve"> norādīts uz </w:t>
      </w:r>
      <w:r w:rsidR="00585DFB" w:rsidRPr="00585DFB">
        <w:rPr>
          <w:lang w:eastAsia="lv-LV"/>
        </w:rPr>
        <w:t xml:space="preserve">korekciju un matemātisku aprēķinu veikšanu, lai </w:t>
      </w:r>
      <w:r w:rsidR="00057482">
        <w:rPr>
          <w:lang w:eastAsia="lv-LV"/>
        </w:rPr>
        <w:t xml:space="preserve">uzlabotu salīdzināšanas ticamību un </w:t>
      </w:r>
      <w:r w:rsidR="00585DFB" w:rsidRPr="00585DFB">
        <w:rPr>
          <w:lang w:eastAsia="lv-LV"/>
        </w:rPr>
        <w:t>izslēgtu salīdzināmajos darījumos konstatēto atšķirību būtisku ietekmi.</w:t>
      </w:r>
    </w:p>
    <w:p w14:paraId="25D7F767" w14:textId="1F90107E" w:rsidR="00BD52D5" w:rsidRDefault="00F648FE" w:rsidP="00214BD7">
      <w:pPr>
        <w:spacing w:line="276" w:lineRule="auto"/>
        <w:ind w:firstLine="567"/>
        <w:jc w:val="both"/>
        <w:rPr>
          <w:lang w:eastAsia="lv-LV"/>
        </w:rPr>
      </w:pPr>
      <w:r>
        <w:rPr>
          <w:lang w:eastAsia="lv-LV"/>
        </w:rPr>
        <w:t>T</w:t>
      </w:r>
      <w:r w:rsidR="0059251B">
        <w:rPr>
          <w:lang w:eastAsia="lv-LV"/>
        </w:rPr>
        <w:t xml:space="preserve">as nozīmē, </w:t>
      </w:r>
      <w:r>
        <w:rPr>
          <w:lang w:eastAsia="lv-LV"/>
        </w:rPr>
        <w:t>ja salīdzināmības analīzes rezultātā salīdzināmajos darījumos tiek konstatēta</w:t>
      </w:r>
      <w:r w:rsidR="00B84949">
        <w:rPr>
          <w:lang w:eastAsia="lv-LV"/>
        </w:rPr>
        <w:t xml:space="preserve">s </w:t>
      </w:r>
      <w:r>
        <w:rPr>
          <w:lang w:eastAsia="lv-LV"/>
        </w:rPr>
        <w:t>atšķirīb</w:t>
      </w:r>
      <w:r w:rsidR="00B84949">
        <w:rPr>
          <w:lang w:eastAsia="lv-LV"/>
        </w:rPr>
        <w:t>as un to</w:t>
      </w:r>
      <w:r>
        <w:rPr>
          <w:lang w:eastAsia="lv-LV"/>
        </w:rPr>
        <w:t xml:space="preserve"> būtiska ietekme, </w:t>
      </w:r>
      <w:r w:rsidR="00BD52D5">
        <w:rPr>
          <w:lang w:eastAsia="lv-LV"/>
        </w:rPr>
        <w:t>ir nepieciešams veikt atbilstošas korekcijas vai matemātiskus aprēķinus. T</w:t>
      </w:r>
      <w:r w:rsidR="0059251B">
        <w:rPr>
          <w:lang w:eastAsia="lv-LV"/>
        </w:rPr>
        <w:t>ātad</w:t>
      </w:r>
      <w:r w:rsidR="00BD52D5">
        <w:rPr>
          <w:lang w:eastAsia="lv-LV"/>
        </w:rPr>
        <w:t xml:space="preserve">, ja salīdzināmības analīzes rezultātā </w:t>
      </w:r>
      <w:r w:rsidR="00212F0A">
        <w:rPr>
          <w:lang w:eastAsia="lv-LV"/>
        </w:rPr>
        <w:t xml:space="preserve">tiek </w:t>
      </w:r>
      <w:r w:rsidR="00BD52D5">
        <w:rPr>
          <w:lang w:eastAsia="lv-LV"/>
        </w:rPr>
        <w:t xml:space="preserve">konstatētas būtiskas atšķirības </w:t>
      </w:r>
      <w:r w:rsidR="00212F0A">
        <w:rPr>
          <w:lang w:eastAsia="lv-LV"/>
        </w:rPr>
        <w:t xml:space="preserve">starp pieteicējas darījumiem un darījumiem, par kuriem informācija ir apkopota Latvijas Bankas statistikas datos, kā arī šo atšķirību </w:t>
      </w:r>
      <w:r w:rsidR="00BD52D5">
        <w:rPr>
          <w:lang w:eastAsia="lv-LV"/>
        </w:rPr>
        <w:t xml:space="preserve">būtiska ietekme, ir </w:t>
      </w:r>
      <w:r w:rsidR="00212F0A">
        <w:rPr>
          <w:lang w:eastAsia="lv-LV"/>
        </w:rPr>
        <w:t xml:space="preserve">veicama </w:t>
      </w:r>
      <w:r w:rsidR="00BD52D5">
        <w:rPr>
          <w:lang w:eastAsia="lv-LV"/>
        </w:rPr>
        <w:t xml:space="preserve">datu korekcija, nevis to tieša </w:t>
      </w:r>
      <w:r w:rsidR="00212F0A">
        <w:rPr>
          <w:lang w:eastAsia="lv-LV"/>
        </w:rPr>
        <w:t>izmantošana</w:t>
      </w:r>
      <w:r w:rsidR="00BD52D5">
        <w:rPr>
          <w:lang w:eastAsia="lv-LV"/>
        </w:rPr>
        <w:t>.</w:t>
      </w:r>
    </w:p>
    <w:p w14:paraId="0D9BFEE6" w14:textId="7FD32DC1" w:rsidR="00F648FE" w:rsidRDefault="00F648FE" w:rsidP="00214BD7">
      <w:pPr>
        <w:spacing w:line="276" w:lineRule="auto"/>
        <w:ind w:firstLine="567"/>
        <w:jc w:val="both"/>
        <w:rPr>
          <w:lang w:eastAsia="lv-LV"/>
        </w:rPr>
      </w:pPr>
    </w:p>
    <w:p w14:paraId="638F3A73" w14:textId="0DAFF63F" w:rsidR="00B84949" w:rsidRDefault="00B84949" w:rsidP="00214BD7">
      <w:pPr>
        <w:spacing w:line="276" w:lineRule="auto"/>
        <w:ind w:firstLine="567"/>
        <w:jc w:val="both"/>
        <w:rPr>
          <w:lang w:eastAsia="lv-LV"/>
        </w:rPr>
      </w:pPr>
      <w:r>
        <w:rPr>
          <w:lang w:eastAsia="lv-LV"/>
        </w:rPr>
        <w:t>[</w:t>
      </w:r>
      <w:r w:rsidR="004E1BD0">
        <w:rPr>
          <w:lang w:eastAsia="lv-LV"/>
        </w:rPr>
        <w:t>11</w:t>
      </w:r>
      <w:r>
        <w:rPr>
          <w:lang w:eastAsia="lv-LV"/>
        </w:rPr>
        <w:t>] </w:t>
      </w:r>
      <w:r w:rsidR="003D338E">
        <w:rPr>
          <w:lang w:eastAsia="lv-LV"/>
        </w:rPr>
        <w:t>Kā jau minēts, n</w:t>
      </w:r>
      <w:r>
        <w:rPr>
          <w:lang w:eastAsia="lv-LV"/>
        </w:rPr>
        <w:t xml:space="preserve">oteikumu Nr. 556 92.2.apakšpunkts </w:t>
      </w:r>
      <w:r w:rsidR="003D338E">
        <w:rPr>
          <w:lang w:eastAsia="lv-LV"/>
        </w:rPr>
        <w:t xml:space="preserve">norāda uz nepieciešamību salīdzināt arī riskus. Šajā tiesību normā pieminēti vairāki salīdzināmie riski, </w:t>
      </w:r>
      <w:r>
        <w:rPr>
          <w:lang w:eastAsia="lv-LV"/>
        </w:rPr>
        <w:t>tostarp</w:t>
      </w:r>
      <w:r w:rsidR="00F936E6">
        <w:rPr>
          <w:lang w:eastAsia="lv-LV"/>
        </w:rPr>
        <w:t xml:space="preserve"> garantiju risk</w:t>
      </w:r>
      <w:r w:rsidR="003D338E">
        <w:rPr>
          <w:lang w:eastAsia="lv-LV"/>
        </w:rPr>
        <w:t>i</w:t>
      </w:r>
      <w:r w:rsidR="00F936E6">
        <w:rPr>
          <w:lang w:eastAsia="lv-LV"/>
        </w:rPr>
        <w:t>. Tātad, vērtējot salīdzināmos</w:t>
      </w:r>
      <w:r w:rsidR="003D338E">
        <w:rPr>
          <w:lang w:eastAsia="lv-LV"/>
        </w:rPr>
        <w:t xml:space="preserve"> aizdevuma</w:t>
      </w:r>
      <w:r w:rsidR="00F936E6">
        <w:rPr>
          <w:lang w:eastAsia="lv-LV"/>
        </w:rPr>
        <w:t xml:space="preserve"> darījumus, nozīme varbūt arī nodrošinājuma esībai.</w:t>
      </w:r>
    </w:p>
    <w:p w14:paraId="13072A15" w14:textId="399152C3" w:rsidR="005519DD" w:rsidRDefault="0080534F" w:rsidP="00214BD7">
      <w:pPr>
        <w:spacing w:line="276" w:lineRule="auto"/>
        <w:ind w:firstLine="567"/>
        <w:jc w:val="both"/>
      </w:pPr>
      <w:r>
        <w:rPr>
          <w:lang w:eastAsia="lv-LV"/>
        </w:rPr>
        <w:t xml:space="preserve">Ņemot vērā apgabaltiesas sprieduma argumentāciju kopumā, var secināt, ka apgabaltiesas ieskatā </w:t>
      </w:r>
      <w:r w:rsidR="00662E3C">
        <w:rPr>
          <w:lang w:eastAsia="lv-LV"/>
        </w:rPr>
        <w:t xml:space="preserve">ar </w:t>
      </w:r>
      <w:r>
        <w:rPr>
          <w:lang w:eastAsia="lv-LV"/>
        </w:rPr>
        <w:t>nodrošinājum</w:t>
      </w:r>
      <w:r w:rsidR="00662E3C">
        <w:rPr>
          <w:lang w:eastAsia="lv-LV"/>
        </w:rPr>
        <w:t xml:space="preserve">u saistītajiem jautājumiem </w:t>
      </w:r>
      <w:r w:rsidR="003D338E">
        <w:rPr>
          <w:lang w:eastAsia="lv-LV"/>
        </w:rPr>
        <w:t>izskatāmajā gadījumā</w:t>
      </w:r>
      <w:r>
        <w:rPr>
          <w:lang w:eastAsia="lv-LV"/>
        </w:rPr>
        <w:t xml:space="preserve"> ir nozīme.</w:t>
      </w:r>
      <w:r w:rsidR="00E526C0">
        <w:rPr>
          <w:lang w:eastAsia="lv-LV"/>
        </w:rPr>
        <w:t xml:space="preserve"> Tai pašā laikā, kā to pamatoti norāda dienests, apg</w:t>
      </w:r>
      <w:r>
        <w:rPr>
          <w:lang w:eastAsia="lv-LV"/>
        </w:rPr>
        <w:t xml:space="preserve">abaltiesa </w:t>
      </w:r>
      <w:r w:rsidR="0059251B">
        <w:rPr>
          <w:lang w:eastAsia="lv-LV"/>
        </w:rPr>
        <w:t>nav pamatojusi un</w:t>
      </w:r>
      <w:r>
        <w:rPr>
          <w:lang w:eastAsia="lv-LV"/>
        </w:rPr>
        <w:t xml:space="preserve"> izskaidrojusi, </w:t>
      </w:r>
      <w:r>
        <w:t xml:space="preserve">cik lielā mērā </w:t>
      </w:r>
      <w:r w:rsidR="00662E3C">
        <w:t>nodrošinājuma esība vai neesība</w:t>
      </w:r>
      <w:r>
        <w:t xml:space="preserve"> ietekmē darījuma tirgus cenas noteikšanu pieteicējas darījumos ar saistītiem uzņēmumiem</w:t>
      </w:r>
      <w:r w:rsidR="00E526C0">
        <w:t>.</w:t>
      </w:r>
      <w:r w:rsidR="003C5381">
        <w:t xml:space="preserve"> Apgabaltiesa ir atsaukusies </w:t>
      </w:r>
      <w:r w:rsidR="00434A67">
        <w:t xml:space="preserve">tikai </w:t>
      </w:r>
      <w:r w:rsidR="003C5381">
        <w:t>uz dienesta citā lietā sniegtajiem paskaidrojumiem</w:t>
      </w:r>
      <w:r w:rsidR="00A0777F">
        <w:t>.</w:t>
      </w:r>
      <w:r w:rsidR="003C5381">
        <w:t xml:space="preserve"> Tomēr apgabaltiesas spriedumā iztrūkst šajā lietā salīdzināmo </w:t>
      </w:r>
      <w:r w:rsidR="009B348D">
        <w:t>darījumu vērtējum</w:t>
      </w:r>
      <w:r w:rsidR="0059251B">
        <w:t>s</w:t>
      </w:r>
      <w:r w:rsidR="009B348D">
        <w:t xml:space="preserve">, saistīts ar nodrošinājuma apstākļiem. Šajā ziņā arī jāpiekrīt dienestam, ka </w:t>
      </w:r>
      <w:r w:rsidR="00A0777F">
        <w:t xml:space="preserve">gadījumā, ja </w:t>
      </w:r>
      <w:r w:rsidR="009B348D">
        <w:t xml:space="preserve">apgabaltiesa </w:t>
      </w:r>
      <w:r w:rsidR="00A0777F">
        <w:t xml:space="preserve">uzskatīja, ka nodrošinājuma esībai </w:t>
      </w:r>
      <w:r w:rsidR="00434A67">
        <w:t xml:space="preserve">vai </w:t>
      </w:r>
      <w:r w:rsidR="00434A67">
        <w:lastRenderedPageBreak/>
        <w:t xml:space="preserve">neesībai </w:t>
      </w:r>
      <w:r w:rsidR="00A0777F">
        <w:t xml:space="preserve">ir būtiska ietekme, tai bija jāņem </w:t>
      </w:r>
      <w:r w:rsidR="009B348D">
        <w:t>vērā, ka pieteicējas saistītais uzņēmums kontrolē pieteicējas īpašuma tiesības uz aktīviem</w:t>
      </w:r>
      <w:r w:rsidR="00A0777F">
        <w:t>. T</w:t>
      </w:r>
      <w:r w:rsidR="009B348D">
        <w:t xml:space="preserve">as </w:t>
      </w:r>
      <w:r w:rsidR="00A0777F">
        <w:t>var būt</w:t>
      </w:r>
      <w:r w:rsidR="009B348D">
        <w:t xml:space="preserve"> apstāklis, kas </w:t>
      </w:r>
      <w:r w:rsidR="0059251B">
        <w:t>ir ņemams vērā</w:t>
      </w:r>
      <w:r w:rsidR="009B348D">
        <w:t xml:space="preserve">, lai noskaidrotu, vai attiecīgajam salīdzināmības faktoram ir būtiska ietekme. </w:t>
      </w:r>
    </w:p>
    <w:p w14:paraId="69BDB85B" w14:textId="5CBA4893" w:rsidR="00A0777F" w:rsidRDefault="00A0777F" w:rsidP="00214BD7">
      <w:pPr>
        <w:spacing w:line="276" w:lineRule="auto"/>
        <w:ind w:firstLine="567"/>
        <w:jc w:val="both"/>
      </w:pPr>
      <w:r>
        <w:t xml:space="preserve">Turklāt, kā izriet no dienesta lēmuma, </w:t>
      </w:r>
      <w:r w:rsidR="009B348D">
        <w:t>dienests, identificējot salīdzināmības faktorus, norādījis, ka izskatāmajā lietā par salīdzināmiem darījumiem ti</w:t>
      </w:r>
      <w:r w:rsidR="0059251B">
        <w:t>e</w:t>
      </w:r>
      <w:r w:rsidR="009B348D">
        <w:t>k uzskatīti aizdevumi</w:t>
      </w:r>
      <w:r w:rsidR="005519DD">
        <w:t>, kas izsniegti bez nodrošinājuma.</w:t>
      </w:r>
      <w:r w:rsidR="008925ED">
        <w:t xml:space="preserve"> A</w:t>
      </w:r>
      <w:r w:rsidR="005519DD">
        <w:t>udita pārskata 48.lappusē norādīts, ka</w:t>
      </w:r>
      <w:r w:rsidR="008925ED">
        <w:t xml:space="preserve"> </w:t>
      </w:r>
      <w:r w:rsidR="005519DD">
        <w:t>Statistikas tabulā ir atrodama informācija par kredītiem, kuri izsniegti ar un bez nodrošinājuma.</w:t>
      </w:r>
      <w:r w:rsidR="008925ED">
        <w:t xml:space="preserve"> T</w:t>
      </w:r>
      <w:r w:rsidR="00101FD0">
        <w:t xml:space="preserve">iesa nav pārbaudījusi un vērtējusi, vai </w:t>
      </w:r>
      <w:r w:rsidR="008925ED">
        <w:t xml:space="preserve">dati par kredītiem ar nodrošinājumu un bez nodrošinājuma </w:t>
      </w:r>
      <w:r w:rsidR="007161BA">
        <w:t xml:space="preserve">lietas dalībnieku izmantotajā </w:t>
      </w:r>
      <w:r w:rsidR="008925ED">
        <w:t xml:space="preserve">Statistikas tabulā ir norādīti atsevišķi. </w:t>
      </w:r>
      <w:r w:rsidR="007161BA">
        <w:t>Tāpat apgabaltiesas spriedumā nav sniegts nekāds novērtējums Latvijas Bankas pārstāvju pirmās instances tiesas sēdē sniegtajam izskaidrojumam par Statistikas tabulā apkopotajiem datiem. A</w:t>
      </w:r>
      <w:r w:rsidR="008925ED">
        <w:t>pgabaltiesa</w:t>
      </w:r>
      <w:r w:rsidR="003D3352">
        <w:t>s</w:t>
      </w:r>
      <w:r w:rsidR="008925ED">
        <w:t xml:space="preserve"> spriedumā </w:t>
      </w:r>
      <w:r w:rsidR="00434A67">
        <w:t>norādī</w:t>
      </w:r>
      <w:r w:rsidR="003D3352">
        <w:t>ts,</w:t>
      </w:r>
      <w:r w:rsidR="00434A67">
        <w:t xml:space="preserve"> ka L</w:t>
      </w:r>
      <w:r w:rsidR="008925ED">
        <w:t>atvijas Bankas dat</w:t>
      </w:r>
      <w:r w:rsidR="0044701D">
        <w:t>os</w:t>
      </w:r>
      <w:r w:rsidR="00434A67">
        <w:t xml:space="preserve">, kas iegūti pēc apgabaltiesas iniciatīvas, </w:t>
      </w:r>
      <w:r w:rsidR="008925ED">
        <w:t xml:space="preserve">apkopotas ziņas par kredītiem, kas pamatā ir izsniegti ar nodrošinājumu. Taču no apgabaltiesas sprieduma nav saprotams, vai apgabaltiesas rīcībā bija ziņas arī </w:t>
      </w:r>
      <w:r w:rsidR="00966FEE">
        <w:t xml:space="preserve">par </w:t>
      </w:r>
      <w:r w:rsidR="008925ED">
        <w:t>kredītiem bez nodrošinājuma</w:t>
      </w:r>
      <w:r w:rsidR="007D0D71">
        <w:t>.</w:t>
      </w:r>
    </w:p>
    <w:p w14:paraId="55913F5C" w14:textId="327BBFB2" w:rsidR="005519DD" w:rsidRDefault="007161BA" w:rsidP="00214BD7">
      <w:pPr>
        <w:spacing w:line="276" w:lineRule="auto"/>
        <w:ind w:firstLine="567"/>
        <w:jc w:val="both"/>
      </w:pPr>
      <w:r>
        <w:t xml:space="preserve">Vienlaikus ir </w:t>
      </w:r>
      <w:r w:rsidR="00A41E79">
        <w:t xml:space="preserve">būtiski </w:t>
      </w:r>
      <w:r w:rsidR="00A0777F">
        <w:t xml:space="preserve">norādīt, ka </w:t>
      </w:r>
      <w:r w:rsidR="007D0D71">
        <w:t>pieteicēja nav iebildusi pret dienesta noteikto salīdzināmības faktoru – </w:t>
      </w:r>
      <w:r w:rsidR="009F1BD3">
        <w:t>aizdevumi</w:t>
      </w:r>
      <w:r w:rsidR="007D0D71">
        <w:t xml:space="preserve"> bez nodrošinājuma. No dienesta lēmuma var noprast, ka arī pieteicēja ir izmantojusi tieši šādu salīdzināmības faktoru, </w:t>
      </w:r>
      <w:r w:rsidR="00E526C0">
        <w:t>jo</w:t>
      </w:r>
      <w:r w:rsidR="007D0D71">
        <w:t xml:space="preserve"> strīdus aizdevumi tika izsniegti bez nodrošinājuma. Ievērojot minēto un atbilstoša izskaidrojuma neesību apgabaltiesas spriedumā, nav saprotams, kāpēc apgabaltiesa ir atzinusi, ka izskatāmajā lietā kā salīdzināmības faktors ir izmantojami </w:t>
      </w:r>
      <w:r w:rsidR="00A0777F">
        <w:t xml:space="preserve">aizdevumu darījumi </w:t>
      </w:r>
      <w:r w:rsidR="007D0D71">
        <w:t>ar nodrošinājumu.</w:t>
      </w:r>
    </w:p>
    <w:p w14:paraId="08E55543" w14:textId="4C98EC4C" w:rsidR="00712666" w:rsidRDefault="007D0D71" w:rsidP="00214BD7">
      <w:pPr>
        <w:spacing w:line="276" w:lineRule="auto"/>
        <w:ind w:firstLine="567"/>
        <w:jc w:val="both"/>
      </w:pPr>
      <w:r>
        <w:t xml:space="preserve">Šādu apstākļu kopumā Senāts piekrīt dienestam, ka apgabaltiesa nav ievērojusi noteikumu Nr. 556 84.punktu, </w:t>
      </w:r>
      <w:r w:rsidR="00E526C0">
        <w:t>kā arī</w:t>
      </w:r>
      <w:r w:rsidR="00787FE5">
        <w:t>,</w:t>
      </w:r>
      <w:r w:rsidR="00E526C0">
        <w:t xml:space="preserve"> piešķirot nozīmi nodrošinājuma</w:t>
      </w:r>
      <w:r w:rsidR="0059251B">
        <w:t xml:space="preserve"> faktam</w:t>
      </w:r>
      <w:r w:rsidR="00E526C0">
        <w:t xml:space="preserve">, ir tikai atsaukusies uz dienesta citā lietā sniegtajiem paskaidrojumiem, </w:t>
      </w:r>
      <w:r w:rsidR="00E526C0">
        <w:lastRenderedPageBreak/>
        <w:t xml:space="preserve">bet </w:t>
      </w:r>
      <w:r>
        <w:t>pretēji Administratīvā procesa likuma 154.pantam nav noskaidrojusi ar nodrošināj</w:t>
      </w:r>
      <w:r w:rsidR="00966FEE">
        <w:t>umu saistītos apstākļus izskatāmajā lietā</w:t>
      </w:r>
      <w:r w:rsidR="00417742">
        <w:t>, kā arī na</w:t>
      </w:r>
      <w:r w:rsidR="00966FEE">
        <w:t>v izskaidrojusi</w:t>
      </w:r>
      <w:r w:rsidR="00417742">
        <w:t>, kāpēc ir izmantojusi datus par darījumiem ar nodrošinājumu, ja</w:t>
      </w:r>
      <w:r w:rsidR="00966FEE">
        <w:t xml:space="preserve"> strīdus aizdevumi izsniegti bez nodrošinājuma.</w:t>
      </w:r>
    </w:p>
    <w:p w14:paraId="4B6D9DB5" w14:textId="47480D62" w:rsidR="007C44FD" w:rsidRDefault="007C44FD" w:rsidP="00214BD7">
      <w:pPr>
        <w:spacing w:line="276" w:lineRule="auto"/>
        <w:ind w:firstLine="567"/>
        <w:jc w:val="both"/>
      </w:pPr>
    </w:p>
    <w:p w14:paraId="27C10DB9" w14:textId="0B23CA73" w:rsidR="003628FF" w:rsidRDefault="007C44FD" w:rsidP="00214BD7">
      <w:pPr>
        <w:spacing w:line="276" w:lineRule="auto"/>
        <w:ind w:firstLine="567"/>
        <w:jc w:val="both"/>
        <w:rPr>
          <w:lang w:eastAsia="lv-LV"/>
        </w:rPr>
      </w:pPr>
      <w:r>
        <w:rPr>
          <w:lang w:eastAsia="lv-LV"/>
        </w:rPr>
        <w:t>[</w:t>
      </w:r>
      <w:r w:rsidR="004E1BD0">
        <w:rPr>
          <w:lang w:eastAsia="lv-LV"/>
        </w:rPr>
        <w:t>12</w:t>
      </w:r>
      <w:r>
        <w:rPr>
          <w:lang w:eastAsia="lv-LV"/>
        </w:rPr>
        <w:t xml:space="preserve">] Apgabaltiesa, </w:t>
      </w:r>
      <w:r w:rsidR="00FB195A">
        <w:t xml:space="preserve">atzīstot, ka dienesta norādītās procentu likmes nav piemērojamas un arī pieteicējas aprēķini ir nepareizi, secinājusi, ka minētais tomēr nenozīmē, ka dienestam būtu jāveic citi aprēķini. </w:t>
      </w:r>
      <w:r w:rsidR="00417742">
        <w:t>Šādu secinājumu a</w:t>
      </w:r>
      <w:r w:rsidR="00FB195A">
        <w:t xml:space="preserve">pgabaltiesa pamatojusi ar </w:t>
      </w:r>
      <w:r w:rsidR="00417742">
        <w:t>to</w:t>
      </w:r>
      <w:r w:rsidR="00FB195A">
        <w:t>, ka pieteicējas darījumu procentu likmes iekļaujas to procentu likmju diapazonā, kuras izmantojusi apgabaltiesa</w:t>
      </w:r>
      <w:r w:rsidR="0044701D">
        <w:t>, pamatojoties uz pašas iegūtajiem datiem</w:t>
      </w:r>
      <w:r w:rsidR="00FB195A">
        <w:t xml:space="preserve">. </w:t>
      </w:r>
      <w:r w:rsidR="0044701D">
        <w:t>A</w:t>
      </w:r>
      <w:r w:rsidR="00FB195A">
        <w:rPr>
          <w:lang w:eastAsia="lv-LV"/>
        </w:rPr>
        <w:t xml:space="preserve">pgabaltiesa </w:t>
      </w:r>
      <w:r w:rsidR="0044701D">
        <w:rPr>
          <w:lang w:eastAsia="lv-LV"/>
        </w:rPr>
        <w:t>norādījusi,</w:t>
      </w:r>
      <w:r w:rsidR="00FB195A">
        <w:rPr>
          <w:lang w:eastAsia="lv-LV"/>
        </w:rPr>
        <w:t xml:space="preserve"> ka </w:t>
      </w:r>
      <w:r>
        <w:t>salīdzināmās cenas noteikšanai tiek ņemta vērā cenu amplitūda, nevis šo cenu vidējais lielums.</w:t>
      </w:r>
      <w:r w:rsidR="0044701D" w:rsidRPr="0044701D">
        <w:t xml:space="preserve"> </w:t>
      </w:r>
      <w:r w:rsidR="0044701D">
        <w:t xml:space="preserve">Šādu apgalvojumu apgabaltiesa pamatojusi </w:t>
      </w:r>
      <w:r w:rsidR="003628FF">
        <w:t xml:space="preserve">vienīgi </w:t>
      </w:r>
      <w:r w:rsidR="0044701D">
        <w:t xml:space="preserve">ar atsauci uz transfertcenu pakalpojumu un nodokļu konsultāciju biroja </w:t>
      </w:r>
      <w:r w:rsidR="003628FF">
        <w:t xml:space="preserve">viedokli </w:t>
      </w:r>
      <w:r w:rsidR="0044701D">
        <w:rPr>
          <w:lang w:eastAsia="lv-LV"/>
        </w:rPr>
        <w:t>interneta vietnē</w:t>
      </w:r>
      <w:r w:rsidR="005D558A">
        <w:rPr>
          <w:lang w:eastAsia="lv-LV"/>
        </w:rPr>
        <w:t xml:space="preserve"> </w:t>
      </w:r>
      <w:hyperlink r:id="rId10" w:history="1">
        <w:r w:rsidR="005D558A" w:rsidRPr="006F6D8D">
          <w:rPr>
            <w:rStyle w:val="Hyperlink"/>
            <w:color w:val="000000" w:themeColor="text1"/>
            <w:u w:val="none"/>
            <w:lang w:eastAsia="lv-LV"/>
          </w:rPr>
          <w:t>www.transfertcenas.lv</w:t>
        </w:r>
      </w:hyperlink>
      <w:r w:rsidR="0044701D">
        <w:rPr>
          <w:lang w:eastAsia="lv-LV"/>
        </w:rPr>
        <w:t>,</w:t>
      </w:r>
      <w:r w:rsidR="003628FF">
        <w:rPr>
          <w:lang w:eastAsia="lv-LV"/>
        </w:rPr>
        <w:t xml:space="preserve"> nenorādot jebkādas šādu apgalvojumu pamatojošas tiesību normas un argumentus.</w:t>
      </w:r>
    </w:p>
    <w:p w14:paraId="6596ED0F" w14:textId="4D93BD7D" w:rsidR="00FB195A" w:rsidRDefault="007C44FD" w:rsidP="00214BD7">
      <w:pPr>
        <w:spacing w:line="276" w:lineRule="auto"/>
        <w:ind w:firstLine="567"/>
        <w:jc w:val="both"/>
      </w:pPr>
      <w:r>
        <w:t xml:space="preserve">Senāts </w:t>
      </w:r>
      <w:r w:rsidR="003628FF">
        <w:t xml:space="preserve">turpmāk norādīto apstākļu dēļ minētajam apgalvojumam </w:t>
      </w:r>
      <w:r>
        <w:t>nepiekrīt.</w:t>
      </w:r>
    </w:p>
    <w:p w14:paraId="66213713" w14:textId="641B0D24" w:rsidR="007C44FD" w:rsidRDefault="00305D65" w:rsidP="00214BD7">
      <w:pPr>
        <w:spacing w:line="276" w:lineRule="auto"/>
        <w:ind w:firstLine="567"/>
        <w:jc w:val="both"/>
      </w:pPr>
      <w:r>
        <w:t>Kā tika norādīts jau iepriekš, noteikumu Nr. 556 84., 91.punkts un 92.3.1. un 92.3.2.apakšpunkts runā par korekciju un matemātisko aprēķinu nepieciešamību, konstatējot salīdzināmo datu būtiskas atšķirības un to būtisku ietekmi.</w:t>
      </w:r>
      <w:r w:rsidR="00601416">
        <w:t xml:space="preserve"> </w:t>
      </w:r>
      <w:r w:rsidR="003628FF">
        <w:t>P</w:t>
      </w:r>
      <w:r w:rsidR="00601416">
        <w:t>ielāgojumu nepieciešamīb</w:t>
      </w:r>
      <w:r w:rsidR="003628FF">
        <w:t xml:space="preserve">a ir uzsvērta arī </w:t>
      </w:r>
      <w:r w:rsidR="00601416">
        <w:t>Vadlīniju 1.35.punkt</w:t>
      </w:r>
      <w:r w:rsidR="003628FF">
        <w:t>ā</w:t>
      </w:r>
      <w:r w:rsidR="00601416">
        <w:t>.</w:t>
      </w:r>
    </w:p>
    <w:p w14:paraId="4FFCDD5A" w14:textId="2F7EB9C6" w:rsidR="007C44FD" w:rsidRPr="00585DFB" w:rsidRDefault="007C44FD" w:rsidP="00214BD7">
      <w:pPr>
        <w:spacing w:line="276" w:lineRule="auto"/>
        <w:ind w:firstLine="567"/>
        <w:jc w:val="both"/>
        <w:rPr>
          <w:lang w:eastAsia="lv-LV"/>
        </w:rPr>
      </w:pPr>
      <w:r w:rsidRPr="00585DFB">
        <w:rPr>
          <w:lang w:eastAsia="lv-LV"/>
        </w:rPr>
        <w:t>Norādījumi par to, kā ir veicama salīdzināmo datu atšķirību novēršana,</w:t>
      </w:r>
      <w:r>
        <w:rPr>
          <w:lang w:eastAsia="lv-LV"/>
        </w:rPr>
        <w:t xml:space="preserve"> citstarp</w:t>
      </w:r>
      <w:r w:rsidRPr="00585DFB">
        <w:rPr>
          <w:lang w:eastAsia="lv-LV"/>
        </w:rPr>
        <w:t xml:space="preserve"> ir sniegti Vadlīnij</w:t>
      </w:r>
      <w:r>
        <w:rPr>
          <w:lang w:eastAsia="lv-LV"/>
        </w:rPr>
        <w:t xml:space="preserve">u </w:t>
      </w:r>
      <w:r w:rsidRPr="00585DFB">
        <w:rPr>
          <w:lang w:eastAsia="lv-LV"/>
        </w:rPr>
        <w:t>3.57.</w:t>
      </w:r>
      <w:r w:rsidR="007161BA">
        <w:rPr>
          <w:lang w:eastAsia="lv-LV"/>
        </w:rPr>
        <w:t>punktā</w:t>
      </w:r>
      <w:r>
        <w:rPr>
          <w:lang w:eastAsia="lv-LV"/>
        </w:rPr>
        <w:t>, kur teikt</w:t>
      </w:r>
      <w:r w:rsidRPr="00585DFB">
        <w:rPr>
          <w:lang w:eastAsia="lv-LV"/>
        </w:rPr>
        <w:t>s</w:t>
      </w:r>
      <w:r>
        <w:rPr>
          <w:lang w:eastAsia="lv-LV"/>
        </w:rPr>
        <w:t xml:space="preserve">: </w:t>
      </w:r>
      <w:r w:rsidRPr="00585DFB">
        <w:rPr>
          <w:lang w:eastAsia="lv-LV"/>
        </w:rPr>
        <w:t>var gadīties, ka, lai gan tiek pieliktas visas pūles, lai izslēgtu punktus, kuru salīdzināmības līmenis ir mazāks, rezultāts tomēr ir virkne skaitļu, attiecībā uz kuriem tiek uzskatīts, ka, ņemot vērā procesu, kas izmantots, atlasot salīdzināmos, un pieejam</w:t>
      </w:r>
      <w:r w:rsidR="007161BA">
        <w:rPr>
          <w:lang w:eastAsia="lv-LV"/>
        </w:rPr>
        <w:t>o</w:t>
      </w:r>
      <w:r w:rsidRPr="00585DFB">
        <w:rPr>
          <w:lang w:eastAsia="lv-LV"/>
        </w:rPr>
        <w:t xml:space="preserve"> informācij</w:t>
      </w:r>
      <w:r w:rsidR="007161BA">
        <w:rPr>
          <w:lang w:eastAsia="lv-LV"/>
        </w:rPr>
        <w:t>u</w:t>
      </w:r>
      <w:r w:rsidRPr="00585DFB">
        <w:rPr>
          <w:lang w:eastAsia="lv-LV"/>
        </w:rPr>
        <w:t xml:space="preserve"> par salīdzināmajiem ierobežojumiem, joprojām saglabājas noteikti salīdzināmības </w:t>
      </w:r>
      <w:r w:rsidRPr="00585DFB">
        <w:rPr>
          <w:lang w:eastAsia="lv-LV"/>
        </w:rPr>
        <w:lastRenderedPageBreak/>
        <w:t>defekti, kurus nevar apzināt un/vai kvantificēt, un tāpēc tie nav koriģēti. Šādos gadījumos, ja diapazonā ir ietverts liels skaits apsvērumu, analīzes ticamību uzlabot varētu palīdzēt statistikas rīks, kurā tiek ņemta vērā centrālā tendence, lai sašaurinātu diapazonu (piemēram, līdz starpkvartiļu diapazonam vai citām percentilēm).</w:t>
      </w:r>
    </w:p>
    <w:p w14:paraId="64CD7D8C" w14:textId="77777777" w:rsidR="00601416" w:rsidRDefault="007C44FD" w:rsidP="00214BD7">
      <w:pPr>
        <w:spacing w:line="276" w:lineRule="auto"/>
        <w:ind w:firstLine="567"/>
        <w:jc w:val="both"/>
        <w:rPr>
          <w:lang w:eastAsia="lv-LV"/>
        </w:rPr>
      </w:pPr>
      <w:r>
        <w:rPr>
          <w:lang w:eastAsia="lv-LV"/>
        </w:rPr>
        <w:t xml:space="preserve">Tātad Vadlīnijās ir apsvērti tie gadījumi, kad analīze noslēdzas ar virkni skaitļu. Šādos gadījumos ir izmantojami dažādi statistikas rīki, lai pēc iespējas sašaurinātu diapazonu. </w:t>
      </w:r>
    </w:p>
    <w:p w14:paraId="32C4B411" w14:textId="6BD181C0" w:rsidR="007C44FD" w:rsidRDefault="00601416" w:rsidP="00214BD7">
      <w:pPr>
        <w:spacing w:line="276" w:lineRule="auto"/>
        <w:ind w:firstLine="567"/>
        <w:jc w:val="both"/>
        <w:rPr>
          <w:lang w:eastAsia="lv-LV"/>
        </w:rPr>
      </w:pPr>
      <w:r>
        <w:rPr>
          <w:lang w:eastAsia="lv-LV"/>
        </w:rPr>
        <w:t>Lasot minētās tiesību normas to savstarpējā kopsakarā, secināms, ka, lai arī noteikumi Nr. 556 neizskaidro, kā ir veicamas korekcijas un matemātiskie aprēķini, taču ir skaidrs, ka atbilstoši šīm tiesību normām</w:t>
      </w:r>
      <w:r w:rsidR="007C44FD" w:rsidRPr="0091718A">
        <w:rPr>
          <w:color w:val="000000"/>
        </w:rPr>
        <w:t xml:space="preserve"> darījumā noteiktās cenas atbilstība </w:t>
      </w:r>
      <w:r w:rsidR="007C44FD">
        <w:rPr>
          <w:color w:val="000000"/>
        </w:rPr>
        <w:t xml:space="preserve">izmantotajā </w:t>
      </w:r>
      <w:r w:rsidR="007C44FD" w:rsidRPr="0091718A">
        <w:rPr>
          <w:color w:val="000000"/>
        </w:rPr>
        <w:t xml:space="preserve">datubāzē norādītajam cenu diapazonam par konkrētā veida </w:t>
      </w:r>
      <w:r w:rsidR="007C44FD">
        <w:rPr>
          <w:color w:val="000000"/>
        </w:rPr>
        <w:t>p</w:t>
      </w:r>
      <w:r w:rsidR="007C44FD" w:rsidRPr="0091718A">
        <w:rPr>
          <w:color w:val="000000"/>
        </w:rPr>
        <w:t xml:space="preserve">roduktu pati par sevi </w:t>
      </w:r>
      <w:r w:rsidR="007C44FD">
        <w:rPr>
          <w:color w:val="000000"/>
        </w:rPr>
        <w:t>nav</w:t>
      </w:r>
      <w:r w:rsidR="007C44FD" w:rsidRPr="0091718A">
        <w:rPr>
          <w:color w:val="000000"/>
        </w:rPr>
        <w:t xml:space="preserve"> pietiekama, lai atzītu </w:t>
      </w:r>
      <w:r w:rsidR="007C44FD">
        <w:rPr>
          <w:color w:val="000000"/>
        </w:rPr>
        <w:t xml:space="preserve">pārbaudāmās cenas </w:t>
      </w:r>
      <w:r w:rsidR="007C44FD" w:rsidRPr="0091718A">
        <w:rPr>
          <w:color w:val="000000"/>
        </w:rPr>
        <w:t>atbilstību tirgus cenai.</w:t>
      </w:r>
      <w:r w:rsidR="007C44FD">
        <w:rPr>
          <w:color w:val="000000"/>
        </w:rPr>
        <w:t xml:space="preserve"> Iepriekš minētajās </w:t>
      </w:r>
      <w:r>
        <w:rPr>
          <w:color w:val="000000"/>
        </w:rPr>
        <w:t>n</w:t>
      </w:r>
      <w:r w:rsidR="007C44FD">
        <w:rPr>
          <w:color w:val="000000"/>
        </w:rPr>
        <w:t xml:space="preserve">oteikumu </w:t>
      </w:r>
      <w:r>
        <w:rPr>
          <w:color w:val="000000"/>
        </w:rPr>
        <w:t xml:space="preserve">Nr. 556 </w:t>
      </w:r>
      <w:r w:rsidR="007C44FD">
        <w:rPr>
          <w:color w:val="000000"/>
        </w:rPr>
        <w:t>84., 91.</w:t>
      </w:r>
      <w:r w:rsidR="003A4F79">
        <w:rPr>
          <w:color w:val="000000"/>
        </w:rPr>
        <w:t xml:space="preserve"> </w:t>
      </w:r>
      <w:r w:rsidR="007C44FD">
        <w:rPr>
          <w:color w:val="000000"/>
        </w:rPr>
        <w:t xml:space="preserve">un 92.punkta normās ir norādīta virkne būtisku darījumu salīdzināmības </w:t>
      </w:r>
      <w:r w:rsidR="00ED2F7C">
        <w:rPr>
          <w:color w:val="000000"/>
        </w:rPr>
        <w:t>faktoru</w:t>
      </w:r>
      <w:r w:rsidR="007C44FD">
        <w:rPr>
          <w:color w:val="000000"/>
        </w:rPr>
        <w:t xml:space="preserve">. Tas nozīmē, ka </w:t>
      </w:r>
      <w:r w:rsidR="007C44FD">
        <w:rPr>
          <w:lang w:eastAsia="lv-LV"/>
        </w:rPr>
        <w:t>katra darījuma, kas veikts ar saistītu uzņēmumu, gadījumā ir jāveic detalizēta tā salīdzināšana ar izmantojamajiem datiem, norādot uz līdzīgiem un atšķirīgiem apstākļiem</w:t>
      </w:r>
      <w:r w:rsidR="00305D65">
        <w:rPr>
          <w:lang w:eastAsia="lv-LV"/>
        </w:rPr>
        <w:t xml:space="preserve"> un</w:t>
      </w:r>
      <w:r w:rsidR="007C44FD">
        <w:rPr>
          <w:lang w:eastAsia="lv-LV"/>
        </w:rPr>
        <w:t xml:space="preserve"> nepieciešamības gadījumā koriģējot datus.</w:t>
      </w:r>
    </w:p>
    <w:p w14:paraId="01FF2C37" w14:textId="62B10949" w:rsidR="00ED2F7C" w:rsidRDefault="00ED2F7C" w:rsidP="00214BD7">
      <w:pPr>
        <w:spacing w:line="276" w:lineRule="auto"/>
        <w:ind w:firstLine="567"/>
        <w:jc w:val="both"/>
        <w:rPr>
          <w:lang w:eastAsia="lv-LV"/>
        </w:rPr>
      </w:pPr>
      <w:r>
        <w:rPr>
          <w:lang w:eastAsia="lv-LV"/>
        </w:rPr>
        <w:t xml:space="preserve">Līdz ar to </w:t>
      </w:r>
      <w:r w:rsidR="002947CD">
        <w:rPr>
          <w:lang w:eastAsia="lv-LV"/>
        </w:rPr>
        <w:t xml:space="preserve">pats par sevi </w:t>
      </w:r>
      <w:r>
        <w:rPr>
          <w:lang w:eastAsia="lv-LV"/>
        </w:rPr>
        <w:t>apgabaltiesas norādītais apstāklis, ka pieteicējas</w:t>
      </w:r>
      <w:r w:rsidR="002947CD">
        <w:rPr>
          <w:lang w:eastAsia="lv-LV"/>
        </w:rPr>
        <w:t xml:space="preserve"> un tās saistīto uzņēmumu</w:t>
      </w:r>
      <w:r>
        <w:rPr>
          <w:lang w:eastAsia="lv-LV"/>
        </w:rPr>
        <w:t xml:space="preserve"> darījum</w:t>
      </w:r>
      <w:r w:rsidR="002947CD">
        <w:rPr>
          <w:lang w:eastAsia="lv-LV"/>
        </w:rPr>
        <w:t>os</w:t>
      </w:r>
      <w:r>
        <w:rPr>
          <w:lang w:eastAsia="lv-LV"/>
        </w:rPr>
        <w:t xml:space="preserve"> piemērotās procentu likmes iekļaujas apgabaltiesas izmantoto procentu likmju diapazonā, nedod pamatu nešaubīgam apgalvojamam, ka pieteicējas darījumu cenas atbilst tirgus cenām un ka</w:t>
      </w:r>
      <w:r w:rsidR="002947CD">
        <w:rPr>
          <w:lang w:eastAsia="lv-LV"/>
        </w:rPr>
        <w:t xml:space="preserve"> </w:t>
      </w:r>
      <w:r>
        <w:rPr>
          <w:lang w:eastAsia="lv-LV"/>
        </w:rPr>
        <w:t xml:space="preserve">nav nepieciešama </w:t>
      </w:r>
      <w:r w:rsidR="002947CD">
        <w:rPr>
          <w:lang w:eastAsia="lv-LV"/>
        </w:rPr>
        <w:t>atbilstošo korekciju veikšana.</w:t>
      </w:r>
    </w:p>
    <w:p w14:paraId="3CBE2B02" w14:textId="69D7505A" w:rsidR="009F1BD3" w:rsidRDefault="009F1BD3" w:rsidP="00214BD7">
      <w:pPr>
        <w:spacing w:line="276" w:lineRule="auto"/>
        <w:ind w:firstLine="567"/>
        <w:jc w:val="both"/>
        <w:rPr>
          <w:lang w:eastAsia="lv-LV"/>
        </w:rPr>
      </w:pPr>
      <w:r>
        <w:rPr>
          <w:lang w:eastAsia="lv-LV"/>
        </w:rPr>
        <w:t xml:space="preserve">Turklāt apgabaltiesa ir tikai atsaukusies uz </w:t>
      </w:r>
      <w:bookmarkStart w:id="7" w:name="_Hlk88031955"/>
      <w:r w:rsidR="00E46326">
        <w:t xml:space="preserve">likuma </w:t>
      </w:r>
      <w:r w:rsidR="00E46326" w:rsidRPr="0075027C">
        <w:t>„</w:t>
      </w:r>
      <w:r w:rsidR="00E46326">
        <w:t>Par uzņēmumu ienākuma nodokli” 6.</w:t>
      </w:r>
      <w:r w:rsidR="00E46326" w:rsidRPr="00E74373">
        <w:rPr>
          <w:vertAlign w:val="superscript"/>
        </w:rPr>
        <w:t>4</w:t>
      </w:r>
      <w:r w:rsidR="00E46326">
        <w:t>panta pirmo daļu</w:t>
      </w:r>
      <w:bookmarkEnd w:id="7"/>
      <w:r w:rsidR="00E46326">
        <w:t>, kas auditējamajā periodā regulēja apliekamā ienākuma koriģēšanu par procentu maksājumiem. Taču apgabaltiesa nav skaidrojusi, vai minētā tiesību norma ir piemērojama arī izskatāmajā gadījumā</w:t>
      </w:r>
      <w:r w:rsidR="003D3352">
        <w:t xml:space="preserve">. </w:t>
      </w:r>
      <w:r w:rsidR="003D3352">
        <w:lastRenderedPageBreak/>
        <w:t xml:space="preserve">Arī </w:t>
      </w:r>
      <w:r w:rsidR="00E46326">
        <w:t>dienests kasācijas sūdzībā nav norādījis nevienu argumentu par šīs tiesību normas piemērošanu un attiecināšanu uz šajā lietā risināmo strīdu. Tāpēc, izskatot lietu pēc būtības, ja tiks secināts, ka Latvijas Bankas apkopoto statistikas datu izmantošanai ir ne</w:t>
      </w:r>
      <w:r w:rsidR="003D3352">
        <w:t>p</w:t>
      </w:r>
      <w:r w:rsidR="00E46326">
        <w:t xml:space="preserve">ieciešama to pielāgošana, ir noskaidrojams arī tas, vai atbilstošas korekcijas nav veicamas likuma </w:t>
      </w:r>
      <w:r w:rsidR="00E46326" w:rsidRPr="0075027C">
        <w:t>„</w:t>
      </w:r>
      <w:r w:rsidR="00E46326">
        <w:t>Par uzņēmumu ienākuma nodokli” 6.</w:t>
      </w:r>
      <w:r w:rsidR="00E46326" w:rsidRPr="00E74373">
        <w:rPr>
          <w:vertAlign w:val="superscript"/>
        </w:rPr>
        <w:t>4</w:t>
      </w:r>
      <w:r w:rsidR="00E46326">
        <w:t>panta pirmajā daļā paredzētajā kārtībā.</w:t>
      </w:r>
    </w:p>
    <w:p w14:paraId="3294BD9B" w14:textId="06EAE23C" w:rsidR="00FB195A" w:rsidRDefault="00FB195A" w:rsidP="00214BD7">
      <w:pPr>
        <w:spacing w:line="276" w:lineRule="auto"/>
        <w:ind w:firstLine="567"/>
        <w:jc w:val="both"/>
      </w:pPr>
    </w:p>
    <w:p w14:paraId="7BF5BAEF" w14:textId="77777777" w:rsidR="006F6D8D" w:rsidRDefault="006F6D8D" w:rsidP="00214BD7">
      <w:pPr>
        <w:spacing w:line="276" w:lineRule="auto"/>
        <w:ind w:firstLine="567"/>
        <w:jc w:val="both"/>
      </w:pPr>
    </w:p>
    <w:p w14:paraId="7C73CF91" w14:textId="77777777" w:rsidR="006E4A34" w:rsidRDefault="006E4A34" w:rsidP="00214BD7">
      <w:pPr>
        <w:spacing w:line="276" w:lineRule="auto"/>
        <w:jc w:val="center"/>
        <w:rPr>
          <w:spacing w:val="70"/>
        </w:rPr>
      </w:pPr>
      <w:r>
        <w:rPr>
          <w:b/>
          <w:bCs/>
        </w:rPr>
        <w:t>Rezolutīvā daļa</w:t>
      </w:r>
    </w:p>
    <w:p w14:paraId="01EEF9B9" w14:textId="77777777" w:rsidR="006E4A34" w:rsidRDefault="006E4A34" w:rsidP="00214BD7">
      <w:pPr>
        <w:spacing w:line="276" w:lineRule="auto"/>
        <w:ind w:firstLine="567"/>
        <w:jc w:val="both"/>
        <w:rPr>
          <w:spacing w:val="70"/>
        </w:rPr>
      </w:pPr>
    </w:p>
    <w:p w14:paraId="58891154" w14:textId="77777777" w:rsidR="00094F6C" w:rsidRPr="00094F6C" w:rsidRDefault="00094F6C" w:rsidP="00214BD7">
      <w:pPr>
        <w:suppressAutoHyphens w:val="0"/>
        <w:spacing w:line="276" w:lineRule="auto"/>
        <w:ind w:firstLine="567"/>
        <w:jc w:val="both"/>
        <w:rPr>
          <w:strike/>
          <w:lang w:eastAsia="ru-RU"/>
        </w:rPr>
      </w:pPr>
      <w:r w:rsidRPr="00094F6C">
        <w:rPr>
          <w:lang w:eastAsia="ru-RU"/>
        </w:rPr>
        <w:t xml:space="preserve">Pamatojoties uz </w:t>
      </w:r>
      <w:r w:rsidRPr="00094F6C">
        <w:rPr>
          <w:rFonts w:eastAsiaTheme="minorHAnsi"/>
          <w:lang w:eastAsia="en-US"/>
        </w:rPr>
        <w:t>Administratīvā procesa likuma 129.</w:t>
      </w:r>
      <w:r w:rsidRPr="00094F6C">
        <w:rPr>
          <w:rFonts w:eastAsiaTheme="minorHAnsi"/>
          <w:vertAlign w:val="superscript"/>
          <w:lang w:eastAsia="en-US"/>
        </w:rPr>
        <w:t>1</w:t>
      </w:r>
      <w:r w:rsidRPr="00094F6C">
        <w:rPr>
          <w:rFonts w:eastAsiaTheme="minorHAnsi"/>
          <w:lang w:eastAsia="en-US"/>
        </w:rPr>
        <w:t>panta pirmās daļas 1.punktu, 348.panta pirmās daļas 2.punktu un 351.pantu</w:t>
      </w:r>
      <w:r w:rsidRPr="00094F6C">
        <w:rPr>
          <w:lang w:eastAsia="ru-RU"/>
        </w:rPr>
        <w:t>, Senāts</w:t>
      </w:r>
    </w:p>
    <w:p w14:paraId="2F63AA22" w14:textId="77777777" w:rsidR="006E4A34" w:rsidRDefault="006E4A34" w:rsidP="00214BD7">
      <w:pPr>
        <w:spacing w:line="276" w:lineRule="auto"/>
        <w:ind w:firstLine="567"/>
        <w:jc w:val="both"/>
      </w:pPr>
    </w:p>
    <w:p w14:paraId="1D82A9EE" w14:textId="77777777" w:rsidR="006E4A34" w:rsidRDefault="006E4A34" w:rsidP="00214BD7">
      <w:pPr>
        <w:spacing w:line="276" w:lineRule="auto"/>
        <w:jc w:val="center"/>
      </w:pPr>
      <w:r>
        <w:rPr>
          <w:b/>
          <w:bCs/>
        </w:rPr>
        <w:t>nosprieda</w:t>
      </w:r>
    </w:p>
    <w:p w14:paraId="38BDBF31" w14:textId="77777777" w:rsidR="006E4A34" w:rsidRDefault="006E4A34" w:rsidP="00214BD7">
      <w:pPr>
        <w:spacing w:line="276" w:lineRule="auto"/>
        <w:jc w:val="center"/>
      </w:pPr>
    </w:p>
    <w:p w14:paraId="0CAA90F2" w14:textId="18EE8146" w:rsidR="00094F6C" w:rsidRPr="00094F6C" w:rsidRDefault="006E4A34" w:rsidP="00214BD7">
      <w:pPr>
        <w:spacing w:line="276" w:lineRule="auto"/>
        <w:ind w:firstLine="567"/>
        <w:jc w:val="both"/>
        <w:rPr>
          <w:rFonts w:eastAsiaTheme="minorHAnsi"/>
          <w:lang w:eastAsia="en-US"/>
        </w:rPr>
      </w:pPr>
      <w:r w:rsidRPr="00094F6C">
        <w:t>A</w:t>
      </w:r>
      <w:r w:rsidR="00094F6C" w:rsidRPr="00094F6C">
        <w:t>tcelt</w:t>
      </w:r>
      <w:r w:rsidRPr="00094F6C">
        <w:t xml:space="preserve"> Administratīvās apgabaltiesas </w:t>
      </w:r>
      <w:r w:rsidR="00110487" w:rsidRPr="00094F6C">
        <w:t>201</w:t>
      </w:r>
      <w:r w:rsidR="00094F6C" w:rsidRPr="00094F6C">
        <w:t>8</w:t>
      </w:r>
      <w:r w:rsidR="00110487" w:rsidRPr="00094F6C">
        <w:t xml:space="preserve">.gada </w:t>
      </w:r>
      <w:r w:rsidR="00094F6C" w:rsidRPr="00094F6C">
        <w:t xml:space="preserve">19.septembra </w:t>
      </w:r>
      <w:r w:rsidRPr="00094F6C">
        <w:t>spriedumu</w:t>
      </w:r>
      <w:r w:rsidR="00094F6C" w:rsidRPr="00094F6C">
        <w:rPr>
          <w:rFonts w:eastAsiaTheme="minorHAnsi"/>
          <w:lang w:eastAsia="en-US"/>
        </w:rPr>
        <w:t xml:space="preserve"> un nosūtīt lietu jaunai izskatīšanai</w:t>
      </w:r>
      <w:r w:rsidR="00FD48EF">
        <w:rPr>
          <w:rFonts w:eastAsiaTheme="minorHAnsi"/>
          <w:lang w:eastAsia="en-US"/>
        </w:rPr>
        <w:t xml:space="preserve"> Administratīvajai apgabaltiesai</w:t>
      </w:r>
      <w:r w:rsidR="00094F6C" w:rsidRPr="00094F6C">
        <w:rPr>
          <w:rFonts w:eastAsiaTheme="minorHAnsi"/>
          <w:lang w:eastAsia="en-US"/>
        </w:rPr>
        <w:t>.</w:t>
      </w:r>
    </w:p>
    <w:p w14:paraId="30EEB7B7" w14:textId="77777777" w:rsidR="00094F6C" w:rsidRPr="00094F6C" w:rsidRDefault="00094F6C" w:rsidP="00214BD7">
      <w:pPr>
        <w:suppressAutoHyphens w:val="0"/>
        <w:spacing w:line="276" w:lineRule="auto"/>
        <w:ind w:firstLine="567"/>
        <w:jc w:val="both"/>
        <w:rPr>
          <w:rFonts w:eastAsiaTheme="minorHAnsi"/>
          <w:lang w:eastAsia="en-US"/>
        </w:rPr>
      </w:pPr>
      <w:r w:rsidRPr="00094F6C">
        <w:rPr>
          <w:rFonts w:eastAsiaTheme="minorHAnsi"/>
          <w:lang w:eastAsia="en-US"/>
        </w:rPr>
        <w:t>Atmaksāt Valsts ieņēmumu dienestam drošības naudu 70 </w:t>
      </w:r>
      <w:r w:rsidRPr="00094F6C">
        <w:rPr>
          <w:rFonts w:eastAsiaTheme="minorHAnsi"/>
          <w:i/>
          <w:lang w:eastAsia="en-US"/>
        </w:rPr>
        <w:t>euro</w:t>
      </w:r>
      <w:r w:rsidRPr="00094F6C">
        <w:rPr>
          <w:rFonts w:eastAsiaTheme="minorHAnsi"/>
          <w:lang w:eastAsia="en-US"/>
        </w:rPr>
        <w:t>.</w:t>
      </w:r>
    </w:p>
    <w:p w14:paraId="130D1CC8" w14:textId="77777777" w:rsidR="006E4A34" w:rsidRDefault="006E4A34" w:rsidP="00214BD7">
      <w:pPr>
        <w:spacing w:line="276" w:lineRule="auto"/>
        <w:ind w:firstLine="567"/>
        <w:jc w:val="both"/>
      </w:pPr>
      <w:r w:rsidRPr="00094F6C">
        <w:t>Spriedums nav pārsūdzams.</w:t>
      </w:r>
    </w:p>
    <w:p w14:paraId="7915E025" w14:textId="77777777" w:rsidR="006E4A34" w:rsidRDefault="006E4A34">
      <w:pPr>
        <w:spacing w:line="276" w:lineRule="auto"/>
        <w:ind w:firstLine="567"/>
        <w:jc w:val="both"/>
      </w:pPr>
    </w:p>
    <w:p w14:paraId="5443A2B3" w14:textId="77777777" w:rsidR="0091718A" w:rsidRDefault="006E4A34">
      <w:pPr>
        <w:tabs>
          <w:tab w:val="center" w:pos="1276"/>
          <w:tab w:val="center" w:pos="4678"/>
          <w:tab w:val="center" w:pos="8080"/>
        </w:tabs>
        <w:spacing w:line="276" w:lineRule="auto"/>
        <w:jc w:val="both"/>
        <w:rPr>
          <w:color w:val="FFFFFF"/>
        </w:rPr>
      </w:pPr>
      <w:r w:rsidRPr="002E6368">
        <w:rPr>
          <w:color w:val="FFFFFF"/>
        </w:rPr>
        <w:tab/>
        <w:t>(pa</w:t>
      </w:r>
    </w:p>
    <w:p w14:paraId="50744BAC" w14:textId="77777777" w:rsidR="006E4A34" w:rsidRDefault="006E4A34" w:rsidP="00574AC1">
      <w:pPr>
        <w:tabs>
          <w:tab w:val="left" w:pos="2880"/>
          <w:tab w:val="left" w:pos="4680"/>
          <w:tab w:val="left" w:pos="6660"/>
        </w:tabs>
        <w:spacing w:line="276" w:lineRule="auto"/>
        <w:jc w:val="both"/>
      </w:pPr>
      <w:bookmarkStart w:id="8" w:name="_GoBack"/>
      <w:bookmarkEnd w:id="8"/>
    </w:p>
    <w:sectPr w:rsidR="006E4A34" w:rsidSect="008F44D8">
      <w:footerReference w:type="default" r:id="rId11"/>
      <w:pgSz w:w="11906" w:h="16838"/>
      <w:pgMar w:top="1134" w:right="1134" w:bottom="1134" w:left="1701" w:header="709" w:footer="709" w:gutter="0"/>
      <w:cols w:space="720"/>
      <w:docGrid w:linePitch="360"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18B366" w14:textId="77777777" w:rsidR="00CE54BB" w:rsidRDefault="00CE54BB">
      <w:pPr>
        <w:spacing w:line="240" w:lineRule="auto"/>
      </w:pPr>
      <w:r>
        <w:separator/>
      </w:r>
    </w:p>
  </w:endnote>
  <w:endnote w:type="continuationSeparator" w:id="0">
    <w:p w14:paraId="2D3C95B8" w14:textId="77777777" w:rsidR="00CE54BB" w:rsidRDefault="00CE54B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000247B"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13F93F" w14:textId="77777777" w:rsidR="006E4A34" w:rsidRDefault="006E4A34">
    <w:pPr>
      <w:pStyle w:val="Footer"/>
      <w:tabs>
        <w:tab w:val="clear" w:pos="4153"/>
        <w:tab w:val="clear" w:pos="8306"/>
      </w:tabs>
      <w:jc w:val="center"/>
    </w:pPr>
    <w:r>
      <w:fldChar w:fldCharType="begin"/>
    </w:r>
    <w:r>
      <w:instrText xml:space="preserve"> PAGE </w:instrText>
    </w:r>
    <w:r>
      <w:fldChar w:fldCharType="separate"/>
    </w:r>
    <w:r w:rsidR="006F16E4">
      <w:rPr>
        <w:noProof/>
      </w:rPr>
      <w:t>2</w:t>
    </w:r>
    <w:r>
      <w:fldChar w:fldCharType="end"/>
    </w:r>
    <w:r>
      <w:rPr>
        <w:rStyle w:val="PageNumber1"/>
      </w:rPr>
      <w:t xml:space="preserve"> no </w:t>
    </w:r>
    <w:r w:rsidR="008F44D8">
      <w:rPr>
        <w:rStyle w:val="PageNumber1"/>
      </w:rPr>
      <w:fldChar w:fldCharType="begin"/>
    </w:r>
    <w:r w:rsidR="008F44D8">
      <w:rPr>
        <w:rStyle w:val="PageNumber1"/>
      </w:rPr>
      <w:instrText xml:space="preserve"> NUMPAGES </w:instrText>
    </w:r>
    <w:r w:rsidR="008F44D8">
      <w:rPr>
        <w:rStyle w:val="PageNumber1"/>
      </w:rPr>
      <w:fldChar w:fldCharType="separate"/>
    </w:r>
    <w:r w:rsidR="006F16E4">
      <w:rPr>
        <w:rStyle w:val="PageNumber1"/>
        <w:noProof/>
      </w:rPr>
      <w:t>12</w:t>
    </w:r>
    <w:r w:rsidR="008F44D8">
      <w:rPr>
        <w:rStyle w:val="PageNumber1"/>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39B5A2" w14:textId="77777777" w:rsidR="00CE54BB" w:rsidRDefault="00CE54BB">
      <w:pPr>
        <w:spacing w:line="240" w:lineRule="auto"/>
      </w:pPr>
      <w:r>
        <w:separator/>
      </w:r>
    </w:p>
  </w:footnote>
  <w:footnote w:type="continuationSeparator" w:id="0">
    <w:p w14:paraId="2181BBE3" w14:textId="77777777" w:rsidR="00CE54BB" w:rsidRDefault="00CE54BB">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pStyle w:val="Heading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71993B64"/>
    <w:multiLevelType w:val="hybridMultilevel"/>
    <w:tmpl w:val="37E260A2"/>
    <w:lvl w:ilvl="0" w:tplc="EC9221E2">
      <w:start w:val="1"/>
      <w:numFmt w:val="decimal"/>
      <w:lvlText w:val="%1)"/>
      <w:lvlJc w:val="left"/>
      <w:pPr>
        <w:ind w:left="927" w:hanging="360"/>
      </w:pPr>
      <w:rPr>
        <w:rFonts w:hint="default"/>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78EB154A"/>
    <w:multiLevelType w:val="hybridMultilevel"/>
    <w:tmpl w:val="2FD8BDF2"/>
    <w:lvl w:ilvl="0" w:tplc="FEDE4534">
      <w:start w:val="1"/>
      <w:numFmt w:val="lowerLetter"/>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removePersonalInformation/>
  <w:removeDateAndTime/>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4082"/>
    <w:rsid w:val="000018D9"/>
    <w:rsid w:val="00002A61"/>
    <w:rsid w:val="0000412C"/>
    <w:rsid w:val="00010ED0"/>
    <w:rsid w:val="000201A7"/>
    <w:rsid w:val="00032F7D"/>
    <w:rsid w:val="00035FD9"/>
    <w:rsid w:val="00036A54"/>
    <w:rsid w:val="0004245D"/>
    <w:rsid w:val="0005006C"/>
    <w:rsid w:val="00056A60"/>
    <w:rsid w:val="00057482"/>
    <w:rsid w:val="00061D22"/>
    <w:rsid w:val="0007393D"/>
    <w:rsid w:val="00074E09"/>
    <w:rsid w:val="00074E59"/>
    <w:rsid w:val="000772F8"/>
    <w:rsid w:val="00083652"/>
    <w:rsid w:val="000836E9"/>
    <w:rsid w:val="0009113D"/>
    <w:rsid w:val="00091667"/>
    <w:rsid w:val="000926B5"/>
    <w:rsid w:val="00094F6C"/>
    <w:rsid w:val="00096581"/>
    <w:rsid w:val="000A42AA"/>
    <w:rsid w:val="000A7989"/>
    <w:rsid w:val="000B2027"/>
    <w:rsid w:val="000B6E1D"/>
    <w:rsid w:val="000C1F42"/>
    <w:rsid w:val="000C417D"/>
    <w:rsid w:val="000D0219"/>
    <w:rsid w:val="000D04CC"/>
    <w:rsid w:val="000D2411"/>
    <w:rsid w:val="000D2BCD"/>
    <w:rsid w:val="000D30CB"/>
    <w:rsid w:val="000D7584"/>
    <w:rsid w:val="000D75DB"/>
    <w:rsid w:val="000E3B4D"/>
    <w:rsid w:val="000E5867"/>
    <w:rsid w:val="000F129A"/>
    <w:rsid w:val="000F6A54"/>
    <w:rsid w:val="000F6E51"/>
    <w:rsid w:val="000F7042"/>
    <w:rsid w:val="00100BE8"/>
    <w:rsid w:val="00101FD0"/>
    <w:rsid w:val="00110487"/>
    <w:rsid w:val="00111218"/>
    <w:rsid w:val="001153E0"/>
    <w:rsid w:val="00115B8D"/>
    <w:rsid w:val="00115BD9"/>
    <w:rsid w:val="00136643"/>
    <w:rsid w:val="0014045F"/>
    <w:rsid w:val="00141232"/>
    <w:rsid w:val="00141F8C"/>
    <w:rsid w:val="00157B64"/>
    <w:rsid w:val="00162424"/>
    <w:rsid w:val="00166B67"/>
    <w:rsid w:val="00167D1A"/>
    <w:rsid w:val="00172606"/>
    <w:rsid w:val="0017716F"/>
    <w:rsid w:val="00180B5A"/>
    <w:rsid w:val="00182675"/>
    <w:rsid w:val="00182885"/>
    <w:rsid w:val="00190AD0"/>
    <w:rsid w:val="00190B29"/>
    <w:rsid w:val="0019695F"/>
    <w:rsid w:val="001A05BA"/>
    <w:rsid w:val="001A2106"/>
    <w:rsid w:val="001A51C7"/>
    <w:rsid w:val="001B12BB"/>
    <w:rsid w:val="001B1759"/>
    <w:rsid w:val="001B1C07"/>
    <w:rsid w:val="001B2403"/>
    <w:rsid w:val="001C12B1"/>
    <w:rsid w:val="001C1566"/>
    <w:rsid w:val="001C6B3E"/>
    <w:rsid w:val="001C73AF"/>
    <w:rsid w:val="001D4DE9"/>
    <w:rsid w:val="001D5C90"/>
    <w:rsid w:val="001D72D4"/>
    <w:rsid w:val="001E0BBE"/>
    <w:rsid w:val="001E1BD5"/>
    <w:rsid w:val="001E504D"/>
    <w:rsid w:val="001E58B5"/>
    <w:rsid w:val="001E58CB"/>
    <w:rsid w:val="001E6FC0"/>
    <w:rsid w:val="001F1678"/>
    <w:rsid w:val="00202E6F"/>
    <w:rsid w:val="00206267"/>
    <w:rsid w:val="002126E9"/>
    <w:rsid w:val="00212F0A"/>
    <w:rsid w:val="00214BD7"/>
    <w:rsid w:val="00216D7B"/>
    <w:rsid w:val="002216F9"/>
    <w:rsid w:val="002248AE"/>
    <w:rsid w:val="0022755F"/>
    <w:rsid w:val="00230E5C"/>
    <w:rsid w:val="002312F5"/>
    <w:rsid w:val="00236689"/>
    <w:rsid w:val="00236BE9"/>
    <w:rsid w:val="002436A9"/>
    <w:rsid w:val="00245970"/>
    <w:rsid w:val="00250DDF"/>
    <w:rsid w:val="0026209D"/>
    <w:rsid w:val="0026250F"/>
    <w:rsid w:val="002814A2"/>
    <w:rsid w:val="00283947"/>
    <w:rsid w:val="0028482C"/>
    <w:rsid w:val="002856B7"/>
    <w:rsid w:val="00286540"/>
    <w:rsid w:val="00291FA8"/>
    <w:rsid w:val="00292E9F"/>
    <w:rsid w:val="002947CD"/>
    <w:rsid w:val="002A0A58"/>
    <w:rsid w:val="002A44CB"/>
    <w:rsid w:val="002A5405"/>
    <w:rsid w:val="002A710B"/>
    <w:rsid w:val="002A7B09"/>
    <w:rsid w:val="002B03F8"/>
    <w:rsid w:val="002B5145"/>
    <w:rsid w:val="002B5636"/>
    <w:rsid w:val="002B7FD2"/>
    <w:rsid w:val="002D09D2"/>
    <w:rsid w:val="002D42B6"/>
    <w:rsid w:val="002E1814"/>
    <w:rsid w:val="002E2420"/>
    <w:rsid w:val="002E43B2"/>
    <w:rsid w:val="002E5BB2"/>
    <w:rsid w:val="002E6368"/>
    <w:rsid w:val="002F02B9"/>
    <w:rsid w:val="002F6610"/>
    <w:rsid w:val="003022B9"/>
    <w:rsid w:val="00304F35"/>
    <w:rsid w:val="00305D65"/>
    <w:rsid w:val="00315121"/>
    <w:rsid w:val="00315897"/>
    <w:rsid w:val="003171D7"/>
    <w:rsid w:val="00317D4F"/>
    <w:rsid w:val="00324F34"/>
    <w:rsid w:val="00325305"/>
    <w:rsid w:val="0032555E"/>
    <w:rsid w:val="00325D44"/>
    <w:rsid w:val="00330B0F"/>
    <w:rsid w:val="0033176B"/>
    <w:rsid w:val="0033428D"/>
    <w:rsid w:val="003369A9"/>
    <w:rsid w:val="003409DE"/>
    <w:rsid w:val="003411E3"/>
    <w:rsid w:val="00342B55"/>
    <w:rsid w:val="00346EBC"/>
    <w:rsid w:val="00347CEC"/>
    <w:rsid w:val="003609B1"/>
    <w:rsid w:val="003628FF"/>
    <w:rsid w:val="00374E05"/>
    <w:rsid w:val="0037580E"/>
    <w:rsid w:val="003773AC"/>
    <w:rsid w:val="003900C8"/>
    <w:rsid w:val="00393997"/>
    <w:rsid w:val="0039579A"/>
    <w:rsid w:val="003963A7"/>
    <w:rsid w:val="0039683B"/>
    <w:rsid w:val="003A4F79"/>
    <w:rsid w:val="003A5840"/>
    <w:rsid w:val="003A6AF6"/>
    <w:rsid w:val="003B09FA"/>
    <w:rsid w:val="003B54FF"/>
    <w:rsid w:val="003C0824"/>
    <w:rsid w:val="003C5381"/>
    <w:rsid w:val="003D2570"/>
    <w:rsid w:val="003D3352"/>
    <w:rsid w:val="003D338E"/>
    <w:rsid w:val="003D3EC5"/>
    <w:rsid w:val="003D677B"/>
    <w:rsid w:val="003D67A4"/>
    <w:rsid w:val="003E0951"/>
    <w:rsid w:val="003E0CE4"/>
    <w:rsid w:val="003E1A8B"/>
    <w:rsid w:val="003E5453"/>
    <w:rsid w:val="003F1794"/>
    <w:rsid w:val="003F306F"/>
    <w:rsid w:val="003F680D"/>
    <w:rsid w:val="003F6A1D"/>
    <w:rsid w:val="003F6E21"/>
    <w:rsid w:val="003F6FE7"/>
    <w:rsid w:val="003F734D"/>
    <w:rsid w:val="004022D7"/>
    <w:rsid w:val="0040591A"/>
    <w:rsid w:val="00407C2C"/>
    <w:rsid w:val="00412AAE"/>
    <w:rsid w:val="00412F68"/>
    <w:rsid w:val="004151BE"/>
    <w:rsid w:val="00417742"/>
    <w:rsid w:val="00417941"/>
    <w:rsid w:val="00417B80"/>
    <w:rsid w:val="00425076"/>
    <w:rsid w:val="00433836"/>
    <w:rsid w:val="00434A67"/>
    <w:rsid w:val="00436187"/>
    <w:rsid w:val="004418F8"/>
    <w:rsid w:val="00442334"/>
    <w:rsid w:val="00446CC2"/>
    <w:rsid w:val="0044701D"/>
    <w:rsid w:val="004476B0"/>
    <w:rsid w:val="00456124"/>
    <w:rsid w:val="00456A95"/>
    <w:rsid w:val="00473136"/>
    <w:rsid w:val="00481A24"/>
    <w:rsid w:val="0048370A"/>
    <w:rsid w:val="00485A71"/>
    <w:rsid w:val="00485CC5"/>
    <w:rsid w:val="0048770D"/>
    <w:rsid w:val="0049064A"/>
    <w:rsid w:val="004928BA"/>
    <w:rsid w:val="00493ACF"/>
    <w:rsid w:val="004A2820"/>
    <w:rsid w:val="004A48E1"/>
    <w:rsid w:val="004B2872"/>
    <w:rsid w:val="004B7E48"/>
    <w:rsid w:val="004C02C5"/>
    <w:rsid w:val="004C3861"/>
    <w:rsid w:val="004C7F53"/>
    <w:rsid w:val="004D1FE8"/>
    <w:rsid w:val="004D2836"/>
    <w:rsid w:val="004D5026"/>
    <w:rsid w:val="004D5241"/>
    <w:rsid w:val="004E0F24"/>
    <w:rsid w:val="004E1BD0"/>
    <w:rsid w:val="004E1C1F"/>
    <w:rsid w:val="004E2484"/>
    <w:rsid w:val="004E4346"/>
    <w:rsid w:val="004E5E9A"/>
    <w:rsid w:val="004E6E28"/>
    <w:rsid w:val="004F08E3"/>
    <w:rsid w:val="004F75D3"/>
    <w:rsid w:val="005001EA"/>
    <w:rsid w:val="00515AEA"/>
    <w:rsid w:val="00523AA5"/>
    <w:rsid w:val="00530A67"/>
    <w:rsid w:val="00530FB3"/>
    <w:rsid w:val="00531A5D"/>
    <w:rsid w:val="005328B6"/>
    <w:rsid w:val="00534EEC"/>
    <w:rsid w:val="00535AC4"/>
    <w:rsid w:val="005378AA"/>
    <w:rsid w:val="005420BB"/>
    <w:rsid w:val="0054783E"/>
    <w:rsid w:val="00551618"/>
    <w:rsid w:val="005519DD"/>
    <w:rsid w:val="00553BB9"/>
    <w:rsid w:val="00560D29"/>
    <w:rsid w:val="00560D45"/>
    <w:rsid w:val="005628F4"/>
    <w:rsid w:val="00570988"/>
    <w:rsid w:val="00570A8B"/>
    <w:rsid w:val="00574AC1"/>
    <w:rsid w:val="0057527E"/>
    <w:rsid w:val="00575DC8"/>
    <w:rsid w:val="00585DFB"/>
    <w:rsid w:val="0059251B"/>
    <w:rsid w:val="00593812"/>
    <w:rsid w:val="005A0F50"/>
    <w:rsid w:val="005A3CE2"/>
    <w:rsid w:val="005B3E05"/>
    <w:rsid w:val="005C04AF"/>
    <w:rsid w:val="005C2AF5"/>
    <w:rsid w:val="005D0603"/>
    <w:rsid w:val="005D0EDB"/>
    <w:rsid w:val="005D558A"/>
    <w:rsid w:val="005D6487"/>
    <w:rsid w:val="005D6A3A"/>
    <w:rsid w:val="005E0597"/>
    <w:rsid w:val="005E2C45"/>
    <w:rsid w:val="005E56F6"/>
    <w:rsid w:val="005F09ED"/>
    <w:rsid w:val="005F2B96"/>
    <w:rsid w:val="005F2FF9"/>
    <w:rsid w:val="005F5E5E"/>
    <w:rsid w:val="006004A3"/>
    <w:rsid w:val="00601416"/>
    <w:rsid w:val="00604F0F"/>
    <w:rsid w:val="00605C74"/>
    <w:rsid w:val="00606D50"/>
    <w:rsid w:val="006079CC"/>
    <w:rsid w:val="00612A1F"/>
    <w:rsid w:val="0061306C"/>
    <w:rsid w:val="0062079E"/>
    <w:rsid w:val="00632826"/>
    <w:rsid w:val="00633A46"/>
    <w:rsid w:val="00640082"/>
    <w:rsid w:val="00641C93"/>
    <w:rsid w:val="00651C9B"/>
    <w:rsid w:val="0065743D"/>
    <w:rsid w:val="006605DB"/>
    <w:rsid w:val="006609E4"/>
    <w:rsid w:val="00662E3C"/>
    <w:rsid w:val="00671E97"/>
    <w:rsid w:val="00673C6B"/>
    <w:rsid w:val="0067614B"/>
    <w:rsid w:val="0068083C"/>
    <w:rsid w:val="00682650"/>
    <w:rsid w:val="00687D73"/>
    <w:rsid w:val="00687F53"/>
    <w:rsid w:val="00692541"/>
    <w:rsid w:val="00694184"/>
    <w:rsid w:val="00694902"/>
    <w:rsid w:val="00696503"/>
    <w:rsid w:val="006A05FB"/>
    <w:rsid w:val="006A122D"/>
    <w:rsid w:val="006B1F21"/>
    <w:rsid w:val="006B29BD"/>
    <w:rsid w:val="006B638B"/>
    <w:rsid w:val="006B7B1D"/>
    <w:rsid w:val="006C02DC"/>
    <w:rsid w:val="006C4806"/>
    <w:rsid w:val="006C5AD7"/>
    <w:rsid w:val="006C6DB8"/>
    <w:rsid w:val="006E0352"/>
    <w:rsid w:val="006E2CF4"/>
    <w:rsid w:val="006E4A34"/>
    <w:rsid w:val="006E58D8"/>
    <w:rsid w:val="006E68B8"/>
    <w:rsid w:val="006F16E4"/>
    <w:rsid w:val="006F3DA5"/>
    <w:rsid w:val="006F43E0"/>
    <w:rsid w:val="006F6B56"/>
    <w:rsid w:val="006F6D8D"/>
    <w:rsid w:val="00706421"/>
    <w:rsid w:val="00712437"/>
    <w:rsid w:val="00712666"/>
    <w:rsid w:val="007161BA"/>
    <w:rsid w:val="00717EF2"/>
    <w:rsid w:val="00722D05"/>
    <w:rsid w:val="00722FAC"/>
    <w:rsid w:val="00723DFD"/>
    <w:rsid w:val="00741783"/>
    <w:rsid w:val="00744AF9"/>
    <w:rsid w:val="0075027C"/>
    <w:rsid w:val="00753ABC"/>
    <w:rsid w:val="00763CF2"/>
    <w:rsid w:val="00765A15"/>
    <w:rsid w:val="00766BB9"/>
    <w:rsid w:val="00770067"/>
    <w:rsid w:val="00771F40"/>
    <w:rsid w:val="007824D4"/>
    <w:rsid w:val="00784893"/>
    <w:rsid w:val="0078513E"/>
    <w:rsid w:val="0078717C"/>
    <w:rsid w:val="00787D5A"/>
    <w:rsid w:val="00787FE5"/>
    <w:rsid w:val="0079064C"/>
    <w:rsid w:val="007925DA"/>
    <w:rsid w:val="0079711C"/>
    <w:rsid w:val="007973B5"/>
    <w:rsid w:val="007A0A41"/>
    <w:rsid w:val="007B14F8"/>
    <w:rsid w:val="007B1759"/>
    <w:rsid w:val="007B1C23"/>
    <w:rsid w:val="007B1C55"/>
    <w:rsid w:val="007B4480"/>
    <w:rsid w:val="007B786A"/>
    <w:rsid w:val="007C3D97"/>
    <w:rsid w:val="007C44FD"/>
    <w:rsid w:val="007C713A"/>
    <w:rsid w:val="007D0D71"/>
    <w:rsid w:val="007D1973"/>
    <w:rsid w:val="007D4384"/>
    <w:rsid w:val="007E1048"/>
    <w:rsid w:val="007E3A89"/>
    <w:rsid w:val="007E6CB8"/>
    <w:rsid w:val="007E7048"/>
    <w:rsid w:val="007F1BA9"/>
    <w:rsid w:val="007F4567"/>
    <w:rsid w:val="007F6C82"/>
    <w:rsid w:val="0080534F"/>
    <w:rsid w:val="00811F08"/>
    <w:rsid w:val="0081589E"/>
    <w:rsid w:val="00815BB2"/>
    <w:rsid w:val="00815C4D"/>
    <w:rsid w:val="00817724"/>
    <w:rsid w:val="0082121C"/>
    <w:rsid w:val="00821D88"/>
    <w:rsid w:val="00823731"/>
    <w:rsid w:val="00824778"/>
    <w:rsid w:val="0082542D"/>
    <w:rsid w:val="00830947"/>
    <w:rsid w:val="00832791"/>
    <w:rsid w:val="00836856"/>
    <w:rsid w:val="0083754E"/>
    <w:rsid w:val="00845B12"/>
    <w:rsid w:val="008460A2"/>
    <w:rsid w:val="00855637"/>
    <w:rsid w:val="00865F06"/>
    <w:rsid w:val="008720F8"/>
    <w:rsid w:val="0087619A"/>
    <w:rsid w:val="0088031A"/>
    <w:rsid w:val="0088446A"/>
    <w:rsid w:val="008852E6"/>
    <w:rsid w:val="008861EA"/>
    <w:rsid w:val="0088706C"/>
    <w:rsid w:val="008925ED"/>
    <w:rsid w:val="00893C60"/>
    <w:rsid w:val="00893D3A"/>
    <w:rsid w:val="008941C8"/>
    <w:rsid w:val="00894B31"/>
    <w:rsid w:val="00894CAC"/>
    <w:rsid w:val="008A2193"/>
    <w:rsid w:val="008A28FC"/>
    <w:rsid w:val="008A7A45"/>
    <w:rsid w:val="008B12EE"/>
    <w:rsid w:val="008B2B80"/>
    <w:rsid w:val="008B3411"/>
    <w:rsid w:val="008B47EC"/>
    <w:rsid w:val="008B4A04"/>
    <w:rsid w:val="008B799A"/>
    <w:rsid w:val="008C1D0D"/>
    <w:rsid w:val="008C51F7"/>
    <w:rsid w:val="008C72F0"/>
    <w:rsid w:val="008D542D"/>
    <w:rsid w:val="008D5DDA"/>
    <w:rsid w:val="008F0002"/>
    <w:rsid w:val="008F44D8"/>
    <w:rsid w:val="00904287"/>
    <w:rsid w:val="009058FF"/>
    <w:rsid w:val="0091517C"/>
    <w:rsid w:val="0091718A"/>
    <w:rsid w:val="00930920"/>
    <w:rsid w:val="00930C5D"/>
    <w:rsid w:val="00932136"/>
    <w:rsid w:val="00933F65"/>
    <w:rsid w:val="009356E9"/>
    <w:rsid w:val="009357BE"/>
    <w:rsid w:val="0094487E"/>
    <w:rsid w:val="00945A6D"/>
    <w:rsid w:val="00947F72"/>
    <w:rsid w:val="00961AF1"/>
    <w:rsid w:val="00966FEE"/>
    <w:rsid w:val="00967800"/>
    <w:rsid w:val="0097325B"/>
    <w:rsid w:val="00973999"/>
    <w:rsid w:val="0097445A"/>
    <w:rsid w:val="00975EAE"/>
    <w:rsid w:val="00976765"/>
    <w:rsid w:val="0097774D"/>
    <w:rsid w:val="00980CF9"/>
    <w:rsid w:val="00982158"/>
    <w:rsid w:val="00984392"/>
    <w:rsid w:val="009874F9"/>
    <w:rsid w:val="00993427"/>
    <w:rsid w:val="00993A9F"/>
    <w:rsid w:val="009964DE"/>
    <w:rsid w:val="009A09F0"/>
    <w:rsid w:val="009A3B43"/>
    <w:rsid w:val="009B0772"/>
    <w:rsid w:val="009B1479"/>
    <w:rsid w:val="009B348D"/>
    <w:rsid w:val="009B6194"/>
    <w:rsid w:val="009C14BA"/>
    <w:rsid w:val="009C3CFB"/>
    <w:rsid w:val="009C58D2"/>
    <w:rsid w:val="009C6DC9"/>
    <w:rsid w:val="009C6E3D"/>
    <w:rsid w:val="009D0923"/>
    <w:rsid w:val="009D0973"/>
    <w:rsid w:val="009D135B"/>
    <w:rsid w:val="009D3194"/>
    <w:rsid w:val="009D50AB"/>
    <w:rsid w:val="009E3ABB"/>
    <w:rsid w:val="009F1BD3"/>
    <w:rsid w:val="009F25E3"/>
    <w:rsid w:val="009F753B"/>
    <w:rsid w:val="00A00E38"/>
    <w:rsid w:val="00A030A9"/>
    <w:rsid w:val="00A039D7"/>
    <w:rsid w:val="00A0777F"/>
    <w:rsid w:val="00A07EAC"/>
    <w:rsid w:val="00A11E62"/>
    <w:rsid w:val="00A12079"/>
    <w:rsid w:val="00A12E90"/>
    <w:rsid w:val="00A13D2D"/>
    <w:rsid w:val="00A15CD7"/>
    <w:rsid w:val="00A269A3"/>
    <w:rsid w:val="00A27801"/>
    <w:rsid w:val="00A30097"/>
    <w:rsid w:val="00A31EA5"/>
    <w:rsid w:val="00A33DF5"/>
    <w:rsid w:val="00A36979"/>
    <w:rsid w:val="00A374D4"/>
    <w:rsid w:val="00A37688"/>
    <w:rsid w:val="00A4075D"/>
    <w:rsid w:val="00A40A8C"/>
    <w:rsid w:val="00A40EBC"/>
    <w:rsid w:val="00A413CB"/>
    <w:rsid w:val="00A41E79"/>
    <w:rsid w:val="00A449BD"/>
    <w:rsid w:val="00A60D1D"/>
    <w:rsid w:val="00A66B3C"/>
    <w:rsid w:val="00A679B0"/>
    <w:rsid w:val="00A703A7"/>
    <w:rsid w:val="00A7574A"/>
    <w:rsid w:val="00A766AF"/>
    <w:rsid w:val="00A85037"/>
    <w:rsid w:val="00A93EAC"/>
    <w:rsid w:val="00A97CE8"/>
    <w:rsid w:val="00AA0113"/>
    <w:rsid w:val="00AA3B7B"/>
    <w:rsid w:val="00AA51AA"/>
    <w:rsid w:val="00AA60BC"/>
    <w:rsid w:val="00AA69F4"/>
    <w:rsid w:val="00AA7258"/>
    <w:rsid w:val="00AB6D2A"/>
    <w:rsid w:val="00AC4F62"/>
    <w:rsid w:val="00AC51D4"/>
    <w:rsid w:val="00AD24CC"/>
    <w:rsid w:val="00AD40DF"/>
    <w:rsid w:val="00AD6A4F"/>
    <w:rsid w:val="00AD7892"/>
    <w:rsid w:val="00AE0119"/>
    <w:rsid w:val="00AE04AF"/>
    <w:rsid w:val="00AE1715"/>
    <w:rsid w:val="00AE1CB8"/>
    <w:rsid w:val="00AE4184"/>
    <w:rsid w:val="00AE5AD4"/>
    <w:rsid w:val="00AE715B"/>
    <w:rsid w:val="00AE798D"/>
    <w:rsid w:val="00AF25FA"/>
    <w:rsid w:val="00AF2E10"/>
    <w:rsid w:val="00AF4D62"/>
    <w:rsid w:val="00AF6C8C"/>
    <w:rsid w:val="00AF7FDB"/>
    <w:rsid w:val="00B021A3"/>
    <w:rsid w:val="00B056A9"/>
    <w:rsid w:val="00B118BB"/>
    <w:rsid w:val="00B26639"/>
    <w:rsid w:val="00B270E7"/>
    <w:rsid w:val="00B347B0"/>
    <w:rsid w:val="00B34B80"/>
    <w:rsid w:val="00B352B3"/>
    <w:rsid w:val="00B412F4"/>
    <w:rsid w:val="00B42505"/>
    <w:rsid w:val="00B43402"/>
    <w:rsid w:val="00B452EE"/>
    <w:rsid w:val="00B55810"/>
    <w:rsid w:val="00B55BC5"/>
    <w:rsid w:val="00B56067"/>
    <w:rsid w:val="00B56BC2"/>
    <w:rsid w:val="00B618FD"/>
    <w:rsid w:val="00B664F0"/>
    <w:rsid w:val="00B67B5C"/>
    <w:rsid w:val="00B7048F"/>
    <w:rsid w:val="00B72A80"/>
    <w:rsid w:val="00B72C63"/>
    <w:rsid w:val="00B72F7C"/>
    <w:rsid w:val="00B73596"/>
    <w:rsid w:val="00B74355"/>
    <w:rsid w:val="00B76355"/>
    <w:rsid w:val="00B76AC2"/>
    <w:rsid w:val="00B77C41"/>
    <w:rsid w:val="00B84949"/>
    <w:rsid w:val="00B90E6E"/>
    <w:rsid w:val="00B92436"/>
    <w:rsid w:val="00B92812"/>
    <w:rsid w:val="00B92FBA"/>
    <w:rsid w:val="00B94A7E"/>
    <w:rsid w:val="00BA0185"/>
    <w:rsid w:val="00BA301A"/>
    <w:rsid w:val="00BA5CF3"/>
    <w:rsid w:val="00BB1FAB"/>
    <w:rsid w:val="00BB4E11"/>
    <w:rsid w:val="00BD0113"/>
    <w:rsid w:val="00BD0B38"/>
    <w:rsid w:val="00BD1018"/>
    <w:rsid w:val="00BD52D5"/>
    <w:rsid w:val="00BD6A05"/>
    <w:rsid w:val="00BD7794"/>
    <w:rsid w:val="00BE0DEB"/>
    <w:rsid w:val="00BE20B2"/>
    <w:rsid w:val="00BE6CC9"/>
    <w:rsid w:val="00BE7A59"/>
    <w:rsid w:val="00BF30F5"/>
    <w:rsid w:val="00BF560C"/>
    <w:rsid w:val="00C01DD4"/>
    <w:rsid w:val="00C024DF"/>
    <w:rsid w:val="00C04C2D"/>
    <w:rsid w:val="00C06094"/>
    <w:rsid w:val="00C1091B"/>
    <w:rsid w:val="00C11D25"/>
    <w:rsid w:val="00C176CD"/>
    <w:rsid w:val="00C206D6"/>
    <w:rsid w:val="00C21D35"/>
    <w:rsid w:val="00C22333"/>
    <w:rsid w:val="00C23862"/>
    <w:rsid w:val="00C33580"/>
    <w:rsid w:val="00C33A05"/>
    <w:rsid w:val="00C37A0D"/>
    <w:rsid w:val="00C41CF5"/>
    <w:rsid w:val="00C43F4E"/>
    <w:rsid w:val="00C524E5"/>
    <w:rsid w:val="00C53FDA"/>
    <w:rsid w:val="00C54845"/>
    <w:rsid w:val="00C61375"/>
    <w:rsid w:val="00C66D45"/>
    <w:rsid w:val="00C7207E"/>
    <w:rsid w:val="00C73864"/>
    <w:rsid w:val="00C76E56"/>
    <w:rsid w:val="00C80354"/>
    <w:rsid w:val="00C8253E"/>
    <w:rsid w:val="00C82EAB"/>
    <w:rsid w:val="00C85907"/>
    <w:rsid w:val="00C85CC6"/>
    <w:rsid w:val="00C909F4"/>
    <w:rsid w:val="00C92EA1"/>
    <w:rsid w:val="00C93E16"/>
    <w:rsid w:val="00C947C0"/>
    <w:rsid w:val="00C9511F"/>
    <w:rsid w:val="00CA0B53"/>
    <w:rsid w:val="00CA2019"/>
    <w:rsid w:val="00CA27FA"/>
    <w:rsid w:val="00CA2FF1"/>
    <w:rsid w:val="00CA45DA"/>
    <w:rsid w:val="00CA4A38"/>
    <w:rsid w:val="00CA58D1"/>
    <w:rsid w:val="00CA7BC4"/>
    <w:rsid w:val="00CB310E"/>
    <w:rsid w:val="00CB3309"/>
    <w:rsid w:val="00CB6D3B"/>
    <w:rsid w:val="00CC134D"/>
    <w:rsid w:val="00CC1DE3"/>
    <w:rsid w:val="00CC6A43"/>
    <w:rsid w:val="00CC7766"/>
    <w:rsid w:val="00CD3178"/>
    <w:rsid w:val="00CD35B3"/>
    <w:rsid w:val="00CD75FD"/>
    <w:rsid w:val="00CE21CC"/>
    <w:rsid w:val="00CE54BB"/>
    <w:rsid w:val="00CF1052"/>
    <w:rsid w:val="00CF306B"/>
    <w:rsid w:val="00CF30EC"/>
    <w:rsid w:val="00CF55F3"/>
    <w:rsid w:val="00D01B32"/>
    <w:rsid w:val="00D03293"/>
    <w:rsid w:val="00D03CFC"/>
    <w:rsid w:val="00D04383"/>
    <w:rsid w:val="00D068CA"/>
    <w:rsid w:val="00D074EA"/>
    <w:rsid w:val="00D10136"/>
    <w:rsid w:val="00D12265"/>
    <w:rsid w:val="00D146B5"/>
    <w:rsid w:val="00D1492C"/>
    <w:rsid w:val="00D16C2A"/>
    <w:rsid w:val="00D230B2"/>
    <w:rsid w:val="00D31795"/>
    <w:rsid w:val="00D33510"/>
    <w:rsid w:val="00D36714"/>
    <w:rsid w:val="00D3779E"/>
    <w:rsid w:val="00D40DD7"/>
    <w:rsid w:val="00D4380E"/>
    <w:rsid w:val="00D43ACB"/>
    <w:rsid w:val="00D470AE"/>
    <w:rsid w:val="00D47256"/>
    <w:rsid w:val="00D52749"/>
    <w:rsid w:val="00D6684D"/>
    <w:rsid w:val="00D74082"/>
    <w:rsid w:val="00D81225"/>
    <w:rsid w:val="00D8663D"/>
    <w:rsid w:val="00D93DDC"/>
    <w:rsid w:val="00D95D5D"/>
    <w:rsid w:val="00D96911"/>
    <w:rsid w:val="00D9697B"/>
    <w:rsid w:val="00DA248D"/>
    <w:rsid w:val="00DA2740"/>
    <w:rsid w:val="00DA6D01"/>
    <w:rsid w:val="00DA6F89"/>
    <w:rsid w:val="00DB2BF8"/>
    <w:rsid w:val="00DD03B1"/>
    <w:rsid w:val="00DD03FC"/>
    <w:rsid w:val="00DD425C"/>
    <w:rsid w:val="00DD49DD"/>
    <w:rsid w:val="00DD5199"/>
    <w:rsid w:val="00DD5511"/>
    <w:rsid w:val="00DE2CBB"/>
    <w:rsid w:val="00DE2F8E"/>
    <w:rsid w:val="00DE321F"/>
    <w:rsid w:val="00DF1999"/>
    <w:rsid w:val="00DF1D57"/>
    <w:rsid w:val="00DF3823"/>
    <w:rsid w:val="00DF690F"/>
    <w:rsid w:val="00DF7CAC"/>
    <w:rsid w:val="00E00711"/>
    <w:rsid w:val="00E0284E"/>
    <w:rsid w:val="00E052CD"/>
    <w:rsid w:val="00E07131"/>
    <w:rsid w:val="00E07C49"/>
    <w:rsid w:val="00E1001D"/>
    <w:rsid w:val="00E11D65"/>
    <w:rsid w:val="00E14108"/>
    <w:rsid w:val="00E2137C"/>
    <w:rsid w:val="00E214BE"/>
    <w:rsid w:val="00E263F7"/>
    <w:rsid w:val="00E308E8"/>
    <w:rsid w:val="00E31D13"/>
    <w:rsid w:val="00E34F5E"/>
    <w:rsid w:val="00E40909"/>
    <w:rsid w:val="00E40C75"/>
    <w:rsid w:val="00E442FB"/>
    <w:rsid w:val="00E46326"/>
    <w:rsid w:val="00E4754C"/>
    <w:rsid w:val="00E526C0"/>
    <w:rsid w:val="00E55078"/>
    <w:rsid w:val="00E573AB"/>
    <w:rsid w:val="00E60602"/>
    <w:rsid w:val="00E62ACE"/>
    <w:rsid w:val="00E6535F"/>
    <w:rsid w:val="00E65BDE"/>
    <w:rsid w:val="00E7099E"/>
    <w:rsid w:val="00E71EED"/>
    <w:rsid w:val="00E74373"/>
    <w:rsid w:val="00E75974"/>
    <w:rsid w:val="00E76538"/>
    <w:rsid w:val="00E80007"/>
    <w:rsid w:val="00E807F4"/>
    <w:rsid w:val="00E80A1B"/>
    <w:rsid w:val="00E82AE1"/>
    <w:rsid w:val="00E85424"/>
    <w:rsid w:val="00E93C1F"/>
    <w:rsid w:val="00E960E8"/>
    <w:rsid w:val="00E97FFB"/>
    <w:rsid w:val="00ED29A2"/>
    <w:rsid w:val="00ED2F7C"/>
    <w:rsid w:val="00ED5708"/>
    <w:rsid w:val="00EE0A37"/>
    <w:rsid w:val="00EE7758"/>
    <w:rsid w:val="00EF02E3"/>
    <w:rsid w:val="00EF02F4"/>
    <w:rsid w:val="00EF55CC"/>
    <w:rsid w:val="00F025AA"/>
    <w:rsid w:val="00F1201A"/>
    <w:rsid w:val="00F12C52"/>
    <w:rsid w:val="00F21C36"/>
    <w:rsid w:val="00F229EC"/>
    <w:rsid w:val="00F26895"/>
    <w:rsid w:val="00F27116"/>
    <w:rsid w:val="00F30374"/>
    <w:rsid w:val="00F34618"/>
    <w:rsid w:val="00F376B0"/>
    <w:rsid w:val="00F40CE6"/>
    <w:rsid w:val="00F43A32"/>
    <w:rsid w:val="00F52253"/>
    <w:rsid w:val="00F53C8B"/>
    <w:rsid w:val="00F56B7D"/>
    <w:rsid w:val="00F61DB1"/>
    <w:rsid w:val="00F648FE"/>
    <w:rsid w:val="00F67EA0"/>
    <w:rsid w:val="00F71E80"/>
    <w:rsid w:val="00F74873"/>
    <w:rsid w:val="00F752DC"/>
    <w:rsid w:val="00F808B8"/>
    <w:rsid w:val="00F83132"/>
    <w:rsid w:val="00F92194"/>
    <w:rsid w:val="00F92215"/>
    <w:rsid w:val="00F936E6"/>
    <w:rsid w:val="00F950AD"/>
    <w:rsid w:val="00F95BDF"/>
    <w:rsid w:val="00F9693A"/>
    <w:rsid w:val="00F97732"/>
    <w:rsid w:val="00FA066F"/>
    <w:rsid w:val="00FA080D"/>
    <w:rsid w:val="00FA242C"/>
    <w:rsid w:val="00FA529D"/>
    <w:rsid w:val="00FA5F6E"/>
    <w:rsid w:val="00FB0F80"/>
    <w:rsid w:val="00FB195A"/>
    <w:rsid w:val="00FB3073"/>
    <w:rsid w:val="00FB37A9"/>
    <w:rsid w:val="00FC3477"/>
    <w:rsid w:val="00FC3949"/>
    <w:rsid w:val="00FC6D3E"/>
    <w:rsid w:val="00FC7455"/>
    <w:rsid w:val="00FD103E"/>
    <w:rsid w:val="00FD370D"/>
    <w:rsid w:val="00FD48EF"/>
    <w:rsid w:val="00FD65CE"/>
    <w:rsid w:val="00FD663D"/>
    <w:rsid w:val="00FE2349"/>
    <w:rsid w:val="00FE494A"/>
    <w:rsid w:val="00FE497D"/>
    <w:rsid w:val="00FF74F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27F54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line="100" w:lineRule="atLeast"/>
    </w:pPr>
    <w:rPr>
      <w:sz w:val="24"/>
      <w:szCs w:val="24"/>
      <w:lang w:val="lv-LV" w:eastAsia="ar-SA"/>
    </w:rPr>
  </w:style>
  <w:style w:type="paragraph" w:styleId="Heading3">
    <w:name w:val="heading 3"/>
    <w:basedOn w:val="Normal"/>
    <w:next w:val="BodyText"/>
    <w:qFormat/>
    <w:pPr>
      <w:numPr>
        <w:ilvl w:val="2"/>
        <w:numId w:val="1"/>
      </w:numPr>
      <w:spacing w:before="100" w:after="100"/>
      <w:outlineLvl w:val="2"/>
    </w:pPr>
    <w:rPr>
      <w:b/>
      <w:bCs/>
      <w:sz w:val="27"/>
      <w:szCs w:val="27"/>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graphFont1">
    <w:name w:val="Default Paragraph Font1"/>
  </w:style>
  <w:style w:type="character" w:customStyle="1" w:styleId="HeaderChar">
    <w:name w:val="Header Char"/>
    <w:rPr>
      <w:rFonts w:eastAsia="Times New Roman" w:cs="Times New Roman"/>
      <w:szCs w:val="24"/>
      <w:lang w:val="en-US"/>
    </w:rPr>
  </w:style>
  <w:style w:type="character" w:customStyle="1" w:styleId="BodyText2Char">
    <w:name w:val="Body Text 2 Char"/>
    <w:rPr>
      <w:rFonts w:eastAsia="Times New Roman" w:cs="Times New Roman"/>
      <w:szCs w:val="24"/>
      <w:lang w:val="en-US"/>
    </w:rPr>
  </w:style>
  <w:style w:type="character" w:customStyle="1" w:styleId="FooterChar">
    <w:name w:val="Footer Char"/>
    <w:rPr>
      <w:rFonts w:eastAsia="Times New Roman" w:cs="Times New Roman"/>
      <w:szCs w:val="24"/>
    </w:rPr>
  </w:style>
  <w:style w:type="character" w:customStyle="1" w:styleId="CommentReference1">
    <w:name w:val="Comment Reference1"/>
    <w:rPr>
      <w:sz w:val="16"/>
      <w:szCs w:val="16"/>
    </w:rPr>
  </w:style>
  <w:style w:type="character" w:customStyle="1" w:styleId="CommentTextChar">
    <w:name w:val="Comment Text Char"/>
    <w:link w:val="CommentText"/>
    <w:uiPriority w:val="99"/>
    <w:rPr>
      <w:rFonts w:eastAsia="Times New Roman" w:cs="Times New Roman"/>
      <w:sz w:val="20"/>
      <w:szCs w:val="20"/>
    </w:rPr>
  </w:style>
  <w:style w:type="character" w:customStyle="1" w:styleId="CommentSubjectChar">
    <w:name w:val="Comment Subject Char"/>
    <w:rPr>
      <w:rFonts w:eastAsia="Times New Roman" w:cs="Times New Roman"/>
      <w:b/>
      <w:bCs/>
      <w:sz w:val="20"/>
      <w:szCs w:val="20"/>
    </w:rPr>
  </w:style>
  <w:style w:type="character" w:customStyle="1" w:styleId="BalloonTextChar">
    <w:name w:val="Balloon Text Char"/>
    <w:rPr>
      <w:rFonts w:ascii="Segoe UI" w:eastAsia="Times New Roman" w:hAnsi="Segoe UI" w:cs="Segoe UI"/>
      <w:sz w:val="18"/>
      <w:szCs w:val="18"/>
    </w:rPr>
  </w:style>
  <w:style w:type="character" w:customStyle="1" w:styleId="PageNumber1">
    <w:name w:val="Page Number1"/>
    <w:basedOn w:val="DefaultParagraphFont1"/>
  </w:style>
  <w:style w:type="character" w:customStyle="1" w:styleId="ATpamatteskstsChar">
    <w:name w:val="AT pamattesksts Char"/>
    <w:rPr>
      <w:rFonts w:eastAsia="Times New Roman" w:cs="Times New Roman"/>
      <w:szCs w:val="24"/>
      <w:lang w:val="en-US"/>
    </w:rPr>
  </w:style>
  <w:style w:type="character" w:customStyle="1" w:styleId="ATvirsrakstsChar">
    <w:name w:val="AT virsraksts Char"/>
    <w:rPr>
      <w:rFonts w:eastAsia="Times New Roman" w:cs="Times New Roman"/>
      <w:b/>
      <w:szCs w:val="24"/>
    </w:rPr>
  </w:style>
  <w:style w:type="character" w:styleId="Hyperlink">
    <w:name w:val="Hyperlink"/>
    <w:rPr>
      <w:color w:val="0000FF"/>
      <w:u w:val="single"/>
    </w:rPr>
  </w:style>
  <w:style w:type="character" w:customStyle="1" w:styleId="UnresolvedMention1">
    <w:name w:val="Unresolved Mention1"/>
    <w:rPr>
      <w:color w:val="605E5C"/>
    </w:rPr>
  </w:style>
  <w:style w:type="character" w:customStyle="1" w:styleId="Heading3Char">
    <w:name w:val="Heading 3 Char"/>
    <w:rPr>
      <w:rFonts w:eastAsia="Times New Roman" w:cs="Times New Roman"/>
      <w:b/>
      <w:bCs/>
      <w:sz w:val="27"/>
      <w:szCs w:val="27"/>
      <w:lang w:val="en-GB"/>
    </w:rPr>
  </w:style>
  <w:style w:type="paragraph" w:customStyle="1" w:styleId="Heading">
    <w:name w:val="Heading"/>
    <w:basedOn w:val="Normal"/>
    <w:next w:val="BodyText"/>
    <w:pPr>
      <w:keepNext/>
      <w:spacing w:before="240" w:after="120"/>
    </w:pPr>
    <w:rPr>
      <w:rFonts w:ascii="Arial" w:eastAsia="Microsoft YaHei" w:hAnsi="Arial" w:cs="Arial"/>
      <w:sz w:val="28"/>
      <w:szCs w:val="28"/>
    </w:rPr>
  </w:style>
  <w:style w:type="paragraph" w:styleId="BodyText">
    <w:name w:val="Body Text"/>
    <w:basedOn w:val="Normal"/>
    <w:pPr>
      <w:spacing w:after="120"/>
    </w:pPr>
  </w:style>
  <w:style w:type="paragraph" w:styleId="List">
    <w:name w:val="List"/>
    <w:basedOn w:val="BodyText"/>
    <w:rPr>
      <w:rFonts w:cs="Arial"/>
    </w:rPr>
  </w:style>
  <w:style w:type="paragraph" w:customStyle="1" w:styleId="Caption1">
    <w:name w:val="Caption1"/>
    <w:basedOn w:val="Normal"/>
    <w:pPr>
      <w:suppressLineNumbers/>
      <w:spacing w:before="120" w:after="120"/>
    </w:pPr>
    <w:rPr>
      <w:rFonts w:cs="Arial"/>
      <w:i/>
      <w:iCs/>
    </w:rPr>
  </w:style>
  <w:style w:type="paragraph" w:customStyle="1" w:styleId="Index">
    <w:name w:val="Index"/>
    <w:basedOn w:val="Normal"/>
    <w:pPr>
      <w:suppressLineNumbers/>
    </w:pPr>
    <w:rPr>
      <w:rFonts w:cs="Arial"/>
    </w:rPr>
  </w:style>
  <w:style w:type="paragraph" w:styleId="Header">
    <w:name w:val="header"/>
    <w:basedOn w:val="Normal"/>
    <w:pPr>
      <w:suppressLineNumbers/>
      <w:tabs>
        <w:tab w:val="center" w:pos="4320"/>
        <w:tab w:val="right" w:pos="8640"/>
      </w:tabs>
    </w:pPr>
    <w:rPr>
      <w:lang w:val="en-US"/>
    </w:rPr>
  </w:style>
  <w:style w:type="paragraph" w:customStyle="1" w:styleId="BodyText21">
    <w:name w:val="Body Text 21"/>
    <w:basedOn w:val="Normal"/>
    <w:pPr>
      <w:spacing w:after="120" w:line="480" w:lineRule="auto"/>
    </w:pPr>
    <w:rPr>
      <w:lang w:val="en-US"/>
    </w:rPr>
  </w:style>
  <w:style w:type="paragraph" w:styleId="Footer">
    <w:name w:val="footer"/>
    <w:basedOn w:val="Normal"/>
    <w:pPr>
      <w:suppressLineNumbers/>
      <w:tabs>
        <w:tab w:val="center" w:pos="4153"/>
        <w:tab w:val="right" w:pos="8306"/>
      </w:tabs>
    </w:pPr>
  </w:style>
  <w:style w:type="paragraph" w:customStyle="1" w:styleId="CommentText1">
    <w:name w:val="Comment Text1"/>
    <w:basedOn w:val="Normal"/>
    <w:rPr>
      <w:sz w:val="20"/>
      <w:szCs w:val="20"/>
    </w:rPr>
  </w:style>
  <w:style w:type="paragraph" w:customStyle="1" w:styleId="CommentSubject1">
    <w:name w:val="Comment Subject1"/>
    <w:basedOn w:val="CommentText1"/>
    <w:rPr>
      <w:b/>
      <w:bCs/>
    </w:rPr>
  </w:style>
  <w:style w:type="paragraph" w:customStyle="1" w:styleId="BalloonText1">
    <w:name w:val="Balloon Text1"/>
    <w:basedOn w:val="Normal"/>
    <w:rPr>
      <w:rFonts w:ascii="Segoe UI" w:hAnsi="Segoe UI" w:cs="Segoe UI"/>
      <w:sz w:val="18"/>
      <w:szCs w:val="18"/>
    </w:rPr>
  </w:style>
  <w:style w:type="paragraph" w:customStyle="1" w:styleId="ATpamattesksts">
    <w:name w:val="AT pamattesksts"/>
    <w:basedOn w:val="BodyText21"/>
    <w:pPr>
      <w:spacing w:after="0" w:line="276" w:lineRule="auto"/>
      <w:ind w:firstLine="567"/>
      <w:jc w:val="both"/>
    </w:pPr>
    <w:rPr>
      <w:lang w:val="lv-LV"/>
    </w:rPr>
  </w:style>
  <w:style w:type="paragraph" w:customStyle="1" w:styleId="ATvirsraksts">
    <w:name w:val="AT virsraksts"/>
    <w:basedOn w:val="Normal"/>
    <w:pPr>
      <w:spacing w:line="276" w:lineRule="auto"/>
      <w:jc w:val="center"/>
    </w:pPr>
    <w:rPr>
      <w:b/>
    </w:rPr>
  </w:style>
  <w:style w:type="paragraph" w:customStyle="1" w:styleId="NormalWeb1">
    <w:name w:val="Normal (Web)1"/>
    <w:basedOn w:val="Normal"/>
    <w:pPr>
      <w:spacing w:before="100" w:after="100"/>
    </w:pPr>
    <w:rPr>
      <w:lang w:val="en-GB"/>
    </w:rPr>
  </w:style>
  <w:style w:type="paragraph" w:customStyle="1" w:styleId="tv213">
    <w:name w:val="tv213"/>
    <w:basedOn w:val="Normal"/>
    <w:pPr>
      <w:spacing w:before="100" w:after="100"/>
    </w:pPr>
    <w:rPr>
      <w:lang w:val="en-GB"/>
    </w:rPr>
  </w:style>
  <w:style w:type="paragraph" w:customStyle="1" w:styleId="tvhtmlmktable">
    <w:name w:val="tv_html mk_table"/>
    <w:basedOn w:val="Normal"/>
    <w:pPr>
      <w:spacing w:before="100" w:after="100"/>
    </w:pPr>
    <w:rPr>
      <w:rFonts w:ascii="Verdana" w:hAnsi="Verdana"/>
      <w:sz w:val="18"/>
      <w:szCs w:val="18"/>
    </w:rPr>
  </w:style>
  <w:style w:type="paragraph" w:styleId="BalloonText">
    <w:name w:val="Balloon Text"/>
    <w:basedOn w:val="Normal"/>
    <w:link w:val="BalloonTextChar1"/>
    <w:uiPriority w:val="99"/>
    <w:semiHidden/>
    <w:unhideWhenUsed/>
    <w:rsid w:val="00D74082"/>
    <w:pPr>
      <w:spacing w:line="240" w:lineRule="auto"/>
    </w:pPr>
    <w:rPr>
      <w:rFonts w:ascii="Segoe UI" w:hAnsi="Segoe UI" w:cs="Segoe UI"/>
      <w:sz w:val="18"/>
      <w:szCs w:val="18"/>
    </w:rPr>
  </w:style>
  <w:style w:type="character" w:customStyle="1" w:styleId="BalloonTextChar1">
    <w:name w:val="Balloon Text Char1"/>
    <w:link w:val="BalloonText"/>
    <w:uiPriority w:val="99"/>
    <w:semiHidden/>
    <w:rsid w:val="00D74082"/>
    <w:rPr>
      <w:rFonts w:ascii="Segoe UI" w:hAnsi="Segoe UI" w:cs="Segoe UI"/>
      <w:sz w:val="18"/>
      <w:szCs w:val="18"/>
      <w:lang w:eastAsia="ar-SA"/>
    </w:rPr>
  </w:style>
  <w:style w:type="paragraph" w:styleId="NoSpacing">
    <w:name w:val="No Spacing"/>
    <w:uiPriority w:val="1"/>
    <w:qFormat/>
    <w:rsid w:val="0088446A"/>
    <w:rPr>
      <w:rFonts w:eastAsia="Calibri" w:cs="Arial"/>
      <w:sz w:val="24"/>
      <w:szCs w:val="22"/>
      <w:lang w:val="lv-LV"/>
    </w:rPr>
  </w:style>
  <w:style w:type="character" w:styleId="CommentReference">
    <w:name w:val="annotation reference"/>
    <w:uiPriority w:val="99"/>
    <w:semiHidden/>
    <w:unhideWhenUsed/>
    <w:rsid w:val="0088446A"/>
    <w:rPr>
      <w:sz w:val="16"/>
      <w:szCs w:val="16"/>
    </w:rPr>
  </w:style>
  <w:style w:type="paragraph" w:styleId="CommentText">
    <w:name w:val="annotation text"/>
    <w:basedOn w:val="Normal"/>
    <w:link w:val="CommentTextChar"/>
    <w:uiPriority w:val="99"/>
    <w:unhideWhenUsed/>
    <w:rsid w:val="0088446A"/>
    <w:pPr>
      <w:suppressAutoHyphens w:val="0"/>
      <w:spacing w:after="160" w:line="240" w:lineRule="auto"/>
    </w:pPr>
    <w:rPr>
      <w:sz w:val="20"/>
      <w:szCs w:val="20"/>
      <w:lang w:val="en-US" w:eastAsia="en-US"/>
    </w:rPr>
  </w:style>
  <w:style w:type="character" w:customStyle="1" w:styleId="CommentTextChar1">
    <w:name w:val="Comment Text Char1"/>
    <w:uiPriority w:val="99"/>
    <w:semiHidden/>
    <w:rsid w:val="0088446A"/>
    <w:rPr>
      <w:lang w:val="lv-LV" w:eastAsia="ar-SA"/>
    </w:rPr>
  </w:style>
  <w:style w:type="paragraph" w:styleId="CommentSubject">
    <w:name w:val="annotation subject"/>
    <w:basedOn w:val="CommentText"/>
    <w:next w:val="CommentText"/>
    <w:link w:val="CommentSubjectChar1"/>
    <w:uiPriority w:val="99"/>
    <w:semiHidden/>
    <w:unhideWhenUsed/>
    <w:rsid w:val="00C06094"/>
    <w:pPr>
      <w:suppressAutoHyphens/>
      <w:spacing w:after="0" w:line="100" w:lineRule="atLeast"/>
    </w:pPr>
    <w:rPr>
      <w:b/>
      <w:bCs/>
      <w:lang w:val="lv-LV" w:eastAsia="ar-SA"/>
    </w:rPr>
  </w:style>
  <w:style w:type="character" w:customStyle="1" w:styleId="CommentSubjectChar1">
    <w:name w:val="Comment Subject Char1"/>
    <w:link w:val="CommentSubject"/>
    <w:uiPriority w:val="99"/>
    <w:semiHidden/>
    <w:rsid w:val="00C06094"/>
    <w:rPr>
      <w:rFonts w:eastAsia="Times New Roman" w:cs="Times New Roman"/>
      <w:b/>
      <w:bCs/>
      <w:sz w:val="20"/>
      <w:szCs w:val="20"/>
      <w:lang w:val="lv-LV" w:eastAsia="ar-SA"/>
    </w:rPr>
  </w:style>
  <w:style w:type="character" w:customStyle="1" w:styleId="UnresolvedMention">
    <w:name w:val="Unresolved Mention"/>
    <w:basedOn w:val="DefaultParagraphFont"/>
    <w:uiPriority w:val="99"/>
    <w:semiHidden/>
    <w:unhideWhenUsed/>
    <w:rsid w:val="00BD0113"/>
    <w:rPr>
      <w:color w:val="605E5C"/>
      <w:shd w:val="clear" w:color="auto" w:fill="E1DFDD"/>
    </w:rPr>
  </w:style>
  <w:style w:type="paragraph" w:styleId="ListParagraph">
    <w:name w:val="List Paragraph"/>
    <w:basedOn w:val="Normal"/>
    <w:uiPriority w:val="34"/>
    <w:qFormat/>
    <w:rsid w:val="00E2137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921078">
      <w:bodyDiv w:val="1"/>
      <w:marLeft w:val="0"/>
      <w:marRight w:val="0"/>
      <w:marTop w:val="0"/>
      <w:marBottom w:val="0"/>
      <w:divBdr>
        <w:top w:val="none" w:sz="0" w:space="0" w:color="auto"/>
        <w:left w:val="none" w:sz="0" w:space="0" w:color="auto"/>
        <w:bottom w:val="none" w:sz="0" w:space="0" w:color="auto"/>
        <w:right w:val="none" w:sz="0" w:space="0" w:color="auto"/>
      </w:divBdr>
    </w:div>
    <w:div w:id="398408370">
      <w:bodyDiv w:val="1"/>
      <w:marLeft w:val="0"/>
      <w:marRight w:val="0"/>
      <w:marTop w:val="0"/>
      <w:marBottom w:val="0"/>
      <w:divBdr>
        <w:top w:val="none" w:sz="0" w:space="0" w:color="auto"/>
        <w:left w:val="none" w:sz="0" w:space="0" w:color="auto"/>
        <w:bottom w:val="none" w:sz="0" w:space="0" w:color="auto"/>
        <w:right w:val="none" w:sz="0" w:space="0" w:color="auto"/>
      </w:divBdr>
    </w:div>
    <w:div w:id="603880021">
      <w:bodyDiv w:val="1"/>
      <w:marLeft w:val="0"/>
      <w:marRight w:val="0"/>
      <w:marTop w:val="0"/>
      <w:marBottom w:val="0"/>
      <w:divBdr>
        <w:top w:val="none" w:sz="0" w:space="0" w:color="auto"/>
        <w:left w:val="none" w:sz="0" w:space="0" w:color="auto"/>
        <w:bottom w:val="none" w:sz="0" w:space="0" w:color="auto"/>
        <w:right w:val="none" w:sz="0" w:space="0" w:color="auto"/>
      </w:divBdr>
    </w:div>
    <w:div w:id="612636470">
      <w:bodyDiv w:val="1"/>
      <w:marLeft w:val="0"/>
      <w:marRight w:val="0"/>
      <w:marTop w:val="0"/>
      <w:marBottom w:val="0"/>
      <w:divBdr>
        <w:top w:val="none" w:sz="0" w:space="0" w:color="auto"/>
        <w:left w:val="none" w:sz="0" w:space="0" w:color="auto"/>
        <w:bottom w:val="none" w:sz="0" w:space="0" w:color="auto"/>
        <w:right w:val="none" w:sz="0" w:space="0" w:color="auto"/>
      </w:divBdr>
    </w:div>
    <w:div w:id="621497577">
      <w:bodyDiv w:val="1"/>
      <w:marLeft w:val="0"/>
      <w:marRight w:val="0"/>
      <w:marTop w:val="0"/>
      <w:marBottom w:val="0"/>
      <w:divBdr>
        <w:top w:val="none" w:sz="0" w:space="0" w:color="auto"/>
        <w:left w:val="none" w:sz="0" w:space="0" w:color="auto"/>
        <w:bottom w:val="none" w:sz="0" w:space="0" w:color="auto"/>
        <w:right w:val="none" w:sz="0" w:space="0" w:color="auto"/>
      </w:divBdr>
    </w:div>
    <w:div w:id="912734680">
      <w:bodyDiv w:val="1"/>
      <w:marLeft w:val="0"/>
      <w:marRight w:val="0"/>
      <w:marTop w:val="0"/>
      <w:marBottom w:val="0"/>
      <w:divBdr>
        <w:top w:val="none" w:sz="0" w:space="0" w:color="auto"/>
        <w:left w:val="none" w:sz="0" w:space="0" w:color="auto"/>
        <w:bottom w:val="none" w:sz="0" w:space="0" w:color="auto"/>
        <w:right w:val="none" w:sz="0" w:space="0" w:color="auto"/>
      </w:divBdr>
      <w:divsChild>
        <w:div w:id="86855143">
          <w:marLeft w:val="0"/>
          <w:marRight w:val="0"/>
          <w:marTop w:val="0"/>
          <w:marBottom w:val="0"/>
          <w:divBdr>
            <w:top w:val="none" w:sz="0" w:space="0" w:color="auto"/>
            <w:left w:val="none" w:sz="0" w:space="0" w:color="auto"/>
            <w:bottom w:val="none" w:sz="0" w:space="0" w:color="auto"/>
            <w:right w:val="none" w:sz="0" w:space="0" w:color="auto"/>
          </w:divBdr>
        </w:div>
        <w:div w:id="791243919">
          <w:marLeft w:val="0"/>
          <w:marRight w:val="0"/>
          <w:marTop w:val="0"/>
          <w:marBottom w:val="0"/>
          <w:divBdr>
            <w:top w:val="none" w:sz="0" w:space="0" w:color="auto"/>
            <w:left w:val="none" w:sz="0" w:space="0" w:color="auto"/>
            <w:bottom w:val="none" w:sz="0" w:space="0" w:color="auto"/>
            <w:right w:val="none" w:sz="0" w:space="0" w:color="auto"/>
          </w:divBdr>
        </w:div>
        <w:div w:id="1528331514">
          <w:marLeft w:val="0"/>
          <w:marRight w:val="0"/>
          <w:marTop w:val="0"/>
          <w:marBottom w:val="0"/>
          <w:divBdr>
            <w:top w:val="none" w:sz="0" w:space="0" w:color="auto"/>
            <w:left w:val="none" w:sz="0" w:space="0" w:color="auto"/>
            <w:bottom w:val="none" w:sz="0" w:space="0" w:color="auto"/>
            <w:right w:val="none" w:sz="0" w:space="0" w:color="auto"/>
          </w:divBdr>
        </w:div>
      </w:divsChild>
    </w:div>
    <w:div w:id="1076822082">
      <w:bodyDiv w:val="1"/>
      <w:marLeft w:val="0"/>
      <w:marRight w:val="0"/>
      <w:marTop w:val="0"/>
      <w:marBottom w:val="0"/>
      <w:divBdr>
        <w:top w:val="none" w:sz="0" w:space="0" w:color="auto"/>
        <w:left w:val="none" w:sz="0" w:space="0" w:color="auto"/>
        <w:bottom w:val="none" w:sz="0" w:space="0" w:color="auto"/>
        <w:right w:val="none" w:sz="0" w:space="0" w:color="auto"/>
      </w:divBdr>
    </w:div>
    <w:div w:id="1314482882">
      <w:bodyDiv w:val="1"/>
      <w:marLeft w:val="0"/>
      <w:marRight w:val="0"/>
      <w:marTop w:val="0"/>
      <w:marBottom w:val="0"/>
      <w:divBdr>
        <w:top w:val="none" w:sz="0" w:space="0" w:color="auto"/>
        <w:left w:val="none" w:sz="0" w:space="0" w:color="auto"/>
        <w:bottom w:val="none" w:sz="0" w:space="0" w:color="auto"/>
        <w:right w:val="none" w:sz="0" w:space="0" w:color="auto"/>
      </w:divBdr>
    </w:div>
    <w:div w:id="1343774741">
      <w:bodyDiv w:val="1"/>
      <w:marLeft w:val="0"/>
      <w:marRight w:val="0"/>
      <w:marTop w:val="0"/>
      <w:marBottom w:val="0"/>
      <w:divBdr>
        <w:top w:val="none" w:sz="0" w:space="0" w:color="auto"/>
        <w:left w:val="none" w:sz="0" w:space="0" w:color="auto"/>
        <w:bottom w:val="none" w:sz="0" w:space="0" w:color="auto"/>
        <w:right w:val="none" w:sz="0" w:space="0" w:color="auto"/>
      </w:divBdr>
    </w:div>
    <w:div w:id="1467815946">
      <w:bodyDiv w:val="1"/>
      <w:marLeft w:val="0"/>
      <w:marRight w:val="0"/>
      <w:marTop w:val="0"/>
      <w:marBottom w:val="0"/>
      <w:divBdr>
        <w:top w:val="none" w:sz="0" w:space="0" w:color="auto"/>
        <w:left w:val="none" w:sz="0" w:space="0" w:color="auto"/>
        <w:bottom w:val="none" w:sz="0" w:space="0" w:color="auto"/>
        <w:right w:val="none" w:sz="0" w:space="0" w:color="auto"/>
      </w:divBdr>
    </w:div>
    <w:div w:id="1570456617">
      <w:bodyDiv w:val="1"/>
      <w:marLeft w:val="0"/>
      <w:marRight w:val="0"/>
      <w:marTop w:val="0"/>
      <w:marBottom w:val="0"/>
      <w:divBdr>
        <w:top w:val="none" w:sz="0" w:space="0" w:color="auto"/>
        <w:left w:val="none" w:sz="0" w:space="0" w:color="auto"/>
        <w:bottom w:val="none" w:sz="0" w:space="0" w:color="auto"/>
        <w:right w:val="none" w:sz="0" w:space="0" w:color="auto"/>
      </w:divBdr>
    </w:div>
    <w:div w:id="1726642905">
      <w:bodyDiv w:val="1"/>
      <w:marLeft w:val="0"/>
      <w:marRight w:val="0"/>
      <w:marTop w:val="0"/>
      <w:marBottom w:val="0"/>
      <w:divBdr>
        <w:top w:val="none" w:sz="0" w:space="0" w:color="auto"/>
        <w:left w:val="none" w:sz="0" w:space="0" w:color="auto"/>
        <w:bottom w:val="none" w:sz="0" w:space="0" w:color="auto"/>
        <w:right w:val="none" w:sz="0" w:space="0" w:color="auto"/>
      </w:divBdr>
    </w:div>
    <w:div w:id="19912492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eclinolemumi/ECLI:LV:AT:2021:1221.A420275316.12.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transfertcenas.lv" TargetMode="External"/><Relationship Id="rId4" Type="http://schemas.openxmlformats.org/officeDocument/2006/relationships/settings" Target="settings.xml"/><Relationship Id="rId9" Type="http://schemas.openxmlformats.org/officeDocument/2006/relationships/hyperlink" Target="http://www.transfertcenas.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0CFD7D-3BCF-4E29-90EE-AE5885CBE5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6337</Words>
  <Characters>36121</Characters>
  <Application>Microsoft Office Word</Application>
  <DocSecurity>0</DocSecurity>
  <Lines>301</Lines>
  <Paragraphs>84</Paragraphs>
  <ScaleCrop>false</ScaleCrop>
  <Company/>
  <LinksUpToDate>false</LinksUpToDate>
  <CharactersWithSpaces>42374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2022-08-11T05:32:00Z</dcterms:created>
  <dcterms:modified xsi:type="dcterms:W3CDTF">2022-08-11T05:32:00Z</dcterms:modified>
</cp:coreProperties>
</file>