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34F65" w14:textId="77777777" w:rsidR="00E80A61" w:rsidRDefault="00E80A61" w:rsidP="00E80A61">
      <w:pPr>
        <w:autoSpaceDE w:val="0"/>
        <w:autoSpaceDN w:val="0"/>
        <w:contextualSpacing/>
        <w:rPr>
          <w:rFonts w:ascii="TimesNewRomanPSMT" w:hAnsi="TimesNewRomanPSMT"/>
          <w:b/>
          <w:bCs/>
          <w:color w:val="000000"/>
          <w:szCs w:val="24"/>
        </w:rPr>
      </w:pPr>
      <w:r>
        <w:rPr>
          <w:rFonts w:ascii="TimesNewRomanPSMT" w:hAnsi="TimesNewRomanPSMT"/>
          <w:b/>
          <w:bCs/>
          <w:szCs w:val="24"/>
        </w:rPr>
        <w:t xml:space="preserve">Citas Eiropas Savienības dalībvalsts nodokļa maksātāja tiesības saņemt pievienotās vērtības nodokļa atmaksu par iekšzemē sniegtajiem pakalpojumiem </w:t>
      </w:r>
    </w:p>
    <w:p w14:paraId="3EF999CD" w14:textId="77777777" w:rsidR="00E80A61" w:rsidRDefault="00E80A61" w:rsidP="00E80A61">
      <w:pPr>
        <w:autoSpaceDE w:val="0"/>
        <w:autoSpaceDN w:val="0"/>
        <w:contextualSpacing/>
        <w:rPr>
          <w:rFonts w:ascii="TimesNewRomanPSMT" w:hAnsi="TimesNewRomanPSMT"/>
          <w:szCs w:val="24"/>
        </w:rPr>
      </w:pPr>
      <w:r>
        <w:rPr>
          <w:rFonts w:ascii="TimesNewRomanPSMT" w:hAnsi="TimesNewRomanPSMT"/>
          <w:szCs w:val="24"/>
        </w:rPr>
        <w:t>Ja citas dalībvalsts nodokļa maksātājs iekšzemē neveic saimniecisko darbību, taču iekšzemē sniedz ar nekustamo īpašumu saistītus pakalpojumus, tad pievienotās vērtības nodokli par šādiem pakalpojumiem valsts budžetā samaksā pakalpojumu saņēmējs, ja vien tas ir reģistrēts nodokļa maksātājs. Šādā gadījumā citas dalībvalsts nodokļa maksātājs ir tiesīgs nereģistrēties Valsts ieņēmumu dienesta pievienotās vērtības nodokļa maksātāju reģistrā.</w:t>
      </w:r>
    </w:p>
    <w:p w14:paraId="088E2B96" w14:textId="77777777" w:rsidR="00E80A61" w:rsidRDefault="00E80A61" w:rsidP="00E80A61">
      <w:pPr>
        <w:autoSpaceDE w:val="0"/>
        <w:autoSpaceDN w:val="0"/>
        <w:contextualSpacing/>
        <w:rPr>
          <w:rFonts w:ascii="TimesNewRomanPSMT" w:hAnsi="TimesNewRomanPSMT"/>
          <w:szCs w:val="24"/>
        </w:rPr>
      </w:pPr>
      <w:r>
        <w:rPr>
          <w:rFonts w:ascii="TimesNewRomanPSMT" w:hAnsi="TimesNewRomanPSMT"/>
          <w:szCs w:val="24"/>
        </w:rPr>
        <w:t xml:space="preserve">Izlemjot jautājumu par personas kā citas dalībvalsts nodokļa maksātājas, kas Latvijas teritorijā neveic saimniecisko darbību, tiesībām saņemt nodokļa atmaksu par iekšzemē saņemtajiem pakalpojumiem, nav pietiekami koncentrēties tikai uz saņemtajiem pakalpojumiem, bet ir jāpārbauda arī tas, vai un kādu darījumu nodrošināšanai persona ir izmantojusi šos pakalpojumus, un kāda nodokļa samaksas kārtība tika piemērota personas sniegtajiem pakalpojumiem. </w:t>
      </w:r>
    </w:p>
    <w:p w14:paraId="5ECAAC73" w14:textId="11415226" w:rsidR="00576C6D" w:rsidRDefault="00E80A61" w:rsidP="00E80A61">
      <w:pPr>
        <w:autoSpaceDE w:val="0"/>
        <w:autoSpaceDN w:val="0"/>
        <w:contextualSpacing/>
        <w:rPr>
          <w:rFonts w:ascii="TimesNewRomanPSMT" w:hAnsi="TimesNewRomanPSMT"/>
          <w:szCs w:val="24"/>
        </w:rPr>
      </w:pPr>
      <w:r>
        <w:rPr>
          <w:rFonts w:ascii="TimesNewRomanPSMT" w:hAnsi="TimesNewRomanPSMT"/>
          <w:szCs w:val="24"/>
        </w:rPr>
        <w:t xml:space="preserve">Pievienotās vērtības nodokli kā patēriņa nodokli maksā galapatērētājs, tāpēc, lai arī pakalpojuma sniedzēji, kas nav galapatērētāji, kā pievienotās vērtības nodokļa maksātāji iekasē šo nodokli un to samaksā valsts budžetā, tiem nav jāuzņemas šis ekonomiskais slogs. Ja nodokļa maksātājs, nebūdams galapatērētājs, nevar saņemt samaksātā pievienotās vērtības nodokļa atmaksu, lai gan tiek ievērotas materiālās prasības, tiek pārkāpts pievienotās vērtības nodokļa neitralitātes princips. </w:t>
      </w:r>
    </w:p>
    <w:p w14:paraId="11F94397" w14:textId="77777777" w:rsidR="00E80A61" w:rsidRPr="00E80A61" w:rsidRDefault="00E80A61" w:rsidP="00E80A61">
      <w:pPr>
        <w:autoSpaceDE w:val="0"/>
        <w:autoSpaceDN w:val="0"/>
        <w:contextualSpacing/>
        <w:rPr>
          <w:rFonts w:ascii="TimesNewRomanPSMT" w:hAnsi="TimesNewRomanPSMT"/>
          <w:szCs w:val="24"/>
          <w:lang w:val="en-US"/>
        </w:rPr>
      </w:pPr>
      <w:bookmarkStart w:id="0" w:name="_GoBack"/>
      <w:bookmarkEnd w:id="0"/>
    </w:p>
    <w:p w14:paraId="2046AB9E" w14:textId="70ABABB6" w:rsidR="00576C6D" w:rsidRPr="00E80A61" w:rsidRDefault="00E80A61" w:rsidP="00E80A61">
      <w:pPr>
        <w:spacing w:after="0"/>
        <w:contextualSpacing/>
        <w:jc w:val="center"/>
        <w:rPr>
          <w:b/>
          <w:szCs w:val="24"/>
        </w:rPr>
      </w:pPr>
      <w:r w:rsidRPr="00E80A61">
        <w:rPr>
          <w:b/>
          <w:szCs w:val="24"/>
        </w:rPr>
        <w:t>Latvijas Republikas Senāta</w:t>
      </w:r>
    </w:p>
    <w:p w14:paraId="04C41022" w14:textId="466000C9" w:rsidR="00E80A61" w:rsidRPr="00E80A61" w:rsidRDefault="00E80A61" w:rsidP="00E80A61">
      <w:pPr>
        <w:spacing w:after="0"/>
        <w:contextualSpacing/>
        <w:jc w:val="center"/>
        <w:rPr>
          <w:b/>
          <w:szCs w:val="24"/>
        </w:rPr>
      </w:pPr>
      <w:r w:rsidRPr="00E80A61">
        <w:rPr>
          <w:b/>
          <w:szCs w:val="24"/>
        </w:rPr>
        <w:t>Administratīvo lietu departamenta</w:t>
      </w:r>
    </w:p>
    <w:p w14:paraId="36391178" w14:textId="7AC64F6E" w:rsidR="00E80A61" w:rsidRPr="00E80A61" w:rsidRDefault="00E80A61" w:rsidP="00E80A61">
      <w:pPr>
        <w:spacing w:after="0"/>
        <w:contextualSpacing/>
        <w:jc w:val="center"/>
        <w:rPr>
          <w:b/>
          <w:szCs w:val="24"/>
        </w:rPr>
      </w:pPr>
      <w:r w:rsidRPr="00E80A61">
        <w:rPr>
          <w:b/>
          <w:szCs w:val="24"/>
        </w:rPr>
        <w:t>2022.gada 31.janvāra</w:t>
      </w:r>
    </w:p>
    <w:p w14:paraId="52329F32" w14:textId="77777777" w:rsidR="00576C6D" w:rsidRPr="00E80A61" w:rsidRDefault="00576C6D" w:rsidP="00E80A61">
      <w:pPr>
        <w:spacing w:after="0"/>
        <w:contextualSpacing/>
        <w:jc w:val="center"/>
        <w:rPr>
          <w:b/>
          <w:szCs w:val="24"/>
        </w:rPr>
      </w:pPr>
      <w:r w:rsidRPr="00E80A61">
        <w:rPr>
          <w:b/>
          <w:szCs w:val="24"/>
        </w:rPr>
        <w:t>SPRIEDUMS</w:t>
      </w:r>
    </w:p>
    <w:p w14:paraId="22A2ABC8" w14:textId="77777777" w:rsidR="00E80A61" w:rsidRPr="00E80A61" w:rsidRDefault="00E80A61" w:rsidP="00E80A61">
      <w:pPr>
        <w:spacing w:after="0"/>
        <w:contextualSpacing/>
        <w:jc w:val="center"/>
        <w:rPr>
          <w:rFonts w:eastAsia="Times New Roman" w:cs="Times New Roman"/>
          <w:b/>
          <w:color w:val="000000"/>
          <w:szCs w:val="24"/>
          <w:lang w:eastAsia="lv-LV"/>
        </w:rPr>
      </w:pPr>
      <w:r w:rsidRPr="00E80A61">
        <w:rPr>
          <w:rFonts w:eastAsia="Times New Roman" w:cs="Times New Roman"/>
          <w:b/>
          <w:color w:val="000000"/>
          <w:szCs w:val="24"/>
          <w:lang w:eastAsia="lv-LV"/>
        </w:rPr>
        <w:t>Lieta Nr. </w:t>
      </w:r>
      <w:r w:rsidRPr="00E80A61">
        <w:rPr>
          <w:b/>
          <w:szCs w:val="24"/>
        </w:rPr>
        <w:t>A420145218</w:t>
      </w:r>
      <w:r w:rsidRPr="00E80A61">
        <w:rPr>
          <w:rFonts w:eastAsia="Times New Roman" w:cs="Times New Roman"/>
          <w:b/>
          <w:color w:val="000000"/>
          <w:szCs w:val="24"/>
          <w:lang w:eastAsia="lv-LV"/>
        </w:rPr>
        <w:t>, SKA-77/2022</w:t>
      </w:r>
    </w:p>
    <w:p w14:paraId="7EFC3A0B" w14:textId="0170AAFA" w:rsidR="00576C6D" w:rsidRDefault="00E80A61" w:rsidP="00E80A61">
      <w:pPr>
        <w:spacing w:after="0"/>
        <w:contextualSpacing/>
        <w:jc w:val="center"/>
      </w:pPr>
      <w:hyperlink r:id="rId8" w:history="1">
        <w:r w:rsidRPr="00F25A8F">
          <w:rPr>
            <w:rStyle w:val="Hyperlink"/>
          </w:rPr>
          <w:t>ECLI:LV:AT:2022:0131.A420145218.9.S</w:t>
        </w:r>
      </w:hyperlink>
      <w:r>
        <w:t xml:space="preserve"> </w:t>
      </w:r>
    </w:p>
    <w:p w14:paraId="55A4ECC6" w14:textId="77777777" w:rsidR="00E80A61" w:rsidRPr="00270CCE" w:rsidRDefault="00E80A61" w:rsidP="00E80A61">
      <w:pPr>
        <w:spacing w:after="0"/>
        <w:contextualSpacing/>
        <w:jc w:val="center"/>
      </w:pPr>
    </w:p>
    <w:p w14:paraId="2D4BAFCF" w14:textId="783019B6" w:rsidR="00576C6D" w:rsidRPr="00270CCE" w:rsidRDefault="00576C6D" w:rsidP="00E80A61">
      <w:pPr>
        <w:spacing w:after="0"/>
        <w:ind w:firstLine="567"/>
        <w:contextualSpacing/>
      </w:pPr>
      <w:r w:rsidRPr="00270CCE">
        <w:t>Tiesa šādā sastāvā: senator</w:t>
      </w:r>
      <w:r w:rsidR="00F97A67">
        <w:t>es</w:t>
      </w:r>
      <w:r w:rsidRPr="00270CCE">
        <w:t xml:space="preserve"> </w:t>
      </w:r>
      <w:r>
        <w:t>Diāna Makarova</w:t>
      </w:r>
      <w:r w:rsidRPr="00270CCE">
        <w:t xml:space="preserve">, </w:t>
      </w:r>
      <w:r>
        <w:t>Dzintra Amerika</w:t>
      </w:r>
      <w:r w:rsidRPr="000B1253">
        <w:t xml:space="preserve">, </w:t>
      </w:r>
      <w:r>
        <w:t>Vēsma Kakste</w:t>
      </w:r>
    </w:p>
    <w:p w14:paraId="4BA45CC2" w14:textId="77777777" w:rsidR="00377B5C" w:rsidRDefault="00377B5C" w:rsidP="00E80A61">
      <w:pPr>
        <w:spacing w:after="0"/>
        <w:ind w:firstLine="567"/>
        <w:contextualSpacing/>
      </w:pPr>
    </w:p>
    <w:p w14:paraId="7B876008" w14:textId="24A0F885" w:rsidR="00377B5C" w:rsidRDefault="00377B5C" w:rsidP="00E80A61">
      <w:pPr>
        <w:spacing w:after="0"/>
        <w:ind w:firstLine="567"/>
        <w:contextualSpacing/>
      </w:pPr>
      <w:r>
        <w:t xml:space="preserve">rakstveida procesā izskatīja administratīvo lietu, kas ierosināta, pamatojoties uz </w:t>
      </w:r>
      <w:bookmarkStart w:id="1" w:name="_Hlk92202885"/>
      <w:r>
        <w:t>Lietuvas komercsabiedrības UAB</w:t>
      </w:r>
      <w:r w:rsidR="000F7329">
        <w:t> </w:t>
      </w:r>
      <w:bookmarkStart w:id="2" w:name="_Hlk93055324"/>
      <w:r w:rsidR="000F7329">
        <w:t>„</w:t>
      </w:r>
      <w:bookmarkEnd w:id="2"/>
      <w:r>
        <w:t>Baltic Engineers</w:t>
      </w:r>
      <w:r w:rsidR="000F7329">
        <w:t>”</w:t>
      </w:r>
      <w:r>
        <w:t xml:space="preserve"> </w:t>
      </w:r>
      <w:bookmarkEnd w:id="1"/>
      <w:r>
        <w:t>pieteikumu par labvēlīga</w:t>
      </w:r>
      <w:r w:rsidR="00F97A67">
        <w:t xml:space="preserve"> </w:t>
      </w:r>
      <w:r>
        <w:t>administratīvā akta izdošanu, sakarā ar Lietuvas komercsabiedrības UAB</w:t>
      </w:r>
      <w:r w:rsidR="00576C6D">
        <w:t> </w:t>
      </w:r>
      <w:r w:rsidR="000F7329">
        <w:t>„</w:t>
      </w:r>
      <w:r>
        <w:t>Baltic Engineers</w:t>
      </w:r>
      <w:r w:rsidR="00B869CD">
        <w:t>”</w:t>
      </w:r>
      <w:r>
        <w:t xml:space="preserve"> kasācijas sūdzību par Administratīvās apgabaltiesas 2019.gada 11.aprīļa spriedumu.</w:t>
      </w:r>
    </w:p>
    <w:p w14:paraId="64EBFCE4" w14:textId="77777777" w:rsidR="00F97A67" w:rsidRDefault="00F97A67" w:rsidP="00E80A61">
      <w:pPr>
        <w:spacing w:after="0"/>
        <w:contextualSpacing/>
        <w:jc w:val="center"/>
        <w:rPr>
          <w:b/>
        </w:rPr>
      </w:pPr>
    </w:p>
    <w:p w14:paraId="137BFFC8" w14:textId="0FBD1C1B" w:rsidR="00377B5C" w:rsidRPr="00576C6D" w:rsidRDefault="00377B5C" w:rsidP="00E80A61">
      <w:pPr>
        <w:spacing w:after="0"/>
        <w:contextualSpacing/>
        <w:jc w:val="center"/>
        <w:rPr>
          <w:b/>
        </w:rPr>
      </w:pPr>
      <w:r w:rsidRPr="00576C6D">
        <w:rPr>
          <w:b/>
        </w:rPr>
        <w:t>Aprakstošā daļa</w:t>
      </w:r>
    </w:p>
    <w:p w14:paraId="17104C4A" w14:textId="77777777" w:rsidR="00576C6D" w:rsidRDefault="00576C6D" w:rsidP="00E80A61">
      <w:pPr>
        <w:spacing w:after="0"/>
        <w:ind w:firstLine="567"/>
        <w:contextualSpacing/>
        <w:jc w:val="center"/>
      </w:pPr>
    </w:p>
    <w:p w14:paraId="424F1B01" w14:textId="005A6F2D" w:rsidR="00DD6C46" w:rsidRDefault="00377B5C" w:rsidP="00E80A61">
      <w:pPr>
        <w:spacing w:after="0"/>
        <w:ind w:firstLine="567"/>
        <w:contextualSpacing/>
      </w:pPr>
      <w:r>
        <w:t>[1]</w:t>
      </w:r>
      <w:r w:rsidR="00F97A67">
        <w:t> </w:t>
      </w:r>
      <w:r>
        <w:t xml:space="preserve">Ar Valsts ieņēmumu dienesta 2017.gada 18.decembra lēmumu Nr. 8.3-10/356994 nolemts neatmaksāt </w:t>
      </w:r>
      <w:r w:rsidR="00F97A67">
        <w:t>pieteicējai Lietuvas komercsabiedrībai UAB</w:t>
      </w:r>
      <w:r w:rsidR="00B301A0">
        <w:t> „</w:t>
      </w:r>
      <w:r w:rsidR="00F97A67">
        <w:t>Baltic Engineers</w:t>
      </w:r>
      <w:r w:rsidR="00B301A0">
        <w:t>”</w:t>
      </w:r>
      <w:r w:rsidR="00F97A67">
        <w:t xml:space="preserve"> </w:t>
      </w:r>
      <w:r>
        <w:t>pievienotās vērtības nodokli</w:t>
      </w:r>
      <w:r w:rsidR="00B301A0">
        <w:t xml:space="preserve">, ko tā samaksājusi </w:t>
      </w:r>
      <w:r>
        <w:t>SIA</w:t>
      </w:r>
      <w:r w:rsidR="00576C6D">
        <w:t> </w:t>
      </w:r>
      <w:bookmarkStart w:id="3" w:name="_Hlk93054323"/>
      <w:r>
        <w:t>„</w:t>
      </w:r>
      <w:bookmarkEnd w:id="3"/>
      <w:r>
        <w:t>DAINA</w:t>
      </w:r>
      <w:r w:rsidR="00F97A67">
        <w:t> </w:t>
      </w:r>
      <w:r>
        <w:t>EL”, SIA </w:t>
      </w:r>
      <w:bookmarkStart w:id="4" w:name="_Hlk93050136"/>
      <w:r>
        <w:t>„</w:t>
      </w:r>
      <w:bookmarkEnd w:id="4"/>
      <w:r>
        <w:t>KOMUNIKĀCIJU PROJEKTĒŠANAS BIROJS” un SIA</w:t>
      </w:r>
      <w:r w:rsidR="00F97A67">
        <w:t> </w:t>
      </w:r>
      <w:r w:rsidR="00310EF1">
        <w:t>„</w:t>
      </w:r>
      <w:r>
        <w:t>Energy stream”</w:t>
      </w:r>
      <w:r w:rsidR="001756EE">
        <w:t xml:space="preserve"> par iekšzemē saņemtajiem ar </w:t>
      </w:r>
      <w:r>
        <w:t xml:space="preserve">veikala </w:t>
      </w:r>
      <w:r w:rsidR="00310EF1">
        <w:t>„</w:t>
      </w:r>
      <w:r>
        <w:t>IKEA” Rīgā projektēšan</w:t>
      </w:r>
      <w:r w:rsidR="001756EE">
        <w:t xml:space="preserve">u saistītajiem </w:t>
      </w:r>
      <w:r>
        <w:t>pakalpojum</w:t>
      </w:r>
      <w:r w:rsidR="001756EE">
        <w:t>iem</w:t>
      </w:r>
      <w:r>
        <w:t>.</w:t>
      </w:r>
      <w:r w:rsidR="00F97A67">
        <w:t xml:space="preserve"> </w:t>
      </w:r>
      <w:r w:rsidR="001756EE">
        <w:t xml:space="preserve">Valsts ieņēmumu </w:t>
      </w:r>
      <w:r w:rsidR="00DD6C46">
        <w:t xml:space="preserve">dienests atzina, ka par šiem pakalpojumiem samaksātais pievienotās vērtības nodoklis pieteicējai nav atmaksājams, jo to liedz </w:t>
      </w:r>
      <w:r w:rsidR="00DD6C46" w:rsidRPr="00576C6D">
        <w:rPr>
          <w:szCs w:val="24"/>
        </w:rPr>
        <w:t>Ministru kabineta 2013.gada 17.decembra noteikum</w:t>
      </w:r>
      <w:r w:rsidR="00DD6C46">
        <w:rPr>
          <w:szCs w:val="24"/>
        </w:rPr>
        <w:t>u</w:t>
      </w:r>
      <w:r w:rsidR="00DD6C46" w:rsidRPr="00576C6D">
        <w:rPr>
          <w:szCs w:val="24"/>
        </w:rPr>
        <w:t xml:space="preserve"> Nr.</w:t>
      </w:r>
      <w:r w:rsidR="00DD6C46">
        <w:rPr>
          <w:szCs w:val="24"/>
        </w:rPr>
        <w:t> </w:t>
      </w:r>
      <w:r w:rsidR="00DD6C46" w:rsidRPr="00576C6D">
        <w:rPr>
          <w:szCs w:val="24"/>
        </w:rPr>
        <w:t xml:space="preserve">1514 </w:t>
      </w:r>
      <w:r w:rsidR="00DD6C46">
        <w:t>„</w:t>
      </w:r>
      <w:r w:rsidR="00DD6C46" w:rsidRPr="00576C6D">
        <w:rPr>
          <w:bCs/>
          <w:szCs w:val="24"/>
        </w:rPr>
        <w:t>Kārtība, kādā reģistrēts nodokļa maksātājs iesniedz pieteikumu pievienotās vērtības nodokļa atmaksas saņemšanai citā Eiropas Savienības dalībvalstī, un kārtība, kādā atmaksā pievienotās vērtības nodokli citas Eiropas Savienības dalībvalsts reģistrētam nodokļa maksātājam” (turpmāk</w:t>
      </w:r>
      <w:r w:rsidR="00DD6C46">
        <w:rPr>
          <w:bCs/>
          <w:szCs w:val="24"/>
        </w:rPr>
        <w:t> – </w:t>
      </w:r>
      <w:r w:rsidR="00DD6C46" w:rsidRPr="00576C6D">
        <w:rPr>
          <w:szCs w:val="24"/>
        </w:rPr>
        <w:t>Ministru kabineta</w:t>
      </w:r>
      <w:r w:rsidR="00DD6C46" w:rsidRPr="00576C6D">
        <w:rPr>
          <w:kern w:val="2"/>
          <w:szCs w:val="24"/>
          <w:lang w:bidi="hi-IN"/>
        </w:rPr>
        <w:t xml:space="preserve"> </w:t>
      </w:r>
      <w:r w:rsidR="00DD6C46">
        <w:rPr>
          <w:kern w:val="2"/>
          <w:szCs w:val="24"/>
          <w:lang w:bidi="hi-IN"/>
        </w:rPr>
        <w:t>n</w:t>
      </w:r>
      <w:r w:rsidR="00DD6C46" w:rsidRPr="00576C6D">
        <w:rPr>
          <w:kern w:val="2"/>
          <w:szCs w:val="24"/>
          <w:lang w:bidi="hi-IN"/>
        </w:rPr>
        <w:t>oteikum</w:t>
      </w:r>
      <w:r w:rsidR="00DD6C46">
        <w:rPr>
          <w:kern w:val="2"/>
          <w:szCs w:val="24"/>
          <w:lang w:bidi="hi-IN"/>
        </w:rPr>
        <w:t>i</w:t>
      </w:r>
      <w:r w:rsidR="00DD6C46" w:rsidRPr="00576C6D">
        <w:rPr>
          <w:kern w:val="2"/>
          <w:szCs w:val="24"/>
          <w:lang w:bidi="hi-IN"/>
        </w:rPr>
        <w:t>)</w:t>
      </w:r>
      <w:r w:rsidR="00DD6C46">
        <w:rPr>
          <w:kern w:val="2"/>
          <w:szCs w:val="24"/>
          <w:lang w:bidi="hi-IN"/>
        </w:rPr>
        <w:t xml:space="preserve"> </w:t>
      </w:r>
      <w:r w:rsidR="00DD6C46">
        <w:t>34.2.3.apakšpunkts.</w:t>
      </w:r>
    </w:p>
    <w:p w14:paraId="5B036F8F" w14:textId="77777777" w:rsidR="00377B5C" w:rsidRDefault="00377B5C" w:rsidP="00E80A61">
      <w:pPr>
        <w:spacing w:after="0"/>
        <w:ind w:firstLine="567"/>
        <w:contextualSpacing/>
      </w:pPr>
    </w:p>
    <w:p w14:paraId="2DDB9F6F" w14:textId="77777777" w:rsidR="00377B5C" w:rsidRPr="005F5EEE" w:rsidRDefault="00377B5C" w:rsidP="00E80A61">
      <w:pPr>
        <w:pStyle w:val="NormalWeb"/>
        <w:tabs>
          <w:tab w:val="left" w:pos="1134"/>
        </w:tabs>
        <w:spacing w:line="276" w:lineRule="auto"/>
        <w:ind w:firstLine="567"/>
        <w:contextualSpacing/>
        <w:jc w:val="both"/>
      </w:pPr>
      <w:r w:rsidRPr="005F5EEE">
        <w:t>[2] Pieteicēja Valsts ieņēmumu dienesta lēmumu pārsūdzēja administratīvajā tiesā.</w:t>
      </w:r>
    </w:p>
    <w:p w14:paraId="5D804109" w14:textId="77777777" w:rsidR="00377B5C" w:rsidRPr="005F5EEE" w:rsidRDefault="00377B5C" w:rsidP="00E80A61">
      <w:pPr>
        <w:pStyle w:val="NormalWeb"/>
        <w:tabs>
          <w:tab w:val="left" w:pos="1134"/>
        </w:tabs>
        <w:spacing w:line="276" w:lineRule="auto"/>
        <w:ind w:firstLine="567"/>
        <w:contextualSpacing/>
        <w:jc w:val="both"/>
      </w:pPr>
    </w:p>
    <w:p w14:paraId="1C4BDCB3" w14:textId="77C45B31" w:rsidR="00377B5C" w:rsidRPr="005F5EEE" w:rsidRDefault="00377B5C" w:rsidP="00E80A61">
      <w:pPr>
        <w:pStyle w:val="NormalWeb"/>
        <w:tabs>
          <w:tab w:val="left" w:pos="1134"/>
        </w:tabs>
        <w:spacing w:line="276" w:lineRule="auto"/>
        <w:ind w:firstLine="567"/>
        <w:contextualSpacing/>
        <w:jc w:val="both"/>
      </w:pPr>
      <w:r w:rsidRPr="005F5EEE">
        <w:t xml:space="preserve">[3] Izskatījusi lietu apelācijas kārtībā, Administratīvā apgabaltiesa pieteikumu </w:t>
      </w:r>
      <w:r w:rsidR="00DF427F">
        <w:t>noraidīja</w:t>
      </w:r>
      <w:r w:rsidRPr="005F5EEE">
        <w:t>. Spriedums, ievērojot pievienošanos pirmās instances tiesas sprieduma argumentācijai, pamatots ar turpmāk minētajiem apsvērumiem.</w:t>
      </w:r>
    </w:p>
    <w:p w14:paraId="255E7E1E" w14:textId="5F3FA612" w:rsidR="00377B5C" w:rsidRDefault="00377B5C" w:rsidP="00E80A61">
      <w:pPr>
        <w:spacing w:after="0"/>
        <w:ind w:firstLine="567"/>
        <w:contextualSpacing/>
      </w:pPr>
      <w:r>
        <w:t>[3.1]</w:t>
      </w:r>
      <w:r w:rsidR="0086400D">
        <w:t> </w:t>
      </w:r>
      <w:r w:rsidR="002345C8">
        <w:t xml:space="preserve">Visi pieteicējas saņemtie pakalpojumi </w:t>
      </w:r>
      <w:r w:rsidR="0086400D">
        <w:t>ir</w:t>
      </w:r>
      <w:r w:rsidR="002345C8">
        <w:t xml:space="preserve"> </w:t>
      </w:r>
      <w:r w:rsidR="00DD6C46">
        <w:t xml:space="preserve">saistīti </w:t>
      </w:r>
      <w:r w:rsidR="002345C8">
        <w:t xml:space="preserve">ar veikala „IKEA” </w:t>
      </w:r>
      <w:r w:rsidR="002E648E">
        <w:t xml:space="preserve">projektēšanu </w:t>
      </w:r>
      <w:r w:rsidR="002345C8">
        <w:t xml:space="preserve">Rīgā, Latvijā. </w:t>
      </w:r>
      <w:r w:rsidR="004C4771">
        <w:t xml:space="preserve">Šādu </w:t>
      </w:r>
      <w:r w:rsidR="001629F8">
        <w:t>pakalpojum</w:t>
      </w:r>
      <w:r w:rsidR="004C4771">
        <w:t xml:space="preserve">u sniegšanas vieta </w:t>
      </w:r>
      <w:r w:rsidR="001629F8">
        <w:t xml:space="preserve">atbilstoši </w:t>
      </w:r>
      <w:r>
        <w:t>Pievienotās vērtības nodokļa likuma 25.pant</w:t>
      </w:r>
      <w:r w:rsidR="001629F8">
        <w:t xml:space="preserve">am </w:t>
      </w:r>
      <w:r w:rsidR="004C4771">
        <w:t>ir</w:t>
      </w:r>
      <w:r>
        <w:t xml:space="preserve"> vieta, kur </w:t>
      </w:r>
      <w:r w:rsidR="004C4771">
        <w:t xml:space="preserve">attiecīgais </w:t>
      </w:r>
      <w:r>
        <w:t>nekustamais īpašums atrodas</w:t>
      </w:r>
      <w:r w:rsidR="002E648E">
        <w:t>, tātad</w:t>
      </w:r>
      <w:r w:rsidR="004C4771">
        <w:t xml:space="preserve"> izskatāmajā gadījumā – </w:t>
      </w:r>
      <w:r w:rsidR="002E648E">
        <w:t>Latvija</w:t>
      </w:r>
      <w:r>
        <w:t>.</w:t>
      </w:r>
    </w:p>
    <w:p w14:paraId="7B8DFB52" w14:textId="08E14AA7" w:rsidR="003B50DB" w:rsidRPr="00576C6D" w:rsidRDefault="003B50DB" w:rsidP="00E80A61">
      <w:pPr>
        <w:spacing w:after="0"/>
        <w:ind w:firstLine="567"/>
        <w:contextualSpacing/>
        <w:rPr>
          <w:bCs/>
          <w:szCs w:val="24"/>
        </w:rPr>
      </w:pPr>
      <w:r>
        <w:t>[3.</w:t>
      </w:r>
      <w:r w:rsidR="00E376EF">
        <w:t>2</w:t>
      </w:r>
      <w:r>
        <w:t>] Pieteicēja veica</w:t>
      </w:r>
      <w:r w:rsidR="001756EE">
        <w:t xml:space="preserve"> </w:t>
      </w:r>
      <w:r w:rsidR="00B17CE9">
        <w:t xml:space="preserve">Latvijā </w:t>
      </w:r>
      <w:r>
        <w:t>ar nodokli apliekamus darījumus, kuru dēļ tai bija jāreģistrējas Valsts ieņēmumu dienesta pievienotās vērtības nodokļa maksātāju reģistrā</w:t>
      </w:r>
      <w:r w:rsidR="00B17CE9">
        <w:t xml:space="preserve">. Šā iemesla dēļ </w:t>
      </w:r>
      <w:r>
        <w:t xml:space="preserve">pieteicējai nav tiesību uz pievienotās vērtības nodokļa atmaksu par saņemtajiem </w:t>
      </w:r>
      <w:r>
        <w:lastRenderedPageBreak/>
        <w:t xml:space="preserve">pakalpojumiem, </w:t>
      </w:r>
      <w:r w:rsidR="00162CA4">
        <w:t xml:space="preserve">jo to neparedz </w:t>
      </w:r>
      <w:r>
        <w:t>Pievienotās vērtības nodokļa likuma 113.pant</w:t>
      </w:r>
      <w:r w:rsidR="00162CA4">
        <w:t>s</w:t>
      </w:r>
      <w:r>
        <w:t xml:space="preserve"> un </w:t>
      </w:r>
      <w:bookmarkStart w:id="5" w:name="_Hlk93050488"/>
      <w:r w:rsidRPr="00576C6D">
        <w:rPr>
          <w:szCs w:val="24"/>
        </w:rPr>
        <w:t xml:space="preserve">Ministru kabineta </w:t>
      </w:r>
      <w:r w:rsidR="00B17CE9">
        <w:rPr>
          <w:szCs w:val="24"/>
        </w:rPr>
        <w:t xml:space="preserve">noteikumu </w:t>
      </w:r>
      <w:r>
        <w:t>34.2.3.apakšpunkt</w:t>
      </w:r>
      <w:r w:rsidR="00162CA4">
        <w:t>s</w:t>
      </w:r>
      <w:r>
        <w:t>.</w:t>
      </w:r>
      <w:bookmarkEnd w:id="5"/>
    </w:p>
    <w:p w14:paraId="4601CF8C" w14:textId="148BE1BF" w:rsidR="00377B5C" w:rsidRDefault="009517EB" w:rsidP="00E80A61">
      <w:pPr>
        <w:spacing w:after="0"/>
        <w:ind w:firstLine="567"/>
        <w:contextualSpacing/>
      </w:pPr>
      <w:r>
        <w:t>[3.</w:t>
      </w:r>
      <w:r w:rsidR="00E376EF">
        <w:t>3</w:t>
      </w:r>
      <w:r>
        <w:t>]</w:t>
      </w:r>
      <w:r w:rsidR="00EF7CBF">
        <w:t> </w:t>
      </w:r>
      <w:r w:rsidR="00F63028" w:rsidRPr="00F63028">
        <w:t xml:space="preserve">Padomes </w:t>
      </w:r>
      <w:r w:rsidR="00F63028">
        <w:t>2006.gada 28.</w:t>
      </w:r>
      <w:r w:rsidR="00F63028" w:rsidRPr="00F63028">
        <w:t>novembr</w:t>
      </w:r>
      <w:r w:rsidR="00EF7CBF">
        <w:t>a</w:t>
      </w:r>
      <w:r w:rsidR="00F63028" w:rsidRPr="00F63028">
        <w:t xml:space="preserve"> </w:t>
      </w:r>
      <w:r w:rsidR="00F63028">
        <w:t>d</w:t>
      </w:r>
      <w:r w:rsidR="00F63028" w:rsidRPr="00F63028">
        <w:t>irektīva</w:t>
      </w:r>
      <w:r w:rsidR="00F63028">
        <w:t>s</w:t>
      </w:r>
      <w:r w:rsidR="00F63028" w:rsidRPr="00F63028">
        <w:t xml:space="preserve"> 2006/112/EK par kopējo pievienotās vērtības nodokļa sistēmu </w:t>
      </w:r>
      <w:r w:rsidR="00F63028">
        <w:t>(turpmāk</w:t>
      </w:r>
      <w:r w:rsidR="00EF7CBF">
        <w:t> </w:t>
      </w:r>
      <w:r w:rsidR="00F63028">
        <w:t>–</w:t>
      </w:r>
      <w:r w:rsidR="00EF7CBF">
        <w:t> </w:t>
      </w:r>
      <w:r w:rsidR="00F63028">
        <w:t>Pievienotās vērtības nodokļa direktīva)</w:t>
      </w:r>
      <w:r w:rsidR="00377B5C">
        <w:t xml:space="preserve"> 45.pantā norādītie pakalpojumi, kas saistīti ar nekustamo īpašumu, ir izslēgti no to pakalpojumu loka, kuri varētu tikt sniegti nodokļu maksātājam citā dalībvalstī, kur tas neveic uzņēmējdarbību. Līdz ar to </w:t>
      </w:r>
      <w:r w:rsidR="00BB41CC" w:rsidRPr="00576C6D">
        <w:rPr>
          <w:szCs w:val="24"/>
        </w:rPr>
        <w:t>Ministru kabineta</w:t>
      </w:r>
      <w:r w:rsidR="00BB41CC" w:rsidRPr="00576C6D">
        <w:rPr>
          <w:kern w:val="2"/>
          <w:szCs w:val="24"/>
          <w:lang w:bidi="hi-IN"/>
        </w:rPr>
        <w:t xml:space="preserve"> </w:t>
      </w:r>
      <w:r w:rsidR="00BB41CC">
        <w:rPr>
          <w:kern w:val="2"/>
          <w:szCs w:val="24"/>
          <w:lang w:bidi="hi-IN"/>
        </w:rPr>
        <w:t>n</w:t>
      </w:r>
      <w:r w:rsidR="00377B5C">
        <w:t xml:space="preserve">oteikumu 34.2.3.apakšpunktā iekļautais skaidrojums, kas būtībā attiecas uz </w:t>
      </w:r>
      <w:r w:rsidR="00F63028">
        <w:t xml:space="preserve">Pievienotās vērtības nodokļa direktīvas </w:t>
      </w:r>
      <w:r w:rsidR="00377B5C">
        <w:t xml:space="preserve">45.pantu, nav pretrunā ar </w:t>
      </w:r>
      <w:r w:rsidR="00F63028" w:rsidRPr="00F63028">
        <w:t xml:space="preserve">Padomes </w:t>
      </w:r>
      <w:r w:rsidR="00F63028">
        <w:t>2008.gada 12.februāra</w:t>
      </w:r>
      <w:r w:rsidR="00F63028" w:rsidRPr="00F63028">
        <w:t xml:space="preserve"> </w:t>
      </w:r>
      <w:r w:rsidR="00F63028">
        <w:t>d</w:t>
      </w:r>
      <w:r w:rsidR="00F63028" w:rsidRPr="00F63028">
        <w:t>irektīv</w:t>
      </w:r>
      <w:r w:rsidR="00F63028">
        <w:t>u 2008/9/EK</w:t>
      </w:r>
      <w:r w:rsidR="00EF7CBF">
        <w:t>,</w:t>
      </w:r>
      <w:r w:rsidR="00F63028" w:rsidRPr="00F63028">
        <w:t xml:space="preserve"> ar ko nosaka sīki izstrādātus noteikumus </w:t>
      </w:r>
      <w:r w:rsidR="00F63028">
        <w:t>Pievienotās vērtības nodokļa direktīvā</w:t>
      </w:r>
      <w:r w:rsidR="00F63028" w:rsidRPr="00F63028">
        <w:t xml:space="preserve"> paredzētajai pievienotās vērtības nodokļa atmaksāšanai nodokļa maksātājiem, kas neveic uzņēmējdarbību attiecīgās valsts teritorijā, bet veic uzņēmējdarbību citā dalībvalstī </w:t>
      </w:r>
      <w:r w:rsidR="00F63028">
        <w:t>(turpmāk</w:t>
      </w:r>
      <w:r w:rsidR="00EF7CBF">
        <w:t> </w:t>
      </w:r>
      <w:r w:rsidR="00F63028">
        <w:t>–</w:t>
      </w:r>
      <w:r w:rsidR="00EF7CBF">
        <w:t> </w:t>
      </w:r>
      <w:r w:rsidR="00F63028">
        <w:t>Pievienotās vērtības nodokļa atmaksas direktīva)</w:t>
      </w:r>
      <w:r w:rsidR="00377B5C">
        <w:t>.</w:t>
      </w:r>
    </w:p>
    <w:p w14:paraId="4E841735" w14:textId="60870BE1" w:rsidR="002832BD" w:rsidRDefault="009517EB" w:rsidP="00E80A61">
      <w:pPr>
        <w:spacing w:after="0"/>
        <w:ind w:firstLine="567"/>
        <w:contextualSpacing/>
      </w:pPr>
      <w:r>
        <w:t>[3.</w:t>
      </w:r>
      <w:r w:rsidR="00E376EF">
        <w:t>4</w:t>
      </w:r>
      <w:r>
        <w:t>]</w:t>
      </w:r>
      <w:r w:rsidR="004E1B48">
        <w:t> </w:t>
      </w:r>
      <w:r>
        <w:t xml:space="preserve">Pievienotās vērtības nodokļa </w:t>
      </w:r>
      <w:r w:rsidR="00377B5C">
        <w:t>likuma 61. un 88.pants no</w:t>
      </w:r>
      <w:r w:rsidR="002E4604">
        <w:t>teic</w:t>
      </w:r>
      <w:r w:rsidR="00377B5C">
        <w:t xml:space="preserve"> </w:t>
      </w:r>
      <w:r w:rsidR="002832BD">
        <w:t>pievienotās vērtības nodokļa</w:t>
      </w:r>
      <w:r w:rsidR="00377B5C">
        <w:t xml:space="preserve"> ma</w:t>
      </w:r>
      <w:r w:rsidR="002832BD">
        <w:t>ksāšanas kārtību, bet neregulē nodokļa</w:t>
      </w:r>
      <w:r w:rsidR="00377B5C">
        <w:t xml:space="preserve"> atmaksas jautājumu par citas dalībvalsts nodokļa maksātāja iekšzemē saņemt</w:t>
      </w:r>
      <w:r w:rsidR="001E1EA6">
        <w:t>ajiem</w:t>
      </w:r>
      <w:r w:rsidR="00377B5C">
        <w:t xml:space="preserve"> pakalpojum</w:t>
      </w:r>
      <w:r w:rsidR="001E1EA6">
        <w:t>iem</w:t>
      </w:r>
      <w:r w:rsidR="00377B5C">
        <w:t xml:space="preserve">. </w:t>
      </w:r>
      <w:r w:rsidR="00E46B9B">
        <w:t>No n</w:t>
      </w:r>
      <w:r w:rsidR="00377B5C">
        <w:t xml:space="preserve">ormas, kas piešķir tiesības </w:t>
      </w:r>
      <w:r w:rsidR="002832BD">
        <w:t xml:space="preserve">pievienotās vērtības nodokli </w:t>
      </w:r>
      <w:r w:rsidR="00377B5C">
        <w:t xml:space="preserve">valsts budžetā </w:t>
      </w:r>
      <w:r w:rsidR="00162CA4">
        <w:t>sa</w:t>
      </w:r>
      <w:r w:rsidR="00377B5C">
        <w:t>maksāt citai personai</w:t>
      </w:r>
      <w:r w:rsidR="004E1B48">
        <w:t>,</w:t>
      </w:r>
      <w:r w:rsidR="00377B5C">
        <w:t xml:space="preserve"> nevis citas dalībvalsts nodokļ</w:t>
      </w:r>
      <w:r w:rsidR="001756EE">
        <w:t>a</w:t>
      </w:r>
      <w:r w:rsidR="00377B5C">
        <w:t xml:space="preserve"> maksātājam, </w:t>
      </w:r>
      <w:r w:rsidR="00E46B9B">
        <w:t>neizriet</w:t>
      </w:r>
      <w:r w:rsidR="00377B5C">
        <w:t>, ka šādos gadījumos citas dalībvalsts nodokļ</w:t>
      </w:r>
      <w:r w:rsidR="001756EE">
        <w:t>a</w:t>
      </w:r>
      <w:r w:rsidR="00377B5C">
        <w:t xml:space="preserve"> maksātājs iegūst tiesības uz </w:t>
      </w:r>
      <w:r w:rsidR="002832BD">
        <w:t>nodokļa</w:t>
      </w:r>
      <w:r w:rsidR="00377B5C">
        <w:t xml:space="preserve"> atmaksu par </w:t>
      </w:r>
      <w:r w:rsidR="004C4771">
        <w:t xml:space="preserve">attiecīgajiem </w:t>
      </w:r>
      <w:r w:rsidR="00377B5C">
        <w:t>darījumiem.</w:t>
      </w:r>
    </w:p>
    <w:p w14:paraId="5E568B97" w14:textId="190794EE" w:rsidR="001E1EA6" w:rsidRDefault="001E1EA6" w:rsidP="00E80A61">
      <w:pPr>
        <w:spacing w:after="0"/>
        <w:ind w:firstLine="567"/>
        <w:contextualSpacing/>
      </w:pPr>
      <w:r>
        <w:t>[3.</w:t>
      </w:r>
      <w:r w:rsidR="00E376EF">
        <w:t>5</w:t>
      </w:r>
      <w:r>
        <w:t>] Pieteicējai kā citas dalībvalsts pievienotās vērtības nodokļa maksātājai, izmantojot iekšzemē saņemtos pakalpojumus savu ar nodokli apliekamo darījumu nodrošināšanai iekšzemē, pirms pakalpojumu sniegšanas bija jāreģistrējas Valsts ieņēmumu dienesta pievienotās vērtības nodokļa maksātāju reģistrā un kā Latvijā reģistrētai pievienotās vērtības nodokļa maksātājai jāsamaksā nodoklis par saviem sniegtajiem pakalpojumiem Latvijas valsts budžetā, vienlaikus iegūstot tiesības kā priekšnodokli atskaitīt pievienotās vērtības nodokli par saņemtajiem pakalpojumiem.</w:t>
      </w:r>
    </w:p>
    <w:p w14:paraId="3C7B34EE" w14:textId="77777777" w:rsidR="002832BD" w:rsidRDefault="002832BD" w:rsidP="00E80A61">
      <w:pPr>
        <w:spacing w:after="0"/>
        <w:ind w:firstLine="567"/>
        <w:contextualSpacing/>
      </w:pPr>
    </w:p>
    <w:p w14:paraId="5DAA5EC8" w14:textId="2E63A4D3" w:rsidR="002832BD" w:rsidRDefault="002832BD" w:rsidP="00E80A61">
      <w:pPr>
        <w:spacing w:after="0"/>
        <w:ind w:firstLine="567"/>
        <w:contextualSpacing/>
        <w:rPr>
          <w:rFonts w:cs="Times New Roman"/>
          <w:szCs w:val="24"/>
        </w:rPr>
      </w:pPr>
      <w:r w:rsidRPr="00C417DC">
        <w:rPr>
          <w:rFonts w:cs="Times New Roman"/>
          <w:szCs w:val="24"/>
        </w:rPr>
        <w:t>[4]</w:t>
      </w:r>
      <w:r w:rsidR="004E1B48">
        <w:rPr>
          <w:rFonts w:cs="Times New Roman"/>
          <w:szCs w:val="24"/>
        </w:rPr>
        <w:t> </w:t>
      </w:r>
      <w:r w:rsidRPr="00C417DC">
        <w:rPr>
          <w:rFonts w:cs="Times New Roman"/>
          <w:szCs w:val="24"/>
        </w:rPr>
        <w:t>Pieteicēja apgabaltiesas spriedumu pārsūdzēja, kasācijas sūdzību pamatojot ar turpmāk minētajiem argumentiem.</w:t>
      </w:r>
    </w:p>
    <w:p w14:paraId="6C031411" w14:textId="5D418622" w:rsidR="00C417DC" w:rsidRPr="00C417DC" w:rsidRDefault="006671D9" w:rsidP="00E80A61">
      <w:pPr>
        <w:spacing w:after="0"/>
        <w:ind w:firstLine="567"/>
        <w:contextualSpacing/>
        <w:rPr>
          <w:rFonts w:cs="Times New Roman"/>
          <w:szCs w:val="24"/>
        </w:rPr>
      </w:pPr>
      <w:r>
        <w:rPr>
          <w:rFonts w:cs="Times New Roman"/>
          <w:szCs w:val="24"/>
        </w:rPr>
        <w:t>[4.1]</w:t>
      </w:r>
      <w:r w:rsidR="004E1B48">
        <w:rPr>
          <w:rFonts w:cs="Times New Roman"/>
          <w:szCs w:val="24"/>
        </w:rPr>
        <w:t> </w:t>
      </w:r>
      <w:r w:rsidR="00C417DC" w:rsidRPr="00C417DC">
        <w:rPr>
          <w:rFonts w:cs="Times New Roman"/>
          <w:szCs w:val="24"/>
        </w:rPr>
        <w:t>Apgabalties</w:t>
      </w:r>
      <w:r w:rsidR="004E1B48">
        <w:rPr>
          <w:rFonts w:cs="Times New Roman"/>
          <w:szCs w:val="24"/>
        </w:rPr>
        <w:t>a</w:t>
      </w:r>
      <w:r w:rsidR="00C417DC" w:rsidRPr="00C417DC">
        <w:rPr>
          <w:rFonts w:cs="Times New Roman"/>
          <w:szCs w:val="24"/>
        </w:rPr>
        <w:t xml:space="preserve"> nav ievērojusi Administratīvā procesa likuma</w:t>
      </w:r>
      <w:r>
        <w:rPr>
          <w:rFonts w:cs="Times New Roman"/>
          <w:szCs w:val="24"/>
        </w:rPr>
        <w:t xml:space="preserve"> 103.panta otrajā daļā, 107.panta ceturtajā daļā un 150.</w:t>
      </w:r>
      <w:r w:rsidR="00C417DC" w:rsidRPr="00C417DC">
        <w:rPr>
          <w:rFonts w:cs="Times New Roman"/>
          <w:szCs w:val="24"/>
        </w:rPr>
        <w:t xml:space="preserve">panta ceturtajā daļā noteikto </w:t>
      </w:r>
      <w:r w:rsidR="00C417DC" w:rsidRPr="006671D9">
        <w:rPr>
          <w:rFonts w:cs="Times New Roman"/>
          <w:szCs w:val="24"/>
        </w:rPr>
        <w:t>objektīvās izmeklēšanas principu,</w:t>
      </w:r>
      <w:r w:rsidR="00C417DC" w:rsidRPr="00C417DC">
        <w:rPr>
          <w:rFonts w:cs="Times New Roman"/>
          <w:szCs w:val="24"/>
        </w:rPr>
        <w:t xml:space="preserve"> kas ir novedis pie kļūdain</w:t>
      </w:r>
      <w:r w:rsidR="004E1B48">
        <w:rPr>
          <w:rFonts w:cs="Times New Roman"/>
          <w:szCs w:val="24"/>
        </w:rPr>
        <w:t>iem</w:t>
      </w:r>
      <w:r w:rsidR="00C417DC" w:rsidRPr="00C417DC">
        <w:rPr>
          <w:rFonts w:cs="Times New Roman"/>
          <w:szCs w:val="24"/>
        </w:rPr>
        <w:t xml:space="preserve"> secinājum</w:t>
      </w:r>
      <w:r w:rsidR="004E1B48">
        <w:rPr>
          <w:rFonts w:cs="Times New Roman"/>
          <w:szCs w:val="24"/>
        </w:rPr>
        <w:t>iem</w:t>
      </w:r>
      <w:r w:rsidR="00C417DC" w:rsidRPr="00C417DC">
        <w:rPr>
          <w:rFonts w:cs="Times New Roman"/>
          <w:szCs w:val="24"/>
        </w:rPr>
        <w:t>.</w:t>
      </w:r>
    </w:p>
    <w:p w14:paraId="4D25C237" w14:textId="6FE5E499" w:rsidR="00C417DC" w:rsidRPr="00C417DC" w:rsidRDefault="006671D9" w:rsidP="00E80A61">
      <w:pPr>
        <w:spacing w:after="0"/>
        <w:ind w:firstLine="567"/>
        <w:contextualSpacing/>
        <w:rPr>
          <w:rFonts w:cs="Times New Roman"/>
          <w:szCs w:val="24"/>
        </w:rPr>
      </w:pPr>
      <w:r>
        <w:rPr>
          <w:rFonts w:cs="Times New Roman"/>
          <w:szCs w:val="24"/>
        </w:rPr>
        <w:t>[4.2]</w:t>
      </w:r>
      <w:r w:rsidR="004E1B48">
        <w:rPr>
          <w:rFonts w:cs="Times New Roman"/>
          <w:szCs w:val="24"/>
        </w:rPr>
        <w:t> </w:t>
      </w:r>
      <w:r w:rsidR="00C417DC" w:rsidRPr="00C417DC">
        <w:rPr>
          <w:rFonts w:cs="Times New Roman"/>
          <w:szCs w:val="24"/>
        </w:rPr>
        <w:t xml:space="preserve">Apgabaltiesa savstarpējā kopsakarā nepareizi interpretējusi </w:t>
      </w:r>
      <w:r>
        <w:rPr>
          <w:rFonts w:cs="Times New Roman"/>
          <w:szCs w:val="24"/>
        </w:rPr>
        <w:t>Pievienotās vērtības nodokļa likuma 56.</w:t>
      </w:r>
      <w:r w:rsidR="00C417DC" w:rsidRPr="00C417DC">
        <w:rPr>
          <w:rFonts w:cs="Times New Roman"/>
          <w:szCs w:val="24"/>
        </w:rPr>
        <w:t>panta otrās daļas</w:t>
      </w:r>
      <w:r>
        <w:rPr>
          <w:rFonts w:cs="Times New Roman"/>
          <w:szCs w:val="24"/>
        </w:rPr>
        <w:t>, 61.</w:t>
      </w:r>
      <w:r w:rsidR="00C417DC" w:rsidRPr="00C417DC">
        <w:rPr>
          <w:rFonts w:cs="Times New Roman"/>
          <w:szCs w:val="24"/>
        </w:rPr>
        <w:t>panta pirmās daļas</w:t>
      </w:r>
      <w:r>
        <w:rPr>
          <w:rFonts w:cs="Times New Roman"/>
          <w:szCs w:val="24"/>
        </w:rPr>
        <w:t>, 88.</w:t>
      </w:r>
      <w:r w:rsidR="00C417DC" w:rsidRPr="00C417DC">
        <w:rPr>
          <w:rFonts w:cs="Times New Roman"/>
          <w:szCs w:val="24"/>
        </w:rPr>
        <w:t>panta otrās daļas</w:t>
      </w:r>
      <w:r>
        <w:rPr>
          <w:rFonts w:cs="Times New Roman"/>
          <w:szCs w:val="24"/>
        </w:rPr>
        <w:t>, 113.</w:t>
      </w:r>
      <w:r w:rsidR="00C417DC" w:rsidRPr="00C417DC">
        <w:rPr>
          <w:rFonts w:cs="Times New Roman"/>
          <w:szCs w:val="24"/>
        </w:rPr>
        <w:t>panta pirmās daļas</w:t>
      </w:r>
      <w:r w:rsidR="00354F70">
        <w:rPr>
          <w:rFonts w:cs="Times New Roman"/>
          <w:szCs w:val="24"/>
        </w:rPr>
        <w:t xml:space="preserve"> tiesību normas</w:t>
      </w:r>
      <w:r w:rsidR="00C417DC" w:rsidRPr="00C417DC">
        <w:rPr>
          <w:rFonts w:cs="Times New Roman"/>
          <w:szCs w:val="24"/>
        </w:rPr>
        <w:t xml:space="preserve">, kā arī secīgi </w:t>
      </w:r>
      <w:r w:rsidR="00BB41CC" w:rsidRPr="00576C6D">
        <w:rPr>
          <w:szCs w:val="24"/>
        </w:rPr>
        <w:t>Ministru kabineta</w:t>
      </w:r>
      <w:r w:rsidR="00BB41CC" w:rsidRPr="00576C6D">
        <w:rPr>
          <w:kern w:val="2"/>
          <w:szCs w:val="24"/>
          <w:lang w:bidi="hi-IN"/>
        </w:rPr>
        <w:t xml:space="preserve"> </w:t>
      </w:r>
      <w:r w:rsidR="00BB41CC">
        <w:rPr>
          <w:kern w:val="2"/>
          <w:szCs w:val="24"/>
          <w:lang w:bidi="hi-IN"/>
        </w:rPr>
        <w:t>n</w:t>
      </w:r>
      <w:r>
        <w:rPr>
          <w:rFonts w:cs="Times New Roman"/>
          <w:szCs w:val="24"/>
        </w:rPr>
        <w:t>oteikumu 34.</w:t>
      </w:r>
      <w:r w:rsidR="00C417DC" w:rsidRPr="00C417DC">
        <w:rPr>
          <w:rFonts w:cs="Times New Roman"/>
          <w:szCs w:val="24"/>
        </w:rPr>
        <w:t>punkt</w:t>
      </w:r>
      <w:r w:rsidR="004E1B48">
        <w:rPr>
          <w:rFonts w:cs="Times New Roman"/>
          <w:szCs w:val="24"/>
        </w:rPr>
        <w:t>u.</w:t>
      </w:r>
    </w:p>
    <w:p w14:paraId="10BFBA5E" w14:textId="4171302A" w:rsidR="00162CA4" w:rsidRDefault="006671D9" w:rsidP="00E80A61">
      <w:pPr>
        <w:spacing w:after="0"/>
        <w:ind w:firstLine="567"/>
        <w:contextualSpacing/>
        <w:rPr>
          <w:rFonts w:eastAsia="Times New Roman" w:cs="Times New Roman"/>
          <w:szCs w:val="24"/>
          <w:lang w:eastAsia="lv-LV"/>
        </w:rPr>
      </w:pPr>
      <w:r>
        <w:rPr>
          <w:rFonts w:cs="Times New Roman"/>
          <w:szCs w:val="24"/>
        </w:rPr>
        <w:t>Pievienotās vērtības nodokļa</w:t>
      </w:r>
      <w:r w:rsidR="00C417DC" w:rsidRPr="00C417DC">
        <w:rPr>
          <w:rFonts w:cs="Times New Roman"/>
          <w:szCs w:val="24"/>
        </w:rPr>
        <w:t xml:space="preserve"> likumā ir paredzēti specifiski gadījumi, k</w:t>
      </w:r>
      <w:r w:rsidR="00354F70">
        <w:rPr>
          <w:rFonts w:cs="Times New Roman"/>
          <w:szCs w:val="24"/>
        </w:rPr>
        <w:t>ad</w:t>
      </w:r>
      <w:r w:rsidR="00C417DC" w:rsidRPr="00C417DC">
        <w:rPr>
          <w:rFonts w:cs="Times New Roman"/>
          <w:szCs w:val="24"/>
        </w:rPr>
        <w:t xml:space="preserve"> </w:t>
      </w:r>
      <w:r w:rsidR="00C417DC" w:rsidRPr="00C417DC">
        <w:rPr>
          <w:rFonts w:eastAsia="Times New Roman" w:cs="Times New Roman"/>
          <w:szCs w:val="24"/>
          <w:lang w:eastAsia="lv-LV"/>
        </w:rPr>
        <w:t xml:space="preserve">citas dalībvalsts reģistrēts nodokļa maksātājs ir tiesīgs nereģistrēties </w:t>
      </w:r>
      <w:r>
        <w:rPr>
          <w:rFonts w:eastAsia="Times New Roman" w:cs="Times New Roman"/>
          <w:szCs w:val="24"/>
          <w:lang w:eastAsia="lv-LV"/>
        </w:rPr>
        <w:t>pievienotās vērtības nodokļa</w:t>
      </w:r>
      <w:r w:rsidR="00C417DC" w:rsidRPr="00C417DC">
        <w:rPr>
          <w:rFonts w:eastAsia="Times New Roman" w:cs="Times New Roman"/>
          <w:szCs w:val="24"/>
          <w:lang w:eastAsia="lv-LV"/>
        </w:rPr>
        <w:t xml:space="preserve"> maksātāju reģistrā</w:t>
      </w:r>
      <w:r w:rsidR="00162CA4">
        <w:rPr>
          <w:rFonts w:eastAsia="Times New Roman" w:cs="Times New Roman"/>
          <w:szCs w:val="24"/>
          <w:lang w:eastAsia="lv-LV"/>
        </w:rPr>
        <w:t xml:space="preserve"> atmaksas dalībvalstī</w:t>
      </w:r>
      <w:r w:rsidR="00C417DC" w:rsidRPr="00C417DC">
        <w:rPr>
          <w:rFonts w:eastAsia="Times New Roman" w:cs="Times New Roman"/>
          <w:szCs w:val="24"/>
          <w:lang w:eastAsia="lv-LV"/>
        </w:rPr>
        <w:t xml:space="preserve">. </w:t>
      </w:r>
      <w:r w:rsidR="00162CA4">
        <w:rPr>
          <w:rFonts w:eastAsia="Times New Roman" w:cs="Times New Roman"/>
          <w:szCs w:val="24"/>
          <w:lang w:eastAsia="lv-LV"/>
        </w:rPr>
        <w:t>Pieteicēja ir izmantojusi šādas tiesības, tāpēc ir kļūdains apgabaltiesas secinājums, ka pieteicējai bija jāreģistrējas Valsts ieņēmumu dienesta pievienotās vērtības nodokļa maksātāju reģistrā.</w:t>
      </w:r>
    </w:p>
    <w:p w14:paraId="46C55871" w14:textId="61489F7E" w:rsidR="00C417DC" w:rsidRPr="00C417DC" w:rsidRDefault="006671D9" w:rsidP="00E80A61">
      <w:pPr>
        <w:spacing w:after="0"/>
        <w:ind w:firstLine="567"/>
        <w:contextualSpacing/>
        <w:rPr>
          <w:rFonts w:cs="Times New Roman"/>
          <w:szCs w:val="24"/>
        </w:rPr>
      </w:pPr>
      <w:r>
        <w:rPr>
          <w:rFonts w:cs="Times New Roman"/>
          <w:szCs w:val="24"/>
        </w:rPr>
        <w:t>[4.3]</w:t>
      </w:r>
      <w:r w:rsidR="004E1B48">
        <w:rPr>
          <w:rFonts w:cs="Times New Roman"/>
          <w:szCs w:val="24"/>
        </w:rPr>
        <w:t> </w:t>
      </w:r>
      <w:r w:rsidR="002E4604">
        <w:rPr>
          <w:rFonts w:cs="Times New Roman"/>
          <w:szCs w:val="24"/>
        </w:rPr>
        <w:t>Ministru kabineta n</w:t>
      </w:r>
      <w:r w:rsidR="00C417DC" w:rsidRPr="00C417DC">
        <w:rPr>
          <w:rFonts w:cs="Times New Roman"/>
          <w:szCs w:val="24"/>
        </w:rPr>
        <w:t>oteikumu</w:t>
      </w:r>
      <w:r>
        <w:rPr>
          <w:rFonts w:cs="Times New Roman"/>
          <w:szCs w:val="24"/>
        </w:rPr>
        <w:t xml:space="preserve"> 34.2.3.</w:t>
      </w:r>
      <w:r w:rsidR="00C417DC" w:rsidRPr="00C417DC">
        <w:rPr>
          <w:rFonts w:cs="Times New Roman"/>
          <w:szCs w:val="24"/>
        </w:rPr>
        <w:t xml:space="preserve">apakšpunktā ietvertais regulējums ir novecojis un neatbilst </w:t>
      </w:r>
      <w:r>
        <w:rPr>
          <w:rFonts w:cs="Times New Roman"/>
          <w:szCs w:val="24"/>
        </w:rPr>
        <w:t>pievienotās vērtības nodokļa</w:t>
      </w:r>
      <w:r w:rsidR="00C417DC" w:rsidRPr="00C417DC">
        <w:rPr>
          <w:rFonts w:cs="Times New Roman"/>
          <w:szCs w:val="24"/>
        </w:rPr>
        <w:t xml:space="preserve"> piemērošanas pamatprincipiem laikā, kad ārvalstu komercsabiedrībai, kas sniedz projektēšanas pakalpojumus attiecībā uz Latvijā esošu nekustamo īpašumu, ir atļauts nereģistrēties </w:t>
      </w:r>
      <w:r>
        <w:rPr>
          <w:rFonts w:cs="Times New Roman"/>
          <w:szCs w:val="24"/>
        </w:rPr>
        <w:t>pievienotās vērtības nodokļa</w:t>
      </w:r>
      <w:r w:rsidR="00C417DC" w:rsidRPr="00C417DC">
        <w:rPr>
          <w:rFonts w:cs="Times New Roman"/>
          <w:szCs w:val="24"/>
        </w:rPr>
        <w:t xml:space="preserve"> maksātāju reģistrā</w:t>
      </w:r>
      <w:r w:rsidR="00342C5B">
        <w:rPr>
          <w:rFonts w:cs="Times New Roman"/>
          <w:szCs w:val="24"/>
        </w:rPr>
        <w:t xml:space="preserve"> atmaksas dalībvalstī</w:t>
      </w:r>
      <w:r w:rsidR="00C417DC" w:rsidRPr="00C417DC">
        <w:rPr>
          <w:rFonts w:cs="Times New Roman"/>
          <w:szCs w:val="24"/>
        </w:rPr>
        <w:t>.</w:t>
      </w:r>
    </w:p>
    <w:p w14:paraId="4984148E" w14:textId="2403EE3B" w:rsidR="00E46B9B" w:rsidRDefault="006671D9" w:rsidP="00E80A61">
      <w:pPr>
        <w:spacing w:after="0"/>
        <w:ind w:firstLine="567"/>
        <w:contextualSpacing/>
        <w:rPr>
          <w:rFonts w:eastAsia="Times New Roman" w:cs="Times New Roman"/>
          <w:szCs w:val="24"/>
          <w:lang w:eastAsia="lv-LV"/>
        </w:rPr>
      </w:pPr>
      <w:r>
        <w:rPr>
          <w:rFonts w:eastAsia="Times New Roman" w:cs="Times New Roman"/>
          <w:bCs/>
          <w:szCs w:val="24"/>
          <w:lang w:eastAsia="lv-LV"/>
        </w:rPr>
        <w:lastRenderedPageBreak/>
        <w:t>[4.4]</w:t>
      </w:r>
      <w:r w:rsidR="00174A6C">
        <w:rPr>
          <w:rFonts w:eastAsia="Times New Roman" w:cs="Times New Roman"/>
          <w:bCs/>
          <w:szCs w:val="24"/>
          <w:lang w:eastAsia="lv-LV"/>
        </w:rPr>
        <w:t> </w:t>
      </w:r>
      <w:r w:rsidR="002A6BE7">
        <w:rPr>
          <w:rFonts w:eastAsia="Times New Roman" w:cs="Times New Roman"/>
          <w:bCs/>
          <w:szCs w:val="24"/>
          <w:lang w:eastAsia="lv-LV"/>
        </w:rPr>
        <w:t xml:space="preserve">Piemērojot </w:t>
      </w:r>
      <w:r>
        <w:rPr>
          <w:rFonts w:cs="Times New Roman"/>
          <w:szCs w:val="24"/>
        </w:rPr>
        <w:t xml:space="preserve">Pievienotās vērtības nodokļa </w:t>
      </w:r>
      <w:r w:rsidR="00C417DC" w:rsidRPr="00C417DC">
        <w:rPr>
          <w:rFonts w:eastAsia="Times New Roman" w:cs="Times New Roman"/>
          <w:bCs/>
          <w:szCs w:val="24"/>
          <w:lang w:eastAsia="lv-LV"/>
        </w:rPr>
        <w:t>l</w:t>
      </w:r>
      <w:r>
        <w:rPr>
          <w:rFonts w:eastAsia="Times New Roman" w:cs="Times New Roman"/>
          <w:bCs/>
          <w:szCs w:val="24"/>
          <w:lang w:eastAsia="lv-LV"/>
        </w:rPr>
        <w:t>ikuma 25.</w:t>
      </w:r>
      <w:r w:rsidR="00C417DC" w:rsidRPr="00C417DC">
        <w:rPr>
          <w:rFonts w:eastAsia="Times New Roman" w:cs="Times New Roman"/>
          <w:bCs/>
          <w:szCs w:val="24"/>
          <w:lang w:eastAsia="lv-LV"/>
        </w:rPr>
        <w:t>pant</w:t>
      </w:r>
      <w:r w:rsidR="002A6BE7">
        <w:rPr>
          <w:rFonts w:eastAsia="Times New Roman" w:cs="Times New Roman"/>
          <w:bCs/>
          <w:szCs w:val="24"/>
          <w:lang w:eastAsia="lv-LV"/>
        </w:rPr>
        <w:t>u</w:t>
      </w:r>
      <w:r>
        <w:rPr>
          <w:rFonts w:eastAsia="Times New Roman" w:cs="Times New Roman"/>
          <w:bCs/>
          <w:szCs w:val="24"/>
          <w:lang w:eastAsia="lv-LV"/>
        </w:rPr>
        <w:t xml:space="preserve"> un </w:t>
      </w:r>
      <w:r>
        <w:rPr>
          <w:rFonts w:cs="Times New Roman"/>
          <w:szCs w:val="24"/>
        </w:rPr>
        <w:t>88.panta otr</w:t>
      </w:r>
      <w:r w:rsidR="002A6BE7">
        <w:rPr>
          <w:rFonts w:cs="Times New Roman"/>
          <w:szCs w:val="24"/>
        </w:rPr>
        <w:t xml:space="preserve">o daļu, nav pamata secināt, ka </w:t>
      </w:r>
      <w:r w:rsidR="00C417DC" w:rsidRPr="00C417DC">
        <w:rPr>
          <w:rFonts w:eastAsia="Times New Roman" w:cs="Times New Roman"/>
          <w:szCs w:val="24"/>
          <w:lang w:eastAsia="lv-LV"/>
        </w:rPr>
        <w:t xml:space="preserve">gadījumos, kad ārvalsts komercsabiedrība sniedz projektēšanas pakalpojumus attiecībā uz nekustamo īpašumu Latvijā un </w:t>
      </w:r>
      <w:r>
        <w:rPr>
          <w:rFonts w:cs="Times New Roman"/>
          <w:szCs w:val="24"/>
        </w:rPr>
        <w:t>pievienotās vērtības nodok</w:t>
      </w:r>
      <w:r w:rsidR="00174A6C">
        <w:rPr>
          <w:rFonts w:cs="Times New Roman"/>
          <w:szCs w:val="24"/>
        </w:rPr>
        <w:t>li</w:t>
      </w:r>
      <w:r w:rsidR="00C417DC" w:rsidRPr="00C417DC">
        <w:rPr>
          <w:rFonts w:eastAsia="Times New Roman" w:cs="Times New Roman"/>
          <w:szCs w:val="24"/>
          <w:lang w:eastAsia="lv-LV"/>
        </w:rPr>
        <w:t xml:space="preserve"> par </w:t>
      </w:r>
      <w:r w:rsidR="002A6BE7">
        <w:rPr>
          <w:rFonts w:eastAsia="Times New Roman" w:cs="Times New Roman"/>
          <w:szCs w:val="24"/>
          <w:lang w:eastAsia="lv-LV"/>
        </w:rPr>
        <w:t xml:space="preserve">šiem </w:t>
      </w:r>
      <w:r w:rsidR="00C417DC" w:rsidRPr="00C417DC">
        <w:rPr>
          <w:rFonts w:eastAsia="Times New Roman" w:cs="Times New Roman"/>
          <w:szCs w:val="24"/>
          <w:lang w:eastAsia="lv-LV"/>
        </w:rPr>
        <w:t xml:space="preserve">pakalpojumiem budžetā maksā pakalpojumu saņēmējs, </w:t>
      </w:r>
      <w:r w:rsidR="002A6BE7">
        <w:rPr>
          <w:rFonts w:eastAsia="Times New Roman" w:cs="Times New Roman"/>
          <w:szCs w:val="24"/>
          <w:lang w:eastAsia="lv-LV"/>
        </w:rPr>
        <w:t xml:space="preserve">ārvalsts komercsabiedrība veic saimniecisko darbību </w:t>
      </w:r>
      <w:r w:rsidR="00C417DC" w:rsidRPr="00C417DC">
        <w:rPr>
          <w:rFonts w:eastAsia="Times New Roman" w:cs="Times New Roman"/>
          <w:szCs w:val="24"/>
          <w:lang w:eastAsia="lv-LV"/>
        </w:rPr>
        <w:t>Latvijā</w:t>
      </w:r>
      <w:r w:rsidR="002A6BE7">
        <w:rPr>
          <w:rFonts w:eastAsia="Times New Roman" w:cs="Times New Roman"/>
          <w:szCs w:val="24"/>
          <w:lang w:eastAsia="lv-LV"/>
        </w:rPr>
        <w:t xml:space="preserve">. </w:t>
      </w:r>
      <w:r w:rsidR="00CE10CA">
        <w:rPr>
          <w:rFonts w:eastAsia="Times New Roman" w:cs="Times New Roman"/>
          <w:szCs w:val="24"/>
          <w:lang w:eastAsia="lv-LV"/>
        </w:rPr>
        <w:t>K</w:t>
      </w:r>
      <w:r w:rsidR="00C417DC" w:rsidRPr="00C417DC">
        <w:rPr>
          <w:rFonts w:eastAsia="Times New Roman" w:cs="Times New Roman"/>
          <w:szCs w:val="24"/>
          <w:lang w:eastAsia="lv-LV"/>
        </w:rPr>
        <w:t xml:space="preserve">onkrētajā gadījumā </w:t>
      </w:r>
      <w:r w:rsidR="00CE10CA">
        <w:rPr>
          <w:rFonts w:eastAsia="Times New Roman" w:cs="Times New Roman"/>
          <w:szCs w:val="24"/>
          <w:lang w:eastAsia="lv-LV"/>
        </w:rPr>
        <w:t>nodok</w:t>
      </w:r>
      <w:r w:rsidR="00174A6C">
        <w:rPr>
          <w:rFonts w:eastAsia="Times New Roman" w:cs="Times New Roman"/>
          <w:szCs w:val="24"/>
          <w:lang w:eastAsia="lv-LV"/>
        </w:rPr>
        <w:t>li valsts bu</w:t>
      </w:r>
      <w:r w:rsidR="00C417DC" w:rsidRPr="00C417DC">
        <w:rPr>
          <w:rFonts w:eastAsia="Times New Roman" w:cs="Times New Roman"/>
          <w:szCs w:val="24"/>
          <w:lang w:eastAsia="lv-LV"/>
        </w:rPr>
        <w:t xml:space="preserve">džetā </w:t>
      </w:r>
      <w:r w:rsidR="00174A6C">
        <w:rPr>
          <w:rFonts w:eastAsia="Times New Roman" w:cs="Times New Roman"/>
          <w:szCs w:val="24"/>
          <w:lang w:eastAsia="lv-LV"/>
        </w:rPr>
        <w:t xml:space="preserve">samaksā </w:t>
      </w:r>
      <w:r w:rsidR="00C417DC" w:rsidRPr="00C417DC">
        <w:rPr>
          <w:rFonts w:eastAsia="Times New Roman" w:cs="Times New Roman"/>
          <w:szCs w:val="24"/>
          <w:lang w:eastAsia="lv-LV"/>
        </w:rPr>
        <w:t>pro</w:t>
      </w:r>
      <w:r w:rsidR="002E4604">
        <w:rPr>
          <w:rFonts w:eastAsia="Times New Roman" w:cs="Times New Roman"/>
          <w:szCs w:val="24"/>
          <w:lang w:eastAsia="lv-LV"/>
        </w:rPr>
        <w:t>jektēšanas pakalpojumu saņēmējs</w:t>
      </w:r>
      <w:r w:rsidR="00174A6C">
        <w:rPr>
          <w:rFonts w:eastAsia="Times New Roman" w:cs="Times New Roman"/>
          <w:szCs w:val="24"/>
          <w:lang w:eastAsia="lv-LV"/>
        </w:rPr>
        <w:t xml:space="preserve">, </w:t>
      </w:r>
      <w:r w:rsidR="002E4604">
        <w:rPr>
          <w:rFonts w:eastAsia="Times New Roman" w:cs="Times New Roman"/>
          <w:szCs w:val="24"/>
          <w:lang w:eastAsia="lv-LV"/>
        </w:rPr>
        <w:t>līdz ar to</w:t>
      </w:r>
      <w:r w:rsidR="00C417DC" w:rsidRPr="00C417DC">
        <w:rPr>
          <w:rFonts w:eastAsia="Times New Roman" w:cs="Times New Roman"/>
          <w:szCs w:val="24"/>
          <w:lang w:eastAsia="lv-LV"/>
        </w:rPr>
        <w:t xml:space="preserve"> nav pamata uzskatīt, ka </w:t>
      </w:r>
      <w:r w:rsidR="00CE10CA">
        <w:rPr>
          <w:rFonts w:cs="Times New Roman"/>
          <w:szCs w:val="24"/>
        </w:rPr>
        <w:t>pievienotās vērtības nodokļa</w:t>
      </w:r>
      <w:r w:rsidR="00C417DC" w:rsidRPr="00C417DC">
        <w:rPr>
          <w:rFonts w:eastAsia="Times New Roman" w:cs="Times New Roman"/>
          <w:szCs w:val="24"/>
          <w:lang w:eastAsia="lv-LV"/>
        </w:rPr>
        <w:t xml:space="preserve"> piemērošanas vajadzībām </w:t>
      </w:r>
      <w:r w:rsidR="00CE10CA">
        <w:rPr>
          <w:rFonts w:eastAsia="Times New Roman" w:cs="Times New Roman"/>
          <w:szCs w:val="24"/>
          <w:lang w:eastAsia="lv-LV"/>
        </w:rPr>
        <w:t xml:space="preserve">pieteicēja </w:t>
      </w:r>
      <w:r w:rsidR="00C417DC" w:rsidRPr="00C417DC">
        <w:rPr>
          <w:rFonts w:eastAsia="Times New Roman" w:cs="Times New Roman"/>
          <w:szCs w:val="24"/>
          <w:lang w:eastAsia="lv-LV"/>
        </w:rPr>
        <w:t>veic saimniecisko darbību Latvijā.</w:t>
      </w:r>
    </w:p>
    <w:p w14:paraId="6B156439" w14:textId="5496E80F" w:rsidR="00C417DC" w:rsidRPr="00C417DC" w:rsidRDefault="00CE10CA" w:rsidP="00E80A61">
      <w:pPr>
        <w:spacing w:after="0"/>
        <w:ind w:firstLine="567"/>
        <w:contextualSpacing/>
        <w:rPr>
          <w:rFonts w:cs="Times New Roman"/>
          <w:szCs w:val="24"/>
        </w:rPr>
      </w:pPr>
      <w:r>
        <w:rPr>
          <w:rFonts w:eastAsia="Times New Roman" w:cs="Times New Roman"/>
          <w:szCs w:val="24"/>
          <w:lang w:eastAsia="lv-LV"/>
        </w:rPr>
        <w:t>[4.</w:t>
      </w:r>
      <w:r w:rsidR="00E376EF">
        <w:rPr>
          <w:rFonts w:eastAsia="Times New Roman" w:cs="Times New Roman"/>
          <w:szCs w:val="24"/>
          <w:lang w:eastAsia="lv-LV"/>
        </w:rPr>
        <w:t>5</w:t>
      </w:r>
      <w:r>
        <w:rPr>
          <w:rFonts w:eastAsia="Times New Roman" w:cs="Times New Roman"/>
          <w:szCs w:val="24"/>
          <w:lang w:eastAsia="lv-LV"/>
        </w:rPr>
        <w:t>]</w:t>
      </w:r>
      <w:r w:rsidR="00174A6C">
        <w:rPr>
          <w:rFonts w:eastAsia="Times New Roman" w:cs="Times New Roman"/>
          <w:szCs w:val="24"/>
          <w:lang w:eastAsia="lv-LV"/>
        </w:rPr>
        <w:t> </w:t>
      </w:r>
      <w:r>
        <w:rPr>
          <w:rFonts w:eastAsia="Times New Roman" w:cs="Times New Roman"/>
          <w:szCs w:val="24"/>
          <w:lang w:eastAsia="lv-LV"/>
        </w:rPr>
        <w:t>K</w:t>
      </w:r>
      <w:r w:rsidR="00C417DC" w:rsidRPr="00C417DC">
        <w:rPr>
          <w:rFonts w:cs="Times New Roman"/>
          <w:szCs w:val="24"/>
        </w:rPr>
        <w:t xml:space="preserve">opējo </w:t>
      </w:r>
      <w:r>
        <w:rPr>
          <w:rFonts w:cs="Times New Roman"/>
          <w:szCs w:val="24"/>
        </w:rPr>
        <w:t>pievienotās vērtības nodokļa</w:t>
      </w:r>
      <w:r w:rsidR="00C417DC" w:rsidRPr="00C417DC">
        <w:rPr>
          <w:rFonts w:cs="Times New Roman"/>
          <w:szCs w:val="24"/>
        </w:rPr>
        <w:t xml:space="preserve"> sistēmu veido gan kārtība</w:t>
      </w:r>
      <w:r w:rsidR="00174A6C">
        <w:rPr>
          <w:rFonts w:cs="Times New Roman"/>
          <w:szCs w:val="24"/>
        </w:rPr>
        <w:t>,</w:t>
      </w:r>
      <w:r w:rsidR="00C417DC" w:rsidRPr="00C417DC">
        <w:rPr>
          <w:rFonts w:cs="Times New Roman"/>
          <w:szCs w:val="24"/>
        </w:rPr>
        <w:t xml:space="preserve"> kādā tiek </w:t>
      </w:r>
      <w:r w:rsidR="003E1ACF">
        <w:rPr>
          <w:rFonts w:cs="Times New Roman"/>
          <w:szCs w:val="24"/>
        </w:rPr>
        <w:t xml:space="preserve">maksāts </w:t>
      </w:r>
      <w:r>
        <w:rPr>
          <w:rFonts w:cs="Times New Roman"/>
          <w:szCs w:val="24"/>
        </w:rPr>
        <w:t>nodok</w:t>
      </w:r>
      <w:r w:rsidR="003E1ACF">
        <w:rPr>
          <w:rFonts w:cs="Times New Roman"/>
          <w:szCs w:val="24"/>
        </w:rPr>
        <w:t>lis</w:t>
      </w:r>
      <w:r>
        <w:rPr>
          <w:rFonts w:cs="Times New Roman"/>
          <w:szCs w:val="24"/>
        </w:rPr>
        <w:t>, gan kārtība</w:t>
      </w:r>
      <w:r w:rsidR="00174A6C">
        <w:rPr>
          <w:rFonts w:cs="Times New Roman"/>
          <w:szCs w:val="24"/>
        </w:rPr>
        <w:t>,</w:t>
      </w:r>
      <w:r>
        <w:rPr>
          <w:rFonts w:cs="Times New Roman"/>
          <w:szCs w:val="24"/>
        </w:rPr>
        <w:t xml:space="preserve"> kādā nodoklis </w:t>
      </w:r>
      <w:r w:rsidR="00C417DC" w:rsidRPr="00C417DC">
        <w:rPr>
          <w:rFonts w:cs="Times New Roman"/>
          <w:szCs w:val="24"/>
        </w:rPr>
        <w:t xml:space="preserve">tiek atmaksāts. Turklāt abi šie procesi savstarpēji ir cieši saistīti un viens no otra izrietoši. Līdz ar to, vērtējot citas dalībvalsts reģistrēta nodokļa maksātāja tiesības atgūt Latvijā samaksāto </w:t>
      </w:r>
      <w:r>
        <w:rPr>
          <w:rFonts w:cs="Times New Roman"/>
          <w:szCs w:val="24"/>
        </w:rPr>
        <w:t>nodokli</w:t>
      </w:r>
      <w:r w:rsidR="002A6BE7">
        <w:rPr>
          <w:rFonts w:cs="Times New Roman"/>
          <w:szCs w:val="24"/>
        </w:rPr>
        <w:t>,</w:t>
      </w:r>
      <w:r>
        <w:rPr>
          <w:rFonts w:cs="Times New Roman"/>
          <w:szCs w:val="24"/>
        </w:rPr>
        <w:t xml:space="preserve"> </w:t>
      </w:r>
      <w:r w:rsidR="00C417DC" w:rsidRPr="00C417DC">
        <w:rPr>
          <w:rFonts w:cs="Times New Roman"/>
          <w:szCs w:val="24"/>
        </w:rPr>
        <w:t>ir jāvērtē kopsakarā tā fakt</w:t>
      </w:r>
      <w:r>
        <w:rPr>
          <w:rFonts w:cs="Times New Roman"/>
          <w:szCs w:val="24"/>
        </w:rPr>
        <w:t>isk</w:t>
      </w:r>
      <w:r w:rsidR="00174A6C">
        <w:rPr>
          <w:rFonts w:cs="Times New Roman"/>
          <w:szCs w:val="24"/>
        </w:rPr>
        <w:t>ais</w:t>
      </w:r>
      <w:r>
        <w:rPr>
          <w:rFonts w:cs="Times New Roman"/>
          <w:szCs w:val="24"/>
        </w:rPr>
        <w:t xml:space="preserve"> pienākum</w:t>
      </w:r>
      <w:r w:rsidR="00174A6C">
        <w:rPr>
          <w:rFonts w:cs="Times New Roman"/>
          <w:szCs w:val="24"/>
        </w:rPr>
        <w:t>s</w:t>
      </w:r>
      <w:r>
        <w:rPr>
          <w:rFonts w:cs="Times New Roman"/>
          <w:szCs w:val="24"/>
        </w:rPr>
        <w:t xml:space="preserve"> reģistrēties pievienotās vērtības nodokļa</w:t>
      </w:r>
      <w:r w:rsidR="00C417DC" w:rsidRPr="00C417DC">
        <w:rPr>
          <w:rFonts w:cs="Times New Roman"/>
          <w:szCs w:val="24"/>
        </w:rPr>
        <w:t xml:space="preserve"> maksātāju reģistrā</w:t>
      </w:r>
      <w:r w:rsidR="00342C5B">
        <w:rPr>
          <w:rFonts w:cs="Times New Roman"/>
          <w:szCs w:val="24"/>
        </w:rPr>
        <w:t xml:space="preserve"> atmaksas dalībvalstī</w:t>
      </w:r>
      <w:r w:rsidR="00C417DC" w:rsidRPr="00C417DC">
        <w:rPr>
          <w:rFonts w:cs="Times New Roman"/>
          <w:szCs w:val="24"/>
        </w:rPr>
        <w:t>.</w:t>
      </w:r>
    </w:p>
    <w:p w14:paraId="34F8E2B4" w14:textId="27D2EBD7" w:rsidR="002A6BE7" w:rsidRDefault="00CE10CA" w:rsidP="00E80A61">
      <w:pPr>
        <w:spacing w:after="0"/>
        <w:ind w:firstLine="567"/>
        <w:contextualSpacing/>
        <w:rPr>
          <w:rFonts w:cs="Times New Roman"/>
          <w:szCs w:val="24"/>
        </w:rPr>
      </w:pPr>
      <w:r>
        <w:rPr>
          <w:rFonts w:cs="Times New Roman"/>
          <w:szCs w:val="24"/>
        </w:rPr>
        <w:t>[4.</w:t>
      </w:r>
      <w:r w:rsidR="00E376EF">
        <w:rPr>
          <w:rFonts w:cs="Times New Roman"/>
          <w:szCs w:val="24"/>
        </w:rPr>
        <w:t>6</w:t>
      </w:r>
      <w:r>
        <w:rPr>
          <w:rFonts w:cs="Times New Roman"/>
          <w:szCs w:val="24"/>
        </w:rPr>
        <w:t>]</w:t>
      </w:r>
      <w:r w:rsidR="00174A6C">
        <w:rPr>
          <w:rFonts w:cs="Times New Roman"/>
          <w:szCs w:val="24"/>
        </w:rPr>
        <w:t> </w:t>
      </w:r>
      <w:r w:rsidR="002E4604">
        <w:rPr>
          <w:rFonts w:cs="Times New Roman"/>
          <w:szCs w:val="24"/>
        </w:rPr>
        <w:t>C</w:t>
      </w:r>
      <w:r w:rsidR="00C417DC" w:rsidRPr="00C417DC">
        <w:rPr>
          <w:rFonts w:cs="Times New Roman"/>
          <w:szCs w:val="24"/>
        </w:rPr>
        <w:t>itas dalībvalsts reģistrēt</w:t>
      </w:r>
      <w:r w:rsidR="00174A6C">
        <w:rPr>
          <w:rFonts w:cs="Times New Roman"/>
          <w:szCs w:val="24"/>
        </w:rPr>
        <w:t>am</w:t>
      </w:r>
      <w:r w:rsidR="00C417DC" w:rsidRPr="00C417DC">
        <w:rPr>
          <w:rFonts w:cs="Times New Roman"/>
          <w:szCs w:val="24"/>
        </w:rPr>
        <w:t xml:space="preserve"> nodokļa maksātāj</w:t>
      </w:r>
      <w:r w:rsidR="002E4604">
        <w:rPr>
          <w:rFonts w:cs="Times New Roman"/>
          <w:szCs w:val="24"/>
        </w:rPr>
        <w:t>am</w:t>
      </w:r>
      <w:r w:rsidR="00C417DC" w:rsidRPr="00C417DC">
        <w:rPr>
          <w:rFonts w:cs="Times New Roman"/>
          <w:szCs w:val="24"/>
        </w:rPr>
        <w:t xml:space="preserve">, lai atgūtu Latvijā samaksāto </w:t>
      </w:r>
      <w:r>
        <w:rPr>
          <w:rFonts w:cs="Times New Roman"/>
          <w:szCs w:val="24"/>
        </w:rPr>
        <w:t>pievienotās vērtības nodokli</w:t>
      </w:r>
      <w:r w:rsidR="002E4604">
        <w:rPr>
          <w:rFonts w:cs="Times New Roman"/>
          <w:szCs w:val="24"/>
        </w:rPr>
        <w:t>,</w:t>
      </w:r>
      <w:r>
        <w:rPr>
          <w:rFonts w:cs="Times New Roman"/>
          <w:szCs w:val="24"/>
        </w:rPr>
        <w:t xml:space="preserve"> </w:t>
      </w:r>
      <w:r w:rsidR="00C417DC" w:rsidRPr="00C417DC">
        <w:rPr>
          <w:rFonts w:cs="Times New Roman"/>
          <w:szCs w:val="24"/>
        </w:rPr>
        <w:t>nav obligāti jāreģistrējas</w:t>
      </w:r>
      <w:r w:rsidR="00174A6C">
        <w:rPr>
          <w:rFonts w:cs="Times New Roman"/>
          <w:szCs w:val="24"/>
        </w:rPr>
        <w:t xml:space="preserve"> pievienotās vērtības nodokļa maksātāju reģistrā Latvijā</w:t>
      </w:r>
      <w:r w:rsidR="00C417DC" w:rsidRPr="00C417DC">
        <w:rPr>
          <w:rFonts w:cs="Times New Roman"/>
          <w:szCs w:val="24"/>
        </w:rPr>
        <w:t>,</w:t>
      </w:r>
      <w:r w:rsidR="002A6BE7">
        <w:rPr>
          <w:rFonts w:cs="Times New Roman"/>
          <w:szCs w:val="24"/>
        </w:rPr>
        <w:t xml:space="preserve"> </w:t>
      </w:r>
      <w:r w:rsidR="00C417DC" w:rsidRPr="00C417DC">
        <w:rPr>
          <w:rFonts w:cs="Times New Roman"/>
          <w:szCs w:val="24"/>
        </w:rPr>
        <w:t>jo tiesiskais regulējums paredz kārtību</w:t>
      </w:r>
      <w:r w:rsidR="00174A6C">
        <w:rPr>
          <w:rFonts w:cs="Times New Roman"/>
          <w:szCs w:val="24"/>
        </w:rPr>
        <w:t>,</w:t>
      </w:r>
      <w:r w:rsidR="00C417DC" w:rsidRPr="00C417DC">
        <w:rPr>
          <w:rFonts w:cs="Times New Roman"/>
          <w:szCs w:val="24"/>
        </w:rPr>
        <w:t xml:space="preserve"> kādā attiecīgajai personai tiek atmaksāts </w:t>
      </w:r>
      <w:r>
        <w:rPr>
          <w:rFonts w:cs="Times New Roman"/>
          <w:szCs w:val="24"/>
        </w:rPr>
        <w:t>nodoklis</w:t>
      </w:r>
      <w:r w:rsidR="00C417DC" w:rsidRPr="00C417DC">
        <w:rPr>
          <w:rFonts w:cs="Times New Roman"/>
          <w:szCs w:val="24"/>
        </w:rPr>
        <w:t xml:space="preserve">. </w:t>
      </w:r>
      <w:r>
        <w:rPr>
          <w:rFonts w:cs="Times New Roman"/>
          <w:szCs w:val="24"/>
        </w:rPr>
        <w:t>Pievienotās vērtības nodokļa likuma 113.</w:t>
      </w:r>
      <w:r w:rsidR="00C417DC" w:rsidRPr="00C417DC">
        <w:rPr>
          <w:rFonts w:cs="Times New Roman"/>
          <w:szCs w:val="24"/>
        </w:rPr>
        <w:t xml:space="preserve">panta pirmajā daļā paredzētie kritēriji (ierobežojumi), jo īpaši 2. un </w:t>
      </w:r>
      <w:r>
        <w:rPr>
          <w:rFonts w:cs="Times New Roman"/>
          <w:szCs w:val="24"/>
        </w:rPr>
        <w:t>4.</w:t>
      </w:r>
      <w:r w:rsidR="00C417DC" w:rsidRPr="00C417DC">
        <w:rPr>
          <w:rFonts w:cs="Times New Roman"/>
          <w:szCs w:val="24"/>
        </w:rPr>
        <w:t>punkt</w:t>
      </w:r>
      <w:r w:rsidR="002A6BE7">
        <w:rPr>
          <w:rFonts w:cs="Times New Roman"/>
          <w:szCs w:val="24"/>
        </w:rPr>
        <w:t>ā</w:t>
      </w:r>
      <w:r w:rsidR="00C417DC" w:rsidRPr="00C417DC">
        <w:rPr>
          <w:rFonts w:cs="Times New Roman"/>
          <w:szCs w:val="24"/>
        </w:rPr>
        <w:t xml:space="preserve"> paredzētie, attiecas uz tādiem gadījumiem, kad citas dalībvalsts reģistrētam nodokļ</w:t>
      </w:r>
      <w:r w:rsidR="003E1ACF">
        <w:rPr>
          <w:rFonts w:cs="Times New Roman"/>
          <w:szCs w:val="24"/>
        </w:rPr>
        <w:t>a</w:t>
      </w:r>
      <w:r w:rsidR="00C417DC" w:rsidRPr="00C417DC">
        <w:rPr>
          <w:rFonts w:cs="Times New Roman"/>
          <w:szCs w:val="24"/>
        </w:rPr>
        <w:t xml:space="preserve"> maksātājam gala rezultātā būtu jāveic Latvijas budžetā noteikti</w:t>
      </w:r>
      <w:r w:rsidR="003E1ACF">
        <w:rPr>
          <w:rFonts w:cs="Times New Roman"/>
          <w:szCs w:val="24"/>
        </w:rPr>
        <w:t>e</w:t>
      </w:r>
      <w:r w:rsidR="00C417DC" w:rsidRPr="00C417DC">
        <w:rPr>
          <w:rFonts w:cs="Times New Roman"/>
          <w:szCs w:val="24"/>
        </w:rPr>
        <w:t xml:space="preserve"> </w:t>
      </w:r>
      <w:r>
        <w:rPr>
          <w:rFonts w:cs="Times New Roman"/>
          <w:szCs w:val="24"/>
        </w:rPr>
        <w:t>pievienotās vērtības nodokļa</w:t>
      </w:r>
      <w:r w:rsidR="00C417DC" w:rsidRPr="00C417DC">
        <w:rPr>
          <w:rFonts w:cs="Times New Roman"/>
          <w:szCs w:val="24"/>
        </w:rPr>
        <w:t xml:space="preserve"> maksājumi, </w:t>
      </w:r>
      <w:r w:rsidR="002A6BE7">
        <w:rPr>
          <w:rFonts w:cs="Times New Roman"/>
          <w:szCs w:val="24"/>
        </w:rPr>
        <w:t xml:space="preserve">taču </w:t>
      </w:r>
      <w:r>
        <w:rPr>
          <w:rFonts w:cs="Times New Roman"/>
          <w:szCs w:val="24"/>
        </w:rPr>
        <w:t>šajā gadījumā tas tā nav</w:t>
      </w:r>
      <w:r w:rsidR="002A6BE7">
        <w:rPr>
          <w:rFonts w:cs="Times New Roman"/>
          <w:szCs w:val="24"/>
        </w:rPr>
        <w:t xml:space="preserve">, </w:t>
      </w:r>
      <w:r w:rsidR="00342C5B">
        <w:rPr>
          <w:rFonts w:cs="Times New Roman"/>
          <w:szCs w:val="24"/>
        </w:rPr>
        <w:t>jo</w:t>
      </w:r>
      <w:r w:rsidR="002A6BE7">
        <w:rPr>
          <w:rFonts w:cs="Times New Roman"/>
          <w:szCs w:val="24"/>
        </w:rPr>
        <w:t xml:space="preserve"> </w:t>
      </w:r>
      <w:r>
        <w:rPr>
          <w:rFonts w:cs="Times New Roman"/>
          <w:szCs w:val="24"/>
        </w:rPr>
        <w:t>pieteicējai</w:t>
      </w:r>
      <w:r w:rsidR="00C417DC" w:rsidRPr="00C417DC">
        <w:rPr>
          <w:rFonts w:cs="Times New Roman"/>
          <w:szCs w:val="24"/>
        </w:rPr>
        <w:t xml:space="preserve"> nav jā</w:t>
      </w:r>
      <w:r w:rsidR="006933E6">
        <w:rPr>
          <w:rFonts w:cs="Times New Roman"/>
          <w:szCs w:val="24"/>
        </w:rPr>
        <w:t xml:space="preserve">maksā </w:t>
      </w:r>
      <w:r w:rsidR="00C417DC" w:rsidRPr="00C417DC">
        <w:rPr>
          <w:rFonts w:cs="Times New Roman"/>
          <w:szCs w:val="24"/>
        </w:rPr>
        <w:t xml:space="preserve">Latvijas budžetā </w:t>
      </w:r>
      <w:r>
        <w:rPr>
          <w:rFonts w:cs="Times New Roman"/>
          <w:szCs w:val="24"/>
        </w:rPr>
        <w:t>pievienotās vērtības nodok</w:t>
      </w:r>
      <w:r w:rsidR="006933E6">
        <w:rPr>
          <w:rFonts w:cs="Times New Roman"/>
          <w:szCs w:val="24"/>
        </w:rPr>
        <w:t>lis</w:t>
      </w:r>
      <w:r w:rsidR="002A6BE7">
        <w:rPr>
          <w:rFonts w:cs="Times New Roman"/>
          <w:szCs w:val="24"/>
        </w:rPr>
        <w:t>.</w:t>
      </w:r>
    </w:p>
    <w:p w14:paraId="1E6F0A5C" w14:textId="77777777" w:rsidR="00C417DC" w:rsidRDefault="00C417DC" w:rsidP="00E80A61">
      <w:pPr>
        <w:spacing w:after="0"/>
        <w:ind w:firstLine="567"/>
        <w:contextualSpacing/>
        <w:rPr>
          <w:rFonts w:cs="Times New Roman"/>
          <w:szCs w:val="24"/>
        </w:rPr>
      </w:pPr>
    </w:p>
    <w:p w14:paraId="24ED1B3A" w14:textId="2282DF80" w:rsidR="00FA1CE7" w:rsidRDefault="00576C6D" w:rsidP="00E80A61">
      <w:pPr>
        <w:spacing w:after="0"/>
        <w:ind w:firstLine="567"/>
        <w:contextualSpacing/>
        <w:rPr>
          <w:szCs w:val="24"/>
        </w:rPr>
      </w:pPr>
      <w:r w:rsidRPr="00576C6D">
        <w:rPr>
          <w:rFonts w:cs="Times New Roman"/>
          <w:szCs w:val="24"/>
        </w:rPr>
        <w:t>[5]</w:t>
      </w:r>
      <w:r w:rsidR="00DF427F">
        <w:rPr>
          <w:rFonts w:cs="Times New Roman"/>
          <w:szCs w:val="24"/>
        </w:rPr>
        <w:t> </w:t>
      </w:r>
      <w:r w:rsidRPr="00576C6D">
        <w:rPr>
          <w:szCs w:val="24"/>
        </w:rPr>
        <w:t xml:space="preserve">Valsts ieņēmumu dienests </w:t>
      </w:r>
      <w:r w:rsidR="002A6BE7">
        <w:rPr>
          <w:szCs w:val="24"/>
        </w:rPr>
        <w:t xml:space="preserve">paskaidrojumā </w:t>
      </w:r>
      <w:r w:rsidRPr="00576C6D">
        <w:rPr>
          <w:szCs w:val="24"/>
        </w:rPr>
        <w:t xml:space="preserve">par kasācijas sūdzību </w:t>
      </w:r>
      <w:r w:rsidR="002A6BE7">
        <w:rPr>
          <w:szCs w:val="24"/>
        </w:rPr>
        <w:t>norāda</w:t>
      </w:r>
      <w:r w:rsidR="00DC56A1">
        <w:rPr>
          <w:szCs w:val="24"/>
        </w:rPr>
        <w:t>, ka p</w:t>
      </w:r>
      <w:r w:rsidR="00FA1CE7" w:rsidRPr="00FA1CE7">
        <w:rPr>
          <w:szCs w:val="24"/>
        </w:rPr>
        <w:t xml:space="preserve">ieteicēja turpina uzstāt uz kļūdainu </w:t>
      </w:r>
      <w:r w:rsidR="002E4604">
        <w:rPr>
          <w:szCs w:val="24"/>
        </w:rPr>
        <w:t>Pievienotās vērtības nodokļa atmaksas direktīvas</w:t>
      </w:r>
      <w:r w:rsidR="00FA1CE7" w:rsidRPr="00FA1CE7">
        <w:rPr>
          <w:szCs w:val="24"/>
        </w:rPr>
        <w:t xml:space="preserve"> interpretāciju. Pieteicēja neievēro, ka minētā direktīva neparedz ārvalstu nodokļ</w:t>
      </w:r>
      <w:r w:rsidR="003E1ACF">
        <w:rPr>
          <w:szCs w:val="24"/>
        </w:rPr>
        <w:t>a</w:t>
      </w:r>
      <w:r w:rsidR="00FA1CE7" w:rsidRPr="00FA1CE7">
        <w:rPr>
          <w:szCs w:val="24"/>
        </w:rPr>
        <w:t xml:space="preserve"> maksātāj</w:t>
      </w:r>
      <w:r w:rsidR="003E1ACF">
        <w:rPr>
          <w:szCs w:val="24"/>
        </w:rPr>
        <w:t>a</w:t>
      </w:r>
      <w:r w:rsidR="00FA1CE7" w:rsidRPr="00FA1CE7">
        <w:rPr>
          <w:szCs w:val="24"/>
        </w:rPr>
        <w:t xml:space="preserve"> tiesības atskaitīt priekšnodokli par darījumiem ar nekustamo īpašumu</w:t>
      </w:r>
      <w:r w:rsidR="006933E6">
        <w:rPr>
          <w:szCs w:val="24"/>
        </w:rPr>
        <w:t>,</w:t>
      </w:r>
      <w:r w:rsidR="003F2A2F">
        <w:rPr>
          <w:szCs w:val="24"/>
        </w:rPr>
        <w:t xml:space="preserve"> un tas</w:t>
      </w:r>
      <w:r w:rsidR="00FA1CE7" w:rsidRPr="00FA1CE7">
        <w:rPr>
          <w:szCs w:val="24"/>
        </w:rPr>
        <w:t xml:space="preserve"> nozīmē, ka arī pakalpojumi, kas saistīti ar nekustamo īpašumu, ir ielasāmi š</w:t>
      </w:r>
      <w:r w:rsidR="00BB0DDC">
        <w:rPr>
          <w:szCs w:val="24"/>
        </w:rPr>
        <w:t>ā</w:t>
      </w:r>
      <w:r w:rsidR="00FA1CE7" w:rsidRPr="00FA1CE7">
        <w:rPr>
          <w:szCs w:val="24"/>
        </w:rPr>
        <w:t xml:space="preserve"> noteikuma tvērumā.</w:t>
      </w:r>
    </w:p>
    <w:p w14:paraId="6CE92C28" w14:textId="77777777" w:rsidR="00E46B9B" w:rsidRDefault="00E46B9B" w:rsidP="00E80A61">
      <w:pPr>
        <w:spacing w:after="0"/>
        <w:ind w:firstLine="567"/>
        <w:contextualSpacing/>
        <w:rPr>
          <w:szCs w:val="24"/>
        </w:rPr>
      </w:pPr>
    </w:p>
    <w:p w14:paraId="484FD964" w14:textId="77777777" w:rsidR="00576C6D" w:rsidRPr="00576C6D" w:rsidRDefault="00576C6D" w:rsidP="00E80A61">
      <w:pPr>
        <w:spacing w:after="0"/>
        <w:contextualSpacing/>
        <w:jc w:val="center"/>
        <w:rPr>
          <w:b/>
          <w:szCs w:val="24"/>
        </w:rPr>
      </w:pPr>
      <w:r w:rsidRPr="00576C6D">
        <w:rPr>
          <w:b/>
          <w:szCs w:val="24"/>
        </w:rPr>
        <w:t>Motīvu daļa</w:t>
      </w:r>
    </w:p>
    <w:p w14:paraId="3A53A9AB" w14:textId="77777777" w:rsidR="00D43FFB" w:rsidRPr="00576C6D" w:rsidRDefault="00D43FFB" w:rsidP="00E80A61">
      <w:pPr>
        <w:spacing w:after="0"/>
        <w:ind w:firstLine="567"/>
        <w:contextualSpacing/>
        <w:rPr>
          <w:rFonts w:cs="Times New Roman"/>
          <w:szCs w:val="24"/>
        </w:rPr>
      </w:pPr>
    </w:p>
    <w:p w14:paraId="3626F7D3" w14:textId="11C4F636" w:rsidR="00D33956" w:rsidRDefault="00576C6D" w:rsidP="00E80A61">
      <w:pPr>
        <w:spacing w:after="0"/>
        <w:ind w:firstLine="567"/>
        <w:contextualSpacing/>
        <w:rPr>
          <w:rFonts w:cs="Times New Roman"/>
          <w:szCs w:val="24"/>
        </w:rPr>
      </w:pPr>
      <w:r>
        <w:rPr>
          <w:rFonts w:cs="Times New Roman"/>
          <w:szCs w:val="24"/>
        </w:rPr>
        <w:t>[6]</w:t>
      </w:r>
      <w:r w:rsidR="00DF427F">
        <w:rPr>
          <w:rFonts w:cs="Times New Roman"/>
          <w:szCs w:val="24"/>
        </w:rPr>
        <w:t> </w:t>
      </w:r>
      <w:r w:rsidR="00D33956">
        <w:rPr>
          <w:rFonts w:cs="Times New Roman"/>
          <w:szCs w:val="24"/>
        </w:rPr>
        <w:t>Lietā ir strīds p</w:t>
      </w:r>
      <w:r w:rsidR="003E1ACF">
        <w:rPr>
          <w:rFonts w:cs="Times New Roman"/>
          <w:szCs w:val="24"/>
        </w:rPr>
        <w:t>a</w:t>
      </w:r>
      <w:r w:rsidR="00D33956">
        <w:rPr>
          <w:rFonts w:cs="Times New Roman"/>
          <w:szCs w:val="24"/>
        </w:rPr>
        <w:t>r pieteicējas kā citas dalībvalsts nodokļa maksātājas</w:t>
      </w:r>
      <w:r w:rsidR="00452D72">
        <w:rPr>
          <w:rFonts w:cs="Times New Roman"/>
          <w:szCs w:val="24"/>
        </w:rPr>
        <w:t>, kas neveic saimniecisko darbību Latvijas teritorijā,</w:t>
      </w:r>
      <w:r w:rsidR="00D33956">
        <w:rPr>
          <w:rFonts w:cs="Times New Roman"/>
          <w:szCs w:val="24"/>
        </w:rPr>
        <w:t xml:space="preserve"> tiesībām saņemt pievienotās vērtības nodokļa atmaksu par iekšzemē (Latvijā) no citām ar pievienotās vērtības nodokli apliekamajām personām saņemtajiem </w:t>
      </w:r>
      <w:r w:rsidR="00452D72">
        <w:rPr>
          <w:rFonts w:cs="Times New Roman"/>
          <w:szCs w:val="24"/>
        </w:rPr>
        <w:t>ar nekustamā īpašuma būvniecību saistītajiem p</w:t>
      </w:r>
      <w:r w:rsidR="00D33956">
        <w:rPr>
          <w:rFonts w:cs="Times New Roman"/>
          <w:szCs w:val="24"/>
        </w:rPr>
        <w:t>akalpojumiem.</w:t>
      </w:r>
    </w:p>
    <w:p w14:paraId="05B4131C" w14:textId="77777777" w:rsidR="00452D72" w:rsidRDefault="00452D72" w:rsidP="00E80A61">
      <w:pPr>
        <w:spacing w:after="0"/>
        <w:ind w:firstLine="567"/>
        <w:contextualSpacing/>
        <w:rPr>
          <w:rFonts w:cs="Times New Roman"/>
          <w:szCs w:val="24"/>
        </w:rPr>
      </w:pPr>
      <w:r>
        <w:rPr>
          <w:rFonts w:cs="Times New Roman"/>
          <w:szCs w:val="24"/>
        </w:rPr>
        <w:t>Apgabaltiesa atzinusi, ka pieteicējai šādu tiesību nav, jo neizpildās Pievienotās vērtības nodokļa likuma 113.panta pirmās daļas prasības. Savukārt pieteicēja uzskata, ka apgabaltiesa šo tiesību normu piemērojusi nepareizi, jo to nav interpretējusi kopsakarā ar citām šajā lietā piemērojamām pievienotās vērtības nodokli reglamentējošām tiesību normām.</w:t>
      </w:r>
    </w:p>
    <w:p w14:paraId="69A80C6D" w14:textId="77777777" w:rsidR="00452D72" w:rsidRDefault="00452D72" w:rsidP="00E80A61">
      <w:pPr>
        <w:spacing w:after="0"/>
        <w:ind w:firstLine="567"/>
        <w:contextualSpacing/>
        <w:rPr>
          <w:rFonts w:cs="Times New Roman"/>
          <w:szCs w:val="24"/>
        </w:rPr>
      </w:pPr>
      <w:r>
        <w:rPr>
          <w:rFonts w:cs="Times New Roman"/>
          <w:szCs w:val="24"/>
        </w:rPr>
        <w:t>Senāts turpmāk norādīto apsvērumu dēļ šādu pieteicējas argumentu atzīst par pamatotu.</w:t>
      </w:r>
    </w:p>
    <w:p w14:paraId="55796AD2" w14:textId="0CED3DA1" w:rsidR="00B86B02" w:rsidRDefault="00B86B02" w:rsidP="00E80A61">
      <w:pPr>
        <w:spacing w:after="0"/>
        <w:ind w:firstLine="567"/>
        <w:contextualSpacing/>
        <w:rPr>
          <w:bCs/>
          <w:szCs w:val="24"/>
          <w:lang w:eastAsia="lv-LV"/>
        </w:rPr>
      </w:pPr>
    </w:p>
    <w:p w14:paraId="4C6DF8D8" w14:textId="62A2465C" w:rsidR="00D42E1B" w:rsidRDefault="00D42E1B" w:rsidP="00E80A61">
      <w:pPr>
        <w:spacing w:after="0"/>
        <w:ind w:firstLine="567"/>
        <w:contextualSpacing/>
        <w:rPr>
          <w:rFonts w:cs="Times New Roman"/>
          <w:szCs w:val="24"/>
        </w:rPr>
      </w:pPr>
      <w:r>
        <w:rPr>
          <w:bCs/>
          <w:szCs w:val="24"/>
          <w:lang w:eastAsia="lv-LV"/>
        </w:rPr>
        <w:t>[</w:t>
      </w:r>
      <w:r w:rsidR="00E376EF">
        <w:rPr>
          <w:bCs/>
          <w:szCs w:val="24"/>
          <w:lang w:eastAsia="lv-LV"/>
        </w:rPr>
        <w:t>7</w:t>
      </w:r>
      <w:r>
        <w:rPr>
          <w:bCs/>
          <w:szCs w:val="24"/>
          <w:lang w:eastAsia="lv-LV"/>
        </w:rPr>
        <w:t>] </w:t>
      </w:r>
      <w:r>
        <w:rPr>
          <w:rFonts w:cs="Times New Roman"/>
          <w:szCs w:val="24"/>
        </w:rPr>
        <w:t>Pievienotās vērtības nodokļa likuma 113.panta pirmā daļa noteic, ka c</w:t>
      </w:r>
      <w:r w:rsidRPr="00770E50">
        <w:rPr>
          <w:rFonts w:cs="Times New Roman"/>
          <w:szCs w:val="24"/>
        </w:rPr>
        <w:t>itas dalībvalsts reģistrētam nodokļa maksātājam atmaksā samaksāto nodokli par iekšzemē iegādātajām precēm, saņemtajiem pakalpojumiem un par preču importu ar nodokli apliekamo darījumu nodrošināšanai, ja periodā, par kuru pieprasa atmaksāt nodokli, šis nodokļa maksātājs:</w:t>
      </w:r>
      <w:r>
        <w:rPr>
          <w:rFonts w:cs="Times New Roman"/>
          <w:szCs w:val="24"/>
        </w:rPr>
        <w:t xml:space="preserve"> </w:t>
      </w:r>
      <w:r w:rsidRPr="00770E50">
        <w:rPr>
          <w:rFonts w:cs="Times New Roman"/>
          <w:szCs w:val="24"/>
        </w:rPr>
        <w:t>1)</w:t>
      </w:r>
      <w:r>
        <w:rPr>
          <w:rFonts w:cs="Times New Roman"/>
          <w:szCs w:val="24"/>
        </w:rPr>
        <w:t> </w:t>
      </w:r>
      <w:r w:rsidRPr="00770E50">
        <w:rPr>
          <w:rFonts w:cs="Times New Roman"/>
          <w:szCs w:val="24"/>
        </w:rPr>
        <w:t>ir bijis reģistrēts citas dalībvalsts nodokļa maksātāju reģistrā;</w:t>
      </w:r>
      <w:r>
        <w:rPr>
          <w:rFonts w:cs="Times New Roman"/>
          <w:szCs w:val="24"/>
        </w:rPr>
        <w:t xml:space="preserve"> </w:t>
      </w:r>
      <w:r w:rsidRPr="00770E50">
        <w:rPr>
          <w:rFonts w:cs="Times New Roman"/>
          <w:szCs w:val="24"/>
        </w:rPr>
        <w:t>2)</w:t>
      </w:r>
      <w:r>
        <w:rPr>
          <w:rFonts w:cs="Times New Roman"/>
          <w:szCs w:val="24"/>
        </w:rPr>
        <w:t> </w:t>
      </w:r>
      <w:r w:rsidRPr="00770E50">
        <w:rPr>
          <w:rFonts w:cs="Times New Roman"/>
          <w:szCs w:val="24"/>
        </w:rPr>
        <w:t>nav veicis saskaņā ar spēkā esošajiem normatīvajiem aktiem reģistrējamu saimniecisko darbību iekšzemē;</w:t>
      </w:r>
      <w:r>
        <w:rPr>
          <w:rFonts w:cs="Times New Roman"/>
          <w:szCs w:val="24"/>
        </w:rPr>
        <w:t xml:space="preserve"> </w:t>
      </w:r>
      <w:r w:rsidRPr="00770E50">
        <w:rPr>
          <w:rFonts w:cs="Times New Roman"/>
          <w:szCs w:val="24"/>
        </w:rPr>
        <w:t>3)</w:t>
      </w:r>
      <w:r>
        <w:rPr>
          <w:rFonts w:cs="Times New Roman"/>
          <w:szCs w:val="24"/>
        </w:rPr>
        <w:t> </w:t>
      </w:r>
      <w:r w:rsidRPr="00770E50">
        <w:rPr>
          <w:rFonts w:cs="Times New Roman"/>
          <w:szCs w:val="24"/>
        </w:rPr>
        <w:t xml:space="preserve">nav bijis reģistrēts </w:t>
      </w:r>
      <w:r w:rsidRPr="00770E50">
        <w:rPr>
          <w:rFonts w:cs="Times New Roman"/>
          <w:szCs w:val="24"/>
        </w:rPr>
        <w:lastRenderedPageBreak/>
        <w:t>Valsts ieņēmumu dienesta pievienotās vērtības nodokļa maksātāju reģistrā;</w:t>
      </w:r>
      <w:r>
        <w:rPr>
          <w:rFonts w:cs="Times New Roman"/>
          <w:szCs w:val="24"/>
        </w:rPr>
        <w:t xml:space="preserve"> </w:t>
      </w:r>
      <w:r w:rsidRPr="00770E50">
        <w:rPr>
          <w:rFonts w:cs="Times New Roman"/>
          <w:szCs w:val="24"/>
        </w:rPr>
        <w:t>4)</w:t>
      </w:r>
      <w:r>
        <w:rPr>
          <w:rFonts w:cs="Times New Roman"/>
          <w:szCs w:val="24"/>
        </w:rPr>
        <w:t> </w:t>
      </w:r>
      <w:r w:rsidRPr="00770E50">
        <w:rPr>
          <w:rFonts w:cs="Times New Roman"/>
          <w:szCs w:val="24"/>
        </w:rPr>
        <w:t>nav veicis iekšzemē ar nodokli apliekamus darījumus, kuru dēļ būtu jāreģistrējas Valsts ieņēmumu dienesta pievienotās vērtības nodokļa maksātāju reģistrā.</w:t>
      </w:r>
    </w:p>
    <w:p w14:paraId="0E47DEF8" w14:textId="0DB3D9E5" w:rsidR="00EB0BA2" w:rsidRDefault="00D42E1B" w:rsidP="00E80A61">
      <w:pPr>
        <w:spacing w:after="0"/>
        <w:ind w:firstLine="567"/>
        <w:contextualSpacing/>
        <w:rPr>
          <w:rFonts w:cs="Times New Roman"/>
          <w:szCs w:val="24"/>
        </w:rPr>
      </w:pPr>
      <w:r>
        <w:rPr>
          <w:rFonts w:cs="Times New Roman"/>
          <w:szCs w:val="24"/>
        </w:rPr>
        <w:t>Apgabaltiesas spriedumā norādīts, ka pieteicēja</w:t>
      </w:r>
      <w:r w:rsidR="00405B61">
        <w:rPr>
          <w:rFonts w:cs="Times New Roman"/>
          <w:szCs w:val="24"/>
        </w:rPr>
        <w:t>i pirms ar nekustamo īpašumu saistīto pakalpojumu sniegšanas iekšzemē bija jāreģistrējas Valsts ieņēmumu dienesta pievienotās vērtības nodokļa maksātāju reģistrā un kā Latvijā reģistrētai nodokļ</w:t>
      </w:r>
      <w:r w:rsidR="009D012B">
        <w:rPr>
          <w:rFonts w:cs="Times New Roman"/>
          <w:szCs w:val="24"/>
        </w:rPr>
        <w:t>a</w:t>
      </w:r>
      <w:r w:rsidR="00405B61">
        <w:rPr>
          <w:rFonts w:cs="Times New Roman"/>
          <w:szCs w:val="24"/>
        </w:rPr>
        <w:t xml:space="preserve"> maksātājai jāsamaksā nodoklis par saviem sniegtajiem pakalpojumiem, vienlaikus iegūstot tiesības kā priekšnodokli atskaitīt pievienotās vērtības nodokli par saņemtajiem pakalpojumiem savu ar nodokli apliekamo darījumu nodrošināšanai. </w:t>
      </w:r>
      <w:r w:rsidR="00934975">
        <w:rPr>
          <w:rFonts w:cs="Times New Roman"/>
          <w:szCs w:val="24"/>
        </w:rPr>
        <w:t xml:space="preserve">Rezultātā </w:t>
      </w:r>
      <w:r w:rsidR="00405B61">
        <w:rPr>
          <w:rFonts w:cs="Times New Roman"/>
          <w:szCs w:val="24"/>
        </w:rPr>
        <w:t>apgabaltiesa secinājusi, ka, tā kā pieteicēja</w:t>
      </w:r>
      <w:r>
        <w:rPr>
          <w:rFonts w:cs="Times New Roman"/>
          <w:szCs w:val="24"/>
        </w:rPr>
        <w:t xml:space="preserve"> veica iekšzemē ar nodokli apliekamus darījumus, kuru dēļ tai bija jāreģistrējas Valsts ieņēmumu </w:t>
      </w:r>
      <w:r w:rsidR="003670AC">
        <w:rPr>
          <w:rFonts w:cs="Times New Roman"/>
          <w:szCs w:val="24"/>
        </w:rPr>
        <w:t>d</w:t>
      </w:r>
      <w:r>
        <w:rPr>
          <w:rFonts w:cs="Times New Roman"/>
          <w:szCs w:val="24"/>
        </w:rPr>
        <w:t>ienesta pievienotās vērtības nodokļa maksātāju reģistrā</w:t>
      </w:r>
      <w:r w:rsidR="009D5F31">
        <w:rPr>
          <w:rFonts w:cs="Times New Roman"/>
          <w:szCs w:val="24"/>
        </w:rPr>
        <w:t>,</w:t>
      </w:r>
      <w:r w:rsidR="003670AC">
        <w:rPr>
          <w:rFonts w:cs="Times New Roman"/>
          <w:szCs w:val="24"/>
        </w:rPr>
        <w:t xml:space="preserve"> pieteicējai nav tiesību uz nodokļa atmaksu par</w:t>
      </w:r>
      <w:r w:rsidR="00EB0BA2">
        <w:rPr>
          <w:rFonts w:cs="Times New Roman"/>
          <w:szCs w:val="24"/>
        </w:rPr>
        <w:t xml:space="preserve"> iekšzemē saņemtajiem pakalpojumiem.</w:t>
      </w:r>
    </w:p>
    <w:p w14:paraId="4CEB0A29" w14:textId="1369DBA7" w:rsidR="00934975" w:rsidRDefault="00EB0BA2" w:rsidP="00E80A61">
      <w:pPr>
        <w:spacing w:after="0"/>
        <w:ind w:firstLine="567"/>
        <w:contextualSpacing/>
        <w:rPr>
          <w:rFonts w:cs="Times New Roman"/>
          <w:szCs w:val="24"/>
        </w:rPr>
      </w:pPr>
      <w:r>
        <w:rPr>
          <w:rFonts w:cs="Times New Roman"/>
          <w:szCs w:val="24"/>
        </w:rPr>
        <w:t xml:space="preserve">Šādu </w:t>
      </w:r>
      <w:r w:rsidR="009D5F31">
        <w:rPr>
          <w:rFonts w:cs="Times New Roman"/>
          <w:szCs w:val="24"/>
        </w:rPr>
        <w:t xml:space="preserve">secinājumu apgabaltiesa pamatojusi ar Pievienotās vērtības nodokļa likuma 56.panta otro daļu. </w:t>
      </w:r>
    </w:p>
    <w:p w14:paraId="5B9EFD11" w14:textId="7FCC6242" w:rsidR="00EB0BA2" w:rsidRDefault="00EB0BA2" w:rsidP="00E80A61">
      <w:pPr>
        <w:spacing w:after="0"/>
        <w:ind w:firstLine="567"/>
        <w:contextualSpacing/>
        <w:rPr>
          <w:rFonts w:cs="Times New Roman"/>
          <w:szCs w:val="24"/>
        </w:rPr>
      </w:pPr>
      <w:r>
        <w:rPr>
          <w:rFonts w:cs="Times New Roman"/>
          <w:szCs w:val="24"/>
        </w:rPr>
        <w:t xml:space="preserve">Saskaņā ar šo </w:t>
      </w:r>
      <w:r w:rsidR="009D5F31">
        <w:rPr>
          <w:rFonts w:cs="Times New Roman"/>
          <w:szCs w:val="24"/>
        </w:rPr>
        <w:t>tiesību norm</w:t>
      </w:r>
      <w:r>
        <w:rPr>
          <w:rFonts w:cs="Times New Roman"/>
          <w:szCs w:val="24"/>
        </w:rPr>
        <w:t>u</w:t>
      </w:r>
      <w:r w:rsidR="009D5F31">
        <w:rPr>
          <w:rFonts w:cs="Times New Roman"/>
          <w:szCs w:val="24"/>
        </w:rPr>
        <w:t xml:space="preserve">, ja citas dalībvalsts nodokļa maksātājs iekšzemē veic vismaz vienu ar nodokli apliekamu darījumu, Valsts ieņēmumu dienesta pievienotās vērtības nodokļa maksātāju reģistrā reģistrē vai nu citas dalībvalsts nodokļa maksātāju, vai nu tā pilnvaroto personu iekšzemē. </w:t>
      </w:r>
    </w:p>
    <w:p w14:paraId="6C2F5ABF" w14:textId="717762B2" w:rsidR="00BD090F" w:rsidRDefault="00D851EC" w:rsidP="00E80A61">
      <w:pPr>
        <w:spacing w:after="0"/>
        <w:ind w:firstLine="567"/>
        <w:contextualSpacing/>
        <w:rPr>
          <w:rFonts w:cs="Times New Roman"/>
          <w:szCs w:val="24"/>
        </w:rPr>
      </w:pPr>
      <w:r>
        <w:rPr>
          <w:rFonts w:cs="Times New Roman"/>
          <w:szCs w:val="24"/>
        </w:rPr>
        <w:t xml:space="preserve">Senāts piekrīt, ka vispārīgi atbilstoši šai tiesību normai </w:t>
      </w:r>
      <w:r w:rsidR="00EB0BA2">
        <w:rPr>
          <w:rFonts w:cs="Times New Roman"/>
          <w:szCs w:val="24"/>
        </w:rPr>
        <w:t xml:space="preserve">gadījumā, ja </w:t>
      </w:r>
      <w:r>
        <w:rPr>
          <w:rFonts w:cs="Times New Roman"/>
          <w:szCs w:val="24"/>
        </w:rPr>
        <w:t>citas dalībvalsts nodokļa maksātāj</w:t>
      </w:r>
      <w:r w:rsidR="00EB0BA2">
        <w:rPr>
          <w:rFonts w:cs="Times New Roman"/>
          <w:szCs w:val="24"/>
        </w:rPr>
        <w:t xml:space="preserve">s veic ar nodokli apliekamu darījumu, tam ir </w:t>
      </w:r>
      <w:r>
        <w:rPr>
          <w:rFonts w:cs="Times New Roman"/>
          <w:szCs w:val="24"/>
        </w:rPr>
        <w:t xml:space="preserve">jāreģistrējas </w:t>
      </w:r>
      <w:r w:rsidR="00523537">
        <w:rPr>
          <w:rFonts w:cs="Times New Roman"/>
          <w:szCs w:val="24"/>
        </w:rPr>
        <w:t xml:space="preserve">Valsts ieņēmumu </w:t>
      </w:r>
      <w:r>
        <w:rPr>
          <w:rFonts w:cs="Times New Roman"/>
          <w:szCs w:val="24"/>
        </w:rPr>
        <w:t xml:space="preserve">dienesta pievienotās vērtības nodokļa maksātāju reģistrā. </w:t>
      </w:r>
      <w:r w:rsidR="000039AC">
        <w:rPr>
          <w:rFonts w:cs="Times New Roman"/>
          <w:szCs w:val="24"/>
        </w:rPr>
        <w:t xml:space="preserve">Minētais pamatojams ar to, ka par </w:t>
      </w:r>
      <w:r w:rsidR="004663E5">
        <w:rPr>
          <w:rFonts w:cs="Times New Roman"/>
          <w:szCs w:val="24"/>
        </w:rPr>
        <w:t xml:space="preserve">apliekamu </w:t>
      </w:r>
      <w:r w:rsidR="000039AC">
        <w:rPr>
          <w:rFonts w:cs="Times New Roman"/>
          <w:szCs w:val="24"/>
        </w:rPr>
        <w:t>darījumu</w:t>
      </w:r>
      <w:r w:rsidR="004663E5">
        <w:rPr>
          <w:rFonts w:cs="Times New Roman"/>
          <w:szCs w:val="24"/>
        </w:rPr>
        <w:t xml:space="preserve"> valsts budžetā ir jāsamaksā pievienotās vērtības nodoklis, un, kā pareizi norāda pieteicēja, nodokli valsts budžetā var samaksāt tikai reģistrēts nodokļa maksātājs. Tas savukārt nozīmē, </w:t>
      </w:r>
      <w:r w:rsidR="000C07F1">
        <w:rPr>
          <w:rFonts w:cs="Times New Roman"/>
          <w:szCs w:val="24"/>
        </w:rPr>
        <w:t>ka ir nepieciešams noskaidrot, kur</w:t>
      </w:r>
      <w:r w:rsidR="00BD090F">
        <w:rPr>
          <w:rFonts w:cs="Times New Roman"/>
          <w:szCs w:val="24"/>
        </w:rPr>
        <w:t xml:space="preserve">am ir jāmaksā </w:t>
      </w:r>
      <w:r w:rsidR="000C07F1">
        <w:rPr>
          <w:rFonts w:cs="Times New Roman"/>
          <w:szCs w:val="24"/>
        </w:rPr>
        <w:t>pievienotās vērtības nodok</w:t>
      </w:r>
      <w:r w:rsidR="00BD090F">
        <w:rPr>
          <w:rFonts w:cs="Times New Roman"/>
          <w:szCs w:val="24"/>
        </w:rPr>
        <w:t xml:space="preserve">lis par </w:t>
      </w:r>
      <w:r w:rsidR="009D7EF9">
        <w:rPr>
          <w:rFonts w:cs="Times New Roman"/>
          <w:szCs w:val="24"/>
        </w:rPr>
        <w:t xml:space="preserve">citas dalībvalsts nodokļa maksātāja </w:t>
      </w:r>
      <w:r w:rsidR="00BD090F">
        <w:rPr>
          <w:rFonts w:cs="Times New Roman"/>
          <w:szCs w:val="24"/>
        </w:rPr>
        <w:t>iekšzemē sniegtajiem pakalpojumiem.</w:t>
      </w:r>
    </w:p>
    <w:p w14:paraId="7445A83C" w14:textId="2F53FF68" w:rsidR="000C07F1" w:rsidRDefault="000C07F1" w:rsidP="00E80A61">
      <w:pPr>
        <w:spacing w:after="0"/>
        <w:ind w:firstLine="567"/>
        <w:contextualSpacing/>
        <w:rPr>
          <w:rFonts w:cs="Times New Roman"/>
          <w:szCs w:val="24"/>
        </w:rPr>
      </w:pPr>
    </w:p>
    <w:p w14:paraId="39BB1670" w14:textId="047E8A68" w:rsidR="000C07F1" w:rsidRDefault="000C07F1" w:rsidP="00E80A61">
      <w:pPr>
        <w:spacing w:after="0"/>
        <w:ind w:firstLine="567"/>
        <w:contextualSpacing/>
      </w:pPr>
      <w:r>
        <w:t>[</w:t>
      </w:r>
      <w:r w:rsidR="00E376EF">
        <w:t>8</w:t>
      </w:r>
      <w:r>
        <w:t>] Pievienotās vērtības nodokļa direktīvas 194.pants noteic: ja pakalpojumu piegādi, par kuru uzliek nodokli, veic nodokļa maksātājs, kas neveic uzņēmējdarbību tās dalībvalsts teritorijā, kurā maksājams pievienotās vērtības nodoklis, dalībvalstis var paredzēt, ka par pievienotās vērtības nodokļa nomaksu atbildīgā persona ir persona, kurai piegādātas preces vai sniegti pakalpojumi.</w:t>
      </w:r>
    </w:p>
    <w:p w14:paraId="59589D9A" w14:textId="5E91E8F8" w:rsidR="000C07F1" w:rsidRDefault="000C07F1" w:rsidP="00E80A61">
      <w:pPr>
        <w:spacing w:after="0"/>
        <w:ind w:firstLine="567"/>
        <w:contextualSpacing/>
      </w:pPr>
      <w:r>
        <w:t>Tātad</w:t>
      </w:r>
      <w:r w:rsidRPr="00AB7F31">
        <w:t xml:space="preserve"> </w:t>
      </w:r>
      <w:r>
        <w:t>Pievienotās vērtības nodokļa direktīva dalībvalstīm piešķir tiesības noteikt, ka par nodokļa samaksu ir atbildīgs pakalpojumu saņēmējs, ja ar nodokli apliekamus pakalpojumus sniedz nodokļa maksātājs, kas neveic uzņēmējdarbību tajā dalībvalstī, kurā ir maksājams nodoklis.</w:t>
      </w:r>
    </w:p>
    <w:p w14:paraId="37A311C2" w14:textId="7AB2B7F7" w:rsidR="000C07F1" w:rsidRDefault="000C07F1" w:rsidP="00E80A61">
      <w:pPr>
        <w:spacing w:after="0"/>
        <w:ind w:firstLine="567"/>
        <w:contextualSpacing/>
      </w:pPr>
      <w:r w:rsidRPr="00764019">
        <w:t xml:space="preserve">Pievienotās vērtības nodokļa likuma 88.panta otrā daļa noteic, ka par šā likuma 25.pantā minētajiem pakalpojumiem, kuru sniegšanas vieta saskaņā ar šo likumu ir iekšzeme un kuri saņemti no citas dalībvalsts nodokļa maksātāja, kas neveic saimniecisko darbību iekšzemē, nodokli aprēķina un maksā valsts budžetā pakalpojumu saņēmējs, ja tas ir reģistrēts nodokļa maksātājs. </w:t>
      </w:r>
      <w:r>
        <w:t>Likuma 25.pantā regulēta ar nekustamo īpašumu saistīta pakalpojuma sniegšanas vieta.</w:t>
      </w:r>
    </w:p>
    <w:p w14:paraId="1264FBAA" w14:textId="186CE157" w:rsidR="009D7EF9" w:rsidRDefault="000C07F1" w:rsidP="00E80A61">
      <w:pPr>
        <w:spacing w:after="0"/>
        <w:ind w:firstLine="567"/>
        <w:contextualSpacing/>
      </w:pPr>
      <w:r>
        <w:t>Tātad</w:t>
      </w:r>
      <w:r w:rsidR="00BD7757">
        <w:t xml:space="preserve"> atbilstoši minētajām tiesību normām, ja citas dalībvalsts </w:t>
      </w:r>
      <w:r w:rsidR="006C03A7">
        <w:t xml:space="preserve">nodokļa maksātājs iekšzemē neveic saimniecisko darbību, </w:t>
      </w:r>
      <w:r w:rsidR="00EE5B0F">
        <w:t xml:space="preserve">taču </w:t>
      </w:r>
      <w:r w:rsidR="006C03A7">
        <w:t>iekšzemē sniedz ar nekustamo īpašumu saistīt</w:t>
      </w:r>
      <w:r w:rsidR="009D7EF9">
        <w:t>u</w:t>
      </w:r>
      <w:r w:rsidR="006C03A7">
        <w:t xml:space="preserve">s pakalpojumus, tad pievienotās vērtības nodokli par šādiem pakalpojumiem valsts budžetā samaksā pakalpojumu saņēmējs, ja vien tas ir reģistrēts nodokļa maksātājs. </w:t>
      </w:r>
      <w:r w:rsidR="009D7EF9">
        <w:t>Šādā gadījumā atbilstoši Pievienotās vērtības nodokļa likuma 61.panta pirmajai daļai</w:t>
      </w:r>
      <w:r w:rsidR="001B4B09">
        <w:t xml:space="preserve"> citas dalībvalsts nodokļa maksātājs</w:t>
      </w:r>
      <w:r w:rsidR="009D7EF9">
        <w:t xml:space="preserve"> ir tiesīgs nereģistrēties Valsts ieņēmumu dienesta pievienotās vērtības nodokļa maksātāju reģistrā.</w:t>
      </w:r>
    </w:p>
    <w:p w14:paraId="25DED255" w14:textId="53F624E7" w:rsidR="006C03A7" w:rsidRDefault="006C03A7" w:rsidP="00E80A61">
      <w:pPr>
        <w:spacing w:after="0"/>
        <w:ind w:firstLine="567"/>
        <w:contextualSpacing/>
      </w:pPr>
      <w:r>
        <w:t>T</w:t>
      </w:r>
      <w:r w:rsidR="00EE5B0F">
        <w:t>as nozīmē:</w:t>
      </w:r>
      <w:r>
        <w:t xml:space="preserve"> lai noskaidrotu, vai pieteicējai bija jāreģistrējas Valsts ieņēmumu dienesta pievienotās vērtības nodokļa maksātāju reģistrā, jāaprēķina un jāsamaksā nodoklis par saviem Latvijas teritorijā sniegtajiem pakalpojumiem, ir</w:t>
      </w:r>
      <w:r w:rsidR="00EE5B0F">
        <w:t xml:space="preserve"> jānoskaidro, vai un kādām personām pieteicēja ir sniegusi ar nodokli apliekamus darījumus iekšzemē</w:t>
      </w:r>
      <w:r w:rsidR="001B4B09">
        <w:t xml:space="preserve"> un kāda ir šo pakalpojumu būtība</w:t>
      </w:r>
      <w:r w:rsidR="00EE5B0F">
        <w:t>.</w:t>
      </w:r>
    </w:p>
    <w:p w14:paraId="5E38F79E" w14:textId="7711008E" w:rsidR="00D63D64" w:rsidRDefault="00EE5B0F" w:rsidP="00E80A61">
      <w:pPr>
        <w:spacing w:after="0"/>
        <w:ind w:firstLine="567"/>
        <w:contextualSpacing/>
      </w:pPr>
      <w:r>
        <w:t xml:space="preserve">Pieteikumā norādīts, ka </w:t>
      </w:r>
      <w:r w:rsidR="009D7EF9">
        <w:t>iekšzemē saņemtos pakalpojumus</w:t>
      </w:r>
      <w:r>
        <w:t xml:space="preserve">, par kuriem pieteicēja prasa nodokļa atmaksu, pieteicēja ir izmantojusi </w:t>
      </w:r>
      <w:r w:rsidR="005A0535">
        <w:t>tād</w:t>
      </w:r>
      <w:r w:rsidR="009D012B">
        <w:t>u</w:t>
      </w:r>
      <w:r w:rsidR="005A0535">
        <w:t xml:space="preserve"> pakalpojum</w:t>
      </w:r>
      <w:r w:rsidR="009D012B">
        <w:t>u nodrošināšanai</w:t>
      </w:r>
      <w:r w:rsidR="005A0535">
        <w:t xml:space="preserve">, ko pieteicēja ir sniegusi </w:t>
      </w:r>
      <w:r>
        <w:t>Latvijā reģistrēt</w:t>
      </w:r>
      <w:r w:rsidR="005A0535">
        <w:t>am</w:t>
      </w:r>
      <w:r>
        <w:t xml:space="preserve"> nodokļa maksātāj</w:t>
      </w:r>
      <w:r w:rsidR="005A0535">
        <w:t>am</w:t>
      </w:r>
      <w:r w:rsidR="00EC4177">
        <w:t>, un šie pakalpojumi ir saistīti ar nekustamā īpašuma būvniecību</w:t>
      </w:r>
      <w:r>
        <w:t>.</w:t>
      </w:r>
      <w:r w:rsidR="00EC4177">
        <w:t xml:space="preserve"> Senāts konstatē, ka a</w:t>
      </w:r>
      <w:r w:rsidRPr="00DE3F18">
        <w:t>pgabaltiesa norādītos apstākļus nav pārbaudījusi un nav devusi tiem juridisku vērtējumu.</w:t>
      </w:r>
      <w:r>
        <w:t xml:space="preserve"> </w:t>
      </w:r>
      <w:r w:rsidR="00934975">
        <w:t>Apgabaltiesas spriedumā nav norādīt</w:t>
      </w:r>
      <w:r w:rsidR="00EC4177">
        <w:t>s</w:t>
      </w:r>
      <w:r w:rsidR="00CC4D8C">
        <w:t>, pamatojoties uz kādiem apstākļiem un pierādījumiem apgabaltiesa ir secinājusi</w:t>
      </w:r>
      <w:r w:rsidR="00934975">
        <w:t xml:space="preserve">, ka pieteicējai pirms ar nekustamo īpašumu saistīto pakalpojumu saņemšanas vai sniegšanas bija jāreģistrējas Valsts ieņēmumu dienesta pievienotās vērtības nodokļa maksātāju reģistrā. </w:t>
      </w:r>
      <w:r>
        <w:t>Lietas materiāl</w:t>
      </w:r>
      <w:r w:rsidR="005A0535">
        <w:t xml:space="preserve">os nav nekādu </w:t>
      </w:r>
      <w:r>
        <w:t>ziņ</w:t>
      </w:r>
      <w:r w:rsidR="005A0535">
        <w:t>u</w:t>
      </w:r>
      <w:r>
        <w:t xml:space="preserve"> par pieteicējas saimniecisko darbību un iekšzemē veiktajiem darījumiem.</w:t>
      </w:r>
      <w:r w:rsidR="00934975">
        <w:t xml:space="preserve"> Līdz ar to </w:t>
      </w:r>
      <w:r>
        <w:t>apgabaltiesas secinājums, ka pieteicēja iekšzemē</w:t>
      </w:r>
      <w:r w:rsidR="00EC4177">
        <w:t xml:space="preserve"> ir</w:t>
      </w:r>
      <w:r>
        <w:t xml:space="preserve"> vei</w:t>
      </w:r>
      <w:r w:rsidR="00EC4177">
        <w:t xml:space="preserve">kusi </w:t>
      </w:r>
      <w:r>
        <w:t xml:space="preserve">ar nodokli apliekamus darījumus, kuru dēļ tai bija jāreģistrējas Valsts ieņēmumu dienesta pievienotās vērtības nodokļa maksātāju reģistrā </w:t>
      </w:r>
      <w:r w:rsidR="00E376EF">
        <w:t xml:space="preserve">pretēji Administratīvā procesa likuma 103.panta otrajai daļai un 154.pantam </w:t>
      </w:r>
      <w:r>
        <w:t>nav balstīts vispusīgā un objektīvā lietas apstākļu noskaidrošanā un pārbaudē.</w:t>
      </w:r>
      <w:r w:rsidR="00BD090F">
        <w:t xml:space="preserve"> T</w:t>
      </w:r>
      <w:r w:rsidR="00CC4D8C">
        <w:t xml:space="preserve">as ir pamats apgabaltiesas sprieduma atcelšanai, jo secinājumu, ka pieteicējai nav atmaksājams pievienotās vērtības nodoklis, apgabaltiesa ir pamatojusi tieši ar to, ka </w:t>
      </w:r>
      <w:r w:rsidR="00BD090F">
        <w:t>pieteicēja</w:t>
      </w:r>
      <w:r w:rsidR="00EC4177">
        <w:t xml:space="preserve"> iekšzemē</w:t>
      </w:r>
      <w:r w:rsidR="00BD090F">
        <w:t xml:space="preserve"> ir veikusi ar nodokli apliekamus darījumus, kuru dēļ tai bija jāreģistrējas </w:t>
      </w:r>
      <w:r w:rsidR="00EC4177">
        <w:t xml:space="preserve">Valsts ieņēmumu </w:t>
      </w:r>
      <w:r w:rsidR="00BD090F">
        <w:t xml:space="preserve">dienesta </w:t>
      </w:r>
      <w:r w:rsidR="00EC4177">
        <w:t xml:space="preserve">pievienotās vērtības nodokļa maksātāju </w:t>
      </w:r>
      <w:r w:rsidR="00BD090F">
        <w:t>reģistrā</w:t>
      </w:r>
      <w:r w:rsidR="00CC4D8C">
        <w:t>.</w:t>
      </w:r>
    </w:p>
    <w:p w14:paraId="54EFE6FC" w14:textId="127D2D90" w:rsidR="00D63D64" w:rsidRDefault="00D63D64" w:rsidP="00E80A61">
      <w:pPr>
        <w:spacing w:after="0"/>
        <w:ind w:firstLine="567"/>
        <w:contextualSpacing/>
      </w:pPr>
    </w:p>
    <w:p w14:paraId="6749A2E2" w14:textId="059059CD" w:rsidR="00D63D64" w:rsidRDefault="00D63D64" w:rsidP="00E80A61">
      <w:pPr>
        <w:spacing w:after="0"/>
        <w:ind w:firstLine="567"/>
        <w:contextualSpacing/>
      </w:pPr>
      <w:r>
        <w:t>[</w:t>
      </w:r>
      <w:r w:rsidR="00E376EF">
        <w:t>9</w:t>
      </w:r>
      <w:r>
        <w:t xml:space="preserve">] Vienlaikus, ievērojot procesuālās ekonomijas principu, Senāts atzīst par nepieciešamu izvērtēt </w:t>
      </w:r>
      <w:r w:rsidR="00EC4177">
        <w:t>citus lietas dalībnieku būtiskos argumentus</w:t>
      </w:r>
      <w:r w:rsidR="00887FF7">
        <w:t>.</w:t>
      </w:r>
    </w:p>
    <w:p w14:paraId="58389166" w14:textId="06FEBFB6" w:rsidR="00887FF7" w:rsidRDefault="00887FF7" w:rsidP="00E80A61">
      <w:pPr>
        <w:spacing w:after="0"/>
        <w:ind w:firstLine="567"/>
        <w:contextualSpacing/>
        <w:rPr>
          <w:bCs/>
          <w:szCs w:val="24"/>
          <w:lang w:eastAsia="lv-LV"/>
        </w:rPr>
      </w:pPr>
      <w:r>
        <w:rPr>
          <w:bCs/>
          <w:szCs w:val="24"/>
          <w:lang w:eastAsia="lv-LV"/>
        </w:rPr>
        <w:t xml:space="preserve">Valsts ieņēmumu dienests norāda, ka pieteicējai kā citas dalībvalsts nodokļa maksātājai nav tiesību uz </w:t>
      </w:r>
      <w:r w:rsidR="00CF7B84">
        <w:rPr>
          <w:bCs/>
          <w:szCs w:val="24"/>
          <w:lang w:eastAsia="lv-LV"/>
        </w:rPr>
        <w:t xml:space="preserve">tāda </w:t>
      </w:r>
      <w:r>
        <w:rPr>
          <w:bCs/>
          <w:szCs w:val="24"/>
          <w:lang w:eastAsia="lv-LV"/>
        </w:rPr>
        <w:t>pievienotās vērtības nodokļa atmaksu, kas samaksāts par darījumiem, saistītiem ar nekustamā īpašuma būvniecību, jo šādas tiesības neparedz Pievienotās vērtības nodokļa atmaksas direktīva.</w:t>
      </w:r>
    </w:p>
    <w:p w14:paraId="51902262" w14:textId="7471FADA" w:rsidR="00B34945" w:rsidRDefault="00F834A2" w:rsidP="00E80A61">
      <w:pPr>
        <w:spacing w:after="0"/>
        <w:ind w:firstLine="567"/>
        <w:contextualSpacing/>
      </w:pPr>
      <w:r>
        <w:t xml:space="preserve">Šajā sakarā Senāts vispirms </w:t>
      </w:r>
      <w:r w:rsidR="00684626">
        <w:t>norāda</w:t>
      </w:r>
      <w:r>
        <w:t xml:space="preserve">, ka </w:t>
      </w:r>
      <w:r w:rsidR="006E563C">
        <w:t>atbilstoši P</w:t>
      </w:r>
      <w:r>
        <w:t xml:space="preserve">ievienotās vērtības nodokļa atmaksas direktīvas </w:t>
      </w:r>
      <w:r w:rsidR="006E563C">
        <w:t xml:space="preserve">1.pantam šī direktīva paredz sīki izstrādātus noteikumus Pievienotās vērtības nodokļa direktīvas 170.pantā paredzētajai nodokļa atmaksai. Pievienotās vērtības </w:t>
      </w:r>
      <w:r w:rsidR="006E563C" w:rsidRPr="003C0982">
        <w:t xml:space="preserve">nodokļa atmaksas direktīvas 5.panta otrā daļa noteic, ka </w:t>
      </w:r>
      <w:r w:rsidRPr="003C0982">
        <w:t xml:space="preserve">priekšnodokļa atmaksas tiesības nosaka saskaņā ar </w:t>
      </w:r>
      <w:r w:rsidRPr="003C0982">
        <w:rPr>
          <w:szCs w:val="24"/>
        </w:rPr>
        <w:t>Pievienotās vērtības nodokļa direktīvu</w:t>
      </w:r>
      <w:r w:rsidRPr="003C0982">
        <w:t>, kā to piemēro</w:t>
      </w:r>
      <w:r>
        <w:t xml:space="preserve"> atmaksas dalībvalstī. Tātad nodokļa atmaksas tiesības</w:t>
      </w:r>
      <w:r w:rsidR="003C0982">
        <w:t xml:space="preserve"> un šo tiesību apjomu</w:t>
      </w:r>
      <w:r>
        <w:t xml:space="preserve"> nosaka Pievienotās vērtības nodokļa direktīva, nevis Pievienotās vērtības nodokļa atmaksas direktīva. Arī Eiropas Savienības Tiesa ir skaidrojusi, ka </w:t>
      </w:r>
      <w:r>
        <w:rPr>
          <w:szCs w:val="24"/>
        </w:rPr>
        <w:t>Pievienotās vērtības nodokļa atmaksas direktīvas</w:t>
      </w:r>
      <w:r w:rsidRPr="00FA1CE7">
        <w:rPr>
          <w:szCs w:val="24"/>
        </w:rPr>
        <w:t xml:space="preserve"> </w:t>
      </w:r>
      <w:r>
        <w:t xml:space="preserve">mērķis nav nedz noteikt nosacījumus atmaksas tiesību īstenošanai, nedz šo tiesību apjomu. </w:t>
      </w:r>
      <w:r>
        <w:rPr>
          <w:szCs w:val="24"/>
        </w:rPr>
        <w:t>Pievienotās vērtības nodokļa direktīvā</w:t>
      </w:r>
      <w:r w:rsidRPr="00FA1CE7">
        <w:rPr>
          <w:szCs w:val="24"/>
        </w:rPr>
        <w:t xml:space="preserve"> </w:t>
      </w:r>
      <w:r>
        <w:t xml:space="preserve">ir noteiktas materiālās tiesības, bet </w:t>
      </w:r>
      <w:r>
        <w:rPr>
          <w:szCs w:val="24"/>
        </w:rPr>
        <w:t>Pievienotās vērtības nodokļa atmaksas direktīvā</w:t>
      </w:r>
      <w:r>
        <w:t xml:space="preserve"> ir regulēta procedūra, kā konkrēti šīs materiālās tiesības saskaņā ar </w:t>
      </w:r>
      <w:r>
        <w:rPr>
          <w:szCs w:val="24"/>
        </w:rPr>
        <w:t>Pievienotās vērtības nodokļa direktīvas</w:t>
      </w:r>
      <w:r w:rsidRPr="00FA1CE7">
        <w:rPr>
          <w:szCs w:val="24"/>
        </w:rPr>
        <w:t xml:space="preserve"> </w:t>
      </w:r>
      <w:r>
        <w:t>170.pantu var īstenot attiecībā pret atmaksas dalībvalstī nereģistrētu nodokļa maksātāju (</w:t>
      </w:r>
      <w:r>
        <w:rPr>
          <w:i/>
        </w:rPr>
        <w:t>2020.gada 11.jūnija sprieduma lietā</w:t>
      </w:r>
      <w:r w:rsidRPr="00B66A7B">
        <w:rPr>
          <w:i/>
        </w:rPr>
        <w:t xml:space="preserve"> </w:t>
      </w:r>
      <w:r w:rsidR="000561EC" w:rsidRPr="000561EC">
        <w:rPr>
          <w:i/>
          <w:iCs/>
        </w:rPr>
        <w:t>CHEP Equipment Pooling NV</w:t>
      </w:r>
      <w:r w:rsidR="007D7886">
        <w:rPr>
          <w:i/>
        </w:rPr>
        <w:t>,</w:t>
      </w:r>
      <w:r w:rsidRPr="00B66A7B">
        <w:rPr>
          <w:i/>
        </w:rPr>
        <w:t xml:space="preserve"> C‑242/19, </w:t>
      </w:r>
      <w:bookmarkStart w:id="6" w:name="_Hlk94100224"/>
      <w:r w:rsidR="0065751A" w:rsidRPr="0065751A">
        <w:rPr>
          <w:i/>
          <w:color w:val="000000" w:themeColor="text1"/>
        </w:rPr>
        <w:fldChar w:fldCharType="begin"/>
      </w:r>
      <w:r w:rsidR="0065751A" w:rsidRPr="0065751A">
        <w:rPr>
          <w:i/>
          <w:color w:val="000000" w:themeColor="text1"/>
        </w:rPr>
        <w:instrText xml:space="preserve"> HYPERLINK "https://manas.tiesas.lv/eTiesasMvc/eclinolemumi/ECLI:EU:C:2020:466" </w:instrText>
      </w:r>
      <w:r w:rsidR="0065751A" w:rsidRPr="0065751A">
        <w:rPr>
          <w:i/>
          <w:color w:val="000000" w:themeColor="text1"/>
        </w:rPr>
        <w:fldChar w:fldCharType="separate"/>
      </w:r>
      <w:r w:rsidRPr="0065751A">
        <w:rPr>
          <w:rStyle w:val="Hyperlink"/>
          <w:i/>
          <w:color w:val="000000" w:themeColor="text1"/>
          <w:u w:val="none"/>
        </w:rPr>
        <w:t>ECLI:EU:C:2020:466</w:t>
      </w:r>
      <w:bookmarkEnd w:id="6"/>
      <w:r w:rsidR="0065751A" w:rsidRPr="0065751A">
        <w:rPr>
          <w:i/>
          <w:color w:val="000000" w:themeColor="text1"/>
        </w:rPr>
        <w:fldChar w:fldCharType="end"/>
      </w:r>
      <w:r w:rsidRPr="00B66A7B">
        <w:rPr>
          <w:i/>
        </w:rPr>
        <w:t>, 5</w:t>
      </w:r>
      <w:r>
        <w:rPr>
          <w:i/>
        </w:rPr>
        <w:t>1.</w:t>
      </w:r>
      <w:r w:rsidRPr="00B66A7B">
        <w:rPr>
          <w:i/>
        </w:rPr>
        <w:t>punkts</w:t>
      </w:r>
      <w:r>
        <w:t>).</w:t>
      </w:r>
      <w:r w:rsidRPr="006D114F">
        <w:t xml:space="preserve"> </w:t>
      </w:r>
      <w:r>
        <w:t xml:space="preserve">Tādējādi, lai konstatētu, vai pieteicējai kā </w:t>
      </w:r>
      <w:r>
        <w:rPr>
          <w:rFonts w:cs="Times New Roman"/>
          <w:szCs w:val="24"/>
        </w:rPr>
        <w:t>c</w:t>
      </w:r>
      <w:r w:rsidRPr="00770E50">
        <w:rPr>
          <w:rFonts w:cs="Times New Roman"/>
          <w:szCs w:val="24"/>
        </w:rPr>
        <w:t>itas dalībvalsts reģistrēta</w:t>
      </w:r>
      <w:r>
        <w:rPr>
          <w:rFonts w:cs="Times New Roman"/>
          <w:szCs w:val="24"/>
        </w:rPr>
        <w:t>i</w:t>
      </w:r>
      <w:r w:rsidRPr="00770E50">
        <w:rPr>
          <w:rFonts w:cs="Times New Roman"/>
          <w:szCs w:val="24"/>
        </w:rPr>
        <w:t xml:space="preserve"> nodokļa maksātāja</w:t>
      </w:r>
      <w:r>
        <w:rPr>
          <w:rFonts w:cs="Times New Roman"/>
          <w:szCs w:val="24"/>
        </w:rPr>
        <w:t>i</w:t>
      </w:r>
      <w:r w:rsidRPr="00770E50">
        <w:rPr>
          <w:rFonts w:cs="Times New Roman"/>
          <w:szCs w:val="24"/>
        </w:rPr>
        <w:t xml:space="preserve"> </w:t>
      </w:r>
      <w:r>
        <w:rPr>
          <w:rFonts w:cs="Times New Roman"/>
          <w:szCs w:val="24"/>
        </w:rPr>
        <w:t xml:space="preserve">ir tiesības saņemt </w:t>
      </w:r>
      <w:r w:rsidRPr="00770E50">
        <w:rPr>
          <w:rFonts w:cs="Times New Roman"/>
          <w:szCs w:val="24"/>
        </w:rPr>
        <w:t>par iekšzemē saņemtajiem pakalpojumiem</w:t>
      </w:r>
      <w:r>
        <w:rPr>
          <w:rFonts w:cs="Times New Roman"/>
          <w:szCs w:val="24"/>
        </w:rPr>
        <w:t xml:space="preserve"> samaksātā pievienotās vērtības nodokļa </w:t>
      </w:r>
      <w:r w:rsidRPr="00770E50">
        <w:rPr>
          <w:rFonts w:cs="Times New Roman"/>
          <w:szCs w:val="24"/>
        </w:rPr>
        <w:t>atmak</w:t>
      </w:r>
      <w:r>
        <w:rPr>
          <w:rFonts w:cs="Times New Roman"/>
          <w:szCs w:val="24"/>
        </w:rPr>
        <w:t xml:space="preserve">su, vispirms ir jāpiemēro </w:t>
      </w:r>
      <w:r>
        <w:rPr>
          <w:szCs w:val="24"/>
        </w:rPr>
        <w:t>Pievienotās vērtības nodokļa direktīv</w:t>
      </w:r>
      <w:r w:rsidR="00684626">
        <w:rPr>
          <w:szCs w:val="24"/>
        </w:rPr>
        <w:t>as</w:t>
      </w:r>
      <w:r w:rsidRPr="00FA1CE7">
        <w:rPr>
          <w:szCs w:val="24"/>
        </w:rPr>
        <w:t xml:space="preserve"> </w:t>
      </w:r>
      <w:r>
        <w:t>un Pievienotās vērtības nodokļa likum</w:t>
      </w:r>
      <w:r w:rsidR="00684626">
        <w:t xml:space="preserve">a </w:t>
      </w:r>
      <w:r>
        <w:t xml:space="preserve">tiesību normas, kas noteic prasības </w:t>
      </w:r>
      <w:r w:rsidR="00B34945">
        <w:t>nodokļa atmaksai.</w:t>
      </w:r>
    </w:p>
    <w:p w14:paraId="641D7EF3" w14:textId="77777777" w:rsidR="00F834A2" w:rsidRDefault="00F834A2" w:rsidP="00E80A61">
      <w:pPr>
        <w:spacing w:after="0"/>
        <w:ind w:firstLine="567"/>
        <w:contextualSpacing/>
      </w:pPr>
    </w:p>
    <w:p w14:paraId="4B396A17" w14:textId="44BBE4A5" w:rsidR="00C93513" w:rsidRPr="009E2DAA" w:rsidRDefault="006E563C" w:rsidP="00E80A61">
      <w:pPr>
        <w:spacing w:after="0"/>
        <w:ind w:firstLine="567"/>
        <w:contextualSpacing/>
      </w:pPr>
      <w:r>
        <w:t>[</w:t>
      </w:r>
      <w:r w:rsidR="00E376EF">
        <w:t>10</w:t>
      </w:r>
      <w:r>
        <w:t>] </w:t>
      </w:r>
      <w:r>
        <w:rPr>
          <w:szCs w:val="24"/>
        </w:rPr>
        <w:t>Pievienotās vērtības nodokļa direktīvas</w:t>
      </w:r>
      <w:r>
        <w:t xml:space="preserve"> 170.pants noteic, ka nodokļa maksātājiem, kuri neveic uzņēmējdarbību dalībvalstī, kurā viņi iegādājas preces un saņem pakalpojumus vai veic preču importu, kam uzlikts pievienotās vērtības nodoklis, </w:t>
      </w:r>
      <w:r w:rsidRPr="005A3908">
        <w:t xml:space="preserve">ir tiesības uz nodokļa atmaksāšanu tiktāl, ciktāl preces vai pakalpojumus izmanto šādiem darījumiem: </w:t>
      </w:r>
      <w:r>
        <w:t>„a”</w:t>
      </w:r>
      <w:r w:rsidRPr="005A3908">
        <w:t xml:space="preserve"> darījumiem, kas minēti 169.pantā; </w:t>
      </w:r>
      <w:r>
        <w:t>„b”</w:t>
      </w:r>
      <w:r w:rsidRPr="005A3908">
        <w:t xml:space="preserve"> darījumiem, par kuriem saskaņā ar 194. līdz 197.pantu vai 199.pantu nodokli maksā vienīgi pircējs vai </w:t>
      </w:r>
      <w:r w:rsidRPr="009E2DAA">
        <w:t>pakalpojumu saņēmējs.</w:t>
      </w:r>
    </w:p>
    <w:p w14:paraId="37AC5321" w14:textId="51C7F825" w:rsidR="003564BE" w:rsidRDefault="006E563C" w:rsidP="00E80A61">
      <w:pPr>
        <w:spacing w:after="0"/>
        <w:ind w:firstLine="567"/>
        <w:contextualSpacing/>
      </w:pPr>
      <w:r w:rsidRPr="009E2DAA">
        <w:t>Tātad atbilstoši minētaj</w:t>
      </w:r>
      <w:r w:rsidR="009E2DAA">
        <w:t>ai</w:t>
      </w:r>
      <w:r w:rsidRPr="009E2DAA">
        <w:t xml:space="preserve"> tiesību norm</w:t>
      </w:r>
      <w:r w:rsidR="009E2DAA">
        <w:t>ai</w:t>
      </w:r>
      <w:r w:rsidRPr="009E2DAA">
        <w:t xml:space="preserve"> citas dalībvalsts nodokļa maksātājam, kurš neveic uzņēmējdarbību dalībvalstī, kurā tas saņem pakalpojumus, ir tiesības uz nodokļa atmaksu </w:t>
      </w:r>
      <w:r w:rsidR="00B34945" w:rsidRPr="009E2DAA">
        <w:t xml:space="preserve">par šiem pakalpojumiem </w:t>
      </w:r>
      <w:r w:rsidRPr="009E2DAA">
        <w:t xml:space="preserve">citstarp tad, ja </w:t>
      </w:r>
      <w:r w:rsidR="00B34945" w:rsidRPr="009E2DAA">
        <w:t xml:space="preserve">tie ir </w:t>
      </w:r>
      <w:r w:rsidRPr="009E2DAA">
        <w:t>izmantoti tādiem darījumiem</w:t>
      </w:r>
      <w:r>
        <w:t xml:space="preserve">, par kuriem nodokli </w:t>
      </w:r>
      <w:r w:rsidR="00684626">
        <w:t xml:space="preserve">atbilstoši likuma noteikumiem </w:t>
      </w:r>
      <w:r>
        <w:t>maksā vienīgi pakalpojumu saņēmējs. Tas nozīmē, ka</w:t>
      </w:r>
      <w:r w:rsidR="002030E2">
        <w:t xml:space="preserve"> no tā, kuram ir jāmaksā nodoklis par citas dalībvalsts nodokļa maksātāja atmaksas dalībvalstī (iekšzemē) sniegtajiem pakalpojumiem, ir atkarīgs ne tikai tas, vai citas dalībvalsts nodokļa maksātājam ir jāreģistrējas atmaksas dalībvalsts pievienotās vērtības nodokļa </w:t>
      </w:r>
      <w:r w:rsidR="00B34945">
        <w:t xml:space="preserve">maksātāju </w:t>
      </w:r>
      <w:r w:rsidR="002030E2">
        <w:t>reģistrā, bet arī tas, vai citas dalībvalsts nodokļa maksātājam ir tiesības uz nodokļa atmaksu par iekšzemē saņemtajiem pakalpojumiem. Līdz ar to</w:t>
      </w:r>
      <w:r w:rsidR="003564BE">
        <w:t xml:space="preserve">, lai arī ir pareizs apgabaltiesas secinājums, ka </w:t>
      </w:r>
      <w:r w:rsidR="002030E2">
        <w:t xml:space="preserve">Pievienotās vērtības nodokļa likuma 61. un 88.pants </w:t>
      </w:r>
      <w:r w:rsidR="003564BE">
        <w:t xml:space="preserve">noteic no nodokļa vispārīgas samaksas kārtības atšķirīgu nodokļa samaksas kārtību, ir kļūdains apgabaltiesas secinājums, ka jautājumam par to, kura persona ir atbildīga par nodokļa samaksu, nav nozīmes, vērtējot </w:t>
      </w:r>
      <w:r w:rsidR="00A57401">
        <w:t xml:space="preserve">pieteicējas </w:t>
      </w:r>
      <w:r w:rsidR="003564BE">
        <w:t>tiesības saņemt nodokļa atmaksu.</w:t>
      </w:r>
    </w:p>
    <w:p w14:paraId="6FA49458" w14:textId="13E29531" w:rsidR="003564BE" w:rsidRDefault="003564BE" w:rsidP="00E80A61">
      <w:pPr>
        <w:spacing w:after="0"/>
        <w:ind w:firstLine="567"/>
        <w:contextualSpacing/>
      </w:pPr>
      <w:r>
        <w:t>Ievērojot minēto, Senāts secina, ka</w:t>
      </w:r>
      <w:r w:rsidR="00A57401">
        <w:t>,</w:t>
      </w:r>
      <w:r>
        <w:t xml:space="preserve"> </w:t>
      </w:r>
      <w:r w:rsidR="00A57401">
        <w:t>izlemjot jautājumu par pieteicējas kā citas dalībvalsts nodokļa maksātājas, kas Latvijas teritorijā neveic saimniecisko darbību, tiesībām saņemt nodokļa atmaksu</w:t>
      </w:r>
      <w:r w:rsidR="009E2DAA">
        <w:t xml:space="preserve"> par iekšzemē saņemtajiem pakalpojumiem</w:t>
      </w:r>
      <w:r w:rsidR="00A57401">
        <w:t xml:space="preserve">, </w:t>
      </w:r>
      <w:r w:rsidR="009E2DAA">
        <w:t xml:space="preserve">nav pietiekami koncentrēties tikai uz saņemtajiem pakalpojumiem, bet </w:t>
      </w:r>
      <w:r w:rsidR="0051300D">
        <w:t>ir jāpārbauda</w:t>
      </w:r>
      <w:r w:rsidR="009E2DAA">
        <w:t xml:space="preserve"> arī tas</w:t>
      </w:r>
      <w:r w:rsidR="00A57401">
        <w:t xml:space="preserve">, </w:t>
      </w:r>
      <w:r w:rsidR="0051300D">
        <w:t xml:space="preserve">vai un </w:t>
      </w:r>
      <w:r w:rsidR="00A57401">
        <w:t xml:space="preserve">kādu darījumu nodrošināšanai </w:t>
      </w:r>
      <w:r w:rsidR="0051300D">
        <w:t xml:space="preserve">pieteicēja ir </w:t>
      </w:r>
      <w:r w:rsidR="00A57401">
        <w:t>izmanto</w:t>
      </w:r>
      <w:r w:rsidR="0051300D">
        <w:t>jus</w:t>
      </w:r>
      <w:r w:rsidR="009E2DAA">
        <w:t>i šos</w:t>
      </w:r>
      <w:r w:rsidR="0051300D">
        <w:t xml:space="preserve"> </w:t>
      </w:r>
      <w:r w:rsidR="00A57401">
        <w:t>pakalpojum</w:t>
      </w:r>
      <w:r w:rsidR="0051300D">
        <w:t>us</w:t>
      </w:r>
      <w:r w:rsidR="00DB1C59">
        <w:t>, un kāda nodokļa samaksas kārtība tika piemērota pieteicējas sniegtajiem pakalpojumiem</w:t>
      </w:r>
      <w:r w:rsidR="00A57401">
        <w:t>. Kā jau minēts, apgabaltiesa šos apstākļus nav noskaidrojusi un pārbaudījusi.</w:t>
      </w:r>
    </w:p>
    <w:p w14:paraId="25294E85" w14:textId="3CB60594" w:rsidR="0051300D" w:rsidRDefault="0051300D" w:rsidP="00E80A61">
      <w:pPr>
        <w:spacing w:after="0"/>
        <w:ind w:firstLine="567"/>
        <w:contextualSpacing/>
      </w:pPr>
    </w:p>
    <w:p w14:paraId="2E00E0A0" w14:textId="569CD3E8" w:rsidR="0051300D" w:rsidRDefault="0051300D" w:rsidP="00E80A61">
      <w:pPr>
        <w:spacing w:after="0"/>
        <w:ind w:firstLine="567"/>
        <w:contextualSpacing/>
      </w:pPr>
      <w:r>
        <w:t>[</w:t>
      </w:r>
      <w:r w:rsidR="00E376EF">
        <w:t>11</w:t>
      </w:r>
      <w:r>
        <w:t xml:space="preserve">] Valsts ieņēmumu dienests norāda, ka pieteicējai nodoklis par iekšzemē saņemtajiem pakalpojumiem nav atmaksājams, jo to neparedz </w:t>
      </w:r>
      <w:r w:rsidR="009E2DAA">
        <w:t>Ministru kabineta n</w:t>
      </w:r>
      <w:r>
        <w:t>oteikumu 34.2.3.apakšpunkts.</w:t>
      </w:r>
    </w:p>
    <w:p w14:paraId="1109C346" w14:textId="541AEA08" w:rsidR="0051300D" w:rsidRDefault="0051300D" w:rsidP="00E80A61">
      <w:pPr>
        <w:spacing w:after="0"/>
        <w:ind w:firstLine="567"/>
        <w:contextualSpacing/>
      </w:pPr>
      <w:r>
        <w:t xml:space="preserve">Minētā tiesību norma noteic, ka </w:t>
      </w:r>
      <w:r w:rsidR="00A37106">
        <w:t>dienests pieņem lēmumu par atteikumu atmaksāt nodokli, ja atmaksu pieprasa par iekšzemē saņemtajiem pakalpojumiem, kas saistīti ar nekustamā īpašuma būvniecību, rekonstrukciju, renovāciju, restaurāciju vai remontu.</w:t>
      </w:r>
    </w:p>
    <w:p w14:paraId="327CF776" w14:textId="77777777" w:rsidR="00357D97" w:rsidRDefault="00A37106" w:rsidP="00E80A61">
      <w:pPr>
        <w:spacing w:after="0"/>
        <w:ind w:firstLine="567"/>
        <w:contextualSpacing/>
      </w:pPr>
      <w:r>
        <w:t xml:space="preserve">No apgabaltiesas sprieduma noprotams, ka lietā nav strīda, ka pakalpojumi, par kuriem pieteicēja prasa nodokļa atmaksu, atbilst minētajā tiesību normā norādīto pakalpojumu būtībai. </w:t>
      </w:r>
    </w:p>
    <w:p w14:paraId="1607DE0E" w14:textId="77777777" w:rsidR="00E81BA7" w:rsidRDefault="00A37106" w:rsidP="00E80A61">
      <w:pPr>
        <w:spacing w:after="0"/>
        <w:ind w:firstLine="567"/>
        <w:contextualSpacing/>
      </w:pPr>
      <w:r>
        <w:t>Pieteicēj</w:t>
      </w:r>
      <w:r w:rsidR="0094144B">
        <w:t>a</w:t>
      </w:r>
      <w:r>
        <w:t xml:space="preserve"> uzskat</w:t>
      </w:r>
      <w:r w:rsidR="0094144B">
        <w:t>a</w:t>
      </w:r>
      <w:r>
        <w:t xml:space="preserve">, ka minētā tiesību norma neatbilst Pievienotās vērtības nodokļa atmaksas direktīvai, </w:t>
      </w:r>
      <w:r w:rsidR="0094144B">
        <w:t xml:space="preserve">jo </w:t>
      </w:r>
      <w:r w:rsidR="0010325F">
        <w:t xml:space="preserve">šī </w:t>
      </w:r>
      <w:r>
        <w:t xml:space="preserve">direktīva neparedz aizliegumu atskaitīt nodokli par </w:t>
      </w:r>
      <w:r w:rsidR="00C959E3">
        <w:t>pakalpojumiem, saistītiem ar nekustamo īpašumu</w:t>
      </w:r>
      <w:r>
        <w:t>.</w:t>
      </w:r>
      <w:r w:rsidR="00C645C8">
        <w:t xml:space="preserve"> Valsts ieņēmumu </w:t>
      </w:r>
      <w:r w:rsidR="00C645C8" w:rsidRPr="006E030C">
        <w:t xml:space="preserve">dienests, tam nepiekrītot, norāda, ka </w:t>
      </w:r>
      <w:r w:rsidR="006E030C" w:rsidRPr="006E030C">
        <w:t xml:space="preserve">vēsturiski </w:t>
      </w:r>
      <w:r w:rsidR="00C645C8" w:rsidRPr="006E030C">
        <w:t xml:space="preserve">šādu aizliegumu paredzēja </w:t>
      </w:r>
      <w:r w:rsidR="005E5203" w:rsidRPr="006E030C">
        <w:t>Padomes 1979.gada 6.decembra d</w:t>
      </w:r>
      <w:r w:rsidR="00C645C8" w:rsidRPr="006E030C">
        <w:t>irektīva</w:t>
      </w:r>
      <w:r w:rsidR="005E5203" w:rsidRPr="006E030C">
        <w:t xml:space="preserve"> 79/1072/EEK</w:t>
      </w:r>
      <w:r w:rsidR="006E030C" w:rsidRPr="006E030C">
        <w:t xml:space="preserve"> par dalībvalstu tiesību aktu saskaņošanu attiecībā uz apgrozījuma nodokli – kārtība</w:t>
      </w:r>
      <w:r w:rsidR="006E030C">
        <w:t xml:space="preserve"> pievienotās vērtības nodokļa atmaksāšanai nodokļu maksātājiem, kas nav reģistrēti attiecīgajā dalībvalstī.</w:t>
      </w:r>
      <w:r w:rsidR="005E5203">
        <w:t xml:space="preserve"> </w:t>
      </w:r>
    </w:p>
    <w:p w14:paraId="49E9DFCD" w14:textId="3C9745ED" w:rsidR="0094144B" w:rsidRDefault="005E5203" w:rsidP="00E80A61">
      <w:pPr>
        <w:spacing w:after="0"/>
        <w:ind w:firstLine="567"/>
        <w:contextualSpacing/>
      </w:pPr>
      <w:r>
        <w:t>Senāts konstatē, ka minētā direktīva ir zaudējusi spēku 2010.gada 1.janvārī un tās noteikumi tika piemēroti tikai tiem atmaksas pieteikumiem, kas iesniegti pirms minētā datuma (Pievienotās vērtības nodokļa atmaksas direktīvas 28.panta 2.punkts)</w:t>
      </w:r>
      <w:r w:rsidR="00C645C8">
        <w:t xml:space="preserve">. Dienests norāda, ka līdzīgus noteikumus paredz šobrīd spēkā esošā Pievienotās vērtības nodokļa atmaksas direktīva, taču konkrētas tiesību normas dienests nenorāda un savu viedokli </w:t>
      </w:r>
      <w:r w:rsidR="00AE1F17">
        <w:t xml:space="preserve">neargumentē. Savukārt no Finanšu ministrijas apgabaltiesai sniegtā viedokļa izriet, ka </w:t>
      </w:r>
      <w:r w:rsidR="00085637">
        <w:t>Ministru kabineta n</w:t>
      </w:r>
      <w:r>
        <w:t xml:space="preserve">oteikumu 34.2.3.apakšpunkts paredz aizliegumu citas dalībvalsts nodokļa maksātājam atmaksāt </w:t>
      </w:r>
      <w:r w:rsidR="00074759">
        <w:t xml:space="preserve">nodokli </w:t>
      </w:r>
      <w:r>
        <w:t xml:space="preserve">par iekšzemē saņemtajiem ar nekustamo īpašumu saistītajiem </w:t>
      </w:r>
      <w:r w:rsidR="00074759">
        <w:t xml:space="preserve">pakalpojumiem tāpēc, ka šādos gadījumos citas dalībvalsts nodokļa maksātājam, ievērojot, ka šādu pakalpojumu sniegšanas vieta ir iekšzeme, ir jāreģistrējas iekšzemes pievienotās vērtības nodokļa maksātāju reģistrā. Finanšu ministrija norādījusi, ka šā iemesla dēļ </w:t>
      </w:r>
      <w:r w:rsidR="00085637">
        <w:t>„</w:t>
      </w:r>
      <w:r w:rsidR="0094144B">
        <w:t xml:space="preserve">skaidrības labad” </w:t>
      </w:r>
      <w:r w:rsidR="00357D97">
        <w:t>Ministru kabineta n</w:t>
      </w:r>
      <w:r w:rsidR="00AE1F17">
        <w:t xml:space="preserve">oteikumu 34.2.3.apakšpunktā </w:t>
      </w:r>
      <w:r w:rsidR="0094144B">
        <w:t xml:space="preserve">tika iekļauts </w:t>
      </w:r>
      <w:r w:rsidR="0086046F">
        <w:t xml:space="preserve">minētais aizliegums. </w:t>
      </w:r>
      <w:r w:rsidR="00357D97">
        <w:t xml:space="preserve">Šajā sakarā Senāts norāda jau iepriekš minēto, ka pievienotās vērtības nodokli reglamentējošās tiesību normas attiecīgajos gadījumos paredz citas dalībvalsts nodokļa maksātāja tiesības nereģistrēties iekšzemes dalībvalsts pievienotās vērtības nodokļa maksātāju reģistrā. To ir </w:t>
      </w:r>
      <w:r w:rsidR="00517025">
        <w:t xml:space="preserve">atzinusi </w:t>
      </w:r>
      <w:r w:rsidR="00357D97">
        <w:t xml:space="preserve">arī </w:t>
      </w:r>
      <w:r w:rsidR="00165416">
        <w:t>Finanšu ministrija</w:t>
      </w:r>
      <w:r w:rsidR="00517025">
        <w:t xml:space="preserve">, norādot: ja citas dalībvalsts nodokļa maksātājs izvēlas </w:t>
      </w:r>
      <w:r w:rsidR="00165416">
        <w:t>reģistrē</w:t>
      </w:r>
      <w:r w:rsidR="00517025">
        <w:t>ties</w:t>
      </w:r>
      <w:r w:rsidR="00165416">
        <w:t xml:space="preserve"> Valsts ieņēmumu dienesta pievienotās vērtības nodokļa maksātāju reģistrā,</w:t>
      </w:r>
      <w:r w:rsidR="00517025">
        <w:t xml:space="preserve"> tad tas</w:t>
      </w:r>
      <w:r w:rsidR="00165416">
        <w:t xml:space="preserve"> konkrēto nodokļa summu var atskaitīt kā priekšnodokli, savukārt, ja citas dalībvalsts nodokļa maksātājs </w:t>
      </w:r>
      <w:r w:rsidR="00517025">
        <w:t>izvēlas nereģistrēties</w:t>
      </w:r>
      <w:r w:rsidR="00B305F3">
        <w:t xml:space="preserve"> </w:t>
      </w:r>
      <w:r w:rsidR="00165416">
        <w:t xml:space="preserve">pievienotās vērtības nodokļa maksātāju reģistrā, tad </w:t>
      </w:r>
      <w:r w:rsidR="00051270">
        <w:t>tam nav tiesību pretendēt uz nodokļa atmaksu</w:t>
      </w:r>
      <w:r w:rsidR="00085637">
        <w:t xml:space="preserve"> par attiecīgajiem pakalpojumiem</w:t>
      </w:r>
      <w:r w:rsidR="00051270">
        <w:t>. No minētā Senāts secina, ka F</w:t>
      </w:r>
      <w:r w:rsidR="0098718E">
        <w:t xml:space="preserve">inanšu ministrijas </w:t>
      </w:r>
      <w:r w:rsidR="00051270">
        <w:t xml:space="preserve">ieskatā </w:t>
      </w:r>
      <w:r w:rsidR="0098718E">
        <w:t>pieteicējas</w:t>
      </w:r>
      <w:r w:rsidR="00051270">
        <w:t xml:space="preserve"> jeb citas dalībvalsts nodokļa maksātāja </w:t>
      </w:r>
      <w:r w:rsidR="0098718E">
        <w:t>tiesības saņemt pievienotās vērtības nodokļa atmaks</w:t>
      </w:r>
      <w:r w:rsidR="00051270">
        <w:t>u</w:t>
      </w:r>
      <w:r w:rsidR="0098718E">
        <w:t xml:space="preserve"> par iekšzemē saņemtajiem pakalpojumiem ir atkarīga</w:t>
      </w:r>
      <w:r w:rsidR="00085637">
        <w:t>s</w:t>
      </w:r>
      <w:r w:rsidR="0098718E">
        <w:t xml:space="preserve"> no</w:t>
      </w:r>
      <w:r w:rsidR="00051270">
        <w:t xml:space="preserve"> šīs personas </w:t>
      </w:r>
      <w:r w:rsidR="0098718E">
        <w:t xml:space="preserve">reģistrācijas fakta pievienotās vērtības nodokļa maksātāju reģistrā. Arī apgabaltiesas spriedumā norādīts, ka gadījumā, ja pieteicēja būtu reģistrējusies pievienotās vērtības nodokļa maksātāju reģistrā, tā būtu tiesīga atskaitīt priekšnodokli par iekšzemē saņemtajiem pakalpojumiem jeb saņemt </w:t>
      </w:r>
      <w:r w:rsidR="00B14D83">
        <w:t>nodokļa atmaksu, kas pieteicējai izskatāmajā lietā ir</w:t>
      </w:r>
      <w:r w:rsidR="000248E0">
        <w:t xml:space="preserve"> atteikts</w:t>
      </w:r>
      <w:r w:rsidR="00B14D83">
        <w:t xml:space="preserve">. </w:t>
      </w:r>
    </w:p>
    <w:p w14:paraId="2B1C76B9" w14:textId="77777777" w:rsidR="00B14D83" w:rsidRDefault="00B14D83" w:rsidP="00E80A61">
      <w:pPr>
        <w:spacing w:after="0"/>
        <w:ind w:firstLine="567"/>
        <w:contextualSpacing/>
      </w:pPr>
      <w:r>
        <w:t>Šajā sakarā Senāts norāda turpmāk minēto.</w:t>
      </w:r>
    </w:p>
    <w:p w14:paraId="14C5A066" w14:textId="77777777" w:rsidR="00C959E3" w:rsidRDefault="00C959E3" w:rsidP="00E80A61">
      <w:pPr>
        <w:spacing w:after="0"/>
        <w:ind w:firstLine="567"/>
        <w:contextualSpacing/>
        <w:rPr>
          <w:highlight w:val="yellow"/>
        </w:rPr>
      </w:pPr>
    </w:p>
    <w:p w14:paraId="0DCC3F0C" w14:textId="7EA2C394" w:rsidR="000248E0" w:rsidRPr="00BB3E6E" w:rsidRDefault="00C959E3" w:rsidP="00E80A61">
      <w:pPr>
        <w:spacing w:after="0"/>
        <w:ind w:firstLine="567"/>
        <w:contextualSpacing/>
        <w:rPr>
          <w:rFonts w:cs="Times New Roman"/>
          <w:szCs w:val="24"/>
          <w:highlight w:val="yellow"/>
        </w:rPr>
      </w:pPr>
      <w:r w:rsidRPr="00AC554F">
        <w:t>[</w:t>
      </w:r>
      <w:r w:rsidR="00E376EF">
        <w:t>12</w:t>
      </w:r>
      <w:r w:rsidRPr="00AC554F">
        <w:t>] S</w:t>
      </w:r>
      <w:r w:rsidR="00B14D83" w:rsidRPr="00AC554F">
        <w:t xml:space="preserve">askaņā ar </w:t>
      </w:r>
      <w:r w:rsidR="00B14D83" w:rsidRPr="00AC554F">
        <w:rPr>
          <w:szCs w:val="24"/>
        </w:rPr>
        <w:t xml:space="preserve">Pievienotās vērtības nodokļa atmaksas direktīvas </w:t>
      </w:r>
      <w:r w:rsidR="00B14D83" w:rsidRPr="00AC554F">
        <w:t xml:space="preserve">3.pantu </w:t>
      </w:r>
      <w:r w:rsidR="00D46F43">
        <w:t xml:space="preserve">šo direktīvu piemēro visiem </w:t>
      </w:r>
      <w:r w:rsidR="00B14D83" w:rsidRPr="00AC554F">
        <w:t>nodokļa maksātāj</w:t>
      </w:r>
      <w:r w:rsidR="00D46F43">
        <w:t>ie</w:t>
      </w:r>
      <w:r w:rsidR="00B14D83" w:rsidRPr="00AC554F">
        <w:t xml:space="preserve">m, kas neveic uzņēmējdarbību atmaksas dalībvalstī </w:t>
      </w:r>
      <w:r w:rsidR="00D46F43">
        <w:t>un kas atbilst diviem nosacījumiem: p</w:t>
      </w:r>
      <w:r w:rsidR="00B14D83" w:rsidRPr="00AC554F">
        <w:t>irmkārt, saskaņā ar minētās direktīvas 3.panta „a” punktu atmaksas periodā nodokļa maksātājam atmaksas dalībvalstī nav bijusi ne saimnieciskās darbības mītnesvieta vai pastāvīga iestāde, ne arī dzīvesvieta vai pastāvīgās uzturēšanās vieta</w:t>
      </w:r>
      <w:r w:rsidR="00D46F43">
        <w:t>; o</w:t>
      </w:r>
      <w:r w:rsidR="00B14D83" w:rsidRPr="00AC554F">
        <w:t>trkārt, saskaņā ar šīs pašas direktīvas 3.panta „b” punktu atmaksas periodā nodokļa maksātājs nav piegādājis preces vai sniedzis pakalpojumus, kas varētu tikt uzskatīti par piegādātiem vai sniegtiem šajā dalībvalstī, izņemot dažus šīs tiesību normas „i” un „ii” apakšpunktā minētos darījumus.</w:t>
      </w:r>
      <w:r w:rsidR="009938B1">
        <w:t xml:space="preserve"> Kā norādījusi Eiropas Savienības Tiesa, n</w:t>
      </w:r>
      <w:r w:rsidR="00B14D83" w:rsidRPr="00AC554F">
        <w:t xml:space="preserve">e šajā tiesību normā, ne </w:t>
      </w:r>
      <w:r w:rsidR="00B14D83" w:rsidRPr="00AC554F">
        <w:rPr>
          <w:szCs w:val="24"/>
        </w:rPr>
        <w:t>Pievienotās vērtības nodokļa</w:t>
      </w:r>
      <w:r w:rsidR="00B14D83">
        <w:rPr>
          <w:szCs w:val="24"/>
        </w:rPr>
        <w:t xml:space="preserve"> direktīvas</w:t>
      </w:r>
      <w:r w:rsidR="00B14D83" w:rsidRPr="00B66A7B">
        <w:t xml:space="preserve"> </w:t>
      </w:r>
      <w:r w:rsidR="00B14D83">
        <w:t xml:space="preserve">170.pantā, </w:t>
      </w:r>
      <w:r w:rsidR="00051270">
        <w:t>kas regulē</w:t>
      </w:r>
      <w:r w:rsidR="00503645">
        <w:t xml:space="preserve"> atskaitīšanas tiesības</w:t>
      </w:r>
      <w:r w:rsidR="00051270">
        <w:t xml:space="preserve">, </w:t>
      </w:r>
      <w:r w:rsidR="00B14D83">
        <w:t xml:space="preserve">ne </w:t>
      </w:r>
      <w:r w:rsidR="00C46FDA">
        <w:t xml:space="preserve">citās minēto </w:t>
      </w:r>
      <w:r w:rsidR="00B14D83">
        <w:t>direktīvu normā</w:t>
      </w:r>
      <w:r w:rsidR="00C46FDA">
        <w:t>s</w:t>
      </w:r>
      <w:r w:rsidR="00B14D83">
        <w:t xml:space="preserve"> nodokļa maksātāja, kas uzņēmējdarbību veic citā dalībvalstī, tiesības saņemt pievienotās vērtības nodokļa atmaksu atmaksas dalībvalstī nav pakļautas formālam nosacījumam par neidentificēšanos pievienotās vērtības nodokļa nolūkā vai pienākuma identificēties pievienotās vērtības nodokļa nolūkā atmaksas dalībvalstī neesību. No tā izriet, ka dalībvalsts ne</w:t>
      </w:r>
      <w:r w:rsidR="00051270">
        <w:t>drīkst</w:t>
      </w:r>
      <w:r w:rsidR="00B14D83">
        <w:t xml:space="preserve"> nodokļa maksātājam, kas uzņēmējdarbību veic citā dalībvalstī, atteikt tiesības </w:t>
      </w:r>
      <w:r w:rsidR="0086046F">
        <w:t xml:space="preserve">saņemt </w:t>
      </w:r>
      <w:r w:rsidR="00B14D83">
        <w:t xml:space="preserve">pievienotās vērtības nodokļa atmaksu tikai tāpēc, ka šis nodokļa maksātājs pievienotās vērtības nodokļa nolūkā ir identificējies </w:t>
      </w:r>
      <w:r w:rsidR="006B27C0">
        <w:t xml:space="preserve">vai </w:t>
      </w:r>
      <w:r w:rsidR="00B14D83">
        <w:t xml:space="preserve">tam bija jāidentificējas </w:t>
      </w:r>
      <w:r w:rsidR="00051270">
        <w:t xml:space="preserve">pirmajā </w:t>
      </w:r>
      <w:r w:rsidR="00B14D83">
        <w:t xml:space="preserve">dalībvalstī, </w:t>
      </w:r>
      <w:r w:rsidR="006B27C0">
        <w:t xml:space="preserve">lai gan šis </w:t>
      </w:r>
      <w:r w:rsidR="00B14D83">
        <w:t xml:space="preserve">nodokļa maksātājs ir </w:t>
      </w:r>
      <w:r w:rsidR="000248E0">
        <w:t>i</w:t>
      </w:r>
      <w:r w:rsidR="006B27C0">
        <w:t xml:space="preserve">zpildījis </w:t>
      </w:r>
      <w:r w:rsidR="00B14D83" w:rsidRPr="00BB3E6E">
        <w:rPr>
          <w:rFonts w:cs="Times New Roman"/>
          <w:szCs w:val="24"/>
        </w:rPr>
        <w:t>Pievienotās vērtības nodokļa atmaksas direktīv</w:t>
      </w:r>
      <w:r w:rsidR="006B27C0" w:rsidRPr="00BB3E6E">
        <w:rPr>
          <w:rFonts w:cs="Times New Roman"/>
          <w:szCs w:val="24"/>
        </w:rPr>
        <w:t>as 3.pantā paredzētos kumulatīvos kritērijus (</w:t>
      </w:r>
      <w:r w:rsidR="006B27C0" w:rsidRPr="00BB3E6E">
        <w:rPr>
          <w:rFonts w:cs="Times New Roman"/>
          <w:i/>
          <w:szCs w:val="24"/>
        </w:rPr>
        <w:t xml:space="preserve">sprieduma lietā </w:t>
      </w:r>
      <w:r w:rsidR="000561EC" w:rsidRPr="000561EC">
        <w:rPr>
          <w:rFonts w:cs="Times New Roman"/>
          <w:i/>
          <w:iCs/>
          <w:szCs w:val="24"/>
        </w:rPr>
        <w:t>CHEP Equipment Pooling NV</w:t>
      </w:r>
      <w:r w:rsidR="009938B1">
        <w:rPr>
          <w:rFonts w:cs="Times New Roman"/>
          <w:i/>
          <w:szCs w:val="24"/>
        </w:rPr>
        <w:t xml:space="preserve"> </w:t>
      </w:r>
      <w:r w:rsidR="006B27C0" w:rsidRPr="00BB3E6E">
        <w:rPr>
          <w:rFonts w:cs="Times New Roman"/>
          <w:i/>
          <w:szCs w:val="24"/>
        </w:rPr>
        <w:t>55.–57.punkts</w:t>
      </w:r>
      <w:r w:rsidR="006B27C0" w:rsidRPr="00BB3E6E">
        <w:rPr>
          <w:rFonts w:cs="Times New Roman"/>
          <w:iCs/>
          <w:szCs w:val="24"/>
        </w:rPr>
        <w:t>).</w:t>
      </w:r>
      <w:r w:rsidR="006B27C0" w:rsidRPr="00BB3E6E">
        <w:rPr>
          <w:rFonts w:cs="Times New Roman"/>
          <w:szCs w:val="24"/>
        </w:rPr>
        <w:t xml:space="preserve"> </w:t>
      </w:r>
      <w:r w:rsidR="006B27C0" w:rsidRPr="00BB3E6E">
        <w:rPr>
          <w:rFonts w:cs="Times New Roman"/>
          <w:color w:val="000000"/>
          <w:szCs w:val="24"/>
        </w:rPr>
        <w:t>Tā tas vēl jo vairāk ir tāpēc, ka identificēšanās pievienotās vērtības nodokļa nolūkā, kas ir paredzēta Pievienotās vērtības nodokļa direktīvas 214.pantā, ir tikai formāla prasība kontroles veikšanas nolūkā. No Eiropas Savienības Tiesas pastāvīgās judikatūras izriet, ka formālās prasības nevar apdraudēt tiesības uz nodokļa atskaitīšanu, ciktāl ir izpildīti materiālie nosacījumi, kas rada šīs tiesības. No tā arī</w:t>
      </w:r>
      <w:r w:rsidR="00BB3E6E" w:rsidRPr="00BB3E6E">
        <w:rPr>
          <w:rFonts w:cs="Times New Roman"/>
          <w:color w:val="000000"/>
          <w:szCs w:val="24"/>
        </w:rPr>
        <w:t xml:space="preserve"> iz</w:t>
      </w:r>
      <w:r w:rsidR="006B27C0" w:rsidRPr="00BB3E6E">
        <w:rPr>
          <w:rFonts w:cs="Times New Roman"/>
          <w:color w:val="000000"/>
          <w:szCs w:val="24"/>
        </w:rPr>
        <w:t xml:space="preserve">riet, ka nodokļa maksātājam, kas uzņēmējdarbību veic citā dalībvalstī, ciktāl ir izpildīti materiālie nosacījumi, kuri rada tiesības uz atmaksu, nevar liegt īstenot šīs tiesības tāpēc, ka tas </w:t>
      </w:r>
      <w:r w:rsidR="00BB3E6E" w:rsidRPr="00BB3E6E">
        <w:rPr>
          <w:rFonts w:cs="Times New Roman"/>
          <w:color w:val="000000"/>
          <w:szCs w:val="24"/>
        </w:rPr>
        <w:t xml:space="preserve">pievienotās vērtības nodokļa </w:t>
      </w:r>
      <w:r w:rsidR="006B27C0" w:rsidRPr="00BB3E6E">
        <w:rPr>
          <w:rFonts w:cs="Times New Roman"/>
          <w:color w:val="000000"/>
          <w:szCs w:val="24"/>
        </w:rPr>
        <w:t>nolūkā ir identificējies vai tam bija jāidentificējas atmaksas dalībvalstī</w:t>
      </w:r>
      <w:r w:rsidR="006B27C0" w:rsidRPr="00BB3E6E">
        <w:rPr>
          <w:rFonts w:cs="Times New Roman"/>
          <w:szCs w:val="24"/>
        </w:rPr>
        <w:t xml:space="preserve"> </w:t>
      </w:r>
      <w:bookmarkStart w:id="7" w:name="_Hlk93064552"/>
      <w:r w:rsidR="00BB3E6E" w:rsidRPr="00BB3E6E">
        <w:rPr>
          <w:rFonts w:cs="Times New Roman"/>
          <w:szCs w:val="24"/>
        </w:rPr>
        <w:t>(</w:t>
      </w:r>
      <w:r w:rsidR="00BB3E6E" w:rsidRPr="00BB3E6E">
        <w:rPr>
          <w:rFonts w:cs="Times New Roman"/>
          <w:i/>
          <w:iCs/>
          <w:szCs w:val="24"/>
        </w:rPr>
        <w:t>sprieduma</w:t>
      </w:r>
      <w:r w:rsidR="00BB3E6E" w:rsidRPr="009938B1">
        <w:rPr>
          <w:rFonts w:cs="Times New Roman"/>
          <w:i/>
          <w:iCs/>
          <w:szCs w:val="24"/>
        </w:rPr>
        <w:t xml:space="preserve"> </w:t>
      </w:r>
      <w:r w:rsidR="009938B1" w:rsidRPr="009938B1">
        <w:rPr>
          <w:rFonts w:cs="Times New Roman"/>
          <w:i/>
          <w:iCs/>
          <w:szCs w:val="24"/>
        </w:rPr>
        <w:t xml:space="preserve">lietā </w:t>
      </w:r>
      <w:bookmarkStart w:id="8" w:name="_Hlk94102038"/>
      <w:r w:rsidR="000561EC" w:rsidRPr="000561EC">
        <w:rPr>
          <w:rFonts w:cs="Times New Roman"/>
          <w:i/>
          <w:iCs/>
          <w:szCs w:val="24"/>
        </w:rPr>
        <w:t>CHEP Equipment Pooling NV</w:t>
      </w:r>
      <w:r w:rsidR="00BB3E6E" w:rsidRPr="00BB3E6E">
        <w:rPr>
          <w:rFonts w:cs="Times New Roman"/>
          <w:i/>
          <w:szCs w:val="24"/>
        </w:rPr>
        <w:t xml:space="preserve"> </w:t>
      </w:r>
      <w:bookmarkEnd w:id="8"/>
      <w:r w:rsidR="00B14D83" w:rsidRPr="00BB3E6E">
        <w:rPr>
          <w:rFonts w:cs="Times New Roman"/>
          <w:i/>
          <w:szCs w:val="24"/>
        </w:rPr>
        <w:t>59.punkts</w:t>
      </w:r>
      <w:bookmarkEnd w:id="7"/>
      <w:r w:rsidR="00B14D83" w:rsidRPr="00BB3E6E">
        <w:rPr>
          <w:rFonts w:cs="Times New Roman"/>
          <w:szCs w:val="24"/>
        </w:rPr>
        <w:t>).</w:t>
      </w:r>
    </w:p>
    <w:p w14:paraId="55EB7211" w14:textId="39632435" w:rsidR="00056C31" w:rsidRPr="00AC554F" w:rsidRDefault="003A683A" w:rsidP="00E80A61">
      <w:pPr>
        <w:spacing w:after="0"/>
        <w:ind w:firstLine="567"/>
        <w:contextualSpacing/>
      </w:pPr>
      <w:r w:rsidRPr="00BB3E6E">
        <w:rPr>
          <w:rFonts w:cs="Times New Roman"/>
          <w:szCs w:val="24"/>
        </w:rPr>
        <w:t xml:space="preserve">Tātad, ja nodokļa maksātājs ievēro tiesību normās paredzētās prasības un </w:t>
      </w:r>
      <w:r w:rsidR="00056C31" w:rsidRPr="00BB3E6E">
        <w:rPr>
          <w:rFonts w:cs="Times New Roman"/>
          <w:szCs w:val="24"/>
        </w:rPr>
        <w:t>kritērijus, kuriem izpildoties pievienotās vērtības nodoklis par attiecīgajiem pakalpojumiem ir atmaksājams, nodokļ</w:t>
      </w:r>
      <w:r w:rsidR="00517025" w:rsidRPr="00BB3E6E">
        <w:rPr>
          <w:rFonts w:cs="Times New Roman"/>
          <w:szCs w:val="24"/>
        </w:rPr>
        <w:t>a</w:t>
      </w:r>
      <w:r w:rsidR="00056C31" w:rsidRPr="00BB3E6E">
        <w:rPr>
          <w:rFonts w:cs="Times New Roman"/>
          <w:szCs w:val="24"/>
        </w:rPr>
        <w:t xml:space="preserve"> maksātāja</w:t>
      </w:r>
      <w:r w:rsidR="00C959E3" w:rsidRPr="00BB3E6E">
        <w:rPr>
          <w:rFonts w:cs="Times New Roman"/>
          <w:szCs w:val="24"/>
        </w:rPr>
        <w:t xml:space="preserve">m nevar liegt </w:t>
      </w:r>
      <w:r w:rsidR="00056C31" w:rsidRPr="00BB3E6E">
        <w:rPr>
          <w:rFonts w:cs="Times New Roman"/>
          <w:szCs w:val="24"/>
        </w:rPr>
        <w:t xml:space="preserve">tiesības saņemt nodokļa atmaksu tikai tāpēc, ka tas </w:t>
      </w:r>
      <w:r w:rsidR="00C959E3" w:rsidRPr="00BB3E6E">
        <w:rPr>
          <w:rFonts w:cs="Times New Roman"/>
          <w:szCs w:val="24"/>
        </w:rPr>
        <w:t xml:space="preserve">nav </w:t>
      </w:r>
      <w:r w:rsidR="00056C31" w:rsidRPr="00BB3E6E">
        <w:rPr>
          <w:rFonts w:cs="Times New Roman"/>
          <w:szCs w:val="24"/>
        </w:rPr>
        <w:t>reģistrējies attiecīgās dalībvalsts</w:t>
      </w:r>
      <w:r w:rsidR="00056C31" w:rsidRPr="00AC554F">
        <w:t xml:space="preserve"> pievienotās vērtības nodokļa maksātāju reģistrā.</w:t>
      </w:r>
    </w:p>
    <w:p w14:paraId="24118E8E" w14:textId="77777777" w:rsidR="00517025" w:rsidRDefault="00517025" w:rsidP="00E80A61">
      <w:pPr>
        <w:spacing w:after="0"/>
        <w:ind w:firstLine="567"/>
        <w:contextualSpacing/>
      </w:pPr>
    </w:p>
    <w:p w14:paraId="6A269DEE" w14:textId="44E71956" w:rsidR="003471DE" w:rsidRDefault="00517025" w:rsidP="00E80A61">
      <w:pPr>
        <w:spacing w:after="0"/>
        <w:ind w:firstLine="567"/>
        <w:contextualSpacing/>
        <w:rPr>
          <w:kern w:val="2"/>
          <w:szCs w:val="24"/>
          <w:lang w:bidi="hi-IN"/>
        </w:rPr>
      </w:pPr>
      <w:r>
        <w:t>[</w:t>
      </w:r>
      <w:r w:rsidR="00E376EF">
        <w:t>13</w:t>
      </w:r>
      <w:r>
        <w:t>] </w:t>
      </w:r>
      <w:r w:rsidR="00056C31" w:rsidRPr="00AC554F">
        <w:t xml:space="preserve">Vienlaikus Senāts vērš uzmanību uz </w:t>
      </w:r>
      <w:r w:rsidR="0086046F" w:rsidRPr="00AC554F">
        <w:t xml:space="preserve">jau pieminēto </w:t>
      </w:r>
      <w:r w:rsidR="00056C31" w:rsidRPr="00AC554F">
        <w:rPr>
          <w:kern w:val="2"/>
          <w:szCs w:val="24"/>
          <w:lang w:bidi="hi-IN"/>
        </w:rPr>
        <w:t xml:space="preserve">Pievienotās vērtības nodokļa </w:t>
      </w:r>
      <w:r w:rsidR="00503645" w:rsidRPr="00AC554F">
        <w:rPr>
          <w:kern w:val="2"/>
          <w:szCs w:val="24"/>
          <w:lang w:bidi="hi-IN"/>
        </w:rPr>
        <w:t xml:space="preserve">atmaksas </w:t>
      </w:r>
      <w:r w:rsidR="00056C31" w:rsidRPr="00AC554F">
        <w:rPr>
          <w:kern w:val="2"/>
          <w:szCs w:val="24"/>
          <w:lang w:bidi="hi-IN"/>
        </w:rPr>
        <w:t xml:space="preserve">direktīvas 5.pantu, kas </w:t>
      </w:r>
      <w:r w:rsidR="00C959E3" w:rsidRPr="00AC554F">
        <w:rPr>
          <w:kern w:val="2"/>
          <w:szCs w:val="24"/>
          <w:lang w:bidi="hi-IN"/>
        </w:rPr>
        <w:t>paredz</w:t>
      </w:r>
      <w:r w:rsidR="00056C31" w:rsidRPr="00AC554F">
        <w:rPr>
          <w:kern w:val="2"/>
          <w:szCs w:val="24"/>
          <w:lang w:bidi="hi-IN"/>
        </w:rPr>
        <w:t>, ka, neskarot šīs direktīvas 6.pantu, šajā direktīvā priekšnodokļa atmaksāšanas tiesības nosaka saskaņā ar Pievienotās</w:t>
      </w:r>
      <w:r w:rsidR="00056C31">
        <w:rPr>
          <w:kern w:val="2"/>
          <w:szCs w:val="24"/>
          <w:lang w:bidi="hi-IN"/>
        </w:rPr>
        <w:t xml:space="preserve"> vērtības nodokļa direktīvu, kā to piemēro atmaksas dalībvalstī. Tas nozīmē, ka, izskatot lietu pēc būtības, apgabaltiesai ir jānoskaidro, vai Latvijā jeb atmaksas dalībvalstī ir paredzēts atskaitīt priekšnodokli par tādiem darījumiem, par kuriem samaksāto </w:t>
      </w:r>
      <w:r w:rsidR="00056C31" w:rsidRPr="00BF3FA2">
        <w:rPr>
          <w:kern w:val="2"/>
          <w:szCs w:val="24"/>
          <w:lang w:bidi="hi-IN"/>
        </w:rPr>
        <w:t>pievienotās vērtības nodokli pieteicēja lūdz at</w:t>
      </w:r>
      <w:r w:rsidR="0086046F" w:rsidRPr="00BF3FA2">
        <w:rPr>
          <w:kern w:val="2"/>
          <w:szCs w:val="24"/>
          <w:lang w:bidi="hi-IN"/>
        </w:rPr>
        <w:t xml:space="preserve">maksāt </w:t>
      </w:r>
      <w:r w:rsidR="00056C31" w:rsidRPr="00BF3FA2">
        <w:rPr>
          <w:kern w:val="2"/>
          <w:szCs w:val="24"/>
          <w:lang w:bidi="hi-IN"/>
        </w:rPr>
        <w:t xml:space="preserve">izskatāmajā lietā. </w:t>
      </w:r>
      <w:r w:rsidR="00BF3FA2" w:rsidRPr="00BF3FA2">
        <w:rPr>
          <w:kern w:val="2"/>
          <w:szCs w:val="24"/>
          <w:lang w:bidi="hi-IN"/>
        </w:rPr>
        <w:t>No secinājuma par to, vai nodokļa maksātājs ir tiesīgs saņemt nodokļa atmaksu par pieteicējas iekšzemē saņemtajiem pakalpojumiem</w:t>
      </w:r>
      <w:r w:rsidR="00BF3FA2">
        <w:rPr>
          <w:kern w:val="2"/>
          <w:szCs w:val="24"/>
          <w:lang w:bidi="hi-IN"/>
        </w:rPr>
        <w:t xml:space="preserve">, ir atkarīgs secinājums par Ministru kabineta noteikumu 34.2.3.apakšpunkta atbilstību pārnacionālo tiesību normām. </w:t>
      </w:r>
      <w:r w:rsidR="00056C31" w:rsidRPr="00BF3FA2">
        <w:rPr>
          <w:kern w:val="2"/>
          <w:szCs w:val="24"/>
          <w:lang w:bidi="hi-IN"/>
        </w:rPr>
        <w:t xml:space="preserve">Apgabaltiesas spriedumā </w:t>
      </w:r>
      <w:r w:rsidR="00D222F4">
        <w:rPr>
          <w:kern w:val="2"/>
          <w:szCs w:val="24"/>
          <w:lang w:bidi="hi-IN"/>
        </w:rPr>
        <w:t xml:space="preserve">šajā sakarā </w:t>
      </w:r>
      <w:r w:rsidR="00056C31" w:rsidRPr="00BF3FA2">
        <w:rPr>
          <w:kern w:val="2"/>
          <w:szCs w:val="24"/>
          <w:lang w:bidi="hi-IN"/>
        </w:rPr>
        <w:t>norādīts, ka</w:t>
      </w:r>
      <w:r w:rsidR="00AC554F" w:rsidRPr="00BF3FA2">
        <w:rPr>
          <w:kern w:val="2"/>
          <w:szCs w:val="24"/>
          <w:lang w:bidi="hi-IN"/>
        </w:rPr>
        <w:t xml:space="preserve"> Pievienotās vērtības nodokļa direktīvas 45.pantā </w:t>
      </w:r>
      <w:r w:rsidR="00D222F4">
        <w:rPr>
          <w:kern w:val="2"/>
          <w:szCs w:val="24"/>
          <w:lang w:bidi="hi-IN"/>
        </w:rPr>
        <w:t>minētie</w:t>
      </w:r>
      <w:r w:rsidR="00AC554F" w:rsidRPr="00BF3FA2">
        <w:rPr>
          <w:kern w:val="2"/>
          <w:szCs w:val="24"/>
          <w:lang w:bidi="hi-IN"/>
        </w:rPr>
        <w:t xml:space="preserve"> pakalpojumi, kas ir saistīti ar nekustamo īpašumu, ir izslēgti no to pakalpojumu loka, kuri varētu tikt sniegti nodokļu maksātājam citā dalībvalstī, kur tas neveic uzņēmējdarbību. Ar to apgabaltiesa faktiski ir ierobežojusi </w:t>
      </w:r>
      <w:r w:rsidR="00BF3FA2" w:rsidRPr="00BF3FA2">
        <w:rPr>
          <w:kern w:val="2"/>
          <w:szCs w:val="24"/>
          <w:lang w:bidi="hi-IN"/>
        </w:rPr>
        <w:t>pakalpojumu brīvu apriti,</w:t>
      </w:r>
      <w:r w:rsidR="00BF3FA2">
        <w:rPr>
          <w:kern w:val="2"/>
          <w:szCs w:val="24"/>
          <w:lang w:bidi="hi-IN"/>
        </w:rPr>
        <w:t xml:space="preserve"> šādu secinājumu neargumentējot,</w:t>
      </w:r>
      <w:r w:rsidR="00BF3FA2" w:rsidRPr="00BF3FA2">
        <w:rPr>
          <w:kern w:val="2"/>
          <w:szCs w:val="24"/>
          <w:lang w:bidi="hi-IN"/>
        </w:rPr>
        <w:t xml:space="preserve"> kā arī nav ņēmusi vērā, ka </w:t>
      </w:r>
      <w:r w:rsidR="00C959E3" w:rsidRPr="00BF3FA2">
        <w:rPr>
          <w:kern w:val="2"/>
          <w:szCs w:val="24"/>
          <w:lang w:bidi="hi-IN"/>
        </w:rPr>
        <w:t>pievienotās vērtības nodokli reglamentējoš</w:t>
      </w:r>
      <w:r w:rsidR="002305D0" w:rsidRPr="00BF3FA2">
        <w:rPr>
          <w:kern w:val="2"/>
          <w:szCs w:val="24"/>
          <w:lang w:bidi="hi-IN"/>
        </w:rPr>
        <w:t>ā</w:t>
      </w:r>
      <w:r w:rsidR="00C959E3" w:rsidRPr="00BF3FA2">
        <w:rPr>
          <w:kern w:val="2"/>
          <w:szCs w:val="24"/>
          <w:lang w:bidi="hi-IN"/>
        </w:rPr>
        <w:t xml:space="preserve">s tiesību normas paredz atšķirīgu nodokļa samaksas un atmaksas kārtību attiecībā uz darījumiem ar nelietotu un lietotu nekustamo īpašumu. </w:t>
      </w:r>
      <w:r w:rsidR="00D222F4">
        <w:rPr>
          <w:kern w:val="2"/>
          <w:szCs w:val="24"/>
          <w:lang w:bidi="hi-IN"/>
        </w:rPr>
        <w:t xml:space="preserve">Savukārt </w:t>
      </w:r>
      <w:r w:rsidR="00503645">
        <w:rPr>
          <w:kern w:val="2"/>
          <w:szCs w:val="24"/>
          <w:lang w:bidi="hi-IN"/>
        </w:rPr>
        <w:t xml:space="preserve">Valsts ieņēmumu dienests šajā sakarā atsaucas uz Padomes 2013.gada 7.oktobra </w:t>
      </w:r>
      <w:r w:rsidR="003471DE">
        <w:rPr>
          <w:kern w:val="2"/>
          <w:szCs w:val="24"/>
          <w:lang w:bidi="hi-IN"/>
        </w:rPr>
        <w:t>Ī</w:t>
      </w:r>
      <w:r w:rsidR="00503645">
        <w:rPr>
          <w:kern w:val="2"/>
          <w:szCs w:val="24"/>
          <w:lang w:bidi="hi-IN"/>
        </w:rPr>
        <w:t xml:space="preserve">stenošanas regulas (ES) Nr. 1042/2013, ar ko groza Īstenošanas regulu (ES) Nr. 282/2011 attiecībā uz pakalpojumu sniegšanas vietu, </w:t>
      </w:r>
      <w:r w:rsidR="003471DE">
        <w:rPr>
          <w:kern w:val="2"/>
          <w:szCs w:val="24"/>
          <w:lang w:bidi="hi-IN"/>
        </w:rPr>
        <w:t xml:space="preserve">tiesību normām, kas noteic strīdus pakalpojumu sniegšanas vietu. Taču Valsts ieņēmumu dienests neizskaidro, kā šis normatīvais akts pierāda dienesta apgalvojumu, ka nodokļa atmaksu par izskatāmajā lietā vērtējamiem pakalpojumiem neparedz Pievienotās vērtības nodokļa </w:t>
      </w:r>
      <w:r w:rsidR="00D222F4">
        <w:rPr>
          <w:kern w:val="2"/>
          <w:szCs w:val="24"/>
          <w:lang w:bidi="hi-IN"/>
        </w:rPr>
        <w:t xml:space="preserve">direktīva un Pievienotās vērtības nodokļa </w:t>
      </w:r>
      <w:r w:rsidR="003471DE">
        <w:rPr>
          <w:kern w:val="2"/>
          <w:szCs w:val="24"/>
          <w:lang w:bidi="hi-IN"/>
        </w:rPr>
        <w:t xml:space="preserve">atmaksas direktīva, jo īpaši apstākļos, kad lietā nav strīda, ka </w:t>
      </w:r>
      <w:r w:rsidR="00E1073C">
        <w:rPr>
          <w:kern w:val="2"/>
          <w:szCs w:val="24"/>
          <w:lang w:bidi="hi-IN"/>
        </w:rPr>
        <w:t xml:space="preserve">strīdus </w:t>
      </w:r>
      <w:r w:rsidR="003471DE">
        <w:rPr>
          <w:kern w:val="2"/>
          <w:szCs w:val="24"/>
          <w:lang w:bidi="hi-IN"/>
        </w:rPr>
        <w:t>pakalpojumu sniegšanas vieta ir Latvija.</w:t>
      </w:r>
    </w:p>
    <w:p w14:paraId="39901594" w14:textId="77777777" w:rsidR="00E1073C" w:rsidRDefault="00E1073C" w:rsidP="00E80A61">
      <w:pPr>
        <w:spacing w:after="0"/>
        <w:ind w:firstLine="567"/>
        <w:contextualSpacing/>
        <w:rPr>
          <w:kern w:val="2"/>
          <w:szCs w:val="24"/>
          <w:lang w:bidi="hi-IN"/>
        </w:rPr>
      </w:pPr>
    </w:p>
    <w:p w14:paraId="5AADF528" w14:textId="5968631E" w:rsidR="00F54146" w:rsidRPr="00173BC4" w:rsidRDefault="004A15C7" w:rsidP="00E80A61">
      <w:pPr>
        <w:ind w:firstLine="567"/>
        <w:contextualSpacing/>
        <w:rPr>
          <w:i/>
        </w:rPr>
      </w:pPr>
      <w:r>
        <w:rPr>
          <w:rFonts w:cs="Times New Roman"/>
          <w:szCs w:val="24"/>
        </w:rPr>
        <w:t>[</w:t>
      </w:r>
      <w:r w:rsidR="00E376EF">
        <w:rPr>
          <w:rFonts w:cs="Times New Roman"/>
          <w:szCs w:val="24"/>
        </w:rPr>
        <w:t>14</w:t>
      </w:r>
      <w:r>
        <w:rPr>
          <w:rFonts w:cs="Times New Roman"/>
          <w:szCs w:val="24"/>
        </w:rPr>
        <w:t>] Visbeidzot Senāts atgādina, ka p</w:t>
      </w:r>
      <w:r>
        <w:rPr>
          <w:kern w:val="2"/>
          <w:szCs w:val="24"/>
          <w:lang w:bidi="hi-IN"/>
        </w:rPr>
        <w:t>ievienotās vērtības nodokļa sistēmu raksturo efektivitāte, samērīgums un neitralitāte, kas nozīm</w:t>
      </w:r>
      <w:r w:rsidR="00E1073C">
        <w:rPr>
          <w:kern w:val="2"/>
          <w:szCs w:val="24"/>
          <w:lang w:bidi="hi-IN"/>
        </w:rPr>
        <w:t>ē</w:t>
      </w:r>
      <w:r>
        <w:rPr>
          <w:kern w:val="2"/>
          <w:szCs w:val="24"/>
          <w:lang w:bidi="hi-IN"/>
        </w:rPr>
        <w:t>, ka a</w:t>
      </w:r>
      <w:r>
        <w:t>tskaitīšanas un tādējādi atmaksāšanas sistēmas mērķis ir pilnībā atbrīvot uzņēmēju no pievienotās vērtības nodokļa, kas tam ir jāmaksā vai ko tas ir samaksājis saistībā ar visu savu saimniecisko darbību (</w:t>
      </w:r>
      <w:r>
        <w:rPr>
          <w:i/>
        </w:rPr>
        <w:t>Eiropas Savienības Tiesas</w:t>
      </w:r>
      <w:r>
        <w:t xml:space="preserve"> </w:t>
      </w:r>
      <w:r>
        <w:rPr>
          <w:i/>
        </w:rPr>
        <w:t xml:space="preserve">2018.gada 21.marta sprieduma lietā </w:t>
      </w:r>
      <w:r w:rsidR="00173BC4" w:rsidRPr="00173BC4">
        <w:rPr>
          <w:i/>
          <w:iCs/>
        </w:rPr>
        <w:t>Volkswagen AG</w:t>
      </w:r>
      <w:r w:rsidR="00173BC4">
        <w:rPr>
          <w:i/>
        </w:rPr>
        <w:t xml:space="preserve"> </w:t>
      </w:r>
      <w:r w:rsidR="00173BC4" w:rsidRPr="00173BC4">
        <w:rPr>
          <w:i/>
        </w:rPr>
        <w:t>pret</w:t>
      </w:r>
      <w:r w:rsidR="00173BC4">
        <w:rPr>
          <w:i/>
        </w:rPr>
        <w:t xml:space="preserve"> </w:t>
      </w:r>
      <w:r w:rsidR="00173BC4" w:rsidRPr="00173BC4">
        <w:rPr>
          <w:i/>
          <w:iCs/>
        </w:rPr>
        <w:t>Finančné riaditeľstvo Slovenskej republiky</w:t>
      </w:r>
      <w:r w:rsidR="002536FF">
        <w:rPr>
          <w:i/>
        </w:rPr>
        <w:t>,</w:t>
      </w:r>
      <w:r>
        <w:rPr>
          <w:i/>
        </w:rPr>
        <w:t xml:space="preserve"> C</w:t>
      </w:r>
      <w:r>
        <w:rPr>
          <w:i/>
        </w:rPr>
        <w:noBreakHyphen/>
        <w:t xml:space="preserve">533/16, </w:t>
      </w:r>
      <w:bookmarkStart w:id="9" w:name="_Hlk94101888"/>
      <w:r w:rsidR="00173BC4" w:rsidRPr="00173BC4">
        <w:rPr>
          <w:i/>
          <w:color w:val="000000" w:themeColor="text1"/>
        </w:rPr>
        <w:fldChar w:fldCharType="begin"/>
      </w:r>
      <w:r w:rsidR="00173BC4" w:rsidRPr="00173BC4">
        <w:rPr>
          <w:i/>
          <w:color w:val="000000" w:themeColor="text1"/>
        </w:rPr>
        <w:instrText xml:space="preserve"> HYPERLINK "https://manas.tiesas.lv/eTiesasMvc/eclinolemumi/ECLI:EU:C:2018:204" </w:instrText>
      </w:r>
      <w:r w:rsidR="00173BC4" w:rsidRPr="00173BC4">
        <w:rPr>
          <w:i/>
          <w:color w:val="000000" w:themeColor="text1"/>
        </w:rPr>
        <w:fldChar w:fldCharType="separate"/>
      </w:r>
      <w:r w:rsidRPr="00173BC4">
        <w:rPr>
          <w:rStyle w:val="Hyperlink"/>
          <w:i/>
          <w:color w:val="000000" w:themeColor="text1"/>
          <w:u w:val="none"/>
        </w:rPr>
        <w:t>ECLI:EU:C:2018:204</w:t>
      </w:r>
      <w:bookmarkEnd w:id="9"/>
      <w:r w:rsidR="00173BC4" w:rsidRPr="00173BC4">
        <w:rPr>
          <w:i/>
          <w:color w:val="000000" w:themeColor="text1"/>
        </w:rPr>
        <w:fldChar w:fldCharType="end"/>
      </w:r>
      <w:r>
        <w:rPr>
          <w:i/>
        </w:rPr>
        <w:t>, 36.</w:t>
      </w:r>
      <w:r w:rsidR="002536FF">
        <w:rPr>
          <w:i/>
        </w:rPr>
        <w:t>–</w:t>
      </w:r>
      <w:r>
        <w:rPr>
          <w:i/>
        </w:rPr>
        <w:t>38.punkts</w:t>
      </w:r>
      <w:r>
        <w:t>). Pievienotās vērtības nodokli kā patēriņa nodokli maksā galapatērētājs, tāpēc, lai arī pakalpojuma sniedzēji, kas nav galapatērētāji, kā pievienotās vērtības nodokļa maksātāji iekasē šo n</w:t>
      </w:r>
      <w:r>
        <w:rPr>
          <w:kern w:val="2"/>
          <w:szCs w:val="24"/>
          <w:lang w:bidi="hi-IN"/>
        </w:rPr>
        <w:t xml:space="preserve">odokli un to samaksā valsts budžetā, tiem nav jāuzņemas </w:t>
      </w:r>
      <w:r w:rsidR="00E1073C">
        <w:rPr>
          <w:kern w:val="2"/>
          <w:szCs w:val="24"/>
          <w:lang w:bidi="hi-IN"/>
        </w:rPr>
        <w:t>šis</w:t>
      </w:r>
      <w:r>
        <w:rPr>
          <w:kern w:val="2"/>
          <w:szCs w:val="24"/>
          <w:lang w:bidi="hi-IN"/>
        </w:rPr>
        <w:t xml:space="preserve"> ekonomiskais slogs. Ja nodokļa maksātājs, nebūdams galapatērētājs, nevar saņemt samaksātā pievienotās vērtības nodokļa atmaksu, </w:t>
      </w:r>
      <w:r w:rsidR="00E1073C">
        <w:rPr>
          <w:kern w:val="2"/>
          <w:szCs w:val="24"/>
          <w:lang w:bidi="hi-IN"/>
        </w:rPr>
        <w:t xml:space="preserve">lai gan tiek ievērotas materiālās prasības, </w:t>
      </w:r>
      <w:r>
        <w:rPr>
          <w:kern w:val="2"/>
          <w:szCs w:val="24"/>
          <w:lang w:bidi="hi-IN"/>
        </w:rPr>
        <w:t>tiek pārkāpts pievienotās vērtības nodokļa neitralitātes princips</w:t>
      </w:r>
      <w:r w:rsidR="00F54146">
        <w:rPr>
          <w:kern w:val="2"/>
          <w:szCs w:val="24"/>
          <w:lang w:bidi="hi-IN"/>
        </w:rPr>
        <w:t xml:space="preserve">. </w:t>
      </w:r>
      <w:r w:rsidR="00E1073C">
        <w:rPr>
          <w:kern w:val="2"/>
          <w:szCs w:val="24"/>
          <w:lang w:bidi="hi-IN"/>
        </w:rPr>
        <w:t>Minētais attiecināms arī uz citas dalībvalsts nodokļa maksātāja atmaksas tiesībām, k</w:t>
      </w:r>
      <w:r w:rsidR="00E376EF">
        <w:rPr>
          <w:kern w:val="2"/>
          <w:szCs w:val="24"/>
          <w:lang w:bidi="hi-IN"/>
        </w:rPr>
        <w:t xml:space="preserve">o regulē </w:t>
      </w:r>
      <w:r w:rsidR="00F54146">
        <w:rPr>
          <w:kern w:val="2"/>
          <w:szCs w:val="24"/>
          <w:lang w:bidi="hi-IN"/>
        </w:rPr>
        <w:t>Pievienotās vērtības nodokļa atmaksas</w:t>
      </w:r>
      <w:r w:rsidR="00E376EF">
        <w:rPr>
          <w:kern w:val="2"/>
          <w:szCs w:val="24"/>
          <w:lang w:bidi="hi-IN"/>
        </w:rPr>
        <w:t xml:space="preserve"> direktīva, kuras</w:t>
      </w:r>
      <w:r w:rsidR="00F54146">
        <w:rPr>
          <w:kern w:val="2"/>
          <w:szCs w:val="24"/>
          <w:lang w:bidi="hi-IN"/>
        </w:rPr>
        <w:t xml:space="preserve"> mērķis ir ļaut </w:t>
      </w:r>
      <w:r w:rsidR="00F54146">
        <w:t>nodokļa maksātājam, kas uzņēmējdarbību veic kādā dalībvalstī, saņemt priekšnodokļa atmaksu, ja gadījumā, kad atmaksāšanas dalībvalstī nav faktiski veikti ar nodokli apliekami darījumi, tas šo priekšnodoklī samaksāto pievienotās vērtības nodokli nevar atskaitīt no maksājamā pievienotās vērtības nodokļa (</w:t>
      </w:r>
      <w:r w:rsidR="00F54146">
        <w:rPr>
          <w:i/>
        </w:rPr>
        <w:t xml:space="preserve">sprieduma lietā </w:t>
      </w:r>
      <w:r w:rsidR="00173BC4" w:rsidRPr="00173BC4">
        <w:rPr>
          <w:i/>
          <w:iCs/>
        </w:rPr>
        <w:t>CHEP Equipment Pooling NV</w:t>
      </w:r>
      <w:r w:rsidR="00F54146">
        <w:rPr>
          <w:i/>
        </w:rPr>
        <w:t xml:space="preserve"> 58.punkts</w:t>
      </w:r>
      <w:r w:rsidR="00F54146">
        <w:t>).</w:t>
      </w:r>
    </w:p>
    <w:p w14:paraId="243C5276" w14:textId="4F7A7E49" w:rsidR="004A15C7" w:rsidRDefault="001B16DB" w:rsidP="00E80A61">
      <w:pPr>
        <w:ind w:firstLine="567"/>
        <w:contextualSpacing/>
      </w:pPr>
      <w:r>
        <w:t xml:space="preserve">Līdz ar to </w:t>
      </w:r>
      <w:r w:rsidR="004A15C7">
        <w:t>apgabaltiesai</w:t>
      </w:r>
      <w:r>
        <w:t>, izskatot lietu pēc būtības un vērtējot Ministru kabineta noteikumu 34.2.3.apakšpunkta piemērošanu konkrētajos faktiskajos apstākļos un to atbilstību pārnacionālo tiesību normām, ir</w:t>
      </w:r>
      <w:r w:rsidR="004A15C7">
        <w:t xml:space="preserve"> jāpārbauda, vai</w:t>
      </w:r>
      <w:r w:rsidR="007253C5">
        <w:t xml:space="preserve"> </w:t>
      </w:r>
      <w:r>
        <w:t>netiek pārkāpts pi</w:t>
      </w:r>
      <w:r w:rsidR="004A15C7">
        <w:t>evienotās vērtības nodokļa neitralitātes princips un vai pieteicējai n</w:t>
      </w:r>
      <w:r>
        <w:t xml:space="preserve">etiek </w:t>
      </w:r>
      <w:r w:rsidR="004A15C7">
        <w:t xml:space="preserve">uzlikts pārmērīgs </w:t>
      </w:r>
      <w:r w:rsidR="004A15C7">
        <w:rPr>
          <w:kern w:val="2"/>
          <w:szCs w:val="24"/>
          <w:lang w:bidi="hi-IN"/>
        </w:rPr>
        <w:t xml:space="preserve">ekonomiskais slogs. </w:t>
      </w:r>
    </w:p>
    <w:p w14:paraId="6026AABA" w14:textId="393450E9" w:rsidR="003331B8" w:rsidRDefault="003331B8" w:rsidP="00E80A61">
      <w:pPr>
        <w:spacing w:after="0"/>
        <w:ind w:firstLine="567"/>
        <w:contextualSpacing/>
        <w:rPr>
          <w:rFonts w:cs="Times New Roman"/>
          <w:szCs w:val="24"/>
        </w:rPr>
      </w:pPr>
    </w:p>
    <w:p w14:paraId="4220E238" w14:textId="36CC377C" w:rsidR="00AC554F" w:rsidRDefault="00D2081B" w:rsidP="00E80A61">
      <w:pPr>
        <w:spacing w:after="0"/>
        <w:ind w:firstLine="567"/>
        <w:contextualSpacing/>
      </w:pPr>
      <w:r>
        <w:rPr>
          <w:rFonts w:cs="Times New Roman"/>
          <w:szCs w:val="24"/>
        </w:rPr>
        <w:t>[</w:t>
      </w:r>
      <w:r w:rsidR="006C50C9">
        <w:rPr>
          <w:rFonts w:cs="Times New Roman"/>
          <w:szCs w:val="24"/>
        </w:rPr>
        <w:t>1</w:t>
      </w:r>
      <w:r w:rsidR="00E376EF">
        <w:rPr>
          <w:rFonts w:cs="Times New Roman"/>
          <w:szCs w:val="24"/>
        </w:rPr>
        <w:t>5</w:t>
      </w:r>
      <w:r>
        <w:rPr>
          <w:rFonts w:cs="Times New Roman"/>
          <w:szCs w:val="24"/>
        </w:rPr>
        <w:t>]</w:t>
      </w:r>
      <w:r w:rsidR="003471DE">
        <w:rPr>
          <w:rFonts w:cs="Times New Roman"/>
          <w:szCs w:val="24"/>
        </w:rPr>
        <w:t xml:space="preserve"> Ņemot vērā iepriekš minēto, </w:t>
      </w:r>
      <w:r>
        <w:t xml:space="preserve">Senāts atzīst, </w:t>
      </w:r>
      <w:r w:rsidR="00D222F4">
        <w:t>ka</w:t>
      </w:r>
      <w:r w:rsidR="00AC554F">
        <w:t xml:space="preserve"> apgabaltiesas spriedums ir atceļams un lieta nosūtāma jaunai izskatīšanai Administratīvajai apgabaltiesai.</w:t>
      </w:r>
    </w:p>
    <w:p w14:paraId="68E9E6E3" w14:textId="77777777" w:rsidR="00D2081B" w:rsidRDefault="00D2081B" w:rsidP="00E80A61">
      <w:pPr>
        <w:spacing w:after="0"/>
        <w:ind w:firstLine="567"/>
        <w:contextualSpacing/>
      </w:pPr>
    </w:p>
    <w:p w14:paraId="704B73B8" w14:textId="77777777" w:rsidR="00D2081B" w:rsidRPr="00270CCE" w:rsidRDefault="00D2081B" w:rsidP="00E80A61">
      <w:pPr>
        <w:spacing w:after="0"/>
        <w:contextualSpacing/>
        <w:jc w:val="center"/>
        <w:rPr>
          <w:b/>
        </w:rPr>
      </w:pPr>
      <w:r w:rsidRPr="00270CCE">
        <w:rPr>
          <w:b/>
        </w:rPr>
        <w:t>Rezolutīvā daļa</w:t>
      </w:r>
    </w:p>
    <w:p w14:paraId="19A35135" w14:textId="77777777" w:rsidR="00D2081B" w:rsidRPr="00270CCE" w:rsidRDefault="00D2081B" w:rsidP="00E80A61">
      <w:pPr>
        <w:spacing w:after="0"/>
        <w:ind w:firstLine="567"/>
        <w:contextualSpacing/>
        <w:rPr>
          <w:bCs/>
          <w:spacing w:val="70"/>
        </w:rPr>
      </w:pPr>
    </w:p>
    <w:p w14:paraId="296F1F5E" w14:textId="28F467EB" w:rsidR="00D2081B" w:rsidRDefault="00D2081B" w:rsidP="00E80A61">
      <w:pPr>
        <w:spacing w:after="0"/>
        <w:ind w:firstLine="567"/>
        <w:contextualSpacing/>
      </w:pPr>
      <w:r w:rsidRPr="00270CCE">
        <w:t xml:space="preserve">Pamatojoties uz Administratīvā procesa likuma </w:t>
      </w:r>
      <w:r w:rsidR="00AC554F">
        <w:t>129.</w:t>
      </w:r>
      <w:r w:rsidR="00AC554F" w:rsidRPr="00D67059">
        <w:rPr>
          <w:vertAlign w:val="superscript"/>
        </w:rPr>
        <w:t>1</w:t>
      </w:r>
      <w:r w:rsidR="00AC554F">
        <w:t>panta pirmās daļas 1.punktu,</w:t>
      </w:r>
      <w:r w:rsidR="00AC554F" w:rsidRPr="00270CCE">
        <w:t xml:space="preserve"> </w:t>
      </w:r>
      <w:r w:rsidRPr="00270CCE">
        <w:t xml:space="preserve">348.panta pirmās daļas </w:t>
      </w:r>
      <w:r>
        <w:t>2</w:t>
      </w:r>
      <w:r w:rsidRPr="00270CCE">
        <w:t>.punktu un 351.pantu, Senāts</w:t>
      </w:r>
    </w:p>
    <w:p w14:paraId="43435ACB" w14:textId="77777777" w:rsidR="00D222F4" w:rsidRPr="00270CCE" w:rsidRDefault="00D222F4" w:rsidP="00E80A61">
      <w:pPr>
        <w:spacing w:after="0"/>
        <w:ind w:firstLine="567"/>
        <w:contextualSpacing/>
      </w:pPr>
    </w:p>
    <w:p w14:paraId="27132D12" w14:textId="77777777" w:rsidR="00D2081B" w:rsidRPr="00270CCE" w:rsidRDefault="00D2081B" w:rsidP="00E80A61">
      <w:pPr>
        <w:tabs>
          <w:tab w:val="left" w:pos="2700"/>
          <w:tab w:val="left" w:pos="6660"/>
        </w:tabs>
        <w:spacing w:after="0"/>
        <w:contextualSpacing/>
        <w:jc w:val="center"/>
        <w:rPr>
          <w:b/>
        </w:rPr>
      </w:pPr>
      <w:r w:rsidRPr="00270CCE">
        <w:rPr>
          <w:b/>
        </w:rPr>
        <w:t>nosprieda</w:t>
      </w:r>
    </w:p>
    <w:p w14:paraId="25B4CFCD" w14:textId="77777777" w:rsidR="00D2081B" w:rsidRPr="00270CCE" w:rsidRDefault="00D2081B" w:rsidP="00E80A61">
      <w:pPr>
        <w:tabs>
          <w:tab w:val="left" w:pos="2700"/>
          <w:tab w:val="left" w:pos="6660"/>
        </w:tabs>
        <w:spacing w:after="0"/>
        <w:ind w:firstLine="567"/>
        <w:contextualSpacing/>
        <w:jc w:val="center"/>
        <w:rPr>
          <w:b/>
          <w:bCs/>
          <w:spacing w:val="70"/>
        </w:rPr>
      </w:pPr>
    </w:p>
    <w:p w14:paraId="2494B128" w14:textId="0B0120AE" w:rsidR="00D2081B" w:rsidRPr="00270CCE" w:rsidRDefault="00AC554F" w:rsidP="00E80A61">
      <w:pPr>
        <w:spacing w:after="0"/>
        <w:ind w:firstLine="567"/>
        <w:contextualSpacing/>
      </w:pPr>
      <w:r>
        <w:t>A</w:t>
      </w:r>
      <w:r w:rsidR="00D2081B">
        <w:t>tcelt</w:t>
      </w:r>
      <w:r w:rsidR="00D2081B" w:rsidRPr="00270CCE">
        <w:t xml:space="preserve"> Administratīvās apgabaltiesas </w:t>
      </w:r>
      <w:r w:rsidR="00D2081B" w:rsidRPr="001E31BD">
        <w:rPr>
          <w:rFonts w:eastAsia="Times New Roman" w:cs="Times New Roman"/>
          <w:color w:val="000000"/>
          <w:szCs w:val="24"/>
          <w:lang w:eastAsia="lv-LV"/>
        </w:rPr>
        <w:t>20</w:t>
      </w:r>
      <w:r w:rsidR="00D2081B">
        <w:rPr>
          <w:rFonts w:eastAsia="Times New Roman" w:cs="Times New Roman"/>
          <w:color w:val="000000"/>
          <w:szCs w:val="24"/>
          <w:lang w:eastAsia="lv-LV"/>
        </w:rPr>
        <w:t>19</w:t>
      </w:r>
      <w:r w:rsidR="00D2081B" w:rsidRPr="001E31BD">
        <w:rPr>
          <w:rFonts w:eastAsia="Times New Roman" w:cs="Times New Roman"/>
          <w:color w:val="000000"/>
          <w:szCs w:val="24"/>
          <w:lang w:eastAsia="lv-LV"/>
        </w:rPr>
        <w:t xml:space="preserve">.gada </w:t>
      </w:r>
      <w:r w:rsidR="00D2081B">
        <w:rPr>
          <w:rFonts w:eastAsia="Times New Roman" w:cs="Times New Roman"/>
          <w:color w:val="000000"/>
          <w:szCs w:val="24"/>
          <w:lang w:eastAsia="lv-LV"/>
        </w:rPr>
        <w:t>11.aprīļa</w:t>
      </w:r>
      <w:r w:rsidR="00D2081B" w:rsidRPr="001E31BD">
        <w:rPr>
          <w:rFonts w:eastAsia="Times New Roman" w:cs="Times New Roman"/>
          <w:color w:val="000000"/>
          <w:szCs w:val="24"/>
          <w:lang w:eastAsia="lv-LV"/>
        </w:rPr>
        <w:t xml:space="preserve"> spriedumu</w:t>
      </w:r>
      <w:r w:rsidR="00D2081B">
        <w:rPr>
          <w:rFonts w:eastAsia="Times New Roman" w:cs="Times New Roman"/>
          <w:color w:val="000000"/>
          <w:szCs w:val="24"/>
          <w:lang w:eastAsia="lv-LV"/>
        </w:rPr>
        <w:t xml:space="preserve"> </w:t>
      </w:r>
      <w:r w:rsidR="00D2081B">
        <w:t>un nosūtīt lietu jaunai izskatīšanai Administratīvajai apgabaltiesai</w:t>
      </w:r>
      <w:r>
        <w:t>.</w:t>
      </w:r>
    </w:p>
    <w:p w14:paraId="775D2285" w14:textId="31D55112" w:rsidR="00D2081B" w:rsidRDefault="00AC554F" w:rsidP="00E80A61">
      <w:pPr>
        <w:spacing w:after="0"/>
        <w:ind w:firstLine="567"/>
        <w:contextualSpacing/>
      </w:pPr>
      <w:r>
        <w:t>A</w:t>
      </w:r>
      <w:r w:rsidR="00D2081B">
        <w:t xml:space="preserve">tmaksāt </w:t>
      </w:r>
      <w:r w:rsidR="007B2116">
        <w:t xml:space="preserve">Lietuvas komercsabiedrībai </w:t>
      </w:r>
      <w:r w:rsidR="00D2081B">
        <w:t>UAB</w:t>
      </w:r>
      <w:r>
        <w:t> „</w:t>
      </w:r>
      <w:r w:rsidR="00D2081B">
        <w:t>Baltic Engineers</w:t>
      </w:r>
      <w:r>
        <w:t>”</w:t>
      </w:r>
      <w:r w:rsidR="00D2081B">
        <w:t xml:space="preserve"> samaksāto drošības nau</w:t>
      </w:r>
      <w:r w:rsidR="00D2081B" w:rsidRPr="00450D0B">
        <w:t xml:space="preserve">du 70 </w:t>
      </w:r>
      <w:r w:rsidR="00D2081B" w:rsidRPr="00450D0B">
        <w:rPr>
          <w:i/>
        </w:rPr>
        <w:t>euro</w:t>
      </w:r>
      <w:r w:rsidR="00D2081B" w:rsidRPr="00450D0B">
        <w:t>.</w:t>
      </w:r>
    </w:p>
    <w:p w14:paraId="786450DA" w14:textId="5A5BFC41" w:rsidR="005A3908" w:rsidRDefault="00D2081B" w:rsidP="00E80A61">
      <w:pPr>
        <w:spacing w:after="0"/>
        <w:ind w:firstLine="567"/>
        <w:contextualSpacing/>
      </w:pPr>
      <w:r w:rsidRPr="00450D0B">
        <w:t>Spriedums nav pārsūdzams.</w:t>
      </w:r>
    </w:p>
    <w:sectPr w:rsidR="005A3908" w:rsidSect="00034364">
      <w:footerReference w:type="default" r:id="rId9"/>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16CBB" w14:textId="77777777" w:rsidR="00DE59C9" w:rsidRDefault="00DE59C9" w:rsidP="00034364">
      <w:pPr>
        <w:spacing w:after="0" w:line="240" w:lineRule="auto"/>
      </w:pPr>
      <w:r>
        <w:separator/>
      </w:r>
    </w:p>
  </w:endnote>
  <w:endnote w:type="continuationSeparator" w:id="0">
    <w:p w14:paraId="073059F1" w14:textId="77777777" w:rsidR="00DE59C9" w:rsidRDefault="00DE59C9" w:rsidP="00034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6911625"/>
      <w:docPartObj>
        <w:docPartGallery w:val="Page Numbers (Bottom of Page)"/>
        <w:docPartUnique/>
      </w:docPartObj>
    </w:sdtPr>
    <w:sdtEndPr>
      <w:rPr>
        <w:noProof/>
      </w:rPr>
    </w:sdtEndPr>
    <w:sdtContent>
      <w:p w14:paraId="27012888" w14:textId="38BA09E6" w:rsidR="00034364" w:rsidRDefault="00034364">
        <w:pPr>
          <w:pStyle w:val="Footer"/>
          <w:jc w:val="center"/>
        </w:pPr>
        <w:r>
          <w:fldChar w:fldCharType="begin"/>
        </w:r>
        <w:r>
          <w:instrText xml:space="preserve"> PAGE   \* MERGEFORMAT </w:instrText>
        </w:r>
        <w:r>
          <w:fldChar w:fldCharType="separate"/>
        </w:r>
        <w:r w:rsidR="00A46671">
          <w:rPr>
            <w:noProof/>
          </w:rPr>
          <w:t>10</w:t>
        </w:r>
        <w:r>
          <w:rPr>
            <w:noProof/>
          </w:rPr>
          <w:fldChar w:fldCharType="end"/>
        </w:r>
        <w:r w:rsidR="00046825">
          <w:rPr>
            <w:noProof/>
          </w:rPr>
          <w:t xml:space="preserve"> no 9</w:t>
        </w:r>
      </w:p>
    </w:sdtContent>
  </w:sdt>
  <w:p w14:paraId="16167634" w14:textId="76C16DAC" w:rsidR="00034364" w:rsidRDefault="00034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E9D5B" w14:textId="77777777" w:rsidR="00DE59C9" w:rsidRDefault="00DE59C9" w:rsidP="00034364">
      <w:pPr>
        <w:spacing w:after="0" w:line="240" w:lineRule="auto"/>
      </w:pPr>
      <w:r>
        <w:separator/>
      </w:r>
    </w:p>
  </w:footnote>
  <w:footnote w:type="continuationSeparator" w:id="0">
    <w:p w14:paraId="0219421F" w14:textId="77777777" w:rsidR="00DE59C9" w:rsidRDefault="00DE59C9" w:rsidP="000343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3413B"/>
    <w:multiLevelType w:val="hybridMultilevel"/>
    <w:tmpl w:val="8D9C1B8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1A4C3D"/>
    <w:multiLevelType w:val="hybridMultilevel"/>
    <w:tmpl w:val="E5FC7478"/>
    <w:lvl w:ilvl="0" w:tplc="260AC2A6">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439C024B"/>
    <w:multiLevelType w:val="hybridMultilevel"/>
    <w:tmpl w:val="3B023CC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69F7826"/>
    <w:multiLevelType w:val="hybridMultilevel"/>
    <w:tmpl w:val="E86C15C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6042CB2"/>
    <w:multiLevelType w:val="hybridMultilevel"/>
    <w:tmpl w:val="942A8532"/>
    <w:lvl w:ilvl="0" w:tplc="FFFFFFFF">
      <w:start w:val="1"/>
      <w:numFmt w:val="decimal"/>
      <w:lvlText w:val="%1)"/>
      <w:lvlJc w:val="left"/>
      <w:pPr>
        <w:ind w:left="1069" w:hanging="360"/>
      </w:pPr>
      <w:rPr>
        <w:rFonts w:eastAsia="Calibri" w:hint="default"/>
        <w:color w:val="auto"/>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5CA16744"/>
    <w:multiLevelType w:val="hybridMultilevel"/>
    <w:tmpl w:val="A7D2BFF0"/>
    <w:lvl w:ilvl="0" w:tplc="54F0E012">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B5C"/>
    <w:rsid w:val="000039AC"/>
    <w:rsid w:val="000128D8"/>
    <w:rsid w:val="000248E0"/>
    <w:rsid w:val="00034364"/>
    <w:rsid w:val="00046825"/>
    <w:rsid w:val="00051270"/>
    <w:rsid w:val="000561EC"/>
    <w:rsid w:val="00056C31"/>
    <w:rsid w:val="00066943"/>
    <w:rsid w:val="00074759"/>
    <w:rsid w:val="00083F46"/>
    <w:rsid w:val="00085637"/>
    <w:rsid w:val="000A6651"/>
    <w:rsid w:val="000B64C0"/>
    <w:rsid w:val="000C07F1"/>
    <w:rsid w:val="000D442E"/>
    <w:rsid w:val="000E03D5"/>
    <w:rsid w:val="000E7BBE"/>
    <w:rsid w:val="000F7329"/>
    <w:rsid w:val="0010325F"/>
    <w:rsid w:val="00114577"/>
    <w:rsid w:val="001350D5"/>
    <w:rsid w:val="00151CEA"/>
    <w:rsid w:val="0015596F"/>
    <w:rsid w:val="00157C2C"/>
    <w:rsid w:val="001629F8"/>
    <w:rsid w:val="00162CA4"/>
    <w:rsid w:val="00165416"/>
    <w:rsid w:val="00171B17"/>
    <w:rsid w:val="00173BC4"/>
    <w:rsid w:val="00174A6C"/>
    <w:rsid w:val="001756EE"/>
    <w:rsid w:val="00182B25"/>
    <w:rsid w:val="001865DD"/>
    <w:rsid w:val="001A0CCC"/>
    <w:rsid w:val="001A2921"/>
    <w:rsid w:val="001A30FB"/>
    <w:rsid w:val="001A3D17"/>
    <w:rsid w:val="001A6324"/>
    <w:rsid w:val="001B16DB"/>
    <w:rsid w:val="001B4B09"/>
    <w:rsid w:val="001C038F"/>
    <w:rsid w:val="001E1EA6"/>
    <w:rsid w:val="001E7A29"/>
    <w:rsid w:val="001F083B"/>
    <w:rsid w:val="001F17AD"/>
    <w:rsid w:val="002030E2"/>
    <w:rsid w:val="002054E9"/>
    <w:rsid w:val="00205A42"/>
    <w:rsid w:val="002305D0"/>
    <w:rsid w:val="002345C8"/>
    <w:rsid w:val="00237447"/>
    <w:rsid w:val="00244CC5"/>
    <w:rsid w:val="00252404"/>
    <w:rsid w:val="002529E8"/>
    <w:rsid w:val="002536FF"/>
    <w:rsid w:val="00262C69"/>
    <w:rsid w:val="002832BD"/>
    <w:rsid w:val="00295113"/>
    <w:rsid w:val="002A6BE7"/>
    <w:rsid w:val="002A6D15"/>
    <w:rsid w:val="002B42B3"/>
    <w:rsid w:val="002C44DB"/>
    <w:rsid w:val="002E4604"/>
    <w:rsid w:val="002E648E"/>
    <w:rsid w:val="002E70B2"/>
    <w:rsid w:val="00310EF1"/>
    <w:rsid w:val="0031471D"/>
    <w:rsid w:val="00320309"/>
    <w:rsid w:val="003238CE"/>
    <w:rsid w:val="00327253"/>
    <w:rsid w:val="003331B8"/>
    <w:rsid w:val="00334395"/>
    <w:rsid w:val="003350E8"/>
    <w:rsid w:val="0034153C"/>
    <w:rsid w:val="00342C5B"/>
    <w:rsid w:val="003471DE"/>
    <w:rsid w:val="00354F70"/>
    <w:rsid w:val="003564BE"/>
    <w:rsid w:val="00357D97"/>
    <w:rsid w:val="003670AC"/>
    <w:rsid w:val="00377B5C"/>
    <w:rsid w:val="003A4647"/>
    <w:rsid w:val="003A4E7B"/>
    <w:rsid w:val="003A61F9"/>
    <w:rsid w:val="003A683A"/>
    <w:rsid w:val="003A75B1"/>
    <w:rsid w:val="003B50DB"/>
    <w:rsid w:val="003B7485"/>
    <w:rsid w:val="003C0982"/>
    <w:rsid w:val="003D47BC"/>
    <w:rsid w:val="003E1ACF"/>
    <w:rsid w:val="003E776E"/>
    <w:rsid w:val="003F2A2F"/>
    <w:rsid w:val="00405B61"/>
    <w:rsid w:val="00417EFA"/>
    <w:rsid w:val="00452D72"/>
    <w:rsid w:val="004663E5"/>
    <w:rsid w:val="00470319"/>
    <w:rsid w:val="004755F3"/>
    <w:rsid w:val="004853C1"/>
    <w:rsid w:val="00485895"/>
    <w:rsid w:val="004A15C7"/>
    <w:rsid w:val="004B5911"/>
    <w:rsid w:val="004C4771"/>
    <w:rsid w:val="004C5FF5"/>
    <w:rsid w:val="004E1B48"/>
    <w:rsid w:val="004E3D9B"/>
    <w:rsid w:val="004F18DE"/>
    <w:rsid w:val="00503645"/>
    <w:rsid w:val="0051300D"/>
    <w:rsid w:val="00513D78"/>
    <w:rsid w:val="00517025"/>
    <w:rsid w:val="00523537"/>
    <w:rsid w:val="0054032F"/>
    <w:rsid w:val="00543611"/>
    <w:rsid w:val="0055015F"/>
    <w:rsid w:val="00551023"/>
    <w:rsid w:val="0055227C"/>
    <w:rsid w:val="00563960"/>
    <w:rsid w:val="00565B8D"/>
    <w:rsid w:val="00570220"/>
    <w:rsid w:val="00573724"/>
    <w:rsid w:val="00576C6D"/>
    <w:rsid w:val="00594502"/>
    <w:rsid w:val="005A0535"/>
    <w:rsid w:val="005A3908"/>
    <w:rsid w:val="005A3AAC"/>
    <w:rsid w:val="005D387E"/>
    <w:rsid w:val="005E168C"/>
    <w:rsid w:val="005E5203"/>
    <w:rsid w:val="00616DE1"/>
    <w:rsid w:val="00621526"/>
    <w:rsid w:val="0065751A"/>
    <w:rsid w:val="006628C6"/>
    <w:rsid w:val="006671D9"/>
    <w:rsid w:val="00683C86"/>
    <w:rsid w:val="00684626"/>
    <w:rsid w:val="006933E6"/>
    <w:rsid w:val="00695192"/>
    <w:rsid w:val="006968D2"/>
    <w:rsid w:val="006A2A41"/>
    <w:rsid w:val="006B27C0"/>
    <w:rsid w:val="006C03A7"/>
    <w:rsid w:val="006C50C9"/>
    <w:rsid w:val="006D114F"/>
    <w:rsid w:val="006D2D03"/>
    <w:rsid w:val="006E030C"/>
    <w:rsid w:val="006E563C"/>
    <w:rsid w:val="006F7260"/>
    <w:rsid w:val="0070666F"/>
    <w:rsid w:val="007164B4"/>
    <w:rsid w:val="007253C5"/>
    <w:rsid w:val="007270EB"/>
    <w:rsid w:val="00744F01"/>
    <w:rsid w:val="0074793A"/>
    <w:rsid w:val="00752C0E"/>
    <w:rsid w:val="00753B9F"/>
    <w:rsid w:val="00764019"/>
    <w:rsid w:val="00770E50"/>
    <w:rsid w:val="007761A3"/>
    <w:rsid w:val="007833D3"/>
    <w:rsid w:val="00784CE0"/>
    <w:rsid w:val="0079399A"/>
    <w:rsid w:val="007A0306"/>
    <w:rsid w:val="007B2116"/>
    <w:rsid w:val="007D1B54"/>
    <w:rsid w:val="007D464C"/>
    <w:rsid w:val="007D7886"/>
    <w:rsid w:val="007E4CF1"/>
    <w:rsid w:val="007E4D6A"/>
    <w:rsid w:val="00820397"/>
    <w:rsid w:val="00837F03"/>
    <w:rsid w:val="008532A4"/>
    <w:rsid w:val="0086046F"/>
    <w:rsid w:val="0086400D"/>
    <w:rsid w:val="00887FF7"/>
    <w:rsid w:val="0089091D"/>
    <w:rsid w:val="008917AC"/>
    <w:rsid w:val="008B27C4"/>
    <w:rsid w:val="008B4BEB"/>
    <w:rsid w:val="008C090C"/>
    <w:rsid w:val="008C335B"/>
    <w:rsid w:val="008D198F"/>
    <w:rsid w:val="008E0D9F"/>
    <w:rsid w:val="008E6F7F"/>
    <w:rsid w:val="008F6D76"/>
    <w:rsid w:val="00901B7A"/>
    <w:rsid w:val="00934975"/>
    <w:rsid w:val="00937EF5"/>
    <w:rsid w:val="0094144B"/>
    <w:rsid w:val="009435B9"/>
    <w:rsid w:val="009517EB"/>
    <w:rsid w:val="00953F91"/>
    <w:rsid w:val="00985332"/>
    <w:rsid w:val="0098718E"/>
    <w:rsid w:val="009938B1"/>
    <w:rsid w:val="009C07ED"/>
    <w:rsid w:val="009D012B"/>
    <w:rsid w:val="009D1EAB"/>
    <w:rsid w:val="009D5F31"/>
    <w:rsid w:val="009D7EF9"/>
    <w:rsid w:val="009E1749"/>
    <w:rsid w:val="009E2DAA"/>
    <w:rsid w:val="00A13C86"/>
    <w:rsid w:val="00A37106"/>
    <w:rsid w:val="00A46671"/>
    <w:rsid w:val="00A57401"/>
    <w:rsid w:val="00A67AB8"/>
    <w:rsid w:val="00A84103"/>
    <w:rsid w:val="00AB7F31"/>
    <w:rsid w:val="00AC0F68"/>
    <w:rsid w:val="00AC554F"/>
    <w:rsid w:val="00AE1F17"/>
    <w:rsid w:val="00AE37FB"/>
    <w:rsid w:val="00AE57AF"/>
    <w:rsid w:val="00AF6B2A"/>
    <w:rsid w:val="00B05B75"/>
    <w:rsid w:val="00B10262"/>
    <w:rsid w:val="00B14D83"/>
    <w:rsid w:val="00B17CE9"/>
    <w:rsid w:val="00B301A0"/>
    <w:rsid w:val="00B305F3"/>
    <w:rsid w:val="00B34945"/>
    <w:rsid w:val="00B41EBB"/>
    <w:rsid w:val="00B61D9F"/>
    <w:rsid w:val="00B63DF7"/>
    <w:rsid w:val="00B70B6B"/>
    <w:rsid w:val="00B862F5"/>
    <w:rsid w:val="00B869CD"/>
    <w:rsid w:val="00B86B02"/>
    <w:rsid w:val="00B9226A"/>
    <w:rsid w:val="00B93291"/>
    <w:rsid w:val="00BB0DDC"/>
    <w:rsid w:val="00BB3E6E"/>
    <w:rsid w:val="00BB41CC"/>
    <w:rsid w:val="00BC6E14"/>
    <w:rsid w:val="00BD090F"/>
    <w:rsid w:val="00BD3789"/>
    <w:rsid w:val="00BD7757"/>
    <w:rsid w:val="00BE1305"/>
    <w:rsid w:val="00BF3FA2"/>
    <w:rsid w:val="00BF5C03"/>
    <w:rsid w:val="00C0577F"/>
    <w:rsid w:val="00C1179C"/>
    <w:rsid w:val="00C17138"/>
    <w:rsid w:val="00C276CB"/>
    <w:rsid w:val="00C27D3C"/>
    <w:rsid w:val="00C417DC"/>
    <w:rsid w:val="00C46FDA"/>
    <w:rsid w:val="00C61FF3"/>
    <w:rsid w:val="00C645C8"/>
    <w:rsid w:val="00C80074"/>
    <w:rsid w:val="00C93513"/>
    <w:rsid w:val="00C959E3"/>
    <w:rsid w:val="00CB5941"/>
    <w:rsid w:val="00CC30DA"/>
    <w:rsid w:val="00CC4D8C"/>
    <w:rsid w:val="00CE0273"/>
    <w:rsid w:val="00CE10CA"/>
    <w:rsid w:val="00CF7B84"/>
    <w:rsid w:val="00D0068B"/>
    <w:rsid w:val="00D10FC5"/>
    <w:rsid w:val="00D2081B"/>
    <w:rsid w:val="00D222F4"/>
    <w:rsid w:val="00D23E85"/>
    <w:rsid w:val="00D256FF"/>
    <w:rsid w:val="00D33956"/>
    <w:rsid w:val="00D42E1B"/>
    <w:rsid w:val="00D43FFB"/>
    <w:rsid w:val="00D46F43"/>
    <w:rsid w:val="00D508FB"/>
    <w:rsid w:val="00D62D2A"/>
    <w:rsid w:val="00D63D64"/>
    <w:rsid w:val="00D83B9A"/>
    <w:rsid w:val="00D851EC"/>
    <w:rsid w:val="00D92207"/>
    <w:rsid w:val="00DB1C59"/>
    <w:rsid w:val="00DC0558"/>
    <w:rsid w:val="00DC56A1"/>
    <w:rsid w:val="00DD6C46"/>
    <w:rsid w:val="00DE3F18"/>
    <w:rsid w:val="00DE59C9"/>
    <w:rsid w:val="00DF2D97"/>
    <w:rsid w:val="00DF427F"/>
    <w:rsid w:val="00DF79A7"/>
    <w:rsid w:val="00E06EED"/>
    <w:rsid w:val="00E1073C"/>
    <w:rsid w:val="00E1415E"/>
    <w:rsid w:val="00E23F18"/>
    <w:rsid w:val="00E35885"/>
    <w:rsid w:val="00E376EF"/>
    <w:rsid w:val="00E46B9B"/>
    <w:rsid w:val="00E501C6"/>
    <w:rsid w:val="00E528DE"/>
    <w:rsid w:val="00E557DB"/>
    <w:rsid w:val="00E64256"/>
    <w:rsid w:val="00E728A7"/>
    <w:rsid w:val="00E80A61"/>
    <w:rsid w:val="00E81BA7"/>
    <w:rsid w:val="00EA17F3"/>
    <w:rsid w:val="00EA346C"/>
    <w:rsid w:val="00EB0BA2"/>
    <w:rsid w:val="00EB770A"/>
    <w:rsid w:val="00EC4177"/>
    <w:rsid w:val="00EC602D"/>
    <w:rsid w:val="00ED2158"/>
    <w:rsid w:val="00EE013D"/>
    <w:rsid w:val="00EE5B0F"/>
    <w:rsid w:val="00EF210B"/>
    <w:rsid w:val="00EF7CBF"/>
    <w:rsid w:val="00F2413D"/>
    <w:rsid w:val="00F25B6C"/>
    <w:rsid w:val="00F31A55"/>
    <w:rsid w:val="00F54146"/>
    <w:rsid w:val="00F63028"/>
    <w:rsid w:val="00F66115"/>
    <w:rsid w:val="00F71A17"/>
    <w:rsid w:val="00F74B46"/>
    <w:rsid w:val="00F80436"/>
    <w:rsid w:val="00F834A2"/>
    <w:rsid w:val="00F97A67"/>
    <w:rsid w:val="00FA1CE7"/>
    <w:rsid w:val="00FB0F98"/>
    <w:rsid w:val="00FE7A33"/>
    <w:rsid w:val="00FF4EB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25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EED"/>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7B5C"/>
    <w:pPr>
      <w:spacing w:after="0" w:line="240" w:lineRule="auto"/>
      <w:jc w:val="left"/>
    </w:pPr>
    <w:rPr>
      <w:rFonts w:eastAsia="Times New Roman" w:cs="Times New Roman"/>
      <w:szCs w:val="24"/>
      <w:lang w:eastAsia="lv-LV"/>
    </w:rPr>
  </w:style>
  <w:style w:type="character" w:styleId="Hyperlink">
    <w:name w:val="Hyperlink"/>
    <w:basedOn w:val="DefaultParagraphFont"/>
    <w:uiPriority w:val="99"/>
    <w:unhideWhenUsed/>
    <w:rsid w:val="00C417DC"/>
    <w:rPr>
      <w:color w:val="0000FF" w:themeColor="hyperlink"/>
      <w:u w:val="single"/>
    </w:rPr>
  </w:style>
  <w:style w:type="paragraph" w:customStyle="1" w:styleId="tv213">
    <w:name w:val="tv213"/>
    <w:basedOn w:val="Normal"/>
    <w:rsid w:val="00C417DC"/>
    <w:pPr>
      <w:spacing w:before="100" w:beforeAutospacing="1" w:after="100" w:afterAutospacing="1" w:line="240" w:lineRule="auto"/>
      <w:jc w:val="left"/>
    </w:pPr>
    <w:rPr>
      <w:rFonts w:eastAsia="Times New Roman" w:cs="Times New Roman"/>
      <w:szCs w:val="24"/>
      <w:lang w:eastAsia="lv-LV"/>
    </w:rPr>
  </w:style>
  <w:style w:type="paragraph" w:styleId="BodyText2">
    <w:name w:val="Body Text 2"/>
    <w:basedOn w:val="Normal"/>
    <w:link w:val="BodyText2Char"/>
    <w:rsid w:val="00576C6D"/>
    <w:pPr>
      <w:spacing w:after="120" w:line="480" w:lineRule="auto"/>
      <w:jc w:val="left"/>
    </w:pPr>
    <w:rPr>
      <w:rFonts w:eastAsia="Times New Roman" w:cs="Times New Roman"/>
      <w:szCs w:val="24"/>
      <w:lang w:val="x-none" w:eastAsia="ru-RU"/>
    </w:rPr>
  </w:style>
  <w:style w:type="character" w:customStyle="1" w:styleId="BodyText2Char">
    <w:name w:val="Body Text 2 Char"/>
    <w:basedOn w:val="DefaultParagraphFont"/>
    <w:link w:val="BodyText2"/>
    <w:rsid w:val="00576C6D"/>
    <w:rPr>
      <w:rFonts w:ascii="Times New Roman" w:eastAsia="Times New Roman" w:hAnsi="Times New Roman" w:cs="Times New Roman"/>
      <w:sz w:val="24"/>
      <w:szCs w:val="24"/>
      <w:lang w:val="x-none" w:eastAsia="ru-RU"/>
    </w:rPr>
  </w:style>
  <w:style w:type="paragraph" w:styleId="BalloonText">
    <w:name w:val="Balloon Text"/>
    <w:basedOn w:val="Normal"/>
    <w:link w:val="BalloonTextChar"/>
    <w:uiPriority w:val="99"/>
    <w:semiHidden/>
    <w:unhideWhenUsed/>
    <w:rsid w:val="00576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C6D"/>
    <w:rPr>
      <w:rFonts w:ascii="Tahoma" w:hAnsi="Tahoma" w:cs="Tahoma"/>
      <w:sz w:val="16"/>
      <w:szCs w:val="16"/>
    </w:rPr>
  </w:style>
  <w:style w:type="paragraph" w:styleId="ListParagraph">
    <w:name w:val="List Paragraph"/>
    <w:basedOn w:val="Normal"/>
    <w:uiPriority w:val="34"/>
    <w:qFormat/>
    <w:rsid w:val="00F80436"/>
    <w:pPr>
      <w:ind w:left="720"/>
      <w:contextualSpacing/>
    </w:pPr>
  </w:style>
  <w:style w:type="table" w:styleId="TableGrid">
    <w:name w:val="Table Grid"/>
    <w:basedOn w:val="TableNormal"/>
    <w:uiPriority w:val="39"/>
    <w:rsid w:val="00D20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503645"/>
    <w:pPr>
      <w:spacing w:before="100" w:beforeAutospacing="1" w:after="100" w:afterAutospacing="1" w:line="240" w:lineRule="auto"/>
      <w:jc w:val="left"/>
    </w:pPr>
    <w:rPr>
      <w:rFonts w:eastAsia="Times New Roman" w:cs="Times New Roman"/>
      <w:szCs w:val="24"/>
      <w:lang w:eastAsia="lv-LV"/>
    </w:rPr>
  </w:style>
  <w:style w:type="paragraph" w:styleId="Header">
    <w:name w:val="header"/>
    <w:basedOn w:val="Normal"/>
    <w:link w:val="HeaderChar"/>
    <w:uiPriority w:val="99"/>
    <w:unhideWhenUsed/>
    <w:rsid w:val="000343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364"/>
    <w:rPr>
      <w:rFonts w:ascii="Times New Roman" w:hAnsi="Times New Roman"/>
      <w:sz w:val="24"/>
    </w:rPr>
  </w:style>
  <w:style w:type="paragraph" w:styleId="Footer">
    <w:name w:val="footer"/>
    <w:basedOn w:val="Normal"/>
    <w:link w:val="FooterChar"/>
    <w:uiPriority w:val="99"/>
    <w:unhideWhenUsed/>
    <w:rsid w:val="000343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364"/>
    <w:rPr>
      <w:rFonts w:ascii="Times New Roman" w:hAnsi="Times New Roman"/>
      <w:sz w:val="24"/>
    </w:rPr>
  </w:style>
  <w:style w:type="paragraph" w:styleId="Revision">
    <w:name w:val="Revision"/>
    <w:hidden/>
    <w:uiPriority w:val="99"/>
    <w:semiHidden/>
    <w:rsid w:val="00DF2D97"/>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7D7886"/>
    <w:rPr>
      <w:sz w:val="16"/>
      <w:szCs w:val="16"/>
    </w:rPr>
  </w:style>
  <w:style w:type="paragraph" w:styleId="CommentText">
    <w:name w:val="annotation text"/>
    <w:basedOn w:val="Normal"/>
    <w:link w:val="CommentTextChar"/>
    <w:uiPriority w:val="99"/>
    <w:semiHidden/>
    <w:unhideWhenUsed/>
    <w:rsid w:val="007D7886"/>
    <w:pPr>
      <w:spacing w:line="240" w:lineRule="auto"/>
    </w:pPr>
    <w:rPr>
      <w:sz w:val="20"/>
      <w:szCs w:val="20"/>
    </w:rPr>
  </w:style>
  <w:style w:type="character" w:customStyle="1" w:styleId="CommentTextChar">
    <w:name w:val="Comment Text Char"/>
    <w:basedOn w:val="DefaultParagraphFont"/>
    <w:link w:val="CommentText"/>
    <w:uiPriority w:val="99"/>
    <w:semiHidden/>
    <w:rsid w:val="007D788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D7886"/>
    <w:rPr>
      <w:b/>
      <w:bCs/>
    </w:rPr>
  </w:style>
  <w:style w:type="character" w:customStyle="1" w:styleId="CommentSubjectChar">
    <w:name w:val="Comment Subject Char"/>
    <w:basedOn w:val="CommentTextChar"/>
    <w:link w:val="CommentSubject"/>
    <w:uiPriority w:val="99"/>
    <w:semiHidden/>
    <w:rsid w:val="007D7886"/>
    <w:rPr>
      <w:rFonts w:ascii="Times New Roman" w:hAnsi="Times New Roman"/>
      <w:b/>
      <w:bCs/>
      <w:sz w:val="20"/>
      <w:szCs w:val="20"/>
    </w:rPr>
  </w:style>
  <w:style w:type="character" w:customStyle="1" w:styleId="UnresolvedMention">
    <w:name w:val="Unresolved Mention"/>
    <w:basedOn w:val="DefaultParagraphFont"/>
    <w:uiPriority w:val="99"/>
    <w:semiHidden/>
    <w:unhideWhenUsed/>
    <w:rsid w:val="00657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333013">
      <w:bodyDiv w:val="1"/>
      <w:marLeft w:val="0"/>
      <w:marRight w:val="0"/>
      <w:marTop w:val="0"/>
      <w:marBottom w:val="0"/>
      <w:divBdr>
        <w:top w:val="none" w:sz="0" w:space="0" w:color="auto"/>
        <w:left w:val="none" w:sz="0" w:space="0" w:color="auto"/>
        <w:bottom w:val="none" w:sz="0" w:space="0" w:color="auto"/>
        <w:right w:val="none" w:sz="0" w:space="0" w:color="auto"/>
      </w:divBdr>
    </w:div>
    <w:div w:id="362366251">
      <w:bodyDiv w:val="1"/>
      <w:marLeft w:val="0"/>
      <w:marRight w:val="0"/>
      <w:marTop w:val="0"/>
      <w:marBottom w:val="0"/>
      <w:divBdr>
        <w:top w:val="none" w:sz="0" w:space="0" w:color="auto"/>
        <w:left w:val="none" w:sz="0" w:space="0" w:color="auto"/>
        <w:bottom w:val="none" w:sz="0" w:space="0" w:color="auto"/>
        <w:right w:val="none" w:sz="0" w:space="0" w:color="auto"/>
      </w:divBdr>
    </w:div>
    <w:div w:id="474882790">
      <w:bodyDiv w:val="1"/>
      <w:marLeft w:val="0"/>
      <w:marRight w:val="0"/>
      <w:marTop w:val="0"/>
      <w:marBottom w:val="0"/>
      <w:divBdr>
        <w:top w:val="none" w:sz="0" w:space="0" w:color="auto"/>
        <w:left w:val="none" w:sz="0" w:space="0" w:color="auto"/>
        <w:bottom w:val="none" w:sz="0" w:space="0" w:color="auto"/>
        <w:right w:val="none" w:sz="0" w:space="0" w:color="auto"/>
      </w:divBdr>
    </w:div>
    <w:div w:id="666594400">
      <w:bodyDiv w:val="1"/>
      <w:marLeft w:val="0"/>
      <w:marRight w:val="0"/>
      <w:marTop w:val="0"/>
      <w:marBottom w:val="0"/>
      <w:divBdr>
        <w:top w:val="none" w:sz="0" w:space="0" w:color="auto"/>
        <w:left w:val="none" w:sz="0" w:space="0" w:color="auto"/>
        <w:bottom w:val="none" w:sz="0" w:space="0" w:color="auto"/>
        <w:right w:val="none" w:sz="0" w:space="0" w:color="auto"/>
      </w:divBdr>
    </w:div>
    <w:div w:id="1508671386">
      <w:bodyDiv w:val="1"/>
      <w:marLeft w:val="0"/>
      <w:marRight w:val="0"/>
      <w:marTop w:val="0"/>
      <w:marBottom w:val="0"/>
      <w:divBdr>
        <w:top w:val="none" w:sz="0" w:space="0" w:color="auto"/>
        <w:left w:val="none" w:sz="0" w:space="0" w:color="auto"/>
        <w:bottom w:val="none" w:sz="0" w:space="0" w:color="auto"/>
        <w:right w:val="none" w:sz="0" w:space="0" w:color="auto"/>
      </w:divBdr>
    </w:div>
    <w:div w:id="1596935789">
      <w:bodyDiv w:val="1"/>
      <w:marLeft w:val="0"/>
      <w:marRight w:val="0"/>
      <w:marTop w:val="0"/>
      <w:marBottom w:val="0"/>
      <w:divBdr>
        <w:top w:val="none" w:sz="0" w:space="0" w:color="auto"/>
        <w:left w:val="none" w:sz="0" w:space="0" w:color="auto"/>
        <w:bottom w:val="none" w:sz="0" w:space="0" w:color="auto"/>
        <w:right w:val="none" w:sz="0" w:space="0" w:color="auto"/>
      </w:divBdr>
    </w:div>
    <w:div w:id="1605730118">
      <w:bodyDiv w:val="1"/>
      <w:marLeft w:val="0"/>
      <w:marRight w:val="0"/>
      <w:marTop w:val="0"/>
      <w:marBottom w:val="0"/>
      <w:divBdr>
        <w:top w:val="none" w:sz="0" w:space="0" w:color="auto"/>
        <w:left w:val="none" w:sz="0" w:space="0" w:color="auto"/>
        <w:bottom w:val="none" w:sz="0" w:space="0" w:color="auto"/>
        <w:right w:val="none" w:sz="0" w:space="0" w:color="auto"/>
      </w:divBdr>
    </w:div>
    <w:div w:id="1620140902">
      <w:bodyDiv w:val="1"/>
      <w:marLeft w:val="0"/>
      <w:marRight w:val="0"/>
      <w:marTop w:val="0"/>
      <w:marBottom w:val="0"/>
      <w:divBdr>
        <w:top w:val="none" w:sz="0" w:space="0" w:color="auto"/>
        <w:left w:val="none" w:sz="0" w:space="0" w:color="auto"/>
        <w:bottom w:val="none" w:sz="0" w:space="0" w:color="auto"/>
        <w:right w:val="none" w:sz="0" w:space="0" w:color="auto"/>
      </w:divBdr>
    </w:div>
    <w:div w:id="1715034291">
      <w:bodyDiv w:val="1"/>
      <w:marLeft w:val="0"/>
      <w:marRight w:val="0"/>
      <w:marTop w:val="0"/>
      <w:marBottom w:val="0"/>
      <w:divBdr>
        <w:top w:val="none" w:sz="0" w:space="0" w:color="auto"/>
        <w:left w:val="none" w:sz="0" w:space="0" w:color="auto"/>
        <w:bottom w:val="none" w:sz="0" w:space="0" w:color="auto"/>
        <w:right w:val="none" w:sz="0" w:space="0" w:color="auto"/>
      </w:divBdr>
    </w:div>
    <w:div w:id="171522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131.A420145218.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81FAB-DB44-437A-BF05-C5126ADE5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4761</Words>
  <Characters>27141</Characters>
  <Application>Microsoft Office Word</Application>
  <DocSecurity>0</DocSecurity>
  <Lines>226</Lines>
  <Paragraphs>63</Paragraphs>
  <ScaleCrop>false</ScaleCrop>
  <Company/>
  <LinksUpToDate>false</LinksUpToDate>
  <CharactersWithSpaces>31839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2022-06-13T16:55:00Z</dcterms:created>
  <dcterms:modified xsi:type="dcterms:W3CDTF">2022-06-13T16:56:00Z</dcterms:modified>
</cp:coreProperties>
</file>