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49A3" w14:textId="77777777" w:rsidR="005C18CE" w:rsidRDefault="005C18CE" w:rsidP="005C18CE">
      <w:pPr>
        <w:spacing w:after="0" w:line="276" w:lineRule="auto"/>
        <w:ind w:left="-284"/>
        <w:jc w:val="both"/>
        <w:rPr>
          <w:rFonts w:cs="Times New Roman"/>
          <w:b/>
          <w:bCs/>
          <w:szCs w:val="24"/>
          <w:u w:val="single"/>
        </w:rPr>
      </w:pPr>
      <w:r>
        <w:rPr>
          <w:b/>
          <w:bCs/>
        </w:rPr>
        <w:t>Korespondences noslēpuma tīša pārkāpšana, ko izdarījis žurnālists</w:t>
      </w:r>
    </w:p>
    <w:p w14:paraId="4541A37F" w14:textId="161574C4" w:rsidR="00E26D92" w:rsidRPr="005C18CE" w:rsidRDefault="005C18CE" w:rsidP="005C18CE">
      <w:pPr>
        <w:spacing w:after="0" w:line="276" w:lineRule="auto"/>
        <w:ind w:left="-284"/>
        <w:jc w:val="both"/>
        <w:rPr>
          <w:rFonts w:cs="Times New Roman"/>
          <w:b/>
          <w:bCs/>
          <w:szCs w:val="24"/>
          <w:u w:val="single"/>
        </w:rPr>
      </w:pPr>
      <w:r>
        <w:t xml:space="preserve">Lemjot par personas saukšanu pie kriminālatbildības par korespondences noslēpuma tīšu pārkāpšanu, privātās dzīves un korespondences neaizskaramības intereses līdzsvarojamas ar vārda brīvības interesēm. Ja par Krimināllikuma </w:t>
      </w:r>
      <w:proofErr w:type="gramStart"/>
      <w:r>
        <w:t>144.panta</w:t>
      </w:r>
      <w:proofErr w:type="gramEnd"/>
      <w:r>
        <w:t xml:space="preserve"> pirmajā daļā paredzētā noziedzīgā nodarījuma izdarīšanu tiek apsūdzēts žurnālists, kas publiskojis sabiedrībā zināma politiķa vai augstas valsts amatpersonas korespondenci, tiesai jāizvērtē, vai viņš nav rīkojies attaisnojama profesionālā riska apstākļos, kas izslēdz kriminālatbildību.</w:t>
      </w:r>
    </w:p>
    <w:p w14:paraId="289EB8A5" w14:textId="3EE54F27" w:rsidR="00E26D92" w:rsidRDefault="00E26D92" w:rsidP="005C18CE">
      <w:pPr>
        <w:spacing w:after="0" w:line="276" w:lineRule="auto"/>
      </w:pPr>
    </w:p>
    <w:p w14:paraId="3448E644" w14:textId="77777777" w:rsidR="005C18CE" w:rsidRPr="005C18CE" w:rsidRDefault="00E26D92" w:rsidP="00FC65D6">
      <w:pPr>
        <w:spacing w:after="0" w:line="276" w:lineRule="auto"/>
        <w:jc w:val="center"/>
        <w:rPr>
          <w:rFonts w:cs="Times New Roman"/>
          <w:b/>
          <w:szCs w:val="24"/>
        </w:rPr>
      </w:pPr>
      <w:r w:rsidRPr="005C18CE">
        <w:rPr>
          <w:rFonts w:cs="Times New Roman"/>
          <w:b/>
          <w:szCs w:val="24"/>
        </w:rPr>
        <w:t>Latvijas Republikas Senāt</w:t>
      </w:r>
      <w:r w:rsidR="005C18CE" w:rsidRPr="005C18CE">
        <w:rPr>
          <w:rFonts w:cs="Times New Roman"/>
          <w:b/>
          <w:szCs w:val="24"/>
        </w:rPr>
        <w:t xml:space="preserve">a </w:t>
      </w:r>
    </w:p>
    <w:p w14:paraId="7FEBB7C5" w14:textId="77777777" w:rsidR="005C18CE" w:rsidRPr="005C18CE" w:rsidRDefault="005C18CE" w:rsidP="00FC65D6">
      <w:pPr>
        <w:spacing w:after="0" w:line="276" w:lineRule="auto"/>
        <w:jc w:val="center"/>
        <w:rPr>
          <w:rFonts w:cs="Times New Roman"/>
          <w:b/>
          <w:szCs w:val="24"/>
        </w:rPr>
      </w:pPr>
      <w:r w:rsidRPr="005C18CE">
        <w:rPr>
          <w:rFonts w:cs="Times New Roman"/>
          <w:b/>
          <w:szCs w:val="24"/>
        </w:rPr>
        <w:t>Krimināllietu departamenta</w:t>
      </w:r>
    </w:p>
    <w:p w14:paraId="35D9F7B8" w14:textId="46605DF6" w:rsidR="00E26D92" w:rsidRPr="005C18CE" w:rsidRDefault="005C18CE" w:rsidP="00FC65D6">
      <w:pPr>
        <w:spacing w:after="0" w:line="276" w:lineRule="auto"/>
        <w:jc w:val="center"/>
        <w:rPr>
          <w:rFonts w:cs="Times New Roman"/>
          <w:b/>
          <w:szCs w:val="24"/>
        </w:rPr>
      </w:pPr>
      <w:proofErr w:type="gramStart"/>
      <w:r w:rsidRPr="005C18CE">
        <w:rPr>
          <w:rFonts w:cs="Times New Roman"/>
          <w:b/>
          <w:szCs w:val="24"/>
        </w:rPr>
        <w:t>2022.gada</w:t>
      </w:r>
      <w:proofErr w:type="gramEnd"/>
      <w:r w:rsidRPr="005C18CE">
        <w:rPr>
          <w:rFonts w:cs="Times New Roman"/>
          <w:b/>
          <w:szCs w:val="24"/>
        </w:rPr>
        <w:t xml:space="preserve"> </w:t>
      </w:r>
      <w:r w:rsidR="00B70A90">
        <w:rPr>
          <w:rFonts w:cs="Times New Roman"/>
          <w:b/>
          <w:szCs w:val="24"/>
        </w:rPr>
        <w:t>[..]</w:t>
      </w:r>
    </w:p>
    <w:p w14:paraId="06012537" w14:textId="3B114F32" w:rsidR="00E26D92" w:rsidRPr="005C18CE" w:rsidRDefault="00E26D92" w:rsidP="00FC65D6">
      <w:pPr>
        <w:spacing w:after="0" w:line="276" w:lineRule="auto"/>
        <w:jc w:val="center"/>
        <w:rPr>
          <w:rFonts w:cs="Times New Roman"/>
          <w:b/>
          <w:szCs w:val="24"/>
        </w:rPr>
      </w:pPr>
      <w:r w:rsidRPr="005C18CE">
        <w:rPr>
          <w:rFonts w:cs="Times New Roman"/>
          <w:b/>
          <w:szCs w:val="24"/>
        </w:rPr>
        <w:t>LĒMUMS</w:t>
      </w:r>
      <w:r w:rsidR="005C18CE" w:rsidRPr="005C18CE">
        <w:rPr>
          <w:rStyle w:val="FootnoteReference"/>
          <w:rFonts w:cs="Times New Roman"/>
          <w:b/>
          <w:szCs w:val="24"/>
        </w:rPr>
        <w:footnoteReference w:id="1"/>
      </w:r>
    </w:p>
    <w:p w14:paraId="74FD5A83" w14:textId="0E95DA1A" w:rsidR="00E26D92" w:rsidRPr="005C18CE" w:rsidRDefault="005C18CE" w:rsidP="00FC65D6">
      <w:pPr>
        <w:spacing w:after="0" w:line="276" w:lineRule="auto"/>
        <w:jc w:val="center"/>
        <w:rPr>
          <w:rFonts w:cs="Times New Roman"/>
          <w:b/>
          <w:szCs w:val="24"/>
        </w:rPr>
      </w:pPr>
      <w:r w:rsidRPr="005C18CE">
        <w:rPr>
          <w:rFonts w:cs="Times New Roman"/>
          <w:b/>
          <w:szCs w:val="24"/>
        </w:rPr>
        <w:t>Lieta Nr. </w:t>
      </w:r>
      <w:r w:rsidR="00B70A90">
        <w:rPr>
          <w:rFonts w:cs="Times New Roman"/>
          <w:b/>
          <w:szCs w:val="24"/>
        </w:rPr>
        <w:t>[..]</w:t>
      </w:r>
      <w:r w:rsidRPr="005C18CE">
        <w:rPr>
          <w:rFonts w:cs="Times New Roman"/>
          <w:b/>
          <w:szCs w:val="24"/>
        </w:rPr>
        <w:t>, SKK-</w:t>
      </w:r>
      <w:r w:rsidR="00B70A90">
        <w:rPr>
          <w:rFonts w:cs="Times New Roman"/>
          <w:b/>
          <w:szCs w:val="24"/>
        </w:rPr>
        <w:t>[B]</w:t>
      </w:r>
      <w:r w:rsidRPr="005C18CE">
        <w:rPr>
          <w:rFonts w:cs="Times New Roman"/>
          <w:b/>
          <w:szCs w:val="24"/>
        </w:rPr>
        <w:t>/2022</w:t>
      </w:r>
    </w:p>
    <w:p w14:paraId="38BAF13C" w14:textId="4B5C7437" w:rsidR="005C18CE" w:rsidRPr="005C18CE" w:rsidRDefault="005C18CE" w:rsidP="00FC65D6">
      <w:pPr>
        <w:spacing w:after="0" w:line="276" w:lineRule="auto"/>
        <w:jc w:val="center"/>
        <w:rPr>
          <w:rFonts w:cs="Times New Roman"/>
          <w:b/>
          <w:szCs w:val="24"/>
        </w:rPr>
      </w:pPr>
      <w:r w:rsidRPr="005C18CE">
        <w:rPr>
          <w:rFonts w:cs="Times New Roman"/>
          <w:color w:val="000000"/>
          <w:szCs w:val="24"/>
          <w:shd w:val="clear" w:color="auto" w:fill="FFFFFF"/>
        </w:rPr>
        <w:t>ECLI:LV:AT:2022:</w:t>
      </w:r>
      <w:r w:rsidR="00B70A90">
        <w:rPr>
          <w:rFonts w:cs="Times New Roman"/>
          <w:color w:val="000000"/>
          <w:szCs w:val="24"/>
          <w:shd w:val="clear" w:color="auto" w:fill="FFFFFF"/>
        </w:rPr>
        <w:t>[..]</w:t>
      </w:r>
    </w:p>
    <w:p w14:paraId="3386EA2D" w14:textId="59D2807C" w:rsidR="00E26D92" w:rsidRDefault="00E26D92" w:rsidP="00FC65D6">
      <w:pPr>
        <w:spacing w:after="0" w:line="276" w:lineRule="auto"/>
        <w:jc w:val="both"/>
      </w:pPr>
    </w:p>
    <w:p w14:paraId="06B92251" w14:textId="7535F399" w:rsidR="00E26D92" w:rsidRPr="003B4383" w:rsidRDefault="00E26D92" w:rsidP="00FC65D6">
      <w:pPr>
        <w:spacing w:after="0" w:line="276" w:lineRule="auto"/>
        <w:ind w:firstLine="709"/>
        <w:jc w:val="both"/>
      </w:pPr>
      <w:r w:rsidRPr="003B4383">
        <w:t>Tiesa šādā sastāvā: senatori Artūrs Freibergs</w:t>
      </w:r>
      <w:r>
        <w:rPr>
          <w:rFonts w:eastAsia="Calibri"/>
        </w:rPr>
        <w:t xml:space="preserve">, </w:t>
      </w:r>
      <w:r w:rsidR="000C78D4">
        <w:rPr>
          <w:rFonts w:eastAsia="Calibri"/>
        </w:rPr>
        <w:t>Aija Branta, Inguna Radzeviča</w:t>
      </w:r>
    </w:p>
    <w:p w14:paraId="0766425D" w14:textId="77777777" w:rsidR="00E26D92" w:rsidRPr="003B4383" w:rsidRDefault="00E26D92" w:rsidP="00FC65D6">
      <w:pPr>
        <w:spacing w:after="0" w:line="276" w:lineRule="auto"/>
        <w:ind w:firstLine="709"/>
        <w:jc w:val="both"/>
      </w:pPr>
    </w:p>
    <w:p w14:paraId="790CA174" w14:textId="6FBAE3AA" w:rsidR="00E26D92" w:rsidRDefault="00E26D92" w:rsidP="00FC65D6">
      <w:pPr>
        <w:spacing w:after="0" w:line="276" w:lineRule="auto"/>
        <w:ind w:firstLine="709"/>
        <w:jc w:val="both"/>
      </w:pPr>
      <w:r w:rsidRPr="003B4383">
        <w:t xml:space="preserve">izskatīja rakstveida procesā krimināllietu sakarā ar </w:t>
      </w:r>
      <w:r w:rsidR="00CE1F6D">
        <w:t xml:space="preserve">apsūdzētā </w:t>
      </w:r>
      <w:r w:rsidR="00B70A90">
        <w:t>[pers. A]</w:t>
      </w:r>
      <w:r w:rsidR="000C78D4">
        <w:t xml:space="preserve"> un viņa aizstāves Ilonas </w:t>
      </w:r>
      <w:proofErr w:type="spellStart"/>
      <w:r w:rsidR="000C78D4">
        <w:t>Bulgakovas</w:t>
      </w:r>
      <w:proofErr w:type="spellEnd"/>
      <w:r w:rsidR="00CE1F6D">
        <w:t xml:space="preserve"> </w:t>
      </w:r>
      <w:r w:rsidR="000C78D4">
        <w:t>kasācijas sūdzībām</w:t>
      </w:r>
      <w:r>
        <w:t xml:space="preserve"> </w:t>
      </w:r>
      <w:r w:rsidRPr="003B4383">
        <w:t xml:space="preserve">par </w:t>
      </w:r>
      <w:r w:rsidR="00B70A90">
        <w:t>[..]</w:t>
      </w:r>
      <w:r w:rsidR="00CE1F6D">
        <w:t xml:space="preserve"> </w:t>
      </w:r>
      <w:r w:rsidRPr="003B4383">
        <w:t xml:space="preserve">apgabaltiesas </w:t>
      </w:r>
      <w:proofErr w:type="gramStart"/>
      <w:r>
        <w:t>2021.gada</w:t>
      </w:r>
      <w:proofErr w:type="gramEnd"/>
      <w:r>
        <w:t xml:space="preserve"> </w:t>
      </w:r>
      <w:r w:rsidR="00B70A90">
        <w:t>[..]</w:t>
      </w:r>
      <w:r w:rsidR="00CE1F6D">
        <w:t xml:space="preserve"> </w:t>
      </w:r>
      <w:r>
        <w:t>spriedumu.</w:t>
      </w:r>
    </w:p>
    <w:p w14:paraId="05705DC8" w14:textId="42CA86D1" w:rsidR="00E26D92" w:rsidRDefault="00E26D92" w:rsidP="00FC65D6">
      <w:pPr>
        <w:spacing w:after="0" w:line="276" w:lineRule="auto"/>
        <w:jc w:val="both"/>
      </w:pPr>
    </w:p>
    <w:p w14:paraId="6EA2CC80" w14:textId="79B9BF64" w:rsidR="00E26D92" w:rsidRPr="00E26D92" w:rsidRDefault="00E26D92" w:rsidP="00FC65D6">
      <w:pPr>
        <w:spacing w:after="0" w:line="276" w:lineRule="auto"/>
        <w:jc w:val="center"/>
        <w:rPr>
          <w:b/>
          <w:bCs/>
        </w:rPr>
      </w:pPr>
      <w:r w:rsidRPr="00E26D92">
        <w:rPr>
          <w:b/>
          <w:bCs/>
        </w:rPr>
        <w:t>Aprakstošā daļa</w:t>
      </w:r>
    </w:p>
    <w:p w14:paraId="7B980177" w14:textId="65F05FE7" w:rsidR="00E26D92" w:rsidRDefault="00E26D92" w:rsidP="00FC65D6">
      <w:pPr>
        <w:spacing w:after="0" w:line="276" w:lineRule="auto"/>
        <w:jc w:val="both"/>
      </w:pPr>
    </w:p>
    <w:p w14:paraId="7F32F046" w14:textId="39D1B1D3" w:rsidR="003C0469" w:rsidRDefault="00E26D92" w:rsidP="00FC65D6">
      <w:pPr>
        <w:spacing w:after="0" w:line="276" w:lineRule="auto"/>
        <w:ind w:firstLine="709"/>
        <w:jc w:val="both"/>
      </w:pPr>
      <w:r>
        <w:t>[1]</w:t>
      </w:r>
      <w:r w:rsidR="00975843">
        <w:t> </w:t>
      </w:r>
      <w:r w:rsidR="003C0469">
        <w:t>Ar</w:t>
      </w:r>
      <w:r w:rsidR="00CE1F6D">
        <w:t xml:space="preserve"> </w:t>
      </w:r>
      <w:r w:rsidR="00B70A90">
        <w:t>[rajona (pilsētas)]</w:t>
      </w:r>
      <w:r w:rsidR="00D94EB4">
        <w:t xml:space="preserve"> tiesas</w:t>
      </w:r>
      <w:r w:rsidR="003C0469">
        <w:t xml:space="preserve"> </w:t>
      </w:r>
      <w:proofErr w:type="gramStart"/>
      <w:r w:rsidR="003C0469">
        <w:t>20</w:t>
      </w:r>
      <w:r w:rsidR="00D94EB4">
        <w:t>19</w:t>
      </w:r>
      <w:r w:rsidR="003C0469">
        <w:t>.gada</w:t>
      </w:r>
      <w:proofErr w:type="gramEnd"/>
      <w:r w:rsidR="003C0469">
        <w:t xml:space="preserve"> </w:t>
      </w:r>
      <w:r w:rsidR="00B70A90">
        <w:t>[..]</w:t>
      </w:r>
      <w:r w:rsidR="003C0469">
        <w:t xml:space="preserve"> spriedumu</w:t>
      </w:r>
    </w:p>
    <w:p w14:paraId="6038AEE7" w14:textId="3051CD4D" w:rsidR="003C0469" w:rsidRDefault="00B70A90" w:rsidP="00FC65D6">
      <w:pPr>
        <w:spacing w:after="0" w:line="276" w:lineRule="auto"/>
        <w:ind w:firstLine="709"/>
        <w:jc w:val="both"/>
      </w:pPr>
      <w:r>
        <w:t>[pers. A]</w:t>
      </w:r>
      <w:r w:rsidR="003C0469">
        <w:t xml:space="preserve">, personas kods </w:t>
      </w:r>
      <w:r>
        <w:t>[..]</w:t>
      </w:r>
      <w:r w:rsidR="003C0469">
        <w:t>,</w:t>
      </w:r>
    </w:p>
    <w:p w14:paraId="6B86835C" w14:textId="245B62FF" w:rsidR="003C0469" w:rsidRPr="00515ECE" w:rsidRDefault="003C0469" w:rsidP="00FC65D6">
      <w:pPr>
        <w:spacing w:after="0" w:line="276" w:lineRule="auto"/>
        <w:ind w:firstLine="709"/>
        <w:jc w:val="both"/>
      </w:pPr>
      <w:r w:rsidRPr="00515ECE">
        <w:t>atzīt</w:t>
      </w:r>
      <w:r w:rsidR="00CE1F6D" w:rsidRPr="00515ECE">
        <w:t>s</w:t>
      </w:r>
      <w:r w:rsidRPr="00515ECE">
        <w:t xml:space="preserve"> par vainīgu Krimināllikuma </w:t>
      </w:r>
      <w:proofErr w:type="gramStart"/>
      <w:r w:rsidR="00D94EB4" w:rsidRPr="00515ECE">
        <w:t>144.panta</w:t>
      </w:r>
      <w:proofErr w:type="gramEnd"/>
      <w:r w:rsidR="00D94EB4" w:rsidRPr="00515ECE">
        <w:t xml:space="preserve"> pirmajā daļā </w:t>
      </w:r>
      <w:bookmarkStart w:id="0" w:name="_Hlk95814777"/>
      <w:r w:rsidR="00D94EB4" w:rsidRPr="00515ECE">
        <w:t>(likuma redakcijā līdz 2014.gada 2</w:t>
      </w:r>
      <w:r w:rsidR="0035301B">
        <w:t>9</w:t>
      </w:r>
      <w:r w:rsidR="00D94EB4" w:rsidRPr="00515ECE">
        <w:t>.oktobrim)</w:t>
      </w:r>
      <w:bookmarkEnd w:id="0"/>
      <w:r w:rsidRPr="00515ECE">
        <w:t xml:space="preserve"> paredzētajā noziedzīgajā nodarījumā un sodīt</w:t>
      </w:r>
      <w:r w:rsidR="00CE1F6D" w:rsidRPr="00515ECE">
        <w:t>s</w:t>
      </w:r>
      <w:r w:rsidRPr="00515ECE">
        <w:t xml:space="preserve"> ar </w:t>
      </w:r>
      <w:r w:rsidR="00D94EB4" w:rsidRPr="00515ECE">
        <w:t xml:space="preserve">piespiedu darbu uz 200 stundām. </w:t>
      </w:r>
    </w:p>
    <w:p w14:paraId="4838111F" w14:textId="77777777" w:rsidR="003C0469" w:rsidRPr="00515ECE" w:rsidRDefault="003C0469" w:rsidP="00FC65D6">
      <w:pPr>
        <w:spacing w:after="0" w:line="276" w:lineRule="auto"/>
        <w:ind w:firstLine="709"/>
        <w:jc w:val="both"/>
      </w:pPr>
    </w:p>
    <w:p w14:paraId="225E6049" w14:textId="11634D3E" w:rsidR="00E26D92" w:rsidRPr="00515ECE" w:rsidRDefault="00E26D92" w:rsidP="00FC65D6">
      <w:pPr>
        <w:spacing w:after="0" w:line="276" w:lineRule="auto"/>
        <w:ind w:firstLine="709"/>
        <w:jc w:val="both"/>
      </w:pPr>
      <w:r w:rsidRPr="00515ECE">
        <w:t>[2]</w:t>
      </w:r>
      <w:r w:rsidR="00975843">
        <w:t> </w:t>
      </w:r>
      <w:r w:rsidR="003C0469" w:rsidRPr="00515ECE">
        <w:t xml:space="preserve">Ar pirmās instances tiesas spriedumu </w:t>
      </w:r>
      <w:r w:rsidR="00B70A90">
        <w:t>[pers. A]</w:t>
      </w:r>
      <w:r w:rsidR="003C0469" w:rsidRPr="00515ECE">
        <w:t xml:space="preserve"> atzīt</w:t>
      </w:r>
      <w:r w:rsidR="0007777A" w:rsidRPr="00515ECE">
        <w:t>s</w:t>
      </w:r>
      <w:r w:rsidR="003C0469" w:rsidRPr="00515ECE">
        <w:t xml:space="preserve"> par vainīgu un sodīt</w:t>
      </w:r>
      <w:r w:rsidR="0007777A" w:rsidRPr="00515ECE">
        <w:t>s</w:t>
      </w:r>
      <w:r w:rsidR="003C0469" w:rsidRPr="00515ECE">
        <w:t xml:space="preserve"> pēc </w:t>
      </w:r>
      <w:bookmarkStart w:id="1" w:name="_Hlk95814366"/>
      <w:r w:rsidR="003C0469" w:rsidRPr="00515ECE">
        <w:t xml:space="preserve">Krimināllikuma </w:t>
      </w:r>
      <w:proofErr w:type="gramStart"/>
      <w:r w:rsidR="00515ECE" w:rsidRPr="00515ECE">
        <w:t>144.panta</w:t>
      </w:r>
      <w:proofErr w:type="gramEnd"/>
      <w:r w:rsidR="00515ECE" w:rsidRPr="00515ECE">
        <w:t xml:space="preserve"> pirmās daļas</w:t>
      </w:r>
      <w:r w:rsidR="003C0469" w:rsidRPr="00515ECE">
        <w:t xml:space="preserve"> par </w:t>
      </w:r>
      <w:r w:rsidR="00515ECE" w:rsidRPr="00515ECE">
        <w:t>personas korespondences, pa telekomunikāciju tīkliem pārraidāmās informācijas noslēpum</w:t>
      </w:r>
      <w:r w:rsidR="009F62EB">
        <w:t>a</w:t>
      </w:r>
      <w:r w:rsidR="00515ECE" w:rsidRPr="00515ECE">
        <w:t xml:space="preserve"> tīšu pārkāpšanu</w:t>
      </w:r>
      <w:bookmarkEnd w:id="1"/>
      <w:r w:rsidR="00686DE4">
        <w:t xml:space="preserve"> precīzi nenoskaidrotā laikā līdz 2011.gada </w:t>
      </w:r>
      <w:r w:rsidR="007D5EE0">
        <w:t>[..]</w:t>
      </w:r>
      <w:r w:rsidR="00686DE4">
        <w:t>.novembrim.</w:t>
      </w:r>
    </w:p>
    <w:p w14:paraId="117B1FF4" w14:textId="44FC3B8D" w:rsidR="00E26D92" w:rsidRPr="0010111E" w:rsidRDefault="00E26D92" w:rsidP="00FC65D6">
      <w:pPr>
        <w:spacing w:after="0" w:line="276" w:lineRule="auto"/>
        <w:ind w:firstLine="709"/>
        <w:jc w:val="both"/>
      </w:pPr>
    </w:p>
    <w:p w14:paraId="6F00D42E" w14:textId="1C618C79" w:rsidR="0007777A" w:rsidRPr="0010111E" w:rsidRDefault="00EC1FA4" w:rsidP="00FC65D6">
      <w:pPr>
        <w:spacing w:after="0" w:line="276" w:lineRule="auto"/>
        <w:ind w:firstLine="709"/>
        <w:jc w:val="both"/>
        <w:rPr>
          <w:bCs/>
        </w:rPr>
      </w:pPr>
      <w:r w:rsidRPr="0010111E">
        <w:t>[3]</w:t>
      </w:r>
      <w:r w:rsidR="00975843">
        <w:t> </w:t>
      </w:r>
      <w:r w:rsidR="0007777A" w:rsidRPr="0010111E">
        <w:rPr>
          <w:bCs/>
        </w:rPr>
        <w:t xml:space="preserve">Ar </w:t>
      </w:r>
      <w:r w:rsidR="00B70A90">
        <w:rPr>
          <w:bCs/>
        </w:rPr>
        <w:t>[..]</w:t>
      </w:r>
      <w:r w:rsidR="0007777A" w:rsidRPr="0010111E">
        <w:rPr>
          <w:bCs/>
        </w:rPr>
        <w:t xml:space="preserve"> apgabaltiesas </w:t>
      </w:r>
      <w:proofErr w:type="gramStart"/>
      <w:r w:rsidR="0007777A" w:rsidRPr="0010111E">
        <w:rPr>
          <w:bCs/>
        </w:rPr>
        <w:t>2021.gada</w:t>
      </w:r>
      <w:proofErr w:type="gramEnd"/>
      <w:r w:rsidR="0007777A" w:rsidRPr="0010111E">
        <w:rPr>
          <w:bCs/>
        </w:rPr>
        <w:t xml:space="preserve"> </w:t>
      </w:r>
      <w:r w:rsidR="00B70A90">
        <w:rPr>
          <w:bCs/>
        </w:rPr>
        <w:t>[..]</w:t>
      </w:r>
      <w:r w:rsidR="0007777A" w:rsidRPr="0010111E">
        <w:rPr>
          <w:bCs/>
        </w:rPr>
        <w:t xml:space="preserve"> spriedumu, izskatot lietu apelācijas kārtībā sakarā ar </w:t>
      </w:r>
      <w:r w:rsidR="00515ECE" w:rsidRPr="0010111E">
        <w:rPr>
          <w:bCs/>
        </w:rPr>
        <w:t xml:space="preserve">apsūdzētā </w:t>
      </w:r>
      <w:r w:rsidR="00B70A90">
        <w:rPr>
          <w:bCs/>
        </w:rPr>
        <w:t>[pers. A]</w:t>
      </w:r>
      <w:r w:rsidR="00515ECE" w:rsidRPr="0010111E">
        <w:rPr>
          <w:bCs/>
        </w:rPr>
        <w:t xml:space="preserve"> aizstāves I. </w:t>
      </w:r>
      <w:proofErr w:type="spellStart"/>
      <w:r w:rsidR="00515ECE" w:rsidRPr="0010111E">
        <w:rPr>
          <w:bCs/>
        </w:rPr>
        <w:t>Bulgakovas</w:t>
      </w:r>
      <w:proofErr w:type="spellEnd"/>
      <w:r w:rsidR="00515ECE" w:rsidRPr="0010111E">
        <w:rPr>
          <w:bCs/>
        </w:rPr>
        <w:t xml:space="preserve"> apelācijas sūdzību</w:t>
      </w:r>
      <w:r w:rsidR="0007777A" w:rsidRPr="0010111E">
        <w:rPr>
          <w:bCs/>
        </w:rPr>
        <w:t xml:space="preserve">, </w:t>
      </w:r>
      <w:r w:rsidR="00B70A90">
        <w:rPr>
          <w:bCs/>
        </w:rPr>
        <w:t>[rajona (pilsētas)]</w:t>
      </w:r>
      <w:r w:rsidR="00515ECE" w:rsidRPr="0010111E">
        <w:rPr>
          <w:bCs/>
        </w:rPr>
        <w:t xml:space="preserve"> tiesas 2019.gada </w:t>
      </w:r>
      <w:r w:rsidR="00B70A90">
        <w:rPr>
          <w:bCs/>
        </w:rPr>
        <w:t>[..]</w:t>
      </w:r>
      <w:r w:rsidR="00515ECE" w:rsidRPr="0010111E">
        <w:rPr>
          <w:bCs/>
        </w:rPr>
        <w:t xml:space="preserve"> spriedums atcelts daļā par </w:t>
      </w:r>
      <w:r w:rsidR="00B70A90">
        <w:rPr>
          <w:bCs/>
        </w:rPr>
        <w:t>[pers. A]</w:t>
      </w:r>
      <w:r w:rsidR="00515ECE" w:rsidRPr="0010111E">
        <w:rPr>
          <w:bCs/>
        </w:rPr>
        <w:t xml:space="preserve"> noteikto sodu un izciešamā soda daļu. </w:t>
      </w:r>
    </w:p>
    <w:p w14:paraId="7039DD65" w14:textId="21D4B067" w:rsidR="00011956" w:rsidRPr="0010111E" w:rsidRDefault="00B70A90" w:rsidP="00FC65D6">
      <w:pPr>
        <w:spacing w:after="0" w:line="276" w:lineRule="auto"/>
        <w:ind w:firstLine="709"/>
        <w:jc w:val="both"/>
      </w:pPr>
      <w:r>
        <w:rPr>
          <w:bCs/>
        </w:rPr>
        <w:t>[Pers. </w:t>
      </w:r>
      <w:r>
        <w:t>A]</w:t>
      </w:r>
      <w:r w:rsidR="0010111E" w:rsidRPr="0010111E">
        <w:rPr>
          <w:bCs/>
        </w:rPr>
        <w:t xml:space="preserve"> pēc Krimināllikuma </w:t>
      </w:r>
      <w:proofErr w:type="gramStart"/>
      <w:r w:rsidR="0010111E" w:rsidRPr="0010111E">
        <w:rPr>
          <w:bCs/>
        </w:rPr>
        <w:t>144.panta</w:t>
      </w:r>
      <w:proofErr w:type="gramEnd"/>
      <w:r w:rsidR="0010111E" w:rsidRPr="0010111E">
        <w:rPr>
          <w:bCs/>
        </w:rPr>
        <w:t xml:space="preserve"> pirmās daļas (</w:t>
      </w:r>
      <w:r w:rsidR="0010111E" w:rsidRPr="0010111E">
        <w:t>likuma redakcijā</w:t>
      </w:r>
      <w:r w:rsidR="00686DE4">
        <w:t xml:space="preserve"> </w:t>
      </w:r>
      <w:r w:rsidR="0010111E" w:rsidRPr="0010111E">
        <w:t>līdz 2014.gada 2</w:t>
      </w:r>
      <w:r w:rsidR="005734F2">
        <w:t>9</w:t>
      </w:r>
      <w:r w:rsidR="0010111E" w:rsidRPr="0010111E">
        <w:t>.oktobrim), piemērojot Krimināllikuma 49.</w:t>
      </w:r>
      <w:r w:rsidR="0010111E" w:rsidRPr="002D0A82">
        <w:rPr>
          <w:vertAlign w:val="superscript"/>
        </w:rPr>
        <w:t>1</w:t>
      </w:r>
      <w:r w:rsidR="0010111E" w:rsidRPr="0010111E">
        <w:t xml:space="preserve">panta pirmās daļas 1.punktu, </w:t>
      </w:r>
      <w:r w:rsidR="0010111E" w:rsidRPr="0010111E">
        <w:rPr>
          <w:bCs/>
        </w:rPr>
        <w:t xml:space="preserve">sodīts </w:t>
      </w:r>
      <w:r w:rsidR="0010111E" w:rsidRPr="0010111E">
        <w:t>ar piespiedu darbu</w:t>
      </w:r>
      <w:r w:rsidR="0077026F">
        <w:t xml:space="preserve"> uz</w:t>
      </w:r>
      <w:r w:rsidR="0010111E" w:rsidRPr="0010111E">
        <w:t xml:space="preserve"> 100 stundām. </w:t>
      </w:r>
    </w:p>
    <w:p w14:paraId="115DFA61" w14:textId="067584CD" w:rsidR="0010111E" w:rsidRPr="00121DA7" w:rsidRDefault="0010111E" w:rsidP="00FC65D6">
      <w:pPr>
        <w:spacing w:after="0" w:line="276" w:lineRule="auto"/>
        <w:ind w:firstLine="709"/>
        <w:jc w:val="both"/>
      </w:pPr>
      <w:r w:rsidRPr="0010111E">
        <w:t xml:space="preserve">Soda termiņā ieskaitīts aizturēšanā pavadītais laiks no </w:t>
      </w:r>
      <w:proofErr w:type="gramStart"/>
      <w:r w:rsidRPr="0010111E">
        <w:t>2011.gada</w:t>
      </w:r>
      <w:proofErr w:type="gramEnd"/>
      <w:r w:rsidRPr="0010111E">
        <w:t xml:space="preserve"> </w:t>
      </w:r>
      <w:r w:rsidR="00B70A90">
        <w:t>[..]</w:t>
      </w:r>
      <w:r w:rsidRPr="00495851">
        <w:t xml:space="preserve"> līdz </w:t>
      </w:r>
      <w:r w:rsidR="00B70A90">
        <w:t>[..]</w:t>
      </w:r>
      <w:r w:rsidR="00A70CD9">
        <w:t> </w:t>
      </w:r>
      <w:r w:rsidRPr="00495851">
        <w:t>– divas dienas, kas atbilst 16 piespiedu darba stundām –</w:t>
      </w:r>
      <w:r w:rsidR="009F62EB">
        <w:t>,</w:t>
      </w:r>
      <w:r w:rsidRPr="00495851">
        <w:t xml:space="preserve"> un </w:t>
      </w:r>
      <w:r w:rsidRPr="00121DA7">
        <w:t xml:space="preserve">noteikts, ka </w:t>
      </w:r>
      <w:r w:rsidR="0003231F">
        <w:t>[pers. A]</w:t>
      </w:r>
      <w:r w:rsidRPr="00121DA7">
        <w:t xml:space="preserve"> jāizcieš piespiedu darbs 84 stundas. </w:t>
      </w:r>
    </w:p>
    <w:p w14:paraId="7AE8BFF8" w14:textId="7F971D20" w:rsidR="00800977" w:rsidRPr="00121DA7" w:rsidRDefault="00800977" w:rsidP="00FC65D6">
      <w:pPr>
        <w:spacing w:after="0" w:line="276" w:lineRule="auto"/>
        <w:ind w:firstLine="709"/>
        <w:jc w:val="both"/>
        <w:rPr>
          <w:bCs/>
        </w:rPr>
      </w:pPr>
      <w:r w:rsidRPr="00121DA7">
        <w:t xml:space="preserve">Pārējā daļā pirmās instances tiesas spriedums atstāts negrozīts. </w:t>
      </w:r>
    </w:p>
    <w:p w14:paraId="2D0EE877" w14:textId="77A1D56F" w:rsidR="0007777A" w:rsidRPr="00121DA7" w:rsidRDefault="0007777A" w:rsidP="00FC65D6">
      <w:pPr>
        <w:spacing w:after="0" w:line="276" w:lineRule="auto"/>
        <w:ind w:firstLine="709"/>
        <w:jc w:val="both"/>
        <w:rPr>
          <w:bCs/>
        </w:rPr>
      </w:pPr>
    </w:p>
    <w:p w14:paraId="31030C6D" w14:textId="72144010" w:rsidR="00495851" w:rsidRPr="00121DA7" w:rsidRDefault="00800977" w:rsidP="00FC65D6">
      <w:pPr>
        <w:spacing w:after="0" w:line="276" w:lineRule="auto"/>
        <w:ind w:firstLine="709"/>
        <w:jc w:val="both"/>
      </w:pPr>
      <w:r w:rsidRPr="00121DA7">
        <w:rPr>
          <w:bCs/>
        </w:rPr>
        <w:lastRenderedPageBreak/>
        <w:t>[4]</w:t>
      </w:r>
      <w:r w:rsidR="00975843">
        <w:rPr>
          <w:bCs/>
        </w:rPr>
        <w:t> </w:t>
      </w:r>
      <w:r w:rsidR="00495851" w:rsidRPr="00121DA7">
        <w:t xml:space="preserve">Par </w:t>
      </w:r>
      <w:r w:rsidR="0003231F">
        <w:t>[..]</w:t>
      </w:r>
      <w:r w:rsidR="00495851" w:rsidRPr="00121DA7">
        <w:t xml:space="preserve"> apgabaltiesas </w:t>
      </w:r>
      <w:proofErr w:type="gramStart"/>
      <w:r w:rsidR="00495851" w:rsidRPr="00121DA7">
        <w:t>2021.gada</w:t>
      </w:r>
      <w:proofErr w:type="gramEnd"/>
      <w:r w:rsidR="00495851" w:rsidRPr="00121DA7">
        <w:t xml:space="preserve"> </w:t>
      </w:r>
      <w:r w:rsidR="0003231F">
        <w:t>[..]</w:t>
      </w:r>
      <w:r w:rsidR="00495851" w:rsidRPr="00121DA7">
        <w:t xml:space="preserve"> spriedumu kasācijas sūdzību iesnie</w:t>
      </w:r>
      <w:r w:rsidR="004B099D" w:rsidRPr="00121DA7">
        <w:t>gusi apsūdzētā</w:t>
      </w:r>
      <w:r w:rsidR="00495851" w:rsidRPr="00121DA7">
        <w:t xml:space="preserve"> </w:t>
      </w:r>
      <w:r w:rsidR="0003231F">
        <w:t>[pers. A]</w:t>
      </w:r>
      <w:r w:rsidR="004B099D" w:rsidRPr="00121DA7">
        <w:t xml:space="preserve"> aizstāve I. Bulgakova</w:t>
      </w:r>
      <w:r w:rsidR="00495851" w:rsidRPr="00121DA7">
        <w:t>, kur</w:t>
      </w:r>
      <w:r w:rsidR="004B099D" w:rsidRPr="00121DA7">
        <w:t>a</w:t>
      </w:r>
      <w:r w:rsidR="00495851" w:rsidRPr="00121DA7">
        <w:t xml:space="preserve"> lūdz atcelt </w:t>
      </w:r>
      <w:r w:rsidR="004B099D" w:rsidRPr="00121DA7">
        <w:t xml:space="preserve">spriedumu un izbeigt kriminālprocesu. </w:t>
      </w:r>
    </w:p>
    <w:p w14:paraId="5D0091BB" w14:textId="52246561" w:rsidR="00495851" w:rsidRPr="00121DA7" w:rsidRDefault="00495851" w:rsidP="00FC65D6">
      <w:pPr>
        <w:spacing w:after="0" w:line="276" w:lineRule="auto"/>
        <w:ind w:firstLine="709"/>
        <w:jc w:val="both"/>
      </w:pPr>
      <w:r w:rsidRPr="00121DA7">
        <w:t>Aizstāv</w:t>
      </w:r>
      <w:r w:rsidR="004B099D" w:rsidRPr="00121DA7">
        <w:t>e</w:t>
      </w:r>
      <w:r w:rsidRPr="00121DA7">
        <w:t xml:space="preserve"> kasācijas sūdzību pamatoj</w:t>
      </w:r>
      <w:r w:rsidR="004B099D" w:rsidRPr="00121DA7">
        <w:t>usi</w:t>
      </w:r>
      <w:r w:rsidRPr="00121DA7">
        <w:t xml:space="preserve"> ar šādiem argumentiem. </w:t>
      </w:r>
    </w:p>
    <w:p w14:paraId="3E5FCBAB" w14:textId="5078A964" w:rsidR="002D21DD" w:rsidRDefault="00495851" w:rsidP="00FC65D6">
      <w:pPr>
        <w:spacing w:after="0" w:line="276" w:lineRule="auto"/>
        <w:ind w:firstLine="709"/>
        <w:jc w:val="both"/>
      </w:pPr>
      <w:r w:rsidRPr="00121DA7">
        <w:t>[</w:t>
      </w:r>
      <w:r w:rsidR="004B099D" w:rsidRPr="00121DA7">
        <w:t>4</w:t>
      </w:r>
      <w:r w:rsidRPr="00121DA7">
        <w:t>.1</w:t>
      </w:r>
      <w:r w:rsidR="002D21DD" w:rsidRPr="00121DA7">
        <w:t>]</w:t>
      </w:r>
      <w:r w:rsidR="00975843">
        <w:t> </w:t>
      </w:r>
      <w:r w:rsidR="00F2779E" w:rsidRPr="00121DA7">
        <w:t xml:space="preserve">Apelācijas instances tiesa pieļāvusi Kriminālprocesa likuma </w:t>
      </w:r>
      <w:proofErr w:type="gramStart"/>
      <w:r w:rsidR="00F2779E" w:rsidRPr="00121DA7">
        <w:t>574.panta</w:t>
      </w:r>
      <w:proofErr w:type="gramEnd"/>
      <w:r w:rsidR="00F2779E" w:rsidRPr="00121DA7">
        <w:t xml:space="preserve"> 1.</w:t>
      </w:r>
      <w:r w:rsidR="00C20F76">
        <w:t xml:space="preserve"> un</w:t>
      </w:r>
      <w:r w:rsidR="00F2779E" w:rsidRPr="00121DA7">
        <w:t xml:space="preserve"> 2.punktā norādītos Krimināllikuma pārkāpumus</w:t>
      </w:r>
      <w:r w:rsidR="00F2779E">
        <w:t xml:space="preserve">. </w:t>
      </w:r>
      <w:r w:rsidR="00CB72F0">
        <w:t xml:space="preserve">Tiesas spriedums neatbilst Kriminālprocesa likuma 511., </w:t>
      </w:r>
      <w:proofErr w:type="gramStart"/>
      <w:r w:rsidR="00CB72F0">
        <w:t>512.panta</w:t>
      </w:r>
      <w:proofErr w:type="gramEnd"/>
      <w:r w:rsidR="00CB72F0">
        <w:t xml:space="preserve"> prasībām. </w:t>
      </w:r>
    </w:p>
    <w:p w14:paraId="26869F92" w14:textId="6451AEA3" w:rsidR="00086C7B" w:rsidRDefault="00EC433B" w:rsidP="00FC65D6">
      <w:pPr>
        <w:spacing w:after="0" w:line="276" w:lineRule="auto"/>
        <w:ind w:firstLine="709"/>
        <w:jc w:val="both"/>
      </w:pPr>
      <w:r>
        <w:t>[4.1.1]</w:t>
      </w:r>
      <w:r w:rsidR="00975843">
        <w:t> </w:t>
      </w:r>
      <w:r w:rsidR="00086C7B">
        <w:t xml:space="preserve">Apelācijas instances tiesa, atzīstot, ka apsūdzētā faktiskās darbības atbilst Krimināllikuma </w:t>
      </w:r>
      <w:proofErr w:type="gramStart"/>
      <w:r w:rsidR="00086C7B">
        <w:t>144.pant</w:t>
      </w:r>
      <w:r w:rsidR="00EE2ABF">
        <w:t>ā</w:t>
      </w:r>
      <w:proofErr w:type="gramEnd"/>
      <w:r w:rsidR="00EE2ABF">
        <w:t xml:space="preserve"> paredzētā noziedzīgā nodarījuma sastāva</w:t>
      </w:r>
      <w:r w:rsidR="00086C7B">
        <w:t xml:space="preserve"> objektīvās puses pazīmēm, nepareizi interpretējusi minēto Krimināllikuma normu kontekstā ar apsūdzētā kā žurnālista un interneta vietnes </w:t>
      </w:r>
      <w:hyperlink r:id="rId7" w:history="1">
        <w:r w:rsidR="00D72635">
          <w:rPr>
            <w:rStyle w:val="Hyperlink"/>
            <w:color w:val="auto"/>
            <w:u w:val="none"/>
          </w:rPr>
          <w:t>[..]</w:t>
        </w:r>
      </w:hyperlink>
      <w:r w:rsidR="00086C7B" w:rsidRPr="00086C7B">
        <w:t xml:space="preserve"> kā </w:t>
      </w:r>
      <w:r w:rsidR="00086C7B">
        <w:t>masu informācijas līdzekļa statusu</w:t>
      </w:r>
      <w:r w:rsidR="00E90C85">
        <w:t>.</w:t>
      </w:r>
      <w:r w:rsidR="00086C7B">
        <w:t xml:space="preserve"> </w:t>
      </w:r>
    </w:p>
    <w:p w14:paraId="69E856CE" w14:textId="4DCB8F71" w:rsidR="00B67598" w:rsidRDefault="00D74407" w:rsidP="00FC65D6">
      <w:pPr>
        <w:spacing w:after="0" w:line="276" w:lineRule="auto"/>
        <w:ind w:firstLine="709"/>
        <w:jc w:val="both"/>
      </w:pPr>
      <w:r>
        <w:t xml:space="preserve">Aizstāve </w:t>
      </w:r>
      <w:r w:rsidR="00086C7B">
        <w:t xml:space="preserve">sūdzībā </w:t>
      </w:r>
      <w:r>
        <w:t xml:space="preserve">atsaukusies uz Krimināllikuma </w:t>
      </w:r>
      <w:proofErr w:type="gramStart"/>
      <w:r>
        <w:t>7.panta</w:t>
      </w:r>
      <w:proofErr w:type="gramEnd"/>
      <w:r>
        <w:t xml:space="preserve"> otro daļu (acīmredzot domāta 6.panta otrā daļa), kas noteic, ka p</w:t>
      </w:r>
      <w:r w:rsidRPr="00D74407">
        <w:t>ar noziedzīgu nav atzīstams nodarījums (darbība vai bezdarbība), kam ir šajā likumā paredzēta nodarījuma sastāva pazīmes, bet kas izdarīts apstākļos, kuri izslēdz kriminālatbildību</w:t>
      </w:r>
      <w:r w:rsidR="00B67598">
        <w:t>, kā arī atsaukusies uz Krimināllikuma 33.pantu, kurā definēts attaisnojams profesionālais risks, norādot, ka tiesa</w:t>
      </w:r>
      <w:r w:rsidR="00B70503">
        <w:t>s</w:t>
      </w:r>
      <w:r w:rsidR="00B67598">
        <w:t xml:space="preserve"> nav izvērtēj</w:t>
      </w:r>
      <w:r w:rsidR="00B70503">
        <w:t>ušas</w:t>
      </w:r>
      <w:r w:rsidR="00B67598">
        <w:t xml:space="preserve"> </w:t>
      </w:r>
      <w:r w:rsidR="0003231F">
        <w:t>[pers. A]</w:t>
      </w:r>
      <w:r w:rsidR="00B67598">
        <w:t xml:space="preserve"> kā žurnālista pienākumu</w:t>
      </w:r>
      <w:r w:rsidR="00B70503">
        <w:t xml:space="preserve"> informēt sabiedrību par faktiem, kas viņam ir kļuvuši zināmi</w:t>
      </w:r>
      <w:r w:rsidR="00B67598">
        <w:t>.</w:t>
      </w:r>
      <w:r w:rsidR="0055505F">
        <w:t xml:space="preserve"> </w:t>
      </w:r>
    </w:p>
    <w:p w14:paraId="50F6FCCB" w14:textId="3DFEE8E0" w:rsidR="00B70503" w:rsidRDefault="00B70503" w:rsidP="00FC65D6">
      <w:pPr>
        <w:spacing w:after="0" w:line="276" w:lineRule="auto"/>
        <w:ind w:firstLine="709"/>
        <w:jc w:val="both"/>
      </w:pPr>
      <w:r>
        <w:t>Apelācijas instances tiesa</w:t>
      </w:r>
      <w:r w:rsidR="0055505F">
        <w:t xml:space="preserve"> nav izvērtējusi aizstāvības argumentus par to, ka cietušais </w:t>
      </w:r>
      <w:r w:rsidR="0003231F">
        <w:t>[pers. B]</w:t>
      </w:r>
      <w:r w:rsidR="0055505F">
        <w:t xml:space="preserve"> </w:t>
      </w:r>
      <w:r w:rsidR="009F62EB">
        <w:t>liecināja</w:t>
      </w:r>
      <w:r w:rsidR="0055505F">
        <w:t xml:space="preserve">, ka </w:t>
      </w:r>
      <w:r w:rsidR="009F62EB">
        <w:t xml:space="preserve">visa </w:t>
      </w:r>
      <w:r w:rsidR="0055505F">
        <w:t>publiskot</w:t>
      </w:r>
      <w:r w:rsidR="00EE2ABF">
        <w:t>ā</w:t>
      </w:r>
      <w:r w:rsidR="0055505F">
        <w:t xml:space="preserve"> korespondence</w:t>
      </w:r>
      <w:r w:rsidR="009F62EB">
        <w:t>, iespējams,</w:t>
      </w:r>
      <w:r w:rsidR="00EE2ABF">
        <w:t xml:space="preserve"> nav viņa</w:t>
      </w:r>
      <w:r w:rsidR="0055505F">
        <w:t xml:space="preserve">. Cietušais norādīja, ka publiskotās korespondences saturs ir sagrozīts. </w:t>
      </w:r>
      <w:r w:rsidR="00C60F88">
        <w:t>Tāpat tiesa nav vērtējusi, ka piekļuve cietušā e-pastam bija vairākām personām, kuras ne tikai iepazinās ar korespondences saturu, bet arī atbildēja uz saņemtajiem e-</w:t>
      </w:r>
      <w:proofErr w:type="spellStart"/>
      <w:r w:rsidR="00C60F88">
        <w:t>pastiem</w:t>
      </w:r>
      <w:proofErr w:type="spellEnd"/>
      <w:r w:rsidR="00C60F88">
        <w:t xml:space="preserve">. </w:t>
      </w:r>
      <w:r>
        <w:t>Lietā nav pierādīts, ka publiskotā informācija ir korespondences noslēpums.</w:t>
      </w:r>
    </w:p>
    <w:p w14:paraId="230989DF" w14:textId="2BF33A43" w:rsidR="00C664AC" w:rsidRPr="00975843" w:rsidRDefault="00EC433B" w:rsidP="00FC65D6">
      <w:pPr>
        <w:spacing w:after="0" w:line="276" w:lineRule="auto"/>
        <w:ind w:firstLine="709"/>
        <w:jc w:val="both"/>
      </w:pPr>
      <w:r>
        <w:t>[4.1.2]</w:t>
      </w:r>
      <w:r w:rsidR="00975843">
        <w:t> </w:t>
      </w:r>
      <w:r w:rsidR="00C664AC">
        <w:t xml:space="preserve">Tiesa spriedumā </w:t>
      </w:r>
      <w:r w:rsidR="00EE2ABF">
        <w:t>tikai nosaukusi</w:t>
      </w:r>
      <w:r w:rsidR="00C664AC">
        <w:t xml:space="preserve"> Latvijas Republikas Satversmes </w:t>
      </w:r>
      <w:proofErr w:type="gramStart"/>
      <w:r w:rsidR="00C664AC">
        <w:t>100.pant</w:t>
      </w:r>
      <w:r w:rsidR="00EE2ABF">
        <w:t>u</w:t>
      </w:r>
      <w:proofErr w:type="gramEnd"/>
      <w:r w:rsidR="00C664AC">
        <w:t xml:space="preserve">, likuma „Par presi un </w:t>
      </w:r>
      <w:r w:rsidR="00C664AC" w:rsidRPr="00975843">
        <w:t>citiem masu informācijas līdzekļiem” 23., 24.pant</w:t>
      </w:r>
      <w:r w:rsidR="00EE2ABF" w:rsidRPr="00975843">
        <w:t>u</w:t>
      </w:r>
      <w:r w:rsidR="00C664AC" w:rsidRPr="00975843">
        <w:t xml:space="preserve"> un Fizisko personu datu aizsardzības likuma 5.pant</w:t>
      </w:r>
      <w:r w:rsidR="00EE2ABF" w:rsidRPr="00975843">
        <w:t>u</w:t>
      </w:r>
      <w:r w:rsidR="00A97E01" w:rsidRPr="00975843">
        <w:t xml:space="preserve"> (spēkā inkriminētā noziedzīgā nodarījuma izdarīšanas brīdī)</w:t>
      </w:r>
      <w:r w:rsidR="00C664AC" w:rsidRPr="00975843">
        <w:t xml:space="preserve">, </w:t>
      </w:r>
      <w:r w:rsidR="00CC384E" w:rsidRPr="00975843">
        <w:t>bet nav veikusi</w:t>
      </w:r>
      <w:r w:rsidR="00C664AC" w:rsidRPr="00975843">
        <w:t xml:space="preserve"> minēto tiesību normu analīzi.</w:t>
      </w:r>
    </w:p>
    <w:p w14:paraId="5D7D582F" w14:textId="70066FD3" w:rsidR="00EC433B" w:rsidRDefault="00EC433B" w:rsidP="00FC65D6">
      <w:pPr>
        <w:spacing w:after="0" w:line="276" w:lineRule="auto"/>
        <w:ind w:firstLine="709"/>
        <w:jc w:val="both"/>
      </w:pPr>
      <w:r w:rsidRPr="00975843">
        <w:t xml:space="preserve">Atbilstoši Satversmes tiesas </w:t>
      </w:r>
      <w:proofErr w:type="gramStart"/>
      <w:r w:rsidRPr="00975843">
        <w:t>2003.gada</w:t>
      </w:r>
      <w:proofErr w:type="gramEnd"/>
      <w:r w:rsidRPr="00975843">
        <w:t xml:space="preserve"> 29.oktobra spriedumā lietā Nr. 2003-05-01 sniegtajam skaidrojumam Latvijas Republikas Satversmes 100.pantā </w:t>
      </w:r>
      <w:r>
        <w:t xml:space="preserve">lietotais termins „vārda brīvība” ietver arī jēdzienu „preses brīvība”. Līdz ar to aizstāves ieskatā jebkurš preses brīvības ierobežojums plašākā nozīmē jāsaprot kā vārda brīvības ierobežojums. Tiesa nav </w:t>
      </w:r>
      <w:r w:rsidR="00773E9E">
        <w:t>izvērtējusi</w:t>
      </w:r>
      <w:r>
        <w:t xml:space="preserve"> tiesību uz vārda brīvību tvērumu nacionālo un starptautisko tiesību kontekstā.</w:t>
      </w:r>
    </w:p>
    <w:p w14:paraId="2CACF9C3" w14:textId="597C7C1E" w:rsidR="00EC433B" w:rsidRDefault="00EC433B" w:rsidP="00FC65D6">
      <w:pPr>
        <w:spacing w:after="0" w:line="276" w:lineRule="auto"/>
        <w:ind w:firstLine="709"/>
        <w:jc w:val="both"/>
      </w:pPr>
      <w:r>
        <w:t>Apelācijas instances tiesa nav ņēmusi vērā, ka apsūdzētais ir rīkojies tā, kā to paredz žurnālistiem</w:t>
      </w:r>
      <w:r w:rsidR="002526CE">
        <w:t xml:space="preserve"> un</w:t>
      </w:r>
      <w:r>
        <w:t xml:space="preserve"> masu informācijas līdzekļiem piemērojamie nacionālie un starptautiskie tiesību principi. Tiesa </w:t>
      </w:r>
      <w:r w:rsidR="002526CE">
        <w:t>ne</w:t>
      </w:r>
      <w:r>
        <w:t>pamato</w:t>
      </w:r>
      <w:r w:rsidR="002526CE">
        <w:t>ti</w:t>
      </w:r>
      <w:r>
        <w:t xml:space="preserve"> norādījusi, ka lietā nav iegūti pierādījumi, ka cietušā korespondences publiskotās ziņas būtu tik nozīmīgas sabiedrības interesēm, ka korespondences publiskošana būtu attaisnojama un pārāka par personas korespondences neaizskaramību. Tiesa</w:t>
      </w:r>
      <w:r w:rsidR="002150F9">
        <w:t>s</w:t>
      </w:r>
      <w:r>
        <w:t xml:space="preserve"> </w:t>
      </w:r>
      <w:r w:rsidR="002526CE">
        <w:t>atzinums nav pamatots</w:t>
      </w:r>
      <w:r>
        <w:t xml:space="preserve">, jo nav veikts abu pamattiesību interešu (tiesību uz privāto dzīvi un tiesību uz vārda brīvību) balansa tests, lai pārbaudītu, kuras tiesības konkrētajā situācijā prevalē. Tiesa nav vērtējusi, ka cietušais </w:t>
      </w:r>
      <w:r w:rsidR="0003231F">
        <w:t>[pers. B]</w:t>
      </w:r>
      <w:r>
        <w:t xml:space="preserve"> ir augsta statusa valsts amatpersona, kā arī nav ņēmusi vērā</w:t>
      </w:r>
      <w:r w:rsidR="002526CE" w:rsidRPr="002526CE">
        <w:t xml:space="preserve"> </w:t>
      </w:r>
      <w:r w:rsidR="002526CE">
        <w:t>informācijas iegūšanas apstākļus,</w:t>
      </w:r>
      <w:r>
        <w:t xml:space="preserve"> sabiedrības intere</w:t>
      </w:r>
      <w:r w:rsidR="002526CE">
        <w:t>ses</w:t>
      </w:r>
      <w:r w:rsidR="0015319E">
        <w:t>, p</w:t>
      </w:r>
      <w:r w:rsidR="002526CE">
        <w:t>ubliskotās informācijas saturu</w:t>
      </w:r>
      <w:r>
        <w:t>.</w:t>
      </w:r>
    </w:p>
    <w:p w14:paraId="28856947" w14:textId="6C53B1CC" w:rsidR="00C664AC" w:rsidRDefault="00C664AC" w:rsidP="00FC65D6">
      <w:pPr>
        <w:spacing w:after="0" w:line="276" w:lineRule="auto"/>
        <w:ind w:firstLine="709"/>
        <w:jc w:val="both"/>
      </w:pPr>
      <w:r>
        <w:t xml:space="preserve">Atbilstoši Latvijas Republikas Satversmes 96. un </w:t>
      </w:r>
      <w:proofErr w:type="gramStart"/>
      <w:r>
        <w:t>116.pantam</w:t>
      </w:r>
      <w:proofErr w:type="gramEnd"/>
      <w:r>
        <w:t xml:space="preserve"> korespondences neaizskaramību var ierobežot, ja tas ir paredzēts </w:t>
      </w:r>
      <w:r w:rsidR="007B2DBF">
        <w:t xml:space="preserve">likumā un tam ir leģitīms mērķis. Šāda minēto </w:t>
      </w:r>
      <w:r w:rsidR="00CC384E">
        <w:t xml:space="preserve">tiesību </w:t>
      </w:r>
      <w:r w:rsidR="007B2DBF">
        <w:t xml:space="preserve">normu interpretācija saskan </w:t>
      </w:r>
      <w:r w:rsidR="00CC384E">
        <w:t>ar</w:t>
      </w:r>
      <w:r w:rsidR="007B2DBF">
        <w:t xml:space="preserve"> Eiropas Cilvēktiesību tiesas</w:t>
      </w:r>
      <w:r w:rsidR="00CC384E">
        <w:t xml:space="preserve"> </w:t>
      </w:r>
      <w:r w:rsidR="007B2DBF">
        <w:t>sniegto Eiropas Cilvēk</w:t>
      </w:r>
      <w:r w:rsidR="00D27470">
        <w:t xml:space="preserve">a </w:t>
      </w:r>
      <w:r w:rsidR="007B2DBF">
        <w:lastRenderedPageBreak/>
        <w:t xml:space="preserve">tiesību un pamatbrīvību aizsardzības </w:t>
      </w:r>
      <w:r w:rsidR="0087477D">
        <w:t>konvencijas</w:t>
      </w:r>
      <w:r w:rsidR="001E03D4">
        <w:t xml:space="preserve"> (turpmāk arī – </w:t>
      </w:r>
      <w:r w:rsidR="0087477D">
        <w:t>Eiropas Cilvēktiesību k</w:t>
      </w:r>
      <w:r w:rsidR="001E03D4">
        <w:t>onvencija)</w:t>
      </w:r>
      <w:r w:rsidR="007B2DBF">
        <w:t xml:space="preserve"> 8.panta interpretāciju. </w:t>
      </w:r>
    </w:p>
    <w:p w14:paraId="307BDC9D" w14:textId="1EBAEBBF" w:rsidR="00CC384E" w:rsidRDefault="00EC433B" w:rsidP="00FC65D6">
      <w:pPr>
        <w:spacing w:after="0" w:line="276" w:lineRule="auto"/>
        <w:ind w:firstLine="709"/>
        <w:jc w:val="both"/>
      </w:pPr>
      <w:r>
        <w:t>A</w:t>
      </w:r>
      <w:r w:rsidR="001E03D4">
        <w:t>izstāve</w:t>
      </w:r>
      <w:r>
        <w:t xml:space="preserve">, pamatojot viedokli par aizsargājamo interešu izvērtējuma svarīgumu, </w:t>
      </w:r>
      <w:r w:rsidR="001E03D4">
        <w:t xml:space="preserve">atsaukusies uz </w:t>
      </w:r>
      <w:r w:rsidR="00F81E34">
        <w:t>Eiropas Cilvēktiesību tiesas</w:t>
      </w:r>
      <w:r w:rsidR="001E03D4">
        <w:t xml:space="preserve"> </w:t>
      </w:r>
      <w:proofErr w:type="gramStart"/>
      <w:r w:rsidR="001E03D4">
        <w:t>2006.gada</w:t>
      </w:r>
      <w:proofErr w:type="gramEnd"/>
      <w:r w:rsidR="001E03D4">
        <w:t xml:space="preserve"> 19.decembra spriedumu lietā „Radio </w:t>
      </w:r>
      <w:proofErr w:type="spellStart"/>
      <w:r w:rsidR="001E03D4">
        <w:t>Twist</w:t>
      </w:r>
      <w:proofErr w:type="spellEnd"/>
      <w:r w:rsidR="001E03D4">
        <w:t xml:space="preserve"> v. </w:t>
      </w:r>
      <w:proofErr w:type="spellStart"/>
      <w:r w:rsidR="001E03D4">
        <w:t>Slovakia</w:t>
      </w:r>
      <w:proofErr w:type="spellEnd"/>
      <w:r w:rsidR="001E03D4">
        <w:t xml:space="preserve">”, </w:t>
      </w:r>
      <w:proofErr w:type="gramStart"/>
      <w:r w:rsidR="001E03D4">
        <w:t>1999.gada</w:t>
      </w:r>
      <w:proofErr w:type="gramEnd"/>
      <w:r w:rsidR="001E03D4">
        <w:t xml:space="preserve"> 20.maija spriedumu lietā „</w:t>
      </w:r>
      <w:proofErr w:type="spellStart"/>
      <w:r w:rsidR="001E03D4">
        <w:t>Bladet</w:t>
      </w:r>
      <w:proofErr w:type="spellEnd"/>
      <w:r w:rsidR="001E03D4">
        <w:t xml:space="preserve"> </w:t>
      </w:r>
      <w:proofErr w:type="spellStart"/>
      <w:r w:rsidR="001E03D4">
        <w:t>Tromso</w:t>
      </w:r>
      <w:proofErr w:type="spellEnd"/>
      <w:r w:rsidR="001E03D4">
        <w:t xml:space="preserve"> </w:t>
      </w:r>
      <w:proofErr w:type="spellStart"/>
      <w:r w:rsidR="001E03D4">
        <w:t>and</w:t>
      </w:r>
      <w:proofErr w:type="spellEnd"/>
      <w:r w:rsidR="001E03D4">
        <w:t xml:space="preserve"> </w:t>
      </w:r>
      <w:proofErr w:type="spellStart"/>
      <w:r w:rsidR="001E03D4">
        <w:t>Stensaas</w:t>
      </w:r>
      <w:proofErr w:type="spellEnd"/>
      <w:r w:rsidR="001E03D4">
        <w:t xml:space="preserve"> v. </w:t>
      </w:r>
      <w:proofErr w:type="spellStart"/>
      <w:r w:rsidR="001E03D4">
        <w:t>Norway</w:t>
      </w:r>
      <w:proofErr w:type="spellEnd"/>
      <w:r w:rsidR="001E03D4">
        <w:t>”,</w:t>
      </w:r>
      <w:r w:rsidR="002A65AB">
        <w:t xml:space="preserve"> </w:t>
      </w:r>
      <w:proofErr w:type="gramStart"/>
      <w:r w:rsidR="002A65AB">
        <w:t>2009.gada</w:t>
      </w:r>
      <w:proofErr w:type="gramEnd"/>
      <w:r w:rsidR="002A65AB">
        <w:t xml:space="preserve"> 16.jūnija </w:t>
      </w:r>
      <w:r w:rsidR="00F81E34">
        <w:t>lēmumu</w:t>
      </w:r>
      <w:r w:rsidR="002A65AB">
        <w:t xml:space="preserve"> lietā „</w:t>
      </w:r>
      <w:proofErr w:type="spellStart"/>
      <w:r w:rsidR="00BB0B9C" w:rsidRPr="00A453B3">
        <w:rPr>
          <w:szCs w:val="24"/>
        </w:rPr>
        <w:t>Benediktsdóttir</w:t>
      </w:r>
      <w:proofErr w:type="spellEnd"/>
      <w:r w:rsidR="00BB0B9C" w:rsidRPr="00A453B3">
        <w:rPr>
          <w:szCs w:val="24"/>
        </w:rPr>
        <w:t xml:space="preserve"> v. </w:t>
      </w:r>
      <w:proofErr w:type="spellStart"/>
      <w:r w:rsidR="00BB0B9C" w:rsidRPr="00A453B3">
        <w:rPr>
          <w:szCs w:val="24"/>
        </w:rPr>
        <w:t>Iceland</w:t>
      </w:r>
      <w:proofErr w:type="spellEnd"/>
      <w:r w:rsidR="002A65AB">
        <w:t xml:space="preserve">”, </w:t>
      </w:r>
      <w:r w:rsidR="001E03D4">
        <w:t xml:space="preserve">kā arī Augstākās tiesas </w:t>
      </w:r>
      <w:r w:rsidR="002A65AB">
        <w:t>2003/2004.gada tiesu prakses apkopojum</w:t>
      </w:r>
      <w:r w:rsidR="003B3AD0">
        <w:t>u</w:t>
      </w:r>
      <w:r w:rsidR="002A65AB">
        <w:t xml:space="preserve"> „Tiesu prakse lietās par personas goda un cieņas civiltiesisko aizsardzību”. </w:t>
      </w:r>
    </w:p>
    <w:p w14:paraId="0CD0A698" w14:textId="01DC0A96" w:rsidR="00A6770E" w:rsidRDefault="00BB0B9C" w:rsidP="00FC65D6">
      <w:pPr>
        <w:spacing w:after="0" w:line="276" w:lineRule="auto"/>
        <w:ind w:firstLine="709"/>
        <w:jc w:val="both"/>
      </w:pPr>
      <w:r>
        <w:t>Apelācijas instances tiesa</w:t>
      </w:r>
      <w:r w:rsidR="008370CF">
        <w:t xml:space="preserve"> </w:t>
      </w:r>
      <w:r w:rsidR="00F81E34">
        <w:t xml:space="preserve">Eiropas Cilvēktiesību tiesas </w:t>
      </w:r>
      <w:proofErr w:type="gramStart"/>
      <w:r>
        <w:t>2009.gada</w:t>
      </w:r>
      <w:proofErr w:type="gramEnd"/>
      <w:r>
        <w:t xml:space="preserve"> 16.jūnija </w:t>
      </w:r>
      <w:r w:rsidR="00F81E34">
        <w:t>lēmumā</w:t>
      </w:r>
      <w:r>
        <w:t xml:space="preserve"> lietā „</w:t>
      </w:r>
      <w:proofErr w:type="spellStart"/>
      <w:r w:rsidRPr="00A453B3">
        <w:rPr>
          <w:szCs w:val="24"/>
        </w:rPr>
        <w:t>Benediktsdóttir</w:t>
      </w:r>
      <w:proofErr w:type="spellEnd"/>
      <w:r w:rsidRPr="00A453B3">
        <w:rPr>
          <w:szCs w:val="24"/>
        </w:rPr>
        <w:t xml:space="preserve"> v. </w:t>
      </w:r>
      <w:proofErr w:type="spellStart"/>
      <w:r w:rsidRPr="00A453B3">
        <w:rPr>
          <w:szCs w:val="24"/>
        </w:rPr>
        <w:t>Iceland</w:t>
      </w:r>
      <w:proofErr w:type="spellEnd"/>
      <w:r>
        <w:t>” izteikt</w:t>
      </w:r>
      <w:r w:rsidR="002D14FF">
        <w:t xml:space="preserve">os </w:t>
      </w:r>
      <w:r>
        <w:t>secināju</w:t>
      </w:r>
      <w:r w:rsidR="002D14FF">
        <w:t>mus</w:t>
      </w:r>
      <w:r w:rsidR="008370CF" w:rsidRPr="008370CF">
        <w:t xml:space="preserve"> </w:t>
      </w:r>
      <w:r w:rsidR="008370CF">
        <w:t>bez pamatojuma</w:t>
      </w:r>
      <w:r>
        <w:t xml:space="preserve"> atzinusi par neattiecinām</w:t>
      </w:r>
      <w:r w:rsidR="002D14FF">
        <w:t>iem</w:t>
      </w:r>
      <w:r>
        <w:t xml:space="preserve"> uz izskatāmo lietu. Savukārt apelācijas sūdzībā ietvert</w:t>
      </w:r>
      <w:r w:rsidR="00201BAF">
        <w:t xml:space="preserve">o </w:t>
      </w:r>
      <w:r>
        <w:t>atsauc</w:t>
      </w:r>
      <w:r w:rsidR="00201BAF">
        <w:t>i</w:t>
      </w:r>
      <w:r>
        <w:t xml:space="preserve"> uz </w:t>
      </w:r>
      <w:r w:rsidR="00F81E34">
        <w:t>Eiropas Cilvēktiesību tiesas</w:t>
      </w:r>
      <w:r>
        <w:t xml:space="preserve"> </w:t>
      </w:r>
      <w:proofErr w:type="gramStart"/>
      <w:r>
        <w:t>2006.gada</w:t>
      </w:r>
      <w:proofErr w:type="gramEnd"/>
      <w:r>
        <w:t xml:space="preserve"> 19.decembra spriedumu lietā „Radio </w:t>
      </w:r>
      <w:proofErr w:type="spellStart"/>
      <w:r>
        <w:t>Twist</w:t>
      </w:r>
      <w:proofErr w:type="spellEnd"/>
      <w:r>
        <w:t xml:space="preserve"> v. </w:t>
      </w:r>
      <w:proofErr w:type="spellStart"/>
      <w:r>
        <w:t>Slovakia</w:t>
      </w:r>
      <w:proofErr w:type="spellEnd"/>
      <w:r>
        <w:t xml:space="preserve">” </w:t>
      </w:r>
      <w:r w:rsidR="001437ED">
        <w:t>tiesa</w:t>
      </w:r>
      <w:r w:rsidR="000439D3">
        <w:t xml:space="preserve"> </w:t>
      </w:r>
      <w:r w:rsidR="007221D4">
        <w:t xml:space="preserve">vispār </w:t>
      </w:r>
      <w:r>
        <w:t xml:space="preserve">nav </w:t>
      </w:r>
      <w:r w:rsidR="000439D3">
        <w:t>vērtējusi.</w:t>
      </w:r>
    </w:p>
    <w:p w14:paraId="31B74725" w14:textId="7AE9EBFE" w:rsidR="007C54C3" w:rsidRDefault="0015319E" w:rsidP="00FC65D6">
      <w:pPr>
        <w:spacing w:after="0" w:line="276" w:lineRule="auto"/>
        <w:ind w:firstLine="709"/>
        <w:jc w:val="both"/>
      </w:pPr>
      <w:r>
        <w:t>Tiesa nav izvērtējusi l</w:t>
      </w:r>
      <w:r w:rsidR="00A6770E">
        <w:t>ietā iesniegt</w:t>
      </w:r>
      <w:r>
        <w:t>os</w:t>
      </w:r>
      <w:r w:rsidR="00A6770E">
        <w:t xml:space="preserve"> žurnālistu un m</w:t>
      </w:r>
      <w:r w:rsidR="008370CF">
        <w:t>e</w:t>
      </w:r>
      <w:r w:rsidR="00A6770E">
        <w:t xml:space="preserve">diju ekspertu </w:t>
      </w:r>
      <w:r w:rsidR="0003231F">
        <w:t>[pers. C]</w:t>
      </w:r>
      <w:r w:rsidR="00A6770E">
        <w:t xml:space="preserve"> un </w:t>
      </w:r>
      <w:r w:rsidR="0003231F">
        <w:t>[pers. D]</w:t>
      </w:r>
      <w:r w:rsidR="00A6770E">
        <w:t xml:space="preserve"> atzinum</w:t>
      </w:r>
      <w:r>
        <w:t>us</w:t>
      </w:r>
      <w:r w:rsidR="00A6770E">
        <w:t xml:space="preserve"> par nacionālo un starptautisko žurnālistikas praksi</w:t>
      </w:r>
      <w:r w:rsidR="00A06833">
        <w:t xml:space="preserve"> šajos jautājumos</w:t>
      </w:r>
      <w:r w:rsidR="002B0174">
        <w:t xml:space="preserve">. Minētajos atzinumos </w:t>
      </w:r>
      <w:r w:rsidR="00A06833">
        <w:t>norādīts, ka</w:t>
      </w:r>
      <w:r w:rsidR="002B0174" w:rsidRPr="002B0174">
        <w:t xml:space="preserve"> </w:t>
      </w:r>
      <w:r w:rsidR="002B0174">
        <w:t>m</w:t>
      </w:r>
      <w:r w:rsidR="008370CF">
        <w:t>e</w:t>
      </w:r>
      <w:r w:rsidR="002B0174">
        <w:t>dijiem un žurnālistiem ir tiesības un pienākums publiskot visu sabiedrībai svarīgo un nozīmīgo informāciju neatkarīgi no šīs informācijas iegūšanas veida vai avota</w:t>
      </w:r>
      <w:r w:rsidR="00A06833">
        <w:t xml:space="preserve">, izvērtējot informācijas publiskošanas lietderību un sabiedrības ieguvumu pretstatā personas tiesībām uz privātās dzīves neaizskaramību. </w:t>
      </w:r>
      <w:bookmarkStart w:id="2" w:name="_Hlk95127572"/>
      <w:r w:rsidR="00A06833">
        <w:t>Tiesa</w:t>
      </w:r>
      <w:bookmarkEnd w:id="2"/>
      <w:r w:rsidR="00A06833">
        <w:t xml:space="preserve"> </w:t>
      </w:r>
      <w:r w:rsidR="002B0174">
        <w:t xml:space="preserve">spriedumā </w:t>
      </w:r>
      <w:r w:rsidR="00A06833">
        <w:t xml:space="preserve">par </w:t>
      </w:r>
      <w:r w:rsidR="004345FB">
        <w:t>šiem atzinumiem</w:t>
      </w:r>
      <w:r w:rsidR="00A06833">
        <w:t xml:space="preserve"> vien norādījusi, ka tajos </w:t>
      </w:r>
      <w:r w:rsidR="004345FB">
        <w:t xml:space="preserve">izklāstītā </w:t>
      </w:r>
      <w:r w:rsidR="00A06833">
        <w:t>informācija</w:t>
      </w:r>
      <w:r w:rsidR="002B0174">
        <w:t xml:space="preserve"> nevar</w:t>
      </w:r>
      <w:r w:rsidR="00A06833">
        <w:t xml:space="preserve"> būt par pamatu apsūdzētā attaisnošanai. </w:t>
      </w:r>
    </w:p>
    <w:p w14:paraId="79FF8F64" w14:textId="70950010" w:rsidR="007C54C3" w:rsidRDefault="000439D3" w:rsidP="00FC65D6">
      <w:pPr>
        <w:spacing w:after="0" w:line="276" w:lineRule="auto"/>
        <w:ind w:firstLine="709"/>
        <w:jc w:val="both"/>
      </w:pPr>
      <w:r>
        <w:t>[4.1.3]</w:t>
      </w:r>
      <w:r w:rsidR="00975843">
        <w:t> </w:t>
      </w:r>
      <w:r w:rsidR="0003231F">
        <w:t>[Pers. A]</w:t>
      </w:r>
      <w:r w:rsidR="00C20F76">
        <w:t>,</w:t>
      </w:r>
      <w:r w:rsidR="004345FB">
        <w:t xml:space="preserve"> </w:t>
      </w:r>
      <w:proofErr w:type="gramStart"/>
      <w:r w:rsidR="004345FB">
        <w:t>2011.gadā</w:t>
      </w:r>
      <w:proofErr w:type="gramEnd"/>
      <w:r w:rsidR="004345FB">
        <w:t xml:space="preserve"> saņemot no anonīma informācijas avota interneta vietnes adresi un aplūkojot tajā pieejamo informāciju, konstatēja, ka tā satur faktus par iespējamu noziedzīgu nodarījum</w:t>
      </w:r>
      <w:r w:rsidR="007221D4">
        <w:t>u</w:t>
      </w:r>
      <w:r w:rsidR="004345FB">
        <w:t>, kuru, iespējams</w:t>
      </w:r>
      <w:r w:rsidR="009F7BA9">
        <w:t>,</w:t>
      </w:r>
      <w:r w:rsidR="004345FB">
        <w:t xml:space="preserve"> veicis </w:t>
      </w:r>
      <w:r w:rsidR="0003231F">
        <w:t>[pers. B]</w:t>
      </w:r>
      <w:r w:rsidR="009F7BA9">
        <w:t xml:space="preserve">, pildot valsts amatpersonas pienākumus. No saņemtās korespondences </w:t>
      </w:r>
      <w:r w:rsidR="0003231F">
        <w:t>[pers. A]</w:t>
      </w:r>
      <w:r w:rsidR="009F7BA9">
        <w:t xml:space="preserve"> publiskoja tikai to informāciju, kas bija sabiedrības in</w:t>
      </w:r>
      <w:r w:rsidR="00CB4A39">
        <w:t>teresēs un attiecās uz</w:t>
      </w:r>
      <w:r w:rsidR="00C20F76">
        <w:t xml:space="preserve"> </w:t>
      </w:r>
      <w:r w:rsidR="0003231F">
        <w:t>[pers. B]</w:t>
      </w:r>
      <w:r w:rsidR="00CB4A39">
        <w:t xml:space="preserve"> kā pašvaldības vadītāja </w:t>
      </w:r>
      <w:r w:rsidR="00CC0C20">
        <w:t>un amatpersonas</w:t>
      </w:r>
      <w:r w:rsidR="00C20F76" w:rsidRPr="00C20F76">
        <w:t xml:space="preserve"> </w:t>
      </w:r>
      <w:r w:rsidR="00C20F76">
        <w:t>iespējamām</w:t>
      </w:r>
      <w:r w:rsidR="00CC0C20">
        <w:t xml:space="preserve"> </w:t>
      </w:r>
      <w:r w:rsidR="00CB4A39">
        <w:t>nelikumīgām darbībām. Personiska vai privāta satura informācija netika publiskota, tādējādi nodrošinot samērīgumu starp personas tiesībām uz privātās dzīves jeb korespondences neaizskaramību un žurnālista tiesībām uz vārda brīvību.</w:t>
      </w:r>
    </w:p>
    <w:p w14:paraId="16860182" w14:textId="34B6C1F8" w:rsidR="00800977" w:rsidRDefault="00C60F88" w:rsidP="00FC65D6">
      <w:pPr>
        <w:spacing w:after="0" w:line="276" w:lineRule="auto"/>
        <w:ind w:firstLine="709"/>
        <w:jc w:val="both"/>
        <w:rPr>
          <w:bCs/>
        </w:rPr>
      </w:pPr>
      <w:r>
        <w:rPr>
          <w:bCs/>
        </w:rPr>
        <w:t>[4.</w:t>
      </w:r>
      <w:r w:rsidR="00987149">
        <w:rPr>
          <w:bCs/>
        </w:rPr>
        <w:t>2</w:t>
      </w:r>
      <w:r>
        <w:rPr>
          <w:bCs/>
        </w:rPr>
        <w:t>]</w:t>
      </w:r>
      <w:r w:rsidR="00975843">
        <w:rPr>
          <w:bCs/>
        </w:rPr>
        <w:t> </w:t>
      </w:r>
      <w:r w:rsidR="00B54BDC">
        <w:rPr>
          <w:bCs/>
        </w:rPr>
        <w:t xml:space="preserve">Apelācijas instances tiesa nav ievērojusi Kriminālprocesa likuma </w:t>
      </w:r>
      <w:proofErr w:type="gramStart"/>
      <w:r w:rsidR="00B54BDC">
        <w:rPr>
          <w:bCs/>
        </w:rPr>
        <w:t>527.panta</w:t>
      </w:r>
      <w:proofErr w:type="gramEnd"/>
      <w:r w:rsidR="00B54BDC">
        <w:rPr>
          <w:bCs/>
        </w:rPr>
        <w:t xml:space="preserve"> otrās daļas 1.</w:t>
      </w:r>
      <w:r w:rsidR="00F137AB">
        <w:rPr>
          <w:bCs/>
        </w:rPr>
        <w:t xml:space="preserve"> un</w:t>
      </w:r>
      <w:r w:rsidR="00B54BDC">
        <w:rPr>
          <w:bCs/>
        </w:rPr>
        <w:t xml:space="preserve"> 2.punkt</w:t>
      </w:r>
      <w:r w:rsidR="002B0174">
        <w:rPr>
          <w:bCs/>
        </w:rPr>
        <w:t>ā</w:t>
      </w:r>
      <w:r w:rsidR="00B54BDC">
        <w:rPr>
          <w:bCs/>
        </w:rPr>
        <w:t xml:space="preserve"> noteik</w:t>
      </w:r>
      <w:r w:rsidR="002B0174">
        <w:rPr>
          <w:bCs/>
        </w:rPr>
        <w:t>to</w:t>
      </w:r>
      <w:r w:rsidR="005A494A">
        <w:rPr>
          <w:bCs/>
        </w:rPr>
        <w:t>.</w:t>
      </w:r>
      <w:r w:rsidR="00B54BDC">
        <w:rPr>
          <w:bCs/>
        </w:rPr>
        <w:t xml:space="preserve"> </w:t>
      </w:r>
    </w:p>
    <w:p w14:paraId="3C7D72D0" w14:textId="5D03C4FA" w:rsidR="000B24D8" w:rsidRDefault="000B24D8" w:rsidP="00FC65D6">
      <w:pPr>
        <w:spacing w:after="0" w:line="276" w:lineRule="auto"/>
        <w:ind w:firstLine="709"/>
        <w:jc w:val="both"/>
        <w:rPr>
          <w:bCs/>
        </w:rPr>
      </w:pPr>
      <w:proofErr w:type="gramStart"/>
      <w:r>
        <w:rPr>
          <w:bCs/>
        </w:rPr>
        <w:t>2012.gada</w:t>
      </w:r>
      <w:proofErr w:type="gramEnd"/>
      <w:r>
        <w:rPr>
          <w:bCs/>
        </w:rPr>
        <w:t xml:space="preserve"> </w:t>
      </w:r>
      <w:r w:rsidR="0003231F">
        <w:rPr>
          <w:bCs/>
        </w:rPr>
        <w:t>[..]</w:t>
      </w:r>
      <w:r>
        <w:rPr>
          <w:bCs/>
        </w:rPr>
        <w:t xml:space="preserve"> apskates protokols</w:t>
      </w:r>
      <w:r w:rsidR="0072068D">
        <w:rPr>
          <w:bCs/>
        </w:rPr>
        <w:t xml:space="preserve"> (</w:t>
      </w:r>
      <w:r w:rsidR="00A6213B">
        <w:rPr>
          <w:bCs/>
        </w:rPr>
        <w:t>portatīvā datora cietā diska un ārējā cietā diska</w:t>
      </w:r>
      <w:r w:rsidR="0072068D">
        <w:rPr>
          <w:bCs/>
        </w:rPr>
        <w:t xml:space="preserve"> satura apskate)</w:t>
      </w:r>
      <w:r>
        <w:rPr>
          <w:bCs/>
        </w:rPr>
        <w:t xml:space="preserve"> sagatavots, neievērojot Kriminālprocesa likuma 159.-164.panta nosacījumus. </w:t>
      </w:r>
      <w:r w:rsidR="0072068D">
        <w:rPr>
          <w:bCs/>
        </w:rPr>
        <w:t>Kriminālprocesa likumā nav paredzēt</w:t>
      </w:r>
      <w:r w:rsidR="005A494A">
        <w:rPr>
          <w:bCs/>
        </w:rPr>
        <w:t xml:space="preserve">a izmeklēšanas darbība, kurā tiek veikta kāda objekta satura apskate. Šādu darbību veikšana neatbilst Kriminālprocesa likuma </w:t>
      </w:r>
      <w:proofErr w:type="gramStart"/>
      <w:r w:rsidR="005A494A">
        <w:rPr>
          <w:bCs/>
        </w:rPr>
        <w:t>159.panta</w:t>
      </w:r>
      <w:proofErr w:type="gramEnd"/>
      <w:r w:rsidR="005A494A">
        <w:rPr>
          <w:bCs/>
        </w:rPr>
        <w:t xml:space="preserve"> pirmās un otrās daļas nosacījumiem</w:t>
      </w:r>
      <w:r w:rsidR="004801C5">
        <w:rPr>
          <w:bCs/>
        </w:rPr>
        <w:t>.</w:t>
      </w:r>
    </w:p>
    <w:p w14:paraId="340D13E3" w14:textId="1AC2CC7E" w:rsidR="005A494A" w:rsidRDefault="005A494A" w:rsidP="00FC65D6">
      <w:pPr>
        <w:spacing w:after="0" w:line="276" w:lineRule="auto"/>
        <w:ind w:firstLine="709"/>
        <w:jc w:val="both"/>
        <w:rPr>
          <w:bCs/>
        </w:rPr>
      </w:pPr>
      <w:r>
        <w:rPr>
          <w:bCs/>
        </w:rPr>
        <w:t xml:space="preserve">Līdz ar to secināms, ka </w:t>
      </w:r>
      <w:proofErr w:type="gramStart"/>
      <w:r>
        <w:rPr>
          <w:bCs/>
        </w:rPr>
        <w:t>2012.gada</w:t>
      </w:r>
      <w:proofErr w:type="gramEnd"/>
      <w:r>
        <w:rPr>
          <w:bCs/>
        </w:rPr>
        <w:t xml:space="preserve"> </w:t>
      </w:r>
      <w:r w:rsidR="0003231F">
        <w:rPr>
          <w:bCs/>
        </w:rPr>
        <w:t>[..]</w:t>
      </w:r>
      <w:r>
        <w:rPr>
          <w:bCs/>
        </w:rPr>
        <w:t xml:space="preserve"> veiktās apskates laikā iegūtās ziņas nav atzīstamas par pierādījumu, jo</w:t>
      </w:r>
      <w:r w:rsidR="002B0174">
        <w:rPr>
          <w:bCs/>
        </w:rPr>
        <w:t xml:space="preserve"> </w:t>
      </w:r>
      <w:r w:rsidR="00F137AB">
        <w:rPr>
          <w:bCs/>
        </w:rPr>
        <w:t xml:space="preserve">iegūtas, pārsniedzot apskatei </w:t>
      </w:r>
      <w:r w:rsidR="00E950A4">
        <w:rPr>
          <w:bCs/>
        </w:rPr>
        <w:t>noteiktās</w:t>
      </w:r>
      <w:r w:rsidR="00F137AB">
        <w:rPr>
          <w:bCs/>
        </w:rPr>
        <w:t xml:space="preserve"> robežas. Tādējādi konstatējami </w:t>
      </w:r>
      <w:r>
        <w:rPr>
          <w:bCs/>
        </w:rPr>
        <w:t xml:space="preserve">Kriminālprocesa likuma </w:t>
      </w:r>
      <w:proofErr w:type="gramStart"/>
      <w:r>
        <w:rPr>
          <w:bCs/>
        </w:rPr>
        <w:t>130.panta</w:t>
      </w:r>
      <w:proofErr w:type="gramEnd"/>
      <w:r>
        <w:rPr>
          <w:bCs/>
        </w:rPr>
        <w:t xml:space="preserve"> otrās daļas 3.</w:t>
      </w:r>
      <w:r w:rsidR="00F137AB">
        <w:rPr>
          <w:bCs/>
        </w:rPr>
        <w:t xml:space="preserve"> un</w:t>
      </w:r>
      <w:r>
        <w:rPr>
          <w:bCs/>
        </w:rPr>
        <w:t xml:space="preserve"> 4.punkt</w:t>
      </w:r>
      <w:r w:rsidR="00F137AB">
        <w:rPr>
          <w:bCs/>
        </w:rPr>
        <w:t>ā noteiktie pamati pierādījuma atzīšanai par nepieļaujamu un pierādīšanā neizmantojamu.</w:t>
      </w:r>
    </w:p>
    <w:p w14:paraId="316848AD" w14:textId="19061694" w:rsidR="00987C46" w:rsidRDefault="00987C46" w:rsidP="00FC65D6">
      <w:pPr>
        <w:spacing w:after="0" w:line="276" w:lineRule="auto"/>
        <w:ind w:firstLine="709"/>
        <w:jc w:val="both"/>
        <w:rPr>
          <w:bCs/>
        </w:rPr>
      </w:pPr>
      <w:r>
        <w:rPr>
          <w:bCs/>
        </w:rPr>
        <w:t>[4.3]</w:t>
      </w:r>
      <w:r w:rsidR="00975843">
        <w:rPr>
          <w:bCs/>
        </w:rPr>
        <w:t> </w:t>
      </w:r>
      <w:r w:rsidR="00982F81">
        <w:rPr>
          <w:bCs/>
        </w:rPr>
        <w:t xml:space="preserve">Apelācijas instances tiesa nepamatoti atstājusi negrozītu pirmās instances tiesas spriedumu </w:t>
      </w:r>
      <w:r w:rsidR="00C20F76">
        <w:rPr>
          <w:bCs/>
        </w:rPr>
        <w:t xml:space="preserve">arī </w:t>
      </w:r>
      <w:r w:rsidR="00982F81">
        <w:rPr>
          <w:bCs/>
        </w:rPr>
        <w:t xml:space="preserve">daļā par kaitējuma kompensācijas piedziņu. </w:t>
      </w:r>
    </w:p>
    <w:p w14:paraId="135EBF31" w14:textId="0EE10D6C" w:rsidR="00982F81" w:rsidRDefault="00954FCD" w:rsidP="00FC65D6">
      <w:pPr>
        <w:spacing w:after="0" w:line="276" w:lineRule="auto"/>
        <w:ind w:firstLine="709"/>
        <w:jc w:val="both"/>
        <w:rPr>
          <w:bCs/>
        </w:rPr>
      </w:pPr>
      <w:r>
        <w:rPr>
          <w:bCs/>
        </w:rPr>
        <w:t>Cietušais</w:t>
      </w:r>
      <w:r w:rsidR="00982F81">
        <w:rPr>
          <w:bCs/>
        </w:rPr>
        <w:t xml:space="preserve"> </w:t>
      </w:r>
      <w:r w:rsidR="0003231F">
        <w:rPr>
          <w:bCs/>
        </w:rPr>
        <w:t>[pers. </w:t>
      </w:r>
      <w:r w:rsidR="0003231F">
        <w:t>B]</w:t>
      </w:r>
      <w:r w:rsidR="00982F81">
        <w:rPr>
          <w:bCs/>
        </w:rPr>
        <w:t xml:space="preserve"> </w:t>
      </w:r>
      <w:proofErr w:type="gramStart"/>
      <w:r w:rsidR="00982F81">
        <w:rPr>
          <w:bCs/>
        </w:rPr>
        <w:t>2013.gada</w:t>
      </w:r>
      <w:proofErr w:type="gramEnd"/>
      <w:r w:rsidR="00982F81">
        <w:rPr>
          <w:bCs/>
        </w:rPr>
        <w:t xml:space="preserve"> </w:t>
      </w:r>
      <w:r w:rsidR="00A32C2F">
        <w:rPr>
          <w:bCs/>
        </w:rPr>
        <w:t>[..]</w:t>
      </w:r>
      <w:r w:rsidR="00982F81">
        <w:rPr>
          <w:bCs/>
        </w:rPr>
        <w:t xml:space="preserve"> nopratināšanas </w:t>
      </w:r>
      <w:r>
        <w:rPr>
          <w:bCs/>
        </w:rPr>
        <w:t>protokolā norādījis</w:t>
      </w:r>
      <w:r w:rsidR="00982F81">
        <w:rPr>
          <w:bCs/>
        </w:rPr>
        <w:t xml:space="preserve">, ka viņam nodarīts materiālais kaitējums, </w:t>
      </w:r>
      <w:r>
        <w:rPr>
          <w:bCs/>
        </w:rPr>
        <w:t>piesakot materiālā kaitējuma kompensāciju 10 000 latus</w:t>
      </w:r>
      <w:r w:rsidR="00982F81">
        <w:rPr>
          <w:bCs/>
        </w:rPr>
        <w:t xml:space="preserve">. </w:t>
      </w:r>
      <w:r>
        <w:rPr>
          <w:bCs/>
        </w:rPr>
        <w:t>Savukārt t</w:t>
      </w:r>
      <w:r w:rsidR="0068589E">
        <w:rPr>
          <w:bCs/>
        </w:rPr>
        <w:t>iesa spriedumā norādījusi, ka cietušais lietā pieteicis morālā kaitējuma kompensāciju</w:t>
      </w:r>
      <w:r>
        <w:rPr>
          <w:bCs/>
        </w:rPr>
        <w:t xml:space="preserve">, </w:t>
      </w:r>
      <w:r>
        <w:rPr>
          <w:bCs/>
        </w:rPr>
        <w:lastRenderedPageBreak/>
        <w:t>nepamatojot, kāpēc tiek izteikts šāds atzinums</w:t>
      </w:r>
      <w:r w:rsidR="0068589E">
        <w:rPr>
          <w:bCs/>
        </w:rPr>
        <w:t xml:space="preserve">. </w:t>
      </w:r>
      <w:r w:rsidR="00982F81">
        <w:rPr>
          <w:bCs/>
        </w:rPr>
        <w:t xml:space="preserve">Turklāt </w:t>
      </w:r>
      <w:r w:rsidR="0068589E">
        <w:rPr>
          <w:bCs/>
        </w:rPr>
        <w:t xml:space="preserve">nopratināšanas </w:t>
      </w:r>
      <w:r w:rsidR="00982F81">
        <w:rPr>
          <w:bCs/>
        </w:rPr>
        <w:t xml:space="preserve">protokolā cietušais sevi pozicionē kā publisku personu, </w:t>
      </w:r>
      <w:r w:rsidR="0068589E">
        <w:rPr>
          <w:bCs/>
        </w:rPr>
        <w:t xml:space="preserve">tas ir, </w:t>
      </w:r>
      <w:r w:rsidR="00E950A4">
        <w:rPr>
          <w:bCs/>
        </w:rPr>
        <w:t xml:space="preserve">kā </w:t>
      </w:r>
      <w:r w:rsidR="00982F81">
        <w:rPr>
          <w:bCs/>
        </w:rPr>
        <w:t>pašvaldības vadītāj</w:t>
      </w:r>
      <w:r w:rsidR="00E950A4">
        <w:rPr>
          <w:bCs/>
        </w:rPr>
        <w:t>u</w:t>
      </w:r>
      <w:r w:rsidR="00982F81">
        <w:rPr>
          <w:bCs/>
        </w:rPr>
        <w:t>, politiskās partijas priekšsēdētāj</w:t>
      </w:r>
      <w:r w:rsidR="00E950A4">
        <w:rPr>
          <w:bCs/>
        </w:rPr>
        <w:t>u</w:t>
      </w:r>
      <w:r w:rsidR="00982F81">
        <w:rPr>
          <w:bCs/>
        </w:rPr>
        <w:t>, nevis kā fizisku personu.</w:t>
      </w:r>
    </w:p>
    <w:p w14:paraId="396A6A75" w14:textId="4CA10149" w:rsidR="00987C46" w:rsidRDefault="0045702D" w:rsidP="00FC65D6">
      <w:pPr>
        <w:spacing w:after="0" w:line="276" w:lineRule="auto"/>
        <w:ind w:firstLine="709"/>
        <w:jc w:val="both"/>
        <w:rPr>
          <w:bCs/>
        </w:rPr>
      </w:pPr>
      <w:r>
        <w:rPr>
          <w:bCs/>
        </w:rPr>
        <w:t>[4.4]</w:t>
      </w:r>
      <w:r w:rsidR="00975843">
        <w:rPr>
          <w:bCs/>
        </w:rPr>
        <w:t> </w:t>
      </w:r>
      <w:r w:rsidR="00DA7EC6">
        <w:rPr>
          <w:bCs/>
        </w:rPr>
        <w:t xml:space="preserve">Tiesa nepamatoti piedzinusi no apsūdzētā procesuālos izdevumus, kas saistīti ar liecinieka </w:t>
      </w:r>
      <w:r w:rsidR="00A32C2F">
        <w:rPr>
          <w:bCs/>
        </w:rPr>
        <w:t>[pers. E]</w:t>
      </w:r>
      <w:r w:rsidR="00DA7EC6">
        <w:rPr>
          <w:bCs/>
        </w:rPr>
        <w:t xml:space="preserve"> ceļa izdevumiem. </w:t>
      </w:r>
    </w:p>
    <w:p w14:paraId="4C155C87" w14:textId="3ECECCBC" w:rsidR="00DA7EC6" w:rsidRDefault="00DA7EC6" w:rsidP="00FC65D6">
      <w:pPr>
        <w:spacing w:after="0" w:line="276" w:lineRule="auto"/>
        <w:ind w:firstLine="709"/>
        <w:jc w:val="both"/>
        <w:rPr>
          <w:bCs/>
        </w:rPr>
      </w:pPr>
      <w:r>
        <w:rPr>
          <w:bCs/>
        </w:rPr>
        <w:t xml:space="preserve">Lai arī Kriminālprocesa likuma </w:t>
      </w:r>
      <w:proofErr w:type="gramStart"/>
      <w:r>
        <w:rPr>
          <w:bCs/>
        </w:rPr>
        <w:t>368.pants</w:t>
      </w:r>
      <w:proofErr w:type="gramEnd"/>
      <w:r>
        <w:rPr>
          <w:bCs/>
        </w:rPr>
        <w:t xml:space="preserve"> paredz procesuālo izdevumu piedziņu, tomēr šie izdevumi konkrētajā gadījumā nebūtu piedzenami no apsūdzētā, ņemot vērā, ka minētā liecinieka pirmstiesas procesā veikto procesuālo darbību rezultātā iegūt</w:t>
      </w:r>
      <w:r w:rsidR="009F62EB">
        <w:rPr>
          <w:bCs/>
        </w:rPr>
        <w:t>ie</w:t>
      </w:r>
      <w:r>
        <w:rPr>
          <w:bCs/>
        </w:rPr>
        <w:t xml:space="preserve"> pierādījum</w:t>
      </w:r>
      <w:r w:rsidR="009F62EB">
        <w:rPr>
          <w:bCs/>
        </w:rPr>
        <w:t>i</w:t>
      </w:r>
      <w:r>
        <w:rPr>
          <w:bCs/>
        </w:rPr>
        <w:t xml:space="preserve">, tas ir, 2012.gada </w:t>
      </w:r>
      <w:r w:rsidR="00521E26">
        <w:rPr>
          <w:bCs/>
        </w:rPr>
        <w:t>[..]</w:t>
      </w:r>
      <w:r>
        <w:rPr>
          <w:bCs/>
        </w:rPr>
        <w:t xml:space="preserve"> apskates protokol</w:t>
      </w:r>
      <w:r w:rsidR="00C20F76">
        <w:rPr>
          <w:bCs/>
        </w:rPr>
        <w:t>ā fiksētās ziņas par faktiem</w:t>
      </w:r>
      <w:r>
        <w:rPr>
          <w:bCs/>
        </w:rPr>
        <w:t>, par ko liecinieks tiesā sniedza liecību, ir atzīstam</w:t>
      </w:r>
      <w:r w:rsidR="00C20F76">
        <w:rPr>
          <w:bCs/>
        </w:rPr>
        <w:t>a</w:t>
      </w:r>
      <w:r>
        <w:rPr>
          <w:bCs/>
        </w:rPr>
        <w:t>s par nepieļaujam</w:t>
      </w:r>
      <w:r w:rsidR="00C20F76">
        <w:rPr>
          <w:bCs/>
        </w:rPr>
        <w:t>ām</w:t>
      </w:r>
      <w:r>
        <w:rPr>
          <w:bCs/>
        </w:rPr>
        <w:t xml:space="preserve"> un pierādīšanā neizmantoj</w:t>
      </w:r>
      <w:r w:rsidR="003A09B8">
        <w:rPr>
          <w:bCs/>
        </w:rPr>
        <w:t>a</w:t>
      </w:r>
      <w:r>
        <w:rPr>
          <w:bCs/>
        </w:rPr>
        <w:t>m</w:t>
      </w:r>
      <w:r w:rsidR="00C20F76">
        <w:rPr>
          <w:bCs/>
        </w:rPr>
        <w:t>ām</w:t>
      </w:r>
      <w:r>
        <w:rPr>
          <w:bCs/>
        </w:rPr>
        <w:t xml:space="preserve">. </w:t>
      </w:r>
      <w:r w:rsidR="004B0A72">
        <w:rPr>
          <w:bCs/>
        </w:rPr>
        <w:t>Šajā gadījumā</w:t>
      </w:r>
      <w:r w:rsidR="00CB72F0">
        <w:rPr>
          <w:bCs/>
        </w:rPr>
        <w:t xml:space="preserve"> procesuālo izdevumu piedziņa neatbilst Kriminālprocesa likuma 1.pantā definētajam kriminālprocesa mērķim. </w:t>
      </w:r>
    </w:p>
    <w:p w14:paraId="18F3D1D3" w14:textId="77777777" w:rsidR="00800977" w:rsidRPr="00121DA7" w:rsidRDefault="00800977" w:rsidP="00FC65D6">
      <w:pPr>
        <w:spacing w:after="0" w:line="276" w:lineRule="auto"/>
        <w:ind w:firstLine="709"/>
        <w:jc w:val="both"/>
        <w:rPr>
          <w:bCs/>
        </w:rPr>
      </w:pPr>
    </w:p>
    <w:p w14:paraId="5D7370D3" w14:textId="743EA249" w:rsidR="00F37100" w:rsidRDefault="00EC1FA4" w:rsidP="00FC65D6">
      <w:pPr>
        <w:spacing w:after="0" w:line="276" w:lineRule="auto"/>
        <w:ind w:firstLine="709"/>
        <w:jc w:val="both"/>
      </w:pPr>
      <w:r w:rsidRPr="00121DA7">
        <w:t>[</w:t>
      </w:r>
      <w:r w:rsidR="00800977" w:rsidRPr="00121DA7">
        <w:t>5</w:t>
      </w:r>
      <w:r w:rsidRPr="00121DA7">
        <w:t>]</w:t>
      </w:r>
      <w:r w:rsidR="00975843">
        <w:t> </w:t>
      </w:r>
      <w:r w:rsidR="00AA3FE2" w:rsidRPr="00121DA7">
        <w:t xml:space="preserve">Par </w:t>
      </w:r>
      <w:r w:rsidR="00A32C2F">
        <w:t>[..]</w:t>
      </w:r>
      <w:r w:rsidR="00800977" w:rsidRPr="00121DA7">
        <w:t xml:space="preserve"> </w:t>
      </w:r>
      <w:r w:rsidR="00AA3FE2" w:rsidRPr="00121DA7">
        <w:t xml:space="preserve">apgabaltiesas </w:t>
      </w:r>
      <w:proofErr w:type="gramStart"/>
      <w:r w:rsidR="00AA3FE2" w:rsidRPr="00121DA7">
        <w:t>2021.gada</w:t>
      </w:r>
      <w:proofErr w:type="gramEnd"/>
      <w:r w:rsidR="00AA3FE2" w:rsidRPr="00121DA7">
        <w:t xml:space="preserve"> </w:t>
      </w:r>
      <w:r w:rsidR="00A32C2F">
        <w:t>[..]</w:t>
      </w:r>
      <w:r w:rsidR="00AA3FE2" w:rsidRPr="00121DA7">
        <w:t xml:space="preserve"> </w:t>
      </w:r>
      <w:r w:rsidR="002C7C6F" w:rsidRPr="00121DA7">
        <w:t>spriedumu</w:t>
      </w:r>
      <w:r w:rsidR="00AA3FE2" w:rsidRPr="00121DA7">
        <w:t xml:space="preserve"> kasācijas </w:t>
      </w:r>
      <w:r w:rsidR="00AF2A35" w:rsidRPr="00121DA7">
        <w:t xml:space="preserve">sūdzību </w:t>
      </w:r>
      <w:r w:rsidR="004B099D" w:rsidRPr="00121DA7">
        <w:t xml:space="preserve">iesniedzis apsūdzētais </w:t>
      </w:r>
      <w:r w:rsidR="00A32C2F">
        <w:t>[pers. A]</w:t>
      </w:r>
      <w:r w:rsidR="004B099D" w:rsidRPr="00121DA7">
        <w:t xml:space="preserve">, kurš lūdz atcelt spriedumu un attaisnot viņu. </w:t>
      </w:r>
    </w:p>
    <w:p w14:paraId="590A5C86" w14:textId="64107CEB" w:rsidR="004B0A72" w:rsidRDefault="00436330" w:rsidP="00FC65D6">
      <w:pPr>
        <w:spacing w:after="0" w:line="276" w:lineRule="auto"/>
        <w:ind w:firstLine="709"/>
        <w:jc w:val="both"/>
      </w:pPr>
      <w:r>
        <w:t>A</w:t>
      </w:r>
      <w:r w:rsidR="00752350">
        <w:t xml:space="preserve">psūdzētā kasācijas sūdzībā daļēji atkārtoti </w:t>
      </w:r>
      <w:r>
        <w:t>aizstāves kasācijas sūdzības</w:t>
      </w:r>
      <w:r w:rsidR="00752350">
        <w:t xml:space="preserve"> argumenti</w:t>
      </w:r>
      <w:r w:rsidR="004B0A72">
        <w:t>.</w:t>
      </w:r>
    </w:p>
    <w:p w14:paraId="3560D0F8" w14:textId="0C785676" w:rsidR="004B0A72" w:rsidRPr="00121DA7" w:rsidRDefault="004B0A72" w:rsidP="00FC65D6">
      <w:pPr>
        <w:spacing w:after="0" w:line="276" w:lineRule="auto"/>
        <w:ind w:firstLine="709"/>
        <w:jc w:val="both"/>
      </w:pPr>
      <w:r>
        <w:t xml:space="preserve">Apsūdzētais kasācijas sūdzībā norādījis šādus papildu argumentus. </w:t>
      </w:r>
    </w:p>
    <w:p w14:paraId="362ECA96" w14:textId="15F2CEB6" w:rsidR="006318AF" w:rsidRDefault="007A1F10" w:rsidP="00FC65D6">
      <w:pPr>
        <w:spacing w:after="0" w:line="276" w:lineRule="auto"/>
        <w:ind w:firstLine="709"/>
        <w:jc w:val="both"/>
      </w:pPr>
      <w:r w:rsidRPr="00121DA7">
        <w:t>[</w:t>
      </w:r>
      <w:r w:rsidR="00BB7AEC" w:rsidRPr="00121DA7">
        <w:t>5</w:t>
      </w:r>
      <w:r w:rsidRPr="00121DA7">
        <w:t>.1]</w:t>
      </w:r>
      <w:r w:rsidR="00975843">
        <w:t> </w:t>
      </w:r>
      <w:r w:rsidR="00D04C13">
        <w:t>Pirms iepazīšanās</w:t>
      </w:r>
      <w:r w:rsidR="005F136D">
        <w:t xml:space="preserve"> ar</w:t>
      </w:r>
      <w:r w:rsidR="00D04C13">
        <w:t xml:space="preserve"> </w:t>
      </w:r>
      <w:r w:rsidR="004B0A72">
        <w:t xml:space="preserve">apsūdzētā </w:t>
      </w:r>
      <w:r w:rsidR="005F136D">
        <w:t xml:space="preserve">rīcībā nonākušā </w:t>
      </w:r>
      <w:r w:rsidR="00D04C13">
        <w:t xml:space="preserve">faila saturu </w:t>
      </w:r>
      <w:r w:rsidR="005F136D">
        <w:t>viņam</w:t>
      </w:r>
      <w:r w:rsidR="00D04C13">
        <w:t xml:space="preserve"> nebija zināms, ka tajā varētu būt cietušā </w:t>
      </w:r>
      <w:r w:rsidR="00A32C2F">
        <w:t>[pers. B]</w:t>
      </w:r>
      <w:r w:rsidR="00D04C13">
        <w:t xml:space="preserve"> personīgā korespondence. </w:t>
      </w:r>
    </w:p>
    <w:p w14:paraId="61C97E1A" w14:textId="45B24878" w:rsidR="00F37100" w:rsidRDefault="00F37100" w:rsidP="00FC65D6">
      <w:pPr>
        <w:spacing w:after="0" w:line="276" w:lineRule="auto"/>
        <w:ind w:firstLine="709"/>
        <w:jc w:val="both"/>
      </w:pPr>
      <w:r>
        <w:t xml:space="preserve">Arī pats cietušais nav pārliecināts, vai publicētās ziņas veido viņa </w:t>
      </w:r>
      <w:r w:rsidR="00DF37B4">
        <w:t xml:space="preserve">sagatavoto </w:t>
      </w:r>
      <w:r>
        <w:t xml:space="preserve">korespondenci, jo piekļuve e-pastam bija arī citām personām. Lietā ir pierādīts, ka e-pasts </w:t>
      </w:r>
      <w:hyperlink r:id="rId8" w:history="1">
        <w:r w:rsidR="00A32C2F">
          <w:rPr>
            <w:rStyle w:val="Hyperlink"/>
            <w:color w:val="auto"/>
            <w:u w:val="none"/>
          </w:rPr>
          <w:t>[elektroniskā pasta adrese]</w:t>
        </w:r>
      </w:hyperlink>
      <w:r w:rsidRPr="00F37100">
        <w:t xml:space="preserve"> tika </w:t>
      </w:r>
      <w:r>
        <w:t>izmantots publiskajā darbībā, nevis cietušā kā fizisk</w:t>
      </w:r>
      <w:r w:rsidR="004B0A72">
        <w:t>a</w:t>
      </w:r>
      <w:r>
        <w:t xml:space="preserve">s personas vajadzībām. </w:t>
      </w:r>
    </w:p>
    <w:p w14:paraId="067EDF82" w14:textId="232DF333" w:rsidR="005F136D" w:rsidRDefault="005F136D" w:rsidP="00FC65D6">
      <w:pPr>
        <w:spacing w:after="0" w:line="276" w:lineRule="auto"/>
        <w:ind w:firstLine="709"/>
        <w:jc w:val="both"/>
      </w:pPr>
      <w:r>
        <w:t>[5.2]</w:t>
      </w:r>
      <w:r w:rsidR="00975843">
        <w:t> </w:t>
      </w:r>
      <w:r>
        <w:t xml:space="preserve">Tiesa spriedumā nav </w:t>
      </w:r>
      <w:r w:rsidR="00175C69">
        <w:t>iz</w:t>
      </w:r>
      <w:r>
        <w:t xml:space="preserve">vērtējusi </w:t>
      </w:r>
      <w:r w:rsidR="00175C69">
        <w:t xml:space="preserve">Datu valsts inspekcijas lēmumu par lietvedības izbeigšanu, kā arī uzņēmuma Google sniegto atbildi. </w:t>
      </w:r>
    </w:p>
    <w:p w14:paraId="41B1A9AA" w14:textId="31B5365F" w:rsidR="00175C69" w:rsidRDefault="00752350" w:rsidP="00FC65D6">
      <w:pPr>
        <w:spacing w:after="0" w:line="276" w:lineRule="auto"/>
        <w:ind w:firstLine="709"/>
        <w:jc w:val="both"/>
      </w:pPr>
      <w:r>
        <w:t>L</w:t>
      </w:r>
      <w:r w:rsidR="00175C69">
        <w:t xml:space="preserve">iecinieks </w:t>
      </w:r>
      <w:r w:rsidR="00A32C2F">
        <w:t>[pers. E]</w:t>
      </w:r>
      <w:r w:rsidR="00175C69">
        <w:t xml:space="preserve"> </w:t>
      </w:r>
      <w:proofErr w:type="gramStart"/>
      <w:r w:rsidR="00175C69">
        <w:t>2018.gada</w:t>
      </w:r>
      <w:proofErr w:type="gramEnd"/>
      <w:r w:rsidR="00175C69">
        <w:t xml:space="preserve"> </w:t>
      </w:r>
      <w:r w:rsidR="00A32C2F">
        <w:t>[..]</w:t>
      </w:r>
      <w:r w:rsidR="00175C69">
        <w:t xml:space="preserve"> tiesas sēdē demonstrēja vairāku failu kopijas, </w:t>
      </w:r>
      <w:r>
        <w:t xml:space="preserve">ar kurām apsūdzētais iepriekš nebija iepazīstināts.  </w:t>
      </w:r>
    </w:p>
    <w:p w14:paraId="3CC9DF2F" w14:textId="57AB9732" w:rsidR="00752350" w:rsidRDefault="00B23F54" w:rsidP="00FC65D6">
      <w:pPr>
        <w:spacing w:after="0" w:line="276" w:lineRule="auto"/>
        <w:ind w:firstLine="709"/>
        <w:jc w:val="both"/>
      </w:pPr>
      <w:r>
        <w:t>[5.3] </w:t>
      </w:r>
      <w:bookmarkStart w:id="3" w:name="_Hlk95833884"/>
      <w:r>
        <w:t xml:space="preserve">Pirmstiesas kriminālprocesā pieļauts Kriminālprocesa likuma </w:t>
      </w:r>
      <w:proofErr w:type="gramStart"/>
      <w:r>
        <w:t>88.panta</w:t>
      </w:r>
      <w:proofErr w:type="gramEnd"/>
      <w:r>
        <w:t xml:space="preserve"> otrās daļas pārkāpums, jo 2011.gada </w:t>
      </w:r>
      <w:r w:rsidR="00A32C2F">
        <w:t>[..]</w:t>
      </w:r>
      <w:r w:rsidR="00F2469A">
        <w:t>.</w:t>
      </w:r>
      <w:r w:rsidR="001B12A2">
        <w:t xml:space="preserve"> un</w:t>
      </w:r>
      <w:r w:rsidR="00F2469A">
        <w:t xml:space="preserve"> </w:t>
      </w:r>
      <w:r w:rsidR="00A32C2F">
        <w:t>[..]</w:t>
      </w:r>
      <w:r w:rsidR="00F2469A">
        <w:t>, veicot nopratināšanu, netika pieaicināts aizstāvis</w:t>
      </w:r>
      <w:bookmarkEnd w:id="3"/>
      <w:r w:rsidR="00F2469A">
        <w:t xml:space="preserve">, kaut gan jau 2011.gada </w:t>
      </w:r>
      <w:r w:rsidR="00A32C2F">
        <w:t>[..]</w:t>
      </w:r>
      <w:r w:rsidR="00F2469A">
        <w:t xml:space="preserve"> lietā tika iesniegts zvērināta advokāta orderis. Minētais pārkāpums atzīstams par Kriminālprocesa likuma būtisku pārkāpumu šā likuma </w:t>
      </w:r>
      <w:proofErr w:type="gramStart"/>
      <w:r w:rsidR="00F2469A">
        <w:t>575.panta</w:t>
      </w:r>
      <w:proofErr w:type="gramEnd"/>
      <w:r w:rsidR="00F2469A">
        <w:t xml:space="preserve"> trešās daļas izpratnē.</w:t>
      </w:r>
    </w:p>
    <w:p w14:paraId="7CC903AE" w14:textId="47844EAB" w:rsidR="00F2469A" w:rsidRDefault="00F2469A" w:rsidP="00FC65D6">
      <w:pPr>
        <w:spacing w:after="0" w:line="276" w:lineRule="auto"/>
        <w:ind w:firstLine="709"/>
        <w:jc w:val="both"/>
      </w:pPr>
      <w:r>
        <w:t>[5.4]</w:t>
      </w:r>
      <w:r w:rsidR="00975843">
        <w:t> </w:t>
      </w:r>
      <w:r>
        <w:t>Tiesa pamatoti konstatējusi tiesību uz kriminālprocesa pabeigšanu saprātīgā termiņā pārkāpumu, piemērojot Krimināllikuma 49.</w:t>
      </w:r>
      <w:proofErr w:type="gramStart"/>
      <w:r w:rsidRPr="00F2469A">
        <w:rPr>
          <w:vertAlign w:val="superscript"/>
        </w:rPr>
        <w:t>1</w:t>
      </w:r>
      <w:r>
        <w:t>panta</w:t>
      </w:r>
      <w:proofErr w:type="gramEnd"/>
      <w:r>
        <w:t xml:space="preserve"> pirmās daļas nosacījumus. Tomēr tiesai, ņemot vērā lietas sarežģītību</w:t>
      </w:r>
      <w:r w:rsidR="003F4AE1">
        <w:t xml:space="preserve"> un</w:t>
      </w:r>
      <w:r>
        <w:t xml:space="preserve"> kopējo procesa ilgumu, vajadzēja izvērtēt, vai kriminālprocess nav izbeidzams. </w:t>
      </w:r>
    </w:p>
    <w:p w14:paraId="49B85555" w14:textId="3FAE6B5B" w:rsidR="007A1F10" w:rsidRPr="00121DA7" w:rsidRDefault="007A1F10" w:rsidP="00FC65D6">
      <w:pPr>
        <w:spacing w:after="0" w:line="276" w:lineRule="auto"/>
        <w:jc w:val="both"/>
      </w:pPr>
    </w:p>
    <w:p w14:paraId="215954DB" w14:textId="3A34B352" w:rsidR="007A1F10" w:rsidRPr="00121DA7" w:rsidRDefault="007A1F10" w:rsidP="00FC65D6">
      <w:pPr>
        <w:spacing w:after="0" w:line="276" w:lineRule="auto"/>
        <w:jc w:val="center"/>
        <w:rPr>
          <w:b/>
          <w:bCs/>
        </w:rPr>
      </w:pPr>
      <w:r w:rsidRPr="00121DA7">
        <w:rPr>
          <w:b/>
          <w:bCs/>
        </w:rPr>
        <w:t>Motīvu daļa</w:t>
      </w:r>
    </w:p>
    <w:p w14:paraId="12D0192C" w14:textId="77777777" w:rsidR="00F023CB" w:rsidRPr="00121DA7" w:rsidRDefault="00F023CB" w:rsidP="00FC65D6">
      <w:pPr>
        <w:spacing w:after="0" w:line="276" w:lineRule="auto"/>
        <w:jc w:val="center"/>
      </w:pPr>
    </w:p>
    <w:p w14:paraId="5D651943" w14:textId="58CB88C9" w:rsidR="000D2290" w:rsidRDefault="007A1F10" w:rsidP="000D2290">
      <w:pPr>
        <w:spacing w:after="0" w:line="276" w:lineRule="auto"/>
        <w:ind w:firstLine="680"/>
        <w:jc w:val="both"/>
      </w:pPr>
      <w:r w:rsidRPr="00121DA7">
        <w:t>[</w:t>
      </w:r>
      <w:r w:rsidR="001F7DBA" w:rsidRPr="00121DA7">
        <w:t>6</w:t>
      </w:r>
      <w:r w:rsidRPr="00121DA7">
        <w:t>]</w:t>
      </w:r>
      <w:r w:rsidR="00975843">
        <w:t> </w:t>
      </w:r>
      <w:r w:rsidR="006318AF" w:rsidRPr="00121DA7">
        <w:t xml:space="preserve">Senāts atzīst, ka </w:t>
      </w:r>
      <w:r w:rsidR="00A32C2F">
        <w:t>[..]</w:t>
      </w:r>
      <w:r w:rsidR="006318AF" w:rsidRPr="00121DA7">
        <w:t xml:space="preserve"> apgabaltiesas </w:t>
      </w:r>
      <w:proofErr w:type="gramStart"/>
      <w:r w:rsidR="006318AF" w:rsidRPr="00121DA7">
        <w:t>2021.gada</w:t>
      </w:r>
      <w:proofErr w:type="gramEnd"/>
      <w:r w:rsidR="006318AF" w:rsidRPr="00121DA7">
        <w:t xml:space="preserve"> </w:t>
      </w:r>
      <w:r w:rsidR="00A32C2F">
        <w:t>[..]</w:t>
      </w:r>
      <w:r w:rsidR="006318AF" w:rsidRPr="00121DA7">
        <w:t xml:space="preserve"> spriedums atceļams pilnībā un lieta nosūtāma jaunai izskatīšanai apelācijas instances tiesā.</w:t>
      </w:r>
    </w:p>
    <w:p w14:paraId="13ABBDA7" w14:textId="457FDA35" w:rsidR="004D5567" w:rsidRPr="0069428E" w:rsidRDefault="006318AF" w:rsidP="006F013C">
      <w:pPr>
        <w:spacing w:after="0" w:line="276" w:lineRule="auto"/>
        <w:ind w:firstLine="680"/>
        <w:jc w:val="both"/>
      </w:pPr>
      <w:r w:rsidRPr="00121DA7">
        <w:t>[</w:t>
      </w:r>
      <w:r w:rsidR="003A09B8">
        <w:t>6.1</w:t>
      </w:r>
      <w:r w:rsidRPr="00121DA7">
        <w:t>]</w:t>
      </w:r>
      <w:r w:rsidR="00975843">
        <w:t> </w:t>
      </w:r>
      <w:r w:rsidR="004D5567" w:rsidRPr="00515ECE">
        <w:t xml:space="preserve">Krimināllikuma </w:t>
      </w:r>
      <w:proofErr w:type="gramStart"/>
      <w:r w:rsidR="004D5567" w:rsidRPr="00515ECE">
        <w:t>144.panta</w:t>
      </w:r>
      <w:proofErr w:type="gramEnd"/>
      <w:r w:rsidR="004D5567" w:rsidRPr="00515ECE">
        <w:t xml:space="preserve"> pirm</w:t>
      </w:r>
      <w:r w:rsidR="004D5567">
        <w:t>aj</w:t>
      </w:r>
      <w:r w:rsidR="004D5567" w:rsidRPr="00515ECE">
        <w:t>ā daļ</w:t>
      </w:r>
      <w:r w:rsidR="004D5567">
        <w:t>ā paredzēta atbildība par</w:t>
      </w:r>
      <w:r w:rsidR="004D5567" w:rsidRPr="004D5567">
        <w:t xml:space="preserve"> </w:t>
      </w:r>
      <w:r w:rsidR="004D5567" w:rsidRPr="00515ECE">
        <w:t xml:space="preserve">personas korespondences </w:t>
      </w:r>
      <w:bookmarkStart w:id="4" w:name="_Hlk95829310"/>
      <w:r w:rsidR="004D5567" w:rsidRPr="00515ECE">
        <w:t>noslēpum</w:t>
      </w:r>
      <w:r w:rsidR="00CA6AB7">
        <w:t>a</w:t>
      </w:r>
      <w:bookmarkEnd w:id="4"/>
      <w:r w:rsidR="004D5567" w:rsidRPr="00515ECE">
        <w:t xml:space="preserve"> tīšu pārkāpšanu</w:t>
      </w:r>
      <w:r w:rsidR="004D5567">
        <w:t xml:space="preserve"> (2014.gada 25.septembra likuma redakcijā</w:t>
      </w:r>
      <w:r w:rsidR="00CA6AB7">
        <w:t xml:space="preserve">, kas stājās spēkā </w:t>
      </w:r>
      <w:r w:rsidR="00CA6AB7" w:rsidRPr="00515ECE">
        <w:t>2014.gada 2</w:t>
      </w:r>
      <w:r w:rsidR="00EE3E43">
        <w:t>9</w:t>
      </w:r>
      <w:r w:rsidR="00CA6AB7" w:rsidRPr="00515ECE">
        <w:t>.oktobr</w:t>
      </w:r>
      <w:r w:rsidR="00CA6AB7">
        <w:t>ī</w:t>
      </w:r>
      <w:r w:rsidR="004D5567">
        <w:t>).</w:t>
      </w:r>
      <w:r w:rsidR="004D5567" w:rsidRPr="004D5567">
        <w:t xml:space="preserve"> </w:t>
      </w:r>
      <w:r w:rsidR="00A32C2F">
        <w:t>[</w:t>
      </w:r>
      <w:r w:rsidR="004B3CF4">
        <w:t>P</w:t>
      </w:r>
      <w:r w:rsidR="00A32C2F">
        <w:t>ers. A]</w:t>
      </w:r>
      <w:r w:rsidR="004D5567" w:rsidRPr="00515ECE">
        <w:t xml:space="preserve"> atzīts par vainīgu un sodīts pēc Krimināllikuma </w:t>
      </w:r>
      <w:proofErr w:type="gramStart"/>
      <w:r w:rsidR="004D5567" w:rsidRPr="00515ECE">
        <w:t>144.panta</w:t>
      </w:r>
      <w:proofErr w:type="gramEnd"/>
      <w:r w:rsidR="004D5567" w:rsidRPr="00515ECE">
        <w:t xml:space="preserve"> pirmās daļas</w:t>
      </w:r>
      <w:r w:rsidR="004D5567">
        <w:t xml:space="preserve"> </w:t>
      </w:r>
      <w:r w:rsidR="004D5567" w:rsidRPr="00515ECE">
        <w:t>(likuma redakcijā līdz 2014.gada 2</w:t>
      </w:r>
      <w:r w:rsidR="004D5567">
        <w:t>8</w:t>
      </w:r>
      <w:r w:rsidR="004D5567" w:rsidRPr="00515ECE">
        <w:t>.oktobrim) par personas korespondences</w:t>
      </w:r>
      <w:r w:rsidR="00AF6C41">
        <w:t xml:space="preserve"> un</w:t>
      </w:r>
      <w:r w:rsidR="004D5567" w:rsidRPr="00515ECE">
        <w:t xml:space="preserve"> pa telekomunikāciju tīkliem pārraidāmās informācijas noslēpum</w:t>
      </w:r>
      <w:r w:rsidR="003A09B8">
        <w:t>a</w:t>
      </w:r>
      <w:r w:rsidR="004D5567" w:rsidRPr="00515ECE">
        <w:t xml:space="preserve"> tīšu </w:t>
      </w:r>
      <w:r w:rsidR="004D5567" w:rsidRPr="0069428E">
        <w:t xml:space="preserve">pārkāpšanu precīzi nenoskaidrotā laikā līdz 2011.gada </w:t>
      </w:r>
      <w:r w:rsidR="007D5EE0">
        <w:t>[..]</w:t>
      </w:r>
      <w:r w:rsidR="004D5567" w:rsidRPr="0069428E">
        <w:t>.novembrim.</w:t>
      </w:r>
    </w:p>
    <w:p w14:paraId="07DB7571" w14:textId="39F381AD" w:rsidR="00D903D7" w:rsidRPr="0069428E" w:rsidRDefault="00A81A04" w:rsidP="006F013C">
      <w:pPr>
        <w:spacing w:after="0" w:line="276" w:lineRule="auto"/>
        <w:ind w:firstLine="680"/>
        <w:jc w:val="both"/>
      </w:pPr>
      <w:r w:rsidRPr="0069428E">
        <w:t>[</w:t>
      </w:r>
      <w:r w:rsidR="003A09B8">
        <w:t>6.2</w:t>
      </w:r>
      <w:r w:rsidRPr="0069428E">
        <w:t>]</w:t>
      </w:r>
      <w:r w:rsidR="00D903D7" w:rsidRPr="0069428E">
        <w:t> Senāts atzīst, ka, lemjot par kriminālatbildības noteikšanu par korespondences noslēpuma pārkāp</w:t>
      </w:r>
      <w:r w:rsidR="003A09B8">
        <w:t>šanu</w:t>
      </w:r>
      <w:r w:rsidR="00D903D7" w:rsidRPr="0069428E">
        <w:t xml:space="preserve">, tiesai jāveic turpmāk minēto apsvērumu izvērtējums attiecībā uz iesaistīto personu pamattiesībām. </w:t>
      </w:r>
    </w:p>
    <w:p w14:paraId="1ED70ABC" w14:textId="71977B61" w:rsidR="00822F28" w:rsidRPr="0069428E" w:rsidRDefault="00D27470" w:rsidP="006F013C">
      <w:pPr>
        <w:spacing w:after="0" w:line="276" w:lineRule="auto"/>
        <w:ind w:firstLine="680"/>
        <w:jc w:val="both"/>
        <w:rPr>
          <w:rStyle w:val="Hyperlink"/>
          <w:rFonts w:cs="Times New Roman"/>
          <w:color w:val="auto"/>
          <w:szCs w:val="24"/>
          <w:u w:val="none"/>
        </w:rPr>
      </w:pPr>
      <w:r w:rsidRPr="0069428E">
        <w:t>E</w:t>
      </w:r>
      <w:r w:rsidR="0087477D" w:rsidRPr="0069428E">
        <w:t>iropas Cilvēktiesību tiesa</w:t>
      </w:r>
      <w:r w:rsidR="000172AE" w:rsidRPr="0069428E">
        <w:t xml:space="preserve"> atzinusi, ka </w:t>
      </w:r>
      <w:r w:rsidR="00D903D7" w:rsidRPr="0069428E">
        <w:t xml:space="preserve">arī </w:t>
      </w:r>
      <w:r w:rsidR="000172AE" w:rsidRPr="0069428E">
        <w:rPr>
          <w:rFonts w:cs="Times New Roman"/>
          <w:szCs w:val="24"/>
        </w:rPr>
        <w:t>uz e-pastā ietvertas personiskas informācijas vākšanu un glabāšanu attiecas</w:t>
      </w:r>
      <w:r w:rsidR="00A30D8B" w:rsidRPr="0069428E">
        <w:rPr>
          <w:rFonts w:cs="Times New Roman"/>
          <w:szCs w:val="24"/>
        </w:rPr>
        <w:t xml:space="preserve"> </w:t>
      </w:r>
      <w:r w:rsidR="0087477D" w:rsidRPr="0069428E">
        <w:rPr>
          <w:rFonts w:cs="Times New Roman"/>
          <w:szCs w:val="24"/>
        </w:rPr>
        <w:t>Eiropas Cilvēktiesību konvencijas</w:t>
      </w:r>
      <w:r w:rsidR="000172AE" w:rsidRPr="0069428E">
        <w:rPr>
          <w:rFonts w:cs="Times New Roman"/>
          <w:szCs w:val="24"/>
        </w:rPr>
        <w:t xml:space="preserve"> </w:t>
      </w:r>
      <w:proofErr w:type="gramStart"/>
      <w:r w:rsidR="000172AE" w:rsidRPr="0069428E">
        <w:rPr>
          <w:rFonts w:cs="Times New Roman"/>
          <w:szCs w:val="24"/>
        </w:rPr>
        <w:t>8.panta</w:t>
      </w:r>
      <w:proofErr w:type="gramEnd"/>
      <w:r w:rsidR="000172AE" w:rsidRPr="0069428E">
        <w:rPr>
          <w:rFonts w:cs="Times New Roman"/>
          <w:szCs w:val="24"/>
        </w:rPr>
        <w:t xml:space="preserve"> 1.punktā minētie korespondences un privātās dzīves jēdzieni (sk. </w:t>
      </w:r>
      <w:r w:rsidR="00F81E34" w:rsidRPr="0069428E">
        <w:rPr>
          <w:i/>
          <w:iCs/>
        </w:rPr>
        <w:t>Eiropas Cilvēktiesību tiesas</w:t>
      </w:r>
      <w:r w:rsidR="00F81E34" w:rsidRPr="0069428E">
        <w:t xml:space="preserve"> </w:t>
      </w:r>
      <w:r w:rsidR="000172AE" w:rsidRPr="0069428E">
        <w:rPr>
          <w:rFonts w:cs="Times New Roman"/>
          <w:i/>
          <w:iCs/>
          <w:szCs w:val="24"/>
        </w:rPr>
        <w:t>2007</w:t>
      </w:r>
      <w:r w:rsidR="00500C11">
        <w:rPr>
          <w:rFonts w:cs="Times New Roman"/>
          <w:i/>
          <w:iCs/>
          <w:szCs w:val="24"/>
        </w:rPr>
        <w:t>.</w:t>
      </w:r>
      <w:r w:rsidR="000172AE" w:rsidRPr="0069428E">
        <w:rPr>
          <w:rFonts w:cs="Times New Roman"/>
          <w:i/>
          <w:iCs/>
          <w:szCs w:val="24"/>
        </w:rPr>
        <w:t xml:space="preserve">gada 3.aprīļa sprieduma lietā </w:t>
      </w:r>
      <w:r w:rsidR="00F81E34" w:rsidRPr="0069428E">
        <w:rPr>
          <w:rFonts w:cs="Times New Roman"/>
          <w:i/>
          <w:iCs/>
          <w:szCs w:val="24"/>
        </w:rPr>
        <w:t>„</w:t>
      </w:r>
      <w:proofErr w:type="spellStart"/>
      <w:r w:rsidR="000172AE" w:rsidRPr="0069428E">
        <w:rPr>
          <w:rFonts w:cs="Times New Roman"/>
          <w:i/>
          <w:iCs/>
          <w:szCs w:val="24"/>
        </w:rPr>
        <w:t>Copland</w:t>
      </w:r>
      <w:proofErr w:type="spellEnd"/>
      <w:r w:rsidR="000172AE" w:rsidRPr="0069428E">
        <w:rPr>
          <w:rFonts w:cs="Times New Roman"/>
          <w:i/>
          <w:iCs/>
          <w:szCs w:val="24"/>
        </w:rPr>
        <w:t xml:space="preserve"> v. </w:t>
      </w:r>
      <w:proofErr w:type="spellStart"/>
      <w:r w:rsidR="000172AE" w:rsidRPr="0069428E">
        <w:rPr>
          <w:rFonts w:cs="Times New Roman"/>
          <w:i/>
          <w:iCs/>
          <w:szCs w:val="24"/>
        </w:rPr>
        <w:t>the</w:t>
      </w:r>
      <w:proofErr w:type="spellEnd"/>
      <w:r w:rsidR="000172AE" w:rsidRPr="0069428E">
        <w:rPr>
          <w:rFonts w:cs="Times New Roman"/>
          <w:i/>
          <w:iCs/>
          <w:szCs w:val="24"/>
        </w:rPr>
        <w:t xml:space="preserve"> </w:t>
      </w:r>
      <w:proofErr w:type="spellStart"/>
      <w:r w:rsidR="000172AE" w:rsidRPr="0069428E">
        <w:rPr>
          <w:rFonts w:cs="Times New Roman"/>
          <w:i/>
          <w:iCs/>
          <w:szCs w:val="24"/>
        </w:rPr>
        <w:t>United</w:t>
      </w:r>
      <w:proofErr w:type="spellEnd"/>
      <w:r w:rsidR="000172AE" w:rsidRPr="0069428E">
        <w:rPr>
          <w:rFonts w:cs="Times New Roman"/>
          <w:i/>
          <w:iCs/>
          <w:szCs w:val="24"/>
        </w:rPr>
        <w:t xml:space="preserve"> </w:t>
      </w:r>
      <w:proofErr w:type="spellStart"/>
      <w:r w:rsidR="000172AE" w:rsidRPr="0069428E">
        <w:rPr>
          <w:rFonts w:cs="Times New Roman"/>
          <w:i/>
          <w:iCs/>
          <w:szCs w:val="24"/>
        </w:rPr>
        <w:t>Kingdom</w:t>
      </w:r>
      <w:proofErr w:type="spellEnd"/>
      <w:r w:rsidR="000172AE" w:rsidRPr="0069428E">
        <w:rPr>
          <w:rFonts w:cs="Times New Roman"/>
          <w:i/>
          <w:iCs/>
          <w:szCs w:val="24"/>
        </w:rPr>
        <w:t xml:space="preserve">”, </w:t>
      </w:r>
      <w:r w:rsidR="000172AE" w:rsidRPr="00500C11">
        <w:rPr>
          <w:rFonts w:cs="Times New Roman"/>
          <w:i/>
          <w:iCs/>
          <w:szCs w:val="24"/>
        </w:rPr>
        <w:t>iesnieguma Nr. </w:t>
      </w:r>
      <w:hyperlink r:id="rId9" w:history="1">
        <w:r w:rsidR="000172AE" w:rsidRPr="00500C11">
          <w:rPr>
            <w:rStyle w:val="Hyperlink"/>
            <w:rFonts w:cs="Times New Roman"/>
            <w:i/>
            <w:iCs/>
            <w:color w:val="auto"/>
            <w:szCs w:val="24"/>
            <w:u w:val="none"/>
          </w:rPr>
          <w:t>62617/00</w:t>
        </w:r>
      </w:hyperlink>
      <w:r w:rsidR="000172AE" w:rsidRPr="00500C11">
        <w:rPr>
          <w:rFonts w:cs="Times New Roman"/>
          <w:i/>
          <w:iCs/>
          <w:szCs w:val="24"/>
        </w:rPr>
        <w:t xml:space="preserve">, 41. un </w:t>
      </w:r>
      <w:r w:rsidR="000172AE" w:rsidRPr="0069428E">
        <w:rPr>
          <w:rFonts w:cs="Times New Roman"/>
          <w:i/>
          <w:iCs/>
          <w:szCs w:val="24"/>
        </w:rPr>
        <w:t>44.punktu</w:t>
      </w:r>
      <w:r w:rsidR="000172AE" w:rsidRPr="0069428E">
        <w:rPr>
          <w:rFonts w:cs="Times New Roman"/>
          <w:szCs w:val="24"/>
        </w:rPr>
        <w:t xml:space="preserve">). </w:t>
      </w:r>
      <w:r w:rsidR="00D903D7" w:rsidRPr="0069428E">
        <w:rPr>
          <w:rFonts w:cs="Times New Roman"/>
          <w:szCs w:val="24"/>
        </w:rPr>
        <w:t xml:space="preserve">Turklāt iejaukšanās šādā saziņā var ietekmēt personas tiesības uz privātās dzīves neaizskaramību šīs normas izpratnē pat tad, ja tas notiek saistībā ar profesionālo darbību vai darba vietā </w:t>
      </w:r>
      <w:r w:rsidR="000172AE" w:rsidRPr="0069428E">
        <w:rPr>
          <w:rFonts w:cs="Times New Roman"/>
          <w:szCs w:val="24"/>
        </w:rPr>
        <w:t xml:space="preserve">(sk. </w:t>
      </w:r>
      <w:r w:rsidR="00F81E34" w:rsidRPr="008D5146">
        <w:rPr>
          <w:i/>
          <w:iCs/>
        </w:rPr>
        <w:t>Eiropas Cilvēktiesību tiesas</w:t>
      </w:r>
      <w:r w:rsidR="00F81E34" w:rsidRPr="008D5146">
        <w:t xml:space="preserve"> </w:t>
      </w:r>
      <w:r w:rsidR="000172AE" w:rsidRPr="008D5146">
        <w:rPr>
          <w:rFonts w:cs="Times New Roman"/>
          <w:i/>
          <w:szCs w:val="24"/>
        </w:rPr>
        <w:t xml:space="preserve">2009.gada 16.jūnija lēmumu lietā </w:t>
      </w:r>
      <w:r w:rsidR="00F81E34" w:rsidRPr="008D5146">
        <w:rPr>
          <w:rFonts w:cs="Times New Roman"/>
          <w:i/>
          <w:szCs w:val="24"/>
        </w:rPr>
        <w:t>„</w:t>
      </w:r>
      <w:proofErr w:type="spellStart"/>
      <w:r w:rsidR="000172AE" w:rsidRPr="008D5146">
        <w:rPr>
          <w:rFonts w:cs="Times New Roman"/>
          <w:i/>
          <w:szCs w:val="24"/>
        </w:rPr>
        <w:t>Benediktsdóttir</w:t>
      </w:r>
      <w:proofErr w:type="spellEnd"/>
      <w:r w:rsidR="000172AE" w:rsidRPr="008D5146">
        <w:rPr>
          <w:rFonts w:cs="Times New Roman"/>
          <w:i/>
          <w:szCs w:val="24"/>
        </w:rPr>
        <w:t xml:space="preserve"> </w:t>
      </w:r>
      <w:proofErr w:type="spellStart"/>
      <w:r w:rsidR="000172AE" w:rsidRPr="008D5146">
        <w:rPr>
          <w:rFonts w:cs="Times New Roman"/>
          <w:i/>
          <w:szCs w:val="24"/>
        </w:rPr>
        <w:t>against</w:t>
      </w:r>
      <w:proofErr w:type="spellEnd"/>
      <w:r w:rsidR="000172AE" w:rsidRPr="008D5146">
        <w:rPr>
          <w:rFonts w:cs="Times New Roman"/>
          <w:i/>
          <w:szCs w:val="24"/>
        </w:rPr>
        <w:t xml:space="preserve"> </w:t>
      </w:r>
      <w:proofErr w:type="spellStart"/>
      <w:r w:rsidR="000172AE" w:rsidRPr="008D5146">
        <w:rPr>
          <w:rFonts w:cs="Times New Roman"/>
          <w:i/>
          <w:szCs w:val="24"/>
        </w:rPr>
        <w:t>Iceland</w:t>
      </w:r>
      <w:proofErr w:type="spellEnd"/>
      <w:r w:rsidR="000172AE" w:rsidRPr="008D5146">
        <w:rPr>
          <w:rFonts w:cs="Times New Roman"/>
          <w:i/>
          <w:szCs w:val="24"/>
        </w:rPr>
        <w:t>”, iesnieguma Nr. </w:t>
      </w:r>
      <w:hyperlink r:id="rId10" w:history="1">
        <w:r w:rsidR="000172AE" w:rsidRPr="008D5146">
          <w:rPr>
            <w:rStyle w:val="Hyperlink"/>
            <w:rFonts w:cs="Times New Roman"/>
            <w:i/>
            <w:color w:val="auto"/>
            <w:szCs w:val="24"/>
            <w:u w:val="none"/>
          </w:rPr>
          <w:t>38079/06</w:t>
        </w:r>
      </w:hyperlink>
      <w:r w:rsidR="000172AE" w:rsidRPr="008D5146">
        <w:rPr>
          <w:rStyle w:val="Hyperlink"/>
          <w:rFonts w:cs="Times New Roman"/>
          <w:i/>
          <w:color w:val="auto"/>
          <w:szCs w:val="24"/>
          <w:u w:val="none"/>
        </w:rPr>
        <w:t>, un t</w:t>
      </w:r>
      <w:r w:rsidR="0087477D" w:rsidRPr="008D5146">
        <w:rPr>
          <w:rStyle w:val="Hyperlink"/>
          <w:rFonts w:cs="Times New Roman"/>
          <w:i/>
          <w:color w:val="auto"/>
          <w:szCs w:val="24"/>
          <w:u w:val="none"/>
        </w:rPr>
        <w:t>ajā</w:t>
      </w:r>
      <w:r w:rsidR="000172AE" w:rsidRPr="008D5146">
        <w:rPr>
          <w:rStyle w:val="Hyperlink"/>
          <w:rFonts w:cs="Times New Roman"/>
          <w:i/>
          <w:color w:val="auto"/>
          <w:szCs w:val="24"/>
          <w:u w:val="none"/>
        </w:rPr>
        <w:t xml:space="preserve"> </w:t>
      </w:r>
      <w:r w:rsidR="000172AE" w:rsidRPr="0069428E">
        <w:rPr>
          <w:rStyle w:val="Hyperlink"/>
          <w:rFonts w:cs="Times New Roman"/>
          <w:i/>
          <w:color w:val="auto"/>
          <w:szCs w:val="24"/>
          <w:u w:val="none"/>
        </w:rPr>
        <w:t>norādīto judikatūru</w:t>
      </w:r>
      <w:r w:rsidR="000172AE" w:rsidRPr="0069428E">
        <w:rPr>
          <w:rStyle w:val="Hyperlink"/>
          <w:rFonts w:cs="Times New Roman"/>
          <w:color w:val="auto"/>
          <w:szCs w:val="24"/>
          <w:u w:val="none"/>
        </w:rPr>
        <w:t>).</w:t>
      </w:r>
      <w:r w:rsidR="00C01C00" w:rsidRPr="0069428E">
        <w:rPr>
          <w:rStyle w:val="Hyperlink"/>
          <w:rFonts w:cs="Times New Roman"/>
          <w:color w:val="auto"/>
          <w:szCs w:val="24"/>
          <w:u w:val="none"/>
        </w:rPr>
        <w:t xml:space="preserve"> </w:t>
      </w:r>
      <w:r w:rsidR="00C01C00" w:rsidRPr="0069428E">
        <w:rPr>
          <w:rFonts w:cs="Times New Roman"/>
          <w:szCs w:val="24"/>
        </w:rPr>
        <w:t xml:space="preserve">Lai gan </w:t>
      </w:r>
      <w:r w:rsidR="0087477D" w:rsidRPr="0069428E">
        <w:rPr>
          <w:rFonts w:cs="Times New Roman"/>
          <w:szCs w:val="24"/>
        </w:rPr>
        <w:t>Eiropas Cilvēktiesību konvencijas</w:t>
      </w:r>
      <w:r w:rsidR="00A30D8B" w:rsidRPr="0069428E">
        <w:rPr>
          <w:rFonts w:cs="Times New Roman"/>
          <w:szCs w:val="24"/>
        </w:rPr>
        <w:t xml:space="preserve"> </w:t>
      </w:r>
      <w:r w:rsidR="00C01C00" w:rsidRPr="0069428E">
        <w:rPr>
          <w:rFonts w:cs="Times New Roman"/>
          <w:szCs w:val="24"/>
        </w:rPr>
        <w:t>8.panta mērķis būtībā ir aizsargāt indivīdu pret valsts varas iestāžu patvaļīgu iejaukšanos, tas neparedz vienīgi pienākumu valstij atturēties no šādas iejaukšanās: papildus šim</w:t>
      </w:r>
      <w:r w:rsidR="001B12A2">
        <w:rPr>
          <w:rFonts w:cs="Times New Roman"/>
          <w:szCs w:val="24"/>
        </w:rPr>
        <w:t>,</w:t>
      </w:r>
      <w:r w:rsidR="00C01C00" w:rsidRPr="0069428E">
        <w:rPr>
          <w:rFonts w:cs="Times New Roman"/>
          <w:szCs w:val="24"/>
        </w:rPr>
        <w:t xml:space="preserve"> galvenokārt negatīvajam pienākumam</w:t>
      </w:r>
      <w:r w:rsidR="001B12A2">
        <w:rPr>
          <w:rFonts w:cs="Times New Roman"/>
          <w:szCs w:val="24"/>
        </w:rPr>
        <w:t>,</w:t>
      </w:r>
      <w:r w:rsidR="00C01C00" w:rsidRPr="0069428E">
        <w:rPr>
          <w:rFonts w:cs="Times New Roman"/>
          <w:szCs w:val="24"/>
        </w:rPr>
        <w:t xml:space="preserve"> var pastāvēt pozitīvs pienākums, kas iziet no efektīvas privātās vai ģimenes dzīves neaizskaramības aizsardzības (sk. </w:t>
      </w:r>
      <w:r w:rsidR="00C01C00" w:rsidRPr="0069428E">
        <w:rPr>
          <w:rFonts w:cs="Times New Roman"/>
          <w:i/>
          <w:iCs/>
          <w:szCs w:val="24"/>
        </w:rPr>
        <w:t>turpat</w:t>
      </w:r>
      <w:r w:rsidR="00C01C00" w:rsidRPr="0069428E">
        <w:rPr>
          <w:rFonts w:cs="Times New Roman"/>
          <w:szCs w:val="24"/>
        </w:rPr>
        <w:t>).</w:t>
      </w:r>
      <w:r w:rsidR="00822F28" w:rsidRPr="0069428E">
        <w:rPr>
          <w:rStyle w:val="Hyperlink"/>
          <w:rFonts w:cs="Times New Roman"/>
          <w:color w:val="auto"/>
          <w:szCs w:val="24"/>
          <w:u w:val="none"/>
        </w:rPr>
        <w:t xml:space="preserve"> </w:t>
      </w:r>
    </w:p>
    <w:p w14:paraId="14B3EED9" w14:textId="47F96AE8" w:rsidR="00950FE8" w:rsidRPr="0069428E" w:rsidRDefault="004522DD" w:rsidP="006F013C">
      <w:pPr>
        <w:spacing w:after="0" w:line="276" w:lineRule="auto"/>
        <w:ind w:firstLine="680"/>
        <w:jc w:val="both"/>
        <w:rPr>
          <w:rFonts w:cs="Times New Roman"/>
          <w:szCs w:val="24"/>
        </w:rPr>
      </w:pPr>
      <w:r w:rsidRPr="0069428E">
        <w:rPr>
          <w:rStyle w:val="Hyperlink"/>
          <w:rFonts w:cs="Times New Roman"/>
          <w:color w:val="auto"/>
          <w:szCs w:val="24"/>
          <w:u w:val="none"/>
        </w:rPr>
        <w:t xml:space="preserve">Vienlaikus </w:t>
      </w:r>
      <w:r w:rsidR="00950FE8" w:rsidRPr="0069428E">
        <w:rPr>
          <w:rStyle w:val="Hyperlink"/>
          <w:rFonts w:cs="Times New Roman"/>
          <w:color w:val="auto"/>
          <w:szCs w:val="24"/>
          <w:u w:val="none"/>
        </w:rPr>
        <w:t>jāņem vērā, ka,</w:t>
      </w:r>
      <w:r w:rsidR="00C01C00" w:rsidRPr="0069428E">
        <w:rPr>
          <w:rStyle w:val="Hyperlink"/>
          <w:rFonts w:cs="Times New Roman"/>
          <w:color w:val="auto"/>
          <w:szCs w:val="24"/>
          <w:u w:val="none"/>
        </w:rPr>
        <w:t xml:space="preserve"> </w:t>
      </w:r>
      <w:r w:rsidR="00950FE8" w:rsidRPr="0069428E">
        <w:rPr>
          <w:rStyle w:val="Hyperlink"/>
          <w:rFonts w:cs="Times New Roman"/>
          <w:color w:val="auto"/>
          <w:szCs w:val="24"/>
          <w:u w:val="none"/>
        </w:rPr>
        <w:t>pildot</w:t>
      </w:r>
      <w:r w:rsidR="00C01C00" w:rsidRPr="0069428E">
        <w:rPr>
          <w:rStyle w:val="Hyperlink"/>
          <w:rFonts w:cs="Times New Roman"/>
          <w:color w:val="auto"/>
          <w:szCs w:val="24"/>
          <w:u w:val="none"/>
        </w:rPr>
        <w:t xml:space="preserve"> no </w:t>
      </w:r>
      <w:r w:rsidR="0087477D" w:rsidRPr="0069428E">
        <w:rPr>
          <w:rStyle w:val="Hyperlink"/>
          <w:rFonts w:cs="Times New Roman"/>
          <w:color w:val="auto"/>
          <w:szCs w:val="24"/>
          <w:u w:val="none"/>
        </w:rPr>
        <w:t>Eiropas Cilvēktiesību konvencijas</w:t>
      </w:r>
      <w:r w:rsidRPr="0069428E">
        <w:rPr>
          <w:rStyle w:val="Hyperlink"/>
          <w:rFonts w:cs="Times New Roman"/>
          <w:color w:val="auto"/>
          <w:szCs w:val="24"/>
          <w:u w:val="none"/>
        </w:rPr>
        <w:t xml:space="preserve"> </w:t>
      </w:r>
      <w:proofErr w:type="gramStart"/>
      <w:r w:rsidRPr="0069428E">
        <w:rPr>
          <w:rStyle w:val="Hyperlink"/>
          <w:rFonts w:cs="Times New Roman"/>
          <w:color w:val="auto"/>
          <w:szCs w:val="24"/>
          <w:u w:val="none"/>
        </w:rPr>
        <w:t>8.pant</w:t>
      </w:r>
      <w:r w:rsidR="00C01C00" w:rsidRPr="0069428E">
        <w:rPr>
          <w:rStyle w:val="Hyperlink"/>
          <w:rFonts w:cs="Times New Roman"/>
          <w:color w:val="auto"/>
          <w:szCs w:val="24"/>
          <w:u w:val="none"/>
        </w:rPr>
        <w:t>a</w:t>
      </w:r>
      <w:proofErr w:type="gramEnd"/>
      <w:r w:rsidR="00C01C00" w:rsidRPr="0069428E">
        <w:rPr>
          <w:rStyle w:val="Hyperlink"/>
          <w:rFonts w:cs="Times New Roman"/>
          <w:color w:val="auto"/>
          <w:szCs w:val="24"/>
          <w:u w:val="none"/>
        </w:rPr>
        <w:t xml:space="preserve"> izrietošos pozitīvos pienākumus</w:t>
      </w:r>
      <w:r w:rsidRPr="0069428E">
        <w:rPr>
          <w:rStyle w:val="Hyperlink"/>
          <w:rFonts w:cs="Times New Roman"/>
          <w:color w:val="auto"/>
          <w:szCs w:val="24"/>
          <w:u w:val="none"/>
        </w:rPr>
        <w:t xml:space="preserve">, </w:t>
      </w:r>
      <w:r w:rsidR="00950FE8" w:rsidRPr="0069428E">
        <w:rPr>
          <w:rStyle w:val="Hyperlink"/>
          <w:rFonts w:cs="Times New Roman"/>
          <w:color w:val="auto"/>
          <w:szCs w:val="24"/>
          <w:u w:val="none"/>
        </w:rPr>
        <w:t>tiesai ir jānodrošina</w:t>
      </w:r>
      <w:r w:rsidRPr="0069428E">
        <w:rPr>
          <w:rStyle w:val="Hyperlink"/>
          <w:rFonts w:cs="Times New Roman"/>
          <w:color w:val="auto"/>
          <w:szCs w:val="24"/>
          <w:u w:val="none"/>
        </w:rPr>
        <w:t xml:space="preserve"> taisnīg</w:t>
      </w:r>
      <w:r w:rsidR="00C01C00" w:rsidRPr="0069428E">
        <w:rPr>
          <w:rStyle w:val="Hyperlink"/>
          <w:rFonts w:cs="Times New Roman"/>
          <w:color w:val="auto"/>
          <w:szCs w:val="24"/>
          <w:u w:val="none"/>
        </w:rPr>
        <w:t>s</w:t>
      </w:r>
      <w:r w:rsidRPr="0069428E">
        <w:rPr>
          <w:rStyle w:val="Hyperlink"/>
          <w:rFonts w:cs="Times New Roman"/>
          <w:color w:val="auto"/>
          <w:szCs w:val="24"/>
          <w:u w:val="none"/>
        </w:rPr>
        <w:t xml:space="preserve"> līdzsvar</w:t>
      </w:r>
      <w:r w:rsidR="00C01C00" w:rsidRPr="0069428E">
        <w:rPr>
          <w:rStyle w:val="Hyperlink"/>
          <w:rFonts w:cs="Times New Roman"/>
          <w:color w:val="auto"/>
          <w:szCs w:val="24"/>
          <w:u w:val="none"/>
        </w:rPr>
        <w:t xml:space="preserve">s starp vienas puses tiesībām uz privātās dzīves neaizskaramību un otras puses tiesībām uz vārda brīvību, ko aizsargā </w:t>
      </w:r>
      <w:r w:rsidR="0087477D" w:rsidRPr="0069428E">
        <w:rPr>
          <w:rStyle w:val="Hyperlink"/>
          <w:rFonts w:cs="Times New Roman"/>
          <w:color w:val="auto"/>
          <w:szCs w:val="24"/>
          <w:u w:val="none"/>
        </w:rPr>
        <w:t>Eiropas Cilvēktiesību konvencijas</w:t>
      </w:r>
      <w:r w:rsidR="00C01C00" w:rsidRPr="0069428E">
        <w:rPr>
          <w:rStyle w:val="Hyperlink"/>
          <w:rFonts w:cs="Times New Roman"/>
          <w:color w:val="auto"/>
          <w:szCs w:val="24"/>
          <w:u w:val="none"/>
        </w:rPr>
        <w:t xml:space="preserve"> 10.pants (sk. </w:t>
      </w:r>
      <w:r w:rsidR="00F81E34" w:rsidRPr="0069428E">
        <w:rPr>
          <w:i/>
          <w:iCs/>
        </w:rPr>
        <w:t>Eiropas Cilvēktiesību tiesas</w:t>
      </w:r>
      <w:r w:rsidR="00F81E34" w:rsidRPr="0069428E">
        <w:t xml:space="preserve"> </w:t>
      </w:r>
      <w:r w:rsidR="00C01C00" w:rsidRPr="0069428E">
        <w:rPr>
          <w:rFonts w:cs="Times New Roman"/>
          <w:i/>
          <w:iCs/>
          <w:szCs w:val="24"/>
        </w:rPr>
        <w:t xml:space="preserve">2020.gada 14.maija sprieduma apvienotajās lietās </w:t>
      </w:r>
      <w:r w:rsidR="00F81E34" w:rsidRPr="0069428E">
        <w:rPr>
          <w:rFonts w:cs="Times New Roman"/>
          <w:i/>
          <w:iCs/>
          <w:szCs w:val="24"/>
        </w:rPr>
        <w:t>„</w:t>
      </w:r>
      <w:r w:rsidR="00C01C00" w:rsidRPr="0069428E">
        <w:rPr>
          <w:rFonts w:cs="Times New Roman"/>
          <w:i/>
          <w:iCs/>
          <w:szCs w:val="24"/>
        </w:rPr>
        <w:t xml:space="preserve">Rodina v. </w:t>
      </w:r>
      <w:proofErr w:type="spellStart"/>
      <w:r w:rsidR="00C01C00" w:rsidRPr="0069428E">
        <w:rPr>
          <w:rFonts w:cs="Times New Roman"/>
          <w:i/>
          <w:iCs/>
          <w:szCs w:val="24"/>
        </w:rPr>
        <w:t>Latvia</w:t>
      </w:r>
      <w:proofErr w:type="spellEnd"/>
      <w:r w:rsidR="00C01C00" w:rsidRPr="0069428E">
        <w:rPr>
          <w:rFonts w:cs="Times New Roman"/>
          <w:i/>
          <w:iCs/>
          <w:szCs w:val="24"/>
        </w:rPr>
        <w:t>”, iesnieguma Nr</w:t>
      </w:r>
      <w:r w:rsidR="00C01C00" w:rsidRPr="007773AA">
        <w:rPr>
          <w:rFonts w:cs="Times New Roman"/>
          <w:i/>
          <w:iCs/>
          <w:szCs w:val="24"/>
        </w:rPr>
        <w:t>. </w:t>
      </w:r>
      <w:hyperlink r:id="rId11" w:history="1">
        <w:r w:rsidR="00C01C00" w:rsidRPr="007773AA">
          <w:rPr>
            <w:rStyle w:val="Hyperlink"/>
            <w:rFonts w:cs="Times New Roman"/>
            <w:i/>
            <w:iCs/>
            <w:color w:val="auto"/>
            <w:szCs w:val="24"/>
            <w:u w:val="none"/>
          </w:rPr>
          <w:t>48534/10</w:t>
        </w:r>
      </w:hyperlink>
      <w:r w:rsidR="00C01C00" w:rsidRPr="007773AA">
        <w:rPr>
          <w:rFonts w:cs="Times New Roman"/>
          <w:i/>
          <w:iCs/>
          <w:szCs w:val="24"/>
        </w:rPr>
        <w:t xml:space="preserve"> un </w:t>
      </w:r>
      <w:hyperlink r:id="rId12" w:history="1">
        <w:r w:rsidR="00C01C00" w:rsidRPr="007773AA">
          <w:rPr>
            <w:rStyle w:val="Hyperlink"/>
            <w:rFonts w:cs="Times New Roman"/>
            <w:i/>
            <w:iCs/>
            <w:color w:val="auto"/>
            <w:szCs w:val="24"/>
            <w:u w:val="none"/>
          </w:rPr>
          <w:t>19532/15</w:t>
        </w:r>
      </w:hyperlink>
      <w:r w:rsidR="00C01C00" w:rsidRPr="007773AA">
        <w:rPr>
          <w:rFonts w:cs="Times New Roman"/>
          <w:i/>
          <w:iCs/>
          <w:szCs w:val="24"/>
        </w:rPr>
        <w:t>, 103</w:t>
      </w:r>
      <w:r w:rsidR="00C01C00" w:rsidRPr="0069428E">
        <w:rPr>
          <w:rFonts w:cs="Times New Roman"/>
          <w:i/>
          <w:iCs/>
          <w:szCs w:val="24"/>
        </w:rPr>
        <w:t>.punktu</w:t>
      </w:r>
      <w:r w:rsidR="00C01C00" w:rsidRPr="0069428E">
        <w:rPr>
          <w:rFonts w:cs="Times New Roman"/>
          <w:szCs w:val="24"/>
        </w:rPr>
        <w:t xml:space="preserve">). </w:t>
      </w:r>
    </w:p>
    <w:p w14:paraId="2634FFC5" w14:textId="2FD78579" w:rsidR="00822F28" w:rsidRPr="0069428E" w:rsidRDefault="00F81E34" w:rsidP="006F013C">
      <w:pPr>
        <w:spacing w:after="0" w:line="276" w:lineRule="auto"/>
        <w:ind w:firstLine="680"/>
        <w:jc w:val="both"/>
        <w:rPr>
          <w:rFonts w:cs="Times New Roman"/>
          <w:szCs w:val="24"/>
        </w:rPr>
      </w:pPr>
      <w:r w:rsidRPr="0069428E">
        <w:t xml:space="preserve">Eiropas Cilvēktiesību tiesa </w:t>
      </w:r>
      <w:r w:rsidR="00950FE8" w:rsidRPr="0069428E">
        <w:rPr>
          <w:rFonts w:cs="Times New Roman"/>
          <w:szCs w:val="24"/>
        </w:rPr>
        <w:t xml:space="preserve">praksē atzinusi preses būtisko lomu demokrātiskā sabiedrībā un žurnālistu īpašo stāvokli šajā kontekstā. </w:t>
      </w:r>
      <w:r w:rsidR="00950FE8" w:rsidRPr="0069428E">
        <w:rPr>
          <w:rFonts w:cs="Times New Roman"/>
        </w:rPr>
        <w:t>Preses pienākums ir izplatīt informāciju un idejas par visiem sabiedrībai interesējošiem jautājumiem. T</w:t>
      </w:r>
      <w:r w:rsidR="00950FE8" w:rsidRPr="0069428E">
        <w:rPr>
          <w:rFonts w:cs="Times New Roman"/>
          <w:szCs w:val="24"/>
        </w:rPr>
        <w:t>urklāt dažādu publisku diskusiju platformu izveides uzdevums neaprobežojas tikai ar presi</w:t>
      </w:r>
      <w:r w:rsidR="00391196" w:rsidRPr="0069428E">
        <w:rPr>
          <w:rFonts w:cs="Times New Roman"/>
          <w:szCs w:val="24"/>
        </w:rPr>
        <w:t>.</w:t>
      </w:r>
      <w:r w:rsidR="00822F28" w:rsidRPr="0069428E">
        <w:rPr>
          <w:rFonts w:cs="Times New Roman"/>
          <w:szCs w:val="24"/>
        </w:rPr>
        <w:t xml:space="preserve"> Arī emuāru autoru un populāru sociālo mediju lietotāju uzdevumus var pielīdzināt </w:t>
      </w:r>
      <w:r w:rsidR="0087477D" w:rsidRPr="0069428E">
        <w:rPr>
          <w:rFonts w:cs="Times New Roman"/>
          <w:szCs w:val="24"/>
        </w:rPr>
        <w:t>„</w:t>
      </w:r>
      <w:r w:rsidR="00822F28" w:rsidRPr="0069428E">
        <w:rPr>
          <w:rFonts w:cs="Times New Roman"/>
          <w:szCs w:val="24"/>
        </w:rPr>
        <w:t>sabiedrības sargsuņu” uzdevumiem, ciktāl tas attiecas uz</w:t>
      </w:r>
      <w:r w:rsidR="00A30D8B" w:rsidRPr="0069428E">
        <w:rPr>
          <w:rFonts w:cs="Times New Roman"/>
          <w:szCs w:val="24"/>
        </w:rPr>
        <w:t xml:space="preserve"> </w:t>
      </w:r>
      <w:r w:rsidR="0087477D" w:rsidRPr="0069428E">
        <w:rPr>
          <w:rFonts w:cs="Times New Roman"/>
          <w:szCs w:val="24"/>
        </w:rPr>
        <w:t>Eiropas Cilvēktiesību konvencijas</w:t>
      </w:r>
      <w:r w:rsidR="00822F28" w:rsidRPr="0069428E">
        <w:rPr>
          <w:rFonts w:cs="Times New Roman"/>
          <w:szCs w:val="24"/>
        </w:rPr>
        <w:t xml:space="preserve"> </w:t>
      </w:r>
      <w:proofErr w:type="gramStart"/>
      <w:r w:rsidR="00822F28" w:rsidRPr="0069428E">
        <w:rPr>
          <w:rFonts w:cs="Times New Roman"/>
          <w:szCs w:val="24"/>
        </w:rPr>
        <w:t>10.pantā</w:t>
      </w:r>
      <w:proofErr w:type="gramEnd"/>
      <w:r w:rsidR="00822F28" w:rsidRPr="0069428E">
        <w:rPr>
          <w:rFonts w:cs="Times New Roman"/>
          <w:szCs w:val="24"/>
        </w:rPr>
        <w:t xml:space="preserve"> paredzēto aizsardzību (sk. </w:t>
      </w:r>
      <w:r w:rsidRPr="0069428E">
        <w:rPr>
          <w:i/>
          <w:iCs/>
        </w:rPr>
        <w:t>Eiropas Cilvēktiesību tiesas</w:t>
      </w:r>
      <w:r w:rsidRPr="0069428E">
        <w:t xml:space="preserve"> </w:t>
      </w:r>
      <w:r w:rsidR="00822F28" w:rsidRPr="0069428E">
        <w:rPr>
          <w:rFonts w:cs="Times New Roman"/>
          <w:i/>
          <w:iCs/>
          <w:szCs w:val="24"/>
        </w:rPr>
        <w:t>2016.gada 8.novembra spriedum</w:t>
      </w:r>
      <w:r w:rsidR="00403B64">
        <w:rPr>
          <w:rFonts w:cs="Times New Roman"/>
          <w:i/>
          <w:iCs/>
          <w:szCs w:val="24"/>
        </w:rPr>
        <w:t>a</w:t>
      </w:r>
      <w:r w:rsidR="00822F28" w:rsidRPr="0069428E">
        <w:rPr>
          <w:rFonts w:cs="Times New Roman"/>
          <w:i/>
          <w:iCs/>
          <w:szCs w:val="24"/>
        </w:rPr>
        <w:t xml:space="preserve"> (Lielā palāta) lietā </w:t>
      </w:r>
      <w:r w:rsidRPr="0069428E">
        <w:rPr>
          <w:rFonts w:cs="Times New Roman"/>
          <w:i/>
          <w:iCs/>
          <w:szCs w:val="24"/>
        </w:rPr>
        <w:t>„</w:t>
      </w:r>
      <w:proofErr w:type="spellStart"/>
      <w:r w:rsidR="00822F28" w:rsidRPr="0069428E">
        <w:rPr>
          <w:rFonts w:cs="Times New Roman"/>
          <w:i/>
          <w:iCs/>
          <w:szCs w:val="24"/>
        </w:rPr>
        <w:t>Magyar</w:t>
      </w:r>
      <w:proofErr w:type="spellEnd"/>
      <w:r w:rsidR="00822F28" w:rsidRPr="0069428E">
        <w:rPr>
          <w:rFonts w:cs="Times New Roman"/>
          <w:i/>
          <w:iCs/>
          <w:szCs w:val="24"/>
        </w:rPr>
        <w:t xml:space="preserve"> Helsinki </w:t>
      </w:r>
      <w:proofErr w:type="spellStart"/>
      <w:r w:rsidR="00822F28" w:rsidRPr="0069428E">
        <w:rPr>
          <w:rFonts w:cs="Times New Roman"/>
          <w:i/>
          <w:iCs/>
          <w:szCs w:val="24"/>
        </w:rPr>
        <w:t>Bizottság</w:t>
      </w:r>
      <w:proofErr w:type="spellEnd"/>
      <w:r w:rsidR="00822F28" w:rsidRPr="0069428E">
        <w:rPr>
          <w:rFonts w:cs="Times New Roman"/>
          <w:i/>
          <w:iCs/>
          <w:szCs w:val="24"/>
        </w:rPr>
        <w:t xml:space="preserve"> v. </w:t>
      </w:r>
      <w:proofErr w:type="spellStart"/>
      <w:r w:rsidR="00822F28" w:rsidRPr="0069428E">
        <w:rPr>
          <w:rFonts w:cs="Times New Roman"/>
          <w:i/>
          <w:iCs/>
          <w:szCs w:val="24"/>
        </w:rPr>
        <w:t>Hungary</w:t>
      </w:r>
      <w:proofErr w:type="spellEnd"/>
      <w:r w:rsidR="00822F28" w:rsidRPr="00403B64">
        <w:rPr>
          <w:rFonts w:cs="Times New Roman"/>
          <w:i/>
          <w:iCs/>
          <w:szCs w:val="24"/>
        </w:rPr>
        <w:t>”, iesnieguma Nr. </w:t>
      </w:r>
      <w:hyperlink r:id="rId13" w:history="1">
        <w:r w:rsidR="00822F28" w:rsidRPr="00403B64">
          <w:rPr>
            <w:rStyle w:val="Hyperlink"/>
            <w:rFonts w:cs="Times New Roman"/>
            <w:i/>
            <w:iCs/>
            <w:color w:val="auto"/>
            <w:szCs w:val="24"/>
            <w:u w:val="none"/>
          </w:rPr>
          <w:t>18030/11</w:t>
        </w:r>
      </w:hyperlink>
      <w:r w:rsidR="00822F28" w:rsidRPr="00403B64">
        <w:rPr>
          <w:rFonts w:cs="Times New Roman"/>
          <w:i/>
          <w:iCs/>
          <w:szCs w:val="24"/>
        </w:rPr>
        <w:t>, 165.–168</w:t>
      </w:r>
      <w:r w:rsidR="00822F28" w:rsidRPr="0069428E">
        <w:rPr>
          <w:rFonts w:cs="Times New Roman"/>
          <w:i/>
          <w:iCs/>
          <w:szCs w:val="24"/>
        </w:rPr>
        <w:t>.punktu</w:t>
      </w:r>
      <w:r w:rsidR="00822F28" w:rsidRPr="0069428E">
        <w:rPr>
          <w:rFonts w:cs="Times New Roman"/>
          <w:szCs w:val="24"/>
        </w:rPr>
        <w:t xml:space="preserve">). </w:t>
      </w:r>
      <w:r w:rsidR="00F26FBD" w:rsidRPr="0069428E">
        <w:rPr>
          <w:rFonts w:cs="Times New Roman"/>
          <w:szCs w:val="24"/>
        </w:rPr>
        <w:t xml:space="preserve">Atbildīgas žurnālistikas jēdziens kā profesionāla darbība, uz kuru attiecas </w:t>
      </w:r>
      <w:r w:rsidR="0087477D" w:rsidRPr="0069428E">
        <w:rPr>
          <w:rFonts w:cs="Times New Roman"/>
          <w:szCs w:val="24"/>
        </w:rPr>
        <w:t>Eiropas Cilvēktiesību konvencijas</w:t>
      </w:r>
      <w:r w:rsidR="00F26FBD" w:rsidRPr="0069428E">
        <w:rPr>
          <w:rFonts w:cs="Times New Roman"/>
          <w:szCs w:val="24"/>
        </w:rPr>
        <w:t xml:space="preserve"> </w:t>
      </w:r>
      <w:proofErr w:type="gramStart"/>
      <w:r w:rsidR="00F26FBD" w:rsidRPr="0069428E">
        <w:rPr>
          <w:rFonts w:cs="Times New Roman"/>
          <w:szCs w:val="24"/>
        </w:rPr>
        <w:t>10.panta</w:t>
      </w:r>
      <w:proofErr w:type="gramEnd"/>
      <w:r w:rsidR="00F26FBD" w:rsidRPr="0069428E">
        <w:rPr>
          <w:rFonts w:cs="Times New Roman"/>
          <w:szCs w:val="24"/>
        </w:rPr>
        <w:t xml:space="preserve"> aizsardzība, neaprobežojas tikai ar tādas informācijas saturu, kas savākta un/vai izplatīta ar žurnālistikas līdzekļiem. Šis jēdziens cita starpā ietver arī žurnālista rīcības likumību, tostarp viņa publisku mijiedarbību ar valsts varas iestādēm, pildot žurnālista uzdevumus. Nosakot, vai žurnālists ir rīkojies atbildīgi, apstāklis, ka žurnālists šajā sakarā ir pārkāpis likumu, ir īpaši svarīgs, lai arī ne izšķirošs apsvērums (</w:t>
      </w:r>
      <w:r w:rsidR="001B12A2">
        <w:rPr>
          <w:rFonts w:cs="Times New Roman"/>
          <w:szCs w:val="24"/>
        </w:rPr>
        <w:t xml:space="preserve">sk. </w:t>
      </w:r>
      <w:r w:rsidRPr="0069428E">
        <w:rPr>
          <w:i/>
          <w:iCs/>
        </w:rPr>
        <w:t>Eiropas Cilvēktiesību tiesas</w:t>
      </w:r>
      <w:r w:rsidRPr="0069428E">
        <w:t xml:space="preserve"> </w:t>
      </w:r>
      <w:r w:rsidR="00F26FBD" w:rsidRPr="0069428E">
        <w:rPr>
          <w:rFonts w:cs="Times New Roman"/>
          <w:i/>
          <w:iCs/>
          <w:szCs w:val="24"/>
        </w:rPr>
        <w:t>2021.gada 20.maija spriedum</w:t>
      </w:r>
      <w:r w:rsidR="00391196" w:rsidRPr="0069428E">
        <w:rPr>
          <w:rFonts w:cs="Times New Roman"/>
          <w:i/>
          <w:iCs/>
          <w:szCs w:val="24"/>
        </w:rPr>
        <w:t>a</w:t>
      </w:r>
      <w:r w:rsidR="00F26FBD" w:rsidRPr="0069428E">
        <w:rPr>
          <w:rFonts w:cs="Times New Roman"/>
          <w:i/>
          <w:iCs/>
          <w:szCs w:val="24"/>
        </w:rPr>
        <w:t xml:space="preserve"> apvienotajās lietās </w:t>
      </w:r>
      <w:r w:rsidRPr="0069428E">
        <w:rPr>
          <w:rFonts w:cs="Times New Roman"/>
          <w:i/>
          <w:iCs/>
          <w:szCs w:val="24"/>
        </w:rPr>
        <w:t>„</w:t>
      </w:r>
      <w:proofErr w:type="spellStart"/>
      <w:r w:rsidR="00F26FBD" w:rsidRPr="0069428E">
        <w:rPr>
          <w:rFonts w:cs="Times New Roman"/>
          <w:i/>
          <w:iCs/>
          <w:szCs w:val="24"/>
        </w:rPr>
        <w:t>Amaghlobeli</w:t>
      </w:r>
      <w:proofErr w:type="spellEnd"/>
      <w:r w:rsidR="00F26FBD" w:rsidRPr="0069428E">
        <w:rPr>
          <w:rFonts w:cs="Times New Roman"/>
          <w:i/>
          <w:iCs/>
          <w:szCs w:val="24"/>
        </w:rPr>
        <w:t xml:space="preserve"> </w:t>
      </w:r>
      <w:proofErr w:type="spellStart"/>
      <w:r w:rsidR="00F26FBD" w:rsidRPr="0069428E">
        <w:rPr>
          <w:rFonts w:cs="Times New Roman"/>
          <w:i/>
          <w:iCs/>
          <w:szCs w:val="24"/>
        </w:rPr>
        <w:t>and</w:t>
      </w:r>
      <w:proofErr w:type="spellEnd"/>
      <w:r w:rsidR="00F26FBD" w:rsidRPr="0069428E">
        <w:rPr>
          <w:rFonts w:cs="Times New Roman"/>
          <w:i/>
          <w:iCs/>
          <w:szCs w:val="24"/>
        </w:rPr>
        <w:t xml:space="preserve"> </w:t>
      </w:r>
      <w:proofErr w:type="spellStart"/>
      <w:r w:rsidR="00F26FBD" w:rsidRPr="0069428E">
        <w:rPr>
          <w:rFonts w:cs="Times New Roman"/>
          <w:i/>
          <w:iCs/>
          <w:szCs w:val="24"/>
        </w:rPr>
        <w:t>Others</w:t>
      </w:r>
      <w:proofErr w:type="spellEnd"/>
      <w:r w:rsidR="00F26FBD" w:rsidRPr="0069428E">
        <w:rPr>
          <w:rFonts w:cs="Times New Roman"/>
          <w:i/>
          <w:iCs/>
          <w:szCs w:val="24"/>
        </w:rPr>
        <w:t xml:space="preserve"> v. </w:t>
      </w:r>
      <w:proofErr w:type="spellStart"/>
      <w:r w:rsidR="00F26FBD" w:rsidRPr="0069428E">
        <w:rPr>
          <w:rFonts w:cs="Times New Roman"/>
          <w:i/>
          <w:iCs/>
          <w:szCs w:val="24"/>
        </w:rPr>
        <w:t>Georgia</w:t>
      </w:r>
      <w:proofErr w:type="spellEnd"/>
      <w:r w:rsidR="00F26FBD" w:rsidRPr="0069428E">
        <w:rPr>
          <w:rFonts w:cs="Times New Roman"/>
          <w:i/>
          <w:iCs/>
          <w:szCs w:val="24"/>
        </w:rPr>
        <w:t xml:space="preserve">”, iesnieguma </w:t>
      </w:r>
      <w:r w:rsidR="00F26FBD" w:rsidRPr="005E111F">
        <w:rPr>
          <w:rFonts w:cs="Times New Roman"/>
          <w:i/>
          <w:iCs/>
          <w:szCs w:val="24"/>
        </w:rPr>
        <w:t>Nr. </w:t>
      </w:r>
      <w:hyperlink r:id="rId14" w:history="1">
        <w:r w:rsidR="00F26FBD" w:rsidRPr="005E111F">
          <w:rPr>
            <w:rStyle w:val="Hyperlink"/>
            <w:rFonts w:cs="Times New Roman"/>
            <w:i/>
            <w:iCs/>
            <w:color w:val="auto"/>
            <w:szCs w:val="24"/>
            <w:u w:val="none"/>
          </w:rPr>
          <w:t>41192/11</w:t>
        </w:r>
      </w:hyperlink>
      <w:r w:rsidR="00F26FBD" w:rsidRPr="005E111F">
        <w:rPr>
          <w:rFonts w:cs="Times New Roman"/>
          <w:i/>
          <w:iCs/>
          <w:szCs w:val="24"/>
        </w:rPr>
        <w:t>, 37.punkt</w:t>
      </w:r>
      <w:r w:rsidR="001B12A2" w:rsidRPr="005E111F">
        <w:rPr>
          <w:rFonts w:cs="Times New Roman"/>
          <w:i/>
          <w:iCs/>
          <w:szCs w:val="24"/>
        </w:rPr>
        <w:t>u</w:t>
      </w:r>
      <w:r w:rsidR="00F26FBD" w:rsidRPr="005E111F">
        <w:rPr>
          <w:rFonts w:cs="Times New Roman"/>
          <w:szCs w:val="24"/>
        </w:rPr>
        <w:t>).</w:t>
      </w:r>
    </w:p>
    <w:p w14:paraId="5E823F8D" w14:textId="59F277B9" w:rsidR="00F26FBD" w:rsidRPr="005E111F" w:rsidRDefault="00822F28" w:rsidP="006F013C">
      <w:pPr>
        <w:spacing w:after="0" w:line="276" w:lineRule="auto"/>
        <w:ind w:firstLine="680"/>
        <w:jc w:val="both"/>
        <w:rPr>
          <w:rFonts w:cs="Times New Roman"/>
          <w:szCs w:val="24"/>
        </w:rPr>
      </w:pPr>
      <w:r w:rsidRPr="0069428E">
        <w:rPr>
          <w:rFonts w:cs="Times New Roman"/>
          <w:szCs w:val="24"/>
        </w:rPr>
        <w:t xml:space="preserve">Šajā sakarā jāatzīmē, ka </w:t>
      </w:r>
      <w:r w:rsidR="0087477D" w:rsidRPr="0069428E">
        <w:rPr>
          <w:rFonts w:cs="Times New Roman"/>
          <w:szCs w:val="24"/>
        </w:rPr>
        <w:t>Eiropas Cilvēktiesību konvencijas</w:t>
      </w:r>
      <w:r w:rsidRPr="0069428E">
        <w:rPr>
          <w:rFonts w:cs="Times New Roman"/>
          <w:szCs w:val="24"/>
        </w:rPr>
        <w:t xml:space="preserve"> </w:t>
      </w:r>
      <w:proofErr w:type="gramStart"/>
      <w:r w:rsidRPr="0069428E">
        <w:rPr>
          <w:rFonts w:cs="Times New Roman"/>
          <w:szCs w:val="24"/>
        </w:rPr>
        <w:t>10.panta</w:t>
      </w:r>
      <w:proofErr w:type="gramEnd"/>
      <w:r w:rsidRPr="0069428E">
        <w:rPr>
          <w:rFonts w:cs="Times New Roman"/>
          <w:szCs w:val="24"/>
        </w:rPr>
        <w:t xml:space="preserve"> 2.punkts negarantē pilnībā neierobežotu vārda brīvību pat gadījumos, kad plašsaziņas līdzekļi atspoguļo jautājumus, kas izraisa sabiedrības satraukumu. Neraugoties uz plašsaziņas līdzekļu būtisko lomu demokrātiskā sabiedrībā, žurnālistus principā nevar atbrīvot no pienākuma ievērot vispārīgās krimināltiesiskās normas, pamatojoties uz to, ka </w:t>
      </w:r>
      <w:proofErr w:type="gramStart"/>
      <w:r w:rsidRPr="0069428E">
        <w:rPr>
          <w:rFonts w:cs="Times New Roman"/>
          <w:szCs w:val="24"/>
        </w:rPr>
        <w:t>10.pants</w:t>
      </w:r>
      <w:proofErr w:type="gramEnd"/>
      <w:r w:rsidRPr="0069428E">
        <w:rPr>
          <w:rFonts w:cs="Times New Roman"/>
          <w:szCs w:val="24"/>
        </w:rPr>
        <w:t xml:space="preserve"> viņiem kā žurnālistiem piešķir neapstrīdamu aizsardzību. Citiem vārdiem, žurnālists nevar pieprasīt ekskluzīvu krimināltiesisko imunitāti tikai tādēļ, ka atšķirībā no citām personām, kuras izmanto tiesības uz vārda brīvību, attiecīgais nodarījums ir izdarīts, pildot viņa žurnālistiskos pienākumus (sk. </w:t>
      </w:r>
      <w:r w:rsidR="00F81E34" w:rsidRPr="0069428E">
        <w:rPr>
          <w:i/>
          <w:iCs/>
        </w:rPr>
        <w:t>Eiropas Cilvēktiesību tiesas</w:t>
      </w:r>
      <w:r w:rsidR="00F81E34" w:rsidRPr="0069428E">
        <w:t xml:space="preserve"> </w:t>
      </w:r>
      <w:proofErr w:type="gramStart"/>
      <w:r w:rsidRPr="0069428E">
        <w:rPr>
          <w:rFonts w:cs="Times New Roman"/>
          <w:i/>
          <w:iCs/>
          <w:szCs w:val="24"/>
        </w:rPr>
        <w:t>2015.gada</w:t>
      </w:r>
      <w:proofErr w:type="gramEnd"/>
      <w:r w:rsidRPr="0069428E">
        <w:rPr>
          <w:rFonts w:cs="Times New Roman"/>
          <w:i/>
          <w:iCs/>
          <w:szCs w:val="24"/>
        </w:rPr>
        <w:t xml:space="preserve"> 20.oktobra sprieduma (Lielā palāta) lietā </w:t>
      </w:r>
      <w:r w:rsidR="00F81E34" w:rsidRPr="0069428E">
        <w:rPr>
          <w:rFonts w:cs="Times New Roman"/>
          <w:i/>
          <w:iCs/>
          <w:szCs w:val="24"/>
        </w:rPr>
        <w:t>„</w:t>
      </w:r>
      <w:proofErr w:type="spellStart"/>
      <w:r w:rsidRPr="0069428E">
        <w:rPr>
          <w:rFonts w:cs="Times New Roman"/>
          <w:i/>
          <w:iCs/>
          <w:szCs w:val="24"/>
        </w:rPr>
        <w:t>Pentikäinen</w:t>
      </w:r>
      <w:proofErr w:type="spellEnd"/>
      <w:r w:rsidRPr="0069428E">
        <w:rPr>
          <w:rFonts w:cs="Times New Roman"/>
          <w:i/>
          <w:iCs/>
          <w:szCs w:val="24"/>
        </w:rPr>
        <w:t xml:space="preserve"> v. </w:t>
      </w:r>
      <w:proofErr w:type="spellStart"/>
      <w:r w:rsidRPr="0069428E">
        <w:rPr>
          <w:rFonts w:cs="Times New Roman"/>
          <w:i/>
          <w:iCs/>
          <w:szCs w:val="24"/>
        </w:rPr>
        <w:t>Finland</w:t>
      </w:r>
      <w:proofErr w:type="spellEnd"/>
      <w:r w:rsidRPr="0069428E">
        <w:rPr>
          <w:rFonts w:cs="Times New Roman"/>
          <w:i/>
          <w:iCs/>
          <w:szCs w:val="24"/>
        </w:rPr>
        <w:t xml:space="preserve">”, </w:t>
      </w:r>
      <w:r w:rsidRPr="005E111F">
        <w:rPr>
          <w:rFonts w:cs="Times New Roman"/>
          <w:i/>
          <w:iCs/>
          <w:szCs w:val="24"/>
        </w:rPr>
        <w:t>iesnieguma Nr.</w:t>
      </w:r>
      <w:r w:rsidR="00AF601B" w:rsidRPr="005E111F">
        <w:rPr>
          <w:rFonts w:cs="Times New Roman"/>
          <w:i/>
          <w:iCs/>
          <w:szCs w:val="24"/>
        </w:rPr>
        <w:t> </w:t>
      </w:r>
      <w:hyperlink r:id="rId15" w:history="1">
        <w:r w:rsidRPr="005E111F">
          <w:rPr>
            <w:rStyle w:val="Hyperlink"/>
            <w:rFonts w:cs="Times New Roman"/>
            <w:i/>
            <w:iCs/>
            <w:color w:val="auto"/>
            <w:szCs w:val="24"/>
            <w:u w:val="none"/>
          </w:rPr>
          <w:t>11882/10</w:t>
        </w:r>
      </w:hyperlink>
      <w:r w:rsidRPr="005E111F">
        <w:rPr>
          <w:rFonts w:cs="Times New Roman"/>
          <w:i/>
          <w:iCs/>
          <w:szCs w:val="24"/>
        </w:rPr>
        <w:t>, 91.punktu</w:t>
      </w:r>
      <w:r w:rsidRPr="005E111F">
        <w:rPr>
          <w:rFonts w:cs="Times New Roman"/>
          <w:szCs w:val="24"/>
        </w:rPr>
        <w:t>).</w:t>
      </w:r>
    </w:p>
    <w:p w14:paraId="5D6FE4C8" w14:textId="77A7D054" w:rsidR="000172AE" w:rsidRPr="0069428E" w:rsidRDefault="00F26FBD" w:rsidP="006F013C">
      <w:pPr>
        <w:spacing w:after="0" w:line="276" w:lineRule="auto"/>
        <w:ind w:firstLine="680"/>
        <w:jc w:val="both"/>
        <w:rPr>
          <w:rFonts w:cs="Times New Roman"/>
          <w:szCs w:val="24"/>
        </w:rPr>
      </w:pPr>
      <w:r w:rsidRPr="0069428E">
        <w:rPr>
          <w:rFonts w:cs="Times New Roman"/>
          <w:szCs w:val="24"/>
        </w:rPr>
        <w:t xml:space="preserve">Līdzsvarojot žurnālista tiesības uz vārda brīvību un </w:t>
      </w:r>
      <w:r w:rsidR="00A81A04" w:rsidRPr="0069428E">
        <w:rPr>
          <w:rFonts w:cs="Times New Roman"/>
          <w:szCs w:val="24"/>
        </w:rPr>
        <w:t>publikācijās pieminēto personu tiesības uz privātās dzīves un korespondences neaizskaramību, jāņem vērā</w:t>
      </w:r>
      <w:r w:rsidR="00C01C00" w:rsidRPr="0069428E">
        <w:rPr>
          <w:rFonts w:cs="Times New Roman"/>
          <w:szCs w:val="24"/>
        </w:rPr>
        <w:t xml:space="preserve"> šādi kritēriji: ieguldījums vispārējo interešu diskusijās, ko sniedz ziņu reportāža vai citāda vārda brīvības īstenošanas izpausme un tās tematika; attiecīgās personas statuss un/vai atpazīstamības pakāpe un tās agrākā rīcība; reportāžas saturs, forma un sekas, kā arī kontekstā ar sūdzībām saskaņā ar </w:t>
      </w:r>
      <w:r w:rsidR="0087477D" w:rsidRPr="0069428E">
        <w:rPr>
          <w:rFonts w:cs="Times New Roman"/>
          <w:szCs w:val="24"/>
        </w:rPr>
        <w:t>Eiropas Cilvēktiesību konvencijas</w:t>
      </w:r>
      <w:r w:rsidR="00C01C00" w:rsidRPr="0069428E">
        <w:rPr>
          <w:rFonts w:cs="Times New Roman"/>
          <w:szCs w:val="24"/>
        </w:rPr>
        <w:t xml:space="preserve"> 10.pantu – informācijas iegūšanas veids un tās patiesums, un (attiecīgā gadījumā) uzliktā soda bargums (</w:t>
      </w:r>
      <w:r w:rsidRPr="0069428E">
        <w:rPr>
          <w:rFonts w:cs="Times New Roman"/>
          <w:szCs w:val="24"/>
        </w:rPr>
        <w:t xml:space="preserve">sk. </w:t>
      </w:r>
      <w:r w:rsidR="00D27470" w:rsidRPr="0069428E">
        <w:rPr>
          <w:rFonts w:cs="Times New Roman"/>
          <w:i/>
          <w:iCs/>
          <w:szCs w:val="24"/>
        </w:rPr>
        <w:t>E</w:t>
      </w:r>
      <w:r w:rsidR="00D903D7" w:rsidRPr="0069428E">
        <w:rPr>
          <w:rFonts w:cs="Times New Roman"/>
          <w:i/>
          <w:iCs/>
          <w:szCs w:val="24"/>
        </w:rPr>
        <w:t>iropas Cilvēktiesību tiesas</w:t>
      </w:r>
      <w:r w:rsidR="00C01C00" w:rsidRPr="0069428E">
        <w:rPr>
          <w:rFonts w:cs="Times New Roman"/>
          <w:i/>
          <w:iCs/>
          <w:szCs w:val="24"/>
        </w:rPr>
        <w:t xml:space="preserve"> 2021.gada 14.decembra spriedum</w:t>
      </w:r>
      <w:r w:rsidRPr="0069428E">
        <w:rPr>
          <w:rFonts w:cs="Times New Roman"/>
          <w:i/>
          <w:iCs/>
          <w:szCs w:val="24"/>
        </w:rPr>
        <w:t>a</w:t>
      </w:r>
      <w:r w:rsidR="00C01C00" w:rsidRPr="0069428E">
        <w:rPr>
          <w:rFonts w:cs="Times New Roman"/>
          <w:i/>
          <w:iCs/>
          <w:szCs w:val="24"/>
        </w:rPr>
        <w:t xml:space="preserve"> lietā </w:t>
      </w:r>
      <w:r w:rsidR="00391196" w:rsidRPr="0069428E">
        <w:rPr>
          <w:rFonts w:cs="Times New Roman"/>
          <w:i/>
          <w:iCs/>
          <w:szCs w:val="24"/>
        </w:rPr>
        <w:t>„</w:t>
      </w:r>
      <w:proofErr w:type="spellStart"/>
      <w:r w:rsidR="00C01C00" w:rsidRPr="0069428E">
        <w:rPr>
          <w:rFonts w:cs="Times New Roman"/>
          <w:i/>
          <w:iCs/>
          <w:szCs w:val="24"/>
        </w:rPr>
        <w:t>Samoylova</w:t>
      </w:r>
      <w:proofErr w:type="spellEnd"/>
      <w:r w:rsidR="00C01C00" w:rsidRPr="0069428E">
        <w:rPr>
          <w:rFonts w:cs="Times New Roman"/>
          <w:i/>
          <w:iCs/>
          <w:szCs w:val="24"/>
        </w:rPr>
        <w:t xml:space="preserve"> v. </w:t>
      </w:r>
      <w:proofErr w:type="spellStart"/>
      <w:r w:rsidR="00C01C00" w:rsidRPr="0069428E">
        <w:rPr>
          <w:rFonts w:cs="Times New Roman"/>
          <w:i/>
          <w:iCs/>
          <w:szCs w:val="24"/>
        </w:rPr>
        <w:t>Russia</w:t>
      </w:r>
      <w:proofErr w:type="spellEnd"/>
      <w:r w:rsidR="00C01C00" w:rsidRPr="0069428E">
        <w:rPr>
          <w:rFonts w:cs="Times New Roman"/>
          <w:i/>
          <w:iCs/>
          <w:szCs w:val="24"/>
        </w:rPr>
        <w:t xml:space="preserve">”, iesnieguma </w:t>
      </w:r>
      <w:r w:rsidR="00C01C00" w:rsidRPr="00B524BE">
        <w:rPr>
          <w:rFonts w:cs="Times New Roman"/>
          <w:i/>
          <w:iCs/>
          <w:szCs w:val="24"/>
        </w:rPr>
        <w:t>Nr. </w:t>
      </w:r>
      <w:hyperlink r:id="rId16" w:history="1">
        <w:r w:rsidR="00C01C00" w:rsidRPr="00B524BE">
          <w:rPr>
            <w:rStyle w:val="Hyperlink"/>
            <w:rFonts w:cs="Times New Roman"/>
            <w:i/>
            <w:iCs/>
            <w:color w:val="auto"/>
            <w:szCs w:val="24"/>
            <w:u w:val="none"/>
          </w:rPr>
          <w:t>49108/11</w:t>
        </w:r>
      </w:hyperlink>
      <w:r w:rsidR="00C01C00" w:rsidRPr="00B524BE">
        <w:rPr>
          <w:rFonts w:cs="Times New Roman"/>
          <w:i/>
          <w:iCs/>
          <w:szCs w:val="24"/>
        </w:rPr>
        <w:t xml:space="preserve">, </w:t>
      </w:r>
      <w:r w:rsidRPr="0069428E">
        <w:rPr>
          <w:rFonts w:cs="Times New Roman"/>
          <w:i/>
          <w:iCs/>
          <w:szCs w:val="24"/>
        </w:rPr>
        <w:t xml:space="preserve">74.punktu </w:t>
      </w:r>
      <w:r w:rsidR="00C01C00" w:rsidRPr="0069428E">
        <w:rPr>
          <w:rFonts w:cs="Times New Roman"/>
          <w:i/>
          <w:iCs/>
          <w:szCs w:val="24"/>
        </w:rPr>
        <w:t>un tur norādīt</w:t>
      </w:r>
      <w:r w:rsidR="00EE3E43">
        <w:rPr>
          <w:rFonts w:cs="Times New Roman"/>
          <w:i/>
          <w:iCs/>
          <w:szCs w:val="24"/>
        </w:rPr>
        <w:t>o</w:t>
      </w:r>
      <w:r w:rsidR="00C01C00" w:rsidRPr="0069428E">
        <w:rPr>
          <w:rFonts w:cs="Times New Roman"/>
          <w:i/>
          <w:iCs/>
          <w:szCs w:val="24"/>
        </w:rPr>
        <w:t xml:space="preserve"> judikatūr</w:t>
      </w:r>
      <w:r w:rsidR="00EE3E43">
        <w:rPr>
          <w:rFonts w:cs="Times New Roman"/>
          <w:i/>
          <w:iCs/>
          <w:szCs w:val="24"/>
        </w:rPr>
        <w:t>u</w:t>
      </w:r>
      <w:r w:rsidR="00C01C00" w:rsidRPr="0069428E">
        <w:rPr>
          <w:rFonts w:cs="Times New Roman"/>
          <w:szCs w:val="24"/>
        </w:rPr>
        <w:t>).</w:t>
      </w:r>
      <w:r w:rsidR="00D903D7" w:rsidRPr="0069428E">
        <w:t xml:space="preserve"> </w:t>
      </w:r>
      <w:r w:rsidR="00D903D7" w:rsidRPr="0069428E">
        <w:rPr>
          <w:rFonts w:cs="Times New Roman"/>
          <w:szCs w:val="24"/>
        </w:rPr>
        <w:t xml:space="preserve">Ja personiski aizskaroša publikācija, kurai ir dots objektīvs izskaidrojums, attiecas uz politiķi un valsts amatpersonu, tā ir cena, kas jāmaksā par politiskās cīņas un sabiedrisko diskusiju brīvību, kas ir demokrātiskas sabiedrības garantija  (sk. </w:t>
      </w:r>
      <w:r w:rsidR="00D903D7" w:rsidRPr="0069428E">
        <w:rPr>
          <w:rFonts w:cs="Times New Roman"/>
          <w:i/>
          <w:iCs/>
          <w:szCs w:val="24"/>
        </w:rPr>
        <w:t xml:space="preserve">Eiropas Cilvēktiesību tiesas 2007.gada 12.jūlija sprieduma lietā „Diena </w:t>
      </w:r>
      <w:proofErr w:type="spellStart"/>
      <w:r w:rsidR="00D903D7" w:rsidRPr="0069428E">
        <w:rPr>
          <w:rFonts w:cs="Times New Roman"/>
          <w:i/>
          <w:iCs/>
          <w:szCs w:val="24"/>
        </w:rPr>
        <w:t>et</w:t>
      </w:r>
      <w:proofErr w:type="spellEnd"/>
      <w:r w:rsidR="00D903D7" w:rsidRPr="0069428E">
        <w:rPr>
          <w:rFonts w:cs="Times New Roman"/>
          <w:i/>
          <w:iCs/>
          <w:szCs w:val="24"/>
        </w:rPr>
        <w:t xml:space="preserve"> Ozoliņš c. </w:t>
      </w:r>
      <w:proofErr w:type="spellStart"/>
      <w:r w:rsidR="00D903D7" w:rsidRPr="0069428E">
        <w:rPr>
          <w:rFonts w:cs="Times New Roman"/>
          <w:i/>
          <w:iCs/>
          <w:szCs w:val="24"/>
        </w:rPr>
        <w:t>Lettonie</w:t>
      </w:r>
      <w:proofErr w:type="spellEnd"/>
      <w:r w:rsidR="00D903D7" w:rsidRPr="0069428E">
        <w:rPr>
          <w:rFonts w:cs="Times New Roman"/>
          <w:i/>
          <w:iCs/>
          <w:szCs w:val="24"/>
        </w:rPr>
        <w:t>”, iesnieguma Nr.</w:t>
      </w:r>
      <w:r w:rsidR="005E111F">
        <w:rPr>
          <w:rFonts w:cs="Times New Roman"/>
          <w:i/>
          <w:iCs/>
          <w:szCs w:val="24"/>
        </w:rPr>
        <w:t> </w:t>
      </w:r>
      <w:r w:rsidR="00D903D7" w:rsidRPr="0069428E">
        <w:rPr>
          <w:rFonts w:cs="Times New Roman"/>
          <w:i/>
          <w:iCs/>
          <w:szCs w:val="24"/>
        </w:rPr>
        <w:t>16657/03, 85.punktu un tur norādīto judikatūru</w:t>
      </w:r>
      <w:r w:rsidR="00D903D7" w:rsidRPr="0069428E">
        <w:rPr>
          <w:rFonts w:cs="Times New Roman"/>
          <w:szCs w:val="24"/>
        </w:rPr>
        <w:t>).</w:t>
      </w:r>
    </w:p>
    <w:p w14:paraId="321147CE" w14:textId="4B9C5204" w:rsidR="00A81A04" w:rsidRPr="0069428E" w:rsidRDefault="00A81A04" w:rsidP="006F013C">
      <w:pPr>
        <w:spacing w:after="0" w:line="276" w:lineRule="auto"/>
        <w:ind w:firstLine="680"/>
        <w:jc w:val="both"/>
        <w:rPr>
          <w:rFonts w:cs="Times New Roman"/>
          <w:szCs w:val="24"/>
        </w:rPr>
      </w:pPr>
      <w:r w:rsidRPr="0069428E">
        <w:rPr>
          <w:rFonts w:cs="Times New Roman"/>
          <w:szCs w:val="24"/>
        </w:rPr>
        <w:t xml:space="preserve">Lemjot par personas saukšanu pie kriminālatbildības </w:t>
      </w:r>
      <w:r w:rsidR="00EE3E43">
        <w:rPr>
          <w:rFonts w:cs="Times New Roman"/>
          <w:szCs w:val="24"/>
        </w:rPr>
        <w:t>par</w:t>
      </w:r>
      <w:r w:rsidRPr="0069428E">
        <w:rPr>
          <w:rFonts w:cs="Times New Roman"/>
          <w:szCs w:val="24"/>
        </w:rPr>
        <w:t xml:space="preserve"> Krimināllikuma </w:t>
      </w:r>
      <w:proofErr w:type="gramStart"/>
      <w:r w:rsidRPr="0069428E">
        <w:rPr>
          <w:rFonts w:cs="Times New Roman"/>
          <w:szCs w:val="24"/>
        </w:rPr>
        <w:t>144.pantā</w:t>
      </w:r>
      <w:proofErr w:type="gramEnd"/>
      <w:r w:rsidRPr="0069428E">
        <w:rPr>
          <w:rFonts w:cs="Times New Roman"/>
          <w:szCs w:val="24"/>
        </w:rPr>
        <w:t xml:space="preserve"> paredzēto noziedzīgo nodarījumu, jāņem vērā minētās </w:t>
      </w:r>
      <w:r w:rsidR="00D27470" w:rsidRPr="0069428E">
        <w:rPr>
          <w:rFonts w:cs="Times New Roman"/>
          <w:szCs w:val="24"/>
        </w:rPr>
        <w:t>E</w:t>
      </w:r>
      <w:r w:rsidR="00D903D7" w:rsidRPr="0069428E">
        <w:rPr>
          <w:rFonts w:cs="Times New Roman"/>
          <w:szCs w:val="24"/>
        </w:rPr>
        <w:t>iropas Cilvēktiesību tiesas</w:t>
      </w:r>
      <w:r w:rsidRPr="0069428E">
        <w:rPr>
          <w:rFonts w:cs="Times New Roman"/>
          <w:szCs w:val="24"/>
        </w:rPr>
        <w:t xml:space="preserve"> atziņas attiecībā uz </w:t>
      </w:r>
      <w:r w:rsidR="0087477D" w:rsidRPr="0069428E">
        <w:rPr>
          <w:rFonts w:cs="Times New Roman"/>
          <w:szCs w:val="24"/>
        </w:rPr>
        <w:t>Eiropas Cilvēktiesību konvencijas</w:t>
      </w:r>
      <w:r w:rsidRPr="0069428E">
        <w:rPr>
          <w:rFonts w:cs="Times New Roman"/>
          <w:szCs w:val="24"/>
        </w:rPr>
        <w:t xml:space="preserve"> 8. un 10.panta piemērošanu kontekstā ar </w:t>
      </w:r>
      <w:r w:rsidR="00EE3E43">
        <w:rPr>
          <w:rFonts w:cs="Times New Roman"/>
          <w:szCs w:val="24"/>
        </w:rPr>
        <w:t xml:space="preserve">Latvijas Republikas </w:t>
      </w:r>
      <w:r w:rsidRPr="0069428E">
        <w:rPr>
          <w:rFonts w:cs="Times New Roman"/>
          <w:szCs w:val="24"/>
        </w:rPr>
        <w:t>Satversmes 96. un 100.pantu.</w:t>
      </w:r>
    </w:p>
    <w:p w14:paraId="4E6BBC68" w14:textId="6E85AD7C" w:rsidR="000172AE" w:rsidRPr="00975843" w:rsidRDefault="00A81A04" w:rsidP="006F013C">
      <w:pPr>
        <w:spacing w:after="0" w:line="276" w:lineRule="auto"/>
        <w:ind w:firstLine="680"/>
        <w:jc w:val="both"/>
      </w:pPr>
      <w:r w:rsidRPr="0069428E">
        <w:t>Senāts atzīst, ka kasācijas sūdzībās pamatoti norādīts, ka apelācijas instances tiesa</w:t>
      </w:r>
      <w:r w:rsidRPr="00214196">
        <w:t xml:space="preserve"> spriedumā nav vērtējusi </w:t>
      </w:r>
      <w:r w:rsidR="00607E55">
        <w:t xml:space="preserve">aizstāves </w:t>
      </w:r>
      <w:r w:rsidRPr="00214196">
        <w:t xml:space="preserve">apelācijas sūdzības argumentus par apsūdzētā kā žurnālista statusu un viņa pienākumiem </w:t>
      </w:r>
      <w:r>
        <w:t xml:space="preserve">informēt </w:t>
      </w:r>
      <w:r w:rsidRPr="00214196">
        <w:t>sabiedrīb</w:t>
      </w:r>
      <w:r>
        <w:t xml:space="preserve">u. Tiesa tikai </w:t>
      </w:r>
      <w:r w:rsidRPr="00214196">
        <w:t xml:space="preserve">atsaukusies uz Latvijas Republikas </w:t>
      </w:r>
      <w:r w:rsidRPr="00975843">
        <w:t xml:space="preserve">Satversmes </w:t>
      </w:r>
      <w:proofErr w:type="gramStart"/>
      <w:r w:rsidRPr="00975843">
        <w:t>100.pantu</w:t>
      </w:r>
      <w:proofErr w:type="gramEnd"/>
      <w:r w:rsidRPr="00975843">
        <w:t>, likuma „Par presi un citiem masu informācijas līdzekļiem” 23. un 24.pantu, Fizisko personu datu aizsardzības likuma 5.pantu</w:t>
      </w:r>
      <w:r w:rsidR="00926EE0" w:rsidRPr="00975843">
        <w:t xml:space="preserve"> (spēkā inkriminētā noziedzīgā nodarījuma izdarīšanas brīdī)</w:t>
      </w:r>
      <w:r w:rsidRPr="00975843">
        <w:t>, bet minētās tiesību normas nav analizējusi</w:t>
      </w:r>
      <w:r w:rsidR="00926EE0" w:rsidRPr="00975843">
        <w:t>.</w:t>
      </w:r>
    </w:p>
    <w:p w14:paraId="4B4BF9A8" w14:textId="0B8C2AB4" w:rsidR="006F013C" w:rsidRDefault="00A30D8B" w:rsidP="006F013C">
      <w:pPr>
        <w:spacing w:after="0" w:line="276" w:lineRule="auto"/>
        <w:ind w:firstLine="680"/>
        <w:jc w:val="both"/>
      </w:pPr>
      <w:r w:rsidRPr="00975843">
        <w:t>[</w:t>
      </w:r>
      <w:r w:rsidR="003A09B8" w:rsidRPr="00975843">
        <w:t>6.3</w:t>
      </w:r>
      <w:r w:rsidRPr="00975843">
        <w:t>]</w:t>
      </w:r>
      <w:r w:rsidR="00975843">
        <w:t> </w:t>
      </w:r>
      <w:r w:rsidR="006F013C" w:rsidRPr="00975843">
        <w:t xml:space="preserve">Krimināllikuma </w:t>
      </w:r>
      <w:proofErr w:type="gramStart"/>
      <w:r w:rsidR="006F013C" w:rsidRPr="00975843">
        <w:t>6.panta</w:t>
      </w:r>
      <w:proofErr w:type="gramEnd"/>
      <w:r w:rsidR="006F013C" w:rsidRPr="00975843">
        <w:t xml:space="preserve"> otrā daļa noteic, ka </w:t>
      </w:r>
      <w:r w:rsidR="00975843">
        <w:t>p</w:t>
      </w:r>
      <w:r w:rsidR="00975843" w:rsidRPr="00975843">
        <w:t>ar noziedzīgu nav atzīstams nodarījums (darbība vai bezdarbība), kam ir šajā likumā paredzēta nodarījuma sastāva pazīmes, bet kas izdarīts apstākļos, kuri izslēdz kriminālatbildību.</w:t>
      </w:r>
    </w:p>
    <w:p w14:paraId="3CB57234" w14:textId="6183DBC6" w:rsidR="006F013C" w:rsidRDefault="006F013C" w:rsidP="006F013C">
      <w:pPr>
        <w:spacing w:after="0" w:line="276" w:lineRule="auto"/>
        <w:ind w:firstLine="680"/>
        <w:jc w:val="both"/>
      </w:pPr>
      <w:r>
        <w:t xml:space="preserve">Krimināllikuma </w:t>
      </w:r>
      <w:proofErr w:type="gramStart"/>
      <w:r>
        <w:t>33.panta</w:t>
      </w:r>
      <w:proofErr w:type="gramEnd"/>
      <w:r>
        <w:t xml:space="preserve"> pirmā daļa noteic, ka </w:t>
      </w:r>
      <w:r w:rsidR="00975843">
        <w:t>k</w:t>
      </w:r>
      <w:r w:rsidR="00975843" w:rsidRPr="00975843">
        <w:t>riminālatbildība neiestājas par kaitējumu, kas nodarīts ar profesionālu darbību, kurai ir noziedzīga nodarījuma sastāva pazīmes, ja šī darbība izdarīta, lai sasniegtu sociāli derīgu mērķi, kuru nebija iespējams sasniegt citādā veidā. Ar šo darbību saistītais profesionālais risks uzskatāms par attaisnojamu, ja persona, kas pieļāvusi risku, ir darījusi visu, lai novērstu kaitējumu tiesiski aizsargātām interesēm.</w:t>
      </w:r>
    </w:p>
    <w:p w14:paraId="31AC1612" w14:textId="296F08A7" w:rsidR="006F013C" w:rsidRPr="00FC65D6" w:rsidRDefault="006F013C" w:rsidP="006F013C">
      <w:pPr>
        <w:spacing w:after="0" w:line="276" w:lineRule="auto"/>
        <w:ind w:firstLine="680"/>
        <w:jc w:val="both"/>
        <w:rPr>
          <w:rFonts w:asciiTheme="majorBidi" w:hAnsiTheme="majorBidi" w:cstheme="majorBidi"/>
          <w:szCs w:val="24"/>
          <w:shd w:val="clear" w:color="auto" w:fill="FFFFFF"/>
        </w:rPr>
      </w:pPr>
      <w:r>
        <w:t>Tiesību zinātnē atzīts, ka profesionālajam riskam ir raksturīgas šādas pazīmes: 1)</w:t>
      </w:r>
      <w:r w:rsidR="00975843">
        <w:t> </w:t>
      </w:r>
      <w:r>
        <w:t>tiek veikta profesionāla darbība; 2)</w:t>
      </w:r>
      <w:r w:rsidR="00975843">
        <w:t> </w:t>
      </w:r>
      <w:r>
        <w:t>profesionālā darbība saistīta ar kaitējuma radīšanu citu personu ar likumu aizsargātām interesēm; 3)</w:t>
      </w:r>
      <w:r w:rsidR="00975843">
        <w:t> </w:t>
      </w:r>
      <w:r>
        <w:t>darbība atbilst Krimināllikuma Sevišķajā daļā paredzēta kāda noziedzīga nodarījuma sastāva pazīmēm; 4)</w:t>
      </w:r>
      <w:r w:rsidR="00975843">
        <w:t> </w:t>
      </w:r>
      <w:r>
        <w:t>darbības mērķis ir bijis sasniegt sociāli derīgu mērķi. Lai profesionālo risku būtu pamats atzīt par attaisnotu un līdz ar to par krimināli nesod</w:t>
      </w:r>
      <w:r w:rsidR="008F7A6A">
        <w:t>āmu</w:t>
      </w:r>
      <w:r w:rsidRPr="00586CBD">
        <w:rPr>
          <w:rFonts w:asciiTheme="majorBidi" w:hAnsiTheme="majorBidi" w:cstheme="majorBidi"/>
          <w:szCs w:val="24"/>
        </w:rPr>
        <w:t>, ir jāievēro šādi nosacījumi: 1)</w:t>
      </w:r>
      <w:r w:rsidR="00975843">
        <w:rPr>
          <w:rFonts w:asciiTheme="majorBidi" w:hAnsiTheme="majorBidi" w:cstheme="majorBidi"/>
          <w:szCs w:val="24"/>
        </w:rPr>
        <w:t> </w:t>
      </w:r>
      <w:r w:rsidRPr="00586CBD">
        <w:rPr>
          <w:rFonts w:asciiTheme="majorBidi" w:hAnsiTheme="majorBidi" w:cstheme="majorBidi"/>
          <w:szCs w:val="24"/>
        </w:rPr>
        <w:t>profesionālais risks ir bijusi vienīgā iespēja, kā sasniegt sociāli derīgo mērķi; 2)</w:t>
      </w:r>
      <w:r w:rsidR="00975843">
        <w:rPr>
          <w:rFonts w:asciiTheme="majorBidi" w:hAnsiTheme="majorBidi" w:cstheme="majorBidi"/>
          <w:szCs w:val="24"/>
        </w:rPr>
        <w:t> </w:t>
      </w:r>
      <w:r w:rsidRPr="00586CBD">
        <w:rPr>
          <w:rFonts w:asciiTheme="majorBidi" w:hAnsiTheme="majorBidi" w:cstheme="majorBidi"/>
          <w:szCs w:val="24"/>
        </w:rPr>
        <w:t>persona, kas pieļāvusi profesionālo risku, ir darījusi visu, lai novērstu kaitējumu tiesiski aizsargātām interesēm (Krimināllikuma 33.panta pirmā daļa)</w:t>
      </w:r>
      <w:r>
        <w:rPr>
          <w:rFonts w:asciiTheme="majorBidi" w:hAnsiTheme="majorBidi" w:cstheme="majorBidi"/>
          <w:szCs w:val="24"/>
        </w:rPr>
        <w:t>;</w:t>
      </w:r>
      <w:r w:rsidRPr="00586CBD">
        <w:rPr>
          <w:rFonts w:asciiTheme="majorBidi" w:hAnsiTheme="majorBidi" w:cstheme="majorBidi"/>
          <w:szCs w:val="24"/>
        </w:rPr>
        <w:t xml:space="preserve"> 3)</w:t>
      </w:r>
      <w:r w:rsidR="00B87672">
        <w:rPr>
          <w:rFonts w:asciiTheme="majorBidi" w:hAnsiTheme="majorBidi" w:cstheme="majorBidi"/>
          <w:szCs w:val="24"/>
        </w:rPr>
        <w:t> </w:t>
      </w:r>
      <w:r w:rsidRPr="00586CBD">
        <w:rPr>
          <w:rFonts w:asciiTheme="majorBidi" w:hAnsiTheme="majorBidi" w:cstheme="majorBidi"/>
          <w:szCs w:val="24"/>
        </w:rPr>
        <w:t>nav pieļauti apstākļi, kas izslēdz profesionālā riska tiesiskumu</w:t>
      </w:r>
      <w:r>
        <w:rPr>
          <w:rFonts w:asciiTheme="majorBidi" w:hAnsiTheme="majorBidi" w:cstheme="majorBidi"/>
          <w:szCs w:val="24"/>
        </w:rPr>
        <w:t xml:space="preserve"> </w:t>
      </w:r>
      <w:r w:rsidRPr="00586CBD">
        <w:rPr>
          <w:rFonts w:asciiTheme="majorBidi" w:hAnsiTheme="majorBidi" w:cstheme="majorBidi"/>
          <w:szCs w:val="24"/>
        </w:rPr>
        <w:t xml:space="preserve">(Krimināllikuma 33.panta otrā daļa) </w:t>
      </w:r>
      <w:r>
        <w:rPr>
          <w:rFonts w:asciiTheme="majorBidi" w:hAnsiTheme="majorBidi" w:cstheme="majorBidi"/>
          <w:szCs w:val="24"/>
          <w:shd w:val="clear" w:color="auto" w:fill="FFFFFF"/>
        </w:rPr>
        <w:t>(</w:t>
      </w:r>
      <w:r w:rsidRPr="003D167E">
        <w:rPr>
          <w:i/>
          <w:iCs/>
        </w:rPr>
        <w:t xml:space="preserve">Krastiņš U. Noziedzīga nodarījuma sastāvs un nodarījuma kvalifikācija. Teorētiskie aspekti. </w:t>
      </w:r>
      <w:r w:rsidRPr="00FC65D6">
        <w:rPr>
          <w:i/>
          <w:iCs/>
        </w:rPr>
        <w:t xml:space="preserve">Rīga: Tiesu namu aģentūra, 2014, </w:t>
      </w:r>
      <w:r w:rsidRPr="00FC65D6">
        <w:rPr>
          <w:rFonts w:asciiTheme="majorBidi" w:hAnsiTheme="majorBidi" w:cstheme="majorBidi"/>
          <w:i/>
          <w:iCs/>
          <w:szCs w:val="24"/>
          <w:shd w:val="clear" w:color="auto" w:fill="FFFFFF"/>
        </w:rPr>
        <w:t>369</w:t>
      </w:r>
      <w:r>
        <w:rPr>
          <w:rFonts w:asciiTheme="majorBidi" w:hAnsiTheme="majorBidi" w:cstheme="majorBidi"/>
          <w:i/>
          <w:iCs/>
          <w:szCs w:val="24"/>
          <w:shd w:val="clear" w:color="auto" w:fill="FFFFFF"/>
        </w:rPr>
        <w:t>.</w:t>
      </w:r>
      <w:r w:rsidRPr="00FC65D6">
        <w:rPr>
          <w:rFonts w:asciiTheme="majorBidi" w:hAnsiTheme="majorBidi" w:cstheme="majorBidi"/>
          <w:i/>
          <w:iCs/>
          <w:szCs w:val="24"/>
          <w:shd w:val="clear" w:color="auto" w:fill="FFFFFF"/>
        </w:rPr>
        <w:t>-370.lpp.</w:t>
      </w:r>
      <w:r w:rsidRPr="00FC65D6">
        <w:rPr>
          <w:rFonts w:asciiTheme="majorBidi" w:hAnsiTheme="majorBidi" w:cstheme="majorBidi"/>
          <w:szCs w:val="24"/>
          <w:shd w:val="clear" w:color="auto" w:fill="FFFFFF"/>
        </w:rPr>
        <w:t xml:space="preserve">). </w:t>
      </w:r>
    </w:p>
    <w:p w14:paraId="31D774CD" w14:textId="77777777" w:rsidR="006F013C" w:rsidRPr="00FC65D6" w:rsidRDefault="006F013C" w:rsidP="006F013C">
      <w:pPr>
        <w:spacing w:after="0" w:line="276" w:lineRule="auto"/>
        <w:ind w:firstLine="680"/>
        <w:jc w:val="both"/>
        <w:rPr>
          <w:rFonts w:asciiTheme="majorBidi" w:hAnsiTheme="majorBidi" w:cstheme="majorBidi"/>
          <w:szCs w:val="24"/>
          <w:shd w:val="clear" w:color="auto" w:fill="FFFFFF"/>
        </w:rPr>
      </w:pPr>
      <w:r w:rsidRPr="00FC65D6">
        <w:rPr>
          <w:rFonts w:asciiTheme="majorBidi" w:hAnsiTheme="majorBidi" w:cstheme="majorBidi"/>
          <w:szCs w:val="24"/>
          <w:shd w:val="clear" w:color="auto" w:fill="FFFFFF"/>
        </w:rPr>
        <w:t xml:space="preserve">Krimināllikuma komentāros nav sniegts šādu darbību izsmeļošs uzskaitījums </w:t>
      </w:r>
      <w:proofErr w:type="gramStart"/>
      <w:r w:rsidRPr="00FC65D6">
        <w:rPr>
          <w:rFonts w:asciiTheme="majorBidi" w:hAnsiTheme="majorBidi" w:cstheme="majorBidi"/>
          <w:szCs w:val="24"/>
          <w:shd w:val="clear" w:color="auto" w:fill="FFFFFF"/>
        </w:rPr>
        <w:t>(</w:t>
      </w:r>
      <w:proofErr w:type="gramEnd"/>
      <w:r w:rsidRPr="00FC65D6">
        <w:rPr>
          <w:rFonts w:asciiTheme="majorBidi" w:hAnsiTheme="majorBidi" w:cstheme="majorBidi"/>
          <w:i/>
          <w:iCs/>
          <w:szCs w:val="24"/>
          <w:shd w:val="clear" w:color="auto" w:fill="FFFFFF"/>
        </w:rPr>
        <w:t xml:space="preserve">Krastiņš U., </w:t>
      </w:r>
      <w:proofErr w:type="spellStart"/>
      <w:r w:rsidRPr="00FC65D6">
        <w:rPr>
          <w:rFonts w:asciiTheme="majorBidi" w:hAnsiTheme="majorBidi" w:cstheme="majorBidi"/>
          <w:i/>
          <w:iCs/>
          <w:szCs w:val="24"/>
          <w:shd w:val="clear" w:color="auto" w:fill="FFFFFF"/>
        </w:rPr>
        <w:t>Liholaja</w:t>
      </w:r>
      <w:proofErr w:type="spellEnd"/>
      <w:r w:rsidRPr="00FC65D6">
        <w:rPr>
          <w:rFonts w:asciiTheme="majorBidi" w:hAnsiTheme="majorBidi" w:cstheme="majorBidi"/>
          <w:i/>
          <w:iCs/>
          <w:szCs w:val="24"/>
          <w:shd w:val="clear" w:color="auto" w:fill="FFFFFF"/>
        </w:rPr>
        <w:t xml:space="preserve"> V. Krimināllikuma komentāri, pirmā daļa (I-VIII</w:t>
      </w:r>
      <w:r w:rsidRPr="00FC65D6">
        <w:rPr>
          <w:rFonts w:asciiTheme="majorBidi" w:hAnsiTheme="majorBidi" w:cstheme="majorBidi"/>
          <w:i/>
          <w:iCs/>
          <w:szCs w:val="24"/>
          <w:shd w:val="clear" w:color="auto" w:fill="FFFFFF"/>
          <w:vertAlign w:val="superscript"/>
        </w:rPr>
        <w:t>2</w:t>
      </w:r>
      <w:r w:rsidRPr="00FC65D6">
        <w:rPr>
          <w:rFonts w:asciiTheme="majorBidi" w:hAnsiTheme="majorBidi" w:cstheme="majorBidi"/>
          <w:i/>
          <w:iCs/>
          <w:szCs w:val="24"/>
          <w:shd w:val="clear" w:color="auto" w:fill="FFFFFF"/>
        </w:rPr>
        <w:t xml:space="preserve"> nodaļa). Trešais papildinātais izdevums. Rīga: Tiesu namu aģentūra, 2021, 160.lpp.</w:t>
      </w:r>
      <w:r w:rsidRPr="00FC65D6">
        <w:rPr>
          <w:rFonts w:asciiTheme="majorBidi" w:hAnsiTheme="majorBidi" w:cstheme="majorBidi"/>
          <w:szCs w:val="24"/>
          <w:shd w:val="clear" w:color="auto" w:fill="FFFFFF"/>
        </w:rPr>
        <w:t xml:space="preserve">). </w:t>
      </w:r>
    </w:p>
    <w:p w14:paraId="0803DBB7" w14:textId="70440A4C" w:rsidR="00EE3E43" w:rsidRDefault="00D27470" w:rsidP="00EE3E43">
      <w:pPr>
        <w:spacing w:after="0" w:line="276" w:lineRule="auto"/>
        <w:ind w:firstLine="709"/>
        <w:jc w:val="both"/>
      </w:pPr>
      <w:r w:rsidRPr="00607E55">
        <w:rPr>
          <w:rFonts w:asciiTheme="majorBidi" w:hAnsiTheme="majorBidi" w:cstheme="majorBidi"/>
          <w:szCs w:val="24"/>
          <w:shd w:val="clear" w:color="auto" w:fill="FFFFFF"/>
        </w:rPr>
        <w:t>Līdzsvarojot</w:t>
      </w:r>
      <w:r w:rsidR="00A30D8B" w:rsidRPr="00607E55">
        <w:rPr>
          <w:rFonts w:asciiTheme="majorBidi" w:hAnsiTheme="majorBidi" w:cstheme="majorBidi"/>
          <w:szCs w:val="24"/>
          <w:shd w:val="clear" w:color="auto" w:fill="FFFFFF"/>
        </w:rPr>
        <w:t xml:space="preserve"> privātās dzīves un korespondences neaizskaramības intereses, kuru aizsardzībai ir pieņemta Krimināllikuma </w:t>
      </w:r>
      <w:proofErr w:type="gramStart"/>
      <w:r w:rsidR="00A30D8B" w:rsidRPr="00607E55">
        <w:rPr>
          <w:rFonts w:asciiTheme="majorBidi" w:hAnsiTheme="majorBidi" w:cstheme="majorBidi"/>
          <w:szCs w:val="24"/>
          <w:shd w:val="clear" w:color="auto" w:fill="FFFFFF"/>
        </w:rPr>
        <w:t>144.panta</w:t>
      </w:r>
      <w:proofErr w:type="gramEnd"/>
      <w:r w:rsidR="00A30D8B" w:rsidRPr="00607E55">
        <w:rPr>
          <w:rFonts w:asciiTheme="majorBidi" w:hAnsiTheme="majorBidi" w:cstheme="majorBidi"/>
          <w:szCs w:val="24"/>
          <w:shd w:val="clear" w:color="auto" w:fill="FFFFFF"/>
        </w:rPr>
        <w:t xml:space="preserve"> pirmā</w:t>
      </w:r>
      <w:r w:rsidRPr="00607E55">
        <w:rPr>
          <w:rFonts w:asciiTheme="majorBidi" w:hAnsiTheme="majorBidi" w:cstheme="majorBidi"/>
          <w:szCs w:val="24"/>
          <w:shd w:val="clear" w:color="auto" w:fill="FFFFFF"/>
        </w:rPr>
        <w:t>s</w:t>
      </w:r>
      <w:r w:rsidR="00A30D8B" w:rsidRPr="00607E55">
        <w:rPr>
          <w:rFonts w:asciiTheme="majorBidi" w:hAnsiTheme="majorBidi" w:cstheme="majorBidi"/>
          <w:szCs w:val="24"/>
          <w:shd w:val="clear" w:color="auto" w:fill="FFFFFF"/>
        </w:rPr>
        <w:t xml:space="preserve"> daļas norma, par kuras pārkāpumu apsūdzēts </w:t>
      </w:r>
      <w:r w:rsidR="00D72635">
        <w:rPr>
          <w:rFonts w:asciiTheme="majorBidi" w:hAnsiTheme="majorBidi" w:cstheme="majorBidi"/>
          <w:szCs w:val="24"/>
          <w:shd w:val="clear" w:color="auto" w:fill="FFFFFF"/>
        </w:rPr>
        <w:t>[pers. A]</w:t>
      </w:r>
      <w:r w:rsidR="00A30D8B" w:rsidRPr="00607E55">
        <w:rPr>
          <w:rFonts w:asciiTheme="majorBidi" w:hAnsiTheme="majorBidi" w:cstheme="majorBidi"/>
          <w:szCs w:val="24"/>
          <w:shd w:val="clear" w:color="auto" w:fill="FFFFFF"/>
        </w:rPr>
        <w:t xml:space="preserve">, un tiesības uz vārda brīvību, uz kuru īstenošanu viņš atsaucas, </w:t>
      </w:r>
      <w:r w:rsidRPr="00607E55">
        <w:rPr>
          <w:rFonts w:asciiTheme="majorBidi" w:hAnsiTheme="majorBidi" w:cstheme="majorBidi"/>
          <w:szCs w:val="24"/>
          <w:shd w:val="clear" w:color="auto" w:fill="FFFFFF"/>
        </w:rPr>
        <w:t>t</w:t>
      </w:r>
      <w:r w:rsidR="00A30D8B" w:rsidRPr="00607E55">
        <w:rPr>
          <w:rFonts w:asciiTheme="majorBidi" w:hAnsiTheme="majorBidi" w:cstheme="majorBidi"/>
          <w:szCs w:val="24"/>
          <w:shd w:val="clear" w:color="auto" w:fill="FFFFFF"/>
        </w:rPr>
        <w:t xml:space="preserve">iesai ir jāizvērtē, vai nav konstatējami Krimināllikuma </w:t>
      </w:r>
      <w:proofErr w:type="gramStart"/>
      <w:r w:rsidR="00A30D8B" w:rsidRPr="00607E55">
        <w:rPr>
          <w:rFonts w:asciiTheme="majorBidi" w:hAnsiTheme="majorBidi" w:cstheme="majorBidi"/>
          <w:szCs w:val="24"/>
          <w:shd w:val="clear" w:color="auto" w:fill="FFFFFF"/>
        </w:rPr>
        <w:t>33.pantā</w:t>
      </w:r>
      <w:proofErr w:type="gramEnd"/>
      <w:r w:rsidR="00A30D8B" w:rsidRPr="00607E55">
        <w:rPr>
          <w:rFonts w:asciiTheme="majorBidi" w:hAnsiTheme="majorBidi" w:cstheme="majorBidi"/>
          <w:szCs w:val="24"/>
          <w:shd w:val="clear" w:color="auto" w:fill="FFFFFF"/>
        </w:rPr>
        <w:t xml:space="preserve"> minētie </w:t>
      </w:r>
      <w:r w:rsidRPr="00607E55">
        <w:rPr>
          <w:rFonts w:asciiTheme="majorBidi" w:hAnsiTheme="majorBidi" w:cstheme="majorBidi"/>
          <w:szCs w:val="24"/>
          <w:shd w:val="clear" w:color="auto" w:fill="FFFFFF"/>
        </w:rPr>
        <w:t xml:space="preserve">apstākļi, kas izslēdz kriminālatbildību. </w:t>
      </w:r>
      <w:r w:rsidR="0054220F" w:rsidRPr="00607E55">
        <w:rPr>
          <w:rFonts w:asciiTheme="majorBidi" w:hAnsiTheme="majorBidi" w:cstheme="majorBidi"/>
          <w:szCs w:val="24"/>
          <w:shd w:val="clear" w:color="auto" w:fill="FFFFFF"/>
        </w:rPr>
        <w:t>K</w:t>
      </w:r>
      <w:r w:rsidR="006F013C" w:rsidRPr="00607E55">
        <w:rPr>
          <w:rFonts w:asciiTheme="majorBidi" w:hAnsiTheme="majorBidi" w:cstheme="majorBidi"/>
          <w:szCs w:val="24"/>
          <w:shd w:val="clear" w:color="auto" w:fill="FFFFFF"/>
        </w:rPr>
        <w:t>asācijas instances tiesas kompetencē neietilpst sniegt vērtējumu, vai konkrētā lietā ir piemērojami Krimināllikuma 33.panta nosacījumi</w:t>
      </w:r>
      <w:r w:rsidR="0054220F" w:rsidRPr="00607E55">
        <w:rPr>
          <w:rFonts w:asciiTheme="majorBidi" w:hAnsiTheme="majorBidi" w:cstheme="majorBidi"/>
          <w:szCs w:val="24"/>
          <w:shd w:val="clear" w:color="auto" w:fill="FFFFFF"/>
        </w:rPr>
        <w:t>. Š</w:t>
      </w:r>
      <w:r w:rsidR="006F013C" w:rsidRPr="00607E55">
        <w:rPr>
          <w:rFonts w:asciiTheme="majorBidi" w:hAnsiTheme="majorBidi" w:cstheme="majorBidi"/>
          <w:szCs w:val="24"/>
          <w:shd w:val="clear" w:color="auto" w:fill="FFFFFF"/>
        </w:rPr>
        <w:t>āds atzinums sniedzams, izskatot lietu</w:t>
      </w:r>
      <w:r w:rsidR="0054220F" w:rsidRPr="00607E55">
        <w:rPr>
          <w:rFonts w:asciiTheme="majorBidi" w:hAnsiTheme="majorBidi" w:cstheme="majorBidi"/>
          <w:szCs w:val="24"/>
          <w:shd w:val="clear" w:color="auto" w:fill="FFFFFF"/>
        </w:rPr>
        <w:t xml:space="preserve"> pirmās instances</w:t>
      </w:r>
      <w:r w:rsidR="0054220F">
        <w:rPr>
          <w:rFonts w:asciiTheme="majorBidi" w:hAnsiTheme="majorBidi" w:cstheme="majorBidi"/>
          <w:szCs w:val="24"/>
          <w:shd w:val="clear" w:color="auto" w:fill="FFFFFF"/>
        </w:rPr>
        <w:t xml:space="preserve"> tiesā vai arī</w:t>
      </w:r>
      <w:r w:rsidR="006F013C" w:rsidRPr="00586CBD">
        <w:rPr>
          <w:rFonts w:asciiTheme="majorBidi" w:hAnsiTheme="majorBidi" w:cstheme="majorBidi"/>
          <w:szCs w:val="24"/>
          <w:shd w:val="clear" w:color="auto" w:fill="FFFFFF"/>
        </w:rPr>
        <w:t xml:space="preserve"> apelācijas instances tiesā.</w:t>
      </w:r>
      <w:r w:rsidR="00EE3E43">
        <w:rPr>
          <w:rFonts w:asciiTheme="majorBidi" w:hAnsiTheme="majorBidi" w:cstheme="majorBidi"/>
          <w:szCs w:val="24"/>
          <w:shd w:val="clear" w:color="auto" w:fill="FFFFFF"/>
        </w:rPr>
        <w:t xml:space="preserve"> </w:t>
      </w:r>
      <w:r w:rsidR="00EE3E43">
        <w:t xml:space="preserve">Aizstāve kasācijas sūdzībā norādījusi, ka tiesa nav izvērtējusi, vai </w:t>
      </w:r>
      <w:r w:rsidR="005C31FC">
        <w:t>[pers. A]</w:t>
      </w:r>
      <w:r w:rsidR="00EE3E43">
        <w:t xml:space="preserve"> nav rīkojies apstākļos, kas izslēdz kriminālatbildību, t.i., vai nav piemērojami</w:t>
      </w:r>
      <w:r w:rsidR="00EE3E43" w:rsidRPr="007E2662">
        <w:t xml:space="preserve"> </w:t>
      </w:r>
      <w:r w:rsidR="00EE3E43">
        <w:t>Krimināllikuma 33.panta pirmās daļas nosacījumi.</w:t>
      </w:r>
    </w:p>
    <w:p w14:paraId="0EE0AEAB" w14:textId="173F0D90" w:rsidR="006F013C" w:rsidRDefault="0054220F" w:rsidP="006F013C">
      <w:pPr>
        <w:spacing w:after="0" w:line="276" w:lineRule="auto"/>
        <w:ind w:firstLine="709"/>
        <w:jc w:val="both"/>
        <w:rPr>
          <w:rFonts w:asciiTheme="majorBidi" w:hAnsiTheme="majorBidi" w:cstheme="majorBidi"/>
          <w:szCs w:val="24"/>
          <w:shd w:val="clear" w:color="auto" w:fill="FFFFFF"/>
        </w:rPr>
      </w:pPr>
      <w:r w:rsidRPr="0002182E">
        <w:t xml:space="preserve">Senāts atzīst, ka apelācijas instances tiesa, </w:t>
      </w:r>
      <w:r>
        <w:t>neizvērtējot vai konkrētajā</w:t>
      </w:r>
      <w:r w:rsidRPr="0002182E">
        <w:t xml:space="preserve"> liet</w:t>
      </w:r>
      <w:r>
        <w:t xml:space="preserve">ā nav piemērojami Krimināllikuma </w:t>
      </w:r>
      <w:proofErr w:type="gramStart"/>
      <w:r>
        <w:t>33.panta</w:t>
      </w:r>
      <w:proofErr w:type="gramEnd"/>
      <w:r>
        <w:t xml:space="preserve"> nosacījumi</w:t>
      </w:r>
      <w:r w:rsidRPr="0002182E">
        <w:t>, pieļāvusi Kriminālprocesa likuma 511.panta otrās daļas,</w:t>
      </w:r>
      <w:r>
        <w:t xml:space="preserve"> 512.panta pirmās daļas,</w:t>
      </w:r>
      <w:r w:rsidRPr="0002182E">
        <w:t xml:space="preserve"> 564.panta ceturtās daļas pārkāpumu</w:t>
      </w:r>
      <w:r>
        <w:t>s</w:t>
      </w:r>
      <w:r w:rsidRPr="0002182E">
        <w:t>, kas atzīstam</w:t>
      </w:r>
      <w:r>
        <w:t>i</w:t>
      </w:r>
      <w:r w:rsidRPr="0002182E">
        <w:t xml:space="preserve"> par Kriminālprocesa likuma būtisk</w:t>
      </w:r>
      <w:r>
        <w:t>iem</w:t>
      </w:r>
      <w:r w:rsidRPr="0002182E">
        <w:t xml:space="preserve"> pārkāpum</w:t>
      </w:r>
      <w:r>
        <w:t>iem</w:t>
      </w:r>
      <w:r w:rsidRPr="0002182E">
        <w:t xml:space="preserve"> šā likuma 575.panta trešās daļas izpratnē, noveda pie nelikumīga nolēmuma un ir pamats apelācijas instances tiesas </w:t>
      </w:r>
      <w:r>
        <w:t>sprieduma</w:t>
      </w:r>
      <w:r w:rsidRPr="0002182E">
        <w:t xml:space="preserve"> atcelšanai.</w:t>
      </w:r>
    </w:p>
    <w:p w14:paraId="35D14A71" w14:textId="4E7DF008" w:rsidR="006F013C" w:rsidRDefault="006F013C" w:rsidP="006F013C">
      <w:pPr>
        <w:spacing w:after="0" w:line="276" w:lineRule="auto"/>
        <w:ind w:firstLine="709"/>
        <w:jc w:val="both"/>
      </w:pPr>
      <w:r>
        <w:rPr>
          <w:rFonts w:asciiTheme="majorBidi" w:hAnsiTheme="majorBidi" w:cstheme="majorBidi"/>
          <w:szCs w:val="24"/>
          <w:shd w:val="clear" w:color="auto" w:fill="FFFFFF"/>
        </w:rPr>
        <w:t>[</w:t>
      </w:r>
      <w:r w:rsidR="003A09B8">
        <w:rPr>
          <w:rFonts w:asciiTheme="majorBidi" w:hAnsiTheme="majorBidi" w:cstheme="majorBidi"/>
          <w:szCs w:val="24"/>
          <w:shd w:val="clear" w:color="auto" w:fill="FFFFFF"/>
        </w:rPr>
        <w:t>6.4</w:t>
      </w:r>
      <w:r>
        <w:rPr>
          <w:rFonts w:asciiTheme="majorBidi" w:hAnsiTheme="majorBidi" w:cstheme="majorBidi"/>
          <w:szCs w:val="24"/>
          <w:shd w:val="clear" w:color="auto" w:fill="FFFFFF"/>
        </w:rPr>
        <w:t>]</w:t>
      </w:r>
      <w:r w:rsidR="00975843">
        <w:rPr>
          <w:rFonts w:asciiTheme="majorBidi" w:hAnsiTheme="majorBidi" w:cstheme="majorBidi"/>
          <w:szCs w:val="24"/>
          <w:shd w:val="clear" w:color="auto" w:fill="FFFFFF"/>
        </w:rPr>
        <w:t> </w:t>
      </w:r>
      <w:r w:rsidRPr="00121DA7">
        <w:rPr>
          <w:szCs w:val="24"/>
        </w:rPr>
        <w:t xml:space="preserve">Apelācijas instances tiesa pirmās instances tiesas spriedumu daļā par apsūdzētā </w:t>
      </w:r>
      <w:r w:rsidR="005C31FC">
        <w:rPr>
          <w:szCs w:val="24"/>
        </w:rPr>
        <w:t>[pers. A]</w:t>
      </w:r>
      <w:r w:rsidRPr="00121DA7">
        <w:rPr>
          <w:szCs w:val="24"/>
        </w:rPr>
        <w:t xml:space="preserve"> atzīšanu par vainīgu pēc Krimināllikuma </w:t>
      </w:r>
      <w:proofErr w:type="gramStart"/>
      <w:r w:rsidRPr="00121DA7">
        <w:rPr>
          <w:szCs w:val="24"/>
        </w:rPr>
        <w:t>144.panta</w:t>
      </w:r>
      <w:proofErr w:type="gramEnd"/>
      <w:r w:rsidRPr="00121DA7">
        <w:rPr>
          <w:szCs w:val="24"/>
        </w:rPr>
        <w:t xml:space="preserve"> pirmās daļas atstājusi negrozītu. Tiesa atsaukusies uz Kriminālprocesa likuma </w:t>
      </w:r>
      <w:proofErr w:type="gramStart"/>
      <w:r w:rsidRPr="00121DA7">
        <w:rPr>
          <w:szCs w:val="24"/>
        </w:rPr>
        <w:t>564.panta</w:t>
      </w:r>
      <w:proofErr w:type="gramEnd"/>
      <w:r w:rsidRPr="00121DA7">
        <w:rPr>
          <w:szCs w:val="24"/>
        </w:rPr>
        <w:t xml:space="preserve"> sesto daļu, kas noteic: ja apelācijas instances tiesa atstāj pirmās instances tiesas spriedumu bez grozījumiem, tā var neatkārtot pirmās instances tiesas spriedumā minētos pierādījumus un atzinumus.</w:t>
      </w:r>
    </w:p>
    <w:p w14:paraId="36B1ADCD" w14:textId="77777777" w:rsidR="004B66ED" w:rsidRDefault="006F013C" w:rsidP="004B66ED">
      <w:pPr>
        <w:spacing w:after="0" w:line="276" w:lineRule="auto"/>
        <w:ind w:firstLine="680"/>
        <w:jc w:val="both"/>
      </w:pPr>
      <w:r>
        <w:t>Senāts norāda, ka a</w:t>
      </w:r>
      <w:r w:rsidRPr="0002182E">
        <w:t xml:space="preserve">pelācijas instances tiesa, atsaucoties uz Kriminālprocesa likuma </w:t>
      </w:r>
      <w:proofErr w:type="gramStart"/>
      <w:r w:rsidRPr="0002182E">
        <w:t>564.panta</w:t>
      </w:r>
      <w:proofErr w:type="gramEnd"/>
      <w:r w:rsidRPr="0002182E">
        <w:t xml:space="preserve"> sestajā daļā noteikto, nav tiesīga nesniegt atbildes uz būtiskiem apelācijas sūdzības argumentiem.</w:t>
      </w:r>
    </w:p>
    <w:p w14:paraId="468593B4" w14:textId="191D28DC" w:rsidR="004B66ED" w:rsidRDefault="004B66ED" w:rsidP="004B66ED">
      <w:pPr>
        <w:spacing w:after="0" w:line="276" w:lineRule="auto"/>
        <w:ind w:firstLine="680"/>
        <w:jc w:val="both"/>
        <w:rPr>
          <w:rFonts w:eastAsia="Times New Roman" w:cs="Times New Roman"/>
          <w:szCs w:val="24"/>
        </w:rPr>
      </w:pPr>
      <w:r>
        <w:t xml:space="preserve">Aizstāve kasācijas sūdzībā norādījusi, ka apsūdzētais publiskojis tikai to informāciju, kas bija sabiedrības interesēs un norādīja uz cietušā kā valsts amatpersonas </w:t>
      </w:r>
      <w:r w:rsidR="00EE3E43">
        <w:t xml:space="preserve">iespējamām </w:t>
      </w:r>
      <w:r>
        <w:t xml:space="preserve">nelikumīgām darbībām. Personiska vai privāta satura informācija netika publiskota, tādējādi nodrošinot samērīgumu starp personas tiesībām uz privātās dzīves jeb korespondences neaizskaramību un žurnālistu tiesībām uz vārda brīvību. </w:t>
      </w:r>
      <w:r w:rsidRPr="00A6133F">
        <w:t xml:space="preserve">Šādi argumenti bija izklāstīti arī </w:t>
      </w:r>
      <w:r>
        <w:t xml:space="preserve">aizstāves </w:t>
      </w:r>
      <w:r w:rsidRPr="00A6133F">
        <w:t>apelācijas sūdzībā.</w:t>
      </w:r>
    </w:p>
    <w:p w14:paraId="3FDDE194" w14:textId="4DEA7BF3" w:rsidR="00816487" w:rsidRDefault="00960950" w:rsidP="00960950">
      <w:pPr>
        <w:spacing w:after="0" w:line="276" w:lineRule="auto"/>
        <w:ind w:firstLine="680"/>
        <w:jc w:val="both"/>
        <w:rPr>
          <w:rFonts w:eastAsia="Times New Roman" w:cs="Times New Roman"/>
          <w:szCs w:val="24"/>
        </w:rPr>
      </w:pPr>
      <w:r w:rsidRPr="001859BB">
        <w:t xml:space="preserve">Senāts konstatē, ka apelācijas instances tiesa </w:t>
      </w:r>
      <w:r>
        <w:t>spriedumā pievērsusies tikai apsūdzētā faktisko darbību noskaidrošanai un izvērtējumam.</w:t>
      </w:r>
      <w:r w:rsidRPr="009223DE">
        <w:rPr>
          <w:rFonts w:eastAsia="Times New Roman" w:cs="Times New Roman"/>
          <w:szCs w:val="24"/>
        </w:rPr>
        <w:t xml:space="preserve"> </w:t>
      </w:r>
      <w:r>
        <w:rPr>
          <w:rFonts w:eastAsia="Times New Roman" w:cs="Times New Roman"/>
          <w:szCs w:val="24"/>
        </w:rPr>
        <w:t>Tiesas sniegtajā noziedzīga nodarījuma aprakstā ir norādītas tehniska rakstura darbības</w:t>
      </w:r>
      <w:r w:rsidR="00816487">
        <w:rPr>
          <w:rFonts w:eastAsia="Times New Roman" w:cs="Times New Roman"/>
          <w:szCs w:val="24"/>
        </w:rPr>
        <w:t xml:space="preserve"> ar datortehniku</w:t>
      </w:r>
      <w:r>
        <w:rPr>
          <w:rFonts w:eastAsia="Times New Roman" w:cs="Times New Roman"/>
          <w:szCs w:val="24"/>
        </w:rPr>
        <w:t>, kuras, pēc tiesas domām, ir veicis apsūdzētais</w:t>
      </w:r>
      <w:r w:rsidRPr="00FD45AA">
        <w:rPr>
          <w:rFonts w:eastAsia="Times New Roman" w:cs="Times New Roman"/>
          <w:szCs w:val="24"/>
        </w:rPr>
        <w:t xml:space="preserve">. Noziedzīga nodarījuma aprakstā tiesa atsaukusies uz Latvijas Republikas Satversmes </w:t>
      </w:r>
      <w:proofErr w:type="gramStart"/>
      <w:r w:rsidRPr="00FD45AA">
        <w:rPr>
          <w:rFonts w:eastAsia="Times New Roman" w:cs="Times New Roman"/>
          <w:szCs w:val="24"/>
        </w:rPr>
        <w:t>96.pantu</w:t>
      </w:r>
      <w:proofErr w:type="gramEnd"/>
      <w:r w:rsidRPr="00FD45AA">
        <w:rPr>
          <w:rFonts w:eastAsia="Times New Roman" w:cs="Times New Roman"/>
          <w:szCs w:val="24"/>
        </w:rPr>
        <w:t>, kas noteic, ka ikvienam ir tiesības uz privātās dzīves, mājokļa un korespondences neaizskaramību, likuma ,,Par presi un citiem masu informācijas līdzekļiem” 7.panta ceturto daļu, kas noteic, ka aizliegta un saskaņā ar likumu tiek sodīta masu informācijas līdzekļu izmantošana, lai iejauktos personu personiskajā dzīvē.</w:t>
      </w:r>
    </w:p>
    <w:p w14:paraId="5C53842D" w14:textId="47B1D525" w:rsidR="00960950" w:rsidRDefault="00816487" w:rsidP="00960950">
      <w:pPr>
        <w:spacing w:after="0" w:line="276" w:lineRule="auto"/>
        <w:ind w:firstLine="680"/>
        <w:jc w:val="both"/>
      </w:pPr>
      <w:r>
        <w:rPr>
          <w:rFonts w:eastAsia="Times New Roman" w:cs="Times New Roman"/>
          <w:szCs w:val="24"/>
        </w:rPr>
        <w:t>Apelācijas instances tiesa</w:t>
      </w:r>
      <w:r w:rsidR="007E09AB">
        <w:rPr>
          <w:rFonts w:eastAsia="Times New Roman" w:cs="Times New Roman"/>
          <w:szCs w:val="24"/>
        </w:rPr>
        <w:t>, izvērtējot</w:t>
      </w:r>
      <w:r w:rsidR="007E09AB">
        <w:rPr>
          <w:szCs w:val="24"/>
        </w:rPr>
        <w:t xml:space="preserve"> </w:t>
      </w:r>
      <w:r w:rsidRPr="00A453B3">
        <w:rPr>
          <w:szCs w:val="24"/>
        </w:rPr>
        <w:t xml:space="preserve">noziedzīga nodarījuma sastāva </w:t>
      </w:r>
      <w:r w:rsidR="007E09AB">
        <w:rPr>
          <w:szCs w:val="24"/>
        </w:rPr>
        <w:t xml:space="preserve">esību </w:t>
      </w:r>
      <w:r w:rsidRPr="00A453B3">
        <w:rPr>
          <w:szCs w:val="24"/>
        </w:rPr>
        <w:t xml:space="preserve">un </w:t>
      </w:r>
      <w:r w:rsidR="007E09AB">
        <w:rPr>
          <w:szCs w:val="24"/>
        </w:rPr>
        <w:t xml:space="preserve">noraidot </w:t>
      </w:r>
      <w:r w:rsidRPr="00A453B3">
        <w:rPr>
          <w:szCs w:val="24"/>
        </w:rPr>
        <w:t>aizstāves iebildum</w:t>
      </w:r>
      <w:r w:rsidR="007E09AB">
        <w:rPr>
          <w:szCs w:val="24"/>
        </w:rPr>
        <w:t>us</w:t>
      </w:r>
      <w:r w:rsidRPr="00A453B3">
        <w:rPr>
          <w:szCs w:val="24"/>
        </w:rPr>
        <w:t xml:space="preserve"> par </w:t>
      </w:r>
      <w:r w:rsidR="0087477D">
        <w:rPr>
          <w:szCs w:val="24"/>
        </w:rPr>
        <w:t>Eiropas Cilvēktiesību konvencijas</w:t>
      </w:r>
      <w:r w:rsidRPr="00A453B3">
        <w:rPr>
          <w:szCs w:val="24"/>
        </w:rPr>
        <w:t xml:space="preserve"> 10.panta neievērošanu</w:t>
      </w:r>
      <w:r w:rsidR="007E09AB">
        <w:rPr>
          <w:szCs w:val="24"/>
        </w:rPr>
        <w:t>,</w:t>
      </w:r>
      <w:r w:rsidRPr="00A453B3">
        <w:rPr>
          <w:szCs w:val="24"/>
        </w:rPr>
        <w:t xml:space="preserve"> </w:t>
      </w:r>
      <w:r>
        <w:rPr>
          <w:szCs w:val="24"/>
        </w:rPr>
        <w:t>sprieduma motīvu daļā</w:t>
      </w:r>
      <w:r w:rsidRPr="00A453B3">
        <w:rPr>
          <w:szCs w:val="24"/>
        </w:rPr>
        <w:t xml:space="preserve"> </w:t>
      </w:r>
      <w:r w:rsidR="007E09AB">
        <w:rPr>
          <w:szCs w:val="24"/>
        </w:rPr>
        <w:t xml:space="preserve">izklāstījusi </w:t>
      </w:r>
      <w:r>
        <w:rPr>
          <w:szCs w:val="24"/>
        </w:rPr>
        <w:t>vispārīgu</w:t>
      </w:r>
      <w:r w:rsidR="007E09AB">
        <w:rPr>
          <w:szCs w:val="24"/>
        </w:rPr>
        <w:t>s</w:t>
      </w:r>
      <w:r>
        <w:rPr>
          <w:szCs w:val="24"/>
        </w:rPr>
        <w:t xml:space="preserve"> </w:t>
      </w:r>
      <w:r w:rsidRPr="00A453B3">
        <w:rPr>
          <w:szCs w:val="24"/>
        </w:rPr>
        <w:t>apgalvojum</w:t>
      </w:r>
      <w:r>
        <w:rPr>
          <w:szCs w:val="24"/>
        </w:rPr>
        <w:t>u</w:t>
      </w:r>
      <w:r w:rsidR="007E09AB">
        <w:rPr>
          <w:szCs w:val="24"/>
        </w:rPr>
        <w:t>s</w:t>
      </w:r>
      <w:r>
        <w:rPr>
          <w:szCs w:val="24"/>
        </w:rPr>
        <w:t>, bez detalizēta izvērtējuma un pamatojuma</w:t>
      </w:r>
      <w:r w:rsidRPr="00A453B3">
        <w:rPr>
          <w:szCs w:val="24"/>
        </w:rPr>
        <w:t xml:space="preserve">. </w:t>
      </w:r>
      <w:r>
        <w:rPr>
          <w:szCs w:val="24"/>
        </w:rPr>
        <w:t xml:space="preserve">Tiesa spriedumā nav vērtējusi </w:t>
      </w:r>
      <w:r w:rsidR="0087477D">
        <w:rPr>
          <w:szCs w:val="24"/>
        </w:rPr>
        <w:t xml:space="preserve">Eiropas Cilvēktiesību tiesas </w:t>
      </w:r>
      <w:r w:rsidRPr="00A453B3">
        <w:rPr>
          <w:szCs w:val="24"/>
        </w:rPr>
        <w:t>judikatūr</w:t>
      </w:r>
      <w:r>
        <w:rPr>
          <w:szCs w:val="24"/>
        </w:rPr>
        <w:t>u</w:t>
      </w:r>
      <w:r w:rsidRPr="00A453B3">
        <w:rPr>
          <w:szCs w:val="24"/>
        </w:rPr>
        <w:t xml:space="preserve"> šajā jautājumā</w:t>
      </w:r>
      <w:r>
        <w:rPr>
          <w:szCs w:val="24"/>
        </w:rPr>
        <w:t>,</w:t>
      </w:r>
      <w:r>
        <w:rPr>
          <w:rFonts w:eastAsia="Times New Roman" w:cs="Times New Roman"/>
          <w:szCs w:val="24"/>
        </w:rPr>
        <w:t xml:space="preserve"> nav vērtējusi apsūdzētā liecināto, ka viņš</w:t>
      </w:r>
      <w:r w:rsidRPr="00550F5F">
        <w:rPr>
          <w:rFonts w:eastAsia="Times New Roman" w:cs="Times New Roman"/>
          <w:szCs w:val="24"/>
        </w:rPr>
        <w:t xml:space="preserve"> </w:t>
      </w:r>
      <w:r>
        <w:rPr>
          <w:rFonts w:eastAsia="Times New Roman" w:cs="Times New Roman"/>
          <w:szCs w:val="24"/>
        </w:rPr>
        <w:t xml:space="preserve">kā žurnālists ir rūpīgi izvērtējis, kuru informāciju no </w:t>
      </w:r>
      <w:r w:rsidR="005C31FC">
        <w:rPr>
          <w:rFonts w:eastAsia="Times New Roman" w:cs="Times New Roman"/>
          <w:szCs w:val="24"/>
        </w:rPr>
        <w:t>[pers. B]</w:t>
      </w:r>
      <w:r>
        <w:rPr>
          <w:rFonts w:eastAsia="Times New Roman" w:cs="Times New Roman"/>
          <w:szCs w:val="24"/>
        </w:rPr>
        <w:t xml:space="preserve"> sarakstes publiskot un publiskojis tikai tādu informāciju, kas var liecināt par politiķa un augstas amatpersonas, iespējams, prettiesisku rīcību, un ka informācija ir publiskota sabiedrības interesēs.</w:t>
      </w:r>
    </w:p>
    <w:p w14:paraId="0B02A6DD" w14:textId="42FC963D" w:rsidR="00960950" w:rsidRPr="00DF45AE" w:rsidRDefault="00960950" w:rsidP="005E111F">
      <w:pPr>
        <w:spacing w:after="0" w:line="276" w:lineRule="auto"/>
        <w:ind w:firstLine="680"/>
        <w:jc w:val="both"/>
      </w:pPr>
      <w:r>
        <w:t xml:space="preserve">Senāts konstatē, ka tiesa tikai citējusi </w:t>
      </w:r>
      <w:r w:rsidRPr="004B099D">
        <w:rPr>
          <w:szCs w:val="24"/>
        </w:rPr>
        <w:t>La</w:t>
      </w:r>
      <w:r>
        <w:rPr>
          <w:szCs w:val="24"/>
        </w:rPr>
        <w:t>tvijas Republikas Satversmes</w:t>
      </w:r>
      <w:r>
        <w:t xml:space="preserve"> </w:t>
      </w:r>
      <w:proofErr w:type="gramStart"/>
      <w:r>
        <w:t>96.pantu</w:t>
      </w:r>
      <w:proofErr w:type="gramEnd"/>
      <w:r>
        <w:t>, bet sprieduma motīvu daļā nav atklājusi tā saturu, nav izmantojusi tiesību zinātnē paust</w:t>
      </w:r>
      <w:r w:rsidR="009D6315">
        <w:t>ā</w:t>
      </w:r>
      <w:r>
        <w:t>s atziņas, kā arī nav pamatojusi savus secinājumus par norādītās normas pārkāpumu</w:t>
      </w:r>
      <w:r w:rsidR="00816487">
        <w:t>, nav veikusi</w:t>
      </w:r>
      <w:r w:rsidR="00816487" w:rsidRPr="00816487">
        <w:rPr>
          <w:szCs w:val="24"/>
        </w:rPr>
        <w:t xml:space="preserve"> </w:t>
      </w:r>
      <w:r w:rsidR="00816487" w:rsidRPr="004B099D">
        <w:rPr>
          <w:szCs w:val="24"/>
        </w:rPr>
        <w:t>La</w:t>
      </w:r>
      <w:r w:rsidR="00816487">
        <w:rPr>
          <w:szCs w:val="24"/>
        </w:rPr>
        <w:t>tvijas Republikas Satversmē garantēto</w:t>
      </w:r>
      <w:r w:rsidR="00816487">
        <w:t xml:space="preserve"> abu pamattiesību interešu </w:t>
      </w:r>
      <w:r w:rsidR="005E111F">
        <w:t>–</w:t>
      </w:r>
      <w:r w:rsidR="00816487">
        <w:t xml:space="preserve"> tiesību uz privāto dzīvi un tiesību uz vārda brīvību </w:t>
      </w:r>
      <w:r w:rsidR="005E111F">
        <w:t>–</w:t>
      </w:r>
      <w:r w:rsidR="00816487">
        <w:t xml:space="preserve"> izvērtē</w:t>
      </w:r>
      <w:r w:rsidR="00D30F79">
        <w:t>jumu</w:t>
      </w:r>
      <w:r>
        <w:t>.</w:t>
      </w:r>
    </w:p>
    <w:p w14:paraId="3E0F4FA3" w14:textId="3A70179A" w:rsidR="00960950" w:rsidRDefault="00C11950" w:rsidP="009D6315">
      <w:pPr>
        <w:spacing w:after="0" w:line="276" w:lineRule="auto"/>
        <w:ind w:firstLine="680"/>
        <w:jc w:val="both"/>
      </w:pPr>
      <w:r w:rsidRPr="00607E55">
        <w:t xml:space="preserve">Senāts </w:t>
      </w:r>
      <w:r w:rsidR="00756B79" w:rsidRPr="00607E55">
        <w:t>uzskata</w:t>
      </w:r>
      <w:r w:rsidRPr="00607E55">
        <w:t xml:space="preserve">, ka Krimināllikuma </w:t>
      </w:r>
      <w:proofErr w:type="gramStart"/>
      <w:r w:rsidRPr="00607E55">
        <w:t>144.panta</w:t>
      </w:r>
      <w:proofErr w:type="gramEnd"/>
      <w:r w:rsidRPr="00607E55">
        <w:t xml:space="preserve"> piemērošanā tiesai jā</w:t>
      </w:r>
      <w:r w:rsidR="004B66ED">
        <w:t xml:space="preserve">veic </w:t>
      </w:r>
      <w:r w:rsidRPr="00607E55">
        <w:t xml:space="preserve">Latvijas Republikas Satversmes 96. un 100.pantā, </w:t>
      </w:r>
      <w:r w:rsidR="0087477D" w:rsidRPr="00607E55">
        <w:t>Eiropas Cilvēktiesību konvencijas</w:t>
      </w:r>
      <w:r w:rsidR="00416730" w:rsidRPr="00607E55">
        <w:t xml:space="preserve"> 8. un 10.pantā</w:t>
      </w:r>
      <w:r w:rsidRPr="00607E55">
        <w:t xml:space="preserve"> nostiprināto tiesību līdzsvarošana,</w:t>
      </w:r>
      <w:r w:rsidR="001973BE" w:rsidRPr="00607E55">
        <w:t xml:space="preserve"> </w:t>
      </w:r>
      <w:r w:rsidR="004B66ED">
        <w:t>jāizvērtē</w:t>
      </w:r>
      <w:r w:rsidR="001973BE" w:rsidRPr="00607E55">
        <w:t>, vai nepastāv apstākļi, kas izslēdz kriminālatbildību,</w:t>
      </w:r>
      <w:r w:rsidRPr="00607E55">
        <w:t xml:space="preserve"> t.i., </w:t>
      </w:r>
      <w:r w:rsidR="009B21B8" w:rsidRPr="00607E55">
        <w:t xml:space="preserve">katrā </w:t>
      </w:r>
      <w:r w:rsidRPr="00607E55">
        <w:t>konkrētā lietā tiesai jāvērtē</w:t>
      </w:r>
      <w:r w:rsidR="00170D5E">
        <w:t>,</w:t>
      </w:r>
      <w:r w:rsidR="009B21B8" w:rsidRPr="00607E55">
        <w:t xml:space="preserve"> vai</w:t>
      </w:r>
      <w:r w:rsidRPr="00607E55">
        <w:t xml:space="preserve"> </w:t>
      </w:r>
      <w:r w:rsidR="00170D5E">
        <w:t xml:space="preserve">nodarījuma </w:t>
      </w:r>
      <w:r w:rsidRPr="00607E55">
        <w:t xml:space="preserve">subjekts </w:t>
      </w:r>
      <w:r w:rsidR="009B21B8" w:rsidRPr="00607E55">
        <w:t>nav</w:t>
      </w:r>
      <w:r w:rsidRPr="00607E55">
        <w:t xml:space="preserve"> žurnālists</w:t>
      </w:r>
      <w:r w:rsidR="00D27470" w:rsidRPr="00607E55">
        <w:t xml:space="preserve"> (vai persona, no kuras nodarbošanās izriet, ka tai piešķirama žurnālistiem līdzvērtīga aizsardzība)</w:t>
      </w:r>
      <w:r w:rsidRPr="00607E55">
        <w:t xml:space="preserve">, kuram principā ir piešķirta īpaša loma sabiedrības informēšanā nolūkā veicināt demokrātiju, </w:t>
      </w:r>
      <w:r w:rsidR="00756B79" w:rsidRPr="00607E55">
        <w:t>un vai</w:t>
      </w:r>
      <w:r w:rsidRPr="00607E55">
        <w:t xml:space="preserve"> cietušais </w:t>
      </w:r>
      <w:r w:rsidR="00756B79" w:rsidRPr="00607E55">
        <w:t>nav</w:t>
      </w:r>
      <w:r w:rsidRPr="00607E55">
        <w:t xml:space="preserve"> sabiedrībā zināms politiķis un</w:t>
      </w:r>
      <w:r w:rsidR="00C64C4B">
        <w:t>/vai</w:t>
      </w:r>
      <w:r w:rsidRPr="00607E55">
        <w:t xml:space="preserve"> augsta valsts amatpersona, kurai jābūt augstākai</w:t>
      </w:r>
      <w:r w:rsidRPr="008D28EB">
        <w:t xml:space="preserve"> tolerancei pret iejau</w:t>
      </w:r>
      <w:r>
        <w:t>k</w:t>
      </w:r>
      <w:r w:rsidRPr="008D28EB">
        <w:t xml:space="preserve">šanos tās privātās dzīves sfērā, kurā ietilpst arī korespondence. </w:t>
      </w:r>
    </w:p>
    <w:p w14:paraId="00418803" w14:textId="7D2E06B8" w:rsidR="00C64C4B" w:rsidRPr="00607E55" w:rsidRDefault="00C64C4B" w:rsidP="00C64C4B">
      <w:pPr>
        <w:spacing w:after="0" w:line="276" w:lineRule="auto"/>
        <w:ind w:firstLine="680"/>
        <w:jc w:val="both"/>
      </w:pPr>
      <w:r>
        <w:t>Senāts atzīst, ka a</w:t>
      </w:r>
      <w:r>
        <w:rPr>
          <w:rFonts w:eastAsia="Times New Roman" w:cs="Times New Roman"/>
          <w:szCs w:val="24"/>
        </w:rPr>
        <w:t>pelācijas instances tiesa, neizvērtējot norādītos jautājumus</w:t>
      </w:r>
      <w:r w:rsidRPr="00C11950">
        <w:t xml:space="preserve"> </w:t>
      </w:r>
      <w:r>
        <w:t>un neveicot nosaukto</w:t>
      </w:r>
      <w:r w:rsidRPr="008D28EB">
        <w:t xml:space="preserve"> tiesību līdzsvarošana</w:t>
      </w:r>
      <w:r>
        <w:t>s analīzi</w:t>
      </w:r>
      <w:r>
        <w:rPr>
          <w:rFonts w:eastAsia="Times New Roman" w:cs="Times New Roman"/>
          <w:szCs w:val="24"/>
        </w:rPr>
        <w:t xml:space="preserve">, pieļāvusi </w:t>
      </w:r>
      <w:r w:rsidRPr="00A453B3">
        <w:t xml:space="preserve">Kriminālprocesa likuma </w:t>
      </w:r>
      <w:proofErr w:type="gramStart"/>
      <w:r w:rsidRPr="00A453B3">
        <w:t>511.panta</w:t>
      </w:r>
      <w:proofErr w:type="gramEnd"/>
      <w:r w:rsidRPr="00A453B3">
        <w:t xml:space="preserve"> otrā</w:t>
      </w:r>
      <w:r>
        <w:t>s</w:t>
      </w:r>
      <w:r w:rsidRPr="00A453B3">
        <w:t xml:space="preserve"> daļa</w:t>
      </w:r>
      <w:r>
        <w:t>s,</w:t>
      </w:r>
      <w:r>
        <w:rPr>
          <w:rFonts w:eastAsia="Times New Roman" w:cs="Times New Roman"/>
          <w:szCs w:val="24"/>
        </w:rPr>
        <w:t xml:space="preserve"> 564.panta ceturtās daļas pārkāpumus, kas atzīstami par</w:t>
      </w:r>
      <w:r w:rsidRPr="00874916">
        <w:t xml:space="preserve"> </w:t>
      </w:r>
      <w:r w:rsidRPr="00A453B3">
        <w:t xml:space="preserve">Kriminālprocesa likuma </w:t>
      </w:r>
      <w:r>
        <w:t>būtiskiem</w:t>
      </w:r>
      <w:r>
        <w:rPr>
          <w:rFonts w:eastAsia="Times New Roman" w:cs="Times New Roman"/>
          <w:szCs w:val="24"/>
        </w:rPr>
        <w:t xml:space="preserve"> pārkāpumiem šā likuma 575.panta trešās daļas izpratnē, noveda pie nelikumīga </w:t>
      </w:r>
      <w:r w:rsidRPr="00607E55">
        <w:rPr>
          <w:rFonts w:eastAsia="Times New Roman" w:cs="Times New Roman"/>
          <w:szCs w:val="24"/>
        </w:rPr>
        <w:t>nolēmuma</w:t>
      </w:r>
      <w:r w:rsidRPr="00607E55">
        <w:t xml:space="preserve"> un ir pamats apelācijas instances tiesas sprieduma atcelšanai.</w:t>
      </w:r>
    </w:p>
    <w:p w14:paraId="4A1FFE00" w14:textId="566E245A" w:rsidR="006621E3" w:rsidRDefault="006621E3" w:rsidP="00FC65D6">
      <w:pPr>
        <w:spacing w:after="0" w:line="276" w:lineRule="auto"/>
        <w:ind w:firstLine="680"/>
        <w:jc w:val="both"/>
      </w:pPr>
      <w:r>
        <w:t>[</w:t>
      </w:r>
      <w:r w:rsidR="003A09B8">
        <w:t>6.5</w:t>
      </w:r>
      <w:r>
        <w:t>]</w:t>
      </w:r>
      <w:bookmarkStart w:id="5" w:name="_Hlk95833668"/>
      <w:r w:rsidR="00975843">
        <w:t> </w:t>
      </w:r>
      <w:r>
        <w:t>Senāts atzīst, ka</w:t>
      </w:r>
      <w:bookmarkEnd w:id="5"/>
      <w:r>
        <w:t xml:space="preserve"> apelācijas instances tiesa pamatoti atzinusi par pieļaujamiem pierādījumiem </w:t>
      </w:r>
      <w:r w:rsidR="00035214">
        <w:rPr>
          <w:bCs/>
        </w:rPr>
        <w:t>apskates protokolā fiksētās ziņas par faktiem</w:t>
      </w:r>
      <w:r>
        <w:t xml:space="preserve">. </w:t>
      </w:r>
    </w:p>
    <w:p w14:paraId="28E0A1BB" w14:textId="47404182" w:rsidR="006621E3" w:rsidRPr="0087015E" w:rsidRDefault="006621E3" w:rsidP="00035214">
      <w:pPr>
        <w:spacing w:after="0" w:line="276" w:lineRule="auto"/>
        <w:ind w:firstLine="680"/>
        <w:jc w:val="both"/>
      </w:pPr>
      <w:r>
        <w:t>Apelācijas instances tiesa</w:t>
      </w:r>
      <w:r w:rsidR="00035214">
        <w:t>, izvērtējot apelācijas sūdzībā minētos argumentus, kuri atkārtoti kasācijas sūdzībā un izklāstīti šā lēmuma 4.2</w:t>
      </w:r>
      <w:r w:rsidR="009F29E9">
        <w:t>.</w:t>
      </w:r>
      <w:r w:rsidR="00035214">
        <w:t>punktā,</w:t>
      </w:r>
      <w:r>
        <w:t xml:space="preserve"> atzinusi, ka apskate veikta atbilstoši Kriminālprocesa likuma 159.</w:t>
      </w:r>
      <w:r w:rsidR="004C2091">
        <w:t xml:space="preserve"> un</w:t>
      </w:r>
      <w:r>
        <w:t xml:space="preserve"> </w:t>
      </w:r>
      <w:proofErr w:type="gramStart"/>
      <w:r>
        <w:t>160.panta</w:t>
      </w:r>
      <w:proofErr w:type="gramEnd"/>
      <w:r>
        <w:t xml:space="preserve"> noteikumiem. Tiesa secinājusi, ka automatizētās datu apstrādes sistēmas satura apskates pēc būtības atšķiras no cita veida apskatēm, kā, piemēram, notikuma vietas, telpas, priekšmeta apskates. Lai datus apskatītu, tie jāatver, nodrošinot da</w:t>
      </w:r>
      <w:r w:rsidR="004C2091">
        <w:t>t</w:t>
      </w:r>
      <w:r>
        <w:t xml:space="preserve">u veseluma </w:t>
      </w:r>
      <w:r w:rsidRPr="0087015E">
        <w:t xml:space="preserve">saglabāšanu, līdz ar to programmu pielietošana datu atvēršanai, apskatei, saglabāšanai spoguļattēlā nodrošina apskates izdarīšanu un nav uzskatāma par ekspertīzes veikšanu. </w:t>
      </w:r>
    </w:p>
    <w:p w14:paraId="1AFFD91B" w14:textId="06C233A4" w:rsidR="00607E55" w:rsidRDefault="006621E3" w:rsidP="00607E55">
      <w:pPr>
        <w:spacing w:after="0" w:line="276" w:lineRule="auto"/>
        <w:ind w:firstLine="680"/>
        <w:jc w:val="both"/>
      </w:pPr>
      <w:r w:rsidRPr="0087015E">
        <w:t>A</w:t>
      </w:r>
      <w:r w:rsidR="00170D5E">
        <w:t>pelācijas instances t</w:t>
      </w:r>
      <w:r w:rsidR="00170D5E" w:rsidRPr="0087015E">
        <w:t>iesa atzinusi, ka aizstāves norādītie fakti</w:t>
      </w:r>
      <w:r w:rsidR="00170D5E">
        <w:t>, proti, ka</w:t>
      </w:r>
      <w:r w:rsidRPr="0087015E">
        <w:t xml:space="preserve"> liecinieks </w:t>
      </w:r>
      <w:r w:rsidR="005C31FC">
        <w:t>[pers. E]</w:t>
      </w:r>
      <w:r w:rsidRPr="0087015E">
        <w:t xml:space="preserve"> tiesas sēdē nopratināšanas laikā demonstrējis tiesai datorā esošu faila kopiju, kas nav pievienota lietai</w:t>
      </w:r>
      <w:r w:rsidR="00170D5E">
        <w:t>,</w:t>
      </w:r>
      <w:r w:rsidRPr="0087015E">
        <w:t xml:space="preserve"> neatbilst patiesībai. Šādu atzinumu tiesa pamatojusi</w:t>
      </w:r>
      <w:r w:rsidR="001B12A2">
        <w:t xml:space="preserve"> ar </w:t>
      </w:r>
      <w:proofErr w:type="gramStart"/>
      <w:r w:rsidRPr="0087015E">
        <w:t>2018.gada</w:t>
      </w:r>
      <w:proofErr w:type="gramEnd"/>
      <w:r w:rsidRPr="0087015E">
        <w:t xml:space="preserve"> </w:t>
      </w:r>
      <w:r w:rsidR="005C31FC">
        <w:t>[..]</w:t>
      </w:r>
      <w:r w:rsidRPr="0087015E">
        <w:t xml:space="preserve"> pirmās instances tiesas sēdes protokol</w:t>
      </w:r>
      <w:r w:rsidR="001B12A2">
        <w:t xml:space="preserve">ā izklāstīto. </w:t>
      </w:r>
    </w:p>
    <w:p w14:paraId="664F94FB" w14:textId="1E6BFC87" w:rsidR="00607E55" w:rsidRDefault="0002182E" w:rsidP="00607E55">
      <w:pPr>
        <w:spacing w:after="0" w:line="276" w:lineRule="auto"/>
        <w:ind w:firstLine="680"/>
        <w:jc w:val="both"/>
      </w:pPr>
      <w:r>
        <w:t>[</w:t>
      </w:r>
      <w:r w:rsidR="003A09B8">
        <w:t>6.6</w:t>
      </w:r>
      <w:r>
        <w:t>]</w:t>
      </w:r>
      <w:r w:rsidR="00975843">
        <w:t> </w:t>
      </w:r>
      <w:r w:rsidR="00BA0AA9">
        <w:t>Senāts atzīst par nepamatotu apsūdzētā</w:t>
      </w:r>
      <w:r w:rsidR="00BA0AA9" w:rsidRPr="0087477D">
        <w:t xml:space="preserve"> </w:t>
      </w:r>
      <w:r w:rsidR="005C31FC">
        <w:t>[pers. A]</w:t>
      </w:r>
      <w:r w:rsidR="00BA0AA9" w:rsidRPr="0087477D">
        <w:t xml:space="preserve"> kasācijas sūdzībā izteikto norādi par p</w:t>
      </w:r>
      <w:r w:rsidR="00BA0AA9">
        <w:t xml:space="preserve">irmstiesas kriminālprocesā pieļautu </w:t>
      </w:r>
      <w:r w:rsidR="00114CFA">
        <w:t xml:space="preserve">Kriminālprocesa likuma būtisku pārkāpumu šā likuma </w:t>
      </w:r>
      <w:proofErr w:type="gramStart"/>
      <w:r w:rsidR="00114CFA">
        <w:t>575.panta</w:t>
      </w:r>
      <w:proofErr w:type="gramEnd"/>
      <w:r w:rsidR="00114CFA">
        <w:t xml:space="preserve"> trešās</w:t>
      </w:r>
      <w:r w:rsidR="00A6133F">
        <w:t xml:space="preserve"> daļas izpratnē</w:t>
      </w:r>
      <w:r w:rsidR="00BA0AA9">
        <w:t xml:space="preserve"> sakarā ar to, ka 2011.gada </w:t>
      </w:r>
      <w:r w:rsidR="005C31FC">
        <w:t>[..]</w:t>
      </w:r>
      <w:r w:rsidR="00BA0AA9">
        <w:t>.</w:t>
      </w:r>
      <w:r w:rsidR="00607E55">
        <w:t xml:space="preserve"> un</w:t>
      </w:r>
      <w:r w:rsidR="00BA0AA9">
        <w:t xml:space="preserve"> </w:t>
      </w:r>
      <w:r w:rsidR="005C31FC">
        <w:t>[..]</w:t>
      </w:r>
      <w:r w:rsidR="00BA0AA9">
        <w:t>.decembrī, veicot viņa nopratināšanu, netika pieaicināts aizstāvis.</w:t>
      </w:r>
    </w:p>
    <w:p w14:paraId="26D54FE4" w14:textId="5CC32D5D" w:rsidR="00BA0AA9" w:rsidRPr="0087477D" w:rsidRDefault="00BA0AA9" w:rsidP="00607E55">
      <w:pPr>
        <w:spacing w:after="0" w:line="276" w:lineRule="auto"/>
        <w:ind w:firstLine="680"/>
        <w:jc w:val="both"/>
      </w:pPr>
      <w:r>
        <w:t>No lietā esošajiem dokumentiem konstatējams, ka</w:t>
      </w:r>
      <w:r w:rsidRPr="0087477D">
        <w:t xml:space="preserve"> aizstāv</w:t>
      </w:r>
      <w:r w:rsidR="00D901B8">
        <w:t>is</w:t>
      </w:r>
      <w:r w:rsidRPr="0087477D">
        <w:t xml:space="preserve"> A.</w:t>
      </w:r>
      <w:r w:rsidR="00785DD6">
        <w:t> </w:t>
      </w:r>
      <w:r w:rsidRPr="0087477D">
        <w:t>Bauma</w:t>
      </w:r>
      <w:r w:rsidR="00D901B8">
        <w:t>nis pieaicināts un</w:t>
      </w:r>
      <w:r w:rsidRPr="0087477D">
        <w:t xml:space="preserve"> orderis</w:t>
      </w:r>
      <w:r w:rsidR="00114CFA" w:rsidRPr="0087477D">
        <w:t xml:space="preserve"> </w:t>
      </w:r>
      <w:r w:rsidRPr="0087477D">
        <w:t xml:space="preserve">izrakstīts </w:t>
      </w:r>
      <w:proofErr w:type="gramStart"/>
      <w:r w:rsidRPr="0087477D">
        <w:t>2011.gada</w:t>
      </w:r>
      <w:proofErr w:type="gramEnd"/>
      <w:r w:rsidRPr="0087477D">
        <w:t xml:space="preserve"> </w:t>
      </w:r>
      <w:r w:rsidR="005C31FC">
        <w:t>[..]</w:t>
      </w:r>
      <w:r w:rsidRPr="0087477D">
        <w:t>. No aizturēšanas protokola redzams, ka minētais aizstāvis bijis klāt</w:t>
      </w:r>
      <w:r w:rsidR="00114CFA" w:rsidRPr="0087477D">
        <w:t xml:space="preserve">, kad </w:t>
      </w:r>
      <w:r w:rsidR="005C31FC">
        <w:t>[pers. A]</w:t>
      </w:r>
      <w:r w:rsidR="00114CFA" w:rsidRPr="0087477D">
        <w:t xml:space="preserve"> uzrādīts</w:t>
      </w:r>
      <w:r w:rsidRPr="0087477D">
        <w:t xml:space="preserve"> aizturē</w:t>
      </w:r>
      <w:r w:rsidR="00114CFA" w:rsidRPr="0087477D">
        <w:t>šanas</w:t>
      </w:r>
      <w:r w:rsidRPr="0087477D">
        <w:t xml:space="preserve"> protokols.</w:t>
      </w:r>
      <w:r w:rsidR="00114CFA" w:rsidRPr="0087477D">
        <w:t xml:space="preserve"> </w:t>
      </w:r>
      <w:r w:rsidRPr="0087477D">
        <w:t xml:space="preserve">No </w:t>
      </w:r>
      <w:proofErr w:type="gramStart"/>
      <w:r w:rsidR="00114CFA" w:rsidRPr="0087477D">
        <w:t>2011.gada</w:t>
      </w:r>
      <w:proofErr w:type="gramEnd"/>
      <w:r w:rsidR="00114CFA" w:rsidRPr="0087477D">
        <w:t xml:space="preserve"> </w:t>
      </w:r>
      <w:r w:rsidR="005C31FC">
        <w:t>[..]</w:t>
      </w:r>
      <w:r w:rsidR="00114CFA" w:rsidRPr="0087477D">
        <w:t xml:space="preserve"> </w:t>
      </w:r>
      <w:r w:rsidRPr="0087477D">
        <w:t>aizturētā nopratināšanas protokola redzams, ka aizstāvis</w:t>
      </w:r>
      <w:r w:rsidR="009F29E9">
        <w:t xml:space="preserve"> procesuālajā darbībā</w:t>
      </w:r>
      <w:r w:rsidRPr="0087477D">
        <w:t xml:space="preserve"> </w:t>
      </w:r>
      <w:r w:rsidR="00114CFA" w:rsidRPr="0087477D">
        <w:t xml:space="preserve">ir </w:t>
      </w:r>
      <w:r w:rsidRPr="0087477D">
        <w:t xml:space="preserve">piedalījies. </w:t>
      </w:r>
      <w:r w:rsidR="00114CFA" w:rsidRPr="0087477D">
        <w:t>Savukārt n</w:t>
      </w:r>
      <w:r w:rsidRPr="0087477D">
        <w:t xml:space="preserve">o </w:t>
      </w:r>
      <w:proofErr w:type="gramStart"/>
      <w:r w:rsidRPr="0087477D">
        <w:t>2011.gada</w:t>
      </w:r>
      <w:proofErr w:type="gramEnd"/>
      <w:r w:rsidRPr="0087477D">
        <w:t xml:space="preserve"> </w:t>
      </w:r>
      <w:r w:rsidR="005C31FC">
        <w:t>[..]</w:t>
      </w:r>
      <w:r w:rsidRPr="0087477D">
        <w:t xml:space="preserve"> aizturētā papildus nopratināšanas protokola redzams, ka</w:t>
      </w:r>
      <w:r w:rsidR="00D901B8" w:rsidRPr="00D901B8">
        <w:t xml:space="preserve"> </w:t>
      </w:r>
      <w:r w:rsidR="005C31FC">
        <w:t>[pers. A]</w:t>
      </w:r>
      <w:r w:rsidR="00D901B8" w:rsidRPr="0087477D">
        <w:t xml:space="preserve"> </w:t>
      </w:r>
      <w:r w:rsidR="00D901B8">
        <w:t xml:space="preserve">pēc paša iniciatīvas, ievērojot Kriminālprocesa likuma 88.panta nosacījumus, </w:t>
      </w:r>
      <w:r w:rsidR="00D901B8" w:rsidRPr="0087477D">
        <w:t>atteicies no</w:t>
      </w:r>
      <w:r w:rsidR="00D901B8">
        <w:t xml:space="preserve"> </w:t>
      </w:r>
      <w:r w:rsidRPr="0087477D">
        <w:t xml:space="preserve"> aizstāv</w:t>
      </w:r>
      <w:r w:rsidR="00D901B8">
        <w:t>ja, par ko parakstījies. Izmantojot savas tiesības,</w:t>
      </w:r>
      <w:r w:rsidRPr="0087477D">
        <w:t xml:space="preserve"> </w:t>
      </w:r>
      <w:bookmarkStart w:id="6" w:name="_Hlk96414615"/>
      <w:r w:rsidR="005C31FC">
        <w:t>[pers. A]</w:t>
      </w:r>
      <w:r w:rsidRPr="0087477D">
        <w:t xml:space="preserve"> </w:t>
      </w:r>
      <w:r w:rsidR="00D901B8">
        <w:t xml:space="preserve">bez jebkādiem motīviem </w:t>
      </w:r>
      <w:r w:rsidRPr="0087477D">
        <w:t xml:space="preserve">atteicies </w:t>
      </w:r>
      <w:bookmarkEnd w:id="6"/>
      <w:r w:rsidRPr="0087477D">
        <w:t>liec</w:t>
      </w:r>
      <w:r w:rsidR="00D901B8">
        <w:t xml:space="preserve">ināt </w:t>
      </w:r>
      <w:r w:rsidRPr="0087477D">
        <w:t>(</w:t>
      </w:r>
      <w:r w:rsidRPr="0087477D">
        <w:rPr>
          <w:i/>
          <w:iCs/>
        </w:rPr>
        <w:t>1.sējuma 118.</w:t>
      </w:r>
      <w:r w:rsidR="00F37B5D">
        <w:rPr>
          <w:i/>
          <w:iCs/>
        </w:rPr>
        <w:noBreakHyphen/>
      </w:r>
      <w:proofErr w:type="gramStart"/>
      <w:r w:rsidRPr="0087477D">
        <w:rPr>
          <w:i/>
          <w:iCs/>
        </w:rPr>
        <w:t>119.lapa</w:t>
      </w:r>
      <w:proofErr w:type="gramEnd"/>
      <w:r w:rsidRPr="0087477D">
        <w:t>).</w:t>
      </w:r>
      <w:r w:rsidR="00114CFA" w:rsidRPr="0087477D">
        <w:t xml:space="preserve"> </w:t>
      </w:r>
      <w:r w:rsidRPr="0087477D">
        <w:t xml:space="preserve">No </w:t>
      </w:r>
      <w:proofErr w:type="gramStart"/>
      <w:r w:rsidR="00114CFA" w:rsidRPr="0087477D">
        <w:t>2</w:t>
      </w:r>
      <w:r w:rsidRPr="0087477D">
        <w:t>011.gada</w:t>
      </w:r>
      <w:proofErr w:type="gramEnd"/>
      <w:r w:rsidRPr="0087477D">
        <w:t xml:space="preserve"> </w:t>
      </w:r>
      <w:r w:rsidR="005C31FC">
        <w:t>[..]</w:t>
      </w:r>
      <w:r w:rsidRPr="0087477D">
        <w:t xml:space="preserve"> aizturētā papildus nopratināšanas protokola redzams, ka </w:t>
      </w:r>
      <w:r w:rsidR="005C31FC">
        <w:t>[pers. A]</w:t>
      </w:r>
      <w:r w:rsidR="00D901B8" w:rsidRPr="00D901B8">
        <w:t xml:space="preserve"> </w:t>
      </w:r>
      <w:r w:rsidR="00D901B8">
        <w:t>pēc paša iniciatīvas, ievērojot Kriminālprocesa likuma 88.panta nosacījumus un izmantojot savas tiesības,</w:t>
      </w:r>
      <w:r w:rsidR="00114CFA" w:rsidRPr="0087477D">
        <w:t xml:space="preserve"> </w:t>
      </w:r>
      <w:r w:rsidRPr="0087477D">
        <w:t>ir atteicies no aizstāvja piedalīšanās šajā procesuālajā darbībā</w:t>
      </w:r>
      <w:r w:rsidR="00FE0490" w:rsidRPr="0087477D">
        <w:t xml:space="preserve"> un</w:t>
      </w:r>
      <w:r w:rsidRPr="0087477D">
        <w:t xml:space="preserve"> ir sniedzis liecības (</w:t>
      </w:r>
      <w:r w:rsidRPr="0087477D">
        <w:rPr>
          <w:i/>
          <w:iCs/>
        </w:rPr>
        <w:t>1.sējuma 120.</w:t>
      </w:r>
      <w:r w:rsidR="00F37B5D">
        <w:rPr>
          <w:i/>
          <w:iCs/>
        </w:rPr>
        <w:noBreakHyphen/>
      </w:r>
      <w:r w:rsidRPr="0087477D">
        <w:rPr>
          <w:i/>
          <w:iCs/>
        </w:rPr>
        <w:t>122.lapa</w:t>
      </w:r>
      <w:r w:rsidRPr="0087477D">
        <w:t xml:space="preserve">). </w:t>
      </w:r>
    </w:p>
    <w:p w14:paraId="12FD0228" w14:textId="77777777" w:rsidR="00C32579" w:rsidRPr="0087477D" w:rsidRDefault="00C32579" w:rsidP="0087477D">
      <w:pPr>
        <w:spacing w:after="0" w:line="276" w:lineRule="auto"/>
        <w:ind w:firstLine="680"/>
        <w:jc w:val="both"/>
      </w:pPr>
    </w:p>
    <w:p w14:paraId="268957A8" w14:textId="166B881D" w:rsidR="0002182E" w:rsidRDefault="00A6133F" w:rsidP="00BA0AA9">
      <w:pPr>
        <w:spacing w:after="0" w:line="276" w:lineRule="auto"/>
        <w:ind w:firstLine="680"/>
        <w:jc w:val="both"/>
      </w:pPr>
      <w:r>
        <w:t>[</w:t>
      </w:r>
      <w:r w:rsidR="003A09B8">
        <w:t>7</w:t>
      </w:r>
      <w:r>
        <w:t>]</w:t>
      </w:r>
      <w:r w:rsidR="00975843">
        <w:t> </w:t>
      </w:r>
      <w:r w:rsidR="0002182E">
        <w:t xml:space="preserve">Ievērojot to, ka lieta apelācijas instances tiesā jāizskata no jauna atbilstoši Kriminālprocesa likuma 53.nodaļas prasībām, pārējie kasācijas sūdzībās izklāstītie argumenti, kas saistīti ar lietā iegūto pierādījumu </w:t>
      </w:r>
      <w:r w:rsidR="0002182E" w:rsidRPr="005D635E">
        <w:rPr>
          <w:bCs/>
        </w:rPr>
        <w:t xml:space="preserve">izvērtēšanu, šajā kasācijas instances tiesas lēmumā netiek </w:t>
      </w:r>
      <w:r w:rsidR="00756B79">
        <w:rPr>
          <w:bCs/>
        </w:rPr>
        <w:t>izskatīti</w:t>
      </w:r>
      <w:r w:rsidR="0002182E">
        <w:rPr>
          <w:bCs/>
        </w:rPr>
        <w:t>.</w:t>
      </w:r>
    </w:p>
    <w:p w14:paraId="7135D91B" w14:textId="77777777" w:rsidR="003E48E7" w:rsidRDefault="003E48E7" w:rsidP="00FC65D6">
      <w:pPr>
        <w:spacing w:after="0" w:line="276" w:lineRule="auto"/>
        <w:ind w:firstLine="680"/>
        <w:jc w:val="both"/>
      </w:pPr>
    </w:p>
    <w:p w14:paraId="5940428F" w14:textId="4BB37130" w:rsidR="001A05D9" w:rsidRPr="00975843" w:rsidRDefault="00A41424" w:rsidP="00975843">
      <w:pPr>
        <w:spacing w:after="0" w:line="276" w:lineRule="auto"/>
        <w:ind w:firstLine="680"/>
        <w:jc w:val="both"/>
      </w:pPr>
      <w:r w:rsidRPr="0087015E">
        <w:t>[</w:t>
      </w:r>
      <w:r w:rsidR="003A09B8">
        <w:t>8</w:t>
      </w:r>
      <w:r w:rsidRPr="0087015E">
        <w:t>]</w:t>
      </w:r>
      <w:r w:rsidR="00975843">
        <w:t> </w:t>
      </w:r>
      <w:r w:rsidR="005C31FC">
        <w:rPr>
          <w:rFonts w:eastAsia="Calibri"/>
          <w:bCs/>
        </w:rPr>
        <w:t>[Pers. A]</w:t>
      </w:r>
      <w:r w:rsidR="0087015E" w:rsidRPr="0087015E">
        <w:rPr>
          <w:rFonts w:eastAsia="Calibri"/>
          <w:bCs/>
        </w:rPr>
        <w:t xml:space="preserve"> drošības līdzeklis nav piemērots. Senāts </w:t>
      </w:r>
      <w:r w:rsidR="0087015E" w:rsidRPr="0087015E">
        <w:t>nesaskata pamatu drošības līdzekļa piemērošanai šajā procesa stadijā.</w:t>
      </w:r>
    </w:p>
    <w:p w14:paraId="11EF8ECC" w14:textId="77777777" w:rsidR="00D76C54" w:rsidRDefault="00D76C54" w:rsidP="00FC65D6">
      <w:pPr>
        <w:spacing w:after="0" w:line="276" w:lineRule="auto"/>
        <w:ind w:firstLine="709"/>
        <w:jc w:val="both"/>
      </w:pPr>
    </w:p>
    <w:p w14:paraId="41CC229A" w14:textId="77777777" w:rsidR="00A41424" w:rsidRPr="0087015E" w:rsidRDefault="00A41424" w:rsidP="00FC65D6">
      <w:pPr>
        <w:spacing w:after="0" w:line="276" w:lineRule="auto"/>
        <w:jc w:val="center"/>
        <w:rPr>
          <w:b/>
        </w:rPr>
      </w:pPr>
      <w:r w:rsidRPr="0087015E">
        <w:rPr>
          <w:b/>
        </w:rPr>
        <w:t>Rezolutīvā daļa</w:t>
      </w:r>
    </w:p>
    <w:p w14:paraId="4F585319" w14:textId="77777777" w:rsidR="00A41424" w:rsidRPr="0087015E" w:rsidRDefault="00A41424" w:rsidP="00FC65D6">
      <w:pPr>
        <w:spacing w:after="0" w:line="276" w:lineRule="auto"/>
        <w:jc w:val="center"/>
        <w:rPr>
          <w:bCs/>
        </w:rPr>
      </w:pPr>
    </w:p>
    <w:p w14:paraId="0A78C82B" w14:textId="77777777" w:rsidR="00A41424" w:rsidRPr="00FD7F77" w:rsidRDefault="00A41424" w:rsidP="00FC65D6">
      <w:pPr>
        <w:spacing w:after="0" w:line="276" w:lineRule="auto"/>
        <w:ind w:firstLine="709"/>
        <w:jc w:val="both"/>
        <w:rPr>
          <w:bCs/>
          <w:szCs w:val="24"/>
        </w:rPr>
      </w:pPr>
      <w:r w:rsidRPr="0087015E">
        <w:rPr>
          <w:szCs w:val="24"/>
        </w:rPr>
        <w:t>P</w:t>
      </w:r>
      <w:r w:rsidRPr="0087015E">
        <w:rPr>
          <w:bCs/>
          <w:szCs w:val="24"/>
        </w:rPr>
        <w:t xml:space="preserve">amatojoties uz Kriminālprocesa likuma 585. un </w:t>
      </w:r>
      <w:proofErr w:type="gramStart"/>
      <w:r w:rsidRPr="0087015E">
        <w:rPr>
          <w:bCs/>
          <w:szCs w:val="24"/>
        </w:rPr>
        <w:t>587.pantu</w:t>
      </w:r>
      <w:proofErr w:type="gramEnd"/>
      <w:r w:rsidRPr="0087015E">
        <w:rPr>
          <w:bCs/>
          <w:szCs w:val="24"/>
        </w:rPr>
        <w:t>, tiesa</w:t>
      </w:r>
    </w:p>
    <w:p w14:paraId="56A3C42E" w14:textId="77777777" w:rsidR="00A41424" w:rsidRPr="0087015E" w:rsidRDefault="00A41424" w:rsidP="00FC65D6">
      <w:pPr>
        <w:spacing w:after="0" w:line="276" w:lineRule="auto"/>
        <w:rPr>
          <w:szCs w:val="24"/>
        </w:rPr>
      </w:pPr>
    </w:p>
    <w:p w14:paraId="63A9F924" w14:textId="77777777" w:rsidR="00A41424" w:rsidRPr="0087015E" w:rsidRDefault="00A41424" w:rsidP="00FC65D6">
      <w:pPr>
        <w:spacing w:after="0" w:line="276" w:lineRule="auto"/>
        <w:jc w:val="center"/>
        <w:rPr>
          <w:b/>
          <w:szCs w:val="24"/>
        </w:rPr>
      </w:pPr>
      <w:r w:rsidRPr="0087015E">
        <w:rPr>
          <w:b/>
          <w:szCs w:val="24"/>
        </w:rPr>
        <w:t>nolēma:</w:t>
      </w:r>
    </w:p>
    <w:p w14:paraId="0AC7D184" w14:textId="77777777" w:rsidR="00A41424" w:rsidRPr="0087015E" w:rsidRDefault="00A41424" w:rsidP="00FC65D6">
      <w:pPr>
        <w:spacing w:after="0" w:line="276" w:lineRule="auto"/>
        <w:jc w:val="center"/>
        <w:rPr>
          <w:bCs/>
          <w:szCs w:val="24"/>
        </w:rPr>
      </w:pPr>
    </w:p>
    <w:p w14:paraId="651DDAAC" w14:textId="26C8137B" w:rsidR="006318AF" w:rsidRPr="0087015E" w:rsidRDefault="005C31FC" w:rsidP="00FC65D6">
      <w:pPr>
        <w:spacing w:after="0" w:line="276" w:lineRule="auto"/>
        <w:ind w:firstLine="709"/>
        <w:jc w:val="both"/>
        <w:rPr>
          <w:szCs w:val="24"/>
        </w:rPr>
      </w:pPr>
      <w:r>
        <w:rPr>
          <w:szCs w:val="24"/>
        </w:rPr>
        <w:t>[..]</w:t>
      </w:r>
      <w:r w:rsidR="00A74DA3">
        <w:rPr>
          <w:szCs w:val="24"/>
        </w:rPr>
        <w:t xml:space="preserve"> </w:t>
      </w:r>
      <w:r w:rsidR="006318AF" w:rsidRPr="0087015E">
        <w:rPr>
          <w:szCs w:val="24"/>
        </w:rPr>
        <w:t xml:space="preserve">apgabaltiesas </w:t>
      </w:r>
      <w:proofErr w:type="gramStart"/>
      <w:r w:rsidR="006318AF" w:rsidRPr="0087015E">
        <w:rPr>
          <w:szCs w:val="24"/>
        </w:rPr>
        <w:t>2021.gada</w:t>
      </w:r>
      <w:proofErr w:type="gramEnd"/>
      <w:r w:rsidR="006318AF" w:rsidRPr="0087015E">
        <w:rPr>
          <w:szCs w:val="24"/>
        </w:rPr>
        <w:t xml:space="preserve"> </w:t>
      </w:r>
      <w:r>
        <w:rPr>
          <w:szCs w:val="24"/>
        </w:rPr>
        <w:t>[..]</w:t>
      </w:r>
      <w:r w:rsidR="006318AF" w:rsidRPr="0087015E">
        <w:rPr>
          <w:szCs w:val="24"/>
        </w:rPr>
        <w:t xml:space="preserve"> spriedumu atcelt pilnībā un lietu nosūtīt jaunai izskatīšanai </w:t>
      </w:r>
      <w:r w:rsidR="00730E9E">
        <w:rPr>
          <w:szCs w:val="24"/>
        </w:rPr>
        <w:t>[..]</w:t>
      </w:r>
      <w:r w:rsidR="006318AF" w:rsidRPr="0087015E">
        <w:rPr>
          <w:szCs w:val="24"/>
        </w:rPr>
        <w:t xml:space="preserve"> apgabaltiesā. </w:t>
      </w:r>
    </w:p>
    <w:p w14:paraId="7BCE0D4E" w14:textId="3BB5105B" w:rsidR="00A41424" w:rsidRPr="0087015E" w:rsidRDefault="00A41424" w:rsidP="00FC65D6">
      <w:pPr>
        <w:spacing w:after="0" w:line="276" w:lineRule="auto"/>
        <w:ind w:firstLine="709"/>
        <w:jc w:val="both"/>
        <w:rPr>
          <w:szCs w:val="24"/>
        </w:rPr>
      </w:pPr>
      <w:r w:rsidRPr="0087015E">
        <w:rPr>
          <w:szCs w:val="24"/>
        </w:rPr>
        <w:t>Lēmums nav pārsūdzams</w:t>
      </w:r>
      <w:r w:rsidR="005C31FC">
        <w:rPr>
          <w:szCs w:val="24"/>
        </w:rPr>
        <w:t>.</w:t>
      </w:r>
    </w:p>
    <w:sectPr w:rsidR="00A41424" w:rsidRPr="0087015E" w:rsidSect="00D60249">
      <w:footerReference w:type="defaul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D52C" w14:textId="77777777" w:rsidR="00757021" w:rsidRDefault="00757021" w:rsidP="00EC2F0F">
      <w:pPr>
        <w:spacing w:after="0" w:line="240" w:lineRule="auto"/>
      </w:pPr>
      <w:r>
        <w:separator/>
      </w:r>
    </w:p>
  </w:endnote>
  <w:endnote w:type="continuationSeparator" w:id="0">
    <w:p w14:paraId="2E23865F" w14:textId="77777777" w:rsidR="00757021" w:rsidRDefault="00757021" w:rsidP="00EC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296187"/>
      <w:docPartObj>
        <w:docPartGallery w:val="Page Numbers (Bottom of Page)"/>
        <w:docPartUnique/>
      </w:docPartObj>
    </w:sdtPr>
    <w:sdtEndPr/>
    <w:sdtContent>
      <w:sdt>
        <w:sdtPr>
          <w:id w:val="1728636285"/>
          <w:docPartObj>
            <w:docPartGallery w:val="Page Numbers (Top of Page)"/>
            <w:docPartUnique/>
          </w:docPartObj>
        </w:sdtPr>
        <w:sdtEndPr/>
        <w:sdtContent>
          <w:p w14:paraId="1CDBFD3E" w14:textId="3D30B664" w:rsidR="00EC2F0F" w:rsidRDefault="00EC2F0F">
            <w:pPr>
              <w:pStyle w:val="Footer"/>
              <w:jc w:val="center"/>
            </w:pPr>
            <w:r w:rsidRPr="00EC2F0F">
              <w:rPr>
                <w:szCs w:val="24"/>
              </w:rPr>
              <w:fldChar w:fldCharType="begin"/>
            </w:r>
            <w:r w:rsidRPr="00EC2F0F">
              <w:instrText xml:space="preserve"> PAGE </w:instrText>
            </w:r>
            <w:r w:rsidRPr="00EC2F0F">
              <w:rPr>
                <w:szCs w:val="24"/>
              </w:rPr>
              <w:fldChar w:fldCharType="separate"/>
            </w:r>
            <w:r w:rsidRPr="00EC2F0F">
              <w:rPr>
                <w:noProof/>
              </w:rPr>
              <w:t>2</w:t>
            </w:r>
            <w:r w:rsidRPr="00EC2F0F">
              <w:rPr>
                <w:szCs w:val="24"/>
              </w:rPr>
              <w:fldChar w:fldCharType="end"/>
            </w:r>
            <w:r w:rsidRPr="00EC2F0F">
              <w:t xml:space="preserve"> no </w:t>
            </w:r>
            <w:fldSimple w:instr=" NUMPAGES  ">
              <w:r w:rsidRPr="00EC2F0F">
                <w:rPr>
                  <w:noProof/>
                </w:rPr>
                <w:t>2</w:t>
              </w:r>
            </w:fldSimple>
          </w:p>
        </w:sdtContent>
      </w:sdt>
    </w:sdtContent>
  </w:sdt>
  <w:p w14:paraId="6A3E792D" w14:textId="77777777" w:rsidR="00EC2F0F" w:rsidRDefault="00EC2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8950" w14:textId="77777777" w:rsidR="00757021" w:rsidRDefault="00757021" w:rsidP="00EC2F0F">
      <w:pPr>
        <w:spacing w:after="0" w:line="240" w:lineRule="auto"/>
      </w:pPr>
      <w:r>
        <w:separator/>
      </w:r>
    </w:p>
  </w:footnote>
  <w:footnote w:type="continuationSeparator" w:id="0">
    <w:p w14:paraId="54010859" w14:textId="77777777" w:rsidR="00757021" w:rsidRDefault="00757021" w:rsidP="00EC2F0F">
      <w:pPr>
        <w:spacing w:after="0" w:line="240" w:lineRule="auto"/>
      </w:pPr>
      <w:r>
        <w:continuationSeparator/>
      </w:r>
    </w:p>
  </w:footnote>
  <w:footnote w:id="1">
    <w:p w14:paraId="221811E6" w14:textId="167E0D47" w:rsidR="005C18CE" w:rsidRDefault="005C18CE">
      <w:pPr>
        <w:pStyle w:val="FootnoteText"/>
      </w:pPr>
      <w:r>
        <w:rPr>
          <w:rStyle w:val="FootnoteReference"/>
        </w:rPr>
        <w:footnoteRef/>
      </w:r>
      <w:r>
        <w:t xml:space="preserve"> </w:t>
      </w:r>
      <w:r>
        <w:t>Slēgtas lietas statuss. Publicēti izvilkumi no nolēmuma.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33"/>
    <w:rsid w:val="0000053D"/>
    <w:rsid w:val="0000057B"/>
    <w:rsid w:val="000006CD"/>
    <w:rsid w:val="0000278B"/>
    <w:rsid w:val="00005A8E"/>
    <w:rsid w:val="00011956"/>
    <w:rsid w:val="000125DC"/>
    <w:rsid w:val="000172AE"/>
    <w:rsid w:val="000216A1"/>
    <w:rsid w:val="0002182E"/>
    <w:rsid w:val="0003231F"/>
    <w:rsid w:val="00033BBB"/>
    <w:rsid w:val="00035214"/>
    <w:rsid w:val="000366F3"/>
    <w:rsid w:val="000405E4"/>
    <w:rsid w:val="000438CB"/>
    <w:rsid w:val="000439D3"/>
    <w:rsid w:val="000460F7"/>
    <w:rsid w:val="0005003C"/>
    <w:rsid w:val="000509B5"/>
    <w:rsid w:val="000649FF"/>
    <w:rsid w:val="00074640"/>
    <w:rsid w:val="000756E9"/>
    <w:rsid w:val="0007777A"/>
    <w:rsid w:val="00081688"/>
    <w:rsid w:val="00083B78"/>
    <w:rsid w:val="00084119"/>
    <w:rsid w:val="00086C7B"/>
    <w:rsid w:val="000905A1"/>
    <w:rsid w:val="000917E4"/>
    <w:rsid w:val="00094BC8"/>
    <w:rsid w:val="0009569C"/>
    <w:rsid w:val="00097469"/>
    <w:rsid w:val="000A1CF6"/>
    <w:rsid w:val="000A4F17"/>
    <w:rsid w:val="000A6EEF"/>
    <w:rsid w:val="000B24D8"/>
    <w:rsid w:val="000C78D4"/>
    <w:rsid w:val="000D0518"/>
    <w:rsid w:val="000D2290"/>
    <w:rsid w:val="000D39DC"/>
    <w:rsid w:val="000D64B1"/>
    <w:rsid w:val="000E461B"/>
    <w:rsid w:val="000E6FEC"/>
    <w:rsid w:val="000F1308"/>
    <w:rsid w:val="000F27F3"/>
    <w:rsid w:val="0010111E"/>
    <w:rsid w:val="00114CFA"/>
    <w:rsid w:val="00115AD8"/>
    <w:rsid w:val="00116462"/>
    <w:rsid w:val="00121DA7"/>
    <w:rsid w:val="0012261E"/>
    <w:rsid w:val="00123817"/>
    <w:rsid w:val="00134B36"/>
    <w:rsid w:val="00142E4A"/>
    <w:rsid w:val="001437ED"/>
    <w:rsid w:val="0014519A"/>
    <w:rsid w:val="00150164"/>
    <w:rsid w:val="001525D5"/>
    <w:rsid w:val="0015319E"/>
    <w:rsid w:val="001568BF"/>
    <w:rsid w:val="00157133"/>
    <w:rsid w:val="00164F69"/>
    <w:rsid w:val="00166556"/>
    <w:rsid w:val="00170D5E"/>
    <w:rsid w:val="00175C69"/>
    <w:rsid w:val="00175DC7"/>
    <w:rsid w:val="00176F3E"/>
    <w:rsid w:val="001809AE"/>
    <w:rsid w:val="001845B8"/>
    <w:rsid w:val="001859BB"/>
    <w:rsid w:val="00192744"/>
    <w:rsid w:val="00194008"/>
    <w:rsid w:val="001963B6"/>
    <w:rsid w:val="00197323"/>
    <w:rsid w:val="001973BE"/>
    <w:rsid w:val="001A00BA"/>
    <w:rsid w:val="001A05D9"/>
    <w:rsid w:val="001A4940"/>
    <w:rsid w:val="001A7787"/>
    <w:rsid w:val="001B12A2"/>
    <w:rsid w:val="001B2596"/>
    <w:rsid w:val="001B751D"/>
    <w:rsid w:val="001B77ED"/>
    <w:rsid w:val="001C0249"/>
    <w:rsid w:val="001C37EF"/>
    <w:rsid w:val="001C548D"/>
    <w:rsid w:val="001E03D4"/>
    <w:rsid w:val="001E2B67"/>
    <w:rsid w:val="001E2B69"/>
    <w:rsid w:val="001E4478"/>
    <w:rsid w:val="001E578D"/>
    <w:rsid w:val="001E5F24"/>
    <w:rsid w:val="001F0584"/>
    <w:rsid w:val="001F136F"/>
    <w:rsid w:val="001F3763"/>
    <w:rsid w:val="001F4C7A"/>
    <w:rsid w:val="001F7DBA"/>
    <w:rsid w:val="00201BAF"/>
    <w:rsid w:val="002049A2"/>
    <w:rsid w:val="0020561C"/>
    <w:rsid w:val="00212FEB"/>
    <w:rsid w:val="00214196"/>
    <w:rsid w:val="002150F9"/>
    <w:rsid w:val="0021693C"/>
    <w:rsid w:val="00220F19"/>
    <w:rsid w:val="002263AD"/>
    <w:rsid w:val="00230D4C"/>
    <w:rsid w:val="00244E3B"/>
    <w:rsid w:val="00245D54"/>
    <w:rsid w:val="00250BE9"/>
    <w:rsid w:val="002526CE"/>
    <w:rsid w:val="0025537B"/>
    <w:rsid w:val="0025610D"/>
    <w:rsid w:val="0025627F"/>
    <w:rsid w:val="00262629"/>
    <w:rsid w:val="0026314B"/>
    <w:rsid w:val="002749DD"/>
    <w:rsid w:val="00276059"/>
    <w:rsid w:val="0028198C"/>
    <w:rsid w:val="00287397"/>
    <w:rsid w:val="00287D17"/>
    <w:rsid w:val="00294710"/>
    <w:rsid w:val="00297527"/>
    <w:rsid w:val="002A01F6"/>
    <w:rsid w:val="002A35E7"/>
    <w:rsid w:val="002A5046"/>
    <w:rsid w:val="002A55E5"/>
    <w:rsid w:val="002A65AB"/>
    <w:rsid w:val="002A6918"/>
    <w:rsid w:val="002B0174"/>
    <w:rsid w:val="002B0FC3"/>
    <w:rsid w:val="002B328E"/>
    <w:rsid w:val="002B3DF9"/>
    <w:rsid w:val="002B5152"/>
    <w:rsid w:val="002C7C6F"/>
    <w:rsid w:val="002D0A82"/>
    <w:rsid w:val="002D14FF"/>
    <w:rsid w:val="002D21DD"/>
    <w:rsid w:val="002D316C"/>
    <w:rsid w:val="002E5530"/>
    <w:rsid w:val="002F53EF"/>
    <w:rsid w:val="00311195"/>
    <w:rsid w:val="00313EF3"/>
    <w:rsid w:val="0031522C"/>
    <w:rsid w:val="00317BD5"/>
    <w:rsid w:val="00327F65"/>
    <w:rsid w:val="00333765"/>
    <w:rsid w:val="003355B2"/>
    <w:rsid w:val="00337FFB"/>
    <w:rsid w:val="00342379"/>
    <w:rsid w:val="00345DC1"/>
    <w:rsid w:val="0035301B"/>
    <w:rsid w:val="00355377"/>
    <w:rsid w:val="003561C6"/>
    <w:rsid w:val="0036374C"/>
    <w:rsid w:val="00373B4E"/>
    <w:rsid w:val="0037493E"/>
    <w:rsid w:val="00380F6F"/>
    <w:rsid w:val="00386534"/>
    <w:rsid w:val="00391196"/>
    <w:rsid w:val="00395E46"/>
    <w:rsid w:val="0039736E"/>
    <w:rsid w:val="003A09B8"/>
    <w:rsid w:val="003A1AA9"/>
    <w:rsid w:val="003A6C58"/>
    <w:rsid w:val="003B3680"/>
    <w:rsid w:val="003B3AD0"/>
    <w:rsid w:val="003C0469"/>
    <w:rsid w:val="003C4BD5"/>
    <w:rsid w:val="003C5A40"/>
    <w:rsid w:val="003C7F8D"/>
    <w:rsid w:val="003D15BB"/>
    <w:rsid w:val="003D286D"/>
    <w:rsid w:val="003D3A22"/>
    <w:rsid w:val="003D5680"/>
    <w:rsid w:val="003D6FF8"/>
    <w:rsid w:val="003E26E9"/>
    <w:rsid w:val="003E48E7"/>
    <w:rsid w:val="003E4F9B"/>
    <w:rsid w:val="003F029D"/>
    <w:rsid w:val="003F4AE1"/>
    <w:rsid w:val="00403B64"/>
    <w:rsid w:val="0040476B"/>
    <w:rsid w:val="00413762"/>
    <w:rsid w:val="00414608"/>
    <w:rsid w:val="00416730"/>
    <w:rsid w:val="00421268"/>
    <w:rsid w:val="00423F88"/>
    <w:rsid w:val="00426092"/>
    <w:rsid w:val="004345FB"/>
    <w:rsid w:val="00436330"/>
    <w:rsid w:val="004369D5"/>
    <w:rsid w:val="00442A19"/>
    <w:rsid w:val="00445FF5"/>
    <w:rsid w:val="004511EB"/>
    <w:rsid w:val="004522DD"/>
    <w:rsid w:val="00456DE7"/>
    <w:rsid w:val="0045702D"/>
    <w:rsid w:val="00463325"/>
    <w:rsid w:val="00463545"/>
    <w:rsid w:val="00471304"/>
    <w:rsid w:val="004801C5"/>
    <w:rsid w:val="0048621C"/>
    <w:rsid w:val="00487D2E"/>
    <w:rsid w:val="0049310E"/>
    <w:rsid w:val="00495851"/>
    <w:rsid w:val="004A5556"/>
    <w:rsid w:val="004B07E1"/>
    <w:rsid w:val="004B099D"/>
    <w:rsid w:val="004B0A72"/>
    <w:rsid w:val="004B1B82"/>
    <w:rsid w:val="004B1BA2"/>
    <w:rsid w:val="004B37A9"/>
    <w:rsid w:val="004B39A6"/>
    <w:rsid w:val="004B3CF4"/>
    <w:rsid w:val="004B4425"/>
    <w:rsid w:val="004B66ED"/>
    <w:rsid w:val="004C2091"/>
    <w:rsid w:val="004C2C6C"/>
    <w:rsid w:val="004C4261"/>
    <w:rsid w:val="004D5567"/>
    <w:rsid w:val="004D6CDB"/>
    <w:rsid w:val="004E45BA"/>
    <w:rsid w:val="004E7238"/>
    <w:rsid w:val="004F0D28"/>
    <w:rsid w:val="004F602A"/>
    <w:rsid w:val="004F7826"/>
    <w:rsid w:val="00500C11"/>
    <w:rsid w:val="00507761"/>
    <w:rsid w:val="0051089B"/>
    <w:rsid w:val="00511836"/>
    <w:rsid w:val="00515ECE"/>
    <w:rsid w:val="00521E26"/>
    <w:rsid w:val="00521E4F"/>
    <w:rsid w:val="00526390"/>
    <w:rsid w:val="005304D4"/>
    <w:rsid w:val="00531AFD"/>
    <w:rsid w:val="005350EA"/>
    <w:rsid w:val="0054089D"/>
    <w:rsid w:val="0054157D"/>
    <w:rsid w:val="0054220F"/>
    <w:rsid w:val="00544FBC"/>
    <w:rsid w:val="00550F5F"/>
    <w:rsid w:val="00554EC8"/>
    <w:rsid w:val="0055505F"/>
    <w:rsid w:val="00556D5B"/>
    <w:rsid w:val="00557F47"/>
    <w:rsid w:val="00566D7A"/>
    <w:rsid w:val="00570643"/>
    <w:rsid w:val="005734F2"/>
    <w:rsid w:val="00576AD2"/>
    <w:rsid w:val="00580A2B"/>
    <w:rsid w:val="005816E5"/>
    <w:rsid w:val="00586CBD"/>
    <w:rsid w:val="00590771"/>
    <w:rsid w:val="00596BE7"/>
    <w:rsid w:val="005A0372"/>
    <w:rsid w:val="005A4121"/>
    <w:rsid w:val="005A47BF"/>
    <w:rsid w:val="005A494A"/>
    <w:rsid w:val="005B5B7E"/>
    <w:rsid w:val="005C1634"/>
    <w:rsid w:val="005C18CE"/>
    <w:rsid w:val="005C31FC"/>
    <w:rsid w:val="005C5D6E"/>
    <w:rsid w:val="005D3DE0"/>
    <w:rsid w:val="005E0842"/>
    <w:rsid w:val="005E111F"/>
    <w:rsid w:val="005F136D"/>
    <w:rsid w:val="00600BEF"/>
    <w:rsid w:val="006032B6"/>
    <w:rsid w:val="006048CA"/>
    <w:rsid w:val="00607E55"/>
    <w:rsid w:val="006104D2"/>
    <w:rsid w:val="00624EE5"/>
    <w:rsid w:val="006318AF"/>
    <w:rsid w:val="006619CE"/>
    <w:rsid w:val="006621E3"/>
    <w:rsid w:val="00673A3C"/>
    <w:rsid w:val="00676ABA"/>
    <w:rsid w:val="0068589E"/>
    <w:rsid w:val="00686DE4"/>
    <w:rsid w:val="00690921"/>
    <w:rsid w:val="0069428E"/>
    <w:rsid w:val="006970E5"/>
    <w:rsid w:val="006976C6"/>
    <w:rsid w:val="006A4271"/>
    <w:rsid w:val="006B48E2"/>
    <w:rsid w:val="006B5861"/>
    <w:rsid w:val="006B6573"/>
    <w:rsid w:val="006C0982"/>
    <w:rsid w:val="006C3A40"/>
    <w:rsid w:val="006C6DAB"/>
    <w:rsid w:val="006D30B3"/>
    <w:rsid w:val="006D67E3"/>
    <w:rsid w:val="006E1018"/>
    <w:rsid w:val="006F013C"/>
    <w:rsid w:val="006F2015"/>
    <w:rsid w:val="006F4AF7"/>
    <w:rsid w:val="006F4B0C"/>
    <w:rsid w:val="006F5B09"/>
    <w:rsid w:val="0070335E"/>
    <w:rsid w:val="00703E26"/>
    <w:rsid w:val="00704153"/>
    <w:rsid w:val="00714592"/>
    <w:rsid w:val="0071494A"/>
    <w:rsid w:val="0071665A"/>
    <w:rsid w:val="0072021B"/>
    <w:rsid w:val="007204A8"/>
    <w:rsid w:val="0072068D"/>
    <w:rsid w:val="007218F8"/>
    <w:rsid w:val="00721F83"/>
    <w:rsid w:val="007221D4"/>
    <w:rsid w:val="00730E9E"/>
    <w:rsid w:val="00730FFC"/>
    <w:rsid w:val="00731435"/>
    <w:rsid w:val="00733C13"/>
    <w:rsid w:val="00736CFD"/>
    <w:rsid w:val="00737693"/>
    <w:rsid w:val="00742F5D"/>
    <w:rsid w:val="00745A8F"/>
    <w:rsid w:val="007510CD"/>
    <w:rsid w:val="00752350"/>
    <w:rsid w:val="0075557B"/>
    <w:rsid w:val="00756B79"/>
    <w:rsid w:val="00757021"/>
    <w:rsid w:val="00765944"/>
    <w:rsid w:val="00766BC6"/>
    <w:rsid w:val="00766E20"/>
    <w:rsid w:val="0077026F"/>
    <w:rsid w:val="00773E9E"/>
    <w:rsid w:val="007750FE"/>
    <w:rsid w:val="007773AA"/>
    <w:rsid w:val="00782468"/>
    <w:rsid w:val="00783198"/>
    <w:rsid w:val="00785DD6"/>
    <w:rsid w:val="007869FE"/>
    <w:rsid w:val="00790721"/>
    <w:rsid w:val="0079221C"/>
    <w:rsid w:val="00793057"/>
    <w:rsid w:val="00794C13"/>
    <w:rsid w:val="007A1F10"/>
    <w:rsid w:val="007A3608"/>
    <w:rsid w:val="007B2DBF"/>
    <w:rsid w:val="007B308D"/>
    <w:rsid w:val="007B694E"/>
    <w:rsid w:val="007C1A82"/>
    <w:rsid w:val="007C4B6F"/>
    <w:rsid w:val="007C54C3"/>
    <w:rsid w:val="007D5EE0"/>
    <w:rsid w:val="007E09AB"/>
    <w:rsid w:val="007E2662"/>
    <w:rsid w:val="007E3D90"/>
    <w:rsid w:val="007F070C"/>
    <w:rsid w:val="00800977"/>
    <w:rsid w:val="00802DC6"/>
    <w:rsid w:val="0080360E"/>
    <w:rsid w:val="008061D0"/>
    <w:rsid w:val="00806BA6"/>
    <w:rsid w:val="00816095"/>
    <w:rsid w:val="00816487"/>
    <w:rsid w:val="00822EE4"/>
    <w:rsid w:val="00822F28"/>
    <w:rsid w:val="00823779"/>
    <w:rsid w:val="008370CF"/>
    <w:rsid w:val="0084648C"/>
    <w:rsid w:val="00853BF6"/>
    <w:rsid w:val="00854CAC"/>
    <w:rsid w:val="008572F1"/>
    <w:rsid w:val="0087015E"/>
    <w:rsid w:val="00874368"/>
    <w:rsid w:val="0087477D"/>
    <w:rsid w:val="00874916"/>
    <w:rsid w:val="0087637D"/>
    <w:rsid w:val="0088002B"/>
    <w:rsid w:val="00881FDC"/>
    <w:rsid w:val="00883E86"/>
    <w:rsid w:val="00887E4D"/>
    <w:rsid w:val="00896699"/>
    <w:rsid w:val="008A7A05"/>
    <w:rsid w:val="008B0A3E"/>
    <w:rsid w:val="008C164C"/>
    <w:rsid w:val="008C1DAF"/>
    <w:rsid w:val="008C4C36"/>
    <w:rsid w:val="008C4CD6"/>
    <w:rsid w:val="008C5ED0"/>
    <w:rsid w:val="008D28EB"/>
    <w:rsid w:val="008D5146"/>
    <w:rsid w:val="008E01B2"/>
    <w:rsid w:val="008E01DB"/>
    <w:rsid w:val="008E2503"/>
    <w:rsid w:val="008E4A13"/>
    <w:rsid w:val="008E5321"/>
    <w:rsid w:val="008E7740"/>
    <w:rsid w:val="008F1B42"/>
    <w:rsid w:val="008F3B46"/>
    <w:rsid w:val="008F45BE"/>
    <w:rsid w:val="008F4861"/>
    <w:rsid w:val="008F7A6A"/>
    <w:rsid w:val="00900182"/>
    <w:rsid w:val="0091052C"/>
    <w:rsid w:val="00911459"/>
    <w:rsid w:val="00913230"/>
    <w:rsid w:val="009223DE"/>
    <w:rsid w:val="00926C74"/>
    <w:rsid w:val="00926EE0"/>
    <w:rsid w:val="00930DD3"/>
    <w:rsid w:val="00937817"/>
    <w:rsid w:val="0094115F"/>
    <w:rsid w:val="00943395"/>
    <w:rsid w:val="00944228"/>
    <w:rsid w:val="00946B93"/>
    <w:rsid w:val="009502DB"/>
    <w:rsid w:val="00950583"/>
    <w:rsid w:val="00950FE8"/>
    <w:rsid w:val="00952997"/>
    <w:rsid w:val="00954FCD"/>
    <w:rsid w:val="00960950"/>
    <w:rsid w:val="00961DE9"/>
    <w:rsid w:val="009639E2"/>
    <w:rsid w:val="00963FCA"/>
    <w:rsid w:val="00965F22"/>
    <w:rsid w:val="00966FAF"/>
    <w:rsid w:val="0096706E"/>
    <w:rsid w:val="00975843"/>
    <w:rsid w:val="00975A7F"/>
    <w:rsid w:val="00982F81"/>
    <w:rsid w:val="009850D3"/>
    <w:rsid w:val="00987149"/>
    <w:rsid w:val="00987C46"/>
    <w:rsid w:val="00991521"/>
    <w:rsid w:val="00996365"/>
    <w:rsid w:val="009974A7"/>
    <w:rsid w:val="009A6964"/>
    <w:rsid w:val="009A6D15"/>
    <w:rsid w:val="009B21B8"/>
    <w:rsid w:val="009B2975"/>
    <w:rsid w:val="009B511C"/>
    <w:rsid w:val="009B5E3F"/>
    <w:rsid w:val="009B76EE"/>
    <w:rsid w:val="009C17F5"/>
    <w:rsid w:val="009C2B11"/>
    <w:rsid w:val="009C2CCC"/>
    <w:rsid w:val="009D6315"/>
    <w:rsid w:val="009D7833"/>
    <w:rsid w:val="009E5E42"/>
    <w:rsid w:val="009F217C"/>
    <w:rsid w:val="009F29E9"/>
    <w:rsid w:val="009F51BD"/>
    <w:rsid w:val="009F616B"/>
    <w:rsid w:val="009F62EB"/>
    <w:rsid w:val="009F6FFA"/>
    <w:rsid w:val="009F7BA9"/>
    <w:rsid w:val="00A038DE"/>
    <w:rsid w:val="00A06833"/>
    <w:rsid w:val="00A12291"/>
    <w:rsid w:val="00A12824"/>
    <w:rsid w:val="00A13716"/>
    <w:rsid w:val="00A210DC"/>
    <w:rsid w:val="00A219E2"/>
    <w:rsid w:val="00A2700E"/>
    <w:rsid w:val="00A27A9B"/>
    <w:rsid w:val="00A30D8B"/>
    <w:rsid w:val="00A318AF"/>
    <w:rsid w:val="00A31C6D"/>
    <w:rsid w:val="00A32587"/>
    <w:rsid w:val="00A32C2F"/>
    <w:rsid w:val="00A33442"/>
    <w:rsid w:val="00A34FE5"/>
    <w:rsid w:val="00A36046"/>
    <w:rsid w:val="00A41424"/>
    <w:rsid w:val="00A42095"/>
    <w:rsid w:val="00A453B3"/>
    <w:rsid w:val="00A46836"/>
    <w:rsid w:val="00A50CE7"/>
    <w:rsid w:val="00A533E5"/>
    <w:rsid w:val="00A553CF"/>
    <w:rsid w:val="00A6133F"/>
    <w:rsid w:val="00A6213B"/>
    <w:rsid w:val="00A65E70"/>
    <w:rsid w:val="00A66DD9"/>
    <w:rsid w:val="00A6770E"/>
    <w:rsid w:val="00A70CD9"/>
    <w:rsid w:val="00A71F79"/>
    <w:rsid w:val="00A74DA3"/>
    <w:rsid w:val="00A81A04"/>
    <w:rsid w:val="00A876E9"/>
    <w:rsid w:val="00A95119"/>
    <w:rsid w:val="00A97E01"/>
    <w:rsid w:val="00AA04A3"/>
    <w:rsid w:val="00AA30AA"/>
    <w:rsid w:val="00AA3FE2"/>
    <w:rsid w:val="00AA4526"/>
    <w:rsid w:val="00AA494D"/>
    <w:rsid w:val="00AB6E16"/>
    <w:rsid w:val="00AC0642"/>
    <w:rsid w:val="00AC34E2"/>
    <w:rsid w:val="00AC42C6"/>
    <w:rsid w:val="00AC57BF"/>
    <w:rsid w:val="00AC6E51"/>
    <w:rsid w:val="00AC7B83"/>
    <w:rsid w:val="00AD2372"/>
    <w:rsid w:val="00AD264E"/>
    <w:rsid w:val="00AD6CF7"/>
    <w:rsid w:val="00AE15E6"/>
    <w:rsid w:val="00AE2749"/>
    <w:rsid w:val="00AE4703"/>
    <w:rsid w:val="00AF2A35"/>
    <w:rsid w:val="00AF3FCC"/>
    <w:rsid w:val="00AF601B"/>
    <w:rsid w:val="00AF636D"/>
    <w:rsid w:val="00AF6C41"/>
    <w:rsid w:val="00B00D38"/>
    <w:rsid w:val="00B060B7"/>
    <w:rsid w:val="00B13477"/>
    <w:rsid w:val="00B153BD"/>
    <w:rsid w:val="00B175C4"/>
    <w:rsid w:val="00B17678"/>
    <w:rsid w:val="00B23F54"/>
    <w:rsid w:val="00B24EBB"/>
    <w:rsid w:val="00B319BD"/>
    <w:rsid w:val="00B323E8"/>
    <w:rsid w:val="00B402B3"/>
    <w:rsid w:val="00B40432"/>
    <w:rsid w:val="00B435EC"/>
    <w:rsid w:val="00B438DC"/>
    <w:rsid w:val="00B50B0A"/>
    <w:rsid w:val="00B52088"/>
    <w:rsid w:val="00B524BE"/>
    <w:rsid w:val="00B53F4B"/>
    <w:rsid w:val="00B54BDC"/>
    <w:rsid w:val="00B60630"/>
    <w:rsid w:val="00B6610B"/>
    <w:rsid w:val="00B67598"/>
    <w:rsid w:val="00B700DE"/>
    <w:rsid w:val="00B70503"/>
    <w:rsid w:val="00B708E4"/>
    <w:rsid w:val="00B70A90"/>
    <w:rsid w:val="00B86F79"/>
    <w:rsid w:val="00B87672"/>
    <w:rsid w:val="00B90128"/>
    <w:rsid w:val="00B9704C"/>
    <w:rsid w:val="00BA0AA9"/>
    <w:rsid w:val="00BA5E27"/>
    <w:rsid w:val="00BB0B9C"/>
    <w:rsid w:val="00BB7AEC"/>
    <w:rsid w:val="00BC0C29"/>
    <w:rsid w:val="00BC3FAC"/>
    <w:rsid w:val="00BD015F"/>
    <w:rsid w:val="00BD784B"/>
    <w:rsid w:val="00BE3C4A"/>
    <w:rsid w:val="00BE42F9"/>
    <w:rsid w:val="00BE662E"/>
    <w:rsid w:val="00BF58B2"/>
    <w:rsid w:val="00BF5E37"/>
    <w:rsid w:val="00BF61FE"/>
    <w:rsid w:val="00C01C00"/>
    <w:rsid w:val="00C0392D"/>
    <w:rsid w:val="00C07094"/>
    <w:rsid w:val="00C10421"/>
    <w:rsid w:val="00C11950"/>
    <w:rsid w:val="00C20BE0"/>
    <w:rsid w:val="00C20F76"/>
    <w:rsid w:val="00C21832"/>
    <w:rsid w:val="00C22A73"/>
    <w:rsid w:val="00C2427F"/>
    <w:rsid w:val="00C24CAF"/>
    <w:rsid w:val="00C25EAD"/>
    <w:rsid w:val="00C32579"/>
    <w:rsid w:val="00C32EB6"/>
    <w:rsid w:val="00C338AB"/>
    <w:rsid w:val="00C35011"/>
    <w:rsid w:val="00C40E6D"/>
    <w:rsid w:val="00C47BC6"/>
    <w:rsid w:val="00C551C7"/>
    <w:rsid w:val="00C566CE"/>
    <w:rsid w:val="00C60F88"/>
    <w:rsid w:val="00C624EB"/>
    <w:rsid w:val="00C64C4B"/>
    <w:rsid w:val="00C659A6"/>
    <w:rsid w:val="00C664AC"/>
    <w:rsid w:val="00C67B82"/>
    <w:rsid w:val="00C85CD8"/>
    <w:rsid w:val="00C86EC0"/>
    <w:rsid w:val="00C91A8E"/>
    <w:rsid w:val="00CA6AB7"/>
    <w:rsid w:val="00CB1245"/>
    <w:rsid w:val="00CB4A39"/>
    <w:rsid w:val="00CB72F0"/>
    <w:rsid w:val="00CC0C20"/>
    <w:rsid w:val="00CC2491"/>
    <w:rsid w:val="00CC384E"/>
    <w:rsid w:val="00CC4398"/>
    <w:rsid w:val="00CC7561"/>
    <w:rsid w:val="00CD29FC"/>
    <w:rsid w:val="00CD337A"/>
    <w:rsid w:val="00CE0853"/>
    <w:rsid w:val="00CE1F6D"/>
    <w:rsid w:val="00CE5A28"/>
    <w:rsid w:val="00CF18C4"/>
    <w:rsid w:val="00D04C13"/>
    <w:rsid w:val="00D06837"/>
    <w:rsid w:val="00D2082F"/>
    <w:rsid w:val="00D262E0"/>
    <w:rsid w:val="00D27470"/>
    <w:rsid w:val="00D27A1C"/>
    <w:rsid w:val="00D30F79"/>
    <w:rsid w:val="00D36958"/>
    <w:rsid w:val="00D41F39"/>
    <w:rsid w:val="00D5027F"/>
    <w:rsid w:val="00D51446"/>
    <w:rsid w:val="00D55198"/>
    <w:rsid w:val="00D60249"/>
    <w:rsid w:val="00D61A76"/>
    <w:rsid w:val="00D62DB0"/>
    <w:rsid w:val="00D70DB2"/>
    <w:rsid w:val="00D720F7"/>
    <w:rsid w:val="00D72635"/>
    <w:rsid w:val="00D74407"/>
    <w:rsid w:val="00D76C54"/>
    <w:rsid w:val="00D8783D"/>
    <w:rsid w:val="00D901B8"/>
    <w:rsid w:val="00D903D7"/>
    <w:rsid w:val="00D94EB4"/>
    <w:rsid w:val="00DA0684"/>
    <w:rsid w:val="00DA1480"/>
    <w:rsid w:val="00DA14B0"/>
    <w:rsid w:val="00DA15BF"/>
    <w:rsid w:val="00DA165D"/>
    <w:rsid w:val="00DA7728"/>
    <w:rsid w:val="00DA7EC6"/>
    <w:rsid w:val="00DA7FBA"/>
    <w:rsid w:val="00DC51B8"/>
    <w:rsid w:val="00DC68B7"/>
    <w:rsid w:val="00DE0B95"/>
    <w:rsid w:val="00DE1DCB"/>
    <w:rsid w:val="00DE5CD7"/>
    <w:rsid w:val="00DF37B4"/>
    <w:rsid w:val="00DF45AE"/>
    <w:rsid w:val="00E0256F"/>
    <w:rsid w:val="00E02E4B"/>
    <w:rsid w:val="00E04270"/>
    <w:rsid w:val="00E0455D"/>
    <w:rsid w:val="00E05056"/>
    <w:rsid w:val="00E05D99"/>
    <w:rsid w:val="00E06868"/>
    <w:rsid w:val="00E105F6"/>
    <w:rsid w:val="00E118FE"/>
    <w:rsid w:val="00E179A8"/>
    <w:rsid w:val="00E264A2"/>
    <w:rsid w:val="00E26D92"/>
    <w:rsid w:val="00E30E12"/>
    <w:rsid w:val="00E37630"/>
    <w:rsid w:val="00E409C1"/>
    <w:rsid w:val="00E425EC"/>
    <w:rsid w:val="00E4718E"/>
    <w:rsid w:val="00E50F47"/>
    <w:rsid w:val="00E624A0"/>
    <w:rsid w:val="00E70C82"/>
    <w:rsid w:val="00E712D7"/>
    <w:rsid w:val="00E745AB"/>
    <w:rsid w:val="00E751E2"/>
    <w:rsid w:val="00E7615C"/>
    <w:rsid w:val="00E77FCD"/>
    <w:rsid w:val="00E81660"/>
    <w:rsid w:val="00E82A95"/>
    <w:rsid w:val="00E8347B"/>
    <w:rsid w:val="00E8436C"/>
    <w:rsid w:val="00E872FE"/>
    <w:rsid w:val="00E90C85"/>
    <w:rsid w:val="00E944CD"/>
    <w:rsid w:val="00E95029"/>
    <w:rsid w:val="00E950A4"/>
    <w:rsid w:val="00E96EED"/>
    <w:rsid w:val="00EA0286"/>
    <w:rsid w:val="00EA48E7"/>
    <w:rsid w:val="00EA7E85"/>
    <w:rsid w:val="00EB2649"/>
    <w:rsid w:val="00EB5DAC"/>
    <w:rsid w:val="00EB7E48"/>
    <w:rsid w:val="00EC1FA4"/>
    <w:rsid w:val="00EC2F0F"/>
    <w:rsid w:val="00EC433B"/>
    <w:rsid w:val="00EC7FD3"/>
    <w:rsid w:val="00ED6CCB"/>
    <w:rsid w:val="00ED6E28"/>
    <w:rsid w:val="00EE2ABF"/>
    <w:rsid w:val="00EE2ADC"/>
    <w:rsid w:val="00EE3E43"/>
    <w:rsid w:val="00EE5484"/>
    <w:rsid w:val="00EF2FAB"/>
    <w:rsid w:val="00F023CB"/>
    <w:rsid w:val="00F07CF5"/>
    <w:rsid w:val="00F115DD"/>
    <w:rsid w:val="00F12F62"/>
    <w:rsid w:val="00F137AB"/>
    <w:rsid w:val="00F17E60"/>
    <w:rsid w:val="00F2051B"/>
    <w:rsid w:val="00F2469A"/>
    <w:rsid w:val="00F26FBD"/>
    <w:rsid w:val="00F2779E"/>
    <w:rsid w:val="00F35C96"/>
    <w:rsid w:val="00F37100"/>
    <w:rsid w:val="00F37B5D"/>
    <w:rsid w:val="00F41AF9"/>
    <w:rsid w:val="00F45234"/>
    <w:rsid w:val="00F476AC"/>
    <w:rsid w:val="00F47F1E"/>
    <w:rsid w:val="00F5771B"/>
    <w:rsid w:val="00F671FC"/>
    <w:rsid w:val="00F72C33"/>
    <w:rsid w:val="00F73892"/>
    <w:rsid w:val="00F77818"/>
    <w:rsid w:val="00F817B7"/>
    <w:rsid w:val="00F81B5C"/>
    <w:rsid w:val="00F81E34"/>
    <w:rsid w:val="00F8387B"/>
    <w:rsid w:val="00F85E4C"/>
    <w:rsid w:val="00F87E07"/>
    <w:rsid w:val="00F92FCE"/>
    <w:rsid w:val="00F9584B"/>
    <w:rsid w:val="00FA2761"/>
    <w:rsid w:val="00FB7FA2"/>
    <w:rsid w:val="00FC0875"/>
    <w:rsid w:val="00FC4C22"/>
    <w:rsid w:val="00FC65D6"/>
    <w:rsid w:val="00FD09F4"/>
    <w:rsid w:val="00FD45AA"/>
    <w:rsid w:val="00FD7F77"/>
    <w:rsid w:val="00FE0490"/>
    <w:rsid w:val="00FE6BA6"/>
    <w:rsid w:val="00FF3B4A"/>
    <w:rsid w:val="00FF46DF"/>
    <w:rsid w:val="00FF7E3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E99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5EC"/>
    <w:rPr>
      <w:color w:val="0563C1" w:themeColor="hyperlink"/>
      <w:u w:val="single"/>
    </w:rPr>
  </w:style>
  <w:style w:type="character" w:styleId="UnresolvedMention">
    <w:name w:val="Unresolved Mention"/>
    <w:basedOn w:val="DefaultParagraphFont"/>
    <w:uiPriority w:val="99"/>
    <w:semiHidden/>
    <w:unhideWhenUsed/>
    <w:rsid w:val="00E425EC"/>
    <w:rPr>
      <w:color w:val="605E5C"/>
      <w:shd w:val="clear" w:color="auto" w:fill="E1DFDD"/>
    </w:rPr>
  </w:style>
  <w:style w:type="paragraph" w:styleId="Header">
    <w:name w:val="header"/>
    <w:basedOn w:val="Normal"/>
    <w:link w:val="HeaderChar"/>
    <w:uiPriority w:val="99"/>
    <w:unhideWhenUsed/>
    <w:rsid w:val="00EC2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F0F"/>
  </w:style>
  <w:style w:type="paragraph" w:styleId="Footer">
    <w:name w:val="footer"/>
    <w:basedOn w:val="Normal"/>
    <w:link w:val="FooterChar"/>
    <w:uiPriority w:val="99"/>
    <w:unhideWhenUsed/>
    <w:rsid w:val="00EC2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F0F"/>
  </w:style>
  <w:style w:type="table" w:styleId="TableGrid">
    <w:name w:val="Table Grid"/>
    <w:basedOn w:val="TableNormal"/>
    <w:uiPriority w:val="39"/>
    <w:rsid w:val="00A4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DC1"/>
    <w:pPr>
      <w:ind w:left="720"/>
      <w:contextualSpacing/>
    </w:pPr>
  </w:style>
  <w:style w:type="paragraph" w:styleId="Revision">
    <w:name w:val="Revision"/>
    <w:hidden/>
    <w:uiPriority w:val="99"/>
    <w:semiHidden/>
    <w:rsid w:val="00AF6C41"/>
    <w:pPr>
      <w:spacing w:after="0" w:line="240" w:lineRule="auto"/>
    </w:pPr>
  </w:style>
  <w:style w:type="character" w:styleId="FollowedHyperlink">
    <w:name w:val="FollowedHyperlink"/>
    <w:basedOn w:val="DefaultParagraphFont"/>
    <w:uiPriority w:val="99"/>
    <w:semiHidden/>
    <w:unhideWhenUsed/>
    <w:rsid w:val="000172AE"/>
    <w:rPr>
      <w:color w:val="954F72" w:themeColor="followedHyperlink"/>
      <w:u w:val="single"/>
    </w:rPr>
  </w:style>
  <w:style w:type="paragraph" w:styleId="FootnoteText">
    <w:name w:val="footnote text"/>
    <w:basedOn w:val="Normal"/>
    <w:link w:val="FootnoteTextChar"/>
    <w:uiPriority w:val="99"/>
    <w:semiHidden/>
    <w:unhideWhenUsed/>
    <w:rsid w:val="005C1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8CE"/>
    <w:rPr>
      <w:sz w:val="20"/>
      <w:szCs w:val="20"/>
    </w:rPr>
  </w:style>
  <w:style w:type="character" w:styleId="FootnoteReference">
    <w:name w:val="footnote reference"/>
    <w:basedOn w:val="DefaultParagraphFont"/>
    <w:uiPriority w:val="99"/>
    <w:semiHidden/>
    <w:unhideWhenUsed/>
    <w:rsid w:val="005C1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8044">
      <w:bodyDiv w:val="1"/>
      <w:marLeft w:val="0"/>
      <w:marRight w:val="0"/>
      <w:marTop w:val="0"/>
      <w:marBottom w:val="0"/>
      <w:divBdr>
        <w:top w:val="none" w:sz="0" w:space="0" w:color="auto"/>
        <w:left w:val="none" w:sz="0" w:space="0" w:color="auto"/>
        <w:bottom w:val="none" w:sz="0" w:space="0" w:color="auto"/>
        <w:right w:val="none" w:sz="0" w:space="0" w:color="auto"/>
      </w:divBdr>
    </w:div>
    <w:div w:id="355935694">
      <w:bodyDiv w:val="1"/>
      <w:marLeft w:val="0"/>
      <w:marRight w:val="0"/>
      <w:marTop w:val="0"/>
      <w:marBottom w:val="0"/>
      <w:divBdr>
        <w:top w:val="none" w:sz="0" w:space="0" w:color="auto"/>
        <w:left w:val="none" w:sz="0" w:space="0" w:color="auto"/>
        <w:bottom w:val="none" w:sz="0" w:space="0" w:color="auto"/>
        <w:right w:val="none" w:sz="0" w:space="0" w:color="auto"/>
      </w:divBdr>
    </w:div>
    <w:div w:id="909077882">
      <w:bodyDiv w:val="1"/>
      <w:marLeft w:val="0"/>
      <w:marRight w:val="0"/>
      <w:marTop w:val="0"/>
      <w:marBottom w:val="0"/>
      <w:divBdr>
        <w:top w:val="none" w:sz="0" w:space="0" w:color="auto"/>
        <w:left w:val="none" w:sz="0" w:space="0" w:color="auto"/>
        <w:bottom w:val="none" w:sz="0" w:space="0" w:color="auto"/>
        <w:right w:val="none" w:sz="0" w:space="0" w:color="auto"/>
      </w:divBdr>
    </w:div>
    <w:div w:id="154398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ushakovs@gmail.com" TargetMode="External"/><Relationship Id="rId13" Type="http://schemas.openxmlformats.org/officeDocument/2006/relationships/hyperlink" Target="https://hudoc.echr.coe.int/eng?i=001-16782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mpromat.lv" TargetMode="External"/><Relationship Id="rId12" Type="http://schemas.openxmlformats.org/officeDocument/2006/relationships/hyperlink" Target="https://hudoc.echr.coe.int/eng?i=001-20243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udoc.echr.coe.int/eng?i=001-21386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udoc.echr.coe.int/eng?i=001-202437" TargetMode="External"/><Relationship Id="rId5" Type="http://schemas.openxmlformats.org/officeDocument/2006/relationships/footnotes" Target="footnotes.xml"/><Relationship Id="rId15" Type="http://schemas.openxmlformats.org/officeDocument/2006/relationships/hyperlink" Target="https://hudoc.echr.coe.int/eng?i=001-158279" TargetMode="External"/><Relationship Id="rId10" Type="http://schemas.openxmlformats.org/officeDocument/2006/relationships/hyperlink" Target="https://hudoc.echr.coe.int/eng?i=001-9352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udoc.echr.coe.int/eng?i=001-79996" TargetMode="External"/><Relationship Id="rId14" Type="http://schemas.openxmlformats.org/officeDocument/2006/relationships/hyperlink" Target="https://hudoc.echr.coe.int/eng?i=001-210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F1124-7F3F-4BDD-AEF1-636272C3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18858</Words>
  <Characters>10750</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2022-04-08T12:52:00Z</dcterms:created>
  <dcterms:modified xsi:type="dcterms:W3CDTF">2022-04-08T12:52:00Z</dcterms:modified>
</cp:coreProperties>
</file>