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E018" w14:textId="3EF7275F" w:rsidR="00B75A2B" w:rsidRPr="00B75A2B" w:rsidRDefault="00AE4AFE" w:rsidP="00AE4AFE">
      <w:pPr>
        <w:spacing w:after="0" w:line="276" w:lineRule="auto"/>
        <w:jc w:val="both"/>
        <w:rPr>
          <w:rFonts w:eastAsia="Times New Roman" w:cs="Times New Roman"/>
          <w:szCs w:val="24"/>
        </w:rPr>
      </w:pPr>
      <w:r w:rsidRPr="0098690B">
        <w:rPr>
          <w:rFonts w:cs="Times New Roman"/>
          <w:b/>
          <w:bCs/>
          <w:szCs w:val="24"/>
        </w:rPr>
        <w:t>Īpaši aizsargājama cietušā – pilngadīgas personas, kura cietusi noziedzīgā nodarījumā, kas vērsts pret personas tikumību vai dzimumneaizskaramību</w:t>
      </w:r>
      <w:r>
        <w:rPr>
          <w:rFonts w:cs="Times New Roman"/>
          <w:b/>
          <w:bCs/>
          <w:szCs w:val="24"/>
        </w:rPr>
        <w:t>,</w:t>
      </w:r>
      <w:r w:rsidRPr="0098690B">
        <w:rPr>
          <w:rFonts w:cs="Times New Roman"/>
          <w:b/>
          <w:bCs/>
          <w:szCs w:val="24"/>
        </w:rPr>
        <w:t xml:space="preserve"> – nopratināšana tiesā</w:t>
      </w:r>
    </w:p>
    <w:p w14:paraId="01718EAF" w14:textId="7F65DE47" w:rsidR="00B75A2B" w:rsidRDefault="00B75A2B" w:rsidP="00AE4AFE">
      <w:pPr>
        <w:spacing w:after="0" w:line="360" w:lineRule="auto"/>
        <w:rPr>
          <w:rFonts w:eastAsia="Times New Roman" w:cs="Times New Roman"/>
          <w:szCs w:val="24"/>
        </w:rPr>
      </w:pPr>
    </w:p>
    <w:p w14:paraId="5CDD28AF" w14:textId="77777777" w:rsidR="00AE4AFE" w:rsidRPr="00AE4AFE" w:rsidRDefault="00B75A2B" w:rsidP="00AE4AFE">
      <w:pPr>
        <w:spacing w:after="0" w:line="276" w:lineRule="auto"/>
        <w:jc w:val="center"/>
        <w:rPr>
          <w:rFonts w:eastAsia="Times New Roman" w:cs="Times New Roman"/>
          <w:b/>
          <w:szCs w:val="24"/>
        </w:rPr>
      </w:pPr>
      <w:r w:rsidRPr="00AE4AFE">
        <w:rPr>
          <w:rFonts w:cs="Times New Roman"/>
          <w:b/>
          <w:szCs w:val="24"/>
        </w:rPr>
        <w:t>Latvijas Republikas Senāt</w:t>
      </w:r>
      <w:r w:rsidR="00AE4AFE" w:rsidRPr="00AE4AFE">
        <w:rPr>
          <w:rFonts w:cs="Times New Roman"/>
          <w:b/>
          <w:szCs w:val="24"/>
        </w:rPr>
        <w:t>a</w:t>
      </w:r>
      <w:r w:rsidR="00AE4AFE" w:rsidRPr="00AE4AFE">
        <w:rPr>
          <w:rFonts w:eastAsia="Times New Roman" w:cs="Times New Roman"/>
          <w:b/>
          <w:szCs w:val="24"/>
        </w:rPr>
        <w:t xml:space="preserve"> </w:t>
      </w:r>
    </w:p>
    <w:p w14:paraId="614D8512" w14:textId="77777777" w:rsidR="00AE4AFE" w:rsidRPr="00AE4AFE" w:rsidRDefault="00AE4AFE" w:rsidP="00AE4AFE">
      <w:pPr>
        <w:spacing w:after="0" w:line="276" w:lineRule="auto"/>
        <w:jc w:val="center"/>
        <w:rPr>
          <w:rFonts w:eastAsia="Times New Roman" w:cs="Times New Roman"/>
          <w:b/>
          <w:szCs w:val="24"/>
        </w:rPr>
      </w:pPr>
      <w:r w:rsidRPr="00AE4AFE">
        <w:rPr>
          <w:rFonts w:eastAsia="Times New Roman" w:cs="Times New Roman"/>
          <w:b/>
          <w:szCs w:val="24"/>
        </w:rPr>
        <w:t>Krimināllietu departamenta</w:t>
      </w:r>
    </w:p>
    <w:p w14:paraId="7C7B9089" w14:textId="5C5C2F03" w:rsidR="00B75A2B" w:rsidRPr="00AE4AFE" w:rsidRDefault="00AE4AFE" w:rsidP="00AE4AFE">
      <w:pPr>
        <w:spacing w:after="0" w:line="276" w:lineRule="auto"/>
        <w:jc w:val="center"/>
        <w:rPr>
          <w:rFonts w:cs="Times New Roman"/>
          <w:b/>
          <w:szCs w:val="24"/>
        </w:rPr>
      </w:pPr>
      <w:proofErr w:type="gramStart"/>
      <w:r w:rsidRPr="00AE4AFE">
        <w:rPr>
          <w:rFonts w:eastAsia="Times New Roman" w:cs="Times New Roman"/>
          <w:b/>
          <w:szCs w:val="24"/>
        </w:rPr>
        <w:t>2021.gada</w:t>
      </w:r>
      <w:proofErr w:type="gramEnd"/>
      <w:r w:rsidRPr="00AE4AFE">
        <w:rPr>
          <w:rFonts w:eastAsia="Times New Roman" w:cs="Times New Roman"/>
          <w:b/>
          <w:szCs w:val="24"/>
        </w:rPr>
        <w:t xml:space="preserve"> </w:t>
      </w:r>
      <w:r>
        <w:rPr>
          <w:rFonts w:eastAsia="Times New Roman" w:cs="Times New Roman"/>
          <w:b/>
          <w:szCs w:val="24"/>
        </w:rPr>
        <w:t>[..]</w:t>
      </w:r>
    </w:p>
    <w:p w14:paraId="2B64C41E" w14:textId="60B31900" w:rsidR="00B75A2B" w:rsidRPr="00AE4AFE" w:rsidRDefault="00B75A2B" w:rsidP="00AE4AFE">
      <w:pPr>
        <w:spacing w:after="0" w:line="276" w:lineRule="auto"/>
        <w:jc w:val="center"/>
        <w:rPr>
          <w:rFonts w:cs="Times New Roman"/>
          <w:b/>
          <w:szCs w:val="24"/>
        </w:rPr>
      </w:pPr>
      <w:r w:rsidRPr="00AE4AFE">
        <w:rPr>
          <w:rFonts w:cs="Times New Roman"/>
          <w:b/>
          <w:szCs w:val="24"/>
        </w:rPr>
        <w:t>LĒMUMS</w:t>
      </w:r>
      <w:r w:rsidR="00B94B00">
        <w:rPr>
          <w:rStyle w:val="FootnoteReference"/>
          <w:rFonts w:cs="Times New Roman"/>
          <w:b/>
          <w:szCs w:val="24"/>
        </w:rPr>
        <w:footnoteReference w:id="1"/>
      </w:r>
    </w:p>
    <w:p w14:paraId="53C48AF0" w14:textId="44FB33E0" w:rsidR="00B75A2B" w:rsidRPr="00AE4AFE" w:rsidRDefault="00AE4AFE" w:rsidP="00AE4AFE">
      <w:pPr>
        <w:spacing w:after="0" w:line="276" w:lineRule="auto"/>
        <w:jc w:val="center"/>
        <w:rPr>
          <w:rFonts w:eastAsia="Times New Roman" w:cs="Times New Roman"/>
          <w:b/>
          <w:szCs w:val="24"/>
        </w:rPr>
      </w:pPr>
      <w:r w:rsidRPr="00AE4AFE">
        <w:rPr>
          <w:rFonts w:eastAsia="Times New Roman" w:cs="Times New Roman"/>
          <w:b/>
          <w:szCs w:val="24"/>
        </w:rPr>
        <w:t>Lieta Nr. </w:t>
      </w:r>
      <w:r>
        <w:rPr>
          <w:rFonts w:eastAsia="Times New Roman" w:cs="Times New Roman"/>
          <w:b/>
          <w:szCs w:val="24"/>
        </w:rPr>
        <w:t>[..]</w:t>
      </w:r>
      <w:r w:rsidRPr="00AE4AFE">
        <w:rPr>
          <w:rFonts w:eastAsia="Times New Roman" w:cs="Times New Roman"/>
          <w:b/>
          <w:szCs w:val="24"/>
        </w:rPr>
        <w:t>, SKK</w:t>
      </w:r>
      <w:r w:rsidRPr="00AE4AFE">
        <w:rPr>
          <w:rFonts w:eastAsia="Times New Roman" w:cs="Times New Roman"/>
          <w:b/>
          <w:szCs w:val="24"/>
        </w:rPr>
        <w:noBreakHyphen/>
      </w:r>
      <w:r>
        <w:rPr>
          <w:rFonts w:eastAsia="Times New Roman" w:cs="Times New Roman"/>
          <w:b/>
          <w:szCs w:val="24"/>
        </w:rPr>
        <w:t>[J]</w:t>
      </w:r>
      <w:r w:rsidRPr="00AE4AFE">
        <w:rPr>
          <w:rFonts w:eastAsia="Times New Roman" w:cs="Times New Roman"/>
          <w:b/>
          <w:szCs w:val="24"/>
        </w:rPr>
        <w:t>/2021</w:t>
      </w:r>
    </w:p>
    <w:p w14:paraId="08AA05DB" w14:textId="7D5FD725" w:rsidR="00AE4AFE" w:rsidRPr="00AE4AFE" w:rsidRDefault="00AE4AFE" w:rsidP="00AE4AFE">
      <w:pPr>
        <w:spacing w:after="0" w:line="276" w:lineRule="auto"/>
        <w:jc w:val="center"/>
        <w:rPr>
          <w:rFonts w:eastAsia="Times New Roman" w:cs="Times New Roman"/>
          <w:szCs w:val="24"/>
        </w:rPr>
      </w:pPr>
      <w:r w:rsidRPr="00AE4AFE">
        <w:rPr>
          <w:rFonts w:cs="Times New Roman"/>
          <w:color w:val="000000"/>
          <w:szCs w:val="24"/>
          <w:shd w:val="clear" w:color="auto" w:fill="FFFFFF"/>
        </w:rPr>
        <w:t>ECLI:LV:AT:2021:</w:t>
      </w:r>
      <w:r>
        <w:rPr>
          <w:rFonts w:cs="Times New Roman"/>
          <w:color w:val="000000"/>
          <w:szCs w:val="24"/>
          <w:shd w:val="clear" w:color="auto" w:fill="FFFFFF"/>
        </w:rPr>
        <w:t>[..]</w:t>
      </w:r>
    </w:p>
    <w:p w14:paraId="36130370" w14:textId="77777777" w:rsidR="00B75A2B" w:rsidRDefault="00B75A2B" w:rsidP="00B75A2B">
      <w:pPr>
        <w:spacing w:before="240" w:after="200" w:line="276" w:lineRule="auto"/>
        <w:ind w:firstLine="709"/>
        <w:jc w:val="both"/>
        <w:rPr>
          <w:rFonts w:cs="Times New Roman"/>
          <w:szCs w:val="24"/>
        </w:rPr>
      </w:pPr>
      <w:r>
        <w:rPr>
          <w:rFonts w:cs="Times New Roman"/>
          <w:szCs w:val="24"/>
        </w:rPr>
        <w:t xml:space="preserve">Tiesa šādā sastāvā: senatori </w:t>
      </w:r>
      <w:r>
        <w:t>Anita Poļakova, Aivars Uminskis, Inese Laura Zemīte</w:t>
      </w:r>
    </w:p>
    <w:p w14:paraId="1277A8E5" w14:textId="3A00E05E"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 </w:t>
      </w:r>
      <w:r w:rsidR="00B94B00">
        <w:rPr>
          <w:rFonts w:eastAsia="Times New Roman" w:cs="Times New Roman"/>
          <w:szCs w:val="24"/>
        </w:rPr>
        <w:t>[pers. A]</w:t>
      </w:r>
      <w:r>
        <w:rPr>
          <w:rFonts w:eastAsia="Times New Roman" w:cs="Times New Roman"/>
          <w:szCs w:val="24"/>
        </w:rPr>
        <w:t xml:space="preserve"> aizstāvja Egona </w:t>
      </w:r>
      <w:proofErr w:type="spellStart"/>
      <w:r>
        <w:rPr>
          <w:rFonts w:eastAsia="Times New Roman" w:cs="Times New Roman"/>
          <w:szCs w:val="24"/>
        </w:rPr>
        <w:t>Rusanova</w:t>
      </w:r>
      <w:proofErr w:type="spellEnd"/>
      <w:r>
        <w:rPr>
          <w:rFonts w:eastAsia="Times New Roman" w:cs="Times New Roman"/>
          <w:szCs w:val="24"/>
        </w:rPr>
        <w:t xml:space="preserve"> kasācijas sūdzību un tās papildinājumiem par </w:t>
      </w:r>
      <w:r w:rsidR="00B94B00">
        <w:rPr>
          <w:rFonts w:eastAsia="Times New Roman" w:cs="Times New Roman"/>
          <w:szCs w:val="24"/>
        </w:rPr>
        <w:t>[..]</w:t>
      </w:r>
      <w:r>
        <w:rPr>
          <w:rFonts w:eastAsia="Times New Roman" w:cs="Times New Roman"/>
          <w:szCs w:val="24"/>
        </w:rPr>
        <w:t xml:space="preserve"> apgabaltiesas </w:t>
      </w:r>
      <w:proofErr w:type="gramStart"/>
      <w:r>
        <w:rPr>
          <w:rFonts w:eastAsia="Times New Roman" w:cs="Times New Roman"/>
          <w:szCs w:val="24"/>
        </w:rPr>
        <w:t>2019.gada</w:t>
      </w:r>
      <w:proofErr w:type="gramEnd"/>
      <w:r>
        <w:rPr>
          <w:rFonts w:eastAsia="Times New Roman" w:cs="Times New Roman"/>
          <w:szCs w:val="24"/>
        </w:rPr>
        <w:t xml:space="preserve"> </w:t>
      </w:r>
      <w:r w:rsidR="00B94B00">
        <w:rPr>
          <w:rFonts w:eastAsia="Times New Roman" w:cs="Times New Roman"/>
          <w:szCs w:val="24"/>
        </w:rPr>
        <w:t>[..]</w:t>
      </w:r>
      <w:r>
        <w:rPr>
          <w:rFonts w:eastAsia="Times New Roman" w:cs="Times New Roman"/>
          <w:szCs w:val="24"/>
        </w:rPr>
        <w:t xml:space="preserve"> spriedumu.</w:t>
      </w:r>
    </w:p>
    <w:p w14:paraId="13971E6E" w14:textId="77777777" w:rsidR="00B75A2B" w:rsidRDefault="00B75A2B" w:rsidP="00B75A2B">
      <w:pPr>
        <w:spacing w:after="0" w:line="276" w:lineRule="auto"/>
        <w:ind w:firstLine="709"/>
        <w:jc w:val="both"/>
        <w:rPr>
          <w:rFonts w:cs="Times New Roman"/>
          <w:szCs w:val="24"/>
        </w:rPr>
      </w:pPr>
    </w:p>
    <w:p w14:paraId="27770F25" w14:textId="77777777" w:rsidR="00B75A2B" w:rsidRDefault="00B75A2B" w:rsidP="00B75A2B">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1D8CC63A" w14:textId="77777777" w:rsidR="00B75A2B" w:rsidRDefault="00B75A2B" w:rsidP="00B75A2B">
      <w:pPr>
        <w:autoSpaceDE w:val="0"/>
        <w:autoSpaceDN w:val="0"/>
        <w:adjustRightInd w:val="0"/>
        <w:spacing w:after="0" w:line="276" w:lineRule="auto"/>
        <w:jc w:val="center"/>
        <w:rPr>
          <w:rFonts w:cs="Times New Roman"/>
          <w:b/>
          <w:bCs/>
          <w:szCs w:val="24"/>
        </w:rPr>
      </w:pPr>
    </w:p>
    <w:p w14:paraId="3C9D52FF" w14:textId="5D73EC62"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[1] </w:t>
      </w:r>
      <w:r>
        <w:t>Ar</w:t>
      </w:r>
      <w:r>
        <w:rPr>
          <w:rFonts w:cs="Times New Roman"/>
          <w:szCs w:val="24"/>
        </w:rPr>
        <w:t xml:space="preserve"> </w:t>
      </w:r>
      <w:r w:rsidR="00B94B00">
        <w:rPr>
          <w:rFonts w:cs="Times New Roman"/>
          <w:szCs w:val="24"/>
        </w:rPr>
        <w:t>[..]</w:t>
      </w:r>
      <w:r>
        <w:rPr>
          <w:rFonts w:cs="Times New Roman"/>
          <w:szCs w:val="24"/>
        </w:rPr>
        <w:t xml:space="preserve"> apgabaltiesas </w:t>
      </w:r>
      <w:proofErr w:type="gramStart"/>
      <w:r>
        <w:rPr>
          <w:rFonts w:cs="Times New Roman"/>
          <w:szCs w:val="24"/>
        </w:rPr>
        <w:t>2016.gada</w:t>
      </w:r>
      <w:proofErr w:type="gramEnd"/>
      <w:r>
        <w:rPr>
          <w:rFonts w:cs="Times New Roman"/>
          <w:szCs w:val="24"/>
        </w:rPr>
        <w:t xml:space="preserve"> </w:t>
      </w:r>
      <w:r w:rsidR="00B94B00">
        <w:rPr>
          <w:rFonts w:cs="Times New Roman"/>
          <w:szCs w:val="24"/>
        </w:rPr>
        <w:t>[..]</w:t>
      </w:r>
      <w:r>
        <w:rPr>
          <w:rFonts w:cs="Times New Roman"/>
          <w:szCs w:val="24"/>
        </w:rPr>
        <w:t xml:space="preserve"> spriedumu</w:t>
      </w:r>
    </w:p>
    <w:p w14:paraId="7A85D5C1" w14:textId="4924FC3A"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[1.1] </w:t>
      </w:r>
      <w:r w:rsidR="00B94B00">
        <w:rPr>
          <w:rFonts w:cs="Times New Roman"/>
          <w:szCs w:val="24"/>
        </w:rPr>
        <w:t>[pers. A]</w:t>
      </w:r>
      <w:r>
        <w:rPr>
          <w:rFonts w:cs="Times New Roman"/>
          <w:szCs w:val="24"/>
        </w:rPr>
        <w:t xml:space="preserve"> (</w:t>
      </w:r>
      <w:r w:rsidR="00B94B00">
        <w:rPr>
          <w:rFonts w:cs="Times New Roman"/>
          <w:szCs w:val="24"/>
        </w:rPr>
        <w:t>[Uzvārds]</w:t>
      </w:r>
      <w:r>
        <w:rPr>
          <w:rFonts w:cs="Times New Roman"/>
          <w:szCs w:val="24"/>
        </w:rPr>
        <w:t xml:space="preserve">), personas kods </w:t>
      </w:r>
      <w:r w:rsidR="00B94B00">
        <w:rPr>
          <w:rFonts w:cs="Times New Roman"/>
          <w:szCs w:val="24"/>
        </w:rPr>
        <w:t>[..]</w:t>
      </w:r>
      <w:r>
        <w:rPr>
          <w:rFonts w:cs="Times New Roman"/>
          <w:szCs w:val="24"/>
        </w:rPr>
        <w:t xml:space="preserve">, </w:t>
      </w:r>
    </w:p>
    <w:p w14:paraId="7B663423" w14:textId="7777777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atzīts par vainīgu Krimināllikuma </w:t>
      </w:r>
      <w:proofErr w:type="gramStart"/>
      <w:r>
        <w:rPr>
          <w:rFonts w:cs="Times New Roman"/>
          <w:szCs w:val="24"/>
        </w:rPr>
        <w:t>159.panta</w:t>
      </w:r>
      <w:proofErr w:type="gramEnd"/>
      <w:r>
        <w:rPr>
          <w:rFonts w:cs="Times New Roman"/>
          <w:szCs w:val="24"/>
        </w:rPr>
        <w:t xml:space="preserve"> otrajā daļā (likuma redakcijā līdz 2008.gada 12.janvārim) paredzētajā noziedzīgajā nodarījumā un sodīts, piemērojot Krimināllikuma 49.</w:t>
      </w:r>
      <w:r>
        <w:rPr>
          <w:rFonts w:cs="Times New Roman"/>
          <w:szCs w:val="24"/>
          <w:vertAlign w:val="superscript"/>
        </w:rPr>
        <w:t>1</w:t>
      </w:r>
      <w:r>
        <w:rPr>
          <w:rFonts w:cs="Times New Roman"/>
          <w:szCs w:val="24"/>
        </w:rPr>
        <w:t>pantu, ar brīvības atņemšanu uz 3 gadiem 6 mēnešiem;</w:t>
      </w:r>
    </w:p>
    <w:p w14:paraId="1AEB19A1" w14:textId="7777777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atzīts par vainīgu Krimināllikuma </w:t>
      </w:r>
      <w:proofErr w:type="gramStart"/>
      <w:r>
        <w:rPr>
          <w:rFonts w:cs="Times New Roman"/>
          <w:szCs w:val="24"/>
        </w:rPr>
        <w:t>160.panta</w:t>
      </w:r>
      <w:proofErr w:type="gramEnd"/>
      <w:r>
        <w:rPr>
          <w:rFonts w:cs="Times New Roman"/>
          <w:szCs w:val="24"/>
        </w:rPr>
        <w:t xml:space="preserve"> otrajā daļā (likuma redakcijā līdz 2008.gada 12.janvārim) paredzētajā noziedzīgajā nodarījumā un sodīts, piemērojot Krimināllikuma 49.</w:t>
      </w:r>
      <w:r>
        <w:rPr>
          <w:rFonts w:cs="Times New Roman"/>
          <w:szCs w:val="24"/>
          <w:vertAlign w:val="superscript"/>
        </w:rPr>
        <w:t>1</w:t>
      </w:r>
      <w:r>
        <w:rPr>
          <w:rFonts w:cs="Times New Roman"/>
          <w:szCs w:val="24"/>
        </w:rPr>
        <w:t>pantu, ar brīvības atņemšanu uz 2 gadiem 6 mēnešiem;</w:t>
      </w:r>
    </w:p>
    <w:p w14:paraId="4842F327" w14:textId="7777777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atzīts par vainīgu Krimināllikuma </w:t>
      </w:r>
      <w:proofErr w:type="gramStart"/>
      <w:r>
        <w:rPr>
          <w:rFonts w:cs="Times New Roman"/>
          <w:szCs w:val="24"/>
        </w:rPr>
        <w:t>176.panta</w:t>
      </w:r>
      <w:proofErr w:type="gramEnd"/>
      <w:r>
        <w:rPr>
          <w:rFonts w:cs="Times New Roman"/>
          <w:szCs w:val="24"/>
        </w:rPr>
        <w:t xml:space="preserve"> otrajā daļā (likuma redakcijā līdz 2013.gada 1.aprīlim) paredzētajā noziedzīgajā nodarījumā un sodīts, piemērojot Krimināllikuma 49.</w:t>
      </w:r>
      <w:r>
        <w:rPr>
          <w:rFonts w:cs="Times New Roman"/>
          <w:szCs w:val="24"/>
          <w:vertAlign w:val="superscript"/>
        </w:rPr>
        <w:t>1</w:t>
      </w:r>
      <w:r>
        <w:rPr>
          <w:rFonts w:cs="Times New Roman"/>
          <w:szCs w:val="24"/>
        </w:rPr>
        <w:t>pantu, ar brīvības atņemšanu uz 9 mēnešiem;</w:t>
      </w:r>
    </w:p>
    <w:p w14:paraId="4B770BD0" w14:textId="2F2F2A0E" w:rsidR="00B75A2B" w:rsidRPr="001436CC" w:rsidRDefault="00B75A2B" w:rsidP="00B75A2B">
      <w:pPr>
        <w:tabs>
          <w:tab w:val="left" w:pos="1710"/>
        </w:tabs>
        <w:spacing w:after="0" w:line="276" w:lineRule="auto"/>
        <w:ind w:firstLine="709"/>
        <w:jc w:val="both"/>
        <w:rPr>
          <w:rFonts w:cs="Times New Roman"/>
          <w:szCs w:val="24"/>
        </w:rPr>
      </w:pPr>
      <w:r w:rsidRPr="001436CC">
        <w:rPr>
          <w:rFonts w:cs="Times New Roman"/>
          <w:szCs w:val="24"/>
        </w:rPr>
        <w:t xml:space="preserve">Saskaņā ar Krimināllikuma </w:t>
      </w:r>
      <w:proofErr w:type="gramStart"/>
      <w:r w:rsidRPr="001436CC">
        <w:rPr>
          <w:rFonts w:cs="Times New Roman"/>
          <w:szCs w:val="24"/>
        </w:rPr>
        <w:t>50.panta</w:t>
      </w:r>
      <w:proofErr w:type="gramEnd"/>
      <w:r w:rsidRPr="001436CC">
        <w:rPr>
          <w:rFonts w:cs="Times New Roman"/>
          <w:szCs w:val="24"/>
        </w:rPr>
        <w:t xml:space="preserve"> pirmo daļu </w:t>
      </w:r>
      <w:r w:rsidR="00B94B00">
        <w:rPr>
          <w:rFonts w:cs="Times New Roman"/>
          <w:szCs w:val="24"/>
        </w:rPr>
        <w:t>[pers. A]</w:t>
      </w:r>
      <w:r>
        <w:rPr>
          <w:rFonts w:cs="Times New Roman"/>
          <w:szCs w:val="24"/>
        </w:rPr>
        <w:t xml:space="preserve"> (</w:t>
      </w:r>
      <w:r w:rsidR="00B94B00">
        <w:rPr>
          <w:rFonts w:cs="Times New Roman"/>
          <w:szCs w:val="24"/>
        </w:rPr>
        <w:t>[Uzvārds]</w:t>
      </w:r>
      <w:r>
        <w:rPr>
          <w:rFonts w:cs="Times New Roman"/>
          <w:szCs w:val="24"/>
        </w:rPr>
        <w:t>)</w:t>
      </w:r>
      <w:r w:rsidRPr="001436CC">
        <w:rPr>
          <w:rFonts w:cs="Times New Roman"/>
          <w:szCs w:val="24"/>
        </w:rPr>
        <w:t xml:space="preserve"> </w:t>
      </w:r>
      <w:r>
        <w:rPr>
          <w:rFonts w:cs="Times New Roman"/>
          <w:szCs w:val="24"/>
        </w:rPr>
        <w:t xml:space="preserve">galīgais </w:t>
      </w:r>
      <w:r w:rsidRPr="001436CC">
        <w:rPr>
          <w:rFonts w:cs="Times New Roman"/>
          <w:szCs w:val="24"/>
        </w:rPr>
        <w:t xml:space="preserve">sods noteikts </w:t>
      </w:r>
      <w:r>
        <w:rPr>
          <w:rFonts w:cs="Times New Roman"/>
          <w:szCs w:val="24"/>
        </w:rPr>
        <w:t>brīvības atņemšana uz 4 gadiem</w:t>
      </w:r>
      <w:r w:rsidRPr="001436CC">
        <w:rPr>
          <w:rFonts w:cs="Times New Roman"/>
          <w:szCs w:val="24"/>
        </w:rPr>
        <w:t>.</w:t>
      </w:r>
    </w:p>
    <w:p w14:paraId="310D12F0" w14:textId="544F8233"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55.panta</w:t>
      </w:r>
      <w:proofErr w:type="gramEnd"/>
      <w:r>
        <w:rPr>
          <w:rFonts w:cs="Times New Roman"/>
          <w:szCs w:val="24"/>
        </w:rPr>
        <w:t xml:space="preserve"> pirmo daļu </w:t>
      </w:r>
      <w:r w:rsidR="00B94B00">
        <w:rPr>
          <w:rFonts w:cs="Times New Roman"/>
          <w:szCs w:val="24"/>
        </w:rPr>
        <w:t>[pers. A]</w:t>
      </w:r>
      <w:r>
        <w:rPr>
          <w:rFonts w:cs="Times New Roman"/>
          <w:szCs w:val="24"/>
        </w:rPr>
        <w:t xml:space="preserve"> (</w:t>
      </w:r>
      <w:r w:rsidR="00B94B00">
        <w:rPr>
          <w:rFonts w:cs="Times New Roman"/>
          <w:szCs w:val="24"/>
        </w:rPr>
        <w:t>[Uzvārds]</w:t>
      </w:r>
      <w:r>
        <w:rPr>
          <w:rFonts w:cs="Times New Roman"/>
          <w:szCs w:val="24"/>
        </w:rPr>
        <w:t>) ar brīvības atņemšanas sodu notiesāts nosacīti ar pārbaudes laiku uz 4 gadiem.</w:t>
      </w:r>
    </w:p>
    <w:p w14:paraId="5D9C5C00" w14:textId="1D946A7F" w:rsidR="00B75A2B" w:rsidRPr="009F1199" w:rsidRDefault="00B75A2B" w:rsidP="00B75A2B">
      <w:pPr>
        <w:tabs>
          <w:tab w:val="left" w:pos="1710"/>
        </w:tabs>
        <w:spacing w:after="0" w:line="276" w:lineRule="auto"/>
        <w:ind w:firstLine="709"/>
        <w:jc w:val="both"/>
        <w:rPr>
          <w:rFonts w:cs="Times New Roman"/>
          <w:szCs w:val="24"/>
        </w:rPr>
      </w:pPr>
      <w:r>
        <w:rPr>
          <w:rFonts w:cs="Times New Roman"/>
          <w:szCs w:val="24"/>
        </w:rPr>
        <w:t xml:space="preserve">[1.2] </w:t>
      </w:r>
      <w:r>
        <w:rPr>
          <w:rFonts w:ascii="TimesNewRomanPSMT" w:hAnsi="TimesNewRomanPSMT"/>
          <w:szCs w:val="24"/>
        </w:rPr>
        <w:t xml:space="preserve">Lietā vēl atzīts par vainīgu un sodīts </w:t>
      </w:r>
      <w:r w:rsidR="00B94B00">
        <w:rPr>
          <w:rFonts w:ascii="TimesNewRomanPS-BoldMT" w:hAnsi="TimesNewRomanPS-BoldMT"/>
          <w:szCs w:val="24"/>
        </w:rPr>
        <w:t>[pers.</w:t>
      </w:r>
      <w:r w:rsidR="00B94B00">
        <w:t> B]</w:t>
      </w:r>
      <w:r>
        <w:rPr>
          <w:rFonts w:ascii="TimesNewRomanPS-BoldMT" w:hAnsi="TimesNewRomanPS-BoldMT"/>
          <w:szCs w:val="24"/>
        </w:rPr>
        <w:t xml:space="preserve">, personas kods </w:t>
      </w:r>
      <w:r w:rsidR="00B94B00">
        <w:rPr>
          <w:rFonts w:ascii="TimesNewRomanPS-BoldMT" w:hAnsi="TimesNewRomanPS-BoldMT"/>
          <w:szCs w:val="24"/>
        </w:rPr>
        <w:t>[..]</w:t>
      </w:r>
      <w:r>
        <w:rPr>
          <w:rFonts w:ascii="TimesNewRomanPS-BoldMT" w:hAnsi="TimesNewRomanPS-BoldMT"/>
          <w:szCs w:val="24"/>
        </w:rPr>
        <w:t>,</w:t>
      </w:r>
      <w:r>
        <w:rPr>
          <w:rFonts w:ascii="TimesNewRomanPSMT" w:hAnsi="TimesNewRomanPSMT"/>
          <w:szCs w:val="24"/>
        </w:rPr>
        <w:t xml:space="preserve"> </w:t>
      </w:r>
      <w:proofErr w:type="gramStart"/>
      <w:r>
        <w:rPr>
          <w:rFonts w:ascii="TimesNewRomanPSMT" w:hAnsi="TimesNewRomanPSMT"/>
          <w:szCs w:val="24"/>
        </w:rPr>
        <w:t>daļā par kuru</w:t>
      </w:r>
      <w:proofErr w:type="gramEnd"/>
      <w:r>
        <w:rPr>
          <w:rFonts w:ascii="TimesNewRomanPSMT" w:hAnsi="TimesNewRomanPSMT"/>
          <w:szCs w:val="24"/>
        </w:rPr>
        <w:t xml:space="preserve"> apelācijas instances tiesas spriedums</w:t>
      </w:r>
      <w:r>
        <w:rPr>
          <w:rFonts w:ascii="TimesNewRomanPS-BoldMT" w:hAnsi="TimesNewRomanPS-BoldMT"/>
          <w:b/>
          <w:bCs/>
          <w:szCs w:val="24"/>
        </w:rPr>
        <w:t xml:space="preserve"> </w:t>
      </w:r>
      <w:r>
        <w:rPr>
          <w:rFonts w:ascii="TimesNewRomanPSMT" w:hAnsi="TimesNewRomanPSMT"/>
          <w:szCs w:val="24"/>
        </w:rPr>
        <w:t xml:space="preserve">kasācijas kārtībā nav pārsūdzēts. </w:t>
      </w:r>
    </w:p>
    <w:p w14:paraId="52824B88" w14:textId="77777777" w:rsidR="00B75A2B" w:rsidRDefault="00B75A2B" w:rsidP="00B75A2B">
      <w:pPr>
        <w:tabs>
          <w:tab w:val="left" w:pos="1710"/>
        </w:tabs>
        <w:spacing w:after="0" w:line="276" w:lineRule="auto"/>
        <w:ind w:firstLine="709"/>
        <w:jc w:val="both"/>
        <w:rPr>
          <w:rFonts w:cs="Times New Roman"/>
          <w:szCs w:val="24"/>
        </w:rPr>
      </w:pPr>
    </w:p>
    <w:p w14:paraId="6B9890F2" w14:textId="5B172510" w:rsidR="00B75A2B" w:rsidRDefault="00B75A2B" w:rsidP="00B75A2B">
      <w:pPr>
        <w:tabs>
          <w:tab w:val="left" w:pos="1710"/>
        </w:tabs>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[2] </w:t>
      </w:r>
      <w:bookmarkStart w:id="0" w:name="_Hlk68084009"/>
      <w:r>
        <w:rPr>
          <w:rFonts w:ascii="TimesNewRomanPSMT" w:hAnsi="TimesNewRomanPSMT" w:cs="TimesNewRomanPSMT"/>
          <w:szCs w:val="24"/>
        </w:rPr>
        <w:t xml:space="preserve">Ar pirmās instances tiesas spriedumu </w:t>
      </w:r>
      <w:r w:rsidR="00B94B00">
        <w:rPr>
          <w:rFonts w:ascii="TimesNewRomanPSMT" w:hAnsi="TimesNewRomanPSMT" w:cs="TimesNewRomanPSMT"/>
          <w:szCs w:val="24"/>
        </w:rPr>
        <w:t>[pers. A]</w:t>
      </w:r>
      <w:r>
        <w:rPr>
          <w:rFonts w:ascii="TimesNewRomanPSMT" w:hAnsi="TimesNewRomanPSMT" w:cs="TimesNewRomanPSMT"/>
          <w:szCs w:val="24"/>
        </w:rPr>
        <w:t xml:space="preserve"> (</w:t>
      </w:r>
      <w:r w:rsidR="00B94B00">
        <w:rPr>
          <w:rFonts w:ascii="TimesNewRomanPSMT" w:hAnsi="TimesNewRomanPSMT" w:cs="TimesNewRomanPSMT"/>
          <w:szCs w:val="24"/>
        </w:rPr>
        <w:t>[Uzvārds]</w:t>
      </w:r>
      <w:r>
        <w:rPr>
          <w:rFonts w:ascii="TimesNewRomanPSMT" w:hAnsi="TimesNewRomanPSMT" w:cs="TimesNewRomanPSMT"/>
          <w:szCs w:val="24"/>
        </w:rPr>
        <w:t xml:space="preserve">) atzīts par vainīgu un sodīts </w:t>
      </w:r>
      <w:bookmarkEnd w:id="0"/>
      <w:r>
        <w:rPr>
          <w:rFonts w:ascii="TimesNewRomanPSMT" w:hAnsi="TimesNewRomanPSMT" w:cs="TimesNewRomanPSMT"/>
          <w:szCs w:val="24"/>
        </w:rPr>
        <w:t xml:space="preserve">pēc Krimināllikuma </w:t>
      </w:r>
      <w:proofErr w:type="gramStart"/>
      <w:r>
        <w:rPr>
          <w:rFonts w:ascii="TimesNewRomanPSMT" w:hAnsi="TimesNewRomanPSMT" w:cs="TimesNewRomanPSMT"/>
          <w:szCs w:val="24"/>
        </w:rPr>
        <w:t>159.panta</w:t>
      </w:r>
      <w:proofErr w:type="gramEnd"/>
      <w:r>
        <w:rPr>
          <w:rFonts w:ascii="TimesNewRomanPSMT" w:hAnsi="TimesNewRomanPSMT" w:cs="TimesNewRomanPSMT"/>
          <w:szCs w:val="24"/>
        </w:rPr>
        <w:t xml:space="preserve"> otrās daļas un 160.panta otrās daļas par to, ka personu grupā stājās dzimumsakaros (izvarošana) un apmierināja savu dzimumtieksmi pretdabiskā veidā ar nepilngadīgu personu, lietojot vardarbību, draudus un izmantojot personas bezpalīdzības stāvokli.</w:t>
      </w:r>
    </w:p>
    <w:p w14:paraId="56FD8D5F" w14:textId="7C594F86" w:rsidR="00B75A2B" w:rsidRDefault="00B75A2B" w:rsidP="00B75A2B">
      <w:pPr>
        <w:tabs>
          <w:tab w:val="left" w:pos="1710"/>
        </w:tabs>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Turklāt ar pirmās instances tiesas spriedumu </w:t>
      </w:r>
      <w:r w:rsidR="00B94B00">
        <w:rPr>
          <w:rFonts w:ascii="TimesNewRomanPSMT" w:hAnsi="TimesNewRomanPSMT" w:cs="TimesNewRomanPSMT"/>
          <w:szCs w:val="24"/>
        </w:rPr>
        <w:t>[pers. A] ([Uzvārds])</w:t>
      </w:r>
      <w:r>
        <w:rPr>
          <w:rFonts w:ascii="TimesNewRomanPSMT" w:hAnsi="TimesNewRomanPSMT" w:cs="TimesNewRomanPSMT"/>
          <w:szCs w:val="24"/>
        </w:rPr>
        <w:t xml:space="preserve"> atzīts par vainīgu un sodīts pēc Krimināllikuma </w:t>
      </w:r>
      <w:proofErr w:type="gramStart"/>
      <w:r>
        <w:rPr>
          <w:rFonts w:ascii="TimesNewRomanPSMT" w:hAnsi="TimesNewRomanPSMT" w:cs="TimesNewRomanPSMT"/>
          <w:szCs w:val="24"/>
        </w:rPr>
        <w:t>176.panta</w:t>
      </w:r>
      <w:proofErr w:type="gramEnd"/>
      <w:r>
        <w:rPr>
          <w:rFonts w:ascii="TimesNewRomanPSMT" w:hAnsi="TimesNewRomanPSMT" w:cs="TimesNewRomanPSMT"/>
          <w:szCs w:val="24"/>
        </w:rPr>
        <w:t xml:space="preserve"> otrās daļas par </w:t>
      </w:r>
      <w:r>
        <w:t xml:space="preserve">svešas kustamas mantas nolaupīšanu, personu grupā pēc iepriekšējas vienošanās, saistītu ar vardarbību. </w:t>
      </w:r>
    </w:p>
    <w:p w14:paraId="58256049" w14:textId="77777777" w:rsidR="00B75A2B" w:rsidRDefault="00B75A2B" w:rsidP="00B75A2B">
      <w:pPr>
        <w:tabs>
          <w:tab w:val="left" w:pos="1710"/>
        </w:tabs>
        <w:spacing w:after="0" w:line="276" w:lineRule="auto"/>
        <w:ind w:firstLine="709"/>
        <w:jc w:val="both"/>
        <w:rPr>
          <w:rFonts w:ascii="TimesNewRomanPSMT" w:hAnsi="TimesNewRomanPSMT" w:cs="TimesNewRomanPSMT"/>
          <w:szCs w:val="24"/>
        </w:rPr>
      </w:pPr>
    </w:p>
    <w:p w14:paraId="2CEBA424" w14:textId="09BD68BB"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[3] Ar </w:t>
      </w:r>
      <w:r w:rsidR="00B94B00">
        <w:rPr>
          <w:rFonts w:cs="Times New Roman"/>
          <w:szCs w:val="24"/>
        </w:rPr>
        <w:t>[..]</w:t>
      </w:r>
      <w:r>
        <w:rPr>
          <w:rFonts w:cs="Times New Roman"/>
          <w:szCs w:val="24"/>
        </w:rPr>
        <w:t xml:space="preserve"> apgabaltiesas </w:t>
      </w:r>
      <w:proofErr w:type="gramStart"/>
      <w:r>
        <w:rPr>
          <w:rFonts w:cs="Times New Roman"/>
          <w:szCs w:val="24"/>
        </w:rPr>
        <w:t>2019.gada</w:t>
      </w:r>
      <w:proofErr w:type="gramEnd"/>
      <w:r>
        <w:rPr>
          <w:rFonts w:cs="Times New Roman"/>
          <w:szCs w:val="24"/>
        </w:rPr>
        <w:t xml:space="preserve"> </w:t>
      </w:r>
      <w:r w:rsidR="00B94B00">
        <w:rPr>
          <w:rFonts w:cs="Times New Roman"/>
          <w:szCs w:val="24"/>
        </w:rPr>
        <w:t>[..]</w:t>
      </w:r>
      <w:r>
        <w:rPr>
          <w:rFonts w:cs="Times New Roman"/>
          <w:szCs w:val="24"/>
        </w:rPr>
        <w:t xml:space="preserve"> spriedumu, iztiesājot krimināllietu apelācijas kārtībā sakarā ar Ģenerālprokuratūras Darbības analīzes un vadības departamenta prokurora protestu, apsūdzētā </w:t>
      </w:r>
      <w:r w:rsidR="00B94B00">
        <w:rPr>
          <w:rFonts w:cs="Times New Roman"/>
          <w:szCs w:val="24"/>
        </w:rPr>
        <w:t>[pers. A]</w:t>
      </w:r>
      <w:r>
        <w:rPr>
          <w:rFonts w:cs="Times New Roman"/>
          <w:szCs w:val="24"/>
        </w:rPr>
        <w:t xml:space="preserve"> aizstāvja E. </w:t>
      </w:r>
      <w:proofErr w:type="spellStart"/>
      <w:r>
        <w:rPr>
          <w:rFonts w:cs="Times New Roman"/>
          <w:szCs w:val="24"/>
        </w:rPr>
        <w:t>Rusanova</w:t>
      </w:r>
      <w:proofErr w:type="spellEnd"/>
      <w:r>
        <w:rPr>
          <w:rFonts w:cs="Times New Roman"/>
          <w:szCs w:val="24"/>
        </w:rPr>
        <w:t xml:space="preserve"> un apsūdzētā </w:t>
      </w:r>
      <w:r w:rsidR="00B94B00">
        <w:rPr>
          <w:rFonts w:cs="Times New Roman"/>
          <w:szCs w:val="24"/>
        </w:rPr>
        <w:t>[pers. B]</w:t>
      </w:r>
      <w:r>
        <w:rPr>
          <w:rFonts w:cs="Times New Roman"/>
          <w:szCs w:val="24"/>
        </w:rPr>
        <w:t xml:space="preserve"> apelācijas sūdzībām, </w:t>
      </w:r>
      <w:r w:rsidR="00B94B00">
        <w:rPr>
          <w:rFonts w:cs="Times New Roman"/>
          <w:szCs w:val="24"/>
        </w:rPr>
        <w:t>[..]</w:t>
      </w:r>
      <w:r>
        <w:rPr>
          <w:rFonts w:cs="Times New Roman"/>
          <w:szCs w:val="24"/>
        </w:rPr>
        <w:t xml:space="preserve"> apgabaltiesas 2016.gada </w:t>
      </w:r>
      <w:r w:rsidR="00B94B00">
        <w:rPr>
          <w:rFonts w:cs="Times New Roman"/>
          <w:szCs w:val="24"/>
        </w:rPr>
        <w:t>[..]</w:t>
      </w:r>
      <w:r>
        <w:rPr>
          <w:rFonts w:cs="Times New Roman"/>
          <w:szCs w:val="24"/>
        </w:rPr>
        <w:t xml:space="preserve"> spriedums atcelts daļā par apsūdzētajam </w:t>
      </w:r>
      <w:r w:rsidR="00B94B00">
        <w:rPr>
          <w:rFonts w:cs="Times New Roman"/>
          <w:szCs w:val="24"/>
        </w:rPr>
        <w:t>[pers. </w:t>
      </w:r>
      <w:r w:rsidR="00B94B00">
        <w:t>B]</w:t>
      </w:r>
      <w:r>
        <w:rPr>
          <w:rFonts w:cs="Times New Roman"/>
          <w:szCs w:val="24"/>
        </w:rPr>
        <w:t xml:space="preserve"> noteikto galīgo sodu saskaņā ar Krimināllikuma 50.panta pirmo daļu, daļā par Krimināllikuma 55.panta nosacījumu piemērošanu </w:t>
      </w:r>
      <w:r w:rsidR="00B94B00">
        <w:rPr>
          <w:rFonts w:cs="Times New Roman"/>
          <w:szCs w:val="24"/>
        </w:rPr>
        <w:t>[pers. A]</w:t>
      </w:r>
      <w:r>
        <w:rPr>
          <w:rFonts w:cs="Times New Roman"/>
          <w:szCs w:val="24"/>
        </w:rPr>
        <w:t xml:space="preserve">, daļā par cietušās </w:t>
      </w:r>
      <w:r w:rsidR="00B94B00">
        <w:rPr>
          <w:rFonts w:cs="Times New Roman"/>
          <w:szCs w:val="24"/>
        </w:rPr>
        <w:t>[pers. C]</w:t>
      </w:r>
      <w:r>
        <w:rPr>
          <w:rFonts w:cs="Times New Roman"/>
          <w:szCs w:val="24"/>
        </w:rPr>
        <w:t xml:space="preserve"> morālā kaitējuma kompensācijas noraidīšanu, materiālās kaitējuma kompensācijas daļēju piedziņu cietušās labā no katra apsūdzētā atsevišķi un daļā par cietušās materiālās kaitējuma kompensācijas daļēju noraidīšanu.</w:t>
      </w:r>
    </w:p>
    <w:p w14:paraId="6704C7D3" w14:textId="1DCAFD6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Ar apelācijas instances tiesas spriedumu </w:t>
      </w:r>
      <w:r w:rsidR="00B94B00">
        <w:rPr>
          <w:rFonts w:cs="Times New Roman"/>
          <w:szCs w:val="24"/>
        </w:rPr>
        <w:t>[pers. A]</w:t>
      </w:r>
      <w:r>
        <w:rPr>
          <w:rFonts w:cs="Times New Roman"/>
          <w:szCs w:val="24"/>
        </w:rPr>
        <w:t xml:space="preserve"> Krimināllikuma </w:t>
      </w:r>
      <w:proofErr w:type="gramStart"/>
      <w:r>
        <w:rPr>
          <w:rFonts w:cs="Times New Roman"/>
          <w:szCs w:val="24"/>
        </w:rPr>
        <w:t>55.panta</w:t>
      </w:r>
      <w:proofErr w:type="gramEnd"/>
      <w:r>
        <w:rPr>
          <w:rFonts w:cs="Times New Roman"/>
          <w:szCs w:val="24"/>
        </w:rPr>
        <w:t xml:space="preserve"> nosacījumus nolemts nepiemērot. </w:t>
      </w:r>
    </w:p>
    <w:p w14:paraId="3D72E62F" w14:textId="189F02CD"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No </w:t>
      </w:r>
      <w:r w:rsidR="00B94B00">
        <w:rPr>
          <w:rFonts w:cs="Times New Roman"/>
          <w:szCs w:val="24"/>
        </w:rPr>
        <w:t>[pers. A]</w:t>
      </w:r>
      <w:r>
        <w:rPr>
          <w:rFonts w:cs="Times New Roman"/>
          <w:szCs w:val="24"/>
        </w:rPr>
        <w:t xml:space="preserve"> un </w:t>
      </w:r>
      <w:r w:rsidR="00B94B00">
        <w:rPr>
          <w:rFonts w:cs="Times New Roman"/>
          <w:szCs w:val="24"/>
        </w:rPr>
        <w:t>[pers. </w:t>
      </w:r>
      <w:r w:rsidR="00B94B00">
        <w:t>B]</w:t>
      </w:r>
      <w:r>
        <w:rPr>
          <w:rFonts w:cs="Times New Roman"/>
          <w:szCs w:val="24"/>
        </w:rPr>
        <w:t xml:space="preserve"> solidāri cietušās </w:t>
      </w:r>
      <w:proofErr w:type="gramStart"/>
      <w:r w:rsidR="00B94B00">
        <w:rPr>
          <w:rFonts w:cs="Times New Roman"/>
          <w:szCs w:val="24"/>
        </w:rPr>
        <w:t>[</w:t>
      </w:r>
      <w:proofErr w:type="gramEnd"/>
      <w:r w:rsidR="00B94B00">
        <w:rPr>
          <w:rFonts w:cs="Times New Roman"/>
          <w:szCs w:val="24"/>
        </w:rPr>
        <w:t xml:space="preserve">pers. </w:t>
      </w:r>
      <w:r w:rsidR="00B94B00">
        <w:t>C]</w:t>
      </w:r>
      <w:r>
        <w:rPr>
          <w:rFonts w:cs="Times New Roman"/>
          <w:szCs w:val="24"/>
        </w:rPr>
        <w:t xml:space="preserve"> labā piedzīta materiālā kaitējuma kompensācija </w:t>
      </w:r>
      <w:r w:rsidR="003274CC">
        <w:rPr>
          <w:rFonts w:cs="Times New Roman"/>
          <w:szCs w:val="24"/>
        </w:rPr>
        <w:t>[..]</w:t>
      </w:r>
      <w:r>
        <w:rPr>
          <w:rFonts w:cs="Times New Roman"/>
          <w:szCs w:val="24"/>
        </w:rPr>
        <w:t>, pārējā daļā materiālā kaitējuma kompensāciju nenosakot.</w:t>
      </w:r>
    </w:p>
    <w:p w14:paraId="7BF56E90" w14:textId="508ED640"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No </w:t>
      </w:r>
      <w:r w:rsidR="00B94B00">
        <w:rPr>
          <w:rFonts w:cs="Times New Roman"/>
          <w:szCs w:val="24"/>
        </w:rPr>
        <w:t>[pers. </w:t>
      </w:r>
      <w:r w:rsidR="00B94B00">
        <w:t>A]</w:t>
      </w:r>
      <w:r>
        <w:rPr>
          <w:rFonts w:cs="Times New Roman"/>
          <w:szCs w:val="24"/>
        </w:rPr>
        <w:t xml:space="preserve"> un </w:t>
      </w:r>
      <w:r w:rsidR="00B94B00">
        <w:rPr>
          <w:rFonts w:cs="Times New Roman"/>
          <w:szCs w:val="24"/>
        </w:rPr>
        <w:t>[pers. </w:t>
      </w:r>
      <w:r w:rsidR="00B94B00">
        <w:t>B]</w:t>
      </w:r>
      <w:r>
        <w:rPr>
          <w:rFonts w:cs="Times New Roman"/>
          <w:szCs w:val="24"/>
        </w:rPr>
        <w:t xml:space="preserve"> solidāri cietušās </w:t>
      </w:r>
      <w:r w:rsidR="00B94B00">
        <w:rPr>
          <w:rFonts w:cs="Times New Roman"/>
          <w:szCs w:val="24"/>
        </w:rPr>
        <w:t>[pers. </w:t>
      </w:r>
      <w:r w:rsidR="00B94B00">
        <w:t>C]</w:t>
      </w:r>
      <w:r>
        <w:rPr>
          <w:rFonts w:cs="Times New Roman"/>
          <w:szCs w:val="24"/>
        </w:rPr>
        <w:t xml:space="preserve"> labā piedzīta morālā kaitējuma kompensācija </w:t>
      </w:r>
      <w:r w:rsidR="003274CC">
        <w:rPr>
          <w:rFonts w:cs="Times New Roman"/>
          <w:szCs w:val="24"/>
        </w:rPr>
        <w:t>[..]</w:t>
      </w:r>
      <w:r>
        <w:rPr>
          <w:rFonts w:cs="Times New Roman"/>
          <w:szCs w:val="24"/>
        </w:rPr>
        <w:t>, pārējā daļā materiālā kaitējuma kompensāciju nenosakot.</w:t>
      </w:r>
    </w:p>
    <w:p w14:paraId="119F942F" w14:textId="1D3E52FD"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No </w:t>
      </w:r>
      <w:r w:rsidR="00B94B00">
        <w:rPr>
          <w:rFonts w:cs="Times New Roman"/>
          <w:szCs w:val="24"/>
        </w:rPr>
        <w:t>[pers. A]</w:t>
      </w:r>
      <w:r>
        <w:rPr>
          <w:rFonts w:cs="Times New Roman"/>
          <w:szCs w:val="24"/>
        </w:rPr>
        <w:t xml:space="preserve"> un </w:t>
      </w:r>
      <w:r w:rsidR="00B94B00">
        <w:rPr>
          <w:rFonts w:cs="Times New Roman"/>
          <w:szCs w:val="24"/>
        </w:rPr>
        <w:t>[pers. B]</w:t>
      </w:r>
      <w:r>
        <w:rPr>
          <w:rFonts w:cs="Times New Roman"/>
          <w:szCs w:val="24"/>
        </w:rPr>
        <w:t xml:space="preserve"> valsts labā piedzīti procesuālie izdevumi </w:t>
      </w:r>
      <w:r w:rsidR="003274CC">
        <w:rPr>
          <w:rFonts w:cs="Times New Roman"/>
          <w:szCs w:val="24"/>
        </w:rPr>
        <w:t>[..]</w:t>
      </w:r>
      <w:r>
        <w:rPr>
          <w:rFonts w:cs="Times New Roman"/>
          <w:szCs w:val="24"/>
        </w:rPr>
        <w:t xml:space="preserve"> no katra par valsts nodrošinātās juridiskās palīdzības sniegšanu cietušajai </w:t>
      </w:r>
      <w:r w:rsidR="00B94B00">
        <w:rPr>
          <w:rFonts w:cs="Times New Roman"/>
          <w:szCs w:val="24"/>
        </w:rPr>
        <w:t>[pers. C]</w:t>
      </w:r>
      <w:r>
        <w:rPr>
          <w:rFonts w:cs="Times New Roman"/>
          <w:szCs w:val="24"/>
        </w:rPr>
        <w:t xml:space="preserve"> apelācijas instances tiesā. </w:t>
      </w:r>
    </w:p>
    <w:p w14:paraId="32048AF1" w14:textId="77777777" w:rsidR="00B75A2B" w:rsidRDefault="00B75A2B" w:rsidP="00B75A2B">
      <w:pPr>
        <w:tabs>
          <w:tab w:val="left" w:pos="1710"/>
        </w:tabs>
        <w:spacing w:after="0" w:line="276" w:lineRule="auto"/>
        <w:ind w:firstLine="709"/>
        <w:jc w:val="both"/>
        <w:rPr>
          <w:rFonts w:cs="Times New Roman"/>
          <w:szCs w:val="24"/>
        </w:rPr>
      </w:pPr>
    </w:p>
    <w:p w14:paraId="73531E68" w14:textId="44D438DB"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[4] Par </w:t>
      </w:r>
      <w:r w:rsidR="00B94B00">
        <w:rPr>
          <w:rFonts w:cs="Times New Roman"/>
          <w:szCs w:val="24"/>
        </w:rPr>
        <w:t>[..]</w:t>
      </w:r>
      <w:r>
        <w:rPr>
          <w:rFonts w:cs="Times New Roman"/>
          <w:szCs w:val="24"/>
        </w:rPr>
        <w:t xml:space="preserve"> apgabaltiesas </w:t>
      </w:r>
      <w:proofErr w:type="gramStart"/>
      <w:r>
        <w:rPr>
          <w:rFonts w:cs="Times New Roman"/>
          <w:szCs w:val="24"/>
        </w:rPr>
        <w:t>2019.gada</w:t>
      </w:r>
      <w:proofErr w:type="gramEnd"/>
      <w:r>
        <w:rPr>
          <w:rFonts w:cs="Times New Roman"/>
          <w:szCs w:val="24"/>
        </w:rPr>
        <w:t xml:space="preserve"> </w:t>
      </w:r>
      <w:r w:rsidR="00B94B00">
        <w:rPr>
          <w:rFonts w:cs="Times New Roman"/>
          <w:szCs w:val="24"/>
        </w:rPr>
        <w:t>[..]</w:t>
      </w:r>
      <w:r>
        <w:rPr>
          <w:rFonts w:cs="Times New Roman"/>
          <w:szCs w:val="24"/>
        </w:rPr>
        <w:t xml:space="preserve"> spriedumu </w:t>
      </w:r>
      <w:r>
        <w:rPr>
          <w:rFonts w:eastAsia="Times New Roman" w:cs="Times New Roman"/>
          <w:szCs w:val="24"/>
        </w:rPr>
        <w:t xml:space="preserve">apsūdzētā </w:t>
      </w:r>
      <w:r w:rsidR="00B94B00">
        <w:rPr>
          <w:rFonts w:eastAsia="Times New Roman" w:cs="Times New Roman"/>
          <w:szCs w:val="24"/>
        </w:rPr>
        <w:t>[pers. A]</w:t>
      </w:r>
      <w:r>
        <w:rPr>
          <w:rFonts w:eastAsia="Times New Roman" w:cs="Times New Roman"/>
          <w:szCs w:val="24"/>
        </w:rPr>
        <w:t xml:space="preserve"> aizstāvis E. </w:t>
      </w:r>
      <w:proofErr w:type="spellStart"/>
      <w:r>
        <w:rPr>
          <w:rFonts w:eastAsia="Times New Roman" w:cs="Times New Roman"/>
          <w:szCs w:val="24"/>
        </w:rPr>
        <w:t>Rusanovs</w:t>
      </w:r>
      <w:proofErr w:type="spellEnd"/>
      <w:r>
        <w:rPr>
          <w:rFonts w:eastAsia="Times New Roman" w:cs="Times New Roman"/>
          <w:szCs w:val="24"/>
        </w:rPr>
        <w:t xml:space="preserve"> iesniedzis kasācijas sūdzību un tās papildinājumus, lūdzot atcelt </w:t>
      </w:r>
      <w:r w:rsidR="00B94B00">
        <w:rPr>
          <w:rFonts w:eastAsia="Times New Roman" w:cs="Times New Roman"/>
          <w:szCs w:val="24"/>
        </w:rPr>
        <w:t>[..]</w:t>
      </w:r>
      <w:r>
        <w:rPr>
          <w:rFonts w:eastAsia="Times New Roman" w:cs="Times New Roman"/>
          <w:szCs w:val="24"/>
        </w:rPr>
        <w:t xml:space="preserve"> apgabaltiesas 2019.gada </w:t>
      </w:r>
      <w:r w:rsidR="00B94B00">
        <w:rPr>
          <w:rFonts w:eastAsia="Times New Roman" w:cs="Times New Roman"/>
          <w:szCs w:val="24"/>
        </w:rPr>
        <w:t>[..]</w:t>
      </w:r>
      <w:r>
        <w:rPr>
          <w:rFonts w:eastAsia="Times New Roman" w:cs="Times New Roman"/>
          <w:szCs w:val="24"/>
        </w:rPr>
        <w:t xml:space="preserve"> (kasācijas sūdzībā kļūdaini norādīts 2020.gada 2.marta) spriedumu un nosūtīt lietu jaunai izskatīšanai apelācijas instances tiesā. </w:t>
      </w:r>
    </w:p>
    <w:p w14:paraId="56C27A56" w14:textId="77777777" w:rsidR="00B75A2B" w:rsidRDefault="00B75A2B" w:rsidP="00B75A2B">
      <w:pPr>
        <w:spacing w:after="0" w:line="276" w:lineRule="auto"/>
        <w:ind w:firstLine="709"/>
        <w:jc w:val="both"/>
        <w:rPr>
          <w:rFonts w:cs="Times New Roman"/>
          <w:szCs w:val="24"/>
        </w:rPr>
      </w:pPr>
      <w:r>
        <w:rPr>
          <w:rFonts w:cs="Times New Roman"/>
          <w:szCs w:val="24"/>
        </w:rPr>
        <w:t>Kasācijas sūdzībā aizstāvis E. </w:t>
      </w:r>
      <w:proofErr w:type="spellStart"/>
      <w:r>
        <w:rPr>
          <w:rFonts w:cs="Times New Roman"/>
          <w:szCs w:val="24"/>
        </w:rPr>
        <w:t>Rusanovs</w:t>
      </w:r>
      <w:proofErr w:type="spellEnd"/>
      <w:r>
        <w:rPr>
          <w:rFonts w:cs="Times New Roman"/>
          <w:szCs w:val="24"/>
        </w:rPr>
        <w:t xml:space="preserve"> norādījis, ka apelācijas instances tiesa, pieļāvusi Kriminālprocesa likuma pārkāpumus, kas atzīstami par Kriminālprocesa likuma būtiskiem pārkāpumiem šā likuma </w:t>
      </w:r>
      <w:proofErr w:type="gramStart"/>
      <w:r>
        <w:rPr>
          <w:rFonts w:cs="Times New Roman"/>
          <w:szCs w:val="24"/>
        </w:rPr>
        <w:t>575.panta</w:t>
      </w:r>
      <w:proofErr w:type="gramEnd"/>
      <w:r>
        <w:rPr>
          <w:rFonts w:cs="Times New Roman"/>
          <w:szCs w:val="24"/>
        </w:rPr>
        <w:t xml:space="preserve"> trešās daļas izpratnē un nepareizi piemērojusi Krimināllikuma Vispārīgās daļas normu, proti, pieļāvusi Krimināllikuma pārkāpumu Kriminālprocesa likuma 574.panta 1.punkta izpratnē. </w:t>
      </w:r>
    </w:p>
    <w:p w14:paraId="7DDC0723" w14:textId="77777777" w:rsidR="00B75A2B" w:rsidRDefault="00B75A2B" w:rsidP="00B75A2B">
      <w:pPr>
        <w:spacing w:after="0" w:line="276" w:lineRule="auto"/>
        <w:ind w:firstLine="709"/>
        <w:jc w:val="both"/>
        <w:rPr>
          <w:rFonts w:cs="Times New Roman"/>
          <w:szCs w:val="24"/>
        </w:rPr>
      </w:pPr>
      <w:r>
        <w:rPr>
          <w:rFonts w:cs="Times New Roman"/>
          <w:szCs w:val="24"/>
        </w:rPr>
        <w:t>Kasācijas sūdzībā pausto lūgumu aizstāvis pamatojis ar šādiem argumentiem.</w:t>
      </w:r>
    </w:p>
    <w:p w14:paraId="7D0AB802" w14:textId="6D3A564C"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[4.1] Apelācijas instances tiesa, nepamatoti nopratinot cietušo </w:t>
      </w:r>
      <w:r w:rsidR="00B94B00">
        <w:rPr>
          <w:rFonts w:cs="Times New Roman"/>
          <w:szCs w:val="24"/>
        </w:rPr>
        <w:t>[pers. C]</w:t>
      </w:r>
      <w:r>
        <w:rPr>
          <w:rFonts w:cs="Times New Roman"/>
          <w:szCs w:val="24"/>
        </w:rPr>
        <w:t xml:space="preserve"> Kriminālprocesa likuma </w:t>
      </w:r>
      <w:proofErr w:type="gramStart"/>
      <w:r>
        <w:rPr>
          <w:rFonts w:cs="Times New Roman"/>
          <w:szCs w:val="24"/>
        </w:rPr>
        <w:t>153.panta</w:t>
      </w:r>
      <w:proofErr w:type="gramEnd"/>
      <w:r>
        <w:rPr>
          <w:rFonts w:cs="Times New Roman"/>
          <w:szCs w:val="24"/>
        </w:rPr>
        <w:t xml:space="preserve"> otrās daļas kārtībā, pieļāvusi Kriminālprocesa likuma 449.pantā nostiprināto tiesas izmeklēšanas tiešuma un mutiskuma principa pārkāpumu, kā arī Kriminālprocesa likuma 15.pantā nostiprināto tiesību uz taisnīgu tiesu principa pārkāpumu.</w:t>
      </w:r>
    </w:p>
    <w:p w14:paraId="1F420CF4" w14:textId="21148743"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Tiesa, balstoties uz nepamatotu </w:t>
      </w:r>
      <w:proofErr w:type="gramStart"/>
      <w:r>
        <w:rPr>
          <w:rFonts w:cs="Times New Roman"/>
          <w:szCs w:val="24"/>
        </w:rPr>
        <w:t>2018.gada</w:t>
      </w:r>
      <w:proofErr w:type="gramEnd"/>
      <w:r>
        <w:rPr>
          <w:rFonts w:cs="Times New Roman"/>
          <w:szCs w:val="24"/>
        </w:rPr>
        <w:t xml:space="preserve"> </w:t>
      </w:r>
      <w:r w:rsidR="00B94B00">
        <w:rPr>
          <w:rFonts w:cs="Times New Roman"/>
          <w:szCs w:val="24"/>
        </w:rPr>
        <w:t>[..]</w:t>
      </w:r>
      <w:r>
        <w:rPr>
          <w:rFonts w:cs="Times New Roman"/>
          <w:szCs w:val="24"/>
        </w:rPr>
        <w:t xml:space="preserve"> papildu ambulatorās kompleksās tiesu psihiatriskās-tiesu psiholoģiskās ekspertīzes atzinumu, nepamatoti uz pilngadīgu personu attiecinājusi Kriminālprocesa likuma 153.pantā reglamentēto nopratināšanas procesuālo kārtību, kā arī nepamatoti noraidījusi aizstāvības lūgumu par atkārtotas kompleksās tiesu psihiatriskās-tiesu psiholoģiskās ekspertīzes noteikšanu cietušajai.</w:t>
      </w:r>
    </w:p>
    <w:p w14:paraId="43F7B998" w14:textId="77DF84D4"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Turklāt, apelācijas instances tiesa ir izslēgusi no pirmās instances tiesas spriedumā sniegtā noziedzīgo nodarījumu apraksta kvalificējošo pazīmi, ka izvarošana un dzimumtieksmes apmierināšana pretdabiskā veidā izdarīta ar nepilngadīgu personu, tomēr attiecinājusi Kriminālprocesa likuma </w:t>
      </w:r>
      <w:proofErr w:type="gramStart"/>
      <w:r>
        <w:rPr>
          <w:rFonts w:cs="Times New Roman"/>
          <w:szCs w:val="24"/>
        </w:rPr>
        <w:t>153.pantā</w:t>
      </w:r>
      <w:proofErr w:type="gramEnd"/>
      <w:r>
        <w:rPr>
          <w:rFonts w:cs="Times New Roman"/>
          <w:szCs w:val="24"/>
        </w:rPr>
        <w:t xml:space="preserve"> reglamentēto nepilngadīgās personas pratināšanu ar psihologa starpniecību uz cietušo </w:t>
      </w:r>
      <w:r w:rsidR="00B94B00">
        <w:rPr>
          <w:rFonts w:cs="Times New Roman"/>
          <w:szCs w:val="24"/>
        </w:rPr>
        <w:t>[pers. C]</w:t>
      </w:r>
      <w:r>
        <w:rPr>
          <w:rFonts w:cs="Times New Roman"/>
          <w:szCs w:val="24"/>
        </w:rPr>
        <w:t xml:space="preserve">, kas uz lietas iztiesāšanas brīdi jau bija pilngadīga. Tādējādi tiesa liegusi aizstāvībai tiesības pilnvērtīgi nopratināt cietušo, kas </w:t>
      </w:r>
      <w:r>
        <w:rPr>
          <w:rFonts w:cs="Times New Roman"/>
          <w:szCs w:val="24"/>
        </w:rPr>
        <w:lastRenderedPageBreak/>
        <w:t>noveda pie Kriminālprocesa likuma 15.pantā noteiktā apsūdzētā tiesību uz taisnīgu tiesu pārkāpuma.</w:t>
      </w:r>
    </w:p>
    <w:p w14:paraId="1197C49A" w14:textId="7777777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Pretēji Kriminālprocesa likuma </w:t>
      </w:r>
      <w:proofErr w:type="gramStart"/>
      <w:r>
        <w:rPr>
          <w:rFonts w:cs="Times New Roman"/>
          <w:szCs w:val="24"/>
        </w:rPr>
        <w:t>153.panta</w:t>
      </w:r>
      <w:proofErr w:type="gramEnd"/>
      <w:r>
        <w:rPr>
          <w:rFonts w:cs="Times New Roman"/>
          <w:szCs w:val="24"/>
        </w:rPr>
        <w:t xml:space="preserve"> otrās daļas prasībām, procesa dalībniekiem nebija iespēja dzirdēt, redzēt cietušo un uztvert tās neverbālās reakcijas uz uzdotajiem jautājumiem. Turklāt psiholoģe, kas piedalījās pratināšanā, nemitīgi iejaucās tajā, tādējādi nepieļaujami uzņemoties tiesas funkcijas. Laika ierobežojums cietušās pratināšanai liedza iespēju visiem procesa dalībniekiem uzdot visus nepieciešamos jautājumus par lietas būtību.</w:t>
      </w:r>
    </w:p>
    <w:p w14:paraId="065E0D42" w14:textId="77777777"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[4.2] Apelācijas instances tiesa pārkāpusi Eiropas kriminālprocesa doktrīnas pamatprincipus, respektīvi, demokrātiskas valsts varas dalīšanas principu, jo nepamatoti piešķīrusi pierādījuma nozīmi pirmstiesas kriminālprocesā sniegtajām cietušās liecībām, tādējādi policijas funkcijas veicošās iestādes izdarītās izmeklēšanas rezultātus pielīdzinot tiesas izmeklēšanas rezultātiem. </w:t>
      </w:r>
    </w:p>
    <w:p w14:paraId="612F5120" w14:textId="21437B01" w:rsidR="00B75A2B" w:rsidRDefault="00B75A2B" w:rsidP="00B75A2B">
      <w:pPr>
        <w:tabs>
          <w:tab w:val="left" w:pos="1710"/>
        </w:tabs>
        <w:spacing w:after="0" w:line="276" w:lineRule="auto"/>
        <w:ind w:firstLine="709"/>
        <w:jc w:val="both"/>
        <w:rPr>
          <w:rFonts w:cs="Times New Roman"/>
          <w:szCs w:val="24"/>
        </w:rPr>
      </w:pPr>
      <w:r>
        <w:rPr>
          <w:rFonts w:cs="Times New Roman"/>
          <w:szCs w:val="24"/>
        </w:rPr>
        <w:t xml:space="preserve">Cietusī apelācijas instances tiesā sniedza izvairīgas un pretrunīgas liecības. Tiesa tās nav izvērtējusi kopumā un savstarpējā sakarībā ar citiem faktiem, tādējādi pārkāpusi Kriminālprocesa likuma </w:t>
      </w:r>
      <w:proofErr w:type="gramStart"/>
      <w:r>
        <w:rPr>
          <w:rFonts w:cs="Times New Roman"/>
          <w:szCs w:val="24"/>
        </w:rPr>
        <w:t>128.panta</w:t>
      </w:r>
      <w:proofErr w:type="gramEnd"/>
      <w:r>
        <w:rPr>
          <w:rFonts w:cs="Times New Roman"/>
          <w:szCs w:val="24"/>
        </w:rPr>
        <w:t xml:space="preserve"> otro daļu. Lai apelācijas instances tiesa varētu pārbaudīt pirmstiesas kriminālprocesā sniegtās liecības, kuras iepriekš bija pārbaudījusi pirmās instances tiesa, liecinošās personas bija jāaicina atkārtoti. Lai arī cietusī tika uzaicināta sniegt liecības, tā nevarēja nedz apstiprināt, nedz noliegt savas pirmstiesas izmeklēšanā sniegtās liecības. Turklāt cietušās </w:t>
      </w:r>
      <w:r w:rsidR="00B94B00">
        <w:rPr>
          <w:rFonts w:cs="Times New Roman"/>
          <w:szCs w:val="24"/>
        </w:rPr>
        <w:t>[pers. C]</w:t>
      </w:r>
      <w:r>
        <w:rPr>
          <w:rFonts w:cs="Times New Roman"/>
          <w:szCs w:val="24"/>
        </w:rPr>
        <w:t xml:space="preserve"> pirmstiesas procesā sniegtās liecības</w:t>
      </w:r>
      <w:r w:rsidRPr="00A54A23">
        <w:rPr>
          <w:rFonts w:cs="Times New Roman"/>
          <w:szCs w:val="24"/>
        </w:rPr>
        <w:t xml:space="preserve"> </w:t>
      </w:r>
      <w:r>
        <w:rPr>
          <w:rFonts w:cs="Times New Roman"/>
          <w:szCs w:val="24"/>
        </w:rPr>
        <w:t>apelācijas instances tiesā</w:t>
      </w:r>
      <w:r w:rsidRPr="009526C4">
        <w:rPr>
          <w:rFonts w:cs="Times New Roman"/>
          <w:szCs w:val="24"/>
        </w:rPr>
        <w:t xml:space="preserve"> </w:t>
      </w:r>
      <w:r>
        <w:rPr>
          <w:rFonts w:cs="Times New Roman"/>
          <w:szCs w:val="24"/>
        </w:rPr>
        <w:t xml:space="preserve">netika nolasītas, proti, tās netika pārbaudītas, tādējādi tiesa pārkāpusi Kriminālprocesa likuma </w:t>
      </w:r>
      <w:proofErr w:type="gramStart"/>
      <w:r>
        <w:rPr>
          <w:rFonts w:cs="Times New Roman"/>
          <w:szCs w:val="24"/>
        </w:rPr>
        <w:t>511.panta</w:t>
      </w:r>
      <w:proofErr w:type="gramEnd"/>
      <w:r>
        <w:rPr>
          <w:rFonts w:cs="Times New Roman"/>
          <w:szCs w:val="24"/>
        </w:rPr>
        <w:t xml:space="preserve"> otro daļu un 512.panta otro daļu. </w:t>
      </w:r>
    </w:p>
    <w:p w14:paraId="6F4822A5" w14:textId="77777777" w:rsidR="00B75A2B" w:rsidRDefault="00B75A2B" w:rsidP="00B75A2B">
      <w:pPr>
        <w:spacing w:after="0" w:line="276" w:lineRule="auto"/>
        <w:ind w:firstLine="709"/>
        <w:jc w:val="both"/>
        <w:rPr>
          <w:rFonts w:cs="Times New Roman"/>
          <w:szCs w:val="24"/>
        </w:rPr>
      </w:pPr>
      <w:r>
        <w:rPr>
          <w:rFonts w:cs="Times New Roman"/>
          <w:szCs w:val="24"/>
        </w:rPr>
        <w:t xml:space="preserve">Gan pirmās instances tiesa, gan apelācijas instances tiesa cietušās liecības nav izvērtējusi atbilstoši Eiropas Cilvēktiesību tiesas praksē paustajām atziņām par tiesībām uz taisnīgu tiesu gadījumos, kad apsūdzētajam nav bijušas iespējas nopratināt cietušo, kā arī Kriminālprocesa likuma 128. un </w:t>
      </w:r>
      <w:proofErr w:type="gramStart"/>
      <w:r>
        <w:rPr>
          <w:rFonts w:cs="Times New Roman"/>
          <w:szCs w:val="24"/>
        </w:rPr>
        <w:t>130.panta</w:t>
      </w:r>
      <w:proofErr w:type="gramEnd"/>
      <w:r>
        <w:rPr>
          <w:rFonts w:cs="Times New Roman"/>
          <w:szCs w:val="24"/>
        </w:rPr>
        <w:t xml:space="preserve"> nosacījumiem.</w:t>
      </w:r>
    </w:p>
    <w:p w14:paraId="3D6614F8" w14:textId="7FAED195" w:rsidR="00B75A2B" w:rsidRDefault="00B75A2B" w:rsidP="00B75A2B">
      <w:pPr>
        <w:spacing w:after="0" w:line="276" w:lineRule="auto"/>
        <w:ind w:firstLine="709"/>
        <w:jc w:val="both"/>
        <w:rPr>
          <w:rFonts w:cs="Times New Roman"/>
          <w:szCs w:val="24"/>
        </w:rPr>
      </w:pPr>
      <w:r>
        <w:rPr>
          <w:rFonts w:cs="Times New Roman"/>
          <w:szCs w:val="24"/>
        </w:rPr>
        <w:t xml:space="preserve">[4.3] Lietā esošie pierādījumi rada saprātīgas šaubas par to vai pret cietušo apsūdzētais </w:t>
      </w:r>
      <w:r w:rsidR="00B94B00">
        <w:rPr>
          <w:rFonts w:cs="Times New Roman"/>
          <w:szCs w:val="24"/>
        </w:rPr>
        <w:t>[pers. B]</w:t>
      </w:r>
      <w:r>
        <w:rPr>
          <w:rFonts w:cs="Times New Roman"/>
          <w:szCs w:val="24"/>
        </w:rPr>
        <w:t xml:space="preserve"> un jebkura cita persona veica darbības, kas varētu tikt nodēvētas par seksuālu vardarbību jebkādā no tās formām, un, vai </w:t>
      </w:r>
      <w:r w:rsidR="00B94B00">
        <w:rPr>
          <w:rFonts w:cs="Times New Roman"/>
          <w:szCs w:val="24"/>
        </w:rPr>
        <w:t>[pers. A]</w:t>
      </w:r>
      <w:r>
        <w:rPr>
          <w:rFonts w:cs="Times New Roman"/>
          <w:szCs w:val="24"/>
        </w:rPr>
        <w:t xml:space="preserve"> patiešām, ir tā persona, kura minētajā laikā atradās kopā ar </w:t>
      </w:r>
      <w:r w:rsidR="00B94B00">
        <w:rPr>
          <w:rFonts w:cs="Times New Roman"/>
          <w:szCs w:val="24"/>
        </w:rPr>
        <w:t>[pers. </w:t>
      </w:r>
      <w:r w:rsidR="00B94B00">
        <w:t>B]</w:t>
      </w:r>
      <w:r>
        <w:rPr>
          <w:rFonts w:cs="Times New Roman"/>
          <w:szCs w:val="24"/>
        </w:rPr>
        <w:t xml:space="preserve"> un cietušo </w:t>
      </w:r>
      <w:r w:rsidR="00B94B00">
        <w:rPr>
          <w:rFonts w:cs="Times New Roman"/>
          <w:szCs w:val="24"/>
        </w:rPr>
        <w:t>[pers. C]</w:t>
      </w:r>
      <w:r>
        <w:rPr>
          <w:rFonts w:cs="Times New Roman"/>
          <w:szCs w:val="24"/>
        </w:rPr>
        <w:t>. Apelācijas instances tiesa nav izvērtējusi iespējamo izvarošanas inscenēšanas iespējamību. Tādējādi tiesa, taisot spriedumu, pārkāpusi Kriminālprocesa likuma 124.panta piekto daļu.</w:t>
      </w:r>
    </w:p>
    <w:p w14:paraId="103F3FD8" w14:textId="68E7BAF1" w:rsidR="00B75A2B" w:rsidRDefault="00B75A2B" w:rsidP="00B75A2B">
      <w:pPr>
        <w:spacing w:after="0" w:line="276" w:lineRule="auto"/>
        <w:ind w:firstLine="709"/>
        <w:jc w:val="both"/>
        <w:rPr>
          <w:rFonts w:cs="Times New Roman"/>
          <w:szCs w:val="24"/>
        </w:rPr>
      </w:pPr>
      <w:r>
        <w:rPr>
          <w:rFonts w:cs="Times New Roman"/>
          <w:szCs w:val="24"/>
        </w:rPr>
        <w:t xml:space="preserve">Ņemot vērā, ka cietušās liecības par notikumiem </w:t>
      </w:r>
      <w:proofErr w:type="gramStart"/>
      <w:r>
        <w:rPr>
          <w:rFonts w:cs="Times New Roman"/>
          <w:szCs w:val="24"/>
        </w:rPr>
        <w:t>2005.</w:t>
      </w:r>
      <w:r w:rsidRPr="004D6BB4">
        <w:rPr>
          <w:rFonts w:cs="Times New Roman"/>
          <w:szCs w:val="24"/>
        </w:rPr>
        <w:t>gada</w:t>
      </w:r>
      <w:proofErr w:type="gramEnd"/>
      <w:r w:rsidRPr="004D6BB4">
        <w:rPr>
          <w:rFonts w:cs="Times New Roman"/>
          <w:szCs w:val="24"/>
        </w:rPr>
        <w:t xml:space="preserve"> </w:t>
      </w:r>
      <w:r w:rsidR="00B94B00" w:rsidRPr="004D6BB4">
        <w:rPr>
          <w:rFonts w:cs="Times New Roman"/>
          <w:szCs w:val="24"/>
        </w:rPr>
        <w:t>[datums]</w:t>
      </w:r>
      <w:r w:rsidRPr="004D6BB4">
        <w:rPr>
          <w:rFonts w:cs="Times New Roman"/>
          <w:szCs w:val="24"/>
        </w:rPr>
        <w:t xml:space="preserve"> līdz </w:t>
      </w:r>
      <w:r w:rsidR="00B94B00" w:rsidRPr="004D6BB4">
        <w:rPr>
          <w:rFonts w:cs="Times New Roman"/>
          <w:szCs w:val="24"/>
        </w:rPr>
        <w:t>[datums]</w:t>
      </w:r>
      <w:r w:rsidRPr="004D6BB4">
        <w:rPr>
          <w:rFonts w:cs="Times New Roman"/>
          <w:szCs w:val="24"/>
        </w:rPr>
        <w:t xml:space="preserve"> bija</w:t>
      </w:r>
      <w:r>
        <w:rPr>
          <w:rFonts w:cs="Times New Roman"/>
          <w:szCs w:val="24"/>
        </w:rPr>
        <w:t xml:space="preserve"> savstarpēji pretrunīgas un savstarpēji izslēdzošas, tiesām, atbilstoši Kriminālprocesa likuma 127.panta otrajā daļā noteiktajam bija jāizvērtē to ticamība, ko tiesas nav izdarījušas, tādējādi pārkāpušas Kriminālprocesa likuma 128.pantu un 564.panta ceturto daļu.</w:t>
      </w:r>
    </w:p>
    <w:p w14:paraId="6580FB76" w14:textId="462A7A04" w:rsidR="00B75A2B" w:rsidRDefault="00B75A2B" w:rsidP="00B75A2B">
      <w:pPr>
        <w:spacing w:after="0" w:line="276" w:lineRule="auto"/>
        <w:ind w:firstLine="709"/>
        <w:jc w:val="both"/>
        <w:rPr>
          <w:rFonts w:cs="Times New Roman"/>
          <w:szCs w:val="24"/>
        </w:rPr>
      </w:pPr>
      <w:r>
        <w:rPr>
          <w:rFonts w:cs="Times New Roman"/>
          <w:szCs w:val="24"/>
        </w:rPr>
        <w:t xml:space="preserve">[4.4] Abu instanču tiesas nekonsekventi novērtējušas apsūdzētā </w:t>
      </w:r>
      <w:r w:rsidR="00151366">
        <w:rPr>
          <w:rFonts w:cs="Times New Roman"/>
          <w:szCs w:val="24"/>
        </w:rPr>
        <w:t>[pers. B]</w:t>
      </w:r>
      <w:r>
        <w:rPr>
          <w:rFonts w:cs="Times New Roman"/>
          <w:szCs w:val="24"/>
        </w:rPr>
        <w:t xml:space="preserve"> liecību par </w:t>
      </w:r>
      <w:r w:rsidR="00151366">
        <w:rPr>
          <w:rFonts w:cs="Times New Roman"/>
          <w:szCs w:val="24"/>
        </w:rPr>
        <w:t>[pers. A]</w:t>
      </w:r>
      <w:r>
        <w:rPr>
          <w:rFonts w:cs="Times New Roman"/>
          <w:szCs w:val="24"/>
        </w:rPr>
        <w:t xml:space="preserve"> dalību konkrētajā nodarījumā ticamību. Apelācijas instances tiesa nav pietiekami izvērtējusi aizstāvja apelācijas sūdzības argumentus par to, ka apsūdzēto liecības par citu </w:t>
      </w:r>
      <w:proofErr w:type="spellStart"/>
      <w:r>
        <w:rPr>
          <w:rFonts w:cs="Times New Roman"/>
          <w:szCs w:val="24"/>
        </w:rPr>
        <w:t>līdzapsūdzēto</w:t>
      </w:r>
      <w:proofErr w:type="spellEnd"/>
      <w:r>
        <w:rPr>
          <w:rFonts w:cs="Times New Roman"/>
          <w:szCs w:val="24"/>
        </w:rPr>
        <w:t xml:space="preserve"> lomu paša izdarītajā noziedzīgajā nodarījumā ir vērtējamas īpaši kritiski, ievērojot katra apsūdzētā ieinteresētību lietas iznākumā.</w:t>
      </w:r>
    </w:p>
    <w:p w14:paraId="203BCE56" w14:textId="7156544C" w:rsidR="00B75A2B" w:rsidRDefault="00B75A2B" w:rsidP="00B75A2B">
      <w:pPr>
        <w:spacing w:after="0" w:line="276" w:lineRule="auto"/>
        <w:ind w:firstLine="709"/>
        <w:jc w:val="both"/>
        <w:rPr>
          <w:rFonts w:cs="Times New Roman"/>
          <w:szCs w:val="24"/>
        </w:rPr>
      </w:pPr>
      <w:r>
        <w:rPr>
          <w:rFonts w:cs="Times New Roman"/>
          <w:szCs w:val="24"/>
        </w:rPr>
        <w:t xml:space="preserve">[4.5] Apelācijas instances tiesa, atstājot negrozītu pirmās instances tiesas spriedumu par apsūdzēto vainu viņiem celtajā apsūdzībā, ignorējusi aizstāvja apelācijas sūdzības argumentus un spriedumā nav vērtējusi, vai cietusī </w:t>
      </w:r>
      <w:r w:rsidR="00151366">
        <w:rPr>
          <w:rFonts w:cs="Times New Roman"/>
          <w:szCs w:val="24"/>
        </w:rPr>
        <w:t>[pers. C]</w:t>
      </w:r>
      <w:r>
        <w:rPr>
          <w:rFonts w:cs="Times New Roman"/>
          <w:szCs w:val="24"/>
        </w:rPr>
        <w:t xml:space="preserve"> bija apsūdzētajām personām pateikusi „nē”, un, ja arī cietusī bija teikusi „nē”, vai apsūdzētie izprata, un vai viņi konkrētajos apstākļos varēja izprast, ka </w:t>
      </w:r>
      <w:r w:rsidR="00151366">
        <w:rPr>
          <w:rFonts w:cs="Times New Roman"/>
          <w:szCs w:val="24"/>
        </w:rPr>
        <w:t>[pers. C]</w:t>
      </w:r>
      <w:r>
        <w:rPr>
          <w:rFonts w:cs="Times New Roman"/>
          <w:szCs w:val="24"/>
        </w:rPr>
        <w:t xml:space="preserve"> nevēlējās dzimumattiecības. Tādējādi apelācijas instances tiesa pieļāvusi Kriminālprocesa likuma 128.panta otrās daļas un 564.panta ceturtās daļas pārkāpumu.</w:t>
      </w:r>
    </w:p>
    <w:p w14:paraId="3167855F" w14:textId="77777777" w:rsidR="00B75A2B" w:rsidRDefault="00B75A2B" w:rsidP="00B75A2B">
      <w:pPr>
        <w:spacing w:after="0" w:line="276" w:lineRule="auto"/>
        <w:ind w:firstLine="709"/>
        <w:jc w:val="both"/>
        <w:rPr>
          <w:rFonts w:cs="Times New Roman"/>
          <w:szCs w:val="24"/>
        </w:rPr>
      </w:pPr>
      <w:r>
        <w:rPr>
          <w:rFonts w:cs="Times New Roman"/>
          <w:szCs w:val="24"/>
        </w:rPr>
        <w:t xml:space="preserve">[4.6] Apelācijas instances tiesa taisījusi pretrunīgu spriedumu, tādējādi pārkāpusi Kriminālprocesa likuma </w:t>
      </w:r>
      <w:proofErr w:type="gramStart"/>
      <w:r>
        <w:rPr>
          <w:rFonts w:cs="Times New Roman"/>
          <w:szCs w:val="24"/>
        </w:rPr>
        <w:t>511.panta</w:t>
      </w:r>
      <w:proofErr w:type="gramEnd"/>
      <w:r>
        <w:rPr>
          <w:rFonts w:cs="Times New Roman"/>
          <w:szCs w:val="24"/>
        </w:rPr>
        <w:t xml:space="preserve"> otrās daļas un 564.panta astotās daļas prasības.</w:t>
      </w:r>
    </w:p>
    <w:p w14:paraId="6B7455F7" w14:textId="77777777" w:rsidR="00B75A2B" w:rsidRDefault="00B75A2B" w:rsidP="00B75A2B">
      <w:pPr>
        <w:spacing w:after="0" w:line="276" w:lineRule="auto"/>
        <w:ind w:firstLine="709"/>
        <w:jc w:val="both"/>
        <w:rPr>
          <w:rFonts w:cs="Times New Roman"/>
          <w:szCs w:val="24"/>
        </w:rPr>
      </w:pPr>
      <w:r>
        <w:rPr>
          <w:rFonts w:cs="Times New Roman"/>
          <w:szCs w:val="24"/>
        </w:rPr>
        <w:t xml:space="preserve">Apelācijas instances tiesa, spriedumā nepareizi izklāstījusi pārsūdzētā nolēmuma būtību, norādot, ka pirmās instances tiesa it kā nebija apsūdzētajiem inkriminējusi Krimināllikuma </w:t>
      </w:r>
      <w:proofErr w:type="gramStart"/>
      <w:r>
        <w:rPr>
          <w:rFonts w:cs="Times New Roman"/>
          <w:szCs w:val="24"/>
        </w:rPr>
        <w:t>159.panta</w:t>
      </w:r>
      <w:proofErr w:type="gramEnd"/>
      <w:r>
        <w:rPr>
          <w:rFonts w:cs="Times New Roman"/>
          <w:szCs w:val="24"/>
        </w:rPr>
        <w:t xml:space="preserve"> otrajā daļā paredzētā noziedzīgā nodarījuma kvalificējošo pazīmi – nepilngadīgā izvarošana. Tajā pašā laikā apelācijas instances tiesa atzinusi, ka nav apstiprinājies fakts, ka apsūdzētie subjektīvi zināja, ka cietusī ir nepilngadīga, tādēļ no noziedzīgā nodarījuma apraksta izslēgusi kvalificējošo pazīmi, ka izvarošana un dzimumtieksmes apmierināšana pretdabiskā veidā izdarīta ar nepilngadīgu personu.</w:t>
      </w:r>
    </w:p>
    <w:p w14:paraId="6912D75E" w14:textId="77777777" w:rsidR="00B75A2B" w:rsidRDefault="00B75A2B" w:rsidP="00B75A2B">
      <w:pPr>
        <w:spacing w:after="0" w:line="276" w:lineRule="auto"/>
        <w:ind w:firstLine="709"/>
        <w:jc w:val="both"/>
        <w:rPr>
          <w:rFonts w:cs="Times New Roman"/>
          <w:szCs w:val="24"/>
        </w:rPr>
      </w:pPr>
      <w:r>
        <w:rPr>
          <w:rFonts w:cs="Times New Roman"/>
          <w:szCs w:val="24"/>
        </w:rPr>
        <w:t xml:space="preserve">Turklāt šādos apstākļos tiesai saskaņā ar Kriminālprocesa likuma </w:t>
      </w:r>
      <w:proofErr w:type="gramStart"/>
      <w:r>
        <w:rPr>
          <w:rFonts w:cs="Times New Roman"/>
          <w:szCs w:val="24"/>
        </w:rPr>
        <w:t>564.panta</w:t>
      </w:r>
      <w:proofErr w:type="gramEnd"/>
      <w:r>
        <w:rPr>
          <w:rFonts w:cs="Times New Roman"/>
          <w:szCs w:val="24"/>
        </w:rPr>
        <w:t xml:space="preserve"> astoto daļu bija jātaisa jaunu spriedumu, kura aprakstošajai un motīvu daļai jāatbilst prasībām, kādas šajā likumā noteiktas pirmās instances tiesas spriedumam. Apelācijas instances tiesa minētās prasības nav ievērojusi. Tiesas atzinums, ka, izslēdzot kvalificējošo pazīmi nemainās noziedzīgā nodarījuma faktiskie apstākļi un kvalifikācija, tādēļ nav nepieciešams sniegt jaunu noziedzīgā nodarījuma aprakstu, ir nepamatots, jo kvalificējošās pazīmes izslēgšana no apsūdzības būtiski maina apsūdzību kopumā. Turklāt sprieduma rezolutīvā daļa, no kuras izriet, ka pirmās instances tiesas spriedums daļā par apsūdzētā vainīgumu viņam inkriminētajā noziedzīgajā nodarījumā atstāts negrozīts, ir pretrunā ar sprieduma motīvu daļu.</w:t>
      </w:r>
    </w:p>
    <w:p w14:paraId="12DD2E0F" w14:textId="77777777" w:rsidR="00B75A2B" w:rsidRDefault="00B75A2B" w:rsidP="00B75A2B">
      <w:pPr>
        <w:spacing w:after="0" w:line="276" w:lineRule="auto"/>
        <w:ind w:firstLine="709"/>
        <w:jc w:val="both"/>
        <w:rPr>
          <w:rFonts w:cs="Times New Roman"/>
          <w:bCs/>
          <w:szCs w:val="24"/>
        </w:rPr>
      </w:pPr>
      <w:r w:rsidRPr="00E93A4F">
        <w:rPr>
          <w:rFonts w:cs="Times New Roman"/>
          <w:bCs/>
          <w:szCs w:val="24"/>
        </w:rPr>
        <w:t>[</w:t>
      </w:r>
      <w:r>
        <w:rPr>
          <w:rFonts w:cs="Times New Roman"/>
          <w:bCs/>
          <w:szCs w:val="24"/>
        </w:rPr>
        <w:t>4</w:t>
      </w:r>
      <w:r w:rsidRPr="00E93A4F">
        <w:rPr>
          <w:rFonts w:cs="Times New Roman"/>
          <w:bCs/>
          <w:szCs w:val="24"/>
        </w:rPr>
        <w:t xml:space="preserve">.7] </w:t>
      </w:r>
      <w:r>
        <w:rPr>
          <w:rFonts w:cs="Times New Roman"/>
          <w:bCs/>
          <w:szCs w:val="24"/>
        </w:rPr>
        <w:t xml:space="preserve">Noraidot aizstāvja lūgumu par atkārtotu kompleksās tiesu psihiatriskās-tiesu psiholoģiskās ekspertīzes noteikšanu un tādējādi liedzot aizstāvim iesniegt pierādījumus, kuriem ir būtiska nozīme lietas taisnīgā izspriešanā, apelācijas instances tiesa ir pārkāpusi Kriminālprocesa likuma </w:t>
      </w:r>
      <w:proofErr w:type="gramStart"/>
      <w:r>
        <w:rPr>
          <w:rFonts w:cs="Times New Roman"/>
          <w:bCs/>
          <w:szCs w:val="24"/>
        </w:rPr>
        <w:t>15.pantu</w:t>
      </w:r>
      <w:proofErr w:type="gramEnd"/>
      <w:r>
        <w:rPr>
          <w:rFonts w:cs="Times New Roman"/>
          <w:bCs/>
          <w:szCs w:val="24"/>
        </w:rPr>
        <w:t xml:space="preserve"> un 455.panta pirmo daļu.</w:t>
      </w:r>
    </w:p>
    <w:p w14:paraId="4A3CA10F" w14:textId="6822143C" w:rsidR="00B75A2B" w:rsidRDefault="00B75A2B" w:rsidP="00B75A2B">
      <w:pPr>
        <w:spacing w:after="0" w:line="276" w:lineRule="auto"/>
        <w:ind w:firstLine="709"/>
        <w:jc w:val="both"/>
        <w:rPr>
          <w:rFonts w:cs="Times New Roman"/>
          <w:bCs/>
          <w:szCs w:val="24"/>
        </w:rPr>
      </w:pPr>
      <w:r>
        <w:rPr>
          <w:rFonts w:cs="Times New Roman"/>
          <w:bCs/>
          <w:szCs w:val="24"/>
        </w:rPr>
        <w:t xml:space="preserve">[4.8] Apelācijas instances tiesa, atzīstot par nepierādītu apstākli, ka apsūdzētie no subjektīvās puses zināja, ka cietusī ir nepilngadīga, kuru kā noziedzīgā nodarījuma sastāva kvalificējošu pazīmi bija konstatējusi pirmās instances tiesa, un vienlaikus nemīkstinot apsūdzētajam </w:t>
      </w:r>
      <w:r w:rsidR="00151366">
        <w:rPr>
          <w:rFonts w:cs="Times New Roman"/>
          <w:bCs/>
          <w:szCs w:val="24"/>
        </w:rPr>
        <w:t>[pers. A]</w:t>
      </w:r>
      <w:r>
        <w:rPr>
          <w:rFonts w:cs="Times New Roman"/>
          <w:bCs/>
          <w:szCs w:val="24"/>
        </w:rPr>
        <w:t xml:space="preserve"> piemērotā soda veidu un mēru, nav ievērojusi Krimināllikuma 46.panta nosacījumus, tādējādi pieļāvusi Krimināllikuma pārkāpumu.</w:t>
      </w:r>
    </w:p>
    <w:p w14:paraId="12FB8B5A" w14:textId="5BC8102C" w:rsidR="00B75A2B" w:rsidRDefault="00B75A2B" w:rsidP="00B75A2B">
      <w:pPr>
        <w:spacing w:after="0" w:line="276" w:lineRule="auto"/>
        <w:ind w:firstLine="709"/>
        <w:jc w:val="both"/>
        <w:rPr>
          <w:rFonts w:cs="Times New Roman"/>
          <w:bCs/>
          <w:szCs w:val="24"/>
        </w:rPr>
      </w:pPr>
      <w:r>
        <w:rPr>
          <w:rFonts w:cs="Times New Roman"/>
          <w:bCs/>
          <w:szCs w:val="24"/>
        </w:rPr>
        <w:t xml:space="preserve">[4.9] Atzīstot, ka ar pirmās instances tiesas spriedumu apsūdzētajam </w:t>
      </w:r>
      <w:r w:rsidR="00151366">
        <w:rPr>
          <w:rFonts w:cs="Times New Roman"/>
          <w:bCs/>
          <w:szCs w:val="24"/>
        </w:rPr>
        <w:t>[pers. A]</w:t>
      </w:r>
      <w:r>
        <w:rPr>
          <w:rFonts w:cs="Times New Roman"/>
          <w:bCs/>
          <w:szCs w:val="24"/>
        </w:rPr>
        <w:t xml:space="preserve"> tika noteikts pārlieku mīksts sods, bet vienlaicīgi nolemjot, nepiemērot Krimināllikuma </w:t>
      </w:r>
      <w:proofErr w:type="gramStart"/>
      <w:r>
        <w:rPr>
          <w:rFonts w:cs="Times New Roman"/>
          <w:bCs/>
          <w:szCs w:val="24"/>
        </w:rPr>
        <w:t>55.panta</w:t>
      </w:r>
      <w:proofErr w:type="gramEnd"/>
      <w:r>
        <w:rPr>
          <w:rFonts w:cs="Times New Roman"/>
          <w:bCs/>
          <w:szCs w:val="24"/>
        </w:rPr>
        <w:t xml:space="preserve"> nosacījumus un atstāt negrozītu pirmās instance tiesas spriedumu daļā par apsūdzētajam </w:t>
      </w:r>
      <w:r w:rsidR="00151366">
        <w:rPr>
          <w:rFonts w:cs="Times New Roman"/>
          <w:bCs/>
          <w:szCs w:val="24"/>
        </w:rPr>
        <w:t>[pers. A]</w:t>
      </w:r>
      <w:r>
        <w:rPr>
          <w:rFonts w:cs="Times New Roman"/>
          <w:bCs/>
          <w:szCs w:val="24"/>
        </w:rPr>
        <w:t xml:space="preserve"> noteiktā soda veidu un mēru, apelācijas instances tiesa nepareizi piemērojusi Krimināllikuma 46. un 55.pantu. Apelācijas protestā prokurors, norādot uz </w:t>
      </w:r>
      <w:r w:rsidR="00151366">
        <w:rPr>
          <w:rFonts w:cs="Times New Roman"/>
          <w:bCs/>
          <w:szCs w:val="24"/>
        </w:rPr>
        <w:t>[pers. A]</w:t>
      </w:r>
      <w:r>
        <w:rPr>
          <w:rFonts w:cs="Times New Roman"/>
          <w:bCs/>
          <w:szCs w:val="24"/>
        </w:rPr>
        <w:t xml:space="preserve"> piemērotā soda mīkstumu, nebija to saistījis ar nepamatotu Krimināllikuma 55.panta piemērošanu. </w:t>
      </w:r>
    </w:p>
    <w:p w14:paraId="571DB96F" w14:textId="77777777" w:rsidR="00B75A2B" w:rsidRPr="00E93A4F" w:rsidRDefault="00B75A2B" w:rsidP="00B75A2B">
      <w:pPr>
        <w:tabs>
          <w:tab w:val="left" w:pos="780"/>
          <w:tab w:val="left" w:pos="1710"/>
        </w:tabs>
        <w:spacing w:after="0" w:line="276" w:lineRule="auto"/>
        <w:rPr>
          <w:rFonts w:cs="Times New Roman"/>
          <w:bCs/>
          <w:szCs w:val="24"/>
        </w:rPr>
      </w:pPr>
    </w:p>
    <w:p w14:paraId="2A5FCAF1" w14:textId="77777777" w:rsidR="00B75A2B" w:rsidRDefault="00B75A2B" w:rsidP="00B75A2B">
      <w:pPr>
        <w:tabs>
          <w:tab w:val="left" w:pos="1710"/>
        </w:tabs>
        <w:spacing w:after="0" w:line="276" w:lineRule="auto"/>
        <w:jc w:val="center"/>
        <w:rPr>
          <w:rFonts w:cs="Times New Roman"/>
          <w:szCs w:val="24"/>
        </w:rPr>
      </w:pPr>
      <w:r>
        <w:rPr>
          <w:rFonts w:cs="Times New Roman"/>
          <w:b/>
          <w:szCs w:val="24"/>
        </w:rPr>
        <w:t>Motīvu daļa</w:t>
      </w:r>
    </w:p>
    <w:p w14:paraId="37F93D71" w14:textId="77777777" w:rsidR="00B75A2B" w:rsidRDefault="00B75A2B" w:rsidP="00B75A2B">
      <w:pPr>
        <w:spacing w:after="0" w:line="276" w:lineRule="auto"/>
        <w:ind w:firstLine="709"/>
        <w:jc w:val="both"/>
        <w:rPr>
          <w:rFonts w:cs="Times New Roman"/>
          <w:szCs w:val="24"/>
        </w:rPr>
      </w:pPr>
    </w:p>
    <w:p w14:paraId="6FB6F33C" w14:textId="5D5A414D" w:rsidR="00B75A2B" w:rsidRDefault="00B75A2B" w:rsidP="00B75A2B">
      <w:pPr>
        <w:tabs>
          <w:tab w:val="left" w:pos="0"/>
        </w:tabs>
        <w:spacing w:after="0" w:line="276" w:lineRule="auto"/>
        <w:ind w:firstLine="709"/>
        <w:jc w:val="both"/>
        <w:rPr>
          <w:rFonts w:eastAsia="Times New Roman" w:cs="Times New Roman"/>
          <w:szCs w:val="24"/>
        </w:rPr>
      </w:pPr>
      <w:r>
        <w:rPr>
          <w:rFonts w:cs="Times New Roman"/>
          <w:szCs w:val="24"/>
        </w:rPr>
        <w:t>[5] Senāts atzīst, ka</w:t>
      </w:r>
      <w:r>
        <w:rPr>
          <w:rFonts w:eastAsia="Times New Roman" w:cs="Times New Roman"/>
          <w:szCs w:val="24"/>
        </w:rPr>
        <w:t xml:space="preserve"> </w:t>
      </w:r>
      <w:bookmarkStart w:id="1" w:name="_Hlk69219062"/>
      <w:r w:rsidR="00151366">
        <w:rPr>
          <w:rFonts w:eastAsia="Times New Roman" w:cs="Times New Roman"/>
          <w:szCs w:val="24"/>
        </w:rPr>
        <w:t>[..]</w:t>
      </w:r>
      <w:r>
        <w:rPr>
          <w:rFonts w:eastAsia="Times New Roman" w:cs="Times New Roman"/>
          <w:szCs w:val="24"/>
        </w:rPr>
        <w:t xml:space="preserve"> apgabaltiesas </w:t>
      </w:r>
      <w:proofErr w:type="gramStart"/>
      <w:r>
        <w:rPr>
          <w:rFonts w:eastAsia="Times New Roman" w:cs="Times New Roman"/>
          <w:szCs w:val="24"/>
        </w:rPr>
        <w:t>2019.gada</w:t>
      </w:r>
      <w:proofErr w:type="gramEnd"/>
      <w:r>
        <w:rPr>
          <w:rFonts w:eastAsia="Times New Roman" w:cs="Times New Roman"/>
          <w:szCs w:val="24"/>
        </w:rPr>
        <w:t xml:space="preserve"> </w:t>
      </w:r>
      <w:r w:rsidR="00151366">
        <w:rPr>
          <w:rFonts w:eastAsia="Times New Roman" w:cs="Times New Roman"/>
          <w:szCs w:val="24"/>
        </w:rPr>
        <w:t>[..]</w:t>
      </w:r>
      <w:r>
        <w:rPr>
          <w:rFonts w:eastAsia="Times New Roman" w:cs="Times New Roman"/>
          <w:szCs w:val="24"/>
        </w:rPr>
        <w:t xml:space="preserve"> spriedums ir atceļams pilnībā un lieta nosūtāma jaunai izskatīšanai apelācijas instances tiesā.</w:t>
      </w:r>
    </w:p>
    <w:p w14:paraId="589E472C" w14:textId="77777777" w:rsidR="00B75A2B" w:rsidRDefault="00B75A2B" w:rsidP="00B75A2B">
      <w:pPr>
        <w:tabs>
          <w:tab w:val="left" w:pos="0"/>
        </w:tabs>
        <w:spacing w:after="0" w:line="276" w:lineRule="auto"/>
        <w:ind w:firstLine="709"/>
        <w:jc w:val="both"/>
        <w:rPr>
          <w:rFonts w:eastAsia="Times New Roman" w:cs="Times New Roman"/>
          <w:szCs w:val="24"/>
        </w:rPr>
      </w:pPr>
    </w:p>
    <w:p w14:paraId="4B1D3EEC" w14:textId="77777777" w:rsidR="00B75A2B" w:rsidRDefault="00B75A2B" w:rsidP="00B75A2B">
      <w:pPr>
        <w:tabs>
          <w:tab w:val="left" w:pos="0"/>
        </w:tabs>
        <w:spacing w:after="0" w:line="276" w:lineRule="auto"/>
        <w:ind w:firstLine="709"/>
        <w:jc w:val="both"/>
        <w:rPr>
          <w:rFonts w:eastAsia="Times New Roman" w:cs="Times New Roman"/>
          <w:szCs w:val="24"/>
        </w:rPr>
      </w:pPr>
      <w:r>
        <w:rPr>
          <w:rFonts w:eastAsia="Times New Roman" w:cs="Times New Roman"/>
          <w:szCs w:val="24"/>
        </w:rPr>
        <w:t xml:space="preserve">[6] Saskaņā ar Kriminālprocesa likuma </w:t>
      </w:r>
      <w:proofErr w:type="gramStart"/>
      <w:r>
        <w:rPr>
          <w:rFonts w:eastAsia="Times New Roman" w:cs="Times New Roman"/>
          <w:szCs w:val="24"/>
        </w:rPr>
        <w:t>511.panta</w:t>
      </w:r>
      <w:proofErr w:type="gramEnd"/>
      <w:r>
        <w:rPr>
          <w:rFonts w:eastAsia="Times New Roman" w:cs="Times New Roman"/>
          <w:szCs w:val="24"/>
        </w:rPr>
        <w:t xml:space="preserve"> otro daļu spriedumam jābūt tiesiskam un pamatotam. Senāts atzīst, ka apelācijas instances tiesas spriedums šim nosacījumam neatbilst.</w:t>
      </w:r>
    </w:p>
    <w:p w14:paraId="3C03B8B4" w14:textId="4E584895"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[6.1] Senāts atzīst, ka saskaņā ar Kriminālprocesa likuma </w:t>
      </w:r>
      <w:proofErr w:type="gramStart"/>
      <w:r>
        <w:rPr>
          <w:rFonts w:eastAsia="Times New Roman" w:cs="Times New Roman"/>
          <w:szCs w:val="24"/>
        </w:rPr>
        <w:t>584.panta</w:t>
      </w:r>
      <w:proofErr w:type="gramEnd"/>
      <w:r>
        <w:rPr>
          <w:rFonts w:eastAsia="Times New Roman" w:cs="Times New Roman"/>
          <w:szCs w:val="24"/>
        </w:rPr>
        <w:t xml:space="preserve"> otro daļu ir pārsniedzams kasācijas sūdzībā izteikto prasību ietvars un konstatētie Kriminālprocesa likuma būtiski pārkāpumi attiecināmi arī uz apsūdzēto </w:t>
      </w:r>
      <w:r w:rsidR="00151366">
        <w:rPr>
          <w:rFonts w:eastAsia="Times New Roman" w:cs="Times New Roman"/>
          <w:szCs w:val="24"/>
        </w:rPr>
        <w:t>[pers. </w:t>
      </w:r>
      <w:r w:rsidR="00151366">
        <w:t>B]</w:t>
      </w:r>
      <w:r>
        <w:rPr>
          <w:rFonts w:eastAsia="Times New Roman" w:cs="Times New Roman"/>
          <w:szCs w:val="24"/>
        </w:rPr>
        <w:t xml:space="preserve">, par kura notiesāšanu kasācijas sūdzība nav iesniegta, jo </w:t>
      </w:r>
      <w:r w:rsidR="00151366">
        <w:rPr>
          <w:rFonts w:eastAsia="Times New Roman" w:cs="Times New Roman"/>
          <w:szCs w:val="24"/>
        </w:rPr>
        <w:t>[pers. A]</w:t>
      </w:r>
      <w:r>
        <w:rPr>
          <w:rFonts w:eastAsia="Times New Roman" w:cs="Times New Roman"/>
          <w:szCs w:val="24"/>
        </w:rPr>
        <w:t xml:space="preserve"> inkriminēti noziedzīgie nodarījumi, kas izdarīti personu grupā ar </w:t>
      </w:r>
      <w:r w:rsidR="00151366">
        <w:rPr>
          <w:rFonts w:eastAsia="Times New Roman" w:cs="Times New Roman"/>
          <w:szCs w:val="24"/>
        </w:rPr>
        <w:t>[pers. B]</w:t>
      </w:r>
      <w:r>
        <w:rPr>
          <w:rFonts w:eastAsia="Times New Roman" w:cs="Times New Roman"/>
          <w:szCs w:val="24"/>
        </w:rPr>
        <w:t>, un šiem noziedzīgajiem nodarījumiem dots viens noziedzīgo nodarījumu apraksts.</w:t>
      </w:r>
    </w:p>
    <w:p w14:paraId="75D1AA7A" w14:textId="297758A0" w:rsidR="00B75A2B" w:rsidRPr="00602F00" w:rsidRDefault="00B75A2B" w:rsidP="00B75A2B">
      <w:pPr>
        <w:spacing w:after="0" w:line="276" w:lineRule="auto"/>
        <w:ind w:firstLine="709"/>
        <w:jc w:val="both"/>
        <w:rPr>
          <w:rFonts w:ascii="TimesNewRomanPSMT" w:hAnsi="TimesNewRomanPSMT" w:cs="TimesNewRomanPSMT"/>
        </w:rPr>
      </w:pPr>
      <w:r w:rsidRPr="00602F00">
        <w:rPr>
          <w:rFonts w:ascii="TimesNewRomanPSMT" w:hAnsi="TimesNewRomanPSMT" w:cs="TimesNewRomanPSMT"/>
        </w:rPr>
        <w:t xml:space="preserve">Ievērojot arī to, ka izvarošana un seksuāla vardarbība </w:t>
      </w:r>
      <w:r w:rsidR="00151366">
        <w:rPr>
          <w:rFonts w:ascii="TimesNewRomanPSMT" w:hAnsi="TimesNewRomanPSMT" w:cs="TimesNewRomanPSMT"/>
        </w:rPr>
        <w:t>[pers. A]</w:t>
      </w:r>
      <w:r w:rsidRPr="00602F00">
        <w:rPr>
          <w:rFonts w:ascii="TimesNewRomanPSMT" w:hAnsi="TimesNewRomanPSMT" w:cs="TimesNewRomanPSMT"/>
        </w:rPr>
        <w:t xml:space="preserve"> inkriminēta kā izdarīta </w:t>
      </w:r>
      <w:r>
        <w:rPr>
          <w:rFonts w:ascii="TimesNewRomanPSMT" w:hAnsi="TimesNewRomanPSMT" w:cs="TimesNewRomanPSMT"/>
        </w:rPr>
        <w:t xml:space="preserve">personu </w:t>
      </w:r>
      <w:r w:rsidRPr="00602F00">
        <w:rPr>
          <w:rFonts w:ascii="TimesNewRomanPSMT" w:hAnsi="TimesNewRomanPSMT" w:cs="TimesNewRomanPSMT"/>
        </w:rPr>
        <w:t xml:space="preserve">grupā ar </w:t>
      </w:r>
      <w:r w:rsidR="00151366">
        <w:rPr>
          <w:rFonts w:ascii="TimesNewRomanPSMT" w:hAnsi="TimesNewRomanPSMT" w:cs="TimesNewRomanPSMT"/>
        </w:rPr>
        <w:t>[pers. B]</w:t>
      </w:r>
      <w:r w:rsidRPr="00602F00">
        <w:rPr>
          <w:rFonts w:ascii="TimesNewRomanPSMT" w:hAnsi="TimesNewRomanPSMT" w:cs="TimesNewRomanPSMT"/>
        </w:rPr>
        <w:t xml:space="preserve"> un pirmās instances tiesas spriedumā dots viens inkriminēto noziedzīgo nodarījumu apraksts, turklāt šajā aprakstā ietverts arī abiem apsūdzētajiem inkriminētais Krimināllikuma </w:t>
      </w:r>
      <w:proofErr w:type="gramStart"/>
      <w:r w:rsidRPr="00602F00">
        <w:rPr>
          <w:rFonts w:ascii="TimesNewRomanPSMT" w:hAnsi="TimesNewRomanPSMT" w:cs="TimesNewRomanPSMT"/>
        </w:rPr>
        <w:t>176.panta</w:t>
      </w:r>
      <w:proofErr w:type="gramEnd"/>
      <w:r w:rsidRPr="00602F00">
        <w:rPr>
          <w:rFonts w:ascii="TimesNewRomanPSMT" w:hAnsi="TimesNewRomanPSMT" w:cs="TimesNewRomanPSMT"/>
        </w:rPr>
        <w:t xml:space="preserve"> otrajā daļā paredzētā noziedzīgā nodarījuma apraksts, apelācijas instances tiesas spriedums ir atceļams pilnībā.</w:t>
      </w:r>
    </w:p>
    <w:bookmarkEnd w:id="1"/>
    <w:p w14:paraId="07860967"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[6.2] Noziedzīga nodarījuma sastāvs (</w:t>
      </w:r>
      <w:proofErr w:type="spellStart"/>
      <w:r>
        <w:rPr>
          <w:rFonts w:eastAsia="Times New Roman" w:cs="Times New Roman"/>
          <w:szCs w:val="24"/>
        </w:rPr>
        <w:t>corpus</w:t>
      </w:r>
      <w:proofErr w:type="spellEnd"/>
      <w:r>
        <w:rPr>
          <w:rFonts w:eastAsia="Times New Roman" w:cs="Times New Roman"/>
          <w:szCs w:val="24"/>
        </w:rPr>
        <w:t xml:space="preserve"> </w:t>
      </w:r>
      <w:proofErr w:type="spellStart"/>
      <w:r>
        <w:rPr>
          <w:rFonts w:eastAsia="Times New Roman" w:cs="Times New Roman"/>
          <w:szCs w:val="24"/>
        </w:rPr>
        <w:t>delicta</w:t>
      </w:r>
      <w:proofErr w:type="spellEnd"/>
      <w:r>
        <w:rPr>
          <w:rFonts w:eastAsia="Times New Roman" w:cs="Times New Roman"/>
          <w:szCs w:val="24"/>
        </w:rPr>
        <w:t>) ir Krimināllikumā paredzēto visu objektīvo un subjektīvo pazīmju kopums, kas ir nepieciešams un pietiekams, lai kādu darbību vai bezdarbības aktu atzītu par noteikta veida noziedzīgu nodarījumu (</w:t>
      </w:r>
      <w:bookmarkStart w:id="2" w:name="_Hlk82540378"/>
      <w:r w:rsidRPr="00501AAF">
        <w:rPr>
          <w:rFonts w:eastAsia="Times New Roman" w:cs="Times New Roman"/>
          <w:i/>
          <w:iCs/>
          <w:szCs w:val="24"/>
        </w:rPr>
        <w:t>Krastiņš</w:t>
      </w:r>
      <w:r w:rsidRPr="00C93ED1">
        <w:rPr>
          <w:rFonts w:eastAsia="Times New Roman" w:cs="Times New Roman"/>
          <w:i/>
          <w:iCs/>
          <w:szCs w:val="24"/>
        </w:rPr>
        <w:t xml:space="preserve"> </w:t>
      </w:r>
      <w:r w:rsidRPr="00501AAF">
        <w:rPr>
          <w:rFonts w:eastAsia="Times New Roman" w:cs="Times New Roman"/>
          <w:i/>
          <w:iCs/>
          <w:szCs w:val="24"/>
        </w:rPr>
        <w:t xml:space="preserve">U., </w:t>
      </w:r>
      <w:proofErr w:type="spellStart"/>
      <w:r w:rsidRPr="00501AAF">
        <w:rPr>
          <w:rFonts w:eastAsia="Times New Roman" w:cs="Times New Roman"/>
          <w:i/>
          <w:iCs/>
          <w:szCs w:val="24"/>
        </w:rPr>
        <w:t>Liholaja</w:t>
      </w:r>
      <w:proofErr w:type="spellEnd"/>
      <w:r w:rsidRPr="00C93ED1">
        <w:rPr>
          <w:rFonts w:eastAsia="Times New Roman" w:cs="Times New Roman"/>
          <w:i/>
          <w:iCs/>
          <w:szCs w:val="24"/>
        </w:rPr>
        <w:t xml:space="preserve"> </w:t>
      </w:r>
      <w:r w:rsidRPr="00501AAF">
        <w:rPr>
          <w:rFonts w:eastAsia="Times New Roman" w:cs="Times New Roman"/>
          <w:i/>
          <w:iCs/>
          <w:szCs w:val="24"/>
        </w:rPr>
        <w:t>V.,</w:t>
      </w:r>
      <w:r>
        <w:rPr>
          <w:rFonts w:eastAsia="Times New Roman" w:cs="Times New Roman"/>
          <w:i/>
          <w:iCs/>
          <w:szCs w:val="24"/>
        </w:rPr>
        <w:t xml:space="preserve"> </w:t>
      </w:r>
      <w:r w:rsidRPr="00501AAF">
        <w:rPr>
          <w:rFonts w:eastAsia="Times New Roman" w:cs="Times New Roman"/>
          <w:i/>
          <w:iCs/>
          <w:szCs w:val="24"/>
        </w:rPr>
        <w:t>Niedre</w:t>
      </w:r>
      <w:r w:rsidRPr="00C93ED1">
        <w:rPr>
          <w:rFonts w:eastAsia="Times New Roman" w:cs="Times New Roman"/>
          <w:i/>
          <w:iCs/>
          <w:szCs w:val="24"/>
        </w:rPr>
        <w:t xml:space="preserve"> </w:t>
      </w:r>
      <w:r w:rsidRPr="00501AAF">
        <w:rPr>
          <w:rFonts w:eastAsia="Times New Roman" w:cs="Times New Roman"/>
          <w:i/>
          <w:iCs/>
          <w:szCs w:val="24"/>
        </w:rPr>
        <w:t>A. Krimināltiesības. Vispārīgā daļa. Trešais papildinātais izdevums. Tiesu namu aģentūra, 2008, 68.lpp.</w:t>
      </w:r>
      <w:r>
        <w:rPr>
          <w:rFonts w:eastAsia="Times New Roman" w:cs="Times New Roman"/>
          <w:szCs w:val="24"/>
        </w:rPr>
        <w:t>).</w:t>
      </w:r>
    </w:p>
    <w:p w14:paraId="3C236A4B" w14:textId="147C7B83"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[6.3] Pirmās instances tiesa ir konstatējusi, ka </w:t>
      </w:r>
      <w:r w:rsidR="00151366">
        <w:rPr>
          <w:rFonts w:eastAsia="Times New Roman" w:cs="Times New Roman"/>
          <w:szCs w:val="24"/>
        </w:rPr>
        <w:t>[pers. B]</w:t>
      </w:r>
      <w:r>
        <w:rPr>
          <w:rFonts w:eastAsia="Times New Roman" w:cs="Times New Roman"/>
          <w:szCs w:val="24"/>
        </w:rPr>
        <w:t xml:space="preserve"> un </w:t>
      </w:r>
      <w:r w:rsidR="00151366">
        <w:rPr>
          <w:rFonts w:eastAsia="Times New Roman" w:cs="Times New Roman"/>
          <w:szCs w:val="24"/>
        </w:rPr>
        <w:t>[pers. A]</w:t>
      </w:r>
      <w:r>
        <w:rPr>
          <w:rFonts w:eastAsia="Times New Roman" w:cs="Times New Roman"/>
          <w:szCs w:val="24"/>
        </w:rPr>
        <w:t xml:space="preserve"> personu grupā stājās dzimumsakaros un apmierināja savu dzimumtieksmi pretdabiskā veidā ar nepilngadīgu personu, lietojot vardarbību, draudus un izmantojot personas bezpalīdzības stāvokli, tādējādi izdarījuši Krimināllikuma </w:t>
      </w:r>
      <w:proofErr w:type="gramStart"/>
      <w:r>
        <w:rPr>
          <w:rFonts w:eastAsia="Times New Roman" w:cs="Times New Roman"/>
          <w:szCs w:val="24"/>
        </w:rPr>
        <w:t>159.panta</w:t>
      </w:r>
      <w:proofErr w:type="gramEnd"/>
      <w:r>
        <w:rPr>
          <w:rFonts w:eastAsia="Times New Roman" w:cs="Times New Roman"/>
          <w:szCs w:val="24"/>
        </w:rPr>
        <w:t xml:space="preserve"> otrajā daļā (likuma redakcijā līdz 2008.gada 12.janvārim) un 160.panta otrajā daļā (likuma redakcijā līdz 2008.gada 12.janvārim) paredzētos noziedzīgos nodarījumus.</w:t>
      </w:r>
    </w:p>
    <w:p w14:paraId="35B189BA" w14:textId="321E751D"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Apelācijas instances tiesa</w:t>
      </w:r>
      <w:bookmarkEnd w:id="2"/>
      <w:r>
        <w:rPr>
          <w:rFonts w:eastAsia="Times New Roman" w:cs="Times New Roman"/>
          <w:szCs w:val="24"/>
        </w:rPr>
        <w:t xml:space="preserve"> atzinusi, ka viena no norādīto noziedzīgo nodarījumu kvalificējošām pazīmēm – noziedzīgo darbību veikšana ar nepilngadīgo – nav pierādīta un ir izslēdzama no pirmās instances tiesas sniegtā par pierādītu atzītā </w:t>
      </w:r>
      <w:r w:rsidR="00151366">
        <w:rPr>
          <w:rFonts w:eastAsia="Times New Roman" w:cs="Times New Roman"/>
          <w:szCs w:val="24"/>
        </w:rPr>
        <w:t>[pers. B]</w:t>
      </w:r>
      <w:r>
        <w:rPr>
          <w:rFonts w:eastAsia="Times New Roman" w:cs="Times New Roman"/>
          <w:szCs w:val="24"/>
        </w:rPr>
        <w:t xml:space="preserve"> un </w:t>
      </w:r>
      <w:r w:rsidR="00151366">
        <w:rPr>
          <w:rFonts w:eastAsia="Times New Roman" w:cs="Times New Roman"/>
          <w:szCs w:val="24"/>
        </w:rPr>
        <w:t>[pers. A]</w:t>
      </w:r>
      <w:r>
        <w:rPr>
          <w:rFonts w:eastAsia="Times New Roman" w:cs="Times New Roman"/>
          <w:szCs w:val="24"/>
        </w:rPr>
        <w:t xml:space="preserve"> izdarīto noziedzīgo nodarījumu apraksta.</w:t>
      </w:r>
    </w:p>
    <w:p w14:paraId="76FD6D2C"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[6.4] Tiesas atzinums, ka, izslēdzot norādīto kvalificējošo pazīmi, nemainās noziedzīgo nodarījumu faktiskie apstākļi, kas nosaka to juridisko kvalifikāciju, ir nepamatots.</w:t>
      </w:r>
    </w:p>
    <w:p w14:paraId="7352318F"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Noziedzīgo nodarījumu sastāvu uzbūve, tajā ietverto pazīmju raksturs devis iespēju likumdevējam noteikt atbilstošas sankcijas, diferencējot tās atkarībā no noziedzīgā nodarījuma kaitīguma smaguma </w:t>
      </w:r>
      <w:proofErr w:type="gramStart"/>
      <w:r>
        <w:rPr>
          <w:rFonts w:eastAsia="Times New Roman" w:cs="Times New Roman"/>
          <w:szCs w:val="24"/>
        </w:rPr>
        <w:t>(</w:t>
      </w:r>
      <w:proofErr w:type="gramEnd"/>
      <w:r w:rsidRPr="00C93ED1">
        <w:rPr>
          <w:rFonts w:eastAsia="Times New Roman" w:cs="Times New Roman"/>
          <w:i/>
          <w:iCs/>
          <w:szCs w:val="24"/>
        </w:rPr>
        <w:t xml:space="preserve">Krastiņš U., </w:t>
      </w:r>
      <w:proofErr w:type="spellStart"/>
      <w:r w:rsidRPr="00C93ED1">
        <w:rPr>
          <w:rFonts w:eastAsia="Times New Roman" w:cs="Times New Roman"/>
          <w:i/>
          <w:iCs/>
          <w:szCs w:val="24"/>
        </w:rPr>
        <w:t>Liholaja</w:t>
      </w:r>
      <w:proofErr w:type="spellEnd"/>
      <w:r w:rsidRPr="00C93ED1">
        <w:rPr>
          <w:rFonts w:eastAsia="Times New Roman" w:cs="Times New Roman"/>
          <w:i/>
          <w:iCs/>
          <w:szCs w:val="24"/>
        </w:rPr>
        <w:t xml:space="preserve"> V., Niedre A. Krimināltiesības. Vispārīgā daļa. Trešais papildinātais izdevums. Tiesu namu aģentūra, 2008, 69.lpp.</w:t>
      </w:r>
      <w:r>
        <w:rPr>
          <w:rFonts w:eastAsia="Times New Roman" w:cs="Times New Roman"/>
          <w:szCs w:val="24"/>
        </w:rPr>
        <w:t>).</w:t>
      </w:r>
    </w:p>
    <w:p w14:paraId="33442F77"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Cietušās vecums, konkrētajā gadījumā nepilngadība, ir viena no pazīmēm, pēc kurām Krimināllikumā tiek diferencēta atbildība par izvarošanu un seksuālu vardarbību. </w:t>
      </w:r>
    </w:p>
    <w:p w14:paraId="59DDAD17"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46.pantā</w:t>
      </w:r>
      <w:proofErr w:type="gramEnd"/>
      <w:r>
        <w:rPr>
          <w:rFonts w:eastAsia="Times New Roman" w:cs="Times New Roman"/>
          <w:szCs w:val="24"/>
        </w:rPr>
        <w:t xml:space="preserve"> definēti soda noteikšanas vispārīgie principi. No minētās normas izriet, ka, nosakot sodu, ir jāņem vērā arī noziedzīgā nodarījuma raksturs un radītais kaitējums. Sods tiek noteikts par konkrētu noziedzīgu nodarījumu, kura faktiskos apstākļus tiesa atzinusi par pierādītiem.</w:t>
      </w:r>
    </w:p>
    <w:p w14:paraId="2846226D" w14:textId="049F22E4"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Apelācijas instances tiesa atzinusi par pierādītiem atšķirīgus Krimināllikuma </w:t>
      </w:r>
      <w:proofErr w:type="gramStart"/>
      <w:r>
        <w:rPr>
          <w:rFonts w:eastAsia="Times New Roman" w:cs="Times New Roman"/>
          <w:szCs w:val="24"/>
        </w:rPr>
        <w:t>159.panta</w:t>
      </w:r>
      <w:proofErr w:type="gramEnd"/>
      <w:r>
        <w:rPr>
          <w:rFonts w:eastAsia="Times New Roman" w:cs="Times New Roman"/>
          <w:szCs w:val="24"/>
        </w:rPr>
        <w:t xml:space="preserve"> otrajā daļā un 160.panta otrajā daļā paredzēto noziedzīgo nodarījumu faktiskos apstākļus un vienlaicīgi atstājusi negrozītu pirmās instances tiesas spriedumu daļā par </w:t>
      </w:r>
      <w:r w:rsidR="00151366">
        <w:rPr>
          <w:rFonts w:eastAsia="Times New Roman" w:cs="Times New Roman"/>
          <w:szCs w:val="24"/>
        </w:rPr>
        <w:t>[pers. B]</w:t>
      </w:r>
      <w:r>
        <w:rPr>
          <w:rFonts w:eastAsia="Times New Roman" w:cs="Times New Roman"/>
          <w:szCs w:val="24"/>
        </w:rPr>
        <w:t xml:space="preserve"> un </w:t>
      </w:r>
      <w:r w:rsidR="00151366">
        <w:rPr>
          <w:rFonts w:eastAsia="Times New Roman" w:cs="Times New Roman"/>
          <w:szCs w:val="24"/>
        </w:rPr>
        <w:t>[pers. A]</w:t>
      </w:r>
      <w:r>
        <w:rPr>
          <w:rFonts w:eastAsia="Times New Roman" w:cs="Times New Roman"/>
          <w:szCs w:val="24"/>
        </w:rPr>
        <w:t xml:space="preserve"> atzīšanu par vainīgiem šajā daļā.</w:t>
      </w:r>
    </w:p>
    <w:p w14:paraId="25A3659F"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Turklāt, argumentējot apsūdzētajiem nosakāmo sodu, apelācijas instances tiesa paudusi atzinumus par pirmās instances tiesas sniegto sodu ietekmējošo apstākļu vērtējumu un noteikto sodu. No sprieduma motīvu daļas nav secināms, vai apelācijas instances tiesa, nosakot sodu, ir ņēmusi vērā atzinumu par kvalificējošās pazīmes izslēgšanu no pirmās instances tiesas spriedumā sniegtā divu noziedzīgo nodarījumu apraksta un kā šīs pazīmes izslēgšana ietekmē nosakāmo sodu.</w:t>
      </w:r>
    </w:p>
    <w:p w14:paraId="087E5D2E" w14:textId="77777777" w:rsidR="00B75A2B" w:rsidRDefault="00B75A2B" w:rsidP="00B75A2B">
      <w:pPr>
        <w:spacing w:after="0" w:line="276" w:lineRule="auto"/>
        <w:ind w:firstLine="709"/>
        <w:jc w:val="both"/>
      </w:pPr>
      <w:r>
        <w:rPr>
          <w:rFonts w:eastAsia="Times New Roman" w:cs="Times New Roman"/>
          <w:szCs w:val="24"/>
        </w:rPr>
        <w:t xml:space="preserve">Šādu pretrunīgu spriedumu </w:t>
      </w:r>
      <w:r>
        <w:t xml:space="preserve">nevar atzīt par tiesisku un pamatotu Krimināllikuma </w:t>
      </w:r>
      <w:proofErr w:type="gramStart"/>
      <w:r>
        <w:t>511.panta</w:t>
      </w:r>
      <w:proofErr w:type="gramEnd"/>
      <w:r>
        <w:t xml:space="preserve"> otrās daļas izpratnē.</w:t>
      </w:r>
      <w:r w:rsidRPr="00167EEA">
        <w:t xml:space="preserve"> </w:t>
      </w:r>
      <w:r>
        <w:t xml:space="preserve">Minētais pārkāpums atzīstams par Kriminālprocesa likuma būtisku pārkāpumu šā likuma </w:t>
      </w:r>
      <w:proofErr w:type="gramStart"/>
      <w:r>
        <w:t>575.panta</w:t>
      </w:r>
      <w:proofErr w:type="gramEnd"/>
      <w:r>
        <w:t xml:space="preserve"> trešās daļas izpratnē, kura dēļ apelācijas instances tiesas spriedums atceļams un lieta šajā daļā nododama jaunai izskatīšanai apelācijas instances tiesā.</w:t>
      </w:r>
    </w:p>
    <w:p w14:paraId="72C96E12" w14:textId="77777777" w:rsidR="00B75A2B" w:rsidRPr="00167EEA" w:rsidRDefault="00B75A2B" w:rsidP="00B75A2B">
      <w:pPr>
        <w:spacing w:after="0" w:line="276" w:lineRule="auto"/>
        <w:ind w:firstLine="709"/>
        <w:jc w:val="both"/>
      </w:pPr>
    </w:p>
    <w:p w14:paraId="3490A9DE" w14:textId="77777777" w:rsidR="00B75A2B" w:rsidRDefault="00B75A2B" w:rsidP="00B75A2B">
      <w:pPr>
        <w:spacing w:after="0" w:line="276" w:lineRule="auto"/>
        <w:ind w:firstLine="709"/>
        <w:jc w:val="both"/>
        <w:rPr>
          <w:rFonts w:ascii="TimesNewRomanPSMT" w:hAnsi="TimesNewRomanPSMT" w:cs="TimesNewRomanPSMT"/>
        </w:rPr>
      </w:pPr>
      <w:r>
        <w:rPr>
          <w:rFonts w:eastAsia="Times New Roman" w:cs="Times New Roman"/>
          <w:szCs w:val="24"/>
        </w:rPr>
        <w:t xml:space="preserve">[7] Kasācijas sūdzībā ietvertā norāde uz Kriminālprocesa likuma </w:t>
      </w:r>
      <w:proofErr w:type="gramStart"/>
      <w:r>
        <w:rPr>
          <w:rFonts w:eastAsia="Times New Roman" w:cs="Times New Roman"/>
          <w:szCs w:val="24"/>
        </w:rPr>
        <w:t>153.panta</w:t>
      </w:r>
      <w:proofErr w:type="gramEnd"/>
      <w:r>
        <w:rPr>
          <w:rFonts w:eastAsia="Times New Roman" w:cs="Times New Roman"/>
          <w:szCs w:val="24"/>
        </w:rPr>
        <w:t xml:space="preserve"> pirmās daļas pārkāpumu, kas argumentēta ar faktu, ka cietusī tās nopratināšanas laikā apelācijas instances tiesā bija pilngadīga, ir nepamatota un  šajā daļā kasācijas sūdzības argumenti nav attiecināmi uz izskatāmo tiesisko situāciju.</w:t>
      </w:r>
    </w:p>
    <w:p w14:paraId="2CD170E8" w14:textId="1785778F" w:rsidR="00B75A2B" w:rsidRPr="00F54F81" w:rsidRDefault="00B75A2B" w:rsidP="00B75A2B">
      <w:pPr>
        <w:spacing w:after="0" w:line="276" w:lineRule="auto"/>
        <w:ind w:firstLine="709"/>
        <w:jc w:val="both"/>
        <w:rPr>
          <w:rFonts w:ascii="TimesNewRomanPSMT" w:hAnsi="TimesNewRomanPSMT" w:cs="TimesNewRomanPSMT"/>
        </w:rPr>
      </w:pPr>
      <w:r>
        <w:rPr>
          <w:rFonts w:eastAsia="Times New Roman" w:cs="Times New Roman"/>
          <w:szCs w:val="24"/>
        </w:rPr>
        <w:t>[7.1]</w:t>
      </w:r>
      <w:r w:rsidR="00A03F58">
        <w:rPr>
          <w:rFonts w:eastAsia="Times New Roman" w:cs="Times New Roman"/>
          <w:szCs w:val="24"/>
        </w:rPr>
        <w:t xml:space="preserve"> </w:t>
      </w:r>
      <w:r>
        <w:rPr>
          <w:rFonts w:eastAsia="Times New Roman" w:cs="Times New Roman"/>
          <w:szCs w:val="24"/>
        </w:rPr>
        <w:t xml:space="preserve">No apelācijas instances tiesas nolēmuma un tiesas sēdes protokola redzams, ka Kriminālprocesa likuma </w:t>
      </w:r>
      <w:proofErr w:type="gramStart"/>
      <w:r>
        <w:rPr>
          <w:rFonts w:eastAsia="Times New Roman" w:cs="Times New Roman"/>
          <w:szCs w:val="24"/>
        </w:rPr>
        <w:t>153.panta</w:t>
      </w:r>
      <w:proofErr w:type="gramEnd"/>
      <w:r>
        <w:rPr>
          <w:rFonts w:eastAsia="Times New Roman" w:cs="Times New Roman"/>
          <w:szCs w:val="24"/>
        </w:rPr>
        <w:t xml:space="preserve"> pirmajā daļā paredzētā pratināšanas veida – pratināšana ar tehnisko līdzekļu un psihologa starpniecību – piemērošanu tiesa, pretēji kasācijas sūdzībā norādītajam, nav pamatojusi ar cietušās vecumu. Turklāt tiesa nav izdarījusi atzinumu, ka pastāv šajā tiesību normā norādīto apstākļu kopums, kuros cietusī ir nopratināma tajā norādītajā veidā.</w:t>
      </w:r>
    </w:p>
    <w:p w14:paraId="79E54427" w14:textId="670616CE" w:rsidR="00B75A2B" w:rsidRDefault="00151366" w:rsidP="00B75A2B">
      <w:pPr>
        <w:spacing w:after="0" w:line="276" w:lineRule="auto"/>
        <w:ind w:firstLine="709"/>
        <w:jc w:val="both"/>
        <w:rPr>
          <w:rFonts w:eastAsia="Times New Roman" w:cs="Times New Roman"/>
          <w:szCs w:val="24"/>
        </w:rPr>
      </w:pPr>
      <w:r>
        <w:rPr>
          <w:rFonts w:eastAsia="Times New Roman" w:cs="Times New Roman"/>
          <w:szCs w:val="24"/>
        </w:rPr>
        <w:t>[Pers. </w:t>
      </w:r>
      <w:r>
        <w:t>C]</w:t>
      </w:r>
      <w:r w:rsidR="00B75A2B" w:rsidRPr="00C27962">
        <w:rPr>
          <w:rFonts w:eastAsia="Times New Roman" w:cs="Times New Roman"/>
          <w:szCs w:val="24"/>
        </w:rPr>
        <w:t xml:space="preserve"> ir atzīta par cietuš</w:t>
      </w:r>
      <w:r w:rsidR="00B75A2B">
        <w:rPr>
          <w:rFonts w:eastAsia="Times New Roman" w:cs="Times New Roman"/>
          <w:szCs w:val="24"/>
        </w:rPr>
        <w:t>u</w:t>
      </w:r>
      <w:r w:rsidR="00B75A2B" w:rsidRPr="00C27962">
        <w:rPr>
          <w:rFonts w:eastAsia="Times New Roman" w:cs="Times New Roman"/>
          <w:szCs w:val="24"/>
        </w:rPr>
        <w:t xml:space="preserve"> no noziedzīga nodarījuma, kas vērsts pret personas dzimumneaizskaramību. Apelācijas instances tiesa lēmumu par cietušās nopratināšanu izmantojot tehniskos līdzekļus (videokonferenci) un ar psihologa starpniecību, proti, līdzekļiem, kas minēti Kriminālprocesa likuma </w:t>
      </w:r>
      <w:proofErr w:type="gramStart"/>
      <w:r w:rsidR="00B75A2B" w:rsidRPr="00C27962">
        <w:rPr>
          <w:rFonts w:eastAsia="Times New Roman" w:cs="Times New Roman"/>
          <w:szCs w:val="24"/>
        </w:rPr>
        <w:t>153.panta</w:t>
      </w:r>
      <w:proofErr w:type="gramEnd"/>
      <w:r w:rsidR="00B75A2B" w:rsidRPr="00C27962">
        <w:rPr>
          <w:rFonts w:eastAsia="Times New Roman" w:cs="Times New Roman"/>
          <w:szCs w:val="24"/>
        </w:rPr>
        <w:t xml:space="preserve"> pirmajā daļā, pamatojusi ar ziņām par cietušās veselības stāvokli – ekspertu atzinumu, ka, ņemot vērā cietušās individuāli psiholoģiskās īpatnības, nebūtu rekomendējama viņas iesaistīšana procesuālajās darbībās un piedalīšanās tiesas sēdē. Turklāt tiesa pirms lēmuma pieņemšanas ir detalizēti iztaujājusi eksperti par atzinuma būtību un noskaidrojusi, ka garīgās veselības stāvokļa dēļ cietusī nevar īstenot savas tiesības pilnā apmērā, viņas aktuālā spēja liecināt ir ierobežota un pastāv </w:t>
      </w:r>
      <w:proofErr w:type="spellStart"/>
      <w:r w:rsidR="00B75A2B" w:rsidRPr="00C27962">
        <w:rPr>
          <w:rFonts w:eastAsia="Times New Roman" w:cs="Times New Roman"/>
          <w:szCs w:val="24"/>
        </w:rPr>
        <w:t>retraumatizācijas</w:t>
      </w:r>
      <w:proofErr w:type="spellEnd"/>
      <w:r w:rsidR="00B75A2B" w:rsidRPr="00C27962">
        <w:rPr>
          <w:rFonts w:eastAsia="Times New Roman" w:cs="Times New Roman"/>
          <w:szCs w:val="24"/>
        </w:rPr>
        <w:t xml:space="preserve"> risks. Kā arī, tiesa no tiesu psihiatrijas eksperta viedokļa ir skaidrojusi cietušās nopratināšanas videokonferencē ar psihologa starpniecību iespējamību un pieļaujamību konkrētajā gadījumā. Izvērtējot iegūtas ziņas, tiesa atzinusi, ka cietušās pratināšana ar tehnisko līdzekļu un psihologa starpniecību ir pieļaujama, jo ir vismazāk traumējoša.</w:t>
      </w:r>
    </w:p>
    <w:p w14:paraId="6B747E22" w14:textId="77777777" w:rsidR="00B75A2B" w:rsidRDefault="00B75A2B" w:rsidP="00B75A2B">
      <w:pPr>
        <w:spacing w:after="0" w:line="276" w:lineRule="auto"/>
        <w:ind w:firstLine="709"/>
        <w:jc w:val="both"/>
        <w:rPr>
          <w:rFonts w:eastAsia="Times New Roman" w:cs="Times New Roman"/>
          <w:szCs w:val="24"/>
        </w:rPr>
      </w:pPr>
      <w:r>
        <w:t xml:space="preserve">Šādos, lietā konstatētajos apstākļos, cietušās vecumam nav izšķiroša nozīme, lemjot par pasākumiem, kas vērsti uz cietušās aizsardzību pret sekundāru un atkārtotu </w:t>
      </w:r>
      <w:proofErr w:type="spellStart"/>
      <w:r>
        <w:t>viktimizāciju</w:t>
      </w:r>
      <w:proofErr w:type="spellEnd"/>
      <w:r>
        <w:t>.</w:t>
      </w:r>
    </w:p>
    <w:p w14:paraId="6F17C2D4" w14:textId="77777777" w:rsidR="00B75A2B" w:rsidRDefault="00B75A2B" w:rsidP="00B75A2B">
      <w:pPr>
        <w:spacing w:after="0" w:line="276" w:lineRule="auto"/>
        <w:ind w:firstLine="709"/>
        <w:jc w:val="both"/>
        <w:rPr>
          <w:rFonts w:eastAsia="Times New Roman" w:cs="Times New Roman"/>
          <w:szCs w:val="24"/>
        </w:rPr>
      </w:pPr>
      <w:r>
        <w:rPr>
          <w:rFonts w:eastAsia="Times New Roman" w:cs="Times New Roman"/>
          <w:szCs w:val="24"/>
        </w:rPr>
        <w:t xml:space="preserve">[7.2] Eiropas parlamenta un Padomes </w:t>
      </w:r>
      <w:proofErr w:type="gramStart"/>
      <w:r>
        <w:rPr>
          <w:rFonts w:eastAsia="Times New Roman" w:cs="Times New Roman"/>
          <w:szCs w:val="24"/>
        </w:rPr>
        <w:t>2012.gada</w:t>
      </w:r>
      <w:proofErr w:type="gramEnd"/>
      <w:r>
        <w:rPr>
          <w:rFonts w:eastAsia="Times New Roman" w:cs="Times New Roman"/>
          <w:szCs w:val="24"/>
        </w:rPr>
        <w:t xml:space="preserve"> 25.oktobra Direktīvas 2012/29/ES ar ko nosaka noziegumos cietušo tiesību, atbalsta un aizsardzības minimālos standartus un aizstāj Padomes Pamatlēmumu 2001/220/TI (turpmāk arī Direktīva 2012/29/ES) preambulas apsvērumu 9.punkts</w:t>
      </w:r>
      <w:r w:rsidRPr="00C27962">
        <w:rPr>
          <w:rFonts w:eastAsia="Times New Roman" w:cs="Times New Roman"/>
          <w:szCs w:val="24"/>
        </w:rPr>
        <w:t xml:space="preserve"> </w:t>
      </w:r>
      <w:r>
        <w:rPr>
          <w:rFonts w:eastAsia="Times New Roman" w:cs="Times New Roman"/>
          <w:szCs w:val="24"/>
        </w:rPr>
        <w:t xml:space="preserve">paredz, ka visā saziņā ar kompetentu iestādi, kas darbojas saistībā ar kriminālprocesu, vai jebkuru dienestu, kas nonāk saskarsmē ar cietušajiem, būtu jāņem vērā noziegumos cietušo individuālā situācija un neatliekamās vajadzības, vecums, dzimums, iespējamā invaliditāte un brieduma līmenis, vienlaikus pilnībā ievērojot viņu fizisko, garīgo un morālo neaizskaramību. Noziegumos cietušie būtu jāaizsargā no sekundāras un atkārtotas </w:t>
      </w:r>
      <w:proofErr w:type="spellStart"/>
      <w:r>
        <w:rPr>
          <w:rFonts w:eastAsia="Times New Roman" w:cs="Times New Roman"/>
          <w:szCs w:val="24"/>
        </w:rPr>
        <w:t>viktimizācijas</w:t>
      </w:r>
      <w:proofErr w:type="spellEnd"/>
      <w:r>
        <w:rPr>
          <w:rFonts w:eastAsia="Times New Roman" w:cs="Times New Roman"/>
          <w:szCs w:val="24"/>
        </w:rPr>
        <w:t>.</w:t>
      </w:r>
    </w:p>
    <w:p w14:paraId="7D9A2F2E" w14:textId="77777777" w:rsidR="00B75A2B" w:rsidRDefault="00B75A2B" w:rsidP="00B75A2B">
      <w:pPr>
        <w:spacing w:after="0" w:line="276" w:lineRule="auto"/>
        <w:ind w:firstLine="709"/>
        <w:jc w:val="both"/>
      </w:pPr>
      <w:r>
        <w:rPr>
          <w:rFonts w:eastAsia="Times New Roman" w:cs="Times New Roman"/>
          <w:szCs w:val="24"/>
        </w:rPr>
        <w:t xml:space="preserve">Ieviešot Direktīvu 2012/29/ES, lai izpildītu tās 22.un </w:t>
      </w:r>
      <w:proofErr w:type="gramStart"/>
      <w:r>
        <w:rPr>
          <w:rFonts w:eastAsia="Times New Roman" w:cs="Times New Roman"/>
          <w:szCs w:val="24"/>
        </w:rPr>
        <w:t>23.panta</w:t>
      </w:r>
      <w:proofErr w:type="gramEnd"/>
      <w:r>
        <w:rPr>
          <w:rFonts w:eastAsia="Times New Roman" w:cs="Times New Roman"/>
          <w:szCs w:val="24"/>
        </w:rPr>
        <w:t xml:space="preserve"> prasības, Kriminālprocesa likums papildināts ar 96</w:t>
      </w:r>
      <w:r>
        <w:rPr>
          <w:rFonts w:eastAsia="Times New Roman" w:cs="Times New Roman"/>
          <w:szCs w:val="24"/>
          <w:vertAlign w:val="superscript"/>
        </w:rPr>
        <w:t>1</w:t>
      </w:r>
      <w:r>
        <w:rPr>
          <w:rFonts w:eastAsia="Times New Roman" w:cs="Times New Roman"/>
          <w:szCs w:val="24"/>
        </w:rPr>
        <w:t>.pantu, radot īpašu cietušo kategoriju – īpaši aizsargājams cietušais (</w:t>
      </w:r>
      <w:r w:rsidRPr="00DA4D6A">
        <w:rPr>
          <w:rFonts w:eastAsia="Times New Roman" w:cs="Times New Roman"/>
          <w:i/>
          <w:iCs/>
          <w:szCs w:val="24"/>
        </w:rPr>
        <w:t>Likumprojekta „Grozījumi Kriminālprocesa likumā” sākotnējās ietekmes novērtējuma ziņojums</w:t>
      </w:r>
      <w:r>
        <w:rPr>
          <w:rFonts w:eastAsia="Times New Roman" w:cs="Times New Roman"/>
          <w:i/>
          <w:iCs/>
          <w:szCs w:val="24"/>
        </w:rPr>
        <w:t xml:space="preserve"> </w:t>
      </w:r>
      <w:r w:rsidRPr="00DA4D6A">
        <w:rPr>
          <w:rFonts w:eastAsia="Times New Roman" w:cs="Times New Roman"/>
          <w:i/>
          <w:iCs/>
          <w:szCs w:val="24"/>
        </w:rPr>
        <w:t>(anotācija)</w:t>
      </w:r>
      <w:r>
        <w:rPr>
          <w:rFonts w:eastAsia="Times New Roman" w:cs="Times New Roman"/>
          <w:i/>
          <w:iCs/>
          <w:szCs w:val="24"/>
        </w:rPr>
        <w:t xml:space="preserve"> </w:t>
      </w:r>
      <w:r w:rsidRPr="00DA4D6A">
        <w:rPr>
          <w:rFonts w:eastAsia="Times New Roman" w:cs="Times New Roman"/>
          <w:i/>
          <w:iCs/>
          <w:szCs w:val="24"/>
        </w:rPr>
        <w:t>2.punkts</w:t>
      </w:r>
      <w:r>
        <w:rPr>
          <w:rFonts w:eastAsia="Times New Roman" w:cs="Times New Roman"/>
          <w:szCs w:val="24"/>
        </w:rPr>
        <w:t xml:space="preserve"> </w:t>
      </w:r>
      <w:r w:rsidRPr="00DA4D6A">
        <w:rPr>
          <w:rFonts w:eastAsia="Times New Roman" w:cs="Times New Roman"/>
          <w:i/>
          <w:iCs/>
          <w:szCs w:val="24"/>
        </w:rPr>
        <w:t>Pieejams:</w:t>
      </w:r>
      <w:r>
        <w:rPr>
          <w:rFonts w:eastAsia="Times New Roman" w:cs="Times New Roman"/>
          <w:szCs w:val="24"/>
        </w:rPr>
        <w:t xml:space="preserve"> </w:t>
      </w:r>
      <w:hyperlink r:id="rId7" w:history="1">
        <w:r w:rsidRPr="00DA4D6A">
          <w:rPr>
            <w:rStyle w:val="Hyperlink"/>
            <w:color w:val="auto"/>
          </w:rPr>
          <w:t>http://titania.saeima.lv/LIVS12/SaeimaLIVS12.nsf/0/A2A8DD03D30A2D10C2257E580025A39E?OpenDocument</w:t>
        </w:r>
      </w:hyperlink>
      <w:r w:rsidRPr="00DA4D6A">
        <w:rPr>
          <w:u w:val="single"/>
        </w:rPr>
        <w:t>)</w:t>
      </w:r>
      <w:r>
        <w:rPr>
          <w:u w:val="single"/>
        </w:rPr>
        <w:t>.</w:t>
      </w:r>
    </w:p>
    <w:p w14:paraId="1F10F4C5" w14:textId="77777777" w:rsidR="00B75A2B" w:rsidRDefault="00B75A2B" w:rsidP="00B75A2B">
      <w:pPr>
        <w:spacing w:after="0" w:line="276" w:lineRule="auto"/>
        <w:ind w:firstLine="709"/>
        <w:jc w:val="both"/>
      </w:pPr>
      <w:r>
        <w:t xml:space="preserve">Saskaņā ar Kriminālprocesa likuma </w:t>
      </w:r>
      <w:proofErr w:type="gramStart"/>
      <w:r>
        <w:t>96</w:t>
      </w:r>
      <w:r>
        <w:rPr>
          <w:vertAlign w:val="superscript"/>
        </w:rPr>
        <w:t>1</w:t>
      </w:r>
      <w:r>
        <w:t>.panta</w:t>
      </w:r>
      <w:proofErr w:type="gramEnd"/>
      <w:r>
        <w:t xml:space="preserve"> pirmās daļas 3.punktu persona, kura cietusi no noziedzīga nodarījuma, kas vērsts pret personas tikumību vai dzimumneaizskaramību, ir īpaši aizsargājams cietušais.</w:t>
      </w:r>
    </w:p>
    <w:p w14:paraId="688AE32F" w14:textId="77777777" w:rsidR="00B75A2B" w:rsidRDefault="00B75A2B" w:rsidP="00B75A2B">
      <w:pPr>
        <w:spacing w:after="0" w:line="276" w:lineRule="auto"/>
        <w:ind w:firstLine="709"/>
        <w:jc w:val="both"/>
      </w:pPr>
      <w:r>
        <w:t xml:space="preserve">Direktīvas </w:t>
      </w:r>
      <w:r>
        <w:rPr>
          <w:rFonts w:eastAsia="Times New Roman" w:cs="Times New Roman"/>
          <w:szCs w:val="24"/>
        </w:rPr>
        <w:t>2012/29/ES</w:t>
      </w:r>
      <w:r>
        <w:t xml:space="preserve"> </w:t>
      </w:r>
      <w:proofErr w:type="gramStart"/>
      <w:r>
        <w:t>22.panta</w:t>
      </w:r>
      <w:proofErr w:type="gramEnd"/>
      <w:r>
        <w:t xml:space="preserve"> 1.punktā norādīts, ka dalībvalstis nodrošina, ka cietušie saskaņā ar valsts procedūrām laikus saņem individuālu novērtējumu, ar ko tiek apzināta vajadzība pēc īpašas aizsardzības un tiek noteikts, vai un kādā mērā viņi varēs izmantot īpašus pasākumus kriminālprocesa laikā, kā paredzēts saskaņā ar 23.un 24.pantu, tādēļ, ka viņi ir īpaši neaizsargāti pret sekundāru un atkārtotu </w:t>
      </w:r>
      <w:proofErr w:type="spellStart"/>
      <w:r>
        <w:t>viktimizāciju</w:t>
      </w:r>
      <w:proofErr w:type="spellEnd"/>
      <w:r>
        <w:t>.</w:t>
      </w:r>
    </w:p>
    <w:p w14:paraId="333A7610" w14:textId="77777777" w:rsidR="00B75A2B" w:rsidRDefault="00B75A2B" w:rsidP="00B75A2B">
      <w:pPr>
        <w:spacing w:after="0" w:line="276" w:lineRule="auto"/>
        <w:ind w:firstLine="709"/>
        <w:jc w:val="both"/>
      </w:pPr>
      <w:r>
        <w:t xml:space="preserve">Atbilstoši Direktīvas </w:t>
      </w:r>
      <w:r>
        <w:rPr>
          <w:rFonts w:eastAsia="Times New Roman" w:cs="Times New Roman"/>
          <w:szCs w:val="24"/>
        </w:rPr>
        <w:t>2012/29/ES</w:t>
      </w:r>
      <w:r>
        <w:t xml:space="preserve"> </w:t>
      </w:r>
      <w:proofErr w:type="gramStart"/>
      <w:r>
        <w:t>23.panta</w:t>
      </w:r>
      <w:proofErr w:type="gramEnd"/>
      <w:r>
        <w:t xml:space="preserve"> 3.punktā noteiktajam īpaši aizsargājamam cietušajam procesa laikā ir jābūt pieejamiem a) pasākumiem, lai izvairītos no vizuāla kontakta starp cietušajiem un likumpārkāpējiem, tostarp liecības sniegšanas laikā, izmantojot piemērotus līdzekļus, tostarp atbilstīgu komunikācijas tehnoloģiju; b) pasākumi, lai cietušo tiesas zālē varētu uzklausīt bez viņa klātbūtnes, jo īpaši izmantojot piemērotu komunikācijas tehnoloģiju; c) pasākumi, lai nepieļautu nevajadzīgu iztaujāšanu par cietušā privāto dzīvi, kas nav saistīta ar noziedzīgo nodarījumu. Savukārt no Direktīvas </w:t>
      </w:r>
      <w:r>
        <w:rPr>
          <w:rFonts w:eastAsia="Times New Roman" w:cs="Times New Roman"/>
          <w:szCs w:val="24"/>
        </w:rPr>
        <w:t>2012/29/ES</w:t>
      </w:r>
      <w:r>
        <w:t xml:space="preserve"> 23.panta 2.punkta izriet, ka cietušajiem, kam vajadzīga īpaša aizsardzība, kriminālizmeklēšanas laikā jānodrošina ka viņu iztaujāšanu veic šim nolūkam apmācīti speciālisti vai ar viņu starpniecību.</w:t>
      </w:r>
    </w:p>
    <w:p w14:paraId="64D0248B" w14:textId="77777777" w:rsidR="00B75A2B" w:rsidRDefault="00B75A2B" w:rsidP="00B75A2B">
      <w:pPr>
        <w:spacing w:after="0" w:line="276" w:lineRule="auto"/>
        <w:ind w:firstLine="709"/>
        <w:jc w:val="both"/>
      </w:pPr>
      <w:r>
        <w:t xml:space="preserve">Apelācijas instances tiesa, izvērtējot lietā noskaidrotos apstākļus, atzinusi par nepieciešamu izmantot pasākumus, kas aizsargātu cietušo pret sekundāru un atkārtotu </w:t>
      </w:r>
      <w:proofErr w:type="spellStart"/>
      <w:r>
        <w:t>viktimizāciju</w:t>
      </w:r>
      <w:proofErr w:type="spellEnd"/>
      <w:r>
        <w:t>, proti, iztaujāšanu veikt izmantojot komunikācijas tehnoloģijas (videokonferenci) un ar speciālista starpniecību.</w:t>
      </w:r>
    </w:p>
    <w:p w14:paraId="2016D572" w14:textId="77777777" w:rsidR="00B75A2B" w:rsidRDefault="00B75A2B" w:rsidP="00B75A2B">
      <w:pPr>
        <w:spacing w:after="0" w:line="276" w:lineRule="auto"/>
        <w:ind w:firstLine="709"/>
        <w:jc w:val="both"/>
      </w:pPr>
      <w:r>
        <w:t xml:space="preserve"> </w:t>
      </w:r>
    </w:p>
    <w:p w14:paraId="27072DF0" w14:textId="77777777" w:rsidR="00B75A2B" w:rsidRDefault="00B75A2B" w:rsidP="00B75A2B">
      <w:pPr>
        <w:spacing w:after="0" w:line="276" w:lineRule="auto"/>
        <w:ind w:firstLine="709"/>
        <w:jc w:val="both"/>
      </w:pPr>
      <w:r>
        <w:t>[8] Kasācijas sūdzības argumenti par cietušās garīgās veselības vērtējuma kļūdainumu saistīti ar nepiekrišanu kompleksās tiesu psihiatriskās-tiesu psiholoģiskās ekspertīzes atzinumam un tiesas sniegtajam pierādījumu vērtējumam.</w:t>
      </w:r>
    </w:p>
    <w:p w14:paraId="597A1A84" w14:textId="77777777" w:rsidR="00B75A2B" w:rsidRDefault="00B75A2B" w:rsidP="00B75A2B">
      <w:pPr>
        <w:spacing w:after="0" w:line="276" w:lineRule="auto"/>
        <w:ind w:firstLine="720"/>
        <w:jc w:val="both"/>
      </w:pPr>
      <w:r>
        <w:t xml:space="preserve">Apgalvojums, ka apelācijas instances tiesa, noraidot aizstāvja lūgumu par atkārtotas tiesu psihiatriskās-tiesu psiholoģiskās ekspertīzes noteikšanu, ir pieļāvusi </w:t>
      </w:r>
      <w:proofErr w:type="gramStart"/>
      <w:r>
        <w:t>Kriminālprocesa likuma būtisku pārkāpumu,</w:t>
      </w:r>
      <w:proofErr w:type="gramEnd"/>
      <w:r>
        <w:t xml:space="preserve"> ir nepamatots. No apelācijas instances tiesas sēdes protokola redzams, ka tiesa ir izvērtējusi pieteiktā lūguma argumentāciju un motivēti to noraidījusi.</w:t>
      </w:r>
      <w:r w:rsidRPr="006C030B">
        <w:t xml:space="preserve"> </w:t>
      </w:r>
    </w:p>
    <w:p w14:paraId="3C581AFC" w14:textId="77777777" w:rsidR="00B75A2B" w:rsidRDefault="00B75A2B" w:rsidP="00B75A2B">
      <w:pPr>
        <w:spacing w:after="0" w:line="276" w:lineRule="auto"/>
        <w:ind w:firstLine="720"/>
        <w:jc w:val="both"/>
      </w:pPr>
      <w:r>
        <w:t xml:space="preserve">Senāts jau iepriekš vairākkārt norādījis, ka apsūdzēto personu vai viņu aizstāvju pieteikto lūgumu motivēta noraidīšana lietas iztiesāšanas laikā nav vērtējama kā apsūdzētā tiesību ierobežošana, jo atbilstoši Kriminālprocesa likuma </w:t>
      </w:r>
      <w:proofErr w:type="gramStart"/>
      <w:r>
        <w:t>496.panta</w:t>
      </w:r>
      <w:proofErr w:type="gramEnd"/>
      <w:r>
        <w:t xml:space="preserve"> otrās daļas nosacījumiem tiesai prokurora, cietušā, apsūdzētā un viņa aizstāvja lūgumi ir jāizvērtē un jāizlemj, bet tai nav obligāta pienākuma šos lūgumus apmierināt </w:t>
      </w:r>
      <w:r w:rsidRPr="00DA4D6A">
        <w:t>(</w:t>
      </w:r>
      <w:r>
        <w:rPr>
          <w:i/>
        </w:rPr>
        <w:t>Augstākās tiesas</w:t>
      </w:r>
      <w:r w:rsidRPr="00DA4D6A">
        <w:rPr>
          <w:i/>
        </w:rPr>
        <w:t xml:space="preserve"> 2018.gada 12.septembra lēmums lietā Nr. SKK-448/2018 </w:t>
      </w:r>
      <w:r w:rsidRPr="00DA4D6A">
        <w:rPr>
          <w:i/>
          <w:szCs w:val="24"/>
        </w:rPr>
        <w:t>(ECLI:LV:AT:2018:0912.11120090614.3.L)</w:t>
      </w:r>
      <w:r w:rsidRPr="00DA4D6A">
        <w:t>).</w:t>
      </w:r>
      <w:r>
        <w:t xml:space="preserve"> </w:t>
      </w:r>
    </w:p>
    <w:p w14:paraId="1B101801" w14:textId="77777777" w:rsidR="00B75A2B" w:rsidRDefault="00B75A2B" w:rsidP="00B75A2B">
      <w:pPr>
        <w:spacing w:after="0" w:line="276" w:lineRule="auto"/>
        <w:ind w:firstLine="720"/>
        <w:jc w:val="both"/>
      </w:pPr>
    </w:p>
    <w:p w14:paraId="5375ABC3" w14:textId="77777777" w:rsidR="00B75A2B" w:rsidRDefault="00B75A2B" w:rsidP="00B75A2B">
      <w:pPr>
        <w:spacing w:after="0" w:line="276" w:lineRule="auto"/>
        <w:ind w:firstLine="720"/>
        <w:jc w:val="both"/>
      </w:pPr>
      <w:r>
        <w:t xml:space="preserve">[9] Kasācijas sūdzībā ietvertā norāde uz Kriminālprocesa likuma </w:t>
      </w:r>
      <w:proofErr w:type="gramStart"/>
      <w:r>
        <w:t>15.panta</w:t>
      </w:r>
      <w:proofErr w:type="gramEnd"/>
      <w:r>
        <w:t xml:space="preserve"> pārkāpumu, argumentējot ar liegtu iespēju apsūdzētajam un aizstāvim dzirdēt, redzēt cietušo un uztvert tās neverbālās reakcijas, kā arī ierobežotu laiku jautājumu uzdošanai cietušajai, ir formāla – kasācijas sūdzībā nav konkretizēts, kādus lietā nozīmīgus apstākļus minētie faktori lieguši aizstāvībai noskaidrot, turklāt no kasācijas sūdzības satura kopumā secināms, ka iepriekš minētie faktori nav lieguši aizstāvībai izvērtēt cietušās liecības un pierādījumus kopumā.</w:t>
      </w:r>
    </w:p>
    <w:p w14:paraId="644B4A07" w14:textId="77777777" w:rsidR="00B75A2B" w:rsidRDefault="00B75A2B" w:rsidP="00B75A2B">
      <w:pPr>
        <w:spacing w:after="0" w:line="276" w:lineRule="auto"/>
        <w:ind w:firstLine="720"/>
        <w:jc w:val="both"/>
      </w:pPr>
    </w:p>
    <w:p w14:paraId="3763E7DA" w14:textId="77777777" w:rsidR="00B75A2B" w:rsidRDefault="00B75A2B" w:rsidP="00B75A2B">
      <w:pPr>
        <w:spacing w:after="0" w:line="276" w:lineRule="auto"/>
        <w:ind w:firstLine="720"/>
        <w:jc w:val="both"/>
      </w:pPr>
      <w:r>
        <w:t xml:space="preserve">[10] Ņemot vērā šā lēmuma [7-9] punktos norādīto, Senāts atzīst kasācijas sūdzībā ietvertās norādes uz Kriminālprocesa likuma 15. un </w:t>
      </w:r>
      <w:proofErr w:type="gramStart"/>
      <w:r>
        <w:t>449.panta</w:t>
      </w:r>
      <w:proofErr w:type="gramEnd"/>
      <w:r>
        <w:t xml:space="preserve"> pārkāpumiem par nepamatotām. </w:t>
      </w:r>
    </w:p>
    <w:p w14:paraId="0EC272F6" w14:textId="77777777" w:rsidR="00B75A2B" w:rsidRDefault="00B75A2B" w:rsidP="00B75A2B">
      <w:pPr>
        <w:spacing w:after="0" w:line="276" w:lineRule="auto"/>
        <w:ind w:firstLine="720"/>
        <w:jc w:val="both"/>
      </w:pPr>
    </w:p>
    <w:p w14:paraId="54C0F5E6" w14:textId="77777777" w:rsidR="00B75A2B" w:rsidRDefault="00B75A2B" w:rsidP="00B75A2B">
      <w:pPr>
        <w:spacing w:after="0" w:line="276" w:lineRule="auto"/>
        <w:ind w:firstLine="720"/>
        <w:jc w:val="both"/>
      </w:pPr>
      <w:r>
        <w:t xml:space="preserve">[11] Kasācijas sūdzības arguments, ka tiesa nepamatoti piešķīrusi pierādījuma nozīmi pirmstiesas procesā sniegtajām cietušās liecībām, ir nepamatots. Saskaņā ar Kriminālprocesa likuma </w:t>
      </w:r>
      <w:proofErr w:type="gramStart"/>
      <w:r>
        <w:t>127.panta</w:t>
      </w:r>
      <w:proofErr w:type="gramEnd"/>
      <w:r>
        <w:t xml:space="preserve"> pirmo daļu pierādījumi kriminālprocesā ir jebkuras likumā paredzētajā kārtībā iegūtas un noteiktajā procesuālajā formā nostiprinātas ziņas par faktiem, kurus kriminālprocesā iesaistītās personas savas kompetences ietvaros izmanto pierādīšanas priekšmetā ietilpstošo apstākļu esamības vai neesamības pamatošanai. Atbilstoši šī panta otrajā daļā noteiktajam kriminālprocesā iesaistītās personas kā pierādījumus var izmantot tikai ticamas, attiecināmas un pieļaujamas ziņas par faktiem. Ziņu atbilstību minētajiem kritērijiem tiesa vērtē, ievērojot Kriminālprocesa likuma 128., 129.un </w:t>
      </w:r>
      <w:proofErr w:type="gramStart"/>
      <w:r>
        <w:t>130.panta</w:t>
      </w:r>
      <w:proofErr w:type="gramEnd"/>
      <w:r>
        <w:t xml:space="preserve"> nosacījumus. </w:t>
      </w:r>
    </w:p>
    <w:p w14:paraId="09A64AAE" w14:textId="77777777" w:rsidR="00B75A2B" w:rsidRDefault="00B75A2B" w:rsidP="00B75A2B">
      <w:pPr>
        <w:spacing w:after="0" w:line="276" w:lineRule="auto"/>
        <w:ind w:firstLine="720"/>
        <w:jc w:val="both"/>
      </w:pPr>
    </w:p>
    <w:p w14:paraId="4B8BABAF" w14:textId="77777777" w:rsidR="00B75A2B" w:rsidRDefault="00B75A2B" w:rsidP="00B75A2B">
      <w:pPr>
        <w:spacing w:after="0" w:line="276" w:lineRule="auto"/>
        <w:ind w:firstLine="720"/>
        <w:jc w:val="both"/>
      </w:pPr>
      <w:r>
        <w:t xml:space="preserve">[12] Kasācijas sūdzības autora viedoklis, ka tiesa pirmstiesas procesā sniegtās liecības, kas pārbaudītas pirmās instances tiesa, var pārbaudīt apelācijas instances tiesā tikai gadījumā, ja liecinošās personas ir aicinātas sniegt liecības apelācijas instances tiesā, ir nepamatots. No Kriminālprocesa likuma </w:t>
      </w:r>
      <w:proofErr w:type="gramStart"/>
      <w:r>
        <w:t>561.panta</w:t>
      </w:r>
      <w:proofErr w:type="gramEnd"/>
      <w:r>
        <w:t xml:space="preserve"> trešās daļas, kas noteic, ka pirmās instances tiesas sēdes protokolu un protokolā norādītos rakstveida pierādījumus un dokumentus apelācijas tiesas sēdē pārbauda tikai tad, ja persona, kura īsteno aizstāvību [..], pieteikusi šādu lūgumu, un Kriminālprocesa likuma 560.panta pirmās un otrās daļas, kas noteic uz apelācijas instances tiesu aicināmo personu loku, izriet, ka apelācijas instances tiesa nolēmumā izdarīto atzinumu pamatošanā var izmantot pirmās instances tiesā pārbaudītas liecības.</w:t>
      </w:r>
    </w:p>
    <w:p w14:paraId="48463470" w14:textId="77777777" w:rsidR="00B75A2B" w:rsidRDefault="00B75A2B" w:rsidP="00B75A2B">
      <w:pPr>
        <w:spacing w:after="0" w:line="276" w:lineRule="auto"/>
        <w:ind w:firstLine="720"/>
        <w:jc w:val="both"/>
      </w:pPr>
    </w:p>
    <w:p w14:paraId="48567AB0" w14:textId="03B2CEFE" w:rsidR="00B75A2B" w:rsidRDefault="00B75A2B" w:rsidP="00B75A2B">
      <w:pPr>
        <w:spacing w:after="0" w:line="276" w:lineRule="auto"/>
        <w:ind w:firstLine="720"/>
        <w:jc w:val="both"/>
      </w:pPr>
      <w:r>
        <w:t xml:space="preserve">[13] Senāts konstatē, ka norāde uz Kriminālprocesa likuma </w:t>
      </w:r>
      <w:proofErr w:type="gramStart"/>
      <w:r>
        <w:t>128.panta</w:t>
      </w:r>
      <w:proofErr w:type="gramEnd"/>
      <w:r>
        <w:t xml:space="preserve"> un 564.panta ceturtās daļas pārkāpumu saistībā ar cietušās </w:t>
      </w:r>
      <w:r w:rsidR="00151366">
        <w:t>[pers. C]</w:t>
      </w:r>
      <w:r>
        <w:t xml:space="preserve"> un apsūdzētā </w:t>
      </w:r>
      <w:r w:rsidR="00151366">
        <w:t>[pers. B]</w:t>
      </w:r>
      <w:r>
        <w:t xml:space="preserve"> liecību vērtējumu tiesas nolēmumā, ir pamatota ar kasācijas sūdzības autora atšķirīgu šo liecību novērtējumu. Atbilstoši Kriminālprocesa likuma </w:t>
      </w:r>
      <w:proofErr w:type="gramStart"/>
      <w:r>
        <w:t>569.panta</w:t>
      </w:r>
      <w:proofErr w:type="gramEnd"/>
      <w:r>
        <w:t xml:space="preserve"> trešajā daļā noteiktajam Senāts pierādījumus lietā no jauna neizvērtē. Turklāt, ievērojot, ka lieta apelācijas instances tiesā izskatāma no jauna, pierādījumu vērtējums izdarāms, iztiesājot lietu apelācijas instances tiesā atkārtoti.</w:t>
      </w:r>
    </w:p>
    <w:p w14:paraId="38AD8F26" w14:textId="77777777" w:rsidR="00B75A2B" w:rsidRDefault="00B75A2B" w:rsidP="00B75A2B">
      <w:pPr>
        <w:spacing w:after="0" w:line="276" w:lineRule="auto"/>
        <w:ind w:firstLine="720"/>
        <w:jc w:val="both"/>
      </w:pPr>
    </w:p>
    <w:p w14:paraId="75597D24" w14:textId="60EA7C03" w:rsidR="00B75A2B" w:rsidRDefault="00B75A2B" w:rsidP="00B75A2B">
      <w:pPr>
        <w:spacing w:after="0" w:line="276" w:lineRule="auto"/>
        <w:ind w:firstLine="720"/>
        <w:jc w:val="both"/>
      </w:pPr>
      <w:r>
        <w:t>[14] Ar pirmās instances tiesas un apelācijas instances tiesas spriedumu</w:t>
      </w:r>
      <w:r w:rsidRPr="00352C66">
        <w:t xml:space="preserve"> </w:t>
      </w:r>
      <w:r>
        <w:t xml:space="preserve">atstāti negrozīti pirmstiesas procesā, apsūdzētajiem </w:t>
      </w:r>
      <w:r w:rsidR="00151366">
        <w:t>[pers. A]</w:t>
      </w:r>
      <w:r>
        <w:t xml:space="preserve"> un </w:t>
      </w:r>
      <w:r w:rsidR="00151366">
        <w:t>[pers. B]</w:t>
      </w:r>
      <w:r>
        <w:t xml:space="preserve">, piemērotie drošības līdzekļi – nodošana policijas uzraudzībā un aizliegums izbraukt no valsts. </w:t>
      </w:r>
    </w:p>
    <w:p w14:paraId="0522D434" w14:textId="7767A24C" w:rsidR="00B75A2B" w:rsidRDefault="00B75A2B" w:rsidP="00B75A2B">
      <w:pPr>
        <w:spacing w:line="276" w:lineRule="auto"/>
        <w:ind w:firstLine="720"/>
        <w:jc w:val="both"/>
      </w:pPr>
      <w:r>
        <w:t>Senāts atzīst, ka, atceļot apelācijas instances tiesas spriedumu un nosūtot lietu jaunai izskatīšanai apelācijas instances tiesā, apsūdzētaji</w:t>
      </w:r>
      <w:bookmarkStart w:id="3" w:name="_Hlk82606070"/>
      <w:r>
        <w:t xml:space="preserve">em </w:t>
      </w:r>
      <w:r w:rsidR="00151366">
        <w:t>[pers. A]</w:t>
      </w:r>
      <w:r>
        <w:t xml:space="preserve"> </w:t>
      </w:r>
      <w:bookmarkEnd w:id="3"/>
      <w:r>
        <w:t xml:space="preserve">un </w:t>
      </w:r>
      <w:r w:rsidR="00151366">
        <w:t>[pers. B]</w:t>
      </w:r>
      <w:r>
        <w:t xml:space="preserve"> turpināma minēto drošības līdzekļu piemērošana.</w:t>
      </w:r>
    </w:p>
    <w:p w14:paraId="243387C3" w14:textId="77777777" w:rsidR="00B75A2B" w:rsidRDefault="00B75A2B" w:rsidP="00B75A2B">
      <w:pPr>
        <w:spacing w:before="240" w:after="240" w:line="276" w:lineRule="auto"/>
        <w:jc w:val="center"/>
        <w:rPr>
          <w:rFonts w:eastAsia="Times New Roman" w:cs="Times New Roman"/>
          <w:b/>
          <w:szCs w:val="24"/>
        </w:rPr>
      </w:pPr>
      <w:r>
        <w:rPr>
          <w:rFonts w:eastAsia="Times New Roman" w:cs="Times New Roman"/>
          <w:b/>
          <w:szCs w:val="24"/>
        </w:rPr>
        <w:t>Rezolutīvā daļa</w:t>
      </w:r>
    </w:p>
    <w:p w14:paraId="67EC1882" w14:textId="77777777" w:rsidR="00B75A2B" w:rsidRPr="007B7B23" w:rsidRDefault="00B75A2B" w:rsidP="00B75A2B">
      <w:pPr>
        <w:spacing w:after="0" w:line="276" w:lineRule="auto"/>
        <w:ind w:firstLine="709"/>
        <w:jc w:val="both"/>
        <w:rPr>
          <w:rFonts w:eastAsia="Times New Roman" w:cs="Times New Roman"/>
          <w:bCs/>
          <w:szCs w:val="24"/>
        </w:rPr>
      </w:pPr>
      <w:r>
        <w:rPr>
          <w:rFonts w:eastAsia="Times New Roman" w:cs="Times New Roman"/>
          <w:szCs w:val="24"/>
        </w:rPr>
        <w:t>P</w:t>
      </w:r>
      <w:r>
        <w:rPr>
          <w:rFonts w:eastAsia="Times New Roman" w:cs="Times New Roman"/>
          <w:bCs/>
          <w:szCs w:val="24"/>
        </w:rPr>
        <w:t xml:space="preserve">amatojoties uz Kriminālprocesa likuma 585. un </w:t>
      </w:r>
      <w:proofErr w:type="gramStart"/>
      <w:r>
        <w:rPr>
          <w:rFonts w:eastAsia="Times New Roman" w:cs="Times New Roman"/>
          <w:bCs/>
          <w:szCs w:val="24"/>
        </w:rPr>
        <w:t>587.pantu</w:t>
      </w:r>
      <w:proofErr w:type="gramEnd"/>
      <w:r>
        <w:rPr>
          <w:rFonts w:eastAsia="Times New Roman" w:cs="Times New Roman"/>
          <w:bCs/>
          <w:szCs w:val="24"/>
        </w:rPr>
        <w:t>, tiesa</w:t>
      </w:r>
    </w:p>
    <w:p w14:paraId="677516CE" w14:textId="77777777" w:rsidR="00B75A2B" w:rsidRDefault="00B75A2B" w:rsidP="00B75A2B">
      <w:pPr>
        <w:pStyle w:val="tv213"/>
        <w:spacing w:before="0" w:beforeAutospacing="0" w:after="0" w:afterAutospacing="0" w:line="276" w:lineRule="auto"/>
        <w:jc w:val="center"/>
        <w:rPr>
          <w:b/>
        </w:rPr>
      </w:pPr>
    </w:p>
    <w:p w14:paraId="11F8C60A" w14:textId="77777777" w:rsidR="00B75A2B" w:rsidRDefault="00B75A2B" w:rsidP="00B75A2B">
      <w:pPr>
        <w:pStyle w:val="tv213"/>
        <w:spacing w:before="0" w:beforeAutospacing="0" w:after="0" w:afterAutospacing="0" w:line="276" w:lineRule="auto"/>
        <w:jc w:val="center"/>
        <w:rPr>
          <w:b/>
        </w:rPr>
      </w:pPr>
      <w:r>
        <w:rPr>
          <w:b/>
        </w:rPr>
        <w:t>nolēma:</w:t>
      </w:r>
    </w:p>
    <w:p w14:paraId="0FD22203" w14:textId="77777777" w:rsidR="00B75A2B" w:rsidRDefault="00B75A2B" w:rsidP="00B75A2B">
      <w:pPr>
        <w:pStyle w:val="tv213"/>
        <w:spacing w:before="0" w:beforeAutospacing="0" w:after="0" w:afterAutospacing="0" w:line="276" w:lineRule="auto"/>
        <w:jc w:val="center"/>
        <w:rPr>
          <w:b/>
        </w:rPr>
      </w:pPr>
    </w:p>
    <w:p w14:paraId="0B6F7F4C" w14:textId="72125566" w:rsidR="00B75A2B" w:rsidRDefault="00B75A2B" w:rsidP="00B75A2B">
      <w:pPr>
        <w:pStyle w:val="tv213"/>
        <w:spacing w:before="0" w:beforeAutospacing="0" w:after="0" w:afterAutospacing="0" w:line="276" w:lineRule="auto"/>
        <w:ind w:firstLine="709"/>
        <w:jc w:val="both"/>
        <w:rPr>
          <w:bCs/>
        </w:rPr>
      </w:pPr>
      <w:r>
        <w:rPr>
          <w:bCs/>
        </w:rPr>
        <w:t xml:space="preserve">atcelt </w:t>
      </w:r>
      <w:r w:rsidR="00151366">
        <w:rPr>
          <w:bCs/>
        </w:rPr>
        <w:t>[..]</w:t>
      </w:r>
      <w:r>
        <w:rPr>
          <w:bCs/>
        </w:rPr>
        <w:t xml:space="preserve"> apgabaltiesas </w:t>
      </w:r>
      <w:proofErr w:type="gramStart"/>
      <w:r>
        <w:rPr>
          <w:bCs/>
        </w:rPr>
        <w:t>2019.gada</w:t>
      </w:r>
      <w:proofErr w:type="gramEnd"/>
      <w:r>
        <w:rPr>
          <w:bCs/>
        </w:rPr>
        <w:t xml:space="preserve"> </w:t>
      </w:r>
      <w:r w:rsidR="00151366">
        <w:rPr>
          <w:bCs/>
        </w:rPr>
        <w:t>[..]</w:t>
      </w:r>
      <w:r>
        <w:rPr>
          <w:bCs/>
        </w:rPr>
        <w:t xml:space="preserve"> spriedumu pilnībā un lietu nosūtīt jaunai izskatīšanai </w:t>
      </w:r>
      <w:r w:rsidR="00151366">
        <w:rPr>
          <w:bCs/>
        </w:rPr>
        <w:t>[..]</w:t>
      </w:r>
      <w:r>
        <w:rPr>
          <w:bCs/>
        </w:rPr>
        <w:t xml:space="preserve"> apgabaltiesā.</w:t>
      </w:r>
    </w:p>
    <w:p w14:paraId="4F732E8C" w14:textId="1FADC595" w:rsidR="00B75A2B" w:rsidRDefault="00B75A2B" w:rsidP="00B75A2B">
      <w:pPr>
        <w:pStyle w:val="tv213"/>
        <w:spacing w:before="0" w:beforeAutospacing="0" w:after="0" w:afterAutospacing="0" w:line="276" w:lineRule="auto"/>
        <w:ind w:firstLine="720"/>
        <w:jc w:val="both"/>
      </w:pPr>
      <w:r>
        <w:t xml:space="preserve">Apsūdzētajam </w:t>
      </w:r>
      <w:r w:rsidR="00151366">
        <w:t>[pers. A]</w:t>
      </w:r>
      <w:r>
        <w:t xml:space="preserve"> turpināt piemērot drošības līdzekļus – nodošanu policijas uzraudzībā</w:t>
      </w:r>
      <w:r>
        <w:rPr>
          <w:i/>
        </w:rPr>
        <w:t xml:space="preserve"> </w:t>
      </w:r>
      <w:r>
        <w:t>un aizliegumu izbraukt no valsts.</w:t>
      </w:r>
    </w:p>
    <w:p w14:paraId="10CD8395" w14:textId="0FA2B283" w:rsidR="00B75A2B" w:rsidRPr="007B7B23" w:rsidRDefault="00B75A2B" w:rsidP="00B75A2B">
      <w:pPr>
        <w:pStyle w:val="tv213"/>
        <w:spacing w:before="0" w:beforeAutospacing="0" w:after="0" w:afterAutospacing="0" w:line="276" w:lineRule="auto"/>
        <w:ind w:firstLine="720"/>
        <w:jc w:val="both"/>
        <w:rPr>
          <w:bCs/>
        </w:rPr>
      </w:pPr>
      <w:r>
        <w:t xml:space="preserve">Apsūdzētajam </w:t>
      </w:r>
      <w:r w:rsidR="00151366">
        <w:t>[pers. B]</w:t>
      </w:r>
      <w:r>
        <w:t xml:space="preserve"> turpināt piemērot drošības līdzekļus – nodošanu policijas uzraudzībā un aizliegumu izbraukt no valsts.</w:t>
      </w:r>
    </w:p>
    <w:p w14:paraId="373DB2FC" w14:textId="77777777" w:rsidR="00B75A2B" w:rsidRDefault="00B75A2B" w:rsidP="00B75A2B">
      <w:pPr>
        <w:tabs>
          <w:tab w:val="left" w:pos="-3120"/>
        </w:tabs>
        <w:suppressAutoHyphens/>
        <w:spacing w:after="0" w:line="276" w:lineRule="auto"/>
        <w:jc w:val="both"/>
        <w:rPr>
          <w:color w:val="000000"/>
        </w:rPr>
      </w:pPr>
      <w:r>
        <w:tab/>
      </w: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sectPr w:rsidR="00B75A2B" w:rsidSect="00BB412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8E6A" w14:textId="77777777" w:rsidR="00256E3C" w:rsidRDefault="00316AEC">
      <w:pPr>
        <w:spacing w:after="0" w:line="240" w:lineRule="auto"/>
      </w:pPr>
      <w:r>
        <w:separator/>
      </w:r>
    </w:p>
  </w:endnote>
  <w:endnote w:type="continuationSeparator" w:id="0">
    <w:p w14:paraId="3CCE9A6B" w14:textId="77777777" w:rsidR="00256E3C" w:rsidRDefault="0031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01F95417" w14:textId="77777777" w:rsidR="00EE3783" w:rsidRPr="00EE3783" w:rsidRDefault="00B75A2B">
            <w:pPr>
              <w:pStyle w:val="Footer"/>
              <w:jc w:val="center"/>
              <w:rPr>
                <w:sz w:val="22"/>
              </w:rPr>
            </w:pPr>
            <w:r w:rsidRPr="00EE3783">
              <w:rPr>
                <w:sz w:val="22"/>
              </w:rPr>
              <w:fldChar w:fldCharType="begin"/>
            </w:r>
            <w:r w:rsidRPr="00EE3783">
              <w:rPr>
                <w:sz w:val="22"/>
              </w:rPr>
              <w:instrText xml:space="preserve"> PAGE </w:instrText>
            </w:r>
            <w:r w:rsidRPr="00EE3783">
              <w:rPr>
                <w:sz w:val="22"/>
              </w:rPr>
              <w:fldChar w:fldCharType="separate"/>
            </w:r>
            <w:r w:rsidRPr="00EE3783">
              <w:rPr>
                <w:noProof/>
                <w:sz w:val="22"/>
              </w:rPr>
              <w:t>2</w:t>
            </w:r>
            <w:r w:rsidRPr="00EE3783">
              <w:rPr>
                <w:sz w:val="22"/>
              </w:rPr>
              <w:fldChar w:fldCharType="end"/>
            </w:r>
            <w:r w:rsidRPr="00EE3783">
              <w:rPr>
                <w:sz w:val="22"/>
              </w:rPr>
              <w:t xml:space="preserve"> no </w:t>
            </w:r>
            <w:r w:rsidRPr="00EE3783">
              <w:rPr>
                <w:sz w:val="22"/>
              </w:rPr>
              <w:fldChar w:fldCharType="begin"/>
            </w:r>
            <w:r w:rsidRPr="00EE3783">
              <w:rPr>
                <w:sz w:val="22"/>
              </w:rPr>
              <w:instrText xml:space="preserve"> NUMPAGES  </w:instrText>
            </w:r>
            <w:r w:rsidRPr="00EE3783">
              <w:rPr>
                <w:sz w:val="22"/>
              </w:rPr>
              <w:fldChar w:fldCharType="separate"/>
            </w:r>
            <w:r w:rsidRPr="00EE3783">
              <w:rPr>
                <w:noProof/>
                <w:sz w:val="22"/>
              </w:rPr>
              <w:t>2</w:t>
            </w:r>
            <w:r w:rsidRPr="00EE3783">
              <w:rPr>
                <w:sz w:val="22"/>
              </w:rPr>
              <w:fldChar w:fldCharType="end"/>
            </w:r>
          </w:p>
        </w:sdtContent>
      </w:sdt>
    </w:sdtContent>
  </w:sdt>
  <w:p w14:paraId="551BB2F9" w14:textId="77777777" w:rsidR="00EE3783" w:rsidRDefault="00B75A2B" w:rsidP="00EE3783">
    <w:pPr>
      <w:pStyle w:val="Footer"/>
      <w:tabs>
        <w:tab w:val="clear" w:pos="4153"/>
        <w:tab w:val="clear" w:pos="8306"/>
        <w:tab w:val="left" w:pos="35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A671" w14:textId="77777777" w:rsidR="00256E3C" w:rsidRDefault="00316AEC">
      <w:pPr>
        <w:spacing w:after="0" w:line="240" w:lineRule="auto"/>
      </w:pPr>
      <w:r>
        <w:separator/>
      </w:r>
    </w:p>
  </w:footnote>
  <w:footnote w:type="continuationSeparator" w:id="0">
    <w:p w14:paraId="44489AFA" w14:textId="77777777" w:rsidR="00256E3C" w:rsidRDefault="00316AEC">
      <w:pPr>
        <w:spacing w:after="0" w:line="240" w:lineRule="auto"/>
      </w:pPr>
      <w:r>
        <w:continuationSeparator/>
      </w:r>
    </w:p>
  </w:footnote>
  <w:footnote w:id="1">
    <w:p w14:paraId="51D2F4D5" w14:textId="33758392" w:rsidR="00B94B00" w:rsidRDefault="00B94B00">
      <w:pPr>
        <w:pStyle w:val="FootnoteText"/>
      </w:pPr>
      <w:r>
        <w:rPr>
          <w:rStyle w:val="FootnoteReference"/>
        </w:rPr>
        <w:footnoteRef/>
      </w:r>
      <w:r>
        <w:t xml:space="preserve"> </w:t>
      </w:r>
      <w:r w:rsidR="00A05F50">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2B"/>
    <w:rsid w:val="00151366"/>
    <w:rsid w:val="00181D5F"/>
    <w:rsid w:val="00256E3C"/>
    <w:rsid w:val="00316AEC"/>
    <w:rsid w:val="003274CC"/>
    <w:rsid w:val="00355D0F"/>
    <w:rsid w:val="00395346"/>
    <w:rsid w:val="0043774E"/>
    <w:rsid w:val="004D6BB4"/>
    <w:rsid w:val="005474D6"/>
    <w:rsid w:val="00626E26"/>
    <w:rsid w:val="008D750A"/>
    <w:rsid w:val="00A03F58"/>
    <w:rsid w:val="00A05F50"/>
    <w:rsid w:val="00AE4AFE"/>
    <w:rsid w:val="00B75A2B"/>
    <w:rsid w:val="00B94B00"/>
    <w:rsid w:val="00DA0335"/>
    <w:rsid w:val="00EC2F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5EED2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2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75A2B"/>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75A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A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5A2B"/>
  </w:style>
  <w:style w:type="character" w:styleId="Hyperlink">
    <w:name w:val="Hyperlink"/>
    <w:basedOn w:val="DefaultParagraphFont"/>
    <w:uiPriority w:val="99"/>
    <w:unhideWhenUsed/>
    <w:rsid w:val="00B75A2B"/>
    <w:rPr>
      <w:color w:val="0563C1"/>
      <w:u w:val="single"/>
    </w:rPr>
  </w:style>
  <w:style w:type="paragraph" w:styleId="Header">
    <w:name w:val="header"/>
    <w:basedOn w:val="Normal"/>
    <w:link w:val="HeaderChar"/>
    <w:uiPriority w:val="99"/>
    <w:unhideWhenUsed/>
    <w:rsid w:val="00EC2F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2FF0"/>
  </w:style>
  <w:style w:type="paragraph" w:styleId="FootnoteText">
    <w:name w:val="footnote text"/>
    <w:basedOn w:val="Normal"/>
    <w:link w:val="FootnoteTextChar"/>
    <w:uiPriority w:val="99"/>
    <w:semiHidden/>
    <w:unhideWhenUsed/>
    <w:rsid w:val="00B94B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B00"/>
    <w:rPr>
      <w:sz w:val="20"/>
      <w:szCs w:val="20"/>
    </w:rPr>
  </w:style>
  <w:style w:type="character" w:styleId="FootnoteReference">
    <w:name w:val="footnote reference"/>
    <w:basedOn w:val="DefaultParagraphFont"/>
    <w:uiPriority w:val="99"/>
    <w:semiHidden/>
    <w:unhideWhenUsed/>
    <w:rsid w:val="00B94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itania.saeima.lv/LIVS12/SaeimaLIVS12.nsf/0/A2A8DD03D30A2D10C2257E580025A39E?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5078-83B8-4B45-AA24-5B0750DD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17249</Words>
  <Characters>9833</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2021-10-15T08:22:00Z</dcterms:created>
  <dcterms:modified xsi:type="dcterms:W3CDTF">2021-10-15T08:22:00Z</dcterms:modified>
</cp:coreProperties>
</file>