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7877" w14:textId="17382156" w:rsidR="001D2DB7" w:rsidRDefault="00DB01BE" w:rsidP="00DB01BE">
      <w:pPr>
        <w:spacing w:after="0" w:line="276" w:lineRule="auto"/>
        <w:jc w:val="both"/>
        <w:rPr>
          <w:rFonts w:cs="Times New Roman"/>
          <w:b/>
          <w:bCs/>
          <w:color w:val="000000"/>
          <w:szCs w:val="24"/>
        </w:rPr>
      </w:pPr>
      <w:r w:rsidRPr="00021862">
        <w:rPr>
          <w:rFonts w:cs="Times New Roman"/>
          <w:b/>
          <w:bCs/>
          <w:color w:val="000000"/>
          <w:szCs w:val="24"/>
        </w:rPr>
        <w:t>Lietas iztiesāšana apelācijas instances tiesā rakstveida procesā ārkārtējās situācijas laikā un tiesību uz taisnīgu tiesu nodrošināšana</w:t>
      </w:r>
    </w:p>
    <w:p w14:paraId="5F639FA1" w14:textId="2E957022" w:rsidR="00DB01BE" w:rsidRDefault="00DB01BE" w:rsidP="00DB01BE">
      <w:pPr>
        <w:spacing w:after="0" w:line="276" w:lineRule="auto"/>
        <w:jc w:val="both"/>
        <w:rPr>
          <w:color w:val="000000"/>
        </w:rPr>
      </w:pPr>
      <w:r>
        <w:rPr>
          <w:color w:val="000000"/>
        </w:rPr>
        <w:t xml:space="preserve">Likuma „Par valsts institūciju darbību ārkārtējās situācijas laikā saistībā ar </w:t>
      </w:r>
      <w:proofErr w:type="spellStart"/>
      <w:r>
        <w:rPr>
          <w:color w:val="000000"/>
        </w:rPr>
        <w:t>Covid-19</w:t>
      </w:r>
      <w:proofErr w:type="spellEnd"/>
      <w:r>
        <w:rPr>
          <w:color w:val="000000"/>
        </w:rPr>
        <w:t xml:space="preserve"> izplatību” </w:t>
      </w:r>
      <w:proofErr w:type="gramStart"/>
      <w:r>
        <w:rPr>
          <w:color w:val="000000"/>
        </w:rPr>
        <w:t>4.panta</w:t>
      </w:r>
      <w:proofErr w:type="gramEnd"/>
      <w:r>
        <w:rPr>
          <w:color w:val="000000"/>
        </w:rPr>
        <w:t xml:space="preserve"> trešā daļa noteica, ka krimināllietu apelācijas kārtībā var iztiesāt rakstveida procesā arī citos Kriminālprocesa likumā neminētos gadījumos, ja pret to neiebilst prokurors vai persona, kuras intereses un tiesības sūdzība vai protests aizskar. Minētais nozīmē, ka, ja arī procesā iesaistītās personas neiebilst pret rakstveida procesu, tiesai nav pienākuma katrā ziņā lietu noteikt izskatīšanai rakstveida procesā – normā paredzēto tiesisko kārtību tā var piemērot vai nepiemērot. Izvēloties rakstveida procesa veidu, apelācijas instances tiesai ir jānodrošina, lai tiktu ievērotas procesā iesaistīto personu tiesības uz taisnīgu tiesu.</w:t>
      </w:r>
    </w:p>
    <w:p w14:paraId="35FB8C76" w14:textId="0E4868FB" w:rsidR="00DB01BE" w:rsidRDefault="00DB01BE" w:rsidP="00DB01BE">
      <w:pPr>
        <w:spacing w:after="0" w:line="276" w:lineRule="auto"/>
        <w:jc w:val="both"/>
        <w:rPr>
          <w:color w:val="000000"/>
        </w:rPr>
      </w:pPr>
    </w:p>
    <w:p w14:paraId="0AF01E0F" w14:textId="4CE34D80" w:rsidR="00DB01BE" w:rsidRDefault="00DB01BE" w:rsidP="00DB01BE">
      <w:pPr>
        <w:spacing w:after="0" w:line="276" w:lineRule="auto"/>
        <w:jc w:val="both"/>
        <w:rPr>
          <w:rFonts w:eastAsia="Times New Roman" w:cs="Times New Roman"/>
          <w:szCs w:val="24"/>
        </w:rPr>
      </w:pPr>
      <w:r w:rsidRPr="00021862">
        <w:rPr>
          <w:b/>
          <w:bCs/>
          <w:color w:val="000000"/>
        </w:rPr>
        <w:t xml:space="preserve">Liecību pieļaujamība, ja nepilngadīgais cietušais nopratināts, pārkāpjot Kriminālprocesa likuma </w:t>
      </w:r>
      <w:proofErr w:type="gramStart"/>
      <w:r w:rsidRPr="00021862">
        <w:rPr>
          <w:b/>
          <w:bCs/>
          <w:color w:val="000000"/>
        </w:rPr>
        <w:t>152.panta</w:t>
      </w:r>
      <w:proofErr w:type="gramEnd"/>
      <w:r w:rsidRPr="00021862">
        <w:rPr>
          <w:b/>
          <w:bCs/>
          <w:color w:val="000000"/>
        </w:rPr>
        <w:t xml:space="preserve"> ceturtās daļas nosacījumus</w:t>
      </w:r>
    </w:p>
    <w:p w14:paraId="6FF7D4F7" w14:textId="0F959623" w:rsidR="001D2DB7" w:rsidRDefault="001D2DB7" w:rsidP="00DB01BE">
      <w:pPr>
        <w:spacing w:after="0" w:line="360" w:lineRule="auto"/>
        <w:rPr>
          <w:rFonts w:eastAsia="Times New Roman" w:cs="Times New Roman"/>
          <w:szCs w:val="24"/>
        </w:rPr>
      </w:pPr>
    </w:p>
    <w:p w14:paraId="137D6FE9" w14:textId="77777777" w:rsidR="00DB01BE" w:rsidRPr="00DB01BE" w:rsidRDefault="001D2DB7" w:rsidP="001D2DB7">
      <w:pPr>
        <w:spacing w:after="0" w:line="276" w:lineRule="auto"/>
        <w:jc w:val="center"/>
        <w:rPr>
          <w:rFonts w:eastAsia="Times New Roman" w:cs="Times New Roman"/>
          <w:b/>
          <w:szCs w:val="24"/>
        </w:rPr>
      </w:pPr>
      <w:r w:rsidRPr="00DB01BE">
        <w:rPr>
          <w:rFonts w:cs="Times New Roman"/>
          <w:b/>
          <w:szCs w:val="24"/>
        </w:rPr>
        <w:t>Latvijas Republikas Senāt</w:t>
      </w:r>
      <w:r w:rsidR="00DB01BE" w:rsidRPr="00DB01BE">
        <w:rPr>
          <w:rFonts w:cs="Times New Roman"/>
          <w:b/>
          <w:szCs w:val="24"/>
        </w:rPr>
        <w:t>a</w:t>
      </w:r>
      <w:r w:rsidR="00DB01BE" w:rsidRPr="00DB01BE">
        <w:rPr>
          <w:rFonts w:eastAsia="Times New Roman" w:cs="Times New Roman"/>
          <w:b/>
          <w:szCs w:val="24"/>
        </w:rPr>
        <w:t xml:space="preserve"> </w:t>
      </w:r>
    </w:p>
    <w:p w14:paraId="5389B10D" w14:textId="77777777" w:rsidR="00DB01BE" w:rsidRPr="00DB01BE" w:rsidRDefault="00DB01BE" w:rsidP="001D2DB7">
      <w:pPr>
        <w:spacing w:after="0" w:line="276" w:lineRule="auto"/>
        <w:jc w:val="center"/>
        <w:rPr>
          <w:rFonts w:eastAsia="Times New Roman" w:cs="Times New Roman"/>
          <w:b/>
          <w:szCs w:val="24"/>
        </w:rPr>
      </w:pPr>
      <w:r w:rsidRPr="00DB01BE">
        <w:rPr>
          <w:rFonts w:eastAsia="Times New Roman" w:cs="Times New Roman"/>
          <w:b/>
          <w:szCs w:val="24"/>
        </w:rPr>
        <w:t>Krimināllietu departamenta</w:t>
      </w:r>
    </w:p>
    <w:p w14:paraId="11B1E85B" w14:textId="15B9F2FA" w:rsidR="001D2DB7" w:rsidRPr="00DB01BE" w:rsidRDefault="00DB01BE" w:rsidP="001D2DB7">
      <w:pPr>
        <w:spacing w:after="0" w:line="276" w:lineRule="auto"/>
        <w:jc w:val="center"/>
        <w:rPr>
          <w:rFonts w:cs="Times New Roman"/>
          <w:b/>
          <w:szCs w:val="24"/>
        </w:rPr>
      </w:pPr>
      <w:proofErr w:type="gramStart"/>
      <w:r w:rsidRPr="00DB01BE">
        <w:rPr>
          <w:rFonts w:eastAsia="Times New Roman" w:cs="Times New Roman"/>
          <w:b/>
          <w:szCs w:val="24"/>
        </w:rPr>
        <w:t>2021.gada</w:t>
      </w:r>
      <w:proofErr w:type="gramEnd"/>
      <w:r w:rsidRPr="00DB01BE">
        <w:rPr>
          <w:rFonts w:eastAsia="Times New Roman" w:cs="Times New Roman"/>
          <w:b/>
          <w:szCs w:val="24"/>
        </w:rPr>
        <w:t xml:space="preserve"> </w:t>
      </w:r>
      <w:r w:rsidR="00850B6B">
        <w:rPr>
          <w:rFonts w:eastAsia="Times New Roman" w:cs="Times New Roman"/>
          <w:b/>
          <w:szCs w:val="24"/>
        </w:rPr>
        <w:t>[..]</w:t>
      </w:r>
    </w:p>
    <w:p w14:paraId="09FCE27A" w14:textId="65864CBE" w:rsidR="00DB01BE" w:rsidRPr="00DB01BE" w:rsidRDefault="001D2DB7" w:rsidP="001D2DB7">
      <w:pPr>
        <w:spacing w:after="0" w:line="276" w:lineRule="auto"/>
        <w:jc w:val="center"/>
        <w:rPr>
          <w:rFonts w:eastAsia="Times New Roman" w:cs="Times New Roman"/>
          <w:b/>
          <w:szCs w:val="24"/>
        </w:rPr>
      </w:pPr>
      <w:r w:rsidRPr="00DB01BE">
        <w:rPr>
          <w:rFonts w:cs="Times New Roman"/>
          <w:b/>
          <w:szCs w:val="24"/>
        </w:rPr>
        <w:t>LĒMUMS</w:t>
      </w:r>
      <w:r w:rsidR="00E55A01">
        <w:rPr>
          <w:rStyle w:val="FootnoteReference"/>
          <w:rFonts w:cs="Times New Roman"/>
          <w:b/>
          <w:szCs w:val="24"/>
        </w:rPr>
        <w:footnoteReference w:id="1"/>
      </w:r>
      <w:r w:rsidR="00DB01BE" w:rsidRPr="00DB01BE">
        <w:rPr>
          <w:rFonts w:eastAsia="Times New Roman" w:cs="Times New Roman"/>
          <w:b/>
          <w:szCs w:val="24"/>
        </w:rPr>
        <w:t xml:space="preserve"> </w:t>
      </w:r>
    </w:p>
    <w:p w14:paraId="712B940B" w14:textId="2291EEB1" w:rsidR="001D2DB7" w:rsidRPr="00DB01BE" w:rsidRDefault="00DB01BE" w:rsidP="001D2DB7">
      <w:pPr>
        <w:spacing w:after="0" w:line="276" w:lineRule="auto"/>
        <w:jc w:val="center"/>
        <w:rPr>
          <w:rFonts w:cs="Times New Roman"/>
          <w:b/>
          <w:szCs w:val="24"/>
        </w:rPr>
      </w:pPr>
      <w:r w:rsidRPr="00DB01BE">
        <w:rPr>
          <w:rFonts w:eastAsia="Times New Roman" w:cs="Times New Roman"/>
          <w:b/>
          <w:szCs w:val="24"/>
        </w:rPr>
        <w:t>Lieta Nr. </w:t>
      </w:r>
      <w:r w:rsidR="00850B6B">
        <w:rPr>
          <w:rFonts w:eastAsia="Times New Roman" w:cs="Times New Roman"/>
          <w:b/>
          <w:szCs w:val="24"/>
        </w:rPr>
        <w:t>[..]</w:t>
      </w:r>
      <w:r w:rsidRPr="00DB01BE">
        <w:rPr>
          <w:rFonts w:eastAsia="Times New Roman" w:cs="Times New Roman"/>
          <w:b/>
          <w:szCs w:val="24"/>
        </w:rPr>
        <w:t>, SKK</w:t>
      </w:r>
      <w:r w:rsidRPr="00DB01BE">
        <w:rPr>
          <w:rFonts w:eastAsia="Times New Roman" w:cs="Times New Roman"/>
          <w:b/>
          <w:szCs w:val="24"/>
        </w:rPr>
        <w:noBreakHyphen/>
      </w:r>
      <w:r w:rsidR="00850B6B">
        <w:rPr>
          <w:rFonts w:eastAsia="Times New Roman" w:cs="Times New Roman"/>
          <w:b/>
          <w:szCs w:val="24"/>
        </w:rPr>
        <w:t>[H]</w:t>
      </w:r>
      <w:r w:rsidRPr="00DB01BE">
        <w:rPr>
          <w:rFonts w:eastAsia="Times New Roman" w:cs="Times New Roman"/>
          <w:b/>
          <w:szCs w:val="24"/>
        </w:rPr>
        <w:t>/2021</w:t>
      </w:r>
    </w:p>
    <w:p w14:paraId="2FDB518C" w14:textId="6C14A5E4" w:rsidR="001D2DB7" w:rsidRDefault="00DB01BE" w:rsidP="001D2DB7">
      <w:pPr>
        <w:spacing w:after="0" w:line="360" w:lineRule="auto"/>
        <w:jc w:val="center"/>
        <w:rPr>
          <w:rFonts w:eastAsia="Times New Roman" w:cs="Times New Roman"/>
          <w:szCs w:val="24"/>
        </w:rPr>
      </w:pPr>
      <w:r w:rsidRPr="00DB01BE">
        <w:rPr>
          <w:rFonts w:cs="Times New Roman"/>
          <w:color w:val="000000"/>
          <w:szCs w:val="24"/>
          <w:shd w:val="clear" w:color="auto" w:fill="FFFFFF"/>
        </w:rPr>
        <w:t>ECLI:LV:AT:2021:</w:t>
      </w:r>
      <w:r w:rsidR="00850B6B">
        <w:rPr>
          <w:rFonts w:cs="Times New Roman"/>
          <w:color w:val="000000"/>
          <w:szCs w:val="24"/>
          <w:shd w:val="clear" w:color="auto" w:fill="FFFFFF"/>
        </w:rPr>
        <w:t>[..]</w:t>
      </w:r>
    </w:p>
    <w:p w14:paraId="0BD442E7" w14:textId="3EE2ED5E" w:rsidR="001D2DB7" w:rsidRDefault="001D2DB7" w:rsidP="001D2DB7">
      <w:pPr>
        <w:spacing w:before="240" w:after="200" w:line="276" w:lineRule="auto"/>
        <w:ind w:firstLine="709"/>
        <w:jc w:val="both"/>
        <w:rPr>
          <w:rFonts w:cs="Times New Roman"/>
          <w:szCs w:val="24"/>
        </w:rPr>
      </w:pPr>
      <w:r>
        <w:rPr>
          <w:rFonts w:cs="Times New Roman"/>
          <w:szCs w:val="24"/>
        </w:rPr>
        <w:t xml:space="preserve">Tiesa šādā sastāvā: senatori </w:t>
      </w:r>
      <w:r>
        <w:t xml:space="preserve">Aivars Uminskis, </w:t>
      </w:r>
      <w:r w:rsidR="008225A3">
        <w:t>Sandra Kaija</w:t>
      </w:r>
      <w:r>
        <w:t xml:space="preserve">, </w:t>
      </w:r>
      <w:r w:rsidR="008225A3">
        <w:t>Inguna Radzeviča</w:t>
      </w:r>
    </w:p>
    <w:p w14:paraId="312D117A" w14:textId="6D3BABE8" w:rsidR="008225A3" w:rsidRDefault="001D2DB7" w:rsidP="001D2DB7">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w:t>
      </w:r>
      <w:r w:rsidR="008225A3">
        <w:rPr>
          <w:rFonts w:eastAsia="Times New Roman" w:cs="Times New Roman"/>
          <w:szCs w:val="24"/>
        </w:rPr>
        <w:t xml:space="preserve">apsūdzētā </w:t>
      </w:r>
      <w:r w:rsidR="00850B6B">
        <w:rPr>
          <w:rFonts w:eastAsia="Times New Roman" w:cs="Times New Roman"/>
          <w:szCs w:val="24"/>
        </w:rPr>
        <w:t>[pers. A]</w:t>
      </w:r>
      <w:r w:rsidR="008225A3">
        <w:rPr>
          <w:rFonts w:eastAsia="Times New Roman" w:cs="Times New Roman"/>
          <w:szCs w:val="24"/>
        </w:rPr>
        <w:t xml:space="preserve"> kasācijas sūdzību par </w:t>
      </w:r>
      <w:r w:rsidR="00850B6B">
        <w:rPr>
          <w:rFonts w:eastAsia="Times New Roman" w:cs="Times New Roman"/>
          <w:szCs w:val="24"/>
        </w:rPr>
        <w:t>[..]</w:t>
      </w:r>
      <w:r w:rsidR="008225A3">
        <w:rPr>
          <w:rFonts w:eastAsia="Times New Roman" w:cs="Times New Roman"/>
          <w:szCs w:val="24"/>
        </w:rPr>
        <w:t xml:space="preserve"> apgabaltiesas </w:t>
      </w:r>
      <w:proofErr w:type="gramStart"/>
      <w:r w:rsidR="008225A3">
        <w:rPr>
          <w:rFonts w:eastAsia="Times New Roman" w:cs="Times New Roman"/>
          <w:szCs w:val="24"/>
        </w:rPr>
        <w:t>2020.gada</w:t>
      </w:r>
      <w:proofErr w:type="gramEnd"/>
      <w:r w:rsidR="008225A3">
        <w:rPr>
          <w:rFonts w:eastAsia="Times New Roman" w:cs="Times New Roman"/>
          <w:szCs w:val="24"/>
        </w:rPr>
        <w:t xml:space="preserve"> </w:t>
      </w:r>
      <w:r w:rsidR="00850B6B">
        <w:rPr>
          <w:rFonts w:eastAsia="Times New Roman" w:cs="Times New Roman"/>
          <w:szCs w:val="24"/>
        </w:rPr>
        <w:t>[..]</w:t>
      </w:r>
      <w:r w:rsidR="008225A3">
        <w:rPr>
          <w:rFonts w:eastAsia="Times New Roman" w:cs="Times New Roman"/>
          <w:szCs w:val="24"/>
        </w:rPr>
        <w:t xml:space="preserve"> lēmumu.</w:t>
      </w:r>
    </w:p>
    <w:p w14:paraId="3BF0E7AB" w14:textId="77777777" w:rsidR="001D2DB7" w:rsidRDefault="001D2DB7" w:rsidP="001D2DB7">
      <w:pPr>
        <w:spacing w:after="0" w:line="276" w:lineRule="auto"/>
        <w:ind w:firstLine="709"/>
        <w:jc w:val="both"/>
        <w:rPr>
          <w:rFonts w:cs="Times New Roman"/>
          <w:szCs w:val="24"/>
        </w:rPr>
      </w:pPr>
    </w:p>
    <w:p w14:paraId="23F45F58" w14:textId="77777777" w:rsidR="001D2DB7" w:rsidRDefault="001D2DB7" w:rsidP="001D2DB7">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70FA6CBC" w14:textId="77777777" w:rsidR="001D2DB7" w:rsidRDefault="001D2DB7" w:rsidP="001D2DB7">
      <w:pPr>
        <w:autoSpaceDE w:val="0"/>
        <w:autoSpaceDN w:val="0"/>
        <w:adjustRightInd w:val="0"/>
        <w:spacing w:after="0" w:line="276" w:lineRule="auto"/>
        <w:jc w:val="center"/>
        <w:rPr>
          <w:rFonts w:cs="Times New Roman"/>
          <w:b/>
          <w:bCs/>
          <w:szCs w:val="24"/>
        </w:rPr>
      </w:pPr>
    </w:p>
    <w:p w14:paraId="1936745C" w14:textId="7B2209AD" w:rsidR="009577F3" w:rsidRDefault="001D2DB7" w:rsidP="009577F3">
      <w:pPr>
        <w:tabs>
          <w:tab w:val="left" w:pos="1710"/>
        </w:tabs>
        <w:spacing w:after="0" w:line="276" w:lineRule="auto"/>
        <w:ind w:firstLine="709"/>
        <w:jc w:val="both"/>
        <w:rPr>
          <w:rFonts w:cs="Times New Roman"/>
          <w:szCs w:val="24"/>
        </w:rPr>
      </w:pPr>
      <w:r>
        <w:rPr>
          <w:rFonts w:cs="Times New Roman"/>
          <w:szCs w:val="24"/>
        </w:rPr>
        <w:t>[1] </w:t>
      </w:r>
      <w:r>
        <w:t>Ar</w:t>
      </w:r>
      <w:r>
        <w:rPr>
          <w:rFonts w:cs="Times New Roman"/>
          <w:szCs w:val="24"/>
        </w:rPr>
        <w:t xml:space="preserve"> </w:t>
      </w:r>
      <w:r w:rsidR="00850B6B">
        <w:rPr>
          <w:rFonts w:cs="Times New Roman"/>
          <w:szCs w:val="24"/>
        </w:rPr>
        <w:t>[rajona (pilsētas)]</w:t>
      </w:r>
      <w:r w:rsidR="008225A3">
        <w:rPr>
          <w:rFonts w:cs="Times New Roman"/>
          <w:szCs w:val="24"/>
        </w:rPr>
        <w:t xml:space="preserve"> tiesas </w:t>
      </w:r>
      <w:proofErr w:type="gramStart"/>
      <w:r w:rsidR="008225A3">
        <w:rPr>
          <w:rFonts w:cs="Times New Roman"/>
          <w:szCs w:val="24"/>
        </w:rPr>
        <w:t>2019.gada</w:t>
      </w:r>
      <w:proofErr w:type="gramEnd"/>
      <w:r w:rsidR="008225A3">
        <w:rPr>
          <w:rFonts w:cs="Times New Roman"/>
          <w:szCs w:val="24"/>
        </w:rPr>
        <w:t xml:space="preserve"> </w:t>
      </w:r>
      <w:r w:rsidR="00850B6B">
        <w:rPr>
          <w:rFonts w:cs="Times New Roman"/>
          <w:szCs w:val="24"/>
        </w:rPr>
        <w:t>[..]</w:t>
      </w:r>
      <w:r w:rsidR="008225A3">
        <w:rPr>
          <w:rFonts w:cs="Times New Roman"/>
          <w:szCs w:val="24"/>
        </w:rPr>
        <w:t xml:space="preserve"> spriedumu </w:t>
      </w:r>
    </w:p>
    <w:p w14:paraId="1D5483B2" w14:textId="03DD32B2" w:rsidR="008225A3" w:rsidRDefault="00850B6B" w:rsidP="009577F3">
      <w:pPr>
        <w:tabs>
          <w:tab w:val="left" w:pos="1710"/>
        </w:tabs>
        <w:spacing w:after="0" w:line="276" w:lineRule="auto"/>
        <w:ind w:firstLine="709"/>
        <w:jc w:val="both"/>
        <w:rPr>
          <w:rFonts w:cs="Times New Roman"/>
          <w:szCs w:val="24"/>
        </w:rPr>
      </w:pPr>
      <w:r>
        <w:rPr>
          <w:rFonts w:cs="Times New Roman"/>
          <w:szCs w:val="24"/>
        </w:rPr>
        <w:t>[pers. A]</w:t>
      </w:r>
      <w:r w:rsidR="008225A3">
        <w:rPr>
          <w:rFonts w:cs="Times New Roman"/>
          <w:szCs w:val="24"/>
        </w:rPr>
        <w:t xml:space="preserve">, personas kods </w:t>
      </w:r>
      <w:r>
        <w:rPr>
          <w:rFonts w:cs="Times New Roman"/>
          <w:szCs w:val="24"/>
        </w:rPr>
        <w:t>[..]</w:t>
      </w:r>
      <w:r w:rsidR="008225A3">
        <w:rPr>
          <w:rFonts w:cs="Times New Roman"/>
          <w:szCs w:val="24"/>
        </w:rPr>
        <w:t>,</w:t>
      </w:r>
      <w:r w:rsidR="0055121B">
        <w:rPr>
          <w:rFonts w:cs="Times New Roman"/>
          <w:szCs w:val="24"/>
        </w:rPr>
        <w:t xml:space="preserve"> atzīts par vainīgu Krimināllikuma </w:t>
      </w:r>
      <w:proofErr w:type="gramStart"/>
      <w:r w:rsidR="0055121B">
        <w:rPr>
          <w:rFonts w:cs="Times New Roman"/>
          <w:szCs w:val="24"/>
        </w:rPr>
        <w:t>159.panta</w:t>
      </w:r>
      <w:proofErr w:type="gramEnd"/>
      <w:r w:rsidR="0055121B">
        <w:rPr>
          <w:rFonts w:cs="Times New Roman"/>
          <w:szCs w:val="24"/>
        </w:rPr>
        <w:t xml:space="preserve"> trešajā daļā paredzētajā noziedzīgajā nodarījumā un sodīts ar </w:t>
      </w:r>
      <w:r w:rsidR="002D1C16">
        <w:rPr>
          <w:rFonts w:cs="Times New Roman"/>
          <w:szCs w:val="24"/>
        </w:rPr>
        <w:t xml:space="preserve">brīvības atņemšanu uz 6 gadiem un probācijas uzraudzību uz 2 gadiem. </w:t>
      </w:r>
    </w:p>
    <w:p w14:paraId="6792E7B9" w14:textId="770DB397" w:rsidR="008225A3" w:rsidRDefault="002D1C16" w:rsidP="001D2DB7">
      <w:pPr>
        <w:tabs>
          <w:tab w:val="left" w:pos="1710"/>
        </w:tabs>
        <w:spacing w:after="0" w:line="276" w:lineRule="auto"/>
        <w:ind w:firstLine="709"/>
        <w:jc w:val="both"/>
        <w:rPr>
          <w:rFonts w:cs="Times New Roman"/>
          <w:szCs w:val="24"/>
        </w:rPr>
      </w:pPr>
      <w:r>
        <w:rPr>
          <w:rFonts w:cs="Times New Roman"/>
          <w:szCs w:val="24"/>
        </w:rPr>
        <w:t xml:space="preserve">Atstāts negrozīts </w:t>
      </w:r>
      <w:r w:rsidR="00850B6B">
        <w:rPr>
          <w:rFonts w:cs="Times New Roman"/>
          <w:szCs w:val="24"/>
        </w:rPr>
        <w:t>[pers. A]</w:t>
      </w:r>
      <w:r>
        <w:rPr>
          <w:rFonts w:cs="Times New Roman"/>
          <w:szCs w:val="24"/>
        </w:rPr>
        <w:t xml:space="preserve"> </w:t>
      </w:r>
      <w:r w:rsidR="009577F3">
        <w:rPr>
          <w:rFonts w:cs="Times New Roman"/>
          <w:szCs w:val="24"/>
        </w:rPr>
        <w:t xml:space="preserve">pirmstiesas kriminālprocesā </w:t>
      </w:r>
      <w:r>
        <w:rPr>
          <w:rFonts w:cs="Times New Roman"/>
          <w:szCs w:val="24"/>
        </w:rPr>
        <w:t xml:space="preserve">piemērotais drošības līdzeklis – uzturēšanās noteiktā vietā. </w:t>
      </w:r>
    </w:p>
    <w:p w14:paraId="1653EF88" w14:textId="2D18EF14" w:rsidR="002D1C16" w:rsidRDefault="002D1C16" w:rsidP="001D2DB7">
      <w:pPr>
        <w:tabs>
          <w:tab w:val="left" w:pos="1710"/>
        </w:tabs>
        <w:spacing w:after="0" w:line="276" w:lineRule="auto"/>
        <w:ind w:firstLine="709"/>
        <w:jc w:val="both"/>
        <w:rPr>
          <w:rFonts w:cs="Times New Roman"/>
          <w:szCs w:val="24"/>
        </w:rPr>
      </w:pPr>
    </w:p>
    <w:p w14:paraId="30988E5C" w14:textId="77317D2A" w:rsidR="002D1C16" w:rsidRDefault="002D1C16" w:rsidP="001D2DB7">
      <w:pPr>
        <w:tabs>
          <w:tab w:val="left" w:pos="1710"/>
        </w:tabs>
        <w:spacing w:after="0" w:line="276" w:lineRule="auto"/>
        <w:ind w:firstLine="709"/>
        <w:jc w:val="both"/>
        <w:rPr>
          <w:rFonts w:cs="Times New Roman"/>
          <w:szCs w:val="24"/>
        </w:rPr>
      </w:pPr>
      <w:r>
        <w:rPr>
          <w:rFonts w:cs="Times New Roman"/>
          <w:szCs w:val="24"/>
        </w:rPr>
        <w:t>[2] </w:t>
      </w:r>
      <w:r w:rsidRPr="002D1C16">
        <w:rPr>
          <w:rFonts w:cs="Times New Roman"/>
          <w:szCs w:val="24"/>
        </w:rPr>
        <w:t xml:space="preserve">Ar </w:t>
      </w:r>
      <w:r w:rsidR="00450BBF">
        <w:rPr>
          <w:rFonts w:cs="Times New Roman"/>
          <w:szCs w:val="24"/>
        </w:rPr>
        <w:t>[rajona (pilsētas)]</w:t>
      </w:r>
      <w:r w:rsidRPr="002D1C16">
        <w:rPr>
          <w:rFonts w:cs="Times New Roman"/>
          <w:szCs w:val="24"/>
        </w:rPr>
        <w:t xml:space="preserve"> tiesas </w:t>
      </w:r>
      <w:proofErr w:type="gramStart"/>
      <w:r w:rsidRPr="002D1C16">
        <w:rPr>
          <w:rFonts w:cs="Times New Roman"/>
          <w:szCs w:val="24"/>
        </w:rPr>
        <w:t>2019.gada</w:t>
      </w:r>
      <w:proofErr w:type="gramEnd"/>
      <w:r w:rsidRPr="002D1C16">
        <w:rPr>
          <w:rFonts w:cs="Times New Roman"/>
          <w:szCs w:val="24"/>
        </w:rPr>
        <w:t xml:space="preserve"> </w:t>
      </w:r>
      <w:r w:rsidR="00450BBF">
        <w:rPr>
          <w:rFonts w:cs="Times New Roman"/>
          <w:szCs w:val="24"/>
        </w:rPr>
        <w:t>[..]</w:t>
      </w:r>
      <w:r w:rsidRPr="002D1C16">
        <w:rPr>
          <w:rFonts w:cs="Times New Roman"/>
          <w:szCs w:val="24"/>
        </w:rPr>
        <w:t xml:space="preserve"> spriedumu</w:t>
      </w:r>
      <w:r>
        <w:rPr>
          <w:rFonts w:cs="Times New Roman"/>
          <w:szCs w:val="24"/>
        </w:rPr>
        <w:t xml:space="preserve"> </w:t>
      </w:r>
      <w:r w:rsidR="00450BBF">
        <w:rPr>
          <w:rFonts w:cs="Times New Roman"/>
          <w:szCs w:val="24"/>
        </w:rPr>
        <w:t>[pers. A]</w:t>
      </w:r>
      <w:r>
        <w:rPr>
          <w:rFonts w:cs="Times New Roman"/>
          <w:szCs w:val="24"/>
        </w:rPr>
        <w:t xml:space="preserve"> atzīts par vainīgu un sodīts pēc Krimināllikuma 159.panta trešās daļas par dzimumaktu ar personu, kura nav sasniegusi sešpadsmit gadu vecumu, izmantojot cietušās bezpalīdzības stāvokli un pret cietušās gribu, lietojot vardarbību (izvarošanu).</w:t>
      </w:r>
    </w:p>
    <w:p w14:paraId="22B093CB" w14:textId="77777777" w:rsidR="008225A3" w:rsidRDefault="008225A3" w:rsidP="001D2DB7">
      <w:pPr>
        <w:tabs>
          <w:tab w:val="left" w:pos="1710"/>
        </w:tabs>
        <w:spacing w:after="0" w:line="276" w:lineRule="auto"/>
        <w:ind w:firstLine="709"/>
        <w:jc w:val="both"/>
        <w:rPr>
          <w:rFonts w:cs="Times New Roman"/>
          <w:szCs w:val="24"/>
        </w:rPr>
      </w:pPr>
    </w:p>
    <w:p w14:paraId="451BD216" w14:textId="6F0EFFCA" w:rsidR="008225A3" w:rsidRDefault="007572B7" w:rsidP="001D2DB7">
      <w:pPr>
        <w:tabs>
          <w:tab w:val="left" w:pos="1710"/>
        </w:tabs>
        <w:spacing w:after="0" w:line="276" w:lineRule="auto"/>
        <w:ind w:firstLine="709"/>
        <w:jc w:val="both"/>
        <w:rPr>
          <w:rFonts w:cs="Times New Roman"/>
          <w:szCs w:val="24"/>
        </w:rPr>
      </w:pPr>
      <w:r>
        <w:rPr>
          <w:rFonts w:cs="Times New Roman"/>
          <w:szCs w:val="24"/>
        </w:rPr>
        <w:t>[3] Ar</w:t>
      </w:r>
      <w:r w:rsidR="00A14997">
        <w:rPr>
          <w:rFonts w:cs="Times New Roman"/>
          <w:szCs w:val="24"/>
        </w:rPr>
        <w:t xml:space="preserve"> </w:t>
      </w:r>
      <w:r w:rsidR="00450BBF">
        <w:rPr>
          <w:rFonts w:cs="Times New Roman"/>
          <w:szCs w:val="24"/>
        </w:rPr>
        <w:t>[..]</w:t>
      </w:r>
      <w:r w:rsidR="00A14997">
        <w:rPr>
          <w:rFonts w:cs="Times New Roman"/>
          <w:szCs w:val="24"/>
        </w:rPr>
        <w:t xml:space="preserve"> apgabaltiesas </w:t>
      </w:r>
      <w:proofErr w:type="gramStart"/>
      <w:r w:rsidR="00A14997">
        <w:rPr>
          <w:rFonts w:cs="Times New Roman"/>
          <w:szCs w:val="24"/>
        </w:rPr>
        <w:t>2020.gada</w:t>
      </w:r>
      <w:proofErr w:type="gramEnd"/>
      <w:r w:rsidR="00A14997">
        <w:rPr>
          <w:rFonts w:cs="Times New Roman"/>
          <w:szCs w:val="24"/>
        </w:rPr>
        <w:t xml:space="preserve"> </w:t>
      </w:r>
      <w:r w:rsidR="00450BBF">
        <w:rPr>
          <w:rFonts w:cs="Times New Roman"/>
          <w:szCs w:val="24"/>
        </w:rPr>
        <w:t>[..]</w:t>
      </w:r>
      <w:r w:rsidR="00A14997">
        <w:rPr>
          <w:rFonts w:cs="Times New Roman"/>
          <w:szCs w:val="24"/>
        </w:rPr>
        <w:t xml:space="preserve"> lēmumu, izskatot krimināllietu apelācijas kārtībā </w:t>
      </w:r>
      <w:r w:rsidR="0025187C">
        <w:rPr>
          <w:rFonts w:cs="Times New Roman"/>
          <w:szCs w:val="24"/>
        </w:rPr>
        <w:t xml:space="preserve">sakarā ar apsūdzētā </w:t>
      </w:r>
      <w:r w:rsidR="00450BBF">
        <w:rPr>
          <w:rFonts w:cs="Times New Roman"/>
          <w:szCs w:val="24"/>
        </w:rPr>
        <w:t>[pers. A]</w:t>
      </w:r>
      <w:r w:rsidR="0025187C">
        <w:rPr>
          <w:rFonts w:cs="Times New Roman"/>
          <w:szCs w:val="24"/>
        </w:rPr>
        <w:t xml:space="preserve"> aizstāvja Jāņa Muižnieka apelācijas sūdzību, </w:t>
      </w:r>
      <w:r w:rsidR="00450BBF">
        <w:rPr>
          <w:rFonts w:cs="Times New Roman"/>
          <w:szCs w:val="24"/>
        </w:rPr>
        <w:t>[rajona (pilsētas)]</w:t>
      </w:r>
      <w:r w:rsidR="0025187C" w:rsidRPr="0025187C">
        <w:rPr>
          <w:rFonts w:cs="Times New Roman"/>
          <w:szCs w:val="24"/>
        </w:rPr>
        <w:t xml:space="preserve"> tiesas 2019.gada </w:t>
      </w:r>
      <w:r w:rsidR="00450BBF">
        <w:rPr>
          <w:rFonts w:cs="Times New Roman"/>
          <w:szCs w:val="24"/>
        </w:rPr>
        <w:t>[..]</w:t>
      </w:r>
      <w:r w:rsidR="0025187C" w:rsidRPr="0025187C">
        <w:rPr>
          <w:rFonts w:cs="Times New Roman"/>
          <w:szCs w:val="24"/>
        </w:rPr>
        <w:t xml:space="preserve"> spriedum</w:t>
      </w:r>
      <w:r w:rsidR="0025187C">
        <w:rPr>
          <w:rFonts w:cs="Times New Roman"/>
          <w:szCs w:val="24"/>
        </w:rPr>
        <w:t>s atstāts negrozīts.</w:t>
      </w:r>
    </w:p>
    <w:p w14:paraId="53C32DF3" w14:textId="01C69E2B" w:rsidR="001D3CED" w:rsidRDefault="001D3CED" w:rsidP="001D2DB7">
      <w:pPr>
        <w:tabs>
          <w:tab w:val="left" w:pos="1710"/>
        </w:tabs>
        <w:spacing w:after="0" w:line="276" w:lineRule="auto"/>
        <w:ind w:firstLine="709"/>
        <w:jc w:val="both"/>
        <w:rPr>
          <w:rFonts w:cs="Times New Roman"/>
          <w:szCs w:val="24"/>
        </w:rPr>
      </w:pPr>
    </w:p>
    <w:p w14:paraId="3BAE97C3" w14:textId="6777ABEF" w:rsidR="001D3CED" w:rsidRDefault="001D3CED" w:rsidP="001D2DB7">
      <w:pPr>
        <w:tabs>
          <w:tab w:val="left" w:pos="1710"/>
        </w:tabs>
        <w:spacing w:after="0" w:line="276" w:lineRule="auto"/>
        <w:ind w:firstLine="709"/>
        <w:jc w:val="both"/>
        <w:rPr>
          <w:rFonts w:cs="Times New Roman"/>
          <w:szCs w:val="24"/>
        </w:rPr>
      </w:pPr>
      <w:r>
        <w:rPr>
          <w:rFonts w:cs="Times New Roman"/>
          <w:szCs w:val="24"/>
        </w:rPr>
        <w:lastRenderedPageBreak/>
        <w:t xml:space="preserve">[4] Par </w:t>
      </w:r>
      <w:r w:rsidR="00450BBF">
        <w:rPr>
          <w:rFonts w:cs="Times New Roman"/>
          <w:szCs w:val="24"/>
        </w:rPr>
        <w:t>[..]</w:t>
      </w:r>
      <w:r w:rsidR="00001A07" w:rsidRPr="00001A07">
        <w:rPr>
          <w:rFonts w:cs="Times New Roman"/>
          <w:szCs w:val="24"/>
        </w:rPr>
        <w:t xml:space="preserve"> apgabaltiesas </w:t>
      </w:r>
      <w:proofErr w:type="gramStart"/>
      <w:r w:rsidR="00001A07" w:rsidRPr="00001A07">
        <w:rPr>
          <w:rFonts w:cs="Times New Roman"/>
          <w:szCs w:val="24"/>
        </w:rPr>
        <w:t>2020.gada</w:t>
      </w:r>
      <w:proofErr w:type="gramEnd"/>
      <w:r w:rsidR="00001A07" w:rsidRPr="00001A07">
        <w:rPr>
          <w:rFonts w:cs="Times New Roman"/>
          <w:szCs w:val="24"/>
        </w:rPr>
        <w:t xml:space="preserve"> </w:t>
      </w:r>
      <w:r w:rsidR="00450BBF">
        <w:rPr>
          <w:rFonts w:cs="Times New Roman"/>
          <w:szCs w:val="24"/>
        </w:rPr>
        <w:t>[..]</w:t>
      </w:r>
      <w:r w:rsidR="00001A07" w:rsidRPr="00001A07">
        <w:rPr>
          <w:rFonts w:cs="Times New Roman"/>
          <w:szCs w:val="24"/>
        </w:rPr>
        <w:t xml:space="preserve"> lēmumu</w:t>
      </w:r>
      <w:r w:rsidR="00001A07">
        <w:rPr>
          <w:rFonts w:cs="Times New Roman"/>
          <w:szCs w:val="24"/>
        </w:rPr>
        <w:t xml:space="preserve"> apsūdzētais </w:t>
      </w:r>
      <w:r w:rsidR="00450BBF">
        <w:rPr>
          <w:rFonts w:cs="Times New Roman"/>
          <w:szCs w:val="24"/>
        </w:rPr>
        <w:t>[pers. A]</w:t>
      </w:r>
      <w:r w:rsidR="00001A07">
        <w:rPr>
          <w:rFonts w:cs="Times New Roman"/>
          <w:szCs w:val="24"/>
        </w:rPr>
        <w:t xml:space="preserve"> iesniedzis kasācijas sūdzību, kurā lūdz apelācijas instances tiesas lēmumu atcelt pilnībā un nosūtīt lietu jaunai izskatīšanai </w:t>
      </w:r>
      <w:r w:rsidR="00450BBF">
        <w:rPr>
          <w:rFonts w:cs="Times New Roman"/>
          <w:szCs w:val="24"/>
        </w:rPr>
        <w:t>[..]</w:t>
      </w:r>
      <w:r w:rsidR="00001A07">
        <w:rPr>
          <w:rFonts w:cs="Times New Roman"/>
          <w:szCs w:val="24"/>
        </w:rPr>
        <w:t xml:space="preserve"> apgabaltiesā. </w:t>
      </w:r>
    </w:p>
    <w:p w14:paraId="291DAC0D" w14:textId="07F69746" w:rsidR="00001A07" w:rsidRDefault="00001A07" w:rsidP="001D2DB7">
      <w:pPr>
        <w:tabs>
          <w:tab w:val="left" w:pos="1710"/>
        </w:tabs>
        <w:spacing w:after="0" w:line="276" w:lineRule="auto"/>
        <w:ind w:firstLine="709"/>
        <w:jc w:val="both"/>
        <w:rPr>
          <w:rFonts w:cs="Times New Roman"/>
          <w:szCs w:val="24"/>
        </w:rPr>
      </w:pPr>
      <w:r>
        <w:rPr>
          <w:rFonts w:cs="Times New Roman"/>
          <w:szCs w:val="24"/>
        </w:rPr>
        <w:t xml:space="preserve">Apelācijas instances tiesa lietas izskatīšanā pieļāvusi Latvijas Republikas Satversmes </w:t>
      </w:r>
      <w:proofErr w:type="gramStart"/>
      <w:r>
        <w:rPr>
          <w:rFonts w:cs="Times New Roman"/>
          <w:szCs w:val="24"/>
        </w:rPr>
        <w:t>92.panta</w:t>
      </w:r>
      <w:proofErr w:type="gramEnd"/>
      <w:r>
        <w:rPr>
          <w:rFonts w:cs="Times New Roman"/>
          <w:szCs w:val="24"/>
        </w:rPr>
        <w:t xml:space="preserve">, Kriminālprocesa likuma 15.panta un Eiropas Cilvēka tiesību un pamatbrīvību aizsardzības konvencijas 6.panta pārkāpumus. </w:t>
      </w:r>
    </w:p>
    <w:p w14:paraId="1A1605EA" w14:textId="3F222BF0" w:rsidR="00001A07" w:rsidRDefault="00001A07" w:rsidP="001D2DB7">
      <w:pPr>
        <w:tabs>
          <w:tab w:val="left" w:pos="1710"/>
        </w:tabs>
        <w:spacing w:after="0" w:line="276" w:lineRule="auto"/>
        <w:ind w:firstLine="709"/>
        <w:jc w:val="both"/>
        <w:rPr>
          <w:rFonts w:cs="Times New Roman"/>
          <w:szCs w:val="24"/>
        </w:rPr>
      </w:pPr>
      <w:r>
        <w:rPr>
          <w:rFonts w:cs="Times New Roman"/>
          <w:szCs w:val="24"/>
        </w:rPr>
        <w:t xml:space="preserve">Kasācijas sūdzība pamatota ar turpmāk norādītiem argumentiem. </w:t>
      </w:r>
    </w:p>
    <w:p w14:paraId="689BC663" w14:textId="4B25894B" w:rsidR="00D92795" w:rsidRDefault="009C2430" w:rsidP="00D92795">
      <w:pPr>
        <w:tabs>
          <w:tab w:val="left" w:pos="1710"/>
        </w:tabs>
        <w:spacing w:after="0" w:line="276" w:lineRule="auto"/>
        <w:ind w:firstLine="709"/>
        <w:jc w:val="both"/>
        <w:rPr>
          <w:rFonts w:cs="Times New Roman"/>
          <w:szCs w:val="24"/>
        </w:rPr>
      </w:pPr>
      <w:r>
        <w:rPr>
          <w:rFonts w:cs="Times New Roman"/>
          <w:szCs w:val="24"/>
        </w:rPr>
        <w:t>[4.1] </w:t>
      </w:r>
      <w:r w:rsidR="00450BBF">
        <w:rPr>
          <w:rFonts w:cs="Times New Roman"/>
          <w:szCs w:val="24"/>
        </w:rPr>
        <w:t>[Pers. </w:t>
      </w:r>
      <w:r w:rsidR="00450BBF">
        <w:t>A]</w:t>
      </w:r>
      <w:r w:rsidR="00D92795">
        <w:rPr>
          <w:rFonts w:cs="Times New Roman"/>
          <w:szCs w:val="24"/>
        </w:rPr>
        <w:t xml:space="preserve"> darbībās nav konstatējama Krimināllikuma </w:t>
      </w:r>
      <w:proofErr w:type="gramStart"/>
      <w:r w:rsidR="00D92795">
        <w:rPr>
          <w:rFonts w:cs="Times New Roman"/>
          <w:szCs w:val="24"/>
        </w:rPr>
        <w:t>159.panta</w:t>
      </w:r>
      <w:proofErr w:type="gramEnd"/>
      <w:r w:rsidR="00D92795">
        <w:rPr>
          <w:rFonts w:cs="Times New Roman"/>
          <w:szCs w:val="24"/>
        </w:rPr>
        <w:t xml:space="preserve"> trešajā daļā paredzētā noziedzīgā nodarījuma objektīvā puse, jo no lietas materiāliem izriet, ka cietusī </w:t>
      </w:r>
      <w:r w:rsidR="00450BBF">
        <w:rPr>
          <w:rFonts w:cs="Times New Roman"/>
          <w:szCs w:val="24"/>
        </w:rPr>
        <w:t>[pers. </w:t>
      </w:r>
      <w:r w:rsidR="00450BBF">
        <w:t>B]</w:t>
      </w:r>
      <w:r w:rsidR="00D92795">
        <w:rPr>
          <w:rFonts w:cs="Times New Roman"/>
          <w:szCs w:val="24"/>
        </w:rPr>
        <w:t xml:space="preserve"> piekritusi dzimumattiecībā</w:t>
      </w:r>
      <w:r w:rsidR="006719D6">
        <w:rPr>
          <w:rFonts w:cs="Times New Roman"/>
          <w:szCs w:val="24"/>
        </w:rPr>
        <w:t>m</w:t>
      </w:r>
      <w:r w:rsidR="00D92795">
        <w:rPr>
          <w:rFonts w:cs="Times New Roman"/>
          <w:szCs w:val="24"/>
        </w:rPr>
        <w:t xml:space="preserve"> ar apsūdzēto un vardarbība pret cietušo netika pielietota. Tāpat lietā nav iegūti pietiekami pierādījumi noziedzīgā nodarījuma subjektīvajai pusei, proti, ka </w:t>
      </w:r>
      <w:r w:rsidR="00450BBF">
        <w:rPr>
          <w:rFonts w:cs="Times New Roman"/>
          <w:szCs w:val="24"/>
        </w:rPr>
        <w:t>[pers. A]</w:t>
      </w:r>
      <w:r w:rsidR="00D92795">
        <w:rPr>
          <w:rFonts w:cs="Times New Roman"/>
          <w:szCs w:val="24"/>
        </w:rPr>
        <w:t xml:space="preserve"> ar tiešu nodomu izdarīja vardarbī</w:t>
      </w:r>
      <w:r w:rsidR="00665BC6">
        <w:rPr>
          <w:rFonts w:cs="Times New Roman"/>
          <w:szCs w:val="24"/>
        </w:rPr>
        <w:t>g</w:t>
      </w:r>
      <w:r w:rsidR="00D92795">
        <w:rPr>
          <w:rFonts w:cs="Times New Roman"/>
          <w:szCs w:val="24"/>
        </w:rPr>
        <w:t xml:space="preserve">u dzimumaktu. </w:t>
      </w:r>
    </w:p>
    <w:p w14:paraId="6AEE30C4" w14:textId="62D39A4A" w:rsidR="008225A3" w:rsidRDefault="00DC1587" w:rsidP="001D2DB7">
      <w:pPr>
        <w:tabs>
          <w:tab w:val="left" w:pos="1710"/>
        </w:tabs>
        <w:spacing w:after="0" w:line="276" w:lineRule="auto"/>
        <w:ind w:firstLine="709"/>
        <w:jc w:val="both"/>
        <w:rPr>
          <w:rFonts w:cs="Times New Roman"/>
          <w:szCs w:val="24"/>
        </w:rPr>
      </w:pPr>
      <w:r>
        <w:rPr>
          <w:rFonts w:cs="Times New Roman"/>
          <w:szCs w:val="24"/>
        </w:rPr>
        <w:t xml:space="preserve">Lai arī cietušās </w:t>
      </w:r>
      <w:r w:rsidR="00450BBF">
        <w:rPr>
          <w:rFonts w:cs="Times New Roman"/>
          <w:szCs w:val="24"/>
        </w:rPr>
        <w:t>[pers. B]</w:t>
      </w:r>
      <w:r w:rsidR="00397DAF">
        <w:rPr>
          <w:rFonts w:cs="Times New Roman"/>
          <w:szCs w:val="24"/>
        </w:rPr>
        <w:t xml:space="preserve"> </w:t>
      </w:r>
      <w:r>
        <w:rPr>
          <w:rFonts w:cs="Times New Roman"/>
          <w:szCs w:val="24"/>
        </w:rPr>
        <w:t xml:space="preserve">liecības ir pretrunā citiem lietā iegūtiem pierādījumiem, tiesa tām piešķīrusi augstāku ticamības pakāpi. Atbilstoši Kriminālprocesa likuma </w:t>
      </w:r>
      <w:proofErr w:type="gramStart"/>
      <w:r>
        <w:rPr>
          <w:rFonts w:cs="Times New Roman"/>
          <w:szCs w:val="24"/>
        </w:rPr>
        <w:t>19.pantam</w:t>
      </w:r>
      <w:proofErr w:type="gramEnd"/>
      <w:r>
        <w:rPr>
          <w:rFonts w:cs="Times New Roman"/>
          <w:szCs w:val="24"/>
        </w:rPr>
        <w:t xml:space="preserve"> visas saprātīgās šaubas par vainu tiesai bija jāvērtē par labu apsūdzētajam.</w:t>
      </w:r>
    </w:p>
    <w:p w14:paraId="004C2A4B" w14:textId="55DDDF02" w:rsidR="009C2430" w:rsidRDefault="009C2430" w:rsidP="001D2DB7">
      <w:pPr>
        <w:tabs>
          <w:tab w:val="left" w:pos="1710"/>
        </w:tabs>
        <w:spacing w:after="0" w:line="276" w:lineRule="auto"/>
        <w:ind w:firstLine="709"/>
        <w:jc w:val="both"/>
        <w:rPr>
          <w:rFonts w:cs="Times New Roman"/>
          <w:szCs w:val="24"/>
        </w:rPr>
      </w:pPr>
      <w:r>
        <w:rPr>
          <w:rFonts w:cs="Times New Roman"/>
          <w:szCs w:val="24"/>
        </w:rPr>
        <w:t>[4.2]</w:t>
      </w:r>
      <w:r w:rsidR="00B70C15">
        <w:rPr>
          <w:rFonts w:cs="Times New Roman"/>
          <w:szCs w:val="24"/>
        </w:rPr>
        <w:t> A</w:t>
      </w:r>
      <w:r w:rsidR="00AF7845">
        <w:rPr>
          <w:rFonts w:cs="Times New Roman"/>
          <w:szCs w:val="24"/>
        </w:rPr>
        <w:t>pelācijas instances tiesa atbilstoši likuma „</w:t>
      </w:r>
      <w:r w:rsidR="00AF7845" w:rsidRPr="00AF7845">
        <w:rPr>
          <w:rFonts w:cs="Times New Roman"/>
          <w:szCs w:val="24"/>
        </w:rPr>
        <w:t xml:space="preserve">Par valsts institūciju darbību ārkārtējās situācijas laikā saistībā ar </w:t>
      </w:r>
      <w:proofErr w:type="spellStart"/>
      <w:r w:rsidR="00AF7845" w:rsidRPr="00AF7845">
        <w:rPr>
          <w:rFonts w:cs="Times New Roman"/>
          <w:szCs w:val="24"/>
        </w:rPr>
        <w:t>Covid-19</w:t>
      </w:r>
      <w:proofErr w:type="spellEnd"/>
      <w:r w:rsidR="00AF7845" w:rsidRPr="00AF7845">
        <w:rPr>
          <w:rFonts w:cs="Times New Roman"/>
          <w:szCs w:val="24"/>
        </w:rPr>
        <w:t xml:space="preserve"> izplatību</w:t>
      </w:r>
      <w:r w:rsidR="00AF7845">
        <w:rPr>
          <w:rFonts w:cs="Times New Roman"/>
          <w:szCs w:val="24"/>
        </w:rPr>
        <w:t xml:space="preserve">” </w:t>
      </w:r>
      <w:proofErr w:type="gramStart"/>
      <w:r w:rsidR="00AF7845">
        <w:rPr>
          <w:rFonts w:cs="Times New Roman"/>
          <w:szCs w:val="24"/>
        </w:rPr>
        <w:t>4.panta</w:t>
      </w:r>
      <w:proofErr w:type="gramEnd"/>
      <w:r w:rsidR="00AF7845">
        <w:rPr>
          <w:rFonts w:cs="Times New Roman"/>
          <w:szCs w:val="24"/>
        </w:rPr>
        <w:t xml:space="preserve"> treš</w:t>
      </w:r>
      <w:r w:rsidR="008939D4">
        <w:rPr>
          <w:rFonts w:cs="Times New Roman"/>
          <w:szCs w:val="24"/>
        </w:rPr>
        <w:t>ajai</w:t>
      </w:r>
      <w:r w:rsidR="00AF7845">
        <w:rPr>
          <w:rFonts w:cs="Times New Roman"/>
          <w:szCs w:val="24"/>
        </w:rPr>
        <w:t xml:space="preserve"> daļ</w:t>
      </w:r>
      <w:r w:rsidR="008939D4">
        <w:rPr>
          <w:rFonts w:cs="Times New Roman"/>
          <w:szCs w:val="24"/>
        </w:rPr>
        <w:t xml:space="preserve">ai lietu nebija tiesīga izskatīt rakstveida procesā. </w:t>
      </w:r>
    </w:p>
    <w:p w14:paraId="7F58941F" w14:textId="72BAD963" w:rsidR="008939D4" w:rsidRDefault="008939D4" w:rsidP="001D2DB7">
      <w:pPr>
        <w:tabs>
          <w:tab w:val="left" w:pos="1710"/>
        </w:tabs>
        <w:spacing w:after="0" w:line="276" w:lineRule="auto"/>
        <w:ind w:firstLine="709"/>
        <w:jc w:val="both"/>
        <w:rPr>
          <w:rFonts w:cs="Times New Roman"/>
          <w:szCs w:val="24"/>
        </w:rPr>
      </w:pPr>
      <w:r>
        <w:rPr>
          <w:rFonts w:cs="Times New Roman"/>
          <w:szCs w:val="24"/>
        </w:rPr>
        <w:t xml:space="preserve">Tiesa ir pārkāpusi </w:t>
      </w:r>
      <w:r w:rsidR="00450BBF">
        <w:rPr>
          <w:rFonts w:cs="Times New Roman"/>
          <w:szCs w:val="24"/>
        </w:rPr>
        <w:t>[pers. A]</w:t>
      </w:r>
      <w:r>
        <w:rPr>
          <w:rFonts w:cs="Times New Roman"/>
          <w:szCs w:val="24"/>
        </w:rPr>
        <w:t xml:space="preserve"> tiesības uz mutvārdu procesu, jo viņš apsūdzēts sevišķi smagā noziegumā, ko izdarījis, būdams nepilngadīgs, lieta pirmās instances tiesā izskatīta ar pierādījumu pārbaudi un savu vainu noziedzīga nodarījuma izdarīšanā apsūdzētais nav atzinis.   </w:t>
      </w:r>
    </w:p>
    <w:p w14:paraId="0526E3B8" w14:textId="3FFABE38" w:rsidR="00B70C15" w:rsidRDefault="00B70C15" w:rsidP="001D2DB7">
      <w:pPr>
        <w:tabs>
          <w:tab w:val="left" w:pos="1710"/>
        </w:tabs>
        <w:spacing w:after="0" w:line="276" w:lineRule="auto"/>
        <w:ind w:firstLine="709"/>
        <w:jc w:val="both"/>
        <w:rPr>
          <w:rFonts w:cs="Times New Roman"/>
          <w:szCs w:val="24"/>
        </w:rPr>
      </w:pPr>
    </w:p>
    <w:p w14:paraId="34F3B2F2" w14:textId="77777777" w:rsidR="00B70C15" w:rsidRDefault="00B70C15" w:rsidP="00B70C15">
      <w:pPr>
        <w:tabs>
          <w:tab w:val="left" w:pos="1710"/>
        </w:tabs>
        <w:spacing w:after="0" w:line="276" w:lineRule="auto"/>
        <w:jc w:val="center"/>
        <w:rPr>
          <w:rFonts w:cs="Times New Roman"/>
          <w:szCs w:val="24"/>
        </w:rPr>
      </w:pPr>
      <w:r>
        <w:rPr>
          <w:rFonts w:cs="Times New Roman"/>
          <w:b/>
          <w:szCs w:val="24"/>
        </w:rPr>
        <w:t>Motīvu daļa</w:t>
      </w:r>
    </w:p>
    <w:p w14:paraId="0424C0A4" w14:textId="77777777" w:rsidR="00B70C15" w:rsidRDefault="00B70C15" w:rsidP="00B70C15">
      <w:pPr>
        <w:spacing w:after="0" w:line="276" w:lineRule="auto"/>
        <w:ind w:firstLine="709"/>
        <w:jc w:val="both"/>
        <w:rPr>
          <w:rFonts w:cs="Times New Roman"/>
          <w:szCs w:val="24"/>
        </w:rPr>
      </w:pPr>
    </w:p>
    <w:p w14:paraId="0049E47A" w14:textId="16197A56" w:rsidR="00B70C15" w:rsidRDefault="00B70C15" w:rsidP="001D2DB7">
      <w:pPr>
        <w:tabs>
          <w:tab w:val="left" w:pos="1710"/>
        </w:tabs>
        <w:spacing w:after="0" w:line="276" w:lineRule="auto"/>
        <w:ind w:firstLine="709"/>
        <w:jc w:val="both"/>
        <w:rPr>
          <w:rFonts w:cs="Times New Roman"/>
          <w:szCs w:val="24"/>
        </w:rPr>
      </w:pPr>
      <w:r>
        <w:rPr>
          <w:rFonts w:cs="Times New Roman"/>
          <w:szCs w:val="24"/>
        </w:rPr>
        <w:t>[5] </w:t>
      </w:r>
      <w:r w:rsidRPr="003732AB">
        <w:rPr>
          <w:rFonts w:cs="Times New Roman"/>
          <w:szCs w:val="24"/>
        </w:rPr>
        <w:t>Senāts atzīst, ka</w:t>
      </w:r>
      <w:r w:rsidRPr="003732AB">
        <w:rPr>
          <w:rFonts w:eastAsia="Times New Roman" w:cs="Times New Roman"/>
          <w:szCs w:val="24"/>
        </w:rPr>
        <w:t xml:space="preserve"> </w:t>
      </w:r>
      <w:r w:rsidR="00450BBF">
        <w:rPr>
          <w:rFonts w:eastAsia="Times New Roman" w:cs="Times New Roman"/>
          <w:szCs w:val="24"/>
        </w:rPr>
        <w:t>[..]</w:t>
      </w:r>
      <w:r w:rsidRPr="003732AB">
        <w:rPr>
          <w:rFonts w:eastAsia="Times New Roman" w:cs="Times New Roman"/>
          <w:szCs w:val="24"/>
        </w:rPr>
        <w:t xml:space="preserve"> apgabaltiesas </w:t>
      </w:r>
      <w:proofErr w:type="gramStart"/>
      <w:r w:rsidRPr="003732AB">
        <w:rPr>
          <w:rFonts w:eastAsia="Times New Roman" w:cs="Times New Roman"/>
          <w:szCs w:val="24"/>
        </w:rPr>
        <w:t>2020.gada</w:t>
      </w:r>
      <w:proofErr w:type="gramEnd"/>
      <w:r w:rsidRPr="003732AB">
        <w:rPr>
          <w:rFonts w:eastAsia="Times New Roman" w:cs="Times New Roman"/>
          <w:szCs w:val="24"/>
        </w:rPr>
        <w:t xml:space="preserve"> </w:t>
      </w:r>
      <w:r w:rsidR="00450BBF">
        <w:rPr>
          <w:rFonts w:eastAsia="Times New Roman" w:cs="Times New Roman"/>
          <w:szCs w:val="24"/>
        </w:rPr>
        <w:t>[..]</w:t>
      </w:r>
      <w:r w:rsidRPr="003732AB">
        <w:rPr>
          <w:rFonts w:eastAsia="Times New Roman" w:cs="Times New Roman"/>
          <w:szCs w:val="24"/>
        </w:rPr>
        <w:t xml:space="preserve"> lēmums atceļams pilnībā un lieta nosūtāma jaunai izskatīšanai </w:t>
      </w:r>
      <w:r w:rsidR="00450BBF">
        <w:rPr>
          <w:rFonts w:eastAsia="Times New Roman" w:cs="Times New Roman"/>
          <w:szCs w:val="24"/>
        </w:rPr>
        <w:t>[..]</w:t>
      </w:r>
      <w:r w:rsidR="0040218F">
        <w:rPr>
          <w:rFonts w:eastAsia="Times New Roman" w:cs="Times New Roman"/>
          <w:szCs w:val="24"/>
        </w:rPr>
        <w:t xml:space="preserve"> </w:t>
      </w:r>
      <w:r w:rsidRPr="003732AB">
        <w:rPr>
          <w:rFonts w:eastAsia="Times New Roman" w:cs="Times New Roman"/>
          <w:szCs w:val="24"/>
        </w:rPr>
        <w:t>apgabaltiesā</w:t>
      </w:r>
      <w:r>
        <w:rPr>
          <w:rFonts w:eastAsia="Times New Roman" w:cs="Times New Roman"/>
          <w:szCs w:val="24"/>
        </w:rPr>
        <w:t>.</w:t>
      </w:r>
    </w:p>
    <w:p w14:paraId="16DDF400" w14:textId="783A9B53" w:rsidR="003958BC" w:rsidRDefault="003958BC" w:rsidP="003958BC">
      <w:pPr>
        <w:tabs>
          <w:tab w:val="left" w:pos="0"/>
        </w:tabs>
        <w:spacing w:after="0" w:line="276" w:lineRule="auto"/>
        <w:jc w:val="both"/>
      </w:pPr>
      <w:r>
        <w:rPr>
          <w:rFonts w:eastAsia="Times New Roman" w:cs="Times New Roman"/>
          <w:szCs w:val="24"/>
        </w:rPr>
        <w:tab/>
      </w:r>
      <w:r>
        <w:t xml:space="preserve">Saskaņā ar Kriminālprocesa likuma </w:t>
      </w:r>
      <w:proofErr w:type="gramStart"/>
      <w:r>
        <w:t>584.panta</w:t>
      </w:r>
      <w:proofErr w:type="gramEnd"/>
      <w:r>
        <w:t xml:space="preserve"> otro daļu k</w:t>
      </w:r>
      <w:r w:rsidRPr="001C6832">
        <w:t>asācijas instances tiesa drīkst pārsniegt kasācijas sūdzībā vai protestā izteikto prasību apjomu un ietvarus gadījumos, kad tā konstatē šā likuma 574. un 575.pantā norādītos pārkāpumus un tie nav norādīti sūdzībā vai protestā.</w:t>
      </w:r>
    </w:p>
    <w:p w14:paraId="03EC40B4" w14:textId="49FFF710" w:rsidR="00115897" w:rsidRPr="00115897" w:rsidRDefault="00050F1B" w:rsidP="00115897">
      <w:pPr>
        <w:tabs>
          <w:tab w:val="left" w:pos="0"/>
        </w:tabs>
        <w:spacing w:after="0" w:line="276" w:lineRule="auto"/>
        <w:jc w:val="both"/>
        <w:rPr>
          <w:rFonts w:eastAsia="Times New Roman" w:cs="Times New Roman"/>
          <w:szCs w:val="24"/>
        </w:rPr>
      </w:pPr>
      <w:r>
        <w:rPr>
          <w:rFonts w:eastAsia="Times New Roman" w:cs="Times New Roman"/>
          <w:szCs w:val="24"/>
        </w:rPr>
        <w:tab/>
      </w:r>
      <w:r w:rsidR="00115897">
        <w:rPr>
          <w:rFonts w:eastAsia="Times New Roman" w:cs="Times New Roman"/>
          <w:szCs w:val="24"/>
        </w:rPr>
        <w:t>[5.1]</w:t>
      </w:r>
      <w:r w:rsidR="00115897">
        <w:t> </w:t>
      </w:r>
      <w:r w:rsidRPr="00115897">
        <w:rPr>
          <w:rFonts w:eastAsia="Times New Roman" w:cs="Times New Roman"/>
          <w:szCs w:val="24"/>
        </w:rPr>
        <w:t>Senāts atzīst</w:t>
      </w:r>
      <w:r w:rsidR="00115897" w:rsidRPr="00115897">
        <w:rPr>
          <w:rFonts w:eastAsia="Times New Roman" w:cs="Times New Roman"/>
          <w:szCs w:val="24"/>
        </w:rPr>
        <w:t xml:space="preserve">, ka </w:t>
      </w:r>
      <w:r w:rsidRPr="00115897">
        <w:rPr>
          <w:rFonts w:eastAsia="Times New Roman" w:cs="Times New Roman"/>
          <w:szCs w:val="24"/>
        </w:rPr>
        <w:t>krimināllietā pārsniedzams kasācijas sūdzības apjoms</w:t>
      </w:r>
      <w:r w:rsidR="00115897" w:rsidRPr="00115897">
        <w:rPr>
          <w:rFonts w:eastAsia="Times New Roman" w:cs="Times New Roman"/>
          <w:szCs w:val="24"/>
        </w:rPr>
        <w:t>,</w:t>
      </w:r>
      <w:r w:rsidRPr="00115897">
        <w:rPr>
          <w:rFonts w:eastAsia="Times New Roman" w:cs="Times New Roman"/>
          <w:szCs w:val="24"/>
        </w:rPr>
        <w:t xml:space="preserve"> jo apsūdzētais </w:t>
      </w:r>
      <w:r w:rsidR="00450BBF">
        <w:rPr>
          <w:rFonts w:eastAsia="Times New Roman" w:cs="Times New Roman"/>
          <w:szCs w:val="24"/>
        </w:rPr>
        <w:t>[pers. A]</w:t>
      </w:r>
      <w:r w:rsidRPr="00115897">
        <w:rPr>
          <w:rFonts w:eastAsia="Times New Roman" w:cs="Times New Roman"/>
          <w:szCs w:val="24"/>
        </w:rPr>
        <w:t xml:space="preserve"> kasācijas sūdzībā nav norādījis, ka apelācijas instances tiesa</w:t>
      </w:r>
      <w:r w:rsidR="00115897" w:rsidRPr="00115897">
        <w:rPr>
          <w:rFonts w:eastAsia="Times New Roman" w:cs="Times New Roman"/>
          <w:szCs w:val="24"/>
        </w:rPr>
        <w:t>i bij</w:t>
      </w:r>
      <w:r w:rsidR="001047DD">
        <w:rPr>
          <w:rFonts w:eastAsia="Times New Roman" w:cs="Times New Roman"/>
          <w:szCs w:val="24"/>
        </w:rPr>
        <w:t>a</w:t>
      </w:r>
      <w:r w:rsidR="00115897" w:rsidRPr="00115897">
        <w:rPr>
          <w:rFonts w:eastAsia="Times New Roman" w:cs="Times New Roman"/>
          <w:szCs w:val="24"/>
        </w:rPr>
        <w:t xml:space="preserve"> jāpieliek saprātīgas pūles, lai nopratinātu nepilngadīgo cietušo </w:t>
      </w:r>
      <w:r w:rsidR="00450BBF">
        <w:rPr>
          <w:rFonts w:eastAsia="Times New Roman" w:cs="Times New Roman"/>
          <w:szCs w:val="24"/>
        </w:rPr>
        <w:t>[pers. B]</w:t>
      </w:r>
      <w:r w:rsidR="00115897" w:rsidRPr="00115897">
        <w:rPr>
          <w:rFonts w:eastAsia="Times New Roman" w:cs="Times New Roman"/>
          <w:szCs w:val="24"/>
        </w:rPr>
        <w:t xml:space="preserve">, kas panākams mutvārdu procesā. </w:t>
      </w:r>
    </w:p>
    <w:p w14:paraId="706009CA" w14:textId="6E0026D0" w:rsidR="00B70C15" w:rsidRDefault="00475856" w:rsidP="001D2DB7">
      <w:pPr>
        <w:tabs>
          <w:tab w:val="left" w:pos="1710"/>
        </w:tabs>
        <w:spacing w:after="0" w:line="276" w:lineRule="auto"/>
        <w:ind w:firstLine="709"/>
        <w:jc w:val="both"/>
        <w:rPr>
          <w:rFonts w:cs="Times New Roman"/>
          <w:szCs w:val="24"/>
        </w:rPr>
      </w:pPr>
      <w:r>
        <w:rPr>
          <w:rFonts w:cs="Times New Roman"/>
          <w:szCs w:val="24"/>
        </w:rPr>
        <w:t>Apelācijas instances tiesa atbilstoši l</w:t>
      </w:r>
      <w:r>
        <w:t>ikuma „</w:t>
      </w:r>
      <w:r w:rsidRPr="001B40AB">
        <w:t xml:space="preserve">Par valsts institūciju darbību ārkārtējās situācijas laikā saistībā ar </w:t>
      </w:r>
      <w:proofErr w:type="spellStart"/>
      <w:r w:rsidRPr="001B40AB">
        <w:t>Covid-19</w:t>
      </w:r>
      <w:proofErr w:type="spellEnd"/>
      <w:r w:rsidRPr="001B40AB">
        <w:t xml:space="preserve"> izplatību</w:t>
      </w:r>
      <w:r>
        <w:t xml:space="preserve">” </w:t>
      </w:r>
      <w:proofErr w:type="gramStart"/>
      <w:r>
        <w:t>4.panta</w:t>
      </w:r>
      <w:proofErr w:type="gramEnd"/>
      <w:r>
        <w:t xml:space="preserve"> trešajai daļai lietu iztiesājusi rakstveida procesā. Minētā likuma norma noteica, ka</w:t>
      </w:r>
      <w:r>
        <w:rPr>
          <w:rFonts w:cs="Times New Roman"/>
          <w:szCs w:val="24"/>
        </w:rPr>
        <w:t xml:space="preserve"> k</w:t>
      </w:r>
      <w:r>
        <w:t>rimināllietu apelācijas kārtībā var iztiesāt rakstveida procesā arī citos Kriminālprocesa likumā neminētos gadījumos, ja pret to neiebilst prokurors vai persona, kuras intereses un tiesības sūdzība vai protests aizskar.</w:t>
      </w:r>
    </w:p>
    <w:p w14:paraId="6058BF97" w14:textId="65832EEE" w:rsidR="00820BE6" w:rsidRPr="00651FA7" w:rsidRDefault="00820BE6" w:rsidP="00820BE6">
      <w:pPr>
        <w:tabs>
          <w:tab w:val="left" w:pos="1710"/>
        </w:tabs>
        <w:spacing w:after="0" w:line="276" w:lineRule="auto"/>
        <w:ind w:firstLine="709"/>
        <w:jc w:val="both"/>
      </w:pPr>
      <w:r>
        <w:t>Minētais nozīmē</w:t>
      </w:r>
      <w:r w:rsidR="00C64A19">
        <w:t>,</w:t>
      </w:r>
      <w:r>
        <w:t xml:space="preserve"> ka, lai arī procesā iesaistītās personas nav iebildušas, tiesai nav pienākum</w:t>
      </w:r>
      <w:r w:rsidR="00974B8B">
        <w:t>a</w:t>
      </w:r>
      <w:r>
        <w:t xml:space="preserve"> katrā ziņā lietu </w:t>
      </w:r>
      <w:r w:rsidR="00D44F12" w:rsidRPr="00D44F12">
        <w:t>noteikt</w:t>
      </w:r>
      <w:r w:rsidRPr="00D44F12">
        <w:t xml:space="preserve"> </w:t>
      </w:r>
      <w:r>
        <w:t>izskatīšanai rakstveida procesā</w:t>
      </w:r>
      <w:r w:rsidR="00974B8B">
        <w:t xml:space="preserve"> – n</w:t>
      </w:r>
      <w:r>
        <w:t>ormā paredzēt</w:t>
      </w:r>
      <w:r w:rsidR="000C677B">
        <w:t xml:space="preserve">o tiesisko kārtību </w:t>
      </w:r>
      <w:r w:rsidR="00974B8B">
        <w:t xml:space="preserve">tā </w:t>
      </w:r>
      <w:r>
        <w:t>var piemērot vai nepiemērot. Izvēloties rakstveida procesa veidu, apelācijas instances tiesai ir jānodrošina, lai tiktu ievērotas procesā iesaistīto personu tiesības uz taisnīgu tiesu.</w:t>
      </w:r>
      <w:r w:rsidRPr="00651FA7">
        <w:rPr>
          <w:rFonts w:cs="Times New Roman"/>
          <w:szCs w:val="24"/>
        </w:rPr>
        <w:t xml:space="preserve"> </w:t>
      </w:r>
    </w:p>
    <w:p w14:paraId="47BAF96B" w14:textId="24D97BAE" w:rsidR="00820BE6" w:rsidRPr="00524DFC" w:rsidRDefault="00820BE6" w:rsidP="00820BE6">
      <w:pPr>
        <w:tabs>
          <w:tab w:val="left" w:pos="0"/>
        </w:tabs>
        <w:spacing w:after="0" w:line="276" w:lineRule="auto"/>
        <w:jc w:val="both"/>
        <w:rPr>
          <w:rFonts w:eastAsia="Times New Roman" w:cs="Times New Roman"/>
          <w:szCs w:val="24"/>
        </w:rPr>
      </w:pPr>
      <w:r>
        <w:tab/>
      </w:r>
      <w:r w:rsidRPr="00BC5578">
        <w:rPr>
          <w:rFonts w:cs="Times New Roman"/>
          <w:szCs w:val="24"/>
        </w:rPr>
        <w:t xml:space="preserve">Kriminālprocesa likuma </w:t>
      </w:r>
      <w:proofErr w:type="gramStart"/>
      <w:r w:rsidRPr="00BC5578">
        <w:rPr>
          <w:rFonts w:cs="Times New Roman"/>
          <w:szCs w:val="24"/>
        </w:rPr>
        <w:t>15.pants</w:t>
      </w:r>
      <w:proofErr w:type="gramEnd"/>
      <w:r w:rsidRPr="00BC5578">
        <w:rPr>
          <w:rFonts w:cs="Times New Roman"/>
          <w:szCs w:val="24"/>
        </w:rPr>
        <w:t xml:space="preserve"> paredz, ka </w:t>
      </w:r>
      <w:r>
        <w:rPr>
          <w:rFonts w:cs="Times New Roman"/>
          <w:szCs w:val="24"/>
        </w:rPr>
        <w:t>i</w:t>
      </w:r>
      <w:r w:rsidRPr="00BC5578">
        <w:rPr>
          <w:rFonts w:cs="Times New Roman"/>
          <w:szCs w:val="24"/>
        </w:rPr>
        <w:t>kvienam ir tiesības uz lietas izskatīšanu taisnīgā, objektīvā un neatkarīgā tiesā.</w:t>
      </w:r>
      <w:r>
        <w:rPr>
          <w:rFonts w:cs="Times New Roman"/>
          <w:szCs w:val="24"/>
        </w:rPr>
        <w:t xml:space="preserve"> Tiesības uz taisnīgu tiesu ir kriminālprocesa </w:t>
      </w:r>
      <w:r>
        <w:rPr>
          <w:rFonts w:cs="Times New Roman"/>
          <w:szCs w:val="24"/>
        </w:rPr>
        <w:lastRenderedPageBreak/>
        <w:t xml:space="preserve">pamatprincips, turklāt </w:t>
      </w:r>
      <w:r w:rsidR="0002250A">
        <w:rPr>
          <w:rFonts w:cs="Times New Roman"/>
          <w:szCs w:val="24"/>
        </w:rPr>
        <w:t xml:space="preserve">tās </w:t>
      </w:r>
      <w:r>
        <w:rPr>
          <w:rFonts w:cs="Times New Roman"/>
          <w:szCs w:val="24"/>
        </w:rPr>
        <w:t xml:space="preserve">nostiprinātas Latvijas Republikas Satversmes </w:t>
      </w:r>
      <w:proofErr w:type="gramStart"/>
      <w:r>
        <w:rPr>
          <w:rFonts w:cs="Times New Roman"/>
          <w:szCs w:val="24"/>
        </w:rPr>
        <w:t>92.pantā</w:t>
      </w:r>
      <w:proofErr w:type="gramEnd"/>
      <w:r>
        <w:rPr>
          <w:rFonts w:cs="Times New Roman"/>
          <w:szCs w:val="24"/>
        </w:rPr>
        <w:t xml:space="preserve"> kā </w:t>
      </w:r>
      <w:r w:rsidRPr="00BC5578">
        <w:rPr>
          <w:rFonts w:cs="Times New Roman"/>
          <w:szCs w:val="24"/>
        </w:rPr>
        <w:t>vienas no būtiskākajām pamattiesībām</w:t>
      </w:r>
      <w:r>
        <w:rPr>
          <w:rFonts w:cs="Times New Roman"/>
          <w:szCs w:val="24"/>
        </w:rPr>
        <w:t>.</w:t>
      </w:r>
    </w:p>
    <w:p w14:paraId="6AFF577C" w14:textId="2B59CD00" w:rsidR="00820BE6" w:rsidRDefault="00820BE6" w:rsidP="00820BE6">
      <w:pPr>
        <w:tabs>
          <w:tab w:val="left" w:pos="1710"/>
        </w:tabs>
        <w:spacing w:after="0" w:line="276" w:lineRule="auto"/>
        <w:ind w:firstLine="709"/>
        <w:jc w:val="both"/>
      </w:pPr>
      <w:r w:rsidRPr="00BA42B1">
        <w:rPr>
          <w:rFonts w:cs="Times New Roman"/>
          <w:szCs w:val="24"/>
        </w:rPr>
        <w:t xml:space="preserve">Senāts norāda, ka tiesības uz taisnīgu tiesu ietver arī tiesības </w:t>
      </w:r>
      <w:r>
        <w:rPr>
          <w:rFonts w:cs="Times New Roman"/>
          <w:szCs w:val="24"/>
        </w:rPr>
        <w:t>nopratināt liecinošās personas</w:t>
      </w:r>
      <w:r w:rsidR="0002250A">
        <w:rPr>
          <w:rFonts w:cs="Times New Roman"/>
          <w:szCs w:val="24"/>
        </w:rPr>
        <w:t>,</w:t>
      </w:r>
      <w:r>
        <w:rPr>
          <w:rFonts w:cs="Times New Roman"/>
          <w:szCs w:val="24"/>
        </w:rPr>
        <w:t xml:space="preserve"> un </w:t>
      </w:r>
      <w:r>
        <w:t>tas nav panākams, izskatot lietu rakstveida procesā.</w:t>
      </w:r>
    </w:p>
    <w:p w14:paraId="2F1A3206" w14:textId="70CD355D" w:rsidR="00CD0EB0" w:rsidRDefault="00CD0EB0" w:rsidP="00CD0EB0">
      <w:pPr>
        <w:spacing w:after="0" w:line="276" w:lineRule="auto"/>
        <w:ind w:firstLine="720"/>
        <w:jc w:val="both"/>
      </w:pPr>
      <w:r>
        <w:t>S</w:t>
      </w:r>
      <w:r w:rsidR="000D160E">
        <w:t>avukārt, iz</w:t>
      </w:r>
      <w:r>
        <w:t xml:space="preserve">lemjot par iespēju nopratināt īpaši aizsargājamo cietušo, jāsamēro apsūdzētā tiesības uz aizstāvību ar cietušā tiesībām netikt pakļautam nesamērīgai </w:t>
      </w:r>
      <w:proofErr w:type="spellStart"/>
      <w:r>
        <w:t>retraumatizācijai</w:t>
      </w:r>
      <w:proofErr w:type="spellEnd"/>
      <w:r>
        <w:t>. Ar īpašu rūpību minētais jautājums lemjams gadījumos, kad pirmstiesas kriminālprocesā cietušā liecības nav fiksētas audioierakstā/videoierakstā un cietušā liecinātais ir argumentēti apšaubīts</w:t>
      </w:r>
      <w:r w:rsidRPr="00285546">
        <w:rPr>
          <w:rFonts w:cs="Times New Roman"/>
          <w:b/>
          <w:szCs w:val="24"/>
        </w:rPr>
        <w:t xml:space="preserve"> </w:t>
      </w:r>
      <w:r>
        <w:t>(</w:t>
      </w:r>
      <w:r>
        <w:rPr>
          <w:i/>
          <w:iCs/>
        </w:rPr>
        <w:t xml:space="preserve">Augstākās tiesas </w:t>
      </w:r>
      <w:proofErr w:type="gramStart"/>
      <w:r>
        <w:rPr>
          <w:i/>
          <w:iCs/>
        </w:rPr>
        <w:t>2020.gada</w:t>
      </w:r>
      <w:proofErr w:type="gramEnd"/>
      <w:r>
        <w:rPr>
          <w:i/>
          <w:iCs/>
        </w:rPr>
        <w:t xml:space="preserve"> [..] lēmums (slēgtas lietas statuss) lietā Nr. [..], SKK</w:t>
      </w:r>
      <w:r w:rsidR="0040218F">
        <w:rPr>
          <w:i/>
          <w:iCs/>
        </w:rPr>
        <w:t>-</w:t>
      </w:r>
      <w:r>
        <w:rPr>
          <w:i/>
          <w:iCs/>
        </w:rPr>
        <w:t>[M]/2020 (ECLI:LV:AT:2020:[..])</w:t>
      </w:r>
      <w:r>
        <w:t>).</w:t>
      </w:r>
    </w:p>
    <w:p w14:paraId="6B3F3241" w14:textId="063121B4" w:rsidR="001D2F09" w:rsidRDefault="000D160E" w:rsidP="001D2F09">
      <w:pPr>
        <w:spacing w:after="0" w:line="276" w:lineRule="auto"/>
        <w:ind w:firstLine="709"/>
        <w:jc w:val="both"/>
      </w:pPr>
      <w:r>
        <w:t xml:space="preserve">Kriminālprocesa likuma </w:t>
      </w:r>
      <w:proofErr w:type="gramStart"/>
      <w:r>
        <w:t>560.panta</w:t>
      </w:r>
      <w:proofErr w:type="gramEnd"/>
      <w:r>
        <w:t xml:space="preserve"> otrās daļas otrajā teikumā</w:t>
      </w:r>
      <w:r w:rsidR="0084184D">
        <w:t xml:space="preserve"> norādīts,</w:t>
      </w:r>
      <w:r>
        <w:t xml:space="preserve"> ka t</w:t>
      </w:r>
      <w:r w:rsidRPr="00972794">
        <w:t>iesa pēc savas iniciatīvas var uzaicināt personas, kas nopratinātas pirmās instances tiesā, ja tiesai rodas pamatotas šaubas par sniegto liecību pilnīgumu vai par apsūdzētā iespējamo vainu inkriminētajā apsūdzībā.</w:t>
      </w:r>
      <w:r w:rsidR="001D2F09">
        <w:t xml:space="preserve"> Minētās prasības konkrētajā gadījumā attiecināmas arī uz cietušās pirmstiesas kriminālprocesā sniegtajām liecībām, kuras izmantotas pierādīšanā, jo pirmās instances tiesā cietušās liecības tika pārbaudītas Kriminālprocesa likuma </w:t>
      </w:r>
      <w:proofErr w:type="gramStart"/>
      <w:r w:rsidR="001D2F09">
        <w:t>501.panta</w:t>
      </w:r>
      <w:proofErr w:type="gramEnd"/>
      <w:r w:rsidR="001D2F09">
        <w:t xml:space="preserve"> 5.punkta kārtībā. </w:t>
      </w:r>
    </w:p>
    <w:p w14:paraId="5A84B526" w14:textId="37C3B29E" w:rsidR="000D160E" w:rsidRDefault="000D160E" w:rsidP="000D160E">
      <w:pPr>
        <w:spacing w:after="0" w:line="276" w:lineRule="auto"/>
        <w:ind w:firstLine="709"/>
        <w:jc w:val="both"/>
      </w:pPr>
      <w:r>
        <w:t xml:space="preserve">Kasācijas instances tiesa atzīst, ka apelācijas instances tiesai, iepazīstoties ar </w:t>
      </w:r>
      <w:r w:rsidRPr="00C64A19">
        <w:t>apelācijas sūdzības</w:t>
      </w:r>
      <w:r>
        <w:t xml:space="preserve"> saturu un lietas materiāliem, vajadzēja rasties pamatotām šaubām par cietušās </w:t>
      </w:r>
      <w:r w:rsidR="00450BBF">
        <w:t>[pers. B]</w:t>
      </w:r>
      <w:r w:rsidRPr="00403998">
        <w:t xml:space="preserve"> pirmstiesas </w:t>
      </w:r>
      <w:r>
        <w:t>kriminālprocesā s</w:t>
      </w:r>
      <w:r w:rsidRPr="00403998">
        <w:t>niegto liecību pilnīgumu.</w:t>
      </w:r>
    </w:p>
    <w:p w14:paraId="302651AA" w14:textId="09FE6BA9" w:rsidR="000D160E" w:rsidRDefault="000D160E" w:rsidP="000D160E">
      <w:pPr>
        <w:spacing w:after="0" w:line="276" w:lineRule="auto"/>
        <w:ind w:firstLine="709"/>
        <w:jc w:val="both"/>
      </w:pPr>
      <w:r>
        <w:t xml:space="preserve">Apsūdzētā </w:t>
      </w:r>
      <w:r w:rsidR="00450BBF">
        <w:t>[pers. A]</w:t>
      </w:r>
      <w:r>
        <w:t xml:space="preserve"> aizstāvis apelācijas sūdzībā norādījis, ka cietusī </w:t>
      </w:r>
      <w:r w:rsidR="00450BBF">
        <w:t>[pers. B]</w:t>
      </w:r>
      <w:r>
        <w:t xml:space="preserve"> pirmstiesas kriminālprocesā sniedza acīmredzami pretrunīgas liecības par faktiem, kuri norādīti </w:t>
      </w:r>
      <w:r w:rsidR="00450BBF">
        <w:t>[pers. A]</w:t>
      </w:r>
      <w:r>
        <w:t xml:space="preserve"> inkriminētajā apsūdzībā.</w:t>
      </w:r>
    </w:p>
    <w:p w14:paraId="31AD5929" w14:textId="058C706E" w:rsidR="009C48DB" w:rsidRDefault="000D160E" w:rsidP="001D2F09">
      <w:pPr>
        <w:spacing w:after="0" w:line="276" w:lineRule="auto"/>
        <w:jc w:val="both"/>
      </w:pPr>
      <w:r>
        <w:tab/>
        <w:t xml:space="preserve">Nepilngadīgā cietusī </w:t>
      </w:r>
      <w:r w:rsidR="00812A37">
        <w:t>[pers. B]</w:t>
      </w:r>
      <w:r>
        <w:t xml:space="preserve"> </w:t>
      </w:r>
      <w:proofErr w:type="gramStart"/>
      <w:r>
        <w:t>2016.gada</w:t>
      </w:r>
      <w:proofErr w:type="gramEnd"/>
      <w:r>
        <w:t xml:space="preserve"> </w:t>
      </w:r>
      <w:r w:rsidR="00812A37">
        <w:t>[..]</w:t>
      </w:r>
      <w:r>
        <w:t xml:space="preserve"> liecināja, ka </w:t>
      </w:r>
      <w:r w:rsidR="00812A37">
        <w:t>[pers. A]</w:t>
      </w:r>
      <w:r>
        <w:t xml:space="preserve"> stājās ar viņu dzimumattiecībās pret viņas gribu, pielietojot vardarbību. Savukārt </w:t>
      </w:r>
      <w:proofErr w:type="gramStart"/>
      <w:r>
        <w:t>2017.gada</w:t>
      </w:r>
      <w:proofErr w:type="gramEnd"/>
      <w:r>
        <w:t xml:space="preserve"> </w:t>
      </w:r>
      <w:r w:rsidR="00812A37">
        <w:t>[..]</w:t>
      </w:r>
      <w:r w:rsidRPr="00C64A19">
        <w:t xml:space="preserve"> </w:t>
      </w:r>
      <w:r w:rsidR="00812A37">
        <w:t>[pers. B]</w:t>
      </w:r>
      <w:r>
        <w:t xml:space="preserve">, būdama papildus nopratināta, liecināja, ka viņa aprunāja </w:t>
      </w:r>
      <w:r w:rsidR="00812A37">
        <w:t>[pers. A]</w:t>
      </w:r>
      <w:r>
        <w:t xml:space="preserve"> izvarošanā.</w:t>
      </w:r>
    </w:p>
    <w:p w14:paraId="6DC3B063" w14:textId="2F613E1A" w:rsidR="001D2F09" w:rsidRDefault="001D2F09" w:rsidP="001D2F09">
      <w:pPr>
        <w:spacing w:after="0" w:line="276" w:lineRule="auto"/>
        <w:ind w:firstLine="709"/>
        <w:jc w:val="both"/>
      </w:pPr>
      <w:r w:rsidRPr="001D2F09">
        <w:t xml:space="preserve">Nepilngadīgās cietušās pirmstiesas kriminālprocesā pretrunīgi sniegtās liecības un nepieciešamība nopratināt nepilngadīgo cietušo </w:t>
      </w:r>
      <w:r w:rsidR="00812A37">
        <w:t>[pers. B]</w:t>
      </w:r>
      <w:r w:rsidRPr="001D2F09">
        <w:t xml:space="preserve"> par minētajiem apstākļiem, bija par pamatu, lai apelācijas instances tiesa lemtu par cietušās nopratināšanu tiesas sēdē, izvērtējot, vai nepilngadīgā, kurš atzīts par cietušo noziedzīgā nodarījumā pret tikumību un dzimumneaizskaramību un kuru apsūdzētajam nav bijis iespējams iztaujāt, neierašanās tiesā iemesls nav mainījies.</w:t>
      </w:r>
    </w:p>
    <w:p w14:paraId="6DA1A45B" w14:textId="5B029018" w:rsidR="00050F1B" w:rsidRPr="00050F1B" w:rsidRDefault="00636829" w:rsidP="00050F1B">
      <w:pPr>
        <w:spacing w:after="0" w:line="276" w:lineRule="auto"/>
        <w:ind w:firstLine="709"/>
        <w:jc w:val="both"/>
        <w:rPr>
          <w:bCs/>
        </w:rPr>
      </w:pPr>
      <w:r>
        <w:t>N</w:t>
      </w:r>
      <w:r w:rsidR="00624B6A">
        <w:t xml:space="preserve">o lietas materiāliem izriet, ka </w:t>
      </w:r>
      <w:proofErr w:type="gramStart"/>
      <w:r w:rsidR="00624B6A">
        <w:t>2017.gada</w:t>
      </w:r>
      <w:proofErr w:type="gramEnd"/>
      <w:r w:rsidR="00624B6A">
        <w:t xml:space="preserve"> </w:t>
      </w:r>
      <w:r w:rsidR="00812A37">
        <w:t>[..]</w:t>
      </w:r>
      <w:r w:rsidR="00624B6A">
        <w:t xml:space="preserve"> ambulatorā kompleksā tiesu psihiatriskā-tiesu psiholoģiskā ekspertīzē secināts, ka </w:t>
      </w:r>
      <w:r w:rsidR="00812A37">
        <w:t>[pers. B]</w:t>
      </w:r>
      <w:r w:rsidR="00624B6A">
        <w:t xml:space="preserve"> nav vēlams piedalīties tiesas sēdē, kā arī nav ieteicams veikt konfrontēšanu ar pāridarītāju. </w:t>
      </w:r>
      <w:r>
        <w:t>A</w:t>
      </w:r>
      <w:r w:rsidR="009C48DB">
        <w:t xml:space="preserve">pelācijas instances tiesa lietu iztiesāja </w:t>
      </w:r>
      <w:proofErr w:type="gramStart"/>
      <w:r w:rsidR="009C48DB">
        <w:t>2020.gada</w:t>
      </w:r>
      <w:proofErr w:type="gramEnd"/>
      <w:r w:rsidR="009C48DB">
        <w:t xml:space="preserve"> </w:t>
      </w:r>
      <w:r w:rsidR="00812A37">
        <w:t>[..]</w:t>
      </w:r>
      <w:r w:rsidR="009C48DB">
        <w:t xml:space="preserve">, tas ir, vairāk </w:t>
      </w:r>
      <w:r w:rsidR="00E62FAA">
        <w:t>ne</w:t>
      </w:r>
      <w:r w:rsidR="009C48DB">
        <w:t xml:space="preserve">kā trīs gadus pēc </w:t>
      </w:r>
      <w:r w:rsidR="00050F1B">
        <w:t xml:space="preserve">noteiktās </w:t>
      </w:r>
      <w:r w:rsidR="009C48DB">
        <w:t xml:space="preserve">ekspertīzes un 12 dienas pirms </w:t>
      </w:r>
      <w:r w:rsidR="00812A37">
        <w:t>[pers. B]</w:t>
      </w:r>
      <w:r w:rsidR="009C48DB">
        <w:t xml:space="preserve"> pilngadības.</w:t>
      </w:r>
      <w:r w:rsidR="009C48DB" w:rsidRPr="00624B6A">
        <w:rPr>
          <w:rFonts w:cs="Times New Roman"/>
          <w:bCs/>
          <w:szCs w:val="24"/>
        </w:rPr>
        <w:t xml:space="preserve"> </w:t>
      </w:r>
      <w:r w:rsidRPr="00050F1B">
        <w:rPr>
          <w:rFonts w:cs="Times New Roman"/>
          <w:bCs/>
          <w:szCs w:val="24"/>
        </w:rPr>
        <w:t xml:space="preserve">Tādējādi </w:t>
      </w:r>
      <w:r w:rsidR="009C48DB" w:rsidRPr="00050F1B">
        <w:rPr>
          <w:bCs/>
        </w:rPr>
        <w:t>no cietušās emocionālā stāvokļa iepriekšējās noskaidrošanas bija pagājis ilgstošs laiks</w:t>
      </w:r>
      <w:r w:rsidR="0088487F" w:rsidRPr="00050F1B">
        <w:rPr>
          <w:bCs/>
        </w:rPr>
        <w:t>, kurā varēja mainīties nepilngadīgā</w:t>
      </w:r>
      <w:r w:rsidR="00050F1B" w:rsidRPr="00050F1B">
        <w:rPr>
          <w:bCs/>
        </w:rPr>
        <w:t>s</w:t>
      </w:r>
      <w:r w:rsidR="0088487F" w:rsidRPr="00050F1B">
        <w:rPr>
          <w:bCs/>
        </w:rPr>
        <w:t xml:space="preserve"> cietušā</w:t>
      </w:r>
      <w:r w:rsidR="00050F1B" w:rsidRPr="00050F1B">
        <w:rPr>
          <w:bCs/>
        </w:rPr>
        <w:t>s</w:t>
      </w:r>
      <w:r w:rsidR="0088487F" w:rsidRPr="00050F1B">
        <w:rPr>
          <w:bCs/>
        </w:rPr>
        <w:t xml:space="preserve"> </w:t>
      </w:r>
      <w:r w:rsidR="00EA042E" w:rsidRPr="00050F1B">
        <w:rPr>
          <w:bCs/>
        </w:rPr>
        <w:t xml:space="preserve">fiziskais briedums un </w:t>
      </w:r>
      <w:r w:rsidR="0088487F" w:rsidRPr="00050F1B">
        <w:rPr>
          <w:bCs/>
        </w:rPr>
        <w:t>emocionālais stāvoklis.</w:t>
      </w:r>
    </w:p>
    <w:p w14:paraId="7660629E" w14:textId="7E8C7641" w:rsidR="009C48DB" w:rsidRPr="00050F1B" w:rsidRDefault="00636829" w:rsidP="00050F1B">
      <w:pPr>
        <w:spacing w:after="0" w:line="276" w:lineRule="auto"/>
        <w:ind w:firstLine="709"/>
        <w:jc w:val="both"/>
        <w:rPr>
          <w:b/>
        </w:rPr>
      </w:pPr>
      <w:r>
        <w:t>Turklāt,</w:t>
      </w:r>
      <w:r w:rsidR="00050F1B">
        <w:t xml:space="preserve"> lemjot jautājumu par cietušās nopratināšanu tiesas sēdē, jāņem vērā, ka </w:t>
      </w:r>
      <w:r w:rsidR="009C48DB">
        <w:t xml:space="preserve">īpaši aizsargājamās cietušās nopratināšanā var piemērot Kriminālprocesa likuma </w:t>
      </w:r>
      <w:proofErr w:type="gramStart"/>
      <w:r w:rsidR="009C48DB">
        <w:t>153.pantā</w:t>
      </w:r>
      <w:proofErr w:type="gramEnd"/>
      <w:r w:rsidR="009C48DB">
        <w:t xml:space="preserve"> norādītās iespējas, kas izslēdz tiešu cietušā kontaktēšanos ar apsūdzēto tiesas zālē un cietušā nopratināšanu veic ar psihologa starpniecību.</w:t>
      </w:r>
    </w:p>
    <w:p w14:paraId="5A6EE1B7" w14:textId="16362FDB" w:rsidR="000C677B" w:rsidRDefault="0088487F" w:rsidP="00D60122">
      <w:pPr>
        <w:spacing w:after="0" w:line="276" w:lineRule="auto"/>
        <w:ind w:firstLine="709"/>
        <w:jc w:val="both"/>
      </w:pPr>
      <w:r>
        <w:t>Ņemot vērā minētos apstākļus, apelācijas instances tiesai bij</w:t>
      </w:r>
      <w:r w:rsidR="00E62FAA">
        <w:t>a</w:t>
      </w:r>
      <w:r>
        <w:t xml:space="preserve"> pienākums lietu iztiesāt mutvārdu procesā un pielikt sapr</w:t>
      </w:r>
      <w:r w:rsidR="00E62FAA">
        <w:t>ā</w:t>
      </w:r>
      <w:r>
        <w:t xml:space="preserve">tīgas pūles, lai cietušo </w:t>
      </w:r>
      <w:r w:rsidR="00812A37">
        <w:t>[pers. B]</w:t>
      </w:r>
      <w:r>
        <w:t xml:space="preserve"> nopratinātu.   </w:t>
      </w:r>
    </w:p>
    <w:p w14:paraId="040B0738" w14:textId="459F9DDD" w:rsidR="001729AD" w:rsidRPr="00A716FE" w:rsidRDefault="001729AD" w:rsidP="003958BC">
      <w:pPr>
        <w:tabs>
          <w:tab w:val="left" w:pos="0"/>
        </w:tabs>
        <w:spacing w:after="0" w:line="276" w:lineRule="auto"/>
        <w:jc w:val="both"/>
      </w:pPr>
      <w:r>
        <w:tab/>
        <w:t>[5.2] </w:t>
      </w:r>
      <w:r w:rsidR="003958BC">
        <w:t xml:space="preserve">Tāpat </w:t>
      </w:r>
      <w:r w:rsidRPr="00A716FE">
        <w:rPr>
          <w:rFonts w:eastAsia="Times New Roman" w:cs="Times New Roman"/>
          <w:szCs w:val="24"/>
        </w:rPr>
        <w:t xml:space="preserve">šajā </w:t>
      </w:r>
      <w:r>
        <w:rPr>
          <w:rFonts w:eastAsia="Times New Roman" w:cs="Times New Roman"/>
          <w:szCs w:val="24"/>
        </w:rPr>
        <w:t>krimināl</w:t>
      </w:r>
      <w:r w:rsidRPr="00A716FE">
        <w:rPr>
          <w:rFonts w:eastAsia="Times New Roman" w:cs="Times New Roman"/>
          <w:szCs w:val="24"/>
        </w:rPr>
        <w:t xml:space="preserve">lietā </w:t>
      </w:r>
      <w:r>
        <w:rPr>
          <w:rFonts w:eastAsia="Times New Roman" w:cs="Times New Roman"/>
          <w:szCs w:val="24"/>
        </w:rPr>
        <w:t>pārsniedzams kasācijas sūdzības apjoms</w:t>
      </w:r>
      <w:r w:rsidRPr="00A716FE">
        <w:rPr>
          <w:rFonts w:eastAsia="Times New Roman" w:cs="Times New Roman"/>
          <w:szCs w:val="24"/>
        </w:rPr>
        <w:t>, jo</w:t>
      </w:r>
      <w:r>
        <w:rPr>
          <w:rFonts w:eastAsia="Times New Roman" w:cs="Times New Roman"/>
          <w:szCs w:val="24"/>
        </w:rPr>
        <w:t xml:space="preserve"> apsūdzētais </w:t>
      </w:r>
      <w:r w:rsidR="00553330">
        <w:rPr>
          <w:rFonts w:eastAsia="Times New Roman" w:cs="Times New Roman"/>
          <w:szCs w:val="24"/>
        </w:rPr>
        <w:t>[pers. A]</w:t>
      </w:r>
      <w:r>
        <w:rPr>
          <w:rFonts w:eastAsia="Times New Roman" w:cs="Times New Roman"/>
          <w:szCs w:val="24"/>
        </w:rPr>
        <w:t xml:space="preserve"> </w:t>
      </w:r>
      <w:r w:rsidRPr="00A716FE">
        <w:rPr>
          <w:rFonts w:eastAsia="Times New Roman" w:cs="Times New Roman"/>
          <w:szCs w:val="24"/>
        </w:rPr>
        <w:t>kasācijas sūdzīb</w:t>
      </w:r>
      <w:r>
        <w:rPr>
          <w:rFonts w:eastAsia="Times New Roman" w:cs="Times New Roman"/>
          <w:szCs w:val="24"/>
        </w:rPr>
        <w:t>ā</w:t>
      </w:r>
      <w:r w:rsidRPr="00A716FE">
        <w:rPr>
          <w:rFonts w:eastAsia="Times New Roman" w:cs="Times New Roman"/>
          <w:szCs w:val="24"/>
        </w:rPr>
        <w:t xml:space="preserve"> nav </w:t>
      </w:r>
      <w:r>
        <w:rPr>
          <w:rFonts w:eastAsia="Times New Roman" w:cs="Times New Roman"/>
          <w:szCs w:val="24"/>
        </w:rPr>
        <w:t>norādījis, ka apelācijas instances tiesa nepamatoti</w:t>
      </w:r>
      <w:r w:rsidR="00B77E49">
        <w:rPr>
          <w:rFonts w:eastAsia="Times New Roman" w:cs="Times New Roman"/>
          <w:szCs w:val="24"/>
        </w:rPr>
        <w:t xml:space="preserve"> atzinusi par nepieļaujamām un pierādīšanā neizmantojamām </w:t>
      </w:r>
      <w:r>
        <w:rPr>
          <w:rFonts w:eastAsia="Times New Roman" w:cs="Times New Roman"/>
          <w:szCs w:val="24"/>
        </w:rPr>
        <w:t xml:space="preserve">cietušās </w:t>
      </w:r>
      <w:proofErr w:type="gramStart"/>
      <w:r>
        <w:rPr>
          <w:rFonts w:eastAsia="Times New Roman" w:cs="Times New Roman"/>
          <w:szCs w:val="24"/>
        </w:rPr>
        <w:t>2017.gada</w:t>
      </w:r>
      <w:proofErr w:type="gramEnd"/>
      <w:r>
        <w:rPr>
          <w:rFonts w:eastAsia="Times New Roman" w:cs="Times New Roman"/>
          <w:szCs w:val="24"/>
        </w:rPr>
        <w:t xml:space="preserve"> </w:t>
      </w:r>
      <w:r w:rsidR="0040218F">
        <w:rPr>
          <w:rFonts w:eastAsia="Times New Roman" w:cs="Times New Roman"/>
          <w:szCs w:val="24"/>
        </w:rPr>
        <w:t>[..]</w:t>
      </w:r>
      <w:r>
        <w:rPr>
          <w:rFonts w:eastAsia="Times New Roman" w:cs="Times New Roman"/>
          <w:szCs w:val="24"/>
        </w:rPr>
        <w:t xml:space="preserve"> pirmstiesas </w:t>
      </w:r>
      <w:r w:rsidR="00B77E49">
        <w:rPr>
          <w:rFonts w:eastAsia="Times New Roman" w:cs="Times New Roman"/>
          <w:szCs w:val="24"/>
        </w:rPr>
        <w:t xml:space="preserve">kriminālprocesā </w:t>
      </w:r>
      <w:r>
        <w:rPr>
          <w:rFonts w:eastAsia="Times New Roman" w:cs="Times New Roman"/>
          <w:szCs w:val="24"/>
        </w:rPr>
        <w:t>sniegtās liecības</w:t>
      </w:r>
      <w:r w:rsidR="00EA042E">
        <w:rPr>
          <w:rFonts w:eastAsia="Times New Roman" w:cs="Times New Roman"/>
          <w:szCs w:val="24"/>
        </w:rPr>
        <w:t>, kuras sniegtas apsūdzētajam par labu</w:t>
      </w:r>
      <w:r w:rsidRPr="00A716FE">
        <w:rPr>
          <w:rFonts w:eastAsia="Times New Roman" w:cs="Times New Roman"/>
          <w:szCs w:val="24"/>
        </w:rPr>
        <w:t>.</w:t>
      </w:r>
    </w:p>
    <w:p w14:paraId="36209A21" w14:textId="5BB433D1" w:rsidR="001729AD" w:rsidRPr="005B7B10" w:rsidRDefault="001729AD" w:rsidP="001729AD">
      <w:pPr>
        <w:spacing w:after="0" w:line="276" w:lineRule="auto"/>
        <w:jc w:val="both"/>
      </w:pPr>
      <w:r>
        <w:rPr>
          <w:b/>
          <w:bCs/>
        </w:rPr>
        <w:tab/>
      </w:r>
      <w:r w:rsidRPr="00B46E4A">
        <w:t xml:space="preserve">Apelācijas instances tiesa atbilstoši Kriminālprocesa likuma </w:t>
      </w:r>
      <w:proofErr w:type="gramStart"/>
      <w:r w:rsidRPr="00B46E4A">
        <w:t>130.panta</w:t>
      </w:r>
      <w:proofErr w:type="gramEnd"/>
      <w:r w:rsidRPr="00B46E4A">
        <w:t xml:space="preserve"> otrās daļas 3.punktam nepilngadīgās cietušās papildus sniegtās liecības atzin</w:t>
      </w:r>
      <w:r w:rsidR="00924068">
        <w:t>usi</w:t>
      </w:r>
      <w:r w:rsidRPr="00B46E4A">
        <w:t xml:space="preserve"> par nepieļaujamām un pierādīšanā neizmantojamām</w:t>
      </w:r>
      <w:r>
        <w:t>. Tiesa norādījusi, ka procesa virzītāja</w:t>
      </w:r>
      <w:r w:rsidR="00924068">
        <w:t>,</w:t>
      </w:r>
      <w:r>
        <w:t xml:space="preserve"> atkārtoti nopratinot nepilngadīgo cietušo</w:t>
      </w:r>
      <w:r w:rsidR="00924068">
        <w:t>,</w:t>
      </w:r>
      <w:r>
        <w:t xml:space="preserve"> nav ņēmusi vērā ambulatorās kompleksās tiesu psihiatriskās</w:t>
      </w:r>
      <w:r w:rsidR="00924068">
        <w:t>-</w:t>
      </w:r>
      <w:r>
        <w:t>tiesu psiholoģiskās ekspertīzes atzinumu</w:t>
      </w:r>
      <w:r w:rsidR="00C332A7">
        <w:t xml:space="preserve"> un</w:t>
      </w:r>
      <w:r>
        <w:t xml:space="preserve"> līdz ar to pārkāpusi Kriminālprocesa likuma </w:t>
      </w:r>
      <w:proofErr w:type="gramStart"/>
      <w:r>
        <w:t>152.panta</w:t>
      </w:r>
      <w:proofErr w:type="gramEnd"/>
      <w:r>
        <w:t xml:space="preserve"> ceturtās daļas prasības, kas noteic</w:t>
      </w:r>
      <w:r w:rsidR="00924068">
        <w:t>, ka gadījumā,</w:t>
      </w:r>
      <w:r>
        <w:t xml:space="preserve"> ja psihologs norāda procesa virzītājam, ka 14 gadus nesasniegušās personas psihei vai tāda nepilngadīgā psihei, kas atzīts par cietušo noziedzīgā nodarījumā pret tikumību vai dzimumneaizskaramību, var kaitēt atkārtota pratināšana, tā izdarāma tikai ar izmeklēšanas tiesneša atļauju, bet tiesā – ar tiesas atļauju. </w:t>
      </w:r>
    </w:p>
    <w:p w14:paraId="558B7F58" w14:textId="77777777" w:rsidR="00924068" w:rsidRDefault="00924068" w:rsidP="00924068">
      <w:pPr>
        <w:spacing w:after="0" w:line="276" w:lineRule="auto"/>
        <w:ind w:firstLine="720"/>
        <w:jc w:val="both"/>
        <w:rPr>
          <w:color w:val="000000"/>
          <w:shd w:val="clear" w:color="auto" w:fill="FFFFFF"/>
        </w:rPr>
      </w:pPr>
      <w:r>
        <w:rPr>
          <w:color w:val="000000"/>
        </w:rPr>
        <w:t xml:space="preserve">Kriminālprocesa likuma </w:t>
      </w:r>
      <w:proofErr w:type="gramStart"/>
      <w:r>
        <w:rPr>
          <w:color w:val="000000"/>
        </w:rPr>
        <w:t>130.panta</w:t>
      </w:r>
      <w:proofErr w:type="gramEnd"/>
      <w:r>
        <w:rPr>
          <w:color w:val="000000"/>
        </w:rPr>
        <w:t xml:space="preserve"> otrās daļas 3.punkts noteic, ka p</w:t>
      </w:r>
      <w:r>
        <w:rPr>
          <w:color w:val="000000"/>
          <w:shd w:val="clear" w:color="auto" w:fill="FFFFFF"/>
        </w:rPr>
        <w:t>ar nepieļaujamām un pierādīšanā neizmantojamām atzīstamas tādas ziņas par faktiem, kuras iegūtas, pieļaujot šajā likumā īpaši norādītos pārkāpumus, kas liedz konkrētā pierādījuma izmantošanu.</w:t>
      </w:r>
    </w:p>
    <w:p w14:paraId="63A12996" w14:textId="23D28017" w:rsidR="00924068" w:rsidRDefault="00924068" w:rsidP="00924068">
      <w:pPr>
        <w:spacing w:after="0" w:line="276" w:lineRule="auto"/>
        <w:ind w:firstLine="720"/>
        <w:jc w:val="both"/>
        <w:rPr>
          <w:rFonts w:eastAsia="Times New Roman" w:cs="Times New Roman"/>
          <w:szCs w:val="24"/>
        </w:rPr>
      </w:pPr>
      <w:r w:rsidRPr="007E01D0">
        <w:rPr>
          <w:rFonts w:eastAsia="Times New Roman" w:cs="Times New Roman"/>
          <w:szCs w:val="24"/>
        </w:rPr>
        <w:t xml:space="preserve">Augstākās tiesas </w:t>
      </w:r>
      <w:proofErr w:type="gramStart"/>
      <w:r w:rsidRPr="007E01D0">
        <w:rPr>
          <w:rFonts w:eastAsia="Times New Roman" w:cs="Times New Roman"/>
          <w:szCs w:val="24"/>
        </w:rPr>
        <w:t>2020.gada</w:t>
      </w:r>
      <w:proofErr w:type="gramEnd"/>
      <w:r w:rsidRPr="007E01D0">
        <w:rPr>
          <w:rFonts w:eastAsia="Times New Roman" w:cs="Times New Roman"/>
          <w:szCs w:val="24"/>
        </w:rPr>
        <w:t xml:space="preserve"> 8.oktobra lēmum</w:t>
      </w:r>
      <w:r>
        <w:rPr>
          <w:rFonts w:eastAsia="Times New Roman" w:cs="Times New Roman"/>
          <w:szCs w:val="24"/>
        </w:rPr>
        <w:t>ā</w:t>
      </w:r>
      <w:r w:rsidRPr="007E01D0">
        <w:rPr>
          <w:rFonts w:eastAsia="Times New Roman" w:cs="Times New Roman"/>
          <w:szCs w:val="24"/>
        </w:rPr>
        <w:t xml:space="preserve"> lietā Nr.</w:t>
      </w:r>
      <w:r>
        <w:rPr>
          <w:rFonts w:eastAsia="Times New Roman" w:cs="Times New Roman"/>
          <w:szCs w:val="24"/>
        </w:rPr>
        <w:t> </w:t>
      </w:r>
      <w:r w:rsidRPr="007E01D0">
        <w:rPr>
          <w:rFonts w:eastAsia="Times New Roman" w:cs="Times New Roman"/>
          <w:szCs w:val="24"/>
        </w:rPr>
        <w:t>SKK</w:t>
      </w:r>
      <w:r w:rsidRPr="007E01D0">
        <w:rPr>
          <w:rFonts w:eastAsia="Times New Roman" w:cs="Times New Roman"/>
          <w:szCs w:val="24"/>
        </w:rPr>
        <w:noBreakHyphen/>
        <w:t>95/2020</w:t>
      </w:r>
      <w:r>
        <w:rPr>
          <w:rFonts w:eastAsia="Times New Roman" w:cs="Times New Roman"/>
          <w:szCs w:val="24"/>
        </w:rPr>
        <w:t xml:space="preserve"> pausta atziņa, ka </w:t>
      </w:r>
      <w:r>
        <w:t xml:space="preserve">Kriminālprocesa likuma normās jābūt tiešai norādei, ka konkrētais procesuālais pārkāpums izraisa pierādījumu nepieļaujamību un liedz konkrētā pierādījuma izmantošanu pierādīšanā. Nav pieļaujams Kriminālprocesa likuma </w:t>
      </w:r>
      <w:proofErr w:type="gramStart"/>
      <w:r>
        <w:t>130.panta</w:t>
      </w:r>
      <w:proofErr w:type="gramEnd"/>
      <w:r>
        <w:t xml:space="preserve"> otrās daļas 3.punktā noteiktās normas saturu aizpildīt ar jebkādu procesuālo pārkāpumu</w:t>
      </w:r>
      <w:r>
        <w:rPr>
          <w:rFonts w:eastAsia="Times New Roman" w:cs="Times New Roman"/>
          <w:szCs w:val="24"/>
        </w:rPr>
        <w:t xml:space="preserve"> (</w:t>
      </w:r>
      <w:r w:rsidRPr="004243FC">
        <w:rPr>
          <w:rFonts w:eastAsia="Times New Roman" w:cs="Times New Roman"/>
          <w:i/>
          <w:iCs/>
          <w:szCs w:val="24"/>
        </w:rPr>
        <w:t>Augstākās tiesas 2020.gada 8.oktobra lēmums lietā Nr. SKK-95/2020 (</w:t>
      </w:r>
      <w:r w:rsidR="004243FC" w:rsidRPr="004243FC">
        <w:rPr>
          <w:rFonts w:eastAsia="Times New Roman" w:cs="Times New Roman"/>
          <w:i/>
          <w:iCs/>
          <w:szCs w:val="24"/>
        </w:rPr>
        <w:t>ECLI:LV:AT:2020:1008.11210084017.3.L</w:t>
      </w:r>
      <w:r w:rsidRPr="004243FC">
        <w:rPr>
          <w:rFonts w:eastAsia="Times New Roman" w:cs="Times New Roman"/>
          <w:i/>
          <w:iCs/>
          <w:szCs w:val="24"/>
        </w:rPr>
        <w:t>)</w:t>
      </w:r>
      <w:r>
        <w:rPr>
          <w:rFonts w:eastAsia="Times New Roman" w:cs="Times New Roman"/>
          <w:szCs w:val="24"/>
        </w:rPr>
        <w:t>)</w:t>
      </w:r>
      <w:r w:rsidR="004243FC">
        <w:rPr>
          <w:rFonts w:eastAsia="Times New Roman" w:cs="Times New Roman"/>
          <w:szCs w:val="24"/>
        </w:rPr>
        <w:t>.</w:t>
      </w:r>
    </w:p>
    <w:p w14:paraId="38C5386F" w14:textId="6E6A1171" w:rsidR="00924068" w:rsidRPr="005B7B10" w:rsidRDefault="00924068" w:rsidP="00924068">
      <w:pPr>
        <w:spacing w:after="0" w:line="276" w:lineRule="auto"/>
        <w:ind w:firstLine="720"/>
        <w:jc w:val="both"/>
        <w:rPr>
          <w:rFonts w:eastAsia="Times New Roman" w:cs="Times New Roman"/>
          <w:szCs w:val="24"/>
        </w:rPr>
      </w:pPr>
      <w:r>
        <w:rPr>
          <w:rFonts w:eastAsia="Times New Roman" w:cs="Times New Roman"/>
          <w:szCs w:val="24"/>
        </w:rPr>
        <w:t xml:space="preserve">Senāts konstatē, ka Kriminālprocesa likuma </w:t>
      </w:r>
      <w:proofErr w:type="gramStart"/>
      <w:r>
        <w:rPr>
          <w:rFonts w:eastAsia="Times New Roman" w:cs="Times New Roman"/>
          <w:szCs w:val="24"/>
        </w:rPr>
        <w:t>152.panta</w:t>
      </w:r>
      <w:proofErr w:type="gramEnd"/>
      <w:r>
        <w:rPr>
          <w:rFonts w:eastAsia="Times New Roman" w:cs="Times New Roman"/>
          <w:szCs w:val="24"/>
        </w:rPr>
        <w:t xml:space="preserve"> ceturtajā daļā nav norādes, ka</w:t>
      </w:r>
      <w:r w:rsidR="004243FC">
        <w:rPr>
          <w:rFonts w:eastAsia="Times New Roman" w:cs="Times New Roman"/>
          <w:szCs w:val="24"/>
        </w:rPr>
        <w:t>,</w:t>
      </w:r>
      <w:r>
        <w:rPr>
          <w:rFonts w:eastAsia="Times New Roman" w:cs="Times New Roman"/>
          <w:szCs w:val="24"/>
        </w:rPr>
        <w:t xml:space="preserve"> pārkāpjot noteikto atļaujas saņemšanas kārtību, nopratināšanā iegūtās ziņas par faktiem nav izmantojamas pierādīšanā. Turklāt Kriminālprocesa likuma </w:t>
      </w:r>
      <w:proofErr w:type="gramStart"/>
      <w:r>
        <w:rPr>
          <w:rFonts w:eastAsia="Times New Roman" w:cs="Times New Roman"/>
          <w:szCs w:val="24"/>
        </w:rPr>
        <w:t>152.panta</w:t>
      </w:r>
      <w:proofErr w:type="gramEnd"/>
      <w:r>
        <w:rPr>
          <w:rFonts w:eastAsia="Times New Roman" w:cs="Times New Roman"/>
          <w:szCs w:val="24"/>
        </w:rPr>
        <w:t xml:space="preserve"> ceturtajā daļā ietvertā prasība vērsta uz to, lai aizsargātu cietuš</w:t>
      </w:r>
      <w:r w:rsidR="00794468">
        <w:rPr>
          <w:rFonts w:eastAsia="Times New Roman" w:cs="Times New Roman"/>
          <w:szCs w:val="24"/>
        </w:rPr>
        <w:t>ā</w:t>
      </w:r>
      <w:r>
        <w:rPr>
          <w:rFonts w:eastAsia="Times New Roman" w:cs="Times New Roman"/>
          <w:szCs w:val="24"/>
        </w:rPr>
        <w:t xml:space="preserve"> intereses un nepieļautu kaitējuma nodarīšanu cietuš</w:t>
      </w:r>
      <w:r w:rsidR="00DB5060">
        <w:rPr>
          <w:rFonts w:eastAsia="Times New Roman" w:cs="Times New Roman"/>
          <w:szCs w:val="24"/>
        </w:rPr>
        <w:t>ā</w:t>
      </w:r>
      <w:r>
        <w:rPr>
          <w:rFonts w:eastAsia="Times New Roman" w:cs="Times New Roman"/>
          <w:szCs w:val="24"/>
        </w:rPr>
        <w:t xml:space="preserve"> psihei, nevis aizsargātu apsūdzētā tiesības uz taisnīgu tiesu pierādījumu iegūšanas procesā.  </w:t>
      </w:r>
    </w:p>
    <w:p w14:paraId="0112C51B" w14:textId="399A20A5" w:rsidR="00924068" w:rsidRDefault="00924068" w:rsidP="00924068">
      <w:pPr>
        <w:spacing w:after="0" w:line="276" w:lineRule="auto"/>
        <w:ind w:firstLine="709"/>
        <w:jc w:val="both"/>
      </w:pPr>
      <w:r>
        <w:t>Senāts atzīst, ka apelācijas instances tiesa</w:t>
      </w:r>
      <w:r w:rsidR="00296001">
        <w:t>,</w:t>
      </w:r>
      <w:r w:rsidR="00B77E49">
        <w:rPr>
          <w:b/>
          <w:bCs/>
        </w:rPr>
        <w:t xml:space="preserve"> </w:t>
      </w:r>
      <w:r w:rsidR="00B77E49" w:rsidRPr="00B77E49">
        <w:t>nepamatoti atzīstot par absolūti nepieļaujamu pierādījumu un izslēdzot no pierādījumiem nepilngadīg</w:t>
      </w:r>
      <w:r w:rsidR="00296001">
        <w:t>ā</w:t>
      </w:r>
      <w:r w:rsidR="00B77E49" w:rsidRPr="00B77E49">
        <w:t>s</w:t>
      </w:r>
      <w:r w:rsidR="00B77E49">
        <w:t xml:space="preserve"> </w:t>
      </w:r>
      <w:r>
        <w:t>cietušās papildus sniegtās liecības</w:t>
      </w:r>
      <w:r w:rsidR="00B77E49">
        <w:t>, kā arī</w:t>
      </w:r>
      <w:r>
        <w:t xml:space="preserve"> tiesā nenopratinot cietušo </w:t>
      </w:r>
      <w:r w:rsidR="00812A37">
        <w:t>[pers. B]</w:t>
      </w:r>
      <w:r w:rsidR="00DB5060">
        <w:t>,</w:t>
      </w:r>
      <w:r>
        <w:t xml:space="preserve"> pārkāpa Kriminālprocesa likuma </w:t>
      </w:r>
      <w:proofErr w:type="gramStart"/>
      <w:r>
        <w:t>15.pantā</w:t>
      </w:r>
      <w:proofErr w:type="gramEnd"/>
      <w:r>
        <w:t xml:space="preserve"> nostiprināto kriminālprocesa pamatprincipu – tiesības uz taisnīgu tiesu</w:t>
      </w:r>
      <w:r w:rsidR="00DB5060">
        <w:t xml:space="preserve"> –</w:t>
      </w:r>
      <w:r>
        <w:t>,  kas atzīstams par Kriminālprocesa likuma būtisku pārkāpumu šā likuma 575.panta trešās daļas izpratnē.</w:t>
      </w:r>
    </w:p>
    <w:p w14:paraId="7BE65A62" w14:textId="77777777" w:rsidR="004440C2" w:rsidRDefault="004440C2" w:rsidP="004440C2">
      <w:pPr>
        <w:tabs>
          <w:tab w:val="left" w:pos="1710"/>
        </w:tabs>
        <w:spacing w:after="0" w:line="276" w:lineRule="auto"/>
        <w:ind w:firstLine="709"/>
        <w:jc w:val="both"/>
        <w:rPr>
          <w:rFonts w:cs="Times New Roman"/>
          <w:szCs w:val="24"/>
        </w:rPr>
      </w:pPr>
    </w:p>
    <w:p w14:paraId="4DCA4151" w14:textId="2E5CBEE1" w:rsidR="004440C2" w:rsidRPr="004440C2" w:rsidRDefault="004440C2" w:rsidP="004440C2">
      <w:pPr>
        <w:tabs>
          <w:tab w:val="left" w:pos="1710"/>
        </w:tabs>
        <w:spacing w:after="0" w:line="276" w:lineRule="auto"/>
        <w:ind w:firstLine="709"/>
        <w:jc w:val="both"/>
        <w:rPr>
          <w:rFonts w:cs="Times New Roman"/>
          <w:szCs w:val="24"/>
        </w:rPr>
      </w:pPr>
      <w:r w:rsidRPr="004440C2">
        <w:rPr>
          <w:rFonts w:cs="Times New Roman"/>
          <w:szCs w:val="24"/>
        </w:rPr>
        <w:t xml:space="preserve">[6] Ņemot vērā, </w:t>
      </w:r>
      <w:proofErr w:type="gramStart"/>
      <w:r w:rsidRPr="004440C2">
        <w:rPr>
          <w:rFonts w:cs="Times New Roman"/>
          <w:szCs w:val="24"/>
        </w:rPr>
        <w:t>ka lieta apelācijas instances tiesā</w:t>
      </w:r>
      <w:proofErr w:type="gramEnd"/>
      <w:r w:rsidRPr="004440C2">
        <w:rPr>
          <w:rFonts w:cs="Times New Roman"/>
          <w:szCs w:val="24"/>
        </w:rPr>
        <w:t xml:space="preserve"> jāiztiesā no jauna atbilstoši Kriminālprocesa likuma prasībām, pārējie kasācijas sūdzīb</w:t>
      </w:r>
      <w:r>
        <w:rPr>
          <w:rFonts w:cs="Times New Roman"/>
          <w:szCs w:val="24"/>
        </w:rPr>
        <w:t>as</w:t>
      </w:r>
      <w:r w:rsidRPr="004440C2">
        <w:rPr>
          <w:rFonts w:cs="Times New Roman"/>
          <w:szCs w:val="24"/>
        </w:rPr>
        <w:t xml:space="preserve"> argumenti, kas saistīti ar lietā iegūto pierādījumu vērtēšanu, izvērtējami apelācijas instances tiesā.</w:t>
      </w:r>
    </w:p>
    <w:p w14:paraId="0C4F86EF" w14:textId="77777777" w:rsidR="004440C2" w:rsidRDefault="004440C2" w:rsidP="004440C2">
      <w:pPr>
        <w:tabs>
          <w:tab w:val="left" w:pos="0"/>
        </w:tabs>
        <w:spacing w:after="0" w:line="276" w:lineRule="auto"/>
        <w:jc w:val="both"/>
        <w:rPr>
          <w:rFonts w:cs="Times New Roman"/>
          <w:szCs w:val="24"/>
        </w:rPr>
      </w:pPr>
      <w:r w:rsidRPr="004440C2">
        <w:rPr>
          <w:rFonts w:cs="Times New Roman"/>
          <w:szCs w:val="24"/>
        </w:rPr>
        <w:tab/>
      </w:r>
    </w:p>
    <w:p w14:paraId="63389FBC" w14:textId="66529E37" w:rsidR="004440C2" w:rsidRPr="004440C2" w:rsidRDefault="004440C2" w:rsidP="004440C2">
      <w:pPr>
        <w:tabs>
          <w:tab w:val="left" w:pos="0"/>
        </w:tabs>
        <w:spacing w:after="0" w:line="276" w:lineRule="auto"/>
        <w:jc w:val="both"/>
        <w:rPr>
          <w:rFonts w:eastAsia="Times New Roman" w:cs="Times New Roman"/>
          <w:szCs w:val="24"/>
        </w:rPr>
      </w:pPr>
      <w:r>
        <w:rPr>
          <w:rFonts w:cs="Times New Roman"/>
          <w:szCs w:val="24"/>
        </w:rPr>
        <w:tab/>
      </w:r>
      <w:r w:rsidRPr="004440C2">
        <w:rPr>
          <w:rFonts w:cs="Times New Roman"/>
          <w:szCs w:val="24"/>
        </w:rPr>
        <w:t>[7] </w:t>
      </w:r>
      <w:r w:rsidRPr="004440C2">
        <w:rPr>
          <w:rFonts w:eastAsia="Times New Roman" w:cs="Times New Roman"/>
          <w:szCs w:val="24"/>
        </w:rPr>
        <w:t xml:space="preserve">Pirmstiesas kriminālprocesā </w:t>
      </w:r>
      <w:r w:rsidR="00812A37">
        <w:rPr>
          <w:rFonts w:eastAsia="Times New Roman" w:cs="Times New Roman"/>
          <w:szCs w:val="24"/>
        </w:rPr>
        <w:t>[pers. A]</w:t>
      </w:r>
      <w:r w:rsidRPr="004440C2">
        <w:rPr>
          <w:rFonts w:eastAsia="Times New Roman" w:cs="Times New Roman"/>
          <w:szCs w:val="24"/>
        </w:rPr>
        <w:t xml:space="preserve"> piemērots drošības līdzeklis – uzturēšanās noteiktā vietā –, kuru pirmās instances tiesa atstājusi negrozītu. </w:t>
      </w:r>
    </w:p>
    <w:p w14:paraId="0E54CAF0" w14:textId="23B6F927" w:rsidR="004440C2" w:rsidRPr="004440C2" w:rsidRDefault="004440C2" w:rsidP="004440C2">
      <w:pPr>
        <w:tabs>
          <w:tab w:val="left" w:pos="0"/>
        </w:tabs>
        <w:spacing w:after="0" w:line="276" w:lineRule="auto"/>
        <w:jc w:val="both"/>
        <w:rPr>
          <w:rFonts w:eastAsia="Times New Roman" w:cs="Times New Roman"/>
          <w:szCs w:val="24"/>
        </w:rPr>
      </w:pPr>
      <w:r w:rsidRPr="004440C2">
        <w:rPr>
          <w:rFonts w:eastAsia="Times New Roman" w:cs="Times New Roman"/>
          <w:szCs w:val="24"/>
        </w:rPr>
        <w:tab/>
        <w:t>Apelācijas instances tiesa</w:t>
      </w:r>
      <w:r w:rsidR="00A40BC1">
        <w:rPr>
          <w:rFonts w:eastAsia="Times New Roman" w:cs="Times New Roman"/>
          <w:szCs w:val="24"/>
        </w:rPr>
        <w:t xml:space="preserve">, atstājot negrozītu pirmās instances tiesas spriedumu, </w:t>
      </w:r>
      <w:r w:rsidRPr="004440C2">
        <w:rPr>
          <w:rFonts w:eastAsia="Times New Roman" w:cs="Times New Roman"/>
          <w:szCs w:val="24"/>
        </w:rPr>
        <w:t xml:space="preserve">par apsūdzētajam piemēroto drošības līdzekli nav </w:t>
      </w:r>
      <w:r w:rsidRPr="00A40BC1">
        <w:rPr>
          <w:rFonts w:eastAsia="Times New Roman" w:cs="Times New Roman"/>
          <w:szCs w:val="24"/>
        </w:rPr>
        <w:t>lēmusi.</w:t>
      </w:r>
      <w:r w:rsidRPr="004440C2">
        <w:rPr>
          <w:rFonts w:eastAsia="Times New Roman" w:cs="Times New Roman"/>
          <w:szCs w:val="24"/>
        </w:rPr>
        <w:t xml:space="preserve"> </w:t>
      </w:r>
    </w:p>
    <w:p w14:paraId="15F90627" w14:textId="54E7812C" w:rsidR="004440C2" w:rsidRDefault="004440C2" w:rsidP="00EA042E">
      <w:pPr>
        <w:tabs>
          <w:tab w:val="left" w:pos="0"/>
        </w:tabs>
        <w:spacing w:after="0" w:line="276" w:lineRule="auto"/>
        <w:jc w:val="both"/>
        <w:rPr>
          <w:rFonts w:eastAsia="Times New Roman" w:cs="Times New Roman"/>
          <w:szCs w:val="24"/>
        </w:rPr>
      </w:pPr>
      <w:r w:rsidRPr="004440C2">
        <w:rPr>
          <w:rFonts w:eastAsia="Times New Roman" w:cs="Times New Roman"/>
          <w:szCs w:val="24"/>
        </w:rPr>
        <w:tab/>
        <w:t xml:space="preserve">Senāts atzīst, ka, atceļot apelācijas instances tiesas lēmumu un nosūtot lietu jaunai izskatīšanai </w:t>
      </w:r>
      <w:r w:rsidR="00553330">
        <w:rPr>
          <w:rFonts w:eastAsia="Times New Roman" w:cs="Times New Roman"/>
          <w:szCs w:val="24"/>
        </w:rPr>
        <w:t>[..]</w:t>
      </w:r>
      <w:r w:rsidRPr="004440C2">
        <w:rPr>
          <w:rFonts w:eastAsia="Times New Roman" w:cs="Times New Roman"/>
          <w:szCs w:val="24"/>
        </w:rPr>
        <w:t xml:space="preserve"> apgabaltiesā, apsūdzētajam </w:t>
      </w:r>
      <w:r w:rsidR="00812A37">
        <w:rPr>
          <w:rFonts w:eastAsia="Times New Roman" w:cs="Times New Roman"/>
          <w:szCs w:val="24"/>
        </w:rPr>
        <w:t>[pers. A]</w:t>
      </w:r>
      <w:r w:rsidRPr="004440C2">
        <w:rPr>
          <w:rFonts w:eastAsia="Times New Roman" w:cs="Times New Roman"/>
          <w:szCs w:val="24"/>
        </w:rPr>
        <w:t xml:space="preserve"> ir turpināma drošības līdzekļa –</w:t>
      </w:r>
      <w:r w:rsidRPr="004440C2">
        <w:t xml:space="preserve"> </w:t>
      </w:r>
      <w:r w:rsidRPr="004440C2">
        <w:rPr>
          <w:rFonts w:eastAsia="Times New Roman" w:cs="Times New Roman"/>
          <w:szCs w:val="24"/>
        </w:rPr>
        <w:t>uzturēšanās noteiktā vietā – piemērošana.</w:t>
      </w:r>
    </w:p>
    <w:p w14:paraId="0BEDDA76" w14:textId="77777777" w:rsidR="00EA042E" w:rsidRPr="00EA042E" w:rsidRDefault="00EA042E" w:rsidP="00EA042E">
      <w:pPr>
        <w:tabs>
          <w:tab w:val="left" w:pos="0"/>
        </w:tabs>
        <w:spacing w:after="0" w:line="276" w:lineRule="auto"/>
        <w:jc w:val="both"/>
        <w:rPr>
          <w:rFonts w:eastAsia="Times New Roman" w:cs="Times New Roman"/>
          <w:szCs w:val="24"/>
        </w:rPr>
      </w:pPr>
    </w:p>
    <w:p w14:paraId="0D6DCA22" w14:textId="77777777" w:rsidR="004440C2" w:rsidRPr="004440C2" w:rsidRDefault="004440C2" w:rsidP="004440C2">
      <w:pPr>
        <w:spacing w:after="0" w:line="276" w:lineRule="auto"/>
        <w:jc w:val="center"/>
        <w:rPr>
          <w:rFonts w:eastAsia="Times New Roman" w:cs="Times New Roman"/>
          <w:b/>
          <w:szCs w:val="24"/>
        </w:rPr>
      </w:pPr>
      <w:r w:rsidRPr="004440C2">
        <w:rPr>
          <w:rFonts w:eastAsia="Times New Roman" w:cs="Times New Roman"/>
          <w:b/>
          <w:szCs w:val="24"/>
        </w:rPr>
        <w:t>Rezolutīvā daļa</w:t>
      </w:r>
    </w:p>
    <w:p w14:paraId="47F02429" w14:textId="77777777" w:rsidR="004440C2" w:rsidRPr="004440C2" w:rsidRDefault="004440C2" w:rsidP="004440C2">
      <w:pPr>
        <w:spacing w:after="0" w:line="276" w:lineRule="auto"/>
        <w:jc w:val="center"/>
        <w:rPr>
          <w:rFonts w:eastAsia="Times New Roman" w:cs="Times New Roman"/>
          <w:b/>
          <w:szCs w:val="24"/>
        </w:rPr>
      </w:pPr>
    </w:p>
    <w:p w14:paraId="66EEB06E" w14:textId="0F7FCE70" w:rsidR="004440C2" w:rsidRPr="00EA042E" w:rsidRDefault="004440C2" w:rsidP="00EA042E">
      <w:pPr>
        <w:spacing w:after="0" w:line="276" w:lineRule="auto"/>
        <w:ind w:firstLine="720"/>
        <w:jc w:val="both"/>
        <w:rPr>
          <w:rFonts w:eastAsia="Times New Roman" w:cs="Times New Roman"/>
          <w:szCs w:val="24"/>
        </w:rPr>
      </w:pPr>
      <w:r w:rsidRPr="004440C2">
        <w:rPr>
          <w:rFonts w:eastAsia="Times New Roman" w:cs="Times New Roman"/>
          <w:szCs w:val="24"/>
        </w:rPr>
        <w:t xml:space="preserve">Pamatojoties uz Kriminālprocesa likuma </w:t>
      </w:r>
      <w:proofErr w:type="gramStart"/>
      <w:r w:rsidRPr="004440C2">
        <w:rPr>
          <w:rFonts w:eastAsia="Times New Roman" w:cs="Times New Roman"/>
          <w:szCs w:val="24"/>
        </w:rPr>
        <w:t>585.pantu</w:t>
      </w:r>
      <w:proofErr w:type="gramEnd"/>
      <w:r w:rsidRPr="004440C2">
        <w:rPr>
          <w:rFonts w:eastAsia="Times New Roman" w:cs="Times New Roman"/>
          <w:szCs w:val="24"/>
        </w:rPr>
        <w:t xml:space="preserve"> un 587.panta pirmās daļas 2.punktu, tiesa</w:t>
      </w:r>
    </w:p>
    <w:p w14:paraId="5FF10784" w14:textId="77777777" w:rsidR="00666EBC" w:rsidRDefault="00666EBC" w:rsidP="00812A37">
      <w:pPr>
        <w:spacing w:after="0" w:line="276" w:lineRule="auto"/>
        <w:rPr>
          <w:rFonts w:eastAsia="Times New Roman" w:cs="Times New Roman"/>
          <w:b/>
          <w:szCs w:val="24"/>
        </w:rPr>
      </w:pPr>
    </w:p>
    <w:p w14:paraId="6DF35695" w14:textId="2298EE0C" w:rsidR="004440C2" w:rsidRPr="004440C2" w:rsidRDefault="004440C2" w:rsidP="004440C2">
      <w:pPr>
        <w:spacing w:after="0" w:line="276" w:lineRule="auto"/>
        <w:jc w:val="center"/>
        <w:rPr>
          <w:rFonts w:eastAsia="Times New Roman" w:cs="Times New Roman"/>
          <w:b/>
          <w:szCs w:val="24"/>
        </w:rPr>
      </w:pPr>
      <w:r w:rsidRPr="004440C2">
        <w:rPr>
          <w:rFonts w:eastAsia="Times New Roman" w:cs="Times New Roman"/>
          <w:b/>
          <w:szCs w:val="24"/>
        </w:rPr>
        <w:t>nolēma:</w:t>
      </w:r>
    </w:p>
    <w:p w14:paraId="2B4D7E2D" w14:textId="77777777" w:rsidR="004440C2" w:rsidRPr="004440C2" w:rsidRDefault="004440C2" w:rsidP="004440C2">
      <w:pPr>
        <w:spacing w:after="0" w:line="276" w:lineRule="auto"/>
        <w:jc w:val="both"/>
        <w:rPr>
          <w:rFonts w:eastAsia="Times New Roman" w:cs="Times New Roman"/>
          <w:szCs w:val="24"/>
        </w:rPr>
      </w:pPr>
    </w:p>
    <w:p w14:paraId="56EE5B7D" w14:textId="64C24672" w:rsidR="004440C2" w:rsidRPr="004440C2" w:rsidRDefault="004440C2" w:rsidP="004440C2">
      <w:pPr>
        <w:spacing w:after="0" w:line="276" w:lineRule="auto"/>
        <w:jc w:val="both"/>
        <w:rPr>
          <w:rFonts w:eastAsia="Times New Roman" w:cs="Times New Roman"/>
          <w:szCs w:val="24"/>
        </w:rPr>
      </w:pPr>
      <w:r w:rsidRPr="004440C2">
        <w:rPr>
          <w:rFonts w:eastAsia="Times New Roman" w:cs="Times New Roman"/>
          <w:szCs w:val="24"/>
        </w:rPr>
        <w:t xml:space="preserve"> </w:t>
      </w:r>
      <w:r w:rsidRPr="004440C2">
        <w:rPr>
          <w:rFonts w:eastAsia="Times New Roman" w:cs="Times New Roman"/>
          <w:szCs w:val="24"/>
        </w:rPr>
        <w:tab/>
        <w:t xml:space="preserve">atcelt pilnībā </w:t>
      </w:r>
      <w:r w:rsidR="00812A37">
        <w:rPr>
          <w:rFonts w:eastAsia="Times New Roman" w:cs="Times New Roman"/>
          <w:szCs w:val="24"/>
        </w:rPr>
        <w:t>[..]</w:t>
      </w:r>
      <w:r w:rsidRPr="004440C2">
        <w:rPr>
          <w:rFonts w:eastAsia="Times New Roman" w:cs="Times New Roman"/>
          <w:szCs w:val="24"/>
        </w:rPr>
        <w:t xml:space="preserve"> apgabaltiesas </w:t>
      </w:r>
      <w:proofErr w:type="gramStart"/>
      <w:r w:rsidRPr="004440C2">
        <w:rPr>
          <w:rFonts w:eastAsia="Times New Roman" w:cs="Times New Roman"/>
          <w:szCs w:val="24"/>
        </w:rPr>
        <w:t>2020.gada</w:t>
      </w:r>
      <w:proofErr w:type="gramEnd"/>
      <w:r w:rsidRPr="004440C2">
        <w:rPr>
          <w:rFonts w:eastAsia="Times New Roman" w:cs="Times New Roman"/>
          <w:szCs w:val="24"/>
        </w:rPr>
        <w:t xml:space="preserve"> </w:t>
      </w:r>
      <w:r w:rsidR="00812A37">
        <w:rPr>
          <w:rFonts w:eastAsia="Times New Roman" w:cs="Times New Roman"/>
          <w:szCs w:val="24"/>
        </w:rPr>
        <w:t>[..]</w:t>
      </w:r>
      <w:r w:rsidRPr="004440C2">
        <w:rPr>
          <w:rFonts w:eastAsia="Times New Roman" w:cs="Times New Roman"/>
          <w:szCs w:val="24"/>
        </w:rPr>
        <w:t xml:space="preserve"> lēmumu un nosūtīt lietu jaunai izskatīšanai </w:t>
      </w:r>
      <w:r w:rsidR="00812A37">
        <w:rPr>
          <w:rFonts w:eastAsia="Times New Roman" w:cs="Times New Roman"/>
          <w:szCs w:val="24"/>
        </w:rPr>
        <w:t>[..]</w:t>
      </w:r>
      <w:r w:rsidRPr="004440C2">
        <w:rPr>
          <w:rFonts w:eastAsia="Times New Roman" w:cs="Times New Roman"/>
          <w:szCs w:val="24"/>
        </w:rPr>
        <w:t xml:space="preserve"> apgabaltiesā.</w:t>
      </w:r>
    </w:p>
    <w:p w14:paraId="466F0C7F" w14:textId="3277F6CC" w:rsidR="004440C2" w:rsidRPr="004440C2" w:rsidRDefault="004440C2" w:rsidP="004440C2">
      <w:pPr>
        <w:spacing w:after="0" w:line="276" w:lineRule="auto"/>
        <w:ind w:firstLine="720"/>
        <w:jc w:val="both"/>
        <w:rPr>
          <w:rFonts w:eastAsia="Times New Roman" w:cs="Times New Roman"/>
          <w:szCs w:val="24"/>
        </w:rPr>
      </w:pPr>
      <w:r w:rsidRPr="004440C2">
        <w:rPr>
          <w:rFonts w:eastAsia="Times New Roman" w:cs="Times New Roman"/>
          <w:szCs w:val="24"/>
        </w:rPr>
        <w:t xml:space="preserve">Turpināt piemērot apsūdzētajam </w:t>
      </w:r>
      <w:r w:rsidR="00812A37">
        <w:rPr>
          <w:rFonts w:eastAsia="Times New Roman" w:cs="Times New Roman"/>
          <w:szCs w:val="24"/>
        </w:rPr>
        <w:t>[pers. A]</w:t>
      </w:r>
      <w:r w:rsidRPr="004440C2">
        <w:rPr>
          <w:rFonts w:eastAsia="Times New Roman" w:cs="Times New Roman"/>
          <w:szCs w:val="24"/>
        </w:rPr>
        <w:t xml:space="preserve"> drošības līdzekli – uzturēšan</w:t>
      </w:r>
      <w:r w:rsidR="00666EBC">
        <w:rPr>
          <w:rFonts w:eastAsia="Times New Roman" w:cs="Times New Roman"/>
          <w:szCs w:val="24"/>
        </w:rPr>
        <w:t>o</w:t>
      </w:r>
      <w:r w:rsidRPr="004440C2">
        <w:rPr>
          <w:rFonts w:eastAsia="Times New Roman" w:cs="Times New Roman"/>
          <w:szCs w:val="24"/>
        </w:rPr>
        <w:t>s noteiktā vietā</w:t>
      </w:r>
      <w:r>
        <w:rPr>
          <w:rFonts w:eastAsia="Times New Roman" w:cs="Times New Roman"/>
          <w:szCs w:val="24"/>
        </w:rPr>
        <w:t>.</w:t>
      </w:r>
    </w:p>
    <w:p w14:paraId="2D3F4B3D" w14:textId="77777777" w:rsidR="004440C2" w:rsidRPr="004440C2" w:rsidRDefault="004440C2" w:rsidP="004440C2">
      <w:pPr>
        <w:spacing w:after="0" w:line="276" w:lineRule="auto"/>
        <w:ind w:firstLine="720"/>
        <w:jc w:val="both"/>
        <w:rPr>
          <w:rFonts w:eastAsia="Times New Roman" w:cs="Times New Roman"/>
          <w:szCs w:val="24"/>
        </w:rPr>
      </w:pPr>
      <w:r w:rsidRPr="004440C2">
        <w:rPr>
          <w:rFonts w:eastAsia="Times New Roman" w:cs="Times New Roman"/>
          <w:szCs w:val="24"/>
        </w:rPr>
        <w:t>Lēmums nav pārsūdzams.</w:t>
      </w:r>
    </w:p>
    <w:sectPr w:rsidR="004440C2" w:rsidRPr="004440C2" w:rsidSect="00B21E27">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9EBF" w14:textId="77777777" w:rsidR="0038689F" w:rsidRDefault="0038689F" w:rsidP="00CB1469">
      <w:pPr>
        <w:spacing w:after="0" w:line="240" w:lineRule="auto"/>
      </w:pPr>
      <w:r>
        <w:separator/>
      </w:r>
    </w:p>
  </w:endnote>
  <w:endnote w:type="continuationSeparator" w:id="0">
    <w:p w14:paraId="449AAD00" w14:textId="77777777" w:rsidR="0038689F" w:rsidRDefault="0038689F" w:rsidP="00CB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331574"/>
      <w:docPartObj>
        <w:docPartGallery w:val="Page Numbers (Bottom of Page)"/>
        <w:docPartUnique/>
      </w:docPartObj>
    </w:sdtPr>
    <w:sdtEndPr/>
    <w:sdtContent>
      <w:sdt>
        <w:sdtPr>
          <w:id w:val="1728636285"/>
          <w:docPartObj>
            <w:docPartGallery w:val="Page Numbers (Top of Page)"/>
            <w:docPartUnique/>
          </w:docPartObj>
        </w:sdtPr>
        <w:sdtEndPr/>
        <w:sdtContent>
          <w:p w14:paraId="4BA3F151" w14:textId="789874F0" w:rsidR="00CB1469" w:rsidRDefault="00CB1469">
            <w:pPr>
              <w:pStyle w:val="Footer"/>
              <w:jc w:val="center"/>
            </w:pPr>
            <w:r w:rsidRPr="00CB1469">
              <w:rPr>
                <w:szCs w:val="24"/>
              </w:rPr>
              <w:fldChar w:fldCharType="begin"/>
            </w:r>
            <w:r w:rsidRPr="00CB1469">
              <w:instrText xml:space="preserve"> PAGE </w:instrText>
            </w:r>
            <w:r w:rsidRPr="00CB1469">
              <w:rPr>
                <w:szCs w:val="24"/>
              </w:rPr>
              <w:fldChar w:fldCharType="separate"/>
            </w:r>
            <w:r w:rsidRPr="00CB1469">
              <w:rPr>
                <w:noProof/>
              </w:rPr>
              <w:t>2</w:t>
            </w:r>
            <w:r w:rsidRPr="00CB1469">
              <w:rPr>
                <w:szCs w:val="24"/>
              </w:rPr>
              <w:fldChar w:fldCharType="end"/>
            </w:r>
            <w:r w:rsidRPr="00CB1469">
              <w:t xml:space="preserve"> no </w:t>
            </w:r>
            <w:r w:rsidR="00E5117D">
              <w:fldChar w:fldCharType="begin"/>
            </w:r>
            <w:r w:rsidR="00E5117D">
              <w:instrText xml:space="preserve"> NUMPAGES  </w:instrText>
            </w:r>
            <w:r w:rsidR="00E5117D">
              <w:fldChar w:fldCharType="separate"/>
            </w:r>
            <w:r w:rsidRPr="00CB1469">
              <w:rPr>
                <w:noProof/>
              </w:rPr>
              <w:t>2</w:t>
            </w:r>
            <w:r w:rsidR="00E5117D">
              <w:rPr>
                <w:noProof/>
              </w:rPr>
              <w:fldChar w:fldCharType="end"/>
            </w:r>
          </w:p>
        </w:sdtContent>
      </w:sdt>
    </w:sdtContent>
  </w:sdt>
  <w:p w14:paraId="03379ECF" w14:textId="77777777" w:rsidR="00CB1469" w:rsidRDefault="00CB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BF41" w14:textId="77777777" w:rsidR="0038689F" w:rsidRDefault="0038689F" w:rsidP="00CB1469">
      <w:pPr>
        <w:spacing w:after="0" w:line="240" w:lineRule="auto"/>
      </w:pPr>
      <w:r>
        <w:separator/>
      </w:r>
    </w:p>
  </w:footnote>
  <w:footnote w:type="continuationSeparator" w:id="0">
    <w:p w14:paraId="17C13382" w14:textId="77777777" w:rsidR="0038689F" w:rsidRDefault="0038689F" w:rsidP="00CB1469">
      <w:pPr>
        <w:spacing w:after="0" w:line="240" w:lineRule="auto"/>
      </w:pPr>
      <w:r>
        <w:continuationSeparator/>
      </w:r>
    </w:p>
  </w:footnote>
  <w:footnote w:id="1">
    <w:p w14:paraId="6C3AFA19" w14:textId="60E096A4" w:rsidR="00E55A01" w:rsidRDefault="00E55A01">
      <w:pPr>
        <w:pStyle w:val="FootnoteText"/>
      </w:pPr>
      <w:r>
        <w:rPr>
          <w:rStyle w:val="FootnoteReference"/>
        </w:rPr>
        <w:footnoteRef/>
      </w:r>
      <w:r>
        <w:t xml:space="preserve"> </w:t>
      </w:r>
      <w:r>
        <w:t>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B7"/>
    <w:rsid w:val="00001A07"/>
    <w:rsid w:val="0002250A"/>
    <w:rsid w:val="00050F1B"/>
    <w:rsid w:val="00070F62"/>
    <w:rsid w:val="0009036C"/>
    <w:rsid w:val="000C677B"/>
    <w:rsid w:val="000D160E"/>
    <w:rsid w:val="001047DD"/>
    <w:rsid w:val="00115897"/>
    <w:rsid w:val="001729AD"/>
    <w:rsid w:val="00180509"/>
    <w:rsid w:val="001B07EA"/>
    <w:rsid w:val="001D2DB7"/>
    <w:rsid w:val="001D2F09"/>
    <w:rsid w:val="001D36DC"/>
    <w:rsid w:val="001D3CED"/>
    <w:rsid w:val="002412C6"/>
    <w:rsid w:val="0025187C"/>
    <w:rsid w:val="00296001"/>
    <w:rsid w:val="002D1C16"/>
    <w:rsid w:val="002E60C7"/>
    <w:rsid w:val="0038689F"/>
    <w:rsid w:val="003958BC"/>
    <w:rsid w:val="00397DAF"/>
    <w:rsid w:val="0040218F"/>
    <w:rsid w:val="00413844"/>
    <w:rsid w:val="004243FC"/>
    <w:rsid w:val="004440C2"/>
    <w:rsid w:val="00450BBF"/>
    <w:rsid w:val="00475856"/>
    <w:rsid w:val="0055121B"/>
    <w:rsid w:val="00553330"/>
    <w:rsid w:val="00591BFF"/>
    <w:rsid w:val="005D06CE"/>
    <w:rsid w:val="00624B6A"/>
    <w:rsid w:val="00636829"/>
    <w:rsid w:val="00665BC6"/>
    <w:rsid w:val="00666EBC"/>
    <w:rsid w:val="006719D6"/>
    <w:rsid w:val="006A1870"/>
    <w:rsid w:val="00707150"/>
    <w:rsid w:val="007436C7"/>
    <w:rsid w:val="007572B7"/>
    <w:rsid w:val="00794468"/>
    <w:rsid w:val="007E31AF"/>
    <w:rsid w:val="00812A37"/>
    <w:rsid w:val="00820BE6"/>
    <w:rsid w:val="008225A3"/>
    <w:rsid w:val="0084184D"/>
    <w:rsid w:val="00850B6B"/>
    <w:rsid w:val="0088487F"/>
    <w:rsid w:val="00887858"/>
    <w:rsid w:val="008939D4"/>
    <w:rsid w:val="008B5CBF"/>
    <w:rsid w:val="008F68FA"/>
    <w:rsid w:val="00924068"/>
    <w:rsid w:val="00952DFB"/>
    <w:rsid w:val="009577F3"/>
    <w:rsid w:val="00974B8B"/>
    <w:rsid w:val="00983DF9"/>
    <w:rsid w:val="009C2430"/>
    <w:rsid w:val="009C48DB"/>
    <w:rsid w:val="009E5654"/>
    <w:rsid w:val="00A14997"/>
    <w:rsid w:val="00A341CD"/>
    <w:rsid w:val="00A40BC1"/>
    <w:rsid w:val="00A6519C"/>
    <w:rsid w:val="00AF7845"/>
    <w:rsid w:val="00B21E27"/>
    <w:rsid w:val="00B70C15"/>
    <w:rsid w:val="00B77E49"/>
    <w:rsid w:val="00B80873"/>
    <w:rsid w:val="00BC2656"/>
    <w:rsid w:val="00C25D02"/>
    <w:rsid w:val="00C332A7"/>
    <w:rsid w:val="00C43810"/>
    <w:rsid w:val="00C64A19"/>
    <w:rsid w:val="00C73B0F"/>
    <w:rsid w:val="00CA18E6"/>
    <w:rsid w:val="00CB1469"/>
    <w:rsid w:val="00CD0EB0"/>
    <w:rsid w:val="00D44F12"/>
    <w:rsid w:val="00D5566E"/>
    <w:rsid w:val="00D60122"/>
    <w:rsid w:val="00D92795"/>
    <w:rsid w:val="00DA0A18"/>
    <w:rsid w:val="00DB01BE"/>
    <w:rsid w:val="00DB5060"/>
    <w:rsid w:val="00DC1587"/>
    <w:rsid w:val="00DF764A"/>
    <w:rsid w:val="00E2102E"/>
    <w:rsid w:val="00E33C07"/>
    <w:rsid w:val="00E5117D"/>
    <w:rsid w:val="00E55A01"/>
    <w:rsid w:val="00E62FAA"/>
    <w:rsid w:val="00E676B7"/>
    <w:rsid w:val="00E7533F"/>
    <w:rsid w:val="00EA042E"/>
    <w:rsid w:val="00EA09C2"/>
    <w:rsid w:val="00EA3D5A"/>
    <w:rsid w:val="00ED3A06"/>
    <w:rsid w:val="00EE6AA9"/>
    <w:rsid w:val="00FA5510"/>
    <w:rsid w:val="00FF0CCF"/>
    <w:rsid w:val="00FF5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DA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B7"/>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DB7"/>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795"/>
    <w:pPr>
      <w:ind w:left="720"/>
      <w:contextualSpacing/>
    </w:pPr>
  </w:style>
  <w:style w:type="character" w:styleId="CommentReference">
    <w:name w:val="annotation reference"/>
    <w:basedOn w:val="DefaultParagraphFont"/>
    <w:uiPriority w:val="99"/>
    <w:semiHidden/>
    <w:unhideWhenUsed/>
    <w:rsid w:val="00C64A19"/>
    <w:rPr>
      <w:sz w:val="16"/>
      <w:szCs w:val="16"/>
    </w:rPr>
  </w:style>
  <w:style w:type="paragraph" w:styleId="CommentText">
    <w:name w:val="annotation text"/>
    <w:basedOn w:val="Normal"/>
    <w:link w:val="CommentTextChar"/>
    <w:uiPriority w:val="99"/>
    <w:unhideWhenUsed/>
    <w:rsid w:val="00C64A19"/>
    <w:pPr>
      <w:spacing w:line="240" w:lineRule="auto"/>
    </w:pPr>
    <w:rPr>
      <w:sz w:val="20"/>
      <w:szCs w:val="20"/>
    </w:rPr>
  </w:style>
  <w:style w:type="character" w:customStyle="1" w:styleId="CommentTextChar">
    <w:name w:val="Comment Text Char"/>
    <w:basedOn w:val="DefaultParagraphFont"/>
    <w:link w:val="CommentText"/>
    <w:uiPriority w:val="99"/>
    <w:rsid w:val="00C64A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4A19"/>
    <w:rPr>
      <w:b/>
      <w:bCs/>
    </w:rPr>
  </w:style>
  <w:style w:type="character" w:customStyle="1" w:styleId="CommentSubjectChar">
    <w:name w:val="Comment Subject Char"/>
    <w:basedOn w:val="CommentTextChar"/>
    <w:link w:val="CommentSubject"/>
    <w:uiPriority w:val="99"/>
    <w:semiHidden/>
    <w:rsid w:val="00C64A19"/>
    <w:rPr>
      <w:rFonts w:ascii="Times New Roman" w:hAnsi="Times New Roman"/>
      <w:b/>
      <w:bCs/>
      <w:sz w:val="20"/>
      <w:szCs w:val="20"/>
    </w:rPr>
  </w:style>
  <w:style w:type="table" w:customStyle="1" w:styleId="TableGrid1">
    <w:name w:val="Table Grid1"/>
    <w:basedOn w:val="TableNormal"/>
    <w:next w:val="TableGrid"/>
    <w:uiPriority w:val="39"/>
    <w:rsid w:val="004440C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69"/>
    <w:rPr>
      <w:rFonts w:ascii="Times New Roman" w:hAnsi="Times New Roman"/>
      <w:sz w:val="24"/>
    </w:rPr>
  </w:style>
  <w:style w:type="paragraph" w:styleId="Footer">
    <w:name w:val="footer"/>
    <w:basedOn w:val="Normal"/>
    <w:link w:val="FooterChar"/>
    <w:uiPriority w:val="99"/>
    <w:unhideWhenUsed/>
    <w:rsid w:val="00CB1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69"/>
    <w:rPr>
      <w:rFonts w:ascii="Times New Roman" w:hAnsi="Times New Roman"/>
      <w:sz w:val="24"/>
    </w:rPr>
  </w:style>
  <w:style w:type="paragraph" w:styleId="FootnoteText">
    <w:name w:val="footnote text"/>
    <w:basedOn w:val="Normal"/>
    <w:link w:val="FootnoteTextChar"/>
    <w:uiPriority w:val="99"/>
    <w:semiHidden/>
    <w:unhideWhenUsed/>
    <w:rsid w:val="00E55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5A01"/>
    <w:rPr>
      <w:rFonts w:ascii="Times New Roman" w:hAnsi="Times New Roman"/>
      <w:sz w:val="20"/>
      <w:szCs w:val="20"/>
    </w:rPr>
  </w:style>
  <w:style w:type="character" w:styleId="FootnoteReference">
    <w:name w:val="footnote reference"/>
    <w:basedOn w:val="DefaultParagraphFont"/>
    <w:uiPriority w:val="99"/>
    <w:semiHidden/>
    <w:unhideWhenUsed/>
    <w:rsid w:val="00E55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1DC5-DB9C-4BB9-8E4C-C6FA4553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8398</Words>
  <Characters>4787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2021-07-28T06:16:00Z</dcterms:created>
  <dcterms:modified xsi:type="dcterms:W3CDTF">2021-07-28T06:16:00Z</dcterms:modified>
</cp:coreProperties>
</file>