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F1" w:rsidRDefault="00A944B3" w:rsidP="00730081">
      <w:pPr>
        <w:spacing w:after="0"/>
        <w:rPr>
          <w:rFonts w:ascii="Times New Roman" w:hAnsi="Times New Roman" w:cs="Times New Roman"/>
          <w:b/>
          <w:bCs/>
          <w:sz w:val="24"/>
          <w:szCs w:val="24"/>
          <w:lang w:val="lv-LV"/>
        </w:rPr>
      </w:pPr>
      <w:bookmarkStart w:id="0" w:name="OLE_LINK1"/>
      <w:bookmarkStart w:id="1" w:name="OLE_LINK2"/>
      <w:r w:rsidRPr="00EA6383">
        <w:rPr>
          <w:rFonts w:ascii="Times New Roman" w:hAnsi="Times New Roman" w:cs="Times New Roman"/>
          <w:b/>
          <w:bCs/>
          <w:sz w:val="24"/>
          <w:szCs w:val="24"/>
          <w:lang w:val="lv-LV"/>
        </w:rPr>
        <w:t>Aktīvu izmantošanas tiesību iegūšanas vērtējums tirgus dalībnieku apvienošanās kontrolei</w:t>
      </w:r>
    </w:p>
    <w:p w:rsidR="00D3085F" w:rsidRPr="00EA6383" w:rsidRDefault="00D3085F" w:rsidP="00730081">
      <w:pPr>
        <w:spacing w:after="0"/>
        <w:rPr>
          <w:rFonts w:ascii="Times New Roman" w:hAnsi="Times New Roman" w:cs="Times New Roman"/>
          <w:b/>
          <w:bCs/>
          <w:sz w:val="24"/>
          <w:szCs w:val="24"/>
          <w:lang w:val="lv-LV"/>
        </w:rPr>
      </w:pPr>
    </w:p>
    <w:p w:rsidR="00410B7D" w:rsidRPr="00EA6383" w:rsidRDefault="00410B7D" w:rsidP="00730081">
      <w:pPr>
        <w:spacing w:after="0"/>
        <w:jc w:val="center"/>
        <w:rPr>
          <w:rFonts w:ascii="Times New Roman" w:hAnsi="Times New Roman" w:cs="Times New Roman"/>
          <w:b/>
          <w:bCs/>
          <w:sz w:val="24"/>
          <w:szCs w:val="24"/>
          <w:lang w:val="lv-LV"/>
        </w:rPr>
      </w:pPr>
      <w:r w:rsidRPr="00EA6383">
        <w:rPr>
          <w:rFonts w:ascii="Times New Roman" w:hAnsi="Times New Roman" w:cs="Times New Roman"/>
          <w:b/>
          <w:bCs/>
          <w:sz w:val="24"/>
          <w:szCs w:val="24"/>
          <w:lang w:val="lv-LV"/>
        </w:rPr>
        <w:t>Latvijas Republikas Senāta</w:t>
      </w:r>
    </w:p>
    <w:p w:rsidR="00410B7D" w:rsidRPr="00EA6383" w:rsidRDefault="00410B7D" w:rsidP="00730081">
      <w:pPr>
        <w:spacing w:after="0"/>
        <w:jc w:val="center"/>
        <w:rPr>
          <w:rFonts w:ascii="Times New Roman" w:hAnsi="Times New Roman" w:cs="Times New Roman"/>
          <w:b/>
          <w:bCs/>
          <w:sz w:val="24"/>
          <w:szCs w:val="24"/>
          <w:lang w:val="lv-LV"/>
        </w:rPr>
      </w:pPr>
      <w:r w:rsidRPr="00EA6383">
        <w:rPr>
          <w:rFonts w:ascii="Times New Roman" w:hAnsi="Times New Roman" w:cs="Times New Roman"/>
          <w:b/>
          <w:bCs/>
          <w:sz w:val="24"/>
          <w:szCs w:val="24"/>
          <w:lang w:val="lv-LV"/>
        </w:rPr>
        <w:t>Administratīvo lietu departamenta</w:t>
      </w:r>
    </w:p>
    <w:p w:rsidR="00410B7D" w:rsidRPr="00EA6383" w:rsidRDefault="00410B7D" w:rsidP="00730081">
      <w:pPr>
        <w:spacing w:after="0"/>
        <w:jc w:val="center"/>
        <w:rPr>
          <w:rFonts w:ascii="Times New Roman" w:hAnsi="Times New Roman" w:cs="Times New Roman"/>
          <w:b/>
          <w:bCs/>
          <w:sz w:val="24"/>
          <w:szCs w:val="24"/>
          <w:lang w:val="lv-LV"/>
        </w:rPr>
      </w:pPr>
      <w:proofErr w:type="gramStart"/>
      <w:r w:rsidRPr="00EA6383">
        <w:rPr>
          <w:rFonts w:ascii="Times New Roman" w:hAnsi="Times New Roman" w:cs="Times New Roman"/>
          <w:b/>
          <w:bCs/>
          <w:sz w:val="24"/>
          <w:szCs w:val="24"/>
          <w:lang w:val="lv-LV"/>
        </w:rPr>
        <w:t>2015.gada</w:t>
      </w:r>
      <w:proofErr w:type="gramEnd"/>
      <w:r w:rsidRPr="00EA6383">
        <w:rPr>
          <w:rFonts w:ascii="Times New Roman" w:hAnsi="Times New Roman" w:cs="Times New Roman"/>
          <w:b/>
          <w:bCs/>
          <w:sz w:val="24"/>
          <w:szCs w:val="24"/>
          <w:lang w:val="lv-LV"/>
        </w:rPr>
        <w:t xml:space="preserve"> 2.februāra</w:t>
      </w:r>
    </w:p>
    <w:p w:rsidR="00EC65F1" w:rsidRPr="00EA6383" w:rsidRDefault="00410B7D" w:rsidP="00730081">
      <w:pPr>
        <w:spacing w:after="0"/>
        <w:jc w:val="center"/>
        <w:rPr>
          <w:rFonts w:ascii="Times New Roman" w:hAnsi="Times New Roman" w:cs="Times New Roman"/>
          <w:b/>
          <w:sz w:val="24"/>
          <w:szCs w:val="24"/>
          <w:lang w:val="lv-LV"/>
        </w:rPr>
      </w:pPr>
      <w:r w:rsidRPr="00EA6383">
        <w:rPr>
          <w:rFonts w:ascii="Times New Roman" w:hAnsi="Times New Roman" w:cs="Times New Roman"/>
          <w:b/>
          <w:sz w:val="24"/>
          <w:szCs w:val="24"/>
          <w:lang w:val="lv-LV"/>
        </w:rPr>
        <w:t>RĪCĪBAS SĒDES LĒMUMS</w:t>
      </w:r>
    </w:p>
    <w:p w:rsidR="00410B7D" w:rsidRPr="00EA6383" w:rsidRDefault="00410B7D" w:rsidP="00730081">
      <w:pPr>
        <w:spacing w:after="0"/>
        <w:jc w:val="center"/>
        <w:rPr>
          <w:rFonts w:ascii="Times New Roman" w:hAnsi="Times New Roman" w:cs="Times New Roman"/>
          <w:b/>
          <w:sz w:val="24"/>
          <w:szCs w:val="24"/>
          <w:lang w:val="lv-LV"/>
        </w:rPr>
      </w:pPr>
      <w:r w:rsidRPr="00EA6383">
        <w:rPr>
          <w:rFonts w:ascii="Times New Roman" w:hAnsi="Times New Roman" w:cs="Times New Roman"/>
          <w:b/>
          <w:sz w:val="24"/>
          <w:szCs w:val="24"/>
          <w:lang w:val="lv-LV"/>
        </w:rPr>
        <w:t>Lieta Nr. A43014112</w:t>
      </w:r>
      <w:r w:rsidR="00EA6383" w:rsidRPr="00EA6383">
        <w:rPr>
          <w:rFonts w:ascii="Times New Roman" w:hAnsi="Times New Roman" w:cs="Times New Roman"/>
          <w:b/>
          <w:sz w:val="24"/>
          <w:szCs w:val="24"/>
          <w:lang w:val="lv-LV"/>
        </w:rPr>
        <w:t>, SKA-25/2015</w:t>
      </w:r>
    </w:p>
    <w:p w:rsidR="00EC65F1" w:rsidRPr="00EA6383" w:rsidRDefault="00EC65F1" w:rsidP="00730081">
      <w:pPr>
        <w:spacing w:after="0"/>
        <w:rPr>
          <w:rFonts w:ascii="Times New Roman" w:hAnsi="Times New Roman" w:cs="Times New Roman"/>
          <w:sz w:val="24"/>
          <w:szCs w:val="24"/>
          <w:lang w:val="lv-LV"/>
        </w:rPr>
      </w:pPr>
    </w:p>
    <w:p w:rsidR="00EC65F1" w:rsidRPr="00EA6383" w:rsidRDefault="00EC65F1" w:rsidP="00730081">
      <w:pPr>
        <w:tabs>
          <w:tab w:val="left" w:pos="567"/>
        </w:tabs>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b/>
        <w:t>Augstākās tiesas Administratīvo lietu departament</w:t>
      </w:r>
      <w:r w:rsidR="002F355A" w:rsidRPr="00EA6383">
        <w:rPr>
          <w:rFonts w:ascii="Times New Roman" w:hAnsi="Times New Roman" w:cs="Times New Roman"/>
          <w:sz w:val="24"/>
          <w:szCs w:val="24"/>
          <w:lang w:val="lv-LV"/>
        </w:rPr>
        <w:t>a tiesnešu kolēģija</w:t>
      </w:r>
      <w:r w:rsidRPr="00EA6383">
        <w:rPr>
          <w:rFonts w:ascii="Times New Roman" w:hAnsi="Times New Roman" w:cs="Times New Roman"/>
          <w:sz w:val="24"/>
          <w:szCs w:val="24"/>
          <w:lang w:val="lv-LV"/>
        </w:rPr>
        <w:t xml:space="preserve"> šādā sastāvā:</w:t>
      </w:r>
    </w:p>
    <w:p w:rsidR="00EC65F1" w:rsidRPr="00EA6383" w:rsidRDefault="00EC65F1" w:rsidP="00730081">
      <w:pPr>
        <w:tabs>
          <w:tab w:val="left" w:pos="2700"/>
        </w:tabs>
        <w:spacing w:after="0"/>
        <w:ind w:firstLine="539"/>
        <w:jc w:val="both"/>
        <w:rPr>
          <w:rFonts w:ascii="Times New Roman" w:hAnsi="Times New Roman" w:cs="Times New Roman"/>
          <w:sz w:val="24"/>
          <w:szCs w:val="24"/>
          <w:lang w:val="lv-LV"/>
        </w:rPr>
      </w:pPr>
    </w:p>
    <w:p w:rsidR="00EC65F1" w:rsidRPr="00EA6383" w:rsidRDefault="00EC65F1" w:rsidP="00730081">
      <w:pPr>
        <w:tabs>
          <w:tab w:val="left" w:pos="540"/>
          <w:tab w:val="left" w:pos="2700"/>
        </w:tabs>
        <w:spacing w:after="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b/>
        <w:t>tiesnese R.Vīduša</w:t>
      </w:r>
    </w:p>
    <w:p w:rsidR="00EC65F1" w:rsidRPr="00EA6383" w:rsidRDefault="00EC65F1" w:rsidP="00730081">
      <w:pPr>
        <w:tabs>
          <w:tab w:val="left" w:pos="540"/>
          <w:tab w:val="left" w:pos="1440"/>
        </w:tabs>
        <w:spacing w:after="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b/>
        <w:t>tiesnese V.Krūmiņa</w:t>
      </w:r>
    </w:p>
    <w:p w:rsidR="00EC65F1" w:rsidRPr="00EA6383" w:rsidRDefault="00EC65F1" w:rsidP="00730081">
      <w:pPr>
        <w:tabs>
          <w:tab w:val="left" w:pos="540"/>
          <w:tab w:val="left" w:pos="1440"/>
        </w:tabs>
        <w:spacing w:after="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b/>
        <w:t>tiesnes</w:t>
      </w:r>
      <w:r w:rsidR="002F355A" w:rsidRPr="00EA6383">
        <w:rPr>
          <w:rFonts w:ascii="Times New Roman" w:hAnsi="Times New Roman" w:cs="Times New Roman"/>
          <w:sz w:val="24"/>
          <w:szCs w:val="24"/>
          <w:lang w:val="lv-LV"/>
        </w:rPr>
        <w:t>is J.Neimanis</w:t>
      </w:r>
    </w:p>
    <w:p w:rsidR="00EC65F1" w:rsidRPr="00EA6383" w:rsidRDefault="00EC65F1" w:rsidP="00730081">
      <w:pPr>
        <w:spacing w:after="0"/>
        <w:jc w:val="both"/>
        <w:rPr>
          <w:rFonts w:ascii="Times New Roman" w:hAnsi="Times New Roman" w:cs="Times New Roman"/>
          <w:sz w:val="24"/>
          <w:szCs w:val="24"/>
          <w:lang w:val="lv-LV"/>
        </w:rPr>
      </w:pPr>
    </w:p>
    <w:p w:rsidR="00EC65F1" w:rsidRPr="00EA6383" w:rsidRDefault="00EC65F1" w:rsidP="00730081">
      <w:pPr>
        <w:tabs>
          <w:tab w:val="left" w:pos="540"/>
        </w:tabs>
        <w:spacing w:after="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b/>
      </w:r>
      <w:r w:rsidR="009A5E10" w:rsidRPr="00EA6383">
        <w:rPr>
          <w:rFonts w:ascii="Times New Roman" w:hAnsi="Times New Roman" w:cs="Times New Roman"/>
          <w:sz w:val="24"/>
          <w:szCs w:val="24"/>
          <w:lang w:val="lv-LV"/>
        </w:rPr>
        <w:t>rīcības sēdē</w:t>
      </w:r>
      <w:r w:rsidRPr="00EA6383">
        <w:rPr>
          <w:rFonts w:ascii="Times New Roman" w:hAnsi="Times New Roman" w:cs="Times New Roman"/>
          <w:sz w:val="24"/>
          <w:szCs w:val="24"/>
          <w:lang w:val="lv-LV"/>
        </w:rPr>
        <w:t xml:space="preserve"> izskatīja </w:t>
      </w:r>
      <w:r w:rsidR="009A5E10" w:rsidRPr="00EA6383">
        <w:rPr>
          <w:rFonts w:ascii="Times New Roman" w:hAnsi="Times New Roman" w:cs="Times New Roman"/>
          <w:sz w:val="24"/>
          <w:szCs w:val="24"/>
          <w:lang w:val="lv-LV"/>
        </w:rPr>
        <w:t>SIA „</w:t>
      </w:r>
      <w:proofErr w:type="spellStart"/>
      <w:r w:rsidR="009A5E10" w:rsidRPr="00EA6383">
        <w:rPr>
          <w:rFonts w:ascii="Times New Roman" w:hAnsi="Times New Roman" w:cs="Times New Roman"/>
          <w:sz w:val="24"/>
          <w:szCs w:val="24"/>
          <w:lang w:val="lv-LV"/>
        </w:rPr>
        <w:t>Palink</w:t>
      </w:r>
      <w:proofErr w:type="spellEnd"/>
      <w:r w:rsidR="009A5E10" w:rsidRPr="00EA6383">
        <w:rPr>
          <w:rFonts w:ascii="Times New Roman" w:hAnsi="Times New Roman" w:cs="Times New Roman"/>
          <w:sz w:val="24"/>
          <w:szCs w:val="24"/>
          <w:lang w:val="lv-LV"/>
        </w:rPr>
        <w:t xml:space="preserve">” kasācijas sūdzību par Administratīvās apgabaltiesas </w:t>
      </w:r>
      <w:proofErr w:type="gramStart"/>
      <w:r w:rsidR="009A5E10" w:rsidRPr="00EA6383">
        <w:rPr>
          <w:rFonts w:ascii="Times New Roman" w:hAnsi="Times New Roman" w:cs="Times New Roman"/>
          <w:sz w:val="24"/>
          <w:szCs w:val="24"/>
          <w:lang w:val="lv-LV"/>
        </w:rPr>
        <w:t>2014.gada</w:t>
      </w:r>
      <w:proofErr w:type="gramEnd"/>
      <w:r w:rsidR="009A5E10" w:rsidRPr="00EA6383">
        <w:rPr>
          <w:rFonts w:ascii="Times New Roman" w:hAnsi="Times New Roman" w:cs="Times New Roman"/>
          <w:sz w:val="24"/>
          <w:szCs w:val="24"/>
          <w:lang w:val="lv-LV"/>
        </w:rPr>
        <w:t xml:space="preserve"> 23.janvāra spriedumu </w:t>
      </w:r>
      <w:r w:rsidRPr="00EA6383">
        <w:rPr>
          <w:rFonts w:ascii="Times New Roman" w:hAnsi="Times New Roman" w:cs="Times New Roman"/>
          <w:sz w:val="24"/>
          <w:szCs w:val="24"/>
          <w:lang w:val="lv-LV"/>
        </w:rPr>
        <w:t>administratīv</w:t>
      </w:r>
      <w:r w:rsidR="009A5E10" w:rsidRPr="00EA6383">
        <w:rPr>
          <w:rFonts w:ascii="Times New Roman" w:hAnsi="Times New Roman" w:cs="Times New Roman"/>
          <w:sz w:val="24"/>
          <w:szCs w:val="24"/>
          <w:lang w:val="lv-LV"/>
        </w:rPr>
        <w:t>ajā</w:t>
      </w:r>
      <w:r w:rsidRPr="00EA6383">
        <w:rPr>
          <w:rFonts w:ascii="Times New Roman" w:hAnsi="Times New Roman" w:cs="Times New Roman"/>
          <w:sz w:val="24"/>
          <w:szCs w:val="24"/>
          <w:lang w:val="lv-LV"/>
        </w:rPr>
        <w:t xml:space="preserve"> liet</w:t>
      </w:r>
      <w:r w:rsidR="009A5E10" w:rsidRPr="00EA6383">
        <w:rPr>
          <w:rFonts w:ascii="Times New Roman" w:hAnsi="Times New Roman" w:cs="Times New Roman"/>
          <w:sz w:val="24"/>
          <w:szCs w:val="24"/>
          <w:lang w:val="lv-LV"/>
        </w:rPr>
        <w:t>ā</w:t>
      </w:r>
      <w:r w:rsidRPr="00EA6383">
        <w:rPr>
          <w:rFonts w:ascii="Times New Roman" w:hAnsi="Times New Roman" w:cs="Times New Roman"/>
          <w:sz w:val="24"/>
          <w:szCs w:val="24"/>
          <w:lang w:val="lv-LV"/>
        </w:rPr>
        <w:t>, kas ierosināta pēc SIA</w:t>
      </w:r>
      <w:r w:rsidR="009A5E10"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w:t>
      </w:r>
      <w:proofErr w:type="spellStart"/>
      <w:r w:rsidRPr="00EA6383">
        <w:rPr>
          <w:rFonts w:ascii="Times New Roman" w:hAnsi="Times New Roman" w:cs="Times New Roman"/>
          <w:sz w:val="24"/>
          <w:szCs w:val="24"/>
          <w:lang w:val="lv-LV"/>
        </w:rPr>
        <w:t>Palink</w:t>
      </w:r>
      <w:proofErr w:type="spellEnd"/>
      <w:r w:rsidRPr="00EA6383">
        <w:rPr>
          <w:rFonts w:ascii="Times New Roman" w:hAnsi="Times New Roman" w:cs="Times New Roman"/>
          <w:sz w:val="24"/>
          <w:szCs w:val="24"/>
          <w:lang w:val="lv-LV"/>
        </w:rPr>
        <w:t>” pieteikuma par Konkurences padomes 2012.gada 12.oktobra lēmuma Nr.E02</w:t>
      </w:r>
      <w:r w:rsidR="009A5E10" w:rsidRPr="00EA6383">
        <w:rPr>
          <w:rFonts w:ascii="Times New Roman" w:hAnsi="Times New Roman" w:cs="Times New Roman"/>
          <w:sz w:val="24"/>
          <w:szCs w:val="24"/>
          <w:lang w:val="lv-LV"/>
        </w:rPr>
        <w:noBreakHyphen/>
      </w:r>
      <w:r w:rsidRPr="00EA6383">
        <w:rPr>
          <w:rFonts w:ascii="Times New Roman" w:hAnsi="Times New Roman" w:cs="Times New Roman"/>
          <w:sz w:val="24"/>
          <w:szCs w:val="24"/>
          <w:lang w:val="lv-LV"/>
        </w:rPr>
        <w:t>80 atcelšanu, sakarā ar.</w:t>
      </w:r>
    </w:p>
    <w:p w:rsidR="00EC65F1" w:rsidRPr="00EA6383" w:rsidRDefault="00EC65F1" w:rsidP="00730081">
      <w:pPr>
        <w:spacing w:after="0"/>
        <w:ind w:firstLine="540"/>
        <w:jc w:val="center"/>
        <w:rPr>
          <w:rFonts w:ascii="Times New Roman" w:hAnsi="Times New Roman" w:cs="Times New Roman"/>
          <w:sz w:val="24"/>
          <w:szCs w:val="24"/>
          <w:lang w:val="lv-LV"/>
        </w:rPr>
      </w:pPr>
    </w:p>
    <w:p w:rsidR="00EC65F1" w:rsidRPr="00EA6383" w:rsidRDefault="00EC65F1" w:rsidP="00730081">
      <w:pPr>
        <w:spacing w:after="0"/>
        <w:ind w:firstLine="540"/>
        <w:jc w:val="center"/>
        <w:rPr>
          <w:rFonts w:ascii="Times New Roman" w:hAnsi="Times New Roman" w:cs="Times New Roman"/>
          <w:b/>
          <w:sz w:val="24"/>
          <w:szCs w:val="24"/>
          <w:lang w:val="lv-LV"/>
        </w:rPr>
      </w:pPr>
      <w:r w:rsidRPr="00EA6383">
        <w:rPr>
          <w:rFonts w:ascii="Times New Roman" w:hAnsi="Times New Roman" w:cs="Times New Roman"/>
          <w:b/>
          <w:sz w:val="24"/>
          <w:szCs w:val="24"/>
          <w:lang w:val="lv-LV"/>
        </w:rPr>
        <w:t>Aprakstošā daļa</w:t>
      </w:r>
    </w:p>
    <w:p w:rsidR="00EC65F1" w:rsidRPr="00EA6383" w:rsidRDefault="00EC65F1" w:rsidP="00730081">
      <w:pPr>
        <w:spacing w:after="0"/>
        <w:ind w:firstLine="540"/>
        <w:jc w:val="both"/>
        <w:rPr>
          <w:rFonts w:ascii="Times New Roman" w:hAnsi="Times New Roman" w:cs="Times New Roman"/>
          <w:sz w:val="24"/>
          <w:szCs w:val="24"/>
          <w:lang w:val="lv-LV"/>
        </w:rPr>
      </w:pPr>
    </w:p>
    <w:p w:rsidR="001E630E" w:rsidRPr="00EA6383" w:rsidRDefault="00EC65F1"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[1] </w:t>
      </w:r>
      <w:r w:rsidR="009F6FD0" w:rsidRPr="00EA6383">
        <w:rPr>
          <w:rFonts w:ascii="Times New Roman" w:hAnsi="Times New Roman" w:cs="Times New Roman"/>
          <w:sz w:val="24"/>
          <w:szCs w:val="24"/>
          <w:lang w:val="lv-LV"/>
        </w:rPr>
        <w:t xml:space="preserve">Konkurences padome ar </w:t>
      </w:r>
      <w:proofErr w:type="gramStart"/>
      <w:r w:rsidR="009F6FD0" w:rsidRPr="00EA6383">
        <w:rPr>
          <w:rFonts w:ascii="Times New Roman" w:hAnsi="Times New Roman" w:cs="Times New Roman"/>
          <w:sz w:val="24"/>
          <w:szCs w:val="24"/>
          <w:lang w:val="lv-LV"/>
        </w:rPr>
        <w:t>2012.gada</w:t>
      </w:r>
      <w:proofErr w:type="gramEnd"/>
      <w:r w:rsidR="009F6FD0" w:rsidRPr="00EA6383">
        <w:rPr>
          <w:rFonts w:ascii="Times New Roman" w:hAnsi="Times New Roman" w:cs="Times New Roman"/>
          <w:sz w:val="24"/>
          <w:szCs w:val="24"/>
          <w:lang w:val="lv-LV"/>
        </w:rPr>
        <w:t xml:space="preserve"> 12.oktobra lēmumu Nr.E02-80 konstatēja pieteicējas SIA</w:t>
      </w:r>
      <w:r w:rsidR="009A5E10" w:rsidRPr="00EA6383">
        <w:rPr>
          <w:rFonts w:ascii="Times New Roman" w:hAnsi="Times New Roman" w:cs="Times New Roman"/>
          <w:sz w:val="24"/>
          <w:szCs w:val="24"/>
          <w:lang w:val="lv-LV"/>
        </w:rPr>
        <w:t> </w:t>
      </w:r>
      <w:r w:rsidR="009F6FD0" w:rsidRPr="00EA6383">
        <w:rPr>
          <w:rFonts w:ascii="Times New Roman" w:hAnsi="Times New Roman" w:cs="Times New Roman"/>
          <w:sz w:val="24"/>
          <w:szCs w:val="24"/>
          <w:lang w:val="lv-LV"/>
        </w:rPr>
        <w:t>„</w:t>
      </w:r>
      <w:proofErr w:type="spellStart"/>
      <w:r w:rsidR="009F6FD0" w:rsidRPr="00EA6383">
        <w:rPr>
          <w:rFonts w:ascii="Times New Roman" w:hAnsi="Times New Roman" w:cs="Times New Roman"/>
          <w:sz w:val="24"/>
          <w:szCs w:val="24"/>
          <w:lang w:val="lv-LV"/>
        </w:rPr>
        <w:t>Palink</w:t>
      </w:r>
      <w:proofErr w:type="spellEnd"/>
      <w:r w:rsidR="009F6FD0" w:rsidRPr="00EA6383">
        <w:rPr>
          <w:rFonts w:ascii="Times New Roman" w:hAnsi="Times New Roman" w:cs="Times New Roman"/>
          <w:sz w:val="24"/>
          <w:szCs w:val="24"/>
          <w:lang w:val="lv-LV"/>
        </w:rPr>
        <w:t>” darbībās Konkurences likuma 15.</w:t>
      </w:r>
      <w:r w:rsidR="00971914" w:rsidRPr="00EA6383">
        <w:rPr>
          <w:rFonts w:ascii="Times New Roman" w:hAnsi="Times New Roman" w:cs="Times New Roman"/>
          <w:sz w:val="24"/>
          <w:szCs w:val="24"/>
          <w:lang w:val="lv-LV"/>
        </w:rPr>
        <w:t xml:space="preserve"> </w:t>
      </w:r>
      <w:r w:rsidR="009F6FD0" w:rsidRPr="00EA6383">
        <w:rPr>
          <w:rFonts w:ascii="Times New Roman" w:hAnsi="Times New Roman" w:cs="Times New Roman"/>
          <w:sz w:val="24"/>
          <w:szCs w:val="24"/>
          <w:lang w:val="lv-LV"/>
        </w:rPr>
        <w:t xml:space="preserve">panta otrās daļas pārkāpumu </w:t>
      </w:r>
      <w:r w:rsidR="009A5E10" w:rsidRPr="00EA6383">
        <w:rPr>
          <w:rFonts w:ascii="Times New Roman" w:hAnsi="Times New Roman" w:cs="Times New Roman"/>
          <w:sz w:val="24"/>
          <w:szCs w:val="24"/>
          <w:lang w:val="lv-LV"/>
        </w:rPr>
        <w:t xml:space="preserve">(nepaziņošana par </w:t>
      </w:r>
      <w:r w:rsidR="00971914" w:rsidRPr="00EA6383">
        <w:rPr>
          <w:rFonts w:ascii="Times New Roman" w:hAnsi="Times New Roman" w:cs="Times New Roman"/>
          <w:sz w:val="24"/>
          <w:szCs w:val="24"/>
          <w:lang w:val="lv-LV"/>
        </w:rPr>
        <w:t xml:space="preserve">tirgus dalībnieku </w:t>
      </w:r>
      <w:r w:rsidR="009A5E10" w:rsidRPr="00EA6383">
        <w:rPr>
          <w:rFonts w:ascii="Times New Roman" w:hAnsi="Times New Roman" w:cs="Times New Roman"/>
          <w:sz w:val="24"/>
          <w:szCs w:val="24"/>
          <w:lang w:val="lv-LV"/>
        </w:rPr>
        <w:t xml:space="preserve">apvienošanos) </w:t>
      </w:r>
      <w:r w:rsidR="009F6FD0" w:rsidRPr="00EA6383">
        <w:rPr>
          <w:rFonts w:ascii="Times New Roman" w:hAnsi="Times New Roman" w:cs="Times New Roman"/>
          <w:sz w:val="24"/>
          <w:szCs w:val="24"/>
          <w:lang w:val="lv-LV"/>
        </w:rPr>
        <w:t xml:space="preserve">un pieteicējai </w:t>
      </w:r>
      <w:r w:rsidR="00550C96" w:rsidRPr="00EA6383">
        <w:rPr>
          <w:rFonts w:ascii="Times New Roman" w:hAnsi="Times New Roman" w:cs="Times New Roman"/>
          <w:sz w:val="24"/>
          <w:szCs w:val="24"/>
          <w:lang w:val="lv-LV"/>
        </w:rPr>
        <w:t xml:space="preserve">par to </w:t>
      </w:r>
      <w:r w:rsidR="001241EB" w:rsidRPr="00EA6383">
        <w:rPr>
          <w:rFonts w:ascii="Times New Roman" w:hAnsi="Times New Roman" w:cs="Times New Roman"/>
          <w:sz w:val="24"/>
          <w:szCs w:val="24"/>
          <w:lang w:val="lv-LV"/>
        </w:rPr>
        <w:t>piemēroja naudas sodu</w:t>
      </w:r>
      <w:r w:rsidR="00971914" w:rsidRPr="00EA6383">
        <w:rPr>
          <w:rFonts w:ascii="Times New Roman" w:hAnsi="Times New Roman" w:cs="Times New Roman"/>
          <w:sz w:val="24"/>
          <w:szCs w:val="24"/>
          <w:lang w:val="lv-LV"/>
        </w:rPr>
        <w:t xml:space="preserve"> </w:t>
      </w:r>
      <w:r w:rsidR="00AA367C" w:rsidRPr="00EA6383">
        <w:rPr>
          <w:rFonts w:ascii="Times New Roman" w:hAnsi="Times New Roman" w:cs="Times New Roman"/>
          <w:sz w:val="24"/>
          <w:szCs w:val="24"/>
          <w:lang w:val="lv-LV"/>
        </w:rPr>
        <w:t>36 603,38 </w:t>
      </w:r>
      <w:proofErr w:type="spellStart"/>
      <w:r w:rsidR="00AA367C" w:rsidRPr="00EA6383">
        <w:rPr>
          <w:rFonts w:ascii="Times New Roman" w:hAnsi="Times New Roman" w:cs="Times New Roman"/>
          <w:i/>
          <w:sz w:val="24"/>
          <w:szCs w:val="24"/>
          <w:lang w:val="lv-LV"/>
        </w:rPr>
        <w:t>euro</w:t>
      </w:r>
      <w:proofErr w:type="spellEnd"/>
      <w:r w:rsidR="00AA367C" w:rsidRPr="00EA6383">
        <w:rPr>
          <w:rFonts w:ascii="Times New Roman" w:hAnsi="Times New Roman" w:cs="Times New Roman"/>
          <w:sz w:val="24"/>
          <w:szCs w:val="24"/>
          <w:lang w:val="lv-LV"/>
        </w:rPr>
        <w:t xml:space="preserve"> (</w:t>
      </w:r>
      <w:r w:rsidR="00971914" w:rsidRPr="00EA6383">
        <w:rPr>
          <w:rFonts w:ascii="Times New Roman" w:hAnsi="Times New Roman" w:cs="Times New Roman"/>
          <w:sz w:val="24"/>
          <w:szCs w:val="24"/>
          <w:lang w:val="lv-LV"/>
        </w:rPr>
        <w:t>25 725 latus</w:t>
      </w:r>
      <w:r w:rsidR="00AA367C" w:rsidRPr="00EA6383">
        <w:rPr>
          <w:rFonts w:ascii="Times New Roman" w:hAnsi="Times New Roman" w:cs="Times New Roman"/>
          <w:sz w:val="24"/>
          <w:szCs w:val="24"/>
          <w:lang w:val="lv-LV"/>
        </w:rPr>
        <w:t>)</w:t>
      </w:r>
      <w:r w:rsidR="009F6FD0" w:rsidRPr="00EA6383">
        <w:rPr>
          <w:rFonts w:ascii="Times New Roman" w:hAnsi="Times New Roman" w:cs="Times New Roman"/>
          <w:sz w:val="24"/>
          <w:szCs w:val="24"/>
          <w:lang w:val="lv-LV"/>
        </w:rPr>
        <w:t>. Lēmumā konstatēts, ka</w:t>
      </w:r>
      <w:r w:rsidR="00971914" w:rsidRPr="00EA6383">
        <w:rPr>
          <w:rFonts w:ascii="Times New Roman" w:hAnsi="Times New Roman" w:cs="Times New Roman"/>
          <w:sz w:val="24"/>
          <w:szCs w:val="24"/>
          <w:lang w:val="lv-LV"/>
        </w:rPr>
        <w:t>,</w:t>
      </w:r>
      <w:r w:rsidR="009F6FD0" w:rsidRPr="00EA6383">
        <w:rPr>
          <w:rFonts w:ascii="Times New Roman" w:hAnsi="Times New Roman" w:cs="Times New Roman"/>
          <w:sz w:val="24"/>
          <w:szCs w:val="24"/>
          <w:lang w:val="lv-LV"/>
        </w:rPr>
        <w:t xml:space="preserve"> pieteicēja</w:t>
      </w:r>
      <w:r w:rsidR="00971914" w:rsidRPr="00EA6383">
        <w:rPr>
          <w:rFonts w:ascii="Times New Roman" w:hAnsi="Times New Roman" w:cs="Times New Roman"/>
          <w:sz w:val="24"/>
          <w:szCs w:val="24"/>
          <w:lang w:val="lv-LV"/>
        </w:rPr>
        <w:t>i noslēdzot līgumu par iepriekš cita tirgus dalībnieka nomāto tirdzniecības telpu nomu</w:t>
      </w:r>
      <w:r w:rsidR="001E630E" w:rsidRPr="00EA6383">
        <w:rPr>
          <w:rFonts w:ascii="Times New Roman" w:hAnsi="Times New Roman" w:cs="Times New Roman"/>
          <w:sz w:val="24"/>
          <w:szCs w:val="24"/>
          <w:lang w:val="lv-LV"/>
        </w:rPr>
        <w:t xml:space="preserve">, ir </w:t>
      </w:r>
      <w:r w:rsidR="00971914" w:rsidRPr="00EA6383">
        <w:rPr>
          <w:rFonts w:ascii="Times New Roman" w:hAnsi="Times New Roman" w:cs="Times New Roman"/>
          <w:sz w:val="24"/>
          <w:szCs w:val="24"/>
          <w:lang w:val="lv-LV"/>
        </w:rPr>
        <w:t>notikusi tirgus dalībnieku apvienošanās</w:t>
      </w:r>
      <w:r w:rsidR="00550C96" w:rsidRPr="00EA6383">
        <w:rPr>
          <w:rFonts w:ascii="Times New Roman" w:hAnsi="Times New Roman" w:cs="Times New Roman"/>
          <w:sz w:val="24"/>
          <w:szCs w:val="24"/>
          <w:lang w:val="lv-LV"/>
        </w:rPr>
        <w:t>, un par to n</w:t>
      </w:r>
      <w:r w:rsidR="00971914" w:rsidRPr="00EA6383">
        <w:rPr>
          <w:rFonts w:ascii="Times New Roman" w:hAnsi="Times New Roman" w:cs="Times New Roman"/>
          <w:sz w:val="24"/>
          <w:szCs w:val="24"/>
          <w:lang w:val="lv-LV"/>
        </w:rPr>
        <w:t>etika</w:t>
      </w:r>
      <w:r w:rsidR="00550C96" w:rsidRPr="00EA6383">
        <w:rPr>
          <w:rFonts w:ascii="Times New Roman" w:hAnsi="Times New Roman" w:cs="Times New Roman"/>
          <w:sz w:val="24"/>
          <w:szCs w:val="24"/>
          <w:lang w:val="lv-LV"/>
        </w:rPr>
        <w:t xml:space="preserve"> iesniegts ziņojums</w:t>
      </w:r>
      <w:r w:rsidR="00971914" w:rsidRPr="00EA6383">
        <w:rPr>
          <w:rFonts w:ascii="Times New Roman" w:hAnsi="Times New Roman" w:cs="Times New Roman"/>
          <w:sz w:val="24"/>
          <w:szCs w:val="24"/>
          <w:lang w:val="lv-LV"/>
        </w:rPr>
        <w:t xml:space="preserve"> Konkurences padomei</w:t>
      </w:r>
      <w:r w:rsidR="00550C96" w:rsidRPr="00EA6383">
        <w:rPr>
          <w:rFonts w:ascii="Times New Roman" w:hAnsi="Times New Roman" w:cs="Times New Roman"/>
          <w:sz w:val="24"/>
          <w:szCs w:val="24"/>
          <w:lang w:val="lv-LV"/>
        </w:rPr>
        <w:t>, kā to paredz</w:t>
      </w:r>
      <w:r w:rsidR="001E630E" w:rsidRPr="00EA6383">
        <w:rPr>
          <w:rFonts w:ascii="Times New Roman" w:hAnsi="Times New Roman" w:cs="Times New Roman"/>
          <w:sz w:val="24"/>
          <w:szCs w:val="24"/>
          <w:lang w:val="lv-LV"/>
        </w:rPr>
        <w:t xml:space="preserve"> </w:t>
      </w:r>
      <w:r w:rsidR="00550C96" w:rsidRPr="00EA6383">
        <w:rPr>
          <w:rFonts w:ascii="Times New Roman" w:hAnsi="Times New Roman" w:cs="Times New Roman"/>
          <w:sz w:val="24"/>
          <w:szCs w:val="24"/>
          <w:lang w:val="lv-LV"/>
        </w:rPr>
        <w:t>Konkurences likuma 15.panta otrā daļa.</w:t>
      </w:r>
    </w:p>
    <w:p w:rsidR="001E630E" w:rsidRPr="00EA6383" w:rsidRDefault="001E630E" w:rsidP="00730081">
      <w:pPr>
        <w:spacing w:after="0"/>
        <w:ind w:firstLine="540"/>
        <w:jc w:val="both"/>
        <w:rPr>
          <w:rFonts w:ascii="Times New Roman" w:hAnsi="Times New Roman" w:cs="Times New Roman"/>
          <w:sz w:val="24"/>
          <w:szCs w:val="24"/>
          <w:lang w:val="lv-LV"/>
        </w:rPr>
      </w:pPr>
    </w:p>
    <w:p w:rsidR="001E630E" w:rsidRPr="00EA6383" w:rsidRDefault="001E630E"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[2] Pieteicēja iesniedza administratīvajā tiesā pieteikumu par minētā lēmuma atcelšanu.</w:t>
      </w:r>
    </w:p>
    <w:p w:rsidR="00971914" w:rsidRPr="00EA6383" w:rsidRDefault="00971914" w:rsidP="00730081">
      <w:pPr>
        <w:spacing w:after="0"/>
        <w:ind w:firstLine="540"/>
        <w:jc w:val="both"/>
        <w:rPr>
          <w:rFonts w:ascii="Times New Roman" w:hAnsi="Times New Roman" w:cs="Times New Roman"/>
          <w:sz w:val="24"/>
          <w:szCs w:val="24"/>
          <w:lang w:val="lv-LV"/>
        </w:rPr>
      </w:pPr>
    </w:p>
    <w:p w:rsidR="001E630E" w:rsidRPr="00EA6383" w:rsidRDefault="001E630E"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[3] Administratīvā apgabaltiesa ar </w:t>
      </w:r>
      <w:proofErr w:type="gramStart"/>
      <w:r w:rsidR="003B70A7" w:rsidRPr="00EA6383">
        <w:rPr>
          <w:rFonts w:ascii="Times New Roman" w:hAnsi="Times New Roman" w:cs="Times New Roman"/>
          <w:sz w:val="24"/>
          <w:szCs w:val="24"/>
          <w:lang w:val="lv-LV"/>
        </w:rPr>
        <w:t>2014.gada</w:t>
      </w:r>
      <w:proofErr w:type="gramEnd"/>
      <w:r w:rsidR="003B70A7" w:rsidRPr="00EA6383">
        <w:rPr>
          <w:rFonts w:ascii="Times New Roman" w:hAnsi="Times New Roman" w:cs="Times New Roman"/>
          <w:sz w:val="24"/>
          <w:szCs w:val="24"/>
          <w:lang w:val="lv-LV"/>
        </w:rPr>
        <w:t xml:space="preserve"> 23.janvāra spriedumu pieteikumu noraidīja. Spriedumā ietverti </w:t>
      </w:r>
      <w:r w:rsidR="00D73F3F" w:rsidRPr="00EA6383">
        <w:rPr>
          <w:rFonts w:ascii="Times New Roman" w:hAnsi="Times New Roman" w:cs="Times New Roman"/>
          <w:sz w:val="24"/>
          <w:szCs w:val="24"/>
          <w:lang w:val="lv-LV"/>
        </w:rPr>
        <w:t>turpmāk</w:t>
      </w:r>
      <w:r w:rsidR="003B70A7" w:rsidRPr="00EA6383">
        <w:rPr>
          <w:rFonts w:ascii="Times New Roman" w:hAnsi="Times New Roman" w:cs="Times New Roman"/>
          <w:sz w:val="24"/>
          <w:szCs w:val="24"/>
          <w:lang w:val="lv-LV"/>
        </w:rPr>
        <w:t xml:space="preserve"> minētie apsvērumi.</w:t>
      </w:r>
    </w:p>
    <w:p w:rsidR="006D78C1" w:rsidRPr="00EA6383" w:rsidRDefault="006D78C1"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Saskaņā ar Konkurences likuma </w:t>
      </w:r>
      <w:proofErr w:type="gramStart"/>
      <w:r w:rsidRPr="00EA6383">
        <w:rPr>
          <w:rFonts w:ascii="Times New Roman" w:hAnsi="Times New Roman" w:cs="Times New Roman"/>
          <w:sz w:val="24"/>
          <w:szCs w:val="24"/>
          <w:lang w:val="lv-LV"/>
        </w:rPr>
        <w:t>15.panta</w:t>
      </w:r>
      <w:proofErr w:type="gramEnd"/>
      <w:r w:rsidRPr="00EA6383">
        <w:rPr>
          <w:rFonts w:ascii="Times New Roman" w:hAnsi="Times New Roman" w:cs="Times New Roman"/>
          <w:sz w:val="24"/>
          <w:szCs w:val="24"/>
          <w:lang w:val="lv-LV"/>
        </w:rPr>
        <w:t xml:space="preserve"> pirmās daļas 3.punktu tirgus dalībnieku apvienošanās ir </w:t>
      </w:r>
      <w:proofErr w:type="spellStart"/>
      <w:r w:rsidR="00550C96" w:rsidRPr="00EA6383">
        <w:rPr>
          <w:rFonts w:ascii="Times New Roman" w:hAnsi="Times New Roman" w:cs="Times New Roman"/>
          <w:sz w:val="24"/>
          <w:szCs w:val="24"/>
          <w:lang w:val="lv-LV"/>
        </w:rPr>
        <w:t>citstarp</w:t>
      </w:r>
      <w:proofErr w:type="spellEnd"/>
      <w:r w:rsidR="00550C96" w:rsidRPr="00EA6383">
        <w:rPr>
          <w:rFonts w:ascii="Times New Roman" w:hAnsi="Times New Roman" w:cs="Times New Roman"/>
          <w:sz w:val="24"/>
          <w:szCs w:val="24"/>
          <w:lang w:val="lv-LV"/>
        </w:rPr>
        <w:t xml:space="preserve"> </w:t>
      </w:r>
      <w:r w:rsidRPr="00EA6383">
        <w:rPr>
          <w:rFonts w:ascii="Times New Roman" w:hAnsi="Times New Roman" w:cs="Times New Roman"/>
          <w:sz w:val="24"/>
          <w:szCs w:val="24"/>
          <w:lang w:val="lv-LV"/>
        </w:rPr>
        <w:t>arī tāds stāvoklis, kad viens vai vairāki tirgus dalībnieki iegūst daļu vai visus cita tirgus dalībnieka vai citu tirgus dalībnieku ak</w:t>
      </w:r>
      <w:r w:rsidR="00550C96" w:rsidRPr="00EA6383">
        <w:rPr>
          <w:rFonts w:ascii="Times New Roman" w:hAnsi="Times New Roman" w:cs="Times New Roman"/>
          <w:sz w:val="24"/>
          <w:szCs w:val="24"/>
          <w:lang w:val="lv-LV"/>
        </w:rPr>
        <w:t>tīvus vai tiesības tos izmantot</w:t>
      </w:r>
      <w:r w:rsidRPr="00EA6383">
        <w:rPr>
          <w:rFonts w:ascii="Times New Roman" w:hAnsi="Times New Roman" w:cs="Times New Roman"/>
          <w:sz w:val="24"/>
          <w:szCs w:val="24"/>
          <w:lang w:val="lv-LV"/>
        </w:rPr>
        <w:t xml:space="preserve">. Aktīvu vai to izmantošanas tiesību iegūšanu uzskata par apvienošanos, ja tā palielina minēto aktīvu un tiesību ieguvēja tirgus daļu jebkurā konkrētajā tirgū. </w:t>
      </w:r>
      <w:r w:rsidR="00550C96" w:rsidRPr="00EA6383">
        <w:rPr>
          <w:rFonts w:ascii="Times New Roman" w:hAnsi="Times New Roman" w:cs="Times New Roman"/>
          <w:sz w:val="24"/>
          <w:szCs w:val="24"/>
          <w:lang w:val="lv-LV"/>
        </w:rPr>
        <w:t>Atbilstoši minētā panta otrajai daļai tirgus dalībniekiem pirms apvienošanās j</w:t>
      </w:r>
      <w:r w:rsidR="001241EB" w:rsidRPr="00EA6383">
        <w:rPr>
          <w:rFonts w:ascii="Times New Roman" w:hAnsi="Times New Roman" w:cs="Times New Roman"/>
          <w:sz w:val="24"/>
          <w:szCs w:val="24"/>
          <w:lang w:val="lv-LV"/>
        </w:rPr>
        <w:t>āiesniedz K</w:t>
      </w:r>
      <w:r w:rsidR="00550C96" w:rsidRPr="00EA6383">
        <w:rPr>
          <w:rFonts w:ascii="Times New Roman" w:hAnsi="Times New Roman" w:cs="Times New Roman"/>
          <w:sz w:val="24"/>
          <w:szCs w:val="24"/>
          <w:lang w:val="lv-LV"/>
        </w:rPr>
        <w:t>onkurences padomei pilns ziņojums</w:t>
      </w:r>
      <w:r w:rsidRPr="00EA6383">
        <w:rPr>
          <w:rFonts w:ascii="Times New Roman" w:hAnsi="Times New Roman" w:cs="Times New Roman"/>
          <w:sz w:val="24"/>
          <w:szCs w:val="24"/>
          <w:lang w:val="lv-LV"/>
        </w:rPr>
        <w:t>, ja apvienošanās dalībnieku kopējais apgrozījums iepriekšējā finanšu gadā Latvijas teritorijā bijis ne mazāks par 35</w:t>
      </w:r>
      <w:r w:rsidR="00AA367C"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572</w:t>
      </w:r>
      <w:r w:rsidR="00AA367C"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 xml:space="preserve">000 </w:t>
      </w:r>
      <w:proofErr w:type="spellStart"/>
      <w:r w:rsidRPr="00EA6383">
        <w:rPr>
          <w:rFonts w:ascii="Times New Roman" w:hAnsi="Times New Roman" w:cs="Times New Roman"/>
          <w:i/>
          <w:sz w:val="24"/>
          <w:szCs w:val="24"/>
          <w:lang w:val="lv-LV"/>
        </w:rPr>
        <w:t>euro</w:t>
      </w:r>
      <w:proofErr w:type="spellEnd"/>
      <w:r w:rsidRPr="00EA6383">
        <w:rPr>
          <w:rFonts w:ascii="Times New Roman" w:hAnsi="Times New Roman" w:cs="Times New Roman"/>
          <w:sz w:val="24"/>
          <w:szCs w:val="24"/>
          <w:lang w:val="lv-LV"/>
        </w:rPr>
        <w:t xml:space="preserve">. </w:t>
      </w:r>
      <w:r w:rsidR="00AA367C" w:rsidRPr="00EA6383">
        <w:rPr>
          <w:rFonts w:ascii="Times New Roman" w:hAnsi="Times New Roman" w:cs="Times New Roman"/>
          <w:sz w:val="24"/>
          <w:szCs w:val="24"/>
          <w:lang w:val="lv-LV"/>
        </w:rPr>
        <w:t>Z</w:t>
      </w:r>
      <w:r w:rsidRPr="00EA6383">
        <w:rPr>
          <w:rFonts w:ascii="Times New Roman" w:hAnsi="Times New Roman" w:cs="Times New Roman"/>
          <w:sz w:val="24"/>
          <w:szCs w:val="24"/>
          <w:lang w:val="lv-LV"/>
        </w:rPr>
        <w:t xml:space="preserve">iņojums </w:t>
      </w:r>
      <w:r w:rsidR="00AA367C" w:rsidRPr="00EA6383">
        <w:rPr>
          <w:rFonts w:ascii="Times New Roman" w:hAnsi="Times New Roman" w:cs="Times New Roman"/>
          <w:sz w:val="24"/>
          <w:szCs w:val="24"/>
          <w:lang w:val="lv-LV"/>
        </w:rPr>
        <w:t xml:space="preserve">tomēr </w:t>
      </w:r>
      <w:r w:rsidRPr="00EA6383">
        <w:rPr>
          <w:rFonts w:ascii="Times New Roman" w:hAnsi="Times New Roman" w:cs="Times New Roman"/>
          <w:sz w:val="24"/>
          <w:szCs w:val="24"/>
          <w:lang w:val="lv-LV"/>
        </w:rPr>
        <w:t>nav jāiesniedz, ja viena no diviem apvienošanās dalībniekiem apgrozījums iepriekšējā finanšu gadā nepārsniedz 2</w:t>
      </w:r>
      <w:r w:rsidR="00AA367C"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134</w:t>
      </w:r>
      <w:r w:rsidR="00AA367C"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000</w:t>
      </w:r>
      <w:r w:rsidR="00AA367C" w:rsidRPr="00EA6383">
        <w:rPr>
          <w:rFonts w:ascii="Times New Roman" w:hAnsi="Times New Roman" w:cs="Times New Roman"/>
          <w:sz w:val="24"/>
          <w:szCs w:val="24"/>
          <w:lang w:val="lv-LV"/>
        </w:rPr>
        <w:t> </w:t>
      </w:r>
      <w:proofErr w:type="spellStart"/>
      <w:r w:rsidRPr="00EA6383">
        <w:rPr>
          <w:rFonts w:ascii="Times New Roman" w:hAnsi="Times New Roman" w:cs="Times New Roman"/>
          <w:i/>
          <w:sz w:val="24"/>
          <w:szCs w:val="24"/>
          <w:lang w:val="lv-LV"/>
        </w:rPr>
        <w:t>euro</w:t>
      </w:r>
      <w:proofErr w:type="spellEnd"/>
      <w:r w:rsidRPr="00EA6383">
        <w:rPr>
          <w:rFonts w:ascii="Times New Roman" w:hAnsi="Times New Roman" w:cs="Times New Roman"/>
          <w:sz w:val="24"/>
          <w:szCs w:val="24"/>
          <w:lang w:val="lv-LV"/>
        </w:rPr>
        <w:t>.</w:t>
      </w:r>
    </w:p>
    <w:p w:rsidR="006D78C1" w:rsidRPr="00EA6383" w:rsidRDefault="006D78C1"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Ievērojot </w:t>
      </w:r>
      <w:r w:rsidR="00550C96" w:rsidRPr="00EA6383">
        <w:rPr>
          <w:rFonts w:ascii="Times New Roman" w:hAnsi="Times New Roman" w:cs="Times New Roman"/>
          <w:sz w:val="24"/>
          <w:szCs w:val="24"/>
          <w:lang w:val="lv-LV"/>
        </w:rPr>
        <w:t xml:space="preserve">Ministru kabineta </w:t>
      </w:r>
      <w:proofErr w:type="gramStart"/>
      <w:r w:rsidR="00550C96" w:rsidRPr="00EA6383">
        <w:rPr>
          <w:rFonts w:ascii="Times New Roman" w:hAnsi="Times New Roman" w:cs="Times New Roman"/>
          <w:sz w:val="24"/>
          <w:szCs w:val="24"/>
          <w:lang w:val="lv-LV"/>
        </w:rPr>
        <w:t>2008.gada</w:t>
      </w:r>
      <w:proofErr w:type="gramEnd"/>
      <w:r w:rsidR="00550C96" w:rsidRPr="00EA6383">
        <w:rPr>
          <w:rFonts w:ascii="Times New Roman" w:hAnsi="Times New Roman" w:cs="Times New Roman"/>
          <w:sz w:val="24"/>
          <w:szCs w:val="24"/>
          <w:lang w:val="lv-LV"/>
        </w:rPr>
        <w:t xml:space="preserve"> 29.septembra </w:t>
      </w:r>
      <w:r w:rsidRPr="00EA6383">
        <w:rPr>
          <w:rFonts w:ascii="Times New Roman" w:hAnsi="Times New Roman" w:cs="Times New Roman"/>
          <w:sz w:val="24"/>
          <w:szCs w:val="24"/>
          <w:lang w:val="lv-LV"/>
        </w:rPr>
        <w:t>noteikumu Nr.800</w:t>
      </w:r>
      <w:r w:rsidR="00550C96" w:rsidRPr="00EA6383">
        <w:rPr>
          <w:rFonts w:ascii="Times New Roman" w:hAnsi="Times New Roman" w:cs="Times New Roman"/>
          <w:sz w:val="24"/>
          <w:szCs w:val="24"/>
          <w:lang w:val="lv-LV"/>
        </w:rPr>
        <w:t xml:space="preserve"> „Kārtība, kādā iesniedz un izskata pilno un saīsināto ziņojumu par tirgus dalībnieku apvienošanos” (turpmāk </w:t>
      </w:r>
      <w:r w:rsidR="00550C96" w:rsidRPr="00EA6383">
        <w:rPr>
          <w:rFonts w:ascii="Times New Roman" w:hAnsi="Times New Roman" w:cs="Times New Roman"/>
          <w:sz w:val="24"/>
          <w:szCs w:val="24"/>
          <w:lang w:val="lv-LV"/>
        </w:rPr>
        <w:lastRenderedPageBreak/>
        <w:t>– Noteikumi Nr.800)</w:t>
      </w:r>
      <w:r w:rsidRPr="00EA6383">
        <w:rPr>
          <w:rFonts w:ascii="Times New Roman" w:hAnsi="Times New Roman" w:cs="Times New Roman"/>
          <w:sz w:val="24"/>
          <w:szCs w:val="24"/>
          <w:lang w:val="lv-LV"/>
        </w:rPr>
        <w:t xml:space="preserve"> 7. un 8.punktu, jāņem vērā apvienošanās dalībnieku apgrozījums no konkrētajiem aktīviem, kā arī tirgus dalībnieku kopējais apgrozījums no pamatdarbības par 2010.finanšu gadu. Atbilstoši lēmumā norādītajam pieteicējas kopējais apgrozījums iepriekšējā finanšu gadā bija 103</w:t>
      </w:r>
      <w:r w:rsidR="008956F0"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827</w:t>
      </w:r>
      <w:r w:rsidR="008956F0"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 xml:space="preserve">074,12 </w:t>
      </w:r>
      <w:proofErr w:type="spellStart"/>
      <w:r w:rsidRPr="00EA6383">
        <w:rPr>
          <w:rFonts w:ascii="Times New Roman" w:hAnsi="Times New Roman" w:cs="Times New Roman"/>
          <w:i/>
          <w:sz w:val="24"/>
          <w:szCs w:val="24"/>
          <w:lang w:val="lv-LV"/>
        </w:rPr>
        <w:t>euro</w:t>
      </w:r>
      <w:proofErr w:type="spellEnd"/>
      <w:r w:rsidRPr="00EA6383">
        <w:rPr>
          <w:rFonts w:ascii="Times New Roman" w:hAnsi="Times New Roman" w:cs="Times New Roman"/>
          <w:sz w:val="24"/>
          <w:szCs w:val="24"/>
          <w:lang w:val="lv-LV"/>
        </w:rPr>
        <w:t xml:space="preserve">, bet iepriekšējā telpu nomnieka SIA „Rimi </w:t>
      </w:r>
      <w:proofErr w:type="spellStart"/>
      <w:r w:rsidRPr="00EA6383">
        <w:rPr>
          <w:rFonts w:ascii="Times New Roman" w:hAnsi="Times New Roman" w:cs="Times New Roman"/>
          <w:sz w:val="24"/>
          <w:szCs w:val="24"/>
          <w:lang w:val="lv-LV"/>
        </w:rPr>
        <w:t>Latvia</w:t>
      </w:r>
      <w:proofErr w:type="spellEnd"/>
      <w:r w:rsidRPr="00EA6383">
        <w:rPr>
          <w:rFonts w:ascii="Times New Roman" w:hAnsi="Times New Roman" w:cs="Times New Roman"/>
          <w:sz w:val="24"/>
          <w:szCs w:val="24"/>
          <w:lang w:val="lv-LV"/>
        </w:rPr>
        <w:t xml:space="preserve">” apgrozījums, kas iegūts, lietojot tos pašus aktīvus, </w:t>
      </w:r>
      <w:r w:rsidR="008956F0" w:rsidRPr="00EA6383">
        <w:rPr>
          <w:rFonts w:ascii="Times New Roman" w:hAnsi="Times New Roman" w:cs="Times New Roman"/>
          <w:sz w:val="24"/>
          <w:szCs w:val="24"/>
          <w:lang w:val="lv-LV"/>
        </w:rPr>
        <w:t>pārsniedza</w:t>
      </w:r>
      <w:r w:rsidRPr="00EA6383">
        <w:rPr>
          <w:rFonts w:ascii="Times New Roman" w:hAnsi="Times New Roman" w:cs="Times New Roman"/>
          <w:sz w:val="24"/>
          <w:szCs w:val="24"/>
          <w:lang w:val="lv-LV"/>
        </w:rPr>
        <w:t xml:space="preserve"> 2</w:t>
      </w:r>
      <w:r w:rsidR="008956F0"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134</w:t>
      </w:r>
      <w:r w:rsidR="008956F0"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 xml:space="preserve">000 </w:t>
      </w:r>
      <w:proofErr w:type="spellStart"/>
      <w:r w:rsidRPr="00EA6383">
        <w:rPr>
          <w:rFonts w:ascii="Times New Roman" w:hAnsi="Times New Roman" w:cs="Times New Roman"/>
          <w:i/>
          <w:sz w:val="24"/>
          <w:szCs w:val="24"/>
          <w:lang w:val="lv-LV"/>
        </w:rPr>
        <w:t>euro</w:t>
      </w:r>
      <w:proofErr w:type="spellEnd"/>
      <w:r w:rsidRPr="00EA6383">
        <w:rPr>
          <w:rFonts w:ascii="Times New Roman" w:hAnsi="Times New Roman" w:cs="Times New Roman"/>
          <w:sz w:val="24"/>
          <w:szCs w:val="24"/>
          <w:lang w:val="lv-LV"/>
        </w:rPr>
        <w:t>. Summējot minētos apgrozījumus, secināms, ka kopējais apgrozījums pārsniedz Konkurences likuma 15.panta otrajā daļā noteikto. Tādēļ pieteicējai pirms apvienošanās bija jāiesniedz pilns ziņojums.</w:t>
      </w:r>
    </w:p>
    <w:p w:rsidR="00F82733" w:rsidRPr="00EA6383" w:rsidRDefault="008956F0"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Konkurences p</w:t>
      </w:r>
      <w:r w:rsidR="00F82733" w:rsidRPr="00EA6383">
        <w:rPr>
          <w:rFonts w:ascii="Times New Roman" w:hAnsi="Times New Roman" w:cs="Times New Roman"/>
          <w:sz w:val="24"/>
          <w:szCs w:val="24"/>
          <w:lang w:val="lv-LV"/>
        </w:rPr>
        <w:t xml:space="preserve">adome lēmumā pamatoti secinājusi, ka pieteicējai uzliekams naudas sods 142,29 </w:t>
      </w:r>
      <w:proofErr w:type="spellStart"/>
      <w:r w:rsidR="00F82733" w:rsidRPr="00EA6383">
        <w:rPr>
          <w:rFonts w:ascii="Times New Roman" w:hAnsi="Times New Roman" w:cs="Times New Roman"/>
          <w:i/>
          <w:sz w:val="24"/>
          <w:szCs w:val="24"/>
          <w:lang w:val="lv-LV"/>
        </w:rPr>
        <w:t>euro</w:t>
      </w:r>
      <w:proofErr w:type="spellEnd"/>
      <w:r w:rsidR="00F82733" w:rsidRPr="00EA6383">
        <w:rPr>
          <w:rFonts w:ascii="Times New Roman" w:hAnsi="Times New Roman" w:cs="Times New Roman"/>
          <w:sz w:val="24"/>
          <w:szCs w:val="24"/>
          <w:lang w:val="lv-LV"/>
        </w:rPr>
        <w:t xml:space="preserve"> </w:t>
      </w:r>
      <w:r w:rsidRPr="00EA6383">
        <w:rPr>
          <w:rFonts w:ascii="Times New Roman" w:hAnsi="Times New Roman" w:cs="Times New Roman"/>
          <w:sz w:val="24"/>
          <w:szCs w:val="24"/>
          <w:lang w:val="lv-LV"/>
        </w:rPr>
        <w:t xml:space="preserve">(100 latu) </w:t>
      </w:r>
      <w:r w:rsidR="00F82733" w:rsidRPr="00EA6383">
        <w:rPr>
          <w:rFonts w:ascii="Times New Roman" w:hAnsi="Times New Roman" w:cs="Times New Roman"/>
          <w:sz w:val="24"/>
          <w:szCs w:val="24"/>
          <w:lang w:val="lv-LV"/>
        </w:rPr>
        <w:t>apmērā par katru dienu, kad ne</w:t>
      </w:r>
      <w:r w:rsidR="001241EB" w:rsidRPr="00EA6383">
        <w:rPr>
          <w:rFonts w:ascii="Times New Roman" w:hAnsi="Times New Roman" w:cs="Times New Roman"/>
          <w:sz w:val="24"/>
          <w:szCs w:val="24"/>
          <w:lang w:val="lv-LV"/>
        </w:rPr>
        <w:t xml:space="preserve">tika paziņots par apvienošanos. </w:t>
      </w:r>
      <w:r w:rsidR="00F82733" w:rsidRPr="00EA6383">
        <w:rPr>
          <w:rFonts w:ascii="Times New Roman" w:hAnsi="Times New Roman" w:cs="Times New Roman"/>
          <w:sz w:val="24"/>
          <w:szCs w:val="24"/>
          <w:lang w:val="lv-LV"/>
        </w:rPr>
        <w:t xml:space="preserve">Padome pamatoti atzinusi par nepieciešamu samazināt piemērojamā naudas soda apmēru, jo pieteicēja ar nokavējumu un pēc vairākiem </w:t>
      </w:r>
      <w:r w:rsidRPr="00EA6383">
        <w:rPr>
          <w:rFonts w:ascii="Times New Roman" w:hAnsi="Times New Roman" w:cs="Times New Roman"/>
          <w:sz w:val="24"/>
          <w:szCs w:val="24"/>
          <w:lang w:val="lv-LV"/>
        </w:rPr>
        <w:t>p</w:t>
      </w:r>
      <w:r w:rsidR="00F82733" w:rsidRPr="00EA6383">
        <w:rPr>
          <w:rFonts w:ascii="Times New Roman" w:hAnsi="Times New Roman" w:cs="Times New Roman"/>
          <w:sz w:val="24"/>
          <w:szCs w:val="24"/>
          <w:lang w:val="lv-LV"/>
        </w:rPr>
        <w:t>adomes aicinājumiem iesniedza ziņojumu par apvi</w:t>
      </w:r>
      <w:r w:rsidR="001241EB" w:rsidRPr="00EA6383">
        <w:rPr>
          <w:rFonts w:ascii="Times New Roman" w:hAnsi="Times New Roman" w:cs="Times New Roman"/>
          <w:sz w:val="24"/>
          <w:szCs w:val="24"/>
          <w:lang w:val="lv-LV"/>
        </w:rPr>
        <w:t xml:space="preserve">enošanos un sadarbojās ar </w:t>
      </w:r>
      <w:r w:rsidRPr="00EA6383">
        <w:rPr>
          <w:rFonts w:ascii="Times New Roman" w:hAnsi="Times New Roman" w:cs="Times New Roman"/>
          <w:sz w:val="24"/>
          <w:szCs w:val="24"/>
          <w:lang w:val="lv-LV"/>
        </w:rPr>
        <w:t>p</w:t>
      </w:r>
      <w:r w:rsidR="001241EB" w:rsidRPr="00EA6383">
        <w:rPr>
          <w:rFonts w:ascii="Times New Roman" w:hAnsi="Times New Roman" w:cs="Times New Roman"/>
          <w:sz w:val="24"/>
          <w:szCs w:val="24"/>
          <w:lang w:val="lv-LV"/>
        </w:rPr>
        <w:t>adom</w:t>
      </w:r>
      <w:r w:rsidR="00F82733" w:rsidRPr="00EA6383">
        <w:rPr>
          <w:rFonts w:ascii="Times New Roman" w:hAnsi="Times New Roman" w:cs="Times New Roman"/>
          <w:sz w:val="24"/>
          <w:szCs w:val="24"/>
          <w:lang w:val="lv-LV"/>
        </w:rPr>
        <w:t xml:space="preserve">i. Tāpat </w:t>
      </w:r>
      <w:r w:rsidRPr="00EA6383">
        <w:rPr>
          <w:rFonts w:ascii="Times New Roman" w:hAnsi="Times New Roman" w:cs="Times New Roman"/>
          <w:sz w:val="24"/>
          <w:szCs w:val="24"/>
          <w:lang w:val="lv-LV"/>
        </w:rPr>
        <w:t>p</w:t>
      </w:r>
      <w:r w:rsidR="00F82733" w:rsidRPr="00EA6383">
        <w:rPr>
          <w:rFonts w:ascii="Times New Roman" w:hAnsi="Times New Roman" w:cs="Times New Roman"/>
          <w:sz w:val="24"/>
          <w:szCs w:val="24"/>
          <w:lang w:val="lv-LV"/>
        </w:rPr>
        <w:t>adome pamatoti ņēmusi vērā, ka nokavējuma termiņā nav ieskaitāms tas laiks, kad bija pasludināts pieteicējas maksātnespējas process.</w:t>
      </w:r>
    </w:p>
    <w:p w:rsidR="00F82733" w:rsidRPr="00EA6383" w:rsidRDefault="00F82733" w:rsidP="00730081">
      <w:pPr>
        <w:spacing w:after="0"/>
        <w:ind w:firstLine="540"/>
        <w:jc w:val="both"/>
        <w:rPr>
          <w:rFonts w:ascii="Times New Roman" w:hAnsi="Times New Roman" w:cs="Times New Roman"/>
          <w:sz w:val="24"/>
          <w:szCs w:val="24"/>
          <w:lang w:val="lv-LV"/>
        </w:rPr>
      </w:pPr>
    </w:p>
    <w:p w:rsidR="00F82733" w:rsidRPr="00EA6383" w:rsidRDefault="00F82733"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w:t>
      </w:r>
      <w:r w:rsidR="00550C96" w:rsidRPr="00EA6383">
        <w:rPr>
          <w:rFonts w:ascii="Times New Roman" w:hAnsi="Times New Roman" w:cs="Times New Roman"/>
          <w:sz w:val="24"/>
          <w:szCs w:val="24"/>
          <w:lang w:val="lv-LV"/>
        </w:rPr>
        <w:t>4</w:t>
      </w:r>
      <w:r w:rsidRPr="00EA6383">
        <w:rPr>
          <w:rFonts w:ascii="Times New Roman" w:hAnsi="Times New Roman" w:cs="Times New Roman"/>
          <w:sz w:val="24"/>
          <w:szCs w:val="24"/>
          <w:lang w:val="lv-LV"/>
        </w:rPr>
        <w:t xml:space="preserve">] Pieteicēja par apgabaltiesas spriedumu iesniegusi kasācijas sūdzību, norādot tajā </w:t>
      </w:r>
      <w:r w:rsidR="008956F0" w:rsidRPr="00EA6383">
        <w:rPr>
          <w:rFonts w:ascii="Times New Roman" w:hAnsi="Times New Roman" w:cs="Times New Roman"/>
          <w:sz w:val="24"/>
          <w:szCs w:val="24"/>
          <w:lang w:val="lv-LV"/>
        </w:rPr>
        <w:t>turpmāk</w:t>
      </w:r>
      <w:r w:rsidRPr="00EA6383">
        <w:rPr>
          <w:rFonts w:ascii="Times New Roman" w:hAnsi="Times New Roman" w:cs="Times New Roman"/>
          <w:sz w:val="24"/>
          <w:szCs w:val="24"/>
          <w:lang w:val="lv-LV"/>
        </w:rPr>
        <w:t xml:space="preserve"> minētos apsvērumus.</w:t>
      </w:r>
    </w:p>
    <w:p w:rsidR="00550C96" w:rsidRPr="00EA6383" w:rsidRDefault="006E4FA6"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w:t>
      </w:r>
      <w:r w:rsidR="001241EB" w:rsidRPr="00EA6383">
        <w:rPr>
          <w:rFonts w:ascii="Times New Roman" w:hAnsi="Times New Roman" w:cs="Times New Roman"/>
          <w:sz w:val="24"/>
          <w:szCs w:val="24"/>
          <w:lang w:val="lv-LV"/>
        </w:rPr>
        <w:t>4.1</w:t>
      </w:r>
      <w:r w:rsidRPr="00EA6383">
        <w:rPr>
          <w:rFonts w:ascii="Times New Roman" w:hAnsi="Times New Roman" w:cs="Times New Roman"/>
          <w:sz w:val="24"/>
          <w:szCs w:val="24"/>
          <w:lang w:val="lv-LV"/>
        </w:rPr>
        <w:t xml:space="preserve">] </w:t>
      </w:r>
      <w:r w:rsidR="00550C96" w:rsidRPr="00EA6383">
        <w:rPr>
          <w:rFonts w:ascii="Times New Roman" w:hAnsi="Times New Roman" w:cs="Times New Roman"/>
          <w:sz w:val="24"/>
          <w:szCs w:val="24"/>
          <w:lang w:val="lv-LV"/>
        </w:rPr>
        <w:t xml:space="preserve">Interpretējot Konkurences likuma </w:t>
      </w:r>
      <w:proofErr w:type="gramStart"/>
      <w:r w:rsidR="00550C96" w:rsidRPr="00EA6383">
        <w:rPr>
          <w:rFonts w:ascii="Times New Roman" w:hAnsi="Times New Roman" w:cs="Times New Roman"/>
          <w:sz w:val="24"/>
          <w:szCs w:val="24"/>
          <w:lang w:val="lv-LV"/>
        </w:rPr>
        <w:t>15.panta</w:t>
      </w:r>
      <w:proofErr w:type="gramEnd"/>
      <w:r w:rsidR="00550C96" w:rsidRPr="00EA6383">
        <w:rPr>
          <w:rFonts w:ascii="Times New Roman" w:hAnsi="Times New Roman" w:cs="Times New Roman"/>
          <w:sz w:val="24"/>
          <w:szCs w:val="24"/>
          <w:lang w:val="lv-LV"/>
        </w:rPr>
        <w:t xml:space="preserve"> pirmās daļas 3.punktu kopsakarā ar </w:t>
      </w:r>
      <w:r w:rsidR="00B13337" w:rsidRPr="00EA6383">
        <w:rPr>
          <w:rFonts w:ascii="Times New Roman" w:hAnsi="Times New Roman" w:cs="Times New Roman"/>
          <w:sz w:val="24"/>
          <w:szCs w:val="24"/>
          <w:lang w:val="lv-LV"/>
        </w:rPr>
        <w:t>Komisijas konsolidēto jurisdikcijas paziņojumu saskaņā ar Padomes Regulu (EK) Nr.139/2004 par kontroli pār uzņēmumu koncentrāciju (2008/C 95/01) (turpmāk – Komisijas paziņojums)</w:t>
      </w:r>
      <w:r w:rsidR="00550C96" w:rsidRPr="00EA6383">
        <w:rPr>
          <w:rFonts w:ascii="Times New Roman" w:hAnsi="Times New Roman" w:cs="Times New Roman"/>
          <w:sz w:val="24"/>
          <w:szCs w:val="24"/>
          <w:lang w:val="lv-LV"/>
        </w:rPr>
        <w:t xml:space="preserve">, par apvienošanos uzskatāma tikai tāda aktīvu izmantošanas tiesību iegāde, kas spēj patstāvīgi bez papildu investīcijām radīt apgrozījumu.  Konkrētajā gadījumā tas nav konstatējams, jo pieteicējai bija vēl papildus jāinvestē līdzekļi, lai veiktu telpās saimniecisko darbību, īpašumam bija nostiprināti vairāki apgrūtinājumi, kā arī no nomas līguma izrietēja vairāki ierobežojumi, </w:t>
      </w:r>
      <w:r w:rsidR="001241EB" w:rsidRPr="00EA6383">
        <w:rPr>
          <w:rFonts w:ascii="Times New Roman" w:hAnsi="Times New Roman" w:cs="Times New Roman"/>
          <w:sz w:val="24"/>
          <w:szCs w:val="24"/>
          <w:lang w:val="lv-LV"/>
        </w:rPr>
        <w:t xml:space="preserve">kas </w:t>
      </w:r>
      <w:r w:rsidR="00550C96" w:rsidRPr="00EA6383">
        <w:rPr>
          <w:rFonts w:ascii="Times New Roman" w:hAnsi="Times New Roman" w:cs="Times New Roman"/>
          <w:sz w:val="24"/>
          <w:szCs w:val="24"/>
          <w:lang w:val="lv-LV"/>
        </w:rPr>
        <w:t>neļāva izmantot pilnībā visas no Civillikuma izrietošās tiesības.</w:t>
      </w:r>
    </w:p>
    <w:p w:rsidR="00550C96" w:rsidRPr="00EA6383" w:rsidRDefault="006E4FA6"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w:t>
      </w:r>
      <w:r w:rsidR="001241EB" w:rsidRPr="00EA6383">
        <w:rPr>
          <w:rFonts w:ascii="Times New Roman" w:hAnsi="Times New Roman" w:cs="Times New Roman"/>
          <w:sz w:val="24"/>
          <w:szCs w:val="24"/>
          <w:lang w:val="lv-LV"/>
        </w:rPr>
        <w:t>4.2</w:t>
      </w:r>
      <w:r w:rsidRPr="00EA6383">
        <w:rPr>
          <w:rFonts w:ascii="Times New Roman" w:hAnsi="Times New Roman" w:cs="Times New Roman"/>
          <w:sz w:val="24"/>
          <w:szCs w:val="24"/>
          <w:lang w:val="lv-LV"/>
        </w:rPr>
        <w:t xml:space="preserve">] </w:t>
      </w:r>
      <w:r w:rsidR="00550C96" w:rsidRPr="00EA6383">
        <w:rPr>
          <w:rFonts w:ascii="Times New Roman" w:hAnsi="Times New Roman" w:cs="Times New Roman"/>
          <w:sz w:val="24"/>
          <w:szCs w:val="24"/>
          <w:lang w:val="lv-LV"/>
        </w:rPr>
        <w:t xml:space="preserve">Lietā piemērojami vispārīgie paziņošanas kritēriji, kas izriet no Konkurences likuma </w:t>
      </w:r>
      <w:proofErr w:type="gramStart"/>
      <w:r w:rsidR="00550C96" w:rsidRPr="00EA6383">
        <w:rPr>
          <w:rFonts w:ascii="Times New Roman" w:hAnsi="Times New Roman" w:cs="Times New Roman"/>
          <w:sz w:val="24"/>
          <w:szCs w:val="24"/>
          <w:lang w:val="lv-LV"/>
        </w:rPr>
        <w:t>15.panta</w:t>
      </w:r>
      <w:proofErr w:type="gramEnd"/>
      <w:r w:rsidR="00550C96" w:rsidRPr="00EA6383">
        <w:rPr>
          <w:rFonts w:ascii="Times New Roman" w:hAnsi="Times New Roman" w:cs="Times New Roman"/>
          <w:sz w:val="24"/>
          <w:szCs w:val="24"/>
          <w:lang w:val="lv-LV"/>
        </w:rPr>
        <w:t xml:space="preserve"> otrās daļas un 2.</w:t>
      </w:r>
      <w:r w:rsidR="00550C96" w:rsidRPr="00EA6383">
        <w:rPr>
          <w:rFonts w:ascii="Times New Roman" w:hAnsi="Times New Roman" w:cs="Times New Roman"/>
          <w:sz w:val="24"/>
          <w:szCs w:val="24"/>
          <w:vertAlign w:val="superscript"/>
          <w:lang w:val="lv-LV"/>
        </w:rPr>
        <w:t>1</w:t>
      </w:r>
      <w:r w:rsidR="00550C96" w:rsidRPr="00EA6383">
        <w:rPr>
          <w:rFonts w:ascii="Times New Roman" w:hAnsi="Times New Roman" w:cs="Times New Roman"/>
          <w:sz w:val="24"/>
          <w:szCs w:val="24"/>
          <w:lang w:val="lv-LV"/>
        </w:rPr>
        <w:t>daļas, kā arī kritēriji, kas attiecināmi uz aktīvu iegādes darījumiem un nostiprināti noteikumu Nr.800 12.punktā</w:t>
      </w:r>
      <w:r w:rsidR="00737A22" w:rsidRPr="00EA6383">
        <w:rPr>
          <w:rFonts w:ascii="Times New Roman" w:hAnsi="Times New Roman" w:cs="Times New Roman"/>
          <w:sz w:val="24"/>
          <w:szCs w:val="24"/>
          <w:lang w:val="lv-LV"/>
        </w:rPr>
        <w:t>. Proti, apgrozījums jāaprēķina tiem tirgus dalībniekiem, kas apvienojas un ir iesaistīti konkrētajā darījumā (šajā gadījumā – nomas līguma noslēgšanā), tas ir, pieteicēja</w:t>
      </w:r>
      <w:r w:rsidR="00EB411F" w:rsidRPr="00EA6383">
        <w:rPr>
          <w:rFonts w:ascii="Times New Roman" w:hAnsi="Times New Roman" w:cs="Times New Roman"/>
          <w:sz w:val="24"/>
          <w:szCs w:val="24"/>
          <w:lang w:val="lv-LV"/>
        </w:rPr>
        <w:t>i</w:t>
      </w:r>
      <w:r w:rsidR="00737A22" w:rsidRPr="00EA6383">
        <w:rPr>
          <w:rFonts w:ascii="Times New Roman" w:hAnsi="Times New Roman" w:cs="Times New Roman"/>
          <w:sz w:val="24"/>
          <w:szCs w:val="24"/>
          <w:lang w:val="lv-LV"/>
        </w:rPr>
        <w:t xml:space="preserve"> un </w:t>
      </w:r>
      <w:r w:rsidR="00EB411F" w:rsidRPr="00EA6383">
        <w:rPr>
          <w:rFonts w:ascii="Times New Roman" w:hAnsi="Times New Roman" w:cs="Times New Roman"/>
          <w:sz w:val="24"/>
          <w:szCs w:val="24"/>
          <w:lang w:val="lv-LV"/>
        </w:rPr>
        <w:t xml:space="preserve">telpu iznomātājam </w:t>
      </w:r>
      <w:r w:rsidR="00737A22" w:rsidRPr="00EA6383">
        <w:rPr>
          <w:rFonts w:ascii="Times New Roman" w:hAnsi="Times New Roman" w:cs="Times New Roman"/>
          <w:sz w:val="24"/>
          <w:szCs w:val="24"/>
          <w:lang w:val="lv-LV"/>
        </w:rPr>
        <w:t>SIA „</w:t>
      </w:r>
      <w:proofErr w:type="spellStart"/>
      <w:r w:rsidR="00737A22" w:rsidRPr="00EA6383">
        <w:rPr>
          <w:rFonts w:ascii="Times New Roman" w:hAnsi="Times New Roman" w:cs="Times New Roman"/>
          <w:sz w:val="24"/>
          <w:szCs w:val="24"/>
          <w:lang w:val="lv-LV"/>
        </w:rPr>
        <w:t>Pellston</w:t>
      </w:r>
      <w:proofErr w:type="spellEnd"/>
      <w:r w:rsidR="00737A22" w:rsidRPr="00EA6383">
        <w:rPr>
          <w:rFonts w:ascii="Times New Roman" w:hAnsi="Times New Roman" w:cs="Times New Roman"/>
          <w:sz w:val="24"/>
          <w:szCs w:val="24"/>
          <w:lang w:val="lv-LV"/>
        </w:rPr>
        <w:t xml:space="preserve"> nami”. </w:t>
      </w:r>
      <w:r w:rsidR="001241EB" w:rsidRPr="00EA6383">
        <w:rPr>
          <w:rFonts w:ascii="Times New Roman" w:hAnsi="Times New Roman" w:cs="Times New Roman"/>
          <w:sz w:val="24"/>
          <w:szCs w:val="24"/>
          <w:lang w:val="lv-LV"/>
        </w:rPr>
        <w:t>Atbilstoši Noteikumu Nr. 800 12.punktam bija jāņem vērā apgrozījums, kas iegūts no konkrēto aktīvu izmantošanas iznomātāja saimnieciskajā darbībā. Tā kā SIA „</w:t>
      </w:r>
      <w:proofErr w:type="spellStart"/>
      <w:r w:rsidR="001241EB" w:rsidRPr="00EA6383">
        <w:rPr>
          <w:rFonts w:ascii="Times New Roman" w:hAnsi="Times New Roman" w:cs="Times New Roman"/>
          <w:sz w:val="24"/>
          <w:szCs w:val="24"/>
          <w:lang w:val="lv-LV"/>
        </w:rPr>
        <w:t>Pellston</w:t>
      </w:r>
      <w:proofErr w:type="spellEnd"/>
      <w:r w:rsidR="001241EB" w:rsidRPr="00EA6383">
        <w:rPr>
          <w:rFonts w:ascii="Times New Roman" w:hAnsi="Times New Roman" w:cs="Times New Roman"/>
          <w:sz w:val="24"/>
          <w:szCs w:val="24"/>
          <w:lang w:val="lv-LV"/>
        </w:rPr>
        <w:t xml:space="preserve"> nami” apgrozījums no telpu iznomāšanas </w:t>
      </w:r>
      <w:proofErr w:type="gramStart"/>
      <w:r w:rsidR="001241EB" w:rsidRPr="00EA6383">
        <w:rPr>
          <w:rFonts w:ascii="Times New Roman" w:hAnsi="Times New Roman" w:cs="Times New Roman"/>
          <w:sz w:val="24"/>
          <w:szCs w:val="24"/>
          <w:lang w:val="lv-LV"/>
        </w:rPr>
        <w:t>2010.gadā</w:t>
      </w:r>
      <w:proofErr w:type="gramEnd"/>
      <w:r w:rsidR="001241EB" w:rsidRPr="00EA6383">
        <w:rPr>
          <w:rFonts w:ascii="Times New Roman" w:hAnsi="Times New Roman" w:cs="Times New Roman"/>
          <w:sz w:val="24"/>
          <w:szCs w:val="24"/>
          <w:lang w:val="lv-LV"/>
        </w:rPr>
        <w:t xml:space="preserve"> nepārsniedz</w:t>
      </w:r>
      <w:r w:rsidR="00EB411F" w:rsidRPr="00EA6383">
        <w:rPr>
          <w:rFonts w:ascii="Times New Roman" w:hAnsi="Times New Roman" w:cs="Times New Roman"/>
          <w:sz w:val="24"/>
          <w:szCs w:val="24"/>
          <w:lang w:val="lv-LV"/>
        </w:rPr>
        <w:t>a</w:t>
      </w:r>
      <w:r w:rsidR="001241EB" w:rsidRPr="00EA6383">
        <w:rPr>
          <w:rFonts w:ascii="Times New Roman" w:hAnsi="Times New Roman" w:cs="Times New Roman"/>
          <w:sz w:val="24"/>
          <w:szCs w:val="24"/>
          <w:lang w:val="lv-LV"/>
        </w:rPr>
        <w:t xml:space="preserve"> 2</w:t>
      </w:r>
      <w:r w:rsidR="00EB411F" w:rsidRPr="00EA6383">
        <w:rPr>
          <w:rFonts w:ascii="Times New Roman" w:hAnsi="Times New Roman" w:cs="Times New Roman"/>
          <w:sz w:val="24"/>
          <w:szCs w:val="24"/>
          <w:lang w:val="lv-LV"/>
        </w:rPr>
        <w:t> </w:t>
      </w:r>
      <w:r w:rsidR="001241EB" w:rsidRPr="00EA6383">
        <w:rPr>
          <w:rFonts w:ascii="Times New Roman" w:hAnsi="Times New Roman" w:cs="Times New Roman"/>
          <w:sz w:val="24"/>
          <w:szCs w:val="24"/>
          <w:lang w:val="lv-LV"/>
        </w:rPr>
        <w:t>143</w:t>
      </w:r>
      <w:r w:rsidR="00EB411F" w:rsidRPr="00EA6383">
        <w:rPr>
          <w:rFonts w:ascii="Times New Roman" w:hAnsi="Times New Roman" w:cs="Times New Roman"/>
          <w:sz w:val="24"/>
          <w:szCs w:val="24"/>
          <w:lang w:val="lv-LV"/>
        </w:rPr>
        <w:t> </w:t>
      </w:r>
      <w:r w:rsidR="001241EB" w:rsidRPr="00EA6383">
        <w:rPr>
          <w:rFonts w:ascii="Times New Roman" w:hAnsi="Times New Roman" w:cs="Times New Roman"/>
          <w:sz w:val="24"/>
          <w:szCs w:val="24"/>
          <w:lang w:val="lv-LV"/>
        </w:rPr>
        <w:t xml:space="preserve">000 </w:t>
      </w:r>
      <w:proofErr w:type="spellStart"/>
      <w:r w:rsidR="001241EB" w:rsidRPr="00EA6383">
        <w:rPr>
          <w:rFonts w:ascii="Times New Roman" w:hAnsi="Times New Roman" w:cs="Times New Roman"/>
          <w:i/>
          <w:sz w:val="24"/>
          <w:szCs w:val="24"/>
          <w:lang w:val="lv-LV"/>
        </w:rPr>
        <w:t>euro</w:t>
      </w:r>
      <w:proofErr w:type="spellEnd"/>
      <w:r w:rsidR="001241EB" w:rsidRPr="00EA6383">
        <w:rPr>
          <w:rFonts w:ascii="Times New Roman" w:hAnsi="Times New Roman" w:cs="Times New Roman"/>
          <w:sz w:val="24"/>
          <w:szCs w:val="24"/>
          <w:lang w:val="lv-LV"/>
        </w:rPr>
        <w:t>, pieteicējai nebija jāiesniedz apvienošanās ziņojums.</w:t>
      </w:r>
    </w:p>
    <w:p w:rsidR="009429E9" w:rsidRPr="00EA6383" w:rsidRDefault="00352676"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w:t>
      </w:r>
      <w:r w:rsidR="001241EB" w:rsidRPr="00EA6383">
        <w:rPr>
          <w:rFonts w:ascii="Times New Roman" w:hAnsi="Times New Roman" w:cs="Times New Roman"/>
          <w:sz w:val="24"/>
          <w:szCs w:val="24"/>
          <w:lang w:val="lv-LV"/>
        </w:rPr>
        <w:t>4.3</w:t>
      </w:r>
      <w:r w:rsidRPr="00EA6383">
        <w:rPr>
          <w:rFonts w:ascii="Times New Roman" w:hAnsi="Times New Roman" w:cs="Times New Roman"/>
          <w:sz w:val="24"/>
          <w:szCs w:val="24"/>
          <w:lang w:val="lv-LV"/>
        </w:rPr>
        <w:t xml:space="preserve">] </w:t>
      </w:r>
      <w:r w:rsidR="009429E9" w:rsidRPr="00EA6383">
        <w:rPr>
          <w:rFonts w:ascii="Times New Roman" w:hAnsi="Times New Roman" w:cs="Times New Roman"/>
          <w:sz w:val="24"/>
          <w:szCs w:val="24"/>
          <w:lang w:val="lv-LV"/>
        </w:rPr>
        <w:t>Padomes skaidrojums, ka</w:t>
      </w:r>
      <w:r w:rsidR="001241EB" w:rsidRPr="00EA6383">
        <w:rPr>
          <w:rFonts w:ascii="Times New Roman" w:hAnsi="Times New Roman" w:cs="Times New Roman"/>
          <w:sz w:val="24"/>
          <w:szCs w:val="24"/>
          <w:lang w:val="lv-LV"/>
        </w:rPr>
        <w:t>,</w:t>
      </w:r>
      <w:r w:rsidR="009429E9" w:rsidRPr="00EA6383">
        <w:rPr>
          <w:rFonts w:ascii="Times New Roman" w:hAnsi="Times New Roman" w:cs="Times New Roman"/>
          <w:sz w:val="24"/>
          <w:szCs w:val="24"/>
          <w:lang w:val="lv-LV"/>
        </w:rPr>
        <w:t xml:space="preserve"> aprēķinot dalībnieku apgrozījumu tieši mazumtirdzniecības nozarē, ir jāņem vērā tā mazumtirgotāja apgrozījums, kas plāno nomāt telpas, un mazumtirgotāja apgrozījums, kas iepriekš nomājis šīs pašas telpas, ir pretējs normatīvajiem aktiem. Šāds regulējums nav paredzēts ārējā normatīvajā aktā. Turklāt šādi kritēriji nav skaidri un pieejami pašiem apvienošanās dalībniekiem. Proti, informāciju par iepriekšējā nomnieka apgrozījumu pieteicējai nav iespējams iegūt pašai. </w:t>
      </w:r>
      <w:r w:rsidR="001241EB" w:rsidRPr="00EA6383">
        <w:rPr>
          <w:rFonts w:ascii="Times New Roman" w:hAnsi="Times New Roman" w:cs="Times New Roman"/>
          <w:sz w:val="24"/>
          <w:szCs w:val="24"/>
          <w:lang w:val="lv-LV"/>
        </w:rPr>
        <w:t>Padome nelabvēlīgu administratīvo aktu nevarēja pamatot ar šo skaidrojumu, jo tas ir iekšējais normatīvais akts.</w:t>
      </w:r>
    </w:p>
    <w:p w:rsidR="009429E9" w:rsidRPr="00EA6383" w:rsidRDefault="001241EB"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 </w:t>
      </w:r>
      <w:r w:rsidR="009429E9" w:rsidRPr="00EA6383">
        <w:rPr>
          <w:rFonts w:ascii="Times New Roman" w:hAnsi="Times New Roman" w:cs="Times New Roman"/>
          <w:sz w:val="24"/>
          <w:szCs w:val="24"/>
          <w:lang w:val="lv-LV"/>
        </w:rPr>
        <w:t>[</w:t>
      </w:r>
      <w:r w:rsidRPr="00EA6383">
        <w:rPr>
          <w:rFonts w:ascii="Times New Roman" w:hAnsi="Times New Roman" w:cs="Times New Roman"/>
          <w:sz w:val="24"/>
          <w:szCs w:val="24"/>
          <w:lang w:val="lv-LV"/>
        </w:rPr>
        <w:t>4.4</w:t>
      </w:r>
      <w:r w:rsidR="009429E9" w:rsidRPr="00EA6383">
        <w:rPr>
          <w:rFonts w:ascii="Times New Roman" w:hAnsi="Times New Roman" w:cs="Times New Roman"/>
          <w:sz w:val="24"/>
          <w:szCs w:val="24"/>
          <w:lang w:val="lv-LV"/>
        </w:rPr>
        <w:t xml:space="preserve">] Tiesa nav izvērtējusi padomes uzliktā soda apmēra pamatojumu, tiesiskumu un tā atbilstību lietderības apsvērumiem. No lēmuma </w:t>
      </w:r>
      <w:r w:rsidRPr="00EA6383">
        <w:rPr>
          <w:rFonts w:ascii="Times New Roman" w:hAnsi="Times New Roman" w:cs="Times New Roman"/>
          <w:sz w:val="24"/>
          <w:szCs w:val="24"/>
          <w:lang w:val="lv-LV"/>
        </w:rPr>
        <w:t>neizriet</w:t>
      </w:r>
      <w:r w:rsidR="009429E9" w:rsidRPr="00EA6383">
        <w:rPr>
          <w:rFonts w:ascii="Times New Roman" w:hAnsi="Times New Roman" w:cs="Times New Roman"/>
          <w:sz w:val="24"/>
          <w:szCs w:val="24"/>
          <w:lang w:val="lv-LV"/>
        </w:rPr>
        <w:t xml:space="preserve"> kritēriji, pamatojoties</w:t>
      </w:r>
      <w:proofErr w:type="gramStart"/>
      <w:r w:rsidR="009429E9" w:rsidRPr="00EA6383">
        <w:rPr>
          <w:rFonts w:ascii="Times New Roman" w:hAnsi="Times New Roman" w:cs="Times New Roman"/>
          <w:sz w:val="24"/>
          <w:szCs w:val="24"/>
          <w:lang w:val="lv-LV"/>
        </w:rPr>
        <w:t xml:space="preserve"> uz kuriem veikts naudas soda samazinājums tieši konkrētajā apmērā</w:t>
      </w:r>
      <w:proofErr w:type="gramEnd"/>
      <w:r w:rsidR="009429E9" w:rsidRPr="00EA6383">
        <w:rPr>
          <w:rFonts w:ascii="Times New Roman" w:hAnsi="Times New Roman" w:cs="Times New Roman"/>
          <w:sz w:val="24"/>
          <w:szCs w:val="24"/>
          <w:lang w:val="lv-LV"/>
        </w:rPr>
        <w:t xml:space="preserve">. </w:t>
      </w:r>
    </w:p>
    <w:p w:rsidR="00420389" w:rsidRPr="00EA6383" w:rsidRDefault="00420389" w:rsidP="00730081">
      <w:pPr>
        <w:spacing w:after="0"/>
        <w:ind w:firstLine="540"/>
        <w:jc w:val="both"/>
        <w:rPr>
          <w:rFonts w:ascii="Times New Roman" w:hAnsi="Times New Roman" w:cs="Times New Roman"/>
          <w:sz w:val="24"/>
          <w:szCs w:val="24"/>
          <w:lang w:val="lv-LV"/>
        </w:rPr>
      </w:pPr>
    </w:p>
    <w:p w:rsidR="00EC65F1" w:rsidRPr="00EA6383" w:rsidRDefault="00EC65F1" w:rsidP="00730081">
      <w:pPr>
        <w:spacing w:after="0"/>
        <w:ind w:firstLine="567"/>
        <w:jc w:val="center"/>
        <w:rPr>
          <w:rFonts w:ascii="Times New Roman" w:hAnsi="Times New Roman" w:cs="Times New Roman"/>
          <w:sz w:val="24"/>
          <w:szCs w:val="24"/>
          <w:lang w:val="lv-LV"/>
        </w:rPr>
      </w:pPr>
      <w:r w:rsidRPr="00EA6383">
        <w:rPr>
          <w:rFonts w:ascii="Times New Roman" w:hAnsi="Times New Roman" w:cs="Times New Roman"/>
          <w:b/>
          <w:sz w:val="24"/>
          <w:szCs w:val="24"/>
          <w:lang w:val="lv-LV"/>
        </w:rPr>
        <w:lastRenderedPageBreak/>
        <w:t>Motīvu daļa</w:t>
      </w:r>
    </w:p>
    <w:p w:rsidR="00EC65F1" w:rsidRPr="00EA6383" w:rsidRDefault="00EC65F1" w:rsidP="00730081">
      <w:pPr>
        <w:spacing w:after="0"/>
        <w:ind w:firstLine="540"/>
        <w:jc w:val="both"/>
        <w:rPr>
          <w:rFonts w:ascii="Times New Roman" w:hAnsi="Times New Roman" w:cs="Times New Roman"/>
          <w:sz w:val="24"/>
          <w:szCs w:val="24"/>
          <w:lang w:val="lv-LV"/>
        </w:rPr>
      </w:pPr>
    </w:p>
    <w:p w:rsidR="00ED684B" w:rsidRPr="00EA6383" w:rsidRDefault="00ED684B"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w:t>
      </w:r>
      <w:r w:rsidR="00145434" w:rsidRPr="00EA6383">
        <w:rPr>
          <w:rFonts w:ascii="Times New Roman" w:hAnsi="Times New Roman" w:cs="Times New Roman"/>
          <w:sz w:val="24"/>
          <w:szCs w:val="24"/>
          <w:lang w:val="lv-LV"/>
        </w:rPr>
        <w:t>5</w:t>
      </w:r>
      <w:r w:rsidRPr="00EA6383">
        <w:rPr>
          <w:rFonts w:ascii="Times New Roman" w:hAnsi="Times New Roman" w:cs="Times New Roman"/>
          <w:sz w:val="24"/>
          <w:szCs w:val="24"/>
          <w:lang w:val="lv-LV"/>
        </w:rPr>
        <w:t xml:space="preserve">] </w:t>
      </w:r>
      <w:r w:rsidR="00145434" w:rsidRPr="00EA6383">
        <w:rPr>
          <w:rFonts w:ascii="Times New Roman" w:hAnsi="Times New Roman" w:cs="Times New Roman"/>
          <w:sz w:val="24"/>
          <w:szCs w:val="24"/>
          <w:lang w:val="lv-LV"/>
        </w:rPr>
        <w:t xml:space="preserve">Iebilstot pret pārkāpuma kvalifikāciju, pieteicēja norāda, ka nav vērtēti tās argumenti, ka patiesībā nenotika apvienošanās. Tam nevar piekrist. Apgabaltiesa ir pārbaudījusi Konkurences padomes lēmuma argumentāciju un pēc tās konstatējusi, ka pastāvēja visi likumā noteiktie apstākļi, kuros pieteicējai laikus vajadzēja paziņot padomei par apvienošanos. Būtībā tas sniedz pietiekamu atbildi par to, vai bija pamats piemērot Konkurences likuma </w:t>
      </w:r>
      <w:proofErr w:type="gramStart"/>
      <w:r w:rsidR="00145434" w:rsidRPr="00EA6383">
        <w:rPr>
          <w:rFonts w:ascii="Times New Roman" w:hAnsi="Times New Roman" w:cs="Times New Roman"/>
          <w:sz w:val="24"/>
          <w:szCs w:val="24"/>
          <w:lang w:val="lv-LV"/>
        </w:rPr>
        <w:t>15.panta</w:t>
      </w:r>
      <w:proofErr w:type="gramEnd"/>
      <w:r w:rsidR="00145434" w:rsidRPr="00EA6383">
        <w:rPr>
          <w:rFonts w:ascii="Times New Roman" w:hAnsi="Times New Roman" w:cs="Times New Roman"/>
          <w:sz w:val="24"/>
          <w:szCs w:val="24"/>
          <w:lang w:val="lv-LV"/>
        </w:rPr>
        <w:t xml:space="preserve"> otro daļu un normas, kas paredz sekas par ziņojuma neiesniegšanu. Tas, ka nav izvērstas argumentācijas par katru pieteicējas norādīto iebildumu, pats par sevi nav pamats apgabaltiesas sprieduma atzīšanai par nepamatotu.</w:t>
      </w:r>
    </w:p>
    <w:p w:rsidR="00145434" w:rsidRPr="00EA6383" w:rsidRDefault="00145434" w:rsidP="00730081">
      <w:pPr>
        <w:spacing w:after="0"/>
        <w:ind w:firstLine="540"/>
        <w:jc w:val="both"/>
        <w:rPr>
          <w:rFonts w:ascii="Times New Roman" w:hAnsi="Times New Roman" w:cs="Times New Roman"/>
          <w:sz w:val="24"/>
          <w:szCs w:val="24"/>
          <w:lang w:val="lv-LV"/>
        </w:rPr>
      </w:pPr>
    </w:p>
    <w:p w:rsidR="00145434" w:rsidRPr="00EA6383" w:rsidRDefault="00145434"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[6] Pārbaudot pieteicējas argumentus, arī tiesnešu kolēģijai nerodas šaubas par apgabaltiesas sprieduma tiesiskumu.</w:t>
      </w:r>
    </w:p>
    <w:p w:rsidR="00145434" w:rsidRPr="00EA6383" w:rsidRDefault="00145434" w:rsidP="00730081">
      <w:pPr>
        <w:spacing w:after="0"/>
        <w:ind w:firstLine="540"/>
        <w:jc w:val="both"/>
        <w:rPr>
          <w:rFonts w:ascii="Times New Roman" w:hAnsi="Times New Roman" w:cs="Times New Roman"/>
          <w:sz w:val="24"/>
          <w:szCs w:val="24"/>
          <w:lang w:val="lv-LV"/>
        </w:rPr>
      </w:pPr>
    </w:p>
    <w:p w:rsidR="00145434" w:rsidRPr="00EA6383" w:rsidRDefault="00145434"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[7] </w:t>
      </w:r>
      <w:r w:rsidR="0024405E" w:rsidRPr="00EA6383">
        <w:rPr>
          <w:rFonts w:ascii="Times New Roman" w:hAnsi="Times New Roman" w:cs="Times New Roman"/>
          <w:sz w:val="24"/>
          <w:szCs w:val="24"/>
          <w:lang w:val="lv-LV"/>
        </w:rPr>
        <w:t xml:space="preserve">Atsaucoties uz Konkurences likuma </w:t>
      </w:r>
      <w:proofErr w:type="gramStart"/>
      <w:r w:rsidR="0024405E" w:rsidRPr="00EA6383">
        <w:rPr>
          <w:rFonts w:ascii="Times New Roman" w:hAnsi="Times New Roman" w:cs="Times New Roman"/>
          <w:sz w:val="24"/>
          <w:szCs w:val="24"/>
          <w:lang w:val="lv-LV"/>
        </w:rPr>
        <w:t>15.panta</w:t>
      </w:r>
      <w:proofErr w:type="gramEnd"/>
      <w:r w:rsidR="0024405E" w:rsidRPr="00EA6383">
        <w:rPr>
          <w:rFonts w:ascii="Times New Roman" w:hAnsi="Times New Roman" w:cs="Times New Roman"/>
          <w:sz w:val="24"/>
          <w:szCs w:val="24"/>
          <w:lang w:val="lv-LV"/>
        </w:rPr>
        <w:t xml:space="preserve"> pirmās daļas 3.punktu un uz Komisijas paziņojumu, pieteicēja norāda, ka nomātās tirdzniecības telpas nevar tikt uzskatītas par tādām, kuras mazumtirgotājs (pieteicēja) varēja uzreiz un bez papildu investīcijām izmantot, uzsākot darbību tirgū. Pieteicējas ieskatā, šīs lietas ietvaros tirdzniecības centra telpas nevar tikt uzskatītas par tādiem aktīviem, kas spēj patstāvīgi radīt apgrozījumu jaunajam lietotājam.</w:t>
      </w:r>
    </w:p>
    <w:p w:rsidR="0024405E" w:rsidRPr="00EA6383" w:rsidRDefault="0024405E"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Tiesnešu kolēģijai nav šaubu, ka pieteicējai noteikti bija nepieciešams piemērot nomātās lielveikala telpas sava uzņēmuma vajadzībām un savai tirdzniecības politikai. Būtībā tas ir parasti sagaidāms, kad viens tirgus dalībnieks pārņem cita tirgus dalībnieka aktīvus. </w:t>
      </w:r>
      <w:r w:rsidR="00B33D94" w:rsidRPr="00EA6383">
        <w:rPr>
          <w:rFonts w:ascii="Times New Roman" w:hAnsi="Times New Roman" w:cs="Times New Roman"/>
          <w:sz w:val="24"/>
          <w:szCs w:val="24"/>
          <w:lang w:val="lv-LV"/>
        </w:rPr>
        <w:t xml:space="preserve">Tomēr </w:t>
      </w:r>
      <w:r w:rsidRPr="00EA6383">
        <w:rPr>
          <w:rFonts w:ascii="Times New Roman" w:hAnsi="Times New Roman" w:cs="Times New Roman"/>
          <w:sz w:val="24"/>
          <w:szCs w:val="24"/>
          <w:lang w:val="lv-LV"/>
        </w:rPr>
        <w:t xml:space="preserve">Konkurences padomes lēmumā ir sniegti no ekonomiskā viedokļa </w:t>
      </w:r>
      <w:r w:rsidR="00B33D94" w:rsidRPr="00EA6383">
        <w:rPr>
          <w:rFonts w:ascii="Times New Roman" w:hAnsi="Times New Roman" w:cs="Times New Roman"/>
          <w:sz w:val="24"/>
          <w:szCs w:val="24"/>
          <w:lang w:val="lv-LV"/>
        </w:rPr>
        <w:t xml:space="preserve">reālistiski </w:t>
      </w:r>
      <w:r w:rsidRPr="00EA6383">
        <w:rPr>
          <w:rFonts w:ascii="Times New Roman" w:hAnsi="Times New Roman" w:cs="Times New Roman"/>
          <w:sz w:val="24"/>
          <w:szCs w:val="24"/>
          <w:lang w:val="lv-LV"/>
        </w:rPr>
        <w:t xml:space="preserve">uz konkrēto gadījumu attiecināmi argumenti, kāpēc aktīviem tomēr piemita spēja piesaistīt agrākā nomnieka tirgus daļu: </w:t>
      </w:r>
      <w:r w:rsidR="00B33D94" w:rsidRPr="00EA6383">
        <w:rPr>
          <w:rFonts w:ascii="Times New Roman" w:hAnsi="Times New Roman" w:cs="Times New Roman"/>
          <w:sz w:val="24"/>
          <w:szCs w:val="24"/>
          <w:lang w:val="lv-LV"/>
        </w:rPr>
        <w:t xml:space="preserve">pirms pieteicējs telpas nomāja tā paša tirgus (mazumtirdzniecība) dalībnieks, kurā darbojas pieteicēja; pieteicēja minētajā telpās izvietoja līdzīga vai gandrīz identiska rakstura un preču sortimenta struktūrvienību; iepriekšējā nomnieka saimnieciskā darbība attiecīgajās telpās bija ilgstoša (7 gadi), tā rezultātā patērētājos tika nodibināts zināms pieradums un tradīcijas iepirkšanās ziņā, kas garantē arī zināmu patērētāju un klientu loku. Nepastāv apstākļi, kas liecinātu par pretējo (ilgs pārtraukums telpu lietošanā, neliela tirgus daļa utt.). </w:t>
      </w:r>
      <w:r w:rsidR="00147924" w:rsidRPr="00EA6383">
        <w:rPr>
          <w:rFonts w:ascii="Times New Roman" w:hAnsi="Times New Roman" w:cs="Times New Roman"/>
          <w:sz w:val="24"/>
          <w:szCs w:val="24"/>
          <w:lang w:val="lv-LV"/>
        </w:rPr>
        <w:t>Arī t</w:t>
      </w:r>
      <w:r w:rsidR="00B33D94" w:rsidRPr="00EA6383">
        <w:rPr>
          <w:rFonts w:ascii="Times New Roman" w:hAnsi="Times New Roman" w:cs="Times New Roman"/>
          <w:sz w:val="24"/>
          <w:szCs w:val="24"/>
          <w:lang w:val="lv-LV"/>
        </w:rPr>
        <w:t xml:space="preserve">iesnešu kolēģijai, </w:t>
      </w:r>
      <w:r w:rsidR="00147924" w:rsidRPr="00EA6383">
        <w:rPr>
          <w:rFonts w:ascii="Times New Roman" w:hAnsi="Times New Roman" w:cs="Times New Roman"/>
          <w:sz w:val="24"/>
          <w:szCs w:val="24"/>
          <w:lang w:val="lv-LV"/>
        </w:rPr>
        <w:t xml:space="preserve">vērtējot Konkurences padomes argumentāciju un </w:t>
      </w:r>
      <w:r w:rsidR="00B33D94" w:rsidRPr="00EA6383">
        <w:rPr>
          <w:rFonts w:ascii="Times New Roman" w:hAnsi="Times New Roman" w:cs="Times New Roman"/>
          <w:sz w:val="24"/>
          <w:szCs w:val="24"/>
          <w:lang w:val="lv-LV"/>
        </w:rPr>
        <w:t xml:space="preserve">ņemot vērā dzīvē gūtos novērojumus, nešķiet, ka esošu lielveikala telpu pielāgošana cita tirgotāja tirdzniecības vajadzībām prasītu tādas investīcijas, kas, samērojot ar </w:t>
      </w:r>
      <w:r w:rsidR="0075695B" w:rsidRPr="00EA6383">
        <w:rPr>
          <w:rFonts w:ascii="Times New Roman" w:hAnsi="Times New Roman" w:cs="Times New Roman"/>
          <w:sz w:val="24"/>
          <w:szCs w:val="24"/>
          <w:lang w:val="lv-LV"/>
        </w:rPr>
        <w:t>ieguvumiem no tradicionāli apmeklēta tirdzniecības centra spēj</w:t>
      </w:r>
      <w:r w:rsidR="003F057F" w:rsidRPr="00EA6383">
        <w:rPr>
          <w:rFonts w:ascii="Times New Roman" w:hAnsi="Times New Roman" w:cs="Times New Roman"/>
          <w:sz w:val="24"/>
          <w:szCs w:val="24"/>
          <w:lang w:val="lv-LV"/>
        </w:rPr>
        <w:t>as</w:t>
      </w:r>
      <w:r w:rsidR="0075695B" w:rsidRPr="00EA6383">
        <w:rPr>
          <w:rFonts w:ascii="Times New Roman" w:hAnsi="Times New Roman" w:cs="Times New Roman"/>
          <w:sz w:val="24"/>
          <w:szCs w:val="24"/>
          <w:lang w:val="lv-LV"/>
        </w:rPr>
        <w:t xml:space="preserve"> piesaistīt tirgus apgrozījumu, liktu to uzskatīt par patstāvīgu </w:t>
      </w:r>
      <w:r w:rsidR="00147924" w:rsidRPr="00EA6383">
        <w:rPr>
          <w:rFonts w:ascii="Times New Roman" w:hAnsi="Times New Roman" w:cs="Times New Roman"/>
          <w:sz w:val="24"/>
          <w:szCs w:val="24"/>
          <w:lang w:val="lv-LV"/>
        </w:rPr>
        <w:t xml:space="preserve">jaunas </w:t>
      </w:r>
      <w:r w:rsidR="0075695B" w:rsidRPr="00EA6383">
        <w:rPr>
          <w:rFonts w:ascii="Times New Roman" w:hAnsi="Times New Roman" w:cs="Times New Roman"/>
          <w:sz w:val="24"/>
          <w:szCs w:val="24"/>
          <w:lang w:val="lv-LV"/>
        </w:rPr>
        <w:t xml:space="preserve">tirgus </w:t>
      </w:r>
      <w:r w:rsidR="003F057F" w:rsidRPr="00EA6383">
        <w:rPr>
          <w:rFonts w:ascii="Times New Roman" w:hAnsi="Times New Roman" w:cs="Times New Roman"/>
          <w:sz w:val="24"/>
          <w:szCs w:val="24"/>
          <w:lang w:val="lv-LV"/>
        </w:rPr>
        <w:t xml:space="preserve">daļas </w:t>
      </w:r>
      <w:r w:rsidR="0075695B" w:rsidRPr="00EA6383">
        <w:rPr>
          <w:rFonts w:ascii="Times New Roman" w:hAnsi="Times New Roman" w:cs="Times New Roman"/>
          <w:sz w:val="24"/>
          <w:szCs w:val="24"/>
          <w:lang w:val="lv-LV"/>
        </w:rPr>
        <w:t>iekarošanu.</w:t>
      </w:r>
    </w:p>
    <w:p w:rsidR="0018355C" w:rsidRPr="00EA6383" w:rsidRDefault="0018355C" w:rsidP="00730081">
      <w:pPr>
        <w:spacing w:after="0"/>
        <w:ind w:firstLine="540"/>
        <w:jc w:val="both"/>
        <w:rPr>
          <w:rFonts w:ascii="Times New Roman" w:hAnsi="Times New Roman" w:cs="Times New Roman"/>
          <w:sz w:val="24"/>
          <w:szCs w:val="24"/>
          <w:lang w:val="lv-LV"/>
        </w:rPr>
      </w:pPr>
    </w:p>
    <w:p w:rsidR="0018355C" w:rsidRPr="00EA6383" w:rsidRDefault="0018355C"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[8] Pieteicēja argumentē, ka aktīvi bija būtiski apgrūtināti ar hipotēkām, pastāv būtisku zaudējumu riski, ņemot vērā veiktos ieguldījumus, kā arī pastāvēja ierobežojumi nomas telpu izmantošanai saimnieciskajai darbībai pēc pieteicējas pašas ieskatiem.</w:t>
      </w:r>
    </w:p>
    <w:p w:rsidR="0018355C" w:rsidRPr="00EA6383" w:rsidRDefault="0018355C"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Ciktāl šie argumenti ir vēlme norādīt uz pieteicējas investīciju nozīmību, tiesnešu kolēģijai jau iepriekš norādītā iemesla dēļ nerodas šaubas par aktīvu pārņemšanas atbilstību apvienošanās jēdzienam. Saimnieciskās brīvības ierobežojumam nav nozīmes, jo, vērtējot aktīvu nozīmi šīs apvienošanās kontekstā, ir būtiski konstatēt sakritību starp agrākā nomnieka un pieteicējas saimniecisko darbību. Šie ierobežojumi </w:t>
      </w:r>
      <w:r w:rsidR="007F22F1" w:rsidRPr="00EA6383">
        <w:rPr>
          <w:rFonts w:ascii="Times New Roman" w:hAnsi="Times New Roman" w:cs="Times New Roman"/>
          <w:sz w:val="24"/>
          <w:szCs w:val="24"/>
          <w:lang w:val="lv-LV"/>
        </w:rPr>
        <w:t>nekādi neierobežo</w:t>
      </w:r>
      <w:r w:rsidRPr="00EA6383">
        <w:rPr>
          <w:rFonts w:ascii="Times New Roman" w:hAnsi="Times New Roman" w:cs="Times New Roman"/>
          <w:sz w:val="24"/>
          <w:szCs w:val="24"/>
          <w:lang w:val="lv-LV"/>
        </w:rPr>
        <w:t xml:space="preserve"> aktīvu prognozēto spēju piesaistīt pieprasījumu tajā pašā tirgū.</w:t>
      </w:r>
    </w:p>
    <w:p w:rsidR="0018355C" w:rsidRPr="00EA6383" w:rsidRDefault="0018355C"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lastRenderedPageBreak/>
        <w:t>Ja savukārt pieteicēja ar to vēlas norādīt uz aktīvu pārņemšanas iespējamo nepastāvīgo raksturu</w:t>
      </w:r>
      <w:r w:rsidR="007F22F1" w:rsidRPr="00EA6383">
        <w:rPr>
          <w:rFonts w:ascii="Times New Roman" w:hAnsi="Times New Roman" w:cs="Times New Roman"/>
          <w:sz w:val="24"/>
          <w:szCs w:val="24"/>
          <w:lang w:val="lv-LV"/>
        </w:rPr>
        <w:t xml:space="preserve"> </w:t>
      </w:r>
      <w:r w:rsidR="003F057F" w:rsidRPr="00EA6383">
        <w:rPr>
          <w:rFonts w:ascii="Times New Roman" w:hAnsi="Times New Roman" w:cs="Times New Roman"/>
          <w:sz w:val="24"/>
          <w:szCs w:val="24"/>
          <w:lang w:val="lv-LV"/>
        </w:rPr>
        <w:t>(</w:t>
      </w:r>
      <w:r w:rsidR="007F22F1" w:rsidRPr="00EA6383">
        <w:rPr>
          <w:rFonts w:ascii="Times New Roman" w:hAnsi="Times New Roman" w:cs="Times New Roman"/>
          <w:sz w:val="24"/>
          <w:szCs w:val="24"/>
          <w:lang w:val="lv-LV"/>
        </w:rPr>
        <w:t>ka tirgū varētu nenotikt strukturālas izmaiņas</w:t>
      </w:r>
      <w:r w:rsidR="003F057F" w:rsidRPr="00EA6383">
        <w:rPr>
          <w:rFonts w:ascii="Times New Roman" w:hAnsi="Times New Roman" w:cs="Times New Roman"/>
          <w:sz w:val="24"/>
          <w:szCs w:val="24"/>
          <w:lang w:val="lv-LV"/>
        </w:rPr>
        <w:t>)</w:t>
      </w:r>
      <w:r w:rsidRPr="00EA6383">
        <w:rPr>
          <w:rFonts w:ascii="Times New Roman" w:hAnsi="Times New Roman" w:cs="Times New Roman"/>
          <w:sz w:val="24"/>
          <w:szCs w:val="24"/>
          <w:lang w:val="lv-LV"/>
        </w:rPr>
        <w:t>,</w:t>
      </w:r>
      <w:r w:rsidR="007F22F1" w:rsidRPr="00EA6383">
        <w:rPr>
          <w:rFonts w:ascii="Times New Roman" w:hAnsi="Times New Roman" w:cs="Times New Roman"/>
          <w:sz w:val="24"/>
          <w:szCs w:val="24"/>
          <w:lang w:val="lv-LV"/>
        </w:rPr>
        <w:t xml:space="preserve"> tad arī tas nerada šaubas par Konkurences padomes lēmuma un apgabaltiesas sprieduma pamatotību. Konkurences padomei nav jāvadās no pieņēmuma, ka pieteicējas biznesa plāns ir lemts neveiksmei un tādēļ nebūs ilgstošs; ir pamatoti pieņemt, ka komersants ir novērtējis riskus un biznesa plāna dzīvotspēju.</w:t>
      </w:r>
    </w:p>
    <w:p w:rsidR="00EB411F" w:rsidRPr="00EA6383" w:rsidRDefault="00EB411F" w:rsidP="00730081">
      <w:pPr>
        <w:spacing w:after="0"/>
        <w:ind w:firstLine="540"/>
        <w:jc w:val="both"/>
        <w:rPr>
          <w:rFonts w:ascii="Times New Roman" w:hAnsi="Times New Roman" w:cs="Times New Roman"/>
          <w:sz w:val="24"/>
          <w:szCs w:val="24"/>
          <w:lang w:val="lv-LV"/>
        </w:rPr>
      </w:pPr>
    </w:p>
    <w:p w:rsidR="00EB2230" w:rsidRPr="00EA6383" w:rsidRDefault="00B13337"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[9] </w:t>
      </w:r>
      <w:r w:rsidR="000559E4" w:rsidRPr="00EA6383">
        <w:rPr>
          <w:rFonts w:ascii="Times New Roman" w:hAnsi="Times New Roman" w:cs="Times New Roman"/>
          <w:sz w:val="24"/>
          <w:szCs w:val="24"/>
          <w:lang w:val="lv-LV"/>
        </w:rPr>
        <w:t xml:space="preserve">Pieteicēja iebilst pret apgabaltiesas secinājumu, ka Konkurences padome pareizi noteikusi apvienošanās dalībnieku apgrozījumu. </w:t>
      </w:r>
    </w:p>
    <w:p w:rsidR="000559E4" w:rsidRPr="00EA6383" w:rsidRDefault="000559E4"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Pieteicējas ieskatā, piemērojot Konkurences likuma </w:t>
      </w:r>
      <w:proofErr w:type="gramStart"/>
      <w:r w:rsidRPr="00EA6383">
        <w:rPr>
          <w:rFonts w:ascii="Times New Roman" w:hAnsi="Times New Roman" w:cs="Times New Roman"/>
          <w:sz w:val="24"/>
          <w:szCs w:val="24"/>
          <w:lang w:val="lv-LV"/>
        </w:rPr>
        <w:t>15.panta</w:t>
      </w:r>
      <w:proofErr w:type="gramEnd"/>
      <w:r w:rsidRPr="00EA6383">
        <w:rPr>
          <w:rFonts w:ascii="Times New Roman" w:hAnsi="Times New Roman" w:cs="Times New Roman"/>
          <w:sz w:val="24"/>
          <w:szCs w:val="24"/>
          <w:lang w:val="lv-LV"/>
        </w:rPr>
        <w:t xml:space="preserve"> 2.</w:t>
      </w:r>
      <w:r w:rsidRPr="00EA6383">
        <w:rPr>
          <w:rFonts w:ascii="Times New Roman" w:hAnsi="Times New Roman" w:cs="Times New Roman"/>
          <w:sz w:val="24"/>
          <w:szCs w:val="24"/>
          <w:vertAlign w:val="superscript"/>
          <w:lang w:val="lv-LV"/>
        </w:rPr>
        <w:t>1</w:t>
      </w:r>
      <w:r w:rsidRPr="00EA6383">
        <w:rPr>
          <w:rFonts w:ascii="Times New Roman" w:hAnsi="Times New Roman" w:cs="Times New Roman"/>
          <w:sz w:val="24"/>
          <w:szCs w:val="24"/>
          <w:lang w:val="lv-LV"/>
        </w:rPr>
        <w:t xml:space="preserve">daļas izņēmumu (par apvienošanos nav jāziņo, ja vienam no diviem apvienošanās dalībniekiem apgrozījums iepriekšējā finanšu gadā Latvijas teritorijā nepārsniedz 2 134 000 </w:t>
      </w:r>
      <w:proofErr w:type="spellStart"/>
      <w:r w:rsidRPr="00EA6383">
        <w:rPr>
          <w:rFonts w:ascii="Times New Roman" w:hAnsi="Times New Roman" w:cs="Times New Roman"/>
          <w:i/>
          <w:iCs/>
          <w:sz w:val="24"/>
          <w:szCs w:val="24"/>
          <w:lang w:val="lv-LV"/>
        </w:rPr>
        <w:t>euro</w:t>
      </w:r>
      <w:proofErr w:type="spellEnd"/>
      <w:r w:rsidRPr="00EA6383">
        <w:rPr>
          <w:rFonts w:ascii="Times New Roman" w:hAnsi="Times New Roman" w:cs="Times New Roman"/>
          <w:iCs/>
          <w:sz w:val="24"/>
          <w:szCs w:val="24"/>
          <w:lang w:val="lv-LV"/>
        </w:rPr>
        <w:t>)</w:t>
      </w:r>
      <w:r w:rsidRPr="00EA6383">
        <w:rPr>
          <w:rFonts w:ascii="Times New Roman" w:hAnsi="Times New Roman" w:cs="Times New Roman"/>
          <w:sz w:val="24"/>
          <w:szCs w:val="24"/>
          <w:lang w:val="lv-LV"/>
        </w:rPr>
        <w:t xml:space="preserve">, par apvienošanās dalībnieku </w:t>
      </w:r>
      <w:r w:rsidR="006529A9" w:rsidRPr="00EA6383">
        <w:rPr>
          <w:rFonts w:ascii="Times New Roman" w:hAnsi="Times New Roman" w:cs="Times New Roman"/>
          <w:sz w:val="24"/>
          <w:szCs w:val="24"/>
          <w:lang w:val="lv-LV"/>
        </w:rPr>
        <w:t xml:space="preserve">līdztekus pieteicējai </w:t>
      </w:r>
      <w:r w:rsidRPr="00EA6383">
        <w:rPr>
          <w:rFonts w:ascii="Times New Roman" w:hAnsi="Times New Roman" w:cs="Times New Roman"/>
          <w:sz w:val="24"/>
          <w:szCs w:val="24"/>
          <w:lang w:val="lv-LV"/>
        </w:rPr>
        <w:t>ir uzskatāms nevis iepriekšējais telpu nomnieks,</w:t>
      </w:r>
      <w:r w:rsidR="00EB2230" w:rsidRPr="00EA6383">
        <w:rPr>
          <w:rFonts w:ascii="Times New Roman" w:hAnsi="Times New Roman" w:cs="Times New Roman"/>
          <w:sz w:val="24"/>
          <w:szCs w:val="24"/>
          <w:lang w:val="lv-LV"/>
        </w:rPr>
        <w:t xml:space="preserve"> SIA</w:t>
      </w:r>
      <w:r w:rsidR="006E457E" w:rsidRPr="00EA6383">
        <w:rPr>
          <w:rFonts w:ascii="Times New Roman" w:hAnsi="Times New Roman" w:cs="Times New Roman"/>
          <w:sz w:val="24"/>
          <w:szCs w:val="24"/>
          <w:lang w:val="lv-LV"/>
        </w:rPr>
        <w:t> </w:t>
      </w:r>
      <w:r w:rsidR="00EB2230" w:rsidRPr="00EA6383">
        <w:rPr>
          <w:rFonts w:ascii="Times New Roman" w:hAnsi="Times New Roman" w:cs="Times New Roman"/>
          <w:sz w:val="24"/>
          <w:szCs w:val="24"/>
          <w:lang w:val="lv-LV"/>
        </w:rPr>
        <w:t xml:space="preserve">„RIMI </w:t>
      </w:r>
      <w:proofErr w:type="spellStart"/>
      <w:r w:rsidR="00EB2230" w:rsidRPr="00EA6383">
        <w:rPr>
          <w:rFonts w:ascii="Times New Roman" w:hAnsi="Times New Roman" w:cs="Times New Roman"/>
          <w:sz w:val="24"/>
          <w:szCs w:val="24"/>
          <w:lang w:val="lv-LV"/>
        </w:rPr>
        <w:t>Latvia</w:t>
      </w:r>
      <w:proofErr w:type="spellEnd"/>
      <w:r w:rsidR="00EB2230" w:rsidRPr="00EA6383">
        <w:rPr>
          <w:rFonts w:ascii="Times New Roman" w:hAnsi="Times New Roman" w:cs="Times New Roman"/>
          <w:sz w:val="24"/>
          <w:szCs w:val="24"/>
          <w:lang w:val="lv-LV"/>
        </w:rPr>
        <w:t>”,</w:t>
      </w:r>
      <w:r w:rsidRPr="00EA6383">
        <w:rPr>
          <w:rFonts w:ascii="Times New Roman" w:hAnsi="Times New Roman" w:cs="Times New Roman"/>
          <w:sz w:val="24"/>
          <w:szCs w:val="24"/>
          <w:lang w:val="lv-LV"/>
        </w:rPr>
        <w:t xml:space="preserve"> bet telpu iznomātājs</w:t>
      </w:r>
      <w:r w:rsidR="00EB2230" w:rsidRPr="00EA6383">
        <w:rPr>
          <w:rFonts w:ascii="Times New Roman" w:hAnsi="Times New Roman" w:cs="Times New Roman"/>
          <w:sz w:val="24"/>
          <w:szCs w:val="24"/>
          <w:lang w:val="lv-LV"/>
        </w:rPr>
        <w:t xml:space="preserve"> un konkrētā darījuma – nomas līguma – dalībnieks</w:t>
      </w:r>
      <w:r w:rsidRPr="00EA6383">
        <w:rPr>
          <w:rFonts w:ascii="Times New Roman" w:hAnsi="Times New Roman" w:cs="Times New Roman"/>
          <w:sz w:val="24"/>
          <w:szCs w:val="24"/>
          <w:lang w:val="lv-LV"/>
        </w:rPr>
        <w:t>, SIA</w:t>
      </w:r>
      <w:r w:rsidR="006E457E" w:rsidRPr="00EA6383">
        <w:rPr>
          <w:rFonts w:ascii="Times New Roman" w:hAnsi="Times New Roman" w:cs="Times New Roman"/>
          <w:sz w:val="24"/>
          <w:szCs w:val="24"/>
          <w:lang w:val="lv-LV"/>
        </w:rPr>
        <w:t> </w:t>
      </w:r>
      <w:r w:rsidRPr="00EA6383">
        <w:rPr>
          <w:rFonts w:ascii="Times New Roman" w:hAnsi="Times New Roman" w:cs="Times New Roman"/>
          <w:sz w:val="24"/>
          <w:szCs w:val="24"/>
          <w:lang w:val="lv-LV"/>
        </w:rPr>
        <w:t>„</w:t>
      </w:r>
      <w:proofErr w:type="spellStart"/>
      <w:r w:rsidRPr="00EA6383">
        <w:rPr>
          <w:rFonts w:ascii="Times New Roman" w:hAnsi="Times New Roman" w:cs="Times New Roman"/>
          <w:sz w:val="24"/>
          <w:szCs w:val="24"/>
          <w:lang w:val="lv-LV"/>
        </w:rPr>
        <w:t>Pells</w:t>
      </w:r>
      <w:r w:rsidR="00EB2230" w:rsidRPr="00EA6383">
        <w:rPr>
          <w:rFonts w:ascii="Times New Roman" w:hAnsi="Times New Roman" w:cs="Times New Roman"/>
          <w:sz w:val="24"/>
          <w:szCs w:val="24"/>
          <w:lang w:val="lv-LV"/>
        </w:rPr>
        <w:t>ton</w:t>
      </w:r>
      <w:proofErr w:type="spellEnd"/>
      <w:r w:rsidR="00EB2230" w:rsidRPr="00EA6383">
        <w:rPr>
          <w:rFonts w:ascii="Times New Roman" w:hAnsi="Times New Roman" w:cs="Times New Roman"/>
          <w:sz w:val="24"/>
          <w:szCs w:val="24"/>
          <w:lang w:val="lv-LV"/>
        </w:rPr>
        <w:t xml:space="preserve"> nami”.</w:t>
      </w:r>
    </w:p>
    <w:p w:rsidR="004A53E1" w:rsidRPr="00EA6383" w:rsidRDefault="00EB2230"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Šādam argumentam nevar piekrist. Tiesa, Konkurences padome ir vairākkārt nodēvējusi SIA „</w:t>
      </w:r>
      <w:proofErr w:type="spellStart"/>
      <w:r w:rsidRPr="00EA6383">
        <w:rPr>
          <w:rFonts w:ascii="Times New Roman" w:hAnsi="Times New Roman" w:cs="Times New Roman"/>
          <w:sz w:val="24"/>
          <w:szCs w:val="24"/>
          <w:lang w:val="lv-LV"/>
        </w:rPr>
        <w:t>Pellston</w:t>
      </w:r>
      <w:proofErr w:type="spellEnd"/>
      <w:r w:rsidRPr="00EA6383">
        <w:rPr>
          <w:rFonts w:ascii="Times New Roman" w:hAnsi="Times New Roman" w:cs="Times New Roman"/>
          <w:sz w:val="24"/>
          <w:szCs w:val="24"/>
          <w:lang w:val="lv-LV"/>
        </w:rPr>
        <w:t xml:space="preserve"> nami” par apvienošanās dalībnieku</w:t>
      </w:r>
      <w:r w:rsidR="00A81433" w:rsidRPr="00EA6383">
        <w:rPr>
          <w:rFonts w:ascii="Times New Roman" w:hAnsi="Times New Roman" w:cs="Times New Roman"/>
          <w:sz w:val="24"/>
          <w:szCs w:val="24"/>
          <w:lang w:val="lv-LV"/>
        </w:rPr>
        <w:t xml:space="preserve">, un arī padomes </w:t>
      </w:r>
      <w:proofErr w:type="gramStart"/>
      <w:r w:rsidR="00A81433" w:rsidRPr="00EA6383">
        <w:rPr>
          <w:rFonts w:ascii="Times New Roman" w:hAnsi="Times New Roman" w:cs="Times New Roman"/>
          <w:sz w:val="24"/>
          <w:szCs w:val="24"/>
          <w:lang w:val="lv-LV"/>
        </w:rPr>
        <w:t>mājas lapā</w:t>
      </w:r>
      <w:proofErr w:type="gramEnd"/>
      <w:r w:rsidR="00A81433" w:rsidRPr="00EA6383">
        <w:rPr>
          <w:rFonts w:ascii="Times New Roman" w:hAnsi="Times New Roman" w:cs="Times New Roman"/>
          <w:sz w:val="24"/>
          <w:szCs w:val="24"/>
          <w:lang w:val="lv-LV"/>
        </w:rPr>
        <w:t xml:space="preserve"> publicētajā skaidrojumā ir minēts, ka šāda veida gadījumos iznomātājs (aktīvu īpašnieks) ir apvienošanās dalībnieks</w:t>
      </w:r>
      <w:r w:rsidRPr="00EA6383">
        <w:rPr>
          <w:rFonts w:ascii="Times New Roman" w:hAnsi="Times New Roman" w:cs="Times New Roman"/>
          <w:sz w:val="24"/>
          <w:szCs w:val="24"/>
          <w:lang w:val="lv-LV"/>
        </w:rPr>
        <w:t xml:space="preserve">. Tomēr no </w:t>
      </w:r>
      <w:r w:rsidR="00A81433" w:rsidRPr="00EA6383">
        <w:rPr>
          <w:rFonts w:ascii="Times New Roman" w:hAnsi="Times New Roman" w:cs="Times New Roman"/>
          <w:sz w:val="24"/>
          <w:szCs w:val="24"/>
          <w:lang w:val="lv-LV"/>
        </w:rPr>
        <w:t xml:space="preserve">likuma, kā arī Konkurences padomes </w:t>
      </w:r>
      <w:r w:rsidRPr="00EA6383">
        <w:rPr>
          <w:rFonts w:ascii="Times New Roman" w:hAnsi="Times New Roman" w:cs="Times New Roman"/>
          <w:sz w:val="24"/>
          <w:szCs w:val="24"/>
          <w:lang w:val="lv-LV"/>
        </w:rPr>
        <w:t xml:space="preserve">lēmuma </w:t>
      </w:r>
      <w:r w:rsidR="006529A9" w:rsidRPr="00EA6383">
        <w:rPr>
          <w:rFonts w:ascii="Times New Roman" w:hAnsi="Times New Roman" w:cs="Times New Roman"/>
          <w:sz w:val="24"/>
          <w:szCs w:val="24"/>
          <w:lang w:val="lv-LV"/>
        </w:rPr>
        <w:t>kopumā un jo īpaši no daļas par apgrozījuma noteikšanu ir nepārprotami skaidrs, ka tirgus strukturālās izmaiņas tiek saskatītas tajā, ka pieteicēja turpmāk lietos tos aktīvus, kurus iepriekš lietoja cits mazumtirdzniecības tirgus dalībnieks. Tieši aktīvu izmantošana konkrētajā tirgū ir būtiska, vērtējot tirgus dalībnieku apvienošanos</w:t>
      </w:r>
      <w:r w:rsidR="004A53E1" w:rsidRPr="00EA6383">
        <w:rPr>
          <w:rFonts w:ascii="Times New Roman" w:hAnsi="Times New Roman" w:cs="Times New Roman"/>
          <w:sz w:val="24"/>
          <w:szCs w:val="24"/>
          <w:lang w:val="lv-LV"/>
        </w:rPr>
        <w:t xml:space="preserve"> un iespējamo koncentrāciju</w:t>
      </w:r>
      <w:r w:rsidR="006529A9" w:rsidRPr="00EA6383">
        <w:rPr>
          <w:rFonts w:ascii="Times New Roman" w:hAnsi="Times New Roman" w:cs="Times New Roman"/>
          <w:sz w:val="24"/>
          <w:szCs w:val="24"/>
          <w:lang w:val="lv-LV"/>
        </w:rPr>
        <w:t xml:space="preserve">, un šāds secinājums ir vienlīdz attiecināms uz jebkuru tirgu, ne tikai mazumtirdzniecību. </w:t>
      </w:r>
      <w:r w:rsidR="00A81433" w:rsidRPr="00EA6383">
        <w:rPr>
          <w:rFonts w:ascii="Times New Roman" w:hAnsi="Times New Roman" w:cs="Times New Roman"/>
          <w:sz w:val="24"/>
          <w:szCs w:val="24"/>
          <w:lang w:val="lv-LV"/>
        </w:rPr>
        <w:t xml:space="preserve">Tādēļ par apvienošanās dalībniekiem Konkurences likuma </w:t>
      </w:r>
      <w:proofErr w:type="gramStart"/>
      <w:r w:rsidR="00A81433" w:rsidRPr="00EA6383">
        <w:rPr>
          <w:rFonts w:ascii="Times New Roman" w:hAnsi="Times New Roman" w:cs="Times New Roman"/>
          <w:sz w:val="24"/>
          <w:szCs w:val="24"/>
          <w:lang w:val="lv-LV"/>
        </w:rPr>
        <w:t>15.panta</w:t>
      </w:r>
      <w:proofErr w:type="gramEnd"/>
      <w:r w:rsidR="00A81433" w:rsidRPr="00EA6383">
        <w:rPr>
          <w:rFonts w:ascii="Times New Roman" w:hAnsi="Times New Roman" w:cs="Times New Roman"/>
          <w:sz w:val="24"/>
          <w:szCs w:val="24"/>
          <w:lang w:val="lv-LV"/>
        </w:rPr>
        <w:t xml:space="preserve"> izpratnē ir uzskatāmi attiecīgā tirgus dalībnieki; attiecībā uz aktīvu iegūšanu ir jāvērtē attiecīgajā tirgū </w:t>
      </w:r>
      <w:r w:rsidR="006E457E" w:rsidRPr="00EA6383">
        <w:rPr>
          <w:rFonts w:ascii="Times New Roman" w:hAnsi="Times New Roman" w:cs="Times New Roman"/>
          <w:sz w:val="24"/>
          <w:szCs w:val="24"/>
          <w:lang w:val="lv-LV"/>
        </w:rPr>
        <w:t xml:space="preserve">aktīvu </w:t>
      </w:r>
      <w:r w:rsidR="00A81433" w:rsidRPr="00EA6383">
        <w:rPr>
          <w:rFonts w:ascii="Times New Roman" w:hAnsi="Times New Roman" w:cs="Times New Roman"/>
          <w:sz w:val="24"/>
          <w:szCs w:val="24"/>
          <w:lang w:val="lv-LV"/>
        </w:rPr>
        <w:t>radītais apgrozījums.</w:t>
      </w:r>
      <w:r w:rsidR="00A21D00" w:rsidRPr="00EA6383">
        <w:rPr>
          <w:rFonts w:ascii="Times New Roman" w:hAnsi="Times New Roman" w:cs="Times New Roman"/>
          <w:sz w:val="24"/>
          <w:szCs w:val="24"/>
          <w:lang w:val="lv-LV"/>
        </w:rPr>
        <w:t xml:space="preserve"> Konkurences padomes skaidrojums </w:t>
      </w:r>
      <w:r w:rsidR="006E457E" w:rsidRPr="00EA6383">
        <w:rPr>
          <w:rFonts w:ascii="Times New Roman" w:hAnsi="Times New Roman" w:cs="Times New Roman"/>
          <w:sz w:val="24"/>
          <w:szCs w:val="24"/>
          <w:lang w:val="lv-LV"/>
        </w:rPr>
        <w:t xml:space="preserve">tomēr </w:t>
      </w:r>
      <w:r w:rsidR="00A21D00" w:rsidRPr="00EA6383">
        <w:rPr>
          <w:rFonts w:ascii="Times New Roman" w:hAnsi="Times New Roman" w:cs="Times New Roman"/>
          <w:sz w:val="24"/>
          <w:szCs w:val="24"/>
          <w:lang w:val="lv-LV"/>
        </w:rPr>
        <w:t>nav uzskatāms par maldinošu, jo pārējā skaidrojuma tekstā ir pareizi paskaidrots, kā tieši ir jānosaka apgrozījums saistībā ar mazumtirdzniecības telpu nomu.</w:t>
      </w:r>
    </w:p>
    <w:p w:rsidR="004A53E1" w:rsidRPr="00EA6383" w:rsidRDefault="004A53E1"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Apvienošanos var īstenot dažnedažādos veidos, tostarp juridiski tā var veidoties no dažādu darījumu kopuma. Taču tirgus strukturālo izmaiņu vērtējumā ir būtisk</w:t>
      </w:r>
      <w:r w:rsidR="00803197" w:rsidRPr="00EA6383">
        <w:rPr>
          <w:rFonts w:ascii="Times New Roman" w:hAnsi="Times New Roman" w:cs="Times New Roman"/>
          <w:sz w:val="24"/>
          <w:szCs w:val="24"/>
          <w:lang w:val="lv-LV"/>
        </w:rPr>
        <w:t xml:space="preserve">a tirgus dalībnieku veikto darbību </w:t>
      </w:r>
      <w:r w:rsidRPr="00EA6383">
        <w:rPr>
          <w:rFonts w:ascii="Times New Roman" w:hAnsi="Times New Roman" w:cs="Times New Roman"/>
          <w:sz w:val="24"/>
          <w:szCs w:val="24"/>
          <w:lang w:val="lv-LV"/>
        </w:rPr>
        <w:t>ekonomiskā būtība. Tā, šajā gadījumā, patērēt</w:t>
      </w:r>
      <w:r w:rsidR="00803197" w:rsidRPr="00EA6383">
        <w:rPr>
          <w:rFonts w:ascii="Times New Roman" w:hAnsi="Times New Roman" w:cs="Times New Roman"/>
          <w:sz w:val="24"/>
          <w:szCs w:val="24"/>
          <w:lang w:val="lv-LV"/>
        </w:rPr>
        <w:t>āju acīs</w:t>
      </w:r>
      <w:r w:rsidRPr="00EA6383">
        <w:rPr>
          <w:rFonts w:ascii="Times New Roman" w:hAnsi="Times New Roman" w:cs="Times New Roman"/>
          <w:sz w:val="24"/>
          <w:szCs w:val="24"/>
          <w:lang w:val="lv-LV"/>
        </w:rPr>
        <w:t xml:space="preserve"> </w:t>
      </w:r>
      <w:r w:rsidR="00803197" w:rsidRPr="00EA6383">
        <w:rPr>
          <w:rFonts w:ascii="Times New Roman" w:hAnsi="Times New Roman" w:cs="Times New Roman"/>
          <w:sz w:val="24"/>
          <w:szCs w:val="24"/>
          <w:lang w:val="lv-LV"/>
        </w:rPr>
        <w:t xml:space="preserve">nav nozīmes (un tāpēc tam nav ietekmes uz veikto darbību sekām tirgū), </w:t>
      </w:r>
      <w:r w:rsidRPr="00EA6383">
        <w:rPr>
          <w:rFonts w:ascii="Times New Roman" w:hAnsi="Times New Roman" w:cs="Times New Roman"/>
          <w:sz w:val="24"/>
          <w:szCs w:val="24"/>
          <w:lang w:val="lv-LV"/>
        </w:rPr>
        <w:t>vai lielveikala telpas bija īpašumā iepriekšējam tirgotājam un vai tagad tās ir īpašumā pieteicējai, vai arī telpas tiek izmantotas uz nomas līguma pamata</w:t>
      </w:r>
      <w:proofErr w:type="gramStart"/>
      <w:r w:rsidRPr="00EA6383">
        <w:rPr>
          <w:rFonts w:ascii="Times New Roman" w:hAnsi="Times New Roman" w:cs="Times New Roman"/>
          <w:sz w:val="24"/>
          <w:szCs w:val="24"/>
          <w:lang w:val="lv-LV"/>
        </w:rPr>
        <w:t xml:space="preserve"> un</w:t>
      </w:r>
      <w:proofErr w:type="gramEnd"/>
      <w:r w:rsidRPr="00EA6383">
        <w:rPr>
          <w:rFonts w:ascii="Times New Roman" w:hAnsi="Times New Roman" w:cs="Times New Roman"/>
          <w:sz w:val="24"/>
          <w:szCs w:val="24"/>
          <w:lang w:val="lv-LV"/>
        </w:rPr>
        <w:t xml:space="preserve"> tādējādi telpu pārņemšana notiek caur nomas līgumu slēgšanu.</w:t>
      </w:r>
      <w:r w:rsidR="00803197" w:rsidRPr="00EA6383">
        <w:rPr>
          <w:rFonts w:ascii="Times New Roman" w:hAnsi="Times New Roman" w:cs="Times New Roman"/>
          <w:sz w:val="24"/>
          <w:szCs w:val="24"/>
          <w:lang w:val="lv-LV"/>
        </w:rPr>
        <w:t xml:space="preserve"> Tāpat nebūtu nozīmes, vai starplaikā telpas juridiski pabijušas citu īpašnieku vai nomnieku valdījumā, kamēr vien var konstatēt, ka tās</w:t>
      </w:r>
      <w:r w:rsidR="006E457E" w:rsidRPr="00EA6383">
        <w:rPr>
          <w:rFonts w:ascii="Times New Roman" w:hAnsi="Times New Roman" w:cs="Times New Roman"/>
          <w:sz w:val="24"/>
          <w:szCs w:val="24"/>
          <w:lang w:val="lv-LV"/>
        </w:rPr>
        <w:t xml:space="preserve"> saglabā saikni ar </w:t>
      </w:r>
      <w:r w:rsidR="004908E9" w:rsidRPr="00EA6383">
        <w:rPr>
          <w:rFonts w:ascii="Times New Roman" w:hAnsi="Times New Roman" w:cs="Times New Roman"/>
          <w:sz w:val="24"/>
          <w:szCs w:val="24"/>
          <w:lang w:val="lv-LV"/>
        </w:rPr>
        <w:t>iepriekšējā aktīvu izmantotāja tirgus daļu un</w:t>
      </w:r>
      <w:r w:rsidR="00803197" w:rsidRPr="00EA6383">
        <w:rPr>
          <w:rFonts w:ascii="Times New Roman" w:hAnsi="Times New Roman" w:cs="Times New Roman"/>
          <w:sz w:val="24"/>
          <w:szCs w:val="24"/>
          <w:lang w:val="lv-LV"/>
        </w:rPr>
        <w:t xml:space="preserve"> sp</w:t>
      </w:r>
      <w:r w:rsidR="004908E9" w:rsidRPr="00EA6383">
        <w:rPr>
          <w:rFonts w:ascii="Times New Roman" w:hAnsi="Times New Roman" w:cs="Times New Roman"/>
          <w:sz w:val="24"/>
          <w:szCs w:val="24"/>
          <w:lang w:val="lv-LV"/>
        </w:rPr>
        <w:t xml:space="preserve">ēj </w:t>
      </w:r>
      <w:r w:rsidR="00803197" w:rsidRPr="00EA6383">
        <w:rPr>
          <w:rFonts w:ascii="Times New Roman" w:hAnsi="Times New Roman" w:cs="Times New Roman"/>
          <w:sz w:val="24"/>
          <w:szCs w:val="24"/>
          <w:lang w:val="lv-LV"/>
        </w:rPr>
        <w:t>turpināt ģenerēt apgrozījumu nākamajam telpu lietotājam – tirgus dalībniekam.</w:t>
      </w:r>
    </w:p>
    <w:p w:rsidR="004A53E1" w:rsidRPr="00EA6383" w:rsidRDefault="004A53E1" w:rsidP="00730081">
      <w:pPr>
        <w:spacing w:after="0"/>
        <w:ind w:firstLine="540"/>
        <w:jc w:val="both"/>
        <w:rPr>
          <w:rFonts w:ascii="Times New Roman" w:hAnsi="Times New Roman" w:cs="Times New Roman"/>
          <w:sz w:val="24"/>
          <w:szCs w:val="24"/>
          <w:lang w:val="lv-LV"/>
        </w:rPr>
      </w:pPr>
    </w:p>
    <w:p w:rsidR="00EB2230" w:rsidRPr="00EA6383" w:rsidRDefault="00803197"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w:t>
      </w:r>
      <w:r w:rsidR="00681AA1" w:rsidRPr="00EA6383">
        <w:rPr>
          <w:rFonts w:ascii="Times New Roman" w:hAnsi="Times New Roman" w:cs="Times New Roman"/>
          <w:sz w:val="24"/>
          <w:szCs w:val="24"/>
          <w:lang w:val="lv-LV"/>
        </w:rPr>
        <w:t>1</w:t>
      </w:r>
      <w:r w:rsidR="004908E9" w:rsidRPr="00EA6383">
        <w:rPr>
          <w:rFonts w:ascii="Times New Roman" w:hAnsi="Times New Roman" w:cs="Times New Roman"/>
          <w:sz w:val="24"/>
          <w:szCs w:val="24"/>
          <w:lang w:val="lv-LV"/>
        </w:rPr>
        <w:t>0</w:t>
      </w:r>
      <w:r w:rsidRPr="00EA6383">
        <w:rPr>
          <w:rFonts w:ascii="Times New Roman" w:hAnsi="Times New Roman" w:cs="Times New Roman"/>
          <w:sz w:val="24"/>
          <w:szCs w:val="24"/>
          <w:lang w:val="lv-LV"/>
        </w:rPr>
        <w:t xml:space="preserve">] </w:t>
      </w:r>
      <w:r w:rsidR="006529A9" w:rsidRPr="00EA6383">
        <w:rPr>
          <w:rFonts w:ascii="Times New Roman" w:hAnsi="Times New Roman" w:cs="Times New Roman"/>
          <w:sz w:val="24"/>
          <w:szCs w:val="24"/>
          <w:lang w:val="lv-LV"/>
        </w:rPr>
        <w:t xml:space="preserve">Nav pamatots pieteicējas arguments, ka tiesiskais regulējums ir neskaidrs un </w:t>
      </w:r>
      <w:r w:rsidR="004908E9" w:rsidRPr="00EA6383">
        <w:rPr>
          <w:rFonts w:ascii="Times New Roman" w:hAnsi="Times New Roman" w:cs="Times New Roman"/>
          <w:sz w:val="24"/>
          <w:szCs w:val="24"/>
          <w:lang w:val="lv-LV"/>
        </w:rPr>
        <w:t>sods piemērots, pamatojoties uz</w:t>
      </w:r>
      <w:r w:rsidR="006529A9" w:rsidRPr="00EA6383">
        <w:rPr>
          <w:rFonts w:ascii="Times New Roman" w:hAnsi="Times New Roman" w:cs="Times New Roman"/>
          <w:sz w:val="24"/>
          <w:szCs w:val="24"/>
          <w:lang w:val="lv-LV"/>
        </w:rPr>
        <w:t xml:space="preserve"> Konkurences padomes iekšēj</w:t>
      </w:r>
      <w:r w:rsidR="004908E9" w:rsidRPr="00EA6383">
        <w:rPr>
          <w:rFonts w:ascii="Times New Roman" w:hAnsi="Times New Roman" w:cs="Times New Roman"/>
          <w:sz w:val="24"/>
          <w:szCs w:val="24"/>
          <w:lang w:val="lv-LV"/>
        </w:rPr>
        <w:t>u</w:t>
      </w:r>
      <w:r w:rsidR="006529A9" w:rsidRPr="00EA6383">
        <w:rPr>
          <w:rFonts w:ascii="Times New Roman" w:hAnsi="Times New Roman" w:cs="Times New Roman"/>
          <w:sz w:val="24"/>
          <w:szCs w:val="24"/>
          <w:lang w:val="lv-LV"/>
        </w:rPr>
        <w:t xml:space="preserve"> tiesību akt</w:t>
      </w:r>
      <w:r w:rsidR="004908E9" w:rsidRPr="00EA6383">
        <w:rPr>
          <w:rFonts w:ascii="Times New Roman" w:hAnsi="Times New Roman" w:cs="Times New Roman"/>
          <w:sz w:val="24"/>
          <w:szCs w:val="24"/>
          <w:lang w:val="lv-LV"/>
        </w:rPr>
        <w:t>u</w:t>
      </w:r>
      <w:r w:rsidR="006529A9" w:rsidRPr="00EA6383">
        <w:rPr>
          <w:rFonts w:ascii="Times New Roman" w:hAnsi="Times New Roman" w:cs="Times New Roman"/>
          <w:sz w:val="24"/>
          <w:szCs w:val="24"/>
          <w:lang w:val="lv-LV"/>
        </w:rPr>
        <w:t xml:space="preserve">. Saprotot apvienošanās kontroles mērķi, komersantam, ņemot vērā tā nepieciešamo un sagaidāmo orientēšanos Konkurences likuma prasībās, ir jāsaprot arī Konkurences likuma </w:t>
      </w:r>
      <w:proofErr w:type="gramStart"/>
      <w:r w:rsidR="006529A9" w:rsidRPr="00EA6383">
        <w:rPr>
          <w:rFonts w:ascii="Times New Roman" w:hAnsi="Times New Roman" w:cs="Times New Roman"/>
          <w:sz w:val="24"/>
          <w:szCs w:val="24"/>
          <w:lang w:val="lv-LV"/>
        </w:rPr>
        <w:t>15.panta</w:t>
      </w:r>
      <w:proofErr w:type="gramEnd"/>
      <w:r w:rsidR="006529A9" w:rsidRPr="00EA6383">
        <w:rPr>
          <w:rFonts w:ascii="Times New Roman" w:hAnsi="Times New Roman" w:cs="Times New Roman"/>
          <w:sz w:val="24"/>
          <w:szCs w:val="24"/>
          <w:lang w:val="lv-LV"/>
        </w:rPr>
        <w:t xml:space="preserve"> attiecināmīb</w:t>
      </w:r>
      <w:r w:rsidR="004B1DCA" w:rsidRPr="00EA6383">
        <w:rPr>
          <w:rFonts w:ascii="Times New Roman" w:hAnsi="Times New Roman" w:cs="Times New Roman"/>
          <w:sz w:val="24"/>
          <w:szCs w:val="24"/>
          <w:lang w:val="lv-LV"/>
        </w:rPr>
        <w:t>a</w:t>
      </w:r>
      <w:r w:rsidR="006529A9" w:rsidRPr="00EA6383">
        <w:rPr>
          <w:rFonts w:ascii="Times New Roman" w:hAnsi="Times New Roman" w:cs="Times New Roman"/>
          <w:sz w:val="24"/>
          <w:szCs w:val="24"/>
          <w:lang w:val="lv-LV"/>
        </w:rPr>
        <w:t xml:space="preserve"> uz tirdzniecības telpu pāreju</w:t>
      </w:r>
      <w:r w:rsidR="00DF5950" w:rsidRPr="00EA6383">
        <w:rPr>
          <w:rFonts w:ascii="Times New Roman" w:hAnsi="Times New Roman" w:cs="Times New Roman"/>
          <w:sz w:val="24"/>
          <w:szCs w:val="24"/>
          <w:lang w:val="lv-LV"/>
        </w:rPr>
        <w:t xml:space="preserve"> atbilstoši katra konkrēta gadījuma apstākļiem</w:t>
      </w:r>
      <w:r w:rsidR="006529A9" w:rsidRPr="00EA6383">
        <w:rPr>
          <w:rFonts w:ascii="Times New Roman" w:hAnsi="Times New Roman" w:cs="Times New Roman"/>
          <w:sz w:val="24"/>
          <w:szCs w:val="24"/>
          <w:lang w:val="lv-LV"/>
        </w:rPr>
        <w:t>.</w:t>
      </w:r>
      <w:r w:rsidRPr="00EA6383">
        <w:rPr>
          <w:rFonts w:ascii="Times New Roman" w:hAnsi="Times New Roman" w:cs="Times New Roman"/>
          <w:sz w:val="24"/>
          <w:szCs w:val="24"/>
          <w:lang w:val="lv-LV"/>
        </w:rPr>
        <w:t xml:space="preserve"> </w:t>
      </w:r>
      <w:r w:rsidR="008E26D2" w:rsidRPr="00EA6383">
        <w:rPr>
          <w:rFonts w:ascii="Times New Roman" w:hAnsi="Times New Roman" w:cs="Times New Roman"/>
          <w:sz w:val="24"/>
          <w:szCs w:val="24"/>
          <w:lang w:val="lv-LV"/>
        </w:rPr>
        <w:t>Turklāt Noteikumu Nr.</w:t>
      </w:r>
      <w:proofErr w:type="gramStart"/>
      <w:r w:rsidR="008E26D2" w:rsidRPr="00EA6383">
        <w:rPr>
          <w:rFonts w:ascii="Times New Roman" w:hAnsi="Times New Roman" w:cs="Times New Roman"/>
          <w:sz w:val="24"/>
          <w:szCs w:val="24"/>
          <w:lang w:val="lv-LV"/>
        </w:rPr>
        <w:t>800 III nodaļa</w:t>
      </w:r>
      <w:proofErr w:type="gramEnd"/>
      <w:r w:rsidR="008E26D2" w:rsidRPr="00EA6383">
        <w:rPr>
          <w:rFonts w:ascii="Times New Roman" w:hAnsi="Times New Roman" w:cs="Times New Roman"/>
          <w:sz w:val="24"/>
          <w:szCs w:val="24"/>
          <w:lang w:val="lv-LV"/>
        </w:rPr>
        <w:t xml:space="preserve"> likuma normu interpretāciju padara vēl skaidrāku.</w:t>
      </w:r>
    </w:p>
    <w:p w:rsidR="00E91579" w:rsidRPr="00EA6383" w:rsidRDefault="00E91579" w:rsidP="00730081">
      <w:pPr>
        <w:spacing w:after="0"/>
        <w:ind w:firstLine="540"/>
        <w:jc w:val="both"/>
        <w:rPr>
          <w:rFonts w:ascii="Times New Roman" w:hAnsi="Times New Roman" w:cs="Times New Roman"/>
          <w:sz w:val="24"/>
          <w:szCs w:val="24"/>
          <w:lang w:val="lv-LV"/>
        </w:rPr>
      </w:pPr>
    </w:p>
    <w:p w:rsidR="00E91579" w:rsidRPr="00EA6383" w:rsidRDefault="00E91579"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lastRenderedPageBreak/>
        <w:t>[</w:t>
      </w:r>
      <w:r w:rsidR="00681AA1" w:rsidRPr="00EA6383">
        <w:rPr>
          <w:rFonts w:ascii="Times New Roman" w:hAnsi="Times New Roman" w:cs="Times New Roman"/>
          <w:sz w:val="24"/>
          <w:szCs w:val="24"/>
          <w:lang w:val="lv-LV"/>
        </w:rPr>
        <w:t>1</w:t>
      </w:r>
      <w:r w:rsidR="004908E9" w:rsidRPr="00EA6383">
        <w:rPr>
          <w:rFonts w:ascii="Times New Roman" w:hAnsi="Times New Roman" w:cs="Times New Roman"/>
          <w:sz w:val="24"/>
          <w:szCs w:val="24"/>
          <w:lang w:val="lv-LV"/>
        </w:rPr>
        <w:t>1</w:t>
      </w:r>
      <w:r w:rsidRPr="00EA6383">
        <w:rPr>
          <w:rFonts w:ascii="Times New Roman" w:hAnsi="Times New Roman" w:cs="Times New Roman"/>
          <w:sz w:val="24"/>
          <w:szCs w:val="24"/>
          <w:lang w:val="lv-LV"/>
        </w:rPr>
        <w:t>] Pieteicējas argumenti par soda naudas apmēra noteikšanas pamatojuma trūkumu ir formāli, jo tikai vispārīgi norāda uz precīzāka aprēķina vai formulas neesību. Taču ir būtiski, ka Konkurences padome ir norādījusi, kādā ceļā (kādus apstākļus apsverot) ir nonākusi pie soda naudas galīgā apmēra. Apgabaltiesa ir to pārbaudījusi un, respektējot iestādes rīcības brīvību, pārbaudījusi apsvērumu atbilstību likumam. Nav pamata nepiekrist apgabaltiesas vērtējumam.</w:t>
      </w:r>
    </w:p>
    <w:p w:rsidR="00EB2230" w:rsidRPr="00EA6383" w:rsidRDefault="00EB2230" w:rsidP="00730081">
      <w:pPr>
        <w:spacing w:after="0"/>
        <w:ind w:firstLine="540"/>
        <w:jc w:val="both"/>
        <w:rPr>
          <w:rFonts w:ascii="Times New Roman" w:hAnsi="Times New Roman" w:cs="Times New Roman"/>
          <w:sz w:val="24"/>
          <w:szCs w:val="24"/>
          <w:lang w:val="lv-LV"/>
        </w:rPr>
      </w:pPr>
    </w:p>
    <w:p w:rsidR="00361C49" w:rsidRPr="00EA6383" w:rsidRDefault="00681AA1" w:rsidP="00730081">
      <w:pPr>
        <w:spacing w:after="0"/>
        <w:ind w:firstLine="540"/>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[1</w:t>
      </w:r>
      <w:r w:rsidR="004908E9" w:rsidRPr="00EA6383">
        <w:rPr>
          <w:rFonts w:ascii="Times New Roman" w:hAnsi="Times New Roman" w:cs="Times New Roman"/>
          <w:sz w:val="24"/>
          <w:szCs w:val="24"/>
          <w:lang w:val="lv-LV"/>
        </w:rPr>
        <w:t>2</w:t>
      </w:r>
      <w:r w:rsidRPr="00EA6383">
        <w:rPr>
          <w:rFonts w:ascii="Times New Roman" w:hAnsi="Times New Roman" w:cs="Times New Roman"/>
          <w:sz w:val="24"/>
          <w:szCs w:val="24"/>
          <w:lang w:val="lv-LV"/>
        </w:rPr>
        <w:t>] Ņemot vērā minēto, kasācijas tiesvedības ierosināšanai nav pamata, jo kasācijas sūdzības argumenti nerada šaubas par apgabaltiesas sprieduma tiesiskumu un lietai nav nozīmes judikatūras veidošanā.</w:t>
      </w:r>
    </w:p>
    <w:p w:rsidR="00EA6383" w:rsidRPr="00EA6383" w:rsidRDefault="00EA6383" w:rsidP="00730081">
      <w:pPr>
        <w:spacing w:after="0"/>
        <w:ind w:firstLine="540"/>
        <w:jc w:val="both"/>
        <w:rPr>
          <w:rFonts w:ascii="Times New Roman" w:hAnsi="Times New Roman" w:cs="Times New Roman"/>
          <w:sz w:val="24"/>
          <w:szCs w:val="24"/>
          <w:lang w:val="lv-LV"/>
        </w:rPr>
      </w:pPr>
    </w:p>
    <w:p w:rsidR="00EC65F1" w:rsidRPr="00EA6383" w:rsidRDefault="00EC65F1" w:rsidP="00730081">
      <w:pPr>
        <w:spacing w:after="0"/>
        <w:ind w:firstLine="567"/>
        <w:jc w:val="center"/>
        <w:rPr>
          <w:rFonts w:ascii="Times New Roman" w:hAnsi="Times New Roman" w:cs="Times New Roman"/>
          <w:b/>
          <w:sz w:val="24"/>
          <w:szCs w:val="24"/>
          <w:lang w:val="lv-LV"/>
        </w:rPr>
      </w:pPr>
      <w:r w:rsidRPr="00EA6383">
        <w:rPr>
          <w:rFonts w:ascii="Times New Roman" w:hAnsi="Times New Roman" w:cs="Times New Roman"/>
          <w:b/>
          <w:sz w:val="24"/>
          <w:szCs w:val="24"/>
          <w:lang w:val="lv-LV"/>
        </w:rPr>
        <w:t>Nolēmu</w:t>
      </w:r>
      <w:bookmarkStart w:id="2" w:name="_GoBack"/>
      <w:bookmarkEnd w:id="2"/>
      <w:r w:rsidRPr="00EA6383">
        <w:rPr>
          <w:rFonts w:ascii="Times New Roman" w:hAnsi="Times New Roman" w:cs="Times New Roman"/>
          <w:b/>
          <w:sz w:val="24"/>
          <w:szCs w:val="24"/>
          <w:lang w:val="lv-LV"/>
        </w:rPr>
        <w:t>ma daļa</w:t>
      </w:r>
    </w:p>
    <w:p w:rsidR="00EA6383" w:rsidRPr="00EA6383" w:rsidRDefault="00EA6383" w:rsidP="00730081">
      <w:pPr>
        <w:spacing w:after="0"/>
        <w:ind w:firstLine="567"/>
        <w:jc w:val="center"/>
        <w:rPr>
          <w:rFonts w:ascii="Times New Roman" w:hAnsi="Times New Roman" w:cs="Times New Roman"/>
          <w:b/>
          <w:sz w:val="24"/>
          <w:szCs w:val="24"/>
          <w:lang w:val="lv-LV"/>
        </w:rPr>
      </w:pPr>
    </w:p>
    <w:p w:rsidR="00361C49" w:rsidRPr="00EA6383" w:rsidRDefault="00EC65F1" w:rsidP="00730081">
      <w:pPr>
        <w:spacing w:after="0"/>
        <w:ind w:firstLine="540"/>
        <w:jc w:val="both"/>
        <w:rPr>
          <w:rFonts w:ascii="Times New Roman" w:hAnsi="Times New Roman" w:cs="Times New Roman"/>
          <w:bCs/>
          <w:spacing w:val="70"/>
          <w:sz w:val="24"/>
          <w:szCs w:val="24"/>
          <w:lang w:val="lv-LV"/>
        </w:rPr>
      </w:pPr>
      <w:r w:rsidRPr="00EA6383">
        <w:rPr>
          <w:rFonts w:ascii="Times New Roman" w:hAnsi="Times New Roman" w:cs="Times New Roman"/>
          <w:sz w:val="24"/>
          <w:szCs w:val="24"/>
          <w:lang w:val="lv-LV"/>
        </w:rPr>
        <w:t>Pamatojoties uz Administratīvā procesa likuma 338.</w:t>
      </w:r>
      <w:proofErr w:type="gramStart"/>
      <w:r w:rsidRPr="00EA6383">
        <w:rPr>
          <w:rFonts w:ascii="Times New Roman" w:hAnsi="Times New Roman" w:cs="Times New Roman"/>
          <w:sz w:val="24"/>
          <w:szCs w:val="24"/>
          <w:vertAlign w:val="superscript"/>
          <w:lang w:val="lv-LV"/>
        </w:rPr>
        <w:t>1</w:t>
      </w:r>
      <w:r w:rsidRPr="00EA6383">
        <w:rPr>
          <w:rFonts w:ascii="Times New Roman" w:hAnsi="Times New Roman" w:cs="Times New Roman"/>
          <w:sz w:val="24"/>
          <w:szCs w:val="24"/>
          <w:lang w:val="lv-LV"/>
        </w:rPr>
        <w:t>panta</w:t>
      </w:r>
      <w:proofErr w:type="gramEnd"/>
      <w:r w:rsidRPr="00EA6383">
        <w:rPr>
          <w:rFonts w:ascii="Times New Roman" w:hAnsi="Times New Roman" w:cs="Times New Roman"/>
          <w:sz w:val="24"/>
          <w:szCs w:val="24"/>
          <w:lang w:val="lv-LV"/>
        </w:rPr>
        <w:t xml:space="preserve"> otrās daļas 2.punktu un 129.</w:t>
      </w:r>
      <w:r w:rsidRPr="00EA6383">
        <w:rPr>
          <w:rFonts w:ascii="Times New Roman" w:hAnsi="Times New Roman" w:cs="Times New Roman"/>
          <w:sz w:val="24"/>
          <w:szCs w:val="24"/>
          <w:vertAlign w:val="superscript"/>
          <w:lang w:val="lv-LV"/>
        </w:rPr>
        <w:t>1</w:t>
      </w:r>
      <w:r w:rsidRPr="00EA6383">
        <w:rPr>
          <w:rFonts w:ascii="Times New Roman" w:hAnsi="Times New Roman" w:cs="Times New Roman"/>
          <w:sz w:val="24"/>
          <w:szCs w:val="24"/>
          <w:lang w:val="lv-LV"/>
        </w:rPr>
        <w:t>panta otrās daļas 4.punktu, tiesnešu kolēģija</w:t>
      </w:r>
    </w:p>
    <w:p w:rsidR="00EA6383" w:rsidRPr="00EA6383" w:rsidRDefault="00EA6383" w:rsidP="00730081">
      <w:pPr>
        <w:spacing w:after="0"/>
        <w:ind w:firstLine="540"/>
        <w:jc w:val="both"/>
        <w:rPr>
          <w:rFonts w:ascii="Times New Roman" w:hAnsi="Times New Roman" w:cs="Times New Roman"/>
          <w:bCs/>
          <w:spacing w:val="70"/>
          <w:sz w:val="24"/>
          <w:szCs w:val="24"/>
          <w:lang w:val="lv-LV"/>
        </w:rPr>
      </w:pPr>
    </w:p>
    <w:p w:rsidR="00EC65F1" w:rsidRPr="00EA6383" w:rsidRDefault="00EA6383" w:rsidP="00730081">
      <w:pPr>
        <w:spacing w:after="0"/>
        <w:ind w:firstLine="567"/>
        <w:jc w:val="center"/>
        <w:rPr>
          <w:rFonts w:ascii="Times New Roman" w:hAnsi="Times New Roman" w:cs="Times New Roman"/>
          <w:b/>
          <w:sz w:val="24"/>
          <w:szCs w:val="24"/>
          <w:lang w:val="lv-LV"/>
        </w:rPr>
      </w:pPr>
      <w:r w:rsidRPr="00EA6383">
        <w:rPr>
          <w:rFonts w:ascii="Times New Roman" w:hAnsi="Times New Roman" w:cs="Times New Roman"/>
          <w:b/>
          <w:sz w:val="24"/>
          <w:szCs w:val="24"/>
          <w:lang w:val="lv-LV"/>
        </w:rPr>
        <w:t>N</w:t>
      </w:r>
      <w:r w:rsidR="00EC65F1" w:rsidRPr="00EA6383">
        <w:rPr>
          <w:rFonts w:ascii="Times New Roman" w:hAnsi="Times New Roman" w:cs="Times New Roman"/>
          <w:b/>
          <w:sz w:val="24"/>
          <w:szCs w:val="24"/>
          <w:lang w:val="lv-LV"/>
        </w:rPr>
        <w:t>olēma</w:t>
      </w:r>
    </w:p>
    <w:p w:rsidR="00EA6383" w:rsidRPr="00EA6383" w:rsidRDefault="00EA6383" w:rsidP="00730081">
      <w:pPr>
        <w:tabs>
          <w:tab w:val="left" w:pos="2700"/>
          <w:tab w:val="left" w:pos="6660"/>
        </w:tabs>
        <w:spacing w:after="0"/>
        <w:ind w:firstLine="567"/>
        <w:jc w:val="center"/>
        <w:rPr>
          <w:rFonts w:ascii="Times New Roman" w:hAnsi="Times New Roman" w:cs="Times New Roman"/>
          <w:b/>
          <w:bCs/>
          <w:spacing w:val="70"/>
          <w:sz w:val="24"/>
          <w:szCs w:val="24"/>
          <w:lang w:val="lv-LV"/>
        </w:rPr>
      </w:pPr>
    </w:p>
    <w:p w:rsidR="00681AA1" w:rsidRPr="00EA6383" w:rsidRDefault="00681AA1" w:rsidP="00730081">
      <w:pPr>
        <w:spacing w:after="0"/>
        <w:ind w:firstLine="539"/>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Atteikties ierosināt kasācijas tiesvedību sakarā ar SIA „</w:t>
      </w:r>
      <w:proofErr w:type="spellStart"/>
      <w:r w:rsidRPr="00EA6383">
        <w:rPr>
          <w:rFonts w:ascii="Times New Roman" w:hAnsi="Times New Roman" w:cs="Times New Roman"/>
          <w:sz w:val="24"/>
          <w:szCs w:val="24"/>
          <w:lang w:val="lv-LV"/>
        </w:rPr>
        <w:t>Palink</w:t>
      </w:r>
      <w:proofErr w:type="spellEnd"/>
      <w:r w:rsidRPr="00EA6383">
        <w:rPr>
          <w:rFonts w:ascii="Times New Roman" w:hAnsi="Times New Roman" w:cs="Times New Roman"/>
          <w:sz w:val="24"/>
          <w:szCs w:val="24"/>
          <w:lang w:val="lv-LV"/>
        </w:rPr>
        <w:t xml:space="preserve">” kasācijas sūdzību par Administratīvās apgabaltiesas </w:t>
      </w:r>
      <w:proofErr w:type="gramStart"/>
      <w:r w:rsidRPr="00EA6383">
        <w:rPr>
          <w:rFonts w:ascii="Times New Roman" w:hAnsi="Times New Roman" w:cs="Times New Roman"/>
          <w:sz w:val="24"/>
          <w:szCs w:val="24"/>
          <w:lang w:val="lv-LV"/>
        </w:rPr>
        <w:t>2014.gada</w:t>
      </w:r>
      <w:proofErr w:type="gramEnd"/>
      <w:r w:rsidRPr="00EA6383">
        <w:rPr>
          <w:rFonts w:ascii="Times New Roman" w:hAnsi="Times New Roman" w:cs="Times New Roman"/>
          <w:sz w:val="24"/>
          <w:szCs w:val="24"/>
          <w:lang w:val="lv-LV"/>
        </w:rPr>
        <w:t xml:space="preserve"> 23.janvāra spriedumu.</w:t>
      </w:r>
    </w:p>
    <w:p w:rsidR="00EC65F1" w:rsidRPr="00EA6383" w:rsidRDefault="00EC65F1" w:rsidP="00730081">
      <w:pPr>
        <w:spacing w:after="0"/>
        <w:ind w:firstLine="539"/>
        <w:jc w:val="both"/>
        <w:rPr>
          <w:rFonts w:ascii="Times New Roman" w:hAnsi="Times New Roman" w:cs="Times New Roman"/>
          <w:sz w:val="24"/>
          <w:szCs w:val="24"/>
          <w:lang w:val="lv-LV"/>
        </w:rPr>
      </w:pPr>
      <w:r w:rsidRPr="00EA6383">
        <w:rPr>
          <w:rFonts w:ascii="Times New Roman" w:hAnsi="Times New Roman" w:cs="Times New Roman"/>
          <w:sz w:val="24"/>
          <w:szCs w:val="24"/>
          <w:lang w:val="lv-LV"/>
        </w:rPr>
        <w:t xml:space="preserve">Lēmums </w:t>
      </w:r>
      <w:r w:rsidRPr="00EA6383">
        <w:rPr>
          <w:rFonts w:ascii="Times New Roman" w:hAnsi="Times New Roman" w:cs="Times New Roman"/>
          <w:bCs/>
          <w:sz w:val="24"/>
          <w:szCs w:val="24"/>
          <w:lang w:val="lv-LV"/>
        </w:rPr>
        <w:t>nav pārsūdzams.</w:t>
      </w:r>
    </w:p>
    <w:bookmarkEnd w:id="0"/>
    <w:bookmarkEnd w:id="1"/>
    <w:p w:rsidR="00F96F4B" w:rsidRPr="00A15D40" w:rsidRDefault="00F96F4B" w:rsidP="00730081">
      <w:pPr>
        <w:rPr>
          <w:lang w:val="lv-LV"/>
        </w:rPr>
      </w:pPr>
    </w:p>
    <w:sectPr w:rsidR="00F96F4B" w:rsidRPr="00A15D40" w:rsidSect="009429E9">
      <w:footerReference w:type="even" r:id="rId6"/>
      <w:footerReference w:type="default" r:id="rId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522" w:rsidRDefault="00117522" w:rsidP="00673773">
      <w:pPr>
        <w:spacing w:after="0" w:line="240" w:lineRule="auto"/>
      </w:pPr>
      <w:r>
        <w:separator/>
      </w:r>
    </w:p>
  </w:endnote>
  <w:endnote w:type="continuationSeparator" w:id="0">
    <w:p w:rsidR="00117522" w:rsidRDefault="00117522" w:rsidP="0067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E9" w:rsidRDefault="00FD6952" w:rsidP="009429E9">
    <w:pPr>
      <w:pStyle w:val="Footer"/>
      <w:framePr w:wrap="around" w:vAnchor="text" w:hAnchor="margin" w:xAlign="center" w:y="1"/>
      <w:rPr>
        <w:rStyle w:val="PageNumber"/>
      </w:rPr>
    </w:pPr>
    <w:r>
      <w:rPr>
        <w:rStyle w:val="PageNumber"/>
      </w:rPr>
      <w:fldChar w:fldCharType="begin"/>
    </w:r>
    <w:r w:rsidR="009429E9">
      <w:rPr>
        <w:rStyle w:val="PageNumber"/>
      </w:rPr>
      <w:instrText xml:space="preserve">PAGE  </w:instrText>
    </w:r>
    <w:r>
      <w:rPr>
        <w:rStyle w:val="PageNumber"/>
      </w:rPr>
      <w:fldChar w:fldCharType="separate"/>
    </w:r>
    <w:r w:rsidR="00461C08">
      <w:rPr>
        <w:rStyle w:val="PageNumber"/>
        <w:noProof/>
      </w:rPr>
      <w:t>4</w:t>
    </w:r>
    <w:r>
      <w:rPr>
        <w:rStyle w:val="PageNumber"/>
      </w:rPr>
      <w:fldChar w:fldCharType="end"/>
    </w:r>
  </w:p>
  <w:p w:rsidR="009429E9" w:rsidRDefault="00942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E9" w:rsidRPr="009F0E55" w:rsidRDefault="00FD6952" w:rsidP="009429E9">
    <w:pPr>
      <w:pStyle w:val="Footer"/>
      <w:framePr w:wrap="notBeside" w:vAnchor="text" w:hAnchor="page" w:x="5401" w:y="1"/>
      <w:jc w:val="center"/>
      <w:rPr>
        <w:rStyle w:val="PageNumber"/>
      </w:rPr>
    </w:pPr>
    <w:r w:rsidRPr="009F0E55">
      <w:rPr>
        <w:rStyle w:val="PageNumber"/>
      </w:rPr>
      <w:fldChar w:fldCharType="begin"/>
    </w:r>
    <w:r w:rsidR="009429E9" w:rsidRPr="009F0E55">
      <w:rPr>
        <w:rStyle w:val="PageNumber"/>
      </w:rPr>
      <w:instrText xml:space="preserve">PAGE  </w:instrText>
    </w:r>
    <w:r w:rsidRPr="009F0E55">
      <w:rPr>
        <w:rStyle w:val="PageNumber"/>
      </w:rPr>
      <w:fldChar w:fldCharType="separate"/>
    </w:r>
    <w:r w:rsidR="00730081">
      <w:rPr>
        <w:rStyle w:val="PageNumber"/>
        <w:noProof/>
      </w:rPr>
      <w:t>1</w:t>
    </w:r>
    <w:r w:rsidRPr="009F0E55">
      <w:rPr>
        <w:rStyle w:val="PageNumber"/>
      </w:rPr>
      <w:fldChar w:fldCharType="end"/>
    </w:r>
    <w:r w:rsidR="009429E9" w:rsidRPr="009F0E55">
      <w:rPr>
        <w:rStyle w:val="PageNumber"/>
      </w:rPr>
      <w:t xml:space="preserve">. lapa no </w:t>
    </w:r>
    <w:r w:rsidR="00D3085F">
      <w:rPr>
        <w:rStyle w:val="PageNumber"/>
        <w:noProof/>
      </w:rPr>
      <w:fldChar w:fldCharType="begin"/>
    </w:r>
    <w:r w:rsidR="00D3085F">
      <w:rPr>
        <w:rStyle w:val="PageNumber"/>
        <w:noProof/>
      </w:rPr>
      <w:instrText xml:space="preserve"> SECTIONPAGES   \* MERGEFORMAT </w:instrText>
    </w:r>
    <w:r w:rsidR="00D3085F">
      <w:rPr>
        <w:rStyle w:val="PageNumber"/>
        <w:noProof/>
      </w:rPr>
      <w:fldChar w:fldCharType="separate"/>
    </w:r>
    <w:r w:rsidR="00730081">
      <w:rPr>
        <w:rStyle w:val="PageNumber"/>
        <w:noProof/>
      </w:rPr>
      <w:t>5</w:t>
    </w:r>
    <w:r w:rsidR="00D3085F">
      <w:rPr>
        <w:rStyle w:val="PageNumber"/>
        <w:noProof/>
      </w:rPr>
      <w:fldChar w:fldCharType="end"/>
    </w:r>
  </w:p>
  <w:p w:rsidR="009429E9" w:rsidRDefault="009429E9" w:rsidP="00942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522" w:rsidRDefault="00117522" w:rsidP="00673773">
      <w:pPr>
        <w:spacing w:after="0" w:line="240" w:lineRule="auto"/>
      </w:pPr>
      <w:r>
        <w:separator/>
      </w:r>
    </w:p>
  </w:footnote>
  <w:footnote w:type="continuationSeparator" w:id="0">
    <w:p w:rsidR="00117522" w:rsidRDefault="00117522" w:rsidP="0067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F1"/>
    <w:rsid w:val="000559E4"/>
    <w:rsid w:val="00117522"/>
    <w:rsid w:val="001241EB"/>
    <w:rsid w:val="00145434"/>
    <w:rsid w:val="00147924"/>
    <w:rsid w:val="0018355C"/>
    <w:rsid w:val="00196FFA"/>
    <w:rsid w:val="001E630E"/>
    <w:rsid w:val="0024405E"/>
    <w:rsid w:val="002F355A"/>
    <w:rsid w:val="00352676"/>
    <w:rsid w:val="00361C49"/>
    <w:rsid w:val="003B70A7"/>
    <w:rsid w:val="003F057F"/>
    <w:rsid w:val="00410B7D"/>
    <w:rsid w:val="00420389"/>
    <w:rsid w:val="00461C08"/>
    <w:rsid w:val="00486143"/>
    <w:rsid w:val="004908E9"/>
    <w:rsid w:val="004A53E1"/>
    <w:rsid w:val="004B1DCA"/>
    <w:rsid w:val="004F41E5"/>
    <w:rsid w:val="00550C96"/>
    <w:rsid w:val="00587839"/>
    <w:rsid w:val="006310DE"/>
    <w:rsid w:val="006529A9"/>
    <w:rsid w:val="00673773"/>
    <w:rsid w:val="00681AA1"/>
    <w:rsid w:val="006D78C1"/>
    <w:rsid w:val="006E457E"/>
    <w:rsid w:val="006E4FA6"/>
    <w:rsid w:val="0071157A"/>
    <w:rsid w:val="00730081"/>
    <w:rsid w:val="00737A22"/>
    <w:rsid w:val="0075695B"/>
    <w:rsid w:val="007D031C"/>
    <w:rsid w:val="007F22F1"/>
    <w:rsid w:val="00803197"/>
    <w:rsid w:val="0085179F"/>
    <w:rsid w:val="008956F0"/>
    <w:rsid w:val="008B0BE1"/>
    <w:rsid w:val="008B2A24"/>
    <w:rsid w:val="008E26D2"/>
    <w:rsid w:val="009429E9"/>
    <w:rsid w:val="00971914"/>
    <w:rsid w:val="009A5E10"/>
    <w:rsid w:val="009F6FD0"/>
    <w:rsid w:val="00A15D40"/>
    <w:rsid w:val="00A21D00"/>
    <w:rsid w:val="00A81433"/>
    <w:rsid w:val="00A944B3"/>
    <w:rsid w:val="00AA367C"/>
    <w:rsid w:val="00AD573E"/>
    <w:rsid w:val="00B13337"/>
    <w:rsid w:val="00B33D94"/>
    <w:rsid w:val="00C73AF5"/>
    <w:rsid w:val="00C74B7D"/>
    <w:rsid w:val="00D051F7"/>
    <w:rsid w:val="00D10691"/>
    <w:rsid w:val="00D3085F"/>
    <w:rsid w:val="00D73F3F"/>
    <w:rsid w:val="00DF5950"/>
    <w:rsid w:val="00E75CBA"/>
    <w:rsid w:val="00E91579"/>
    <w:rsid w:val="00EA6383"/>
    <w:rsid w:val="00EB2230"/>
    <w:rsid w:val="00EB411F"/>
    <w:rsid w:val="00EC65F1"/>
    <w:rsid w:val="00ED684B"/>
    <w:rsid w:val="00F41692"/>
    <w:rsid w:val="00F82733"/>
    <w:rsid w:val="00F96F4B"/>
    <w:rsid w:val="00FA7812"/>
    <w:rsid w:val="00FD69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F1"/>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C65F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EC65F1"/>
    <w:rPr>
      <w:rFonts w:ascii="Garamond" w:eastAsia="Times New Roman" w:hAnsi="Garamond" w:cs="Times New Roman"/>
      <w:sz w:val="28"/>
      <w:szCs w:val="28"/>
    </w:rPr>
  </w:style>
  <w:style w:type="paragraph" w:styleId="Footer">
    <w:name w:val="footer"/>
    <w:basedOn w:val="Normal"/>
    <w:link w:val="FooterChar"/>
    <w:rsid w:val="00EC65F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EC65F1"/>
    <w:rPr>
      <w:rFonts w:eastAsia="Times New Roman" w:cs="Times New Roman"/>
      <w:szCs w:val="24"/>
    </w:rPr>
  </w:style>
  <w:style w:type="character" w:styleId="PageNumber">
    <w:name w:val="page number"/>
    <w:basedOn w:val="DefaultParagraphFont"/>
    <w:rsid w:val="00EC65F1"/>
  </w:style>
  <w:style w:type="paragraph" w:styleId="BalloonText">
    <w:name w:val="Balloon Text"/>
    <w:basedOn w:val="Normal"/>
    <w:link w:val="BalloonTextChar"/>
    <w:uiPriority w:val="99"/>
    <w:semiHidden/>
    <w:unhideWhenUsed/>
    <w:rsid w:val="00EC6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5F1"/>
    <w:rPr>
      <w:rFonts w:ascii="Tahoma" w:eastAsiaTheme="minorEastAsia" w:hAnsi="Tahoma" w:cs="Tahoma"/>
      <w:sz w:val="16"/>
      <w:szCs w:val="16"/>
      <w:lang w:val="en-US"/>
    </w:rPr>
  </w:style>
  <w:style w:type="character" w:styleId="Hyperlink">
    <w:name w:val="Hyperlink"/>
    <w:basedOn w:val="DefaultParagraphFont"/>
    <w:uiPriority w:val="99"/>
    <w:unhideWhenUsed/>
    <w:rsid w:val="00410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03663">
      <w:bodyDiv w:val="1"/>
      <w:marLeft w:val="0"/>
      <w:marRight w:val="0"/>
      <w:marTop w:val="0"/>
      <w:marBottom w:val="0"/>
      <w:divBdr>
        <w:top w:val="none" w:sz="0" w:space="0" w:color="auto"/>
        <w:left w:val="none" w:sz="0" w:space="0" w:color="auto"/>
        <w:bottom w:val="none" w:sz="0" w:space="0" w:color="auto"/>
        <w:right w:val="none" w:sz="0" w:space="0" w:color="auto"/>
      </w:divBdr>
      <w:divsChild>
        <w:div w:id="238833958">
          <w:marLeft w:val="0"/>
          <w:marRight w:val="0"/>
          <w:marTop w:val="240"/>
          <w:marBottom w:val="0"/>
          <w:divBdr>
            <w:top w:val="none" w:sz="0" w:space="0" w:color="auto"/>
            <w:left w:val="none" w:sz="0" w:space="0" w:color="auto"/>
            <w:bottom w:val="none" w:sz="0" w:space="0" w:color="auto"/>
            <w:right w:val="none" w:sz="0" w:space="0" w:color="auto"/>
          </w:divBdr>
          <w:divsChild>
            <w:div w:id="21042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2021-07-07T09:19:00Z</dcterms:created>
  <dcterms:modified xsi:type="dcterms:W3CDTF">2021-07-07T12:09:00Z</dcterms:modified>
</cp:coreProperties>
</file>