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5B3BB5" w14:textId="77777777" w:rsidR="008A3B40" w:rsidRPr="008A3B40" w:rsidRDefault="008A3B40" w:rsidP="008A3B40">
      <w:pPr>
        <w:autoSpaceDE w:val="0"/>
        <w:autoSpaceDN w:val="0"/>
        <w:spacing w:line="276" w:lineRule="auto"/>
        <w:jc w:val="both"/>
        <w:rPr>
          <w:b/>
          <w:bCs/>
        </w:rPr>
      </w:pPr>
      <w:r w:rsidRPr="008A3B40">
        <w:rPr>
          <w:b/>
          <w:bCs/>
        </w:rPr>
        <w:t>Mobilo sakaru pakalpojumu kvalitātes raksturojošais kopums un pakalpojumu pieejamības objektīvie rādītāji</w:t>
      </w:r>
    </w:p>
    <w:p w14:paraId="141B61FE" w14:textId="77777777" w:rsidR="008A3B40" w:rsidRPr="008A3B40" w:rsidRDefault="008A3B40" w:rsidP="008A3B40">
      <w:pPr>
        <w:autoSpaceDE w:val="0"/>
        <w:autoSpaceDN w:val="0"/>
        <w:spacing w:line="276" w:lineRule="auto"/>
        <w:jc w:val="both"/>
        <w:rPr>
          <w:b/>
          <w:bCs/>
        </w:rPr>
      </w:pPr>
    </w:p>
    <w:p w14:paraId="00F6A5B8" w14:textId="1B0E7140" w:rsidR="008A3B40" w:rsidRPr="008A3B40" w:rsidRDefault="008A3B40" w:rsidP="008A3B40">
      <w:pPr>
        <w:autoSpaceDE w:val="0"/>
        <w:autoSpaceDN w:val="0"/>
        <w:spacing w:line="276" w:lineRule="auto"/>
        <w:jc w:val="both"/>
        <w:rPr>
          <w:b/>
          <w:bCs/>
        </w:rPr>
      </w:pPr>
      <w:r w:rsidRPr="008A3B40">
        <w:rPr>
          <w:b/>
          <w:bCs/>
        </w:rPr>
        <w:t>Godīgas konkurences un vienlīdzīgas attieksmes principu ievērošana iepirkuma priekšmetu kvalitātes kritēriju noteikšanā</w:t>
      </w:r>
    </w:p>
    <w:p w14:paraId="24E054C9" w14:textId="6EF9E21A" w:rsidR="008A3B40" w:rsidRPr="008A3B40" w:rsidRDefault="008A3B40" w:rsidP="008A3B40">
      <w:pPr>
        <w:autoSpaceDE w:val="0"/>
        <w:autoSpaceDN w:val="0"/>
        <w:spacing w:line="276" w:lineRule="auto"/>
        <w:jc w:val="both"/>
      </w:pPr>
      <w:r w:rsidRPr="008A3B40">
        <w:t>Pasūtītājam ir samērā plaša rīcības brīvība, nosakot piešķiršanas kritērijus sev nepieciešamo preču vai pakalpojumu iegādei, jo tikai pašam pasūtītājam ir vislabāk zināmas prasības, kādām šīm precēm un pakalpojumiem ir jāatbilst, taču šī rīcības brīvība nav neierobežota. Pasūtītājam ir jānodrošina godīga konkurence un vienlīdzīga un nediskriminējoša attieksme, maksimāli izvairoties no tādiem kritērijiem, kas var radīt aizdomas par noteiktu priekšrocību piešķiršanu kādam no pretendentiem. Proti, pasūtītājam ir jānosaka konkurenci neierobežojoši un objektīvi salīdzināmi vai izvērtējami pied</w:t>
      </w:r>
      <w:r>
        <w:t xml:space="preserve">āvājuma izvērtēšanas kritēriji. </w:t>
      </w:r>
      <w:bookmarkStart w:id="0" w:name="_GoBack"/>
      <w:bookmarkEnd w:id="0"/>
      <w:r w:rsidRPr="008A3B40">
        <w:t>Tātad, no vienas puses, kvalitātes kritēriji nodrošina pasūtītāja līdzekļu efektīvu izmantošanu un pasūtītāja vajadzībām iespējami atbilstošākā pakalpojuma/preces iegādi. No otras puses, kvalitātes kritērijiem jāatbilst godīgas konkurences un vienlīdzīgas attieksmes principiem. Apstākļos, kad objektīvi nav viena kritērija, kas efektīvi ļautu pārliecināties par piedāvātā pakalpojuma kvalitāti, nav pamatoti piešķirt izšķirošu nozīmi vienam kvalitātes novērtējuma kritērijam, vēl jo vairāk, – ja tas kādam no tirgus dalībniekiem nodrošina acīmredzamu priekšrocību iepretim citiem konkurentiem.</w:t>
      </w:r>
    </w:p>
    <w:p w14:paraId="0A1B2EFB" w14:textId="77777777" w:rsidR="008A3B40" w:rsidRPr="008A3B40" w:rsidRDefault="008A3B40" w:rsidP="008A3B40">
      <w:pPr>
        <w:autoSpaceDE w:val="0"/>
        <w:autoSpaceDN w:val="0"/>
        <w:spacing w:line="276" w:lineRule="auto"/>
      </w:pPr>
    </w:p>
    <w:p w14:paraId="5B96512A" w14:textId="5CD687EF" w:rsidR="006B7BBC" w:rsidRPr="008A3B40" w:rsidRDefault="006B7BBC" w:rsidP="008A3B40">
      <w:pPr>
        <w:spacing w:line="276" w:lineRule="auto"/>
        <w:jc w:val="center"/>
        <w:rPr>
          <w:b/>
        </w:rPr>
      </w:pPr>
      <w:r w:rsidRPr="008A3B40">
        <w:rPr>
          <w:b/>
        </w:rPr>
        <w:t>L</w:t>
      </w:r>
      <w:r w:rsidR="008A3B40" w:rsidRPr="008A3B40">
        <w:rPr>
          <w:b/>
        </w:rPr>
        <w:t>atvijas Republikas Senāta</w:t>
      </w:r>
    </w:p>
    <w:p w14:paraId="220DBF82" w14:textId="3BD54DD5" w:rsidR="008A3B40" w:rsidRPr="008A3B40" w:rsidRDefault="008A3B40" w:rsidP="008A3B40">
      <w:pPr>
        <w:spacing w:line="276" w:lineRule="auto"/>
        <w:jc w:val="center"/>
        <w:rPr>
          <w:b/>
        </w:rPr>
      </w:pPr>
      <w:r w:rsidRPr="008A3B40">
        <w:rPr>
          <w:b/>
        </w:rPr>
        <w:t>Administratīvo lietu departamenta</w:t>
      </w:r>
    </w:p>
    <w:p w14:paraId="1EA1AF78" w14:textId="0117C9E9" w:rsidR="008A3B40" w:rsidRPr="008A3B40" w:rsidRDefault="008A3B40" w:rsidP="008A3B40">
      <w:pPr>
        <w:spacing w:line="276" w:lineRule="auto"/>
        <w:jc w:val="center"/>
        <w:rPr>
          <w:b/>
        </w:rPr>
      </w:pPr>
      <w:r w:rsidRPr="008A3B40">
        <w:rPr>
          <w:b/>
        </w:rPr>
        <w:t>2021.gada 31.marta</w:t>
      </w:r>
    </w:p>
    <w:p w14:paraId="30B4B012" w14:textId="4AA36FFE" w:rsidR="006B7BBC" w:rsidRPr="008A3B40" w:rsidRDefault="0089619C" w:rsidP="008A3B40">
      <w:pPr>
        <w:spacing w:line="276" w:lineRule="auto"/>
        <w:jc w:val="center"/>
        <w:rPr>
          <w:b/>
        </w:rPr>
      </w:pPr>
      <w:r w:rsidRPr="008A3B40">
        <w:rPr>
          <w:b/>
        </w:rPr>
        <w:t>SPRIEDUMS</w:t>
      </w:r>
    </w:p>
    <w:p w14:paraId="52E89DD3" w14:textId="3D042DFB" w:rsidR="008A3B40" w:rsidRPr="008A3B40" w:rsidRDefault="008A3B40" w:rsidP="008A3B40">
      <w:pPr>
        <w:spacing w:line="276" w:lineRule="auto"/>
        <w:jc w:val="center"/>
        <w:rPr>
          <w:b/>
        </w:rPr>
      </w:pPr>
      <w:r w:rsidRPr="008A3B40">
        <w:rPr>
          <w:b/>
        </w:rPr>
        <w:t>Lieta Nr. </w:t>
      </w:r>
      <w:r w:rsidRPr="008A3B40">
        <w:rPr>
          <w:b/>
        </w:rPr>
        <w:t>A420296418</w:t>
      </w:r>
      <w:r w:rsidRPr="008A3B40">
        <w:rPr>
          <w:b/>
        </w:rPr>
        <w:t>, SKA-322/2021</w:t>
      </w:r>
    </w:p>
    <w:p w14:paraId="1ED36707" w14:textId="64B2FC8C" w:rsidR="006B7BBC" w:rsidRPr="008A3B40" w:rsidRDefault="008A3B40" w:rsidP="008A3B40">
      <w:pPr>
        <w:spacing w:line="276" w:lineRule="auto"/>
        <w:jc w:val="center"/>
      </w:pPr>
      <w:hyperlink r:id="rId8" w:history="1">
        <w:r w:rsidRPr="008A3B40">
          <w:rPr>
            <w:rStyle w:val="Hyperlink"/>
          </w:rPr>
          <w:t>ECLI:LV:AT:2021:0331.A420296418.5.S</w:t>
        </w:r>
      </w:hyperlink>
      <w:r w:rsidRPr="008A3B40">
        <w:t xml:space="preserve"> </w:t>
      </w:r>
    </w:p>
    <w:p w14:paraId="2F242BC5" w14:textId="77777777" w:rsidR="006B7BBC" w:rsidRPr="008A3B40" w:rsidRDefault="006B7BBC" w:rsidP="008A3B40">
      <w:pPr>
        <w:spacing w:line="276" w:lineRule="auto"/>
        <w:ind w:firstLine="567"/>
        <w:jc w:val="both"/>
      </w:pPr>
    </w:p>
    <w:p w14:paraId="19AFEF33" w14:textId="2E25B7F5" w:rsidR="006B7BBC" w:rsidRPr="008A3B40" w:rsidRDefault="006B7BBC" w:rsidP="008A3B40">
      <w:pPr>
        <w:spacing w:line="276" w:lineRule="auto"/>
        <w:ind w:firstLine="567"/>
        <w:jc w:val="both"/>
      </w:pPr>
      <w:r w:rsidRPr="008A3B40">
        <w:t>Tiesa šādā sastāvā: senator</w:t>
      </w:r>
      <w:r w:rsidR="00CD401A" w:rsidRPr="008A3B40">
        <w:t>es</w:t>
      </w:r>
      <w:r w:rsidRPr="008A3B40">
        <w:t xml:space="preserve"> </w:t>
      </w:r>
      <w:r w:rsidR="007B5103" w:rsidRPr="008A3B40">
        <w:t>Lauma Paegļkalna</w:t>
      </w:r>
      <w:r w:rsidRPr="008A3B40">
        <w:t xml:space="preserve">, </w:t>
      </w:r>
      <w:r w:rsidR="007B5103" w:rsidRPr="008A3B40">
        <w:t>Ieva Višķere</w:t>
      </w:r>
      <w:r w:rsidR="004F195B" w:rsidRPr="008A3B40">
        <w:t>, Rudīte Vīduša</w:t>
      </w:r>
    </w:p>
    <w:p w14:paraId="3049557F" w14:textId="77777777" w:rsidR="003047F5" w:rsidRPr="008A3B40" w:rsidRDefault="003047F5" w:rsidP="008A3B40">
      <w:pPr>
        <w:spacing w:line="276" w:lineRule="auto"/>
        <w:ind w:firstLine="567"/>
        <w:jc w:val="both"/>
      </w:pPr>
    </w:p>
    <w:p w14:paraId="45FEDFF2" w14:textId="48101513" w:rsidR="003047F5" w:rsidRPr="008A3B40" w:rsidRDefault="00941626" w:rsidP="008A3B40">
      <w:pPr>
        <w:spacing w:line="276" w:lineRule="auto"/>
        <w:ind w:firstLine="567"/>
        <w:jc w:val="both"/>
      </w:pPr>
      <w:r w:rsidRPr="008A3B40">
        <w:t xml:space="preserve">rakstveida procesā izskatīja administratīvo lietu, kas ierosināta, pamatojoties uz </w:t>
      </w:r>
      <w:r w:rsidR="00180007" w:rsidRPr="008A3B40">
        <w:t>SIA</w:t>
      </w:r>
      <w:r w:rsidR="00033FE6" w:rsidRPr="008A3B40">
        <w:t> </w:t>
      </w:r>
      <w:r w:rsidR="00180007" w:rsidRPr="008A3B40">
        <w:t>„Bite Latvija” pieteikumu par Iepirkumu uzraudzības biroja iesniegumu izskatīšanas komisijas 2018.gada 28.septembra lēmuma Nr.</w:t>
      </w:r>
      <w:r w:rsidR="000E293A" w:rsidRPr="008A3B40">
        <w:t> </w:t>
      </w:r>
      <w:r w:rsidR="00180007" w:rsidRPr="008A3B40">
        <w:t xml:space="preserve">4-1.2/18-145/2 </w:t>
      </w:r>
      <w:r w:rsidR="007370E8" w:rsidRPr="008A3B40">
        <w:t>atzīšanu par prettiesisku</w:t>
      </w:r>
      <w:r w:rsidR="00800539" w:rsidRPr="008A3B40">
        <w:t>,</w:t>
      </w:r>
      <w:r w:rsidRPr="008A3B40">
        <w:t xml:space="preserve"> s</w:t>
      </w:r>
      <w:r w:rsidR="008570F8" w:rsidRPr="008A3B40">
        <w:t>a</w:t>
      </w:r>
      <w:r w:rsidRPr="008A3B40">
        <w:t xml:space="preserve">karā ar </w:t>
      </w:r>
      <w:r w:rsidR="00180007" w:rsidRPr="008A3B40">
        <w:t>SIA</w:t>
      </w:r>
      <w:r w:rsidR="00AB4ADF" w:rsidRPr="008A3B40">
        <w:t> </w:t>
      </w:r>
      <w:r w:rsidR="00180007" w:rsidRPr="008A3B40">
        <w:t>„Bite Latvija”</w:t>
      </w:r>
      <w:r w:rsidRPr="008A3B40">
        <w:t xml:space="preserve"> kasācijas sūdzību par </w:t>
      </w:r>
      <w:r w:rsidR="002663B3" w:rsidRPr="008A3B40">
        <w:t xml:space="preserve">Administratīvās </w:t>
      </w:r>
      <w:r w:rsidR="00180007" w:rsidRPr="008A3B40">
        <w:t>rajona tiesas 2019.gada 21</w:t>
      </w:r>
      <w:r w:rsidR="002F6D5F" w:rsidRPr="008A3B40">
        <w:t>.</w:t>
      </w:r>
      <w:r w:rsidR="00180007" w:rsidRPr="008A3B40">
        <w:t xml:space="preserve">augusta </w:t>
      </w:r>
      <w:r w:rsidRPr="008A3B40">
        <w:t>spriedumu.</w:t>
      </w:r>
    </w:p>
    <w:p w14:paraId="5DE22EF3" w14:textId="77777777" w:rsidR="00A6596A" w:rsidRPr="008A3B40" w:rsidRDefault="00A6596A" w:rsidP="008A3B40">
      <w:pPr>
        <w:spacing w:line="276" w:lineRule="auto"/>
        <w:ind w:firstLine="567"/>
        <w:jc w:val="both"/>
      </w:pPr>
    </w:p>
    <w:p w14:paraId="49301551" w14:textId="77777777" w:rsidR="003047F5" w:rsidRPr="008A3B40" w:rsidRDefault="003047F5" w:rsidP="008A3B40">
      <w:pPr>
        <w:pStyle w:val="ATpamattesksts"/>
        <w:ind w:firstLine="0"/>
        <w:jc w:val="center"/>
      </w:pPr>
      <w:r w:rsidRPr="008A3B40">
        <w:rPr>
          <w:b/>
        </w:rPr>
        <w:t>Aprakstošā</w:t>
      </w:r>
      <w:r w:rsidRPr="008A3B40">
        <w:t xml:space="preserve"> </w:t>
      </w:r>
      <w:r w:rsidRPr="008A3B40">
        <w:rPr>
          <w:b/>
        </w:rPr>
        <w:t>daļa</w:t>
      </w:r>
    </w:p>
    <w:p w14:paraId="54AE93A0" w14:textId="77777777" w:rsidR="003047F5" w:rsidRPr="008A3B40" w:rsidRDefault="003047F5" w:rsidP="008A3B40">
      <w:pPr>
        <w:spacing w:line="276" w:lineRule="auto"/>
        <w:ind w:firstLine="567"/>
        <w:jc w:val="both"/>
      </w:pPr>
    </w:p>
    <w:p w14:paraId="5C527D07" w14:textId="552B4640" w:rsidR="00D324AA" w:rsidRPr="008A3B40" w:rsidRDefault="003047F5" w:rsidP="008A3B40">
      <w:pPr>
        <w:spacing w:line="276" w:lineRule="auto"/>
        <w:ind w:firstLine="567"/>
        <w:jc w:val="both"/>
      </w:pPr>
      <w:r w:rsidRPr="008A3B40">
        <w:t>[1] </w:t>
      </w:r>
      <w:r w:rsidR="00555407" w:rsidRPr="008A3B40">
        <w:t xml:space="preserve">Pasūtītāja </w:t>
      </w:r>
      <w:r w:rsidR="00033FE6" w:rsidRPr="008A3B40">
        <w:t xml:space="preserve">– </w:t>
      </w:r>
      <w:r w:rsidR="00555407" w:rsidRPr="008A3B40">
        <w:t>v</w:t>
      </w:r>
      <w:r w:rsidR="00886085" w:rsidRPr="008A3B40">
        <w:t>alsts SIA </w:t>
      </w:r>
      <w:r w:rsidR="0030171C" w:rsidRPr="008A3B40">
        <w:t xml:space="preserve">„Latvijas Vides, ģeoloģijas un meteoroloģijas centrs” </w:t>
      </w:r>
      <w:r w:rsidR="00033FE6" w:rsidRPr="008A3B40">
        <w:t xml:space="preserve">– </w:t>
      </w:r>
      <w:r w:rsidR="0030171C" w:rsidRPr="008A3B40">
        <w:t>izsludināja atklātu konkursu „Mobilo sakaru pakalpojumu sniegšana VSIA LV</w:t>
      </w:r>
      <w:r w:rsidR="00767FCF" w:rsidRPr="008A3B40">
        <w:t>ĢMC vajadzībām” (id. Nr. VSIA LV</w:t>
      </w:r>
      <w:r w:rsidR="00886085" w:rsidRPr="008A3B40">
        <w:t>ĢMC 2018/20). Pieteicēja SIA </w:t>
      </w:r>
      <w:r w:rsidR="0030171C" w:rsidRPr="008A3B40">
        <w:t xml:space="preserve">„Bite Latvija”, uzskatot, ka </w:t>
      </w:r>
      <w:r w:rsidR="00D324AA" w:rsidRPr="008A3B40">
        <w:t xml:space="preserve">konkursa nolikumā nepamatoti kā pretendentu piedāvājuma pakalpojumu pieejamības un kvalitātes kritērijs paredzēts bāzes staciju skaits dažādās frekvencēs un </w:t>
      </w:r>
      <w:r w:rsidR="001029C4" w:rsidRPr="008A3B40">
        <w:t>klientu apkalpošanas punktu skaits Latvijā, attiecīgās nolikuma prasības apstrīdēja.</w:t>
      </w:r>
    </w:p>
    <w:p w14:paraId="48623ABD" w14:textId="01969D27" w:rsidR="003047F5" w:rsidRPr="008A3B40" w:rsidRDefault="001029C4" w:rsidP="008A3B40">
      <w:pPr>
        <w:spacing w:line="276" w:lineRule="auto"/>
        <w:ind w:firstLine="567"/>
        <w:jc w:val="both"/>
      </w:pPr>
      <w:r w:rsidRPr="008A3B40">
        <w:t>Iepirkumu uzraudzības b</w:t>
      </w:r>
      <w:r w:rsidR="0030171C" w:rsidRPr="008A3B40">
        <w:t>irojs</w:t>
      </w:r>
      <w:r w:rsidRPr="008A3B40">
        <w:t xml:space="preserve"> (turpmāk – birojs)</w:t>
      </w:r>
      <w:r w:rsidR="0030171C" w:rsidRPr="008A3B40">
        <w:t xml:space="preserve"> ar 2018.gada 28.</w:t>
      </w:r>
      <w:r w:rsidR="00372D57" w:rsidRPr="008A3B40">
        <w:t>sep</w:t>
      </w:r>
      <w:r w:rsidR="0030171C" w:rsidRPr="008A3B40">
        <w:t>t</w:t>
      </w:r>
      <w:r w:rsidR="00372D57" w:rsidRPr="008A3B40">
        <w:t>e</w:t>
      </w:r>
      <w:r w:rsidR="0030171C" w:rsidRPr="008A3B40">
        <w:t xml:space="preserve">mbra lēmumu </w:t>
      </w:r>
      <w:r w:rsidR="00372D57" w:rsidRPr="008A3B40">
        <w:t>(turpmāk – biroja lēmums)</w:t>
      </w:r>
      <w:r w:rsidR="0030171C" w:rsidRPr="008A3B40">
        <w:t xml:space="preserve"> atļāva pasūtītājai turpināt iepirkuma procedūru un konkursa rezultātā slēgt līgumu</w:t>
      </w:r>
      <w:r w:rsidR="00005018" w:rsidRPr="008A3B40">
        <w:t>.</w:t>
      </w:r>
    </w:p>
    <w:p w14:paraId="725E0A0D" w14:textId="064E271A" w:rsidR="00005018" w:rsidRPr="008A3B40" w:rsidRDefault="00005018" w:rsidP="008A3B40">
      <w:pPr>
        <w:spacing w:line="276" w:lineRule="auto"/>
        <w:ind w:firstLine="567"/>
        <w:jc w:val="both"/>
      </w:pPr>
      <w:r w:rsidRPr="008A3B40">
        <w:t xml:space="preserve">Pieteicēja iesniedza tiesā pieteikumu par </w:t>
      </w:r>
      <w:r w:rsidR="00170360" w:rsidRPr="008A3B40">
        <w:t>biroja</w:t>
      </w:r>
      <w:r w:rsidRPr="008A3B40">
        <w:t xml:space="preserve"> lēmuma atcelšanu.</w:t>
      </w:r>
    </w:p>
    <w:p w14:paraId="7B7447C9" w14:textId="77777777" w:rsidR="003047F5" w:rsidRPr="008A3B40" w:rsidRDefault="003047F5" w:rsidP="008A3B40">
      <w:pPr>
        <w:spacing w:line="276" w:lineRule="auto"/>
        <w:ind w:firstLine="567"/>
        <w:jc w:val="both"/>
      </w:pPr>
    </w:p>
    <w:p w14:paraId="36F2F623" w14:textId="5104125B" w:rsidR="003047F5" w:rsidRPr="008A3B40" w:rsidRDefault="003047F5" w:rsidP="008A3B40">
      <w:pPr>
        <w:spacing w:line="276" w:lineRule="auto"/>
        <w:ind w:firstLine="567"/>
        <w:jc w:val="both"/>
      </w:pPr>
      <w:r w:rsidRPr="008A3B40">
        <w:t>[2] </w:t>
      </w:r>
      <w:r w:rsidR="00005018" w:rsidRPr="008A3B40">
        <w:t xml:space="preserve">Administratīvā rajona tiesa ar 2019.gada 21.augusta spriedumu pieteikumu </w:t>
      </w:r>
      <w:r w:rsidR="001029C4" w:rsidRPr="008A3B40">
        <w:t>noraidīja</w:t>
      </w:r>
      <w:r w:rsidR="00D820F9" w:rsidRPr="008A3B40">
        <w:t xml:space="preserve">, </w:t>
      </w:r>
      <w:r w:rsidR="00D820F9" w:rsidRPr="008A3B40">
        <w:rPr>
          <w:rFonts w:eastAsiaTheme="minorEastAsia"/>
        </w:rPr>
        <w:t>norādot turpmāk minētos argumentus</w:t>
      </w:r>
      <w:r w:rsidR="001029C4" w:rsidRPr="008A3B40">
        <w:t xml:space="preserve">. </w:t>
      </w:r>
    </w:p>
    <w:p w14:paraId="00CDAF2F" w14:textId="3906AB47" w:rsidR="00522256" w:rsidRPr="008A3B40" w:rsidRDefault="004C2E46" w:rsidP="008A3B40">
      <w:pPr>
        <w:spacing w:line="276" w:lineRule="auto"/>
        <w:ind w:firstLine="567"/>
        <w:jc w:val="both"/>
      </w:pPr>
      <w:r w:rsidRPr="008A3B40">
        <w:t>[2.1] </w:t>
      </w:r>
      <w:r w:rsidR="00522256" w:rsidRPr="008A3B40">
        <w:t xml:space="preserve">Nepamatoti ir pieteicējas iebildumi pret </w:t>
      </w:r>
      <w:r w:rsidR="00FC7616" w:rsidRPr="008A3B40">
        <w:t xml:space="preserve">to, ka </w:t>
      </w:r>
      <w:r w:rsidR="00522256" w:rsidRPr="008A3B40">
        <w:t>m</w:t>
      </w:r>
      <w:r w:rsidR="009B70FE" w:rsidRPr="008A3B40">
        <w:t xml:space="preserve">obilo sakaru pakalpojumu kvalitātes </w:t>
      </w:r>
      <w:r w:rsidR="00FC7616" w:rsidRPr="008A3B40">
        <w:t>rādītāji tiek vērtēti</w:t>
      </w:r>
      <w:r w:rsidR="00D031A5" w:rsidRPr="008A3B40">
        <w:t xml:space="preserve"> </w:t>
      </w:r>
      <w:r w:rsidR="00FC7616" w:rsidRPr="008A3B40">
        <w:t>pēc bāzes staciju skaita</w:t>
      </w:r>
      <w:r w:rsidR="009B70FE" w:rsidRPr="008A3B40">
        <w:t xml:space="preserve"> konkrētu radiofrekvenč</w:t>
      </w:r>
      <w:r w:rsidR="001D733C" w:rsidRPr="008A3B40">
        <w:t>u spektra diapazona</w:t>
      </w:r>
      <w:r w:rsidR="00522256" w:rsidRPr="008A3B40">
        <w:t xml:space="preserve"> ietvaros</w:t>
      </w:r>
      <w:r w:rsidR="00AD203C" w:rsidRPr="008A3B40">
        <w:t>.</w:t>
      </w:r>
      <w:r w:rsidR="001029C4" w:rsidRPr="008A3B40">
        <w:t xml:space="preserve"> </w:t>
      </w:r>
      <w:r w:rsidR="00522256" w:rsidRPr="008A3B40">
        <w:t>Lai arī nav vienīgais, tas ir objektīvi</w:t>
      </w:r>
      <w:r w:rsidR="00E764E3" w:rsidRPr="008A3B40">
        <w:t xml:space="preserve"> pārbaudāms un viegli salīdzināms pakalpojuma pieejamības rādītājs. </w:t>
      </w:r>
      <w:r w:rsidR="001029C4" w:rsidRPr="008A3B40">
        <w:t>Šāds vērtēšanas</w:t>
      </w:r>
      <w:r w:rsidR="00B43667" w:rsidRPr="008A3B40">
        <w:t xml:space="preserve"> kritē</w:t>
      </w:r>
      <w:r w:rsidR="001029C4" w:rsidRPr="008A3B40">
        <w:t>rijs</w:t>
      </w:r>
      <w:r w:rsidR="00B43667" w:rsidRPr="008A3B40">
        <w:t xml:space="preserve"> ir p</w:t>
      </w:r>
      <w:r w:rsidR="001029C4" w:rsidRPr="008A3B40">
        <w:t>amatots</w:t>
      </w:r>
      <w:r w:rsidR="00B43667" w:rsidRPr="008A3B40">
        <w:t xml:space="preserve"> un samērī</w:t>
      </w:r>
      <w:r w:rsidR="001029C4" w:rsidRPr="008A3B40">
        <w:t>gs</w:t>
      </w:r>
      <w:r w:rsidR="00A8308A" w:rsidRPr="008A3B40">
        <w:t>, lai sasniegtu konkursa mērķi.</w:t>
      </w:r>
      <w:r w:rsidR="000E293A" w:rsidRPr="008A3B40">
        <w:t xml:space="preserve"> </w:t>
      </w:r>
      <w:r w:rsidR="001D733C" w:rsidRPr="008A3B40">
        <w:t>Citus objektīvus vērtēšanas kritērijus pieteicēja nav piedāvājusi.</w:t>
      </w:r>
    </w:p>
    <w:p w14:paraId="0C19EFE5" w14:textId="1796B2E9" w:rsidR="00AD203C" w:rsidRPr="008A3B40" w:rsidRDefault="00CE51D5" w:rsidP="008A3B40">
      <w:pPr>
        <w:spacing w:line="276" w:lineRule="auto"/>
        <w:ind w:firstLine="567"/>
        <w:jc w:val="both"/>
      </w:pPr>
      <w:r w:rsidRPr="008A3B40">
        <w:t>P</w:t>
      </w:r>
      <w:r w:rsidR="00372D57" w:rsidRPr="008A3B40">
        <w:t>ar bāzes staciju skaitu</w:t>
      </w:r>
      <w:r w:rsidR="00FC7616" w:rsidRPr="008A3B40">
        <w:t xml:space="preserve"> konkrētu radiofrekvenču</w:t>
      </w:r>
      <w:r w:rsidR="00555407" w:rsidRPr="008A3B40">
        <w:t xml:space="preserve"> spektra</w:t>
      </w:r>
      <w:r w:rsidR="00FC7616" w:rsidRPr="008A3B40">
        <w:t xml:space="preserve"> diapazona ietvaros</w:t>
      </w:r>
      <w:r w:rsidR="00846394" w:rsidRPr="008A3B40">
        <w:t xml:space="preserve"> iegūstamie punkti veido </w:t>
      </w:r>
      <w:r w:rsidR="00033FE6" w:rsidRPr="008A3B40">
        <w:t>tikai</w:t>
      </w:r>
      <w:r w:rsidR="00AD203C" w:rsidRPr="008A3B40">
        <w:t xml:space="preserve"> 36</w:t>
      </w:r>
      <w:r w:rsidR="000E293A" w:rsidRPr="008A3B40">
        <w:t> </w:t>
      </w:r>
      <w:r w:rsidR="00AD203C" w:rsidRPr="008A3B40">
        <w:t>% no kopējā punktu skaita.</w:t>
      </w:r>
    </w:p>
    <w:p w14:paraId="0D3848A5" w14:textId="648909A5" w:rsidR="00B43667" w:rsidRPr="008A3B40" w:rsidRDefault="00E764E3" w:rsidP="008A3B40">
      <w:pPr>
        <w:spacing w:line="276" w:lineRule="auto"/>
        <w:ind w:firstLine="567"/>
        <w:jc w:val="both"/>
      </w:pPr>
      <w:r w:rsidRPr="008A3B40">
        <w:t>[2.</w:t>
      </w:r>
      <w:r w:rsidR="007370E8" w:rsidRPr="008A3B40">
        <w:t>2</w:t>
      </w:r>
      <w:r w:rsidRPr="008A3B40">
        <w:t xml:space="preserve">] Pieteicēja nepamatoti norāda, ka </w:t>
      </w:r>
      <w:r w:rsidR="00201688" w:rsidRPr="008A3B40">
        <w:t>punktu piešķiršana</w:t>
      </w:r>
      <w:r w:rsidRPr="008A3B40">
        <w:t xml:space="preserve"> atkarībā no klientu apkalpošanas punktu skaita Latvijā</w:t>
      </w:r>
      <w:r w:rsidR="00EB7FDB" w:rsidRPr="008A3B40">
        <w:t xml:space="preserve"> ir </w:t>
      </w:r>
      <w:r w:rsidR="00201688" w:rsidRPr="008A3B40">
        <w:t>tendencioza</w:t>
      </w:r>
      <w:r w:rsidR="00B43667" w:rsidRPr="008A3B40">
        <w:t xml:space="preserve"> un </w:t>
      </w:r>
      <w:r w:rsidR="00201688" w:rsidRPr="008A3B40">
        <w:t xml:space="preserve">noteikta </w:t>
      </w:r>
      <w:r w:rsidR="00B43667" w:rsidRPr="008A3B40">
        <w:t>par labu konkrētam pretendentam.</w:t>
      </w:r>
      <w:r w:rsidR="00555407" w:rsidRPr="008A3B40">
        <w:t xml:space="preserve"> </w:t>
      </w:r>
      <w:r w:rsidR="00B43667" w:rsidRPr="008A3B40">
        <w:t xml:space="preserve">Pasūtītāja prasību pēc maksimāli plašāka klientu apkalpošanas punktu skaita Latvijā ir pamatojusi. </w:t>
      </w:r>
      <w:r w:rsidR="004738AA" w:rsidRPr="008A3B40">
        <w:t>P</w:t>
      </w:r>
      <w:r w:rsidR="00B43667" w:rsidRPr="008A3B40">
        <w:t>asūtītāja darbojas un arī novērojumu tīklu veido visā Latvijā</w:t>
      </w:r>
      <w:r w:rsidR="00CE51D5" w:rsidRPr="008A3B40">
        <w:t>. Līdz ar to šāda</w:t>
      </w:r>
      <w:r w:rsidR="00B43667" w:rsidRPr="008A3B40">
        <w:t xml:space="preserve"> prasība ir loģiska un samērīga attiecībā pret konkursa priekšmetu.</w:t>
      </w:r>
      <w:r w:rsidR="00B53E8B" w:rsidRPr="008A3B40">
        <w:t xml:space="preserve"> </w:t>
      </w:r>
      <w:r w:rsidR="008F5B19" w:rsidRPr="008A3B40">
        <w:t>T</w:t>
      </w:r>
      <w:r w:rsidR="00B53E8B" w:rsidRPr="008A3B40">
        <w:t xml:space="preserve">uvumā esošs klientu apkalpošanas centrs var </w:t>
      </w:r>
      <w:r w:rsidR="004738AA" w:rsidRPr="008A3B40">
        <w:t>operatīvi reaģēt</w:t>
      </w:r>
      <w:r w:rsidR="00B53E8B" w:rsidRPr="008A3B40">
        <w:t>, ja radušās problēmas.</w:t>
      </w:r>
    </w:p>
    <w:p w14:paraId="1AF67897" w14:textId="0047BD7C" w:rsidR="00B53E8B" w:rsidRPr="008A3B40" w:rsidRDefault="00B53E8B" w:rsidP="008A3B40">
      <w:pPr>
        <w:spacing w:line="276" w:lineRule="auto"/>
        <w:ind w:firstLine="567"/>
        <w:jc w:val="both"/>
      </w:pPr>
      <w:r w:rsidRPr="008A3B40">
        <w:t xml:space="preserve">Minētajam kritērijam ir neliels punktu skaita īpatsvars attiecībā pret </w:t>
      </w:r>
      <w:r w:rsidR="00A8308A" w:rsidRPr="008A3B40">
        <w:t>maksimāli iegūstamajiem</w:t>
      </w:r>
      <w:r w:rsidR="008F5B19" w:rsidRPr="008A3B40">
        <w:t xml:space="preserve"> punktiem</w:t>
      </w:r>
      <w:r w:rsidRPr="008A3B40">
        <w:t>.</w:t>
      </w:r>
    </w:p>
    <w:p w14:paraId="18729FEC" w14:textId="006DE30D" w:rsidR="008F5B19" w:rsidRPr="008A3B40" w:rsidRDefault="00B53E8B" w:rsidP="008A3B40">
      <w:pPr>
        <w:spacing w:line="276" w:lineRule="auto"/>
        <w:ind w:firstLine="567"/>
        <w:jc w:val="both"/>
      </w:pPr>
      <w:r w:rsidRPr="008A3B40">
        <w:t xml:space="preserve">Pieteicēja nav </w:t>
      </w:r>
      <w:r w:rsidR="00877789" w:rsidRPr="008A3B40">
        <w:t>pamatojusi apgalvojumu, ka</w:t>
      </w:r>
      <w:r w:rsidRPr="008A3B40">
        <w:t xml:space="preserve"> kritērijs izvirzīts par labu </w:t>
      </w:r>
      <w:r w:rsidR="00877789" w:rsidRPr="008A3B40">
        <w:t xml:space="preserve">noteiktam </w:t>
      </w:r>
      <w:r w:rsidRPr="008A3B40">
        <w:t>pretendentam.</w:t>
      </w:r>
    </w:p>
    <w:p w14:paraId="0D7827B6" w14:textId="5FD9CDD1" w:rsidR="006B7BBC" w:rsidRPr="008A3B40" w:rsidRDefault="006B7BBC" w:rsidP="008A3B40">
      <w:pPr>
        <w:spacing w:line="276" w:lineRule="auto"/>
        <w:ind w:firstLine="567"/>
        <w:jc w:val="both"/>
      </w:pPr>
    </w:p>
    <w:p w14:paraId="21D969F8" w14:textId="08847F80" w:rsidR="003047F5" w:rsidRPr="008A3B40" w:rsidRDefault="003047F5" w:rsidP="008A3B40">
      <w:pPr>
        <w:spacing w:line="276" w:lineRule="auto"/>
        <w:ind w:firstLine="567"/>
        <w:jc w:val="both"/>
      </w:pPr>
      <w:r w:rsidRPr="008A3B40">
        <w:t>[</w:t>
      </w:r>
      <w:r w:rsidR="006B7BBC" w:rsidRPr="008A3B40">
        <w:t>3</w:t>
      </w:r>
      <w:r w:rsidRPr="008A3B40">
        <w:t>] </w:t>
      </w:r>
      <w:r w:rsidR="00B53E8B" w:rsidRPr="008A3B40">
        <w:t xml:space="preserve">Pieteicēja par minēto spriedumu iesniedza kasācijas sūdzību, kas pamatota ar </w:t>
      </w:r>
      <w:r w:rsidR="00067C42" w:rsidRPr="008A3B40">
        <w:t xml:space="preserve">turpmāk minētajiem </w:t>
      </w:r>
      <w:r w:rsidR="00B53E8B" w:rsidRPr="008A3B40">
        <w:t>argumentiem.</w:t>
      </w:r>
    </w:p>
    <w:p w14:paraId="6F20B33B" w14:textId="1DC98582" w:rsidR="00A41774" w:rsidRPr="008A3B40" w:rsidRDefault="006B7BBC" w:rsidP="008A3B40">
      <w:pPr>
        <w:spacing w:line="276" w:lineRule="auto"/>
        <w:ind w:firstLine="567"/>
        <w:jc w:val="both"/>
      </w:pPr>
      <w:r w:rsidRPr="008A3B40">
        <w:t>[3.1</w:t>
      </w:r>
      <w:r w:rsidR="003047F5" w:rsidRPr="008A3B40">
        <w:t>] </w:t>
      </w:r>
      <w:r w:rsidR="00E95F2A" w:rsidRPr="008A3B40">
        <w:t>P</w:t>
      </w:r>
      <w:r w:rsidR="00A41774" w:rsidRPr="008A3B40">
        <w:t xml:space="preserve">asūtītāja nolikumā ir iekļāvusi objektīvi izmērāmu, bet konkursa priekšmetam neatbilstošu kritēriju. </w:t>
      </w:r>
      <w:r w:rsidR="00B53E8B" w:rsidRPr="008A3B40">
        <w:t xml:space="preserve">Bāzes staciju skaits pats par sevi </w:t>
      </w:r>
      <w:r w:rsidR="00A41774" w:rsidRPr="008A3B40">
        <w:t>neraksturo</w:t>
      </w:r>
      <w:r w:rsidR="00B53E8B" w:rsidRPr="008A3B40">
        <w:t xml:space="preserve"> mobilo sakaru pakalpojumu pieejamību vai kvalitāti. </w:t>
      </w:r>
      <w:r w:rsidR="0028274C" w:rsidRPr="008A3B40">
        <w:t>I</w:t>
      </w:r>
      <w:r w:rsidR="00B53E8B" w:rsidRPr="008A3B40">
        <w:t>r jāņem vērā virkne tīkla pārklājumu ietekmējoš</w:t>
      </w:r>
      <w:r w:rsidR="00800539" w:rsidRPr="008A3B40">
        <w:t>u</w:t>
      </w:r>
      <w:r w:rsidR="00B53E8B" w:rsidRPr="008A3B40">
        <w:t xml:space="preserve"> faktor</w:t>
      </w:r>
      <w:r w:rsidR="00800539" w:rsidRPr="008A3B40">
        <w:t>u</w:t>
      </w:r>
      <w:r w:rsidR="00B53E8B" w:rsidRPr="008A3B40">
        <w:t xml:space="preserve">. </w:t>
      </w:r>
      <w:r w:rsidR="00A41774" w:rsidRPr="008A3B40">
        <w:t xml:space="preserve">Tiesa šo faktoru detalizēto raksturojumu nav vērtējusi, bet </w:t>
      </w:r>
      <w:r w:rsidR="0064168F" w:rsidRPr="008A3B40">
        <w:t xml:space="preserve">ir </w:t>
      </w:r>
      <w:r w:rsidR="00A41774" w:rsidRPr="008A3B40">
        <w:t>saistījusi vienīgi ar pasūtītājas paskaidrojumiem, kas nav apstiprināti ar citiem pierādījumiem lietā.</w:t>
      </w:r>
    </w:p>
    <w:p w14:paraId="7301D791" w14:textId="4D9027D3" w:rsidR="00F829DE" w:rsidRPr="008A3B40" w:rsidRDefault="00FE0CA1" w:rsidP="008A3B40">
      <w:pPr>
        <w:spacing w:line="276" w:lineRule="auto"/>
        <w:ind w:firstLine="567"/>
        <w:jc w:val="both"/>
      </w:pPr>
      <w:r w:rsidRPr="008A3B40">
        <w:t>V</w:t>
      </w:r>
      <w:r w:rsidR="00985A6B" w:rsidRPr="008A3B40">
        <w:t xml:space="preserve">ērtēšanas kritēriji pēc bāzes staciju skaita noteiktos frekvenču diapazonos neatbilst pasūtītājas </w:t>
      </w:r>
      <w:r w:rsidR="00B53E8B" w:rsidRPr="008A3B40">
        <w:t>vajadzībai</w:t>
      </w:r>
      <w:r w:rsidR="00F829DE" w:rsidRPr="008A3B40">
        <w:t>.</w:t>
      </w:r>
    </w:p>
    <w:p w14:paraId="08FEE6B7" w14:textId="4FA1693B" w:rsidR="00A41774" w:rsidRPr="008A3B40" w:rsidRDefault="00FE0CA1" w:rsidP="008A3B40">
      <w:pPr>
        <w:spacing w:line="276" w:lineRule="auto"/>
        <w:ind w:firstLine="567"/>
        <w:jc w:val="both"/>
      </w:pPr>
      <w:r w:rsidRPr="008A3B40">
        <w:t>Pasūtītāja nevar</w:t>
      </w:r>
      <w:r w:rsidR="00016A5E" w:rsidRPr="008A3B40">
        <w:t xml:space="preserve"> piemērot objektīvi nepamatotus un konkure</w:t>
      </w:r>
      <w:r w:rsidR="00F829DE" w:rsidRPr="008A3B40">
        <w:t xml:space="preserve">nci ierobežojošus piedāvājumu </w:t>
      </w:r>
      <w:r w:rsidR="00016A5E" w:rsidRPr="008A3B40">
        <w:t>v</w:t>
      </w:r>
      <w:r w:rsidR="004738AA" w:rsidRPr="008A3B40">
        <w:t>ērtēšanas kritērijus tikai tāpēc</w:t>
      </w:r>
      <w:r w:rsidR="00016A5E" w:rsidRPr="008A3B40">
        <w:t>, ka tos ir vienkārši pārbaudīt vai izmērīt.</w:t>
      </w:r>
    </w:p>
    <w:p w14:paraId="2B690C2A" w14:textId="5D2F411E" w:rsidR="005E6008" w:rsidRPr="008A3B40" w:rsidRDefault="001254FA" w:rsidP="008A3B40">
      <w:pPr>
        <w:spacing w:line="276" w:lineRule="auto"/>
        <w:ind w:firstLine="567"/>
        <w:jc w:val="both"/>
      </w:pPr>
      <w:r w:rsidRPr="008A3B40">
        <w:t xml:space="preserve">Pieteicēja iesniedza tiesā pieteikumu, lai panāktu, ka tiek nodrošināta </w:t>
      </w:r>
      <w:r w:rsidR="0028274C" w:rsidRPr="008A3B40">
        <w:t>vienlīdzī</w:t>
      </w:r>
      <w:r w:rsidRPr="008A3B40">
        <w:t>ga attieksme</w:t>
      </w:r>
      <w:r w:rsidR="0028274C" w:rsidRPr="008A3B40">
        <w:t xml:space="preserve"> un godī</w:t>
      </w:r>
      <w:r w:rsidRPr="008A3B40">
        <w:t xml:space="preserve">ga konkurence, </w:t>
      </w:r>
      <w:r w:rsidR="004738AA" w:rsidRPr="008A3B40">
        <w:t>taču šo aspektu tiesa nevērtēja.</w:t>
      </w:r>
      <w:r w:rsidRPr="008A3B40">
        <w:t xml:space="preserve"> </w:t>
      </w:r>
      <w:r w:rsidR="005120A0" w:rsidRPr="008A3B40">
        <w:t>Š</w:t>
      </w:r>
      <w:r w:rsidR="005B3FDF" w:rsidRPr="008A3B40">
        <w:t>āda vērtēšanas kritērija iekļ</w:t>
      </w:r>
      <w:r w:rsidR="00902287" w:rsidRPr="008A3B40">
        <w:t>aušana</w:t>
      </w:r>
      <w:r w:rsidR="004738AA" w:rsidRPr="008A3B40">
        <w:t>s</w:t>
      </w:r>
      <w:r w:rsidR="00902287" w:rsidRPr="008A3B40">
        <w:t xml:space="preserve"> nolikumā mērķis ir radīt priekšrocības konkrētam pretendentam</w:t>
      </w:r>
      <w:r w:rsidR="005120A0" w:rsidRPr="008A3B40">
        <w:t xml:space="preserve"> – SIA „Latvijas Mobilais Telefons”</w:t>
      </w:r>
      <w:r w:rsidR="00902287" w:rsidRPr="008A3B40">
        <w:t>.</w:t>
      </w:r>
      <w:r w:rsidR="005120A0" w:rsidRPr="008A3B40">
        <w:t xml:space="preserve"> </w:t>
      </w:r>
      <w:r w:rsidR="0028274C" w:rsidRPr="008A3B40">
        <w:t>Iegūstamais p</w:t>
      </w:r>
      <w:r w:rsidR="005E6008" w:rsidRPr="008A3B40">
        <w:t>unktu skaits ir nosakāms vēl pirms piedāvājum</w:t>
      </w:r>
      <w:r w:rsidR="005120A0" w:rsidRPr="008A3B40">
        <w:t>u</w:t>
      </w:r>
      <w:r w:rsidR="005E6008" w:rsidRPr="008A3B40">
        <w:t xml:space="preserve"> iesniegšanas, jo staciju vajadzībām saņemto atļauju skaits ir iepriekš zināms un publiski pieejams.</w:t>
      </w:r>
      <w:r w:rsidR="00E10026" w:rsidRPr="008A3B40">
        <w:t xml:space="preserve"> Tāpat šā kritērija</w:t>
      </w:r>
      <w:r w:rsidR="0028274C" w:rsidRPr="008A3B40">
        <w:t xml:space="preserve"> punktu</w:t>
      </w:r>
      <w:r w:rsidR="00E10026" w:rsidRPr="008A3B40">
        <w:t xml:space="preserve"> īpatsvars ir tāds, ka jau iepriekš pietiekami droši iespējams prognozēt uzvarētāju.</w:t>
      </w:r>
    </w:p>
    <w:p w14:paraId="5E3A88C8" w14:textId="463B6898" w:rsidR="005E6008" w:rsidRPr="008A3B40" w:rsidRDefault="005E6008" w:rsidP="008A3B40">
      <w:pPr>
        <w:spacing w:line="276" w:lineRule="auto"/>
        <w:ind w:firstLine="567"/>
        <w:jc w:val="both"/>
      </w:pPr>
      <w:r w:rsidRPr="008A3B40">
        <w:t xml:space="preserve">Tiesa nav vērtējusi pieteicējas </w:t>
      </w:r>
      <w:r w:rsidR="0090507B" w:rsidRPr="008A3B40">
        <w:t>norādīto, ka bāzes stacijas 1900,0–</w:t>
      </w:r>
      <w:r w:rsidR="005120A0" w:rsidRPr="008A3B40">
        <w:t>1920,0 </w:t>
      </w:r>
      <w:r w:rsidR="0090507B" w:rsidRPr="008A3B40">
        <w:t xml:space="preserve">MHz radiofrekvenču diapazonā tiek izmantotas tikai bāzes staciju testēšanai, nevis mobilo sakaru pakalpojumu sniegšanai. Par to </w:t>
      </w:r>
      <w:r w:rsidR="00A8308A" w:rsidRPr="008A3B40">
        <w:t xml:space="preserve">punkti </w:t>
      </w:r>
      <w:r w:rsidR="0090507B" w:rsidRPr="008A3B40">
        <w:t>n</w:t>
      </w:r>
      <w:r w:rsidR="008F5B19" w:rsidRPr="008A3B40">
        <w:t xml:space="preserve">av </w:t>
      </w:r>
      <w:r w:rsidR="00A8308A" w:rsidRPr="008A3B40">
        <w:t>piešķirami</w:t>
      </w:r>
      <w:r w:rsidR="0090507B" w:rsidRPr="008A3B40">
        <w:t>.</w:t>
      </w:r>
    </w:p>
    <w:p w14:paraId="5A10D0F6" w14:textId="4D75DDBC" w:rsidR="003A7A12" w:rsidRPr="008A3B40" w:rsidRDefault="00E95F2A" w:rsidP="008A3B40">
      <w:pPr>
        <w:spacing w:line="276" w:lineRule="auto"/>
        <w:ind w:firstLine="567"/>
        <w:jc w:val="both"/>
      </w:pPr>
      <w:r w:rsidRPr="008A3B40">
        <w:t>[3.</w:t>
      </w:r>
      <w:r w:rsidR="00126460" w:rsidRPr="008A3B40">
        <w:t>2</w:t>
      </w:r>
      <w:r w:rsidR="0090507B" w:rsidRPr="008A3B40">
        <w:t>] Tiesa nav pienācīgi izvērtējusi</w:t>
      </w:r>
      <w:r w:rsidR="00846394" w:rsidRPr="008A3B40">
        <w:t xml:space="preserve"> pieteicējas iebildumus pret</w:t>
      </w:r>
      <w:r w:rsidR="00C53DBA" w:rsidRPr="008A3B40">
        <w:t xml:space="preserve"> </w:t>
      </w:r>
      <w:r w:rsidR="001254FA" w:rsidRPr="008A3B40">
        <w:t>to, ka</w:t>
      </w:r>
      <w:r w:rsidR="00C53DBA" w:rsidRPr="008A3B40">
        <w:t xml:space="preserve"> punkti tiek</w:t>
      </w:r>
      <w:r w:rsidR="00846394" w:rsidRPr="008A3B40">
        <w:t xml:space="preserve"> piešķirt</w:t>
      </w:r>
      <w:r w:rsidR="00C53DBA" w:rsidRPr="008A3B40">
        <w:t xml:space="preserve">i </w:t>
      </w:r>
      <w:r w:rsidR="00846394" w:rsidRPr="008A3B40">
        <w:t>atkarībā no klientu apkalpošanas punktu skaita Latvijā.</w:t>
      </w:r>
      <w:r w:rsidR="00C53DBA" w:rsidRPr="008A3B40">
        <w:t xml:space="preserve"> N</w:t>
      </w:r>
      <w:r w:rsidR="00846394" w:rsidRPr="008A3B40">
        <w:t xml:space="preserve">olikumā nav </w:t>
      </w:r>
      <w:r w:rsidRPr="008A3B40">
        <w:t>informācijas par to</w:t>
      </w:r>
      <w:r w:rsidR="00846394" w:rsidRPr="008A3B40">
        <w:t>,</w:t>
      </w:r>
      <w:r w:rsidR="0028274C" w:rsidRPr="008A3B40">
        <w:t xml:space="preserve"> kādiem mērķiem </w:t>
      </w:r>
      <w:r w:rsidR="00846394" w:rsidRPr="008A3B40">
        <w:t xml:space="preserve">pasūtītāja ir paredzējusi </w:t>
      </w:r>
      <w:r w:rsidRPr="008A3B40">
        <w:t>tos izmantot</w:t>
      </w:r>
      <w:r w:rsidR="001254FA" w:rsidRPr="008A3B40">
        <w:t>.</w:t>
      </w:r>
      <w:r w:rsidR="008F5B19" w:rsidRPr="008A3B40">
        <w:t xml:space="preserve"> </w:t>
      </w:r>
      <w:r w:rsidR="003A7A12" w:rsidRPr="008A3B40">
        <w:t>Nav pa</w:t>
      </w:r>
      <w:r w:rsidR="001254FA" w:rsidRPr="008A3B40">
        <w:t xml:space="preserve">matots tiesas secinājums, ka prasības </w:t>
      </w:r>
      <w:r w:rsidR="008F5B19" w:rsidRPr="008A3B40">
        <w:t>pamatotību</w:t>
      </w:r>
      <w:r w:rsidR="001254FA" w:rsidRPr="008A3B40">
        <w:t xml:space="preserve"> apliecina </w:t>
      </w:r>
      <w:r w:rsidR="003A7A12" w:rsidRPr="008A3B40">
        <w:t xml:space="preserve">pasūtītājas un biroja norādītais par pasūtītājas darbību visā </w:t>
      </w:r>
      <w:r w:rsidR="003A7A12" w:rsidRPr="008A3B40">
        <w:lastRenderedPageBreak/>
        <w:t>Latvijas teritorijā un operatīvāku risinājumu nodrošināšanu, ja rastos problēmas.</w:t>
      </w:r>
      <w:r w:rsidRPr="008A3B40">
        <w:t xml:space="preserve"> </w:t>
      </w:r>
      <w:r w:rsidR="005120A0" w:rsidRPr="008A3B40">
        <w:t>Šādā gadījumā pasūtītājai būtu jānosaka</w:t>
      </w:r>
      <w:r w:rsidRPr="008A3B40">
        <w:t>, kurās Latvijas pilsētā</w:t>
      </w:r>
      <w:r w:rsidR="005120A0" w:rsidRPr="008A3B40">
        <w:t>s</w:t>
      </w:r>
      <w:r w:rsidRPr="008A3B40">
        <w:t xml:space="preserve"> klientu</w:t>
      </w:r>
      <w:r w:rsidR="005120A0" w:rsidRPr="008A3B40">
        <w:t xml:space="preserve"> apkalpošanas centriem</w:t>
      </w:r>
      <w:r w:rsidRPr="008A3B40">
        <w:t xml:space="preserve"> ir jāatrodas</w:t>
      </w:r>
      <w:r w:rsidR="00C53DBA" w:rsidRPr="008A3B40">
        <w:t>,</w:t>
      </w:r>
      <w:r w:rsidR="005120A0" w:rsidRPr="008A3B40">
        <w:t xml:space="preserve"> vai arī</w:t>
      </w:r>
      <w:r w:rsidR="00033FE6" w:rsidRPr="008A3B40">
        <w:t xml:space="preserve"> būtu</w:t>
      </w:r>
      <w:r w:rsidR="005120A0" w:rsidRPr="008A3B40">
        <w:t xml:space="preserve"> </w:t>
      </w:r>
      <w:r w:rsidR="00033FE6" w:rsidRPr="008A3B40">
        <w:t xml:space="preserve">jānoteic </w:t>
      </w:r>
      <w:r w:rsidR="005120A0" w:rsidRPr="008A3B40">
        <w:t>maksimālais attālums no pasūtītājas objektiem līdz tuvākajam klientu apkalpošanas centram.</w:t>
      </w:r>
    </w:p>
    <w:p w14:paraId="04FFC1C7" w14:textId="413726EA" w:rsidR="00510A6A" w:rsidRPr="008A3B40" w:rsidRDefault="00E10026" w:rsidP="008A3B40">
      <w:pPr>
        <w:spacing w:line="276" w:lineRule="auto"/>
        <w:ind w:firstLine="567"/>
        <w:jc w:val="both"/>
      </w:pPr>
      <w:r w:rsidRPr="008A3B40">
        <w:t>M</w:t>
      </w:r>
      <w:r w:rsidR="005120A0" w:rsidRPr="008A3B40">
        <w:t>inētais kritērijs nav saistīts ar līguma priekšmetu un nav objektīvi pamatots. Tas rada priekšrocības konkrētam pakalpojumu sniedzējam, ierobežo konkurenci, neparedzot iespēju piedāvāt alternatīvus</w:t>
      </w:r>
      <w:r w:rsidR="00C53DBA" w:rsidRPr="008A3B40">
        <w:t>, vismaz tikpat efektīvus</w:t>
      </w:r>
      <w:r w:rsidR="005120A0" w:rsidRPr="008A3B40">
        <w:t xml:space="preserve"> pakalpojumus.</w:t>
      </w:r>
      <w:r w:rsidR="008F5B19" w:rsidRPr="008A3B40">
        <w:t xml:space="preserve"> A</w:t>
      </w:r>
      <w:r w:rsidR="005120A0" w:rsidRPr="008A3B40">
        <w:t>rī šāda kritērija iekļaušana nolikumā automātiski nozīmē, ka maksimālais punktu skaits tiks piešķirts SIA „Latvijas Mobilais Telefons”</w:t>
      </w:r>
      <w:r w:rsidRPr="008A3B40">
        <w:t>. Turklāt arī šī informācija ir iepriekš noskaidrojama.</w:t>
      </w:r>
    </w:p>
    <w:p w14:paraId="58A15ABE" w14:textId="34FB3897" w:rsidR="00632505" w:rsidRPr="008A3B40" w:rsidRDefault="00632505" w:rsidP="008A3B40">
      <w:pPr>
        <w:spacing w:line="276" w:lineRule="auto"/>
        <w:ind w:firstLine="567"/>
        <w:jc w:val="both"/>
      </w:pPr>
      <w:r w:rsidRPr="008A3B40">
        <w:t>[3.</w:t>
      </w:r>
      <w:r w:rsidR="00C20057" w:rsidRPr="008A3B40">
        <w:t>3</w:t>
      </w:r>
      <w:r w:rsidRPr="008A3B40">
        <w:t>] Pieteicēja lūdz lietu izskatīt mutvārdu procesā.</w:t>
      </w:r>
    </w:p>
    <w:p w14:paraId="0D54F2B6" w14:textId="77777777" w:rsidR="00E10026" w:rsidRPr="008A3B40" w:rsidRDefault="00E10026" w:rsidP="008A3B40">
      <w:pPr>
        <w:spacing w:line="276" w:lineRule="auto"/>
        <w:ind w:firstLine="567"/>
        <w:jc w:val="both"/>
      </w:pPr>
    </w:p>
    <w:p w14:paraId="74A074D4" w14:textId="0BA5B798" w:rsidR="00C7128D" w:rsidRPr="008A3B40" w:rsidRDefault="00E95F2A" w:rsidP="008A3B40">
      <w:pPr>
        <w:spacing w:line="276" w:lineRule="auto"/>
        <w:ind w:firstLine="567"/>
        <w:jc w:val="both"/>
      </w:pPr>
      <w:r w:rsidRPr="008A3B40">
        <w:t>[4] </w:t>
      </w:r>
      <w:r w:rsidR="00C7128D" w:rsidRPr="008A3B40">
        <w:t xml:space="preserve">Birojs </w:t>
      </w:r>
      <w:r w:rsidR="00F829DE" w:rsidRPr="008A3B40">
        <w:t xml:space="preserve">un pasūtītāja </w:t>
      </w:r>
      <w:r w:rsidR="00C7128D" w:rsidRPr="008A3B40">
        <w:t>paskaidrojum</w:t>
      </w:r>
      <w:r w:rsidR="00F829DE" w:rsidRPr="008A3B40">
        <w:t>os</w:t>
      </w:r>
      <w:r w:rsidR="00C7128D" w:rsidRPr="008A3B40">
        <w:t xml:space="preserve"> par kasācijas sūdzību norādīja, ka tā ir nepamatota.</w:t>
      </w:r>
    </w:p>
    <w:p w14:paraId="1CAF2139" w14:textId="20B4F17F" w:rsidR="00C53DBA" w:rsidRPr="008A3B40" w:rsidRDefault="00C53DBA" w:rsidP="008A3B40">
      <w:pPr>
        <w:spacing w:line="276" w:lineRule="auto"/>
        <w:ind w:firstLine="567"/>
        <w:jc w:val="both"/>
      </w:pPr>
      <w:r w:rsidRPr="008A3B40">
        <w:t>Birojs uzsvēra, ka</w:t>
      </w:r>
      <w:r w:rsidR="002D0FF6" w:rsidRPr="008A3B40">
        <w:t xml:space="preserve"> tas, ka iepriekš ir zināmas citu pretendentu priekšrocības, nepadara vērtēšanas kritērijus par nepamatotiem</w:t>
      </w:r>
      <w:r w:rsidR="00632505" w:rsidRPr="008A3B40">
        <w:t>. T</w:t>
      </w:r>
      <w:r w:rsidR="002D0FF6" w:rsidRPr="008A3B40">
        <w:t xml:space="preserve">irgū konkurējošie pretendenti ir pietiekami </w:t>
      </w:r>
      <w:r w:rsidR="00632505" w:rsidRPr="008A3B40">
        <w:t>informēti par savu konkurentu</w:t>
      </w:r>
      <w:r w:rsidR="002D0FF6" w:rsidRPr="008A3B40">
        <w:t xml:space="preserve"> sniegtajiem pakalpojumiem, pārzina to priekšrocības. Pretējas pieejas gadījumā tiktu apdraudēta kvalitātes kritēriju noteikšana lielākajā daļā iepirkumu.</w:t>
      </w:r>
    </w:p>
    <w:p w14:paraId="51D5FABC" w14:textId="77777777" w:rsidR="003047F5" w:rsidRPr="008A3B40" w:rsidRDefault="003047F5" w:rsidP="008A3B40">
      <w:pPr>
        <w:spacing w:line="276" w:lineRule="auto"/>
        <w:ind w:firstLine="567"/>
        <w:jc w:val="both"/>
      </w:pPr>
    </w:p>
    <w:p w14:paraId="50C3E4A3" w14:textId="4BFFCD06" w:rsidR="003047F5" w:rsidRPr="008A3B40" w:rsidRDefault="003047F5" w:rsidP="008A3B40">
      <w:pPr>
        <w:spacing w:line="276" w:lineRule="auto"/>
        <w:jc w:val="center"/>
        <w:rPr>
          <w:b/>
        </w:rPr>
      </w:pPr>
      <w:r w:rsidRPr="008A3B40">
        <w:rPr>
          <w:b/>
        </w:rPr>
        <w:t>Motīvu daļa</w:t>
      </w:r>
    </w:p>
    <w:p w14:paraId="6E9CE39C" w14:textId="77777777" w:rsidR="00F50B8B" w:rsidRPr="008A3B40" w:rsidRDefault="00F50B8B" w:rsidP="008A3B40">
      <w:pPr>
        <w:spacing w:line="276" w:lineRule="auto"/>
        <w:jc w:val="both"/>
      </w:pPr>
    </w:p>
    <w:p w14:paraId="6CE62DA7" w14:textId="390CAEDC" w:rsidR="009707BE" w:rsidRPr="008A3B40" w:rsidRDefault="003047F5" w:rsidP="008A3B40">
      <w:pPr>
        <w:spacing w:line="276" w:lineRule="auto"/>
        <w:ind w:firstLine="567"/>
        <w:jc w:val="both"/>
      </w:pPr>
      <w:r w:rsidRPr="008A3B40">
        <w:t>[</w:t>
      </w:r>
      <w:r w:rsidR="00F829DE" w:rsidRPr="008A3B40">
        <w:t>5</w:t>
      </w:r>
      <w:r w:rsidRPr="008A3B40">
        <w:t>]</w:t>
      </w:r>
      <w:r w:rsidR="00EF7D64" w:rsidRPr="008A3B40">
        <w:t> </w:t>
      </w:r>
      <w:r w:rsidR="009707BE" w:rsidRPr="008A3B40">
        <w:t>Pieteicēja kasācijas sūdzībā lūgusi lietu izskatīt mutvārdu procesā. Lūgums pamatots ar to, ka lieta ir sarežģīta, specifiska un nozīmīga turpmākās judikatūras veidošanā. Tāpat pieteicēja norādījusi, ka, lai panāktu objektīvu un taisnīgu risinājumu lietā, mutvārdu procesā nepieciešams detalizēti noskaidrot lietas faktiskos un juridiskos apstākļus, kas nav vērtēti pirmās instances tiesā.</w:t>
      </w:r>
    </w:p>
    <w:p w14:paraId="5572414C" w14:textId="77777777" w:rsidR="009707BE" w:rsidRPr="008A3B40" w:rsidRDefault="009707BE" w:rsidP="008A3B40">
      <w:pPr>
        <w:spacing w:line="276" w:lineRule="auto"/>
        <w:ind w:firstLine="567"/>
        <w:jc w:val="both"/>
      </w:pPr>
      <w:r w:rsidRPr="008A3B40">
        <w:t>Atbilstoši Administratīvā procesa likuma 339.panta pirmajai daļai lietu kasācijas instancē izskata rakstveida procesā. Tas nozīmē, ka tā ir kasācijas instances tiesas prerogatīva noteikt lietas izskatīšanu mutvārdu procesā un tiesai nav saistošs procesa dalībnieka lūgums.</w:t>
      </w:r>
    </w:p>
    <w:p w14:paraId="1B3FF487" w14:textId="77777777" w:rsidR="009707BE" w:rsidRPr="008A3B40" w:rsidRDefault="009707BE" w:rsidP="008A3B40">
      <w:pPr>
        <w:spacing w:line="276" w:lineRule="auto"/>
        <w:ind w:firstLine="567"/>
        <w:jc w:val="both"/>
      </w:pPr>
      <w:r w:rsidRPr="008A3B40">
        <w:t>Pieteicējas argumenti ir vispārīgi un nepamato, kāpēc lietas izskatīšanai kasācijas kārtībā būtu lietderīgs mutvārdu process. Kasācijas instances tiesas kompetencē ir izšķirt jautājumus par tiesību normu piemērošanu, nevis izskatīt lietu pēc būtības. Tas nozīmē, ka kasācijas instances tiesa nepārbauda pierādījumus un neskaidro lietas faktiskos apstākļus, bet risina vienīgi tiesību normu interpretācijas un piemērošanas jautājumus.</w:t>
      </w:r>
    </w:p>
    <w:p w14:paraId="7F949271" w14:textId="77777777" w:rsidR="009707BE" w:rsidRPr="008A3B40" w:rsidRDefault="009707BE" w:rsidP="008A3B40">
      <w:pPr>
        <w:spacing w:line="276" w:lineRule="auto"/>
        <w:ind w:firstLine="567"/>
        <w:jc w:val="both"/>
      </w:pPr>
      <w:r w:rsidRPr="008A3B40">
        <w:t>Senāta praksē konsekventi atzīts, ka lietas izskatīšana tiesas sēdē ir lietderīga gadījumos, kuros no lietā esošajiem dokumentiem nevar gūt vispusīgu un pilnīgu priekšstatu par izskatāmo jautājumu. Šādos apstākļos procesa dalībnieku uzklausīšana tiesas sēdē var sekmēt pareizu izskatāmā jautājuma izlemšanu. Savukārt, ja lietas materiāli ir pietiekami izskatāmā jautājuma izlemšanai, tad mutvārdu process parasti nav lietderīgs. Par konkrētajā gadījumā risināmajiem tiesību jautājumiem lietā esošie dokumenti sniedz pietiekamu priekšstatu. Turklāt lietas dalībnieki procesuālās tiesības mutvārdu procesā ir īstenojuši rajona tiesā.</w:t>
      </w:r>
    </w:p>
    <w:p w14:paraId="01C2EA1F" w14:textId="21AEC547" w:rsidR="009707BE" w:rsidRPr="008A3B40" w:rsidRDefault="005067E4" w:rsidP="008A3B40">
      <w:pPr>
        <w:spacing w:line="276" w:lineRule="auto"/>
        <w:ind w:firstLine="567"/>
        <w:jc w:val="both"/>
      </w:pPr>
      <w:r w:rsidRPr="008A3B40">
        <w:t>Nepieciešamībai veidot judikatūru savukārt nav saistības ar to, vai lieta būtu izskatāma m</w:t>
      </w:r>
      <w:r w:rsidR="008F3DC8" w:rsidRPr="008A3B40">
        <w:t>utvārdu vai rakstveida procesā.</w:t>
      </w:r>
    </w:p>
    <w:p w14:paraId="249BEA83" w14:textId="0D4FF437" w:rsidR="00787A93" w:rsidRPr="008A3B40" w:rsidRDefault="009707BE" w:rsidP="008A3B40">
      <w:pPr>
        <w:spacing w:line="276" w:lineRule="auto"/>
        <w:ind w:firstLine="567"/>
        <w:jc w:val="both"/>
      </w:pPr>
      <w:r w:rsidRPr="008A3B40">
        <w:t>Līdz ar to Senāts nesaskata, ka lietas pilnvērtīgai izskatīšanai būtu nepieciešams mutvārdu process.</w:t>
      </w:r>
    </w:p>
    <w:p w14:paraId="40EE572D" w14:textId="77777777" w:rsidR="00F50B8B" w:rsidRPr="008A3B40" w:rsidRDefault="00F50B8B" w:rsidP="008A3B40">
      <w:pPr>
        <w:spacing w:line="276" w:lineRule="auto"/>
        <w:ind w:firstLine="567"/>
        <w:jc w:val="both"/>
      </w:pPr>
    </w:p>
    <w:p w14:paraId="3ED3607C" w14:textId="068B09D1" w:rsidR="006679B9" w:rsidRPr="008A3B40" w:rsidRDefault="00787A93" w:rsidP="008A3B40">
      <w:pPr>
        <w:spacing w:line="276" w:lineRule="auto"/>
        <w:ind w:firstLine="567"/>
        <w:jc w:val="both"/>
      </w:pPr>
      <w:r w:rsidRPr="008A3B40">
        <w:lastRenderedPageBreak/>
        <w:t>[</w:t>
      </w:r>
      <w:r w:rsidR="00C20057" w:rsidRPr="008A3B40">
        <w:t>6</w:t>
      </w:r>
      <w:r w:rsidRPr="008A3B40">
        <w:t>]</w:t>
      </w:r>
      <w:r w:rsidR="00EF7D64" w:rsidRPr="008A3B40">
        <w:t> </w:t>
      </w:r>
      <w:r w:rsidR="007E1D57" w:rsidRPr="008A3B40">
        <w:t>Izskatāmajā lietā strīds ir par to, vai nolikuma prasības ierobežo piegādātāju brīvu konkurenci un rada priekšrocības vienam no pretendentiem.</w:t>
      </w:r>
    </w:p>
    <w:p w14:paraId="7A85F3F2" w14:textId="0BE4CE9B" w:rsidR="007E1D57" w:rsidRPr="008A3B40" w:rsidRDefault="006679B9" w:rsidP="008A3B40">
      <w:pPr>
        <w:spacing w:line="276" w:lineRule="auto"/>
        <w:ind w:firstLine="567"/>
        <w:jc w:val="both"/>
      </w:pPr>
      <w:r w:rsidRPr="008A3B40">
        <w:t>Proti, ņ</w:t>
      </w:r>
      <w:r w:rsidR="00CF1797" w:rsidRPr="008A3B40">
        <w:t>emot vērā p</w:t>
      </w:r>
      <w:r w:rsidR="007E1D57" w:rsidRPr="008A3B40">
        <w:t>ieteicēja</w:t>
      </w:r>
      <w:r w:rsidR="00CF1797" w:rsidRPr="008A3B40">
        <w:t>s</w:t>
      </w:r>
      <w:r w:rsidR="007E1D57" w:rsidRPr="008A3B40">
        <w:t xml:space="preserve"> kasācijas sūdzībā norād</w:t>
      </w:r>
      <w:r w:rsidR="00CF1797" w:rsidRPr="008A3B40">
        <w:t>ītos argumentus,</w:t>
      </w:r>
      <w:r w:rsidR="005751B7" w:rsidRPr="008A3B40">
        <w:t xml:space="preserve"> lietā</w:t>
      </w:r>
      <w:r w:rsidR="00CF1797" w:rsidRPr="008A3B40">
        <w:t xml:space="preserve"> noskaidrojams, vai pasūtītāja</w:t>
      </w:r>
      <w:r w:rsidRPr="008A3B40">
        <w:t>s</w:t>
      </w:r>
      <w:r w:rsidR="00CF1797" w:rsidRPr="008A3B40">
        <w:t xml:space="preserve"> noteiktie </w:t>
      </w:r>
      <w:r w:rsidR="00976EE1" w:rsidRPr="008A3B40">
        <w:t xml:space="preserve">kvalitātes </w:t>
      </w:r>
      <w:r w:rsidR="00CF1797" w:rsidRPr="008A3B40">
        <w:t>kritēriji, saskaņā ar kuriem novērtējama piedāvājumu atbilstība pasūtītājas vajadzībām (</w:t>
      </w:r>
      <w:r w:rsidR="005751B7" w:rsidRPr="008A3B40">
        <w:t>kvalitatīvi sakaru un to atbalsta pakalpojumi un to pieejamība visā Latvijas teritorijā), ir objektīvi vērst</w:t>
      </w:r>
      <w:r w:rsidRPr="008A3B40">
        <w:t>i</w:t>
      </w:r>
      <w:r w:rsidR="005751B7" w:rsidRPr="008A3B40">
        <w:t xml:space="preserve"> uz kvalitatīvākā izpildījuma saņemšanu</w:t>
      </w:r>
      <w:r w:rsidR="00A704CB" w:rsidRPr="008A3B40">
        <w:t>,</w:t>
      </w:r>
      <w:r w:rsidR="005751B7" w:rsidRPr="008A3B40">
        <w:t xml:space="preserve"> vai tomēr ir konstatējami </w:t>
      </w:r>
      <w:r w:rsidR="005067E4" w:rsidRPr="008A3B40">
        <w:t xml:space="preserve">citi </w:t>
      </w:r>
      <w:r w:rsidR="005751B7" w:rsidRPr="008A3B40">
        <w:t xml:space="preserve">tikpat efektīvi un pārbaudāmi, un </w:t>
      </w:r>
      <w:r w:rsidRPr="008A3B40">
        <w:t xml:space="preserve">vienlaikus </w:t>
      </w:r>
      <w:r w:rsidR="005751B7" w:rsidRPr="008A3B40">
        <w:t xml:space="preserve">konkurenci </w:t>
      </w:r>
      <w:r w:rsidRPr="008A3B40">
        <w:t xml:space="preserve">mazāk </w:t>
      </w:r>
      <w:r w:rsidR="005751B7" w:rsidRPr="008A3B40">
        <w:t>ierobežojoši kritēriji.</w:t>
      </w:r>
    </w:p>
    <w:p w14:paraId="2DC1F0C1" w14:textId="77777777" w:rsidR="007E1D57" w:rsidRPr="008A3B40" w:rsidRDefault="007E1D57" w:rsidP="008A3B40">
      <w:pPr>
        <w:spacing w:line="276" w:lineRule="auto"/>
        <w:ind w:firstLine="567"/>
        <w:jc w:val="both"/>
      </w:pPr>
    </w:p>
    <w:p w14:paraId="6FD4391D" w14:textId="11E9156D" w:rsidR="00682F63" w:rsidRPr="008A3B40" w:rsidRDefault="007E1D57" w:rsidP="008A3B40">
      <w:pPr>
        <w:spacing w:line="276" w:lineRule="auto"/>
        <w:ind w:firstLine="567"/>
        <w:jc w:val="both"/>
      </w:pPr>
      <w:r w:rsidRPr="008A3B40">
        <w:t>[</w:t>
      </w:r>
      <w:r w:rsidR="00C20057" w:rsidRPr="008A3B40">
        <w:t>7</w:t>
      </w:r>
      <w:r w:rsidRPr="008A3B40">
        <w:t>] </w:t>
      </w:r>
      <w:r w:rsidR="00682F63" w:rsidRPr="008A3B40">
        <w:t>Publisko iepirkumu likuma 2.pantā nostiprināt</w:t>
      </w:r>
      <w:r w:rsidR="0099312A" w:rsidRPr="008A3B40">
        <w:t>o</w:t>
      </w:r>
      <w:r w:rsidR="00682F63" w:rsidRPr="008A3B40">
        <w:t xml:space="preserve"> publiskā iepirkuma procedūras pamatprincip</w:t>
      </w:r>
      <w:r w:rsidR="0099312A" w:rsidRPr="008A3B40">
        <w:t xml:space="preserve">u </w:t>
      </w:r>
      <w:r w:rsidR="00682F63" w:rsidRPr="008A3B40">
        <w:t xml:space="preserve">loma ir nodrošināt iepirkuma priekšmeta piešķiršanā vienlīdzīgu attieksmi, kas izslēgtu starp pretendentiem negodīgu konkurenci un iepriekš zināmu priekšrocību piešķiršanu, vienlaikus sasniedzot publiskā iepirkuma regulējuma galveno mērķi – valsts budžeta līdzekļu efektīvu izlietojumu (sal. </w:t>
      </w:r>
      <w:r w:rsidR="00682F63" w:rsidRPr="008A3B40">
        <w:rPr>
          <w:i/>
          <w:iCs/>
        </w:rPr>
        <w:t>Senāta 2013.gada 11.janvāra sprieduma lietā Nr. SKA-58/2013 (A420603010) 7.punkts, 2019.g</w:t>
      </w:r>
      <w:r w:rsidR="00C40E52" w:rsidRPr="008A3B40">
        <w:rPr>
          <w:i/>
          <w:iCs/>
        </w:rPr>
        <w:t>ada 9.decembra lēmuma lietā Nr. </w:t>
      </w:r>
      <w:r w:rsidR="00682F63" w:rsidRPr="008A3B40">
        <w:rPr>
          <w:i/>
          <w:iCs/>
        </w:rPr>
        <w:t>SKA-1730/2019 (ECLI:LV:AT:2019:</w:t>
      </w:r>
      <w:r w:rsidR="00C0620D" w:rsidRPr="008A3B40">
        <w:rPr>
          <w:i/>
          <w:iCs/>
        </w:rPr>
        <w:t xml:space="preserve"> </w:t>
      </w:r>
      <w:r w:rsidR="00682F63" w:rsidRPr="008A3B40">
        <w:rPr>
          <w:i/>
          <w:iCs/>
        </w:rPr>
        <w:t>1209.A420265119.6.L) 8.punkts, 2020.gada 27.augusta sprieduma lietā Nr.</w:t>
      </w:r>
      <w:r w:rsidR="00C40E52" w:rsidRPr="008A3B40">
        <w:rPr>
          <w:i/>
          <w:iCs/>
        </w:rPr>
        <w:t> </w:t>
      </w:r>
      <w:r w:rsidR="00682F63" w:rsidRPr="008A3B40">
        <w:rPr>
          <w:i/>
          <w:iCs/>
        </w:rPr>
        <w:t>SKA-297/2020 (ECLI:LV:AT:2020:0827.A420336717.9.S) 6.punkts</w:t>
      </w:r>
      <w:r w:rsidR="00682F63" w:rsidRPr="008A3B40">
        <w:t>).</w:t>
      </w:r>
    </w:p>
    <w:p w14:paraId="43DE1C87" w14:textId="48B4B735" w:rsidR="00E978F3" w:rsidRPr="008A3B40" w:rsidRDefault="00EC10D8" w:rsidP="008A3B40">
      <w:pPr>
        <w:spacing w:line="276" w:lineRule="auto"/>
        <w:ind w:firstLine="567"/>
        <w:jc w:val="both"/>
      </w:pPr>
      <w:r w:rsidRPr="008A3B40">
        <w:t xml:space="preserve">Minēto </w:t>
      </w:r>
      <w:r w:rsidR="002D5063" w:rsidRPr="008A3B40">
        <w:t>principu</w:t>
      </w:r>
      <w:r w:rsidR="00AC22A4" w:rsidRPr="008A3B40">
        <w:t xml:space="preserve"> </w:t>
      </w:r>
      <w:r w:rsidR="002D5063" w:rsidRPr="008A3B40">
        <w:t>ietvarā piemērojami arī</w:t>
      </w:r>
      <w:r w:rsidR="00951763" w:rsidRPr="008A3B40">
        <w:t xml:space="preserve"> </w:t>
      </w:r>
      <w:r w:rsidR="00AC22A4" w:rsidRPr="008A3B40">
        <w:t xml:space="preserve">Publisko iepirkumu likuma 51.pantā paredzētie </w:t>
      </w:r>
      <w:r w:rsidRPr="008A3B40">
        <w:t>piedāvājumu pārbaudes kritēriji</w:t>
      </w:r>
      <w:r w:rsidR="002D5063" w:rsidRPr="008A3B40">
        <w:t>, kas saistīti ar pašu iepirkuma priekšmet</w:t>
      </w:r>
      <w:r w:rsidR="00C96CED" w:rsidRPr="008A3B40">
        <w:t>u</w:t>
      </w:r>
      <w:r w:rsidRPr="008A3B40">
        <w:t>.</w:t>
      </w:r>
    </w:p>
    <w:p w14:paraId="2200DE9B" w14:textId="513B2AF7" w:rsidR="00E978F3" w:rsidRPr="008A3B40" w:rsidRDefault="00C96CED" w:rsidP="008A3B40">
      <w:pPr>
        <w:spacing w:line="276" w:lineRule="auto"/>
        <w:ind w:firstLine="567"/>
        <w:jc w:val="both"/>
      </w:pPr>
      <w:r w:rsidRPr="008A3B40">
        <w:t>Senāts jau iepriekš ir norādījis, ka p</w:t>
      </w:r>
      <w:r w:rsidR="00E978F3" w:rsidRPr="008A3B40">
        <w:t>iedāvājumu pārbaudes kritērij</w:t>
      </w:r>
      <w:r w:rsidR="00A704CB" w:rsidRPr="008A3B40">
        <w:t>i</w:t>
      </w:r>
      <w:r w:rsidR="00E978F3" w:rsidRPr="008A3B40">
        <w:t xml:space="preserve"> ir </w:t>
      </w:r>
      <w:r w:rsidR="00951763" w:rsidRPr="008A3B40">
        <w:t>viens no</w:t>
      </w:r>
      <w:r w:rsidR="00E978F3" w:rsidRPr="008A3B40">
        <w:t xml:space="preserve"> instrument</w:t>
      </w:r>
      <w:r w:rsidR="00951763" w:rsidRPr="008A3B40">
        <w:t>iem</w:t>
      </w:r>
      <w:r w:rsidR="00E978F3" w:rsidRPr="008A3B40">
        <w:t>, ar kur</w:t>
      </w:r>
      <w:r w:rsidR="00447A28" w:rsidRPr="008A3B40">
        <w:t>u</w:t>
      </w:r>
      <w:r w:rsidR="00E978F3" w:rsidRPr="008A3B40">
        <w:t xml:space="preserve"> palīdzību pasūtītājs var panākt to, ka iepirkumā iegādātās preces vai pakalpojumi būs tādi, kā pasūtītājam nepieciešams, proti, ka tas saņems iepirkuma priekšmetam atbilstošu un pēc iespējas kvalitatīvu izpildījumu, tādējādi sasniedzot iepirkuma procedūras galveno mērķi – pasūtītāja līdzekļu efektīvu izmantošanu, maksimāli samazinot nekvalitatīva izpildījuma risku</w:t>
      </w:r>
      <w:r w:rsidR="00EC10D8" w:rsidRPr="008A3B40">
        <w:t xml:space="preserve"> (sal. </w:t>
      </w:r>
      <w:r w:rsidR="00EC10D8" w:rsidRPr="008A3B40">
        <w:rPr>
          <w:i/>
        </w:rPr>
        <w:t>Senāta 2019.gada 9.decembra lēmuma lietā Nr. SKA-1730/2019 (ECLI:LV:AT:2019:1209. A420265119.6.L) 8.punkts</w:t>
      </w:r>
      <w:r w:rsidR="00EC10D8" w:rsidRPr="008A3B40">
        <w:t xml:space="preserve">, </w:t>
      </w:r>
      <w:r w:rsidR="00EC10D8" w:rsidRPr="008A3B40">
        <w:rPr>
          <w:i/>
        </w:rPr>
        <w:t>2020.gada 25.februāra lēmuma lietā Nr. SKA-948/2020 (ECLI:LV:AT:2020:0225.A420125120.6.L) 7.punkts, 2020.gada 27.augusta sprieduma lietā Nr. SKA-297/2020 (ECLI:LV:AT:2020:0827. A420336717.9.S) 6.punkts</w:t>
      </w:r>
      <w:r w:rsidR="00EC10D8" w:rsidRPr="008A3B40">
        <w:t>)</w:t>
      </w:r>
      <w:r w:rsidR="00E978F3" w:rsidRPr="008A3B40">
        <w:t>.</w:t>
      </w:r>
    </w:p>
    <w:p w14:paraId="70020751" w14:textId="7B14F107" w:rsidR="00EC10D8" w:rsidRPr="008A3B40" w:rsidRDefault="00EC10D8" w:rsidP="008A3B40">
      <w:pPr>
        <w:spacing w:line="276" w:lineRule="auto"/>
        <w:ind w:firstLine="567"/>
        <w:jc w:val="both"/>
      </w:pPr>
      <w:r w:rsidRPr="008A3B40">
        <w:t xml:space="preserve">Likumdevējs </w:t>
      </w:r>
      <w:r w:rsidR="00C20057" w:rsidRPr="008A3B40">
        <w:t xml:space="preserve">Publisko iepirkumu likuma </w:t>
      </w:r>
      <w:r w:rsidRPr="008A3B40">
        <w:t xml:space="preserve">51.panta otrās daļas 2.punktā piemēru veidā uzskaitījis ar iepirkuma priekšmetu saistītus kvalitātes kritērijus, saskaņā ar kuriem ir novērtējama iegādājamā pakalpojuma/preces pieejamība, kvalitāte, </w:t>
      </w:r>
      <w:r w:rsidR="005067E4" w:rsidRPr="008A3B40">
        <w:t>tostarp</w:t>
      </w:r>
      <w:r w:rsidRPr="008A3B40">
        <w:t xml:space="preserve"> tehniskās priekšrocības, estētiskās un funkcionālās īpašības, pēcpārdošanas pakalpojumi, tehniskā palīdzība u.tml. Tiesību normā uzskaitītie kritēriji nav izsmeļoši.</w:t>
      </w:r>
      <w:r w:rsidR="00863682" w:rsidRPr="008A3B40">
        <w:t xml:space="preserve"> Pasūtītājam visizdevīgākā piedāvājuma noteikšanai, ko raksturo labākās cenas un kvalitātes attiecība, ir tiesības noteikt tādus kritērijus, kas vislabāk ļauj novērtēt piedāvājum</w:t>
      </w:r>
      <w:r w:rsidR="00E938AD" w:rsidRPr="008A3B40">
        <w:t>a efektivitāti attiecībā pret nepieciešamo preci vai pakalpojumu</w:t>
      </w:r>
      <w:r w:rsidR="00863682" w:rsidRPr="008A3B40">
        <w:t xml:space="preserve"> un </w:t>
      </w:r>
      <w:r w:rsidR="00E938AD" w:rsidRPr="008A3B40">
        <w:t xml:space="preserve">vienlaikus </w:t>
      </w:r>
      <w:r w:rsidR="00863682" w:rsidRPr="008A3B40">
        <w:t>maksimāli novērst nekvalitatīva izpildījuma risku.</w:t>
      </w:r>
    </w:p>
    <w:p w14:paraId="349EC98C" w14:textId="6A2FB922" w:rsidR="00EC10D8" w:rsidRPr="008A3B40" w:rsidRDefault="00EC10D8" w:rsidP="008A3B40">
      <w:pPr>
        <w:spacing w:line="276" w:lineRule="auto"/>
        <w:ind w:firstLine="567"/>
        <w:jc w:val="both"/>
      </w:pPr>
      <w:r w:rsidRPr="008A3B40">
        <w:t xml:space="preserve">Tālab Publisko iepirkumu likums pasūtītājam paredz visai plašu rīcības brīvību konkrētu piedāvājumu pārbaudes kritēriju noteikšanā (sal. </w:t>
      </w:r>
      <w:r w:rsidRPr="008A3B40">
        <w:rPr>
          <w:i/>
        </w:rPr>
        <w:t>Senāta 2019.gada 9.decembra lēmuma lietā Nr. SKA-1730/2019 (ECLI:LV:AT:2019:1209. A420265119.6.L) 8.punkts</w:t>
      </w:r>
      <w:r w:rsidRPr="008A3B40">
        <w:t xml:space="preserve">, </w:t>
      </w:r>
      <w:r w:rsidRPr="008A3B40">
        <w:rPr>
          <w:i/>
        </w:rPr>
        <w:t>2020.gada 25.februāra lēmuma lietā Nr. SKA-948/2020 (ECLI:LV:AT:2020:0225. A420125120.6.L) 7.punkts, 2020.gada 27.augusta sprieduma lietā Nr. SKA-297/2020 (ECLI:LV:AT:2020:0827. A420336717.9.S) 6.punkts</w:t>
      </w:r>
      <w:r w:rsidRPr="008A3B40">
        <w:t>).</w:t>
      </w:r>
    </w:p>
    <w:p w14:paraId="283222D7" w14:textId="69292891" w:rsidR="00A704CB" w:rsidRPr="008A3B40" w:rsidRDefault="004812FC" w:rsidP="008A3B40">
      <w:pPr>
        <w:spacing w:line="276" w:lineRule="auto"/>
        <w:ind w:firstLine="567"/>
        <w:jc w:val="both"/>
      </w:pPr>
      <w:r w:rsidRPr="008A3B40">
        <w:t xml:space="preserve">Vienlaikus atbilstoši Publisko iepirkumu likuma 51.panta piektajai daļai pasūtītājam ir jānosaka konkurenci neierobežojoši un objektīvi salīdzināmi vai izvērtējami piedāvājuma izvērtēšanas kritēriji. </w:t>
      </w:r>
      <w:r w:rsidR="00A704CB" w:rsidRPr="008A3B40">
        <w:t>Tātad, no vienas puses, kvalitātes kritēriji</w:t>
      </w:r>
      <w:r w:rsidR="00863682" w:rsidRPr="008A3B40">
        <w:t xml:space="preserve"> </w:t>
      </w:r>
      <w:r w:rsidR="00E978F3" w:rsidRPr="008A3B40">
        <w:t xml:space="preserve">nodrošina </w:t>
      </w:r>
      <w:r w:rsidR="00A704CB" w:rsidRPr="008A3B40">
        <w:t xml:space="preserve">pasūtītāja līdzekļu </w:t>
      </w:r>
      <w:r w:rsidR="00A704CB" w:rsidRPr="008A3B40">
        <w:lastRenderedPageBreak/>
        <w:t>efektīvu izmantošanu</w:t>
      </w:r>
      <w:r w:rsidR="00222D81" w:rsidRPr="008A3B40">
        <w:t xml:space="preserve"> un </w:t>
      </w:r>
      <w:r w:rsidR="00637A98" w:rsidRPr="008A3B40">
        <w:t>pasūtītāja vajadzībām</w:t>
      </w:r>
      <w:r w:rsidR="00A704CB" w:rsidRPr="008A3B40">
        <w:t xml:space="preserve"> </w:t>
      </w:r>
      <w:r w:rsidR="00222D81" w:rsidRPr="008A3B40">
        <w:t xml:space="preserve">iespējami </w:t>
      </w:r>
      <w:r w:rsidR="00A704CB" w:rsidRPr="008A3B40">
        <w:t xml:space="preserve">atbilstošākā pakalpojuma/preces iegādi. No otras puses, kvalitātes kritērijiem </w:t>
      </w:r>
      <w:r w:rsidR="00033FE6" w:rsidRPr="008A3B40">
        <w:t>jāatbilst godīgas konkurences un vienlīdzīgas attieksmes principiem</w:t>
      </w:r>
      <w:r w:rsidR="006E28EE" w:rsidRPr="008A3B40">
        <w:t>.</w:t>
      </w:r>
    </w:p>
    <w:p w14:paraId="3AFF8C32" w14:textId="63D68566" w:rsidR="00DD2EB0" w:rsidRPr="008A3B40" w:rsidRDefault="00105B9E" w:rsidP="008A3B40">
      <w:pPr>
        <w:spacing w:line="276" w:lineRule="auto"/>
        <w:ind w:firstLine="567"/>
        <w:jc w:val="both"/>
      </w:pPr>
      <w:r w:rsidRPr="008A3B40">
        <w:t>Tieši tādēļ</w:t>
      </w:r>
      <w:r w:rsidR="001318A4" w:rsidRPr="008A3B40">
        <w:t xml:space="preserve"> </w:t>
      </w:r>
      <w:r w:rsidRPr="008A3B40">
        <w:t>p</w:t>
      </w:r>
      <w:r w:rsidR="001318A4" w:rsidRPr="008A3B40">
        <w:t xml:space="preserve">asūtītājs ir saistīts ar to, ka ir pieļaujams izvirzīt tikai tādas prasības, kas objektīvi vērstas uz iepirkuma mērķu sasniegšanu, proti, kvalitatīva izpildījuma saņemšanu. Savukārt tādas prasības, kas ir vērstas uz konkrētu pretendentu interešu nodrošināšanu, radot tiem nepamatotas priekšrocības iepirkumā iepretim citiem konkurentiem, vai konkurences ierobežošanu pašu par sevi, nav pieļaujamas (sal. </w:t>
      </w:r>
      <w:r w:rsidR="001318A4" w:rsidRPr="008A3B40">
        <w:rPr>
          <w:i/>
        </w:rPr>
        <w:t>Senāta 2018.gada 23.marta lēmuma lietā Nr. SKA-1060/2018 (ECLI:LV:AT:2018:0323.A420339317.6.L) 23.punkts, 2018.gada 21.maija lēmuma lietā Nr. SKA-1222/2018 (ECLI:LV:AT:2018:0521.A420171118.5.L) 8.punkts, 2018.gada 18.decembra lēmuma lietā Nr. SKA-1675/2018 (ECLI:LV:AT:2018:</w:t>
      </w:r>
      <w:r w:rsidR="00B554E8" w:rsidRPr="008A3B40">
        <w:rPr>
          <w:i/>
        </w:rPr>
        <w:t xml:space="preserve"> </w:t>
      </w:r>
      <w:r w:rsidR="001318A4" w:rsidRPr="008A3B40">
        <w:rPr>
          <w:i/>
        </w:rPr>
        <w:t>1218.A420282018.5.L) 21.punkts, 2020.gada 27.augusta sprieduma lietā Nr. SKA-297/2020 (ECLI:LV:AT:2020:0827.A420336717.9.S) 7.punkts</w:t>
      </w:r>
      <w:r w:rsidR="001318A4" w:rsidRPr="008A3B40">
        <w:t>).</w:t>
      </w:r>
    </w:p>
    <w:p w14:paraId="37C8978F" w14:textId="26B2F361" w:rsidR="00863682" w:rsidRPr="008A3B40" w:rsidRDefault="00863682" w:rsidP="008A3B40">
      <w:pPr>
        <w:spacing w:line="276" w:lineRule="auto"/>
        <w:ind w:firstLine="567"/>
        <w:jc w:val="both"/>
      </w:pPr>
    </w:p>
    <w:p w14:paraId="0FB1D9CF" w14:textId="1D89EC38" w:rsidR="00C87FCC" w:rsidRPr="008A3B40" w:rsidRDefault="00863682" w:rsidP="008A3B40">
      <w:pPr>
        <w:spacing w:line="276" w:lineRule="auto"/>
        <w:ind w:firstLine="567"/>
        <w:jc w:val="both"/>
      </w:pPr>
      <w:r w:rsidRPr="008A3B40">
        <w:t>[</w:t>
      </w:r>
      <w:r w:rsidR="00EF7D64" w:rsidRPr="008A3B40">
        <w:t>8</w:t>
      </w:r>
      <w:r w:rsidRPr="008A3B40">
        <w:t>]</w:t>
      </w:r>
      <w:r w:rsidR="00EF7D64" w:rsidRPr="008A3B40">
        <w:t> </w:t>
      </w:r>
      <w:r w:rsidR="00CC5119" w:rsidRPr="008A3B40">
        <w:t xml:space="preserve">Publisko iepirkumu likuma 51.pantā ietvertais regulējums pārņemts no Eiropas Parlamenta un Padomes 2014.gada 26.februāra </w:t>
      </w:r>
      <w:bookmarkStart w:id="1" w:name="_Hlk65589820"/>
      <w:r w:rsidR="00CC5119" w:rsidRPr="008A3B40">
        <w:t>Direktīvas 2014/24/ES par publisko iepirkumu un ar ko atceļ Direktīvu 2004/18/EK</w:t>
      </w:r>
      <w:bookmarkEnd w:id="1"/>
      <w:r w:rsidR="009A544C" w:rsidRPr="008A3B40">
        <w:t>,</w:t>
      </w:r>
      <w:r w:rsidR="00363859" w:rsidRPr="008A3B40">
        <w:t xml:space="preserve"> (turpmāk – </w:t>
      </w:r>
      <w:r w:rsidR="00C87FCC" w:rsidRPr="008A3B40">
        <w:t>D</w:t>
      </w:r>
      <w:r w:rsidR="00363859" w:rsidRPr="008A3B40">
        <w:t xml:space="preserve">irektīva 2014/24) </w:t>
      </w:r>
      <w:r w:rsidR="00CC5119" w:rsidRPr="008A3B40">
        <w:t>67.panta</w:t>
      </w:r>
      <w:r w:rsidR="00363859" w:rsidRPr="008A3B40">
        <w:t xml:space="preserve"> „Līguma slēgšanas tiesību piešķiršanas kritēriji”</w:t>
      </w:r>
      <w:r w:rsidR="007841A0" w:rsidRPr="008A3B40">
        <w:t>.</w:t>
      </w:r>
    </w:p>
    <w:p w14:paraId="3A2F9A7E" w14:textId="3C9290E2" w:rsidR="00863682" w:rsidRPr="008A3B40" w:rsidRDefault="00C87FCC" w:rsidP="008A3B40">
      <w:pPr>
        <w:spacing w:line="276" w:lineRule="auto"/>
        <w:ind w:firstLine="567"/>
        <w:jc w:val="both"/>
      </w:pPr>
      <w:r w:rsidRPr="008A3B40">
        <w:t xml:space="preserve">Direktīvas 2014/24 67.panta 1.punktā ir noteikts, ka līgumslēdzējas iestādes publisku līgumu slēgšanas tiesības balsta uz saimnieciski visizdevīgāko piedāvājumu. Šīs direktīvas 67.panta 2.punktā ir paredzēts, ka līgumslēdzējām iestādēm saimnieciski visizdevīgāko piedāvājumu nosaka pēc cenas vai izmaksām, un tajā var būt ietverta labākā cenas un kvalitātes attiecība, ko vērtē pēc vairākiem kritērijiem, arī pēc kvalitātes, kas tostarp ietver tehnisko vērtību. 67.panta </w:t>
      </w:r>
      <w:r w:rsidR="00CC5119" w:rsidRPr="008A3B40">
        <w:t>4.punkts noteic, ka piešķiršanas kritērijiem nevar būt tādu seku, ka līgumslēdzējai iestādei tiek dota neierobežota izvēles brīvība. Tie nodrošina efektīvas konkurences iespēju un ir papildināti ar specifikācijām, kas ļauj efektīvi pārbaudīt pretendentu sniegto informāciju, lai novērtētu, kādā mērā piedāvājumi atbilst piešķiršanas kritērijiem. Šaubu gadījumā līgumslēdzējas iestādes efektīvi pārbauda pretendentu sniegtās informācijas un pierādījumu pareizību.</w:t>
      </w:r>
    </w:p>
    <w:p w14:paraId="0965972B" w14:textId="6C382E90" w:rsidR="00196828" w:rsidRPr="008A3B40" w:rsidRDefault="009707BE" w:rsidP="008A3B40">
      <w:pPr>
        <w:spacing w:line="276" w:lineRule="auto"/>
        <w:ind w:firstLine="567"/>
        <w:jc w:val="both"/>
      </w:pPr>
      <w:r w:rsidRPr="008A3B40">
        <w:t xml:space="preserve">Eiropas Savienības Tiesa, interpretējot </w:t>
      </w:r>
      <w:r w:rsidR="002D37CC" w:rsidRPr="008A3B40">
        <w:t>šo</w:t>
      </w:r>
      <w:r w:rsidRPr="008A3B40">
        <w:t xml:space="preserve"> tiesību normu, cita starpā atsaukusies arī uz </w:t>
      </w:r>
      <w:r w:rsidR="00C87FCC" w:rsidRPr="008A3B40">
        <w:t>D</w:t>
      </w:r>
      <w:r w:rsidR="00196828" w:rsidRPr="008A3B40">
        <w:t xml:space="preserve">irektīvas </w:t>
      </w:r>
      <w:r w:rsidR="00363859" w:rsidRPr="008A3B40">
        <w:t xml:space="preserve">2014/24 </w:t>
      </w:r>
      <w:r w:rsidR="00196828" w:rsidRPr="008A3B40">
        <w:t>90.apsvērum</w:t>
      </w:r>
      <w:r w:rsidRPr="008A3B40">
        <w:t>u, kurā</w:t>
      </w:r>
      <w:r w:rsidR="00196828" w:rsidRPr="008A3B40">
        <w:t xml:space="preserve"> ir atgādināts, ka līgumslēdzējas iestādes var brīvi noteikt atbilstīgus kvalitātes standartus, izmantojot tehniskās specifikācijas vai līguma izpildes nosacījumus, savukārt šīs pašas direktīvas 92.apsvērumā ir precizēts, ka tās mērķis ir mudināt līgumslēdzējas iestādes izvēlēties tādus piešķiršanas kritērijus, kas tām ļauj iegūt kvalitatīvus būvdarbus, piegādes un pakalpojumus, kuri ir optimāli pielāgoti to vajadzībām.</w:t>
      </w:r>
      <w:r w:rsidRPr="008A3B40">
        <w:t xml:space="preserve"> Kā norādījusi tiesa, </w:t>
      </w:r>
      <w:r w:rsidR="00196828" w:rsidRPr="008A3B40">
        <w:t>šiem kritērijiem, kā tas izriet no minētās direktīvas 90.apsvēruma un tās 67.panta 4.punkta, ir jānodrošina atbilstība pārredzamības, nediskriminācijas un vienlīdzīgas attieksmes principiem, lai nodrošinātu piedāvājumu relatīvās vērtības objektīvu salīdzināšanu un tādējādi efektīvu konkurenci. Tā tas nebūtu attiecībā uz kritērijiem, kas līgumslēdzējai iestādei piešķir neierobežotu izvēles brīvību (</w:t>
      </w:r>
      <w:r w:rsidRPr="008A3B40">
        <w:rPr>
          <w:rFonts w:eastAsiaTheme="minorEastAsia"/>
          <w:i/>
        </w:rPr>
        <w:t xml:space="preserve">Eiropas Savienības Tiesas </w:t>
      </w:r>
      <w:r w:rsidR="00196828" w:rsidRPr="008A3B40">
        <w:rPr>
          <w:i/>
        </w:rPr>
        <w:t>2012.gada 10.maij</w:t>
      </w:r>
      <w:r w:rsidRPr="008A3B40">
        <w:rPr>
          <w:i/>
        </w:rPr>
        <w:t>a sprieduma lietā</w:t>
      </w:r>
      <w:r w:rsidR="00196828" w:rsidRPr="008A3B40">
        <w:rPr>
          <w:i/>
        </w:rPr>
        <w:t xml:space="preserve"> Komisija/Nīderlande, C</w:t>
      </w:r>
      <w:r w:rsidR="00196828" w:rsidRPr="008A3B40">
        <w:rPr>
          <w:i/>
        </w:rPr>
        <w:noBreakHyphen/>
        <w:t>368/10, EU:C:2012:284, 87.punkts</w:t>
      </w:r>
      <w:r w:rsidRPr="008A3B40">
        <w:rPr>
          <w:i/>
        </w:rPr>
        <w:t>, 2018.gada 20.septembra sprieduma lietā Montte SL, C‑546/16</w:t>
      </w:r>
      <w:r w:rsidR="00B76EDF" w:rsidRPr="008A3B40">
        <w:rPr>
          <w:i/>
        </w:rPr>
        <w:t>,</w:t>
      </w:r>
      <w:r w:rsidRPr="008A3B40">
        <w:rPr>
          <w:i/>
        </w:rPr>
        <w:t xml:space="preserve"> ECLI:EU:C:2018:752</w:t>
      </w:r>
      <w:r w:rsidR="00B76EDF" w:rsidRPr="008A3B40">
        <w:rPr>
          <w:i/>
        </w:rPr>
        <w:t>,</w:t>
      </w:r>
      <w:r w:rsidRPr="008A3B40">
        <w:rPr>
          <w:i/>
        </w:rPr>
        <w:t xml:space="preserve"> 29</w:t>
      </w:r>
      <w:r w:rsidR="00C87FCC" w:rsidRPr="008A3B40">
        <w:rPr>
          <w:i/>
          <w:iCs/>
        </w:rPr>
        <w:t>.–</w:t>
      </w:r>
      <w:r w:rsidRPr="008A3B40">
        <w:rPr>
          <w:i/>
        </w:rPr>
        <w:t>31.punkts</w:t>
      </w:r>
      <w:r w:rsidRPr="008A3B40">
        <w:t>)</w:t>
      </w:r>
      <w:r w:rsidR="00196828" w:rsidRPr="008A3B40">
        <w:t>.</w:t>
      </w:r>
    </w:p>
    <w:p w14:paraId="4F3F1763" w14:textId="294089DC" w:rsidR="0058665A" w:rsidRPr="008A3B40" w:rsidRDefault="0058665A" w:rsidP="008A3B40">
      <w:pPr>
        <w:spacing w:line="276" w:lineRule="auto"/>
        <w:ind w:firstLine="567"/>
        <w:jc w:val="both"/>
      </w:pPr>
    </w:p>
    <w:p w14:paraId="2BF583E1" w14:textId="40A678E1" w:rsidR="0058665A" w:rsidRPr="008A3B40" w:rsidRDefault="0058665A" w:rsidP="008A3B40">
      <w:pPr>
        <w:spacing w:line="276" w:lineRule="auto"/>
        <w:ind w:firstLine="567"/>
        <w:jc w:val="both"/>
      </w:pPr>
      <w:r w:rsidRPr="008A3B40">
        <w:t>[</w:t>
      </w:r>
      <w:r w:rsidR="00172AD4" w:rsidRPr="008A3B40">
        <w:t>9</w:t>
      </w:r>
      <w:r w:rsidRPr="008A3B40">
        <w:t>]</w:t>
      </w:r>
      <w:r w:rsidR="00172AD4" w:rsidRPr="008A3B40">
        <w:t> </w:t>
      </w:r>
      <w:r w:rsidRPr="008A3B40">
        <w:t xml:space="preserve">Tādējādi, lai arī pasūtītājam ir samērā plaša rīcības brīvība, nosakot piešķiršanas kritērijus sev nepieciešamo preču vai pakalpojumu iegādei, jo tikai pašam pasūtītājam ir vislabāk zināmas prasības, kādām šīm precēm un pakalpojumiem ir jāatbilst, šī rīcības brīvība </w:t>
      </w:r>
      <w:r w:rsidRPr="008A3B40">
        <w:lastRenderedPageBreak/>
        <w:t>nav neierobežota. Pasūtītājam ir jānodrošina godīga konkurence un vienlīdzīga un nediskriminējoša attieksme, maksimāli izvairoties no tādiem kritērijiem, kas var radīt aizdomas par noteiktu priekšrocību piešķiršanu kādam no pretendentiem.</w:t>
      </w:r>
    </w:p>
    <w:p w14:paraId="6E96BF08" w14:textId="37F7FC89" w:rsidR="00196828" w:rsidRPr="008A3B40" w:rsidRDefault="00196828" w:rsidP="008A3B40">
      <w:pPr>
        <w:spacing w:line="276" w:lineRule="auto"/>
        <w:ind w:firstLine="567"/>
        <w:jc w:val="both"/>
      </w:pPr>
    </w:p>
    <w:p w14:paraId="21C6B93A" w14:textId="52409C53" w:rsidR="00D43C3E" w:rsidRPr="008A3B40" w:rsidRDefault="001318A4" w:rsidP="008A3B40">
      <w:pPr>
        <w:spacing w:line="276" w:lineRule="auto"/>
        <w:ind w:firstLine="567"/>
        <w:jc w:val="both"/>
      </w:pPr>
      <w:r w:rsidRPr="008A3B40">
        <w:t>[</w:t>
      </w:r>
      <w:r w:rsidR="00172AD4" w:rsidRPr="008A3B40">
        <w:t>10</w:t>
      </w:r>
      <w:r w:rsidRPr="008A3B40">
        <w:t>]</w:t>
      </w:r>
      <w:r w:rsidR="00172AD4" w:rsidRPr="008A3B40">
        <w:t> </w:t>
      </w:r>
      <w:r w:rsidR="00D43C3E" w:rsidRPr="008A3B40">
        <w:t>Iepirkuma priekšmets atbilstoši nolikuma 2.1.1.punktam ir mobilo sakaru pakalpojumu sniegšana pasūtītājas vajadzībām saskaņā ar tehnisko specifikāciju</w:t>
      </w:r>
      <w:r w:rsidR="00497E3F" w:rsidRPr="008A3B40">
        <w:t xml:space="preserve"> (</w:t>
      </w:r>
      <w:r w:rsidR="00BF5F32" w:rsidRPr="008A3B40">
        <w:t>proti,</w:t>
      </w:r>
      <w:r w:rsidR="00497E3F" w:rsidRPr="008A3B40">
        <w:t xml:space="preserve"> pastāvīga mobilo sakaru pakalpojumu pieejamība Latvijā, Eiropas Ekonomiskajā zonā (EEZ); </w:t>
      </w:r>
      <w:r w:rsidR="00BF5F32" w:rsidRPr="008A3B40">
        <w:t>pēc nepieciešamības pieejami stacionārie mobilo sakaru pieslēgumi un datu pārraides pieslēgumi; zvanītāja numura noteicējs; numura uzrādīšanas aizliegums; līdzsavienojums un konferences zvans</w:t>
      </w:r>
      <w:r w:rsidR="00497E3F" w:rsidRPr="008A3B40">
        <w:t>).</w:t>
      </w:r>
    </w:p>
    <w:p w14:paraId="58831567" w14:textId="2D94BC24" w:rsidR="00D43C3E" w:rsidRPr="008A3B40" w:rsidRDefault="00D43C3E" w:rsidP="008A3B40">
      <w:pPr>
        <w:spacing w:line="276" w:lineRule="auto"/>
        <w:ind w:firstLine="567"/>
        <w:jc w:val="both"/>
      </w:pPr>
      <w:r w:rsidRPr="008A3B40">
        <w:t>Nolikuma 5.4.7.punkts noteic, ka punkti tiek piešķirti saskaņā ar saimnieciski visizdevīgākā piedāvājuma noteikšanas kritērijiem (</w:t>
      </w:r>
      <w:r w:rsidR="00172AD4" w:rsidRPr="008A3B40">
        <w:t>f</w:t>
      </w:r>
      <w:r w:rsidRPr="008A3B40">
        <w:t>inanšu piedāvājuma vērtēšanas kritērij</w:t>
      </w:r>
      <w:r w:rsidR="0017428A" w:rsidRPr="008A3B40">
        <w:t>i</w:t>
      </w:r>
      <w:r w:rsidRPr="008A3B40">
        <w:t xml:space="preserve"> un </w:t>
      </w:r>
      <w:r w:rsidR="00172AD4" w:rsidRPr="008A3B40">
        <w:t>p</w:t>
      </w:r>
      <w:r w:rsidRPr="008A3B40">
        <w:t>akalpojumu pieejamības un kvalitātes rādītāju vērtēšanas kritērij</w:t>
      </w:r>
      <w:r w:rsidR="0017428A" w:rsidRPr="008A3B40">
        <w:t>i</w:t>
      </w:r>
      <w:r w:rsidR="007841A0" w:rsidRPr="008A3B40">
        <w:t>).</w:t>
      </w:r>
    </w:p>
    <w:p w14:paraId="1D615E2C" w14:textId="70F749B6" w:rsidR="0017428A" w:rsidRPr="008A3B40" w:rsidRDefault="0017428A" w:rsidP="008A3B40">
      <w:pPr>
        <w:spacing w:line="276" w:lineRule="auto"/>
        <w:ind w:firstLine="567"/>
        <w:jc w:val="both"/>
      </w:pPr>
      <w:r w:rsidRPr="008A3B40">
        <w:t>No</w:t>
      </w:r>
      <w:r w:rsidR="00C04674" w:rsidRPr="008A3B40">
        <w:t>likuma 5.4.18.2.punktā definēti mobilo sakaru pakalpojumu kvalitātes rādītāju vērtēšanas kritēriji</w:t>
      </w:r>
      <w:r w:rsidRPr="008A3B40">
        <w:t xml:space="preserve"> (P2). </w:t>
      </w:r>
      <w:r w:rsidR="005F1EDD" w:rsidRPr="008A3B40">
        <w:t xml:space="preserve">Pirmie septiņi vērtēšanas kritēriji ir bāzes staciju skaits konkrētu radiofrekvenču spektra diapazona ietvaros, katrā pozīcijā iespējams iegūt septiņus punktus. </w:t>
      </w:r>
      <w:r w:rsidR="00D820F9" w:rsidRPr="008A3B40">
        <w:t>K</w:t>
      </w:r>
      <w:r w:rsidR="005F1EDD" w:rsidRPr="008A3B40">
        <w:t xml:space="preserve">opumā par bāzes staciju skaitu maksimāli iegūstami 49 punkti (no </w:t>
      </w:r>
      <w:r w:rsidR="00B07162" w:rsidRPr="008A3B40">
        <w:t>kopumā iespējamiem</w:t>
      </w:r>
      <w:r w:rsidR="005F1EDD" w:rsidRPr="008A3B40">
        <w:t xml:space="preserve"> 63</w:t>
      </w:r>
      <w:r w:rsidR="00D820F9" w:rsidRPr="008A3B40">
        <w:t> punktiem</w:t>
      </w:r>
      <w:r w:rsidR="005F1EDD" w:rsidRPr="008A3B40">
        <w:t>).</w:t>
      </w:r>
    </w:p>
    <w:p w14:paraId="599C5483" w14:textId="0BE156F6" w:rsidR="00D43C3E" w:rsidRPr="008A3B40" w:rsidRDefault="00D43C3E" w:rsidP="008A3B40">
      <w:pPr>
        <w:spacing w:line="276" w:lineRule="auto"/>
        <w:ind w:firstLine="567"/>
        <w:jc w:val="both"/>
      </w:pPr>
      <w:r w:rsidRPr="008A3B40">
        <w:t xml:space="preserve">Pārsūdzētajā spriedumā tiesa atzinusi, ka </w:t>
      </w:r>
      <w:r w:rsidR="00586476" w:rsidRPr="008A3B40">
        <w:t>bāzes staciju skaits konkrētu radiofrekvenču spektra diapazona ietvaros var ietekmēt sakaru kvalitāti. Un, lai arī nav vienīgais, tas ir objektīvi pārbaudāms un viegli salīdzināms pakalpojuma pieejamības rādītājs. Savukārt pieteicēja citus objektīvus vērtēša</w:t>
      </w:r>
      <w:r w:rsidR="009001EE" w:rsidRPr="008A3B40">
        <w:t>nas kritērijus nav piedāvājusi.</w:t>
      </w:r>
    </w:p>
    <w:p w14:paraId="7CD56B55" w14:textId="700103B0" w:rsidR="00926A7D" w:rsidRPr="008A3B40" w:rsidRDefault="00B34489" w:rsidP="008A3B40">
      <w:pPr>
        <w:spacing w:line="276" w:lineRule="auto"/>
        <w:ind w:firstLine="567"/>
        <w:jc w:val="both"/>
      </w:pPr>
      <w:r w:rsidRPr="008A3B40">
        <w:t xml:space="preserve">Pieteicēja iebilst pret kritērijiem, saskaņā ar kuriem mobilo sakaru tīkla nodrošinājums vērtējams pēc bāzes staciju skaita konkrētos frekvenču diapazonos. </w:t>
      </w:r>
      <w:r w:rsidR="00586476" w:rsidRPr="008A3B40">
        <w:t xml:space="preserve">Pieteicēja kasācijas sūdzībā </w:t>
      </w:r>
      <w:r w:rsidR="00033FE6" w:rsidRPr="008A3B40">
        <w:t xml:space="preserve">norāda, ka </w:t>
      </w:r>
      <w:r w:rsidR="00586476" w:rsidRPr="008A3B40">
        <w:t>nepastāv</w:t>
      </w:r>
      <w:r w:rsidR="00D8500D" w:rsidRPr="008A3B40">
        <w:t>ot</w:t>
      </w:r>
      <w:r w:rsidR="00586476" w:rsidRPr="008A3B40">
        <w:t xml:space="preserve"> tieša likumsakarība tikai starp bāzes staciju kopējo skaitu noteiktās frekvencēs un attiecīgā mobil</w:t>
      </w:r>
      <w:r w:rsidR="00BC6CF3" w:rsidRPr="008A3B40">
        <w:t>o</w:t>
      </w:r>
      <w:r w:rsidR="00586476" w:rsidRPr="008A3B40">
        <w:t xml:space="preserve"> sakaru pakalpojumu sniedzēja tīkla pārklājuma kvalitāti un pieejamību, jo mobil</w:t>
      </w:r>
      <w:r w:rsidR="00BC6CF3" w:rsidRPr="008A3B40">
        <w:t>o</w:t>
      </w:r>
      <w:r w:rsidR="00586476" w:rsidRPr="008A3B40">
        <w:t xml:space="preserve"> sakaru pārklājuma izvērtēšanā ir jāņem vērā virkne tīkla pārklājumu ietekmējošu faktoru. </w:t>
      </w:r>
      <w:r w:rsidR="00B27AA3" w:rsidRPr="008A3B40">
        <w:t>Turklāt</w:t>
      </w:r>
      <w:r w:rsidR="00B554E8" w:rsidRPr="008A3B40">
        <w:t xml:space="preserve"> šāda kritērija noteikšana</w:t>
      </w:r>
      <w:r w:rsidR="0099312A" w:rsidRPr="008A3B40">
        <w:t>,</w:t>
      </w:r>
      <w:r w:rsidR="00B554E8" w:rsidRPr="008A3B40">
        <w:t xml:space="preserve"> ņemot vērā strīdus prasību</w:t>
      </w:r>
      <w:r w:rsidR="00926A7D" w:rsidRPr="008A3B40">
        <w:t xml:space="preserve"> </w:t>
      </w:r>
      <w:r w:rsidR="00B554E8" w:rsidRPr="008A3B40">
        <w:t xml:space="preserve">izpildes punktu lielo īpatsvaru, </w:t>
      </w:r>
      <w:r w:rsidR="0099312A" w:rsidRPr="008A3B40">
        <w:t>rad</w:t>
      </w:r>
      <w:r w:rsidR="00D8500D" w:rsidRPr="008A3B40">
        <w:t>ot</w:t>
      </w:r>
      <w:r w:rsidR="0099312A" w:rsidRPr="008A3B40">
        <w:t xml:space="preserve"> priekšrocības iepriekš zināmam </w:t>
      </w:r>
      <w:r w:rsidR="00B554E8" w:rsidRPr="008A3B40">
        <w:t>pretendentam</w:t>
      </w:r>
      <w:r w:rsidR="00B27AA3" w:rsidRPr="008A3B40">
        <w:t>.</w:t>
      </w:r>
    </w:p>
    <w:p w14:paraId="068F0439" w14:textId="77777777" w:rsidR="0099312A" w:rsidRPr="008A3B40" w:rsidRDefault="0099312A" w:rsidP="008A3B40">
      <w:pPr>
        <w:spacing w:line="276" w:lineRule="auto"/>
        <w:ind w:firstLine="567"/>
        <w:jc w:val="both"/>
      </w:pPr>
    </w:p>
    <w:p w14:paraId="4CE586FA" w14:textId="2A51A795" w:rsidR="000C14FC" w:rsidRPr="008A3B40" w:rsidRDefault="00926A7D" w:rsidP="008A3B40">
      <w:pPr>
        <w:spacing w:line="276" w:lineRule="auto"/>
        <w:ind w:firstLine="567"/>
        <w:jc w:val="both"/>
      </w:pPr>
      <w:r w:rsidRPr="008A3B40">
        <w:t>[</w:t>
      </w:r>
      <w:r w:rsidR="00897D41" w:rsidRPr="008A3B40">
        <w:t>11</w:t>
      </w:r>
      <w:r w:rsidRPr="008A3B40">
        <w:t>]</w:t>
      </w:r>
      <w:r w:rsidR="00897D41" w:rsidRPr="008A3B40">
        <w:t> </w:t>
      </w:r>
      <w:r w:rsidR="000C14FC" w:rsidRPr="008A3B40">
        <w:t>M</w:t>
      </w:r>
      <w:r w:rsidRPr="008A3B40">
        <w:t>obilo sakaru pakalpojumu tirg</w:t>
      </w:r>
      <w:r w:rsidR="000C14FC" w:rsidRPr="008A3B40">
        <w:t>ū</w:t>
      </w:r>
      <w:r w:rsidRPr="008A3B40">
        <w:t xml:space="preserve"> Latvijā</w:t>
      </w:r>
      <w:r w:rsidR="000C14FC" w:rsidRPr="008A3B40">
        <w:t xml:space="preserve"> ir trīs lielākie tirgus dalībnieki</w:t>
      </w:r>
      <w:r w:rsidR="00897D41" w:rsidRPr="008A3B40">
        <w:t xml:space="preserve"> –</w:t>
      </w:r>
      <w:r w:rsidR="000C14FC" w:rsidRPr="008A3B40">
        <w:t xml:space="preserve"> </w:t>
      </w:r>
      <w:r w:rsidR="00F80CF2" w:rsidRPr="008A3B40">
        <w:t>SIA „Latvijas Mobilais Telefons”</w:t>
      </w:r>
      <w:r w:rsidR="000C14FC" w:rsidRPr="008A3B40">
        <w:t>, SIA</w:t>
      </w:r>
      <w:r w:rsidR="002C3719" w:rsidRPr="008A3B40">
        <w:t> </w:t>
      </w:r>
      <w:r w:rsidR="000C14FC" w:rsidRPr="008A3B40">
        <w:t>„Tele2” un pieteicēja</w:t>
      </w:r>
      <w:r w:rsidR="00897D41" w:rsidRPr="008A3B40">
        <w:t xml:space="preserve"> –</w:t>
      </w:r>
      <w:r w:rsidR="000C14FC" w:rsidRPr="008A3B40">
        <w:t>, kas sniedz balss telefonijas</w:t>
      </w:r>
      <w:r w:rsidR="003F1473" w:rsidRPr="008A3B40">
        <w:t>, elektronisko ziņojumu pārraides, kā arī publiskā interneta piekļuves pakalpojumus mobil</w:t>
      </w:r>
      <w:r w:rsidR="00A56F89" w:rsidRPr="008A3B40">
        <w:t>o</w:t>
      </w:r>
      <w:r w:rsidR="003F1473" w:rsidRPr="008A3B40">
        <w:t xml:space="preserve"> elektronisko sakaru tīklā.</w:t>
      </w:r>
      <w:r w:rsidR="004D0276" w:rsidRPr="008A3B40">
        <w:t xml:space="preserve"> Turklāt šie ir vienīgie komersanti, kas sniedz elektronisko sakaru pakalpojumu</w:t>
      </w:r>
      <w:r w:rsidR="007B1B53" w:rsidRPr="008A3B40">
        <w:t>s</w:t>
      </w:r>
      <w:r w:rsidR="004D0276" w:rsidRPr="008A3B40">
        <w:t xml:space="preserve"> nolikumā minētajās radiofrekvenču joslās.</w:t>
      </w:r>
    </w:p>
    <w:p w14:paraId="45266482" w14:textId="2A94DE21" w:rsidR="00B27AA3" w:rsidRPr="008A3B40" w:rsidRDefault="00550C6D" w:rsidP="008A3B40">
      <w:pPr>
        <w:spacing w:line="276" w:lineRule="auto"/>
        <w:ind w:firstLine="567"/>
        <w:jc w:val="both"/>
      </w:pPr>
      <w:r w:rsidRPr="008A3B40">
        <w:t xml:space="preserve">Saskaņā ar Elektronisko sakaru likuma 50.pantu </w:t>
      </w:r>
      <w:r w:rsidR="005C2F73" w:rsidRPr="008A3B40">
        <w:t xml:space="preserve">valsts </w:t>
      </w:r>
      <w:r w:rsidRPr="008A3B40">
        <w:t>AS „Elektroniskie sakari” lēmumi par radiofrekvences piešķīruma lietošanas atļaujām izmantošanai komercdarbībā ir publiskojami</w:t>
      </w:r>
      <w:r w:rsidR="00930BA2" w:rsidRPr="008A3B40">
        <w:t xml:space="preserve"> (aplūkojams </w:t>
      </w:r>
      <w:hyperlink r:id="rId9" w:history="1">
        <w:r w:rsidR="00930BA2" w:rsidRPr="008A3B40">
          <w:rPr>
            <w:i/>
            <w:iCs/>
          </w:rPr>
          <w:t>www.vases.lv/content/radiofrekvences-pieskiruma-lietosanas-atlaujas</w:t>
        </w:r>
      </w:hyperlink>
      <w:r w:rsidR="00930BA2" w:rsidRPr="008A3B40">
        <w:t>)</w:t>
      </w:r>
      <w:r w:rsidR="004D0276" w:rsidRPr="008A3B40">
        <w:t xml:space="preserve">. Atbilstoši informācijai, kas atjaunota 2021.gada 19.janvārī, </w:t>
      </w:r>
      <w:r w:rsidR="002D3FCE" w:rsidRPr="008A3B40">
        <w:t xml:space="preserve">SIA „Latvijas Mobilais Telefons” </w:t>
      </w:r>
      <w:r w:rsidR="004D0276" w:rsidRPr="008A3B40">
        <w:t xml:space="preserve">ir piešķirts lielākais atļauju skaits bāzes staciju izvietošanai nolikumā norādītajās radiofrekvenču joslās. </w:t>
      </w:r>
      <w:r w:rsidR="00FF0DE0" w:rsidRPr="008A3B40">
        <w:t xml:space="preserve">Pārējo operatoru </w:t>
      </w:r>
      <w:r w:rsidR="00930BA2" w:rsidRPr="008A3B40">
        <w:t xml:space="preserve">bāzes staciju skaits ir būtiski mazāks. </w:t>
      </w:r>
      <w:r w:rsidR="004D0276" w:rsidRPr="008A3B40">
        <w:t>Izņēmums ir frekvenču josla 2500,0–2690,0 MHz, kur lielākais izsniegto atļauju skaits ir tieši pieteicējai.</w:t>
      </w:r>
    </w:p>
    <w:p w14:paraId="4115C8C9" w14:textId="7E82D0EF" w:rsidR="00930BA2" w:rsidRPr="008A3B40" w:rsidRDefault="00B76EDF" w:rsidP="008A3B40">
      <w:pPr>
        <w:spacing w:line="276" w:lineRule="auto"/>
        <w:ind w:firstLine="567"/>
        <w:jc w:val="both"/>
      </w:pPr>
      <w:r w:rsidRPr="008A3B40">
        <w:t xml:space="preserve">Valsts AS </w:t>
      </w:r>
      <w:r w:rsidR="00930BA2" w:rsidRPr="008A3B40">
        <w:t>„Elektroniskie sakari” skaidro, ka bāzes staciju skaits ir attiecināms uz radio pārklājumu raksturojošiem rādītājiem un tīkla kapacitātes plānošanu. Tas ir viens no mobilo sakaru pakalpojumu pieejamības objektīviem rādītājiem, taču ne vienīgais</w:t>
      </w:r>
      <w:r w:rsidR="002E0539" w:rsidRPr="008A3B40">
        <w:t xml:space="preserve"> (</w:t>
      </w:r>
      <w:r w:rsidR="002E0539" w:rsidRPr="008A3B40">
        <w:rPr>
          <w:i/>
          <w:iCs/>
        </w:rPr>
        <w:t>lietas 148.lapa</w:t>
      </w:r>
      <w:r w:rsidR="002E0539" w:rsidRPr="008A3B40">
        <w:t>)</w:t>
      </w:r>
      <w:r w:rsidR="00930BA2" w:rsidRPr="008A3B40">
        <w:t xml:space="preserve">. Tam pievienojas biedrība „Latvijas Informācijas un komunikācijas tehnoloģijas asociācija”, </w:t>
      </w:r>
      <w:r w:rsidR="00930BA2" w:rsidRPr="008A3B40">
        <w:lastRenderedPageBreak/>
        <w:t xml:space="preserve">skaidrojot, ka pakalpojumu pieejamību raksturo mobilā tīkla radiopārklājums, kuru savukārt nodrošina mobilā tīkla bāzes stacija. Vienlaikus biedrība arī </w:t>
      </w:r>
      <w:r w:rsidR="007B1B53" w:rsidRPr="008A3B40">
        <w:t>norāda</w:t>
      </w:r>
      <w:r w:rsidR="00930BA2" w:rsidRPr="008A3B40">
        <w:t>, ka mobilo sakaru kvalitāte un pieejamība ir divi atšķirīgi jēdzieni</w:t>
      </w:r>
      <w:r w:rsidR="002D2E8B" w:rsidRPr="008A3B40">
        <w:t xml:space="preserve">. </w:t>
      </w:r>
      <w:r w:rsidR="002D3FCE" w:rsidRPr="008A3B40">
        <w:t xml:space="preserve">Sabiedrisko pakalpojumu regulēšanas komisija (turpmāk – Regulators) </w:t>
      </w:r>
      <w:r w:rsidR="002D2E8B" w:rsidRPr="008A3B40">
        <w:t>ir notei</w:t>
      </w:r>
      <w:r w:rsidR="002D3FCE" w:rsidRPr="008A3B40">
        <w:t>kusi</w:t>
      </w:r>
      <w:r w:rsidR="002D2E8B" w:rsidRPr="008A3B40">
        <w:t xml:space="preserve"> mērāmos parametrus balss, īsziņu un datu pārraides pakalpojumiem</w:t>
      </w:r>
      <w:r w:rsidR="002E0539" w:rsidRPr="008A3B40">
        <w:t xml:space="preserve"> (</w:t>
      </w:r>
      <w:r w:rsidR="002E0539" w:rsidRPr="008A3B40">
        <w:rPr>
          <w:i/>
          <w:iCs/>
        </w:rPr>
        <w:t>lietas 56.</w:t>
      </w:r>
      <w:r w:rsidR="00150DD1" w:rsidRPr="008A3B40">
        <w:rPr>
          <w:i/>
          <w:iCs/>
        </w:rPr>
        <w:t>–</w:t>
      </w:r>
      <w:r w:rsidR="002E0539" w:rsidRPr="008A3B40">
        <w:rPr>
          <w:i/>
          <w:iCs/>
        </w:rPr>
        <w:t>57.lapa</w:t>
      </w:r>
      <w:r w:rsidR="002E0539" w:rsidRPr="008A3B40">
        <w:t>)</w:t>
      </w:r>
      <w:r w:rsidR="00930BA2" w:rsidRPr="008A3B40">
        <w:t>.</w:t>
      </w:r>
    </w:p>
    <w:p w14:paraId="2558E309" w14:textId="77777777" w:rsidR="006B5C6D" w:rsidRPr="008A3B40" w:rsidRDefault="006B5C6D" w:rsidP="008A3B40">
      <w:pPr>
        <w:spacing w:line="276" w:lineRule="auto"/>
        <w:ind w:firstLine="567"/>
        <w:jc w:val="both"/>
      </w:pPr>
    </w:p>
    <w:p w14:paraId="57BE0B8F" w14:textId="0D5C577C" w:rsidR="00C61803" w:rsidRPr="008A3B40" w:rsidRDefault="006B5C6D" w:rsidP="008A3B40">
      <w:pPr>
        <w:spacing w:line="276" w:lineRule="auto"/>
        <w:ind w:firstLine="567"/>
        <w:jc w:val="both"/>
      </w:pPr>
      <w:r w:rsidRPr="008A3B40">
        <w:t>[</w:t>
      </w:r>
      <w:r w:rsidR="00A56F89" w:rsidRPr="008A3B40">
        <w:t>12</w:t>
      </w:r>
      <w:r w:rsidRPr="008A3B40">
        <w:t>]</w:t>
      </w:r>
      <w:r w:rsidR="00A56F89" w:rsidRPr="008A3B40">
        <w:t> </w:t>
      </w:r>
      <w:r w:rsidR="00C61803" w:rsidRPr="008A3B40">
        <w:t xml:space="preserve">Elektronisko sakaru nozari atbilstoši Elektronisko sakaru likumā piešķirtajai kompetencei uzrauga un regulē </w:t>
      </w:r>
      <w:r w:rsidR="003B2741" w:rsidRPr="008A3B40">
        <w:t>R</w:t>
      </w:r>
      <w:r w:rsidR="00C61803" w:rsidRPr="008A3B40">
        <w:t xml:space="preserve">egulators. Regulators nosaka elektronisko sakaru komersantu sniegto pakalpojumu kvalitātes prasības un uzrauga šo prasību izpildi. </w:t>
      </w:r>
      <w:r w:rsidR="00AB7AB9" w:rsidRPr="008A3B40">
        <w:t>Pārskats par pakalpojumu kvalitāti tiek veikts katru gadu</w:t>
      </w:r>
      <w:r w:rsidR="00897C5A" w:rsidRPr="008A3B40">
        <w:t>, un par to tiek informēta sabiedrība</w:t>
      </w:r>
      <w:r w:rsidR="009001EE" w:rsidRPr="008A3B40">
        <w:t>.</w:t>
      </w:r>
    </w:p>
    <w:p w14:paraId="1289BC08" w14:textId="66FA8498" w:rsidR="006702F2" w:rsidRPr="008A3B40" w:rsidRDefault="004D75D3" w:rsidP="008A3B40">
      <w:pPr>
        <w:spacing w:line="276" w:lineRule="auto"/>
        <w:ind w:firstLine="567"/>
        <w:jc w:val="both"/>
      </w:pPr>
      <w:r w:rsidRPr="008A3B40">
        <w:t>P</w:t>
      </w:r>
      <w:r w:rsidR="00897C5A" w:rsidRPr="008A3B40">
        <w:t xml:space="preserve">ārskatā </w:t>
      </w:r>
      <w:r w:rsidR="00EB3EAD" w:rsidRPr="008A3B40">
        <w:t>tiek</w:t>
      </w:r>
      <w:r w:rsidR="00497E3F" w:rsidRPr="008A3B40">
        <w:t xml:space="preserve"> iekļauta informācija par Regulatora veikto mērījumu rezultātiem un to analītisks izklāsts</w:t>
      </w:r>
      <w:r w:rsidR="000051DD" w:rsidRPr="008A3B40">
        <w:t xml:space="preserve"> gan par mērījumiem pārskata gadā, gan iepriekšēj</w:t>
      </w:r>
      <w:r w:rsidR="00D8500D" w:rsidRPr="008A3B40">
        <w:t>o</w:t>
      </w:r>
      <w:r w:rsidR="000051DD" w:rsidRPr="008A3B40">
        <w:t xml:space="preserve"> trīs gadu periodā. </w:t>
      </w:r>
      <w:r w:rsidR="00EB3EAD" w:rsidRPr="008A3B40">
        <w:t>Pakalpojumu kvalitātes detalizētas un tehniski specificētas prasības ir noteiktas šādiem pakalpojumu veidiem: iekšzemes balss telefonijas pakalpojums</w:t>
      </w:r>
      <w:r w:rsidR="0055132B" w:rsidRPr="008A3B40">
        <w:t xml:space="preserve"> </w:t>
      </w:r>
      <w:r w:rsidR="000051DD" w:rsidRPr="008A3B40">
        <w:t xml:space="preserve">un </w:t>
      </w:r>
      <w:r w:rsidR="00EB3EAD" w:rsidRPr="008A3B40">
        <w:t>interneta pakalpojums</w:t>
      </w:r>
      <w:r w:rsidR="000051DD" w:rsidRPr="008A3B40">
        <w:t xml:space="preserve">. </w:t>
      </w:r>
      <w:r w:rsidR="0055132B" w:rsidRPr="008A3B40">
        <w:t>Agrākos pārskatos atrodams arī elektronisko ziņojumu pārraides pakalpojumu mobilā elektronisko sakaru tīklā (īsziņu pakalpojuma) kvalitātes vērtējums.</w:t>
      </w:r>
      <w:r w:rsidR="006702F2" w:rsidRPr="008A3B40">
        <w:t xml:space="preserve"> Balss telefonijas pakalpojuma kvalitāti raksturo savienojuma sekmīgums, savienošanas laiks un runas pārraides kvalitāte. Savukārt interneta pakalpojumu kvalitātes mērījumos tiek novērtēti šādi kvalitātes parametri: pieslēguma ātrums (lejupielādes un augšupielādes); pārraidīto datu vienību jeb pakešu zuduma koeficients, kas ir būtisks parametrs balss pārraides vai datu straumēšanas (reāla laika video skatīšanās, videokonference) lietojumprogrammu lietošanai; latentums, kas norāda laika aizturi starp informācijas pieprasījumu un informācijas saņemšanu; trīce, kas nosaka laika aiztures nevienmērību starp datu pakešu sūtīšanu un saņemšanu</w:t>
      </w:r>
      <w:r w:rsidR="009001EE" w:rsidRPr="008A3B40">
        <w:t>.</w:t>
      </w:r>
    </w:p>
    <w:p w14:paraId="42BA52C1" w14:textId="3E8FC388" w:rsidR="00AB7AB9" w:rsidRPr="008A3B40" w:rsidRDefault="008A69AD" w:rsidP="008A3B40">
      <w:pPr>
        <w:spacing w:line="276" w:lineRule="auto"/>
        <w:ind w:firstLine="567"/>
        <w:jc w:val="both"/>
      </w:pPr>
      <w:bookmarkStart w:id="2" w:name="_Hlk65768679"/>
      <w:r w:rsidRPr="008A3B40">
        <w:t>Atbilstoši</w:t>
      </w:r>
      <w:r w:rsidR="00EB3EAD" w:rsidRPr="008A3B40">
        <w:t xml:space="preserve"> </w:t>
      </w:r>
      <w:r w:rsidR="00EE7885" w:rsidRPr="008A3B40">
        <w:t>Regulator</w:t>
      </w:r>
      <w:r w:rsidRPr="008A3B40">
        <w:t>a</w:t>
      </w:r>
      <w:r w:rsidR="00EE7885" w:rsidRPr="008A3B40">
        <w:t xml:space="preserve"> paskaidrojum</w:t>
      </w:r>
      <w:r w:rsidRPr="008A3B40">
        <w:t>iem lietā</w:t>
      </w:r>
      <w:r w:rsidR="00E04CB4" w:rsidRPr="008A3B40">
        <w:t xml:space="preserve"> </w:t>
      </w:r>
      <w:r w:rsidR="00EE7885" w:rsidRPr="008A3B40">
        <w:t>publiskā interneta piekļuves pakalpojuma kvalitātes mērījum</w:t>
      </w:r>
      <w:r w:rsidR="00E04CB4" w:rsidRPr="008A3B40">
        <w:t>o</w:t>
      </w:r>
      <w:r w:rsidR="00EE7885" w:rsidRPr="008A3B40">
        <w:t xml:space="preserve">s netiek analizēta bāzes staciju skaita ietekme uz interneta pakalpojumu pieejamību. Regulators neveic interneta pakalpojuma kvalitātes mērījumu analīzi šādā griezumā, kā arī interneta pakalpojuma kvalitātes mērījumu veikšanā un plānošanā šāds parametrs netiek izmantots. Regulators arī skaidro, ka </w:t>
      </w:r>
      <w:r w:rsidR="00EB3EAD" w:rsidRPr="008A3B40">
        <w:t>pakalpojumu kvalitātes mērījumu procesā netiek vērtēta mobilā elektronisko sakaru tīkla radiopārklājuma tieša pieejamība, ko ietekmē dažādu kvalitāti raksturojošu parametru kopums, tostarp elektronisko sakaru pakalpojumu kvalitātes raksturlielumi atbilstoši elektronisko sakaru pakalpojumu veidam. Nav viennozīmīga kritēriju kopuma mobilo elektronisko sakaru pakalpojuma pieejamības vērtēšanai. Atbilstošs rādītāju vērtējuma nozīmīgums atkarīgs no konkrēta mobilo elektronisko sakaru pakalpojuma tehniskajām iespējām, lietotāja vēlmēm un nepieciešamības, kā arī elektronisko sakaru pakalpojuma saņemšanas vietas (</w:t>
      </w:r>
      <w:r w:rsidR="00EB3EAD" w:rsidRPr="008A3B40">
        <w:rPr>
          <w:i/>
          <w:iCs/>
        </w:rPr>
        <w:t>lietas 144.</w:t>
      </w:r>
      <w:r w:rsidR="00150DD1" w:rsidRPr="008A3B40">
        <w:rPr>
          <w:i/>
          <w:iCs/>
        </w:rPr>
        <w:t>–</w:t>
      </w:r>
      <w:r w:rsidR="00EB3EAD" w:rsidRPr="008A3B40">
        <w:rPr>
          <w:i/>
          <w:iCs/>
        </w:rPr>
        <w:t>145.lapa</w:t>
      </w:r>
      <w:r w:rsidR="00EB3EAD" w:rsidRPr="008A3B40">
        <w:t>).</w:t>
      </w:r>
    </w:p>
    <w:bookmarkEnd w:id="2"/>
    <w:p w14:paraId="727C401D" w14:textId="77777777" w:rsidR="00AB7AB9" w:rsidRPr="008A3B40" w:rsidRDefault="00AB7AB9" w:rsidP="008A3B40">
      <w:pPr>
        <w:spacing w:line="276" w:lineRule="auto"/>
        <w:ind w:firstLine="567"/>
        <w:jc w:val="both"/>
      </w:pPr>
    </w:p>
    <w:p w14:paraId="07BBE1C4" w14:textId="6B40EF70" w:rsidR="00322B8D" w:rsidRPr="008A3B40" w:rsidRDefault="002D2E8B" w:rsidP="008A3B40">
      <w:pPr>
        <w:spacing w:line="276" w:lineRule="auto"/>
        <w:ind w:firstLine="567"/>
        <w:jc w:val="both"/>
      </w:pPr>
      <w:r w:rsidRPr="008A3B40">
        <w:t>[</w:t>
      </w:r>
      <w:r w:rsidR="00150DD1" w:rsidRPr="008A3B40">
        <w:t>13</w:t>
      </w:r>
      <w:r w:rsidRPr="008A3B40">
        <w:t>]</w:t>
      </w:r>
      <w:r w:rsidR="00150DD1" w:rsidRPr="008A3B40">
        <w:t> </w:t>
      </w:r>
      <w:r w:rsidRPr="008A3B40">
        <w:t xml:space="preserve">Aplūkotie viedokļi </w:t>
      </w:r>
      <w:r w:rsidR="008A69AD" w:rsidRPr="008A3B40">
        <w:t xml:space="preserve">un arī Regulatora pārskatos izdarītie secinājumi </w:t>
      </w:r>
      <w:r w:rsidRPr="008A3B40">
        <w:t xml:space="preserve">parāda, ka mobilo sakaru tīkla pakalpojumu raksturo gan tā pieejamība noteiktā teritorijā (pārklājums, ko nodrošina bāzes staciju izvietojums un skaits), gan tā kvalitatīvās īpašības (ko savukārt </w:t>
      </w:r>
      <w:r w:rsidR="00FB0812" w:rsidRPr="008A3B40">
        <w:t>novērtē, veicot mērījumus par konkrēti</w:t>
      </w:r>
      <w:r w:rsidRPr="008A3B40">
        <w:t xml:space="preserve"> pārbaudāmi</w:t>
      </w:r>
      <w:r w:rsidR="00FB0812" w:rsidRPr="008A3B40">
        <w:t>em parametriem</w:t>
      </w:r>
      <w:r w:rsidR="009001EE" w:rsidRPr="008A3B40">
        <w:t>).</w:t>
      </w:r>
    </w:p>
    <w:p w14:paraId="67692CEA" w14:textId="1F82E976" w:rsidR="000C14FC" w:rsidRPr="008A3B40" w:rsidRDefault="008A69AD" w:rsidP="008A3B40">
      <w:pPr>
        <w:spacing w:line="276" w:lineRule="auto"/>
        <w:ind w:firstLine="567"/>
        <w:jc w:val="both"/>
      </w:pPr>
      <w:r w:rsidRPr="008A3B40">
        <w:t xml:space="preserve">Vienlaikus publiski pieejamās ziņas par katra operatora bāzes staciju skaitu kopsakarā ar </w:t>
      </w:r>
      <w:r w:rsidR="009D25D0" w:rsidRPr="008A3B40">
        <w:t xml:space="preserve">pakalpojumu </w:t>
      </w:r>
      <w:r w:rsidR="007A0B38" w:rsidRPr="008A3B40">
        <w:t xml:space="preserve">kvalitātes mērījumu rezultātā </w:t>
      </w:r>
      <w:r w:rsidR="009D25D0" w:rsidRPr="008A3B40">
        <w:t xml:space="preserve">Regulatora </w:t>
      </w:r>
      <w:r w:rsidR="007A0B38" w:rsidRPr="008A3B40">
        <w:t xml:space="preserve">izdarītajiem </w:t>
      </w:r>
      <w:r w:rsidRPr="008A3B40">
        <w:t>secinājumiem</w:t>
      </w:r>
      <w:r w:rsidR="001F724F" w:rsidRPr="008A3B40">
        <w:t xml:space="preserve"> uzskatāmi </w:t>
      </w:r>
      <w:r w:rsidR="00322B8D" w:rsidRPr="008A3B40">
        <w:t xml:space="preserve">parāda, ka nav </w:t>
      </w:r>
      <w:r w:rsidR="00175E9C" w:rsidRPr="008A3B40">
        <w:t>viennozīmīgas</w:t>
      </w:r>
      <w:r w:rsidR="00322B8D" w:rsidRPr="008A3B40">
        <w:t xml:space="preserve"> korelācijas starp bāzes staciju skaitu un balss telefonijas un datu apraides pakalpojumu kvalitāti. </w:t>
      </w:r>
      <w:r w:rsidR="007A0B38" w:rsidRPr="008A3B40">
        <w:t>SIA „Latvijas Mobilais Telefons” ir v</w:t>
      </w:r>
      <w:r w:rsidR="00322B8D" w:rsidRPr="008A3B40">
        <w:t xml:space="preserve">isvairāk bāzes staciju lielākajā daļā frekvenču diapazonu, savukārt nemainīgi lielākais vidējais lejupielādes ātrums salīdzinājumā pa gadiem ir </w:t>
      </w:r>
      <w:r w:rsidR="007A0B38" w:rsidRPr="008A3B40">
        <w:t>konstatējams SIA „Tele2” tīklā</w:t>
      </w:r>
      <w:r w:rsidR="007719BC" w:rsidRPr="008A3B40">
        <w:t>.</w:t>
      </w:r>
      <w:r w:rsidR="009D25D0" w:rsidRPr="008A3B40">
        <w:t xml:space="preserve"> </w:t>
      </w:r>
      <w:r w:rsidR="007719BC" w:rsidRPr="008A3B40">
        <w:t>T</w:t>
      </w:r>
      <w:r w:rsidR="009D25D0" w:rsidRPr="008A3B40">
        <w:t xml:space="preserve">urklāt šie rādītāji ir augstāki arī </w:t>
      </w:r>
      <w:r w:rsidR="009D25D0" w:rsidRPr="008A3B40">
        <w:lastRenderedPageBreak/>
        <w:t>lielākajā daļā reģionālo pilsētu un lauku apvidos</w:t>
      </w:r>
      <w:r w:rsidR="00322B8D" w:rsidRPr="008A3B40">
        <w:t xml:space="preserve">. Tomēr, kā norāda Regulators, vidējās vērtības nevar uzskatīt par faktisku interneta pakalpojuma novērtējumu ikvienā pieslēguma vietā. </w:t>
      </w:r>
      <w:r w:rsidR="001F724F" w:rsidRPr="008A3B40">
        <w:t>Neskatoties uz plašo 4G tīklu izplatību un augstiem pieslēguma ātrumiem, ārpus pilsētām joprojām ir vērojamas vietas, kurās mobilo operatoru tīklos interneta pakalpojums nav pieejams nestabila vai neesoša pārklājuma dēļ</w:t>
      </w:r>
      <w:r w:rsidR="001006E4" w:rsidRPr="008A3B40">
        <w:t xml:space="preserve"> </w:t>
      </w:r>
      <w:r w:rsidR="00322B8D" w:rsidRPr="008A3B40">
        <w:t>(sk.</w:t>
      </w:r>
      <w:r w:rsidR="009D25D0" w:rsidRPr="008A3B40">
        <w:t xml:space="preserve"> </w:t>
      </w:r>
      <w:r w:rsidR="009D25D0" w:rsidRPr="008A3B40">
        <w:rPr>
          <w:i/>
          <w:iCs/>
        </w:rPr>
        <w:t>www.sprk.gov.lv/content/parskati-elektronisko-sakaru-nozare, www.sprk.gov.lv/content/izlases-merijumu-rezultati</w:t>
      </w:r>
      <w:r w:rsidR="00322B8D" w:rsidRPr="008A3B40">
        <w:t>).</w:t>
      </w:r>
    </w:p>
    <w:p w14:paraId="174DC208" w14:textId="5BD2CE55" w:rsidR="008E65F6" w:rsidRPr="008A3B40" w:rsidRDefault="001006E4" w:rsidP="008A3B40">
      <w:pPr>
        <w:spacing w:line="276" w:lineRule="auto"/>
        <w:ind w:firstLine="567"/>
        <w:jc w:val="both"/>
      </w:pPr>
      <w:r w:rsidRPr="008A3B40">
        <w:t>Tād</w:t>
      </w:r>
      <w:r w:rsidR="009D25D0" w:rsidRPr="008A3B40">
        <w:t>ējādi,</w:t>
      </w:r>
      <w:r w:rsidRPr="008A3B40">
        <w:t xml:space="preserve"> </w:t>
      </w:r>
      <w:r w:rsidR="00976C9C" w:rsidRPr="008A3B40">
        <w:t xml:space="preserve">lai arī </w:t>
      </w:r>
      <w:r w:rsidRPr="008A3B40">
        <w:t xml:space="preserve">vidējā lejupielādes ātruma mērījumi raksturo datu pārraides kvalitāti kopumā, </w:t>
      </w:r>
      <w:r w:rsidR="00976C9C" w:rsidRPr="008A3B40">
        <w:t xml:space="preserve">tie </w:t>
      </w:r>
      <w:r w:rsidRPr="008A3B40">
        <w:t xml:space="preserve">nav pietiekami, lai atzītu, ka vienmērīgs pārklājums </w:t>
      </w:r>
      <w:r w:rsidR="00976C9C" w:rsidRPr="008A3B40">
        <w:t xml:space="preserve">un kvalitatīvi sakari </w:t>
      </w:r>
      <w:r w:rsidRPr="008A3B40">
        <w:t>tiks nodrošināt</w:t>
      </w:r>
      <w:r w:rsidR="00976C9C" w:rsidRPr="008A3B40">
        <w:t>i</w:t>
      </w:r>
      <w:r w:rsidRPr="008A3B40">
        <w:t xml:space="preserve"> visā Latvijas teritorijā. Vienlaikus arī bāzes staciju skaits pats par sevi to neapstiprina.</w:t>
      </w:r>
    </w:p>
    <w:p w14:paraId="2B9E3E2A" w14:textId="088CA345" w:rsidR="001006E4" w:rsidRPr="008A3B40" w:rsidRDefault="009D25D0" w:rsidP="008A3B40">
      <w:pPr>
        <w:spacing w:line="276" w:lineRule="auto"/>
        <w:ind w:firstLine="567"/>
        <w:jc w:val="both"/>
      </w:pPr>
      <w:r w:rsidRPr="008A3B40">
        <w:t>Arī</w:t>
      </w:r>
      <w:r w:rsidR="008E65F6" w:rsidRPr="008A3B40">
        <w:t xml:space="preserve"> Latvijas Telekomunikācijas asociācija </w:t>
      </w:r>
      <w:r w:rsidRPr="008A3B40">
        <w:t>norāda</w:t>
      </w:r>
      <w:r w:rsidR="008E65F6" w:rsidRPr="008A3B40">
        <w:t>,</w:t>
      </w:r>
      <w:r w:rsidRPr="008A3B40">
        <w:t xml:space="preserve"> ka</w:t>
      </w:r>
      <w:r w:rsidR="008E65F6" w:rsidRPr="008A3B40">
        <w:t xml:space="preserve"> kvalitātes mērījumi</w:t>
      </w:r>
      <w:r w:rsidRPr="008A3B40">
        <w:t xml:space="preserve">, kas </w:t>
      </w:r>
      <w:r w:rsidR="008E65F6" w:rsidRPr="008A3B40">
        <w:t>tiek izpildīti izlases veidā, lai gan sniedz vispārēju priekšstatu, tomēr nekādi neraksturo tīkla pakalpojumu kvalitāti konkrētā punktā, kur nepieciešams pakalpojums tieši pasūtītāja</w:t>
      </w:r>
      <w:r w:rsidR="00CE4FB1" w:rsidRPr="008A3B40">
        <w:t>i</w:t>
      </w:r>
      <w:r w:rsidR="008E65F6" w:rsidRPr="008A3B40">
        <w:t xml:space="preserve"> (</w:t>
      </w:r>
      <w:r w:rsidR="008E65F6" w:rsidRPr="008A3B40">
        <w:rPr>
          <w:i/>
          <w:iCs/>
        </w:rPr>
        <w:t>lietas 53.lapa</w:t>
      </w:r>
      <w:r w:rsidR="008E65F6" w:rsidRPr="008A3B40">
        <w:t>). Saskaņā ar šajā lietā iegūto lietpratēju viedokļiem šim nolūkam būtu veicami pārklājuma un pakalpojuma mērījumi pasūtītāja</w:t>
      </w:r>
      <w:r w:rsidR="00CE4FB1" w:rsidRPr="008A3B40">
        <w:t>i</w:t>
      </w:r>
      <w:r w:rsidR="008E65F6" w:rsidRPr="008A3B40">
        <w:t xml:space="preserve"> nepieciešamajās vietās (</w:t>
      </w:r>
      <w:r w:rsidR="008E65F6" w:rsidRPr="008A3B40">
        <w:rPr>
          <w:i/>
          <w:iCs/>
        </w:rPr>
        <w:t>lietas 57., 150.lapa</w:t>
      </w:r>
      <w:r w:rsidR="008E65F6" w:rsidRPr="008A3B40">
        <w:t>). Tomēr šī metode ir dārga un prasa lielus resursu ieguldījumus (</w:t>
      </w:r>
      <w:r w:rsidR="008E65F6" w:rsidRPr="008A3B40">
        <w:rPr>
          <w:i/>
          <w:iCs/>
        </w:rPr>
        <w:t>lietas 57.lapa</w:t>
      </w:r>
      <w:r w:rsidR="008E65F6" w:rsidRPr="008A3B40">
        <w:t>).</w:t>
      </w:r>
    </w:p>
    <w:p w14:paraId="2C0FB255" w14:textId="77777777" w:rsidR="00D12653" w:rsidRPr="008A3B40" w:rsidRDefault="00D12653" w:rsidP="008A3B40">
      <w:pPr>
        <w:spacing w:line="276" w:lineRule="auto"/>
        <w:ind w:firstLine="567"/>
        <w:jc w:val="both"/>
      </w:pPr>
    </w:p>
    <w:p w14:paraId="59E9048F" w14:textId="00D4DF5A" w:rsidR="00CC5540" w:rsidRPr="008A3B40" w:rsidRDefault="001006E4" w:rsidP="008A3B40">
      <w:pPr>
        <w:spacing w:line="276" w:lineRule="auto"/>
        <w:ind w:firstLine="567"/>
        <w:jc w:val="both"/>
      </w:pPr>
      <w:r w:rsidRPr="008A3B40">
        <w:t>[</w:t>
      </w:r>
      <w:r w:rsidR="003C1B3E" w:rsidRPr="008A3B40">
        <w:t>14</w:t>
      </w:r>
      <w:r w:rsidRPr="008A3B40">
        <w:t>]</w:t>
      </w:r>
      <w:r w:rsidR="003C1B3E" w:rsidRPr="008A3B40">
        <w:t> </w:t>
      </w:r>
      <w:r w:rsidR="00D12653" w:rsidRPr="008A3B40">
        <w:t>No minētā secināms</w:t>
      </w:r>
      <w:r w:rsidR="00751D7D" w:rsidRPr="008A3B40">
        <w:t xml:space="preserve">, ka pastāv vairāki iespējami mobilo sakaru pakalpojuma </w:t>
      </w:r>
      <w:r w:rsidR="00CC5540" w:rsidRPr="008A3B40">
        <w:t xml:space="preserve">(kas ietver gan balss telefoniju, gan internetu) </w:t>
      </w:r>
      <w:r w:rsidR="00751D7D" w:rsidRPr="008A3B40">
        <w:t xml:space="preserve">kvalitātes un pieejamības novērtēšanas kritēriji, bet katrs no tiem savā veidā ir nepilnīgs. </w:t>
      </w:r>
      <w:r w:rsidR="00BF5F32" w:rsidRPr="008A3B40">
        <w:t>Turklāt</w:t>
      </w:r>
      <w:r w:rsidR="00CC5540" w:rsidRPr="008A3B40">
        <w:t>, kā minēts,</w:t>
      </w:r>
      <w:r w:rsidR="00BF5F32" w:rsidRPr="008A3B40">
        <w:t xml:space="preserve"> nav viennozīmīgas saiknes starp bāzes staciju skaitu un </w:t>
      </w:r>
      <w:r w:rsidR="00CC5540" w:rsidRPr="008A3B40">
        <w:t xml:space="preserve">pasūtītājas darbībai dažādās Latvijas vietās </w:t>
      </w:r>
      <w:r w:rsidR="006B7945" w:rsidRPr="008A3B40">
        <w:t xml:space="preserve">jo īpaši </w:t>
      </w:r>
      <w:r w:rsidR="00CC5540" w:rsidRPr="008A3B40">
        <w:t xml:space="preserve">būtisko </w:t>
      </w:r>
      <w:r w:rsidR="00BF5F32" w:rsidRPr="008A3B40">
        <w:t xml:space="preserve">datu </w:t>
      </w:r>
      <w:r w:rsidR="007841A0" w:rsidRPr="008A3B40">
        <w:t>apraides pakalpojuma kvalitāti.</w:t>
      </w:r>
    </w:p>
    <w:p w14:paraId="7937D4AE" w14:textId="16080346" w:rsidR="00751D7D" w:rsidRPr="008A3B40" w:rsidRDefault="00CC5540" w:rsidP="008A3B40">
      <w:pPr>
        <w:spacing w:line="276" w:lineRule="auto"/>
        <w:ind w:firstLine="567"/>
        <w:jc w:val="both"/>
      </w:pPr>
      <w:r w:rsidRPr="008A3B40">
        <w:t>R</w:t>
      </w:r>
      <w:r w:rsidR="00B34489" w:rsidRPr="008A3B40">
        <w:t xml:space="preserve">ajona tiesa ir apstājusies pie secinājuma, ka bāzes staciju skaits konkrētu radiofrekvenču spektra diapazona ietvaros, lai arī nav vienīgais, ir objektīvi pārbaudāms un viegli salīdzināms pakalpojuma pieejamības rādītājs. </w:t>
      </w:r>
      <w:r w:rsidR="00751D7D" w:rsidRPr="008A3B40">
        <w:t>Tiesa arī atzinusi, ka, lai arī minētajā kritērijā maksimāli iegūstamie 49 punkti ir ievērojams punktu skaits no iespējamajiem 63, konkrētajā iepirkumā tiek vērtēti arī finanšu piedāvājuma vērtēšanas kritēriji, kur maksimāli iegūstamais punktu skaits ir 73.</w:t>
      </w:r>
    </w:p>
    <w:p w14:paraId="1027D7A2" w14:textId="06A55A5C" w:rsidR="006728BA" w:rsidRPr="008A3B40" w:rsidRDefault="002B30CD" w:rsidP="008A3B40">
      <w:pPr>
        <w:spacing w:line="276" w:lineRule="auto"/>
        <w:ind w:firstLine="567"/>
        <w:jc w:val="both"/>
        <w:rPr>
          <w:rFonts w:eastAsiaTheme="minorHAnsi"/>
          <w:lang w:eastAsia="en-US"/>
        </w:rPr>
      </w:pPr>
      <w:r w:rsidRPr="008A3B40">
        <w:t>Vispārīgi</w:t>
      </w:r>
      <w:r w:rsidR="00EA28CB" w:rsidRPr="008A3B40">
        <w:t xml:space="preserve"> tas, vai iepirkuma priekšmeta prasības ir gana efektīvas pasūtītāja mērķu sasniegšanai, nav tiesas vērtējuma jautājums, un tas ir atkarīgs no pasūtītāja apsvērumiem</w:t>
      </w:r>
      <w:r w:rsidR="00C635FE" w:rsidRPr="008A3B40">
        <w:t xml:space="preserve"> </w:t>
      </w:r>
      <w:r w:rsidR="002F2B99" w:rsidRPr="008A3B40">
        <w:t xml:space="preserve">(sal. </w:t>
      </w:r>
      <w:r w:rsidR="002F2B99" w:rsidRPr="008A3B40">
        <w:rPr>
          <w:i/>
          <w:iCs/>
        </w:rPr>
        <w:t xml:space="preserve">Senāta 2017.gada 7.jūlija </w:t>
      </w:r>
      <w:r w:rsidR="002F2B99" w:rsidRPr="008A3B40">
        <w:rPr>
          <w:i/>
        </w:rPr>
        <w:t>sprieduma lietā Nr. SKA-228/2017 (</w:t>
      </w:r>
      <w:r w:rsidR="002F2B99" w:rsidRPr="008A3B40">
        <w:rPr>
          <w:rFonts w:eastAsiaTheme="minorHAnsi"/>
          <w:i/>
          <w:iCs/>
          <w:lang w:eastAsia="en-US"/>
        </w:rPr>
        <w:t>A420372114</w:t>
      </w:r>
      <w:r w:rsidR="002F2B99" w:rsidRPr="008A3B40">
        <w:rPr>
          <w:i/>
        </w:rPr>
        <w:t xml:space="preserve">) </w:t>
      </w:r>
      <w:r w:rsidR="002F2B99" w:rsidRPr="008A3B40">
        <w:rPr>
          <w:i/>
          <w:iCs/>
        </w:rPr>
        <w:t>9.punkts</w:t>
      </w:r>
      <w:r w:rsidR="002F2B99" w:rsidRPr="008A3B40">
        <w:t>)</w:t>
      </w:r>
      <w:r w:rsidR="00EA28CB" w:rsidRPr="008A3B40">
        <w:t>.</w:t>
      </w:r>
      <w:r w:rsidR="002F2B99" w:rsidRPr="008A3B40">
        <w:t xml:space="preserve"> </w:t>
      </w:r>
      <w:r w:rsidR="00DF0BB8" w:rsidRPr="008A3B40">
        <w:t>Pasūtītāja plašā rīcības brīvība ir pamatota ar to, ka</w:t>
      </w:r>
      <w:r w:rsidR="00DC181F" w:rsidRPr="008A3B40">
        <w:t xml:space="preserve"> </w:t>
      </w:r>
      <w:r w:rsidR="00760010" w:rsidRPr="008A3B40">
        <w:t xml:space="preserve">pašam </w:t>
      </w:r>
      <w:r w:rsidR="00DC181F" w:rsidRPr="008A3B40">
        <w:t xml:space="preserve">pasūtītājam ir vislabāk zināms, </w:t>
      </w:r>
      <w:r w:rsidR="00760010" w:rsidRPr="008A3B40">
        <w:t>kādi</w:t>
      </w:r>
      <w:r w:rsidR="00DC181F" w:rsidRPr="008A3B40">
        <w:t xml:space="preserve"> </w:t>
      </w:r>
      <w:r w:rsidR="006728BA" w:rsidRPr="008A3B40">
        <w:t xml:space="preserve">kvalitātes </w:t>
      </w:r>
      <w:r w:rsidR="00DC181F" w:rsidRPr="008A3B40">
        <w:t xml:space="preserve">kritēriji </w:t>
      </w:r>
      <w:r w:rsidR="00DF0BB8" w:rsidRPr="008A3B40">
        <w:t>nosakāmi, lai saņemtu</w:t>
      </w:r>
      <w:r w:rsidR="00760010" w:rsidRPr="008A3B40">
        <w:t xml:space="preserve"> iepirkuma priekšmetam atbilstoš</w:t>
      </w:r>
      <w:r w:rsidR="00DF0BB8" w:rsidRPr="008A3B40">
        <w:t>u</w:t>
      </w:r>
      <w:r w:rsidR="00760010" w:rsidRPr="008A3B40">
        <w:t xml:space="preserve"> izpildījum</w:t>
      </w:r>
      <w:r w:rsidR="00DF0BB8" w:rsidRPr="008A3B40">
        <w:t>u</w:t>
      </w:r>
      <w:r w:rsidR="00DC181F" w:rsidRPr="008A3B40">
        <w:t xml:space="preserve">. </w:t>
      </w:r>
      <w:r w:rsidR="00564D33" w:rsidRPr="008A3B40">
        <w:rPr>
          <w:rFonts w:eastAsiaTheme="minorHAnsi"/>
          <w:lang w:eastAsia="en-US"/>
        </w:rPr>
        <w:t xml:space="preserve">Nav šaubu, ka </w:t>
      </w:r>
      <w:r w:rsidR="00DC181F" w:rsidRPr="008A3B40">
        <w:rPr>
          <w:rFonts w:eastAsiaTheme="minorHAnsi"/>
          <w:lang w:eastAsia="en-US"/>
        </w:rPr>
        <w:t xml:space="preserve">arī izskatāmajā lietā </w:t>
      </w:r>
      <w:r w:rsidR="00564D33" w:rsidRPr="008A3B40">
        <w:rPr>
          <w:rFonts w:eastAsiaTheme="minorHAnsi"/>
          <w:lang w:eastAsia="en-US"/>
        </w:rPr>
        <w:t>p</w:t>
      </w:r>
      <w:r w:rsidR="00E05568" w:rsidRPr="008A3B40">
        <w:rPr>
          <w:rFonts w:eastAsiaTheme="minorHAnsi"/>
          <w:lang w:eastAsia="en-US"/>
        </w:rPr>
        <w:t>ieteicējas aps</w:t>
      </w:r>
      <w:r w:rsidR="00C635FE" w:rsidRPr="008A3B40">
        <w:rPr>
          <w:rFonts w:eastAsiaTheme="minorHAnsi"/>
          <w:lang w:eastAsia="en-US"/>
        </w:rPr>
        <w:t>trīd</w:t>
      </w:r>
      <w:r w:rsidR="00E05568" w:rsidRPr="008A3B40">
        <w:rPr>
          <w:rFonts w:eastAsiaTheme="minorHAnsi"/>
          <w:lang w:eastAsia="en-US"/>
        </w:rPr>
        <w:t>ētās nolikuma</w:t>
      </w:r>
      <w:r w:rsidR="00C635FE" w:rsidRPr="008A3B40">
        <w:rPr>
          <w:rFonts w:eastAsiaTheme="minorHAnsi"/>
          <w:lang w:eastAsia="en-US"/>
        </w:rPr>
        <w:t xml:space="preserve"> prasības ir </w:t>
      </w:r>
      <w:r w:rsidR="00DF0BB8" w:rsidRPr="008A3B40">
        <w:rPr>
          <w:rFonts w:eastAsiaTheme="minorHAnsi"/>
          <w:lang w:eastAsia="en-US"/>
        </w:rPr>
        <w:t xml:space="preserve">vērstas uz </w:t>
      </w:r>
      <w:r w:rsidR="00C635FE" w:rsidRPr="008A3B40">
        <w:rPr>
          <w:rFonts w:eastAsiaTheme="minorHAnsi"/>
          <w:lang w:eastAsia="en-US"/>
        </w:rPr>
        <w:t>konkrētā</w:t>
      </w:r>
      <w:r w:rsidR="00DF0BB8" w:rsidRPr="008A3B40">
        <w:rPr>
          <w:rFonts w:eastAsiaTheme="minorHAnsi"/>
          <w:lang w:eastAsia="en-US"/>
        </w:rPr>
        <w:t>m</w:t>
      </w:r>
      <w:r w:rsidR="00C635FE" w:rsidRPr="008A3B40">
        <w:rPr>
          <w:rFonts w:eastAsiaTheme="minorHAnsi"/>
          <w:lang w:eastAsia="en-US"/>
        </w:rPr>
        <w:t xml:space="preserve"> pasūtītājas </w:t>
      </w:r>
      <w:r w:rsidR="00DF0BB8" w:rsidRPr="008A3B40">
        <w:rPr>
          <w:rFonts w:eastAsiaTheme="minorHAnsi"/>
          <w:lang w:eastAsia="en-US"/>
        </w:rPr>
        <w:t xml:space="preserve">saimnieciskajām </w:t>
      </w:r>
      <w:r w:rsidR="00C635FE" w:rsidRPr="008A3B40">
        <w:rPr>
          <w:rFonts w:eastAsiaTheme="minorHAnsi"/>
          <w:lang w:eastAsia="en-US"/>
        </w:rPr>
        <w:t xml:space="preserve">vajadzībām – nodrošināt </w:t>
      </w:r>
      <w:r w:rsidR="00DF0BB8" w:rsidRPr="008A3B40">
        <w:rPr>
          <w:rFonts w:eastAsiaTheme="minorHAnsi"/>
          <w:lang w:eastAsia="en-US"/>
        </w:rPr>
        <w:t xml:space="preserve">atbilstošas kvalitātes </w:t>
      </w:r>
      <w:r w:rsidR="00C635FE" w:rsidRPr="008A3B40">
        <w:rPr>
          <w:rFonts w:eastAsiaTheme="minorHAnsi"/>
          <w:lang w:eastAsia="en-US"/>
        </w:rPr>
        <w:t>mobilo</w:t>
      </w:r>
      <w:r w:rsidR="00DF0BB8" w:rsidRPr="008A3B40">
        <w:rPr>
          <w:rFonts w:eastAsiaTheme="minorHAnsi"/>
          <w:lang w:eastAsia="en-US"/>
        </w:rPr>
        <w:t>s</w:t>
      </w:r>
      <w:r w:rsidR="00C635FE" w:rsidRPr="008A3B40">
        <w:rPr>
          <w:rFonts w:eastAsiaTheme="minorHAnsi"/>
          <w:lang w:eastAsia="en-US"/>
        </w:rPr>
        <w:t xml:space="preserve"> sakaru</w:t>
      </w:r>
      <w:r w:rsidR="00DF0BB8" w:rsidRPr="008A3B40">
        <w:rPr>
          <w:rFonts w:eastAsiaTheme="minorHAnsi"/>
          <w:lang w:eastAsia="en-US"/>
        </w:rPr>
        <w:t>s</w:t>
      </w:r>
      <w:r w:rsidR="007841A0" w:rsidRPr="008A3B40">
        <w:rPr>
          <w:rFonts w:eastAsiaTheme="minorHAnsi"/>
          <w:lang w:eastAsia="en-US"/>
        </w:rPr>
        <w:t xml:space="preserve"> dažādās Latvijas vietās.</w:t>
      </w:r>
    </w:p>
    <w:p w14:paraId="205F5886" w14:textId="2ABF0FBB" w:rsidR="00751D7D" w:rsidRPr="008A3B40" w:rsidRDefault="00C635FE" w:rsidP="008A3B40">
      <w:pPr>
        <w:spacing w:line="276" w:lineRule="auto"/>
        <w:ind w:firstLine="567"/>
        <w:jc w:val="both"/>
      </w:pPr>
      <w:r w:rsidRPr="008A3B40">
        <w:rPr>
          <w:rFonts w:eastAsiaTheme="minorHAnsi"/>
          <w:lang w:eastAsia="en-US"/>
        </w:rPr>
        <w:t xml:space="preserve">Vienlaikus tiesa </w:t>
      </w:r>
      <w:r w:rsidR="00DF0BB8" w:rsidRPr="008A3B40">
        <w:rPr>
          <w:rFonts w:eastAsiaTheme="minorHAnsi"/>
          <w:lang w:eastAsia="en-US"/>
        </w:rPr>
        <w:t>nav apsvērusi</w:t>
      </w:r>
      <w:r w:rsidR="00316975" w:rsidRPr="008A3B40">
        <w:t>, vai strīdus</w:t>
      </w:r>
      <w:r w:rsidRPr="008A3B40">
        <w:t xml:space="preserve"> prasība</w:t>
      </w:r>
      <w:r w:rsidR="00316975" w:rsidRPr="008A3B40">
        <w:t>s</w:t>
      </w:r>
      <w:r w:rsidR="00750363" w:rsidRPr="008A3B40">
        <w:t>, ņemot vērā to īpatsvaru saimnieciski visizdevīgākā piedāvājuma noteikšanā</w:t>
      </w:r>
      <w:r w:rsidR="00751D7D" w:rsidRPr="008A3B40">
        <w:t>, i</w:t>
      </w:r>
      <w:r w:rsidRPr="008A3B40">
        <w:t>r</w:t>
      </w:r>
      <w:r w:rsidR="00DC181F" w:rsidRPr="008A3B40">
        <w:t xml:space="preserve"> </w:t>
      </w:r>
      <w:r w:rsidR="00C94CE6" w:rsidRPr="008A3B40">
        <w:t>adekvāti</w:t>
      </w:r>
      <w:r w:rsidR="00DC181F" w:rsidRPr="008A3B40">
        <w:t xml:space="preserve"> </w:t>
      </w:r>
      <w:r w:rsidR="00760010" w:rsidRPr="008A3B40">
        <w:t xml:space="preserve">pielāgotas pasūtītājas vajadzību apmierināšanai </w:t>
      </w:r>
      <w:r w:rsidRPr="008A3B40">
        <w:t>un nav diskriminējoša</w:t>
      </w:r>
      <w:r w:rsidR="00316975" w:rsidRPr="008A3B40">
        <w:t>s</w:t>
      </w:r>
      <w:r w:rsidRPr="008A3B40">
        <w:t>.</w:t>
      </w:r>
      <w:r w:rsidR="00DC181F" w:rsidRPr="008A3B40">
        <w:t xml:space="preserve"> </w:t>
      </w:r>
      <w:r w:rsidR="006728BA" w:rsidRPr="008A3B40">
        <w:t>Kā minēts, i</w:t>
      </w:r>
      <w:r w:rsidR="002F2B99" w:rsidRPr="008A3B40">
        <w:t>zskatāmā</w:t>
      </w:r>
      <w:r w:rsidR="00316975" w:rsidRPr="008A3B40">
        <w:t>s</w:t>
      </w:r>
      <w:r w:rsidR="002F2B99" w:rsidRPr="008A3B40">
        <w:t xml:space="preserve"> liet</w:t>
      </w:r>
      <w:r w:rsidR="00316975" w:rsidRPr="008A3B40">
        <w:t>as apstākļi parāda</w:t>
      </w:r>
      <w:r w:rsidR="002F2B99" w:rsidRPr="008A3B40">
        <w:t>,</w:t>
      </w:r>
      <w:r w:rsidR="005E6C51" w:rsidRPr="008A3B40">
        <w:t xml:space="preserve"> ka </w:t>
      </w:r>
      <w:r w:rsidR="002766D5" w:rsidRPr="008A3B40">
        <w:t xml:space="preserve">objektīvi </w:t>
      </w:r>
      <w:r w:rsidR="00E6784F" w:rsidRPr="008A3B40">
        <w:t>nav vien</w:t>
      </w:r>
      <w:r w:rsidR="002766D5" w:rsidRPr="008A3B40">
        <w:t>a</w:t>
      </w:r>
      <w:r w:rsidR="00E6784F" w:rsidRPr="008A3B40">
        <w:t xml:space="preserve"> </w:t>
      </w:r>
      <w:r w:rsidR="002766D5" w:rsidRPr="008A3B40">
        <w:t>kritērija</w:t>
      </w:r>
      <w:r w:rsidR="00E6784F" w:rsidRPr="008A3B40">
        <w:t xml:space="preserve">, </w:t>
      </w:r>
      <w:r w:rsidR="002766D5" w:rsidRPr="008A3B40">
        <w:t>kas efektīvi ļautu pārliecināties par piedāvātā pakalpojuma kvalitāti</w:t>
      </w:r>
      <w:r w:rsidR="00DC181F" w:rsidRPr="008A3B40">
        <w:t>.</w:t>
      </w:r>
      <w:r w:rsidR="00751D7D" w:rsidRPr="008A3B40">
        <w:t xml:space="preserve"> </w:t>
      </w:r>
      <w:r w:rsidR="00DC181F" w:rsidRPr="008A3B40">
        <w:t xml:space="preserve"> Šādā gadījumā</w:t>
      </w:r>
      <w:r w:rsidR="002766D5" w:rsidRPr="008A3B40">
        <w:t xml:space="preserve"> nav pamatoti </w:t>
      </w:r>
      <w:r w:rsidR="00750363" w:rsidRPr="008A3B40">
        <w:t xml:space="preserve">piešķirt izšķirošu nozīmi </w:t>
      </w:r>
      <w:r w:rsidR="002766D5" w:rsidRPr="008A3B40">
        <w:t>vien</w:t>
      </w:r>
      <w:r w:rsidR="00750363" w:rsidRPr="008A3B40">
        <w:t>am</w:t>
      </w:r>
      <w:r w:rsidR="002766D5" w:rsidRPr="008A3B40">
        <w:t xml:space="preserve"> kvalitātes novērtējuma kritērij</w:t>
      </w:r>
      <w:r w:rsidR="00751D7D" w:rsidRPr="008A3B40">
        <w:t>am</w:t>
      </w:r>
      <w:r w:rsidR="00760010" w:rsidRPr="008A3B40">
        <w:t>, vēl jo vairāk, – ja tas</w:t>
      </w:r>
      <w:r w:rsidR="002766D5" w:rsidRPr="008A3B40">
        <w:t xml:space="preserve"> </w:t>
      </w:r>
      <w:r w:rsidR="00DB47CB" w:rsidRPr="008A3B40">
        <w:t>kādam</w:t>
      </w:r>
      <w:r w:rsidR="00750363" w:rsidRPr="008A3B40">
        <w:t xml:space="preserve"> no tirgus dalībniekiem </w:t>
      </w:r>
      <w:r w:rsidR="002766D5" w:rsidRPr="008A3B40">
        <w:t xml:space="preserve">nodrošina </w:t>
      </w:r>
      <w:r w:rsidR="00C94CE6" w:rsidRPr="008A3B40">
        <w:t>acīmredzamu</w:t>
      </w:r>
      <w:r w:rsidR="00BA000A" w:rsidRPr="008A3B40">
        <w:t xml:space="preserve"> </w:t>
      </w:r>
      <w:r w:rsidR="002766D5" w:rsidRPr="008A3B40">
        <w:t>priekšrocību</w:t>
      </w:r>
      <w:r w:rsidR="00750363" w:rsidRPr="008A3B40">
        <w:t xml:space="preserve"> iepretim citiem konkurentiem</w:t>
      </w:r>
      <w:r w:rsidR="00B448F1" w:rsidRPr="008A3B40">
        <w:t xml:space="preserve">. </w:t>
      </w:r>
      <w:r w:rsidR="002E1308" w:rsidRPr="008A3B40">
        <w:t>Nevar arī piekrist tiesai, ka pieteicēja citus objektīvus vērtēšanas kritērijus nav piedāvājusi. Pieteicēja bija iesniegusi pierādījumus, kas parāda, ka ir citi kritēriji, ar kuriem var novērtēt mobilo sakaru pakalpojumu kvalitāti.</w:t>
      </w:r>
      <w:r w:rsidR="00751D7D" w:rsidRPr="008A3B40">
        <w:t xml:space="preserve"> Turklāt, kā redzams nolikumā, arī pasūtītāja iepirkuma priekšmeta kvalitatīvajās prasībās ir ietvērusi </w:t>
      </w:r>
      <w:r w:rsidR="00751D7D" w:rsidRPr="008A3B40">
        <w:lastRenderedPageBreak/>
        <w:t>citus kritērijus, proti, tādus, kas raksturo vidējo lejupielādes ātrumu 4G tīklā MB/s (3 punkti), augšupielādes ātrumu bez rezultāta Latvijā (4 punkti) un lejupielādes ātrumu bez rezultāta Latvijā (4 punkti), taču saimnieciski visizdevīgākā piedāvājuma novērtēšanā tiem piešķīrusi nebūtisku īpatsvaru.</w:t>
      </w:r>
    </w:p>
    <w:p w14:paraId="659B496F" w14:textId="11571997" w:rsidR="00E6040E" w:rsidRPr="008A3B40" w:rsidRDefault="00A45E75" w:rsidP="008A3B40">
      <w:pPr>
        <w:spacing w:line="276" w:lineRule="auto"/>
        <w:ind w:firstLine="567"/>
        <w:jc w:val="both"/>
      </w:pPr>
      <w:r w:rsidRPr="008A3B40">
        <w:t>Tādējādi</w:t>
      </w:r>
      <w:r w:rsidR="00BF5F32" w:rsidRPr="008A3B40">
        <w:t xml:space="preserve"> </w:t>
      </w:r>
      <w:r w:rsidRPr="008A3B40">
        <w:t xml:space="preserve">tiesa nav pārliecinājusies par to, vai ar konkrētajām prasībām tiek </w:t>
      </w:r>
      <w:r w:rsidR="00760010" w:rsidRPr="008A3B40">
        <w:t>objektīvi apmierinātas pasūtītājas vajadzības pēc pieejamiem un kvalitatīviem mobilajiem sakariem visā Latvijā</w:t>
      </w:r>
      <w:r w:rsidR="006D4374" w:rsidRPr="008A3B40">
        <w:t xml:space="preserve"> un tiek nodrošināta brīva konkurence</w:t>
      </w:r>
      <w:r w:rsidRPr="008A3B40">
        <w:t>.</w:t>
      </w:r>
    </w:p>
    <w:p w14:paraId="589A79BB" w14:textId="77777777" w:rsidR="00297BCD" w:rsidRPr="008A3B40" w:rsidRDefault="00297BCD" w:rsidP="008A3B40">
      <w:pPr>
        <w:spacing w:line="276" w:lineRule="auto"/>
        <w:ind w:firstLine="567"/>
        <w:jc w:val="both"/>
      </w:pPr>
    </w:p>
    <w:p w14:paraId="13F869B9" w14:textId="215424E7" w:rsidR="009D25C9" w:rsidRPr="008A3B40" w:rsidRDefault="001318A4" w:rsidP="008A3B40">
      <w:pPr>
        <w:spacing w:line="276" w:lineRule="auto"/>
        <w:ind w:firstLine="567"/>
        <w:jc w:val="both"/>
      </w:pPr>
      <w:r w:rsidRPr="008A3B40">
        <w:t>[</w:t>
      </w:r>
      <w:r w:rsidR="003C1B3E" w:rsidRPr="008A3B40">
        <w:t>1</w:t>
      </w:r>
      <w:r w:rsidR="00DB47CB" w:rsidRPr="008A3B40">
        <w:t>5</w:t>
      </w:r>
      <w:r w:rsidRPr="008A3B40">
        <w:t>]</w:t>
      </w:r>
      <w:r w:rsidR="003C1B3E" w:rsidRPr="008A3B40">
        <w:t> </w:t>
      </w:r>
      <w:r w:rsidR="009D25C9" w:rsidRPr="008A3B40">
        <w:t xml:space="preserve">Pieteicēja iebilst arī pret nolikuma 5.4.18.2.punktā noteikto </w:t>
      </w:r>
      <w:r w:rsidR="00536F2E" w:rsidRPr="008A3B40">
        <w:t xml:space="preserve">astoto </w:t>
      </w:r>
      <w:r w:rsidR="009D25C9" w:rsidRPr="008A3B40">
        <w:t>vērtēšanas kritēriju</w:t>
      </w:r>
      <w:r w:rsidR="007D3F05" w:rsidRPr="008A3B40">
        <w:t>, saskaņā ar kuru tiek piešķirti punkti par pretendenta klientu apkalpošanas punktu skaitu Latvijā</w:t>
      </w:r>
      <w:r w:rsidR="00536F2E" w:rsidRPr="008A3B40">
        <w:t>. Par minēto kritēriju</w:t>
      </w:r>
      <w:r w:rsidR="007D3F05" w:rsidRPr="008A3B40">
        <w:t xml:space="preserve"> maksimāli iegūstami trīs punkti.</w:t>
      </w:r>
      <w:r w:rsidR="00536F2E" w:rsidRPr="008A3B40">
        <w:t xml:space="preserve"> Nolikumā noteiktas arī m</w:t>
      </w:r>
      <w:r w:rsidR="009D25C9" w:rsidRPr="008A3B40">
        <w:t>inimālās prasības klientu apkalpošanas punktam – jauna pieslēguma SIM kartes vai esoša pieslēguma maiņas SIM kartes izsniegšana, pakalpojumu pieteikumu iesniegšana, tālruņu/datu iekārtu iegāde.</w:t>
      </w:r>
    </w:p>
    <w:p w14:paraId="38A311E6" w14:textId="23E11E03" w:rsidR="00536F2E" w:rsidRPr="008A3B40" w:rsidRDefault="00536F2E" w:rsidP="008A3B40">
      <w:pPr>
        <w:spacing w:line="276" w:lineRule="auto"/>
        <w:ind w:firstLine="567"/>
        <w:jc w:val="both"/>
      </w:pPr>
      <w:r w:rsidRPr="008A3B40">
        <w:t xml:space="preserve">Pieteicēja </w:t>
      </w:r>
      <w:r w:rsidR="00E30F69" w:rsidRPr="008A3B40">
        <w:t>iebilst</w:t>
      </w:r>
      <w:r w:rsidRPr="008A3B40">
        <w:t>, ka klientu apkalpošanas punktu skaits Latvijā objektīvi neatspoguļ</w:t>
      </w:r>
      <w:r w:rsidR="003E0C96" w:rsidRPr="008A3B40">
        <w:t>oj</w:t>
      </w:r>
      <w:r w:rsidRPr="008A3B40">
        <w:t>o</w:t>
      </w:r>
      <w:r w:rsidR="003E0C96" w:rsidRPr="008A3B40">
        <w:t>t</w:t>
      </w:r>
      <w:r w:rsidRPr="008A3B40">
        <w:t xml:space="preserve"> pakalpojumu pieejamību</w:t>
      </w:r>
      <w:r w:rsidR="006D4374" w:rsidRPr="008A3B40">
        <w:t>. Arī minētais kritērijs</w:t>
      </w:r>
      <w:r w:rsidRPr="008A3B40">
        <w:t xml:space="preserve"> rad</w:t>
      </w:r>
      <w:r w:rsidR="003E0C96" w:rsidRPr="008A3B40">
        <w:t>ot</w:t>
      </w:r>
      <w:r w:rsidRPr="008A3B40">
        <w:t xml:space="preserve"> priekšrocības vienam pretendentam, par ko ir zināms jau pirms piedāvājuma iesniegšanas.</w:t>
      </w:r>
    </w:p>
    <w:p w14:paraId="21FFA6E9" w14:textId="27DB2795" w:rsidR="00536F2E" w:rsidRPr="008A3B40" w:rsidRDefault="00536F2E" w:rsidP="008A3B40">
      <w:pPr>
        <w:spacing w:line="276" w:lineRule="auto"/>
        <w:ind w:firstLine="567"/>
        <w:jc w:val="both"/>
      </w:pPr>
      <w:r w:rsidRPr="008A3B40">
        <w:t>Pirmās instances tiesa</w:t>
      </w:r>
      <w:r w:rsidR="006D4374" w:rsidRPr="008A3B40">
        <w:t>, ņe</w:t>
      </w:r>
      <w:r w:rsidRPr="008A3B40">
        <w:t>mot vērā</w:t>
      </w:r>
      <w:r w:rsidR="006D4374" w:rsidRPr="008A3B40">
        <w:t xml:space="preserve"> to</w:t>
      </w:r>
      <w:r w:rsidRPr="008A3B40">
        <w:t xml:space="preserve">, ka </w:t>
      </w:r>
      <w:r w:rsidR="006C07BF" w:rsidRPr="008A3B40">
        <w:t>pasūtītāja</w:t>
      </w:r>
      <w:r w:rsidRPr="008A3B40">
        <w:t xml:space="preserve"> darbojas un novērojumu tīklu veido visā Latvijas teritorijā, šād</w:t>
      </w:r>
      <w:r w:rsidR="003E0C96" w:rsidRPr="008A3B40">
        <w:t>u</w:t>
      </w:r>
      <w:r w:rsidRPr="008A3B40">
        <w:t xml:space="preserve"> prasīb</w:t>
      </w:r>
      <w:r w:rsidR="003E0C96" w:rsidRPr="008A3B40">
        <w:t>u</w:t>
      </w:r>
      <w:r w:rsidRPr="008A3B40">
        <w:t xml:space="preserve"> atz</w:t>
      </w:r>
      <w:r w:rsidR="003E0C96" w:rsidRPr="008A3B40">
        <w:t>ina</w:t>
      </w:r>
      <w:r w:rsidRPr="008A3B40">
        <w:t xml:space="preserve"> par samērīgu attiecībā pret iepirkuma priekšmetu. Turklāt minētajam kritērijam ir salīdzinoši neliels īpatsvars attiecībā pret pārējiem izvirzītajiem.</w:t>
      </w:r>
    </w:p>
    <w:p w14:paraId="7FF06680" w14:textId="6C3F9D3E" w:rsidR="006C07BF" w:rsidRPr="008A3B40" w:rsidRDefault="006C07BF" w:rsidP="008A3B40">
      <w:pPr>
        <w:spacing w:line="276" w:lineRule="auto"/>
        <w:ind w:firstLine="567"/>
        <w:jc w:val="both"/>
      </w:pPr>
      <w:r w:rsidRPr="008A3B40">
        <w:t xml:space="preserve">Pieteicēja kasācijas sūdzībā </w:t>
      </w:r>
      <w:r w:rsidR="00E30F69" w:rsidRPr="008A3B40">
        <w:t xml:space="preserve">norāda, ka </w:t>
      </w:r>
      <w:r w:rsidR="00526126" w:rsidRPr="008A3B40">
        <w:t xml:space="preserve">konkrētais kritērijs </w:t>
      </w:r>
      <w:r w:rsidR="00E6040E" w:rsidRPr="008A3B40">
        <w:t>paredz</w:t>
      </w:r>
      <w:r w:rsidR="003E0C96" w:rsidRPr="008A3B40">
        <w:t>ot</w:t>
      </w:r>
      <w:r w:rsidR="00E6040E" w:rsidRPr="008A3B40">
        <w:t xml:space="preserve"> vien </w:t>
      </w:r>
      <w:r w:rsidR="00C96CED" w:rsidRPr="008A3B40">
        <w:t xml:space="preserve">kvantitatīvu </w:t>
      </w:r>
      <w:r w:rsidR="00E6040E" w:rsidRPr="008A3B40">
        <w:t>apkalpošanas centru uzskaitīšanu</w:t>
      </w:r>
      <w:r w:rsidR="00C96CED" w:rsidRPr="008A3B40">
        <w:t xml:space="preserve"> iepretim tam, ka var</w:t>
      </w:r>
      <w:r w:rsidR="003E0C96" w:rsidRPr="008A3B40">
        <w:t>ot</w:t>
      </w:r>
      <w:r w:rsidR="00C96CED" w:rsidRPr="008A3B40">
        <w:t xml:space="preserve"> paredzēt konkrētas</w:t>
      </w:r>
      <w:r w:rsidR="00E6040E" w:rsidRPr="008A3B40">
        <w:t xml:space="preserve"> Latvijas pilsētas, kurās jāatrodas klientu apkalpošanas centriem</w:t>
      </w:r>
      <w:r w:rsidR="00C96CED" w:rsidRPr="008A3B40">
        <w:t>,</w:t>
      </w:r>
      <w:r w:rsidR="00E6040E" w:rsidRPr="008A3B40">
        <w:t xml:space="preserve"> vai arī maksimāl</w:t>
      </w:r>
      <w:r w:rsidR="00C96CED" w:rsidRPr="008A3B40">
        <w:t>o</w:t>
      </w:r>
      <w:r w:rsidR="00E6040E" w:rsidRPr="008A3B40">
        <w:t xml:space="preserve"> attālum</w:t>
      </w:r>
      <w:r w:rsidR="00C96CED" w:rsidRPr="008A3B40">
        <w:t>u</w:t>
      </w:r>
      <w:r w:rsidR="00E6040E" w:rsidRPr="008A3B40">
        <w:t xml:space="preserve"> no pasūtītājas objektiem līdz tuvākajam klientu apkalpošanas centram.</w:t>
      </w:r>
    </w:p>
    <w:p w14:paraId="220C73BF" w14:textId="062A2AE7" w:rsidR="00E6040E" w:rsidRPr="008A3B40" w:rsidRDefault="00E6040E" w:rsidP="008A3B40">
      <w:pPr>
        <w:spacing w:line="276" w:lineRule="auto"/>
        <w:ind w:firstLine="567"/>
        <w:jc w:val="both"/>
      </w:pPr>
    </w:p>
    <w:p w14:paraId="1ABC9D23" w14:textId="078DC0B6" w:rsidR="00E6040E" w:rsidRPr="008A3B40" w:rsidRDefault="00E6040E" w:rsidP="008A3B40">
      <w:pPr>
        <w:spacing w:line="276" w:lineRule="auto"/>
        <w:ind w:firstLine="567"/>
        <w:jc w:val="both"/>
      </w:pPr>
      <w:r w:rsidRPr="008A3B40">
        <w:t>[</w:t>
      </w:r>
      <w:r w:rsidR="003C1B3E" w:rsidRPr="008A3B40">
        <w:t>1</w:t>
      </w:r>
      <w:r w:rsidR="00DB47CB" w:rsidRPr="008A3B40">
        <w:t>6</w:t>
      </w:r>
      <w:r w:rsidRPr="008A3B40">
        <w:t>]</w:t>
      </w:r>
      <w:r w:rsidR="003C1B3E" w:rsidRPr="008A3B40">
        <w:t> </w:t>
      </w:r>
      <w:r w:rsidRPr="008A3B40">
        <w:t>Pasūtītāja skaidro, ka tā darboj</w:t>
      </w:r>
      <w:r w:rsidR="003E0C96" w:rsidRPr="008A3B40">
        <w:t>otie</w:t>
      </w:r>
      <w:r w:rsidRPr="008A3B40">
        <w:t>s visā Latvijas teritorijā un novērojumu tīklu veido</w:t>
      </w:r>
      <w:r w:rsidR="003E0C96" w:rsidRPr="008A3B40">
        <w:t>jot</w:t>
      </w:r>
      <w:r w:rsidRPr="008A3B40">
        <w:t xml:space="preserve"> visā Latvijas teritorijā ģeogrāfiski vienmērīgi izvietotas iekārtas vairākos simtos, kuru apkop</w:t>
      </w:r>
      <w:r w:rsidR="00D9168D" w:rsidRPr="008A3B40">
        <w:t>i</w:t>
      </w:r>
      <w:r w:rsidRPr="008A3B40">
        <w:t>, uzlabošan</w:t>
      </w:r>
      <w:r w:rsidR="00D9168D" w:rsidRPr="008A3B40">
        <w:t>u</w:t>
      </w:r>
      <w:r w:rsidRPr="008A3B40">
        <w:t xml:space="preserve"> un iekārtu komponenšu maiņu </w:t>
      </w:r>
      <w:r w:rsidR="003E0C96" w:rsidRPr="008A3B40">
        <w:t>esot</w:t>
      </w:r>
      <w:r w:rsidRPr="008A3B40">
        <w:t xml:space="preserve"> nepieciešams nodrošināt iespējami īsos termiņos</w:t>
      </w:r>
      <w:r w:rsidR="007F07B3" w:rsidRPr="008A3B40">
        <w:t xml:space="preserve"> un </w:t>
      </w:r>
      <w:r w:rsidRPr="008A3B40">
        <w:t>iespējami lielā skaitā klientu apkalpošanas centru.</w:t>
      </w:r>
    </w:p>
    <w:p w14:paraId="5A123218" w14:textId="09D8E69D" w:rsidR="00536F2E" w:rsidRPr="008A3B40" w:rsidRDefault="00E6040E" w:rsidP="008A3B40">
      <w:pPr>
        <w:spacing w:line="276" w:lineRule="auto"/>
        <w:ind w:firstLine="567"/>
        <w:jc w:val="both"/>
      </w:pPr>
      <w:r w:rsidRPr="008A3B40">
        <w:t xml:space="preserve">Tādējādi pasūtītājas vēlme ir saņemt </w:t>
      </w:r>
      <w:r w:rsidR="00FA0C98" w:rsidRPr="008A3B40">
        <w:t>mobilo sakaru izmantošanai nepieciešamos papild</w:t>
      </w:r>
      <w:r w:rsidRPr="008A3B40">
        <w:t>pakalpojumus</w:t>
      </w:r>
      <w:r w:rsidR="00FA0C98" w:rsidRPr="008A3B40">
        <w:t xml:space="preserve"> (iekārtu iegāde, SIM karšu</w:t>
      </w:r>
      <w:r w:rsidRPr="008A3B40">
        <w:t xml:space="preserve"> </w:t>
      </w:r>
      <w:r w:rsidR="00FA0C98" w:rsidRPr="008A3B40">
        <w:t xml:space="preserve">saņemšana u.c.) </w:t>
      </w:r>
      <w:r w:rsidRPr="008A3B40">
        <w:t xml:space="preserve">tai iespējami tuvākajā klientu apkalpošanas centrā. </w:t>
      </w:r>
      <w:r w:rsidR="001109C1" w:rsidRPr="008A3B40">
        <w:t xml:space="preserve">Tomēr rajona tiesa, atzīstot prasību par atbilstošu iepirkuma priekšmetam, nav vērtējusi pieteicējas argumentus par to, vai </w:t>
      </w:r>
      <w:r w:rsidR="00D9168D" w:rsidRPr="008A3B40">
        <w:t>kritērijs, kas piešķir punktus par</w:t>
      </w:r>
      <w:r w:rsidR="001109C1" w:rsidRPr="008A3B40">
        <w:t xml:space="preserve"> klientu apkalpošanas centru </w:t>
      </w:r>
      <w:r w:rsidR="00D9168D" w:rsidRPr="008A3B40">
        <w:t xml:space="preserve">skaitu, nevis izvietojumu pasūtītājai ģeogrāfiski ērti sasniedzamās vietās, </w:t>
      </w:r>
      <w:r w:rsidR="008269B8" w:rsidRPr="008A3B40">
        <w:t>patiesi sasniedz konkrētās prasības mērķi –</w:t>
      </w:r>
      <w:r w:rsidR="00D9168D" w:rsidRPr="008A3B40">
        <w:t xml:space="preserve"> </w:t>
      </w:r>
      <w:r w:rsidR="008269B8" w:rsidRPr="008A3B40">
        <w:t xml:space="preserve">pasūtītājai nepieciešamo </w:t>
      </w:r>
      <w:r w:rsidR="00D9168D" w:rsidRPr="008A3B40">
        <w:t>pakalpojumu saņemšan</w:t>
      </w:r>
      <w:r w:rsidR="00C96CED" w:rsidRPr="008A3B40">
        <w:t>u</w:t>
      </w:r>
      <w:r w:rsidR="00D9168D" w:rsidRPr="008A3B40">
        <w:t xml:space="preserve"> tai visātrāk un visērtāk sasniedzamajos apkalpošanas punktos. Vērtējot minēto kritēriju, pārbaudāms arī pieteicējas arguments, ka nolikums vispārīgi neizvirza prasību uzturēt norādītos klientu apkalpošanas centrus visā līguma darbības laikā. Līdz ar to apsverams, vai patiesi šāds kritērijs nav formāls un nesniedz priekšrocības kādam no pretendentiem, vēl jo vairāk, ja ziņas par klientu apkalpošanas centru skaitu katram no pre</w:t>
      </w:r>
      <w:r w:rsidR="009001EE" w:rsidRPr="008A3B40">
        <w:t>tendentiem ir iepriekš zināmas.</w:t>
      </w:r>
    </w:p>
    <w:p w14:paraId="10EEEBD3" w14:textId="4ED6E562" w:rsidR="00DD2EB0" w:rsidRPr="008A3B40" w:rsidRDefault="00DD2EB0" w:rsidP="008A3B40">
      <w:pPr>
        <w:spacing w:line="276" w:lineRule="auto"/>
        <w:ind w:firstLine="567"/>
        <w:jc w:val="both"/>
      </w:pPr>
    </w:p>
    <w:p w14:paraId="67D85153" w14:textId="05BA3C28" w:rsidR="009D25C9" w:rsidRPr="008A3B40" w:rsidRDefault="009D25C9" w:rsidP="008A3B40">
      <w:pPr>
        <w:spacing w:line="276" w:lineRule="auto"/>
        <w:ind w:firstLine="567"/>
        <w:jc w:val="both"/>
      </w:pPr>
      <w:r w:rsidRPr="008A3B40">
        <w:t>[</w:t>
      </w:r>
      <w:r w:rsidR="002D3914" w:rsidRPr="008A3B40">
        <w:t>1</w:t>
      </w:r>
      <w:r w:rsidR="00DB47CB" w:rsidRPr="008A3B40">
        <w:t>7</w:t>
      </w:r>
      <w:r w:rsidRPr="008A3B40">
        <w:t>]</w:t>
      </w:r>
      <w:r w:rsidR="002D3914" w:rsidRPr="008A3B40">
        <w:t> </w:t>
      </w:r>
      <w:r w:rsidR="00DD2EB0" w:rsidRPr="008A3B40">
        <w:t>Apkopojot minēto, Senāts atzīst, ka tiesa nav pienācīgi noskaidrojusi būtiskos apstākļus</w:t>
      </w:r>
      <w:r w:rsidRPr="008A3B40">
        <w:t xml:space="preserve"> un</w:t>
      </w:r>
      <w:r w:rsidR="00DD2EB0" w:rsidRPr="008A3B40">
        <w:t xml:space="preserve"> atbilstoši publisko iepirkumu principiem </w:t>
      </w:r>
      <w:r w:rsidRPr="008A3B40">
        <w:t>novērtējusi</w:t>
      </w:r>
      <w:r w:rsidR="00DD2EB0" w:rsidRPr="008A3B40">
        <w:t xml:space="preserve"> </w:t>
      </w:r>
      <w:r w:rsidRPr="008A3B40">
        <w:t>strīdus nolikuma prasības</w:t>
      </w:r>
      <w:r w:rsidR="00DD2EB0" w:rsidRPr="008A3B40">
        <w:t>.</w:t>
      </w:r>
    </w:p>
    <w:p w14:paraId="6ECFE6CF" w14:textId="561A2E8D" w:rsidR="00DD2EB0" w:rsidRPr="008A3B40" w:rsidRDefault="009D25C9" w:rsidP="008A3B40">
      <w:pPr>
        <w:spacing w:line="276" w:lineRule="auto"/>
        <w:ind w:firstLine="567"/>
        <w:jc w:val="both"/>
      </w:pPr>
      <w:r w:rsidRPr="008A3B40">
        <w:t>L</w:t>
      </w:r>
      <w:r w:rsidR="00DD2EB0" w:rsidRPr="008A3B40">
        <w:t>ietas faktisko apstākļu un pierādījumu novērtēšana nav kasācijas instances tiesas kompetence</w:t>
      </w:r>
      <w:r w:rsidRPr="008A3B40">
        <w:t>. Tālab</w:t>
      </w:r>
      <w:r w:rsidR="00DD2EB0" w:rsidRPr="008A3B40">
        <w:t xml:space="preserve"> pirmās instances tiesas spriedums ir atceļams un lieta </w:t>
      </w:r>
      <w:r w:rsidR="00400BA9" w:rsidRPr="008A3B40">
        <w:t xml:space="preserve">nosūtāma </w:t>
      </w:r>
      <w:r w:rsidR="00DD2EB0" w:rsidRPr="008A3B40">
        <w:t>atkārtotai izskatīšanai pirmās instances tiesai.</w:t>
      </w:r>
    </w:p>
    <w:p w14:paraId="248AE22A" w14:textId="77777777" w:rsidR="003047F5" w:rsidRPr="008A3B40" w:rsidRDefault="003047F5" w:rsidP="008A3B40">
      <w:pPr>
        <w:spacing w:line="276" w:lineRule="auto"/>
        <w:jc w:val="both"/>
      </w:pPr>
    </w:p>
    <w:p w14:paraId="7F133DF8" w14:textId="77777777" w:rsidR="003047F5" w:rsidRPr="008A3B40" w:rsidRDefault="003047F5" w:rsidP="008A3B40">
      <w:pPr>
        <w:spacing w:line="276" w:lineRule="auto"/>
        <w:jc w:val="center"/>
        <w:rPr>
          <w:b/>
        </w:rPr>
      </w:pPr>
      <w:r w:rsidRPr="008A3B40">
        <w:rPr>
          <w:b/>
        </w:rPr>
        <w:t>Rezolutīvā daļa</w:t>
      </w:r>
    </w:p>
    <w:p w14:paraId="203D55B2" w14:textId="77777777" w:rsidR="003047F5" w:rsidRPr="008A3B40" w:rsidRDefault="003047F5" w:rsidP="008A3B40">
      <w:pPr>
        <w:spacing w:line="276" w:lineRule="auto"/>
        <w:ind w:firstLine="567"/>
        <w:jc w:val="both"/>
        <w:rPr>
          <w:bCs/>
          <w:spacing w:val="70"/>
        </w:rPr>
      </w:pPr>
    </w:p>
    <w:p w14:paraId="6C0D5837" w14:textId="25C6F459" w:rsidR="003047F5" w:rsidRPr="008A3B40" w:rsidRDefault="003047F5" w:rsidP="008A3B40">
      <w:pPr>
        <w:spacing w:line="276" w:lineRule="auto"/>
        <w:ind w:firstLine="567"/>
        <w:jc w:val="both"/>
        <w:rPr>
          <w:strike/>
        </w:rPr>
      </w:pPr>
      <w:r w:rsidRPr="008A3B40">
        <w:t xml:space="preserve">Pamatojoties uz </w:t>
      </w:r>
      <w:r w:rsidR="00941626" w:rsidRPr="008A3B40">
        <w:rPr>
          <w:rFonts w:eastAsiaTheme="minorHAnsi"/>
          <w:lang w:eastAsia="en-US"/>
        </w:rPr>
        <w:t xml:space="preserve">Administratīvā procesa likuma </w:t>
      </w:r>
      <w:r w:rsidR="00AF2237" w:rsidRPr="008A3B40">
        <w:rPr>
          <w:rFonts w:eastAsiaTheme="minorHAnsi"/>
          <w:lang w:eastAsia="en-US"/>
        </w:rPr>
        <w:t>129.</w:t>
      </w:r>
      <w:r w:rsidR="00AF2237" w:rsidRPr="008A3B40">
        <w:rPr>
          <w:rFonts w:eastAsiaTheme="minorHAnsi"/>
          <w:vertAlign w:val="superscript"/>
          <w:lang w:eastAsia="en-US"/>
        </w:rPr>
        <w:t>1</w:t>
      </w:r>
      <w:r w:rsidR="00AF2237" w:rsidRPr="008A3B40">
        <w:rPr>
          <w:rFonts w:eastAsiaTheme="minorHAnsi"/>
          <w:lang w:eastAsia="en-US"/>
        </w:rPr>
        <w:t xml:space="preserve">panta pirmās daļas 1.punktu, 348.panta pirmās daļas </w:t>
      </w:r>
      <w:r w:rsidR="00DD2EB0" w:rsidRPr="008A3B40">
        <w:rPr>
          <w:rFonts w:eastAsiaTheme="minorHAnsi"/>
          <w:lang w:eastAsia="en-US"/>
        </w:rPr>
        <w:t>2.</w:t>
      </w:r>
      <w:r w:rsidR="00AF2237" w:rsidRPr="008A3B40">
        <w:rPr>
          <w:rFonts w:eastAsiaTheme="minorHAnsi"/>
          <w:lang w:eastAsia="en-US"/>
        </w:rPr>
        <w:t>punktu un 351.pantu</w:t>
      </w:r>
      <w:r w:rsidRPr="008A3B40">
        <w:t xml:space="preserve">, </w:t>
      </w:r>
      <w:r w:rsidR="006B7BBC" w:rsidRPr="008A3B40">
        <w:t>Senāts</w:t>
      </w:r>
    </w:p>
    <w:p w14:paraId="56FE2BEB" w14:textId="77777777" w:rsidR="003047F5" w:rsidRPr="008A3B40" w:rsidRDefault="003047F5" w:rsidP="008A3B40">
      <w:pPr>
        <w:spacing w:line="276" w:lineRule="auto"/>
        <w:ind w:firstLine="567"/>
        <w:jc w:val="both"/>
      </w:pPr>
    </w:p>
    <w:p w14:paraId="6FE7AC9C" w14:textId="268BB826" w:rsidR="003047F5" w:rsidRPr="008A3B40" w:rsidRDefault="003047F5" w:rsidP="008A3B40">
      <w:pPr>
        <w:spacing w:line="276" w:lineRule="auto"/>
        <w:jc w:val="center"/>
        <w:rPr>
          <w:b/>
        </w:rPr>
      </w:pPr>
      <w:r w:rsidRPr="008A3B40">
        <w:rPr>
          <w:b/>
        </w:rPr>
        <w:t>nosprieda</w:t>
      </w:r>
    </w:p>
    <w:p w14:paraId="25D5DF80" w14:textId="77777777" w:rsidR="00A6596A" w:rsidRPr="008A3B40" w:rsidRDefault="00A6596A" w:rsidP="008A3B40">
      <w:pPr>
        <w:spacing w:line="276" w:lineRule="auto"/>
        <w:jc w:val="center"/>
        <w:rPr>
          <w:b/>
        </w:rPr>
      </w:pPr>
    </w:p>
    <w:p w14:paraId="18EBEAAC" w14:textId="68477582" w:rsidR="00A6596A" w:rsidRPr="008A3B40" w:rsidRDefault="00CD401A" w:rsidP="008A3B40">
      <w:pPr>
        <w:spacing w:line="276" w:lineRule="auto"/>
        <w:ind w:firstLine="567"/>
        <w:jc w:val="both"/>
      </w:pPr>
      <w:r w:rsidRPr="008A3B40">
        <w:t xml:space="preserve">Atcelt Administratīvās rajona tiesas </w:t>
      </w:r>
      <w:r w:rsidR="002D3914" w:rsidRPr="008A3B40">
        <w:t>2019.gada 21.augusta spriedumu</w:t>
      </w:r>
      <w:r w:rsidR="002D3914" w:rsidRPr="008A3B40" w:rsidDel="002D3914">
        <w:t xml:space="preserve"> </w:t>
      </w:r>
      <w:r w:rsidRPr="008A3B40">
        <w:t xml:space="preserve">un </w:t>
      </w:r>
      <w:r w:rsidR="00400BA9" w:rsidRPr="008A3B40">
        <w:t xml:space="preserve">nosūtīt </w:t>
      </w:r>
      <w:r w:rsidRPr="008A3B40">
        <w:t xml:space="preserve">lietu jaunai izskatīšanai </w:t>
      </w:r>
      <w:r w:rsidR="009C3EB1" w:rsidRPr="008A3B40">
        <w:t>Administratīvajai rajona tiesai.</w:t>
      </w:r>
    </w:p>
    <w:p w14:paraId="2D9692AA" w14:textId="17ABC0FC" w:rsidR="00A6596A" w:rsidRPr="008A3B40" w:rsidRDefault="00CD401A" w:rsidP="008A3B40">
      <w:pPr>
        <w:spacing w:line="276" w:lineRule="auto"/>
        <w:ind w:firstLine="567"/>
        <w:jc w:val="both"/>
      </w:pPr>
      <w:r w:rsidRPr="008A3B40">
        <w:t xml:space="preserve">Atmaksāt </w:t>
      </w:r>
      <w:r w:rsidR="002D3914" w:rsidRPr="008A3B40">
        <w:t>SIA „Bite Latvija”</w:t>
      </w:r>
      <w:r w:rsidRPr="008A3B40">
        <w:t xml:space="preserve"> par kasācijas sūdzības iesniegšanu samaksāto drošības naudu 70 </w:t>
      </w:r>
      <w:r w:rsidRPr="008A3B40">
        <w:rPr>
          <w:i/>
        </w:rPr>
        <w:t>euro</w:t>
      </w:r>
      <w:r w:rsidRPr="008A3B40">
        <w:t>.</w:t>
      </w:r>
    </w:p>
    <w:p w14:paraId="342CDE45" w14:textId="77777777" w:rsidR="00801CD9" w:rsidRPr="008A3B40" w:rsidRDefault="00941626" w:rsidP="008A3B40">
      <w:pPr>
        <w:spacing w:line="276" w:lineRule="auto"/>
        <w:ind w:firstLine="567"/>
        <w:jc w:val="both"/>
      </w:pPr>
      <w:r w:rsidRPr="008A3B40">
        <w:t xml:space="preserve">Spriedums </w:t>
      </w:r>
      <w:r w:rsidR="00801CD9" w:rsidRPr="008A3B40">
        <w:t>nav pārsūdzams.</w:t>
      </w:r>
    </w:p>
    <w:p w14:paraId="4B4C74F8" w14:textId="6A45AE7A" w:rsidR="00F43FAD" w:rsidRPr="0082381C" w:rsidRDefault="00F43FAD" w:rsidP="008A3B40">
      <w:pPr>
        <w:spacing w:line="25" w:lineRule="atLeast"/>
        <w:jc w:val="both"/>
        <w:rPr>
          <w:color w:val="000000"/>
        </w:rPr>
      </w:pPr>
    </w:p>
    <w:sectPr w:rsidR="00F43FAD" w:rsidRPr="0082381C"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7E0744" w14:textId="77777777" w:rsidR="00B11895" w:rsidRDefault="00B11895" w:rsidP="003047F5">
      <w:r>
        <w:separator/>
      </w:r>
    </w:p>
  </w:endnote>
  <w:endnote w:type="continuationSeparator" w:id="0">
    <w:p w14:paraId="0DAD098E" w14:textId="77777777" w:rsidR="00B11895" w:rsidRDefault="00B11895"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514BB493" w:rsidR="002F2B99" w:rsidRDefault="002F2B99"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F871E1">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F871E1">
      <w:rPr>
        <w:rStyle w:val="PageNumber"/>
        <w:noProof/>
      </w:rPr>
      <w:t>10</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E6E367" w14:textId="77777777" w:rsidR="00B11895" w:rsidRDefault="00B11895" w:rsidP="003047F5">
      <w:r>
        <w:separator/>
      </w:r>
    </w:p>
  </w:footnote>
  <w:footnote w:type="continuationSeparator" w:id="0">
    <w:p w14:paraId="4C6B3A9E" w14:textId="77777777" w:rsidR="00B11895" w:rsidRDefault="00B11895" w:rsidP="003047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432A22"/>
    <w:multiLevelType w:val="multilevel"/>
    <w:tmpl w:val="AAA86142"/>
    <w:lvl w:ilvl="0">
      <w:start w:val="1"/>
      <w:numFmt w:val="decimal"/>
      <w:lvlText w:val="%1."/>
      <w:lvlJc w:val="left"/>
      <w:pPr>
        <w:ind w:left="544" w:hanging="425"/>
      </w:pPr>
      <w:rPr>
        <w:rFonts w:ascii="Times New Roman" w:eastAsia="Times New Roman" w:hAnsi="Times New Roman" w:cs="Times New Roman" w:hint="default"/>
        <w:spacing w:val="-5"/>
        <w:w w:val="99"/>
        <w:sz w:val="24"/>
        <w:szCs w:val="24"/>
      </w:rPr>
    </w:lvl>
    <w:lvl w:ilvl="1">
      <w:start w:val="1"/>
      <w:numFmt w:val="decimal"/>
      <w:lvlText w:val="%1.%2."/>
      <w:lvlJc w:val="left"/>
      <w:pPr>
        <w:ind w:left="544" w:hanging="425"/>
      </w:pPr>
      <w:rPr>
        <w:rFonts w:ascii="Times New Roman" w:eastAsia="Times New Roman" w:hAnsi="Times New Roman" w:cs="Times New Roman" w:hint="default"/>
        <w:w w:val="100"/>
        <w:sz w:val="24"/>
        <w:szCs w:val="24"/>
      </w:rPr>
    </w:lvl>
    <w:lvl w:ilvl="2">
      <w:start w:val="1"/>
      <w:numFmt w:val="decimal"/>
      <w:lvlText w:val="%1.%2.%3."/>
      <w:lvlJc w:val="left"/>
      <w:pPr>
        <w:ind w:left="544" w:hanging="1299"/>
      </w:pPr>
      <w:rPr>
        <w:rFonts w:ascii="Times New Roman" w:eastAsia="Times New Roman" w:hAnsi="Times New Roman" w:cs="Times New Roman" w:hint="default"/>
        <w:spacing w:val="-6"/>
        <w:w w:val="99"/>
        <w:sz w:val="24"/>
        <w:szCs w:val="24"/>
      </w:rPr>
    </w:lvl>
    <w:lvl w:ilvl="3">
      <w:start w:val="1"/>
      <w:numFmt w:val="decimal"/>
      <w:lvlText w:val="%1.%2.%3.%4."/>
      <w:lvlJc w:val="left"/>
      <w:pPr>
        <w:ind w:left="1299" w:hanging="1299"/>
      </w:pPr>
      <w:rPr>
        <w:rFonts w:ascii="Times New Roman" w:eastAsia="Times New Roman" w:hAnsi="Times New Roman" w:cs="Times New Roman" w:hint="default"/>
        <w:spacing w:val="-5"/>
        <w:w w:val="99"/>
        <w:sz w:val="24"/>
        <w:szCs w:val="24"/>
      </w:rPr>
    </w:lvl>
    <w:lvl w:ilvl="4">
      <w:numFmt w:val="bullet"/>
      <w:lvlText w:val="•"/>
      <w:lvlJc w:val="left"/>
      <w:pPr>
        <w:ind w:left="3466" w:hanging="1299"/>
      </w:pPr>
    </w:lvl>
    <w:lvl w:ilvl="5">
      <w:numFmt w:val="bullet"/>
      <w:lvlText w:val="•"/>
      <w:lvlJc w:val="left"/>
      <w:pPr>
        <w:ind w:left="4489" w:hanging="1299"/>
      </w:pPr>
    </w:lvl>
    <w:lvl w:ilvl="6">
      <w:numFmt w:val="bullet"/>
      <w:lvlText w:val="•"/>
      <w:lvlJc w:val="left"/>
      <w:pPr>
        <w:ind w:left="5513" w:hanging="1299"/>
      </w:pPr>
    </w:lvl>
    <w:lvl w:ilvl="7">
      <w:numFmt w:val="bullet"/>
      <w:lvlText w:val="•"/>
      <w:lvlJc w:val="left"/>
      <w:pPr>
        <w:ind w:left="6536" w:hanging="1299"/>
      </w:pPr>
    </w:lvl>
    <w:lvl w:ilvl="8">
      <w:numFmt w:val="bullet"/>
      <w:lvlText w:val="•"/>
      <w:lvlJc w:val="left"/>
      <w:pPr>
        <w:ind w:left="7559" w:hanging="1299"/>
      </w:pPr>
    </w:lvl>
  </w:abstractNum>
  <w:abstractNum w:abstractNumId="1" w15:restartNumberingAfterBreak="0">
    <w:nsid w:val="748D2503"/>
    <w:multiLevelType w:val="hybridMultilevel"/>
    <w:tmpl w:val="52D637F4"/>
    <w:lvl w:ilvl="0" w:tplc="D9621E80">
      <w:start w:val="1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3EDAEC">
      <w:start w:val="1"/>
      <w:numFmt w:val="lowerLetter"/>
      <w:lvlText w:val="%2"/>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4C668">
      <w:start w:val="1"/>
      <w:numFmt w:val="lowerRoman"/>
      <w:lvlText w:val="%3"/>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98C486">
      <w:start w:val="1"/>
      <w:numFmt w:val="decimal"/>
      <w:lvlText w:val="%4"/>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C418E6">
      <w:start w:val="1"/>
      <w:numFmt w:val="lowerLetter"/>
      <w:lvlText w:val="%5"/>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123060">
      <w:start w:val="1"/>
      <w:numFmt w:val="lowerRoman"/>
      <w:lvlText w:val="%6"/>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47086">
      <w:start w:val="1"/>
      <w:numFmt w:val="decimal"/>
      <w:lvlText w:val="%7"/>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CA6944">
      <w:start w:val="1"/>
      <w:numFmt w:val="lowerLetter"/>
      <w:lvlText w:val="%8"/>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B419A6">
      <w:start w:val="1"/>
      <w:numFmt w:val="lowerRoman"/>
      <w:lvlText w:val="%9"/>
      <w:lvlJc w:val="left"/>
      <w:pPr>
        <w:ind w:left="6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5018"/>
    <w:rsid w:val="000051DD"/>
    <w:rsid w:val="00016A5E"/>
    <w:rsid w:val="00030372"/>
    <w:rsid w:val="00033FE6"/>
    <w:rsid w:val="00040274"/>
    <w:rsid w:val="00065ACD"/>
    <w:rsid w:val="00067C42"/>
    <w:rsid w:val="000708AF"/>
    <w:rsid w:val="00072833"/>
    <w:rsid w:val="000800A8"/>
    <w:rsid w:val="00080593"/>
    <w:rsid w:val="00084C7F"/>
    <w:rsid w:val="000B0A3A"/>
    <w:rsid w:val="000C14FC"/>
    <w:rsid w:val="000D4363"/>
    <w:rsid w:val="000E293A"/>
    <w:rsid w:val="000F3172"/>
    <w:rsid w:val="000F78B5"/>
    <w:rsid w:val="001006E4"/>
    <w:rsid w:val="001029C4"/>
    <w:rsid w:val="00105B9E"/>
    <w:rsid w:val="001108D8"/>
    <w:rsid w:val="001109C1"/>
    <w:rsid w:val="001254FA"/>
    <w:rsid w:val="00126460"/>
    <w:rsid w:val="001318A4"/>
    <w:rsid w:val="00131CE9"/>
    <w:rsid w:val="0014709E"/>
    <w:rsid w:val="00150DD1"/>
    <w:rsid w:val="00151370"/>
    <w:rsid w:val="0016381F"/>
    <w:rsid w:val="001646E9"/>
    <w:rsid w:val="00170360"/>
    <w:rsid w:val="00172AD4"/>
    <w:rsid w:val="0017428A"/>
    <w:rsid w:val="00175E9C"/>
    <w:rsid w:val="00177890"/>
    <w:rsid w:val="00180007"/>
    <w:rsid w:val="00182B77"/>
    <w:rsid w:val="0019021E"/>
    <w:rsid w:val="0019238A"/>
    <w:rsid w:val="00196828"/>
    <w:rsid w:val="00196BAA"/>
    <w:rsid w:val="001A0495"/>
    <w:rsid w:val="001D733C"/>
    <w:rsid w:val="001E3A09"/>
    <w:rsid w:val="001F724F"/>
    <w:rsid w:val="00201688"/>
    <w:rsid w:val="00215715"/>
    <w:rsid w:val="00222D81"/>
    <w:rsid w:val="00223452"/>
    <w:rsid w:val="002269A2"/>
    <w:rsid w:val="00231FB2"/>
    <w:rsid w:val="00236E52"/>
    <w:rsid w:val="00237F92"/>
    <w:rsid w:val="00244A1D"/>
    <w:rsid w:val="002663B3"/>
    <w:rsid w:val="002673BD"/>
    <w:rsid w:val="0027469B"/>
    <w:rsid w:val="002766D5"/>
    <w:rsid w:val="0028274C"/>
    <w:rsid w:val="00292384"/>
    <w:rsid w:val="00293462"/>
    <w:rsid w:val="00297BCD"/>
    <w:rsid w:val="002B30CD"/>
    <w:rsid w:val="002C3719"/>
    <w:rsid w:val="002D0FF6"/>
    <w:rsid w:val="002D2E8B"/>
    <w:rsid w:val="002D37CC"/>
    <w:rsid w:val="002D3914"/>
    <w:rsid w:val="002D3FCE"/>
    <w:rsid w:val="002D5063"/>
    <w:rsid w:val="002E0539"/>
    <w:rsid w:val="002E1308"/>
    <w:rsid w:val="002F2B99"/>
    <w:rsid w:val="002F6D5F"/>
    <w:rsid w:val="0030171C"/>
    <w:rsid w:val="00301A51"/>
    <w:rsid w:val="003047F5"/>
    <w:rsid w:val="00316975"/>
    <w:rsid w:val="00322B8D"/>
    <w:rsid w:val="00337BE2"/>
    <w:rsid w:val="0035346E"/>
    <w:rsid w:val="003562D0"/>
    <w:rsid w:val="00360C80"/>
    <w:rsid w:val="00363859"/>
    <w:rsid w:val="00372D57"/>
    <w:rsid w:val="003A5B69"/>
    <w:rsid w:val="003A7A12"/>
    <w:rsid w:val="003B2741"/>
    <w:rsid w:val="003C1B3E"/>
    <w:rsid w:val="003C1D16"/>
    <w:rsid w:val="003E0C96"/>
    <w:rsid w:val="003E6AC8"/>
    <w:rsid w:val="003E73F4"/>
    <w:rsid w:val="003F1473"/>
    <w:rsid w:val="00400BA9"/>
    <w:rsid w:val="00405899"/>
    <w:rsid w:val="004128C2"/>
    <w:rsid w:val="00424B84"/>
    <w:rsid w:val="0043182C"/>
    <w:rsid w:val="0043387D"/>
    <w:rsid w:val="00447A28"/>
    <w:rsid w:val="0045207B"/>
    <w:rsid w:val="00452BB6"/>
    <w:rsid w:val="004655E2"/>
    <w:rsid w:val="004738AA"/>
    <w:rsid w:val="004812FC"/>
    <w:rsid w:val="00484A20"/>
    <w:rsid w:val="00490E36"/>
    <w:rsid w:val="00491DEC"/>
    <w:rsid w:val="00497E3F"/>
    <w:rsid w:val="004A0332"/>
    <w:rsid w:val="004A4903"/>
    <w:rsid w:val="004C2E46"/>
    <w:rsid w:val="004C6BC4"/>
    <w:rsid w:val="004D0276"/>
    <w:rsid w:val="004D75D3"/>
    <w:rsid w:val="004E163C"/>
    <w:rsid w:val="004E2784"/>
    <w:rsid w:val="004F195B"/>
    <w:rsid w:val="005067E4"/>
    <w:rsid w:val="00507482"/>
    <w:rsid w:val="00510A6A"/>
    <w:rsid w:val="005120A0"/>
    <w:rsid w:val="00521A02"/>
    <w:rsid w:val="00522256"/>
    <w:rsid w:val="00526126"/>
    <w:rsid w:val="00536F2E"/>
    <w:rsid w:val="00543E46"/>
    <w:rsid w:val="00550C6D"/>
    <w:rsid w:val="0055132B"/>
    <w:rsid w:val="005536D8"/>
    <w:rsid w:val="00555407"/>
    <w:rsid w:val="00564D33"/>
    <w:rsid w:val="005751B7"/>
    <w:rsid w:val="0058514C"/>
    <w:rsid w:val="00586476"/>
    <w:rsid w:val="0058665A"/>
    <w:rsid w:val="00592E85"/>
    <w:rsid w:val="005B3FDF"/>
    <w:rsid w:val="005B59A7"/>
    <w:rsid w:val="005C2F73"/>
    <w:rsid w:val="005D01CD"/>
    <w:rsid w:val="005E6008"/>
    <w:rsid w:val="005E6C51"/>
    <w:rsid w:val="005F1EDD"/>
    <w:rsid w:val="006030DB"/>
    <w:rsid w:val="006065C1"/>
    <w:rsid w:val="006138C3"/>
    <w:rsid w:val="00632505"/>
    <w:rsid w:val="00637A98"/>
    <w:rsid w:val="0064168F"/>
    <w:rsid w:val="0064225E"/>
    <w:rsid w:val="00652AAD"/>
    <w:rsid w:val="00656A72"/>
    <w:rsid w:val="006679B9"/>
    <w:rsid w:val="006702F2"/>
    <w:rsid w:val="00672328"/>
    <w:rsid w:val="006728BA"/>
    <w:rsid w:val="00682F63"/>
    <w:rsid w:val="006B5C6D"/>
    <w:rsid w:val="006B7945"/>
    <w:rsid w:val="006B7BBC"/>
    <w:rsid w:val="006C07BF"/>
    <w:rsid w:val="006C6135"/>
    <w:rsid w:val="006C614F"/>
    <w:rsid w:val="006D4374"/>
    <w:rsid w:val="006E0E46"/>
    <w:rsid w:val="006E28EE"/>
    <w:rsid w:val="006F5D3B"/>
    <w:rsid w:val="00725D92"/>
    <w:rsid w:val="007370E8"/>
    <w:rsid w:val="0074396E"/>
    <w:rsid w:val="00750363"/>
    <w:rsid w:val="00750B26"/>
    <w:rsid w:val="00751D7D"/>
    <w:rsid w:val="00760010"/>
    <w:rsid w:val="00767FCF"/>
    <w:rsid w:val="007709C7"/>
    <w:rsid w:val="007719BC"/>
    <w:rsid w:val="0077509E"/>
    <w:rsid w:val="007841A0"/>
    <w:rsid w:val="00787A93"/>
    <w:rsid w:val="0079411E"/>
    <w:rsid w:val="007A0B38"/>
    <w:rsid w:val="007A5B99"/>
    <w:rsid w:val="007A7A20"/>
    <w:rsid w:val="007B1B53"/>
    <w:rsid w:val="007B5103"/>
    <w:rsid w:val="007C2176"/>
    <w:rsid w:val="007C46A3"/>
    <w:rsid w:val="007D3F05"/>
    <w:rsid w:val="007E1D57"/>
    <w:rsid w:val="007F07B3"/>
    <w:rsid w:val="007F2A21"/>
    <w:rsid w:val="007F4AE6"/>
    <w:rsid w:val="00800539"/>
    <w:rsid w:val="00801CD9"/>
    <w:rsid w:val="0082381C"/>
    <w:rsid w:val="00824E59"/>
    <w:rsid w:val="008269B8"/>
    <w:rsid w:val="00833668"/>
    <w:rsid w:val="00846394"/>
    <w:rsid w:val="008465BF"/>
    <w:rsid w:val="008570F8"/>
    <w:rsid w:val="00863682"/>
    <w:rsid w:val="00871C2B"/>
    <w:rsid w:val="00877789"/>
    <w:rsid w:val="00886085"/>
    <w:rsid w:val="0089268F"/>
    <w:rsid w:val="0089619C"/>
    <w:rsid w:val="00897C5A"/>
    <w:rsid w:val="00897D41"/>
    <w:rsid w:val="008A3B40"/>
    <w:rsid w:val="008A69AD"/>
    <w:rsid w:val="008B2CF7"/>
    <w:rsid w:val="008C3728"/>
    <w:rsid w:val="008E65F6"/>
    <w:rsid w:val="008E6DF9"/>
    <w:rsid w:val="008F3DC8"/>
    <w:rsid w:val="008F5B19"/>
    <w:rsid w:val="009001EE"/>
    <w:rsid w:val="00902287"/>
    <w:rsid w:val="0090507B"/>
    <w:rsid w:val="009229FE"/>
    <w:rsid w:val="00926A7D"/>
    <w:rsid w:val="00930BA2"/>
    <w:rsid w:val="00940891"/>
    <w:rsid w:val="00941626"/>
    <w:rsid w:val="00951763"/>
    <w:rsid w:val="009639F7"/>
    <w:rsid w:val="009707BE"/>
    <w:rsid w:val="00976C9C"/>
    <w:rsid w:val="00976EE1"/>
    <w:rsid w:val="00985A6B"/>
    <w:rsid w:val="0099312A"/>
    <w:rsid w:val="00994777"/>
    <w:rsid w:val="009A544C"/>
    <w:rsid w:val="009B59D3"/>
    <w:rsid w:val="009B70FE"/>
    <w:rsid w:val="009C3EB1"/>
    <w:rsid w:val="009D25C9"/>
    <w:rsid w:val="009D25D0"/>
    <w:rsid w:val="009D2DB2"/>
    <w:rsid w:val="00A00062"/>
    <w:rsid w:val="00A014D8"/>
    <w:rsid w:val="00A11D42"/>
    <w:rsid w:val="00A40FF1"/>
    <w:rsid w:val="00A41774"/>
    <w:rsid w:val="00A45E75"/>
    <w:rsid w:val="00A461A7"/>
    <w:rsid w:val="00A55A1F"/>
    <w:rsid w:val="00A56F89"/>
    <w:rsid w:val="00A6596A"/>
    <w:rsid w:val="00A704CB"/>
    <w:rsid w:val="00A824B6"/>
    <w:rsid w:val="00A8308A"/>
    <w:rsid w:val="00A831F1"/>
    <w:rsid w:val="00AB4ADF"/>
    <w:rsid w:val="00AB7AB9"/>
    <w:rsid w:val="00AB7B57"/>
    <w:rsid w:val="00AC22A4"/>
    <w:rsid w:val="00AD203C"/>
    <w:rsid w:val="00AD3138"/>
    <w:rsid w:val="00AD475C"/>
    <w:rsid w:val="00AD7987"/>
    <w:rsid w:val="00AE5EA9"/>
    <w:rsid w:val="00AE6448"/>
    <w:rsid w:val="00AF2237"/>
    <w:rsid w:val="00B041B1"/>
    <w:rsid w:val="00B07162"/>
    <w:rsid w:val="00B11895"/>
    <w:rsid w:val="00B27AA3"/>
    <w:rsid w:val="00B34489"/>
    <w:rsid w:val="00B35553"/>
    <w:rsid w:val="00B43667"/>
    <w:rsid w:val="00B448F1"/>
    <w:rsid w:val="00B53E8B"/>
    <w:rsid w:val="00B554E8"/>
    <w:rsid w:val="00B557AF"/>
    <w:rsid w:val="00B75A4A"/>
    <w:rsid w:val="00B76EDF"/>
    <w:rsid w:val="00B82504"/>
    <w:rsid w:val="00BA000A"/>
    <w:rsid w:val="00BA1183"/>
    <w:rsid w:val="00BA5318"/>
    <w:rsid w:val="00BB4182"/>
    <w:rsid w:val="00BB5382"/>
    <w:rsid w:val="00BC6CF3"/>
    <w:rsid w:val="00BF5F32"/>
    <w:rsid w:val="00C04674"/>
    <w:rsid w:val="00C0620D"/>
    <w:rsid w:val="00C104DF"/>
    <w:rsid w:val="00C123C0"/>
    <w:rsid w:val="00C20057"/>
    <w:rsid w:val="00C4023B"/>
    <w:rsid w:val="00C40E52"/>
    <w:rsid w:val="00C4727D"/>
    <w:rsid w:val="00C53DBA"/>
    <w:rsid w:val="00C61803"/>
    <w:rsid w:val="00C635FE"/>
    <w:rsid w:val="00C66F22"/>
    <w:rsid w:val="00C7128D"/>
    <w:rsid w:val="00C7559D"/>
    <w:rsid w:val="00C873DE"/>
    <w:rsid w:val="00C87FCC"/>
    <w:rsid w:val="00C94CE6"/>
    <w:rsid w:val="00C96CED"/>
    <w:rsid w:val="00CC2A43"/>
    <w:rsid w:val="00CC5119"/>
    <w:rsid w:val="00CC5540"/>
    <w:rsid w:val="00CD401A"/>
    <w:rsid w:val="00CD4AC3"/>
    <w:rsid w:val="00CE4FB1"/>
    <w:rsid w:val="00CE51D5"/>
    <w:rsid w:val="00CF1797"/>
    <w:rsid w:val="00D031A5"/>
    <w:rsid w:val="00D12653"/>
    <w:rsid w:val="00D22271"/>
    <w:rsid w:val="00D27CE6"/>
    <w:rsid w:val="00D3210B"/>
    <w:rsid w:val="00D324AA"/>
    <w:rsid w:val="00D43C3E"/>
    <w:rsid w:val="00D7028E"/>
    <w:rsid w:val="00D71427"/>
    <w:rsid w:val="00D7177F"/>
    <w:rsid w:val="00D820F9"/>
    <w:rsid w:val="00D8500D"/>
    <w:rsid w:val="00D9168D"/>
    <w:rsid w:val="00DB2354"/>
    <w:rsid w:val="00DB47CB"/>
    <w:rsid w:val="00DC181F"/>
    <w:rsid w:val="00DD2EB0"/>
    <w:rsid w:val="00DF0BB8"/>
    <w:rsid w:val="00E01CA2"/>
    <w:rsid w:val="00E04CB4"/>
    <w:rsid w:val="00E05568"/>
    <w:rsid w:val="00E10026"/>
    <w:rsid w:val="00E26CCB"/>
    <w:rsid w:val="00E30F69"/>
    <w:rsid w:val="00E31B2D"/>
    <w:rsid w:val="00E354D5"/>
    <w:rsid w:val="00E43E5F"/>
    <w:rsid w:val="00E5207C"/>
    <w:rsid w:val="00E6040E"/>
    <w:rsid w:val="00E6784F"/>
    <w:rsid w:val="00E70076"/>
    <w:rsid w:val="00E764E3"/>
    <w:rsid w:val="00E938AD"/>
    <w:rsid w:val="00E95F2A"/>
    <w:rsid w:val="00E978F3"/>
    <w:rsid w:val="00EA1FAE"/>
    <w:rsid w:val="00EA28CB"/>
    <w:rsid w:val="00EB3EAD"/>
    <w:rsid w:val="00EB7FDB"/>
    <w:rsid w:val="00EC10D8"/>
    <w:rsid w:val="00EC4ED8"/>
    <w:rsid w:val="00ED04EA"/>
    <w:rsid w:val="00EE683F"/>
    <w:rsid w:val="00EE7885"/>
    <w:rsid w:val="00EF7D64"/>
    <w:rsid w:val="00F23F80"/>
    <w:rsid w:val="00F31F9E"/>
    <w:rsid w:val="00F43FAD"/>
    <w:rsid w:val="00F50B8B"/>
    <w:rsid w:val="00F6335B"/>
    <w:rsid w:val="00F6671D"/>
    <w:rsid w:val="00F77691"/>
    <w:rsid w:val="00F80CF2"/>
    <w:rsid w:val="00F81367"/>
    <w:rsid w:val="00F829DE"/>
    <w:rsid w:val="00F871E1"/>
    <w:rsid w:val="00F87F8C"/>
    <w:rsid w:val="00FA0C98"/>
    <w:rsid w:val="00FB0812"/>
    <w:rsid w:val="00FB383D"/>
    <w:rsid w:val="00FB5185"/>
    <w:rsid w:val="00FC0AE5"/>
    <w:rsid w:val="00FC5AE2"/>
    <w:rsid w:val="00FC7616"/>
    <w:rsid w:val="00FD25E0"/>
    <w:rsid w:val="00FE0CA1"/>
    <w:rsid w:val="00FE1C15"/>
    <w:rsid w:val="00FF0DE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2">
    <w:name w:val="heading 2"/>
    <w:basedOn w:val="Normal"/>
    <w:next w:val="Normal"/>
    <w:link w:val="Heading2Char"/>
    <w:uiPriority w:val="9"/>
    <w:unhideWhenUsed/>
    <w:qFormat/>
    <w:rsid w:val="00A8308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308A"/>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A830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5B3FDF"/>
    <w:rPr>
      <w:sz w:val="20"/>
      <w:szCs w:val="20"/>
    </w:rPr>
  </w:style>
  <w:style w:type="character" w:customStyle="1" w:styleId="EndnoteTextChar">
    <w:name w:val="Endnote Text Char"/>
    <w:basedOn w:val="DefaultParagraphFont"/>
    <w:link w:val="EndnoteText"/>
    <w:uiPriority w:val="99"/>
    <w:semiHidden/>
    <w:rsid w:val="005B3FDF"/>
    <w:rPr>
      <w:rFonts w:eastAsia="Times New Roman" w:cs="Times New Roman"/>
      <w:sz w:val="20"/>
      <w:szCs w:val="20"/>
      <w:lang w:eastAsia="ru-RU"/>
    </w:rPr>
  </w:style>
  <w:style w:type="character" w:styleId="EndnoteReference">
    <w:name w:val="endnote reference"/>
    <w:basedOn w:val="DefaultParagraphFont"/>
    <w:uiPriority w:val="99"/>
    <w:semiHidden/>
    <w:unhideWhenUsed/>
    <w:rsid w:val="005B3FDF"/>
    <w:rPr>
      <w:vertAlign w:val="superscript"/>
    </w:rPr>
  </w:style>
  <w:style w:type="character" w:customStyle="1" w:styleId="Heading2Char">
    <w:name w:val="Heading 2 Char"/>
    <w:basedOn w:val="DefaultParagraphFont"/>
    <w:link w:val="Heading2"/>
    <w:uiPriority w:val="9"/>
    <w:rsid w:val="00A8308A"/>
    <w:rPr>
      <w:rFonts w:asciiTheme="majorHAnsi" w:eastAsiaTheme="majorEastAsia" w:hAnsiTheme="majorHAnsi" w:cstheme="majorBidi"/>
      <w:color w:val="2E74B5" w:themeColor="accent1" w:themeShade="BF"/>
      <w:sz w:val="26"/>
      <w:szCs w:val="26"/>
      <w:lang w:eastAsia="ru-RU"/>
    </w:rPr>
  </w:style>
  <w:style w:type="character" w:customStyle="1" w:styleId="Heading3Char">
    <w:name w:val="Heading 3 Char"/>
    <w:basedOn w:val="DefaultParagraphFont"/>
    <w:link w:val="Heading3"/>
    <w:uiPriority w:val="9"/>
    <w:rsid w:val="00A8308A"/>
    <w:rPr>
      <w:rFonts w:asciiTheme="majorHAnsi" w:eastAsiaTheme="majorEastAsia" w:hAnsiTheme="majorHAnsi" w:cstheme="majorBidi"/>
      <w:color w:val="1F4D78" w:themeColor="accent1" w:themeShade="7F"/>
      <w:szCs w:val="24"/>
      <w:lang w:eastAsia="ru-RU"/>
    </w:rPr>
  </w:style>
  <w:style w:type="character" w:customStyle="1" w:styleId="Heading4Char">
    <w:name w:val="Heading 4 Char"/>
    <w:basedOn w:val="DefaultParagraphFont"/>
    <w:link w:val="Heading4"/>
    <w:uiPriority w:val="9"/>
    <w:rsid w:val="00A8308A"/>
    <w:rPr>
      <w:rFonts w:asciiTheme="majorHAnsi" w:eastAsiaTheme="majorEastAsia" w:hAnsiTheme="majorHAnsi" w:cstheme="majorBidi"/>
      <w:i/>
      <w:iCs/>
      <w:color w:val="2E74B5" w:themeColor="accent1" w:themeShade="BF"/>
      <w:szCs w:val="24"/>
      <w:lang w:eastAsia="ru-RU"/>
    </w:rPr>
  </w:style>
  <w:style w:type="paragraph" w:styleId="List">
    <w:name w:val="List"/>
    <w:basedOn w:val="Normal"/>
    <w:uiPriority w:val="99"/>
    <w:unhideWhenUsed/>
    <w:rsid w:val="00A8308A"/>
    <w:pPr>
      <w:ind w:left="283" w:hanging="283"/>
      <w:contextualSpacing/>
    </w:pPr>
  </w:style>
  <w:style w:type="paragraph" w:styleId="BodyText">
    <w:name w:val="Body Text"/>
    <w:basedOn w:val="Normal"/>
    <w:link w:val="BodyTextChar"/>
    <w:uiPriority w:val="99"/>
    <w:unhideWhenUsed/>
    <w:rsid w:val="00A8308A"/>
    <w:pPr>
      <w:spacing w:after="120"/>
    </w:pPr>
  </w:style>
  <w:style w:type="character" w:customStyle="1" w:styleId="BodyTextChar">
    <w:name w:val="Body Text Char"/>
    <w:basedOn w:val="DefaultParagraphFont"/>
    <w:link w:val="BodyText"/>
    <w:uiPriority w:val="99"/>
    <w:rsid w:val="00A8308A"/>
    <w:rPr>
      <w:rFonts w:eastAsia="Times New Roman" w:cs="Times New Roman"/>
      <w:szCs w:val="24"/>
      <w:lang w:eastAsia="ru-RU"/>
    </w:rPr>
  </w:style>
  <w:style w:type="paragraph" w:styleId="BodyTextFirstIndent">
    <w:name w:val="Body Text First Indent"/>
    <w:basedOn w:val="BodyText"/>
    <w:link w:val="BodyTextFirstIndentChar"/>
    <w:uiPriority w:val="99"/>
    <w:unhideWhenUsed/>
    <w:rsid w:val="00A8308A"/>
    <w:pPr>
      <w:spacing w:after="0"/>
      <w:ind w:firstLine="360"/>
    </w:pPr>
  </w:style>
  <w:style w:type="character" w:customStyle="1" w:styleId="BodyTextFirstIndentChar">
    <w:name w:val="Body Text First Indent Char"/>
    <w:basedOn w:val="BodyTextChar"/>
    <w:link w:val="BodyTextFirstIndent"/>
    <w:uiPriority w:val="99"/>
    <w:rsid w:val="00A8308A"/>
    <w:rPr>
      <w:rFonts w:eastAsia="Times New Roman" w:cs="Times New Roman"/>
      <w:szCs w:val="24"/>
      <w:lang w:eastAsia="ru-RU"/>
    </w:rPr>
  </w:style>
  <w:style w:type="paragraph" w:styleId="BodyTextIndent">
    <w:name w:val="Body Text Indent"/>
    <w:basedOn w:val="Normal"/>
    <w:link w:val="BodyTextIndentChar"/>
    <w:uiPriority w:val="99"/>
    <w:semiHidden/>
    <w:unhideWhenUsed/>
    <w:rsid w:val="00A8308A"/>
    <w:pPr>
      <w:spacing w:after="120"/>
      <w:ind w:left="283"/>
    </w:pPr>
  </w:style>
  <w:style w:type="character" w:customStyle="1" w:styleId="BodyTextIndentChar">
    <w:name w:val="Body Text Indent Char"/>
    <w:basedOn w:val="DefaultParagraphFont"/>
    <w:link w:val="BodyTextIndent"/>
    <w:uiPriority w:val="99"/>
    <w:semiHidden/>
    <w:rsid w:val="00A8308A"/>
    <w:rPr>
      <w:rFonts w:eastAsia="Times New Roman" w:cs="Times New Roman"/>
      <w:szCs w:val="24"/>
      <w:lang w:eastAsia="ru-RU"/>
    </w:rPr>
  </w:style>
  <w:style w:type="paragraph" w:styleId="BodyTextFirstIndent2">
    <w:name w:val="Body Text First Indent 2"/>
    <w:basedOn w:val="BodyTextIndent"/>
    <w:link w:val="BodyTextFirstIndent2Char"/>
    <w:uiPriority w:val="99"/>
    <w:unhideWhenUsed/>
    <w:rsid w:val="00A8308A"/>
    <w:pPr>
      <w:spacing w:after="0"/>
      <w:ind w:left="360" w:firstLine="360"/>
    </w:pPr>
  </w:style>
  <w:style w:type="character" w:customStyle="1" w:styleId="BodyTextFirstIndent2Char">
    <w:name w:val="Body Text First Indent 2 Char"/>
    <w:basedOn w:val="BodyTextIndentChar"/>
    <w:link w:val="BodyTextFirstIndent2"/>
    <w:uiPriority w:val="99"/>
    <w:rsid w:val="00A8308A"/>
    <w:rPr>
      <w:rFonts w:eastAsia="Times New Roman" w:cs="Times New Roman"/>
      <w:szCs w:val="24"/>
      <w:lang w:eastAsia="ru-RU"/>
    </w:rPr>
  </w:style>
  <w:style w:type="paragraph" w:styleId="FootnoteText">
    <w:name w:val="footnote text"/>
    <w:basedOn w:val="Normal"/>
    <w:link w:val="FootnoteTextChar"/>
    <w:uiPriority w:val="99"/>
    <w:unhideWhenUsed/>
    <w:rsid w:val="00CF1797"/>
    <w:rPr>
      <w:rFonts w:eastAsia="Calibri"/>
      <w:sz w:val="20"/>
      <w:szCs w:val="20"/>
      <w:lang w:eastAsia="en-US"/>
    </w:rPr>
  </w:style>
  <w:style w:type="character" w:customStyle="1" w:styleId="FootnoteTextChar">
    <w:name w:val="Footnote Text Char"/>
    <w:basedOn w:val="DefaultParagraphFont"/>
    <w:link w:val="FootnoteText"/>
    <w:uiPriority w:val="99"/>
    <w:rsid w:val="00CF1797"/>
    <w:rPr>
      <w:rFonts w:eastAsia="Calibri" w:cs="Times New Roman"/>
      <w:sz w:val="20"/>
      <w:szCs w:val="20"/>
    </w:rPr>
  </w:style>
  <w:style w:type="character" w:styleId="FootnoteReference">
    <w:name w:val="footnote reference"/>
    <w:uiPriority w:val="99"/>
    <w:semiHidden/>
    <w:unhideWhenUsed/>
    <w:rsid w:val="00CF1797"/>
    <w:rPr>
      <w:vertAlign w:val="superscript"/>
    </w:rPr>
  </w:style>
  <w:style w:type="character" w:styleId="Hyperlink">
    <w:name w:val="Hyperlink"/>
    <w:basedOn w:val="DefaultParagraphFont"/>
    <w:uiPriority w:val="99"/>
    <w:unhideWhenUsed/>
    <w:rsid w:val="005D01CD"/>
    <w:rPr>
      <w:color w:val="0563C1" w:themeColor="hyperlink"/>
      <w:u w:val="single"/>
    </w:rPr>
  </w:style>
  <w:style w:type="character" w:customStyle="1" w:styleId="UnresolvedMention1">
    <w:name w:val="Unresolved Mention1"/>
    <w:basedOn w:val="DefaultParagraphFont"/>
    <w:uiPriority w:val="99"/>
    <w:semiHidden/>
    <w:unhideWhenUsed/>
    <w:rsid w:val="005D01CD"/>
    <w:rPr>
      <w:color w:val="605E5C"/>
      <w:shd w:val="clear" w:color="auto" w:fill="E1DFDD"/>
    </w:rPr>
  </w:style>
  <w:style w:type="character" w:customStyle="1" w:styleId="UnresolvedMention2">
    <w:name w:val="Unresolved Mention2"/>
    <w:basedOn w:val="DefaultParagraphFont"/>
    <w:uiPriority w:val="99"/>
    <w:semiHidden/>
    <w:unhideWhenUsed/>
    <w:rsid w:val="0055132B"/>
    <w:rPr>
      <w:color w:val="605E5C"/>
      <w:shd w:val="clear" w:color="auto" w:fill="E1DFDD"/>
    </w:rPr>
  </w:style>
  <w:style w:type="character" w:customStyle="1" w:styleId="ListParagraphChar">
    <w:name w:val="List Paragraph Char"/>
    <w:aliases w:val="H&amp;P List Paragraph Char,2 Char,Saistīto dokumentu saraksts Char,Syle 1 Char,List Paragraph1 Char,Numurets Char,Normal bullet 2 Char,Bullet list Char,PPS_Bullet Char,Virsraksti Char"/>
    <w:link w:val="ListParagraph"/>
    <w:uiPriority w:val="34"/>
    <w:qFormat/>
    <w:locked/>
    <w:rsid w:val="00BF5F32"/>
    <w:rPr>
      <w:sz w:val="22"/>
    </w:rPr>
  </w:style>
  <w:style w:type="paragraph" w:styleId="ListParagraph">
    <w:name w:val="List Paragraph"/>
    <w:aliases w:val="H&amp;P List Paragraph,2,Saistīto dokumentu saraksts,Syle 1,List Paragraph1,Numurets,Normal bullet 2,Bullet list,PPS_Bullet,Virsraksti"/>
    <w:basedOn w:val="Normal"/>
    <w:link w:val="ListParagraphChar"/>
    <w:uiPriority w:val="34"/>
    <w:qFormat/>
    <w:rsid w:val="00BF5F32"/>
    <w:pPr>
      <w:spacing w:after="160" w:line="256" w:lineRule="auto"/>
      <w:ind w:left="720"/>
      <w:contextualSpacing/>
      <w:jc w:val="both"/>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110766">
      <w:bodyDiv w:val="1"/>
      <w:marLeft w:val="0"/>
      <w:marRight w:val="0"/>
      <w:marTop w:val="0"/>
      <w:marBottom w:val="0"/>
      <w:divBdr>
        <w:top w:val="none" w:sz="0" w:space="0" w:color="auto"/>
        <w:left w:val="none" w:sz="0" w:space="0" w:color="auto"/>
        <w:bottom w:val="none" w:sz="0" w:space="0" w:color="auto"/>
        <w:right w:val="none" w:sz="0" w:space="0" w:color="auto"/>
      </w:divBdr>
    </w:div>
    <w:div w:id="1385986234">
      <w:bodyDiv w:val="1"/>
      <w:marLeft w:val="0"/>
      <w:marRight w:val="0"/>
      <w:marTop w:val="0"/>
      <w:marBottom w:val="0"/>
      <w:divBdr>
        <w:top w:val="none" w:sz="0" w:space="0" w:color="auto"/>
        <w:left w:val="none" w:sz="0" w:space="0" w:color="auto"/>
        <w:bottom w:val="none" w:sz="0" w:space="0" w:color="auto"/>
        <w:right w:val="none" w:sz="0" w:space="0" w:color="auto"/>
      </w:divBdr>
    </w:div>
    <w:div w:id="142056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331.A420296418.5.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ases.lv/content/radiofrekvences-pieskiruma-lietosanas-atlau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63BA6-A1B0-415D-AC65-159DC7051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4822</Words>
  <Characters>27489</Characters>
  <Application>Microsoft Office Word</Application>
  <DocSecurity>0</DocSecurity>
  <Lines>229</Lines>
  <Paragraphs>64</Paragraphs>
  <ScaleCrop>false</ScaleCrop>
  <Company/>
  <LinksUpToDate>false</LinksUpToDate>
  <CharactersWithSpaces>32247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2021-04-22T04:44:00Z</dcterms:created>
  <dcterms:modified xsi:type="dcterms:W3CDTF">2021-04-22T04:44:00Z</dcterms:modified>
</cp:coreProperties>
</file>