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9BE86" w14:textId="4513D52C" w:rsidR="009C0BA3" w:rsidRPr="002A657E" w:rsidRDefault="002A657E" w:rsidP="002A657E">
      <w:pPr>
        <w:pStyle w:val="BodyText2"/>
        <w:spacing w:after="0" w:line="276" w:lineRule="auto"/>
        <w:rPr>
          <w:b/>
        </w:rPr>
      </w:pPr>
      <w:bookmarkStart w:id="0" w:name="_GoBack"/>
      <w:bookmarkEnd w:id="0"/>
      <w:r w:rsidRPr="002A657E">
        <w:rPr>
          <w:b/>
        </w:rPr>
        <w:t xml:space="preserve">Personas </w:t>
      </w:r>
      <w:proofErr w:type="spellStart"/>
      <w:r w:rsidRPr="002A657E">
        <w:rPr>
          <w:b/>
        </w:rPr>
        <w:t>tiesības</w:t>
      </w:r>
      <w:proofErr w:type="spellEnd"/>
      <w:r w:rsidRPr="002A657E">
        <w:rPr>
          <w:b/>
        </w:rPr>
        <w:t xml:space="preserve"> </w:t>
      </w:r>
      <w:proofErr w:type="spellStart"/>
      <w:r w:rsidRPr="002A657E">
        <w:rPr>
          <w:b/>
        </w:rPr>
        <w:t>tikt</w:t>
      </w:r>
      <w:proofErr w:type="spellEnd"/>
      <w:r w:rsidRPr="002A657E">
        <w:rPr>
          <w:b/>
        </w:rPr>
        <w:t xml:space="preserve"> </w:t>
      </w:r>
      <w:proofErr w:type="spellStart"/>
      <w:r w:rsidRPr="002A657E">
        <w:rPr>
          <w:b/>
        </w:rPr>
        <w:t>noņemtam</w:t>
      </w:r>
      <w:proofErr w:type="spellEnd"/>
      <w:r w:rsidRPr="002A657E">
        <w:rPr>
          <w:b/>
        </w:rPr>
        <w:t xml:space="preserve"> no </w:t>
      </w:r>
      <w:proofErr w:type="spellStart"/>
      <w:r w:rsidRPr="002A657E">
        <w:rPr>
          <w:b/>
        </w:rPr>
        <w:t>militārā</w:t>
      </w:r>
      <w:proofErr w:type="spellEnd"/>
      <w:r w:rsidRPr="002A657E">
        <w:rPr>
          <w:b/>
        </w:rPr>
        <w:t xml:space="preserve"> </w:t>
      </w:r>
      <w:proofErr w:type="spellStart"/>
      <w:r w:rsidRPr="002A657E">
        <w:rPr>
          <w:b/>
        </w:rPr>
        <w:t>dienesta</w:t>
      </w:r>
      <w:proofErr w:type="spellEnd"/>
      <w:r w:rsidRPr="002A657E">
        <w:rPr>
          <w:b/>
        </w:rPr>
        <w:t xml:space="preserve"> </w:t>
      </w:r>
      <w:proofErr w:type="spellStart"/>
      <w:r w:rsidRPr="002A657E">
        <w:rPr>
          <w:b/>
        </w:rPr>
        <w:t>uzskaites</w:t>
      </w:r>
      <w:proofErr w:type="spellEnd"/>
      <w:r w:rsidRPr="002A657E">
        <w:rPr>
          <w:b/>
        </w:rPr>
        <w:t xml:space="preserve"> </w:t>
      </w:r>
      <w:proofErr w:type="spellStart"/>
      <w:r w:rsidRPr="002A657E">
        <w:rPr>
          <w:b/>
        </w:rPr>
        <w:t>savas</w:t>
      </w:r>
      <w:proofErr w:type="spellEnd"/>
      <w:r w:rsidRPr="002A657E">
        <w:rPr>
          <w:b/>
        </w:rPr>
        <w:t xml:space="preserve"> </w:t>
      </w:r>
      <w:proofErr w:type="spellStart"/>
      <w:r w:rsidRPr="002A657E">
        <w:rPr>
          <w:b/>
        </w:rPr>
        <w:t>pārliecības</w:t>
      </w:r>
      <w:proofErr w:type="spellEnd"/>
      <w:r w:rsidRPr="002A657E">
        <w:rPr>
          <w:b/>
        </w:rPr>
        <w:t xml:space="preserve"> </w:t>
      </w:r>
      <w:proofErr w:type="spellStart"/>
      <w:r w:rsidRPr="002A657E">
        <w:rPr>
          <w:b/>
        </w:rPr>
        <w:t>dēļ</w:t>
      </w:r>
      <w:proofErr w:type="spellEnd"/>
    </w:p>
    <w:p w14:paraId="341661B2" w14:textId="77777777" w:rsidR="002A657E" w:rsidRPr="002A657E" w:rsidRDefault="002A657E" w:rsidP="002A657E">
      <w:pPr>
        <w:pStyle w:val="BodyText2"/>
        <w:spacing w:after="0" w:line="276" w:lineRule="auto"/>
        <w:rPr>
          <w:lang w:val="lv-LV"/>
        </w:rPr>
      </w:pPr>
    </w:p>
    <w:p w14:paraId="051DD6A0" w14:textId="63FF2D1B" w:rsidR="00772A7C" w:rsidRPr="002A657E" w:rsidRDefault="002A657E" w:rsidP="002A657E">
      <w:pPr>
        <w:spacing w:line="276" w:lineRule="auto"/>
        <w:jc w:val="center"/>
        <w:rPr>
          <w:b/>
        </w:rPr>
      </w:pPr>
      <w:r w:rsidRPr="002A657E">
        <w:rPr>
          <w:b/>
        </w:rPr>
        <w:t>Latvijas Republikas Senāta</w:t>
      </w:r>
    </w:p>
    <w:p w14:paraId="1ED17195" w14:textId="453197FA" w:rsidR="002A657E" w:rsidRPr="002A657E" w:rsidRDefault="002A657E" w:rsidP="002A657E">
      <w:pPr>
        <w:spacing w:line="276" w:lineRule="auto"/>
        <w:jc w:val="center"/>
        <w:rPr>
          <w:b/>
        </w:rPr>
      </w:pPr>
      <w:r w:rsidRPr="002A657E">
        <w:rPr>
          <w:b/>
        </w:rPr>
        <w:t>Administratīvo lietu departamenta</w:t>
      </w:r>
    </w:p>
    <w:p w14:paraId="087D2CF0" w14:textId="1AA032C8" w:rsidR="002A657E" w:rsidRPr="002A657E" w:rsidRDefault="002A657E" w:rsidP="002A657E">
      <w:pPr>
        <w:spacing w:line="276" w:lineRule="auto"/>
        <w:jc w:val="center"/>
        <w:rPr>
          <w:b/>
        </w:rPr>
      </w:pPr>
      <w:proofErr w:type="gramStart"/>
      <w:r w:rsidRPr="002A657E">
        <w:rPr>
          <w:b/>
        </w:rPr>
        <w:t>2021.gada</w:t>
      </w:r>
      <w:proofErr w:type="gramEnd"/>
      <w:r w:rsidRPr="002A657E">
        <w:rPr>
          <w:b/>
        </w:rPr>
        <w:t xml:space="preserve"> 30.marta</w:t>
      </w:r>
    </w:p>
    <w:p w14:paraId="0C78AD30" w14:textId="0EC8D7C9" w:rsidR="009C0BA3" w:rsidRPr="002A657E" w:rsidRDefault="009C0BA3" w:rsidP="002A657E">
      <w:pPr>
        <w:spacing w:line="276" w:lineRule="auto"/>
        <w:jc w:val="center"/>
        <w:rPr>
          <w:b/>
        </w:rPr>
      </w:pPr>
      <w:r w:rsidRPr="002A657E">
        <w:rPr>
          <w:b/>
        </w:rPr>
        <w:t>SPRIEDUMS</w:t>
      </w:r>
      <w:r w:rsidR="00606650" w:rsidRPr="002A657E">
        <w:rPr>
          <w:b/>
        </w:rPr>
        <w:t xml:space="preserve"> </w:t>
      </w:r>
    </w:p>
    <w:p w14:paraId="4A0AE52E" w14:textId="1BD7CC12" w:rsidR="002A657E" w:rsidRDefault="002A657E" w:rsidP="002A657E">
      <w:pPr>
        <w:spacing w:line="276" w:lineRule="auto"/>
        <w:jc w:val="center"/>
        <w:rPr>
          <w:rFonts w:eastAsiaTheme="minorHAnsi"/>
          <w:b/>
          <w:lang w:val="en-US" w:eastAsia="en-US"/>
        </w:rPr>
      </w:pPr>
      <w:r w:rsidRPr="002A657E">
        <w:rPr>
          <w:b/>
        </w:rPr>
        <w:t>Lietā Nr. </w:t>
      </w:r>
      <w:r w:rsidRPr="002A657E">
        <w:rPr>
          <w:rFonts w:eastAsiaTheme="minorHAnsi"/>
          <w:b/>
          <w:lang w:val="en-US" w:eastAsia="en-US"/>
        </w:rPr>
        <w:t>A420200818; SKA-435/2021</w:t>
      </w:r>
    </w:p>
    <w:p w14:paraId="6F1CD565" w14:textId="565B4C85" w:rsidR="008059E7" w:rsidRPr="008059E7" w:rsidRDefault="008059E7" w:rsidP="002A657E">
      <w:pPr>
        <w:spacing w:line="276" w:lineRule="auto"/>
        <w:jc w:val="center"/>
        <w:rPr>
          <w:rFonts w:eastAsiaTheme="minorHAnsi"/>
          <w:lang w:val="en-US" w:eastAsia="en-US"/>
        </w:rPr>
      </w:pPr>
      <w:r w:rsidRPr="008059E7">
        <w:rPr>
          <w:rFonts w:eastAsiaTheme="minorHAnsi"/>
          <w:lang w:val="en-US" w:eastAsia="en-US"/>
        </w:rPr>
        <w:fldChar w:fldCharType="begin"/>
      </w:r>
      <w:r w:rsidRPr="008059E7">
        <w:rPr>
          <w:rFonts w:eastAsiaTheme="minorHAnsi"/>
          <w:lang w:val="en-US" w:eastAsia="en-US"/>
        </w:rPr>
        <w:instrText xml:space="preserve"> HYPERLINK "https://manas.tiesas.lv/eTiesasMvc/eclinolemumi/ECLI:LV:AT:2021:0330.A420200818.20.S" </w:instrText>
      </w:r>
      <w:r w:rsidRPr="008059E7">
        <w:rPr>
          <w:rFonts w:eastAsiaTheme="minorHAnsi"/>
          <w:lang w:val="en-US" w:eastAsia="en-US"/>
        </w:rPr>
        <w:fldChar w:fldCharType="separate"/>
      </w:r>
      <w:r w:rsidRPr="008059E7">
        <w:rPr>
          <w:rStyle w:val="Hyperlink"/>
          <w:rFonts w:eastAsiaTheme="minorHAnsi"/>
          <w:lang w:val="en-US" w:eastAsia="en-US"/>
        </w:rPr>
        <w:t>ECLI</w:t>
      </w:r>
      <w:proofErr w:type="gramStart"/>
      <w:r w:rsidRPr="008059E7">
        <w:rPr>
          <w:rStyle w:val="Hyperlink"/>
          <w:rFonts w:eastAsiaTheme="minorHAnsi"/>
          <w:lang w:val="en-US" w:eastAsia="en-US"/>
        </w:rPr>
        <w:t>:LV:AT:2021:0330.A420200818.20.S</w:t>
      </w:r>
      <w:proofErr w:type="gramEnd"/>
      <w:r w:rsidRPr="008059E7">
        <w:rPr>
          <w:rFonts w:eastAsiaTheme="minorHAnsi"/>
          <w:lang w:val="en-US" w:eastAsia="en-US"/>
        </w:rPr>
        <w:fldChar w:fldCharType="end"/>
      </w:r>
      <w:r w:rsidRPr="008059E7">
        <w:rPr>
          <w:rFonts w:eastAsiaTheme="minorHAnsi"/>
          <w:lang w:val="en-US" w:eastAsia="en-US"/>
        </w:rPr>
        <w:t xml:space="preserve"> </w:t>
      </w:r>
    </w:p>
    <w:p w14:paraId="1B5F20BE" w14:textId="77777777" w:rsidR="008059E7" w:rsidRPr="002A657E" w:rsidRDefault="008059E7" w:rsidP="002A657E">
      <w:pPr>
        <w:spacing w:line="276" w:lineRule="auto"/>
        <w:ind w:firstLine="567"/>
        <w:jc w:val="both"/>
      </w:pPr>
    </w:p>
    <w:p w14:paraId="5AE13377" w14:textId="4FB3E9EA" w:rsidR="00C52066" w:rsidRPr="002A657E" w:rsidRDefault="00C52066" w:rsidP="002A657E">
      <w:pPr>
        <w:spacing w:line="276" w:lineRule="auto"/>
        <w:ind w:firstLine="567"/>
        <w:jc w:val="both"/>
      </w:pPr>
      <w:r w:rsidRPr="002A657E">
        <w:t xml:space="preserve">Tiesa šādā sastāvā: </w:t>
      </w:r>
      <w:r w:rsidR="00E33F20" w:rsidRPr="002A657E">
        <w:t>senator</w:t>
      </w:r>
      <w:r w:rsidR="003101DE" w:rsidRPr="002A657E">
        <w:t>i</w:t>
      </w:r>
      <w:r w:rsidR="00E33F20" w:rsidRPr="002A657E">
        <w:t xml:space="preserve"> Jautrīte Briede, </w:t>
      </w:r>
      <w:r w:rsidR="00367FB1" w:rsidRPr="002A657E">
        <w:t>Anita Kovaļevska</w:t>
      </w:r>
      <w:r w:rsidR="00E33F20" w:rsidRPr="002A657E">
        <w:t xml:space="preserve"> un </w:t>
      </w:r>
      <w:r w:rsidR="00367FB1" w:rsidRPr="002A657E">
        <w:t>V</w:t>
      </w:r>
      <w:r w:rsidR="003101DE" w:rsidRPr="002A657E">
        <w:t>alters</w:t>
      </w:r>
      <w:r w:rsidR="00367FB1" w:rsidRPr="002A657E">
        <w:t xml:space="preserve"> </w:t>
      </w:r>
      <w:r w:rsidR="003101DE" w:rsidRPr="002A657E">
        <w:t>Poķis</w:t>
      </w:r>
    </w:p>
    <w:p w14:paraId="739A70BC" w14:textId="77777777" w:rsidR="00E33F20" w:rsidRPr="002A657E" w:rsidRDefault="00E33F20" w:rsidP="002A657E">
      <w:pPr>
        <w:spacing w:line="276" w:lineRule="auto"/>
        <w:ind w:firstLine="567"/>
        <w:jc w:val="both"/>
      </w:pPr>
    </w:p>
    <w:p w14:paraId="6DABD663" w14:textId="49144100" w:rsidR="00E33F20" w:rsidRPr="002A657E" w:rsidRDefault="00E33F20" w:rsidP="002A657E">
      <w:pPr>
        <w:spacing w:line="276" w:lineRule="auto"/>
        <w:ind w:firstLine="567"/>
        <w:jc w:val="both"/>
      </w:pPr>
      <w:r w:rsidRPr="002A657E">
        <w:t>rakstveida procesā izskatīja administ</w:t>
      </w:r>
      <w:r w:rsidR="00675D47" w:rsidRPr="002A657E">
        <w:t xml:space="preserve">ratīvo lietu, kas ierosināta, pamatojoties uz </w:t>
      </w:r>
      <w:r w:rsidR="002A657E">
        <w:rPr>
          <w:lang w:eastAsia="zh-TW"/>
        </w:rPr>
        <w:t xml:space="preserve">[pers. A] </w:t>
      </w:r>
      <w:r w:rsidR="00675D47" w:rsidRPr="002A657E">
        <w:t xml:space="preserve">pieteikumu par </w:t>
      </w:r>
      <w:r w:rsidR="00B772F9" w:rsidRPr="002A657E">
        <w:rPr>
          <w:lang w:eastAsia="zh-TW"/>
        </w:rPr>
        <w:t xml:space="preserve">Aizsardzības ministrijas </w:t>
      </w:r>
      <w:proofErr w:type="gramStart"/>
      <w:r w:rsidR="00B772F9" w:rsidRPr="002A657E">
        <w:rPr>
          <w:lang w:eastAsia="zh-TW"/>
        </w:rPr>
        <w:t>2018.gada</w:t>
      </w:r>
      <w:proofErr w:type="gramEnd"/>
      <w:r w:rsidR="00B772F9" w:rsidRPr="002A657E">
        <w:rPr>
          <w:lang w:eastAsia="zh-TW"/>
        </w:rPr>
        <w:t xml:space="preserve"> 6.marta lēmuma Nr.</w:t>
      </w:r>
      <w:r w:rsidR="000E2F03" w:rsidRPr="002A657E">
        <w:rPr>
          <w:lang w:eastAsia="zh-TW"/>
        </w:rPr>
        <w:t> </w:t>
      </w:r>
      <w:r w:rsidR="00B772F9" w:rsidRPr="002A657E">
        <w:rPr>
          <w:lang w:eastAsia="zh-TW"/>
        </w:rPr>
        <w:t>MV</w:t>
      </w:r>
      <w:r w:rsidR="000E2F03" w:rsidRPr="002A657E">
        <w:rPr>
          <w:lang w:eastAsia="zh-TW"/>
        </w:rPr>
        <w:noBreakHyphen/>
      </w:r>
      <w:r w:rsidR="00B772F9" w:rsidRPr="002A657E">
        <w:rPr>
          <w:lang w:eastAsia="zh-TW"/>
        </w:rPr>
        <w:t>N/593 atcelšanu un labvēlīga administratīvā akta izdošanu</w:t>
      </w:r>
      <w:r w:rsidR="00675D47" w:rsidRPr="002A657E">
        <w:t xml:space="preserve">, sakarā ar </w:t>
      </w:r>
      <w:r w:rsidR="00B772F9" w:rsidRPr="002A657E">
        <w:t>Aizsardzības ministrijas</w:t>
      </w:r>
      <w:r w:rsidR="00675D47" w:rsidRPr="002A657E">
        <w:t xml:space="preserve"> kasācijas sūdzību par Administratīvās apgabaltiesas 2020.gada </w:t>
      </w:r>
      <w:r w:rsidR="00B772F9" w:rsidRPr="002A657E">
        <w:t>6.marta</w:t>
      </w:r>
      <w:r w:rsidR="00675D47" w:rsidRPr="002A657E">
        <w:t xml:space="preserve"> spriedumu.</w:t>
      </w:r>
    </w:p>
    <w:p w14:paraId="623A76E8" w14:textId="77777777" w:rsidR="00675D47" w:rsidRPr="002A657E" w:rsidRDefault="00675D47" w:rsidP="002A657E">
      <w:pPr>
        <w:spacing w:line="276" w:lineRule="auto"/>
        <w:jc w:val="both"/>
      </w:pPr>
    </w:p>
    <w:p w14:paraId="77F08303" w14:textId="3FFCF418" w:rsidR="00675D47" w:rsidRPr="002A657E" w:rsidRDefault="00675D47" w:rsidP="002A657E">
      <w:pPr>
        <w:spacing w:line="276" w:lineRule="auto"/>
        <w:jc w:val="center"/>
        <w:rPr>
          <w:b/>
        </w:rPr>
      </w:pPr>
      <w:r w:rsidRPr="002A657E">
        <w:rPr>
          <w:b/>
        </w:rPr>
        <w:t>Aprakstošā daļa</w:t>
      </w:r>
    </w:p>
    <w:p w14:paraId="49904D94" w14:textId="77777777" w:rsidR="00675D47" w:rsidRPr="002A657E" w:rsidRDefault="00675D47" w:rsidP="002A657E">
      <w:pPr>
        <w:spacing w:line="276" w:lineRule="auto"/>
        <w:jc w:val="center"/>
        <w:rPr>
          <w:b/>
        </w:rPr>
      </w:pPr>
    </w:p>
    <w:p w14:paraId="662D0193" w14:textId="30D4B8C3" w:rsidR="00675D47" w:rsidRPr="002A657E" w:rsidRDefault="00675D47" w:rsidP="002A657E">
      <w:pPr>
        <w:spacing w:line="276" w:lineRule="auto"/>
        <w:ind w:firstLine="567"/>
        <w:jc w:val="both"/>
      </w:pPr>
      <w:r w:rsidRPr="002A657E">
        <w:t>[1] </w:t>
      </w:r>
      <w:proofErr w:type="gramStart"/>
      <w:r w:rsidR="00436E69" w:rsidRPr="002A657E">
        <w:t>2016.gada</w:t>
      </w:r>
      <w:proofErr w:type="gramEnd"/>
      <w:r w:rsidR="00436E69" w:rsidRPr="002A657E">
        <w:t xml:space="preserve"> 20.janvārī pieteicēja</w:t>
      </w:r>
      <w:r w:rsidR="002A657E">
        <w:t xml:space="preserve"> </w:t>
      </w:r>
      <w:r w:rsidR="002A657E">
        <w:rPr>
          <w:lang w:eastAsia="zh-TW"/>
        </w:rPr>
        <w:t>[pers. A]</w:t>
      </w:r>
      <w:r w:rsidR="00436E69" w:rsidRPr="002A657E">
        <w:t xml:space="preserve"> noslēdza ar Aizsardzības ministriju līgumu par </w:t>
      </w:r>
      <w:r w:rsidR="00CF02A8" w:rsidRPr="002A657E">
        <w:t>profesionālo dienestu</w:t>
      </w:r>
      <w:r w:rsidR="00436E69" w:rsidRPr="002A657E">
        <w:t>. Dienesta laikā</w:t>
      </w:r>
      <w:r w:rsidR="00CF02A8" w:rsidRPr="002A657E">
        <w:t xml:space="preserve"> pieteicēja</w:t>
      </w:r>
      <w:r w:rsidR="00E12B9A" w:rsidRPr="002A657E">
        <w:t xml:space="preserve"> </w:t>
      </w:r>
      <w:r w:rsidR="00CF02A8" w:rsidRPr="002A657E">
        <w:t xml:space="preserve">guva veselības traucējumus, kuru dēļ viņai iestājās ilgstoša darbnespēja. Pēc pieteicējas lūguma </w:t>
      </w:r>
      <w:r w:rsidR="00436E69" w:rsidRPr="002A657E">
        <w:t xml:space="preserve">ar </w:t>
      </w:r>
      <w:proofErr w:type="gramStart"/>
      <w:r w:rsidR="00436E69" w:rsidRPr="002A657E">
        <w:t>2017.gada</w:t>
      </w:r>
      <w:proofErr w:type="gramEnd"/>
      <w:r w:rsidR="00436E69" w:rsidRPr="002A657E">
        <w:t xml:space="preserve"> 14.septembra pavēli </w:t>
      </w:r>
      <w:r w:rsidR="00CF02A8" w:rsidRPr="002A657E">
        <w:t>viņa tika atvaļināta no dienesta rezervē, taču pieteicēja</w:t>
      </w:r>
      <w:r w:rsidR="00143829" w:rsidRPr="002A657E">
        <w:t xml:space="preserve">, pamatojoties uz veselības stāvokli un pacifisma pārliecību, </w:t>
      </w:r>
      <w:r w:rsidR="00CF02A8" w:rsidRPr="002A657E">
        <w:t>vēlējās, lai viņa tiktu noņemta no militārā dienesta uzskaites.</w:t>
      </w:r>
      <w:r w:rsidR="00143829" w:rsidRPr="002A657E">
        <w:t xml:space="preserve"> Ar pārsūdzēto lēmumu pieteicējas lūgums atteikts.</w:t>
      </w:r>
    </w:p>
    <w:p w14:paraId="3A3D964D" w14:textId="42639944" w:rsidR="00153901" w:rsidRPr="002A657E" w:rsidRDefault="00153901" w:rsidP="002A657E">
      <w:pPr>
        <w:spacing w:line="276" w:lineRule="auto"/>
        <w:ind w:firstLine="567"/>
        <w:jc w:val="both"/>
      </w:pPr>
      <w:r w:rsidRPr="002A657E">
        <w:t>Piete</w:t>
      </w:r>
      <w:r w:rsidR="009B698B" w:rsidRPr="002A657E">
        <w:t>i</w:t>
      </w:r>
      <w:r w:rsidRPr="002A657E">
        <w:t>cēj</w:t>
      </w:r>
      <w:r w:rsidR="004100CE" w:rsidRPr="002A657E">
        <w:t>a</w:t>
      </w:r>
      <w:r w:rsidRPr="002A657E">
        <w:t xml:space="preserve"> vērsās administratīvajā tiesā. Ar Administratīvās rajona tiesas spriedumu pieteikums noraidīts.</w:t>
      </w:r>
    </w:p>
    <w:p w14:paraId="1BF1494E" w14:textId="77777777" w:rsidR="00153901" w:rsidRPr="002A657E" w:rsidRDefault="00153901" w:rsidP="002A657E">
      <w:pPr>
        <w:spacing w:line="276" w:lineRule="auto"/>
        <w:ind w:firstLine="567"/>
        <w:jc w:val="both"/>
      </w:pPr>
    </w:p>
    <w:p w14:paraId="531CE0D1" w14:textId="38E5AF6E" w:rsidR="00180127" w:rsidRPr="002A657E" w:rsidRDefault="00153901" w:rsidP="002A657E">
      <w:pPr>
        <w:spacing w:line="276" w:lineRule="auto"/>
        <w:ind w:firstLine="567"/>
        <w:jc w:val="both"/>
      </w:pPr>
      <w:r w:rsidRPr="002A657E">
        <w:t>[2] Izskatot lietu sakarā ar pieteicēja</w:t>
      </w:r>
      <w:r w:rsidR="00143829" w:rsidRPr="002A657E">
        <w:t>s</w:t>
      </w:r>
      <w:r w:rsidRPr="002A657E">
        <w:t xml:space="preserve"> iesniegto apelācijas sūdzību, Administratīvā apgabaltiesa pieteikumu apmierināja. </w:t>
      </w:r>
      <w:r w:rsidR="009B698B" w:rsidRPr="002A657E">
        <w:t>Tiesa konstatēja</w:t>
      </w:r>
      <w:r w:rsidR="00EB1F46" w:rsidRPr="002A657E">
        <w:t xml:space="preserve">, ka, </w:t>
      </w:r>
      <w:r w:rsidR="00783972" w:rsidRPr="002A657E">
        <w:t xml:space="preserve">kaut arī nav iestājies neviens no likumā noteiktajiem gadījumiem, kad personu atvaļina, noņemot no militārā dienesta uzskaites, pieteicējas gadījums ir netipisks viņas </w:t>
      </w:r>
      <w:r w:rsidR="00B6284C" w:rsidRPr="002A657E">
        <w:t xml:space="preserve">veselības stāvokļa un </w:t>
      </w:r>
      <w:r w:rsidR="00783972" w:rsidRPr="002A657E">
        <w:t xml:space="preserve">pārliecības dēļ. </w:t>
      </w:r>
      <w:r w:rsidR="00916678" w:rsidRPr="002A657E">
        <w:t>Tiesa</w:t>
      </w:r>
      <w:r w:rsidR="000E2F03" w:rsidRPr="002A657E">
        <w:t>,</w:t>
      </w:r>
      <w:r w:rsidR="00916678" w:rsidRPr="002A657E">
        <w:t xml:space="preserve"> atsaucoties arī uz Eiropas Cilvēktiesību tiesas sprieduma atziņām, atzina, ka pacifisms un principiāli iebildumi pret militārā dienesta pildīšanu ietilpst Latvijas Republikas Satversmes </w:t>
      </w:r>
      <w:proofErr w:type="gramStart"/>
      <w:r w:rsidR="00916678" w:rsidRPr="002A657E">
        <w:t>99.panta</w:t>
      </w:r>
      <w:proofErr w:type="gramEnd"/>
      <w:r w:rsidR="00916678" w:rsidRPr="002A657E">
        <w:t xml:space="preserve"> tvērumā. A</w:t>
      </w:r>
      <w:r w:rsidR="00974AC0" w:rsidRPr="002A657E">
        <w:t xml:space="preserve">nalizējot </w:t>
      </w:r>
      <w:r w:rsidR="00751667" w:rsidRPr="002A657E">
        <w:t xml:space="preserve">tiesisko regulējumu, ņemot vērā arī </w:t>
      </w:r>
      <w:r w:rsidR="00974AC0" w:rsidRPr="002A657E">
        <w:t xml:space="preserve">pāreju no obligātā militārā dienesta uz profesionālo, </w:t>
      </w:r>
      <w:r w:rsidR="00916678" w:rsidRPr="002A657E">
        <w:t xml:space="preserve">tiesa </w:t>
      </w:r>
      <w:r w:rsidR="002C200E" w:rsidRPr="002A657E">
        <w:t xml:space="preserve">secināja, ka atrašanās rezervē ir saistīta ar militāro dienestu ar no tā izrietošiem pienākumiem, </w:t>
      </w:r>
      <w:r w:rsidR="00D91D29" w:rsidRPr="002A657E">
        <w:t xml:space="preserve">par kuru nepildīšanu var iestāties atbildība, </w:t>
      </w:r>
      <w:r w:rsidR="002C200E" w:rsidRPr="002A657E">
        <w:t xml:space="preserve">bet likumdevējs </w:t>
      </w:r>
      <w:r w:rsidR="0001392B" w:rsidRPr="002A657E">
        <w:t>n</w:t>
      </w:r>
      <w:r w:rsidR="002C200E" w:rsidRPr="002A657E">
        <w:t xml:space="preserve">av apsvēris iespēju atteikties no dienesta reliģisku motīvu dēļ. </w:t>
      </w:r>
      <w:r w:rsidR="00783972" w:rsidRPr="002A657E">
        <w:t>Tiesa atzina, ka konkrētajā lietā, ņemot vērā apstākļus un pieteicējas pārliecību, kur</w:t>
      </w:r>
      <w:r w:rsidR="00AE633E" w:rsidRPr="002A657E">
        <w:t xml:space="preserve">as </w:t>
      </w:r>
      <w:r w:rsidR="00783972" w:rsidRPr="002A657E">
        <w:t>apšaubī</w:t>
      </w:r>
      <w:r w:rsidR="00AE633E" w:rsidRPr="002A657E">
        <w:t>šanai tiesa neredzēja pamatu</w:t>
      </w:r>
      <w:r w:rsidR="00783972" w:rsidRPr="002A657E">
        <w:t>, pieteicējas apziņas brīvība ir nesamē</w:t>
      </w:r>
      <w:r w:rsidR="00AE633E" w:rsidRPr="002A657E">
        <w:t>rī</w:t>
      </w:r>
      <w:r w:rsidR="00783972" w:rsidRPr="002A657E">
        <w:t>gi ier</w:t>
      </w:r>
      <w:r w:rsidR="0001392B" w:rsidRPr="002A657E">
        <w:t>o</w:t>
      </w:r>
      <w:r w:rsidR="00783972" w:rsidRPr="002A657E">
        <w:t>bežota.</w:t>
      </w:r>
      <w:r w:rsidR="00AE633E" w:rsidRPr="002A657E">
        <w:t xml:space="preserve"> Tiesa </w:t>
      </w:r>
      <w:r w:rsidR="00916678" w:rsidRPr="002A657E">
        <w:t>uzskatīja</w:t>
      </w:r>
      <w:r w:rsidR="00AE633E" w:rsidRPr="002A657E">
        <w:t xml:space="preserve">, ka leģitīmo mērķi (valsts aizsardzība un sabiedrības drošība) </w:t>
      </w:r>
      <w:r w:rsidR="008B33BD" w:rsidRPr="002A657E">
        <w:t xml:space="preserve">konkrētajā gadījumā </w:t>
      </w:r>
      <w:r w:rsidR="00AE633E" w:rsidRPr="002A657E">
        <w:t>var sasniegt ar mazāk ierobežojošiem līdzekļiem, ņemot vērā</w:t>
      </w:r>
      <w:r w:rsidR="002C200E" w:rsidRPr="002A657E">
        <w:t xml:space="preserve"> </w:t>
      </w:r>
      <w:r w:rsidR="005F133C" w:rsidRPr="002A657E">
        <w:t xml:space="preserve">valstī esošo rezerves karavīru skaitu, </w:t>
      </w:r>
      <w:r w:rsidR="0002561B" w:rsidRPr="002A657E">
        <w:t xml:space="preserve">apstākli, ka pieteicēja apguvusi tikai pamatapmācības kursu, kā </w:t>
      </w:r>
      <w:r w:rsidR="002C200E" w:rsidRPr="002A657E">
        <w:t xml:space="preserve">arī </w:t>
      </w:r>
      <w:r w:rsidR="0002561B" w:rsidRPr="002A657E">
        <w:t>to</w:t>
      </w:r>
      <w:r w:rsidR="00AE633E" w:rsidRPr="002A657E">
        <w:t>, ka atbilstoši ministrijas paskaidrojumiem pieteicēju viņas veselības stā</w:t>
      </w:r>
      <w:r w:rsidR="008B33BD" w:rsidRPr="002A657E">
        <w:t>v</w:t>
      </w:r>
      <w:r w:rsidR="00AE633E" w:rsidRPr="002A657E">
        <w:t>okļa dēļ nav paredzēts iesa</w:t>
      </w:r>
      <w:r w:rsidR="008B33BD" w:rsidRPr="002A657E">
        <w:t>i</w:t>
      </w:r>
      <w:r w:rsidR="00AE633E" w:rsidRPr="002A657E">
        <w:t>stīt mācībās</w:t>
      </w:r>
      <w:r w:rsidR="00DA76E3" w:rsidRPr="002A657E">
        <w:t xml:space="preserve"> un pieteicējas gadījums ir pirmais, kad persona atsakās </w:t>
      </w:r>
      <w:r w:rsidR="00DA76E3" w:rsidRPr="002A657E">
        <w:rPr>
          <w:lang w:eastAsia="zh-TW"/>
        </w:rPr>
        <w:t>būt rezervē uzskatu vai pārliecības dēļ</w:t>
      </w:r>
      <w:r w:rsidR="00AE633E" w:rsidRPr="002A657E">
        <w:t>.</w:t>
      </w:r>
      <w:r w:rsidR="00463DA0" w:rsidRPr="002A657E">
        <w:t xml:space="preserve"> Tiesa arī secināja, ka atbilstoši </w:t>
      </w:r>
      <w:r w:rsidR="00463DA0" w:rsidRPr="002A657E">
        <w:rPr>
          <w:lang w:eastAsia="zh-TW"/>
        </w:rPr>
        <w:t xml:space="preserve">Militārā </w:t>
      </w:r>
      <w:r w:rsidR="00463DA0" w:rsidRPr="002A657E">
        <w:rPr>
          <w:lang w:eastAsia="zh-TW"/>
        </w:rPr>
        <w:lastRenderedPageBreak/>
        <w:t>dienesta likuma 63.panta trešās daļas 2.punktam rezervistos sievietes ieskaita tikai tad, ja viņas izsaka šādu vēlmi.</w:t>
      </w:r>
    </w:p>
    <w:p w14:paraId="57B6C61E" w14:textId="77777777" w:rsidR="00180127" w:rsidRPr="002A657E" w:rsidRDefault="00180127" w:rsidP="002A657E">
      <w:pPr>
        <w:spacing w:line="276" w:lineRule="auto"/>
        <w:ind w:firstLine="567"/>
        <w:jc w:val="both"/>
      </w:pPr>
    </w:p>
    <w:p w14:paraId="1FE6BB74" w14:textId="26549A49" w:rsidR="00F8013B" w:rsidRPr="002A657E" w:rsidRDefault="00180127" w:rsidP="002A657E">
      <w:pPr>
        <w:spacing w:line="276" w:lineRule="auto"/>
        <w:ind w:firstLine="567"/>
        <w:jc w:val="both"/>
        <w:rPr>
          <w:lang w:eastAsia="zh-TW"/>
        </w:rPr>
      </w:pPr>
      <w:r w:rsidRPr="002A657E">
        <w:t xml:space="preserve">[3] Par apgabaltiesas spriedumu </w:t>
      </w:r>
      <w:r w:rsidR="00143829" w:rsidRPr="002A657E">
        <w:t>Aizsardzības ministrija</w:t>
      </w:r>
      <w:r w:rsidRPr="002A657E">
        <w:t xml:space="preserve"> iesniedza kasācijas sūdzību, norādot</w:t>
      </w:r>
      <w:r w:rsidR="00F8013B" w:rsidRPr="002A657E">
        <w:rPr>
          <w:lang w:eastAsia="zh-TW"/>
        </w:rPr>
        <w:t xml:space="preserve"> tālāk minētos argumentus.</w:t>
      </w:r>
    </w:p>
    <w:p w14:paraId="138D8ECD" w14:textId="044F0F87" w:rsidR="005F133C" w:rsidRPr="002A657E" w:rsidRDefault="00973AEA" w:rsidP="002A657E">
      <w:pPr>
        <w:spacing w:line="276" w:lineRule="auto"/>
        <w:ind w:firstLine="567"/>
        <w:jc w:val="both"/>
        <w:rPr>
          <w:lang w:eastAsia="zh-TW"/>
        </w:rPr>
      </w:pPr>
      <w:r w:rsidRPr="002A657E">
        <w:rPr>
          <w:lang w:eastAsia="zh-TW"/>
        </w:rPr>
        <w:t>[3.1] </w:t>
      </w:r>
      <w:r w:rsidR="00F8013B" w:rsidRPr="002A657E">
        <w:t>M</w:t>
      </w:r>
      <w:r w:rsidR="00F8013B" w:rsidRPr="002A657E">
        <w:rPr>
          <w:lang w:eastAsia="zh-TW"/>
        </w:rPr>
        <w:t>iera laikā rezerves karavīrs piedal</w:t>
      </w:r>
      <w:r w:rsidR="00751667" w:rsidRPr="002A657E">
        <w:rPr>
          <w:lang w:eastAsia="zh-TW"/>
        </w:rPr>
        <w:t>ās</w:t>
      </w:r>
      <w:r w:rsidR="00F8013B" w:rsidRPr="002A657E">
        <w:rPr>
          <w:lang w:eastAsia="zh-TW"/>
        </w:rPr>
        <w:t xml:space="preserve"> mācībās, lai </w:t>
      </w:r>
      <w:r w:rsidR="00F8013B" w:rsidRPr="002A657E">
        <w:t>atjaunotu iemaņas un zināšanas.</w:t>
      </w:r>
      <w:r w:rsidR="00F8013B" w:rsidRPr="002A657E">
        <w:rPr>
          <w:lang w:eastAsia="zh-TW"/>
        </w:rPr>
        <w:t xml:space="preserve"> Uz medicīnisko pārbaudi karavīram jāierodas, ja viņš ir iesaukts uz mācībām. Militārā dienesta likuma </w:t>
      </w:r>
      <w:proofErr w:type="gramStart"/>
      <w:r w:rsidR="00F8013B" w:rsidRPr="002A657E">
        <w:rPr>
          <w:lang w:eastAsia="zh-TW"/>
        </w:rPr>
        <w:t>66.panta</w:t>
      </w:r>
      <w:proofErr w:type="gramEnd"/>
      <w:r w:rsidR="00F8013B" w:rsidRPr="002A657E">
        <w:rPr>
          <w:lang w:eastAsia="zh-TW"/>
        </w:rPr>
        <w:t xml:space="preserve"> ceturtā daļa nosaka, ka </w:t>
      </w:r>
      <w:r w:rsidR="00F8013B" w:rsidRPr="002A657E">
        <w:rPr>
          <w:iCs/>
          <w:lang w:eastAsia="zh-TW"/>
        </w:rPr>
        <w:t>intervāls</w:t>
      </w:r>
      <w:r w:rsidR="003E7727" w:rsidRPr="002A657E">
        <w:rPr>
          <w:iCs/>
          <w:lang w:eastAsia="zh-TW"/>
        </w:rPr>
        <w:t xml:space="preserve"> </w:t>
      </w:r>
      <w:r w:rsidR="00F8013B" w:rsidRPr="002A657E">
        <w:rPr>
          <w:iCs/>
          <w:lang w:eastAsia="zh-TW"/>
        </w:rPr>
        <w:t xml:space="preserve">starp </w:t>
      </w:r>
      <w:r w:rsidR="00085863" w:rsidRPr="002A657E">
        <w:rPr>
          <w:iCs/>
          <w:lang w:eastAsia="zh-TW"/>
        </w:rPr>
        <w:t xml:space="preserve">rezerves karavīru </w:t>
      </w:r>
      <w:r w:rsidR="00F8013B" w:rsidRPr="002A657E">
        <w:rPr>
          <w:iCs/>
          <w:lang w:eastAsia="zh-TW"/>
        </w:rPr>
        <w:t>kārtējām militārajām mācībām</w:t>
      </w:r>
      <w:r w:rsidR="00F8013B" w:rsidRPr="002A657E">
        <w:rPr>
          <w:i/>
          <w:lang w:eastAsia="zh-TW"/>
        </w:rPr>
        <w:t xml:space="preserve"> nav mazāks par četriem gadiem</w:t>
      </w:r>
      <w:r w:rsidR="003E7727" w:rsidRPr="002A657E">
        <w:rPr>
          <w:lang w:eastAsia="zh-TW"/>
        </w:rPr>
        <w:t xml:space="preserve">, kas </w:t>
      </w:r>
      <w:r w:rsidR="00F8013B" w:rsidRPr="002A657E">
        <w:rPr>
          <w:lang w:eastAsia="zh-TW"/>
        </w:rPr>
        <w:t xml:space="preserve">nozīmē ne biežāk </w:t>
      </w:r>
      <w:r w:rsidR="00110D2B" w:rsidRPr="002A657E">
        <w:rPr>
          <w:lang w:eastAsia="zh-TW"/>
        </w:rPr>
        <w:t xml:space="preserve">(nevis </w:t>
      </w:r>
      <w:r w:rsidR="00110D2B" w:rsidRPr="002A657E">
        <w:rPr>
          <w:i/>
          <w:iCs/>
          <w:lang w:eastAsia="zh-TW"/>
        </w:rPr>
        <w:t>ne retāk</w:t>
      </w:r>
      <w:r w:rsidR="00D91D29" w:rsidRPr="002A657E">
        <w:rPr>
          <w:i/>
          <w:iCs/>
          <w:lang w:eastAsia="zh-TW"/>
        </w:rPr>
        <w:t xml:space="preserve">, </w:t>
      </w:r>
      <w:r w:rsidR="00D91D29" w:rsidRPr="002A657E">
        <w:rPr>
          <w:lang w:eastAsia="zh-TW"/>
        </w:rPr>
        <w:t>kā secināja tiesa)</w:t>
      </w:r>
      <w:r w:rsidR="00D91D29" w:rsidRPr="002A657E">
        <w:rPr>
          <w:i/>
          <w:iCs/>
          <w:lang w:eastAsia="zh-TW"/>
        </w:rPr>
        <w:t xml:space="preserve"> </w:t>
      </w:r>
      <w:r w:rsidR="00110D2B" w:rsidRPr="002A657E">
        <w:rPr>
          <w:lang w:eastAsia="zh-TW"/>
        </w:rPr>
        <w:t>kā reizi četros gados</w:t>
      </w:r>
      <w:r w:rsidR="00D91D29" w:rsidRPr="002A657E">
        <w:rPr>
          <w:lang w:eastAsia="zh-TW"/>
        </w:rPr>
        <w:t>,</w:t>
      </w:r>
      <w:r w:rsidR="00110D2B" w:rsidRPr="002A657E">
        <w:rPr>
          <w:lang w:eastAsia="zh-TW"/>
        </w:rPr>
        <w:t xml:space="preserve"> </w:t>
      </w:r>
      <w:r w:rsidR="00F8013B" w:rsidRPr="002A657E">
        <w:rPr>
          <w:lang w:eastAsia="zh-TW"/>
        </w:rPr>
        <w:t>vai arī neiesauc vispār kād</w:t>
      </w:r>
      <w:r w:rsidR="005A52DB" w:rsidRPr="002A657E">
        <w:rPr>
          <w:lang w:eastAsia="zh-TW"/>
        </w:rPr>
        <w:t>a</w:t>
      </w:r>
      <w:r w:rsidR="006102FC" w:rsidRPr="002A657E">
        <w:rPr>
          <w:lang w:eastAsia="zh-TW"/>
        </w:rPr>
        <w:t xml:space="preserve"> </w:t>
      </w:r>
      <w:r w:rsidR="00D91D29" w:rsidRPr="002A657E">
        <w:rPr>
          <w:lang w:eastAsia="zh-TW"/>
        </w:rPr>
        <w:t>66.</w:t>
      </w:r>
      <w:r w:rsidR="00F8013B" w:rsidRPr="002A657E">
        <w:rPr>
          <w:lang w:eastAsia="zh-TW"/>
        </w:rPr>
        <w:t>panta astotajā daļā paredzēt</w:t>
      </w:r>
      <w:r w:rsidR="005A52DB" w:rsidRPr="002A657E">
        <w:rPr>
          <w:lang w:eastAsia="zh-TW"/>
        </w:rPr>
        <w:t>ā</w:t>
      </w:r>
      <w:r w:rsidR="00F8013B" w:rsidRPr="002A657E">
        <w:rPr>
          <w:lang w:eastAsia="zh-TW"/>
        </w:rPr>
        <w:t xml:space="preserve"> apstākļ</w:t>
      </w:r>
      <w:r w:rsidR="005A52DB" w:rsidRPr="002A657E">
        <w:rPr>
          <w:lang w:eastAsia="zh-TW"/>
        </w:rPr>
        <w:t>a dēļ</w:t>
      </w:r>
      <w:r w:rsidR="00F8013B" w:rsidRPr="002A657E">
        <w:rPr>
          <w:lang w:eastAsia="zh-TW"/>
        </w:rPr>
        <w:t>. Ja rezerves karavīrs veselības stāvok</w:t>
      </w:r>
      <w:r w:rsidR="005A52DB" w:rsidRPr="002A657E">
        <w:rPr>
          <w:lang w:eastAsia="zh-TW"/>
        </w:rPr>
        <w:t>ļa dēļ</w:t>
      </w:r>
      <w:r w:rsidR="00F8013B" w:rsidRPr="002A657E">
        <w:rPr>
          <w:lang w:eastAsia="zh-TW"/>
        </w:rPr>
        <w:t xml:space="preserve"> netiek iesaukts uz mācībām, </w:t>
      </w:r>
      <w:r w:rsidR="003E7727" w:rsidRPr="002A657E">
        <w:rPr>
          <w:lang w:eastAsia="zh-TW"/>
        </w:rPr>
        <w:t>viņam</w:t>
      </w:r>
      <w:r w:rsidR="00F8013B" w:rsidRPr="002A657E">
        <w:rPr>
          <w:lang w:eastAsia="zh-TW"/>
        </w:rPr>
        <w:t xml:space="preserve"> </w:t>
      </w:r>
      <w:r w:rsidR="00D91D29" w:rsidRPr="002A657E">
        <w:rPr>
          <w:lang w:eastAsia="zh-TW"/>
        </w:rPr>
        <w:t>nav</w:t>
      </w:r>
      <w:r w:rsidR="00F8013B" w:rsidRPr="002A657E">
        <w:rPr>
          <w:lang w:eastAsia="zh-TW"/>
        </w:rPr>
        <w:t xml:space="preserve"> pienākum</w:t>
      </w:r>
      <w:r w:rsidR="00D91D29" w:rsidRPr="002A657E">
        <w:rPr>
          <w:lang w:eastAsia="zh-TW"/>
        </w:rPr>
        <w:t>u</w:t>
      </w:r>
      <w:r w:rsidR="00F8013B" w:rsidRPr="002A657E">
        <w:rPr>
          <w:lang w:eastAsia="zh-TW"/>
        </w:rPr>
        <w:t xml:space="preserve">, par kuru nepildīšanu </w:t>
      </w:r>
      <w:r w:rsidR="00C67E91" w:rsidRPr="002A657E">
        <w:rPr>
          <w:lang w:eastAsia="zh-TW"/>
        </w:rPr>
        <w:t>iestājas</w:t>
      </w:r>
      <w:r w:rsidR="00F8013B" w:rsidRPr="002A657E">
        <w:rPr>
          <w:lang w:eastAsia="zh-TW"/>
        </w:rPr>
        <w:t xml:space="preserve"> atbildība. </w:t>
      </w:r>
      <w:r w:rsidR="006D0785" w:rsidRPr="002A657E">
        <w:rPr>
          <w:lang w:eastAsia="zh-TW"/>
        </w:rPr>
        <w:t>No r</w:t>
      </w:r>
      <w:r w:rsidR="00F8013B" w:rsidRPr="002A657E">
        <w:rPr>
          <w:lang w:eastAsia="zh-TW"/>
        </w:rPr>
        <w:t>ezerves karavīru uzskaites reģistr</w:t>
      </w:r>
      <w:r w:rsidR="006D0785" w:rsidRPr="002A657E">
        <w:rPr>
          <w:lang w:eastAsia="zh-TW"/>
        </w:rPr>
        <w:t>a izriet, ka</w:t>
      </w:r>
      <w:r w:rsidR="00F8013B" w:rsidRPr="002A657E">
        <w:rPr>
          <w:lang w:eastAsia="zh-TW"/>
        </w:rPr>
        <w:t xml:space="preserve"> pieteicēja nav derīga dienestam miera laikā, dienestam mobilizācijas gadījumā derīga ierobežoti</w:t>
      </w:r>
      <w:r w:rsidR="00085863" w:rsidRPr="002A657E">
        <w:rPr>
          <w:lang w:eastAsia="zh-TW"/>
        </w:rPr>
        <w:t>, t</w:t>
      </w:r>
      <w:r w:rsidR="006D0785" w:rsidRPr="002A657E">
        <w:rPr>
          <w:lang w:eastAsia="zh-TW"/>
        </w:rPr>
        <w:t xml:space="preserve">ātad </w:t>
      </w:r>
      <w:r w:rsidR="00751667" w:rsidRPr="002A657E">
        <w:rPr>
          <w:lang w:eastAsia="zh-TW"/>
        </w:rPr>
        <w:t>viņas</w:t>
      </w:r>
      <w:r w:rsidR="00F8013B" w:rsidRPr="002A657E">
        <w:rPr>
          <w:lang w:eastAsia="zh-TW"/>
        </w:rPr>
        <w:t xml:space="preserve"> tiesību ierobežojums ir samazināts līdz minimumam. </w:t>
      </w:r>
      <w:r w:rsidR="00C11EE5" w:rsidRPr="002A657E">
        <w:rPr>
          <w:lang w:eastAsia="zh-TW"/>
        </w:rPr>
        <w:t>Š</w:t>
      </w:r>
      <w:r w:rsidR="006D0785" w:rsidRPr="002A657E">
        <w:rPr>
          <w:lang w:eastAsia="zh-TW"/>
        </w:rPr>
        <w:t xml:space="preserve">is </w:t>
      </w:r>
      <w:r w:rsidR="00F8013B" w:rsidRPr="002A657E">
        <w:rPr>
          <w:lang w:eastAsia="zh-TW"/>
        </w:rPr>
        <w:t xml:space="preserve">apstāklis ir būtisks, vērtējot tiesību ierobežojuma smagumu, </w:t>
      </w:r>
      <w:r w:rsidR="006D0785" w:rsidRPr="002A657E">
        <w:rPr>
          <w:lang w:eastAsia="zh-TW"/>
        </w:rPr>
        <w:t xml:space="preserve">bet </w:t>
      </w:r>
      <w:r w:rsidR="00F8013B" w:rsidRPr="002A657E">
        <w:rPr>
          <w:lang w:eastAsia="zh-TW"/>
        </w:rPr>
        <w:t>t</w:t>
      </w:r>
      <w:r w:rsidR="00C11EE5" w:rsidRPr="002A657E">
        <w:rPr>
          <w:lang w:eastAsia="zh-TW"/>
        </w:rPr>
        <w:t>iesa</w:t>
      </w:r>
      <w:r w:rsidR="00F8013B" w:rsidRPr="002A657E">
        <w:rPr>
          <w:lang w:eastAsia="zh-TW"/>
        </w:rPr>
        <w:t xml:space="preserve"> </w:t>
      </w:r>
      <w:r w:rsidR="00D91D29" w:rsidRPr="002A657E">
        <w:rPr>
          <w:lang w:eastAsia="zh-TW"/>
        </w:rPr>
        <w:t xml:space="preserve">tam </w:t>
      </w:r>
      <w:r w:rsidR="00C11EE5" w:rsidRPr="002A657E">
        <w:rPr>
          <w:lang w:eastAsia="zh-TW"/>
        </w:rPr>
        <w:t>ne</w:t>
      </w:r>
      <w:r w:rsidR="00F8013B" w:rsidRPr="002A657E">
        <w:rPr>
          <w:lang w:eastAsia="zh-TW"/>
        </w:rPr>
        <w:t>pievērsa pietiekam</w:t>
      </w:r>
      <w:r w:rsidR="00C11EE5" w:rsidRPr="002A657E">
        <w:rPr>
          <w:lang w:eastAsia="zh-TW"/>
        </w:rPr>
        <w:t>u</w:t>
      </w:r>
      <w:r w:rsidR="00F8013B" w:rsidRPr="002A657E">
        <w:rPr>
          <w:lang w:eastAsia="zh-TW"/>
        </w:rPr>
        <w:t xml:space="preserve"> uzmanīb</w:t>
      </w:r>
      <w:r w:rsidR="00C11EE5" w:rsidRPr="002A657E">
        <w:rPr>
          <w:lang w:eastAsia="zh-TW"/>
        </w:rPr>
        <w:t>u</w:t>
      </w:r>
      <w:r w:rsidR="00F8013B" w:rsidRPr="002A657E">
        <w:rPr>
          <w:lang w:eastAsia="zh-TW"/>
        </w:rPr>
        <w:t>.</w:t>
      </w:r>
    </w:p>
    <w:p w14:paraId="6D25DCCD" w14:textId="19DC6A88" w:rsidR="00DA76E3" w:rsidRPr="002A657E" w:rsidRDefault="00973AEA" w:rsidP="002A657E">
      <w:pPr>
        <w:spacing w:line="276" w:lineRule="auto"/>
        <w:ind w:firstLine="567"/>
        <w:jc w:val="both"/>
        <w:rPr>
          <w:lang w:eastAsia="zh-TW"/>
        </w:rPr>
      </w:pPr>
      <w:r w:rsidRPr="002A657E">
        <w:rPr>
          <w:lang w:eastAsia="zh-TW"/>
        </w:rPr>
        <w:t>[3.2] </w:t>
      </w:r>
      <w:r w:rsidR="006D0785" w:rsidRPr="002A657E">
        <w:rPr>
          <w:lang w:eastAsia="zh-TW"/>
        </w:rPr>
        <w:t xml:space="preserve">Vērtējot leģitīmo mērķi (nodrošināt valsts aizsardzībai un nacionālās drošības garantēšanai nepieciešamos cilvēkresursus) un personas pamattiesību ierobežojumu, </w:t>
      </w:r>
      <w:r w:rsidR="005F133C" w:rsidRPr="002A657E">
        <w:rPr>
          <w:lang w:eastAsia="zh-TW"/>
        </w:rPr>
        <w:t>t</w:t>
      </w:r>
      <w:r w:rsidR="006D0785" w:rsidRPr="002A657E">
        <w:rPr>
          <w:lang w:eastAsia="zh-TW"/>
        </w:rPr>
        <w:t xml:space="preserve">iesa ir </w:t>
      </w:r>
      <w:r w:rsidR="00C67E91" w:rsidRPr="002A657E">
        <w:rPr>
          <w:lang w:eastAsia="zh-TW"/>
        </w:rPr>
        <w:t>ņēmusi vērā</w:t>
      </w:r>
      <w:r w:rsidR="006D0785" w:rsidRPr="002A657E">
        <w:rPr>
          <w:lang w:eastAsia="zh-TW"/>
        </w:rPr>
        <w:t xml:space="preserve"> cilvēkresursu </w:t>
      </w:r>
      <w:r w:rsidR="00C67E91" w:rsidRPr="002A657E">
        <w:rPr>
          <w:lang w:eastAsia="zh-TW"/>
        </w:rPr>
        <w:t>skaitu</w:t>
      </w:r>
      <w:r w:rsidR="006D0785" w:rsidRPr="002A657E">
        <w:rPr>
          <w:lang w:eastAsia="zh-TW"/>
        </w:rPr>
        <w:t xml:space="preserve"> miera laikā</w:t>
      </w:r>
      <w:r w:rsidR="00C11EE5" w:rsidRPr="002A657E">
        <w:rPr>
          <w:lang w:eastAsia="zh-TW"/>
        </w:rPr>
        <w:t>, taču</w:t>
      </w:r>
      <w:r w:rsidR="006D0785" w:rsidRPr="002A657E">
        <w:rPr>
          <w:lang w:eastAsia="zh-TW"/>
        </w:rPr>
        <w:t xml:space="preserve"> kara (krīzes) situācijā var </w:t>
      </w:r>
      <w:r w:rsidR="0021712D" w:rsidRPr="002A657E">
        <w:rPr>
          <w:lang w:eastAsia="zh-TW"/>
        </w:rPr>
        <w:t xml:space="preserve">būt vajadzība pēc lielāka </w:t>
      </w:r>
      <w:r w:rsidR="006102FC" w:rsidRPr="002A657E">
        <w:rPr>
          <w:lang w:eastAsia="zh-TW"/>
        </w:rPr>
        <w:t xml:space="preserve">cilvēku </w:t>
      </w:r>
      <w:r w:rsidR="0021712D" w:rsidRPr="002A657E">
        <w:rPr>
          <w:lang w:eastAsia="zh-TW"/>
        </w:rPr>
        <w:t>skaita</w:t>
      </w:r>
      <w:r w:rsidR="006D0785" w:rsidRPr="002A657E">
        <w:rPr>
          <w:lang w:eastAsia="zh-TW"/>
        </w:rPr>
        <w:t xml:space="preserve">. </w:t>
      </w:r>
      <w:r w:rsidR="0021712D" w:rsidRPr="002A657E">
        <w:rPr>
          <w:lang w:eastAsia="zh-TW"/>
        </w:rPr>
        <w:t>S</w:t>
      </w:r>
      <w:r w:rsidR="006D0785" w:rsidRPr="002A657E">
        <w:rPr>
          <w:lang w:eastAsia="zh-TW"/>
        </w:rPr>
        <w:t>limīb</w:t>
      </w:r>
      <w:r w:rsidR="0021712D" w:rsidRPr="002A657E">
        <w:rPr>
          <w:lang w:eastAsia="zh-TW"/>
        </w:rPr>
        <w:t>as</w:t>
      </w:r>
      <w:r w:rsidR="006D0785" w:rsidRPr="002A657E">
        <w:rPr>
          <w:lang w:eastAsia="zh-TW"/>
        </w:rPr>
        <w:t>, ievainojum</w:t>
      </w:r>
      <w:r w:rsidR="0021712D" w:rsidRPr="002A657E">
        <w:rPr>
          <w:lang w:eastAsia="zh-TW"/>
        </w:rPr>
        <w:t>i</w:t>
      </w:r>
      <w:r w:rsidR="006D0785" w:rsidRPr="002A657E">
        <w:rPr>
          <w:lang w:eastAsia="zh-TW"/>
        </w:rPr>
        <w:t xml:space="preserve"> vai cit</w:t>
      </w:r>
      <w:r w:rsidR="00A574B3" w:rsidRPr="002A657E">
        <w:rPr>
          <w:lang w:eastAsia="zh-TW"/>
        </w:rPr>
        <w:t>i</w:t>
      </w:r>
      <w:r w:rsidR="006D0785" w:rsidRPr="002A657E">
        <w:rPr>
          <w:lang w:eastAsia="zh-TW"/>
        </w:rPr>
        <w:t xml:space="preserve"> iemesl</w:t>
      </w:r>
      <w:r w:rsidR="0021712D" w:rsidRPr="002A657E">
        <w:rPr>
          <w:lang w:eastAsia="zh-TW"/>
        </w:rPr>
        <w:t>i</w:t>
      </w:r>
      <w:r w:rsidR="006D0785" w:rsidRPr="002A657E">
        <w:rPr>
          <w:lang w:eastAsia="zh-TW"/>
        </w:rPr>
        <w:t xml:space="preserve"> un apdraudējuma intensitātes pieaugums var </w:t>
      </w:r>
      <w:r w:rsidR="00E628D1" w:rsidRPr="002A657E">
        <w:rPr>
          <w:lang w:eastAsia="zh-TW"/>
        </w:rPr>
        <w:t>radīt</w:t>
      </w:r>
      <w:r w:rsidR="006D0785" w:rsidRPr="002A657E">
        <w:rPr>
          <w:lang w:eastAsia="zh-TW"/>
        </w:rPr>
        <w:t xml:space="preserve"> personāla trūkum</w:t>
      </w:r>
      <w:r w:rsidR="00E628D1" w:rsidRPr="002A657E">
        <w:rPr>
          <w:lang w:eastAsia="zh-TW"/>
        </w:rPr>
        <w:t>u</w:t>
      </w:r>
      <w:r w:rsidR="006D0785" w:rsidRPr="002A657E">
        <w:rPr>
          <w:lang w:eastAsia="zh-TW"/>
        </w:rPr>
        <w:t xml:space="preserve">. </w:t>
      </w:r>
      <w:r w:rsidR="00C92DEE" w:rsidRPr="002A657E">
        <w:rPr>
          <w:lang w:eastAsia="zh-TW"/>
        </w:rPr>
        <w:t>Tāpēc</w:t>
      </w:r>
      <w:r w:rsidR="006D0785" w:rsidRPr="002A657E">
        <w:rPr>
          <w:lang w:eastAsia="zh-TW"/>
        </w:rPr>
        <w:t xml:space="preserve"> personu grupas atbrīvošana no pienākuma aizsargāt valsti var negatīvi ietekmēt valsts aizsardzības spējas</w:t>
      </w:r>
      <w:r w:rsidR="00A07FBF" w:rsidRPr="002A657E">
        <w:rPr>
          <w:lang w:eastAsia="zh-TW"/>
        </w:rPr>
        <w:t xml:space="preserve"> un nav maznozīmīga</w:t>
      </w:r>
      <w:r w:rsidR="006D0785" w:rsidRPr="002A657E">
        <w:rPr>
          <w:lang w:eastAsia="zh-TW"/>
        </w:rPr>
        <w:t xml:space="preserve">. </w:t>
      </w:r>
      <w:r w:rsidR="00C92DEE" w:rsidRPr="002A657E">
        <w:rPr>
          <w:lang w:eastAsia="zh-TW"/>
        </w:rPr>
        <w:t>Tam</w:t>
      </w:r>
      <w:r w:rsidR="006D0785" w:rsidRPr="002A657E">
        <w:rPr>
          <w:lang w:eastAsia="zh-TW"/>
        </w:rPr>
        <w:t xml:space="preserve"> ir būtiska nozīme, vērtējot pieteicējas tiesību ierobežojuma samērīgumu, </w:t>
      </w:r>
      <w:r w:rsidR="00A07FBF" w:rsidRPr="002A657E">
        <w:rPr>
          <w:lang w:eastAsia="zh-TW"/>
        </w:rPr>
        <w:t>kam</w:t>
      </w:r>
      <w:r w:rsidR="006D0785" w:rsidRPr="002A657E">
        <w:rPr>
          <w:lang w:eastAsia="zh-TW"/>
        </w:rPr>
        <w:t xml:space="preserve"> </w:t>
      </w:r>
      <w:r w:rsidR="005F133C" w:rsidRPr="002A657E">
        <w:rPr>
          <w:lang w:eastAsia="zh-TW"/>
        </w:rPr>
        <w:t>t</w:t>
      </w:r>
      <w:r w:rsidR="006D0785" w:rsidRPr="002A657E">
        <w:rPr>
          <w:lang w:eastAsia="zh-TW"/>
        </w:rPr>
        <w:t xml:space="preserve">iesa nav pievērsusi uzmanību. </w:t>
      </w:r>
      <w:r w:rsidR="0021712D" w:rsidRPr="002A657E">
        <w:rPr>
          <w:lang w:eastAsia="zh-TW"/>
        </w:rPr>
        <w:t>K</w:t>
      </w:r>
      <w:r w:rsidR="006D0785" w:rsidRPr="002A657E">
        <w:rPr>
          <w:lang w:eastAsia="zh-TW"/>
        </w:rPr>
        <w:t>ar</w:t>
      </w:r>
      <w:r w:rsidR="0021712D" w:rsidRPr="002A657E">
        <w:rPr>
          <w:lang w:eastAsia="zh-TW"/>
        </w:rPr>
        <w:t>a</w:t>
      </w:r>
      <w:r w:rsidR="006D0785" w:rsidRPr="002A657E">
        <w:rPr>
          <w:lang w:eastAsia="zh-TW"/>
        </w:rPr>
        <w:t>, īpaš</w:t>
      </w:r>
      <w:r w:rsidR="0021712D" w:rsidRPr="002A657E">
        <w:rPr>
          <w:lang w:eastAsia="zh-TW"/>
        </w:rPr>
        <w:t>ā</w:t>
      </w:r>
      <w:r w:rsidR="006D0785" w:rsidRPr="002A657E">
        <w:rPr>
          <w:lang w:eastAsia="zh-TW"/>
        </w:rPr>
        <w:t xml:space="preserve"> tiesisk</w:t>
      </w:r>
      <w:r w:rsidR="0021712D" w:rsidRPr="002A657E">
        <w:rPr>
          <w:lang w:eastAsia="zh-TW"/>
        </w:rPr>
        <w:t>ā</w:t>
      </w:r>
      <w:r w:rsidR="006D0785" w:rsidRPr="002A657E">
        <w:rPr>
          <w:lang w:eastAsia="zh-TW"/>
        </w:rPr>
        <w:t xml:space="preserve"> režīm</w:t>
      </w:r>
      <w:r w:rsidR="0021712D" w:rsidRPr="002A657E">
        <w:rPr>
          <w:lang w:eastAsia="zh-TW"/>
        </w:rPr>
        <w:t>a</w:t>
      </w:r>
      <w:r w:rsidR="006D0785" w:rsidRPr="002A657E">
        <w:rPr>
          <w:lang w:eastAsia="zh-TW"/>
        </w:rPr>
        <w:t>, mobilizācija</w:t>
      </w:r>
      <w:r w:rsidR="0021712D" w:rsidRPr="002A657E">
        <w:rPr>
          <w:lang w:eastAsia="zh-TW"/>
        </w:rPr>
        <w:t>s</w:t>
      </w:r>
      <w:r w:rsidR="006D0785" w:rsidRPr="002A657E">
        <w:rPr>
          <w:lang w:eastAsia="zh-TW"/>
        </w:rPr>
        <w:t xml:space="preserve"> u.c.</w:t>
      </w:r>
      <w:r w:rsidR="0021712D" w:rsidRPr="002A657E">
        <w:rPr>
          <w:lang w:eastAsia="zh-TW"/>
        </w:rPr>
        <w:t xml:space="preserve"> apstākļos</w:t>
      </w:r>
      <w:r w:rsidR="006D0785" w:rsidRPr="002A657E">
        <w:rPr>
          <w:lang w:eastAsia="zh-TW"/>
        </w:rPr>
        <w:t xml:space="preserve"> militārajā dienestā var iesaukt arī rezervist</w:t>
      </w:r>
      <w:r w:rsidR="00A257B0" w:rsidRPr="002A657E">
        <w:rPr>
          <w:lang w:eastAsia="zh-TW"/>
        </w:rPr>
        <w:t>us</w:t>
      </w:r>
      <w:r w:rsidR="006D0785" w:rsidRPr="002A657E">
        <w:rPr>
          <w:lang w:eastAsia="zh-TW"/>
        </w:rPr>
        <w:t>, kuriem</w:t>
      </w:r>
      <w:r w:rsidR="00A97B00" w:rsidRPr="002A657E">
        <w:rPr>
          <w:lang w:eastAsia="zh-TW"/>
        </w:rPr>
        <w:t>,</w:t>
      </w:r>
      <w:r w:rsidR="006D0785" w:rsidRPr="002A657E">
        <w:rPr>
          <w:lang w:eastAsia="zh-TW"/>
        </w:rPr>
        <w:t xml:space="preserve"> atšķirībā no pieteicējas, nav militārās sagatavotības</w:t>
      </w:r>
      <w:r w:rsidR="00A257B0" w:rsidRPr="002A657E">
        <w:rPr>
          <w:lang w:eastAsia="zh-TW"/>
        </w:rPr>
        <w:t xml:space="preserve">. </w:t>
      </w:r>
      <w:r w:rsidR="00E628D1" w:rsidRPr="002A657E">
        <w:rPr>
          <w:lang w:eastAsia="zh-TW"/>
        </w:rPr>
        <w:t>M</w:t>
      </w:r>
      <w:r w:rsidR="006D0785" w:rsidRPr="002A657E">
        <w:rPr>
          <w:lang w:eastAsia="zh-TW"/>
        </w:rPr>
        <w:t>ilitārās sagatavotības līmeņa uzturēšan</w:t>
      </w:r>
      <w:r w:rsidR="00E628D1" w:rsidRPr="002A657E">
        <w:rPr>
          <w:lang w:eastAsia="zh-TW"/>
        </w:rPr>
        <w:t>a nav noteicošā</w:t>
      </w:r>
      <w:r w:rsidR="006D0785" w:rsidRPr="002A657E">
        <w:rPr>
          <w:lang w:eastAsia="zh-TW"/>
        </w:rPr>
        <w:t>.</w:t>
      </w:r>
      <w:r w:rsidR="0002561B" w:rsidRPr="002A657E">
        <w:rPr>
          <w:lang w:eastAsia="zh-TW"/>
        </w:rPr>
        <w:t xml:space="preserve"> </w:t>
      </w:r>
      <w:r w:rsidR="00463DA0" w:rsidRPr="002A657E">
        <w:rPr>
          <w:lang w:eastAsia="zh-TW"/>
        </w:rPr>
        <w:t xml:space="preserve">Tiesa nepamatoti atsaukusies uz </w:t>
      </w:r>
      <w:r w:rsidR="006D0785" w:rsidRPr="002A657E">
        <w:rPr>
          <w:lang w:eastAsia="zh-TW"/>
        </w:rPr>
        <w:t xml:space="preserve">Militārā dienesta likuma </w:t>
      </w:r>
      <w:proofErr w:type="gramStart"/>
      <w:r w:rsidR="006D0785" w:rsidRPr="002A657E">
        <w:rPr>
          <w:lang w:eastAsia="zh-TW"/>
        </w:rPr>
        <w:t>63.panta</w:t>
      </w:r>
      <w:proofErr w:type="gramEnd"/>
      <w:r w:rsidR="00270DA0" w:rsidRPr="002A657E">
        <w:rPr>
          <w:lang w:eastAsia="zh-TW"/>
        </w:rPr>
        <w:t xml:space="preserve"> trešās daļas 2</w:t>
      </w:r>
      <w:r w:rsidR="006D0785" w:rsidRPr="002A657E">
        <w:rPr>
          <w:lang w:eastAsia="zh-TW"/>
        </w:rPr>
        <w:t>.punkt</w:t>
      </w:r>
      <w:r w:rsidR="00463DA0" w:rsidRPr="002A657E">
        <w:rPr>
          <w:lang w:eastAsia="zh-TW"/>
        </w:rPr>
        <w:t xml:space="preserve">u, </w:t>
      </w:r>
      <w:r w:rsidR="00A07FBF" w:rsidRPr="002A657E">
        <w:rPr>
          <w:lang w:eastAsia="zh-TW"/>
        </w:rPr>
        <w:t>kurš</w:t>
      </w:r>
      <w:r w:rsidR="00463DA0" w:rsidRPr="002A657E">
        <w:rPr>
          <w:lang w:eastAsia="zh-TW"/>
        </w:rPr>
        <w:t xml:space="preserve"> </w:t>
      </w:r>
      <w:r w:rsidR="006D0785" w:rsidRPr="002A657E">
        <w:rPr>
          <w:lang w:eastAsia="zh-TW"/>
        </w:rPr>
        <w:t xml:space="preserve">līdz 2017.gada 12.decembrim noteica, ka rezervē ieskaita sievietes, kas izsaka šādu vēlmi </w:t>
      </w:r>
      <w:r w:rsidR="006D0785" w:rsidRPr="002A657E">
        <w:rPr>
          <w:i/>
          <w:iCs/>
          <w:lang w:eastAsia="zh-TW"/>
        </w:rPr>
        <w:t>vai ir apguvušas speciālu militārās apmācības kursu</w:t>
      </w:r>
      <w:r w:rsidR="00A35B49" w:rsidRPr="002A657E">
        <w:rPr>
          <w:i/>
          <w:iCs/>
          <w:lang w:eastAsia="zh-TW"/>
        </w:rPr>
        <w:t xml:space="preserve"> </w:t>
      </w:r>
      <w:r w:rsidR="00A35B49" w:rsidRPr="002A657E">
        <w:rPr>
          <w:lang w:eastAsia="zh-TW"/>
        </w:rPr>
        <w:t>[..]</w:t>
      </w:r>
      <w:r w:rsidR="006D0785" w:rsidRPr="002A657E">
        <w:rPr>
          <w:lang w:eastAsia="zh-TW"/>
        </w:rPr>
        <w:t xml:space="preserve">. Ar </w:t>
      </w:r>
      <w:proofErr w:type="gramStart"/>
      <w:r w:rsidR="006D0785" w:rsidRPr="002A657E">
        <w:rPr>
          <w:lang w:eastAsia="zh-TW"/>
        </w:rPr>
        <w:t>2017.gada</w:t>
      </w:r>
      <w:proofErr w:type="gramEnd"/>
      <w:r w:rsidR="006D0785" w:rsidRPr="002A657E">
        <w:rPr>
          <w:lang w:eastAsia="zh-TW"/>
        </w:rPr>
        <w:t xml:space="preserve"> 16.novembra grozījumiem likuma 63.pantā noteikts, ka pilsoņus (arī sievietes), kuri brīvprātīgi pieteikušies dienestam rezervē un sekmīgi apguvuši noteiktu apmācības kursu, ieskaita rezerves karavīros. </w:t>
      </w:r>
    </w:p>
    <w:p w14:paraId="726CA01C" w14:textId="480A3A16" w:rsidR="005C704F" w:rsidRPr="002A657E" w:rsidRDefault="00DA76E3" w:rsidP="002A657E">
      <w:pPr>
        <w:spacing w:line="276" w:lineRule="auto"/>
        <w:ind w:firstLine="567"/>
        <w:jc w:val="both"/>
        <w:rPr>
          <w:lang w:eastAsia="zh-TW"/>
        </w:rPr>
      </w:pPr>
      <w:r w:rsidRPr="002A657E">
        <w:rPr>
          <w:lang w:eastAsia="zh-TW"/>
        </w:rPr>
        <w:t>[3.</w:t>
      </w:r>
      <w:r w:rsidR="0060541A" w:rsidRPr="002A657E">
        <w:rPr>
          <w:lang w:eastAsia="zh-TW"/>
        </w:rPr>
        <w:t>3</w:t>
      </w:r>
      <w:r w:rsidR="00973AEA" w:rsidRPr="002A657E">
        <w:rPr>
          <w:lang w:eastAsia="zh-TW"/>
        </w:rPr>
        <w:t>] </w:t>
      </w:r>
      <w:r w:rsidRPr="002A657E">
        <w:rPr>
          <w:lang w:eastAsia="zh-TW"/>
        </w:rPr>
        <w:t xml:space="preserve">Apstāklis, ka </w:t>
      </w:r>
      <w:r w:rsidR="00B46554" w:rsidRPr="002A657E">
        <w:rPr>
          <w:lang w:eastAsia="zh-TW"/>
        </w:rPr>
        <w:t>šis</w:t>
      </w:r>
      <w:r w:rsidRPr="002A657E">
        <w:rPr>
          <w:lang w:eastAsia="zh-TW"/>
        </w:rPr>
        <w:t xml:space="preserve"> gadījums ir bijis pirmais, kad </w:t>
      </w:r>
      <w:r w:rsidR="00E628D1" w:rsidRPr="002A657E">
        <w:rPr>
          <w:lang w:eastAsia="zh-TW"/>
        </w:rPr>
        <w:t>kāds</w:t>
      </w:r>
      <w:r w:rsidRPr="002A657E">
        <w:rPr>
          <w:lang w:eastAsia="zh-TW"/>
        </w:rPr>
        <w:t xml:space="preserve"> atsakās būt rezervē uzskatu vai pārliecības dēļ, nedod pamatu </w:t>
      </w:r>
      <w:r w:rsidR="00157070" w:rsidRPr="002A657E">
        <w:rPr>
          <w:lang w:eastAsia="zh-TW"/>
        </w:rPr>
        <w:t>to</w:t>
      </w:r>
      <w:r w:rsidRPr="002A657E">
        <w:rPr>
          <w:lang w:eastAsia="zh-TW"/>
        </w:rPr>
        <w:t xml:space="preserve"> uzskatīt par netipisku. </w:t>
      </w:r>
      <w:r w:rsidR="00E628D1" w:rsidRPr="002A657E">
        <w:rPr>
          <w:lang w:eastAsia="zh-TW"/>
        </w:rPr>
        <w:t>O</w:t>
      </w:r>
      <w:r w:rsidRPr="002A657E">
        <w:rPr>
          <w:lang w:eastAsia="zh-TW"/>
        </w:rPr>
        <w:t xml:space="preserve">bligātais militārais dienests sastāvēja no aktīvā militārā dienesta un dienesta rezervē. Tiesa nepamatoti </w:t>
      </w:r>
      <w:r w:rsidR="00282C8F" w:rsidRPr="002A657E">
        <w:rPr>
          <w:lang w:eastAsia="zh-TW"/>
        </w:rPr>
        <w:t xml:space="preserve">uz dienestu rezervē </w:t>
      </w:r>
      <w:r w:rsidRPr="002A657E">
        <w:rPr>
          <w:lang w:eastAsia="zh-TW"/>
        </w:rPr>
        <w:t xml:space="preserve">ir attiecinājusi </w:t>
      </w:r>
      <w:r w:rsidR="00A07FBF" w:rsidRPr="002A657E">
        <w:rPr>
          <w:lang w:eastAsia="zh-TW"/>
        </w:rPr>
        <w:t>šajā</w:t>
      </w:r>
      <w:r w:rsidRPr="002A657E">
        <w:rPr>
          <w:lang w:eastAsia="zh-TW"/>
        </w:rPr>
        <w:t xml:space="preserve"> likum</w:t>
      </w:r>
      <w:r w:rsidR="00C11EE5" w:rsidRPr="002A657E">
        <w:rPr>
          <w:lang w:eastAsia="zh-TW"/>
        </w:rPr>
        <w:t>ā</w:t>
      </w:r>
      <w:r w:rsidRPr="002A657E">
        <w:rPr>
          <w:lang w:eastAsia="zh-TW"/>
        </w:rPr>
        <w:t xml:space="preserve"> paredzēto iespēju personām, kuras pārliecības dēļ nevar pildīt militāro dienestu, </w:t>
      </w:r>
      <w:r w:rsidR="00023A23" w:rsidRPr="002A657E">
        <w:rPr>
          <w:lang w:eastAsia="zh-TW"/>
        </w:rPr>
        <w:t>to</w:t>
      </w:r>
      <w:r w:rsidRPr="002A657E">
        <w:rPr>
          <w:lang w:eastAsia="zh-TW"/>
        </w:rPr>
        <w:t xml:space="preserve"> aizstāt ar alternatīvo dienestu. </w:t>
      </w:r>
      <w:r w:rsidR="00D709A5" w:rsidRPr="002A657E">
        <w:rPr>
          <w:i/>
          <w:iCs/>
          <w:lang w:eastAsia="zh-TW"/>
        </w:rPr>
        <w:t>R</w:t>
      </w:r>
      <w:r w:rsidRPr="002A657E">
        <w:rPr>
          <w:i/>
          <w:iCs/>
          <w:lang w:eastAsia="zh-TW"/>
        </w:rPr>
        <w:t>ezervē</w:t>
      </w:r>
      <w:r w:rsidR="00D709A5" w:rsidRPr="002A657E">
        <w:rPr>
          <w:lang w:eastAsia="zh-TW"/>
        </w:rPr>
        <w:t xml:space="preserve"> </w:t>
      </w:r>
      <w:r w:rsidRPr="002A657E">
        <w:rPr>
          <w:lang w:eastAsia="zh-TW"/>
        </w:rPr>
        <w:t xml:space="preserve">ieskaitīja </w:t>
      </w:r>
      <w:r w:rsidR="001463E2" w:rsidRPr="002A657E">
        <w:rPr>
          <w:lang w:eastAsia="zh-TW"/>
        </w:rPr>
        <w:t>arī</w:t>
      </w:r>
      <w:r w:rsidRPr="002A657E">
        <w:rPr>
          <w:lang w:eastAsia="zh-TW"/>
        </w:rPr>
        <w:t xml:space="preserve"> </w:t>
      </w:r>
      <w:r w:rsidRPr="002A657E">
        <w:rPr>
          <w:i/>
          <w:iCs/>
          <w:lang w:eastAsia="zh-TW"/>
        </w:rPr>
        <w:t xml:space="preserve">pēc alternatīvā </w:t>
      </w:r>
      <w:r w:rsidRPr="002A657E">
        <w:rPr>
          <w:lang w:eastAsia="zh-TW"/>
        </w:rPr>
        <w:t>dienesta beigšanas</w:t>
      </w:r>
      <w:r w:rsidR="00282C8F" w:rsidRPr="002A657E">
        <w:rPr>
          <w:lang w:eastAsia="zh-TW"/>
        </w:rPr>
        <w:t xml:space="preserve"> (</w:t>
      </w:r>
      <w:r w:rsidRPr="002A657E">
        <w:rPr>
          <w:lang w:eastAsia="zh-TW"/>
        </w:rPr>
        <w:t>neatkarīgi no pārliecības</w:t>
      </w:r>
      <w:r w:rsidR="00282C8F" w:rsidRPr="002A657E">
        <w:rPr>
          <w:lang w:eastAsia="zh-TW"/>
        </w:rPr>
        <w:t>)</w:t>
      </w:r>
      <w:r w:rsidRPr="002A657E">
        <w:rPr>
          <w:lang w:eastAsia="zh-TW"/>
        </w:rPr>
        <w:t xml:space="preserve">. </w:t>
      </w:r>
      <w:r w:rsidR="00B46554" w:rsidRPr="002A657E">
        <w:rPr>
          <w:lang w:eastAsia="zh-TW"/>
        </w:rPr>
        <w:t>L</w:t>
      </w:r>
      <w:r w:rsidRPr="002A657E">
        <w:rPr>
          <w:lang w:eastAsia="zh-TW"/>
        </w:rPr>
        <w:t xml:space="preserve">ikumdevējs bija izvērtējis </w:t>
      </w:r>
      <w:r w:rsidR="00A07FBF" w:rsidRPr="002A657E">
        <w:rPr>
          <w:lang w:eastAsia="zh-TW"/>
        </w:rPr>
        <w:t>un</w:t>
      </w:r>
      <w:r w:rsidRPr="002A657E">
        <w:rPr>
          <w:lang w:eastAsia="zh-TW"/>
        </w:rPr>
        <w:t xml:space="preserve"> jau </w:t>
      </w:r>
      <w:proofErr w:type="gramStart"/>
      <w:r w:rsidRPr="002A657E">
        <w:rPr>
          <w:lang w:eastAsia="zh-TW"/>
        </w:rPr>
        <w:t>2000.gadā</w:t>
      </w:r>
      <w:proofErr w:type="gramEnd"/>
      <w:r w:rsidRPr="002A657E">
        <w:rPr>
          <w:lang w:eastAsia="zh-TW"/>
        </w:rPr>
        <w:t xml:space="preserve"> bija secinājis, ka kara (krīzes) apstākļos šāds pamattiesību ierobežojums būtu nepieciešams</w:t>
      </w:r>
      <w:r w:rsidR="00C92DEE" w:rsidRPr="002A657E">
        <w:rPr>
          <w:lang w:eastAsia="zh-TW"/>
        </w:rPr>
        <w:t xml:space="preserve"> </w:t>
      </w:r>
      <w:r w:rsidRPr="002A657E">
        <w:rPr>
          <w:lang w:eastAsia="zh-TW"/>
        </w:rPr>
        <w:t xml:space="preserve">un samērīgs ar sasniedzamo leģitīmo mērķi. </w:t>
      </w:r>
      <w:r w:rsidR="001463E2" w:rsidRPr="002A657E">
        <w:rPr>
          <w:lang w:eastAsia="zh-TW"/>
        </w:rPr>
        <w:t>N</w:t>
      </w:r>
      <w:r w:rsidRPr="002A657E">
        <w:rPr>
          <w:lang w:eastAsia="zh-TW"/>
        </w:rPr>
        <w:t xml:space="preserve">av pamata uzskatīt, ka likumdevējs </w:t>
      </w:r>
      <w:r w:rsidR="001463E2" w:rsidRPr="002A657E">
        <w:rPr>
          <w:lang w:eastAsia="zh-TW"/>
        </w:rPr>
        <w:t>šo jautājumu</w:t>
      </w:r>
      <w:r w:rsidRPr="002A657E">
        <w:rPr>
          <w:lang w:eastAsia="zh-TW"/>
        </w:rPr>
        <w:t xml:space="preserve"> atstāj</w:t>
      </w:r>
      <w:r w:rsidR="001463E2" w:rsidRPr="002A657E">
        <w:rPr>
          <w:lang w:eastAsia="zh-TW"/>
        </w:rPr>
        <w:t>a</w:t>
      </w:r>
      <w:r w:rsidRPr="002A657E">
        <w:rPr>
          <w:lang w:eastAsia="zh-TW"/>
        </w:rPr>
        <w:t xml:space="preserve"> bez ievērības, pieņemot Militārā dienesta likumu</w:t>
      </w:r>
      <w:r w:rsidR="00E36688" w:rsidRPr="002A657E">
        <w:rPr>
          <w:lang w:eastAsia="zh-TW"/>
        </w:rPr>
        <w:t>, vai</w:t>
      </w:r>
      <w:r w:rsidRPr="002A657E">
        <w:rPr>
          <w:lang w:eastAsia="zh-TW"/>
        </w:rPr>
        <w:t xml:space="preserve"> būtu vēlējies militārā dienesta tiesisko regulējumu liberalizēt tiktāl, lai ļautu izbeigt dienesta attiecības bez saistībām, ja militārā dienesta izpilde reliģiskās vai citādās pārliecības dēļ kļuvusi nepieņemama. Pirmkārt, Militārā dienesta likuma </w:t>
      </w:r>
      <w:proofErr w:type="gramStart"/>
      <w:r w:rsidRPr="002A657E">
        <w:rPr>
          <w:lang w:eastAsia="zh-TW"/>
        </w:rPr>
        <w:t>15.panta</w:t>
      </w:r>
      <w:proofErr w:type="gramEnd"/>
      <w:r w:rsidRPr="002A657E">
        <w:rPr>
          <w:lang w:eastAsia="zh-TW"/>
        </w:rPr>
        <w:t xml:space="preserve"> otrajā daļā ir iekļauts aizliegums karavīram atteikties no dienesta pienākumu izpildes reliģisku </w:t>
      </w:r>
      <w:r w:rsidR="001463E2" w:rsidRPr="002A657E">
        <w:rPr>
          <w:lang w:eastAsia="zh-TW"/>
        </w:rPr>
        <w:t xml:space="preserve">(pēc analoģijas - </w:t>
      </w:r>
      <w:proofErr w:type="spellStart"/>
      <w:r w:rsidR="001463E2" w:rsidRPr="002A657E">
        <w:rPr>
          <w:lang w:eastAsia="zh-TW"/>
        </w:rPr>
        <w:t>pacifistisku</w:t>
      </w:r>
      <w:proofErr w:type="spellEnd"/>
      <w:r w:rsidR="001463E2" w:rsidRPr="002A657E">
        <w:rPr>
          <w:lang w:eastAsia="zh-TW"/>
        </w:rPr>
        <w:t xml:space="preserve">) </w:t>
      </w:r>
      <w:r w:rsidRPr="002A657E">
        <w:rPr>
          <w:lang w:eastAsia="zh-TW"/>
        </w:rPr>
        <w:t xml:space="preserve">motīvu dēļ. Otrkārt, Militārā dienesta likuma </w:t>
      </w:r>
      <w:proofErr w:type="gramStart"/>
      <w:r w:rsidRPr="002A657E">
        <w:rPr>
          <w:lang w:eastAsia="zh-TW"/>
        </w:rPr>
        <w:t>43.pants</w:t>
      </w:r>
      <w:proofErr w:type="gramEnd"/>
      <w:r w:rsidRPr="002A657E">
        <w:rPr>
          <w:lang w:eastAsia="zh-TW"/>
        </w:rPr>
        <w:t xml:space="preserve"> neparedz karavīra tiesības vienpusēji izbeigt profesionālā dienesta līgumu</w:t>
      </w:r>
      <w:r w:rsidR="005C704F" w:rsidRPr="002A657E">
        <w:rPr>
          <w:lang w:eastAsia="zh-TW"/>
        </w:rPr>
        <w:t xml:space="preserve">, bet tikai </w:t>
      </w:r>
      <w:r w:rsidRPr="002A657E">
        <w:rPr>
          <w:lang w:eastAsia="zh-TW"/>
        </w:rPr>
        <w:t>iniciēt</w:t>
      </w:r>
      <w:r w:rsidR="00E36688" w:rsidRPr="002A657E">
        <w:rPr>
          <w:lang w:eastAsia="zh-TW"/>
        </w:rPr>
        <w:t xml:space="preserve"> </w:t>
      </w:r>
      <w:r w:rsidR="001F4BEB" w:rsidRPr="002A657E">
        <w:rPr>
          <w:lang w:eastAsia="zh-TW"/>
        </w:rPr>
        <w:t>tā</w:t>
      </w:r>
      <w:r w:rsidR="00E36688" w:rsidRPr="002A657E">
        <w:rPr>
          <w:lang w:eastAsia="zh-TW"/>
        </w:rPr>
        <w:t xml:space="preserve"> izbeigšanu</w:t>
      </w:r>
      <w:r w:rsidRPr="002A657E">
        <w:rPr>
          <w:lang w:eastAsia="zh-TW"/>
        </w:rPr>
        <w:t xml:space="preserve">. Treškārt, likumdevējs ir paredzējis atvaļināto </w:t>
      </w:r>
      <w:r w:rsidRPr="002A657E">
        <w:rPr>
          <w:lang w:eastAsia="zh-TW"/>
        </w:rPr>
        <w:lastRenderedPageBreak/>
        <w:t>karavīru ieskaitīšanu rezervē, izsmeļoši uzskait</w:t>
      </w:r>
      <w:r w:rsidR="005C704F" w:rsidRPr="002A657E">
        <w:rPr>
          <w:lang w:eastAsia="zh-TW"/>
        </w:rPr>
        <w:t>ot</w:t>
      </w:r>
      <w:r w:rsidRPr="002A657E">
        <w:rPr>
          <w:lang w:eastAsia="zh-TW"/>
        </w:rPr>
        <w:t xml:space="preserve"> gadījumus, kad noņem no militārā dienesta uzskaites.</w:t>
      </w:r>
      <w:r w:rsidR="005C704F" w:rsidRPr="002A657E">
        <w:rPr>
          <w:lang w:eastAsia="zh-TW"/>
        </w:rPr>
        <w:t xml:space="preserve"> </w:t>
      </w:r>
      <w:r w:rsidRPr="002A657E">
        <w:rPr>
          <w:lang w:eastAsia="zh-TW"/>
        </w:rPr>
        <w:t>Šād</w:t>
      </w:r>
      <w:r w:rsidR="00DB2BB9" w:rsidRPr="002A657E">
        <w:rPr>
          <w:lang w:eastAsia="zh-TW"/>
        </w:rPr>
        <w:t>a</w:t>
      </w:r>
      <w:r w:rsidRPr="002A657E">
        <w:rPr>
          <w:lang w:eastAsia="zh-TW"/>
        </w:rPr>
        <w:t xml:space="preserve"> regulējum</w:t>
      </w:r>
      <w:r w:rsidR="00DB2BB9" w:rsidRPr="002A657E">
        <w:rPr>
          <w:lang w:eastAsia="zh-TW"/>
        </w:rPr>
        <w:t>a</w:t>
      </w:r>
      <w:r w:rsidRPr="002A657E">
        <w:rPr>
          <w:lang w:eastAsia="zh-TW"/>
        </w:rPr>
        <w:t xml:space="preserve"> mērķi</w:t>
      </w:r>
      <w:r w:rsidR="00DB2BB9" w:rsidRPr="002A657E">
        <w:rPr>
          <w:lang w:eastAsia="zh-TW"/>
        </w:rPr>
        <w:t>s ir</w:t>
      </w:r>
      <w:r w:rsidRPr="002A657E">
        <w:rPr>
          <w:lang w:eastAsia="zh-TW"/>
        </w:rPr>
        <w:t xml:space="preserve"> nodrošināt N</w:t>
      </w:r>
      <w:r w:rsidR="005C704F" w:rsidRPr="002A657E">
        <w:rPr>
          <w:lang w:eastAsia="zh-TW"/>
        </w:rPr>
        <w:t xml:space="preserve">acionālo bruņoto spēku </w:t>
      </w:r>
      <w:r w:rsidRPr="002A657E">
        <w:rPr>
          <w:lang w:eastAsia="zh-TW"/>
        </w:rPr>
        <w:t xml:space="preserve">gatavību </w:t>
      </w:r>
      <w:r w:rsidR="005C704F" w:rsidRPr="002A657E">
        <w:rPr>
          <w:lang w:eastAsia="zh-TW"/>
        </w:rPr>
        <w:t>pildīt uzdevumus</w:t>
      </w:r>
      <w:r w:rsidRPr="002A657E">
        <w:rPr>
          <w:lang w:eastAsia="zh-TW"/>
        </w:rPr>
        <w:t>, novērst neprognozējamu personāla resursu samazināšanos un maksimāli izvairīties no situācijām, kad nepieciešamais karavīru skaits pārsnie</w:t>
      </w:r>
      <w:r w:rsidR="00DB2BB9" w:rsidRPr="002A657E">
        <w:rPr>
          <w:lang w:eastAsia="zh-TW"/>
        </w:rPr>
        <w:t>dz</w:t>
      </w:r>
      <w:r w:rsidRPr="002A657E">
        <w:rPr>
          <w:lang w:eastAsia="zh-TW"/>
        </w:rPr>
        <w:t xml:space="preserve"> esošā personāla skaitu. </w:t>
      </w:r>
    </w:p>
    <w:p w14:paraId="32F786EC" w14:textId="7C684EC0" w:rsidR="00DA76E3" w:rsidRPr="002A657E" w:rsidRDefault="005C704F" w:rsidP="002A657E">
      <w:pPr>
        <w:spacing w:line="276" w:lineRule="auto"/>
        <w:ind w:firstLine="567"/>
        <w:jc w:val="both"/>
        <w:rPr>
          <w:lang w:eastAsia="zh-TW"/>
        </w:rPr>
      </w:pPr>
      <w:r w:rsidRPr="002A657E">
        <w:rPr>
          <w:lang w:eastAsia="zh-TW"/>
        </w:rPr>
        <w:t>[3.</w:t>
      </w:r>
      <w:r w:rsidR="0060541A" w:rsidRPr="002A657E">
        <w:rPr>
          <w:lang w:eastAsia="zh-TW"/>
        </w:rPr>
        <w:t>4</w:t>
      </w:r>
      <w:r w:rsidR="00973AEA" w:rsidRPr="002A657E">
        <w:rPr>
          <w:lang w:eastAsia="zh-TW"/>
        </w:rPr>
        <w:t>] </w:t>
      </w:r>
      <w:r w:rsidR="00DA76E3" w:rsidRPr="002A657E">
        <w:rPr>
          <w:lang w:eastAsia="zh-TW"/>
        </w:rPr>
        <w:t>Tulkojot Militārā dienesta likuma normas, jāņem vērā, ka ir izveidots vienots, sasniedzamajiem mērķiem atbilstošs regulējums, kas paredz personu tiesību un brīvību ierobežojumus valsts apdraudējuma pārvarēšanai atkarībā no apdraudējuma rakstura un intensitātes, nodrošinot samērīguma un lietderības principu</w:t>
      </w:r>
      <w:r w:rsidR="006C6518" w:rsidRPr="002A657E">
        <w:rPr>
          <w:lang w:eastAsia="zh-TW"/>
        </w:rPr>
        <w:t>s</w:t>
      </w:r>
      <w:r w:rsidR="00DA76E3" w:rsidRPr="002A657E">
        <w:rPr>
          <w:lang w:eastAsia="zh-TW"/>
        </w:rPr>
        <w:t>.</w:t>
      </w:r>
      <w:r w:rsidRPr="002A657E">
        <w:rPr>
          <w:lang w:eastAsia="zh-TW"/>
        </w:rPr>
        <w:t xml:space="preserve"> </w:t>
      </w:r>
      <w:r w:rsidR="00DA76E3" w:rsidRPr="002A657E">
        <w:rPr>
          <w:lang w:eastAsia="zh-TW"/>
        </w:rPr>
        <w:t>Likumdevējs dažādos likumos ir noteicis person</w:t>
      </w:r>
      <w:r w:rsidR="0027177F" w:rsidRPr="002A657E">
        <w:rPr>
          <w:lang w:eastAsia="zh-TW"/>
        </w:rPr>
        <w:t>u</w:t>
      </w:r>
      <w:r w:rsidR="00DA76E3" w:rsidRPr="002A657E">
        <w:rPr>
          <w:lang w:eastAsia="zh-TW"/>
        </w:rPr>
        <w:t xml:space="preserve"> tiesību ierobežojumus (pārvietošanās brīvīb</w:t>
      </w:r>
      <w:r w:rsidR="001D5FEC" w:rsidRPr="002A657E">
        <w:rPr>
          <w:lang w:eastAsia="zh-TW"/>
        </w:rPr>
        <w:t>ai</w:t>
      </w:r>
      <w:r w:rsidR="00DA76E3" w:rsidRPr="002A657E">
        <w:rPr>
          <w:lang w:eastAsia="zh-TW"/>
        </w:rPr>
        <w:t>, vārda brīvīb</w:t>
      </w:r>
      <w:r w:rsidR="001D5FEC" w:rsidRPr="002A657E">
        <w:rPr>
          <w:lang w:eastAsia="zh-TW"/>
        </w:rPr>
        <w:t>ai</w:t>
      </w:r>
      <w:r w:rsidR="00DA76E3" w:rsidRPr="002A657E">
        <w:rPr>
          <w:lang w:eastAsia="zh-TW"/>
        </w:rPr>
        <w:t>, tiesīb</w:t>
      </w:r>
      <w:r w:rsidR="0027177F" w:rsidRPr="002A657E">
        <w:rPr>
          <w:lang w:eastAsia="zh-TW"/>
        </w:rPr>
        <w:t>ām</w:t>
      </w:r>
      <w:r w:rsidR="00DA76E3" w:rsidRPr="002A657E">
        <w:rPr>
          <w:lang w:eastAsia="zh-TW"/>
        </w:rPr>
        <w:t xml:space="preserve"> rīkot sapulces, gājienus, piketus, organizēt streikus, tiesībām uz īpašumu, tiesībām brīvi izvēlēties nodarbošanos</w:t>
      </w:r>
      <w:r w:rsidR="0027177F" w:rsidRPr="002A657E">
        <w:rPr>
          <w:lang w:eastAsia="zh-TW"/>
        </w:rPr>
        <w:t xml:space="preserve">, </w:t>
      </w:r>
      <w:r w:rsidR="00DA76E3" w:rsidRPr="002A657E">
        <w:rPr>
          <w:lang w:eastAsia="zh-TW"/>
        </w:rPr>
        <w:t>darbavietu u.c.), gan arī noteicis papildu pienākumus, kas daļēji ierobežo šīs tiesības. Saskaņā ar Nacionālās drošības likuma 5.pantu katra pilsoņa pienākums ir aizstāvēt valsts neatkarību, brīvību un demokrātisko valsts iekārtu.</w:t>
      </w:r>
      <w:r w:rsidR="00E83EC3" w:rsidRPr="002A657E">
        <w:rPr>
          <w:lang w:eastAsia="zh-TW"/>
        </w:rPr>
        <w:t xml:space="preserve"> V</w:t>
      </w:r>
      <w:r w:rsidR="00DA76E3" w:rsidRPr="002A657E">
        <w:rPr>
          <w:lang w:eastAsia="zh-TW"/>
        </w:rPr>
        <w:t>alsts aizsardzības īstenošanai kara vai militāra iebrukuma laikā vis</w:t>
      </w:r>
      <w:r w:rsidR="0027177F" w:rsidRPr="002A657E">
        <w:rPr>
          <w:lang w:eastAsia="zh-TW"/>
        </w:rPr>
        <w:t>iem</w:t>
      </w:r>
      <w:r w:rsidR="00DA76E3" w:rsidRPr="002A657E">
        <w:rPr>
          <w:lang w:eastAsia="zh-TW"/>
        </w:rPr>
        <w:t xml:space="preserve"> iedzīvotāj</w:t>
      </w:r>
      <w:r w:rsidR="0027177F" w:rsidRPr="002A657E">
        <w:rPr>
          <w:lang w:eastAsia="zh-TW"/>
        </w:rPr>
        <w:t>iem</w:t>
      </w:r>
      <w:r w:rsidR="00423CCB" w:rsidRPr="002A657E">
        <w:rPr>
          <w:lang w:eastAsia="zh-TW"/>
        </w:rPr>
        <w:t xml:space="preserve"> </w:t>
      </w:r>
      <w:r w:rsidR="0027177F" w:rsidRPr="002A657E">
        <w:rPr>
          <w:lang w:eastAsia="zh-TW"/>
        </w:rPr>
        <w:t>jā</w:t>
      </w:r>
      <w:r w:rsidR="00DA76E3" w:rsidRPr="002A657E">
        <w:rPr>
          <w:lang w:eastAsia="zh-TW"/>
        </w:rPr>
        <w:t>pild</w:t>
      </w:r>
      <w:r w:rsidR="0027177F" w:rsidRPr="002A657E">
        <w:rPr>
          <w:lang w:eastAsia="zh-TW"/>
        </w:rPr>
        <w:t>a</w:t>
      </w:r>
      <w:r w:rsidR="00DA76E3" w:rsidRPr="002A657E">
        <w:rPr>
          <w:lang w:eastAsia="zh-TW"/>
        </w:rPr>
        <w:t xml:space="preserve"> </w:t>
      </w:r>
      <w:r w:rsidR="00F057B9" w:rsidRPr="002A657E">
        <w:rPr>
          <w:lang w:eastAsia="zh-TW"/>
        </w:rPr>
        <w:t xml:space="preserve">bruņoto spēku </w:t>
      </w:r>
      <w:r w:rsidR="00DA76E3" w:rsidRPr="002A657E">
        <w:rPr>
          <w:lang w:eastAsia="zh-TW"/>
        </w:rPr>
        <w:t>uzdevum</w:t>
      </w:r>
      <w:r w:rsidR="0027177F" w:rsidRPr="002A657E">
        <w:rPr>
          <w:lang w:eastAsia="zh-TW"/>
        </w:rPr>
        <w:t>i</w:t>
      </w:r>
      <w:r w:rsidR="00F057B9" w:rsidRPr="002A657E">
        <w:rPr>
          <w:lang w:eastAsia="zh-TW"/>
        </w:rPr>
        <w:t>.</w:t>
      </w:r>
      <w:r w:rsidR="00423CCB" w:rsidRPr="002A657E">
        <w:rPr>
          <w:lang w:eastAsia="zh-TW"/>
        </w:rPr>
        <w:t xml:space="preserve"> </w:t>
      </w:r>
      <w:r w:rsidR="00F057B9" w:rsidRPr="002A657E">
        <w:rPr>
          <w:lang w:eastAsia="zh-TW"/>
        </w:rPr>
        <w:t>Tiek</w:t>
      </w:r>
      <w:r w:rsidR="00DA76E3" w:rsidRPr="002A657E">
        <w:rPr>
          <w:lang w:eastAsia="zh-TW"/>
        </w:rPr>
        <w:t xml:space="preserve"> paplašin</w:t>
      </w:r>
      <w:r w:rsidR="00F057B9" w:rsidRPr="002A657E">
        <w:rPr>
          <w:lang w:eastAsia="zh-TW"/>
        </w:rPr>
        <w:t>āts</w:t>
      </w:r>
      <w:r w:rsidR="00DA76E3" w:rsidRPr="002A657E">
        <w:rPr>
          <w:lang w:eastAsia="zh-TW"/>
        </w:rPr>
        <w:t xml:space="preserve"> apdraudējuma pārvarēšanā iesaistīto cilvēkresursu apjom</w:t>
      </w:r>
      <w:r w:rsidR="00F057B9" w:rsidRPr="002A657E">
        <w:rPr>
          <w:lang w:eastAsia="zh-TW"/>
        </w:rPr>
        <w:t>s</w:t>
      </w:r>
      <w:r w:rsidR="00DA76E3" w:rsidRPr="002A657E">
        <w:rPr>
          <w:lang w:eastAsia="zh-TW"/>
        </w:rPr>
        <w:t>, iesaukšanai aktīvajā dienestā pakļau</w:t>
      </w:r>
      <w:r w:rsidR="00F057B9" w:rsidRPr="002A657E">
        <w:rPr>
          <w:lang w:eastAsia="zh-TW"/>
        </w:rPr>
        <w:t>jot</w:t>
      </w:r>
      <w:r w:rsidR="00DA76E3" w:rsidRPr="002A657E">
        <w:rPr>
          <w:lang w:eastAsia="zh-TW"/>
        </w:rPr>
        <w:t xml:space="preserve"> ne tikai rezerves karavīr</w:t>
      </w:r>
      <w:r w:rsidR="00F057B9" w:rsidRPr="002A657E">
        <w:rPr>
          <w:lang w:eastAsia="zh-TW"/>
        </w:rPr>
        <w:t>us</w:t>
      </w:r>
      <w:r w:rsidR="00DA76E3" w:rsidRPr="002A657E">
        <w:rPr>
          <w:lang w:eastAsia="zh-TW"/>
        </w:rPr>
        <w:t>, bet arī rezervist</w:t>
      </w:r>
      <w:r w:rsidR="00F057B9" w:rsidRPr="002A657E">
        <w:rPr>
          <w:lang w:eastAsia="zh-TW"/>
        </w:rPr>
        <w:t>us</w:t>
      </w:r>
      <w:r w:rsidR="00DA76E3" w:rsidRPr="002A657E">
        <w:rPr>
          <w:lang w:eastAsia="zh-TW"/>
        </w:rPr>
        <w:t xml:space="preserve">. </w:t>
      </w:r>
      <w:r w:rsidR="00F057B9" w:rsidRPr="002A657E">
        <w:rPr>
          <w:lang w:eastAsia="zh-TW"/>
        </w:rPr>
        <w:t>S</w:t>
      </w:r>
      <w:r w:rsidR="00DA76E3" w:rsidRPr="002A657E">
        <w:rPr>
          <w:lang w:eastAsia="zh-TW"/>
        </w:rPr>
        <w:t>abiedrības kopīg</w:t>
      </w:r>
      <w:r w:rsidR="00E36688" w:rsidRPr="002A657E">
        <w:rPr>
          <w:lang w:eastAsia="zh-TW"/>
        </w:rPr>
        <w:t>ajam</w:t>
      </w:r>
      <w:r w:rsidR="00DA76E3" w:rsidRPr="002A657E">
        <w:rPr>
          <w:lang w:eastAsia="zh-TW"/>
        </w:rPr>
        <w:t xml:space="preserve"> labuma</w:t>
      </w:r>
      <w:r w:rsidR="00E36688" w:rsidRPr="002A657E">
        <w:rPr>
          <w:lang w:eastAsia="zh-TW"/>
        </w:rPr>
        <w:t>m</w:t>
      </w:r>
      <w:r w:rsidR="00DA76E3" w:rsidRPr="002A657E">
        <w:rPr>
          <w:lang w:eastAsia="zh-TW"/>
        </w:rPr>
        <w:t xml:space="preserve"> iedzīvotāju tiesības un brīvības var tikt pakļaut</w:t>
      </w:r>
      <w:r w:rsidR="00E36688" w:rsidRPr="002A657E">
        <w:rPr>
          <w:lang w:eastAsia="zh-TW"/>
        </w:rPr>
        <w:t>as</w:t>
      </w:r>
      <w:r w:rsidR="00DA76E3" w:rsidRPr="002A657E">
        <w:rPr>
          <w:lang w:eastAsia="zh-TW"/>
        </w:rPr>
        <w:t xml:space="preserve"> ierobežojumiem.</w:t>
      </w:r>
    </w:p>
    <w:p w14:paraId="3595AFCC" w14:textId="48A2082C" w:rsidR="00DA76E3" w:rsidRPr="002A657E" w:rsidRDefault="00DA76E3" w:rsidP="002A657E">
      <w:pPr>
        <w:spacing w:line="276" w:lineRule="auto"/>
        <w:ind w:firstLine="567"/>
        <w:jc w:val="both"/>
        <w:rPr>
          <w:lang w:eastAsia="zh-TW"/>
        </w:rPr>
      </w:pPr>
      <w:r w:rsidRPr="002A657E">
        <w:rPr>
          <w:lang w:eastAsia="zh-TW"/>
        </w:rPr>
        <w:t>[</w:t>
      </w:r>
      <w:r w:rsidR="00423CCB" w:rsidRPr="002A657E">
        <w:rPr>
          <w:lang w:eastAsia="zh-TW"/>
        </w:rPr>
        <w:t>3.</w:t>
      </w:r>
      <w:r w:rsidR="0060541A" w:rsidRPr="002A657E">
        <w:rPr>
          <w:lang w:eastAsia="zh-TW"/>
        </w:rPr>
        <w:t>5</w:t>
      </w:r>
      <w:r w:rsidR="00973AEA" w:rsidRPr="002A657E">
        <w:rPr>
          <w:lang w:eastAsia="zh-TW"/>
        </w:rPr>
        <w:t>] </w:t>
      </w:r>
      <w:r w:rsidRPr="002A657E">
        <w:rPr>
          <w:lang w:eastAsia="zh-TW"/>
        </w:rPr>
        <w:t>Apkopojot norādīto, nekorekta tiesību normu interpretācija noveda pie</w:t>
      </w:r>
      <w:r w:rsidRPr="002A657E">
        <w:t xml:space="preserve"> </w:t>
      </w:r>
      <w:r w:rsidRPr="002A657E">
        <w:rPr>
          <w:lang w:eastAsia="zh-TW"/>
        </w:rPr>
        <w:t>lietas nepareizas izspriešanas. Tiesa izdarījusi pārsteidzīgus secinājumus par pieteicējas tiesību ierobežojumu smagumu un nesamērīgumu ar sabiedrības gūto labumu, kā arī kļūdaini atzinusi izskatāmo gadījumu par netipisk</w:t>
      </w:r>
      <w:r w:rsidR="001D5FEC" w:rsidRPr="002A657E">
        <w:rPr>
          <w:lang w:eastAsia="zh-TW"/>
        </w:rPr>
        <w:t>u</w:t>
      </w:r>
      <w:r w:rsidRPr="002A657E">
        <w:rPr>
          <w:lang w:eastAsia="zh-TW"/>
        </w:rPr>
        <w:t xml:space="preserve"> jeb tādu, ko likumdevējs nav paredzējis. </w:t>
      </w:r>
    </w:p>
    <w:p w14:paraId="53C476F1" w14:textId="3313DB16" w:rsidR="00DB2BB9" w:rsidRPr="002A657E" w:rsidRDefault="00DB2BB9" w:rsidP="002A657E">
      <w:pPr>
        <w:spacing w:line="276" w:lineRule="auto"/>
        <w:ind w:firstLine="567"/>
        <w:jc w:val="both"/>
        <w:rPr>
          <w:lang w:eastAsia="zh-TW"/>
        </w:rPr>
      </w:pPr>
    </w:p>
    <w:p w14:paraId="1BC8A52C" w14:textId="12EF5032" w:rsidR="00DB2BB9" w:rsidRPr="002A657E" w:rsidRDefault="00973AEA" w:rsidP="002A657E">
      <w:pPr>
        <w:spacing w:line="276" w:lineRule="auto"/>
        <w:ind w:firstLine="567"/>
        <w:jc w:val="both"/>
        <w:rPr>
          <w:lang w:eastAsia="zh-TW"/>
        </w:rPr>
      </w:pPr>
      <w:r w:rsidRPr="002A657E">
        <w:rPr>
          <w:lang w:eastAsia="zh-TW"/>
        </w:rPr>
        <w:t>[4] </w:t>
      </w:r>
      <w:r w:rsidR="00DB2BB9" w:rsidRPr="002A657E">
        <w:rPr>
          <w:lang w:eastAsia="zh-TW"/>
        </w:rPr>
        <w:t>Pieteicēja ir iesniegusi paskaidrojumus, norādot, ka kasācijas sūdzība nav pamatota.</w:t>
      </w:r>
    </w:p>
    <w:p w14:paraId="0C8591E3" w14:textId="77777777" w:rsidR="00145024" w:rsidRPr="002A657E" w:rsidRDefault="00145024" w:rsidP="002A657E">
      <w:pPr>
        <w:spacing w:line="276" w:lineRule="auto"/>
        <w:jc w:val="both"/>
      </w:pPr>
    </w:p>
    <w:p w14:paraId="66D2CC87" w14:textId="3E7367C7" w:rsidR="000027B8" w:rsidRPr="002A657E" w:rsidRDefault="000027B8" w:rsidP="002A657E">
      <w:pPr>
        <w:spacing w:line="276" w:lineRule="auto"/>
        <w:jc w:val="center"/>
        <w:rPr>
          <w:b/>
        </w:rPr>
      </w:pPr>
      <w:r w:rsidRPr="002A657E">
        <w:rPr>
          <w:b/>
        </w:rPr>
        <w:t>Motīvu daļa</w:t>
      </w:r>
    </w:p>
    <w:p w14:paraId="3E4E27C0" w14:textId="77777777" w:rsidR="00F22B21" w:rsidRPr="002A657E" w:rsidRDefault="00F22B21" w:rsidP="002A657E">
      <w:pPr>
        <w:spacing w:line="276" w:lineRule="auto"/>
        <w:jc w:val="center"/>
        <w:rPr>
          <w:b/>
        </w:rPr>
      </w:pPr>
    </w:p>
    <w:p w14:paraId="2A92D819" w14:textId="7231502F" w:rsidR="00D04970" w:rsidRPr="002A657E" w:rsidRDefault="00F22B21" w:rsidP="002A657E">
      <w:pPr>
        <w:spacing w:line="276" w:lineRule="auto"/>
        <w:ind w:firstLine="567"/>
        <w:jc w:val="both"/>
        <w:rPr>
          <w:lang w:eastAsia="zh-TW"/>
        </w:rPr>
      </w:pPr>
      <w:r w:rsidRPr="002A657E">
        <w:t>[</w:t>
      </w:r>
      <w:r w:rsidR="00D24AC3" w:rsidRPr="002A657E">
        <w:t>5</w:t>
      </w:r>
      <w:r w:rsidRPr="002A657E">
        <w:t>] </w:t>
      </w:r>
      <w:r w:rsidR="00D04970" w:rsidRPr="002A657E">
        <w:t xml:space="preserve">Lietā nav strīda par to, ka </w:t>
      </w:r>
      <w:r w:rsidR="00D04970" w:rsidRPr="002A657E">
        <w:rPr>
          <w:lang w:eastAsia="zh-TW"/>
        </w:rPr>
        <w:t xml:space="preserve">attiecībā uz pieteicēju nav iestājies neviens no Militārā dienesta likuma </w:t>
      </w:r>
      <w:proofErr w:type="gramStart"/>
      <w:r w:rsidR="00D04970" w:rsidRPr="002A657E">
        <w:rPr>
          <w:lang w:eastAsia="zh-TW"/>
        </w:rPr>
        <w:t>42.panta</w:t>
      </w:r>
      <w:proofErr w:type="gramEnd"/>
      <w:r w:rsidR="00D04970" w:rsidRPr="002A657E">
        <w:rPr>
          <w:lang w:eastAsia="zh-TW"/>
        </w:rPr>
        <w:t xml:space="preserve"> otr</w:t>
      </w:r>
      <w:r w:rsidR="00385630" w:rsidRPr="002A657E">
        <w:rPr>
          <w:lang w:eastAsia="zh-TW"/>
        </w:rPr>
        <w:t>ajā</w:t>
      </w:r>
      <w:r w:rsidR="00D04970" w:rsidRPr="002A657E">
        <w:rPr>
          <w:lang w:eastAsia="zh-TW"/>
        </w:rPr>
        <w:t xml:space="preserve"> daļā noteiktajiem priekšnoteikumiem, kad</w:t>
      </w:r>
      <w:r w:rsidR="00385630" w:rsidRPr="002A657E">
        <w:rPr>
          <w:lang w:eastAsia="zh-TW"/>
        </w:rPr>
        <w:t>,</w:t>
      </w:r>
      <w:r w:rsidR="00D04970" w:rsidRPr="002A657E">
        <w:rPr>
          <w:lang w:eastAsia="zh-TW"/>
        </w:rPr>
        <w:t xml:space="preserve"> atvaļinot karavīru, viņš tiek noņemts no militārā dienesta uzskaites. Tāpēc atbilstoši šā panta trešajai daļai būtu izdodams obligātais administratīvais akts par pieteicējas atvaļināšanu militārā dienesta rezervē.</w:t>
      </w:r>
    </w:p>
    <w:p w14:paraId="20D32C8D" w14:textId="40C948E8" w:rsidR="00D04970" w:rsidRPr="002A657E" w:rsidRDefault="00F9231A" w:rsidP="002A657E">
      <w:pPr>
        <w:spacing w:line="276" w:lineRule="auto"/>
        <w:ind w:firstLine="567"/>
        <w:jc w:val="both"/>
        <w:rPr>
          <w:lang w:eastAsia="zh-TW"/>
        </w:rPr>
      </w:pPr>
      <w:r w:rsidRPr="002A657E">
        <w:rPr>
          <w:lang w:eastAsia="zh-TW"/>
        </w:rPr>
        <w:t xml:space="preserve">Kasācijas sūdzībā nav argumentu, līdz ar to Senāts secina, ka nav </w:t>
      </w:r>
      <w:r w:rsidR="00D04970" w:rsidRPr="002A657E">
        <w:rPr>
          <w:lang w:eastAsia="zh-TW"/>
        </w:rPr>
        <w:t>strīda par to, ka šādu aktu var neizdot gadījumā, ja gadījums ir netipisks jeb tāds, ko likumdevējs</w:t>
      </w:r>
      <w:r w:rsidR="00F22129" w:rsidRPr="002A657E">
        <w:rPr>
          <w:lang w:eastAsia="zh-TW"/>
        </w:rPr>
        <w:t xml:space="preserve"> nav</w:t>
      </w:r>
      <w:r w:rsidR="00D04970" w:rsidRPr="002A657E">
        <w:rPr>
          <w:lang w:eastAsia="zh-TW"/>
        </w:rPr>
        <w:t xml:space="preserve"> </w:t>
      </w:r>
      <w:r w:rsidR="009865D9" w:rsidRPr="002A657E">
        <w:rPr>
          <w:lang w:eastAsia="zh-TW"/>
        </w:rPr>
        <w:t>apsvēris</w:t>
      </w:r>
      <w:r w:rsidR="00385630" w:rsidRPr="002A657E">
        <w:rPr>
          <w:lang w:eastAsia="zh-TW"/>
        </w:rPr>
        <w:t>,</w:t>
      </w:r>
      <w:r w:rsidR="00D04970" w:rsidRPr="002A657E">
        <w:rPr>
          <w:lang w:eastAsia="zh-TW"/>
        </w:rPr>
        <w:t xml:space="preserve"> un tā izdošana rada nesamērīgu pieteicējas tiesību ierobežojumu.</w:t>
      </w:r>
    </w:p>
    <w:p w14:paraId="19794932" w14:textId="500724A0" w:rsidR="00D24AC3" w:rsidRPr="002A657E" w:rsidRDefault="00F9231A" w:rsidP="002A657E">
      <w:pPr>
        <w:spacing w:line="276" w:lineRule="auto"/>
        <w:ind w:firstLine="567"/>
        <w:jc w:val="both"/>
        <w:rPr>
          <w:lang w:eastAsia="zh-TW"/>
        </w:rPr>
      </w:pPr>
      <w:r w:rsidRPr="002A657E">
        <w:rPr>
          <w:lang w:eastAsia="zh-TW"/>
        </w:rPr>
        <w:t xml:space="preserve">Tāpat kasācijas sūdzībā nav argumentu, </w:t>
      </w:r>
      <w:r w:rsidR="00D24AC3" w:rsidRPr="002A657E">
        <w:rPr>
          <w:lang w:eastAsia="zh-TW"/>
        </w:rPr>
        <w:t xml:space="preserve">ka pacifisms un principiāli iebildumi </w:t>
      </w:r>
      <w:r w:rsidRPr="002A657E">
        <w:rPr>
          <w:lang w:eastAsia="zh-TW"/>
        </w:rPr>
        <w:t xml:space="preserve">pret militāro dienestu </w:t>
      </w:r>
      <w:r w:rsidR="00D24AC3" w:rsidRPr="002A657E">
        <w:rPr>
          <w:lang w:eastAsia="zh-TW"/>
        </w:rPr>
        <w:t>ietilps</w:t>
      </w:r>
      <w:r w:rsidR="00385630" w:rsidRPr="002A657E">
        <w:rPr>
          <w:lang w:eastAsia="zh-TW"/>
        </w:rPr>
        <w:t>t</w:t>
      </w:r>
      <w:r w:rsidR="00D24AC3" w:rsidRPr="002A657E">
        <w:rPr>
          <w:lang w:eastAsia="zh-TW"/>
        </w:rPr>
        <w:t xml:space="preserve"> Latvijas Republikas Satversmes </w:t>
      </w:r>
      <w:proofErr w:type="gramStart"/>
      <w:r w:rsidR="00D24AC3" w:rsidRPr="002A657E">
        <w:rPr>
          <w:lang w:eastAsia="zh-TW"/>
        </w:rPr>
        <w:t>99.panta</w:t>
      </w:r>
      <w:proofErr w:type="gramEnd"/>
      <w:r w:rsidR="00D24AC3" w:rsidRPr="002A657E">
        <w:rPr>
          <w:lang w:eastAsia="zh-TW"/>
        </w:rPr>
        <w:t>, kas noteic ikviena tiesības uz domas, apziņas un reliģiskās pārliecības brīvību, tvērumā.</w:t>
      </w:r>
    </w:p>
    <w:p w14:paraId="59D9FD4C" w14:textId="7633B59D" w:rsidR="00D04970" w:rsidRPr="002A657E" w:rsidRDefault="00F9231A" w:rsidP="002A657E">
      <w:pPr>
        <w:spacing w:line="276" w:lineRule="auto"/>
        <w:ind w:firstLine="567"/>
        <w:jc w:val="both"/>
        <w:rPr>
          <w:lang w:eastAsia="zh-TW"/>
        </w:rPr>
      </w:pPr>
      <w:r w:rsidRPr="002A657E">
        <w:rPr>
          <w:lang w:eastAsia="zh-TW"/>
        </w:rPr>
        <w:t xml:space="preserve">Kasācijas sūdzībā nav </w:t>
      </w:r>
      <w:r w:rsidR="00C20CBF" w:rsidRPr="002A657E">
        <w:rPr>
          <w:lang w:eastAsia="zh-TW"/>
        </w:rPr>
        <w:t xml:space="preserve">arī </w:t>
      </w:r>
      <w:r w:rsidRPr="002A657E">
        <w:rPr>
          <w:lang w:eastAsia="zh-TW"/>
        </w:rPr>
        <w:t>argumentu, kas būtu saistīti ar</w:t>
      </w:r>
      <w:r w:rsidR="00D04970" w:rsidRPr="002A657E">
        <w:rPr>
          <w:lang w:eastAsia="zh-TW"/>
        </w:rPr>
        <w:t xml:space="preserve"> </w:t>
      </w:r>
      <w:r w:rsidR="00C20CBF" w:rsidRPr="002A657E">
        <w:rPr>
          <w:lang w:eastAsia="zh-TW"/>
        </w:rPr>
        <w:t xml:space="preserve">tiesas vērtējumu par </w:t>
      </w:r>
      <w:r w:rsidR="00D04970" w:rsidRPr="002A657E">
        <w:rPr>
          <w:lang w:eastAsia="zh-TW"/>
        </w:rPr>
        <w:t xml:space="preserve">pieteicējas </w:t>
      </w:r>
      <w:proofErr w:type="spellStart"/>
      <w:r w:rsidR="00D04970" w:rsidRPr="002A657E">
        <w:rPr>
          <w:lang w:eastAsia="zh-TW"/>
        </w:rPr>
        <w:t>pacifistiskā</w:t>
      </w:r>
      <w:r w:rsidRPr="002A657E">
        <w:rPr>
          <w:lang w:eastAsia="zh-TW"/>
        </w:rPr>
        <w:t>s</w:t>
      </w:r>
      <w:proofErr w:type="spellEnd"/>
      <w:r w:rsidR="00D04970" w:rsidRPr="002A657E">
        <w:rPr>
          <w:lang w:eastAsia="zh-TW"/>
        </w:rPr>
        <w:t xml:space="preserve"> pārliecība</w:t>
      </w:r>
      <w:r w:rsidRPr="002A657E">
        <w:rPr>
          <w:lang w:eastAsia="zh-TW"/>
        </w:rPr>
        <w:t>s patiesumu</w:t>
      </w:r>
      <w:r w:rsidR="00D7555A" w:rsidRPr="002A657E">
        <w:rPr>
          <w:lang w:eastAsia="zh-TW"/>
        </w:rPr>
        <w:t xml:space="preserve"> un noturību</w:t>
      </w:r>
      <w:r w:rsidR="00D04970" w:rsidRPr="002A657E">
        <w:rPr>
          <w:lang w:eastAsia="zh-TW"/>
        </w:rPr>
        <w:t>.</w:t>
      </w:r>
    </w:p>
    <w:p w14:paraId="3452C9B7" w14:textId="09CA0DF7" w:rsidR="00D04970" w:rsidRPr="002A657E" w:rsidRDefault="00F9231A" w:rsidP="002A657E">
      <w:pPr>
        <w:spacing w:line="276" w:lineRule="auto"/>
        <w:ind w:firstLine="567"/>
        <w:jc w:val="both"/>
        <w:rPr>
          <w:lang w:eastAsia="zh-TW"/>
        </w:rPr>
      </w:pPr>
      <w:r w:rsidRPr="002A657E">
        <w:rPr>
          <w:lang w:eastAsia="zh-TW"/>
        </w:rPr>
        <w:t>No kasācijas sūdzības izriet, ka l</w:t>
      </w:r>
      <w:r w:rsidR="00D04970" w:rsidRPr="002A657E">
        <w:rPr>
          <w:lang w:eastAsia="zh-TW"/>
        </w:rPr>
        <w:t>ietā</w:t>
      </w:r>
      <w:r w:rsidRPr="002A657E">
        <w:rPr>
          <w:lang w:eastAsia="zh-TW"/>
        </w:rPr>
        <w:t xml:space="preserve"> joprojām</w:t>
      </w:r>
      <w:r w:rsidR="00D04970" w:rsidRPr="002A657E">
        <w:rPr>
          <w:lang w:eastAsia="zh-TW"/>
        </w:rPr>
        <w:t xml:space="preserve"> ir strīds</w:t>
      </w:r>
      <w:r w:rsidR="00E01B38" w:rsidRPr="002A657E">
        <w:rPr>
          <w:lang w:eastAsia="zh-TW"/>
        </w:rPr>
        <w:t xml:space="preserve"> par to</w:t>
      </w:r>
      <w:r w:rsidR="00D04970" w:rsidRPr="002A657E">
        <w:rPr>
          <w:lang w:eastAsia="zh-TW"/>
        </w:rPr>
        <w:t>, vai konkrētais gadījums ir tāds, kuru likumdevējs nav paredzējis. Tāpat lietā ir strīds, vai pieteicējas tiesības, ņemot vērā tieši konkrētās lietas apstākļus, ir samērīgi ierobežotas.</w:t>
      </w:r>
    </w:p>
    <w:p w14:paraId="485A06F2" w14:textId="77777777" w:rsidR="00F22129" w:rsidRPr="002A657E" w:rsidRDefault="00F22129" w:rsidP="002A657E">
      <w:pPr>
        <w:spacing w:line="276" w:lineRule="auto"/>
        <w:ind w:firstLine="567"/>
        <w:jc w:val="both"/>
        <w:rPr>
          <w:lang w:eastAsia="zh-TW"/>
        </w:rPr>
      </w:pPr>
    </w:p>
    <w:p w14:paraId="5BFA7663" w14:textId="03C9213B" w:rsidR="00911BB0" w:rsidRPr="002A657E" w:rsidRDefault="00973AEA" w:rsidP="002A657E">
      <w:pPr>
        <w:spacing w:line="276" w:lineRule="auto"/>
        <w:ind w:firstLine="567"/>
        <w:jc w:val="both"/>
        <w:rPr>
          <w:lang w:eastAsia="zh-TW"/>
        </w:rPr>
      </w:pPr>
      <w:r w:rsidRPr="002A657E">
        <w:rPr>
          <w:lang w:eastAsia="zh-TW"/>
        </w:rPr>
        <w:t>[6] </w:t>
      </w:r>
      <w:r w:rsidR="00911BB0" w:rsidRPr="002A657E">
        <w:rPr>
          <w:lang w:eastAsia="zh-TW"/>
        </w:rPr>
        <w:t>Apgabaltiesa secinājumus par to, ka likumdevējs</w:t>
      </w:r>
      <w:r w:rsidR="009865D9" w:rsidRPr="002A657E">
        <w:rPr>
          <w:lang w:eastAsia="zh-TW"/>
        </w:rPr>
        <w:t>, pieņemot attiecīgās tiesību normas,</w:t>
      </w:r>
      <w:r w:rsidR="00911BB0" w:rsidRPr="002A657E">
        <w:rPr>
          <w:lang w:eastAsia="zh-TW"/>
        </w:rPr>
        <w:t xml:space="preserve"> </w:t>
      </w:r>
      <w:r w:rsidR="009865D9" w:rsidRPr="002A657E">
        <w:rPr>
          <w:lang w:eastAsia="zh-TW"/>
        </w:rPr>
        <w:t>šāda veida gadījumu</w:t>
      </w:r>
      <w:r w:rsidR="00911BB0" w:rsidRPr="002A657E">
        <w:rPr>
          <w:lang w:eastAsia="zh-TW"/>
        </w:rPr>
        <w:t xml:space="preserve"> nav apsvēris, ir balstījusi uz aps</w:t>
      </w:r>
      <w:r w:rsidR="00F24700" w:rsidRPr="002A657E">
        <w:rPr>
          <w:lang w:eastAsia="zh-TW"/>
        </w:rPr>
        <w:t>t</w:t>
      </w:r>
      <w:r w:rsidR="00911BB0" w:rsidRPr="002A657E">
        <w:rPr>
          <w:lang w:eastAsia="zh-TW"/>
        </w:rPr>
        <w:t xml:space="preserve">ākli, ka no </w:t>
      </w:r>
      <w:proofErr w:type="gramStart"/>
      <w:r w:rsidR="00911BB0" w:rsidRPr="002A657E">
        <w:rPr>
          <w:lang w:eastAsia="zh-TW"/>
        </w:rPr>
        <w:t>2007.gada</w:t>
      </w:r>
      <w:proofErr w:type="gramEnd"/>
      <w:r w:rsidR="00911BB0" w:rsidRPr="002A657E">
        <w:rPr>
          <w:lang w:eastAsia="zh-TW"/>
        </w:rPr>
        <w:t xml:space="preserve"> 1.maija Latvijā nav obligātā militārā dienesta, bet ir profesionālais dienests, kuru Latvijas pilsonis pilda </w:t>
      </w:r>
      <w:r w:rsidR="00911BB0" w:rsidRPr="002A657E">
        <w:rPr>
          <w:i/>
          <w:iCs/>
          <w:lang w:eastAsia="zh-TW"/>
        </w:rPr>
        <w:t>brīvprātīgi.</w:t>
      </w:r>
      <w:r w:rsidR="00911BB0" w:rsidRPr="002A657E">
        <w:rPr>
          <w:lang w:eastAsia="zh-TW"/>
        </w:rPr>
        <w:t xml:space="preserve"> </w:t>
      </w:r>
      <w:r w:rsidR="00911BB0" w:rsidRPr="002A657E">
        <w:rPr>
          <w:lang w:eastAsia="zh-TW"/>
        </w:rPr>
        <w:lastRenderedPageBreak/>
        <w:t>Ar to ir respektēt</w:t>
      </w:r>
      <w:r w:rsidR="00B530CF" w:rsidRPr="002A657E">
        <w:rPr>
          <w:lang w:eastAsia="zh-TW"/>
        </w:rPr>
        <w:t>a</w:t>
      </w:r>
      <w:r w:rsidR="00911BB0" w:rsidRPr="002A657E">
        <w:rPr>
          <w:lang w:eastAsia="zh-TW"/>
        </w:rPr>
        <w:t xml:space="preserve">s personas </w:t>
      </w:r>
      <w:r w:rsidR="009865D9" w:rsidRPr="002A657E">
        <w:rPr>
          <w:lang w:eastAsia="zh-TW"/>
        </w:rPr>
        <w:t>tiesība</w:t>
      </w:r>
      <w:r w:rsidR="00B530CF" w:rsidRPr="002A657E">
        <w:rPr>
          <w:lang w:eastAsia="zh-TW"/>
        </w:rPr>
        <w:t>s</w:t>
      </w:r>
      <w:r w:rsidR="00911BB0" w:rsidRPr="002A657E">
        <w:rPr>
          <w:lang w:eastAsia="zh-TW"/>
        </w:rPr>
        <w:t xml:space="preserve"> izvērtēt dienesta atbilstību </w:t>
      </w:r>
      <w:r w:rsidR="009865D9" w:rsidRPr="002A657E">
        <w:rPr>
          <w:lang w:eastAsia="zh-TW"/>
        </w:rPr>
        <w:t>tās</w:t>
      </w:r>
      <w:r w:rsidR="00911BB0" w:rsidRPr="002A657E">
        <w:rPr>
          <w:lang w:eastAsia="zh-TW"/>
        </w:rPr>
        <w:t xml:space="preserve"> uzskatiem un pārliecībai. Dienests rezervē netiek definēts kā obligātais militārais dienests, tāpēc nav pamata domāt, ka tas ir obligāts. Militārā dienesta likuma </w:t>
      </w:r>
      <w:proofErr w:type="gramStart"/>
      <w:r w:rsidR="00911BB0" w:rsidRPr="002A657E">
        <w:rPr>
          <w:lang w:eastAsia="zh-TW"/>
        </w:rPr>
        <w:t>15.panta</w:t>
      </w:r>
      <w:proofErr w:type="gramEnd"/>
      <w:r w:rsidR="00911BB0" w:rsidRPr="002A657E">
        <w:rPr>
          <w:lang w:eastAsia="zh-TW"/>
        </w:rPr>
        <w:t xml:space="preserve"> otrajā daļā iekļautā norma, kas nosaka aizliegumu karavīram atteikties no dienesta pienākumu izpildes reliģisku motīvu dēļ, ir spēkā no likuma stāšanās brīža 2002.gada 1.jūlijā, tātad sākotnēji tā tika attiecināta uz obligāto militāro dienestu (kuru varēja aizstāt ar alternatīvo dienestu). Norma neierobežo iespēju izbeigt dienesta līgumu pirms termiņa pārliecības dēļ.</w:t>
      </w:r>
    </w:p>
    <w:p w14:paraId="71E60833" w14:textId="329C9E5D" w:rsidR="00911BB0" w:rsidRPr="002A657E" w:rsidRDefault="00911BB0" w:rsidP="002A657E">
      <w:pPr>
        <w:spacing w:line="276" w:lineRule="auto"/>
        <w:ind w:firstLine="567"/>
        <w:jc w:val="both"/>
        <w:rPr>
          <w:lang w:eastAsia="zh-TW"/>
        </w:rPr>
      </w:pPr>
    </w:p>
    <w:p w14:paraId="0C8058E8" w14:textId="68B241C5" w:rsidR="00DB6698" w:rsidRPr="002A657E" w:rsidRDefault="00973AEA" w:rsidP="002A657E">
      <w:pPr>
        <w:spacing w:line="276" w:lineRule="auto"/>
        <w:ind w:firstLine="567"/>
        <w:jc w:val="both"/>
        <w:rPr>
          <w:lang w:eastAsia="zh-TW"/>
        </w:rPr>
      </w:pPr>
      <w:r w:rsidRPr="002A657E">
        <w:rPr>
          <w:lang w:eastAsia="zh-TW"/>
        </w:rPr>
        <w:t>[7] </w:t>
      </w:r>
      <w:r w:rsidR="00F057B9" w:rsidRPr="002A657E">
        <w:rPr>
          <w:lang w:eastAsia="zh-TW"/>
        </w:rPr>
        <w:t>A</w:t>
      </w:r>
      <w:r w:rsidR="00A07FBF" w:rsidRPr="002A657E">
        <w:rPr>
          <w:lang w:eastAsia="zh-TW"/>
        </w:rPr>
        <w:t>izsardzības</w:t>
      </w:r>
      <w:r w:rsidR="00C20CBF" w:rsidRPr="002A657E">
        <w:rPr>
          <w:lang w:eastAsia="zh-TW"/>
        </w:rPr>
        <w:t xml:space="preserve"> ministrijas ieskatā tiesa nepamatoti atzinusi, ka </w:t>
      </w:r>
      <w:r w:rsidR="00546394" w:rsidRPr="002A657E">
        <w:rPr>
          <w:lang w:eastAsia="zh-TW"/>
        </w:rPr>
        <w:t>likumdevējs nav</w:t>
      </w:r>
      <w:r w:rsidR="00D24AC3" w:rsidRPr="002A657E">
        <w:rPr>
          <w:lang w:eastAsia="zh-TW"/>
        </w:rPr>
        <w:t xml:space="preserve"> </w:t>
      </w:r>
      <w:r w:rsidR="00F9231A" w:rsidRPr="002A657E">
        <w:rPr>
          <w:lang w:eastAsia="zh-TW"/>
        </w:rPr>
        <w:t>apsvēris</w:t>
      </w:r>
      <w:r w:rsidR="00D24AC3" w:rsidRPr="002A657E">
        <w:rPr>
          <w:lang w:eastAsia="zh-TW"/>
        </w:rPr>
        <w:t xml:space="preserve">, ka persona </w:t>
      </w:r>
      <w:r w:rsidR="005B55FD" w:rsidRPr="002A657E">
        <w:rPr>
          <w:lang w:eastAsia="zh-TW"/>
        </w:rPr>
        <w:t xml:space="preserve">pārliecības dēļ </w:t>
      </w:r>
      <w:r w:rsidR="00D24AC3" w:rsidRPr="002A657E">
        <w:rPr>
          <w:lang w:eastAsia="zh-TW"/>
        </w:rPr>
        <w:t>varētu nevēlēties būt militārā dienesta rezervē</w:t>
      </w:r>
      <w:r w:rsidR="00B530CF" w:rsidRPr="002A657E">
        <w:rPr>
          <w:lang w:eastAsia="zh-TW"/>
        </w:rPr>
        <w:t>.</w:t>
      </w:r>
      <w:r w:rsidR="00DB6698" w:rsidRPr="002A657E">
        <w:rPr>
          <w:lang w:eastAsia="zh-TW"/>
        </w:rPr>
        <w:t xml:space="preserve"> </w:t>
      </w:r>
      <w:r w:rsidR="00B530CF" w:rsidRPr="002A657E">
        <w:rPr>
          <w:lang w:eastAsia="zh-TW"/>
        </w:rPr>
        <w:t>Š</w:t>
      </w:r>
      <w:r w:rsidR="00DB6698" w:rsidRPr="002A657E">
        <w:rPr>
          <w:lang w:eastAsia="zh-TW"/>
        </w:rPr>
        <w:t xml:space="preserve">āda viedokļa pamatošanai </w:t>
      </w:r>
      <w:r w:rsidR="00B530CF" w:rsidRPr="002A657E">
        <w:rPr>
          <w:lang w:eastAsia="zh-TW"/>
        </w:rPr>
        <w:t xml:space="preserve">ministrija ir atsaukusies uz </w:t>
      </w:r>
      <w:r w:rsidR="00DB6698" w:rsidRPr="002A657E">
        <w:rPr>
          <w:lang w:eastAsia="zh-TW"/>
        </w:rPr>
        <w:t xml:space="preserve">Militārā dienesta likuma </w:t>
      </w:r>
      <w:proofErr w:type="gramStart"/>
      <w:r w:rsidR="00DB6698" w:rsidRPr="002A657E">
        <w:rPr>
          <w:lang w:eastAsia="zh-TW"/>
        </w:rPr>
        <w:t>15.panta</w:t>
      </w:r>
      <w:proofErr w:type="gramEnd"/>
      <w:r w:rsidR="00DB6698" w:rsidRPr="002A657E">
        <w:rPr>
          <w:lang w:eastAsia="zh-TW"/>
        </w:rPr>
        <w:t xml:space="preserve"> otrajā daļā iekļauto normu, kas nosaka aizliegumu karavīram atteikties no dienesta pienākumu izpildes reliģisku motīvu dēļ.</w:t>
      </w:r>
    </w:p>
    <w:p w14:paraId="0976321B" w14:textId="457259DF" w:rsidR="00DB6698" w:rsidRPr="002A657E" w:rsidRDefault="00DB6698" w:rsidP="002A657E">
      <w:pPr>
        <w:spacing w:line="276" w:lineRule="auto"/>
        <w:ind w:firstLine="567"/>
        <w:jc w:val="both"/>
        <w:rPr>
          <w:lang w:eastAsia="zh-TW"/>
        </w:rPr>
      </w:pPr>
      <w:r w:rsidRPr="002A657E">
        <w:rPr>
          <w:lang w:eastAsia="zh-TW"/>
        </w:rPr>
        <w:t xml:space="preserve">Senāts </w:t>
      </w:r>
      <w:r w:rsidR="00B530CF" w:rsidRPr="002A657E">
        <w:rPr>
          <w:lang w:eastAsia="zh-TW"/>
        </w:rPr>
        <w:t xml:space="preserve">atzīst </w:t>
      </w:r>
      <w:r w:rsidRPr="002A657E">
        <w:rPr>
          <w:lang w:eastAsia="zh-TW"/>
        </w:rPr>
        <w:t xml:space="preserve">par pareizu apgabaltiesas secinājumu, ka minētā norma neļauj atteikties no </w:t>
      </w:r>
      <w:r w:rsidR="00B530CF" w:rsidRPr="002A657E">
        <w:rPr>
          <w:lang w:eastAsia="zh-TW"/>
        </w:rPr>
        <w:t xml:space="preserve">konkrētu </w:t>
      </w:r>
      <w:r w:rsidRPr="002A657E">
        <w:rPr>
          <w:lang w:eastAsia="zh-TW"/>
        </w:rPr>
        <w:t>pienākumu pildīšanas</w:t>
      </w:r>
      <w:r w:rsidR="003435A6" w:rsidRPr="002A657E">
        <w:rPr>
          <w:lang w:eastAsia="zh-TW"/>
        </w:rPr>
        <w:t>,</w:t>
      </w:r>
      <w:r w:rsidRPr="002A657E">
        <w:rPr>
          <w:lang w:eastAsia="zh-TW"/>
        </w:rPr>
        <w:t xml:space="preserve"> atrodoties dienestā, bet nav iztulkojama plašāk</w:t>
      </w:r>
      <w:r w:rsidR="003435A6" w:rsidRPr="002A657E">
        <w:rPr>
          <w:lang w:eastAsia="zh-TW"/>
        </w:rPr>
        <w:t xml:space="preserve"> kā pienākums turpināt dienesta attiecības, ja </w:t>
      </w:r>
      <w:r w:rsidR="00911BB0" w:rsidRPr="002A657E">
        <w:rPr>
          <w:lang w:eastAsia="zh-TW"/>
        </w:rPr>
        <w:t xml:space="preserve">personas </w:t>
      </w:r>
      <w:r w:rsidR="003435A6" w:rsidRPr="002A657E">
        <w:rPr>
          <w:lang w:eastAsia="zh-TW"/>
        </w:rPr>
        <w:t xml:space="preserve">iekšējā pārliecība </w:t>
      </w:r>
      <w:r w:rsidR="008757F5" w:rsidRPr="002A657E">
        <w:rPr>
          <w:lang w:eastAsia="zh-TW"/>
        </w:rPr>
        <w:t xml:space="preserve">patiesi un noturīgi ir mainījusies un palikšana militārajā dienestā ir </w:t>
      </w:r>
      <w:r w:rsidR="003435A6" w:rsidRPr="002A657E">
        <w:rPr>
          <w:lang w:eastAsia="zh-TW"/>
        </w:rPr>
        <w:t>pretrunā</w:t>
      </w:r>
      <w:r w:rsidR="008757F5" w:rsidRPr="002A657E">
        <w:rPr>
          <w:lang w:eastAsia="zh-TW"/>
        </w:rPr>
        <w:t xml:space="preserve"> ar šo pārliecību</w:t>
      </w:r>
      <w:r w:rsidR="003435A6" w:rsidRPr="002A657E">
        <w:rPr>
          <w:lang w:eastAsia="zh-TW"/>
        </w:rPr>
        <w:t>.</w:t>
      </w:r>
    </w:p>
    <w:p w14:paraId="6B9A630D" w14:textId="77777777" w:rsidR="00DB6698" w:rsidRPr="002A657E" w:rsidRDefault="00DB6698" w:rsidP="002A657E">
      <w:pPr>
        <w:spacing w:line="276" w:lineRule="auto"/>
        <w:ind w:firstLine="567"/>
        <w:jc w:val="both"/>
        <w:rPr>
          <w:lang w:eastAsia="zh-TW"/>
        </w:rPr>
      </w:pPr>
    </w:p>
    <w:p w14:paraId="76F08B58" w14:textId="79F292E8" w:rsidR="00AF21A3" w:rsidRPr="002A657E" w:rsidRDefault="003435A6" w:rsidP="002A657E">
      <w:pPr>
        <w:spacing w:line="276" w:lineRule="auto"/>
        <w:ind w:firstLine="567"/>
        <w:jc w:val="both"/>
        <w:rPr>
          <w:lang w:eastAsia="zh-TW"/>
        </w:rPr>
      </w:pPr>
      <w:r w:rsidRPr="002A657E">
        <w:rPr>
          <w:lang w:eastAsia="zh-TW"/>
        </w:rPr>
        <w:t>[</w:t>
      </w:r>
      <w:r w:rsidR="00911BB0" w:rsidRPr="002A657E">
        <w:rPr>
          <w:lang w:eastAsia="zh-TW"/>
        </w:rPr>
        <w:t>8</w:t>
      </w:r>
      <w:r w:rsidR="00973AEA" w:rsidRPr="002A657E">
        <w:rPr>
          <w:lang w:eastAsia="zh-TW"/>
        </w:rPr>
        <w:t>] </w:t>
      </w:r>
      <w:r w:rsidR="00DB6698" w:rsidRPr="002A657E">
        <w:rPr>
          <w:lang w:eastAsia="zh-TW"/>
        </w:rPr>
        <w:t xml:space="preserve">Aizsardzības ministrija </w:t>
      </w:r>
      <w:r w:rsidRPr="002A657E">
        <w:rPr>
          <w:lang w:eastAsia="zh-TW"/>
        </w:rPr>
        <w:t xml:space="preserve">arī </w:t>
      </w:r>
      <w:r w:rsidR="00DB6698" w:rsidRPr="002A657E">
        <w:rPr>
          <w:lang w:eastAsia="zh-TW"/>
        </w:rPr>
        <w:t>argumentējusi, ka arī pēc alternatīvā dienesta</w:t>
      </w:r>
      <w:r w:rsidR="008757F5" w:rsidRPr="002A657E">
        <w:rPr>
          <w:lang w:eastAsia="zh-TW"/>
        </w:rPr>
        <w:t>, kurš bija paredzēts personām, kas pārliecības pēc nevēlējās būt obligātajā militārajā dienestā,</w:t>
      </w:r>
      <w:r w:rsidR="00DB6698" w:rsidRPr="002A657E">
        <w:rPr>
          <w:lang w:eastAsia="zh-TW"/>
        </w:rPr>
        <w:t xml:space="preserve"> personas tika ieskaitītas rezervē</w:t>
      </w:r>
      <w:r w:rsidR="00EB1F46" w:rsidRPr="002A657E">
        <w:rPr>
          <w:lang w:eastAsia="zh-TW"/>
        </w:rPr>
        <w:t>.</w:t>
      </w:r>
      <w:r w:rsidR="00DB6698" w:rsidRPr="002A657E">
        <w:rPr>
          <w:lang w:eastAsia="zh-TW"/>
        </w:rPr>
        <w:t xml:space="preserve"> Šāda pieeja saglabāta arī turpmāk.</w:t>
      </w:r>
    </w:p>
    <w:p w14:paraId="730D701D" w14:textId="6E6183E9" w:rsidR="003435A6" w:rsidRPr="002A657E" w:rsidRDefault="003435A6" w:rsidP="002A657E">
      <w:pPr>
        <w:spacing w:line="276" w:lineRule="auto"/>
        <w:ind w:firstLine="567"/>
        <w:jc w:val="both"/>
        <w:rPr>
          <w:lang w:eastAsia="zh-TW"/>
        </w:rPr>
      </w:pPr>
      <w:r w:rsidRPr="002A657E">
        <w:rPr>
          <w:lang w:eastAsia="zh-TW"/>
        </w:rPr>
        <w:t xml:space="preserve">Senāts pieļauj, ka </w:t>
      </w:r>
      <w:r w:rsidR="008757F5" w:rsidRPr="002A657E">
        <w:rPr>
          <w:lang w:eastAsia="zh-TW"/>
        </w:rPr>
        <w:t>likumdevējs apzināti vēlējās rezerves karavīra statusu piešķirt arī šādām personām.</w:t>
      </w:r>
      <w:r w:rsidRPr="002A657E">
        <w:rPr>
          <w:lang w:eastAsia="zh-TW"/>
        </w:rPr>
        <w:t xml:space="preserve"> Tomēr, interpretējot tiesību norm</w:t>
      </w:r>
      <w:r w:rsidR="007474F5" w:rsidRPr="002A657E">
        <w:rPr>
          <w:lang w:eastAsia="zh-TW"/>
        </w:rPr>
        <w:t>u, izmantojot vēsturisko interpretācijas metodi</w:t>
      </w:r>
      <w:r w:rsidRPr="002A657E">
        <w:rPr>
          <w:lang w:eastAsia="zh-TW"/>
        </w:rPr>
        <w:t xml:space="preserve">, ir jāņem vērā arī tiesiskās domas attīstība un jāvērtē, kā likumdevējs </w:t>
      </w:r>
      <w:r w:rsidR="007474F5" w:rsidRPr="002A657E">
        <w:rPr>
          <w:lang w:eastAsia="zh-TW"/>
        </w:rPr>
        <w:t>šodien</w:t>
      </w:r>
      <w:r w:rsidRPr="002A657E">
        <w:rPr>
          <w:lang w:eastAsia="zh-TW"/>
        </w:rPr>
        <w:t xml:space="preserve"> skatītos vai kā tam būtu jāskatās uz situāciju, lai </w:t>
      </w:r>
      <w:r w:rsidR="00131E5D" w:rsidRPr="002A657E">
        <w:rPr>
          <w:lang w:eastAsia="zh-TW"/>
        </w:rPr>
        <w:t xml:space="preserve">tā likumā iekļautā griba </w:t>
      </w:r>
      <w:r w:rsidR="00B530CF" w:rsidRPr="002A657E">
        <w:rPr>
          <w:lang w:eastAsia="zh-TW"/>
        </w:rPr>
        <w:t>nenonāktu</w:t>
      </w:r>
      <w:r w:rsidR="007474F5" w:rsidRPr="002A657E">
        <w:rPr>
          <w:lang w:eastAsia="zh-TW"/>
        </w:rPr>
        <w:t xml:space="preserve"> </w:t>
      </w:r>
      <w:r w:rsidR="00131E5D" w:rsidRPr="002A657E">
        <w:rPr>
          <w:lang w:eastAsia="zh-TW"/>
        </w:rPr>
        <w:t>pretrunā ar tiesību normu</w:t>
      </w:r>
      <w:r w:rsidRPr="002A657E">
        <w:rPr>
          <w:lang w:eastAsia="zh-TW"/>
        </w:rPr>
        <w:t xml:space="preserve"> </w:t>
      </w:r>
      <w:r w:rsidR="007474F5" w:rsidRPr="002A657E">
        <w:rPr>
          <w:lang w:eastAsia="zh-TW"/>
        </w:rPr>
        <w:t>hierarhijā augstāku tiesību normu. Turklāt atbilstoši tiesību teorija</w:t>
      </w:r>
      <w:r w:rsidR="00B530CF" w:rsidRPr="002A657E">
        <w:rPr>
          <w:lang w:eastAsia="zh-TW"/>
        </w:rPr>
        <w:t>s atziņām</w:t>
      </w:r>
      <w:r w:rsidR="007474F5" w:rsidRPr="002A657E">
        <w:rPr>
          <w:lang w:eastAsia="zh-TW"/>
        </w:rPr>
        <w:t>, kas ietverta</w:t>
      </w:r>
      <w:r w:rsidR="00B530CF" w:rsidRPr="002A657E">
        <w:rPr>
          <w:lang w:eastAsia="zh-TW"/>
        </w:rPr>
        <w:t>s</w:t>
      </w:r>
      <w:r w:rsidR="007474F5" w:rsidRPr="002A657E">
        <w:rPr>
          <w:lang w:eastAsia="zh-TW"/>
        </w:rPr>
        <w:t xml:space="preserve"> arī Administratīvā procesa likuma </w:t>
      </w:r>
      <w:proofErr w:type="gramStart"/>
      <w:r w:rsidR="00C843EC" w:rsidRPr="002A657E">
        <w:rPr>
          <w:lang w:eastAsia="zh-TW"/>
        </w:rPr>
        <w:t>17.panta</w:t>
      </w:r>
      <w:proofErr w:type="gramEnd"/>
      <w:r w:rsidR="00C843EC" w:rsidRPr="002A657E">
        <w:rPr>
          <w:lang w:eastAsia="zh-TW"/>
        </w:rPr>
        <w:t xml:space="preserve"> trešajā daļā, ja</w:t>
      </w:r>
      <w:r w:rsidR="00CB2229" w:rsidRPr="002A657E">
        <w:rPr>
          <w:lang w:eastAsia="zh-TW"/>
        </w:rPr>
        <w:t>,</w:t>
      </w:r>
      <w:r w:rsidR="00C843EC" w:rsidRPr="002A657E">
        <w:rPr>
          <w:lang w:eastAsia="zh-TW"/>
        </w:rPr>
        <w:t xml:space="preserve"> interpretējot tiesību normu pēc dažādām metodēm, iespējams nonākt pie dažādiem rezultātiem, ir jālieto tā metode, kuras rezultāts atbilst tiesību sistēmai.</w:t>
      </w:r>
    </w:p>
    <w:p w14:paraId="626592E8" w14:textId="6DC1B90D" w:rsidR="00C843EC" w:rsidRPr="002A657E" w:rsidRDefault="00C843EC" w:rsidP="002A657E">
      <w:pPr>
        <w:spacing w:line="276" w:lineRule="auto"/>
        <w:ind w:firstLine="567"/>
        <w:jc w:val="both"/>
        <w:rPr>
          <w:lang w:eastAsia="zh-TW"/>
        </w:rPr>
      </w:pPr>
    </w:p>
    <w:p w14:paraId="1C33D9EA" w14:textId="65CD051A" w:rsidR="00921C31" w:rsidRPr="002A657E" w:rsidRDefault="00C843EC" w:rsidP="002A657E">
      <w:pPr>
        <w:spacing w:line="276" w:lineRule="auto"/>
        <w:ind w:firstLine="567"/>
        <w:jc w:val="both"/>
        <w:rPr>
          <w:lang w:eastAsia="zh-TW"/>
        </w:rPr>
      </w:pPr>
      <w:r w:rsidRPr="002A657E">
        <w:rPr>
          <w:lang w:eastAsia="zh-TW"/>
        </w:rPr>
        <w:t>[</w:t>
      </w:r>
      <w:r w:rsidR="00911BB0" w:rsidRPr="002A657E">
        <w:rPr>
          <w:lang w:eastAsia="zh-TW"/>
        </w:rPr>
        <w:t>9</w:t>
      </w:r>
      <w:r w:rsidR="00973AEA" w:rsidRPr="002A657E">
        <w:rPr>
          <w:lang w:eastAsia="zh-TW"/>
        </w:rPr>
        <w:t>] </w:t>
      </w:r>
      <w:r w:rsidR="004A6EAD" w:rsidRPr="002A657E">
        <w:rPr>
          <w:lang w:eastAsia="zh-TW"/>
        </w:rPr>
        <w:t xml:space="preserve">Kā jau minēts iepriekš, no kasācijas sūdzības neizriet, ka Aizsardzības ministrija iebilstu pret tiesas secinājumu, ka </w:t>
      </w:r>
      <w:proofErr w:type="spellStart"/>
      <w:r w:rsidR="004A6EAD" w:rsidRPr="002A657E">
        <w:rPr>
          <w:lang w:eastAsia="zh-TW"/>
        </w:rPr>
        <w:t>pacifis</w:t>
      </w:r>
      <w:r w:rsidR="008757F5" w:rsidRPr="002A657E">
        <w:rPr>
          <w:lang w:eastAsia="zh-TW"/>
        </w:rPr>
        <w:t>tiskā</w:t>
      </w:r>
      <w:proofErr w:type="spellEnd"/>
      <w:r w:rsidR="008757F5" w:rsidRPr="002A657E">
        <w:rPr>
          <w:lang w:eastAsia="zh-TW"/>
        </w:rPr>
        <w:t xml:space="preserve"> pārliecība</w:t>
      </w:r>
      <w:r w:rsidR="004A6EAD" w:rsidRPr="002A657E">
        <w:rPr>
          <w:lang w:eastAsia="zh-TW"/>
        </w:rPr>
        <w:t xml:space="preserve"> ietilps</w:t>
      </w:r>
      <w:r w:rsidR="00FA12FB" w:rsidRPr="002A657E">
        <w:rPr>
          <w:lang w:eastAsia="zh-TW"/>
        </w:rPr>
        <w:t>t</w:t>
      </w:r>
      <w:r w:rsidR="004A6EAD" w:rsidRPr="002A657E">
        <w:rPr>
          <w:lang w:eastAsia="zh-TW"/>
        </w:rPr>
        <w:t xml:space="preserve"> Latvijas Republikas Satversmes </w:t>
      </w:r>
      <w:proofErr w:type="gramStart"/>
      <w:r w:rsidR="004A6EAD" w:rsidRPr="002A657E">
        <w:rPr>
          <w:lang w:eastAsia="zh-TW"/>
        </w:rPr>
        <w:t>99.panta</w:t>
      </w:r>
      <w:proofErr w:type="gramEnd"/>
      <w:r w:rsidR="004A6EAD" w:rsidRPr="002A657E">
        <w:rPr>
          <w:lang w:eastAsia="zh-TW"/>
        </w:rPr>
        <w:t xml:space="preserve"> tvērumā. </w:t>
      </w:r>
      <w:r w:rsidR="00F24700" w:rsidRPr="002A657E">
        <w:rPr>
          <w:lang w:eastAsia="zh-TW"/>
        </w:rPr>
        <w:t>Savukārt a</w:t>
      </w:r>
      <w:r w:rsidR="00B01DB9" w:rsidRPr="002A657E">
        <w:rPr>
          <w:lang w:eastAsia="zh-TW"/>
        </w:rPr>
        <w:t xml:space="preserve">tbilstoši Satversmes </w:t>
      </w:r>
      <w:proofErr w:type="gramStart"/>
      <w:r w:rsidR="00B01DB9" w:rsidRPr="002A657E">
        <w:rPr>
          <w:lang w:eastAsia="zh-TW"/>
        </w:rPr>
        <w:t>89.pantam</w:t>
      </w:r>
      <w:proofErr w:type="gramEnd"/>
      <w:r w:rsidR="00B01DB9" w:rsidRPr="002A657E">
        <w:rPr>
          <w:lang w:eastAsia="zh-TW"/>
        </w:rPr>
        <w:t xml:space="preserve"> valsts atzīst un aizsargā cilvēka pamattiesības saskaņā arī ar Latvijai saistošiem starptautiskajiem līgumiem.</w:t>
      </w:r>
    </w:p>
    <w:p w14:paraId="2FC5F578" w14:textId="7A138127" w:rsidR="00A0548C" w:rsidRPr="002A657E" w:rsidRDefault="00921C31" w:rsidP="002A657E">
      <w:pPr>
        <w:spacing w:line="276" w:lineRule="auto"/>
        <w:ind w:firstLine="567"/>
        <w:jc w:val="both"/>
      </w:pPr>
      <w:r w:rsidRPr="002A657E">
        <w:rPr>
          <w:lang w:eastAsia="zh-TW"/>
        </w:rPr>
        <w:t xml:space="preserve">Apgabaltiesa spriedumā atsaukusies </w:t>
      </w:r>
      <w:r w:rsidR="00A0548C" w:rsidRPr="002A657E">
        <w:rPr>
          <w:lang w:eastAsia="zh-TW"/>
        </w:rPr>
        <w:t xml:space="preserve">uz </w:t>
      </w:r>
      <w:r w:rsidRPr="002A657E">
        <w:rPr>
          <w:lang w:eastAsia="zh-TW"/>
        </w:rPr>
        <w:t xml:space="preserve">starptautiskajiem līgumiem, </w:t>
      </w:r>
      <w:r w:rsidR="00A4767F" w:rsidRPr="002A657E">
        <w:rPr>
          <w:lang w:eastAsia="zh-TW"/>
        </w:rPr>
        <w:t>tostarp</w:t>
      </w:r>
      <w:r w:rsidRPr="002A657E">
        <w:rPr>
          <w:lang w:eastAsia="zh-TW"/>
        </w:rPr>
        <w:t xml:space="preserve"> Eiropas Cilvēka tiesību un pamatbrīvību aizsardzības konvencijas</w:t>
      </w:r>
      <w:r w:rsidR="00223B11" w:rsidRPr="002A657E">
        <w:rPr>
          <w:lang w:eastAsia="zh-TW"/>
        </w:rPr>
        <w:t xml:space="preserve"> (turpmāk – konvencija</w:t>
      </w:r>
      <w:r w:rsidR="00CB2229" w:rsidRPr="002A657E">
        <w:rPr>
          <w:lang w:eastAsia="zh-TW"/>
        </w:rPr>
        <w:t>)</w:t>
      </w:r>
      <w:r w:rsidRPr="002A657E">
        <w:rPr>
          <w:lang w:eastAsia="zh-TW"/>
        </w:rPr>
        <w:t xml:space="preserve"> </w:t>
      </w:r>
      <w:proofErr w:type="gramStart"/>
      <w:r w:rsidR="00A72A1A" w:rsidRPr="002A657E">
        <w:rPr>
          <w:lang w:eastAsia="zh-TW"/>
        </w:rPr>
        <w:t>9.pantu</w:t>
      </w:r>
      <w:proofErr w:type="gramEnd"/>
      <w:r w:rsidR="00A72A1A" w:rsidRPr="002A657E">
        <w:rPr>
          <w:lang w:eastAsia="zh-TW"/>
        </w:rPr>
        <w:t xml:space="preserve">, kā arī </w:t>
      </w:r>
      <w:r w:rsidR="00A0548C" w:rsidRPr="002A657E">
        <w:rPr>
          <w:lang w:eastAsia="zh-TW"/>
        </w:rPr>
        <w:t>norādījusi</w:t>
      </w:r>
      <w:r w:rsidRPr="002A657E">
        <w:rPr>
          <w:lang w:eastAsia="zh-TW"/>
        </w:rPr>
        <w:t xml:space="preserve"> uz Eiropas Cilvēktiesību tiesas (turpmāk – </w:t>
      </w:r>
      <w:r w:rsidR="00A0548C" w:rsidRPr="002A657E">
        <w:rPr>
          <w:lang w:eastAsia="zh-TW"/>
        </w:rPr>
        <w:t>Cilvēktiesību</w:t>
      </w:r>
      <w:r w:rsidRPr="002A657E">
        <w:rPr>
          <w:lang w:eastAsia="zh-TW"/>
        </w:rPr>
        <w:t xml:space="preserve"> tiesa)</w:t>
      </w:r>
      <w:r w:rsidR="00A0548C" w:rsidRPr="002A657E">
        <w:rPr>
          <w:lang w:eastAsia="zh-TW"/>
        </w:rPr>
        <w:t xml:space="preserve"> </w:t>
      </w:r>
      <w:r w:rsidRPr="002A657E">
        <w:t>2011.gada 7.jūlija spriedum</w:t>
      </w:r>
      <w:r w:rsidR="00A0548C" w:rsidRPr="002A657E">
        <w:t>ā</w:t>
      </w:r>
      <w:r w:rsidRPr="002A657E">
        <w:t xml:space="preserve"> lietā „</w:t>
      </w:r>
      <w:proofErr w:type="spellStart"/>
      <w:r w:rsidRPr="002A657E">
        <w:t>Bayatyan</w:t>
      </w:r>
      <w:proofErr w:type="spellEnd"/>
      <w:r w:rsidRPr="002A657E">
        <w:t xml:space="preserve"> v. </w:t>
      </w:r>
      <w:proofErr w:type="spellStart"/>
      <w:r w:rsidRPr="002A657E">
        <w:t>Armenia</w:t>
      </w:r>
      <w:proofErr w:type="spellEnd"/>
      <w:r w:rsidRPr="002A657E">
        <w:t>”</w:t>
      </w:r>
      <w:r w:rsidR="00A72A1A" w:rsidRPr="002A657E">
        <w:t xml:space="preserve"> (</w:t>
      </w:r>
      <w:r w:rsidR="00A72A1A" w:rsidRPr="002A657E">
        <w:rPr>
          <w:i/>
          <w:iCs/>
        </w:rPr>
        <w:t>pieteikum</w:t>
      </w:r>
      <w:r w:rsidR="00912C22" w:rsidRPr="002A657E">
        <w:rPr>
          <w:i/>
          <w:iCs/>
        </w:rPr>
        <w:t>a</w:t>
      </w:r>
      <w:r w:rsidR="00A72A1A" w:rsidRPr="002A657E">
        <w:rPr>
          <w:i/>
          <w:iCs/>
        </w:rPr>
        <w:t xml:space="preserve"> </w:t>
      </w:r>
      <w:r w:rsidR="00912C22" w:rsidRPr="002A657E">
        <w:rPr>
          <w:i/>
          <w:iCs/>
        </w:rPr>
        <w:t>N</w:t>
      </w:r>
      <w:r w:rsidR="00A72A1A" w:rsidRPr="002A657E">
        <w:rPr>
          <w:i/>
          <w:iCs/>
        </w:rPr>
        <w:t>r. 23459/03</w:t>
      </w:r>
      <w:r w:rsidR="00A72A1A" w:rsidRPr="002A657E">
        <w:t>)</w:t>
      </w:r>
      <w:r w:rsidR="00A4767F" w:rsidRPr="002A657E">
        <w:t xml:space="preserve"> ietvertajām</w:t>
      </w:r>
      <w:r w:rsidR="00A4767F" w:rsidRPr="002A657E">
        <w:rPr>
          <w:lang w:eastAsia="zh-TW"/>
        </w:rPr>
        <w:t xml:space="preserve"> atziņām.</w:t>
      </w:r>
    </w:p>
    <w:p w14:paraId="3BFC2AB9" w14:textId="0BF21D7E" w:rsidR="00911BB0" w:rsidRPr="002A657E" w:rsidRDefault="00A0548C" w:rsidP="002A657E">
      <w:pPr>
        <w:spacing w:line="276" w:lineRule="auto"/>
        <w:ind w:firstLine="567"/>
        <w:jc w:val="both"/>
      </w:pPr>
      <w:r w:rsidRPr="002A657E">
        <w:t>Senāts vērš uzmanību, ka ar šo spriedumu Cilvēktiesību tiesa</w:t>
      </w:r>
      <w:r w:rsidR="00A4767F" w:rsidRPr="002A657E">
        <w:t xml:space="preserve">s Lielā palāta </w:t>
      </w:r>
      <w:r w:rsidR="00921C31" w:rsidRPr="002A657E">
        <w:t xml:space="preserve">mainīja savu </w:t>
      </w:r>
      <w:r w:rsidR="00223B11" w:rsidRPr="002A657E">
        <w:t>iepriekšējo judikatūru</w:t>
      </w:r>
      <w:r w:rsidR="00921C31" w:rsidRPr="002A657E">
        <w:t>, atbilstoši kurai tas, vai ir pieļaujama pārliecībā balstīta atteikšanās</w:t>
      </w:r>
      <w:r w:rsidR="00B530CF" w:rsidRPr="002A657E">
        <w:t xml:space="preserve"> no militārā dienesta</w:t>
      </w:r>
      <w:r w:rsidR="00921C31" w:rsidRPr="002A657E">
        <w:t xml:space="preserve">, bija valstu izvēles jautājums. </w:t>
      </w:r>
      <w:r w:rsidR="00A4767F" w:rsidRPr="002A657E">
        <w:t xml:space="preserve">Cilvēktiesību tiesa secināja, ka </w:t>
      </w:r>
      <w:r w:rsidR="00752084" w:rsidRPr="002A657E">
        <w:t>tiesības atteikties no militārā dienesta, pamat</w:t>
      </w:r>
      <w:r w:rsidR="00CB2229" w:rsidRPr="002A657E">
        <w:t>o</w:t>
      </w:r>
      <w:r w:rsidR="00752084" w:rsidRPr="002A657E">
        <w:t xml:space="preserve">joties uz pārliecību, ir </w:t>
      </w:r>
      <w:r w:rsidR="00223B11" w:rsidRPr="002A657E">
        <w:t xml:space="preserve">ietvertas </w:t>
      </w:r>
      <w:r w:rsidR="00752084" w:rsidRPr="002A657E">
        <w:t xml:space="preserve">konvencijas </w:t>
      </w:r>
      <w:proofErr w:type="gramStart"/>
      <w:r w:rsidR="00752084" w:rsidRPr="002A657E">
        <w:t>9.pantā</w:t>
      </w:r>
      <w:proofErr w:type="gramEnd"/>
      <w:r w:rsidR="00752084" w:rsidRPr="002A657E">
        <w:t>.</w:t>
      </w:r>
    </w:p>
    <w:p w14:paraId="2455DAB3" w14:textId="630128EE" w:rsidR="00DD7561" w:rsidRPr="002A657E" w:rsidRDefault="00AF32AE" w:rsidP="002A657E">
      <w:pPr>
        <w:spacing w:line="276" w:lineRule="auto"/>
        <w:ind w:firstLine="567"/>
        <w:jc w:val="both"/>
      </w:pPr>
      <w:r w:rsidRPr="002A657E">
        <w:t xml:space="preserve">Tāpat Senāts vērš uzmanību uz faktu, ka Eiropas Savienības Pamattiesību hartas, kas </w:t>
      </w:r>
      <w:r w:rsidR="00223B11" w:rsidRPr="002A657E">
        <w:t>stājās spēkā</w:t>
      </w:r>
      <w:r w:rsidRPr="002A657E">
        <w:t xml:space="preserve"> </w:t>
      </w:r>
      <w:proofErr w:type="gramStart"/>
      <w:r w:rsidRPr="002A657E">
        <w:t>200</w:t>
      </w:r>
      <w:r w:rsidR="00223B11" w:rsidRPr="002A657E">
        <w:t>9</w:t>
      </w:r>
      <w:r w:rsidRPr="002A657E">
        <w:t>.gadā</w:t>
      </w:r>
      <w:proofErr w:type="gramEnd"/>
      <w:r w:rsidRPr="002A657E">
        <w:t>, 10.panta otrajā daļā tiešā tekstā ir minētas tiesības uz pārliecībā balstītu atteikšanos. Uz to iepriekš minētajā spriedumā atsaucās arī</w:t>
      </w:r>
      <w:r w:rsidR="00223B11" w:rsidRPr="002A657E">
        <w:t xml:space="preserve"> C</w:t>
      </w:r>
      <w:r w:rsidRPr="002A657E">
        <w:t xml:space="preserve">ilvēktiesību tiesa, norādot, ka </w:t>
      </w:r>
      <w:r w:rsidR="00223B11" w:rsidRPr="002A657E">
        <w:t xml:space="preserve">tas </w:t>
      </w:r>
      <w:r w:rsidR="00223B11" w:rsidRPr="002A657E">
        <w:lastRenderedPageBreak/>
        <w:t>atspoguļo vienprātī</w:t>
      </w:r>
      <w:r w:rsidR="009A2EE8" w:rsidRPr="002A657E">
        <w:t>bu</w:t>
      </w:r>
      <w:r w:rsidR="00223B11" w:rsidRPr="002A657E">
        <w:t xml:space="preserve"> Eiropas Savienības dalībvalstu starpā attiecībā uz šīm tiesībām, kā arī šo tiesību nozīmīgumu mūsdienu Eiropas sabiedrībā </w:t>
      </w:r>
      <w:r w:rsidRPr="002A657E">
        <w:t>(</w:t>
      </w:r>
      <w:r w:rsidRPr="002A657E">
        <w:rPr>
          <w:i/>
          <w:iCs/>
        </w:rPr>
        <w:t>sprieduma 10</w:t>
      </w:r>
      <w:r w:rsidR="00223B11" w:rsidRPr="002A657E">
        <w:rPr>
          <w:i/>
          <w:iCs/>
        </w:rPr>
        <w:t>6</w:t>
      </w:r>
      <w:r w:rsidRPr="002A657E">
        <w:rPr>
          <w:i/>
          <w:iCs/>
        </w:rPr>
        <w:t>.punkts</w:t>
      </w:r>
      <w:r w:rsidRPr="002A657E">
        <w:t>)</w:t>
      </w:r>
      <w:r w:rsidR="00223B11" w:rsidRPr="002A657E">
        <w:t xml:space="preserve">. </w:t>
      </w:r>
    </w:p>
    <w:p w14:paraId="270DC54D" w14:textId="66D85E94" w:rsidR="00DD7561" w:rsidRPr="002A657E" w:rsidRDefault="000838FE" w:rsidP="002A657E">
      <w:pPr>
        <w:spacing w:line="276" w:lineRule="auto"/>
        <w:ind w:firstLine="567"/>
        <w:jc w:val="both"/>
      </w:pPr>
      <w:r w:rsidRPr="002A657E">
        <w:t>Savukārt</w:t>
      </w:r>
      <w:r w:rsidR="00DD7561" w:rsidRPr="002A657E">
        <w:t xml:space="preserve"> Eiropas Padomes Ministru komiteja </w:t>
      </w:r>
      <w:proofErr w:type="gramStart"/>
      <w:r w:rsidRPr="002A657E">
        <w:t>2010.gad</w:t>
      </w:r>
      <w:r w:rsidR="00E33655" w:rsidRPr="002A657E">
        <w:t>a</w:t>
      </w:r>
      <w:proofErr w:type="gramEnd"/>
      <w:r w:rsidR="00E33655" w:rsidRPr="002A657E">
        <w:t xml:space="preserve"> 12.februārī</w:t>
      </w:r>
      <w:r w:rsidRPr="002A657E">
        <w:t xml:space="preserve"> ir </w:t>
      </w:r>
      <w:r w:rsidR="00DD7561" w:rsidRPr="002A657E">
        <w:t>pieņēm</w:t>
      </w:r>
      <w:r w:rsidRPr="002A657E">
        <w:t>usi</w:t>
      </w:r>
      <w:r w:rsidR="00DD7561" w:rsidRPr="002A657E">
        <w:t xml:space="preserve"> rekomendāciju </w:t>
      </w:r>
      <w:r w:rsidR="00E33655" w:rsidRPr="002A657E">
        <w:t xml:space="preserve">CM/Rec(2010)4 </w:t>
      </w:r>
      <w:r w:rsidR="00DD7561" w:rsidRPr="002A657E">
        <w:t xml:space="preserve">par bruņoto spēku locekļu cilvēktiesībām </w:t>
      </w:r>
      <w:r w:rsidR="00E33655" w:rsidRPr="002A657E">
        <w:t xml:space="preserve">(pieejama: </w:t>
      </w:r>
      <w:hyperlink r:id="rId6" w:history="1">
        <w:r w:rsidR="00E33655" w:rsidRPr="002A657E">
          <w:rPr>
            <w:rStyle w:val="Hyperlink"/>
            <w:i/>
            <w:iCs/>
            <w:color w:val="auto"/>
            <w:u w:val="none"/>
          </w:rPr>
          <w:t>https://search.coe.int/cm/Pages/result_details.aspx?ObjectID=09000016805cf8ef</w:t>
        </w:r>
      </w:hyperlink>
      <w:r w:rsidR="00E33655" w:rsidRPr="002A657E">
        <w:rPr>
          <w:rStyle w:val="Hyperlink"/>
          <w:color w:val="auto"/>
          <w:u w:val="none"/>
        </w:rPr>
        <w:t>)</w:t>
      </w:r>
      <w:r w:rsidR="00DD7561" w:rsidRPr="002A657E">
        <w:t>,</w:t>
      </w:r>
      <w:r w:rsidR="002009FC" w:rsidRPr="002A657E">
        <w:t xml:space="preserve"> </w:t>
      </w:r>
      <w:r w:rsidR="00DD7561" w:rsidRPr="002A657E">
        <w:t>kur</w:t>
      </w:r>
      <w:r w:rsidR="00E33655" w:rsidRPr="002A657E">
        <w:t xml:space="preserve">ā </w:t>
      </w:r>
      <w:r w:rsidRPr="002A657E">
        <w:t>ieteik</w:t>
      </w:r>
      <w:r w:rsidR="00E33655" w:rsidRPr="002A657E">
        <w:t>ts Eiropas Padomes</w:t>
      </w:r>
      <w:r w:rsidRPr="002A657E">
        <w:t xml:space="preserve"> dalībvalstīm respektēt pārliecības brīvību, kas ietver arī iespēju </w:t>
      </w:r>
      <w:r w:rsidR="00DD7561" w:rsidRPr="002A657E">
        <w:t>bruņoto spēku profesionālajiem locekļiem pamest bruņotos spēkus pārliecīb</w:t>
      </w:r>
      <w:r w:rsidRPr="002A657E">
        <w:t>as</w:t>
      </w:r>
      <w:r w:rsidR="00DD7561" w:rsidRPr="002A657E">
        <w:t xml:space="preserve"> dēļ</w:t>
      </w:r>
      <w:r w:rsidR="00E33655" w:rsidRPr="002A657E">
        <w:t xml:space="preserve"> (42.punkts), bet atteikuma gadījumā šo atteikumu pakļaut neatkarīgas un objektīvas institūcijas pārbaudei</w:t>
      </w:r>
      <w:r w:rsidR="00493C1C" w:rsidRPr="002A657E">
        <w:t xml:space="preserve"> (44.punkts)</w:t>
      </w:r>
      <w:r w:rsidR="00E33655" w:rsidRPr="002A657E">
        <w:t xml:space="preserve">. </w:t>
      </w:r>
    </w:p>
    <w:p w14:paraId="30FA3195" w14:textId="49123271" w:rsidR="0095718C" w:rsidRPr="002A657E" w:rsidRDefault="00D85320" w:rsidP="002A657E">
      <w:pPr>
        <w:spacing w:line="276" w:lineRule="auto"/>
        <w:ind w:firstLine="567"/>
        <w:jc w:val="both"/>
      </w:pPr>
      <w:r w:rsidRPr="002A657E">
        <w:t>Kā redzams no minētā, tiesības</w:t>
      </w:r>
      <w:r w:rsidR="009A2EE8" w:rsidRPr="002A657E">
        <w:t xml:space="preserve"> atteikties no militārā dienesta</w:t>
      </w:r>
      <w:r w:rsidR="00E01B38" w:rsidRPr="002A657E">
        <w:t xml:space="preserve"> pārliecības dēļ</w:t>
      </w:r>
      <w:r w:rsidRPr="002A657E">
        <w:t xml:space="preserve"> pēdējā desmitgadē ir attīstīj</w:t>
      </w:r>
      <w:r w:rsidR="009A2EE8" w:rsidRPr="002A657E">
        <w:t>u</w:t>
      </w:r>
      <w:r w:rsidRPr="002A657E">
        <w:t>šās</w:t>
      </w:r>
      <w:r w:rsidR="00CB2229" w:rsidRPr="002A657E">
        <w:t>,</w:t>
      </w:r>
      <w:r w:rsidRPr="002A657E">
        <w:t xml:space="preserve"> </w:t>
      </w:r>
      <w:r w:rsidR="009A2EE8" w:rsidRPr="002A657E">
        <w:t xml:space="preserve">un </w:t>
      </w:r>
      <w:r w:rsidR="00E33655" w:rsidRPr="002A657E">
        <w:t>šo apstākli</w:t>
      </w:r>
      <w:r w:rsidR="009A2EE8" w:rsidRPr="002A657E">
        <w:t xml:space="preserve"> nevar neņemt vērā, interpretējot nacionālās tiesību normas. Nekas neliecina, ka </w:t>
      </w:r>
      <w:r w:rsidR="0095718C" w:rsidRPr="002A657E">
        <w:t>likumdevējs</w:t>
      </w:r>
      <w:r w:rsidR="00E01B38" w:rsidRPr="002A657E">
        <w:t xml:space="preserve">, izstrādājot </w:t>
      </w:r>
      <w:r w:rsidR="00E01B38" w:rsidRPr="002A657E">
        <w:rPr>
          <w:lang w:eastAsia="zh-TW"/>
        </w:rPr>
        <w:t>Militārā dienesta likuma normas,</w:t>
      </w:r>
      <w:r w:rsidR="0095718C" w:rsidRPr="002A657E">
        <w:t xml:space="preserve"> </w:t>
      </w:r>
      <w:r w:rsidR="006A24F4" w:rsidRPr="002A657E">
        <w:t xml:space="preserve">šādu attīstību </w:t>
      </w:r>
      <w:r w:rsidRPr="002A657E">
        <w:t>varētu būt apsvēris</w:t>
      </w:r>
      <w:r w:rsidR="006A24F4" w:rsidRPr="002A657E">
        <w:t xml:space="preserve">. </w:t>
      </w:r>
      <w:r w:rsidR="0095718C" w:rsidRPr="002A657E">
        <w:t xml:space="preserve"> </w:t>
      </w:r>
    </w:p>
    <w:p w14:paraId="04452AA5" w14:textId="7169FE1A" w:rsidR="00CB2229" w:rsidRPr="002A657E" w:rsidRDefault="00CB2229" w:rsidP="002A657E">
      <w:pPr>
        <w:spacing w:line="276" w:lineRule="auto"/>
        <w:ind w:firstLine="567"/>
        <w:jc w:val="both"/>
      </w:pPr>
      <w:r w:rsidRPr="002A657E">
        <w:t xml:space="preserve">Ņemot vērā iepriekš minēto, </w:t>
      </w:r>
      <w:r w:rsidR="008757F5" w:rsidRPr="002A657E">
        <w:t xml:space="preserve">noraidāms ir </w:t>
      </w:r>
      <w:r w:rsidRPr="002A657E">
        <w:t>arguments, ka likumdevējs ir apsvēris, ka personas pārliecība nevar būt pamats atbrīvošanai no rezerves karavīra statusa.</w:t>
      </w:r>
    </w:p>
    <w:p w14:paraId="055EF9F5" w14:textId="27A7CF4C" w:rsidR="00752084" w:rsidRPr="002A657E" w:rsidRDefault="00752084" w:rsidP="002A657E">
      <w:pPr>
        <w:spacing w:line="276" w:lineRule="auto"/>
        <w:ind w:firstLine="567"/>
        <w:jc w:val="both"/>
      </w:pPr>
    </w:p>
    <w:p w14:paraId="654944B7" w14:textId="0549B228" w:rsidR="006A24F4" w:rsidRPr="002A657E" w:rsidRDefault="00752084" w:rsidP="002A657E">
      <w:pPr>
        <w:spacing w:line="276" w:lineRule="auto"/>
        <w:ind w:firstLine="567"/>
        <w:jc w:val="both"/>
      </w:pPr>
      <w:r w:rsidRPr="002A657E">
        <w:t>[</w:t>
      </w:r>
      <w:r w:rsidR="00911BB0" w:rsidRPr="002A657E">
        <w:t>10</w:t>
      </w:r>
      <w:r w:rsidR="00973AEA" w:rsidRPr="002A657E">
        <w:t>] </w:t>
      </w:r>
      <w:r w:rsidR="006A24F4" w:rsidRPr="002A657E">
        <w:t xml:space="preserve">Vienlaikus Senāts vērš uzmanību, ka </w:t>
      </w:r>
      <w:r w:rsidR="006A24F4" w:rsidRPr="002A657E">
        <w:rPr>
          <w:lang w:eastAsia="zh-TW"/>
        </w:rPr>
        <w:t>Cilvēktiesību tiesa</w:t>
      </w:r>
      <w:r w:rsidR="00E17554" w:rsidRPr="002A657E">
        <w:rPr>
          <w:lang w:eastAsia="zh-TW"/>
        </w:rPr>
        <w:t xml:space="preserve"> vairākās lietās (</w:t>
      </w:r>
      <w:r w:rsidR="00E17554" w:rsidRPr="002A657E">
        <w:rPr>
          <w:iCs/>
          <w:lang w:eastAsia="zh-TW"/>
        </w:rPr>
        <w:t>piemēram,</w:t>
      </w:r>
      <w:r w:rsidR="00E17554" w:rsidRPr="002A657E">
        <w:rPr>
          <w:i/>
          <w:iCs/>
          <w:lang w:eastAsia="zh-TW"/>
        </w:rPr>
        <w:t xml:space="preserve"> </w:t>
      </w:r>
      <w:proofErr w:type="gramStart"/>
      <w:r w:rsidR="00E17554" w:rsidRPr="002A657E">
        <w:rPr>
          <w:i/>
          <w:iCs/>
          <w:lang w:eastAsia="zh-TW"/>
        </w:rPr>
        <w:t>2016.gada</w:t>
      </w:r>
      <w:proofErr w:type="gramEnd"/>
      <w:r w:rsidR="00E17554" w:rsidRPr="002A657E">
        <w:rPr>
          <w:i/>
          <w:iCs/>
          <w:lang w:eastAsia="zh-TW"/>
        </w:rPr>
        <w:t xml:space="preserve"> 15.septembr</w:t>
      </w:r>
      <w:r w:rsidR="007A3789" w:rsidRPr="002A657E">
        <w:rPr>
          <w:i/>
          <w:iCs/>
          <w:lang w:eastAsia="zh-TW"/>
        </w:rPr>
        <w:t>a</w:t>
      </w:r>
      <w:r w:rsidR="00E17554" w:rsidRPr="002A657E">
        <w:rPr>
          <w:i/>
          <w:iCs/>
          <w:lang w:eastAsia="zh-TW"/>
        </w:rPr>
        <w:t xml:space="preserve"> spriedum</w:t>
      </w:r>
      <w:r w:rsidR="007A3789" w:rsidRPr="002A657E">
        <w:rPr>
          <w:i/>
          <w:iCs/>
          <w:lang w:eastAsia="zh-TW"/>
        </w:rPr>
        <w:t>s</w:t>
      </w:r>
      <w:r w:rsidR="00E17554" w:rsidRPr="002A657E">
        <w:rPr>
          <w:i/>
          <w:iCs/>
          <w:lang w:eastAsia="zh-TW"/>
        </w:rPr>
        <w:t xml:space="preserve"> lietā </w:t>
      </w:r>
      <w:r w:rsidR="00BF38C0" w:rsidRPr="002A657E">
        <w:rPr>
          <w:i/>
          <w:iCs/>
        </w:rPr>
        <w:t>„</w:t>
      </w:r>
      <w:proofErr w:type="spellStart"/>
      <w:r w:rsidR="00E17554" w:rsidRPr="002A657E">
        <w:rPr>
          <w:i/>
          <w:iCs/>
          <w:lang w:eastAsia="zh-TW"/>
        </w:rPr>
        <w:t>Papavasilakis</w:t>
      </w:r>
      <w:proofErr w:type="spellEnd"/>
      <w:r w:rsidR="00E17554" w:rsidRPr="002A657E">
        <w:rPr>
          <w:i/>
          <w:iCs/>
          <w:lang w:eastAsia="zh-TW"/>
        </w:rPr>
        <w:t xml:space="preserve"> </w:t>
      </w:r>
      <w:r w:rsidR="00E17554" w:rsidRPr="002A657E">
        <w:rPr>
          <w:i/>
          <w:iCs/>
        </w:rPr>
        <w:t xml:space="preserve">v. </w:t>
      </w:r>
      <w:proofErr w:type="spellStart"/>
      <w:r w:rsidR="00E17554" w:rsidRPr="002A657E">
        <w:rPr>
          <w:i/>
          <w:iCs/>
        </w:rPr>
        <w:t>Greece</w:t>
      </w:r>
      <w:proofErr w:type="spellEnd"/>
      <w:r w:rsidR="00E17554" w:rsidRPr="002A657E">
        <w:rPr>
          <w:i/>
          <w:iCs/>
          <w:lang w:eastAsia="zh-TW"/>
        </w:rPr>
        <w:t xml:space="preserve">”, </w:t>
      </w:r>
      <w:r w:rsidR="00F92D1B" w:rsidRPr="002A657E">
        <w:rPr>
          <w:i/>
          <w:iCs/>
          <w:lang w:eastAsia="zh-TW"/>
        </w:rPr>
        <w:t>iesnieguma N</w:t>
      </w:r>
      <w:r w:rsidR="00E17554" w:rsidRPr="002A657E">
        <w:rPr>
          <w:i/>
          <w:iCs/>
          <w:lang w:eastAsia="zh-TW"/>
        </w:rPr>
        <w:t xml:space="preserve">r. </w:t>
      </w:r>
      <w:r w:rsidR="00FA12FB" w:rsidRPr="002A657E">
        <w:rPr>
          <w:i/>
          <w:iCs/>
        </w:rPr>
        <w:t>66899/14;</w:t>
      </w:r>
      <w:proofErr w:type="gramStart"/>
      <w:r w:rsidR="00E17554" w:rsidRPr="002A657E">
        <w:rPr>
          <w:i/>
          <w:iCs/>
        </w:rPr>
        <w:t xml:space="preserve"> </w:t>
      </w:r>
      <w:r w:rsidR="007A3789" w:rsidRPr="002A657E">
        <w:rPr>
          <w:i/>
          <w:iCs/>
        </w:rPr>
        <w:t xml:space="preserve"> </w:t>
      </w:r>
      <w:proofErr w:type="gramEnd"/>
      <w:r w:rsidR="007A3789" w:rsidRPr="002A657E">
        <w:rPr>
          <w:i/>
          <w:iCs/>
        </w:rPr>
        <w:t>2020.gada 10.marta spriedums lietā „</w:t>
      </w:r>
      <w:proofErr w:type="spellStart"/>
      <w:r w:rsidR="007A3789" w:rsidRPr="002A657E">
        <w:rPr>
          <w:i/>
          <w:iCs/>
        </w:rPr>
        <w:t>Dyagilev</w:t>
      </w:r>
      <w:proofErr w:type="spellEnd"/>
      <w:r w:rsidR="007A3789" w:rsidRPr="002A657E">
        <w:rPr>
          <w:i/>
          <w:iCs/>
        </w:rPr>
        <w:t xml:space="preserve"> v. </w:t>
      </w:r>
      <w:proofErr w:type="spellStart"/>
      <w:r w:rsidR="007A3789" w:rsidRPr="002A657E">
        <w:rPr>
          <w:i/>
          <w:iCs/>
        </w:rPr>
        <w:t>Russia</w:t>
      </w:r>
      <w:proofErr w:type="spellEnd"/>
      <w:r w:rsidR="007A3789" w:rsidRPr="002A657E">
        <w:rPr>
          <w:i/>
          <w:iCs/>
        </w:rPr>
        <w:t>”, iesnieguma Nr. 49972/16</w:t>
      </w:r>
      <w:r w:rsidR="00E17554" w:rsidRPr="002A657E">
        <w:rPr>
          <w:lang w:eastAsia="zh-TW"/>
        </w:rPr>
        <w:t xml:space="preserve">) </w:t>
      </w:r>
      <w:r w:rsidR="006A24F4" w:rsidRPr="002A657E">
        <w:rPr>
          <w:lang w:eastAsia="zh-TW"/>
        </w:rPr>
        <w:t>ir</w:t>
      </w:r>
      <w:r w:rsidR="00E17554" w:rsidRPr="002A657E">
        <w:rPr>
          <w:lang w:eastAsia="zh-TW"/>
        </w:rPr>
        <w:t xml:space="preserve"> arī</w:t>
      </w:r>
      <w:r w:rsidR="006A24F4" w:rsidRPr="002A657E">
        <w:rPr>
          <w:lang w:eastAsia="zh-TW"/>
        </w:rPr>
        <w:t xml:space="preserve"> atzin</w:t>
      </w:r>
      <w:r w:rsidR="00E17554" w:rsidRPr="002A657E">
        <w:rPr>
          <w:lang w:eastAsia="zh-TW"/>
        </w:rPr>
        <w:t>usi</w:t>
      </w:r>
      <w:r w:rsidR="006A24F4" w:rsidRPr="002A657E">
        <w:rPr>
          <w:lang w:eastAsia="zh-TW"/>
        </w:rPr>
        <w:t xml:space="preserve">, ka kompetentās valsts iestādes drīkst iztaujāt personu, lai novērtētu tās pārliecības nopietnību un novērstu mēģinājumus ļaunprātīgi izmantot konvencijas </w:t>
      </w:r>
      <w:proofErr w:type="gramStart"/>
      <w:r w:rsidR="006A24F4" w:rsidRPr="002A657E">
        <w:rPr>
          <w:lang w:eastAsia="zh-TW"/>
        </w:rPr>
        <w:t>9.pantā</w:t>
      </w:r>
      <w:proofErr w:type="gramEnd"/>
      <w:r w:rsidR="006A24F4" w:rsidRPr="002A657E">
        <w:rPr>
          <w:lang w:eastAsia="zh-TW"/>
        </w:rPr>
        <w:t xml:space="preserve"> paredzētās garantijas.</w:t>
      </w:r>
      <w:r w:rsidR="007A3789" w:rsidRPr="002A657E">
        <w:rPr>
          <w:lang w:eastAsia="zh-TW"/>
        </w:rPr>
        <w:t xml:space="preserve"> </w:t>
      </w:r>
      <w:r w:rsidR="00013189" w:rsidRPr="002A657E">
        <w:rPr>
          <w:lang w:eastAsia="zh-TW"/>
        </w:rPr>
        <w:t>To var darīt</w:t>
      </w:r>
      <w:r w:rsidR="007A3789" w:rsidRPr="002A657E">
        <w:t xml:space="preserve">, </w:t>
      </w:r>
      <w:r w:rsidR="00013189" w:rsidRPr="002A657E">
        <w:t>lai novērstu</w:t>
      </w:r>
      <w:r w:rsidR="007A3789" w:rsidRPr="002A657E">
        <w:t xml:space="preserve"> risk</w:t>
      </w:r>
      <w:r w:rsidR="00013189" w:rsidRPr="002A657E">
        <w:t>u</w:t>
      </w:r>
      <w:r w:rsidR="007A3789" w:rsidRPr="002A657E">
        <w:t xml:space="preserve">, ka </w:t>
      </w:r>
      <w:r w:rsidR="00013189" w:rsidRPr="002A657E">
        <w:t>persona</w:t>
      </w:r>
      <w:r w:rsidR="00E01B38" w:rsidRPr="002A657E">
        <w:t xml:space="preserve"> tikai</w:t>
      </w:r>
      <w:r w:rsidR="007A3789" w:rsidRPr="002A657E">
        <w:t xml:space="preserve"> izli</w:t>
      </w:r>
      <w:r w:rsidR="00F24700" w:rsidRPr="002A657E">
        <w:t>e</w:t>
      </w:r>
      <w:r w:rsidR="007A3789" w:rsidRPr="002A657E">
        <w:t>k</w:t>
      </w:r>
      <w:r w:rsidR="00E01B38" w:rsidRPr="002A657E">
        <w:t>as</w:t>
      </w:r>
      <w:r w:rsidR="007A3789" w:rsidRPr="002A657E">
        <w:t xml:space="preserve">, ka </w:t>
      </w:r>
      <w:r w:rsidR="00013189" w:rsidRPr="002A657E">
        <w:t>viņ</w:t>
      </w:r>
      <w:r w:rsidR="008F6E09" w:rsidRPr="002A657E">
        <w:t>as</w:t>
      </w:r>
      <w:r w:rsidR="00013189" w:rsidRPr="002A657E">
        <w:t xml:space="preserve"> atteikšanās</w:t>
      </w:r>
      <w:r w:rsidR="00286172" w:rsidRPr="002A657E">
        <w:t xml:space="preserve"> no militārā dienesta</w:t>
      </w:r>
      <w:r w:rsidR="00013189" w:rsidRPr="002A657E">
        <w:t xml:space="preserve"> ir balstīta </w:t>
      </w:r>
      <w:r w:rsidR="007A3789" w:rsidRPr="002A657E">
        <w:t>uz pārliecīb</w:t>
      </w:r>
      <w:r w:rsidR="00013189" w:rsidRPr="002A657E">
        <w:t>u</w:t>
      </w:r>
      <w:r w:rsidR="007A3789" w:rsidRPr="002A657E">
        <w:t xml:space="preserve">. </w:t>
      </w:r>
      <w:r w:rsidR="007A3789" w:rsidRPr="002A657E">
        <w:rPr>
          <w:lang w:eastAsia="zh-TW"/>
        </w:rPr>
        <w:t>Cilvēktiesību tiesa</w:t>
      </w:r>
      <w:r w:rsidR="006A24F4" w:rsidRPr="002A657E">
        <w:t xml:space="preserve"> </w:t>
      </w:r>
      <w:r w:rsidR="00CB2229" w:rsidRPr="002A657E">
        <w:t>atzinus</w:t>
      </w:r>
      <w:r w:rsidR="007A3789" w:rsidRPr="002A657E">
        <w:t>i</w:t>
      </w:r>
      <w:r w:rsidR="0026319F" w:rsidRPr="002A657E">
        <w:t xml:space="preserve">, ka, </w:t>
      </w:r>
      <w:r w:rsidR="006A24F4" w:rsidRPr="002A657E">
        <w:t xml:space="preserve">ja indivīds </w:t>
      </w:r>
      <w:r w:rsidR="00CB2229" w:rsidRPr="002A657E">
        <w:t xml:space="preserve">atsakās no </w:t>
      </w:r>
      <w:r w:rsidR="006A24F4" w:rsidRPr="002A657E">
        <w:t xml:space="preserve">militārā dienesta reliģiskās vai citas pārliecības dēļ, </w:t>
      </w:r>
      <w:r w:rsidR="00CB2229" w:rsidRPr="002A657E">
        <w:t xml:space="preserve">viņam </w:t>
      </w:r>
      <w:r w:rsidR="00412037" w:rsidRPr="002A657E">
        <w:t xml:space="preserve">var </w:t>
      </w:r>
      <w:r w:rsidR="00CB2229" w:rsidRPr="002A657E">
        <w:t xml:space="preserve">prasīt </w:t>
      </w:r>
      <w:r w:rsidR="00412037" w:rsidRPr="002A657E">
        <w:t xml:space="preserve">pamatot </w:t>
      </w:r>
      <w:r w:rsidR="00CB2229" w:rsidRPr="002A657E">
        <w:t>pārliecības patiesum</w:t>
      </w:r>
      <w:r w:rsidR="00412037" w:rsidRPr="002A657E">
        <w:t>u</w:t>
      </w:r>
      <w:r w:rsidR="00CB2229" w:rsidRPr="002A657E">
        <w:t xml:space="preserve"> </w:t>
      </w:r>
      <w:proofErr w:type="gramStart"/>
      <w:r w:rsidR="00CB2229" w:rsidRPr="002A657E">
        <w:t>un</w:t>
      </w:r>
      <w:r w:rsidR="00412037" w:rsidRPr="002A657E">
        <w:t>,</w:t>
      </w:r>
      <w:proofErr w:type="gramEnd"/>
      <w:r w:rsidR="00412037" w:rsidRPr="002A657E">
        <w:t xml:space="preserve"> ja šāda pamatojuma nav,</w:t>
      </w:r>
      <w:r w:rsidR="00CB2229" w:rsidRPr="002A657E">
        <w:t xml:space="preserve"> nonākt pie indivīdam ne</w:t>
      </w:r>
      <w:r w:rsidR="00286172" w:rsidRPr="002A657E">
        <w:t>labvēlīga</w:t>
      </w:r>
      <w:r w:rsidR="00CB2229" w:rsidRPr="002A657E">
        <w:t xml:space="preserve"> secinājuma.</w:t>
      </w:r>
      <w:r w:rsidR="006A24F4" w:rsidRPr="002A657E">
        <w:t xml:space="preserve"> </w:t>
      </w:r>
    </w:p>
    <w:p w14:paraId="15AE4315" w14:textId="774457BC" w:rsidR="000A6016" w:rsidRPr="002A657E" w:rsidRDefault="00837041" w:rsidP="002A657E">
      <w:pPr>
        <w:spacing w:line="276" w:lineRule="auto"/>
        <w:ind w:firstLine="567"/>
        <w:jc w:val="both"/>
        <w:rPr>
          <w:lang w:eastAsia="zh-TW"/>
        </w:rPr>
      </w:pPr>
      <w:r w:rsidRPr="002A657E">
        <w:rPr>
          <w:lang w:eastAsia="zh-TW"/>
        </w:rPr>
        <w:t>Tomēr konkr</w:t>
      </w:r>
      <w:r w:rsidR="00BF38C0" w:rsidRPr="002A657E">
        <w:rPr>
          <w:lang w:eastAsia="zh-TW"/>
        </w:rPr>
        <w:t>ē</w:t>
      </w:r>
      <w:r w:rsidRPr="002A657E">
        <w:rPr>
          <w:lang w:eastAsia="zh-TW"/>
        </w:rPr>
        <w:t>tajā gadījumā šiem argumentiem nav ietekmes uz lietas rezultātu, jo, kā jau minēts iepriekš</w:t>
      </w:r>
      <w:r w:rsidR="00BF38C0" w:rsidRPr="002A657E">
        <w:rPr>
          <w:lang w:eastAsia="zh-TW"/>
        </w:rPr>
        <w:t>,</w:t>
      </w:r>
      <w:r w:rsidRPr="002A657E">
        <w:t xml:space="preserve"> apgabaltiesa nav apšaubījusi pieteicējas </w:t>
      </w:r>
      <w:proofErr w:type="spellStart"/>
      <w:r w:rsidRPr="002A657E">
        <w:rPr>
          <w:lang w:eastAsia="zh-TW"/>
        </w:rPr>
        <w:t>pacifistiskās</w:t>
      </w:r>
      <w:proofErr w:type="spellEnd"/>
      <w:r w:rsidRPr="002A657E">
        <w:rPr>
          <w:lang w:eastAsia="zh-TW"/>
        </w:rPr>
        <w:t xml:space="preserve"> pārliecības patiesumu un noturību, </w:t>
      </w:r>
      <w:r w:rsidR="008F6E09" w:rsidRPr="002A657E">
        <w:rPr>
          <w:lang w:eastAsia="zh-TW"/>
        </w:rPr>
        <w:t>bet</w:t>
      </w:r>
      <w:r w:rsidRPr="002A657E">
        <w:rPr>
          <w:lang w:eastAsia="zh-TW"/>
        </w:rPr>
        <w:t xml:space="preserve"> kasācijas sūdzībā </w:t>
      </w:r>
      <w:r w:rsidR="008F6E09" w:rsidRPr="002A657E">
        <w:rPr>
          <w:lang w:eastAsia="zh-TW"/>
        </w:rPr>
        <w:t xml:space="preserve">šis </w:t>
      </w:r>
      <w:r w:rsidR="00F24700" w:rsidRPr="002A657E">
        <w:rPr>
          <w:lang w:eastAsia="zh-TW"/>
        </w:rPr>
        <w:t xml:space="preserve">apgabaltiesas </w:t>
      </w:r>
      <w:r w:rsidR="008F6E09" w:rsidRPr="002A657E">
        <w:rPr>
          <w:lang w:eastAsia="zh-TW"/>
        </w:rPr>
        <w:t>secinājums nav apstrīdēts</w:t>
      </w:r>
      <w:r w:rsidRPr="002A657E">
        <w:rPr>
          <w:lang w:eastAsia="zh-TW"/>
        </w:rPr>
        <w:t>.</w:t>
      </w:r>
    </w:p>
    <w:p w14:paraId="7E9D9D55" w14:textId="7FA9C614" w:rsidR="00911BB0" w:rsidRPr="002A657E" w:rsidRDefault="00911BB0" w:rsidP="002A657E">
      <w:pPr>
        <w:spacing w:line="276" w:lineRule="auto"/>
        <w:ind w:firstLine="567"/>
        <w:jc w:val="both"/>
        <w:rPr>
          <w:lang w:eastAsia="zh-TW"/>
        </w:rPr>
      </w:pPr>
    </w:p>
    <w:p w14:paraId="42AF053A" w14:textId="77777777" w:rsidR="00E33655" w:rsidRPr="002A657E" w:rsidRDefault="00785EBB" w:rsidP="002A657E">
      <w:pPr>
        <w:spacing w:line="276" w:lineRule="auto"/>
        <w:ind w:firstLine="567"/>
        <w:jc w:val="both"/>
        <w:rPr>
          <w:lang w:eastAsia="zh-TW"/>
        </w:rPr>
      </w:pPr>
      <w:r w:rsidRPr="002A657E">
        <w:rPr>
          <w:lang w:eastAsia="zh-TW"/>
        </w:rPr>
        <w:t>[</w:t>
      </w:r>
      <w:r w:rsidR="008F6E09" w:rsidRPr="002A657E">
        <w:rPr>
          <w:lang w:eastAsia="zh-TW"/>
        </w:rPr>
        <w:t>11</w:t>
      </w:r>
      <w:r w:rsidRPr="002A657E">
        <w:rPr>
          <w:lang w:eastAsia="zh-TW"/>
        </w:rPr>
        <w:t>]</w:t>
      </w:r>
      <w:r w:rsidR="00973AEA" w:rsidRPr="002A657E">
        <w:rPr>
          <w:lang w:eastAsia="zh-TW"/>
        </w:rPr>
        <w:t> </w:t>
      </w:r>
      <w:r w:rsidR="00E33655" w:rsidRPr="002A657E">
        <w:rPr>
          <w:lang w:eastAsia="zh-TW"/>
        </w:rPr>
        <w:t>Aizsardzības ministrija arī norādījusi</w:t>
      </w:r>
      <w:r w:rsidR="005C356C" w:rsidRPr="002A657E">
        <w:rPr>
          <w:lang w:eastAsia="zh-TW"/>
        </w:rPr>
        <w:t>, ka tiesa izdarījusi nepareizu</w:t>
      </w:r>
      <w:r w:rsidR="00477FD9" w:rsidRPr="002A657E">
        <w:rPr>
          <w:lang w:eastAsia="zh-TW"/>
        </w:rPr>
        <w:t>s</w:t>
      </w:r>
      <w:r w:rsidR="005C356C" w:rsidRPr="002A657E">
        <w:rPr>
          <w:lang w:eastAsia="zh-TW"/>
        </w:rPr>
        <w:t xml:space="preserve"> secinājumus par pieteicēja</w:t>
      </w:r>
      <w:r w:rsidR="00E33655" w:rsidRPr="002A657E">
        <w:rPr>
          <w:lang w:eastAsia="zh-TW"/>
        </w:rPr>
        <w:t>s</w:t>
      </w:r>
      <w:r w:rsidR="005C356C" w:rsidRPr="002A657E">
        <w:rPr>
          <w:lang w:eastAsia="zh-TW"/>
        </w:rPr>
        <w:t xml:space="preserve"> tiesību nesamērīgu ierobežošanu.</w:t>
      </w:r>
    </w:p>
    <w:p w14:paraId="1EA2CD88" w14:textId="4DD79879" w:rsidR="00D04970" w:rsidRPr="002A657E" w:rsidRDefault="00D04970" w:rsidP="002A657E">
      <w:pPr>
        <w:spacing w:line="276" w:lineRule="auto"/>
        <w:ind w:firstLine="567"/>
        <w:jc w:val="both"/>
        <w:rPr>
          <w:lang w:eastAsia="zh-TW"/>
        </w:rPr>
      </w:pPr>
      <w:r w:rsidRPr="002A657E">
        <w:rPr>
          <w:lang w:eastAsia="zh-TW"/>
        </w:rPr>
        <w:t xml:space="preserve">Apgabaltiesa secinājumus par </w:t>
      </w:r>
      <w:r w:rsidR="008E5782" w:rsidRPr="002A657E">
        <w:rPr>
          <w:lang w:eastAsia="zh-TW"/>
        </w:rPr>
        <w:t xml:space="preserve">ierobežojuma </w:t>
      </w:r>
      <w:r w:rsidR="00785EBB" w:rsidRPr="002A657E">
        <w:rPr>
          <w:lang w:eastAsia="zh-TW"/>
        </w:rPr>
        <w:t xml:space="preserve">nesamērīgumu balstījusi apsvērumā, ka pati par sevi atrašanās dienestā, kura darbības metodes un līdzekļi ir pretēji personas pārliecībai, pienākums pakļauties pavēlēm, par kuru neievērošanu var iestāties atbildība, pienākums saglabāt kaujas zinības, iemaņas un sagatavotību, būtiski ierobežo personas tiesības uz pārliecību. Savukārt ierobežojuma leģitīmo mērķi (citu cilvēku tiesību un sabiedrības drošības aizsardzība) var sasniegt ar mazāk ierobežojošiem līdzekļiem, ņemot vērā </w:t>
      </w:r>
      <w:r w:rsidR="007E1DF0" w:rsidRPr="002A657E">
        <w:rPr>
          <w:lang w:eastAsia="zh-TW"/>
        </w:rPr>
        <w:t>kopējo rezerves karavīru skaitu, apstākli, ka pieteicējas gadījums ir pirmais gadījums (kas norāda uz to, ka tas ir netipisks)</w:t>
      </w:r>
      <w:r w:rsidR="005C356C" w:rsidRPr="002A657E">
        <w:rPr>
          <w:lang w:eastAsia="zh-TW"/>
        </w:rPr>
        <w:t xml:space="preserve">, ka pieteicēja apguvusi tikai pamatapmācības kursu un nav guvusi papildu zināšanas, ka </w:t>
      </w:r>
      <w:r w:rsidR="008E5782" w:rsidRPr="002A657E">
        <w:rPr>
          <w:lang w:eastAsia="zh-TW"/>
        </w:rPr>
        <w:t xml:space="preserve">dienesta laikā pieteicēja guva traumu, kas pieteicējai radīja ne tikai fiziskas, bet arī garīgas ciešanas, un tam joprojām ir sekas, ka </w:t>
      </w:r>
      <w:r w:rsidR="005C356C" w:rsidRPr="002A657E">
        <w:rPr>
          <w:lang w:eastAsia="zh-TW"/>
        </w:rPr>
        <w:t>veselības stāvokļa dēļ pieteicēju nav paredzēts iesaukt uz militārajām mācībām.</w:t>
      </w:r>
    </w:p>
    <w:p w14:paraId="0D3F7E1C" w14:textId="6D195937" w:rsidR="008F6E09" w:rsidRPr="002A657E" w:rsidRDefault="008F6E09" w:rsidP="002A657E">
      <w:pPr>
        <w:spacing w:line="276" w:lineRule="auto"/>
        <w:ind w:firstLine="567"/>
        <w:jc w:val="both"/>
        <w:rPr>
          <w:lang w:eastAsia="zh-TW"/>
        </w:rPr>
      </w:pPr>
    </w:p>
    <w:p w14:paraId="6635FCD0" w14:textId="2453458D" w:rsidR="00125625" w:rsidRPr="002A657E" w:rsidRDefault="00125625" w:rsidP="002A657E">
      <w:pPr>
        <w:spacing w:line="276" w:lineRule="auto"/>
        <w:ind w:firstLine="567"/>
        <w:jc w:val="both"/>
        <w:rPr>
          <w:lang w:eastAsia="zh-TW"/>
        </w:rPr>
      </w:pPr>
    </w:p>
    <w:p w14:paraId="05D4A48D" w14:textId="5AC89577" w:rsidR="008F6E09" w:rsidRPr="002A657E" w:rsidRDefault="001C027D" w:rsidP="002A657E">
      <w:pPr>
        <w:spacing w:line="276" w:lineRule="auto"/>
        <w:ind w:firstLine="567"/>
        <w:jc w:val="both"/>
        <w:rPr>
          <w:lang w:eastAsia="zh-TW"/>
        </w:rPr>
      </w:pPr>
      <w:r w:rsidRPr="002A657E">
        <w:rPr>
          <w:lang w:eastAsia="zh-TW"/>
        </w:rPr>
        <w:lastRenderedPageBreak/>
        <w:t>[12</w:t>
      </w:r>
      <w:r w:rsidR="00973AEA" w:rsidRPr="002A657E">
        <w:rPr>
          <w:lang w:eastAsia="zh-TW"/>
        </w:rPr>
        <w:t>] </w:t>
      </w:r>
      <w:r w:rsidR="008F6E09" w:rsidRPr="002A657E">
        <w:rPr>
          <w:lang w:eastAsia="zh-TW"/>
        </w:rPr>
        <w:t>Izvērtējot apgabaltiesas secinājumus un kasācijas sūdzības argumentus kopumā, Senāts secina, ka kasācijas sūdzības argumenti neatspēko visus apgabaltiesas sprieduma argumentus, pat ja atsevišķiem kasācijas sūdzībā minētajiem argumentiem varētu piekrist.</w:t>
      </w:r>
    </w:p>
    <w:p w14:paraId="3B88E68A" w14:textId="7EA34D7D" w:rsidR="008F6E09" w:rsidRPr="002A657E" w:rsidRDefault="00E91A5C" w:rsidP="002A657E">
      <w:pPr>
        <w:spacing w:line="276" w:lineRule="auto"/>
        <w:ind w:firstLine="567"/>
        <w:jc w:val="both"/>
        <w:rPr>
          <w:lang w:eastAsia="zh-TW"/>
        </w:rPr>
      </w:pPr>
      <w:r w:rsidRPr="002A657E">
        <w:rPr>
          <w:lang w:eastAsia="zh-TW"/>
        </w:rPr>
        <w:t xml:space="preserve">Pieteicējas </w:t>
      </w:r>
      <w:r w:rsidR="008F6E09" w:rsidRPr="002A657E">
        <w:rPr>
          <w:lang w:eastAsia="zh-TW"/>
        </w:rPr>
        <w:t>tiesību ierobežojuma nesamērīgum</w:t>
      </w:r>
      <w:r w:rsidRPr="002A657E">
        <w:rPr>
          <w:lang w:eastAsia="zh-TW"/>
        </w:rPr>
        <w:t>s</w:t>
      </w:r>
      <w:r w:rsidR="008F6E09" w:rsidRPr="002A657E">
        <w:rPr>
          <w:lang w:eastAsia="zh-TW"/>
        </w:rPr>
        <w:t xml:space="preserve"> ar sasniedzamo mērķi</w:t>
      </w:r>
      <w:r w:rsidRPr="002A657E">
        <w:rPr>
          <w:lang w:eastAsia="zh-TW"/>
        </w:rPr>
        <w:t xml:space="preserve"> (</w:t>
      </w:r>
      <w:r w:rsidRPr="002A657E">
        <w:t>valsts aizsardzība un sabiedrības drošība)</w:t>
      </w:r>
      <w:r w:rsidR="008F6E09" w:rsidRPr="002A657E">
        <w:rPr>
          <w:lang w:eastAsia="zh-TW"/>
        </w:rPr>
        <w:t xml:space="preserve"> izriet no </w:t>
      </w:r>
      <w:r w:rsidRPr="002A657E">
        <w:rPr>
          <w:lang w:eastAsia="zh-TW"/>
        </w:rPr>
        <w:t xml:space="preserve">konkrētajā lietā konstatēto </w:t>
      </w:r>
      <w:r w:rsidR="008F6E09" w:rsidRPr="002A657E">
        <w:rPr>
          <w:lang w:eastAsia="zh-TW"/>
        </w:rPr>
        <w:t xml:space="preserve">apstākļu kopuma </w:t>
      </w:r>
      <w:r w:rsidRPr="002A657E">
        <w:rPr>
          <w:lang w:eastAsia="zh-TW"/>
        </w:rPr>
        <w:t xml:space="preserve">jeb </w:t>
      </w:r>
      <w:r w:rsidRPr="002A657E">
        <w:t>„</w:t>
      </w:r>
      <w:r w:rsidRPr="002A657E">
        <w:rPr>
          <w:lang w:eastAsia="zh-TW"/>
        </w:rPr>
        <w:t xml:space="preserve">sabiezinājuma”. Tiesa pie šāda secinājuma nonāca ne tikai pieteicējas </w:t>
      </w:r>
      <w:proofErr w:type="spellStart"/>
      <w:r w:rsidRPr="002A657E">
        <w:rPr>
          <w:lang w:eastAsia="zh-TW"/>
        </w:rPr>
        <w:t>pacifistiskās</w:t>
      </w:r>
      <w:proofErr w:type="spellEnd"/>
      <w:r w:rsidRPr="002A657E">
        <w:rPr>
          <w:lang w:eastAsia="zh-TW"/>
        </w:rPr>
        <w:t xml:space="preserve"> pārliecības </w:t>
      </w:r>
      <w:r w:rsidR="0051779A" w:rsidRPr="002A657E">
        <w:rPr>
          <w:lang w:eastAsia="zh-TW"/>
        </w:rPr>
        <w:t>dēļ</w:t>
      </w:r>
      <w:r w:rsidRPr="002A657E">
        <w:rPr>
          <w:lang w:eastAsia="zh-TW"/>
        </w:rPr>
        <w:t>, bet ņemot vērā arī citus apstākļus</w:t>
      </w:r>
      <w:r w:rsidR="008E5782" w:rsidRPr="002A657E">
        <w:rPr>
          <w:lang w:eastAsia="zh-TW"/>
        </w:rPr>
        <w:t>.</w:t>
      </w:r>
      <w:r w:rsidR="00296F76" w:rsidRPr="002A657E">
        <w:rPr>
          <w:lang w:eastAsia="zh-TW"/>
        </w:rPr>
        <w:t xml:space="preserve"> </w:t>
      </w:r>
      <w:r w:rsidRPr="002A657E">
        <w:rPr>
          <w:lang w:eastAsia="zh-TW"/>
        </w:rPr>
        <w:t>Senāts nesa</w:t>
      </w:r>
      <w:r w:rsidR="0051779A" w:rsidRPr="002A657E">
        <w:rPr>
          <w:lang w:eastAsia="zh-TW"/>
        </w:rPr>
        <w:t>s</w:t>
      </w:r>
      <w:r w:rsidRPr="002A657E">
        <w:rPr>
          <w:lang w:eastAsia="zh-TW"/>
        </w:rPr>
        <w:t xml:space="preserve">kata, ka pie šāda </w:t>
      </w:r>
      <w:r w:rsidR="00296F76" w:rsidRPr="002A657E">
        <w:rPr>
          <w:lang w:eastAsia="zh-TW"/>
        </w:rPr>
        <w:t xml:space="preserve">apstākļu </w:t>
      </w:r>
      <w:r w:rsidRPr="002A657E">
        <w:t>„</w:t>
      </w:r>
      <w:r w:rsidR="00296F76" w:rsidRPr="002A657E">
        <w:rPr>
          <w:lang w:eastAsia="zh-TW"/>
        </w:rPr>
        <w:t>sabiezinājum</w:t>
      </w:r>
      <w:r w:rsidR="0051779A" w:rsidRPr="002A657E">
        <w:rPr>
          <w:lang w:eastAsia="zh-TW"/>
        </w:rPr>
        <w:t>a</w:t>
      </w:r>
      <w:r w:rsidRPr="002A657E">
        <w:rPr>
          <w:lang w:eastAsia="zh-TW"/>
        </w:rPr>
        <w:t>”</w:t>
      </w:r>
      <w:r w:rsidR="00296F76" w:rsidRPr="002A657E">
        <w:rPr>
          <w:lang w:eastAsia="zh-TW"/>
        </w:rPr>
        <w:t xml:space="preserve"> apgabaltiesa</w:t>
      </w:r>
      <w:r w:rsidRPr="002A657E">
        <w:rPr>
          <w:lang w:eastAsia="zh-TW"/>
        </w:rPr>
        <w:t>i noteikti bija jā</w:t>
      </w:r>
      <w:r w:rsidR="00296F76" w:rsidRPr="002A657E">
        <w:rPr>
          <w:lang w:eastAsia="zh-TW"/>
        </w:rPr>
        <w:t>nonāk pie cita secinājuma.</w:t>
      </w:r>
    </w:p>
    <w:p w14:paraId="59E0BAAE" w14:textId="33057CC4" w:rsidR="00FA47C6" w:rsidRPr="002A657E" w:rsidRDefault="00FA47C6" w:rsidP="002A657E">
      <w:pPr>
        <w:spacing w:line="276" w:lineRule="auto"/>
        <w:ind w:firstLine="567"/>
        <w:jc w:val="both"/>
        <w:rPr>
          <w:lang w:eastAsia="zh-TW"/>
        </w:rPr>
      </w:pPr>
      <w:r w:rsidRPr="002A657E">
        <w:rPr>
          <w:lang w:eastAsia="zh-TW"/>
        </w:rPr>
        <w:t xml:space="preserve">Arī arguments, ka pieteicējas tiesību reālais ierobežojums ir minimāls, jo viņa veselības stāvokļa dēļ netiek iesaukta mācībās, neliek nosvērties par pretējo. </w:t>
      </w:r>
      <w:r w:rsidR="0026319F" w:rsidRPr="002A657E">
        <w:rPr>
          <w:lang w:eastAsia="zh-TW"/>
        </w:rPr>
        <w:t>K</w:t>
      </w:r>
      <w:r w:rsidRPr="002A657E">
        <w:rPr>
          <w:lang w:eastAsia="zh-TW"/>
        </w:rPr>
        <w:t xml:space="preserve">ā rezerves karavīram </w:t>
      </w:r>
      <w:r w:rsidR="0026319F" w:rsidRPr="002A657E">
        <w:rPr>
          <w:lang w:eastAsia="zh-TW"/>
        </w:rPr>
        <w:t xml:space="preserve">pieteicējai </w:t>
      </w:r>
      <w:r w:rsidRPr="002A657E">
        <w:rPr>
          <w:lang w:eastAsia="zh-TW"/>
        </w:rPr>
        <w:t xml:space="preserve">joprojām saglabājas pienākums ierasties uz medicīnas pārbaudēm, </w:t>
      </w:r>
      <w:r w:rsidR="0026319F" w:rsidRPr="002A657E">
        <w:rPr>
          <w:lang w:eastAsia="zh-TW"/>
        </w:rPr>
        <w:t xml:space="preserve">un </w:t>
      </w:r>
      <w:r w:rsidRPr="002A657E">
        <w:rPr>
          <w:lang w:eastAsia="zh-TW"/>
        </w:rPr>
        <w:t>gadījumā, ja viņas veselības stāvoklis uzlabo</w:t>
      </w:r>
      <w:r w:rsidR="00402141" w:rsidRPr="002A657E">
        <w:rPr>
          <w:lang w:eastAsia="zh-TW"/>
        </w:rPr>
        <w:t>tos</w:t>
      </w:r>
      <w:r w:rsidRPr="002A657E">
        <w:rPr>
          <w:lang w:eastAsia="zh-TW"/>
        </w:rPr>
        <w:t>, viņai iestā</w:t>
      </w:r>
      <w:r w:rsidR="00402141" w:rsidRPr="002A657E">
        <w:rPr>
          <w:lang w:eastAsia="zh-TW"/>
        </w:rPr>
        <w:t>tos</w:t>
      </w:r>
      <w:r w:rsidRPr="002A657E">
        <w:rPr>
          <w:lang w:eastAsia="zh-TW"/>
        </w:rPr>
        <w:t xml:space="preserve"> arī citi pienākumi.</w:t>
      </w:r>
    </w:p>
    <w:p w14:paraId="6AB4CEA5" w14:textId="35689038" w:rsidR="00110D2B" w:rsidRPr="002A657E" w:rsidRDefault="00110D2B" w:rsidP="002A657E">
      <w:pPr>
        <w:spacing w:line="276" w:lineRule="auto"/>
        <w:ind w:firstLine="567"/>
        <w:jc w:val="both"/>
      </w:pPr>
    </w:p>
    <w:p w14:paraId="2E8E23E3" w14:textId="0C148F8F" w:rsidR="00B905E1" w:rsidRPr="002A657E" w:rsidRDefault="001C027D" w:rsidP="002A657E">
      <w:pPr>
        <w:spacing w:line="276" w:lineRule="auto"/>
        <w:ind w:firstLine="567"/>
        <w:jc w:val="both"/>
      </w:pPr>
      <w:r w:rsidRPr="002A657E">
        <w:t>[13</w:t>
      </w:r>
      <w:r w:rsidR="00B905E1" w:rsidRPr="002A657E">
        <w:t>]</w:t>
      </w:r>
      <w:r w:rsidR="0051779A" w:rsidRPr="002A657E">
        <w:t> </w:t>
      </w:r>
      <w:bookmarkStart w:id="1" w:name="Dropdown14"/>
      <w:r w:rsidR="00B905E1" w:rsidRPr="002A657E">
        <w:t xml:space="preserve">Apkopojot šajā spriedumā minēto, Senāts atzīst, ka kasācijas sūdzības argumenti nenorāda uz tādiem apgabaltiesas pieļautiem materiālo vai procesuālo tiesību normu pārkāpumiem, kas būtu ietekmējuši lietas iznākumu. Apgabaltiesas spriedums ir atstājams negrozīts, savukārt </w:t>
      </w:r>
      <w:r w:rsidR="00653681" w:rsidRPr="002A657E">
        <w:t xml:space="preserve">Aizsardzības ministrijas </w:t>
      </w:r>
      <w:r w:rsidR="00B905E1" w:rsidRPr="002A657E">
        <w:t>kasācijas sūdzība noraidāma.</w:t>
      </w:r>
    </w:p>
    <w:p w14:paraId="1E0393A8" w14:textId="77777777" w:rsidR="00B905E1" w:rsidRPr="002A657E" w:rsidRDefault="00B905E1" w:rsidP="002A657E">
      <w:pPr>
        <w:spacing w:line="276" w:lineRule="auto"/>
        <w:ind w:firstLine="567"/>
        <w:jc w:val="both"/>
      </w:pPr>
    </w:p>
    <w:p w14:paraId="0A4465DB" w14:textId="77777777" w:rsidR="00B905E1" w:rsidRPr="002A657E" w:rsidRDefault="00B905E1" w:rsidP="002A657E">
      <w:pPr>
        <w:spacing w:line="276" w:lineRule="auto"/>
        <w:jc w:val="center"/>
        <w:rPr>
          <w:b/>
        </w:rPr>
      </w:pPr>
      <w:r w:rsidRPr="002A657E">
        <w:rPr>
          <w:b/>
        </w:rPr>
        <w:t>Rezolutīvā daļa</w:t>
      </w:r>
    </w:p>
    <w:p w14:paraId="7D044385" w14:textId="77777777" w:rsidR="00B905E1" w:rsidRPr="002A657E" w:rsidRDefault="00B905E1" w:rsidP="002A657E">
      <w:pPr>
        <w:spacing w:line="276" w:lineRule="auto"/>
        <w:jc w:val="both"/>
        <w:rPr>
          <w:b/>
        </w:rPr>
      </w:pPr>
    </w:p>
    <w:p w14:paraId="279F31AA" w14:textId="77777777" w:rsidR="00B905E1" w:rsidRPr="002A657E" w:rsidRDefault="00B905E1" w:rsidP="002A657E">
      <w:pPr>
        <w:spacing w:line="276" w:lineRule="auto"/>
        <w:ind w:firstLine="567"/>
        <w:jc w:val="both"/>
      </w:pPr>
      <w:r w:rsidRPr="002A657E">
        <w:t xml:space="preserve">Pamatojoties uz Administratīvā procesa likuma </w:t>
      </w:r>
      <w:proofErr w:type="gramStart"/>
      <w:r w:rsidRPr="002A657E">
        <w:t>348.panta</w:t>
      </w:r>
      <w:proofErr w:type="gramEnd"/>
      <w:r w:rsidRPr="002A657E">
        <w:t xml:space="preserve"> pirmās daļas 1.punktu un 351.pantu, Senāts</w:t>
      </w:r>
    </w:p>
    <w:p w14:paraId="625682E7" w14:textId="21411369" w:rsidR="00BD67A8" w:rsidRPr="002A657E" w:rsidRDefault="00BD67A8" w:rsidP="002A657E">
      <w:pPr>
        <w:spacing w:line="276" w:lineRule="auto"/>
        <w:ind w:firstLine="567"/>
        <w:jc w:val="both"/>
        <w:rPr>
          <w:rFonts w:eastAsia="Calibri"/>
          <w:b/>
          <w:lang w:eastAsia="en-US"/>
        </w:rPr>
      </w:pPr>
    </w:p>
    <w:p w14:paraId="2BE8BD5F" w14:textId="77777777" w:rsidR="00BD67A8" w:rsidRPr="002A657E" w:rsidRDefault="00BD67A8" w:rsidP="002A657E">
      <w:pPr>
        <w:spacing w:line="276" w:lineRule="auto"/>
        <w:jc w:val="center"/>
        <w:rPr>
          <w:rFonts w:eastAsia="Calibri"/>
          <w:b/>
          <w:lang w:eastAsia="en-US"/>
        </w:rPr>
      </w:pPr>
      <w:r w:rsidRPr="002A657E">
        <w:rPr>
          <w:rFonts w:eastAsia="Calibri"/>
          <w:b/>
          <w:lang w:eastAsia="en-US"/>
        </w:rPr>
        <w:t>nosprieda</w:t>
      </w:r>
      <w:bookmarkEnd w:id="1"/>
    </w:p>
    <w:p w14:paraId="1AB5BD1B" w14:textId="77777777" w:rsidR="00BD67A8" w:rsidRPr="002A657E" w:rsidRDefault="00BD67A8" w:rsidP="002A657E">
      <w:pPr>
        <w:spacing w:line="276" w:lineRule="auto"/>
        <w:ind w:firstLine="567"/>
        <w:jc w:val="both"/>
        <w:rPr>
          <w:rFonts w:eastAsia="Calibri"/>
          <w:bCs/>
          <w:spacing w:val="70"/>
          <w:lang w:eastAsia="en-US"/>
        </w:rPr>
      </w:pPr>
    </w:p>
    <w:p w14:paraId="16B2D3D2" w14:textId="6D72E9B3" w:rsidR="00BD67A8" w:rsidRPr="002A657E" w:rsidRDefault="00B905E1" w:rsidP="002A657E">
      <w:pPr>
        <w:spacing w:line="276" w:lineRule="auto"/>
        <w:ind w:firstLine="567"/>
        <w:jc w:val="both"/>
        <w:rPr>
          <w:rFonts w:eastAsia="Calibri"/>
          <w:lang w:eastAsia="en-US"/>
        </w:rPr>
      </w:pPr>
      <w:r w:rsidRPr="002A657E">
        <w:t xml:space="preserve">atstāt negrozītu Administratīvās apgabaltiesas </w:t>
      </w:r>
      <w:proofErr w:type="gramStart"/>
      <w:r w:rsidR="004829CB" w:rsidRPr="002A657E">
        <w:rPr>
          <w:rFonts w:eastAsia="Calibri"/>
          <w:lang w:eastAsia="en-US"/>
        </w:rPr>
        <w:t>2020</w:t>
      </w:r>
      <w:r w:rsidR="00BD67A8" w:rsidRPr="002A657E">
        <w:rPr>
          <w:rFonts w:eastAsia="Calibri"/>
          <w:lang w:eastAsia="en-US"/>
        </w:rPr>
        <w:t>.gada</w:t>
      </w:r>
      <w:proofErr w:type="gramEnd"/>
      <w:r w:rsidR="00BD67A8" w:rsidRPr="002A657E">
        <w:rPr>
          <w:rFonts w:eastAsia="Calibri"/>
          <w:lang w:eastAsia="en-US"/>
        </w:rPr>
        <w:t xml:space="preserve"> </w:t>
      </w:r>
      <w:r w:rsidR="003101DE" w:rsidRPr="002A657E">
        <w:rPr>
          <w:rFonts w:eastAsia="Calibri"/>
          <w:lang w:eastAsia="en-US"/>
        </w:rPr>
        <w:t>6</w:t>
      </w:r>
      <w:r w:rsidR="004829CB" w:rsidRPr="002A657E">
        <w:rPr>
          <w:rFonts w:eastAsia="Calibri"/>
          <w:lang w:eastAsia="en-US"/>
        </w:rPr>
        <w:t>.</w:t>
      </w:r>
      <w:r w:rsidR="003101DE" w:rsidRPr="002A657E">
        <w:rPr>
          <w:rFonts w:eastAsia="Calibri"/>
          <w:lang w:eastAsia="en-US"/>
        </w:rPr>
        <w:t>marta</w:t>
      </w:r>
      <w:r w:rsidR="004829CB" w:rsidRPr="002A657E">
        <w:rPr>
          <w:rFonts w:eastAsia="Calibri"/>
          <w:lang w:eastAsia="en-US"/>
        </w:rPr>
        <w:t xml:space="preserve"> </w:t>
      </w:r>
      <w:r w:rsidR="00BD67A8" w:rsidRPr="002A657E">
        <w:rPr>
          <w:rFonts w:eastAsia="Calibri"/>
          <w:lang w:eastAsia="en-US"/>
        </w:rPr>
        <w:t>spriedumu</w:t>
      </w:r>
      <w:r w:rsidRPr="002A657E">
        <w:rPr>
          <w:rFonts w:eastAsia="Calibri"/>
          <w:lang w:eastAsia="en-US"/>
        </w:rPr>
        <w:t xml:space="preserve">, bet </w:t>
      </w:r>
      <w:r w:rsidR="003101DE" w:rsidRPr="002A657E">
        <w:rPr>
          <w:rFonts w:eastAsia="Calibri"/>
          <w:lang w:eastAsia="en-US"/>
        </w:rPr>
        <w:t>Aizsardzības ministrija</w:t>
      </w:r>
      <w:r w:rsidRPr="002A657E">
        <w:rPr>
          <w:rFonts w:eastAsia="Calibri"/>
          <w:lang w:eastAsia="en-US"/>
        </w:rPr>
        <w:t>s kasācijas sūdzību noraidīt</w:t>
      </w:r>
      <w:r w:rsidR="00BD67A8" w:rsidRPr="002A657E">
        <w:rPr>
          <w:rFonts w:eastAsia="Calibri"/>
          <w:lang w:eastAsia="en-US"/>
        </w:rPr>
        <w:t>.</w:t>
      </w:r>
    </w:p>
    <w:p w14:paraId="730A04E7" w14:textId="1F3100F7" w:rsidR="00BD67A8" w:rsidRPr="002A657E" w:rsidRDefault="00BD67A8" w:rsidP="002A657E">
      <w:pPr>
        <w:spacing w:line="276" w:lineRule="auto"/>
        <w:ind w:firstLine="567"/>
        <w:jc w:val="both"/>
        <w:rPr>
          <w:rFonts w:eastAsia="Calibri"/>
          <w:lang w:eastAsia="en-US"/>
        </w:rPr>
      </w:pPr>
      <w:r w:rsidRPr="002A657E">
        <w:rPr>
          <w:rFonts w:eastAsia="Calibri"/>
          <w:lang w:eastAsia="en-US"/>
        </w:rPr>
        <w:t>Spriedums nav pārsūdzams.</w:t>
      </w:r>
    </w:p>
    <w:p w14:paraId="40276A3F" w14:textId="77777777" w:rsidR="0012653C" w:rsidRPr="002A657E" w:rsidRDefault="0012653C" w:rsidP="002A657E">
      <w:pPr>
        <w:spacing w:line="276" w:lineRule="auto"/>
        <w:ind w:firstLine="720"/>
        <w:jc w:val="both"/>
      </w:pPr>
    </w:p>
    <w:p w14:paraId="3B5BFA8A" w14:textId="1B0BD317" w:rsidR="009C0BA3" w:rsidRPr="002A657E" w:rsidRDefault="009C0BA3" w:rsidP="002A657E">
      <w:pPr>
        <w:spacing w:line="276" w:lineRule="auto"/>
      </w:pPr>
    </w:p>
    <w:p w14:paraId="72CD00B2" w14:textId="3DA0A4ED" w:rsidR="00E230F8" w:rsidRPr="002A657E" w:rsidRDefault="00E230F8" w:rsidP="002A657E">
      <w:pPr>
        <w:spacing w:line="276" w:lineRule="auto"/>
        <w:jc w:val="right"/>
      </w:pPr>
    </w:p>
    <w:p w14:paraId="22A5B5FD" w14:textId="77777777" w:rsidR="009C0BA3" w:rsidRPr="002A657E" w:rsidRDefault="009C0BA3" w:rsidP="002A657E">
      <w:pPr>
        <w:spacing w:line="276" w:lineRule="auto"/>
        <w:jc w:val="right"/>
      </w:pPr>
    </w:p>
    <w:sectPr w:rsidR="009C0BA3" w:rsidRPr="002A657E" w:rsidSect="00E33F2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02A2D" w14:textId="77777777" w:rsidR="00930C92" w:rsidRDefault="00930C92" w:rsidP="00E12AD0">
      <w:r>
        <w:separator/>
      </w:r>
    </w:p>
  </w:endnote>
  <w:endnote w:type="continuationSeparator" w:id="0">
    <w:p w14:paraId="6222DC05" w14:textId="77777777" w:rsidR="00930C92" w:rsidRDefault="00930C92"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7818151B" w:rsidR="00D04970" w:rsidRDefault="00D04970">
            <w:pPr>
              <w:pStyle w:val="Footer"/>
              <w:jc w:val="center"/>
            </w:pPr>
            <w:r w:rsidRPr="00142DAE">
              <w:t xml:space="preserve"> </w:t>
            </w:r>
            <w:r w:rsidRPr="00142DAE">
              <w:rPr>
                <w:bCs/>
              </w:rPr>
              <w:fldChar w:fldCharType="begin"/>
            </w:r>
            <w:r w:rsidRPr="00142DAE">
              <w:rPr>
                <w:bCs/>
              </w:rPr>
              <w:instrText xml:space="preserve"> PAGE </w:instrText>
            </w:r>
            <w:r w:rsidRPr="00142DAE">
              <w:rPr>
                <w:bCs/>
              </w:rPr>
              <w:fldChar w:fldCharType="separate"/>
            </w:r>
            <w:r w:rsidR="008059E7">
              <w:rPr>
                <w:bCs/>
                <w:noProof/>
              </w:rPr>
              <w:t>6</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8059E7">
              <w:rPr>
                <w:bCs/>
                <w:noProof/>
              </w:rPr>
              <w:t>6</w:t>
            </w:r>
            <w:r w:rsidRPr="00142DAE">
              <w:rPr>
                <w:bCs/>
              </w:rPr>
              <w:fldChar w:fldCharType="end"/>
            </w:r>
          </w:p>
        </w:sdtContent>
      </w:sdt>
    </w:sdtContent>
  </w:sdt>
  <w:p w14:paraId="502DD620" w14:textId="77777777" w:rsidR="00D04970" w:rsidRDefault="00D04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D219F" w14:textId="77777777" w:rsidR="00930C92" w:rsidRDefault="00930C92" w:rsidP="00E12AD0">
      <w:r>
        <w:separator/>
      </w:r>
    </w:p>
  </w:footnote>
  <w:footnote w:type="continuationSeparator" w:id="0">
    <w:p w14:paraId="0C3A2F96" w14:textId="77777777" w:rsidR="00930C92" w:rsidRDefault="00930C92"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3189"/>
    <w:rsid w:val="0001392B"/>
    <w:rsid w:val="00023A23"/>
    <w:rsid w:val="0002561B"/>
    <w:rsid w:val="00033E43"/>
    <w:rsid w:val="00040201"/>
    <w:rsid w:val="00041181"/>
    <w:rsid w:val="00061A65"/>
    <w:rsid w:val="00063A88"/>
    <w:rsid w:val="00074426"/>
    <w:rsid w:val="00077826"/>
    <w:rsid w:val="00082DED"/>
    <w:rsid w:val="000838FE"/>
    <w:rsid w:val="00085863"/>
    <w:rsid w:val="00085DCD"/>
    <w:rsid w:val="0009560C"/>
    <w:rsid w:val="0009565F"/>
    <w:rsid w:val="000A597B"/>
    <w:rsid w:val="000A6016"/>
    <w:rsid w:val="000B0649"/>
    <w:rsid w:val="000B600E"/>
    <w:rsid w:val="000C1962"/>
    <w:rsid w:val="000D1B75"/>
    <w:rsid w:val="000D743E"/>
    <w:rsid w:val="000D7836"/>
    <w:rsid w:val="000E2F03"/>
    <w:rsid w:val="000E2F2D"/>
    <w:rsid w:val="00110D2B"/>
    <w:rsid w:val="00114360"/>
    <w:rsid w:val="00116D02"/>
    <w:rsid w:val="00125625"/>
    <w:rsid w:val="0012653C"/>
    <w:rsid w:val="00131E5D"/>
    <w:rsid w:val="001339DF"/>
    <w:rsid w:val="00135AF2"/>
    <w:rsid w:val="00142DAE"/>
    <w:rsid w:val="00143829"/>
    <w:rsid w:val="00145024"/>
    <w:rsid w:val="001463E2"/>
    <w:rsid w:val="00153901"/>
    <w:rsid w:val="00157070"/>
    <w:rsid w:val="0016754C"/>
    <w:rsid w:val="001739B7"/>
    <w:rsid w:val="00180127"/>
    <w:rsid w:val="0018754F"/>
    <w:rsid w:val="001A07CC"/>
    <w:rsid w:val="001A14DA"/>
    <w:rsid w:val="001A1DEF"/>
    <w:rsid w:val="001A30EE"/>
    <w:rsid w:val="001C027D"/>
    <w:rsid w:val="001C2C1B"/>
    <w:rsid w:val="001C52E2"/>
    <w:rsid w:val="001C69F0"/>
    <w:rsid w:val="001D114A"/>
    <w:rsid w:val="001D3AAE"/>
    <w:rsid w:val="001D5317"/>
    <w:rsid w:val="001D5FEC"/>
    <w:rsid w:val="001E4B3C"/>
    <w:rsid w:val="001E52A1"/>
    <w:rsid w:val="001E5C6A"/>
    <w:rsid w:val="001F3D2A"/>
    <w:rsid w:val="001F4BEB"/>
    <w:rsid w:val="001F4BF1"/>
    <w:rsid w:val="002009FC"/>
    <w:rsid w:val="00200E74"/>
    <w:rsid w:val="00202192"/>
    <w:rsid w:val="00203762"/>
    <w:rsid w:val="0021712D"/>
    <w:rsid w:val="00223B11"/>
    <w:rsid w:val="0022401C"/>
    <w:rsid w:val="0022669B"/>
    <w:rsid w:val="0026319F"/>
    <w:rsid w:val="00270DA0"/>
    <w:rsid w:val="00271554"/>
    <w:rsid w:val="0027177F"/>
    <w:rsid w:val="00271DBD"/>
    <w:rsid w:val="00272D65"/>
    <w:rsid w:val="00273898"/>
    <w:rsid w:val="00282429"/>
    <w:rsid w:val="00282C8F"/>
    <w:rsid w:val="00286172"/>
    <w:rsid w:val="00296F76"/>
    <w:rsid w:val="002A2BDC"/>
    <w:rsid w:val="002A657E"/>
    <w:rsid w:val="002A6B6A"/>
    <w:rsid w:val="002C200E"/>
    <w:rsid w:val="002C73A5"/>
    <w:rsid w:val="002D08A9"/>
    <w:rsid w:val="002E0B28"/>
    <w:rsid w:val="002F0013"/>
    <w:rsid w:val="002F3685"/>
    <w:rsid w:val="003101DE"/>
    <w:rsid w:val="0031143A"/>
    <w:rsid w:val="00330F37"/>
    <w:rsid w:val="003406E3"/>
    <w:rsid w:val="003435A6"/>
    <w:rsid w:val="00364EA7"/>
    <w:rsid w:val="00367FB1"/>
    <w:rsid w:val="00385630"/>
    <w:rsid w:val="00385ACA"/>
    <w:rsid w:val="00392746"/>
    <w:rsid w:val="003B1394"/>
    <w:rsid w:val="003C72C1"/>
    <w:rsid w:val="003D058F"/>
    <w:rsid w:val="003E31BF"/>
    <w:rsid w:val="003E7727"/>
    <w:rsid w:val="003F01DA"/>
    <w:rsid w:val="003F35A6"/>
    <w:rsid w:val="003F43F7"/>
    <w:rsid w:val="003F66E8"/>
    <w:rsid w:val="00400098"/>
    <w:rsid w:val="00402141"/>
    <w:rsid w:val="004100CE"/>
    <w:rsid w:val="00411CF8"/>
    <w:rsid w:val="00412037"/>
    <w:rsid w:val="00412138"/>
    <w:rsid w:val="00423CCB"/>
    <w:rsid w:val="004347EA"/>
    <w:rsid w:val="00436E69"/>
    <w:rsid w:val="00440776"/>
    <w:rsid w:val="00443280"/>
    <w:rsid w:val="00456F49"/>
    <w:rsid w:val="00463DA0"/>
    <w:rsid w:val="00466620"/>
    <w:rsid w:val="00467CE3"/>
    <w:rsid w:val="00477FD9"/>
    <w:rsid w:val="004829CB"/>
    <w:rsid w:val="00487B7D"/>
    <w:rsid w:val="00493C1C"/>
    <w:rsid w:val="004A5C68"/>
    <w:rsid w:val="004A6EAD"/>
    <w:rsid w:val="004B3238"/>
    <w:rsid w:val="004C159B"/>
    <w:rsid w:val="004C16F5"/>
    <w:rsid w:val="004C3108"/>
    <w:rsid w:val="004F0C17"/>
    <w:rsid w:val="004F41FE"/>
    <w:rsid w:val="004F60F8"/>
    <w:rsid w:val="00511469"/>
    <w:rsid w:val="0051779A"/>
    <w:rsid w:val="005237A9"/>
    <w:rsid w:val="00545B93"/>
    <w:rsid w:val="00546394"/>
    <w:rsid w:val="00560D6E"/>
    <w:rsid w:val="005706E3"/>
    <w:rsid w:val="00576FFA"/>
    <w:rsid w:val="005A52DB"/>
    <w:rsid w:val="005B3F41"/>
    <w:rsid w:val="005B55FD"/>
    <w:rsid w:val="005C356C"/>
    <w:rsid w:val="005C704F"/>
    <w:rsid w:val="005F133C"/>
    <w:rsid w:val="005F7153"/>
    <w:rsid w:val="0060541A"/>
    <w:rsid w:val="00606650"/>
    <w:rsid w:val="00606B8A"/>
    <w:rsid w:val="006102FC"/>
    <w:rsid w:val="006122B5"/>
    <w:rsid w:val="00620144"/>
    <w:rsid w:val="00636099"/>
    <w:rsid w:val="00640776"/>
    <w:rsid w:val="00647944"/>
    <w:rsid w:val="00653681"/>
    <w:rsid w:val="00660700"/>
    <w:rsid w:val="00667DBD"/>
    <w:rsid w:val="00675D47"/>
    <w:rsid w:val="0068033C"/>
    <w:rsid w:val="00682CAF"/>
    <w:rsid w:val="0068792E"/>
    <w:rsid w:val="006A1713"/>
    <w:rsid w:val="006A24F4"/>
    <w:rsid w:val="006A564D"/>
    <w:rsid w:val="006B3039"/>
    <w:rsid w:val="006B5B11"/>
    <w:rsid w:val="006B62C9"/>
    <w:rsid w:val="006C6518"/>
    <w:rsid w:val="006D0785"/>
    <w:rsid w:val="006E2131"/>
    <w:rsid w:val="006E23C5"/>
    <w:rsid w:val="006F18CC"/>
    <w:rsid w:val="00714003"/>
    <w:rsid w:val="00725EF0"/>
    <w:rsid w:val="007429C3"/>
    <w:rsid w:val="00746C80"/>
    <w:rsid w:val="007474F5"/>
    <w:rsid w:val="00751667"/>
    <w:rsid w:val="00752084"/>
    <w:rsid w:val="007649B7"/>
    <w:rsid w:val="00765836"/>
    <w:rsid w:val="00767BFD"/>
    <w:rsid w:val="00772A7C"/>
    <w:rsid w:val="00783972"/>
    <w:rsid w:val="00785EBB"/>
    <w:rsid w:val="00787F77"/>
    <w:rsid w:val="007A3789"/>
    <w:rsid w:val="007A3DEF"/>
    <w:rsid w:val="007C022E"/>
    <w:rsid w:val="007C3474"/>
    <w:rsid w:val="007C6EDF"/>
    <w:rsid w:val="007E0DE2"/>
    <w:rsid w:val="007E1DF0"/>
    <w:rsid w:val="007E692A"/>
    <w:rsid w:val="008009D3"/>
    <w:rsid w:val="008059E7"/>
    <w:rsid w:val="00810762"/>
    <w:rsid w:val="00830627"/>
    <w:rsid w:val="00833961"/>
    <w:rsid w:val="00837041"/>
    <w:rsid w:val="00844051"/>
    <w:rsid w:val="00844FA4"/>
    <w:rsid w:val="00854972"/>
    <w:rsid w:val="008558A2"/>
    <w:rsid w:val="00861717"/>
    <w:rsid w:val="00861BAF"/>
    <w:rsid w:val="008757F5"/>
    <w:rsid w:val="00895DB5"/>
    <w:rsid w:val="008B33BD"/>
    <w:rsid w:val="008B4F40"/>
    <w:rsid w:val="008C673A"/>
    <w:rsid w:val="008D55C3"/>
    <w:rsid w:val="008E5782"/>
    <w:rsid w:val="008F6E09"/>
    <w:rsid w:val="00911BB0"/>
    <w:rsid w:val="00912205"/>
    <w:rsid w:val="00912C22"/>
    <w:rsid w:val="00915FC5"/>
    <w:rsid w:val="00916678"/>
    <w:rsid w:val="00921C31"/>
    <w:rsid w:val="00930C92"/>
    <w:rsid w:val="00937A70"/>
    <w:rsid w:val="00950106"/>
    <w:rsid w:val="00950491"/>
    <w:rsid w:val="0095718C"/>
    <w:rsid w:val="00973AEA"/>
    <w:rsid w:val="00974AC0"/>
    <w:rsid w:val="009770B6"/>
    <w:rsid w:val="00985306"/>
    <w:rsid w:val="00985E7F"/>
    <w:rsid w:val="009865D9"/>
    <w:rsid w:val="0099270F"/>
    <w:rsid w:val="009A2EE8"/>
    <w:rsid w:val="009B1F84"/>
    <w:rsid w:val="009B698B"/>
    <w:rsid w:val="009C0BA3"/>
    <w:rsid w:val="009C7108"/>
    <w:rsid w:val="009D373D"/>
    <w:rsid w:val="009E12F6"/>
    <w:rsid w:val="009E2CC6"/>
    <w:rsid w:val="009E4F4A"/>
    <w:rsid w:val="009F280C"/>
    <w:rsid w:val="009F2886"/>
    <w:rsid w:val="009F5B74"/>
    <w:rsid w:val="009F7BA2"/>
    <w:rsid w:val="00A0453A"/>
    <w:rsid w:val="00A0548C"/>
    <w:rsid w:val="00A07FBF"/>
    <w:rsid w:val="00A207D8"/>
    <w:rsid w:val="00A2399A"/>
    <w:rsid w:val="00A257B0"/>
    <w:rsid w:val="00A33031"/>
    <w:rsid w:val="00A35B49"/>
    <w:rsid w:val="00A417B5"/>
    <w:rsid w:val="00A44A93"/>
    <w:rsid w:val="00A4767F"/>
    <w:rsid w:val="00A546DF"/>
    <w:rsid w:val="00A55E04"/>
    <w:rsid w:val="00A574B3"/>
    <w:rsid w:val="00A63477"/>
    <w:rsid w:val="00A63DC0"/>
    <w:rsid w:val="00A72A1A"/>
    <w:rsid w:val="00A7509A"/>
    <w:rsid w:val="00A8447F"/>
    <w:rsid w:val="00A943C2"/>
    <w:rsid w:val="00A96BEE"/>
    <w:rsid w:val="00A97B00"/>
    <w:rsid w:val="00AA4791"/>
    <w:rsid w:val="00AA6692"/>
    <w:rsid w:val="00AB066A"/>
    <w:rsid w:val="00AD1AFD"/>
    <w:rsid w:val="00AD5578"/>
    <w:rsid w:val="00AE633E"/>
    <w:rsid w:val="00AE642E"/>
    <w:rsid w:val="00AF134C"/>
    <w:rsid w:val="00AF21A3"/>
    <w:rsid w:val="00AF32AE"/>
    <w:rsid w:val="00AF4A20"/>
    <w:rsid w:val="00B01DB9"/>
    <w:rsid w:val="00B15A42"/>
    <w:rsid w:val="00B20980"/>
    <w:rsid w:val="00B25633"/>
    <w:rsid w:val="00B258EB"/>
    <w:rsid w:val="00B25A9F"/>
    <w:rsid w:val="00B4480F"/>
    <w:rsid w:val="00B46554"/>
    <w:rsid w:val="00B53062"/>
    <w:rsid w:val="00B530CF"/>
    <w:rsid w:val="00B6284C"/>
    <w:rsid w:val="00B75ECE"/>
    <w:rsid w:val="00B772F9"/>
    <w:rsid w:val="00B80627"/>
    <w:rsid w:val="00B905E1"/>
    <w:rsid w:val="00BA6282"/>
    <w:rsid w:val="00BA6ADC"/>
    <w:rsid w:val="00BB4263"/>
    <w:rsid w:val="00BC565E"/>
    <w:rsid w:val="00BD2B03"/>
    <w:rsid w:val="00BD67A8"/>
    <w:rsid w:val="00BE1840"/>
    <w:rsid w:val="00BE2554"/>
    <w:rsid w:val="00BE5CF3"/>
    <w:rsid w:val="00BF38C0"/>
    <w:rsid w:val="00C0057F"/>
    <w:rsid w:val="00C01901"/>
    <w:rsid w:val="00C11EE5"/>
    <w:rsid w:val="00C2025B"/>
    <w:rsid w:val="00C2041E"/>
    <w:rsid w:val="00C20CBF"/>
    <w:rsid w:val="00C3087D"/>
    <w:rsid w:val="00C52066"/>
    <w:rsid w:val="00C55106"/>
    <w:rsid w:val="00C61A97"/>
    <w:rsid w:val="00C67E91"/>
    <w:rsid w:val="00C843EC"/>
    <w:rsid w:val="00C8689B"/>
    <w:rsid w:val="00C87736"/>
    <w:rsid w:val="00C90623"/>
    <w:rsid w:val="00C92DEE"/>
    <w:rsid w:val="00C97B6A"/>
    <w:rsid w:val="00CA317A"/>
    <w:rsid w:val="00CB2229"/>
    <w:rsid w:val="00CD04EE"/>
    <w:rsid w:val="00CD08B8"/>
    <w:rsid w:val="00CD3FC6"/>
    <w:rsid w:val="00CF02A8"/>
    <w:rsid w:val="00CF1A8E"/>
    <w:rsid w:val="00CF373F"/>
    <w:rsid w:val="00CF4A08"/>
    <w:rsid w:val="00D00097"/>
    <w:rsid w:val="00D01F56"/>
    <w:rsid w:val="00D04970"/>
    <w:rsid w:val="00D062F2"/>
    <w:rsid w:val="00D11C90"/>
    <w:rsid w:val="00D14845"/>
    <w:rsid w:val="00D16BBE"/>
    <w:rsid w:val="00D24AC3"/>
    <w:rsid w:val="00D345E0"/>
    <w:rsid w:val="00D35470"/>
    <w:rsid w:val="00D36271"/>
    <w:rsid w:val="00D52FC8"/>
    <w:rsid w:val="00D536C6"/>
    <w:rsid w:val="00D53713"/>
    <w:rsid w:val="00D60EEA"/>
    <w:rsid w:val="00D64FAD"/>
    <w:rsid w:val="00D67877"/>
    <w:rsid w:val="00D709A5"/>
    <w:rsid w:val="00D7555A"/>
    <w:rsid w:val="00D777FF"/>
    <w:rsid w:val="00D83522"/>
    <w:rsid w:val="00D85320"/>
    <w:rsid w:val="00D91D29"/>
    <w:rsid w:val="00DA76E3"/>
    <w:rsid w:val="00DB2BB9"/>
    <w:rsid w:val="00DB6698"/>
    <w:rsid w:val="00DC24B3"/>
    <w:rsid w:val="00DC77CC"/>
    <w:rsid w:val="00DD211A"/>
    <w:rsid w:val="00DD7561"/>
    <w:rsid w:val="00DE039A"/>
    <w:rsid w:val="00DF3E78"/>
    <w:rsid w:val="00E01B38"/>
    <w:rsid w:val="00E12AD0"/>
    <w:rsid w:val="00E12B9A"/>
    <w:rsid w:val="00E17554"/>
    <w:rsid w:val="00E21A0B"/>
    <w:rsid w:val="00E230F8"/>
    <w:rsid w:val="00E33655"/>
    <w:rsid w:val="00E33F20"/>
    <w:rsid w:val="00E36688"/>
    <w:rsid w:val="00E3790F"/>
    <w:rsid w:val="00E41451"/>
    <w:rsid w:val="00E563B1"/>
    <w:rsid w:val="00E61652"/>
    <w:rsid w:val="00E628D1"/>
    <w:rsid w:val="00E670D6"/>
    <w:rsid w:val="00E73575"/>
    <w:rsid w:val="00E74C67"/>
    <w:rsid w:val="00E8169E"/>
    <w:rsid w:val="00E83EC3"/>
    <w:rsid w:val="00E85B48"/>
    <w:rsid w:val="00E86C1B"/>
    <w:rsid w:val="00E87B19"/>
    <w:rsid w:val="00E91A5C"/>
    <w:rsid w:val="00E97339"/>
    <w:rsid w:val="00EB1F46"/>
    <w:rsid w:val="00EF6DC3"/>
    <w:rsid w:val="00F0347F"/>
    <w:rsid w:val="00F04E77"/>
    <w:rsid w:val="00F057B9"/>
    <w:rsid w:val="00F13D84"/>
    <w:rsid w:val="00F20DDE"/>
    <w:rsid w:val="00F22129"/>
    <w:rsid w:val="00F22B21"/>
    <w:rsid w:val="00F24700"/>
    <w:rsid w:val="00F43E40"/>
    <w:rsid w:val="00F43E92"/>
    <w:rsid w:val="00F602C0"/>
    <w:rsid w:val="00F60428"/>
    <w:rsid w:val="00F61AD4"/>
    <w:rsid w:val="00F623D0"/>
    <w:rsid w:val="00F7219C"/>
    <w:rsid w:val="00F8013B"/>
    <w:rsid w:val="00F91F0F"/>
    <w:rsid w:val="00F9231A"/>
    <w:rsid w:val="00F92D1B"/>
    <w:rsid w:val="00F93693"/>
    <w:rsid w:val="00F97900"/>
    <w:rsid w:val="00FA12FB"/>
    <w:rsid w:val="00FA47C6"/>
    <w:rsid w:val="00FB0D8E"/>
    <w:rsid w:val="00FB48ED"/>
    <w:rsid w:val="00FC2A2F"/>
    <w:rsid w:val="00FD13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013B"/>
    <w:pPr>
      <w:widowControl w:val="0"/>
    </w:pPr>
    <w:rPr>
      <w:rFonts w:eastAsia="Calibri"/>
      <w:sz w:val="20"/>
      <w:szCs w:val="20"/>
      <w:lang w:eastAsia="lv-LV"/>
    </w:rPr>
  </w:style>
  <w:style w:type="character" w:customStyle="1" w:styleId="FootnoteTextChar">
    <w:name w:val="Footnote Text Char"/>
    <w:basedOn w:val="DefaultParagraphFont"/>
    <w:link w:val="FootnoteText"/>
    <w:uiPriority w:val="99"/>
    <w:semiHidden/>
    <w:rsid w:val="00F8013B"/>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F8013B"/>
    <w:rPr>
      <w:vertAlign w:val="superscript"/>
    </w:rPr>
  </w:style>
  <w:style w:type="paragraph" w:styleId="NormalWeb">
    <w:name w:val="Normal (Web)"/>
    <w:basedOn w:val="Normal"/>
    <w:uiPriority w:val="99"/>
    <w:unhideWhenUsed/>
    <w:rsid w:val="006A24F4"/>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805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coe.int/cm/Pages/result_details.aspx?ObjectID=09000016805cf8e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16296</Characters>
  <Application>Microsoft Office Word</Application>
  <DocSecurity>0</DocSecurity>
  <Lines>135</Lines>
  <Paragraphs>38</Paragraphs>
  <ScaleCrop>false</ScaleCrop>
  <Company/>
  <LinksUpToDate>false</LinksUpToDate>
  <CharactersWithSpaces>19116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2021-04-08T07:04:00Z</dcterms:created>
  <dcterms:modified xsi:type="dcterms:W3CDTF">2021-04-08T10:05:00Z</dcterms:modified>
</cp:coreProperties>
</file>