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1A5B4" w14:textId="77777777" w:rsidR="004F3F30" w:rsidRDefault="004F3F30" w:rsidP="004F3F30">
      <w:pPr>
        <w:spacing w:line="276" w:lineRule="auto"/>
        <w:jc w:val="both"/>
      </w:pPr>
      <w:r w:rsidRPr="007C1316">
        <w:rPr>
          <w:b/>
          <w:bCs/>
        </w:rPr>
        <w:t>Lietas ārpustiesas izskatīšanas kārtība, ja iestāde nav saņēmusi personas iesniegumu</w:t>
      </w:r>
    </w:p>
    <w:p w14:paraId="4F9EC979" w14:textId="77777777" w:rsidR="004F3F30" w:rsidRPr="0049352F" w:rsidRDefault="004F3F30" w:rsidP="004F3F30">
      <w:pPr>
        <w:spacing w:line="276" w:lineRule="auto"/>
        <w:jc w:val="both"/>
        <w:rPr>
          <w:color w:val="0000FF"/>
        </w:rPr>
      </w:pPr>
      <w:r>
        <w:t xml:space="preserve">Gadījumā, kad iestāde iesniegumu nav saņēmusi vispār un iesniedzējam par to ir bijis zināms, ir pamatoti sagaidīt, ka iesniedzējs atkārtoti vēršas iestādē ar iesniegumu, tādējādi ievērojot lietas ārpustiesas izskatīšanas kārtību. Izņēmums varētu būt gadījumā, ja ir konstatējams, ka iestāde negodprātīgi ir atteikusies iesniegumu saņemt, tādējādi atsakoties no iespējas atrisināt strīdu bez tiesas iesaistīšanās. </w:t>
      </w:r>
    </w:p>
    <w:p w14:paraId="7ECFE3FC" w14:textId="551416F2" w:rsidR="00454E16" w:rsidRDefault="00454E16" w:rsidP="004F3F30">
      <w:pPr>
        <w:spacing w:line="276" w:lineRule="auto"/>
        <w:jc w:val="both"/>
      </w:pPr>
    </w:p>
    <w:p w14:paraId="774DC3DC" w14:textId="77777777" w:rsidR="004F3F30" w:rsidRDefault="004F3F30" w:rsidP="004F3F30">
      <w:pPr>
        <w:spacing w:line="276" w:lineRule="auto"/>
        <w:jc w:val="both"/>
        <w:rPr>
          <w:b/>
          <w:bCs/>
        </w:rPr>
      </w:pPr>
      <w:r>
        <w:rPr>
          <w:b/>
          <w:bCs/>
        </w:rPr>
        <w:t>Tiesneša tiesības sazināties ar iestādi laikā, kad tiek izlemts jautājums par pieteikuma pieņemšanu</w:t>
      </w:r>
    </w:p>
    <w:p w14:paraId="7EC123B1" w14:textId="239EE6DA" w:rsidR="004F3F30" w:rsidRPr="004F3F30" w:rsidRDefault="004F3F30" w:rsidP="004F3F30">
      <w:pPr>
        <w:spacing w:line="276" w:lineRule="auto"/>
        <w:jc w:val="both"/>
        <w:rPr>
          <w:color w:val="0000FF"/>
        </w:rPr>
      </w:pPr>
      <w:r>
        <w:t>Apstāklis, ka tiesnesis, lemjot par lietas ierosināšanu, sazinās ar iestādi, lai iegūtu informāciju, kas nepieciešama jautājuma objektīvai izlemšanai, nav pārkāpums, bet gan izriet no objektīvās izmeklēšanas principa.</w:t>
      </w:r>
    </w:p>
    <w:p w14:paraId="6D2ED726" w14:textId="77777777" w:rsidR="00454E16" w:rsidRDefault="00454E16" w:rsidP="00E62035">
      <w:pPr>
        <w:spacing w:line="278" w:lineRule="auto"/>
        <w:jc w:val="center"/>
      </w:pPr>
    </w:p>
    <w:p w14:paraId="051DD6A0" w14:textId="2379481A" w:rsidR="00772A7C" w:rsidRDefault="00772A7C" w:rsidP="00E62035">
      <w:pPr>
        <w:spacing w:line="278" w:lineRule="auto"/>
        <w:jc w:val="center"/>
        <w:rPr>
          <w:b/>
        </w:rPr>
      </w:pPr>
      <w:r w:rsidRPr="00454E16">
        <w:rPr>
          <w:b/>
        </w:rPr>
        <w:t>Latvijas Republikas Senāt</w:t>
      </w:r>
      <w:r w:rsidR="00454E16">
        <w:rPr>
          <w:b/>
        </w:rPr>
        <w:t>a</w:t>
      </w:r>
    </w:p>
    <w:p w14:paraId="14B542F6" w14:textId="23B4CCD7" w:rsidR="00454E16" w:rsidRDefault="00454E16" w:rsidP="00E62035">
      <w:pPr>
        <w:spacing w:line="278" w:lineRule="auto"/>
        <w:jc w:val="center"/>
        <w:rPr>
          <w:b/>
        </w:rPr>
      </w:pPr>
      <w:r>
        <w:rPr>
          <w:b/>
        </w:rPr>
        <w:t>Administratīvo lietu departamenta</w:t>
      </w:r>
    </w:p>
    <w:p w14:paraId="6A230E2C" w14:textId="56F93CC6" w:rsidR="00454E16" w:rsidRPr="00454E16" w:rsidRDefault="00454E16" w:rsidP="00E62035">
      <w:pPr>
        <w:spacing w:line="278" w:lineRule="auto"/>
        <w:jc w:val="center"/>
        <w:rPr>
          <w:b/>
        </w:rPr>
      </w:pPr>
      <w:proofErr w:type="gramStart"/>
      <w:r>
        <w:rPr>
          <w:b/>
        </w:rPr>
        <w:t>2021.gada</w:t>
      </w:r>
      <w:proofErr w:type="gramEnd"/>
      <w:r>
        <w:rPr>
          <w:b/>
        </w:rPr>
        <w:t xml:space="preserve"> 22.janvāra</w:t>
      </w:r>
    </w:p>
    <w:p w14:paraId="78A8A624" w14:textId="329D59A3" w:rsidR="009C0BA3" w:rsidRDefault="00606650" w:rsidP="00E62035">
      <w:pPr>
        <w:spacing w:line="278" w:lineRule="auto"/>
        <w:jc w:val="center"/>
        <w:rPr>
          <w:b/>
        </w:rPr>
      </w:pPr>
      <w:r w:rsidRPr="00454E16">
        <w:rPr>
          <w:b/>
        </w:rPr>
        <w:t>LĒMUMS</w:t>
      </w:r>
    </w:p>
    <w:p w14:paraId="598496A8" w14:textId="048CEE5C" w:rsidR="00454E16" w:rsidRDefault="00454E16" w:rsidP="00E62035">
      <w:pPr>
        <w:spacing w:line="278" w:lineRule="auto"/>
        <w:jc w:val="center"/>
        <w:rPr>
          <w:b/>
        </w:rPr>
      </w:pPr>
      <w:r>
        <w:rPr>
          <w:b/>
        </w:rPr>
        <w:t>Lieta Nr. 680043420, SKA-626/2021</w:t>
      </w:r>
    </w:p>
    <w:p w14:paraId="2DA0E87C" w14:textId="2D385109" w:rsidR="00454E16" w:rsidRPr="00454E16" w:rsidRDefault="00F61E00" w:rsidP="00E62035">
      <w:pPr>
        <w:spacing w:line="278" w:lineRule="auto"/>
        <w:jc w:val="center"/>
        <w:rPr>
          <w:b/>
        </w:rPr>
      </w:pPr>
      <w:hyperlink r:id="rId6" w:history="1">
        <w:r w:rsidR="00454E16" w:rsidRPr="002B5634">
          <w:rPr>
            <w:rStyle w:val="Hyperlink"/>
          </w:rPr>
          <w:t>ECLI:LV:AT:2021:0122.SKA062621.8.L</w:t>
        </w:r>
      </w:hyperlink>
    </w:p>
    <w:p w14:paraId="13994BDA" w14:textId="77777777" w:rsidR="00C52066" w:rsidRDefault="00C52066" w:rsidP="00E62035">
      <w:pPr>
        <w:spacing w:line="278" w:lineRule="auto"/>
        <w:ind w:firstLine="567"/>
        <w:jc w:val="both"/>
      </w:pPr>
    </w:p>
    <w:p w14:paraId="5AE13377" w14:textId="2C220E5D" w:rsidR="00C52066" w:rsidRDefault="00C52066" w:rsidP="00E62035">
      <w:pPr>
        <w:spacing w:line="278" w:lineRule="auto"/>
        <w:ind w:firstLine="567"/>
        <w:jc w:val="both"/>
      </w:pPr>
      <w:r>
        <w:t>Tiesa šādā sastāvā</w:t>
      </w:r>
      <w:r w:rsidRPr="007E0DE2">
        <w:t xml:space="preserve">: </w:t>
      </w:r>
      <w:r w:rsidR="00CC1554">
        <w:t>senatores</w:t>
      </w:r>
      <w:r>
        <w:t xml:space="preserve"> </w:t>
      </w:r>
      <w:r w:rsidR="00CC1554">
        <w:t>Jautrīte Briede, Vēsma Kakste un Dace Mita</w:t>
      </w:r>
    </w:p>
    <w:p w14:paraId="7BE8C6DD" w14:textId="77777777" w:rsidR="00CC1554" w:rsidRDefault="00CC1554" w:rsidP="00E62035">
      <w:pPr>
        <w:spacing w:line="278" w:lineRule="auto"/>
        <w:ind w:firstLine="567"/>
        <w:jc w:val="both"/>
      </w:pPr>
    </w:p>
    <w:p w14:paraId="318DC5DA" w14:textId="2418E747" w:rsidR="00CC1554" w:rsidRDefault="003D6EA3" w:rsidP="00E62035">
      <w:pPr>
        <w:spacing w:line="278" w:lineRule="auto"/>
        <w:ind w:firstLine="567"/>
        <w:jc w:val="both"/>
      </w:pPr>
      <w:r>
        <w:t>r</w:t>
      </w:r>
      <w:r w:rsidR="00CC1554">
        <w:t>akstveida procesā izskatīja biedrību „</w:t>
      </w:r>
      <w:proofErr w:type="spellStart"/>
      <w:r w:rsidR="00CC1554">
        <w:t>Perro</w:t>
      </w:r>
      <w:proofErr w:type="spellEnd"/>
      <w:r w:rsidR="00CC1554">
        <w:t xml:space="preserve"> </w:t>
      </w:r>
      <w:proofErr w:type="spellStart"/>
      <w:r w:rsidR="00CC1554">
        <w:t>zorrero</w:t>
      </w:r>
      <w:proofErr w:type="spellEnd"/>
      <w:r w:rsidR="00CC1554">
        <w:t xml:space="preserve">”, „Viva la </w:t>
      </w:r>
      <w:proofErr w:type="spellStart"/>
      <w:r w:rsidR="00CC1554">
        <w:t>Cuba</w:t>
      </w:r>
      <w:proofErr w:type="spellEnd"/>
      <w:r w:rsidR="00CC1554">
        <w:t>” un „</w:t>
      </w:r>
      <w:proofErr w:type="spellStart"/>
      <w:r w:rsidR="00CC1554">
        <w:t>Investir</w:t>
      </w:r>
      <w:proofErr w:type="spellEnd"/>
      <w:r w:rsidR="00CC1554">
        <w:t xml:space="preserve">” blakus sūdzību par Administratīvās rajona tiesas tiesneša </w:t>
      </w:r>
      <w:proofErr w:type="gramStart"/>
      <w:r w:rsidR="00CC5600">
        <w:t>2020.gada</w:t>
      </w:r>
      <w:proofErr w:type="gramEnd"/>
      <w:r w:rsidR="00CC5600">
        <w:t xml:space="preserve"> 30.septembra l</w:t>
      </w:r>
      <w:r w:rsidR="00CC1554">
        <w:t>ēmumu, ar kuru atteikts pieņemt pieteikumu.</w:t>
      </w:r>
    </w:p>
    <w:p w14:paraId="66B4DDBA" w14:textId="77777777" w:rsidR="00CC1554" w:rsidRDefault="00CC1554" w:rsidP="00E62035">
      <w:pPr>
        <w:spacing w:line="278" w:lineRule="auto"/>
        <w:ind w:firstLine="567"/>
        <w:jc w:val="both"/>
      </w:pPr>
    </w:p>
    <w:p w14:paraId="1795CD9F" w14:textId="15911015" w:rsidR="00CC1554" w:rsidRDefault="00D82D6D" w:rsidP="00E62035">
      <w:pPr>
        <w:spacing w:line="278" w:lineRule="auto"/>
        <w:jc w:val="center"/>
        <w:rPr>
          <w:b/>
        </w:rPr>
      </w:pPr>
      <w:r>
        <w:rPr>
          <w:b/>
        </w:rPr>
        <w:t>Aprakstošā daļa</w:t>
      </w:r>
    </w:p>
    <w:p w14:paraId="169963A9" w14:textId="77777777" w:rsidR="00D82D6D" w:rsidRDefault="00D82D6D" w:rsidP="00E62035">
      <w:pPr>
        <w:spacing w:line="278" w:lineRule="auto"/>
        <w:jc w:val="center"/>
        <w:rPr>
          <w:b/>
        </w:rPr>
      </w:pPr>
    </w:p>
    <w:p w14:paraId="7922A641" w14:textId="5B432AF9" w:rsidR="00D82D6D" w:rsidRDefault="00D82D6D" w:rsidP="00E62035">
      <w:pPr>
        <w:spacing w:line="278" w:lineRule="auto"/>
        <w:ind w:firstLine="567"/>
        <w:jc w:val="both"/>
      </w:pPr>
      <w:r>
        <w:t>[1] </w:t>
      </w:r>
      <w:r w:rsidR="009071CF">
        <w:t>Ar Carnikavas novada domes</w:t>
      </w:r>
      <w:r w:rsidR="00767376">
        <w:t xml:space="preserve"> (turpmāk – dome)</w:t>
      </w:r>
      <w:r w:rsidR="007E5286">
        <w:t xml:space="preserve"> </w:t>
      </w:r>
      <w:proofErr w:type="gramStart"/>
      <w:r w:rsidR="007E5286">
        <w:t>2015.gada</w:t>
      </w:r>
      <w:proofErr w:type="gramEnd"/>
      <w:r w:rsidR="007E5286">
        <w:t xml:space="preserve"> 23.septembra</w:t>
      </w:r>
      <w:r w:rsidR="009071CF">
        <w:t xml:space="preserve"> lēmumu</w:t>
      </w:r>
      <w:r w:rsidR="007E5286">
        <w:t xml:space="preserve"> </w:t>
      </w:r>
      <w:r w:rsidR="003D6EA3">
        <w:t xml:space="preserve">tā adresātam </w:t>
      </w:r>
      <w:r w:rsidR="007E5286">
        <w:t xml:space="preserve">uzdots nojaukt ēkas. </w:t>
      </w:r>
    </w:p>
    <w:p w14:paraId="08745811" w14:textId="07406FF0" w:rsidR="00080402" w:rsidRDefault="00080402" w:rsidP="00E62035">
      <w:pPr>
        <w:spacing w:line="278" w:lineRule="auto"/>
        <w:ind w:firstLine="567"/>
        <w:jc w:val="both"/>
      </w:pPr>
      <w:r>
        <w:t xml:space="preserve">Ar domes </w:t>
      </w:r>
      <w:proofErr w:type="gramStart"/>
      <w:r>
        <w:t>2019.gada</w:t>
      </w:r>
      <w:proofErr w:type="gramEnd"/>
      <w:r>
        <w:t xml:space="preserve"> 23.oktobra lēmumu </w:t>
      </w:r>
      <w:r w:rsidR="005D02E8">
        <w:t>nolemts aizstāt 2015.gada 23.septembra lēmuma</w:t>
      </w:r>
      <w:r w:rsidR="003D6EA3">
        <w:t xml:space="preserve"> adresātu</w:t>
      </w:r>
      <w:r w:rsidR="005D02E8">
        <w:t xml:space="preserve"> ar tiesību pārņēmējām – pieteicējām biedrībām „</w:t>
      </w:r>
      <w:proofErr w:type="spellStart"/>
      <w:r w:rsidR="005D02E8">
        <w:t>Perro</w:t>
      </w:r>
      <w:proofErr w:type="spellEnd"/>
      <w:r w:rsidR="005D02E8">
        <w:t xml:space="preserve"> </w:t>
      </w:r>
      <w:proofErr w:type="spellStart"/>
      <w:r w:rsidR="005D02E8">
        <w:t>zorrero</w:t>
      </w:r>
      <w:proofErr w:type="spellEnd"/>
      <w:r w:rsidR="005D02E8">
        <w:t xml:space="preserve">”, „Viva la </w:t>
      </w:r>
      <w:proofErr w:type="spellStart"/>
      <w:r w:rsidR="005D02E8">
        <w:t>Cuba</w:t>
      </w:r>
      <w:proofErr w:type="spellEnd"/>
      <w:r w:rsidR="005D02E8">
        <w:t>”, „</w:t>
      </w:r>
      <w:proofErr w:type="spellStart"/>
      <w:r w:rsidR="005D02E8">
        <w:t>Investir</w:t>
      </w:r>
      <w:proofErr w:type="spellEnd"/>
      <w:r w:rsidR="005D02E8">
        <w:t>” un „</w:t>
      </w:r>
      <w:proofErr w:type="spellStart"/>
      <w:r w:rsidR="005D02E8">
        <w:t>Tribunal</w:t>
      </w:r>
      <w:proofErr w:type="spellEnd"/>
      <w:r w:rsidR="005D02E8">
        <w:t xml:space="preserve">”, kā arī uzdots pieteicējām izpildīt </w:t>
      </w:r>
      <w:proofErr w:type="gramStart"/>
      <w:r w:rsidR="005D02E8">
        <w:t>2015.gada</w:t>
      </w:r>
      <w:proofErr w:type="gramEnd"/>
      <w:r w:rsidR="005D02E8">
        <w:t xml:space="preserve"> 23.septembra lēmumu un nojaukt ēkas.</w:t>
      </w:r>
    </w:p>
    <w:p w14:paraId="3F1B73EF" w14:textId="0A7905EE" w:rsidR="00D143B3" w:rsidRDefault="00D143B3" w:rsidP="00E62035">
      <w:pPr>
        <w:spacing w:line="278" w:lineRule="auto"/>
        <w:ind w:firstLine="567"/>
        <w:jc w:val="both"/>
      </w:pPr>
      <w:r>
        <w:t xml:space="preserve">Konstatējot, ka lēmums labprātīgi nav izpildīts, </w:t>
      </w:r>
      <w:r w:rsidR="00313C27">
        <w:t xml:space="preserve">Carnikavas novada </w:t>
      </w:r>
      <w:r>
        <w:t>būvvalde</w:t>
      </w:r>
      <w:r w:rsidR="00313C27">
        <w:t xml:space="preserve"> (turpmāk – būvvalde)</w:t>
      </w:r>
      <w:r>
        <w:t xml:space="preserve"> nosūtīja pieteicējām brīdinājumu par lēmuma izpildi piespiedu kārtā.</w:t>
      </w:r>
    </w:p>
    <w:p w14:paraId="66FF1009" w14:textId="555A2555" w:rsidR="00F02497" w:rsidRDefault="00D143B3" w:rsidP="00E62035">
      <w:pPr>
        <w:spacing w:line="278" w:lineRule="auto"/>
        <w:ind w:firstLine="567"/>
        <w:jc w:val="both"/>
      </w:pPr>
      <w:r>
        <w:t xml:space="preserve">Ar </w:t>
      </w:r>
      <w:proofErr w:type="gramStart"/>
      <w:r>
        <w:t>2020.gada</w:t>
      </w:r>
      <w:proofErr w:type="gramEnd"/>
      <w:r>
        <w:t xml:space="preserve"> </w:t>
      </w:r>
      <w:r w:rsidR="00165962">
        <w:t>8.jūnija vēstuli pieteicējas vērsās domē un būvvaldē, lūdzot izsniegt saskaņojumu, būvatļauju vai jebkuru citu dokumentu, lai pašas varētu izpildīt lēmumu, bet</w:t>
      </w:r>
      <w:r w:rsidR="009A7F38">
        <w:t>,</w:t>
      </w:r>
      <w:r w:rsidR="00165962">
        <w:t xml:space="preserve"> ja šādu dokumentu nav iespējams izsniegt, sniegt uzziņu, norādot, </w:t>
      </w:r>
      <w:r w:rsidR="00623970">
        <w:t xml:space="preserve">ar </w:t>
      </w:r>
      <w:r w:rsidR="00165962">
        <w:t>kādiem nosacījumiem dome vai būvvalde šādu dokumentu var izsniegt.</w:t>
      </w:r>
    </w:p>
    <w:p w14:paraId="4D0AB581" w14:textId="5FE5292A" w:rsidR="00B54A4D" w:rsidRDefault="009A7F38" w:rsidP="00E62035">
      <w:pPr>
        <w:spacing w:line="278" w:lineRule="auto"/>
        <w:ind w:firstLine="567"/>
        <w:jc w:val="both"/>
      </w:pPr>
      <w:r>
        <w:t>Nesaņemot atbildi, p</w:t>
      </w:r>
      <w:r w:rsidR="00B54A4D">
        <w:t>ieteicējas vērsās tiesā par domes un būvvaldes faktisk</w:t>
      </w:r>
      <w:r>
        <w:t>ās rīcības atzīšanu par prettiesisku un pienākuma uzlikšanu sniegt atbildi</w:t>
      </w:r>
      <w:r w:rsidR="00313C27">
        <w:t xml:space="preserve"> uz iesniegumu</w:t>
      </w:r>
      <w:r>
        <w:t xml:space="preserve"> pēc būtības.</w:t>
      </w:r>
    </w:p>
    <w:p w14:paraId="2B934B20" w14:textId="77777777" w:rsidR="00B54A4D" w:rsidRDefault="00B54A4D" w:rsidP="00E62035">
      <w:pPr>
        <w:spacing w:line="278" w:lineRule="auto"/>
        <w:ind w:firstLine="567"/>
        <w:jc w:val="both"/>
      </w:pPr>
    </w:p>
    <w:p w14:paraId="333AA4D6" w14:textId="77777777" w:rsidR="00CC5600" w:rsidRDefault="00B54A4D" w:rsidP="00E62035">
      <w:pPr>
        <w:spacing w:line="278" w:lineRule="auto"/>
        <w:ind w:firstLine="567"/>
        <w:jc w:val="both"/>
      </w:pPr>
      <w:r>
        <w:lastRenderedPageBreak/>
        <w:t xml:space="preserve">[2] Ar Administratīvās rajona tiesas tiesneša </w:t>
      </w:r>
      <w:proofErr w:type="gramStart"/>
      <w:r w:rsidR="00CC5600">
        <w:t>2020.gada</w:t>
      </w:r>
      <w:proofErr w:type="gramEnd"/>
      <w:r w:rsidR="00CC5600">
        <w:t xml:space="preserve"> 30.septembra lēmumu pieteikumu atteikts pieņemt, pamatojoties uz Administratīvā procesa likuma 191.panta pirmās daļas 1.punktu. Lēmumā norādīts turpmāk minētais.</w:t>
      </w:r>
    </w:p>
    <w:p w14:paraId="2D0BD0A0" w14:textId="5E4FBDBB" w:rsidR="00853FED" w:rsidRDefault="00CC5600" w:rsidP="00E62035">
      <w:pPr>
        <w:spacing w:line="278" w:lineRule="auto"/>
        <w:ind w:firstLine="567"/>
        <w:jc w:val="both"/>
      </w:pPr>
      <w:r>
        <w:t>[2.1] Piet</w:t>
      </w:r>
      <w:r w:rsidR="00493446">
        <w:t xml:space="preserve">eicējas uzskata, ka vērsušās </w:t>
      </w:r>
      <w:r>
        <w:t xml:space="preserve">iestādē ar iesniegumu </w:t>
      </w:r>
      <w:proofErr w:type="spellStart"/>
      <w:r>
        <w:t>Iesniegumu</w:t>
      </w:r>
      <w:proofErr w:type="spellEnd"/>
      <w:r>
        <w:t xml:space="preserve"> likuma izpratnē.</w:t>
      </w:r>
      <w:r w:rsidR="00E65047">
        <w:t xml:space="preserve"> </w:t>
      </w:r>
      <w:r w:rsidR="00313C27">
        <w:t xml:space="preserve"> </w:t>
      </w:r>
      <w:r w:rsidR="00E65047">
        <w:t>Iesniegumā lūgts nodrošināt iespēju pieteicējām pašām izpildīt ar domes lēmumu uzlikto pie</w:t>
      </w:r>
      <w:r w:rsidR="00E50899">
        <w:t>nākumu</w:t>
      </w:r>
      <w:r w:rsidR="00E65047">
        <w:t xml:space="preserve"> nojaukt ēkas. Pieteicējas vērsušās iestādē, lai esošā administratīvā procesa ietvaros</w:t>
      </w:r>
      <w:r w:rsidR="00EF3D9D">
        <w:t xml:space="preserve"> par būvju nojaukšanu noskaidrotu, kas tām jādara, lai lēmumu varētu izpildīt labprātīgi. </w:t>
      </w:r>
    </w:p>
    <w:p w14:paraId="1D9DB4CB" w14:textId="6E95EF92" w:rsidR="007755F7" w:rsidRDefault="00853FED" w:rsidP="00E62035">
      <w:pPr>
        <w:spacing w:line="278" w:lineRule="auto"/>
        <w:ind w:firstLine="567"/>
        <w:jc w:val="both"/>
      </w:pPr>
      <w:r>
        <w:t>Pieteicēju mērķis, lai gan noformulēts kā atbildes saņemšana, ir uzzināt, kā ar domes lēmumu uzliktais pienākums</w:t>
      </w:r>
      <w:r w:rsidR="00623970" w:rsidRPr="00623970">
        <w:t xml:space="preserve"> </w:t>
      </w:r>
      <w:r w:rsidR="00623970">
        <w:t>izpildāms</w:t>
      </w:r>
      <w:r w:rsidR="00623970" w:rsidRPr="00623970">
        <w:t xml:space="preserve"> </w:t>
      </w:r>
      <w:r w:rsidR="00623970">
        <w:t>labprātīgi</w:t>
      </w:r>
      <w:r w:rsidR="00980D32">
        <w:t>. Tādēļ Iesniegumu likuma normas nav piemērojamas. Iesniegumu likums nav piemērojams, ja persona vēršas iestādē, lai atrisinātu kādu konkrētu savas subjektīvās tiesības skarošu jautājumu, bet gan lai iegūtu iestādes viedokli</w:t>
      </w:r>
      <w:r w:rsidR="00C53AE3">
        <w:t xml:space="preserve">, ar kuru tās subjektīvās tiesības netiek izmainītas. </w:t>
      </w:r>
      <w:r w:rsidR="00E50899">
        <w:t>Nav pieļaujam</w:t>
      </w:r>
      <w:r w:rsidR="00631E10">
        <w:t>s</w:t>
      </w:r>
      <w:r w:rsidR="00E50899">
        <w:t xml:space="preserve"> p</w:t>
      </w:r>
      <w:r w:rsidR="00FD1EB7">
        <w:t>ieteicēju</w:t>
      </w:r>
      <w:r w:rsidR="007755F7">
        <w:t xml:space="preserve"> prasījums </w:t>
      </w:r>
      <w:r w:rsidR="0078401E">
        <w:t>saistībā ar iestādes atbildes nesniegšanu pēc būtības, jo pieteicēju mērķis nav bijis iesaistīties valsts pārvaldē Iesniegumu likuma izpratnē.</w:t>
      </w:r>
    </w:p>
    <w:p w14:paraId="06FEC814" w14:textId="366F8115" w:rsidR="0078401E" w:rsidRDefault="0078401E" w:rsidP="00E62035">
      <w:pPr>
        <w:spacing w:line="278" w:lineRule="auto"/>
        <w:ind w:firstLine="567"/>
        <w:jc w:val="both"/>
      </w:pPr>
      <w:r>
        <w:t>[</w:t>
      </w:r>
      <w:r w:rsidR="00E50899">
        <w:t>2.2</w:t>
      </w:r>
      <w:r>
        <w:t>] Pat pieļaujot, ka prasījums ir skatāms administratīvā procesa kārtībā, nebūtu pamata p</w:t>
      </w:r>
      <w:r w:rsidR="00F7163A">
        <w:t>ieņemt pieteikumu, jo pieteicējas nav ievērojušas</w:t>
      </w:r>
      <w:r>
        <w:t xml:space="preserve"> lietas iepriekšējās ārpustiesas izskatīšanas kārtību. </w:t>
      </w:r>
      <w:r w:rsidR="000C5C7D">
        <w:t>Pieteicēju domei adresētā vēstule pasta iestādes kļūdas dēļ adresātam netika piegādāta un tika atgriezta pieteicējām. Iestādes n</w:t>
      </w:r>
      <w:r w:rsidR="00F7163A">
        <w:t>av varējušas izskatīt pieteicēju</w:t>
      </w:r>
      <w:r w:rsidR="000C5C7D">
        <w:t xml:space="preserve"> vēstuli, jo nav to saņēmušas.</w:t>
      </w:r>
    </w:p>
    <w:p w14:paraId="33383212" w14:textId="77777777" w:rsidR="00AF693A" w:rsidRDefault="00AF693A" w:rsidP="00E62035">
      <w:pPr>
        <w:spacing w:line="278" w:lineRule="auto"/>
        <w:ind w:firstLine="567"/>
        <w:jc w:val="both"/>
      </w:pPr>
    </w:p>
    <w:p w14:paraId="0DE5B568" w14:textId="2867F227" w:rsidR="00AF693A" w:rsidRDefault="00AF693A" w:rsidP="00E62035">
      <w:pPr>
        <w:spacing w:line="278" w:lineRule="auto"/>
        <w:ind w:firstLine="567"/>
        <w:jc w:val="both"/>
      </w:pPr>
      <w:r>
        <w:t>[3] </w:t>
      </w:r>
      <w:r w:rsidR="006C4551">
        <w:t>Par tiesneša lēmumu pieteicējas</w:t>
      </w:r>
      <w:r w:rsidR="00C61FAB">
        <w:t xml:space="preserve"> biedrības „</w:t>
      </w:r>
      <w:proofErr w:type="spellStart"/>
      <w:r w:rsidR="00C61FAB">
        <w:t>Perro</w:t>
      </w:r>
      <w:proofErr w:type="spellEnd"/>
      <w:r w:rsidR="00C61FAB">
        <w:t xml:space="preserve"> </w:t>
      </w:r>
      <w:proofErr w:type="spellStart"/>
      <w:r w:rsidR="00C61FAB">
        <w:t>zorrero</w:t>
      </w:r>
      <w:proofErr w:type="spellEnd"/>
      <w:r w:rsidR="00C61FAB">
        <w:t xml:space="preserve">”, „Viva la </w:t>
      </w:r>
      <w:proofErr w:type="spellStart"/>
      <w:r w:rsidR="00C61FAB">
        <w:t>Cuba</w:t>
      </w:r>
      <w:proofErr w:type="spellEnd"/>
      <w:r w:rsidR="00C61FAB">
        <w:t>” un „</w:t>
      </w:r>
      <w:proofErr w:type="spellStart"/>
      <w:r w:rsidR="00C61FAB">
        <w:t>Investir</w:t>
      </w:r>
      <w:proofErr w:type="spellEnd"/>
      <w:r w:rsidR="00C61FAB">
        <w:t>”</w:t>
      </w:r>
      <w:r w:rsidR="006C4551">
        <w:t xml:space="preserve"> iesniedza blakus sūdzību. </w:t>
      </w:r>
    </w:p>
    <w:p w14:paraId="354BECF8" w14:textId="77346438" w:rsidR="00862F04" w:rsidRDefault="00864937" w:rsidP="00E62035">
      <w:pPr>
        <w:spacing w:line="278" w:lineRule="auto"/>
        <w:ind w:firstLine="567"/>
        <w:jc w:val="both"/>
      </w:pPr>
      <w:r>
        <w:t xml:space="preserve">Pieteicējas nepiekrīt tiesneša norādītajam, ka </w:t>
      </w:r>
      <w:r w:rsidR="007058EF">
        <w:t>tās vērsušās iestādē, lai noskaidrotu, kas tām ir jādara, lai ēkas nojauktu. Tiesneša</w:t>
      </w:r>
      <w:r w:rsidR="008D3400">
        <w:t xml:space="preserve"> norāde, ka pieteicējas prasa konsultāciju</w:t>
      </w:r>
      <w:r w:rsidR="00D57BDC">
        <w:t>,</w:t>
      </w:r>
      <w:r w:rsidR="008D3400">
        <w:t xml:space="preserve"> būtu pamatota tikai tad, ja dome nevarētu izsniegt prasīto saskaņojumu vai citu dokumentu. Iesniegums </w:t>
      </w:r>
      <w:r w:rsidR="007058EF">
        <w:t>esot</w:t>
      </w:r>
      <w:r w:rsidR="008D3400">
        <w:t xml:space="preserve"> vērsts uz atļaujas izsniegšanu, lai piedalītos valsts pārvaldē, izpildot iestādes uzlikto pienākumu.</w:t>
      </w:r>
      <w:r w:rsidR="00862F04">
        <w:t xml:space="preserve"> Pretēji </w:t>
      </w:r>
      <w:r w:rsidR="00D57BDC">
        <w:t xml:space="preserve">tiesneša </w:t>
      </w:r>
      <w:r w:rsidR="00862F04">
        <w:t xml:space="preserve">norādītajam, esot bijis jāpiemēro Iesniegumu likuma normas. Tāpat sūdzībā norādīts, ka </w:t>
      </w:r>
      <w:r w:rsidR="00D57BDC">
        <w:t xml:space="preserve">tiesnesis </w:t>
      </w:r>
      <w:r w:rsidR="00862F04">
        <w:t>nenorāda nevienu iemeslu, kāpēc iestāde sūtījumu nav varējusi saņemt</w:t>
      </w:r>
      <w:r w:rsidR="00C00F4E">
        <w:t>. Pieteicējām</w:t>
      </w:r>
      <w:r w:rsidR="00B112BB">
        <w:t xml:space="preserve"> </w:t>
      </w:r>
      <w:r w:rsidR="00C00F4E">
        <w:t>neesot bijis atkārtoti jāvēršas iestādē ar iesniegumu.</w:t>
      </w:r>
    </w:p>
    <w:p w14:paraId="35C8BCFD" w14:textId="77777777" w:rsidR="0037602B" w:rsidRDefault="0037602B" w:rsidP="00E62035">
      <w:pPr>
        <w:spacing w:line="278" w:lineRule="auto"/>
        <w:jc w:val="both"/>
      </w:pPr>
    </w:p>
    <w:p w14:paraId="7106F55F" w14:textId="1EF32B19" w:rsidR="0037602B" w:rsidRDefault="0037602B" w:rsidP="00E62035">
      <w:pPr>
        <w:spacing w:line="278" w:lineRule="auto"/>
        <w:jc w:val="center"/>
        <w:rPr>
          <w:b/>
        </w:rPr>
      </w:pPr>
      <w:r>
        <w:rPr>
          <w:b/>
        </w:rPr>
        <w:t>Motīvu daļa</w:t>
      </w:r>
    </w:p>
    <w:p w14:paraId="55D31C57" w14:textId="77777777" w:rsidR="0037602B" w:rsidRDefault="0037602B" w:rsidP="00E62035">
      <w:pPr>
        <w:spacing w:line="278" w:lineRule="auto"/>
        <w:jc w:val="center"/>
        <w:rPr>
          <w:b/>
        </w:rPr>
      </w:pPr>
    </w:p>
    <w:p w14:paraId="6848BF64" w14:textId="211A06C5" w:rsidR="00E30E8D" w:rsidRDefault="0037602B" w:rsidP="00E62035">
      <w:pPr>
        <w:spacing w:line="278" w:lineRule="auto"/>
        <w:ind w:firstLine="567"/>
        <w:jc w:val="both"/>
      </w:pPr>
      <w:r>
        <w:t>[4] Pieteic</w:t>
      </w:r>
      <w:r w:rsidR="00595698">
        <w:t>ējas</w:t>
      </w:r>
      <w:r>
        <w:t xml:space="preserve"> vērsās domē un būvvaldē, lūdzot izsniegt saskaņojumu, būvatļauju vai jebkuru citu dokumentu, lai izpildītu lēmumu par ēku nojaukšanu. </w:t>
      </w:r>
      <w:r w:rsidR="00D50F2A">
        <w:t>Tad, ja šādu dokumentu nav iespējams izsniegt, lūgts sniegt uzziņu, norādot</w:t>
      </w:r>
      <w:r w:rsidR="00CE6576">
        <w:t>,</w:t>
      </w:r>
      <w:r w:rsidR="00D50F2A">
        <w:t xml:space="preserve"> kas pieteicējām jādara, lai šādu dokumentu saņemtu.</w:t>
      </w:r>
    </w:p>
    <w:p w14:paraId="1EBAE7D8" w14:textId="74E70724" w:rsidR="00E30E8D" w:rsidRDefault="00595698" w:rsidP="00E62035">
      <w:pPr>
        <w:spacing w:line="278" w:lineRule="auto"/>
        <w:ind w:firstLine="567"/>
        <w:jc w:val="both"/>
      </w:pPr>
      <w:r>
        <w:t>T</w:t>
      </w:r>
      <w:r w:rsidR="00E30E8D">
        <w:t>iesā</w:t>
      </w:r>
      <w:r>
        <w:t xml:space="preserve"> pieteicējas</w:t>
      </w:r>
      <w:r w:rsidR="00E30E8D">
        <w:t xml:space="preserve"> vērsu</w:t>
      </w:r>
      <w:r>
        <w:t>šās</w:t>
      </w:r>
      <w:r w:rsidR="00E30E8D">
        <w:t xml:space="preserve"> ar pieteikumu par iestādes faktisko rīcību, n</w:t>
      </w:r>
      <w:r w:rsidR="00C00F4E">
        <w:t>esniedzot atbildi uz iesniegumu, un pienākuma uzlikšanu sniegt atbildi pēc būtības.</w:t>
      </w:r>
    </w:p>
    <w:p w14:paraId="215801FA" w14:textId="77777777" w:rsidR="00E30E8D" w:rsidRDefault="00E30E8D" w:rsidP="00E62035">
      <w:pPr>
        <w:spacing w:line="278" w:lineRule="auto"/>
        <w:ind w:firstLine="567"/>
        <w:jc w:val="both"/>
      </w:pPr>
    </w:p>
    <w:p w14:paraId="5B70062C" w14:textId="77777777" w:rsidR="00595698" w:rsidRDefault="00E30E8D" w:rsidP="00E62035">
      <w:pPr>
        <w:spacing w:line="278" w:lineRule="auto"/>
        <w:ind w:firstLine="567"/>
        <w:jc w:val="both"/>
      </w:pPr>
      <w:r>
        <w:t>[5] </w:t>
      </w:r>
      <w:r w:rsidR="00452E9B">
        <w:t>Senāts atzīst par pareiziem tiesneša secinājumus, ka izskatāmajā lietā nav piemērojamas I</w:t>
      </w:r>
      <w:r w:rsidR="00595698">
        <w:t>e</w:t>
      </w:r>
      <w:r w:rsidR="00452E9B">
        <w:t xml:space="preserve">sniegumu likuma normas. Proti, no iesnieguma satura acīmredzami izriet, ka pieteicējas nav vērsušās iestādē ar lūgumu, sūdzību, priekšlikumu vai jautājumu, lai līdzdarbotos valsts pārvaldē. </w:t>
      </w:r>
    </w:p>
    <w:p w14:paraId="55AD2E3D" w14:textId="00F9BA84" w:rsidR="00F12469" w:rsidRDefault="00C03D08" w:rsidP="00E62035">
      <w:pPr>
        <w:spacing w:line="278" w:lineRule="auto"/>
        <w:ind w:firstLine="567"/>
        <w:jc w:val="both"/>
      </w:pPr>
      <w:r>
        <w:t>Pieteicējas nepamatoti uzskata, ka ēku nojaukšan</w:t>
      </w:r>
      <w:r w:rsidR="0043276D">
        <w:t>as izpildes procesā</w:t>
      </w:r>
      <w:r>
        <w:t xml:space="preserve"> pieteicējas līdzdarbojas valsts pārvaldē </w:t>
      </w:r>
      <w:r w:rsidR="00032480">
        <w:t xml:space="preserve">un tāpēc ir piemērojams </w:t>
      </w:r>
      <w:r>
        <w:t>Iesniegumu likum</w:t>
      </w:r>
      <w:r w:rsidR="00032480">
        <w:t>s</w:t>
      </w:r>
      <w:r w:rsidR="00630FC6">
        <w:t>.</w:t>
      </w:r>
      <w:r w:rsidR="00381619">
        <w:t xml:space="preserve"> </w:t>
      </w:r>
      <w:r w:rsidR="00F12469">
        <w:t xml:space="preserve">Iesniegumu likuma </w:t>
      </w:r>
      <w:r w:rsidR="00F12469">
        <w:lastRenderedPageBreak/>
        <w:t>mērķis ir iesaistīt aktīvos sabiedrības locekļus vispārīgo sabiedrībai aktuālo jautājumu risināšanā. Taču iesniedzēj</w:t>
      </w:r>
      <w:r w:rsidR="0043276D">
        <w:t>am</w:t>
      </w:r>
      <w:r w:rsidR="00F12469">
        <w:t xml:space="preserve"> nav subjektīvo tiesību pieprasīt, lai iestāde i</w:t>
      </w:r>
      <w:r w:rsidR="00545CFB">
        <w:t>zpildītu šādā iesniegumā minēto. A</w:t>
      </w:r>
      <w:r w:rsidR="00F12469" w:rsidRPr="00032480">
        <w:t xml:space="preserve">tbildes sniegšana uz iesniegumu </w:t>
      </w:r>
      <w:proofErr w:type="spellStart"/>
      <w:r w:rsidR="00F12469">
        <w:t>Iesniegumu</w:t>
      </w:r>
      <w:proofErr w:type="spellEnd"/>
      <w:r w:rsidR="00F12469">
        <w:t xml:space="preserve"> likuma izpratnē aprobežojas</w:t>
      </w:r>
      <w:r w:rsidR="0043276D">
        <w:t xml:space="preserve"> </w:t>
      </w:r>
      <w:r w:rsidR="00F12469">
        <w:t>ar informāciju par priekšlikuma vai sūdzības izskatīšanas rezultātiem</w:t>
      </w:r>
      <w:r w:rsidR="0043276D">
        <w:t>, pateicību par sniegto priekšlikumu, paskaidrojumu, kāpēc priekšlikums vai sūdzība nav pamatoti un tamlīdzīgi.</w:t>
      </w:r>
      <w:r w:rsidR="00F12469" w:rsidRPr="00032480">
        <w:t xml:space="preserve"> </w:t>
      </w:r>
      <w:r w:rsidR="00F12469">
        <w:t>Piemēram, Iesniegumu likuma izpratnē pieteicējas varētu ieteikt pašvaldībai ievietot tās mājaslapā informāciju par būvatļauju saņemšanu, taču šāda priekšlikuma īstenošana paliek tikai un vienīgi pašva</w:t>
      </w:r>
      <w:r w:rsidR="00545CFB">
        <w:t>l</w:t>
      </w:r>
      <w:r w:rsidR="00F12469">
        <w:t xml:space="preserve">dības rīcības brīvības ietvaros. </w:t>
      </w:r>
    </w:p>
    <w:p w14:paraId="45FCFEE9" w14:textId="58B64A29" w:rsidR="000600B1" w:rsidRDefault="0043276D" w:rsidP="00E62035">
      <w:pPr>
        <w:spacing w:line="278" w:lineRule="auto"/>
        <w:ind w:firstLine="567"/>
        <w:jc w:val="both"/>
      </w:pPr>
      <w:r>
        <w:t>Savukārt i</w:t>
      </w:r>
      <w:r w:rsidR="00F12469">
        <w:t xml:space="preserve">ndividuālo jautājumu risināšanu regulē Administratīvā procesa likums. Tādējādi </w:t>
      </w:r>
      <w:r w:rsidR="00032480">
        <w:t xml:space="preserve">Iesniegumu likums </w:t>
      </w:r>
      <w:r w:rsidR="00C14179">
        <w:t>privāt</w:t>
      </w:r>
      <w:r w:rsidR="00032480">
        <w:t>personas iesniegumu</w:t>
      </w:r>
      <w:r w:rsidR="00C14179">
        <w:t xml:space="preserve"> iesniegšanas un izskatīšanas kārtību regulē </w:t>
      </w:r>
      <w:r w:rsidR="00032480">
        <w:t>tikai tiktāl, ciktāl to neregulē Administratīvā procesa likums.</w:t>
      </w:r>
      <w:r w:rsidR="00AA3A3F">
        <w:t xml:space="preserve"> </w:t>
      </w:r>
      <w:r w:rsidR="00032480">
        <w:t xml:space="preserve">Ja </w:t>
      </w:r>
      <w:r w:rsidR="00630FC6">
        <w:t>p</w:t>
      </w:r>
      <w:r w:rsidR="00B10EE6">
        <w:t>ersona</w:t>
      </w:r>
      <w:r w:rsidR="00630FC6">
        <w:t xml:space="preserve"> </w:t>
      </w:r>
      <w:r w:rsidR="0083077D">
        <w:t>ir</w:t>
      </w:r>
      <w:r w:rsidR="00630FC6">
        <w:t xml:space="preserve"> vērsusies iestādē ar kādu jautājumu, kas skar tās subjektīvās tiesības</w:t>
      </w:r>
      <w:r w:rsidR="00032480">
        <w:t xml:space="preserve">, piemērojams ir Administratīvā procesa </w:t>
      </w:r>
      <w:r w:rsidR="00C14179">
        <w:t>likums</w:t>
      </w:r>
      <w:r w:rsidR="00630FC6">
        <w:t>.</w:t>
      </w:r>
    </w:p>
    <w:p w14:paraId="7CDF07AF" w14:textId="5BE7FF13" w:rsidR="00C81F43" w:rsidRDefault="00C14179" w:rsidP="00E62035">
      <w:pPr>
        <w:spacing w:line="278" w:lineRule="auto"/>
        <w:ind w:firstLine="567"/>
        <w:jc w:val="both"/>
      </w:pPr>
      <w:r>
        <w:t>Konkrētajā gadījumā, v</w:t>
      </w:r>
      <w:r w:rsidR="00C03D08">
        <w:t xml:space="preserve">ēršoties ar iesniegumu </w:t>
      </w:r>
      <w:r w:rsidR="00B10EE6">
        <w:t>domē un būvvaldē</w:t>
      </w:r>
      <w:r w:rsidR="00C03D08">
        <w:t>, piete</w:t>
      </w:r>
      <w:r w:rsidR="00B10EE6">
        <w:t>i</w:t>
      </w:r>
      <w:r w:rsidR="00C03D08">
        <w:t>cēj</w:t>
      </w:r>
      <w:r w:rsidR="00AA3A3F">
        <w:t>u mērķis acīmredzami ir bijis</w:t>
      </w:r>
      <w:r w:rsidR="00C03D08">
        <w:t xml:space="preserve">, lai </w:t>
      </w:r>
      <w:r w:rsidR="005F02DE">
        <w:t xml:space="preserve">iestāde </w:t>
      </w:r>
      <w:r w:rsidR="000368A4">
        <w:t>saskaņo</w:t>
      </w:r>
      <w:r w:rsidR="00D801F3">
        <w:t xml:space="preserve"> ēku </w:t>
      </w:r>
      <w:r w:rsidR="00D57BDC">
        <w:t>nojaukšanu</w:t>
      </w:r>
      <w:r w:rsidR="00AA3A3F">
        <w:t xml:space="preserve">, nevis </w:t>
      </w:r>
      <w:r w:rsidR="0083077D">
        <w:t xml:space="preserve">tikai </w:t>
      </w:r>
      <w:r w:rsidR="00D57BDC">
        <w:t xml:space="preserve">sniedz </w:t>
      </w:r>
      <w:r w:rsidR="00AA3A3F">
        <w:t>atbildi uz iesniegumu</w:t>
      </w:r>
      <w:r w:rsidR="00E92355">
        <w:t xml:space="preserve">. </w:t>
      </w:r>
    </w:p>
    <w:p w14:paraId="38C045D2" w14:textId="77777777" w:rsidR="00C14179" w:rsidRDefault="00C14179" w:rsidP="00E62035">
      <w:pPr>
        <w:spacing w:line="278" w:lineRule="auto"/>
        <w:ind w:firstLine="567"/>
        <w:jc w:val="both"/>
      </w:pPr>
    </w:p>
    <w:p w14:paraId="07FAAB6D" w14:textId="570EDA89" w:rsidR="00AE490E" w:rsidRPr="0043276D" w:rsidRDefault="009439CF" w:rsidP="00E62035">
      <w:pPr>
        <w:spacing w:line="278" w:lineRule="auto"/>
        <w:ind w:firstLine="567"/>
        <w:jc w:val="both"/>
      </w:pPr>
      <w:r>
        <w:t>[6] </w:t>
      </w:r>
      <w:r w:rsidR="0005298A" w:rsidRPr="00032480">
        <w:t xml:space="preserve">Saskaņā ar Administratīvā procesa likuma </w:t>
      </w:r>
      <w:proofErr w:type="gramStart"/>
      <w:r w:rsidR="0005298A" w:rsidRPr="00032480">
        <w:t>103.panta</w:t>
      </w:r>
      <w:proofErr w:type="gramEnd"/>
      <w:r w:rsidR="0005298A" w:rsidRPr="00032480">
        <w:t xml:space="preserve"> otro daļu tiesa administratīvajā procesā, pildot savus pienākumus, pati objektīvi noskaidro lietas apstākļus un dod tiem juridisku vērtējumu. Senāts ir atzinis, ka nav izšķirošas nozīmes tam, kā pieteikuma priekšmets ir nosaukts pieteikumā un ar kurām Administratīvā procesa likuma normām tas pamatots, bet, ievērojot lietas faktiskos apstākļus, tiesai pašai ir jākonstatē pieteikuma priekšmets (</w:t>
      </w:r>
      <w:r w:rsidR="0005298A" w:rsidRPr="00032480">
        <w:rPr>
          <w:i/>
          <w:iCs/>
        </w:rPr>
        <w:t xml:space="preserve">Senāta </w:t>
      </w:r>
      <w:proofErr w:type="gramStart"/>
      <w:r w:rsidR="0005298A" w:rsidRPr="00032480">
        <w:rPr>
          <w:i/>
          <w:iCs/>
        </w:rPr>
        <w:t>2007.gada</w:t>
      </w:r>
      <w:proofErr w:type="gramEnd"/>
      <w:r w:rsidR="0005298A" w:rsidRPr="00032480">
        <w:rPr>
          <w:i/>
          <w:iCs/>
        </w:rPr>
        <w:t xml:space="preserve"> 31.augusta lēmuma lietā Nr.</w:t>
      </w:r>
      <w:r w:rsidR="00FE79E4" w:rsidRPr="00032480">
        <w:rPr>
          <w:i/>
          <w:iCs/>
        </w:rPr>
        <w:t> </w:t>
      </w:r>
      <w:r w:rsidR="00CE6576" w:rsidRPr="00032480">
        <w:rPr>
          <w:i/>
          <w:iCs/>
        </w:rPr>
        <w:t>SKA</w:t>
      </w:r>
      <w:r w:rsidR="00CE6576" w:rsidRPr="00032480">
        <w:rPr>
          <w:i/>
          <w:iCs/>
        </w:rPr>
        <w:noBreakHyphen/>
      </w:r>
      <w:r w:rsidR="0005298A" w:rsidRPr="00032480">
        <w:rPr>
          <w:i/>
          <w:iCs/>
        </w:rPr>
        <w:t>534/2007</w:t>
      </w:r>
      <w:r w:rsidR="000368A4">
        <w:rPr>
          <w:i/>
          <w:iCs/>
        </w:rPr>
        <w:t xml:space="preserve"> (</w:t>
      </w:r>
      <w:r w:rsidR="000368A4" w:rsidRPr="000368A4">
        <w:rPr>
          <w:i/>
          <w:iCs/>
        </w:rPr>
        <w:t>A42115204</w:t>
      </w:r>
      <w:r w:rsidR="000368A4">
        <w:rPr>
          <w:i/>
          <w:iCs/>
        </w:rPr>
        <w:t>)</w:t>
      </w:r>
      <w:r w:rsidR="0005298A" w:rsidRPr="00032480">
        <w:rPr>
          <w:i/>
          <w:iCs/>
        </w:rPr>
        <w:t xml:space="preserve"> 8.punkts</w:t>
      </w:r>
      <w:r w:rsidR="0005298A" w:rsidRPr="00032480">
        <w:t>). Pieteikuma priekšmets ir saistāms ar mērķi, kuru pieteicējs vēlējies panākt, vēršoties iestādē (</w:t>
      </w:r>
      <w:r w:rsidR="0005298A" w:rsidRPr="00032480">
        <w:rPr>
          <w:i/>
          <w:iCs/>
        </w:rPr>
        <w:t>Senāta 2014.gada</w:t>
      </w:r>
      <w:r w:rsidR="0005298A" w:rsidRPr="00032480">
        <w:t xml:space="preserve"> </w:t>
      </w:r>
      <w:r w:rsidR="0005298A" w:rsidRPr="00032480">
        <w:rPr>
          <w:i/>
          <w:iCs/>
        </w:rPr>
        <w:t>3.aprīļa lēmuma lietā Nr.</w:t>
      </w:r>
      <w:r w:rsidR="00FE79E4" w:rsidRPr="00032480">
        <w:rPr>
          <w:i/>
          <w:iCs/>
        </w:rPr>
        <w:t> </w:t>
      </w:r>
      <w:r w:rsidR="0005298A" w:rsidRPr="0043276D">
        <w:rPr>
          <w:i/>
          <w:iCs/>
        </w:rPr>
        <w:t>SKA-261/2014</w:t>
      </w:r>
      <w:r w:rsidR="000D18E0">
        <w:rPr>
          <w:i/>
          <w:iCs/>
        </w:rPr>
        <w:t xml:space="preserve"> (6</w:t>
      </w:r>
      <w:r w:rsidR="000D18E0" w:rsidRPr="000D18E0">
        <w:rPr>
          <w:i/>
          <w:iCs/>
        </w:rPr>
        <w:t>80117213</w:t>
      </w:r>
      <w:r w:rsidR="000D18E0">
        <w:rPr>
          <w:i/>
          <w:iCs/>
        </w:rPr>
        <w:t>)</w:t>
      </w:r>
      <w:r w:rsidR="0005298A" w:rsidRPr="0043276D">
        <w:rPr>
          <w:i/>
          <w:iCs/>
        </w:rPr>
        <w:t xml:space="preserve"> 8.punkts</w:t>
      </w:r>
      <w:r w:rsidR="0005298A" w:rsidRPr="0043276D">
        <w:t>).</w:t>
      </w:r>
    </w:p>
    <w:p w14:paraId="0DF2C065" w14:textId="68C9DB37" w:rsidR="00311E2F" w:rsidRDefault="005F02DE" w:rsidP="00E62035">
      <w:pPr>
        <w:spacing w:line="278" w:lineRule="auto"/>
        <w:ind w:firstLine="567"/>
        <w:jc w:val="both"/>
      </w:pPr>
      <w:r>
        <w:t xml:space="preserve">Ņemot vērā, ka pieteicējas iesniegumā </w:t>
      </w:r>
      <w:r w:rsidR="0005298A">
        <w:t xml:space="preserve">iestādei </w:t>
      </w:r>
      <w:r>
        <w:t>lūdz</w:t>
      </w:r>
      <w:r w:rsidR="0043276D">
        <w:t>a</w:t>
      </w:r>
      <w:r w:rsidR="00042BC0">
        <w:t xml:space="preserve"> </w:t>
      </w:r>
      <w:r w:rsidR="00D57BDC">
        <w:t>saskaņot</w:t>
      </w:r>
      <w:r>
        <w:t xml:space="preserve"> ēku nojaukšan</w:t>
      </w:r>
      <w:r w:rsidR="00D57BDC">
        <w:t>u</w:t>
      </w:r>
      <w:r>
        <w:t>, tiesnesis nepareiz</w:t>
      </w:r>
      <w:r w:rsidR="00D239D0">
        <w:t xml:space="preserve">i secinājis, ka </w:t>
      </w:r>
      <w:r w:rsidR="0043276D">
        <w:t xml:space="preserve">pieteicēju </w:t>
      </w:r>
      <w:r w:rsidR="00D239D0">
        <w:t>mērķis ir bijis</w:t>
      </w:r>
      <w:r w:rsidR="00A03372">
        <w:t xml:space="preserve"> </w:t>
      </w:r>
      <w:r w:rsidR="0043276D">
        <w:t xml:space="preserve">tikai </w:t>
      </w:r>
      <w:r>
        <w:t>uzzināt</w:t>
      </w:r>
      <w:r w:rsidR="0043276D">
        <w:t>,</w:t>
      </w:r>
      <w:r>
        <w:t xml:space="preserve"> kā izpildāms ar domes lēmumu uzliktais pienākums.</w:t>
      </w:r>
      <w:r w:rsidR="006439E4">
        <w:t xml:space="preserve"> </w:t>
      </w:r>
      <w:r w:rsidR="00EB37A1">
        <w:t>No iesnieguma konstatējams, ka m</w:t>
      </w:r>
      <w:r w:rsidR="00D239D0">
        <w:t>ērķis</w:t>
      </w:r>
      <w:r w:rsidR="008A1A6D">
        <w:t>, vēršoties iestādē,</w:t>
      </w:r>
      <w:r w:rsidR="00EB37A1">
        <w:t xml:space="preserve"> </w:t>
      </w:r>
      <w:r w:rsidR="00D239D0">
        <w:t>ir bijis</w:t>
      </w:r>
      <w:r w:rsidR="0043276D">
        <w:t xml:space="preserve"> panākt</w:t>
      </w:r>
      <w:r w:rsidR="00FA7384">
        <w:t xml:space="preserve"> administratīv</w:t>
      </w:r>
      <w:r w:rsidR="0043276D">
        <w:t>ā</w:t>
      </w:r>
      <w:r w:rsidR="00FA7384">
        <w:t xml:space="preserve"> akt</w:t>
      </w:r>
      <w:r w:rsidR="0043276D">
        <w:t>a –</w:t>
      </w:r>
      <w:r w:rsidR="009A3FAA">
        <w:t xml:space="preserve"> ēku </w:t>
      </w:r>
      <w:r w:rsidR="00042BC0">
        <w:t xml:space="preserve">nojaukšanas </w:t>
      </w:r>
      <w:r w:rsidR="0043276D">
        <w:t>saskaņojuma – izdošanu</w:t>
      </w:r>
      <w:r w:rsidR="00FA7384">
        <w:t>.</w:t>
      </w:r>
    </w:p>
    <w:p w14:paraId="1DC62C63" w14:textId="2C2363ED" w:rsidR="00311E2F" w:rsidRPr="00311E2F" w:rsidRDefault="00EB37A1" w:rsidP="00E62035">
      <w:pPr>
        <w:spacing w:line="278" w:lineRule="auto"/>
        <w:ind w:firstLine="567"/>
        <w:jc w:val="both"/>
      </w:pPr>
      <w:r>
        <w:t>L</w:t>
      </w:r>
      <w:r w:rsidR="006439E4">
        <w:t xml:space="preserve">ai </w:t>
      </w:r>
      <w:r w:rsidR="0043276D">
        <w:t>arī</w:t>
      </w:r>
      <w:r w:rsidR="006439E4">
        <w:t xml:space="preserve"> </w:t>
      </w:r>
      <w:r w:rsidR="00311E2F" w:rsidRPr="00311E2F">
        <w:t>pieteicējas prasījumu ir formulējušas kā prasījumu par iestādes faktiskās rīcības atzīšanu par prettiesisku un pienākuma uzlikšanu sniegt atbildi uz iesniegumu pēc būtība</w:t>
      </w:r>
      <w:r w:rsidR="00311E2F">
        <w:t>s,</w:t>
      </w:r>
      <w:r w:rsidR="008A1A6D">
        <w:t xml:space="preserve"> </w:t>
      </w:r>
      <w:r w:rsidR="0043276D">
        <w:t xml:space="preserve">tiesai </w:t>
      </w:r>
      <w:r w:rsidR="008A1A6D">
        <w:t xml:space="preserve">ir jāņem vērā </w:t>
      </w:r>
      <w:r w:rsidR="00311E2F" w:rsidRPr="00311E2F">
        <w:t>mērķis</w:t>
      </w:r>
      <w:r w:rsidR="008A1A6D">
        <w:t xml:space="preserve">, ar kādu pieteicējas vērsušās domē un būvvaldē. </w:t>
      </w:r>
      <w:r w:rsidR="001F5267">
        <w:t xml:space="preserve">Attiecīgi arī tiesā </w:t>
      </w:r>
      <w:r>
        <w:t>pieteicējas vērsušās ar mērķi</w:t>
      </w:r>
      <w:r w:rsidR="001F5267">
        <w:t xml:space="preserve"> panākt administratīvā akta izdošanu. Šāds prasījums ir</w:t>
      </w:r>
      <w:r w:rsidR="00311E2F" w:rsidRPr="00311E2F">
        <w:t xml:space="preserve"> izskatāms administratīvā procesa kārtībā.</w:t>
      </w:r>
    </w:p>
    <w:p w14:paraId="478E04E9" w14:textId="18D03F12" w:rsidR="006D0779" w:rsidRDefault="0096062C" w:rsidP="00E62035">
      <w:pPr>
        <w:spacing w:line="278" w:lineRule="auto"/>
        <w:ind w:firstLine="567"/>
        <w:jc w:val="both"/>
      </w:pPr>
      <w:r>
        <w:t xml:space="preserve">Ievērojot minēto, Senāts atzīst, ka </w:t>
      </w:r>
      <w:r w:rsidR="006D0779">
        <w:t xml:space="preserve">tiesnesis nepamatoti atteicis pieņemt pieteikumu, pamatojoties uz Administratīvā procesa likuma </w:t>
      </w:r>
      <w:proofErr w:type="gramStart"/>
      <w:r w:rsidR="006D0779">
        <w:t>191.panta</w:t>
      </w:r>
      <w:proofErr w:type="gramEnd"/>
      <w:r w:rsidR="006D0779">
        <w:t xml:space="preserve"> pirmās daļas 1.punktu.</w:t>
      </w:r>
    </w:p>
    <w:p w14:paraId="139CBA87" w14:textId="77777777" w:rsidR="006D0779" w:rsidRDefault="006D0779" w:rsidP="00E62035">
      <w:pPr>
        <w:spacing w:line="278" w:lineRule="auto"/>
        <w:ind w:firstLine="567"/>
        <w:jc w:val="both"/>
      </w:pPr>
    </w:p>
    <w:p w14:paraId="27D2A340" w14:textId="7FFEDA77" w:rsidR="00981B56" w:rsidRDefault="006D0779" w:rsidP="00E62035">
      <w:pPr>
        <w:spacing w:line="278" w:lineRule="auto"/>
        <w:ind w:firstLine="567"/>
        <w:jc w:val="both"/>
      </w:pPr>
      <w:r>
        <w:t>[7]</w:t>
      </w:r>
      <w:r w:rsidR="00981B56">
        <w:t> </w:t>
      </w:r>
      <w:r w:rsidR="00876381">
        <w:t>Domē un būvvaldē</w:t>
      </w:r>
      <w:r w:rsidR="00981B56">
        <w:t xml:space="preserve"> pieteicēju iesniegums nav izskatīts.</w:t>
      </w:r>
      <w:r w:rsidR="00B94407">
        <w:t xml:space="preserve"> </w:t>
      </w:r>
    </w:p>
    <w:p w14:paraId="193799D9" w14:textId="615FEF74" w:rsidR="00EE1F54" w:rsidRDefault="00EE1F54" w:rsidP="00E62035">
      <w:pPr>
        <w:spacing w:line="278" w:lineRule="auto"/>
        <w:ind w:firstLine="567"/>
        <w:jc w:val="both"/>
      </w:pPr>
      <w:r>
        <w:t>Ja administratīvais akts netiek izdots mēneša laikā un iesniedzējs nesaņem paziņojumu par termiņa pagarinājumu, persona var vērsties ar apstrīdēšanas iesniegumu augstākā iestādē vai</w:t>
      </w:r>
      <w:r w:rsidR="00C4385C">
        <w:t>, ja augstāka iestāde nav vai tā ir Ministru kabinets,</w:t>
      </w:r>
      <w:r>
        <w:t xml:space="preserve"> tiesā ar pieteikumu par attiecīgā administratīvā akta izdošanu.</w:t>
      </w:r>
    </w:p>
    <w:p w14:paraId="4364E044" w14:textId="3F032E76" w:rsidR="00EE1F54" w:rsidRDefault="00EE1F54" w:rsidP="00E62035">
      <w:pPr>
        <w:spacing w:line="278" w:lineRule="auto"/>
        <w:ind w:firstLine="567"/>
        <w:jc w:val="both"/>
      </w:pPr>
      <w:r>
        <w:t>Taču</w:t>
      </w:r>
      <w:r w:rsidR="005D4621">
        <w:t xml:space="preserve"> no lietas materiāliem</w:t>
      </w:r>
      <w:r>
        <w:t xml:space="preserve"> izskatāmajā lietā</w:t>
      </w:r>
      <w:r w:rsidR="001F5267">
        <w:t xml:space="preserve"> </w:t>
      </w:r>
      <w:r w:rsidR="005D4621">
        <w:t xml:space="preserve">izriet, ka </w:t>
      </w:r>
      <w:r w:rsidR="001F5267">
        <w:t>iestāde</w:t>
      </w:r>
      <w:r w:rsidR="00B82543">
        <w:t xml:space="preserve"> iesniegumu </w:t>
      </w:r>
      <w:r w:rsidR="00C4385C">
        <w:t>faktiski n</w:t>
      </w:r>
      <w:r w:rsidR="0043276D">
        <w:t>ebija</w:t>
      </w:r>
      <w:r w:rsidR="00C4385C">
        <w:t xml:space="preserve"> saņēmusi</w:t>
      </w:r>
      <w:r w:rsidR="00B94407">
        <w:t>.</w:t>
      </w:r>
      <w:r w:rsidR="00631C8A">
        <w:t xml:space="preserve"> </w:t>
      </w:r>
      <w:r w:rsidR="003D1C7C">
        <w:t>I</w:t>
      </w:r>
      <w:r w:rsidR="00631C8A">
        <w:t xml:space="preserve">esniegums </w:t>
      </w:r>
      <w:r w:rsidR="003D1C7C">
        <w:t xml:space="preserve">bija </w:t>
      </w:r>
      <w:r w:rsidR="00631C8A">
        <w:t xml:space="preserve">nogādāts atpakaļ pieteicējām, tātad pieteicējas ir zinājušas, ka iestāde </w:t>
      </w:r>
      <w:r w:rsidR="00876381">
        <w:t>to</w:t>
      </w:r>
      <w:r w:rsidR="00631C8A">
        <w:t xml:space="preserve"> nav saņēmusi.</w:t>
      </w:r>
    </w:p>
    <w:p w14:paraId="340108B9" w14:textId="500B4B9E" w:rsidR="005D4621" w:rsidRDefault="005D4621" w:rsidP="00E62035">
      <w:pPr>
        <w:spacing w:line="278" w:lineRule="auto"/>
        <w:ind w:firstLine="567"/>
        <w:jc w:val="both"/>
      </w:pPr>
      <w:r>
        <w:lastRenderedPageBreak/>
        <w:t>Mēdz gadīties, ka iesnieguma</w:t>
      </w:r>
      <w:r w:rsidRPr="003A4A92">
        <w:t xml:space="preserve"> n</w:t>
      </w:r>
      <w:r>
        <w:t>osūtīšanas</w:t>
      </w:r>
      <w:r w:rsidRPr="003A4A92">
        <w:t xml:space="preserve"> procesā ti</w:t>
      </w:r>
      <w:r>
        <w:t>e</w:t>
      </w:r>
      <w:r w:rsidRPr="003A4A92">
        <w:t>k pieļautas neuzmanības kļūdas, kuru dēļ iesniegums adresātu nesasniedz</w:t>
      </w:r>
      <w:r>
        <w:t>. Tomēr gan personas, gan iestādes interesēs būtu situāciju atrisināt jau valsts pārvaldes ietvaros bez nepieciešamības vērsties tiesā.</w:t>
      </w:r>
    </w:p>
    <w:p w14:paraId="734A1ACF" w14:textId="5C60C88F" w:rsidR="003D1C7C" w:rsidRDefault="007D074C" w:rsidP="00E62035">
      <w:pPr>
        <w:spacing w:line="278" w:lineRule="auto"/>
        <w:ind w:firstLine="567"/>
        <w:jc w:val="both"/>
      </w:pPr>
      <w:r>
        <w:t xml:space="preserve">Senāts atzīst, ka gadījumā, kad iestāde </w:t>
      </w:r>
      <w:r w:rsidR="00C5586E">
        <w:t xml:space="preserve">iesniegumu nav saņēmusi vispār un </w:t>
      </w:r>
      <w:r>
        <w:t xml:space="preserve">iesniedzējam par to ir bijis zināms, </w:t>
      </w:r>
      <w:r w:rsidR="003D1C7C">
        <w:t>ir</w:t>
      </w:r>
      <w:r>
        <w:t xml:space="preserve"> pamatoti sagaidīt, ka iesniedzējs atkārtoti vēr</w:t>
      </w:r>
      <w:r w:rsidR="003D1C7C">
        <w:t>šas</w:t>
      </w:r>
      <w:r>
        <w:t xml:space="preserve"> iestādē ar iesniegumu, tādējādi ievērojot lietas ārpustiesas izskatīšanas kārtību</w:t>
      </w:r>
      <w:r w:rsidR="005D4621">
        <w:t>. Izņēmums varētu būt gadījumā</w:t>
      </w:r>
      <w:r>
        <w:t xml:space="preserve">, ja </w:t>
      </w:r>
      <w:r w:rsidR="005D4621">
        <w:t>ir</w:t>
      </w:r>
      <w:r w:rsidR="00132ECC">
        <w:t xml:space="preserve"> konstatējams</w:t>
      </w:r>
      <w:r>
        <w:t xml:space="preserve">, ka iestāde </w:t>
      </w:r>
      <w:r w:rsidR="003D1C7C">
        <w:t>ne</w:t>
      </w:r>
      <w:r w:rsidR="005D4621">
        <w:t>godprātīgi</w:t>
      </w:r>
      <w:r w:rsidR="003D1C7C">
        <w:t xml:space="preserve"> </w:t>
      </w:r>
      <w:r>
        <w:t>ir atteikusies iesniegumu saņemt</w:t>
      </w:r>
      <w:r w:rsidR="00D648DC">
        <w:t>, tādējādi atsakoties no iespējas atrisināt strīdu bez tiesas iesaistīšanās.</w:t>
      </w:r>
      <w:r w:rsidR="003A4A92">
        <w:t xml:space="preserve"> </w:t>
      </w:r>
    </w:p>
    <w:p w14:paraId="7CE5D7CB" w14:textId="77777777" w:rsidR="00BB5C6E" w:rsidRDefault="00BB5C6E" w:rsidP="00E62035">
      <w:pPr>
        <w:spacing w:line="278" w:lineRule="auto"/>
        <w:ind w:firstLine="567"/>
        <w:jc w:val="both"/>
      </w:pPr>
    </w:p>
    <w:p w14:paraId="5AE0A86C" w14:textId="01763EBD" w:rsidR="00C365D4" w:rsidRDefault="00BB5C6E" w:rsidP="00E62035">
      <w:pPr>
        <w:spacing w:line="278" w:lineRule="auto"/>
        <w:ind w:firstLine="567"/>
        <w:jc w:val="both"/>
      </w:pPr>
      <w:r>
        <w:t>[</w:t>
      </w:r>
      <w:r w:rsidR="00E0159D">
        <w:t>8</w:t>
      </w:r>
      <w:r>
        <w:t>] </w:t>
      </w:r>
      <w:r w:rsidR="003D1C7C">
        <w:t>Konkrētajā lietā n</w:t>
      </w:r>
      <w:r w:rsidR="00311E2F">
        <w:t xml:space="preserve">o pasta iestādes sniegtās informācijas izriet, ka </w:t>
      </w:r>
      <w:r w:rsidR="00631C8A">
        <w:t>tās</w:t>
      </w:r>
      <w:r w:rsidR="00C365D4" w:rsidRPr="00C365D4">
        <w:t xml:space="preserve"> kļūdas dēļ pieteicēju iesniegums netika izsniegts iestādei, bet nogādāts pasta nodaļ</w:t>
      </w:r>
      <w:r w:rsidR="005D4621">
        <w:t>ā</w:t>
      </w:r>
      <w:r w:rsidR="00C365D4">
        <w:t xml:space="preserve">. Iestāde vēstuli nepieprasīja, tādēļ tā </w:t>
      </w:r>
      <w:r w:rsidR="00631C8A">
        <w:t xml:space="preserve">nogādāta atpakaļ </w:t>
      </w:r>
      <w:r w:rsidR="00C365D4">
        <w:t>pieteicējām.</w:t>
      </w:r>
    </w:p>
    <w:p w14:paraId="3009F92E" w14:textId="7B77214C" w:rsidR="00C365D4" w:rsidRDefault="00C365D4" w:rsidP="00E62035">
      <w:pPr>
        <w:spacing w:line="278" w:lineRule="auto"/>
        <w:ind w:firstLine="567"/>
        <w:jc w:val="both"/>
      </w:pPr>
      <w:r>
        <w:t>Pieteicējas blakus sūdzībā norāda, ka iestādei nebija šķēršļu sūtījumu saņemt</w:t>
      </w:r>
      <w:r w:rsidR="00EB4BF9">
        <w:t>, pieteicēj</w:t>
      </w:r>
      <w:r w:rsidR="00D648DC">
        <w:t>ām</w:t>
      </w:r>
      <w:r w:rsidR="00EB4BF9">
        <w:t xml:space="preserve"> esot zi</w:t>
      </w:r>
      <w:r w:rsidR="00D648DC">
        <w:t>nāms</w:t>
      </w:r>
      <w:r w:rsidR="00EB4BF9">
        <w:t xml:space="preserve">, ka sūtījums </w:t>
      </w:r>
      <w:r w:rsidR="005D4621">
        <w:t xml:space="preserve">iestādei </w:t>
      </w:r>
      <w:r w:rsidR="00EB4BF9">
        <w:t>esot piegādāts, bet</w:t>
      </w:r>
      <w:r w:rsidR="00BB5C6E">
        <w:t>,</w:t>
      </w:r>
      <w:r w:rsidR="00EB4BF9">
        <w:t xml:space="preserve"> uzzinot sūtītāju, iestāde esot atteikusies to</w:t>
      </w:r>
      <w:r w:rsidR="000D550E">
        <w:t xml:space="preserve"> saņemt, lai gan citi sūtījumi esot </w:t>
      </w:r>
      <w:r w:rsidR="00EB4BF9">
        <w:t>saņemti.</w:t>
      </w:r>
      <w:r w:rsidR="00BA318A">
        <w:t xml:space="preserve"> </w:t>
      </w:r>
      <w:r w:rsidR="00411630">
        <w:t>Pieteicēju</w:t>
      </w:r>
      <w:r w:rsidR="003D1C7C">
        <w:t xml:space="preserve"> ieskatā </w:t>
      </w:r>
      <w:r w:rsidR="00BA318A">
        <w:t>iestāde tīši atteikusies saņemt iesniegumu</w:t>
      </w:r>
      <w:r w:rsidR="003D1C7C">
        <w:t>, t</w:t>
      </w:r>
      <w:r w:rsidR="00BA318A">
        <w:t>ādēļ pieteicējām neesot bijis atkārtoti jāvēršas iestādē.</w:t>
      </w:r>
    </w:p>
    <w:p w14:paraId="035B357C" w14:textId="76E31AC7" w:rsidR="00BA318A" w:rsidRDefault="00A12863" w:rsidP="00E62035">
      <w:pPr>
        <w:spacing w:line="278" w:lineRule="auto"/>
        <w:ind w:firstLine="567"/>
        <w:jc w:val="both"/>
      </w:pPr>
      <w:r>
        <w:t>Taču</w:t>
      </w:r>
      <w:proofErr w:type="gramStart"/>
      <w:r>
        <w:t xml:space="preserve"> </w:t>
      </w:r>
      <w:r w:rsidR="00EB4BF9">
        <w:t xml:space="preserve"> </w:t>
      </w:r>
      <w:proofErr w:type="gramEnd"/>
      <w:r w:rsidR="00EB4BF9">
        <w:t xml:space="preserve">pieteicēju apgalvojumi </w:t>
      </w:r>
      <w:r w:rsidR="003D1C7C">
        <w:t>bez papildu pierādījumiem</w:t>
      </w:r>
      <w:r>
        <w:t xml:space="preserve"> paši par sevi neapliecina iestādes </w:t>
      </w:r>
      <w:proofErr w:type="spellStart"/>
      <w:r w:rsidR="003D1C7C">
        <w:t>negodprātību</w:t>
      </w:r>
      <w:proofErr w:type="spellEnd"/>
      <w:r w:rsidR="00BB5C6E">
        <w:t xml:space="preserve">, </w:t>
      </w:r>
      <w:r w:rsidR="003D1C7C">
        <w:t xml:space="preserve">tie </w:t>
      </w:r>
      <w:r w:rsidR="00D4385F">
        <w:t xml:space="preserve">atspoguļo </w:t>
      </w:r>
      <w:r w:rsidR="003D1C7C">
        <w:t xml:space="preserve">tikai </w:t>
      </w:r>
      <w:r w:rsidR="00D4385F">
        <w:t>pieteicēju subjektīvo vērtējumu par iesnieguma nesaņemšanas apstākļiem.</w:t>
      </w:r>
    </w:p>
    <w:p w14:paraId="6D3B38BD" w14:textId="43350E61" w:rsidR="00280910" w:rsidRDefault="003D1C7C" w:rsidP="00E62035">
      <w:pPr>
        <w:spacing w:line="278" w:lineRule="auto"/>
        <w:ind w:firstLine="567"/>
        <w:jc w:val="both"/>
      </w:pPr>
      <w:r>
        <w:t>P</w:t>
      </w:r>
      <w:r w:rsidR="00132ECC">
        <w:t xml:space="preserve">ieteicējām, konstatējot, ka </w:t>
      </w:r>
      <w:r w:rsidR="00646ECC">
        <w:t>iesniegums nav nogādāts</w:t>
      </w:r>
      <w:r w:rsidR="00132ECC">
        <w:t xml:space="preserve"> adresātam, bija </w:t>
      </w:r>
      <w:r w:rsidR="00205C5E">
        <w:t xml:space="preserve">nepieciešams </w:t>
      </w:r>
      <w:r w:rsidR="009941CA">
        <w:t>atkārtoti vērsties iestādē</w:t>
      </w:r>
      <w:r w:rsidR="00132ECC">
        <w:t>. Pieteicējas to nav darījušas, tādējādi nav ievērojušas likumā noteikto ārpustiesas kārtību.</w:t>
      </w:r>
      <w:r w:rsidR="00280910">
        <w:t xml:space="preserve"> </w:t>
      </w:r>
      <w:r w:rsidR="00205C5E">
        <w:t>Tas nozīmē, ka p</w:t>
      </w:r>
      <w:r w:rsidR="009F39F3">
        <w:t xml:space="preserve">ieteikumu ir jāatsaka pieņemt, pamatojoties uz Administratīvā procesa likuma </w:t>
      </w:r>
      <w:proofErr w:type="gramStart"/>
      <w:r w:rsidR="009F39F3">
        <w:t>191.panta</w:t>
      </w:r>
      <w:proofErr w:type="gramEnd"/>
      <w:r w:rsidR="009F39F3">
        <w:t xml:space="preserve"> pirmās daļas 5.punktu.</w:t>
      </w:r>
    </w:p>
    <w:p w14:paraId="392166C8" w14:textId="77777777" w:rsidR="00132ECC" w:rsidRDefault="00132ECC" w:rsidP="00E62035">
      <w:pPr>
        <w:spacing w:line="278" w:lineRule="auto"/>
        <w:ind w:firstLine="567"/>
        <w:jc w:val="both"/>
      </w:pPr>
    </w:p>
    <w:p w14:paraId="5170D2B5" w14:textId="3E29EDA3" w:rsidR="00132ECC" w:rsidRDefault="00E0159D" w:rsidP="00E62035">
      <w:pPr>
        <w:spacing w:line="278" w:lineRule="auto"/>
        <w:ind w:firstLine="567"/>
        <w:jc w:val="both"/>
      </w:pPr>
      <w:r>
        <w:t>[9</w:t>
      </w:r>
      <w:r w:rsidR="00132ECC">
        <w:t>] Pieteicējas arī izteikušas iebildumus tiesneša norād</w:t>
      </w:r>
      <w:r w:rsidR="00C702E7">
        <w:t>ītajam, ka, ja pieteicējas atkār</w:t>
      </w:r>
      <w:r w:rsidR="009309DD">
        <w:t>t</w:t>
      </w:r>
      <w:r w:rsidR="00C702E7">
        <w:t>oti vērsīsies iestādē, iestāde izskaidros pietei</w:t>
      </w:r>
      <w:r w:rsidR="00195F77">
        <w:t>cējā</w:t>
      </w:r>
      <w:r w:rsidR="00C702E7">
        <w:t xml:space="preserve">m veicamās darbības uzliktā pienākuma izpildei. </w:t>
      </w:r>
      <w:r w:rsidR="00A855DC">
        <w:t>T</w:t>
      </w:r>
      <w:r w:rsidR="00C702E7">
        <w:t>as liecinot, ka tiesa ir informējusi iestādi par pieteikumu, kas līdz lietas ierosināšanai neesot atļauts.</w:t>
      </w:r>
    </w:p>
    <w:p w14:paraId="09B36E12" w14:textId="77777777" w:rsidR="00D648DC" w:rsidRDefault="00EE2D07" w:rsidP="00E62035">
      <w:pPr>
        <w:spacing w:line="278" w:lineRule="auto"/>
        <w:ind w:firstLine="567"/>
        <w:jc w:val="both"/>
      </w:pPr>
      <w:r>
        <w:t>Ņemot vērā lietas apstākļus</w:t>
      </w:r>
      <w:r w:rsidR="00A855DC">
        <w:t>,</w:t>
      </w:r>
      <w:r w:rsidR="00F31D2F">
        <w:t xml:space="preserve"> </w:t>
      </w:r>
      <w:r>
        <w:t>ties</w:t>
      </w:r>
      <w:r w:rsidR="00A855DC">
        <w:t>nesis pamatoti vērsis pieteicēju</w:t>
      </w:r>
      <w:r>
        <w:t xml:space="preserve"> uzmanību uz to, ka pastāv iespēja strīdu atrisināt ārpustiesas kārtībā. </w:t>
      </w:r>
    </w:p>
    <w:p w14:paraId="06F0097B" w14:textId="0E0F66C0" w:rsidR="00EE2D07" w:rsidRDefault="00EE2D07" w:rsidP="00E62035">
      <w:pPr>
        <w:spacing w:line="278" w:lineRule="auto"/>
        <w:ind w:firstLine="567"/>
        <w:jc w:val="both"/>
      </w:pPr>
      <w:r>
        <w:t>Turklāt</w:t>
      </w:r>
      <w:r w:rsidR="00CB6475">
        <w:t xml:space="preserve"> </w:t>
      </w:r>
      <w:r w:rsidR="00D648DC">
        <w:t>pats apstāklis, ka tiesnesis, lemjot par lietas ierosināšanu, sazinās ar iestādi, lai iegūtu informāciju, kas nepieciešama jautājuma objektīvai izlemšanai, nav pārkāpums</w:t>
      </w:r>
      <w:r w:rsidR="00205C5E">
        <w:t>, bet gan izriet no objektīvās izmeklēšanas principa</w:t>
      </w:r>
      <w:r w:rsidR="00646ECC">
        <w:t xml:space="preserve">. </w:t>
      </w:r>
    </w:p>
    <w:p w14:paraId="7F64CEBF" w14:textId="77777777" w:rsidR="00397B44" w:rsidRDefault="00397B44" w:rsidP="00E62035">
      <w:pPr>
        <w:spacing w:line="278" w:lineRule="auto"/>
        <w:ind w:firstLine="567"/>
        <w:jc w:val="both"/>
      </w:pPr>
    </w:p>
    <w:p w14:paraId="48B68F05" w14:textId="65757913" w:rsidR="00397B44" w:rsidRDefault="00E0159D" w:rsidP="00E62035">
      <w:pPr>
        <w:spacing w:line="278" w:lineRule="auto"/>
        <w:ind w:firstLine="567"/>
        <w:jc w:val="both"/>
      </w:pPr>
      <w:r>
        <w:t>[10</w:t>
      </w:r>
      <w:r w:rsidR="00397B44">
        <w:t xml:space="preserve">] Apkopojot minēto, Senāts atzīst, ka </w:t>
      </w:r>
      <w:r w:rsidR="00433D40">
        <w:t>Administratīvās rajona tiesas tiesneša lēmums i</w:t>
      </w:r>
      <w:r w:rsidR="00FD79D4">
        <w:t>r atceļams</w:t>
      </w:r>
      <w:r w:rsidR="00433D40">
        <w:t xml:space="preserve"> un pieteikuma pieņemšana ir atsakāma, pamatojoties uz Administratīvā procesa likuma </w:t>
      </w:r>
      <w:proofErr w:type="gramStart"/>
      <w:r w:rsidR="00433D40">
        <w:t>191.panta</w:t>
      </w:r>
      <w:proofErr w:type="gramEnd"/>
      <w:r w:rsidR="00433D40">
        <w:t xml:space="preserve"> pirmās daļas </w:t>
      </w:r>
      <w:r w:rsidR="009F39F3">
        <w:t>5.punktu.</w:t>
      </w:r>
      <w:r>
        <w:t xml:space="preserve"> Savukārt pieteicēju blakus sūdzība ir noraidāma.</w:t>
      </w:r>
    </w:p>
    <w:p w14:paraId="5E1C6116" w14:textId="77777777" w:rsidR="009F39F3" w:rsidRDefault="009F39F3" w:rsidP="00E62035">
      <w:pPr>
        <w:spacing w:line="278" w:lineRule="auto"/>
        <w:ind w:firstLine="567"/>
        <w:jc w:val="both"/>
      </w:pPr>
    </w:p>
    <w:p w14:paraId="0E3F021A" w14:textId="77777777" w:rsidR="009F39F3" w:rsidRPr="00704DC0" w:rsidRDefault="009F39F3" w:rsidP="00E62035">
      <w:pPr>
        <w:spacing w:line="278" w:lineRule="auto"/>
        <w:jc w:val="center"/>
        <w:rPr>
          <w:b/>
        </w:rPr>
      </w:pPr>
      <w:r w:rsidRPr="00704DC0">
        <w:rPr>
          <w:b/>
        </w:rPr>
        <w:t>Rezolutīvā daļa</w:t>
      </w:r>
    </w:p>
    <w:p w14:paraId="22406967" w14:textId="77777777" w:rsidR="009F39F3" w:rsidRPr="00704DC0" w:rsidRDefault="009F39F3" w:rsidP="00E62035">
      <w:pPr>
        <w:spacing w:line="278" w:lineRule="auto"/>
        <w:ind w:firstLine="567"/>
        <w:jc w:val="center"/>
        <w:rPr>
          <w:b/>
        </w:rPr>
      </w:pPr>
    </w:p>
    <w:p w14:paraId="1C18699D" w14:textId="53B29595" w:rsidR="009F39F3" w:rsidRDefault="009F39F3" w:rsidP="00E62035">
      <w:pPr>
        <w:spacing w:line="278" w:lineRule="auto"/>
        <w:ind w:firstLine="567"/>
        <w:jc w:val="both"/>
      </w:pPr>
      <w:r w:rsidRPr="00704DC0">
        <w:t>Pamatojoties uz Administratīvā procesa</w:t>
      </w:r>
      <w:r>
        <w:t xml:space="preserve"> likuma </w:t>
      </w:r>
      <w:proofErr w:type="gramStart"/>
      <w:r>
        <w:t>191.panta</w:t>
      </w:r>
      <w:proofErr w:type="gramEnd"/>
      <w:r>
        <w:t xml:space="preserve"> pirmās daļas 5</w:t>
      </w:r>
      <w:r w:rsidRPr="00704DC0">
        <w:t>.punktu, 323.panta pirmās daļas 3.punktu un 324.panta pirmo daļu, Senāts</w:t>
      </w:r>
    </w:p>
    <w:p w14:paraId="05214887" w14:textId="77777777" w:rsidR="009F39F3" w:rsidRPr="00704DC0" w:rsidRDefault="009F39F3" w:rsidP="00E62035">
      <w:pPr>
        <w:spacing w:line="278" w:lineRule="auto"/>
        <w:ind w:firstLine="567"/>
        <w:jc w:val="both"/>
      </w:pPr>
    </w:p>
    <w:p w14:paraId="6F9873AA" w14:textId="77777777" w:rsidR="009F39F3" w:rsidRPr="00704DC0" w:rsidRDefault="009F39F3" w:rsidP="00E62035">
      <w:pPr>
        <w:spacing w:line="278" w:lineRule="auto"/>
        <w:jc w:val="center"/>
        <w:rPr>
          <w:b/>
        </w:rPr>
      </w:pPr>
      <w:r w:rsidRPr="00704DC0">
        <w:rPr>
          <w:b/>
        </w:rPr>
        <w:t>nolēma</w:t>
      </w:r>
    </w:p>
    <w:p w14:paraId="469A3379" w14:textId="77777777" w:rsidR="009F39F3" w:rsidRPr="00704DC0" w:rsidRDefault="009F39F3" w:rsidP="00E62035">
      <w:pPr>
        <w:spacing w:line="278" w:lineRule="auto"/>
        <w:ind w:firstLine="567"/>
        <w:jc w:val="center"/>
        <w:rPr>
          <w:b/>
        </w:rPr>
      </w:pPr>
    </w:p>
    <w:p w14:paraId="24B58665" w14:textId="794736FB" w:rsidR="009F39F3" w:rsidRPr="00704DC0" w:rsidRDefault="009F39F3" w:rsidP="00E62035">
      <w:pPr>
        <w:spacing w:line="278" w:lineRule="auto"/>
        <w:ind w:firstLine="567"/>
        <w:jc w:val="both"/>
      </w:pPr>
      <w:r w:rsidRPr="00704DC0">
        <w:lastRenderedPageBreak/>
        <w:t xml:space="preserve">atcelt Administratīvās rajona tiesas tiesneša </w:t>
      </w:r>
      <w:proofErr w:type="gramStart"/>
      <w:r w:rsidR="00B70A69">
        <w:t>2020.gada</w:t>
      </w:r>
      <w:proofErr w:type="gramEnd"/>
      <w:r w:rsidR="00B70A69">
        <w:t xml:space="preserve"> 30.septembra</w:t>
      </w:r>
      <w:r w:rsidRPr="00704DC0">
        <w:t xml:space="preserve"> lēmumu.</w:t>
      </w:r>
    </w:p>
    <w:p w14:paraId="134F923D" w14:textId="51AB36D1" w:rsidR="00E62035" w:rsidRDefault="009F39F3" w:rsidP="009C735D">
      <w:pPr>
        <w:spacing w:line="278" w:lineRule="auto"/>
        <w:ind w:firstLine="567"/>
        <w:jc w:val="both"/>
      </w:pPr>
      <w:r w:rsidRPr="00704DC0">
        <w:t>Atteikt pieņemt</w:t>
      </w:r>
      <w:r w:rsidR="00B70A69" w:rsidRPr="00B70A69">
        <w:t xml:space="preserve"> biedrību „</w:t>
      </w:r>
      <w:proofErr w:type="spellStart"/>
      <w:r w:rsidR="00B70A69" w:rsidRPr="00B70A69">
        <w:t>Perro</w:t>
      </w:r>
      <w:proofErr w:type="spellEnd"/>
      <w:r w:rsidR="00B70A69" w:rsidRPr="00B70A69">
        <w:t xml:space="preserve"> </w:t>
      </w:r>
      <w:proofErr w:type="spellStart"/>
      <w:r w:rsidR="00B70A69" w:rsidRPr="00B70A69">
        <w:t>zorrero</w:t>
      </w:r>
      <w:proofErr w:type="spellEnd"/>
      <w:r w:rsidR="00B70A69">
        <w:t xml:space="preserve">”, „Viva la </w:t>
      </w:r>
      <w:proofErr w:type="spellStart"/>
      <w:r w:rsidR="00B70A69">
        <w:t>Cuba</w:t>
      </w:r>
      <w:proofErr w:type="spellEnd"/>
      <w:r w:rsidR="00B70A69">
        <w:t>” un „</w:t>
      </w:r>
      <w:proofErr w:type="spellStart"/>
      <w:r w:rsidR="00B70A69">
        <w:t>Investir</w:t>
      </w:r>
      <w:proofErr w:type="spellEnd"/>
      <w:r w:rsidR="00B70A69">
        <w:t xml:space="preserve">” </w:t>
      </w:r>
      <w:r w:rsidRPr="00704DC0">
        <w:t>pieteikumu, pamatojoties uz Administratīvā procesa</w:t>
      </w:r>
      <w:r w:rsidR="00B70A69">
        <w:t xml:space="preserve"> likuma </w:t>
      </w:r>
      <w:proofErr w:type="gramStart"/>
      <w:r w:rsidR="00B70A69">
        <w:t>191.panta</w:t>
      </w:r>
      <w:proofErr w:type="gramEnd"/>
      <w:r w:rsidR="00B70A69">
        <w:t xml:space="preserve"> pirmās daļas 5</w:t>
      </w:r>
      <w:r w:rsidRPr="00704DC0">
        <w:t>.punktu.</w:t>
      </w:r>
    </w:p>
    <w:p w14:paraId="6950B5CC" w14:textId="56E88DD3" w:rsidR="009F39F3" w:rsidRPr="00704DC0" w:rsidRDefault="009F39F3" w:rsidP="00E62035">
      <w:pPr>
        <w:spacing w:line="278" w:lineRule="auto"/>
        <w:ind w:firstLine="567"/>
        <w:jc w:val="both"/>
      </w:pPr>
      <w:r w:rsidRPr="00704DC0">
        <w:t xml:space="preserve">Noraidīt </w:t>
      </w:r>
      <w:r w:rsidR="00B70A69" w:rsidRPr="00B70A69">
        <w:t>biedrību „</w:t>
      </w:r>
      <w:proofErr w:type="spellStart"/>
      <w:r w:rsidR="00B70A69" w:rsidRPr="00B70A69">
        <w:t>Perro</w:t>
      </w:r>
      <w:proofErr w:type="spellEnd"/>
      <w:r w:rsidR="00B70A69" w:rsidRPr="00B70A69">
        <w:t xml:space="preserve"> </w:t>
      </w:r>
      <w:proofErr w:type="spellStart"/>
      <w:r w:rsidR="00B70A69" w:rsidRPr="00B70A69">
        <w:t>zorrero</w:t>
      </w:r>
      <w:proofErr w:type="spellEnd"/>
      <w:r w:rsidR="00B70A69" w:rsidRPr="00B70A69">
        <w:t xml:space="preserve">”, „Viva la </w:t>
      </w:r>
      <w:proofErr w:type="spellStart"/>
      <w:r w:rsidR="00B70A69" w:rsidRPr="00B70A69">
        <w:t>Cuba</w:t>
      </w:r>
      <w:proofErr w:type="spellEnd"/>
      <w:r w:rsidR="00B70A69" w:rsidRPr="00B70A69">
        <w:t>” un „</w:t>
      </w:r>
      <w:proofErr w:type="spellStart"/>
      <w:r w:rsidR="00B70A69" w:rsidRPr="00B70A69">
        <w:t>Investir</w:t>
      </w:r>
      <w:proofErr w:type="spellEnd"/>
      <w:r w:rsidR="00B70A69" w:rsidRPr="00B70A69">
        <w:t>”</w:t>
      </w:r>
      <w:proofErr w:type="gramStart"/>
      <w:r w:rsidR="00B70A69" w:rsidRPr="00B70A69">
        <w:t xml:space="preserve"> </w:t>
      </w:r>
      <w:r w:rsidR="00B70A69">
        <w:t xml:space="preserve"> </w:t>
      </w:r>
      <w:proofErr w:type="gramEnd"/>
      <w:r w:rsidRPr="00704DC0">
        <w:t>blakus sūdzību.</w:t>
      </w:r>
    </w:p>
    <w:p w14:paraId="5E101B32" w14:textId="1BCB9154" w:rsidR="00E62035" w:rsidRDefault="009F39F3" w:rsidP="00454E16">
      <w:pPr>
        <w:spacing w:line="278" w:lineRule="auto"/>
        <w:ind w:firstLine="567"/>
        <w:jc w:val="both"/>
      </w:pPr>
      <w:r w:rsidRPr="00704DC0">
        <w:t>Lēmums nav pārsūdzams.</w:t>
      </w:r>
    </w:p>
    <w:sectPr w:rsidR="00E62035" w:rsidSect="00454E1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27730" w14:textId="77777777" w:rsidR="00F61E00" w:rsidRDefault="00F61E00" w:rsidP="00E12AD0">
      <w:r>
        <w:separator/>
      </w:r>
    </w:p>
  </w:endnote>
  <w:endnote w:type="continuationSeparator" w:id="0">
    <w:p w14:paraId="3F6575AF" w14:textId="77777777" w:rsidR="00F61E00" w:rsidRDefault="00F61E0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096946"/>
      <w:docPartObj>
        <w:docPartGallery w:val="Page Numbers (Bottom of Page)"/>
        <w:docPartUnique/>
      </w:docPartObj>
    </w:sdtPr>
    <w:sdtEndPr/>
    <w:sdtContent>
      <w:sdt>
        <w:sdtPr>
          <w:rPr>
            <w:b/>
          </w:rPr>
          <w:id w:val="1728636285"/>
          <w:docPartObj>
            <w:docPartGallery w:val="Page Numbers (Top of Page)"/>
            <w:docPartUnique/>
          </w:docPartObj>
        </w:sdtPr>
        <w:sdtEndPr>
          <w:rPr>
            <w:b w:val="0"/>
          </w:rPr>
        </w:sdtEndPr>
        <w:sdtContent>
          <w:p w14:paraId="16AAFB10" w14:textId="778777C1" w:rsidR="00E65047" w:rsidRDefault="00E65047">
            <w:pPr>
              <w:pStyle w:val="Footer"/>
              <w:jc w:val="center"/>
            </w:pPr>
            <w:r w:rsidRPr="00E65047">
              <w:rPr>
                <w:bCs/>
              </w:rPr>
              <w:fldChar w:fldCharType="begin"/>
            </w:r>
            <w:r w:rsidRPr="00E65047">
              <w:rPr>
                <w:bCs/>
              </w:rPr>
              <w:instrText xml:space="preserve"> PAGE </w:instrText>
            </w:r>
            <w:r w:rsidRPr="00E65047">
              <w:rPr>
                <w:bCs/>
              </w:rPr>
              <w:fldChar w:fldCharType="separate"/>
            </w:r>
            <w:r w:rsidR="009C735D">
              <w:rPr>
                <w:bCs/>
                <w:noProof/>
              </w:rPr>
              <w:t>3</w:t>
            </w:r>
            <w:r w:rsidRPr="00E65047">
              <w:rPr>
                <w:bCs/>
              </w:rPr>
              <w:fldChar w:fldCharType="end"/>
            </w:r>
            <w:r w:rsidRPr="00E65047">
              <w:t xml:space="preserve"> no </w:t>
            </w:r>
            <w:r w:rsidRPr="00E65047">
              <w:rPr>
                <w:bCs/>
              </w:rPr>
              <w:fldChar w:fldCharType="begin"/>
            </w:r>
            <w:r w:rsidRPr="00E65047">
              <w:rPr>
                <w:bCs/>
              </w:rPr>
              <w:instrText xml:space="preserve"> NUMPAGES  </w:instrText>
            </w:r>
            <w:r w:rsidRPr="00E65047">
              <w:rPr>
                <w:bCs/>
              </w:rPr>
              <w:fldChar w:fldCharType="separate"/>
            </w:r>
            <w:r w:rsidR="009C735D">
              <w:rPr>
                <w:bCs/>
                <w:noProof/>
              </w:rPr>
              <w:t>5</w:t>
            </w:r>
            <w:r w:rsidRPr="00E65047">
              <w:rPr>
                <w:bCs/>
              </w:rPr>
              <w:fldChar w:fldCharType="end"/>
            </w:r>
          </w:p>
        </w:sdtContent>
      </w:sdt>
    </w:sdtContent>
  </w:sdt>
  <w:p w14:paraId="6856E021" w14:textId="77777777" w:rsidR="00E65047" w:rsidRDefault="00E65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D4AE7" w14:textId="77777777" w:rsidR="00F61E00" w:rsidRDefault="00F61E00" w:rsidP="00E12AD0">
      <w:r>
        <w:separator/>
      </w:r>
    </w:p>
  </w:footnote>
  <w:footnote w:type="continuationSeparator" w:id="0">
    <w:p w14:paraId="3F65C3E6" w14:textId="77777777" w:rsidR="00F61E00" w:rsidRDefault="00F61E00"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32480"/>
    <w:rsid w:val="000368A4"/>
    <w:rsid w:val="00042BC0"/>
    <w:rsid w:val="00047EC8"/>
    <w:rsid w:val="0005298A"/>
    <w:rsid w:val="000600B1"/>
    <w:rsid w:val="00074426"/>
    <w:rsid w:val="00080402"/>
    <w:rsid w:val="00082DED"/>
    <w:rsid w:val="000C5C7D"/>
    <w:rsid w:val="000D18E0"/>
    <w:rsid w:val="000D550E"/>
    <w:rsid w:val="000D743E"/>
    <w:rsid w:val="000E2F2D"/>
    <w:rsid w:val="00132ECC"/>
    <w:rsid w:val="001339DF"/>
    <w:rsid w:val="00164AE4"/>
    <w:rsid w:val="00165962"/>
    <w:rsid w:val="0016754C"/>
    <w:rsid w:val="001903CA"/>
    <w:rsid w:val="00195F77"/>
    <w:rsid w:val="001E52A1"/>
    <w:rsid w:val="001F5267"/>
    <w:rsid w:val="00200E74"/>
    <w:rsid w:val="00203762"/>
    <w:rsid w:val="00205C5E"/>
    <w:rsid w:val="0023051F"/>
    <w:rsid w:val="00260C36"/>
    <w:rsid w:val="00263343"/>
    <w:rsid w:val="00280910"/>
    <w:rsid w:val="002B5634"/>
    <w:rsid w:val="002D5B4B"/>
    <w:rsid w:val="002E0B28"/>
    <w:rsid w:val="002F23F7"/>
    <w:rsid w:val="00311E2F"/>
    <w:rsid w:val="00313C27"/>
    <w:rsid w:val="0037602B"/>
    <w:rsid w:val="00381619"/>
    <w:rsid w:val="00396D09"/>
    <w:rsid w:val="00397B44"/>
    <w:rsid w:val="003A4A92"/>
    <w:rsid w:val="003A6D7B"/>
    <w:rsid w:val="003B1394"/>
    <w:rsid w:val="003D1C7C"/>
    <w:rsid w:val="003D37AD"/>
    <w:rsid w:val="003D6EA3"/>
    <w:rsid w:val="00411630"/>
    <w:rsid w:val="0043276D"/>
    <w:rsid w:val="00433D40"/>
    <w:rsid w:val="00452E9B"/>
    <w:rsid w:val="00454E16"/>
    <w:rsid w:val="00466620"/>
    <w:rsid w:val="004767C2"/>
    <w:rsid w:val="00493446"/>
    <w:rsid w:val="004C16F5"/>
    <w:rsid w:val="004E6C4C"/>
    <w:rsid w:val="004F3F30"/>
    <w:rsid w:val="004F41FE"/>
    <w:rsid w:val="004F61F1"/>
    <w:rsid w:val="00545CFB"/>
    <w:rsid w:val="00550B9D"/>
    <w:rsid w:val="00595698"/>
    <w:rsid w:val="005D02E8"/>
    <w:rsid w:val="005D4621"/>
    <w:rsid w:val="005F02DE"/>
    <w:rsid w:val="005F24C5"/>
    <w:rsid w:val="00606650"/>
    <w:rsid w:val="00623970"/>
    <w:rsid w:val="00625090"/>
    <w:rsid w:val="00630FC6"/>
    <w:rsid w:val="00631C8A"/>
    <w:rsid w:val="00631E10"/>
    <w:rsid w:val="006439E4"/>
    <w:rsid w:val="00646ECC"/>
    <w:rsid w:val="006702E1"/>
    <w:rsid w:val="0068033C"/>
    <w:rsid w:val="00682CAF"/>
    <w:rsid w:val="006B5B11"/>
    <w:rsid w:val="006C4551"/>
    <w:rsid w:val="006D0779"/>
    <w:rsid w:val="007058EF"/>
    <w:rsid w:val="00714003"/>
    <w:rsid w:val="00767376"/>
    <w:rsid w:val="00772A7C"/>
    <w:rsid w:val="007755F7"/>
    <w:rsid w:val="0078401E"/>
    <w:rsid w:val="00787F77"/>
    <w:rsid w:val="007D074C"/>
    <w:rsid w:val="007E0DE2"/>
    <w:rsid w:val="007E5286"/>
    <w:rsid w:val="0083077D"/>
    <w:rsid w:val="00853FED"/>
    <w:rsid w:val="00862F04"/>
    <w:rsid w:val="00864937"/>
    <w:rsid w:val="00876381"/>
    <w:rsid w:val="008A1A6D"/>
    <w:rsid w:val="008A3C44"/>
    <w:rsid w:val="008B34DB"/>
    <w:rsid w:val="008B4F40"/>
    <w:rsid w:val="008D3400"/>
    <w:rsid w:val="009071CF"/>
    <w:rsid w:val="009309DD"/>
    <w:rsid w:val="009439CF"/>
    <w:rsid w:val="00950106"/>
    <w:rsid w:val="0096062C"/>
    <w:rsid w:val="00976CEC"/>
    <w:rsid w:val="009770B6"/>
    <w:rsid w:val="00980D32"/>
    <w:rsid w:val="00980EFD"/>
    <w:rsid w:val="00981B56"/>
    <w:rsid w:val="009941CA"/>
    <w:rsid w:val="009A3FAA"/>
    <w:rsid w:val="009A7F38"/>
    <w:rsid w:val="009C0BA3"/>
    <w:rsid w:val="009C7108"/>
    <w:rsid w:val="009C735D"/>
    <w:rsid w:val="009F39F3"/>
    <w:rsid w:val="00A03372"/>
    <w:rsid w:val="00A12863"/>
    <w:rsid w:val="00A33031"/>
    <w:rsid w:val="00A63477"/>
    <w:rsid w:val="00A855DC"/>
    <w:rsid w:val="00AA3A3F"/>
    <w:rsid w:val="00AE490E"/>
    <w:rsid w:val="00AE642E"/>
    <w:rsid w:val="00AF693A"/>
    <w:rsid w:val="00B10EE6"/>
    <w:rsid w:val="00B112BB"/>
    <w:rsid w:val="00B476A5"/>
    <w:rsid w:val="00B54A4D"/>
    <w:rsid w:val="00B70A69"/>
    <w:rsid w:val="00B75ECE"/>
    <w:rsid w:val="00B80627"/>
    <w:rsid w:val="00B82543"/>
    <w:rsid w:val="00B94407"/>
    <w:rsid w:val="00BA318A"/>
    <w:rsid w:val="00BB5C6E"/>
    <w:rsid w:val="00BD52B5"/>
    <w:rsid w:val="00C00F4E"/>
    <w:rsid w:val="00C03D08"/>
    <w:rsid w:val="00C14179"/>
    <w:rsid w:val="00C2025B"/>
    <w:rsid w:val="00C25E85"/>
    <w:rsid w:val="00C365D4"/>
    <w:rsid w:val="00C4385C"/>
    <w:rsid w:val="00C52066"/>
    <w:rsid w:val="00C53AE3"/>
    <w:rsid w:val="00C5586E"/>
    <w:rsid w:val="00C61FAB"/>
    <w:rsid w:val="00C702E7"/>
    <w:rsid w:val="00C81F43"/>
    <w:rsid w:val="00C95375"/>
    <w:rsid w:val="00CB6475"/>
    <w:rsid w:val="00CC1554"/>
    <w:rsid w:val="00CC5600"/>
    <w:rsid w:val="00CE6576"/>
    <w:rsid w:val="00CF1A8E"/>
    <w:rsid w:val="00D062F2"/>
    <w:rsid w:val="00D11C90"/>
    <w:rsid w:val="00D143B3"/>
    <w:rsid w:val="00D239D0"/>
    <w:rsid w:val="00D4385F"/>
    <w:rsid w:val="00D50F2A"/>
    <w:rsid w:val="00D57BDC"/>
    <w:rsid w:val="00D60EEA"/>
    <w:rsid w:val="00D648DC"/>
    <w:rsid w:val="00D67877"/>
    <w:rsid w:val="00D801F3"/>
    <w:rsid w:val="00D82D6D"/>
    <w:rsid w:val="00DF2BD3"/>
    <w:rsid w:val="00E0159D"/>
    <w:rsid w:val="00E12AD0"/>
    <w:rsid w:val="00E230F8"/>
    <w:rsid w:val="00E30E8D"/>
    <w:rsid w:val="00E50899"/>
    <w:rsid w:val="00E62035"/>
    <w:rsid w:val="00E65047"/>
    <w:rsid w:val="00E85B48"/>
    <w:rsid w:val="00E86F2A"/>
    <w:rsid w:val="00E92355"/>
    <w:rsid w:val="00E93F02"/>
    <w:rsid w:val="00EA7918"/>
    <w:rsid w:val="00EB37A1"/>
    <w:rsid w:val="00EB4BF9"/>
    <w:rsid w:val="00EE1F54"/>
    <w:rsid w:val="00EE2D07"/>
    <w:rsid w:val="00EF3D9D"/>
    <w:rsid w:val="00EF6DC3"/>
    <w:rsid w:val="00F02497"/>
    <w:rsid w:val="00F0347F"/>
    <w:rsid w:val="00F04E77"/>
    <w:rsid w:val="00F12469"/>
    <w:rsid w:val="00F31D2F"/>
    <w:rsid w:val="00F602C0"/>
    <w:rsid w:val="00F61E00"/>
    <w:rsid w:val="00F623D0"/>
    <w:rsid w:val="00F7163A"/>
    <w:rsid w:val="00FA7384"/>
    <w:rsid w:val="00FD1EB7"/>
    <w:rsid w:val="00FD79D4"/>
    <w:rsid w:val="00FE79E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122.SKA062621.8.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7848</Words>
  <Characters>4474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2021-01-25T10:18:00Z</dcterms:created>
  <dcterms:modified xsi:type="dcterms:W3CDTF">2021-02-03T06:49:00Z</dcterms:modified>
</cp:coreProperties>
</file>