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17429" w14:textId="43A85C7A" w:rsidR="00DC3077" w:rsidRPr="00855793" w:rsidRDefault="00855793" w:rsidP="00855793">
      <w:pPr>
        <w:spacing w:line="276" w:lineRule="auto"/>
        <w:jc w:val="both"/>
        <w:rPr>
          <w:b/>
          <w:bCs/>
        </w:rPr>
      </w:pPr>
      <w:r>
        <w:rPr>
          <w:b/>
          <w:bCs/>
        </w:rPr>
        <w:t>Eiropas Centrālās bankas uzraudzībā esošo banku maksājumu Noguldījumu garantiju fondā aprēķināšanas kārtība un korekcijas koeficientu piemērošana</w:t>
      </w:r>
    </w:p>
    <w:p w14:paraId="1D31F584" w14:textId="77777777" w:rsidR="00DC3077" w:rsidRDefault="00DC3077" w:rsidP="007A5D61">
      <w:pPr>
        <w:spacing w:line="276" w:lineRule="auto"/>
        <w:jc w:val="center"/>
      </w:pPr>
    </w:p>
    <w:p w14:paraId="7F409B84" w14:textId="200AF1F8" w:rsidR="007A5D61" w:rsidRDefault="007A5D61" w:rsidP="007A5D61">
      <w:pPr>
        <w:spacing w:line="276" w:lineRule="auto"/>
        <w:jc w:val="center"/>
        <w:rPr>
          <w:b/>
        </w:rPr>
      </w:pPr>
      <w:r w:rsidRPr="00DC3077">
        <w:rPr>
          <w:b/>
        </w:rPr>
        <w:t>Latvijas Republikas Senā</w:t>
      </w:r>
      <w:r w:rsidR="00DC3077">
        <w:rPr>
          <w:b/>
        </w:rPr>
        <w:t>ta</w:t>
      </w:r>
    </w:p>
    <w:p w14:paraId="0CB6C1DB" w14:textId="425493F1" w:rsidR="00DC3077" w:rsidRDefault="00DC3077" w:rsidP="007A5D61">
      <w:pPr>
        <w:spacing w:line="276" w:lineRule="auto"/>
        <w:jc w:val="center"/>
        <w:rPr>
          <w:b/>
        </w:rPr>
      </w:pPr>
      <w:r>
        <w:rPr>
          <w:b/>
        </w:rPr>
        <w:t>Administratīvo lietu departamenta</w:t>
      </w:r>
    </w:p>
    <w:p w14:paraId="41BC6103" w14:textId="0BAC54FF" w:rsidR="00DC3077" w:rsidRPr="00DC3077" w:rsidRDefault="00DC3077" w:rsidP="007A5D61">
      <w:pPr>
        <w:spacing w:line="276" w:lineRule="auto"/>
        <w:jc w:val="center"/>
        <w:rPr>
          <w:b/>
        </w:rPr>
      </w:pPr>
      <w:proofErr w:type="gramStart"/>
      <w:r>
        <w:rPr>
          <w:b/>
        </w:rPr>
        <w:t>2020.gada</w:t>
      </w:r>
      <w:proofErr w:type="gramEnd"/>
      <w:r>
        <w:rPr>
          <w:b/>
        </w:rPr>
        <w:t xml:space="preserve"> 8.decembra</w:t>
      </w:r>
    </w:p>
    <w:p w14:paraId="6C9B228B" w14:textId="6D458171" w:rsidR="007A5D61" w:rsidRDefault="007A5D61" w:rsidP="007A5D61">
      <w:pPr>
        <w:spacing w:line="276" w:lineRule="auto"/>
        <w:jc w:val="center"/>
        <w:rPr>
          <w:b/>
        </w:rPr>
      </w:pPr>
      <w:r w:rsidRPr="00DC3077">
        <w:rPr>
          <w:b/>
        </w:rPr>
        <w:t>SPRIEDUMS</w:t>
      </w:r>
    </w:p>
    <w:p w14:paraId="1E83BED8" w14:textId="4235FF4D" w:rsidR="00DC3077" w:rsidRDefault="00DC3077" w:rsidP="007A5D61">
      <w:pPr>
        <w:spacing w:line="276" w:lineRule="auto"/>
        <w:jc w:val="center"/>
        <w:rPr>
          <w:b/>
        </w:rPr>
      </w:pPr>
      <w:r>
        <w:rPr>
          <w:b/>
        </w:rPr>
        <w:t>Lieta Nr. A43010215, SKA-27/2020</w:t>
      </w:r>
    </w:p>
    <w:p w14:paraId="2C9000D2" w14:textId="157486B0" w:rsidR="00DC3077" w:rsidRPr="00DC3077" w:rsidRDefault="007867D7" w:rsidP="007A5D61">
      <w:pPr>
        <w:spacing w:line="276" w:lineRule="auto"/>
        <w:jc w:val="center"/>
        <w:rPr>
          <w:b/>
        </w:rPr>
      </w:pPr>
      <w:hyperlink r:id="rId8" w:history="1">
        <w:r w:rsidR="00DC3077" w:rsidRPr="00DC3077">
          <w:rPr>
            <w:rStyle w:val="Hyperlink"/>
          </w:rPr>
          <w:t>ECLI:LV:AT:2020:1208.A43010215.2.S</w:t>
        </w:r>
      </w:hyperlink>
    </w:p>
    <w:p w14:paraId="245C029C" w14:textId="77777777" w:rsidR="007A5D61" w:rsidRPr="00ED7624" w:rsidRDefault="007A5D61" w:rsidP="00ED7624">
      <w:pPr>
        <w:spacing w:line="276" w:lineRule="auto"/>
        <w:ind w:firstLine="567"/>
        <w:jc w:val="center"/>
      </w:pPr>
    </w:p>
    <w:p w14:paraId="78DCD7F6" w14:textId="2B237FE5" w:rsidR="007A5D61" w:rsidRPr="00ED7624" w:rsidRDefault="007A5D61" w:rsidP="00ED7624">
      <w:pPr>
        <w:spacing w:line="276" w:lineRule="auto"/>
        <w:ind w:firstLine="567"/>
        <w:jc w:val="both"/>
      </w:pPr>
      <w:r w:rsidRPr="00ED7624">
        <w:t xml:space="preserve">Tiesa šādā sastāvā: senatores </w:t>
      </w:r>
      <w:r w:rsidR="00197F29" w:rsidRPr="00ED7624">
        <w:t xml:space="preserve">Diāna Makarova, </w:t>
      </w:r>
      <w:r w:rsidRPr="00ED7624">
        <w:t>Veronika Krūmiņa</w:t>
      </w:r>
      <w:r w:rsidR="00621DF5" w:rsidRPr="00ED7624">
        <w:t>,</w:t>
      </w:r>
      <w:r w:rsidR="002B356A" w:rsidRPr="00ED7624">
        <w:t xml:space="preserve"> </w:t>
      </w:r>
      <w:r w:rsidR="00C206A8">
        <w:t>Ieva Višķere</w:t>
      </w:r>
    </w:p>
    <w:p w14:paraId="4B55E889" w14:textId="77777777" w:rsidR="007A5D61" w:rsidRPr="00ED7624" w:rsidRDefault="007A5D61" w:rsidP="00ED7624">
      <w:pPr>
        <w:spacing w:line="276" w:lineRule="auto"/>
        <w:ind w:firstLine="567"/>
        <w:jc w:val="both"/>
      </w:pPr>
    </w:p>
    <w:p w14:paraId="39C6A676" w14:textId="225E0EDD" w:rsidR="007A5D61" w:rsidRPr="00ED7624" w:rsidRDefault="007A5D61" w:rsidP="00ED7624">
      <w:pPr>
        <w:spacing w:line="276" w:lineRule="auto"/>
        <w:ind w:firstLine="567"/>
        <w:jc w:val="both"/>
      </w:pPr>
      <w:r w:rsidRPr="00ED7624">
        <w:t>rakstveida procesā izskatīja administratīvo lietu, kas ierosināta, pamatojoties uz</w:t>
      </w:r>
      <w:r w:rsidR="00621DF5" w:rsidRPr="00ED7624">
        <w:rPr>
          <w:lang w:eastAsia="lv-LV"/>
        </w:rPr>
        <w:t xml:space="preserve"> </w:t>
      </w:r>
      <w:r w:rsidR="00C206A8">
        <w:rPr>
          <w:lang w:eastAsia="lv-LV"/>
        </w:rPr>
        <w:t>likvidējamās A</w:t>
      </w:r>
      <w:r w:rsidR="00621DF5" w:rsidRPr="00ED7624">
        <w:t>S </w:t>
      </w:r>
      <w:r w:rsidR="006B260D" w:rsidRPr="00ED7624">
        <w:t>„</w:t>
      </w:r>
      <w:r w:rsidR="00C206A8">
        <w:t>A</w:t>
      </w:r>
      <w:r w:rsidR="00621DF5" w:rsidRPr="00ED7624">
        <w:t>B</w:t>
      </w:r>
      <w:r w:rsidR="00C206A8">
        <w:t xml:space="preserve">LV </w:t>
      </w:r>
      <w:proofErr w:type="spellStart"/>
      <w:r w:rsidR="00C206A8">
        <w:t>Bank</w:t>
      </w:r>
      <w:proofErr w:type="spellEnd"/>
      <w:r w:rsidR="00621DF5" w:rsidRPr="00ED7624">
        <w:t>” pieteikum</w:t>
      </w:r>
      <w:r w:rsidR="008251D7">
        <w:t xml:space="preserve">iem par Finanšu un kapitāla tirgus komisijas </w:t>
      </w:r>
      <w:proofErr w:type="gramStart"/>
      <w:r w:rsidR="008251D7">
        <w:t>2015.gada</w:t>
      </w:r>
      <w:proofErr w:type="gramEnd"/>
      <w:r w:rsidR="008251D7">
        <w:t xml:space="preserve"> 28.oktobra lēmuma Nr. 180 (prot. Nr. 40 2.p) un 2016.gada 24.februāra lēmuma Nr. 04.02.20/771 atcelšanu un citāda satura administratīvo aktu izdošanu, </w:t>
      </w:r>
      <w:r w:rsidRPr="00ED7624">
        <w:t xml:space="preserve">sakarā ar </w:t>
      </w:r>
      <w:r w:rsidR="008251D7">
        <w:t xml:space="preserve">likvidējamās </w:t>
      </w:r>
      <w:r w:rsidR="008251D7">
        <w:rPr>
          <w:lang w:eastAsia="lv-LV"/>
        </w:rPr>
        <w:t>A</w:t>
      </w:r>
      <w:r w:rsidR="008251D7" w:rsidRPr="00ED7624">
        <w:t>S „</w:t>
      </w:r>
      <w:r w:rsidR="008251D7">
        <w:t>A</w:t>
      </w:r>
      <w:r w:rsidR="008251D7" w:rsidRPr="00ED7624">
        <w:t>B</w:t>
      </w:r>
      <w:r w:rsidR="008251D7">
        <w:t xml:space="preserve">LV </w:t>
      </w:r>
      <w:proofErr w:type="spellStart"/>
      <w:r w:rsidR="008251D7">
        <w:t>Bank</w:t>
      </w:r>
      <w:proofErr w:type="spellEnd"/>
      <w:r w:rsidR="008251D7" w:rsidRPr="00ED7624">
        <w:t xml:space="preserve">” </w:t>
      </w:r>
      <w:r w:rsidRPr="00ED7624">
        <w:t>kasācijas s</w:t>
      </w:r>
      <w:r w:rsidR="00621DF5" w:rsidRPr="00ED7624">
        <w:t>ūdzību</w:t>
      </w:r>
      <w:r w:rsidRPr="00ED7624">
        <w:t xml:space="preserve"> par </w:t>
      </w:r>
      <w:bookmarkStart w:id="0" w:name="_Hlk55897112"/>
      <w:r w:rsidRPr="00ED7624">
        <w:t xml:space="preserve">Administratīvās </w:t>
      </w:r>
      <w:r w:rsidR="008251D7">
        <w:t>apgabal</w:t>
      </w:r>
      <w:r w:rsidR="00621DF5" w:rsidRPr="00ED7624">
        <w:t xml:space="preserve">tiesas </w:t>
      </w:r>
      <w:r w:rsidR="00621DF5" w:rsidRPr="00ED7624">
        <w:rPr>
          <w:color w:val="000000"/>
          <w:lang w:eastAsia="lv-LV"/>
        </w:rPr>
        <w:t>201</w:t>
      </w:r>
      <w:r w:rsidR="008251D7">
        <w:rPr>
          <w:color w:val="000000"/>
          <w:lang w:eastAsia="lv-LV"/>
        </w:rPr>
        <w:t>7</w:t>
      </w:r>
      <w:r w:rsidRPr="00ED7624">
        <w:rPr>
          <w:color w:val="000000"/>
          <w:lang w:eastAsia="lv-LV"/>
        </w:rPr>
        <w:t xml:space="preserve">.gada </w:t>
      </w:r>
      <w:r w:rsidR="008251D7">
        <w:rPr>
          <w:color w:val="000000"/>
          <w:lang w:eastAsia="lv-LV"/>
        </w:rPr>
        <w:t xml:space="preserve">8.marta </w:t>
      </w:r>
      <w:r w:rsidRPr="00ED7624">
        <w:t>spriedumu</w:t>
      </w:r>
      <w:bookmarkEnd w:id="0"/>
      <w:r w:rsidRPr="00ED7624">
        <w:t>.</w:t>
      </w:r>
      <w:r w:rsidR="006B260D" w:rsidRPr="00ED7624">
        <w:t xml:space="preserve"> </w:t>
      </w:r>
    </w:p>
    <w:p w14:paraId="14ECDCC7" w14:textId="77777777" w:rsidR="007A5D61" w:rsidRPr="00ED7624" w:rsidRDefault="007A5D61" w:rsidP="00ED7624">
      <w:pPr>
        <w:spacing w:line="276" w:lineRule="auto"/>
        <w:ind w:firstLine="567"/>
        <w:jc w:val="both"/>
      </w:pPr>
    </w:p>
    <w:p w14:paraId="5DDE84F3" w14:textId="77777777" w:rsidR="007A5D61" w:rsidRPr="00ED7624" w:rsidRDefault="007A5D61" w:rsidP="00ED7624">
      <w:pPr>
        <w:pStyle w:val="ATvirsraksts"/>
        <w:rPr>
          <w:sz w:val="24"/>
        </w:rPr>
      </w:pPr>
      <w:r w:rsidRPr="00ED7624">
        <w:rPr>
          <w:sz w:val="24"/>
        </w:rPr>
        <w:t>Aprakstošā daļa</w:t>
      </w:r>
    </w:p>
    <w:p w14:paraId="3C9F4322" w14:textId="77777777" w:rsidR="007A5D61" w:rsidRPr="00ED7624" w:rsidRDefault="007A5D61" w:rsidP="00ED7624">
      <w:pPr>
        <w:spacing w:line="276" w:lineRule="auto"/>
        <w:ind w:firstLine="567"/>
        <w:jc w:val="both"/>
      </w:pPr>
    </w:p>
    <w:p w14:paraId="00269E97" w14:textId="1BB74241" w:rsidR="00DF699D" w:rsidRDefault="007A5D61" w:rsidP="00DF699D">
      <w:pPr>
        <w:spacing w:line="276" w:lineRule="auto"/>
        <w:ind w:firstLine="720"/>
        <w:jc w:val="both"/>
      </w:pPr>
      <w:r w:rsidRPr="00ED7624">
        <w:t>[1] </w:t>
      </w:r>
      <w:r w:rsidR="008251D7">
        <w:t>Finanšu un kapitāla tirgus komisija (turpmāk</w:t>
      </w:r>
      <w:r w:rsidR="00852C6B">
        <w:t> </w:t>
      </w:r>
      <w:r w:rsidR="008251D7">
        <w:t>–</w:t>
      </w:r>
      <w:r w:rsidR="00852C6B">
        <w:t> </w:t>
      </w:r>
      <w:r w:rsidR="008251D7">
        <w:t>komisija)</w:t>
      </w:r>
      <w:r w:rsidR="00852C6B">
        <w:t xml:space="preserve"> </w:t>
      </w:r>
      <w:proofErr w:type="gramStart"/>
      <w:r w:rsidR="008251D7">
        <w:t>2015.gada</w:t>
      </w:r>
      <w:proofErr w:type="gramEnd"/>
      <w:r w:rsidR="008251D7">
        <w:t xml:space="preserve"> 19.august</w:t>
      </w:r>
      <w:r w:rsidR="0079322E">
        <w:t>ā un 2016.gada 23.februārī pieņēma visām bankām adresētu</w:t>
      </w:r>
      <w:r w:rsidR="00DF699D">
        <w:t>s</w:t>
      </w:r>
      <w:r w:rsidR="0079322E">
        <w:t xml:space="preserve"> lēmumu</w:t>
      </w:r>
      <w:r w:rsidR="00DF699D">
        <w:t>s</w:t>
      </w:r>
      <w:r w:rsidR="0079322E">
        <w:t xml:space="preserve"> par maksājumam noguldījumu garantiju fondā piemērojamo korekcijas koeficientu 2015.gada 3., 4.ceturksnim un 2016.gadam. </w:t>
      </w:r>
      <w:r w:rsidR="00DF699D">
        <w:t xml:space="preserve">Korekcijas koeficienti aprēķināti saskaņā ar komisijas </w:t>
      </w:r>
      <w:proofErr w:type="gramStart"/>
      <w:r w:rsidR="00DF699D">
        <w:t>2015.gada</w:t>
      </w:r>
      <w:proofErr w:type="gramEnd"/>
      <w:r w:rsidR="00DF699D">
        <w:t xml:space="preserve"> 1.jūlija normatīvajiem noteikumiem Nr.</w:t>
      </w:r>
      <w:r w:rsidR="00B858B4">
        <w:t> </w:t>
      </w:r>
      <w:r w:rsidR="00DF699D">
        <w:t xml:space="preserve">103 „Pārskata par segtajiem noguldījumiem sagatavošanas un maksājumiem noguldījumu garantiju fondā piemērojamo korekcijas koeficientu noteikšanas normatīvie noteikumi” (turpmāk – Korekcijas koeficientu </w:t>
      </w:r>
      <w:bookmarkStart w:id="1" w:name="_Hlk55907626"/>
      <w:r w:rsidR="00BE02C7">
        <w:t>aprēķināšanas</w:t>
      </w:r>
      <w:bookmarkEnd w:id="1"/>
      <w:r w:rsidR="00BE02C7">
        <w:t xml:space="preserve"> </w:t>
      </w:r>
      <w:r w:rsidR="00DF699D">
        <w:t xml:space="preserve">noteikumi). </w:t>
      </w:r>
    </w:p>
    <w:p w14:paraId="2EF2A287" w14:textId="01B841D9" w:rsidR="00516034" w:rsidRDefault="004A4C3D" w:rsidP="00ED7624">
      <w:pPr>
        <w:spacing w:line="276" w:lineRule="auto"/>
        <w:ind w:firstLine="720"/>
        <w:jc w:val="both"/>
      </w:pPr>
      <w:r>
        <w:t>Aprēķinot p</w:t>
      </w:r>
      <w:r w:rsidR="00852C6B">
        <w:t>ieteicēja</w:t>
      </w:r>
      <w:r w:rsidR="0079322E">
        <w:t>s</w:t>
      </w:r>
      <w:r w:rsidR="00852C6B">
        <w:t xml:space="preserve"> likvidējam</w:t>
      </w:r>
      <w:r w:rsidR="0079322E">
        <w:t>ās</w:t>
      </w:r>
      <w:r w:rsidR="00852C6B">
        <w:t xml:space="preserve"> AS </w:t>
      </w:r>
      <w:r w:rsidR="00852C6B" w:rsidRPr="00ED7624">
        <w:t>„</w:t>
      </w:r>
      <w:r w:rsidR="00852C6B">
        <w:t>A</w:t>
      </w:r>
      <w:r w:rsidR="00852C6B" w:rsidRPr="00ED7624">
        <w:t>B</w:t>
      </w:r>
      <w:r w:rsidR="00852C6B">
        <w:t xml:space="preserve">LV </w:t>
      </w:r>
      <w:proofErr w:type="spellStart"/>
      <w:r w:rsidR="00852C6B">
        <w:t>Bank</w:t>
      </w:r>
      <w:proofErr w:type="spellEnd"/>
      <w:r w:rsidR="00852C6B" w:rsidRPr="00ED7624">
        <w:t xml:space="preserve">” </w:t>
      </w:r>
      <w:r w:rsidR="00DF699D">
        <w:t xml:space="preserve">noguldījumu garantiju fondā veicamā maksājuma </w:t>
      </w:r>
      <w:r w:rsidR="0079322E">
        <w:t>korekcijas koeficient</w:t>
      </w:r>
      <w:r>
        <w:t>u, komisija ņēm</w:t>
      </w:r>
      <w:r w:rsidR="004C2038">
        <w:t>a</w:t>
      </w:r>
      <w:r>
        <w:t xml:space="preserve"> vērā </w:t>
      </w:r>
      <w:r w:rsidR="00DF699D">
        <w:t xml:space="preserve">arī Korekcijas koeficientu </w:t>
      </w:r>
      <w:r w:rsidR="00BE02C7">
        <w:t>aprēķināšanas</w:t>
      </w:r>
      <w:r w:rsidR="00DF699D">
        <w:t xml:space="preserve"> noteikumu 2.pielikuma 12. un 13.punktā paredzēt</w:t>
      </w:r>
      <w:r w:rsidR="00752A94">
        <w:t xml:space="preserve">ā </w:t>
      </w:r>
      <w:r w:rsidR="00DF699D">
        <w:t xml:space="preserve">individuālā minimālā kapitāla pietiekamības </w:t>
      </w:r>
      <w:r w:rsidR="00752A94">
        <w:t>rādītāja korekcij</w:t>
      </w:r>
      <w:r w:rsidR="004C2038">
        <w:t>u</w:t>
      </w:r>
      <w:r w:rsidR="00752A94">
        <w:t xml:space="preserve"> </w:t>
      </w:r>
      <w:r w:rsidR="00DF699D">
        <w:t xml:space="preserve">un individuālā likviditātes rādītāja </w:t>
      </w:r>
      <w:r w:rsidR="00752A94">
        <w:t>korekcij</w:t>
      </w:r>
      <w:r w:rsidR="004C2038">
        <w:t>u</w:t>
      </w:r>
      <w:r w:rsidR="00752A94">
        <w:t xml:space="preserve"> (turpmāk – apstrīdētie</w:t>
      </w:r>
      <w:r w:rsidR="00AC0092">
        <w:t xml:space="preserve"> korekcijas</w:t>
      </w:r>
      <w:r w:rsidR="00752A94">
        <w:t xml:space="preserve"> rādītāji).</w:t>
      </w:r>
    </w:p>
    <w:p w14:paraId="39CAB6D8" w14:textId="77777777" w:rsidR="00516034" w:rsidRDefault="00516034" w:rsidP="00ED7624">
      <w:pPr>
        <w:spacing w:line="276" w:lineRule="auto"/>
        <w:ind w:firstLine="720"/>
        <w:jc w:val="both"/>
      </w:pPr>
    </w:p>
    <w:p w14:paraId="55086882" w14:textId="119318DE" w:rsidR="00752A94" w:rsidRDefault="00516034" w:rsidP="00ED7624">
      <w:pPr>
        <w:spacing w:line="276" w:lineRule="auto"/>
        <w:ind w:firstLine="720"/>
        <w:jc w:val="both"/>
      </w:pPr>
      <w:r>
        <w:t>[</w:t>
      </w:r>
      <w:r w:rsidR="009B0AE3">
        <w:t>2</w:t>
      </w:r>
      <w:r>
        <w:t>] Administratīvais process iestādē noslēdz</w:t>
      </w:r>
      <w:r w:rsidR="004C2038">
        <w:t>ā</w:t>
      </w:r>
      <w:r>
        <w:t xml:space="preserve">s ar komisijas </w:t>
      </w:r>
      <w:proofErr w:type="gramStart"/>
      <w:r>
        <w:t>2015.gada</w:t>
      </w:r>
      <w:proofErr w:type="gramEnd"/>
      <w:r>
        <w:t xml:space="preserve"> 28.oktobra un 2016.gada 24.februāra lēmumiem. Pieteicēja vērsās tiesā, lūdzot atcelt lēmumus daļā par pieteicējas iemaksu apmēra noguldījumu garantiju fondā aprēķināšanu saskaņā ar </w:t>
      </w:r>
      <w:r w:rsidR="00752A94">
        <w:t xml:space="preserve">apstrīdētajiem </w:t>
      </w:r>
      <w:r w:rsidR="00AC0092">
        <w:t xml:space="preserve">korekcijas </w:t>
      </w:r>
      <w:r w:rsidR="00752A94">
        <w:t>rādītājiem un cita satura administratīvā akta izdošanu, kurā tiktu pārrēķināts pieteicējas noguldījumu garantiju fondā</w:t>
      </w:r>
      <w:r w:rsidR="00CC0B0A">
        <w:t xml:space="preserve"> veicamā maksājuma apmērs</w:t>
      </w:r>
      <w:r w:rsidR="00752A94">
        <w:t xml:space="preserve">, nepiemērojot apstrīdētos </w:t>
      </w:r>
      <w:r w:rsidR="00AC0092">
        <w:t xml:space="preserve">korekcijas </w:t>
      </w:r>
      <w:r w:rsidR="00752A94">
        <w:t>rādītājus.</w:t>
      </w:r>
    </w:p>
    <w:p w14:paraId="79244D5D" w14:textId="7A02932E" w:rsidR="00752A94" w:rsidRDefault="00752A94" w:rsidP="00ED7624">
      <w:pPr>
        <w:spacing w:line="276" w:lineRule="auto"/>
        <w:ind w:firstLine="720"/>
        <w:jc w:val="both"/>
      </w:pPr>
    </w:p>
    <w:p w14:paraId="25A18D07" w14:textId="2DCD80AA" w:rsidR="00752A94" w:rsidRDefault="00752A94" w:rsidP="00752A94">
      <w:pPr>
        <w:spacing w:line="276" w:lineRule="auto"/>
        <w:ind w:firstLine="720"/>
        <w:jc w:val="both"/>
        <w:rPr>
          <w:color w:val="000000"/>
        </w:rPr>
      </w:pPr>
      <w:r w:rsidRPr="00ED7624">
        <w:t>[</w:t>
      </w:r>
      <w:r w:rsidR="009B0AE3">
        <w:t>3</w:t>
      </w:r>
      <w:r w:rsidRPr="00ED7624">
        <w:t>] A</w:t>
      </w:r>
      <w:r>
        <w:t>r A</w:t>
      </w:r>
      <w:r w:rsidRPr="00ED7624">
        <w:t>dministratīvā</w:t>
      </w:r>
      <w:r>
        <w:t>s</w:t>
      </w:r>
      <w:r w:rsidRPr="00ED7624">
        <w:t xml:space="preserve"> </w:t>
      </w:r>
      <w:r>
        <w:t>apgabalt</w:t>
      </w:r>
      <w:r w:rsidRPr="00ED7624">
        <w:t>iesa</w:t>
      </w:r>
      <w:r>
        <w:t xml:space="preserve">s </w:t>
      </w:r>
      <w:r w:rsidR="00615A76">
        <w:t xml:space="preserve">spriedumu </w:t>
      </w:r>
      <w:r>
        <w:t xml:space="preserve">pieteikums noraidīts. </w:t>
      </w:r>
      <w:r w:rsidRPr="00ED7624">
        <w:rPr>
          <w:color w:val="000000"/>
        </w:rPr>
        <w:t>Spriedums pamatots ar</w:t>
      </w:r>
      <w:r>
        <w:rPr>
          <w:color w:val="000000"/>
        </w:rPr>
        <w:t xml:space="preserve"> šādiem argumentiem un apsvērumiem.</w:t>
      </w:r>
    </w:p>
    <w:p w14:paraId="2778FE7A" w14:textId="63790B49" w:rsidR="004D291A" w:rsidRDefault="00752A94" w:rsidP="00752A94">
      <w:pPr>
        <w:spacing w:line="276" w:lineRule="auto"/>
        <w:ind w:firstLine="720"/>
        <w:jc w:val="both"/>
        <w:rPr>
          <w:color w:val="000000"/>
        </w:rPr>
      </w:pPr>
      <w:r>
        <w:rPr>
          <w:color w:val="000000"/>
        </w:rPr>
        <w:lastRenderedPageBreak/>
        <w:t>[</w:t>
      </w:r>
      <w:r w:rsidR="009B0AE3">
        <w:rPr>
          <w:color w:val="000000"/>
        </w:rPr>
        <w:t>3.1</w:t>
      </w:r>
      <w:r>
        <w:rPr>
          <w:color w:val="000000"/>
        </w:rPr>
        <w:t>] </w:t>
      </w:r>
      <w:r w:rsidR="00615A76">
        <w:rPr>
          <w:color w:val="000000"/>
        </w:rPr>
        <w:t>Pieteicēja uzskata, ka</w:t>
      </w:r>
      <w:r w:rsidR="004D291A">
        <w:rPr>
          <w:color w:val="000000"/>
        </w:rPr>
        <w:t xml:space="preserve"> atbilstoši</w:t>
      </w:r>
      <w:r w:rsidR="00615A76">
        <w:rPr>
          <w:color w:val="000000"/>
        </w:rPr>
        <w:t xml:space="preserve"> </w:t>
      </w:r>
      <w:r w:rsidR="004D291A">
        <w:rPr>
          <w:color w:val="000000"/>
        </w:rPr>
        <w:t xml:space="preserve">Korekcijas koeficientu </w:t>
      </w:r>
      <w:r w:rsidR="00BE02C7">
        <w:t>aprēķināšanas</w:t>
      </w:r>
      <w:r w:rsidR="00BE02C7">
        <w:rPr>
          <w:color w:val="000000"/>
        </w:rPr>
        <w:t xml:space="preserve"> </w:t>
      </w:r>
      <w:r w:rsidR="004D291A">
        <w:rPr>
          <w:color w:val="000000"/>
        </w:rPr>
        <w:t xml:space="preserve">noteikumu 17.punktam </w:t>
      </w:r>
      <w:r w:rsidR="00615A76">
        <w:rPr>
          <w:color w:val="000000"/>
        </w:rPr>
        <w:t xml:space="preserve">apstrīdētie </w:t>
      </w:r>
      <w:r w:rsidR="00AC0092">
        <w:rPr>
          <w:color w:val="000000"/>
        </w:rPr>
        <w:t>korekcijas r</w:t>
      </w:r>
      <w:r w:rsidR="00615A76">
        <w:rPr>
          <w:color w:val="000000"/>
        </w:rPr>
        <w:t>ādītāji ir piemērojami tikai tad, ja bankai korektīvos pasākumus ir noteikusi komisija</w:t>
      </w:r>
      <w:r w:rsidR="00C66EC1">
        <w:rPr>
          <w:color w:val="000000"/>
        </w:rPr>
        <w:t xml:space="preserve">. Tā kā </w:t>
      </w:r>
      <w:r w:rsidR="00615A76">
        <w:rPr>
          <w:color w:val="000000"/>
        </w:rPr>
        <w:t>pieteicējai šādus pasākumus ir noteikusi Eiropas Centrālā banka</w:t>
      </w:r>
      <w:r w:rsidR="00C66EC1">
        <w:rPr>
          <w:color w:val="000000"/>
        </w:rPr>
        <w:t>, pieteicēja</w:t>
      </w:r>
      <w:r w:rsidR="004D291A">
        <w:rPr>
          <w:color w:val="000000"/>
        </w:rPr>
        <w:t xml:space="preserve">s ieskatā minētā tiesību norma </w:t>
      </w:r>
      <w:r w:rsidR="00C66EC1">
        <w:rPr>
          <w:color w:val="000000"/>
        </w:rPr>
        <w:t>izskatāmajā gadījumā nav piemērojam</w:t>
      </w:r>
      <w:r w:rsidR="004D291A">
        <w:rPr>
          <w:color w:val="000000"/>
        </w:rPr>
        <w:t>a</w:t>
      </w:r>
      <w:r w:rsidR="00C66EC1">
        <w:rPr>
          <w:color w:val="000000"/>
        </w:rPr>
        <w:t>.</w:t>
      </w:r>
    </w:p>
    <w:p w14:paraId="3286421A" w14:textId="7B1B5F49" w:rsidR="00D26CAC" w:rsidRDefault="00C66EC1" w:rsidP="00D502B1">
      <w:pPr>
        <w:spacing w:line="276" w:lineRule="auto"/>
        <w:ind w:firstLine="720"/>
        <w:jc w:val="both"/>
      </w:pPr>
      <w:r>
        <w:rPr>
          <w:color w:val="000000"/>
        </w:rPr>
        <w:t xml:space="preserve">Šāds viedoklis ir kļūdains, jo, piemērojot </w:t>
      </w:r>
      <w:r w:rsidR="004D291A">
        <w:rPr>
          <w:color w:val="000000"/>
        </w:rPr>
        <w:t xml:space="preserve">Korekcijas koeficientu </w:t>
      </w:r>
      <w:r w:rsidR="00BE02C7">
        <w:t>aprēķināšanas</w:t>
      </w:r>
      <w:r w:rsidR="00BE02C7">
        <w:rPr>
          <w:color w:val="000000"/>
        </w:rPr>
        <w:t xml:space="preserve"> </w:t>
      </w:r>
      <w:r w:rsidR="004D291A">
        <w:rPr>
          <w:color w:val="000000"/>
        </w:rPr>
        <w:t>noteikumu 17.punktu</w:t>
      </w:r>
      <w:r>
        <w:rPr>
          <w:color w:val="000000"/>
        </w:rPr>
        <w:t xml:space="preserve">, nevar vadīties tikai no </w:t>
      </w:r>
      <w:r w:rsidR="004D291A">
        <w:rPr>
          <w:color w:val="000000"/>
        </w:rPr>
        <w:t xml:space="preserve">šīs normas </w:t>
      </w:r>
      <w:r>
        <w:rPr>
          <w:color w:val="000000"/>
        </w:rPr>
        <w:t xml:space="preserve">teksta. </w:t>
      </w:r>
      <w:r w:rsidR="004D291A">
        <w:rPr>
          <w:color w:val="000000"/>
        </w:rPr>
        <w:t xml:space="preserve">Tiesību </w:t>
      </w:r>
      <w:r>
        <w:rPr>
          <w:color w:val="000000"/>
        </w:rPr>
        <w:t>norma ir jāvērtē kopsakarā ar citām šo noteikumu normām un Noguldījum</w:t>
      </w:r>
      <w:r w:rsidR="006E22F0">
        <w:rPr>
          <w:color w:val="000000"/>
        </w:rPr>
        <w:t>u</w:t>
      </w:r>
      <w:r>
        <w:rPr>
          <w:color w:val="000000"/>
        </w:rPr>
        <w:t xml:space="preserve"> garantiju likum</w:t>
      </w:r>
      <w:r w:rsidR="00D26CAC">
        <w:rPr>
          <w:color w:val="000000"/>
        </w:rPr>
        <w:t>a normām</w:t>
      </w:r>
      <w:r>
        <w:rPr>
          <w:color w:val="000000"/>
        </w:rPr>
        <w:t>.</w:t>
      </w:r>
      <w:r w:rsidR="004D291A">
        <w:rPr>
          <w:color w:val="000000"/>
        </w:rPr>
        <w:t xml:space="preserve"> </w:t>
      </w:r>
      <w:r w:rsidR="006E22F0">
        <w:rPr>
          <w:color w:val="000000"/>
        </w:rPr>
        <w:t xml:space="preserve">Piemērojot </w:t>
      </w:r>
      <w:r w:rsidR="004D291A">
        <w:rPr>
          <w:color w:val="000000"/>
        </w:rPr>
        <w:t xml:space="preserve">Korekcijas koeficientu </w:t>
      </w:r>
      <w:r w:rsidR="00BE02C7">
        <w:t>aprēķināšanas</w:t>
      </w:r>
      <w:r w:rsidR="00BE02C7">
        <w:rPr>
          <w:color w:val="000000"/>
        </w:rPr>
        <w:t xml:space="preserve"> </w:t>
      </w:r>
      <w:r w:rsidR="004D291A">
        <w:rPr>
          <w:color w:val="000000"/>
        </w:rPr>
        <w:t xml:space="preserve">noteikumu 17.punktu kopsakarā ar šo noteikumu 12.punktu, 2.pielikumu un Noguldījumu </w:t>
      </w:r>
      <w:r w:rsidR="00D26CAC">
        <w:rPr>
          <w:color w:val="000000"/>
        </w:rPr>
        <w:t>g</w:t>
      </w:r>
      <w:r w:rsidR="004D291A">
        <w:rPr>
          <w:color w:val="000000"/>
        </w:rPr>
        <w:t xml:space="preserve">arantiju likuma </w:t>
      </w:r>
      <w:proofErr w:type="gramStart"/>
      <w:r w:rsidR="004D291A">
        <w:rPr>
          <w:color w:val="000000"/>
        </w:rPr>
        <w:t>8.panta</w:t>
      </w:r>
      <w:proofErr w:type="gramEnd"/>
      <w:r w:rsidR="004D291A">
        <w:rPr>
          <w:color w:val="000000"/>
        </w:rPr>
        <w:t xml:space="preserve"> trešo daļu, secināms, ka noteikumi pietiekami skaidri paredzēja, ka, nosakot jebkurai bankai piemērojamo korekcijas koeficientu, tiek ņemti vērā uz klientiem – nerezidentiem orientētajām bankām attiecināmie apstrīdētie </w:t>
      </w:r>
      <w:r w:rsidR="00AC0092">
        <w:rPr>
          <w:color w:val="000000"/>
        </w:rPr>
        <w:t xml:space="preserve">korekcijas </w:t>
      </w:r>
      <w:r w:rsidR="004D291A">
        <w:rPr>
          <w:color w:val="000000"/>
        </w:rPr>
        <w:t>rādītāji. Jāņem vērā arī tas, ka komisijai</w:t>
      </w:r>
      <w:r w:rsidR="00D26CAC">
        <w:rPr>
          <w:color w:val="000000"/>
        </w:rPr>
        <w:t xml:space="preserve">, pieņemot Korekcijas koeficientu </w:t>
      </w:r>
      <w:r w:rsidR="00BE02C7">
        <w:t>aprēķināšanas</w:t>
      </w:r>
      <w:r w:rsidR="00BE02C7">
        <w:rPr>
          <w:color w:val="000000"/>
        </w:rPr>
        <w:t xml:space="preserve"> </w:t>
      </w:r>
      <w:r w:rsidR="00D26CAC">
        <w:rPr>
          <w:color w:val="000000"/>
        </w:rPr>
        <w:t>noteikumus,</w:t>
      </w:r>
      <w:r w:rsidR="004D291A">
        <w:rPr>
          <w:color w:val="000000"/>
        </w:rPr>
        <w:t xml:space="preserve"> nebija mērķa apstrīdētos</w:t>
      </w:r>
      <w:r w:rsidR="00AC0092">
        <w:rPr>
          <w:color w:val="000000"/>
        </w:rPr>
        <w:t xml:space="preserve"> korekcijas</w:t>
      </w:r>
      <w:r w:rsidR="004D291A">
        <w:rPr>
          <w:color w:val="000000"/>
        </w:rPr>
        <w:t xml:space="preserve"> rādītājus izslēgt no</w:t>
      </w:r>
      <w:r w:rsidR="006E22F0">
        <w:rPr>
          <w:color w:val="000000"/>
        </w:rPr>
        <w:t xml:space="preserve"> tāda</w:t>
      </w:r>
      <w:r w:rsidR="004D291A">
        <w:rPr>
          <w:color w:val="000000"/>
        </w:rPr>
        <w:t xml:space="preserve"> </w:t>
      </w:r>
      <w:r w:rsidR="006E22F0">
        <w:rPr>
          <w:color w:val="000000"/>
        </w:rPr>
        <w:t>korekcijas koeficienta aprēķināšana</w:t>
      </w:r>
      <w:r w:rsidR="004C2038">
        <w:rPr>
          <w:color w:val="000000"/>
        </w:rPr>
        <w:t>s</w:t>
      </w:r>
      <w:r w:rsidR="006E22F0">
        <w:rPr>
          <w:color w:val="000000"/>
        </w:rPr>
        <w:t xml:space="preserve">, kas noteikts </w:t>
      </w:r>
      <w:r w:rsidR="004D291A">
        <w:rPr>
          <w:color w:val="000000"/>
        </w:rPr>
        <w:t xml:space="preserve">Eiropas Centrālās bankas uzraudzībā esošajām bankām. </w:t>
      </w:r>
      <w:r w:rsidR="00D26CAC">
        <w:rPr>
          <w:color w:val="000000"/>
        </w:rPr>
        <w:t xml:space="preserve">Ja </w:t>
      </w:r>
      <w:r w:rsidR="004D291A">
        <w:rPr>
          <w:color w:val="000000"/>
        </w:rPr>
        <w:t xml:space="preserve">Korekcijas koeficientu </w:t>
      </w:r>
      <w:r w:rsidR="00BE02C7">
        <w:t>aprēķināšanas</w:t>
      </w:r>
      <w:r w:rsidR="004D291A">
        <w:rPr>
          <w:color w:val="000000"/>
        </w:rPr>
        <w:t xml:space="preserve"> noteikumu </w:t>
      </w:r>
      <w:r w:rsidR="00D26CAC">
        <w:rPr>
          <w:color w:val="000000"/>
        </w:rPr>
        <w:t xml:space="preserve">17.punkts tiktu interpretēts atbilstoši pieteicējas redzējumam, tad Eiropas Centrālās bankas uzraudzībā esošajām bankām korekcijas koeficients tiktu samazināts, savukārt tām bankām, kurām korektīvos pasākumus ir noteikusi komisija, korekcijas koeficients tiktu paaugstināts. Tas neatbilstu tiesiskās vienlīdzības principam. Arī no </w:t>
      </w:r>
      <w:r w:rsidR="00D502B1">
        <w:t>Eiropas Parlamenta un Padomes 2014.gada 16.aprīļa direktīvas 2014/49/ES par noguldījumu garantiju sistēmām (turpmāk – Noguldījumu garantiju direktīva) un</w:t>
      </w:r>
      <w:r w:rsidR="00D502B1" w:rsidRPr="00D502B1">
        <w:t xml:space="preserve"> </w:t>
      </w:r>
      <w:r w:rsidR="00D502B1">
        <w:t>Eiropas Banku iestādes nostādnes „Pamatnostādnes par metodēm, kuras tiek izmantotas iemaksu noguldījumu garantiju shēmā aprēķināšanā” (turpmāk – Pamatnostādnes) normām neizriet prasība izslēgt apstrīdēto</w:t>
      </w:r>
      <w:r w:rsidR="00AC0092" w:rsidRPr="00AC0092">
        <w:rPr>
          <w:color w:val="000000"/>
        </w:rPr>
        <w:t xml:space="preserve"> </w:t>
      </w:r>
      <w:r w:rsidR="00AC0092">
        <w:rPr>
          <w:color w:val="000000"/>
        </w:rPr>
        <w:t>korekcijas r</w:t>
      </w:r>
      <w:r w:rsidR="00D502B1">
        <w:t xml:space="preserve">ādītāju piemērošanu, </w:t>
      </w:r>
      <w:r w:rsidR="006E22F0">
        <w:t>ja k</w:t>
      </w:r>
      <w:r w:rsidR="00D502B1">
        <w:t>orekcijas koeficient</w:t>
      </w:r>
      <w:r w:rsidR="006E22F0">
        <w:t>s tiek aprēķināts</w:t>
      </w:r>
      <w:r w:rsidR="00D502B1">
        <w:t xml:space="preserve"> tām bankām, kas </w:t>
      </w:r>
      <w:r w:rsidR="006E22F0">
        <w:t xml:space="preserve">ir </w:t>
      </w:r>
      <w:r w:rsidR="00D502B1">
        <w:t xml:space="preserve">Eiropas Centrālās bankas uzraudzībā. </w:t>
      </w:r>
    </w:p>
    <w:p w14:paraId="077E4A03" w14:textId="66ED43EC" w:rsidR="00D502B1" w:rsidRPr="00D502B1" w:rsidRDefault="006E22F0" w:rsidP="00D502B1">
      <w:pPr>
        <w:spacing w:line="276" w:lineRule="auto"/>
        <w:ind w:firstLine="720"/>
        <w:jc w:val="both"/>
      </w:pPr>
      <w:r>
        <w:t>Ņemot vērā minēto, secināms, ka komisija</w:t>
      </w:r>
      <w:r w:rsidR="00D502B1">
        <w:t xml:space="preserve">, aprēķinot korekcijas koeficientu bankām, kas ir Eiropas Centrālās bankas uzraudzībā, ir tiesīga izmantot Eiropas Centrālās bankas noteikto individuālā minimālā kapitāla pietiekamības rādītāja korekciju un individuālā likviditātes rādītāja korekciju saskaņā ar Korekcijas koeficientu </w:t>
      </w:r>
      <w:r w:rsidR="00BE02C7">
        <w:t>aprēķināšanas</w:t>
      </w:r>
      <w:r w:rsidR="00D502B1">
        <w:t xml:space="preserve"> noteikumu 2.pielikumā noteikto formulu. Tātad likuma atrunas princips šajā gadījumā netiek pārkāpts.</w:t>
      </w:r>
    </w:p>
    <w:p w14:paraId="14D21227" w14:textId="23DA4E1B" w:rsidR="00D502B1" w:rsidRDefault="00C66EC1" w:rsidP="00752A94">
      <w:pPr>
        <w:spacing w:line="276" w:lineRule="auto"/>
        <w:ind w:firstLine="720"/>
        <w:jc w:val="both"/>
        <w:rPr>
          <w:color w:val="000000"/>
        </w:rPr>
      </w:pPr>
      <w:r>
        <w:rPr>
          <w:color w:val="000000"/>
        </w:rPr>
        <w:t>[</w:t>
      </w:r>
      <w:r w:rsidR="009B0AE3">
        <w:rPr>
          <w:color w:val="000000"/>
        </w:rPr>
        <w:t>3.2</w:t>
      </w:r>
      <w:r>
        <w:rPr>
          <w:color w:val="000000"/>
        </w:rPr>
        <w:t>] </w:t>
      </w:r>
      <w:r w:rsidR="00D502B1">
        <w:rPr>
          <w:color w:val="000000"/>
        </w:rPr>
        <w:t>Pieteicēja uzskata, ka Korekcijas koeficientu aprēķināšanas noteikumos ietvertais regulējums par korekcijas koeficienta aprēķināšanu, ņemot vērā apstrīdētos</w:t>
      </w:r>
      <w:r w:rsidR="00AC0092" w:rsidRPr="00AC0092">
        <w:rPr>
          <w:color w:val="000000"/>
        </w:rPr>
        <w:t xml:space="preserve"> </w:t>
      </w:r>
      <w:r w:rsidR="00AC0092">
        <w:rPr>
          <w:color w:val="000000"/>
        </w:rPr>
        <w:t>korekcijas</w:t>
      </w:r>
      <w:r w:rsidR="00D502B1">
        <w:rPr>
          <w:color w:val="000000"/>
        </w:rPr>
        <w:t xml:space="preserve"> rādītājus, ierobežo pieteicējas tiesības uz īpašumu.</w:t>
      </w:r>
    </w:p>
    <w:p w14:paraId="561BADFD" w14:textId="01CE4A05" w:rsidR="00D970D7" w:rsidRDefault="00D502B1" w:rsidP="00752A94">
      <w:pPr>
        <w:spacing w:line="276" w:lineRule="auto"/>
        <w:ind w:firstLine="720"/>
        <w:jc w:val="both"/>
        <w:rPr>
          <w:color w:val="000000"/>
        </w:rPr>
      </w:pPr>
      <w:r>
        <w:rPr>
          <w:color w:val="000000"/>
        </w:rPr>
        <w:t xml:space="preserve">Tā kā pieteicējai ir noteikts pienākums veikt </w:t>
      </w:r>
      <w:proofErr w:type="gramStart"/>
      <w:r>
        <w:rPr>
          <w:color w:val="000000"/>
        </w:rPr>
        <w:t>publiski tiesiskus maksājums</w:t>
      </w:r>
      <w:proofErr w:type="gramEnd"/>
      <w:r>
        <w:rPr>
          <w:color w:val="000000"/>
        </w:rPr>
        <w:t>, tad ir konstatējams pieteicējas tiesību uz īpašumu ierobežojums. Taču šāds ierobežojums ir noteikts ar likumu</w:t>
      </w:r>
      <w:r w:rsidR="00D970D7">
        <w:rPr>
          <w:color w:val="000000"/>
        </w:rPr>
        <w:t xml:space="preserve">, tam ir leģitīms mērķis, un tas ir samērīgs. Līdz ar to pieteicējas Latvijas Republikas Satversmes (turpmāk – Satversme) </w:t>
      </w:r>
      <w:proofErr w:type="gramStart"/>
      <w:r w:rsidR="00D970D7">
        <w:rPr>
          <w:color w:val="000000"/>
        </w:rPr>
        <w:t>105.pantā</w:t>
      </w:r>
      <w:proofErr w:type="gramEnd"/>
      <w:r w:rsidR="00D970D7">
        <w:rPr>
          <w:color w:val="000000"/>
        </w:rPr>
        <w:t xml:space="preserve"> nostiprinātās tiesības uz īpašumu nav pārkāptas.</w:t>
      </w:r>
    </w:p>
    <w:p w14:paraId="142DF28F" w14:textId="225848E4" w:rsidR="00D970D7" w:rsidRDefault="00D970D7" w:rsidP="00D970D7">
      <w:pPr>
        <w:spacing w:line="276" w:lineRule="auto"/>
        <w:ind w:firstLine="720"/>
        <w:jc w:val="both"/>
        <w:rPr>
          <w:color w:val="000000"/>
        </w:rPr>
      </w:pPr>
      <w:r>
        <w:rPr>
          <w:color w:val="000000"/>
        </w:rPr>
        <w:t>[</w:t>
      </w:r>
      <w:r w:rsidR="009B0AE3">
        <w:rPr>
          <w:color w:val="000000"/>
        </w:rPr>
        <w:t>3.3</w:t>
      </w:r>
      <w:r>
        <w:rPr>
          <w:color w:val="000000"/>
        </w:rPr>
        <w:t xml:space="preserve">] Tāpat nav pārkāpts Satversmes </w:t>
      </w:r>
      <w:proofErr w:type="gramStart"/>
      <w:r>
        <w:rPr>
          <w:color w:val="000000"/>
        </w:rPr>
        <w:t>91.pantā</w:t>
      </w:r>
      <w:proofErr w:type="gramEnd"/>
      <w:r>
        <w:rPr>
          <w:color w:val="000000"/>
        </w:rPr>
        <w:t xml:space="preserve"> nostiprinātais tiesiskās vienlīdzības princips, jo pieteicēja nav vienādos un salīdzināmos apstākļos ar bankām, kurām nav piemēroti korektīvie pasākumi.</w:t>
      </w:r>
    </w:p>
    <w:p w14:paraId="726B16A9" w14:textId="569ECA2A" w:rsidR="00D970D7" w:rsidRDefault="00D970D7" w:rsidP="00D970D7">
      <w:pPr>
        <w:spacing w:line="276" w:lineRule="auto"/>
        <w:ind w:firstLine="720"/>
        <w:jc w:val="both"/>
        <w:rPr>
          <w:color w:val="000000"/>
        </w:rPr>
      </w:pPr>
      <w:r>
        <w:rPr>
          <w:color w:val="000000"/>
        </w:rPr>
        <w:t>[</w:t>
      </w:r>
      <w:r w:rsidR="009B0AE3">
        <w:rPr>
          <w:color w:val="000000"/>
        </w:rPr>
        <w:t>3.4</w:t>
      </w:r>
      <w:r>
        <w:rPr>
          <w:color w:val="000000"/>
        </w:rPr>
        <w:t>] Tā kā pieteicējas tiesību uz īpašumu ierobežojums ir samērīgs un tiesiskās vienlīdzības princips nav pārkāpts, komisijai, nosakot pieteicējai piemērojamo korekcijas koeficientu, nebija pamata atkāpties no Korekcijas koeficientu aprēķināšanas noteikumos ietvertā regulējuma.</w:t>
      </w:r>
    </w:p>
    <w:p w14:paraId="193F42B4" w14:textId="2AEEAAB0" w:rsidR="00D970D7" w:rsidRDefault="00D970D7" w:rsidP="00D970D7">
      <w:pPr>
        <w:spacing w:line="276" w:lineRule="auto"/>
        <w:ind w:firstLine="720"/>
        <w:jc w:val="both"/>
        <w:rPr>
          <w:color w:val="000000"/>
        </w:rPr>
      </w:pPr>
    </w:p>
    <w:p w14:paraId="2116FDBA" w14:textId="24BE81C7" w:rsidR="00D970D7" w:rsidRDefault="00D970D7" w:rsidP="00D970D7">
      <w:pPr>
        <w:spacing w:line="276" w:lineRule="auto"/>
        <w:ind w:firstLine="720"/>
        <w:jc w:val="both"/>
        <w:rPr>
          <w:color w:val="000000"/>
        </w:rPr>
      </w:pPr>
      <w:r>
        <w:rPr>
          <w:color w:val="000000"/>
        </w:rPr>
        <w:t>[</w:t>
      </w:r>
      <w:r w:rsidR="009B0AE3">
        <w:rPr>
          <w:color w:val="000000"/>
        </w:rPr>
        <w:t>4</w:t>
      </w:r>
      <w:r>
        <w:rPr>
          <w:color w:val="000000"/>
        </w:rPr>
        <w:t>] Pieteicēja iesniegusi kasācijas sūdzību, norādot šādus argumentus.</w:t>
      </w:r>
    </w:p>
    <w:p w14:paraId="52E6B234" w14:textId="48455A42" w:rsidR="00D970D7" w:rsidRDefault="00D970D7" w:rsidP="00D970D7">
      <w:pPr>
        <w:spacing w:line="276" w:lineRule="auto"/>
        <w:ind w:firstLine="720"/>
        <w:jc w:val="both"/>
        <w:rPr>
          <w:color w:val="000000"/>
        </w:rPr>
      </w:pPr>
      <w:r>
        <w:rPr>
          <w:color w:val="000000"/>
        </w:rPr>
        <w:t>[</w:t>
      </w:r>
      <w:r w:rsidR="009B0AE3">
        <w:rPr>
          <w:color w:val="000000"/>
        </w:rPr>
        <w:t>4.1</w:t>
      </w:r>
      <w:r>
        <w:rPr>
          <w:color w:val="000000"/>
        </w:rPr>
        <w:t>] </w:t>
      </w:r>
      <w:r w:rsidR="005A3B9E">
        <w:rPr>
          <w:color w:val="000000"/>
        </w:rPr>
        <w:t xml:space="preserve">Apgabaltiesa Korekcijas koeficientu </w:t>
      </w:r>
      <w:r w:rsidR="00BE02C7">
        <w:t>aprēķināšanas</w:t>
      </w:r>
      <w:r w:rsidR="005A3B9E">
        <w:rPr>
          <w:color w:val="000000"/>
        </w:rPr>
        <w:t xml:space="preserve"> noteikumu 17.punktā lietoto apzīmējumu </w:t>
      </w:r>
      <w:r w:rsidR="005A3B9E" w:rsidRPr="00ED7624">
        <w:t>„</w:t>
      </w:r>
      <w:r w:rsidR="005A3B9E">
        <w:t xml:space="preserve">komisija” ir tulkojusi paplašināti, attiecinot to arī </w:t>
      </w:r>
      <w:r w:rsidR="005A3B9E">
        <w:rPr>
          <w:color w:val="000000"/>
        </w:rPr>
        <w:t>uz Eiropas Centrālo banku, lai gan</w:t>
      </w:r>
      <w:r w:rsidR="00CC0B0A">
        <w:rPr>
          <w:color w:val="000000"/>
        </w:rPr>
        <w:t xml:space="preserve"> šajā tiesību normā nav atsauces </w:t>
      </w:r>
      <w:r w:rsidR="005A3B9E">
        <w:rPr>
          <w:color w:val="000000"/>
        </w:rPr>
        <w:t xml:space="preserve">uz tiem gadījumiem, kad bankai korektīvos pasākumus noteikusi Eiropas Centrālā banka. Pēc būtības apgabaltiesa ir piemērojusi tiesību </w:t>
      </w:r>
      <w:proofErr w:type="spellStart"/>
      <w:r w:rsidR="005A3B9E">
        <w:rPr>
          <w:color w:val="000000"/>
        </w:rPr>
        <w:t>tālākveidošanu</w:t>
      </w:r>
      <w:proofErr w:type="spellEnd"/>
      <w:r w:rsidR="005A3B9E">
        <w:rPr>
          <w:color w:val="000000"/>
        </w:rPr>
        <w:t> – analoģiju –,</w:t>
      </w:r>
      <w:r w:rsidR="00BE02C7">
        <w:rPr>
          <w:color w:val="000000"/>
        </w:rPr>
        <w:t xml:space="preserve"> </w:t>
      </w:r>
      <w:r w:rsidR="005A3B9E">
        <w:rPr>
          <w:color w:val="000000"/>
        </w:rPr>
        <w:t xml:space="preserve">taču atbilstoši Administratīvā procesa likuma </w:t>
      </w:r>
      <w:proofErr w:type="gramStart"/>
      <w:r w:rsidR="005A3B9E">
        <w:rPr>
          <w:color w:val="000000"/>
        </w:rPr>
        <w:t>17.panta</w:t>
      </w:r>
      <w:proofErr w:type="gramEnd"/>
      <w:r w:rsidR="005A3B9E">
        <w:rPr>
          <w:color w:val="000000"/>
        </w:rPr>
        <w:t xml:space="preserve"> otrajai </w:t>
      </w:r>
      <w:r w:rsidR="005A3B9E" w:rsidRPr="00243F04">
        <w:rPr>
          <w:color w:val="000000"/>
        </w:rPr>
        <w:t>daļai likuma atrunas</w:t>
      </w:r>
      <w:r w:rsidR="005A3B9E">
        <w:rPr>
          <w:color w:val="000000"/>
        </w:rPr>
        <w:t xml:space="preserve"> principam un judikatūras atziņām analoģija nelabvēlīga administratīvā akta gadījumā nav pieļaujama.</w:t>
      </w:r>
    </w:p>
    <w:p w14:paraId="5D643567" w14:textId="47392820" w:rsidR="005A3B9E" w:rsidRDefault="005A3B9E" w:rsidP="00D970D7">
      <w:pPr>
        <w:spacing w:line="276" w:lineRule="auto"/>
        <w:ind w:firstLine="720"/>
        <w:jc w:val="both"/>
        <w:rPr>
          <w:color w:val="000000"/>
        </w:rPr>
      </w:pPr>
      <w:r>
        <w:rPr>
          <w:color w:val="000000"/>
        </w:rPr>
        <w:t>[</w:t>
      </w:r>
      <w:r w:rsidR="009B0AE3">
        <w:rPr>
          <w:color w:val="000000"/>
        </w:rPr>
        <w:t>4.2</w:t>
      </w:r>
      <w:r>
        <w:rPr>
          <w:color w:val="000000"/>
        </w:rPr>
        <w:t xml:space="preserve">] Apgabaltiesa nepamatoti priekšroku devusi tiesiskās vienlīdzības principam, neveicot </w:t>
      </w:r>
      <w:r w:rsidR="006E22F0">
        <w:rPr>
          <w:color w:val="000000"/>
        </w:rPr>
        <w:t xml:space="preserve">šā principa, kā arī </w:t>
      </w:r>
      <w:r>
        <w:rPr>
          <w:color w:val="000000"/>
        </w:rPr>
        <w:t>likuma atrunas</w:t>
      </w:r>
      <w:r w:rsidR="006E22F0">
        <w:rPr>
          <w:color w:val="000000"/>
        </w:rPr>
        <w:t xml:space="preserve"> </w:t>
      </w:r>
      <w:r>
        <w:rPr>
          <w:color w:val="000000"/>
        </w:rPr>
        <w:t>un tiesiskās paļāvības principa svēršanu. Apgabaltiesa nav izvērtējusi, kādas nelabvēlīgas sekas vai ļaunumu sabiedrībai nodarītu tiesiskās vienlīdzība principa pārkāpums un vai šīs sekas ir ar lielāku svaru nekā prasība respektēt tiesiskās paļāvības un likuma atrunas principu. Izskatāmajā gadījumā prior</w:t>
      </w:r>
      <w:r w:rsidR="007B2C8E">
        <w:rPr>
          <w:color w:val="000000"/>
        </w:rPr>
        <w:t xml:space="preserve">itārs ir </w:t>
      </w:r>
      <w:r w:rsidR="00BE02C7">
        <w:rPr>
          <w:color w:val="000000"/>
        </w:rPr>
        <w:t xml:space="preserve">likuma atrunas un </w:t>
      </w:r>
      <w:r>
        <w:rPr>
          <w:color w:val="000000"/>
        </w:rPr>
        <w:t xml:space="preserve">tiesiskās paļāvības </w:t>
      </w:r>
      <w:r w:rsidR="00BE02C7">
        <w:rPr>
          <w:color w:val="000000"/>
        </w:rPr>
        <w:t xml:space="preserve">princips, </w:t>
      </w:r>
      <w:r>
        <w:rPr>
          <w:color w:val="000000"/>
        </w:rPr>
        <w:t xml:space="preserve">jo tikai tādā veidā publiskās personas un privātpersonu attiecībās </w:t>
      </w:r>
      <w:r w:rsidR="00BE02C7">
        <w:rPr>
          <w:color w:val="000000"/>
        </w:rPr>
        <w:t xml:space="preserve">tiek nodrošināts tiesiskums </w:t>
      </w:r>
      <w:r>
        <w:rPr>
          <w:color w:val="000000"/>
        </w:rPr>
        <w:t>un ne sabiedrības, ne kādas konkrētas personas intereses netiek aizskartas.</w:t>
      </w:r>
    </w:p>
    <w:p w14:paraId="4740F26E" w14:textId="3CF0993A" w:rsidR="00BE02C7" w:rsidRDefault="00BE02C7" w:rsidP="00D970D7">
      <w:pPr>
        <w:spacing w:line="276" w:lineRule="auto"/>
        <w:ind w:firstLine="720"/>
        <w:jc w:val="both"/>
        <w:rPr>
          <w:color w:val="000000"/>
        </w:rPr>
      </w:pPr>
      <w:r>
        <w:rPr>
          <w:color w:val="000000"/>
        </w:rPr>
        <w:t>[</w:t>
      </w:r>
      <w:r w:rsidR="009B0AE3">
        <w:rPr>
          <w:color w:val="000000"/>
        </w:rPr>
        <w:t>4.3</w:t>
      </w:r>
      <w:r>
        <w:rPr>
          <w:color w:val="000000"/>
        </w:rPr>
        <w:t xml:space="preserve">] Apgabaltiesa ir pārkāpusi Administratīvā procesa likuma </w:t>
      </w:r>
      <w:proofErr w:type="gramStart"/>
      <w:r>
        <w:rPr>
          <w:color w:val="000000"/>
        </w:rPr>
        <w:t>154.pantu</w:t>
      </w:r>
      <w:proofErr w:type="gramEnd"/>
      <w:r>
        <w:rPr>
          <w:color w:val="000000"/>
        </w:rPr>
        <w:t xml:space="preserve"> un 247.panta otro daļu, jo spriedumu ir balstījusi uz nepier</w:t>
      </w:r>
      <w:r w:rsidR="004C2038">
        <w:rPr>
          <w:color w:val="000000"/>
        </w:rPr>
        <w:t>ā</w:t>
      </w:r>
      <w:r>
        <w:rPr>
          <w:color w:val="000000"/>
        </w:rPr>
        <w:t xml:space="preserve">dītiem apstākļiem, nav pamatojusi, ka nenosegtie riski ir raksturīgi tieši nerezidentu bankām, nav vērtējusi, vai un kā tieši nenosegtie riski ir attiecināmi uz pieteicēju, kā arī nav vērtējusi, vai nenosegtie riski nav novērsti ar citiem līdzekļiem. Tāpat apgabaltiesa nav pienācīgi vērtējusi, vai pastāv mazāk ierobežojoši līdzekļi, salīdzinot ar apstrīdētajiem korekcijas rādītājiem. </w:t>
      </w:r>
    </w:p>
    <w:p w14:paraId="5F73DF04" w14:textId="25529546" w:rsidR="005A3B9E" w:rsidRPr="00D970D7" w:rsidRDefault="00BE02C7" w:rsidP="00D970D7">
      <w:pPr>
        <w:spacing w:line="276" w:lineRule="auto"/>
        <w:ind w:firstLine="720"/>
        <w:jc w:val="both"/>
        <w:rPr>
          <w:color w:val="000000"/>
        </w:rPr>
      </w:pPr>
      <w:r>
        <w:rPr>
          <w:color w:val="000000"/>
        </w:rPr>
        <w:t>[</w:t>
      </w:r>
      <w:r w:rsidR="009B0AE3">
        <w:rPr>
          <w:color w:val="000000"/>
        </w:rPr>
        <w:t>4.4</w:t>
      </w:r>
      <w:r>
        <w:rPr>
          <w:color w:val="000000"/>
        </w:rPr>
        <w:t xml:space="preserve">] Korekcijas koeficientu aprēķināšanas noteikumu 17.punkts un 2.pielikuma 12. un 13.rādītāji neatbilst Satversmes 91. un </w:t>
      </w:r>
      <w:proofErr w:type="gramStart"/>
      <w:r>
        <w:rPr>
          <w:color w:val="000000"/>
        </w:rPr>
        <w:t>105.pantam</w:t>
      </w:r>
      <w:proofErr w:type="gramEnd"/>
      <w:r>
        <w:rPr>
          <w:color w:val="000000"/>
        </w:rPr>
        <w:t>, tāpēc ir iesniedzams pieteikums Satversmes tiesā.</w:t>
      </w:r>
    </w:p>
    <w:p w14:paraId="3A4B14D5" w14:textId="77777777" w:rsidR="00646B72" w:rsidRDefault="00646B72" w:rsidP="00ED7624">
      <w:pPr>
        <w:spacing w:line="276" w:lineRule="auto"/>
        <w:ind w:firstLine="720"/>
        <w:jc w:val="both"/>
      </w:pPr>
    </w:p>
    <w:p w14:paraId="6CD0FBC1" w14:textId="6C355B1F" w:rsidR="00646B72" w:rsidRDefault="00BE02C7" w:rsidP="00ED7624">
      <w:pPr>
        <w:spacing w:line="276" w:lineRule="auto"/>
        <w:ind w:firstLine="720"/>
        <w:jc w:val="both"/>
      </w:pPr>
      <w:r>
        <w:t>[</w:t>
      </w:r>
      <w:r w:rsidR="009B0AE3">
        <w:t>5</w:t>
      </w:r>
      <w:r>
        <w:t>] Komisija paskaidrojumos par kasācijas sūdzību lūdz pārsūdzēto spriedumu atstāt negrozītu, bet pieteicējas kasācijas sūdzību noraidīt.</w:t>
      </w:r>
    </w:p>
    <w:p w14:paraId="1B04FAC4" w14:textId="77777777" w:rsidR="00646B72" w:rsidRDefault="00646B72" w:rsidP="00ED7624">
      <w:pPr>
        <w:pStyle w:val="ATvirsraksts"/>
        <w:keepNext/>
        <w:rPr>
          <w:sz w:val="24"/>
        </w:rPr>
      </w:pPr>
    </w:p>
    <w:p w14:paraId="75B1C4B4" w14:textId="1CF5C14A" w:rsidR="001403C3" w:rsidRPr="00ED7624" w:rsidRDefault="007A5D61" w:rsidP="00ED7624">
      <w:pPr>
        <w:pStyle w:val="ATvirsraksts"/>
        <w:keepNext/>
        <w:rPr>
          <w:sz w:val="24"/>
        </w:rPr>
      </w:pPr>
      <w:r w:rsidRPr="00ED7624">
        <w:rPr>
          <w:sz w:val="24"/>
        </w:rPr>
        <w:t>Motīvu daļa</w:t>
      </w:r>
    </w:p>
    <w:p w14:paraId="3FD41FE2" w14:textId="77777777" w:rsidR="001403C3" w:rsidRPr="00ED7624" w:rsidRDefault="001403C3" w:rsidP="00042934">
      <w:pPr>
        <w:keepNext/>
        <w:spacing w:line="276" w:lineRule="auto"/>
        <w:ind w:firstLine="720"/>
        <w:jc w:val="both"/>
      </w:pPr>
    </w:p>
    <w:p w14:paraId="7B80B5D7" w14:textId="77777777" w:rsidR="0058540F" w:rsidRDefault="00B44595" w:rsidP="00042934">
      <w:pPr>
        <w:pStyle w:val="naiskr"/>
        <w:spacing w:before="0" w:beforeAutospacing="0" w:after="0" w:afterAutospacing="0" w:line="276" w:lineRule="auto"/>
        <w:ind w:firstLine="720"/>
        <w:jc w:val="both"/>
      </w:pPr>
      <w:bookmarkStart w:id="2" w:name="_Hlk56676078"/>
      <w:r w:rsidRPr="00ED7624">
        <w:t>[</w:t>
      </w:r>
      <w:r w:rsidR="009B0AE3">
        <w:t>6</w:t>
      </w:r>
      <w:r w:rsidR="007A5D61" w:rsidRPr="00ED7624">
        <w:t>] </w:t>
      </w:r>
      <w:r w:rsidR="0058540F">
        <w:t>Kasācijas sūdzībā izteikts lūgums lietu izskatīt mutvārdu procesā.</w:t>
      </w:r>
    </w:p>
    <w:p w14:paraId="5A6471D7" w14:textId="46584F13" w:rsidR="0072193A" w:rsidRDefault="0058540F" w:rsidP="00042934">
      <w:pPr>
        <w:pStyle w:val="naiskr"/>
        <w:spacing w:before="0" w:beforeAutospacing="0" w:after="0" w:afterAutospacing="0" w:line="276" w:lineRule="auto"/>
        <w:ind w:firstLine="720"/>
        <w:jc w:val="both"/>
      </w:pPr>
      <w:r>
        <w:t xml:space="preserve">Atbilstoši Administratīvā procesa likuma </w:t>
      </w:r>
      <w:proofErr w:type="gramStart"/>
      <w:r>
        <w:t>339.panta</w:t>
      </w:r>
      <w:proofErr w:type="gramEnd"/>
      <w:r>
        <w:t xml:space="preserve"> pirmajai daļai lietu kasācijas instancē izskata rakstveida procesā. </w:t>
      </w:r>
      <w:r w:rsidR="004C2038">
        <w:t>Saskaņā ar likuma 112.</w:t>
      </w:r>
      <w:proofErr w:type="gramStart"/>
      <w:r w:rsidR="004C2038" w:rsidRPr="004C2038">
        <w:rPr>
          <w:vertAlign w:val="superscript"/>
        </w:rPr>
        <w:t>1</w:t>
      </w:r>
      <w:r w:rsidR="004C2038">
        <w:t>panta</w:t>
      </w:r>
      <w:proofErr w:type="gramEnd"/>
      <w:r w:rsidR="004C2038">
        <w:t xml:space="preserve"> otro daļu, ja tiesa uzskata, ka lietu, kura izskatāma rakstveida procesā, lietderīgāk izskatīt tiesas sēdē, tā pēc sava ieskata var noteikt šī</w:t>
      </w:r>
      <w:r w:rsidR="00967636">
        <w:t>s</w:t>
      </w:r>
      <w:r w:rsidR="004C2038">
        <w:t xml:space="preserve"> lietas izskatīšanu mutvārdu procesā. </w:t>
      </w:r>
      <w:r>
        <w:t xml:space="preserve">Tas nozīmē, ka tā ir kasācijas instances tiesas prerogatīva noteikt lietas izskatīšanu mutvārdu procesā un tiesai nav saistošs procesa dalībnieka lūgums. </w:t>
      </w:r>
    </w:p>
    <w:p w14:paraId="4018B5F1" w14:textId="68D5BBA8" w:rsidR="00E06EED" w:rsidRDefault="0072193A" w:rsidP="00042934">
      <w:pPr>
        <w:pStyle w:val="naiskr"/>
        <w:spacing w:before="0" w:beforeAutospacing="0" w:after="0" w:afterAutospacing="0" w:line="276" w:lineRule="auto"/>
        <w:ind w:firstLine="720"/>
        <w:jc w:val="both"/>
      </w:pPr>
      <w:r>
        <w:t>Pieteicēja</w:t>
      </w:r>
      <w:r w:rsidR="0058540F">
        <w:t xml:space="preserve">, </w:t>
      </w:r>
      <w:r w:rsidR="006068E9">
        <w:t xml:space="preserve">lūdzot </w:t>
      </w:r>
      <w:r w:rsidR="0058540F">
        <w:t>izskatīt lietu mutvārdu procesā, norād</w:t>
      </w:r>
      <w:r w:rsidR="006068E9">
        <w:t>ījusi</w:t>
      </w:r>
      <w:r w:rsidR="0058540F">
        <w:t>, ka lieta ir</w:t>
      </w:r>
      <w:r w:rsidR="00E06EED">
        <w:t xml:space="preserve"> specifiska</w:t>
      </w:r>
      <w:r w:rsidR="0058540F">
        <w:t>.</w:t>
      </w:r>
    </w:p>
    <w:p w14:paraId="79C7E740" w14:textId="08913CD1" w:rsidR="006068E9" w:rsidRDefault="0058540F" w:rsidP="00042934">
      <w:pPr>
        <w:pStyle w:val="naiskr"/>
        <w:spacing w:before="0" w:beforeAutospacing="0" w:after="0" w:afterAutospacing="0" w:line="276" w:lineRule="auto"/>
        <w:ind w:firstLine="720"/>
        <w:jc w:val="both"/>
      </w:pPr>
      <w:r>
        <w:t xml:space="preserve">Senāts atzīst, ka </w:t>
      </w:r>
      <w:r w:rsidR="00E06EED">
        <w:t>minētais apstāklis</w:t>
      </w:r>
      <w:r>
        <w:t xml:space="preserve"> nepamato, kāpēc lietas izskatīšanai kasācijas kārtībā būtu lietderīgs mutvārdu process. </w:t>
      </w:r>
      <w:r w:rsidR="00E06EED">
        <w:t xml:space="preserve">Senāta praksē konsekventi atzīts, ka lietas izskatīšana tiesas sēdē ir lietderīga gadījumos, kuros no lietā esošajiem dokumentiem nevar gūt vispusīgu un pilnīgu priekšstatu par izskatāmo jautājumu. Šādos apstākļos personu uzklausīšana tiesas sēdē var sekmēt pareizu izskatāmā jautājuma izlemšanu. Savukārt, ja lietas materiāli ir pietiekami </w:t>
      </w:r>
      <w:r w:rsidR="00E06EED">
        <w:lastRenderedPageBreak/>
        <w:t xml:space="preserve">izskatāmā jautājuma izlemšanai, tad mutvārdu process parasti nav lietderīgs. Atbilstoši Administratīvā procesa likuma </w:t>
      </w:r>
      <w:proofErr w:type="gramStart"/>
      <w:r w:rsidR="00E06EED">
        <w:t>325.pantam</w:t>
      </w:r>
      <w:proofErr w:type="gramEnd"/>
      <w:r w:rsidR="00E06EED">
        <w:t xml:space="preserve"> kasācijas instances tiesa nepārbauda pierādījumus un neskaidro lietas faktiskos apstākļus, bet risina vienīgi tiesību normu interpretācijas un piemērošanas jautājumus. Par šiem lietā risināmajiem tiesību jautājumiem lietā esošie dokumenti sniedz pietiekamu priekšstatu. </w:t>
      </w:r>
      <w:r w:rsidR="006068E9">
        <w:t>Turklāt l</w:t>
      </w:r>
      <w:r w:rsidR="00E06EED">
        <w:t xml:space="preserve">ietas dalībnieki </w:t>
      </w:r>
      <w:r w:rsidR="006068E9">
        <w:t xml:space="preserve">procesuālās tiesības mutvārdu procesā ir īstenojuši apgabaltiesā. Kasācijas sūdzībā ir sniegti izvērsti iebildumi par apgabaltiesas spriedumā norādītajiem argumentiem, savukārt paskaidrojumos par kasācijas sūdzību norādīta virkne pretargumentu kasatora viedoklim. </w:t>
      </w:r>
    </w:p>
    <w:p w14:paraId="2E3B599E" w14:textId="77777777" w:rsidR="006068E9" w:rsidRDefault="00E06EED" w:rsidP="00042934">
      <w:pPr>
        <w:pStyle w:val="naiskr"/>
        <w:spacing w:before="0" w:beforeAutospacing="0" w:after="0" w:afterAutospacing="0" w:line="276" w:lineRule="auto"/>
        <w:ind w:firstLine="720"/>
        <w:jc w:val="both"/>
      </w:pPr>
      <w:r>
        <w:t xml:space="preserve">Līdz ar to </w:t>
      </w:r>
      <w:r w:rsidR="006068E9">
        <w:t>Senāts</w:t>
      </w:r>
      <w:r>
        <w:t xml:space="preserve"> atzīst, ka lietas izskatīšana mutvārdu procesā nav lietderīga.</w:t>
      </w:r>
    </w:p>
    <w:bookmarkEnd w:id="2"/>
    <w:p w14:paraId="6382B212" w14:textId="77777777" w:rsidR="006068E9" w:rsidRDefault="006068E9" w:rsidP="00042934">
      <w:pPr>
        <w:pStyle w:val="naiskr"/>
        <w:spacing w:before="0" w:beforeAutospacing="0" w:after="0" w:afterAutospacing="0" w:line="276" w:lineRule="auto"/>
        <w:ind w:firstLine="720"/>
        <w:jc w:val="both"/>
      </w:pPr>
    </w:p>
    <w:p w14:paraId="0696FE5D" w14:textId="51AEF766" w:rsidR="00EC1B67" w:rsidRDefault="006E22F0" w:rsidP="00042934">
      <w:pPr>
        <w:pStyle w:val="naiskr"/>
        <w:spacing w:before="0" w:beforeAutospacing="0" w:after="0" w:afterAutospacing="0" w:line="276" w:lineRule="auto"/>
        <w:ind w:firstLine="720"/>
        <w:jc w:val="both"/>
      </w:pPr>
      <w:r>
        <w:t>[</w:t>
      </w:r>
      <w:r w:rsidR="00BF0C7E">
        <w:t>7</w:t>
      </w:r>
      <w:r>
        <w:t>] </w:t>
      </w:r>
      <w:r w:rsidR="0081387E">
        <w:t>Kasācijas tiesvedības ietvaros noskaidrojams</w:t>
      </w:r>
      <w:r w:rsidR="00C22521" w:rsidRPr="00ED7624">
        <w:t xml:space="preserve">, vai </w:t>
      </w:r>
      <w:r w:rsidR="004D171E">
        <w:t xml:space="preserve">apgabaltiesa izskatāmā gadījuma noregulēšanai pamatoti piemērojusi Korekcijas koeficientu </w:t>
      </w:r>
      <w:r w:rsidR="00BE02C7">
        <w:t>aprēķināšanas</w:t>
      </w:r>
      <w:r w:rsidR="004D171E">
        <w:t xml:space="preserve"> noteikumu 17.punktu</w:t>
      </w:r>
      <w:r w:rsidR="00530F17">
        <w:t xml:space="preserve"> (</w:t>
      </w:r>
      <w:r w:rsidR="00530F17" w:rsidRPr="00530F17">
        <w:rPr>
          <w:i/>
          <w:iCs/>
        </w:rPr>
        <w:t>redakcijā, kas bija spēkā pārsūdzēto iestādes lēmumu pieņemšanas brīdī</w:t>
      </w:r>
      <w:r w:rsidR="00530F17">
        <w:t>)</w:t>
      </w:r>
      <w:r w:rsidR="004D171E">
        <w:t>.</w:t>
      </w:r>
    </w:p>
    <w:p w14:paraId="1E0F4FEB" w14:textId="10005D2D" w:rsidR="002B59CF" w:rsidRDefault="002B59CF" w:rsidP="00042934">
      <w:pPr>
        <w:pStyle w:val="naiskr"/>
        <w:spacing w:before="0" w:beforeAutospacing="0" w:after="0" w:afterAutospacing="0" w:line="276" w:lineRule="auto"/>
        <w:ind w:firstLine="720"/>
        <w:jc w:val="both"/>
      </w:pPr>
      <w:r>
        <w:t xml:space="preserve">17.1.apakšpunkts nosaka: ja </w:t>
      </w:r>
      <w:r w:rsidRPr="002B59CF">
        <w:rPr>
          <w:i/>
          <w:iCs/>
        </w:rPr>
        <w:t>komisija</w:t>
      </w:r>
      <w:r>
        <w:t xml:space="preserve"> piemēro korektīvos pasākumus bankām, kuras savā darbībā orientējas uz klientiem – nerezidentiem</w:t>
      </w:r>
      <w:r w:rsidR="00CC0B0A">
        <w:t> –</w:t>
      </w:r>
      <w:r w:rsidR="005A4231">
        <w:t>,</w:t>
      </w:r>
      <w:r>
        <w:t xml:space="preserve"> un nosaka pienākumu uzturēt augstāku pašu kapitāla līmeni, izmanto komisijas noteikto individuālo minimālā kapitāla pietiekamības rādītāja korekciju.</w:t>
      </w:r>
    </w:p>
    <w:p w14:paraId="204EE416" w14:textId="504FC19D" w:rsidR="002B59CF" w:rsidRDefault="002B59CF" w:rsidP="002B59CF">
      <w:pPr>
        <w:pStyle w:val="naiskr"/>
        <w:spacing w:before="0" w:beforeAutospacing="0" w:after="0" w:afterAutospacing="0" w:line="276" w:lineRule="auto"/>
        <w:ind w:firstLine="720"/>
        <w:jc w:val="both"/>
      </w:pPr>
      <w:r>
        <w:t xml:space="preserve">17.2.apakšpunkts nosaka: ja </w:t>
      </w:r>
      <w:r w:rsidRPr="002B59CF">
        <w:rPr>
          <w:i/>
          <w:iCs/>
        </w:rPr>
        <w:t xml:space="preserve">komisija </w:t>
      </w:r>
      <w:r>
        <w:t>piemēro korektīvos pasākumus bankām, kuras savā darbībā orientējas uz klientiem – nerezidentiem</w:t>
      </w:r>
      <w:r w:rsidR="00CC0B0A">
        <w:t> –</w:t>
      </w:r>
      <w:r w:rsidR="005A4231">
        <w:t>,</w:t>
      </w:r>
      <w:r>
        <w:t xml:space="preserve"> un nosaka pienākumu uzturēt augstāku likviditātes rādītāju, izmanto komisijas noteikto individuālo likviditātes rādītāja korekciju.</w:t>
      </w:r>
    </w:p>
    <w:p w14:paraId="4B010FEF" w14:textId="21384681" w:rsidR="00F95132" w:rsidRDefault="002B59CF" w:rsidP="00042934">
      <w:pPr>
        <w:pStyle w:val="naiskr"/>
        <w:spacing w:before="0" w:beforeAutospacing="0" w:after="0" w:afterAutospacing="0" w:line="276" w:lineRule="auto"/>
        <w:ind w:firstLine="720"/>
        <w:jc w:val="both"/>
      </w:pPr>
      <w:r>
        <w:t xml:space="preserve">Kasācijas sūdzībā norādīts, ka uz pieteicēju minētās tiesību normas nav attiecināmas, jo atbilstoši tām </w:t>
      </w:r>
      <w:r w:rsidR="00021950">
        <w:t xml:space="preserve">individuālo </w:t>
      </w:r>
      <w:r>
        <w:t xml:space="preserve">minimālā kapitāla pietiekamības un likviditātes rādītāju korekciju veic, ja attiecīgajai bankai korektīvos pasākums piemēro komisija, taču pieteicējai korektīvos pasākumus bija piemērojusi Eiropas Centrālā banka, kuras uzraudzībai pieteicēja bija pakļauta saskaņā ar </w:t>
      </w:r>
      <w:r w:rsidR="00AC0092">
        <w:t xml:space="preserve">Eiropas Savienības Padomes </w:t>
      </w:r>
      <w:proofErr w:type="gramStart"/>
      <w:r w:rsidR="00AC0092">
        <w:t>2013.gada</w:t>
      </w:r>
      <w:proofErr w:type="gramEnd"/>
      <w:r w:rsidR="00AC0092">
        <w:t xml:space="preserve"> 15.oktobra Regul</w:t>
      </w:r>
      <w:r w:rsidR="009B0AE3">
        <w:t>u</w:t>
      </w:r>
      <w:r w:rsidR="00AC0092">
        <w:t xml:space="preserve"> (ES) Nr.</w:t>
      </w:r>
      <w:r w:rsidR="009B0AE3">
        <w:t> </w:t>
      </w:r>
      <w:r w:rsidR="00AC0092">
        <w:t xml:space="preserve">1024/2013, ar ko Eiropas Centrālajai bankai uztic īpašus uzdevumus saistībā ar politikas nostādnēm, kas attiecas uz kredītiestāžu </w:t>
      </w:r>
      <w:proofErr w:type="spellStart"/>
      <w:r w:rsidR="00AC0092">
        <w:t>prudenciālo</w:t>
      </w:r>
      <w:proofErr w:type="spellEnd"/>
      <w:r w:rsidR="00AC0092">
        <w:t xml:space="preserve"> uzraudzību</w:t>
      </w:r>
      <w:r w:rsidR="009B0AE3" w:rsidRPr="009B0AE3">
        <w:t xml:space="preserve"> </w:t>
      </w:r>
      <w:r w:rsidR="009B0AE3">
        <w:t xml:space="preserve">(turpmāk – Kredītiestāžu </w:t>
      </w:r>
      <w:proofErr w:type="spellStart"/>
      <w:r w:rsidR="009B0AE3">
        <w:t>prudenciālās</w:t>
      </w:r>
      <w:proofErr w:type="spellEnd"/>
      <w:r w:rsidR="009B0AE3">
        <w:t xml:space="preserve"> uzraudzības regula). </w:t>
      </w:r>
      <w:r w:rsidR="00BD2EBF">
        <w:t xml:space="preserve">Kasācijas sūdzībā arī norādīts, ka </w:t>
      </w:r>
      <w:r w:rsidR="00F95132">
        <w:t>tiesa, atzīstot</w:t>
      </w:r>
      <w:r w:rsidR="00BD2EBF">
        <w:t xml:space="preserve"> pretējo, proti, to</w:t>
      </w:r>
      <w:r w:rsidR="00F95132">
        <w:t xml:space="preserve">, ka uz pieteicēju ir attiecināms Korekcijas koeficientu </w:t>
      </w:r>
      <w:r w:rsidR="00BE02C7">
        <w:t>aprēķināšanas</w:t>
      </w:r>
      <w:r w:rsidR="00F95132">
        <w:t xml:space="preserve"> noteikumu 17.punkts, ir piemērojusi tiesību </w:t>
      </w:r>
      <w:proofErr w:type="spellStart"/>
      <w:r w:rsidR="00F95132">
        <w:t>tālākveidošanas</w:t>
      </w:r>
      <w:proofErr w:type="spellEnd"/>
      <w:r w:rsidR="00F95132">
        <w:t xml:space="preserve"> metodi – analoģiju –, taču</w:t>
      </w:r>
      <w:r w:rsidR="00BD2EBF">
        <w:t>, kā uzskata pieteicēja,</w:t>
      </w:r>
      <w:r w:rsidR="00F95132">
        <w:t xml:space="preserve"> atbilstoši Administratīvā procesa likuma 17.panta otrajai daļai un likuma atrunas principam nelabvēlīg</w:t>
      </w:r>
      <w:r w:rsidR="00021950">
        <w:t>o</w:t>
      </w:r>
      <w:r w:rsidR="00F95132">
        <w:t xml:space="preserve"> administratīv</w:t>
      </w:r>
      <w:r w:rsidR="00021950">
        <w:t>o</w:t>
      </w:r>
      <w:r w:rsidR="00F95132">
        <w:t xml:space="preserve"> akt</w:t>
      </w:r>
      <w:r w:rsidR="00021950">
        <w:t xml:space="preserve">u gadījumos </w:t>
      </w:r>
      <w:r w:rsidR="00F95132">
        <w:t>analoģija nav piemērojama.</w:t>
      </w:r>
    </w:p>
    <w:p w14:paraId="4B9CA6E7" w14:textId="77777777" w:rsidR="00F95132" w:rsidRDefault="00F95132" w:rsidP="00042934">
      <w:pPr>
        <w:pStyle w:val="naiskr"/>
        <w:spacing w:before="0" w:beforeAutospacing="0" w:after="0" w:afterAutospacing="0" w:line="276" w:lineRule="auto"/>
        <w:ind w:firstLine="720"/>
        <w:jc w:val="both"/>
      </w:pPr>
    </w:p>
    <w:p w14:paraId="53978D3D" w14:textId="3B30F4B7" w:rsidR="00BD2EBF" w:rsidRDefault="00EC1B67" w:rsidP="00042934">
      <w:pPr>
        <w:pStyle w:val="naiskr"/>
        <w:spacing w:before="0" w:beforeAutospacing="0" w:after="0" w:afterAutospacing="0" w:line="276" w:lineRule="auto"/>
        <w:ind w:firstLine="720"/>
        <w:jc w:val="both"/>
      </w:pPr>
      <w:r>
        <w:t>[</w:t>
      </w:r>
      <w:r w:rsidR="00BF0C7E">
        <w:t>8</w:t>
      </w:r>
      <w:r>
        <w:t>] </w:t>
      </w:r>
      <w:r w:rsidR="00C21024">
        <w:t xml:space="preserve">Tiesību normu piemērošana nav iespējama bez tiesību normas satura noskaidrošanas. Tiesību normas saturs ir noskaidrojams, iztulkojot tiesību normu. </w:t>
      </w:r>
      <w:r w:rsidR="00F3624C">
        <w:t xml:space="preserve">Ja iztulkošanas rezultātā tiesību normu piemērotājs noskaidro, ka rakstītā tiesību norma neatbilst ne likumdevēja mērķim, ne tiesību sistēmas mērķim kopumā, lai atrisinātu konkrētu lietu, jāpielieto nākamā juridiskā metode – tiesību </w:t>
      </w:r>
      <w:proofErr w:type="spellStart"/>
      <w:r w:rsidR="00F3624C">
        <w:t>tālākveidošana</w:t>
      </w:r>
      <w:proofErr w:type="spellEnd"/>
      <w:r w:rsidR="007B1B97">
        <w:t xml:space="preserve"> (</w:t>
      </w:r>
      <w:r w:rsidR="00BB231F" w:rsidRPr="009F06FD">
        <w:rPr>
          <w:i/>
        </w:rPr>
        <w:t xml:space="preserve">Rezevska D. </w:t>
      </w:r>
      <w:proofErr w:type="gramStart"/>
      <w:r w:rsidR="00BB231F" w:rsidRPr="009F06FD">
        <w:rPr>
          <w:i/>
        </w:rPr>
        <w:t>1</w:t>
      </w:r>
      <w:r w:rsidR="00BB231F">
        <w:rPr>
          <w:i/>
        </w:rPr>
        <w:t>7</w:t>
      </w:r>
      <w:r w:rsidR="00BB231F" w:rsidRPr="009F06FD">
        <w:rPr>
          <w:i/>
        </w:rPr>
        <w:t>.panta</w:t>
      </w:r>
      <w:proofErr w:type="gramEnd"/>
      <w:r w:rsidR="00BB231F" w:rsidRPr="009F06FD">
        <w:rPr>
          <w:i/>
        </w:rPr>
        <w:t xml:space="preserve"> komentārs. </w:t>
      </w:r>
      <w:proofErr w:type="spellStart"/>
      <w:r w:rsidR="00BB231F" w:rsidRPr="009F06FD">
        <w:rPr>
          <w:i/>
        </w:rPr>
        <w:t>Grām</w:t>
      </w:r>
      <w:proofErr w:type="spellEnd"/>
      <w:r w:rsidR="00BB231F" w:rsidRPr="009F06FD">
        <w:rPr>
          <w:i/>
        </w:rPr>
        <w:t>.: Administratīvā procesa likuma komentāri. A un B daļa. Briede J. (</w:t>
      </w:r>
      <w:proofErr w:type="spellStart"/>
      <w:r w:rsidR="00BB231F" w:rsidRPr="009F06FD">
        <w:rPr>
          <w:i/>
        </w:rPr>
        <w:t>Zin</w:t>
      </w:r>
      <w:proofErr w:type="spellEnd"/>
      <w:r w:rsidR="00BB231F" w:rsidRPr="009F06FD">
        <w:rPr>
          <w:i/>
        </w:rPr>
        <w:t>. red.) Rīga: Tiesu namu aģentūra, 2013, 2</w:t>
      </w:r>
      <w:r w:rsidR="00BB231F">
        <w:rPr>
          <w:i/>
        </w:rPr>
        <w:t>73.</w:t>
      </w:r>
      <w:r w:rsidR="00BB231F" w:rsidRPr="009F06FD">
        <w:rPr>
          <w:i/>
        </w:rPr>
        <w:t>lpp</w:t>
      </w:r>
      <w:r w:rsidR="00BB231F">
        <w:t>.</w:t>
      </w:r>
      <w:r w:rsidR="007B1B97">
        <w:t>)</w:t>
      </w:r>
      <w:r w:rsidR="00C21024">
        <w:t xml:space="preserve">. </w:t>
      </w:r>
      <w:r w:rsidR="00841245">
        <w:t xml:space="preserve">Tiesību </w:t>
      </w:r>
      <w:proofErr w:type="spellStart"/>
      <w:r w:rsidR="00841245">
        <w:t>tālkveidošanas</w:t>
      </w:r>
      <w:proofErr w:type="spellEnd"/>
      <w:r w:rsidR="00841245">
        <w:t xml:space="preserve"> metode – analoģija – sākas tur, kur beidzas paplašinātās iztulkošanas iespējas (</w:t>
      </w:r>
      <w:r w:rsidR="00BB231F" w:rsidRPr="00BF0C7E">
        <w:rPr>
          <w:i/>
          <w:iCs/>
        </w:rPr>
        <w:t>turpat</w:t>
      </w:r>
      <w:r w:rsidR="00841245">
        <w:t xml:space="preserve">). </w:t>
      </w:r>
    </w:p>
    <w:p w14:paraId="36F8676E" w14:textId="0FC53378" w:rsidR="008555D3" w:rsidRDefault="00396277" w:rsidP="00042934">
      <w:pPr>
        <w:pStyle w:val="naiskr"/>
        <w:spacing w:before="0" w:beforeAutospacing="0" w:after="0" w:afterAutospacing="0" w:line="276" w:lineRule="auto"/>
        <w:ind w:firstLine="720"/>
        <w:jc w:val="both"/>
      </w:pPr>
      <w:r>
        <w:t xml:space="preserve">Tātad, piemērojot tiesību normu, vispirms tiesību norma tiek iztulkota jeb interpretēta. Tikai tad, ja šīs juridiskās metodes </w:t>
      </w:r>
      <w:r w:rsidR="00216243">
        <w:t xml:space="preserve">piemērošanas </w:t>
      </w:r>
      <w:r>
        <w:t>rezultātā tiek konstatēta tāda nepilnība, kas ir pretēja tam, ko likumdevējs gribēja</w:t>
      </w:r>
      <w:r w:rsidR="00216243">
        <w:t xml:space="preserve"> paredzēt likumā</w:t>
      </w:r>
      <w:r>
        <w:t>, vai tam, ka</w:t>
      </w:r>
      <w:r w:rsidR="004C2038">
        <w:t>s</w:t>
      </w:r>
      <w:r>
        <w:t xml:space="preserve"> likumā būtu bijis jā</w:t>
      </w:r>
      <w:r w:rsidR="004C2038">
        <w:t>paredz</w:t>
      </w:r>
      <w:r>
        <w:t xml:space="preserve"> (likuma iekšējiem mērķiem), tiek pielietota t</w:t>
      </w:r>
      <w:r w:rsidR="00F95132">
        <w:t xml:space="preserve">iesību </w:t>
      </w:r>
      <w:proofErr w:type="spellStart"/>
      <w:r w:rsidR="00F95132">
        <w:t>tālākveidošana</w:t>
      </w:r>
      <w:proofErr w:type="spellEnd"/>
      <w:r>
        <w:t xml:space="preserve">, jo šīs juridiskās metodes </w:t>
      </w:r>
      <w:r w:rsidR="00F95132">
        <w:lastRenderedPageBreak/>
        <w:t>pielietošanas priekšnosacījums ir likuma nepilnības jeb roba pastāvēšana</w:t>
      </w:r>
      <w:r w:rsidR="00216243">
        <w:t>. P</w:t>
      </w:r>
      <w:r w:rsidR="00EC1B67">
        <w:t>ar likuma robu uzskatāma tikai tāda nepilnība, kas ir pretēja likumdevēja sākotnējam plānam vai paša likuma teleoloģijai (</w:t>
      </w:r>
      <w:r w:rsidR="00EC1B67" w:rsidRPr="00BF0C7E">
        <w:rPr>
          <w:i/>
          <w:iCs/>
        </w:rPr>
        <w:t>Rezevska</w:t>
      </w:r>
      <w:r w:rsidR="00BF0C7E" w:rsidRPr="00BF0C7E">
        <w:rPr>
          <w:i/>
          <w:iCs/>
        </w:rPr>
        <w:t xml:space="preserve"> D. Vispārējo tiesību principu nozīme un piemērošana. Rīga: Daigas Rezevskas izdevums, 2015,</w:t>
      </w:r>
      <w:r w:rsidR="00EC1B67" w:rsidRPr="00BF0C7E">
        <w:rPr>
          <w:i/>
          <w:iCs/>
        </w:rPr>
        <w:t xml:space="preserve"> 130</w:t>
      </w:r>
      <w:r w:rsidR="00BF0C7E" w:rsidRPr="00BF0C7E">
        <w:rPr>
          <w:i/>
          <w:iCs/>
        </w:rPr>
        <w:t>.lpp.</w:t>
      </w:r>
      <w:r w:rsidR="00EC1B67">
        <w:t xml:space="preserve">). </w:t>
      </w:r>
    </w:p>
    <w:p w14:paraId="1B2D2CC2" w14:textId="2F1AD4B0" w:rsidR="00BD2EBF" w:rsidRDefault="00BD2EBF" w:rsidP="00042934">
      <w:pPr>
        <w:pStyle w:val="naiskr"/>
        <w:spacing w:before="0" w:beforeAutospacing="0" w:after="0" w:afterAutospacing="0" w:line="276" w:lineRule="auto"/>
        <w:ind w:firstLine="720"/>
        <w:jc w:val="both"/>
      </w:pPr>
    </w:p>
    <w:p w14:paraId="335E1EFB" w14:textId="2F367717" w:rsidR="00BD2EBF" w:rsidRDefault="00BD2EBF" w:rsidP="00042934">
      <w:pPr>
        <w:pStyle w:val="naiskr"/>
        <w:spacing w:before="0" w:beforeAutospacing="0" w:after="0" w:afterAutospacing="0" w:line="276" w:lineRule="auto"/>
        <w:ind w:firstLine="720"/>
        <w:jc w:val="both"/>
      </w:pPr>
      <w:r w:rsidRPr="00CC0B0A">
        <w:t>[</w:t>
      </w:r>
      <w:r w:rsidR="00BF0C7E" w:rsidRPr="00CC0B0A">
        <w:t>9</w:t>
      </w:r>
      <w:r w:rsidRPr="00CC0B0A">
        <w:t>] </w:t>
      </w:r>
      <w:r w:rsidR="006758E3" w:rsidRPr="00CC0B0A">
        <w:t>Tiesību teorijā ir atzītas četras tiesību normu interpretācijas pamatme</w:t>
      </w:r>
      <w:r w:rsidR="00DA03B5" w:rsidRPr="00CC0B0A">
        <w:t>t</w:t>
      </w:r>
      <w:r w:rsidR="006758E3" w:rsidRPr="00CC0B0A">
        <w:t>o</w:t>
      </w:r>
      <w:r w:rsidR="00DA03B5" w:rsidRPr="00CC0B0A">
        <w:t>d</w:t>
      </w:r>
      <w:r w:rsidR="006758E3" w:rsidRPr="00CC0B0A">
        <w:t>es: gramatiskā</w:t>
      </w:r>
      <w:r w:rsidR="00DA03B5" w:rsidRPr="00CC0B0A">
        <w:t xml:space="preserve"> (filoloģiskā)</w:t>
      </w:r>
      <w:r w:rsidR="006758E3" w:rsidRPr="00CC0B0A">
        <w:t>, vēsturiskā, sistēmiskā un teleoloģiskā.</w:t>
      </w:r>
      <w:r w:rsidR="006758E3">
        <w:t xml:space="preserve"> </w:t>
      </w:r>
      <w:r w:rsidR="00DA03B5">
        <w:t xml:space="preserve">Tās ir iekļautas arī </w:t>
      </w:r>
      <w:r>
        <w:t xml:space="preserve">Administratīvā procesa likuma </w:t>
      </w:r>
      <w:proofErr w:type="gramStart"/>
      <w:r>
        <w:t>17.panta</w:t>
      </w:r>
      <w:proofErr w:type="gramEnd"/>
      <w:r>
        <w:t xml:space="preserve"> pirm</w:t>
      </w:r>
      <w:r w:rsidR="00DA03B5">
        <w:t>aj</w:t>
      </w:r>
      <w:r>
        <w:t>ā daļ</w:t>
      </w:r>
      <w:r w:rsidR="00DA03B5">
        <w:t>ā</w:t>
      </w:r>
      <w:r>
        <w:t>.</w:t>
      </w:r>
    </w:p>
    <w:p w14:paraId="3E976EBB" w14:textId="77777777" w:rsidR="00216243" w:rsidRDefault="00BD2EBF" w:rsidP="00B46E57">
      <w:pPr>
        <w:pStyle w:val="naiskr"/>
        <w:spacing w:before="0" w:beforeAutospacing="0" w:after="0" w:afterAutospacing="0" w:line="276" w:lineRule="auto"/>
        <w:ind w:firstLine="720"/>
        <w:jc w:val="both"/>
      </w:pPr>
      <w:r>
        <w:t xml:space="preserve">Pieteicēja, vērtējot, vai izskatāmajā gadījumā ir piemērojams Korekcijas koeficientu </w:t>
      </w:r>
      <w:r w:rsidR="00BE02C7">
        <w:t>aprēķināšanas</w:t>
      </w:r>
      <w:r>
        <w:t xml:space="preserve"> noteikumu 17.punkts, izmanto tikai tiesību normas gramatisko jeb filoloģisko interpretācijas metodi, </w:t>
      </w:r>
      <w:r w:rsidR="00C138B0">
        <w:t>saskaņā ar kuru</w:t>
      </w:r>
      <w:r>
        <w:t xml:space="preserve"> tiesību normas jēga tiek noskaidrota no valodnieciskā viedokļa. Tā rezultātā pieteicēja uzmanību un nozīmi pievērš vienīgi tam, ka minētajā normā kā iestāde, kas bankai piemēro korektīvos pasākumus, norādīta komisija. </w:t>
      </w:r>
    </w:p>
    <w:p w14:paraId="41BC4643" w14:textId="275F6C91" w:rsidR="00003D61" w:rsidRDefault="00BD2EBF" w:rsidP="00003D61">
      <w:pPr>
        <w:pStyle w:val="naiskr"/>
        <w:spacing w:before="0" w:beforeAutospacing="0" w:after="0" w:afterAutospacing="0" w:line="276" w:lineRule="auto"/>
        <w:ind w:firstLine="720"/>
        <w:jc w:val="both"/>
      </w:pPr>
      <w:r>
        <w:t xml:space="preserve">Taču, lai </w:t>
      </w:r>
      <w:r w:rsidR="00365BAE">
        <w:t xml:space="preserve">pareizi piemērotu tiesību normu, </w:t>
      </w:r>
      <w:r>
        <w:t>noskaidro</w:t>
      </w:r>
      <w:r w:rsidR="00365BAE">
        <w:t>jot</w:t>
      </w:r>
      <w:r>
        <w:t xml:space="preserve"> t</w:t>
      </w:r>
      <w:r w:rsidR="00216243">
        <w:t>ās</w:t>
      </w:r>
      <w:r>
        <w:t xml:space="preserve"> </w:t>
      </w:r>
      <w:r w:rsidR="00C138B0">
        <w:t xml:space="preserve">jēgu, </w:t>
      </w:r>
      <w:r w:rsidR="00530F17">
        <w:t xml:space="preserve">nepieciešams pēc būtības vērtēt </w:t>
      </w:r>
      <w:r w:rsidR="00C138B0">
        <w:t xml:space="preserve">tiesību normas </w:t>
      </w:r>
      <w:r>
        <w:t>patieso saturu</w:t>
      </w:r>
      <w:r w:rsidR="00C138B0">
        <w:t xml:space="preserve">, </w:t>
      </w:r>
      <w:r w:rsidR="00365BAE">
        <w:t xml:space="preserve">identificējot </w:t>
      </w:r>
      <w:r w:rsidR="00C138B0">
        <w:t>mērķi, kura sasniegšanai konkrētā tiesību norma ir paredzēta. Tieši tā ir rīkojusies arī apgabaltiesa, piemērojot ne vien gramatisko, bet arī teleoloģisko un sistēmisko interpretācijas metodi. Tā rezultātā apgabaltiesa</w:t>
      </w:r>
      <w:r w:rsidR="00216243">
        <w:t>,</w:t>
      </w:r>
      <w:r w:rsidR="00306F5B">
        <w:t xml:space="preserve"> Korekcijas koeficientu </w:t>
      </w:r>
      <w:r w:rsidR="00BE02C7">
        <w:t xml:space="preserve">aprēķināšanas </w:t>
      </w:r>
      <w:r w:rsidR="00306F5B">
        <w:t xml:space="preserve">noteikumu 12.punktu un 2.pielikumā </w:t>
      </w:r>
      <w:r w:rsidR="00216243">
        <w:t xml:space="preserve">paredzēto </w:t>
      </w:r>
      <w:r w:rsidR="00306F5B">
        <w:t xml:space="preserve">formulu </w:t>
      </w:r>
      <w:r w:rsidR="00216243">
        <w:t xml:space="preserve">ar </w:t>
      </w:r>
      <w:r w:rsidR="00306F5B">
        <w:t xml:space="preserve">tajā iekļautajiem </w:t>
      </w:r>
      <w:r w:rsidR="00530F17">
        <w:t>apstrīdētajiem korekcijas</w:t>
      </w:r>
      <w:r w:rsidR="00365BAE">
        <w:t xml:space="preserve"> rādītāj</w:t>
      </w:r>
      <w:r w:rsidR="00306F5B">
        <w:t xml:space="preserve">iem </w:t>
      </w:r>
      <w:r w:rsidR="00216243">
        <w:t xml:space="preserve">piemērojot </w:t>
      </w:r>
      <w:r w:rsidR="00306F5B">
        <w:t xml:space="preserve">kopsakarā ar Noguldījumu garantiju likuma </w:t>
      </w:r>
      <w:proofErr w:type="gramStart"/>
      <w:r w:rsidR="00306F5B">
        <w:t>8.panta</w:t>
      </w:r>
      <w:proofErr w:type="gramEnd"/>
      <w:r w:rsidR="00306F5B">
        <w:t xml:space="preserve"> trešo daļu,</w:t>
      </w:r>
      <w:r w:rsidR="00C138B0">
        <w:t xml:space="preserve"> atz</w:t>
      </w:r>
      <w:r w:rsidR="00216243">
        <w:t>inusi</w:t>
      </w:r>
      <w:r w:rsidR="0013523F">
        <w:t xml:space="preserve">, ka </w:t>
      </w:r>
      <w:r w:rsidR="00306F5B">
        <w:t xml:space="preserve">tiesību normas skaidri paredzēja, ka, nosakot jebkurai </w:t>
      </w:r>
      <w:r w:rsidR="00306F5B" w:rsidRPr="00CC0B0A">
        <w:t>bankai</w:t>
      </w:r>
      <w:r w:rsidR="008D1D9A" w:rsidRPr="00CC0B0A">
        <w:t>,</w:t>
      </w:r>
      <w:r w:rsidR="00306F5B" w:rsidRPr="00CC0B0A">
        <w:t xml:space="preserve"> </w:t>
      </w:r>
      <w:r w:rsidR="008D1D9A" w:rsidRPr="00CC0B0A">
        <w:t xml:space="preserve">kurai ir piemēroti korektīvie pasākumi, </w:t>
      </w:r>
      <w:r w:rsidR="00306F5B" w:rsidRPr="00CC0B0A">
        <w:t>piemērojamo</w:t>
      </w:r>
      <w:r w:rsidR="00306F5B">
        <w:t xml:space="preserve"> korekcijas koeficientu, tiek ņemti vērā arī</w:t>
      </w:r>
      <w:r w:rsidR="00AC0092">
        <w:t xml:space="preserve"> apstrīdēt</w:t>
      </w:r>
      <w:r w:rsidR="00530F17">
        <w:t>ie</w:t>
      </w:r>
      <w:r w:rsidR="00AC0092">
        <w:t xml:space="preserve"> korekcijas</w:t>
      </w:r>
      <w:r w:rsidR="00306F5B">
        <w:t xml:space="preserve"> rādītāji. Savukārt Korekcijas koeficientu </w:t>
      </w:r>
      <w:r w:rsidR="00BE02C7">
        <w:t xml:space="preserve">aprēķināšanas </w:t>
      </w:r>
      <w:r w:rsidR="00306F5B">
        <w:t xml:space="preserve">noteikumu 2.pielikumu </w:t>
      </w:r>
      <w:r w:rsidR="00216243">
        <w:t xml:space="preserve">piemērojot </w:t>
      </w:r>
      <w:r w:rsidR="00306F5B">
        <w:t xml:space="preserve">kopsakarā ar šo noteikumu 17.punktu, apgabaltiesa atzinusi, ka </w:t>
      </w:r>
      <w:r w:rsidR="0013523F">
        <w:t xml:space="preserve">komisijas mērķis nebija </w:t>
      </w:r>
      <w:r w:rsidR="00AC0092">
        <w:t>apstrīdēto</w:t>
      </w:r>
      <w:r w:rsidR="00530F17">
        <w:t>s</w:t>
      </w:r>
      <w:r w:rsidR="00AC0092">
        <w:t xml:space="preserve"> korekcijas</w:t>
      </w:r>
      <w:r w:rsidR="00935DD4">
        <w:t xml:space="preserve"> </w:t>
      </w:r>
      <w:r w:rsidR="0013523F">
        <w:t>rādītāju</w:t>
      </w:r>
      <w:r w:rsidR="00530F17">
        <w:t>s nepiemērot tām</w:t>
      </w:r>
      <w:r w:rsidR="0013523F">
        <w:t xml:space="preserve"> bankām, kas ir Eiropas Centrālās bankas uzraudzībā. Komisijas mērķis nebija arī noteikt, ka bankām, kurām Eiropas Centrālā banka ir piemērojusi </w:t>
      </w:r>
      <w:r w:rsidR="00B46E57">
        <w:t xml:space="preserve">korektīvos pasākumus, kā </w:t>
      </w:r>
      <w:r w:rsidR="00AC0092">
        <w:t xml:space="preserve">apstrīdēto korekcijas </w:t>
      </w:r>
      <w:r w:rsidR="00B46E57">
        <w:t xml:space="preserve">rādītāju vērtība būtu izmantojama 0, proti, tāda vērtība, kas ir piemērojama bankām, kuras ir komisijas uzraudzībā, bet kurām komisija nav piemērojusi korektīvos pasākumus. </w:t>
      </w:r>
      <w:r w:rsidR="00003D61">
        <w:t xml:space="preserve">Turklāt apgabaltiesa Korekcijas koeficientu </w:t>
      </w:r>
      <w:r w:rsidR="00BE02C7">
        <w:t>aprēķināšanas</w:t>
      </w:r>
      <w:r w:rsidR="00003D61">
        <w:t xml:space="preserve"> noteikumus ir interpretējusi arī </w:t>
      </w:r>
      <w:r w:rsidR="00216243">
        <w:t>kopsakarā ar</w:t>
      </w:r>
      <w:r w:rsidR="00003D61">
        <w:t xml:space="preserve"> Eiropas Savienības tiesību normām, piemērojot Noguldījumu garantiju direktīvas un Pamatnostādņu normas. Tā rezultātā apgabal</w:t>
      </w:r>
      <w:r w:rsidR="00D91F60">
        <w:t xml:space="preserve">tiesa atzinusi, ka arī </w:t>
      </w:r>
      <w:r w:rsidR="00003D61">
        <w:t xml:space="preserve">Eiropas Savienības tiesību normas </w:t>
      </w:r>
      <w:r w:rsidR="00B46E57">
        <w:t xml:space="preserve">neprasa, lai Korekcijas koeficientu </w:t>
      </w:r>
      <w:r w:rsidR="00BE02C7">
        <w:t>aprēķināšanas</w:t>
      </w:r>
      <w:r w:rsidR="00B46E57">
        <w:t xml:space="preserve"> noteikumi tiktu interpretēti</w:t>
      </w:r>
      <w:r w:rsidR="00003D61">
        <w:t xml:space="preserve"> tā, ka, </w:t>
      </w:r>
      <w:r w:rsidR="00216243">
        <w:t>nosakot</w:t>
      </w:r>
      <w:r w:rsidR="00003D61">
        <w:t xml:space="preserve"> bankām korekcijas koeficientu, no aprēķiniem tiek izslēgti </w:t>
      </w:r>
      <w:r w:rsidR="00AC0092">
        <w:t xml:space="preserve">apstrīdētie korekcijas </w:t>
      </w:r>
      <w:r w:rsidR="00003D61">
        <w:t xml:space="preserve">rādītāji, ja bankai korektīvos pasākumus ir noteikusi Eiropas Centrālā banka. Apgabaltiesa arī ņēmusi vērā, ka </w:t>
      </w:r>
      <w:r w:rsidR="00B46E57">
        <w:t xml:space="preserve">Korekcijas koeficientu </w:t>
      </w:r>
      <w:r w:rsidR="00BE02C7">
        <w:t>aprēķināšanas</w:t>
      </w:r>
      <w:r w:rsidR="00B46E57">
        <w:t xml:space="preserve"> noteikumu 2.pielikumā</w:t>
      </w:r>
      <w:r w:rsidR="00003D61">
        <w:t xml:space="preserve"> </w:t>
      </w:r>
      <w:r w:rsidR="00D91F60">
        <w:t>paredzēt</w:t>
      </w:r>
      <w:r w:rsidR="00530F17">
        <w:t>ajos aprēķinos</w:t>
      </w:r>
      <w:r w:rsidR="00216243">
        <w:t xml:space="preserve"> </w:t>
      </w:r>
      <w:r w:rsidR="00D91F60">
        <w:t xml:space="preserve">nav </w:t>
      </w:r>
      <w:r w:rsidR="00003D61">
        <w:t xml:space="preserve">noteikts, kas bankai ir piemērojis </w:t>
      </w:r>
      <w:r w:rsidR="00D91F60">
        <w:t>korek</w:t>
      </w:r>
      <w:r w:rsidR="00003D61">
        <w:t xml:space="preserve">tīvos pasākumus, proti, </w:t>
      </w:r>
      <w:r w:rsidR="00D91F60">
        <w:t xml:space="preserve">komisija vai Eiropas Centrālā banka. </w:t>
      </w:r>
    </w:p>
    <w:p w14:paraId="62147E04" w14:textId="40645A6E" w:rsidR="00530F17" w:rsidRDefault="001A48FF" w:rsidP="00003D61">
      <w:pPr>
        <w:pStyle w:val="naiskr"/>
        <w:spacing w:before="0" w:beforeAutospacing="0" w:after="0" w:afterAutospacing="0" w:line="276" w:lineRule="auto"/>
        <w:ind w:firstLine="720"/>
        <w:jc w:val="both"/>
      </w:pPr>
      <w:r>
        <w:t>Minēt</w:t>
      </w:r>
      <w:r w:rsidR="00216243">
        <w:t>ās</w:t>
      </w:r>
      <w:r w:rsidR="00003D61">
        <w:t xml:space="preserve"> i</w:t>
      </w:r>
      <w:r>
        <w:t xml:space="preserve">nterpretācijas </w:t>
      </w:r>
      <w:r w:rsidR="00D91F60">
        <w:t xml:space="preserve">rezultātā </w:t>
      </w:r>
      <w:r w:rsidR="00003D61">
        <w:t>apgabal</w:t>
      </w:r>
      <w:r w:rsidR="00D91F60">
        <w:t>tiesa atzinusi, ka izskatām</w:t>
      </w:r>
      <w:r>
        <w:t>o</w:t>
      </w:r>
      <w:r w:rsidR="00D91F60">
        <w:t xml:space="preserve"> gadījum</w:t>
      </w:r>
      <w:r>
        <w:t xml:space="preserve">u noregulē </w:t>
      </w:r>
      <w:r w:rsidR="00D91F60">
        <w:t xml:space="preserve">Korekcijas koeficientu </w:t>
      </w:r>
      <w:r w:rsidR="00BE02C7">
        <w:t>aprēķināšanas</w:t>
      </w:r>
      <w:r w:rsidR="00D91F60">
        <w:t xml:space="preserve"> noteikumu 17.punkta tiesību normas</w:t>
      </w:r>
      <w:r w:rsidR="00530F17">
        <w:t>. P</w:t>
      </w:r>
      <w:r w:rsidR="00003D61">
        <w:t xml:space="preserve">roti, lai arī pieteicējai korektīvos pasākumus ir </w:t>
      </w:r>
      <w:r w:rsidR="00935DD4">
        <w:t>piemērojusi</w:t>
      </w:r>
      <w:r w:rsidR="00003D61">
        <w:t xml:space="preserve"> Eiropas Centrālā banka, </w:t>
      </w:r>
      <w:r w:rsidR="004C2038">
        <w:t xml:space="preserve">komisijai, </w:t>
      </w:r>
      <w:r w:rsidR="00003D61">
        <w:t xml:space="preserve">nosakot </w:t>
      </w:r>
      <w:r w:rsidR="004C2038">
        <w:t xml:space="preserve">pieteicējai </w:t>
      </w:r>
      <w:r w:rsidR="00003D61">
        <w:t>noguldījumu garantiju fondā veicamā maksājuma korekciju</w:t>
      </w:r>
      <w:r w:rsidR="004C2038">
        <w:t>,</w:t>
      </w:r>
      <w:r w:rsidR="002E0CAA">
        <w:t xml:space="preserve"> bija pamats </w:t>
      </w:r>
      <w:r w:rsidR="00003D61">
        <w:t>ņem</w:t>
      </w:r>
      <w:r w:rsidR="002E0CAA">
        <w:t>t</w:t>
      </w:r>
      <w:r w:rsidR="00003D61">
        <w:t xml:space="preserve"> vērā Korekcijas koeficientu </w:t>
      </w:r>
      <w:r w:rsidR="00BE02C7">
        <w:t xml:space="preserve">aprēķināšanas </w:t>
      </w:r>
      <w:r w:rsidR="00003D61">
        <w:t>noteikumu 17.punktā paredzēt</w:t>
      </w:r>
      <w:r w:rsidR="002E0CAA">
        <w:t>os</w:t>
      </w:r>
      <w:r w:rsidR="00003D61">
        <w:t xml:space="preserve"> </w:t>
      </w:r>
      <w:r w:rsidR="00AC0092">
        <w:t xml:space="preserve">apstrīdētos korekcijas </w:t>
      </w:r>
      <w:r w:rsidR="00003D61">
        <w:t>rādītāj</w:t>
      </w:r>
      <w:r w:rsidR="002E0CAA">
        <w:t>us</w:t>
      </w:r>
      <w:r w:rsidR="00003D61">
        <w:t>.</w:t>
      </w:r>
      <w:r w:rsidR="00D91F60">
        <w:t xml:space="preserve"> </w:t>
      </w:r>
      <w:r w:rsidR="00530F17">
        <w:t>Līdz ar to likuma atrunas princips nav pārkāpts.</w:t>
      </w:r>
    </w:p>
    <w:p w14:paraId="4EA5E1A5" w14:textId="77777777" w:rsidR="00216243" w:rsidRDefault="00D91F60" w:rsidP="00003D61">
      <w:pPr>
        <w:pStyle w:val="naiskr"/>
        <w:spacing w:before="0" w:beforeAutospacing="0" w:after="0" w:afterAutospacing="0" w:line="276" w:lineRule="auto"/>
        <w:ind w:firstLine="720"/>
        <w:jc w:val="both"/>
      </w:pPr>
      <w:r>
        <w:t xml:space="preserve">Senāts </w:t>
      </w:r>
      <w:r w:rsidR="00FA3690">
        <w:t xml:space="preserve">saskaņā ar Administratīvā procesa likuma </w:t>
      </w:r>
      <w:proofErr w:type="gramStart"/>
      <w:r w:rsidR="00FA3690">
        <w:t>349.panta</w:t>
      </w:r>
      <w:proofErr w:type="gramEnd"/>
      <w:r w:rsidR="00FA3690">
        <w:t xml:space="preserve"> ceturto daļu pievienojas apgabaltiesas sprieduma argumentie</w:t>
      </w:r>
      <w:r w:rsidR="00AB3E51">
        <w:t>m, jo tie ir pamatoti</w:t>
      </w:r>
      <w:r w:rsidR="00216243">
        <w:t>.</w:t>
      </w:r>
    </w:p>
    <w:p w14:paraId="70BC6CCB" w14:textId="560A2D23" w:rsidR="00FA3690" w:rsidRDefault="00FA3690" w:rsidP="00B46E57">
      <w:pPr>
        <w:pStyle w:val="naiskr"/>
        <w:spacing w:before="0" w:beforeAutospacing="0" w:after="0" w:afterAutospacing="0" w:line="276" w:lineRule="auto"/>
        <w:ind w:firstLine="720"/>
        <w:jc w:val="both"/>
      </w:pPr>
    </w:p>
    <w:p w14:paraId="433F38EE" w14:textId="0BFB1F56" w:rsidR="00B46E57" w:rsidRDefault="00A015BC" w:rsidP="00B46E57">
      <w:pPr>
        <w:pStyle w:val="naiskr"/>
        <w:spacing w:before="0" w:beforeAutospacing="0" w:after="0" w:afterAutospacing="0" w:line="276" w:lineRule="auto"/>
        <w:ind w:firstLine="720"/>
        <w:jc w:val="both"/>
      </w:pPr>
      <w:r>
        <w:t>[</w:t>
      </w:r>
      <w:r w:rsidR="00BF0C7E">
        <w:t>10</w:t>
      </w:r>
      <w:r>
        <w:t>] </w:t>
      </w:r>
      <w:r w:rsidR="00D91F60">
        <w:t xml:space="preserve">Papildus, </w:t>
      </w:r>
      <w:r w:rsidR="00935DD4">
        <w:t>vērtējot</w:t>
      </w:r>
      <w:r w:rsidR="00D91F60">
        <w:t xml:space="preserve"> kasācijas sūdzības argument</w:t>
      </w:r>
      <w:r w:rsidR="002E0CAA">
        <w:t xml:space="preserve">u, ka Korekcijas koeficientu </w:t>
      </w:r>
      <w:r w:rsidR="00BE02C7">
        <w:t xml:space="preserve">aprēķināšanas </w:t>
      </w:r>
      <w:r w:rsidR="002E0CAA">
        <w:t xml:space="preserve">noteikumu 17.punktu nedrīkst tulkot paplašināti, attiecinot to arī uz bankām, kurām korektīvos pasākumus ir noteikusi Eiropas Centrālā banka, </w:t>
      </w:r>
      <w:r w:rsidR="00D91F60">
        <w:t xml:space="preserve">Senāts </w:t>
      </w:r>
      <w:r w:rsidR="00935DD4">
        <w:t>ņem vērā</w:t>
      </w:r>
      <w:r w:rsidR="00D91F60">
        <w:t xml:space="preserve">, ka </w:t>
      </w:r>
      <w:bookmarkStart w:id="3" w:name="_Hlk55545278"/>
      <w:r w:rsidR="001F12B6">
        <w:t xml:space="preserve">Eiropas Centrālā banka </w:t>
      </w:r>
      <w:proofErr w:type="gramStart"/>
      <w:r w:rsidR="001F12B6">
        <w:t>2015.gada</w:t>
      </w:r>
      <w:proofErr w:type="gramEnd"/>
      <w:r w:rsidR="001F12B6">
        <w:t xml:space="preserve"> 20.februāra</w:t>
      </w:r>
      <w:bookmarkEnd w:id="3"/>
      <w:r w:rsidR="001F12B6">
        <w:t xml:space="preserve"> lēmum</w:t>
      </w:r>
      <w:r w:rsidR="002E0CAA">
        <w:t>ā</w:t>
      </w:r>
      <w:r w:rsidR="001F12B6">
        <w:t xml:space="preserve">, ar kuru pieteicējai noteiktas </w:t>
      </w:r>
      <w:proofErr w:type="spellStart"/>
      <w:r w:rsidR="001F12B6">
        <w:t>prudenciālās</w:t>
      </w:r>
      <w:proofErr w:type="spellEnd"/>
      <w:r w:rsidR="001F12B6">
        <w:t xml:space="preserve"> prasības, </w:t>
      </w:r>
      <w:r w:rsidR="002E0CAA">
        <w:t xml:space="preserve">norādījusi, ka </w:t>
      </w:r>
      <w:r w:rsidR="001F12B6">
        <w:t xml:space="preserve">pieteicējas pārbaude un novērtējums veikts saskaņā ar nacionālo metodoloģiju. </w:t>
      </w:r>
      <w:r w:rsidR="002E0CAA">
        <w:t>M</w:t>
      </w:r>
      <w:r w:rsidR="001F12B6">
        <w:t xml:space="preserve">inētajā lēmumā </w:t>
      </w:r>
      <w:r w:rsidR="002E0CAA">
        <w:t xml:space="preserve">arī </w:t>
      </w:r>
      <w:r w:rsidR="001F12B6">
        <w:t xml:space="preserve">norādīts, ka </w:t>
      </w:r>
      <w:r w:rsidR="002E0CAA">
        <w:t xml:space="preserve">atbilstoši </w:t>
      </w:r>
      <w:r w:rsidR="001F12B6">
        <w:t xml:space="preserve">2013.gada 26.jūnija Eiropas Parlamenta un Padomes Regulas (ES) Nr. 575/2013 par </w:t>
      </w:r>
      <w:proofErr w:type="spellStart"/>
      <w:r w:rsidR="001F12B6">
        <w:t>prudenciālajām</w:t>
      </w:r>
      <w:proofErr w:type="spellEnd"/>
      <w:r w:rsidR="001F12B6">
        <w:t xml:space="preserve"> prasībām attiecībā uz kredītiestādēm un ieguldījumu brokeru sabiedrībām un ar ko groza Regulu (ES) Nr. 648/2012 412.panta 5.punkt</w:t>
      </w:r>
      <w:r w:rsidR="002E0CAA">
        <w:t>am</w:t>
      </w:r>
      <w:r w:rsidR="001F12B6">
        <w:t xml:space="preserve"> dalībvalsts var saglabāt nacionālos noteikumus likviditātes prasību sfērā. </w:t>
      </w:r>
      <w:r w:rsidR="00216243">
        <w:t xml:space="preserve">Atbilstoši </w:t>
      </w:r>
      <w:r w:rsidR="002E0CAA">
        <w:t>Eiropas Centrālās banka</w:t>
      </w:r>
      <w:r w:rsidR="00935DD4">
        <w:t>s</w:t>
      </w:r>
      <w:r w:rsidR="002E0CAA">
        <w:t xml:space="preserve"> 2015.gada 20.februāra lēmumā </w:t>
      </w:r>
      <w:r w:rsidR="003C74F7">
        <w:t>norādīt</w:t>
      </w:r>
      <w:r w:rsidR="00216243">
        <w:t>ajam</w:t>
      </w:r>
      <w:r w:rsidR="003C74F7">
        <w:t xml:space="preserve"> š</w:t>
      </w:r>
      <w:r w:rsidR="001F12B6">
        <w:t>ād</w:t>
      </w:r>
      <w:r w:rsidR="003C74F7">
        <w:t>i</w:t>
      </w:r>
      <w:r w:rsidR="001F12B6">
        <w:t xml:space="preserve"> nacionālie noteikumi, kas piemērojami pieteicējai, ir politika Nr. 208 “Politika savlaicīgu korektīvo pasākumu veikšanai un sankciju piemērošanai kredītiestādēm un atbildīgajām fiziskajām personām, krājaizdevumu sabiedrībām, maksājumu iestādēm un elektroniskās naudas iestādēm”. Arī Eiropas Centrālās bankas 2015.gada 20.novembra lēmumā, ar kuru pieteicējai noteiktas </w:t>
      </w:r>
      <w:proofErr w:type="spellStart"/>
      <w:r w:rsidR="001F12B6">
        <w:t>prudenciālās</w:t>
      </w:r>
      <w:proofErr w:type="spellEnd"/>
      <w:r w:rsidR="001F12B6">
        <w:t xml:space="preserve"> prasības, ir atsauces uz to bankai piemēroto korektīvo pasākumu politiku</w:t>
      </w:r>
      <w:r w:rsidR="001A48FF">
        <w:t xml:space="preserve"> likviditātes prasību noteikšanā</w:t>
      </w:r>
      <w:r w:rsidR="001F12B6">
        <w:t xml:space="preserve">, ko ir izstrādājusi komisija. </w:t>
      </w:r>
    </w:p>
    <w:p w14:paraId="6214AEA3" w14:textId="77777777" w:rsidR="00CC0B0A" w:rsidRDefault="001F12B6" w:rsidP="00B46E57">
      <w:pPr>
        <w:pStyle w:val="naiskr"/>
        <w:spacing w:before="0" w:beforeAutospacing="0" w:after="0" w:afterAutospacing="0" w:line="276" w:lineRule="auto"/>
        <w:ind w:firstLine="720"/>
        <w:jc w:val="both"/>
      </w:pPr>
      <w:r>
        <w:t xml:space="preserve">No minētā izriet, ka, lai arī korektīvos pasākumus pieteicējai </w:t>
      </w:r>
      <w:r w:rsidR="001A48FF">
        <w:t xml:space="preserve">tieši </w:t>
      </w:r>
      <w:r>
        <w:t xml:space="preserve">noteikusi Eiropas Centrālā banka, </w:t>
      </w:r>
      <w:r w:rsidR="003C74F7">
        <w:t>š</w:t>
      </w:r>
      <w:r>
        <w:t>ie</w:t>
      </w:r>
      <w:r w:rsidR="003C74F7">
        <w:t xml:space="preserve"> pasākumi</w:t>
      </w:r>
      <w:r>
        <w:t xml:space="preserve"> noteikti</w:t>
      </w:r>
      <w:r w:rsidR="003C74F7">
        <w:t xml:space="preserve"> sadarbībā ar komisiju, ievērojot tās izstrādāto </w:t>
      </w:r>
      <w:r w:rsidR="002E0CAA">
        <w:t xml:space="preserve">politiku un </w:t>
      </w:r>
      <w:r w:rsidR="003C74F7">
        <w:t xml:space="preserve">metodoloģiju, </w:t>
      </w:r>
      <w:r w:rsidR="002E0CAA">
        <w:t xml:space="preserve">kā arī komisijas </w:t>
      </w:r>
      <w:r w:rsidR="003C74F7">
        <w:t xml:space="preserve">sniegtos ieteikumus. Tas savukārt nozīmē, ka </w:t>
      </w:r>
      <w:r w:rsidR="002E0CAA">
        <w:t xml:space="preserve">pretēji pieteicējas viedoklim </w:t>
      </w:r>
      <w:r w:rsidR="003C74F7">
        <w:t xml:space="preserve">Korektīvo koeficientu </w:t>
      </w:r>
      <w:r w:rsidR="00BE02C7">
        <w:t>aprēķināšanas</w:t>
      </w:r>
      <w:r w:rsidR="003C74F7">
        <w:t xml:space="preserve"> noteikumu 17.punkt</w:t>
      </w:r>
      <w:r w:rsidR="004C2038">
        <w:t>a</w:t>
      </w:r>
      <w:r w:rsidR="003C74F7">
        <w:t xml:space="preserve"> formulējums “ja komisija piemēro korektīvos pasākumus” ir lasāms plašāk, ar to saprotot arī gadījumus, kad korektīvos pasākumus bankai nosaka Eiropas Centrālā banka</w:t>
      </w:r>
      <w:r w:rsidR="00CC0B0A">
        <w:t>.</w:t>
      </w:r>
    </w:p>
    <w:p w14:paraId="0243CF9E" w14:textId="77777777" w:rsidR="00FB2548" w:rsidRDefault="00FB2548" w:rsidP="00B46E57">
      <w:pPr>
        <w:pStyle w:val="naiskr"/>
        <w:spacing w:before="0" w:beforeAutospacing="0" w:after="0" w:afterAutospacing="0" w:line="276" w:lineRule="auto"/>
        <w:ind w:firstLine="720"/>
        <w:jc w:val="both"/>
      </w:pPr>
    </w:p>
    <w:p w14:paraId="0511C69B" w14:textId="237F6B91" w:rsidR="00AB3653" w:rsidRPr="00CC0B0A" w:rsidRDefault="00AB3653" w:rsidP="00AB3653">
      <w:pPr>
        <w:pStyle w:val="naiskr"/>
        <w:spacing w:before="0" w:beforeAutospacing="0" w:after="0" w:afterAutospacing="0" w:line="276" w:lineRule="auto"/>
        <w:ind w:firstLine="720"/>
        <w:jc w:val="both"/>
        <w:rPr>
          <w:shd w:val="clear" w:color="auto" w:fill="FFFFFF"/>
        </w:rPr>
      </w:pPr>
      <w:r w:rsidRPr="00CC0B0A">
        <w:rPr>
          <w:shd w:val="clear" w:color="auto" w:fill="FFFFFF"/>
        </w:rPr>
        <w:t>[</w:t>
      </w:r>
      <w:r w:rsidR="00FD32B7">
        <w:rPr>
          <w:shd w:val="clear" w:color="auto" w:fill="FFFFFF"/>
        </w:rPr>
        <w:t>11</w:t>
      </w:r>
      <w:r w:rsidRPr="00CC0B0A">
        <w:rPr>
          <w:shd w:val="clear" w:color="auto" w:fill="FFFFFF"/>
        </w:rPr>
        <w:t>] Vērtējot apstrīdēto korekcijas rādītāju piemērošanu</w:t>
      </w:r>
      <w:r w:rsidR="005D45D5" w:rsidRPr="00CC0B0A">
        <w:rPr>
          <w:shd w:val="clear" w:color="auto" w:fill="FFFFFF"/>
        </w:rPr>
        <w:t xml:space="preserve"> pieteicējai</w:t>
      </w:r>
      <w:r w:rsidRPr="00CC0B0A">
        <w:rPr>
          <w:shd w:val="clear" w:color="auto" w:fill="FFFFFF"/>
        </w:rPr>
        <w:t xml:space="preserve"> </w:t>
      </w:r>
      <w:r w:rsidR="005D45D5" w:rsidRPr="00CC0B0A">
        <w:rPr>
          <w:shd w:val="clear" w:color="auto" w:fill="FFFFFF"/>
        </w:rPr>
        <w:t xml:space="preserve">kā </w:t>
      </w:r>
      <w:r w:rsidRPr="00CC0B0A">
        <w:rPr>
          <w:shd w:val="clear" w:color="auto" w:fill="FFFFFF"/>
        </w:rPr>
        <w:t>bank</w:t>
      </w:r>
      <w:r w:rsidR="005D45D5" w:rsidRPr="00CC0B0A">
        <w:rPr>
          <w:shd w:val="clear" w:color="auto" w:fill="FFFFFF"/>
        </w:rPr>
        <w:t>ai</w:t>
      </w:r>
      <w:r w:rsidRPr="00CC0B0A">
        <w:rPr>
          <w:shd w:val="clear" w:color="auto" w:fill="FFFFFF"/>
        </w:rPr>
        <w:t>, kur</w:t>
      </w:r>
      <w:r w:rsidR="005D45D5" w:rsidRPr="00CC0B0A">
        <w:rPr>
          <w:shd w:val="clear" w:color="auto" w:fill="FFFFFF"/>
        </w:rPr>
        <w:t xml:space="preserve">ai piemēroti </w:t>
      </w:r>
      <w:r w:rsidRPr="00CC0B0A">
        <w:rPr>
          <w:shd w:val="clear" w:color="auto" w:fill="FFFFFF"/>
        </w:rPr>
        <w:t>korektīvie pasākumi, jāņem vērā arī korektīvo pasākumu jēga un mērķis.</w:t>
      </w:r>
    </w:p>
    <w:p w14:paraId="20B3B1E3" w14:textId="32159A6E" w:rsidR="00AB3653" w:rsidRPr="00CC0B0A" w:rsidRDefault="00AB3653" w:rsidP="00AB3653">
      <w:pPr>
        <w:pStyle w:val="naiskr"/>
        <w:spacing w:before="0" w:beforeAutospacing="0" w:after="0" w:afterAutospacing="0" w:line="276" w:lineRule="auto"/>
        <w:ind w:firstLine="720"/>
        <w:jc w:val="both"/>
        <w:rPr>
          <w:shd w:val="clear" w:color="auto" w:fill="FFFFFF"/>
        </w:rPr>
      </w:pPr>
      <w:r w:rsidRPr="00CC0B0A">
        <w:rPr>
          <w:shd w:val="clear" w:color="auto" w:fill="FFFFFF"/>
        </w:rPr>
        <w:t xml:space="preserve">Proti, saskaņā ar </w:t>
      </w:r>
      <w:r w:rsidRPr="00CC0B0A">
        <w:t xml:space="preserve">Kredītiestāžu </w:t>
      </w:r>
      <w:proofErr w:type="spellStart"/>
      <w:r w:rsidRPr="00CC0B0A">
        <w:t>prudenciālās</w:t>
      </w:r>
      <w:proofErr w:type="spellEnd"/>
      <w:r w:rsidRPr="00CC0B0A">
        <w:t xml:space="preserve"> uzraudzības regulas 1.punktu ar šo </w:t>
      </w:r>
      <w:r w:rsidRPr="00CC0B0A">
        <w:rPr>
          <w:shd w:val="clear" w:color="auto" w:fill="FFFFFF"/>
        </w:rPr>
        <w:t xml:space="preserve">regulu Eiropas Centrālai bankai tiek uzticēti īpaši uzdevumi attiecībā uz politikas nostādnēm, kas saistītas ar kredītiestāžu </w:t>
      </w:r>
      <w:proofErr w:type="spellStart"/>
      <w:r w:rsidRPr="00CC0B0A">
        <w:rPr>
          <w:shd w:val="clear" w:color="auto" w:fill="FFFFFF"/>
        </w:rPr>
        <w:t>prudenciālo</w:t>
      </w:r>
      <w:proofErr w:type="spellEnd"/>
      <w:r w:rsidRPr="00CC0B0A">
        <w:rPr>
          <w:shd w:val="clear" w:color="auto" w:fill="FFFFFF"/>
        </w:rPr>
        <w:t xml:space="preserve"> uzraudzību, lai veicinātu kredītiestāžu drošumu un stabilitāti un finanšu sistēmas stabilitāti Savienībā un katrā dalībvalstī. Atbilstoši regulas 4.pantam Eiropas Centrālai bankai tiek uzticēts noteikt, vai kredītiestādes īstenotie pasākumi, stratēģijas, procesi un mehānismi un šo iestāšu uzturētais pašu kapitāls nodrošina pareizu pārvaldību un to risku segumu, un, pamatojoties uz šo uzraudzības pārbaudi, izvirzīt kredītiestādēm īpašas papildu paša kapitāla un likviditātes prasības. Regulas 16.pants Eiropas Centrālai bankai īpaši paredz pilnvaras pieprasīt, lai kredītiestāde turētu pašu kapitālu, kas pārsniedz kapitāla prasības, kuras noteiktas regulā minētajos tiesību aktos saistībā ar risku elementiem un riskiem, kas nav ietverti Savienības tiesību aktos, kā arī pilnvaras izvirzīt kredītiestādei īpašas likviditātes prasības.</w:t>
      </w:r>
    </w:p>
    <w:p w14:paraId="28BC283C" w14:textId="5047436D" w:rsidR="00AB3653" w:rsidRDefault="00AB3653" w:rsidP="00AB3653">
      <w:pPr>
        <w:pStyle w:val="naiskr"/>
        <w:spacing w:before="0" w:beforeAutospacing="0" w:after="0" w:afterAutospacing="0" w:line="276" w:lineRule="auto"/>
        <w:ind w:firstLine="720"/>
        <w:jc w:val="both"/>
      </w:pPr>
      <w:r w:rsidRPr="00CC0B0A">
        <w:t xml:space="preserve">No Kredītiestāžu </w:t>
      </w:r>
      <w:proofErr w:type="spellStart"/>
      <w:r w:rsidRPr="00CC0B0A">
        <w:t>prudenciālās</w:t>
      </w:r>
      <w:proofErr w:type="spellEnd"/>
      <w:r w:rsidRPr="00CC0B0A">
        <w:t xml:space="preserve"> uzraudzības regulā definētajiem Eiropas Centrālās bankas uzdevumiem un piešķirtajām pilnvarām izriet, ka Eiropas Centrālā banka apzina riskus, kas raksturīgi konkrētai kredītiestāžu darbībai, un nosaka prasības šo risku mazināšanai, lai tādējādi nodrošinātu uzraugāmās kredītiestādes drošumu un stabilitāti un aizsargātu attiecīgās dalībvalsts un visas Savienības finanšu sistēmas stabilitāti. Viens no līdzekļiem minēto mērķu sasniegšanai ir noteiktu korektīvo pasākumu piemērošana bankai, lai atspoguļotu tās īpašo riska profilu un segtu papildu riskus, kuri izriet no bankas īpašā </w:t>
      </w:r>
      <w:r w:rsidRPr="00CC0B0A">
        <w:lastRenderedPageBreak/>
        <w:t>biznesa modeļa, piemēram, bankai orientējoties uz nerezidentu apkalpošanu. Tāpēc, ja bankai tiek piemēroti korektīvie pasākumi augstāka pašu kapitāla līmeņa un augstāka likviditātes rādītāja uzturēšanas veidā, lai tādējādi nodrošinātu un aizsargātu bankas un finanšu sistēmas stabilitāti, tas pats par sevi ir pietiekams iemesls uzskatīt, ka bankas darbībā ir zināmi riski, kuru dēļ ir pamats noguldījumu garantiju fondā veicamā maksājuma aprēķinā ņemt vērā apstrīdētos korekcijas rādītājus.</w:t>
      </w:r>
      <w:r>
        <w:t xml:space="preserve"> </w:t>
      </w:r>
    </w:p>
    <w:p w14:paraId="5560464F" w14:textId="77777777" w:rsidR="00AB3653" w:rsidRPr="00C8280B" w:rsidRDefault="00AB3653" w:rsidP="00AB3653">
      <w:pPr>
        <w:pStyle w:val="naiskr"/>
        <w:spacing w:before="0" w:beforeAutospacing="0" w:after="0" w:afterAutospacing="0" w:line="276" w:lineRule="auto"/>
        <w:ind w:firstLine="720"/>
        <w:jc w:val="both"/>
      </w:pPr>
    </w:p>
    <w:p w14:paraId="263E52C2" w14:textId="5CDAF5D5" w:rsidR="00204167" w:rsidRDefault="00FB2548" w:rsidP="00204167">
      <w:pPr>
        <w:pStyle w:val="naiskr"/>
        <w:spacing w:before="0" w:beforeAutospacing="0" w:after="0" w:afterAutospacing="0" w:line="276" w:lineRule="auto"/>
        <w:ind w:firstLine="720"/>
        <w:jc w:val="both"/>
      </w:pPr>
      <w:r>
        <w:t>[</w:t>
      </w:r>
      <w:r w:rsidR="009B0AE3">
        <w:t>1</w:t>
      </w:r>
      <w:r w:rsidR="00FD32B7">
        <w:t>2</w:t>
      </w:r>
      <w:r>
        <w:t>] </w:t>
      </w:r>
      <w:r w:rsidR="00204167">
        <w:t xml:space="preserve">Tāpat jāņem vērā, ka saskaņā ar Noguldījumu garantiju likuma </w:t>
      </w:r>
      <w:proofErr w:type="gramStart"/>
      <w:r w:rsidR="00204167">
        <w:t>6.panta</w:t>
      </w:r>
      <w:proofErr w:type="gramEnd"/>
      <w:r w:rsidR="00204167">
        <w:t xml:space="preserve"> pirmo daļu k</w:t>
      </w:r>
      <w:r w:rsidR="00204167" w:rsidRPr="00204167">
        <w:t>omisija nodrošina noguldījumu piesaistītāju uzraudzību, līdzekļu uzkrāšanu noguldījumu garantiju fondā, noguldījumu garantiju fonda pārvaldīšanu un garantētās atlīdzības izmaksu, kā arī īsteno kreditoru prasījuma tiesības pret noguldījumu piesaistītāju izmaksātās garantētās atlīdzības apmērā.</w:t>
      </w:r>
    </w:p>
    <w:p w14:paraId="6915ED0A" w14:textId="2F69553C" w:rsidR="001F61A4" w:rsidRDefault="00204167" w:rsidP="001F61A4">
      <w:pPr>
        <w:pStyle w:val="naiskr"/>
        <w:spacing w:before="0" w:beforeAutospacing="0" w:after="0" w:afterAutospacing="0" w:line="276" w:lineRule="auto"/>
        <w:ind w:firstLine="720"/>
        <w:jc w:val="both"/>
      </w:pPr>
      <w:r>
        <w:t>Tātad noguldījumu garantiju fonda veidošana un pārvaldīšana, tostarp noguldījumu nepieejamības iestāšanās gadījumā garantēto atlīdzības izmaksu jautājumu risināšana ir komisijas, nevis Eiropas Centrālās bankas kompetencē. Eiropas Savienības tiesības neparedz kompensējoš</w:t>
      </w:r>
      <w:r w:rsidR="00530F17">
        <w:t>u</w:t>
      </w:r>
      <w:r>
        <w:t xml:space="preserve">s mehānismus dalībvalstij, kurā ir iestājusies noguldījumu nepieejamība kādai no bankām, kura saskaņā ar </w:t>
      </w:r>
      <w:r w:rsidR="009B0AE3">
        <w:t xml:space="preserve">Kredītiestāžu </w:t>
      </w:r>
      <w:proofErr w:type="spellStart"/>
      <w:r w:rsidR="009B0AE3">
        <w:t>prudenciālās</w:t>
      </w:r>
      <w:proofErr w:type="spellEnd"/>
      <w:r w:rsidR="009B0AE3">
        <w:t xml:space="preserve"> uzraudzības regulu</w:t>
      </w:r>
      <w:r>
        <w:t xml:space="preserve"> </w:t>
      </w:r>
      <w:r w:rsidR="001F61A4">
        <w:t xml:space="preserve">ir </w:t>
      </w:r>
      <w:r>
        <w:t xml:space="preserve">pakļauta Eiropas Centrālās bankas uzraudzībai. Līdz ar to, ja piekristu pieteicējai, ka </w:t>
      </w:r>
      <w:r w:rsidR="00AC0092">
        <w:t xml:space="preserve">apstrīdētie korekcijas </w:t>
      </w:r>
      <w:r>
        <w:t>rādītāji</w:t>
      </w:r>
      <w:r w:rsidR="009F34D1">
        <w:t xml:space="preserve"> nav piemērojami, ja korektīvos pasākumus bankai tieši ir noteikusi Eiropas Centrālā banka, tad izveidotos situācija, ka tām bankām, kuru uzraudzību veic Eiropas Centrālā banka, komisija nebūtu tiesīga noteikt noguldījumu garantiju fondā veicamajam maksājumam piemērojamā korekcijas koeficienta apmēru atkarībā no konkrētās bankas darbības risku pakāpes, bet komisijai būtu </w:t>
      </w:r>
      <w:r w:rsidR="001F61A4">
        <w:t xml:space="preserve">pienākums </w:t>
      </w:r>
      <w:r w:rsidR="009F34D1">
        <w:t>nodrošin</w:t>
      </w:r>
      <w:r w:rsidR="001F61A4">
        <w:t>āt</w:t>
      </w:r>
      <w:r w:rsidR="009F34D1">
        <w:t xml:space="preserve"> </w:t>
      </w:r>
      <w:r w:rsidR="001F61A4">
        <w:t xml:space="preserve">noguldījumu garantiju fonda </w:t>
      </w:r>
      <w:r w:rsidR="004C2038">
        <w:t xml:space="preserve">atbilstošu </w:t>
      </w:r>
      <w:r w:rsidR="001F61A4">
        <w:t>pārvaldīšanu un</w:t>
      </w:r>
      <w:r w:rsidR="001A48FF">
        <w:t xml:space="preserve"> </w:t>
      </w:r>
      <w:r w:rsidR="00530F17">
        <w:t xml:space="preserve">izmaksāt </w:t>
      </w:r>
      <w:r w:rsidR="001A48FF">
        <w:t>atlīdzīb</w:t>
      </w:r>
      <w:r w:rsidR="00530F17">
        <w:t>u</w:t>
      </w:r>
      <w:r w:rsidR="002E0CAA">
        <w:t>, iestājoties noguldījumu nepieejamībai</w:t>
      </w:r>
      <w:r w:rsidR="001A48FF">
        <w:t>. Šāda izpratne neatbilst Noguldījumu garantiju likuma 8.panta treš</w:t>
      </w:r>
      <w:r w:rsidR="00530F17">
        <w:t xml:space="preserve">ajai </w:t>
      </w:r>
      <w:r w:rsidR="001A48FF">
        <w:t xml:space="preserve">daļai, uz kuras pamata izdoti </w:t>
      </w:r>
      <w:r w:rsidR="00530F17">
        <w:t>Korekcijas koeficientu aprēķināšanas noteikum</w:t>
      </w:r>
      <w:r w:rsidR="001A48FF">
        <w:t xml:space="preserve">i un atbilstoši kurai, piemērojot korekcijas koeficientu, ņem vērā noguldījumu piesaistītāja kapitāla pietiekamības, likviditātes, lielo riska darījumu rādītājus, kā arī noguldījumu piesaistītāja komercdarbības plānu un stratēģiju, tātad </w:t>
      </w:r>
      <w:r w:rsidR="00216243">
        <w:t xml:space="preserve">arī </w:t>
      </w:r>
      <w:r w:rsidR="001A48FF">
        <w:t>konkrētās bankas darbības risku pakāpes.</w:t>
      </w:r>
      <w:r w:rsidR="001F61A4">
        <w:t xml:space="preserve"> Lai varētu nodrošināt šīs prasības izpildi, nosakot korekcijas koeficienta apmēru, ir jāņem vērā arī </w:t>
      </w:r>
      <w:r w:rsidR="00AC0092">
        <w:t xml:space="preserve">apstrīdētie korekcijas </w:t>
      </w:r>
      <w:r w:rsidR="001F61A4">
        <w:t>rādītāji,</w:t>
      </w:r>
      <w:r w:rsidR="00DA4F62">
        <w:t xml:space="preserve"> ja</w:t>
      </w:r>
      <w:r w:rsidR="001F61A4">
        <w:t xml:space="preserve"> pastāv attiecīgie riski.</w:t>
      </w:r>
    </w:p>
    <w:p w14:paraId="33686F77" w14:textId="21D8F322" w:rsidR="006776CA" w:rsidRPr="00C8280B" w:rsidRDefault="006776CA" w:rsidP="001F61A4">
      <w:pPr>
        <w:pStyle w:val="naiskr"/>
        <w:spacing w:before="0" w:beforeAutospacing="0" w:after="0" w:afterAutospacing="0" w:line="276" w:lineRule="auto"/>
        <w:ind w:firstLine="720"/>
        <w:jc w:val="both"/>
      </w:pPr>
    </w:p>
    <w:p w14:paraId="1ED053CC" w14:textId="7CDD3BEC" w:rsidR="00025271" w:rsidRDefault="006776CA" w:rsidP="002C7174">
      <w:pPr>
        <w:pStyle w:val="naiskr"/>
        <w:spacing w:before="0" w:beforeAutospacing="0" w:after="0" w:afterAutospacing="0" w:line="276" w:lineRule="auto"/>
        <w:ind w:firstLine="720"/>
        <w:jc w:val="both"/>
      </w:pPr>
      <w:r>
        <w:t>[</w:t>
      </w:r>
      <w:r w:rsidR="009B0AE3">
        <w:t>1</w:t>
      </w:r>
      <w:r w:rsidR="00FD32B7">
        <w:t>3</w:t>
      </w:r>
      <w:r>
        <w:t xml:space="preserve">] Rezumējot minēto: tā kā Korekcijas koeficientu </w:t>
      </w:r>
      <w:r w:rsidR="00BE02C7">
        <w:t>aprēķināšanas</w:t>
      </w:r>
      <w:r>
        <w:t xml:space="preserve"> noteikumu 17.punkta tiesību normu interpretācijas rezultātā šajās tiesību normās ir ielasāma arī Eiropas Centrālā banka kā iestāde, kas bankai nosaka korektīvos pasākumus, tad nav konstatējams likuma robs jeb nepilnība, kas ir pretēja likumdevēja plānam un likuma mērķim. </w:t>
      </w:r>
      <w:r w:rsidR="002C7174">
        <w:t>N</w:t>
      </w:r>
      <w:r>
        <w:t xml:space="preserve">ekonstatējot likuma nepilnību, nerodas nepieciešamība piemērot tiesību </w:t>
      </w:r>
      <w:proofErr w:type="spellStart"/>
      <w:r>
        <w:t>tālākveidošanu</w:t>
      </w:r>
      <w:proofErr w:type="spellEnd"/>
      <w:r>
        <w:t xml:space="preserve">. Pretēji kasācijas sūdzībā norādītajam arī apgabaltiesa nav </w:t>
      </w:r>
      <w:r w:rsidR="00216243">
        <w:t>veikus</w:t>
      </w:r>
      <w:r>
        <w:t xml:space="preserve">i tiesību </w:t>
      </w:r>
      <w:proofErr w:type="spellStart"/>
      <w:r>
        <w:t>tālākveidošanu</w:t>
      </w:r>
      <w:proofErr w:type="spellEnd"/>
      <w:r>
        <w:t>. Apgabaltiesa</w:t>
      </w:r>
      <w:r w:rsidR="003A47CC">
        <w:t>,</w:t>
      </w:r>
      <w:r>
        <w:t xml:space="preserve"> </w:t>
      </w:r>
      <w:r w:rsidR="003A47CC">
        <w:t xml:space="preserve">piemērojot Korekcijas koeficientu </w:t>
      </w:r>
      <w:r w:rsidR="00BE02C7">
        <w:t>aprēķināšanas</w:t>
      </w:r>
      <w:r w:rsidR="003A47CC">
        <w:t xml:space="preserve"> noteikumu 17.punktu, ir</w:t>
      </w:r>
      <w:r>
        <w:t xml:space="preserve"> izmantoj</w:t>
      </w:r>
      <w:r w:rsidR="003A47CC">
        <w:t>usi</w:t>
      </w:r>
      <w:r>
        <w:t xml:space="preserve"> tiesību normu interpret</w:t>
      </w:r>
      <w:r w:rsidR="00530F17">
        <w:t>ācijas</w:t>
      </w:r>
      <w:r>
        <w:t xml:space="preserve"> metodes</w:t>
      </w:r>
      <w:r w:rsidR="003A47CC">
        <w:t xml:space="preserve">, norādot </w:t>
      </w:r>
      <w:r>
        <w:t>secinājumus, kādi izriet katras interpret</w:t>
      </w:r>
      <w:r w:rsidR="00530F17">
        <w:t>ācijas</w:t>
      </w:r>
      <w:r>
        <w:t xml:space="preserve"> metodes piemērošanas rezultātā.</w:t>
      </w:r>
      <w:r w:rsidR="00CC1B3A">
        <w:t xml:space="preserve"> Savukārt p</w:t>
      </w:r>
      <w:r>
        <w:t>ieteicēja, aprobežojoties vienīgi ar gramatisko interpretācijas metodi, kasācijas sūdzībā pēc būtības nav norādījusi iebildumus par pārējo interpret</w:t>
      </w:r>
      <w:r w:rsidR="00530F17">
        <w:t>ācijas</w:t>
      </w:r>
      <w:r>
        <w:t xml:space="preserve"> metožu piemērošanu, nepamatoti koncentrējoties uz tiesību </w:t>
      </w:r>
      <w:proofErr w:type="spellStart"/>
      <w:r>
        <w:t>tālākveidošanu</w:t>
      </w:r>
      <w:proofErr w:type="spellEnd"/>
      <w:r>
        <w:t xml:space="preserve"> raksturojošiem jautājumiem. </w:t>
      </w:r>
      <w:r w:rsidR="00915F7B">
        <w:t>T</w:t>
      </w:r>
      <w:r>
        <w:t xml:space="preserve">ā kā apgabaltiesa nav </w:t>
      </w:r>
      <w:r w:rsidR="00025271">
        <w:t xml:space="preserve">piemērojusi tiesību </w:t>
      </w:r>
      <w:proofErr w:type="spellStart"/>
      <w:r w:rsidR="00025271">
        <w:t>tālākveidošanu</w:t>
      </w:r>
      <w:proofErr w:type="spellEnd"/>
      <w:r>
        <w:t>,</w:t>
      </w:r>
      <w:r w:rsidR="00025271">
        <w:t xml:space="preserve"> </w:t>
      </w:r>
      <w:r w:rsidR="00025271">
        <w:lastRenderedPageBreak/>
        <w:t>kasācijas sūdzības argumenti</w:t>
      </w:r>
      <w:r w:rsidR="003A47CC">
        <w:t>em</w:t>
      </w:r>
      <w:r w:rsidR="00025271">
        <w:t xml:space="preserve"> par šīs juridiskās metodes pieļaujamību izskatāmajā gadījumā </w:t>
      </w:r>
      <w:r w:rsidR="003A47CC">
        <w:t xml:space="preserve">nav nozīmes un tie </w:t>
      </w:r>
      <w:r w:rsidR="00025271">
        <w:t>nenorāda uz tiesas pieļautajiem materiālo tiesību normu pārkāpumiem.</w:t>
      </w:r>
    </w:p>
    <w:p w14:paraId="54EE25C3" w14:textId="77777777" w:rsidR="00025271" w:rsidRDefault="00025271" w:rsidP="001F61A4">
      <w:pPr>
        <w:pStyle w:val="naiskr"/>
        <w:spacing w:before="0" w:beforeAutospacing="0" w:after="0" w:afterAutospacing="0" w:line="276" w:lineRule="auto"/>
        <w:ind w:firstLine="720"/>
        <w:jc w:val="both"/>
      </w:pPr>
    </w:p>
    <w:p w14:paraId="4EF54909" w14:textId="0B06F9A1" w:rsidR="00530F17" w:rsidRDefault="00025271" w:rsidP="001F61A4">
      <w:pPr>
        <w:pStyle w:val="naiskr"/>
        <w:spacing w:before="0" w:beforeAutospacing="0" w:after="0" w:afterAutospacing="0" w:line="276" w:lineRule="auto"/>
        <w:ind w:firstLine="720"/>
        <w:jc w:val="both"/>
      </w:pPr>
      <w:r>
        <w:t>[</w:t>
      </w:r>
      <w:r w:rsidR="009B0AE3">
        <w:t>1</w:t>
      </w:r>
      <w:r w:rsidR="00FD32B7">
        <w:t>4</w:t>
      </w:r>
      <w:r>
        <w:t>] </w:t>
      </w:r>
      <w:r w:rsidR="000C4644">
        <w:t>Kasācijas sūdzībā norādīt</w:t>
      </w:r>
      <w:r w:rsidR="005F17A6">
        <w:t>s, ka</w:t>
      </w:r>
      <w:r w:rsidR="00E050A8">
        <w:t xml:space="preserve"> apgabaltiesa nepamatoti izmantojusi tiesiskās vienlīdzības principu, lai pamatotu </w:t>
      </w:r>
      <w:r w:rsidR="007A27A3">
        <w:t xml:space="preserve">ar to </w:t>
      </w:r>
      <w:r w:rsidR="00E050A8">
        <w:t>likuma nepilnību</w:t>
      </w:r>
      <w:r w:rsidR="00530F17">
        <w:t>.</w:t>
      </w:r>
    </w:p>
    <w:p w14:paraId="5E728FC5" w14:textId="77777777" w:rsidR="002B7CC6" w:rsidRDefault="00994BA2" w:rsidP="000309CA">
      <w:pPr>
        <w:pStyle w:val="naiskr"/>
        <w:spacing w:before="0" w:beforeAutospacing="0" w:after="0" w:afterAutospacing="0" w:line="276" w:lineRule="auto"/>
        <w:ind w:firstLine="720"/>
        <w:jc w:val="both"/>
      </w:pPr>
      <w:r>
        <w:t>Šād</w:t>
      </w:r>
      <w:r w:rsidR="00530F17">
        <w:t>s</w:t>
      </w:r>
      <w:r>
        <w:t xml:space="preserve"> argument</w:t>
      </w:r>
      <w:r w:rsidR="00530F17">
        <w:t>s</w:t>
      </w:r>
      <w:r>
        <w:t xml:space="preserve"> nav pamatot</w:t>
      </w:r>
      <w:r w:rsidR="00530F17">
        <w:t>s, jo,</w:t>
      </w:r>
      <w:r w:rsidR="00530F17" w:rsidRPr="00530F17">
        <w:t xml:space="preserve"> </w:t>
      </w:r>
      <w:r w:rsidR="00530F17">
        <w:t xml:space="preserve">kā norādīts jau iepriekš, izskatāmajā gadījumā nav konstatējama likuma nepilnība. </w:t>
      </w:r>
    </w:p>
    <w:p w14:paraId="7FA21DB9" w14:textId="15DDF4A2" w:rsidR="000309CA" w:rsidRDefault="00530F17" w:rsidP="000309CA">
      <w:pPr>
        <w:pStyle w:val="naiskr"/>
        <w:spacing w:before="0" w:beforeAutospacing="0" w:after="0" w:afterAutospacing="0" w:line="276" w:lineRule="auto"/>
        <w:ind w:firstLine="720"/>
        <w:jc w:val="both"/>
      </w:pPr>
      <w:r>
        <w:t xml:space="preserve">Apgabaltiesa </w:t>
      </w:r>
      <w:r w:rsidR="000309CA">
        <w:t>tiesiskās vienlīdzības principu</w:t>
      </w:r>
      <w:r>
        <w:t xml:space="preserve"> ir piemērojusi, lai noskaidrotu</w:t>
      </w:r>
      <w:r w:rsidR="000309CA">
        <w:t>,</w:t>
      </w:r>
      <w:r>
        <w:t xml:space="preserve"> vai pret bankām, kas atrodas ar pieteicēju vienādos un salīdzināmos apstākļos, netiek pieļauta atšķirīga attieksme</w:t>
      </w:r>
      <w:r w:rsidR="002B7CC6">
        <w:t>.</w:t>
      </w:r>
      <w:r w:rsidR="004C2038">
        <w:t xml:space="preserve"> </w:t>
      </w:r>
      <w:r w:rsidR="002B7CC6">
        <w:t>A</w:t>
      </w:r>
      <w:r w:rsidR="000309CA">
        <w:t>nalizēj</w:t>
      </w:r>
      <w:r>
        <w:t>ot</w:t>
      </w:r>
      <w:r w:rsidR="000309CA">
        <w:t xml:space="preserve"> Kredītiestāžu </w:t>
      </w:r>
      <w:proofErr w:type="spellStart"/>
      <w:r w:rsidR="000309CA">
        <w:t>prudenciālās</w:t>
      </w:r>
      <w:proofErr w:type="spellEnd"/>
      <w:r w:rsidR="000309CA">
        <w:t xml:space="preserve"> uzraudzības regulas normas, </w:t>
      </w:r>
      <w:r w:rsidR="002B7CC6">
        <w:t xml:space="preserve">apgabaltiesa </w:t>
      </w:r>
      <w:r w:rsidR="000309CA">
        <w:t xml:space="preserve">atzinusi, ka Eiropas Centrālās bankas uzraudzībai tiek pakļautas tās bankas, kuru darbība var atstāt ietekmi ne tikai uz konkrētās dalībvalsts, bet arī uz visas Eiropas Savienības finanšu sistēmas stabilitāti. Vienlaikus apgabaltiesa atzinusi, ka no tiesību normām neizriet, ka to korektīvo pasākumu, kurus var piemērot gan komisija, gan Eiropas Centrālā banka, noteikšanas iemesli un uzdevumi būtu atšķirīgi. Tādējādi gan tās bankas, kurām pienākumu uzturēt augstāku pašu kapitāla līmeni un augstāku likviditātes rādītāju ir noteikusi komisija, gan tās, kurām to ir noteikusi Eiropas Centrālā banka, atrodas vienādos un pēc noteiktiem kritērijiem salīdzināmos apstākļos. Ja pirmajām šī iemesla dēļ tiktu paaugstināts korekcijas koeficients, bet otrajām netiktu, tad pret abām banku grupām tiktu pieļauta atšķirīga attieksme. Apgabaltiesa atzinusi, ka šādai atšķirīgai attieksmei saprātīgs pamats nav atrodams, jo korektīvajiem pasākumiem abos gadījumos ir principā vienādi iemesli, mērķi un zināmā mērā pat noteikšanas metodoloģija. Saskaņā ar Noguldījumu garantijas direktīvas </w:t>
      </w:r>
      <w:proofErr w:type="gramStart"/>
      <w:r w:rsidR="000309CA">
        <w:t>13.pantu</w:t>
      </w:r>
      <w:proofErr w:type="gramEnd"/>
      <w:r w:rsidR="000309CA">
        <w:t xml:space="preserve"> noguldījumu garantiju fondā veikto maksājuma aprēķināšanā ir jābalstās uz segto noguldījumu summu un riska pakāpi, ko uzņēmies noguldījumu piesaistītājs. Tātad to banku, kurām ir piemēroti korektīvie pasākumi, neatkarīgi no tā, kas ir piemērojis šos pasākumus, riska pakāpe ir salīdzināma. Līdz ar to apgabaltiesa atzinusi, ka tiesiskās vienlīdzības principam neatbilstu tāda Korekcijas koeficientu </w:t>
      </w:r>
      <w:r w:rsidR="00AC0092">
        <w:t>aprēķināšanas</w:t>
      </w:r>
      <w:r w:rsidR="000309CA">
        <w:t xml:space="preserve"> noteikumu 17.punkta interpretācija, kuras rezultātā bankām, kurām Eiropas Centrālā banka ir noteikusi pienākumu uzturēt augstāku pašu kapitāla līmeni un augstāku likviditātes rādītāju, tiktu piemērota apstrīdēto </w:t>
      </w:r>
      <w:r w:rsidR="00AC0092">
        <w:rPr>
          <w:color w:val="000000"/>
        </w:rPr>
        <w:t xml:space="preserve">korekcijas </w:t>
      </w:r>
      <w:r w:rsidR="000309CA">
        <w:t>rādītāju 0 vērtība, kā rezultātā korekcijas koeficients tiktu samazināts, kamēr bankām, kurām komisija ir noteikusi tāda paša veida korektīvos pasākumus, korekcijas koeficients tiktu paaugstināts.</w:t>
      </w:r>
    </w:p>
    <w:p w14:paraId="6378C4B7" w14:textId="03321E34" w:rsidR="001107FA" w:rsidRDefault="000309CA" w:rsidP="00746243">
      <w:pPr>
        <w:pStyle w:val="naiskr"/>
        <w:spacing w:before="0" w:beforeAutospacing="0" w:after="0" w:afterAutospacing="0" w:line="276" w:lineRule="auto"/>
        <w:ind w:firstLine="720"/>
        <w:jc w:val="both"/>
      </w:pPr>
      <w:r>
        <w:t xml:space="preserve">Senāts pievienojas </w:t>
      </w:r>
      <w:r w:rsidR="002B7CC6">
        <w:t xml:space="preserve">minētajiem </w:t>
      </w:r>
      <w:r>
        <w:t>apgabaltiesas argumentiem, jo tie ir pamatoti</w:t>
      </w:r>
      <w:r w:rsidR="00AE6874">
        <w:t xml:space="preserve">. Turpretim pieteicēja kasācijas sūdzībā nenorāda nevienu </w:t>
      </w:r>
      <w:r w:rsidR="002B7CC6">
        <w:t>pret</w:t>
      </w:r>
      <w:r w:rsidR="00AE6874">
        <w:t xml:space="preserve">argumentu, kas atspēkotu secinājumu, ka korektīvo pasākumu noteikšanas pamatā pēc būtības ir identiski iemesli un mērķi gan tajos gadījumos, kad šos pasākumus nosaka komisija, gan arī gadījumos, kad tos nosaka Eiropas Centrālā banka. Līdz ar to </w:t>
      </w:r>
      <w:r w:rsidR="004C2038">
        <w:t xml:space="preserve">ir pamatots apgabaltiesas secinājums, ka </w:t>
      </w:r>
      <w:r w:rsidR="00AE6874">
        <w:t xml:space="preserve">nav atrodams objektīvi pamatots izskaidrojums vienai banku kategorijai apstrīdētos korekcijas rādītājus piemērot, savukārt citai – nepiemērot. Arī pieteicēja kasācijas sūdzībā šādu izskaidrojumu nav sniegusi. </w:t>
      </w:r>
    </w:p>
    <w:p w14:paraId="7305FD8D" w14:textId="77777777" w:rsidR="001107FA" w:rsidRDefault="001107FA" w:rsidP="001F61A4">
      <w:pPr>
        <w:pStyle w:val="naiskr"/>
        <w:spacing w:before="0" w:beforeAutospacing="0" w:after="0" w:afterAutospacing="0" w:line="276" w:lineRule="auto"/>
        <w:ind w:firstLine="720"/>
        <w:jc w:val="both"/>
      </w:pPr>
    </w:p>
    <w:p w14:paraId="5649B8DD" w14:textId="064105BD" w:rsidR="001107FA" w:rsidRDefault="001107FA" w:rsidP="001107FA">
      <w:pPr>
        <w:pStyle w:val="naiskr"/>
        <w:spacing w:before="0" w:beforeAutospacing="0" w:after="0" w:afterAutospacing="0" w:line="276" w:lineRule="auto"/>
        <w:ind w:firstLine="720"/>
        <w:jc w:val="both"/>
      </w:pPr>
      <w:r>
        <w:t>[</w:t>
      </w:r>
      <w:r w:rsidR="009B0AE3">
        <w:t>1</w:t>
      </w:r>
      <w:r w:rsidR="00FD32B7">
        <w:t>5</w:t>
      </w:r>
      <w:r>
        <w:t>] </w:t>
      </w:r>
      <w:r w:rsidR="00463D7F">
        <w:t>K</w:t>
      </w:r>
      <w:r w:rsidR="00073A9F">
        <w:t xml:space="preserve">asācijas sūdzībā norādīts, ka </w:t>
      </w:r>
      <w:r w:rsidR="00E73D9E">
        <w:t xml:space="preserve">apgabaltiesai bija nepieciešams svērt </w:t>
      </w:r>
      <w:r w:rsidR="00073A9F">
        <w:t>tiesiskās vienlīdzības</w:t>
      </w:r>
      <w:r w:rsidR="00CA0B30">
        <w:t>,</w:t>
      </w:r>
      <w:r w:rsidR="00073A9F">
        <w:t xml:space="preserve"> likuma atrunas</w:t>
      </w:r>
      <w:r w:rsidR="00CA0B30">
        <w:t xml:space="preserve"> un </w:t>
      </w:r>
      <w:r w:rsidR="00073A9F">
        <w:t xml:space="preserve">tiesiskās paļāvības principu, jo tikai tādā </w:t>
      </w:r>
      <w:r w:rsidR="00CA0B30">
        <w:t xml:space="preserve">veidā </w:t>
      </w:r>
      <w:r w:rsidR="00073A9F">
        <w:t>tiktu nodrošināts tiesiskums un netiktu aizskartas pieteicējas intereses.</w:t>
      </w:r>
    </w:p>
    <w:p w14:paraId="4504FAB1" w14:textId="662F78A8" w:rsidR="00D02CD1" w:rsidRDefault="00073A9F" w:rsidP="001F61A4">
      <w:pPr>
        <w:pStyle w:val="naiskr"/>
        <w:spacing w:before="0" w:beforeAutospacing="0" w:after="0" w:afterAutospacing="0" w:line="276" w:lineRule="auto"/>
        <w:ind w:firstLine="720"/>
        <w:jc w:val="both"/>
      </w:pPr>
      <w:r>
        <w:t>Tiesību principu svēršana</w:t>
      </w:r>
      <w:r w:rsidR="001107FA">
        <w:t>s</w:t>
      </w:r>
      <w:r>
        <w:t xml:space="preserve"> </w:t>
      </w:r>
      <w:r w:rsidR="001107FA">
        <w:t xml:space="preserve">metode tiek izmantota principu kolīzijas atrasināšanai, </w:t>
      </w:r>
      <w:r>
        <w:t>lai iegūt</w:t>
      </w:r>
      <w:r w:rsidR="00463D7F">
        <w:t>u</w:t>
      </w:r>
      <w:r>
        <w:t xml:space="preserve"> labāko iespējamo</w:t>
      </w:r>
      <w:r w:rsidR="001107FA">
        <w:t xml:space="preserve"> kompromisu </w:t>
      </w:r>
      <w:r>
        <w:t>(</w:t>
      </w:r>
      <w:r w:rsidR="00BF0C7E">
        <w:rPr>
          <w:i/>
        </w:rPr>
        <w:t>Briede J.</w:t>
      </w:r>
      <w:r w:rsidR="00BF0C7E" w:rsidRPr="009F06FD">
        <w:rPr>
          <w:i/>
        </w:rPr>
        <w:t xml:space="preserve"> </w:t>
      </w:r>
      <w:proofErr w:type="gramStart"/>
      <w:r w:rsidR="00BF0C7E" w:rsidRPr="009F06FD">
        <w:rPr>
          <w:i/>
        </w:rPr>
        <w:t>1</w:t>
      </w:r>
      <w:r w:rsidR="00BF0C7E">
        <w:rPr>
          <w:i/>
        </w:rPr>
        <w:t>0</w:t>
      </w:r>
      <w:r w:rsidR="00BF0C7E" w:rsidRPr="009F06FD">
        <w:rPr>
          <w:i/>
        </w:rPr>
        <w:t>.panta</w:t>
      </w:r>
      <w:proofErr w:type="gramEnd"/>
      <w:r w:rsidR="00BF0C7E" w:rsidRPr="009F06FD">
        <w:rPr>
          <w:i/>
        </w:rPr>
        <w:t xml:space="preserve"> komentārs. </w:t>
      </w:r>
      <w:proofErr w:type="spellStart"/>
      <w:r w:rsidR="00BF0C7E" w:rsidRPr="009F06FD">
        <w:rPr>
          <w:i/>
        </w:rPr>
        <w:t>Grām</w:t>
      </w:r>
      <w:proofErr w:type="spellEnd"/>
      <w:r w:rsidR="00BF0C7E" w:rsidRPr="009F06FD">
        <w:rPr>
          <w:i/>
        </w:rPr>
        <w:t xml:space="preserve">.: Administratīvā </w:t>
      </w:r>
      <w:r w:rsidR="00BF0C7E" w:rsidRPr="009F06FD">
        <w:rPr>
          <w:i/>
        </w:rPr>
        <w:lastRenderedPageBreak/>
        <w:t>procesa likuma komentāri. A un B daļa. Briede J. (</w:t>
      </w:r>
      <w:proofErr w:type="spellStart"/>
      <w:r w:rsidR="00BF0C7E" w:rsidRPr="009F06FD">
        <w:rPr>
          <w:i/>
        </w:rPr>
        <w:t>Zin</w:t>
      </w:r>
      <w:proofErr w:type="spellEnd"/>
      <w:r w:rsidR="00BF0C7E" w:rsidRPr="009F06FD">
        <w:rPr>
          <w:i/>
        </w:rPr>
        <w:t xml:space="preserve">. red.) Rīga: Tiesu namu aģentūra, 2013, </w:t>
      </w:r>
      <w:r w:rsidR="00BF0C7E">
        <w:rPr>
          <w:i/>
        </w:rPr>
        <w:t>166.</w:t>
      </w:r>
      <w:r w:rsidR="00BF0C7E" w:rsidRPr="009F06FD">
        <w:rPr>
          <w:i/>
        </w:rPr>
        <w:t>lpp</w:t>
      </w:r>
      <w:r w:rsidR="00BF0C7E">
        <w:rPr>
          <w:i/>
        </w:rPr>
        <w:t>.</w:t>
      </w:r>
      <w:r>
        <w:t xml:space="preserve">). </w:t>
      </w:r>
      <w:r w:rsidR="00CA0B30">
        <w:t>Tātad principu svēršana veicama principu sadursmes gadījumos</w:t>
      </w:r>
      <w:r w:rsidR="002B7CC6">
        <w:t>. T</w:t>
      </w:r>
      <w:r w:rsidR="00CA0B30">
        <w:t>aču a</w:t>
      </w:r>
      <w:r>
        <w:t xml:space="preserve">pgabaltiesa nav konstatējusi minēto tiesību principu kolīziju. Apgabaltiesa ir </w:t>
      </w:r>
      <w:r w:rsidR="00CA0B30">
        <w:t>atzinusi</w:t>
      </w:r>
      <w:r>
        <w:t xml:space="preserve">, ka, attiecinot uz pieteicēju Korekcijas koeficientu </w:t>
      </w:r>
      <w:r w:rsidR="00AC0092">
        <w:t>aprēķināšanas</w:t>
      </w:r>
      <w:r>
        <w:t xml:space="preserve"> noteikumu 17.punktu, tiek ievērots gan likuma atrunas, gan tiesiskās vienlīdzības princips. </w:t>
      </w:r>
      <w:r w:rsidR="00CA0B30">
        <w:t>Minētie principi izskatāmajā gadījumā nesaduras, bet gan papildina viens otru, tāpēc nerodas nepieciešamība svērt un salīdzināt minētos principus, lai noteiktu, kurš no tiem ir prioritārs. Turklāt pretēji pieteicējas viedoklim, p</w:t>
      </w:r>
      <w:r>
        <w:t xml:space="preserve">iemērojot Korekcijas koeficientu </w:t>
      </w:r>
      <w:r w:rsidR="00AC0092">
        <w:t xml:space="preserve">aprēķināšanas </w:t>
      </w:r>
      <w:r>
        <w:t xml:space="preserve">noteikumus un </w:t>
      </w:r>
      <w:r w:rsidR="00CA0B30">
        <w:t xml:space="preserve">uz to pamata </w:t>
      </w:r>
      <w:r>
        <w:t xml:space="preserve">pieteicējai noteiktā korekcijas koeficienta apmēra aprēķināšanā ņemot vērā </w:t>
      </w:r>
      <w:r w:rsidR="00AC0092">
        <w:t>apstrīdētos korekcijas</w:t>
      </w:r>
      <w:r w:rsidR="00463D7F">
        <w:t xml:space="preserve"> </w:t>
      </w:r>
      <w:r>
        <w:t xml:space="preserve">rādītājus, tiesiskums tiek nodrošināts, nevis pārkāpts. </w:t>
      </w:r>
      <w:r w:rsidR="00D02CD1">
        <w:t xml:space="preserve">Tiesiskums prasa ne vien publiskās varas, bet arī privātpersonas rīcības atbilstību tiesību normām. </w:t>
      </w:r>
      <w:r>
        <w:t xml:space="preserve">Apstāklis, ka pieteicējai nosacīti labvēlīgāks iznākums būtu gadījumā, ja apstrīdētie </w:t>
      </w:r>
      <w:r w:rsidR="00AC0092">
        <w:rPr>
          <w:color w:val="000000"/>
        </w:rPr>
        <w:t xml:space="preserve">korekcijas </w:t>
      </w:r>
      <w:r>
        <w:t>rādītāji uz pieteicēju netiktu attiecināti, nenozīmē,</w:t>
      </w:r>
      <w:r w:rsidR="00CC0B0A">
        <w:t xml:space="preserve"> ka tādējādi tiek pārkāpts tiesiskums.</w:t>
      </w:r>
      <w:r>
        <w:t xml:space="preserve"> </w:t>
      </w:r>
      <w:r w:rsidR="00D02CD1">
        <w:t>Konkrētā dzīves situācija noregulējama atbilstoši tiesiskajam regulējumam, nevis kādas personas interesēm.</w:t>
      </w:r>
    </w:p>
    <w:p w14:paraId="32F80DD0" w14:textId="77777777" w:rsidR="00D02CD1" w:rsidRDefault="00D02CD1" w:rsidP="001F61A4">
      <w:pPr>
        <w:pStyle w:val="naiskr"/>
        <w:spacing w:before="0" w:beforeAutospacing="0" w:after="0" w:afterAutospacing="0" w:line="276" w:lineRule="auto"/>
        <w:ind w:firstLine="720"/>
        <w:jc w:val="both"/>
      </w:pPr>
    </w:p>
    <w:p w14:paraId="2EF7EBE2" w14:textId="3680F588" w:rsidR="0002463E" w:rsidRDefault="00D02CD1" w:rsidP="0002463E">
      <w:pPr>
        <w:pStyle w:val="naiskr"/>
        <w:spacing w:before="0" w:beforeAutospacing="0" w:after="0" w:afterAutospacing="0" w:line="276" w:lineRule="auto"/>
        <w:ind w:firstLine="720"/>
        <w:jc w:val="both"/>
      </w:pPr>
      <w:r>
        <w:t>[</w:t>
      </w:r>
      <w:r w:rsidR="009B0AE3">
        <w:t>1</w:t>
      </w:r>
      <w:r w:rsidR="00FD32B7">
        <w:t>6</w:t>
      </w:r>
      <w:r>
        <w:t>] </w:t>
      </w:r>
      <w:r w:rsidR="00463D7F">
        <w:t xml:space="preserve">Pieteicēja pārmet </w:t>
      </w:r>
      <w:r>
        <w:t>apgabaltiesa</w:t>
      </w:r>
      <w:r w:rsidR="00463D7F">
        <w:t>i, ka tā</w:t>
      </w:r>
      <w:r>
        <w:t xml:space="preserve"> nav vērtējusi</w:t>
      </w:r>
      <w:r w:rsidR="00684E00">
        <w:t xml:space="preserve">, </w:t>
      </w:r>
      <w:r w:rsidR="004C2038">
        <w:t>ka</w:t>
      </w:r>
      <w:r w:rsidR="00684E00">
        <w:t xml:space="preserve"> </w:t>
      </w:r>
      <w:r>
        <w:t>komisija</w:t>
      </w:r>
      <w:r w:rsidR="004C2038">
        <w:t>s rīcības rezultātā</w:t>
      </w:r>
      <w:r>
        <w:t xml:space="preserve">, Korekcijas koeficientu </w:t>
      </w:r>
      <w:r w:rsidR="00AC0092">
        <w:t>aprēķināšanas</w:t>
      </w:r>
      <w:r>
        <w:t xml:space="preserve"> noteikumu 17.punktā neiekļaujot atsauci uz Eiropas Centrālo banku, </w:t>
      </w:r>
      <w:r w:rsidR="004C2038">
        <w:t xml:space="preserve">tika pārkāpts </w:t>
      </w:r>
      <w:r>
        <w:t>tiesiskās paļāvības princip</w:t>
      </w:r>
      <w:r w:rsidR="004C2038">
        <w:t>s</w:t>
      </w:r>
      <w:r w:rsidR="00684E00">
        <w:t>.</w:t>
      </w:r>
      <w:r w:rsidR="00355449">
        <w:t xml:space="preserve"> Pieteicējas ieskatā, ja komisija reaģētu uz pieteicējas </w:t>
      </w:r>
      <w:proofErr w:type="gramStart"/>
      <w:r w:rsidR="00355449">
        <w:t>2015.gada</w:t>
      </w:r>
      <w:proofErr w:type="gramEnd"/>
      <w:r w:rsidR="00355449">
        <w:t xml:space="preserve"> apstrīdēšanas iesniegum</w:t>
      </w:r>
      <w:r w:rsidR="006D0203">
        <w:t xml:space="preserve">u, kurā </w:t>
      </w:r>
      <w:r w:rsidR="00355449">
        <w:t>norādīt</w:t>
      </w:r>
      <w:r w:rsidR="006D0203">
        <w:t xml:space="preserve">s minētais apstāklis, </w:t>
      </w:r>
      <w:r w:rsidR="00355449">
        <w:t>tad komisijas pieļautā kļūda tiktu savlaicīgi novērsta.</w:t>
      </w:r>
      <w:r w:rsidR="006D0203">
        <w:t xml:space="preserve"> Taču</w:t>
      </w:r>
      <w:r w:rsidR="00355449">
        <w:t xml:space="preserve"> </w:t>
      </w:r>
      <w:r w:rsidR="006D0203">
        <w:t xml:space="preserve">komisija grozījumus Korekcijas koeficientu </w:t>
      </w:r>
      <w:r w:rsidR="00AC0092">
        <w:t>aprēķināšanas</w:t>
      </w:r>
      <w:r w:rsidR="006D0203">
        <w:t xml:space="preserve"> noteikumos </w:t>
      </w:r>
      <w:r w:rsidR="00463D7F">
        <w:t xml:space="preserve">esot pieņēmusi </w:t>
      </w:r>
      <w:r w:rsidR="006D0203">
        <w:t xml:space="preserve">tikai </w:t>
      </w:r>
      <w:proofErr w:type="gramStart"/>
      <w:r w:rsidR="006D0203">
        <w:t>2016.gada</w:t>
      </w:r>
      <w:proofErr w:type="gramEnd"/>
      <w:r w:rsidR="006D0203">
        <w:t xml:space="preserve"> 20.decembrī.</w:t>
      </w:r>
    </w:p>
    <w:p w14:paraId="2ADD5004" w14:textId="77777777" w:rsidR="0002463E" w:rsidRDefault="00355449" w:rsidP="0002463E">
      <w:pPr>
        <w:pStyle w:val="naiskr"/>
        <w:spacing w:before="0" w:beforeAutospacing="0" w:after="0" w:afterAutospacing="0" w:line="276" w:lineRule="auto"/>
        <w:ind w:firstLine="720"/>
        <w:jc w:val="both"/>
      </w:pPr>
      <w:r w:rsidRPr="0002463E">
        <w:t>Atbilstoši tiesiskās paļāvības principam privātpersona var paļauties, ka iestādes rīcība ir tiesiska un konsekventa. Iestādes kļūda, kuras pieļaušanā privātpersona nav vainojama, nedrīks</w:t>
      </w:r>
      <w:r w:rsidR="00AF4536" w:rsidRPr="0002463E">
        <w:t>t</w:t>
      </w:r>
      <w:r w:rsidRPr="0002463E">
        <w:t xml:space="preserve"> radīt privātpersonai nelabvēlīgas sekas.</w:t>
      </w:r>
    </w:p>
    <w:p w14:paraId="7DEEEA54" w14:textId="6DA56CD3" w:rsidR="00E23D69" w:rsidRDefault="00AF4536" w:rsidP="00E23D69">
      <w:pPr>
        <w:pStyle w:val="naiskr"/>
        <w:spacing w:before="0" w:beforeAutospacing="0" w:after="0" w:afterAutospacing="0" w:line="276" w:lineRule="auto"/>
        <w:ind w:firstLine="720"/>
        <w:jc w:val="both"/>
      </w:pPr>
      <w:r w:rsidRPr="0002463E">
        <w:t>Kā konstatējusi apgabaltiesa, komisijai nekad nav bijis mērķis</w:t>
      </w:r>
      <w:r w:rsidR="00430685">
        <w:t xml:space="preserve"> Korekcijas koeficientu aprēķināšanas</w:t>
      </w:r>
      <w:r w:rsidRPr="0002463E">
        <w:t xml:space="preserve"> noteikumus neattiecināt uz Eiropas Centrālās bankas uzraudzībā esošajām bankām. </w:t>
      </w:r>
      <w:r w:rsidR="002B7CC6">
        <w:t xml:space="preserve">Faktisko to nenoliedz arī pieteicēja. </w:t>
      </w:r>
      <w:r w:rsidR="006D0203" w:rsidRPr="0002463E">
        <w:t xml:space="preserve">Tas izriet arī no </w:t>
      </w:r>
      <w:proofErr w:type="gramStart"/>
      <w:r w:rsidR="006D0203" w:rsidRPr="0002463E">
        <w:t>2016.gada</w:t>
      </w:r>
      <w:proofErr w:type="gramEnd"/>
      <w:r w:rsidR="006D0203" w:rsidRPr="0002463E">
        <w:t xml:space="preserve"> 20.decembrī pieņemtajiem precizējošajiem grozījumiem Korekcijas koeficientu </w:t>
      </w:r>
      <w:r w:rsidR="00AC0092">
        <w:t>aprēķināšanas</w:t>
      </w:r>
      <w:r w:rsidR="006D0203" w:rsidRPr="0002463E">
        <w:t xml:space="preserve"> noteikumos, kuru rezultātā 17.punkts </w:t>
      </w:r>
      <w:r w:rsidR="002B7CC6">
        <w:t xml:space="preserve">izteikts redakcijā, kas </w:t>
      </w:r>
      <w:r w:rsidR="0002463E">
        <w:t>paredz: j</w:t>
      </w:r>
      <w:r w:rsidR="006D0203" w:rsidRPr="0002463E">
        <w:rPr>
          <w:shd w:val="clear" w:color="auto" w:fill="FFFFFF"/>
        </w:rPr>
        <w:t xml:space="preserve">a noguldījumu piesaistītājam, ņemot vērā tā darbībai piemītošo risku profilu un biznesa modeli, ir noteiktas </w:t>
      </w:r>
      <w:r w:rsidR="006D0203" w:rsidRPr="00FD32B7">
        <w:rPr>
          <w:shd w:val="clear" w:color="auto" w:fill="FFFFFF"/>
        </w:rPr>
        <w:t xml:space="preserve">individuālas prasības </w:t>
      </w:r>
      <w:r w:rsidR="0002463E" w:rsidRPr="00FD32B7">
        <w:t>uzturēt augstāku pašu kapitāla līmeni un likviditātes rādītāju</w:t>
      </w:r>
      <w:r w:rsidR="00463D7F" w:rsidRPr="00FD32B7">
        <w:t>,</w:t>
      </w:r>
      <w:r w:rsidR="0002463E" w:rsidRPr="00FD32B7">
        <w:t xml:space="preserve"> tad komisija izmanto papildu kapitāla prasību un noteikto individuālo likviditātes rādītāja korekciju. Tātad</w:t>
      </w:r>
      <w:r w:rsidR="00463D7F" w:rsidRPr="00FD32B7">
        <w:t xml:space="preserve">, </w:t>
      </w:r>
      <w:r w:rsidR="00340882" w:rsidRPr="00FD32B7">
        <w:t xml:space="preserve">izdarot </w:t>
      </w:r>
      <w:r w:rsidR="0002463E" w:rsidRPr="00FD32B7">
        <w:t>grozījumu</w:t>
      </w:r>
      <w:r w:rsidR="00463D7F" w:rsidRPr="00FD32B7">
        <w:t>s</w:t>
      </w:r>
      <w:r w:rsidR="0002463E" w:rsidRPr="00FD32B7">
        <w:t xml:space="preserve"> Korekcijas koeficientu </w:t>
      </w:r>
      <w:r w:rsidR="00AC0092" w:rsidRPr="00FD32B7">
        <w:t>aprēķināšanas</w:t>
      </w:r>
      <w:r w:rsidR="0002463E" w:rsidRPr="00FD32B7">
        <w:t xml:space="preserve"> noteikumos, 17.punkt</w:t>
      </w:r>
      <w:r w:rsidR="00463D7F" w:rsidRPr="00FD32B7">
        <w:t>a normas tika</w:t>
      </w:r>
      <w:r w:rsidR="00430685" w:rsidRPr="00FD32B7">
        <w:t xml:space="preserve"> formulētas</w:t>
      </w:r>
      <w:r w:rsidR="00463D7F" w:rsidRPr="00FD32B7">
        <w:t xml:space="preserve"> tādējādi, ka to</w:t>
      </w:r>
      <w:r w:rsidR="0002463E" w:rsidRPr="00FD32B7">
        <w:t xml:space="preserve"> </w:t>
      </w:r>
      <w:r w:rsidR="006D0203" w:rsidRPr="00FD32B7">
        <w:t xml:space="preserve">vārdiskā izteiksme vairs nesatur atsauci uz komisiju kā iestādi, kas bankai nosaka korektīvos pasākumus. </w:t>
      </w:r>
      <w:r w:rsidR="00E23D69" w:rsidRPr="00FD32B7">
        <w:t xml:space="preserve">Minēto grozījumu rezultātā komisija Korekcijas koeficientu aprēķināšanas noteikumu 17.punktu nevis grozīja pēc būtības, bet gan tikai precizēja šīs tiesību normas, </w:t>
      </w:r>
      <w:r w:rsidR="00011EE2" w:rsidRPr="00FD32B7">
        <w:t xml:space="preserve">skaidrāk </w:t>
      </w:r>
      <w:r w:rsidR="00E23D69" w:rsidRPr="00FD32B7">
        <w:t>paredzot to, kas būtībā tiesību normu iztulkošanas rezultātā bija saprotams arī pirms tam.</w:t>
      </w:r>
    </w:p>
    <w:p w14:paraId="662E16EE" w14:textId="3658499B" w:rsidR="00CF4EB3" w:rsidRDefault="0002463E" w:rsidP="0002463E">
      <w:pPr>
        <w:pStyle w:val="naiskr"/>
        <w:spacing w:before="0" w:beforeAutospacing="0" w:after="0" w:afterAutospacing="0" w:line="276" w:lineRule="auto"/>
        <w:ind w:firstLine="720"/>
        <w:jc w:val="both"/>
      </w:pPr>
      <w:r>
        <w:t xml:space="preserve">No minētā secināms: </w:t>
      </w:r>
      <w:r w:rsidR="00AF4536">
        <w:t xml:space="preserve">ja </w:t>
      </w:r>
      <w:r w:rsidR="00355449">
        <w:t xml:space="preserve">komisija grozījumus </w:t>
      </w:r>
      <w:r w:rsidR="00430685">
        <w:t xml:space="preserve">Korekcijas koeficientu aprēķināšanas </w:t>
      </w:r>
      <w:r w:rsidR="00355449">
        <w:t xml:space="preserve">noteikumos </w:t>
      </w:r>
      <w:r w:rsidR="00340882">
        <w:t xml:space="preserve">izdarītu </w:t>
      </w:r>
      <w:r w:rsidR="00AF4536">
        <w:t xml:space="preserve">jau </w:t>
      </w:r>
      <w:proofErr w:type="gramStart"/>
      <w:r w:rsidR="00AF4536">
        <w:t>2015.gadā</w:t>
      </w:r>
      <w:proofErr w:type="gramEnd"/>
      <w:r w:rsidR="00AF4536">
        <w:t xml:space="preserve"> pēc pieteicējas apstrīdēšanas iesnieguma saņemšanas, </w:t>
      </w:r>
      <w:r>
        <w:t xml:space="preserve">kā tas komisijai bija jādara </w:t>
      </w:r>
      <w:r w:rsidR="002B7CC6">
        <w:t>pieteicējas redzējumā</w:t>
      </w:r>
      <w:r>
        <w:t xml:space="preserve">, </w:t>
      </w:r>
      <w:r w:rsidR="00AF4536">
        <w:t xml:space="preserve">tad jau 2015.gadā </w:t>
      </w:r>
      <w:r w:rsidR="00CF4EB3" w:rsidRPr="0002463E">
        <w:t xml:space="preserve">Korekcijas koeficientu </w:t>
      </w:r>
      <w:r w:rsidR="00AC0092">
        <w:t>aprēķināšanas</w:t>
      </w:r>
      <w:r w:rsidR="00CF4EB3" w:rsidRPr="0002463E">
        <w:t xml:space="preserve"> noteikum</w:t>
      </w:r>
      <w:r w:rsidR="00CF4EB3">
        <w:t xml:space="preserve">u </w:t>
      </w:r>
      <w:r w:rsidR="00C67B4B">
        <w:t>17.punkt</w:t>
      </w:r>
      <w:r w:rsidR="00FD32B7">
        <w:t>s tiktu</w:t>
      </w:r>
      <w:r w:rsidR="00C67B4B">
        <w:t xml:space="preserve"> izteikt</w:t>
      </w:r>
      <w:r w:rsidR="00FD32B7">
        <w:t>s</w:t>
      </w:r>
      <w:r w:rsidR="00C67B4B">
        <w:t xml:space="preserve"> tādā redakcijā, kur</w:t>
      </w:r>
      <w:r w:rsidR="00CF4EB3">
        <w:t xml:space="preserve">as iztulkošana arī gramatiskās interpretācijas rezultātā </w:t>
      </w:r>
      <w:r w:rsidR="00C67B4B">
        <w:t>apliecinātu, ka šī tiesību norma ir attiecināma arī uz pieteicēju kā uz Centrālās bankas uzraudzībā esoš</w:t>
      </w:r>
      <w:r w:rsidR="00CF4EB3">
        <w:t>u</w:t>
      </w:r>
      <w:r w:rsidR="00C67B4B">
        <w:t xml:space="preserve"> banku</w:t>
      </w:r>
      <w:r w:rsidR="00FD32B7">
        <w:t xml:space="preserve">. Tātad </w:t>
      </w:r>
      <w:r w:rsidR="00CF4EB3">
        <w:t xml:space="preserve">iznākums </w:t>
      </w:r>
      <w:r w:rsidR="00C67B4B">
        <w:t xml:space="preserve">būtu </w:t>
      </w:r>
      <w:r w:rsidR="002B7CC6">
        <w:t xml:space="preserve">tieši </w:t>
      </w:r>
      <w:r w:rsidR="00C67B4B">
        <w:t xml:space="preserve">tāds, </w:t>
      </w:r>
      <w:r w:rsidR="00C67B4B">
        <w:lastRenderedPageBreak/>
        <w:t>kāds tas ir pārsūdzētajos lēmumos</w:t>
      </w:r>
      <w:r w:rsidR="00CF4EB3">
        <w:t>, proti, nosakot pieteicējas noguldījumu garantiju fondā veicamā maksājuma korekcijas koeficientu, tiktu izmantoti</w:t>
      </w:r>
      <w:r w:rsidR="00463D7F">
        <w:t xml:space="preserve"> </w:t>
      </w:r>
      <w:r w:rsidR="00AC0092">
        <w:t xml:space="preserve">apstrīdētie korekcijas </w:t>
      </w:r>
      <w:r w:rsidR="00CF4EB3">
        <w:t xml:space="preserve">rādītāji. </w:t>
      </w:r>
    </w:p>
    <w:p w14:paraId="7905789F" w14:textId="1F3CE1EE" w:rsidR="00C67B4B" w:rsidRDefault="00CF4EB3" w:rsidP="0002463E">
      <w:pPr>
        <w:pStyle w:val="naiskr"/>
        <w:spacing w:before="0" w:beforeAutospacing="0" w:after="0" w:afterAutospacing="0" w:line="276" w:lineRule="auto"/>
        <w:ind w:firstLine="720"/>
        <w:jc w:val="both"/>
      </w:pPr>
      <w:r>
        <w:t>Š</w:t>
      </w:r>
      <w:r w:rsidR="00C67B4B">
        <w:t xml:space="preserve">ādos apstākļos nav </w:t>
      </w:r>
      <w:r>
        <w:t>saprotams, kā komisija</w:t>
      </w:r>
      <w:r w:rsidR="004C2038">
        <w:t xml:space="preserve"> </w:t>
      </w:r>
      <w:r>
        <w:t xml:space="preserve">pārkāpa tiesiskās paļāvības principu. </w:t>
      </w:r>
      <w:r w:rsidR="00CB2B6A">
        <w:t>Turklāt</w:t>
      </w:r>
      <w:r w:rsidR="00463D7F">
        <w:t xml:space="preserve"> </w:t>
      </w:r>
      <w:r>
        <w:t xml:space="preserve">pretēji Administratīvā procesa likuma </w:t>
      </w:r>
      <w:proofErr w:type="gramStart"/>
      <w:r w:rsidR="00FC133D">
        <w:t>325.panta</w:t>
      </w:r>
      <w:r w:rsidR="00463D7F">
        <w:t>m</w:t>
      </w:r>
      <w:proofErr w:type="gramEnd"/>
      <w:r w:rsidR="00FC133D">
        <w:t xml:space="preserve"> un </w:t>
      </w:r>
      <w:r>
        <w:t>327.panta otrajai daļ</w:t>
      </w:r>
      <w:r w:rsidR="00FC133D">
        <w:t>ai</w:t>
      </w:r>
      <w:r>
        <w:t xml:space="preserve"> </w:t>
      </w:r>
      <w:r w:rsidR="00CB2B6A">
        <w:t xml:space="preserve">pieteicēja kasācijas sūdzībā </w:t>
      </w:r>
      <w:r>
        <w:t xml:space="preserve">nav izskaidrojusi, kā </w:t>
      </w:r>
      <w:r w:rsidR="00CB2B6A">
        <w:t xml:space="preserve">minēto </w:t>
      </w:r>
      <w:r w:rsidR="00C67B4B">
        <w:t>argumentu neizvērtēšana apgabaltiesas spriedumā ir ietekmējusi lietas iznākumu.</w:t>
      </w:r>
    </w:p>
    <w:p w14:paraId="0554B9A7" w14:textId="77777777" w:rsidR="00C67B4B" w:rsidRDefault="00C67B4B" w:rsidP="00C67B4B">
      <w:pPr>
        <w:pStyle w:val="naiskr"/>
        <w:spacing w:before="0" w:beforeAutospacing="0" w:after="0" w:afterAutospacing="0" w:line="276" w:lineRule="auto"/>
        <w:ind w:firstLine="720"/>
        <w:jc w:val="both"/>
      </w:pPr>
    </w:p>
    <w:p w14:paraId="769C3833" w14:textId="2F17B98D" w:rsidR="002B7CC6" w:rsidRDefault="005E1C58" w:rsidP="005E1C58">
      <w:pPr>
        <w:pStyle w:val="naiskr"/>
        <w:spacing w:before="0" w:beforeAutospacing="0" w:after="0" w:afterAutospacing="0" w:line="276" w:lineRule="auto"/>
        <w:ind w:firstLine="720"/>
        <w:jc w:val="both"/>
      </w:pPr>
      <w:r w:rsidRPr="00CB2B6A">
        <w:t>[</w:t>
      </w:r>
      <w:r>
        <w:t>1</w:t>
      </w:r>
      <w:r w:rsidR="00FD32B7">
        <w:t>7</w:t>
      </w:r>
      <w:r w:rsidRPr="00CB2B6A">
        <w:t xml:space="preserve">] Kasācijas sūdzībā norādīts, ka apgabaltiesa nav pienācīgi vērtējusi, vai pastāv mazāk ierobežojoši līdzekļi, salīdzinot tos ar pieteicējai piemērotajiem </w:t>
      </w:r>
      <w:r>
        <w:t>apstrīdētajiem korekcijas</w:t>
      </w:r>
      <w:r w:rsidRPr="00CB2B6A">
        <w:t xml:space="preserve"> rādītājiem.</w:t>
      </w:r>
      <w:r w:rsidR="002B7CC6">
        <w:t xml:space="preserve"> Pieteicējas ieskatā tās tiesības tiktu mazāk ierobežotas, ja tiktu piemērotas Pamatnostādnes.</w:t>
      </w:r>
    </w:p>
    <w:p w14:paraId="1DE8FB19" w14:textId="44A913D1" w:rsidR="002B7CC6" w:rsidRDefault="002B7CC6" w:rsidP="005E1C58">
      <w:pPr>
        <w:pStyle w:val="naiskr"/>
        <w:spacing w:before="0" w:beforeAutospacing="0" w:after="0" w:afterAutospacing="0" w:line="276" w:lineRule="auto"/>
        <w:ind w:firstLine="720"/>
        <w:jc w:val="both"/>
      </w:pPr>
      <w:r>
        <w:t>Vērtējot to, vai leģitīmo mērķi var sasniegt arī citādi, ir jāņem vērā, ka mazāk ierobežojošs jeb saudzējošāks līdzeklis ir nevis jebkurš cits, bet tikai tāds līdzeklis, ar kuru var sasniegt leģitīmo mērķi vismaz tādā pašā kvalitātē (</w:t>
      </w:r>
      <w:r w:rsidRPr="002B7CC6">
        <w:rPr>
          <w:i/>
          <w:iCs/>
        </w:rPr>
        <w:t xml:space="preserve">Satversmes tiesas </w:t>
      </w:r>
      <w:proofErr w:type="gramStart"/>
      <w:r w:rsidRPr="002B7CC6">
        <w:rPr>
          <w:i/>
          <w:iCs/>
        </w:rPr>
        <w:t>2005.gada</w:t>
      </w:r>
      <w:proofErr w:type="gramEnd"/>
      <w:r w:rsidRPr="002B7CC6">
        <w:rPr>
          <w:i/>
          <w:iCs/>
        </w:rPr>
        <w:t xml:space="preserve"> 13.maija sprieduma lietā Nr. 2004-18-0106 19.punkts, 2009.gada 13.februāra sprieduma lietā Nr. 2008-34-01 22.punkts</w:t>
      </w:r>
      <w:r>
        <w:t>).</w:t>
      </w:r>
    </w:p>
    <w:p w14:paraId="322296C3" w14:textId="256718FB" w:rsidR="005E1C58" w:rsidRDefault="005E1C58" w:rsidP="005E1C58">
      <w:pPr>
        <w:pStyle w:val="naiskr"/>
        <w:spacing w:before="0" w:beforeAutospacing="0" w:after="0" w:afterAutospacing="0" w:line="276" w:lineRule="auto"/>
        <w:ind w:firstLine="720"/>
        <w:jc w:val="both"/>
      </w:pPr>
      <w:r>
        <w:t>Apgabaltiesa</w:t>
      </w:r>
      <w:r w:rsidR="004C2038">
        <w:t xml:space="preserve"> atzinusi, ka izskatāmajā gadījumā leģitīmais mērķis ir aizsargāt citu cilvēku tiesības un sabiedrības labklājības intereses. V</w:t>
      </w:r>
      <w:r w:rsidR="002B7CC6">
        <w:t xml:space="preserve">ērtējot, vai </w:t>
      </w:r>
      <w:r w:rsidR="004C2038">
        <w:t xml:space="preserve">šo leģitīmo mērķi var sasniegt ar </w:t>
      </w:r>
      <w:r w:rsidR="002B7CC6">
        <w:t>Pamatnostādn</w:t>
      </w:r>
      <w:r w:rsidR="004C2038">
        <w:t xml:space="preserve">ēm, nepiemērojot pieteicējai apstrīdētos korekcijas </w:t>
      </w:r>
      <w:r w:rsidR="002C4404">
        <w:t>rādītājus</w:t>
      </w:r>
      <w:r w:rsidR="004C2038">
        <w:t>, apgabaltiesa</w:t>
      </w:r>
      <w:r w:rsidR="002B7CC6">
        <w:t xml:space="preserve"> ņēmusi vērā, ka atbilstoši </w:t>
      </w:r>
      <w:r>
        <w:t>Noguldījumu garantiju direktīvas preambulā atzīt</w:t>
      </w:r>
      <w:r w:rsidR="002B7CC6">
        <w:t>ajam</w:t>
      </w:r>
      <w:r>
        <w:t xml:space="preserve"> katrai noguldījumu garantiju sistēmai vajadzētu būt iespējai izmantot pašai savas uz risku balstītas metodes, lai iemaksas pielāgotu tirgus apstākļiem un riska profiliem. Noguldījumu garantiju direktīva un Pamatnostādnes piešķir samērā lielu rīcības brīvību valstīm konkrētas korekcijas koeficienta aprēķināšanas metodes noteikšanā, it sevišķi, konkrēto izmantojamo riska rādītāju izvēlē. </w:t>
      </w:r>
      <w:r w:rsidR="002B7CC6">
        <w:t>Apgabaltiesa secinājusi, ka n</w:t>
      </w:r>
      <w:r>
        <w:t xml:space="preserve">erezidentus apkalpojošas bankas darbības modelis ir saistīts ar būtiskiem riskiem un nerezidentu ieguldījumi 2015.gadā tika uzskatīti par banku sistēmas galveno risku. Arī pieteicēja principā atzīst, ka nerezidentus apkalpojošo banku darbības modelis rada lielākus maksātnespējas riskus, jo tām ir lielāks likviditātes risks un klientu kredītrisks. Ievērojot minēto, apgabaltiesa atzinusi par saprātīgu komisijas rīcību korekcijas koeficienta aprēķināšanā kā šo koeficientu paaugstināšanas riska kategoriju izmantot tieši uz nerezidentiem orientētas bankas darbības modeli, bet kā rādītājus – individuālā minimālā kapitāla pietiekamības rādītāja korekciju un individuālā likviditātes rādītāja korekciju. </w:t>
      </w:r>
      <w:r w:rsidR="004C2038">
        <w:t>Tādā veidā, nosakot</w:t>
      </w:r>
      <w:r w:rsidR="002C4404">
        <w:t xml:space="preserve"> korekcijas koeficientu, tiek ņemti vērā attiecīgie riski, kas netiktu nodrošināts, ja korekcijas koeficients tiktu noteikts atbilstoši Pamatnostādnēm. </w:t>
      </w:r>
      <w:r w:rsidR="004C407F">
        <w:t xml:space="preserve">Līdz ar to, piemērojot Pamatnostādnes, </w:t>
      </w:r>
      <w:r>
        <w:t>leģitīm</w:t>
      </w:r>
      <w:r w:rsidR="004C407F">
        <w:t>ais</w:t>
      </w:r>
      <w:r>
        <w:t xml:space="preserve"> mērķi</w:t>
      </w:r>
      <w:r w:rsidR="004C407F">
        <w:t>s netiktu sasniegts</w:t>
      </w:r>
      <w:r>
        <w:t xml:space="preserve"> vismaz tādā pašā kvalitātē kā </w:t>
      </w:r>
      <w:r w:rsidR="004C407F">
        <w:t xml:space="preserve">to nodrošina </w:t>
      </w:r>
      <w:r>
        <w:t>komisijas izvēlētā metode, kas ir balstīta tieši uz specifiskajiem banku sistēmas riska profiliem Latvijā.</w:t>
      </w:r>
    </w:p>
    <w:p w14:paraId="4FB1FC85" w14:textId="4E755C33" w:rsidR="002B7CC6" w:rsidRDefault="005E1C58" w:rsidP="005E1C58">
      <w:pPr>
        <w:pStyle w:val="naiskr"/>
        <w:spacing w:before="0" w:beforeAutospacing="0" w:after="0" w:afterAutospacing="0" w:line="276" w:lineRule="auto"/>
        <w:ind w:firstLine="720"/>
        <w:jc w:val="both"/>
      </w:pPr>
      <w:r>
        <w:t xml:space="preserve">Senāts pievienojas </w:t>
      </w:r>
      <w:r w:rsidR="004C407F">
        <w:t xml:space="preserve">minētajiem </w:t>
      </w:r>
      <w:r>
        <w:t>apgabaltiesas argumentiem, jo tie ir pamatoti</w:t>
      </w:r>
      <w:r w:rsidR="004C407F">
        <w:t>, bet</w:t>
      </w:r>
      <w:r>
        <w:t xml:space="preserve"> kasācijas sūdzības argumenti par pretējo neliecina. </w:t>
      </w:r>
    </w:p>
    <w:p w14:paraId="60A43BDB" w14:textId="56D307DA" w:rsidR="00BB231F" w:rsidRDefault="005E1C58" w:rsidP="005E1C58">
      <w:pPr>
        <w:pStyle w:val="naiskr"/>
        <w:spacing w:before="0" w:beforeAutospacing="0" w:after="0" w:afterAutospacing="0" w:line="276" w:lineRule="auto"/>
        <w:ind w:firstLine="720"/>
        <w:jc w:val="both"/>
      </w:pPr>
      <w:r>
        <w:t>Pieteicēja kasācijas sūdzībā atsauca</w:t>
      </w:r>
      <w:r w:rsidR="002C4404">
        <w:t>s</w:t>
      </w:r>
      <w:r>
        <w:t xml:space="preserve"> uz Luksemburgas piemēru un uzskata, ka tas parāda, ka, piemērojot Pamatnostādnes, ir iespējams veiksmīgi vadīt nerezidentu risku banku sistēmā</w:t>
      </w:r>
      <w:r w:rsidR="002B7CC6">
        <w:t>. Pieteicējas ieskatā š</w:t>
      </w:r>
      <w:r w:rsidR="002C4404">
        <w:t>i</w:t>
      </w:r>
      <w:r w:rsidR="002B7CC6">
        <w:t>s piemērs pamato</w:t>
      </w:r>
      <w:r w:rsidR="00BB231F">
        <w:t xml:space="preserve"> korekcijas koeficienta noteikšanu pieteicējai atbilstoši Pamatnostādnēm, lai tādējādi pieteicējas tiesības tiktu mazāk ierobežotas.</w:t>
      </w:r>
    </w:p>
    <w:p w14:paraId="27DD7321" w14:textId="00B4A26A" w:rsidR="005E1C58" w:rsidRPr="002C4404" w:rsidRDefault="00BB231F" w:rsidP="00CF4EB3">
      <w:pPr>
        <w:pStyle w:val="naiskr"/>
        <w:spacing w:before="0" w:beforeAutospacing="0" w:after="0" w:afterAutospacing="0" w:line="276" w:lineRule="auto"/>
        <w:ind w:firstLine="720"/>
        <w:jc w:val="both"/>
        <w:rPr>
          <w:shd w:val="clear" w:color="auto" w:fill="FFFFFF"/>
        </w:rPr>
      </w:pPr>
      <w:r>
        <w:t>K</w:t>
      </w:r>
      <w:r w:rsidR="005E1C58">
        <w:t xml:space="preserve">ā pareizi norāda komisija, minētais pieteicējas </w:t>
      </w:r>
      <w:r w:rsidR="002C4404">
        <w:t xml:space="preserve">secinājums </w:t>
      </w:r>
      <w:r w:rsidR="005E1C58">
        <w:t xml:space="preserve">ir pārāk vispārīgs, jo tas nevar tikt izdarīts, balstoties tikai uz apsvērumu par nerezidentu biznesa modeļa izplatību gan </w:t>
      </w:r>
      <w:r w:rsidR="005E1C58">
        <w:lastRenderedPageBreak/>
        <w:t xml:space="preserve">Latvijā, gan Luksemburgā. Šāda secinājuma izdarīšanai ir jāanalizē abu valstu ekonomiskā un ģeopolitiskā situācija, kā arī tas, vai nerezidentu kopējā skaitā katrā no valstīm lielāks īpatsvars ir juridiskajām vai fiziskajām personām. Tāpat būtu jāsalīdzina abu valstu tiesiskais regulējums, jo īpaši, noziedzīgi iegūtu līdzekļu legalizācijas un terorisma finansēšanas novēršanas jomā. </w:t>
      </w:r>
      <w:r>
        <w:t xml:space="preserve">Būtu jāņem vērā arī abu valstu banku piesaistīto nerezidentu naudas plūsmas termiņi, kā arī tas, vai tiek saglabāta piesaistīto līdzekļu vērtība. </w:t>
      </w:r>
      <w:r w:rsidR="005E1C58">
        <w:t>Tā kā pieteicēja apgabaltiesai šādas ziņas nav sniegusi, tad ir nevietā pieteicējas pārmetumi apgabaltiesai, ka tā nav īpaši pievērusies pieteicējas pieņēmumu</w:t>
      </w:r>
      <w:r w:rsidR="004C407F">
        <w:t xml:space="preserve"> izvērtēšanai</w:t>
      </w:r>
      <w:r>
        <w:t xml:space="preserve">. Arī kasācijas sūdzībā pieteicēja, atsaucoties uz Luksemburgas piemēru, </w:t>
      </w:r>
      <w:r w:rsidR="002C4404">
        <w:t xml:space="preserve">nepiemin norādītos </w:t>
      </w:r>
      <w:r>
        <w:t xml:space="preserve">apstākļus. Līdz ar </w:t>
      </w:r>
      <w:r w:rsidR="002C4404">
        <w:t xml:space="preserve">to </w:t>
      </w:r>
      <w:r>
        <w:t xml:space="preserve">pieteicējas vispārīgā norāde, ka Luksemburgas piemērs ilustrē Pamatnostādņu veiksmīgu izmantošanu bankas risku vadībā, neatspēko apgabaltiesas argumentēto secinājumu, ka </w:t>
      </w:r>
      <w:r w:rsidR="005E1C58" w:rsidRPr="002C4404">
        <w:t xml:space="preserve">Pamatnostādnes nav vērtējamas kā </w:t>
      </w:r>
      <w:r w:rsidRPr="002C4404">
        <w:t xml:space="preserve">pieteicējas tiesības </w:t>
      </w:r>
      <w:r w:rsidR="005E1C58" w:rsidRPr="002C4404">
        <w:t>mazāk ierobežojošs līdzeklis</w:t>
      </w:r>
      <w:r w:rsidR="007B289A" w:rsidRPr="002C4404">
        <w:t>, lai sasniegtu</w:t>
      </w:r>
      <w:r w:rsidR="005E1C58" w:rsidRPr="002C4404">
        <w:t xml:space="preserve"> leģitīm</w:t>
      </w:r>
      <w:r w:rsidR="007B289A" w:rsidRPr="002C4404">
        <w:t>o</w:t>
      </w:r>
      <w:r w:rsidR="005E1C58" w:rsidRPr="002C4404">
        <w:t xml:space="preserve"> mērķ</w:t>
      </w:r>
      <w:r w:rsidR="007B289A" w:rsidRPr="002C4404">
        <w:t>i</w:t>
      </w:r>
      <w:r w:rsidR="005E1C58" w:rsidRPr="002C4404">
        <w:t xml:space="preserve"> vismaz tādā pašā kvalitātē</w:t>
      </w:r>
      <w:r w:rsidR="007B289A" w:rsidRPr="002C4404">
        <w:t>, kā to nodrošina komisijas izvēlētā metode.</w:t>
      </w:r>
      <w:r w:rsidR="002C4404" w:rsidRPr="002C4404">
        <w:t xml:space="preserve"> Jāņem arī vērā, ka saskaņā ar Noguldījumu garantijas direktīvas preambulas 36.punktu i</w:t>
      </w:r>
      <w:r w:rsidR="002C4404" w:rsidRPr="002C4404">
        <w:rPr>
          <w:shd w:val="clear" w:color="auto" w:fill="FFFFFF"/>
        </w:rPr>
        <w:t xml:space="preserve">emaksām, ko veic noguldījumu garantiju sistēmā, būtu jābalstās uz segto noguldījumu summu un riska pakāpi, ko uzņēmies attiecīgais dalībnieks. Tas ļautu atspoguļot atsevišķu kredītiestāžu riska profilus, tostarp to dažādos </w:t>
      </w:r>
      <w:proofErr w:type="spellStart"/>
      <w:r w:rsidR="002C4404" w:rsidRPr="002C4404">
        <w:rPr>
          <w:shd w:val="clear" w:color="auto" w:fill="FFFFFF"/>
        </w:rPr>
        <w:t>darījumdarbības</w:t>
      </w:r>
      <w:proofErr w:type="spellEnd"/>
      <w:r w:rsidR="002C4404" w:rsidRPr="002C4404">
        <w:rPr>
          <w:shd w:val="clear" w:color="auto" w:fill="FFFFFF"/>
        </w:rPr>
        <w:t xml:space="preserve"> modeļus. Tam būtu arī jāļauj taisnīgi aprēķināt iemaksas, kā arī radītu stimulu darboties atbilstoši mazāk riskantam </w:t>
      </w:r>
      <w:proofErr w:type="spellStart"/>
      <w:r w:rsidR="002C4404" w:rsidRPr="002C4404">
        <w:rPr>
          <w:shd w:val="clear" w:color="auto" w:fill="FFFFFF"/>
        </w:rPr>
        <w:t>darījumdarbības</w:t>
      </w:r>
      <w:proofErr w:type="spellEnd"/>
      <w:r w:rsidR="002C4404" w:rsidRPr="002C4404">
        <w:rPr>
          <w:shd w:val="clear" w:color="auto" w:fill="FFFFFF"/>
        </w:rPr>
        <w:t xml:space="preserve"> modelim. Tādējādi, ja bankai, kuras </w:t>
      </w:r>
      <w:proofErr w:type="spellStart"/>
      <w:r w:rsidR="002C4404" w:rsidRPr="002C4404">
        <w:rPr>
          <w:shd w:val="clear" w:color="auto" w:fill="FFFFFF"/>
        </w:rPr>
        <w:t>darījumdarbības</w:t>
      </w:r>
      <w:proofErr w:type="spellEnd"/>
      <w:r w:rsidR="002C4404" w:rsidRPr="002C4404">
        <w:rPr>
          <w:shd w:val="clear" w:color="auto" w:fill="FFFFFF"/>
        </w:rPr>
        <w:t xml:space="preserve"> modelis rada augstu riska pakāpi, korekcijas koeficients tiktu aprēķināts, neņemot vērā attiecīgos riskus, netiktu radīts stimuls bankai izvēlēties tādu darbības modeli, kas rada iespējami mazākus riskus un kas tādējādi iespējami mazāk ietekmē visas sabiedrības intereses un labklājības līmeni.</w:t>
      </w:r>
    </w:p>
    <w:p w14:paraId="71344694" w14:textId="77777777" w:rsidR="002C4404" w:rsidRPr="002C4404" w:rsidRDefault="002C4404" w:rsidP="00CF4EB3">
      <w:pPr>
        <w:pStyle w:val="naiskr"/>
        <w:spacing w:before="0" w:beforeAutospacing="0" w:after="0" w:afterAutospacing="0" w:line="276" w:lineRule="auto"/>
        <w:ind w:firstLine="720"/>
        <w:jc w:val="both"/>
      </w:pPr>
    </w:p>
    <w:p w14:paraId="69C67B70" w14:textId="068DFF99" w:rsidR="00746243" w:rsidRDefault="00C67B4B" w:rsidP="00CF4EB3">
      <w:pPr>
        <w:pStyle w:val="naiskr"/>
        <w:spacing w:before="0" w:beforeAutospacing="0" w:after="0" w:afterAutospacing="0" w:line="276" w:lineRule="auto"/>
        <w:ind w:firstLine="720"/>
        <w:jc w:val="both"/>
      </w:pPr>
      <w:r>
        <w:t>[</w:t>
      </w:r>
      <w:r w:rsidR="009B0AE3">
        <w:t>1</w:t>
      </w:r>
      <w:r w:rsidR="00FD32B7">
        <w:t>8</w:t>
      </w:r>
      <w:r>
        <w:t>] </w:t>
      </w:r>
      <w:r w:rsidR="00D80A55">
        <w:t xml:space="preserve">Kasācijas sūdzībā norādīts, ka apgabaltiesa ir pārkāpusi Administratīvā procesa likuma </w:t>
      </w:r>
      <w:proofErr w:type="gramStart"/>
      <w:r w:rsidR="00D80A55">
        <w:t>154.pantu</w:t>
      </w:r>
      <w:proofErr w:type="gramEnd"/>
      <w:r w:rsidR="00746243">
        <w:t>.</w:t>
      </w:r>
    </w:p>
    <w:p w14:paraId="3540B27C" w14:textId="74DCDAE6" w:rsidR="00746243" w:rsidRDefault="00746243" w:rsidP="00CF4EB3">
      <w:pPr>
        <w:pStyle w:val="naiskr"/>
        <w:spacing w:before="0" w:beforeAutospacing="0" w:after="0" w:afterAutospacing="0" w:line="276" w:lineRule="auto"/>
        <w:ind w:firstLine="720"/>
        <w:jc w:val="both"/>
      </w:pPr>
      <w:r>
        <w:t xml:space="preserve">Šā panta normas nosaka vairākas pierādījumu novērtēšanas prasības. </w:t>
      </w:r>
    </w:p>
    <w:p w14:paraId="4FC32A02" w14:textId="23BEBFD7" w:rsidR="0033410E" w:rsidRDefault="00746243" w:rsidP="00746243">
      <w:pPr>
        <w:pStyle w:val="naiskr"/>
        <w:spacing w:before="0" w:beforeAutospacing="0" w:after="0" w:afterAutospacing="0" w:line="276" w:lineRule="auto"/>
        <w:ind w:firstLine="720"/>
        <w:jc w:val="both"/>
      </w:pPr>
      <w:r>
        <w:t xml:space="preserve">Saskaņā ar Administratīvā procesa likuma </w:t>
      </w:r>
      <w:proofErr w:type="gramStart"/>
      <w:r>
        <w:t>149.pantu</w:t>
      </w:r>
      <w:proofErr w:type="gramEnd"/>
      <w:r>
        <w:t xml:space="preserve"> pierādījumi administratīvajā lietā ir ziņas par faktiem, uz kuriem pamatoti administratīvā procesa dalībnieku prasījumi un iebildumi, kā arī ziņas par citiem faktiem, kuriem ir nozīme lietas izspriešanā. </w:t>
      </w:r>
      <w:r w:rsidR="00225606">
        <w:t>Tātad pierādījumi ir ziņas par faktiem. Administratīvā procesa likums nesniedz skaidrojumu vārdam “fakts”. Taču no minētās tiesību normas jēgas un būtības ir skaidrs, ka ar</w:t>
      </w:r>
      <w:r>
        <w:t xml:space="preserve"> faktu</w:t>
      </w:r>
      <w:r w:rsidR="00BB231F">
        <w:t xml:space="preserve"> konkrētajā</w:t>
      </w:r>
      <w:r>
        <w:t xml:space="preserve"> </w:t>
      </w:r>
      <w:r w:rsidR="00225606">
        <w:t xml:space="preserve">administratīvajā procesā </w:t>
      </w:r>
      <w:r>
        <w:t xml:space="preserve">nav saprotams jebkurš fakts, bet </w:t>
      </w:r>
      <w:r w:rsidR="00BB231F">
        <w:t xml:space="preserve">gan </w:t>
      </w:r>
      <w:r w:rsidR="0002610E">
        <w:t xml:space="preserve">konkrēto tiesisko strīdu izraisījušais fakts jeb </w:t>
      </w:r>
      <w:r w:rsidR="00225606">
        <w:t xml:space="preserve">notikums, kas ir bijis par pamatu konkrēta administratīvā akta izdošanai. </w:t>
      </w:r>
      <w:r w:rsidR="0033410E">
        <w:t>Iebilstot</w:t>
      </w:r>
      <w:r w:rsidR="00225606">
        <w:t xml:space="preserve"> pret iestādes izdotu administratīvo aktu, personai ir jāpierāda konkrēta fakta esība (neesība),</w:t>
      </w:r>
      <w:r w:rsidR="0002610E">
        <w:t xml:space="preserve"> tādējādi pamatojot savu prasījumu. Savukārt iestādei jāpierāda to faktu esība (neesība), kas pamato iestādes iebildumus.</w:t>
      </w:r>
      <w:r w:rsidR="0033410E">
        <w:t xml:space="preserve"> Konkrēto faktu esības (neesības) konstatēšana ir būtiska tiesiskā strīda izšķiršanai. </w:t>
      </w:r>
      <w:r>
        <w:t xml:space="preserve">Šo faktu pierādīšanai tiek iesniegti pierādījumu avoti jeb objekti, kas ietver </w:t>
      </w:r>
      <w:r w:rsidR="0002610E">
        <w:t xml:space="preserve">attiecīgos </w:t>
      </w:r>
      <w:r>
        <w:t xml:space="preserve">pierādījumus. </w:t>
      </w:r>
    </w:p>
    <w:p w14:paraId="57C8C249" w14:textId="0C714DA8" w:rsidR="0033410E" w:rsidRDefault="0033410E" w:rsidP="00746243">
      <w:pPr>
        <w:pStyle w:val="naiskr"/>
        <w:spacing w:before="0" w:beforeAutospacing="0" w:after="0" w:afterAutospacing="0" w:line="276" w:lineRule="auto"/>
        <w:ind w:firstLine="720"/>
        <w:jc w:val="both"/>
      </w:pPr>
      <w:r>
        <w:t xml:space="preserve">Pieteicēja, pārmetot apgabaltiesai Administratīvā procesa likuma </w:t>
      </w:r>
      <w:proofErr w:type="gramStart"/>
      <w:r>
        <w:t>154.panta</w:t>
      </w:r>
      <w:proofErr w:type="gramEnd"/>
      <w:r>
        <w:t xml:space="preserve"> pārkāpumu, norāda, ka apgabaltiesa, </w:t>
      </w:r>
      <w:r w:rsidR="00333B73">
        <w:t>atzīstot</w:t>
      </w:r>
      <w:r>
        <w:t>, ka attiecībā uz nerezidentu apkalpošanu orientētām bankām pastāv nenosegtie riski (tirgus un reputācijas risks), ir izmantojusi publiskajā telpā atrodamās publikācijas</w:t>
      </w:r>
      <w:r w:rsidR="00E338F1">
        <w:t>, t</w:t>
      </w:r>
      <w:r w:rsidR="00333B73">
        <w:t xml:space="preserve">aču apgabaltiesa neesot </w:t>
      </w:r>
      <w:r>
        <w:t>pierād</w:t>
      </w:r>
      <w:r w:rsidR="00333B73">
        <w:t>ījusi</w:t>
      </w:r>
      <w:r>
        <w:t xml:space="preserve">, ka nenosegto risku dēļ pieteicējai ir augstāka noguldījumu nepieejamības iestāšanās iespēja. </w:t>
      </w:r>
    </w:p>
    <w:p w14:paraId="1B6E0EC0" w14:textId="171886DF" w:rsidR="00E51962" w:rsidRDefault="00333B73" w:rsidP="00746243">
      <w:pPr>
        <w:pStyle w:val="naiskr"/>
        <w:spacing w:before="0" w:beforeAutospacing="0" w:after="0" w:afterAutospacing="0" w:line="276" w:lineRule="auto"/>
        <w:ind w:firstLine="720"/>
        <w:jc w:val="both"/>
      </w:pPr>
      <w:r>
        <w:t>Senāts konstatē, ka apgabaltiesa spriedumā</w:t>
      </w:r>
      <w:r w:rsidR="00E51962">
        <w:t xml:space="preserve">, vērtējot tirgus un reputācijas risku nozīmi un ietekmi uz </w:t>
      </w:r>
      <w:r w:rsidR="00BB231F">
        <w:t xml:space="preserve">pieteicēju kā </w:t>
      </w:r>
      <w:r w:rsidR="00E51962">
        <w:t>nerezidentus apkalpojoš</w:t>
      </w:r>
      <w:r w:rsidR="00BB231F">
        <w:t>o</w:t>
      </w:r>
      <w:r w:rsidR="00E51962">
        <w:t xml:space="preserve"> bank</w:t>
      </w:r>
      <w:r w:rsidR="00BB231F">
        <w:t>u</w:t>
      </w:r>
      <w:r w:rsidR="00E51962">
        <w:t xml:space="preserve">, ir atsaukusies uz </w:t>
      </w:r>
      <w:r w:rsidR="00734615">
        <w:t xml:space="preserve">Eiropas </w:t>
      </w:r>
      <w:r w:rsidR="00734615">
        <w:lastRenderedPageBreak/>
        <w:t xml:space="preserve">Komisijas pārstāvju </w:t>
      </w:r>
      <w:r w:rsidR="00E51962">
        <w:t xml:space="preserve">publikācijām, kurās </w:t>
      </w:r>
      <w:r>
        <w:t>norādīts, ka nerezidentus apkalpojošās bankas darbības modelis ir saistīts ar būtiskiem riskiem</w:t>
      </w:r>
      <w:r w:rsidR="00E51962">
        <w:t xml:space="preserve"> un š</w:t>
      </w:r>
      <w:r>
        <w:t xml:space="preserve">ādas bankas darbības modelis rada vismaz septiņus riskus, </w:t>
      </w:r>
      <w:r w:rsidR="00E51962">
        <w:t>tostarp reputācijas un tirgus risku. Apgabaltiesa ir sniegusi skaidrojumu tam, kas ir tirgus un reputācijas risks, ar ko tas ir saistīts, kā tas var ietekmēt nerezidentus apkalpojošās bankas darbību, kā šādas bankas darbība</w:t>
      </w:r>
      <w:r w:rsidR="00734615">
        <w:t xml:space="preserve"> var</w:t>
      </w:r>
      <w:r w:rsidR="00E51962">
        <w:t xml:space="preserve"> ietekmē</w:t>
      </w:r>
      <w:r w:rsidR="00734615">
        <w:t>t</w:t>
      </w:r>
      <w:r w:rsidR="00E51962">
        <w:t xml:space="preserve"> finanšu un kapitāla tirgu un otrādi, proti, kā </w:t>
      </w:r>
      <w:r w:rsidR="00734615">
        <w:t xml:space="preserve">notikumi </w:t>
      </w:r>
      <w:r w:rsidR="00E51962">
        <w:t>finanšu un kapitāla tirg</w:t>
      </w:r>
      <w:r w:rsidR="00734615">
        <w:t>ū var</w:t>
      </w:r>
      <w:r w:rsidR="00E51962">
        <w:t xml:space="preserve"> ietekmē</w:t>
      </w:r>
      <w:r w:rsidR="00734615">
        <w:t>t</w:t>
      </w:r>
      <w:r w:rsidR="00E51962">
        <w:t xml:space="preserve"> nerezidentus apkalpojošās bankas. Tā rezultātā apgabaltiesa ir secinājusi, ka nenosegtie riski </w:t>
      </w:r>
      <w:r w:rsidR="00E338F1">
        <w:t>var palielināt noguldījumu nepieejamības iestāšanās iespējamību</w:t>
      </w:r>
      <w:r w:rsidR="00E51962">
        <w:t>, kas savukārt rada nepieciešamību noteikt šādas bankas noguldījumu garantiju fondā veicamā maksājuma korekciju, lai novērstu vai mazinātu, ka noguldījumu nepieejamības iestāšanās gadījumā tiek izmantoti valsts budžeta līdzekļi.</w:t>
      </w:r>
    </w:p>
    <w:p w14:paraId="742D01F6" w14:textId="26A04247" w:rsidR="00E338F1" w:rsidRDefault="00E11B25" w:rsidP="00F277B7">
      <w:pPr>
        <w:pStyle w:val="naiskr"/>
        <w:spacing w:before="0" w:beforeAutospacing="0" w:after="0" w:afterAutospacing="0" w:line="276" w:lineRule="auto"/>
        <w:ind w:firstLine="720"/>
        <w:jc w:val="both"/>
      </w:pPr>
      <w:r>
        <w:t xml:space="preserve">No minētā redzams, ka apgabaltiesa </w:t>
      </w:r>
      <w:r w:rsidR="00734615">
        <w:t>Eiropas Komisijas pārstāvju publikācij</w:t>
      </w:r>
      <w:r>
        <w:t xml:space="preserve">as ir izmantojusi, lai pamatotu </w:t>
      </w:r>
      <w:r w:rsidR="00734615">
        <w:t>savu viedokli</w:t>
      </w:r>
      <w:r w:rsidR="00327ECB">
        <w:t xml:space="preserve"> un secinājumus</w:t>
      </w:r>
      <w:r>
        <w:t>, nevis</w:t>
      </w:r>
      <w:r w:rsidR="00F277B7">
        <w:t>, lai, piešķirot t</w:t>
      </w:r>
      <w:r w:rsidR="00BB231F">
        <w:t>ā</w:t>
      </w:r>
      <w:r w:rsidR="00F277B7">
        <w:t>m pierādījuma spēku</w:t>
      </w:r>
      <w:r w:rsidR="00F277B7" w:rsidRPr="00243F04">
        <w:t>, atzītu pa</w:t>
      </w:r>
      <w:r w:rsidR="007822FD" w:rsidRPr="00243F04">
        <w:t>r</w:t>
      </w:r>
      <w:r w:rsidR="00F277B7" w:rsidRPr="00243F04">
        <w:t xml:space="preserve"> tiesiskiem</w:t>
      </w:r>
      <w:r w:rsidR="00F277B7">
        <w:t xml:space="preserve"> komisijas izdotos administratīvos aktus. Izmantojot publiskajā telpā paustos kompetento personu viedokļus un skaidrojumus, apgabaltiesa ir pārbaudījusi pārsūdzētajos lēmumos un komisijas paskaidrojumos sniegtos skaidrojumos. Turklāt </w:t>
      </w:r>
      <w:r>
        <w:t>p</w:t>
      </w:r>
      <w:r w:rsidR="00327ECB">
        <w:t>retēji pieteicējas viedoklim i</w:t>
      </w:r>
      <w:r w:rsidR="00734615">
        <w:t xml:space="preserve">zmantotajās publikācijās paustos viedokļus </w:t>
      </w:r>
      <w:r w:rsidR="00327ECB">
        <w:t>apgabaltiesa</w:t>
      </w:r>
      <w:r w:rsidR="00734615">
        <w:t xml:space="preserve"> nav </w:t>
      </w:r>
      <w:r w:rsidR="00327ECB">
        <w:t xml:space="preserve">ņēmusi vērā kā </w:t>
      </w:r>
      <w:r w:rsidR="00734615">
        <w:t xml:space="preserve">vispāratzītus faktus, piešķirot tiem autoritatīvu nozīmi. </w:t>
      </w:r>
      <w:r w:rsidR="00F277B7">
        <w:t>A</w:t>
      </w:r>
      <w:r w:rsidR="00327ECB">
        <w:t xml:space="preserve">pgabaltiesa </w:t>
      </w:r>
      <w:r w:rsidR="00450A1C">
        <w:t xml:space="preserve">izmantoto informāciju </w:t>
      </w:r>
      <w:r w:rsidR="00327ECB">
        <w:t xml:space="preserve">ir vērtējusi un analizējusi kopsakarā ar </w:t>
      </w:r>
      <w:r w:rsidR="00450A1C">
        <w:t xml:space="preserve">izskatāmās lietas faktiskajiem apstākļiem, </w:t>
      </w:r>
      <w:r w:rsidR="00F277B7">
        <w:t xml:space="preserve">lai noskaidrotu to attiecināmību uz pieteicēju. Tāpat apgabaltiesa izmantoto informāciju ir vērtējusi kopsakarā ar </w:t>
      </w:r>
      <w:r w:rsidR="00450A1C">
        <w:t>Noguldījumu garantiju likuma un Kredītiestāžu likuma norm</w:t>
      </w:r>
      <w:r w:rsidR="004C407F">
        <w:t>ām</w:t>
      </w:r>
      <w:r w:rsidR="00450A1C">
        <w:t xml:space="preserve">, kā arī </w:t>
      </w:r>
      <w:r w:rsidR="004C407F">
        <w:t xml:space="preserve">ar </w:t>
      </w:r>
      <w:r w:rsidR="00450A1C">
        <w:t>pieteicējas paskaidrojum</w:t>
      </w:r>
      <w:r w:rsidR="00F277B7">
        <w:t>iem</w:t>
      </w:r>
      <w:r w:rsidR="00450A1C">
        <w:t xml:space="preserve"> par riskiem, kas attiecināmi uz nerezidentus apkalpojošām bankām. </w:t>
      </w:r>
      <w:r>
        <w:t>A</w:t>
      </w:r>
      <w:r w:rsidR="00450A1C">
        <w:t xml:space="preserve">pgabaltiesa nav izdarījusi neargumentētus un patvaļīgus secinājumus. </w:t>
      </w:r>
      <w:r w:rsidR="00F277B7">
        <w:t xml:space="preserve">Apstāklis, ka pieteicēja nepiekrīt apgabaltiesas izmantotajās publikācijās paustajam viedoklim, nenozīmē, ka apgabaltiesa šo informāciju nevarēja izmantot kā palīgavotu strīdus jautājuma risināšanā. Turklāt ir pamatota komisija norāde, ka </w:t>
      </w:r>
      <w:r w:rsidR="00327ECB">
        <w:t>apgabaltiesa ir izmantojusi tādu informāciju, kas attiecas tieši uz Latvijā novēroto nerezidentu biznesa modeli, savukārt pieteicēja</w:t>
      </w:r>
      <w:r w:rsidR="00F277B7">
        <w:t>, uzskatot, ka apgabaltiesai bija jāņem vērā arī kasācijas sūdzībā norādītie informācijas avoti,</w:t>
      </w:r>
      <w:r w:rsidR="00327ECB">
        <w:t xml:space="preserve"> atsaucas uz Amerikas Savienoto Valstu iestāžu veiktajiem pētījumiem par vispārējām biznesa attīstības tendencēm Eiropā un pasaulē</w:t>
      </w:r>
      <w:r w:rsidR="00F277B7">
        <w:t>. Pieteicēja ne</w:t>
      </w:r>
      <w:r w:rsidR="00327ECB">
        <w:t>paskaidro, kāpēc apgabaltiesai bija jāņem vērā tieši šajā pētījumā paustās atziņas, kuras neatklāj konkrētā jautājuma problemātiku Latvijā, ņemot vērā no tiesiskās, politiskās un ekonomiskās sistēmas izrietošos riskus</w:t>
      </w:r>
      <w:r w:rsidR="00F277B7">
        <w:t xml:space="preserve">. Tāpat kasācijas sūdzībā nav norādīts, kāpēc apgabaltiesa nevarēja izmantot preses relīzē sniegto ziņu, ka </w:t>
      </w:r>
      <w:r w:rsidR="00450A1C">
        <w:t>2015.gadā nerezidentu noguldījumi tika uzskatīti par banku sistēmas galveno risku.</w:t>
      </w:r>
      <w:r w:rsidR="00F277B7">
        <w:t xml:space="preserve"> Apstāklis, ka apgabaltiesa spriedumā nav plašāk citējusi attiecīgajā preses rakstā </w:t>
      </w:r>
      <w:r w:rsidR="00D6333C">
        <w:t>sniegto informāciju par nerezidentu noguldījumiem 2015.gadā, bet pamatojusies tikai uz preses relīzi, nepadara šo informāciju par neizmantojamu, jo īpaši, apstākļos, kad pieteicēja pēc būtības neiebilst pret šo apstākli un arī virkne citu masu informācijas līdzekļos pieejamo ziņu to apstiprina.</w:t>
      </w:r>
    </w:p>
    <w:p w14:paraId="02C24001" w14:textId="54516E04" w:rsidR="005E1C58" w:rsidRDefault="00D6333C" w:rsidP="001F61A4">
      <w:pPr>
        <w:pStyle w:val="naiskr"/>
        <w:spacing w:before="0" w:beforeAutospacing="0" w:after="0" w:afterAutospacing="0" w:line="276" w:lineRule="auto"/>
        <w:ind w:firstLine="720"/>
        <w:jc w:val="both"/>
      </w:pPr>
      <w:r>
        <w:t xml:space="preserve">Rezumējot Senāts nesaskata pārkāpumus apgabaltiesas rīcībā, lietā risināmā jautājuma skaidrošanai kā palīgavotu izmantojot publiski pieejamās publikācijas. Kādu publikāciju, literatūras avotu, kompetento personu sniegto viedokļu </w:t>
      </w:r>
      <w:r w:rsidR="005E1C58">
        <w:t>u.tml. palīgavotu izmantošana risināmā jautājuma teorētisko un praktisko aspektu aplūkošanai neuzliek tiesai pienākumu iegūt pierādījumus šajos avotos norādīto apstākļu apstiprināšanai.</w:t>
      </w:r>
    </w:p>
    <w:p w14:paraId="22131924" w14:textId="35888F6D" w:rsidR="00041343" w:rsidRDefault="005E1C58" w:rsidP="001F61A4">
      <w:pPr>
        <w:pStyle w:val="naiskr"/>
        <w:spacing w:before="0" w:beforeAutospacing="0" w:after="0" w:afterAutospacing="0" w:line="276" w:lineRule="auto"/>
        <w:ind w:firstLine="720"/>
        <w:jc w:val="both"/>
      </w:pPr>
      <w:r>
        <w:t>Papildus minētajam pieteicēja, pārmetot apgabaltiesa</w:t>
      </w:r>
      <w:r w:rsidR="00BB231F">
        <w:t>i</w:t>
      </w:r>
      <w:r>
        <w:t xml:space="preserve"> Administratīvā procesa likuma </w:t>
      </w:r>
      <w:proofErr w:type="gramStart"/>
      <w:r>
        <w:t>154.panta</w:t>
      </w:r>
      <w:proofErr w:type="gramEnd"/>
      <w:r>
        <w:t xml:space="preserve"> pārkāpumu, norāda </w:t>
      </w:r>
      <w:r w:rsidR="00C54CD3">
        <w:t xml:space="preserve">virkni tādu argumentu, kas vērsti uz lietas izskatīšanu pēc būtības un kuri </w:t>
      </w:r>
      <w:r w:rsidR="00FC133D">
        <w:t xml:space="preserve">caurvij pieteicējas nostāju par to, kā apgabaltiesai bija jāizskata konkrētā lieta </w:t>
      </w:r>
      <w:r w:rsidR="00FC133D">
        <w:lastRenderedPageBreak/>
        <w:t xml:space="preserve">un kādi secinājumi apgabaltiesai bija jāizdara. </w:t>
      </w:r>
      <w:r w:rsidR="00C54CD3">
        <w:t xml:space="preserve">Tā kā kasācijas instances tiesas kompetencē neietilpst lietas faktisko apstākļu un pierādījumu vērtēšana, tad kasācijas instances tiesā </w:t>
      </w:r>
      <w:r w:rsidR="00FC133D">
        <w:t xml:space="preserve">šādi uz lietas izskatīšanu </w:t>
      </w:r>
      <w:r w:rsidR="00C54CD3">
        <w:t>pēc būtības vērsti argumenti</w:t>
      </w:r>
      <w:r w:rsidR="00FC133D">
        <w:t xml:space="preserve"> nav pieļaujami. </w:t>
      </w:r>
    </w:p>
    <w:p w14:paraId="22DAC533" w14:textId="77777777" w:rsidR="00041343" w:rsidRDefault="00041343" w:rsidP="001F61A4">
      <w:pPr>
        <w:pStyle w:val="naiskr"/>
        <w:spacing w:before="0" w:beforeAutospacing="0" w:after="0" w:afterAutospacing="0" w:line="276" w:lineRule="auto"/>
        <w:ind w:firstLine="720"/>
        <w:jc w:val="both"/>
      </w:pPr>
    </w:p>
    <w:p w14:paraId="253DFFF6" w14:textId="7F27C847" w:rsidR="00EA0153" w:rsidRDefault="00EA0153" w:rsidP="00AB4F3E">
      <w:pPr>
        <w:pStyle w:val="naiskr"/>
        <w:spacing w:before="0" w:beforeAutospacing="0" w:after="0" w:afterAutospacing="0" w:line="276" w:lineRule="auto"/>
        <w:ind w:firstLine="720"/>
        <w:jc w:val="both"/>
      </w:pPr>
      <w:r w:rsidRPr="00ED7624">
        <w:t>[1</w:t>
      </w:r>
      <w:r w:rsidR="00FD32B7">
        <w:t>9</w:t>
      </w:r>
      <w:r w:rsidRPr="00ED7624">
        <w:t>] </w:t>
      </w:r>
      <w:r w:rsidR="007B289A">
        <w:t>Ņemot vērā minēto</w:t>
      </w:r>
      <w:r>
        <w:t>, Senāts apgabaltiesas rīcībā nekonstatē kasācijas sūdzībā norādītos materiālo un procesuālo tiesību normu pārkāpumus.</w:t>
      </w:r>
    </w:p>
    <w:p w14:paraId="5139032D" w14:textId="133BA753" w:rsidR="00AC7D11" w:rsidRDefault="00AC7D11" w:rsidP="00AB4F3E">
      <w:pPr>
        <w:pStyle w:val="naiskr"/>
        <w:spacing w:before="0" w:beforeAutospacing="0" w:after="0" w:afterAutospacing="0" w:line="276" w:lineRule="auto"/>
        <w:ind w:firstLine="720"/>
        <w:jc w:val="both"/>
      </w:pPr>
    </w:p>
    <w:p w14:paraId="728EC3B0" w14:textId="7DF34306" w:rsidR="00AC7D11" w:rsidRPr="00D37B7B" w:rsidRDefault="00AC7D11" w:rsidP="00AB4F3E">
      <w:pPr>
        <w:pStyle w:val="naiskr"/>
        <w:spacing w:before="0" w:beforeAutospacing="0" w:after="0" w:afterAutospacing="0" w:line="276" w:lineRule="auto"/>
        <w:ind w:firstLine="720"/>
        <w:jc w:val="both"/>
      </w:pPr>
      <w:r>
        <w:t>[</w:t>
      </w:r>
      <w:r w:rsidR="00FD32B7">
        <w:t>20</w:t>
      </w:r>
      <w:r>
        <w:t>] Kasācijas sūdzīb</w:t>
      </w:r>
      <w:r w:rsidR="00D37B7B">
        <w:t>ā, atsaucoties uz pieteikumā norādīto pamatojumu,</w:t>
      </w:r>
      <w:r>
        <w:t xml:space="preserve"> izteikts lūgums vērsties ar pieteikumu Satversmes tiesā par </w:t>
      </w:r>
      <w:bookmarkStart w:id="4" w:name="_Hlk55821924"/>
      <w:r>
        <w:t xml:space="preserve">Korekcijas koeficientu </w:t>
      </w:r>
      <w:r w:rsidR="00AC0092">
        <w:t>aprēķināšanas</w:t>
      </w:r>
      <w:r>
        <w:t xml:space="preserve"> noteikumu 17.punkta </w:t>
      </w:r>
      <w:r w:rsidR="00D37B7B">
        <w:t xml:space="preserve">un </w:t>
      </w:r>
      <w:r>
        <w:t xml:space="preserve">2.pielikuma 12. un 13.rādītāju </w:t>
      </w:r>
      <w:r w:rsidRPr="00D37B7B">
        <w:t xml:space="preserve">neatbilstību </w:t>
      </w:r>
      <w:bookmarkEnd w:id="4"/>
      <w:r w:rsidRPr="00D37B7B">
        <w:t xml:space="preserve">Satversmes </w:t>
      </w:r>
      <w:r w:rsidR="007B289A">
        <w:t xml:space="preserve">91. un </w:t>
      </w:r>
      <w:proofErr w:type="gramStart"/>
      <w:r w:rsidRPr="00D37B7B">
        <w:t>105.pantam</w:t>
      </w:r>
      <w:proofErr w:type="gramEnd"/>
      <w:r w:rsidRPr="00D37B7B">
        <w:t>.</w:t>
      </w:r>
    </w:p>
    <w:p w14:paraId="031549EE" w14:textId="740C9925" w:rsidR="007B289A" w:rsidRDefault="007B289A" w:rsidP="007B289A">
      <w:pPr>
        <w:pStyle w:val="naiskr"/>
        <w:spacing w:before="0" w:beforeAutospacing="0" w:after="0" w:afterAutospacing="0" w:line="276" w:lineRule="auto"/>
        <w:ind w:firstLine="720"/>
        <w:jc w:val="both"/>
        <w:rPr>
          <w:shd w:val="clear" w:color="auto" w:fill="FFFFFF"/>
        </w:rPr>
      </w:pPr>
      <w:proofErr w:type="gramStart"/>
      <w:r>
        <w:t>91.pants</w:t>
      </w:r>
      <w:proofErr w:type="gramEnd"/>
      <w:r>
        <w:t xml:space="preserve"> no</w:t>
      </w:r>
      <w:r w:rsidR="00DF0E72">
        <w:t>teic</w:t>
      </w:r>
      <w:r>
        <w:t xml:space="preserve">, ka </w:t>
      </w:r>
      <w:r w:rsidRPr="00D37B7B">
        <w:t>v</w:t>
      </w:r>
      <w:r w:rsidRPr="00D37B7B">
        <w:rPr>
          <w:shd w:val="clear" w:color="auto" w:fill="FFFFFF"/>
        </w:rPr>
        <w:t xml:space="preserve">isi cilvēki Latvijā ir vienlīdzīgi likuma un tiesas priekšā. Cilvēka tiesības tiek īstenotas bez jebkādas diskriminācijas. </w:t>
      </w:r>
    </w:p>
    <w:p w14:paraId="02EC7066" w14:textId="225C187B" w:rsidR="00AC7D11" w:rsidRDefault="00D37B7B" w:rsidP="00AB4F3E">
      <w:pPr>
        <w:pStyle w:val="naiskr"/>
        <w:spacing w:before="0" w:beforeAutospacing="0" w:after="0" w:afterAutospacing="0" w:line="276" w:lineRule="auto"/>
        <w:ind w:firstLine="720"/>
        <w:jc w:val="both"/>
        <w:rPr>
          <w:shd w:val="clear" w:color="auto" w:fill="FFFFFF"/>
        </w:rPr>
      </w:pPr>
      <w:proofErr w:type="gramStart"/>
      <w:r w:rsidRPr="00D37B7B">
        <w:rPr>
          <w:shd w:val="clear" w:color="auto" w:fill="FFFFFF"/>
        </w:rPr>
        <w:t>1</w:t>
      </w:r>
      <w:r w:rsidR="00AC7D11" w:rsidRPr="00D37B7B">
        <w:rPr>
          <w:shd w:val="clear" w:color="auto" w:fill="FFFFFF"/>
        </w:rPr>
        <w:t>05.</w:t>
      </w:r>
      <w:r w:rsidRPr="00D37B7B">
        <w:rPr>
          <w:shd w:val="clear" w:color="auto" w:fill="FFFFFF"/>
        </w:rPr>
        <w:t>pants</w:t>
      </w:r>
      <w:proofErr w:type="gramEnd"/>
      <w:r w:rsidRPr="00D37B7B">
        <w:rPr>
          <w:shd w:val="clear" w:color="auto" w:fill="FFFFFF"/>
        </w:rPr>
        <w:t xml:space="preserve"> no</w:t>
      </w:r>
      <w:r w:rsidR="00DF0E72">
        <w:rPr>
          <w:shd w:val="clear" w:color="auto" w:fill="FFFFFF"/>
        </w:rPr>
        <w:t>teic</w:t>
      </w:r>
      <w:r w:rsidRPr="00D37B7B">
        <w:rPr>
          <w:shd w:val="clear" w:color="auto" w:fill="FFFFFF"/>
        </w:rPr>
        <w:t>, ka i</w:t>
      </w:r>
      <w:r w:rsidR="00AC7D11" w:rsidRPr="00D37B7B">
        <w:rPr>
          <w:shd w:val="clear" w:color="auto" w:fill="FFFFFF"/>
        </w:rPr>
        <w:t>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w:t>
      </w:r>
      <w:r>
        <w:rPr>
          <w:shd w:val="clear" w:color="auto" w:fill="FFFFFF"/>
        </w:rPr>
        <w:t xml:space="preserve"> </w:t>
      </w:r>
    </w:p>
    <w:p w14:paraId="66A374FA" w14:textId="6D51D3A6" w:rsidR="007B289A" w:rsidRDefault="007B289A" w:rsidP="007B289A">
      <w:pPr>
        <w:pStyle w:val="naiskr"/>
        <w:spacing w:before="0" w:beforeAutospacing="0" w:after="0" w:afterAutospacing="0" w:line="276" w:lineRule="auto"/>
        <w:ind w:firstLine="720"/>
        <w:jc w:val="both"/>
      </w:pPr>
      <w:r>
        <w:t>Pieteicēja uzskata, ka tā ir vienādos un salīdzināmos apstākļos ar bankām, kurām nav noteikti korektīvie pasākumi, proti, pienākums uzturēt augstāku pašu kapitāla līmeni un likviditātes rādītāju. Savukārt</w:t>
      </w:r>
      <w:r w:rsidR="004C407F">
        <w:t>,</w:t>
      </w:r>
      <w:r>
        <w:t xml:space="preserve"> atsaucoties uz Satversmes tiesas atzīto, ka īpašuma tiesības var ierobežot, ja ierobežojums ir noteikts ar likumu, tas ir noteikts leģitīma mērķa sasniegšanai un tas ir samērīgs, pieteicēja uzskata, ka Korekcijas koeficientu aprēķināšanas noteikumu 17.punkts un 2.pielikuma 12. un 13.rādītāji </w:t>
      </w:r>
      <w:r w:rsidRPr="00D37B7B">
        <w:t>neatbilst</w:t>
      </w:r>
      <w:r>
        <w:t xml:space="preserve"> nevienai no šīm prasībām.</w:t>
      </w:r>
    </w:p>
    <w:p w14:paraId="5E98EA4A" w14:textId="78A8FA63" w:rsidR="007B289A" w:rsidRDefault="007B289A" w:rsidP="007B289A">
      <w:pPr>
        <w:pStyle w:val="naiskr"/>
        <w:spacing w:before="0" w:beforeAutospacing="0" w:after="0" w:afterAutospacing="0" w:line="276" w:lineRule="auto"/>
        <w:ind w:firstLine="720"/>
        <w:jc w:val="both"/>
      </w:pPr>
      <w:r>
        <w:t>Senāts konstatē, ka minēt</w:t>
      </w:r>
      <w:r w:rsidR="004C407F">
        <w:t>ie</w:t>
      </w:r>
      <w:r>
        <w:t xml:space="preserve"> pieteicējas argument</w:t>
      </w:r>
      <w:r w:rsidR="004C407F">
        <w:t>i</w:t>
      </w:r>
      <w:r>
        <w:t xml:space="preserve"> izvērsti ir analizēti apgabaltiesas spriedumā. </w:t>
      </w:r>
    </w:p>
    <w:p w14:paraId="33B4A3C1" w14:textId="7AE16D4C" w:rsidR="007B289A" w:rsidRDefault="007B289A" w:rsidP="007B289A">
      <w:pPr>
        <w:pStyle w:val="naiskr"/>
        <w:spacing w:before="0" w:beforeAutospacing="0" w:after="0" w:afterAutospacing="0" w:line="276" w:lineRule="auto"/>
        <w:ind w:firstLine="720"/>
        <w:jc w:val="both"/>
      </w:pPr>
      <w:r>
        <w:t>Novērtējot uz nerezidentu apkalpošanu vērstas bankas darbības modeli, apgabaltiesa secinājusi, ka tas rada paaugstinātus riskus noguldījumu nepieejamībai. Tā kā pienākums uzturēt augstāku pašu kapitāla līmeni un likviditātes rādītāju nemazina visus no šāda darbības modeļa izrietošos riskus, apgabaltiesa atzinusi, ka attiecībā uz pienākumu veikt iemaksas noguldījumu garantiju fondā pieteicēja nav vienādos un salīdzināmos apstākļos ar bankām, kurām nav piemēroti iepriekš minētie korektīvie pasākumi, jo šīs bankas nav pakļautas salīdzināmiem riskiem un saskaņā ar Noguldījumu garantiju direktīvu un Noguldījumu garantiju likumu šīm iemaksām ir jābūt balstītām uz risku novērtējumu. Ievērojot minēto, apgabaltiesa atzinusi, ka nav pārkāpts Satversmes 91.pantā nostiprinātais tiesiskās vienlīdzības princips.</w:t>
      </w:r>
    </w:p>
    <w:p w14:paraId="33FADF48" w14:textId="316CDF4F" w:rsidR="007B289A" w:rsidRDefault="007B289A" w:rsidP="007B289A">
      <w:pPr>
        <w:pStyle w:val="naiskr"/>
        <w:spacing w:before="0" w:beforeAutospacing="0" w:after="0" w:afterAutospacing="0" w:line="276" w:lineRule="auto"/>
        <w:ind w:firstLine="720"/>
        <w:jc w:val="both"/>
      </w:pPr>
      <w:r>
        <w:t>Senāts pievienojas šādiem apgabaltiesas argumentiem un secinājumiem, jo tie ir pamatoti, pieteicēja tos nav atspēkojusi un kasācijas sūdzībā nav norādī</w:t>
      </w:r>
      <w:r w:rsidR="004C407F">
        <w:t>t</w:t>
      </w:r>
      <w:r>
        <w:t>s nevien</w:t>
      </w:r>
      <w:r w:rsidR="004C407F">
        <w:t>s</w:t>
      </w:r>
      <w:r>
        <w:t xml:space="preserve"> argument</w:t>
      </w:r>
      <w:r w:rsidR="004C407F">
        <w:t>s</w:t>
      </w:r>
      <w:r>
        <w:t>, kāpēc būtu jāuzskata, ka pieteicēja atrodas vienādos un salīdzināmos apstākļos ar bankām, kurām nav piemēroti attiecīgie korektīvie pasākumi.</w:t>
      </w:r>
    </w:p>
    <w:p w14:paraId="6FAF10B9" w14:textId="77777777" w:rsidR="007B289A" w:rsidRDefault="007B289A" w:rsidP="00333BCE">
      <w:pPr>
        <w:pStyle w:val="naiskr"/>
        <w:spacing w:before="0" w:beforeAutospacing="0" w:after="0" w:afterAutospacing="0" w:line="276" w:lineRule="auto"/>
        <w:ind w:firstLine="720"/>
        <w:jc w:val="both"/>
      </w:pPr>
      <w:r>
        <w:t xml:space="preserve">Tāpat </w:t>
      </w:r>
      <w:r w:rsidR="00333BCE">
        <w:t xml:space="preserve">Senāts </w:t>
      </w:r>
      <w:r w:rsidR="00584D13">
        <w:t xml:space="preserve">pievienojas </w:t>
      </w:r>
      <w:r w:rsidR="00333BCE">
        <w:t xml:space="preserve">apgabaltiesas argumentiem </w:t>
      </w:r>
      <w:r w:rsidR="00584D13">
        <w:t>un secinājumiem</w:t>
      </w:r>
      <w:r>
        <w:t xml:space="preserve"> par to, ka nav konstatējams arī Satversmes </w:t>
      </w:r>
      <w:proofErr w:type="gramStart"/>
      <w:r>
        <w:t>105.panta</w:t>
      </w:r>
      <w:proofErr w:type="gramEnd"/>
      <w:r>
        <w:t xml:space="preserve"> pārkāpums.</w:t>
      </w:r>
    </w:p>
    <w:p w14:paraId="0C2D2AD9" w14:textId="1FB347C4" w:rsidR="00C27825" w:rsidRPr="00FD32B7" w:rsidRDefault="00333BCE" w:rsidP="00AB4F3E">
      <w:pPr>
        <w:pStyle w:val="naiskr"/>
        <w:spacing w:before="0" w:beforeAutospacing="0" w:after="0" w:afterAutospacing="0" w:line="276" w:lineRule="auto"/>
        <w:ind w:firstLine="720"/>
        <w:jc w:val="both"/>
      </w:pPr>
      <w:r>
        <w:t>Proti, k</w:t>
      </w:r>
      <w:r w:rsidR="00EA1F12">
        <w:t xml:space="preserve">ā tika konstatēts jau iepriekš, nosakot noguldījumu garantiju fondā veicamā maksājuma korekcijas koeficientu bankām, kas ir Eiropas Centrālās bankas uzraudzībā, komisija </w:t>
      </w:r>
      <w:r w:rsidR="006F0CD2">
        <w:t xml:space="preserve">saskaņā ar Korekcijas koeficientu aprēķināšanas noteikumiem </w:t>
      </w:r>
      <w:r w:rsidR="00EA1F12">
        <w:t xml:space="preserve">ir tiesīga izmantot Eiropas Centrālās bankas noteikto individuālo minimālā kapitāla pietiekamības rādītāja </w:t>
      </w:r>
      <w:r w:rsidR="00EA1F12">
        <w:lastRenderedPageBreak/>
        <w:t>korekciju un individuālā likviditātes rādītāja korekciju,</w:t>
      </w:r>
      <w:r>
        <w:t xml:space="preserve"> t.i., </w:t>
      </w:r>
      <w:r w:rsidR="00AC0092">
        <w:t xml:space="preserve">apstrīdētos </w:t>
      </w:r>
      <w:r w:rsidR="00AC0092" w:rsidRPr="00FD32B7">
        <w:t xml:space="preserve">korekcijas </w:t>
      </w:r>
      <w:r w:rsidR="00EA1F12" w:rsidRPr="00FD32B7">
        <w:t>rādītājus. Tātad pieteicējas tiesību uz īpašumu ierobežojums ir noteikts ar likumu</w:t>
      </w:r>
      <w:r w:rsidR="00E23D69" w:rsidRPr="00FD32B7">
        <w:t xml:space="preserve">, </w:t>
      </w:r>
      <w:r w:rsidR="00004A14" w:rsidRPr="00FD32B7">
        <w:t>proti, ar Korekcijas koeficientu aprēķināšanas noteikumiem, kurus saskaņā ar Finanšu un kapitāla tirgus komisijas likuma 6.pantu komisija kā atvasināta publisko tiesību juridiskā persona savas kompetences jautājumos ir izdevusi kā ārējos normatīvos aktus un kuri saskaņā ar Oficiālo publikāciju un tiesiskās informācijas likuma 9.panta otro daļu juridiskā spēka hierarhijā ir pielīdzināmi Ministru kabineta noteikumiem.</w:t>
      </w:r>
      <w:r w:rsidR="00EA1F12" w:rsidRPr="00FD32B7">
        <w:t xml:space="preserve"> </w:t>
      </w:r>
    </w:p>
    <w:p w14:paraId="05467CBC" w14:textId="101234EB" w:rsidR="00C27825" w:rsidRDefault="00C27825" w:rsidP="00AB4F3E">
      <w:pPr>
        <w:pStyle w:val="naiskr"/>
        <w:spacing w:before="0" w:beforeAutospacing="0" w:after="0" w:afterAutospacing="0" w:line="276" w:lineRule="auto"/>
        <w:ind w:firstLine="720"/>
        <w:jc w:val="both"/>
      </w:pPr>
      <w:r w:rsidRPr="00FD32B7">
        <w:t>Š</w:t>
      </w:r>
      <w:r w:rsidR="00EA1F12" w:rsidRPr="00FD32B7">
        <w:t>ādam ierobežojumam ir leģitīms mērķis, proti, aizsargāt citu cilvēku tiesības un sabiedrības labklājības intereses.</w:t>
      </w:r>
      <w:r w:rsidRPr="00FD32B7">
        <w:t xml:space="preserve"> </w:t>
      </w:r>
      <w:r w:rsidR="00BB231F" w:rsidRPr="00FD32B7">
        <w:t>M</w:t>
      </w:r>
      <w:r w:rsidRPr="00FD32B7">
        <w:t xml:space="preserve">inētais pamatojams ar vispārējiem noguldījumu garantiju sistēmas mērķiem, </w:t>
      </w:r>
      <w:r w:rsidR="001D0594" w:rsidRPr="00FD32B7">
        <w:t xml:space="preserve">t.i., </w:t>
      </w:r>
      <w:r w:rsidRPr="00FD32B7">
        <w:t>aizsargāt tos noguldītājus, kuriem noguldījuma</w:t>
      </w:r>
      <w:r>
        <w:t xml:space="preserve"> zaudēšana izraisītu būtisku finansiālās situācijas pasliktināšanos; samazināt noguldītājiem nepieciešamību pastāvīgi sekot līdzi savas kredītiestādes maksātspējas un finansiālā stāvokļa rādītājiem; sniegt noguldītājiem ātru un efektīvu finansiālo aizsardzību noguldījumu nepieejamības gadījumā; aizsargāt valsts finanšu sistēmas stabilitāti un tautsaimniecību kopumā, samazinot risku, ka vienas kredītiestādes finansiālās grūtības var novest pie masveida panikas un noguldījumu izņemšanas no citām kredītiestādēm. </w:t>
      </w:r>
    </w:p>
    <w:p w14:paraId="42683E92" w14:textId="28998A82" w:rsidR="00F27A8E" w:rsidRDefault="00C27825" w:rsidP="00AB4F3E">
      <w:pPr>
        <w:pStyle w:val="naiskr"/>
        <w:spacing w:before="0" w:beforeAutospacing="0" w:after="0" w:afterAutospacing="0" w:line="276" w:lineRule="auto"/>
        <w:ind w:firstLine="720"/>
        <w:jc w:val="both"/>
      </w:pPr>
      <w:r>
        <w:t>Š</w:t>
      </w:r>
      <w:r w:rsidR="00EA1F12">
        <w:t xml:space="preserve">āds ierobežojums nav </w:t>
      </w:r>
      <w:r w:rsidR="00C94C2C">
        <w:t>nesamērīgs</w:t>
      </w:r>
      <w:r>
        <w:t>. T</w:t>
      </w:r>
      <w:r w:rsidR="00C94C2C">
        <w:t>as ir vērsts uz leģitīmā mērķa sasniegšan</w:t>
      </w:r>
      <w:r>
        <w:t>u</w:t>
      </w:r>
      <w:r w:rsidR="00333BCE">
        <w:t>: j</w:t>
      </w:r>
      <w:r>
        <w:t xml:space="preserve">a bankai, kas savā darbībā orientējas uz nerezidentiem un kas tādējādi paaugstina likviditātes un klientu risku, tiek noteikts augstāks korekcijas koeficients, tas var radīt stimulu bankai darboties atbilstoši mazāk riskantam darbības modelim. Iepriekš tika atzīts, ka </w:t>
      </w:r>
      <w:r w:rsidR="00C94C2C">
        <w:t>leģitīmo mērķi</w:t>
      </w:r>
      <w:r w:rsidR="006F0CD2">
        <w:t xml:space="preserve"> </w:t>
      </w:r>
      <w:r>
        <w:t>tādā paš</w:t>
      </w:r>
      <w:r w:rsidR="00130C01">
        <w:t>ā kvalitātē</w:t>
      </w:r>
      <w:r w:rsidR="00C94C2C">
        <w:t xml:space="preserve"> nevar nesasniegt ar mazāk ierobežojošiem līdzekļiem</w:t>
      </w:r>
      <w:r w:rsidR="00130C01">
        <w:t>. Un, kā pareizi atzinusi apgabaltiesa,</w:t>
      </w:r>
      <w:r w:rsidR="00C94C2C">
        <w:t xml:space="preserve"> labums</w:t>
      </w:r>
      <w:r w:rsidR="00130C01">
        <w:t>, ko</w:t>
      </w:r>
      <w:r w:rsidR="00C94C2C">
        <w:t xml:space="preserve"> </w:t>
      </w:r>
      <w:r w:rsidR="00130C01">
        <w:t xml:space="preserve">sabiedrība iegūst no pieteicējas īpašumtiesību aizskāruma, </w:t>
      </w:r>
      <w:r w:rsidR="00C94C2C">
        <w:t>ir lielāks par pieteicējas tiesībām un likumiskajām interesēm nodarīto zaudējumu</w:t>
      </w:r>
      <w:r w:rsidR="00130C01">
        <w:t>, jo bankas ar lielāku risku veic lielākas iemaksas noguldījumu garantiju fondā. Turklāt sabiedrības intereses šajā gadījumā ir samērīgi sabalansētas ar pieteicējas tiesībām un likumiskajām interesēm nodarīto zaudējumu, jo Noguldījumu garantiju</w:t>
      </w:r>
      <w:r w:rsidR="00F27A8E">
        <w:t xml:space="preserve"> likuma </w:t>
      </w:r>
      <w:proofErr w:type="gramStart"/>
      <w:r w:rsidR="00F27A8E">
        <w:t>8.panta</w:t>
      </w:r>
      <w:proofErr w:type="gramEnd"/>
      <w:r w:rsidR="00F27A8E">
        <w:t xml:space="preserve"> piektā daļa ierobežo korekcijas koeficienta apmēru, nosakot, ka </w:t>
      </w:r>
      <w:r w:rsidR="00584D13">
        <w:t xml:space="preserve">noguldījumu garantiju fondā veicamo maksājumu </w:t>
      </w:r>
      <w:r w:rsidR="00F27A8E">
        <w:t xml:space="preserve">nedrīkst palielināt vairāk par 100 procentiem. Atbilstoši šā panta septītajai daļai noguldījumu piesaistītājs veic maksājumus noguldījumu garantiju fondā līdz brīdim, kad iemaksātā summa sasniedz apmēru, kas nodrošina šajā likumā garantētās atlīdzības izmaksu tiem šā noguldījumu piesaistītāja noguldītājiem, kuriem saskaņā ar šo likumu ir tiesības uz šādu atlīdzību. Ievērojot minēto, apgabaltiesa </w:t>
      </w:r>
      <w:r w:rsidR="00584D13">
        <w:t xml:space="preserve">pamatoti </w:t>
      </w:r>
      <w:r w:rsidR="00F27A8E">
        <w:t xml:space="preserve">secinājusi, ka korekcijas koeficienta palielināšana ir vērsta uz to, ka bankas ar riskantāku darbības modeli ātrāk sasniedz iepriekš minēto apmēru, taču tad, kad šis apmērs ir sasniegts, maksājumi noguldījumu garantiju fondā vairāk nav jāveic. </w:t>
      </w:r>
    </w:p>
    <w:p w14:paraId="0640EAA7" w14:textId="030AAFEC" w:rsidR="00F27A8E" w:rsidRDefault="00584D13" w:rsidP="00AB4F3E">
      <w:pPr>
        <w:pStyle w:val="naiskr"/>
        <w:spacing w:before="0" w:beforeAutospacing="0" w:after="0" w:afterAutospacing="0" w:line="276" w:lineRule="auto"/>
        <w:ind w:firstLine="720"/>
        <w:jc w:val="both"/>
      </w:pPr>
      <w:r>
        <w:t>P</w:t>
      </w:r>
      <w:r w:rsidR="00F27A8E">
        <w:t>ieteicēja kasācijas sūdzībā</w:t>
      </w:r>
      <w:r>
        <w:t xml:space="preserve">, uzturot viedokli, ka Korekcijas koeficientu </w:t>
      </w:r>
      <w:r w:rsidR="00AC0092">
        <w:t xml:space="preserve">aprēķināšanas </w:t>
      </w:r>
      <w:r>
        <w:t xml:space="preserve">noteikumu 17.punkta un 2.pielikuma 12. un 13.rādītāji neatbilst Satversmes </w:t>
      </w:r>
      <w:proofErr w:type="gramStart"/>
      <w:r>
        <w:t>105.pantam</w:t>
      </w:r>
      <w:proofErr w:type="gramEnd"/>
      <w:r>
        <w:t xml:space="preserve">, </w:t>
      </w:r>
      <w:r w:rsidR="00F27A8E">
        <w:t>nav norādījusi</w:t>
      </w:r>
      <w:r w:rsidR="007B289A">
        <w:t xml:space="preserve"> nevienu jaunu</w:t>
      </w:r>
      <w:r w:rsidR="00F27A8E">
        <w:t xml:space="preserve"> </w:t>
      </w:r>
      <w:r>
        <w:t xml:space="preserve">apgabaltiesas spriedumā nevērtētu </w:t>
      </w:r>
      <w:r w:rsidR="00F27A8E">
        <w:t>argumentu.</w:t>
      </w:r>
    </w:p>
    <w:p w14:paraId="7C143502" w14:textId="77777777" w:rsidR="00F27A8E" w:rsidRDefault="00F27A8E" w:rsidP="00AB4F3E">
      <w:pPr>
        <w:pStyle w:val="naiskr"/>
        <w:spacing w:before="0" w:beforeAutospacing="0" w:after="0" w:afterAutospacing="0" w:line="276" w:lineRule="auto"/>
        <w:ind w:firstLine="720"/>
        <w:jc w:val="both"/>
      </w:pPr>
    </w:p>
    <w:p w14:paraId="0A0A55EA" w14:textId="0C2B1457" w:rsidR="000F5086" w:rsidRDefault="00127842" w:rsidP="000F5086">
      <w:pPr>
        <w:pStyle w:val="naiskr"/>
        <w:spacing w:before="0" w:beforeAutospacing="0" w:after="0" w:afterAutospacing="0" w:line="276" w:lineRule="auto"/>
        <w:ind w:firstLine="720"/>
        <w:jc w:val="both"/>
      </w:pPr>
      <w:r>
        <w:t>[</w:t>
      </w:r>
      <w:r w:rsidR="009B0AE3">
        <w:t>2</w:t>
      </w:r>
      <w:r w:rsidR="00FD32B7">
        <w:t>1</w:t>
      </w:r>
      <w:r>
        <w:t>] </w:t>
      </w:r>
      <w:r w:rsidR="007B289A">
        <w:t xml:space="preserve">Tā kā </w:t>
      </w:r>
      <w:r>
        <w:t xml:space="preserve">nav </w:t>
      </w:r>
      <w:r w:rsidR="004C407F">
        <w:t xml:space="preserve">pamata uzskatīt, ka </w:t>
      </w:r>
      <w:r>
        <w:t xml:space="preserve">Korekcijas koeficientu </w:t>
      </w:r>
      <w:r w:rsidR="00AC0092">
        <w:t>aprēķināšanas</w:t>
      </w:r>
      <w:r>
        <w:t xml:space="preserve"> noteikumu 17.punkt</w:t>
      </w:r>
      <w:r w:rsidR="004C407F">
        <w:t>s</w:t>
      </w:r>
      <w:r>
        <w:t xml:space="preserve"> un 2.pielikuma 12. un 13.rādītā</w:t>
      </w:r>
      <w:r w:rsidR="004C407F">
        <w:t>is</w:t>
      </w:r>
      <w:r>
        <w:t xml:space="preserve"> neatbilst Satversmes 91. un </w:t>
      </w:r>
      <w:proofErr w:type="gramStart"/>
      <w:r>
        <w:t>105.pantam</w:t>
      </w:r>
      <w:proofErr w:type="gramEnd"/>
      <w:r>
        <w:t>, nav pamata pieteikuma iesniegšanai Satversmes tiesā.</w:t>
      </w:r>
    </w:p>
    <w:p w14:paraId="6BB80E7E" w14:textId="0F10EB88" w:rsidR="007528C5" w:rsidRDefault="007528C5" w:rsidP="000F5086">
      <w:pPr>
        <w:pStyle w:val="naiskr"/>
        <w:spacing w:before="0" w:beforeAutospacing="0" w:after="0" w:afterAutospacing="0" w:line="276" w:lineRule="auto"/>
        <w:ind w:firstLine="720"/>
        <w:jc w:val="both"/>
      </w:pPr>
    </w:p>
    <w:p w14:paraId="3570F877" w14:textId="0FC53978" w:rsidR="007528C5" w:rsidRDefault="007528C5" w:rsidP="00CA166F">
      <w:pPr>
        <w:pStyle w:val="naiskr"/>
        <w:spacing w:before="0" w:beforeAutospacing="0" w:after="0" w:afterAutospacing="0" w:line="276" w:lineRule="auto"/>
        <w:ind w:firstLine="720"/>
        <w:jc w:val="both"/>
      </w:pPr>
      <w:bookmarkStart w:id="5" w:name="_Hlk58236101"/>
      <w:r>
        <w:t xml:space="preserve">[22] Pieteicēja </w:t>
      </w:r>
      <w:proofErr w:type="gramStart"/>
      <w:r>
        <w:t>2020.gada</w:t>
      </w:r>
      <w:proofErr w:type="gramEnd"/>
      <w:r>
        <w:t xml:space="preserve"> 1.decembrī ir iesniegusi Senātā lūgumu vērsties Satversmes tiesā par vairāku Korekcijas koeficientu aprēķināšanas noteikumu normu neatbilstību arī Satversmes 1. un 64.pantam. Minētais lūgums pamatots ar jauniem, iepriekš kasācijas sūdzībā </w:t>
      </w:r>
      <w:r>
        <w:lastRenderedPageBreak/>
        <w:t>neminētiem argumentiem par Korekcijas koeficientu aprēķināšanas noteikumu interpretāciju, tādēļ tas pēc būtības uzskatāms par kasācijas sūdzības papildinājumu. Tā kā papildinājums iesniegts pēc kasācijas sūdzības iesniegšanai noteiktā termiņa, tas atstājams bez izskatīšanas (</w:t>
      </w:r>
      <w:r w:rsidRPr="007528C5">
        <w:rPr>
          <w:i/>
          <w:iCs/>
        </w:rPr>
        <w:t xml:space="preserve">sal. Senāta </w:t>
      </w:r>
      <w:proofErr w:type="gramStart"/>
      <w:r w:rsidRPr="007528C5">
        <w:rPr>
          <w:i/>
          <w:iCs/>
        </w:rPr>
        <w:t>2020.gada</w:t>
      </w:r>
      <w:proofErr w:type="gramEnd"/>
      <w:r w:rsidRPr="007528C5">
        <w:rPr>
          <w:i/>
          <w:iCs/>
        </w:rPr>
        <w:t xml:space="preserve"> 26.oktobra rīcības sēdes lēmuma lietā Nr. SKA-477/2020 (ECLI:LV:AT:2020:1026.A420326617.16.L) 7.punkts</w:t>
      </w:r>
      <w:r>
        <w:t>).</w:t>
      </w:r>
    </w:p>
    <w:bookmarkEnd w:id="5"/>
    <w:p w14:paraId="4280B42C" w14:textId="77777777" w:rsidR="007528C5" w:rsidRDefault="007528C5" w:rsidP="00ED7624">
      <w:pPr>
        <w:pStyle w:val="ATvirsraksts"/>
        <w:rPr>
          <w:sz w:val="24"/>
        </w:rPr>
      </w:pPr>
    </w:p>
    <w:p w14:paraId="7EA13FB2" w14:textId="2417DCDC" w:rsidR="007A5D61" w:rsidRPr="00ED7624" w:rsidRDefault="007A5D61" w:rsidP="00ED7624">
      <w:pPr>
        <w:pStyle w:val="ATvirsraksts"/>
        <w:rPr>
          <w:sz w:val="24"/>
        </w:rPr>
      </w:pPr>
      <w:r w:rsidRPr="00ED7624">
        <w:rPr>
          <w:sz w:val="24"/>
        </w:rPr>
        <w:t>Rezolutīvā daļa</w:t>
      </w:r>
    </w:p>
    <w:p w14:paraId="0B1594AA" w14:textId="77777777" w:rsidR="007A5D61" w:rsidRPr="00ED7624" w:rsidRDefault="007A5D61" w:rsidP="00ED7624">
      <w:pPr>
        <w:spacing w:line="276" w:lineRule="auto"/>
        <w:ind w:firstLine="567"/>
        <w:jc w:val="both"/>
        <w:rPr>
          <w:bCs/>
          <w:spacing w:val="70"/>
        </w:rPr>
      </w:pPr>
    </w:p>
    <w:p w14:paraId="55F5011E" w14:textId="77777777" w:rsidR="007A5D61" w:rsidRPr="00ED7624" w:rsidRDefault="00537A01" w:rsidP="00ED7624">
      <w:pPr>
        <w:spacing w:line="276" w:lineRule="auto"/>
        <w:ind w:firstLine="567"/>
        <w:jc w:val="both"/>
      </w:pPr>
      <w:r w:rsidRPr="00ED7624">
        <w:t xml:space="preserve">Pamatojoties uz Administratīvā procesa likuma </w:t>
      </w:r>
      <w:proofErr w:type="gramStart"/>
      <w:r w:rsidRPr="00ED7624">
        <w:t>348.panta</w:t>
      </w:r>
      <w:proofErr w:type="gramEnd"/>
      <w:r w:rsidRPr="00ED7624">
        <w:t xml:space="preserve"> pirmās daļas 1.punktu un 351.pantu, Senāts</w:t>
      </w:r>
    </w:p>
    <w:p w14:paraId="3338C10E" w14:textId="77777777" w:rsidR="00537A01" w:rsidRPr="00ED7624" w:rsidRDefault="00537A01" w:rsidP="00ED7624">
      <w:pPr>
        <w:spacing w:line="276" w:lineRule="auto"/>
        <w:ind w:firstLine="567"/>
        <w:jc w:val="both"/>
      </w:pPr>
    </w:p>
    <w:p w14:paraId="2352F1CE" w14:textId="77777777" w:rsidR="007A5D61" w:rsidRPr="00ED7624" w:rsidRDefault="007A5D61" w:rsidP="00ED7624">
      <w:pPr>
        <w:spacing w:line="276" w:lineRule="auto"/>
        <w:jc w:val="center"/>
        <w:rPr>
          <w:b/>
        </w:rPr>
      </w:pPr>
      <w:r w:rsidRPr="00ED7624">
        <w:rPr>
          <w:b/>
        </w:rPr>
        <w:t>nosprieda</w:t>
      </w:r>
    </w:p>
    <w:p w14:paraId="40133CC2" w14:textId="77777777" w:rsidR="007A5D61" w:rsidRPr="00ED7624" w:rsidRDefault="007A5D61" w:rsidP="00ED7624">
      <w:pPr>
        <w:spacing w:line="276" w:lineRule="auto"/>
        <w:jc w:val="center"/>
        <w:rPr>
          <w:b/>
        </w:rPr>
      </w:pPr>
    </w:p>
    <w:p w14:paraId="3D0EBEE9" w14:textId="262A1143" w:rsidR="007A5D61" w:rsidRPr="00ED7624" w:rsidRDefault="007A5D61" w:rsidP="00EA0153">
      <w:pPr>
        <w:keepNext/>
        <w:tabs>
          <w:tab w:val="left" w:pos="2700"/>
          <w:tab w:val="left" w:pos="6660"/>
        </w:tabs>
        <w:spacing w:line="276" w:lineRule="auto"/>
        <w:ind w:firstLine="567"/>
        <w:jc w:val="both"/>
      </w:pPr>
      <w:r w:rsidRPr="00ED7624">
        <w:rPr>
          <w:color w:val="000000"/>
        </w:rPr>
        <w:t>Atstāt negrozītu</w:t>
      </w:r>
      <w:r w:rsidRPr="00ED7624">
        <w:t xml:space="preserve"> </w:t>
      </w:r>
      <w:r w:rsidR="00EA0153" w:rsidRPr="00ED7624">
        <w:t xml:space="preserve">Administratīvās </w:t>
      </w:r>
      <w:r w:rsidR="00EA0153">
        <w:t>apgabal</w:t>
      </w:r>
      <w:r w:rsidR="00EA0153" w:rsidRPr="00ED7624">
        <w:t xml:space="preserve">tiesas </w:t>
      </w:r>
      <w:proofErr w:type="gramStart"/>
      <w:r w:rsidR="00EA0153" w:rsidRPr="00ED7624">
        <w:rPr>
          <w:color w:val="000000"/>
          <w:lang w:eastAsia="lv-LV"/>
        </w:rPr>
        <w:t>201</w:t>
      </w:r>
      <w:r w:rsidR="00EA0153">
        <w:rPr>
          <w:color w:val="000000"/>
          <w:lang w:eastAsia="lv-LV"/>
        </w:rPr>
        <w:t>7</w:t>
      </w:r>
      <w:r w:rsidR="00EA0153" w:rsidRPr="00ED7624">
        <w:rPr>
          <w:color w:val="000000"/>
          <w:lang w:eastAsia="lv-LV"/>
        </w:rPr>
        <w:t>.gada</w:t>
      </w:r>
      <w:proofErr w:type="gramEnd"/>
      <w:r w:rsidR="00EA0153" w:rsidRPr="00ED7624">
        <w:rPr>
          <w:color w:val="000000"/>
          <w:lang w:eastAsia="lv-LV"/>
        </w:rPr>
        <w:t xml:space="preserve"> </w:t>
      </w:r>
      <w:r w:rsidR="00EA0153">
        <w:rPr>
          <w:color w:val="000000"/>
          <w:lang w:eastAsia="lv-LV"/>
        </w:rPr>
        <w:t xml:space="preserve">8.marta </w:t>
      </w:r>
      <w:r w:rsidR="00EA0153" w:rsidRPr="00ED7624">
        <w:t>spriedumu</w:t>
      </w:r>
      <w:r w:rsidRPr="00ED7624">
        <w:t>, bet</w:t>
      </w:r>
      <w:r w:rsidR="00EA0153">
        <w:t xml:space="preserve"> likvidējamās AS</w:t>
      </w:r>
      <w:r w:rsidR="00863521" w:rsidRPr="00ED7624">
        <w:t> „</w:t>
      </w:r>
      <w:r w:rsidR="00EA0153">
        <w:t>A</w:t>
      </w:r>
      <w:r w:rsidR="002B356A" w:rsidRPr="00ED7624">
        <w:t>B</w:t>
      </w:r>
      <w:r w:rsidR="00EA0153">
        <w:t>LV </w:t>
      </w:r>
      <w:proofErr w:type="spellStart"/>
      <w:r w:rsidR="00EA0153">
        <w:t>Bank</w:t>
      </w:r>
      <w:proofErr w:type="spellEnd"/>
      <w:r w:rsidR="002B356A" w:rsidRPr="00ED7624">
        <w:t>”</w:t>
      </w:r>
      <w:r w:rsidR="00EA0153">
        <w:t xml:space="preserve"> </w:t>
      </w:r>
      <w:r w:rsidRPr="00ED7624">
        <w:t>kasācijas sūdzību noraidīt.</w:t>
      </w:r>
    </w:p>
    <w:p w14:paraId="79BEC1B7" w14:textId="77777777" w:rsidR="007A5D61" w:rsidRPr="00ED7624" w:rsidRDefault="007A5D61" w:rsidP="00ED7624">
      <w:pPr>
        <w:spacing w:line="276" w:lineRule="auto"/>
        <w:ind w:firstLine="567"/>
        <w:jc w:val="both"/>
      </w:pPr>
      <w:r w:rsidRPr="00ED7624">
        <w:t>Spriedums nav pārsūdzams.</w:t>
      </w:r>
    </w:p>
    <w:sectPr w:rsidR="007A5D61" w:rsidRPr="00ED7624" w:rsidSect="00FD32B7">
      <w:footerReference w:type="default" r:id="rId9"/>
      <w:pgSz w:w="11906" w:h="16838"/>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B6CC" w14:textId="77777777" w:rsidR="007867D7" w:rsidRDefault="007867D7" w:rsidP="00C75971">
      <w:r>
        <w:separator/>
      </w:r>
    </w:p>
  </w:endnote>
  <w:endnote w:type="continuationSeparator" w:id="0">
    <w:p w14:paraId="57219408" w14:textId="77777777" w:rsidR="007867D7" w:rsidRDefault="007867D7" w:rsidP="00C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7473157"/>
      <w:docPartObj>
        <w:docPartGallery w:val="Page Numbers (Bottom of Page)"/>
        <w:docPartUnique/>
      </w:docPartObj>
    </w:sdtPr>
    <w:sdtEndPr>
      <w:rPr>
        <w:noProof/>
      </w:rPr>
    </w:sdtEndPr>
    <w:sdtContent>
      <w:p w14:paraId="60C5D3A5" w14:textId="6C993058" w:rsidR="00BE02C7" w:rsidRPr="00A56794" w:rsidRDefault="00BE02C7">
        <w:pPr>
          <w:pStyle w:val="Footer"/>
          <w:jc w:val="center"/>
        </w:pPr>
        <w:r w:rsidRPr="00A56794">
          <w:fldChar w:fldCharType="begin"/>
        </w:r>
        <w:r w:rsidRPr="00A56794">
          <w:instrText xml:space="preserve"> PAGE   \* MERGEFORMAT </w:instrText>
        </w:r>
        <w:r w:rsidRPr="00A56794">
          <w:fldChar w:fldCharType="separate"/>
        </w:r>
        <w:r w:rsidR="007C0762">
          <w:rPr>
            <w:noProof/>
          </w:rPr>
          <w:t>4</w:t>
        </w:r>
        <w:r w:rsidRPr="00A56794">
          <w:rPr>
            <w:noProof/>
          </w:rPr>
          <w:fldChar w:fldCharType="end"/>
        </w:r>
        <w:r w:rsidRPr="00A56794">
          <w:rPr>
            <w:noProof/>
          </w:rPr>
          <w:t xml:space="preserve"> no </w:t>
        </w:r>
        <w:r w:rsidR="00AC0092">
          <w:rPr>
            <w:noProof/>
          </w:rPr>
          <w:t>1</w:t>
        </w:r>
        <w:r w:rsidR="00243F04">
          <w:rPr>
            <w:noProof/>
          </w:rPr>
          <w:t>5</w:t>
        </w:r>
      </w:p>
    </w:sdtContent>
  </w:sdt>
  <w:p w14:paraId="20553949" w14:textId="77777777" w:rsidR="00BE02C7" w:rsidRDefault="00BE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9888C" w14:textId="77777777" w:rsidR="007867D7" w:rsidRDefault="007867D7" w:rsidP="00C75971">
      <w:r>
        <w:separator/>
      </w:r>
    </w:p>
  </w:footnote>
  <w:footnote w:type="continuationSeparator" w:id="0">
    <w:p w14:paraId="1E03C1B4" w14:textId="77777777" w:rsidR="007867D7" w:rsidRDefault="007867D7" w:rsidP="00C75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CEAB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DB293D"/>
    <w:multiLevelType w:val="hybridMultilevel"/>
    <w:tmpl w:val="0C08E3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36295B"/>
    <w:multiLevelType w:val="hybridMultilevel"/>
    <w:tmpl w:val="533ED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61"/>
    <w:rsid w:val="00002D9A"/>
    <w:rsid w:val="000038E1"/>
    <w:rsid w:val="00003D61"/>
    <w:rsid w:val="00004048"/>
    <w:rsid w:val="00004A14"/>
    <w:rsid w:val="00004A28"/>
    <w:rsid w:val="00011EE2"/>
    <w:rsid w:val="00015C73"/>
    <w:rsid w:val="00021950"/>
    <w:rsid w:val="00023508"/>
    <w:rsid w:val="0002463E"/>
    <w:rsid w:val="00025271"/>
    <w:rsid w:val="0002610E"/>
    <w:rsid w:val="000309CA"/>
    <w:rsid w:val="00041343"/>
    <w:rsid w:val="00042934"/>
    <w:rsid w:val="000471EB"/>
    <w:rsid w:val="00050F58"/>
    <w:rsid w:val="000513FB"/>
    <w:rsid w:val="0005274B"/>
    <w:rsid w:val="00062A8B"/>
    <w:rsid w:val="0007198E"/>
    <w:rsid w:val="00073A9F"/>
    <w:rsid w:val="000775FF"/>
    <w:rsid w:val="00084A30"/>
    <w:rsid w:val="00085044"/>
    <w:rsid w:val="000873B9"/>
    <w:rsid w:val="00094145"/>
    <w:rsid w:val="00095A8A"/>
    <w:rsid w:val="000B7E76"/>
    <w:rsid w:val="000C4644"/>
    <w:rsid w:val="000D52EF"/>
    <w:rsid w:val="000E751F"/>
    <w:rsid w:val="000F5086"/>
    <w:rsid w:val="00104A58"/>
    <w:rsid w:val="001107FA"/>
    <w:rsid w:val="00115A46"/>
    <w:rsid w:val="001235EA"/>
    <w:rsid w:val="00125D28"/>
    <w:rsid w:val="00127842"/>
    <w:rsid w:val="00130C01"/>
    <w:rsid w:val="0013523F"/>
    <w:rsid w:val="001403C3"/>
    <w:rsid w:val="0014075E"/>
    <w:rsid w:val="00141365"/>
    <w:rsid w:val="00141774"/>
    <w:rsid w:val="00151655"/>
    <w:rsid w:val="0015587A"/>
    <w:rsid w:val="00172E2E"/>
    <w:rsid w:val="001777D5"/>
    <w:rsid w:val="00185249"/>
    <w:rsid w:val="00197F29"/>
    <w:rsid w:val="001A48FF"/>
    <w:rsid w:val="001B3740"/>
    <w:rsid w:val="001C2B5B"/>
    <w:rsid w:val="001C409D"/>
    <w:rsid w:val="001D0594"/>
    <w:rsid w:val="001E54A3"/>
    <w:rsid w:val="001F12B6"/>
    <w:rsid w:val="001F61A4"/>
    <w:rsid w:val="00201AB9"/>
    <w:rsid w:val="00204167"/>
    <w:rsid w:val="00216243"/>
    <w:rsid w:val="00225606"/>
    <w:rsid w:val="00231481"/>
    <w:rsid w:val="002327B1"/>
    <w:rsid w:val="00235C02"/>
    <w:rsid w:val="002368F1"/>
    <w:rsid w:val="002376EB"/>
    <w:rsid w:val="00243F04"/>
    <w:rsid w:val="0024482F"/>
    <w:rsid w:val="002A3B35"/>
    <w:rsid w:val="002A4044"/>
    <w:rsid w:val="002B356A"/>
    <w:rsid w:val="002B473E"/>
    <w:rsid w:val="002B5104"/>
    <w:rsid w:val="002B59CF"/>
    <w:rsid w:val="002B6EDC"/>
    <w:rsid w:val="002B7CC6"/>
    <w:rsid w:val="002C2961"/>
    <w:rsid w:val="002C4404"/>
    <w:rsid w:val="002C7174"/>
    <w:rsid w:val="002D2518"/>
    <w:rsid w:val="002D69F9"/>
    <w:rsid w:val="002E0CAA"/>
    <w:rsid w:val="002E5A38"/>
    <w:rsid w:val="002F4696"/>
    <w:rsid w:val="002F7590"/>
    <w:rsid w:val="00306F5B"/>
    <w:rsid w:val="00320FFF"/>
    <w:rsid w:val="00326084"/>
    <w:rsid w:val="00327B33"/>
    <w:rsid w:val="00327ECB"/>
    <w:rsid w:val="00330F1D"/>
    <w:rsid w:val="00333B73"/>
    <w:rsid w:val="00333BCE"/>
    <w:rsid w:val="0033410E"/>
    <w:rsid w:val="00340882"/>
    <w:rsid w:val="00355449"/>
    <w:rsid w:val="0035650E"/>
    <w:rsid w:val="003628EE"/>
    <w:rsid w:val="0036555B"/>
    <w:rsid w:val="00365BAE"/>
    <w:rsid w:val="00372364"/>
    <w:rsid w:val="00382849"/>
    <w:rsid w:val="003829EC"/>
    <w:rsid w:val="00396277"/>
    <w:rsid w:val="003969DB"/>
    <w:rsid w:val="003A47CC"/>
    <w:rsid w:val="003A6E81"/>
    <w:rsid w:val="003B2D19"/>
    <w:rsid w:val="003B2FBF"/>
    <w:rsid w:val="003C74F7"/>
    <w:rsid w:val="003D6CC9"/>
    <w:rsid w:val="003F6F43"/>
    <w:rsid w:val="00410047"/>
    <w:rsid w:val="00415D3C"/>
    <w:rsid w:val="004226FB"/>
    <w:rsid w:val="0042350C"/>
    <w:rsid w:val="00430685"/>
    <w:rsid w:val="00435D11"/>
    <w:rsid w:val="00450A1C"/>
    <w:rsid w:val="00462D34"/>
    <w:rsid w:val="0046308C"/>
    <w:rsid w:val="004631B0"/>
    <w:rsid w:val="00463D7F"/>
    <w:rsid w:val="00470A99"/>
    <w:rsid w:val="004903F9"/>
    <w:rsid w:val="00494F1A"/>
    <w:rsid w:val="00497CCA"/>
    <w:rsid w:val="004A4C3D"/>
    <w:rsid w:val="004B0326"/>
    <w:rsid w:val="004C2038"/>
    <w:rsid w:val="004C407F"/>
    <w:rsid w:val="004D171E"/>
    <w:rsid w:val="004D2393"/>
    <w:rsid w:val="004D291A"/>
    <w:rsid w:val="004D5912"/>
    <w:rsid w:val="004E7375"/>
    <w:rsid w:val="004F144B"/>
    <w:rsid w:val="005153B7"/>
    <w:rsid w:val="00516034"/>
    <w:rsid w:val="00523EC5"/>
    <w:rsid w:val="005243A6"/>
    <w:rsid w:val="00530F17"/>
    <w:rsid w:val="00535FDC"/>
    <w:rsid w:val="00537A01"/>
    <w:rsid w:val="00540F8A"/>
    <w:rsid w:val="00542837"/>
    <w:rsid w:val="005571E3"/>
    <w:rsid w:val="00573631"/>
    <w:rsid w:val="00576AA0"/>
    <w:rsid w:val="00583F69"/>
    <w:rsid w:val="00584D13"/>
    <w:rsid w:val="0058540F"/>
    <w:rsid w:val="00591F70"/>
    <w:rsid w:val="005A3B9E"/>
    <w:rsid w:val="005A4231"/>
    <w:rsid w:val="005B5E7D"/>
    <w:rsid w:val="005C06C3"/>
    <w:rsid w:val="005C49BC"/>
    <w:rsid w:val="005C72FA"/>
    <w:rsid w:val="005D0177"/>
    <w:rsid w:val="005D45D5"/>
    <w:rsid w:val="005D6E85"/>
    <w:rsid w:val="005E1C58"/>
    <w:rsid w:val="005F17A6"/>
    <w:rsid w:val="005F2831"/>
    <w:rsid w:val="005F7882"/>
    <w:rsid w:val="006027D3"/>
    <w:rsid w:val="00603191"/>
    <w:rsid w:val="00604DE8"/>
    <w:rsid w:val="006068E9"/>
    <w:rsid w:val="00615A76"/>
    <w:rsid w:val="00621799"/>
    <w:rsid w:val="006218D8"/>
    <w:rsid w:val="00621DF5"/>
    <w:rsid w:val="00627DEC"/>
    <w:rsid w:val="00630A37"/>
    <w:rsid w:val="00646B72"/>
    <w:rsid w:val="006721A9"/>
    <w:rsid w:val="00675475"/>
    <w:rsid w:val="006758C8"/>
    <w:rsid w:val="006758E3"/>
    <w:rsid w:val="006776CA"/>
    <w:rsid w:val="00684E00"/>
    <w:rsid w:val="0068581E"/>
    <w:rsid w:val="00690A53"/>
    <w:rsid w:val="00691754"/>
    <w:rsid w:val="006A02CA"/>
    <w:rsid w:val="006B260D"/>
    <w:rsid w:val="006C7DF1"/>
    <w:rsid w:val="006D0203"/>
    <w:rsid w:val="006D330E"/>
    <w:rsid w:val="006D3ACD"/>
    <w:rsid w:val="006E22F0"/>
    <w:rsid w:val="006E5E2E"/>
    <w:rsid w:val="006F0CD2"/>
    <w:rsid w:val="006F1F0C"/>
    <w:rsid w:val="00701C5F"/>
    <w:rsid w:val="00717372"/>
    <w:rsid w:val="0072193A"/>
    <w:rsid w:val="00734615"/>
    <w:rsid w:val="00742F81"/>
    <w:rsid w:val="0074543F"/>
    <w:rsid w:val="00746243"/>
    <w:rsid w:val="007528C5"/>
    <w:rsid w:val="00752A94"/>
    <w:rsid w:val="007570DB"/>
    <w:rsid w:val="0076075D"/>
    <w:rsid w:val="0076101B"/>
    <w:rsid w:val="007822FD"/>
    <w:rsid w:val="007854DA"/>
    <w:rsid w:val="007867D7"/>
    <w:rsid w:val="007907EE"/>
    <w:rsid w:val="0079322E"/>
    <w:rsid w:val="00796B69"/>
    <w:rsid w:val="007A15F2"/>
    <w:rsid w:val="007A24D2"/>
    <w:rsid w:val="007A27A3"/>
    <w:rsid w:val="007A5A66"/>
    <w:rsid w:val="007A5D61"/>
    <w:rsid w:val="007B04C8"/>
    <w:rsid w:val="007B1B97"/>
    <w:rsid w:val="007B289A"/>
    <w:rsid w:val="007B2C8E"/>
    <w:rsid w:val="007C0762"/>
    <w:rsid w:val="007D152B"/>
    <w:rsid w:val="007D72C4"/>
    <w:rsid w:val="007F768D"/>
    <w:rsid w:val="00800EE1"/>
    <w:rsid w:val="00805850"/>
    <w:rsid w:val="0081387E"/>
    <w:rsid w:val="008251D7"/>
    <w:rsid w:val="00831783"/>
    <w:rsid w:val="00841245"/>
    <w:rsid w:val="00842BD5"/>
    <w:rsid w:val="0084367F"/>
    <w:rsid w:val="00847545"/>
    <w:rsid w:val="00852C6B"/>
    <w:rsid w:val="008555D3"/>
    <w:rsid w:val="00855793"/>
    <w:rsid w:val="00860356"/>
    <w:rsid w:val="00862FD7"/>
    <w:rsid w:val="00863521"/>
    <w:rsid w:val="00865297"/>
    <w:rsid w:val="008721AF"/>
    <w:rsid w:val="008776B6"/>
    <w:rsid w:val="00877A04"/>
    <w:rsid w:val="00885611"/>
    <w:rsid w:val="00891970"/>
    <w:rsid w:val="00892C5F"/>
    <w:rsid w:val="00895DA8"/>
    <w:rsid w:val="008D1D9A"/>
    <w:rsid w:val="008D5679"/>
    <w:rsid w:val="008D643B"/>
    <w:rsid w:val="008E1036"/>
    <w:rsid w:val="008E4295"/>
    <w:rsid w:val="008F1054"/>
    <w:rsid w:val="008F70F6"/>
    <w:rsid w:val="00903A89"/>
    <w:rsid w:val="00903D42"/>
    <w:rsid w:val="00915F7B"/>
    <w:rsid w:val="00933066"/>
    <w:rsid w:val="00935DD4"/>
    <w:rsid w:val="00967636"/>
    <w:rsid w:val="00967C0E"/>
    <w:rsid w:val="00974B95"/>
    <w:rsid w:val="009835B0"/>
    <w:rsid w:val="00985F39"/>
    <w:rsid w:val="00994BA2"/>
    <w:rsid w:val="009950AC"/>
    <w:rsid w:val="009A103D"/>
    <w:rsid w:val="009A3B42"/>
    <w:rsid w:val="009B0AE3"/>
    <w:rsid w:val="009E14EE"/>
    <w:rsid w:val="009E3E09"/>
    <w:rsid w:val="009E5506"/>
    <w:rsid w:val="009E6014"/>
    <w:rsid w:val="009E6D98"/>
    <w:rsid w:val="009F33FC"/>
    <w:rsid w:val="009F34D1"/>
    <w:rsid w:val="009F3559"/>
    <w:rsid w:val="00A01094"/>
    <w:rsid w:val="00A015BC"/>
    <w:rsid w:val="00A027A3"/>
    <w:rsid w:val="00A06FC0"/>
    <w:rsid w:val="00A15516"/>
    <w:rsid w:val="00A30930"/>
    <w:rsid w:val="00A4119A"/>
    <w:rsid w:val="00A44356"/>
    <w:rsid w:val="00A555D4"/>
    <w:rsid w:val="00A55D74"/>
    <w:rsid w:val="00A56794"/>
    <w:rsid w:val="00A6126C"/>
    <w:rsid w:val="00A704D9"/>
    <w:rsid w:val="00A74B57"/>
    <w:rsid w:val="00A86E89"/>
    <w:rsid w:val="00A915A4"/>
    <w:rsid w:val="00AB3653"/>
    <w:rsid w:val="00AB3E51"/>
    <w:rsid w:val="00AB4AF7"/>
    <w:rsid w:val="00AB4F3E"/>
    <w:rsid w:val="00AC0092"/>
    <w:rsid w:val="00AC1431"/>
    <w:rsid w:val="00AC7D11"/>
    <w:rsid w:val="00AD357C"/>
    <w:rsid w:val="00AD4E5A"/>
    <w:rsid w:val="00AE6874"/>
    <w:rsid w:val="00AF4536"/>
    <w:rsid w:val="00B01D43"/>
    <w:rsid w:val="00B06A09"/>
    <w:rsid w:val="00B1212F"/>
    <w:rsid w:val="00B35243"/>
    <w:rsid w:val="00B44595"/>
    <w:rsid w:val="00B46E57"/>
    <w:rsid w:val="00B746DD"/>
    <w:rsid w:val="00B858B4"/>
    <w:rsid w:val="00B87A7F"/>
    <w:rsid w:val="00B95F26"/>
    <w:rsid w:val="00BA3CEA"/>
    <w:rsid w:val="00BB231F"/>
    <w:rsid w:val="00BD0B40"/>
    <w:rsid w:val="00BD1B22"/>
    <w:rsid w:val="00BD2EBF"/>
    <w:rsid w:val="00BD74C0"/>
    <w:rsid w:val="00BE02C7"/>
    <w:rsid w:val="00BF0C7E"/>
    <w:rsid w:val="00C0591A"/>
    <w:rsid w:val="00C06A8A"/>
    <w:rsid w:val="00C1291D"/>
    <w:rsid w:val="00C138B0"/>
    <w:rsid w:val="00C17643"/>
    <w:rsid w:val="00C206A8"/>
    <w:rsid w:val="00C2091B"/>
    <w:rsid w:val="00C21024"/>
    <w:rsid w:val="00C22328"/>
    <w:rsid w:val="00C22521"/>
    <w:rsid w:val="00C27825"/>
    <w:rsid w:val="00C435B9"/>
    <w:rsid w:val="00C54CD3"/>
    <w:rsid w:val="00C56CFF"/>
    <w:rsid w:val="00C57AA0"/>
    <w:rsid w:val="00C66EC1"/>
    <w:rsid w:val="00C67B4B"/>
    <w:rsid w:val="00C721E0"/>
    <w:rsid w:val="00C75971"/>
    <w:rsid w:val="00C8280B"/>
    <w:rsid w:val="00C94C2C"/>
    <w:rsid w:val="00C9717C"/>
    <w:rsid w:val="00CA0B30"/>
    <w:rsid w:val="00CA166F"/>
    <w:rsid w:val="00CB2B6A"/>
    <w:rsid w:val="00CC0B0A"/>
    <w:rsid w:val="00CC1B3A"/>
    <w:rsid w:val="00CF3D60"/>
    <w:rsid w:val="00CF4EB3"/>
    <w:rsid w:val="00CF7FF8"/>
    <w:rsid w:val="00D0206C"/>
    <w:rsid w:val="00D02CD1"/>
    <w:rsid w:val="00D26CAC"/>
    <w:rsid w:val="00D31FFD"/>
    <w:rsid w:val="00D34740"/>
    <w:rsid w:val="00D3545B"/>
    <w:rsid w:val="00D37B7B"/>
    <w:rsid w:val="00D4455D"/>
    <w:rsid w:val="00D502B1"/>
    <w:rsid w:val="00D61E3F"/>
    <w:rsid w:val="00D6219E"/>
    <w:rsid w:val="00D62E3E"/>
    <w:rsid w:val="00D6333C"/>
    <w:rsid w:val="00D7407B"/>
    <w:rsid w:val="00D80A55"/>
    <w:rsid w:val="00D866FD"/>
    <w:rsid w:val="00D91F60"/>
    <w:rsid w:val="00D970D7"/>
    <w:rsid w:val="00D97C49"/>
    <w:rsid w:val="00DA03B5"/>
    <w:rsid w:val="00DA269F"/>
    <w:rsid w:val="00DA4F62"/>
    <w:rsid w:val="00DC3077"/>
    <w:rsid w:val="00DC79DF"/>
    <w:rsid w:val="00DE1A56"/>
    <w:rsid w:val="00DE38D8"/>
    <w:rsid w:val="00DE571B"/>
    <w:rsid w:val="00DF0E72"/>
    <w:rsid w:val="00DF4E8E"/>
    <w:rsid w:val="00DF699D"/>
    <w:rsid w:val="00E050A8"/>
    <w:rsid w:val="00E06EED"/>
    <w:rsid w:val="00E11B25"/>
    <w:rsid w:val="00E23D69"/>
    <w:rsid w:val="00E338F1"/>
    <w:rsid w:val="00E33CEF"/>
    <w:rsid w:val="00E376C0"/>
    <w:rsid w:val="00E40675"/>
    <w:rsid w:val="00E453CB"/>
    <w:rsid w:val="00E51962"/>
    <w:rsid w:val="00E60B82"/>
    <w:rsid w:val="00E64731"/>
    <w:rsid w:val="00E72852"/>
    <w:rsid w:val="00E73D9E"/>
    <w:rsid w:val="00E75449"/>
    <w:rsid w:val="00E84826"/>
    <w:rsid w:val="00E84D00"/>
    <w:rsid w:val="00E90202"/>
    <w:rsid w:val="00E94FBB"/>
    <w:rsid w:val="00EA0153"/>
    <w:rsid w:val="00EA0DBC"/>
    <w:rsid w:val="00EA1F12"/>
    <w:rsid w:val="00EB35EC"/>
    <w:rsid w:val="00EC1B67"/>
    <w:rsid w:val="00EC7A9A"/>
    <w:rsid w:val="00ED7624"/>
    <w:rsid w:val="00EE1C10"/>
    <w:rsid w:val="00EE2BF8"/>
    <w:rsid w:val="00EF1BBE"/>
    <w:rsid w:val="00EF44F0"/>
    <w:rsid w:val="00F10A75"/>
    <w:rsid w:val="00F277B7"/>
    <w:rsid w:val="00F27A8E"/>
    <w:rsid w:val="00F3624C"/>
    <w:rsid w:val="00F47639"/>
    <w:rsid w:val="00F52D1A"/>
    <w:rsid w:val="00F537B7"/>
    <w:rsid w:val="00F631DB"/>
    <w:rsid w:val="00F95132"/>
    <w:rsid w:val="00FA3690"/>
    <w:rsid w:val="00FB11E9"/>
    <w:rsid w:val="00FB2548"/>
    <w:rsid w:val="00FB2BDC"/>
    <w:rsid w:val="00FB3C73"/>
    <w:rsid w:val="00FB61A1"/>
    <w:rsid w:val="00FC133D"/>
    <w:rsid w:val="00FC45FD"/>
    <w:rsid w:val="00FD042D"/>
    <w:rsid w:val="00FD32B7"/>
    <w:rsid w:val="00FD747B"/>
    <w:rsid w:val="00FE094C"/>
    <w:rsid w:val="00FE6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9F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6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5D61"/>
    <w:pPr>
      <w:spacing w:before="100" w:beforeAutospacing="1" w:after="100" w:afterAutospacing="1"/>
    </w:pPr>
    <w:rPr>
      <w:lang w:eastAsia="lv-LV"/>
    </w:rPr>
  </w:style>
  <w:style w:type="paragraph" w:styleId="BodyText2">
    <w:name w:val="Body Text 2"/>
    <w:basedOn w:val="Normal"/>
    <w:link w:val="BodyText2Char"/>
    <w:uiPriority w:val="99"/>
    <w:semiHidden/>
    <w:unhideWhenUsed/>
    <w:rsid w:val="007A5D61"/>
    <w:pPr>
      <w:spacing w:after="120" w:line="480" w:lineRule="auto"/>
    </w:pPr>
    <w:rPr>
      <w:lang w:val="x-none"/>
    </w:rPr>
  </w:style>
  <w:style w:type="character" w:customStyle="1" w:styleId="BodyText2Char">
    <w:name w:val="Body Text 2 Char"/>
    <w:basedOn w:val="DefaultParagraphFont"/>
    <w:link w:val="BodyText2"/>
    <w:uiPriority w:val="99"/>
    <w:semiHidden/>
    <w:rsid w:val="007A5D61"/>
    <w:rPr>
      <w:rFonts w:ascii="Times New Roman" w:eastAsia="Times New Roman" w:hAnsi="Times New Roman" w:cs="Times New Roman"/>
      <w:sz w:val="24"/>
      <w:szCs w:val="24"/>
      <w:lang w:val="x-none" w:eastAsia="ru-RU"/>
    </w:rPr>
  </w:style>
  <w:style w:type="character" w:customStyle="1" w:styleId="ATvirsrakstsChar">
    <w:name w:val="AT virsraksts Char"/>
    <w:basedOn w:val="DefaultParagraphFont"/>
    <w:link w:val="ATvirsraksts"/>
    <w:locked/>
    <w:rsid w:val="007A5D61"/>
    <w:rPr>
      <w:rFonts w:ascii="Times New Roman" w:eastAsia="Times New Roman" w:hAnsi="Times New Roman" w:cs="Times New Roman"/>
      <w:b/>
      <w:szCs w:val="24"/>
      <w:lang w:eastAsia="ru-RU"/>
    </w:rPr>
  </w:style>
  <w:style w:type="paragraph" w:customStyle="1" w:styleId="ATvirsraksts">
    <w:name w:val="AT virsraksts"/>
    <w:basedOn w:val="Normal"/>
    <w:link w:val="ATvirsrakstsChar"/>
    <w:qFormat/>
    <w:rsid w:val="007A5D61"/>
    <w:pPr>
      <w:spacing w:line="276" w:lineRule="auto"/>
      <w:jc w:val="center"/>
      <w:outlineLvl w:val="0"/>
    </w:pPr>
    <w:rPr>
      <w:b/>
      <w:sz w:val="22"/>
    </w:rPr>
  </w:style>
  <w:style w:type="paragraph" w:customStyle="1" w:styleId="tv213">
    <w:name w:val="tv213"/>
    <w:basedOn w:val="Normal"/>
    <w:rsid w:val="007A5D61"/>
    <w:pPr>
      <w:spacing w:before="100" w:beforeAutospacing="1" w:after="100" w:afterAutospacing="1"/>
    </w:pPr>
    <w:rPr>
      <w:lang w:eastAsia="lv-LV"/>
    </w:rPr>
  </w:style>
  <w:style w:type="table" w:styleId="TableGrid">
    <w:name w:val="Table Grid"/>
    <w:basedOn w:val="TableNormal"/>
    <w:uiPriority w:val="39"/>
    <w:rsid w:val="007A5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76101B"/>
    <w:pPr>
      <w:spacing w:before="100" w:beforeAutospacing="1" w:after="100" w:afterAutospacing="1"/>
    </w:pPr>
    <w:rPr>
      <w:lang w:eastAsia="lv-LV"/>
    </w:rPr>
  </w:style>
  <w:style w:type="paragraph" w:styleId="Header">
    <w:name w:val="header"/>
    <w:basedOn w:val="Normal"/>
    <w:link w:val="HeaderChar"/>
    <w:uiPriority w:val="99"/>
    <w:unhideWhenUsed/>
    <w:rsid w:val="00C75971"/>
    <w:pPr>
      <w:tabs>
        <w:tab w:val="center" w:pos="4153"/>
        <w:tab w:val="right" w:pos="8306"/>
      </w:tabs>
    </w:pPr>
  </w:style>
  <w:style w:type="character" w:customStyle="1" w:styleId="HeaderChar">
    <w:name w:val="Header Char"/>
    <w:basedOn w:val="DefaultParagraphFont"/>
    <w:link w:val="Header"/>
    <w:uiPriority w:val="99"/>
    <w:rsid w:val="00C7597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5971"/>
    <w:pPr>
      <w:tabs>
        <w:tab w:val="center" w:pos="4153"/>
        <w:tab w:val="right" w:pos="8306"/>
      </w:tabs>
    </w:pPr>
  </w:style>
  <w:style w:type="character" w:customStyle="1" w:styleId="FooterChar">
    <w:name w:val="Footer Char"/>
    <w:basedOn w:val="DefaultParagraphFont"/>
    <w:link w:val="Footer"/>
    <w:uiPriority w:val="99"/>
    <w:rsid w:val="00C75971"/>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027A3"/>
    <w:rPr>
      <w:color w:val="0000FF"/>
      <w:u w:val="single"/>
    </w:rPr>
  </w:style>
  <w:style w:type="paragraph" w:customStyle="1" w:styleId="naislab">
    <w:name w:val="naislab"/>
    <w:basedOn w:val="Normal"/>
    <w:rsid w:val="00863521"/>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3B2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BF"/>
    <w:rPr>
      <w:rFonts w:ascii="Segoe UI" w:eastAsia="Times New Roman" w:hAnsi="Segoe UI" w:cs="Segoe UI"/>
      <w:sz w:val="18"/>
      <w:szCs w:val="18"/>
      <w:lang w:eastAsia="ru-RU"/>
    </w:rPr>
  </w:style>
  <w:style w:type="paragraph" w:styleId="ListBullet">
    <w:name w:val="List Bullet"/>
    <w:basedOn w:val="Normal"/>
    <w:uiPriority w:val="99"/>
    <w:unhideWhenUsed/>
    <w:rsid w:val="008E1036"/>
    <w:pPr>
      <w:numPr>
        <w:numId w:val="3"/>
      </w:numPr>
      <w:contextualSpacing/>
    </w:pPr>
  </w:style>
  <w:style w:type="character" w:styleId="CommentReference">
    <w:name w:val="annotation reference"/>
    <w:basedOn w:val="DefaultParagraphFont"/>
    <w:uiPriority w:val="99"/>
    <w:semiHidden/>
    <w:unhideWhenUsed/>
    <w:rsid w:val="00AD357C"/>
    <w:rPr>
      <w:sz w:val="16"/>
      <w:szCs w:val="16"/>
    </w:rPr>
  </w:style>
  <w:style w:type="paragraph" w:styleId="CommentText">
    <w:name w:val="annotation text"/>
    <w:basedOn w:val="Normal"/>
    <w:link w:val="CommentTextChar"/>
    <w:uiPriority w:val="99"/>
    <w:semiHidden/>
    <w:unhideWhenUsed/>
    <w:rsid w:val="00AD357C"/>
    <w:rPr>
      <w:sz w:val="20"/>
      <w:szCs w:val="20"/>
    </w:rPr>
  </w:style>
  <w:style w:type="character" w:customStyle="1" w:styleId="CommentTextChar">
    <w:name w:val="Comment Text Char"/>
    <w:basedOn w:val="DefaultParagraphFont"/>
    <w:link w:val="CommentText"/>
    <w:uiPriority w:val="99"/>
    <w:semiHidden/>
    <w:rsid w:val="00AD357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D357C"/>
    <w:rPr>
      <w:b/>
      <w:bCs/>
    </w:rPr>
  </w:style>
  <w:style w:type="character" w:customStyle="1" w:styleId="CommentSubjectChar">
    <w:name w:val="Comment Subject Char"/>
    <w:basedOn w:val="CommentTextChar"/>
    <w:link w:val="CommentSubject"/>
    <w:uiPriority w:val="99"/>
    <w:semiHidden/>
    <w:rsid w:val="00AD357C"/>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DC3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4532">
      <w:bodyDiv w:val="1"/>
      <w:marLeft w:val="0"/>
      <w:marRight w:val="0"/>
      <w:marTop w:val="0"/>
      <w:marBottom w:val="0"/>
      <w:divBdr>
        <w:top w:val="none" w:sz="0" w:space="0" w:color="auto"/>
        <w:left w:val="none" w:sz="0" w:space="0" w:color="auto"/>
        <w:bottom w:val="none" w:sz="0" w:space="0" w:color="auto"/>
        <w:right w:val="none" w:sz="0" w:space="0" w:color="auto"/>
      </w:divBdr>
    </w:div>
    <w:div w:id="138351121">
      <w:bodyDiv w:val="1"/>
      <w:marLeft w:val="0"/>
      <w:marRight w:val="0"/>
      <w:marTop w:val="0"/>
      <w:marBottom w:val="0"/>
      <w:divBdr>
        <w:top w:val="none" w:sz="0" w:space="0" w:color="auto"/>
        <w:left w:val="none" w:sz="0" w:space="0" w:color="auto"/>
        <w:bottom w:val="none" w:sz="0" w:space="0" w:color="auto"/>
        <w:right w:val="none" w:sz="0" w:space="0" w:color="auto"/>
      </w:divBdr>
    </w:div>
    <w:div w:id="447511755">
      <w:bodyDiv w:val="1"/>
      <w:marLeft w:val="0"/>
      <w:marRight w:val="0"/>
      <w:marTop w:val="0"/>
      <w:marBottom w:val="0"/>
      <w:divBdr>
        <w:top w:val="none" w:sz="0" w:space="0" w:color="auto"/>
        <w:left w:val="none" w:sz="0" w:space="0" w:color="auto"/>
        <w:bottom w:val="none" w:sz="0" w:space="0" w:color="auto"/>
        <w:right w:val="none" w:sz="0" w:space="0" w:color="auto"/>
      </w:divBdr>
    </w:div>
    <w:div w:id="475610531">
      <w:bodyDiv w:val="1"/>
      <w:marLeft w:val="0"/>
      <w:marRight w:val="0"/>
      <w:marTop w:val="0"/>
      <w:marBottom w:val="0"/>
      <w:divBdr>
        <w:top w:val="none" w:sz="0" w:space="0" w:color="auto"/>
        <w:left w:val="none" w:sz="0" w:space="0" w:color="auto"/>
        <w:bottom w:val="none" w:sz="0" w:space="0" w:color="auto"/>
        <w:right w:val="none" w:sz="0" w:space="0" w:color="auto"/>
      </w:divBdr>
    </w:div>
    <w:div w:id="508640326">
      <w:bodyDiv w:val="1"/>
      <w:marLeft w:val="0"/>
      <w:marRight w:val="0"/>
      <w:marTop w:val="0"/>
      <w:marBottom w:val="0"/>
      <w:divBdr>
        <w:top w:val="none" w:sz="0" w:space="0" w:color="auto"/>
        <w:left w:val="none" w:sz="0" w:space="0" w:color="auto"/>
        <w:bottom w:val="none" w:sz="0" w:space="0" w:color="auto"/>
        <w:right w:val="none" w:sz="0" w:space="0" w:color="auto"/>
      </w:divBdr>
    </w:div>
    <w:div w:id="771627998">
      <w:bodyDiv w:val="1"/>
      <w:marLeft w:val="0"/>
      <w:marRight w:val="0"/>
      <w:marTop w:val="0"/>
      <w:marBottom w:val="0"/>
      <w:divBdr>
        <w:top w:val="none" w:sz="0" w:space="0" w:color="auto"/>
        <w:left w:val="none" w:sz="0" w:space="0" w:color="auto"/>
        <w:bottom w:val="none" w:sz="0" w:space="0" w:color="auto"/>
        <w:right w:val="none" w:sz="0" w:space="0" w:color="auto"/>
      </w:divBdr>
    </w:div>
    <w:div w:id="883323938">
      <w:bodyDiv w:val="1"/>
      <w:marLeft w:val="0"/>
      <w:marRight w:val="0"/>
      <w:marTop w:val="0"/>
      <w:marBottom w:val="0"/>
      <w:divBdr>
        <w:top w:val="none" w:sz="0" w:space="0" w:color="auto"/>
        <w:left w:val="none" w:sz="0" w:space="0" w:color="auto"/>
        <w:bottom w:val="none" w:sz="0" w:space="0" w:color="auto"/>
        <w:right w:val="none" w:sz="0" w:space="0" w:color="auto"/>
      </w:divBdr>
    </w:div>
    <w:div w:id="943151522">
      <w:bodyDiv w:val="1"/>
      <w:marLeft w:val="0"/>
      <w:marRight w:val="0"/>
      <w:marTop w:val="0"/>
      <w:marBottom w:val="0"/>
      <w:divBdr>
        <w:top w:val="none" w:sz="0" w:space="0" w:color="auto"/>
        <w:left w:val="none" w:sz="0" w:space="0" w:color="auto"/>
        <w:bottom w:val="none" w:sz="0" w:space="0" w:color="auto"/>
        <w:right w:val="none" w:sz="0" w:space="0" w:color="auto"/>
      </w:divBdr>
    </w:div>
    <w:div w:id="1192496171">
      <w:bodyDiv w:val="1"/>
      <w:marLeft w:val="0"/>
      <w:marRight w:val="0"/>
      <w:marTop w:val="0"/>
      <w:marBottom w:val="0"/>
      <w:divBdr>
        <w:top w:val="none" w:sz="0" w:space="0" w:color="auto"/>
        <w:left w:val="none" w:sz="0" w:space="0" w:color="auto"/>
        <w:bottom w:val="none" w:sz="0" w:space="0" w:color="auto"/>
        <w:right w:val="none" w:sz="0" w:space="0" w:color="auto"/>
      </w:divBdr>
    </w:div>
    <w:div w:id="1198660892">
      <w:bodyDiv w:val="1"/>
      <w:marLeft w:val="0"/>
      <w:marRight w:val="0"/>
      <w:marTop w:val="0"/>
      <w:marBottom w:val="0"/>
      <w:divBdr>
        <w:top w:val="none" w:sz="0" w:space="0" w:color="auto"/>
        <w:left w:val="none" w:sz="0" w:space="0" w:color="auto"/>
        <w:bottom w:val="none" w:sz="0" w:space="0" w:color="auto"/>
        <w:right w:val="none" w:sz="0" w:space="0" w:color="auto"/>
      </w:divBdr>
    </w:div>
    <w:div w:id="1273711116">
      <w:bodyDiv w:val="1"/>
      <w:marLeft w:val="0"/>
      <w:marRight w:val="0"/>
      <w:marTop w:val="0"/>
      <w:marBottom w:val="0"/>
      <w:divBdr>
        <w:top w:val="none" w:sz="0" w:space="0" w:color="auto"/>
        <w:left w:val="none" w:sz="0" w:space="0" w:color="auto"/>
        <w:bottom w:val="none" w:sz="0" w:space="0" w:color="auto"/>
        <w:right w:val="none" w:sz="0" w:space="0" w:color="auto"/>
      </w:divBdr>
    </w:div>
    <w:div w:id="1398090548">
      <w:bodyDiv w:val="1"/>
      <w:marLeft w:val="0"/>
      <w:marRight w:val="0"/>
      <w:marTop w:val="0"/>
      <w:marBottom w:val="0"/>
      <w:divBdr>
        <w:top w:val="none" w:sz="0" w:space="0" w:color="auto"/>
        <w:left w:val="none" w:sz="0" w:space="0" w:color="auto"/>
        <w:bottom w:val="none" w:sz="0" w:space="0" w:color="auto"/>
        <w:right w:val="none" w:sz="0" w:space="0" w:color="auto"/>
      </w:divBdr>
    </w:div>
    <w:div w:id="1463576822">
      <w:bodyDiv w:val="1"/>
      <w:marLeft w:val="0"/>
      <w:marRight w:val="0"/>
      <w:marTop w:val="0"/>
      <w:marBottom w:val="0"/>
      <w:divBdr>
        <w:top w:val="none" w:sz="0" w:space="0" w:color="auto"/>
        <w:left w:val="none" w:sz="0" w:space="0" w:color="auto"/>
        <w:bottom w:val="none" w:sz="0" w:space="0" w:color="auto"/>
        <w:right w:val="none" w:sz="0" w:space="0" w:color="auto"/>
      </w:divBdr>
    </w:div>
    <w:div w:id="1588804848">
      <w:bodyDiv w:val="1"/>
      <w:marLeft w:val="0"/>
      <w:marRight w:val="0"/>
      <w:marTop w:val="0"/>
      <w:marBottom w:val="0"/>
      <w:divBdr>
        <w:top w:val="none" w:sz="0" w:space="0" w:color="auto"/>
        <w:left w:val="none" w:sz="0" w:space="0" w:color="auto"/>
        <w:bottom w:val="none" w:sz="0" w:space="0" w:color="auto"/>
        <w:right w:val="none" w:sz="0" w:space="0" w:color="auto"/>
      </w:divBdr>
    </w:div>
    <w:div w:id="1678533200">
      <w:bodyDiv w:val="1"/>
      <w:marLeft w:val="0"/>
      <w:marRight w:val="0"/>
      <w:marTop w:val="0"/>
      <w:marBottom w:val="0"/>
      <w:divBdr>
        <w:top w:val="none" w:sz="0" w:space="0" w:color="auto"/>
        <w:left w:val="none" w:sz="0" w:space="0" w:color="auto"/>
        <w:bottom w:val="none" w:sz="0" w:space="0" w:color="auto"/>
        <w:right w:val="none" w:sz="0" w:space="0" w:color="auto"/>
      </w:divBdr>
    </w:div>
    <w:div w:id="1984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08.A430102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D500-2F1F-4596-B7BE-CEECACA7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32493</Words>
  <Characters>18522</Characters>
  <Application>Microsoft Office Word</Application>
  <DocSecurity>0</DocSecurity>
  <Lines>154</Lines>
  <Paragraphs>101</Paragraphs>
  <ScaleCrop>false</ScaleCrop>
  <Company/>
  <LinksUpToDate>false</LinksUpToDate>
  <CharactersWithSpaces>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2020-12-15T09:04:00Z</dcterms:created>
  <dcterms:modified xsi:type="dcterms:W3CDTF">2020-12-16T13:58:00Z</dcterms:modified>
</cp:coreProperties>
</file>