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59DA" w14:textId="3BBBB772" w:rsidR="00D17892" w:rsidRPr="00D17892" w:rsidRDefault="00D17892" w:rsidP="00D17892">
      <w:pPr>
        <w:spacing w:after="0" w:line="276" w:lineRule="auto"/>
        <w:ind w:left="-284"/>
        <w:jc w:val="both"/>
        <w:rPr>
          <w:b/>
          <w:bCs/>
        </w:rPr>
      </w:pPr>
      <w:r w:rsidRPr="00D17892">
        <w:rPr>
          <w:b/>
          <w:bCs/>
        </w:rPr>
        <w:t>Cietušā pārstāvja tiesības pēc pārstāvamā nāves pārsūdzēt kriminālprocesu veicošās amatpersonas lēmumu, ar kuru tiek aizskartas cietušā likumīgās intereses</w:t>
      </w:r>
    </w:p>
    <w:p w14:paraId="2B796E00" w14:textId="6C7DCAD1" w:rsidR="00D17892" w:rsidRPr="00D17892" w:rsidRDefault="00D17892" w:rsidP="00D17892">
      <w:pPr>
        <w:spacing w:after="0" w:line="276" w:lineRule="auto"/>
        <w:ind w:left="-284"/>
        <w:jc w:val="both"/>
      </w:pPr>
    </w:p>
    <w:p w14:paraId="30DAA572" w14:textId="1131941B" w:rsidR="00D17892" w:rsidRPr="00D17892" w:rsidRDefault="00D17892" w:rsidP="00D17892">
      <w:pPr>
        <w:spacing w:after="0" w:line="276" w:lineRule="auto"/>
        <w:ind w:left="-284"/>
        <w:jc w:val="both"/>
        <w:rPr>
          <w:rFonts w:cs="Times New Roman"/>
          <w:b/>
          <w:bCs/>
          <w:szCs w:val="24"/>
        </w:rPr>
      </w:pPr>
      <w:r w:rsidRPr="00D17892">
        <w:rPr>
          <w:b/>
          <w:bCs/>
        </w:rPr>
        <w:t xml:space="preserve">Krimināllikuma </w:t>
      </w:r>
      <w:proofErr w:type="gramStart"/>
      <w:r w:rsidRPr="00D17892">
        <w:rPr>
          <w:b/>
          <w:bCs/>
        </w:rPr>
        <w:t>179.pantā</w:t>
      </w:r>
      <w:proofErr w:type="gramEnd"/>
      <w:r w:rsidRPr="00D17892">
        <w:rPr>
          <w:b/>
          <w:bCs/>
        </w:rPr>
        <w:t xml:space="preserve"> paredzētā noziedzīgā nodarījuma – piesavināšanās – sastāvs</w:t>
      </w:r>
    </w:p>
    <w:p w14:paraId="69B292FE" w14:textId="199D6084" w:rsidR="00C1678B" w:rsidRPr="00843EF4" w:rsidRDefault="00C1678B" w:rsidP="00D17892">
      <w:pPr>
        <w:spacing w:after="0" w:line="360" w:lineRule="auto"/>
        <w:rPr>
          <w:rFonts w:eastAsia="Times New Roman" w:cs="Times New Roman"/>
          <w:szCs w:val="24"/>
        </w:rPr>
      </w:pPr>
    </w:p>
    <w:p w14:paraId="4803C1EC" w14:textId="77777777" w:rsidR="00D17892" w:rsidRPr="00D17892" w:rsidRDefault="00C1678B" w:rsidP="00C1678B">
      <w:pPr>
        <w:spacing w:after="0" w:line="276" w:lineRule="auto"/>
        <w:jc w:val="center"/>
        <w:rPr>
          <w:rFonts w:cs="Times New Roman"/>
          <w:b/>
          <w:szCs w:val="24"/>
        </w:rPr>
      </w:pPr>
      <w:r w:rsidRPr="00D17892">
        <w:rPr>
          <w:rFonts w:cs="Times New Roman"/>
          <w:b/>
          <w:szCs w:val="24"/>
        </w:rPr>
        <w:t>Latvijas Republikas Senāt</w:t>
      </w:r>
      <w:r w:rsidR="00D17892" w:rsidRPr="00D17892">
        <w:rPr>
          <w:rFonts w:cs="Times New Roman"/>
          <w:b/>
          <w:szCs w:val="24"/>
        </w:rPr>
        <w:t xml:space="preserve">a </w:t>
      </w:r>
    </w:p>
    <w:p w14:paraId="4F3A855F" w14:textId="77777777" w:rsidR="00D17892" w:rsidRPr="00D17892" w:rsidRDefault="00D17892" w:rsidP="00C1678B">
      <w:pPr>
        <w:spacing w:after="0" w:line="276" w:lineRule="auto"/>
        <w:jc w:val="center"/>
        <w:rPr>
          <w:rFonts w:cs="Times New Roman"/>
          <w:b/>
          <w:szCs w:val="24"/>
        </w:rPr>
      </w:pPr>
      <w:r w:rsidRPr="00D17892">
        <w:rPr>
          <w:rFonts w:cs="Times New Roman"/>
          <w:b/>
          <w:szCs w:val="24"/>
        </w:rPr>
        <w:t>Krimināllietu departamenta</w:t>
      </w:r>
    </w:p>
    <w:p w14:paraId="02BE08CC" w14:textId="1C499DE1" w:rsidR="00C1678B" w:rsidRPr="00D17892" w:rsidRDefault="00D17892" w:rsidP="00C1678B">
      <w:pPr>
        <w:spacing w:after="0" w:line="276" w:lineRule="auto"/>
        <w:jc w:val="center"/>
        <w:rPr>
          <w:rFonts w:cs="Times New Roman"/>
          <w:b/>
          <w:szCs w:val="24"/>
        </w:rPr>
      </w:pPr>
      <w:proofErr w:type="gramStart"/>
      <w:r w:rsidRPr="00D17892">
        <w:rPr>
          <w:rFonts w:cs="Times New Roman"/>
          <w:b/>
          <w:szCs w:val="24"/>
        </w:rPr>
        <w:t>2020.gada</w:t>
      </w:r>
      <w:proofErr w:type="gramEnd"/>
      <w:r w:rsidRPr="00D17892">
        <w:rPr>
          <w:rFonts w:cs="Times New Roman"/>
          <w:b/>
          <w:color w:val="000000" w:themeColor="text1"/>
          <w:szCs w:val="24"/>
        </w:rPr>
        <w:t xml:space="preserve"> 23.oktobra</w:t>
      </w:r>
    </w:p>
    <w:p w14:paraId="081D439B" w14:textId="77777777" w:rsidR="00D17892" w:rsidRPr="00D17892" w:rsidRDefault="00C1678B" w:rsidP="00D17892">
      <w:pPr>
        <w:spacing w:after="0" w:line="276" w:lineRule="auto"/>
        <w:jc w:val="center"/>
        <w:rPr>
          <w:rFonts w:cs="Times New Roman"/>
          <w:b/>
          <w:szCs w:val="24"/>
        </w:rPr>
      </w:pPr>
      <w:r w:rsidRPr="00D17892">
        <w:rPr>
          <w:rFonts w:cs="Times New Roman"/>
          <w:b/>
          <w:szCs w:val="24"/>
        </w:rPr>
        <w:t>LĒMUMS</w:t>
      </w:r>
      <w:r w:rsidR="00D17892" w:rsidRPr="00D17892">
        <w:rPr>
          <w:rFonts w:cs="Times New Roman"/>
          <w:b/>
          <w:szCs w:val="24"/>
        </w:rPr>
        <w:t xml:space="preserve"> </w:t>
      </w:r>
    </w:p>
    <w:p w14:paraId="0E67CCA0" w14:textId="1D6007F0" w:rsidR="00D17892" w:rsidRPr="00D17892" w:rsidRDefault="00D17892" w:rsidP="00D17892">
      <w:pPr>
        <w:spacing w:after="0" w:line="276" w:lineRule="auto"/>
        <w:jc w:val="center"/>
        <w:rPr>
          <w:rFonts w:cs="Times New Roman"/>
          <w:b/>
          <w:szCs w:val="24"/>
        </w:rPr>
      </w:pPr>
      <w:r w:rsidRPr="00D17892">
        <w:rPr>
          <w:rFonts w:cs="Times New Roman"/>
          <w:b/>
          <w:szCs w:val="24"/>
        </w:rPr>
        <w:t>Lieta Nr. 12060000110, SKK</w:t>
      </w:r>
      <w:r w:rsidRPr="00D17892">
        <w:rPr>
          <w:rFonts w:cs="Times New Roman"/>
          <w:b/>
          <w:szCs w:val="24"/>
        </w:rPr>
        <w:noBreakHyphen/>
        <w:t>88/2020</w:t>
      </w:r>
    </w:p>
    <w:p w14:paraId="4F642A83" w14:textId="36BB6EEA" w:rsidR="00C1678B" w:rsidRPr="00D17892" w:rsidRDefault="00E43046" w:rsidP="00C1678B">
      <w:pPr>
        <w:spacing w:after="0" w:line="276" w:lineRule="auto"/>
        <w:jc w:val="center"/>
        <w:rPr>
          <w:rFonts w:cs="Times New Roman"/>
          <w:b/>
          <w:szCs w:val="24"/>
        </w:rPr>
      </w:pPr>
      <w:hyperlink r:id="rId8" w:history="1">
        <w:r w:rsidR="00D17892" w:rsidRPr="00D17892">
          <w:rPr>
            <w:rStyle w:val="Hyperlink"/>
            <w:rFonts w:cs="Times New Roman"/>
            <w:szCs w:val="24"/>
            <w:shd w:val="clear" w:color="auto" w:fill="FFFFFF"/>
          </w:rPr>
          <w:t>ECLI:LV:AT:2020:1023.12060000110.4.L</w:t>
        </w:r>
      </w:hyperlink>
    </w:p>
    <w:p w14:paraId="50BFCA78" w14:textId="08553A5B" w:rsidR="00C1678B" w:rsidRPr="00843EF4" w:rsidRDefault="00C1678B" w:rsidP="00D17892">
      <w:pPr>
        <w:spacing w:after="200" w:line="360" w:lineRule="auto"/>
        <w:rPr>
          <w:rFonts w:cs="Times New Roman"/>
          <w:szCs w:val="24"/>
        </w:rPr>
      </w:pPr>
    </w:p>
    <w:p w14:paraId="68C73722" w14:textId="77777777" w:rsidR="00C1678B" w:rsidRPr="00843EF4" w:rsidRDefault="00C1678B" w:rsidP="00C1678B">
      <w:pPr>
        <w:spacing w:before="240" w:after="200" w:line="276" w:lineRule="auto"/>
        <w:ind w:firstLine="720"/>
        <w:jc w:val="both"/>
        <w:rPr>
          <w:rFonts w:cs="Times New Roman"/>
          <w:szCs w:val="24"/>
        </w:rPr>
      </w:pPr>
      <w:r w:rsidRPr="00843EF4">
        <w:rPr>
          <w:rFonts w:cs="Times New Roman"/>
          <w:szCs w:val="24"/>
        </w:rPr>
        <w:t>Tiesa šādā sastāvā: senatori A</w:t>
      </w:r>
      <w:r>
        <w:rPr>
          <w:rFonts w:cs="Times New Roman"/>
          <w:szCs w:val="24"/>
        </w:rPr>
        <w:t>i</w:t>
      </w:r>
      <w:r w:rsidR="006414F0">
        <w:rPr>
          <w:rFonts w:cs="Times New Roman"/>
          <w:szCs w:val="24"/>
        </w:rPr>
        <w:t>vars Uminskis, Sandra Kaija</w:t>
      </w:r>
      <w:r w:rsidR="00C3238A">
        <w:rPr>
          <w:rFonts w:cs="Times New Roman"/>
          <w:szCs w:val="24"/>
        </w:rPr>
        <w:t>,</w:t>
      </w:r>
      <w:r w:rsidR="00C3238A" w:rsidRPr="00C3238A">
        <w:rPr>
          <w:rFonts w:cs="Times New Roman"/>
          <w:szCs w:val="24"/>
        </w:rPr>
        <w:t xml:space="preserve"> </w:t>
      </w:r>
      <w:r w:rsidR="00C3238A">
        <w:rPr>
          <w:rFonts w:cs="Times New Roman"/>
          <w:szCs w:val="24"/>
        </w:rPr>
        <w:t>Anita Poļakova</w:t>
      </w:r>
    </w:p>
    <w:p w14:paraId="3D9AEF84" w14:textId="436A1204" w:rsidR="00C1678B" w:rsidRDefault="00C1678B" w:rsidP="00C1678B">
      <w:pPr>
        <w:spacing w:after="0" w:line="276" w:lineRule="auto"/>
        <w:ind w:firstLine="720"/>
        <w:jc w:val="both"/>
        <w:rPr>
          <w:rFonts w:cs="Times New Roman"/>
          <w:szCs w:val="24"/>
        </w:rPr>
      </w:pPr>
      <w:r w:rsidRPr="00843EF4">
        <w:rPr>
          <w:rFonts w:cs="Times New Roman"/>
          <w:szCs w:val="24"/>
        </w:rPr>
        <w:t>izskatīja rakstveida procesā krimināllietu sakarā ar</w:t>
      </w:r>
      <w:r>
        <w:rPr>
          <w:rFonts w:cs="Times New Roman"/>
          <w:szCs w:val="24"/>
        </w:rPr>
        <w:t xml:space="preserve"> </w:t>
      </w:r>
      <w:r w:rsidRPr="00843EF4">
        <w:rPr>
          <w:rFonts w:cs="Times New Roman"/>
          <w:szCs w:val="24"/>
        </w:rPr>
        <w:t xml:space="preserve">apsūdzētā </w:t>
      </w:r>
      <w:r w:rsidR="00D17892">
        <w:rPr>
          <w:rFonts w:cs="Times New Roman"/>
          <w:szCs w:val="24"/>
        </w:rPr>
        <w:t>[pers. A]</w:t>
      </w:r>
      <w:r w:rsidRPr="00843EF4">
        <w:rPr>
          <w:rFonts w:cs="Times New Roman"/>
          <w:szCs w:val="24"/>
        </w:rPr>
        <w:t xml:space="preserve"> aizstāves Zanes Vilcānes kasācijas sūdzību par Rīgas apgabaltiesas </w:t>
      </w:r>
      <w:proofErr w:type="gramStart"/>
      <w:r w:rsidRPr="00843EF4">
        <w:rPr>
          <w:rFonts w:cs="Times New Roman"/>
          <w:szCs w:val="24"/>
        </w:rPr>
        <w:t>2019.gada</w:t>
      </w:r>
      <w:proofErr w:type="gramEnd"/>
      <w:r w:rsidRPr="00843EF4">
        <w:rPr>
          <w:rFonts w:cs="Times New Roman"/>
          <w:szCs w:val="24"/>
        </w:rPr>
        <w:t xml:space="preserve"> 5.septembra lēmumu</w:t>
      </w:r>
      <w:r>
        <w:rPr>
          <w:rFonts w:cs="Times New Roman"/>
          <w:szCs w:val="24"/>
        </w:rPr>
        <w:t>.</w:t>
      </w:r>
    </w:p>
    <w:p w14:paraId="7BE35E76" w14:textId="77777777" w:rsidR="00C1678B" w:rsidRPr="00843EF4" w:rsidRDefault="00C1678B" w:rsidP="00C1678B">
      <w:pPr>
        <w:spacing w:after="0" w:line="276" w:lineRule="auto"/>
        <w:jc w:val="both"/>
        <w:rPr>
          <w:rFonts w:cs="Times New Roman"/>
          <w:szCs w:val="24"/>
        </w:rPr>
      </w:pPr>
    </w:p>
    <w:p w14:paraId="5CABC7F5" w14:textId="77777777" w:rsidR="00C1678B" w:rsidRPr="00843EF4" w:rsidRDefault="00C1678B" w:rsidP="00C1678B">
      <w:pPr>
        <w:autoSpaceDE w:val="0"/>
        <w:autoSpaceDN w:val="0"/>
        <w:adjustRightInd w:val="0"/>
        <w:spacing w:after="0" w:line="276" w:lineRule="auto"/>
        <w:jc w:val="center"/>
        <w:rPr>
          <w:rFonts w:cs="Times New Roman"/>
          <w:b/>
          <w:bCs/>
          <w:szCs w:val="24"/>
        </w:rPr>
      </w:pPr>
      <w:r w:rsidRPr="00843EF4">
        <w:rPr>
          <w:rFonts w:cs="Times New Roman"/>
          <w:b/>
          <w:bCs/>
          <w:szCs w:val="24"/>
        </w:rPr>
        <w:t>Aprakstošā daļa</w:t>
      </w:r>
    </w:p>
    <w:p w14:paraId="4522DBD8" w14:textId="77777777" w:rsidR="00C1678B" w:rsidRPr="00843EF4" w:rsidRDefault="00C1678B" w:rsidP="00C1678B">
      <w:pPr>
        <w:autoSpaceDE w:val="0"/>
        <w:autoSpaceDN w:val="0"/>
        <w:adjustRightInd w:val="0"/>
        <w:spacing w:after="0" w:line="276" w:lineRule="auto"/>
        <w:jc w:val="center"/>
        <w:rPr>
          <w:rFonts w:cs="Times New Roman"/>
          <w:b/>
          <w:bCs/>
          <w:szCs w:val="24"/>
        </w:rPr>
      </w:pPr>
    </w:p>
    <w:p w14:paraId="6558BF23" w14:textId="77777777" w:rsidR="00C1678B" w:rsidRDefault="00C1678B" w:rsidP="00C1678B">
      <w:pPr>
        <w:spacing w:after="0" w:line="276" w:lineRule="auto"/>
        <w:ind w:firstLine="720"/>
        <w:jc w:val="both"/>
        <w:rPr>
          <w:rFonts w:cs="Times New Roman"/>
          <w:szCs w:val="24"/>
        </w:rPr>
      </w:pPr>
      <w:r w:rsidRPr="00843EF4">
        <w:rPr>
          <w:rFonts w:cs="Times New Roman"/>
          <w:szCs w:val="24"/>
        </w:rPr>
        <w:t xml:space="preserve">[1] Ar </w:t>
      </w:r>
      <w:r>
        <w:rPr>
          <w:rFonts w:cs="Times New Roman"/>
          <w:szCs w:val="24"/>
        </w:rPr>
        <w:t xml:space="preserve">Rīgas pilsētas Vidzemes priekšpilsētas tiesas </w:t>
      </w:r>
      <w:proofErr w:type="gramStart"/>
      <w:r>
        <w:rPr>
          <w:rFonts w:cs="Times New Roman"/>
          <w:szCs w:val="24"/>
        </w:rPr>
        <w:t>2018.gada</w:t>
      </w:r>
      <w:proofErr w:type="gramEnd"/>
      <w:r>
        <w:rPr>
          <w:rFonts w:cs="Times New Roman"/>
          <w:szCs w:val="24"/>
        </w:rPr>
        <w:t xml:space="preserve"> 9.novembra spriedumu</w:t>
      </w:r>
    </w:p>
    <w:p w14:paraId="18A9A178" w14:textId="6A14B1E4" w:rsidR="00C1678B" w:rsidRDefault="00D17892" w:rsidP="00C1678B">
      <w:pPr>
        <w:spacing w:after="0" w:line="276" w:lineRule="auto"/>
        <w:ind w:firstLine="720"/>
        <w:jc w:val="both"/>
        <w:rPr>
          <w:rFonts w:cs="Times New Roman"/>
          <w:szCs w:val="24"/>
        </w:rPr>
      </w:pPr>
      <w:r>
        <w:rPr>
          <w:rFonts w:cs="Times New Roman"/>
          <w:szCs w:val="24"/>
        </w:rPr>
        <w:t>[pers. A]</w:t>
      </w:r>
      <w:r w:rsidR="00C1678B">
        <w:rPr>
          <w:rFonts w:cs="Times New Roman"/>
          <w:szCs w:val="24"/>
        </w:rPr>
        <w:t xml:space="preserve">, personas kods </w:t>
      </w:r>
      <w:r>
        <w:rPr>
          <w:rFonts w:cs="Times New Roman"/>
          <w:szCs w:val="24"/>
        </w:rPr>
        <w:t>[..]</w:t>
      </w:r>
      <w:r w:rsidR="00C1678B">
        <w:rPr>
          <w:rFonts w:cs="Times New Roman"/>
          <w:szCs w:val="24"/>
        </w:rPr>
        <w:t>,</w:t>
      </w:r>
    </w:p>
    <w:p w14:paraId="3EA446D2" w14:textId="77777777" w:rsidR="00C1678B" w:rsidRDefault="00C1678B" w:rsidP="00C1678B">
      <w:pPr>
        <w:spacing w:after="0" w:line="276" w:lineRule="auto"/>
        <w:ind w:firstLine="720"/>
        <w:jc w:val="both"/>
        <w:rPr>
          <w:rFonts w:cs="Times New Roman"/>
          <w:szCs w:val="24"/>
        </w:rPr>
      </w:pPr>
      <w:r>
        <w:rPr>
          <w:rFonts w:cs="Times New Roman"/>
          <w:szCs w:val="24"/>
        </w:rPr>
        <w:t xml:space="preserve">atzīts par vainīgu Krimināllikuma </w:t>
      </w:r>
      <w:proofErr w:type="gramStart"/>
      <w:r>
        <w:rPr>
          <w:rFonts w:cs="Times New Roman"/>
          <w:szCs w:val="24"/>
        </w:rPr>
        <w:t>179.panta</w:t>
      </w:r>
      <w:proofErr w:type="gramEnd"/>
      <w:r>
        <w:rPr>
          <w:rFonts w:cs="Times New Roman"/>
          <w:szCs w:val="24"/>
        </w:rPr>
        <w:t xml:space="preserve"> trešajā daļā paredzētajā noziedzīgajā nodarījumā un sodīts, piemērojot Krimināllikuma 49.</w:t>
      </w:r>
      <w:r w:rsidRPr="00C1678B">
        <w:rPr>
          <w:rFonts w:cs="Times New Roman"/>
          <w:szCs w:val="24"/>
          <w:vertAlign w:val="superscript"/>
        </w:rPr>
        <w:t>1</w:t>
      </w:r>
      <w:r>
        <w:rPr>
          <w:rFonts w:cs="Times New Roman"/>
          <w:szCs w:val="24"/>
        </w:rPr>
        <w:t>panta pirmās daļas 1.punktu, ar brīvības at</w:t>
      </w:r>
      <w:r w:rsidR="00122388">
        <w:rPr>
          <w:rFonts w:cs="Times New Roman"/>
          <w:szCs w:val="24"/>
        </w:rPr>
        <w:t>ņemšanu uz 2 gadiem;</w:t>
      </w:r>
    </w:p>
    <w:p w14:paraId="3F3DB20B" w14:textId="77777777" w:rsidR="00122388" w:rsidRDefault="00122388" w:rsidP="00C1678B">
      <w:pPr>
        <w:spacing w:after="0" w:line="276" w:lineRule="auto"/>
        <w:ind w:firstLine="720"/>
        <w:jc w:val="both"/>
        <w:rPr>
          <w:rFonts w:cs="Times New Roman"/>
          <w:szCs w:val="24"/>
        </w:rPr>
      </w:pPr>
      <w:r>
        <w:rPr>
          <w:rFonts w:cs="Times New Roman"/>
          <w:szCs w:val="24"/>
        </w:rPr>
        <w:t xml:space="preserve">atzīts par nevainīgu Krimināllikuma </w:t>
      </w:r>
      <w:proofErr w:type="gramStart"/>
      <w:r>
        <w:rPr>
          <w:rFonts w:cs="Times New Roman"/>
          <w:szCs w:val="24"/>
        </w:rPr>
        <w:t>196.panta</w:t>
      </w:r>
      <w:proofErr w:type="gramEnd"/>
      <w:r>
        <w:rPr>
          <w:rFonts w:cs="Times New Roman"/>
          <w:szCs w:val="24"/>
        </w:rPr>
        <w:t xml:space="preserve"> otrajā daļā paredzētajā noziedzīgajā nodarījumā un attaisnots. </w:t>
      </w:r>
    </w:p>
    <w:p w14:paraId="3CE41BF9" w14:textId="03706432" w:rsidR="00122388" w:rsidRDefault="00122388" w:rsidP="00C1678B">
      <w:pPr>
        <w:spacing w:after="0" w:line="276" w:lineRule="auto"/>
        <w:ind w:firstLine="720"/>
        <w:jc w:val="both"/>
        <w:rPr>
          <w:rFonts w:cs="Times New Roman"/>
          <w:szCs w:val="24"/>
        </w:rPr>
      </w:pPr>
      <w:r>
        <w:rPr>
          <w:rFonts w:cs="Times New Roman"/>
          <w:szCs w:val="24"/>
        </w:rPr>
        <w:t xml:space="preserve">No </w:t>
      </w:r>
      <w:r w:rsidR="00D17892">
        <w:rPr>
          <w:rFonts w:cs="Times New Roman"/>
          <w:szCs w:val="24"/>
        </w:rPr>
        <w:t>[pers. A]</w:t>
      </w:r>
      <w:r w:rsidRPr="00122388">
        <w:rPr>
          <w:rFonts w:cs="Times New Roman"/>
          <w:szCs w:val="24"/>
        </w:rPr>
        <w:t xml:space="preserve"> cietušā </w:t>
      </w:r>
      <w:r w:rsidR="00D17892">
        <w:rPr>
          <w:rFonts w:cs="Times New Roman"/>
          <w:szCs w:val="24"/>
        </w:rPr>
        <w:t>[pers. B]</w:t>
      </w:r>
      <w:r w:rsidRPr="00122388">
        <w:rPr>
          <w:rFonts w:cs="Times New Roman"/>
          <w:szCs w:val="24"/>
        </w:rPr>
        <w:t xml:space="preserve"> labā</w:t>
      </w:r>
      <w:r>
        <w:rPr>
          <w:rFonts w:cs="Times New Roman"/>
          <w:szCs w:val="24"/>
        </w:rPr>
        <w:t xml:space="preserve"> piedzīta</w:t>
      </w:r>
      <w:r w:rsidRPr="00122388">
        <w:rPr>
          <w:rFonts w:cs="Times New Roman"/>
          <w:szCs w:val="24"/>
        </w:rPr>
        <w:t xml:space="preserve"> mater</w:t>
      </w:r>
      <w:r>
        <w:rPr>
          <w:rFonts w:cs="Times New Roman"/>
          <w:szCs w:val="24"/>
        </w:rPr>
        <w:t>iālā kaitējuma kompensācija 159 </w:t>
      </w:r>
      <w:r w:rsidRPr="00122388">
        <w:rPr>
          <w:rFonts w:cs="Times New Roman"/>
          <w:szCs w:val="24"/>
        </w:rPr>
        <w:t xml:space="preserve">082,70 </w:t>
      </w:r>
      <w:proofErr w:type="spellStart"/>
      <w:r w:rsidRPr="00122388">
        <w:rPr>
          <w:rFonts w:cs="Times New Roman"/>
          <w:i/>
          <w:szCs w:val="24"/>
        </w:rPr>
        <w:t>euro</w:t>
      </w:r>
      <w:proofErr w:type="spellEnd"/>
      <w:r w:rsidRPr="00122388">
        <w:rPr>
          <w:rFonts w:cs="Times New Roman"/>
          <w:szCs w:val="24"/>
        </w:rPr>
        <w:t>.</w:t>
      </w:r>
    </w:p>
    <w:p w14:paraId="16120058" w14:textId="77777777" w:rsidR="00122388" w:rsidRDefault="00122388" w:rsidP="00C1678B">
      <w:pPr>
        <w:spacing w:after="0" w:line="276" w:lineRule="auto"/>
        <w:ind w:firstLine="720"/>
        <w:jc w:val="both"/>
        <w:rPr>
          <w:rFonts w:cs="Times New Roman"/>
          <w:szCs w:val="24"/>
        </w:rPr>
      </w:pPr>
      <w:r>
        <w:rPr>
          <w:rFonts w:cs="Times New Roman"/>
          <w:szCs w:val="24"/>
        </w:rPr>
        <w:t>Pārējā daļā pieteiktā kaitējuma kompensācija</w:t>
      </w:r>
      <w:r w:rsidR="0059791C">
        <w:rPr>
          <w:rFonts w:cs="Times New Roman"/>
          <w:szCs w:val="24"/>
        </w:rPr>
        <w:t xml:space="preserve"> 353 514,41 </w:t>
      </w:r>
      <w:proofErr w:type="spellStart"/>
      <w:r w:rsidR="0059791C" w:rsidRPr="0059791C">
        <w:rPr>
          <w:rFonts w:cs="Times New Roman"/>
          <w:i/>
          <w:szCs w:val="24"/>
        </w:rPr>
        <w:t>euro</w:t>
      </w:r>
      <w:proofErr w:type="spellEnd"/>
      <w:r w:rsidR="0059791C">
        <w:rPr>
          <w:rFonts w:cs="Times New Roman"/>
          <w:szCs w:val="24"/>
        </w:rPr>
        <w:t xml:space="preserve"> apmērā</w:t>
      </w:r>
      <w:r>
        <w:rPr>
          <w:rFonts w:cs="Times New Roman"/>
          <w:szCs w:val="24"/>
        </w:rPr>
        <w:t xml:space="preserve"> atstāta bez izskatīšanas.</w:t>
      </w:r>
    </w:p>
    <w:p w14:paraId="4BA3DE20" w14:textId="77777777" w:rsidR="0059791C" w:rsidRDefault="0059791C" w:rsidP="00C1678B">
      <w:pPr>
        <w:spacing w:after="0" w:line="276" w:lineRule="auto"/>
        <w:ind w:firstLine="720"/>
        <w:jc w:val="both"/>
        <w:rPr>
          <w:rFonts w:cs="Times New Roman"/>
          <w:szCs w:val="24"/>
        </w:rPr>
      </w:pPr>
    </w:p>
    <w:p w14:paraId="688D4744" w14:textId="1349B8D3" w:rsidR="00DB7214" w:rsidRDefault="0059791C" w:rsidP="00DB7214">
      <w:pPr>
        <w:spacing w:after="0" w:line="276" w:lineRule="auto"/>
        <w:ind w:firstLine="720"/>
        <w:jc w:val="both"/>
        <w:rPr>
          <w:rFonts w:cs="Times New Roman"/>
          <w:szCs w:val="24"/>
        </w:rPr>
      </w:pPr>
      <w:r>
        <w:rPr>
          <w:rFonts w:cs="Times New Roman"/>
          <w:szCs w:val="24"/>
        </w:rPr>
        <w:t>[2] </w:t>
      </w:r>
      <w:r w:rsidRPr="00843EF4">
        <w:rPr>
          <w:rFonts w:cs="Times New Roman"/>
          <w:szCs w:val="24"/>
        </w:rPr>
        <w:t xml:space="preserve">Ar </w:t>
      </w:r>
      <w:r>
        <w:rPr>
          <w:rFonts w:cs="Times New Roman"/>
          <w:szCs w:val="24"/>
        </w:rPr>
        <w:t xml:space="preserve">Rīgas pilsētas Vidzemes priekšpilsētas tiesas </w:t>
      </w:r>
      <w:proofErr w:type="gramStart"/>
      <w:r>
        <w:rPr>
          <w:rFonts w:cs="Times New Roman"/>
          <w:szCs w:val="24"/>
        </w:rPr>
        <w:t>2018.gada</w:t>
      </w:r>
      <w:proofErr w:type="gramEnd"/>
      <w:r>
        <w:rPr>
          <w:rFonts w:cs="Times New Roman"/>
          <w:szCs w:val="24"/>
        </w:rPr>
        <w:t xml:space="preserve"> 9.novembra spriedumu</w:t>
      </w:r>
      <w:r w:rsidR="002505EC">
        <w:rPr>
          <w:rFonts w:cs="Times New Roman"/>
          <w:szCs w:val="24"/>
        </w:rPr>
        <w:t xml:space="preserve"> </w:t>
      </w:r>
      <w:r w:rsidR="00D17892">
        <w:rPr>
          <w:rFonts w:cs="Times New Roman"/>
          <w:szCs w:val="24"/>
        </w:rPr>
        <w:t>[pers. A]</w:t>
      </w:r>
      <w:r w:rsidR="002505EC">
        <w:rPr>
          <w:rFonts w:cs="Times New Roman"/>
          <w:szCs w:val="24"/>
        </w:rPr>
        <w:t xml:space="preserve"> atzīts par vainīgu un sodīts pēc Krimināllikuma 179.panta trešās daļas par</w:t>
      </w:r>
      <w:r w:rsidR="00DB7214">
        <w:rPr>
          <w:rFonts w:cs="Times New Roman"/>
          <w:szCs w:val="24"/>
        </w:rPr>
        <w:t xml:space="preserve"> to, ka</w:t>
      </w:r>
      <w:r w:rsidR="002505EC">
        <w:rPr>
          <w:rFonts w:cs="Times New Roman"/>
          <w:szCs w:val="24"/>
        </w:rPr>
        <w:t xml:space="preserve"> </w:t>
      </w:r>
      <w:r w:rsidR="00DB7214">
        <w:rPr>
          <w:rFonts w:cs="Times New Roman"/>
          <w:szCs w:val="24"/>
        </w:rPr>
        <w:t>prettiesiski ieguva svešu mantu, būdams persona, kurai šī manta uzticēta un kuras pārziņā tā atradās (piesavināšanās),</w:t>
      </w:r>
      <w:r w:rsidR="00DB7214" w:rsidRPr="00DB7214">
        <w:rPr>
          <w:rFonts w:cs="Times New Roman"/>
          <w:szCs w:val="24"/>
        </w:rPr>
        <w:t xml:space="preserve"> </w:t>
      </w:r>
      <w:r w:rsidR="00DB7214">
        <w:rPr>
          <w:rFonts w:cs="Times New Roman"/>
          <w:szCs w:val="24"/>
        </w:rPr>
        <w:t>lielā apmērā</w:t>
      </w:r>
      <w:r w:rsidR="00B3025D">
        <w:rPr>
          <w:rFonts w:cs="Times New Roman"/>
          <w:szCs w:val="24"/>
        </w:rPr>
        <w:t>;</w:t>
      </w:r>
    </w:p>
    <w:p w14:paraId="0EF3ED26" w14:textId="05C422B2" w:rsidR="00DB7214" w:rsidRDefault="00D17892" w:rsidP="00DB7214">
      <w:pPr>
        <w:spacing w:after="0" w:line="276" w:lineRule="auto"/>
        <w:ind w:firstLine="720"/>
        <w:jc w:val="both"/>
        <w:rPr>
          <w:rFonts w:cs="Times New Roman"/>
          <w:szCs w:val="24"/>
        </w:rPr>
      </w:pPr>
      <w:r>
        <w:rPr>
          <w:rFonts w:cs="Times New Roman"/>
          <w:szCs w:val="24"/>
        </w:rPr>
        <w:t>[Pers. A]</w:t>
      </w:r>
      <w:r w:rsidR="00B3025D">
        <w:rPr>
          <w:rFonts w:cs="Times New Roman"/>
          <w:szCs w:val="24"/>
        </w:rPr>
        <w:t xml:space="preserve"> </w:t>
      </w:r>
      <w:r w:rsidR="00DB7214">
        <w:rPr>
          <w:rFonts w:cs="Times New Roman"/>
          <w:szCs w:val="24"/>
        </w:rPr>
        <w:t xml:space="preserve">atzīts par nevainīgu un attaisnots pēc Krimināllikuma </w:t>
      </w:r>
      <w:proofErr w:type="gramStart"/>
      <w:r w:rsidR="00DB7214">
        <w:rPr>
          <w:rFonts w:cs="Times New Roman"/>
          <w:szCs w:val="24"/>
        </w:rPr>
        <w:t>196.panta</w:t>
      </w:r>
      <w:proofErr w:type="gramEnd"/>
      <w:r w:rsidR="00DB7214">
        <w:rPr>
          <w:rFonts w:cs="Times New Roman"/>
          <w:szCs w:val="24"/>
        </w:rPr>
        <w:t xml:space="preserve"> otrās daļas par</w:t>
      </w:r>
      <w:r w:rsidR="00B3025D">
        <w:rPr>
          <w:rFonts w:cs="Times New Roman"/>
          <w:szCs w:val="24"/>
        </w:rPr>
        <w:t xml:space="preserve"> to, ka, būdams uzņēmuma pilnvarotā persona, tas ir, persona, kurai uzņēmumā ir tiesības pieņemt lēmumus, kas saistoši citām personām un rīkoties ar uzņēmuma mantu un finanšu līdzekļiem, mantkārīgā nolūkā</w:t>
      </w:r>
      <w:r w:rsidR="00DC41F8">
        <w:rPr>
          <w:rFonts w:cs="Times New Roman"/>
          <w:szCs w:val="24"/>
        </w:rPr>
        <w:t xml:space="preserve">, </w:t>
      </w:r>
      <w:r w:rsidR="00B3025D">
        <w:rPr>
          <w:rFonts w:cs="Times New Roman"/>
          <w:szCs w:val="24"/>
        </w:rPr>
        <w:t>ļaunprātīgi pārsniedz</w:t>
      </w:r>
      <w:r w:rsidR="00DC41F8">
        <w:rPr>
          <w:rFonts w:cs="Times New Roman"/>
          <w:szCs w:val="24"/>
        </w:rPr>
        <w:t>ot</w:t>
      </w:r>
      <w:r w:rsidR="00B3025D">
        <w:rPr>
          <w:rFonts w:cs="Times New Roman"/>
          <w:szCs w:val="24"/>
        </w:rPr>
        <w:t xml:space="preserve"> savas </w:t>
      </w:r>
      <w:r w:rsidR="00B3025D" w:rsidRPr="0013648C">
        <w:rPr>
          <w:rFonts w:cs="Times New Roman"/>
          <w:szCs w:val="24"/>
        </w:rPr>
        <w:t xml:space="preserve">pilnvaras, </w:t>
      </w:r>
      <w:r w:rsidR="00DC41F8" w:rsidRPr="0013648C">
        <w:rPr>
          <w:rFonts w:cs="Times New Roman"/>
          <w:szCs w:val="24"/>
        </w:rPr>
        <w:t xml:space="preserve">izdarīja tīšas darbības, </w:t>
      </w:r>
      <w:r w:rsidR="00B3025D">
        <w:rPr>
          <w:rFonts w:cs="Times New Roman"/>
          <w:szCs w:val="24"/>
        </w:rPr>
        <w:t>radot būtisku kaitējumu uzņēmuma un ar likumu aizsargātām citas personas interesēm.</w:t>
      </w:r>
    </w:p>
    <w:p w14:paraId="3EDD7E6E" w14:textId="77777777" w:rsidR="00507787" w:rsidRDefault="00507787" w:rsidP="00DB7214">
      <w:pPr>
        <w:spacing w:after="0" w:line="276" w:lineRule="auto"/>
        <w:ind w:firstLine="720"/>
        <w:jc w:val="both"/>
        <w:rPr>
          <w:rFonts w:cs="Times New Roman"/>
          <w:szCs w:val="24"/>
        </w:rPr>
      </w:pPr>
    </w:p>
    <w:p w14:paraId="52482192" w14:textId="5601A40A" w:rsidR="00507787" w:rsidRDefault="00507787" w:rsidP="00DB7214">
      <w:pPr>
        <w:spacing w:after="0" w:line="276" w:lineRule="auto"/>
        <w:ind w:firstLine="720"/>
        <w:jc w:val="both"/>
        <w:rPr>
          <w:rFonts w:cs="Times New Roman"/>
          <w:szCs w:val="24"/>
        </w:rPr>
      </w:pPr>
      <w:r>
        <w:rPr>
          <w:rFonts w:cs="Times New Roman"/>
          <w:szCs w:val="24"/>
        </w:rPr>
        <w:t>[3] </w:t>
      </w:r>
      <w:r w:rsidRPr="00507787">
        <w:rPr>
          <w:rFonts w:cs="Times New Roman"/>
          <w:szCs w:val="24"/>
        </w:rPr>
        <w:t xml:space="preserve">Ar Rīgas apgabaltiesas </w:t>
      </w:r>
      <w:proofErr w:type="gramStart"/>
      <w:r w:rsidRPr="00507787">
        <w:rPr>
          <w:rFonts w:cs="Times New Roman"/>
          <w:szCs w:val="24"/>
        </w:rPr>
        <w:t>2019.gada</w:t>
      </w:r>
      <w:proofErr w:type="gramEnd"/>
      <w:r w:rsidRPr="00507787">
        <w:rPr>
          <w:rFonts w:cs="Times New Roman"/>
          <w:szCs w:val="24"/>
        </w:rPr>
        <w:t xml:space="preserve"> 5.septembra lēmumu, izskatot krimināllietu apelācijas</w:t>
      </w:r>
      <w:r>
        <w:rPr>
          <w:rFonts w:cs="Times New Roman"/>
          <w:szCs w:val="24"/>
        </w:rPr>
        <w:t xml:space="preserve"> kārtībā sakarā ar apsūdzētā </w:t>
      </w:r>
      <w:r w:rsidR="00D17892">
        <w:rPr>
          <w:rFonts w:cs="Times New Roman"/>
          <w:szCs w:val="24"/>
        </w:rPr>
        <w:t>[pers. A]</w:t>
      </w:r>
      <w:r>
        <w:rPr>
          <w:rFonts w:cs="Times New Roman"/>
          <w:szCs w:val="24"/>
        </w:rPr>
        <w:t xml:space="preserve"> un viņa aizstāves Daigas </w:t>
      </w:r>
      <w:proofErr w:type="spellStart"/>
      <w:r>
        <w:rPr>
          <w:rFonts w:cs="Times New Roman"/>
          <w:szCs w:val="24"/>
        </w:rPr>
        <w:t>Siliņas</w:t>
      </w:r>
      <w:proofErr w:type="spellEnd"/>
      <w:r>
        <w:rPr>
          <w:rFonts w:cs="Times New Roman"/>
          <w:szCs w:val="24"/>
        </w:rPr>
        <w:t xml:space="preserve">, cietušā </w:t>
      </w:r>
      <w:r w:rsidR="00D17892">
        <w:rPr>
          <w:rFonts w:cs="Times New Roman"/>
          <w:szCs w:val="24"/>
        </w:rPr>
        <w:lastRenderedPageBreak/>
        <w:t>[pers. B]</w:t>
      </w:r>
      <w:r>
        <w:rPr>
          <w:rFonts w:cs="Times New Roman"/>
          <w:szCs w:val="24"/>
        </w:rPr>
        <w:t xml:space="preserve"> pilnvarotās pārstāves </w:t>
      </w:r>
      <w:r w:rsidR="00D17892">
        <w:rPr>
          <w:rFonts w:cs="Times New Roman"/>
          <w:szCs w:val="24"/>
        </w:rPr>
        <w:t>[pers. C]</w:t>
      </w:r>
      <w:r w:rsidRPr="00507787">
        <w:rPr>
          <w:rFonts w:cs="Times New Roman"/>
          <w:szCs w:val="24"/>
        </w:rPr>
        <w:t xml:space="preserve"> apelācijas sūdzībām, Rīgas pilsētas Vidzemes priekšpilsētas tiesas 2018.gada 9.novembra spriedums atstāts negrozīts.</w:t>
      </w:r>
    </w:p>
    <w:p w14:paraId="41D8BF93" w14:textId="77777777" w:rsidR="00164F2D" w:rsidRDefault="00164F2D" w:rsidP="00DB7214">
      <w:pPr>
        <w:spacing w:after="0" w:line="276" w:lineRule="auto"/>
        <w:ind w:firstLine="720"/>
        <w:jc w:val="both"/>
        <w:rPr>
          <w:rFonts w:cs="Times New Roman"/>
          <w:szCs w:val="24"/>
        </w:rPr>
      </w:pPr>
    </w:p>
    <w:p w14:paraId="343CAF30" w14:textId="3941AD67" w:rsidR="00507787" w:rsidRDefault="00604C1C" w:rsidP="00DB7214">
      <w:pPr>
        <w:spacing w:after="0" w:line="276" w:lineRule="auto"/>
        <w:ind w:firstLine="720"/>
        <w:jc w:val="both"/>
        <w:rPr>
          <w:rFonts w:cs="Times New Roman"/>
          <w:szCs w:val="24"/>
        </w:rPr>
      </w:pPr>
      <w:r>
        <w:rPr>
          <w:rFonts w:cs="Times New Roman"/>
          <w:szCs w:val="24"/>
        </w:rPr>
        <w:t>[4] </w:t>
      </w:r>
      <w:r w:rsidR="00020970">
        <w:rPr>
          <w:rFonts w:cs="Times New Roman"/>
          <w:szCs w:val="24"/>
        </w:rPr>
        <w:t>Par</w:t>
      </w:r>
      <w:r w:rsidR="00020970" w:rsidRPr="00020970">
        <w:rPr>
          <w:rFonts w:cs="Times New Roman"/>
          <w:szCs w:val="24"/>
        </w:rPr>
        <w:t xml:space="preserve"> </w:t>
      </w:r>
      <w:r w:rsidR="00020970" w:rsidRPr="00843EF4">
        <w:rPr>
          <w:rFonts w:cs="Times New Roman"/>
          <w:szCs w:val="24"/>
        </w:rPr>
        <w:t xml:space="preserve">Rīgas apgabaltiesas </w:t>
      </w:r>
      <w:proofErr w:type="gramStart"/>
      <w:r w:rsidR="00020970" w:rsidRPr="00843EF4">
        <w:rPr>
          <w:rFonts w:cs="Times New Roman"/>
          <w:szCs w:val="24"/>
        </w:rPr>
        <w:t>2019.gada</w:t>
      </w:r>
      <w:proofErr w:type="gramEnd"/>
      <w:r w:rsidR="00020970" w:rsidRPr="00843EF4">
        <w:rPr>
          <w:rFonts w:cs="Times New Roman"/>
          <w:szCs w:val="24"/>
        </w:rPr>
        <w:t xml:space="preserve"> 5.septembra lēmumu</w:t>
      </w:r>
      <w:r w:rsidR="00020970">
        <w:rPr>
          <w:rFonts w:cs="Times New Roman"/>
          <w:szCs w:val="24"/>
        </w:rPr>
        <w:t xml:space="preserve"> apsūdzētā </w:t>
      </w:r>
      <w:r w:rsidR="00D17892">
        <w:rPr>
          <w:rFonts w:cs="Times New Roman"/>
          <w:szCs w:val="24"/>
        </w:rPr>
        <w:t>[pers. A]</w:t>
      </w:r>
      <w:r w:rsidR="00020970">
        <w:rPr>
          <w:rFonts w:cs="Times New Roman"/>
          <w:szCs w:val="24"/>
        </w:rPr>
        <w:t xml:space="preserve"> aizstāve Z. Vilcāne iesniegusi kasācijas sūdzību, kurā lūdz apelācijas instances tiesas lēmumu atcelt un nosūtīt lietu jaunai izskatīšanai apelācijas instances tiesā.</w:t>
      </w:r>
    </w:p>
    <w:p w14:paraId="1719936A" w14:textId="77777777" w:rsidR="00355013" w:rsidRDefault="00355013" w:rsidP="00CE5A5E">
      <w:pPr>
        <w:spacing w:after="0" w:line="276" w:lineRule="auto"/>
        <w:ind w:firstLine="720"/>
        <w:jc w:val="both"/>
        <w:rPr>
          <w:rFonts w:cs="Times New Roman"/>
          <w:szCs w:val="24"/>
        </w:rPr>
      </w:pPr>
      <w:r>
        <w:rPr>
          <w:rFonts w:cs="Times New Roman"/>
          <w:szCs w:val="24"/>
        </w:rPr>
        <w:t>Nepareizi piemērojot Krim</w:t>
      </w:r>
      <w:r w:rsidR="00DA6ED2">
        <w:rPr>
          <w:rFonts w:cs="Times New Roman"/>
          <w:szCs w:val="24"/>
        </w:rPr>
        <w:t xml:space="preserve">ināllikuma </w:t>
      </w:r>
      <w:proofErr w:type="gramStart"/>
      <w:r w:rsidR="00DA6ED2">
        <w:rPr>
          <w:rFonts w:cs="Times New Roman"/>
          <w:szCs w:val="24"/>
        </w:rPr>
        <w:t>179.panta</w:t>
      </w:r>
      <w:proofErr w:type="gramEnd"/>
      <w:r w:rsidR="00DA6ED2">
        <w:rPr>
          <w:rFonts w:cs="Times New Roman"/>
          <w:szCs w:val="24"/>
        </w:rPr>
        <w:t xml:space="preserve"> trešo daļu,</w:t>
      </w:r>
      <w:r w:rsidRPr="00355013">
        <w:rPr>
          <w:rFonts w:cs="Times New Roman"/>
          <w:szCs w:val="24"/>
        </w:rPr>
        <w:t xml:space="preserve"> </w:t>
      </w:r>
      <w:r>
        <w:rPr>
          <w:rFonts w:cs="Times New Roman"/>
          <w:szCs w:val="24"/>
        </w:rPr>
        <w:t>tiesa pieļāvusi Kriminālprocesa likuma 574.panta otrās daļas (domājams – pirmās daļas 2.punkta) pārkāpumu.</w:t>
      </w:r>
      <w:r w:rsidRPr="00355013">
        <w:rPr>
          <w:rFonts w:cs="Times New Roman"/>
          <w:szCs w:val="24"/>
        </w:rPr>
        <w:t xml:space="preserve"> </w:t>
      </w:r>
      <w:r>
        <w:rPr>
          <w:rFonts w:cs="Times New Roman"/>
          <w:szCs w:val="24"/>
        </w:rPr>
        <w:t xml:space="preserve">Pierādījumi lietā izvērtēti, neievērojot Kriminālprocesa likuma 19., </w:t>
      </w:r>
      <w:proofErr w:type="gramStart"/>
      <w:r>
        <w:rPr>
          <w:rFonts w:cs="Times New Roman"/>
          <w:szCs w:val="24"/>
        </w:rPr>
        <w:t>124.panta</w:t>
      </w:r>
      <w:proofErr w:type="gramEnd"/>
      <w:r>
        <w:rPr>
          <w:rFonts w:cs="Times New Roman"/>
          <w:szCs w:val="24"/>
        </w:rPr>
        <w:t xml:space="preserve">, 127.panta pirmās un otrās daļas, 128.panta, </w:t>
      </w:r>
      <w:r w:rsidR="00DA6ED2">
        <w:rPr>
          <w:rFonts w:cs="Times New Roman"/>
          <w:szCs w:val="24"/>
        </w:rPr>
        <w:t>130.panta otrās daļas, 131.</w:t>
      </w:r>
      <w:r>
        <w:rPr>
          <w:rFonts w:cs="Times New Roman"/>
          <w:szCs w:val="24"/>
        </w:rPr>
        <w:t xml:space="preserve"> un 135.panta prasības. Līdz ar to apelācijas instances tiesas lēmums neatbilst Kriminālprocesa likuma </w:t>
      </w:r>
      <w:proofErr w:type="gramStart"/>
      <w:r>
        <w:rPr>
          <w:rFonts w:cs="Times New Roman"/>
          <w:szCs w:val="24"/>
        </w:rPr>
        <w:t>564.panta</w:t>
      </w:r>
      <w:proofErr w:type="gramEnd"/>
      <w:r>
        <w:rPr>
          <w:rFonts w:cs="Times New Roman"/>
          <w:szCs w:val="24"/>
        </w:rPr>
        <w:t xml:space="preserve"> ceturtās daļas prasībām</w:t>
      </w:r>
      <w:r w:rsidR="00CE5A5E">
        <w:rPr>
          <w:rFonts w:cs="Times New Roman"/>
          <w:szCs w:val="24"/>
        </w:rPr>
        <w:t>.</w:t>
      </w:r>
      <w:r>
        <w:rPr>
          <w:rFonts w:cs="Times New Roman"/>
          <w:szCs w:val="24"/>
        </w:rPr>
        <w:t xml:space="preserve"> </w:t>
      </w:r>
      <w:r w:rsidR="00CE5A5E">
        <w:rPr>
          <w:rFonts w:cs="Times New Roman"/>
          <w:szCs w:val="24"/>
        </w:rPr>
        <w:t>Turklāt apelācijas instances tiesa ir</w:t>
      </w:r>
      <w:r w:rsidR="00CE5A5E" w:rsidRPr="00CE5A5E">
        <w:rPr>
          <w:rFonts w:cs="Times New Roman"/>
          <w:szCs w:val="24"/>
        </w:rPr>
        <w:t xml:space="preserve"> </w:t>
      </w:r>
      <w:r w:rsidR="00CE5A5E">
        <w:rPr>
          <w:rFonts w:cs="Times New Roman"/>
          <w:szCs w:val="24"/>
        </w:rPr>
        <w:t xml:space="preserve">nepareizi piemērojusi Kriminālprocesa likuma </w:t>
      </w:r>
      <w:proofErr w:type="gramStart"/>
      <w:r w:rsidR="00CE5A5E">
        <w:rPr>
          <w:rFonts w:cs="Times New Roman"/>
          <w:szCs w:val="24"/>
        </w:rPr>
        <w:t>107.pantu</w:t>
      </w:r>
      <w:proofErr w:type="gramEnd"/>
      <w:r w:rsidR="00CE5A5E">
        <w:rPr>
          <w:rFonts w:cs="Times New Roman"/>
          <w:szCs w:val="24"/>
        </w:rPr>
        <w:t xml:space="preserve"> un pārkāpusi Kriminālprocesa likuma 1. un 15.pantu. Tādējādi </w:t>
      </w:r>
      <w:r>
        <w:rPr>
          <w:rFonts w:cs="Times New Roman"/>
          <w:szCs w:val="24"/>
        </w:rPr>
        <w:t>tiesa ir pieļāvusi</w:t>
      </w:r>
      <w:r w:rsidRPr="00A16382">
        <w:rPr>
          <w:rFonts w:cs="Times New Roman"/>
          <w:szCs w:val="24"/>
        </w:rPr>
        <w:t xml:space="preserve"> </w:t>
      </w:r>
      <w:r>
        <w:rPr>
          <w:rFonts w:cs="Times New Roman"/>
          <w:szCs w:val="24"/>
        </w:rPr>
        <w:t>Kriminālprocesa likuma būtisku</w:t>
      </w:r>
      <w:r w:rsidR="00CE5A5E">
        <w:rPr>
          <w:rFonts w:cs="Times New Roman"/>
          <w:szCs w:val="24"/>
        </w:rPr>
        <w:t>s</w:t>
      </w:r>
      <w:r>
        <w:rPr>
          <w:rFonts w:cs="Times New Roman"/>
          <w:szCs w:val="24"/>
        </w:rPr>
        <w:t xml:space="preserve"> pārkāpumu</w:t>
      </w:r>
      <w:r w:rsidR="00CE5A5E">
        <w:rPr>
          <w:rFonts w:cs="Times New Roman"/>
          <w:szCs w:val="24"/>
        </w:rPr>
        <w:t>s</w:t>
      </w:r>
      <w:r>
        <w:rPr>
          <w:rFonts w:cs="Times New Roman"/>
          <w:szCs w:val="24"/>
        </w:rPr>
        <w:t xml:space="preserve"> šā likuma </w:t>
      </w:r>
      <w:proofErr w:type="gramStart"/>
      <w:r>
        <w:rPr>
          <w:rFonts w:cs="Times New Roman"/>
          <w:szCs w:val="24"/>
        </w:rPr>
        <w:t>575.panta</w:t>
      </w:r>
      <w:proofErr w:type="gramEnd"/>
      <w:r>
        <w:rPr>
          <w:rFonts w:cs="Times New Roman"/>
          <w:szCs w:val="24"/>
        </w:rPr>
        <w:t xml:space="preserve"> trešās daļas izpratnē.</w:t>
      </w:r>
    </w:p>
    <w:p w14:paraId="4B390E37" w14:textId="77777777" w:rsidR="00020970" w:rsidRDefault="00020970" w:rsidP="00DB7214">
      <w:pPr>
        <w:spacing w:after="0" w:line="276" w:lineRule="auto"/>
        <w:ind w:firstLine="720"/>
        <w:jc w:val="both"/>
        <w:rPr>
          <w:rFonts w:cs="Times New Roman"/>
          <w:szCs w:val="24"/>
        </w:rPr>
      </w:pPr>
      <w:r>
        <w:rPr>
          <w:rFonts w:cs="Times New Roman"/>
          <w:szCs w:val="24"/>
        </w:rPr>
        <w:t>Kasācijas sūdzība pamatota ar turpmāk norādītiem argumentiem.</w:t>
      </w:r>
    </w:p>
    <w:p w14:paraId="66E34379" w14:textId="47169263" w:rsidR="00D7267B" w:rsidRDefault="00020970" w:rsidP="00355013">
      <w:pPr>
        <w:spacing w:after="0" w:line="276" w:lineRule="auto"/>
        <w:ind w:firstLine="720"/>
        <w:jc w:val="both"/>
        <w:rPr>
          <w:rFonts w:cs="Times New Roman"/>
          <w:szCs w:val="24"/>
        </w:rPr>
      </w:pPr>
      <w:r>
        <w:rPr>
          <w:rFonts w:cs="Times New Roman"/>
          <w:szCs w:val="24"/>
        </w:rPr>
        <w:t>[4.1] </w:t>
      </w:r>
      <w:r w:rsidR="00D17892">
        <w:rPr>
          <w:rFonts w:cs="Times New Roman"/>
          <w:szCs w:val="24"/>
        </w:rPr>
        <w:t>[Pers. A]</w:t>
      </w:r>
      <w:r w:rsidR="00D7267B">
        <w:rPr>
          <w:rFonts w:cs="Times New Roman"/>
          <w:szCs w:val="24"/>
        </w:rPr>
        <w:t xml:space="preserve"> rīcībā nav konstatējam</w:t>
      </w:r>
      <w:r w:rsidR="0024194A">
        <w:rPr>
          <w:rFonts w:cs="Times New Roman"/>
          <w:szCs w:val="24"/>
        </w:rPr>
        <w:t>a</w:t>
      </w:r>
      <w:r w:rsidR="00D7267B">
        <w:rPr>
          <w:rFonts w:cs="Times New Roman"/>
          <w:szCs w:val="24"/>
        </w:rPr>
        <w:t xml:space="preserve"> Krimināllikuma </w:t>
      </w:r>
      <w:proofErr w:type="gramStart"/>
      <w:r w:rsidR="00D7267B">
        <w:rPr>
          <w:rFonts w:cs="Times New Roman"/>
          <w:szCs w:val="24"/>
        </w:rPr>
        <w:t>179.panta</w:t>
      </w:r>
      <w:proofErr w:type="gramEnd"/>
      <w:r w:rsidR="00D7267B">
        <w:rPr>
          <w:rFonts w:cs="Times New Roman"/>
          <w:szCs w:val="24"/>
        </w:rPr>
        <w:t xml:space="preserve"> trešajā daļā paredzētā noziedzīgā nodarījuma objektīvā un subjektīvā puse. </w:t>
      </w:r>
    </w:p>
    <w:p w14:paraId="37A05D96" w14:textId="5A0086FB" w:rsidR="00D7267B" w:rsidRPr="00182328" w:rsidRDefault="00020970" w:rsidP="00266639">
      <w:pPr>
        <w:spacing w:after="0" w:line="276" w:lineRule="auto"/>
        <w:ind w:firstLine="720"/>
        <w:jc w:val="both"/>
        <w:rPr>
          <w:rFonts w:cs="Times New Roman"/>
          <w:szCs w:val="24"/>
        </w:rPr>
      </w:pPr>
      <w:r w:rsidRPr="00182328">
        <w:rPr>
          <w:rFonts w:cs="Times New Roman"/>
          <w:szCs w:val="24"/>
        </w:rPr>
        <w:t>Pirmās instances</w:t>
      </w:r>
      <w:r w:rsidR="00DA6ED2" w:rsidRPr="00182328">
        <w:rPr>
          <w:rFonts w:cs="Times New Roman"/>
          <w:szCs w:val="24"/>
        </w:rPr>
        <w:t xml:space="preserve"> tiesa un apelācijas instances tiesa</w:t>
      </w:r>
      <w:r w:rsidRPr="00182328">
        <w:rPr>
          <w:rFonts w:cs="Times New Roman"/>
          <w:szCs w:val="24"/>
        </w:rPr>
        <w:t xml:space="preserve"> nolēmumos nav vērtējušas </w:t>
      </w:r>
      <w:r w:rsidR="00D17892">
        <w:rPr>
          <w:rFonts w:cs="Times New Roman"/>
          <w:szCs w:val="24"/>
        </w:rPr>
        <w:t>[pers. A]</w:t>
      </w:r>
      <w:r w:rsidRPr="00182328">
        <w:rPr>
          <w:rFonts w:cs="Times New Roman"/>
          <w:szCs w:val="24"/>
        </w:rPr>
        <w:t xml:space="preserve"> un </w:t>
      </w:r>
      <w:r w:rsidR="00D17892">
        <w:rPr>
          <w:rFonts w:cs="Times New Roman"/>
          <w:szCs w:val="24"/>
        </w:rPr>
        <w:t>[pers. D]</w:t>
      </w:r>
      <w:r w:rsidRPr="00182328">
        <w:rPr>
          <w:rFonts w:cs="Times New Roman"/>
          <w:szCs w:val="24"/>
        </w:rPr>
        <w:t xml:space="preserve"> sadarbību, par kuru </w:t>
      </w:r>
      <w:r w:rsidR="00D17892">
        <w:rPr>
          <w:rFonts w:cs="Times New Roman"/>
          <w:szCs w:val="24"/>
        </w:rPr>
        <w:t>[pers. A]</w:t>
      </w:r>
      <w:r w:rsidRPr="00182328">
        <w:rPr>
          <w:rFonts w:cs="Times New Roman"/>
          <w:szCs w:val="24"/>
        </w:rPr>
        <w:t xml:space="preserve"> pienācās atlīdzība, proti, par nekustamo īpašumu apsaimniekošanu, pirkšanu, pārdošanu, kā arī citiem personīgiem maksājumiem, </w:t>
      </w:r>
      <w:r w:rsidR="00164F2D">
        <w:rPr>
          <w:rFonts w:cs="Times New Roman"/>
          <w:szCs w:val="24"/>
        </w:rPr>
        <w:t xml:space="preserve">uzturot </w:t>
      </w:r>
      <w:r w:rsidR="00D17892">
        <w:rPr>
          <w:rFonts w:cs="Times New Roman"/>
          <w:szCs w:val="24"/>
        </w:rPr>
        <w:t>[pers. D]</w:t>
      </w:r>
      <w:r w:rsidRPr="00182328">
        <w:rPr>
          <w:rFonts w:cs="Times New Roman"/>
          <w:szCs w:val="24"/>
        </w:rPr>
        <w:t xml:space="preserve"> māt</w:t>
      </w:r>
      <w:r w:rsidR="00164F2D">
        <w:rPr>
          <w:rFonts w:cs="Times New Roman"/>
          <w:szCs w:val="24"/>
        </w:rPr>
        <w:t xml:space="preserve">i </w:t>
      </w:r>
      <w:r w:rsidR="0024194A" w:rsidRPr="00182328">
        <w:rPr>
          <w:rFonts w:cs="Times New Roman"/>
          <w:szCs w:val="24"/>
        </w:rPr>
        <w:t>un</w:t>
      </w:r>
      <w:r w:rsidR="00D7267B" w:rsidRPr="00182328">
        <w:rPr>
          <w:rFonts w:cs="Times New Roman"/>
          <w:szCs w:val="24"/>
        </w:rPr>
        <w:t xml:space="preserve"> pārņemot</w:t>
      </w:r>
      <w:r w:rsidR="00DA6ED2" w:rsidRPr="00182328">
        <w:rPr>
          <w:rFonts w:cs="Times New Roman"/>
          <w:szCs w:val="24"/>
        </w:rPr>
        <w:t xml:space="preserve"> </w:t>
      </w:r>
      <w:r w:rsidR="00D17892">
        <w:rPr>
          <w:rFonts w:cs="Times New Roman"/>
          <w:szCs w:val="24"/>
        </w:rPr>
        <w:t>[pers. D]</w:t>
      </w:r>
      <w:r w:rsidR="00D7267B" w:rsidRPr="00182328">
        <w:rPr>
          <w:rFonts w:cs="Times New Roman"/>
          <w:szCs w:val="24"/>
        </w:rPr>
        <w:t xml:space="preserve"> saistības.</w:t>
      </w:r>
    </w:p>
    <w:p w14:paraId="1E331B29" w14:textId="65D05DB8" w:rsidR="00020970" w:rsidRDefault="00266639" w:rsidP="00266639">
      <w:pPr>
        <w:spacing w:after="0" w:line="276" w:lineRule="auto"/>
        <w:ind w:firstLine="720"/>
        <w:jc w:val="both"/>
        <w:rPr>
          <w:rFonts w:cs="Times New Roman"/>
          <w:szCs w:val="24"/>
        </w:rPr>
      </w:pPr>
      <w:r>
        <w:rPr>
          <w:rFonts w:cs="Times New Roman"/>
          <w:szCs w:val="24"/>
        </w:rPr>
        <w:t xml:space="preserve">Tiesa nav izvērtējusi pierādījumus lietā, kas apliecina </w:t>
      </w:r>
      <w:r w:rsidR="00D17892">
        <w:rPr>
          <w:rFonts w:cs="Times New Roman"/>
          <w:szCs w:val="24"/>
        </w:rPr>
        <w:t>[pers. A]</w:t>
      </w:r>
      <w:r>
        <w:rPr>
          <w:rFonts w:cs="Times New Roman"/>
          <w:szCs w:val="24"/>
        </w:rPr>
        <w:t xml:space="preserve"> prasījuma tiesības pret </w:t>
      </w:r>
      <w:r w:rsidR="00D17892">
        <w:rPr>
          <w:rFonts w:cs="Times New Roman"/>
          <w:szCs w:val="24"/>
        </w:rPr>
        <w:t>[pers. D]</w:t>
      </w:r>
      <w:r>
        <w:rPr>
          <w:rFonts w:cs="Times New Roman"/>
          <w:szCs w:val="24"/>
        </w:rPr>
        <w:t xml:space="preserve">, tajā skaitā paša </w:t>
      </w:r>
      <w:r w:rsidR="00D17892">
        <w:rPr>
          <w:rFonts w:cs="Times New Roman"/>
          <w:szCs w:val="24"/>
        </w:rPr>
        <w:t>[pers. A]</w:t>
      </w:r>
      <w:r>
        <w:rPr>
          <w:rFonts w:cs="Times New Roman"/>
          <w:szCs w:val="24"/>
        </w:rPr>
        <w:t xml:space="preserve"> liecības par to, ka </w:t>
      </w:r>
      <w:r w:rsidR="00C350A2">
        <w:rPr>
          <w:rFonts w:cs="Times New Roman"/>
          <w:szCs w:val="24"/>
        </w:rPr>
        <w:t>[pers. D]</w:t>
      </w:r>
      <w:r>
        <w:rPr>
          <w:rFonts w:cs="Times New Roman"/>
          <w:szCs w:val="24"/>
        </w:rPr>
        <w:t xml:space="preserve"> </w:t>
      </w:r>
      <w:r w:rsidR="00C350A2">
        <w:rPr>
          <w:rFonts w:cs="Times New Roman"/>
          <w:szCs w:val="24"/>
        </w:rPr>
        <w:t>[pers. A]</w:t>
      </w:r>
      <w:r>
        <w:rPr>
          <w:rFonts w:cs="Times New Roman"/>
          <w:szCs w:val="24"/>
        </w:rPr>
        <w:t xml:space="preserve"> ir parādā 510</w:t>
      </w:r>
      <w:r w:rsidR="00D7267B">
        <w:rPr>
          <w:rFonts w:cs="Times New Roman"/>
          <w:szCs w:val="24"/>
        </w:rPr>
        <w:t> 000 </w:t>
      </w:r>
      <w:proofErr w:type="spellStart"/>
      <w:r w:rsidRPr="00266639">
        <w:rPr>
          <w:rFonts w:cs="Times New Roman"/>
          <w:i/>
          <w:szCs w:val="24"/>
        </w:rPr>
        <w:t>euro</w:t>
      </w:r>
      <w:proofErr w:type="spellEnd"/>
      <w:r>
        <w:rPr>
          <w:rFonts w:cs="Times New Roman"/>
          <w:szCs w:val="24"/>
        </w:rPr>
        <w:t xml:space="preserve">, un </w:t>
      </w:r>
      <w:r w:rsidR="00D36D1A">
        <w:rPr>
          <w:rFonts w:cs="Times New Roman"/>
          <w:szCs w:val="24"/>
        </w:rPr>
        <w:t>nav ņēmusi vērā, ka</w:t>
      </w:r>
      <w:r>
        <w:rPr>
          <w:rFonts w:cs="Times New Roman"/>
          <w:szCs w:val="24"/>
        </w:rPr>
        <w:t xml:space="preserve"> starp </w:t>
      </w:r>
      <w:r w:rsidR="00C350A2">
        <w:rPr>
          <w:rFonts w:cs="Times New Roman"/>
          <w:szCs w:val="24"/>
        </w:rPr>
        <w:t>[pers. D]</w:t>
      </w:r>
      <w:r>
        <w:rPr>
          <w:rFonts w:cs="Times New Roman"/>
          <w:szCs w:val="24"/>
        </w:rPr>
        <w:t xml:space="preserve"> un </w:t>
      </w:r>
      <w:r w:rsidR="00C350A2">
        <w:rPr>
          <w:rFonts w:cs="Times New Roman"/>
          <w:szCs w:val="24"/>
        </w:rPr>
        <w:t>[pers. A]</w:t>
      </w:r>
      <w:r w:rsidR="00D36D1A">
        <w:rPr>
          <w:rFonts w:cs="Times New Roman"/>
          <w:szCs w:val="24"/>
        </w:rPr>
        <w:t xml:space="preserve"> pastāvējusi noruna</w:t>
      </w:r>
      <w:r w:rsidR="00020970">
        <w:rPr>
          <w:rFonts w:cs="Times New Roman"/>
          <w:szCs w:val="24"/>
        </w:rPr>
        <w:t xml:space="preserve"> </w:t>
      </w:r>
      <w:r>
        <w:rPr>
          <w:rFonts w:cs="Times New Roman"/>
          <w:szCs w:val="24"/>
        </w:rPr>
        <w:t>par</w:t>
      </w:r>
      <w:r w:rsidR="00020970">
        <w:rPr>
          <w:rFonts w:cs="Times New Roman"/>
          <w:szCs w:val="24"/>
        </w:rPr>
        <w:t xml:space="preserve"> </w:t>
      </w:r>
      <w:r>
        <w:rPr>
          <w:rFonts w:cs="Times New Roman"/>
          <w:szCs w:val="24"/>
        </w:rPr>
        <w:t>atlīdzību 30 % apmērā</w:t>
      </w:r>
      <w:r w:rsidR="00D7267B">
        <w:rPr>
          <w:rFonts w:cs="Times New Roman"/>
          <w:szCs w:val="24"/>
        </w:rPr>
        <w:t xml:space="preserve"> </w:t>
      </w:r>
      <w:r w:rsidR="00D36D1A">
        <w:rPr>
          <w:rFonts w:cs="Times New Roman"/>
          <w:szCs w:val="24"/>
        </w:rPr>
        <w:t>no</w:t>
      </w:r>
      <w:r w:rsidR="00D7267B">
        <w:rPr>
          <w:rFonts w:cs="Times New Roman"/>
          <w:szCs w:val="24"/>
        </w:rPr>
        <w:t xml:space="preserve"> nekustamo īpašumu pārdošan</w:t>
      </w:r>
      <w:r w:rsidR="00D36D1A">
        <w:rPr>
          <w:rFonts w:cs="Times New Roman"/>
          <w:szCs w:val="24"/>
        </w:rPr>
        <w:t>as</w:t>
      </w:r>
      <w:r>
        <w:rPr>
          <w:rFonts w:cs="Times New Roman"/>
          <w:szCs w:val="24"/>
        </w:rPr>
        <w:t>. Apstāklis, ka</w:t>
      </w:r>
      <w:r w:rsidR="00D7267B">
        <w:rPr>
          <w:rFonts w:cs="Times New Roman"/>
          <w:szCs w:val="24"/>
        </w:rPr>
        <w:t xml:space="preserve"> par </w:t>
      </w:r>
      <w:r w:rsidR="00D56B9F">
        <w:rPr>
          <w:rFonts w:cs="Times New Roman"/>
          <w:szCs w:val="24"/>
        </w:rPr>
        <w:t>[pers. </w:t>
      </w:r>
      <w:r w:rsidR="00D56B9F">
        <w:t>A]</w:t>
      </w:r>
      <w:r w:rsidR="00D7267B">
        <w:rPr>
          <w:rFonts w:cs="Times New Roman"/>
          <w:szCs w:val="24"/>
        </w:rPr>
        <w:t xml:space="preserve"> tiesībām uz atlīdzību nav rakstveida vienošanās, nenozīmē, ka </w:t>
      </w:r>
      <w:r w:rsidR="00D56B9F">
        <w:rPr>
          <w:rFonts w:cs="Times New Roman"/>
          <w:szCs w:val="24"/>
        </w:rPr>
        <w:t>[pers. A]</w:t>
      </w:r>
      <w:r w:rsidR="00D7267B">
        <w:rPr>
          <w:rFonts w:cs="Times New Roman"/>
          <w:szCs w:val="24"/>
        </w:rPr>
        <w:t xml:space="preserve"> atlīdzība nepienācās. </w:t>
      </w:r>
      <w:r w:rsidR="00D56B9F">
        <w:rPr>
          <w:rFonts w:cs="Times New Roman"/>
          <w:szCs w:val="24"/>
        </w:rPr>
        <w:t>[Pers. A]</w:t>
      </w:r>
      <w:r w:rsidR="00D7267B">
        <w:rPr>
          <w:rFonts w:cs="Times New Roman"/>
          <w:szCs w:val="24"/>
        </w:rPr>
        <w:t xml:space="preserve"> rīcību, paturot naudu, kuru ieguva</w:t>
      </w:r>
      <w:r w:rsidR="0024194A">
        <w:rPr>
          <w:rFonts w:cs="Times New Roman"/>
          <w:szCs w:val="24"/>
        </w:rPr>
        <w:t>, pārdodot</w:t>
      </w:r>
      <w:r w:rsidR="00D7267B">
        <w:rPr>
          <w:rFonts w:cs="Times New Roman"/>
          <w:szCs w:val="24"/>
        </w:rPr>
        <w:t xml:space="preserve"> </w:t>
      </w:r>
      <w:r w:rsidR="00D56B9F">
        <w:rPr>
          <w:rFonts w:cs="Times New Roman"/>
          <w:szCs w:val="24"/>
        </w:rPr>
        <w:t>[pers. D]</w:t>
      </w:r>
      <w:r w:rsidR="00D7267B">
        <w:rPr>
          <w:rFonts w:cs="Times New Roman"/>
          <w:szCs w:val="24"/>
        </w:rPr>
        <w:t xml:space="preserve"> nekustamo</w:t>
      </w:r>
      <w:r w:rsidR="0024194A">
        <w:rPr>
          <w:rFonts w:cs="Times New Roman"/>
          <w:szCs w:val="24"/>
        </w:rPr>
        <w:t>s</w:t>
      </w:r>
      <w:r w:rsidR="00D7267B">
        <w:rPr>
          <w:rFonts w:cs="Times New Roman"/>
          <w:szCs w:val="24"/>
        </w:rPr>
        <w:t xml:space="preserve"> īpašumu</w:t>
      </w:r>
      <w:r w:rsidR="0024194A">
        <w:rPr>
          <w:rFonts w:cs="Times New Roman"/>
          <w:szCs w:val="24"/>
        </w:rPr>
        <w:t>s</w:t>
      </w:r>
      <w:r w:rsidR="00D7267B">
        <w:rPr>
          <w:rFonts w:cs="Times New Roman"/>
          <w:szCs w:val="24"/>
        </w:rPr>
        <w:t>, lai segtu sev pienākošos atlīdzību, nevar atzīt par krimināli sodāmu piesavināšanos, jo nauda paturēta civiltiesiska strīda dēļ</w:t>
      </w:r>
      <w:r>
        <w:rPr>
          <w:rFonts w:cs="Times New Roman"/>
          <w:szCs w:val="24"/>
        </w:rPr>
        <w:t xml:space="preserve">. Jautājumu par piesavināšanās sastāva esību </w:t>
      </w:r>
      <w:r w:rsidR="00D56B9F">
        <w:rPr>
          <w:rFonts w:cs="Times New Roman"/>
          <w:szCs w:val="24"/>
        </w:rPr>
        <w:t>[pers. A]</w:t>
      </w:r>
      <w:r>
        <w:rPr>
          <w:rFonts w:cs="Times New Roman"/>
          <w:szCs w:val="24"/>
        </w:rPr>
        <w:t xml:space="preserve"> rīcībā nav iespējams izlemt, nevērtējot civiltiesību normas, </w:t>
      </w:r>
      <w:r w:rsidR="0024194A">
        <w:rPr>
          <w:rFonts w:cs="Times New Roman"/>
          <w:szCs w:val="24"/>
        </w:rPr>
        <w:t>piemēram,</w:t>
      </w:r>
      <w:r>
        <w:rPr>
          <w:rFonts w:cs="Times New Roman"/>
          <w:szCs w:val="24"/>
        </w:rPr>
        <w:t xml:space="preserve"> par</w:t>
      </w:r>
      <w:r w:rsidR="00D7267B">
        <w:rPr>
          <w:rFonts w:cs="Times New Roman"/>
          <w:szCs w:val="24"/>
        </w:rPr>
        <w:t xml:space="preserve"> aizturējuma tiesībām.</w:t>
      </w:r>
    </w:p>
    <w:p w14:paraId="29A5BB4E" w14:textId="6689F86D" w:rsidR="00D7267B" w:rsidRDefault="00D56B9F" w:rsidP="00266639">
      <w:pPr>
        <w:spacing w:after="0" w:line="276" w:lineRule="auto"/>
        <w:ind w:firstLine="720"/>
        <w:jc w:val="both"/>
        <w:rPr>
          <w:rFonts w:cs="Times New Roman"/>
          <w:szCs w:val="24"/>
        </w:rPr>
      </w:pPr>
      <w:r>
        <w:rPr>
          <w:rFonts w:cs="Times New Roman"/>
          <w:szCs w:val="24"/>
        </w:rPr>
        <w:t>[Pers. A]</w:t>
      </w:r>
      <w:r w:rsidR="00D7267B">
        <w:rPr>
          <w:rFonts w:cs="Times New Roman"/>
          <w:szCs w:val="24"/>
        </w:rPr>
        <w:t xml:space="preserve"> nolūks</w:t>
      </w:r>
      <w:r w:rsidR="00CE5A5E">
        <w:rPr>
          <w:rFonts w:cs="Times New Roman"/>
          <w:szCs w:val="24"/>
        </w:rPr>
        <w:t xml:space="preserve"> bija vēlme</w:t>
      </w:r>
      <w:r w:rsidR="00D36D1A">
        <w:rPr>
          <w:rFonts w:cs="Times New Roman"/>
          <w:szCs w:val="24"/>
        </w:rPr>
        <w:t xml:space="preserve"> </w:t>
      </w:r>
      <w:r w:rsidR="00CE5A5E">
        <w:rPr>
          <w:rFonts w:cs="Times New Roman"/>
          <w:szCs w:val="24"/>
        </w:rPr>
        <w:t xml:space="preserve">paturēt tiesiski iegūto, nevis </w:t>
      </w:r>
      <w:r w:rsidR="00D7267B">
        <w:rPr>
          <w:rFonts w:cs="Times New Roman"/>
          <w:szCs w:val="24"/>
        </w:rPr>
        <w:t>iedzīvoties vai radīt cietušajam zaudējumus</w:t>
      </w:r>
      <w:r w:rsidR="00D36D1A">
        <w:rPr>
          <w:rFonts w:cs="Times New Roman"/>
          <w:szCs w:val="24"/>
        </w:rPr>
        <w:t>.</w:t>
      </w:r>
    </w:p>
    <w:p w14:paraId="560F56C8" w14:textId="69AF6DCF" w:rsidR="00B930E2" w:rsidRDefault="00A16382" w:rsidP="00355013">
      <w:pPr>
        <w:spacing w:after="0" w:line="276" w:lineRule="auto"/>
        <w:ind w:firstLine="720"/>
        <w:jc w:val="both"/>
        <w:rPr>
          <w:rFonts w:cs="Times New Roman"/>
          <w:szCs w:val="24"/>
        </w:rPr>
      </w:pPr>
      <w:r>
        <w:rPr>
          <w:rFonts w:cs="Times New Roman"/>
          <w:szCs w:val="24"/>
        </w:rPr>
        <w:t>[4.2]</w:t>
      </w:r>
      <w:r w:rsidR="00B930E2">
        <w:rPr>
          <w:rFonts w:cs="Times New Roman"/>
          <w:szCs w:val="24"/>
        </w:rPr>
        <w:t xml:space="preserve"> </w:t>
      </w:r>
      <w:r w:rsidR="00CC3D51">
        <w:rPr>
          <w:rFonts w:cs="Times New Roman"/>
          <w:szCs w:val="24"/>
        </w:rPr>
        <w:t xml:space="preserve">Apelācijas instances tiesa nav izvērtējusi </w:t>
      </w:r>
      <w:r w:rsidR="00D56B9F">
        <w:rPr>
          <w:rFonts w:cs="Times New Roman"/>
          <w:szCs w:val="24"/>
        </w:rPr>
        <w:t>[pers. A]</w:t>
      </w:r>
      <w:r w:rsidR="00DA6ED2">
        <w:rPr>
          <w:rFonts w:cs="Times New Roman"/>
          <w:szCs w:val="24"/>
        </w:rPr>
        <w:t xml:space="preserve"> un</w:t>
      </w:r>
      <w:r w:rsidR="00CB0B12">
        <w:rPr>
          <w:rFonts w:cs="Times New Roman"/>
          <w:szCs w:val="24"/>
        </w:rPr>
        <w:t xml:space="preserve"> aizstāves D. </w:t>
      </w:r>
      <w:proofErr w:type="spellStart"/>
      <w:r w:rsidR="00CB0B12">
        <w:rPr>
          <w:rFonts w:cs="Times New Roman"/>
          <w:szCs w:val="24"/>
        </w:rPr>
        <w:t>Siliņas</w:t>
      </w:r>
      <w:proofErr w:type="spellEnd"/>
      <w:r w:rsidR="00CC3D51">
        <w:rPr>
          <w:rFonts w:cs="Times New Roman"/>
          <w:szCs w:val="24"/>
        </w:rPr>
        <w:t xml:space="preserve"> ap</w:t>
      </w:r>
      <w:r w:rsidR="00CB0B12">
        <w:rPr>
          <w:rFonts w:cs="Times New Roman"/>
          <w:szCs w:val="24"/>
        </w:rPr>
        <w:t>elācijas sūdzībās</w:t>
      </w:r>
      <w:r w:rsidR="00CC3D51">
        <w:rPr>
          <w:rFonts w:cs="Times New Roman"/>
          <w:szCs w:val="24"/>
        </w:rPr>
        <w:t xml:space="preserve"> un aizstāves Z. Vilcānes tiesas deba</w:t>
      </w:r>
      <w:r w:rsidR="00CB0B12">
        <w:rPr>
          <w:rFonts w:cs="Times New Roman"/>
          <w:szCs w:val="24"/>
        </w:rPr>
        <w:t>tēs pausto</w:t>
      </w:r>
      <w:r w:rsidR="00692DE4">
        <w:rPr>
          <w:rFonts w:cs="Times New Roman"/>
          <w:szCs w:val="24"/>
        </w:rPr>
        <w:t xml:space="preserve"> par</w:t>
      </w:r>
      <w:r w:rsidR="00692DE4" w:rsidRPr="00692DE4">
        <w:rPr>
          <w:rFonts w:cs="Times New Roman"/>
          <w:szCs w:val="24"/>
        </w:rPr>
        <w:t xml:space="preserve"> </w:t>
      </w:r>
      <w:r w:rsidR="00692DE4">
        <w:rPr>
          <w:rFonts w:cs="Times New Roman"/>
          <w:szCs w:val="24"/>
        </w:rPr>
        <w:t xml:space="preserve">cietušā pārstāves </w:t>
      </w:r>
      <w:r w:rsidR="00D56B9F">
        <w:rPr>
          <w:rFonts w:cs="Times New Roman"/>
          <w:szCs w:val="24"/>
        </w:rPr>
        <w:t>[pers. C]</w:t>
      </w:r>
      <w:r w:rsidR="00692DE4">
        <w:rPr>
          <w:rFonts w:cs="Times New Roman"/>
          <w:szCs w:val="24"/>
        </w:rPr>
        <w:t xml:space="preserve"> un liecini</w:t>
      </w:r>
      <w:r w:rsidR="00B930E2">
        <w:rPr>
          <w:rFonts w:cs="Times New Roman"/>
          <w:szCs w:val="24"/>
        </w:rPr>
        <w:t xml:space="preserve">eka </w:t>
      </w:r>
      <w:r w:rsidR="00D56B9F">
        <w:rPr>
          <w:rFonts w:cs="Times New Roman"/>
          <w:szCs w:val="24"/>
        </w:rPr>
        <w:t>[pers. E]</w:t>
      </w:r>
      <w:r w:rsidR="00692DE4">
        <w:rPr>
          <w:rFonts w:cs="Times New Roman"/>
          <w:szCs w:val="24"/>
        </w:rPr>
        <w:t xml:space="preserve"> liecību nepareizu izvērtēšanu pirmās instances tiesā.</w:t>
      </w:r>
      <w:r w:rsidR="00B930E2">
        <w:rPr>
          <w:rFonts w:cs="Times New Roman"/>
          <w:szCs w:val="24"/>
        </w:rPr>
        <w:t xml:space="preserve"> Pirmās instances tiesa </w:t>
      </w:r>
      <w:r w:rsidR="00D56B9F">
        <w:rPr>
          <w:rFonts w:cs="Times New Roman"/>
          <w:szCs w:val="24"/>
        </w:rPr>
        <w:t>[pers. E]</w:t>
      </w:r>
      <w:r w:rsidR="00B930E2">
        <w:rPr>
          <w:rFonts w:cs="Times New Roman"/>
          <w:szCs w:val="24"/>
        </w:rPr>
        <w:t xml:space="preserve"> liecības izvērtējusi</w:t>
      </w:r>
      <w:r w:rsidR="0024194A">
        <w:rPr>
          <w:rFonts w:cs="Times New Roman"/>
          <w:szCs w:val="24"/>
        </w:rPr>
        <w:t>, neievērojot</w:t>
      </w:r>
      <w:r w:rsidR="00B930E2">
        <w:rPr>
          <w:rFonts w:cs="Times New Roman"/>
          <w:szCs w:val="24"/>
        </w:rPr>
        <w:t xml:space="preserve"> Kriminālprocesa likuma </w:t>
      </w:r>
      <w:proofErr w:type="gramStart"/>
      <w:r w:rsidR="00B930E2">
        <w:rPr>
          <w:rFonts w:cs="Times New Roman"/>
          <w:szCs w:val="24"/>
        </w:rPr>
        <w:t>128.panta</w:t>
      </w:r>
      <w:proofErr w:type="gramEnd"/>
      <w:r w:rsidR="00B930E2">
        <w:rPr>
          <w:rFonts w:cs="Times New Roman"/>
          <w:szCs w:val="24"/>
        </w:rPr>
        <w:t xml:space="preserve"> otrās daļas prasīb</w:t>
      </w:r>
      <w:r w:rsidR="0024194A">
        <w:rPr>
          <w:rFonts w:cs="Times New Roman"/>
          <w:szCs w:val="24"/>
        </w:rPr>
        <w:t>as</w:t>
      </w:r>
      <w:r w:rsidR="00B930E2">
        <w:rPr>
          <w:rFonts w:cs="Times New Roman"/>
          <w:szCs w:val="24"/>
        </w:rPr>
        <w:t>. Pretēji pirmās instances tiesas atzinumam</w:t>
      </w:r>
      <w:r w:rsidR="00795637">
        <w:rPr>
          <w:rFonts w:cs="Times New Roman"/>
          <w:szCs w:val="24"/>
        </w:rPr>
        <w:t>,</w:t>
      </w:r>
      <w:r w:rsidR="00B930E2">
        <w:rPr>
          <w:rFonts w:cs="Times New Roman"/>
          <w:szCs w:val="24"/>
        </w:rPr>
        <w:t xml:space="preserve"> liecinieks </w:t>
      </w:r>
      <w:r w:rsidR="00D56B9F">
        <w:rPr>
          <w:rFonts w:cs="Times New Roman"/>
          <w:szCs w:val="24"/>
        </w:rPr>
        <w:t>[pers. E]</w:t>
      </w:r>
      <w:r w:rsidR="00B930E2">
        <w:rPr>
          <w:rFonts w:cs="Times New Roman"/>
          <w:szCs w:val="24"/>
        </w:rPr>
        <w:t xml:space="preserve"> </w:t>
      </w:r>
      <w:proofErr w:type="gramStart"/>
      <w:r w:rsidR="00B930E2">
        <w:rPr>
          <w:rFonts w:cs="Times New Roman"/>
          <w:szCs w:val="24"/>
        </w:rPr>
        <w:t>2017.gada</w:t>
      </w:r>
      <w:proofErr w:type="gramEnd"/>
      <w:r w:rsidR="00B930E2">
        <w:rPr>
          <w:rFonts w:cs="Times New Roman"/>
          <w:szCs w:val="24"/>
        </w:rPr>
        <w:t xml:space="preserve"> 13.decembra tiesas sēdē netika liecinājis, ka </w:t>
      </w:r>
      <w:r w:rsidR="00D56B9F">
        <w:rPr>
          <w:rFonts w:cs="Times New Roman"/>
          <w:szCs w:val="24"/>
        </w:rPr>
        <w:t>[pers. A]</w:t>
      </w:r>
      <w:r w:rsidR="00B930E2">
        <w:rPr>
          <w:rFonts w:cs="Times New Roman"/>
          <w:szCs w:val="24"/>
        </w:rPr>
        <w:t xml:space="preserve"> piedalījies </w:t>
      </w:r>
      <w:proofErr w:type="spellStart"/>
      <w:r w:rsidR="00B930E2">
        <w:rPr>
          <w:rFonts w:cs="Times New Roman"/>
          <w:szCs w:val="24"/>
        </w:rPr>
        <w:t>telefonkonferencē</w:t>
      </w:r>
      <w:proofErr w:type="spellEnd"/>
      <w:r w:rsidR="00B930E2">
        <w:rPr>
          <w:rFonts w:cs="Times New Roman"/>
          <w:szCs w:val="24"/>
        </w:rPr>
        <w:t xml:space="preserve">. </w:t>
      </w:r>
    </w:p>
    <w:p w14:paraId="25812062" w14:textId="35C84AF6" w:rsidR="00266639" w:rsidRDefault="00692DE4" w:rsidP="00692DE4">
      <w:pPr>
        <w:spacing w:after="0" w:line="276" w:lineRule="auto"/>
        <w:ind w:firstLine="720"/>
        <w:jc w:val="both"/>
        <w:rPr>
          <w:rFonts w:cs="Times New Roman"/>
          <w:szCs w:val="24"/>
        </w:rPr>
      </w:pPr>
      <w:r>
        <w:rPr>
          <w:rFonts w:cs="Times New Roman"/>
          <w:szCs w:val="24"/>
        </w:rPr>
        <w:t>Turklāt a</w:t>
      </w:r>
      <w:r w:rsidR="00CC3D51">
        <w:rPr>
          <w:rFonts w:cs="Times New Roman"/>
          <w:szCs w:val="24"/>
        </w:rPr>
        <w:t xml:space="preserve">pelācijas instances tiesa atsaukusies uz </w:t>
      </w:r>
      <w:proofErr w:type="gramStart"/>
      <w:r w:rsidR="00CC3D51">
        <w:rPr>
          <w:rFonts w:cs="Times New Roman"/>
          <w:szCs w:val="24"/>
        </w:rPr>
        <w:t>2009.gada</w:t>
      </w:r>
      <w:proofErr w:type="gramEnd"/>
      <w:r w:rsidR="00CC3D51">
        <w:rPr>
          <w:rFonts w:cs="Times New Roman"/>
          <w:szCs w:val="24"/>
        </w:rPr>
        <w:t xml:space="preserve"> 10.novembra </w:t>
      </w:r>
      <w:proofErr w:type="spellStart"/>
      <w:r w:rsidR="00CC3D51">
        <w:rPr>
          <w:rFonts w:cs="Times New Roman"/>
          <w:szCs w:val="24"/>
        </w:rPr>
        <w:t>telefonkonferences</w:t>
      </w:r>
      <w:proofErr w:type="spellEnd"/>
      <w:r w:rsidR="00CC3D51">
        <w:rPr>
          <w:rFonts w:cs="Times New Roman"/>
          <w:szCs w:val="24"/>
        </w:rPr>
        <w:t xml:space="preserve"> protokolu, bet </w:t>
      </w:r>
      <w:r>
        <w:rPr>
          <w:rFonts w:cs="Times New Roman"/>
          <w:szCs w:val="24"/>
        </w:rPr>
        <w:t>nav ņēmusi vērā, ka no</w:t>
      </w:r>
      <w:r w:rsidR="00CC3D51">
        <w:rPr>
          <w:rFonts w:cs="Times New Roman"/>
          <w:szCs w:val="24"/>
        </w:rPr>
        <w:t xml:space="preserve"> minētā protokola izriet </w:t>
      </w:r>
      <w:r w:rsidR="00D56B9F">
        <w:rPr>
          <w:rFonts w:cs="Times New Roman"/>
          <w:szCs w:val="24"/>
        </w:rPr>
        <w:t>[pers. A]</w:t>
      </w:r>
      <w:r w:rsidR="00CC3D51">
        <w:rPr>
          <w:rFonts w:cs="Times New Roman"/>
          <w:szCs w:val="24"/>
        </w:rPr>
        <w:t xml:space="preserve"> prasījuma tiesības pret </w:t>
      </w:r>
      <w:r w:rsidR="00D56B9F">
        <w:rPr>
          <w:rFonts w:cs="Times New Roman"/>
          <w:szCs w:val="24"/>
        </w:rPr>
        <w:t>[pers. D]</w:t>
      </w:r>
      <w:r w:rsidR="00CB0B12">
        <w:rPr>
          <w:rFonts w:cs="Times New Roman"/>
          <w:szCs w:val="24"/>
        </w:rPr>
        <w:t xml:space="preserve">. </w:t>
      </w:r>
      <w:r>
        <w:rPr>
          <w:rFonts w:cs="Times New Roman"/>
          <w:szCs w:val="24"/>
        </w:rPr>
        <w:t xml:space="preserve">Prasījuma tiesību esība apstiprinās arī ar liecinieka </w:t>
      </w:r>
      <w:r w:rsidR="00D56B9F">
        <w:rPr>
          <w:rFonts w:cs="Times New Roman"/>
          <w:szCs w:val="24"/>
        </w:rPr>
        <w:t>[pers. E]</w:t>
      </w:r>
      <w:r>
        <w:rPr>
          <w:rFonts w:cs="Times New Roman"/>
          <w:szCs w:val="24"/>
        </w:rPr>
        <w:t xml:space="preserve"> un liecinieces </w:t>
      </w:r>
      <w:r w:rsidR="00D56B9F">
        <w:rPr>
          <w:rFonts w:cs="Times New Roman"/>
          <w:szCs w:val="24"/>
        </w:rPr>
        <w:t>[pers. F]</w:t>
      </w:r>
      <w:r>
        <w:rPr>
          <w:rFonts w:cs="Times New Roman"/>
          <w:szCs w:val="24"/>
        </w:rPr>
        <w:t xml:space="preserve"> liecībām</w:t>
      </w:r>
      <w:r w:rsidR="00426011">
        <w:rPr>
          <w:rFonts w:cs="Times New Roman"/>
          <w:szCs w:val="24"/>
        </w:rPr>
        <w:t xml:space="preserve">, kā arī paša </w:t>
      </w:r>
      <w:r w:rsidR="008E6226">
        <w:rPr>
          <w:rFonts w:cs="Times New Roman"/>
          <w:szCs w:val="24"/>
        </w:rPr>
        <w:t>[pers. A]</w:t>
      </w:r>
      <w:r w:rsidR="00426011">
        <w:rPr>
          <w:rFonts w:cs="Times New Roman"/>
          <w:szCs w:val="24"/>
        </w:rPr>
        <w:t xml:space="preserve"> pirmstiesas procesā un tiesā sniegtajām liecībām</w:t>
      </w:r>
      <w:r>
        <w:rPr>
          <w:rFonts w:cs="Times New Roman"/>
          <w:szCs w:val="24"/>
        </w:rPr>
        <w:t xml:space="preserve">. </w:t>
      </w:r>
      <w:r w:rsidR="00426011">
        <w:rPr>
          <w:rFonts w:cs="Times New Roman"/>
          <w:szCs w:val="24"/>
        </w:rPr>
        <w:t xml:space="preserve">Cietušā pārstāves </w:t>
      </w:r>
      <w:r w:rsidR="00D56B9F">
        <w:rPr>
          <w:rFonts w:cs="Times New Roman"/>
          <w:szCs w:val="24"/>
        </w:rPr>
        <w:t>[pers. C]</w:t>
      </w:r>
      <w:r w:rsidR="00426011">
        <w:rPr>
          <w:rFonts w:cs="Times New Roman"/>
          <w:szCs w:val="24"/>
        </w:rPr>
        <w:t xml:space="preserve"> liecības ir pretrunīgas</w:t>
      </w:r>
      <w:proofErr w:type="gramStart"/>
      <w:r w:rsidR="00426011">
        <w:rPr>
          <w:rFonts w:cs="Times New Roman"/>
          <w:szCs w:val="24"/>
        </w:rPr>
        <w:t xml:space="preserve"> un</w:t>
      </w:r>
      <w:proofErr w:type="gramEnd"/>
      <w:r w:rsidR="00426011">
        <w:rPr>
          <w:rFonts w:cs="Times New Roman"/>
          <w:szCs w:val="24"/>
        </w:rPr>
        <w:t xml:space="preserve"> tiesa nepamatoti tām piešķīrusi ticamību. </w:t>
      </w:r>
      <w:r w:rsidR="00D56B9F">
        <w:rPr>
          <w:rFonts w:cs="Times New Roman"/>
          <w:szCs w:val="24"/>
        </w:rPr>
        <w:t>[Pers. C]</w:t>
      </w:r>
      <w:r w:rsidR="00426011">
        <w:rPr>
          <w:rFonts w:cs="Times New Roman"/>
          <w:szCs w:val="24"/>
        </w:rPr>
        <w:t xml:space="preserve"> liecinātais ir pieņēmumi par </w:t>
      </w:r>
      <w:r w:rsidR="00D56B9F">
        <w:rPr>
          <w:rFonts w:cs="Times New Roman"/>
          <w:szCs w:val="24"/>
        </w:rPr>
        <w:t>[pers. D]</w:t>
      </w:r>
      <w:r w:rsidR="00426011">
        <w:rPr>
          <w:rFonts w:cs="Times New Roman"/>
          <w:szCs w:val="24"/>
        </w:rPr>
        <w:t xml:space="preserve"> un </w:t>
      </w:r>
      <w:r w:rsidR="00D56B9F">
        <w:rPr>
          <w:rFonts w:cs="Times New Roman"/>
          <w:szCs w:val="24"/>
        </w:rPr>
        <w:t>[pers. A]</w:t>
      </w:r>
      <w:r w:rsidR="00426011">
        <w:rPr>
          <w:rFonts w:cs="Times New Roman"/>
          <w:szCs w:val="24"/>
        </w:rPr>
        <w:t xml:space="preserve"> attiecībām un saistībām, jo viņai nebija zināms </w:t>
      </w:r>
      <w:r w:rsidR="00D56B9F">
        <w:rPr>
          <w:rFonts w:cs="Times New Roman"/>
          <w:szCs w:val="24"/>
        </w:rPr>
        <w:t>[pers. D]</w:t>
      </w:r>
      <w:r w:rsidR="00426011">
        <w:rPr>
          <w:rFonts w:cs="Times New Roman"/>
          <w:szCs w:val="24"/>
        </w:rPr>
        <w:t xml:space="preserve"> viedoklis šajā jautājumā. Tāpat cietušā pārstāvja </w:t>
      </w:r>
      <w:r w:rsidR="00D56B9F">
        <w:rPr>
          <w:rFonts w:cs="Times New Roman"/>
          <w:szCs w:val="24"/>
        </w:rPr>
        <w:t>[pers. G]</w:t>
      </w:r>
      <w:r w:rsidR="00426011">
        <w:rPr>
          <w:rFonts w:cs="Times New Roman"/>
          <w:szCs w:val="24"/>
        </w:rPr>
        <w:t xml:space="preserve"> </w:t>
      </w:r>
      <w:r w:rsidR="00426011">
        <w:rPr>
          <w:rFonts w:cs="Times New Roman"/>
          <w:szCs w:val="24"/>
        </w:rPr>
        <w:lastRenderedPageBreak/>
        <w:t xml:space="preserve">liecības nav izmantojamas apsūdzētā vainīguma pierādīšanā, jo </w:t>
      </w:r>
      <w:r w:rsidR="00D723C0">
        <w:rPr>
          <w:rFonts w:cs="Times New Roman"/>
          <w:szCs w:val="24"/>
        </w:rPr>
        <w:t>viņam</w:t>
      </w:r>
      <w:r w:rsidR="00426011">
        <w:rPr>
          <w:rFonts w:cs="Times New Roman"/>
          <w:szCs w:val="24"/>
        </w:rPr>
        <w:t xml:space="preserve"> nebija zināms par </w:t>
      </w:r>
      <w:r w:rsidR="00D56B9F">
        <w:rPr>
          <w:rFonts w:cs="Times New Roman"/>
          <w:szCs w:val="24"/>
        </w:rPr>
        <w:t>[pers. A]</w:t>
      </w:r>
      <w:r w:rsidR="00426011">
        <w:rPr>
          <w:rFonts w:cs="Times New Roman"/>
          <w:szCs w:val="24"/>
        </w:rPr>
        <w:t xml:space="preserve"> un </w:t>
      </w:r>
      <w:r w:rsidR="00D56B9F">
        <w:rPr>
          <w:rFonts w:cs="Times New Roman"/>
          <w:szCs w:val="24"/>
        </w:rPr>
        <w:t>[pers. D]</w:t>
      </w:r>
      <w:r w:rsidR="00426011">
        <w:rPr>
          <w:rFonts w:cs="Times New Roman"/>
          <w:szCs w:val="24"/>
        </w:rPr>
        <w:t xml:space="preserve"> vienošanos. </w:t>
      </w:r>
      <w:r w:rsidR="0059431D">
        <w:rPr>
          <w:rFonts w:cs="Times New Roman"/>
          <w:szCs w:val="24"/>
        </w:rPr>
        <w:t xml:space="preserve">Gan </w:t>
      </w:r>
      <w:r w:rsidR="00D56B9F">
        <w:rPr>
          <w:rFonts w:cs="Times New Roman"/>
          <w:szCs w:val="24"/>
        </w:rPr>
        <w:t>[pers. C]</w:t>
      </w:r>
      <w:r w:rsidR="0059431D">
        <w:rPr>
          <w:rFonts w:cs="Times New Roman"/>
          <w:szCs w:val="24"/>
        </w:rPr>
        <w:t xml:space="preserve">, gan </w:t>
      </w:r>
      <w:r w:rsidR="00D56B9F">
        <w:rPr>
          <w:rFonts w:cs="Times New Roman"/>
          <w:szCs w:val="24"/>
        </w:rPr>
        <w:t>[pers. G]</w:t>
      </w:r>
      <w:r w:rsidR="005F6AAC">
        <w:rPr>
          <w:rFonts w:cs="Times New Roman"/>
          <w:szCs w:val="24"/>
        </w:rPr>
        <w:t xml:space="preserve"> un </w:t>
      </w:r>
      <w:r w:rsidR="00D56B9F">
        <w:rPr>
          <w:rFonts w:cs="Times New Roman"/>
          <w:szCs w:val="24"/>
        </w:rPr>
        <w:t>[pers. H]</w:t>
      </w:r>
      <w:r w:rsidR="0059431D">
        <w:rPr>
          <w:rFonts w:cs="Times New Roman"/>
          <w:szCs w:val="24"/>
        </w:rPr>
        <w:t xml:space="preserve"> kā cietušā pilnvarotie pārstāvji ir ieinteresēti </w:t>
      </w:r>
      <w:r w:rsidR="00D56B9F">
        <w:rPr>
          <w:rFonts w:cs="Times New Roman"/>
          <w:szCs w:val="24"/>
        </w:rPr>
        <w:t>[pers. A]</w:t>
      </w:r>
      <w:r w:rsidR="0059431D">
        <w:rPr>
          <w:rFonts w:cs="Times New Roman"/>
          <w:szCs w:val="24"/>
        </w:rPr>
        <w:t xml:space="preserve"> notiesāšanā un pēc iespējas l</w:t>
      </w:r>
      <w:r w:rsidR="00CD59EE">
        <w:rPr>
          <w:rFonts w:cs="Times New Roman"/>
          <w:szCs w:val="24"/>
        </w:rPr>
        <w:t>ielākas kompensācijas piedziņā.</w:t>
      </w:r>
    </w:p>
    <w:p w14:paraId="4BAA2E15" w14:textId="76FAFDEA" w:rsidR="00164F2D" w:rsidRDefault="00CD59EE" w:rsidP="00355013">
      <w:pPr>
        <w:spacing w:after="0" w:line="276" w:lineRule="auto"/>
        <w:ind w:firstLine="720"/>
        <w:jc w:val="both"/>
        <w:rPr>
          <w:rFonts w:cs="Times New Roman"/>
          <w:szCs w:val="24"/>
        </w:rPr>
      </w:pPr>
      <w:r>
        <w:rPr>
          <w:rFonts w:cs="Times New Roman"/>
          <w:szCs w:val="24"/>
        </w:rPr>
        <w:t>[4.3] </w:t>
      </w:r>
      <w:r w:rsidR="00E21ED4">
        <w:rPr>
          <w:rFonts w:cs="Times New Roman"/>
          <w:szCs w:val="24"/>
        </w:rPr>
        <w:t xml:space="preserve">Lietā nav ticis nopratināts cietušais </w:t>
      </w:r>
      <w:r w:rsidR="00D56B9F">
        <w:rPr>
          <w:rFonts w:cs="Times New Roman"/>
          <w:szCs w:val="24"/>
        </w:rPr>
        <w:t>[pers. D]</w:t>
      </w:r>
      <w:r w:rsidR="00E21ED4">
        <w:rPr>
          <w:rFonts w:cs="Times New Roman"/>
          <w:szCs w:val="24"/>
        </w:rPr>
        <w:t xml:space="preserve">. Tādējādi nav bijis iespējams noskaidrot cietušā attieksmi pret </w:t>
      </w:r>
      <w:r w:rsidR="00395D76">
        <w:rPr>
          <w:rFonts w:cs="Times New Roman"/>
          <w:szCs w:val="24"/>
        </w:rPr>
        <w:t>[pers. A]</w:t>
      </w:r>
      <w:r w:rsidR="00E21ED4">
        <w:rPr>
          <w:rFonts w:cs="Times New Roman"/>
          <w:szCs w:val="24"/>
        </w:rPr>
        <w:t xml:space="preserve"> </w:t>
      </w:r>
      <w:r w:rsidR="004452FA">
        <w:rPr>
          <w:rFonts w:cs="Times New Roman"/>
          <w:szCs w:val="24"/>
        </w:rPr>
        <w:t>rīcību</w:t>
      </w:r>
      <w:r w:rsidR="00E21ED4">
        <w:rPr>
          <w:rFonts w:cs="Times New Roman"/>
          <w:szCs w:val="24"/>
        </w:rPr>
        <w:t xml:space="preserve">. Laikā no </w:t>
      </w:r>
      <w:proofErr w:type="gramStart"/>
      <w:r w:rsidR="00E21ED4">
        <w:rPr>
          <w:rFonts w:cs="Times New Roman"/>
          <w:szCs w:val="24"/>
        </w:rPr>
        <w:t>2010.gada</w:t>
      </w:r>
      <w:proofErr w:type="gramEnd"/>
      <w:r w:rsidR="00E21ED4">
        <w:rPr>
          <w:rFonts w:cs="Times New Roman"/>
          <w:szCs w:val="24"/>
        </w:rPr>
        <w:t xml:space="preserve"> janvāra līdz 2010.gada oktobrim, kamēr </w:t>
      </w:r>
      <w:r w:rsidR="00395D76">
        <w:rPr>
          <w:rFonts w:cs="Times New Roman"/>
          <w:szCs w:val="24"/>
        </w:rPr>
        <w:t>[pers. D]</w:t>
      </w:r>
      <w:r w:rsidR="00E21ED4">
        <w:rPr>
          <w:rFonts w:cs="Times New Roman"/>
          <w:szCs w:val="24"/>
        </w:rPr>
        <w:t xml:space="preserve"> bija dzīvs, procesa virzītājs, nenopratinot </w:t>
      </w:r>
      <w:r w:rsidR="00395D76">
        <w:rPr>
          <w:rFonts w:cs="Times New Roman"/>
          <w:szCs w:val="24"/>
        </w:rPr>
        <w:t>[pers. D]</w:t>
      </w:r>
      <w:r w:rsidR="00E21ED4">
        <w:rPr>
          <w:rFonts w:cs="Times New Roman"/>
          <w:szCs w:val="24"/>
        </w:rPr>
        <w:t xml:space="preserve"> un nepieprasot no viņa paskaidrojumus par lietas būtību, nav nodrošinājis </w:t>
      </w:r>
      <w:r w:rsidR="00395D76">
        <w:rPr>
          <w:rFonts w:cs="Times New Roman"/>
          <w:szCs w:val="24"/>
        </w:rPr>
        <w:t>[pers. A]</w:t>
      </w:r>
      <w:r w:rsidR="00E21ED4">
        <w:rPr>
          <w:rFonts w:cs="Times New Roman"/>
          <w:szCs w:val="24"/>
        </w:rPr>
        <w:t xml:space="preserve"> tiesības uz taisnīgu procesa norisi.</w:t>
      </w:r>
      <w:r w:rsidR="00C40410">
        <w:rPr>
          <w:rFonts w:cs="Times New Roman"/>
          <w:szCs w:val="24"/>
        </w:rPr>
        <w:t xml:space="preserve"> Ņemot vērā, ka </w:t>
      </w:r>
      <w:r w:rsidR="00395D76">
        <w:rPr>
          <w:rFonts w:cs="Times New Roman"/>
          <w:szCs w:val="24"/>
        </w:rPr>
        <w:t>[pers. D]</w:t>
      </w:r>
      <w:r w:rsidR="00C40410">
        <w:rPr>
          <w:rFonts w:cs="Times New Roman"/>
          <w:szCs w:val="24"/>
        </w:rPr>
        <w:t xml:space="preserve"> ir miris, minēto pārkāpumu nav iespējams novērst un ir konstatējams tiesību uz taisnīgu tiesu </w:t>
      </w:r>
      <w:r w:rsidR="00C40410" w:rsidRPr="00164F2D">
        <w:rPr>
          <w:rFonts w:cs="Times New Roman"/>
          <w:szCs w:val="24"/>
        </w:rPr>
        <w:t>pārkāpums.</w:t>
      </w:r>
      <w:r w:rsidR="00E21ED4" w:rsidRPr="00164F2D">
        <w:rPr>
          <w:rFonts w:cs="Times New Roman"/>
          <w:szCs w:val="24"/>
        </w:rPr>
        <w:t xml:space="preserve"> </w:t>
      </w:r>
    </w:p>
    <w:p w14:paraId="73AF0ED3" w14:textId="1D1B1B5F" w:rsidR="00164F2D" w:rsidRDefault="00C40410" w:rsidP="00807CB6">
      <w:pPr>
        <w:spacing w:after="0" w:line="276" w:lineRule="auto"/>
        <w:ind w:firstLine="720"/>
        <w:jc w:val="both"/>
        <w:rPr>
          <w:rFonts w:cs="Times New Roman"/>
          <w:szCs w:val="24"/>
        </w:rPr>
      </w:pPr>
      <w:r w:rsidRPr="00164F2D">
        <w:rPr>
          <w:rFonts w:cs="Times New Roman"/>
          <w:szCs w:val="24"/>
        </w:rPr>
        <w:t>Augstākā tiesa</w:t>
      </w:r>
      <w:r w:rsidR="00164F2D">
        <w:rPr>
          <w:rFonts w:cs="Times New Roman"/>
          <w:szCs w:val="24"/>
        </w:rPr>
        <w:t>s</w:t>
      </w:r>
      <w:r w:rsidRPr="00164F2D">
        <w:rPr>
          <w:rFonts w:cs="Times New Roman"/>
          <w:szCs w:val="24"/>
        </w:rPr>
        <w:t xml:space="preserve"> </w:t>
      </w:r>
      <w:proofErr w:type="gramStart"/>
      <w:r w:rsidRPr="00164F2D">
        <w:rPr>
          <w:rFonts w:cs="Times New Roman"/>
          <w:szCs w:val="24"/>
        </w:rPr>
        <w:t>2008.gada</w:t>
      </w:r>
      <w:proofErr w:type="gramEnd"/>
      <w:r w:rsidRPr="00164F2D">
        <w:rPr>
          <w:rFonts w:cs="Times New Roman"/>
          <w:szCs w:val="24"/>
        </w:rPr>
        <w:t xml:space="preserve"> 15.oktobra lēmumā lietā Nr. </w:t>
      </w:r>
      <w:r w:rsidR="00795637" w:rsidRPr="00164F2D">
        <w:rPr>
          <w:rFonts w:cs="Times New Roman"/>
          <w:szCs w:val="24"/>
        </w:rPr>
        <w:t>SKK-</w:t>
      </w:r>
      <w:r w:rsidRPr="00164F2D">
        <w:rPr>
          <w:rFonts w:cs="Times New Roman"/>
          <w:szCs w:val="24"/>
        </w:rPr>
        <w:t>535/2008 atz</w:t>
      </w:r>
      <w:r w:rsidR="00164F2D">
        <w:rPr>
          <w:rFonts w:cs="Times New Roman"/>
          <w:szCs w:val="24"/>
        </w:rPr>
        <w:t>īts</w:t>
      </w:r>
      <w:r w:rsidRPr="00164F2D">
        <w:rPr>
          <w:rFonts w:cs="Times New Roman"/>
          <w:szCs w:val="24"/>
        </w:rPr>
        <w:t xml:space="preserve">, ka </w:t>
      </w:r>
      <w:r w:rsidR="00164F2D">
        <w:rPr>
          <w:rFonts w:cs="Times New Roman"/>
          <w:szCs w:val="24"/>
        </w:rPr>
        <w:t>kriminālprocesa pamatprincipu neievērošana atzīstama par Kriminālprocesa likuma būtisku pārkāpumu šā likuma 575.panta trešās daļas izpratnē.</w:t>
      </w:r>
    </w:p>
    <w:p w14:paraId="65C40E64" w14:textId="5D98D82D" w:rsidR="00E21ED4" w:rsidRDefault="00C40410" w:rsidP="00355013">
      <w:pPr>
        <w:spacing w:after="0" w:line="276" w:lineRule="auto"/>
        <w:ind w:firstLine="720"/>
        <w:jc w:val="both"/>
        <w:rPr>
          <w:rFonts w:cs="Times New Roman"/>
          <w:szCs w:val="24"/>
        </w:rPr>
      </w:pPr>
      <w:r>
        <w:rPr>
          <w:rFonts w:cs="Times New Roman"/>
          <w:szCs w:val="24"/>
        </w:rPr>
        <w:t>Tiesai bija jāizvērtē cietušā liecību neesība, ievērojot, ka pirmās instances tiesa augstāku ticamību piešķīrusi cietušā piln</w:t>
      </w:r>
      <w:r w:rsidR="004452FA">
        <w:rPr>
          <w:rFonts w:cs="Times New Roman"/>
          <w:szCs w:val="24"/>
        </w:rPr>
        <w:t>varoto pārstāvju liecībām. Apelācijas instances tiesa nav izvērtējusi pierādījumu ticamību un pietiekamību atbilstoši Eiropas Cilvēktiesību tiesas nostādnēm par tiesībām uz taisnīgu tiesu gadījumos, kad apsūdzētajam nav bijušas iespējas nopratināt cietušo. Minētie argumenti norādīti arī aizstāves debašu runā, bet tiesa</w:t>
      </w:r>
      <w:r w:rsidR="00795637">
        <w:rPr>
          <w:rFonts w:cs="Times New Roman"/>
          <w:szCs w:val="24"/>
        </w:rPr>
        <w:t>,</w:t>
      </w:r>
      <w:r w:rsidR="004452FA">
        <w:rPr>
          <w:rFonts w:cs="Times New Roman"/>
          <w:szCs w:val="24"/>
        </w:rPr>
        <w:t xml:space="preserve"> pretēji Kriminālprocesa likuma </w:t>
      </w:r>
      <w:proofErr w:type="gramStart"/>
      <w:r w:rsidR="004452FA">
        <w:rPr>
          <w:rFonts w:cs="Times New Roman"/>
          <w:szCs w:val="24"/>
        </w:rPr>
        <w:t>564.panta</w:t>
      </w:r>
      <w:proofErr w:type="gramEnd"/>
      <w:r w:rsidR="004452FA">
        <w:rPr>
          <w:rFonts w:cs="Times New Roman"/>
          <w:szCs w:val="24"/>
        </w:rPr>
        <w:t xml:space="preserve"> ceturtās daļas prasībām</w:t>
      </w:r>
      <w:r w:rsidR="00795637">
        <w:rPr>
          <w:rFonts w:cs="Times New Roman"/>
          <w:szCs w:val="24"/>
        </w:rPr>
        <w:t>,</w:t>
      </w:r>
      <w:r w:rsidR="004452FA">
        <w:rPr>
          <w:rFonts w:cs="Times New Roman"/>
          <w:szCs w:val="24"/>
        </w:rPr>
        <w:t xml:space="preserve"> tos nav analizējusi.</w:t>
      </w:r>
    </w:p>
    <w:p w14:paraId="2D68F469" w14:textId="4F0767EA" w:rsidR="004452FA" w:rsidRDefault="004452FA" w:rsidP="00692DE4">
      <w:pPr>
        <w:spacing w:after="0" w:line="276" w:lineRule="auto"/>
        <w:ind w:firstLine="720"/>
        <w:jc w:val="both"/>
        <w:rPr>
          <w:rFonts w:cs="Times New Roman"/>
          <w:szCs w:val="24"/>
        </w:rPr>
      </w:pPr>
      <w:r>
        <w:rPr>
          <w:rFonts w:cs="Times New Roman"/>
          <w:szCs w:val="24"/>
        </w:rPr>
        <w:t>[4.4] </w:t>
      </w:r>
      <w:r w:rsidR="0082541F">
        <w:rPr>
          <w:rFonts w:cs="Times New Roman"/>
          <w:szCs w:val="24"/>
        </w:rPr>
        <w:t xml:space="preserve">No cietušā pārstāvjiem izsniegtās pilnvaras neizriet pilnvarojums pārstāvēt </w:t>
      </w:r>
      <w:r w:rsidR="00395D76">
        <w:rPr>
          <w:rFonts w:cs="Times New Roman"/>
          <w:szCs w:val="24"/>
        </w:rPr>
        <w:t>[pers. D]</w:t>
      </w:r>
      <w:r w:rsidR="0082541F">
        <w:rPr>
          <w:rFonts w:cs="Times New Roman"/>
          <w:szCs w:val="24"/>
        </w:rPr>
        <w:t xml:space="preserve"> kā cietušo kriminālprocesā. Turklāt pilnvarojums ar tiesībām saņemt cietušā naudu un mantu var tikt izmantots mantkārīgi.</w:t>
      </w:r>
      <w:r w:rsidR="00A65D84">
        <w:rPr>
          <w:rFonts w:cs="Times New Roman"/>
          <w:szCs w:val="24"/>
        </w:rPr>
        <w:t xml:space="preserve"> Minēto apliecina pieteiktā kaitējuma kompensācija, vēloties piedzīt no </w:t>
      </w:r>
      <w:r w:rsidR="00395D76">
        <w:rPr>
          <w:rFonts w:cs="Times New Roman"/>
          <w:szCs w:val="24"/>
        </w:rPr>
        <w:t>[pers. A]</w:t>
      </w:r>
      <w:r w:rsidR="00A65D84">
        <w:rPr>
          <w:rFonts w:cs="Times New Roman"/>
          <w:szCs w:val="24"/>
        </w:rPr>
        <w:t xml:space="preserve"> nekustamo īpašumu vērtī</w:t>
      </w:r>
      <w:r w:rsidR="00795637">
        <w:rPr>
          <w:rFonts w:cs="Times New Roman"/>
          <w:szCs w:val="24"/>
        </w:rPr>
        <w:t xml:space="preserve">bu, par kādu tos novērtējusi akciju sabiedrība </w:t>
      </w:r>
      <w:r w:rsidR="00A65D84">
        <w:rPr>
          <w:rFonts w:cs="Times New Roman"/>
          <w:szCs w:val="24"/>
        </w:rPr>
        <w:t>„</w:t>
      </w:r>
      <w:r w:rsidR="00AA0ED3">
        <w:rPr>
          <w:rFonts w:cs="Times New Roman"/>
          <w:szCs w:val="24"/>
        </w:rPr>
        <w:t>[Nosaukums A]</w:t>
      </w:r>
      <w:r w:rsidR="00A65D84">
        <w:rPr>
          <w:rFonts w:cs="Times New Roman"/>
          <w:szCs w:val="24"/>
        </w:rPr>
        <w:t xml:space="preserve">”, nevis vērtību, par kādu </w:t>
      </w:r>
      <w:r w:rsidR="00395D76">
        <w:rPr>
          <w:rFonts w:cs="Times New Roman"/>
          <w:szCs w:val="24"/>
        </w:rPr>
        <w:t>[pers. A]</w:t>
      </w:r>
      <w:r w:rsidR="00A65D84">
        <w:rPr>
          <w:rFonts w:cs="Times New Roman"/>
          <w:szCs w:val="24"/>
        </w:rPr>
        <w:t xml:space="preserve"> tos pārdevis. Turklāt naudas līdzekļi par </w:t>
      </w:r>
      <w:r w:rsidR="00395D76">
        <w:rPr>
          <w:rFonts w:cs="Times New Roman"/>
          <w:szCs w:val="24"/>
        </w:rPr>
        <w:t>[pers. A]</w:t>
      </w:r>
      <w:r w:rsidR="00A65D84">
        <w:rPr>
          <w:rFonts w:cs="Times New Roman"/>
          <w:szCs w:val="24"/>
        </w:rPr>
        <w:t xml:space="preserve"> darījumiem tika pieprasīti pārskaitīt uz </w:t>
      </w:r>
      <w:r w:rsidR="00453184">
        <w:rPr>
          <w:rFonts w:cs="Times New Roman"/>
          <w:szCs w:val="24"/>
        </w:rPr>
        <w:t>zvērinātu advokātu biroja</w:t>
      </w:r>
      <w:r w:rsidR="00A65D84">
        <w:rPr>
          <w:rFonts w:cs="Times New Roman"/>
          <w:szCs w:val="24"/>
        </w:rPr>
        <w:t> „</w:t>
      </w:r>
      <w:r w:rsidR="00AA0ED3">
        <w:rPr>
          <w:rFonts w:cs="Times New Roman"/>
          <w:szCs w:val="24"/>
        </w:rPr>
        <w:t>[Nosaukums B]</w:t>
      </w:r>
      <w:r w:rsidR="00A65D84">
        <w:rPr>
          <w:rFonts w:cs="Times New Roman"/>
          <w:szCs w:val="24"/>
        </w:rPr>
        <w:t xml:space="preserve">” norēķinu kontu, nevis </w:t>
      </w:r>
      <w:r w:rsidR="00395D76">
        <w:rPr>
          <w:rFonts w:cs="Times New Roman"/>
          <w:szCs w:val="24"/>
        </w:rPr>
        <w:t>[pers. D]</w:t>
      </w:r>
      <w:r w:rsidR="00A65D84">
        <w:rPr>
          <w:rFonts w:cs="Times New Roman"/>
          <w:szCs w:val="24"/>
        </w:rPr>
        <w:t xml:space="preserve"> norēķinu kontu.</w:t>
      </w:r>
      <w:r w:rsidR="0082541F">
        <w:rPr>
          <w:rFonts w:cs="Times New Roman"/>
          <w:szCs w:val="24"/>
        </w:rPr>
        <w:t xml:space="preserve"> </w:t>
      </w:r>
    </w:p>
    <w:p w14:paraId="2E753112" w14:textId="2C31713F" w:rsidR="00355013" w:rsidRDefault="00355013" w:rsidP="00692DE4">
      <w:pPr>
        <w:spacing w:after="0" w:line="276" w:lineRule="auto"/>
        <w:ind w:firstLine="720"/>
        <w:jc w:val="both"/>
        <w:rPr>
          <w:rFonts w:cs="Times New Roman"/>
          <w:szCs w:val="24"/>
        </w:rPr>
      </w:pPr>
      <w:r>
        <w:rPr>
          <w:rFonts w:cs="Times New Roman"/>
          <w:szCs w:val="24"/>
        </w:rPr>
        <w:t>[4.5] </w:t>
      </w:r>
      <w:r w:rsidR="00395D76">
        <w:rPr>
          <w:rFonts w:cs="Times New Roman"/>
          <w:szCs w:val="24"/>
        </w:rPr>
        <w:t>[Pers. B]</w:t>
      </w:r>
      <w:r>
        <w:rPr>
          <w:rFonts w:cs="Times New Roman"/>
          <w:szCs w:val="24"/>
        </w:rPr>
        <w:t xml:space="preserve"> cietušā statusu ieguvis, neievērojot Kriminālprocesa likumā paredzēto kārtību. Laikā, kad </w:t>
      </w:r>
      <w:r w:rsidR="00395D76">
        <w:rPr>
          <w:rFonts w:cs="Times New Roman"/>
          <w:szCs w:val="24"/>
        </w:rPr>
        <w:t>[pers. D]</w:t>
      </w:r>
      <w:r>
        <w:rPr>
          <w:rFonts w:cs="Times New Roman"/>
          <w:szCs w:val="24"/>
        </w:rPr>
        <w:t xml:space="preserve"> jau bija miris, pamatojoties uz advokāta orderi, viņu lietā pārstāvējis</w:t>
      </w:r>
      <w:r w:rsidR="006B481F">
        <w:rPr>
          <w:rFonts w:cs="Times New Roman"/>
          <w:szCs w:val="24"/>
        </w:rPr>
        <w:t xml:space="preserve"> zvērināts</w:t>
      </w:r>
      <w:r>
        <w:rPr>
          <w:rFonts w:cs="Times New Roman"/>
          <w:szCs w:val="24"/>
        </w:rPr>
        <w:t xml:space="preserve"> advokāts Oskars </w:t>
      </w:r>
      <w:proofErr w:type="spellStart"/>
      <w:r>
        <w:rPr>
          <w:rFonts w:cs="Times New Roman"/>
          <w:szCs w:val="24"/>
        </w:rPr>
        <w:t>Rode</w:t>
      </w:r>
      <w:proofErr w:type="spellEnd"/>
      <w:r>
        <w:rPr>
          <w:rFonts w:cs="Times New Roman"/>
          <w:szCs w:val="24"/>
        </w:rPr>
        <w:t>. Tādējā</w:t>
      </w:r>
      <w:r w:rsidR="006B481F">
        <w:rPr>
          <w:rFonts w:cs="Times New Roman"/>
          <w:szCs w:val="24"/>
        </w:rPr>
        <w:t>di uzskatāms, ka O. </w:t>
      </w:r>
      <w:proofErr w:type="spellStart"/>
      <w:r w:rsidR="006B481F">
        <w:rPr>
          <w:rFonts w:cs="Times New Roman"/>
          <w:szCs w:val="24"/>
        </w:rPr>
        <w:t>Rode</w:t>
      </w:r>
      <w:proofErr w:type="spellEnd"/>
      <w:r>
        <w:rPr>
          <w:rFonts w:cs="Times New Roman"/>
          <w:szCs w:val="24"/>
        </w:rPr>
        <w:t xml:space="preserve"> </w:t>
      </w:r>
      <w:r w:rsidR="006B481F">
        <w:rPr>
          <w:rFonts w:cs="Times New Roman"/>
          <w:szCs w:val="24"/>
        </w:rPr>
        <w:t>bez pilnvarojuma</w:t>
      </w:r>
      <w:r>
        <w:rPr>
          <w:rFonts w:cs="Times New Roman"/>
          <w:szCs w:val="24"/>
        </w:rPr>
        <w:t xml:space="preserve"> </w:t>
      </w:r>
      <w:proofErr w:type="gramStart"/>
      <w:r>
        <w:rPr>
          <w:rFonts w:cs="Times New Roman"/>
          <w:szCs w:val="24"/>
        </w:rPr>
        <w:t>2011.gada</w:t>
      </w:r>
      <w:proofErr w:type="gramEnd"/>
      <w:r>
        <w:rPr>
          <w:rFonts w:cs="Times New Roman"/>
          <w:szCs w:val="24"/>
        </w:rPr>
        <w:t xml:space="preserve"> 7.janvārī pārsūdzējis 2010.gada 21.decembra policijas lēmumu par kriminālprocesa izbeigšanu. Pamatojoties uz minēto sūdzību, lēmums par kriminālprocesa izbeigšanu ticis atcelts un kriminālprocess ierosināts. </w:t>
      </w:r>
      <w:r w:rsidR="00FE51D4">
        <w:rPr>
          <w:rFonts w:cs="Times New Roman"/>
          <w:szCs w:val="24"/>
        </w:rPr>
        <w:t>Savukārt nākamo pieteikumu par aresta uzlikšanu mantai advokāts O. </w:t>
      </w:r>
      <w:proofErr w:type="spellStart"/>
      <w:r w:rsidR="00FE51D4">
        <w:rPr>
          <w:rFonts w:cs="Times New Roman"/>
          <w:szCs w:val="24"/>
        </w:rPr>
        <w:t>Rode</w:t>
      </w:r>
      <w:proofErr w:type="spellEnd"/>
      <w:r w:rsidR="00FE51D4">
        <w:rPr>
          <w:rFonts w:cs="Times New Roman"/>
          <w:szCs w:val="24"/>
        </w:rPr>
        <w:t xml:space="preserve"> iesniedzis kā </w:t>
      </w:r>
      <w:r w:rsidR="00395D76">
        <w:rPr>
          <w:rFonts w:cs="Times New Roman"/>
          <w:szCs w:val="24"/>
        </w:rPr>
        <w:t>[pers. D]</w:t>
      </w:r>
      <w:r w:rsidR="00FE51D4">
        <w:rPr>
          <w:rFonts w:cs="Times New Roman"/>
          <w:szCs w:val="24"/>
        </w:rPr>
        <w:t xml:space="preserve"> dēla </w:t>
      </w:r>
      <w:r w:rsidR="00395D76">
        <w:rPr>
          <w:rFonts w:cs="Times New Roman"/>
          <w:szCs w:val="24"/>
        </w:rPr>
        <w:t>[pers. B]</w:t>
      </w:r>
      <w:r w:rsidR="00FE51D4">
        <w:rPr>
          <w:rFonts w:cs="Times New Roman"/>
          <w:szCs w:val="24"/>
        </w:rPr>
        <w:t xml:space="preserve"> juridiskās palīdzības sniedzējs.</w:t>
      </w:r>
      <w:r w:rsidR="006B481F">
        <w:rPr>
          <w:rFonts w:cs="Times New Roman"/>
          <w:szCs w:val="24"/>
        </w:rPr>
        <w:t xml:space="preserve"> No Rīgas pilsētas Vidzemes priekšpilsētas prokuratūras </w:t>
      </w:r>
      <w:proofErr w:type="gramStart"/>
      <w:r w:rsidR="006B481F">
        <w:rPr>
          <w:rFonts w:cs="Times New Roman"/>
          <w:szCs w:val="24"/>
        </w:rPr>
        <w:t>2011.gada</w:t>
      </w:r>
      <w:proofErr w:type="gramEnd"/>
      <w:r w:rsidR="006B481F">
        <w:rPr>
          <w:rFonts w:cs="Times New Roman"/>
          <w:szCs w:val="24"/>
        </w:rPr>
        <w:t xml:space="preserve"> 8.septembra vēstules zvērinātam advokātam O. </w:t>
      </w:r>
      <w:proofErr w:type="spellStart"/>
      <w:r w:rsidR="006B481F">
        <w:rPr>
          <w:rFonts w:cs="Times New Roman"/>
          <w:szCs w:val="24"/>
        </w:rPr>
        <w:t>Rodem</w:t>
      </w:r>
      <w:proofErr w:type="spellEnd"/>
      <w:r w:rsidR="006B481F">
        <w:rPr>
          <w:rFonts w:cs="Times New Roman"/>
          <w:szCs w:val="24"/>
        </w:rPr>
        <w:t xml:space="preserve"> izriet, ka viņam nebija pilnvarojuma pārstāvēt cietušo, jo </w:t>
      </w:r>
      <w:r w:rsidR="00395D76">
        <w:rPr>
          <w:rFonts w:cs="Times New Roman"/>
          <w:szCs w:val="24"/>
        </w:rPr>
        <w:t>[pers. B]</w:t>
      </w:r>
      <w:r w:rsidR="006B481F">
        <w:rPr>
          <w:rFonts w:cs="Times New Roman"/>
          <w:szCs w:val="24"/>
        </w:rPr>
        <w:t xml:space="preserve"> vēl </w:t>
      </w:r>
      <w:r w:rsidR="00BA0661">
        <w:rPr>
          <w:rFonts w:cs="Times New Roman"/>
          <w:szCs w:val="24"/>
        </w:rPr>
        <w:t xml:space="preserve">nebija </w:t>
      </w:r>
      <w:r w:rsidR="006B481F">
        <w:rPr>
          <w:rFonts w:cs="Times New Roman"/>
          <w:szCs w:val="24"/>
        </w:rPr>
        <w:t xml:space="preserve">ieguvis cietušā statusu. Tāpat no </w:t>
      </w:r>
      <w:r w:rsidR="00395D76">
        <w:rPr>
          <w:rFonts w:cs="Times New Roman"/>
          <w:szCs w:val="24"/>
        </w:rPr>
        <w:t>[pers. H]</w:t>
      </w:r>
      <w:r w:rsidR="006B481F">
        <w:rPr>
          <w:rFonts w:cs="Times New Roman"/>
          <w:szCs w:val="24"/>
        </w:rPr>
        <w:t xml:space="preserve"> </w:t>
      </w:r>
      <w:proofErr w:type="gramStart"/>
      <w:r w:rsidR="006B481F">
        <w:rPr>
          <w:rFonts w:cs="Times New Roman"/>
          <w:szCs w:val="24"/>
        </w:rPr>
        <w:t>2011.gada</w:t>
      </w:r>
      <w:proofErr w:type="gramEnd"/>
      <w:r w:rsidR="006B481F">
        <w:rPr>
          <w:rFonts w:cs="Times New Roman"/>
          <w:szCs w:val="24"/>
        </w:rPr>
        <w:t xml:space="preserve"> 14.jūlija iesnieguma izriet, ka neviena persona</w:t>
      </w:r>
      <w:r w:rsidR="00A65D84">
        <w:rPr>
          <w:rFonts w:cs="Times New Roman"/>
          <w:szCs w:val="24"/>
        </w:rPr>
        <w:t xml:space="preserve"> pēc </w:t>
      </w:r>
      <w:r w:rsidR="00395D76">
        <w:rPr>
          <w:rFonts w:cs="Times New Roman"/>
          <w:szCs w:val="24"/>
        </w:rPr>
        <w:t>[pers. D]</w:t>
      </w:r>
      <w:r w:rsidR="00A65D84">
        <w:rPr>
          <w:rFonts w:cs="Times New Roman"/>
          <w:szCs w:val="24"/>
        </w:rPr>
        <w:t xml:space="preserve"> nāves</w:t>
      </w:r>
      <w:r w:rsidR="006B481F">
        <w:rPr>
          <w:rFonts w:cs="Times New Roman"/>
          <w:szCs w:val="24"/>
        </w:rPr>
        <w:t xml:space="preserve"> nebija tiesīga rīkoties </w:t>
      </w:r>
      <w:r w:rsidR="00395D76">
        <w:rPr>
          <w:rFonts w:cs="Times New Roman"/>
          <w:szCs w:val="24"/>
        </w:rPr>
        <w:t>[pers. D]</w:t>
      </w:r>
      <w:r w:rsidR="006B481F">
        <w:rPr>
          <w:rFonts w:cs="Times New Roman"/>
          <w:szCs w:val="24"/>
        </w:rPr>
        <w:t xml:space="preserve"> vārdā.</w:t>
      </w:r>
      <w:r w:rsidR="00A65D84">
        <w:rPr>
          <w:rFonts w:cs="Times New Roman"/>
          <w:szCs w:val="24"/>
        </w:rPr>
        <w:t xml:space="preserve"> </w:t>
      </w:r>
      <w:r w:rsidR="006B481F">
        <w:rPr>
          <w:rFonts w:cs="Times New Roman"/>
          <w:szCs w:val="24"/>
        </w:rPr>
        <w:t xml:space="preserve">Cietušā </w:t>
      </w:r>
      <w:r w:rsidR="00395D76">
        <w:rPr>
          <w:rFonts w:cs="Times New Roman"/>
          <w:szCs w:val="24"/>
        </w:rPr>
        <w:t>[pers. D]</w:t>
      </w:r>
      <w:r w:rsidR="00A65D84">
        <w:rPr>
          <w:rFonts w:cs="Times New Roman"/>
          <w:szCs w:val="24"/>
        </w:rPr>
        <w:t xml:space="preserve"> pārstāvji pēc </w:t>
      </w:r>
      <w:r w:rsidR="00395D76">
        <w:rPr>
          <w:rFonts w:cs="Times New Roman"/>
          <w:szCs w:val="24"/>
        </w:rPr>
        <w:t>[pers. D]</w:t>
      </w:r>
      <w:r w:rsidR="00A65D84">
        <w:rPr>
          <w:rFonts w:cs="Times New Roman"/>
          <w:szCs w:val="24"/>
        </w:rPr>
        <w:t xml:space="preserve"> nāves līdz brīdim, kad </w:t>
      </w:r>
      <w:r w:rsidR="00395D76">
        <w:rPr>
          <w:rFonts w:cs="Times New Roman"/>
          <w:szCs w:val="24"/>
        </w:rPr>
        <w:t>[pers. B]</w:t>
      </w:r>
      <w:r w:rsidR="00A65D84">
        <w:rPr>
          <w:rFonts w:cs="Times New Roman"/>
          <w:szCs w:val="24"/>
        </w:rPr>
        <w:t xml:space="preserve"> apstiprinātas mantojuma tiesības, nodrošinājuši apstākļus, lai kriminālprocess netiktu izbeigts.</w:t>
      </w:r>
    </w:p>
    <w:p w14:paraId="60E8399B" w14:textId="77777777" w:rsidR="00B007A3" w:rsidRDefault="00B007A3" w:rsidP="00692DE4">
      <w:pPr>
        <w:spacing w:after="0" w:line="276" w:lineRule="auto"/>
        <w:ind w:firstLine="720"/>
        <w:jc w:val="both"/>
        <w:rPr>
          <w:rFonts w:cs="Times New Roman"/>
          <w:szCs w:val="24"/>
        </w:rPr>
      </w:pPr>
    </w:p>
    <w:p w14:paraId="47F6E6BE" w14:textId="6BDF1542" w:rsidR="00B007A3" w:rsidRDefault="00B007A3" w:rsidP="00692DE4">
      <w:pPr>
        <w:spacing w:after="0" w:line="276" w:lineRule="auto"/>
        <w:ind w:firstLine="720"/>
        <w:jc w:val="both"/>
        <w:rPr>
          <w:rFonts w:cs="Times New Roman"/>
          <w:szCs w:val="24"/>
        </w:rPr>
      </w:pPr>
      <w:r>
        <w:rPr>
          <w:rFonts w:cs="Times New Roman"/>
          <w:szCs w:val="24"/>
        </w:rPr>
        <w:t>[5]</w:t>
      </w:r>
      <w:r w:rsidR="00F2397D">
        <w:rPr>
          <w:rFonts w:cs="Times New Roman"/>
          <w:szCs w:val="24"/>
        </w:rPr>
        <w:t xml:space="preserve"> Par </w:t>
      </w:r>
      <w:r w:rsidR="00F2397D" w:rsidRPr="00F2397D">
        <w:rPr>
          <w:rFonts w:cs="Times New Roman"/>
          <w:szCs w:val="24"/>
        </w:rPr>
        <w:t xml:space="preserve">apsūdzētā </w:t>
      </w:r>
      <w:r w:rsidR="00395D76">
        <w:rPr>
          <w:rFonts w:cs="Times New Roman"/>
          <w:szCs w:val="24"/>
        </w:rPr>
        <w:t>[pers. A]</w:t>
      </w:r>
      <w:r w:rsidR="00F2397D" w:rsidRPr="00F2397D">
        <w:rPr>
          <w:rFonts w:cs="Times New Roman"/>
          <w:szCs w:val="24"/>
        </w:rPr>
        <w:t xml:space="preserve"> aizstāve</w:t>
      </w:r>
      <w:r w:rsidR="00F2397D">
        <w:rPr>
          <w:rFonts w:cs="Times New Roman"/>
          <w:szCs w:val="24"/>
        </w:rPr>
        <w:t>s</w:t>
      </w:r>
      <w:r w:rsidR="00E54F31">
        <w:rPr>
          <w:rFonts w:cs="Times New Roman"/>
          <w:szCs w:val="24"/>
        </w:rPr>
        <w:t xml:space="preserve"> Z. </w:t>
      </w:r>
      <w:r w:rsidR="00F2397D" w:rsidRPr="00F2397D">
        <w:rPr>
          <w:rFonts w:cs="Times New Roman"/>
          <w:szCs w:val="24"/>
        </w:rPr>
        <w:t>Vilcāne</w:t>
      </w:r>
      <w:r w:rsidR="00F2397D">
        <w:rPr>
          <w:rFonts w:cs="Times New Roman"/>
          <w:szCs w:val="24"/>
        </w:rPr>
        <w:t>s</w:t>
      </w:r>
      <w:r w:rsidR="00F2397D" w:rsidRPr="00F2397D">
        <w:rPr>
          <w:rFonts w:cs="Times New Roman"/>
          <w:szCs w:val="24"/>
        </w:rPr>
        <w:t xml:space="preserve"> kasācijas sūdzību</w:t>
      </w:r>
      <w:r w:rsidR="00F2397D">
        <w:rPr>
          <w:rFonts w:cs="Times New Roman"/>
          <w:szCs w:val="24"/>
        </w:rPr>
        <w:t xml:space="preserve"> cietušā </w:t>
      </w:r>
      <w:r w:rsidR="00395D76">
        <w:rPr>
          <w:rFonts w:cs="Times New Roman"/>
          <w:szCs w:val="24"/>
        </w:rPr>
        <w:t>[pers. B]</w:t>
      </w:r>
      <w:r w:rsidR="00F2397D">
        <w:rPr>
          <w:rFonts w:cs="Times New Roman"/>
          <w:szCs w:val="24"/>
        </w:rPr>
        <w:t xml:space="preserve"> pilnvarotais pār</w:t>
      </w:r>
      <w:r w:rsidR="008035B1">
        <w:rPr>
          <w:rFonts w:cs="Times New Roman"/>
          <w:szCs w:val="24"/>
        </w:rPr>
        <w:t xml:space="preserve">stāvis </w:t>
      </w:r>
      <w:r w:rsidR="00395D76">
        <w:rPr>
          <w:rFonts w:cs="Times New Roman"/>
          <w:szCs w:val="24"/>
        </w:rPr>
        <w:t>[pers. I]</w:t>
      </w:r>
      <w:r w:rsidR="00F2397D">
        <w:rPr>
          <w:rFonts w:cs="Times New Roman"/>
          <w:szCs w:val="24"/>
        </w:rPr>
        <w:t xml:space="preserve"> iesniedzis iebildumus, kuros</w:t>
      </w:r>
      <w:r w:rsidR="005A1FBF">
        <w:rPr>
          <w:rFonts w:cs="Times New Roman"/>
          <w:szCs w:val="24"/>
        </w:rPr>
        <w:t xml:space="preserve"> lūdz atteikt ierosināt kasācijas tiesvedību, jo iesniegtā kasācijas sūdzība ir nepamatota.</w:t>
      </w:r>
    </w:p>
    <w:p w14:paraId="65FEF564" w14:textId="779A971B" w:rsidR="00EA2678" w:rsidRDefault="005A1FBF" w:rsidP="00807CB6">
      <w:pPr>
        <w:spacing w:after="0" w:line="276" w:lineRule="auto"/>
        <w:ind w:firstLine="720"/>
        <w:jc w:val="both"/>
        <w:rPr>
          <w:rFonts w:cs="Times New Roman"/>
          <w:szCs w:val="24"/>
        </w:rPr>
      </w:pPr>
      <w:r>
        <w:rPr>
          <w:rFonts w:cs="Times New Roman"/>
          <w:szCs w:val="24"/>
        </w:rPr>
        <w:t>Kasācijas sūdzībā izteiktās norā</w:t>
      </w:r>
      <w:r w:rsidR="00EA2678">
        <w:rPr>
          <w:rFonts w:cs="Times New Roman"/>
          <w:szCs w:val="24"/>
        </w:rPr>
        <w:t>des ir saistītas ar lietā esošo</w:t>
      </w:r>
      <w:r>
        <w:rPr>
          <w:rFonts w:cs="Times New Roman"/>
          <w:szCs w:val="24"/>
        </w:rPr>
        <w:t xml:space="preserve"> pierādījumu vērtēšanu, kas neietilpst kasācijas instances</w:t>
      </w:r>
      <w:r w:rsidR="00EA2678">
        <w:rPr>
          <w:rFonts w:cs="Times New Roman"/>
          <w:szCs w:val="24"/>
        </w:rPr>
        <w:t xml:space="preserve"> tiesas kompetencē. </w:t>
      </w:r>
      <w:r w:rsidR="00807CB6">
        <w:rPr>
          <w:rFonts w:cs="Times New Roman"/>
          <w:szCs w:val="24"/>
        </w:rPr>
        <w:t>Cietušo pārstāvji rīkojušies a</w:t>
      </w:r>
      <w:r w:rsidR="00EA2678">
        <w:rPr>
          <w:rFonts w:cs="Times New Roman"/>
          <w:szCs w:val="24"/>
        </w:rPr>
        <w:t xml:space="preserve">tbilstoši </w:t>
      </w:r>
      <w:r w:rsidR="00EA2678">
        <w:rPr>
          <w:rFonts w:cs="Times New Roman"/>
          <w:szCs w:val="24"/>
        </w:rPr>
        <w:lastRenderedPageBreak/>
        <w:t xml:space="preserve">Civillikuma </w:t>
      </w:r>
      <w:proofErr w:type="gramStart"/>
      <w:r w:rsidR="00EA2678">
        <w:rPr>
          <w:rFonts w:cs="Times New Roman"/>
          <w:szCs w:val="24"/>
        </w:rPr>
        <w:t>2295.pantam</w:t>
      </w:r>
      <w:proofErr w:type="gramEnd"/>
      <w:r w:rsidR="00807CB6">
        <w:rPr>
          <w:rFonts w:cs="Times New Roman"/>
          <w:szCs w:val="24"/>
        </w:rPr>
        <w:t>, kas noteic, ka</w:t>
      </w:r>
      <w:r w:rsidR="00EA2678">
        <w:rPr>
          <w:rFonts w:cs="Times New Roman"/>
          <w:szCs w:val="24"/>
        </w:rPr>
        <w:t xml:space="preserve"> pilnvarniekam jādarbojas, izpildot viņam doto uzdevumu ar lielāko rūpību un viņš atbild pilnvarotājam par katru neuzmanību. </w:t>
      </w:r>
      <w:r w:rsidR="00807CB6">
        <w:rPr>
          <w:rFonts w:cs="Times New Roman"/>
          <w:szCs w:val="24"/>
        </w:rPr>
        <w:t>G</w:t>
      </w:r>
      <w:r w:rsidR="00EA2678">
        <w:rPr>
          <w:rFonts w:cs="Times New Roman"/>
          <w:szCs w:val="24"/>
        </w:rPr>
        <w:t xml:space="preserve">an kompensācijas piedziņa, gan taisnīga soda noteikšana par pāridarījumu ir bijusi </w:t>
      </w:r>
      <w:r w:rsidR="00395D76">
        <w:rPr>
          <w:rFonts w:cs="Times New Roman"/>
          <w:szCs w:val="24"/>
        </w:rPr>
        <w:t>[pers. D]</w:t>
      </w:r>
      <w:r w:rsidR="00EA2678">
        <w:rPr>
          <w:rFonts w:cs="Times New Roman"/>
          <w:szCs w:val="24"/>
        </w:rPr>
        <w:t xml:space="preserve"> un </w:t>
      </w:r>
      <w:r w:rsidR="00395D76">
        <w:rPr>
          <w:rFonts w:cs="Times New Roman"/>
          <w:szCs w:val="24"/>
        </w:rPr>
        <w:t>[pers. B]</w:t>
      </w:r>
      <w:r w:rsidR="00EA2678">
        <w:rPr>
          <w:rFonts w:cs="Times New Roman"/>
          <w:szCs w:val="24"/>
        </w:rPr>
        <w:t xml:space="preserve"> interesēs.</w:t>
      </w:r>
    </w:p>
    <w:p w14:paraId="0118EC87" w14:textId="4C9CD963" w:rsidR="00EA2678" w:rsidRDefault="00EA2678" w:rsidP="00EA2678">
      <w:pPr>
        <w:spacing w:after="0" w:line="276" w:lineRule="auto"/>
        <w:ind w:firstLine="720"/>
        <w:jc w:val="both"/>
        <w:rPr>
          <w:rFonts w:cs="Times New Roman"/>
          <w:szCs w:val="24"/>
        </w:rPr>
      </w:pPr>
      <w:r>
        <w:rPr>
          <w:rFonts w:cs="Times New Roman"/>
          <w:szCs w:val="24"/>
        </w:rPr>
        <w:t>Aizstāvīb</w:t>
      </w:r>
      <w:r w:rsidR="0060077B">
        <w:rPr>
          <w:rFonts w:cs="Times New Roman"/>
          <w:szCs w:val="24"/>
        </w:rPr>
        <w:t>a nepamatoti atsaukusies</w:t>
      </w:r>
      <w:r>
        <w:rPr>
          <w:rFonts w:cs="Times New Roman"/>
          <w:szCs w:val="24"/>
        </w:rPr>
        <w:t xml:space="preserve"> uz prasījuma tiesībām, jo atbilstoši Civillikuma </w:t>
      </w:r>
      <w:proofErr w:type="gramStart"/>
      <w:r>
        <w:rPr>
          <w:rFonts w:cs="Times New Roman"/>
          <w:szCs w:val="24"/>
        </w:rPr>
        <w:t>1847.pantam</w:t>
      </w:r>
      <w:proofErr w:type="gramEnd"/>
      <w:r>
        <w:rPr>
          <w:rFonts w:cs="Times New Roman"/>
          <w:szCs w:val="24"/>
        </w:rPr>
        <w:t xml:space="preserve"> parādnieks var</w:t>
      </w:r>
      <w:r w:rsidRPr="00EA2678">
        <w:rPr>
          <w:rFonts w:cs="Times New Roman"/>
          <w:szCs w:val="24"/>
        </w:rPr>
        <w:t>, pret kreditora gribu, izlieto</w:t>
      </w:r>
      <w:r>
        <w:rPr>
          <w:rFonts w:cs="Times New Roman"/>
          <w:szCs w:val="24"/>
        </w:rPr>
        <w:t xml:space="preserve">t savu pretprasījumu tikai tad, </w:t>
      </w:r>
      <w:r w:rsidRPr="00EA2678">
        <w:rPr>
          <w:rFonts w:cs="Times New Roman"/>
          <w:szCs w:val="24"/>
        </w:rPr>
        <w:t>ja abu prasījumu priekšmeti ir vienādas šķiras</w:t>
      </w:r>
      <w:r>
        <w:rPr>
          <w:rFonts w:cs="Times New Roman"/>
          <w:szCs w:val="24"/>
        </w:rPr>
        <w:t xml:space="preserve">. Aizstāvības norādītais naudas prasījums un nekustamā īpašuma pārdošana ir atšķirīgu šķiru lietas. </w:t>
      </w:r>
      <w:r w:rsidR="00395D76">
        <w:rPr>
          <w:rFonts w:cs="Times New Roman"/>
          <w:szCs w:val="24"/>
        </w:rPr>
        <w:t>[Pers. A]</w:t>
      </w:r>
      <w:r w:rsidR="008A5501">
        <w:rPr>
          <w:rFonts w:cs="Times New Roman"/>
          <w:szCs w:val="24"/>
        </w:rPr>
        <w:t xml:space="preserve"> nav cēlis tiesā</w:t>
      </w:r>
      <w:r w:rsidR="0013164C">
        <w:rPr>
          <w:rFonts w:cs="Times New Roman"/>
          <w:szCs w:val="24"/>
        </w:rPr>
        <w:t xml:space="preserve"> prasības</w:t>
      </w:r>
      <w:proofErr w:type="gramStart"/>
      <w:r w:rsidR="0013164C">
        <w:rPr>
          <w:rFonts w:cs="Times New Roman"/>
          <w:szCs w:val="24"/>
        </w:rPr>
        <w:t>, un par labu viņam nav atzīts neviens</w:t>
      </w:r>
      <w:proofErr w:type="gramEnd"/>
      <w:r w:rsidR="0013164C">
        <w:rPr>
          <w:rFonts w:cs="Times New Roman"/>
          <w:szCs w:val="24"/>
        </w:rPr>
        <w:t xml:space="preserve"> no šajā lietā norādītajiem prasījumiem pret </w:t>
      </w:r>
      <w:r w:rsidR="00395D76">
        <w:rPr>
          <w:rFonts w:cs="Times New Roman"/>
          <w:szCs w:val="24"/>
        </w:rPr>
        <w:t>[pers. D]</w:t>
      </w:r>
      <w:r w:rsidR="0013164C">
        <w:rPr>
          <w:rFonts w:cs="Times New Roman"/>
          <w:szCs w:val="24"/>
        </w:rPr>
        <w:t xml:space="preserve"> vai </w:t>
      </w:r>
      <w:r w:rsidR="00395D76">
        <w:rPr>
          <w:rFonts w:cs="Times New Roman"/>
          <w:szCs w:val="24"/>
        </w:rPr>
        <w:t>[pers. B]</w:t>
      </w:r>
      <w:r w:rsidR="0013164C">
        <w:rPr>
          <w:rFonts w:cs="Times New Roman"/>
          <w:szCs w:val="24"/>
        </w:rPr>
        <w:t>.</w:t>
      </w:r>
    </w:p>
    <w:p w14:paraId="34369970" w14:textId="2A8DBAEF" w:rsidR="0013164C" w:rsidRDefault="0013164C" w:rsidP="00EA2678">
      <w:pPr>
        <w:spacing w:after="0" w:line="276" w:lineRule="auto"/>
        <w:ind w:firstLine="720"/>
        <w:jc w:val="both"/>
        <w:rPr>
          <w:rFonts w:cs="Times New Roman"/>
          <w:szCs w:val="24"/>
        </w:rPr>
      </w:pPr>
      <w:r>
        <w:rPr>
          <w:rFonts w:cs="Times New Roman"/>
          <w:szCs w:val="24"/>
        </w:rPr>
        <w:t xml:space="preserve">Tāpat nav saprotamas norādes kasācijas sūdzībā par </w:t>
      </w:r>
      <w:r w:rsidR="00395D76">
        <w:rPr>
          <w:rFonts w:cs="Times New Roman"/>
          <w:szCs w:val="24"/>
        </w:rPr>
        <w:t>[pers. D]</w:t>
      </w:r>
      <w:r>
        <w:rPr>
          <w:rFonts w:cs="Times New Roman"/>
          <w:szCs w:val="24"/>
        </w:rPr>
        <w:t xml:space="preserve"> nenopratināšanu, jo nav iespējams nopratināt cilvēku, kurš ir miris. </w:t>
      </w:r>
    </w:p>
    <w:p w14:paraId="2DA91F7A" w14:textId="77777777" w:rsidR="00E67557" w:rsidRPr="00E67557" w:rsidRDefault="00E67557" w:rsidP="00E67557">
      <w:pPr>
        <w:spacing w:after="0" w:line="276" w:lineRule="auto"/>
        <w:jc w:val="both"/>
        <w:rPr>
          <w:rFonts w:cs="Times New Roman"/>
          <w:szCs w:val="24"/>
        </w:rPr>
      </w:pPr>
    </w:p>
    <w:p w14:paraId="4C295CBB" w14:textId="77777777" w:rsidR="00E67557" w:rsidRPr="00E67557" w:rsidRDefault="00E67557" w:rsidP="00E67557">
      <w:pPr>
        <w:spacing w:after="0" w:line="276" w:lineRule="auto"/>
        <w:jc w:val="center"/>
        <w:rPr>
          <w:rFonts w:cs="Times New Roman"/>
          <w:b/>
          <w:szCs w:val="24"/>
        </w:rPr>
      </w:pPr>
      <w:r w:rsidRPr="00E67557">
        <w:rPr>
          <w:rFonts w:cs="Times New Roman"/>
          <w:b/>
          <w:szCs w:val="24"/>
        </w:rPr>
        <w:t>Motīvu daļa</w:t>
      </w:r>
    </w:p>
    <w:p w14:paraId="69D7461D" w14:textId="77777777" w:rsidR="00E67557" w:rsidRPr="00E67557" w:rsidRDefault="00E67557" w:rsidP="00E67557">
      <w:pPr>
        <w:spacing w:after="0" w:line="276" w:lineRule="auto"/>
        <w:ind w:firstLine="709"/>
        <w:jc w:val="both"/>
        <w:rPr>
          <w:rFonts w:cs="Times New Roman"/>
          <w:szCs w:val="24"/>
        </w:rPr>
      </w:pPr>
    </w:p>
    <w:p w14:paraId="02A9B655" w14:textId="48787D99" w:rsidR="00E67557" w:rsidRDefault="00E67557" w:rsidP="00E67557">
      <w:pPr>
        <w:tabs>
          <w:tab w:val="left" w:pos="0"/>
        </w:tabs>
        <w:spacing w:after="0" w:line="276" w:lineRule="auto"/>
        <w:jc w:val="both"/>
        <w:rPr>
          <w:rFonts w:eastAsia="Times New Roman" w:cs="Times New Roman"/>
          <w:szCs w:val="24"/>
        </w:rPr>
      </w:pPr>
      <w:r>
        <w:rPr>
          <w:rFonts w:cs="Times New Roman"/>
          <w:szCs w:val="24"/>
        </w:rPr>
        <w:tab/>
        <w:t>[6</w:t>
      </w:r>
      <w:r w:rsidRPr="00E67557">
        <w:rPr>
          <w:rFonts w:cs="Times New Roman"/>
          <w:szCs w:val="24"/>
        </w:rPr>
        <w:t>] Senāts atzīst, ka</w:t>
      </w:r>
      <w:r w:rsidRPr="00E67557">
        <w:rPr>
          <w:rFonts w:eastAsia="Times New Roman" w:cs="Times New Roman"/>
          <w:szCs w:val="24"/>
        </w:rPr>
        <w:t xml:space="preserve"> </w:t>
      </w:r>
      <w:r w:rsidR="00D26726" w:rsidRPr="00D26726">
        <w:rPr>
          <w:rFonts w:eastAsia="Times New Roman" w:cs="Times New Roman"/>
          <w:szCs w:val="24"/>
        </w:rPr>
        <w:t>Rīgas apgabaltie</w:t>
      </w:r>
      <w:r w:rsidR="00D26726">
        <w:rPr>
          <w:rFonts w:eastAsia="Times New Roman" w:cs="Times New Roman"/>
          <w:szCs w:val="24"/>
        </w:rPr>
        <w:t xml:space="preserve">sas </w:t>
      </w:r>
      <w:proofErr w:type="gramStart"/>
      <w:r w:rsidR="00D26726">
        <w:rPr>
          <w:rFonts w:eastAsia="Times New Roman" w:cs="Times New Roman"/>
          <w:szCs w:val="24"/>
        </w:rPr>
        <w:t>2019.gada</w:t>
      </w:r>
      <w:proofErr w:type="gramEnd"/>
      <w:r w:rsidR="00D26726">
        <w:rPr>
          <w:rFonts w:eastAsia="Times New Roman" w:cs="Times New Roman"/>
          <w:szCs w:val="24"/>
        </w:rPr>
        <w:t xml:space="preserve"> 5.septembra lēmums </w:t>
      </w:r>
      <w:r w:rsidR="00D26726" w:rsidRPr="00D26726">
        <w:rPr>
          <w:rFonts w:eastAsia="Times New Roman" w:cs="Times New Roman"/>
          <w:szCs w:val="24"/>
        </w:rPr>
        <w:t xml:space="preserve">atstājams negrozīts, bet </w:t>
      </w:r>
      <w:r w:rsidR="00D26726">
        <w:rPr>
          <w:rFonts w:eastAsia="Times New Roman" w:cs="Times New Roman"/>
          <w:szCs w:val="24"/>
        </w:rPr>
        <w:t xml:space="preserve">apsūdzētā </w:t>
      </w:r>
      <w:r w:rsidR="00395D76">
        <w:rPr>
          <w:rFonts w:eastAsia="Times New Roman" w:cs="Times New Roman"/>
          <w:szCs w:val="24"/>
        </w:rPr>
        <w:t>[pers. A]</w:t>
      </w:r>
      <w:r w:rsidR="00D26726" w:rsidRPr="00D26726">
        <w:rPr>
          <w:rFonts w:eastAsia="Times New Roman" w:cs="Times New Roman"/>
          <w:szCs w:val="24"/>
        </w:rPr>
        <w:t xml:space="preserve"> aizstāves Z</w:t>
      </w:r>
      <w:r w:rsidR="00D26726">
        <w:rPr>
          <w:rFonts w:eastAsia="Times New Roman" w:cs="Times New Roman"/>
          <w:szCs w:val="24"/>
        </w:rPr>
        <w:t>. </w:t>
      </w:r>
      <w:r w:rsidR="00D26726" w:rsidRPr="00D26726">
        <w:rPr>
          <w:rFonts w:eastAsia="Times New Roman" w:cs="Times New Roman"/>
          <w:szCs w:val="24"/>
        </w:rPr>
        <w:t>Vilcānes kasāc</w:t>
      </w:r>
      <w:r w:rsidR="00D26726">
        <w:rPr>
          <w:rFonts w:eastAsia="Times New Roman" w:cs="Times New Roman"/>
          <w:szCs w:val="24"/>
        </w:rPr>
        <w:t>ijas sūdzība noraidāma</w:t>
      </w:r>
      <w:r w:rsidR="00D26726" w:rsidRPr="00D26726">
        <w:rPr>
          <w:rFonts w:eastAsia="Times New Roman" w:cs="Times New Roman"/>
          <w:szCs w:val="24"/>
        </w:rPr>
        <w:t>.</w:t>
      </w:r>
    </w:p>
    <w:p w14:paraId="43C48EA8" w14:textId="5716B9CB" w:rsidR="00BB1A6D" w:rsidRDefault="00BB1A6D" w:rsidP="00E67557">
      <w:pPr>
        <w:tabs>
          <w:tab w:val="left" w:pos="0"/>
        </w:tabs>
        <w:spacing w:after="0" w:line="276" w:lineRule="auto"/>
        <w:jc w:val="both"/>
        <w:rPr>
          <w:rFonts w:eastAsia="Times New Roman" w:cs="Times New Roman"/>
          <w:szCs w:val="24"/>
        </w:rPr>
      </w:pPr>
      <w:r>
        <w:rPr>
          <w:rFonts w:eastAsia="Times New Roman" w:cs="Times New Roman"/>
          <w:szCs w:val="24"/>
        </w:rPr>
        <w:tab/>
        <w:t xml:space="preserve">[6.1] Senāts atzīst par nepamatotu </w:t>
      </w:r>
      <w:r w:rsidR="00395D76">
        <w:rPr>
          <w:rFonts w:eastAsia="Times New Roman" w:cs="Times New Roman"/>
          <w:szCs w:val="24"/>
        </w:rPr>
        <w:t>[pers. A]</w:t>
      </w:r>
      <w:r w:rsidR="0015443D">
        <w:rPr>
          <w:rFonts w:eastAsia="Times New Roman" w:cs="Times New Roman"/>
          <w:szCs w:val="24"/>
        </w:rPr>
        <w:t xml:space="preserve"> aizstāves kasācijas sūdzībā norādīto</w:t>
      </w:r>
      <w:r>
        <w:rPr>
          <w:rFonts w:eastAsia="Times New Roman" w:cs="Times New Roman"/>
          <w:szCs w:val="24"/>
        </w:rPr>
        <w:t xml:space="preserve"> argumentu, ka apelācijas instances tiesa</w:t>
      </w:r>
      <w:r w:rsidR="0015443D">
        <w:rPr>
          <w:rFonts w:eastAsia="Times New Roman" w:cs="Times New Roman"/>
          <w:szCs w:val="24"/>
        </w:rPr>
        <w:t>,</w:t>
      </w:r>
      <w:r>
        <w:rPr>
          <w:rFonts w:eastAsia="Times New Roman" w:cs="Times New Roman"/>
          <w:szCs w:val="24"/>
        </w:rPr>
        <w:t xml:space="preserve"> pretēji Kriminālprocesa likuma </w:t>
      </w:r>
      <w:proofErr w:type="gramStart"/>
      <w:r>
        <w:rPr>
          <w:rFonts w:eastAsia="Times New Roman" w:cs="Times New Roman"/>
          <w:szCs w:val="24"/>
        </w:rPr>
        <w:t>564.panta</w:t>
      </w:r>
      <w:proofErr w:type="gramEnd"/>
      <w:r>
        <w:rPr>
          <w:rFonts w:eastAsia="Times New Roman" w:cs="Times New Roman"/>
          <w:szCs w:val="24"/>
        </w:rPr>
        <w:t xml:space="preserve"> ceturtās daļas prasībām</w:t>
      </w:r>
      <w:r w:rsidR="0015443D">
        <w:rPr>
          <w:rFonts w:eastAsia="Times New Roman" w:cs="Times New Roman"/>
          <w:szCs w:val="24"/>
        </w:rPr>
        <w:t>,</w:t>
      </w:r>
      <w:r>
        <w:rPr>
          <w:rFonts w:eastAsia="Times New Roman" w:cs="Times New Roman"/>
          <w:szCs w:val="24"/>
        </w:rPr>
        <w:t xml:space="preserve"> nav izvērtējusi aizstāvības apelācijas sūdzīb</w:t>
      </w:r>
      <w:r w:rsidR="000B0579">
        <w:rPr>
          <w:rFonts w:eastAsia="Times New Roman" w:cs="Times New Roman"/>
          <w:szCs w:val="24"/>
        </w:rPr>
        <w:t>ās un apelācijas instances tiesas sēdē paustus lietai nozīmīgus argumentus</w:t>
      </w:r>
      <w:r w:rsidR="00786B07">
        <w:rPr>
          <w:rFonts w:eastAsia="Times New Roman" w:cs="Times New Roman"/>
          <w:szCs w:val="24"/>
        </w:rPr>
        <w:t xml:space="preserve">, kas apstiprina to, ka </w:t>
      </w:r>
      <w:r w:rsidR="00395D76">
        <w:rPr>
          <w:rFonts w:eastAsia="Times New Roman" w:cs="Times New Roman"/>
          <w:szCs w:val="24"/>
        </w:rPr>
        <w:t>[pers. A]</w:t>
      </w:r>
      <w:r w:rsidR="00786B07">
        <w:rPr>
          <w:rFonts w:eastAsia="Times New Roman" w:cs="Times New Roman"/>
          <w:szCs w:val="24"/>
        </w:rPr>
        <w:t xml:space="preserve"> no nekustamo īpašumu pārdošanas iegūtos naudas līdzekļus paturējis tiesiski, nevis piesavinājies.</w:t>
      </w:r>
    </w:p>
    <w:p w14:paraId="5E403FE3" w14:textId="4BED81DA" w:rsidR="00BB3BFD" w:rsidRPr="00E96A9A" w:rsidRDefault="00B66B7B" w:rsidP="00460323">
      <w:pPr>
        <w:tabs>
          <w:tab w:val="left" w:pos="0"/>
        </w:tabs>
        <w:spacing w:after="0" w:line="276" w:lineRule="auto"/>
        <w:jc w:val="both"/>
        <w:rPr>
          <w:rFonts w:eastAsia="Calibri"/>
        </w:rPr>
      </w:pPr>
      <w:r>
        <w:rPr>
          <w:rFonts w:eastAsia="Times New Roman" w:cs="Times New Roman"/>
          <w:szCs w:val="24"/>
        </w:rPr>
        <w:tab/>
      </w:r>
      <w:r w:rsidR="00670B7B">
        <w:rPr>
          <w:rFonts w:eastAsia="Times New Roman" w:cs="Times New Roman"/>
          <w:szCs w:val="24"/>
        </w:rPr>
        <w:t>Apelācijas instances tiesa lēmumā</w:t>
      </w:r>
      <w:r w:rsidR="00540D73">
        <w:rPr>
          <w:rFonts w:eastAsia="Times New Roman" w:cs="Times New Roman"/>
          <w:szCs w:val="24"/>
        </w:rPr>
        <w:t xml:space="preserve"> atzi</w:t>
      </w:r>
      <w:r w:rsidR="008A5501">
        <w:rPr>
          <w:rFonts w:eastAsia="Times New Roman" w:cs="Times New Roman"/>
          <w:szCs w:val="24"/>
        </w:rPr>
        <w:t>nusi, ka pirmās instances tiesa</w:t>
      </w:r>
      <w:r w:rsidR="00E105AD">
        <w:rPr>
          <w:rFonts w:eastAsia="Times New Roman" w:cs="Times New Roman"/>
          <w:szCs w:val="24"/>
        </w:rPr>
        <w:t>,</w:t>
      </w:r>
      <w:r w:rsidR="008A5501">
        <w:rPr>
          <w:rFonts w:eastAsia="Times New Roman" w:cs="Times New Roman"/>
          <w:szCs w:val="24"/>
        </w:rPr>
        <w:t xml:space="preserve"> </w:t>
      </w:r>
      <w:r w:rsidR="00E105AD" w:rsidRPr="00250596">
        <w:rPr>
          <w:rFonts w:eastAsia="Calibri"/>
        </w:rPr>
        <w:t>izvērtēj</w:t>
      </w:r>
      <w:r w:rsidR="00E105AD">
        <w:rPr>
          <w:rFonts w:eastAsia="Calibri"/>
        </w:rPr>
        <w:t>ot</w:t>
      </w:r>
      <w:r w:rsidR="00E105AD" w:rsidRPr="00250596">
        <w:rPr>
          <w:rFonts w:eastAsia="Calibri"/>
        </w:rPr>
        <w:t xml:space="preserve"> pierādījumus to kopumā un savstarpējā sakarībā </w:t>
      </w:r>
      <w:r w:rsidR="008A5501" w:rsidRPr="00250596">
        <w:rPr>
          <w:rFonts w:eastAsia="Calibri"/>
        </w:rPr>
        <w:t>atbilstoši Kriminālprocesa likuma prasībām, konstatējusi apsūdzēt</w:t>
      </w:r>
      <w:r w:rsidR="008A5501">
        <w:rPr>
          <w:rFonts w:eastAsia="Calibri"/>
        </w:rPr>
        <w:t xml:space="preserve">ā </w:t>
      </w:r>
      <w:r w:rsidR="00395D76">
        <w:rPr>
          <w:rFonts w:eastAsia="Calibri"/>
        </w:rPr>
        <w:t>[pers. A]</w:t>
      </w:r>
      <w:r w:rsidR="008A5501">
        <w:rPr>
          <w:rFonts w:eastAsia="Calibri"/>
        </w:rPr>
        <w:t xml:space="preserve"> </w:t>
      </w:r>
      <w:r w:rsidR="008A5501" w:rsidRPr="00250596">
        <w:rPr>
          <w:rFonts w:eastAsia="Calibri"/>
        </w:rPr>
        <w:t xml:space="preserve">darbībās visas nepieciešamās un obligātās Krimināllikuma </w:t>
      </w:r>
      <w:proofErr w:type="gramStart"/>
      <w:r w:rsidR="008A5501">
        <w:rPr>
          <w:rFonts w:eastAsia="Calibri"/>
        </w:rPr>
        <w:t>179</w:t>
      </w:r>
      <w:r w:rsidR="008A5501" w:rsidRPr="00250596">
        <w:rPr>
          <w:rFonts w:eastAsia="Calibri"/>
        </w:rPr>
        <w:t>.panta</w:t>
      </w:r>
      <w:proofErr w:type="gramEnd"/>
      <w:r w:rsidR="008A5501" w:rsidRPr="00250596">
        <w:rPr>
          <w:rFonts w:eastAsia="Calibri"/>
        </w:rPr>
        <w:t xml:space="preserve"> trešajā daļā paredzētā nozied</w:t>
      </w:r>
      <w:r w:rsidR="008A5501">
        <w:rPr>
          <w:rFonts w:eastAsia="Calibri"/>
        </w:rPr>
        <w:t>zīgā nodarījuma sastāva pazīmes.</w:t>
      </w:r>
      <w:r w:rsidR="00B5692F">
        <w:rPr>
          <w:rFonts w:eastAsia="Calibri"/>
        </w:rPr>
        <w:t xml:space="preserve"> Tāpēc</w:t>
      </w:r>
      <w:r w:rsidR="005722AC" w:rsidRPr="005722AC">
        <w:rPr>
          <w:rFonts w:eastAsia="Times New Roman" w:cs="Times New Roman"/>
          <w:szCs w:val="24"/>
        </w:rPr>
        <w:t xml:space="preserve"> </w:t>
      </w:r>
      <w:r w:rsidR="005722AC">
        <w:rPr>
          <w:rFonts w:eastAsia="Times New Roman" w:cs="Times New Roman"/>
          <w:szCs w:val="24"/>
        </w:rPr>
        <w:t>apelācijas instances tiesa</w:t>
      </w:r>
      <w:r w:rsidR="008A5501">
        <w:rPr>
          <w:rFonts w:eastAsia="Times New Roman" w:cs="Times New Roman"/>
          <w:szCs w:val="24"/>
        </w:rPr>
        <w:t xml:space="preserve">, pamatojoties uz Kriminālprocesa likuma </w:t>
      </w:r>
      <w:proofErr w:type="gramStart"/>
      <w:r w:rsidR="008A5501">
        <w:rPr>
          <w:rFonts w:eastAsia="Times New Roman" w:cs="Times New Roman"/>
          <w:szCs w:val="24"/>
        </w:rPr>
        <w:t>564.panta</w:t>
      </w:r>
      <w:proofErr w:type="gramEnd"/>
      <w:r w:rsidR="008A5501">
        <w:rPr>
          <w:rFonts w:eastAsia="Times New Roman" w:cs="Times New Roman"/>
          <w:szCs w:val="24"/>
        </w:rPr>
        <w:t xml:space="preserve"> sesto daļu</w:t>
      </w:r>
      <w:r w:rsidR="00B5692F">
        <w:rPr>
          <w:rFonts w:eastAsia="Times New Roman" w:cs="Times New Roman"/>
          <w:szCs w:val="24"/>
        </w:rPr>
        <w:t xml:space="preserve">, </w:t>
      </w:r>
      <w:r w:rsidR="0015443D">
        <w:rPr>
          <w:rFonts w:eastAsia="Times New Roman" w:cs="Times New Roman"/>
          <w:szCs w:val="24"/>
        </w:rPr>
        <w:t>atzinusi</w:t>
      </w:r>
      <w:r w:rsidR="00B5692F">
        <w:rPr>
          <w:rFonts w:eastAsia="Times New Roman" w:cs="Times New Roman"/>
          <w:szCs w:val="24"/>
        </w:rPr>
        <w:t>, ka nav nepieciešams atkārtot pirmās instances tiesas spriedumā minētos pierādījumus un atzinumus</w:t>
      </w:r>
      <w:r w:rsidR="008A5501">
        <w:rPr>
          <w:rFonts w:eastAsia="Times New Roman" w:cs="Times New Roman"/>
          <w:szCs w:val="24"/>
        </w:rPr>
        <w:t>.</w:t>
      </w:r>
      <w:r w:rsidR="00E96A9A">
        <w:rPr>
          <w:rFonts w:eastAsia="Times New Roman" w:cs="Times New Roman"/>
          <w:szCs w:val="24"/>
        </w:rPr>
        <w:t xml:space="preserve"> </w:t>
      </w:r>
    </w:p>
    <w:p w14:paraId="61DFD47C" w14:textId="68DFFFD6" w:rsidR="00BB3BFD" w:rsidRDefault="000352D7"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000929B1">
        <w:rPr>
          <w:rFonts w:eastAsia="Times New Roman" w:cs="Times New Roman"/>
          <w:szCs w:val="24"/>
        </w:rPr>
        <w:t>J</w:t>
      </w:r>
      <w:r w:rsidR="00BB3BFD">
        <w:rPr>
          <w:rFonts w:eastAsia="Times New Roman" w:cs="Times New Roman"/>
          <w:szCs w:val="24"/>
        </w:rPr>
        <w:t xml:space="preserve">uridiskajā literatūrā </w:t>
      </w:r>
      <w:r w:rsidR="00F47A41">
        <w:rPr>
          <w:rFonts w:eastAsia="Times New Roman" w:cs="Times New Roman"/>
          <w:szCs w:val="24"/>
        </w:rPr>
        <w:t>atzīts</w:t>
      </w:r>
      <w:r w:rsidR="00BB3BFD">
        <w:rPr>
          <w:rFonts w:eastAsia="Times New Roman" w:cs="Times New Roman"/>
          <w:szCs w:val="24"/>
        </w:rPr>
        <w:t>, ka piesavināšanās no objektīvās puses ir prettiesiska, ja:</w:t>
      </w:r>
    </w:p>
    <w:p w14:paraId="62E77DE6" w14:textId="77777777" w:rsidR="00BB3BFD" w:rsidRDefault="00A00A06" w:rsidP="00460323">
      <w:pPr>
        <w:pStyle w:val="ListParagraph"/>
        <w:numPr>
          <w:ilvl w:val="0"/>
          <w:numId w:val="2"/>
        </w:numPr>
        <w:tabs>
          <w:tab w:val="left" w:pos="0"/>
        </w:tabs>
        <w:spacing w:after="0" w:line="276" w:lineRule="auto"/>
        <w:jc w:val="both"/>
        <w:rPr>
          <w:rFonts w:eastAsia="Times New Roman" w:cs="Times New Roman"/>
          <w:szCs w:val="24"/>
        </w:rPr>
      </w:pPr>
      <w:r>
        <w:rPr>
          <w:rFonts w:eastAsia="Times New Roman" w:cs="Times New Roman"/>
          <w:szCs w:val="24"/>
        </w:rPr>
        <w:t>d</w:t>
      </w:r>
      <w:r w:rsidR="00BB3BFD">
        <w:rPr>
          <w:rFonts w:eastAsia="Times New Roman" w:cs="Times New Roman"/>
          <w:szCs w:val="24"/>
        </w:rPr>
        <w:t>arbība, kas kvalificēta kā piesavināšanās, notikusi pretēji īpašnieka gribai,</w:t>
      </w:r>
    </w:p>
    <w:p w14:paraId="65D5CD20" w14:textId="77777777" w:rsidR="00FC30D5" w:rsidRDefault="00A00A06" w:rsidP="00460323">
      <w:pPr>
        <w:pStyle w:val="ListParagraph"/>
        <w:numPr>
          <w:ilvl w:val="0"/>
          <w:numId w:val="2"/>
        </w:numPr>
        <w:tabs>
          <w:tab w:val="left" w:pos="0"/>
        </w:tabs>
        <w:spacing w:after="0" w:line="276" w:lineRule="auto"/>
        <w:ind w:left="0" w:firstLine="360"/>
        <w:jc w:val="both"/>
        <w:rPr>
          <w:rFonts w:eastAsia="Times New Roman" w:cs="Times New Roman"/>
          <w:szCs w:val="24"/>
        </w:rPr>
      </w:pPr>
      <w:r>
        <w:rPr>
          <w:rFonts w:eastAsia="Times New Roman" w:cs="Times New Roman"/>
          <w:szCs w:val="24"/>
        </w:rPr>
        <w:t xml:space="preserve">mantas ieguvējam (piesavinātājam) nepieder spēkā esošs prasījums, kuram iestājies termiņš, par patvarīgi atņemtās </w:t>
      </w:r>
      <w:r w:rsidR="00D946A4">
        <w:rPr>
          <w:rFonts w:eastAsia="Times New Roman" w:cs="Times New Roman"/>
          <w:szCs w:val="24"/>
        </w:rPr>
        <w:t>un piesavinātās mantas izdošanu</w:t>
      </w:r>
      <w:r w:rsidR="00FC30D5">
        <w:rPr>
          <w:rFonts w:eastAsia="Times New Roman" w:cs="Times New Roman"/>
          <w:szCs w:val="24"/>
        </w:rPr>
        <w:t>.</w:t>
      </w:r>
    </w:p>
    <w:p w14:paraId="562B2608" w14:textId="77777777" w:rsidR="00BB3BFD" w:rsidRDefault="00FC30D5"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001D595C">
        <w:rPr>
          <w:rFonts w:eastAsia="Times New Roman" w:cs="Times New Roman"/>
          <w:szCs w:val="24"/>
        </w:rPr>
        <w:t>Mantas piesavināšanās prettiesiskuma apzināšanās nav konstatējama vienīgi tad, ja personai ir skaidrs priekšstats par tai piederošā, tiesiski aizsargātā prasījuma pamatu un apmēru. Faktiskās kļūdas konstatēšanai nav pietiekošs personas neskaidrs (nenoteikts) priekšstats</w:t>
      </w:r>
      <w:r w:rsidR="008A5501">
        <w:rPr>
          <w:rFonts w:eastAsia="Times New Roman" w:cs="Times New Roman"/>
          <w:szCs w:val="24"/>
        </w:rPr>
        <w:t xml:space="preserve"> </w:t>
      </w:r>
      <w:proofErr w:type="gramStart"/>
      <w:r w:rsidR="008A5501">
        <w:rPr>
          <w:rFonts w:eastAsia="Times New Roman" w:cs="Times New Roman"/>
          <w:szCs w:val="24"/>
        </w:rPr>
        <w:t>(</w:t>
      </w:r>
      <w:proofErr w:type="gramEnd"/>
      <w:r w:rsidR="00D946A4" w:rsidRPr="00FC30D5">
        <w:rPr>
          <w:rFonts w:eastAsia="Times New Roman" w:cs="Times New Roman"/>
          <w:i/>
          <w:szCs w:val="24"/>
        </w:rPr>
        <w:t>Leja M. Krāpšanas aktuālie jautājumi Latvijas un ārvalstu tiesībās. Rīga: Tiesu namu aģentūra, 2013</w:t>
      </w:r>
      <w:r w:rsidR="00D946A4" w:rsidRPr="0013648C">
        <w:rPr>
          <w:rFonts w:eastAsia="Times New Roman" w:cs="Times New Roman"/>
          <w:i/>
          <w:szCs w:val="24"/>
        </w:rPr>
        <w:t>, 451.lpp.</w:t>
      </w:r>
      <w:r w:rsidR="008A5501" w:rsidRPr="0013648C">
        <w:rPr>
          <w:rFonts w:eastAsia="Times New Roman" w:cs="Times New Roman"/>
          <w:szCs w:val="24"/>
        </w:rPr>
        <w:t>)</w:t>
      </w:r>
      <w:r w:rsidR="00D946A4" w:rsidRPr="0013648C">
        <w:rPr>
          <w:rFonts w:eastAsia="Times New Roman" w:cs="Times New Roman"/>
          <w:szCs w:val="24"/>
        </w:rPr>
        <w:t>.</w:t>
      </w:r>
    </w:p>
    <w:p w14:paraId="5563CE0C" w14:textId="752553E6" w:rsidR="008D5B91" w:rsidRDefault="008D5B91" w:rsidP="008D5B91">
      <w:pPr>
        <w:tabs>
          <w:tab w:val="left" w:pos="0"/>
        </w:tabs>
        <w:spacing w:after="0" w:line="276" w:lineRule="auto"/>
        <w:jc w:val="both"/>
        <w:rPr>
          <w:rFonts w:eastAsia="Times New Roman" w:cs="Times New Roman"/>
          <w:szCs w:val="24"/>
        </w:rPr>
      </w:pPr>
      <w:r>
        <w:rPr>
          <w:rFonts w:eastAsia="Times New Roman" w:cs="Times New Roman"/>
          <w:szCs w:val="24"/>
        </w:rPr>
        <w:tab/>
        <w:t xml:space="preserve">Senāts atzīst, ka pirmās instances tiesa ir izvērtējusi, vai </w:t>
      </w:r>
      <w:r w:rsidR="00395D76">
        <w:rPr>
          <w:rFonts w:eastAsia="Times New Roman" w:cs="Times New Roman"/>
          <w:szCs w:val="24"/>
        </w:rPr>
        <w:t>[pers. A]</w:t>
      </w:r>
      <w:r>
        <w:rPr>
          <w:rFonts w:eastAsia="Times New Roman" w:cs="Times New Roman"/>
          <w:szCs w:val="24"/>
        </w:rPr>
        <w:t xml:space="preserve"> darbīb</w:t>
      </w:r>
      <w:r w:rsidR="00316F70">
        <w:rPr>
          <w:rFonts w:eastAsia="Times New Roman" w:cs="Times New Roman"/>
          <w:szCs w:val="24"/>
        </w:rPr>
        <w:t>as ir prettiesiskas, kas nošķir</w:t>
      </w:r>
      <w:r>
        <w:rPr>
          <w:rFonts w:eastAsia="Times New Roman" w:cs="Times New Roman"/>
          <w:szCs w:val="24"/>
        </w:rPr>
        <w:t xml:space="preserve"> tās no civiltiesiska delikta</w:t>
      </w:r>
      <w:proofErr w:type="gramStart"/>
      <w:r>
        <w:rPr>
          <w:rFonts w:eastAsia="Times New Roman" w:cs="Times New Roman"/>
          <w:szCs w:val="24"/>
        </w:rPr>
        <w:t>, un to</w:t>
      </w:r>
      <w:proofErr w:type="gramEnd"/>
      <w:r>
        <w:rPr>
          <w:rFonts w:eastAsia="Times New Roman" w:cs="Times New Roman"/>
          <w:szCs w:val="24"/>
        </w:rPr>
        <w:t xml:space="preserve">, vai </w:t>
      </w:r>
      <w:r w:rsidR="00395D76">
        <w:rPr>
          <w:rFonts w:eastAsia="Times New Roman" w:cs="Times New Roman"/>
          <w:szCs w:val="24"/>
        </w:rPr>
        <w:t>[pers. A]</w:t>
      </w:r>
      <w:r>
        <w:rPr>
          <w:rFonts w:eastAsia="Times New Roman" w:cs="Times New Roman"/>
          <w:szCs w:val="24"/>
        </w:rPr>
        <w:t xml:space="preserve"> apzinājās savu darbību prettiesiskumu.</w:t>
      </w:r>
    </w:p>
    <w:p w14:paraId="70E48A35" w14:textId="723F1B23" w:rsidR="008D5B91" w:rsidRDefault="008D5B91" w:rsidP="008D5B91">
      <w:pPr>
        <w:tabs>
          <w:tab w:val="left" w:pos="0"/>
        </w:tabs>
        <w:spacing w:after="0" w:line="276" w:lineRule="auto"/>
        <w:jc w:val="both"/>
        <w:rPr>
          <w:rFonts w:eastAsia="Times New Roman" w:cs="Times New Roman"/>
          <w:szCs w:val="24"/>
        </w:rPr>
      </w:pPr>
      <w:r>
        <w:rPr>
          <w:rFonts w:eastAsia="Times New Roman" w:cs="Times New Roman"/>
          <w:szCs w:val="24"/>
        </w:rPr>
        <w:tab/>
        <w:t xml:space="preserve"> Tiesa atzinusi, ka </w:t>
      </w:r>
      <w:r w:rsidR="00395D76">
        <w:rPr>
          <w:rFonts w:eastAsia="Times New Roman" w:cs="Times New Roman"/>
          <w:szCs w:val="24"/>
        </w:rPr>
        <w:t>[pers. D]</w:t>
      </w:r>
      <w:r>
        <w:rPr>
          <w:rFonts w:eastAsia="Times New Roman" w:cs="Times New Roman"/>
          <w:szCs w:val="24"/>
        </w:rPr>
        <w:t xml:space="preserve"> nebija pilnvarojis </w:t>
      </w:r>
      <w:r w:rsidR="00395D76">
        <w:rPr>
          <w:rFonts w:eastAsia="Times New Roman" w:cs="Times New Roman"/>
          <w:szCs w:val="24"/>
        </w:rPr>
        <w:t>[pers. A]</w:t>
      </w:r>
      <w:r>
        <w:rPr>
          <w:rFonts w:eastAsia="Times New Roman" w:cs="Times New Roman"/>
          <w:szCs w:val="24"/>
        </w:rPr>
        <w:t xml:space="preserve"> pārdot nekustamos īpašumus, lai iegūtos līdzekļus, veicot sasvstarpējo prasījumu ieskaitu, paturētu </w:t>
      </w:r>
      <w:r w:rsidR="00395D76">
        <w:rPr>
          <w:rFonts w:eastAsia="Times New Roman" w:cs="Times New Roman"/>
          <w:szCs w:val="24"/>
        </w:rPr>
        <w:t>[pers. A]</w:t>
      </w:r>
      <w:r>
        <w:rPr>
          <w:rFonts w:eastAsia="Times New Roman" w:cs="Times New Roman"/>
          <w:szCs w:val="24"/>
        </w:rPr>
        <w:t xml:space="preserve">. </w:t>
      </w:r>
    </w:p>
    <w:p w14:paraId="0A970A05" w14:textId="4C611B34" w:rsidR="008D5B91" w:rsidRDefault="008D5B91" w:rsidP="008D5B91">
      <w:pPr>
        <w:tabs>
          <w:tab w:val="left" w:pos="0"/>
        </w:tabs>
        <w:spacing w:after="0" w:line="276" w:lineRule="auto"/>
        <w:jc w:val="both"/>
        <w:rPr>
          <w:rFonts w:eastAsia="Times New Roman" w:cs="Times New Roman"/>
          <w:szCs w:val="24"/>
        </w:rPr>
      </w:pPr>
      <w:r>
        <w:rPr>
          <w:rFonts w:eastAsia="Times New Roman" w:cs="Times New Roman"/>
          <w:szCs w:val="24"/>
        </w:rPr>
        <w:tab/>
        <w:t xml:space="preserve">Šādu secinājumu tā pamatojusi ar pierādījumiem, kuri izvērtēti atbilstoši Kriminālprocesa likuma </w:t>
      </w:r>
      <w:proofErr w:type="gramStart"/>
      <w:r>
        <w:rPr>
          <w:rFonts w:eastAsia="Times New Roman" w:cs="Times New Roman"/>
          <w:szCs w:val="24"/>
        </w:rPr>
        <w:t>128.panta</w:t>
      </w:r>
      <w:proofErr w:type="gramEnd"/>
      <w:r>
        <w:rPr>
          <w:rFonts w:eastAsia="Times New Roman" w:cs="Times New Roman"/>
          <w:szCs w:val="24"/>
        </w:rPr>
        <w:t xml:space="preserve"> otrās un trešās daļas prasībām. Apsūdzētā </w:t>
      </w:r>
      <w:r w:rsidR="00395D76">
        <w:rPr>
          <w:rFonts w:eastAsia="Times New Roman" w:cs="Times New Roman"/>
          <w:szCs w:val="24"/>
        </w:rPr>
        <w:t>[pers. A]</w:t>
      </w:r>
      <w:r>
        <w:rPr>
          <w:rFonts w:eastAsia="Times New Roman" w:cs="Times New Roman"/>
          <w:szCs w:val="24"/>
        </w:rPr>
        <w:t xml:space="preserve">, </w:t>
      </w:r>
      <w:r w:rsidRPr="00460323">
        <w:rPr>
          <w:rFonts w:eastAsia="Times New Roman" w:cs="Times New Roman"/>
          <w:szCs w:val="24"/>
        </w:rPr>
        <w:t xml:space="preserve">liecinieku </w:t>
      </w:r>
      <w:r w:rsidR="00395D76">
        <w:rPr>
          <w:rFonts w:eastAsia="Times New Roman" w:cs="Times New Roman"/>
          <w:szCs w:val="24"/>
        </w:rPr>
        <w:t>[pers. F]</w:t>
      </w:r>
      <w:r w:rsidRPr="00460323">
        <w:rPr>
          <w:rFonts w:eastAsia="Times New Roman" w:cs="Times New Roman"/>
          <w:szCs w:val="24"/>
        </w:rPr>
        <w:t xml:space="preserve"> un </w:t>
      </w:r>
      <w:r w:rsidR="00395D76">
        <w:rPr>
          <w:rFonts w:eastAsia="Times New Roman" w:cs="Times New Roman"/>
          <w:szCs w:val="24"/>
        </w:rPr>
        <w:t>[pers. E]</w:t>
      </w:r>
      <w:r w:rsidRPr="00460323">
        <w:rPr>
          <w:rFonts w:eastAsia="Times New Roman" w:cs="Times New Roman"/>
          <w:szCs w:val="24"/>
        </w:rPr>
        <w:t xml:space="preserve"> liecības</w:t>
      </w:r>
      <w:r>
        <w:rPr>
          <w:rFonts w:eastAsia="Times New Roman" w:cs="Times New Roman"/>
          <w:szCs w:val="24"/>
        </w:rPr>
        <w:t xml:space="preserve"> izvērtētas kopumā un savstarpējā sakarībā ar liecinieces </w:t>
      </w:r>
      <w:r w:rsidR="00395D76">
        <w:rPr>
          <w:rFonts w:eastAsia="Times New Roman" w:cs="Times New Roman"/>
          <w:szCs w:val="24"/>
        </w:rPr>
        <w:lastRenderedPageBreak/>
        <w:t>[pers. C]</w:t>
      </w:r>
      <w:r>
        <w:rPr>
          <w:rFonts w:eastAsia="Times New Roman" w:cs="Times New Roman"/>
          <w:szCs w:val="24"/>
        </w:rPr>
        <w:t xml:space="preserve"> un </w:t>
      </w:r>
      <w:r w:rsidR="00395D76">
        <w:rPr>
          <w:rFonts w:eastAsia="Times New Roman" w:cs="Times New Roman"/>
          <w:szCs w:val="24"/>
        </w:rPr>
        <w:t>[pers. G]</w:t>
      </w:r>
      <w:r>
        <w:rPr>
          <w:rFonts w:eastAsia="Times New Roman" w:cs="Times New Roman"/>
          <w:szCs w:val="24"/>
        </w:rPr>
        <w:t xml:space="preserve"> liecībām, ar </w:t>
      </w:r>
      <w:proofErr w:type="gramStart"/>
      <w:r>
        <w:rPr>
          <w:rFonts w:eastAsia="Times New Roman" w:cs="Times New Roman"/>
          <w:szCs w:val="24"/>
        </w:rPr>
        <w:t>2009.gada</w:t>
      </w:r>
      <w:proofErr w:type="gramEnd"/>
      <w:r>
        <w:rPr>
          <w:rFonts w:eastAsia="Times New Roman" w:cs="Times New Roman"/>
          <w:szCs w:val="24"/>
        </w:rPr>
        <w:t xml:space="preserve"> 10.novembra sapulces protokolu un ar faktu, ka </w:t>
      </w:r>
      <w:r w:rsidR="00395D76">
        <w:rPr>
          <w:rFonts w:eastAsia="Times New Roman" w:cs="Times New Roman"/>
          <w:szCs w:val="24"/>
        </w:rPr>
        <w:t>[pers. A]</w:t>
      </w:r>
      <w:r>
        <w:rPr>
          <w:rFonts w:eastAsia="Times New Roman" w:cs="Times New Roman"/>
          <w:szCs w:val="24"/>
        </w:rPr>
        <w:t xml:space="preserve"> 2009.gada 8.oktobrī</w:t>
      </w:r>
      <w:r w:rsidRPr="00BB6DBB">
        <w:rPr>
          <w:rFonts w:eastAsia="Times New Roman" w:cs="Times New Roman"/>
          <w:szCs w:val="24"/>
        </w:rPr>
        <w:t xml:space="preserve"> </w:t>
      </w:r>
      <w:r>
        <w:rPr>
          <w:rFonts w:eastAsia="Times New Roman" w:cs="Times New Roman"/>
          <w:szCs w:val="24"/>
        </w:rPr>
        <w:t>atsaukta</w:t>
      </w:r>
      <w:r w:rsidRPr="00E87A19">
        <w:rPr>
          <w:rFonts w:eastAsia="Times New Roman" w:cs="Times New Roman"/>
          <w:szCs w:val="24"/>
        </w:rPr>
        <w:t xml:space="preserve"> </w:t>
      </w:r>
      <w:r>
        <w:rPr>
          <w:rFonts w:eastAsia="Times New Roman" w:cs="Times New Roman"/>
          <w:szCs w:val="24"/>
        </w:rPr>
        <w:t>pilnvara.</w:t>
      </w:r>
    </w:p>
    <w:p w14:paraId="32027068" w14:textId="76E2F6CA" w:rsidR="0073501B" w:rsidRDefault="00BB6DBB"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005D0D6C">
        <w:rPr>
          <w:rFonts w:eastAsia="Times New Roman" w:cs="Times New Roman"/>
          <w:szCs w:val="24"/>
        </w:rPr>
        <w:t>Pirmās instances tiesa norādījusi</w:t>
      </w:r>
      <w:r>
        <w:rPr>
          <w:rFonts w:eastAsia="Times New Roman" w:cs="Times New Roman"/>
          <w:szCs w:val="24"/>
        </w:rPr>
        <w:t xml:space="preserve">, ka </w:t>
      </w:r>
      <w:r w:rsidR="00395D76">
        <w:rPr>
          <w:rFonts w:eastAsia="Times New Roman" w:cs="Times New Roman"/>
          <w:szCs w:val="24"/>
        </w:rPr>
        <w:t>[pers. A]</w:t>
      </w:r>
      <w:r w:rsidR="00A35535">
        <w:rPr>
          <w:rFonts w:eastAsia="Times New Roman" w:cs="Times New Roman"/>
          <w:szCs w:val="24"/>
        </w:rPr>
        <w:t>, liecinie</w:t>
      </w:r>
      <w:r w:rsidR="009E7398">
        <w:rPr>
          <w:rFonts w:eastAsia="Times New Roman" w:cs="Times New Roman"/>
          <w:szCs w:val="24"/>
        </w:rPr>
        <w:t>ku</w:t>
      </w:r>
      <w:r w:rsidR="00A35535">
        <w:rPr>
          <w:rFonts w:eastAsia="Times New Roman" w:cs="Times New Roman"/>
          <w:szCs w:val="24"/>
        </w:rPr>
        <w:t xml:space="preserve"> </w:t>
      </w:r>
      <w:r w:rsidR="00395D76">
        <w:rPr>
          <w:rFonts w:eastAsia="Times New Roman" w:cs="Times New Roman"/>
          <w:szCs w:val="24"/>
        </w:rPr>
        <w:t>[pers. F]</w:t>
      </w:r>
      <w:r w:rsidR="00A35535">
        <w:rPr>
          <w:rFonts w:eastAsia="Times New Roman" w:cs="Times New Roman"/>
          <w:szCs w:val="24"/>
        </w:rPr>
        <w:t xml:space="preserve"> un </w:t>
      </w:r>
      <w:r w:rsidR="00395D76">
        <w:rPr>
          <w:rFonts w:eastAsia="Times New Roman" w:cs="Times New Roman"/>
          <w:szCs w:val="24"/>
        </w:rPr>
        <w:t>[pers. E]</w:t>
      </w:r>
      <w:r w:rsidR="00A35535">
        <w:rPr>
          <w:rFonts w:eastAsia="Times New Roman" w:cs="Times New Roman"/>
          <w:szCs w:val="24"/>
        </w:rPr>
        <w:t xml:space="preserve"> liecības par to, ka </w:t>
      </w:r>
      <w:r w:rsidR="00395D76">
        <w:rPr>
          <w:rFonts w:eastAsia="Times New Roman" w:cs="Times New Roman"/>
          <w:szCs w:val="24"/>
        </w:rPr>
        <w:t>[pers. A]</w:t>
      </w:r>
      <w:r w:rsidR="00A35535">
        <w:rPr>
          <w:rFonts w:eastAsia="Times New Roman" w:cs="Times New Roman"/>
          <w:szCs w:val="24"/>
        </w:rPr>
        <w:t xml:space="preserve"> bija prasījuma tiesības pret </w:t>
      </w:r>
      <w:r w:rsidR="00395D76">
        <w:rPr>
          <w:rFonts w:eastAsia="Times New Roman" w:cs="Times New Roman"/>
          <w:szCs w:val="24"/>
        </w:rPr>
        <w:t>[pers. D]</w:t>
      </w:r>
      <w:r w:rsidR="00A35535">
        <w:rPr>
          <w:rFonts w:eastAsia="Times New Roman" w:cs="Times New Roman"/>
          <w:szCs w:val="24"/>
        </w:rPr>
        <w:t>, nav ticamas.</w:t>
      </w:r>
      <w:r w:rsidR="000B0306">
        <w:rPr>
          <w:rFonts w:eastAsia="Times New Roman" w:cs="Times New Roman"/>
          <w:szCs w:val="24"/>
        </w:rPr>
        <w:t xml:space="preserve"> P</w:t>
      </w:r>
      <w:r>
        <w:rPr>
          <w:rFonts w:eastAsia="Times New Roman" w:cs="Times New Roman"/>
          <w:szCs w:val="24"/>
        </w:rPr>
        <w:t xml:space="preserve">ēc </w:t>
      </w:r>
      <w:r w:rsidR="00A35535">
        <w:rPr>
          <w:rFonts w:eastAsia="Times New Roman" w:cs="Times New Roman"/>
          <w:szCs w:val="24"/>
        </w:rPr>
        <w:t xml:space="preserve">nekustamo īpašumu atsavināšanas </w:t>
      </w:r>
      <w:r w:rsidR="00395D76">
        <w:rPr>
          <w:rFonts w:eastAsia="Times New Roman" w:cs="Times New Roman"/>
          <w:szCs w:val="24"/>
        </w:rPr>
        <w:t>[pers. D]</w:t>
      </w:r>
      <w:r w:rsidR="00D962F7">
        <w:rPr>
          <w:rFonts w:eastAsia="Times New Roman" w:cs="Times New Roman"/>
          <w:szCs w:val="24"/>
        </w:rPr>
        <w:t xml:space="preserve"> atsaucis</w:t>
      </w:r>
      <w:r w:rsidR="00A35535">
        <w:rPr>
          <w:rFonts w:eastAsia="Times New Roman" w:cs="Times New Roman"/>
          <w:szCs w:val="24"/>
        </w:rPr>
        <w:t xml:space="preserve"> </w:t>
      </w:r>
      <w:r w:rsidR="00395D76">
        <w:rPr>
          <w:rFonts w:eastAsia="Times New Roman" w:cs="Times New Roman"/>
          <w:szCs w:val="24"/>
        </w:rPr>
        <w:t>[pers. A]</w:t>
      </w:r>
      <w:r w:rsidR="00A35535">
        <w:rPr>
          <w:rFonts w:eastAsia="Times New Roman" w:cs="Times New Roman"/>
          <w:szCs w:val="24"/>
        </w:rPr>
        <w:t xml:space="preserve"> izsniegto pilnvarojumu, kas liecina, ka cietušais nebij</w:t>
      </w:r>
      <w:r w:rsidR="00D962F7">
        <w:rPr>
          <w:rFonts w:eastAsia="Times New Roman" w:cs="Times New Roman"/>
          <w:szCs w:val="24"/>
        </w:rPr>
        <w:t>a</w:t>
      </w:r>
      <w:r w:rsidR="00A35535">
        <w:rPr>
          <w:rFonts w:eastAsia="Times New Roman" w:cs="Times New Roman"/>
          <w:szCs w:val="24"/>
        </w:rPr>
        <w:t xml:space="preserve"> apmierināts ar </w:t>
      </w:r>
      <w:r w:rsidR="00395D76">
        <w:rPr>
          <w:rFonts w:eastAsia="Times New Roman" w:cs="Times New Roman"/>
          <w:szCs w:val="24"/>
        </w:rPr>
        <w:t>[pers. A]</w:t>
      </w:r>
      <w:r w:rsidR="00D962F7">
        <w:rPr>
          <w:rFonts w:eastAsia="Times New Roman" w:cs="Times New Roman"/>
          <w:szCs w:val="24"/>
        </w:rPr>
        <w:t xml:space="preserve"> veiktajām darbībām un nesaņe</w:t>
      </w:r>
      <w:r w:rsidR="005D0D6C">
        <w:rPr>
          <w:rFonts w:eastAsia="Times New Roman" w:cs="Times New Roman"/>
          <w:szCs w:val="24"/>
        </w:rPr>
        <w:t>m</w:t>
      </w:r>
      <w:r w:rsidR="00D962F7">
        <w:rPr>
          <w:rFonts w:eastAsia="Times New Roman" w:cs="Times New Roman"/>
          <w:szCs w:val="24"/>
        </w:rPr>
        <w:t>tajiem naudas līdzekļiem</w:t>
      </w:r>
      <w:r w:rsidR="005D0D6C">
        <w:rPr>
          <w:rFonts w:eastAsia="Times New Roman" w:cs="Times New Roman"/>
          <w:szCs w:val="24"/>
        </w:rPr>
        <w:t xml:space="preserve"> par atsavinātajiem nekustam</w:t>
      </w:r>
      <w:r w:rsidR="00D962F7">
        <w:rPr>
          <w:rFonts w:eastAsia="Times New Roman" w:cs="Times New Roman"/>
          <w:szCs w:val="24"/>
        </w:rPr>
        <w:t>aj</w:t>
      </w:r>
      <w:r w:rsidR="005D0D6C">
        <w:rPr>
          <w:rFonts w:eastAsia="Times New Roman" w:cs="Times New Roman"/>
          <w:szCs w:val="24"/>
        </w:rPr>
        <w:t>iem īpašumiem</w:t>
      </w:r>
      <w:r w:rsidR="000B0306">
        <w:rPr>
          <w:rFonts w:eastAsia="Times New Roman" w:cs="Times New Roman"/>
          <w:szCs w:val="24"/>
        </w:rPr>
        <w:t>. Savukārt no liecinie</w:t>
      </w:r>
      <w:r w:rsidR="005B44C4">
        <w:rPr>
          <w:rFonts w:eastAsia="Times New Roman" w:cs="Times New Roman"/>
          <w:szCs w:val="24"/>
        </w:rPr>
        <w:t>ku</w:t>
      </w:r>
      <w:r w:rsidR="000B0306">
        <w:rPr>
          <w:rFonts w:eastAsia="Times New Roman" w:cs="Times New Roman"/>
          <w:szCs w:val="24"/>
        </w:rPr>
        <w:t xml:space="preserve"> </w:t>
      </w:r>
      <w:r w:rsidR="004945A7">
        <w:rPr>
          <w:rFonts w:eastAsia="Times New Roman" w:cs="Times New Roman"/>
          <w:szCs w:val="24"/>
        </w:rPr>
        <w:t>[pers. C]</w:t>
      </w:r>
      <w:r w:rsidR="000B0306">
        <w:rPr>
          <w:rFonts w:eastAsia="Times New Roman" w:cs="Times New Roman"/>
          <w:szCs w:val="24"/>
        </w:rPr>
        <w:t xml:space="preserve"> un </w:t>
      </w:r>
      <w:r w:rsidR="004945A7">
        <w:rPr>
          <w:rFonts w:eastAsia="Times New Roman" w:cs="Times New Roman"/>
          <w:szCs w:val="24"/>
        </w:rPr>
        <w:t>[pers. G]</w:t>
      </w:r>
      <w:r w:rsidR="000B0306">
        <w:rPr>
          <w:rFonts w:eastAsia="Times New Roman" w:cs="Times New Roman"/>
          <w:szCs w:val="24"/>
        </w:rPr>
        <w:t xml:space="preserve"> liecībām un </w:t>
      </w:r>
      <w:proofErr w:type="gramStart"/>
      <w:r w:rsidR="002626E3">
        <w:rPr>
          <w:rFonts w:eastAsia="Times New Roman" w:cs="Times New Roman"/>
          <w:szCs w:val="24"/>
        </w:rPr>
        <w:t>2009.gada</w:t>
      </w:r>
      <w:proofErr w:type="gramEnd"/>
      <w:r w:rsidR="002626E3">
        <w:rPr>
          <w:rFonts w:eastAsia="Times New Roman" w:cs="Times New Roman"/>
          <w:szCs w:val="24"/>
        </w:rPr>
        <w:t xml:space="preserve"> 10.no</w:t>
      </w:r>
      <w:r w:rsidR="000B0306">
        <w:rPr>
          <w:rFonts w:eastAsia="Times New Roman" w:cs="Times New Roman"/>
          <w:szCs w:val="24"/>
        </w:rPr>
        <w:t xml:space="preserve">vembra </w:t>
      </w:r>
      <w:proofErr w:type="spellStart"/>
      <w:r w:rsidR="000B0306">
        <w:rPr>
          <w:rFonts w:eastAsia="Times New Roman" w:cs="Times New Roman"/>
          <w:szCs w:val="24"/>
        </w:rPr>
        <w:t>telefonkonferences</w:t>
      </w:r>
      <w:proofErr w:type="spellEnd"/>
      <w:r w:rsidR="000B0306">
        <w:rPr>
          <w:rFonts w:eastAsia="Times New Roman" w:cs="Times New Roman"/>
          <w:szCs w:val="24"/>
        </w:rPr>
        <w:t xml:space="preserve"> protokola satura</w:t>
      </w:r>
      <w:r w:rsidR="001F55BE">
        <w:rPr>
          <w:rFonts w:eastAsia="Times New Roman" w:cs="Times New Roman"/>
          <w:szCs w:val="24"/>
        </w:rPr>
        <w:t xml:space="preserve"> izriet, ka </w:t>
      </w:r>
      <w:r w:rsidR="000B0306">
        <w:rPr>
          <w:rFonts w:eastAsia="Times New Roman" w:cs="Times New Roman"/>
          <w:szCs w:val="24"/>
        </w:rPr>
        <w:t xml:space="preserve">konferences dalībnieki ir </w:t>
      </w:r>
      <w:r w:rsidR="001D595C">
        <w:rPr>
          <w:rFonts w:eastAsia="Times New Roman" w:cs="Times New Roman"/>
          <w:szCs w:val="24"/>
        </w:rPr>
        <w:t>pār</w:t>
      </w:r>
      <w:r w:rsidR="000B0306">
        <w:rPr>
          <w:rFonts w:eastAsia="Times New Roman" w:cs="Times New Roman"/>
          <w:szCs w:val="24"/>
        </w:rPr>
        <w:t xml:space="preserve">runājuši </w:t>
      </w:r>
      <w:r w:rsidR="001F55BE">
        <w:rPr>
          <w:rFonts w:eastAsia="Times New Roman" w:cs="Times New Roman"/>
          <w:szCs w:val="24"/>
        </w:rPr>
        <w:t>iespējamos risinājumus par nekustamo īpašumu pārdošanu nākotnē un peļņas sadali</w:t>
      </w:r>
      <w:r w:rsidR="00847797">
        <w:rPr>
          <w:rFonts w:eastAsia="Times New Roman" w:cs="Times New Roman"/>
          <w:szCs w:val="24"/>
        </w:rPr>
        <w:t xml:space="preserve">, bet </w:t>
      </w:r>
      <w:r w:rsidR="000B0306">
        <w:rPr>
          <w:rFonts w:eastAsia="Times New Roman" w:cs="Times New Roman"/>
          <w:szCs w:val="24"/>
        </w:rPr>
        <w:t xml:space="preserve">nevis par to, ka </w:t>
      </w:r>
      <w:r w:rsidR="004945A7">
        <w:rPr>
          <w:rFonts w:eastAsia="Times New Roman" w:cs="Times New Roman"/>
          <w:szCs w:val="24"/>
        </w:rPr>
        <w:t>[pers. A]</w:t>
      </w:r>
      <w:r w:rsidR="000B0306">
        <w:rPr>
          <w:rFonts w:eastAsia="Times New Roman" w:cs="Times New Roman"/>
          <w:szCs w:val="24"/>
        </w:rPr>
        <w:t xml:space="preserve"> ir prasījuma tiesības, kuras atzītu </w:t>
      </w:r>
      <w:r w:rsidR="004945A7">
        <w:rPr>
          <w:rFonts w:eastAsia="Times New Roman" w:cs="Times New Roman"/>
          <w:szCs w:val="24"/>
        </w:rPr>
        <w:t>[pers. D]</w:t>
      </w:r>
      <w:r w:rsidR="000B0306">
        <w:rPr>
          <w:rFonts w:eastAsia="Times New Roman" w:cs="Times New Roman"/>
          <w:szCs w:val="24"/>
        </w:rPr>
        <w:t xml:space="preserve">. </w:t>
      </w:r>
      <w:r w:rsidR="006C083A">
        <w:rPr>
          <w:rFonts w:eastAsia="Times New Roman" w:cs="Times New Roman"/>
          <w:szCs w:val="24"/>
        </w:rPr>
        <w:t xml:space="preserve">Tādējādi </w:t>
      </w:r>
      <w:r w:rsidR="005D0D6C">
        <w:rPr>
          <w:rFonts w:eastAsia="Times New Roman" w:cs="Times New Roman"/>
          <w:szCs w:val="24"/>
        </w:rPr>
        <w:t>tiesa atzinusi</w:t>
      </w:r>
      <w:r w:rsidR="006C083A">
        <w:rPr>
          <w:rFonts w:eastAsia="Times New Roman" w:cs="Times New Roman"/>
          <w:szCs w:val="24"/>
        </w:rPr>
        <w:t xml:space="preserve">, ka </w:t>
      </w:r>
      <w:r w:rsidR="004945A7">
        <w:rPr>
          <w:rFonts w:eastAsia="Times New Roman" w:cs="Times New Roman"/>
          <w:szCs w:val="24"/>
        </w:rPr>
        <w:t>[pers. A]</w:t>
      </w:r>
      <w:r w:rsidR="006C083A">
        <w:rPr>
          <w:rFonts w:eastAsia="Times New Roman" w:cs="Times New Roman"/>
          <w:szCs w:val="24"/>
        </w:rPr>
        <w:t xml:space="preserve"> prasījums pret cietušo nepastāvēja</w:t>
      </w:r>
      <w:r w:rsidR="009E7C51">
        <w:rPr>
          <w:rFonts w:eastAsia="Times New Roman" w:cs="Times New Roman"/>
          <w:szCs w:val="24"/>
        </w:rPr>
        <w:t xml:space="preserve"> un </w:t>
      </w:r>
      <w:r w:rsidR="004945A7">
        <w:rPr>
          <w:rFonts w:eastAsia="Times New Roman" w:cs="Times New Roman"/>
          <w:szCs w:val="24"/>
        </w:rPr>
        <w:t>[pers. A]</w:t>
      </w:r>
      <w:r w:rsidR="00FC30D5">
        <w:rPr>
          <w:rFonts w:eastAsia="Times New Roman" w:cs="Times New Roman"/>
          <w:szCs w:val="24"/>
        </w:rPr>
        <w:t xml:space="preserve"> iegūto</w:t>
      </w:r>
      <w:r w:rsidR="00D962F7">
        <w:rPr>
          <w:rFonts w:eastAsia="Times New Roman" w:cs="Times New Roman"/>
          <w:szCs w:val="24"/>
        </w:rPr>
        <w:t xml:space="preserve"> naudu izmantojis</w:t>
      </w:r>
      <w:r w:rsidR="009E7C51">
        <w:rPr>
          <w:rFonts w:eastAsia="Times New Roman" w:cs="Times New Roman"/>
          <w:szCs w:val="24"/>
        </w:rPr>
        <w:t xml:space="preserve"> savām vajadzībām</w:t>
      </w:r>
      <w:r w:rsidR="00FC30D5">
        <w:rPr>
          <w:rFonts w:eastAsia="Times New Roman" w:cs="Times New Roman"/>
          <w:szCs w:val="24"/>
        </w:rPr>
        <w:t>.</w:t>
      </w:r>
      <w:r w:rsidR="00E96A9A" w:rsidRPr="005D0D6C">
        <w:rPr>
          <w:rFonts w:eastAsia="Times New Roman" w:cs="Times New Roman"/>
          <w:szCs w:val="24"/>
        </w:rPr>
        <w:t xml:space="preserve"> </w:t>
      </w:r>
    </w:p>
    <w:p w14:paraId="4715ABC4" w14:textId="256B4C94" w:rsidR="003A6621" w:rsidRPr="003A6621" w:rsidRDefault="009E7C51" w:rsidP="00460323">
      <w:pPr>
        <w:spacing w:after="0" w:line="276" w:lineRule="auto"/>
        <w:jc w:val="both"/>
        <w:outlineLvl w:val="0"/>
        <w:rPr>
          <w:szCs w:val="24"/>
        </w:rPr>
      </w:pPr>
      <w:r>
        <w:rPr>
          <w:rFonts w:eastAsia="Times New Roman" w:cs="Times New Roman"/>
          <w:szCs w:val="24"/>
        </w:rPr>
        <w:tab/>
        <w:t xml:space="preserve">Augstākā tiesa </w:t>
      </w:r>
      <w:proofErr w:type="gramStart"/>
      <w:r>
        <w:rPr>
          <w:rFonts w:eastAsia="Times New Roman" w:cs="Times New Roman"/>
          <w:szCs w:val="24"/>
        </w:rPr>
        <w:t>2015.gada</w:t>
      </w:r>
      <w:proofErr w:type="gramEnd"/>
      <w:r>
        <w:rPr>
          <w:rFonts w:eastAsia="Times New Roman" w:cs="Times New Roman"/>
          <w:szCs w:val="24"/>
        </w:rPr>
        <w:t xml:space="preserve"> 17.septembra </w:t>
      </w:r>
      <w:r w:rsidR="00222F77">
        <w:rPr>
          <w:rFonts w:eastAsia="Times New Roman" w:cs="Times New Roman"/>
          <w:szCs w:val="24"/>
        </w:rPr>
        <w:t>lēmumā lietā Nr.</w:t>
      </w:r>
      <w:r w:rsidR="00D962F7">
        <w:rPr>
          <w:rFonts w:eastAsia="Times New Roman" w:cs="Times New Roman"/>
          <w:szCs w:val="24"/>
        </w:rPr>
        <w:t> SKK-265/2015 ir norādījusi</w:t>
      </w:r>
      <w:r w:rsidR="00222F77">
        <w:rPr>
          <w:rFonts w:eastAsia="Times New Roman" w:cs="Times New Roman"/>
          <w:szCs w:val="24"/>
        </w:rPr>
        <w:t xml:space="preserve">, ka </w:t>
      </w:r>
      <w:r w:rsidR="00222F77">
        <w:rPr>
          <w:szCs w:val="24"/>
        </w:rPr>
        <w:t>mantas neatdošanas īpašais nolūks – iegūt svešu mantu, atstumjot tās īpašnieku</w:t>
      </w:r>
      <w:r w:rsidR="005B44C4">
        <w:rPr>
          <w:szCs w:val="24"/>
        </w:rPr>
        <w:t>, –</w:t>
      </w:r>
      <w:r w:rsidR="00222F77">
        <w:rPr>
          <w:szCs w:val="24"/>
        </w:rPr>
        <w:t xml:space="preserve"> </w:t>
      </w:r>
      <w:r>
        <w:rPr>
          <w:szCs w:val="24"/>
        </w:rPr>
        <w:t xml:space="preserve">norobežo piesavināšanos no mantas patvaļīgas lietošanas, kas var būt civiltiesisks </w:t>
      </w:r>
      <w:r w:rsidR="00D962F7">
        <w:rPr>
          <w:szCs w:val="24"/>
        </w:rPr>
        <w:t>delikts (</w:t>
      </w:r>
      <w:r w:rsidR="00D962F7" w:rsidRPr="00D962F7">
        <w:rPr>
          <w:i/>
          <w:szCs w:val="24"/>
        </w:rPr>
        <w:t>Augstākās tiesas 2015.gada 17.septembra lēmums lietā Nr. SKK-265/2015 (11518000910)</w:t>
      </w:r>
      <w:r w:rsidR="00D962F7">
        <w:rPr>
          <w:szCs w:val="24"/>
        </w:rPr>
        <w:t>).</w:t>
      </w:r>
      <w:r>
        <w:rPr>
          <w:szCs w:val="24"/>
        </w:rPr>
        <w:t xml:space="preserve"> </w:t>
      </w:r>
    </w:p>
    <w:p w14:paraId="49E0F2B9" w14:textId="75E4AD0C" w:rsidR="001E7612" w:rsidRDefault="001D595C"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001E7612">
        <w:rPr>
          <w:rFonts w:eastAsia="Times New Roman" w:cs="Times New Roman"/>
          <w:szCs w:val="24"/>
        </w:rPr>
        <w:t xml:space="preserve">Senāts atzīst </w:t>
      </w:r>
      <w:r w:rsidR="004860B1">
        <w:rPr>
          <w:rFonts w:eastAsia="Times New Roman" w:cs="Times New Roman"/>
          <w:szCs w:val="24"/>
        </w:rPr>
        <w:t xml:space="preserve">par nepamatotu </w:t>
      </w:r>
      <w:r w:rsidR="001E7612">
        <w:rPr>
          <w:rFonts w:eastAsia="Times New Roman" w:cs="Times New Roman"/>
          <w:szCs w:val="24"/>
        </w:rPr>
        <w:t xml:space="preserve">aizstāves argumentu, ka </w:t>
      </w:r>
      <w:r w:rsidR="004945A7">
        <w:rPr>
          <w:rFonts w:eastAsia="Times New Roman" w:cs="Times New Roman"/>
          <w:szCs w:val="24"/>
        </w:rPr>
        <w:t>[pers. A]</w:t>
      </w:r>
      <w:r w:rsidR="001E7612">
        <w:rPr>
          <w:rFonts w:eastAsia="Times New Roman" w:cs="Times New Roman"/>
          <w:szCs w:val="24"/>
        </w:rPr>
        <w:t xml:space="preserve"> </w:t>
      </w:r>
      <w:r w:rsidR="00D962F7">
        <w:rPr>
          <w:rFonts w:eastAsia="Times New Roman" w:cs="Times New Roman"/>
          <w:szCs w:val="24"/>
        </w:rPr>
        <w:t>rīkojies</w:t>
      </w:r>
      <w:r w:rsidR="009E7C51">
        <w:rPr>
          <w:rFonts w:eastAsia="Times New Roman" w:cs="Times New Roman"/>
          <w:szCs w:val="24"/>
        </w:rPr>
        <w:t xml:space="preserve"> </w:t>
      </w:r>
      <w:r w:rsidR="001E7612">
        <w:rPr>
          <w:rFonts w:eastAsia="Times New Roman" w:cs="Times New Roman"/>
          <w:szCs w:val="24"/>
        </w:rPr>
        <w:t xml:space="preserve">atbilstoši Civillikuma 1737.un </w:t>
      </w:r>
      <w:proofErr w:type="gramStart"/>
      <w:r w:rsidR="001E7612">
        <w:rPr>
          <w:rFonts w:eastAsia="Times New Roman" w:cs="Times New Roman"/>
          <w:szCs w:val="24"/>
        </w:rPr>
        <w:t>1738.pantam</w:t>
      </w:r>
      <w:proofErr w:type="gramEnd"/>
      <w:r w:rsidR="001E7612">
        <w:rPr>
          <w:rFonts w:eastAsia="Times New Roman" w:cs="Times New Roman"/>
          <w:szCs w:val="24"/>
        </w:rPr>
        <w:t>.</w:t>
      </w:r>
      <w:r w:rsidR="009E7C51">
        <w:rPr>
          <w:rFonts w:eastAsia="Times New Roman" w:cs="Times New Roman"/>
          <w:szCs w:val="24"/>
        </w:rPr>
        <w:t xml:space="preserve"> Minētās tiesību norma</w:t>
      </w:r>
      <w:r w:rsidR="00D962F7">
        <w:rPr>
          <w:rFonts w:eastAsia="Times New Roman" w:cs="Times New Roman"/>
          <w:szCs w:val="24"/>
        </w:rPr>
        <w:t>s</w:t>
      </w:r>
      <w:r w:rsidR="009E7C51">
        <w:rPr>
          <w:rFonts w:eastAsia="Times New Roman" w:cs="Times New Roman"/>
          <w:szCs w:val="24"/>
        </w:rPr>
        <w:t xml:space="preserve"> regulē mantas aizturējuma nosacījumus.</w:t>
      </w:r>
    </w:p>
    <w:p w14:paraId="55CC8177" w14:textId="171D0590" w:rsidR="001C63B6" w:rsidRPr="008118DE" w:rsidRDefault="00D962F7" w:rsidP="008118DE">
      <w:pPr>
        <w:spacing w:after="0" w:line="276" w:lineRule="auto"/>
        <w:ind w:firstLine="540"/>
        <w:jc w:val="both"/>
      </w:pPr>
      <w:r>
        <w:rPr>
          <w:bCs/>
          <w:color w:val="000000"/>
        </w:rPr>
        <w:t xml:space="preserve">Atbilstoši </w:t>
      </w:r>
      <w:r w:rsidR="001C63B6" w:rsidRPr="001C63B6">
        <w:rPr>
          <w:bCs/>
          <w:color w:val="000000"/>
        </w:rPr>
        <w:t xml:space="preserve">Augstākās tiesas </w:t>
      </w:r>
      <w:proofErr w:type="gramStart"/>
      <w:r>
        <w:rPr>
          <w:bCs/>
          <w:color w:val="000000"/>
        </w:rPr>
        <w:t>2012.</w:t>
      </w:r>
      <w:r w:rsidR="001C63B6" w:rsidRPr="001C63B6">
        <w:rPr>
          <w:bCs/>
          <w:color w:val="000000"/>
        </w:rPr>
        <w:t>gada</w:t>
      </w:r>
      <w:proofErr w:type="gramEnd"/>
      <w:r w:rsidR="001C63B6" w:rsidRPr="001C63B6">
        <w:rPr>
          <w:bCs/>
          <w:color w:val="000000"/>
        </w:rPr>
        <w:t xml:space="preserve"> 17.oktobra spriedumā lietā Nr.</w:t>
      </w:r>
      <w:r>
        <w:rPr>
          <w:bCs/>
          <w:color w:val="000000"/>
        </w:rPr>
        <w:t> </w:t>
      </w:r>
      <w:r w:rsidR="001C63B6" w:rsidRPr="001C63B6">
        <w:rPr>
          <w:bCs/>
          <w:color w:val="000000"/>
        </w:rPr>
        <w:t>SKC-579/2012</w:t>
      </w:r>
      <w:r>
        <w:rPr>
          <w:rFonts w:eastAsia="Times New Roman" w:cs="Times New Roman"/>
          <w:szCs w:val="24"/>
        </w:rPr>
        <w:t xml:space="preserve"> paustajai atziņai, </w:t>
      </w:r>
      <w:r>
        <w:t>l</w:t>
      </w:r>
      <w:r w:rsidR="001C63B6">
        <w:t>ai izlietotu aizturējuma tiesību jāpa</w:t>
      </w:r>
      <w:r w:rsidR="008118DE">
        <w:t>stāv trīs priekšnoteikumiem: 1) </w:t>
      </w:r>
      <w:r w:rsidR="001C63B6">
        <w:t>to var izlietot tikai persona, kuras rokās atrodas kāda lieta, un to var neizdot tik ilgi, kamēr nav nolīdzināts parāds (Civillikum</w:t>
      </w:r>
      <w:r w:rsidR="008118DE">
        <w:t>a 1734.pants); 2) </w:t>
      </w:r>
      <w:r w:rsidR="001C63B6">
        <w:t>jāpastāv savstarpējam sakaram starp aizturētāja prasījumu un aizturamo lietu, kas iespējams Civillikuma 1738.</w:t>
      </w:r>
      <w:r w:rsidR="008118DE">
        <w:t>pantā noteiktajos gadījumos; 3) </w:t>
      </w:r>
      <w:r w:rsidR="00B61030">
        <w:t>lietas aizturētājam nav tiesību</w:t>
      </w:r>
      <w:r w:rsidR="001C63B6">
        <w:t xml:space="preserve"> savu prasījumu nolīdzināt, lietu atsavinot vai kā citādi izlietojot (Civillikuma 1739.pants)</w:t>
      </w:r>
      <w:r w:rsidR="00460323">
        <w:t xml:space="preserve"> (</w:t>
      </w:r>
      <w:r w:rsidR="00460323" w:rsidRPr="00460323">
        <w:rPr>
          <w:i/>
        </w:rPr>
        <w:t>Augstākās tiesas 2012.gada 17.oktobra spriedums lietā Nr. SKC-579/2012</w:t>
      </w:r>
      <w:r w:rsidR="00460323">
        <w:t>).</w:t>
      </w:r>
    </w:p>
    <w:p w14:paraId="218F9F67" w14:textId="0E150998" w:rsidR="001E7612" w:rsidRDefault="009E7C51" w:rsidP="00460323">
      <w:pPr>
        <w:tabs>
          <w:tab w:val="left" w:pos="0"/>
        </w:tabs>
        <w:spacing w:after="0" w:line="276" w:lineRule="auto"/>
        <w:jc w:val="both"/>
        <w:rPr>
          <w:rFonts w:eastAsia="Times New Roman" w:cs="Times New Roman"/>
          <w:szCs w:val="24"/>
        </w:rPr>
      </w:pPr>
      <w:r>
        <w:rPr>
          <w:rFonts w:eastAsia="Times New Roman" w:cs="Times New Roman"/>
          <w:szCs w:val="24"/>
        </w:rPr>
        <w:tab/>
        <w:t>Konkrētajā gadījumā</w:t>
      </w:r>
      <w:r w:rsidR="00460323">
        <w:rPr>
          <w:rFonts w:eastAsia="Times New Roman" w:cs="Times New Roman"/>
          <w:szCs w:val="24"/>
        </w:rPr>
        <w:t xml:space="preserve"> ir</w:t>
      </w:r>
      <w:r>
        <w:rPr>
          <w:rFonts w:eastAsia="Times New Roman" w:cs="Times New Roman"/>
          <w:szCs w:val="24"/>
        </w:rPr>
        <w:t xml:space="preserve"> pierādīts, ka </w:t>
      </w:r>
      <w:r w:rsidR="004945A7">
        <w:rPr>
          <w:rFonts w:eastAsia="Times New Roman" w:cs="Times New Roman"/>
          <w:szCs w:val="24"/>
        </w:rPr>
        <w:t>[pers. A]</w:t>
      </w:r>
      <w:r w:rsidR="00855643">
        <w:rPr>
          <w:rFonts w:eastAsia="Times New Roman" w:cs="Times New Roman"/>
          <w:szCs w:val="24"/>
        </w:rPr>
        <w:t xml:space="preserve"> nebija spēkā esošu prasījumu pret </w:t>
      </w:r>
      <w:r w:rsidR="004945A7">
        <w:rPr>
          <w:rFonts w:eastAsia="Times New Roman" w:cs="Times New Roman"/>
          <w:szCs w:val="24"/>
        </w:rPr>
        <w:t>[pers. D]</w:t>
      </w:r>
      <w:r w:rsidR="00855643">
        <w:rPr>
          <w:rFonts w:eastAsia="Times New Roman" w:cs="Times New Roman"/>
          <w:szCs w:val="24"/>
        </w:rPr>
        <w:t xml:space="preserve">, </w:t>
      </w:r>
      <w:proofErr w:type="gramStart"/>
      <w:r w:rsidR="00855643">
        <w:rPr>
          <w:rFonts w:eastAsia="Times New Roman" w:cs="Times New Roman"/>
          <w:szCs w:val="24"/>
        </w:rPr>
        <w:t>turklāt iegūtos naudas</w:t>
      </w:r>
      <w:proofErr w:type="gramEnd"/>
      <w:r w:rsidR="00855643">
        <w:rPr>
          <w:rFonts w:eastAsia="Times New Roman" w:cs="Times New Roman"/>
          <w:szCs w:val="24"/>
        </w:rPr>
        <w:t xml:space="preserve"> līdzekļus viņš izmantoja savām vajadzībām.</w:t>
      </w:r>
    </w:p>
    <w:p w14:paraId="1DE2FED9" w14:textId="0E54B0FA" w:rsidR="00581763" w:rsidRPr="00460323" w:rsidRDefault="00581763" w:rsidP="00460323">
      <w:pPr>
        <w:spacing w:after="0" w:line="276" w:lineRule="auto"/>
        <w:jc w:val="both"/>
        <w:rPr>
          <w:rFonts w:cs="Times New Roman"/>
          <w:szCs w:val="24"/>
        </w:rPr>
      </w:pPr>
      <w:r>
        <w:rPr>
          <w:rFonts w:eastAsia="Times New Roman" w:cs="Times New Roman"/>
          <w:szCs w:val="24"/>
        </w:rPr>
        <w:tab/>
        <w:t>Aizstāve</w:t>
      </w:r>
      <w:r w:rsidR="00460323">
        <w:rPr>
          <w:rFonts w:eastAsia="Times New Roman" w:cs="Times New Roman"/>
          <w:szCs w:val="24"/>
        </w:rPr>
        <w:t>s kasācijas sūdzībā norādītais</w:t>
      </w:r>
      <w:r>
        <w:rPr>
          <w:rFonts w:eastAsia="Times New Roman" w:cs="Times New Roman"/>
          <w:szCs w:val="24"/>
        </w:rPr>
        <w:t xml:space="preserve"> argument</w:t>
      </w:r>
      <w:r w:rsidR="00CC52F4">
        <w:rPr>
          <w:rFonts w:eastAsia="Times New Roman" w:cs="Times New Roman"/>
          <w:szCs w:val="24"/>
        </w:rPr>
        <w:t xml:space="preserve">s, ka cietušā </w:t>
      </w:r>
      <w:r w:rsidR="004945A7">
        <w:rPr>
          <w:rFonts w:eastAsia="Times New Roman" w:cs="Times New Roman"/>
          <w:szCs w:val="24"/>
        </w:rPr>
        <w:t>[pers. D]</w:t>
      </w:r>
      <w:r w:rsidR="00CC52F4">
        <w:rPr>
          <w:rFonts w:eastAsia="Times New Roman" w:cs="Times New Roman"/>
          <w:szCs w:val="24"/>
        </w:rPr>
        <w:t xml:space="preserve"> pārstāvju liecības nav ticamas, jo viņi</w:t>
      </w:r>
      <w:r w:rsidR="00460323">
        <w:rPr>
          <w:rFonts w:eastAsia="Times New Roman" w:cs="Times New Roman"/>
          <w:szCs w:val="24"/>
        </w:rPr>
        <w:t xml:space="preserve"> bijuši</w:t>
      </w:r>
      <w:r>
        <w:rPr>
          <w:rFonts w:eastAsia="Times New Roman" w:cs="Times New Roman"/>
          <w:szCs w:val="24"/>
        </w:rPr>
        <w:t xml:space="preserve"> </w:t>
      </w:r>
      <w:r w:rsidR="00CC52F4">
        <w:rPr>
          <w:rFonts w:eastAsia="Times New Roman" w:cs="Times New Roman"/>
          <w:szCs w:val="24"/>
        </w:rPr>
        <w:t>materiāli ieinteresēti lieta</w:t>
      </w:r>
      <w:r w:rsidR="00460323">
        <w:rPr>
          <w:rFonts w:eastAsia="Times New Roman" w:cs="Times New Roman"/>
          <w:szCs w:val="24"/>
        </w:rPr>
        <w:t>s</w:t>
      </w:r>
      <w:r w:rsidR="00CC52F4">
        <w:rPr>
          <w:rFonts w:eastAsia="Times New Roman" w:cs="Times New Roman"/>
          <w:szCs w:val="24"/>
        </w:rPr>
        <w:t xml:space="preserve"> iznākumā, ir saistīts ar pi</w:t>
      </w:r>
      <w:r w:rsidR="00DF220B">
        <w:rPr>
          <w:rFonts w:eastAsia="Times New Roman" w:cs="Times New Roman"/>
          <w:szCs w:val="24"/>
        </w:rPr>
        <w:t xml:space="preserve">erādījumu ticamības izvērtēšanu. </w:t>
      </w:r>
      <w:r w:rsidR="00CC52F4" w:rsidRPr="009A45AA">
        <w:rPr>
          <w:rFonts w:cs="Times New Roman"/>
          <w:szCs w:val="24"/>
        </w:rPr>
        <w:t>Izvēle, kuriem pierādījumiem ticēt, bet kuriem nē, un pierādījumu piet</w:t>
      </w:r>
      <w:r w:rsidR="00CC52F4">
        <w:rPr>
          <w:rFonts w:cs="Times New Roman"/>
          <w:szCs w:val="24"/>
        </w:rPr>
        <w:t xml:space="preserve">iekamības izvērtēšana apsūdzētā </w:t>
      </w:r>
      <w:r w:rsidR="004945A7">
        <w:rPr>
          <w:rFonts w:cs="Times New Roman"/>
          <w:szCs w:val="24"/>
        </w:rPr>
        <w:t>[pers. A]</w:t>
      </w:r>
      <w:r w:rsidR="00CC52F4">
        <w:rPr>
          <w:rFonts w:cs="Times New Roman"/>
          <w:szCs w:val="24"/>
        </w:rPr>
        <w:t xml:space="preserve"> </w:t>
      </w:r>
      <w:r w:rsidR="00CC52F4" w:rsidRPr="009A45AA">
        <w:rPr>
          <w:rFonts w:cs="Times New Roman"/>
          <w:szCs w:val="24"/>
        </w:rPr>
        <w:t xml:space="preserve">vainīguma konstatēšanā atbilstoši Kriminālprocesa likuma </w:t>
      </w:r>
      <w:proofErr w:type="gramStart"/>
      <w:r w:rsidR="00CC52F4" w:rsidRPr="009A45AA">
        <w:rPr>
          <w:rFonts w:cs="Times New Roman"/>
          <w:szCs w:val="24"/>
        </w:rPr>
        <w:t>23.pantam</w:t>
      </w:r>
      <w:proofErr w:type="gramEnd"/>
      <w:r w:rsidR="00CC52F4" w:rsidRPr="009A45AA">
        <w:rPr>
          <w:rFonts w:cs="Times New Roman"/>
          <w:szCs w:val="24"/>
        </w:rPr>
        <w:t xml:space="preserve"> ir tās tiesas kompetencē, kas izspriež lietu pēc būtības. </w:t>
      </w:r>
      <w:r w:rsidR="00DF220B">
        <w:rPr>
          <w:rFonts w:cs="Times New Roman"/>
          <w:szCs w:val="24"/>
        </w:rPr>
        <w:t>Pirmās instances tiesa</w:t>
      </w:r>
      <w:r w:rsidR="00460323">
        <w:rPr>
          <w:rFonts w:cs="Times New Roman"/>
          <w:szCs w:val="24"/>
        </w:rPr>
        <w:t>, kuras spriedumu</w:t>
      </w:r>
      <w:r w:rsidR="00DF220B">
        <w:rPr>
          <w:rFonts w:cs="Times New Roman"/>
          <w:szCs w:val="24"/>
        </w:rPr>
        <w:t xml:space="preserve"> ap</w:t>
      </w:r>
      <w:r w:rsidR="00460323">
        <w:rPr>
          <w:rFonts w:cs="Times New Roman"/>
          <w:szCs w:val="24"/>
        </w:rPr>
        <w:t>elācijas instances tiesa atstājusi</w:t>
      </w:r>
      <w:r w:rsidR="00DF220B">
        <w:rPr>
          <w:rFonts w:cs="Times New Roman"/>
          <w:szCs w:val="24"/>
        </w:rPr>
        <w:t xml:space="preserve"> negrozītu, atbilstoši Kriminālprocesa likuma </w:t>
      </w:r>
      <w:proofErr w:type="gramStart"/>
      <w:r w:rsidR="00DF220B">
        <w:rPr>
          <w:rFonts w:cs="Times New Roman"/>
          <w:szCs w:val="24"/>
        </w:rPr>
        <w:t>128.panta</w:t>
      </w:r>
      <w:proofErr w:type="gramEnd"/>
      <w:r w:rsidR="00DF220B">
        <w:rPr>
          <w:rFonts w:cs="Times New Roman"/>
          <w:szCs w:val="24"/>
        </w:rPr>
        <w:t xml:space="preserve"> </w:t>
      </w:r>
      <w:r w:rsidR="00DF220B" w:rsidRPr="00861C94">
        <w:rPr>
          <w:rFonts w:cs="Times New Roman"/>
          <w:szCs w:val="24"/>
        </w:rPr>
        <w:t>prasībām</w:t>
      </w:r>
      <w:r w:rsidR="00460323">
        <w:rPr>
          <w:rFonts w:cs="Times New Roman"/>
          <w:szCs w:val="24"/>
        </w:rPr>
        <w:t xml:space="preserve"> ir izvērtējusi</w:t>
      </w:r>
      <w:r w:rsidR="00DF220B" w:rsidRPr="00861C94">
        <w:rPr>
          <w:rFonts w:cs="Times New Roman"/>
          <w:szCs w:val="24"/>
        </w:rPr>
        <w:t xml:space="preserve"> </w:t>
      </w:r>
      <w:r w:rsidR="00B61030">
        <w:rPr>
          <w:rFonts w:cs="Times New Roman"/>
          <w:szCs w:val="24"/>
        </w:rPr>
        <w:t>lietā esošās liecinošo personu</w:t>
      </w:r>
      <w:r w:rsidR="00861C94">
        <w:rPr>
          <w:rFonts w:cs="Times New Roman"/>
          <w:szCs w:val="24"/>
        </w:rPr>
        <w:t xml:space="preserve"> liecības un rakstveida pierādījumus </w:t>
      </w:r>
      <w:r w:rsidR="00DF220B" w:rsidRPr="00861C94">
        <w:rPr>
          <w:rFonts w:cs="Times New Roman"/>
          <w:szCs w:val="24"/>
        </w:rPr>
        <w:t>kopumā un savstarpējā sakarībā</w:t>
      </w:r>
      <w:r w:rsidR="00460323">
        <w:rPr>
          <w:rFonts w:cs="Times New Roman"/>
          <w:szCs w:val="24"/>
        </w:rPr>
        <w:t>, atzīstot</w:t>
      </w:r>
      <w:r w:rsidR="00861C94">
        <w:rPr>
          <w:rFonts w:cs="Times New Roman"/>
          <w:szCs w:val="24"/>
        </w:rPr>
        <w:t xml:space="preserve"> par ticamām tās liecības, kuras guva apstiprinājumu ar lietā konstatētām ziņām (</w:t>
      </w:r>
      <w:r w:rsidR="004945A7">
        <w:rPr>
          <w:rFonts w:cs="Times New Roman"/>
          <w:szCs w:val="24"/>
        </w:rPr>
        <w:t>[pers. A]</w:t>
      </w:r>
      <w:r w:rsidR="009E778B">
        <w:rPr>
          <w:rFonts w:cs="Times New Roman"/>
          <w:szCs w:val="24"/>
        </w:rPr>
        <w:t xml:space="preserve"> izsniegtās pilnvaras apjomu, pilnvaras atsaukšanas faktu, sapulces protokolu</w:t>
      </w:r>
      <w:r w:rsidR="00460323">
        <w:rPr>
          <w:rFonts w:cs="Times New Roman"/>
          <w:szCs w:val="24"/>
        </w:rPr>
        <w:t>,</w:t>
      </w:r>
      <w:r w:rsidR="009E778B">
        <w:rPr>
          <w:rFonts w:cs="Times New Roman"/>
          <w:szCs w:val="24"/>
        </w:rPr>
        <w:t xml:space="preserve"> </w:t>
      </w:r>
      <w:r w:rsidR="004945A7">
        <w:rPr>
          <w:rFonts w:cs="Times New Roman"/>
          <w:szCs w:val="24"/>
        </w:rPr>
        <w:t>[pers. A]</w:t>
      </w:r>
      <w:r w:rsidR="00460323">
        <w:rPr>
          <w:rFonts w:cs="Times New Roman"/>
          <w:szCs w:val="24"/>
        </w:rPr>
        <w:t xml:space="preserve"> </w:t>
      </w:r>
      <w:r w:rsidR="009E778B">
        <w:rPr>
          <w:rFonts w:cs="Times New Roman"/>
          <w:szCs w:val="24"/>
        </w:rPr>
        <w:t>prasījuma tiesību nees</w:t>
      </w:r>
      <w:r w:rsidR="00460323">
        <w:rPr>
          <w:rFonts w:cs="Times New Roman"/>
          <w:szCs w:val="24"/>
        </w:rPr>
        <w:t>ību</w:t>
      </w:r>
      <w:r w:rsidR="009E778B">
        <w:rPr>
          <w:rFonts w:cs="Times New Roman"/>
          <w:szCs w:val="24"/>
        </w:rPr>
        <w:t xml:space="preserve"> un citām ziņām</w:t>
      </w:r>
      <w:r w:rsidR="00861C94">
        <w:rPr>
          <w:rFonts w:cs="Times New Roman"/>
          <w:szCs w:val="24"/>
        </w:rPr>
        <w:t>). S</w:t>
      </w:r>
      <w:r w:rsidR="00CC52F4" w:rsidRPr="009A45AA">
        <w:rPr>
          <w:rFonts w:cs="Times New Roman"/>
          <w:szCs w:val="24"/>
        </w:rPr>
        <w:t>askaņā ar Kriminālprocesa likuma 569.panta pirmo un trešo daļu kasācijas instances tiesa lietu pēc būtības neizskata, lietas faktiskos apstākļus neskaidro</w:t>
      </w:r>
      <w:r w:rsidR="00460323">
        <w:rPr>
          <w:rFonts w:cs="Times New Roman"/>
          <w:szCs w:val="24"/>
        </w:rPr>
        <w:t xml:space="preserve"> un</w:t>
      </w:r>
      <w:r w:rsidR="00CC52F4" w:rsidRPr="009A45AA">
        <w:rPr>
          <w:rFonts w:cs="Times New Roman"/>
          <w:szCs w:val="24"/>
        </w:rPr>
        <w:t xml:space="preserve"> pierādījumus lietā</w:t>
      </w:r>
      <w:r w:rsidR="00CC52F4">
        <w:rPr>
          <w:rFonts w:cs="Times New Roman"/>
          <w:szCs w:val="24"/>
        </w:rPr>
        <w:t xml:space="preserve"> </w:t>
      </w:r>
      <w:r w:rsidR="00CC52F4" w:rsidRPr="009A45AA">
        <w:rPr>
          <w:rFonts w:cs="Times New Roman"/>
          <w:szCs w:val="24"/>
        </w:rPr>
        <w:t>no jauna neizvērtē.</w:t>
      </w:r>
    </w:p>
    <w:p w14:paraId="285788CD" w14:textId="06B579BB" w:rsidR="00EB647D" w:rsidRDefault="004860B1" w:rsidP="00460323">
      <w:pPr>
        <w:tabs>
          <w:tab w:val="left" w:pos="0"/>
        </w:tabs>
        <w:spacing w:after="0" w:line="276" w:lineRule="auto"/>
        <w:jc w:val="both"/>
        <w:rPr>
          <w:rFonts w:eastAsia="Times New Roman" w:cs="Times New Roman"/>
          <w:szCs w:val="24"/>
        </w:rPr>
      </w:pPr>
      <w:r>
        <w:rPr>
          <w:rFonts w:eastAsia="Times New Roman" w:cs="Times New Roman"/>
          <w:szCs w:val="24"/>
        </w:rPr>
        <w:tab/>
        <w:t>[6.2] Senāts konstatē, ka aizstāves kasācijas sūdzīb</w:t>
      </w:r>
      <w:r w:rsidR="00460323">
        <w:rPr>
          <w:rFonts w:eastAsia="Times New Roman" w:cs="Times New Roman"/>
          <w:szCs w:val="24"/>
        </w:rPr>
        <w:t xml:space="preserve">ā norādītais </w:t>
      </w:r>
      <w:r>
        <w:rPr>
          <w:rFonts w:eastAsia="Times New Roman" w:cs="Times New Roman"/>
          <w:szCs w:val="24"/>
        </w:rPr>
        <w:t xml:space="preserve">arguments par to, ka </w:t>
      </w:r>
      <w:r w:rsidR="00460323">
        <w:rPr>
          <w:rFonts w:eastAsia="Times New Roman" w:cs="Times New Roman"/>
          <w:szCs w:val="24"/>
        </w:rPr>
        <w:t xml:space="preserve">ir </w:t>
      </w:r>
      <w:r>
        <w:rPr>
          <w:rFonts w:eastAsia="Times New Roman" w:cs="Times New Roman"/>
          <w:szCs w:val="24"/>
        </w:rPr>
        <w:t xml:space="preserve">pārkāptas apsūdzētā </w:t>
      </w:r>
      <w:r w:rsidR="004945A7">
        <w:rPr>
          <w:rFonts w:eastAsia="Times New Roman" w:cs="Times New Roman"/>
          <w:szCs w:val="24"/>
        </w:rPr>
        <w:t>[pers. A]</w:t>
      </w:r>
      <w:r>
        <w:rPr>
          <w:rFonts w:eastAsia="Times New Roman" w:cs="Times New Roman"/>
          <w:szCs w:val="24"/>
        </w:rPr>
        <w:t xml:space="preserve"> tiesības uz taisnīgu tiesu</w:t>
      </w:r>
      <w:r w:rsidR="00460323">
        <w:rPr>
          <w:rFonts w:eastAsia="Times New Roman" w:cs="Times New Roman"/>
          <w:szCs w:val="24"/>
        </w:rPr>
        <w:t>, jo</w:t>
      </w:r>
      <w:r>
        <w:rPr>
          <w:rFonts w:eastAsia="Times New Roman" w:cs="Times New Roman"/>
          <w:szCs w:val="24"/>
        </w:rPr>
        <w:t xml:space="preserve"> </w:t>
      </w:r>
      <w:r w:rsidR="00460323">
        <w:rPr>
          <w:rFonts w:eastAsia="Times New Roman" w:cs="Times New Roman"/>
          <w:szCs w:val="24"/>
        </w:rPr>
        <w:t xml:space="preserve">par lietas faktiskajiem apstākļiem </w:t>
      </w:r>
      <w:r w:rsidR="00460323">
        <w:rPr>
          <w:rFonts w:eastAsia="Times New Roman" w:cs="Times New Roman"/>
          <w:szCs w:val="24"/>
        </w:rPr>
        <w:lastRenderedPageBreak/>
        <w:t>netika nopratināts cietušais</w:t>
      </w:r>
      <w:r>
        <w:rPr>
          <w:rFonts w:eastAsia="Times New Roman" w:cs="Times New Roman"/>
          <w:szCs w:val="24"/>
        </w:rPr>
        <w:t xml:space="preserve"> </w:t>
      </w:r>
      <w:r w:rsidR="004945A7">
        <w:rPr>
          <w:rFonts w:eastAsia="Times New Roman" w:cs="Times New Roman"/>
          <w:szCs w:val="24"/>
        </w:rPr>
        <w:t>[pers. D]</w:t>
      </w:r>
      <w:r w:rsidR="00D96398">
        <w:rPr>
          <w:rFonts w:eastAsia="Times New Roman" w:cs="Times New Roman"/>
          <w:szCs w:val="24"/>
        </w:rPr>
        <w:t xml:space="preserve">, ir saistīts ar aizstāves subjektīvo viedokli par Kriminālprocesa likuma </w:t>
      </w:r>
      <w:proofErr w:type="gramStart"/>
      <w:r w:rsidR="00D96398">
        <w:rPr>
          <w:rFonts w:eastAsia="Times New Roman" w:cs="Times New Roman"/>
          <w:szCs w:val="24"/>
        </w:rPr>
        <w:t>15.panta</w:t>
      </w:r>
      <w:proofErr w:type="gramEnd"/>
      <w:r w:rsidR="00D96398">
        <w:rPr>
          <w:rFonts w:eastAsia="Times New Roman" w:cs="Times New Roman"/>
          <w:szCs w:val="24"/>
        </w:rPr>
        <w:t xml:space="preserve"> interpretāciju</w:t>
      </w:r>
      <w:r w:rsidR="00645CDC">
        <w:rPr>
          <w:rFonts w:eastAsia="Times New Roman" w:cs="Times New Roman"/>
          <w:szCs w:val="24"/>
        </w:rPr>
        <w:t>.</w:t>
      </w:r>
    </w:p>
    <w:p w14:paraId="4127DC44" w14:textId="77777777" w:rsidR="00C16DCF" w:rsidRDefault="00C16DCF" w:rsidP="00460323">
      <w:pPr>
        <w:tabs>
          <w:tab w:val="left" w:pos="0"/>
        </w:tabs>
        <w:spacing w:after="0" w:line="276" w:lineRule="auto"/>
        <w:jc w:val="both"/>
        <w:rPr>
          <w:rFonts w:eastAsia="Times New Roman" w:cs="Times New Roman"/>
          <w:szCs w:val="24"/>
        </w:rPr>
      </w:pPr>
      <w:r>
        <w:rPr>
          <w:rFonts w:eastAsia="Times New Roman" w:cs="Times New Roman"/>
          <w:szCs w:val="24"/>
        </w:rPr>
        <w:tab/>
        <w:t xml:space="preserve">Kriminālprocesa likuma </w:t>
      </w:r>
      <w:proofErr w:type="gramStart"/>
      <w:r>
        <w:rPr>
          <w:rFonts w:eastAsia="Times New Roman" w:cs="Times New Roman"/>
          <w:szCs w:val="24"/>
        </w:rPr>
        <w:t>15.pantā</w:t>
      </w:r>
      <w:proofErr w:type="gramEnd"/>
      <w:r>
        <w:rPr>
          <w:rFonts w:eastAsia="Times New Roman" w:cs="Times New Roman"/>
          <w:szCs w:val="24"/>
        </w:rPr>
        <w:t xml:space="preserve"> paredzētās tiesības uz taisn</w:t>
      </w:r>
      <w:r w:rsidR="00D96398">
        <w:rPr>
          <w:rFonts w:eastAsia="Times New Roman" w:cs="Times New Roman"/>
          <w:szCs w:val="24"/>
        </w:rPr>
        <w:t>īgu tiesu ir cieši saistīta</w:t>
      </w:r>
      <w:r w:rsidR="00460323">
        <w:rPr>
          <w:rFonts w:eastAsia="Times New Roman" w:cs="Times New Roman"/>
          <w:szCs w:val="24"/>
        </w:rPr>
        <w:t>s</w:t>
      </w:r>
      <w:r w:rsidR="00D96398">
        <w:rPr>
          <w:rFonts w:eastAsia="Times New Roman" w:cs="Times New Roman"/>
          <w:szCs w:val="24"/>
        </w:rPr>
        <w:t xml:space="preserve"> ar </w:t>
      </w:r>
      <w:r w:rsidR="00460323">
        <w:rPr>
          <w:rFonts w:eastAsia="Times New Roman" w:cs="Times New Roman"/>
          <w:szCs w:val="24"/>
        </w:rPr>
        <w:t xml:space="preserve">Eiropas Cilvēka tiesību un pamatbrīvību aizsardzības konvencijas 6.panta 3.punkta d) </w:t>
      </w:r>
      <w:r w:rsidR="00D96398">
        <w:rPr>
          <w:rFonts w:eastAsia="Times New Roman" w:cs="Times New Roman"/>
          <w:szCs w:val="24"/>
        </w:rPr>
        <w:t xml:space="preserve">apakšpunktu, kas noteic, ka ikvienam, kas tiek apsūdzēts kriminālnoziegumā ir tiesības nopratināt </w:t>
      </w:r>
      <w:r w:rsidR="00645CDC">
        <w:rPr>
          <w:rFonts w:eastAsia="Times New Roman" w:cs="Times New Roman"/>
          <w:szCs w:val="24"/>
        </w:rPr>
        <w:t xml:space="preserve">vai būt nopratinājušam apsūdzības lieciniekus un pieprasīt aizstāvības liecinieku klātbūtni un nopratināšanu tajos pašos apstākļos kā apsūdzības lieciniekus. </w:t>
      </w:r>
      <w:r w:rsidR="00460323">
        <w:rPr>
          <w:rFonts w:eastAsia="Times New Roman" w:cs="Times New Roman"/>
          <w:szCs w:val="24"/>
        </w:rPr>
        <w:t>Tādējādi</w:t>
      </w:r>
      <w:r w:rsidR="00645CDC">
        <w:rPr>
          <w:rFonts w:eastAsia="Times New Roman" w:cs="Times New Roman"/>
          <w:szCs w:val="24"/>
        </w:rPr>
        <w:t>, ja sniegtā liecība ti</w:t>
      </w:r>
      <w:r w:rsidR="00572157">
        <w:rPr>
          <w:rFonts w:eastAsia="Times New Roman" w:cs="Times New Roman"/>
          <w:szCs w:val="24"/>
        </w:rPr>
        <w:t>ek izmantota apsūdzētā vainīguma pierādīšanā</w:t>
      </w:r>
      <w:r w:rsidR="00645CDC">
        <w:rPr>
          <w:rFonts w:eastAsia="Times New Roman" w:cs="Times New Roman"/>
          <w:szCs w:val="24"/>
        </w:rPr>
        <w:t>, tad tā atzīstama par apsūdzības pierādījumu un apsūdzētajam rodas tiesības tieši nopratināt liecinošo personu tiesas sēdē.</w:t>
      </w:r>
    </w:p>
    <w:p w14:paraId="3139F498" w14:textId="0040EC11" w:rsidR="00645CDC" w:rsidRDefault="00645CDC" w:rsidP="00460323">
      <w:pPr>
        <w:tabs>
          <w:tab w:val="left" w:pos="0"/>
        </w:tabs>
        <w:spacing w:after="0" w:line="276" w:lineRule="auto"/>
        <w:jc w:val="both"/>
        <w:rPr>
          <w:rFonts w:eastAsia="Times New Roman" w:cs="Times New Roman"/>
          <w:szCs w:val="24"/>
        </w:rPr>
      </w:pPr>
      <w:r>
        <w:rPr>
          <w:rFonts w:eastAsia="Times New Roman" w:cs="Times New Roman"/>
          <w:szCs w:val="24"/>
        </w:rPr>
        <w:tab/>
        <w:t xml:space="preserve">No lietas materiāliem izriet, ka no </w:t>
      </w:r>
      <w:proofErr w:type="gramStart"/>
      <w:r>
        <w:rPr>
          <w:rFonts w:eastAsia="Times New Roman" w:cs="Times New Roman"/>
          <w:szCs w:val="24"/>
        </w:rPr>
        <w:t>2010.gada</w:t>
      </w:r>
      <w:proofErr w:type="gramEnd"/>
      <w:r>
        <w:rPr>
          <w:rFonts w:eastAsia="Times New Roman" w:cs="Times New Roman"/>
          <w:szCs w:val="24"/>
        </w:rPr>
        <w:t xml:space="preserve"> 4.janvāra, kad uzsākts kriminālprocess</w:t>
      </w:r>
      <w:r w:rsidR="00460323">
        <w:rPr>
          <w:rFonts w:eastAsia="Times New Roman" w:cs="Times New Roman"/>
          <w:szCs w:val="24"/>
        </w:rPr>
        <w:t>,</w:t>
      </w:r>
      <w:r>
        <w:rPr>
          <w:rFonts w:eastAsia="Times New Roman" w:cs="Times New Roman"/>
          <w:szCs w:val="24"/>
        </w:rPr>
        <w:t xml:space="preserve"> līdz 2010.gada 28.oktobrim, kad </w:t>
      </w:r>
      <w:r w:rsidR="004945A7">
        <w:rPr>
          <w:rFonts w:eastAsia="Times New Roman" w:cs="Times New Roman"/>
          <w:szCs w:val="24"/>
        </w:rPr>
        <w:t>[pers. D]</w:t>
      </w:r>
      <w:r w:rsidR="00460323">
        <w:rPr>
          <w:rFonts w:eastAsia="Times New Roman" w:cs="Times New Roman"/>
          <w:szCs w:val="24"/>
        </w:rPr>
        <w:t xml:space="preserve"> miris</w:t>
      </w:r>
      <w:r>
        <w:rPr>
          <w:rFonts w:eastAsia="Times New Roman" w:cs="Times New Roman"/>
          <w:szCs w:val="24"/>
        </w:rPr>
        <w:t>, viņš netika nopratināts kr</w:t>
      </w:r>
      <w:r w:rsidR="005D0D6C">
        <w:rPr>
          <w:rFonts w:eastAsia="Times New Roman" w:cs="Times New Roman"/>
          <w:szCs w:val="24"/>
        </w:rPr>
        <w:t xml:space="preserve">iminālprocesā. Tādējādi </w:t>
      </w:r>
      <w:r w:rsidR="004945A7">
        <w:rPr>
          <w:rFonts w:eastAsia="Times New Roman" w:cs="Times New Roman"/>
          <w:szCs w:val="24"/>
        </w:rPr>
        <w:t>[pers. D]</w:t>
      </w:r>
      <w:r>
        <w:rPr>
          <w:rFonts w:eastAsia="Times New Roman" w:cs="Times New Roman"/>
          <w:szCs w:val="24"/>
        </w:rPr>
        <w:t xml:space="preserve"> liecības netika izmantotas apsūdzētā </w:t>
      </w:r>
      <w:r w:rsidR="004945A7">
        <w:rPr>
          <w:rFonts w:eastAsia="Times New Roman" w:cs="Times New Roman"/>
          <w:szCs w:val="24"/>
        </w:rPr>
        <w:t>[pers. A]</w:t>
      </w:r>
      <w:r>
        <w:rPr>
          <w:rFonts w:eastAsia="Times New Roman" w:cs="Times New Roman"/>
          <w:szCs w:val="24"/>
        </w:rPr>
        <w:t xml:space="preserve"> vainīguma pierādīšanā un minētais fakts nevar izraisīt apsūdzētā </w:t>
      </w:r>
      <w:r w:rsidR="004945A7">
        <w:rPr>
          <w:rFonts w:eastAsia="Times New Roman" w:cs="Times New Roman"/>
          <w:szCs w:val="24"/>
        </w:rPr>
        <w:t>[pers. A]</w:t>
      </w:r>
      <w:r>
        <w:rPr>
          <w:rFonts w:eastAsia="Times New Roman" w:cs="Times New Roman"/>
          <w:szCs w:val="24"/>
        </w:rPr>
        <w:t xml:space="preserve"> ties</w:t>
      </w:r>
      <w:r w:rsidR="001B5236">
        <w:rPr>
          <w:rFonts w:eastAsia="Times New Roman" w:cs="Times New Roman"/>
          <w:szCs w:val="24"/>
        </w:rPr>
        <w:t>ību uz taisnīgu tiesu pārkāpumu</w:t>
      </w:r>
      <w:r>
        <w:rPr>
          <w:rFonts w:eastAsia="Times New Roman" w:cs="Times New Roman"/>
          <w:szCs w:val="24"/>
        </w:rPr>
        <w:t>.</w:t>
      </w:r>
    </w:p>
    <w:p w14:paraId="17694789" w14:textId="2A76C874" w:rsidR="00AA1B84" w:rsidRDefault="00645CDC"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001B5236">
        <w:rPr>
          <w:rFonts w:eastAsia="Times New Roman" w:cs="Times New Roman"/>
          <w:szCs w:val="24"/>
        </w:rPr>
        <w:t xml:space="preserve">Kriminālprocesa likuma </w:t>
      </w:r>
      <w:proofErr w:type="gramStart"/>
      <w:r w:rsidR="001B5236">
        <w:rPr>
          <w:rFonts w:eastAsia="Times New Roman" w:cs="Times New Roman"/>
          <w:szCs w:val="24"/>
        </w:rPr>
        <w:t>97.panta</w:t>
      </w:r>
      <w:proofErr w:type="gramEnd"/>
      <w:r w:rsidR="001B5236">
        <w:rPr>
          <w:rFonts w:eastAsia="Times New Roman" w:cs="Times New Roman"/>
          <w:szCs w:val="24"/>
        </w:rPr>
        <w:t xml:space="preserve"> ceturtā daļa noteic, ka cietušais – fiziska persona </w:t>
      </w:r>
      <w:r w:rsidR="00650C20">
        <w:rPr>
          <w:rFonts w:eastAsia="Times New Roman" w:cs="Times New Roman"/>
          <w:szCs w:val="24"/>
        </w:rPr>
        <w:t>–</w:t>
      </w:r>
      <w:r w:rsidR="001B5236">
        <w:rPr>
          <w:rFonts w:eastAsia="Times New Roman" w:cs="Times New Roman"/>
          <w:szCs w:val="24"/>
        </w:rPr>
        <w:t xml:space="preserve">savas tiesības var īstenot pats vai ar pārstāvja starpniecību. </w:t>
      </w:r>
      <w:r>
        <w:rPr>
          <w:rFonts w:eastAsia="Times New Roman" w:cs="Times New Roman"/>
          <w:szCs w:val="24"/>
        </w:rPr>
        <w:t xml:space="preserve">Atbilstoši Kriminālprocesa likuma </w:t>
      </w:r>
      <w:proofErr w:type="gramStart"/>
      <w:r>
        <w:rPr>
          <w:rFonts w:eastAsia="Times New Roman" w:cs="Times New Roman"/>
          <w:szCs w:val="24"/>
        </w:rPr>
        <w:t>107.panta</w:t>
      </w:r>
      <w:proofErr w:type="gramEnd"/>
      <w:r>
        <w:rPr>
          <w:rFonts w:eastAsia="Times New Roman" w:cs="Times New Roman"/>
          <w:szCs w:val="24"/>
        </w:rPr>
        <w:t xml:space="preserve"> pirmajai daļai, ja cietušais savas tiesības īsteno ar pārstāvja starpniecību, pārstāvim ir vis</w:t>
      </w:r>
      <w:r w:rsidR="00572157">
        <w:rPr>
          <w:rFonts w:eastAsia="Times New Roman" w:cs="Times New Roman"/>
          <w:szCs w:val="24"/>
        </w:rPr>
        <w:t>as cietušā tiesības, tostarp,</w:t>
      </w:r>
      <w:r w:rsidR="00650C20">
        <w:rPr>
          <w:rFonts w:eastAsia="Times New Roman" w:cs="Times New Roman"/>
          <w:szCs w:val="24"/>
        </w:rPr>
        <w:t xml:space="preserve"> tiesības</w:t>
      </w:r>
      <w:r w:rsidR="00572157">
        <w:rPr>
          <w:rFonts w:eastAsia="Times New Roman" w:cs="Times New Roman"/>
          <w:szCs w:val="24"/>
        </w:rPr>
        <w:t xml:space="preserve"> iesniegt </w:t>
      </w:r>
      <w:r w:rsidR="00650C20">
        <w:rPr>
          <w:rFonts w:eastAsia="Times New Roman" w:cs="Times New Roman"/>
          <w:szCs w:val="24"/>
        </w:rPr>
        <w:t xml:space="preserve">policijā </w:t>
      </w:r>
      <w:r w:rsidR="00572157">
        <w:rPr>
          <w:rFonts w:eastAsia="Times New Roman" w:cs="Times New Roman"/>
          <w:szCs w:val="24"/>
        </w:rPr>
        <w:t>iesniegumu, kurā paust</w:t>
      </w:r>
      <w:r w:rsidR="00650C20">
        <w:rPr>
          <w:rFonts w:eastAsia="Times New Roman" w:cs="Times New Roman"/>
          <w:szCs w:val="24"/>
        </w:rPr>
        <w:t>s</w:t>
      </w:r>
      <w:r w:rsidR="00572157">
        <w:rPr>
          <w:rFonts w:eastAsia="Times New Roman" w:cs="Times New Roman"/>
          <w:szCs w:val="24"/>
        </w:rPr>
        <w:t xml:space="preserve"> cietušā viedokli</w:t>
      </w:r>
      <w:r w:rsidR="00650C20">
        <w:rPr>
          <w:rFonts w:eastAsia="Times New Roman" w:cs="Times New Roman"/>
          <w:szCs w:val="24"/>
        </w:rPr>
        <w:t>s</w:t>
      </w:r>
      <w:r w:rsidR="00572157">
        <w:rPr>
          <w:rFonts w:eastAsia="Times New Roman" w:cs="Times New Roman"/>
          <w:szCs w:val="24"/>
        </w:rPr>
        <w:t xml:space="preserve"> pret</w:t>
      </w:r>
      <w:r w:rsidR="00650C20">
        <w:rPr>
          <w:rFonts w:eastAsia="Times New Roman" w:cs="Times New Roman"/>
          <w:szCs w:val="24"/>
        </w:rPr>
        <w:t xml:space="preserve"> viņam</w:t>
      </w:r>
      <w:r w:rsidR="00572157">
        <w:rPr>
          <w:rFonts w:eastAsia="Times New Roman" w:cs="Times New Roman"/>
          <w:szCs w:val="24"/>
        </w:rPr>
        <w:t xml:space="preserve"> nodarīto</w:t>
      </w:r>
      <w:r w:rsidR="00650C20">
        <w:rPr>
          <w:rFonts w:eastAsia="Times New Roman" w:cs="Times New Roman"/>
          <w:szCs w:val="24"/>
        </w:rPr>
        <w:t>,</w:t>
      </w:r>
      <w:r w:rsidR="00572157">
        <w:rPr>
          <w:rFonts w:eastAsia="Times New Roman" w:cs="Times New Roman"/>
          <w:szCs w:val="24"/>
        </w:rPr>
        <w:t xml:space="preserve"> un sniegt ziņas par iespējamo noziedzīgo nodarījumu.</w:t>
      </w:r>
      <w:r w:rsidR="001B5236">
        <w:rPr>
          <w:rFonts w:eastAsia="Times New Roman" w:cs="Times New Roman"/>
          <w:szCs w:val="24"/>
        </w:rPr>
        <w:t xml:space="preserve"> </w:t>
      </w:r>
      <w:r w:rsidR="00FD39BE">
        <w:rPr>
          <w:rFonts w:eastAsia="Times New Roman" w:cs="Times New Roman"/>
          <w:szCs w:val="24"/>
        </w:rPr>
        <w:t xml:space="preserve">Savukārt no Kriminālprocesa likuma </w:t>
      </w:r>
      <w:proofErr w:type="gramStart"/>
      <w:r w:rsidR="00FD39BE">
        <w:rPr>
          <w:rFonts w:eastAsia="Times New Roman" w:cs="Times New Roman"/>
          <w:szCs w:val="24"/>
        </w:rPr>
        <w:t>27.panta</w:t>
      </w:r>
      <w:proofErr w:type="gramEnd"/>
      <w:r w:rsidR="00FD39BE">
        <w:rPr>
          <w:rFonts w:eastAsia="Times New Roman" w:cs="Times New Roman"/>
          <w:szCs w:val="24"/>
        </w:rPr>
        <w:t xml:space="preserve"> pirmās</w:t>
      </w:r>
      <w:r w:rsidR="005C11D9">
        <w:rPr>
          <w:rFonts w:eastAsia="Times New Roman" w:cs="Times New Roman"/>
          <w:szCs w:val="24"/>
        </w:rPr>
        <w:t xml:space="preserve"> daļas</w:t>
      </w:r>
      <w:r w:rsidR="00650C20">
        <w:rPr>
          <w:rFonts w:eastAsia="Times New Roman" w:cs="Times New Roman"/>
          <w:szCs w:val="24"/>
        </w:rPr>
        <w:t xml:space="preserve"> izriet, ka</w:t>
      </w:r>
      <w:r w:rsidR="005C11D9">
        <w:rPr>
          <w:rFonts w:eastAsia="Times New Roman" w:cs="Times New Roman"/>
          <w:szCs w:val="24"/>
        </w:rPr>
        <w:t xml:space="preserve"> procesa virzītājs atbild par procesa virzību un pierādījumu apjomu, kas nepieciešams taisnīgu attiecību noregulējumā. N</w:t>
      </w:r>
      <w:r w:rsidR="00FD39BE">
        <w:rPr>
          <w:rFonts w:eastAsia="Times New Roman" w:cs="Times New Roman"/>
          <w:szCs w:val="24"/>
        </w:rPr>
        <w:t xml:space="preserve">o lietas materiāliem izriet, ka </w:t>
      </w:r>
      <w:r w:rsidR="004945A7">
        <w:rPr>
          <w:rFonts w:eastAsia="Times New Roman" w:cs="Times New Roman"/>
          <w:szCs w:val="24"/>
        </w:rPr>
        <w:t>[pers. D]</w:t>
      </w:r>
      <w:r w:rsidR="00FD39BE">
        <w:rPr>
          <w:rFonts w:eastAsia="Times New Roman" w:cs="Times New Roman"/>
          <w:szCs w:val="24"/>
        </w:rPr>
        <w:t xml:space="preserve"> dzīvoja Amerikas Savienot</w:t>
      </w:r>
      <w:r w:rsidR="00650C20">
        <w:rPr>
          <w:rFonts w:eastAsia="Times New Roman" w:cs="Times New Roman"/>
          <w:szCs w:val="24"/>
        </w:rPr>
        <w:t>aj</w:t>
      </w:r>
      <w:r w:rsidR="00FD39BE">
        <w:rPr>
          <w:rFonts w:eastAsia="Times New Roman" w:cs="Times New Roman"/>
          <w:szCs w:val="24"/>
        </w:rPr>
        <w:t xml:space="preserve">ās Valstīs, kas apgrūtināja </w:t>
      </w:r>
      <w:r w:rsidR="004945A7">
        <w:rPr>
          <w:rFonts w:eastAsia="Times New Roman" w:cs="Times New Roman"/>
          <w:szCs w:val="24"/>
        </w:rPr>
        <w:t>[pers. D]</w:t>
      </w:r>
      <w:r w:rsidR="00FD39BE">
        <w:rPr>
          <w:rFonts w:eastAsia="Times New Roman" w:cs="Times New Roman"/>
          <w:szCs w:val="24"/>
        </w:rPr>
        <w:t xml:space="preserve"> nopratināšanu</w:t>
      </w:r>
      <w:r w:rsidR="005C11D9">
        <w:rPr>
          <w:rFonts w:eastAsia="Times New Roman" w:cs="Times New Roman"/>
          <w:szCs w:val="24"/>
        </w:rPr>
        <w:t xml:space="preserve">, turklāt visus finanšu un saimnieciskos darījumus Latvijā </w:t>
      </w:r>
      <w:r w:rsidR="004945A7">
        <w:rPr>
          <w:rFonts w:eastAsia="Times New Roman" w:cs="Times New Roman"/>
          <w:szCs w:val="24"/>
        </w:rPr>
        <w:t>[pers. D]</w:t>
      </w:r>
      <w:r w:rsidR="00650C20">
        <w:rPr>
          <w:rFonts w:eastAsia="Times New Roman" w:cs="Times New Roman"/>
          <w:szCs w:val="24"/>
        </w:rPr>
        <w:t xml:space="preserve"> veica ar pilnvaroto personu (kuri tika nopratināti kriminālprocesā) </w:t>
      </w:r>
      <w:r w:rsidR="005C11D9">
        <w:rPr>
          <w:rFonts w:eastAsia="Times New Roman" w:cs="Times New Roman"/>
          <w:szCs w:val="24"/>
        </w:rPr>
        <w:t xml:space="preserve">pārstāvību. </w:t>
      </w:r>
      <w:r w:rsidR="00C3238A">
        <w:rPr>
          <w:rFonts w:eastAsia="Times New Roman" w:cs="Times New Roman"/>
          <w:szCs w:val="24"/>
        </w:rPr>
        <w:tab/>
      </w:r>
    </w:p>
    <w:p w14:paraId="3CE9FDDB" w14:textId="77777777" w:rsidR="00661C25" w:rsidRDefault="005C11D9"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Pr="008118DE">
        <w:rPr>
          <w:rFonts w:eastAsia="Times New Roman" w:cs="Times New Roman"/>
          <w:szCs w:val="24"/>
        </w:rPr>
        <w:t>[6.3]</w:t>
      </w:r>
      <w:r w:rsidR="00F52DE9" w:rsidRPr="008118DE">
        <w:rPr>
          <w:rFonts w:eastAsia="Times New Roman" w:cs="Times New Roman"/>
          <w:szCs w:val="24"/>
        </w:rPr>
        <w:t xml:space="preserve"> Senāts atzīst par nepamatotu aizstāves </w:t>
      </w:r>
      <w:r w:rsidR="008118DE" w:rsidRPr="008118DE">
        <w:rPr>
          <w:rFonts w:eastAsia="Times New Roman" w:cs="Times New Roman"/>
          <w:szCs w:val="24"/>
        </w:rPr>
        <w:t xml:space="preserve">argumentu </w:t>
      </w:r>
      <w:r w:rsidR="008118DE">
        <w:rPr>
          <w:rFonts w:eastAsia="Times New Roman" w:cs="Times New Roman"/>
          <w:szCs w:val="24"/>
        </w:rPr>
        <w:t>kasācijas sūdzībā</w:t>
      </w:r>
      <w:r w:rsidR="00F52DE9" w:rsidRPr="008118DE">
        <w:rPr>
          <w:rFonts w:eastAsia="Times New Roman" w:cs="Times New Roman"/>
          <w:szCs w:val="24"/>
        </w:rPr>
        <w:t>, ka advokāts O.</w:t>
      </w:r>
      <w:r w:rsidR="008118DE" w:rsidRPr="008118DE">
        <w:rPr>
          <w:rFonts w:eastAsia="Times New Roman" w:cs="Times New Roman"/>
          <w:szCs w:val="24"/>
        </w:rPr>
        <w:t> </w:t>
      </w:r>
      <w:proofErr w:type="spellStart"/>
      <w:r w:rsidR="00F52DE9" w:rsidRPr="008118DE">
        <w:rPr>
          <w:rFonts w:eastAsia="Times New Roman" w:cs="Times New Roman"/>
          <w:szCs w:val="24"/>
        </w:rPr>
        <w:t>Rode</w:t>
      </w:r>
      <w:proofErr w:type="spellEnd"/>
      <w:r w:rsidR="00F52DE9" w:rsidRPr="008118DE">
        <w:rPr>
          <w:rFonts w:eastAsia="Times New Roman" w:cs="Times New Roman"/>
          <w:szCs w:val="24"/>
        </w:rPr>
        <w:t xml:space="preserve"> nebija tiesīgs iesniegt sūdzību par izmeklētāja </w:t>
      </w:r>
      <w:proofErr w:type="gramStart"/>
      <w:r w:rsidR="00F52DE9" w:rsidRPr="008118DE">
        <w:rPr>
          <w:rFonts w:eastAsia="Times New Roman" w:cs="Times New Roman"/>
          <w:szCs w:val="24"/>
        </w:rPr>
        <w:t>2010.gada</w:t>
      </w:r>
      <w:proofErr w:type="gramEnd"/>
      <w:r w:rsidR="00F52DE9" w:rsidRPr="008118DE">
        <w:rPr>
          <w:rFonts w:eastAsia="Times New Roman" w:cs="Times New Roman"/>
          <w:szCs w:val="24"/>
        </w:rPr>
        <w:t xml:space="preserve"> 21.decembra lēmumu, ar kuru tika izbeigts kriminālprocess.</w:t>
      </w:r>
    </w:p>
    <w:p w14:paraId="77BC7F0A" w14:textId="73FD0EF3" w:rsidR="007F69B2" w:rsidRPr="00661C25" w:rsidRDefault="007F69B2" w:rsidP="00460323">
      <w:pPr>
        <w:tabs>
          <w:tab w:val="left" w:pos="0"/>
        </w:tabs>
        <w:spacing w:after="0" w:line="276" w:lineRule="auto"/>
        <w:jc w:val="both"/>
        <w:rPr>
          <w:rFonts w:eastAsia="Times New Roman" w:cs="Times New Roman"/>
          <w:szCs w:val="24"/>
        </w:rPr>
      </w:pPr>
      <w:r w:rsidRPr="00661C25">
        <w:rPr>
          <w:rFonts w:eastAsia="Times New Roman" w:cs="Times New Roman"/>
          <w:szCs w:val="24"/>
        </w:rPr>
        <w:tab/>
        <w:t xml:space="preserve">No lietas materiāliem izriet, ka kriminālprocess uzsākts saistībā ar </w:t>
      </w:r>
      <w:r w:rsidR="004945A7">
        <w:rPr>
          <w:rFonts w:eastAsia="Times New Roman" w:cs="Times New Roman"/>
          <w:szCs w:val="24"/>
        </w:rPr>
        <w:t>[pers. D]</w:t>
      </w:r>
      <w:r w:rsidRPr="00661C25">
        <w:rPr>
          <w:rFonts w:eastAsia="Times New Roman" w:cs="Times New Roman"/>
          <w:szCs w:val="24"/>
        </w:rPr>
        <w:t xml:space="preserve"> pārstāves iesniegumu par iespējamiem </w:t>
      </w:r>
      <w:r w:rsidR="004945A7">
        <w:rPr>
          <w:rFonts w:eastAsia="Times New Roman" w:cs="Times New Roman"/>
          <w:szCs w:val="24"/>
        </w:rPr>
        <w:t>[pers. A]</w:t>
      </w:r>
      <w:r w:rsidRPr="00661C25">
        <w:rPr>
          <w:rFonts w:eastAsia="Times New Roman" w:cs="Times New Roman"/>
          <w:szCs w:val="24"/>
        </w:rPr>
        <w:t xml:space="preserve"> noziedzīgiem nodarījumiem, kuru rezultātā ir cietis </w:t>
      </w:r>
      <w:r w:rsidR="004945A7">
        <w:rPr>
          <w:rFonts w:eastAsia="Times New Roman" w:cs="Times New Roman"/>
          <w:szCs w:val="24"/>
        </w:rPr>
        <w:t>[pers. D]</w:t>
      </w:r>
      <w:r w:rsidR="008118DE" w:rsidRPr="00661C25">
        <w:rPr>
          <w:rFonts w:eastAsia="Times New Roman" w:cs="Times New Roman"/>
          <w:szCs w:val="24"/>
        </w:rPr>
        <w:t xml:space="preserve">. </w:t>
      </w:r>
      <w:r w:rsidR="004945A7">
        <w:rPr>
          <w:rFonts w:eastAsia="Times New Roman" w:cs="Times New Roman"/>
          <w:szCs w:val="24"/>
        </w:rPr>
        <w:t>[Pers. D]</w:t>
      </w:r>
      <w:r w:rsidR="00D007B7" w:rsidRPr="00B716A9">
        <w:rPr>
          <w:rFonts w:eastAsia="Times New Roman" w:cs="Times New Roman"/>
          <w:szCs w:val="24"/>
        </w:rPr>
        <w:t xml:space="preserve"> </w:t>
      </w:r>
      <w:proofErr w:type="gramStart"/>
      <w:r w:rsidRPr="00B716A9">
        <w:rPr>
          <w:rFonts w:eastAsia="Times New Roman" w:cs="Times New Roman"/>
          <w:szCs w:val="24"/>
        </w:rPr>
        <w:t>2010.gada</w:t>
      </w:r>
      <w:proofErr w:type="gramEnd"/>
      <w:r w:rsidRPr="00B716A9">
        <w:rPr>
          <w:rFonts w:eastAsia="Times New Roman" w:cs="Times New Roman"/>
          <w:szCs w:val="24"/>
        </w:rPr>
        <w:t xml:space="preserve"> 20.oktobrī </w:t>
      </w:r>
      <w:r w:rsidR="00CF79E0" w:rsidRPr="00B716A9">
        <w:rPr>
          <w:rFonts w:eastAsia="Times New Roman" w:cs="Times New Roman"/>
          <w:szCs w:val="24"/>
        </w:rPr>
        <w:t>pilnvarojis</w:t>
      </w:r>
      <w:r w:rsidRPr="00B716A9">
        <w:rPr>
          <w:rFonts w:eastAsia="Times New Roman" w:cs="Times New Roman"/>
          <w:szCs w:val="24"/>
        </w:rPr>
        <w:t xml:space="preserve"> O.</w:t>
      </w:r>
      <w:r w:rsidR="00EB6F21" w:rsidRPr="00B716A9">
        <w:rPr>
          <w:rFonts w:eastAsia="Times New Roman" w:cs="Times New Roman"/>
          <w:szCs w:val="24"/>
        </w:rPr>
        <w:t> </w:t>
      </w:r>
      <w:r w:rsidRPr="00B716A9">
        <w:rPr>
          <w:rFonts w:eastAsia="Times New Roman" w:cs="Times New Roman"/>
          <w:szCs w:val="24"/>
        </w:rPr>
        <w:t xml:space="preserve">Rodi pārstāvēt viņa intereses kriminālprocesā, ko apliecina advokāta orderis. </w:t>
      </w:r>
      <w:r w:rsidRPr="00661C25">
        <w:rPr>
          <w:rFonts w:eastAsia="Times New Roman" w:cs="Times New Roman"/>
          <w:szCs w:val="24"/>
        </w:rPr>
        <w:t>Savukārt</w:t>
      </w:r>
      <w:r w:rsidR="00F07481">
        <w:rPr>
          <w:rFonts w:eastAsia="Times New Roman" w:cs="Times New Roman"/>
          <w:szCs w:val="24"/>
        </w:rPr>
        <w:t xml:space="preserve"> </w:t>
      </w:r>
      <w:r w:rsidRPr="00661C25">
        <w:rPr>
          <w:rFonts w:eastAsia="Times New Roman" w:cs="Times New Roman"/>
          <w:szCs w:val="24"/>
        </w:rPr>
        <w:t>pārstāvis O.</w:t>
      </w:r>
      <w:r w:rsidR="00EB6F21" w:rsidRPr="00661C25">
        <w:rPr>
          <w:rFonts w:eastAsia="Times New Roman" w:cs="Times New Roman"/>
          <w:szCs w:val="24"/>
        </w:rPr>
        <w:t> </w:t>
      </w:r>
      <w:proofErr w:type="spellStart"/>
      <w:r w:rsidRPr="00661C25">
        <w:rPr>
          <w:rFonts w:eastAsia="Times New Roman" w:cs="Times New Roman"/>
          <w:szCs w:val="24"/>
        </w:rPr>
        <w:t>Rode</w:t>
      </w:r>
      <w:proofErr w:type="spellEnd"/>
      <w:r w:rsidRPr="00661C25">
        <w:rPr>
          <w:rFonts w:eastAsia="Times New Roman" w:cs="Times New Roman"/>
          <w:szCs w:val="24"/>
        </w:rPr>
        <w:t xml:space="preserve"> bija iesniedzis sūdzību </w:t>
      </w:r>
      <w:r w:rsidR="00F07481">
        <w:rPr>
          <w:rFonts w:eastAsia="Times New Roman" w:cs="Times New Roman"/>
          <w:szCs w:val="24"/>
        </w:rPr>
        <w:t>par izmeklētāja pieņemto lēmumu pēc pārstāvamā</w:t>
      </w:r>
      <w:r w:rsidRPr="00661C25">
        <w:rPr>
          <w:rFonts w:eastAsia="Times New Roman" w:cs="Times New Roman"/>
          <w:szCs w:val="24"/>
        </w:rPr>
        <w:t xml:space="preserve"> </w:t>
      </w:r>
      <w:r w:rsidR="004945A7">
        <w:rPr>
          <w:rFonts w:eastAsia="Times New Roman" w:cs="Times New Roman"/>
          <w:szCs w:val="24"/>
        </w:rPr>
        <w:t>[pers. D]</w:t>
      </w:r>
      <w:r w:rsidR="00F07481">
        <w:rPr>
          <w:rFonts w:eastAsia="Times New Roman" w:cs="Times New Roman"/>
          <w:szCs w:val="24"/>
        </w:rPr>
        <w:t xml:space="preserve"> </w:t>
      </w:r>
      <w:r w:rsidR="00B96F93">
        <w:rPr>
          <w:rFonts w:eastAsia="Times New Roman" w:cs="Times New Roman"/>
          <w:szCs w:val="24"/>
        </w:rPr>
        <w:t>nāves</w:t>
      </w:r>
      <w:r w:rsidRPr="00661C25">
        <w:rPr>
          <w:rFonts w:eastAsia="Times New Roman" w:cs="Times New Roman"/>
          <w:szCs w:val="24"/>
        </w:rPr>
        <w:t>.</w:t>
      </w:r>
    </w:p>
    <w:p w14:paraId="1562A396" w14:textId="77777777" w:rsidR="007F69B2" w:rsidRDefault="00F52DE9"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00B11F0B">
        <w:rPr>
          <w:rFonts w:eastAsia="Times New Roman" w:cs="Times New Roman"/>
          <w:szCs w:val="24"/>
        </w:rPr>
        <w:t xml:space="preserve">No </w:t>
      </w:r>
      <w:r>
        <w:rPr>
          <w:rFonts w:eastAsia="Times New Roman" w:cs="Times New Roman"/>
          <w:szCs w:val="24"/>
        </w:rPr>
        <w:t>Kriminālp</w:t>
      </w:r>
      <w:r w:rsidR="00B11F0B">
        <w:rPr>
          <w:rFonts w:eastAsia="Times New Roman" w:cs="Times New Roman"/>
          <w:szCs w:val="24"/>
        </w:rPr>
        <w:t xml:space="preserve">rocesa likuma </w:t>
      </w:r>
      <w:proofErr w:type="gramStart"/>
      <w:r w:rsidR="00B11F0B">
        <w:rPr>
          <w:rFonts w:eastAsia="Times New Roman" w:cs="Times New Roman"/>
          <w:szCs w:val="24"/>
        </w:rPr>
        <w:t>104.panta</w:t>
      </w:r>
      <w:proofErr w:type="gramEnd"/>
      <w:r w:rsidR="00B11F0B">
        <w:rPr>
          <w:rFonts w:eastAsia="Times New Roman" w:cs="Times New Roman"/>
          <w:szCs w:val="24"/>
        </w:rPr>
        <w:t xml:space="preserve"> pirmās daļas izriet, ka</w:t>
      </w:r>
      <w:r>
        <w:rPr>
          <w:rFonts w:eastAsia="Times New Roman" w:cs="Times New Roman"/>
          <w:szCs w:val="24"/>
        </w:rPr>
        <w:t xml:space="preserve"> </w:t>
      </w:r>
      <w:r w:rsidR="00B11F0B">
        <w:rPr>
          <w:rFonts w:eastAsia="Times New Roman" w:cs="Times New Roman"/>
          <w:szCs w:val="24"/>
        </w:rPr>
        <w:t>cietušā pārstāvība tiek nodibināta ar pilnvaru. A</w:t>
      </w:r>
      <w:r>
        <w:rPr>
          <w:rFonts w:eastAsia="Times New Roman" w:cs="Times New Roman"/>
          <w:szCs w:val="24"/>
        </w:rPr>
        <w:t xml:space="preserve">dvokāta kā pārstāvja tiesības piedalīties kriminālprocesā apliecina orderis. </w:t>
      </w:r>
      <w:r w:rsidR="00B11F0B">
        <w:rPr>
          <w:rFonts w:eastAsia="Times New Roman" w:cs="Times New Roman"/>
          <w:szCs w:val="24"/>
        </w:rPr>
        <w:t>Kriminālprocesa likums nenoteic pilnvaras izbeigšanās pamatus, t</w:t>
      </w:r>
      <w:r w:rsidR="00B11F0B" w:rsidRPr="0039518E">
        <w:rPr>
          <w:rFonts w:eastAsia="Times New Roman" w:cs="Times New Roman"/>
          <w:szCs w:val="24"/>
        </w:rPr>
        <w:t>āpēc, izs</w:t>
      </w:r>
      <w:r w:rsidR="00B11F0B">
        <w:rPr>
          <w:rFonts w:eastAsia="Times New Roman" w:cs="Times New Roman"/>
          <w:szCs w:val="24"/>
        </w:rPr>
        <w:t>katot jautājumu par pilnvarojuma izbeigšanos</w:t>
      </w:r>
      <w:r w:rsidR="00B11F0B" w:rsidRPr="0039518E">
        <w:rPr>
          <w:rFonts w:eastAsia="Times New Roman" w:cs="Times New Roman"/>
          <w:szCs w:val="24"/>
        </w:rPr>
        <w:t>, būtu jāvadās no vispārējām tiesību normām, kas ietvertas Civillikumā, ciktāl tās neierobežo Kriminālprocesa likuma normas.</w:t>
      </w:r>
      <w:r w:rsidR="00B11F0B">
        <w:rPr>
          <w:rFonts w:eastAsia="Times New Roman" w:cs="Times New Roman"/>
          <w:szCs w:val="24"/>
        </w:rPr>
        <w:t xml:space="preserve"> </w:t>
      </w:r>
    </w:p>
    <w:p w14:paraId="042A7C33" w14:textId="475995CC" w:rsidR="00334265" w:rsidRDefault="007F69B2" w:rsidP="00460323">
      <w:pPr>
        <w:tabs>
          <w:tab w:val="left" w:pos="0"/>
        </w:tabs>
        <w:spacing w:after="0" w:line="276" w:lineRule="auto"/>
        <w:jc w:val="both"/>
        <w:rPr>
          <w:rFonts w:eastAsia="Times New Roman" w:cs="Times New Roman"/>
          <w:szCs w:val="24"/>
        </w:rPr>
      </w:pPr>
      <w:r>
        <w:rPr>
          <w:rFonts w:eastAsia="Times New Roman" w:cs="Times New Roman"/>
          <w:szCs w:val="24"/>
        </w:rPr>
        <w:tab/>
      </w:r>
      <w:r w:rsidR="001E3101">
        <w:rPr>
          <w:rFonts w:eastAsia="Times New Roman" w:cs="Times New Roman"/>
          <w:szCs w:val="24"/>
        </w:rPr>
        <w:t xml:space="preserve">Civillikuma </w:t>
      </w:r>
      <w:proofErr w:type="gramStart"/>
      <w:r w:rsidR="001E3101">
        <w:rPr>
          <w:rFonts w:eastAsia="Times New Roman" w:cs="Times New Roman"/>
          <w:szCs w:val="24"/>
        </w:rPr>
        <w:t>2316.panta</w:t>
      </w:r>
      <w:proofErr w:type="gramEnd"/>
      <w:r w:rsidR="001E3101">
        <w:rPr>
          <w:rFonts w:eastAsia="Times New Roman" w:cs="Times New Roman"/>
          <w:szCs w:val="24"/>
        </w:rPr>
        <w:t xml:space="preserve"> pirmā daļa</w:t>
      </w:r>
      <w:r w:rsidR="00B11F0B">
        <w:rPr>
          <w:rFonts w:eastAsia="Times New Roman" w:cs="Times New Roman"/>
          <w:szCs w:val="24"/>
        </w:rPr>
        <w:t xml:space="preserve"> noteic, ka pilnvarotāja nāve iznīcina līgumiskās attiecības līdzīgi atsaukumam. Savukārt minētā panta otrajā daļā n</w:t>
      </w:r>
      <w:r w:rsidR="00CF79E0">
        <w:rPr>
          <w:rFonts w:eastAsia="Times New Roman" w:cs="Times New Roman"/>
          <w:szCs w:val="24"/>
        </w:rPr>
        <w:t>oteikts izņēmums no šā noteikuma, proti, gadījums</w:t>
      </w:r>
      <w:r w:rsidR="0057593E">
        <w:rPr>
          <w:rFonts w:eastAsia="Times New Roman" w:cs="Times New Roman"/>
          <w:szCs w:val="24"/>
        </w:rPr>
        <w:t xml:space="preserve">, </w:t>
      </w:r>
      <w:proofErr w:type="gramStart"/>
      <w:r w:rsidR="0057593E">
        <w:rPr>
          <w:rFonts w:eastAsia="Times New Roman" w:cs="Times New Roman"/>
          <w:szCs w:val="24"/>
        </w:rPr>
        <w:t>kad pilnvarotājs devis tādu uzdevumu, kas</w:t>
      </w:r>
      <w:r w:rsidR="00E96A9A">
        <w:rPr>
          <w:rFonts w:eastAsia="Times New Roman" w:cs="Times New Roman"/>
          <w:szCs w:val="24"/>
        </w:rPr>
        <w:t xml:space="preserve"> bijis</w:t>
      </w:r>
      <w:proofErr w:type="gramEnd"/>
      <w:r w:rsidR="00E96A9A">
        <w:rPr>
          <w:rFonts w:eastAsia="Times New Roman" w:cs="Times New Roman"/>
          <w:szCs w:val="24"/>
        </w:rPr>
        <w:t xml:space="preserve"> jāizpilda</w:t>
      </w:r>
      <w:r w:rsidR="00661C25">
        <w:rPr>
          <w:rFonts w:eastAsia="Times New Roman" w:cs="Times New Roman"/>
          <w:szCs w:val="24"/>
        </w:rPr>
        <w:t>. Juridiskajā</w:t>
      </w:r>
      <w:r w:rsidR="0057593E">
        <w:rPr>
          <w:rFonts w:eastAsia="Times New Roman" w:cs="Times New Roman"/>
          <w:szCs w:val="24"/>
        </w:rPr>
        <w:t xml:space="preserve"> literatūrā minēts, ka</w:t>
      </w:r>
      <w:r w:rsidR="00661C25">
        <w:rPr>
          <w:rFonts w:eastAsia="Times New Roman" w:cs="Times New Roman"/>
          <w:szCs w:val="24"/>
        </w:rPr>
        <w:t xml:space="preserve"> gadījumā, j</w:t>
      </w:r>
      <w:r w:rsidR="0057593E">
        <w:rPr>
          <w:rFonts w:eastAsia="Times New Roman" w:cs="Times New Roman"/>
          <w:szCs w:val="24"/>
        </w:rPr>
        <w:t>a pilnvarnieks saņem ziņu par pilnvarotāja nāvi tad, kad viņš jau ir uzsācis kārtot uzdoto lietu, viņam ir ne vien tiesība, bet arī pienākums</w:t>
      </w:r>
      <w:r w:rsidR="00745D8F">
        <w:rPr>
          <w:rFonts w:eastAsia="Times New Roman" w:cs="Times New Roman"/>
          <w:szCs w:val="24"/>
        </w:rPr>
        <w:t xml:space="preserve"> rūpēties par to tik ilgi, kamēr mantinieki</w:t>
      </w:r>
      <w:r w:rsidR="00661C25">
        <w:rPr>
          <w:rFonts w:eastAsia="Times New Roman" w:cs="Times New Roman"/>
          <w:szCs w:val="24"/>
        </w:rPr>
        <w:t xml:space="preserve"> nav devuši rīkojumu pārtraukt </w:t>
      </w:r>
      <w:proofErr w:type="gramStart"/>
      <w:r>
        <w:rPr>
          <w:rFonts w:eastAsia="Times New Roman" w:cs="Times New Roman"/>
          <w:szCs w:val="24"/>
        </w:rPr>
        <w:t>(</w:t>
      </w:r>
      <w:proofErr w:type="gramEnd"/>
      <w:r w:rsidR="00893D34" w:rsidRPr="007054A4">
        <w:rPr>
          <w:rFonts w:eastAsia="Times New Roman" w:cs="Times New Roman"/>
          <w:i/>
          <w:szCs w:val="24"/>
        </w:rPr>
        <w:t>Torgāns</w:t>
      </w:r>
      <w:r w:rsidR="008118DE" w:rsidRPr="007054A4">
        <w:rPr>
          <w:rFonts w:eastAsia="Times New Roman" w:cs="Times New Roman"/>
          <w:i/>
          <w:szCs w:val="24"/>
        </w:rPr>
        <w:t xml:space="preserve"> K</w:t>
      </w:r>
      <w:r w:rsidR="00893D34" w:rsidRPr="007054A4">
        <w:rPr>
          <w:rFonts w:eastAsia="Times New Roman" w:cs="Times New Roman"/>
          <w:i/>
          <w:szCs w:val="24"/>
        </w:rPr>
        <w:t>. Saistību tiesības. Otrais papildinātais izdevums. Rīga: Tiesu namu aģentūra, 2018</w:t>
      </w:r>
      <w:r w:rsidR="00893D34" w:rsidRPr="0013648C">
        <w:rPr>
          <w:rFonts w:eastAsia="Times New Roman" w:cs="Times New Roman"/>
          <w:i/>
          <w:szCs w:val="24"/>
        </w:rPr>
        <w:t>, 413.lpp</w:t>
      </w:r>
      <w:r w:rsidR="00F43801">
        <w:rPr>
          <w:rFonts w:eastAsia="Times New Roman" w:cs="Times New Roman"/>
          <w:i/>
          <w:szCs w:val="24"/>
        </w:rPr>
        <w:t>.</w:t>
      </w:r>
      <w:r w:rsidRPr="0013648C">
        <w:rPr>
          <w:rFonts w:eastAsia="Times New Roman" w:cs="Times New Roman"/>
          <w:szCs w:val="24"/>
        </w:rPr>
        <w:t>).</w:t>
      </w:r>
    </w:p>
    <w:p w14:paraId="6CEB67AC" w14:textId="4E53C077" w:rsidR="00745D8F" w:rsidRDefault="00334265" w:rsidP="00460323">
      <w:pPr>
        <w:tabs>
          <w:tab w:val="left" w:pos="0"/>
        </w:tabs>
        <w:spacing w:after="0" w:line="276" w:lineRule="auto"/>
        <w:jc w:val="both"/>
        <w:rPr>
          <w:rFonts w:eastAsia="Times New Roman" w:cs="Times New Roman"/>
          <w:szCs w:val="24"/>
        </w:rPr>
      </w:pPr>
      <w:r>
        <w:rPr>
          <w:rFonts w:eastAsia="Times New Roman" w:cs="Times New Roman"/>
          <w:szCs w:val="24"/>
        </w:rPr>
        <w:tab/>
        <w:t>Tādējādi advokāts O.</w:t>
      </w:r>
      <w:r w:rsidR="00661C25">
        <w:rPr>
          <w:rFonts w:eastAsia="Times New Roman" w:cs="Times New Roman"/>
          <w:szCs w:val="24"/>
        </w:rPr>
        <w:t> </w:t>
      </w:r>
      <w:proofErr w:type="spellStart"/>
      <w:r w:rsidR="00661C25">
        <w:rPr>
          <w:rFonts w:eastAsia="Times New Roman" w:cs="Times New Roman"/>
          <w:szCs w:val="24"/>
        </w:rPr>
        <w:t>Rode</w:t>
      </w:r>
      <w:proofErr w:type="spellEnd"/>
      <w:r w:rsidR="0013648C">
        <w:rPr>
          <w:rFonts w:eastAsia="Times New Roman" w:cs="Times New Roman"/>
          <w:szCs w:val="24"/>
        </w:rPr>
        <w:t xml:space="preserve"> </w:t>
      </w:r>
      <w:r w:rsidR="0038535A">
        <w:rPr>
          <w:rFonts w:eastAsia="Times New Roman" w:cs="Times New Roman"/>
          <w:szCs w:val="24"/>
        </w:rPr>
        <w:t xml:space="preserve">kriminālprocesa ietvaros </w:t>
      </w:r>
      <w:r>
        <w:rPr>
          <w:rFonts w:eastAsia="Times New Roman" w:cs="Times New Roman"/>
          <w:szCs w:val="24"/>
        </w:rPr>
        <w:t xml:space="preserve">bija tiesīgs rīkoties </w:t>
      </w:r>
      <w:r w:rsidR="004945A7">
        <w:rPr>
          <w:rFonts w:eastAsia="Times New Roman" w:cs="Times New Roman"/>
          <w:szCs w:val="24"/>
        </w:rPr>
        <w:t>[pers. D]</w:t>
      </w:r>
      <w:r>
        <w:rPr>
          <w:rFonts w:eastAsia="Times New Roman" w:cs="Times New Roman"/>
          <w:szCs w:val="24"/>
        </w:rPr>
        <w:t xml:space="preserve"> vārdā.</w:t>
      </w:r>
    </w:p>
    <w:p w14:paraId="1DF525B3" w14:textId="39DD0EA7" w:rsidR="00767F5C" w:rsidRDefault="00745D8F" w:rsidP="00460323">
      <w:pPr>
        <w:tabs>
          <w:tab w:val="left" w:pos="0"/>
        </w:tabs>
        <w:spacing w:after="0" w:line="276" w:lineRule="auto"/>
        <w:jc w:val="both"/>
        <w:rPr>
          <w:rFonts w:eastAsia="Times New Roman" w:cs="Times New Roman"/>
          <w:szCs w:val="24"/>
        </w:rPr>
      </w:pPr>
      <w:r>
        <w:rPr>
          <w:rFonts w:eastAsia="Times New Roman" w:cs="Times New Roman"/>
          <w:szCs w:val="24"/>
        </w:rPr>
        <w:lastRenderedPageBreak/>
        <w:tab/>
      </w:r>
      <w:r w:rsidR="00ED311E">
        <w:rPr>
          <w:rFonts w:eastAsia="Times New Roman" w:cs="Times New Roman"/>
          <w:szCs w:val="24"/>
        </w:rPr>
        <w:t xml:space="preserve">Kriminālprocesa likuma </w:t>
      </w:r>
      <w:proofErr w:type="gramStart"/>
      <w:r w:rsidR="00ED311E">
        <w:rPr>
          <w:rFonts w:eastAsia="Times New Roman" w:cs="Times New Roman"/>
          <w:szCs w:val="24"/>
        </w:rPr>
        <w:t>336.panta</w:t>
      </w:r>
      <w:proofErr w:type="gramEnd"/>
      <w:r w:rsidR="00ED311E">
        <w:rPr>
          <w:rFonts w:eastAsia="Times New Roman" w:cs="Times New Roman"/>
          <w:szCs w:val="24"/>
        </w:rPr>
        <w:t xml:space="preserve"> pirmajā daļā noteiktajā kārtībā sūdzību var iesniegt, tostarp persona, kuras tiesības vai likumīgās intereses aizskartas ar konkrēto amatpersona</w:t>
      </w:r>
      <w:r w:rsidR="00661C25">
        <w:rPr>
          <w:rFonts w:eastAsia="Times New Roman" w:cs="Times New Roman"/>
          <w:szCs w:val="24"/>
        </w:rPr>
        <w:t>s</w:t>
      </w:r>
      <w:r w:rsidR="00ED311E">
        <w:rPr>
          <w:rFonts w:eastAsia="Times New Roman" w:cs="Times New Roman"/>
          <w:szCs w:val="24"/>
        </w:rPr>
        <w:t xml:space="preserve"> lēmumu.</w:t>
      </w:r>
      <w:r w:rsidR="00D76640">
        <w:rPr>
          <w:rFonts w:eastAsia="Times New Roman" w:cs="Times New Roman"/>
          <w:szCs w:val="24"/>
        </w:rPr>
        <w:t xml:space="preserve"> Amatpersonu lēmumu pārsūdzēšana ir vērsta</w:t>
      </w:r>
      <w:r w:rsidR="00BB0ED0">
        <w:rPr>
          <w:rFonts w:eastAsia="Times New Roman" w:cs="Times New Roman"/>
          <w:szCs w:val="24"/>
        </w:rPr>
        <w:t xml:space="preserve"> uz to</w:t>
      </w:r>
      <w:r w:rsidR="00D76640">
        <w:rPr>
          <w:rFonts w:eastAsia="Times New Roman" w:cs="Times New Roman"/>
          <w:szCs w:val="24"/>
        </w:rPr>
        <w:t>, lai nodrošinātu kriminālprocesa norises kontroli un nodrošinātu iesaistīto personu tiesību un interešu aiz</w:t>
      </w:r>
      <w:r w:rsidR="00BB0ED0">
        <w:rPr>
          <w:rFonts w:eastAsia="Times New Roman" w:cs="Times New Roman"/>
          <w:szCs w:val="24"/>
        </w:rPr>
        <w:t>sardzību</w:t>
      </w:r>
      <w:r w:rsidR="00D76640">
        <w:rPr>
          <w:rFonts w:eastAsia="Times New Roman" w:cs="Times New Roman"/>
          <w:szCs w:val="24"/>
        </w:rPr>
        <w:t>.</w:t>
      </w:r>
      <w:r w:rsidR="00767F5C">
        <w:rPr>
          <w:rFonts w:eastAsia="Times New Roman" w:cs="Times New Roman"/>
          <w:szCs w:val="24"/>
        </w:rPr>
        <w:t xml:space="preserve"> Konkrētajā gadījumā sūdzību iesniedza advokāts O.</w:t>
      </w:r>
      <w:r w:rsidR="00BB0ED0">
        <w:rPr>
          <w:rFonts w:eastAsia="Times New Roman" w:cs="Times New Roman"/>
          <w:szCs w:val="24"/>
        </w:rPr>
        <w:t> </w:t>
      </w:r>
      <w:proofErr w:type="spellStart"/>
      <w:r w:rsidR="00767F5C">
        <w:rPr>
          <w:rFonts w:eastAsia="Times New Roman" w:cs="Times New Roman"/>
          <w:szCs w:val="24"/>
        </w:rPr>
        <w:t>Rode</w:t>
      </w:r>
      <w:proofErr w:type="spellEnd"/>
      <w:r w:rsidR="00767F5C">
        <w:rPr>
          <w:rFonts w:eastAsia="Times New Roman" w:cs="Times New Roman"/>
          <w:szCs w:val="24"/>
        </w:rPr>
        <w:t xml:space="preserve">, lai panāktu </w:t>
      </w:r>
      <w:r w:rsidR="004945A7">
        <w:rPr>
          <w:rFonts w:eastAsia="Times New Roman" w:cs="Times New Roman"/>
          <w:szCs w:val="24"/>
        </w:rPr>
        <w:t>[pers. D]</w:t>
      </w:r>
      <w:r w:rsidR="00334265">
        <w:rPr>
          <w:rFonts w:eastAsia="Times New Roman" w:cs="Times New Roman"/>
          <w:szCs w:val="24"/>
        </w:rPr>
        <w:t xml:space="preserve"> likumīgo interešu aizsardzību</w:t>
      </w:r>
      <w:r w:rsidR="00767F5C">
        <w:rPr>
          <w:rFonts w:eastAsia="Times New Roman" w:cs="Times New Roman"/>
          <w:szCs w:val="24"/>
        </w:rPr>
        <w:t>.</w:t>
      </w:r>
    </w:p>
    <w:p w14:paraId="60B41360" w14:textId="22D5FE24" w:rsidR="00745D8F" w:rsidRDefault="00444E4A" w:rsidP="00460323">
      <w:pPr>
        <w:tabs>
          <w:tab w:val="left" w:pos="0"/>
        </w:tabs>
        <w:spacing w:after="0" w:line="276" w:lineRule="auto"/>
        <w:jc w:val="both"/>
        <w:rPr>
          <w:rFonts w:eastAsia="Times New Roman" w:cs="Times New Roman"/>
          <w:szCs w:val="24"/>
        </w:rPr>
      </w:pPr>
      <w:r>
        <w:rPr>
          <w:rFonts w:eastAsia="Times New Roman" w:cs="Times New Roman"/>
          <w:szCs w:val="24"/>
        </w:rPr>
        <w:tab/>
        <w:t xml:space="preserve">Ievērojot to, ka advokāts jau </w:t>
      </w:r>
      <w:r w:rsidR="00BB0ED0">
        <w:rPr>
          <w:rFonts w:eastAsia="Times New Roman" w:cs="Times New Roman"/>
          <w:szCs w:val="24"/>
        </w:rPr>
        <w:t xml:space="preserve">bija </w:t>
      </w:r>
      <w:r>
        <w:rPr>
          <w:rFonts w:eastAsia="Times New Roman" w:cs="Times New Roman"/>
          <w:szCs w:val="24"/>
        </w:rPr>
        <w:t xml:space="preserve">uzsācis pārstāvēt </w:t>
      </w:r>
      <w:r w:rsidR="004945A7">
        <w:rPr>
          <w:rFonts w:eastAsia="Times New Roman" w:cs="Times New Roman"/>
          <w:szCs w:val="24"/>
        </w:rPr>
        <w:t>[pers. D]</w:t>
      </w:r>
      <w:r>
        <w:rPr>
          <w:rFonts w:eastAsia="Times New Roman" w:cs="Times New Roman"/>
          <w:szCs w:val="24"/>
        </w:rPr>
        <w:t xml:space="preserve"> kriminālprocesā</w:t>
      </w:r>
      <w:r w:rsidR="007F69B2">
        <w:rPr>
          <w:rFonts w:eastAsia="Times New Roman" w:cs="Times New Roman"/>
          <w:szCs w:val="24"/>
        </w:rPr>
        <w:t xml:space="preserve"> un ar izmeklētāja lēmumu tika aizskartas </w:t>
      </w:r>
      <w:r w:rsidR="004945A7">
        <w:rPr>
          <w:rFonts w:eastAsia="Times New Roman" w:cs="Times New Roman"/>
          <w:szCs w:val="24"/>
        </w:rPr>
        <w:t>[pers. D]</w:t>
      </w:r>
      <w:r w:rsidR="007F69B2">
        <w:rPr>
          <w:rFonts w:eastAsia="Times New Roman" w:cs="Times New Roman"/>
          <w:szCs w:val="24"/>
        </w:rPr>
        <w:t xml:space="preserve"> likumīgās intereses</w:t>
      </w:r>
      <w:r>
        <w:rPr>
          <w:rFonts w:eastAsia="Times New Roman" w:cs="Times New Roman"/>
          <w:szCs w:val="24"/>
        </w:rPr>
        <w:t>, Senāts atzīst, ka advokāts bija tiesīgs iesniegt sūdzību izmeklēšanu uzraugošajam prokuroram par izmeklētāja lēmumu</w:t>
      </w:r>
      <w:r w:rsidR="00AA790B">
        <w:rPr>
          <w:rFonts w:eastAsia="Times New Roman" w:cs="Times New Roman"/>
          <w:szCs w:val="24"/>
        </w:rPr>
        <w:t>, ar kuru tika izbeigts kriminālprocess.</w:t>
      </w:r>
      <w:r>
        <w:rPr>
          <w:rFonts w:eastAsia="Times New Roman" w:cs="Times New Roman"/>
          <w:szCs w:val="24"/>
        </w:rPr>
        <w:t xml:space="preserve"> </w:t>
      </w:r>
    </w:p>
    <w:p w14:paraId="7758316C" w14:textId="0910A0FA" w:rsidR="00D404FB" w:rsidRDefault="00BD5FBF" w:rsidP="00460323">
      <w:pPr>
        <w:tabs>
          <w:tab w:val="left" w:pos="0"/>
        </w:tabs>
        <w:spacing w:after="0" w:line="276" w:lineRule="auto"/>
        <w:jc w:val="both"/>
        <w:rPr>
          <w:rFonts w:eastAsia="Times New Roman" w:cs="Times New Roman"/>
          <w:szCs w:val="24"/>
        </w:rPr>
      </w:pPr>
      <w:r>
        <w:rPr>
          <w:rFonts w:eastAsia="Times New Roman" w:cs="Times New Roman"/>
          <w:szCs w:val="24"/>
        </w:rPr>
        <w:tab/>
        <w:t>Turklāt</w:t>
      </w:r>
      <w:r w:rsidR="00444E4A" w:rsidRPr="002F1866">
        <w:rPr>
          <w:rFonts w:eastAsia="Times New Roman" w:cs="Times New Roman"/>
          <w:color w:val="FF0000"/>
          <w:szCs w:val="24"/>
        </w:rPr>
        <w:t xml:space="preserve"> </w:t>
      </w:r>
      <w:r w:rsidR="00745D8F">
        <w:rPr>
          <w:rFonts w:eastAsia="Times New Roman" w:cs="Times New Roman"/>
          <w:szCs w:val="24"/>
        </w:rPr>
        <w:t xml:space="preserve">atbilstoši Kriminālprocesa likuma </w:t>
      </w:r>
      <w:proofErr w:type="gramStart"/>
      <w:r w:rsidR="00745D8F">
        <w:rPr>
          <w:rFonts w:eastAsia="Times New Roman" w:cs="Times New Roman"/>
          <w:szCs w:val="24"/>
        </w:rPr>
        <w:t>37.panta</w:t>
      </w:r>
      <w:proofErr w:type="gramEnd"/>
      <w:r w:rsidR="00745D8F">
        <w:rPr>
          <w:rFonts w:eastAsia="Times New Roman" w:cs="Times New Roman"/>
          <w:szCs w:val="24"/>
        </w:rPr>
        <w:t xml:space="preserve"> trešās </w:t>
      </w:r>
      <w:r w:rsidR="00444E4A">
        <w:rPr>
          <w:rFonts w:eastAsia="Times New Roman" w:cs="Times New Roman"/>
          <w:szCs w:val="24"/>
        </w:rPr>
        <w:t>daļas 4.</w:t>
      </w:r>
      <w:r w:rsidR="00BB0ED0">
        <w:rPr>
          <w:rFonts w:eastAsia="Times New Roman" w:cs="Times New Roman"/>
          <w:szCs w:val="24"/>
        </w:rPr>
        <w:t xml:space="preserve"> </w:t>
      </w:r>
      <w:r w:rsidR="00444E4A">
        <w:rPr>
          <w:rFonts w:eastAsia="Times New Roman" w:cs="Times New Roman"/>
          <w:szCs w:val="24"/>
        </w:rPr>
        <w:t xml:space="preserve">un 5.punktam izmeklēšanu uzraugošais prokurors jebkurā laikā var iepazīties ar kriminālprocesa materiāliem un atcelt procesa virzītāja nelikumīgus </w:t>
      </w:r>
      <w:r w:rsidR="00ED311E">
        <w:rPr>
          <w:rFonts w:eastAsia="Times New Roman" w:cs="Times New Roman"/>
          <w:szCs w:val="24"/>
        </w:rPr>
        <w:t>lēmumus.</w:t>
      </w:r>
    </w:p>
    <w:p w14:paraId="0D6CFD7D" w14:textId="72B99CA7" w:rsidR="0006414C" w:rsidRPr="00334265" w:rsidRDefault="00BB0ED0" w:rsidP="00066BFA">
      <w:pPr>
        <w:spacing w:after="0" w:line="276" w:lineRule="auto"/>
        <w:ind w:firstLine="709"/>
        <w:jc w:val="both"/>
        <w:rPr>
          <w:rFonts w:eastAsia="Times New Roman" w:cs="Times New Roman"/>
          <w:szCs w:val="24"/>
        </w:rPr>
      </w:pPr>
      <w:r>
        <w:rPr>
          <w:rFonts w:eastAsia="Times New Roman" w:cs="Times New Roman"/>
          <w:szCs w:val="24"/>
        </w:rPr>
        <w:tab/>
        <w:t>[6.4] </w:t>
      </w:r>
      <w:r w:rsidR="00D404FB">
        <w:rPr>
          <w:rFonts w:eastAsia="Times New Roman" w:cs="Times New Roman"/>
          <w:szCs w:val="24"/>
        </w:rPr>
        <w:t>Senāt</w:t>
      </w:r>
      <w:r w:rsidR="00334265">
        <w:rPr>
          <w:rFonts w:eastAsia="Times New Roman" w:cs="Times New Roman"/>
          <w:szCs w:val="24"/>
        </w:rPr>
        <w:t xml:space="preserve">s atzīst, ka apsūdzētā </w:t>
      </w:r>
      <w:r w:rsidR="004945A7">
        <w:rPr>
          <w:rFonts w:eastAsia="Times New Roman" w:cs="Times New Roman"/>
          <w:szCs w:val="24"/>
        </w:rPr>
        <w:t>[pers. A]</w:t>
      </w:r>
      <w:r w:rsidR="00D404FB">
        <w:rPr>
          <w:rFonts w:eastAsia="Times New Roman" w:cs="Times New Roman"/>
          <w:szCs w:val="24"/>
        </w:rPr>
        <w:t xml:space="preserve"> aizstāve kasācijas sūdzībā nav pamatojusi, kāpēc </w:t>
      </w:r>
      <w:r w:rsidR="004945A7">
        <w:rPr>
          <w:rFonts w:eastAsia="Times New Roman" w:cs="Times New Roman"/>
          <w:szCs w:val="24"/>
        </w:rPr>
        <w:t>[pers. D]</w:t>
      </w:r>
      <w:r w:rsidR="00E96A9A">
        <w:rPr>
          <w:rFonts w:eastAsia="Times New Roman" w:cs="Times New Roman"/>
          <w:szCs w:val="24"/>
        </w:rPr>
        <w:t xml:space="preserve"> pilnvaras</w:t>
      </w:r>
      <w:r w:rsidR="00D404FB">
        <w:rPr>
          <w:rFonts w:eastAsia="Times New Roman" w:cs="Times New Roman"/>
          <w:szCs w:val="24"/>
        </w:rPr>
        <w:t xml:space="preserve"> </w:t>
      </w:r>
      <w:r w:rsidR="00D404FB" w:rsidRPr="00E96A9A">
        <w:rPr>
          <w:rFonts w:eastAsia="Times New Roman" w:cs="Times New Roman"/>
          <w:szCs w:val="24"/>
        </w:rPr>
        <w:t>saturs</w:t>
      </w:r>
      <w:r w:rsidR="00D404FB">
        <w:rPr>
          <w:rFonts w:eastAsia="Times New Roman" w:cs="Times New Roman"/>
          <w:szCs w:val="24"/>
        </w:rPr>
        <w:t>,</w:t>
      </w:r>
      <w:r w:rsidR="00242012">
        <w:rPr>
          <w:rFonts w:eastAsia="Times New Roman" w:cs="Times New Roman"/>
          <w:szCs w:val="24"/>
        </w:rPr>
        <w:t xml:space="preserve"> no kura izriet,</w:t>
      </w:r>
      <w:r w:rsidR="00D404FB">
        <w:rPr>
          <w:rFonts w:eastAsia="Times New Roman" w:cs="Times New Roman"/>
          <w:szCs w:val="24"/>
        </w:rPr>
        <w:t xml:space="preserve"> ka </w:t>
      </w:r>
      <w:r w:rsidR="004945A7">
        <w:rPr>
          <w:rFonts w:eastAsia="Times New Roman" w:cs="Times New Roman"/>
          <w:szCs w:val="24"/>
        </w:rPr>
        <w:t>[pers. C]</w:t>
      </w:r>
      <w:r w:rsidR="00BF1C91" w:rsidRPr="00BF1C91">
        <w:rPr>
          <w:rFonts w:eastAsia="Times New Roman" w:cs="Times New Roman"/>
          <w:szCs w:val="24"/>
        </w:rPr>
        <w:t xml:space="preserve">, </w:t>
      </w:r>
      <w:r w:rsidR="004945A7">
        <w:rPr>
          <w:rFonts w:eastAsia="Times New Roman" w:cs="Times New Roman"/>
          <w:szCs w:val="24"/>
        </w:rPr>
        <w:t>[pers. H]</w:t>
      </w:r>
      <w:r w:rsidR="00D404FB" w:rsidRPr="00BF1C91">
        <w:rPr>
          <w:rFonts w:eastAsia="Times New Roman" w:cs="Times New Roman"/>
          <w:szCs w:val="24"/>
        </w:rPr>
        <w:t xml:space="preserve">, </w:t>
      </w:r>
      <w:r w:rsidR="004945A7">
        <w:rPr>
          <w:rFonts w:eastAsia="Times New Roman" w:cs="Times New Roman"/>
          <w:szCs w:val="24"/>
        </w:rPr>
        <w:t>[pers. J]</w:t>
      </w:r>
      <w:r w:rsidR="00BF1C91" w:rsidRPr="00BF1C91">
        <w:rPr>
          <w:rFonts w:eastAsia="Times New Roman" w:cs="Times New Roman"/>
          <w:szCs w:val="24"/>
        </w:rPr>
        <w:t xml:space="preserve"> un </w:t>
      </w:r>
      <w:r w:rsidR="004945A7">
        <w:rPr>
          <w:rFonts w:eastAsia="Times New Roman" w:cs="Times New Roman"/>
          <w:szCs w:val="24"/>
        </w:rPr>
        <w:t>[pers. K]</w:t>
      </w:r>
      <w:r w:rsidR="00D404FB" w:rsidRPr="00BF1C91">
        <w:rPr>
          <w:rFonts w:eastAsia="Times New Roman" w:cs="Times New Roman"/>
          <w:szCs w:val="24"/>
        </w:rPr>
        <w:t xml:space="preserve"> ir </w:t>
      </w:r>
      <w:r w:rsidR="00D404FB">
        <w:rPr>
          <w:rFonts w:eastAsia="Times New Roman" w:cs="Times New Roman"/>
          <w:szCs w:val="24"/>
        </w:rPr>
        <w:t xml:space="preserve">pilnvaroti viņu pārstāvēt visās </w:t>
      </w:r>
      <w:r w:rsidR="00F60897">
        <w:rPr>
          <w:rFonts w:eastAsia="Times New Roman" w:cs="Times New Roman"/>
          <w:szCs w:val="24"/>
        </w:rPr>
        <w:t xml:space="preserve">Latvijas Republikas tiesās un </w:t>
      </w:r>
      <w:r w:rsidR="00D404FB">
        <w:rPr>
          <w:rFonts w:eastAsia="Times New Roman" w:cs="Times New Roman"/>
          <w:szCs w:val="24"/>
        </w:rPr>
        <w:t xml:space="preserve">valsts iestādēs, neaptver </w:t>
      </w:r>
      <w:r w:rsidR="00471331">
        <w:rPr>
          <w:rFonts w:eastAsia="Times New Roman" w:cs="Times New Roman"/>
          <w:szCs w:val="24"/>
        </w:rPr>
        <w:t>cietušā pārstāvību</w:t>
      </w:r>
      <w:r w:rsidR="00D141D9">
        <w:rPr>
          <w:rFonts w:eastAsia="Times New Roman" w:cs="Times New Roman"/>
          <w:szCs w:val="24"/>
        </w:rPr>
        <w:t xml:space="preserve"> kriminālprocesā (iesniegt iesniegumu Valsts policijā un pārsūdzēt amatpersonu lēmumus par atteikšanos uzsākt kriminālprocesu), un kāds Kriminālprocesa likuma būtisks pārkāpums tika pieļauts</w:t>
      </w:r>
      <w:r w:rsidR="00334265">
        <w:rPr>
          <w:rFonts w:eastAsia="Times New Roman" w:cs="Times New Roman"/>
          <w:szCs w:val="24"/>
        </w:rPr>
        <w:t>, iesniedzot</w:t>
      </w:r>
      <w:r w:rsidR="00F60897">
        <w:rPr>
          <w:rFonts w:eastAsia="Times New Roman" w:cs="Times New Roman"/>
          <w:szCs w:val="24"/>
        </w:rPr>
        <w:t xml:space="preserve"> iesniegumu un sūdzības</w:t>
      </w:r>
      <w:r w:rsidR="00D141D9">
        <w:rPr>
          <w:rFonts w:eastAsia="Times New Roman" w:cs="Times New Roman"/>
          <w:szCs w:val="24"/>
        </w:rPr>
        <w:t xml:space="preserve">. </w:t>
      </w:r>
      <w:r w:rsidR="00F60897" w:rsidRPr="00F60897">
        <w:rPr>
          <w:rFonts w:eastAsia="Times New Roman" w:cs="Times New Roman"/>
          <w:szCs w:val="24"/>
        </w:rPr>
        <w:t>Tādējādi minētais kasācijas sūdzības arguments nav pārbaudāms.</w:t>
      </w:r>
    </w:p>
    <w:p w14:paraId="294564A0" w14:textId="77777777" w:rsidR="0006414C" w:rsidRPr="00ED311E" w:rsidRDefault="0006414C" w:rsidP="00460323">
      <w:pPr>
        <w:tabs>
          <w:tab w:val="left" w:pos="0"/>
        </w:tabs>
        <w:spacing w:after="0" w:line="276" w:lineRule="auto"/>
        <w:jc w:val="both"/>
        <w:rPr>
          <w:rFonts w:eastAsia="Times New Roman" w:cs="Times New Roman"/>
          <w:szCs w:val="24"/>
        </w:rPr>
      </w:pPr>
    </w:p>
    <w:p w14:paraId="66321B26" w14:textId="003D163A" w:rsidR="00E67557" w:rsidRDefault="0006414C" w:rsidP="00460323">
      <w:pPr>
        <w:spacing w:after="0" w:line="276" w:lineRule="auto"/>
        <w:ind w:firstLine="720"/>
        <w:jc w:val="both"/>
        <w:rPr>
          <w:rFonts w:cs="Times New Roman"/>
          <w:szCs w:val="24"/>
        </w:rPr>
      </w:pPr>
      <w:r>
        <w:rPr>
          <w:rFonts w:cs="Times New Roman"/>
          <w:szCs w:val="24"/>
        </w:rPr>
        <w:t>[7</w:t>
      </w:r>
      <w:r w:rsidR="00E67557" w:rsidRPr="00E67557">
        <w:rPr>
          <w:rFonts w:cs="Times New Roman"/>
          <w:szCs w:val="24"/>
        </w:rPr>
        <w:t>] Senāts atzīst, ka, iztiesājot krimināllietu, apelācijas instances tiesa nav pieļāvusi Krimināllikuma pārkāpumu vai Kriminālprocesa likuma būtisku pārkāpumu. Kasācijas sūdzīb</w:t>
      </w:r>
      <w:r w:rsidR="002A3578">
        <w:rPr>
          <w:rFonts w:cs="Times New Roman"/>
          <w:szCs w:val="24"/>
        </w:rPr>
        <w:t>ā</w:t>
      </w:r>
      <w:r w:rsidR="00E67557" w:rsidRPr="00E67557">
        <w:rPr>
          <w:rFonts w:cs="Times New Roman"/>
          <w:szCs w:val="24"/>
        </w:rPr>
        <w:t xml:space="preserve"> nav izklāstīti tādi argumenti, kas būtu par pamatu apelācijas instances tiesas </w:t>
      </w:r>
      <w:r w:rsidR="00471331">
        <w:rPr>
          <w:rFonts w:cs="Times New Roman"/>
          <w:szCs w:val="24"/>
        </w:rPr>
        <w:t>lēmuma</w:t>
      </w:r>
      <w:r w:rsidR="00E67557" w:rsidRPr="00E67557">
        <w:rPr>
          <w:rFonts w:cs="Times New Roman"/>
          <w:szCs w:val="24"/>
        </w:rPr>
        <w:t xml:space="preserve"> atcelšanai. </w:t>
      </w:r>
    </w:p>
    <w:p w14:paraId="324EF230" w14:textId="77777777" w:rsidR="007D5E48" w:rsidRPr="00E67557" w:rsidRDefault="007D5E48" w:rsidP="00460323">
      <w:pPr>
        <w:spacing w:after="0" w:line="276" w:lineRule="auto"/>
        <w:ind w:firstLine="720"/>
        <w:jc w:val="both"/>
        <w:rPr>
          <w:rFonts w:cs="Times New Roman"/>
          <w:szCs w:val="24"/>
        </w:rPr>
      </w:pPr>
    </w:p>
    <w:p w14:paraId="2B487685" w14:textId="77777777" w:rsidR="00E67557" w:rsidRPr="00E67557" w:rsidRDefault="00E67557" w:rsidP="00460323">
      <w:pPr>
        <w:spacing w:before="120" w:after="0" w:line="276" w:lineRule="auto"/>
        <w:jc w:val="center"/>
        <w:rPr>
          <w:rFonts w:cs="Times New Roman"/>
          <w:b/>
          <w:szCs w:val="24"/>
        </w:rPr>
      </w:pPr>
      <w:r w:rsidRPr="00E67557">
        <w:rPr>
          <w:rFonts w:cs="Times New Roman"/>
          <w:b/>
          <w:szCs w:val="24"/>
        </w:rPr>
        <w:t>Rezolutīvā daļa</w:t>
      </w:r>
    </w:p>
    <w:p w14:paraId="15F78D82" w14:textId="77777777" w:rsidR="00E67557" w:rsidRPr="00E67557" w:rsidRDefault="00E67557" w:rsidP="00460323">
      <w:pPr>
        <w:spacing w:after="0" w:line="276" w:lineRule="auto"/>
        <w:jc w:val="center"/>
        <w:rPr>
          <w:rFonts w:cs="Times New Roman"/>
          <w:b/>
          <w:szCs w:val="24"/>
        </w:rPr>
      </w:pPr>
    </w:p>
    <w:p w14:paraId="54FC68C0" w14:textId="77777777" w:rsidR="00E67557" w:rsidRPr="00E67557" w:rsidRDefault="00E67557" w:rsidP="00460323">
      <w:pPr>
        <w:spacing w:after="0" w:line="276" w:lineRule="auto"/>
        <w:ind w:firstLine="720"/>
        <w:jc w:val="both"/>
        <w:rPr>
          <w:rFonts w:cs="Times New Roman"/>
          <w:szCs w:val="24"/>
        </w:rPr>
      </w:pPr>
      <w:r w:rsidRPr="00E67557">
        <w:rPr>
          <w:rFonts w:cs="Times New Roman"/>
          <w:szCs w:val="24"/>
        </w:rPr>
        <w:t xml:space="preserve">Pamatojoties uz Kriminālprocesa likuma </w:t>
      </w:r>
      <w:proofErr w:type="gramStart"/>
      <w:r w:rsidRPr="00E67557">
        <w:rPr>
          <w:rFonts w:cs="Times New Roman"/>
          <w:szCs w:val="24"/>
        </w:rPr>
        <w:t>585.pantu</w:t>
      </w:r>
      <w:proofErr w:type="gramEnd"/>
      <w:r w:rsidRPr="00E67557">
        <w:rPr>
          <w:rFonts w:cs="Times New Roman"/>
          <w:szCs w:val="24"/>
        </w:rPr>
        <w:t xml:space="preserve"> un 587.panta pirmās daļas 1.punktu, tiesa</w:t>
      </w:r>
    </w:p>
    <w:p w14:paraId="724B7440" w14:textId="77777777" w:rsidR="00E67557" w:rsidRPr="00E67557" w:rsidRDefault="00E67557" w:rsidP="00E67557">
      <w:pPr>
        <w:spacing w:before="120" w:after="0" w:line="276" w:lineRule="auto"/>
        <w:jc w:val="center"/>
        <w:rPr>
          <w:rFonts w:cs="Times New Roman"/>
          <w:b/>
          <w:szCs w:val="24"/>
        </w:rPr>
      </w:pPr>
      <w:r w:rsidRPr="00E67557">
        <w:rPr>
          <w:rFonts w:cs="Times New Roman"/>
          <w:b/>
          <w:szCs w:val="24"/>
        </w:rPr>
        <w:t>nolēma:</w:t>
      </w:r>
    </w:p>
    <w:p w14:paraId="53B7A7AC" w14:textId="77777777" w:rsidR="00E67557" w:rsidRPr="00E67557" w:rsidRDefault="00E67557" w:rsidP="00E67557">
      <w:pPr>
        <w:spacing w:after="0" w:line="276" w:lineRule="auto"/>
        <w:jc w:val="center"/>
        <w:rPr>
          <w:rFonts w:cs="Times New Roman"/>
          <w:b/>
          <w:szCs w:val="24"/>
        </w:rPr>
      </w:pPr>
    </w:p>
    <w:p w14:paraId="47A84507" w14:textId="62247AC8" w:rsidR="00E67557" w:rsidRPr="00C3238A" w:rsidRDefault="00AA1B84" w:rsidP="00E67557">
      <w:pPr>
        <w:spacing w:after="0" w:line="276" w:lineRule="auto"/>
        <w:ind w:firstLine="720"/>
        <w:jc w:val="both"/>
        <w:rPr>
          <w:rFonts w:cs="Times New Roman"/>
          <w:szCs w:val="24"/>
        </w:rPr>
      </w:pPr>
      <w:r w:rsidRPr="00C3238A">
        <w:rPr>
          <w:rFonts w:cs="Times New Roman"/>
          <w:szCs w:val="24"/>
        </w:rPr>
        <w:t>atstāt Rīgas</w:t>
      </w:r>
      <w:r w:rsidR="00C3238A">
        <w:rPr>
          <w:rFonts w:cs="Times New Roman"/>
          <w:szCs w:val="24"/>
        </w:rPr>
        <w:t xml:space="preserve"> apgabaltiesas </w:t>
      </w:r>
      <w:proofErr w:type="gramStart"/>
      <w:r w:rsidR="00C3238A" w:rsidRPr="00843EF4">
        <w:rPr>
          <w:rFonts w:cs="Times New Roman"/>
          <w:szCs w:val="24"/>
        </w:rPr>
        <w:t>2019.gada</w:t>
      </w:r>
      <w:proofErr w:type="gramEnd"/>
      <w:r w:rsidR="00C3238A" w:rsidRPr="00843EF4">
        <w:rPr>
          <w:rFonts w:cs="Times New Roman"/>
          <w:szCs w:val="24"/>
        </w:rPr>
        <w:t xml:space="preserve"> 5.septembra lēmumu</w:t>
      </w:r>
      <w:r w:rsidR="0084475E" w:rsidRPr="0084475E">
        <w:rPr>
          <w:rFonts w:cs="Times New Roman"/>
          <w:szCs w:val="24"/>
        </w:rPr>
        <w:t xml:space="preserve"> </w:t>
      </w:r>
      <w:r w:rsidR="0084475E" w:rsidRPr="00C3238A">
        <w:rPr>
          <w:rFonts w:cs="Times New Roman"/>
          <w:szCs w:val="24"/>
        </w:rPr>
        <w:t>negrozītu</w:t>
      </w:r>
      <w:r w:rsidR="00C3238A">
        <w:rPr>
          <w:rFonts w:cs="Times New Roman"/>
          <w:szCs w:val="24"/>
        </w:rPr>
        <w:t xml:space="preserve">, bet apsūdzētā </w:t>
      </w:r>
      <w:r w:rsidR="004945A7">
        <w:rPr>
          <w:rFonts w:cs="Times New Roman"/>
          <w:szCs w:val="24"/>
        </w:rPr>
        <w:t>[pers. A]</w:t>
      </w:r>
      <w:r w:rsidR="00C3238A">
        <w:rPr>
          <w:rFonts w:cs="Times New Roman"/>
          <w:szCs w:val="24"/>
        </w:rPr>
        <w:t xml:space="preserve"> aizstāves Zanes Vilcānes kasācijas sūdzību</w:t>
      </w:r>
      <w:r w:rsidR="00E67557" w:rsidRPr="00C3238A">
        <w:rPr>
          <w:rFonts w:cs="Times New Roman"/>
          <w:szCs w:val="24"/>
        </w:rPr>
        <w:t xml:space="preserve"> noraidīt.</w:t>
      </w:r>
    </w:p>
    <w:p w14:paraId="1D6D0BB1" w14:textId="77777777" w:rsidR="00E67557" w:rsidRPr="00E67557" w:rsidRDefault="00E67557" w:rsidP="00E67557">
      <w:pPr>
        <w:spacing w:after="0" w:line="276" w:lineRule="auto"/>
        <w:ind w:firstLine="720"/>
        <w:jc w:val="both"/>
        <w:rPr>
          <w:rFonts w:cs="Times New Roman"/>
          <w:szCs w:val="24"/>
        </w:rPr>
      </w:pPr>
      <w:r w:rsidRPr="00E67557">
        <w:rPr>
          <w:rFonts w:cs="Times New Roman"/>
          <w:szCs w:val="24"/>
        </w:rPr>
        <w:t>Lēmums nav pārsūdzams.</w:t>
      </w:r>
    </w:p>
    <w:sectPr w:rsidR="00E67557" w:rsidRPr="00E67557" w:rsidSect="0081460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5745B" w14:textId="77777777" w:rsidR="009A44B5" w:rsidRDefault="009A44B5" w:rsidP="0015443D">
      <w:pPr>
        <w:spacing w:after="0" w:line="240" w:lineRule="auto"/>
      </w:pPr>
      <w:r>
        <w:separator/>
      </w:r>
    </w:p>
  </w:endnote>
  <w:endnote w:type="continuationSeparator" w:id="0">
    <w:p w14:paraId="718F683F" w14:textId="77777777" w:rsidR="009A44B5" w:rsidRDefault="009A44B5" w:rsidP="0015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00293"/>
      <w:docPartObj>
        <w:docPartGallery w:val="Page Numbers (Bottom of Page)"/>
        <w:docPartUnique/>
      </w:docPartObj>
    </w:sdtPr>
    <w:sdtEndPr/>
    <w:sdtContent>
      <w:sdt>
        <w:sdtPr>
          <w:id w:val="1728636285"/>
          <w:docPartObj>
            <w:docPartGallery w:val="Page Numbers (Top of Page)"/>
            <w:docPartUnique/>
          </w:docPartObj>
        </w:sdtPr>
        <w:sdtEndPr/>
        <w:sdtContent>
          <w:p w14:paraId="637E892E" w14:textId="77777777" w:rsidR="0015443D" w:rsidRDefault="0015443D">
            <w:pPr>
              <w:pStyle w:val="Footer"/>
              <w:jc w:val="center"/>
            </w:pPr>
            <w:r w:rsidRPr="0015443D">
              <w:rPr>
                <w:bCs/>
                <w:szCs w:val="24"/>
              </w:rPr>
              <w:fldChar w:fldCharType="begin"/>
            </w:r>
            <w:r w:rsidRPr="0015443D">
              <w:rPr>
                <w:bCs/>
              </w:rPr>
              <w:instrText xml:space="preserve"> PAGE </w:instrText>
            </w:r>
            <w:r w:rsidRPr="0015443D">
              <w:rPr>
                <w:bCs/>
                <w:szCs w:val="24"/>
              </w:rPr>
              <w:fldChar w:fldCharType="separate"/>
            </w:r>
            <w:r w:rsidR="007D5E48">
              <w:rPr>
                <w:bCs/>
                <w:noProof/>
              </w:rPr>
              <w:t>7</w:t>
            </w:r>
            <w:r w:rsidRPr="0015443D">
              <w:rPr>
                <w:bCs/>
                <w:szCs w:val="24"/>
              </w:rPr>
              <w:fldChar w:fldCharType="end"/>
            </w:r>
            <w:r w:rsidRPr="0015443D">
              <w:t xml:space="preserve"> no </w:t>
            </w:r>
            <w:r w:rsidRPr="0015443D">
              <w:rPr>
                <w:bCs/>
                <w:szCs w:val="24"/>
              </w:rPr>
              <w:fldChar w:fldCharType="begin"/>
            </w:r>
            <w:r w:rsidRPr="0015443D">
              <w:rPr>
                <w:bCs/>
              </w:rPr>
              <w:instrText xml:space="preserve"> NUMPAGES  </w:instrText>
            </w:r>
            <w:r w:rsidRPr="0015443D">
              <w:rPr>
                <w:bCs/>
                <w:szCs w:val="24"/>
              </w:rPr>
              <w:fldChar w:fldCharType="separate"/>
            </w:r>
            <w:r w:rsidR="007D5E48">
              <w:rPr>
                <w:bCs/>
                <w:noProof/>
              </w:rPr>
              <w:t>7</w:t>
            </w:r>
            <w:r w:rsidRPr="0015443D">
              <w:rPr>
                <w:bCs/>
                <w:szCs w:val="24"/>
              </w:rPr>
              <w:fldChar w:fldCharType="end"/>
            </w:r>
          </w:p>
        </w:sdtContent>
      </w:sdt>
    </w:sdtContent>
  </w:sdt>
  <w:p w14:paraId="0861975A" w14:textId="77777777" w:rsidR="0015443D" w:rsidRDefault="0015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936EF" w14:textId="77777777" w:rsidR="009A44B5" w:rsidRDefault="009A44B5" w:rsidP="0015443D">
      <w:pPr>
        <w:spacing w:after="0" w:line="240" w:lineRule="auto"/>
      </w:pPr>
      <w:r>
        <w:separator/>
      </w:r>
    </w:p>
  </w:footnote>
  <w:footnote w:type="continuationSeparator" w:id="0">
    <w:p w14:paraId="46015C80" w14:textId="77777777" w:rsidR="009A44B5" w:rsidRDefault="009A44B5" w:rsidP="00154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B52CE"/>
    <w:multiLevelType w:val="hybridMultilevel"/>
    <w:tmpl w:val="48264320"/>
    <w:lvl w:ilvl="0" w:tplc="70249D0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C86E2A"/>
    <w:multiLevelType w:val="hybridMultilevel"/>
    <w:tmpl w:val="0EF88A10"/>
    <w:lvl w:ilvl="0" w:tplc="EBE0923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8B"/>
    <w:rsid w:val="0001397E"/>
    <w:rsid w:val="00020970"/>
    <w:rsid w:val="000352D7"/>
    <w:rsid w:val="00035653"/>
    <w:rsid w:val="0006414C"/>
    <w:rsid w:val="00066BFA"/>
    <w:rsid w:val="000929B1"/>
    <w:rsid w:val="000B0306"/>
    <w:rsid w:val="000B0579"/>
    <w:rsid w:val="001006BE"/>
    <w:rsid w:val="00122388"/>
    <w:rsid w:val="0013164C"/>
    <w:rsid w:val="0013648C"/>
    <w:rsid w:val="0015443D"/>
    <w:rsid w:val="00164F2D"/>
    <w:rsid w:val="00182328"/>
    <w:rsid w:val="00192BC0"/>
    <w:rsid w:val="001B5236"/>
    <w:rsid w:val="001C4E8C"/>
    <w:rsid w:val="001C63B6"/>
    <w:rsid w:val="001D595C"/>
    <w:rsid w:val="001E3101"/>
    <w:rsid w:val="001E63AB"/>
    <w:rsid w:val="001E7612"/>
    <w:rsid w:val="001F55BE"/>
    <w:rsid w:val="002076D0"/>
    <w:rsid w:val="00222F77"/>
    <w:rsid w:val="00230BE3"/>
    <w:rsid w:val="0024194A"/>
    <w:rsid w:val="00242012"/>
    <w:rsid w:val="002505EC"/>
    <w:rsid w:val="002626E3"/>
    <w:rsid w:val="00266639"/>
    <w:rsid w:val="002A3578"/>
    <w:rsid w:val="002F1866"/>
    <w:rsid w:val="00316F70"/>
    <w:rsid w:val="00317468"/>
    <w:rsid w:val="00334265"/>
    <w:rsid w:val="0035001A"/>
    <w:rsid w:val="00355013"/>
    <w:rsid w:val="00372DF6"/>
    <w:rsid w:val="0038535A"/>
    <w:rsid w:val="00392A00"/>
    <w:rsid w:val="0039518E"/>
    <w:rsid w:val="00395D76"/>
    <w:rsid w:val="003A6621"/>
    <w:rsid w:val="003B7D2B"/>
    <w:rsid w:val="003F08B1"/>
    <w:rsid w:val="00426011"/>
    <w:rsid w:val="00444E4A"/>
    <w:rsid w:val="004452FA"/>
    <w:rsid w:val="00453184"/>
    <w:rsid w:val="00460323"/>
    <w:rsid w:val="00471331"/>
    <w:rsid w:val="004860B1"/>
    <w:rsid w:val="004945A7"/>
    <w:rsid w:val="004C0937"/>
    <w:rsid w:val="004F76C1"/>
    <w:rsid w:val="00503585"/>
    <w:rsid w:val="00507787"/>
    <w:rsid w:val="00540D73"/>
    <w:rsid w:val="00566D5D"/>
    <w:rsid w:val="00572157"/>
    <w:rsid w:val="005722AC"/>
    <w:rsid w:val="0057593E"/>
    <w:rsid w:val="00581763"/>
    <w:rsid w:val="00592790"/>
    <w:rsid w:val="0059385D"/>
    <w:rsid w:val="0059431D"/>
    <w:rsid w:val="0059791C"/>
    <w:rsid w:val="005A1401"/>
    <w:rsid w:val="005A1FBF"/>
    <w:rsid w:val="005A4165"/>
    <w:rsid w:val="005B44C4"/>
    <w:rsid w:val="005C11D9"/>
    <w:rsid w:val="005D0D6C"/>
    <w:rsid w:val="005F1826"/>
    <w:rsid w:val="005F6AAC"/>
    <w:rsid w:val="0060077B"/>
    <w:rsid w:val="00604C1C"/>
    <w:rsid w:val="00623DA6"/>
    <w:rsid w:val="006414F0"/>
    <w:rsid w:val="00645CDC"/>
    <w:rsid w:val="0064754E"/>
    <w:rsid w:val="00650C20"/>
    <w:rsid w:val="00661C25"/>
    <w:rsid w:val="00670B7B"/>
    <w:rsid w:val="00692DE4"/>
    <w:rsid w:val="006B481F"/>
    <w:rsid w:val="006B7C59"/>
    <w:rsid w:val="006C083A"/>
    <w:rsid w:val="007054A4"/>
    <w:rsid w:val="00722065"/>
    <w:rsid w:val="0073501B"/>
    <w:rsid w:val="00745D8F"/>
    <w:rsid w:val="00767F5C"/>
    <w:rsid w:val="00771859"/>
    <w:rsid w:val="00786B07"/>
    <w:rsid w:val="00795637"/>
    <w:rsid w:val="007D5E48"/>
    <w:rsid w:val="007F69B2"/>
    <w:rsid w:val="008025A5"/>
    <w:rsid w:val="008035B1"/>
    <w:rsid w:val="00807CB6"/>
    <w:rsid w:val="008118DE"/>
    <w:rsid w:val="00814606"/>
    <w:rsid w:val="0082394C"/>
    <w:rsid w:val="0082541F"/>
    <w:rsid w:val="0084475E"/>
    <w:rsid w:val="00847797"/>
    <w:rsid w:val="00855643"/>
    <w:rsid w:val="00861C94"/>
    <w:rsid w:val="00874E17"/>
    <w:rsid w:val="008828C8"/>
    <w:rsid w:val="00890B6F"/>
    <w:rsid w:val="00893D34"/>
    <w:rsid w:val="008A3D8C"/>
    <w:rsid w:val="008A5501"/>
    <w:rsid w:val="008D5B91"/>
    <w:rsid w:val="008E6226"/>
    <w:rsid w:val="008F0F65"/>
    <w:rsid w:val="00905367"/>
    <w:rsid w:val="00930C7A"/>
    <w:rsid w:val="00976A75"/>
    <w:rsid w:val="009A44B5"/>
    <w:rsid w:val="009A59F6"/>
    <w:rsid w:val="009B44DC"/>
    <w:rsid w:val="009D0A74"/>
    <w:rsid w:val="009E7398"/>
    <w:rsid w:val="009E778B"/>
    <w:rsid w:val="009E7C51"/>
    <w:rsid w:val="00A00A06"/>
    <w:rsid w:val="00A16382"/>
    <w:rsid w:val="00A35535"/>
    <w:rsid w:val="00A65D84"/>
    <w:rsid w:val="00A82871"/>
    <w:rsid w:val="00AA0ED3"/>
    <w:rsid w:val="00AA1B84"/>
    <w:rsid w:val="00AA790B"/>
    <w:rsid w:val="00AB7972"/>
    <w:rsid w:val="00AC53FB"/>
    <w:rsid w:val="00AE43C3"/>
    <w:rsid w:val="00B007A3"/>
    <w:rsid w:val="00B11F0B"/>
    <w:rsid w:val="00B22D3E"/>
    <w:rsid w:val="00B3025D"/>
    <w:rsid w:val="00B5692F"/>
    <w:rsid w:val="00B61030"/>
    <w:rsid w:val="00B66B7B"/>
    <w:rsid w:val="00B716A9"/>
    <w:rsid w:val="00B908F6"/>
    <w:rsid w:val="00B930E2"/>
    <w:rsid w:val="00B96F93"/>
    <w:rsid w:val="00BA0661"/>
    <w:rsid w:val="00BB0ED0"/>
    <w:rsid w:val="00BB1A6D"/>
    <w:rsid w:val="00BB3BFD"/>
    <w:rsid w:val="00BB6DBB"/>
    <w:rsid w:val="00BD5FBF"/>
    <w:rsid w:val="00BE0314"/>
    <w:rsid w:val="00BE23AD"/>
    <w:rsid w:val="00BF1C91"/>
    <w:rsid w:val="00C1678B"/>
    <w:rsid w:val="00C16DCF"/>
    <w:rsid w:val="00C26C9B"/>
    <w:rsid w:val="00C31160"/>
    <w:rsid w:val="00C3238A"/>
    <w:rsid w:val="00C350A2"/>
    <w:rsid w:val="00C40410"/>
    <w:rsid w:val="00C55BE7"/>
    <w:rsid w:val="00C941C3"/>
    <w:rsid w:val="00CB0B12"/>
    <w:rsid w:val="00CC3D51"/>
    <w:rsid w:val="00CC52F4"/>
    <w:rsid w:val="00CD59EE"/>
    <w:rsid w:val="00CE5A5E"/>
    <w:rsid w:val="00CF79E0"/>
    <w:rsid w:val="00D007B7"/>
    <w:rsid w:val="00D141D9"/>
    <w:rsid w:val="00D17892"/>
    <w:rsid w:val="00D26726"/>
    <w:rsid w:val="00D36D1A"/>
    <w:rsid w:val="00D404FB"/>
    <w:rsid w:val="00D54E43"/>
    <w:rsid w:val="00D56B9F"/>
    <w:rsid w:val="00D723C0"/>
    <w:rsid w:val="00D7267B"/>
    <w:rsid w:val="00D76640"/>
    <w:rsid w:val="00D946A4"/>
    <w:rsid w:val="00D962F7"/>
    <w:rsid w:val="00D96398"/>
    <w:rsid w:val="00DA6ED2"/>
    <w:rsid w:val="00DB7214"/>
    <w:rsid w:val="00DC41F8"/>
    <w:rsid w:val="00DF220B"/>
    <w:rsid w:val="00E02D60"/>
    <w:rsid w:val="00E105AD"/>
    <w:rsid w:val="00E12768"/>
    <w:rsid w:val="00E21ED4"/>
    <w:rsid w:val="00E43046"/>
    <w:rsid w:val="00E54F31"/>
    <w:rsid w:val="00E569E8"/>
    <w:rsid w:val="00E67557"/>
    <w:rsid w:val="00E74447"/>
    <w:rsid w:val="00E87A19"/>
    <w:rsid w:val="00E96A9A"/>
    <w:rsid w:val="00EA2678"/>
    <w:rsid w:val="00EB42AA"/>
    <w:rsid w:val="00EB647D"/>
    <w:rsid w:val="00EB6F21"/>
    <w:rsid w:val="00ED311E"/>
    <w:rsid w:val="00EE1EE8"/>
    <w:rsid w:val="00EF7EEB"/>
    <w:rsid w:val="00F07481"/>
    <w:rsid w:val="00F2397D"/>
    <w:rsid w:val="00F43801"/>
    <w:rsid w:val="00F47A41"/>
    <w:rsid w:val="00F52DE9"/>
    <w:rsid w:val="00F60897"/>
    <w:rsid w:val="00F81E4F"/>
    <w:rsid w:val="00FA0CC2"/>
    <w:rsid w:val="00FC0687"/>
    <w:rsid w:val="00FC1852"/>
    <w:rsid w:val="00FC30D5"/>
    <w:rsid w:val="00FD39BE"/>
    <w:rsid w:val="00FE51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2C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51"/>
    <w:pPr>
      <w:ind w:left="720"/>
      <w:contextualSpacing/>
    </w:pPr>
  </w:style>
  <w:style w:type="table" w:styleId="TableGrid">
    <w:name w:val="Table Grid"/>
    <w:basedOn w:val="TableNormal"/>
    <w:uiPriority w:val="39"/>
    <w:rsid w:val="00E6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4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443D"/>
  </w:style>
  <w:style w:type="paragraph" w:styleId="Footer">
    <w:name w:val="footer"/>
    <w:basedOn w:val="Normal"/>
    <w:link w:val="FooterChar"/>
    <w:uiPriority w:val="99"/>
    <w:unhideWhenUsed/>
    <w:rsid w:val="001544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443D"/>
  </w:style>
  <w:style w:type="paragraph" w:styleId="BalloonText">
    <w:name w:val="Balloon Text"/>
    <w:basedOn w:val="Normal"/>
    <w:link w:val="BalloonTextChar"/>
    <w:uiPriority w:val="99"/>
    <w:semiHidden/>
    <w:unhideWhenUsed/>
    <w:rsid w:val="00DA6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D2"/>
    <w:rPr>
      <w:rFonts w:ascii="Segoe UI" w:hAnsi="Segoe UI" w:cs="Segoe UI"/>
      <w:sz w:val="18"/>
      <w:szCs w:val="18"/>
    </w:rPr>
  </w:style>
  <w:style w:type="character" w:styleId="CommentReference">
    <w:name w:val="annotation reference"/>
    <w:basedOn w:val="DefaultParagraphFont"/>
    <w:uiPriority w:val="99"/>
    <w:semiHidden/>
    <w:unhideWhenUsed/>
    <w:rsid w:val="00AB7972"/>
    <w:rPr>
      <w:sz w:val="16"/>
      <w:szCs w:val="16"/>
    </w:rPr>
  </w:style>
  <w:style w:type="paragraph" w:styleId="CommentText">
    <w:name w:val="annotation text"/>
    <w:basedOn w:val="Normal"/>
    <w:link w:val="CommentTextChar"/>
    <w:uiPriority w:val="99"/>
    <w:semiHidden/>
    <w:unhideWhenUsed/>
    <w:rsid w:val="00AB7972"/>
    <w:pPr>
      <w:spacing w:line="240" w:lineRule="auto"/>
    </w:pPr>
    <w:rPr>
      <w:sz w:val="20"/>
      <w:szCs w:val="20"/>
    </w:rPr>
  </w:style>
  <w:style w:type="character" w:customStyle="1" w:styleId="CommentTextChar">
    <w:name w:val="Comment Text Char"/>
    <w:basedOn w:val="DefaultParagraphFont"/>
    <w:link w:val="CommentText"/>
    <w:uiPriority w:val="99"/>
    <w:semiHidden/>
    <w:rsid w:val="00AB7972"/>
    <w:rPr>
      <w:sz w:val="20"/>
      <w:szCs w:val="20"/>
    </w:rPr>
  </w:style>
  <w:style w:type="paragraph" w:styleId="CommentSubject">
    <w:name w:val="annotation subject"/>
    <w:basedOn w:val="CommentText"/>
    <w:next w:val="CommentText"/>
    <w:link w:val="CommentSubjectChar"/>
    <w:uiPriority w:val="99"/>
    <w:semiHidden/>
    <w:unhideWhenUsed/>
    <w:rsid w:val="00AB7972"/>
    <w:rPr>
      <w:b/>
      <w:bCs/>
    </w:rPr>
  </w:style>
  <w:style w:type="character" w:customStyle="1" w:styleId="CommentSubjectChar">
    <w:name w:val="Comment Subject Char"/>
    <w:basedOn w:val="CommentTextChar"/>
    <w:link w:val="CommentSubject"/>
    <w:uiPriority w:val="99"/>
    <w:semiHidden/>
    <w:rsid w:val="00AB7972"/>
    <w:rPr>
      <w:b/>
      <w:bCs/>
      <w:sz w:val="20"/>
      <w:szCs w:val="20"/>
    </w:rPr>
  </w:style>
  <w:style w:type="character" w:styleId="Hyperlink">
    <w:name w:val="Hyperlink"/>
    <w:basedOn w:val="DefaultParagraphFont"/>
    <w:uiPriority w:val="99"/>
    <w:unhideWhenUsed/>
    <w:rsid w:val="00D17892"/>
    <w:rPr>
      <w:color w:val="0563C1" w:themeColor="hyperlink"/>
      <w:u w:val="single"/>
    </w:rPr>
  </w:style>
  <w:style w:type="character" w:styleId="UnresolvedMention">
    <w:name w:val="Unresolved Mention"/>
    <w:basedOn w:val="DefaultParagraphFont"/>
    <w:uiPriority w:val="99"/>
    <w:semiHidden/>
    <w:unhideWhenUsed/>
    <w:rsid w:val="00D1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363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5579-9586-43CF-8C83-2C592E18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14494</Words>
  <Characters>8262</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2020-12-11T13:10:00Z</dcterms:created>
  <dcterms:modified xsi:type="dcterms:W3CDTF">2020-12-11T13:10:00Z</dcterms:modified>
</cp:coreProperties>
</file>