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E43DB" w14:textId="77777777" w:rsidR="0059083C" w:rsidRDefault="0059083C" w:rsidP="0059083C">
      <w:pPr>
        <w:spacing w:line="276" w:lineRule="auto"/>
        <w:jc w:val="both"/>
        <w:rPr>
          <w:b/>
          <w:bCs/>
        </w:rPr>
      </w:pPr>
      <w:r>
        <w:rPr>
          <w:b/>
          <w:bCs/>
        </w:rPr>
        <w:t xml:space="preserve">Izdevumu par ES, EEZ dalībvalstī un Šveicē saņemtu veselības aprūpes pakalpojumu atlīdzināšana un iepriekšējās atļaujas </w:t>
      </w:r>
      <w:r w:rsidRPr="008808ED">
        <w:rPr>
          <w:b/>
          <w:bCs/>
        </w:rPr>
        <w:t>sistēma gadījum</w:t>
      </w:r>
      <w:r>
        <w:rPr>
          <w:b/>
          <w:bCs/>
        </w:rPr>
        <w:t>os</w:t>
      </w:r>
      <w:r w:rsidRPr="008808ED">
        <w:rPr>
          <w:b/>
          <w:bCs/>
        </w:rPr>
        <w:t>, kad Latvijā pakalpojums ir pieejams, bet neatbilst personas reliģiskajai pārliecībai</w:t>
      </w:r>
    </w:p>
    <w:p w14:paraId="45E8E160" w14:textId="77777777" w:rsidR="002A73BC" w:rsidRDefault="002A73BC" w:rsidP="00287404">
      <w:pPr>
        <w:spacing w:line="276" w:lineRule="auto"/>
        <w:jc w:val="center"/>
      </w:pPr>
    </w:p>
    <w:p w14:paraId="74C6F4B9" w14:textId="3BEC9DF2" w:rsidR="006F5D3B" w:rsidRDefault="006F5D3B" w:rsidP="00287404">
      <w:pPr>
        <w:spacing w:line="276" w:lineRule="auto"/>
        <w:jc w:val="center"/>
        <w:rPr>
          <w:b/>
        </w:rPr>
      </w:pPr>
      <w:r w:rsidRPr="002A73BC">
        <w:rPr>
          <w:b/>
        </w:rPr>
        <w:t xml:space="preserve">Latvijas Republikas </w:t>
      </w:r>
      <w:r w:rsidR="00F24636" w:rsidRPr="002A73BC">
        <w:rPr>
          <w:b/>
        </w:rPr>
        <w:t>Senāt</w:t>
      </w:r>
      <w:r w:rsidR="002A73BC">
        <w:rPr>
          <w:b/>
        </w:rPr>
        <w:t>a</w:t>
      </w:r>
    </w:p>
    <w:p w14:paraId="2E524AEF" w14:textId="0B116DB2" w:rsidR="002A73BC" w:rsidRDefault="002A73BC" w:rsidP="00287404">
      <w:pPr>
        <w:spacing w:line="276" w:lineRule="auto"/>
        <w:jc w:val="center"/>
        <w:rPr>
          <w:b/>
        </w:rPr>
      </w:pPr>
      <w:r>
        <w:rPr>
          <w:b/>
        </w:rPr>
        <w:t>Administratīvo lietu departamenta</w:t>
      </w:r>
    </w:p>
    <w:p w14:paraId="36AA0D85" w14:textId="1D54280F" w:rsidR="002A73BC" w:rsidRPr="002A73BC" w:rsidRDefault="002A73BC" w:rsidP="00287404">
      <w:pPr>
        <w:spacing w:line="276" w:lineRule="auto"/>
        <w:jc w:val="center"/>
        <w:rPr>
          <w:b/>
        </w:rPr>
      </w:pPr>
      <w:proofErr w:type="gramStart"/>
      <w:r>
        <w:rPr>
          <w:b/>
        </w:rPr>
        <w:t>2020.gada</w:t>
      </w:r>
      <w:proofErr w:type="gramEnd"/>
      <w:r>
        <w:rPr>
          <w:b/>
        </w:rPr>
        <w:t xml:space="preserve"> 27.novembra</w:t>
      </w:r>
    </w:p>
    <w:p w14:paraId="0FA75086" w14:textId="40918DF5" w:rsidR="003047F5" w:rsidRDefault="00ED058D" w:rsidP="00287404">
      <w:pPr>
        <w:spacing w:line="276" w:lineRule="auto"/>
        <w:jc w:val="center"/>
        <w:rPr>
          <w:b/>
        </w:rPr>
      </w:pPr>
      <w:r w:rsidRPr="002A73BC">
        <w:rPr>
          <w:b/>
        </w:rPr>
        <w:t>SPRIEDUMS</w:t>
      </w:r>
    </w:p>
    <w:p w14:paraId="2AFFC6EC" w14:textId="4F11E07B" w:rsidR="002A73BC" w:rsidRDefault="002A73BC" w:rsidP="00287404">
      <w:pPr>
        <w:spacing w:line="276" w:lineRule="auto"/>
        <w:jc w:val="center"/>
        <w:rPr>
          <w:b/>
        </w:rPr>
      </w:pPr>
      <w:r>
        <w:rPr>
          <w:b/>
        </w:rPr>
        <w:t>Lieta Nr. A420281216, SKA-18/2020</w:t>
      </w:r>
    </w:p>
    <w:p w14:paraId="7BDDBE53" w14:textId="38E46BF5" w:rsidR="002A73BC" w:rsidRPr="0059083C" w:rsidRDefault="0059083C" w:rsidP="00287404">
      <w:pPr>
        <w:spacing w:line="276" w:lineRule="auto"/>
        <w:jc w:val="center"/>
        <w:rPr>
          <w:b/>
          <w:color w:val="0000FF"/>
        </w:rPr>
      </w:pPr>
      <w:hyperlink r:id="rId7" w:history="1">
        <w:r w:rsidR="002A73BC" w:rsidRPr="0059083C">
          <w:rPr>
            <w:rStyle w:val="Hyperlink"/>
            <w:color w:val="0000FF"/>
          </w:rPr>
          <w:t>ECLI:LV:AT:2020:1127.A420281216.5.S</w:t>
        </w:r>
      </w:hyperlink>
    </w:p>
    <w:p w14:paraId="573E23FE" w14:textId="77777777" w:rsidR="003047F5" w:rsidRPr="00FF6087" w:rsidRDefault="003047F5" w:rsidP="00287404">
      <w:pPr>
        <w:spacing w:line="276" w:lineRule="auto"/>
        <w:jc w:val="center"/>
      </w:pPr>
    </w:p>
    <w:p w14:paraId="05F79DAB" w14:textId="39C04E0C" w:rsidR="0094548B" w:rsidRPr="00FF6087" w:rsidRDefault="00F24636" w:rsidP="00F24636">
      <w:pPr>
        <w:spacing w:line="276" w:lineRule="auto"/>
        <w:ind w:firstLine="720"/>
        <w:jc w:val="both"/>
      </w:pPr>
      <w:r w:rsidRPr="00FF6087">
        <w:t>Tiesa</w:t>
      </w:r>
      <w:r w:rsidR="00243DBB" w:rsidRPr="00FF6087">
        <w:t xml:space="preserve"> </w:t>
      </w:r>
      <w:r w:rsidR="008A7FEC" w:rsidRPr="00FF6087">
        <w:t>šādā sastāvā</w:t>
      </w:r>
      <w:r w:rsidR="00195D41" w:rsidRPr="00FF6087">
        <w:t>:</w:t>
      </w:r>
      <w:r w:rsidRPr="00FF6087">
        <w:t xml:space="preserve"> senator</w:t>
      </w:r>
      <w:r w:rsidR="00FE38A4">
        <w:t>es</w:t>
      </w:r>
      <w:r w:rsidR="00670032" w:rsidRPr="00FF6087">
        <w:t xml:space="preserve"> </w:t>
      </w:r>
      <w:r w:rsidR="00EB2B18" w:rsidRPr="00FF6087">
        <w:t>Anita Kovaļevska</w:t>
      </w:r>
      <w:r w:rsidR="00287404" w:rsidRPr="00FF6087">
        <w:t>,</w:t>
      </w:r>
      <w:r w:rsidR="00BE5E98">
        <w:t xml:space="preserve"> </w:t>
      </w:r>
      <w:r w:rsidR="006758EE">
        <w:t>Veronika Krūmiņa</w:t>
      </w:r>
      <w:r w:rsidR="00F66A0B">
        <w:t>, Ieva Višķere</w:t>
      </w:r>
    </w:p>
    <w:p w14:paraId="07686D29" w14:textId="77777777" w:rsidR="00604A78" w:rsidRPr="00FF6087" w:rsidRDefault="00604A78" w:rsidP="00287404">
      <w:pPr>
        <w:spacing w:line="276" w:lineRule="auto"/>
        <w:ind w:firstLine="720"/>
        <w:jc w:val="both"/>
      </w:pPr>
    </w:p>
    <w:p w14:paraId="4C306EAC" w14:textId="214EC61B" w:rsidR="00604A78" w:rsidRPr="00FF6087" w:rsidRDefault="006758EE" w:rsidP="00287404">
      <w:pPr>
        <w:spacing w:line="276" w:lineRule="auto"/>
        <w:ind w:firstLine="720"/>
        <w:jc w:val="both"/>
      </w:pPr>
      <w:r w:rsidRPr="00160E58">
        <w:t xml:space="preserve">rakstveida procesā izskatīja administratīvo lietu, kas ierosināta, pamatojoties uz </w:t>
      </w:r>
      <w:r w:rsidR="004723FD">
        <w:t>[pers. A]</w:t>
      </w:r>
      <w:r w:rsidRPr="00160E58">
        <w:t xml:space="preserve"> pieteikumu par labvēlīga administratīvā akta izdošanu, sakarā ar </w:t>
      </w:r>
      <w:proofErr w:type="gramStart"/>
      <w:r w:rsidR="004723FD">
        <w:t>[</w:t>
      </w:r>
      <w:proofErr w:type="gramEnd"/>
      <w:r w:rsidR="004723FD">
        <w:t>pers. A]</w:t>
      </w:r>
      <w:r w:rsidRPr="00160E58">
        <w:t xml:space="preserve"> kasācijas sūdzību par Administratīvās apgabaltiesas </w:t>
      </w:r>
      <w:proofErr w:type="gramStart"/>
      <w:r w:rsidRPr="00160E58">
        <w:t>2017.gada</w:t>
      </w:r>
      <w:proofErr w:type="gramEnd"/>
      <w:r w:rsidRPr="00160E58">
        <w:t xml:space="preserve"> 10.februāra spriedumu.</w:t>
      </w:r>
    </w:p>
    <w:p w14:paraId="79129FD6" w14:textId="77777777" w:rsidR="007F61F8" w:rsidRPr="00FF6087" w:rsidRDefault="007F61F8" w:rsidP="00287404">
      <w:pPr>
        <w:spacing w:line="276" w:lineRule="auto"/>
        <w:ind w:firstLine="720"/>
        <w:jc w:val="both"/>
      </w:pPr>
    </w:p>
    <w:p w14:paraId="5A8ACF66" w14:textId="77777777" w:rsidR="003047F5" w:rsidRPr="00FF6087" w:rsidRDefault="003047F5" w:rsidP="00287404">
      <w:pPr>
        <w:spacing w:line="276" w:lineRule="auto"/>
        <w:jc w:val="center"/>
        <w:rPr>
          <w:b/>
        </w:rPr>
      </w:pPr>
      <w:r w:rsidRPr="00FF6087">
        <w:rPr>
          <w:b/>
        </w:rPr>
        <w:t>Aprakstošā daļa</w:t>
      </w:r>
    </w:p>
    <w:p w14:paraId="1A43633C" w14:textId="77777777" w:rsidR="00604A78" w:rsidRPr="00FF6087" w:rsidRDefault="00604A78" w:rsidP="00287404">
      <w:pPr>
        <w:spacing w:line="276" w:lineRule="auto"/>
        <w:ind w:firstLine="720"/>
        <w:jc w:val="both"/>
      </w:pPr>
    </w:p>
    <w:p w14:paraId="08E94390" w14:textId="7DEBEF34" w:rsidR="006758EE" w:rsidRPr="00713D5F" w:rsidRDefault="006758EE" w:rsidP="006758EE">
      <w:pPr>
        <w:spacing w:line="276" w:lineRule="auto"/>
        <w:ind w:firstLine="709"/>
        <w:jc w:val="both"/>
      </w:pPr>
      <w:r w:rsidRPr="00713D5F">
        <w:t xml:space="preserve">[1] Pieteicēja </w:t>
      </w:r>
      <w:r w:rsidR="004723FD">
        <w:t>[pers. A]</w:t>
      </w:r>
      <w:r w:rsidRPr="00713D5F">
        <w:t xml:space="preserve"> dēlam </w:t>
      </w:r>
      <w:proofErr w:type="gramStart"/>
      <w:r w:rsidR="004723FD">
        <w:t>[</w:t>
      </w:r>
      <w:proofErr w:type="gramEnd"/>
      <w:r w:rsidR="004723FD">
        <w:t>pers. B]</w:t>
      </w:r>
      <w:r w:rsidRPr="00713D5F">
        <w:t xml:space="preserve"> ir iedzimta sirdskaite, </w:t>
      </w:r>
      <w:r>
        <w:t>tāpēc viņam bija</w:t>
      </w:r>
      <w:r w:rsidRPr="00713D5F">
        <w:t xml:space="preserve"> nepieciešama </w:t>
      </w:r>
      <w:r>
        <w:t>medicīniska procedūra</w:t>
      </w:r>
      <w:r w:rsidRPr="00713D5F">
        <w:t xml:space="preserve"> </w:t>
      </w:r>
      <w:r>
        <w:t xml:space="preserve">– </w:t>
      </w:r>
      <w:proofErr w:type="spellStart"/>
      <w:r w:rsidRPr="00A96539">
        <w:rPr>
          <w:i/>
        </w:rPr>
        <w:t>Fallot</w:t>
      </w:r>
      <w:proofErr w:type="spellEnd"/>
      <w:r w:rsidRPr="00A96539">
        <w:t xml:space="preserve"> </w:t>
      </w:r>
      <w:proofErr w:type="spellStart"/>
      <w:r w:rsidRPr="00A96539">
        <w:t>tetrādes</w:t>
      </w:r>
      <w:proofErr w:type="spellEnd"/>
      <w:r w:rsidRPr="00A96539">
        <w:t xml:space="preserve"> radikāla korekcija</w:t>
      </w:r>
      <w:r>
        <w:t>.</w:t>
      </w:r>
      <w:r w:rsidRPr="00713D5F">
        <w:t xml:space="preserve"> </w:t>
      </w:r>
      <w:r>
        <w:t>P</w:t>
      </w:r>
      <w:r w:rsidRPr="00713D5F">
        <w:t>ieteicējs ir Jehovas liecinieks</w:t>
      </w:r>
      <w:r>
        <w:t>, tāpēc iebilst asins pārliešanai šīs procedūras laikā.</w:t>
      </w:r>
      <w:r w:rsidRPr="00713D5F">
        <w:t xml:space="preserve"> Tā kā Latvijā šī procedūra </w:t>
      </w:r>
      <w:r w:rsidRPr="00B73CE5">
        <w:t xml:space="preserve">bezasiņu perfūzijā </w:t>
      </w:r>
      <w:r w:rsidRPr="00713D5F">
        <w:t xml:space="preserve">nav pieejama, viņš lūdza Nacionālo veselības dienestu izsniegt viņa dēlam </w:t>
      </w:r>
      <w:r>
        <w:t>S</w:t>
      </w:r>
      <w:r w:rsidR="00EE7DA8">
        <w:t> </w:t>
      </w:r>
      <w:r>
        <w:t xml:space="preserve">2 </w:t>
      </w:r>
      <w:r w:rsidRPr="00713D5F">
        <w:t>veidlapu „Apliecinājums par tiesībām uz ārstēšanu”, kas nodrošina personai tiesības saņemt</w:t>
      </w:r>
      <w:r w:rsidR="00071564" w:rsidRPr="00071564">
        <w:t xml:space="preserve"> </w:t>
      </w:r>
      <w:r w:rsidR="00071564" w:rsidRPr="00F56F41">
        <w:t>no valsts budžeta līdzekļiem apmaksātus</w:t>
      </w:r>
      <w:r w:rsidRPr="00713D5F">
        <w:t xml:space="preserve"> noteiktus plānveida veselības aprūpes pakalpojumus citā E</w:t>
      </w:r>
      <w:r w:rsidR="00711EB5">
        <w:t>S</w:t>
      </w:r>
      <w:r w:rsidRPr="00713D5F">
        <w:t xml:space="preserve"> dalībvalstī, E</w:t>
      </w:r>
      <w:r w:rsidR="00711EB5">
        <w:t>EZ</w:t>
      </w:r>
      <w:r w:rsidRPr="00713D5F">
        <w:t xml:space="preserve"> valstī vai Šveicē. Dienests ar 2016.gada 29.marta lēmumu atteica izsniegt šo veidlapu. Ar Veselības ministrijas 2016.gada 15.jūlija lēmumu Nr. 01-23.3/3069 atstāts negrozīts Nacionālā veselības dienesta lēmums.</w:t>
      </w:r>
    </w:p>
    <w:p w14:paraId="77D1A408" w14:textId="77777777" w:rsidR="006758EE" w:rsidRPr="00713D5F" w:rsidRDefault="006758EE" w:rsidP="006758EE">
      <w:pPr>
        <w:spacing w:line="276" w:lineRule="auto"/>
        <w:ind w:firstLine="709"/>
        <w:jc w:val="both"/>
      </w:pPr>
    </w:p>
    <w:p w14:paraId="408EB401" w14:textId="447C9A9F" w:rsidR="006758EE" w:rsidRPr="00713D5F" w:rsidRDefault="006758EE" w:rsidP="006758EE">
      <w:pPr>
        <w:spacing w:line="276" w:lineRule="auto"/>
        <w:ind w:firstLine="709"/>
        <w:jc w:val="both"/>
      </w:pPr>
      <w:r w:rsidRPr="00713D5F">
        <w:t xml:space="preserve">[2] Pieteicējs vērsās tiesā ar pieteikumu </w:t>
      </w:r>
      <w:r>
        <w:t xml:space="preserve">par </w:t>
      </w:r>
      <w:r w:rsidRPr="00713D5F">
        <w:t>labvēlīga administratīvā akta izdošanu par tiesībām saņemt</w:t>
      </w:r>
      <w:r w:rsidR="00071564" w:rsidRPr="00071564">
        <w:t xml:space="preserve"> </w:t>
      </w:r>
      <w:r w:rsidR="00071564" w:rsidRPr="00F56F41">
        <w:t>no valsts budžeta līdzekļiem apmaksātus</w:t>
      </w:r>
      <w:r w:rsidRPr="00713D5F">
        <w:t xml:space="preserve"> noteiktus plānveida veselības aprūpes pakalpojumus pieteicēja dēlam.</w:t>
      </w:r>
    </w:p>
    <w:p w14:paraId="3D9C4FD3" w14:textId="77777777" w:rsidR="006758EE" w:rsidRPr="00713D5F" w:rsidRDefault="006758EE" w:rsidP="006758EE">
      <w:pPr>
        <w:spacing w:line="276" w:lineRule="auto"/>
        <w:ind w:firstLine="709"/>
        <w:jc w:val="both"/>
      </w:pPr>
    </w:p>
    <w:p w14:paraId="3E4A9977" w14:textId="76785F73" w:rsidR="006758EE" w:rsidRPr="00713D5F" w:rsidRDefault="006758EE" w:rsidP="006758EE">
      <w:pPr>
        <w:spacing w:line="276" w:lineRule="auto"/>
        <w:ind w:firstLine="709"/>
        <w:jc w:val="both"/>
      </w:pPr>
      <w:r w:rsidRPr="00713D5F">
        <w:t xml:space="preserve">[3] Administratīvā apgabaltiesa ar </w:t>
      </w:r>
      <w:proofErr w:type="gramStart"/>
      <w:r w:rsidRPr="00713D5F">
        <w:t>2017.gada</w:t>
      </w:r>
      <w:proofErr w:type="gramEnd"/>
      <w:r w:rsidRPr="00713D5F">
        <w:t xml:space="preserve"> 10.februāra spriedumu pieteikumu noraidīja. Apgabaltiesas spriedums, pievienojoties rajona tiesas sprieduma motivācijai, pamatots ar turpmāk minētajiem apsvērumiem.</w:t>
      </w:r>
    </w:p>
    <w:p w14:paraId="236BD298" w14:textId="695926A1" w:rsidR="006758EE" w:rsidRPr="00713D5F" w:rsidRDefault="006758EE" w:rsidP="006758EE">
      <w:pPr>
        <w:spacing w:line="276" w:lineRule="auto"/>
        <w:ind w:firstLine="709"/>
        <w:jc w:val="both"/>
      </w:pPr>
      <w:r w:rsidRPr="00713D5F">
        <w:t>[</w:t>
      </w:r>
      <w:r>
        <w:t>3</w:t>
      </w:r>
      <w:r w:rsidRPr="00713D5F">
        <w:t>.</w:t>
      </w:r>
      <w:r w:rsidR="009C6542">
        <w:t>1</w:t>
      </w:r>
      <w:r w:rsidRPr="00713D5F">
        <w:t xml:space="preserve">] Pieteicēja dēlam nepieciešamais pakalpojums ir no valsts budžeta līdzekļiem apmaksājams veselības aprūpes pakalpojums, un nav strīda, ka tas ir nepieciešams, lai novērstu dzīvības funkciju vai veselības stāvokļa neatgriezenisku pasliktināšanos. Iesnieguma izskatīšanas laikā slimnīca apstiprināja, ka minētais pakalpojums var tikt nodrošināts Latvijā. Tādējādi nav konstatējams viens no </w:t>
      </w:r>
      <w:r w:rsidR="009C6542" w:rsidRPr="00713D5F">
        <w:t xml:space="preserve">Ministru kabineta </w:t>
      </w:r>
      <w:proofErr w:type="gramStart"/>
      <w:r w:rsidR="009C6542" w:rsidRPr="00713D5F">
        <w:t>2013.gada</w:t>
      </w:r>
      <w:proofErr w:type="gramEnd"/>
      <w:r w:rsidR="009C6542" w:rsidRPr="00713D5F">
        <w:t xml:space="preserve"> 17.decembra noteikumu Nr.</w:t>
      </w:r>
      <w:r w:rsidR="009C6542">
        <w:t> </w:t>
      </w:r>
      <w:r w:rsidR="009C6542" w:rsidRPr="00713D5F">
        <w:t xml:space="preserve">1529 „Veselības aprūpes organizēšanas un finansēšanas kārtība” (turpmāk – </w:t>
      </w:r>
      <w:r w:rsidR="00EE7DA8" w:rsidRPr="00713D5F">
        <w:t xml:space="preserve">Veselības </w:t>
      </w:r>
      <w:bookmarkStart w:id="0" w:name="_Hlk57376946"/>
      <w:r w:rsidR="00071564">
        <w:t xml:space="preserve">aprūpes </w:t>
      </w:r>
      <w:bookmarkEnd w:id="0"/>
      <w:r w:rsidR="00EE7DA8">
        <w:t xml:space="preserve">finansēšanas </w:t>
      </w:r>
      <w:r w:rsidR="009C6542" w:rsidRPr="00713D5F">
        <w:t>noteikumi) 310.punkt</w:t>
      </w:r>
      <w:r w:rsidR="009C6542">
        <w:t xml:space="preserve">ā paredzētajiem </w:t>
      </w:r>
      <w:r w:rsidRPr="00713D5F">
        <w:t>obligātajiem priekšnoteikumiem S</w:t>
      </w:r>
      <w:r w:rsidR="009C6542">
        <w:t> </w:t>
      </w:r>
      <w:r w:rsidRPr="00713D5F">
        <w:t>2 veidlapas izsniegšanai.</w:t>
      </w:r>
    </w:p>
    <w:p w14:paraId="5808B696" w14:textId="4006BEEB" w:rsidR="006758EE" w:rsidRPr="00713D5F" w:rsidRDefault="006758EE" w:rsidP="006758EE">
      <w:pPr>
        <w:spacing w:line="276" w:lineRule="auto"/>
        <w:ind w:firstLine="709"/>
        <w:jc w:val="both"/>
      </w:pPr>
      <w:r w:rsidRPr="00713D5F">
        <w:t>[</w:t>
      </w:r>
      <w:r>
        <w:t>3</w:t>
      </w:r>
      <w:r w:rsidRPr="00713D5F">
        <w:t>.</w:t>
      </w:r>
      <w:r w:rsidR="009C6542">
        <w:t>2</w:t>
      </w:r>
      <w:r w:rsidRPr="00713D5F">
        <w:t xml:space="preserve">] </w:t>
      </w:r>
      <w:r w:rsidR="009C6542">
        <w:t xml:space="preserve">Pret pieteicēju nav pieļauta diskriminācija reliģiskās pārliecības dēļ, jo </w:t>
      </w:r>
      <w:r w:rsidRPr="00713D5F">
        <w:t xml:space="preserve">valsts nav atteikusies sniegt pieteicēja dēlam </w:t>
      </w:r>
      <w:r w:rsidR="00AB7B36">
        <w:t xml:space="preserve">valsts apmaksātu </w:t>
      </w:r>
      <w:r w:rsidRPr="00713D5F">
        <w:t xml:space="preserve">veselības aprūpes pakalpojumu. </w:t>
      </w:r>
      <w:r w:rsidR="009C6542">
        <w:t xml:space="preserve">Valstij nav </w:t>
      </w:r>
      <w:r w:rsidR="009C6542">
        <w:lastRenderedPageBreak/>
        <w:t xml:space="preserve">pienākums nodrošināt ikvienai personai ārstēšanu par valsts līdzekļiem tieši ar personas izvēlēto metodi. </w:t>
      </w:r>
      <w:r w:rsidRPr="00713D5F">
        <w:t xml:space="preserve">Ja </w:t>
      </w:r>
      <w:r w:rsidR="009C6542">
        <w:t>persona</w:t>
      </w:r>
      <w:r w:rsidRPr="00713D5F">
        <w:t xml:space="preserve"> nepiekrīt ārstniecības metodei, ko apmaksā valsts, tad </w:t>
      </w:r>
      <w:r w:rsidR="009C6542">
        <w:t>šai personai</w:t>
      </w:r>
      <w:r w:rsidRPr="00713D5F">
        <w:t xml:space="preserve"> ir tiesības </w:t>
      </w:r>
      <w:r w:rsidR="009C6542">
        <w:t>no</w:t>
      </w:r>
      <w:r>
        <w:t xml:space="preserve"> </w:t>
      </w:r>
      <w:r w:rsidRPr="00713D5F">
        <w:t>saviem līdzekļiem</w:t>
      </w:r>
      <w:r>
        <w:t xml:space="preserve"> apmaksāt ārstēšanu</w:t>
      </w:r>
      <w:r w:rsidR="009C6542">
        <w:t xml:space="preserve"> ar citu metodi</w:t>
      </w:r>
      <w:r w:rsidRPr="00713D5F">
        <w:t xml:space="preserve">. Lēmums atteikt apmaksāt no valsts budžeta līdzekļiem ārvalstī sniegtu pakalpojumu nav saistīts ar </w:t>
      </w:r>
      <w:r>
        <w:t xml:space="preserve">pieteicēja </w:t>
      </w:r>
      <w:r w:rsidRPr="00713D5F">
        <w:t xml:space="preserve">reliģisko </w:t>
      </w:r>
      <w:r>
        <w:t>pārliecību</w:t>
      </w:r>
      <w:r w:rsidR="009C6542">
        <w:t xml:space="preserve">, bet gan </w:t>
      </w:r>
      <w:r w:rsidR="00AB7B36">
        <w:t>ar to, ka nepieciešamo ārstēšanu var nodrošināt Latvijā. Tā kā pacientam ir tiesības atteikties no viņam nepieņemamas ārstēšanas, valsts ir izpildījusi savu pienākumu nodrošināt</w:t>
      </w:r>
      <w:r w:rsidR="00071564">
        <w:t>, lai veselības aprūpes pakalpojumi būtu pacientam ētiski un kulturāli pieņemami</w:t>
      </w:r>
      <w:r w:rsidR="00AB7B36">
        <w:t>.</w:t>
      </w:r>
    </w:p>
    <w:p w14:paraId="0EACE0C2" w14:textId="64F5C328" w:rsidR="006758EE" w:rsidRPr="00713D5F" w:rsidRDefault="006758EE" w:rsidP="006758EE">
      <w:pPr>
        <w:spacing w:line="276" w:lineRule="auto"/>
        <w:ind w:firstLine="709"/>
        <w:jc w:val="both"/>
      </w:pPr>
      <w:r w:rsidRPr="00713D5F">
        <w:t>[</w:t>
      </w:r>
      <w:r w:rsidR="00A84413">
        <w:t>3</w:t>
      </w:r>
      <w:r w:rsidRPr="00713D5F">
        <w:t>.</w:t>
      </w:r>
      <w:r w:rsidR="00AB7B36">
        <w:t>3</w:t>
      </w:r>
      <w:r w:rsidRPr="00713D5F">
        <w:t xml:space="preserve">] Atbilstoši </w:t>
      </w:r>
      <w:r w:rsidR="00EE7DA8" w:rsidRPr="00713D5F">
        <w:t xml:space="preserve">Veselības </w:t>
      </w:r>
      <w:r w:rsidR="00071564">
        <w:t xml:space="preserve">aprūpes </w:t>
      </w:r>
      <w:r w:rsidR="00EE7DA8">
        <w:t xml:space="preserve">finansēšanas </w:t>
      </w:r>
      <w:r w:rsidR="00EE7DA8" w:rsidRPr="00713D5F">
        <w:t>noteikum</w:t>
      </w:r>
      <w:r w:rsidR="00EE7DA8">
        <w:t>u</w:t>
      </w:r>
      <w:r w:rsidR="00EE7DA8" w:rsidRPr="00713D5F">
        <w:t xml:space="preserve"> </w:t>
      </w:r>
      <w:r w:rsidRPr="00713D5F">
        <w:t xml:space="preserve">323.punktam, lai personai </w:t>
      </w:r>
      <w:r>
        <w:t>atlīdzinātu</w:t>
      </w:r>
      <w:r w:rsidRPr="00713D5F">
        <w:t xml:space="preserve"> izdevumu</w:t>
      </w:r>
      <w:r>
        <w:t>s</w:t>
      </w:r>
      <w:r w:rsidRPr="00713D5F">
        <w:t xml:space="preserve">, pamatojoties uz veselības aprūpes tarifiem, kas ir spēkā Latvijā, nepieciešama dienesta izsniegta iepriekšējā atļauja. </w:t>
      </w:r>
      <w:r w:rsidR="00AB7B36">
        <w:t>N</w:t>
      </w:r>
      <w:r w:rsidRPr="00713D5F">
        <w:t xml:space="preserve">av pamatots pieteikumā norādītais, ka pieteicējam nav iespējams saņemt kompensāciju par veselības aprūpes pakalpojuma saņemšanu Polijas ārstniecības iestādē, jo pieteicējs </w:t>
      </w:r>
      <w:r w:rsidR="00AB7B36">
        <w:t xml:space="preserve">nemaz </w:t>
      </w:r>
      <w:r w:rsidRPr="00713D5F">
        <w:t>noteiktajā kārtībā nav vērsies iestādē ar šādu lūgumu.</w:t>
      </w:r>
    </w:p>
    <w:p w14:paraId="19372E7F" w14:textId="23A3F1E1" w:rsidR="006758EE" w:rsidRPr="00713D5F" w:rsidRDefault="006758EE" w:rsidP="006758EE">
      <w:pPr>
        <w:spacing w:line="276" w:lineRule="auto"/>
        <w:ind w:firstLine="709"/>
        <w:jc w:val="both"/>
      </w:pPr>
      <w:r w:rsidRPr="00713D5F">
        <w:t>[</w:t>
      </w:r>
      <w:r w:rsidR="00A84413">
        <w:t>3</w:t>
      </w:r>
      <w:r w:rsidRPr="00713D5F">
        <w:t>.</w:t>
      </w:r>
      <w:r w:rsidR="00AB7B36">
        <w:t>4</w:t>
      </w:r>
      <w:r w:rsidRPr="00713D5F">
        <w:t xml:space="preserve">] Dienests precīzas </w:t>
      </w:r>
      <w:r w:rsidR="00AB7B36">
        <w:t xml:space="preserve">veselības aprūpes </w:t>
      </w:r>
      <w:r w:rsidRPr="00713D5F">
        <w:t xml:space="preserve">pakalpojuma izmaksas var noteikt tikai pēc </w:t>
      </w:r>
      <w:r w:rsidR="00AB7B36">
        <w:t xml:space="preserve">šā </w:t>
      </w:r>
      <w:r w:rsidRPr="00713D5F">
        <w:t xml:space="preserve">pakalpojuma saņemšanas, kad tiek izrakstīts gala rēķins. Tā kā pieteicēja dēls var saņemt no valsts budžeta līdzekļiem apmaksātu nepieciešamo pakalpojumu Latvijā, iestādei nebija pamata aprēķināt iespējamās konkrētā pakalpojuma sniegšanas izmaksas Polijas ārstniecības iestādē. </w:t>
      </w:r>
      <w:r>
        <w:t>Tāpat arī i</w:t>
      </w:r>
      <w:r w:rsidRPr="00713D5F">
        <w:t>zskatāmajā lietā konsilija lēmumā norādīts, ka jautājumu par asins preparātu pielietošanu neatrisinātu ārvalstu speciālista pieaicināšana, jo Latvijas slimnīcas rīcībā nav mākslīgās asinsrites aprīkojuma. Iepriekš nelietotas tehnoloģijas ieviešana ir saistīta ar papildu finanšu līdzekļu izmantošanu. Ierobežotu finanšu līdzekļu apstākļos šāda prasība ir nesamērīga un nav attaisnojama ar sabiedrības kopējām interesēm.</w:t>
      </w:r>
    </w:p>
    <w:p w14:paraId="74FF8491" w14:textId="055350BA" w:rsidR="006758EE" w:rsidRPr="00713D5F" w:rsidRDefault="006758EE" w:rsidP="006758EE">
      <w:pPr>
        <w:spacing w:line="276" w:lineRule="auto"/>
        <w:ind w:firstLine="709"/>
        <w:jc w:val="both"/>
      </w:pPr>
      <w:r w:rsidRPr="00713D5F">
        <w:t>[</w:t>
      </w:r>
      <w:r w:rsidR="00A84413">
        <w:t>3</w:t>
      </w:r>
      <w:r w:rsidRPr="00713D5F">
        <w:t>.</w:t>
      </w:r>
      <w:r w:rsidR="00AB7B36">
        <w:t>5</w:t>
      </w:r>
      <w:r w:rsidRPr="00713D5F">
        <w:t xml:space="preserve">] </w:t>
      </w:r>
      <w:r w:rsidR="00410AAF">
        <w:t>R</w:t>
      </w:r>
      <w:r w:rsidRPr="00713D5F">
        <w:t>eliģijas brīvība nav absolūta un to, pastāvot noteiktiem apstākļiem, ir iespējams ierobežot. Vecākiem nepiekrītot nepieciešam</w:t>
      </w:r>
      <w:r>
        <w:t>ajai</w:t>
      </w:r>
      <w:r w:rsidRPr="00713D5F">
        <w:t xml:space="preserve"> operācij</w:t>
      </w:r>
      <w:r>
        <w:t>ai</w:t>
      </w:r>
      <w:r w:rsidRPr="00713D5F">
        <w:t xml:space="preserve"> ar asins pārliešanu, jo tas ir pretrunā viņu reliģiskajai pārliecībai, pieteicēja dēls tiek pakļauts papildu riskam, kas nav medicīniski pamatots un nepieciešams. Bērna tiesības uz dzīvību ir prioritāras </w:t>
      </w:r>
      <w:r>
        <w:t>pret</w:t>
      </w:r>
      <w:r w:rsidRPr="00713D5F">
        <w:t xml:space="preserve"> vecāku ticības brīvību.</w:t>
      </w:r>
    </w:p>
    <w:p w14:paraId="098DA4FE" w14:textId="77777777" w:rsidR="006758EE" w:rsidRPr="00713D5F" w:rsidRDefault="006758EE" w:rsidP="006758EE">
      <w:pPr>
        <w:spacing w:line="276" w:lineRule="auto"/>
        <w:ind w:firstLine="709"/>
        <w:jc w:val="both"/>
      </w:pPr>
    </w:p>
    <w:p w14:paraId="19FF508F" w14:textId="5512A466" w:rsidR="006758EE" w:rsidRPr="00713D5F" w:rsidRDefault="006758EE" w:rsidP="006758EE">
      <w:pPr>
        <w:spacing w:line="276" w:lineRule="auto"/>
        <w:ind w:firstLine="709"/>
        <w:jc w:val="both"/>
      </w:pPr>
      <w:r w:rsidRPr="00713D5F">
        <w:t>[</w:t>
      </w:r>
      <w:r w:rsidR="00A84413">
        <w:t>4</w:t>
      </w:r>
      <w:r w:rsidRPr="00713D5F">
        <w:t>] Pieteicējs iesniedzis kasācijas sūdzību, norādot turpmāk minētos iebildumus.</w:t>
      </w:r>
    </w:p>
    <w:p w14:paraId="72C23ED6" w14:textId="0B558A70" w:rsidR="006758EE" w:rsidRPr="00713D5F" w:rsidRDefault="006758EE" w:rsidP="006758EE">
      <w:pPr>
        <w:spacing w:line="276" w:lineRule="auto"/>
        <w:ind w:firstLine="709"/>
        <w:jc w:val="both"/>
      </w:pPr>
      <w:r w:rsidRPr="00713D5F">
        <w:t>[</w:t>
      </w:r>
      <w:r w:rsidR="00A84413">
        <w:t>4</w:t>
      </w:r>
      <w:r w:rsidRPr="00713D5F">
        <w:t>.1] Apgabaltiesa kļūdaini uzskata, ka persona</w:t>
      </w:r>
      <w:r>
        <w:t>,</w:t>
      </w:r>
      <w:r w:rsidRPr="00713D5F">
        <w:t xml:space="preserve"> prasot veselības aprūpes pakalpojuma pielāgošanu tās faktiskajai situācijai, zaudē tiesības uz šā veselības aprūpes pakalpojuma apmaksu no valsts budžeta līdzekļiem. Valstij ir jāveido veselības aprūpes sistēma, kas ir pielāgota pacienta faktiskajiem apstākļiem, kas ietver nepilngadīga pacienta vecāku vai aizbildņu reliģisko pārliecību.</w:t>
      </w:r>
    </w:p>
    <w:p w14:paraId="20F17D1F" w14:textId="57E08711" w:rsidR="006758EE" w:rsidRPr="00713D5F" w:rsidRDefault="006758EE" w:rsidP="006758EE">
      <w:pPr>
        <w:spacing w:line="276" w:lineRule="auto"/>
        <w:ind w:firstLine="709"/>
        <w:jc w:val="both"/>
      </w:pPr>
      <w:r w:rsidRPr="00713D5F">
        <w:t>[</w:t>
      </w:r>
      <w:r w:rsidR="00A84413">
        <w:t>4</w:t>
      </w:r>
      <w:r w:rsidRPr="00713D5F">
        <w:t>.2] Apgabaltiesa nav piemērojusi Eiropas Savienības tiesību normas attiecībā uz iepriekšējo atļauju saņemšanas sistēmu</w:t>
      </w:r>
      <w:proofErr w:type="gramStart"/>
      <w:r w:rsidRPr="00713D5F">
        <w:t xml:space="preserve"> un</w:t>
      </w:r>
      <w:proofErr w:type="gramEnd"/>
      <w:r w:rsidRPr="00713D5F">
        <w:t xml:space="preserve"> Eiropas Savienības Tiesas judikatūru, kas interpretē šīs normas. Apsverama nepieciešamība uzdot jautājumu Eiropas Savienības Tiesai prejudiciāla nolēmuma taisīšanai.</w:t>
      </w:r>
    </w:p>
    <w:p w14:paraId="6B59DEF5" w14:textId="3736DBAD" w:rsidR="006758EE" w:rsidRPr="00713D5F" w:rsidRDefault="006758EE" w:rsidP="006758EE">
      <w:pPr>
        <w:spacing w:line="276" w:lineRule="auto"/>
        <w:ind w:firstLine="709"/>
        <w:jc w:val="both"/>
      </w:pPr>
      <w:r w:rsidRPr="00713D5F">
        <w:t>[</w:t>
      </w:r>
      <w:r w:rsidR="00A84413">
        <w:t>4</w:t>
      </w:r>
      <w:r w:rsidRPr="00713D5F">
        <w:t>.3] Tiesību normas prasa nodrošināt tādu ārstēšanu, kas ciena pacientu kopumā, ieskaitot viņa sociālo labklājību, cilvēka cieņu, morālās vērtības un reliģiskos uzskatus.</w:t>
      </w:r>
    </w:p>
    <w:p w14:paraId="71CB4EE4" w14:textId="74AD7D49" w:rsidR="006758EE" w:rsidRPr="00713D5F" w:rsidRDefault="006758EE" w:rsidP="006758EE">
      <w:pPr>
        <w:spacing w:line="276" w:lineRule="auto"/>
        <w:ind w:firstLine="709"/>
        <w:jc w:val="both"/>
      </w:pPr>
      <w:r w:rsidRPr="00713D5F">
        <w:t>[</w:t>
      </w:r>
      <w:r w:rsidR="00A84413">
        <w:t>4</w:t>
      </w:r>
      <w:r w:rsidRPr="00713D5F">
        <w:t>.4] Pārkāpts diskriminācijas aizliegums, jo valsts nav izturējusies atšķirīgi pret pieteicēju, kurš, salīdzinot ar citiem pacientiem, atrodas ievērojami atšķirīgā situācijā, un nav izturējusies vienlīdzīgi pret pieteicēju, salīdzinot ar pacientiem, kuru faktiskā situācija nosaka ierobežotu izmantojamo ārstniecības metožu izvēli.</w:t>
      </w:r>
    </w:p>
    <w:p w14:paraId="1F9E84A1" w14:textId="71BF0532" w:rsidR="006758EE" w:rsidRPr="00713D5F" w:rsidRDefault="006758EE" w:rsidP="006758EE">
      <w:pPr>
        <w:spacing w:line="276" w:lineRule="auto"/>
        <w:ind w:firstLine="709"/>
        <w:jc w:val="both"/>
      </w:pPr>
      <w:r w:rsidRPr="00713D5F">
        <w:t>[</w:t>
      </w:r>
      <w:r w:rsidR="00A84413">
        <w:t>4</w:t>
      </w:r>
      <w:r w:rsidRPr="00713D5F">
        <w:t xml:space="preserve">.5] Apgabaltiesa analizē reliģisko uzskatu nozīmi vienīgi jautājumā par vecāku tiesībām izdarīt izvēli bērna ārstēšanas jautājumos. Nav apsvērts, vai iestādes </w:t>
      </w:r>
      <w:r>
        <w:t xml:space="preserve">tādējādi </w:t>
      </w:r>
      <w:r w:rsidRPr="00713D5F">
        <w:t xml:space="preserve">netieši </w:t>
      </w:r>
      <w:r>
        <w:t>ne</w:t>
      </w:r>
      <w:r w:rsidRPr="00713D5F">
        <w:t>piespiež vecākus atteikties no reliģiskiem uzskatiem.</w:t>
      </w:r>
    </w:p>
    <w:p w14:paraId="1F52DB73" w14:textId="0D8AB3DC" w:rsidR="006758EE" w:rsidRPr="00713D5F" w:rsidRDefault="006758EE" w:rsidP="006758EE">
      <w:pPr>
        <w:spacing w:line="276" w:lineRule="auto"/>
        <w:ind w:firstLine="709"/>
        <w:jc w:val="both"/>
      </w:pPr>
      <w:r w:rsidRPr="00713D5F">
        <w:lastRenderedPageBreak/>
        <w:t>[</w:t>
      </w:r>
      <w:r w:rsidR="00A84413">
        <w:t>4</w:t>
      </w:r>
      <w:r w:rsidRPr="00713D5F">
        <w:t xml:space="preserve">.6] Šajā lietā ne </w:t>
      </w:r>
      <w:r>
        <w:t>ministrija</w:t>
      </w:r>
      <w:r w:rsidRPr="00713D5F">
        <w:t>, ne kāda cita institūcija nav izteikusi viedokli, ka pieteicēja bērna tiesības būtu aizskartas. Tieši pieteicējs, būdams bērna likumīgais aizbildnis, ir iesniedzis izskatāmo pieteikumu tiesā bērna interešu aizstāvības nolūkā. Tādēļ apgabaltiesa nepamatoti piemērojusi Bērn</w:t>
      </w:r>
      <w:r>
        <w:t>u</w:t>
      </w:r>
      <w:r w:rsidRPr="00713D5F">
        <w:t xml:space="preserve"> tiesību konvencijas </w:t>
      </w:r>
      <w:proofErr w:type="gramStart"/>
      <w:r w:rsidRPr="00713D5F">
        <w:t>3.pantu</w:t>
      </w:r>
      <w:proofErr w:type="gramEnd"/>
      <w:r w:rsidRPr="00713D5F">
        <w:t>, Bērn</w:t>
      </w:r>
      <w:r>
        <w:t>u</w:t>
      </w:r>
      <w:r w:rsidRPr="00713D5F">
        <w:t xml:space="preserve"> tiesību aizsardzības likuma 6.panta pirmo daļu un 24.panta piekto daļu, kā arī Pacient</w:t>
      </w:r>
      <w:r>
        <w:t>u</w:t>
      </w:r>
      <w:r w:rsidRPr="00713D5F">
        <w:t xml:space="preserve"> tiesību likuma 14.panta pirmo daļu.</w:t>
      </w:r>
    </w:p>
    <w:p w14:paraId="48B97EC7" w14:textId="77777777" w:rsidR="006758EE" w:rsidRPr="00713D5F" w:rsidRDefault="006758EE" w:rsidP="006758EE">
      <w:pPr>
        <w:spacing w:line="276" w:lineRule="auto"/>
        <w:ind w:firstLine="709"/>
        <w:jc w:val="both"/>
      </w:pPr>
    </w:p>
    <w:p w14:paraId="0F417462" w14:textId="4F65ECD6" w:rsidR="006758EE" w:rsidRPr="00713D5F" w:rsidRDefault="006758EE" w:rsidP="006758EE">
      <w:pPr>
        <w:spacing w:line="276" w:lineRule="auto"/>
        <w:ind w:firstLine="709"/>
        <w:jc w:val="both"/>
      </w:pPr>
      <w:r w:rsidRPr="00713D5F">
        <w:t>[</w:t>
      </w:r>
      <w:r w:rsidR="00A84413">
        <w:t>5</w:t>
      </w:r>
      <w:r w:rsidRPr="00713D5F">
        <w:t xml:space="preserve">] Paskaidrojumā par kasācijas sūdzību </w:t>
      </w:r>
      <w:r w:rsidR="00A84413">
        <w:t xml:space="preserve">un papildu paskaidrojumos </w:t>
      </w:r>
      <w:r w:rsidRPr="00713D5F">
        <w:t xml:space="preserve">ministrija </w:t>
      </w:r>
      <w:r>
        <w:t>ir norādījusi</w:t>
      </w:r>
      <w:r w:rsidRPr="00713D5F">
        <w:t xml:space="preserve">, ka nav pamata kasācijas tiesvedības ierosināšanai, </w:t>
      </w:r>
      <w:r>
        <w:t>pamatojot to ar</w:t>
      </w:r>
      <w:r w:rsidRPr="00713D5F">
        <w:t xml:space="preserve"> turpmāk minēt</w:t>
      </w:r>
      <w:r>
        <w:t>ajiem</w:t>
      </w:r>
      <w:r w:rsidRPr="00713D5F">
        <w:t xml:space="preserve"> apsvērum</w:t>
      </w:r>
      <w:r>
        <w:t>iem</w:t>
      </w:r>
      <w:r w:rsidRPr="00713D5F">
        <w:t>.</w:t>
      </w:r>
    </w:p>
    <w:p w14:paraId="5D1A9024" w14:textId="33B139AF" w:rsidR="006758EE" w:rsidRPr="00713D5F" w:rsidRDefault="006758EE" w:rsidP="006758EE">
      <w:pPr>
        <w:spacing w:line="276" w:lineRule="auto"/>
        <w:ind w:firstLine="709"/>
        <w:jc w:val="both"/>
      </w:pPr>
      <w:r w:rsidRPr="00713D5F">
        <w:t>[</w:t>
      </w:r>
      <w:r w:rsidR="00A84413">
        <w:t>5</w:t>
      </w:r>
      <w:r w:rsidRPr="00713D5F">
        <w:t xml:space="preserve">.1] </w:t>
      </w:r>
      <w:r w:rsidR="00FC6F19" w:rsidRPr="00713D5F">
        <w:t>Veselības</w:t>
      </w:r>
      <w:r w:rsidR="00071564" w:rsidRPr="00071564">
        <w:t xml:space="preserve"> </w:t>
      </w:r>
      <w:r w:rsidR="00071564">
        <w:t>aprūpes</w:t>
      </w:r>
      <w:r w:rsidR="00FC6F19" w:rsidRPr="00713D5F">
        <w:t xml:space="preserve"> </w:t>
      </w:r>
      <w:r w:rsidR="00FC6F19">
        <w:t>finansēšanas n</w:t>
      </w:r>
      <w:r w:rsidRPr="00713D5F">
        <w:t>oteikumu 310.punkta norma ir imperatīva</w:t>
      </w:r>
      <w:proofErr w:type="gramStart"/>
      <w:r w:rsidRPr="00713D5F">
        <w:t xml:space="preserve"> un</w:t>
      </w:r>
      <w:proofErr w:type="gramEnd"/>
      <w:r w:rsidRPr="00713D5F">
        <w:t xml:space="preserve"> neparedz iestādes rīcības brīvību administratīvā akta izdošanā. Tā skatāma kopsakarā ar noteikumu 312.2.apakšpunktu, no kura izriet, ka izšķiroša nozīme ir tieši medicīniski </w:t>
      </w:r>
      <w:r>
        <w:t>pamatotiem iemesliem. Pieteicēj</w:t>
      </w:r>
      <w:r w:rsidRPr="00713D5F">
        <w:t>s pēc būtības vēlas, lai tiek ņemti vērā tādi kritēriji, kādus likumdevējs nav noteicis.</w:t>
      </w:r>
    </w:p>
    <w:p w14:paraId="5F18AC4A" w14:textId="2B7F5933" w:rsidR="006758EE" w:rsidRPr="00713D5F" w:rsidRDefault="006758EE" w:rsidP="006758EE">
      <w:pPr>
        <w:spacing w:line="276" w:lineRule="auto"/>
        <w:ind w:firstLine="709"/>
        <w:jc w:val="both"/>
      </w:pPr>
      <w:r w:rsidRPr="00713D5F">
        <w:t>[</w:t>
      </w:r>
      <w:r w:rsidR="00A84413">
        <w:t>5</w:t>
      </w:r>
      <w:r w:rsidRPr="00713D5F">
        <w:t>.2] Kasācijas sūdzības apsvērumi ir saistīti ar to, ka Latvijas veselības aprūpes sistēmā netiek nodrošināta veselības aprūpes pakalpojumu pielāgošana pacientam. Taču normatīvajos aktos ir noteikti saprātīgi ierobežojumi, maksimāli nodrošinot racionālu finanšu resursu sadalījumu un aizsargājot visas sabiedrības intereses uz kvalitatīvas medicīnas pieejamību Latvijā.</w:t>
      </w:r>
    </w:p>
    <w:p w14:paraId="584D6907" w14:textId="5DD7157C" w:rsidR="00A84413" w:rsidRDefault="006758EE" w:rsidP="006758EE">
      <w:pPr>
        <w:spacing w:line="276" w:lineRule="auto"/>
        <w:ind w:firstLine="709"/>
        <w:jc w:val="both"/>
      </w:pPr>
      <w:r w:rsidRPr="00713D5F">
        <w:t>[</w:t>
      </w:r>
      <w:r w:rsidR="00A84413">
        <w:t>5</w:t>
      </w:r>
      <w:r w:rsidRPr="00713D5F">
        <w:t>.</w:t>
      </w:r>
      <w:r>
        <w:t>3</w:t>
      </w:r>
      <w:r w:rsidRPr="00713D5F">
        <w:t xml:space="preserve">] Kasācijas sūdzībā nepamatoti </w:t>
      </w:r>
      <w:r>
        <w:t>iekļautas</w:t>
      </w:r>
      <w:r w:rsidRPr="00713D5F">
        <w:t xml:space="preserve"> atsauces uz Eiropas Savienības Tiesas spriedumiem lietās, kas saistītas ar pārrobežu veselības aprūpes pakalpojumu sniegšanu. Šajos spriedumos minētās atziņas ir tikušas ņemtas vērā, izstrādājot Eiropas Parlamenta un Padomes </w:t>
      </w:r>
      <w:proofErr w:type="gramStart"/>
      <w:r>
        <w:t>2011.</w:t>
      </w:r>
      <w:r w:rsidRPr="00713D5F">
        <w:t>gada</w:t>
      </w:r>
      <w:proofErr w:type="gramEnd"/>
      <w:r w:rsidRPr="00713D5F">
        <w:t xml:space="preserve"> 9.mart</w:t>
      </w:r>
      <w:r>
        <w:t>a</w:t>
      </w:r>
      <w:r w:rsidRPr="00713D5F">
        <w:t xml:space="preserve"> Direktīv</w:t>
      </w:r>
      <w:r>
        <w:t>u</w:t>
      </w:r>
      <w:r w:rsidRPr="00713D5F">
        <w:t xml:space="preserve"> 2011/24/ES par pacientu tiesību piemērošanu pārrobežu veselības aprūpē</w:t>
      </w:r>
      <w:r>
        <w:t xml:space="preserve"> (turpmāk – Direktīva </w:t>
      </w:r>
      <w:r w:rsidR="00711EB5">
        <w:t>Nr. </w:t>
      </w:r>
      <w:r w:rsidRPr="00713D5F">
        <w:t>2011/24/ES</w:t>
      </w:r>
      <w:r>
        <w:t>)</w:t>
      </w:r>
      <w:r w:rsidRPr="00713D5F">
        <w:t>. Šī direktīva ir transponēta Latvijas tiesību aktos. Pēc direktīvas ieviešanas personai ir tiesības saņemt izdevumu atmaksu nevis atbilstoši veselības aprūpes pakalpojumu sniegšanas valsts tarifiem (kas tiek piemēroti gadījumā, ja veselības aprūpes pakalpojumi ir nodrošināti, pamatojoties uz S</w:t>
      </w:r>
      <w:r w:rsidR="00FC6F19">
        <w:t> </w:t>
      </w:r>
      <w:r w:rsidRPr="00713D5F">
        <w:t>2 veidlapu), bet atbilstoši Latvijas veselības aprūpes tarifiem.</w:t>
      </w:r>
      <w:r w:rsidR="00A84413">
        <w:t xml:space="preserve"> Turklāt nav pamata piemērot Direktīvas </w:t>
      </w:r>
      <w:r w:rsidR="00711EB5">
        <w:t>Nr. </w:t>
      </w:r>
      <w:r w:rsidR="00A84413" w:rsidRPr="009071C7">
        <w:t xml:space="preserve">2011/24/ES </w:t>
      </w:r>
      <w:r w:rsidR="00A84413">
        <w:t>normas, jo pieteicējs nelūdza iepriekšēju atļauju atbilstoši šīm normām.</w:t>
      </w:r>
    </w:p>
    <w:p w14:paraId="554FF577" w14:textId="77777777" w:rsidR="00A84413" w:rsidRDefault="00A84413" w:rsidP="006758EE">
      <w:pPr>
        <w:spacing w:line="276" w:lineRule="auto"/>
        <w:ind w:firstLine="709"/>
        <w:jc w:val="both"/>
      </w:pPr>
    </w:p>
    <w:p w14:paraId="3DDB6DAD" w14:textId="024C7E56" w:rsidR="006758EE" w:rsidRDefault="006758EE" w:rsidP="006758EE">
      <w:pPr>
        <w:spacing w:line="276" w:lineRule="auto"/>
        <w:ind w:firstLine="709"/>
        <w:jc w:val="both"/>
      </w:pPr>
      <w:r>
        <w:t>[</w:t>
      </w:r>
      <w:r w:rsidR="00A84413">
        <w:t>6</w:t>
      </w:r>
      <w:r>
        <w:t xml:space="preserve">] Pieteicējs </w:t>
      </w:r>
      <w:r w:rsidR="00A84413">
        <w:t>informēja Senātu</w:t>
      </w:r>
      <w:r>
        <w:t>, ka</w:t>
      </w:r>
      <w:r w:rsidRPr="00930A14">
        <w:t xml:space="preserve"> </w:t>
      </w:r>
      <w:r>
        <w:t xml:space="preserve">viņa dēlam nepieciešamā sirds operācija Polijā tika </w:t>
      </w:r>
      <w:r w:rsidR="00071564">
        <w:t>veikta</w:t>
      </w:r>
      <w:r w:rsidRPr="00147C4E">
        <w:t xml:space="preserve"> </w:t>
      </w:r>
      <w:proofErr w:type="gramStart"/>
      <w:r>
        <w:t>2017.gada</w:t>
      </w:r>
      <w:proofErr w:type="gramEnd"/>
      <w:r>
        <w:t xml:space="preserve"> 22.aprīlī, lai novērstu kaitējumu bērna veselībai.</w:t>
      </w:r>
    </w:p>
    <w:p w14:paraId="12D2F3BA" w14:textId="35D88742" w:rsidR="00D41210" w:rsidRDefault="00D41210" w:rsidP="00C13155">
      <w:pPr>
        <w:spacing w:line="276" w:lineRule="auto"/>
        <w:ind w:firstLine="720"/>
        <w:jc w:val="both"/>
      </w:pPr>
    </w:p>
    <w:p w14:paraId="67F919BF" w14:textId="48D41BEA" w:rsidR="002B4C8F" w:rsidRDefault="002B4C8F" w:rsidP="002B4C8F">
      <w:pPr>
        <w:spacing w:line="276" w:lineRule="auto"/>
        <w:ind w:firstLine="720"/>
        <w:jc w:val="both"/>
      </w:pPr>
      <w:r>
        <w:t xml:space="preserve">[7] </w:t>
      </w:r>
      <w:r w:rsidR="00427A1C">
        <w:t>Senāts</w:t>
      </w:r>
      <w:r>
        <w:t xml:space="preserve"> </w:t>
      </w:r>
      <w:proofErr w:type="gramStart"/>
      <w:r>
        <w:t>2019.gada</w:t>
      </w:r>
      <w:proofErr w:type="gramEnd"/>
      <w:r>
        <w:t xml:space="preserve"> 8.martā nolēma apturēt lietā tiesvedību un vērsties Eiropas Savienības Tiesā ar prejudiciāliem jautājumiem.</w:t>
      </w:r>
    </w:p>
    <w:p w14:paraId="5A5D9053" w14:textId="218C7F2F" w:rsidR="002B4C8F" w:rsidRDefault="002B4C8F" w:rsidP="002B4C8F">
      <w:pPr>
        <w:spacing w:line="276" w:lineRule="auto"/>
        <w:ind w:firstLine="720"/>
        <w:jc w:val="both"/>
      </w:pPr>
      <w:r w:rsidRPr="001230F9">
        <w:t xml:space="preserve">Eiropas Savienības Tiesa </w:t>
      </w:r>
      <w:proofErr w:type="gramStart"/>
      <w:r w:rsidRPr="001230F9">
        <w:t>20</w:t>
      </w:r>
      <w:r w:rsidR="00427A1C">
        <w:t>20</w:t>
      </w:r>
      <w:r w:rsidRPr="001230F9">
        <w:t>.gada</w:t>
      </w:r>
      <w:proofErr w:type="gramEnd"/>
      <w:r w:rsidRPr="001230F9">
        <w:t xml:space="preserve"> </w:t>
      </w:r>
      <w:r w:rsidR="00427A1C">
        <w:t>29</w:t>
      </w:r>
      <w:r w:rsidRPr="001230F9">
        <w:t>.</w:t>
      </w:r>
      <w:r w:rsidR="00427A1C">
        <w:t>oktobrī</w:t>
      </w:r>
      <w:r w:rsidRPr="001230F9">
        <w:t xml:space="preserve"> pieņēm</w:t>
      </w:r>
      <w:r>
        <w:t>a</w:t>
      </w:r>
      <w:r w:rsidRPr="001230F9">
        <w:t xml:space="preserve"> spriedumu</w:t>
      </w:r>
      <w:r w:rsidR="00427A1C">
        <w:t>, ar kuru, atbildot</w:t>
      </w:r>
      <w:r w:rsidRPr="001230F9">
        <w:t xml:space="preserve"> uz </w:t>
      </w:r>
      <w:r w:rsidR="00427A1C">
        <w:t>Senāta</w:t>
      </w:r>
      <w:r w:rsidRPr="001230F9">
        <w:t xml:space="preserve"> uzdot</w:t>
      </w:r>
      <w:r w:rsidR="00427A1C">
        <w:t>ajiem</w:t>
      </w:r>
      <w:r w:rsidRPr="001230F9">
        <w:t xml:space="preserve"> prejudiciāl</w:t>
      </w:r>
      <w:r w:rsidR="00427A1C">
        <w:t>ajiem</w:t>
      </w:r>
      <w:r w:rsidRPr="001230F9">
        <w:t xml:space="preserve"> jautājum</w:t>
      </w:r>
      <w:r w:rsidR="00427A1C">
        <w:t xml:space="preserve">iem, </w:t>
      </w:r>
      <w:r>
        <w:t>nosprie</w:t>
      </w:r>
      <w:r w:rsidR="00427A1C">
        <w:t>da</w:t>
      </w:r>
      <w:r>
        <w:t xml:space="preserve">, ka </w:t>
      </w:r>
      <w:r w:rsidR="00427A1C" w:rsidRPr="00427A1C">
        <w:t>Eiropas Parlamenta un Padomes 2004.gada 29.aprī</w:t>
      </w:r>
      <w:r w:rsidR="00427A1C">
        <w:t>ļa</w:t>
      </w:r>
      <w:r w:rsidR="00427A1C" w:rsidRPr="00427A1C">
        <w:t xml:space="preserve"> </w:t>
      </w:r>
      <w:r w:rsidR="00427A1C" w:rsidRPr="00AB6A20">
        <w:t xml:space="preserve">Regulas Nr. 883/2004 </w:t>
      </w:r>
      <w:bookmarkStart w:id="1" w:name="_Hlk57306826"/>
      <w:r w:rsidR="00427A1C" w:rsidRPr="00427A1C">
        <w:t xml:space="preserve">par sociālās nodrošināšanas sistēmu koordinēšanu </w:t>
      </w:r>
      <w:r w:rsidR="001100E2" w:rsidRPr="00AB6A20">
        <w:t>(turpmāk – Regula Nr. 883/2004</w:t>
      </w:r>
      <w:r w:rsidR="001100E2" w:rsidRPr="00427A1C">
        <w:t>)</w:t>
      </w:r>
      <w:r w:rsidR="001100E2">
        <w:t xml:space="preserve"> </w:t>
      </w:r>
      <w:r w:rsidR="00427A1C" w:rsidRPr="00427A1C">
        <w:t>20.panta 2.punkts, lasot to kopsakarā ar Eiropas Savienības Pamattiesību hartas 21.panta 1.punktu, ir jāinterpretē tādējādi, ka dalībvalsts drīkst atteikt šīs regulas 20.panta 1.punktā minēto atļauju, ja šajā dalībvalstī ir pieejama stacionārā ārstēšana, par kuras medicīnisko efektivitāti nav šaubu, taču izmantotā ārstēšanas metode neatbilst personas reliģiskajai pārliecībai.</w:t>
      </w:r>
      <w:r w:rsidR="00427A1C">
        <w:t xml:space="preserve"> Tāpat Eiropas Savienības Tiesa nosprieda, ka Direktīva</w:t>
      </w:r>
      <w:r w:rsidR="00711EB5">
        <w:t>s Nr. </w:t>
      </w:r>
      <w:r w:rsidR="00427A1C" w:rsidRPr="00713D5F">
        <w:t>2011/24/ES</w:t>
      </w:r>
      <w:bookmarkEnd w:id="1"/>
      <w:r w:rsidR="00427A1C" w:rsidRPr="00427A1C">
        <w:t xml:space="preserve"> 8.panta 5.punkts un 6.punkta </w:t>
      </w:r>
      <w:r w:rsidR="00427A1C">
        <w:t>„</w:t>
      </w:r>
      <w:r w:rsidR="00427A1C" w:rsidRPr="00427A1C">
        <w:t>d</w:t>
      </w:r>
      <w:r w:rsidR="00427A1C">
        <w:t>”</w:t>
      </w:r>
      <w:r w:rsidR="00427A1C" w:rsidRPr="00427A1C">
        <w:t xml:space="preserve"> apakšpunkts, lasot tos kopsakarā ar Eiropas Savienības Pamattiesību hartas 21.panta 1.punktu, ir jāinterpretē tādējādi, ka pacienta piederības dalībvalsts nedrīkst atteikt viņam šīs direktīvas 8.panta 1.punktā paredzēto atļauju, </w:t>
      </w:r>
      <w:r w:rsidR="00427A1C" w:rsidRPr="00427A1C">
        <w:lastRenderedPageBreak/>
        <w:t>ja šajā dalībvalstī ir pieejama stacionārā ārstēšana, par kuras medicīnisko efektivitāti nav šaubu, taču izmantotā ārstēšanas metode neatbilst šā pacienta reliģiskajai pārliecībai, ja vien šāds atteikums nav objektīvi pamatots ar leģitīmu mērķi saglabāt veselības aprūpes jaudu vai medicīnisko kompetenci un ja vien tas nav piemērots un vajadzīgs pasākums šā mērķa sasniegšanai, un tas ir jāpārbauda iesniedzējtiesai.</w:t>
      </w:r>
    </w:p>
    <w:p w14:paraId="5276951F" w14:textId="77777777" w:rsidR="002B4C8F" w:rsidRDefault="002B4C8F" w:rsidP="002B4C8F">
      <w:pPr>
        <w:spacing w:line="276" w:lineRule="auto"/>
        <w:ind w:firstLine="720"/>
        <w:jc w:val="both"/>
      </w:pPr>
    </w:p>
    <w:p w14:paraId="6B7A84AF" w14:textId="1FAC437E" w:rsidR="00156F27" w:rsidRDefault="002B4C8F" w:rsidP="003D6A08">
      <w:pPr>
        <w:spacing w:line="276" w:lineRule="auto"/>
        <w:ind w:firstLine="720"/>
        <w:jc w:val="both"/>
      </w:pPr>
      <w:r>
        <w:t>[</w:t>
      </w:r>
      <w:r w:rsidR="00EE790A">
        <w:t>8</w:t>
      </w:r>
      <w:r>
        <w:t>] Pieteicēj</w:t>
      </w:r>
      <w:r w:rsidR="00A34B1D">
        <w:t>s</w:t>
      </w:r>
      <w:r>
        <w:t xml:space="preserve"> saistībā ar </w:t>
      </w:r>
      <w:r w:rsidRPr="001230F9">
        <w:t>Eiropas Savienības Tiesa</w:t>
      </w:r>
      <w:r>
        <w:t xml:space="preserve">s pieņemto spriedumu </w:t>
      </w:r>
      <w:r w:rsidR="00EE790A">
        <w:t xml:space="preserve">ir </w:t>
      </w:r>
      <w:r>
        <w:t>iesnie</w:t>
      </w:r>
      <w:r w:rsidR="00EE790A">
        <w:t>dzis</w:t>
      </w:r>
      <w:r>
        <w:t xml:space="preserve"> papildu apsvērumus</w:t>
      </w:r>
      <w:r w:rsidR="00156F27">
        <w:t>, pamatojot to, kāpēc valstij</w:t>
      </w:r>
      <w:r w:rsidR="00156F27" w:rsidRPr="00156F27">
        <w:t xml:space="preserve"> ir pienākums atmaksāt pieteicējam no viņa personīgajiem līdzekļiem segtos izdevumus par </w:t>
      </w:r>
      <w:r w:rsidR="00156F27">
        <w:t xml:space="preserve">dēla veselības aprūpi </w:t>
      </w:r>
      <w:r w:rsidR="00156F27" w:rsidRPr="00156F27">
        <w:t xml:space="preserve">Polijā atbilstoši </w:t>
      </w:r>
      <w:r w:rsidR="00156F27">
        <w:t xml:space="preserve">Latvijā spēkā esošajiem </w:t>
      </w:r>
      <w:r w:rsidR="00156F27" w:rsidRPr="00156F27">
        <w:t>veselības aprūpes pakalpojumu tarifiem (Direktīvas Nr.</w:t>
      </w:r>
      <w:r w:rsidR="000F7B0B">
        <w:t> </w:t>
      </w:r>
      <w:r w:rsidR="00156F27" w:rsidRPr="00156F27">
        <w:t xml:space="preserve">2011/24 </w:t>
      </w:r>
      <w:proofErr w:type="gramStart"/>
      <w:r w:rsidR="00156F27" w:rsidRPr="00156F27">
        <w:t>7.pants</w:t>
      </w:r>
      <w:proofErr w:type="gramEnd"/>
      <w:r w:rsidR="00156F27" w:rsidRPr="00156F27">
        <w:t>).</w:t>
      </w:r>
    </w:p>
    <w:p w14:paraId="39F23B95" w14:textId="2EA6055A" w:rsidR="00156F27" w:rsidRDefault="00156F27" w:rsidP="003D6A08">
      <w:pPr>
        <w:spacing w:line="276" w:lineRule="auto"/>
        <w:ind w:firstLine="720"/>
        <w:jc w:val="both"/>
      </w:pPr>
      <w:r>
        <w:t>[8.1] N</w:t>
      </w:r>
      <w:r w:rsidR="003D6A08">
        <w:t xml:space="preserve">eskarot jautājumu par to, vai ir apmierināms lūgums par S 2 veidlapas izsniegšanu pieteicējam uz kasācijas sūdzībā norādītā pamata, </w:t>
      </w:r>
      <w:r w:rsidR="00A34B1D">
        <w:t>ņ</w:t>
      </w:r>
      <w:r w:rsidR="003D6A08">
        <w:t>emot vērā spriedum</w:t>
      </w:r>
      <w:r w:rsidR="00D21531">
        <w:t>a</w:t>
      </w:r>
      <w:r w:rsidR="003D6A08">
        <w:t xml:space="preserve"> 63.punktā norādīto un tiesiskā regulējuma neskaidrību</w:t>
      </w:r>
      <w:r w:rsidR="00D21531">
        <w:t xml:space="preserve">, </w:t>
      </w:r>
      <w:r w:rsidR="003D6A08" w:rsidRPr="003D6A08">
        <w:t>ir jāatzīst, ka pieteicēja pieprasījums atmaksāt ārstniecības izdevumus pēc Latvijas tarifiem ir ietverts viņa</w:t>
      </w:r>
      <w:r w:rsidR="00D21531">
        <w:t xml:space="preserve"> </w:t>
      </w:r>
      <w:proofErr w:type="gramStart"/>
      <w:r w:rsidR="00D21531">
        <w:t>2016.gada</w:t>
      </w:r>
      <w:proofErr w:type="gramEnd"/>
      <w:r w:rsidR="00D21531">
        <w:t xml:space="preserve"> 29.februāra </w:t>
      </w:r>
      <w:r w:rsidR="003D6A08" w:rsidRPr="003D6A08">
        <w:t>lūgumā izsniegt veidlapu S</w:t>
      </w:r>
      <w:r w:rsidR="00D21531">
        <w:t> </w:t>
      </w:r>
      <w:r w:rsidR="003D6A08" w:rsidRPr="003D6A08">
        <w:t>2</w:t>
      </w:r>
      <w:r w:rsidR="00D21531">
        <w:t>.</w:t>
      </w:r>
    </w:p>
    <w:p w14:paraId="58784204" w14:textId="078B0EF3" w:rsidR="00156F27" w:rsidRDefault="00156F27" w:rsidP="003D6A08">
      <w:pPr>
        <w:spacing w:line="276" w:lineRule="auto"/>
        <w:ind w:firstLine="720"/>
        <w:jc w:val="both"/>
      </w:pPr>
      <w:r>
        <w:t xml:space="preserve">[8.2] </w:t>
      </w:r>
      <w:r w:rsidR="00D21531">
        <w:t>Eiropas Savienības Tiesa atzina, k</w:t>
      </w:r>
      <w:r w:rsidR="00D21531" w:rsidRPr="00D21531">
        <w:t xml:space="preserve">a saskaņā ar Direktīvas </w:t>
      </w:r>
      <w:r w:rsidR="00D21531">
        <w:t>Nr. </w:t>
      </w:r>
      <w:r w:rsidR="00D21531" w:rsidRPr="00D21531">
        <w:t xml:space="preserve">2011/24 </w:t>
      </w:r>
      <w:proofErr w:type="gramStart"/>
      <w:r w:rsidR="00D21531" w:rsidRPr="00D21531">
        <w:t>7.pantu</w:t>
      </w:r>
      <w:proofErr w:type="gramEnd"/>
      <w:r w:rsidR="00D21531" w:rsidRPr="00D21531">
        <w:t xml:space="preserve"> atteikumu izsniegt iepriekšējo atļauju nevar pamatot ar mērķi aizsargāt sociālā nodrošinājuma sistēmas finansiālo stabilitāti, jo kompensējot veselības aprūpes izdevumus pēc Latvijas tarifiem, nepastāv papildu finansiālais slogs.</w:t>
      </w:r>
      <w:r w:rsidR="00D21531">
        <w:t xml:space="preserve"> Turklāt </w:t>
      </w:r>
      <w:r w:rsidR="00071564" w:rsidRPr="00D21531">
        <w:t>Latvij</w:t>
      </w:r>
      <w:r w:rsidR="00071564">
        <w:t>ā izveidotā</w:t>
      </w:r>
      <w:r w:rsidR="00071564" w:rsidRPr="00D21531">
        <w:t xml:space="preserve"> </w:t>
      </w:r>
      <w:r w:rsidR="00071564" w:rsidRPr="00F56F41">
        <w:t>iepriekšējo</w:t>
      </w:r>
      <w:r w:rsidR="00071564" w:rsidRPr="00D21531">
        <w:t xml:space="preserve"> atļauj</w:t>
      </w:r>
      <w:r w:rsidR="00071564">
        <w:t>u</w:t>
      </w:r>
      <w:r w:rsidR="00071564" w:rsidRPr="00D21531">
        <w:t xml:space="preserve"> sistēma</w:t>
      </w:r>
      <w:r w:rsidR="00D21531" w:rsidRPr="00D21531">
        <w:t xml:space="preserve">, ar kuru tiek ieviests Direktīvas </w:t>
      </w:r>
      <w:r w:rsidR="00D21531">
        <w:t>Nr. </w:t>
      </w:r>
      <w:r w:rsidR="00D21531" w:rsidRPr="00D21531">
        <w:t xml:space="preserve">2011/24 </w:t>
      </w:r>
      <w:proofErr w:type="gramStart"/>
      <w:r w:rsidR="00D21531" w:rsidRPr="00D21531">
        <w:t>8.panta</w:t>
      </w:r>
      <w:proofErr w:type="gramEnd"/>
      <w:r w:rsidR="00D21531" w:rsidRPr="00D21531">
        <w:t xml:space="preserve"> 1.punkts</w:t>
      </w:r>
      <w:r w:rsidR="00A34B1D">
        <w:t>,</w:t>
      </w:r>
      <w:r w:rsidR="00D21531" w:rsidRPr="00D21531">
        <w:t xml:space="preserve"> pārsniedz</w:t>
      </w:r>
      <w:r w:rsidR="00D21531">
        <w:t>a</w:t>
      </w:r>
      <w:r w:rsidR="00D21531" w:rsidRPr="00D21531">
        <w:t xml:space="preserve"> to, kas </w:t>
      </w:r>
      <w:r w:rsidR="00D21531">
        <w:t xml:space="preserve">bija </w:t>
      </w:r>
      <w:r w:rsidR="00D21531" w:rsidRPr="00D21531">
        <w:t xml:space="preserve">nepieciešams un samērīgs, lai sasniegtu otru Latvijas valdības deklarēto mērķi </w:t>
      </w:r>
      <w:r w:rsidR="00A34B1D">
        <w:t>–</w:t>
      </w:r>
      <w:r w:rsidR="00D21531" w:rsidRPr="00D21531">
        <w:t xml:space="preserve"> veselības aprūpes jaudas un medicīniskās kompetences saglabāšana</w:t>
      </w:r>
      <w:r>
        <w:t>.</w:t>
      </w:r>
    </w:p>
    <w:p w14:paraId="12F62F16" w14:textId="6CC71D9F" w:rsidR="00D21531" w:rsidRDefault="00156F27" w:rsidP="003D6A08">
      <w:pPr>
        <w:spacing w:line="276" w:lineRule="auto"/>
        <w:ind w:firstLine="720"/>
        <w:jc w:val="both"/>
      </w:pPr>
      <w:r>
        <w:t xml:space="preserve">[8.3] </w:t>
      </w:r>
      <w:r w:rsidRPr="00156F27">
        <w:t>Gadījumā</w:t>
      </w:r>
      <w:r w:rsidR="00B434ED">
        <w:t>,</w:t>
      </w:r>
      <w:r w:rsidRPr="00156F27">
        <w:t xml:space="preserve"> ja tiesa tomēr uzskatītu, ka </w:t>
      </w:r>
      <w:proofErr w:type="gramStart"/>
      <w:r w:rsidRPr="00156F27">
        <w:t>2016.gadā</w:t>
      </w:r>
      <w:proofErr w:type="gramEnd"/>
      <w:r w:rsidRPr="00156F27">
        <w:t xml:space="preserve"> pastāvošā iepriekšējās atļaujas sistēma, kas liedz pieteicējam saņemt kompensāciju Direktīvas </w:t>
      </w:r>
      <w:r>
        <w:t>Nr. 2</w:t>
      </w:r>
      <w:r w:rsidRPr="00156F27">
        <w:t xml:space="preserve">011/24 7.pantā paredzētajās robežās, ir nepieciešama un samērīga ar mērķi saglabāt veselības aprūpes jaudu un medicīnisko kompetenci, jāņem vērā </w:t>
      </w:r>
      <w:r>
        <w:t>diskriminācijas uz reliģijas pamata aizlieguma princips.</w:t>
      </w:r>
      <w:r w:rsidRPr="00156F27">
        <w:t xml:space="preserve"> </w:t>
      </w:r>
      <w:r>
        <w:t>Netie</w:t>
      </w:r>
      <w:r w:rsidR="00552938">
        <w:t>š</w:t>
      </w:r>
      <w:r>
        <w:t>ā atšķirīgā attieksme, kas radīta ar a</w:t>
      </w:r>
      <w:r w:rsidRPr="00156F27">
        <w:t>tteikum</w:t>
      </w:r>
      <w:r w:rsidR="00552938">
        <w:t>u</w:t>
      </w:r>
      <w:r w:rsidRPr="00156F27">
        <w:t xml:space="preserve"> kompensēt pieteicēja</w:t>
      </w:r>
      <w:r>
        <w:t>m dēla</w:t>
      </w:r>
      <w:r w:rsidRPr="00156F27">
        <w:t xml:space="preserve"> ārstēšanās izdevumus </w:t>
      </w:r>
      <w:r>
        <w:t xml:space="preserve">Polijā </w:t>
      </w:r>
      <w:r w:rsidRPr="00156F27">
        <w:t>pēc Latvijas tarifiem</w:t>
      </w:r>
      <w:r w:rsidR="00552938">
        <w:t>,</w:t>
      </w:r>
      <w:r w:rsidRPr="00156F27">
        <w:t xml:space="preserve"> nav piemērot</w:t>
      </w:r>
      <w:r w:rsidR="00552938">
        <w:t>a</w:t>
      </w:r>
      <w:r w:rsidRPr="00156F27">
        <w:t xml:space="preserve"> mērķa sasniegšanai, nav nepieciešam</w:t>
      </w:r>
      <w:r w:rsidR="00552938">
        <w:t>a</w:t>
      </w:r>
      <w:r w:rsidRPr="00156F27">
        <w:t xml:space="preserve"> un līdz ar to nav samērīg</w:t>
      </w:r>
      <w:r w:rsidR="00552938">
        <w:t>a</w:t>
      </w:r>
      <w:r>
        <w:t>.</w:t>
      </w:r>
    </w:p>
    <w:p w14:paraId="4EC9B4E2" w14:textId="3016E0F2" w:rsidR="002B4C8F" w:rsidRDefault="00156F27" w:rsidP="003D6A08">
      <w:pPr>
        <w:spacing w:line="276" w:lineRule="auto"/>
        <w:ind w:firstLine="720"/>
        <w:jc w:val="both"/>
      </w:pPr>
      <w:r>
        <w:t>[8.4] Turklāt</w:t>
      </w:r>
      <w:r w:rsidR="003D6A08">
        <w:t>, atsakot izdevumu kompensāciju, tiktu pārkāptas prasītāja pamattiesības, piemēram, tiesības uz personisko autonomiju,</w:t>
      </w:r>
      <w:proofErr w:type="gramStart"/>
      <w:r w:rsidR="003D6A08">
        <w:t xml:space="preserve"> kas izriet no tiesībām uz privāto dzīvi un tiesībām uz apziņas un reliģijas brīvību</w:t>
      </w:r>
      <w:proofErr w:type="gramEnd"/>
      <w:r w:rsidR="003D6A08">
        <w:t>.</w:t>
      </w:r>
    </w:p>
    <w:p w14:paraId="78C060C1" w14:textId="2D7F97A1" w:rsidR="00156F27" w:rsidRDefault="00156F27" w:rsidP="00156F27">
      <w:pPr>
        <w:spacing w:line="276" w:lineRule="auto"/>
        <w:ind w:firstLine="720"/>
        <w:jc w:val="both"/>
      </w:pPr>
      <w:r>
        <w:t xml:space="preserve">[8.5] </w:t>
      </w:r>
      <w:r w:rsidR="00F22189">
        <w:t>Pieteicējs</w:t>
      </w:r>
      <w:r>
        <w:t xml:space="preserve"> ir pierādījis, ka, ņemot vērā šīs lietas īpašos apstākļus, lēmums piešķirt </w:t>
      </w:r>
      <w:r w:rsidR="00F22189">
        <w:t xml:space="preserve">pieteicējam </w:t>
      </w:r>
      <w:r>
        <w:t xml:space="preserve">iepriekšēju atļauju nekādā veidā nevarēja apdraudēt mērķi saglabāt veselības aprūpes jaudu un medicīnisko kompetenci. Tomēr, ja </w:t>
      </w:r>
      <w:r w:rsidR="00F22189">
        <w:t>Senātam</w:t>
      </w:r>
      <w:r>
        <w:t xml:space="preserve"> rastos šaubas par šiem faktiskajiem </w:t>
      </w:r>
      <w:r w:rsidR="00F22189">
        <w:t>apstākļiem</w:t>
      </w:r>
      <w:r>
        <w:t xml:space="preserve">, </w:t>
      </w:r>
      <w:r w:rsidR="00F22189">
        <w:t>pieteicējs</w:t>
      </w:r>
      <w:r>
        <w:t xml:space="preserve"> lūgtu rīkot mutisku uzklausīšanu, lai noskaidrotu šīs lietas faktiskos apstākļus un pierādījumus.</w:t>
      </w:r>
      <w:r w:rsidR="00F22189">
        <w:t xml:space="preserve"> </w:t>
      </w:r>
      <w:r>
        <w:t>Tā</w:t>
      </w:r>
      <w:r w:rsidR="00F22189">
        <w:t>pat</w:t>
      </w:r>
      <w:r>
        <w:t xml:space="preserve"> gadījumā, ja </w:t>
      </w:r>
      <w:r w:rsidR="00F22189">
        <w:t>Senāts</w:t>
      </w:r>
      <w:r>
        <w:t xml:space="preserve"> uzskatītu, ka atteikums piešķirt iepriekšēju atļauju nav izraisījis netiešu diskrimināciju</w:t>
      </w:r>
      <w:r w:rsidR="00552938">
        <w:t xml:space="preserve"> reliģiskās pārliecības dēļ</w:t>
      </w:r>
      <w:r>
        <w:t xml:space="preserve">, </w:t>
      </w:r>
      <w:r w:rsidR="00F22189">
        <w:t>pieteicējs lūdz rīkot</w:t>
      </w:r>
      <w:r>
        <w:t xml:space="preserve"> mutisku uzklausīšanu</w:t>
      </w:r>
      <w:r w:rsidR="00F22189">
        <w:t>,</w:t>
      </w:r>
      <w:r w:rsidR="00F22189" w:rsidRPr="00F22189">
        <w:t xml:space="preserve"> lai noskaidrotu lietas apstākļus, faktus un pierādījumus</w:t>
      </w:r>
      <w:r w:rsidR="00F22189">
        <w:t>.</w:t>
      </w:r>
    </w:p>
    <w:p w14:paraId="2ECE848A" w14:textId="77777777" w:rsidR="001100E2" w:rsidRPr="00745715" w:rsidRDefault="001100E2" w:rsidP="00C13155">
      <w:pPr>
        <w:spacing w:line="276" w:lineRule="auto"/>
        <w:ind w:firstLine="720"/>
        <w:jc w:val="both"/>
      </w:pPr>
    </w:p>
    <w:p w14:paraId="41DCDAA5" w14:textId="77777777" w:rsidR="003047F5" w:rsidRPr="00FF6087" w:rsidRDefault="003047F5" w:rsidP="00287404">
      <w:pPr>
        <w:spacing w:line="276" w:lineRule="auto"/>
        <w:jc w:val="center"/>
        <w:rPr>
          <w:b/>
        </w:rPr>
      </w:pPr>
      <w:r w:rsidRPr="00FF6087">
        <w:rPr>
          <w:b/>
        </w:rPr>
        <w:t>Motīvu daļa</w:t>
      </w:r>
    </w:p>
    <w:p w14:paraId="50BCCEFF" w14:textId="7ED746ED" w:rsidR="006D4E60" w:rsidRDefault="006D4E60" w:rsidP="00287404">
      <w:pPr>
        <w:spacing w:line="276" w:lineRule="auto"/>
        <w:ind w:firstLine="720"/>
        <w:jc w:val="both"/>
      </w:pPr>
    </w:p>
    <w:p w14:paraId="23C8F526" w14:textId="437770B3" w:rsidR="003D7D63" w:rsidRPr="003D7D63" w:rsidRDefault="003D7D63" w:rsidP="003D7D63">
      <w:pPr>
        <w:spacing w:line="276" w:lineRule="auto"/>
        <w:jc w:val="center"/>
        <w:rPr>
          <w:b/>
          <w:bCs/>
        </w:rPr>
      </w:pPr>
      <w:r w:rsidRPr="003D7D63">
        <w:rPr>
          <w:b/>
          <w:bCs/>
        </w:rPr>
        <w:t>I</w:t>
      </w:r>
    </w:p>
    <w:p w14:paraId="70673C0B" w14:textId="0BDD1D37" w:rsidR="003D7D63" w:rsidRDefault="003D7D63" w:rsidP="00287404">
      <w:pPr>
        <w:spacing w:line="276" w:lineRule="auto"/>
        <w:ind w:firstLine="720"/>
        <w:jc w:val="both"/>
      </w:pPr>
    </w:p>
    <w:p w14:paraId="3CB67835" w14:textId="616250E3" w:rsidR="003D7D63" w:rsidRDefault="003D7D63" w:rsidP="00287404">
      <w:pPr>
        <w:spacing w:line="276" w:lineRule="auto"/>
        <w:ind w:firstLine="720"/>
        <w:jc w:val="both"/>
      </w:pPr>
      <w:r>
        <w:t xml:space="preserve">[9] Pieteicējs papildu paskaidrojumos nav izteicis tiešu lūgumu izskatīt lietu mutvārdu procesā, taču ir norādījis, ka lūgtu Senātu to darīt, ja Senātam rastos šaubas par noteiktiem </w:t>
      </w:r>
      <w:r>
        <w:lastRenderedPageBreak/>
        <w:t>apstākļiem. Pieteicējs ir norādījis, ka tiesas sēdes mērķis būtu noskaidrot lietas faktiskos apstākļus, faktus un izvērtēt pierādījumus.</w:t>
      </w:r>
    </w:p>
    <w:p w14:paraId="13C60A8E" w14:textId="4822D712" w:rsidR="003D7D63" w:rsidRDefault="003D7D63" w:rsidP="00287404">
      <w:pPr>
        <w:spacing w:line="276" w:lineRule="auto"/>
        <w:ind w:firstLine="720"/>
        <w:jc w:val="both"/>
      </w:pPr>
      <w:r>
        <w:t xml:space="preserve">Senāts norāda, ka kasācijas instances tiesa neskata lietu pēc būtības. Kasācijas instances tiesas uzdevums ir pārbaudīt, vai zemākas instances tiesa nav pieļāvusi tiesību normu pārkāpumus. Līdz ar to kasācijas instances </w:t>
      </w:r>
      <w:r w:rsidR="00552938">
        <w:t xml:space="preserve">tiesa </w:t>
      </w:r>
      <w:r>
        <w:t>nevērtē lietas faktiskos apstākļus un pierādījumus. Ja Senāts konstatētu, ka lietas izskatīšanai ir nepieciešams vērtēt vēl kādus papildu faktiskos apstākļus vai pierādījumus, ko zemākas instances tiesa nav vērtējusi, tas būtu pamats pārsūdzētā sprieduma atcelšanai un lietas nodošanai jaunai izskatīšanai pēc būtības zemākas instances tiesā.</w:t>
      </w:r>
    </w:p>
    <w:p w14:paraId="1D87BD55" w14:textId="7C17B40E" w:rsidR="003D7D63" w:rsidRDefault="003D7D63" w:rsidP="00287404">
      <w:pPr>
        <w:spacing w:line="276" w:lineRule="auto"/>
        <w:ind w:firstLine="720"/>
        <w:jc w:val="both"/>
      </w:pPr>
      <w:r>
        <w:t>Ievērojot minēto, Senāts nesaskata pamatu</w:t>
      </w:r>
      <w:r w:rsidR="004E1ADF">
        <w:t xml:space="preserve"> izskatīt lietu mutvārdu procesā.</w:t>
      </w:r>
    </w:p>
    <w:p w14:paraId="738DAB04" w14:textId="34638921" w:rsidR="003D7D63" w:rsidRDefault="003D7D63" w:rsidP="00287404">
      <w:pPr>
        <w:spacing w:line="276" w:lineRule="auto"/>
        <w:ind w:firstLine="720"/>
        <w:jc w:val="both"/>
      </w:pPr>
    </w:p>
    <w:p w14:paraId="69907D32" w14:textId="5ABA9EA1" w:rsidR="004E1ADF" w:rsidRPr="004E1ADF" w:rsidRDefault="004E1ADF" w:rsidP="004E1ADF">
      <w:pPr>
        <w:spacing w:line="276" w:lineRule="auto"/>
        <w:jc w:val="center"/>
        <w:rPr>
          <w:b/>
          <w:bCs/>
        </w:rPr>
      </w:pPr>
      <w:r w:rsidRPr="004E1ADF">
        <w:rPr>
          <w:b/>
          <w:bCs/>
        </w:rPr>
        <w:t>II</w:t>
      </w:r>
    </w:p>
    <w:p w14:paraId="495E67F9" w14:textId="77777777" w:rsidR="004E1ADF" w:rsidRDefault="004E1ADF" w:rsidP="00287404">
      <w:pPr>
        <w:spacing w:line="276" w:lineRule="auto"/>
        <w:ind w:firstLine="720"/>
        <w:jc w:val="both"/>
      </w:pPr>
    </w:p>
    <w:p w14:paraId="2AD29C16" w14:textId="35E38D8D" w:rsidR="00E2319E" w:rsidRDefault="00D61195" w:rsidP="00287404">
      <w:pPr>
        <w:spacing w:line="276" w:lineRule="auto"/>
        <w:ind w:firstLine="720"/>
        <w:jc w:val="both"/>
      </w:pPr>
      <w:r>
        <w:t>[</w:t>
      </w:r>
      <w:r w:rsidR="004E1ADF">
        <w:t>10</w:t>
      </w:r>
      <w:r>
        <w:t xml:space="preserve">] Lietā ir strīds par to, vai valstij ir pienākums </w:t>
      </w:r>
      <w:r w:rsidR="00E2319E">
        <w:t xml:space="preserve">segt pieteicēja izdevumus par viņa dēla ārstēšanu Polijā, ņemot vērā, ka Latvijā bija </w:t>
      </w:r>
      <w:r w:rsidR="00E2319E" w:rsidRPr="00E2319E">
        <w:t xml:space="preserve">pieejama </w:t>
      </w:r>
      <w:r w:rsidR="00E2319E">
        <w:t xml:space="preserve">valsts apmaksāta </w:t>
      </w:r>
      <w:r w:rsidR="00E2319E" w:rsidRPr="00E2319E">
        <w:t xml:space="preserve">ārstēšana, par kuras medicīnisko efektivitāti </w:t>
      </w:r>
      <w:r w:rsidR="00E2319E">
        <w:t>nebija</w:t>
      </w:r>
      <w:r w:rsidR="00E2319E" w:rsidRPr="00E2319E">
        <w:t xml:space="preserve"> šaubu, taču izmantotā ārstēšanas metode neatbil</w:t>
      </w:r>
      <w:r w:rsidR="00E2319E">
        <w:t>da</w:t>
      </w:r>
      <w:r w:rsidR="00E2319E" w:rsidRPr="00E2319E">
        <w:t xml:space="preserve"> </w:t>
      </w:r>
      <w:r w:rsidR="00E2319E">
        <w:t xml:space="preserve">pieteicēja </w:t>
      </w:r>
      <w:r w:rsidR="00E2319E" w:rsidRPr="00E2319E">
        <w:t>reliģiskajai pārliecībai</w:t>
      </w:r>
      <w:r w:rsidR="00E2319E">
        <w:t>.</w:t>
      </w:r>
    </w:p>
    <w:p w14:paraId="125AEEAB" w14:textId="5A7DAC63" w:rsidR="00D61195" w:rsidRDefault="00D61195" w:rsidP="00287404">
      <w:pPr>
        <w:spacing w:line="276" w:lineRule="auto"/>
        <w:ind w:firstLine="720"/>
        <w:jc w:val="both"/>
      </w:pPr>
    </w:p>
    <w:p w14:paraId="1F81E7DE" w14:textId="04CDAB95" w:rsidR="00984536" w:rsidRDefault="00E2319E" w:rsidP="00287404">
      <w:pPr>
        <w:spacing w:line="276" w:lineRule="auto"/>
        <w:ind w:firstLine="720"/>
        <w:jc w:val="both"/>
      </w:pPr>
      <w:r>
        <w:t>[1</w:t>
      </w:r>
      <w:r w:rsidR="004E1ADF">
        <w:t>1</w:t>
      </w:r>
      <w:r>
        <w:t xml:space="preserve">] Tiesības uz to, lai valsts apmaksātu personas ārstēšanos citā Eiropas Savienības dalībvalstī, ir noteiktas </w:t>
      </w:r>
      <w:r w:rsidRPr="00E2319E">
        <w:t>Regul</w:t>
      </w:r>
      <w:r>
        <w:t>ā</w:t>
      </w:r>
      <w:r w:rsidRPr="00E2319E">
        <w:t xml:space="preserve"> </w:t>
      </w:r>
      <w:r w:rsidR="00AB6A20">
        <w:t>Nr. </w:t>
      </w:r>
      <w:r w:rsidRPr="00E2319E">
        <w:t>883/2004</w:t>
      </w:r>
      <w:r>
        <w:t xml:space="preserve"> un</w:t>
      </w:r>
      <w:r w:rsidRPr="00E2319E">
        <w:t xml:space="preserve"> Direktīv</w:t>
      </w:r>
      <w:r>
        <w:t>ā</w:t>
      </w:r>
      <w:r w:rsidRPr="00E2319E">
        <w:t xml:space="preserve"> </w:t>
      </w:r>
      <w:r w:rsidR="00AB6A20">
        <w:t>Nr. </w:t>
      </w:r>
      <w:r w:rsidRPr="00E2319E">
        <w:t>2011/24/ES</w:t>
      </w:r>
      <w:r>
        <w:t xml:space="preserve">. </w:t>
      </w:r>
    </w:p>
    <w:p w14:paraId="504858CE" w14:textId="41DB52BC" w:rsidR="00984536" w:rsidRDefault="00984536" w:rsidP="00287404">
      <w:pPr>
        <w:spacing w:line="276" w:lineRule="auto"/>
        <w:ind w:firstLine="720"/>
        <w:jc w:val="both"/>
      </w:pPr>
      <w:r>
        <w:t xml:space="preserve">Kā ir skaidrojusi Eiropas Savienības Tiesa, </w:t>
      </w:r>
      <w:r w:rsidRPr="00984536">
        <w:t>Regulas Nr.</w:t>
      </w:r>
      <w:r>
        <w:t> </w:t>
      </w:r>
      <w:r w:rsidRPr="00984536">
        <w:t xml:space="preserve">883/2004 </w:t>
      </w:r>
      <w:proofErr w:type="gramStart"/>
      <w:r w:rsidRPr="00984536">
        <w:t>20.panta</w:t>
      </w:r>
      <w:proofErr w:type="gramEnd"/>
      <w:r w:rsidRPr="00984536">
        <w:t xml:space="preserve"> mērķis ir dot tiesības uz pabalstiem natūrā, ko par kompetentās iestādes līdzekļiem sniedz uzturēšanās vietas iestāde atbilstoši tās dalībvalsts tiesību aktiem, kurā pabalsti tiek sniegti, tā, it kā ieinteresētā persona būtu šīs pēdējās iestādes pārziņā. Tādējādi sociāli apdrošinātām personām tiek piešķirtas tiesības, kādu tām citādi nebūtu, jo, tā kā šīs tiesības ir saistītas ar izdevumu segšanu, ko uzņemas uzturēšanās vietas iestāde saskaņā ar tiesību aktiem, ko tā piemēro, šīs tiesības minētajām apdrošinātajām personām nevarētu tikt garantētas tikai saskaņā ar kompetentās dalībvalsts tiesību aktiem. Līdz ar to saskaņā ar šo regulu apdrošinātajām personām ir tiesības, ko tām nepiešķir </w:t>
      </w:r>
      <w:r w:rsidR="00071564" w:rsidRPr="00E132C6">
        <w:t>Līgum</w:t>
      </w:r>
      <w:r w:rsidR="00071564">
        <w:t>a par Eiropas Savienības darbību</w:t>
      </w:r>
      <w:r w:rsidRPr="00984536">
        <w:t xml:space="preserve"> 56.pantā paredzētā un – veselības aprūpes jomā – Direktīvā </w:t>
      </w:r>
      <w:r w:rsidR="00711EB5">
        <w:t>Nr. </w:t>
      </w:r>
      <w:r w:rsidRPr="00984536">
        <w:t>2011/24 konkretizētā pakalpojumu sniegšanas brīvība.</w:t>
      </w:r>
    </w:p>
    <w:p w14:paraId="5B96AA87" w14:textId="40C03177" w:rsidR="00196F57" w:rsidRDefault="00984536" w:rsidP="00287404">
      <w:pPr>
        <w:spacing w:line="276" w:lineRule="auto"/>
        <w:ind w:firstLine="720"/>
        <w:jc w:val="both"/>
      </w:pPr>
      <w:r>
        <w:t>Vēl v</w:t>
      </w:r>
      <w:r w:rsidR="00196F57">
        <w:t xml:space="preserve">iena būtiska atšķirība starp šiem tiesību aktiem ir </w:t>
      </w:r>
      <w:r>
        <w:t xml:space="preserve">arī </w:t>
      </w:r>
      <w:r w:rsidR="00196F57">
        <w:t xml:space="preserve">tā, ka Regula </w:t>
      </w:r>
      <w:r w:rsidR="00AB6A20">
        <w:t>Nr. </w:t>
      </w:r>
      <w:r w:rsidR="00196F57" w:rsidRPr="00E2319E">
        <w:t>883/2004</w:t>
      </w:r>
      <w:r w:rsidR="00196F57">
        <w:t xml:space="preserve"> paredz </w:t>
      </w:r>
      <w:r>
        <w:t>ārstēšanās</w:t>
      </w:r>
      <w:r w:rsidR="00196F57">
        <w:t xml:space="preserve"> izdevumu segšanu pilnā apmērā, bet </w:t>
      </w:r>
      <w:r w:rsidR="00196F57" w:rsidRPr="00196F57">
        <w:t>Direktīv</w:t>
      </w:r>
      <w:r w:rsidR="00196F57">
        <w:t>a</w:t>
      </w:r>
      <w:r w:rsidR="00196F57" w:rsidRPr="00196F57">
        <w:t xml:space="preserve"> </w:t>
      </w:r>
      <w:r w:rsidR="00AB6A20">
        <w:t>Nr. </w:t>
      </w:r>
      <w:r w:rsidR="00196F57" w:rsidRPr="00196F57">
        <w:t>2011/24/ES</w:t>
      </w:r>
      <w:r w:rsidR="00196F57">
        <w:t xml:space="preserve"> – </w:t>
      </w:r>
      <w:r w:rsidR="00A013C6" w:rsidRPr="00A013C6">
        <w:t>apmēr</w:t>
      </w:r>
      <w:r w:rsidR="00A013C6">
        <w:t>ā</w:t>
      </w:r>
      <w:r w:rsidR="00A013C6" w:rsidRPr="00A013C6">
        <w:t xml:space="preserve">, kāds par identisku veselības aprūpi tiktu nodrošināts </w:t>
      </w:r>
      <w:r w:rsidR="00A013C6">
        <w:t xml:space="preserve">personas </w:t>
      </w:r>
      <w:r w:rsidR="00A013C6" w:rsidRPr="00A013C6">
        <w:t>piederības dalībvalstī, ja šī veselības aprūpe būtu sniegta tās teritorijā, nepārsniedzot saņemtās veselības aprūpes faktiskās izmaksas</w:t>
      </w:r>
      <w:r w:rsidR="00A013C6">
        <w:t>.</w:t>
      </w:r>
    </w:p>
    <w:p w14:paraId="28368942" w14:textId="51F82BE5" w:rsidR="004E1ADF" w:rsidRDefault="004E1ADF" w:rsidP="00287404">
      <w:pPr>
        <w:spacing w:line="276" w:lineRule="auto"/>
        <w:ind w:firstLine="720"/>
        <w:jc w:val="both"/>
      </w:pPr>
      <w:r>
        <w:t xml:space="preserve">Pārsūdzētajā spriedumā pamatā ir vērtēts tas, vai pieteicējam ir tiesības saņemt izdevumu par dēla ārstēšanu Polijā atmaksu saskaņā ar </w:t>
      </w:r>
      <w:r w:rsidRPr="004E1ADF">
        <w:t>Regul</w:t>
      </w:r>
      <w:r>
        <w:t>u</w:t>
      </w:r>
      <w:r w:rsidRPr="004E1ADF">
        <w:t xml:space="preserve"> Nr.</w:t>
      </w:r>
      <w:r>
        <w:t> </w:t>
      </w:r>
      <w:r w:rsidRPr="004E1ADF">
        <w:t>883/2004</w:t>
      </w:r>
      <w:r>
        <w:t>. Tāpēc Senāts vispirms izvērtēs šo lietas aspektu.</w:t>
      </w:r>
    </w:p>
    <w:p w14:paraId="38B8C90F" w14:textId="24060843" w:rsidR="004E1ADF" w:rsidRDefault="004E1ADF" w:rsidP="00287404">
      <w:pPr>
        <w:spacing w:line="276" w:lineRule="auto"/>
        <w:ind w:firstLine="720"/>
        <w:jc w:val="both"/>
      </w:pPr>
    </w:p>
    <w:p w14:paraId="5E0C0DC3" w14:textId="410B78A1" w:rsidR="004E1ADF" w:rsidRPr="004E1ADF" w:rsidRDefault="004E1ADF" w:rsidP="004E1ADF">
      <w:pPr>
        <w:spacing w:line="276" w:lineRule="auto"/>
        <w:jc w:val="center"/>
        <w:rPr>
          <w:b/>
          <w:bCs/>
        </w:rPr>
      </w:pPr>
      <w:r w:rsidRPr="004E1ADF">
        <w:rPr>
          <w:b/>
          <w:bCs/>
        </w:rPr>
        <w:t>III</w:t>
      </w:r>
    </w:p>
    <w:p w14:paraId="5513668F" w14:textId="77777777" w:rsidR="00D34B09" w:rsidRDefault="00D34B09" w:rsidP="009B2C02">
      <w:pPr>
        <w:spacing w:line="276" w:lineRule="auto"/>
        <w:ind w:firstLine="720"/>
        <w:jc w:val="both"/>
      </w:pPr>
    </w:p>
    <w:p w14:paraId="0FA59491" w14:textId="2DF38B3A" w:rsidR="00984536" w:rsidRDefault="00984536" w:rsidP="009B2C02">
      <w:pPr>
        <w:spacing w:line="276" w:lineRule="auto"/>
        <w:ind w:firstLine="720"/>
        <w:jc w:val="both"/>
      </w:pPr>
      <w:r>
        <w:t>[1</w:t>
      </w:r>
      <w:r w:rsidR="004E1ADF">
        <w:t>2</w:t>
      </w:r>
      <w:r>
        <w:t xml:space="preserve">] </w:t>
      </w:r>
      <w:r w:rsidR="00D34B09">
        <w:t>S</w:t>
      </w:r>
      <w:r w:rsidR="00D34B09" w:rsidRPr="00D34B09">
        <w:t>askaņā ar Regulas Nr.</w:t>
      </w:r>
      <w:r w:rsidR="001C32D6">
        <w:t> </w:t>
      </w:r>
      <w:r w:rsidR="00D34B09" w:rsidRPr="00D34B09">
        <w:t xml:space="preserve">883/2004 </w:t>
      </w:r>
      <w:proofErr w:type="gramStart"/>
      <w:r w:rsidR="00D34B09" w:rsidRPr="00D34B09">
        <w:t>20.panta</w:t>
      </w:r>
      <w:proofErr w:type="gramEnd"/>
      <w:r w:rsidR="00D34B09" w:rsidRPr="00D34B09">
        <w:t xml:space="preserve"> 1.punktu apdrošinātajai personai, kas ceļo uz citu dalībvalsti, lai saņemtu medicīnisko aprūpi, principā ir jālūdz kompetentās iestādes iepriekšēja atļauja. Savukārt no </w:t>
      </w:r>
      <w:r w:rsidR="009E10B0">
        <w:t>minētās r</w:t>
      </w:r>
      <w:r w:rsidR="00D34B09" w:rsidRPr="00D34B09">
        <w:t xml:space="preserve">egulas </w:t>
      </w:r>
      <w:proofErr w:type="gramStart"/>
      <w:r w:rsidR="00D34B09" w:rsidRPr="00D34B09">
        <w:t>20.panta</w:t>
      </w:r>
      <w:proofErr w:type="gramEnd"/>
      <w:r w:rsidR="00D34B09" w:rsidRPr="00D34B09">
        <w:t xml:space="preserve"> 2.punkta izriet, ka atļauju var atteikt, ja identisku vai tikpat efektīvu ārstēšanu var laikus </w:t>
      </w:r>
      <w:r w:rsidR="004E1ADF">
        <w:t xml:space="preserve">nodrošināt </w:t>
      </w:r>
      <w:r w:rsidR="00D34B09" w:rsidRPr="00D34B09">
        <w:t>ieinteresētās personas dzīvesvietas dalībvalstī</w:t>
      </w:r>
      <w:r w:rsidR="004E1ADF">
        <w:t>.</w:t>
      </w:r>
    </w:p>
    <w:p w14:paraId="1B646C3E" w14:textId="77777777" w:rsidR="004E1ADF" w:rsidRDefault="004E1ADF" w:rsidP="004E1ADF">
      <w:pPr>
        <w:spacing w:line="276" w:lineRule="auto"/>
        <w:ind w:firstLine="720"/>
        <w:jc w:val="both"/>
      </w:pPr>
    </w:p>
    <w:p w14:paraId="5979181F" w14:textId="706D4D28" w:rsidR="004E1ADF" w:rsidRDefault="004E1ADF" w:rsidP="004E1ADF">
      <w:pPr>
        <w:spacing w:line="276" w:lineRule="auto"/>
        <w:ind w:firstLine="720"/>
        <w:jc w:val="both"/>
      </w:pPr>
      <w:r>
        <w:t xml:space="preserve">[13] Laikā, kad pieteicējs vērsās </w:t>
      </w:r>
      <w:r w:rsidRPr="00196F57">
        <w:t>Nacionāl</w:t>
      </w:r>
      <w:r>
        <w:t>ajā</w:t>
      </w:r>
      <w:r w:rsidRPr="00196F57">
        <w:t xml:space="preserve"> veselības dienest</w:t>
      </w:r>
      <w:r>
        <w:t xml:space="preserve">ā, šo tiesību </w:t>
      </w:r>
      <w:r w:rsidR="008722B8">
        <w:t xml:space="preserve">īstenošanas </w:t>
      </w:r>
      <w:r>
        <w:t>mehānisms Latvijā bija konkretizēt</w:t>
      </w:r>
      <w:r w:rsidR="008722B8">
        <w:t>s</w:t>
      </w:r>
      <w:r>
        <w:t xml:space="preserve"> </w:t>
      </w:r>
      <w:r w:rsidR="00FC6F19" w:rsidRPr="00713D5F">
        <w:t xml:space="preserve">Veselības </w:t>
      </w:r>
      <w:r w:rsidR="00071564">
        <w:t xml:space="preserve">aprūpes </w:t>
      </w:r>
      <w:r w:rsidR="00FC6F19">
        <w:t xml:space="preserve">finansēšanas </w:t>
      </w:r>
      <w:r w:rsidRPr="00196F57">
        <w:t>noteikum</w:t>
      </w:r>
      <w:r>
        <w:t>os.</w:t>
      </w:r>
    </w:p>
    <w:p w14:paraId="36DC0BA7" w14:textId="0155C71E" w:rsidR="009B2C02" w:rsidRDefault="00FC6F19" w:rsidP="009B2C02">
      <w:pPr>
        <w:spacing w:line="276" w:lineRule="auto"/>
        <w:ind w:firstLine="720"/>
        <w:jc w:val="both"/>
      </w:pPr>
      <w:r w:rsidRPr="00713D5F">
        <w:t xml:space="preserve">Veselības </w:t>
      </w:r>
      <w:r w:rsidR="00071564">
        <w:t xml:space="preserve">aprūpes </w:t>
      </w:r>
      <w:r>
        <w:t xml:space="preserve">finansēšanas </w:t>
      </w:r>
      <w:r w:rsidRPr="00713D5F">
        <w:t>n</w:t>
      </w:r>
      <w:r w:rsidR="00D34B09">
        <w:t>o</w:t>
      </w:r>
      <w:r w:rsidR="00A013C6">
        <w:t xml:space="preserve">teikumu </w:t>
      </w:r>
      <w:r w:rsidR="009B2C02">
        <w:t>293.</w:t>
      </w:r>
      <w:r w:rsidR="004E1ADF">
        <w:t xml:space="preserve">punkts </w:t>
      </w:r>
      <w:r w:rsidR="009B2C02">
        <w:t xml:space="preserve">paredzēja, ka dienests, piemērojot Regulu </w:t>
      </w:r>
      <w:r w:rsidR="00AB6A20">
        <w:t>Nr. </w:t>
      </w:r>
      <w:r w:rsidR="009B2C02">
        <w:t xml:space="preserve">83/2004 un Eiropas Parlamenta un Padomes </w:t>
      </w:r>
      <w:proofErr w:type="gramStart"/>
      <w:r w:rsidR="009B2C02">
        <w:t>2009.gada</w:t>
      </w:r>
      <w:proofErr w:type="gramEnd"/>
      <w:r w:rsidR="009B2C02">
        <w:t xml:space="preserve"> 16.septembra Regulu (EK) Nr.</w:t>
      </w:r>
      <w:r w:rsidR="00711EB5">
        <w:t> </w:t>
      </w:r>
      <w:r w:rsidR="009B2C02">
        <w:t>987/2009, ar kuru nosaka īstenošanas kārtību Regulai (EK) Nr.</w:t>
      </w:r>
      <w:r w:rsidR="00AB6A20">
        <w:t> </w:t>
      </w:r>
      <w:r w:rsidR="009B2C02">
        <w:t xml:space="preserve">883/2004 par sociālā nodrošinājuma sistēmu koordinēšanu </w:t>
      </w:r>
      <w:r w:rsidR="009B2C02" w:rsidRPr="00711EB5">
        <w:t xml:space="preserve">(turpmāk – Regula </w:t>
      </w:r>
      <w:r w:rsidR="00D34B09" w:rsidRPr="00711EB5">
        <w:t>Nr. </w:t>
      </w:r>
      <w:r w:rsidR="009B2C02" w:rsidRPr="00711EB5">
        <w:t>987/2009),</w:t>
      </w:r>
      <w:r w:rsidR="009B2C02">
        <w:t xml:space="preserve"> izsniedz vairāku veidu dokumentus, kas apliecina personas tiesības saņemt no valsts budžeta līdzekļiem apmaksātus veselības aprūpes pakalpojumus citā </w:t>
      </w:r>
      <w:r w:rsidR="00711EB5" w:rsidRPr="00711EB5">
        <w:t>Eiropas Savienības (turpmāk</w:t>
      </w:r>
      <w:r w:rsidR="00711EB5">
        <w:t xml:space="preserve"> arī</w:t>
      </w:r>
      <w:r w:rsidR="00711EB5" w:rsidRPr="00711EB5">
        <w:t xml:space="preserve"> – ES)</w:t>
      </w:r>
      <w:r w:rsidR="004E1ADF">
        <w:t>,</w:t>
      </w:r>
      <w:r w:rsidR="00711EB5" w:rsidRPr="00711EB5">
        <w:t xml:space="preserve"> Eiropas Ekonomikas zonas (turpmāk – EEZ) dalībvalstī</w:t>
      </w:r>
      <w:r w:rsidR="009B2C02">
        <w:t xml:space="preserve"> vai Šveicē. Viens no šādiem dokumentiem saskaņā ar šo noteikumu 293.2.apakšpunktu bija S 2 veidlapa „Apliecinājums tiesībām uz plānveida ārstēšanu”, kas nodrošin</w:t>
      </w:r>
      <w:r w:rsidR="00AC380C">
        <w:t>āja</w:t>
      </w:r>
      <w:r w:rsidR="009B2C02">
        <w:t xml:space="preserve"> tiesības saņemt veidlapā norādīto plānveida veselības aprūpes pakalpojumu veidlapā norādītajā valstī un termiņā.</w:t>
      </w:r>
    </w:p>
    <w:p w14:paraId="0ADA9451" w14:textId="2C3DE2B2" w:rsidR="009B2C02" w:rsidRDefault="00FC6F19" w:rsidP="009B2C02">
      <w:pPr>
        <w:spacing w:line="276" w:lineRule="auto"/>
        <w:ind w:firstLine="720"/>
        <w:jc w:val="both"/>
      </w:pPr>
      <w:r w:rsidRPr="00713D5F">
        <w:t xml:space="preserve">Veselības </w:t>
      </w:r>
      <w:r w:rsidR="00071564" w:rsidRPr="00071564">
        <w:t xml:space="preserve">aprūpes </w:t>
      </w:r>
      <w:r>
        <w:t xml:space="preserve">finansēšanas </w:t>
      </w:r>
      <w:r w:rsidRPr="00713D5F">
        <w:t>n</w:t>
      </w:r>
      <w:r w:rsidR="009B2C02" w:rsidRPr="009B2C02">
        <w:t>oteikum</w:t>
      </w:r>
      <w:r w:rsidR="009B2C02">
        <w:t>u</w:t>
      </w:r>
      <w:r w:rsidR="009B2C02" w:rsidRPr="009B2C02">
        <w:t xml:space="preserve"> </w:t>
      </w:r>
      <w:r w:rsidR="009B2C02">
        <w:t>310.punkts noteica, ka personai, kurai ir tiesības saņemt no valsts budžeta līdzekļiem apmaksātus veselības aprūpes pakalpojumus un kura vēlas saņemt plānveida veselības aprūpes pakalpojumu citā ES, EEZ dalībvalstī vai Šveicē, dienests izsniedz S 2 veidlapu, ja vienlaikus ir spēkā šādi nosacījumi:</w:t>
      </w:r>
    </w:p>
    <w:p w14:paraId="7E789162" w14:textId="77777777" w:rsidR="009B2C02" w:rsidRDefault="009B2C02" w:rsidP="009B2C02">
      <w:pPr>
        <w:spacing w:line="276" w:lineRule="auto"/>
        <w:ind w:firstLine="720"/>
        <w:jc w:val="both"/>
      </w:pPr>
      <w:r>
        <w:t>1) veselības aprūpes pakalpojums saskaņā ar veselības aprūpes jomu regulējošiem normatīvajiem aktiem tiek apmaksāts no valsts budžeta līdzekļiem;</w:t>
      </w:r>
    </w:p>
    <w:p w14:paraId="726E5203" w14:textId="77777777" w:rsidR="009B2C02" w:rsidRDefault="009B2C02" w:rsidP="009B2C02">
      <w:pPr>
        <w:spacing w:line="276" w:lineRule="auto"/>
        <w:ind w:firstLine="720"/>
        <w:jc w:val="both"/>
      </w:pPr>
      <w:r>
        <w:t>2) iesnieguma izskatīšanas laikā neviena no šo noteikumu 7.punktā minētajām ārstniecības iestādēm nevar nodrošināt veselības aprūpes pakalpojumu, un par to ir saņemts pamatots ārstniecības iestādes atzinums;</w:t>
      </w:r>
    </w:p>
    <w:p w14:paraId="517C819E" w14:textId="0D4D2F36" w:rsidR="009B2C02" w:rsidRDefault="009B2C02" w:rsidP="009B2C02">
      <w:pPr>
        <w:spacing w:line="276" w:lineRule="auto"/>
        <w:ind w:firstLine="720"/>
        <w:jc w:val="both"/>
      </w:pPr>
      <w:r>
        <w:t>3) šis pakalpojums personai ir nepieciešams, lai novērstu dzīvības funkciju vai veselības stāvokļa neatgriezenisku pasliktināšanos, ņemot vērā personas veselības stāvokli izvērtēšanas brīdī un paredzamo slimības attīstību.</w:t>
      </w:r>
    </w:p>
    <w:p w14:paraId="668DF9FD" w14:textId="24864625" w:rsidR="006D7D16" w:rsidRDefault="009B2C02" w:rsidP="006D7D16">
      <w:pPr>
        <w:spacing w:line="276" w:lineRule="auto"/>
        <w:ind w:firstLine="720"/>
        <w:jc w:val="both"/>
      </w:pPr>
      <w:r>
        <w:t xml:space="preserve">Savukārt šo noteikumu </w:t>
      </w:r>
      <w:r w:rsidR="00F74D87">
        <w:t xml:space="preserve">328.1.2.apakšpunkts paredzēja, ka dienests personai, kura Latvijā ir tiesīga saņemt no valsts budžeta līdzekļiem apmaksātus veselības aprūpes pakalpojumus, atmaksā no personīgajiem līdzekļiem segtos izdevumus par citā ES, </w:t>
      </w:r>
      <w:r w:rsidR="00F74D87" w:rsidRPr="004E1ADF">
        <w:t xml:space="preserve">EEZ dalībvalstī vai Šveicē saņemtajiem veselības aprūpes pakalpojumiem, pamatojoties uz </w:t>
      </w:r>
      <w:r w:rsidR="00D34B09" w:rsidRPr="004E1ADF">
        <w:t>R</w:t>
      </w:r>
      <w:r w:rsidR="00F74D87" w:rsidRPr="004E1ADF">
        <w:t>egulas Nr.</w:t>
      </w:r>
      <w:r w:rsidR="00D34B09" w:rsidRPr="004E1ADF">
        <w:t> </w:t>
      </w:r>
      <w:r w:rsidR="00F74D87" w:rsidRPr="004E1ADF">
        <w:t xml:space="preserve">883/2004 un </w:t>
      </w:r>
      <w:r w:rsidR="00D34B09" w:rsidRPr="004E1ADF">
        <w:t>R</w:t>
      </w:r>
      <w:r w:rsidR="00F74D87" w:rsidRPr="004E1ADF">
        <w:t>egulas Nr.</w:t>
      </w:r>
      <w:r w:rsidR="00D34B09" w:rsidRPr="004E1ADF">
        <w:t> </w:t>
      </w:r>
      <w:r w:rsidR="00F74D87" w:rsidRPr="004E1ADF">
        <w:t>987/2009 noteikumiem</w:t>
      </w:r>
      <w:r w:rsidR="00F74D87">
        <w:t>, kā arī saskaņā ar tās valsts nosacījumiem par veselības aprūpes pakalpojumu izmaksām, kurā personai tika sniegti veselības aprūpes pakalpojumi atbilstoši ES, EEZ dalībvalsts vai Šveices kompetentās institūcijas sniegtajai informācijai par personai atmaksājamo summu, ja dienests ir pieņēmis lēmumu par S</w:t>
      </w:r>
      <w:r w:rsidR="00AC380C">
        <w:t> </w:t>
      </w:r>
      <w:r w:rsidR="00F74D87">
        <w:t>2 veidlapas izsniegšanu personai, bet samaksu par saņemto veselības aprūpes pakalpojumu persona ir veikusi no personīgajiem līdzekļiem</w:t>
      </w:r>
      <w:r w:rsidR="006D7D16">
        <w:t>.</w:t>
      </w:r>
    </w:p>
    <w:p w14:paraId="7DABB5BE" w14:textId="614C28BD" w:rsidR="009B2C02" w:rsidRDefault="009B2C02" w:rsidP="00CC5D65">
      <w:pPr>
        <w:spacing w:line="276" w:lineRule="auto"/>
        <w:ind w:firstLine="720"/>
        <w:jc w:val="both"/>
      </w:pPr>
      <w:r>
        <w:t xml:space="preserve">Tātad šīs normas konkretizēja tieši </w:t>
      </w:r>
      <w:r w:rsidRPr="009B2C02">
        <w:t xml:space="preserve">Regulā </w:t>
      </w:r>
      <w:r w:rsidR="00AB6A20">
        <w:t>Nr. </w:t>
      </w:r>
      <w:r w:rsidRPr="009B2C02">
        <w:t>883/2004</w:t>
      </w:r>
      <w:r>
        <w:t xml:space="preserve"> noteiktās tiesības</w:t>
      </w:r>
      <w:r w:rsidR="00735D84">
        <w:t>,</w:t>
      </w:r>
      <w:r w:rsidR="00CC5D65">
        <w:t xml:space="preserve"> un viens no priekšnoteikumiem</w:t>
      </w:r>
      <w:r w:rsidR="00CC5D65" w:rsidRPr="00CC5D65">
        <w:t xml:space="preserve"> </w:t>
      </w:r>
      <w:r w:rsidR="00CC5D65">
        <w:t>S 2 veidlapas saņemšanai bija tas, ka nepieciešamo veselības aprūpes pakalpojumu iesnieguma izskatīšanas laikā nevar nodrošināt</w:t>
      </w:r>
      <w:r w:rsidR="008A3616">
        <w:t xml:space="preserve"> </w:t>
      </w:r>
      <w:r w:rsidR="00CC5D65">
        <w:t xml:space="preserve">neviena no </w:t>
      </w:r>
      <w:r w:rsidR="00FC6F19" w:rsidRPr="00713D5F">
        <w:t xml:space="preserve">Veselības </w:t>
      </w:r>
      <w:r w:rsidR="00071564">
        <w:t xml:space="preserve">aprūpes </w:t>
      </w:r>
      <w:r w:rsidR="00FC6F19">
        <w:t xml:space="preserve">finansēšanas </w:t>
      </w:r>
      <w:r w:rsidR="00CC5D65">
        <w:t>noteikumu 7.punktā minētajām ārstniecības iestādēm</w:t>
      </w:r>
      <w:r w:rsidR="00735D84">
        <w:t>.</w:t>
      </w:r>
    </w:p>
    <w:p w14:paraId="106F45EB" w14:textId="77777777" w:rsidR="00D34B09" w:rsidRDefault="00D34B09" w:rsidP="00F74D87">
      <w:pPr>
        <w:spacing w:line="276" w:lineRule="auto"/>
        <w:ind w:firstLine="720"/>
        <w:jc w:val="both"/>
      </w:pPr>
    </w:p>
    <w:p w14:paraId="2219677D" w14:textId="2FAF3E94" w:rsidR="008A3616" w:rsidRDefault="00D34B09" w:rsidP="00F74D87">
      <w:pPr>
        <w:spacing w:line="276" w:lineRule="auto"/>
        <w:ind w:firstLine="720"/>
        <w:jc w:val="both"/>
      </w:pPr>
      <w:r>
        <w:t>[1</w:t>
      </w:r>
      <w:r w:rsidR="00AC380C">
        <w:t>4</w:t>
      </w:r>
      <w:r>
        <w:t xml:space="preserve">] </w:t>
      </w:r>
      <w:r w:rsidR="008A3616">
        <w:t xml:space="preserve">Apgabaltiesa atzina, ka iestāde ir pamatoti secinājusi, ka šis priekšnoteikums nav izpildījies un tāpēc pieteicējam nav </w:t>
      </w:r>
      <w:bookmarkStart w:id="2" w:name="_Hlk57341147"/>
      <w:r w:rsidR="008A3616">
        <w:t>tiesību no dienesta saņemt par dēla ārstēšanu Polijā iztērēto līdzekļu atmaksu</w:t>
      </w:r>
      <w:bookmarkEnd w:id="2"/>
      <w:r w:rsidR="008A3616">
        <w:t xml:space="preserve">. Apgabaltiesa arī atzina, ka </w:t>
      </w:r>
      <w:r w:rsidR="00735D84">
        <w:t>tādējādi pret pieteicēju netiek</w:t>
      </w:r>
      <w:r w:rsidR="008A3616">
        <w:t xml:space="preserve"> pieļauta diskriminācija uz reliģiskās pārliecības pamata.</w:t>
      </w:r>
    </w:p>
    <w:p w14:paraId="5B9035B8" w14:textId="4A0D47B3" w:rsidR="008A3616" w:rsidRDefault="00D34B09" w:rsidP="00F74D87">
      <w:pPr>
        <w:spacing w:line="276" w:lineRule="auto"/>
        <w:ind w:firstLine="720"/>
        <w:jc w:val="both"/>
      </w:pPr>
      <w:r>
        <w:t xml:space="preserve">Kā jau tika norādīts, </w:t>
      </w:r>
      <w:r w:rsidRPr="00D34B09">
        <w:t>Eiropas Savienības Tiesa, atbildot uz Senāta uzdotajiem prejudiciālajiem jautājumiem, nosprieda, ka Regula</w:t>
      </w:r>
      <w:r>
        <w:t>s</w:t>
      </w:r>
      <w:r w:rsidRPr="00D34B09">
        <w:t xml:space="preserve"> </w:t>
      </w:r>
      <w:r>
        <w:t>Nr. </w:t>
      </w:r>
      <w:r w:rsidRPr="00D34B09">
        <w:t xml:space="preserve">883/2004 </w:t>
      </w:r>
      <w:proofErr w:type="gramStart"/>
      <w:r w:rsidRPr="00D34B09">
        <w:t>20.panta</w:t>
      </w:r>
      <w:proofErr w:type="gramEnd"/>
      <w:r w:rsidRPr="00D34B09">
        <w:t xml:space="preserve"> 2.punkts, lasot to </w:t>
      </w:r>
      <w:r w:rsidRPr="00D34B09">
        <w:lastRenderedPageBreak/>
        <w:t>kopsakarā ar Eiropas Savienības Pamattiesību hartas 21.panta 1.punktu</w:t>
      </w:r>
      <w:r>
        <w:t xml:space="preserve"> (</w:t>
      </w:r>
      <w:r w:rsidR="00071564">
        <w:t>k</w:t>
      </w:r>
      <w:r>
        <w:t>as aizliedz diskrimināciju reliģijas dēļ)</w:t>
      </w:r>
      <w:r w:rsidRPr="00D34B09">
        <w:t>, ir jāinterpretē tādējādi, ka dalībvalsts drīkst atteikt šīs regulas 20.panta 1.punktā minēto atļauju, ja šajā dalībvalstī ir pieejama stacionārā ārstēšana, par kuras medicīnisko efektivitāti nav šaubu, taču izmantotā ārstēšanas metode neatbilst personas reliģiskajai pārliecībai.</w:t>
      </w:r>
    </w:p>
    <w:p w14:paraId="0393C0FB" w14:textId="18B19DED" w:rsidR="008A3616" w:rsidRDefault="00842033" w:rsidP="00735D84">
      <w:pPr>
        <w:spacing w:line="276" w:lineRule="auto"/>
        <w:ind w:firstLine="720"/>
        <w:jc w:val="both"/>
      </w:pPr>
      <w:r>
        <w:t xml:space="preserve">Eiropas Savienības </w:t>
      </w:r>
      <w:r w:rsidR="007041BE">
        <w:t>T</w:t>
      </w:r>
      <w:r>
        <w:t>iesa konstatēja, ka Latvijas</w:t>
      </w:r>
      <w:r w:rsidRPr="00842033">
        <w:t xml:space="preserve"> tiesiskais regulējums ir formulēts neitrāli un nerada tiešu diskrimināciju reliģijas dēļ.</w:t>
      </w:r>
      <w:r>
        <w:t xml:space="preserve"> </w:t>
      </w:r>
      <w:r w:rsidR="003D3DC0">
        <w:t>Vienlaikus tika secināts, ka</w:t>
      </w:r>
      <w:r w:rsidRPr="00842033">
        <w:t xml:space="preserve"> atteikums piešķirt </w:t>
      </w:r>
      <w:r>
        <w:t>pieteicējam</w:t>
      </w:r>
      <w:r w:rsidRPr="00842033">
        <w:t xml:space="preserve"> Regulas Nr.</w:t>
      </w:r>
      <w:r>
        <w:t> </w:t>
      </w:r>
      <w:r w:rsidRPr="00842033">
        <w:t xml:space="preserve">883/2004 </w:t>
      </w:r>
      <w:proofErr w:type="gramStart"/>
      <w:r w:rsidRPr="00842033">
        <w:t>20.panta</w:t>
      </w:r>
      <w:proofErr w:type="gramEnd"/>
      <w:r w:rsidRPr="00842033">
        <w:t xml:space="preserve"> 1.punktā paredzēto iepriekšējo atļauju rada netiešu atšķirīgu attieksmi reliģijas dēļ</w:t>
      </w:r>
      <w:r>
        <w:t>, jo</w:t>
      </w:r>
      <w:r w:rsidRPr="00842033">
        <w:t xml:space="preserve"> pacientiem, kuriem tiek veikta medicīniska manipulācija ar asins pārliešanu, </w:t>
      </w:r>
      <w:r>
        <w:t>tās</w:t>
      </w:r>
      <w:r w:rsidRPr="00842033">
        <w:t xml:space="preserve"> izmaksas tiek segtas no dzīvesvietas dalībvalsts sociālā nodrošinājuma sistēmas, </w:t>
      </w:r>
      <w:r>
        <w:t>bet</w:t>
      </w:r>
      <w:r w:rsidRPr="00842033">
        <w:t xml:space="preserve"> pacientiem, kuri reliģisku iemeslu dēļ nolemj neveikt šādu operāciju šajā dalībvalstī un citā dalībvalstī izmantot ārstēšanu, kura nav pretrunā viņu reliģiskajai pārliecībai</w:t>
      </w:r>
      <w:r w:rsidR="007041BE">
        <w:t>, izmaksas netiek segtas</w:t>
      </w:r>
      <w:r w:rsidR="003D3DC0">
        <w:t>. Taču a</w:t>
      </w:r>
      <w:r w:rsidR="003D3DC0" w:rsidRPr="003D3DC0">
        <w:t xml:space="preserve">tšķirīga attieksme </w:t>
      </w:r>
      <w:r w:rsidR="003D3DC0">
        <w:t xml:space="preserve">var tikt atzīta par </w:t>
      </w:r>
      <w:r w:rsidR="003D3DC0" w:rsidRPr="003D3DC0">
        <w:t>pamatot</w:t>
      </w:r>
      <w:r w:rsidR="003D3DC0">
        <w:t>u</w:t>
      </w:r>
      <w:r w:rsidR="003D3DC0" w:rsidRPr="003D3DC0">
        <w:t>, ja tā ir balstīta uz objektīvu un saprātīgu kritēriju, proti, ja tā atbilst leģitīmi pieņemamam mērķim, kas ir izvirzīts attiecīgajā tiesiskajā regulējumā, un ja šī atšķirība ir samērīga ar mērķi, ko ar attiecīgo attieksmi tiecas sasniegt</w:t>
      </w:r>
      <w:r w:rsidR="00735D84">
        <w:t xml:space="preserve"> (</w:t>
      </w:r>
      <w:r w:rsidR="00735D84" w:rsidRPr="00735D84">
        <w:rPr>
          <w:i/>
          <w:iCs/>
        </w:rPr>
        <w:t>Eiropas Savienības Tiesas 2020.gada 29.oktobra sprieduma lietā C‑243/19, A</w:t>
      </w:r>
      <w:r w:rsidR="003D3DC0">
        <w:rPr>
          <w:i/>
          <w:iCs/>
        </w:rPr>
        <w:t> </w:t>
      </w:r>
      <w:r w:rsidR="00735D84" w:rsidRPr="00735D84">
        <w:rPr>
          <w:i/>
          <w:iCs/>
        </w:rPr>
        <w:t xml:space="preserve">pret Veselības ministriju (ECLI:EU:C:2020:872) </w:t>
      </w:r>
      <w:r w:rsidR="003D3DC0">
        <w:rPr>
          <w:i/>
          <w:iCs/>
        </w:rPr>
        <w:t xml:space="preserve">37., </w:t>
      </w:r>
      <w:r w:rsidR="00735D84" w:rsidRPr="00735D84">
        <w:rPr>
          <w:i/>
          <w:iCs/>
        </w:rPr>
        <w:t>39.</w:t>
      </w:r>
      <w:r w:rsidR="0016434A" w:rsidRPr="00EA659A">
        <w:rPr>
          <w:i/>
          <w:iCs/>
        </w:rPr>
        <w:t>–</w:t>
      </w:r>
      <w:r w:rsidR="00735D84" w:rsidRPr="00735D84">
        <w:rPr>
          <w:i/>
          <w:iCs/>
        </w:rPr>
        <w:t>43.punkts</w:t>
      </w:r>
      <w:r w:rsidR="00735D84">
        <w:t>)</w:t>
      </w:r>
      <w:r w:rsidRPr="00842033">
        <w:t>.</w:t>
      </w:r>
    </w:p>
    <w:p w14:paraId="5F74ABD4" w14:textId="69DA0A39" w:rsidR="000720A6" w:rsidRDefault="00735D84" w:rsidP="00023861">
      <w:pPr>
        <w:spacing w:line="276" w:lineRule="auto"/>
        <w:ind w:firstLine="720"/>
        <w:jc w:val="both"/>
      </w:pPr>
      <w:r>
        <w:t xml:space="preserve">Vērtējot, </w:t>
      </w:r>
      <w:r w:rsidRPr="00735D84">
        <w:t>vai atšķirīg</w:t>
      </w:r>
      <w:r w:rsidR="003D3DC0">
        <w:t xml:space="preserve">ajai attieksmei ir leģitīms mērķis, </w:t>
      </w:r>
      <w:r>
        <w:t xml:space="preserve">Eiropas Savienības </w:t>
      </w:r>
      <w:r w:rsidR="003D3DC0">
        <w:t>T</w:t>
      </w:r>
      <w:r>
        <w:t xml:space="preserve">iesa </w:t>
      </w:r>
      <w:r w:rsidR="003D3DC0">
        <w:t xml:space="preserve">atzina, ka atšķirīgās attieksmes mērķis </w:t>
      </w:r>
      <w:r w:rsidR="00023861">
        <w:t>var būt</w:t>
      </w:r>
      <w:r w:rsidR="003D3DC0">
        <w:t xml:space="preserve"> aizsargāt</w:t>
      </w:r>
      <w:r w:rsidR="003D3DC0" w:rsidRPr="003D3DC0">
        <w:t xml:space="preserve"> veselības apdrošināšanas sistēmas finansiāl</w:t>
      </w:r>
      <w:r w:rsidR="003D3DC0">
        <w:t>o</w:t>
      </w:r>
      <w:r w:rsidR="003D3DC0" w:rsidRPr="003D3DC0">
        <w:t xml:space="preserve"> stabilitāt</w:t>
      </w:r>
      <w:r w:rsidR="003D3DC0">
        <w:t xml:space="preserve">i. Spriedumā </w:t>
      </w:r>
      <w:r w:rsidR="00023861">
        <w:t>skaidrots,</w:t>
      </w:r>
      <w:r w:rsidR="003D3DC0">
        <w:t xml:space="preserve"> </w:t>
      </w:r>
      <w:r w:rsidR="00561A30">
        <w:t xml:space="preserve">ka </w:t>
      </w:r>
      <w:r>
        <w:t>valstij ir jābūt iespējai plānot slimnīcu skaitu, to ģeogrāfisko sadali, organizēšanu un tām piešķirto materiālo nodrošinājumu vai pat to piedāvāto ārstniecības pakalpojumu raksturu, un parasti ar šādu plānošanu tiek apmierinātas dažādas vajadzības. No vienas puses, šīs plānošanas mērķis ir nodrošināt attiecīgās valsts teritorijā pietiekamu un pastāvīgu piekļuvi līdzsvarotas un kvalitatīvas stacionārās aprūpes pakalpojumu klāstam. No otras puses, šai plānošanai vajadzētu nodrošināt izmaksu kontroli un, cik vien iespējams, izvairī</w:t>
      </w:r>
      <w:r w:rsidR="003D3DC0">
        <w:t>šanos</w:t>
      </w:r>
      <w:r>
        <w:t xml:space="preserve"> no finanšu un tehnisko līdzekļu un cilvēku resursu nelietderīgas izmantošanas. Šāda </w:t>
      </w:r>
      <w:r w:rsidR="003D3DC0">
        <w:t xml:space="preserve">resursu </w:t>
      </w:r>
      <w:r>
        <w:t xml:space="preserve">nelietderīga izmantošana </w:t>
      </w:r>
      <w:r w:rsidR="003D3DC0">
        <w:t>būtu</w:t>
      </w:r>
      <w:r>
        <w:t xml:space="preserve"> īpaši kaitīga, jo stacionārās aprūpes nozare ir saistīta ar ievērojamām izmaksām un tai ir jāapmierina pieaugošas vajadzības, lai gan finanšu līdzekļi, ko var veltīt veselības aprūpei, nav neierobežoti</w:t>
      </w:r>
      <w:r w:rsidR="000720A6">
        <w:t xml:space="preserve"> (</w:t>
      </w:r>
      <w:r w:rsidR="000720A6" w:rsidRPr="000720A6">
        <w:rPr>
          <w:i/>
          <w:iCs/>
        </w:rPr>
        <w:t>turpat, 44.</w:t>
      </w:r>
      <w:r w:rsidR="0016434A" w:rsidRPr="00EA659A">
        <w:rPr>
          <w:i/>
          <w:iCs/>
        </w:rPr>
        <w:t>–</w:t>
      </w:r>
      <w:r w:rsidR="000720A6" w:rsidRPr="000720A6">
        <w:rPr>
          <w:i/>
          <w:iCs/>
        </w:rPr>
        <w:t>47.punkts</w:t>
      </w:r>
      <w:r w:rsidR="000720A6">
        <w:t>)</w:t>
      </w:r>
      <w:r>
        <w:t>.</w:t>
      </w:r>
    </w:p>
    <w:p w14:paraId="1DC320A3" w14:textId="0C3D23E9" w:rsidR="00735D84" w:rsidRDefault="000720A6" w:rsidP="00735D84">
      <w:pPr>
        <w:spacing w:line="276" w:lineRule="auto"/>
        <w:ind w:firstLine="720"/>
        <w:jc w:val="both"/>
      </w:pPr>
      <w:r w:rsidRPr="000720A6">
        <w:t>Eiropas Savienības Tiesa arī norādīja</w:t>
      </w:r>
      <w:r w:rsidR="00561A30">
        <w:t>:</w:t>
      </w:r>
      <w:r w:rsidRPr="000720A6">
        <w:t xml:space="preserve"> ja kompetentajai iestādei būtu jāņem vērā apdrošinātās personas reliģiskā pārliecība, valstij varētu rasties papildu izmaksas, </w:t>
      </w:r>
      <w:r>
        <w:t xml:space="preserve">jo </w:t>
      </w:r>
      <w:r w:rsidR="00023861">
        <w:t xml:space="preserve">atbilstoši </w:t>
      </w:r>
      <w:r w:rsidR="00023861" w:rsidRPr="00023861">
        <w:t>Regulas Nr.</w:t>
      </w:r>
      <w:r w:rsidR="00023861">
        <w:t> </w:t>
      </w:r>
      <w:r w:rsidR="00023861" w:rsidRPr="00023861">
        <w:t xml:space="preserve">883/2004 </w:t>
      </w:r>
      <w:proofErr w:type="gramStart"/>
      <w:r w:rsidR="00023861" w:rsidRPr="00023861">
        <w:t>20.pant</w:t>
      </w:r>
      <w:r w:rsidR="00023861">
        <w:t>am</w:t>
      </w:r>
      <w:proofErr w:type="gramEnd"/>
      <w:r w:rsidR="00023861">
        <w:t xml:space="preserve"> valstij ir pilnībā jāsedz izmaksas, kas radušās sakarā ar ārstēšanos citā dalībvalstī</w:t>
      </w:r>
      <w:r w:rsidR="00D8769B">
        <w:t>, un šīs</w:t>
      </w:r>
      <w:r w:rsidR="00023861">
        <w:t xml:space="preserve"> izmaksas var būt lielākas nekā līdzīgas ārstēšanās izmaksas personas piederības dalībvalstī</w:t>
      </w:r>
      <w:r w:rsidR="00D8769B">
        <w:t>. Turklāt var būt sarežģīti prognozēt šo izmaksu apmēru, jo ir grūti noteikt to personu skaitu, kas vēlētos saņemt atļauju veselības aprūpei citā dalībvalstī reliģisku apsvērumu dēļ. Līdz ar to</w:t>
      </w:r>
      <w:r w:rsidR="00C10154">
        <w:t>, ja</w:t>
      </w:r>
      <w:r w:rsidR="00C10154" w:rsidRPr="00C10154">
        <w:t xml:space="preserve"> nepastāv</w:t>
      </w:r>
      <w:r w:rsidR="00C10154">
        <w:t>ētu</w:t>
      </w:r>
      <w:r w:rsidR="00C10154" w:rsidRPr="00C10154">
        <w:t xml:space="preserve"> iepriekšējas atļaujas sistēma, kura būtu balstīta tikai uz medicīniskiem kritērijiem, </w:t>
      </w:r>
      <w:r w:rsidR="00C10154">
        <w:t>tas</w:t>
      </w:r>
      <w:r w:rsidR="00C10154" w:rsidRPr="00C10154">
        <w:t xml:space="preserve"> varētu radīt risku </w:t>
      </w:r>
      <w:r w:rsidR="00C10154">
        <w:t>personas piederības dalībvalsts</w:t>
      </w:r>
      <w:r w:rsidR="00C10154" w:rsidRPr="00C10154">
        <w:t xml:space="preserve"> </w:t>
      </w:r>
      <w:bookmarkStart w:id="3" w:name="_Hlk57340512"/>
      <w:r w:rsidR="00C10154" w:rsidRPr="00C10154">
        <w:t>veselības apdrošināšanas sistēmas finansiālajai stabilitātei</w:t>
      </w:r>
      <w:bookmarkEnd w:id="3"/>
      <w:r w:rsidR="00C10154" w:rsidRPr="00C10154">
        <w:t>.</w:t>
      </w:r>
      <w:r w:rsidR="00C10154">
        <w:t xml:space="preserve"> Šo iemeslu dēļ Eiropas Savienības </w:t>
      </w:r>
      <w:r w:rsidR="00C126A7">
        <w:t>T</w:t>
      </w:r>
      <w:r w:rsidR="00C10154">
        <w:t xml:space="preserve">iesa atzina, ka </w:t>
      </w:r>
      <w:r w:rsidR="00D8769B">
        <w:t>tāda</w:t>
      </w:r>
      <w:r w:rsidR="00C10154">
        <w:t>s</w:t>
      </w:r>
      <w:r w:rsidR="00D8769B">
        <w:t xml:space="preserve"> i</w:t>
      </w:r>
      <w:r w:rsidR="00735D84">
        <w:t>epriekšējas atļaujas sistēma</w:t>
      </w:r>
      <w:r w:rsidR="00D8769B">
        <w:t>s izveidošana</w:t>
      </w:r>
      <w:r w:rsidR="00735D84">
        <w:t xml:space="preserve">, kurā netiek ņemta vērā apdrošinātās personas reliģiskā pārliecība, bet kas ir </w:t>
      </w:r>
      <w:r w:rsidR="00D8769B">
        <w:t>balstīta</w:t>
      </w:r>
      <w:r w:rsidR="00735D84">
        <w:t xml:space="preserve"> vienīgi uz medicīniskiem kritērijiem, var </w:t>
      </w:r>
      <w:r w:rsidR="00D8769B">
        <w:t xml:space="preserve">būt </w:t>
      </w:r>
      <w:r w:rsidR="00735D84">
        <w:t xml:space="preserve">piemērota </w:t>
      </w:r>
      <w:r w:rsidR="00D8769B">
        <w:t xml:space="preserve">un nepieciešama </w:t>
      </w:r>
      <w:r w:rsidR="00C10154">
        <w:t xml:space="preserve">valsts </w:t>
      </w:r>
      <w:r w:rsidR="00C10154" w:rsidRPr="00C10154">
        <w:t>veselības apdrošināšanas sistēmas finansiāl</w:t>
      </w:r>
      <w:r w:rsidR="00C10154">
        <w:t>ās</w:t>
      </w:r>
      <w:r w:rsidR="00C10154" w:rsidRPr="00C10154">
        <w:t xml:space="preserve"> stabilitāte</w:t>
      </w:r>
      <w:r w:rsidR="00C10154">
        <w:t>s nodrošināšanai</w:t>
      </w:r>
      <w:r w:rsidR="00C10154" w:rsidRPr="00C10154">
        <w:t xml:space="preserve"> </w:t>
      </w:r>
      <w:r w:rsidR="00D8769B" w:rsidRPr="00D8769B">
        <w:t>(</w:t>
      </w:r>
      <w:r w:rsidR="00D8769B" w:rsidRPr="00D8769B">
        <w:rPr>
          <w:i/>
          <w:iCs/>
        </w:rPr>
        <w:t>turpat, 48.</w:t>
      </w:r>
      <w:r w:rsidR="0016434A" w:rsidRPr="00EA659A">
        <w:rPr>
          <w:i/>
          <w:iCs/>
        </w:rPr>
        <w:t>–</w:t>
      </w:r>
      <w:r w:rsidR="00D8769B" w:rsidRPr="00D8769B">
        <w:rPr>
          <w:i/>
          <w:iCs/>
        </w:rPr>
        <w:t>5</w:t>
      </w:r>
      <w:r w:rsidR="00D8769B">
        <w:rPr>
          <w:i/>
          <w:iCs/>
        </w:rPr>
        <w:t>5</w:t>
      </w:r>
      <w:r w:rsidR="00D8769B" w:rsidRPr="00D8769B">
        <w:rPr>
          <w:i/>
          <w:iCs/>
        </w:rPr>
        <w:t>.punkts</w:t>
      </w:r>
      <w:r w:rsidR="00D8769B" w:rsidRPr="00D8769B">
        <w:t>)</w:t>
      </w:r>
      <w:r w:rsidR="00735D84">
        <w:t>.</w:t>
      </w:r>
    </w:p>
    <w:p w14:paraId="7B1EC19D" w14:textId="73C4A462" w:rsidR="006D7D16" w:rsidRDefault="00C10154" w:rsidP="00F74D87">
      <w:pPr>
        <w:spacing w:line="276" w:lineRule="auto"/>
        <w:ind w:firstLine="720"/>
        <w:jc w:val="both"/>
      </w:pPr>
      <w:r>
        <w:t xml:space="preserve">Tātad Eiropas Savienības </w:t>
      </w:r>
      <w:r w:rsidR="00C126A7">
        <w:t>T</w:t>
      </w:r>
      <w:r>
        <w:t xml:space="preserve">iesa faktiski atzina, ka </w:t>
      </w:r>
      <w:r w:rsidRPr="00C10154">
        <w:t>Regulas Nr.</w:t>
      </w:r>
      <w:r w:rsidR="003C3BE6">
        <w:t> </w:t>
      </w:r>
      <w:r w:rsidRPr="00C10154">
        <w:t xml:space="preserve">883/2004 </w:t>
      </w:r>
      <w:proofErr w:type="gramStart"/>
      <w:r w:rsidRPr="00C10154">
        <w:t>20.pant</w:t>
      </w:r>
      <w:r>
        <w:t>ā</w:t>
      </w:r>
      <w:proofErr w:type="gramEnd"/>
      <w:r>
        <w:t xml:space="preserve"> paredzētās atļaujas atteikšana personai tādos apstākļos, kādi bija pieteicējam, ir pieļaujama un nepārkāptu diskriminācijas aizlieguma principu.</w:t>
      </w:r>
    </w:p>
    <w:p w14:paraId="7D3C7BAC" w14:textId="14617517" w:rsidR="00C10154" w:rsidRDefault="00C10154" w:rsidP="00F74D87">
      <w:pPr>
        <w:spacing w:line="276" w:lineRule="auto"/>
        <w:ind w:firstLine="720"/>
        <w:jc w:val="both"/>
      </w:pPr>
    </w:p>
    <w:p w14:paraId="79D5B3B7" w14:textId="2751E7FA" w:rsidR="00C10154" w:rsidRDefault="00C10154" w:rsidP="00F74D87">
      <w:pPr>
        <w:spacing w:line="276" w:lineRule="auto"/>
        <w:ind w:firstLine="720"/>
        <w:jc w:val="both"/>
      </w:pPr>
      <w:r>
        <w:t>[1</w:t>
      </w:r>
      <w:r w:rsidR="00AC380C">
        <w:t>5</w:t>
      </w:r>
      <w:r>
        <w:t xml:space="preserve">] </w:t>
      </w:r>
      <w:r w:rsidR="00AC380C">
        <w:t>Senāts konstatē, ka</w:t>
      </w:r>
      <w:r>
        <w:t xml:space="preserve"> apgabaltiesa nav veikusi </w:t>
      </w:r>
      <w:r w:rsidR="00054BF4">
        <w:t xml:space="preserve">pienācīgu un </w:t>
      </w:r>
      <w:r w:rsidR="006925BB">
        <w:t>Eiropas Savienības tiesībām atbilstošu</w:t>
      </w:r>
      <w:r>
        <w:t xml:space="preserve"> izvērtējumu par diskriminācijas aizlieguma principu</w:t>
      </w:r>
      <w:r w:rsidR="006925BB">
        <w:t>. Neskatoties uz to, apgabaltiesa</w:t>
      </w:r>
      <w:r w:rsidR="00054BF4">
        <w:t xml:space="preserve"> ir nonākusi pie pareiza secinājuma, ka </w:t>
      </w:r>
      <w:r w:rsidR="00054BF4" w:rsidRPr="00054BF4">
        <w:t>Regulas Nr.</w:t>
      </w:r>
      <w:r w:rsidR="00054BF4">
        <w:t> </w:t>
      </w:r>
      <w:r w:rsidR="00054BF4" w:rsidRPr="00054BF4">
        <w:t xml:space="preserve">883/2004 </w:t>
      </w:r>
      <w:proofErr w:type="gramStart"/>
      <w:r w:rsidR="00054BF4" w:rsidRPr="00054BF4">
        <w:t>20.pantā</w:t>
      </w:r>
      <w:proofErr w:type="gramEnd"/>
      <w:r w:rsidR="00054BF4" w:rsidRPr="00054BF4">
        <w:t xml:space="preserve"> paredzētās atļaujas atteikšana </w:t>
      </w:r>
      <w:r w:rsidR="00054BF4">
        <w:t>pieteicējam bija tiesiska. Līdz ar to nav nepieciešams atcelt pārsūdzēto spriedumu š</w:t>
      </w:r>
      <w:r w:rsidR="00561A30">
        <w:t>ā</w:t>
      </w:r>
      <w:r w:rsidR="00054BF4">
        <w:t xml:space="preserve"> iemesla dēļ.</w:t>
      </w:r>
    </w:p>
    <w:p w14:paraId="7986FA71" w14:textId="7FB7D2F1" w:rsidR="00054BF4" w:rsidRDefault="00054BF4" w:rsidP="00F74D87">
      <w:pPr>
        <w:spacing w:line="276" w:lineRule="auto"/>
        <w:ind w:firstLine="720"/>
        <w:jc w:val="both"/>
      </w:pPr>
    </w:p>
    <w:p w14:paraId="4A2467FA" w14:textId="58EC9084" w:rsidR="006925BB" w:rsidRPr="006925BB" w:rsidRDefault="006925BB" w:rsidP="006925BB">
      <w:pPr>
        <w:spacing w:line="276" w:lineRule="auto"/>
        <w:jc w:val="center"/>
        <w:rPr>
          <w:b/>
          <w:bCs/>
        </w:rPr>
      </w:pPr>
      <w:r w:rsidRPr="006925BB">
        <w:rPr>
          <w:b/>
          <w:bCs/>
        </w:rPr>
        <w:t>IV</w:t>
      </w:r>
    </w:p>
    <w:p w14:paraId="65DB7DD2" w14:textId="77777777" w:rsidR="006925BB" w:rsidRDefault="006925BB" w:rsidP="00F74D87">
      <w:pPr>
        <w:spacing w:line="276" w:lineRule="auto"/>
        <w:ind w:firstLine="720"/>
        <w:jc w:val="both"/>
      </w:pPr>
    </w:p>
    <w:p w14:paraId="1BB7B608" w14:textId="04C11E66" w:rsidR="005434CB" w:rsidRDefault="00054BF4" w:rsidP="005434CB">
      <w:pPr>
        <w:spacing w:line="276" w:lineRule="auto"/>
        <w:ind w:firstLine="720"/>
        <w:jc w:val="both"/>
      </w:pPr>
      <w:r>
        <w:t>[1</w:t>
      </w:r>
      <w:r w:rsidR="006925BB">
        <w:t>6</w:t>
      </w:r>
      <w:r>
        <w:t xml:space="preserve">] Taču </w:t>
      </w:r>
      <w:r w:rsidR="005434CB">
        <w:t>pieteikumā bija arī norādīts, ka lēmums neizsniegt pieteicējam veidlapu S 2 ir novedis pie situācijas, ka, neatsakoties no savas reliģiskās pārliecības, pieteicējam nav iespējams saņemt veselības aprūpes pakalpojumu Latvijā, kā arī nav iespējams saņemt finansējumu vai kompensāciju veselības aprūpes pakalpojuma saņemšanai Polijas ārstniecības iestādē vismaz tādā vērtībā, kāda būtu Latvijā sniegtam pakalpojumam. Pieteicēja ieskatā, šādu situāciju nevar atzīt par taisnīgu, jo pieteicējam nav nodrošināta vienlīdzīga pieeja veselības aprūpes pakalpojumiem.</w:t>
      </w:r>
    </w:p>
    <w:p w14:paraId="755A35CE" w14:textId="0EF9FC54" w:rsidR="00054BF4" w:rsidRDefault="005434CB" w:rsidP="005434CB">
      <w:pPr>
        <w:spacing w:line="276" w:lineRule="auto"/>
        <w:ind w:firstLine="720"/>
        <w:jc w:val="both"/>
      </w:pPr>
      <w:r>
        <w:t xml:space="preserve">Pēc būtības ar šo argumentu pieteicējs ir paudis uzskatu, </w:t>
      </w:r>
      <w:r w:rsidR="00054BF4">
        <w:t xml:space="preserve">ka gadījumā, ja viņam nav </w:t>
      </w:r>
      <w:r w:rsidR="00054BF4" w:rsidRPr="00054BF4">
        <w:t>tiesību no dienesta saņemt par dēla ārstēšanu Polijā iztērēto līdzekļu atmaksu</w:t>
      </w:r>
      <w:r w:rsidR="00054BF4">
        <w:t xml:space="preserve"> saskaņā ar </w:t>
      </w:r>
      <w:r w:rsidR="00054BF4" w:rsidRPr="00054BF4">
        <w:t>Regul</w:t>
      </w:r>
      <w:r w:rsidR="00054BF4">
        <w:t>u</w:t>
      </w:r>
      <w:r w:rsidR="00054BF4" w:rsidRPr="00054BF4">
        <w:t xml:space="preserve"> Nr.</w:t>
      </w:r>
      <w:r w:rsidR="00054BF4">
        <w:t> </w:t>
      </w:r>
      <w:r w:rsidR="00054BF4" w:rsidRPr="00054BF4">
        <w:t>883/2004</w:t>
      </w:r>
      <w:r w:rsidR="00054BF4">
        <w:t xml:space="preserve">, tad šādas tiesības viņam tomēr ir, pamatojoties uz </w:t>
      </w:r>
      <w:r w:rsidR="00054BF4" w:rsidRPr="00054BF4">
        <w:t>Direktīv</w:t>
      </w:r>
      <w:r w:rsidR="00054BF4">
        <w:t>u</w:t>
      </w:r>
      <w:r w:rsidR="00054BF4" w:rsidRPr="00054BF4">
        <w:t xml:space="preserve"> </w:t>
      </w:r>
      <w:r w:rsidR="00054BF4">
        <w:t>Nr. </w:t>
      </w:r>
      <w:r w:rsidR="00054BF4" w:rsidRPr="00054BF4">
        <w:t>2011/24</w:t>
      </w:r>
      <w:r>
        <w:t>, kas</w:t>
      </w:r>
      <w:r w:rsidR="004809BF">
        <w:t>, kā jau tika minēts,</w:t>
      </w:r>
      <w:r>
        <w:t xml:space="preserve"> tieši paredz tiesības uz ārstēšanās izdevumu citā dalībvalstī segšanu </w:t>
      </w:r>
      <w:r w:rsidRPr="005434CB">
        <w:t xml:space="preserve">apmērā, kāds par identisku veselības aprūpi tiktu nodrošināts personas piederības dalībvalstī, ja šī veselības aprūpe būtu sniegta tās teritorijā, </w:t>
      </w:r>
      <w:r w:rsidR="004809BF">
        <w:t xml:space="preserve">vienlaikus </w:t>
      </w:r>
      <w:r w:rsidRPr="005434CB">
        <w:t>nepārsniedzot saņemtās veselības aprūpes faktiskās izmaksas.</w:t>
      </w:r>
      <w:r>
        <w:t xml:space="preserve"> Tāpat no š</w:t>
      </w:r>
      <w:r w:rsidR="00561A30">
        <w:t>ā</w:t>
      </w:r>
      <w:r>
        <w:t xml:space="preserve"> argumenta izriet, ka pieteicēja ieskatā atteikšanās nodrošināt pieteicējam </w:t>
      </w:r>
      <w:r w:rsidRPr="005434CB">
        <w:t>par dēla ārstēšanu Polijā iztērēto līdzekļu atmaksu Direktīv</w:t>
      </w:r>
      <w:r>
        <w:t>ā</w:t>
      </w:r>
      <w:r w:rsidRPr="005434CB">
        <w:t xml:space="preserve"> Nr.</w:t>
      </w:r>
      <w:r>
        <w:t> </w:t>
      </w:r>
      <w:r w:rsidRPr="005434CB">
        <w:t>2011/24</w:t>
      </w:r>
      <w:r>
        <w:t xml:space="preserve"> paredzētajā kārtībā rada pieteicēja diskrimināciju reliģiskās pārliecības dēļ.</w:t>
      </w:r>
      <w:r w:rsidR="006925BB">
        <w:t xml:space="preserve"> Pieteicējs to skaidri ir norādījis arī Senātam iesniegt</w:t>
      </w:r>
      <w:r w:rsidR="00C126A7">
        <w:t>aj</w:t>
      </w:r>
      <w:r w:rsidR="006925BB">
        <w:t>os papildu paskaidrojumos.</w:t>
      </w:r>
    </w:p>
    <w:p w14:paraId="3C6CC000" w14:textId="48A8589D" w:rsidR="005434CB" w:rsidRDefault="005434CB" w:rsidP="005434CB">
      <w:pPr>
        <w:spacing w:line="276" w:lineRule="auto"/>
        <w:ind w:firstLine="720"/>
        <w:jc w:val="both"/>
      </w:pPr>
      <w:r>
        <w:t>Apgabaltiesa, atbildot uz šo argumentu, norādīja</w:t>
      </w:r>
      <w:r w:rsidR="00857BED">
        <w:t>, ka</w:t>
      </w:r>
      <w:r>
        <w:t xml:space="preserve"> kārtību, kādā tiek atlīdzināti izdevumi</w:t>
      </w:r>
      <w:r w:rsidR="00857BED">
        <w:t xml:space="preserve"> </w:t>
      </w:r>
      <w:r>
        <w:t>par citā E</w:t>
      </w:r>
      <w:r w:rsidR="00711EB5">
        <w:t>S</w:t>
      </w:r>
      <w:r>
        <w:t>, E</w:t>
      </w:r>
      <w:r w:rsidR="00711EB5">
        <w:t>EZ</w:t>
      </w:r>
      <w:r>
        <w:t xml:space="preserve"> dalībvalstī un Šveicē</w:t>
      </w:r>
      <w:r w:rsidR="00857BED">
        <w:t xml:space="preserve"> </w:t>
      </w:r>
      <w:r>
        <w:t>saņemtajiem veselības aprūpes pakalpojumiem</w:t>
      </w:r>
      <w:r w:rsidR="00857BED">
        <w:t>, nosaka</w:t>
      </w:r>
      <w:r w:rsidR="00857BED" w:rsidRPr="00857BED">
        <w:t xml:space="preserve"> </w:t>
      </w:r>
      <w:r w:rsidR="00FC6F19" w:rsidRPr="00713D5F">
        <w:t xml:space="preserve">Veselības </w:t>
      </w:r>
      <w:r w:rsidR="00071564">
        <w:t xml:space="preserve">aprūpes </w:t>
      </w:r>
      <w:r w:rsidR="00FC6F19">
        <w:t xml:space="preserve">finansēšanas </w:t>
      </w:r>
      <w:r w:rsidR="00FC6F19" w:rsidRPr="00713D5F">
        <w:t>n</w:t>
      </w:r>
      <w:r w:rsidR="00857BED">
        <w:t xml:space="preserve">oteikumu </w:t>
      </w:r>
      <w:proofErr w:type="spellStart"/>
      <w:r w:rsidR="001C32D6">
        <w:t>XVI.</w:t>
      </w:r>
      <w:r w:rsidR="00857BED">
        <w:t>nodaļa</w:t>
      </w:r>
      <w:proofErr w:type="spellEnd"/>
      <w:r w:rsidR="00857BED">
        <w:t xml:space="preserve">. Tāpat spriedumā minēts, ka </w:t>
      </w:r>
      <w:r>
        <w:t>atbilstoši norādīto noteikumu</w:t>
      </w:r>
      <w:r w:rsidR="00857BED">
        <w:t xml:space="preserve"> </w:t>
      </w:r>
      <w:r>
        <w:t xml:space="preserve">323.punktam, lai personai tiktu </w:t>
      </w:r>
      <w:r w:rsidR="00857BED">
        <w:t xml:space="preserve">atlīdzināti </w:t>
      </w:r>
      <w:r>
        <w:t>izdevum</w:t>
      </w:r>
      <w:r w:rsidR="00857BED">
        <w:t>i</w:t>
      </w:r>
      <w:r>
        <w:t xml:space="preserve"> </w:t>
      </w:r>
      <w:r w:rsidR="00857BED">
        <w:t xml:space="preserve">par sirdskaites ķirurģisku korekciju saskaņā ar </w:t>
      </w:r>
      <w:r>
        <w:t>veselības aprūpes tarifiem, kas ir spēkā Latvijā</w:t>
      </w:r>
      <w:r w:rsidR="00857BED">
        <w:t>,</w:t>
      </w:r>
      <w:r>
        <w:t xml:space="preserve"> nepieciešama dienesta izsniegta</w:t>
      </w:r>
      <w:r w:rsidR="00857BED">
        <w:t xml:space="preserve"> </w:t>
      </w:r>
      <w:r>
        <w:t>iepriekšējā atļauja.</w:t>
      </w:r>
      <w:r w:rsidR="00857BED">
        <w:t xml:space="preserve"> Apgabaltiesa </w:t>
      </w:r>
      <w:r w:rsidR="0036796E">
        <w:t>secināja</w:t>
      </w:r>
      <w:r w:rsidR="00857BED">
        <w:t xml:space="preserve">, ka pieteicējs </w:t>
      </w:r>
      <w:r w:rsidR="00FC6F19" w:rsidRPr="00713D5F">
        <w:t xml:space="preserve">Veselības </w:t>
      </w:r>
      <w:r w:rsidR="00071564">
        <w:t xml:space="preserve">aprūpes </w:t>
      </w:r>
      <w:r w:rsidR="00FC6F19">
        <w:t xml:space="preserve">finansēšanas </w:t>
      </w:r>
      <w:r w:rsidR="00857BED">
        <w:t xml:space="preserve">noteikumu noteiktajā kārtībā nav vērsies iestādē ar attiecīgu lūgumu, tāpēc neesot </w:t>
      </w:r>
      <w:r>
        <w:t>pamatots pieteikumā</w:t>
      </w:r>
      <w:r w:rsidR="00857BED">
        <w:t xml:space="preserve"> </w:t>
      </w:r>
      <w:r>
        <w:t>norādītais, ka pieteicējam nav iespējams saņemt kompensāciju par veselības aprūpes</w:t>
      </w:r>
      <w:r w:rsidR="00857BED">
        <w:t xml:space="preserve"> izdevumiem saistībā ar pieteicēja dēla ārstēšanos Polijā.</w:t>
      </w:r>
    </w:p>
    <w:p w14:paraId="4C3EAE1B" w14:textId="7CC65CC6" w:rsidR="006925BB" w:rsidRDefault="0040620C" w:rsidP="005434CB">
      <w:pPr>
        <w:spacing w:line="276" w:lineRule="auto"/>
        <w:ind w:firstLine="720"/>
        <w:jc w:val="both"/>
      </w:pPr>
      <w:r>
        <w:t xml:space="preserve">Senāts konstatē, ka nav skaidri saprotams, ko tieši apgabaltiesa tādējādi gribēja pateikt. No vienas puses, šie apgabaltiesas argumenti varētu liecināt par to, ka pieteicējs nav ievērojis lietas iepriekšējo ārpustiesas izskatīšanas kārtību, jo nav vērsies iestādē ar attiecīgu lūgumu. </w:t>
      </w:r>
      <w:proofErr w:type="gramStart"/>
      <w:r>
        <w:t>Taču tādā gadījumā tiesai būtu</w:t>
      </w:r>
      <w:r w:rsidR="00591597">
        <w:t xml:space="preserve"> bijis</w:t>
      </w:r>
      <w:proofErr w:type="gramEnd"/>
      <w:r w:rsidR="00591597">
        <w:t xml:space="preserve"> </w:t>
      </w:r>
      <w:r>
        <w:t xml:space="preserve">jālemj par pieteikuma atstāšanu bez izskatīšanas </w:t>
      </w:r>
      <w:r w:rsidR="00591597">
        <w:t xml:space="preserve">attiecīgajā daļā </w:t>
      </w:r>
      <w:r>
        <w:t>šā iemesla dēļ, ko apgabaltiesa nav darījusi. No otras puses, šie apgabaltiesas argumenti varētu norādīt uz to, ka apgabaltiesa ir uzskatījusi, ka iepriekšēja</w:t>
      </w:r>
      <w:r w:rsidR="00F81ACC">
        <w:t>s</w:t>
      </w:r>
      <w:r>
        <w:t xml:space="preserve"> atļaujas saņemšana ir priekšnoteikums izdevumu atlīdzināšanai apmērā, kas nepārsniedz Latvijā spēkā esošos veselības aprūpes tarifus</w:t>
      </w:r>
      <w:r w:rsidR="00591597">
        <w:t xml:space="preserve">, proti, </w:t>
      </w:r>
      <w:r w:rsidR="00591597" w:rsidRPr="00591597">
        <w:t>Direktīvā Nr.</w:t>
      </w:r>
      <w:r w:rsidR="00591597">
        <w:t> </w:t>
      </w:r>
      <w:r w:rsidR="00591597" w:rsidRPr="00591597">
        <w:t xml:space="preserve">2011/24 </w:t>
      </w:r>
      <w:r w:rsidR="00591597">
        <w:t>paredzētajai izdevumu atlīdzināšanai, un šis priekšnoteikums nav izpildīts. Šāda versija saskanētu ar to, ka apgabaltiesa ar savu spriedumu pieteikumu ir noraidījusi.</w:t>
      </w:r>
    </w:p>
    <w:p w14:paraId="6456E60F" w14:textId="77777777" w:rsidR="0036796E" w:rsidRDefault="0036796E" w:rsidP="005434CB">
      <w:pPr>
        <w:spacing w:line="276" w:lineRule="auto"/>
        <w:ind w:firstLine="720"/>
        <w:jc w:val="both"/>
      </w:pPr>
    </w:p>
    <w:p w14:paraId="12366F82" w14:textId="0D1E9EDC" w:rsidR="0036796E" w:rsidRDefault="0036796E" w:rsidP="005434CB">
      <w:pPr>
        <w:spacing w:line="276" w:lineRule="auto"/>
        <w:ind w:firstLine="720"/>
        <w:jc w:val="both"/>
      </w:pPr>
      <w:r>
        <w:lastRenderedPageBreak/>
        <w:t xml:space="preserve">[17] </w:t>
      </w:r>
      <w:r w:rsidR="006925BB">
        <w:t xml:space="preserve">Saistībā ar pirmo </w:t>
      </w:r>
      <w:r w:rsidR="006876A7">
        <w:t>iespējamo apgabaltiesas argumentu skaidrojumu</w:t>
      </w:r>
      <w:r w:rsidR="006925BB">
        <w:t xml:space="preserve"> Senāts no lietas materiāliem konstatē, ka </w:t>
      </w:r>
      <w:r w:rsidR="006925BB" w:rsidRPr="006925BB">
        <w:t xml:space="preserve">Veselības ministrija </w:t>
      </w:r>
      <w:r w:rsidR="008F463B">
        <w:t xml:space="preserve">arī </w:t>
      </w:r>
      <w:r w:rsidR="006925BB" w:rsidRPr="006925BB">
        <w:t xml:space="preserve">Eiropas Savienības </w:t>
      </w:r>
      <w:r w:rsidR="006925BB">
        <w:t>T</w:t>
      </w:r>
      <w:r w:rsidR="006925BB" w:rsidRPr="006925BB">
        <w:t xml:space="preserve">iesai norādīja, ka </w:t>
      </w:r>
      <w:r w:rsidR="008F463B">
        <w:t xml:space="preserve">pieteicējs nav </w:t>
      </w:r>
      <w:r w:rsidR="006925BB" w:rsidRPr="006925BB">
        <w:t>lūdzis atlīdzināt izdevumus par dēlam sniegto pārrobežu veselības aprūpi</w:t>
      </w:r>
      <w:r>
        <w:t>, turklāt nav to izdarījis</w:t>
      </w:r>
      <w:r w:rsidR="006925BB" w:rsidRPr="006925BB">
        <w:t xml:space="preserve"> viena gada laikā, kā prasīts Latvijas tiesiskajā regulējumā</w:t>
      </w:r>
      <w:r w:rsidR="008F463B">
        <w:t>.</w:t>
      </w:r>
    </w:p>
    <w:p w14:paraId="0514F25B" w14:textId="78E4D2E5" w:rsidR="0036796E" w:rsidRDefault="00FC6F19" w:rsidP="005434CB">
      <w:pPr>
        <w:spacing w:line="276" w:lineRule="auto"/>
        <w:ind w:firstLine="720"/>
        <w:jc w:val="both"/>
      </w:pPr>
      <w:r w:rsidRPr="00713D5F">
        <w:t xml:space="preserve">Veselības </w:t>
      </w:r>
      <w:r w:rsidR="00071564">
        <w:t xml:space="preserve">aprūpes </w:t>
      </w:r>
      <w:r>
        <w:t xml:space="preserve">finansēšanas </w:t>
      </w:r>
      <w:r w:rsidRPr="00713D5F">
        <w:t>n</w:t>
      </w:r>
      <w:r w:rsidR="0036796E" w:rsidRPr="0036796E">
        <w:t>oteikumu 329.punkt</w:t>
      </w:r>
      <w:r w:rsidR="0036796E">
        <w:t>s paredzēja, ka</w:t>
      </w:r>
      <w:r w:rsidR="0036796E" w:rsidRPr="0036796E">
        <w:t xml:space="preserve"> personai, lai tā saņemtu izdevumu atmaksu šo noteikumu 328.punktā minētajos gadījumos, gada laikā no dienas, kad tā beigusi saņemt veselības aprūpes pakalpojumus citā ES, EEZ dalībvalstī vai Šveicē, jāiesniedz dienestā noteikti dokumenti.</w:t>
      </w:r>
      <w:r w:rsidR="0036796E">
        <w:t xml:space="preserve"> Tātad principā šajos noteikumos bija noteikts pienākums noteiktā termiņā vērsties ar iesniegumu iestādē.</w:t>
      </w:r>
    </w:p>
    <w:p w14:paraId="6E03E58D" w14:textId="7D7B95FF" w:rsidR="0036796E" w:rsidRDefault="0036796E" w:rsidP="005434CB">
      <w:pPr>
        <w:spacing w:line="276" w:lineRule="auto"/>
        <w:ind w:firstLine="720"/>
        <w:jc w:val="both"/>
      </w:pPr>
      <w:r>
        <w:t xml:space="preserve">Taču </w:t>
      </w:r>
      <w:r w:rsidR="006925BB" w:rsidRPr="006925BB">
        <w:t xml:space="preserve">Eiropas Savienības Tiesa </w:t>
      </w:r>
      <w:r w:rsidR="008F463B">
        <w:t xml:space="preserve">savā spriedumā vērsa uzmanību uz to, ka </w:t>
      </w:r>
      <w:r w:rsidR="006925BB" w:rsidRPr="006925BB">
        <w:t>pieteikumā par veselības aprūpes izdevumu pilnīgu atmaksu saskaņā ar Regulu Nr.</w:t>
      </w:r>
      <w:r w:rsidR="008F463B">
        <w:t> </w:t>
      </w:r>
      <w:r w:rsidR="006925BB" w:rsidRPr="006925BB">
        <w:t>883/2004 netieši, bet noteikti ir ietverts arī izdevumu atmaksāšanas pieprasījums Direktīvas Nr.</w:t>
      </w:r>
      <w:r w:rsidR="000E353C">
        <w:t> </w:t>
      </w:r>
      <w:r w:rsidR="006925BB" w:rsidRPr="006925BB">
        <w:t xml:space="preserve">2011/24 </w:t>
      </w:r>
      <w:proofErr w:type="gramStart"/>
      <w:r w:rsidR="006925BB" w:rsidRPr="006925BB">
        <w:t>7.pantā</w:t>
      </w:r>
      <w:proofErr w:type="gramEnd"/>
      <w:r w:rsidR="006925BB" w:rsidRPr="006925BB">
        <w:t xml:space="preserve"> paredzētajās robežās</w:t>
      </w:r>
      <w:r w:rsidR="008F463B">
        <w:t xml:space="preserve"> (</w:t>
      </w:r>
      <w:r w:rsidR="008F463B" w:rsidRPr="008F463B">
        <w:rPr>
          <w:i/>
          <w:iCs/>
        </w:rPr>
        <w:t>sprieduma 63.punkts</w:t>
      </w:r>
      <w:r w:rsidR="008F463B">
        <w:t>)</w:t>
      </w:r>
      <w:r w:rsidR="006925BB" w:rsidRPr="006925BB">
        <w:t>.</w:t>
      </w:r>
    </w:p>
    <w:p w14:paraId="68103FAE" w14:textId="02738710" w:rsidR="006925BB" w:rsidRDefault="008F463B" w:rsidP="005434CB">
      <w:pPr>
        <w:spacing w:line="276" w:lineRule="auto"/>
        <w:ind w:firstLine="720"/>
        <w:jc w:val="both"/>
      </w:pPr>
      <w:r>
        <w:t>Tā kā lietā nav strīda, ka pieteicējs laikus</w:t>
      </w:r>
      <w:r w:rsidR="006925BB" w:rsidRPr="006925BB">
        <w:t xml:space="preserve"> bija pieprasījis segt izdevumus par dēla veselības aprūpi Polijā saskaņā ar Regulu Nr.</w:t>
      </w:r>
      <w:r>
        <w:t> </w:t>
      </w:r>
      <w:r w:rsidR="006925BB" w:rsidRPr="006925BB">
        <w:t xml:space="preserve">883/2004, tad </w:t>
      </w:r>
      <w:r w:rsidR="00E10864">
        <w:t>secināms, ka atbilstoši Eiropas Savienības Tiesas norādītajam</w:t>
      </w:r>
      <w:r w:rsidR="006925BB" w:rsidRPr="006925BB">
        <w:t xml:space="preserve"> šis pieprasījums ietvēra arī pieprasījumu atlīdzināt izdevumus </w:t>
      </w:r>
      <w:r w:rsidR="00E10864">
        <w:t xml:space="preserve">par pieteicēja dēla ārstēšanu Polijā </w:t>
      </w:r>
      <w:r w:rsidR="006925BB" w:rsidRPr="006925BB">
        <w:t>atbilstoši Direktīvā Nr.</w:t>
      </w:r>
      <w:r w:rsidR="00E10864">
        <w:t> </w:t>
      </w:r>
      <w:r w:rsidR="006925BB" w:rsidRPr="006925BB">
        <w:t>2011/24 paredzētajam, ja tiek atteikta izdevumu atlīdzināšana, pamatojoties uz Regulu Nr.</w:t>
      </w:r>
      <w:r w:rsidR="00E10864">
        <w:t> </w:t>
      </w:r>
      <w:r w:rsidR="006925BB" w:rsidRPr="006925BB">
        <w:t>883/2004</w:t>
      </w:r>
      <w:r w:rsidR="00E10864">
        <w:t xml:space="preserve">. </w:t>
      </w:r>
      <w:r w:rsidR="0036796E">
        <w:t xml:space="preserve">Līdz ar to, ja apgabaltiesa gribēja norādīt, ka pieteicējs </w:t>
      </w:r>
      <w:r w:rsidR="0036796E" w:rsidRPr="0036796E">
        <w:t>nav ievērojis lietas iepriekšējo ārpustiesas izskatīšanas kārtību</w:t>
      </w:r>
      <w:r w:rsidR="0036796E">
        <w:t>, tad tāds secinājums nav pamatots.</w:t>
      </w:r>
    </w:p>
    <w:p w14:paraId="78E697DE" w14:textId="77777777" w:rsidR="006925BB" w:rsidRDefault="006925BB" w:rsidP="005434CB">
      <w:pPr>
        <w:spacing w:line="276" w:lineRule="auto"/>
        <w:ind w:firstLine="720"/>
        <w:jc w:val="both"/>
      </w:pPr>
    </w:p>
    <w:p w14:paraId="48F5ABEC" w14:textId="6C9688FC" w:rsidR="0040620C" w:rsidRDefault="0036796E" w:rsidP="005434CB">
      <w:pPr>
        <w:spacing w:line="276" w:lineRule="auto"/>
        <w:ind w:firstLine="720"/>
        <w:jc w:val="both"/>
      </w:pPr>
      <w:r>
        <w:t xml:space="preserve">[18] Pievēršoties otrajam iespējamam apgabaltiesas argumentu skaidrojumam, </w:t>
      </w:r>
      <w:r w:rsidR="00591597">
        <w:t>Senāts izvērtēs, vai apgabaltiesa pamatoti secināja, ka tiesību normas paredzēja to, ka tiesību normas paredz iepriekšēj</w:t>
      </w:r>
      <w:r w:rsidR="00F81ACC">
        <w:t>as</w:t>
      </w:r>
      <w:r w:rsidR="00591597">
        <w:t xml:space="preserve"> atļaujas saņemšanu kā priekšnoteikumu minēto izdevumu atlīdzināšanai.</w:t>
      </w:r>
    </w:p>
    <w:p w14:paraId="74DFB548" w14:textId="0073E561" w:rsidR="006876A7" w:rsidRDefault="001C32D6" w:rsidP="00F74D87">
      <w:pPr>
        <w:spacing w:line="276" w:lineRule="auto"/>
        <w:ind w:firstLine="720"/>
        <w:jc w:val="both"/>
      </w:pPr>
      <w:r>
        <w:t xml:space="preserve">Senāts konstatē, ka </w:t>
      </w:r>
      <w:r w:rsidRPr="001C32D6">
        <w:t>kārtību, kādā tiek atlīdzināti izdevumi par citā E</w:t>
      </w:r>
      <w:r w:rsidR="00711EB5">
        <w:t>S</w:t>
      </w:r>
      <w:r w:rsidRPr="001C32D6">
        <w:t>, E</w:t>
      </w:r>
      <w:r w:rsidR="00711EB5">
        <w:t>EZ</w:t>
      </w:r>
      <w:r w:rsidRPr="001C32D6">
        <w:t xml:space="preserve"> un Šveicē saņemtajiem veselības aprūpes pakalpojumiem,</w:t>
      </w:r>
      <w:r>
        <w:t xml:space="preserve"> </w:t>
      </w:r>
      <w:r w:rsidRPr="001C32D6">
        <w:t xml:space="preserve">nosaka </w:t>
      </w:r>
      <w:r w:rsidR="006876A7">
        <w:t xml:space="preserve">apgabaltiesas minētā </w:t>
      </w:r>
      <w:r w:rsidR="00FC6F19" w:rsidRPr="00713D5F">
        <w:t xml:space="preserve">Veselības </w:t>
      </w:r>
      <w:r w:rsidR="00071564">
        <w:t xml:space="preserve">aprūpes </w:t>
      </w:r>
      <w:r w:rsidR="00FC6F19">
        <w:t xml:space="preserve">finansēšanas </w:t>
      </w:r>
      <w:r w:rsidR="00FC6F19" w:rsidRPr="00713D5F">
        <w:t>n</w:t>
      </w:r>
      <w:r w:rsidRPr="001C32D6">
        <w:t xml:space="preserve">oteikumu </w:t>
      </w:r>
      <w:proofErr w:type="spellStart"/>
      <w:r>
        <w:t>XVI</w:t>
      </w:r>
      <w:r w:rsidRPr="001C32D6">
        <w:t>.nodaļa</w:t>
      </w:r>
      <w:proofErr w:type="spellEnd"/>
      <w:r w:rsidRPr="001C32D6">
        <w:t>.</w:t>
      </w:r>
      <w:r>
        <w:t xml:space="preserve"> Kā jau tika </w:t>
      </w:r>
      <w:r w:rsidR="006876A7">
        <w:t>norādīts</w:t>
      </w:r>
      <w:r>
        <w:t xml:space="preserve">, atbilstoši šo </w:t>
      </w:r>
      <w:r w:rsidR="00FC6F19" w:rsidRPr="00713D5F">
        <w:t xml:space="preserve">Veselības </w:t>
      </w:r>
      <w:r w:rsidR="00071564">
        <w:t xml:space="preserve">aprūpes </w:t>
      </w:r>
      <w:r w:rsidR="00FC6F19">
        <w:t xml:space="preserve">finansēšanas </w:t>
      </w:r>
      <w:r>
        <w:t xml:space="preserve">noteikumu </w:t>
      </w:r>
      <w:r w:rsidRPr="001C32D6">
        <w:t>328.1.2.apakšpunkt</w:t>
      </w:r>
      <w:r>
        <w:t xml:space="preserve">am, kurš ir iekļauts </w:t>
      </w:r>
      <w:proofErr w:type="spellStart"/>
      <w:r w:rsidRPr="001C32D6">
        <w:t>XVI.nodaļ</w:t>
      </w:r>
      <w:r>
        <w:t>ā</w:t>
      </w:r>
      <w:proofErr w:type="spellEnd"/>
      <w:r>
        <w:t xml:space="preserve">, </w:t>
      </w:r>
      <w:r w:rsidRPr="001C32D6">
        <w:t>dienests personai atmaksā no personīgajiem līdzekļiem segtos izdevumus par citā ES, EEZ dalībvalstī vai Šveicē saņemtajiem veselības aprūpes pakalpojumiem, pamatojoties uz Regulas Nr.</w:t>
      </w:r>
      <w:r>
        <w:t> </w:t>
      </w:r>
      <w:r w:rsidRPr="001C32D6">
        <w:t>883/2004 un Regulas Nr.</w:t>
      </w:r>
      <w:r w:rsidR="00693EFE">
        <w:t> </w:t>
      </w:r>
      <w:r w:rsidRPr="001C32D6">
        <w:t>987/2009 noteikumiem, ja dienests ir pieņēmis lēmumu par S</w:t>
      </w:r>
      <w:r>
        <w:t> </w:t>
      </w:r>
      <w:r w:rsidRPr="001C32D6">
        <w:t>2 veidlapas izsniegšanu personai, bet samaksu par saņemto veselības aprūpes pakalpojumu persona ir veikusi no personīgajiem līdzekļiem.</w:t>
      </w:r>
      <w:r w:rsidR="006876A7">
        <w:t xml:space="preserve"> </w:t>
      </w:r>
      <w:r>
        <w:t xml:space="preserve">Savukārt </w:t>
      </w:r>
      <w:r w:rsidR="00FC6F19" w:rsidRPr="00713D5F">
        <w:t xml:space="preserve">Veselības </w:t>
      </w:r>
      <w:r w:rsidR="00071564">
        <w:t xml:space="preserve">aprūpes </w:t>
      </w:r>
      <w:r w:rsidR="00FC6F19">
        <w:t xml:space="preserve">finansēšanas </w:t>
      </w:r>
      <w:r>
        <w:t>n</w:t>
      </w:r>
      <w:r w:rsidRPr="001C32D6">
        <w:t xml:space="preserve">oteikumu </w:t>
      </w:r>
      <w:r>
        <w:t xml:space="preserve">328.2.1.apakšpunkts paredzēja, ka </w:t>
      </w:r>
      <w:r w:rsidR="006D7D16">
        <w:t>d</w:t>
      </w:r>
      <w:r w:rsidR="006D7D16" w:rsidRPr="006D7D16">
        <w:t>ienests personai, kura Latvijā ir tiesīga saņemt no valsts budžeta līdzekļiem apmaksātus veselības aprūpes pakalpojumus, atmaksā no personīgajiem līdzekļiem segtos izdevumus par citā ES, EEZ dalībvalstī vai Šveicē saņemtajiem veselības aprūpes pakalpojumiem</w:t>
      </w:r>
      <w:r w:rsidR="00F74D87">
        <w:t xml:space="preserve"> atbilstoši veselības aprūpes pakalpojumu tarifiem, kas noteikti uz veselības aprūpes pakalpojuma saņemšanas brīdi, ja</w:t>
      </w:r>
      <w:r w:rsidR="006D7D16">
        <w:t xml:space="preserve"> </w:t>
      </w:r>
      <w:r w:rsidR="00F74D87">
        <w:t>persona ir saņēmusi plānveida veselības aprūpes pakalpojumus (tai skaitā ar iepriekšēju atļauju), izņemot šo noteikumu 328.1.2.apakšpunktā minēto gadījumu, un šos veselības aprūpes pakalpojumus atbilstoši šajos noteikumos noteiktajai kārtībai Latvijas Republikā apmaksā no valsts budžeta līdzekļiem</w:t>
      </w:r>
      <w:r w:rsidR="006D7D16">
        <w:t>.</w:t>
      </w:r>
      <w:r>
        <w:t xml:space="preserve"> Ņemot vērā to, ka šajā normā ir paredzēta izdevumu atlīdzināšana saskaņā ar Latvijā spēkā esošajiem</w:t>
      </w:r>
      <w:r w:rsidRPr="001C32D6">
        <w:t xml:space="preserve"> veselības aprūpes pakalpojumu tarifiem</w:t>
      </w:r>
      <w:r>
        <w:t xml:space="preserve">, kā arī to, ka šī </w:t>
      </w:r>
      <w:r w:rsidRPr="00693EFE">
        <w:t xml:space="preserve">norma neattiecas uz </w:t>
      </w:r>
      <w:r w:rsidR="00693EFE" w:rsidRPr="00693EFE">
        <w:t xml:space="preserve">izdevumu atlīdzināšanu </w:t>
      </w:r>
      <w:r w:rsidR="00CF2A9B">
        <w:t>saskaņā ar</w:t>
      </w:r>
      <w:r w:rsidR="00693EFE" w:rsidRPr="00693EFE">
        <w:t xml:space="preserve"> Regul</w:t>
      </w:r>
      <w:r w:rsidR="00CF2A9B">
        <w:t>u</w:t>
      </w:r>
      <w:r w:rsidR="00693EFE" w:rsidRPr="00693EFE">
        <w:t xml:space="preserve"> Nr. 883/2004, var secināt, ka ar šo normu Latvijā ir ieviesta Direktīva Nr. 2011/24.</w:t>
      </w:r>
    </w:p>
    <w:p w14:paraId="2FC71930" w14:textId="5FABF745" w:rsidR="00F74D87" w:rsidRDefault="00693EFE" w:rsidP="00693EFE">
      <w:pPr>
        <w:spacing w:line="276" w:lineRule="auto"/>
        <w:ind w:firstLine="720"/>
        <w:jc w:val="both"/>
      </w:pPr>
      <w:r w:rsidRPr="00693EFE">
        <w:lastRenderedPageBreak/>
        <w:t>Taču šī norma nenosaka, ka izdevumi tiek atlīdzināti tikai tad, ja persona iepriekš ir saņēmusi atļauju.</w:t>
      </w:r>
      <w:r w:rsidR="006876A7">
        <w:t xml:space="preserve"> </w:t>
      </w:r>
      <w:r w:rsidRPr="00693EFE">
        <w:t xml:space="preserve">Apgabaltiesa, lai pamatotu </w:t>
      </w:r>
      <w:r w:rsidRPr="00C126A7">
        <w:t>atļaujas nepieciešamību</w:t>
      </w:r>
      <w:r w:rsidR="00C126A7">
        <w:t>,</w:t>
      </w:r>
      <w:r w:rsidRPr="00C126A7">
        <w:t xml:space="preserve"> ir atsaukusies uz </w:t>
      </w:r>
      <w:r w:rsidR="00FC6F19" w:rsidRPr="00713D5F">
        <w:t xml:space="preserve">Veselības </w:t>
      </w:r>
      <w:r w:rsidR="00071564">
        <w:t xml:space="preserve">aprūpes </w:t>
      </w:r>
      <w:r w:rsidR="00FC6F19">
        <w:t>finansēšanas</w:t>
      </w:r>
      <w:r w:rsidR="00FC6F19" w:rsidRPr="00C126A7">
        <w:t xml:space="preserve"> </w:t>
      </w:r>
      <w:r w:rsidRPr="00C126A7">
        <w:t xml:space="preserve">noteikumu 323.punktu, kas </w:t>
      </w:r>
      <w:proofErr w:type="spellStart"/>
      <w:r w:rsidR="00071564" w:rsidRPr="00C126A7">
        <w:t>citstarp</w:t>
      </w:r>
      <w:proofErr w:type="spellEnd"/>
      <w:r w:rsidRPr="00C126A7">
        <w:t xml:space="preserve"> paredz, ka d</w:t>
      </w:r>
      <w:r w:rsidRPr="00071564">
        <w:t xml:space="preserve">ienests lemj par iepriekšējas atļaujas izsniegšanu tāda plānveida veselības aprūpes pakalpojuma kā </w:t>
      </w:r>
      <w:proofErr w:type="spellStart"/>
      <w:r w:rsidRPr="00071564">
        <w:t>kardioķirurģiskā</w:t>
      </w:r>
      <w:proofErr w:type="spellEnd"/>
      <w:r w:rsidRPr="00071564">
        <w:t xml:space="preserve"> ārstēšana stacionārā (323.2.apakšpunkts) saņemšanai kādā ES, EEZ dalībvalstī vai Šveicē. Taču šī norma ir iekļauta </w:t>
      </w:r>
      <w:r w:rsidR="00FC6F19" w:rsidRPr="00713D5F">
        <w:t xml:space="preserve">Veselības </w:t>
      </w:r>
      <w:r w:rsidR="00071564">
        <w:t xml:space="preserve">aprūpes </w:t>
      </w:r>
      <w:r w:rsidR="00FC6F19">
        <w:t>finansēšanas</w:t>
      </w:r>
      <w:r w:rsidR="00FC6F19" w:rsidRPr="00FC6F19">
        <w:t xml:space="preserve"> </w:t>
      </w:r>
      <w:r w:rsidRPr="00071564">
        <w:t xml:space="preserve">noteikumu </w:t>
      </w:r>
      <w:proofErr w:type="spellStart"/>
      <w:r w:rsidRPr="00071564">
        <w:t>XV.nodaļā</w:t>
      </w:r>
      <w:proofErr w:type="spellEnd"/>
      <w:r w:rsidRPr="00071564">
        <w:t xml:space="preserve">, nevis </w:t>
      </w:r>
      <w:proofErr w:type="spellStart"/>
      <w:r w:rsidRPr="00071564">
        <w:t>XVI.nodaļā</w:t>
      </w:r>
      <w:proofErr w:type="spellEnd"/>
      <w:r w:rsidRPr="00071564">
        <w:t xml:space="preserve">, un no </w:t>
      </w:r>
      <w:proofErr w:type="spellStart"/>
      <w:r w:rsidRPr="00071564">
        <w:t>XV.nodaļas</w:t>
      </w:r>
      <w:proofErr w:type="spellEnd"/>
      <w:r w:rsidRPr="00071564">
        <w:t xml:space="preserve"> izriet, ka tajā ir konkretizēta </w:t>
      </w:r>
      <w:r w:rsidRPr="00C126A7">
        <w:t xml:space="preserve">Regulas Nr. 883/2004 piemērošanas kārtība. </w:t>
      </w:r>
      <w:r>
        <w:t xml:space="preserve">Apgabaltiesas spriedumā nav paskaidrots, kāpēc noteikumu 323.punkts </w:t>
      </w:r>
      <w:r w:rsidR="00CF2A9B">
        <w:t xml:space="preserve">tomēr </w:t>
      </w:r>
      <w:r>
        <w:t xml:space="preserve">būtu attiecināms arī uz </w:t>
      </w:r>
      <w:r w:rsidR="003E0672" w:rsidRPr="003E0672">
        <w:t>Direktīv</w:t>
      </w:r>
      <w:r w:rsidR="003E0672">
        <w:t>ā</w:t>
      </w:r>
      <w:r w:rsidR="003E0672" w:rsidRPr="003E0672">
        <w:t xml:space="preserve"> Nr.</w:t>
      </w:r>
      <w:r w:rsidR="003E0672">
        <w:t> </w:t>
      </w:r>
      <w:r w:rsidR="003E0672" w:rsidRPr="003E0672">
        <w:t>2011/24</w:t>
      </w:r>
      <w:r w:rsidR="003E0672">
        <w:t xml:space="preserve"> paredzēto izdevumu atlīdzināšanu.</w:t>
      </w:r>
    </w:p>
    <w:p w14:paraId="71CD9668" w14:textId="3D15F3CE" w:rsidR="00955081" w:rsidRDefault="003E0672" w:rsidP="00955081">
      <w:pPr>
        <w:spacing w:line="276" w:lineRule="auto"/>
        <w:ind w:firstLine="720"/>
        <w:jc w:val="both"/>
      </w:pPr>
      <w:r>
        <w:t xml:space="preserve">Šajā sakarā ir jāņem vērā, ka </w:t>
      </w:r>
      <w:r w:rsidRPr="003E0672">
        <w:t>Direktīv</w:t>
      </w:r>
      <w:r>
        <w:t>as</w:t>
      </w:r>
      <w:r w:rsidRPr="003E0672">
        <w:t xml:space="preserve"> Nr.</w:t>
      </w:r>
      <w:r>
        <w:t> </w:t>
      </w:r>
      <w:r w:rsidRPr="003E0672">
        <w:t>2011/24</w:t>
      </w:r>
      <w:r>
        <w:t xml:space="preserve"> </w:t>
      </w:r>
      <w:proofErr w:type="gramStart"/>
      <w:r>
        <w:t>7.panta</w:t>
      </w:r>
      <w:proofErr w:type="gramEnd"/>
      <w:r>
        <w:t xml:space="preserve"> 8.punktā kā pamatprincips ir noteikts tas, ka p</w:t>
      </w:r>
      <w:r w:rsidRPr="003E0672">
        <w:t>iederības dalībvalsts neno</w:t>
      </w:r>
      <w:r w:rsidR="00D30D08">
        <w:t>teic</w:t>
      </w:r>
      <w:r w:rsidRPr="003E0672">
        <w:t>, ka nepieciešama iepriekšēja atļauja, lai varētu saņemt atlīdzību par pārrobežu veselības aprūpes izmaksām</w:t>
      </w:r>
      <w:r>
        <w:t xml:space="preserve">. </w:t>
      </w:r>
      <w:r w:rsidR="00955081">
        <w:t xml:space="preserve">Kā ir skaidrots </w:t>
      </w:r>
      <w:bookmarkStart w:id="4" w:name="_Hlk57345876"/>
      <w:r w:rsidR="00955081" w:rsidRPr="00955081">
        <w:t>Direktīvas Nr.</w:t>
      </w:r>
      <w:r w:rsidR="00955081">
        <w:t> </w:t>
      </w:r>
      <w:r w:rsidR="00955081" w:rsidRPr="00955081">
        <w:t xml:space="preserve">2011/24 </w:t>
      </w:r>
      <w:bookmarkEnd w:id="4"/>
      <w:r w:rsidR="00955081">
        <w:t>38.</w:t>
      </w:r>
      <w:r w:rsidR="00955081" w:rsidRPr="00955081">
        <w:t>apsvērumā</w:t>
      </w:r>
      <w:r w:rsidR="00955081">
        <w:t>,</w:t>
      </w:r>
      <w:r w:rsidR="00955081" w:rsidRPr="00955081">
        <w:t xml:space="preserve"> tas, ka valsts nosaka pienākumu saņemt iepriekšēju atļauju, lai tiktu segtas izmaksas par citā valstī sniegtu veselības aprūpi, ir pakalpojumu brīvas aprites ierobežojums. Tādēļ parasti piederības dalībvalstij nevajadzētu noteikt pienākumu pieprasīt iepriekšēju atļauju veselības aprūpes izmaksu citā dalībvalstī atlīdzināšanai, ja minētās aprūpes, kas būtu veikta dalībvalsts teritorijā, izmaksas segtu valsts sociālās nodrošināšanas sistēma vai valsts veselības aprūpes sistēma.</w:t>
      </w:r>
      <w:r w:rsidR="00955081">
        <w:t xml:space="preserve"> </w:t>
      </w:r>
    </w:p>
    <w:p w14:paraId="4AADE7CC" w14:textId="1BE08278" w:rsidR="003E0672" w:rsidRDefault="00955081" w:rsidP="00A013C6">
      <w:pPr>
        <w:spacing w:line="276" w:lineRule="auto"/>
        <w:ind w:firstLine="720"/>
        <w:jc w:val="both"/>
      </w:pPr>
      <w:r w:rsidRPr="00955081">
        <w:t>Direktīvas Nr.</w:t>
      </w:r>
      <w:r>
        <w:t> </w:t>
      </w:r>
      <w:r w:rsidRPr="00955081">
        <w:t xml:space="preserve">2011/24 </w:t>
      </w:r>
      <w:proofErr w:type="gramStart"/>
      <w:r w:rsidR="003E0672">
        <w:t>8.pantā</w:t>
      </w:r>
      <w:proofErr w:type="gramEnd"/>
      <w:r w:rsidR="003E0672">
        <w:t xml:space="preserve"> ir paredzēts izņēmums no š</w:t>
      </w:r>
      <w:r w:rsidR="000E353C">
        <w:t>ā</w:t>
      </w:r>
      <w:r w:rsidR="003E0672">
        <w:t xml:space="preserve"> principa</w:t>
      </w:r>
      <w:r w:rsidR="003E0672" w:rsidRPr="003E0672">
        <w:t xml:space="preserve">, </w:t>
      </w:r>
      <w:r w:rsidR="00CF2A9B">
        <w:t xml:space="preserve">tomēr atļaujot </w:t>
      </w:r>
      <w:r w:rsidR="00CF2A9B" w:rsidRPr="003E0672">
        <w:t>dalībvalst</w:t>
      </w:r>
      <w:r w:rsidR="00CF2A9B">
        <w:t xml:space="preserve">īm </w:t>
      </w:r>
      <w:r>
        <w:t>noteiktos gadījumos</w:t>
      </w:r>
      <w:r w:rsidR="006C1868">
        <w:t>, tostarp, stacionāras veselības aprūpes gadījumā,</w:t>
      </w:r>
      <w:r>
        <w:t xml:space="preserve"> veidot </w:t>
      </w:r>
      <w:r w:rsidR="003E0672" w:rsidRPr="003E0672">
        <w:t>iepriekšējas atļaujas sistēmu</w:t>
      </w:r>
      <w:r>
        <w:t xml:space="preserve">. Taču </w:t>
      </w:r>
      <w:proofErr w:type="gramStart"/>
      <w:r>
        <w:t>8.panta</w:t>
      </w:r>
      <w:proofErr w:type="gramEnd"/>
      <w:r>
        <w:t xml:space="preserve"> 1.punktā ir precizēts, ka i</w:t>
      </w:r>
      <w:r w:rsidR="003E0672" w:rsidRPr="002B6EE7">
        <w:t>epriekšējas atļaujas sistēma, tostarp kritēriji un to piemērošana un atsevišķi lēmumi noraidīt atļaujas piešķiršanu, attiecas tikai uz to, kas ir vajadzīgs un samērīgs ar sasniedzamo mērķi, un tas nedrīkst būt patvaļīgi diskriminējošs vai nepamatoti traucēt pacientu brīvu pārvietošanos.</w:t>
      </w:r>
      <w:r w:rsidR="00232BA9">
        <w:t xml:space="preserve"> Minētās d</w:t>
      </w:r>
      <w:r w:rsidR="003E0672">
        <w:t xml:space="preserve">irektīvas 43.apsvērumā ir </w:t>
      </w:r>
      <w:r>
        <w:t>skaidrots</w:t>
      </w:r>
      <w:r w:rsidR="003E0672">
        <w:t>, ka kritēriji, kas saistīti ar iepriekšējas atļaujas piešķiršanu, būtu jāpamato ar primāriem vispārējo interešu iemesliem, ar ko var attaisnot šķēršļus veselības aprūpes brīvai apritei, piemēram, plānošanas prasības, lai nodrošinātu pietiekamu un pastāvīgu piekļuvi līdzsvarotai un kvalitatīvai ārstēšanai attiecīgajā dalībvalstī vai sasniegtu izmaksu kontroles mērķi un lai, ciktāl iespējams, novērstu finanšu, tehnisko un personāla resursu nelietderīgu izmantošanu.</w:t>
      </w:r>
      <w:r w:rsidR="00232BA9">
        <w:t xml:space="preserve"> Tātad atbilstoši </w:t>
      </w:r>
      <w:r w:rsidR="00232BA9" w:rsidRPr="00232BA9">
        <w:t>Direktīva</w:t>
      </w:r>
      <w:r w:rsidR="00232BA9">
        <w:t>i</w:t>
      </w:r>
      <w:r w:rsidR="00232BA9" w:rsidRPr="00232BA9">
        <w:t xml:space="preserve"> Nr.</w:t>
      </w:r>
      <w:r w:rsidR="00232BA9">
        <w:t> </w:t>
      </w:r>
      <w:r w:rsidR="00232BA9" w:rsidRPr="00232BA9">
        <w:t>2011/24</w:t>
      </w:r>
      <w:r w:rsidR="00232BA9">
        <w:t xml:space="preserve"> iepriekšējās atļaujas sistēma ir pieļaujama tikai tad, ja tā atbilst noteiktām prasībām.</w:t>
      </w:r>
    </w:p>
    <w:p w14:paraId="3382A90C" w14:textId="6850863D" w:rsidR="006876A7" w:rsidRDefault="00E903D4" w:rsidP="00A013C6">
      <w:pPr>
        <w:spacing w:line="276" w:lineRule="auto"/>
        <w:ind w:firstLine="720"/>
        <w:jc w:val="both"/>
      </w:pPr>
      <w:r>
        <w:t xml:space="preserve">Līdz ar to tikai tāpēc, ka </w:t>
      </w:r>
      <w:bookmarkStart w:id="5" w:name="_Hlk57363774"/>
      <w:r>
        <w:t>iepriekšējās atļaujas sistēma ir paredzēta veselības aprūpes izdevumu atlīdzināšanai, pamatojoties uz</w:t>
      </w:r>
      <w:r w:rsidRPr="00E903D4">
        <w:t xml:space="preserve"> Regul</w:t>
      </w:r>
      <w:r>
        <w:t>u</w:t>
      </w:r>
      <w:r w:rsidRPr="00E903D4">
        <w:t xml:space="preserve"> Nr.</w:t>
      </w:r>
      <w:r>
        <w:t> </w:t>
      </w:r>
      <w:r w:rsidRPr="00E903D4">
        <w:t>883/2004</w:t>
      </w:r>
      <w:r>
        <w:t xml:space="preserve">, </w:t>
      </w:r>
      <w:r w:rsidR="00CF2A9B">
        <w:t xml:space="preserve">nedrīkst prezumēt, ka </w:t>
      </w:r>
      <w:r>
        <w:t xml:space="preserve">šāda sistēma </w:t>
      </w:r>
      <w:r w:rsidR="00FC6F19" w:rsidRPr="00713D5F">
        <w:t xml:space="preserve">Veselības </w:t>
      </w:r>
      <w:r w:rsidR="00071564">
        <w:t xml:space="preserve">aprūpes </w:t>
      </w:r>
      <w:r w:rsidR="00FC6F19">
        <w:t xml:space="preserve">finansēšanas </w:t>
      </w:r>
      <w:r w:rsidRPr="00E903D4">
        <w:t>noteikum</w:t>
      </w:r>
      <w:r>
        <w:t>os</w:t>
      </w:r>
      <w:r w:rsidRPr="00E903D4">
        <w:t xml:space="preserve"> </w:t>
      </w:r>
      <w:r>
        <w:t xml:space="preserve">ir noteikta arī </w:t>
      </w:r>
      <w:r w:rsidRPr="00E903D4">
        <w:t>Direktīvā Nr.</w:t>
      </w:r>
      <w:r>
        <w:t> </w:t>
      </w:r>
      <w:r w:rsidRPr="00E903D4">
        <w:t>2011/24 paredzēto</w:t>
      </w:r>
      <w:r>
        <w:t xml:space="preserve"> veselības aprūpes izdevumu atlīdzināšanai.</w:t>
      </w:r>
      <w:bookmarkEnd w:id="5"/>
      <w:r>
        <w:t xml:space="preserve"> Ņemot vērā, ka minētajā direktīvā kā pamatprincips ir ietverts tas, ka </w:t>
      </w:r>
      <w:r w:rsidR="00CF2A9B">
        <w:t>iepriekšējas atļaujas sistēma</w:t>
      </w:r>
      <w:r>
        <w:t xml:space="preserve"> netiek veidota, pretējais </w:t>
      </w:r>
      <w:r w:rsidR="00FC6F19" w:rsidRPr="00713D5F">
        <w:t xml:space="preserve">Veselības </w:t>
      </w:r>
      <w:r w:rsidR="00071564">
        <w:t xml:space="preserve">aprūpes </w:t>
      </w:r>
      <w:r w:rsidR="00FC6F19">
        <w:t xml:space="preserve">finansēšanas </w:t>
      </w:r>
      <w:r w:rsidRPr="00E903D4">
        <w:t xml:space="preserve">noteikumos </w:t>
      </w:r>
      <w:r>
        <w:t xml:space="preserve">bija jānosaka ļoti skaidri. Tādējādi apgabaltiesas secinājums, ka prasība iepriekš saņemt atļauju ir </w:t>
      </w:r>
      <w:r w:rsidRPr="00E903D4">
        <w:t>attiecinām</w:t>
      </w:r>
      <w:r>
        <w:t>a</w:t>
      </w:r>
      <w:r w:rsidRPr="00E903D4">
        <w:t xml:space="preserve"> arī uz Direktīvā Nr.</w:t>
      </w:r>
      <w:r>
        <w:t> </w:t>
      </w:r>
      <w:r w:rsidRPr="00E903D4">
        <w:t>2011/24 paredzēto izdevumu atlīdzināšanu</w:t>
      </w:r>
      <w:r>
        <w:t>, nav pietiekami pamatots.</w:t>
      </w:r>
    </w:p>
    <w:p w14:paraId="0CDB6E8F" w14:textId="7D690E65" w:rsidR="00E903D4" w:rsidRDefault="006876A7" w:rsidP="00A013C6">
      <w:pPr>
        <w:spacing w:line="276" w:lineRule="auto"/>
        <w:ind w:firstLine="720"/>
        <w:jc w:val="both"/>
      </w:pPr>
      <w:r>
        <w:t xml:space="preserve">Turklāt gadījumā, ja tiek konstatēts, ka </w:t>
      </w:r>
      <w:r w:rsidR="00FC6F19" w:rsidRPr="00713D5F">
        <w:t xml:space="preserve">Veselības </w:t>
      </w:r>
      <w:r w:rsidR="00071564">
        <w:t xml:space="preserve">aprūpes </w:t>
      </w:r>
      <w:r w:rsidR="00FC6F19">
        <w:t xml:space="preserve">finansēšanas </w:t>
      </w:r>
      <w:r w:rsidRPr="0026015A">
        <w:t>noteikum</w:t>
      </w:r>
      <w:r>
        <w:t xml:space="preserve">i tiešām paredz, ka personai ir jāsaņem iepriekšēja atļauja arī, </w:t>
      </w:r>
      <w:proofErr w:type="gramStart"/>
      <w:r>
        <w:t>lai tai tiktu</w:t>
      </w:r>
      <w:proofErr w:type="gramEnd"/>
      <w:r>
        <w:t xml:space="preserve"> atlīdzināti izdevumi par veselības aprūpi atbilstoši </w:t>
      </w:r>
      <w:r w:rsidRPr="0026015A">
        <w:t>Direktīv</w:t>
      </w:r>
      <w:r>
        <w:t>ai</w:t>
      </w:r>
      <w:r w:rsidRPr="0026015A">
        <w:t xml:space="preserve"> Nr.</w:t>
      </w:r>
      <w:r>
        <w:t> </w:t>
      </w:r>
      <w:r w:rsidRPr="0026015A">
        <w:t>2011/24</w:t>
      </w:r>
      <w:r>
        <w:t>, tad ir nepieciešams pārbaudīt</w:t>
      </w:r>
      <w:r w:rsidR="00D30D08">
        <w:t>,</w:t>
      </w:r>
      <w:r>
        <w:t xml:space="preserve"> vai šāda sistēma atbilst</w:t>
      </w:r>
      <w:r w:rsidRPr="0026015A">
        <w:t xml:space="preserve"> </w:t>
      </w:r>
      <w:r>
        <w:t>minētajai d</w:t>
      </w:r>
      <w:r w:rsidRPr="0026015A">
        <w:t>irektīvai</w:t>
      </w:r>
      <w:r>
        <w:t>.</w:t>
      </w:r>
    </w:p>
    <w:p w14:paraId="334CF23C" w14:textId="77777777" w:rsidR="00E903D4" w:rsidRDefault="00E903D4" w:rsidP="00A013C6">
      <w:pPr>
        <w:spacing w:line="276" w:lineRule="auto"/>
        <w:ind w:firstLine="720"/>
        <w:jc w:val="both"/>
      </w:pPr>
    </w:p>
    <w:p w14:paraId="2B773EEC" w14:textId="369C049B" w:rsidR="006C1868" w:rsidRDefault="00E903D4" w:rsidP="0026015A">
      <w:pPr>
        <w:spacing w:line="276" w:lineRule="auto"/>
        <w:ind w:firstLine="720"/>
        <w:jc w:val="both"/>
      </w:pPr>
      <w:r>
        <w:lastRenderedPageBreak/>
        <w:t>[1</w:t>
      </w:r>
      <w:r w:rsidR="006876A7">
        <w:t>9</w:t>
      </w:r>
      <w:r>
        <w:t xml:space="preserve">] </w:t>
      </w:r>
      <w:r w:rsidR="0026015A">
        <w:t xml:space="preserve">Eiropas Savienības Tiesa </w:t>
      </w:r>
      <w:proofErr w:type="gramStart"/>
      <w:r w:rsidR="0026015A" w:rsidRPr="0026015A">
        <w:t>2020.gada</w:t>
      </w:r>
      <w:proofErr w:type="gramEnd"/>
      <w:r w:rsidR="0026015A" w:rsidRPr="0026015A">
        <w:t xml:space="preserve"> 29.oktobra spriedum</w:t>
      </w:r>
      <w:r w:rsidR="0026015A">
        <w:t>ā</w:t>
      </w:r>
      <w:r w:rsidR="0026015A" w:rsidRPr="0026015A">
        <w:t xml:space="preserve"> lietā C‑243/19</w:t>
      </w:r>
      <w:r w:rsidR="006C1868" w:rsidRPr="006C1868">
        <w:t xml:space="preserve"> </w:t>
      </w:r>
      <w:r w:rsidR="006C1868">
        <w:t>jau daļēji sniedza vērtējumu par šo jautājumu</w:t>
      </w:r>
      <w:r w:rsidR="0026015A">
        <w:t>.</w:t>
      </w:r>
    </w:p>
    <w:p w14:paraId="459946F2" w14:textId="01AF0805" w:rsidR="003C3BE6" w:rsidRDefault="0026015A" w:rsidP="0026015A">
      <w:pPr>
        <w:spacing w:line="276" w:lineRule="auto"/>
        <w:ind w:firstLine="720"/>
        <w:jc w:val="both"/>
      </w:pPr>
      <w:r>
        <w:t xml:space="preserve">No sprieduma izriet, ka Latvijas valdība ir skaidrojusi, ka </w:t>
      </w:r>
      <w:r w:rsidR="003C3BE6">
        <w:t xml:space="preserve">Latvijā bija izveidota </w:t>
      </w:r>
      <w:r w:rsidRPr="0026015A">
        <w:t xml:space="preserve">Direktīvas </w:t>
      </w:r>
      <w:r>
        <w:t>Nr. </w:t>
      </w:r>
      <w:r w:rsidRPr="0026015A">
        <w:t xml:space="preserve">2011/24 </w:t>
      </w:r>
      <w:proofErr w:type="gramStart"/>
      <w:r w:rsidRPr="0026015A">
        <w:t>8.pant</w:t>
      </w:r>
      <w:r>
        <w:t>ā</w:t>
      </w:r>
      <w:proofErr w:type="gramEnd"/>
      <w:r>
        <w:t xml:space="preserve"> pieļautā iepriekšējo atļauju sistēma </w:t>
      </w:r>
      <w:r w:rsidR="003C3BE6">
        <w:t xml:space="preserve"> un šīs sistēmas </w:t>
      </w:r>
      <w:r>
        <w:t xml:space="preserve">mērķis </w:t>
      </w:r>
      <w:r w:rsidR="003C3BE6">
        <w:t>bija</w:t>
      </w:r>
      <w:r>
        <w:t xml:space="preserve"> nodrošināt izmaksu kontroli un garantēt pietiekamu un pastāvīgu piekļuvi līdzsvarotam kvalitatīvas ārstēšanas pakalpojumu klāstam. </w:t>
      </w:r>
      <w:r w:rsidR="003C3BE6">
        <w:t xml:space="preserve">Eiropas Savienības Tiesa norādīja, ka tā, jau atbildot uz jautājumu par </w:t>
      </w:r>
      <w:r w:rsidR="003C3BE6" w:rsidRPr="00C10154">
        <w:t>Regulas Nr.</w:t>
      </w:r>
      <w:r w:rsidR="003C3BE6">
        <w:t> </w:t>
      </w:r>
      <w:r w:rsidR="003C3BE6" w:rsidRPr="00C10154">
        <w:t xml:space="preserve">883/2004 </w:t>
      </w:r>
      <w:r w:rsidR="003C3BE6">
        <w:t xml:space="preserve">interpretāciju, secināja, ka šādi mērķi </w:t>
      </w:r>
      <w:r>
        <w:t>ir leģitīmi</w:t>
      </w:r>
      <w:r w:rsidR="00425FAE">
        <w:t>.</w:t>
      </w:r>
      <w:r>
        <w:t xml:space="preserve"> </w:t>
      </w:r>
      <w:r w:rsidR="00425FAE">
        <w:t xml:space="preserve">Tāpēc </w:t>
      </w:r>
      <w:r w:rsidR="003C3BE6">
        <w:t xml:space="preserve">ir nepieciešams </w:t>
      </w:r>
      <w:r>
        <w:t xml:space="preserve">vēl </w:t>
      </w:r>
      <w:r w:rsidR="00425FAE">
        <w:t xml:space="preserve">tikai </w:t>
      </w:r>
      <w:r w:rsidR="003C3BE6">
        <w:t>pārb</w:t>
      </w:r>
      <w:r>
        <w:t>aud</w:t>
      </w:r>
      <w:r w:rsidR="003C3BE6">
        <w:t>īt</w:t>
      </w:r>
      <w:r>
        <w:t xml:space="preserve">, vai minētā sistēma </w:t>
      </w:r>
      <w:r w:rsidR="003C3BE6">
        <w:t>aprobežojas tikai ar</w:t>
      </w:r>
      <w:r>
        <w:t xml:space="preserve"> to, kas ir nepieciešams un samērīgs </w:t>
      </w:r>
      <w:r w:rsidR="003C3BE6">
        <w:t>leģitīmā mērķa sasniegšanai (</w:t>
      </w:r>
      <w:r w:rsidR="003C3BE6" w:rsidRPr="003C3BE6">
        <w:rPr>
          <w:i/>
          <w:iCs/>
        </w:rPr>
        <w:t>sprieduma 71.punkts</w:t>
      </w:r>
      <w:r w:rsidR="003C3BE6">
        <w:t>).</w:t>
      </w:r>
    </w:p>
    <w:p w14:paraId="793534EA" w14:textId="5DAFB242" w:rsidR="0026015A" w:rsidRDefault="003C3BE6" w:rsidP="003C3BE6">
      <w:pPr>
        <w:spacing w:line="276" w:lineRule="auto"/>
        <w:ind w:firstLine="720"/>
        <w:jc w:val="both"/>
      </w:pPr>
      <w:r>
        <w:t xml:space="preserve">Eiropas Savienības </w:t>
      </w:r>
      <w:r w:rsidR="00D30D08">
        <w:t>T</w:t>
      </w:r>
      <w:r>
        <w:t xml:space="preserve">iesa uzsvēra, ka Direktīvā Nr. 2011/24 paredzētā izdevumu atlīdzināšana atšķirībā no situācijām, kas reglamentētas Regulā Nr. 883/2004, piederības dalībvalsti nevar pakļaut papildu finansiālam apgrūtinājumam pārrobežu aprūpes gadījumā, jo atbilstoši Direktīvas Nr. 2011/24 </w:t>
      </w:r>
      <w:proofErr w:type="gramStart"/>
      <w:r>
        <w:t>7.pantam</w:t>
      </w:r>
      <w:proofErr w:type="gramEnd"/>
      <w:r>
        <w:t xml:space="preserve"> izdevumu atlīdzināšanai ir noteikts divkāršs ierobežojums. Pirmkārt</w:t>
      </w:r>
      <w:r w:rsidR="006C1868">
        <w:t>,</w:t>
      </w:r>
      <w:r>
        <w:t xml:space="preserve"> to aprēķina, pamatojoties uz tarifiem, kas piemērojami veselības aprūpei piederības dalībvalstī. Otrkārt, ja veselības aprūpes izmaksas uzņemošajā dalībvalstī ir zemākas par tādas veselības aprūpes izmaksām, kas tiek sniegta piederības dalībvalstī, šī atlīdzība nepārsniedz saņemtās veselības aprūpes faktiskās izmaksas.</w:t>
      </w:r>
      <w:r w:rsidR="006C1868">
        <w:t xml:space="preserve"> Līdz ar to Eiropas Savienības </w:t>
      </w:r>
      <w:r w:rsidR="00D30D08">
        <w:t>T</w:t>
      </w:r>
      <w:r w:rsidR="006C1868">
        <w:t xml:space="preserve">iesa secināja, ka valsts nevar atsaukties uz mērķi </w:t>
      </w:r>
      <w:r w:rsidR="006C1868" w:rsidRPr="006C1868">
        <w:t>aizsargāt sociālā nodrošinājuma sistēmas finanšu stabilitāti</w:t>
      </w:r>
      <w:r w:rsidR="006C1868">
        <w:t xml:space="preserve">, </w:t>
      </w:r>
      <w:r>
        <w:t xml:space="preserve">lai pamatotu atteikumu piešķirt Direktīvas </w:t>
      </w:r>
      <w:r w:rsidR="006C1868">
        <w:t>Nr. </w:t>
      </w:r>
      <w:r>
        <w:t xml:space="preserve">2011/24 </w:t>
      </w:r>
      <w:proofErr w:type="gramStart"/>
      <w:r>
        <w:t>8.panta</w:t>
      </w:r>
      <w:proofErr w:type="gramEnd"/>
      <w:r>
        <w:t xml:space="preserve"> 1.punktā paredzēto atļauju tādos apstākļos kā </w:t>
      </w:r>
      <w:r w:rsidR="006C1868">
        <w:t>pieteicēja gadījumā (</w:t>
      </w:r>
      <w:r w:rsidR="006C1868" w:rsidRPr="00425FAE">
        <w:rPr>
          <w:i/>
          <w:iCs/>
        </w:rPr>
        <w:t>turpat, 72.</w:t>
      </w:r>
      <w:r w:rsidR="0016434A" w:rsidRPr="00EA659A">
        <w:rPr>
          <w:i/>
          <w:iCs/>
        </w:rPr>
        <w:t>–</w:t>
      </w:r>
      <w:r w:rsidR="006C1868" w:rsidRPr="00425FAE">
        <w:rPr>
          <w:i/>
          <w:iCs/>
        </w:rPr>
        <w:t>78</w:t>
      </w:r>
      <w:r w:rsidRPr="00425FAE">
        <w:rPr>
          <w:i/>
          <w:iCs/>
        </w:rPr>
        <w:t>.</w:t>
      </w:r>
      <w:r w:rsidR="00425FAE" w:rsidRPr="00425FAE">
        <w:rPr>
          <w:i/>
          <w:iCs/>
        </w:rPr>
        <w:t>punkts</w:t>
      </w:r>
      <w:r w:rsidR="00425FAE">
        <w:t xml:space="preserve">). Citiem vārdiem sakot, atļaujas atteikšana šādā gadījumā pārsniegtu </w:t>
      </w:r>
      <w:r w:rsidR="00425FAE" w:rsidRPr="00425FAE">
        <w:t>to, kas ir nepieciešams un samērīgs leģitīmā mērķa sasniegšanai</w:t>
      </w:r>
      <w:r w:rsidR="00D60DD5">
        <w:t>, un šāds Latvijas tiesiskais regulējums būtu pretrunā ar Direktīvu Nr. 2011/24</w:t>
      </w:r>
      <w:r w:rsidR="00425FAE">
        <w:t>.</w:t>
      </w:r>
    </w:p>
    <w:p w14:paraId="54B6A70E" w14:textId="56FDFD24" w:rsidR="00D60DD5" w:rsidRDefault="00425FAE" w:rsidP="00425FAE">
      <w:pPr>
        <w:spacing w:line="276" w:lineRule="auto"/>
        <w:ind w:firstLine="720"/>
        <w:jc w:val="both"/>
      </w:pPr>
      <w:r>
        <w:t>Attiecībā uz otru Latvijas valdības norādīto mērķi iepriekšējās atļaujas sistēmas ieviešanai, proti, mērķi saglabāt veselības aprūpes jaudu vai medicīnisko kompetenci, Eiropas Savienības Tiesa vērtējumu pēc būtības nesniedza. Tā norādīja</w:t>
      </w:r>
      <w:r w:rsidR="00D60DD5">
        <w:t>, ka Latvijas tiesām</w:t>
      </w:r>
      <w:r>
        <w:t xml:space="preserve"> ir jāizvērtē, vai Latvij</w:t>
      </w:r>
      <w:r w:rsidR="00D60DD5">
        <w:t>ā izveidotā</w:t>
      </w:r>
      <w:r>
        <w:t xml:space="preserve"> iepriekšējās atļaujas sistēma, ar kuru tiek ieviests Direktīvas </w:t>
      </w:r>
      <w:r w:rsidR="00D60DD5">
        <w:t>Nr. </w:t>
      </w:r>
      <w:r>
        <w:t xml:space="preserve">2011/24 </w:t>
      </w:r>
      <w:proofErr w:type="gramStart"/>
      <w:r>
        <w:t>8.panta</w:t>
      </w:r>
      <w:proofErr w:type="gramEnd"/>
      <w:r>
        <w:t xml:space="preserve"> 1.punkts, </w:t>
      </w:r>
      <w:r w:rsidR="00D60DD5">
        <w:t>nepārsniedz</w:t>
      </w:r>
      <w:r>
        <w:t xml:space="preserve"> to, kas ir nepieciešams un samērīgs šī mērķa sasniegšanai</w:t>
      </w:r>
      <w:r w:rsidR="00CF2A9B">
        <w:t xml:space="preserve"> (</w:t>
      </w:r>
      <w:r w:rsidR="00CF2A9B" w:rsidRPr="00425FAE">
        <w:rPr>
          <w:i/>
          <w:iCs/>
        </w:rPr>
        <w:t>turpat, 7</w:t>
      </w:r>
      <w:r w:rsidR="00CF2A9B">
        <w:rPr>
          <w:i/>
          <w:iCs/>
        </w:rPr>
        <w:t>9</w:t>
      </w:r>
      <w:r w:rsidR="00CF2A9B" w:rsidRPr="00425FAE">
        <w:rPr>
          <w:i/>
          <w:iCs/>
        </w:rPr>
        <w:t>.punkts</w:t>
      </w:r>
      <w:r w:rsidR="00CF2A9B">
        <w:t>)</w:t>
      </w:r>
      <w:r w:rsidR="00D60DD5">
        <w:t>.</w:t>
      </w:r>
    </w:p>
    <w:p w14:paraId="1F677F65" w14:textId="2246AD5F" w:rsidR="006B3B17" w:rsidRDefault="00D60DD5" w:rsidP="00425FAE">
      <w:pPr>
        <w:spacing w:line="276" w:lineRule="auto"/>
        <w:ind w:firstLine="720"/>
        <w:jc w:val="both"/>
      </w:pPr>
      <w:r>
        <w:t>Eiropas Savienības Tiesa arī skaidroja, ka gadījumā, ja Latvijas tiesas konstatētu</w:t>
      </w:r>
      <w:r w:rsidR="00425FAE">
        <w:t xml:space="preserve">, </w:t>
      </w:r>
      <w:r>
        <w:t xml:space="preserve">ka izveidotā iepriekšējo atļauju sistēma </w:t>
      </w:r>
      <w:r w:rsidRPr="00D60DD5">
        <w:t>pārsnie</w:t>
      </w:r>
      <w:r>
        <w:t>dza</w:t>
      </w:r>
      <w:r w:rsidRPr="00D60DD5">
        <w:t xml:space="preserve"> to, kas </w:t>
      </w:r>
      <w:r>
        <w:t>bija</w:t>
      </w:r>
      <w:r w:rsidRPr="00D60DD5">
        <w:t xml:space="preserve"> nepieciešams un samērīgs </w:t>
      </w:r>
      <w:r>
        <w:t xml:space="preserve">šā </w:t>
      </w:r>
      <w:r w:rsidRPr="00D60DD5">
        <w:t>leģitīmā mērķa sasniegšanai</w:t>
      </w:r>
      <w:r>
        <w:t xml:space="preserve">, tad būtu jāsecina, ka </w:t>
      </w:r>
      <w:r w:rsidR="00425FAE">
        <w:t xml:space="preserve">Latvijas iestādes nevar </w:t>
      </w:r>
      <w:r>
        <w:t>veselības aprūpes izdevumu</w:t>
      </w:r>
      <w:r w:rsidR="00425FAE">
        <w:t xml:space="preserve"> atlīdzināšanu apmērā, </w:t>
      </w:r>
      <w:r>
        <w:t>kas atbilst veselības aprūpes tarifiem Latvijā,</w:t>
      </w:r>
      <w:r w:rsidR="00425FAE">
        <w:t xml:space="preserve"> pakļaut nosacījumam, ka ir jāsaņem iepriekšēja atļauja atbilstoši minētās direktīvas 8.panta 5.punktam un 6.punkta </w:t>
      </w:r>
      <w:r>
        <w:t>„</w:t>
      </w:r>
      <w:r w:rsidR="00425FAE">
        <w:t>d</w:t>
      </w:r>
      <w:r>
        <w:t>” </w:t>
      </w:r>
      <w:r w:rsidR="00425FAE">
        <w:t>apakšpunktam</w:t>
      </w:r>
      <w:r w:rsidR="006B3B17">
        <w:t xml:space="preserve"> (</w:t>
      </w:r>
      <w:r w:rsidR="006B3B17" w:rsidRPr="00425FAE">
        <w:rPr>
          <w:i/>
          <w:iCs/>
        </w:rPr>
        <w:t xml:space="preserve">turpat, </w:t>
      </w:r>
      <w:r w:rsidR="006B3B17">
        <w:rPr>
          <w:i/>
          <w:iCs/>
        </w:rPr>
        <w:t>80</w:t>
      </w:r>
      <w:r w:rsidR="006B3B17" w:rsidRPr="00425FAE">
        <w:rPr>
          <w:i/>
          <w:iCs/>
        </w:rPr>
        <w:t>.punkts</w:t>
      </w:r>
      <w:r w:rsidR="006B3B17">
        <w:t>)</w:t>
      </w:r>
      <w:r w:rsidR="00425FAE">
        <w:t>.</w:t>
      </w:r>
    </w:p>
    <w:p w14:paraId="3B0B2BFC" w14:textId="38566472" w:rsidR="00425FAE" w:rsidRDefault="00CF2A9B" w:rsidP="00425FAE">
      <w:pPr>
        <w:spacing w:line="276" w:lineRule="auto"/>
        <w:ind w:firstLine="720"/>
        <w:jc w:val="both"/>
      </w:pPr>
      <w:r>
        <w:t xml:space="preserve">Savukārt, ja Latvijas tiesas konstatētu, ka iepriekšējo atļauju sistēma nepārsniedza </w:t>
      </w:r>
      <w:r w:rsidRPr="00CF2A9B">
        <w:t>to, kas bija nepieciešams un samērīgs šā leģitīmā mērķa sasniegšanai</w:t>
      </w:r>
      <w:r>
        <w:t>, tad būtu nepieciešams vērtēt arī to, vai atļaujas atteikšana gadījumā, kad Latvijā var nodrošināt medicīniski efektīvu ārstēšanu, taču šī ārstēšana neatbilst personas reliģiskajai pārliecībai</w:t>
      </w:r>
      <w:r w:rsidR="006B3B17">
        <w:t>, netiek pieļauts diskriminācijas aizlieguma pārkāpums. Eiropas Savienības Tiesa norādīja, ka arī šādā gadījumā</w:t>
      </w:r>
      <w:r w:rsidR="006B3B17" w:rsidRPr="006B3B17">
        <w:t xml:space="preserve"> atteikums</w:t>
      </w:r>
      <w:r w:rsidR="006B3B17">
        <w:t xml:space="preserve"> izsniegt atļauju un atlīdzināt izdevumus</w:t>
      </w:r>
      <w:r w:rsidR="006B3B17" w:rsidRPr="006B3B17">
        <w:t xml:space="preserve"> rada netiešu atšķirīgu attieksmi reliģijas dēļ. </w:t>
      </w:r>
      <w:r w:rsidR="00A21AC0">
        <w:t>Spriedumā arī skaidrots, ka, t</w:t>
      </w:r>
      <w:r w:rsidR="006B3B17" w:rsidRPr="006B3B17">
        <w:t xml:space="preserve">ā kā šai atšķirīgajai attieksmei ir leģitīms mērķis </w:t>
      </w:r>
      <w:r w:rsidR="00A21AC0" w:rsidRPr="00984536">
        <w:t>–</w:t>
      </w:r>
      <w:r w:rsidR="00A21AC0">
        <w:t xml:space="preserve"> </w:t>
      </w:r>
      <w:r w:rsidR="006B3B17" w:rsidRPr="006B3B17">
        <w:t>saglabāt veselības aprūpes jaudu un medicīnisko kompetenci</w:t>
      </w:r>
      <w:r w:rsidR="00A21AC0">
        <w:t xml:space="preserve"> </w:t>
      </w:r>
      <w:r w:rsidR="00A21AC0" w:rsidRPr="00984536">
        <w:t>–</w:t>
      </w:r>
      <w:r w:rsidR="006B3B17" w:rsidRPr="006B3B17">
        <w:t xml:space="preserve">, </w:t>
      </w:r>
      <w:r w:rsidR="00A21AC0">
        <w:t>Latvijas tiesām</w:t>
      </w:r>
      <w:r w:rsidR="006B3B17" w:rsidRPr="006B3B17">
        <w:t xml:space="preserve"> ir jāizvērtē, vai minētā atšķirī</w:t>
      </w:r>
      <w:r w:rsidR="00A21AC0">
        <w:t>gā attieksme</w:t>
      </w:r>
      <w:r w:rsidR="006B3B17" w:rsidRPr="006B3B17">
        <w:t xml:space="preserve"> </w:t>
      </w:r>
      <w:r w:rsidR="00A21AC0">
        <w:t>bija</w:t>
      </w:r>
      <w:r w:rsidR="006B3B17" w:rsidRPr="006B3B17">
        <w:t xml:space="preserve"> samērīga</w:t>
      </w:r>
      <w:r w:rsidR="00A21AC0">
        <w:t>, tostarp</w:t>
      </w:r>
      <w:r w:rsidR="006B3B17" w:rsidRPr="006B3B17">
        <w:t xml:space="preserve">, vai pacientu reliģiskās pārliecības ņemšana vērā, īstenojot Direktīvas </w:t>
      </w:r>
      <w:r w:rsidR="00A21AC0">
        <w:t>Nr. </w:t>
      </w:r>
      <w:r w:rsidR="006B3B17" w:rsidRPr="006B3B17">
        <w:t xml:space="preserve">2011/24 8.panta 5.punktu un 6.punkta </w:t>
      </w:r>
      <w:r w:rsidR="00A21AC0">
        <w:t>„</w:t>
      </w:r>
      <w:r w:rsidR="006B3B17" w:rsidRPr="006B3B17">
        <w:t>d</w:t>
      </w:r>
      <w:r w:rsidR="00A21AC0">
        <w:t>”</w:t>
      </w:r>
      <w:r w:rsidR="006B3B17" w:rsidRPr="006B3B17">
        <w:t xml:space="preserve"> apakšpunktu, rad</w:t>
      </w:r>
      <w:r w:rsidR="006876A7">
        <w:t>ītu</w:t>
      </w:r>
      <w:r w:rsidR="006B3B17" w:rsidRPr="006B3B17">
        <w:t xml:space="preserve"> risku stacionārās ārstēšanas plānošanai </w:t>
      </w:r>
      <w:r w:rsidR="00A21AC0">
        <w:t>Latvijā</w:t>
      </w:r>
      <w:r w:rsidR="006B3B17">
        <w:t xml:space="preserve"> (</w:t>
      </w:r>
      <w:r w:rsidR="006B3B17" w:rsidRPr="00425FAE">
        <w:rPr>
          <w:i/>
          <w:iCs/>
        </w:rPr>
        <w:t xml:space="preserve">turpat, </w:t>
      </w:r>
      <w:r w:rsidR="006B3B17">
        <w:rPr>
          <w:i/>
          <w:iCs/>
        </w:rPr>
        <w:t>81</w:t>
      </w:r>
      <w:r w:rsidR="006B3B17" w:rsidRPr="00425FAE">
        <w:rPr>
          <w:i/>
          <w:iCs/>
        </w:rPr>
        <w:t>.</w:t>
      </w:r>
      <w:r w:rsidR="00EA659A" w:rsidRPr="00EA659A">
        <w:rPr>
          <w:i/>
          <w:iCs/>
        </w:rPr>
        <w:t>–</w:t>
      </w:r>
      <w:r w:rsidR="006B3B17">
        <w:rPr>
          <w:i/>
          <w:iCs/>
        </w:rPr>
        <w:t>84</w:t>
      </w:r>
      <w:r w:rsidR="006B3B17" w:rsidRPr="00425FAE">
        <w:rPr>
          <w:i/>
          <w:iCs/>
        </w:rPr>
        <w:t>.punkts</w:t>
      </w:r>
      <w:r w:rsidR="006B3B17">
        <w:t>).</w:t>
      </w:r>
    </w:p>
    <w:p w14:paraId="68B5964C" w14:textId="1953D826" w:rsidR="00425FAE" w:rsidRDefault="00425FAE" w:rsidP="00A013C6">
      <w:pPr>
        <w:spacing w:line="276" w:lineRule="auto"/>
        <w:ind w:firstLine="720"/>
        <w:jc w:val="both"/>
      </w:pPr>
    </w:p>
    <w:p w14:paraId="1A487A0E" w14:textId="349BF2A8" w:rsidR="006C408D" w:rsidRDefault="00A21AC0" w:rsidP="00A013C6">
      <w:pPr>
        <w:spacing w:line="276" w:lineRule="auto"/>
        <w:ind w:firstLine="720"/>
        <w:jc w:val="both"/>
      </w:pPr>
      <w:r>
        <w:t>[1</w:t>
      </w:r>
      <w:r w:rsidR="004E1ADF">
        <w:t>9</w:t>
      </w:r>
      <w:r>
        <w:t xml:space="preserve">] </w:t>
      </w:r>
      <w:r w:rsidR="006876A7">
        <w:t>Apkopojot iepriekš minēto, Sen</w:t>
      </w:r>
      <w:r w:rsidR="006C408D">
        <w:t xml:space="preserve">āts secina, ka apgabaltiesa nav pietiekami pamatojusi secinājumu, ka </w:t>
      </w:r>
      <w:r w:rsidR="00FC6F19" w:rsidRPr="00713D5F">
        <w:t xml:space="preserve">Veselības </w:t>
      </w:r>
      <w:r w:rsidR="00071564">
        <w:t xml:space="preserve">aprūpes </w:t>
      </w:r>
      <w:r w:rsidR="00FC6F19">
        <w:t xml:space="preserve">finansēšanas </w:t>
      </w:r>
      <w:r w:rsidR="006C408D" w:rsidRPr="006C408D">
        <w:t xml:space="preserve">noteikumos </w:t>
      </w:r>
      <w:r w:rsidR="006C408D">
        <w:t>bija paredzēts, ka personai ir nepieciešams iepriekš saņemt atļauju, lai tā varētu prasīt</w:t>
      </w:r>
      <w:r w:rsidR="006C408D" w:rsidRPr="006C408D">
        <w:t xml:space="preserve"> Direktīvā Nr.</w:t>
      </w:r>
      <w:r w:rsidR="006C408D">
        <w:t> </w:t>
      </w:r>
      <w:r w:rsidR="006C408D" w:rsidRPr="006C408D">
        <w:t>2011/24 paredzēto veselības aprūpes izdevumu atlīdzināšan</w:t>
      </w:r>
      <w:r w:rsidR="006C408D">
        <w:t xml:space="preserve">u. Ja </w:t>
      </w:r>
      <w:r w:rsidR="00FC6F19" w:rsidRPr="00713D5F">
        <w:t xml:space="preserve">Veselības </w:t>
      </w:r>
      <w:r w:rsidR="00071564">
        <w:t xml:space="preserve">aprūpes </w:t>
      </w:r>
      <w:r w:rsidR="00FC6F19">
        <w:t xml:space="preserve">finansēšanas </w:t>
      </w:r>
      <w:r w:rsidR="006C408D" w:rsidRPr="006C408D">
        <w:t>noteikum</w:t>
      </w:r>
      <w:r w:rsidR="006C408D">
        <w:t>i</w:t>
      </w:r>
      <w:r w:rsidR="006C408D" w:rsidRPr="006C408D">
        <w:t xml:space="preserve"> </w:t>
      </w:r>
      <w:r w:rsidR="006C408D">
        <w:t xml:space="preserve">tiešām to paredzēja, tad apgabaltiesai vajadzēja vērtēt, vai šāda sistēma atbilst </w:t>
      </w:r>
      <w:r w:rsidR="006C408D" w:rsidRPr="006C408D">
        <w:t>Direktīv</w:t>
      </w:r>
      <w:r w:rsidR="006C408D">
        <w:t>as</w:t>
      </w:r>
      <w:r w:rsidR="006C408D" w:rsidRPr="006C408D">
        <w:t xml:space="preserve"> Nr.</w:t>
      </w:r>
      <w:r w:rsidR="006C408D">
        <w:t> </w:t>
      </w:r>
      <w:r w:rsidR="006C408D" w:rsidRPr="006C408D">
        <w:t xml:space="preserve">2011/24 </w:t>
      </w:r>
      <w:r w:rsidR="006C408D">
        <w:t xml:space="preserve">prasībām, ko apgabaltiesa nav darījusi. Ja veicot minēto izvērtējumu, tiktu secināts, ka sistēma atbilst </w:t>
      </w:r>
      <w:r w:rsidR="006C408D" w:rsidRPr="006C408D">
        <w:t>Direktīvas Nr.</w:t>
      </w:r>
      <w:r w:rsidR="00FC6F19">
        <w:t> </w:t>
      </w:r>
      <w:r w:rsidR="006C408D" w:rsidRPr="006C408D">
        <w:t>2011/24 prasībām</w:t>
      </w:r>
      <w:r w:rsidR="006C408D">
        <w:t xml:space="preserve">, tad būtu nepieciešams vēl vērtēt, vai šī sistēma nepārkāpj diskriminācijas aizlieguma principu. Tā kā apgabaltiesa šādu izvērtējumu nav veikusi, </w:t>
      </w:r>
      <w:r>
        <w:t>tas ir pamats apgabaltiesas sprieduma atcelšanai.</w:t>
      </w:r>
      <w:r w:rsidR="006C408D">
        <w:t xml:space="preserve"> Izskatot lietu atkārtoti, rūpīgi jāizvērtē arī visi tie pieteicēja argumenti, kas pēc Eiropas Savienības </w:t>
      </w:r>
      <w:r w:rsidR="00F2710E">
        <w:t xml:space="preserve">Tiesas </w:t>
      </w:r>
      <w:r w:rsidR="006C408D">
        <w:t>sprieduma pasludināšanas tika minēti papildu paskaidrojumā Senātam.</w:t>
      </w:r>
    </w:p>
    <w:p w14:paraId="265500AE" w14:textId="77777777" w:rsidR="003E0672" w:rsidRDefault="003E0672" w:rsidP="00FF6087">
      <w:pPr>
        <w:spacing w:line="276" w:lineRule="auto"/>
        <w:ind w:firstLine="720"/>
        <w:jc w:val="both"/>
      </w:pPr>
    </w:p>
    <w:p w14:paraId="477F3F01" w14:textId="77777777" w:rsidR="003047F5" w:rsidRPr="00FF6087" w:rsidRDefault="006453E3" w:rsidP="00287404">
      <w:pPr>
        <w:spacing w:line="276" w:lineRule="auto"/>
        <w:jc w:val="center"/>
        <w:rPr>
          <w:b/>
        </w:rPr>
      </w:pPr>
      <w:r w:rsidRPr="00FF6087">
        <w:rPr>
          <w:b/>
        </w:rPr>
        <w:t>Rezolutīvā</w:t>
      </w:r>
      <w:r w:rsidR="003047F5" w:rsidRPr="00FF6087">
        <w:rPr>
          <w:b/>
        </w:rPr>
        <w:t xml:space="preserve"> daļa</w:t>
      </w:r>
    </w:p>
    <w:p w14:paraId="77A0D6E9" w14:textId="77777777" w:rsidR="00195D41" w:rsidRDefault="00195D41" w:rsidP="00287404">
      <w:pPr>
        <w:spacing w:line="276" w:lineRule="auto"/>
        <w:ind w:firstLine="720"/>
        <w:jc w:val="both"/>
      </w:pPr>
    </w:p>
    <w:p w14:paraId="7061A8C5" w14:textId="28E9378B" w:rsidR="007D7C2B" w:rsidRPr="00FF6087" w:rsidRDefault="00CC03AE" w:rsidP="00C45287">
      <w:pPr>
        <w:spacing w:line="276" w:lineRule="auto"/>
        <w:ind w:firstLine="720"/>
        <w:jc w:val="both"/>
      </w:pPr>
      <w:r w:rsidRPr="00FF6087">
        <w:t xml:space="preserve">Pamatojoties uz </w:t>
      </w:r>
      <w:r w:rsidR="00AD7174" w:rsidRPr="00AD7174">
        <w:t>Administratīvā procesa likuma</w:t>
      </w:r>
      <w:r w:rsidR="00E2093E" w:rsidRPr="00E2093E">
        <w:t xml:space="preserve"> </w:t>
      </w:r>
      <w:r w:rsidR="006C408D">
        <w:t>129.</w:t>
      </w:r>
      <w:proofErr w:type="gramStart"/>
      <w:r w:rsidR="006C408D" w:rsidRPr="006C408D">
        <w:rPr>
          <w:vertAlign w:val="superscript"/>
        </w:rPr>
        <w:t>1</w:t>
      </w:r>
      <w:r w:rsidR="006C408D">
        <w:t>panta</w:t>
      </w:r>
      <w:proofErr w:type="gramEnd"/>
      <w:r w:rsidR="006C408D">
        <w:t xml:space="preserve"> pirmās daļas 1.punktu</w:t>
      </w:r>
      <w:r w:rsidR="00F81ACC">
        <w:t>,</w:t>
      </w:r>
      <w:r w:rsidR="006C408D" w:rsidRPr="00E2093E">
        <w:t xml:space="preserve"> </w:t>
      </w:r>
      <w:r w:rsidR="00E2093E" w:rsidRPr="00E2093E">
        <w:t xml:space="preserve">348.panta </w:t>
      </w:r>
      <w:r w:rsidR="00E2093E" w:rsidRPr="00F81ACC">
        <w:t xml:space="preserve">pirmās daļas </w:t>
      </w:r>
      <w:r w:rsidR="006C408D" w:rsidRPr="00F81ACC">
        <w:t>2</w:t>
      </w:r>
      <w:r w:rsidR="00E2093E" w:rsidRPr="00F81ACC">
        <w:t>.punktu</w:t>
      </w:r>
      <w:r w:rsidR="00E2093E" w:rsidRPr="00E2093E">
        <w:t xml:space="preserve"> un 351.pantu</w:t>
      </w:r>
      <w:r w:rsidR="004B0B15" w:rsidRPr="00FF6087">
        <w:t xml:space="preserve">, </w:t>
      </w:r>
      <w:r w:rsidR="00B64711" w:rsidRPr="00FF6087">
        <w:t>Senāts</w:t>
      </w:r>
    </w:p>
    <w:p w14:paraId="6D947EC8" w14:textId="77777777" w:rsidR="005F1AD9" w:rsidRPr="00FF6087" w:rsidRDefault="005F1AD9" w:rsidP="00287404">
      <w:pPr>
        <w:spacing w:line="276" w:lineRule="auto"/>
        <w:ind w:firstLine="720"/>
        <w:jc w:val="both"/>
      </w:pPr>
    </w:p>
    <w:p w14:paraId="74D0AA2D" w14:textId="77777777" w:rsidR="003047F5" w:rsidRPr="00FF6087" w:rsidRDefault="00805130" w:rsidP="00287404">
      <w:pPr>
        <w:spacing w:line="276" w:lineRule="auto"/>
        <w:jc w:val="center"/>
        <w:rPr>
          <w:b/>
          <w:bCs/>
          <w:spacing w:val="70"/>
        </w:rPr>
      </w:pPr>
      <w:r w:rsidRPr="00FF6087">
        <w:rPr>
          <w:b/>
        </w:rPr>
        <w:t>no</w:t>
      </w:r>
      <w:r w:rsidR="007751D6">
        <w:rPr>
          <w:b/>
        </w:rPr>
        <w:t>spried</w:t>
      </w:r>
      <w:r w:rsidRPr="00FF6087">
        <w:rPr>
          <w:b/>
        </w:rPr>
        <w:t>a</w:t>
      </w:r>
    </w:p>
    <w:p w14:paraId="041D735E" w14:textId="77777777" w:rsidR="00195D41" w:rsidRPr="00FF6087" w:rsidRDefault="00195D41" w:rsidP="00287404">
      <w:pPr>
        <w:spacing w:line="276" w:lineRule="auto"/>
        <w:ind w:firstLine="720"/>
        <w:jc w:val="both"/>
        <w:rPr>
          <w:color w:val="000000"/>
        </w:rPr>
      </w:pPr>
      <w:bookmarkStart w:id="6" w:name="Dropdown12"/>
    </w:p>
    <w:p w14:paraId="316A92A4" w14:textId="5D897124" w:rsidR="00F81ACC" w:rsidRDefault="00F81ACC" w:rsidP="00AA6D62">
      <w:pPr>
        <w:spacing w:line="276" w:lineRule="auto"/>
        <w:ind w:firstLine="720"/>
        <w:jc w:val="both"/>
      </w:pPr>
      <w:r>
        <w:t xml:space="preserve">Atcelt Administratīvās apgabaltiesas </w:t>
      </w:r>
      <w:proofErr w:type="gramStart"/>
      <w:r w:rsidRPr="00160E58">
        <w:t>2017.gada</w:t>
      </w:r>
      <w:proofErr w:type="gramEnd"/>
      <w:r w:rsidRPr="00160E58">
        <w:t xml:space="preserve"> 10.februāra </w:t>
      </w:r>
      <w:r>
        <w:t>spriedumu un nosūtīt lietu jaunai izskatīšanai apelācijas instances tiesai.</w:t>
      </w:r>
    </w:p>
    <w:p w14:paraId="6A076755" w14:textId="7CFC1A06" w:rsidR="00F81ACC" w:rsidRDefault="00F81ACC" w:rsidP="00AA6D62">
      <w:pPr>
        <w:spacing w:line="276" w:lineRule="auto"/>
        <w:ind w:firstLine="720"/>
        <w:jc w:val="both"/>
        <w:rPr>
          <w:highlight w:val="yellow"/>
        </w:rPr>
      </w:pPr>
      <w:r>
        <w:t xml:space="preserve">Atmaksāt </w:t>
      </w:r>
      <w:proofErr w:type="gramStart"/>
      <w:r w:rsidR="004723FD">
        <w:t>[</w:t>
      </w:r>
      <w:proofErr w:type="gramEnd"/>
      <w:r w:rsidR="004723FD">
        <w:t>pers. A]</w:t>
      </w:r>
      <w:r>
        <w:t xml:space="preserve"> drošības naudu 70 </w:t>
      </w:r>
      <w:proofErr w:type="spellStart"/>
      <w:r w:rsidRPr="00F81ACC">
        <w:rPr>
          <w:i/>
          <w:iCs/>
        </w:rPr>
        <w:t>euro</w:t>
      </w:r>
      <w:proofErr w:type="spellEnd"/>
      <w:r>
        <w:t>.</w:t>
      </w:r>
    </w:p>
    <w:p w14:paraId="4DD3FA50" w14:textId="76BAAB8F" w:rsidR="00EF44F5" w:rsidRDefault="00CB5692" w:rsidP="004723FD">
      <w:pPr>
        <w:spacing w:line="276" w:lineRule="auto"/>
        <w:ind w:firstLine="720"/>
        <w:jc w:val="both"/>
      </w:pPr>
      <w:r w:rsidRPr="00F81ACC">
        <w:t>Spriedums</w:t>
      </w:r>
      <w:r w:rsidR="00AA6D62" w:rsidRPr="00F81ACC">
        <w:t xml:space="preserve"> nav pārsūdzams.</w:t>
      </w:r>
      <w:bookmarkEnd w:id="6"/>
    </w:p>
    <w:sectPr w:rsidR="00EF44F5" w:rsidSect="002A73BC">
      <w:footerReference w:type="default" r:id="rId8"/>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1C241" w14:textId="77777777" w:rsidR="0072663F" w:rsidRDefault="0072663F" w:rsidP="003047F5">
      <w:r>
        <w:separator/>
      </w:r>
    </w:p>
  </w:endnote>
  <w:endnote w:type="continuationSeparator" w:id="0">
    <w:p w14:paraId="59CAB9E7" w14:textId="77777777" w:rsidR="0072663F" w:rsidRDefault="0072663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5AB6CD5F" w14:textId="77777777" w:rsidR="006B3B17" w:rsidRDefault="006B3B17"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F2710E">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F2710E">
              <w:rPr>
                <w:bCs/>
                <w:noProof/>
              </w:rPr>
              <w:t>12</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87D40" w14:textId="77777777" w:rsidR="0072663F" w:rsidRDefault="0072663F" w:rsidP="003047F5">
      <w:r>
        <w:separator/>
      </w:r>
    </w:p>
  </w:footnote>
  <w:footnote w:type="continuationSeparator" w:id="0">
    <w:p w14:paraId="09E319D7" w14:textId="77777777" w:rsidR="0072663F" w:rsidRDefault="0072663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48"/>
    <w:rsid w:val="0000081E"/>
    <w:rsid w:val="00002430"/>
    <w:rsid w:val="000029DC"/>
    <w:rsid w:val="00002ACE"/>
    <w:rsid w:val="0000349D"/>
    <w:rsid w:val="00004642"/>
    <w:rsid w:val="00005664"/>
    <w:rsid w:val="0000570D"/>
    <w:rsid w:val="00005A1E"/>
    <w:rsid w:val="00005CB8"/>
    <w:rsid w:val="000062F2"/>
    <w:rsid w:val="00006E81"/>
    <w:rsid w:val="000073EC"/>
    <w:rsid w:val="0000741F"/>
    <w:rsid w:val="00012AE3"/>
    <w:rsid w:val="00012B8F"/>
    <w:rsid w:val="00012EB4"/>
    <w:rsid w:val="00012EE3"/>
    <w:rsid w:val="00013177"/>
    <w:rsid w:val="00014431"/>
    <w:rsid w:val="00014EE1"/>
    <w:rsid w:val="00014F8B"/>
    <w:rsid w:val="00015148"/>
    <w:rsid w:val="00015354"/>
    <w:rsid w:val="00016030"/>
    <w:rsid w:val="00016922"/>
    <w:rsid w:val="00016FF1"/>
    <w:rsid w:val="00017669"/>
    <w:rsid w:val="00020A0A"/>
    <w:rsid w:val="00021609"/>
    <w:rsid w:val="000229CA"/>
    <w:rsid w:val="00022A87"/>
    <w:rsid w:val="00022DBE"/>
    <w:rsid w:val="00022FA3"/>
    <w:rsid w:val="00023861"/>
    <w:rsid w:val="00023C21"/>
    <w:rsid w:val="00024AEC"/>
    <w:rsid w:val="00024B4F"/>
    <w:rsid w:val="00026081"/>
    <w:rsid w:val="000265F2"/>
    <w:rsid w:val="000274D4"/>
    <w:rsid w:val="00030396"/>
    <w:rsid w:val="00030B18"/>
    <w:rsid w:val="00030BB1"/>
    <w:rsid w:val="00030C19"/>
    <w:rsid w:val="0003200B"/>
    <w:rsid w:val="00033332"/>
    <w:rsid w:val="0003385C"/>
    <w:rsid w:val="00034450"/>
    <w:rsid w:val="00034AC2"/>
    <w:rsid w:val="000352B1"/>
    <w:rsid w:val="0003558F"/>
    <w:rsid w:val="00035F38"/>
    <w:rsid w:val="000361F6"/>
    <w:rsid w:val="000362D0"/>
    <w:rsid w:val="0003715A"/>
    <w:rsid w:val="0004119E"/>
    <w:rsid w:val="00042182"/>
    <w:rsid w:val="00042A2E"/>
    <w:rsid w:val="00043822"/>
    <w:rsid w:val="00043C30"/>
    <w:rsid w:val="00044AE6"/>
    <w:rsid w:val="00044B26"/>
    <w:rsid w:val="00044FEF"/>
    <w:rsid w:val="00045078"/>
    <w:rsid w:val="00045674"/>
    <w:rsid w:val="00045C97"/>
    <w:rsid w:val="00045DE6"/>
    <w:rsid w:val="00045E03"/>
    <w:rsid w:val="00046A89"/>
    <w:rsid w:val="00046AC7"/>
    <w:rsid w:val="00046C96"/>
    <w:rsid w:val="00046F9E"/>
    <w:rsid w:val="00050003"/>
    <w:rsid w:val="00050699"/>
    <w:rsid w:val="00050AF6"/>
    <w:rsid w:val="00050DA8"/>
    <w:rsid w:val="0005109D"/>
    <w:rsid w:val="000512A9"/>
    <w:rsid w:val="0005221D"/>
    <w:rsid w:val="000523B2"/>
    <w:rsid w:val="00052F2A"/>
    <w:rsid w:val="00054637"/>
    <w:rsid w:val="00054BF4"/>
    <w:rsid w:val="00054CFA"/>
    <w:rsid w:val="000554EB"/>
    <w:rsid w:val="00056F29"/>
    <w:rsid w:val="000576F8"/>
    <w:rsid w:val="0006003E"/>
    <w:rsid w:val="00060CFE"/>
    <w:rsid w:val="00062127"/>
    <w:rsid w:val="000635A0"/>
    <w:rsid w:val="00063A13"/>
    <w:rsid w:val="00064141"/>
    <w:rsid w:val="000646E8"/>
    <w:rsid w:val="00065336"/>
    <w:rsid w:val="00065377"/>
    <w:rsid w:val="00066353"/>
    <w:rsid w:val="00066BFA"/>
    <w:rsid w:val="00066CA0"/>
    <w:rsid w:val="00066FCB"/>
    <w:rsid w:val="00067814"/>
    <w:rsid w:val="000679A8"/>
    <w:rsid w:val="00067DCC"/>
    <w:rsid w:val="00067EBC"/>
    <w:rsid w:val="00071054"/>
    <w:rsid w:val="000712CE"/>
    <w:rsid w:val="00071480"/>
    <w:rsid w:val="00071564"/>
    <w:rsid w:val="0007183E"/>
    <w:rsid w:val="000720A6"/>
    <w:rsid w:val="00072569"/>
    <w:rsid w:val="00072D73"/>
    <w:rsid w:val="00073CD1"/>
    <w:rsid w:val="000742E6"/>
    <w:rsid w:val="00075871"/>
    <w:rsid w:val="00075D7B"/>
    <w:rsid w:val="00076150"/>
    <w:rsid w:val="0007639F"/>
    <w:rsid w:val="00076BC3"/>
    <w:rsid w:val="0007704C"/>
    <w:rsid w:val="000811CE"/>
    <w:rsid w:val="000826D3"/>
    <w:rsid w:val="00082FF5"/>
    <w:rsid w:val="00084114"/>
    <w:rsid w:val="00084864"/>
    <w:rsid w:val="00084A8A"/>
    <w:rsid w:val="00086239"/>
    <w:rsid w:val="000868DA"/>
    <w:rsid w:val="00086FD4"/>
    <w:rsid w:val="00087B02"/>
    <w:rsid w:val="00090620"/>
    <w:rsid w:val="0009074E"/>
    <w:rsid w:val="00090AAA"/>
    <w:rsid w:val="00090CDD"/>
    <w:rsid w:val="00090E24"/>
    <w:rsid w:val="000918A1"/>
    <w:rsid w:val="000919C5"/>
    <w:rsid w:val="00091D73"/>
    <w:rsid w:val="00093B27"/>
    <w:rsid w:val="00093C6B"/>
    <w:rsid w:val="00094051"/>
    <w:rsid w:val="0009596E"/>
    <w:rsid w:val="0009600C"/>
    <w:rsid w:val="00096F56"/>
    <w:rsid w:val="000975C8"/>
    <w:rsid w:val="00097F4D"/>
    <w:rsid w:val="000A0776"/>
    <w:rsid w:val="000A0E7E"/>
    <w:rsid w:val="000A148F"/>
    <w:rsid w:val="000A1997"/>
    <w:rsid w:val="000A2E3D"/>
    <w:rsid w:val="000A327A"/>
    <w:rsid w:val="000A40BC"/>
    <w:rsid w:val="000A4B0C"/>
    <w:rsid w:val="000A568C"/>
    <w:rsid w:val="000A584D"/>
    <w:rsid w:val="000A5A04"/>
    <w:rsid w:val="000A65EC"/>
    <w:rsid w:val="000A6849"/>
    <w:rsid w:val="000A6B8D"/>
    <w:rsid w:val="000B0C5B"/>
    <w:rsid w:val="000B12BC"/>
    <w:rsid w:val="000B1B4E"/>
    <w:rsid w:val="000B221C"/>
    <w:rsid w:val="000B288D"/>
    <w:rsid w:val="000B3AD4"/>
    <w:rsid w:val="000B3D27"/>
    <w:rsid w:val="000B473D"/>
    <w:rsid w:val="000B4A6E"/>
    <w:rsid w:val="000B54CC"/>
    <w:rsid w:val="000B55C2"/>
    <w:rsid w:val="000B6226"/>
    <w:rsid w:val="000B6C14"/>
    <w:rsid w:val="000B6E12"/>
    <w:rsid w:val="000B7375"/>
    <w:rsid w:val="000C05E6"/>
    <w:rsid w:val="000C06FC"/>
    <w:rsid w:val="000C4358"/>
    <w:rsid w:val="000C4776"/>
    <w:rsid w:val="000C52F6"/>
    <w:rsid w:val="000C5CA5"/>
    <w:rsid w:val="000C63C2"/>
    <w:rsid w:val="000C7A39"/>
    <w:rsid w:val="000D05AE"/>
    <w:rsid w:val="000D0619"/>
    <w:rsid w:val="000D1366"/>
    <w:rsid w:val="000D306A"/>
    <w:rsid w:val="000D4763"/>
    <w:rsid w:val="000D4CFC"/>
    <w:rsid w:val="000D55BF"/>
    <w:rsid w:val="000D7043"/>
    <w:rsid w:val="000D7705"/>
    <w:rsid w:val="000E29CC"/>
    <w:rsid w:val="000E343E"/>
    <w:rsid w:val="000E353C"/>
    <w:rsid w:val="000E4434"/>
    <w:rsid w:val="000E4F66"/>
    <w:rsid w:val="000E5238"/>
    <w:rsid w:val="000E5CA2"/>
    <w:rsid w:val="000E6B94"/>
    <w:rsid w:val="000E6B98"/>
    <w:rsid w:val="000E6F24"/>
    <w:rsid w:val="000E7265"/>
    <w:rsid w:val="000E73DD"/>
    <w:rsid w:val="000E74F2"/>
    <w:rsid w:val="000E78DA"/>
    <w:rsid w:val="000E7DD6"/>
    <w:rsid w:val="000F0014"/>
    <w:rsid w:val="000F00AF"/>
    <w:rsid w:val="000F039C"/>
    <w:rsid w:val="000F0822"/>
    <w:rsid w:val="000F0DB9"/>
    <w:rsid w:val="000F138E"/>
    <w:rsid w:val="000F1495"/>
    <w:rsid w:val="000F20C1"/>
    <w:rsid w:val="000F3BED"/>
    <w:rsid w:val="000F478A"/>
    <w:rsid w:val="000F4AB3"/>
    <w:rsid w:val="000F4F38"/>
    <w:rsid w:val="000F4FBA"/>
    <w:rsid w:val="000F5126"/>
    <w:rsid w:val="000F655B"/>
    <w:rsid w:val="000F6E5D"/>
    <w:rsid w:val="000F7B0B"/>
    <w:rsid w:val="00100C75"/>
    <w:rsid w:val="00101618"/>
    <w:rsid w:val="00102D24"/>
    <w:rsid w:val="00103314"/>
    <w:rsid w:val="0010369A"/>
    <w:rsid w:val="00103ED5"/>
    <w:rsid w:val="00104047"/>
    <w:rsid w:val="00104A34"/>
    <w:rsid w:val="00105343"/>
    <w:rsid w:val="001059BB"/>
    <w:rsid w:val="001069E8"/>
    <w:rsid w:val="00106BDE"/>
    <w:rsid w:val="001070E5"/>
    <w:rsid w:val="001100E2"/>
    <w:rsid w:val="001101F0"/>
    <w:rsid w:val="00110869"/>
    <w:rsid w:val="001108D8"/>
    <w:rsid w:val="00110C17"/>
    <w:rsid w:val="00111655"/>
    <w:rsid w:val="00112419"/>
    <w:rsid w:val="00112506"/>
    <w:rsid w:val="00112AD3"/>
    <w:rsid w:val="00114DC7"/>
    <w:rsid w:val="00115D6D"/>
    <w:rsid w:val="001175EF"/>
    <w:rsid w:val="00117E7C"/>
    <w:rsid w:val="00121011"/>
    <w:rsid w:val="001217AE"/>
    <w:rsid w:val="00121BED"/>
    <w:rsid w:val="001221A0"/>
    <w:rsid w:val="001230F9"/>
    <w:rsid w:val="00123CAC"/>
    <w:rsid w:val="00124749"/>
    <w:rsid w:val="00124895"/>
    <w:rsid w:val="00124C49"/>
    <w:rsid w:val="0012558F"/>
    <w:rsid w:val="001264EB"/>
    <w:rsid w:val="001270C9"/>
    <w:rsid w:val="0013000D"/>
    <w:rsid w:val="001300BB"/>
    <w:rsid w:val="0013068F"/>
    <w:rsid w:val="00130874"/>
    <w:rsid w:val="00131502"/>
    <w:rsid w:val="00132B13"/>
    <w:rsid w:val="001332C1"/>
    <w:rsid w:val="0013473A"/>
    <w:rsid w:val="00134E12"/>
    <w:rsid w:val="00134FB1"/>
    <w:rsid w:val="00135413"/>
    <w:rsid w:val="00136612"/>
    <w:rsid w:val="00136ADF"/>
    <w:rsid w:val="00136BDA"/>
    <w:rsid w:val="0013722C"/>
    <w:rsid w:val="00137255"/>
    <w:rsid w:val="00137A31"/>
    <w:rsid w:val="00137B35"/>
    <w:rsid w:val="001400ED"/>
    <w:rsid w:val="00140BFC"/>
    <w:rsid w:val="001413ED"/>
    <w:rsid w:val="00141CA0"/>
    <w:rsid w:val="001427DC"/>
    <w:rsid w:val="001428F9"/>
    <w:rsid w:val="00142C3B"/>
    <w:rsid w:val="00143360"/>
    <w:rsid w:val="001437A2"/>
    <w:rsid w:val="001437AD"/>
    <w:rsid w:val="00144CF9"/>
    <w:rsid w:val="001452AC"/>
    <w:rsid w:val="00145869"/>
    <w:rsid w:val="00145C68"/>
    <w:rsid w:val="00146E70"/>
    <w:rsid w:val="001470EE"/>
    <w:rsid w:val="0014717A"/>
    <w:rsid w:val="00147F4C"/>
    <w:rsid w:val="001509D6"/>
    <w:rsid w:val="00151C3D"/>
    <w:rsid w:val="00152263"/>
    <w:rsid w:val="00154052"/>
    <w:rsid w:val="00154823"/>
    <w:rsid w:val="00154B90"/>
    <w:rsid w:val="00155FD1"/>
    <w:rsid w:val="001564A9"/>
    <w:rsid w:val="001564BF"/>
    <w:rsid w:val="00156C60"/>
    <w:rsid w:val="00156F27"/>
    <w:rsid w:val="00156F9C"/>
    <w:rsid w:val="00157190"/>
    <w:rsid w:val="00157527"/>
    <w:rsid w:val="001601BB"/>
    <w:rsid w:val="0016140C"/>
    <w:rsid w:val="001619C4"/>
    <w:rsid w:val="00162594"/>
    <w:rsid w:val="0016354E"/>
    <w:rsid w:val="001636A1"/>
    <w:rsid w:val="00163D7A"/>
    <w:rsid w:val="0016434A"/>
    <w:rsid w:val="001646E9"/>
    <w:rsid w:val="00164B82"/>
    <w:rsid w:val="00165079"/>
    <w:rsid w:val="00166AAF"/>
    <w:rsid w:val="00166ABC"/>
    <w:rsid w:val="00166F37"/>
    <w:rsid w:val="00167DB1"/>
    <w:rsid w:val="0017174E"/>
    <w:rsid w:val="00173269"/>
    <w:rsid w:val="001734C1"/>
    <w:rsid w:val="00173D07"/>
    <w:rsid w:val="00173DE5"/>
    <w:rsid w:val="001745CB"/>
    <w:rsid w:val="00176D64"/>
    <w:rsid w:val="00177372"/>
    <w:rsid w:val="0017774A"/>
    <w:rsid w:val="001807FC"/>
    <w:rsid w:val="00180E3F"/>
    <w:rsid w:val="001827A0"/>
    <w:rsid w:val="00182BB9"/>
    <w:rsid w:val="00182BD3"/>
    <w:rsid w:val="00183C1C"/>
    <w:rsid w:val="00183CC4"/>
    <w:rsid w:val="00185D42"/>
    <w:rsid w:val="00185D68"/>
    <w:rsid w:val="00185FD2"/>
    <w:rsid w:val="001866B4"/>
    <w:rsid w:val="0018775B"/>
    <w:rsid w:val="00187CBD"/>
    <w:rsid w:val="0019021D"/>
    <w:rsid w:val="00190EFF"/>
    <w:rsid w:val="001913F2"/>
    <w:rsid w:val="0019238A"/>
    <w:rsid w:val="00192A69"/>
    <w:rsid w:val="00192D83"/>
    <w:rsid w:val="00192EF3"/>
    <w:rsid w:val="001933A6"/>
    <w:rsid w:val="001935BF"/>
    <w:rsid w:val="001940C1"/>
    <w:rsid w:val="00194CDA"/>
    <w:rsid w:val="00195D41"/>
    <w:rsid w:val="001969C7"/>
    <w:rsid w:val="00196F12"/>
    <w:rsid w:val="00196F57"/>
    <w:rsid w:val="001A03B6"/>
    <w:rsid w:val="001A03C8"/>
    <w:rsid w:val="001A0495"/>
    <w:rsid w:val="001A0A4C"/>
    <w:rsid w:val="001A105D"/>
    <w:rsid w:val="001A2190"/>
    <w:rsid w:val="001A2E06"/>
    <w:rsid w:val="001A3318"/>
    <w:rsid w:val="001A3790"/>
    <w:rsid w:val="001A4D41"/>
    <w:rsid w:val="001A54EA"/>
    <w:rsid w:val="001A6B17"/>
    <w:rsid w:val="001B05AD"/>
    <w:rsid w:val="001B1073"/>
    <w:rsid w:val="001B11E1"/>
    <w:rsid w:val="001B15D4"/>
    <w:rsid w:val="001B1DFB"/>
    <w:rsid w:val="001B1F64"/>
    <w:rsid w:val="001B3477"/>
    <w:rsid w:val="001B3C47"/>
    <w:rsid w:val="001B4725"/>
    <w:rsid w:val="001B591D"/>
    <w:rsid w:val="001B5E51"/>
    <w:rsid w:val="001B60F4"/>
    <w:rsid w:val="001B6223"/>
    <w:rsid w:val="001B67EE"/>
    <w:rsid w:val="001B7B14"/>
    <w:rsid w:val="001C07BB"/>
    <w:rsid w:val="001C1143"/>
    <w:rsid w:val="001C12A9"/>
    <w:rsid w:val="001C1B1C"/>
    <w:rsid w:val="001C211B"/>
    <w:rsid w:val="001C2394"/>
    <w:rsid w:val="001C3088"/>
    <w:rsid w:val="001C32D6"/>
    <w:rsid w:val="001C3393"/>
    <w:rsid w:val="001C38A7"/>
    <w:rsid w:val="001C49F0"/>
    <w:rsid w:val="001C55E9"/>
    <w:rsid w:val="001C62B0"/>
    <w:rsid w:val="001C633D"/>
    <w:rsid w:val="001C6484"/>
    <w:rsid w:val="001D052D"/>
    <w:rsid w:val="001D0A0E"/>
    <w:rsid w:val="001D16A5"/>
    <w:rsid w:val="001D1713"/>
    <w:rsid w:val="001D2394"/>
    <w:rsid w:val="001D2B3A"/>
    <w:rsid w:val="001D30C9"/>
    <w:rsid w:val="001D30D4"/>
    <w:rsid w:val="001D33A1"/>
    <w:rsid w:val="001D3B06"/>
    <w:rsid w:val="001D5B75"/>
    <w:rsid w:val="001D62CA"/>
    <w:rsid w:val="001D6BBD"/>
    <w:rsid w:val="001D7499"/>
    <w:rsid w:val="001E08F1"/>
    <w:rsid w:val="001E26D6"/>
    <w:rsid w:val="001E2D45"/>
    <w:rsid w:val="001E38C8"/>
    <w:rsid w:val="001E3A09"/>
    <w:rsid w:val="001E3B6F"/>
    <w:rsid w:val="001E47EB"/>
    <w:rsid w:val="001E49A4"/>
    <w:rsid w:val="001E788C"/>
    <w:rsid w:val="001E78B0"/>
    <w:rsid w:val="001E7ACF"/>
    <w:rsid w:val="001E7F00"/>
    <w:rsid w:val="001F0176"/>
    <w:rsid w:val="001F04D0"/>
    <w:rsid w:val="001F0E3F"/>
    <w:rsid w:val="001F149A"/>
    <w:rsid w:val="001F1AA5"/>
    <w:rsid w:val="001F1D10"/>
    <w:rsid w:val="001F2229"/>
    <w:rsid w:val="001F2446"/>
    <w:rsid w:val="001F2AF4"/>
    <w:rsid w:val="001F3843"/>
    <w:rsid w:val="001F40FC"/>
    <w:rsid w:val="001F4226"/>
    <w:rsid w:val="001F4336"/>
    <w:rsid w:val="001F5037"/>
    <w:rsid w:val="001F53BF"/>
    <w:rsid w:val="001F640C"/>
    <w:rsid w:val="001F6523"/>
    <w:rsid w:val="001F69EC"/>
    <w:rsid w:val="001F7634"/>
    <w:rsid w:val="001F7795"/>
    <w:rsid w:val="002000B3"/>
    <w:rsid w:val="00201B6E"/>
    <w:rsid w:val="00202478"/>
    <w:rsid w:val="0020301C"/>
    <w:rsid w:val="00204894"/>
    <w:rsid w:val="00205502"/>
    <w:rsid w:val="002065DD"/>
    <w:rsid w:val="002065E9"/>
    <w:rsid w:val="002104FA"/>
    <w:rsid w:val="00210EB7"/>
    <w:rsid w:val="00212233"/>
    <w:rsid w:val="00212515"/>
    <w:rsid w:val="00212D10"/>
    <w:rsid w:val="00212DB8"/>
    <w:rsid w:val="0021375A"/>
    <w:rsid w:val="00213919"/>
    <w:rsid w:val="00214773"/>
    <w:rsid w:val="00214C0C"/>
    <w:rsid w:val="00215FF3"/>
    <w:rsid w:val="0021646A"/>
    <w:rsid w:val="00216FA4"/>
    <w:rsid w:val="002172C5"/>
    <w:rsid w:val="00217589"/>
    <w:rsid w:val="00221B0F"/>
    <w:rsid w:val="00221C90"/>
    <w:rsid w:val="00221F8C"/>
    <w:rsid w:val="00222204"/>
    <w:rsid w:val="00222338"/>
    <w:rsid w:val="002229F5"/>
    <w:rsid w:val="00222B59"/>
    <w:rsid w:val="00222E6E"/>
    <w:rsid w:val="002230AA"/>
    <w:rsid w:val="00223177"/>
    <w:rsid w:val="00223A9F"/>
    <w:rsid w:val="0022402D"/>
    <w:rsid w:val="00224D92"/>
    <w:rsid w:val="002252C0"/>
    <w:rsid w:val="00225DF6"/>
    <w:rsid w:val="00225F30"/>
    <w:rsid w:val="002270A9"/>
    <w:rsid w:val="0023060C"/>
    <w:rsid w:val="0023112E"/>
    <w:rsid w:val="00231292"/>
    <w:rsid w:val="00232B5A"/>
    <w:rsid w:val="00232BA9"/>
    <w:rsid w:val="00233043"/>
    <w:rsid w:val="00233294"/>
    <w:rsid w:val="00233D92"/>
    <w:rsid w:val="00233E2F"/>
    <w:rsid w:val="0023462C"/>
    <w:rsid w:val="00236279"/>
    <w:rsid w:val="00236393"/>
    <w:rsid w:val="00237C35"/>
    <w:rsid w:val="00237F92"/>
    <w:rsid w:val="00240D00"/>
    <w:rsid w:val="00241087"/>
    <w:rsid w:val="00241107"/>
    <w:rsid w:val="00241B7F"/>
    <w:rsid w:val="00241DFA"/>
    <w:rsid w:val="00243DBB"/>
    <w:rsid w:val="00243FA3"/>
    <w:rsid w:val="002443DF"/>
    <w:rsid w:val="00244834"/>
    <w:rsid w:val="00244F8D"/>
    <w:rsid w:val="002453D3"/>
    <w:rsid w:val="00245DD7"/>
    <w:rsid w:val="00246472"/>
    <w:rsid w:val="002466AD"/>
    <w:rsid w:val="002466AE"/>
    <w:rsid w:val="002477AD"/>
    <w:rsid w:val="002503AB"/>
    <w:rsid w:val="002508ED"/>
    <w:rsid w:val="0025362C"/>
    <w:rsid w:val="00253F30"/>
    <w:rsid w:val="00253F71"/>
    <w:rsid w:val="00255D16"/>
    <w:rsid w:val="002561F9"/>
    <w:rsid w:val="002569D7"/>
    <w:rsid w:val="00256B19"/>
    <w:rsid w:val="00257ADB"/>
    <w:rsid w:val="00257D10"/>
    <w:rsid w:val="0026015A"/>
    <w:rsid w:val="00262844"/>
    <w:rsid w:val="00264424"/>
    <w:rsid w:val="00265E5C"/>
    <w:rsid w:val="0026627F"/>
    <w:rsid w:val="00267A02"/>
    <w:rsid w:val="00267A77"/>
    <w:rsid w:val="0027257C"/>
    <w:rsid w:val="002729E2"/>
    <w:rsid w:val="00272A43"/>
    <w:rsid w:val="00272BD5"/>
    <w:rsid w:val="00272C86"/>
    <w:rsid w:val="00272CF5"/>
    <w:rsid w:val="00273000"/>
    <w:rsid w:val="00273A9F"/>
    <w:rsid w:val="00273BE8"/>
    <w:rsid w:val="0027469B"/>
    <w:rsid w:val="00275361"/>
    <w:rsid w:val="00275842"/>
    <w:rsid w:val="00275A98"/>
    <w:rsid w:val="0027644B"/>
    <w:rsid w:val="00276DB1"/>
    <w:rsid w:val="00277277"/>
    <w:rsid w:val="00277E89"/>
    <w:rsid w:val="002801F1"/>
    <w:rsid w:val="00281AA1"/>
    <w:rsid w:val="00281E3B"/>
    <w:rsid w:val="00282852"/>
    <w:rsid w:val="00283144"/>
    <w:rsid w:val="0028328F"/>
    <w:rsid w:val="002843B8"/>
    <w:rsid w:val="0028445A"/>
    <w:rsid w:val="002847DF"/>
    <w:rsid w:val="002848AD"/>
    <w:rsid w:val="002853B4"/>
    <w:rsid w:val="00285C47"/>
    <w:rsid w:val="00285D1E"/>
    <w:rsid w:val="002860AF"/>
    <w:rsid w:val="0028653C"/>
    <w:rsid w:val="002865FF"/>
    <w:rsid w:val="00287404"/>
    <w:rsid w:val="002903ED"/>
    <w:rsid w:val="00290777"/>
    <w:rsid w:val="0029095C"/>
    <w:rsid w:val="002912D2"/>
    <w:rsid w:val="00291A22"/>
    <w:rsid w:val="00291A74"/>
    <w:rsid w:val="00291EC5"/>
    <w:rsid w:val="00292B9B"/>
    <w:rsid w:val="00292FB5"/>
    <w:rsid w:val="0029345B"/>
    <w:rsid w:val="002934EF"/>
    <w:rsid w:val="0029417B"/>
    <w:rsid w:val="0029590F"/>
    <w:rsid w:val="00297BA9"/>
    <w:rsid w:val="002A0011"/>
    <w:rsid w:val="002A0574"/>
    <w:rsid w:val="002A11B5"/>
    <w:rsid w:val="002A1288"/>
    <w:rsid w:val="002A193C"/>
    <w:rsid w:val="002A19EF"/>
    <w:rsid w:val="002A226E"/>
    <w:rsid w:val="002A2574"/>
    <w:rsid w:val="002A29BF"/>
    <w:rsid w:val="002A3BD5"/>
    <w:rsid w:val="002A41A1"/>
    <w:rsid w:val="002A60FD"/>
    <w:rsid w:val="002A6536"/>
    <w:rsid w:val="002A6AE3"/>
    <w:rsid w:val="002A73BC"/>
    <w:rsid w:val="002A7484"/>
    <w:rsid w:val="002A7F14"/>
    <w:rsid w:val="002B0ACF"/>
    <w:rsid w:val="002B1676"/>
    <w:rsid w:val="002B1746"/>
    <w:rsid w:val="002B2722"/>
    <w:rsid w:val="002B29D2"/>
    <w:rsid w:val="002B4C8F"/>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6EE8"/>
    <w:rsid w:val="002C740F"/>
    <w:rsid w:val="002C78AC"/>
    <w:rsid w:val="002C7F73"/>
    <w:rsid w:val="002D0661"/>
    <w:rsid w:val="002D0FD4"/>
    <w:rsid w:val="002D1281"/>
    <w:rsid w:val="002D12CF"/>
    <w:rsid w:val="002D17B4"/>
    <w:rsid w:val="002D1AD0"/>
    <w:rsid w:val="002D2B58"/>
    <w:rsid w:val="002D3E86"/>
    <w:rsid w:val="002D42AA"/>
    <w:rsid w:val="002D42B7"/>
    <w:rsid w:val="002D53BF"/>
    <w:rsid w:val="002D62FE"/>
    <w:rsid w:val="002D64BE"/>
    <w:rsid w:val="002D695B"/>
    <w:rsid w:val="002D70DC"/>
    <w:rsid w:val="002D711E"/>
    <w:rsid w:val="002D7E79"/>
    <w:rsid w:val="002E0C3E"/>
    <w:rsid w:val="002E0C53"/>
    <w:rsid w:val="002E10C1"/>
    <w:rsid w:val="002E1D5F"/>
    <w:rsid w:val="002E320A"/>
    <w:rsid w:val="002E3AE2"/>
    <w:rsid w:val="002E3B10"/>
    <w:rsid w:val="002E512D"/>
    <w:rsid w:val="002E575E"/>
    <w:rsid w:val="002E6872"/>
    <w:rsid w:val="002F07CC"/>
    <w:rsid w:val="002F0A00"/>
    <w:rsid w:val="002F0FAB"/>
    <w:rsid w:val="002F17D6"/>
    <w:rsid w:val="002F1D80"/>
    <w:rsid w:val="002F1D94"/>
    <w:rsid w:val="002F2602"/>
    <w:rsid w:val="002F2610"/>
    <w:rsid w:val="002F2B4C"/>
    <w:rsid w:val="002F2BDA"/>
    <w:rsid w:val="002F3370"/>
    <w:rsid w:val="002F3878"/>
    <w:rsid w:val="002F4AB0"/>
    <w:rsid w:val="002F53FA"/>
    <w:rsid w:val="002F5970"/>
    <w:rsid w:val="002F6581"/>
    <w:rsid w:val="002F6E08"/>
    <w:rsid w:val="002F6FDD"/>
    <w:rsid w:val="002F7373"/>
    <w:rsid w:val="0030090C"/>
    <w:rsid w:val="00300B15"/>
    <w:rsid w:val="00301519"/>
    <w:rsid w:val="00301B34"/>
    <w:rsid w:val="00301F9F"/>
    <w:rsid w:val="003023F9"/>
    <w:rsid w:val="0030269B"/>
    <w:rsid w:val="00303218"/>
    <w:rsid w:val="003032F4"/>
    <w:rsid w:val="00303369"/>
    <w:rsid w:val="00304697"/>
    <w:rsid w:val="003047F5"/>
    <w:rsid w:val="00304C2F"/>
    <w:rsid w:val="0030678C"/>
    <w:rsid w:val="00306848"/>
    <w:rsid w:val="00306AFC"/>
    <w:rsid w:val="00306F6E"/>
    <w:rsid w:val="00307463"/>
    <w:rsid w:val="00307605"/>
    <w:rsid w:val="003107BB"/>
    <w:rsid w:val="00310B86"/>
    <w:rsid w:val="003110CD"/>
    <w:rsid w:val="003124B0"/>
    <w:rsid w:val="00312AC0"/>
    <w:rsid w:val="00313D5A"/>
    <w:rsid w:val="0031420F"/>
    <w:rsid w:val="00314214"/>
    <w:rsid w:val="0031473E"/>
    <w:rsid w:val="00314A96"/>
    <w:rsid w:val="00315117"/>
    <w:rsid w:val="003155DB"/>
    <w:rsid w:val="00315B22"/>
    <w:rsid w:val="00315F1C"/>
    <w:rsid w:val="0031621D"/>
    <w:rsid w:val="0031625C"/>
    <w:rsid w:val="00317027"/>
    <w:rsid w:val="003176D9"/>
    <w:rsid w:val="00317B78"/>
    <w:rsid w:val="0032081A"/>
    <w:rsid w:val="00321B40"/>
    <w:rsid w:val="003226BB"/>
    <w:rsid w:val="003231FA"/>
    <w:rsid w:val="00323522"/>
    <w:rsid w:val="0032375C"/>
    <w:rsid w:val="0032383C"/>
    <w:rsid w:val="00323FBF"/>
    <w:rsid w:val="00327FC7"/>
    <w:rsid w:val="003305F1"/>
    <w:rsid w:val="00330D91"/>
    <w:rsid w:val="003311B9"/>
    <w:rsid w:val="00332671"/>
    <w:rsid w:val="00332BDC"/>
    <w:rsid w:val="00332CB1"/>
    <w:rsid w:val="00332EA7"/>
    <w:rsid w:val="00332FDD"/>
    <w:rsid w:val="003333BD"/>
    <w:rsid w:val="0033353C"/>
    <w:rsid w:val="00334E75"/>
    <w:rsid w:val="0033510C"/>
    <w:rsid w:val="00335544"/>
    <w:rsid w:val="00337A9F"/>
    <w:rsid w:val="00337C6B"/>
    <w:rsid w:val="00340210"/>
    <w:rsid w:val="0034209E"/>
    <w:rsid w:val="0034245F"/>
    <w:rsid w:val="00342879"/>
    <w:rsid w:val="0034416F"/>
    <w:rsid w:val="003456CF"/>
    <w:rsid w:val="00346AA5"/>
    <w:rsid w:val="00347638"/>
    <w:rsid w:val="00347C84"/>
    <w:rsid w:val="00347D06"/>
    <w:rsid w:val="00351233"/>
    <w:rsid w:val="00351DC4"/>
    <w:rsid w:val="0035293F"/>
    <w:rsid w:val="0035346E"/>
    <w:rsid w:val="00354461"/>
    <w:rsid w:val="00354C05"/>
    <w:rsid w:val="00354F34"/>
    <w:rsid w:val="003554AC"/>
    <w:rsid w:val="00355DE6"/>
    <w:rsid w:val="0035603D"/>
    <w:rsid w:val="00356430"/>
    <w:rsid w:val="00357437"/>
    <w:rsid w:val="003604E2"/>
    <w:rsid w:val="003606FA"/>
    <w:rsid w:val="003609B6"/>
    <w:rsid w:val="003618C8"/>
    <w:rsid w:val="00361F9F"/>
    <w:rsid w:val="003627E5"/>
    <w:rsid w:val="00362C0C"/>
    <w:rsid w:val="003638AE"/>
    <w:rsid w:val="0036397A"/>
    <w:rsid w:val="00363B18"/>
    <w:rsid w:val="00363C44"/>
    <w:rsid w:val="00364E28"/>
    <w:rsid w:val="00364EB1"/>
    <w:rsid w:val="00364EF0"/>
    <w:rsid w:val="003659C1"/>
    <w:rsid w:val="00366660"/>
    <w:rsid w:val="0036796E"/>
    <w:rsid w:val="00367C27"/>
    <w:rsid w:val="00370055"/>
    <w:rsid w:val="00371359"/>
    <w:rsid w:val="003719AB"/>
    <w:rsid w:val="00372407"/>
    <w:rsid w:val="00375252"/>
    <w:rsid w:val="0037545D"/>
    <w:rsid w:val="003757D7"/>
    <w:rsid w:val="00375C59"/>
    <w:rsid w:val="00375FBC"/>
    <w:rsid w:val="003760EC"/>
    <w:rsid w:val="003762EB"/>
    <w:rsid w:val="0037630E"/>
    <w:rsid w:val="003770D7"/>
    <w:rsid w:val="00377B83"/>
    <w:rsid w:val="00377EC4"/>
    <w:rsid w:val="00380102"/>
    <w:rsid w:val="003801BF"/>
    <w:rsid w:val="00380A8C"/>
    <w:rsid w:val="00380B1D"/>
    <w:rsid w:val="00383DC8"/>
    <w:rsid w:val="00384848"/>
    <w:rsid w:val="00384D26"/>
    <w:rsid w:val="00385111"/>
    <w:rsid w:val="0038598E"/>
    <w:rsid w:val="00385BBF"/>
    <w:rsid w:val="00387094"/>
    <w:rsid w:val="00387808"/>
    <w:rsid w:val="003905FB"/>
    <w:rsid w:val="00390717"/>
    <w:rsid w:val="00390798"/>
    <w:rsid w:val="00390B29"/>
    <w:rsid w:val="003913EC"/>
    <w:rsid w:val="00392DD6"/>
    <w:rsid w:val="00393EB3"/>
    <w:rsid w:val="003941EE"/>
    <w:rsid w:val="00394C9E"/>
    <w:rsid w:val="00394F49"/>
    <w:rsid w:val="00395965"/>
    <w:rsid w:val="0039654D"/>
    <w:rsid w:val="00396B20"/>
    <w:rsid w:val="00397836"/>
    <w:rsid w:val="00397C43"/>
    <w:rsid w:val="00397DF8"/>
    <w:rsid w:val="00397FCD"/>
    <w:rsid w:val="003A098F"/>
    <w:rsid w:val="003A0CE3"/>
    <w:rsid w:val="003A1DDD"/>
    <w:rsid w:val="003A2297"/>
    <w:rsid w:val="003A2907"/>
    <w:rsid w:val="003A315B"/>
    <w:rsid w:val="003A473E"/>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C99"/>
    <w:rsid w:val="003B4623"/>
    <w:rsid w:val="003B4898"/>
    <w:rsid w:val="003B53C3"/>
    <w:rsid w:val="003B548E"/>
    <w:rsid w:val="003B56E0"/>
    <w:rsid w:val="003B5B98"/>
    <w:rsid w:val="003B5C7E"/>
    <w:rsid w:val="003B5D12"/>
    <w:rsid w:val="003B5E91"/>
    <w:rsid w:val="003B643B"/>
    <w:rsid w:val="003B6848"/>
    <w:rsid w:val="003B6CBF"/>
    <w:rsid w:val="003B77EE"/>
    <w:rsid w:val="003B7BC9"/>
    <w:rsid w:val="003B7D55"/>
    <w:rsid w:val="003C2213"/>
    <w:rsid w:val="003C22BC"/>
    <w:rsid w:val="003C2748"/>
    <w:rsid w:val="003C2B1E"/>
    <w:rsid w:val="003C3003"/>
    <w:rsid w:val="003C3678"/>
    <w:rsid w:val="003C3BE6"/>
    <w:rsid w:val="003C5C8F"/>
    <w:rsid w:val="003C665D"/>
    <w:rsid w:val="003C690D"/>
    <w:rsid w:val="003C71FA"/>
    <w:rsid w:val="003D087C"/>
    <w:rsid w:val="003D0EDB"/>
    <w:rsid w:val="003D1D45"/>
    <w:rsid w:val="003D33B2"/>
    <w:rsid w:val="003D3933"/>
    <w:rsid w:val="003D3DC0"/>
    <w:rsid w:val="003D4016"/>
    <w:rsid w:val="003D42EF"/>
    <w:rsid w:val="003D549A"/>
    <w:rsid w:val="003D6086"/>
    <w:rsid w:val="003D66FF"/>
    <w:rsid w:val="003D6A08"/>
    <w:rsid w:val="003D7546"/>
    <w:rsid w:val="003D7D63"/>
    <w:rsid w:val="003E0672"/>
    <w:rsid w:val="003E0913"/>
    <w:rsid w:val="003E0CB2"/>
    <w:rsid w:val="003E0E16"/>
    <w:rsid w:val="003E1844"/>
    <w:rsid w:val="003E193B"/>
    <w:rsid w:val="003E1FE4"/>
    <w:rsid w:val="003E2309"/>
    <w:rsid w:val="003E416B"/>
    <w:rsid w:val="003E468E"/>
    <w:rsid w:val="003E49F2"/>
    <w:rsid w:val="003E4F77"/>
    <w:rsid w:val="003E4F9A"/>
    <w:rsid w:val="003E6346"/>
    <w:rsid w:val="003E748B"/>
    <w:rsid w:val="003E7522"/>
    <w:rsid w:val="003E75E6"/>
    <w:rsid w:val="003E77E1"/>
    <w:rsid w:val="003F04B7"/>
    <w:rsid w:val="003F0879"/>
    <w:rsid w:val="003F1604"/>
    <w:rsid w:val="003F34B7"/>
    <w:rsid w:val="003F35E2"/>
    <w:rsid w:val="003F3A9D"/>
    <w:rsid w:val="003F3E89"/>
    <w:rsid w:val="003F47EB"/>
    <w:rsid w:val="003F5659"/>
    <w:rsid w:val="003F5CE3"/>
    <w:rsid w:val="003F6D7B"/>
    <w:rsid w:val="003F7796"/>
    <w:rsid w:val="003F7CD2"/>
    <w:rsid w:val="003F7D5C"/>
    <w:rsid w:val="003F7EEB"/>
    <w:rsid w:val="00402045"/>
    <w:rsid w:val="00402214"/>
    <w:rsid w:val="0040228A"/>
    <w:rsid w:val="00402557"/>
    <w:rsid w:val="004026EC"/>
    <w:rsid w:val="00403129"/>
    <w:rsid w:val="004039FF"/>
    <w:rsid w:val="00403D14"/>
    <w:rsid w:val="004061FD"/>
    <w:rsid w:val="0040620C"/>
    <w:rsid w:val="004069A0"/>
    <w:rsid w:val="00406A38"/>
    <w:rsid w:val="00410AAF"/>
    <w:rsid w:val="004117A0"/>
    <w:rsid w:val="004119EA"/>
    <w:rsid w:val="00411E37"/>
    <w:rsid w:val="00413209"/>
    <w:rsid w:val="004137AA"/>
    <w:rsid w:val="00414579"/>
    <w:rsid w:val="00414897"/>
    <w:rsid w:val="00415AA8"/>
    <w:rsid w:val="00415C88"/>
    <w:rsid w:val="004173A1"/>
    <w:rsid w:val="004202CC"/>
    <w:rsid w:val="00420CA3"/>
    <w:rsid w:val="0042118A"/>
    <w:rsid w:val="0042191D"/>
    <w:rsid w:val="00423552"/>
    <w:rsid w:val="00423DAE"/>
    <w:rsid w:val="004249E2"/>
    <w:rsid w:val="00424AE3"/>
    <w:rsid w:val="00425178"/>
    <w:rsid w:val="00425BC5"/>
    <w:rsid w:val="00425FAE"/>
    <w:rsid w:val="004265CD"/>
    <w:rsid w:val="00427A1C"/>
    <w:rsid w:val="00427B3C"/>
    <w:rsid w:val="00427D22"/>
    <w:rsid w:val="00427D57"/>
    <w:rsid w:val="00430941"/>
    <w:rsid w:val="00430A2E"/>
    <w:rsid w:val="0043182C"/>
    <w:rsid w:val="00431860"/>
    <w:rsid w:val="00431C77"/>
    <w:rsid w:val="00433284"/>
    <w:rsid w:val="00433858"/>
    <w:rsid w:val="004338DA"/>
    <w:rsid w:val="004338F5"/>
    <w:rsid w:val="00433C43"/>
    <w:rsid w:val="00433E80"/>
    <w:rsid w:val="00436142"/>
    <w:rsid w:val="00436B9F"/>
    <w:rsid w:val="00437ECC"/>
    <w:rsid w:val="004403B8"/>
    <w:rsid w:val="004405F3"/>
    <w:rsid w:val="0044095E"/>
    <w:rsid w:val="00440C3A"/>
    <w:rsid w:val="004418DD"/>
    <w:rsid w:val="00441D49"/>
    <w:rsid w:val="00442009"/>
    <w:rsid w:val="004422C7"/>
    <w:rsid w:val="0044259C"/>
    <w:rsid w:val="00442BB8"/>
    <w:rsid w:val="00442E50"/>
    <w:rsid w:val="0044335F"/>
    <w:rsid w:val="00444525"/>
    <w:rsid w:val="00444A4A"/>
    <w:rsid w:val="00444AB7"/>
    <w:rsid w:val="00446DC3"/>
    <w:rsid w:val="0044738C"/>
    <w:rsid w:val="00447D16"/>
    <w:rsid w:val="00451055"/>
    <w:rsid w:val="00451DE0"/>
    <w:rsid w:val="00451EE2"/>
    <w:rsid w:val="00452FDB"/>
    <w:rsid w:val="0045304C"/>
    <w:rsid w:val="00453252"/>
    <w:rsid w:val="00453E1A"/>
    <w:rsid w:val="00454744"/>
    <w:rsid w:val="00454EB6"/>
    <w:rsid w:val="00455604"/>
    <w:rsid w:val="00455A5D"/>
    <w:rsid w:val="00455B7A"/>
    <w:rsid w:val="00456998"/>
    <w:rsid w:val="00460414"/>
    <w:rsid w:val="00460541"/>
    <w:rsid w:val="00461638"/>
    <w:rsid w:val="00462B4F"/>
    <w:rsid w:val="00462C3C"/>
    <w:rsid w:val="00462D9E"/>
    <w:rsid w:val="00463CE2"/>
    <w:rsid w:val="00464945"/>
    <w:rsid w:val="00465A14"/>
    <w:rsid w:val="004669ED"/>
    <w:rsid w:val="004700DF"/>
    <w:rsid w:val="00470326"/>
    <w:rsid w:val="00471A2F"/>
    <w:rsid w:val="004723FD"/>
    <w:rsid w:val="00472B12"/>
    <w:rsid w:val="004736C8"/>
    <w:rsid w:val="00475E28"/>
    <w:rsid w:val="004760D4"/>
    <w:rsid w:val="004768CD"/>
    <w:rsid w:val="00477407"/>
    <w:rsid w:val="00477E8C"/>
    <w:rsid w:val="004800C3"/>
    <w:rsid w:val="004807CC"/>
    <w:rsid w:val="004809B0"/>
    <w:rsid w:val="004809BF"/>
    <w:rsid w:val="00480C1F"/>
    <w:rsid w:val="004810BA"/>
    <w:rsid w:val="0048117C"/>
    <w:rsid w:val="00481358"/>
    <w:rsid w:val="00481A09"/>
    <w:rsid w:val="00481D0C"/>
    <w:rsid w:val="00483B9F"/>
    <w:rsid w:val="004844C6"/>
    <w:rsid w:val="00484B6A"/>
    <w:rsid w:val="00484EF7"/>
    <w:rsid w:val="00486F52"/>
    <w:rsid w:val="00490B76"/>
    <w:rsid w:val="00491039"/>
    <w:rsid w:val="00491B2E"/>
    <w:rsid w:val="00491C57"/>
    <w:rsid w:val="00491DEC"/>
    <w:rsid w:val="004920C0"/>
    <w:rsid w:val="004922D7"/>
    <w:rsid w:val="00492524"/>
    <w:rsid w:val="00492B33"/>
    <w:rsid w:val="00493045"/>
    <w:rsid w:val="00493277"/>
    <w:rsid w:val="0049338B"/>
    <w:rsid w:val="004933EA"/>
    <w:rsid w:val="00494A1C"/>
    <w:rsid w:val="00494D36"/>
    <w:rsid w:val="004953C2"/>
    <w:rsid w:val="00495E68"/>
    <w:rsid w:val="004965A9"/>
    <w:rsid w:val="0049662C"/>
    <w:rsid w:val="004968FE"/>
    <w:rsid w:val="004970DD"/>
    <w:rsid w:val="0049747A"/>
    <w:rsid w:val="00497905"/>
    <w:rsid w:val="00497E84"/>
    <w:rsid w:val="004A01B1"/>
    <w:rsid w:val="004A0273"/>
    <w:rsid w:val="004A15EF"/>
    <w:rsid w:val="004A2C1E"/>
    <w:rsid w:val="004A3155"/>
    <w:rsid w:val="004A33E7"/>
    <w:rsid w:val="004A37F2"/>
    <w:rsid w:val="004A401A"/>
    <w:rsid w:val="004A4E00"/>
    <w:rsid w:val="004A6491"/>
    <w:rsid w:val="004A73B7"/>
    <w:rsid w:val="004A771C"/>
    <w:rsid w:val="004B0B15"/>
    <w:rsid w:val="004B3072"/>
    <w:rsid w:val="004B366C"/>
    <w:rsid w:val="004B4B77"/>
    <w:rsid w:val="004B4CAD"/>
    <w:rsid w:val="004B558C"/>
    <w:rsid w:val="004B5683"/>
    <w:rsid w:val="004B5A9D"/>
    <w:rsid w:val="004B5F42"/>
    <w:rsid w:val="004B61FD"/>
    <w:rsid w:val="004B7784"/>
    <w:rsid w:val="004C014F"/>
    <w:rsid w:val="004C16D9"/>
    <w:rsid w:val="004C201C"/>
    <w:rsid w:val="004C282A"/>
    <w:rsid w:val="004C2E04"/>
    <w:rsid w:val="004C36D4"/>
    <w:rsid w:val="004C3AE2"/>
    <w:rsid w:val="004C405D"/>
    <w:rsid w:val="004C43BF"/>
    <w:rsid w:val="004C48C1"/>
    <w:rsid w:val="004C6182"/>
    <w:rsid w:val="004C639D"/>
    <w:rsid w:val="004C645A"/>
    <w:rsid w:val="004C6F19"/>
    <w:rsid w:val="004D003D"/>
    <w:rsid w:val="004D2953"/>
    <w:rsid w:val="004D4241"/>
    <w:rsid w:val="004D457E"/>
    <w:rsid w:val="004D4ED1"/>
    <w:rsid w:val="004D522E"/>
    <w:rsid w:val="004D56FF"/>
    <w:rsid w:val="004D6912"/>
    <w:rsid w:val="004D6A6B"/>
    <w:rsid w:val="004E01EC"/>
    <w:rsid w:val="004E0408"/>
    <w:rsid w:val="004E16B9"/>
    <w:rsid w:val="004E1ADF"/>
    <w:rsid w:val="004E1B6A"/>
    <w:rsid w:val="004E239B"/>
    <w:rsid w:val="004E2C86"/>
    <w:rsid w:val="004E3C99"/>
    <w:rsid w:val="004E42AE"/>
    <w:rsid w:val="004E4A0B"/>
    <w:rsid w:val="004E4C2A"/>
    <w:rsid w:val="004E4C57"/>
    <w:rsid w:val="004E62CE"/>
    <w:rsid w:val="004E7133"/>
    <w:rsid w:val="004E769F"/>
    <w:rsid w:val="004E79B5"/>
    <w:rsid w:val="004F1377"/>
    <w:rsid w:val="004F20D8"/>
    <w:rsid w:val="004F29F8"/>
    <w:rsid w:val="004F2A23"/>
    <w:rsid w:val="004F2C3F"/>
    <w:rsid w:val="004F37D5"/>
    <w:rsid w:val="004F419C"/>
    <w:rsid w:val="004F495D"/>
    <w:rsid w:val="004F5C38"/>
    <w:rsid w:val="004F5D9A"/>
    <w:rsid w:val="004F602B"/>
    <w:rsid w:val="004F65E9"/>
    <w:rsid w:val="004F6667"/>
    <w:rsid w:val="004F6A7F"/>
    <w:rsid w:val="0050002B"/>
    <w:rsid w:val="005008E9"/>
    <w:rsid w:val="00500D5A"/>
    <w:rsid w:val="00500D83"/>
    <w:rsid w:val="00501F16"/>
    <w:rsid w:val="005028C8"/>
    <w:rsid w:val="00503367"/>
    <w:rsid w:val="00503940"/>
    <w:rsid w:val="00503F06"/>
    <w:rsid w:val="005040D9"/>
    <w:rsid w:val="005055E5"/>
    <w:rsid w:val="00505717"/>
    <w:rsid w:val="005059CC"/>
    <w:rsid w:val="00510259"/>
    <w:rsid w:val="0051068B"/>
    <w:rsid w:val="00511132"/>
    <w:rsid w:val="00511323"/>
    <w:rsid w:val="00511948"/>
    <w:rsid w:val="00512102"/>
    <w:rsid w:val="005121F8"/>
    <w:rsid w:val="00513E8F"/>
    <w:rsid w:val="0051531A"/>
    <w:rsid w:val="0051568C"/>
    <w:rsid w:val="00515FBD"/>
    <w:rsid w:val="00516C30"/>
    <w:rsid w:val="0052017D"/>
    <w:rsid w:val="00520C96"/>
    <w:rsid w:val="00520E9A"/>
    <w:rsid w:val="005240F4"/>
    <w:rsid w:val="00524556"/>
    <w:rsid w:val="00524EE1"/>
    <w:rsid w:val="00525003"/>
    <w:rsid w:val="0052523B"/>
    <w:rsid w:val="005253A7"/>
    <w:rsid w:val="00525924"/>
    <w:rsid w:val="005261F5"/>
    <w:rsid w:val="0052625B"/>
    <w:rsid w:val="005264EF"/>
    <w:rsid w:val="00526A35"/>
    <w:rsid w:val="00526EEE"/>
    <w:rsid w:val="00530123"/>
    <w:rsid w:val="00530E5F"/>
    <w:rsid w:val="005310BF"/>
    <w:rsid w:val="005310ED"/>
    <w:rsid w:val="005312DD"/>
    <w:rsid w:val="005316B9"/>
    <w:rsid w:val="005317B2"/>
    <w:rsid w:val="005317C9"/>
    <w:rsid w:val="0053198C"/>
    <w:rsid w:val="00532472"/>
    <w:rsid w:val="00532A21"/>
    <w:rsid w:val="00532EF8"/>
    <w:rsid w:val="00533902"/>
    <w:rsid w:val="0053393F"/>
    <w:rsid w:val="00533C4D"/>
    <w:rsid w:val="0053409F"/>
    <w:rsid w:val="005341F2"/>
    <w:rsid w:val="005343ED"/>
    <w:rsid w:val="00534CD1"/>
    <w:rsid w:val="005352A6"/>
    <w:rsid w:val="00536061"/>
    <w:rsid w:val="00536703"/>
    <w:rsid w:val="00536EE4"/>
    <w:rsid w:val="00537A00"/>
    <w:rsid w:val="00542C4D"/>
    <w:rsid w:val="00542C6C"/>
    <w:rsid w:val="005434CB"/>
    <w:rsid w:val="0054356D"/>
    <w:rsid w:val="00544FDF"/>
    <w:rsid w:val="00545ECF"/>
    <w:rsid w:val="005461E0"/>
    <w:rsid w:val="00550BB4"/>
    <w:rsid w:val="00551785"/>
    <w:rsid w:val="00552938"/>
    <w:rsid w:val="00553345"/>
    <w:rsid w:val="005539AB"/>
    <w:rsid w:val="00553A28"/>
    <w:rsid w:val="0055630F"/>
    <w:rsid w:val="00556424"/>
    <w:rsid w:val="005567C8"/>
    <w:rsid w:val="00556915"/>
    <w:rsid w:val="00556BE2"/>
    <w:rsid w:val="00557349"/>
    <w:rsid w:val="00560810"/>
    <w:rsid w:val="0056130E"/>
    <w:rsid w:val="00561A30"/>
    <w:rsid w:val="00561A54"/>
    <w:rsid w:val="00561F4E"/>
    <w:rsid w:val="0056230B"/>
    <w:rsid w:val="00562E82"/>
    <w:rsid w:val="00562F99"/>
    <w:rsid w:val="005637E1"/>
    <w:rsid w:val="00564007"/>
    <w:rsid w:val="005642F3"/>
    <w:rsid w:val="00565F1B"/>
    <w:rsid w:val="00567599"/>
    <w:rsid w:val="00570723"/>
    <w:rsid w:val="00570E15"/>
    <w:rsid w:val="00571ECA"/>
    <w:rsid w:val="005723C1"/>
    <w:rsid w:val="00572870"/>
    <w:rsid w:val="0057316A"/>
    <w:rsid w:val="00573E42"/>
    <w:rsid w:val="00575224"/>
    <w:rsid w:val="005762EF"/>
    <w:rsid w:val="00576999"/>
    <w:rsid w:val="005769D7"/>
    <w:rsid w:val="00576B1D"/>
    <w:rsid w:val="00577595"/>
    <w:rsid w:val="005809B1"/>
    <w:rsid w:val="005811AC"/>
    <w:rsid w:val="0058148E"/>
    <w:rsid w:val="00581A0A"/>
    <w:rsid w:val="005825CF"/>
    <w:rsid w:val="00582C8E"/>
    <w:rsid w:val="00582FB6"/>
    <w:rsid w:val="00583922"/>
    <w:rsid w:val="00583A3D"/>
    <w:rsid w:val="00583A3E"/>
    <w:rsid w:val="005843ED"/>
    <w:rsid w:val="00584494"/>
    <w:rsid w:val="00584906"/>
    <w:rsid w:val="005857AC"/>
    <w:rsid w:val="0058591B"/>
    <w:rsid w:val="00586790"/>
    <w:rsid w:val="005901E2"/>
    <w:rsid w:val="00590693"/>
    <w:rsid w:val="0059083C"/>
    <w:rsid w:val="00590965"/>
    <w:rsid w:val="00590AA7"/>
    <w:rsid w:val="00590B5F"/>
    <w:rsid w:val="00590C8B"/>
    <w:rsid w:val="00591597"/>
    <w:rsid w:val="005919DF"/>
    <w:rsid w:val="005926A5"/>
    <w:rsid w:val="00593CC0"/>
    <w:rsid w:val="005956E9"/>
    <w:rsid w:val="005974CD"/>
    <w:rsid w:val="005979AC"/>
    <w:rsid w:val="00597CE2"/>
    <w:rsid w:val="005A0331"/>
    <w:rsid w:val="005A1A60"/>
    <w:rsid w:val="005A1AD5"/>
    <w:rsid w:val="005A2B45"/>
    <w:rsid w:val="005A3BBB"/>
    <w:rsid w:val="005A4122"/>
    <w:rsid w:val="005A4E3A"/>
    <w:rsid w:val="005A52F0"/>
    <w:rsid w:val="005A57D5"/>
    <w:rsid w:val="005A6073"/>
    <w:rsid w:val="005A655E"/>
    <w:rsid w:val="005A6976"/>
    <w:rsid w:val="005A774B"/>
    <w:rsid w:val="005B1DCA"/>
    <w:rsid w:val="005B2F28"/>
    <w:rsid w:val="005B355A"/>
    <w:rsid w:val="005B41E7"/>
    <w:rsid w:val="005B47B6"/>
    <w:rsid w:val="005B5230"/>
    <w:rsid w:val="005B551A"/>
    <w:rsid w:val="005B617C"/>
    <w:rsid w:val="005B7510"/>
    <w:rsid w:val="005B7787"/>
    <w:rsid w:val="005C0412"/>
    <w:rsid w:val="005C122A"/>
    <w:rsid w:val="005C18FB"/>
    <w:rsid w:val="005C4282"/>
    <w:rsid w:val="005C49B8"/>
    <w:rsid w:val="005C4A5B"/>
    <w:rsid w:val="005C4BAF"/>
    <w:rsid w:val="005C522F"/>
    <w:rsid w:val="005C5832"/>
    <w:rsid w:val="005C61CA"/>
    <w:rsid w:val="005C7466"/>
    <w:rsid w:val="005C774B"/>
    <w:rsid w:val="005D0268"/>
    <w:rsid w:val="005D06AC"/>
    <w:rsid w:val="005D09D4"/>
    <w:rsid w:val="005D0DF6"/>
    <w:rsid w:val="005D2868"/>
    <w:rsid w:val="005D3021"/>
    <w:rsid w:val="005D5AB9"/>
    <w:rsid w:val="005D6596"/>
    <w:rsid w:val="005D7279"/>
    <w:rsid w:val="005D7851"/>
    <w:rsid w:val="005E04D7"/>
    <w:rsid w:val="005E13B8"/>
    <w:rsid w:val="005E1B54"/>
    <w:rsid w:val="005E217D"/>
    <w:rsid w:val="005E2285"/>
    <w:rsid w:val="005E38A1"/>
    <w:rsid w:val="005E3A91"/>
    <w:rsid w:val="005E4966"/>
    <w:rsid w:val="005E5A58"/>
    <w:rsid w:val="005E5D30"/>
    <w:rsid w:val="005E6847"/>
    <w:rsid w:val="005E6B37"/>
    <w:rsid w:val="005E7172"/>
    <w:rsid w:val="005E74D4"/>
    <w:rsid w:val="005E77EA"/>
    <w:rsid w:val="005E7844"/>
    <w:rsid w:val="005E7C6F"/>
    <w:rsid w:val="005F0638"/>
    <w:rsid w:val="005F073C"/>
    <w:rsid w:val="005F1173"/>
    <w:rsid w:val="005F1195"/>
    <w:rsid w:val="005F1AD9"/>
    <w:rsid w:val="005F317A"/>
    <w:rsid w:val="005F386A"/>
    <w:rsid w:val="005F39C9"/>
    <w:rsid w:val="005F4779"/>
    <w:rsid w:val="005F4EEA"/>
    <w:rsid w:val="005F6D88"/>
    <w:rsid w:val="005F75A8"/>
    <w:rsid w:val="005F7749"/>
    <w:rsid w:val="005F789D"/>
    <w:rsid w:val="005F7C57"/>
    <w:rsid w:val="006001AE"/>
    <w:rsid w:val="00600859"/>
    <w:rsid w:val="006019B1"/>
    <w:rsid w:val="006020D0"/>
    <w:rsid w:val="00602F35"/>
    <w:rsid w:val="006030E8"/>
    <w:rsid w:val="0060411E"/>
    <w:rsid w:val="00604325"/>
    <w:rsid w:val="00604A78"/>
    <w:rsid w:val="00605368"/>
    <w:rsid w:val="006054B7"/>
    <w:rsid w:val="006056CC"/>
    <w:rsid w:val="00605CB7"/>
    <w:rsid w:val="0060685F"/>
    <w:rsid w:val="00610CB8"/>
    <w:rsid w:val="00610D8D"/>
    <w:rsid w:val="00610E1A"/>
    <w:rsid w:val="00610FE7"/>
    <w:rsid w:val="00611F30"/>
    <w:rsid w:val="0061331E"/>
    <w:rsid w:val="00613F62"/>
    <w:rsid w:val="00614581"/>
    <w:rsid w:val="006147E3"/>
    <w:rsid w:val="00614E53"/>
    <w:rsid w:val="006153CB"/>
    <w:rsid w:val="0061596A"/>
    <w:rsid w:val="00616381"/>
    <w:rsid w:val="0061682C"/>
    <w:rsid w:val="00617E9F"/>
    <w:rsid w:val="00621F76"/>
    <w:rsid w:val="006232E1"/>
    <w:rsid w:val="006236C9"/>
    <w:rsid w:val="00623D05"/>
    <w:rsid w:val="00624103"/>
    <w:rsid w:val="0062418D"/>
    <w:rsid w:val="00627234"/>
    <w:rsid w:val="00627CC9"/>
    <w:rsid w:val="006309BB"/>
    <w:rsid w:val="00630A99"/>
    <w:rsid w:val="00631EEB"/>
    <w:rsid w:val="00631EFF"/>
    <w:rsid w:val="006331A7"/>
    <w:rsid w:val="00634EA1"/>
    <w:rsid w:val="00635031"/>
    <w:rsid w:val="00635CC5"/>
    <w:rsid w:val="00635F9F"/>
    <w:rsid w:val="006369AB"/>
    <w:rsid w:val="00636A32"/>
    <w:rsid w:val="00636C22"/>
    <w:rsid w:val="00636F41"/>
    <w:rsid w:val="00637CC4"/>
    <w:rsid w:val="0064008B"/>
    <w:rsid w:val="00640106"/>
    <w:rsid w:val="00640920"/>
    <w:rsid w:val="00640A5E"/>
    <w:rsid w:val="006416E8"/>
    <w:rsid w:val="006425E5"/>
    <w:rsid w:val="0064316E"/>
    <w:rsid w:val="006443C9"/>
    <w:rsid w:val="00644C7F"/>
    <w:rsid w:val="006452EF"/>
    <w:rsid w:val="006453CE"/>
    <w:rsid w:val="006453E3"/>
    <w:rsid w:val="00645B64"/>
    <w:rsid w:val="00645B6E"/>
    <w:rsid w:val="006467B1"/>
    <w:rsid w:val="006468EB"/>
    <w:rsid w:val="0064690C"/>
    <w:rsid w:val="006473AC"/>
    <w:rsid w:val="00647B19"/>
    <w:rsid w:val="00647ECE"/>
    <w:rsid w:val="00647FA1"/>
    <w:rsid w:val="00650157"/>
    <w:rsid w:val="00650494"/>
    <w:rsid w:val="00650A49"/>
    <w:rsid w:val="00651FE8"/>
    <w:rsid w:val="00652253"/>
    <w:rsid w:val="0065294D"/>
    <w:rsid w:val="00652BBA"/>
    <w:rsid w:val="00653717"/>
    <w:rsid w:val="00653879"/>
    <w:rsid w:val="00653F34"/>
    <w:rsid w:val="00654435"/>
    <w:rsid w:val="00656144"/>
    <w:rsid w:val="006562BF"/>
    <w:rsid w:val="00657751"/>
    <w:rsid w:val="0066124A"/>
    <w:rsid w:val="00661473"/>
    <w:rsid w:val="00661661"/>
    <w:rsid w:val="00661A7C"/>
    <w:rsid w:val="00661B65"/>
    <w:rsid w:val="00661F02"/>
    <w:rsid w:val="00662AFA"/>
    <w:rsid w:val="00662BAD"/>
    <w:rsid w:val="006639E0"/>
    <w:rsid w:val="006646D3"/>
    <w:rsid w:val="00664A88"/>
    <w:rsid w:val="00664E35"/>
    <w:rsid w:val="00665453"/>
    <w:rsid w:val="00665A79"/>
    <w:rsid w:val="0066604E"/>
    <w:rsid w:val="00666859"/>
    <w:rsid w:val="00666C86"/>
    <w:rsid w:val="00666F5D"/>
    <w:rsid w:val="00667407"/>
    <w:rsid w:val="00667630"/>
    <w:rsid w:val="00667A45"/>
    <w:rsid w:val="00670032"/>
    <w:rsid w:val="00671112"/>
    <w:rsid w:val="00671780"/>
    <w:rsid w:val="00671A2B"/>
    <w:rsid w:val="00671BC3"/>
    <w:rsid w:val="0067257E"/>
    <w:rsid w:val="0067459F"/>
    <w:rsid w:val="00674950"/>
    <w:rsid w:val="006758EE"/>
    <w:rsid w:val="00675D82"/>
    <w:rsid w:val="00676BA1"/>
    <w:rsid w:val="00677702"/>
    <w:rsid w:val="00677DCB"/>
    <w:rsid w:val="00680115"/>
    <w:rsid w:val="0068013A"/>
    <w:rsid w:val="0068211F"/>
    <w:rsid w:val="00682B67"/>
    <w:rsid w:val="00682BA0"/>
    <w:rsid w:val="00682BDD"/>
    <w:rsid w:val="00682F6B"/>
    <w:rsid w:val="006837FA"/>
    <w:rsid w:val="00684878"/>
    <w:rsid w:val="00685D3B"/>
    <w:rsid w:val="0068634B"/>
    <w:rsid w:val="00687035"/>
    <w:rsid w:val="006876A7"/>
    <w:rsid w:val="00687796"/>
    <w:rsid w:val="006908D0"/>
    <w:rsid w:val="00690B5D"/>
    <w:rsid w:val="00690F8D"/>
    <w:rsid w:val="00692049"/>
    <w:rsid w:val="006921A2"/>
    <w:rsid w:val="006925BB"/>
    <w:rsid w:val="006936B3"/>
    <w:rsid w:val="00693EFE"/>
    <w:rsid w:val="00695226"/>
    <w:rsid w:val="00695F74"/>
    <w:rsid w:val="006A0F75"/>
    <w:rsid w:val="006A1367"/>
    <w:rsid w:val="006A1374"/>
    <w:rsid w:val="006A1479"/>
    <w:rsid w:val="006A2886"/>
    <w:rsid w:val="006A3C15"/>
    <w:rsid w:val="006A46BC"/>
    <w:rsid w:val="006A55D3"/>
    <w:rsid w:val="006A5FB5"/>
    <w:rsid w:val="006A72AC"/>
    <w:rsid w:val="006A7A79"/>
    <w:rsid w:val="006A7AB5"/>
    <w:rsid w:val="006B00D4"/>
    <w:rsid w:val="006B019E"/>
    <w:rsid w:val="006B0651"/>
    <w:rsid w:val="006B0A46"/>
    <w:rsid w:val="006B0C26"/>
    <w:rsid w:val="006B0D22"/>
    <w:rsid w:val="006B10B4"/>
    <w:rsid w:val="006B1124"/>
    <w:rsid w:val="006B133D"/>
    <w:rsid w:val="006B1BA3"/>
    <w:rsid w:val="006B1FCF"/>
    <w:rsid w:val="006B2409"/>
    <w:rsid w:val="006B3983"/>
    <w:rsid w:val="006B3B17"/>
    <w:rsid w:val="006B4249"/>
    <w:rsid w:val="006B48A3"/>
    <w:rsid w:val="006B5981"/>
    <w:rsid w:val="006B617F"/>
    <w:rsid w:val="006B621C"/>
    <w:rsid w:val="006B6F2B"/>
    <w:rsid w:val="006B7412"/>
    <w:rsid w:val="006B7564"/>
    <w:rsid w:val="006B7C07"/>
    <w:rsid w:val="006C04C7"/>
    <w:rsid w:val="006C06E9"/>
    <w:rsid w:val="006C0C09"/>
    <w:rsid w:val="006C0FF1"/>
    <w:rsid w:val="006C134F"/>
    <w:rsid w:val="006C137B"/>
    <w:rsid w:val="006C17D8"/>
    <w:rsid w:val="006C1868"/>
    <w:rsid w:val="006C21AD"/>
    <w:rsid w:val="006C24A4"/>
    <w:rsid w:val="006C27E2"/>
    <w:rsid w:val="006C2A71"/>
    <w:rsid w:val="006C3462"/>
    <w:rsid w:val="006C408D"/>
    <w:rsid w:val="006C40B7"/>
    <w:rsid w:val="006C41F7"/>
    <w:rsid w:val="006C4386"/>
    <w:rsid w:val="006C68E5"/>
    <w:rsid w:val="006C756B"/>
    <w:rsid w:val="006C7AC2"/>
    <w:rsid w:val="006D03BF"/>
    <w:rsid w:val="006D0543"/>
    <w:rsid w:val="006D1639"/>
    <w:rsid w:val="006D17B7"/>
    <w:rsid w:val="006D181E"/>
    <w:rsid w:val="006D2594"/>
    <w:rsid w:val="006D390F"/>
    <w:rsid w:val="006D3A31"/>
    <w:rsid w:val="006D4E60"/>
    <w:rsid w:val="006D5FA3"/>
    <w:rsid w:val="006D5FEF"/>
    <w:rsid w:val="006D60D1"/>
    <w:rsid w:val="006D6CE9"/>
    <w:rsid w:val="006D7670"/>
    <w:rsid w:val="006D7676"/>
    <w:rsid w:val="006D7D16"/>
    <w:rsid w:val="006D7E7E"/>
    <w:rsid w:val="006D7EFC"/>
    <w:rsid w:val="006E06D1"/>
    <w:rsid w:val="006E200F"/>
    <w:rsid w:val="006E225F"/>
    <w:rsid w:val="006E26C6"/>
    <w:rsid w:val="006E2834"/>
    <w:rsid w:val="006E2CAA"/>
    <w:rsid w:val="006E2E0C"/>
    <w:rsid w:val="006E303A"/>
    <w:rsid w:val="006E31C6"/>
    <w:rsid w:val="006E33A5"/>
    <w:rsid w:val="006E344D"/>
    <w:rsid w:val="006E37CD"/>
    <w:rsid w:val="006E3C6D"/>
    <w:rsid w:val="006E4013"/>
    <w:rsid w:val="006E41A7"/>
    <w:rsid w:val="006E496C"/>
    <w:rsid w:val="006E67A3"/>
    <w:rsid w:val="006E68BD"/>
    <w:rsid w:val="006E7125"/>
    <w:rsid w:val="006E7367"/>
    <w:rsid w:val="006F0B50"/>
    <w:rsid w:val="006F1467"/>
    <w:rsid w:val="006F18CD"/>
    <w:rsid w:val="006F2022"/>
    <w:rsid w:val="006F2108"/>
    <w:rsid w:val="006F2846"/>
    <w:rsid w:val="006F37B7"/>
    <w:rsid w:val="006F395F"/>
    <w:rsid w:val="006F3A29"/>
    <w:rsid w:val="006F513C"/>
    <w:rsid w:val="006F576D"/>
    <w:rsid w:val="006F5814"/>
    <w:rsid w:val="006F5D3B"/>
    <w:rsid w:val="006F667E"/>
    <w:rsid w:val="006F69CA"/>
    <w:rsid w:val="006F70FF"/>
    <w:rsid w:val="006F71B5"/>
    <w:rsid w:val="006F793C"/>
    <w:rsid w:val="006F79A1"/>
    <w:rsid w:val="007004FB"/>
    <w:rsid w:val="007008AA"/>
    <w:rsid w:val="007016A1"/>
    <w:rsid w:val="00701E0F"/>
    <w:rsid w:val="007041BE"/>
    <w:rsid w:val="007041C1"/>
    <w:rsid w:val="0070429E"/>
    <w:rsid w:val="00704324"/>
    <w:rsid w:val="00705102"/>
    <w:rsid w:val="00705253"/>
    <w:rsid w:val="00705639"/>
    <w:rsid w:val="007062F0"/>
    <w:rsid w:val="00706BB6"/>
    <w:rsid w:val="00710E76"/>
    <w:rsid w:val="00711EB5"/>
    <w:rsid w:val="007136B8"/>
    <w:rsid w:val="0071460C"/>
    <w:rsid w:val="0071474F"/>
    <w:rsid w:val="0071475E"/>
    <w:rsid w:val="00714C0E"/>
    <w:rsid w:val="00715F25"/>
    <w:rsid w:val="007164C8"/>
    <w:rsid w:val="007167D9"/>
    <w:rsid w:val="00717855"/>
    <w:rsid w:val="00717EDA"/>
    <w:rsid w:val="00721A0B"/>
    <w:rsid w:val="007224DA"/>
    <w:rsid w:val="00722D7F"/>
    <w:rsid w:val="00723074"/>
    <w:rsid w:val="00723468"/>
    <w:rsid w:val="00723E75"/>
    <w:rsid w:val="00724ED3"/>
    <w:rsid w:val="00725DD6"/>
    <w:rsid w:val="00726053"/>
    <w:rsid w:val="0072611F"/>
    <w:rsid w:val="007264F9"/>
    <w:rsid w:val="0072663F"/>
    <w:rsid w:val="00726A48"/>
    <w:rsid w:val="0072717D"/>
    <w:rsid w:val="007271C3"/>
    <w:rsid w:val="007302BC"/>
    <w:rsid w:val="00730B63"/>
    <w:rsid w:val="00730B9C"/>
    <w:rsid w:val="00730C66"/>
    <w:rsid w:val="00730EC1"/>
    <w:rsid w:val="00731548"/>
    <w:rsid w:val="0073156E"/>
    <w:rsid w:val="00731712"/>
    <w:rsid w:val="007317FA"/>
    <w:rsid w:val="00731BBF"/>
    <w:rsid w:val="00732238"/>
    <w:rsid w:val="007333EF"/>
    <w:rsid w:val="0073461F"/>
    <w:rsid w:val="00734790"/>
    <w:rsid w:val="00735CF8"/>
    <w:rsid w:val="00735D84"/>
    <w:rsid w:val="00735F4B"/>
    <w:rsid w:val="00736FA6"/>
    <w:rsid w:val="00740A04"/>
    <w:rsid w:val="00740CC0"/>
    <w:rsid w:val="007410BA"/>
    <w:rsid w:val="00741D52"/>
    <w:rsid w:val="0074405C"/>
    <w:rsid w:val="00744130"/>
    <w:rsid w:val="00744ED8"/>
    <w:rsid w:val="00744EDC"/>
    <w:rsid w:val="00745715"/>
    <w:rsid w:val="007463E1"/>
    <w:rsid w:val="00746600"/>
    <w:rsid w:val="00746697"/>
    <w:rsid w:val="00746717"/>
    <w:rsid w:val="00747B83"/>
    <w:rsid w:val="007500D4"/>
    <w:rsid w:val="00750618"/>
    <w:rsid w:val="00750886"/>
    <w:rsid w:val="007513E1"/>
    <w:rsid w:val="0075186F"/>
    <w:rsid w:val="00751E6F"/>
    <w:rsid w:val="007523B3"/>
    <w:rsid w:val="007528EF"/>
    <w:rsid w:val="007528FA"/>
    <w:rsid w:val="00752FAF"/>
    <w:rsid w:val="0075440C"/>
    <w:rsid w:val="00754638"/>
    <w:rsid w:val="00754D1B"/>
    <w:rsid w:val="00757110"/>
    <w:rsid w:val="00757270"/>
    <w:rsid w:val="00757AF5"/>
    <w:rsid w:val="00760692"/>
    <w:rsid w:val="00761849"/>
    <w:rsid w:val="00762E1C"/>
    <w:rsid w:val="007630F4"/>
    <w:rsid w:val="0076354D"/>
    <w:rsid w:val="00763FD7"/>
    <w:rsid w:val="007652DA"/>
    <w:rsid w:val="007652E0"/>
    <w:rsid w:val="0076557C"/>
    <w:rsid w:val="0076579E"/>
    <w:rsid w:val="00765E3E"/>
    <w:rsid w:val="00766512"/>
    <w:rsid w:val="00770491"/>
    <w:rsid w:val="0077091F"/>
    <w:rsid w:val="00772536"/>
    <w:rsid w:val="00772C19"/>
    <w:rsid w:val="00773DF5"/>
    <w:rsid w:val="00774A44"/>
    <w:rsid w:val="00774B0F"/>
    <w:rsid w:val="00774B18"/>
    <w:rsid w:val="00774C16"/>
    <w:rsid w:val="007751D6"/>
    <w:rsid w:val="007754AF"/>
    <w:rsid w:val="00776AAF"/>
    <w:rsid w:val="00776DD3"/>
    <w:rsid w:val="00780A72"/>
    <w:rsid w:val="00780C7B"/>
    <w:rsid w:val="00781282"/>
    <w:rsid w:val="0078134A"/>
    <w:rsid w:val="0078201F"/>
    <w:rsid w:val="00783978"/>
    <w:rsid w:val="00783F89"/>
    <w:rsid w:val="00784A18"/>
    <w:rsid w:val="00784B72"/>
    <w:rsid w:val="007856AB"/>
    <w:rsid w:val="007862AF"/>
    <w:rsid w:val="00786500"/>
    <w:rsid w:val="0078658E"/>
    <w:rsid w:val="0078695D"/>
    <w:rsid w:val="007873B3"/>
    <w:rsid w:val="007922C0"/>
    <w:rsid w:val="00792FFE"/>
    <w:rsid w:val="007934B2"/>
    <w:rsid w:val="0079376F"/>
    <w:rsid w:val="00794242"/>
    <w:rsid w:val="0079538F"/>
    <w:rsid w:val="007953E4"/>
    <w:rsid w:val="00795521"/>
    <w:rsid w:val="0079554C"/>
    <w:rsid w:val="0079628F"/>
    <w:rsid w:val="00796433"/>
    <w:rsid w:val="007964D8"/>
    <w:rsid w:val="00797473"/>
    <w:rsid w:val="007974D9"/>
    <w:rsid w:val="00797C19"/>
    <w:rsid w:val="007A00F2"/>
    <w:rsid w:val="007A0367"/>
    <w:rsid w:val="007A0B9C"/>
    <w:rsid w:val="007A1536"/>
    <w:rsid w:val="007A18F4"/>
    <w:rsid w:val="007A362B"/>
    <w:rsid w:val="007A37DD"/>
    <w:rsid w:val="007A3C7B"/>
    <w:rsid w:val="007A4898"/>
    <w:rsid w:val="007A52C7"/>
    <w:rsid w:val="007A5ADC"/>
    <w:rsid w:val="007A5D36"/>
    <w:rsid w:val="007A7954"/>
    <w:rsid w:val="007A7D2E"/>
    <w:rsid w:val="007B0BE9"/>
    <w:rsid w:val="007B15E2"/>
    <w:rsid w:val="007B17AC"/>
    <w:rsid w:val="007B1D6C"/>
    <w:rsid w:val="007B231B"/>
    <w:rsid w:val="007B2E16"/>
    <w:rsid w:val="007B3226"/>
    <w:rsid w:val="007B33D5"/>
    <w:rsid w:val="007B3D6A"/>
    <w:rsid w:val="007B52C0"/>
    <w:rsid w:val="007B56CE"/>
    <w:rsid w:val="007B6B18"/>
    <w:rsid w:val="007B6FC7"/>
    <w:rsid w:val="007B763F"/>
    <w:rsid w:val="007C0D1D"/>
    <w:rsid w:val="007C0F78"/>
    <w:rsid w:val="007C102A"/>
    <w:rsid w:val="007C1507"/>
    <w:rsid w:val="007C1D9B"/>
    <w:rsid w:val="007C1E8C"/>
    <w:rsid w:val="007C1E9A"/>
    <w:rsid w:val="007C215A"/>
    <w:rsid w:val="007C2733"/>
    <w:rsid w:val="007C2941"/>
    <w:rsid w:val="007C2955"/>
    <w:rsid w:val="007C3701"/>
    <w:rsid w:val="007C43E3"/>
    <w:rsid w:val="007C62A2"/>
    <w:rsid w:val="007C67F3"/>
    <w:rsid w:val="007C74A0"/>
    <w:rsid w:val="007D1E0B"/>
    <w:rsid w:val="007D249F"/>
    <w:rsid w:val="007D375D"/>
    <w:rsid w:val="007D38EA"/>
    <w:rsid w:val="007D4AE6"/>
    <w:rsid w:val="007D5147"/>
    <w:rsid w:val="007D6633"/>
    <w:rsid w:val="007D6C3B"/>
    <w:rsid w:val="007D7C2B"/>
    <w:rsid w:val="007E06AF"/>
    <w:rsid w:val="007E0F5D"/>
    <w:rsid w:val="007E1786"/>
    <w:rsid w:val="007E35B8"/>
    <w:rsid w:val="007E3BA8"/>
    <w:rsid w:val="007E3CFA"/>
    <w:rsid w:val="007E473E"/>
    <w:rsid w:val="007E6143"/>
    <w:rsid w:val="007E691F"/>
    <w:rsid w:val="007E6A35"/>
    <w:rsid w:val="007E726B"/>
    <w:rsid w:val="007E734D"/>
    <w:rsid w:val="007E7828"/>
    <w:rsid w:val="007F0D75"/>
    <w:rsid w:val="007F123C"/>
    <w:rsid w:val="007F2292"/>
    <w:rsid w:val="007F2606"/>
    <w:rsid w:val="007F3168"/>
    <w:rsid w:val="007F327F"/>
    <w:rsid w:val="007F38CC"/>
    <w:rsid w:val="007F41A6"/>
    <w:rsid w:val="007F5586"/>
    <w:rsid w:val="007F60A5"/>
    <w:rsid w:val="007F61F8"/>
    <w:rsid w:val="007F63ED"/>
    <w:rsid w:val="007F6BF0"/>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308"/>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8CE"/>
    <w:rsid w:val="00814E2B"/>
    <w:rsid w:val="00815085"/>
    <w:rsid w:val="0081645B"/>
    <w:rsid w:val="00816C91"/>
    <w:rsid w:val="008203B7"/>
    <w:rsid w:val="008216AC"/>
    <w:rsid w:val="00821BFA"/>
    <w:rsid w:val="00822364"/>
    <w:rsid w:val="008225F2"/>
    <w:rsid w:val="0082296A"/>
    <w:rsid w:val="008236E3"/>
    <w:rsid w:val="00824615"/>
    <w:rsid w:val="0082530D"/>
    <w:rsid w:val="008266F2"/>
    <w:rsid w:val="00826D37"/>
    <w:rsid w:val="008279CB"/>
    <w:rsid w:val="00830014"/>
    <w:rsid w:val="0083092E"/>
    <w:rsid w:val="008313DD"/>
    <w:rsid w:val="008319B0"/>
    <w:rsid w:val="00831C67"/>
    <w:rsid w:val="00832C7E"/>
    <w:rsid w:val="00833139"/>
    <w:rsid w:val="00834ACA"/>
    <w:rsid w:val="00835956"/>
    <w:rsid w:val="00835ADB"/>
    <w:rsid w:val="00835BA0"/>
    <w:rsid w:val="00836580"/>
    <w:rsid w:val="008365F9"/>
    <w:rsid w:val="00836B8B"/>
    <w:rsid w:val="00837015"/>
    <w:rsid w:val="0083745A"/>
    <w:rsid w:val="00837903"/>
    <w:rsid w:val="00837C0D"/>
    <w:rsid w:val="00837FC9"/>
    <w:rsid w:val="00840CBC"/>
    <w:rsid w:val="00840ED4"/>
    <w:rsid w:val="00841C4D"/>
    <w:rsid w:val="00842033"/>
    <w:rsid w:val="008428B8"/>
    <w:rsid w:val="00842941"/>
    <w:rsid w:val="00842A09"/>
    <w:rsid w:val="008431F1"/>
    <w:rsid w:val="0084378D"/>
    <w:rsid w:val="00843AED"/>
    <w:rsid w:val="00845A3C"/>
    <w:rsid w:val="00845D63"/>
    <w:rsid w:val="00850888"/>
    <w:rsid w:val="00850B6A"/>
    <w:rsid w:val="00851B70"/>
    <w:rsid w:val="00851E04"/>
    <w:rsid w:val="0085275E"/>
    <w:rsid w:val="00852B7C"/>
    <w:rsid w:val="00852E52"/>
    <w:rsid w:val="00853005"/>
    <w:rsid w:val="0085376A"/>
    <w:rsid w:val="0085385C"/>
    <w:rsid w:val="00854AEC"/>
    <w:rsid w:val="008553A8"/>
    <w:rsid w:val="00856B3C"/>
    <w:rsid w:val="00856C95"/>
    <w:rsid w:val="0085706B"/>
    <w:rsid w:val="00857554"/>
    <w:rsid w:val="00857BED"/>
    <w:rsid w:val="0086006E"/>
    <w:rsid w:val="00860DFE"/>
    <w:rsid w:val="008612D3"/>
    <w:rsid w:val="00861594"/>
    <w:rsid w:val="00862639"/>
    <w:rsid w:val="00862673"/>
    <w:rsid w:val="00862693"/>
    <w:rsid w:val="00862CBF"/>
    <w:rsid w:val="00863B37"/>
    <w:rsid w:val="00865275"/>
    <w:rsid w:val="008664ED"/>
    <w:rsid w:val="0087084E"/>
    <w:rsid w:val="00870BFE"/>
    <w:rsid w:val="00870D68"/>
    <w:rsid w:val="00870FAF"/>
    <w:rsid w:val="008722B8"/>
    <w:rsid w:val="0087278B"/>
    <w:rsid w:val="008728DB"/>
    <w:rsid w:val="00872ECA"/>
    <w:rsid w:val="008731FE"/>
    <w:rsid w:val="00873256"/>
    <w:rsid w:val="0087364D"/>
    <w:rsid w:val="00873A7F"/>
    <w:rsid w:val="00873B81"/>
    <w:rsid w:val="008748D5"/>
    <w:rsid w:val="00874DD1"/>
    <w:rsid w:val="00875BCD"/>
    <w:rsid w:val="0087635F"/>
    <w:rsid w:val="00876B7C"/>
    <w:rsid w:val="00877679"/>
    <w:rsid w:val="0088028B"/>
    <w:rsid w:val="00882245"/>
    <w:rsid w:val="00882C0E"/>
    <w:rsid w:val="008831B2"/>
    <w:rsid w:val="0088335D"/>
    <w:rsid w:val="00883539"/>
    <w:rsid w:val="00883735"/>
    <w:rsid w:val="00883A09"/>
    <w:rsid w:val="00884439"/>
    <w:rsid w:val="00884B71"/>
    <w:rsid w:val="00885A32"/>
    <w:rsid w:val="00885C54"/>
    <w:rsid w:val="008871A1"/>
    <w:rsid w:val="00887697"/>
    <w:rsid w:val="008879C9"/>
    <w:rsid w:val="008911D0"/>
    <w:rsid w:val="0089174C"/>
    <w:rsid w:val="00893842"/>
    <w:rsid w:val="0089418C"/>
    <w:rsid w:val="00894DC0"/>
    <w:rsid w:val="00895521"/>
    <w:rsid w:val="00895DEF"/>
    <w:rsid w:val="0089621E"/>
    <w:rsid w:val="0089642D"/>
    <w:rsid w:val="00896B08"/>
    <w:rsid w:val="00896F05"/>
    <w:rsid w:val="00896F50"/>
    <w:rsid w:val="008A080B"/>
    <w:rsid w:val="008A1079"/>
    <w:rsid w:val="008A1607"/>
    <w:rsid w:val="008A1C64"/>
    <w:rsid w:val="008A23CD"/>
    <w:rsid w:val="008A30A6"/>
    <w:rsid w:val="008A3616"/>
    <w:rsid w:val="008A3769"/>
    <w:rsid w:val="008A3B79"/>
    <w:rsid w:val="008A42EA"/>
    <w:rsid w:val="008A511C"/>
    <w:rsid w:val="008A54EB"/>
    <w:rsid w:val="008A579C"/>
    <w:rsid w:val="008A57EE"/>
    <w:rsid w:val="008A6373"/>
    <w:rsid w:val="008A67D3"/>
    <w:rsid w:val="008A6E1F"/>
    <w:rsid w:val="008A6EE2"/>
    <w:rsid w:val="008A7632"/>
    <w:rsid w:val="008A7FB3"/>
    <w:rsid w:val="008A7FEC"/>
    <w:rsid w:val="008B05FF"/>
    <w:rsid w:val="008B0F4C"/>
    <w:rsid w:val="008B10D9"/>
    <w:rsid w:val="008B15C0"/>
    <w:rsid w:val="008B18AC"/>
    <w:rsid w:val="008B196E"/>
    <w:rsid w:val="008B1CBA"/>
    <w:rsid w:val="008B2BB5"/>
    <w:rsid w:val="008B3782"/>
    <w:rsid w:val="008B3ACB"/>
    <w:rsid w:val="008B44A9"/>
    <w:rsid w:val="008B491C"/>
    <w:rsid w:val="008B52BF"/>
    <w:rsid w:val="008B5849"/>
    <w:rsid w:val="008B5A11"/>
    <w:rsid w:val="008B6675"/>
    <w:rsid w:val="008C042E"/>
    <w:rsid w:val="008C0ACD"/>
    <w:rsid w:val="008C357E"/>
    <w:rsid w:val="008C3C4B"/>
    <w:rsid w:val="008C43CE"/>
    <w:rsid w:val="008C6F65"/>
    <w:rsid w:val="008D0A45"/>
    <w:rsid w:val="008D1B17"/>
    <w:rsid w:val="008D3341"/>
    <w:rsid w:val="008D377E"/>
    <w:rsid w:val="008D38FF"/>
    <w:rsid w:val="008D45FB"/>
    <w:rsid w:val="008D4760"/>
    <w:rsid w:val="008D482D"/>
    <w:rsid w:val="008D4AFD"/>
    <w:rsid w:val="008D5007"/>
    <w:rsid w:val="008D61D1"/>
    <w:rsid w:val="008D634C"/>
    <w:rsid w:val="008D6DD4"/>
    <w:rsid w:val="008D7420"/>
    <w:rsid w:val="008D7F5E"/>
    <w:rsid w:val="008E04B8"/>
    <w:rsid w:val="008E0729"/>
    <w:rsid w:val="008E09D8"/>
    <w:rsid w:val="008E1C23"/>
    <w:rsid w:val="008E2A9A"/>
    <w:rsid w:val="008E2EAA"/>
    <w:rsid w:val="008E2EC3"/>
    <w:rsid w:val="008E2F5F"/>
    <w:rsid w:val="008E39E6"/>
    <w:rsid w:val="008E4DAC"/>
    <w:rsid w:val="008E5058"/>
    <w:rsid w:val="008E561F"/>
    <w:rsid w:val="008E57B9"/>
    <w:rsid w:val="008E68DC"/>
    <w:rsid w:val="008E6D53"/>
    <w:rsid w:val="008E7A93"/>
    <w:rsid w:val="008F029D"/>
    <w:rsid w:val="008F175F"/>
    <w:rsid w:val="008F2A95"/>
    <w:rsid w:val="008F3073"/>
    <w:rsid w:val="008F3F75"/>
    <w:rsid w:val="008F463B"/>
    <w:rsid w:val="008F4ED2"/>
    <w:rsid w:val="008F59C2"/>
    <w:rsid w:val="008F5B40"/>
    <w:rsid w:val="008F6903"/>
    <w:rsid w:val="008F725D"/>
    <w:rsid w:val="008F74B1"/>
    <w:rsid w:val="008F7870"/>
    <w:rsid w:val="008F7974"/>
    <w:rsid w:val="008F7ACE"/>
    <w:rsid w:val="00900894"/>
    <w:rsid w:val="00900957"/>
    <w:rsid w:val="00900F15"/>
    <w:rsid w:val="009025E3"/>
    <w:rsid w:val="009027E8"/>
    <w:rsid w:val="00902ACF"/>
    <w:rsid w:val="00902DD4"/>
    <w:rsid w:val="009037B4"/>
    <w:rsid w:val="00903A5F"/>
    <w:rsid w:val="009041B0"/>
    <w:rsid w:val="00904907"/>
    <w:rsid w:val="00904DF2"/>
    <w:rsid w:val="0090558B"/>
    <w:rsid w:val="00905854"/>
    <w:rsid w:val="00905D6E"/>
    <w:rsid w:val="00906277"/>
    <w:rsid w:val="009067C3"/>
    <w:rsid w:val="009110ED"/>
    <w:rsid w:val="0091128B"/>
    <w:rsid w:val="00912A6B"/>
    <w:rsid w:val="009137F6"/>
    <w:rsid w:val="00913AEF"/>
    <w:rsid w:val="00913C6C"/>
    <w:rsid w:val="00914248"/>
    <w:rsid w:val="009143C5"/>
    <w:rsid w:val="00914977"/>
    <w:rsid w:val="00914987"/>
    <w:rsid w:val="009153E6"/>
    <w:rsid w:val="00916B0E"/>
    <w:rsid w:val="0091748D"/>
    <w:rsid w:val="0091784D"/>
    <w:rsid w:val="009200DB"/>
    <w:rsid w:val="0092047F"/>
    <w:rsid w:val="00920B19"/>
    <w:rsid w:val="0092100B"/>
    <w:rsid w:val="00922637"/>
    <w:rsid w:val="0092508E"/>
    <w:rsid w:val="00925214"/>
    <w:rsid w:val="00926575"/>
    <w:rsid w:val="00927A88"/>
    <w:rsid w:val="0093018D"/>
    <w:rsid w:val="00930795"/>
    <w:rsid w:val="00930FE6"/>
    <w:rsid w:val="009310CF"/>
    <w:rsid w:val="00931B60"/>
    <w:rsid w:val="00932547"/>
    <w:rsid w:val="009331A1"/>
    <w:rsid w:val="0093389B"/>
    <w:rsid w:val="00933C5D"/>
    <w:rsid w:val="00933E0F"/>
    <w:rsid w:val="009355EC"/>
    <w:rsid w:val="00937159"/>
    <w:rsid w:val="00937A4E"/>
    <w:rsid w:val="00937C41"/>
    <w:rsid w:val="009406F7"/>
    <w:rsid w:val="00941397"/>
    <w:rsid w:val="009417D9"/>
    <w:rsid w:val="00941F10"/>
    <w:rsid w:val="0094247C"/>
    <w:rsid w:val="00942989"/>
    <w:rsid w:val="009432AB"/>
    <w:rsid w:val="009435EF"/>
    <w:rsid w:val="0094371A"/>
    <w:rsid w:val="00943C89"/>
    <w:rsid w:val="00943F3A"/>
    <w:rsid w:val="0094548B"/>
    <w:rsid w:val="00946852"/>
    <w:rsid w:val="00946E07"/>
    <w:rsid w:val="00947571"/>
    <w:rsid w:val="00947BFC"/>
    <w:rsid w:val="00947CA1"/>
    <w:rsid w:val="009505F0"/>
    <w:rsid w:val="0095078B"/>
    <w:rsid w:val="00951FD2"/>
    <w:rsid w:val="009529C4"/>
    <w:rsid w:val="00954C0F"/>
    <w:rsid w:val="00955081"/>
    <w:rsid w:val="00955427"/>
    <w:rsid w:val="00955FB9"/>
    <w:rsid w:val="00955FE3"/>
    <w:rsid w:val="009569CD"/>
    <w:rsid w:val="00960132"/>
    <w:rsid w:val="009608EC"/>
    <w:rsid w:val="009624E0"/>
    <w:rsid w:val="0096305E"/>
    <w:rsid w:val="009639F7"/>
    <w:rsid w:val="00963F75"/>
    <w:rsid w:val="009645E0"/>
    <w:rsid w:val="0096577D"/>
    <w:rsid w:val="00965EA7"/>
    <w:rsid w:val="00965F24"/>
    <w:rsid w:val="009662E2"/>
    <w:rsid w:val="0096654C"/>
    <w:rsid w:val="0097022E"/>
    <w:rsid w:val="0097073C"/>
    <w:rsid w:val="00970A7F"/>
    <w:rsid w:val="00970D24"/>
    <w:rsid w:val="009715FE"/>
    <w:rsid w:val="00972875"/>
    <w:rsid w:val="009729B3"/>
    <w:rsid w:val="00972BA8"/>
    <w:rsid w:val="00972CF5"/>
    <w:rsid w:val="009732EB"/>
    <w:rsid w:val="0097388C"/>
    <w:rsid w:val="00973AE8"/>
    <w:rsid w:val="00974666"/>
    <w:rsid w:val="00974884"/>
    <w:rsid w:val="009748EB"/>
    <w:rsid w:val="0097593E"/>
    <w:rsid w:val="00976A2A"/>
    <w:rsid w:val="00977DC4"/>
    <w:rsid w:val="009805E2"/>
    <w:rsid w:val="00980B43"/>
    <w:rsid w:val="00982A5E"/>
    <w:rsid w:val="00982CEE"/>
    <w:rsid w:val="00983A90"/>
    <w:rsid w:val="009843E3"/>
    <w:rsid w:val="00984536"/>
    <w:rsid w:val="0098460F"/>
    <w:rsid w:val="00985350"/>
    <w:rsid w:val="00985498"/>
    <w:rsid w:val="0098614E"/>
    <w:rsid w:val="00986657"/>
    <w:rsid w:val="00986DB6"/>
    <w:rsid w:val="00987417"/>
    <w:rsid w:val="00987A0D"/>
    <w:rsid w:val="009900D1"/>
    <w:rsid w:val="00990247"/>
    <w:rsid w:val="00991C39"/>
    <w:rsid w:val="009925C6"/>
    <w:rsid w:val="00992693"/>
    <w:rsid w:val="00993D19"/>
    <w:rsid w:val="009945D9"/>
    <w:rsid w:val="00995897"/>
    <w:rsid w:val="00995CCF"/>
    <w:rsid w:val="00996CF6"/>
    <w:rsid w:val="009975F9"/>
    <w:rsid w:val="00997A25"/>
    <w:rsid w:val="00997E4D"/>
    <w:rsid w:val="009A1358"/>
    <w:rsid w:val="009A2253"/>
    <w:rsid w:val="009A2C1D"/>
    <w:rsid w:val="009A3558"/>
    <w:rsid w:val="009A563E"/>
    <w:rsid w:val="009A5D65"/>
    <w:rsid w:val="009A66A5"/>
    <w:rsid w:val="009A73DD"/>
    <w:rsid w:val="009A7FA0"/>
    <w:rsid w:val="009B10DD"/>
    <w:rsid w:val="009B167F"/>
    <w:rsid w:val="009B2C02"/>
    <w:rsid w:val="009B3BA7"/>
    <w:rsid w:val="009B3C40"/>
    <w:rsid w:val="009B4C3A"/>
    <w:rsid w:val="009B57EF"/>
    <w:rsid w:val="009B5DAF"/>
    <w:rsid w:val="009B6096"/>
    <w:rsid w:val="009B6115"/>
    <w:rsid w:val="009B61A3"/>
    <w:rsid w:val="009B6208"/>
    <w:rsid w:val="009B765B"/>
    <w:rsid w:val="009C0E67"/>
    <w:rsid w:val="009C14F8"/>
    <w:rsid w:val="009C23E7"/>
    <w:rsid w:val="009C256C"/>
    <w:rsid w:val="009C36AD"/>
    <w:rsid w:val="009C3B95"/>
    <w:rsid w:val="009C4257"/>
    <w:rsid w:val="009C482D"/>
    <w:rsid w:val="009C49FD"/>
    <w:rsid w:val="009C4D5E"/>
    <w:rsid w:val="009C4FDE"/>
    <w:rsid w:val="009C59D1"/>
    <w:rsid w:val="009C6542"/>
    <w:rsid w:val="009C6578"/>
    <w:rsid w:val="009C6B43"/>
    <w:rsid w:val="009C6BCF"/>
    <w:rsid w:val="009C7BA7"/>
    <w:rsid w:val="009D02F3"/>
    <w:rsid w:val="009D14FA"/>
    <w:rsid w:val="009D177C"/>
    <w:rsid w:val="009D1914"/>
    <w:rsid w:val="009D1A08"/>
    <w:rsid w:val="009D1B79"/>
    <w:rsid w:val="009D2072"/>
    <w:rsid w:val="009D216B"/>
    <w:rsid w:val="009D26CD"/>
    <w:rsid w:val="009D28CB"/>
    <w:rsid w:val="009D2A3F"/>
    <w:rsid w:val="009D30D2"/>
    <w:rsid w:val="009D4104"/>
    <w:rsid w:val="009D4391"/>
    <w:rsid w:val="009D46A4"/>
    <w:rsid w:val="009D49B1"/>
    <w:rsid w:val="009D4BC3"/>
    <w:rsid w:val="009D51AB"/>
    <w:rsid w:val="009D5835"/>
    <w:rsid w:val="009D6280"/>
    <w:rsid w:val="009D678D"/>
    <w:rsid w:val="009D6922"/>
    <w:rsid w:val="009D74CB"/>
    <w:rsid w:val="009E0390"/>
    <w:rsid w:val="009E09BD"/>
    <w:rsid w:val="009E10B0"/>
    <w:rsid w:val="009E2301"/>
    <w:rsid w:val="009E38C1"/>
    <w:rsid w:val="009E3A44"/>
    <w:rsid w:val="009E3F4B"/>
    <w:rsid w:val="009E4022"/>
    <w:rsid w:val="009E45A1"/>
    <w:rsid w:val="009E4B1A"/>
    <w:rsid w:val="009E52E0"/>
    <w:rsid w:val="009E5396"/>
    <w:rsid w:val="009E5B0D"/>
    <w:rsid w:val="009E6096"/>
    <w:rsid w:val="009E7C22"/>
    <w:rsid w:val="009F088E"/>
    <w:rsid w:val="009F14D7"/>
    <w:rsid w:val="009F1A7F"/>
    <w:rsid w:val="009F2C18"/>
    <w:rsid w:val="009F2EA4"/>
    <w:rsid w:val="009F362C"/>
    <w:rsid w:val="009F3C26"/>
    <w:rsid w:val="009F3D07"/>
    <w:rsid w:val="009F4683"/>
    <w:rsid w:val="009F46E8"/>
    <w:rsid w:val="009F573E"/>
    <w:rsid w:val="009F6843"/>
    <w:rsid w:val="009F7572"/>
    <w:rsid w:val="009F7C6C"/>
    <w:rsid w:val="00A00062"/>
    <w:rsid w:val="00A0009C"/>
    <w:rsid w:val="00A00B3F"/>
    <w:rsid w:val="00A012A0"/>
    <w:rsid w:val="00A013C6"/>
    <w:rsid w:val="00A01F0F"/>
    <w:rsid w:val="00A02A23"/>
    <w:rsid w:val="00A031F3"/>
    <w:rsid w:val="00A0333A"/>
    <w:rsid w:val="00A045C1"/>
    <w:rsid w:val="00A04FD7"/>
    <w:rsid w:val="00A0504B"/>
    <w:rsid w:val="00A10F52"/>
    <w:rsid w:val="00A112C2"/>
    <w:rsid w:val="00A123A5"/>
    <w:rsid w:val="00A1258E"/>
    <w:rsid w:val="00A12889"/>
    <w:rsid w:val="00A13778"/>
    <w:rsid w:val="00A13A2D"/>
    <w:rsid w:val="00A13E61"/>
    <w:rsid w:val="00A14E44"/>
    <w:rsid w:val="00A151D2"/>
    <w:rsid w:val="00A161B7"/>
    <w:rsid w:val="00A204B8"/>
    <w:rsid w:val="00A21AC0"/>
    <w:rsid w:val="00A226D0"/>
    <w:rsid w:val="00A26547"/>
    <w:rsid w:val="00A26E49"/>
    <w:rsid w:val="00A27436"/>
    <w:rsid w:val="00A31D4D"/>
    <w:rsid w:val="00A31E86"/>
    <w:rsid w:val="00A32D2A"/>
    <w:rsid w:val="00A32DFE"/>
    <w:rsid w:val="00A3328C"/>
    <w:rsid w:val="00A34102"/>
    <w:rsid w:val="00A349AE"/>
    <w:rsid w:val="00A34B1D"/>
    <w:rsid w:val="00A353C8"/>
    <w:rsid w:val="00A356F6"/>
    <w:rsid w:val="00A372EB"/>
    <w:rsid w:val="00A4219C"/>
    <w:rsid w:val="00A43269"/>
    <w:rsid w:val="00A4358B"/>
    <w:rsid w:val="00A437E1"/>
    <w:rsid w:val="00A4382E"/>
    <w:rsid w:val="00A43C89"/>
    <w:rsid w:val="00A44297"/>
    <w:rsid w:val="00A442BA"/>
    <w:rsid w:val="00A4449A"/>
    <w:rsid w:val="00A44793"/>
    <w:rsid w:val="00A44C46"/>
    <w:rsid w:val="00A44FAD"/>
    <w:rsid w:val="00A45AA4"/>
    <w:rsid w:val="00A45EAA"/>
    <w:rsid w:val="00A465E1"/>
    <w:rsid w:val="00A46BE5"/>
    <w:rsid w:val="00A50690"/>
    <w:rsid w:val="00A510DB"/>
    <w:rsid w:val="00A51320"/>
    <w:rsid w:val="00A51611"/>
    <w:rsid w:val="00A52F1B"/>
    <w:rsid w:val="00A53C0F"/>
    <w:rsid w:val="00A53D2A"/>
    <w:rsid w:val="00A545C7"/>
    <w:rsid w:val="00A5498E"/>
    <w:rsid w:val="00A55048"/>
    <w:rsid w:val="00A556E5"/>
    <w:rsid w:val="00A5655D"/>
    <w:rsid w:val="00A57E89"/>
    <w:rsid w:val="00A610F7"/>
    <w:rsid w:val="00A61F35"/>
    <w:rsid w:val="00A62262"/>
    <w:rsid w:val="00A631B3"/>
    <w:rsid w:val="00A646D2"/>
    <w:rsid w:val="00A64D58"/>
    <w:rsid w:val="00A650D5"/>
    <w:rsid w:val="00A659D4"/>
    <w:rsid w:val="00A66253"/>
    <w:rsid w:val="00A6759C"/>
    <w:rsid w:val="00A67F40"/>
    <w:rsid w:val="00A70894"/>
    <w:rsid w:val="00A70B9D"/>
    <w:rsid w:val="00A72F20"/>
    <w:rsid w:val="00A735CD"/>
    <w:rsid w:val="00A73AA3"/>
    <w:rsid w:val="00A73E22"/>
    <w:rsid w:val="00A74654"/>
    <w:rsid w:val="00A75604"/>
    <w:rsid w:val="00A75BFF"/>
    <w:rsid w:val="00A7607C"/>
    <w:rsid w:val="00A76596"/>
    <w:rsid w:val="00A77C1E"/>
    <w:rsid w:val="00A800C8"/>
    <w:rsid w:val="00A81E95"/>
    <w:rsid w:val="00A831F1"/>
    <w:rsid w:val="00A83567"/>
    <w:rsid w:val="00A835A9"/>
    <w:rsid w:val="00A83677"/>
    <w:rsid w:val="00A83A07"/>
    <w:rsid w:val="00A84413"/>
    <w:rsid w:val="00A84421"/>
    <w:rsid w:val="00A851D7"/>
    <w:rsid w:val="00A8537F"/>
    <w:rsid w:val="00A855D9"/>
    <w:rsid w:val="00A861F5"/>
    <w:rsid w:val="00A86411"/>
    <w:rsid w:val="00A865C2"/>
    <w:rsid w:val="00A86B60"/>
    <w:rsid w:val="00A87B45"/>
    <w:rsid w:val="00A87F14"/>
    <w:rsid w:val="00A9041A"/>
    <w:rsid w:val="00A90B4A"/>
    <w:rsid w:val="00A91E0E"/>
    <w:rsid w:val="00A91E34"/>
    <w:rsid w:val="00A93C7D"/>
    <w:rsid w:val="00A93C8A"/>
    <w:rsid w:val="00A9404A"/>
    <w:rsid w:val="00A94D52"/>
    <w:rsid w:val="00A95497"/>
    <w:rsid w:val="00A95CCA"/>
    <w:rsid w:val="00A95F01"/>
    <w:rsid w:val="00A96AD8"/>
    <w:rsid w:val="00AA037E"/>
    <w:rsid w:val="00AA07BF"/>
    <w:rsid w:val="00AA0D6B"/>
    <w:rsid w:val="00AA0E43"/>
    <w:rsid w:val="00AA1384"/>
    <w:rsid w:val="00AA1B18"/>
    <w:rsid w:val="00AA1D94"/>
    <w:rsid w:val="00AA3336"/>
    <w:rsid w:val="00AA33CB"/>
    <w:rsid w:val="00AA4E1E"/>
    <w:rsid w:val="00AA5608"/>
    <w:rsid w:val="00AA5C01"/>
    <w:rsid w:val="00AA5E5C"/>
    <w:rsid w:val="00AA65E8"/>
    <w:rsid w:val="00AA6D62"/>
    <w:rsid w:val="00AA6DDA"/>
    <w:rsid w:val="00AB004F"/>
    <w:rsid w:val="00AB1299"/>
    <w:rsid w:val="00AB172F"/>
    <w:rsid w:val="00AB18D6"/>
    <w:rsid w:val="00AB2254"/>
    <w:rsid w:val="00AB25C4"/>
    <w:rsid w:val="00AB3653"/>
    <w:rsid w:val="00AB36E7"/>
    <w:rsid w:val="00AB381E"/>
    <w:rsid w:val="00AB3FCD"/>
    <w:rsid w:val="00AB4180"/>
    <w:rsid w:val="00AB41EC"/>
    <w:rsid w:val="00AB42FF"/>
    <w:rsid w:val="00AB4803"/>
    <w:rsid w:val="00AB4E61"/>
    <w:rsid w:val="00AB5024"/>
    <w:rsid w:val="00AB5C1C"/>
    <w:rsid w:val="00AB5D89"/>
    <w:rsid w:val="00AB6682"/>
    <w:rsid w:val="00AB6A20"/>
    <w:rsid w:val="00AB7B36"/>
    <w:rsid w:val="00AB7BC6"/>
    <w:rsid w:val="00AB7FC7"/>
    <w:rsid w:val="00AC0BE5"/>
    <w:rsid w:val="00AC1111"/>
    <w:rsid w:val="00AC2B86"/>
    <w:rsid w:val="00AC380C"/>
    <w:rsid w:val="00AC4BA1"/>
    <w:rsid w:val="00AC4C36"/>
    <w:rsid w:val="00AC6F53"/>
    <w:rsid w:val="00AC7304"/>
    <w:rsid w:val="00AC7CFF"/>
    <w:rsid w:val="00AD07F7"/>
    <w:rsid w:val="00AD0DFD"/>
    <w:rsid w:val="00AD19BC"/>
    <w:rsid w:val="00AD2257"/>
    <w:rsid w:val="00AD344D"/>
    <w:rsid w:val="00AD441F"/>
    <w:rsid w:val="00AD4975"/>
    <w:rsid w:val="00AD4EFE"/>
    <w:rsid w:val="00AD5199"/>
    <w:rsid w:val="00AD526C"/>
    <w:rsid w:val="00AD5805"/>
    <w:rsid w:val="00AD5E96"/>
    <w:rsid w:val="00AD6891"/>
    <w:rsid w:val="00AD7174"/>
    <w:rsid w:val="00AD7712"/>
    <w:rsid w:val="00AD7BC0"/>
    <w:rsid w:val="00AD7EFA"/>
    <w:rsid w:val="00AE139C"/>
    <w:rsid w:val="00AE1567"/>
    <w:rsid w:val="00AE1B6D"/>
    <w:rsid w:val="00AE217B"/>
    <w:rsid w:val="00AE2F28"/>
    <w:rsid w:val="00AE2F4D"/>
    <w:rsid w:val="00AE2F5F"/>
    <w:rsid w:val="00AE41B1"/>
    <w:rsid w:val="00AE49B6"/>
    <w:rsid w:val="00AE6ED7"/>
    <w:rsid w:val="00AE70F1"/>
    <w:rsid w:val="00AE7110"/>
    <w:rsid w:val="00AE73E1"/>
    <w:rsid w:val="00AF1A78"/>
    <w:rsid w:val="00AF2B6B"/>
    <w:rsid w:val="00AF313D"/>
    <w:rsid w:val="00AF4353"/>
    <w:rsid w:val="00AF5004"/>
    <w:rsid w:val="00AF55B4"/>
    <w:rsid w:val="00AF5ACC"/>
    <w:rsid w:val="00AF6137"/>
    <w:rsid w:val="00AF6AA1"/>
    <w:rsid w:val="00AF6D15"/>
    <w:rsid w:val="00AF6FEF"/>
    <w:rsid w:val="00AF7138"/>
    <w:rsid w:val="00AF736E"/>
    <w:rsid w:val="00AF76B8"/>
    <w:rsid w:val="00B007B9"/>
    <w:rsid w:val="00B00A42"/>
    <w:rsid w:val="00B00A8B"/>
    <w:rsid w:val="00B01507"/>
    <w:rsid w:val="00B0300A"/>
    <w:rsid w:val="00B0308E"/>
    <w:rsid w:val="00B03109"/>
    <w:rsid w:val="00B03299"/>
    <w:rsid w:val="00B032B6"/>
    <w:rsid w:val="00B04350"/>
    <w:rsid w:val="00B04C8F"/>
    <w:rsid w:val="00B04C96"/>
    <w:rsid w:val="00B05A2B"/>
    <w:rsid w:val="00B05F63"/>
    <w:rsid w:val="00B075A8"/>
    <w:rsid w:val="00B07727"/>
    <w:rsid w:val="00B07EC8"/>
    <w:rsid w:val="00B10C99"/>
    <w:rsid w:val="00B10D70"/>
    <w:rsid w:val="00B115E1"/>
    <w:rsid w:val="00B11B22"/>
    <w:rsid w:val="00B11B80"/>
    <w:rsid w:val="00B11DF1"/>
    <w:rsid w:val="00B14314"/>
    <w:rsid w:val="00B1577F"/>
    <w:rsid w:val="00B16013"/>
    <w:rsid w:val="00B16333"/>
    <w:rsid w:val="00B1667F"/>
    <w:rsid w:val="00B16D77"/>
    <w:rsid w:val="00B16F45"/>
    <w:rsid w:val="00B20CF4"/>
    <w:rsid w:val="00B216D2"/>
    <w:rsid w:val="00B226DE"/>
    <w:rsid w:val="00B22D6C"/>
    <w:rsid w:val="00B237E4"/>
    <w:rsid w:val="00B24A9F"/>
    <w:rsid w:val="00B24E29"/>
    <w:rsid w:val="00B26230"/>
    <w:rsid w:val="00B27DFB"/>
    <w:rsid w:val="00B27EE5"/>
    <w:rsid w:val="00B305CC"/>
    <w:rsid w:val="00B30964"/>
    <w:rsid w:val="00B32309"/>
    <w:rsid w:val="00B32C56"/>
    <w:rsid w:val="00B3327A"/>
    <w:rsid w:val="00B33339"/>
    <w:rsid w:val="00B34481"/>
    <w:rsid w:val="00B34ADA"/>
    <w:rsid w:val="00B34AFF"/>
    <w:rsid w:val="00B3555E"/>
    <w:rsid w:val="00B355B6"/>
    <w:rsid w:val="00B36214"/>
    <w:rsid w:val="00B37469"/>
    <w:rsid w:val="00B37BC5"/>
    <w:rsid w:val="00B37FD5"/>
    <w:rsid w:val="00B40E66"/>
    <w:rsid w:val="00B4138C"/>
    <w:rsid w:val="00B413F5"/>
    <w:rsid w:val="00B4258E"/>
    <w:rsid w:val="00B425C0"/>
    <w:rsid w:val="00B42AE1"/>
    <w:rsid w:val="00B42B4F"/>
    <w:rsid w:val="00B42B6F"/>
    <w:rsid w:val="00B434ED"/>
    <w:rsid w:val="00B43D7C"/>
    <w:rsid w:val="00B43FAA"/>
    <w:rsid w:val="00B44B8A"/>
    <w:rsid w:val="00B451C1"/>
    <w:rsid w:val="00B455E5"/>
    <w:rsid w:val="00B45693"/>
    <w:rsid w:val="00B456A4"/>
    <w:rsid w:val="00B45901"/>
    <w:rsid w:val="00B4637A"/>
    <w:rsid w:val="00B466BD"/>
    <w:rsid w:val="00B46B3A"/>
    <w:rsid w:val="00B4739E"/>
    <w:rsid w:val="00B4754F"/>
    <w:rsid w:val="00B476BB"/>
    <w:rsid w:val="00B47A70"/>
    <w:rsid w:val="00B47E63"/>
    <w:rsid w:val="00B5039A"/>
    <w:rsid w:val="00B50C6E"/>
    <w:rsid w:val="00B51319"/>
    <w:rsid w:val="00B51B8E"/>
    <w:rsid w:val="00B51BEC"/>
    <w:rsid w:val="00B51D3C"/>
    <w:rsid w:val="00B52210"/>
    <w:rsid w:val="00B523A7"/>
    <w:rsid w:val="00B526F9"/>
    <w:rsid w:val="00B53020"/>
    <w:rsid w:val="00B53185"/>
    <w:rsid w:val="00B54797"/>
    <w:rsid w:val="00B54A93"/>
    <w:rsid w:val="00B54D97"/>
    <w:rsid w:val="00B56B13"/>
    <w:rsid w:val="00B56CF6"/>
    <w:rsid w:val="00B56FE8"/>
    <w:rsid w:val="00B5771D"/>
    <w:rsid w:val="00B608A4"/>
    <w:rsid w:val="00B60B0B"/>
    <w:rsid w:val="00B615E5"/>
    <w:rsid w:val="00B61F9E"/>
    <w:rsid w:val="00B633B6"/>
    <w:rsid w:val="00B63706"/>
    <w:rsid w:val="00B6390E"/>
    <w:rsid w:val="00B64381"/>
    <w:rsid w:val="00B64711"/>
    <w:rsid w:val="00B64DDB"/>
    <w:rsid w:val="00B661D6"/>
    <w:rsid w:val="00B665AA"/>
    <w:rsid w:val="00B678B3"/>
    <w:rsid w:val="00B67D76"/>
    <w:rsid w:val="00B71579"/>
    <w:rsid w:val="00B71B53"/>
    <w:rsid w:val="00B7319D"/>
    <w:rsid w:val="00B737C5"/>
    <w:rsid w:val="00B74AA3"/>
    <w:rsid w:val="00B75BC7"/>
    <w:rsid w:val="00B77068"/>
    <w:rsid w:val="00B77146"/>
    <w:rsid w:val="00B77AB0"/>
    <w:rsid w:val="00B81503"/>
    <w:rsid w:val="00B818FF"/>
    <w:rsid w:val="00B83159"/>
    <w:rsid w:val="00B839DA"/>
    <w:rsid w:val="00B83E20"/>
    <w:rsid w:val="00B84EED"/>
    <w:rsid w:val="00B85269"/>
    <w:rsid w:val="00B858DC"/>
    <w:rsid w:val="00B874AF"/>
    <w:rsid w:val="00B87B97"/>
    <w:rsid w:val="00B90189"/>
    <w:rsid w:val="00B9293B"/>
    <w:rsid w:val="00B9334C"/>
    <w:rsid w:val="00B93D11"/>
    <w:rsid w:val="00B9405A"/>
    <w:rsid w:val="00B94B86"/>
    <w:rsid w:val="00B95692"/>
    <w:rsid w:val="00B958D4"/>
    <w:rsid w:val="00B95CE3"/>
    <w:rsid w:val="00B9663A"/>
    <w:rsid w:val="00B969BD"/>
    <w:rsid w:val="00B96FBD"/>
    <w:rsid w:val="00B97AA0"/>
    <w:rsid w:val="00BA11FA"/>
    <w:rsid w:val="00BA1982"/>
    <w:rsid w:val="00BA1AA8"/>
    <w:rsid w:val="00BA1AE3"/>
    <w:rsid w:val="00BA250E"/>
    <w:rsid w:val="00BA40B3"/>
    <w:rsid w:val="00BA44D8"/>
    <w:rsid w:val="00BA467D"/>
    <w:rsid w:val="00BA499E"/>
    <w:rsid w:val="00BA6B8A"/>
    <w:rsid w:val="00BA7356"/>
    <w:rsid w:val="00BB0D0C"/>
    <w:rsid w:val="00BB0E8E"/>
    <w:rsid w:val="00BB1336"/>
    <w:rsid w:val="00BB1CA9"/>
    <w:rsid w:val="00BB2AF7"/>
    <w:rsid w:val="00BB33B4"/>
    <w:rsid w:val="00BB3ED5"/>
    <w:rsid w:val="00BB4182"/>
    <w:rsid w:val="00BB4900"/>
    <w:rsid w:val="00BB51E5"/>
    <w:rsid w:val="00BB560A"/>
    <w:rsid w:val="00BB5C20"/>
    <w:rsid w:val="00BC33FC"/>
    <w:rsid w:val="00BC34CB"/>
    <w:rsid w:val="00BC3E7F"/>
    <w:rsid w:val="00BC4DFA"/>
    <w:rsid w:val="00BC62FE"/>
    <w:rsid w:val="00BC631C"/>
    <w:rsid w:val="00BC780D"/>
    <w:rsid w:val="00BD01EB"/>
    <w:rsid w:val="00BD0A2B"/>
    <w:rsid w:val="00BD1562"/>
    <w:rsid w:val="00BD2F5E"/>
    <w:rsid w:val="00BD40E9"/>
    <w:rsid w:val="00BD4B54"/>
    <w:rsid w:val="00BD4FE5"/>
    <w:rsid w:val="00BD66A5"/>
    <w:rsid w:val="00BD76A1"/>
    <w:rsid w:val="00BE000E"/>
    <w:rsid w:val="00BE07C1"/>
    <w:rsid w:val="00BE07D3"/>
    <w:rsid w:val="00BE12B9"/>
    <w:rsid w:val="00BE1F4C"/>
    <w:rsid w:val="00BE27DD"/>
    <w:rsid w:val="00BE2BFB"/>
    <w:rsid w:val="00BE31B9"/>
    <w:rsid w:val="00BE3C70"/>
    <w:rsid w:val="00BE4184"/>
    <w:rsid w:val="00BE433A"/>
    <w:rsid w:val="00BE49C5"/>
    <w:rsid w:val="00BE5E98"/>
    <w:rsid w:val="00BE5FEE"/>
    <w:rsid w:val="00BE6148"/>
    <w:rsid w:val="00BE768E"/>
    <w:rsid w:val="00BF0343"/>
    <w:rsid w:val="00BF0BC7"/>
    <w:rsid w:val="00BF2CF8"/>
    <w:rsid w:val="00BF410C"/>
    <w:rsid w:val="00BF417E"/>
    <w:rsid w:val="00BF46A4"/>
    <w:rsid w:val="00BF4832"/>
    <w:rsid w:val="00BF5AE1"/>
    <w:rsid w:val="00BF6396"/>
    <w:rsid w:val="00BF6874"/>
    <w:rsid w:val="00BF6C5B"/>
    <w:rsid w:val="00C0029F"/>
    <w:rsid w:val="00C00565"/>
    <w:rsid w:val="00C00612"/>
    <w:rsid w:val="00C0214E"/>
    <w:rsid w:val="00C02A01"/>
    <w:rsid w:val="00C0375D"/>
    <w:rsid w:val="00C03A52"/>
    <w:rsid w:val="00C03E7D"/>
    <w:rsid w:val="00C04405"/>
    <w:rsid w:val="00C049AB"/>
    <w:rsid w:val="00C049D2"/>
    <w:rsid w:val="00C04CBF"/>
    <w:rsid w:val="00C058A7"/>
    <w:rsid w:val="00C06298"/>
    <w:rsid w:val="00C06CA7"/>
    <w:rsid w:val="00C06F74"/>
    <w:rsid w:val="00C07357"/>
    <w:rsid w:val="00C10154"/>
    <w:rsid w:val="00C1079F"/>
    <w:rsid w:val="00C1086F"/>
    <w:rsid w:val="00C108BD"/>
    <w:rsid w:val="00C109E0"/>
    <w:rsid w:val="00C11A12"/>
    <w:rsid w:val="00C1203E"/>
    <w:rsid w:val="00C1249A"/>
    <w:rsid w:val="00C126A7"/>
    <w:rsid w:val="00C12A81"/>
    <w:rsid w:val="00C13113"/>
    <w:rsid w:val="00C13155"/>
    <w:rsid w:val="00C13882"/>
    <w:rsid w:val="00C145CD"/>
    <w:rsid w:val="00C1550B"/>
    <w:rsid w:val="00C15CBC"/>
    <w:rsid w:val="00C1681E"/>
    <w:rsid w:val="00C207FC"/>
    <w:rsid w:val="00C212CA"/>
    <w:rsid w:val="00C21BCA"/>
    <w:rsid w:val="00C238AF"/>
    <w:rsid w:val="00C25997"/>
    <w:rsid w:val="00C27DFD"/>
    <w:rsid w:val="00C303DE"/>
    <w:rsid w:val="00C30DCC"/>
    <w:rsid w:val="00C31ECD"/>
    <w:rsid w:val="00C33644"/>
    <w:rsid w:val="00C3445A"/>
    <w:rsid w:val="00C3465E"/>
    <w:rsid w:val="00C34751"/>
    <w:rsid w:val="00C35FB7"/>
    <w:rsid w:val="00C35FF5"/>
    <w:rsid w:val="00C36067"/>
    <w:rsid w:val="00C3626F"/>
    <w:rsid w:val="00C36A6A"/>
    <w:rsid w:val="00C37053"/>
    <w:rsid w:val="00C3730E"/>
    <w:rsid w:val="00C37ECA"/>
    <w:rsid w:val="00C413A5"/>
    <w:rsid w:val="00C415AF"/>
    <w:rsid w:val="00C418C8"/>
    <w:rsid w:val="00C41A1F"/>
    <w:rsid w:val="00C41D99"/>
    <w:rsid w:val="00C4278B"/>
    <w:rsid w:val="00C429F3"/>
    <w:rsid w:val="00C4342D"/>
    <w:rsid w:val="00C43ED3"/>
    <w:rsid w:val="00C45287"/>
    <w:rsid w:val="00C45C5E"/>
    <w:rsid w:val="00C46192"/>
    <w:rsid w:val="00C47EA5"/>
    <w:rsid w:val="00C501FF"/>
    <w:rsid w:val="00C5053A"/>
    <w:rsid w:val="00C50C4D"/>
    <w:rsid w:val="00C50C81"/>
    <w:rsid w:val="00C51156"/>
    <w:rsid w:val="00C51F36"/>
    <w:rsid w:val="00C51FAD"/>
    <w:rsid w:val="00C528E7"/>
    <w:rsid w:val="00C52BB7"/>
    <w:rsid w:val="00C530E2"/>
    <w:rsid w:val="00C532A3"/>
    <w:rsid w:val="00C533B6"/>
    <w:rsid w:val="00C54209"/>
    <w:rsid w:val="00C54EAB"/>
    <w:rsid w:val="00C550D7"/>
    <w:rsid w:val="00C56645"/>
    <w:rsid w:val="00C575DC"/>
    <w:rsid w:val="00C60E14"/>
    <w:rsid w:val="00C61196"/>
    <w:rsid w:val="00C615DF"/>
    <w:rsid w:val="00C631ED"/>
    <w:rsid w:val="00C6375A"/>
    <w:rsid w:val="00C6615D"/>
    <w:rsid w:val="00C67055"/>
    <w:rsid w:val="00C67F7D"/>
    <w:rsid w:val="00C70662"/>
    <w:rsid w:val="00C70C9F"/>
    <w:rsid w:val="00C70F5A"/>
    <w:rsid w:val="00C712DE"/>
    <w:rsid w:val="00C72608"/>
    <w:rsid w:val="00C72CA9"/>
    <w:rsid w:val="00C736C0"/>
    <w:rsid w:val="00C7419C"/>
    <w:rsid w:val="00C7434D"/>
    <w:rsid w:val="00C743D8"/>
    <w:rsid w:val="00C75110"/>
    <w:rsid w:val="00C759E0"/>
    <w:rsid w:val="00C762DC"/>
    <w:rsid w:val="00C76CE6"/>
    <w:rsid w:val="00C77712"/>
    <w:rsid w:val="00C77981"/>
    <w:rsid w:val="00C77DC9"/>
    <w:rsid w:val="00C77DFA"/>
    <w:rsid w:val="00C81430"/>
    <w:rsid w:val="00C819CC"/>
    <w:rsid w:val="00C82037"/>
    <w:rsid w:val="00C83599"/>
    <w:rsid w:val="00C83E99"/>
    <w:rsid w:val="00C85075"/>
    <w:rsid w:val="00C85F7C"/>
    <w:rsid w:val="00C869FB"/>
    <w:rsid w:val="00C86C17"/>
    <w:rsid w:val="00C86E43"/>
    <w:rsid w:val="00C870C4"/>
    <w:rsid w:val="00C871B7"/>
    <w:rsid w:val="00C87763"/>
    <w:rsid w:val="00C90072"/>
    <w:rsid w:val="00C90373"/>
    <w:rsid w:val="00C904C8"/>
    <w:rsid w:val="00C91313"/>
    <w:rsid w:val="00C91505"/>
    <w:rsid w:val="00C941E6"/>
    <w:rsid w:val="00C9547C"/>
    <w:rsid w:val="00C958E8"/>
    <w:rsid w:val="00C9635D"/>
    <w:rsid w:val="00C96717"/>
    <w:rsid w:val="00C96CFF"/>
    <w:rsid w:val="00C971A9"/>
    <w:rsid w:val="00C972E9"/>
    <w:rsid w:val="00CA0C1B"/>
    <w:rsid w:val="00CA0D64"/>
    <w:rsid w:val="00CA2513"/>
    <w:rsid w:val="00CA2868"/>
    <w:rsid w:val="00CA3D32"/>
    <w:rsid w:val="00CA4E06"/>
    <w:rsid w:val="00CA515A"/>
    <w:rsid w:val="00CA5DCC"/>
    <w:rsid w:val="00CA5E9C"/>
    <w:rsid w:val="00CA6042"/>
    <w:rsid w:val="00CA606F"/>
    <w:rsid w:val="00CA61F9"/>
    <w:rsid w:val="00CA68D7"/>
    <w:rsid w:val="00CA764A"/>
    <w:rsid w:val="00CB1B38"/>
    <w:rsid w:val="00CB2075"/>
    <w:rsid w:val="00CB26BC"/>
    <w:rsid w:val="00CB26F2"/>
    <w:rsid w:val="00CB30F2"/>
    <w:rsid w:val="00CB36EA"/>
    <w:rsid w:val="00CB4607"/>
    <w:rsid w:val="00CB4700"/>
    <w:rsid w:val="00CB5692"/>
    <w:rsid w:val="00CB5745"/>
    <w:rsid w:val="00CB6A1B"/>
    <w:rsid w:val="00CB773A"/>
    <w:rsid w:val="00CC03AE"/>
    <w:rsid w:val="00CC0F44"/>
    <w:rsid w:val="00CC0FB6"/>
    <w:rsid w:val="00CC21D1"/>
    <w:rsid w:val="00CC2278"/>
    <w:rsid w:val="00CC27BC"/>
    <w:rsid w:val="00CC3A71"/>
    <w:rsid w:val="00CC3DA5"/>
    <w:rsid w:val="00CC4D82"/>
    <w:rsid w:val="00CC4DC6"/>
    <w:rsid w:val="00CC50B5"/>
    <w:rsid w:val="00CC52E0"/>
    <w:rsid w:val="00CC5456"/>
    <w:rsid w:val="00CC5976"/>
    <w:rsid w:val="00CC5D65"/>
    <w:rsid w:val="00CC68D6"/>
    <w:rsid w:val="00CC6A34"/>
    <w:rsid w:val="00CC6FA0"/>
    <w:rsid w:val="00CC73F9"/>
    <w:rsid w:val="00CD0D36"/>
    <w:rsid w:val="00CD10C0"/>
    <w:rsid w:val="00CD1259"/>
    <w:rsid w:val="00CD1AA9"/>
    <w:rsid w:val="00CD2671"/>
    <w:rsid w:val="00CD2F5B"/>
    <w:rsid w:val="00CD30D1"/>
    <w:rsid w:val="00CD36CD"/>
    <w:rsid w:val="00CD441A"/>
    <w:rsid w:val="00CD4830"/>
    <w:rsid w:val="00CD4CA9"/>
    <w:rsid w:val="00CD4D58"/>
    <w:rsid w:val="00CD5509"/>
    <w:rsid w:val="00CD5DEC"/>
    <w:rsid w:val="00CD5FB8"/>
    <w:rsid w:val="00CD6DCB"/>
    <w:rsid w:val="00CD7023"/>
    <w:rsid w:val="00CD7639"/>
    <w:rsid w:val="00CD7840"/>
    <w:rsid w:val="00CE0404"/>
    <w:rsid w:val="00CE0673"/>
    <w:rsid w:val="00CE0679"/>
    <w:rsid w:val="00CE09D8"/>
    <w:rsid w:val="00CE126C"/>
    <w:rsid w:val="00CE12E6"/>
    <w:rsid w:val="00CE15E3"/>
    <w:rsid w:val="00CE21DB"/>
    <w:rsid w:val="00CE2200"/>
    <w:rsid w:val="00CE281A"/>
    <w:rsid w:val="00CE2B41"/>
    <w:rsid w:val="00CE346C"/>
    <w:rsid w:val="00CE359C"/>
    <w:rsid w:val="00CE4D75"/>
    <w:rsid w:val="00CE5D03"/>
    <w:rsid w:val="00CE6A3F"/>
    <w:rsid w:val="00CE7056"/>
    <w:rsid w:val="00CE761A"/>
    <w:rsid w:val="00CE7884"/>
    <w:rsid w:val="00CF00F1"/>
    <w:rsid w:val="00CF1525"/>
    <w:rsid w:val="00CF2A9B"/>
    <w:rsid w:val="00CF4BF6"/>
    <w:rsid w:val="00CF4C5F"/>
    <w:rsid w:val="00CF6265"/>
    <w:rsid w:val="00CF633E"/>
    <w:rsid w:val="00CF6A2A"/>
    <w:rsid w:val="00CF6C7A"/>
    <w:rsid w:val="00D01A5B"/>
    <w:rsid w:val="00D01CED"/>
    <w:rsid w:val="00D02B07"/>
    <w:rsid w:val="00D04280"/>
    <w:rsid w:val="00D05F66"/>
    <w:rsid w:val="00D06F80"/>
    <w:rsid w:val="00D0747A"/>
    <w:rsid w:val="00D1003C"/>
    <w:rsid w:val="00D13958"/>
    <w:rsid w:val="00D1441C"/>
    <w:rsid w:val="00D14C0D"/>
    <w:rsid w:val="00D14FE5"/>
    <w:rsid w:val="00D14FFB"/>
    <w:rsid w:val="00D1524B"/>
    <w:rsid w:val="00D15826"/>
    <w:rsid w:val="00D15EEB"/>
    <w:rsid w:val="00D1646A"/>
    <w:rsid w:val="00D17D99"/>
    <w:rsid w:val="00D20807"/>
    <w:rsid w:val="00D21531"/>
    <w:rsid w:val="00D228E5"/>
    <w:rsid w:val="00D22AB8"/>
    <w:rsid w:val="00D23F6D"/>
    <w:rsid w:val="00D2466F"/>
    <w:rsid w:val="00D24822"/>
    <w:rsid w:val="00D24E59"/>
    <w:rsid w:val="00D24E92"/>
    <w:rsid w:val="00D2673B"/>
    <w:rsid w:val="00D26D99"/>
    <w:rsid w:val="00D274A8"/>
    <w:rsid w:val="00D277DC"/>
    <w:rsid w:val="00D27EE8"/>
    <w:rsid w:val="00D309EA"/>
    <w:rsid w:val="00D30D08"/>
    <w:rsid w:val="00D3197D"/>
    <w:rsid w:val="00D31E72"/>
    <w:rsid w:val="00D32F8D"/>
    <w:rsid w:val="00D346CC"/>
    <w:rsid w:val="00D34854"/>
    <w:rsid w:val="00D34B09"/>
    <w:rsid w:val="00D356BA"/>
    <w:rsid w:val="00D35F14"/>
    <w:rsid w:val="00D36536"/>
    <w:rsid w:val="00D365A7"/>
    <w:rsid w:val="00D37711"/>
    <w:rsid w:val="00D37C38"/>
    <w:rsid w:val="00D41210"/>
    <w:rsid w:val="00D41553"/>
    <w:rsid w:val="00D41C74"/>
    <w:rsid w:val="00D433BB"/>
    <w:rsid w:val="00D4354D"/>
    <w:rsid w:val="00D442E1"/>
    <w:rsid w:val="00D4499D"/>
    <w:rsid w:val="00D4507E"/>
    <w:rsid w:val="00D4529F"/>
    <w:rsid w:val="00D45E02"/>
    <w:rsid w:val="00D45EFC"/>
    <w:rsid w:val="00D47B6C"/>
    <w:rsid w:val="00D47F08"/>
    <w:rsid w:val="00D50D3A"/>
    <w:rsid w:val="00D51668"/>
    <w:rsid w:val="00D51BDD"/>
    <w:rsid w:val="00D522AA"/>
    <w:rsid w:val="00D5282B"/>
    <w:rsid w:val="00D52F43"/>
    <w:rsid w:val="00D53791"/>
    <w:rsid w:val="00D53ED4"/>
    <w:rsid w:val="00D540A1"/>
    <w:rsid w:val="00D542E7"/>
    <w:rsid w:val="00D55C84"/>
    <w:rsid w:val="00D56D04"/>
    <w:rsid w:val="00D56F7B"/>
    <w:rsid w:val="00D576B0"/>
    <w:rsid w:val="00D57DC6"/>
    <w:rsid w:val="00D6011F"/>
    <w:rsid w:val="00D60440"/>
    <w:rsid w:val="00D60DD5"/>
    <w:rsid w:val="00D61195"/>
    <w:rsid w:val="00D622C2"/>
    <w:rsid w:val="00D628E4"/>
    <w:rsid w:val="00D63883"/>
    <w:rsid w:val="00D63986"/>
    <w:rsid w:val="00D63F7E"/>
    <w:rsid w:val="00D65BF0"/>
    <w:rsid w:val="00D65FEE"/>
    <w:rsid w:val="00D66040"/>
    <w:rsid w:val="00D660F1"/>
    <w:rsid w:val="00D67578"/>
    <w:rsid w:val="00D7028E"/>
    <w:rsid w:val="00D70869"/>
    <w:rsid w:val="00D70D8C"/>
    <w:rsid w:val="00D71D2A"/>
    <w:rsid w:val="00D71D47"/>
    <w:rsid w:val="00D7331F"/>
    <w:rsid w:val="00D733B2"/>
    <w:rsid w:val="00D73E97"/>
    <w:rsid w:val="00D75681"/>
    <w:rsid w:val="00D758C6"/>
    <w:rsid w:val="00D761B1"/>
    <w:rsid w:val="00D801FF"/>
    <w:rsid w:val="00D80FF3"/>
    <w:rsid w:val="00D82871"/>
    <w:rsid w:val="00D847AC"/>
    <w:rsid w:val="00D84A28"/>
    <w:rsid w:val="00D85A65"/>
    <w:rsid w:val="00D86935"/>
    <w:rsid w:val="00D86E44"/>
    <w:rsid w:val="00D871D8"/>
    <w:rsid w:val="00D8769B"/>
    <w:rsid w:val="00D87D45"/>
    <w:rsid w:val="00D87DE9"/>
    <w:rsid w:val="00D87E3F"/>
    <w:rsid w:val="00D90F34"/>
    <w:rsid w:val="00D913FF"/>
    <w:rsid w:val="00D92044"/>
    <w:rsid w:val="00D927D6"/>
    <w:rsid w:val="00D929A9"/>
    <w:rsid w:val="00D940C6"/>
    <w:rsid w:val="00D95A36"/>
    <w:rsid w:val="00D95B33"/>
    <w:rsid w:val="00D962FB"/>
    <w:rsid w:val="00D96965"/>
    <w:rsid w:val="00D96E21"/>
    <w:rsid w:val="00D972C4"/>
    <w:rsid w:val="00DA0F34"/>
    <w:rsid w:val="00DA1A22"/>
    <w:rsid w:val="00DA1B11"/>
    <w:rsid w:val="00DA2226"/>
    <w:rsid w:val="00DA26C8"/>
    <w:rsid w:val="00DA2B0B"/>
    <w:rsid w:val="00DA32ED"/>
    <w:rsid w:val="00DA4A6F"/>
    <w:rsid w:val="00DA5CA5"/>
    <w:rsid w:val="00DA5E20"/>
    <w:rsid w:val="00DA6220"/>
    <w:rsid w:val="00DA62F7"/>
    <w:rsid w:val="00DA6C37"/>
    <w:rsid w:val="00DA7846"/>
    <w:rsid w:val="00DA7F9B"/>
    <w:rsid w:val="00DB0015"/>
    <w:rsid w:val="00DB0A7C"/>
    <w:rsid w:val="00DB1510"/>
    <w:rsid w:val="00DB3196"/>
    <w:rsid w:val="00DB3553"/>
    <w:rsid w:val="00DB3565"/>
    <w:rsid w:val="00DB5FD3"/>
    <w:rsid w:val="00DB6391"/>
    <w:rsid w:val="00DB649B"/>
    <w:rsid w:val="00DB68E0"/>
    <w:rsid w:val="00DB69BD"/>
    <w:rsid w:val="00DC01A3"/>
    <w:rsid w:val="00DC19F4"/>
    <w:rsid w:val="00DC21CA"/>
    <w:rsid w:val="00DC28DC"/>
    <w:rsid w:val="00DC2CB1"/>
    <w:rsid w:val="00DC3B4F"/>
    <w:rsid w:val="00DC4894"/>
    <w:rsid w:val="00DC4947"/>
    <w:rsid w:val="00DC4A3F"/>
    <w:rsid w:val="00DC4D98"/>
    <w:rsid w:val="00DC4DED"/>
    <w:rsid w:val="00DC5667"/>
    <w:rsid w:val="00DC60D9"/>
    <w:rsid w:val="00DC636F"/>
    <w:rsid w:val="00DC6903"/>
    <w:rsid w:val="00DD02EA"/>
    <w:rsid w:val="00DD1E19"/>
    <w:rsid w:val="00DD3343"/>
    <w:rsid w:val="00DD37C2"/>
    <w:rsid w:val="00DD49E3"/>
    <w:rsid w:val="00DD4CC6"/>
    <w:rsid w:val="00DD72C9"/>
    <w:rsid w:val="00DD7741"/>
    <w:rsid w:val="00DE028A"/>
    <w:rsid w:val="00DE06D3"/>
    <w:rsid w:val="00DE10DA"/>
    <w:rsid w:val="00DE1312"/>
    <w:rsid w:val="00DE1B9C"/>
    <w:rsid w:val="00DE21B3"/>
    <w:rsid w:val="00DE2B34"/>
    <w:rsid w:val="00DE33EB"/>
    <w:rsid w:val="00DE39AE"/>
    <w:rsid w:val="00DE3AFA"/>
    <w:rsid w:val="00DE3FFC"/>
    <w:rsid w:val="00DE5620"/>
    <w:rsid w:val="00DE5C34"/>
    <w:rsid w:val="00DE6743"/>
    <w:rsid w:val="00DF04AA"/>
    <w:rsid w:val="00DF3190"/>
    <w:rsid w:val="00DF34FE"/>
    <w:rsid w:val="00DF554D"/>
    <w:rsid w:val="00DF632E"/>
    <w:rsid w:val="00DF6BD2"/>
    <w:rsid w:val="00DF7EA0"/>
    <w:rsid w:val="00E002BA"/>
    <w:rsid w:val="00E00AAA"/>
    <w:rsid w:val="00E01200"/>
    <w:rsid w:val="00E016F1"/>
    <w:rsid w:val="00E021A5"/>
    <w:rsid w:val="00E04474"/>
    <w:rsid w:val="00E04906"/>
    <w:rsid w:val="00E05B4F"/>
    <w:rsid w:val="00E06E0A"/>
    <w:rsid w:val="00E07155"/>
    <w:rsid w:val="00E07397"/>
    <w:rsid w:val="00E07991"/>
    <w:rsid w:val="00E07A94"/>
    <w:rsid w:val="00E07B60"/>
    <w:rsid w:val="00E07CFE"/>
    <w:rsid w:val="00E1009B"/>
    <w:rsid w:val="00E10275"/>
    <w:rsid w:val="00E10864"/>
    <w:rsid w:val="00E111E6"/>
    <w:rsid w:val="00E112C7"/>
    <w:rsid w:val="00E115C5"/>
    <w:rsid w:val="00E1195B"/>
    <w:rsid w:val="00E11B34"/>
    <w:rsid w:val="00E125A1"/>
    <w:rsid w:val="00E14220"/>
    <w:rsid w:val="00E15189"/>
    <w:rsid w:val="00E15A40"/>
    <w:rsid w:val="00E15FA5"/>
    <w:rsid w:val="00E2093E"/>
    <w:rsid w:val="00E2319E"/>
    <w:rsid w:val="00E23C0A"/>
    <w:rsid w:val="00E23EDB"/>
    <w:rsid w:val="00E2402F"/>
    <w:rsid w:val="00E24D12"/>
    <w:rsid w:val="00E2566F"/>
    <w:rsid w:val="00E25A39"/>
    <w:rsid w:val="00E265A8"/>
    <w:rsid w:val="00E26FA9"/>
    <w:rsid w:val="00E3039A"/>
    <w:rsid w:val="00E312CB"/>
    <w:rsid w:val="00E31676"/>
    <w:rsid w:val="00E3188A"/>
    <w:rsid w:val="00E31A4C"/>
    <w:rsid w:val="00E326EE"/>
    <w:rsid w:val="00E334C6"/>
    <w:rsid w:val="00E33BB5"/>
    <w:rsid w:val="00E360DE"/>
    <w:rsid w:val="00E3686D"/>
    <w:rsid w:val="00E37520"/>
    <w:rsid w:val="00E37851"/>
    <w:rsid w:val="00E41854"/>
    <w:rsid w:val="00E420F2"/>
    <w:rsid w:val="00E42791"/>
    <w:rsid w:val="00E44305"/>
    <w:rsid w:val="00E45AC7"/>
    <w:rsid w:val="00E45B05"/>
    <w:rsid w:val="00E47267"/>
    <w:rsid w:val="00E5011D"/>
    <w:rsid w:val="00E501F5"/>
    <w:rsid w:val="00E507BA"/>
    <w:rsid w:val="00E51215"/>
    <w:rsid w:val="00E51287"/>
    <w:rsid w:val="00E53E55"/>
    <w:rsid w:val="00E5516C"/>
    <w:rsid w:val="00E5561A"/>
    <w:rsid w:val="00E55F1F"/>
    <w:rsid w:val="00E56A57"/>
    <w:rsid w:val="00E56B6B"/>
    <w:rsid w:val="00E578F6"/>
    <w:rsid w:val="00E60157"/>
    <w:rsid w:val="00E60741"/>
    <w:rsid w:val="00E63FB8"/>
    <w:rsid w:val="00E642F7"/>
    <w:rsid w:val="00E647D8"/>
    <w:rsid w:val="00E64EF2"/>
    <w:rsid w:val="00E64FDE"/>
    <w:rsid w:val="00E65113"/>
    <w:rsid w:val="00E65DCC"/>
    <w:rsid w:val="00E6672A"/>
    <w:rsid w:val="00E669C1"/>
    <w:rsid w:val="00E67DCD"/>
    <w:rsid w:val="00E72298"/>
    <w:rsid w:val="00E722A6"/>
    <w:rsid w:val="00E723A3"/>
    <w:rsid w:val="00E72688"/>
    <w:rsid w:val="00E72884"/>
    <w:rsid w:val="00E72CBD"/>
    <w:rsid w:val="00E730FD"/>
    <w:rsid w:val="00E76E83"/>
    <w:rsid w:val="00E77729"/>
    <w:rsid w:val="00E77D45"/>
    <w:rsid w:val="00E8021D"/>
    <w:rsid w:val="00E802AB"/>
    <w:rsid w:val="00E8136B"/>
    <w:rsid w:val="00E84D7B"/>
    <w:rsid w:val="00E858E6"/>
    <w:rsid w:val="00E8633B"/>
    <w:rsid w:val="00E8676F"/>
    <w:rsid w:val="00E86F64"/>
    <w:rsid w:val="00E86F92"/>
    <w:rsid w:val="00E87000"/>
    <w:rsid w:val="00E903D4"/>
    <w:rsid w:val="00E90F52"/>
    <w:rsid w:val="00E917AA"/>
    <w:rsid w:val="00E92710"/>
    <w:rsid w:val="00E92757"/>
    <w:rsid w:val="00E93830"/>
    <w:rsid w:val="00E93957"/>
    <w:rsid w:val="00E93F6F"/>
    <w:rsid w:val="00E9413C"/>
    <w:rsid w:val="00E9434C"/>
    <w:rsid w:val="00E945CF"/>
    <w:rsid w:val="00E95750"/>
    <w:rsid w:val="00E95981"/>
    <w:rsid w:val="00E95F08"/>
    <w:rsid w:val="00E969C6"/>
    <w:rsid w:val="00E973ED"/>
    <w:rsid w:val="00E9754E"/>
    <w:rsid w:val="00EA1E3A"/>
    <w:rsid w:val="00EA27BB"/>
    <w:rsid w:val="00EA2A4F"/>
    <w:rsid w:val="00EA3000"/>
    <w:rsid w:val="00EA420A"/>
    <w:rsid w:val="00EA45F4"/>
    <w:rsid w:val="00EA4990"/>
    <w:rsid w:val="00EA4ABA"/>
    <w:rsid w:val="00EA4C92"/>
    <w:rsid w:val="00EA563A"/>
    <w:rsid w:val="00EA5CCD"/>
    <w:rsid w:val="00EA5E3C"/>
    <w:rsid w:val="00EA64DA"/>
    <w:rsid w:val="00EA64FE"/>
    <w:rsid w:val="00EA659A"/>
    <w:rsid w:val="00EA6B6A"/>
    <w:rsid w:val="00EA6FDD"/>
    <w:rsid w:val="00EA7B99"/>
    <w:rsid w:val="00EA7D7B"/>
    <w:rsid w:val="00EB0FDC"/>
    <w:rsid w:val="00EB2B18"/>
    <w:rsid w:val="00EB3001"/>
    <w:rsid w:val="00EB3C04"/>
    <w:rsid w:val="00EB4B41"/>
    <w:rsid w:val="00EB53E7"/>
    <w:rsid w:val="00EB564C"/>
    <w:rsid w:val="00EB570B"/>
    <w:rsid w:val="00EB61AC"/>
    <w:rsid w:val="00EB6813"/>
    <w:rsid w:val="00EB6D04"/>
    <w:rsid w:val="00EB6DD2"/>
    <w:rsid w:val="00EB73EA"/>
    <w:rsid w:val="00EB7A25"/>
    <w:rsid w:val="00EB7A4B"/>
    <w:rsid w:val="00EB7E40"/>
    <w:rsid w:val="00EB7F39"/>
    <w:rsid w:val="00EC1099"/>
    <w:rsid w:val="00EC1123"/>
    <w:rsid w:val="00EC1D1F"/>
    <w:rsid w:val="00EC22F3"/>
    <w:rsid w:val="00EC2F1C"/>
    <w:rsid w:val="00EC4209"/>
    <w:rsid w:val="00EC4B30"/>
    <w:rsid w:val="00EC50B8"/>
    <w:rsid w:val="00EC5248"/>
    <w:rsid w:val="00EC6BE1"/>
    <w:rsid w:val="00EC79BB"/>
    <w:rsid w:val="00ED058D"/>
    <w:rsid w:val="00ED0736"/>
    <w:rsid w:val="00ED1113"/>
    <w:rsid w:val="00ED2E11"/>
    <w:rsid w:val="00ED32FC"/>
    <w:rsid w:val="00ED374F"/>
    <w:rsid w:val="00ED3A7B"/>
    <w:rsid w:val="00ED3CFC"/>
    <w:rsid w:val="00ED3D52"/>
    <w:rsid w:val="00ED3E70"/>
    <w:rsid w:val="00ED415F"/>
    <w:rsid w:val="00ED43CE"/>
    <w:rsid w:val="00ED45F2"/>
    <w:rsid w:val="00ED4603"/>
    <w:rsid w:val="00ED47B6"/>
    <w:rsid w:val="00ED5650"/>
    <w:rsid w:val="00ED5913"/>
    <w:rsid w:val="00ED5BAC"/>
    <w:rsid w:val="00ED76F4"/>
    <w:rsid w:val="00ED7BE5"/>
    <w:rsid w:val="00EE085F"/>
    <w:rsid w:val="00EE19B8"/>
    <w:rsid w:val="00EE2811"/>
    <w:rsid w:val="00EE298E"/>
    <w:rsid w:val="00EE3AF8"/>
    <w:rsid w:val="00EE41E1"/>
    <w:rsid w:val="00EE4406"/>
    <w:rsid w:val="00EE4E92"/>
    <w:rsid w:val="00EE5DEF"/>
    <w:rsid w:val="00EE643B"/>
    <w:rsid w:val="00EE65CF"/>
    <w:rsid w:val="00EE683F"/>
    <w:rsid w:val="00EE703C"/>
    <w:rsid w:val="00EE790A"/>
    <w:rsid w:val="00EE7C85"/>
    <w:rsid w:val="00EE7DA8"/>
    <w:rsid w:val="00EF089E"/>
    <w:rsid w:val="00EF0ED9"/>
    <w:rsid w:val="00EF10D0"/>
    <w:rsid w:val="00EF2A1B"/>
    <w:rsid w:val="00EF2B2F"/>
    <w:rsid w:val="00EF3A4F"/>
    <w:rsid w:val="00EF42E8"/>
    <w:rsid w:val="00EF44F5"/>
    <w:rsid w:val="00EF55F5"/>
    <w:rsid w:val="00EF67DE"/>
    <w:rsid w:val="00EF7DE2"/>
    <w:rsid w:val="00F00C1D"/>
    <w:rsid w:val="00F00C40"/>
    <w:rsid w:val="00F01A5A"/>
    <w:rsid w:val="00F0232F"/>
    <w:rsid w:val="00F026B9"/>
    <w:rsid w:val="00F02A70"/>
    <w:rsid w:val="00F02DB1"/>
    <w:rsid w:val="00F03095"/>
    <w:rsid w:val="00F0334A"/>
    <w:rsid w:val="00F0340D"/>
    <w:rsid w:val="00F0396F"/>
    <w:rsid w:val="00F03CD3"/>
    <w:rsid w:val="00F0423C"/>
    <w:rsid w:val="00F052AE"/>
    <w:rsid w:val="00F059BE"/>
    <w:rsid w:val="00F05F6B"/>
    <w:rsid w:val="00F06BF3"/>
    <w:rsid w:val="00F073F1"/>
    <w:rsid w:val="00F10DA7"/>
    <w:rsid w:val="00F11259"/>
    <w:rsid w:val="00F11829"/>
    <w:rsid w:val="00F11F81"/>
    <w:rsid w:val="00F129C3"/>
    <w:rsid w:val="00F12EDB"/>
    <w:rsid w:val="00F13CF2"/>
    <w:rsid w:val="00F142C9"/>
    <w:rsid w:val="00F168CB"/>
    <w:rsid w:val="00F16A9D"/>
    <w:rsid w:val="00F16B2F"/>
    <w:rsid w:val="00F16B51"/>
    <w:rsid w:val="00F17B63"/>
    <w:rsid w:val="00F2027F"/>
    <w:rsid w:val="00F2062C"/>
    <w:rsid w:val="00F206A6"/>
    <w:rsid w:val="00F20706"/>
    <w:rsid w:val="00F20EB3"/>
    <w:rsid w:val="00F21485"/>
    <w:rsid w:val="00F21C17"/>
    <w:rsid w:val="00F22189"/>
    <w:rsid w:val="00F223AE"/>
    <w:rsid w:val="00F22416"/>
    <w:rsid w:val="00F22B96"/>
    <w:rsid w:val="00F22CD0"/>
    <w:rsid w:val="00F23358"/>
    <w:rsid w:val="00F23955"/>
    <w:rsid w:val="00F24636"/>
    <w:rsid w:val="00F24B54"/>
    <w:rsid w:val="00F2528B"/>
    <w:rsid w:val="00F252F1"/>
    <w:rsid w:val="00F2699D"/>
    <w:rsid w:val="00F26C6C"/>
    <w:rsid w:val="00F2710E"/>
    <w:rsid w:val="00F3171C"/>
    <w:rsid w:val="00F31EF1"/>
    <w:rsid w:val="00F321DA"/>
    <w:rsid w:val="00F327A9"/>
    <w:rsid w:val="00F32DED"/>
    <w:rsid w:val="00F35472"/>
    <w:rsid w:val="00F35A01"/>
    <w:rsid w:val="00F3616A"/>
    <w:rsid w:val="00F36B73"/>
    <w:rsid w:val="00F36EAC"/>
    <w:rsid w:val="00F3795F"/>
    <w:rsid w:val="00F4004B"/>
    <w:rsid w:val="00F40A90"/>
    <w:rsid w:val="00F40AEC"/>
    <w:rsid w:val="00F40CC4"/>
    <w:rsid w:val="00F416A7"/>
    <w:rsid w:val="00F42472"/>
    <w:rsid w:val="00F426AF"/>
    <w:rsid w:val="00F42DFD"/>
    <w:rsid w:val="00F4317E"/>
    <w:rsid w:val="00F44991"/>
    <w:rsid w:val="00F45E7B"/>
    <w:rsid w:val="00F46315"/>
    <w:rsid w:val="00F46A1F"/>
    <w:rsid w:val="00F47CFA"/>
    <w:rsid w:val="00F47F1E"/>
    <w:rsid w:val="00F47F45"/>
    <w:rsid w:val="00F502CE"/>
    <w:rsid w:val="00F50996"/>
    <w:rsid w:val="00F514E0"/>
    <w:rsid w:val="00F53FFD"/>
    <w:rsid w:val="00F54413"/>
    <w:rsid w:val="00F5452E"/>
    <w:rsid w:val="00F55A83"/>
    <w:rsid w:val="00F5673E"/>
    <w:rsid w:val="00F5679F"/>
    <w:rsid w:val="00F56BE5"/>
    <w:rsid w:val="00F56C26"/>
    <w:rsid w:val="00F578F1"/>
    <w:rsid w:val="00F57A03"/>
    <w:rsid w:val="00F6057F"/>
    <w:rsid w:val="00F6110F"/>
    <w:rsid w:val="00F612CA"/>
    <w:rsid w:val="00F6166E"/>
    <w:rsid w:val="00F618E4"/>
    <w:rsid w:val="00F62A01"/>
    <w:rsid w:val="00F63ADD"/>
    <w:rsid w:val="00F644BF"/>
    <w:rsid w:val="00F648AE"/>
    <w:rsid w:val="00F64966"/>
    <w:rsid w:val="00F649EB"/>
    <w:rsid w:val="00F65DFE"/>
    <w:rsid w:val="00F66413"/>
    <w:rsid w:val="00F66A0B"/>
    <w:rsid w:val="00F66B5B"/>
    <w:rsid w:val="00F674FC"/>
    <w:rsid w:val="00F67CDB"/>
    <w:rsid w:val="00F715B9"/>
    <w:rsid w:val="00F7216C"/>
    <w:rsid w:val="00F73661"/>
    <w:rsid w:val="00F73CBA"/>
    <w:rsid w:val="00F73E53"/>
    <w:rsid w:val="00F7449A"/>
    <w:rsid w:val="00F74D87"/>
    <w:rsid w:val="00F7554D"/>
    <w:rsid w:val="00F75E1C"/>
    <w:rsid w:val="00F75EF1"/>
    <w:rsid w:val="00F75F37"/>
    <w:rsid w:val="00F7634A"/>
    <w:rsid w:val="00F77213"/>
    <w:rsid w:val="00F8079A"/>
    <w:rsid w:val="00F80DF6"/>
    <w:rsid w:val="00F810C8"/>
    <w:rsid w:val="00F81ACC"/>
    <w:rsid w:val="00F81D67"/>
    <w:rsid w:val="00F82DD5"/>
    <w:rsid w:val="00F85ABD"/>
    <w:rsid w:val="00F86395"/>
    <w:rsid w:val="00F863C4"/>
    <w:rsid w:val="00F8685C"/>
    <w:rsid w:val="00F86EBD"/>
    <w:rsid w:val="00F870E7"/>
    <w:rsid w:val="00F874EA"/>
    <w:rsid w:val="00F87765"/>
    <w:rsid w:val="00F91550"/>
    <w:rsid w:val="00F91697"/>
    <w:rsid w:val="00F929A6"/>
    <w:rsid w:val="00F93502"/>
    <w:rsid w:val="00F93642"/>
    <w:rsid w:val="00F93935"/>
    <w:rsid w:val="00F948E2"/>
    <w:rsid w:val="00F94D77"/>
    <w:rsid w:val="00F95BB9"/>
    <w:rsid w:val="00F9694A"/>
    <w:rsid w:val="00F97434"/>
    <w:rsid w:val="00FA03AD"/>
    <w:rsid w:val="00FA043F"/>
    <w:rsid w:val="00FA07A8"/>
    <w:rsid w:val="00FA0FB6"/>
    <w:rsid w:val="00FA2B18"/>
    <w:rsid w:val="00FA3192"/>
    <w:rsid w:val="00FA351D"/>
    <w:rsid w:val="00FA4464"/>
    <w:rsid w:val="00FA4942"/>
    <w:rsid w:val="00FA4FCC"/>
    <w:rsid w:val="00FA5628"/>
    <w:rsid w:val="00FA5942"/>
    <w:rsid w:val="00FA66C1"/>
    <w:rsid w:val="00FA7211"/>
    <w:rsid w:val="00FA7704"/>
    <w:rsid w:val="00FB09F0"/>
    <w:rsid w:val="00FB1083"/>
    <w:rsid w:val="00FB1332"/>
    <w:rsid w:val="00FB1503"/>
    <w:rsid w:val="00FB15F2"/>
    <w:rsid w:val="00FB3F17"/>
    <w:rsid w:val="00FB48D6"/>
    <w:rsid w:val="00FB48F5"/>
    <w:rsid w:val="00FB4F23"/>
    <w:rsid w:val="00FB50CE"/>
    <w:rsid w:val="00FB53C1"/>
    <w:rsid w:val="00FB5D1C"/>
    <w:rsid w:val="00FB6570"/>
    <w:rsid w:val="00FB786B"/>
    <w:rsid w:val="00FC0809"/>
    <w:rsid w:val="00FC1610"/>
    <w:rsid w:val="00FC287C"/>
    <w:rsid w:val="00FC2D64"/>
    <w:rsid w:val="00FC3045"/>
    <w:rsid w:val="00FC3111"/>
    <w:rsid w:val="00FC37BE"/>
    <w:rsid w:val="00FC431A"/>
    <w:rsid w:val="00FC4879"/>
    <w:rsid w:val="00FC4D13"/>
    <w:rsid w:val="00FC507E"/>
    <w:rsid w:val="00FC50A1"/>
    <w:rsid w:val="00FC5AE2"/>
    <w:rsid w:val="00FC6136"/>
    <w:rsid w:val="00FC6841"/>
    <w:rsid w:val="00FC6A3E"/>
    <w:rsid w:val="00FC6DC3"/>
    <w:rsid w:val="00FC6F19"/>
    <w:rsid w:val="00FC7152"/>
    <w:rsid w:val="00FD0BD9"/>
    <w:rsid w:val="00FD0DCE"/>
    <w:rsid w:val="00FD1AE2"/>
    <w:rsid w:val="00FD1F41"/>
    <w:rsid w:val="00FD23C6"/>
    <w:rsid w:val="00FD25D2"/>
    <w:rsid w:val="00FD32B8"/>
    <w:rsid w:val="00FD39E4"/>
    <w:rsid w:val="00FD4B65"/>
    <w:rsid w:val="00FD4EDE"/>
    <w:rsid w:val="00FD57C3"/>
    <w:rsid w:val="00FD5AEA"/>
    <w:rsid w:val="00FD5DEE"/>
    <w:rsid w:val="00FD6E65"/>
    <w:rsid w:val="00FD77F2"/>
    <w:rsid w:val="00FD7B8C"/>
    <w:rsid w:val="00FE0020"/>
    <w:rsid w:val="00FE0216"/>
    <w:rsid w:val="00FE0E41"/>
    <w:rsid w:val="00FE1012"/>
    <w:rsid w:val="00FE1094"/>
    <w:rsid w:val="00FE16BA"/>
    <w:rsid w:val="00FE16BD"/>
    <w:rsid w:val="00FE1D02"/>
    <w:rsid w:val="00FE369E"/>
    <w:rsid w:val="00FE36DB"/>
    <w:rsid w:val="00FE38A4"/>
    <w:rsid w:val="00FE3AC7"/>
    <w:rsid w:val="00FE3F72"/>
    <w:rsid w:val="00FE5003"/>
    <w:rsid w:val="00FE51D1"/>
    <w:rsid w:val="00FE5604"/>
    <w:rsid w:val="00FE5F14"/>
    <w:rsid w:val="00FE6580"/>
    <w:rsid w:val="00FE6910"/>
    <w:rsid w:val="00FE7731"/>
    <w:rsid w:val="00FF006D"/>
    <w:rsid w:val="00FF0DB9"/>
    <w:rsid w:val="00FF0F52"/>
    <w:rsid w:val="00FF1FE0"/>
    <w:rsid w:val="00FF21F3"/>
    <w:rsid w:val="00FF2233"/>
    <w:rsid w:val="00FF3F93"/>
    <w:rsid w:val="00FF41FC"/>
    <w:rsid w:val="00FF549B"/>
    <w:rsid w:val="00FF5A58"/>
    <w:rsid w:val="00FF6087"/>
    <w:rsid w:val="00FF62CD"/>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26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paragraph" w:customStyle="1" w:styleId="tv213">
    <w:name w:val="tv213"/>
    <w:basedOn w:val="Normal"/>
    <w:rsid w:val="00693EFE"/>
    <w:pPr>
      <w:spacing w:before="100" w:beforeAutospacing="1" w:after="100" w:afterAutospacing="1"/>
    </w:pPr>
    <w:rPr>
      <w:lang w:val="en-US" w:eastAsia="en-US"/>
    </w:rPr>
  </w:style>
  <w:style w:type="paragraph" w:customStyle="1" w:styleId="ATpamatteksts">
    <w:name w:val="AT pamatteksts"/>
    <w:basedOn w:val="Normal"/>
    <w:link w:val="ATpamattekstsChar"/>
    <w:qFormat/>
    <w:rsid w:val="003E0672"/>
    <w:pPr>
      <w:spacing w:line="276" w:lineRule="auto"/>
      <w:ind w:firstLine="567"/>
      <w:jc w:val="both"/>
    </w:pPr>
  </w:style>
  <w:style w:type="character" w:customStyle="1" w:styleId="ATpamattekstsChar">
    <w:name w:val="AT pamatteksts Char"/>
    <w:basedOn w:val="DefaultParagraphFont"/>
    <w:link w:val="ATpamatteksts"/>
    <w:rsid w:val="003E0672"/>
    <w:rPr>
      <w:rFonts w:eastAsia="Times New Roman" w:cs="Times New Roman"/>
      <w:szCs w:val="24"/>
      <w:lang w:eastAsia="ru-RU"/>
    </w:rPr>
  </w:style>
  <w:style w:type="character" w:styleId="UnresolvedMention">
    <w:name w:val="Unresolved Mention"/>
    <w:basedOn w:val="DefaultParagraphFont"/>
    <w:uiPriority w:val="99"/>
    <w:semiHidden/>
    <w:unhideWhenUsed/>
    <w:rsid w:val="002A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16628204">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789782141">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15166298">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04806713">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27549122">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80338351">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394682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62167213">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63368647">
      <w:bodyDiv w:val="1"/>
      <w:marLeft w:val="0"/>
      <w:marRight w:val="0"/>
      <w:marTop w:val="0"/>
      <w:marBottom w:val="0"/>
      <w:divBdr>
        <w:top w:val="none" w:sz="0" w:space="0" w:color="auto"/>
        <w:left w:val="none" w:sz="0" w:space="0" w:color="auto"/>
        <w:bottom w:val="none" w:sz="0" w:space="0" w:color="auto"/>
        <w:right w:val="none" w:sz="0" w:space="0" w:color="auto"/>
      </w:divBdr>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599872716">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78474972">
      <w:bodyDiv w:val="1"/>
      <w:marLeft w:val="0"/>
      <w:marRight w:val="0"/>
      <w:marTop w:val="0"/>
      <w:marBottom w:val="0"/>
      <w:divBdr>
        <w:top w:val="none" w:sz="0" w:space="0" w:color="auto"/>
        <w:left w:val="none" w:sz="0" w:space="0" w:color="auto"/>
        <w:bottom w:val="none" w:sz="0" w:space="0" w:color="auto"/>
        <w:right w:val="none" w:sz="0" w:space="0" w:color="auto"/>
      </w:divBdr>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32076.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96708-DD07-46D0-B896-FA07E470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25943</Words>
  <Characters>14789</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2020-12-02T10:36:00Z</dcterms:created>
  <dcterms:modified xsi:type="dcterms:W3CDTF">2020-12-10T10:08:00Z</dcterms:modified>
</cp:coreProperties>
</file>