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12FB1" w14:textId="77777777" w:rsidR="005A0843" w:rsidRDefault="005A0843" w:rsidP="005A0843">
      <w:pPr>
        <w:spacing w:line="276" w:lineRule="auto"/>
        <w:jc w:val="both"/>
        <w:rPr>
          <w:b/>
          <w:bCs/>
        </w:rPr>
      </w:pPr>
      <w:r>
        <w:rPr>
          <w:b/>
          <w:bCs/>
        </w:rPr>
        <w:t>Novērtējamie apstākļi, lemjot par nodokļa maksātāja tiesībām iesniegt jaunus pierādījumus tiesvedības laikā</w:t>
      </w:r>
    </w:p>
    <w:p w14:paraId="67EF9647" w14:textId="77777777" w:rsidR="005A0843" w:rsidRDefault="005A0843" w:rsidP="005A0843">
      <w:pPr>
        <w:spacing w:line="276" w:lineRule="auto"/>
        <w:jc w:val="both"/>
      </w:pPr>
      <w:r>
        <w:t>1. Gadījumos, kad nodokļu maksātājs jaunus pierādījumus iesniedz tikai tiesvedības laikā, vispirms nepieciešams novērtēt nodokļu maksātāja norādītos iemeslus, kuru dēļ pierādījumi netika iesniegti jau iestādē. Nekonstatējot objektīvus šķēršļus pierādījumu savlaicīgai iesniegšanai, tiesa var atteikt pieņemt tiesvedības laikā iesniegtos pierādījumus.</w:t>
      </w:r>
    </w:p>
    <w:p w14:paraId="6D652118" w14:textId="77777777" w:rsidR="005A0843" w:rsidRDefault="005A0843" w:rsidP="005A0843">
      <w:pPr>
        <w:spacing w:line="276" w:lineRule="auto"/>
        <w:jc w:val="both"/>
      </w:pPr>
      <w:r>
        <w:t>2. Gadījumos, ja jauni pierādījumi tiek iesniegti tikai tiesvedības laikā, personas norādītie iemesli pierādījumu savlaicīgai neiesniegšanai vērtējami kopsakarā ar pierādīšanas līdzekļiem, kuros fiksēti attiecīgie pierādījumi jeb ziņas. Jo lielāka ticamības un drošības pakāpe ir piešķirama pierādīšanas līdzeklim, jo nopietnākam pamatam jābūt attiecīgo pierādījumu izslēgšanai no pierādījumu kopuma.</w:t>
      </w:r>
    </w:p>
    <w:p w14:paraId="3C1550E3" w14:textId="4DFF6711" w:rsidR="00FB34F6" w:rsidRPr="005A0843" w:rsidRDefault="005A0843" w:rsidP="005A0843">
      <w:pPr>
        <w:spacing w:line="276" w:lineRule="auto"/>
        <w:jc w:val="both"/>
      </w:pPr>
      <w:r>
        <w:t>3. Judikatūras atziņas, kas paustas par gadījumiem, kad nodokļu maksātājs jaunus pierādījumus iesniedz tikai tiesvedības laikā, vērstas nevis uz to, lai ierobežotu tiesu izmantot tiesvedības laikā iesniegtos pierādījumus, bet gan, lai izskaidrotu nodokļu maksātājiem pienākumu līdzdarboties ar nodokļu administrāciju un jau audita laikā iesniegt visus nepieciešamos pierādījumus, tādējādi nodrošinot pilnvērtīgu, vispusīgu un objektīvu nodokļu audita veikšanu.</w:t>
      </w:r>
    </w:p>
    <w:p w14:paraId="7F52D599" w14:textId="77777777" w:rsidR="00FB34F6" w:rsidRDefault="00FB34F6" w:rsidP="006B7BBC">
      <w:pPr>
        <w:spacing w:line="276" w:lineRule="auto"/>
        <w:jc w:val="center"/>
        <w:rPr>
          <w:b/>
        </w:rPr>
      </w:pPr>
    </w:p>
    <w:p w14:paraId="5B96512A" w14:textId="0948774C" w:rsidR="006B7BBC" w:rsidRDefault="006B7BBC" w:rsidP="006B7BBC">
      <w:pPr>
        <w:spacing w:line="276" w:lineRule="auto"/>
        <w:jc w:val="center"/>
        <w:rPr>
          <w:b/>
        </w:rPr>
      </w:pPr>
      <w:r w:rsidRPr="00FB34F6">
        <w:rPr>
          <w:b/>
        </w:rPr>
        <w:t>Latvijas Republikas Senāt</w:t>
      </w:r>
      <w:r w:rsidR="00FB34F6">
        <w:rPr>
          <w:b/>
        </w:rPr>
        <w:t>a</w:t>
      </w:r>
    </w:p>
    <w:p w14:paraId="385419BC" w14:textId="5B63A50A" w:rsidR="00FB34F6" w:rsidRDefault="00FB34F6" w:rsidP="006B7BBC">
      <w:pPr>
        <w:spacing w:line="276" w:lineRule="auto"/>
        <w:jc w:val="center"/>
        <w:rPr>
          <w:b/>
        </w:rPr>
      </w:pPr>
      <w:r>
        <w:rPr>
          <w:b/>
        </w:rPr>
        <w:t>Administratīvo lietu departamenta</w:t>
      </w:r>
    </w:p>
    <w:p w14:paraId="18BF66B9" w14:textId="6A86F746" w:rsidR="00FB34F6" w:rsidRPr="00FB34F6" w:rsidRDefault="00FB34F6" w:rsidP="006B7BBC">
      <w:pPr>
        <w:spacing w:line="276" w:lineRule="auto"/>
        <w:jc w:val="center"/>
        <w:rPr>
          <w:b/>
        </w:rPr>
      </w:pPr>
      <w:proofErr w:type="gramStart"/>
      <w:r>
        <w:rPr>
          <w:b/>
        </w:rPr>
        <w:t>2020.gada</w:t>
      </w:r>
      <w:proofErr w:type="gramEnd"/>
      <w:r>
        <w:rPr>
          <w:b/>
        </w:rPr>
        <w:t xml:space="preserve"> 17.novembra</w:t>
      </w:r>
    </w:p>
    <w:p w14:paraId="30B4B012" w14:textId="568533B3" w:rsidR="006B7BBC" w:rsidRDefault="0089619C" w:rsidP="006B7BBC">
      <w:pPr>
        <w:spacing w:line="276" w:lineRule="auto"/>
        <w:jc w:val="center"/>
        <w:rPr>
          <w:b/>
        </w:rPr>
      </w:pPr>
      <w:r w:rsidRPr="00FB34F6">
        <w:rPr>
          <w:b/>
        </w:rPr>
        <w:t>SPRIEDUMS</w:t>
      </w:r>
    </w:p>
    <w:p w14:paraId="4F1D3404" w14:textId="56528CE3" w:rsidR="00FB34F6" w:rsidRDefault="00FB34F6" w:rsidP="006B7BBC">
      <w:pPr>
        <w:spacing w:line="276" w:lineRule="auto"/>
        <w:jc w:val="center"/>
        <w:rPr>
          <w:b/>
        </w:rPr>
      </w:pPr>
      <w:r>
        <w:rPr>
          <w:b/>
        </w:rPr>
        <w:t>Lieta Nr. A420319315, SKA-201/2020</w:t>
      </w:r>
    </w:p>
    <w:p w14:paraId="37F3BECD" w14:textId="44885C85" w:rsidR="00FB34F6" w:rsidRPr="00FB34F6" w:rsidRDefault="000551F7" w:rsidP="006B7BBC">
      <w:pPr>
        <w:spacing w:line="276" w:lineRule="auto"/>
        <w:jc w:val="center"/>
        <w:rPr>
          <w:b/>
        </w:rPr>
      </w:pPr>
      <w:hyperlink r:id="rId8" w:history="1">
        <w:r w:rsidR="00FB34F6" w:rsidRPr="00FB34F6">
          <w:rPr>
            <w:rStyle w:val="Hyperlink"/>
          </w:rPr>
          <w:t>ECLI:LV:AT:2020:1117.A420319315.4.S</w:t>
        </w:r>
      </w:hyperlink>
    </w:p>
    <w:p w14:paraId="2F242BC5" w14:textId="77777777" w:rsidR="006B7BBC" w:rsidRDefault="006B7BBC" w:rsidP="006B7BBC">
      <w:pPr>
        <w:spacing w:line="276" w:lineRule="auto"/>
        <w:ind w:firstLine="567"/>
        <w:jc w:val="both"/>
      </w:pPr>
    </w:p>
    <w:p w14:paraId="19AFEF33" w14:textId="67A374E9" w:rsidR="006B7BBC" w:rsidRDefault="006B7BBC" w:rsidP="006B7BBC">
      <w:pPr>
        <w:spacing w:line="276" w:lineRule="auto"/>
        <w:ind w:firstLine="567"/>
        <w:jc w:val="both"/>
      </w:pPr>
      <w:r w:rsidRPr="00B75A4A">
        <w:t>Tiesa</w:t>
      </w:r>
      <w:r w:rsidRPr="0015480A">
        <w:t xml:space="preserve"> šādā sastāvā: senator</w:t>
      </w:r>
      <w:r w:rsidR="007D5322">
        <w:t>es</w:t>
      </w:r>
      <w:r w:rsidR="00661575">
        <w:t xml:space="preserve"> Diāna Makarova</w:t>
      </w:r>
      <w:r w:rsidR="007D5322">
        <w:t>, Veronika Krūmiņa</w:t>
      </w:r>
      <w:r w:rsidR="00661575">
        <w:t xml:space="preserve">, </w:t>
      </w:r>
      <w:r w:rsidR="00E00311">
        <w:t>Ieva Višķere</w:t>
      </w:r>
    </w:p>
    <w:p w14:paraId="3049557F" w14:textId="77777777" w:rsidR="003047F5" w:rsidRPr="0082381C" w:rsidRDefault="003047F5" w:rsidP="000B0A3A">
      <w:pPr>
        <w:spacing w:line="276" w:lineRule="auto"/>
        <w:ind w:firstLine="567"/>
        <w:jc w:val="both"/>
      </w:pPr>
    </w:p>
    <w:p w14:paraId="45FEDFF2" w14:textId="06B1825C" w:rsidR="003047F5" w:rsidRPr="0082381C" w:rsidRDefault="00941626" w:rsidP="008E5AFF">
      <w:pPr>
        <w:spacing w:line="276" w:lineRule="auto"/>
        <w:ind w:firstLine="567"/>
        <w:jc w:val="both"/>
      </w:pPr>
      <w:r w:rsidRPr="0082381C">
        <w:t>rakstveida procesā izskatīja administratīvo lietu, k</w:t>
      </w:r>
      <w:r w:rsidR="007D5322">
        <w:t xml:space="preserve">as ierosināta, pamatojoties uz </w:t>
      </w:r>
      <w:proofErr w:type="gramStart"/>
      <w:r w:rsidR="000233D6">
        <w:t>[</w:t>
      </w:r>
      <w:proofErr w:type="gramEnd"/>
      <w:r w:rsidR="000233D6">
        <w:t>pers. A]</w:t>
      </w:r>
      <w:r w:rsidR="00E00311">
        <w:t xml:space="preserve"> </w:t>
      </w:r>
      <w:r w:rsidR="007D5322">
        <w:t xml:space="preserve">pieteikumu par Valsts ieņēmumu dienesta </w:t>
      </w:r>
      <w:bookmarkStart w:id="0" w:name="_Hlk52009492"/>
      <w:proofErr w:type="gramStart"/>
      <w:r w:rsidR="007D5322">
        <w:t>201</w:t>
      </w:r>
      <w:r w:rsidR="00E00311">
        <w:t>5</w:t>
      </w:r>
      <w:r w:rsidR="007D5322">
        <w:t>.gada</w:t>
      </w:r>
      <w:proofErr w:type="gramEnd"/>
      <w:r w:rsidR="007D5322">
        <w:t xml:space="preserve"> </w:t>
      </w:r>
      <w:bookmarkStart w:id="1" w:name="_Hlk49712585"/>
      <w:r w:rsidR="00E00311">
        <w:t>1</w:t>
      </w:r>
      <w:r w:rsidR="00486881">
        <w:t xml:space="preserve">5.septembra </w:t>
      </w:r>
      <w:r w:rsidR="00661575">
        <w:t xml:space="preserve">lēmuma </w:t>
      </w:r>
      <w:r w:rsidR="00994B00">
        <w:t>Nr. </w:t>
      </w:r>
      <w:r w:rsidR="00E00311">
        <w:t>22.10/L-</w:t>
      </w:r>
      <w:r w:rsidR="00486881">
        <w:t>37201</w:t>
      </w:r>
      <w:r w:rsidR="00994B00">
        <w:t xml:space="preserve"> </w:t>
      </w:r>
      <w:bookmarkEnd w:id="0"/>
      <w:bookmarkEnd w:id="1"/>
      <w:r w:rsidR="00994B00">
        <w:t>atcelšanu</w:t>
      </w:r>
      <w:r w:rsidR="00486881">
        <w:t xml:space="preserve"> daļā</w:t>
      </w:r>
      <w:r w:rsidRPr="0082381C">
        <w:t>, s</w:t>
      </w:r>
      <w:r w:rsidR="008570F8">
        <w:t>a</w:t>
      </w:r>
      <w:r w:rsidRPr="0082381C">
        <w:t xml:space="preserve">karā ar </w:t>
      </w:r>
      <w:r w:rsidR="00486881">
        <w:t>Valsts ieņēmumu dienesta k</w:t>
      </w:r>
      <w:r w:rsidRPr="0082381C">
        <w:t>asācijas sūdzīb</w:t>
      </w:r>
      <w:r w:rsidR="00486881">
        <w:t>u</w:t>
      </w:r>
      <w:r w:rsidRPr="0082381C">
        <w:t xml:space="preserve"> par </w:t>
      </w:r>
      <w:r w:rsidR="007D5322">
        <w:t>Administratīvās apgabaltiesas 201</w:t>
      </w:r>
      <w:r w:rsidR="0047273E">
        <w:t>8</w:t>
      </w:r>
      <w:r w:rsidR="007D5322">
        <w:t xml:space="preserve">.gada </w:t>
      </w:r>
      <w:r w:rsidR="00486881">
        <w:t>6.februāra</w:t>
      </w:r>
      <w:r w:rsidR="00E00311">
        <w:t xml:space="preserve"> </w:t>
      </w:r>
      <w:r w:rsidR="0047273E">
        <w:t>s</w:t>
      </w:r>
      <w:r w:rsidRPr="0082381C">
        <w:t>priedumu</w:t>
      </w:r>
      <w:r w:rsidR="00F420AF">
        <w:t xml:space="preserve"> daļā</w:t>
      </w:r>
      <w:r w:rsidRPr="0082381C">
        <w:t>.</w:t>
      </w:r>
    </w:p>
    <w:p w14:paraId="5DE22EF3" w14:textId="77777777" w:rsidR="00A6596A" w:rsidRPr="0082381C" w:rsidRDefault="00A6596A" w:rsidP="008E5AFF">
      <w:pPr>
        <w:spacing w:line="276" w:lineRule="auto"/>
        <w:ind w:firstLine="567"/>
        <w:jc w:val="both"/>
      </w:pPr>
    </w:p>
    <w:p w14:paraId="49301551" w14:textId="77777777" w:rsidR="003047F5" w:rsidRPr="0082381C" w:rsidRDefault="003047F5" w:rsidP="008E5AF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8E5AFF">
      <w:pPr>
        <w:spacing w:line="276" w:lineRule="auto"/>
        <w:ind w:firstLine="567"/>
        <w:jc w:val="both"/>
      </w:pPr>
    </w:p>
    <w:p w14:paraId="4F154C0F" w14:textId="730DA602" w:rsidR="003C1CEC" w:rsidRDefault="003047F5" w:rsidP="0064551F">
      <w:pPr>
        <w:spacing w:line="276" w:lineRule="auto"/>
        <w:ind w:firstLine="567"/>
        <w:jc w:val="both"/>
      </w:pPr>
      <w:r w:rsidRPr="0082381C">
        <w:t>[1] </w:t>
      </w:r>
      <w:r w:rsidR="009B2B7A">
        <w:t>Valsts ieņēmumu dienests pieteicēja</w:t>
      </w:r>
      <w:r w:rsidR="00486881">
        <w:t xml:space="preserve">m </w:t>
      </w:r>
      <w:r w:rsidR="000233D6">
        <w:t>[pers. A]</w:t>
      </w:r>
      <w:r w:rsidR="009B2B7A">
        <w:t xml:space="preserve"> veica </w:t>
      </w:r>
      <w:r w:rsidR="00486881">
        <w:t xml:space="preserve">iedzīvotāju ienākuma nodokļa </w:t>
      </w:r>
      <w:r w:rsidR="009B2B7A">
        <w:t>auditu par</w:t>
      </w:r>
      <w:r w:rsidR="00486881">
        <w:t xml:space="preserve"> 2012. un </w:t>
      </w:r>
      <w:proofErr w:type="gramStart"/>
      <w:r w:rsidR="00486881">
        <w:t>2013.gadu</w:t>
      </w:r>
      <w:proofErr w:type="gramEnd"/>
      <w:r w:rsidR="00486881">
        <w:t xml:space="preserve">. </w:t>
      </w:r>
      <w:r w:rsidR="007128B8">
        <w:t xml:space="preserve">Administratīvais process iestādē noslēdzās ar Valsts ieņēmumu dienesta </w:t>
      </w:r>
      <w:proofErr w:type="gramStart"/>
      <w:r w:rsidR="007128B8">
        <w:t>201</w:t>
      </w:r>
      <w:r w:rsidR="00A30ECF">
        <w:t>5</w:t>
      </w:r>
      <w:r w:rsidR="007128B8">
        <w:t>.gada</w:t>
      </w:r>
      <w:proofErr w:type="gramEnd"/>
      <w:r w:rsidR="007128B8">
        <w:t xml:space="preserve"> </w:t>
      </w:r>
      <w:r w:rsidR="00486881">
        <w:t xml:space="preserve">15.septembra lēmumu </w:t>
      </w:r>
      <w:r w:rsidR="009B2B7A">
        <w:t>Nr. 22.10/</w:t>
      </w:r>
      <w:r w:rsidR="00486881">
        <w:t>L</w:t>
      </w:r>
      <w:r w:rsidR="009B2B7A">
        <w:t>-</w:t>
      </w:r>
      <w:r w:rsidR="00486881">
        <w:t>37201</w:t>
      </w:r>
      <w:r w:rsidR="009B2B7A">
        <w:t>, ar kuru pieteicēja</w:t>
      </w:r>
      <w:r w:rsidR="00486881">
        <w:t>m</w:t>
      </w:r>
      <w:r w:rsidR="009B2B7A">
        <w:t xml:space="preserve"> papildus aprēķināts iedzīvotāju ienākuma nodoklis, nokavējuma un soda nauda</w:t>
      </w:r>
      <w:r w:rsidR="00486881">
        <w:t>, kā arī samazināti papildu deklarācijā uzrādītie skaidras naudas uzkrājumi uz 2012.gada 1.janvāri</w:t>
      </w:r>
      <w:r w:rsidR="00B06F22">
        <w:t>,</w:t>
      </w:r>
      <w:r w:rsidR="00486881">
        <w:t xml:space="preserve"> 31.decembri</w:t>
      </w:r>
      <w:r w:rsidR="00B06F22">
        <w:t xml:space="preserve"> un</w:t>
      </w:r>
      <w:r w:rsidR="00486881">
        <w:t xml:space="preserve"> 2013.gada 31.decembri. Valsts ieņēmumu dienests atzina, ka</w:t>
      </w:r>
      <w:r w:rsidR="007E5D46">
        <w:t xml:space="preserve"> pieteicēja līdzekļu izlietojums pārsniedz līdzekļu avotus, līdz ar </w:t>
      </w:r>
      <w:r w:rsidR="00705191">
        <w:t>k</w:t>
      </w:r>
      <w:r w:rsidR="007E5D46">
        <w:t xml:space="preserve">o pieteicējam ir konstatējams slēptais apliekamais ienākums un </w:t>
      </w:r>
      <w:r w:rsidR="003C1CEC">
        <w:t xml:space="preserve">nav </w:t>
      </w:r>
      <w:r w:rsidR="007E5D46">
        <w:t>atzīstam</w:t>
      </w:r>
      <w:r w:rsidR="003C1CEC">
        <w:t xml:space="preserve">i </w:t>
      </w:r>
      <w:r w:rsidR="00B06F22">
        <w:t xml:space="preserve">deklarētie </w:t>
      </w:r>
      <w:r w:rsidR="003C1CEC">
        <w:t>skaidr</w:t>
      </w:r>
      <w:r w:rsidR="00B06F22">
        <w:t>a</w:t>
      </w:r>
      <w:r w:rsidR="003C1CEC">
        <w:t>s naudas uzkrājumi.</w:t>
      </w:r>
    </w:p>
    <w:p w14:paraId="74B4A675" w14:textId="77777777" w:rsidR="009B2B7A" w:rsidRDefault="009B2B7A" w:rsidP="00661575">
      <w:pPr>
        <w:spacing w:line="276" w:lineRule="auto"/>
        <w:ind w:firstLine="567"/>
        <w:jc w:val="both"/>
      </w:pPr>
    </w:p>
    <w:p w14:paraId="658426D2" w14:textId="1FFB0DCD" w:rsidR="00A6387D" w:rsidRDefault="00661575" w:rsidP="00661575">
      <w:pPr>
        <w:spacing w:line="276" w:lineRule="auto"/>
        <w:ind w:firstLine="567"/>
        <w:jc w:val="both"/>
      </w:pPr>
      <w:r>
        <w:t>[</w:t>
      </w:r>
      <w:r w:rsidR="007518B8">
        <w:t>2</w:t>
      </w:r>
      <w:r>
        <w:t>]</w:t>
      </w:r>
      <w:r w:rsidR="007518B8">
        <w:t> </w:t>
      </w:r>
      <w:r>
        <w:t>Pieteicēj</w:t>
      </w:r>
      <w:r w:rsidR="003C1CEC">
        <w:t>s</w:t>
      </w:r>
      <w:r>
        <w:t xml:space="preserve"> </w:t>
      </w:r>
      <w:r w:rsidR="009B2B7A">
        <w:t xml:space="preserve">vērsās tiesā ar pieteikumu par </w:t>
      </w:r>
      <w:r w:rsidR="00A6387D">
        <w:t>administratīvā akta atcelšanu.</w:t>
      </w:r>
    </w:p>
    <w:p w14:paraId="013FB7B5" w14:textId="77777777" w:rsidR="00A6387D" w:rsidRDefault="00A6387D" w:rsidP="00661575">
      <w:pPr>
        <w:spacing w:line="276" w:lineRule="auto"/>
        <w:ind w:firstLine="567"/>
        <w:jc w:val="both"/>
      </w:pPr>
    </w:p>
    <w:p w14:paraId="5BCEDAE7" w14:textId="7EF84B36" w:rsidR="00B06F22" w:rsidRDefault="00A6387D" w:rsidP="00661575">
      <w:pPr>
        <w:spacing w:line="276" w:lineRule="auto"/>
        <w:ind w:firstLine="567"/>
        <w:jc w:val="both"/>
      </w:pPr>
      <w:r>
        <w:t>[</w:t>
      </w:r>
      <w:r w:rsidR="004815A4">
        <w:t>3</w:t>
      </w:r>
      <w:r>
        <w:t xml:space="preserve">] Izskatījusi lietu apelācijas kārtībā, </w:t>
      </w:r>
      <w:r w:rsidR="00330DF5">
        <w:t>Administratīvā apgabaltiesa</w:t>
      </w:r>
      <w:r w:rsidR="00661575">
        <w:t xml:space="preserve"> ar </w:t>
      </w:r>
      <w:proofErr w:type="gramStart"/>
      <w:r w:rsidR="00661575">
        <w:t>201</w:t>
      </w:r>
      <w:r w:rsidR="00330DF5">
        <w:t>8</w:t>
      </w:r>
      <w:r w:rsidR="00661575">
        <w:t>.gada</w:t>
      </w:r>
      <w:proofErr w:type="gramEnd"/>
      <w:r w:rsidR="00661575">
        <w:t xml:space="preserve"> </w:t>
      </w:r>
      <w:r w:rsidR="00486881">
        <w:t xml:space="preserve">6.februāra </w:t>
      </w:r>
      <w:r w:rsidR="00661575">
        <w:t xml:space="preserve">spriedumu pieteikumu </w:t>
      </w:r>
      <w:r w:rsidR="00097831">
        <w:t>apmierināja</w:t>
      </w:r>
      <w:r w:rsidR="00D31B06">
        <w:t xml:space="preserve"> daļēji</w:t>
      </w:r>
      <w:r w:rsidR="00B06F22">
        <w:t>, norādot šādus argumentus un apsvērumus.</w:t>
      </w:r>
    </w:p>
    <w:p w14:paraId="050CFEFB" w14:textId="77777777" w:rsidR="00B06F22" w:rsidRDefault="00D31B06" w:rsidP="008E6FAA">
      <w:pPr>
        <w:spacing w:line="276" w:lineRule="auto"/>
        <w:ind w:firstLine="567"/>
        <w:jc w:val="both"/>
      </w:pPr>
      <w:r>
        <w:lastRenderedPageBreak/>
        <w:t>[</w:t>
      </w:r>
      <w:r w:rsidR="004815A4">
        <w:t>3.1</w:t>
      </w:r>
      <w:r>
        <w:t>]</w:t>
      </w:r>
      <w:r w:rsidR="00536C29">
        <w:t> </w:t>
      </w:r>
      <w:r w:rsidR="008B7F35">
        <w:t>Valsts ieņēmumu dienests</w:t>
      </w:r>
      <w:r w:rsidR="00373296">
        <w:t xml:space="preserve"> nepamatoti konstatēja, ka </w:t>
      </w:r>
      <w:r w:rsidR="008B7F35">
        <w:t xml:space="preserve">pieteicēja līdzekļu izlietojums </w:t>
      </w:r>
      <w:proofErr w:type="gramStart"/>
      <w:r w:rsidR="008B7F35">
        <w:t>2012.gadā</w:t>
      </w:r>
      <w:proofErr w:type="gramEnd"/>
      <w:r w:rsidR="008B7F35">
        <w:t xml:space="preserve"> pārsniedza līdzekļu avotus.</w:t>
      </w:r>
      <w:r w:rsidR="00373296">
        <w:t xml:space="preserve"> Š</w:t>
      </w:r>
      <w:r w:rsidR="008B7F35">
        <w:t>āds secinājums neatbilst lietā noskaidrotajiem apstākļiem un iegūtajiem pierādījumiem, no kuriem izriet, ka pieteicējs 2012.gadā pārdev</w:t>
      </w:r>
      <w:r w:rsidR="00373296">
        <w:t>a</w:t>
      </w:r>
      <w:r w:rsidR="008B7F35">
        <w:t xml:space="preserve"> sev piederošu automašīnu, gūstot ienākumus. Jaunā automašīnas īpašniece pirmās instances tiesas sēdē sniegtajās liecībās apstiprināj</w:t>
      </w:r>
      <w:r w:rsidR="008E6FAA">
        <w:t>a</w:t>
      </w:r>
      <w:r w:rsidR="008B7F35">
        <w:t>, ka samaksāj</w:t>
      </w:r>
      <w:r w:rsidR="00373296">
        <w:t>a</w:t>
      </w:r>
      <w:r w:rsidR="008B7F35">
        <w:t xml:space="preserve"> pieteicējam par nopirkto automašīnu, vienlaikus izskaidrojot, kāpēc Valsts ieņēmumu dienestam</w:t>
      </w:r>
      <w:r w:rsidR="00B06F22">
        <w:t xml:space="preserve"> telefoniski, iespējams, </w:t>
      </w:r>
      <w:r w:rsidR="00705191">
        <w:t>minēja,</w:t>
      </w:r>
      <w:r w:rsidR="008B7F35">
        <w:t xml:space="preserve"> ka pieteicējs automašīnu viņai uzdāvināja. </w:t>
      </w:r>
      <w:r w:rsidR="00705191">
        <w:t xml:space="preserve">Lietā noskaidrotie apstākļi neliecina, ka pieteicējam ar liecinieci bija tādas attiecības, ka pieteicējs sev piederošu automašīnu lieciniecei nodeva bez atlīdzības. </w:t>
      </w:r>
      <w:r w:rsidR="00B06F22">
        <w:t>Valsts ieņēmumu dienests pretējo nav norādījis.</w:t>
      </w:r>
    </w:p>
    <w:p w14:paraId="22AA2D02" w14:textId="3710A9CD" w:rsidR="008B7F35" w:rsidRDefault="008E6FAA" w:rsidP="008E6FAA">
      <w:pPr>
        <w:spacing w:line="276" w:lineRule="auto"/>
        <w:ind w:firstLine="567"/>
        <w:jc w:val="both"/>
      </w:pPr>
      <w:r>
        <w:t xml:space="preserve">Ievērojot minēto, kā arī apstākli, ka </w:t>
      </w:r>
      <w:r w:rsidR="008B7F35">
        <w:t xml:space="preserve">automašīnas pārdošanas cena pārsniedz Valsts ieņēmumu dienesta </w:t>
      </w:r>
      <w:r w:rsidR="00373296">
        <w:t>konstatēt</w:t>
      </w:r>
      <w:r w:rsidR="00B06F22">
        <w:t>o</w:t>
      </w:r>
      <w:r w:rsidR="00373296">
        <w:t xml:space="preserve"> </w:t>
      </w:r>
      <w:r w:rsidR="008B7F35">
        <w:t xml:space="preserve">pieteicēja slēpto ienākumu </w:t>
      </w:r>
      <w:proofErr w:type="gramStart"/>
      <w:r w:rsidR="008B7F35">
        <w:t>2012.gadā</w:t>
      </w:r>
      <w:proofErr w:type="gramEnd"/>
      <w:r w:rsidR="008B7F35">
        <w:t>, dienesta lēmums ir atceļams daļā par</w:t>
      </w:r>
      <w:r w:rsidR="00A84E46">
        <w:t xml:space="preserve"> pieteicējam</w:t>
      </w:r>
      <w:r w:rsidR="008B7F35">
        <w:t xml:space="preserve"> 2012.gadā konstatēto slēpto </w:t>
      </w:r>
      <w:r w:rsidR="00B06F22">
        <w:t xml:space="preserve">apliekamo </w:t>
      </w:r>
      <w:r w:rsidR="008B7F35">
        <w:t>ienākumu un saistībā ar to aprēķināto iedzīvotāju ienākuma nodokli, nokavējuma un soda naudu.</w:t>
      </w:r>
    </w:p>
    <w:p w14:paraId="0CCE71FE" w14:textId="4F43046F" w:rsidR="00386C98" w:rsidRDefault="008B7F35" w:rsidP="00373296">
      <w:pPr>
        <w:spacing w:line="276" w:lineRule="auto"/>
        <w:ind w:firstLine="567"/>
        <w:jc w:val="both"/>
      </w:pPr>
      <w:r>
        <w:t>[</w:t>
      </w:r>
      <w:r w:rsidR="00536C29">
        <w:t>3.</w:t>
      </w:r>
      <w:r w:rsidR="00B06F22">
        <w:t>2</w:t>
      </w:r>
      <w:r>
        <w:t>] Valsts ieņēmumu dienests pieteicēja slēpto ienākumu konstatēj</w:t>
      </w:r>
      <w:r w:rsidR="00373296">
        <w:t>a</w:t>
      </w:r>
      <w:r>
        <w:t xml:space="preserve"> arī </w:t>
      </w:r>
      <w:proofErr w:type="gramStart"/>
      <w:r>
        <w:t>2013.gadā</w:t>
      </w:r>
      <w:proofErr w:type="gramEnd"/>
      <w:r>
        <w:t xml:space="preserve">. </w:t>
      </w:r>
      <w:r w:rsidR="008E6FAA">
        <w:t>Šāds dienesta secinājums</w:t>
      </w:r>
      <w:r>
        <w:t xml:space="preserve"> pamatots ar pieteicēja veiktajām skaidras naudas iemaksām pieteicēja norēķinu kontā, transportlīdzekļa iegādi un citiem </w:t>
      </w:r>
      <w:r w:rsidR="00386C98">
        <w:t>pieteicēja veiktajiem maksājumiem</w:t>
      </w:r>
      <w:r w:rsidR="008E6FAA">
        <w:t xml:space="preserve">, kas kopsummā </w:t>
      </w:r>
      <w:r w:rsidR="002F535F">
        <w:t xml:space="preserve">dienesta ieskatā </w:t>
      </w:r>
      <w:r w:rsidR="008E6FAA">
        <w:t>pārsniedz pieteicēja līdzekļu avotus</w:t>
      </w:r>
      <w:r w:rsidR="00386C98">
        <w:t>.</w:t>
      </w:r>
    </w:p>
    <w:p w14:paraId="4DC27EE7" w14:textId="652C2255" w:rsidR="00BF26A6" w:rsidRDefault="008B7F35" w:rsidP="008B7F35">
      <w:pPr>
        <w:spacing w:line="276" w:lineRule="auto"/>
        <w:ind w:firstLine="567"/>
        <w:jc w:val="both"/>
      </w:pPr>
      <w:r>
        <w:t>Pieteicējs pirmās instances tiesā iesniedza ar Igaunijas uzņēmumu noslēgtā aizdevuma līguma kopiju un Igaunijas kredītiestādes ap</w:t>
      </w:r>
      <w:r w:rsidR="00705191">
        <w:t>stiprinātas</w:t>
      </w:r>
      <w:r w:rsidR="00373296">
        <w:t xml:space="preserve"> pieteicēja</w:t>
      </w:r>
      <w:r w:rsidR="008E6FAA">
        <w:t xml:space="preserve"> norēķinu konta izdrukas</w:t>
      </w:r>
      <w:r>
        <w:t>. Lai arī pieteicējs n</w:t>
      </w:r>
      <w:r w:rsidR="00373296">
        <w:t>enorādīja t</w:t>
      </w:r>
      <w:r>
        <w:t xml:space="preserve">icamus </w:t>
      </w:r>
      <w:r w:rsidR="00373296">
        <w:t>iemeslus, kuru dēļ ši</w:t>
      </w:r>
      <w:r>
        <w:t>e pierādījumi netika iesniegti Valsts ieņēmumu dienestam, tie</w:t>
      </w:r>
      <w:r w:rsidR="00BF26A6">
        <w:t xml:space="preserve">svedības laikā iesniegtās </w:t>
      </w:r>
      <w:r w:rsidR="00386C98">
        <w:t>kredītiestādes apstiprināt</w:t>
      </w:r>
      <w:r w:rsidR="00BF26A6">
        <w:t>ā</w:t>
      </w:r>
      <w:r w:rsidR="00386C98">
        <w:t>s norēķinu konta izdrukas ir</w:t>
      </w:r>
      <w:r w:rsidR="00BF26A6">
        <w:t xml:space="preserve"> ņemamas vērā, </w:t>
      </w:r>
      <w:proofErr w:type="gramStart"/>
      <w:r w:rsidR="00BF26A6">
        <w:t>jo tām ir</w:t>
      </w:r>
      <w:proofErr w:type="gramEnd"/>
      <w:r w:rsidR="00BF26A6">
        <w:t xml:space="preserve"> piešķirama augsta ticamība.</w:t>
      </w:r>
    </w:p>
    <w:p w14:paraId="3B100B70" w14:textId="7AB5A0B4" w:rsidR="00A63BC8" w:rsidRDefault="00386C98" w:rsidP="00386C98">
      <w:pPr>
        <w:spacing w:line="276" w:lineRule="auto"/>
        <w:ind w:firstLine="567"/>
        <w:jc w:val="both"/>
      </w:pPr>
      <w:r>
        <w:t xml:space="preserve">No šīm norēķinu konta izdrukām redzams, ka Igaunijas uzņēmums pieteicējam bezskaidrā naudā </w:t>
      </w:r>
      <w:proofErr w:type="gramStart"/>
      <w:r w:rsidR="00BF26A6">
        <w:t>2013.gadā</w:t>
      </w:r>
      <w:proofErr w:type="gramEnd"/>
      <w:r w:rsidR="00BF26A6">
        <w:t xml:space="preserve"> pārskaitīja </w:t>
      </w:r>
      <w:r>
        <w:t>naudas līdzekļus ar pamatojumu</w:t>
      </w:r>
      <w:r w:rsidR="00705191">
        <w:t>:</w:t>
      </w:r>
      <w:r>
        <w:t xml:space="preserve"> </w:t>
      </w:r>
      <w:bookmarkStart w:id="2" w:name="_Hlk54151525"/>
      <w:r w:rsidR="00705191" w:rsidRPr="00E92C24">
        <w:rPr>
          <w:sz w:val="28"/>
          <w:szCs w:val="28"/>
        </w:rPr>
        <w:t>„</w:t>
      </w:r>
      <w:bookmarkEnd w:id="2"/>
      <w:r>
        <w:t>atbilstoši aizdevumam”. Pieteicējs</w:t>
      </w:r>
      <w:r w:rsidR="00B06F22">
        <w:t xml:space="preserve"> daļu no</w:t>
      </w:r>
      <w:r>
        <w:t xml:space="preserve"> naudas līdzekļ</w:t>
      </w:r>
      <w:r w:rsidR="00B06F22">
        <w:t xml:space="preserve">iem </w:t>
      </w:r>
      <w:r>
        <w:t>izņēm</w:t>
      </w:r>
      <w:r w:rsidR="00BF26A6">
        <w:t>a</w:t>
      </w:r>
      <w:r>
        <w:t xml:space="preserve"> no norēķinu konta skaidrā naudā. </w:t>
      </w:r>
      <w:r w:rsidR="00A84E46">
        <w:t xml:space="preserve">Līdz ar to pieteicējs spēja norādīt deklarēto skaidras naudas līdzekļu izcelsmes avotu. Naudas līdzekļus no norēķinu konta pieteicējs izņēma </w:t>
      </w:r>
      <w:r>
        <w:t>pirms t</w:t>
      </w:r>
      <w:r w:rsidR="00F420AF">
        <w:t>iem izdevumiem</w:t>
      </w:r>
      <w:r>
        <w:t>, ko Valsts ieņēmumu dienests ieskaitīj</w:t>
      </w:r>
      <w:r w:rsidR="00B06F22">
        <w:t>a</w:t>
      </w:r>
      <w:r>
        <w:t xml:space="preserve"> pieteicēja līdzekļu izlietojumā. </w:t>
      </w:r>
      <w:r w:rsidR="00A84E46">
        <w:t>Tā kā s</w:t>
      </w:r>
      <w:r>
        <w:t xml:space="preserve">kaidrā naudā izņemto naudas līdzekļu apmērs ievērojami pārsniedz </w:t>
      </w:r>
      <w:r w:rsidR="00705191">
        <w:t xml:space="preserve">Valsts ieņēmumu </w:t>
      </w:r>
      <w:r>
        <w:t xml:space="preserve">dienesta konstatēto pieteicēja slēpto apliekamo ienākumu, </w:t>
      </w:r>
      <w:r w:rsidR="00A63BC8">
        <w:t xml:space="preserve">tad </w:t>
      </w:r>
      <w:r w:rsidR="00F420AF">
        <w:t>pieteicēja slēptais apliekamais ienākums nav konstatējams un tālāk nav nepieciešamības vērtēt t</w:t>
      </w:r>
      <w:r w:rsidR="00A63BC8">
        <w:t>ransportlīdzekļa atsavināšan</w:t>
      </w:r>
      <w:r w:rsidR="00F420AF">
        <w:t xml:space="preserve">as, </w:t>
      </w:r>
      <w:r w:rsidR="00A63BC8">
        <w:t>nekustamā īpašuma iegād</w:t>
      </w:r>
      <w:r w:rsidR="00F420AF">
        <w:t>es</w:t>
      </w:r>
      <w:r w:rsidR="00A63BC8">
        <w:t xml:space="preserve"> un atsavināšan</w:t>
      </w:r>
      <w:r w:rsidR="00F420AF">
        <w:t>as darījumus, jo tie nevar ietekmēt secinājumu par naudas līdzekļu esību pieteicēja rīcībā.</w:t>
      </w:r>
    </w:p>
    <w:p w14:paraId="14C16FB4" w14:textId="3FF4AFDE" w:rsidR="00705191" w:rsidRDefault="00A63BC8" w:rsidP="00386C98">
      <w:pPr>
        <w:spacing w:line="276" w:lineRule="auto"/>
        <w:ind w:firstLine="567"/>
        <w:jc w:val="both"/>
      </w:pPr>
      <w:r>
        <w:t>Līdz ar to Valsts ieņēmumu dienesta lēmums ir atceļams arī daļā par</w:t>
      </w:r>
      <w:r w:rsidR="00705191">
        <w:t xml:space="preserve"> pieteicējam </w:t>
      </w:r>
      <w:proofErr w:type="gramStart"/>
      <w:r w:rsidR="00705191">
        <w:t>2013.gadā</w:t>
      </w:r>
      <w:proofErr w:type="gramEnd"/>
      <w:r w:rsidR="00705191">
        <w:t xml:space="preserve"> konstatēto slēpto </w:t>
      </w:r>
      <w:r w:rsidR="002F535F">
        <w:t xml:space="preserve">apliekamo </w:t>
      </w:r>
      <w:r w:rsidR="00705191">
        <w:t xml:space="preserve">ienākumu un saistībā ar to aprēķināto iedzīvotāju ienākuma nodokli, nokavējuma un soda naudu, kā arī daļā par </w:t>
      </w:r>
      <w:r>
        <w:t>pieteicēja skaidras naudas uzkrājumu samazināšanu uz 2013.gada 31.decembri.</w:t>
      </w:r>
      <w:r w:rsidR="00705191">
        <w:t xml:space="preserve"> </w:t>
      </w:r>
      <w:r>
        <w:t>Vienlaikus Valsts ieņēmumu dienesta uzmanība vēršama uz to, ka dienests sadarbībā ar Igaunijas Republikas nodokļu administrāciju var veikt nodokļu administrēšanas pasākumus, lai noskaidrotu, vai pieteicējs Igaunijas uzņēmumam ir atdevis iepriekš saņemto aizdevumu</w:t>
      </w:r>
      <w:r w:rsidR="00F420AF">
        <w:t>. Ja aizdevums nav atdots, tad ir jāpārbauda</w:t>
      </w:r>
      <w:r w:rsidR="00705191">
        <w:t>, vai no Igaunijas uzņēmuma saņemtie naudas līdzekļi nav atzīstami par pieteicēja ar iedzīvotāju ienākuma nodokli apliekamajiem ienākumiem.</w:t>
      </w:r>
    </w:p>
    <w:p w14:paraId="40B6114B" w14:textId="77777777" w:rsidR="00A63BC8" w:rsidRDefault="00A63BC8" w:rsidP="00386C98">
      <w:pPr>
        <w:spacing w:line="276" w:lineRule="auto"/>
        <w:ind w:firstLine="567"/>
        <w:jc w:val="both"/>
      </w:pPr>
    </w:p>
    <w:p w14:paraId="69E7AA07" w14:textId="4EDE0F09" w:rsidR="00A63BC8" w:rsidRDefault="0015344D" w:rsidP="0015344D">
      <w:pPr>
        <w:spacing w:line="276" w:lineRule="auto"/>
        <w:ind w:firstLine="567"/>
        <w:jc w:val="both"/>
      </w:pPr>
      <w:r>
        <w:t>[</w:t>
      </w:r>
      <w:r w:rsidR="00536C29">
        <w:t>4</w:t>
      </w:r>
      <w:r>
        <w:t xml:space="preserve">] Valsts ieņēmumu dienests </w:t>
      </w:r>
      <w:r w:rsidR="00B646E8">
        <w:t>iesniedz</w:t>
      </w:r>
      <w:r w:rsidR="002F535F">
        <w:t>is</w:t>
      </w:r>
      <w:r w:rsidR="00B646E8">
        <w:t xml:space="preserve"> kasācijas sūdzību par </w:t>
      </w:r>
      <w:r>
        <w:t xml:space="preserve">apgabaltiesas spriedumu daļā, </w:t>
      </w:r>
      <w:r w:rsidR="0033680B">
        <w:t xml:space="preserve">kurā </w:t>
      </w:r>
      <w:r w:rsidR="00A63BC8">
        <w:t>pieteikums apmierināts. Kasācijas sūdzībā norādīti šādi argumenti un apsvērumi</w:t>
      </w:r>
      <w:r w:rsidR="00705191">
        <w:t>.</w:t>
      </w:r>
    </w:p>
    <w:p w14:paraId="3E6EF97A" w14:textId="369BD1ED" w:rsidR="0092285C" w:rsidRDefault="00A63BC8" w:rsidP="0015344D">
      <w:pPr>
        <w:spacing w:line="276" w:lineRule="auto"/>
        <w:ind w:firstLine="567"/>
        <w:jc w:val="both"/>
      </w:pPr>
      <w:r>
        <w:lastRenderedPageBreak/>
        <w:t>[</w:t>
      </w:r>
      <w:r w:rsidR="00536C29">
        <w:t>4.1</w:t>
      </w:r>
      <w:r>
        <w:t xml:space="preserve">] Apgabaltiesa pareizi norādījusi, ka atbilstoši judikatūras atziņām tiesvedības laikā jauni pierādījumi pieļaujami vien tad, ja nodokļu maksātājam bija objektīvi šķēršļi šos pierādījumus iesniegt </w:t>
      </w:r>
      <w:r w:rsidR="00705191">
        <w:t>jau nodokļu audita laikā.</w:t>
      </w:r>
      <w:r>
        <w:t xml:space="preserve"> </w:t>
      </w:r>
      <w:r w:rsidR="00705191">
        <w:t>Tāpat a</w:t>
      </w:r>
      <w:r>
        <w:t xml:space="preserve">pgabaltiesa </w:t>
      </w:r>
      <w:r w:rsidR="00705191">
        <w:t xml:space="preserve">pamatoti konstatējusi, ka </w:t>
      </w:r>
      <w:r w:rsidR="00F420AF">
        <w:t xml:space="preserve">pieteicējs šādus objektīvus šķēršļus nav norādījis. </w:t>
      </w:r>
      <w:r w:rsidR="00705191">
        <w:t xml:space="preserve">Neskatoties uz to, apgabaltiesa tiesvedības laikā iesniegtos pierādījumus ir izmantojusi savu secinājumu pamatošanai. Turklāt apgabaltiesa nav ņēmusi vērā, ka tiesvedības laikā iesniegtie pierādījumi ir pretrunā ar pieteicēja </w:t>
      </w:r>
      <w:r w:rsidR="00BF26A6">
        <w:t xml:space="preserve">un Igaunijas uzņēmuma amatpersonas </w:t>
      </w:r>
      <w:r w:rsidR="00705191">
        <w:t>nodokļu audita laikā iesniegtajiem pierādījumiem</w:t>
      </w:r>
      <w:r w:rsidR="00BF26A6">
        <w:t>. Tāpat a</w:t>
      </w:r>
      <w:r w:rsidR="00705191">
        <w:t>pgabal</w:t>
      </w:r>
      <w:r w:rsidR="0092285C">
        <w:t>tiesa</w:t>
      </w:r>
      <w:r w:rsidR="00705191">
        <w:t xml:space="preserve"> </w:t>
      </w:r>
      <w:r w:rsidR="0092285C">
        <w:t>nav vērtējusi pēc būtības tiesvedības laikā iesniegtos pierādījumus, vien formāli norādot, ka no tiem izriet darījums starp Igaunijas uzņēmumu un pieteicēju. Turklāt</w:t>
      </w:r>
      <w:r w:rsidR="00BF26A6">
        <w:t xml:space="preserve"> atbilstoši</w:t>
      </w:r>
      <w:r w:rsidR="0092285C">
        <w:t xml:space="preserve"> Igaunijas kredītiestādes apstiprinātajā</w:t>
      </w:r>
      <w:r w:rsidR="00BF26A6">
        <w:t>m</w:t>
      </w:r>
      <w:r w:rsidR="0092285C">
        <w:t xml:space="preserve"> norēķinu konta izdrukā</w:t>
      </w:r>
      <w:r w:rsidR="00BF26A6">
        <w:t xml:space="preserve">m Igaunijas uzņēmums pieteicējam naudas līdzekļus pārskaitīja ar </w:t>
      </w:r>
      <w:r w:rsidR="009D355A">
        <w:t>pamatojum</w:t>
      </w:r>
      <w:r w:rsidR="00BF26A6">
        <w:t>u</w:t>
      </w:r>
      <w:r w:rsidR="009D355A">
        <w:t xml:space="preserve"> </w:t>
      </w:r>
      <w:r w:rsidR="00705191" w:rsidRPr="00E92C24">
        <w:rPr>
          <w:sz w:val="28"/>
          <w:szCs w:val="28"/>
        </w:rPr>
        <w:t>„</w:t>
      </w:r>
      <w:proofErr w:type="gramStart"/>
      <w:r w:rsidR="0092285C">
        <w:t>atbilstoši līgumam</w:t>
      </w:r>
      <w:proofErr w:type="gramEnd"/>
      <w:r w:rsidR="0092285C">
        <w:t xml:space="preserve">”, </w:t>
      </w:r>
      <w:r w:rsidR="00BF26A6">
        <w:t xml:space="preserve">nevis ar pamatojumu </w:t>
      </w:r>
      <w:r w:rsidR="00705191" w:rsidRPr="00E92C24">
        <w:rPr>
          <w:sz w:val="28"/>
          <w:szCs w:val="28"/>
        </w:rPr>
        <w:t>„</w:t>
      </w:r>
      <w:r w:rsidR="0092285C">
        <w:t>atbilstoši aizdevumam</w:t>
      </w:r>
      <w:r w:rsidR="00705191">
        <w:t>”</w:t>
      </w:r>
      <w:r w:rsidR="00BF26A6">
        <w:t>, kā tas norādīts apgabaltiesas spriedumā</w:t>
      </w:r>
      <w:r w:rsidR="0092285C">
        <w:t>.</w:t>
      </w:r>
    </w:p>
    <w:p w14:paraId="020CEB00" w14:textId="05804E05" w:rsidR="009D355A" w:rsidRDefault="009D355A" w:rsidP="0015344D">
      <w:pPr>
        <w:spacing w:line="276" w:lineRule="auto"/>
        <w:ind w:firstLine="567"/>
        <w:jc w:val="both"/>
      </w:pPr>
      <w:r>
        <w:t xml:space="preserve">Ievērojot minēto, apgabaltiesa ir pieļāvusi Administratīvā procesa likuma </w:t>
      </w:r>
      <w:proofErr w:type="gramStart"/>
      <w:r>
        <w:t>154.panta</w:t>
      </w:r>
      <w:proofErr w:type="gramEnd"/>
      <w:r>
        <w:t xml:space="preserve"> pārkāpumu, jo bez pamatojuma ir piešķīrusi ticamību norēķinu konta izdrukām un nav vērtējusi pēc būtības tiesvedības laikā iesniegtos pierādījumus kopsakarā ar nodokļu audita laikā iegūtajiem pierādījumiem. </w:t>
      </w:r>
      <w:r w:rsidR="00BF26A6">
        <w:t xml:space="preserve">Šāds pārkāpums </w:t>
      </w:r>
      <w:r w:rsidR="00824F00">
        <w:t>ir novedis arī pie Administratīvā procesa likuma 246.panta trešās daļas un 247.panta otrās daļas pārkāpuma.</w:t>
      </w:r>
    </w:p>
    <w:p w14:paraId="14DC27D5" w14:textId="77777777" w:rsidR="005B1649" w:rsidRDefault="009D355A" w:rsidP="0015344D">
      <w:pPr>
        <w:spacing w:line="276" w:lineRule="auto"/>
        <w:ind w:firstLine="567"/>
        <w:jc w:val="both"/>
      </w:pPr>
      <w:r>
        <w:t>[</w:t>
      </w:r>
      <w:r w:rsidR="00536C29">
        <w:t>4.2</w:t>
      </w:r>
      <w:r>
        <w:t>] </w:t>
      </w:r>
      <w:r w:rsidR="005B1649">
        <w:t>Arī s</w:t>
      </w:r>
      <w:r>
        <w:t xml:space="preserve">ecinājumu par to, ka pieteicēja līdzekļu izlietojums </w:t>
      </w:r>
      <w:proofErr w:type="gramStart"/>
      <w:r>
        <w:t>2012.gadā</w:t>
      </w:r>
      <w:proofErr w:type="gramEnd"/>
      <w:r>
        <w:t xml:space="preserve"> varēja tikt segts no automašīnas pārdošanas rezultātā gūtajiem ienākumiem, apgabaltiesa ir pamatojusi ar selektīvi vērtētiem apstākļiem un pierādījumiem, pakārtojot tos atbilstoši savam slēdzienam. Proti, apgabaltiesa</w:t>
      </w:r>
      <w:r w:rsidR="00824F00">
        <w:t>, norādot</w:t>
      </w:r>
      <w:r>
        <w:t>, ka automašīnas jaunās īpašnieces pirmās instances tiesas sēdē sniegtā liecība apstiprina naudas samaksas faktu pieteicējam</w:t>
      </w:r>
      <w:r w:rsidR="00824F00">
        <w:t xml:space="preserve">, </w:t>
      </w:r>
      <w:r>
        <w:t>nav ņēmusi vērā pretrunas liecinieces liecībās. Tāpat apgabaltiesa nav ņēmusi vērā, ka pieteicējs arī pats, iesniedzot papildu deklarāciju, nenorādīja, ka</w:t>
      </w:r>
      <w:r w:rsidR="005B1649">
        <w:t xml:space="preserve"> ir guvis ienākumus no automašīnas pārdošanas.</w:t>
      </w:r>
    </w:p>
    <w:p w14:paraId="1E6A18F6" w14:textId="77777777" w:rsidR="002F535F" w:rsidRDefault="009D355A" w:rsidP="0015344D">
      <w:pPr>
        <w:spacing w:line="276" w:lineRule="auto"/>
        <w:ind w:firstLine="567"/>
        <w:jc w:val="both"/>
      </w:pPr>
      <w:r>
        <w:t>Līdz ar to</w:t>
      </w:r>
      <w:r w:rsidR="002F535F">
        <w:t>, ignorējot vairākus apstākļus un pierādījumus,</w:t>
      </w:r>
      <w:r w:rsidR="00824F00">
        <w:t xml:space="preserve"> </w:t>
      </w:r>
      <w:r>
        <w:t xml:space="preserve">apgabaltiesa ir pieļāvusi Administratīvā procesa likuma </w:t>
      </w:r>
      <w:proofErr w:type="gramStart"/>
      <w:r>
        <w:t>154.panta</w:t>
      </w:r>
      <w:proofErr w:type="gramEnd"/>
      <w:r>
        <w:t xml:space="preserve"> pārkāpumu</w:t>
      </w:r>
      <w:r w:rsidR="002F535F">
        <w:t>.</w:t>
      </w:r>
    </w:p>
    <w:p w14:paraId="7A498952" w14:textId="77777777" w:rsidR="005B1649" w:rsidRDefault="005B1649" w:rsidP="0015344D">
      <w:pPr>
        <w:spacing w:line="276" w:lineRule="auto"/>
        <w:ind w:firstLine="567"/>
        <w:jc w:val="both"/>
      </w:pPr>
    </w:p>
    <w:p w14:paraId="39F0BF11" w14:textId="003F022E" w:rsidR="009D355A" w:rsidRDefault="009D355A" w:rsidP="0015344D">
      <w:pPr>
        <w:spacing w:line="276" w:lineRule="auto"/>
        <w:ind w:firstLine="567"/>
        <w:jc w:val="both"/>
      </w:pPr>
      <w:r>
        <w:t>[</w:t>
      </w:r>
      <w:r w:rsidR="00536C29">
        <w:t>5</w:t>
      </w:r>
      <w:r>
        <w:t>] Pieteicējs paskaidrojumu par kasācijas sūdzību n</w:t>
      </w:r>
      <w:r w:rsidR="002F535F">
        <w:t xml:space="preserve">av </w:t>
      </w:r>
      <w:r>
        <w:t>iesniedz</w:t>
      </w:r>
      <w:r w:rsidR="002F535F">
        <w:t>is</w:t>
      </w:r>
      <w:r>
        <w:t>.</w:t>
      </w:r>
    </w:p>
    <w:p w14:paraId="358A1D1C" w14:textId="77777777" w:rsidR="009D355A" w:rsidRDefault="009D355A" w:rsidP="008E5AFF">
      <w:pPr>
        <w:spacing w:line="276" w:lineRule="auto"/>
        <w:jc w:val="center"/>
        <w:rPr>
          <w:b/>
        </w:rPr>
      </w:pPr>
    </w:p>
    <w:p w14:paraId="1900DA50" w14:textId="47B63E8A" w:rsidR="003047F5" w:rsidRPr="0082381C" w:rsidRDefault="003047F5" w:rsidP="008E5AFF">
      <w:pPr>
        <w:spacing w:line="276" w:lineRule="auto"/>
        <w:jc w:val="center"/>
        <w:rPr>
          <w:b/>
        </w:rPr>
      </w:pPr>
      <w:r w:rsidRPr="0082381C">
        <w:rPr>
          <w:b/>
        </w:rPr>
        <w:t>Motīvu daļa</w:t>
      </w:r>
    </w:p>
    <w:p w14:paraId="45FBD86E" w14:textId="77777777" w:rsidR="0002115C" w:rsidRDefault="0002115C" w:rsidP="0002115C">
      <w:pPr>
        <w:spacing w:line="276" w:lineRule="auto"/>
        <w:jc w:val="both"/>
      </w:pPr>
    </w:p>
    <w:p w14:paraId="7EEA5805" w14:textId="087A4104" w:rsidR="005C6A0A" w:rsidRDefault="00824AA3" w:rsidP="002F535F">
      <w:pPr>
        <w:spacing w:line="276" w:lineRule="auto"/>
        <w:ind w:firstLine="567"/>
        <w:jc w:val="both"/>
      </w:pPr>
      <w:r w:rsidRPr="00551498">
        <w:t>[</w:t>
      </w:r>
      <w:r w:rsidR="00536C29">
        <w:t>6</w:t>
      </w:r>
      <w:r w:rsidRPr="00551498">
        <w:t>] </w:t>
      </w:r>
      <w:r w:rsidR="002F535F">
        <w:t xml:space="preserve">Apgabaltiesa, atceļot Valsts ieņēmumu dienesta lēmumu, secinājusi, ka </w:t>
      </w:r>
      <w:r w:rsidR="005C6A0A">
        <w:t xml:space="preserve">pieteicējam 2012. un </w:t>
      </w:r>
      <w:proofErr w:type="gramStart"/>
      <w:r w:rsidR="005C6A0A">
        <w:t>2013.gadā</w:t>
      </w:r>
      <w:proofErr w:type="gramEnd"/>
      <w:r w:rsidR="005C6A0A">
        <w:t xml:space="preserve"> nav konstatējams slēptais apliekamais ienākums un ir atzīstami </w:t>
      </w:r>
      <w:r w:rsidR="00203339">
        <w:t xml:space="preserve">pieteicēja </w:t>
      </w:r>
      <w:r w:rsidR="005C6A0A">
        <w:t>deklarētie skaidr</w:t>
      </w:r>
      <w:r w:rsidR="00CF7713">
        <w:t>a</w:t>
      </w:r>
      <w:r w:rsidR="005C6A0A">
        <w:t>s naudas uzkrājumi</w:t>
      </w:r>
      <w:r w:rsidR="005B1649">
        <w:t xml:space="preserve"> uz 2013.gada 31.decembri</w:t>
      </w:r>
      <w:r w:rsidR="002F535F">
        <w:t xml:space="preserve">. Šādu </w:t>
      </w:r>
      <w:r w:rsidR="00CF7713">
        <w:t xml:space="preserve">secinājumu </w:t>
      </w:r>
      <w:r w:rsidR="005C6A0A">
        <w:t>apgabaltiesa pamatojusi ar to, ka pieteicējs ir saņēmis</w:t>
      </w:r>
      <w:r w:rsidR="005B1649">
        <w:t xml:space="preserve"> naudas līdzekļus</w:t>
      </w:r>
      <w:r w:rsidR="005C6A0A">
        <w:t xml:space="preserve"> no Igaunijas uzņēmuma, kā arī </w:t>
      </w:r>
      <w:r w:rsidR="002A7C25">
        <w:t xml:space="preserve">ir </w:t>
      </w:r>
      <w:r w:rsidR="00203339">
        <w:t>guvis ienākumu</w:t>
      </w:r>
      <w:r w:rsidR="00857CC7">
        <w:t>s</w:t>
      </w:r>
      <w:r w:rsidR="00203339">
        <w:t xml:space="preserve"> </w:t>
      </w:r>
      <w:r w:rsidR="005C6A0A">
        <w:t>automašīnas atsavināšanas</w:t>
      </w:r>
      <w:r w:rsidR="00203339">
        <w:t xml:space="preserve"> rezultātā</w:t>
      </w:r>
      <w:r w:rsidR="00857CC7">
        <w:t>. T</w:t>
      </w:r>
      <w:r w:rsidR="00CF7713">
        <w:t>ādējādi apgabaltiesas ieskatā pieteicēja rīcībā bija pietiekam</w:t>
      </w:r>
      <w:r w:rsidR="00CA2ECB">
        <w:t>i</w:t>
      </w:r>
      <w:r w:rsidR="00CF7713">
        <w:t xml:space="preserve"> naudas līdzekļ</w:t>
      </w:r>
      <w:r w:rsidR="00CA2ECB">
        <w:t>i</w:t>
      </w:r>
      <w:r w:rsidR="00CF7713">
        <w:t>, lai segtu Valsts ieņēmumu dienesta konstatētos pieteicēja izdevumus un lai uzkrātu skaidru naudu deklarētajā apmērā</w:t>
      </w:r>
      <w:r w:rsidR="005C6A0A">
        <w:t xml:space="preserve">. </w:t>
      </w:r>
    </w:p>
    <w:p w14:paraId="278B487E" w14:textId="6C36C3A1" w:rsidR="002F535F" w:rsidRDefault="002F535F" w:rsidP="002F535F">
      <w:pPr>
        <w:spacing w:line="276" w:lineRule="auto"/>
        <w:ind w:firstLine="567"/>
        <w:jc w:val="both"/>
      </w:pPr>
      <w:r>
        <w:t xml:space="preserve">Valsts ieņēmumu dienests iebilst pret šādiem apgabaltiesas secinājumiem, uzskatot, ka apgabaltiesa nav ņēmusi vērā Administratīvā procesa likuma </w:t>
      </w:r>
      <w:proofErr w:type="gramStart"/>
      <w:r>
        <w:t>154.pantā</w:t>
      </w:r>
      <w:proofErr w:type="gramEnd"/>
      <w:r>
        <w:t xml:space="preserve"> paredzētās pierādījumu novērtēšanas prasības, kas ir novedis pie šā likuma 246.panta trešās daļas un 247.panta otrās daļas pārkāpuma un pie lietas nepareizas izspriešanas.</w:t>
      </w:r>
    </w:p>
    <w:p w14:paraId="2568DC1F" w14:textId="64FA595E" w:rsidR="002F535F" w:rsidRDefault="002F535F" w:rsidP="002F535F">
      <w:pPr>
        <w:spacing w:line="276" w:lineRule="auto"/>
        <w:ind w:firstLine="567"/>
        <w:jc w:val="both"/>
      </w:pPr>
      <w:r>
        <w:t xml:space="preserve">Senāts turpmāk norādīto apsvērumu dēļ </w:t>
      </w:r>
      <w:r w:rsidR="00941CBF">
        <w:t xml:space="preserve">šos </w:t>
      </w:r>
      <w:r>
        <w:t>argumentus atzīst par nepamatotiem.</w:t>
      </w:r>
    </w:p>
    <w:p w14:paraId="212EBA2D" w14:textId="6AEEC0C7" w:rsidR="005C6A0A" w:rsidRDefault="005C6A0A" w:rsidP="005C6A0A">
      <w:pPr>
        <w:spacing w:line="276" w:lineRule="auto"/>
        <w:ind w:firstLine="567"/>
        <w:jc w:val="both"/>
      </w:pPr>
    </w:p>
    <w:p w14:paraId="3AED3BF6" w14:textId="23036A89" w:rsidR="00311E75" w:rsidRDefault="005C6A0A" w:rsidP="00BC3AFD">
      <w:pPr>
        <w:spacing w:line="276" w:lineRule="auto"/>
        <w:ind w:firstLine="567"/>
        <w:jc w:val="both"/>
      </w:pPr>
      <w:r>
        <w:lastRenderedPageBreak/>
        <w:t>[</w:t>
      </w:r>
      <w:r w:rsidR="002F535F">
        <w:t>7</w:t>
      </w:r>
      <w:r>
        <w:t>] </w:t>
      </w:r>
      <w:r w:rsidR="00203339">
        <w:t xml:space="preserve">Iebilstot pret apgabaltiesas secinājumu, ka pieteicējs ir saņēmis </w:t>
      </w:r>
      <w:r w:rsidR="00F420AF">
        <w:t xml:space="preserve">naudas līdzekļus </w:t>
      </w:r>
      <w:r w:rsidR="00203339">
        <w:t xml:space="preserve">no Igaunijas uzņēmuma, Valsts ieņēmumu dienests norāda trīs argumentus. Pirmkārt, apgabaltiesa minēto secinājumu ir pamatojusi ar pierādījumiem, kas iesniegti tikai tiesvedības laikā. Otrkārt, šajos pierādījumos nav fiksētas tādas ziņas, kādas norādītas apgabaltiesas spriedumā. Treškārt, </w:t>
      </w:r>
      <w:r w:rsidR="00311E75">
        <w:t xml:space="preserve">apgabaltiesa tiesvedības laikā iesniegtos pierādījumus nav vērtējusi kopsakarā ar </w:t>
      </w:r>
      <w:r w:rsidR="00CF7713">
        <w:t xml:space="preserve">nodokļu audita laikā </w:t>
      </w:r>
      <w:r w:rsidR="00311E75">
        <w:t>iegūtajiem pierādījumiem.</w:t>
      </w:r>
    </w:p>
    <w:p w14:paraId="4A48E6C9" w14:textId="77777777" w:rsidR="002A7C25" w:rsidRDefault="002A7C25" w:rsidP="00FD06CD">
      <w:pPr>
        <w:spacing w:line="276" w:lineRule="auto"/>
        <w:ind w:firstLine="567"/>
        <w:jc w:val="both"/>
      </w:pPr>
    </w:p>
    <w:p w14:paraId="1B6E2F16" w14:textId="1A325A98" w:rsidR="00FD06CD" w:rsidRDefault="00311E75" w:rsidP="00FD06CD">
      <w:pPr>
        <w:spacing w:line="276" w:lineRule="auto"/>
        <w:ind w:firstLine="567"/>
        <w:jc w:val="both"/>
        <w:rPr>
          <w:rFonts w:eastAsiaTheme="minorEastAsia"/>
          <w:color w:val="000000" w:themeColor="text1"/>
          <w:kern w:val="24"/>
        </w:rPr>
      </w:pPr>
      <w:r>
        <w:t>[</w:t>
      </w:r>
      <w:r w:rsidR="002F535F">
        <w:t>8</w:t>
      </w:r>
      <w:r>
        <w:t>] Valsts ieņēmumu dienests kasācijas sūdzībā pareizi norāda, ka atbilstoši judikatūras atziņām</w:t>
      </w:r>
      <w:r w:rsidR="002F535F">
        <w:t>, ja</w:t>
      </w:r>
      <w:r>
        <w:t xml:space="preserve"> jaun</w:t>
      </w:r>
      <w:r w:rsidR="002F535F">
        <w:t>i</w:t>
      </w:r>
      <w:r>
        <w:t xml:space="preserve"> pierādījum</w:t>
      </w:r>
      <w:r w:rsidR="002F535F">
        <w:t xml:space="preserve">i tiek iesniegti </w:t>
      </w:r>
      <w:r>
        <w:t>pēc nodokļu audita</w:t>
      </w:r>
      <w:r w:rsidR="002F535F">
        <w:t xml:space="preserve">, ir jānoskaidro </w:t>
      </w:r>
      <w:r w:rsidR="00FD06CD">
        <w:t>iemesl</w:t>
      </w:r>
      <w:r w:rsidR="002F535F">
        <w:t>i</w:t>
      </w:r>
      <w:r w:rsidR="00FD06CD">
        <w:t xml:space="preserve">, kuru dēļ </w:t>
      </w:r>
      <w:r w:rsidR="002F535F">
        <w:t>šie</w:t>
      </w:r>
      <w:r w:rsidR="00FD06CD">
        <w:t xml:space="preserve"> pierādījumi netika iesniegti </w:t>
      </w:r>
      <w:r w:rsidR="002F535F">
        <w:t>savlaicīgi.</w:t>
      </w:r>
      <w:r>
        <w:t xml:space="preserve"> Arī Senāts atgādina, ka </w:t>
      </w:r>
      <w:bookmarkStart w:id="3" w:name="_Hlk54614992"/>
      <w:r w:rsidR="003126E3">
        <w:t>nodokļu maksātājam pašam jābūt ieinteresētam nekavēt nodokļa saistības pārbaudi un iesniegt</w:t>
      </w:r>
      <w:r w:rsidR="000576B2">
        <w:t xml:space="preserve"> nodokļu</w:t>
      </w:r>
      <w:r w:rsidR="003126E3">
        <w:t xml:space="preserve"> administrācijai atbilstošas ziņas un paskaidrojumus, kā arī apstrīdēšanas un pārsūdzības stadijā norādīt konkrētus iebildumus par to, kur dienests, konstatējot lietas izlemšanai būtiskos apstākļus, kļūdījies. Jāņem vērā, ka tieši nodokļu maksātājs ir tas, kuram vislabāk jāzina apstākļi, kas saistīti ar tā ieņēmumiem, izdevumiem un īstenotajiem darījumiem. Līdz ar to, ja dienests pieļāvis kļūdu šāda veida apstākļu konstatējumā, nodokļu maksātājam jau apstrīdēšanas stadijā tas būtu jādara zināms, vēršot dienesta uzmanību uz to, kuri apstākļi konstatēti nepareizi un kāpēc (</w:t>
      </w:r>
      <w:bookmarkStart w:id="4" w:name="_Hlk57195679"/>
      <w:r w:rsidR="003126E3" w:rsidRPr="003126E3">
        <w:rPr>
          <w:i/>
          <w:iCs/>
        </w:rPr>
        <w:t xml:space="preserve">Senāta </w:t>
      </w:r>
      <w:proofErr w:type="gramStart"/>
      <w:r w:rsidR="003126E3" w:rsidRPr="003126E3">
        <w:rPr>
          <w:i/>
          <w:iCs/>
        </w:rPr>
        <w:t>2017.gada</w:t>
      </w:r>
      <w:proofErr w:type="gramEnd"/>
      <w:r w:rsidR="003126E3" w:rsidRPr="003126E3">
        <w:rPr>
          <w:i/>
          <w:iCs/>
        </w:rPr>
        <w:t xml:space="preserve"> 28.februāra sprieduma lietā Nr. SKA-39/2017 (A420368712) </w:t>
      </w:r>
      <w:bookmarkEnd w:id="4"/>
      <w:r w:rsidR="003126E3" w:rsidRPr="003126E3">
        <w:rPr>
          <w:i/>
          <w:iCs/>
        </w:rPr>
        <w:t>9.punkts</w:t>
      </w:r>
      <w:r w:rsidR="003126E3">
        <w:t>).</w:t>
      </w:r>
      <w:r w:rsidR="003126E3" w:rsidRPr="003126E3">
        <w:rPr>
          <w:rFonts w:eastAsiaTheme="minorEastAsia"/>
          <w:color w:val="000000" w:themeColor="text1"/>
          <w:kern w:val="24"/>
        </w:rPr>
        <w:t xml:space="preserve"> </w:t>
      </w:r>
      <w:r w:rsidR="003126E3">
        <w:t>P</w:t>
      </w:r>
      <w:r>
        <w:t xml:space="preserve">ersonai, ievērojot nodokļu tiesībās atzīto līdzdarbības pienākumu, ir </w:t>
      </w:r>
      <w:r w:rsidR="002F521B">
        <w:t>jā</w:t>
      </w:r>
      <w:r>
        <w:t>nodrošin</w:t>
      </w:r>
      <w:r w:rsidR="002F521B">
        <w:t>a</w:t>
      </w:r>
      <w:r>
        <w:t xml:space="preserve"> vis</w:t>
      </w:r>
      <w:r w:rsidR="002F521B">
        <w:t>i</w:t>
      </w:r>
      <w:r>
        <w:t xml:space="preserve"> būtisk</w:t>
      </w:r>
      <w:r w:rsidR="002F521B">
        <w:t>ie</w:t>
      </w:r>
      <w:r>
        <w:t xml:space="preserve"> pierādījum</w:t>
      </w:r>
      <w:r w:rsidR="002F521B">
        <w:t>i</w:t>
      </w:r>
      <w:r>
        <w:t xml:space="preserve"> vai arī </w:t>
      </w:r>
      <w:r w:rsidR="002F521B">
        <w:t>jā</w:t>
      </w:r>
      <w:r w:rsidRPr="00FD06CD">
        <w:t>norād</w:t>
      </w:r>
      <w:r w:rsidR="002F521B">
        <w:t>a</w:t>
      </w:r>
      <w:r w:rsidRPr="00FD06CD">
        <w:t xml:space="preserve"> uz tādu esību jau iestādē, nevis tiesvedības stadijas ietvaros, tādējādi sekmējot šīs personas interesēm </w:t>
      </w:r>
      <w:r w:rsidR="00FD06CD" w:rsidRPr="00FD06CD">
        <w:t>pēc iespējas labvēlīgāka lēmuma pieņemšanu jau procesa sākumā (</w:t>
      </w:r>
      <w:bookmarkStart w:id="5" w:name="_Hlk57195670"/>
      <w:r w:rsidR="00FD06CD" w:rsidRPr="00824F00">
        <w:rPr>
          <w:i/>
          <w:iCs/>
        </w:rPr>
        <w:t xml:space="preserve">Senāta 2020.gada </w:t>
      </w:r>
      <w:r w:rsidR="00824F00" w:rsidRPr="00824F00">
        <w:rPr>
          <w:i/>
          <w:iCs/>
        </w:rPr>
        <w:t>1.aprīļa rīcības sēdes lēmuma Nr. SKA-754/2020 (</w:t>
      </w:r>
      <w:r w:rsidRPr="00824F00">
        <w:rPr>
          <w:rFonts w:eastAsiaTheme="minorEastAsia"/>
          <w:i/>
          <w:iCs/>
          <w:color w:val="000000" w:themeColor="text1"/>
          <w:kern w:val="24"/>
        </w:rPr>
        <w:t>ECLI:LV:AT:2020:0401.A420281717.20.L</w:t>
      </w:r>
      <w:r w:rsidR="00824F00" w:rsidRPr="00824F00">
        <w:rPr>
          <w:rFonts w:eastAsiaTheme="minorEastAsia"/>
          <w:i/>
          <w:iCs/>
          <w:color w:val="000000" w:themeColor="text1"/>
          <w:kern w:val="24"/>
        </w:rPr>
        <w:t xml:space="preserve">) </w:t>
      </w:r>
      <w:bookmarkEnd w:id="5"/>
      <w:r w:rsidR="00824F00" w:rsidRPr="00824F00">
        <w:rPr>
          <w:rFonts w:eastAsiaTheme="minorEastAsia"/>
          <w:i/>
          <w:iCs/>
          <w:color w:val="000000" w:themeColor="text1"/>
          <w:kern w:val="24"/>
        </w:rPr>
        <w:t>6.punkts</w:t>
      </w:r>
      <w:r w:rsidR="00FD06CD">
        <w:rPr>
          <w:rFonts w:eastAsiaTheme="minorEastAsia"/>
          <w:color w:val="000000" w:themeColor="text1"/>
          <w:kern w:val="24"/>
        </w:rPr>
        <w:t xml:space="preserve">). </w:t>
      </w:r>
      <w:r w:rsidR="003126E3">
        <w:rPr>
          <w:rFonts w:eastAsiaTheme="minorEastAsia"/>
          <w:color w:val="000000" w:themeColor="text1"/>
          <w:kern w:val="24"/>
        </w:rPr>
        <w:t>Vienlaikus p</w:t>
      </w:r>
      <w:r w:rsidR="003126E3" w:rsidRPr="00FD06CD">
        <w:rPr>
          <w:rFonts w:eastAsiaTheme="minorEastAsia"/>
          <w:color w:val="000000" w:themeColor="text1"/>
          <w:kern w:val="24"/>
        </w:rPr>
        <w:t>rivātpersonai nav liegts iesniegt informāciju un pierādījumus vēlāk, tomēr tad personai ir ticami jāizskaidro, kāpēc informācija un pierādījumi ir sniegti ar novēlošanos (</w:t>
      </w:r>
      <w:bookmarkStart w:id="6" w:name="_Hlk57195663"/>
      <w:r w:rsidR="003126E3" w:rsidRPr="003126E3">
        <w:rPr>
          <w:rFonts w:eastAsiaTheme="minorEastAsia"/>
          <w:i/>
          <w:iCs/>
          <w:color w:val="000000" w:themeColor="text1"/>
          <w:kern w:val="24"/>
        </w:rPr>
        <w:t>Senāta 2020.gada 6.marta rīcības sēdes lēmuma lietā Nr. SKA-388</w:t>
      </w:r>
      <w:r w:rsidR="00E009B6">
        <w:rPr>
          <w:rFonts w:eastAsiaTheme="minorEastAsia"/>
          <w:i/>
          <w:iCs/>
          <w:color w:val="000000" w:themeColor="text1"/>
          <w:kern w:val="24"/>
        </w:rPr>
        <w:t>/2020</w:t>
      </w:r>
      <w:r w:rsidR="003126E3" w:rsidRPr="003126E3">
        <w:rPr>
          <w:rFonts w:eastAsiaTheme="minorEastAsia"/>
          <w:i/>
          <w:iCs/>
          <w:color w:val="000000" w:themeColor="text1"/>
          <w:kern w:val="24"/>
        </w:rPr>
        <w:t xml:space="preserve"> (ECLI:LV:AT:2020:0306.A420141317.7.L) </w:t>
      </w:r>
      <w:bookmarkEnd w:id="6"/>
      <w:r w:rsidR="00E009B6">
        <w:rPr>
          <w:rFonts w:eastAsiaTheme="minorEastAsia"/>
          <w:i/>
          <w:iCs/>
          <w:color w:val="000000" w:themeColor="text1"/>
          <w:kern w:val="24"/>
        </w:rPr>
        <w:t>3</w:t>
      </w:r>
      <w:r w:rsidR="003126E3" w:rsidRPr="003126E3">
        <w:rPr>
          <w:rFonts w:eastAsiaTheme="minorEastAsia"/>
          <w:i/>
          <w:iCs/>
          <w:color w:val="000000" w:themeColor="text1"/>
          <w:kern w:val="24"/>
        </w:rPr>
        <w:t>.punkts</w:t>
      </w:r>
      <w:r w:rsidR="003126E3">
        <w:rPr>
          <w:rFonts w:eastAsiaTheme="minorEastAsia"/>
          <w:color w:val="000000" w:themeColor="text1"/>
          <w:kern w:val="24"/>
        </w:rPr>
        <w:t>)</w:t>
      </w:r>
      <w:r w:rsidR="003126E3" w:rsidRPr="00FD06CD">
        <w:rPr>
          <w:rFonts w:eastAsiaTheme="minorEastAsia"/>
          <w:color w:val="000000" w:themeColor="text1"/>
          <w:kern w:val="24"/>
        </w:rPr>
        <w:t>.</w:t>
      </w:r>
    </w:p>
    <w:bookmarkEnd w:id="3"/>
    <w:p w14:paraId="75EF1572" w14:textId="4F16B2C6" w:rsidR="00F420AF" w:rsidRDefault="00FD06CD" w:rsidP="00173F74">
      <w:pPr>
        <w:spacing w:line="276" w:lineRule="auto"/>
        <w:ind w:firstLine="567"/>
        <w:jc w:val="both"/>
        <w:rPr>
          <w:rFonts w:eastAsiaTheme="minorEastAsia"/>
          <w:color w:val="000000" w:themeColor="text1"/>
          <w:kern w:val="24"/>
        </w:rPr>
      </w:pPr>
      <w:r>
        <w:rPr>
          <w:rFonts w:eastAsiaTheme="minorEastAsia"/>
          <w:color w:val="000000" w:themeColor="text1"/>
          <w:kern w:val="24"/>
        </w:rPr>
        <w:t>Līdz ar to</w:t>
      </w:r>
      <w:proofErr w:type="gramStart"/>
      <w:r>
        <w:rPr>
          <w:rFonts w:eastAsiaTheme="minorEastAsia"/>
          <w:color w:val="000000" w:themeColor="text1"/>
          <w:kern w:val="24"/>
        </w:rPr>
        <w:t xml:space="preserve"> gadījumos, kad</w:t>
      </w:r>
      <w:proofErr w:type="gramEnd"/>
      <w:r>
        <w:rPr>
          <w:rFonts w:eastAsiaTheme="minorEastAsia"/>
          <w:color w:val="000000" w:themeColor="text1"/>
          <w:kern w:val="24"/>
        </w:rPr>
        <w:t xml:space="preserve"> </w:t>
      </w:r>
      <w:r w:rsidR="008C0207">
        <w:rPr>
          <w:rFonts w:eastAsiaTheme="minorEastAsia"/>
          <w:color w:val="000000" w:themeColor="text1"/>
          <w:kern w:val="24"/>
        </w:rPr>
        <w:t xml:space="preserve">nodokļu maksātājs </w:t>
      </w:r>
      <w:r>
        <w:rPr>
          <w:rFonts w:eastAsiaTheme="minorEastAsia"/>
          <w:color w:val="000000" w:themeColor="text1"/>
          <w:kern w:val="24"/>
        </w:rPr>
        <w:t xml:space="preserve">jaunus pierādījumus iesniedz </w:t>
      </w:r>
      <w:r w:rsidR="00EC6C90">
        <w:rPr>
          <w:rFonts w:eastAsiaTheme="minorEastAsia"/>
          <w:color w:val="000000" w:themeColor="text1"/>
          <w:kern w:val="24"/>
        </w:rPr>
        <w:t>tikai tiesvedības laikā,</w:t>
      </w:r>
      <w:r w:rsidR="008C5C37">
        <w:rPr>
          <w:rFonts w:eastAsiaTheme="minorEastAsia"/>
          <w:color w:val="000000" w:themeColor="text1"/>
          <w:kern w:val="24"/>
        </w:rPr>
        <w:t xml:space="preserve"> vispirms</w:t>
      </w:r>
      <w:r w:rsidR="00EC6C90">
        <w:rPr>
          <w:rFonts w:eastAsiaTheme="minorEastAsia"/>
          <w:color w:val="000000" w:themeColor="text1"/>
          <w:kern w:val="24"/>
        </w:rPr>
        <w:t xml:space="preserve"> nepieciešams novērtēt </w:t>
      </w:r>
      <w:r w:rsidR="008C0207">
        <w:rPr>
          <w:rFonts w:eastAsiaTheme="minorEastAsia"/>
          <w:color w:val="000000" w:themeColor="text1"/>
          <w:kern w:val="24"/>
        </w:rPr>
        <w:t xml:space="preserve">nodokļu maksātāja </w:t>
      </w:r>
      <w:r w:rsidR="00EC6C90">
        <w:rPr>
          <w:rFonts w:eastAsiaTheme="minorEastAsia"/>
          <w:color w:val="000000" w:themeColor="text1"/>
          <w:kern w:val="24"/>
        </w:rPr>
        <w:t>norādītos iemeslus, kuru dēļ pierādījumi netika iesniegti jau iestād</w:t>
      </w:r>
      <w:r w:rsidR="002A7C25">
        <w:rPr>
          <w:rFonts w:eastAsiaTheme="minorEastAsia"/>
          <w:color w:val="000000" w:themeColor="text1"/>
          <w:kern w:val="24"/>
        </w:rPr>
        <w:t>ē</w:t>
      </w:r>
      <w:r w:rsidR="00EC6C90">
        <w:rPr>
          <w:rFonts w:eastAsiaTheme="minorEastAsia"/>
          <w:color w:val="000000" w:themeColor="text1"/>
          <w:kern w:val="24"/>
        </w:rPr>
        <w:t xml:space="preserve">. Nekonstatējot objektīvus šķēršļus pierādījumu savlaicīgai iesniegšanai, </w:t>
      </w:r>
      <w:r w:rsidR="003126E3">
        <w:rPr>
          <w:rFonts w:eastAsiaTheme="minorEastAsia"/>
          <w:color w:val="000000" w:themeColor="text1"/>
          <w:kern w:val="24"/>
        </w:rPr>
        <w:t>tiesa</w:t>
      </w:r>
      <w:r w:rsidR="000576B2">
        <w:rPr>
          <w:rFonts w:eastAsiaTheme="minorEastAsia"/>
          <w:color w:val="000000" w:themeColor="text1"/>
          <w:kern w:val="24"/>
        </w:rPr>
        <w:t xml:space="preserve"> var</w:t>
      </w:r>
      <w:r w:rsidR="003126E3">
        <w:rPr>
          <w:rFonts w:eastAsiaTheme="minorEastAsia"/>
          <w:color w:val="000000" w:themeColor="text1"/>
          <w:kern w:val="24"/>
        </w:rPr>
        <w:t xml:space="preserve"> atteikt pieņemt tiesvedības laikā iesniegtos pierādījumus</w:t>
      </w:r>
      <w:r w:rsidR="003B591F">
        <w:rPr>
          <w:rFonts w:eastAsiaTheme="minorEastAsia"/>
          <w:color w:val="000000" w:themeColor="text1"/>
          <w:kern w:val="24"/>
        </w:rPr>
        <w:t xml:space="preserve">. Taču šāda kārtība nav izprotama tādējādi, kā to raksturo Valsts ieņēmumu dienests. </w:t>
      </w:r>
    </w:p>
    <w:p w14:paraId="6888B706" w14:textId="58CC1DEE" w:rsidR="008C5C37" w:rsidRPr="0033680B" w:rsidRDefault="003B591F" w:rsidP="00173F74">
      <w:pPr>
        <w:spacing w:line="276" w:lineRule="auto"/>
        <w:ind w:firstLine="567"/>
        <w:jc w:val="both"/>
        <w:rPr>
          <w:rFonts w:eastAsiaTheme="minorEastAsia"/>
          <w:color w:val="000000" w:themeColor="text1"/>
          <w:kern w:val="24"/>
        </w:rPr>
      </w:pPr>
      <w:r>
        <w:rPr>
          <w:rFonts w:eastAsiaTheme="minorEastAsia"/>
          <w:color w:val="000000" w:themeColor="text1"/>
          <w:kern w:val="24"/>
        </w:rPr>
        <w:t>Proti, dienesta ieskatā, ja tiesa nepiešķir ticamību personas norādītajiem šķēršļiem pierādījumu savlaicīgai iesniegšanai, tiesa nav tiesīga izmantot šos pierādījumus faktu noskaidrošanai un secinājumu pamatošanai.</w:t>
      </w:r>
      <w:r w:rsidR="00040468">
        <w:rPr>
          <w:rFonts w:eastAsiaTheme="minorEastAsia"/>
          <w:color w:val="000000" w:themeColor="text1"/>
          <w:kern w:val="24"/>
        </w:rPr>
        <w:t xml:space="preserve"> </w:t>
      </w:r>
      <w:r>
        <w:rPr>
          <w:rFonts w:eastAsiaTheme="minorEastAsia"/>
          <w:color w:val="000000" w:themeColor="text1"/>
          <w:kern w:val="24"/>
        </w:rPr>
        <w:t>Šāda</w:t>
      </w:r>
      <w:r w:rsidR="00992DA1">
        <w:rPr>
          <w:rFonts w:eastAsiaTheme="minorEastAsia"/>
          <w:color w:val="000000" w:themeColor="text1"/>
          <w:kern w:val="24"/>
        </w:rPr>
        <w:t xml:space="preserve"> izpratne neatbilst ne tiesas lomai un pienākumiem </w:t>
      </w:r>
      <w:r w:rsidR="00F420AF">
        <w:rPr>
          <w:rFonts w:eastAsiaTheme="minorEastAsia"/>
          <w:color w:val="000000" w:themeColor="text1"/>
          <w:kern w:val="24"/>
        </w:rPr>
        <w:t>tiesisko strīdu izšķiršanā</w:t>
      </w:r>
      <w:r w:rsidR="00992DA1">
        <w:rPr>
          <w:rFonts w:eastAsiaTheme="minorEastAsia"/>
          <w:color w:val="000000" w:themeColor="text1"/>
          <w:kern w:val="24"/>
        </w:rPr>
        <w:t xml:space="preserve">, ne </w:t>
      </w:r>
      <w:r>
        <w:rPr>
          <w:rFonts w:eastAsiaTheme="minorEastAsia"/>
          <w:color w:val="000000" w:themeColor="text1"/>
          <w:kern w:val="24"/>
        </w:rPr>
        <w:t xml:space="preserve">lietu izskatīšanas pamatprincipiem. Proti, atbilstoši likuma </w:t>
      </w:r>
      <w:r w:rsidR="00F81A74">
        <w:t>„</w:t>
      </w:r>
      <w:r>
        <w:rPr>
          <w:rFonts w:eastAsiaTheme="minorEastAsia"/>
          <w:color w:val="000000" w:themeColor="text1"/>
          <w:kern w:val="24"/>
        </w:rPr>
        <w:t xml:space="preserve">Par tiesu varu” </w:t>
      </w:r>
      <w:proofErr w:type="gramStart"/>
      <w:r>
        <w:rPr>
          <w:rFonts w:eastAsiaTheme="minorEastAsia"/>
          <w:color w:val="000000" w:themeColor="text1"/>
          <w:kern w:val="24"/>
        </w:rPr>
        <w:t>17.panta</w:t>
      </w:r>
      <w:proofErr w:type="gramEnd"/>
      <w:r>
        <w:rPr>
          <w:rFonts w:eastAsiaTheme="minorEastAsia"/>
          <w:color w:val="000000" w:themeColor="text1"/>
          <w:kern w:val="24"/>
        </w:rPr>
        <w:t xml:space="preserve"> pirmajai daļai tiesas pienākums, izskatot jebkuru lietu, ir noskaidrot objektīvo patiesību. Savukārt atbilstoši šā likuma 25</w:t>
      </w:r>
      <w:r w:rsidR="00E57AED">
        <w:rPr>
          <w:rFonts w:eastAsiaTheme="minorEastAsia"/>
          <w:color w:val="000000" w:themeColor="text1"/>
          <w:kern w:val="24"/>
        </w:rPr>
        <w:t>.</w:t>
      </w:r>
      <w:proofErr w:type="gramStart"/>
      <w:r w:rsidRPr="00E57AED">
        <w:rPr>
          <w:rFonts w:eastAsiaTheme="minorEastAsia"/>
          <w:color w:val="000000" w:themeColor="text1"/>
          <w:kern w:val="24"/>
          <w:vertAlign w:val="superscript"/>
        </w:rPr>
        <w:t>1</w:t>
      </w:r>
      <w:r>
        <w:rPr>
          <w:rFonts w:eastAsiaTheme="minorEastAsia"/>
          <w:color w:val="000000" w:themeColor="text1"/>
          <w:kern w:val="24"/>
        </w:rPr>
        <w:t>pantam</w:t>
      </w:r>
      <w:proofErr w:type="gramEnd"/>
      <w:r>
        <w:rPr>
          <w:rFonts w:eastAsiaTheme="minorEastAsia"/>
          <w:color w:val="000000" w:themeColor="text1"/>
          <w:kern w:val="24"/>
        </w:rPr>
        <w:t xml:space="preserve">, lai prasījuma robežās noskaidrotu patiesos lietas apstākļus un panāktu taisnīgu administratīvās lietas izskatīšanu, tiesa dod administratīvā procesa dalībniekiem norādījumus un ieteikumus, kā arī pēc savas iniciatīvas vāc pierādījumus. </w:t>
      </w:r>
      <w:r w:rsidR="00040468">
        <w:rPr>
          <w:rFonts w:eastAsiaTheme="minorEastAsia"/>
          <w:color w:val="000000" w:themeColor="text1"/>
          <w:kern w:val="24"/>
        </w:rPr>
        <w:t>T</w:t>
      </w:r>
      <w:r w:rsidR="00992DA1">
        <w:rPr>
          <w:rFonts w:eastAsiaTheme="minorEastAsia"/>
          <w:color w:val="000000" w:themeColor="text1"/>
          <w:kern w:val="24"/>
        </w:rPr>
        <w:t xml:space="preserve">ātad </w:t>
      </w:r>
      <w:bookmarkStart w:id="7" w:name="_Hlk54616443"/>
      <w:r w:rsidR="00992DA1">
        <w:rPr>
          <w:rFonts w:eastAsiaTheme="minorEastAsia"/>
          <w:color w:val="000000" w:themeColor="text1"/>
          <w:kern w:val="24"/>
        </w:rPr>
        <w:t>viens no galvenajiem tiesas pienākumiem ir objektīvās patiesības noskaidrošana</w:t>
      </w:r>
      <w:r w:rsidR="00173F74">
        <w:rPr>
          <w:rFonts w:eastAsiaTheme="minorEastAsia"/>
          <w:color w:val="000000" w:themeColor="text1"/>
          <w:kern w:val="24"/>
        </w:rPr>
        <w:t>, aktīvi iesaistoties pierādījumu vākšanā</w:t>
      </w:r>
      <w:r w:rsidR="00821A3E">
        <w:rPr>
          <w:rFonts w:eastAsiaTheme="minorEastAsia"/>
          <w:color w:val="000000" w:themeColor="text1"/>
          <w:kern w:val="24"/>
        </w:rPr>
        <w:t xml:space="preserve">. Jautājums par to, kādi pierādījumi ir </w:t>
      </w:r>
      <w:r w:rsidR="00173F74">
        <w:rPr>
          <w:rFonts w:eastAsiaTheme="minorEastAsia"/>
          <w:color w:val="000000" w:themeColor="text1"/>
          <w:kern w:val="24"/>
        </w:rPr>
        <w:t xml:space="preserve">nepieciešami un </w:t>
      </w:r>
      <w:r w:rsidR="00821A3E">
        <w:rPr>
          <w:rFonts w:eastAsiaTheme="minorEastAsia"/>
          <w:color w:val="000000" w:themeColor="text1"/>
          <w:kern w:val="24"/>
        </w:rPr>
        <w:t>izmantojami patiesības noskaidrošanai, ir t</w:t>
      </w:r>
      <w:r w:rsidR="00040468">
        <w:rPr>
          <w:rFonts w:eastAsiaTheme="minorEastAsia"/>
          <w:color w:val="000000" w:themeColor="text1"/>
          <w:kern w:val="24"/>
        </w:rPr>
        <w:t>ikai tiesas, kas izskata konkrēto lietu, kompetencē</w:t>
      </w:r>
      <w:r w:rsidR="00821A3E">
        <w:rPr>
          <w:rFonts w:eastAsiaTheme="minorEastAsia"/>
          <w:color w:val="000000" w:themeColor="text1"/>
          <w:kern w:val="24"/>
        </w:rPr>
        <w:t>. Ja tiesa atzīst, ka pierādījum</w:t>
      </w:r>
      <w:r w:rsidR="008C5C37">
        <w:rPr>
          <w:rFonts w:eastAsiaTheme="minorEastAsia"/>
          <w:color w:val="000000" w:themeColor="text1"/>
          <w:kern w:val="24"/>
        </w:rPr>
        <w:t>s</w:t>
      </w:r>
      <w:r w:rsidR="00821A3E">
        <w:rPr>
          <w:rFonts w:eastAsiaTheme="minorEastAsia"/>
          <w:color w:val="000000" w:themeColor="text1"/>
          <w:kern w:val="24"/>
        </w:rPr>
        <w:t xml:space="preserve"> atbilst visām pierādījumu </w:t>
      </w:r>
      <w:r w:rsidR="00070B50">
        <w:rPr>
          <w:rFonts w:eastAsiaTheme="minorEastAsia"/>
          <w:color w:val="000000" w:themeColor="text1"/>
          <w:kern w:val="24"/>
        </w:rPr>
        <w:t>īpašībām, proti, ir attiecinām</w:t>
      </w:r>
      <w:r w:rsidR="008C5C37">
        <w:rPr>
          <w:rFonts w:eastAsiaTheme="minorEastAsia"/>
          <w:color w:val="000000" w:themeColor="text1"/>
          <w:kern w:val="24"/>
        </w:rPr>
        <w:t>s</w:t>
      </w:r>
      <w:r w:rsidR="00070B50">
        <w:rPr>
          <w:rFonts w:eastAsiaTheme="minorEastAsia"/>
          <w:color w:val="000000" w:themeColor="text1"/>
          <w:kern w:val="24"/>
        </w:rPr>
        <w:t>, pieļaujam</w:t>
      </w:r>
      <w:r w:rsidR="008C5C37">
        <w:rPr>
          <w:rFonts w:eastAsiaTheme="minorEastAsia"/>
          <w:color w:val="000000" w:themeColor="text1"/>
          <w:kern w:val="24"/>
        </w:rPr>
        <w:t xml:space="preserve">s </w:t>
      </w:r>
      <w:r w:rsidR="00070B50">
        <w:rPr>
          <w:rFonts w:eastAsiaTheme="minorEastAsia"/>
          <w:color w:val="000000" w:themeColor="text1"/>
          <w:kern w:val="24"/>
        </w:rPr>
        <w:t>un ticam</w:t>
      </w:r>
      <w:r w:rsidR="008C5C37">
        <w:rPr>
          <w:rFonts w:eastAsiaTheme="minorEastAsia"/>
          <w:color w:val="000000" w:themeColor="text1"/>
          <w:kern w:val="24"/>
        </w:rPr>
        <w:t>s</w:t>
      </w:r>
      <w:r w:rsidR="00070B50">
        <w:rPr>
          <w:rFonts w:eastAsiaTheme="minorEastAsia"/>
          <w:color w:val="000000" w:themeColor="text1"/>
          <w:kern w:val="24"/>
        </w:rPr>
        <w:t>, tiesai ir ne tikvien tiesība, bet</w:t>
      </w:r>
      <w:r w:rsidR="00173F74">
        <w:rPr>
          <w:rFonts w:eastAsiaTheme="minorEastAsia"/>
          <w:color w:val="000000" w:themeColor="text1"/>
          <w:kern w:val="24"/>
        </w:rPr>
        <w:t>, jo īpaši,</w:t>
      </w:r>
      <w:r w:rsidR="00070B50">
        <w:rPr>
          <w:rFonts w:eastAsiaTheme="minorEastAsia"/>
          <w:color w:val="000000" w:themeColor="text1"/>
          <w:kern w:val="24"/>
        </w:rPr>
        <w:t xml:space="preserve"> pienākums</w:t>
      </w:r>
      <w:r w:rsidR="00173F74">
        <w:rPr>
          <w:rFonts w:eastAsiaTheme="minorEastAsia"/>
          <w:color w:val="000000" w:themeColor="text1"/>
          <w:kern w:val="24"/>
        </w:rPr>
        <w:t xml:space="preserve"> ņemt vērā konkrēto pierādījumu un novērtēt to atbilstoši visām pierādījumu novērtēšanas prasībām. M</w:t>
      </w:r>
      <w:r w:rsidR="00D330B1">
        <w:rPr>
          <w:rFonts w:eastAsiaTheme="minorEastAsia"/>
          <w:color w:val="000000" w:themeColor="text1"/>
          <w:kern w:val="24"/>
        </w:rPr>
        <w:t>inētais</w:t>
      </w:r>
      <w:r w:rsidR="00173F74">
        <w:rPr>
          <w:rFonts w:eastAsiaTheme="minorEastAsia"/>
          <w:color w:val="000000" w:themeColor="text1"/>
          <w:kern w:val="24"/>
        </w:rPr>
        <w:t>, jo īpaši, ir</w:t>
      </w:r>
      <w:r w:rsidR="00D330B1">
        <w:rPr>
          <w:rFonts w:eastAsiaTheme="minorEastAsia"/>
          <w:color w:val="000000" w:themeColor="text1"/>
          <w:kern w:val="24"/>
        </w:rPr>
        <w:t xml:space="preserve"> attiecināms uz</w:t>
      </w:r>
      <w:r w:rsidR="00E57AED">
        <w:rPr>
          <w:rFonts w:eastAsiaTheme="minorEastAsia"/>
          <w:color w:val="000000" w:themeColor="text1"/>
          <w:kern w:val="24"/>
        </w:rPr>
        <w:t xml:space="preserve"> tiem pierādījumiem, kurus tiesa ir pieņēmusi un </w:t>
      </w:r>
      <w:r w:rsidR="00E57AED">
        <w:rPr>
          <w:rFonts w:eastAsiaTheme="minorEastAsia"/>
          <w:color w:val="000000" w:themeColor="text1"/>
          <w:kern w:val="24"/>
        </w:rPr>
        <w:lastRenderedPageBreak/>
        <w:t>pievienojusi lietas materiāliem, jo, k</w:t>
      </w:r>
      <w:r w:rsidR="00040468">
        <w:rPr>
          <w:rFonts w:eastAsiaTheme="minorEastAsia"/>
          <w:color w:val="000000" w:themeColor="text1"/>
          <w:kern w:val="24"/>
        </w:rPr>
        <w:t xml:space="preserve">ā atzīts juridiskajā literatūrā, tiesa nedrīkst atstāt bez ievērības nevienu pieņemto pierādījumu </w:t>
      </w:r>
      <w:proofErr w:type="gramStart"/>
      <w:r w:rsidR="00040468">
        <w:rPr>
          <w:rFonts w:eastAsiaTheme="minorEastAsia"/>
          <w:color w:val="000000" w:themeColor="text1"/>
          <w:kern w:val="24"/>
        </w:rPr>
        <w:t>(</w:t>
      </w:r>
      <w:proofErr w:type="gramEnd"/>
      <w:r w:rsidR="00040468" w:rsidRPr="001324A9">
        <w:rPr>
          <w:rFonts w:eastAsiaTheme="minorEastAsia"/>
          <w:i/>
          <w:iCs/>
          <w:color w:val="000000" w:themeColor="text1"/>
          <w:kern w:val="24"/>
        </w:rPr>
        <w:t xml:space="preserve">Līcis </w:t>
      </w:r>
      <w:r w:rsidR="00F81A74" w:rsidRPr="001324A9">
        <w:rPr>
          <w:rFonts w:eastAsiaTheme="minorEastAsia"/>
          <w:i/>
          <w:iCs/>
          <w:color w:val="000000" w:themeColor="text1"/>
          <w:kern w:val="24"/>
        </w:rPr>
        <w:t>A.</w:t>
      </w:r>
      <w:r w:rsidR="001324A9" w:rsidRPr="001324A9">
        <w:rPr>
          <w:rFonts w:eastAsiaTheme="minorEastAsia"/>
          <w:i/>
          <w:iCs/>
          <w:color w:val="000000" w:themeColor="text1"/>
          <w:kern w:val="24"/>
        </w:rPr>
        <w:t xml:space="preserve"> Prasības tiesvedībā un pierādījumi. Rīga: </w:t>
      </w:r>
      <w:r w:rsidR="00F81A74" w:rsidRPr="00F81A74">
        <w:rPr>
          <w:rFonts w:eastAsiaTheme="minorEastAsia"/>
          <w:i/>
          <w:color w:val="000000" w:themeColor="text1"/>
          <w:kern w:val="24"/>
        </w:rPr>
        <w:t>Tiesu namu aģentūra, 20</w:t>
      </w:r>
      <w:r w:rsidR="001324A9">
        <w:rPr>
          <w:rFonts w:eastAsiaTheme="minorEastAsia"/>
          <w:i/>
          <w:color w:val="000000" w:themeColor="text1"/>
          <w:kern w:val="24"/>
        </w:rPr>
        <w:t>0</w:t>
      </w:r>
      <w:r w:rsidR="00F81A74" w:rsidRPr="00F81A74">
        <w:rPr>
          <w:rFonts w:eastAsiaTheme="minorEastAsia"/>
          <w:i/>
          <w:color w:val="000000" w:themeColor="text1"/>
          <w:kern w:val="24"/>
        </w:rPr>
        <w:t xml:space="preserve">3, </w:t>
      </w:r>
      <w:r w:rsidR="001324A9">
        <w:rPr>
          <w:rFonts w:eastAsiaTheme="minorEastAsia"/>
          <w:i/>
          <w:color w:val="000000" w:themeColor="text1"/>
          <w:kern w:val="24"/>
        </w:rPr>
        <w:t>77</w:t>
      </w:r>
      <w:r w:rsidR="00F81A74" w:rsidRPr="00F81A74">
        <w:rPr>
          <w:rFonts w:eastAsiaTheme="minorEastAsia"/>
          <w:i/>
          <w:color w:val="000000" w:themeColor="text1"/>
          <w:kern w:val="24"/>
        </w:rPr>
        <w:t>.lpp.</w:t>
      </w:r>
      <w:r w:rsidR="00F81A74" w:rsidRPr="00F81A74">
        <w:rPr>
          <w:rFonts w:eastAsiaTheme="minorEastAsia"/>
          <w:color w:val="000000" w:themeColor="text1"/>
          <w:kern w:val="24"/>
        </w:rPr>
        <w:t>).</w:t>
      </w:r>
      <w:r w:rsidR="001324A9">
        <w:rPr>
          <w:rFonts w:eastAsiaTheme="minorEastAsia"/>
          <w:color w:val="000000" w:themeColor="text1"/>
          <w:kern w:val="24"/>
        </w:rPr>
        <w:t xml:space="preserve"> </w:t>
      </w:r>
      <w:r w:rsidR="00D330B1">
        <w:rPr>
          <w:rFonts w:eastAsiaTheme="minorEastAsia"/>
          <w:color w:val="000000" w:themeColor="text1"/>
          <w:kern w:val="24"/>
        </w:rPr>
        <w:t>Ja pierādījumi ir iesniegti, vērtējums jādod par visiem pierādījumiem (</w:t>
      </w:r>
      <w:r w:rsidR="001324A9" w:rsidRPr="001324A9">
        <w:rPr>
          <w:rFonts w:eastAsiaTheme="minorEastAsia"/>
          <w:i/>
          <w:iCs/>
          <w:color w:val="000000" w:themeColor="text1"/>
          <w:kern w:val="24"/>
        </w:rPr>
        <w:t>turpat,</w:t>
      </w:r>
      <w:r w:rsidR="00D330B1" w:rsidRPr="001324A9">
        <w:rPr>
          <w:rFonts w:eastAsiaTheme="minorEastAsia"/>
          <w:i/>
          <w:iCs/>
          <w:color w:val="000000" w:themeColor="text1"/>
          <w:kern w:val="24"/>
        </w:rPr>
        <w:t xml:space="preserve"> 80.lpp</w:t>
      </w:r>
      <w:r w:rsidR="00D330B1">
        <w:rPr>
          <w:rFonts w:eastAsiaTheme="minorEastAsia"/>
          <w:color w:val="000000" w:themeColor="text1"/>
          <w:kern w:val="24"/>
        </w:rPr>
        <w:t>).</w:t>
      </w:r>
      <w:r w:rsidR="00FA6E62">
        <w:rPr>
          <w:rFonts w:eastAsiaTheme="minorEastAsia"/>
          <w:color w:val="000000" w:themeColor="text1"/>
          <w:kern w:val="24"/>
        </w:rPr>
        <w:t xml:space="preserve"> </w:t>
      </w:r>
      <w:r w:rsidR="008C5C37">
        <w:rPr>
          <w:rFonts w:eastAsiaTheme="minorEastAsia"/>
          <w:color w:val="000000" w:themeColor="text1"/>
          <w:kern w:val="24"/>
        </w:rPr>
        <w:t xml:space="preserve">Minētais nostiprināts arī Administratīvā procesa likuma </w:t>
      </w:r>
      <w:proofErr w:type="gramStart"/>
      <w:r w:rsidR="008C5C37">
        <w:rPr>
          <w:rFonts w:eastAsiaTheme="minorEastAsia"/>
          <w:color w:val="000000" w:themeColor="text1"/>
          <w:kern w:val="24"/>
        </w:rPr>
        <w:t>154.panta</w:t>
      </w:r>
      <w:proofErr w:type="gramEnd"/>
      <w:r w:rsidR="008C5C37">
        <w:rPr>
          <w:rFonts w:eastAsiaTheme="minorEastAsia"/>
          <w:color w:val="000000" w:themeColor="text1"/>
          <w:kern w:val="24"/>
        </w:rPr>
        <w:t xml:space="preserve"> pirmajā daļā, atbilstoši kurai tiesa, novērtējot pierādījumus, tos pārbauda vispusīgi, pilnīgi un objektīvi. Vispusīga un pilnīga pierādījumu pārbaude un novērtēšana nozīmē to, ka tiesa novērtē visus lietā esošos pi</w:t>
      </w:r>
      <w:r w:rsidR="008C5C37" w:rsidRPr="008C5C37">
        <w:rPr>
          <w:rFonts w:eastAsiaTheme="minorEastAsia"/>
          <w:color w:val="000000" w:themeColor="text1"/>
          <w:kern w:val="24"/>
        </w:rPr>
        <w:t xml:space="preserve">erādījumus </w:t>
      </w:r>
      <w:bookmarkEnd w:id="7"/>
      <w:r w:rsidR="008C5C37" w:rsidRPr="008C5C37">
        <w:rPr>
          <w:rFonts w:eastAsiaTheme="minorEastAsia"/>
          <w:color w:val="000000" w:themeColor="text1"/>
          <w:kern w:val="24"/>
        </w:rPr>
        <w:t>(</w:t>
      </w:r>
      <w:r w:rsidR="008C5C37" w:rsidRPr="008C5C37">
        <w:rPr>
          <w:rFonts w:eastAsiaTheme="minorEastAsia"/>
          <w:i/>
          <w:iCs/>
          <w:color w:val="000000" w:themeColor="text1"/>
          <w:kern w:val="24"/>
        </w:rPr>
        <w:t>sal. </w:t>
      </w:r>
      <w:bookmarkStart w:id="8" w:name="_Hlk57195653"/>
      <w:r w:rsidR="008C5C37" w:rsidRPr="008C5C37">
        <w:rPr>
          <w:rFonts w:eastAsiaTheme="minorEastAsia"/>
          <w:i/>
          <w:iCs/>
          <w:color w:val="000000" w:themeColor="text1"/>
          <w:kern w:val="24"/>
        </w:rPr>
        <w:t xml:space="preserve">Senāta </w:t>
      </w:r>
      <w:proofErr w:type="gramStart"/>
      <w:r w:rsidR="008C5C37" w:rsidRPr="008C5C37">
        <w:rPr>
          <w:rFonts w:eastAsiaTheme="minorEastAsia"/>
          <w:i/>
          <w:iCs/>
          <w:color w:val="000000" w:themeColor="text1"/>
          <w:kern w:val="24"/>
        </w:rPr>
        <w:t>2018.gada</w:t>
      </w:r>
      <w:proofErr w:type="gramEnd"/>
      <w:r w:rsidR="008C5C37" w:rsidRPr="008C5C37">
        <w:rPr>
          <w:rFonts w:eastAsiaTheme="minorEastAsia"/>
          <w:i/>
          <w:iCs/>
          <w:color w:val="000000" w:themeColor="text1"/>
          <w:kern w:val="24"/>
        </w:rPr>
        <w:t xml:space="preserve"> </w:t>
      </w:r>
      <w:r w:rsidR="0033680B" w:rsidRPr="0033680B">
        <w:rPr>
          <w:rFonts w:eastAsiaTheme="minorEastAsia"/>
          <w:i/>
          <w:iCs/>
          <w:color w:val="000000" w:themeColor="text1"/>
          <w:kern w:val="24"/>
        </w:rPr>
        <w:t>28.decembra sprieduma lietā Nr. SKA-655/2018 (</w:t>
      </w:r>
      <w:r w:rsidR="008C5C37" w:rsidRPr="0033680B">
        <w:rPr>
          <w:rFonts w:eastAsiaTheme="minorEastAsia"/>
          <w:i/>
          <w:iCs/>
          <w:color w:val="000000" w:themeColor="text1"/>
          <w:kern w:val="24"/>
        </w:rPr>
        <w:t>ECLI:LV:AT:2018:1228.A420495111.3.S)</w:t>
      </w:r>
      <w:bookmarkEnd w:id="8"/>
      <w:r w:rsidR="008C5C37" w:rsidRPr="0033680B">
        <w:rPr>
          <w:rFonts w:eastAsiaTheme="minorEastAsia"/>
          <w:i/>
          <w:iCs/>
          <w:color w:val="000000" w:themeColor="text1"/>
          <w:kern w:val="24"/>
        </w:rPr>
        <w:t xml:space="preserve"> </w:t>
      </w:r>
      <w:r w:rsidR="0033680B" w:rsidRPr="0033680B">
        <w:rPr>
          <w:rFonts w:eastAsiaTheme="minorEastAsia"/>
          <w:i/>
          <w:iCs/>
          <w:color w:val="000000" w:themeColor="text1"/>
          <w:kern w:val="24"/>
        </w:rPr>
        <w:t>8</w:t>
      </w:r>
      <w:r w:rsidR="008C5C37" w:rsidRPr="0033680B">
        <w:rPr>
          <w:rFonts w:eastAsiaTheme="minorEastAsia"/>
          <w:i/>
          <w:iCs/>
          <w:color w:val="000000" w:themeColor="text1"/>
          <w:kern w:val="24"/>
        </w:rPr>
        <w:t>.punkts</w:t>
      </w:r>
      <w:r w:rsidR="008C5C37" w:rsidRPr="0033680B">
        <w:rPr>
          <w:rFonts w:eastAsiaTheme="minorEastAsia"/>
          <w:color w:val="000000" w:themeColor="text1"/>
          <w:kern w:val="24"/>
        </w:rPr>
        <w:t>)</w:t>
      </w:r>
      <w:r w:rsidR="00A01B6C" w:rsidRPr="0033680B">
        <w:rPr>
          <w:rFonts w:eastAsiaTheme="minorEastAsia"/>
          <w:color w:val="000000" w:themeColor="text1"/>
          <w:kern w:val="24"/>
        </w:rPr>
        <w:t>.</w:t>
      </w:r>
    </w:p>
    <w:p w14:paraId="3C048E54" w14:textId="4B17DB75" w:rsidR="00623960" w:rsidRDefault="00623960" w:rsidP="00173F74">
      <w:pPr>
        <w:spacing w:line="276" w:lineRule="auto"/>
        <w:ind w:firstLine="567"/>
        <w:jc w:val="both"/>
        <w:rPr>
          <w:rFonts w:eastAsiaTheme="minorEastAsia"/>
          <w:color w:val="000000" w:themeColor="text1"/>
          <w:kern w:val="24"/>
        </w:rPr>
      </w:pPr>
      <w:r w:rsidRPr="0033680B">
        <w:rPr>
          <w:rFonts w:eastAsiaTheme="minorEastAsia"/>
          <w:color w:val="000000" w:themeColor="text1"/>
          <w:kern w:val="24"/>
        </w:rPr>
        <w:t>Ievērojot minēto, ir kļūdains Valsts ieņēmumu dienesta viedoklis, ka</w:t>
      </w:r>
      <w:r>
        <w:rPr>
          <w:rFonts w:eastAsiaTheme="minorEastAsia"/>
          <w:color w:val="000000" w:themeColor="text1"/>
          <w:kern w:val="24"/>
        </w:rPr>
        <w:t xml:space="preserve"> apgabaltiesa faktu noskaidrošanai un secinājumu pamatošanai nebija tiesīga izmantot </w:t>
      </w:r>
      <w:r w:rsidR="00422DF0">
        <w:rPr>
          <w:rFonts w:eastAsiaTheme="minorEastAsia"/>
          <w:color w:val="000000" w:themeColor="text1"/>
          <w:kern w:val="24"/>
        </w:rPr>
        <w:t xml:space="preserve">pieteicēja </w:t>
      </w:r>
      <w:r>
        <w:rPr>
          <w:rFonts w:eastAsiaTheme="minorEastAsia"/>
          <w:color w:val="000000" w:themeColor="text1"/>
          <w:kern w:val="24"/>
        </w:rPr>
        <w:t>pirmās instances tiesā iesniegtos pierādījumus</w:t>
      </w:r>
      <w:r w:rsidR="00422DF0">
        <w:rPr>
          <w:rFonts w:eastAsiaTheme="minorEastAsia"/>
          <w:color w:val="000000" w:themeColor="text1"/>
          <w:kern w:val="24"/>
        </w:rPr>
        <w:t xml:space="preserve"> tikai tāpēc vien, ka pieteicēja norādītie iemesli šo pierādījumu savlaicīgai neiesniegšanai nav ticami. Gadījumos, ja jauni pierādījumi tiek iesniegti tikai tiesvedības laikā, personas norādītie iemesli pierādījumu savlaicīgai neiesniegšanai vērtējami kopsakarā ar pierādīšanas līdzekļiem, kuros fiksēti attiecīgie pierādījumi jeb ziņas. Jo lielāka ticamības un drošības pakāpe ir piešķirama pierādīšanas līdzeklim, jo nopietnākam pamatam jābūt attiecīgo pierādījumu izslēgšanai no pierādījumu kopuma</w:t>
      </w:r>
      <w:r>
        <w:rPr>
          <w:rFonts w:eastAsiaTheme="minorEastAsia"/>
          <w:color w:val="000000" w:themeColor="text1"/>
          <w:kern w:val="24"/>
        </w:rPr>
        <w:t xml:space="preserve">. </w:t>
      </w:r>
    </w:p>
    <w:p w14:paraId="1EBE7742" w14:textId="13D3C31C" w:rsidR="00623960" w:rsidRDefault="00623960" w:rsidP="00A44B54">
      <w:pPr>
        <w:spacing w:line="276" w:lineRule="auto"/>
        <w:ind w:firstLine="567"/>
        <w:jc w:val="both"/>
        <w:rPr>
          <w:rFonts w:eastAsiaTheme="minorEastAsia"/>
          <w:color w:val="000000" w:themeColor="text1"/>
          <w:kern w:val="24"/>
        </w:rPr>
      </w:pPr>
      <w:proofErr w:type="gramStart"/>
      <w:r>
        <w:rPr>
          <w:rFonts w:eastAsiaTheme="minorEastAsia"/>
          <w:color w:val="000000" w:themeColor="text1"/>
          <w:kern w:val="24"/>
        </w:rPr>
        <w:t xml:space="preserve">Papildus </w:t>
      </w:r>
      <w:r w:rsidR="007C46E2">
        <w:rPr>
          <w:rFonts w:eastAsiaTheme="minorEastAsia"/>
          <w:color w:val="000000" w:themeColor="text1"/>
          <w:kern w:val="24"/>
        </w:rPr>
        <w:t>Senāts</w:t>
      </w:r>
      <w:proofErr w:type="gramEnd"/>
      <w:r w:rsidR="007C46E2">
        <w:rPr>
          <w:rFonts w:eastAsiaTheme="minorEastAsia"/>
          <w:color w:val="000000" w:themeColor="text1"/>
          <w:kern w:val="24"/>
        </w:rPr>
        <w:t xml:space="preserve"> </w:t>
      </w:r>
      <w:r w:rsidR="00A44B54">
        <w:rPr>
          <w:rFonts w:eastAsiaTheme="minorEastAsia"/>
          <w:color w:val="000000" w:themeColor="text1"/>
          <w:kern w:val="24"/>
        </w:rPr>
        <w:t>norāda, ka judikatūras atziņas, kas paustas par gadījumiem, kad nodokļu maksātājs jaunus pierādījumus iesniedz tikai tiesvedības laikā, vērstas nevis uz to, lai ierobežotu tiesu izmantot tiesvedības laikā iesniegtos pierādījumus, kā to uztvēris Valsts ieņēmumu dienests</w:t>
      </w:r>
      <w:r w:rsidR="00814F98">
        <w:rPr>
          <w:rFonts w:eastAsiaTheme="minorEastAsia"/>
          <w:color w:val="000000" w:themeColor="text1"/>
          <w:kern w:val="24"/>
        </w:rPr>
        <w:t xml:space="preserve"> šajā lietā iesniegtajā kasācijas sūdzībā</w:t>
      </w:r>
      <w:r w:rsidR="00A44B54">
        <w:rPr>
          <w:rFonts w:eastAsiaTheme="minorEastAsia"/>
          <w:color w:val="000000" w:themeColor="text1"/>
          <w:kern w:val="24"/>
        </w:rPr>
        <w:t xml:space="preserve">, bet gan, lai </w:t>
      </w:r>
      <w:r w:rsidR="007C46E2">
        <w:rPr>
          <w:rFonts w:eastAsiaTheme="minorEastAsia"/>
          <w:color w:val="000000" w:themeColor="text1"/>
          <w:kern w:val="24"/>
        </w:rPr>
        <w:t xml:space="preserve">izskaidrotu nodokļu maksātājiem pienākumu </w:t>
      </w:r>
      <w:r w:rsidR="001801CA">
        <w:rPr>
          <w:rFonts w:eastAsiaTheme="minorEastAsia"/>
          <w:color w:val="000000" w:themeColor="text1"/>
          <w:kern w:val="24"/>
        </w:rPr>
        <w:t xml:space="preserve">līdzdarboties ar nodokļu administrāciju un </w:t>
      </w:r>
      <w:r w:rsidR="007C46E2">
        <w:rPr>
          <w:rFonts w:eastAsiaTheme="minorEastAsia"/>
          <w:color w:val="000000" w:themeColor="text1"/>
          <w:kern w:val="24"/>
        </w:rPr>
        <w:t>jau audita laikā iesniegt visus nepieciešamos pierādījumus, tādējādi nodrošinot pilnvērtīg</w:t>
      </w:r>
      <w:r w:rsidR="00814F98">
        <w:rPr>
          <w:rFonts w:eastAsiaTheme="minorEastAsia"/>
          <w:color w:val="000000" w:themeColor="text1"/>
          <w:kern w:val="24"/>
        </w:rPr>
        <w:t>u</w:t>
      </w:r>
      <w:r>
        <w:rPr>
          <w:rFonts w:eastAsiaTheme="minorEastAsia"/>
          <w:color w:val="000000" w:themeColor="text1"/>
          <w:kern w:val="24"/>
        </w:rPr>
        <w:t xml:space="preserve">, vispusīgu </w:t>
      </w:r>
      <w:r w:rsidR="00814F98">
        <w:rPr>
          <w:rFonts w:eastAsiaTheme="minorEastAsia"/>
          <w:color w:val="000000" w:themeColor="text1"/>
          <w:kern w:val="24"/>
        </w:rPr>
        <w:t xml:space="preserve">un objektīvu </w:t>
      </w:r>
      <w:r w:rsidR="007C46E2">
        <w:rPr>
          <w:rFonts w:eastAsiaTheme="minorEastAsia"/>
          <w:color w:val="000000" w:themeColor="text1"/>
          <w:kern w:val="24"/>
        </w:rPr>
        <w:t>nodokļu audita veikšanu</w:t>
      </w:r>
      <w:r w:rsidR="00814F98">
        <w:rPr>
          <w:rFonts w:eastAsiaTheme="minorEastAsia"/>
          <w:color w:val="000000" w:themeColor="text1"/>
          <w:kern w:val="24"/>
        </w:rPr>
        <w:t>.</w:t>
      </w:r>
      <w:r w:rsidR="001801CA">
        <w:rPr>
          <w:rFonts w:eastAsiaTheme="minorEastAsia"/>
          <w:color w:val="000000" w:themeColor="text1"/>
          <w:kern w:val="24"/>
        </w:rPr>
        <w:t xml:space="preserve"> N</w:t>
      </w:r>
      <w:r w:rsidR="00814F98">
        <w:rPr>
          <w:rFonts w:eastAsiaTheme="minorEastAsia"/>
          <w:color w:val="000000" w:themeColor="text1"/>
          <w:kern w:val="24"/>
        </w:rPr>
        <w:t xml:space="preserve">odokļu audita veikšana ir tikai nodokļu administrācijas kompetencē, savukārt administratīvās tiesas kompetencē ir nodokļu audita rezultātā pieņemtā </w:t>
      </w:r>
      <w:r>
        <w:rPr>
          <w:rFonts w:eastAsiaTheme="minorEastAsia"/>
          <w:color w:val="000000" w:themeColor="text1"/>
          <w:kern w:val="24"/>
        </w:rPr>
        <w:t xml:space="preserve">administratīvā akta </w:t>
      </w:r>
      <w:r w:rsidR="00814F98">
        <w:rPr>
          <w:rFonts w:eastAsiaTheme="minorEastAsia"/>
          <w:color w:val="000000" w:themeColor="text1"/>
          <w:kern w:val="24"/>
        </w:rPr>
        <w:t>tiesiskuma pārbaude.</w:t>
      </w:r>
      <w:r w:rsidR="001801CA">
        <w:rPr>
          <w:rFonts w:eastAsiaTheme="minorEastAsia"/>
          <w:color w:val="000000" w:themeColor="text1"/>
          <w:kern w:val="24"/>
        </w:rPr>
        <w:t xml:space="preserve"> Tāpēc</w:t>
      </w:r>
      <w:r>
        <w:rPr>
          <w:rFonts w:eastAsiaTheme="minorEastAsia"/>
          <w:color w:val="000000" w:themeColor="text1"/>
          <w:kern w:val="24"/>
        </w:rPr>
        <w:t xml:space="preserve">, lai nodokļu administrēšanas funkcijas nepārnestu no kompetentās iestādes uz administratīvo tiesu, </w:t>
      </w:r>
      <w:r w:rsidR="001801CA">
        <w:rPr>
          <w:rFonts w:eastAsiaTheme="minorEastAsia"/>
          <w:color w:val="000000" w:themeColor="text1"/>
          <w:kern w:val="24"/>
        </w:rPr>
        <w:t>judikatūr</w:t>
      </w:r>
      <w:r>
        <w:rPr>
          <w:rFonts w:eastAsiaTheme="minorEastAsia"/>
          <w:color w:val="000000" w:themeColor="text1"/>
          <w:kern w:val="24"/>
        </w:rPr>
        <w:t xml:space="preserve">as atziņas vērstas uz nodokļu maksātāju disciplinēšanu </w:t>
      </w:r>
      <w:r w:rsidR="000576B2">
        <w:rPr>
          <w:rFonts w:eastAsiaTheme="minorEastAsia"/>
          <w:color w:val="000000" w:themeColor="text1"/>
          <w:kern w:val="24"/>
        </w:rPr>
        <w:t>ienākumus, izdevumus un darījumus pamatojošos dokumentus</w:t>
      </w:r>
      <w:r>
        <w:rPr>
          <w:rFonts w:eastAsiaTheme="minorEastAsia"/>
          <w:color w:val="000000" w:themeColor="text1"/>
          <w:kern w:val="24"/>
        </w:rPr>
        <w:t>, objektīviem šķēršļiem neesot, sākotnējai izvērtēšanai iesniegt nodokļu administrācijai, nevis administratīvajai tiesai.</w:t>
      </w:r>
      <w:r w:rsidR="0035104C">
        <w:rPr>
          <w:rFonts w:eastAsiaTheme="minorEastAsia"/>
          <w:color w:val="000000" w:themeColor="text1"/>
          <w:kern w:val="24"/>
        </w:rPr>
        <w:t xml:space="preserve"> Tomēr tas nenozīmē, ka tiesai ir aizliegt</w:t>
      </w:r>
      <w:r w:rsidR="0033680B">
        <w:rPr>
          <w:rFonts w:eastAsiaTheme="minorEastAsia"/>
          <w:color w:val="000000" w:themeColor="text1"/>
          <w:kern w:val="24"/>
        </w:rPr>
        <w:t>s</w:t>
      </w:r>
      <w:r w:rsidR="0035104C">
        <w:rPr>
          <w:rFonts w:eastAsiaTheme="minorEastAsia"/>
          <w:color w:val="000000" w:themeColor="text1"/>
          <w:kern w:val="24"/>
        </w:rPr>
        <w:t xml:space="preserve"> pieņemt arī tiesvedības gaitā iesniegtus pierādījumus, ja tiesa konkrēto pierādījumu atzīst par ticamu</w:t>
      </w:r>
      <w:r w:rsidR="0033680B">
        <w:rPr>
          <w:rFonts w:eastAsiaTheme="minorEastAsia"/>
          <w:color w:val="000000" w:themeColor="text1"/>
          <w:kern w:val="24"/>
        </w:rPr>
        <w:t>, neraugoties uz novēlotu iesniegšanu.</w:t>
      </w:r>
    </w:p>
    <w:p w14:paraId="785CF32C" w14:textId="77777777" w:rsidR="00623960" w:rsidRDefault="00623960" w:rsidP="00FD06CD">
      <w:pPr>
        <w:spacing w:line="276" w:lineRule="auto"/>
        <w:ind w:firstLine="567"/>
        <w:jc w:val="both"/>
        <w:rPr>
          <w:rFonts w:eastAsiaTheme="minorEastAsia"/>
          <w:color w:val="000000" w:themeColor="text1"/>
          <w:kern w:val="24"/>
        </w:rPr>
      </w:pPr>
    </w:p>
    <w:p w14:paraId="7A5309E4" w14:textId="5D461162" w:rsidR="00EC6C90" w:rsidRDefault="00A81322" w:rsidP="00FD06CD">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2F535F">
        <w:rPr>
          <w:rFonts w:eastAsiaTheme="minorEastAsia"/>
          <w:color w:val="000000" w:themeColor="text1"/>
          <w:kern w:val="24"/>
        </w:rPr>
        <w:t>9</w:t>
      </w:r>
      <w:r w:rsidR="00A01B6C">
        <w:rPr>
          <w:rFonts w:eastAsiaTheme="minorEastAsia"/>
          <w:color w:val="000000" w:themeColor="text1"/>
          <w:kern w:val="24"/>
        </w:rPr>
        <w:t>] </w:t>
      </w:r>
      <w:r w:rsidR="00EC6C90">
        <w:rPr>
          <w:rFonts w:eastAsiaTheme="minorEastAsia"/>
          <w:color w:val="000000" w:themeColor="text1"/>
          <w:kern w:val="24"/>
        </w:rPr>
        <w:t xml:space="preserve">Izskatāmajā gadījumā pieteicējs tiesvedības laikā iesniedza </w:t>
      </w:r>
      <w:r w:rsidR="002A7C25">
        <w:rPr>
          <w:rFonts w:eastAsiaTheme="minorEastAsia"/>
          <w:color w:val="000000" w:themeColor="text1"/>
          <w:kern w:val="24"/>
        </w:rPr>
        <w:t xml:space="preserve">ar Igaunijas uzņēmumu noslēgto </w:t>
      </w:r>
      <w:r w:rsidR="00EC6C90">
        <w:rPr>
          <w:rFonts w:eastAsiaTheme="minorEastAsia"/>
          <w:color w:val="000000" w:themeColor="text1"/>
          <w:kern w:val="24"/>
        </w:rPr>
        <w:t>aizdevuma līgumu, vienošanos un Igaunijas kredītiestādes atbildīgās amatpersonas ap</w:t>
      </w:r>
      <w:r w:rsidR="00A333FC">
        <w:rPr>
          <w:rFonts w:eastAsiaTheme="minorEastAsia"/>
          <w:color w:val="000000" w:themeColor="text1"/>
          <w:kern w:val="24"/>
        </w:rPr>
        <w:t>s</w:t>
      </w:r>
      <w:r w:rsidR="00EC6C90">
        <w:rPr>
          <w:rFonts w:eastAsiaTheme="minorEastAsia"/>
          <w:color w:val="000000" w:themeColor="text1"/>
          <w:kern w:val="24"/>
        </w:rPr>
        <w:t>tiprinātās pieteicēja norēķinu konta i</w:t>
      </w:r>
      <w:r w:rsidR="00A333FC">
        <w:rPr>
          <w:rFonts w:eastAsiaTheme="minorEastAsia"/>
          <w:color w:val="000000" w:themeColor="text1"/>
          <w:kern w:val="24"/>
        </w:rPr>
        <w:t>zdrukas</w:t>
      </w:r>
      <w:r w:rsidR="00EC6C90">
        <w:rPr>
          <w:rFonts w:eastAsiaTheme="minorEastAsia"/>
          <w:color w:val="000000" w:themeColor="text1"/>
          <w:kern w:val="24"/>
        </w:rPr>
        <w:t>. Apgabaltiesa secinājumu, ka pieteicējs no Igaunijas uz</w:t>
      </w:r>
      <w:r w:rsidR="00A333FC">
        <w:rPr>
          <w:rFonts w:eastAsiaTheme="minorEastAsia"/>
          <w:color w:val="000000" w:themeColor="text1"/>
          <w:kern w:val="24"/>
        </w:rPr>
        <w:t>ņēmuma saņēma naudas līdzekļus</w:t>
      </w:r>
      <w:r w:rsidR="000576B2">
        <w:rPr>
          <w:rFonts w:eastAsiaTheme="minorEastAsia"/>
          <w:color w:val="000000" w:themeColor="text1"/>
          <w:kern w:val="24"/>
        </w:rPr>
        <w:t xml:space="preserve"> un izņēma tos no norēķinu konta skaidrā naudā</w:t>
      </w:r>
      <w:r w:rsidR="00A333FC">
        <w:rPr>
          <w:rFonts w:eastAsiaTheme="minorEastAsia"/>
          <w:color w:val="000000" w:themeColor="text1"/>
          <w:kern w:val="24"/>
        </w:rPr>
        <w:t xml:space="preserve">, pamatojusi ar norēķinu konta izdrukām. </w:t>
      </w:r>
    </w:p>
    <w:p w14:paraId="2E386C24" w14:textId="4281AD37" w:rsidR="008811E6" w:rsidRDefault="00A333FC" w:rsidP="00A333FC">
      <w:pPr>
        <w:spacing w:line="276" w:lineRule="auto"/>
        <w:ind w:firstLine="567"/>
        <w:jc w:val="both"/>
        <w:rPr>
          <w:rFonts w:eastAsiaTheme="minorEastAsia"/>
          <w:color w:val="000000" w:themeColor="text1"/>
          <w:kern w:val="24"/>
        </w:rPr>
      </w:pPr>
      <w:r>
        <w:rPr>
          <w:rFonts w:eastAsiaTheme="minorEastAsia"/>
          <w:color w:val="000000" w:themeColor="text1"/>
          <w:kern w:val="24"/>
        </w:rPr>
        <w:t xml:space="preserve">Norēķinu kontā persona ar </w:t>
      </w:r>
      <w:r w:rsidR="002F1F0E">
        <w:rPr>
          <w:rFonts w:eastAsiaTheme="minorEastAsia"/>
          <w:color w:val="000000" w:themeColor="text1"/>
          <w:kern w:val="24"/>
        </w:rPr>
        <w:t>kredītiestādes s</w:t>
      </w:r>
      <w:r>
        <w:rPr>
          <w:rFonts w:eastAsiaTheme="minorEastAsia"/>
          <w:color w:val="000000" w:themeColor="text1"/>
          <w:kern w:val="24"/>
        </w:rPr>
        <w:t>tarpniecību veic dažāda veida norēķinus</w:t>
      </w:r>
      <w:r w:rsidR="002F1F0E">
        <w:rPr>
          <w:rFonts w:eastAsiaTheme="minorEastAsia"/>
          <w:color w:val="000000" w:themeColor="text1"/>
          <w:kern w:val="24"/>
        </w:rPr>
        <w:t xml:space="preserve">. Informāciju par norēķinu kontā veiktajiem norēķiniem kredītiestāde sniedz </w:t>
      </w:r>
      <w:r w:rsidR="008811E6">
        <w:rPr>
          <w:rFonts w:eastAsiaTheme="minorEastAsia"/>
          <w:color w:val="000000" w:themeColor="text1"/>
          <w:kern w:val="24"/>
        </w:rPr>
        <w:t xml:space="preserve">arī </w:t>
      </w:r>
      <w:r w:rsidR="002F1F0E">
        <w:rPr>
          <w:rFonts w:eastAsiaTheme="minorEastAsia"/>
          <w:color w:val="000000" w:themeColor="text1"/>
          <w:kern w:val="24"/>
        </w:rPr>
        <w:t>norēķinu konta izdrukas veidā. Ja</w:t>
      </w:r>
      <w:r w:rsidR="008811E6">
        <w:rPr>
          <w:rFonts w:eastAsiaTheme="minorEastAsia"/>
          <w:color w:val="000000" w:themeColor="text1"/>
          <w:kern w:val="24"/>
        </w:rPr>
        <w:t xml:space="preserve"> </w:t>
      </w:r>
      <w:r w:rsidR="002F1F0E">
        <w:rPr>
          <w:rFonts w:eastAsiaTheme="minorEastAsia"/>
          <w:color w:val="000000" w:themeColor="text1"/>
          <w:kern w:val="24"/>
        </w:rPr>
        <w:t xml:space="preserve">kredītiestādes apstiprinātajā norēķinu konta izdrukā </w:t>
      </w:r>
      <w:r w:rsidR="008811E6">
        <w:rPr>
          <w:rFonts w:eastAsiaTheme="minorEastAsia"/>
          <w:color w:val="000000" w:themeColor="text1"/>
          <w:kern w:val="24"/>
        </w:rPr>
        <w:t xml:space="preserve">norādīts, ka persona no citas personas ir saņēmusi </w:t>
      </w:r>
      <w:r>
        <w:rPr>
          <w:rFonts w:eastAsiaTheme="minorEastAsia"/>
          <w:color w:val="000000" w:themeColor="text1"/>
          <w:kern w:val="24"/>
        </w:rPr>
        <w:t>bezskaidras naudas līdzekļus un</w:t>
      </w:r>
      <w:r w:rsidR="002F521B">
        <w:rPr>
          <w:rFonts w:eastAsiaTheme="minorEastAsia"/>
          <w:color w:val="000000" w:themeColor="text1"/>
          <w:kern w:val="24"/>
        </w:rPr>
        <w:t xml:space="preserve"> ir</w:t>
      </w:r>
      <w:r>
        <w:rPr>
          <w:rFonts w:eastAsiaTheme="minorEastAsia"/>
          <w:color w:val="000000" w:themeColor="text1"/>
          <w:kern w:val="24"/>
        </w:rPr>
        <w:t xml:space="preserve"> izņ</w:t>
      </w:r>
      <w:r w:rsidR="008811E6">
        <w:rPr>
          <w:rFonts w:eastAsiaTheme="minorEastAsia"/>
          <w:color w:val="000000" w:themeColor="text1"/>
          <w:kern w:val="24"/>
        </w:rPr>
        <w:t>ēmusi</w:t>
      </w:r>
      <w:r>
        <w:rPr>
          <w:rFonts w:eastAsiaTheme="minorEastAsia"/>
          <w:color w:val="000000" w:themeColor="text1"/>
          <w:kern w:val="24"/>
        </w:rPr>
        <w:t xml:space="preserve"> naudas līdzekļus no norēķinu konta skaidrā naudā</w:t>
      </w:r>
      <w:r w:rsidR="008811E6">
        <w:rPr>
          <w:rFonts w:eastAsiaTheme="minorEastAsia"/>
          <w:color w:val="000000" w:themeColor="text1"/>
          <w:kern w:val="24"/>
        </w:rPr>
        <w:t>, ir jābūt nopietnam pamatam, lai apšaubītu šādu ziņu patiesumu.</w:t>
      </w:r>
    </w:p>
    <w:p w14:paraId="373B7FB6" w14:textId="13DC93D0" w:rsidR="00A81322" w:rsidRDefault="0064410B" w:rsidP="00A333FC">
      <w:pPr>
        <w:spacing w:line="276" w:lineRule="auto"/>
        <w:ind w:firstLine="567"/>
        <w:jc w:val="both"/>
        <w:rPr>
          <w:rFonts w:eastAsiaTheme="minorEastAsia"/>
          <w:color w:val="000000" w:themeColor="text1"/>
          <w:kern w:val="24"/>
        </w:rPr>
      </w:pPr>
      <w:r>
        <w:rPr>
          <w:rFonts w:eastAsiaTheme="minorEastAsia"/>
          <w:color w:val="000000" w:themeColor="text1"/>
          <w:kern w:val="24"/>
        </w:rPr>
        <w:t>Valsts ieņēmumu dienests kasācijas sūdzībā pēc būtības neiebilst pret apgabaltiesas konstatējumu, ka atbilstoši k</w:t>
      </w:r>
      <w:r w:rsidR="008811E6">
        <w:rPr>
          <w:rFonts w:eastAsiaTheme="minorEastAsia"/>
          <w:color w:val="000000" w:themeColor="text1"/>
          <w:kern w:val="24"/>
        </w:rPr>
        <w:t>redītiestādes apstiprinātaj</w:t>
      </w:r>
      <w:r w:rsidR="000576B2">
        <w:rPr>
          <w:rFonts w:eastAsiaTheme="minorEastAsia"/>
          <w:color w:val="000000" w:themeColor="text1"/>
          <w:kern w:val="24"/>
        </w:rPr>
        <w:t>ām</w:t>
      </w:r>
      <w:r w:rsidR="008811E6">
        <w:rPr>
          <w:rFonts w:eastAsiaTheme="minorEastAsia"/>
          <w:color w:val="000000" w:themeColor="text1"/>
          <w:kern w:val="24"/>
        </w:rPr>
        <w:t xml:space="preserve"> norēķinu konta izdruk</w:t>
      </w:r>
      <w:r w:rsidR="000576B2">
        <w:rPr>
          <w:rFonts w:eastAsiaTheme="minorEastAsia"/>
          <w:color w:val="000000" w:themeColor="text1"/>
          <w:kern w:val="24"/>
        </w:rPr>
        <w:t>ām</w:t>
      </w:r>
      <w:r w:rsidR="00E425AF">
        <w:rPr>
          <w:rFonts w:eastAsiaTheme="minorEastAsia"/>
          <w:color w:val="000000" w:themeColor="text1"/>
          <w:kern w:val="24"/>
        </w:rPr>
        <w:t xml:space="preserve"> </w:t>
      </w:r>
      <w:r w:rsidR="008811E6">
        <w:rPr>
          <w:rFonts w:eastAsiaTheme="minorEastAsia"/>
          <w:color w:val="000000" w:themeColor="text1"/>
          <w:kern w:val="24"/>
        </w:rPr>
        <w:t xml:space="preserve">pieteicējs no Igaunijas uzņēmuma </w:t>
      </w:r>
      <w:r>
        <w:rPr>
          <w:rFonts w:eastAsiaTheme="minorEastAsia"/>
          <w:color w:val="000000" w:themeColor="text1"/>
          <w:kern w:val="24"/>
        </w:rPr>
        <w:t xml:space="preserve">ir </w:t>
      </w:r>
      <w:r w:rsidR="008811E6">
        <w:rPr>
          <w:rFonts w:eastAsiaTheme="minorEastAsia"/>
          <w:color w:val="000000" w:themeColor="text1"/>
          <w:kern w:val="24"/>
        </w:rPr>
        <w:t xml:space="preserve">saņēmis </w:t>
      </w:r>
      <w:r w:rsidR="00DE3743">
        <w:rPr>
          <w:rFonts w:eastAsiaTheme="minorEastAsia"/>
          <w:color w:val="000000" w:themeColor="text1"/>
          <w:kern w:val="24"/>
        </w:rPr>
        <w:t>bezskaidras naudas līdzekļus</w:t>
      </w:r>
      <w:r w:rsidR="00E425AF">
        <w:rPr>
          <w:rFonts w:eastAsiaTheme="minorEastAsia"/>
          <w:color w:val="000000" w:themeColor="text1"/>
          <w:kern w:val="24"/>
        </w:rPr>
        <w:t xml:space="preserve"> un</w:t>
      </w:r>
      <w:r w:rsidR="008811E6">
        <w:rPr>
          <w:rFonts w:eastAsiaTheme="minorEastAsia"/>
          <w:color w:val="000000" w:themeColor="text1"/>
          <w:kern w:val="24"/>
        </w:rPr>
        <w:t xml:space="preserve"> </w:t>
      </w:r>
      <w:r w:rsidR="00E425AF">
        <w:rPr>
          <w:rFonts w:eastAsiaTheme="minorEastAsia"/>
          <w:color w:val="000000" w:themeColor="text1"/>
          <w:kern w:val="24"/>
        </w:rPr>
        <w:t>no norēķinu konta</w:t>
      </w:r>
      <w:r w:rsidR="008811E6">
        <w:rPr>
          <w:rFonts w:eastAsiaTheme="minorEastAsia"/>
          <w:color w:val="000000" w:themeColor="text1"/>
          <w:kern w:val="24"/>
        </w:rPr>
        <w:t xml:space="preserve"> </w:t>
      </w:r>
      <w:r w:rsidR="00347AEC">
        <w:rPr>
          <w:rFonts w:eastAsiaTheme="minorEastAsia"/>
          <w:color w:val="000000" w:themeColor="text1"/>
          <w:kern w:val="24"/>
        </w:rPr>
        <w:t xml:space="preserve">ir </w:t>
      </w:r>
      <w:r w:rsidR="008811E6">
        <w:rPr>
          <w:rFonts w:eastAsiaTheme="minorEastAsia"/>
          <w:color w:val="000000" w:themeColor="text1"/>
          <w:kern w:val="24"/>
        </w:rPr>
        <w:t xml:space="preserve">izņēmis </w:t>
      </w:r>
      <w:r w:rsidR="00DE3743">
        <w:rPr>
          <w:rFonts w:eastAsiaTheme="minorEastAsia"/>
          <w:color w:val="000000" w:themeColor="text1"/>
          <w:kern w:val="24"/>
        </w:rPr>
        <w:t>skaidras naudas līdzekļus</w:t>
      </w:r>
      <w:r w:rsidR="00A333FC">
        <w:rPr>
          <w:rFonts w:eastAsiaTheme="minorEastAsia"/>
          <w:color w:val="000000" w:themeColor="text1"/>
          <w:kern w:val="24"/>
        </w:rPr>
        <w:t xml:space="preserve">. </w:t>
      </w:r>
      <w:r>
        <w:rPr>
          <w:rFonts w:eastAsiaTheme="minorEastAsia"/>
          <w:color w:val="000000" w:themeColor="text1"/>
          <w:kern w:val="24"/>
        </w:rPr>
        <w:t xml:space="preserve">Tāpat Valsts ieņēmumu dienests nenorāda, kādi apstākļi vai </w:t>
      </w:r>
      <w:r>
        <w:rPr>
          <w:rFonts w:eastAsiaTheme="minorEastAsia"/>
          <w:color w:val="000000" w:themeColor="text1"/>
          <w:kern w:val="24"/>
        </w:rPr>
        <w:lastRenderedPageBreak/>
        <w:t>pierādījumi liek apšaubīt norēķinu kont</w:t>
      </w:r>
      <w:r w:rsidR="00347AEC">
        <w:rPr>
          <w:rFonts w:eastAsiaTheme="minorEastAsia"/>
          <w:color w:val="000000" w:themeColor="text1"/>
          <w:kern w:val="24"/>
        </w:rPr>
        <w:t>a izdruk</w:t>
      </w:r>
      <w:r>
        <w:rPr>
          <w:rFonts w:eastAsiaTheme="minorEastAsia"/>
          <w:color w:val="000000" w:themeColor="text1"/>
          <w:kern w:val="24"/>
        </w:rPr>
        <w:t>ā</w:t>
      </w:r>
      <w:r w:rsidR="000576B2">
        <w:rPr>
          <w:rFonts w:eastAsiaTheme="minorEastAsia"/>
          <w:color w:val="000000" w:themeColor="text1"/>
          <w:kern w:val="24"/>
        </w:rPr>
        <w:t>s</w:t>
      </w:r>
      <w:r>
        <w:rPr>
          <w:rFonts w:eastAsiaTheme="minorEastAsia"/>
          <w:color w:val="000000" w:themeColor="text1"/>
          <w:kern w:val="24"/>
        </w:rPr>
        <w:t xml:space="preserve"> fiksēto ziņu patiesumu</w:t>
      </w:r>
      <w:r w:rsidR="00E425AF">
        <w:rPr>
          <w:rFonts w:eastAsiaTheme="minorEastAsia"/>
          <w:color w:val="000000" w:themeColor="text1"/>
          <w:kern w:val="24"/>
        </w:rPr>
        <w:t>. Apstāklis, ka norēķinu konta izdruka</w:t>
      </w:r>
      <w:r w:rsidR="00347AEC">
        <w:rPr>
          <w:rFonts w:eastAsiaTheme="minorEastAsia"/>
          <w:color w:val="000000" w:themeColor="text1"/>
          <w:kern w:val="24"/>
        </w:rPr>
        <w:t>s</w:t>
      </w:r>
      <w:r w:rsidR="00E425AF">
        <w:rPr>
          <w:rFonts w:eastAsiaTheme="minorEastAsia"/>
          <w:color w:val="000000" w:themeColor="text1"/>
          <w:kern w:val="24"/>
        </w:rPr>
        <w:t xml:space="preserve"> tika iesniegta</w:t>
      </w:r>
      <w:r w:rsidR="00347AEC">
        <w:rPr>
          <w:rFonts w:eastAsiaTheme="minorEastAsia"/>
          <w:color w:val="000000" w:themeColor="text1"/>
          <w:kern w:val="24"/>
        </w:rPr>
        <w:t>s</w:t>
      </w:r>
      <w:r w:rsidR="00E425AF">
        <w:rPr>
          <w:rFonts w:eastAsiaTheme="minorEastAsia"/>
          <w:color w:val="000000" w:themeColor="text1"/>
          <w:kern w:val="24"/>
        </w:rPr>
        <w:t xml:space="preserve"> tikai tiesvedības laikā, pats par sevi </w:t>
      </w:r>
      <w:r w:rsidR="000E5ACF">
        <w:rPr>
          <w:rFonts w:eastAsiaTheme="minorEastAsia"/>
          <w:color w:val="000000" w:themeColor="text1"/>
          <w:kern w:val="24"/>
        </w:rPr>
        <w:t>vēl nenozīmē, ka šis pierādījums automātiski nav ticams</w:t>
      </w:r>
      <w:r w:rsidR="00347AEC">
        <w:rPr>
          <w:rFonts w:eastAsiaTheme="minorEastAsia"/>
          <w:color w:val="000000" w:themeColor="text1"/>
          <w:kern w:val="24"/>
        </w:rPr>
        <w:t xml:space="preserve">. Kā pareizi norādījusi apgabaltiesa, </w:t>
      </w:r>
      <w:r w:rsidR="00E425AF">
        <w:rPr>
          <w:rFonts w:eastAsiaTheme="minorEastAsia"/>
          <w:color w:val="000000" w:themeColor="text1"/>
          <w:kern w:val="24"/>
        </w:rPr>
        <w:t xml:space="preserve">kredītiestādes apstiprinātajai norēķinu konta izdrukai kā rakstveida pierādījumam ir </w:t>
      </w:r>
      <w:r w:rsidR="00A86B90">
        <w:rPr>
          <w:rFonts w:eastAsiaTheme="minorEastAsia"/>
          <w:color w:val="000000" w:themeColor="text1"/>
          <w:kern w:val="24"/>
        </w:rPr>
        <w:t xml:space="preserve">piešķirama </w:t>
      </w:r>
      <w:r w:rsidR="00E425AF">
        <w:rPr>
          <w:rFonts w:eastAsiaTheme="minorEastAsia"/>
          <w:color w:val="000000" w:themeColor="text1"/>
          <w:kern w:val="24"/>
        </w:rPr>
        <w:t xml:space="preserve">augsta </w:t>
      </w:r>
      <w:r w:rsidR="00365688">
        <w:rPr>
          <w:rFonts w:eastAsiaTheme="minorEastAsia"/>
          <w:color w:val="000000" w:themeColor="text1"/>
          <w:kern w:val="24"/>
        </w:rPr>
        <w:t>ticamība</w:t>
      </w:r>
      <w:r w:rsidR="00A81322">
        <w:rPr>
          <w:rFonts w:eastAsiaTheme="minorEastAsia"/>
          <w:color w:val="000000" w:themeColor="text1"/>
          <w:kern w:val="24"/>
        </w:rPr>
        <w:t xml:space="preserve">, jo pieteicējs </w:t>
      </w:r>
      <w:proofErr w:type="gramStart"/>
      <w:r w:rsidR="00A81322">
        <w:rPr>
          <w:rFonts w:eastAsiaTheme="minorEastAsia"/>
          <w:color w:val="000000" w:themeColor="text1"/>
          <w:kern w:val="24"/>
        </w:rPr>
        <w:t>šādā pierādīšanas</w:t>
      </w:r>
      <w:proofErr w:type="gramEnd"/>
      <w:r w:rsidR="00A81322">
        <w:rPr>
          <w:rFonts w:eastAsiaTheme="minorEastAsia"/>
          <w:color w:val="000000" w:themeColor="text1"/>
          <w:kern w:val="24"/>
        </w:rPr>
        <w:t xml:space="preserve"> līdzeklī fiksētās ziņas nevar ietekmēt vai izmainīt. Šādu ziņu savlaicīga neiesniegšana nepadara par nebijušiem notikumus, kurus atspoguļo šīs ziņas. Minēto iemeslu dēļ izskatāmais gadījums nav salīdzināms ar gadījumiem, kad nodokļu maksātājs tikai tiesvedības laikā iesniedz privāttiesiskā kārtā noslēgtos līgumus</w:t>
      </w:r>
      <w:r w:rsidR="000576B2">
        <w:rPr>
          <w:rFonts w:eastAsiaTheme="minorEastAsia"/>
          <w:color w:val="000000" w:themeColor="text1"/>
          <w:kern w:val="24"/>
        </w:rPr>
        <w:t>, jo, kā jau minēts, apgabaltiesas secinājumi ir pamatoti ar norēķinu konta izdrukām.</w:t>
      </w:r>
    </w:p>
    <w:p w14:paraId="282DA8E5" w14:textId="46CB2D45" w:rsidR="00A81322" w:rsidRDefault="00A81322" w:rsidP="00A333FC">
      <w:pPr>
        <w:spacing w:line="276" w:lineRule="auto"/>
        <w:ind w:firstLine="567"/>
        <w:jc w:val="both"/>
        <w:rPr>
          <w:rFonts w:eastAsiaTheme="minorEastAsia"/>
          <w:color w:val="000000" w:themeColor="text1"/>
          <w:kern w:val="24"/>
        </w:rPr>
      </w:pPr>
      <w:r>
        <w:rPr>
          <w:rFonts w:eastAsiaTheme="minorEastAsia"/>
          <w:color w:val="000000" w:themeColor="text1"/>
          <w:kern w:val="24"/>
        </w:rPr>
        <w:t>Ievērojot minēto, Valsts ieņēmumu dienestam,</w:t>
      </w:r>
      <w:r w:rsidR="00692521">
        <w:rPr>
          <w:rFonts w:eastAsiaTheme="minorEastAsia"/>
          <w:color w:val="000000" w:themeColor="text1"/>
          <w:kern w:val="24"/>
        </w:rPr>
        <w:t xml:space="preserve"> iebilstot pret </w:t>
      </w:r>
      <w:r>
        <w:rPr>
          <w:rFonts w:eastAsiaTheme="minorEastAsia"/>
          <w:color w:val="000000" w:themeColor="text1"/>
          <w:kern w:val="24"/>
        </w:rPr>
        <w:t>kredītiestādes apstiprināt</w:t>
      </w:r>
      <w:r w:rsidR="00BD456A">
        <w:rPr>
          <w:rFonts w:eastAsiaTheme="minorEastAsia"/>
          <w:color w:val="000000" w:themeColor="text1"/>
          <w:kern w:val="24"/>
        </w:rPr>
        <w:t>u</w:t>
      </w:r>
      <w:r>
        <w:rPr>
          <w:rFonts w:eastAsiaTheme="minorEastAsia"/>
          <w:color w:val="000000" w:themeColor="text1"/>
          <w:kern w:val="24"/>
        </w:rPr>
        <w:t xml:space="preserve"> norēķinu konta izdruk</w:t>
      </w:r>
      <w:r w:rsidR="00BD456A">
        <w:rPr>
          <w:rFonts w:eastAsiaTheme="minorEastAsia"/>
          <w:color w:val="000000" w:themeColor="text1"/>
          <w:kern w:val="24"/>
        </w:rPr>
        <w:t>u</w:t>
      </w:r>
      <w:r w:rsidR="00692521">
        <w:rPr>
          <w:rFonts w:eastAsiaTheme="minorEastAsia"/>
          <w:color w:val="000000" w:themeColor="text1"/>
          <w:kern w:val="24"/>
        </w:rPr>
        <w:t xml:space="preserve"> izmantošanu naudas līdzekļu esības ap</w:t>
      </w:r>
      <w:r w:rsidR="00BD456A">
        <w:rPr>
          <w:rFonts w:eastAsiaTheme="minorEastAsia"/>
          <w:color w:val="000000" w:themeColor="text1"/>
          <w:kern w:val="24"/>
        </w:rPr>
        <w:t>stiprināšanai</w:t>
      </w:r>
      <w:r w:rsidR="00692521">
        <w:rPr>
          <w:rFonts w:eastAsiaTheme="minorEastAsia"/>
          <w:color w:val="000000" w:themeColor="text1"/>
          <w:kern w:val="24"/>
        </w:rPr>
        <w:t xml:space="preserve"> pieteicēja rīcībā, būtu jānorāda vērā ņemami argumenti, taču kasācijas sūdzībā tādu nav.</w:t>
      </w:r>
      <w:r>
        <w:rPr>
          <w:rFonts w:eastAsiaTheme="minorEastAsia"/>
          <w:color w:val="000000" w:themeColor="text1"/>
          <w:kern w:val="24"/>
        </w:rPr>
        <w:t xml:space="preserve"> </w:t>
      </w:r>
    </w:p>
    <w:p w14:paraId="1BCFB943" w14:textId="50C329BF" w:rsidR="00365688" w:rsidRDefault="00365688" w:rsidP="00A333FC">
      <w:pPr>
        <w:spacing w:line="276" w:lineRule="auto"/>
        <w:ind w:firstLine="567"/>
        <w:jc w:val="both"/>
        <w:rPr>
          <w:rFonts w:eastAsiaTheme="minorEastAsia"/>
          <w:color w:val="000000" w:themeColor="text1"/>
          <w:kern w:val="24"/>
        </w:rPr>
      </w:pPr>
    </w:p>
    <w:p w14:paraId="7A0918D4" w14:textId="5DC5D2E5" w:rsidR="00DA61FA" w:rsidRDefault="00A86B90" w:rsidP="002A0384">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6C05BF">
        <w:rPr>
          <w:rFonts w:eastAsiaTheme="minorEastAsia"/>
          <w:color w:val="000000" w:themeColor="text1"/>
          <w:kern w:val="24"/>
        </w:rPr>
        <w:t>1</w:t>
      </w:r>
      <w:r w:rsidR="002F535F">
        <w:rPr>
          <w:rFonts w:eastAsiaTheme="minorEastAsia"/>
          <w:color w:val="000000" w:themeColor="text1"/>
          <w:kern w:val="24"/>
        </w:rPr>
        <w:t>0</w:t>
      </w:r>
      <w:r>
        <w:rPr>
          <w:rFonts w:eastAsiaTheme="minorEastAsia"/>
          <w:color w:val="000000" w:themeColor="text1"/>
          <w:kern w:val="24"/>
        </w:rPr>
        <w:t>] </w:t>
      </w:r>
      <w:r w:rsidR="002A0384">
        <w:rPr>
          <w:rFonts w:eastAsiaTheme="minorEastAsia"/>
          <w:color w:val="000000" w:themeColor="text1"/>
          <w:kern w:val="24"/>
        </w:rPr>
        <w:t>Kasācijas sūdzībā norādīts, ka apgabaltiesa norēķinu konta izdrukā</w:t>
      </w:r>
      <w:r w:rsidR="00CD0E7D">
        <w:rPr>
          <w:rFonts w:eastAsiaTheme="minorEastAsia"/>
          <w:color w:val="000000" w:themeColor="text1"/>
          <w:kern w:val="24"/>
        </w:rPr>
        <w:t>s</w:t>
      </w:r>
      <w:r w:rsidR="002A0384">
        <w:rPr>
          <w:rFonts w:eastAsiaTheme="minorEastAsia"/>
          <w:color w:val="000000" w:themeColor="text1"/>
          <w:kern w:val="24"/>
        </w:rPr>
        <w:t xml:space="preserve"> ir salasījusi tādas ziņas, kādas šis pierādī</w:t>
      </w:r>
      <w:r w:rsidR="000576B2">
        <w:rPr>
          <w:rFonts w:eastAsiaTheme="minorEastAsia"/>
          <w:color w:val="000000" w:themeColor="text1"/>
          <w:kern w:val="24"/>
        </w:rPr>
        <w:t xml:space="preserve">šanas līdzeklis </w:t>
      </w:r>
      <w:r w:rsidR="002A0384">
        <w:rPr>
          <w:rFonts w:eastAsiaTheme="minorEastAsia"/>
          <w:color w:val="000000" w:themeColor="text1"/>
          <w:kern w:val="24"/>
        </w:rPr>
        <w:t>nesatur. Proti, norēķinu konta izdrukā</w:t>
      </w:r>
      <w:r w:rsidR="00CD0E7D">
        <w:rPr>
          <w:rFonts w:eastAsiaTheme="minorEastAsia"/>
          <w:color w:val="000000" w:themeColor="text1"/>
          <w:kern w:val="24"/>
        </w:rPr>
        <w:t>s</w:t>
      </w:r>
      <w:r w:rsidR="002A0384">
        <w:rPr>
          <w:rFonts w:eastAsiaTheme="minorEastAsia"/>
          <w:color w:val="000000" w:themeColor="text1"/>
          <w:kern w:val="24"/>
        </w:rPr>
        <w:t xml:space="preserve"> norādīts, ka Igaunijas uzņēmums naudas līdzekļus pieteicējam ir pārskaitījis ar pamatojumu: </w:t>
      </w:r>
      <w:r w:rsidR="00DC4DC4" w:rsidRPr="00DC4DC4">
        <w:t>„</w:t>
      </w:r>
      <w:r w:rsidR="002A0384">
        <w:rPr>
          <w:rFonts w:eastAsiaTheme="minorEastAsia"/>
          <w:color w:val="000000" w:themeColor="text1"/>
          <w:kern w:val="24"/>
        </w:rPr>
        <w:t>atbilstoši līgumam”, savukārt apgabaltiesa</w:t>
      </w:r>
      <w:r w:rsidR="00DA61FA">
        <w:rPr>
          <w:rFonts w:eastAsiaTheme="minorEastAsia"/>
          <w:color w:val="000000" w:themeColor="text1"/>
          <w:kern w:val="24"/>
        </w:rPr>
        <w:t>s</w:t>
      </w:r>
      <w:r w:rsidR="002A0384">
        <w:rPr>
          <w:rFonts w:eastAsiaTheme="minorEastAsia"/>
          <w:color w:val="000000" w:themeColor="text1"/>
          <w:kern w:val="24"/>
        </w:rPr>
        <w:t xml:space="preserve"> spriedumā kā naudas līdzekļu pārskaitījuma pamatojums norādīts: </w:t>
      </w:r>
      <w:bookmarkStart w:id="9" w:name="_Hlk54151579"/>
      <w:r w:rsidR="00DC4DC4" w:rsidRPr="00DC4DC4">
        <w:t>„</w:t>
      </w:r>
      <w:bookmarkEnd w:id="9"/>
      <w:r w:rsidR="002A0384">
        <w:rPr>
          <w:rFonts w:eastAsiaTheme="minorEastAsia"/>
          <w:color w:val="000000" w:themeColor="text1"/>
          <w:kern w:val="24"/>
        </w:rPr>
        <w:t xml:space="preserve">atbilstoši aizdevumam”. </w:t>
      </w:r>
    </w:p>
    <w:p w14:paraId="73554638" w14:textId="07CD2BAE" w:rsidR="00CD0E7D" w:rsidRDefault="00DA61FA" w:rsidP="002A0384">
      <w:pPr>
        <w:spacing w:line="276" w:lineRule="auto"/>
        <w:ind w:firstLine="567"/>
        <w:jc w:val="both"/>
        <w:rPr>
          <w:rFonts w:eastAsiaTheme="minorEastAsia"/>
          <w:color w:val="000000" w:themeColor="text1"/>
          <w:kern w:val="24"/>
        </w:rPr>
      </w:pPr>
      <w:r>
        <w:rPr>
          <w:rFonts w:eastAsiaTheme="minorEastAsia"/>
          <w:color w:val="000000" w:themeColor="text1"/>
          <w:kern w:val="24"/>
        </w:rPr>
        <w:t>Šād</w:t>
      </w:r>
      <w:r w:rsidR="00DC4DC4">
        <w:rPr>
          <w:rFonts w:eastAsiaTheme="minorEastAsia"/>
          <w:color w:val="000000" w:themeColor="text1"/>
          <w:kern w:val="24"/>
        </w:rPr>
        <w:t>a</w:t>
      </w:r>
      <w:r>
        <w:rPr>
          <w:rFonts w:eastAsiaTheme="minorEastAsia"/>
          <w:color w:val="000000" w:themeColor="text1"/>
          <w:kern w:val="24"/>
        </w:rPr>
        <w:t xml:space="preserve"> Valsts ieņēmumu dienesta norāde ir pamatota, jo norēķinu konta izdruk</w:t>
      </w:r>
      <w:r w:rsidR="0099225C">
        <w:rPr>
          <w:rFonts w:eastAsiaTheme="minorEastAsia"/>
          <w:color w:val="000000" w:themeColor="text1"/>
          <w:kern w:val="24"/>
        </w:rPr>
        <w:t>u tulkojumā valsts valodā</w:t>
      </w:r>
      <w:proofErr w:type="gramStart"/>
      <w:r w:rsidR="0099225C">
        <w:rPr>
          <w:rFonts w:eastAsiaTheme="minorEastAsia"/>
          <w:color w:val="000000" w:themeColor="text1"/>
          <w:kern w:val="24"/>
        </w:rPr>
        <w:t xml:space="preserve"> </w:t>
      </w:r>
      <w:r w:rsidR="00CD0E7D">
        <w:rPr>
          <w:rFonts w:eastAsiaTheme="minorEastAsia"/>
          <w:color w:val="000000" w:themeColor="text1"/>
          <w:kern w:val="24"/>
        </w:rPr>
        <w:t xml:space="preserve">kā </w:t>
      </w:r>
      <w:r w:rsidR="0099225C">
        <w:rPr>
          <w:rFonts w:eastAsiaTheme="minorEastAsia"/>
          <w:color w:val="000000" w:themeColor="text1"/>
          <w:kern w:val="24"/>
        </w:rPr>
        <w:t>naudas līdzekļu pārskaitījuma pamatojum</w:t>
      </w:r>
      <w:r w:rsidR="00CD0E7D">
        <w:rPr>
          <w:rFonts w:eastAsiaTheme="minorEastAsia"/>
          <w:color w:val="000000" w:themeColor="text1"/>
          <w:kern w:val="24"/>
        </w:rPr>
        <w:t>s</w:t>
      </w:r>
      <w:r w:rsidR="0099225C">
        <w:rPr>
          <w:rFonts w:eastAsiaTheme="minorEastAsia"/>
          <w:color w:val="000000" w:themeColor="text1"/>
          <w:kern w:val="24"/>
        </w:rPr>
        <w:t xml:space="preserve"> patiešām norādīts</w:t>
      </w:r>
      <w:proofErr w:type="gramEnd"/>
      <w:r w:rsidR="0099225C">
        <w:rPr>
          <w:rFonts w:eastAsiaTheme="minorEastAsia"/>
          <w:color w:val="000000" w:themeColor="text1"/>
          <w:kern w:val="24"/>
        </w:rPr>
        <w:t xml:space="preserve">: </w:t>
      </w:r>
      <w:r w:rsidR="00DC4DC4" w:rsidRPr="00DC4DC4">
        <w:t>„</w:t>
      </w:r>
      <w:r w:rsidR="0099225C">
        <w:rPr>
          <w:rFonts w:eastAsiaTheme="minorEastAsia"/>
          <w:color w:val="000000" w:themeColor="text1"/>
          <w:kern w:val="24"/>
        </w:rPr>
        <w:t xml:space="preserve">atbilstoši līgumam”. Taču šāda apgabaltiesas kļūda nav ietekmējusi apgabaltiesas konstatējumu, ka pieteicējs no Igaunijas uzņēmuma ir saņēmis naudas līdzekļus. Arī kasācijas sūdzībā nav izskaidrots, </w:t>
      </w:r>
      <w:r w:rsidR="00F25BFB">
        <w:rPr>
          <w:rFonts w:eastAsiaTheme="minorEastAsia"/>
          <w:color w:val="000000" w:themeColor="text1"/>
          <w:kern w:val="24"/>
        </w:rPr>
        <w:t>kā</w:t>
      </w:r>
      <w:r w:rsidR="00DC4DC4">
        <w:rPr>
          <w:rFonts w:eastAsiaTheme="minorEastAsia"/>
          <w:color w:val="000000" w:themeColor="text1"/>
          <w:kern w:val="24"/>
        </w:rPr>
        <w:t xml:space="preserve"> minētā a</w:t>
      </w:r>
      <w:r w:rsidR="00CD0E7D">
        <w:rPr>
          <w:rFonts w:eastAsiaTheme="minorEastAsia"/>
          <w:color w:val="000000" w:themeColor="text1"/>
          <w:kern w:val="24"/>
        </w:rPr>
        <w:t>pgabaltiesas kļūda ir ietekmēj</w:t>
      </w:r>
      <w:r w:rsidR="00DC4DC4">
        <w:rPr>
          <w:rFonts w:eastAsiaTheme="minorEastAsia"/>
          <w:color w:val="000000" w:themeColor="text1"/>
          <w:kern w:val="24"/>
        </w:rPr>
        <w:t>usi</w:t>
      </w:r>
      <w:r w:rsidR="00CD0E7D">
        <w:rPr>
          <w:rFonts w:eastAsiaTheme="minorEastAsia"/>
          <w:color w:val="000000" w:themeColor="text1"/>
          <w:kern w:val="24"/>
        </w:rPr>
        <w:t xml:space="preserve"> lietas iznākumu, lai gan atbilstoši Administratīvā procesa likuma </w:t>
      </w:r>
      <w:proofErr w:type="gramStart"/>
      <w:r w:rsidR="00CD0E7D">
        <w:rPr>
          <w:rFonts w:eastAsiaTheme="minorEastAsia"/>
          <w:color w:val="000000" w:themeColor="text1"/>
          <w:kern w:val="24"/>
        </w:rPr>
        <w:t>327.panta</w:t>
      </w:r>
      <w:proofErr w:type="gramEnd"/>
      <w:r w:rsidR="00CD0E7D">
        <w:rPr>
          <w:rFonts w:eastAsiaTheme="minorEastAsia"/>
          <w:color w:val="000000" w:themeColor="text1"/>
          <w:kern w:val="24"/>
        </w:rPr>
        <w:t xml:space="preserve"> otr</w:t>
      </w:r>
      <w:r w:rsidR="00B96600">
        <w:rPr>
          <w:rFonts w:eastAsiaTheme="minorEastAsia"/>
          <w:color w:val="000000" w:themeColor="text1"/>
          <w:kern w:val="24"/>
        </w:rPr>
        <w:t>ajai</w:t>
      </w:r>
      <w:r w:rsidR="00CD0E7D">
        <w:rPr>
          <w:rFonts w:eastAsiaTheme="minorEastAsia"/>
          <w:color w:val="000000" w:themeColor="text1"/>
          <w:kern w:val="24"/>
        </w:rPr>
        <w:t xml:space="preserve"> daļ</w:t>
      </w:r>
      <w:r w:rsidR="00B96600">
        <w:rPr>
          <w:rFonts w:eastAsiaTheme="minorEastAsia"/>
          <w:color w:val="000000" w:themeColor="text1"/>
          <w:kern w:val="24"/>
        </w:rPr>
        <w:t>ai</w:t>
      </w:r>
      <w:r w:rsidR="00CD0E7D">
        <w:rPr>
          <w:rFonts w:eastAsiaTheme="minorEastAsia"/>
          <w:color w:val="000000" w:themeColor="text1"/>
          <w:kern w:val="24"/>
        </w:rPr>
        <w:t xml:space="preserve"> procesuālo tiesību normu pārkāpums var būt pamats sprieduma pārsūdzēšanai kasācijas kārtībā, ja šis pārkāpums novedis vai varēja novest pie lietas nepareizas izspriešanas.</w:t>
      </w:r>
    </w:p>
    <w:p w14:paraId="249ACDAF" w14:textId="77777777" w:rsidR="00CD0E7D" w:rsidRDefault="00CD0E7D" w:rsidP="002A0384">
      <w:pPr>
        <w:spacing w:line="276" w:lineRule="auto"/>
        <w:ind w:firstLine="567"/>
        <w:jc w:val="both"/>
        <w:rPr>
          <w:rFonts w:eastAsiaTheme="minorEastAsia"/>
          <w:color w:val="000000" w:themeColor="text1"/>
          <w:kern w:val="24"/>
        </w:rPr>
      </w:pPr>
    </w:p>
    <w:p w14:paraId="36BCE90A" w14:textId="0992F102" w:rsidR="00100033" w:rsidRDefault="00B96600" w:rsidP="002A0384">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6C05BF">
        <w:rPr>
          <w:rFonts w:eastAsiaTheme="minorEastAsia"/>
          <w:color w:val="000000" w:themeColor="text1"/>
          <w:kern w:val="24"/>
        </w:rPr>
        <w:t>1</w:t>
      </w:r>
      <w:r w:rsidR="002F535F">
        <w:rPr>
          <w:rFonts w:eastAsiaTheme="minorEastAsia"/>
          <w:color w:val="000000" w:themeColor="text1"/>
          <w:kern w:val="24"/>
        </w:rPr>
        <w:t>1</w:t>
      </w:r>
      <w:r>
        <w:rPr>
          <w:rFonts w:eastAsiaTheme="minorEastAsia"/>
          <w:color w:val="000000" w:themeColor="text1"/>
          <w:kern w:val="24"/>
        </w:rPr>
        <w:t>] Kasācijas sūdzībā Valsts ieņēmumu dienests pārmet apgabaltiesai tiesvedības laikā iesniegto pierādījumu nevērtēšanu kopsakarā ar pārējiem lietā esošajiem pierādījumiem. Proti, Valsts ieņēmumu dienesta ieskatā apgabaltiesa nepamatoti ignorējusi apstākli, ka pieteicējs nodokļu audita laikā iesniedza dienestam pierādījumus par</w:t>
      </w:r>
      <w:r w:rsidR="00100033">
        <w:rPr>
          <w:rFonts w:eastAsiaTheme="minorEastAsia"/>
          <w:color w:val="000000" w:themeColor="text1"/>
          <w:kern w:val="24"/>
        </w:rPr>
        <w:t xml:space="preserve"> divu</w:t>
      </w:r>
      <w:r>
        <w:rPr>
          <w:rFonts w:eastAsiaTheme="minorEastAsia"/>
          <w:color w:val="000000" w:themeColor="text1"/>
          <w:kern w:val="24"/>
        </w:rPr>
        <w:t xml:space="preserve"> aizdevumu saņemšanu no Igaunijas uzņēmuma, taču pieteicējs ne</w:t>
      </w:r>
      <w:r w:rsidR="00100033">
        <w:rPr>
          <w:rFonts w:eastAsiaTheme="minorEastAsia"/>
          <w:color w:val="000000" w:themeColor="text1"/>
          <w:kern w:val="24"/>
        </w:rPr>
        <w:t xml:space="preserve">informēja </w:t>
      </w:r>
      <w:r>
        <w:rPr>
          <w:rFonts w:eastAsiaTheme="minorEastAsia"/>
          <w:color w:val="000000" w:themeColor="text1"/>
          <w:kern w:val="24"/>
        </w:rPr>
        <w:t>par to aizdevumu, par kuru pierādījumi tika iesniegti tikai pirmās instances tiesā. Arī Igaunijas uzņēmuma amatpersona Valsts ieņēmumu dienestam nenorādīja uz tādu darījumu, kuru par notikušu ir atzinusi apgabaltiesa. Līdz ar to Valsts ieņēmumu dienest</w:t>
      </w:r>
      <w:r w:rsidR="00DC4DC4">
        <w:rPr>
          <w:rFonts w:eastAsiaTheme="minorEastAsia"/>
          <w:color w:val="000000" w:themeColor="text1"/>
          <w:kern w:val="24"/>
        </w:rPr>
        <w:t>a ieskatā</w:t>
      </w:r>
      <w:r>
        <w:rPr>
          <w:rFonts w:eastAsiaTheme="minorEastAsia"/>
          <w:color w:val="000000" w:themeColor="text1"/>
          <w:kern w:val="24"/>
        </w:rPr>
        <w:t xml:space="preserve"> tiesvedības laikā un nodokļu audita laikā iesniegtie pierādījumi ir savstarpēji izslēdzoši. Tāpat Valsts ieņēmumu dienests pārmet apgabaltiesai, ka tā nav vērtējusi pēc būtības strīdus </w:t>
      </w:r>
      <w:r w:rsidR="00DC4DC4">
        <w:rPr>
          <w:rFonts w:eastAsiaTheme="minorEastAsia"/>
          <w:color w:val="000000" w:themeColor="text1"/>
          <w:kern w:val="24"/>
        </w:rPr>
        <w:t xml:space="preserve">aizdevuma </w:t>
      </w:r>
      <w:r>
        <w:rPr>
          <w:rFonts w:eastAsiaTheme="minorEastAsia"/>
          <w:color w:val="000000" w:themeColor="text1"/>
          <w:kern w:val="24"/>
        </w:rPr>
        <w:t>darījumu</w:t>
      </w:r>
      <w:r w:rsidR="00DC4160">
        <w:rPr>
          <w:rFonts w:eastAsiaTheme="minorEastAsia"/>
          <w:color w:val="000000" w:themeColor="text1"/>
          <w:kern w:val="24"/>
        </w:rPr>
        <w:t>, darījuma dokumentu noformēšanu</w:t>
      </w:r>
      <w:r>
        <w:rPr>
          <w:rFonts w:eastAsiaTheme="minorEastAsia"/>
          <w:color w:val="000000" w:themeColor="text1"/>
          <w:kern w:val="24"/>
        </w:rPr>
        <w:t xml:space="preserve"> un to, kāpēc pieteicējam</w:t>
      </w:r>
      <w:r w:rsidR="00DC4160">
        <w:rPr>
          <w:rFonts w:eastAsiaTheme="minorEastAsia"/>
          <w:color w:val="000000" w:themeColor="text1"/>
          <w:kern w:val="24"/>
        </w:rPr>
        <w:t xml:space="preserve"> vispār</w:t>
      </w:r>
      <w:r>
        <w:rPr>
          <w:rFonts w:eastAsiaTheme="minorEastAsia"/>
          <w:color w:val="000000" w:themeColor="text1"/>
          <w:kern w:val="24"/>
        </w:rPr>
        <w:t xml:space="preserve"> bija nepieciešams noslēgt vēl vienu aizdevuma darījumu.</w:t>
      </w:r>
      <w:r w:rsidR="00DC4160">
        <w:rPr>
          <w:rFonts w:eastAsiaTheme="minorEastAsia"/>
          <w:color w:val="000000" w:themeColor="text1"/>
          <w:kern w:val="24"/>
        </w:rPr>
        <w:t xml:space="preserve"> </w:t>
      </w:r>
    </w:p>
    <w:p w14:paraId="30C0C814" w14:textId="11A89CDD" w:rsidR="000F6FAF" w:rsidRDefault="00100033" w:rsidP="00DE3743">
      <w:pPr>
        <w:spacing w:line="276" w:lineRule="auto"/>
        <w:ind w:firstLine="567"/>
        <w:jc w:val="both"/>
        <w:rPr>
          <w:rFonts w:eastAsiaTheme="minorEastAsia"/>
          <w:color w:val="000000" w:themeColor="text1"/>
          <w:kern w:val="24"/>
        </w:rPr>
      </w:pPr>
      <w:r>
        <w:rPr>
          <w:rFonts w:eastAsiaTheme="minorEastAsia"/>
          <w:color w:val="000000" w:themeColor="text1"/>
          <w:kern w:val="24"/>
        </w:rPr>
        <w:t xml:space="preserve">Vērtējot minētos argumentus, </w:t>
      </w:r>
      <w:r w:rsidR="00DC4160">
        <w:rPr>
          <w:rFonts w:eastAsiaTheme="minorEastAsia"/>
          <w:color w:val="000000" w:themeColor="text1"/>
          <w:kern w:val="24"/>
        </w:rPr>
        <w:t xml:space="preserve">Senāts </w:t>
      </w:r>
      <w:r>
        <w:rPr>
          <w:rFonts w:eastAsiaTheme="minorEastAsia"/>
          <w:color w:val="000000" w:themeColor="text1"/>
          <w:kern w:val="24"/>
        </w:rPr>
        <w:t xml:space="preserve">atzīst, ka </w:t>
      </w:r>
      <w:r w:rsidR="00DC4160">
        <w:rPr>
          <w:rFonts w:eastAsiaTheme="minorEastAsia"/>
          <w:color w:val="000000" w:themeColor="text1"/>
          <w:kern w:val="24"/>
        </w:rPr>
        <w:t>Valsts ieņēmumu dienest</w:t>
      </w:r>
      <w:r>
        <w:rPr>
          <w:rFonts w:eastAsiaTheme="minorEastAsia"/>
          <w:color w:val="000000" w:themeColor="text1"/>
          <w:kern w:val="24"/>
        </w:rPr>
        <w:t xml:space="preserve">s, koncentrējoties uz norādītajiem apstākļiem, </w:t>
      </w:r>
      <w:r w:rsidR="00DC4160">
        <w:rPr>
          <w:rFonts w:eastAsiaTheme="minorEastAsia"/>
          <w:color w:val="000000" w:themeColor="text1"/>
          <w:kern w:val="24"/>
        </w:rPr>
        <w:t>novēršas no būtiskā</w:t>
      </w:r>
      <w:r w:rsidR="002E2BE8">
        <w:rPr>
          <w:rFonts w:eastAsiaTheme="minorEastAsia"/>
          <w:color w:val="000000" w:themeColor="text1"/>
          <w:kern w:val="24"/>
        </w:rPr>
        <w:t>.</w:t>
      </w:r>
      <w:r w:rsidR="00DE3743">
        <w:rPr>
          <w:rFonts w:eastAsiaTheme="minorEastAsia"/>
          <w:color w:val="000000" w:themeColor="text1"/>
          <w:kern w:val="24"/>
        </w:rPr>
        <w:t xml:space="preserve"> </w:t>
      </w:r>
      <w:r w:rsidR="002E2BE8">
        <w:rPr>
          <w:rFonts w:eastAsiaTheme="minorEastAsia"/>
          <w:color w:val="000000" w:themeColor="text1"/>
          <w:kern w:val="24"/>
        </w:rPr>
        <w:t>I</w:t>
      </w:r>
      <w:r w:rsidR="00DE3743">
        <w:rPr>
          <w:rFonts w:eastAsiaTheme="minorEastAsia"/>
          <w:color w:val="000000" w:themeColor="text1"/>
          <w:kern w:val="24"/>
        </w:rPr>
        <w:t>zskatāmajā lietā strīds ir par to, vai pieteicējam ir konstatējams slēptais apliekamais ienākums vai tomēr atzīstams, ka pieteicēja rīcībā bija pietiekams naudas līdzekļu apmērs, lai segtu Valsts ieņēmumu dienesta konstatētos pieteicēja izdevumus un lai uzkrātu skaidru naudu.</w:t>
      </w:r>
      <w:r w:rsidR="00DE3743" w:rsidRPr="00DE3743">
        <w:rPr>
          <w:rFonts w:eastAsiaTheme="minorEastAsia"/>
          <w:color w:val="000000" w:themeColor="text1"/>
          <w:kern w:val="24"/>
        </w:rPr>
        <w:t xml:space="preserve"> </w:t>
      </w:r>
      <w:r w:rsidR="00DE3743">
        <w:rPr>
          <w:rFonts w:eastAsiaTheme="minorEastAsia"/>
          <w:color w:val="000000" w:themeColor="text1"/>
          <w:kern w:val="24"/>
        </w:rPr>
        <w:t>Slēptā apliekamā ienākuma kontekstā ir būtiska tikai starpība starp uzrādītajiem līdzekļu avotiem un šo līdzekļu izlietojumu.</w:t>
      </w:r>
      <w:r w:rsidR="00DE3743" w:rsidRPr="00DE3743">
        <w:rPr>
          <w:rFonts w:eastAsiaTheme="minorEastAsia"/>
          <w:color w:val="000000" w:themeColor="text1"/>
          <w:kern w:val="24"/>
        </w:rPr>
        <w:t xml:space="preserve"> </w:t>
      </w:r>
      <w:r w:rsidR="00DE3743">
        <w:rPr>
          <w:rFonts w:eastAsiaTheme="minorEastAsia"/>
          <w:color w:val="000000" w:themeColor="text1"/>
          <w:kern w:val="24"/>
        </w:rPr>
        <w:t xml:space="preserve">Tā kā apgabaltiesa ir konstatējusi, ka pieteicēja rīcībā atbilstoši norēķinu konta izdrukām bija nepieciešamie naudas līdzekļi izdevumu segšanai un uzkrājumu veidošanai, un Valsts </w:t>
      </w:r>
      <w:r w:rsidR="00DE3743">
        <w:rPr>
          <w:rFonts w:eastAsiaTheme="minorEastAsia"/>
          <w:color w:val="000000" w:themeColor="text1"/>
          <w:kern w:val="24"/>
        </w:rPr>
        <w:lastRenderedPageBreak/>
        <w:t xml:space="preserve">ieņēmumu dienests iebildumus pret to nav cēlis, minētajiem kasācijas sūdzībā norādītajiem argumentiem nav nozīmes, jo tie neietekmē šajā lietā risināmā strīda būtību un lietas iznākumu. Valsts ieņēmumu dienesta kasācijas sūdzībā norādītajiem apstākļiem būtu nozīme, ja lietā tiktu risināts </w:t>
      </w:r>
      <w:r w:rsidR="000576B2">
        <w:rPr>
          <w:rFonts w:eastAsiaTheme="minorEastAsia"/>
          <w:color w:val="000000" w:themeColor="text1"/>
          <w:kern w:val="24"/>
        </w:rPr>
        <w:t>jautājums</w:t>
      </w:r>
      <w:r w:rsidR="00DE3743">
        <w:rPr>
          <w:rFonts w:eastAsiaTheme="minorEastAsia"/>
          <w:color w:val="000000" w:themeColor="text1"/>
          <w:kern w:val="24"/>
        </w:rPr>
        <w:t xml:space="preserve"> par to, vai no Igaunijas uzņēmuma saņemtie naudas līdzekļi ir atzīstami par pieteicēja ar iedzīvotāju ienākum</w:t>
      </w:r>
      <w:r w:rsidR="000576B2">
        <w:rPr>
          <w:rFonts w:eastAsiaTheme="minorEastAsia"/>
          <w:color w:val="000000" w:themeColor="text1"/>
          <w:kern w:val="24"/>
        </w:rPr>
        <w:t>a</w:t>
      </w:r>
      <w:r w:rsidR="00DE3743">
        <w:rPr>
          <w:rFonts w:eastAsiaTheme="minorEastAsia"/>
          <w:color w:val="000000" w:themeColor="text1"/>
          <w:kern w:val="24"/>
        </w:rPr>
        <w:t xml:space="preserve"> nodokli apliekamajiem vai neapliekamajiem ienākumiem, taču šajā lietā, kā jau minēts,</w:t>
      </w:r>
      <w:r w:rsidR="000F6FAF">
        <w:rPr>
          <w:rFonts w:eastAsiaTheme="minorEastAsia"/>
          <w:color w:val="000000" w:themeColor="text1"/>
          <w:kern w:val="24"/>
        </w:rPr>
        <w:t xml:space="preserve"> ir noskaidrojami citi apstākļi.</w:t>
      </w:r>
    </w:p>
    <w:p w14:paraId="2EBA0930" w14:textId="77777777" w:rsidR="000F6FAF" w:rsidRDefault="000F6FAF" w:rsidP="008A072C">
      <w:pPr>
        <w:spacing w:line="276" w:lineRule="auto"/>
        <w:ind w:firstLine="567"/>
        <w:jc w:val="both"/>
        <w:rPr>
          <w:rFonts w:eastAsiaTheme="minorEastAsia"/>
          <w:color w:val="000000" w:themeColor="text1"/>
          <w:kern w:val="24"/>
        </w:rPr>
      </w:pPr>
    </w:p>
    <w:p w14:paraId="448AAE1C" w14:textId="7C06F950" w:rsidR="008A072C" w:rsidRDefault="000F6FAF" w:rsidP="008A072C">
      <w:pPr>
        <w:spacing w:line="276" w:lineRule="auto"/>
        <w:ind w:firstLine="567"/>
        <w:jc w:val="both"/>
      </w:pPr>
      <w:r>
        <w:rPr>
          <w:rFonts w:eastAsiaTheme="minorEastAsia"/>
          <w:color w:val="000000" w:themeColor="text1"/>
          <w:kern w:val="24"/>
        </w:rPr>
        <w:t>[</w:t>
      </w:r>
      <w:r w:rsidR="006C05BF">
        <w:rPr>
          <w:rFonts w:eastAsiaTheme="minorEastAsia"/>
          <w:color w:val="000000" w:themeColor="text1"/>
          <w:kern w:val="24"/>
        </w:rPr>
        <w:t>1</w:t>
      </w:r>
      <w:r w:rsidR="002F535F">
        <w:rPr>
          <w:rFonts w:eastAsiaTheme="minorEastAsia"/>
          <w:color w:val="000000" w:themeColor="text1"/>
          <w:kern w:val="24"/>
        </w:rPr>
        <w:t>2</w:t>
      </w:r>
      <w:r>
        <w:rPr>
          <w:rFonts w:eastAsiaTheme="minorEastAsia"/>
          <w:color w:val="000000" w:themeColor="text1"/>
          <w:kern w:val="24"/>
        </w:rPr>
        <w:t>] </w:t>
      </w:r>
      <w:r w:rsidR="008A072C">
        <w:rPr>
          <w:rFonts w:eastAsiaTheme="minorEastAsia"/>
          <w:color w:val="000000" w:themeColor="text1"/>
          <w:kern w:val="24"/>
        </w:rPr>
        <w:t xml:space="preserve">Vienlaikus apstāklis, ka slēptā apliekamā ienākuma kontekstā ir būtiska tikai starpība starp līdzekļu avotiem un šo līdzekļu izlietojumu, neizslēdz iespēju, ka tiek konstatēti tādi līdzekļu avoti, kuri vērtējami kā pieteicēja </w:t>
      </w:r>
      <w:r w:rsidR="0053252C">
        <w:rPr>
          <w:rFonts w:eastAsiaTheme="minorEastAsia"/>
          <w:color w:val="000000" w:themeColor="text1"/>
          <w:kern w:val="24"/>
        </w:rPr>
        <w:t xml:space="preserve">ar iedzīvotāju ienākuma nodokli apliekamie </w:t>
      </w:r>
      <w:r w:rsidR="008A072C">
        <w:rPr>
          <w:rFonts w:eastAsiaTheme="minorEastAsia"/>
          <w:color w:val="000000" w:themeColor="text1"/>
          <w:kern w:val="24"/>
        </w:rPr>
        <w:t>ienākumi, bet par kuriem ienākums nav maksāts. Šādā gadījumā Valsts ieņēmumu dienestam būtu tiesības, piemērojot tiesību normas, kas reglament</w:t>
      </w:r>
      <w:r w:rsidR="00727A3B">
        <w:rPr>
          <w:rFonts w:eastAsiaTheme="minorEastAsia"/>
          <w:color w:val="000000" w:themeColor="text1"/>
          <w:kern w:val="24"/>
        </w:rPr>
        <w:t>ē</w:t>
      </w:r>
      <w:r w:rsidR="008A072C">
        <w:rPr>
          <w:rFonts w:eastAsiaTheme="minorEastAsia"/>
          <w:color w:val="000000" w:themeColor="text1"/>
          <w:kern w:val="24"/>
        </w:rPr>
        <w:t xml:space="preserve"> apliekamos ienākumu veidus, aprēķināt nodokli par šādu ienākumu (</w:t>
      </w:r>
      <w:bookmarkStart w:id="10" w:name="_Hlk57195640"/>
      <w:r w:rsidRPr="000F6FAF">
        <w:rPr>
          <w:rFonts w:eastAsiaTheme="minorEastAsia"/>
          <w:i/>
          <w:iCs/>
          <w:color w:val="000000" w:themeColor="text1"/>
          <w:kern w:val="24"/>
        </w:rPr>
        <w:t>Senāta 2020.gada 23.aprīļa rīcības sēdes lēmuma lietā Nr. SKA-361/2020 (</w:t>
      </w:r>
      <w:r w:rsidR="007B0BD3" w:rsidRPr="000F6FAF">
        <w:rPr>
          <w:rFonts w:eastAsiaTheme="minorEastAsia"/>
          <w:i/>
          <w:iCs/>
          <w:color w:val="000000" w:themeColor="text1"/>
          <w:kern w:val="24"/>
        </w:rPr>
        <w:t>ECLI:LV:AT:2020:0423.A420241417.16.L</w:t>
      </w:r>
      <w:r w:rsidRPr="000F6FAF">
        <w:rPr>
          <w:rFonts w:eastAsiaTheme="minorEastAsia"/>
          <w:i/>
          <w:iCs/>
          <w:color w:val="000000" w:themeColor="text1"/>
          <w:kern w:val="24"/>
        </w:rPr>
        <w:t>)</w:t>
      </w:r>
      <w:bookmarkEnd w:id="10"/>
      <w:r w:rsidRPr="000F6FAF">
        <w:rPr>
          <w:rFonts w:eastAsiaTheme="minorEastAsia"/>
          <w:i/>
          <w:iCs/>
          <w:color w:val="000000" w:themeColor="text1"/>
          <w:kern w:val="24"/>
        </w:rPr>
        <w:t xml:space="preserve"> 2.punkts</w:t>
      </w:r>
      <w:r w:rsidR="008A072C">
        <w:rPr>
          <w:rFonts w:eastAsiaTheme="minorEastAsia"/>
          <w:color w:val="000000" w:themeColor="text1"/>
          <w:kern w:val="24"/>
        </w:rPr>
        <w:t xml:space="preserve">). Faktiski uz to ir norādījusi arī apgabaltiesa, vēršot Valsts ieņēmumu dienesta uzmanību uz </w:t>
      </w:r>
      <w:r w:rsidR="008A072C">
        <w:t xml:space="preserve">likuma „Par iedzīvotāju ienākuma nodokli” pārejas noteikumu 103. un 106.punktā ietverto regulējumu un iespējamību noskaidrot, vai pieteicējs Igaunijas uzņēmumam ir atdevis iepriekš saņemto aizdevumu un vai tas atbilstoši ir iegrāmatots uzņēmuma grāmatvedības reģistros. Apgabaltiesa norādījusi, ka, to nekonstatējot, ir apsverams, vai līguma ietvaros saņemtais aizdevums saskaņā ar likuma „Par iedzīvotāju ienākuma nodokli” 3.panta trešās daļas 24.punktu ir pielīdzināms ienākumam, kas apliekams ar iedzīvotāju ienākuma nodokli. </w:t>
      </w:r>
    </w:p>
    <w:p w14:paraId="4253CDB4" w14:textId="7BE5B1CF" w:rsidR="00657BD5" w:rsidRDefault="008A072C" w:rsidP="008A072C">
      <w:pPr>
        <w:spacing w:line="276" w:lineRule="auto"/>
        <w:ind w:firstLine="567"/>
        <w:jc w:val="both"/>
      </w:pPr>
      <w:r>
        <w:t>No minētā redzams, ka apgabaltiesa</w:t>
      </w:r>
      <w:r w:rsidR="00640506">
        <w:t xml:space="preserve">, neapšaubot </w:t>
      </w:r>
      <w:r>
        <w:t>naudas saņemšanas faktu no Igaunijas uzņēmuma,</w:t>
      </w:r>
      <w:r w:rsidR="00727A3B">
        <w:t xml:space="preserve"> ir apsvērusi, ka aiz aizdevuma līguma faktiski ir paslēptas citas darījuma attiecības, vēršot Valsts ieņēmumu dienesta uzmanību uz nepieciešamību to pārbaudīt. Ievērojot minēto, Valsts ieņēmumu dienests kasācijas sūdzībā ir kļūdaini uztvēris apgabaltiesas norādi par nepieciešamību vērsties Igaunijas nodokļu administrācijā</w:t>
      </w:r>
      <w:r w:rsidR="00657BD5">
        <w:t xml:space="preserve">. Proti, apgabaltiesa nav pārmetusi Valsts ieņēmumu dienestam, ka tas nav vērsies Igaunijas nodokļu administrācijā, lai noskaidrotu, vai pieteicējs no Igaunijas uzņēmuma ir saņēmis </w:t>
      </w:r>
      <w:r w:rsidR="000F6FAF">
        <w:t>naudas līdzekļus</w:t>
      </w:r>
      <w:r w:rsidR="00657BD5">
        <w:t>, jo tas tāpat izriet no norēķinu konta izdruk</w:t>
      </w:r>
      <w:r w:rsidR="000F6FAF">
        <w:t>ām</w:t>
      </w:r>
      <w:r w:rsidR="00657BD5">
        <w:t>, bet ir norādījusi, ka Valsts ieņēmumu dienestam būtu jāvēršas Igaunijas nodokļu administrācijā, lai noskaidrotu patiesās darījuma attiecības starp pieteicēju un Igaunijas uzņēmumu.</w:t>
      </w:r>
    </w:p>
    <w:p w14:paraId="35E349A3" w14:textId="53C4DFE6" w:rsidR="000F6FAF" w:rsidRDefault="000F6FAF" w:rsidP="008A072C">
      <w:pPr>
        <w:spacing w:line="276" w:lineRule="auto"/>
        <w:ind w:firstLine="567"/>
        <w:jc w:val="both"/>
      </w:pPr>
    </w:p>
    <w:p w14:paraId="5F45CA85" w14:textId="1593DD69" w:rsidR="001C77EA" w:rsidRDefault="00657BD5" w:rsidP="008A072C">
      <w:pPr>
        <w:spacing w:line="276" w:lineRule="auto"/>
        <w:ind w:firstLine="567"/>
        <w:jc w:val="both"/>
      </w:pPr>
      <w:r>
        <w:t>[</w:t>
      </w:r>
      <w:r w:rsidR="006C05BF">
        <w:t>1</w:t>
      </w:r>
      <w:r w:rsidR="002F535F">
        <w:t>3</w:t>
      </w:r>
      <w:r>
        <w:t>] </w:t>
      </w:r>
      <w:r w:rsidR="001C77EA">
        <w:t>Apgabaltiesa, atzīstot, ka pieteicēj</w:t>
      </w:r>
      <w:r w:rsidR="000F6FAF">
        <w:t xml:space="preserve">am arī </w:t>
      </w:r>
      <w:proofErr w:type="gramStart"/>
      <w:r w:rsidR="000F6FAF">
        <w:t>2012.gadā</w:t>
      </w:r>
      <w:proofErr w:type="gramEnd"/>
      <w:r w:rsidR="000F6FAF">
        <w:t xml:space="preserve"> nav konstatējams slēptais apliekamais ienākums, norādījusi, ka pieteicējs </w:t>
      </w:r>
      <w:r w:rsidR="001C77EA">
        <w:t>ir saņēmis ienākumus no automašīnas atsavināšanas</w:t>
      </w:r>
      <w:r w:rsidR="000F6FAF">
        <w:t xml:space="preserve"> un šie ienākumi ir lielāki par konstatēto slēpto apliekamo ienākumu. Secinājumu, ka pieteicējs minētā darījuma rezultātā saņēma naudas līdzekļus, apgabaltiesa pamatojusi ar to, </w:t>
      </w:r>
      <w:r w:rsidR="001C77EA">
        <w:t xml:space="preserve">ka strīdus automašīna pieteicēja īpašumā bija kopš </w:t>
      </w:r>
      <w:proofErr w:type="gramStart"/>
      <w:r w:rsidR="001C77EA">
        <w:t>2006.gada</w:t>
      </w:r>
      <w:proofErr w:type="gramEnd"/>
      <w:r w:rsidR="001C77EA">
        <w:t>, 2012.gadā notika īpašnieku maiņa un jaunā automašīnas īpašniece pirmās instances tiesas sēdē apliecināja, ka strīdus automašīnu no pieteicēja ir nopirkusi, nevis saņēmusi dāvinājumā, kā</w:t>
      </w:r>
      <w:r w:rsidR="00F356DE">
        <w:t xml:space="preserve"> to</w:t>
      </w:r>
      <w:r w:rsidR="001C77EA">
        <w:t xml:space="preserve"> atzinis Valsts ieņēmumu dienests.</w:t>
      </w:r>
    </w:p>
    <w:p w14:paraId="4D0DD9BB" w14:textId="77777777" w:rsidR="0029146F" w:rsidRDefault="001C77EA" w:rsidP="0029146F">
      <w:pPr>
        <w:spacing w:line="276" w:lineRule="auto"/>
        <w:ind w:firstLine="567"/>
        <w:jc w:val="both"/>
      </w:pPr>
      <w:r>
        <w:t>Kasācijas sūdzībā</w:t>
      </w:r>
      <w:r w:rsidR="00A05FB9">
        <w:t>,</w:t>
      </w:r>
      <w:r>
        <w:t xml:space="preserve"> iebilstot pret šādiem apgabaltiesas secinājumiem, Valsts ieņēmumu dienests norāda, ka apgabaltiesa ir ignorējusi vairākas pretrunas liecinieces liecībās</w:t>
      </w:r>
      <w:r w:rsidR="00640506">
        <w:t xml:space="preserve">. </w:t>
      </w:r>
      <w:r>
        <w:t>Proti, lieciniece Valsts ieņēmumu dienestam skaidroj</w:t>
      </w:r>
      <w:r w:rsidR="000F6FAF">
        <w:t>usi</w:t>
      </w:r>
      <w:r>
        <w:t>, ka ar automašīnu, pirms tās nopirkšanas, izbraukusi pie garāžām, savukārt tiesas sēdē liecināj</w:t>
      </w:r>
      <w:r w:rsidR="000F6FAF">
        <w:t>usi</w:t>
      </w:r>
      <w:r>
        <w:t xml:space="preserve">, ka ar automašīnu izbraukusi pie Ceļu satiksmes drošības direkcijas. Tāpat apgabaltiesa neesot ņēmusi vērā, ka pretēji liecinieces apgalvotajam viņai bija nosūtīts uzaicinājums ierasties Valsts ieņēmumu dienestā </w:t>
      </w:r>
      <w:r>
        <w:lastRenderedPageBreak/>
        <w:t>paskaidrojumu sniegšanai. Apgabaltiesa neesot ņēmusi vērā arī to, ka pieteicējs, aizpildot papildu deklarācijas, nenorādīja ienākumus no strīdus automašīnas atsavināšanas</w:t>
      </w:r>
      <w:r w:rsidR="00501A03">
        <w:t xml:space="preserve">, kā arī neiesniedza automašīnas </w:t>
      </w:r>
      <w:r w:rsidR="00F356DE">
        <w:t>pārdošanu</w:t>
      </w:r>
      <w:r w:rsidR="00501A03">
        <w:t xml:space="preserve"> apstiprinošus pierādījumus. Līdz ar to Valsts ieņēmumu dienests uzskata, ka apgabaltiesa ir pārkāpusi Administratīvā procesa likuma </w:t>
      </w:r>
      <w:proofErr w:type="gramStart"/>
      <w:r w:rsidR="00501A03">
        <w:t>154.pantu</w:t>
      </w:r>
      <w:proofErr w:type="gramEnd"/>
      <w:r w:rsidR="000576B2">
        <w:t>.</w:t>
      </w:r>
      <w:bookmarkStart w:id="11" w:name="_Hlk54619296"/>
    </w:p>
    <w:p w14:paraId="08D1BB6C" w14:textId="2766AB2F" w:rsidR="0033680B" w:rsidRPr="0029146F" w:rsidRDefault="00501A03" w:rsidP="0029146F">
      <w:pPr>
        <w:spacing w:line="276" w:lineRule="auto"/>
        <w:ind w:firstLine="567"/>
        <w:jc w:val="both"/>
      </w:pPr>
      <w:r>
        <w:t xml:space="preserve">Administratīvā procesa likuma </w:t>
      </w:r>
      <w:proofErr w:type="gramStart"/>
      <w:r>
        <w:t>154.panta</w:t>
      </w:r>
      <w:proofErr w:type="gramEnd"/>
      <w:r>
        <w:t xml:space="preserve"> pirmās daļas piemērošanas pareizību pārbaudot, kasācijas instances tiesa varētu šo normu atzīt par pārkāptu, ja, piemēram, tiesas izdarītie secinājumi vai nu vispār nebalstās uz pierādījumiem, bet tikai uz pieņēmumiem, vai ja secinājumi loģiski nevar izrietēt no novērtētajiem pierādījumiem</w:t>
      </w:r>
      <w:bookmarkEnd w:id="11"/>
      <w:r>
        <w:t>, vai ja kāda pierādījuma saturs ir acīmredzami nepareizi noskaidrots (piemēram, tiesa vispār nepareizi izlasījusi rakstveida dokumentu vai izlaidusi no vērtējuma kādu dokumenta vai liecības daļu) (</w:t>
      </w:r>
      <w:r w:rsidRPr="00F83209">
        <w:rPr>
          <w:i/>
        </w:rPr>
        <w:t>Senāta 2018.gada 13.feb</w:t>
      </w:r>
      <w:r>
        <w:rPr>
          <w:i/>
        </w:rPr>
        <w:t>r</w:t>
      </w:r>
      <w:r w:rsidRPr="00F83209">
        <w:rPr>
          <w:i/>
        </w:rPr>
        <w:t>uā</w:t>
      </w:r>
      <w:r>
        <w:rPr>
          <w:i/>
        </w:rPr>
        <w:t>ra</w:t>
      </w:r>
      <w:r w:rsidRPr="00F83209">
        <w:rPr>
          <w:i/>
        </w:rPr>
        <w:t xml:space="preserve"> sprieduma lietā Nr. SKA-92/2018 </w:t>
      </w:r>
      <w:r w:rsidRPr="0029146F">
        <w:rPr>
          <w:i/>
        </w:rPr>
        <w:t>(</w:t>
      </w:r>
      <w:r w:rsidR="0029146F" w:rsidRPr="007720FC">
        <w:rPr>
          <w:i/>
        </w:rPr>
        <w:t>ECLI:LV:AT:2018:0213.A420433513.2.S</w:t>
      </w:r>
      <w:r w:rsidRPr="0029146F">
        <w:rPr>
          <w:i/>
        </w:rPr>
        <w:t>)</w:t>
      </w:r>
      <w:r w:rsidRPr="00F83209">
        <w:rPr>
          <w:i/>
        </w:rPr>
        <w:t xml:space="preserve"> 7.punkts un tajā norādītie nolēmumi</w:t>
      </w:r>
      <w:r>
        <w:t>). Šādus pārkāpumus apgabaltiesas rīcībā Senāts nekonstatē. Uz tiem nenorāda arī minētie kasācijas sūdzības argumenti</w:t>
      </w:r>
      <w:r w:rsidR="00F356DE">
        <w:t>. A</w:t>
      </w:r>
      <w:r w:rsidR="00A05FB9">
        <w:t xml:space="preserve">tsaucoties uz Administratīvā procesa likuma 154.pantā paredzētajām pierādījumu novērtēšanas prasībām, </w:t>
      </w:r>
      <w:r>
        <w:t>Valsts ieņēmumu dienests nav izskaidrojis, kā apstāklis par to, kurā vietā persona izbrauc</w:t>
      </w:r>
      <w:r w:rsidR="00592FCD">
        <w:t>a</w:t>
      </w:r>
      <w:r>
        <w:t xml:space="preserve"> ar automašīnu, lai izšķirtos, vai to iegādāties, ietekmē apgabaltiesas secinājumu par naudas norēķiniem starp automašīnas iepriekšējo un jauno īpašnieku. </w:t>
      </w:r>
      <w:r w:rsidR="00A05FB9">
        <w:t xml:space="preserve">Tāpat Valsts ieņēmumu dienests nav izskaidrojis, kā lietas iznākumu ietekmē </w:t>
      </w:r>
      <w:r w:rsidR="00592FCD">
        <w:t>apstāklis, ka lieciniece pretēji lietā esošajiem pierādījumiem noliegusi uzaicinājuma saņemšanu ierasties dienestā paskaidrojumu sniegšanai.</w:t>
      </w:r>
      <w:r w:rsidR="00A05FB9">
        <w:t xml:space="preserve"> Šeit</w:t>
      </w:r>
      <w:r w:rsidR="000576B2">
        <w:t xml:space="preserve"> arī</w:t>
      </w:r>
      <w:r w:rsidR="00A05FB9">
        <w:t xml:space="preserve"> jānorāda, ka pretēji kasācijas sūdzībā </w:t>
      </w:r>
      <w:r w:rsidR="00640506">
        <w:t xml:space="preserve">apgalvotajam </w:t>
      </w:r>
      <w:r w:rsidR="00A05FB9">
        <w:t xml:space="preserve">lieciniece minēto faktu nav noliegusi, bet gan ir norādījusi, ka neatceras, vai bija saņēmusi Valsts ieņēmumu dienesta uzaicinājumu. </w:t>
      </w:r>
      <w:r w:rsidR="00640506">
        <w:t>Tāpēc apgabaltiesai šāda neesoša pretruna</w:t>
      </w:r>
      <w:r w:rsidR="00592FCD">
        <w:t xml:space="preserve"> starp</w:t>
      </w:r>
      <w:r w:rsidR="00640506">
        <w:t xml:space="preserve"> liecinieces liecībā</w:t>
      </w:r>
      <w:r w:rsidR="00592FCD">
        <w:t>m un citiem pierādījumiem</w:t>
      </w:r>
      <w:r w:rsidR="00640506">
        <w:t xml:space="preserve"> nebija jāpamana. </w:t>
      </w:r>
      <w:r w:rsidR="00A05FB9">
        <w:t>Tāpat pretēji kasācijas sūdzībā apgalvotajam apgabaltiesa ir ņēmusi vērā, ka pieteicējs papildu deklarācijā nebija norādījis ziņas par naudas līdzekļu saņemšanu automašīnas atsavināšanas rezultātā</w:t>
      </w:r>
      <w:r w:rsidR="00640506">
        <w:t>. Apgabaltiesa</w:t>
      </w:r>
      <w:r w:rsidR="00592FCD">
        <w:t>, ievērojot, ka šāds ziņas sniegtas audita sākuma sarunas protokolā,</w:t>
      </w:r>
      <w:r w:rsidR="00640506">
        <w:t xml:space="preserve"> ir</w:t>
      </w:r>
      <w:r w:rsidR="00A05FB9">
        <w:t xml:space="preserve"> argumentēj</w:t>
      </w:r>
      <w:r w:rsidR="00640506">
        <w:t>usi</w:t>
      </w:r>
      <w:r w:rsidR="00A05FB9">
        <w:t xml:space="preserve">, kāpēc </w:t>
      </w:r>
      <w:r w:rsidR="00592FCD">
        <w:t xml:space="preserve">norādītajam </w:t>
      </w:r>
      <w:r w:rsidR="00A05FB9">
        <w:t>apstāklim nav izšķirošas nozīmes.</w:t>
      </w:r>
    </w:p>
    <w:p w14:paraId="664C0845" w14:textId="629F3F85" w:rsidR="00A05FB9" w:rsidRDefault="0033680B" w:rsidP="00501A03">
      <w:pPr>
        <w:spacing w:line="276" w:lineRule="auto"/>
        <w:ind w:firstLine="567"/>
        <w:jc w:val="both"/>
      </w:pPr>
      <w:r>
        <w:t xml:space="preserve">Ievērojot minēto, Senāts atzīst, ka Valsts ieņēmumu dienests kasācijas sūdzībā ir norādījis uz nebūtiskiem apstākļiem, kas turklāt izrauti no konteksta, tādējādi novirzoties no būtiskā. Līdz ar to kasācijas sūdzībā nav norādīts neviens vērā ņemams arguments, kas apliecinātu, ka pierādījumu kopumam neatbilst apgabaltiesas secinājums, ka pieteicējs sev piederošu automašīnu ir pārdevis, nevis uzdāvinājis. </w:t>
      </w:r>
      <w:r w:rsidR="003A08EA">
        <w:t xml:space="preserve">Līdz ar to negūst apstiprinājumu arī kasācijas sūdzības arguments, ka apgabaltiesa </w:t>
      </w:r>
      <w:r w:rsidR="000B2E7F">
        <w:t xml:space="preserve">ir </w:t>
      </w:r>
      <w:r w:rsidR="002A7C25">
        <w:t xml:space="preserve">taisījusi </w:t>
      </w:r>
      <w:r w:rsidR="000B2E7F">
        <w:t>pret</w:t>
      </w:r>
      <w:r w:rsidR="002A7C25">
        <w:t xml:space="preserve">tiesisku un </w:t>
      </w:r>
      <w:r w:rsidR="000B2E7F">
        <w:t>ne</w:t>
      </w:r>
      <w:r w:rsidR="002A7C25">
        <w:t>pamatotu spriedumu.</w:t>
      </w:r>
    </w:p>
    <w:p w14:paraId="69155083" w14:textId="77777777" w:rsidR="00A05FB9" w:rsidRDefault="00A05FB9" w:rsidP="00501A03">
      <w:pPr>
        <w:spacing w:line="276" w:lineRule="auto"/>
        <w:ind w:firstLine="567"/>
        <w:jc w:val="both"/>
      </w:pPr>
    </w:p>
    <w:p w14:paraId="7F133DF8" w14:textId="77777777" w:rsidR="003047F5" w:rsidRPr="0082381C" w:rsidRDefault="003047F5" w:rsidP="008E5AFF">
      <w:pPr>
        <w:spacing w:line="276" w:lineRule="auto"/>
        <w:jc w:val="center"/>
        <w:rPr>
          <w:b/>
        </w:rPr>
      </w:pPr>
      <w:r w:rsidRPr="0082381C">
        <w:rPr>
          <w:b/>
        </w:rPr>
        <w:t>Rezolutīvā daļa</w:t>
      </w:r>
    </w:p>
    <w:p w14:paraId="203D55B2" w14:textId="77777777" w:rsidR="003047F5" w:rsidRPr="0082381C" w:rsidRDefault="003047F5" w:rsidP="008E5AFF">
      <w:pPr>
        <w:spacing w:line="276" w:lineRule="auto"/>
        <w:ind w:firstLine="567"/>
        <w:jc w:val="both"/>
        <w:rPr>
          <w:bCs/>
          <w:spacing w:val="70"/>
        </w:rPr>
      </w:pPr>
    </w:p>
    <w:p w14:paraId="3C2D36BE" w14:textId="77777777" w:rsidR="00B06F22" w:rsidRPr="00277E4E" w:rsidRDefault="00B06F22" w:rsidP="00B06F22">
      <w:pPr>
        <w:spacing w:line="276" w:lineRule="auto"/>
        <w:ind w:firstLine="567"/>
        <w:jc w:val="both"/>
        <w:rPr>
          <w:strike/>
        </w:rPr>
      </w:pPr>
      <w:r w:rsidRPr="00277E4E">
        <w:t xml:space="preserve">Pamatojoties uz </w:t>
      </w:r>
      <w:r w:rsidRPr="00277E4E">
        <w:rPr>
          <w:rFonts w:eastAsiaTheme="minorHAnsi"/>
          <w:lang w:eastAsia="en-US"/>
        </w:rPr>
        <w:t xml:space="preserve">Administratīvā procesa likuma </w:t>
      </w:r>
      <w:proofErr w:type="gramStart"/>
      <w:r w:rsidRPr="00277E4E">
        <w:rPr>
          <w:rFonts w:eastAsiaTheme="minorHAnsi"/>
          <w:lang w:eastAsia="en-US"/>
        </w:rPr>
        <w:t>348.panta</w:t>
      </w:r>
      <w:proofErr w:type="gramEnd"/>
      <w:r w:rsidRPr="00277E4E">
        <w:rPr>
          <w:rFonts w:eastAsiaTheme="minorHAnsi"/>
          <w:lang w:eastAsia="en-US"/>
        </w:rPr>
        <w:t xml:space="preserve"> pirmās daļas 1.punktu un 351.pantu</w:t>
      </w:r>
      <w:r w:rsidRPr="00277E4E">
        <w:t>, Senāts</w:t>
      </w:r>
    </w:p>
    <w:p w14:paraId="2D99FA28" w14:textId="77777777" w:rsidR="00B06F22" w:rsidRPr="00277E4E" w:rsidRDefault="00B06F22" w:rsidP="00B06F22">
      <w:pPr>
        <w:spacing w:line="276" w:lineRule="auto"/>
        <w:ind w:firstLine="567"/>
        <w:jc w:val="both"/>
      </w:pPr>
    </w:p>
    <w:p w14:paraId="071E8FED" w14:textId="77777777" w:rsidR="00B06F22" w:rsidRPr="00277E4E" w:rsidRDefault="00B06F22" w:rsidP="00B06F22">
      <w:pPr>
        <w:spacing w:line="276" w:lineRule="auto"/>
        <w:jc w:val="center"/>
        <w:rPr>
          <w:b/>
        </w:rPr>
      </w:pPr>
      <w:r w:rsidRPr="00277E4E">
        <w:rPr>
          <w:b/>
        </w:rPr>
        <w:t>nosprieda</w:t>
      </w:r>
    </w:p>
    <w:p w14:paraId="3A841DD6" w14:textId="77777777" w:rsidR="00B06F22" w:rsidRPr="00277E4E" w:rsidRDefault="00B06F22" w:rsidP="00B06F22">
      <w:pPr>
        <w:spacing w:line="276" w:lineRule="auto"/>
        <w:jc w:val="center"/>
        <w:rPr>
          <w:b/>
        </w:rPr>
      </w:pPr>
    </w:p>
    <w:p w14:paraId="7979710E" w14:textId="12831593" w:rsidR="00B06F22" w:rsidRPr="00277E4E" w:rsidRDefault="00B06F22" w:rsidP="00B06F22">
      <w:pPr>
        <w:spacing w:line="276" w:lineRule="auto"/>
        <w:ind w:firstLine="567"/>
        <w:jc w:val="both"/>
      </w:pPr>
      <w:r w:rsidRPr="00277E4E">
        <w:t xml:space="preserve">atstāt negrozītu Administratīvās apgabaltiesas </w:t>
      </w:r>
      <w:proofErr w:type="gramStart"/>
      <w:r w:rsidRPr="00277E4E">
        <w:t>201</w:t>
      </w:r>
      <w:r>
        <w:t>8</w:t>
      </w:r>
      <w:r w:rsidRPr="00277E4E">
        <w:t>.gada</w:t>
      </w:r>
      <w:proofErr w:type="gramEnd"/>
      <w:r w:rsidRPr="00277E4E">
        <w:t xml:space="preserve"> </w:t>
      </w:r>
      <w:r>
        <w:t xml:space="preserve">6.februāra </w:t>
      </w:r>
      <w:r w:rsidRPr="00277E4E">
        <w:t xml:space="preserve">spriedumu, bet </w:t>
      </w:r>
      <w:r>
        <w:t xml:space="preserve">Valsts ieņēmumu dienesta </w:t>
      </w:r>
      <w:r w:rsidRPr="00277E4E">
        <w:t>kasācijas sūdzību noraidīt.</w:t>
      </w:r>
    </w:p>
    <w:p w14:paraId="75E6B85A" w14:textId="6320235A" w:rsidR="00DD0206" w:rsidRDefault="00B06F22" w:rsidP="000233D6">
      <w:pPr>
        <w:spacing w:line="276" w:lineRule="auto"/>
        <w:ind w:firstLine="567"/>
        <w:jc w:val="both"/>
      </w:pPr>
      <w:r w:rsidRPr="00277E4E">
        <w:t>Spriedums nav pārsūdzams.</w:t>
      </w:r>
    </w:p>
    <w:sectPr w:rsidR="00DD0206" w:rsidSect="000233D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00318" w14:textId="77777777" w:rsidR="000551F7" w:rsidRDefault="000551F7" w:rsidP="003047F5">
      <w:r>
        <w:separator/>
      </w:r>
    </w:p>
  </w:endnote>
  <w:endnote w:type="continuationSeparator" w:id="0">
    <w:p w14:paraId="31E0BE28" w14:textId="77777777" w:rsidR="000551F7" w:rsidRDefault="000551F7" w:rsidP="003047F5">
      <w:r>
        <w:continuationSeparator/>
      </w:r>
    </w:p>
  </w:endnote>
  <w:endnote w:type="continuationNotice" w:id="1">
    <w:p w14:paraId="128B4D89" w14:textId="77777777" w:rsidR="000551F7" w:rsidRDefault="0005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4626ABB" w:rsidR="002F535F" w:rsidRDefault="002F535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9146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A0843">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1BE1" w14:textId="77777777" w:rsidR="000551F7" w:rsidRDefault="000551F7" w:rsidP="003047F5">
      <w:r>
        <w:separator/>
      </w:r>
    </w:p>
  </w:footnote>
  <w:footnote w:type="continuationSeparator" w:id="0">
    <w:p w14:paraId="3BA78219" w14:textId="77777777" w:rsidR="000551F7" w:rsidRDefault="000551F7" w:rsidP="003047F5">
      <w:r>
        <w:continuationSeparator/>
      </w:r>
    </w:p>
  </w:footnote>
  <w:footnote w:type="continuationNotice" w:id="1">
    <w:p w14:paraId="64FEC826" w14:textId="77777777" w:rsidR="000551F7" w:rsidRDefault="00055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65838"/>
    <w:multiLevelType w:val="hybridMultilevel"/>
    <w:tmpl w:val="6C3A7D74"/>
    <w:lvl w:ilvl="0" w:tplc="44747286">
      <w:start w:val="1"/>
      <w:numFmt w:val="bullet"/>
      <w:lvlText w:val="•"/>
      <w:lvlJc w:val="left"/>
      <w:pPr>
        <w:tabs>
          <w:tab w:val="num" w:pos="720"/>
        </w:tabs>
        <w:ind w:left="720" w:hanging="360"/>
      </w:pPr>
      <w:rPr>
        <w:rFonts w:ascii="Arial" w:hAnsi="Arial" w:hint="default"/>
      </w:rPr>
    </w:lvl>
    <w:lvl w:ilvl="1" w:tplc="E5CA3CF6" w:tentative="1">
      <w:start w:val="1"/>
      <w:numFmt w:val="bullet"/>
      <w:lvlText w:val="•"/>
      <w:lvlJc w:val="left"/>
      <w:pPr>
        <w:tabs>
          <w:tab w:val="num" w:pos="1440"/>
        </w:tabs>
        <w:ind w:left="1440" w:hanging="360"/>
      </w:pPr>
      <w:rPr>
        <w:rFonts w:ascii="Arial" w:hAnsi="Arial" w:hint="default"/>
      </w:rPr>
    </w:lvl>
    <w:lvl w:ilvl="2" w:tplc="0B22646E" w:tentative="1">
      <w:start w:val="1"/>
      <w:numFmt w:val="bullet"/>
      <w:lvlText w:val="•"/>
      <w:lvlJc w:val="left"/>
      <w:pPr>
        <w:tabs>
          <w:tab w:val="num" w:pos="2160"/>
        </w:tabs>
        <w:ind w:left="2160" w:hanging="360"/>
      </w:pPr>
      <w:rPr>
        <w:rFonts w:ascii="Arial" w:hAnsi="Arial" w:hint="default"/>
      </w:rPr>
    </w:lvl>
    <w:lvl w:ilvl="3" w:tplc="2D0C6B76" w:tentative="1">
      <w:start w:val="1"/>
      <w:numFmt w:val="bullet"/>
      <w:lvlText w:val="•"/>
      <w:lvlJc w:val="left"/>
      <w:pPr>
        <w:tabs>
          <w:tab w:val="num" w:pos="2880"/>
        </w:tabs>
        <w:ind w:left="2880" w:hanging="360"/>
      </w:pPr>
      <w:rPr>
        <w:rFonts w:ascii="Arial" w:hAnsi="Arial" w:hint="default"/>
      </w:rPr>
    </w:lvl>
    <w:lvl w:ilvl="4" w:tplc="26A4DF00" w:tentative="1">
      <w:start w:val="1"/>
      <w:numFmt w:val="bullet"/>
      <w:lvlText w:val="•"/>
      <w:lvlJc w:val="left"/>
      <w:pPr>
        <w:tabs>
          <w:tab w:val="num" w:pos="3600"/>
        </w:tabs>
        <w:ind w:left="3600" w:hanging="360"/>
      </w:pPr>
      <w:rPr>
        <w:rFonts w:ascii="Arial" w:hAnsi="Arial" w:hint="default"/>
      </w:rPr>
    </w:lvl>
    <w:lvl w:ilvl="5" w:tplc="943417A2" w:tentative="1">
      <w:start w:val="1"/>
      <w:numFmt w:val="bullet"/>
      <w:lvlText w:val="•"/>
      <w:lvlJc w:val="left"/>
      <w:pPr>
        <w:tabs>
          <w:tab w:val="num" w:pos="4320"/>
        </w:tabs>
        <w:ind w:left="4320" w:hanging="360"/>
      </w:pPr>
      <w:rPr>
        <w:rFonts w:ascii="Arial" w:hAnsi="Arial" w:hint="default"/>
      </w:rPr>
    </w:lvl>
    <w:lvl w:ilvl="6" w:tplc="E532574C" w:tentative="1">
      <w:start w:val="1"/>
      <w:numFmt w:val="bullet"/>
      <w:lvlText w:val="•"/>
      <w:lvlJc w:val="left"/>
      <w:pPr>
        <w:tabs>
          <w:tab w:val="num" w:pos="5040"/>
        </w:tabs>
        <w:ind w:left="5040" w:hanging="360"/>
      </w:pPr>
      <w:rPr>
        <w:rFonts w:ascii="Arial" w:hAnsi="Arial" w:hint="default"/>
      </w:rPr>
    </w:lvl>
    <w:lvl w:ilvl="7" w:tplc="76BA406A" w:tentative="1">
      <w:start w:val="1"/>
      <w:numFmt w:val="bullet"/>
      <w:lvlText w:val="•"/>
      <w:lvlJc w:val="left"/>
      <w:pPr>
        <w:tabs>
          <w:tab w:val="num" w:pos="5760"/>
        </w:tabs>
        <w:ind w:left="5760" w:hanging="360"/>
      </w:pPr>
      <w:rPr>
        <w:rFonts w:ascii="Arial" w:hAnsi="Arial" w:hint="default"/>
      </w:rPr>
    </w:lvl>
    <w:lvl w:ilvl="8" w:tplc="B6A80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2817455"/>
    <w:multiLevelType w:val="hybridMultilevel"/>
    <w:tmpl w:val="61F42782"/>
    <w:lvl w:ilvl="0" w:tplc="22B6F6AA">
      <w:start w:val="1"/>
      <w:numFmt w:val="bullet"/>
      <w:lvlText w:val="•"/>
      <w:lvlJc w:val="left"/>
      <w:pPr>
        <w:tabs>
          <w:tab w:val="num" w:pos="720"/>
        </w:tabs>
        <w:ind w:left="720" w:hanging="360"/>
      </w:pPr>
      <w:rPr>
        <w:rFonts w:ascii="Arial" w:hAnsi="Arial" w:hint="default"/>
      </w:rPr>
    </w:lvl>
    <w:lvl w:ilvl="1" w:tplc="5BD09AE8" w:tentative="1">
      <w:start w:val="1"/>
      <w:numFmt w:val="bullet"/>
      <w:lvlText w:val="•"/>
      <w:lvlJc w:val="left"/>
      <w:pPr>
        <w:tabs>
          <w:tab w:val="num" w:pos="1440"/>
        </w:tabs>
        <w:ind w:left="1440" w:hanging="360"/>
      </w:pPr>
      <w:rPr>
        <w:rFonts w:ascii="Arial" w:hAnsi="Arial" w:hint="default"/>
      </w:rPr>
    </w:lvl>
    <w:lvl w:ilvl="2" w:tplc="3D6A8188" w:tentative="1">
      <w:start w:val="1"/>
      <w:numFmt w:val="bullet"/>
      <w:lvlText w:val="•"/>
      <w:lvlJc w:val="left"/>
      <w:pPr>
        <w:tabs>
          <w:tab w:val="num" w:pos="2160"/>
        </w:tabs>
        <w:ind w:left="2160" w:hanging="360"/>
      </w:pPr>
      <w:rPr>
        <w:rFonts w:ascii="Arial" w:hAnsi="Arial" w:hint="default"/>
      </w:rPr>
    </w:lvl>
    <w:lvl w:ilvl="3" w:tplc="D66C9B82" w:tentative="1">
      <w:start w:val="1"/>
      <w:numFmt w:val="bullet"/>
      <w:lvlText w:val="•"/>
      <w:lvlJc w:val="left"/>
      <w:pPr>
        <w:tabs>
          <w:tab w:val="num" w:pos="2880"/>
        </w:tabs>
        <w:ind w:left="2880" w:hanging="360"/>
      </w:pPr>
      <w:rPr>
        <w:rFonts w:ascii="Arial" w:hAnsi="Arial" w:hint="default"/>
      </w:rPr>
    </w:lvl>
    <w:lvl w:ilvl="4" w:tplc="443C273C" w:tentative="1">
      <w:start w:val="1"/>
      <w:numFmt w:val="bullet"/>
      <w:lvlText w:val="•"/>
      <w:lvlJc w:val="left"/>
      <w:pPr>
        <w:tabs>
          <w:tab w:val="num" w:pos="3600"/>
        </w:tabs>
        <w:ind w:left="3600" w:hanging="360"/>
      </w:pPr>
      <w:rPr>
        <w:rFonts w:ascii="Arial" w:hAnsi="Arial" w:hint="default"/>
      </w:rPr>
    </w:lvl>
    <w:lvl w:ilvl="5" w:tplc="78BC21B8" w:tentative="1">
      <w:start w:val="1"/>
      <w:numFmt w:val="bullet"/>
      <w:lvlText w:val="•"/>
      <w:lvlJc w:val="left"/>
      <w:pPr>
        <w:tabs>
          <w:tab w:val="num" w:pos="4320"/>
        </w:tabs>
        <w:ind w:left="4320" w:hanging="360"/>
      </w:pPr>
      <w:rPr>
        <w:rFonts w:ascii="Arial" w:hAnsi="Arial" w:hint="default"/>
      </w:rPr>
    </w:lvl>
    <w:lvl w:ilvl="6" w:tplc="1B3C3398" w:tentative="1">
      <w:start w:val="1"/>
      <w:numFmt w:val="bullet"/>
      <w:lvlText w:val="•"/>
      <w:lvlJc w:val="left"/>
      <w:pPr>
        <w:tabs>
          <w:tab w:val="num" w:pos="5040"/>
        </w:tabs>
        <w:ind w:left="5040" w:hanging="360"/>
      </w:pPr>
      <w:rPr>
        <w:rFonts w:ascii="Arial" w:hAnsi="Arial" w:hint="default"/>
      </w:rPr>
    </w:lvl>
    <w:lvl w:ilvl="7" w:tplc="C3B8210A" w:tentative="1">
      <w:start w:val="1"/>
      <w:numFmt w:val="bullet"/>
      <w:lvlText w:val="•"/>
      <w:lvlJc w:val="left"/>
      <w:pPr>
        <w:tabs>
          <w:tab w:val="num" w:pos="5760"/>
        </w:tabs>
        <w:ind w:left="5760" w:hanging="360"/>
      </w:pPr>
      <w:rPr>
        <w:rFonts w:ascii="Arial" w:hAnsi="Arial" w:hint="default"/>
      </w:rPr>
    </w:lvl>
    <w:lvl w:ilvl="8" w:tplc="FFF648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266C"/>
    <w:rsid w:val="00005B18"/>
    <w:rsid w:val="00006CD3"/>
    <w:rsid w:val="0001066B"/>
    <w:rsid w:val="00010C90"/>
    <w:rsid w:val="00010F0E"/>
    <w:rsid w:val="0001237A"/>
    <w:rsid w:val="0001536D"/>
    <w:rsid w:val="00015512"/>
    <w:rsid w:val="0002115C"/>
    <w:rsid w:val="00021B16"/>
    <w:rsid w:val="000233D6"/>
    <w:rsid w:val="000308F5"/>
    <w:rsid w:val="0003163C"/>
    <w:rsid w:val="00036275"/>
    <w:rsid w:val="00040468"/>
    <w:rsid w:val="00042FD2"/>
    <w:rsid w:val="000443F3"/>
    <w:rsid w:val="000465CE"/>
    <w:rsid w:val="00051933"/>
    <w:rsid w:val="00053712"/>
    <w:rsid w:val="000551F7"/>
    <w:rsid w:val="00055F76"/>
    <w:rsid w:val="000576B2"/>
    <w:rsid w:val="000615AE"/>
    <w:rsid w:val="0006490C"/>
    <w:rsid w:val="000708AF"/>
    <w:rsid w:val="00070B50"/>
    <w:rsid w:val="0007121D"/>
    <w:rsid w:val="000716AB"/>
    <w:rsid w:val="00072833"/>
    <w:rsid w:val="000743D0"/>
    <w:rsid w:val="00083785"/>
    <w:rsid w:val="000867C6"/>
    <w:rsid w:val="00087EEE"/>
    <w:rsid w:val="00090280"/>
    <w:rsid w:val="00093E21"/>
    <w:rsid w:val="00097227"/>
    <w:rsid w:val="00097831"/>
    <w:rsid w:val="000A463E"/>
    <w:rsid w:val="000A5D18"/>
    <w:rsid w:val="000B0A3A"/>
    <w:rsid w:val="000B0D96"/>
    <w:rsid w:val="000B17CD"/>
    <w:rsid w:val="000B1906"/>
    <w:rsid w:val="000B2E7F"/>
    <w:rsid w:val="000B4480"/>
    <w:rsid w:val="000B5383"/>
    <w:rsid w:val="000C4697"/>
    <w:rsid w:val="000C5881"/>
    <w:rsid w:val="000D6597"/>
    <w:rsid w:val="000E1121"/>
    <w:rsid w:val="000E4790"/>
    <w:rsid w:val="000E5ACF"/>
    <w:rsid w:val="000E70BE"/>
    <w:rsid w:val="000E7CE9"/>
    <w:rsid w:val="000F3FE3"/>
    <w:rsid w:val="000F6410"/>
    <w:rsid w:val="000F6FAF"/>
    <w:rsid w:val="000F7FDC"/>
    <w:rsid w:val="00100033"/>
    <w:rsid w:val="001035C0"/>
    <w:rsid w:val="001108D8"/>
    <w:rsid w:val="00111F73"/>
    <w:rsid w:val="00120300"/>
    <w:rsid w:val="001250F5"/>
    <w:rsid w:val="001303E0"/>
    <w:rsid w:val="00131AA5"/>
    <w:rsid w:val="00131B3E"/>
    <w:rsid w:val="00131E1A"/>
    <w:rsid w:val="001324A9"/>
    <w:rsid w:val="00134E98"/>
    <w:rsid w:val="00141B66"/>
    <w:rsid w:val="001421F2"/>
    <w:rsid w:val="00142279"/>
    <w:rsid w:val="00144452"/>
    <w:rsid w:val="0014750E"/>
    <w:rsid w:val="0015174D"/>
    <w:rsid w:val="00152687"/>
    <w:rsid w:val="0015344D"/>
    <w:rsid w:val="00153C77"/>
    <w:rsid w:val="00156098"/>
    <w:rsid w:val="00160C8A"/>
    <w:rsid w:val="001623AC"/>
    <w:rsid w:val="0016381F"/>
    <w:rsid w:val="00163950"/>
    <w:rsid w:val="00163F40"/>
    <w:rsid w:val="001646E9"/>
    <w:rsid w:val="001656DE"/>
    <w:rsid w:val="00165B0E"/>
    <w:rsid w:val="00166A7E"/>
    <w:rsid w:val="001670F6"/>
    <w:rsid w:val="00167B0D"/>
    <w:rsid w:val="00173F74"/>
    <w:rsid w:val="00174E5B"/>
    <w:rsid w:val="0017630D"/>
    <w:rsid w:val="00177A86"/>
    <w:rsid w:val="001801CA"/>
    <w:rsid w:val="001860A2"/>
    <w:rsid w:val="001906F5"/>
    <w:rsid w:val="00191E73"/>
    <w:rsid w:val="0019238A"/>
    <w:rsid w:val="00194E46"/>
    <w:rsid w:val="001A0495"/>
    <w:rsid w:val="001A51B6"/>
    <w:rsid w:val="001B19AC"/>
    <w:rsid w:val="001C3457"/>
    <w:rsid w:val="001C564E"/>
    <w:rsid w:val="001C5F57"/>
    <w:rsid w:val="001C77EA"/>
    <w:rsid w:val="001D0DF4"/>
    <w:rsid w:val="001D5835"/>
    <w:rsid w:val="001D7435"/>
    <w:rsid w:val="001D7C30"/>
    <w:rsid w:val="001E1252"/>
    <w:rsid w:val="001E3840"/>
    <w:rsid w:val="001E3A09"/>
    <w:rsid w:val="001E3E63"/>
    <w:rsid w:val="001E4F7B"/>
    <w:rsid w:val="001F0D7E"/>
    <w:rsid w:val="001F44A0"/>
    <w:rsid w:val="001F5FB5"/>
    <w:rsid w:val="001F6359"/>
    <w:rsid w:val="001F7731"/>
    <w:rsid w:val="0020035E"/>
    <w:rsid w:val="00202AFF"/>
    <w:rsid w:val="00203339"/>
    <w:rsid w:val="002045C9"/>
    <w:rsid w:val="002064AB"/>
    <w:rsid w:val="00207E2B"/>
    <w:rsid w:val="002100B9"/>
    <w:rsid w:val="00210325"/>
    <w:rsid w:val="002111AD"/>
    <w:rsid w:val="002132CB"/>
    <w:rsid w:val="0022145A"/>
    <w:rsid w:val="00235CE9"/>
    <w:rsid w:val="00236E52"/>
    <w:rsid w:val="00237F92"/>
    <w:rsid w:val="002404E9"/>
    <w:rsid w:val="002404EA"/>
    <w:rsid w:val="00240777"/>
    <w:rsid w:val="00246CF4"/>
    <w:rsid w:val="00250697"/>
    <w:rsid w:val="002512DE"/>
    <w:rsid w:val="00251578"/>
    <w:rsid w:val="002610C0"/>
    <w:rsid w:val="00262ED8"/>
    <w:rsid w:val="00267386"/>
    <w:rsid w:val="0026742D"/>
    <w:rsid w:val="00267E9A"/>
    <w:rsid w:val="00267FEF"/>
    <w:rsid w:val="00272897"/>
    <w:rsid w:val="00273BAB"/>
    <w:rsid w:val="0027469B"/>
    <w:rsid w:val="00280CB3"/>
    <w:rsid w:val="002817BA"/>
    <w:rsid w:val="0028397B"/>
    <w:rsid w:val="00286808"/>
    <w:rsid w:val="0029146F"/>
    <w:rsid w:val="00293462"/>
    <w:rsid w:val="0029694B"/>
    <w:rsid w:val="00297A05"/>
    <w:rsid w:val="002A0384"/>
    <w:rsid w:val="002A08F8"/>
    <w:rsid w:val="002A1D91"/>
    <w:rsid w:val="002A2CCD"/>
    <w:rsid w:val="002A50B5"/>
    <w:rsid w:val="002A6446"/>
    <w:rsid w:val="002A69D7"/>
    <w:rsid w:val="002A7C25"/>
    <w:rsid w:val="002B3320"/>
    <w:rsid w:val="002B3D35"/>
    <w:rsid w:val="002B4B2F"/>
    <w:rsid w:val="002B7372"/>
    <w:rsid w:val="002C0B71"/>
    <w:rsid w:val="002C0C54"/>
    <w:rsid w:val="002C1A91"/>
    <w:rsid w:val="002C2D8E"/>
    <w:rsid w:val="002C3411"/>
    <w:rsid w:val="002C46CF"/>
    <w:rsid w:val="002D07F3"/>
    <w:rsid w:val="002D2374"/>
    <w:rsid w:val="002D65A3"/>
    <w:rsid w:val="002E0197"/>
    <w:rsid w:val="002E06D5"/>
    <w:rsid w:val="002E2BE8"/>
    <w:rsid w:val="002E306E"/>
    <w:rsid w:val="002E390D"/>
    <w:rsid w:val="002E571E"/>
    <w:rsid w:val="002E700A"/>
    <w:rsid w:val="002E772F"/>
    <w:rsid w:val="002F1F0E"/>
    <w:rsid w:val="002F5037"/>
    <w:rsid w:val="002F521B"/>
    <w:rsid w:val="002F535F"/>
    <w:rsid w:val="0030128F"/>
    <w:rsid w:val="00301A51"/>
    <w:rsid w:val="00304078"/>
    <w:rsid w:val="00304611"/>
    <w:rsid w:val="0030468D"/>
    <w:rsid w:val="003047F5"/>
    <w:rsid w:val="003064C3"/>
    <w:rsid w:val="00311E75"/>
    <w:rsid w:val="003126E3"/>
    <w:rsid w:val="00314BE9"/>
    <w:rsid w:val="003162DD"/>
    <w:rsid w:val="00320A28"/>
    <w:rsid w:val="0032159B"/>
    <w:rsid w:val="00322057"/>
    <w:rsid w:val="00323983"/>
    <w:rsid w:val="003266A6"/>
    <w:rsid w:val="00330DF5"/>
    <w:rsid w:val="00331C8F"/>
    <w:rsid w:val="00333164"/>
    <w:rsid w:val="00333C16"/>
    <w:rsid w:val="003342E0"/>
    <w:rsid w:val="00334E8A"/>
    <w:rsid w:val="0033680B"/>
    <w:rsid w:val="00344368"/>
    <w:rsid w:val="00344741"/>
    <w:rsid w:val="00344FBE"/>
    <w:rsid w:val="00345051"/>
    <w:rsid w:val="00347688"/>
    <w:rsid w:val="00347AEC"/>
    <w:rsid w:val="0035104C"/>
    <w:rsid w:val="0035346E"/>
    <w:rsid w:val="00363B45"/>
    <w:rsid w:val="00363FAD"/>
    <w:rsid w:val="00364312"/>
    <w:rsid w:val="00364C1A"/>
    <w:rsid w:val="00364C7A"/>
    <w:rsid w:val="00365688"/>
    <w:rsid w:val="00365B30"/>
    <w:rsid w:val="003700BE"/>
    <w:rsid w:val="00373296"/>
    <w:rsid w:val="003772A5"/>
    <w:rsid w:val="0038113B"/>
    <w:rsid w:val="00386C98"/>
    <w:rsid w:val="003873CB"/>
    <w:rsid w:val="003874A2"/>
    <w:rsid w:val="0039069B"/>
    <w:rsid w:val="00391668"/>
    <w:rsid w:val="003934B5"/>
    <w:rsid w:val="00397EB7"/>
    <w:rsid w:val="003A08EA"/>
    <w:rsid w:val="003A1D27"/>
    <w:rsid w:val="003A7CEB"/>
    <w:rsid w:val="003B591F"/>
    <w:rsid w:val="003B5D59"/>
    <w:rsid w:val="003B7AB7"/>
    <w:rsid w:val="003C1814"/>
    <w:rsid w:val="003C1CEC"/>
    <w:rsid w:val="003C47AC"/>
    <w:rsid w:val="003C67F5"/>
    <w:rsid w:val="003C7A1D"/>
    <w:rsid w:val="003D0FE7"/>
    <w:rsid w:val="003D2E2C"/>
    <w:rsid w:val="003D3BC2"/>
    <w:rsid w:val="003D66A4"/>
    <w:rsid w:val="003E0FB9"/>
    <w:rsid w:val="003E1073"/>
    <w:rsid w:val="003E2A0B"/>
    <w:rsid w:val="003E6DEE"/>
    <w:rsid w:val="003E73F4"/>
    <w:rsid w:val="003E7A0E"/>
    <w:rsid w:val="003F0B63"/>
    <w:rsid w:val="00402A5B"/>
    <w:rsid w:val="00403A09"/>
    <w:rsid w:val="004052F5"/>
    <w:rsid w:val="00406C2A"/>
    <w:rsid w:val="00415F09"/>
    <w:rsid w:val="00422526"/>
    <w:rsid w:val="00422CC8"/>
    <w:rsid w:val="00422DF0"/>
    <w:rsid w:val="00424B84"/>
    <w:rsid w:val="0043182C"/>
    <w:rsid w:val="0043239A"/>
    <w:rsid w:val="0043387D"/>
    <w:rsid w:val="00433DB6"/>
    <w:rsid w:val="00436E5A"/>
    <w:rsid w:val="00437600"/>
    <w:rsid w:val="00437F9F"/>
    <w:rsid w:val="004405BB"/>
    <w:rsid w:val="00442895"/>
    <w:rsid w:val="00443279"/>
    <w:rsid w:val="00443A6A"/>
    <w:rsid w:val="00443B74"/>
    <w:rsid w:val="00455A57"/>
    <w:rsid w:val="0045685B"/>
    <w:rsid w:val="0045758A"/>
    <w:rsid w:val="0045772B"/>
    <w:rsid w:val="00460602"/>
    <w:rsid w:val="00461D24"/>
    <w:rsid w:val="00465197"/>
    <w:rsid w:val="0047273E"/>
    <w:rsid w:val="00481352"/>
    <w:rsid w:val="004815A4"/>
    <w:rsid w:val="004815DD"/>
    <w:rsid w:val="00486881"/>
    <w:rsid w:val="00490EDC"/>
    <w:rsid w:val="00491DEC"/>
    <w:rsid w:val="00493545"/>
    <w:rsid w:val="00497E72"/>
    <w:rsid w:val="004A28F5"/>
    <w:rsid w:val="004A343D"/>
    <w:rsid w:val="004A3E3D"/>
    <w:rsid w:val="004A4903"/>
    <w:rsid w:val="004A4D2C"/>
    <w:rsid w:val="004A60DE"/>
    <w:rsid w:val="004A7257"/>
    <w:rsid w:val="004B0C7B"/>
    <w:rsid w:val="004B61D2"/>
    <w:rsid w:val="004C1A0D"/>
    <w:rsid w:val="004C2C37"/>
    <w:rsid w:val="004C4610"/>
    <w:rsid w:val="004D0C8C"/>
    <w:rsid w:val="004D2487"/>
    <w:rsid w:val="004D4D2F"/>
    <w:rsid w:val="004D4E8F"/>
    <w:rsid w:val="004D56C2"/>
    <w:rsid w:val="004E1388"/>
    <w:rsid w:val="004E5A8D"/>
    <w:rsid w:val="004E6804"/>
    <w:rsid w:val="004E709C"/>
    <w:rsid w:val="004F0957"/>
    <w:rsid w:val="004F6E6F"/>
    <w:rsid w:val="004F7D6F"/>
    <w:rsid w:val="00501A03"/>
    <w:rsid w:val="005026AE"/>
    <w:rsid w:val="00502B14"/>
    <w:rsid w:val="0051177A"/>
    <w:rsid w:val="005117AD"/>
    <w:rsid w:val="00513B41"/>
    <w:rsid w:val="00520014"/>
    <w:rsid w:val="00521A02"/>
    <w:rsid w:val="00521A51"/>
    <w:rsid w:val="005222D2"/>
    <w:rsid w:val="00522CA9"/>
    <w:rsid w:val="00522F43"/>
    <w:rsid w:val="005232C7"/>
    <w:rsid w:val="00523363"/>
    <w:rsid w:val="005239BA"/>
    <w:rsid w:val="005259C8"/>
    <w:rsid w:val="00526F52"/>
    <w:rsid w:val="0053252C"/>
    <w:rsid w:val="00533B10"/>
    <w:rsid w:val="00536C29"/>
    <w:rsid w:val="0053715D"/>
    <w:rsid w:val="00537889"/>
    <w:rsid w:val="005400A3"/>
    <w:rsid w:val="005425E3"/>
    <w:rsid w:val="00543E46"/>
    <w:rsid w:val="00545916"/>
    <w:rsid w:val="00545CA2"/>
    <w:rsid w:val="00550F85"/>
    <w:rsid w:val="00551498"/>
    <w:rsid w:val="0055433D"/>
    <w:rsid w:val="0056091F"/>
    <w:rsid w:val="00563615"/>
    <w:rsid w:val="005642E5"/>
    <w:rsid w:val="00571957"/>
    <w:rsid w:val="00576FE4"/>
    <w:rsid w:val="0057715C"/>
    <w:rsid w:val="00581FC5"/>
    <w:rsid w:val="00583327"/>
    <w:rsid w:val="00584BA2"/>
    <w:rsid w:val="005862E8"/>
    <w:rsid w:val="005916D8"/>
    <w:rsid w:val="00592FCD"/>
    <w:rsid w:val="005937A9"/>
    <w:rsid w:val="00594885"/>
    <w:rsid w:val="00594F29"/>
    <w:rsid w:val="0059646D"/>
    <w:rsid w:val="005A0843"/>
    <w:rsid w:val="005A44C5"/>
    <w:rsid w:val="005A63D8"/>
    <w:rsid w:val="005B0E75"/>
    <w:rsid w:val="005B1649"/>
    <w:rsid w:val="005B23CC"/>
    <w:rsid w:val="005B2D25"/>
    <w:rsid w:val="005B5C29"/>
    <w:rsid w:val="005C06C9"/>
    <w:rsid w:val="005C0D54"/>
    <w:rsid w:val="005C34EC"/>
    <w:rsid w:val="005C43FE"/>
    <w:rsid w:val="005C68B9"/>
    <w:rsid w:val="005C6A0A"/>
    <w:rsid w:val="005C7EFB"/>
    <w:rsid w:val="005D18E8"/>
    <w:rsid w:val="005D21B4"/>
    <w:rsid w:val="005D61DC"/>
    <w:rsid w:val="005E07C5"/>
    <w:rsid w:val="005E741C"/>
    <w:rsid w:val="005F12FB"/>
    <w:rsid w:val="005F25ED"/>
    <w:rsid w:val="005F38D4"/>
    <w:rsid w:val="005F3997"/>
    <w:rsid w:val="005F6B0F"/>
    <w:rsid w:val="00604FAE"/>
    <w:rsid w:val="00606EBE"/>
    <w:rsid w:val="0060751D"/>
    <w:rsid w:val="006078DC"/>
    <w:rsid w:val="00607D88"/>
    <w:rsid w:val="006100BF"/>
    <w:rsid w:val="006152FA"/>
    <w:rsid w:val="00615D1C"/>
    <w:rsid w:val="00620BAB"/>
    <w:rsid w:val="00620C9D"/>
    <w:rsid w:val="00623960"/>
    <w:rsid w:val="006242B3"/>
    <w:rsid w:val="00624F80"/>
    <w:rsid w:val="00630AF6"/>
    <w:rsid w:val="00634C2B"/>
    <w:rsid w:val="00635791"/>
    <w:rsid w:val="00636385"/>
    <w:rsid w:val="0063796F"/>
    <w:rsid w:val="00640506"/>
    <w:rsid w:val="00642397"/>
    <w:rsid w:val="0064386A"/>
    <w:rsid w:val="006439F3"/>
    <w:rsid w:val="00643C03"/>
    <w:rsid w:val="0064410B"/>
    <w:rsid w:val="0064551F"/>
    <w:rsid w:val="00651FD3"/>
    <w:rsid w:val="00652AAD"/>
    <w:rsid w:val="00654EFD"/>
    <w:rsid w:val="00657BD5"/>
    <w:rsid w:val="00660324"/>
    <w:rsid w:val="00661575"/>
    <w:rsid w:val="00662F5A"/>
    <w:rsid w:val="00663D81"/>
    <w:rsid w:val="0066739F"/>
    <w:rsid w:val="0067349A"/>
    <w:rsid w:val="00674335"/>
    <w:rsid w:val="006816E6"/>
    <w:rsid w:val="00682D73"/>
    <w:rsid w:val="0068316E"/>
    <w:rsid w:val="00683DCA"/>
    <w:rsid w:val="0068563C"/>
    <w:rsid w:val="00690DC4"/>
    <w:rsid w:val="00692521"/>
    <w:rsid w:val="006964E3"/>
    <w:rsid w:val="006A2377"/>
    <w:rsid w:val="006A5825"/>
    <w:rsid w:val="006A751A"/>
    <w:rsid w:val="006B030E"/>
    <w:rsid w:val="006B042A"/>
    <w:rsid w:val="006B405F"/>
    <w:rsid w:val="006B4D9A"/>
    <w:rsid w:val="006B51CF"/>
    <w:rsid w:val="006B7BBC"/>
    <w:rsid w:val="006C05BF"/>
    <w:rsid w:val="006C49EB"/>
    <w:rsid w:val="006C4D63"/>
    <w:rsid w:val="006C6B84"/>
    <w:rsid w:val="006D02C0"/>
    <w:rsid w:val="006D05AF"/>
    <w:rsid w:val="006D5828"/>
    <w:rsid w:val="006D6CBD"/>
    <w:rsid w:val="006D7AEA"/>
    <w:rsid w:val="006E255D"/>
    <w:rsid w:val="006F2F6F"/>
    <w:rsid w:val="006F557D"/>
    <w:rsid w:val="006F5D3B"/>
    <w:rsid w:val="006F78E6"/>
    <w:rsid w:val="00700087"/>
    <w:rsid w:val="00702293"/>
    <w:rsid w:val="00705191"/>
    <w:rsid w:val="00705FC5"/>
    <w:rsid w:val="007078EA"/>
    <w:rsid w:val="00711E34"/>
    <w:rsid w:val="007128B8"/>
    <w:rsid w:val="00714211"/>
    <w:rsid w:val="0072288B"/>
    <w:rsid w:val="00724874"/>
    <w:rsid w:val="00727A3B"/>
    <w:rsid w:val="00730965"/>
    <w:rsid w:val="0073405C"/>
    <w:rsid w:val="00742919"/>
    <w:rsid w:val="00742FA0"/>
    <w:rsid w:val="00744796"/>
    <w:rsid w:val="00744967"/>
    <w:rsid w:val="007518B8"/>
    <w:rsid w:val="007518D6"/>
    <w:rsid w:val="007545B5"/>
    <w:rsid w:val="00754C77"/>
    <w:rsid w:val="00754CDC"/>
    <w:rsid w:val="00761341"/>
    <w:rsid w:val="007709C7"/>
    <w:rsid w:val="007720FC"/>
    <w:rsid w:val="00774EEA"/>
    <w:rsid w:val="0077509E"/>
    <w:rsid w:val="00775237"/>
    <w:rsid w:val="00781EC2"/>
    <w:rsid w:val="00783DFB"/>
    <w:rsid w:val="00787A7F"/>
    <w:rsid w:val="00792609"/>
    <w:rsid w:val="00793832"/>
    <w:rsid w:val="00793E25"/>
    <w:rsid w:val="00794664"/>
    <w:rsid w:val="007946CF"/>
    <w:rsid w:val="007A44A2"/>
    <w:rsid w:val="007B0BD3"/>
    <w:rsid w:val="007B3181"/>
    <w:rsid w:val="007B3C6C"/>
    <w:rsid w:val="007B5C7B"/>
    <w:rsid w:val="007B5F88"/>
    <w:rsid w:val="007C072D"/>
    <w:rsid w:val="007C2263"/>
    <w:rsid w:val="007C266C"/>
    <w:rsid w:val="007C46E2"/>
    <w:rsid w:val="007D008F"/>
    <w:rsid w:val="007D0342"/>
    <w:rsid w:val="007D172E"/>
    <w:rsid w:val="007D5322"/>
    <w:rsid w:val="007E0B59"/>
    <w:rsid w:val="007E226B"/>
    <w:rsid w:val="007E5D46"/>
    <w:rsid w:val="007E644D"/>
    <w:rsid w:val="007F1449"/>
    <w:rsid w:val="00801CD9"/>
    <w:rsid w:val="00802835"/>
    <w:rsid w:val="008043C0"/>
    <w:rsid w:val="00805341"/>
    <w:rsid w:val="00806ADD"/>
    <w:rsid w:val="00807994"/>
    <w:rsid w:val="00810A83"/>
    <w:rsid w:val="00814F98"/>
    <w:rsid w:val="00815A24"/>
    <w:rsid w:val="00815D10"/>
    <w:rsid w:val="008203C0"/>
    <w:rsid w:val="00820D06"/>
    <w:rsid w:val="00821A3E"/>
    <w:rsid w:val="0082381C"/>
    <w:rsid w:val="00824AA3"/>
    <w:rsid w:val="00824F00"/>
    <w:rsid w:val="00830BA1"/>
    <w:rsid w:val="008318CA"/>
    <w:rsid w:val="00833083"/>
    <w:rsid w:val="00833668"/>
    <w:rsid w:val="008339EC"/>
    <w:rsid w:val="008364D5"/>
    <w:rsid w:val="00836BE7"/>
    <w:rsid w:val="00841D55"/>
    <w:rsid w:val="00842878"/>
    <w:rsid w:val="00842A7E"/>
    <w:rsid w:val="00843B21"/>
    <w:rsid w:val="00846008"/>
    <w:rsid w:val="00846597"/>
    <w:rsid w:val="00852A26"/>
    <w:rsid w:val="00854571"/>
    <w:rsid w:val="00854B74"/>
    <w:rsid w:val="008567BD"/>
    <w:rsid w:val="008570F8"/>
    <w:rsid w:val="00857CC7"/>
    <w:rsid w:val="008604C0"/>
    <w:rsid w:val="00862479"/>
    <w:rsid w:val="008631F5"/>
    <w:rsid w:val="00864C9D"/>
    <w:rsid w:val="00865943"/>
    <w:rsid w:val="00870849"/>
    <w:rsid w:val="008713E7"/>
    <w:rsid w:val="008734A4"/>
    <w:rsid w:val="0087797B"/>
    <w:rsid w:val="008811E6"/>
    <w:rsid w:val="00884F7B"/>
    <w:rsid w:val="0088507B"/>
    <w:rsid w:val="0088548B"/>
    <w:rsid w:val="0088799E"/>
    <w:rsid w:val="00890CE7"/>
    <w:rsid w:val="00890F35"/>
    <w:rsid w:val="0089619C"/>
    <w:rsid w:val="008A072C"/>
    <w:rsid w:val="008A3DA2"/>
    <w:rsid w:val="008A7351"/>
    <w:rsid w:val="008B0909"/>
    <w:rsid w:val="008B220A"/>
    <w:rsid w:val="008B599B"/>
    <w:rsid w:val="008B5DDD"/>
    <w:rsid w:val="008B7F35"/>
    <w:rsid w:val="008C0207"/>
    <w:rsid w:val="008C11B9"/>
    <w:rsid w:val="008C3987"/>
    <w:rsid w:val="008C48AB"/>
    <w:rsid w:val="008C505B"/>
    <w:rsid w:val="008C5BAC"/>
    <w:rsid w:val="008C5C37"/>
    <w:rsid w:val="008C6619"/>
    <w:rsid w:val="008D04E4"/>
    <w:rsid w:val="008D1200"/>
    <w:rsid w:val="008D2C32"/>
    <w:rsid w:val="008D2F74"/>
    <w:rsid w:val="008D5EA3"/>
    <w:rsid w:val="008D78A7"/>
    <w:rsid w:val="008E19FD"/>
    <w:rsid w:val="008E5AFF"/>
    <w:rsid w:val="008E6FAA"/>
    <w:rsid w:val="008E7105"/>
    <w:rsid w:val="008E79A2"/>
    <w:rsid w:val="008E7E43"/>
    <w:rsid w:val="008F0F41"/>
    <w:rsid w:val="008F13F0"/>
    <w:rsid w:val="008F20E6"/>
    <w:rsid w:val="008F20EC"/>
    <w:rsid w:val="008F28E9"/>
    <w:rsid w:val="008F4B51"/>
    <w:rsid w:val="008F51F0"/>
    <w:rsid w:val="008F7E16"/>
    <w:rsid w:val="00900068"/>
    <w:rsid w:val="0090685B"/>
    <w:rsid w:val="00907E67"/>
    <w:rsid w:val="00910CDB"/>
    <w:rsid w:val="009116AC"/>
    <w:rsid w:val="00914802"/>
    <w:rsid w:val="00914B2A"/>
    <w:rsid w:val="0091518D"/>
    <w:rsid w:val="009208C8"/>
    <w:rsid w:val="00920C7C"/>
    <w:rsid w:val="00920FE7"/>
    <w:rsid w:val="0092285C"/>
    <w:rsid w:val="009229FE"/>
    <w:rsid w:val="00927D8D"/>
    <w:rsid w:val="0093122A"/>
    <w:rsid w:val="00933070"/>
    <w:rsid w:val="009334CA"/>
    <w:rsid w:val="009337B4"/>
    <w:rsid w:val="00934AFB"/>
    <w:rsid w:val="00936B8F"/>
    <w:rsid w:val="00936C9F"/>
    <w:rsid w:val="00937EE7"/>
    <w:rsid w:val="00941626"/>
    <w:rsid w:val="00941CBF"/>
    <w:rsid w:val="00942559"/>
    <w:rsid w:val="009469D2"/>
    <w:rsid w:val="0095037D"/>
    <w:rsid w:val="00952D23"/>
    <w:rsid w:val="00953781"/>
    <w:rsid w:val="00954E17"/>
    <w:rsid w:val="00956E38"/>
    <w:rsid w:val="00960465"/>
    <w:rsid w:val="00962D09"/>
    <w:rsid w:val="009639F7"/>
    <w:rsid w:val="00966B3A"/>
    <w:rsid w:val="0097313A"/>
    <w:rsid w:val="00974D2F"/>
    <w:rsid w:val="00974ED5"/>
    <w:rsid w:val="00975204"/>
    <w:rsid w:val="0097624A"/>
    <w:rsid w:val="00981BF1"/>
    <w:rsid w:val="0098338F"/>
    <w:rsid w:val="00984C94"/>
    <w:rsid w:val="009850FB"/>
    <w:rsid w:val="00986868"/>
    <w:rsid w:val="0099225C"/>
    <w:rsid w:val="00992DA1"/>
    <w:rsid w:val="00994B00"/>
    <w:rsid w:val="00997C39"/>
    <w:rsid w:val="009A3708"/>
    <w:rsid w:val="009A6125"/>
    <w:rsid w:val="009A6214"/>
    <w:rsid w:val="009B0A4D"/>
    <w:rsid w:val="009B2B7A"/>
    <w:rsid w:val="009B2BC8"/>
    <w:rsid w:val="009B7D90"/>
    <w:rsid w:val="009C180F"/>
    <w:rsid w:val="009C2A62"/>
    <w:rsid w:val="009C58AE"/>
    <w:rsid w:val="009C7BA3"/>
    <w:rsid w:val="009D26C6"/>
    <w:rsid w:val="009D2C1F"/>
    <w:rsid w:val="009D355A"/>
    <w:rsid w:val="009D3827"/>
    <w:rsid w:val="009E3210"/>
    <w:rsid w:val="009E4ED3"/>
    <w:rsid w:val="009E636B"/>
    <w:rsid w:val="009E722F"/>
    <w:rsid w:val="009F5C60"/>
    <w:rsid w:val="00A00056"/>
    <w:rsid w:val="00A00062"/>
    <w:rsid w:val="00A011B4"/>
    <w:rsid w:val="00A01B6C"/>
    <w:rsid w:val="00A0256C"/>
    <w:rsid w:val="00A0432F"/>
    <w:rsid w:val="00A0542E"/>
    <w:rsid w:val="00A05A46"/>
    <w:rsid w:val="00A05FB9"/>
    <w:rsid w:val="00A10593"/>
    <w:rsid w:val="00A13737"/>
    <w:rsid w:val="00A144E6"/>
    <w:rsid w:val="00A169B6"/>
    <w:rsid w:val="00A176F0"/>
    <w:rsid w:val="00A24839"/>
    <w:rsid w:val="00A25568"/>
    <w:rsid w:val="00A30ECF"/>
    <w:rsid w:val="00A32D40"/>
    <w:rsid w:val="00A333FC"/>
    <w:rsid w:val="00A33ACB"/>
    <w:rsid w:val="00A34EE2"/>
    <w:rsid w:val="00A36150"/>
    <w:rsid w:val="00A36311"/>
    <w:rsid w:val="00A37946"/>
    <w:rsid w:val="00A4169F"/>
    <w:rsid w:val="00A44B54"/>
    <w:rsid w:val="00A45584"/>
    <w:rsid w:val="00A45D74"/>
    <w:rsid w:val="00A52BA4"/>
    <w:rsid w:val="00A62F3E"/>
    <w:rsid w:val="00A6387D"/>
    <w:rsid w:val="00A63BC8"/>
    <w:rsid w:val="00A6596A"/>
    <w:rsid w:val="00A66D5A"/>
    <w:rsid w:val="00A70295"/>
    <w:rsid w:val="00A716EC"/>
    <w:rsid w:val="00A7240F"/>
    <w:rsid w:val="00A73F48"/>
    <w:rsid w:val="00A75A2C"/>
    <w:rsid w:val="00A77E5F"/>
    <w:rsid w:val="00A80104"/>
    <w:rsid w:val="00A81322"/>
    <w:rsid w:val="00A831F1"/>
    <w:rsid w:val="00A838C2"/>
    <w:rsid w:val="00A83D00"/>
    <w:rsid w:val="00A84E46"/>
    <w:rsid w:val="00A86B90"/>
    <w:rsid w:val="00A86F77"/>
    <w:rsid w:val="00A91B6E"/>
    <w:rsid w:val="00A91C34"/>
    <w:rsid w:val="00A93DD9"/>
    <w:rsid w:val="00A95434"/>
    <w:rsid w:val="00AA035D"/>
    <w:rsid w:val="00AA096C"/>
    <w:rsid w:val="00AA13E8"/>
    <w:rsid w:val="00AA2502"/>
    <w:rsid w:val="00AA4455"/>
    <w:rsid w:val="00AA51DB"/>
    <w:rsid w:val="00AA6BF9"/>
    <w:rsid w:val="00AB19D8"/>
    <w:rsid w:val="00AB1CAF"/>
    <w:rsid w:val="00AB1DDF"/>
    <w:rsid w:val="00AB4D8E"/>
    <w:rsid w:val="00AD023C"/>
    <w:rsid w:val="00AD2A21"/>
    <w:rsid w:val="00AD3526"/>
    <w:rsid w:val="00AD527D"/>
    <w:rsid w:val="00AF066A"/>
    <w:rsid w:val="00AF2237"/>
    <w:rsid w:val="00AF6FFF"/>
    <w:rsid w:val="00AF714C"/>
    <w:rsid w:val="00B01A4D"/>
    <w:rsid w:val="00B02DD6"/>
    <w:rsid w:val="00B03E35"/>
    <w:rsid w:val="00B0586A"/>
    <w:rsid w:val="00B05C45"/>
    <w:rsid w:val="00B06F22"/>
    <w:rsid w:val="00B15DC2"/>
    <w:rsid w:val="00B1764A"/>
    <w:rsid w:val="00B20F31"/>
    <w:rsid w:val="00B23412"/>
    <w:rsid w:val="00B25B98"/>
    <w:rsid w:val="00B2730F"/>
    <w:rsid w:val="00B32280"/>
    <w:rsid w:val="00B42F43"/>
    <w:rsid w:val="00B45CE8"/>
    <w:rsid w:val="00B47077"/>
    <w:rsid w:val="00B47E45"/>
    <w:rsid w:val="00B47ED3"/>
    <w:rsid w:val="00B6003E"/>
    <w:rsid w:val="00B646E8"/>
    <w:rsid w:val="00B66706"/>
    <w:rsid w:val="00B671F3"/>
    <w:rsid w:val="00B7065E"/>
    <w:rsid w:val="00B75A4A"/>
    <w:rsid w:val="00B76779"/>
    <w:rsid w:val="00B76FB0"/>
    <w:rsid w:val="00B818E0"/>
    <w:rsid w:val="00B82D62"/>
    <w:rsid w:val="00B911F6"/>
    <w:rsid w:val="00B93BA2"/>
    <w:rsid w:val="00B96600"/>
    <w:rsid w:val="00B96BBF"/>
    <w:rsid w:val="00BA1FA3"/>
    <w:rsid w:val="00BA2D30"/>
    <w:rsid w:val="00BA2FEE"/>
    <w:rsid w:val="00BA40BC"/>
    <w:rsid w:val="00BA58E7"/>
    <w:rsid w:val="00BA791F"/>
    <w:rsid w:val="00BB4182"/>
    <w:rsid w:val="00BB4BD6"/>
    <w:rsid w:val="00BB5382"/>
    <w:rsid w:val="00BB5E06"/>
    <w:rsid w:val="00BB7EF2"/>
    <w:rsid w:val="00BC0F9D"/>
    <w:rsid w:val="00BC3AFD"/>
    <w:rsid w:val="00BC56A7"/>
    <w:rsid w:val="00BC6426"/>
    <w:rsid w:val="00BC6507"/>
    <w:rsid w:val="00BC6981"/>
    <w:rsid w:val="00BC7810"/>
    <w:rsid w:val="00BD102C"/>
    <w:rsid w:val="00BD456A"/>
    <w:rsid w:val="00BD5033"/>
    <w:rsid w:val="00BD50E0"/>
    <w:rsid w:val="00BE037A"/>
    <w:rsid w:val="00BE072B"/>
    <w:rsid w:val="00BE1860"/>
    <w:rsid w:val="00BE6927"/>
    <w:rsid w:val="00BF26A6"/>
    <w:rsid w:val="00BF2BA7"/>
    <w:rsid w:val="00C03BEB"/>
    <w:rsid w:val="00C05D4E"/>
    <w:rsid w:val="00C102CC"/>
    <w:rsid w:val="00C104DF"/>
    <w:rsid w:val="00C10944"/>
    <w:rsid w:val="00C10D84"/>
    <w:rsid w:val="00C22299"/>
    <w:rsid w:val="00C22B0F"/>
    <w:rsid w:val="00C23DDA"/>
    <w:rsid w:val="00C253CB"/>
    <w:rsid w:val="00C25AB3"/>
    <w:rsid w:val="00C26304"/>
    <w:rsid w:val="00C27498"/>
    <w:rsid w:val="00C40BDD"/>
    <w:rsid w:val="00C50BC1"/>
    <w:rsid w:val="00C531B5"/>
    <w:rsid w:val="00C53B24"/>
    <w:rsid w:val="00C611EA"/>
    <w:rsid w:val="00C613AB"/>
    <w:rsid w:val="00C6552D"/>
    <w:rsid w:val="00C80280"/>
    <w:rsid w:val="00C83342"/>
    <w:rsid w:val="00C84EDE"/>
    <w:rsid w:val="00C86579"/>
    <w:rsid w:val="00C86759"/>
    <w:rsid w:val="00C86859"/>
    <w:rsid w:val="00C923F2"/>
    <w:rsid w:val="00C949F5"/>
    <w:rsid w:val="00C95250"/>
    <w:rsid w:val="00CA0617"/>
    <w:rsid w:val="00CA25EF"/>
    <w:rsid w:val="00CA26BA"/>
    <w:rsid w:val="00CA2ECB"/>
    <w:rsid w:val="00CA3857"/>
    <w:rsid w:val="00CC0ED8"/>
    <w:rsid w:val="00CC3910"/>
    <w:rsid w:val="00CC42D6"/>
    <w:rsid w:val="00CC674C"/>
    <w:rsid w:val="00CD0E7D"/>
    <w:rsid w:val="00CD1053"/>
    <w:rsid w:val="00CD534F"/>
    <w:rsid w:val="00CE06A6"/>
    <w:rsid w:val="00CE0AA2"/>
    <w:rsid w:val="00CE0BB9"/>
    <w:rsid w:val="00CE14E4"/>
    <w:rsid w:val="00CE37E6"/>
    <w:rsid w:val="00CE445D"/>
    <w:rsid w:val="00CE670A"/>
    <w:rsid w:val="00CE7073"/>
    <w:rsid w:val="00CF11A1"/>
    <w:rsid w:val="00CF1507"/>
    <w:rsid w:val="00CF6E44"/>
    <w:rsid w:val="00CF7713"/>
    <w:rsid w:val="00D0128E"/>
    <w:rsid w:val="00D06F3D"/>
    <w:rsid w:val="00D0782A"/>
    <w:rsid w:val="00D11B6A"/>
    <w:rsid w:val="00D11F48"/>
    <w:rsid w:val="00D1213E"/>
    <w:rsid w:val="00D1283B"/>
    <w:rsid w:val="00D176FC"/>
    <w:rsid w:val="00D17840"/>
    <w:rsid w:val="00D25DE6"/>
    <w:rsid w:val="00D271BC"/>
    <w:rsid w:val="00D27AEF"/>
    <w:rsid w:val="00D31B06"/>
    <w:rsid w:val="00D3210B"/>
    <w:rsid w:val="00D330B1"/>
    <w:rsid w:val="00D33B30"/>
    <w:rsid w:val="00D351C2"/>
    <w:rsid w:val="00D413E8"/>
    <w:rsid w:val="00D4484F"/>
    <w:rsid w:val="00D52E21"/>
    <w:rsid w:val="00D5518D"/>
    <w:rsid w:val="00D62D02"/>
    <w:rsid w:val="00D65B88"/>
    <w:rsid w:val="00D7028E"/>
    <w:rsid w:val="00D7177F"/>
    <w:rsid w:val="00D71C17"/>
    <w:rsid w:val="00D77949"/>
    <w:rsid w:val="00D831FD"/>
    <w:rsid w:val="00D835B3"/>
    <w:rsid w:val="00D858E4"/>
    <w:rsid w:val="00D85E00"/>
    <w:rsid w:val="00D86BBC"/>
    <w:rsid w:val="00D8715A"/>
    <w:rsid w:val="00D878DE"/>
    <w:rsid w:val="00D935D7"/>
    <w:rsid w:val="00D94A06"/>
    <w:rsid w:val="00DA19F3"/>
    <w:rsid w:val="00DA61FA"/>
    <w:rsid w:val="00DB2B43"/>
    <w:rsid w:val="00DB337A"/>
    <w:rsid w:val="00DB7D91"/>
    <w:rsid w:val="00DC0A0B"/>
    <w:rsid w:val="00DC4160"/>
    <w:rsid w:val="00DC4DC4"/>
    <w:rsid w:val="00DC4F29"/>
    <w:rsid w:val="00DC66B9"/>
    <w:rsid w:val="00DC7367"/>
    <w:rsid w:val="00DD0206"/>
    <w:rsid w:val="00DD053B"/>
    <w:rsid w:val="00DD2031"/>
    <w:rsid w:val="00DD2D2B"/>
    <w:rsid w:val="00DD7BCC"/>
    <w:rsid w:val="00DE178B"/>
    <w:rsid w:val="00DE3423"/>
    <w:rsid w:val="00DE3743"/>
    <w:rsid w:val="00DF0251"/>
    <w:rsid w:val="00DF51D9"/>
    <w:rsid w:val="00DF7326"/>
    <w:rsid w:val="00DF73EE"/>
    <w:rsid w:val="00E00311"/>
    <w:rsid w:val="00E009B6"/>
    <w:rsid w:val="00E016A5"/>
    <w:rsid w:val="00E01E83"/>
    <w:rsid w:val="00E048A9"/>
    <w:rsid w:val="00E04DBA"/>
    <w:rsid w:val="00E126AD"/>
    <w:rsid w:val="00E126B6"/>
    <w:rsid w:val="00E1445B"/>
    <w:rsid w:val="00E1610E"/>
    <w:rsid w:val="00E21F7F"/>
    <w:rsid w:val="00E36336"/>
    <w:rsid w:val="00E36D76"/>
    <w:rsid w:val="00E425AF"/>
    <w:rsid w:val="00E42CF9"/>
    <w:rsid w:val="00E43245"/>
    <w:rsid w:val="00E45A32"/>
    <w:rsid w:val="00E467F0"/>
    <w:rsid w:val="00E46A1A"/>
    <w:rsid w:val="00E472AC"/>
    <w:rsid w:val="00E501F1"/>
    <w:rsid w:val="00E511C1"/>
    <w:rsid w:val="00E5207C"/>
    <w:rsid w:val="00E55570"/>
    <w:rsid w:val="00E55CE2"/>
    <w:rsid w:val="00E57AED"/>
    <w:rsid w:val="00E60520"/>
    <w:rsid w:val="00E62034"/>
    <w:rsid w:val="00E6228C"/>
    <w:rsid w:val="00E72649"/>
    <w:rsid w:val="00E767A5"/>
    <w:rsid w:val="00E77CEE"/>
    <w:rsid w:val="00E833BB"/>
    <w:rsid w:val="00E83A69"/>
    <w:rsid w:val="00E83D75"/>
    <w:rsid w:val="00E87302"/>
    <w:rsid w:val="00E91ABB"/>
    <w:rsid w:val="00E92C9E"/>
    <w:rsid w:val="00E9364C"/>
    <w:rsid w:val="00E970DE"/>
    <w:rsid w:val="00E9716A"/>
    <w:rsid w:val="00EA22CA"/>
    <w:rsid w:val="00EA4A4A"/>
    <w:rsid w:val="00EA6D0C"/>
    <w:rsid w:val="00EB004E"/>
    <w:rsid w:val="00EB20B0"/>
    <w:rsid w:val="00EB2D48"/>
    <w:rsid w:val="00EB3750"/>
    <w:rsid w:val="00EB38BA"/>
    <w:rsid w:val="00EB78D1"/>
    <w:rsid w:val="00EC008B"/>
    <w:rsid w:val="00EC2CF1"/>
    <w:rsid w:val="00EC417F"/>
    <w:rsid w:val="00EC4E85"/>
    <w:rsid w:val="00EC4EBD"/>
    <w:rsid w:val="00EC6C90"/>
    <w:rsid w:val="00ED0A88"/>
    <w:rsid w:val="00ED19D6"/>
    <w:rsid w:val="00ED3B4C"/>
    <w:rsid w:val="00EE32E5"/>
    <w:rsid w:val="00EE683F"/>
    <w:rsid w:val="00EE6B87"/>
    <w:rsid w:val="00EE6C38"/>
    <w:rsid w:val="00EE6CBD"/>
    <w:rsid w:val="00EE7349"/>
    <w:rsid w:val="00F02278"/>
    <w:rsid w:val="00F03639"/>
    <w:rsid w:val="00F0579F"/>
    <w:rsid w:val="00F065E6"/>
    <w:rsid w:val="00F07931"/>
    <w:rsid w:val="00F165B4"/>
    <w:rsid w:val="00F16FAB"/>
    <w:rsid w:val="00F21A3F"/>
    <w:rsid w:val="00F258D4"/>
    <w:rsid w:val="00F25BFB"/>
    <w:rsid w:val="00F27D7A"/>
    <w:rsid w:val="00F31E42"/>
    <w:rsid w:val="00F33B6E"/>
    <w:rsid w:val="00F356DE"/>
    <w:rsid w:val="00F420AF"/>
    <w:rsid w:val="00F43FAD"/>
    <w:rsid w:val="00F46690"/>
    <w:rsid w:val="00F516D4"/>
    <w:rsid w:val="00F55DB3"/>
    <w:rsid w:val="00F67913"/>
    <w:rsid w:val="00F714B8"/>
    <w:rsid w:val="00F74619"/>
    <w:rsid w:val="00F76D19"/>
    <w:rsid w:val="00F8008B"/>
    <w:rsid w:val="00F81367"/>
    <w:rsid w:val="00F81A74"/>
    <w:rsid w:val="00F8556B"/>
    <w:rsid w:val="00F916A8"/>
    <w:rsid w:val="00F91733"/>
    <w:rsid w:val="00F91B29"/>
    <w:rsid w:val="00F929F0"/>
    <w:rsid w:val="00F9366C"/>
    <w:rsid w:val="00F957A5"/>
    <w:rsid w:val="00F97447"/>
    <w:rsid w:val="00F97841"/>
    <w:rsid w:val="00FA2CB8"/>
    <w:rsid w:val="00FA5E81"/>
    <w:rsid w:val="00FA6364"/>
    <w:rsid w:val="00FA6726"/>
    <w:rsid w:val="00FA6E62"/>
    <w:rsid w:val="00FB165A"/>
    <w:rsid w:val="00FB26D3"/>
    <w:rsid w:val="00FB2AD1"/>
    <w:rsid w:val="00FB321D"/>
    <w:rsid w:val="00FB34F6"/>
    <w:rsid w:val="00FB3873"/>
    <w:rsid w:val="00FB401A"/>
    <w:rsid w:val="00FB673B"/>
    <w:rsid w:val="00FB76E5"/>
    <w:rsid w:val="00FB7F66"/>
    <w:rsid w:val="00FC2B56"/>
    <w:rsid w:val="00FC5AE2"/>
    <w:rsid w:val="00FC6948"/>
    <w:rsid w:val="00FC7E7E"/>
    <w:rsid w:val="00FD0371"/>
    <w:rsid w:val="00FD06CD"/>
    <w:rsid w:val="00FD25E0"/>
    <w:rsid w:val="00FD5EA4"/>
    <w:rsid w:val="00FE0701"/>
    <w:rsid w:val="00FE0F0F"/>
    <w:rsid w:val="00FE134C"/>
    <w:rsid w:val="00FE2C04"/>
    <w:rsid w:val="00FE5686"/>
    <w:rsid w:val="00FF0695"/>
    <w:rsid w:val="00FF1816"/>
    <w:rsid w:val="00FF23EB"/>
    <w:rsid w:val="00FF285F"/>
    <w:rsid w:val="00FF3686"/>
    <w:rsid w:val="00FF58E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character" w:styleId="Hyperlink">
    <w:name w:val="Hyperlink"/>
    <w:basedOn w:val="DefaultParagraphFont"/>
    <w:uiPriority w:val="99"/>
    <w:unhideWhenUsed/>
    <w:rsid w:val="00E87302"/>
    <w:rPr>
      <w:color w:val="0000FF"/>
      <w:u w:val="single"/>
    </w:rPr>
  </w:style>
  <w:style w:type="paragraph" w:customStyle="1" w:styleId="tv213">
    <w:name w:val="tv213"/>
    <w:basedOn w:val="Normal"/>
    <w:rsid w:val="00952D23"/>
    <w:pPr>
      <w:spacing w:before="100" w:beforeAutospacing="1" w:after="100" w:afterAutospacing="1"/>
    </w:pPr>
    <w:rPr>
      <w:lang w:eastAsia="lv-LV"/>
    </w:rPr>
  </w:style>
  <w:style w:type="character" w:customStyle="1" w:styleId="fontsize2">
    <w:name w:val="fontsize2"/>
    <w:basedOn w:val="DefaultParagraphFont"/>
    <w:rsid w:val="00952D23"/>
  </w:style>
  <w:style w:type="character" w:customStyle="1" w:styleId="UnresolvedMention1">
    <w:name w:val="Unresolved Mention1"/>
    <w:basedOn w:val="DefaultParagraphFont"/>
    <w:uiPriority w:val="99"/>
    <w:semiHidden/>
    <w:unhideWhenUsed/>
    <w:rsid w:val="00280CB3"/>
    <w:rPr>
      <w:color w:val="605E5C"/>
      <w:shd w:val="clear" w:color="auto" w:fill="E1DFDD"/>
    </w:rPr>
  </w:style>
  <w:style w:type="character" w:styleId="UnresolvedMention">
    <w:name w:val="Unresolved Mention"/>
    <w:basedOn w:val="DefaultParagraphFont"/>
    <w:uiPriority w:val="99"/>
    <w:semiHidden/>
    <w:unhideWhenUsed/>
    <w:rsid w:val="00FB34F6"/>
    <w:rPr>
      <w:color w:val="605E5C"/>
      <w:shd w:val="clear" w:color="auto" w:fill="E1DFDD"/>
    </w:rPr>
  </w:style>
  <w:style w:type="character" w:styleId="FollowedHyperlink">
    <w:name w:val="FollowedHyperlink"/>
    <w:basedOn w:val="DefaultParagraphFont"/>
    <w:uiPriority w:val="99"/>
    <w:semiHidden/>
    <w:unhideWhenUsed/>
    <w:rsid w:val="00FB3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6595">
      <w:bodyDiv w:val="1"/>
      <w:marLeft w:val="0"/>
      <w:marRight w:val="0"/>
      <w:marTop w:val="0"/>
      <w:marBottom w:val="0"/>
      <w:divBdr>
        <w:top w:val="none" w:sz="0" w:space="0" w:color="auto"/>
        <w:left w:val="none" w:sz="0" w:space="0" w:color="auto"/>
        <w:bottom w:val="none" w:sz="0" w:space="0" w:color="auto"/>
        <w:right w:val="none" w:sz="0" w:space="0" w:color="auto"/>
      </w:divBdr>
    </w:div>
    <w:div w:id="472915709">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71688610">
      <w:bodyDiv w:val="1"/>
      <w:marLeft w:val="0"/>
      <w:marRight w:val="0"/>
      <w:marTop w:val="0"/>
      <w:marBottom w:val="0"/>
      <w:divBdr>
        <w:top w:val="none" w:sz="0" w:space="0" w:color="auto"/>
        <w:left w:val="none" w:sz="0" w:space="0" w:color="auto"/>
        <w:bottom w:val="none" w:sz="0" w:space="0" w:color="auto"/>
        <w:right w:val="none" w:sz="0" w:space="0" w:color="auto"/>
      </w:divBdr>
    </w:div>
    <w:div w:id="68913740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861866754">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1169102447">
      <w:bodyDiv w:val="1"/>
      <w:marLeft w:val="0"/>
      <w:marRight w:val="0"/>
      <w:marTop w:val="0"/>
      <w:marBottom w:val="0"/>
      <w:divBdr>
        <w:top w:val="none" w:sz="0" w:space="0" w:color="auto"/>
        <w:left w:val="none" w:sz="0" w:space="0" w:color="auto"/>
        <w:bottom w:val="none" w:sz="0" w:space="0" w:color="auto"/>
        <w:right w:val="none" w:sz="0" w:space="0" w:color="auto"/>
      </w:divBdr>
    </w:div>
    <w:div w:id="1171292050">
      <w:bodyDiv w:val="1"/>
      <w:marLeft w:val="0"/>
      <w:marRight w:val="0"/>
      <w:marTop w:val="0"/>
      <w:marBottom w:val="0"/>
      <w:divBdr>
        <w:top w:val="none" w:sz="0" w:space="0" w:color="auto"/>
        <w:left w:val="none" w:sz="0" w:space="0" w:color="auto"/>
        <w:bottom w:val="none" w:sz="0" w:space="0" w:color="auto"/>
        <w:right w:val="none" w:sz="0" w:space="0" w:color="auto"/>
      </w:divBdr>
    </w:div>
    <w:div w:id="1203833948">
      <w:bodyDiv w:val="1"/>
      <w:marLeft w:val="0"/>
      <w:marRight w:val="0"/>
      <w:marTop w:val="0"/>
      <w:marBottom w:val="0"/>
      <w:divBdr>
        <w:top w:val="none" w:sz="0" w:space="0" w:color="auto"/>
        <w:left w:val="none" w:sz="0" w:space="0" w:color="auto"/>
        <w:bottom w:val="none" w:sz="0" w:space="0" w:color="auto"/>
        <w:right w:val="none" w:sz="0" w:space="0" w:color="auto"/>
      </w:divBdr>
    </w:div>
    <w:div w:id="1221526361">
      <w:bodyDiv w:val="1"/>
      <w:marLeft w:val="0"/>
      <w:marRight w:val="0"/>
      <w:marTop w:val="0"/>
      <w:marBottom w:val="0"/>
      <w:divBdr>
        <w:top w:val="none" w:sz="0" w:space="0" w:color="auto"/>
        <w:left w:val="none" w:sz="0" w:space="0" w:color="auto"/>
        <w:bottom w:val="none" w:sz="0" w:space="0" w:color="auto"/>
        <w:right w:val="none" w:sz="0" w:space="0" w:color="auto"/>
      </w:divBdr>
    </w:div>
    <w:div w:id="1272199131">
      <w:bodyDiv w:val="1"/>
      <w:marLeft w:val="0"/>
      <w:marRight w:val="0"/>
      <w:marTop w:val="0"/>
      <w:marBottom w:val="0"/>
      <w:divBdr>
        <w:top w:val="none" w:sz="0" w:space="0" w:color="auto"/>
        <w:left w:val="none" w:sz="0" w:space="0" w:color="auto"/>
        <w:bottom w:val="none" w:sz="0" w:space="0" w:color="auto"/>
        <w:right w:val="none" w:sz="0" w:space="0" w:color="auto"/>
      </w:divBdr>
      <w:divsChild>
        <w:div w:id="333343996">
          <w:marLeft w:val="360"/>
          <w:marRight w:val="0"/>
          <w:marTop w:val="200"/>
          <w:marBottom w:val="0"/>
          <w:divBdr>
            <w:top w:val="none" w:sz="0" w:space="0" w:color="auto"/>
            <w:left w:val="none" w:sz="0" w:space="0" w:color="auto"/>
            <w:bottom w:val="none" w:sz="0" w:space="0" w:color="auto"/>
            <w:right w:val="none" w:sz="0" w:space="0" w:color="auto"/>
          </w:divBdr>
        </w:div>
        <w:div w:id="1318850399">
          <w:marLeft w:val="360"/>
          <w:marRight w:val="0"/>
          <w:marTop w:val="200"/>
          <w:marBottom w:val="0"/>
          <w:divBdr>
            <w:top w:val="none" w:sz="0" w:space="0" w:color="auto"/>
            <w:left w:val="none" w:sz="0" w:space="0" w:color="auto"/>
            <w:bottom w:val="none" w:sz="0" w:space="0" w:color="auto"/>
            <w:right w:val="none" w:sz="0" w:space="0" w:color="auto"/>
          </w:divBdr>
        </w:div>
        <w:div w:id="539903563">
          <w:marLeft w:val="360"/>
          <w:marRight w:val="0"/>
          <w:marTop w:val="200"/>
          <w:marBottom w:val="0"/>
          <w:divBdr>
            <w:top w:val="none" w:sz="0" w:space="0" w:color="auto"/>
            <w:left w:val="none" w:sz="0" w:space="0" w:color="auto"/>
            <w:bottom w:val="none" w:sz="0" w:space="0" w:color="auto"/>
            <w:right w:val="none" w:sz="0" w:space="0" w:color="auto"/>
          </w:divBdr>
        </w:div>
      </w:divsChild>
    </w:div>
    <w:div w:id="1373992736">
      <w:bodyDiv w:val="1"/>
      <w:marLeft w:val="0"/>
      <w:marRight w:val="0"/>
      <w:marTop w:val="0"/>
      <w:marBottom w:val="0"/>
      <w:divBdr>
        <w:top w:val="none" w:sz="0" w:space="0" w:color="auto"/>
        <w:left w:val="none" w:sz="0" w:space="0" w:color="auto"/>
        <w:bottom w:val="none" w:sz="0" w:space="0" w:color="auto"/>
        <w:right w:val="none" w:sz="0" w:space="0" w:color="auto"/>
      </w:divBdr>
      <w:divsChild>
        <w:div w:id="1113668809">
          <w:marLeft w:val="0"/>
          <w:marRight w:val="0"/>
          <w:marTop w:val="480"/>
          <w:marBottom w:val="240"/>
          <w:divBdr>
            <w:top w:val="none" w:sz="0" w:space="0" w:color="auto"/>
            <w:left w:val="none" w:sz="0" w:space="0" w:color="auto"/>
            <w:bottom w:val="none" w:sz="0" w:space="0" w:color="auto"/>
            <w:right w:val="none" w:sz="0" w:space="0" w:color="auto"/>
          </w:divBdr>
        </w:div>
        <w:div w:id="62604872">
          <w:marLeft w:val="0"/>
          <w:marRight w:val="0"/>
          <w:marTop w:val="0"/>
          <w:marBottom w:val="567"/>
          <w:divBdr>
            <w:top w:val="none" w:sz="0" w:space="0" w:color="auto"/>
            <w:left w:val="none" w:sz="0" w:space="0" w:color="auto"/>
            <w:bottom w:val="none" w:sz="0" w:space="0" w:color="auto"/>
            <w:right w:val="none" w:sz="0" w:space="0" w:color="auto"/>
          </w:divBdr>
        </w:div>
      </w:divsChild>
    </w:div>
    <w:div w:id="1433280421">
      <w:bodyDiv w:val="1"/>
      <w:marLeft w:val="0"/>
      <w:marRight w:val="0"/>
      <w:marTop w:val="0"/>
      <w:marBottom w:val="0"/>
      <w:divBdr>
        <w:top w:val="none" w:sz="0" w:space="0" w:color="auto"/>
        <w:left w:val="none" w:sz="0" w:space="0" w:color="auto"/>
        <w:bottom w:val="none" w:sz="0" w:space="0" w:color="auto"/>
        <w:right w:val="none" w:sz="0" w:space="0" w:color="auto"/>
      </w:divBdr>
      <w:divsChild>
        <w:div w:id="121575732">
          <w:marLeft w:val="360"/>
          <w:marRight w:val="0"/>
          <w:marTop w:val="200"/>
          <w:marBottom w:val="0"/>
          <w:divBdr>
            <w:top w:val="none" w:sz="0" w:space="0" w:color="auto"/>
            <w:left w:val="none" w:sz="0" w:space="0" w:color="auto"/>
            <w:bottom w:val="none" w:sz="0" w:space="0" w:color="auto"/>
            <w:right w:val="none" w:sz="0" w:space="0" w:color="auto"/>
          </w:divBdr>
        </w:div>
        <w:div w:id="1912495593">
          <w:marLeft w:val="360"/>
          <w:marRight w:val="0"/>
          <w:marTop w:val="200"/>
          <w:marBottom w:val="0"/>
          <w:divBdr>
            <w:top w:val="none" w:sz="0" w:space="0" w:color="auto"/>
            <w:left w:val="none" w:sz="0" w:space="0" w:color="auto"/>
            <w:bottom w:val="none" w:sz="0" w:space="0" w:color="auto"/>
            <w:right w:val="none" w:sz="0" w:space="0" w:color="auto"/>
          </w:divBdr>
        </w:div>
      </w:divsChild>
    </w:div>
    <w:div w:id="1599483358">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13467097">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634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17.A420319315.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07BA-A0FB-4D59-B3F2-F33E3ED3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18364</Words>
  <Characters>10469</Characters>
  <Application>Microsoft Office Word</Application>
  <DocSecurity>0</DocSecurity>
  <Lines>87</Lines>
  <Paragraphs>57</Paragraphs>
  <ScaleCrop>false</ScaleCrop>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2020-11-25T09:14:00Z</dcterms:created>
  <dcterms:modified xsi:type="dcterms:W3CDTF">2020-12-02T10:28:00Z</dcterms:modified>
</cp:coreProperties>
</file>