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62D842" w14:textId="77777777" w:rsidR="000946B1" w:rsidRDefault="000946B1" w:rsidP="00F3435E">
      <w:pPr>
        <w:spacing w:line="276" w:lineRule="auto"/>
        <w:jc w:val="both"/>
        <w:rPr>
          <w:b/>
          <w:bCs/>
        </w:rPr>
      </w:pPr>
      <w:r>
        <w:rPr>
          <w:b/>
          <w:bCs/>
        </w:rPr>
        <w:t>Samērīguma principa ievērošana, nosakot sankcijas par nodokļa maksātāja pārkāpumiem</w:t>
      </w:r>
    </w:p>
    <w:p w14:paraId="7041F3BD" w14:textId="77777777" w:rsidR="00F3435E" w:rsidRDefault="00F3435E" w:rsidP="00F3435E">
      <w:pPr>
        <w:spacing w:line="276" w:lineRule="auto"/>
        <w:jc w:val="both"/>
        <w:rPr>
          <w:lang w:eastAsia="lv-LV"/>
        </w:rPr>
      </w:pPr>
      <w:r w:rsidRPr="00F3435E">
        <w:t>Sankcijām par nodokļa maksātāja pārkāpumiem nav jāpārsniedz tas, kas ir nepieciešams, lai nodrošinātu pareizu nodokļa iekasēšanu un novērstu krāpšanu. Eiropas Savienības Tiesas praksē attīstītajai samērīguma principa izpratnei atbilstoši ir nošķirt sankciju, kas tiek piemērota tādam nodokļu maksātājam, kurš apzināti slēpis ar nodokli apliekamo objektu, un tādam nodokļu maksātājam, kurš pārkāpumu pieļāvis neuzmanības dēļ. Proti, konkrētās sankcijas apmērs nosakāms, ņemot vērā, vai pieļautā kļūda saistīta ar nepareizu pievienotās vērtības nodokļa mehānisma piemērošanu, kura nolūks nav bijis radīt valstij nodokļu ieņēmumu zaudējumus, vai pastāv norādes par krāpšanu vai apzinātu izvairīšanos no nodokļu samaksas. Vērtējot sankcijas samērīgumu, jāņem vērā pārkāpuma raksturs un smagums, kā arī tās apmēra noteikšanas nosacījumi. Ja sankcija tiek noteikta saskaņā ar vienotu likmi procentos, jāpastāv iespējai to samērīgi variēt.</w:t>
      </w:r>
    </w:p>
    <w:p w14:paraId="144F26BD" w14:textId="77777777" w:rsidR="00DA19CA" w:rsidRDefault="00DA19CA" w:rsidP="00287404">
      <w:pPr>
        <w:spacing w:line="276" w:lineRule="auto"/>
        <w:jc w:val="center"/>
      </w:pPr>
    </w:p>
    <w:p w14:paraId="6B7CEDB5" w14:textId="3B484A0A" w:rsidR="006F5D3B" w:rsidRDefault="006F5D3B" w:rsidP="00287404">
      <w:pPr>
        <w:spacing w:line="276" w:lineRule="auto"/>
        <w:jc w:val="center"/>
        <w:rPr>
          <w:b/>
        </w:rPr>
      </w:pPr>
      <w:r w:rsidRPr="00DA19CA">
        <w:rPr>
          <w:b/>
        </w:rPr>
        <w:t xml:space="preserve">Latvijas Republikas </w:t>
      </w:r>
      <w:r w:rsidR="00F24636" w:rsidRPr="00DA19CA">
        <w:rPr>
          <w:b/>
        </w:rPr>
        <w:t>Senāt</w:t>
      </w:r>
      <w:r w:rsidR="00DA19CA">
        <w:rPr>
          <w:b/>
        </w:rPr>
        <w:t>a</w:t>
      </w:r>
    </w:p>
    <w:p w14:paraId="526B0EBF" w14:textId="2FCE1DD8" w:rsidR="00DA19CA" w:rsidRDefault="00DA19CA" w:rsidP="00287404">
      <w:pPr>
        <w:spacing w:line="276" w:lineRule="auto"/>
        <w:jc w:val="center"/>
        <w:rPr>
          <w:b/>
        </w:rPr>
      </w:pPr>
      <w:r>
        <w:rPr>
          <w:b/>
        </w:rPr>
        <w:t>Administratīvo lietu departamenta</w:t>
      </w:r>
    </w:p>
    <w:p w14:paraId="115BAB22" w14:textId="1A93A8F5" w:rsidR="00DA19CA" w:rsidRPr="00DA19CA" w:rsidRDefault="00DA19CA" w:rsidP="00287404">
      <w:pPr>
        <w:spacing w:line="276" w:lineRule="auto"/>
        <w:jc w:val="center"/>
        <w:rPr>
          <w:b/>
        </w:rPr>
      </w:pPr>
      <w:proofErr w:type="gramStart"/>
      <w:r>
        <w:rPr>
          <w:b/>
        </w:rPr>
        <w:t>2020.gada</w:t>
      </w:r>
      <w:proofErr w:type="gramEnd"/>
      <w:r>
        <w:rPr>
          <w:b/>
        </w:rPr>
        <w:t xml:space="preserve"> 30.septembra</w:t>
      </w:r>
    </w:p>
    <w:p w14:paraId="32B82374" w14:textId="2DC58D9B" w:rsidR="003047F5" w:rsidRDefault="00ED058D" w:rsidP="00287404">
      <w:pPr>
        <w:spacing w:line="276" w:lineRule="auto"/>
        <w:jc w:val="center"/>
        <w:rPr>
          <w:b/>
        </w:rPr>
      </w:pPr>
      <w:r w:rsidRPr="00DA19CA">
        <w:rPr>
          <w:b/>
        </w:rPr>
        <w:t>SPRIEDUMS</w:t>
      </w:r>
    </w:p>
    <w:p w14:paraId="0ED63B8B" w14:textId="11786669" w:rsidR="00DA19CA" w:rsidRDefault="00DA19CA" w:rsidP="00287404">
      <w:pPr>
        <w:spacing w:line="276" w:lineRule="auto"/>
        <w:jc w:val="center"/>
        <w:rPr>
          <w:b/>
        </w:rPr>
      </w:pPr>
      <w:r>
        <w:rPr>
          <w:b/>
        </w:rPr>
        <w:t>Lieta Nr. A420295414, SKA-58/2020</w:t>
      </w:r>
    </w:p>
    <w:p w14:paraId="52FD8231" w14:textId="130CB84A" w:rsidR="00DA19CA" w:rsidRPr="00D06D35" w:rsidRDefault="00A90159" w:rsidP="00287404">
      <w:pPr>
        <w:spacing w:line="276" w:lineRule="auto"/>
        <w:jc w:val="center"/>
        <w:rPr>
          <w:b/>
          <w:color w:val="0000FF"/>
        </w:rPr>
      </w:pPr>
      <w:hyperlink r:id="rId7" w:history="1">
        <w:r w:rsidR="00DA19CA" w:rsidRPr="00D06D35">
          <w:rPr>
            <w:rStyle w:val="Hyperlink"/>
            <w:color w:val="0000FF"/>
          </w:rPr>
          <w:t>ECLI:LV:AT:2020:0930.A420295414.3.S</w:t>
        </w:r>
      </w:hyperlink>
    </w:p>
    <w:p w14:paraId="51606F9E" w14:textId="77777777" w:rsidR="003047F5" w:rsidRPr="00FF6087" w:rsidRDefault="003047F5" w:rsidP="00287404">
      <w:pPr>
        <w:spacing w:line="276" w:lineRule="auto"/>
        <w:jc w:val="center"/>
      </w:pPr>
    </w:p>
    <w:p w14:paraId="7BA6D630" w14:textId="77777777" w:rsidR="0094548B" w:rsidRPr="00FF6087" w:rsidRDefault="00F24636" w:rsidP="00F24636">
      <w:pPr>
        <w:spacing w:line="276" w:lineRule="auto"/>
        <w:ind w:firstLine="720"/>
        <w:jc w:val="both"/>
      </w:pPr>
      <w:r w:rsidRPr="00FF6087">
        <w:t>Tiesa</w:t>
      </w:r>
      <w:r w:rsidR="00243DBB" w:rsidRPr="00FF6087">
        <w:t xml:space="preserve"> </w:t>
      </w:r>
      <w:r w:rsidR="008A7FEC" w:rsidRPr="00FF6087">
        <w:t>šādā sastāvā</w:t>
      </w:r>
      <w:r w:rsidR="00195D41" w:rsidRPr="00FF6087">
        <w:t>:</w:t>
      </w:r>
      <w:r w:rsidRPr="00FF6087">
        <w:t xml:space="preserve"> senator</w:t>
      </w:r>
      <w:r w:rsidR="00FE38A4">
        <w:t>es</w:t>
      </w:r>
      <w:r w:rsidR="00670032" w:rsidRPr="00FF6087">
        <w:t xml:space="preserve"> </w:t>
      </w:r>
      <w:r w:rsidR="00EB2B18" w:rsidRPr="00FF6087">
        <w:t>Anita Kovaļevska</w:t>
      </w:r>
      <w:r w:rsidR="00287404" w:rsidRPr="00FF6087">
        <w:t>,</w:t>
      </w:r>
      <w:r w:rsidR="00BE5E98">
        <w:t xml:space="preserve"> </w:t>
      </w:r>
      <w:r w:rsidR="0023112E">
        <w:t>Līvija Slica</w:t>
      </w:r>
      <w:r w:rsidR="00F66A0B">
        <w:t>, Ieva Višķere</w:t>
      </w:r>
    </w:p>
    <w:p w14:paraId="4A73EED1" w14:textId="77777777" w:rsidR="00604A78" w:rsidRPr="00FF6087" w:rsidRDefault="00604A78" w:rsidP="00287404">
      <w:pPr>
        <w:spacing w:line="276" w:lineRule="auto"/>
        <w:ind w:firstLine="720"/>
        <w:jc w:val="both"/>
      </w:pPr>
    </w:p>
    <w:p w14:paraId="5C9D99AC" w14:textId="2CFC032C" w:rsidR="00604A78" w:rsidRPr="00FF6087" w:rsidRDefault="00EF7DE2" w:rsidP="00287404">
      <w:pPr>
        <w:spacing w:line="276" w:lineRule="auto"/>
        <w:ind w:firstLine="720"/>
        <w:jc w:val="both"/>
      </w:pPr>
      <w:r w:rsidRPr="00EF7DE2">
        <w:t>rakstveida procesā izskatīja administratīvo lietu, kas ierosināta, pamatojoties uz</w:t>
      </w:r>
      <w:r>
        <w:t xml:space="preserve"> </w:t>
      </w:r>
      <w:r w:rsidR="00C13155">
        <w:t>SIA </w:t>
      </w:r>
      <w:r w:rsidR="00C13155" w:rsidRPr="00C13155">
        <w:t>„</w:t>
      </w:r>
      <w:proofErr w:type="spellStart"/>
      <w:r w:rsidR="00F66A0B">
        <w:t>Anzāģe</w:t>
      </w:r>
      <w:proofErr w:type="spellEnd"/>
      <w:r w:rsidR="00C13155" w:rsidRPr="00C13155">
        <w:t xml:space="preserve">” </w:t>
      </w:r>
      <w:r w:rsidR="00745715" w:rsidRPr="00745715">
        <w:t xml:space="preserve">pieteikumu </w:t>
      </w:r>
      <w:r w:rsidR="00ED4603">
        <w:t xml:space="preserve">par </w:t>
      </w:r>
      <w:r w:rsidR="00F66A0B" w:rsidRPr="00F66A0B">
        <w:t xml:space="preserve">Valsts ieņēmumu dienesta </w:t>
      </w:r>
      <w:proofErr w:type="gramStart"/>
      <w:r w:rsidR="00F66A0B" w:rsidRPr="00F66A0B">
        <w:t>2014.gada</w:t>
      </w:r>
      <w:proofErr w:type="gramEnd"/>
      <w:r w:rsidR="00F66A0B" w:rsidRPr="00F66A0B">
        <w:t xml:space="preserve"> 29.aprīļa lēmuma Nr.</w:t>
      </w:r>
      <w:r w:rsidR="00F66A0B">
        <w:t> </w:t>
      </w:r>
      <w:r w:rsidR="00F66A0B" w:rsidRPr="00F66A0B">
        <w:t>22.8/L-12038 atcelšanu</w:t>
      </w:r>
      <w:r w:rsidR="00745715" w:rsidRPr="00745715">
        <w:t xml:space="preserve">, sakarā ar </w:t>
      </w:r>
      <w:r w:rsidR="00F66A0B" w:rsidRPr="00F66A0B">
        <w:t>SIA „</w:t>
      </w:r>
      <w:proofErr w:type="spellStart"/>
      <w:r w:rsidR="00F66A0B" w:rsidRPr="00F66A0B">
        <w:t>Anzāģe</w:t>
      </w:r>
      <w:proofErr w:type="spellEnd"/>
      <w:r w:rsidR="00F66A0B" w:rsidRPr="00F66A0B">
        <w:t>” kasācijas sūdzību par Administratīvās apgabaltiesas 2017.gada 1</w:t>
      </w:r>
      <w:r w:rsidR="00462C3C">
        <w:t>6</w:t>
      </w:r>
      <w:r w:rsidR="00F66A0B" w:rsidRPr="00F66A0B">
        <w:t>.maija spriedumu</w:t>
      </w:r>
      <w:r w:rsidR="006F0B50">
        <w:t xml:space="preserve"> </w:t>
      </w:r>
      <w:r w:rsidR="00462C3C" w:rsidRPr="00462C3C">
        <w:t>daļā, ar kuru pieteikums noraidīts</w:t>
      </w:r>
      <w:r w:rsidR="007F61F8" w:rsidRPr="00FF6087">
        <w:t>.</w:t>
      </w:r>
    </w:p>
    <w:p w14:paraId="251D3BD8" w14:textId="77777777" w:rsidR="007F61F8" w:rsidRPr="00FF6087" w:rsidRDefault="007F61F8" w:rsidP="00287404">
      <w:pPr>
        <w:spacing w:line="276" w:lineRule="auto"/>
        <w:ind w:firstLine="720"/>
        <w:jc w:val="both"/>
      </w:pPr>
    </w:p>
    <w:p w14:paraId="6D8D9792" w14:textId="77777777" w:rsidR="003047F5" w:rsidRPr="00FF6087" w:rsidRDefault="003047F5" w:rsidP="00287404">
      <w:pPr>
        <w:spacing w:line="276" w:lineRule="auto"/>
        <w:jc w:val="center"/>
        <w:rPr>
          <w:b/>
        </w:rPr>
      </w:pPr>
      <w:r w:rsidRPr="00FF6087">
        <w:rPr>
          <w:b/>
        </w:rPr>
        <w:t>Aprakstošā daļa</w:t>
      </w:r>
    </w:p>
    <w:p w14:paraId="6BFCAE87" w14:textId="77777777" w:rsidR="00604A78" w:rsidRPr="00FF6087" w:rsidRDefault="00604A78" w:rsidP="00287404">
      <w:pPr>
        <w:spacing w:line="276" w:lineRule="auto"/>
        <w:ind w:firstLine="720"/>
        <w:jc w:val="both"/>
      </w:pPr>
    </w:p>
    <w:p w14:paraId="57C05FDC" w14:textId="77777777" w:rsidR="002252C0" w:rsidRDefault="00692049" w:rsidP="00F66A0B">
      <w:pPr>
        <w:spacing w:line="276" w:lineRule="auto"/>
        <w:ind w:firstLine="720"/>
        <w:jc w:val="both"/>
      </w:pPr>
      <w:r w:rsidRPr="00FF6087">
        <w:t>[</w:t>
      </w:r>
      <w:r w:rsidR="00A610F7" w:rsidRPr="00FF6087">
        <w:t>1</w:t>
      </w:r>
      <w:r w:rsidRPr="00FF6087">
        <w:t xml:space="preserve">] </w:t>
      </w:r>
      <w:r w:rsidR="001807FC">
        <w:t xml:space="preserve">Valsts ieņēmumu dienests veica pieteicējas </w:t>
      </w:r>
      <w:r w:rsidR="001807FC" w:rsidRPr="00F66A0B">
        <w:t>SIA „</w:t>
      </w:r>
      <w:proofErr w:type="spellStart"/>
      <w:r w:rsidR="001807FC" w:rsidRPr="00F66A0B">
        <w:t>Anzāģe</w:t>
      </w:r>
      <w:proofErr w:type="spellEnd"/>
      <w:r w:rsidR="001807FC" w:rsidRPr="00F66A0B">
        <w:t>”</w:t>
      </w:r>
      <w:r w:rsidR="001807FC">
        <w:t xml:space="preserve"> auditu. Administratīvais process iestādē noslēdzās ar dienesta ģenerāldirektora </w:t>
      </w:r>
      <w:proofErr w:type="gramStart"/>
      <w:r w:rsidR="001564A9">
        <w:t>2014.gada</w:t>
      </w:r>
      <w:proofErr w:type="gramEnd"/>
      <w:r w:rsidR="001564A9">
        <w:t xml:space="preserve"> 29.aprīļa lēmumu</w:t>
      </w:r>
      <w:r w:rsidR="001807FC" w:rsidRPr="00F66A0B">
        <w:t xml:space="preserve"> Nr.</w:t>
      </w:r>
      <w:r w:rsidR="001807FC">
        <w:t> </w:t>
      </w:r>
      <w:r w:rsidR="001807FC" w:rsidRPr="00F66A0B">
        <w:t>22.8/L-12038</w:t>
      </w:r>
      <w:r w:rsidR="001807FC">
        <w:t xml:space="preserve">, ar kuru pieteicējai papildu nomaksai budžetā aprēķināts pievienotās vērtības nodoklis, uzņēmumu ienākuma nodoklis, šo nodokļu soda nauda un nokavējuma nauda, kā arī samazināts no </w:t>
      </w:r>
      <w:r w:rsidR="001564A9">
        <w:t xml:space="preserve">budžeta </w:t>
      </w:r>
      <w:r w:rsidR="001807FC">
        <w:t>atmaksājamais pievienotās vērtības nodoklis.</w:t>
      </w:r>
    </w:p>
    <w:p w14:paraId="0A2A6DA4" w14:textId="35BAF28C" w:rsidR="001564A9" w:rsidRPr="001D30C9" w:rsidRDefault="001564A9" w:rsidP="00F66A0B">
      <w:pPr>
        <w:spacing w:line="276" w:lineRule="auto"/>
        <w:ind w:firstLine="720"/>
        <w:jc w:val="both"/>
      </w:pPr>
      <w:r>
        <w:t>Dienest</w:t>
      </w:r>
      <w:r w:rsidR="00481358">
        <w:t>s</w:t>
      </w:r>
      <w:r>
        <w:t xml:space="preserve"> </w:t>
      </w:r>
      <w:r w:rsidR="00481358">
        <w:t>konstatēja</w:t>
      </w:r>
      <w:r>
        <w:t xml:space="preserve">, ka </w:t>
      </w:r>
      <w:r w:rsidR="001D30C9">
        <w:t>pieteicēja pievienotās vērtības nodokļa deklarācijās nepamatoti atskaitījusi priekšnodokli par darījumiem ar SIA „</w:t>
      </w:r>
      <w:proofErr w:type="spellStart"/>
      <w:r w:rsidR="001D30C9">
        <w:t>Geartrans</w:t>
      </w:r>
      <w:proofErr w:type="spellEnd"/>
      <w:r w:rsidR="001D30C9">
        <w:t>” un SIA „</w:t>
      </w:r>
      <w:proofErr w:type="spellStart"/>
      <w:r w:rsidR="001D30C9">
        <w:t>Laisan</w:t>
      </w:r>
      <w:proofErr w:type="spellEnd"/>
      <w:r w:rsidR="001D30C9">
        <w:t>”. Tāpat pieteicēja de</w:t>
      </w:r>
      <w:r w:rsidR="00481358">
        <w:t>klarējusi pakalpojumu sniegšanu</w:t>
      </w:r>
      <w:r w:rsidR="001D30C9">
        <w:t xml:space="preserve"> SIA „</w:t>
      </w:r>
      <w:proofErr w:type="spellStart"/>
      <w:r w:rsidR="001D30C9">
        <w:t>Joker</w:t>
      </w:r>
      <w:proofErr w:type="spellEnd"/>
      <w:r w:rsidR="001D30C9">
        <w:t xml:space="preserve"> LTD”, SIA</w:t>
      </w:r>
      <w:r w:rsidR="00154823">
        <w:t> </w:t>
      </w:r>
      <w:r w:rsidR="001D30C9">
        <w:t>„Lattelecom”, SIA</w:t>
      </w:r>
      <w:r w:rsidR="00481358">
        <w:t> </w:t>
      </w:r>
      <w:r w:rsidR="001D30C9">
        <w:t>„Valdemārs 23”, SIA „</w:t>
      </w:r>
      <w:proofErr w:type="spellStart"/>
      <w:r w:rsidR="001D30C9">
        <w:t>New</w:t>
      </w:r>
      <w:proofErr w:type="spellEnd"/>
      <w:r w:rsidR="001D30C9">
        <w:t xml:space="preserve"> Rosme”, SIA „PT4”, SIA „Glorija G” un AS</w:t>
      </w:r>
      <w:r w:rsidR="00154823">
        <w:t> </w:t>
      </w:r>
      <w:r w:rsidR="001D30C9">
        <w:t>„Citadele banka”</w:t>
      </w:r>
      <w:r w:rsidR="00154823">
        <w:t xml:space="preserve">, </w:t>
      </w:r>
      <w:r w:rsidR="00623D05">
        <w:t>saskaņā ar likuma „Par pievienotās vērtības nodokli” 13.</w:t>
      </w:r>
      <w:r w:rsidR="00623D05">
        <w:rPr>
          <w:vertAlign w:val="superscript"/>
        </w:rPr>
        <w:t>6</w:t>
      </w:r>
      <w:r w:rsidR="00623D05">
        <w:t xml:space="preserve">panta otro daļu un </w:t>
      </w:r>
      <w:r w:rsidR="00000148">
        <w:t xml:space="preserve">Pievienotās vērtības nodokļa likuma </w:t>
      </w:r>
      <w:r w:rsidR="00623D05">
        <w:t xml:space="preserve">142.panta otro daļu </w:t>
      </w:r>
      <w:r w:rsidR="00000148">
        <w:t>š</w:t>
      </w:r>
      <w:r w:rsidR="00154823">
        <w:t xml:space="preserve">iem </w:t>
      </w:r>
      <w:r w:rsidR="00481358">
        <w:t>darījumiem</w:t>
      </w:r>
      <w:r w:rsidR="00154823">
        <w:t xml:space="preserve"> piemērojot īpašo pievienotās vērtības nodokļa maksāšanas kārtību. </w:t>
      </w:r>
      <w:r w:rsidR="00481358">
        <w:t xml:space="preserve">Taču atbilstoši </w:t>
      </w:r>
      <w:r w:rsidR="00154823">
        <w:t>rēķiniem pieteicēja sniedza šīm sabie</w:t>
      </w:r>
      <w:r w:rsidR="00ED4603">
        <w:t>d</w:t>
      </w:r>
      <w:r w:rsidR="00154823">
        <w:t xml:space="preserve">rībām vispārēja rakstura remonta pakalpojumus, </w:t>
      </w:r>
      <w:r w:rsidR="00481358">
        <w:t>kā arī</w:t>
      </w:r>
      <w:r w:rsidR="00154823">
        <w:t xml:space="preserve"> nav iesniegusi pierādījumus, ka tās veiktie būvdarbi ir saistīti ar minēto būvju (ēku) būvēšanu, esošās būves vai tās daļas renovāciju, vienkāršoto renovāciju, rekonstrukciju, vienkāršoto rekonstrukciju, restaurāciju, konservāciju vai nojaukšanu.</w:t>
      </w:r>
    </w:p>
    <w:p w14:paraId="18BCE394" w14:textId="77777777" w:rsidR="001564A9" w:rsidRDefault="001564A9" w:rsidP="00F66A0B">
      <w:pPr>
        <w:spacing w:line="276" w:lineRule="auto"/>
        <w:ind w:firstLine="720"/>
        <w:jc w:val="both"/>
      </w:pPr>
    </w:p>
    <w:p w14:paraId="217364AF" w14:textId="16FFBCE7" w:rsidR="001564A9" w:rsidRDefault="001564A9" w:rsidP="00F66A0B">
      <w:pPr>
        <w:spacing w:line="276" w:lineRule="auto"/>
        <w:ind w:firstLine="720"/>
        <w:jc w:val="both"/>
      </w:pPr>
      <w:r>
        <w:t xml:space="preserve">[2] </w:t>
      </w:r>
      <w:r w:rsidR="001A4D41">
        <w:t xml:space="preserve">Uzskatīdama </w:t>
      </w:r>
      <w:r>
        <w:t>dienesta lēmum</w:t>
      </w:r>
      <w:r w:rsidR="001A4D41">
        <w:t>u par nepamatotu</w:t>
      </w:r>
      <w:r>
        <w:t xml:space="preserve">, pieteicēja vērsās tiesā ar pieteikumu par tā atcelšanu. Ar Administratīvās apgabaltiesas </w:t>
      </w:r>
      <w:proofErr w:type="gramStart"/>
      <w:r w:rsidRPr="00F66A0B">
        <w:t>2017.gada</w:t>
      </w:r>
      <w:proofErr w:type="gramEnd"/>
      <w:r w:rsidRPr="00F66A0B">
        <w:t xml:space="preserve"> 1</w:t>
      </w:r>
      <w:r w:rsidR="00462C3C">
        <w:t>6</w:t>
      </w:r>
      <w:r w:rsidRPr="00F66A0B">
        <w:t>.maija spriedumu</w:t>
      </w:r>
      <w:r>
        <w:t xml:space="preserve"> </w:t>
      </w:r>
      <w:r w:rsidR="00841C4D">
        <w:t>pieteikums</w:t>
      </w:r>
      <w:r>
        <w:t xml:space="preserve"> daļēji apmierināts, </w:t>
      </w:r>
      <w:r w:rsidR="00623D05">
        <w:t xml:space="preserve">atceļot dienesta </w:t>
      </w:r>
      <w:r w:rsidR="00623D05" w:rsidRPr="00F66A0B">
        <w:t>2014.gada 29.aprīļa</w:t>
      </w:r>
      <w:r w:rsidR="00623D05">
        <w:t xml:space="preserve"> lēmumu daļā, ar kuru papildu nomaksai budžetā aprēķināts pievienotās vērtības nodoklis 1447,23 </w:t>
      </w:r>
      <w:proofErr w:type="spellStart"/>
      <w:r w:rsidR="00623D05" w:rsidRPr="00623D05">
        <w:rPr>
          <w:i/>
        </w:rPr>
        <w:t>euro</w:t>
      </w:r>
      <w:proofErr w:type="spellEnd"/>
      <w:r w:rsidR="00623D05">
        <w:t xml:space="preserve"> un soda nauda 289,45 </w:t>
      </w:r>
      <w:proofErr w:type="spellStart"/>
      <w:r w:rsidR="00623D05" w:rsidRPr="00623D05">
        <w:rPr>
          <w:i/>
        </w:rPr>
        <w:t>euro</w:t>
      </w:r>
      <w:proofErr w:type="spellEnd"/>
      <w:r w:rsidR="00623D05">
        <w:t xml:space="preserve"> par darījumu ar SIA „</w:t>
      </w:r>
      <w:proofErr w:type="spellStart"/>
      <w:r w:rsidR="00623D05">
        <w:t>Joker</w:t>
      </w:r>
      <w:proofErr w:type="spellEnd"/>
      <w:r w:rsidR="00623D05">
        <w:t xml:space="preserve"> LTD” un pievienotās vērtības nodoklis 3178,07 </w:t>
      </w:r>
      <w:proofErr w:type="spellStart"/>
      <w:r w:rsidR="00623D05" w:rsidRPr="00623D05">
        <w:rPr>
          <w:i/>
        </w:rPr>
        <w:t>euro</w:t>
      </w:r>
      <w:proofErr w:type="spellEnd"/>
      <w:r w:rsidR="00623D05">
        <w:t xml:space="preserve"> un soda nauda 762,74 </w:t>
      </w:r>
      <w:proofErr w:type="spellStart"/>
      <w:r w:rsidR="00623D05" w:rsidRPr="00623D05">
        <w:rPr>
          <w:i/>
        </w:rPr>
        <w:t>euro</w:t>
      </w:r>
      <w:proofErr w:type="spellEnd"/>
      <w:r w:rsidR="00623D05">
        <w:t xml:space="preserve"> par darījumu ar AS „Citadele banka”. Pārējā daļā pieteikums noraidīts.</w:t>
      </w:r>
    </w:p>
    <w:p w14:paraId="62EA3EBA" w14:textId="095ABC6E" w:rsidR="009C14F8" w:rsidRDefault="009C14F8" w:rsidP="00C13155">
      <w:pPr>
        <w:spacing w:line="276" w:lineRule="auto"/>
        <w:ind w:firstLine="720"/>
        <w:jc w:val="both"/>
      </w:pPr>
      <w:r>
        <w:t>Spriedums daļā, ar kuru pieteikums noraidīts, pamatots ar to</w:t>
      </w:r>
      <w:r w:rsidR="00D41210">
        <w:t>, ka SIA „</w:t>
      </w:r>
      <w:proofErr w:type="spellStart"/>
      <w:r w:rsidR="00D41210">
        <w:t>Geartrans</w:t>
      </w:r>
      <w:proofErr w:type="spellEnd"/>
      <w:r w:rsidR="00D41210">
        <w:t xml:space="preserve">” nevarēja pieteicējai sniegt rēķinos </w:t>
      </w:r>
      <w:r w:rsidR="000265F2">
        <w:t xml:space="preserve">norādītos </w:t>
      </w:r>
      <w:r w:rsidR="00D41210">
        <w:t xml:space="preserve">beramo kravu pārvadāšanas pakalpojumus un </w:t>
      </w:r>
      <w:r w:rsidR="000265F2">
        <w:t xml:space="preserve">ka </w:t>
      </w:r>
      <w:r w:rsidR="00D41210">
        <w:t>pierādījumi liecina par pieteicējas informētību par</w:t>
      </w:r>
      <w:r w:rsidR="000265F2">
        <w:t xml:space="preserve"> tās</w:t>
      </w:r>
      <w:r w:rsidR="00D41210">
        <w:t xml:space="preserve"> iesaistīšanos nepamatotā nodokļu samazināšanas plānā. </w:t>
      </w:r>
      <w:r w:rsidR="000265F2">
        <w:t>Saistībā ar</w:t>
      </w:r>
      <w:r w:rsidR="00D41210">
        <w:t xml:space="preserve"> </w:t>
      </w:r>
      <w:r>
        <w:t xml:space="preserve">pieteicējas </w:t>
      </w:r>
      <w:r w:rsidR="00D41210">
        <w:t>darījumiem ar SIA „</w:t>
      </w:r>
      <w:proofErr w:type="spellStart"/>
      <w:r w:rsidR="00D41210">
        <w:t>Laisan</w:t>
      </w:r>
      <w:proofErr w:type="spellEnd"/>
      <w:r w:rsidR="00D41210">
        <w:t xml:space="preserve">” </w:t>
      </w:r>
      <w:r>
        <w:t xml:space="preserve">par klienta piesaisti </w:t>
      </w:r>
      <w:r w:rsidR="00D41210">
        <w:t>apgabaltiesa konstatēja, ka nav iespējams identificēt pakalpojumu, ko SIA „</w:t>
      </w:r>
      <w:proofErr w:type="spellStart"/>
      <w:r w:rsidR="00D41210">
        <w:t>Laisan</w:t>
      </w:r>
      <w:proofErr w:type="spellEnd"/>
      <w:r w:rsidR="00D41210">
        <w:t>” būtu sniegusi pieteicējai, proti, apstākļi liecina par darījumu faktisko neesību.</w:t>
      </w:r>
      <w:r>
        <w:t xml:space="preserve"> Savukārt par pakalpojumiem, ko pieteicēja sniedza SIA „</w:t>
      </w:r>
      <w:proofErr w:type="spellStart"/>
      <w:r>
        <w:t>Joker</w:t>
      </w:r>
      <w:proofErr w:type="spellEnd"/>
      <w:r>
        <w:t xml:space="preserve"> LTD” (pieteikuma noraidītajā daļā), SIA</w:t>
      </w:r>
      <w:r w:rsidR="000265F2">
        <w:t> </w:t>
      </w:r>
      <w:r>
        <w:t>„</w:t>
      </w:r>
      <w:proofErr w:type="spellStart"/>
      <w:r>
        <w:t>New</w:t>
      </w:r>
      <w:proofErr w:type="spellEnd"/>
      <w:r>
        <w:t xml:space="preserve"> Rosme”, SIA „Glorija G”, SIA „Valdemārs 23”,</w:t>
      </w:r>
      <w:r w:rsidR="000265F2">
        <w:t xml:space="preserve"> SIA „PT4” un SIA „Lattelecom”</w:t>
      </w:r>
      <w:r w:rsidR="00ED4603">
        <w:t>,</w:t>
      </w:r>
      <w:r w:rsidR="000265F2">
        <w:t xml:space="preserve"> apgabaltiesa </w:t>
      </w:r>
      <w:r>
        <w:t>norādīja, ka tie atzīstami par vienkāršiem telpu remontdarbiem</w:t>
      </w:r>
      <w:r w:rsidR="00462C3C">
        <w:t xml:space="preserve"> </w:t>
      </w:r>
      <w:proofErr w:type="gramStart"/>
      <w:r w:rsidR="00462C3C">
        <w:t>(</w:t>
      </w:r>
      <w:proofErr w:type="gramEnd"/>
      <w:r w:rsidR="00462C3C">
        <w:t>kosmētisko remontu) un</w:t>
      </w:r>
      <w:r>
        <w:t xml:space="preserve"> interjera maiņu, kas nav atz</w:t>
      </w:r>
      <w:r w:rsidR="00462C3C">
        <w:t>īstam</w:t>
      </w:r>
      <w:r w:rsidR="00ED4603">
        <w:t>i</w:t>
      </w:r>
      <w:r>
        <w:t xml:space="preserve"> par būvniecības pakalpojumiem, kuriem būtu piemērojama reversā pievienotās vērtības nodokļa maksāšanas kārtība.</w:t>
      </w:r>
    </w:p>
    <w:p w14:paraId="4F754567" w14:textId="77777777" w:rsidR="00462C3C" w:rsidRDefault="00462C3C" w:rsidP="00C13155">
      <w:pPr>
        <w:spacing w:line="276" w:lineRule="auto"/>
        <w:ind w:firstLine="720"/>
        <w:jc w:val="both"/>
      </w:pPr>
    </w:p>
    <w:p w14:paraId="60F46678" w14:textId="77777777" w:rsidR="00462C3C" w:rsidRDefault="00462C3C" w:rsidP="00C13155">
      <w:pPr>
        <w:spacing w:line="276" w:lineRule="auto"/>
        <w:ind w:firstLine="720"/>
        <w:jc w:val="both"/>
      </w:pPr>
      <w:r>
        <w:t>[3] Pieteicēja iesniegusi kasācijas sūdzību par apgabaltiesas spriedumu daļā, ar kuru pieteikums noraidīts, un norāda turpmāk minētos iebildumus.</w:t>
      </w:r>
    </w:p>
    <w:p w14:paraId="1B0BF292" w14:textId="77777777" w:rsidR="00462C3C" w:rsidRDefault="00462C3C" w:rsidP="00C13155">
      <w:pPr>
        <w:spacing w:line="276" w:lineRule="auto"/>
        <w:ind w:firstLine="720"/>
        <w:jc w:val="both"/>
      </w:pPr>
      <w:r>
        <w:t xml:space="preserve">[3.1] </w:t>
      </w:r>
      <w:r w:rsidR="001B60F4">
        <w:t>Nevar piekrist tiesas secinājumam, ka, lai veiktu būvdarbus, personai ir pienākums izstrādāt būvprojektu, saņemt tā akceptu vai būvatļauju vai izstrādāt vienkāršotās renovācijas vai rekonstrukcijas ieceres dokumentāciju, kas iesniedzama būvvaldē ieceres akceptēšanai. Būvniecības dokumentācijas esība vai neesība nevar tikt uzskatīta par pamatu tam, vai pieteicējas sniegtie pakalpojumi atzīstami par būvniecības pakalpojumiem.</w:t>
      </w:r>
    </w:p>
    <w:p w14:paraId="346590E0" w14:textId="77777777" w:rsidR="001F7634" w:rsidRDefault="001F7634" w:rsidP="00C13155">
      <w:pPr>
        <w:spacing w:line="276" w:lineRule="auto"/>
        <w:ind w:firstLine="720"/>
        <w:jc w:val="both"/>
      </w:pPr>
      <w:r>
        <w:t>[3.2] Būvniecības dokumentācijas kārtošana, tostarp apliecinājuma kartes saņemšana, ir pasūtītāja, nevis darbuzņēmēja (būvniecības pakalpojuma sniedzēja)</w:t>
      </w:r>
      <w:r w:rsidRPr="001F7634">
        <w:t xml:space="preserve"> </w:t>
      </w:r>
      <w:r>
        <w:t>atbildība</w:t>
      </w:r>
      <w:r w:rsidR="00B43D7C">
        <w:t>, līdz ar to tiesa nepamatoti piemērojusi tiesību normas, kas neattiecas uz darbuzņēmēju.</w:t>
      </w:r>
    </w:p>
    <w:p w14:paraId="37739FF1" w14:textId="77777777" w:rsidR="00B43D7C" w:rsidRDefault="00B43D7C" w:rsidP="00C13155">
      <w:pPr>
        <w:spacing w:line="276" w:lineRule="auto"/>
        <w:ind w:firstLine="720"/>
        <w:jc w:val="both"/>
      </w:pPr>
      <w:r>
        <w:t>[3.3] Nosakot reverso pievienotās vērtības nodokļa maksāšanas kārtību</w:t>
      </w:r>
      <w:r w:rsidRPr="00B43D7C">
        <w:t xml:space="preserve"> </w:t>
      </w:r>
      <w:r>
        <w:t>būvniecības pakalpojumiem, likuma grozījumu mērķis bija samazināt iespējas izkrāpt nodokli no valsts budžeta. Tādēļ nav mazsvarīgi, ka pieteicējas darījumu partneri (būvniecības pakalpojumu saņēmēji) ir samaksājuši pievienotās vērtības nodokli</w:t>
      </w:r>
      <w:r w:rsidR="002C6EE8">
        <w:t>, par ko nepastāv strīds</w:t>
      </w:r>
      <w:r>
        <w:t>. Savukārt tādu jēdzienu kā „vispārēja rakstura remonta pakalpojumi” nedz Pievienotās vērtības nodokļa likums, nedz Būvniecības likums neparedz.</w:t>
      </w:r>
    </w:p>
    <w:p w14:paraId="69CBADBA" w14:textId="755320D7" w:rsidR="006E2CAA" w:rsidRDefault="006E2CAA" w:rsidP="00C13155">
      <w:pPr>
        <w:spacing w:line="276" w:lineRule="auto"/>
        <w:ind w:firstLine="720"/>
        <w:jc w:val="both"/>
      </w:pPr>
      <w:r>
        <w:t>[3.4] Tiesa nav sniegusi vērtējumu tam, ka dienesta lēmum</w:t>
      </w:r>
      <w:r w:rsidR="00306F6E">
        <w:t>ā</w:t>
      </w:r>
      <w:r>
        <w:t xml:space="preserve"> n</w:t>
      </w:r>
      <w:r w:rsidR="00306F6E">
        <w:t>av</w:t>
      </w:r>
      <w:r>
        <w:t xml:space="preserve"> pamatojum</w:t>
      </w:r>
      <w:r w:rsidR="00306F6E">
        <w:t>a</w:t>
      </w:r>
      <w:r>
        <w:t xml:space="preserve"> būvniecības pakalpojumu neatzīšanai par tādiem, kuriem piemērojama reversā pievienotās vērtības nodokļa maksāšanas kārtība. Pieteicējas sniegtie pakalpojumi lēmumā nav analizēti pēc būtības</w:t>
      </w:r>
      <w:r w:rsidR="00306F6E">
        <w:t>,</w:t>
      </w:r>
      <w:r>
        <w:t xml:space="preserve"> un nav norādīts, kāpēc šiem pakalpojumiem minētā kārtība nav piemērojama.</w:t>
      </w:r>
      <w:r w:rsidR="002C6EE8">
        <w:t xml:space="preserve"> Līdz ar to tiesa patvaļīgi pārkāpusi kompetences robežas, nelabvēlīgu spriedumu</w:t>
      </w:r>
      <w:proofErr w:type="gramStart"/>
      <w:r w:rsidR="002C6EE8">
        <w:t xml:space="preserve"> pamatojot ar jauniem apstākļiem</w:t>
      </w:r>
      <w:proofErr w:type="gramEnd"/>
      <w:r w:rsidR="002C6EE8">
        <w:t>, uz kuriem nav norādīts administratīvajā aktā.</w:t>
      </w:r>
    </w:p>
    <w:p w14:paraId="45D495DB" w14:textId="77777777" w:rsidR="002C6EE8" w:rsidRDefault="002C6EE8" w:rsidP="00C13155">
      <w:pPr>
        <w:spacing w:line="276" w:lineRule="auto"/>
        <w:ind w:firstLine="720"/>
        <w:jc w:val="both"/>
      </w:pPr>
      <w:r>
        <w:t>[3.5] Tiesa nonāk pretrunā, sprieduma 13.2.1.apakšpunktā norādot, ka būvniecības dokumentācijas neesība ir pietiekams pamats, lai pieteicējas sniegtajiem pakalpojumiem nepiemērotu reverso nodokļa maksāšanas kārtību, bet sprieduma 13.2.7.apakšpunktā atzīstot, ka bez būvatļaujas veikti darbi joprojām ir būvdarbi.</w:t>
      </w:r>
    </w:p>
    <w:p w14:paraId="0785D1DF" w14:textId="77777777" w:rsidR="002C6EE8" w:rsidRDefault="002C6EE8" w:rsidP="00C13155">
      <w:pPr>
        <w:spacing w:line="276" w:lineRule="auto"/>
        <w:ind w:firstLine="720"/>
        <w:jc w:val="both"/>
      </w:pPr>
      <w:r>
        <w:lastRenderedPageBreak/>
        <w:t xml:space="preserve">[3.6] </w:t>
      </w:r>
      <w:r w:rsidR="004B5F42">
        <w:t>Atteikums izskatīt lietu mutvārdu procesā ir ietekmējis lietas iznākumu, jo tiesa nav vērtējusi eksperta – būvniecības speciālista – atzinumu, kurā pieteicējas veiktie darbi kvalificēti atbilstoši būvniecību reglamentējošo normatīvo aktu prasībām, un nav apmierinājusi pieteicējas lūgumu par eksperta pieaicināšanu.</w:t>
      </w:r>
      <w:r w:rsidR="002847DF">
        <w:t xml:space="preserve"> Tiesa nav uzklausījusi tiesas sēdē darījumu partneru amatpersonas, lai pārliecinātos, ka nodoklis valsts budžetā ir samaksāts.</w:t>
      </w:r>
    </w:p>
    <w:p w14:paraId="33D10D49" w14:textId="77777777" w:rsidR="004B5F42" w:rsidRDefault="002847DF" w:rsidP="00C13155">
      <w:pPr>
        <w:spacing w:line="276" w:lineRule="auto"/>
        <w:ind w:firstLine="720"/>
        <w:jc w:val="both"/>
      </w:pPr>
      <w:r>
        <w:t xml:space="preserve">[3.7] </w:t>
      </w:r>
      <w:r w:rsidR="004B5F42">
        <w:t>T</w:t>
      </w:r>
      <w:r>
        <w:t>āpat t</w:t>
      </w:r>
      <w:r w:rsidR="004B5F42">
        <w:t xml:space="preserve">iesa nav vērtējusi </w:t>
      </w:r>
      <w:r>
        <w:t xml:space="preserve">argumentus un </w:t>
      </w:r>
      <w:r w:rsidR="004B5F42">
        <w:t>dokumentus, kas apliecina pušu vienošanos par nodokļa nomaksas kārtību</w:t>
      </w:r>
      <w:r>
        <w:t xml:space="preserve"> un</w:t>
      </w:r>
      <w:r w:rsidR="004B5F42">
        <w:t xml:space="preserve"> kas apliecina nodokļa samaksu budžetā.</w:t>
      </w:r>
      <w:r>
        <w:t xml:space="preserve"> Faktiski dienests vienus un tos pašus darījumus ar nodokli ir aplicis divreiz.</w:t>
      </w:r>
    </w:p>
    <w:p w14:paraId="75F788FA" w14:textId="4966D1BE" w:rsidR="001B60F4" w:rsidRDefault="002847DF" w:rsidP="00C13155">
      <w:pPr>
        <w:spacing w:line="276" w:lineRule="auto"/>
        <w:ind w:firstLine="720"/>
        <w:jc w:val="both"/>
      </w:pPr>
      <w:r>
        <w:t>[3.8] Tiesa nav norādījusi, kādēļ tā vienam pierādījumam (darījumu partneru atbild</w:t>
      </w:r>
      <w:r w:rsidR="00306F6E">
        <w:t>ēm</w:t>
      </w:r>
      <w:r>
        <w:t xml:space="preserve"> uz tiesas pieprasījumiem) devusi priekšroku salīdzinājumā ar citu pierādījumu (eksperta atzinum</w:t>
      </w:r>
      <w:r w:rsidR="00306F6E">
        <w:t>u</w:t>
      </w:r>
      <w:r>
        <w:t>, līgumi</w:t>
      </w:r>
      <w:r w:rsidR="00306F6E">
        <w:t>em</w:t>
      </w:r>
      <w:r>
        <w:t xml:space="preserve"> ar darījumu partneriem, kuros ietverta vienošanās par reverso nodokļa maksāšanas kārtību</w:t>
      </w:r>
      <w:r w:rsidR="00275842">
        <w:t>, un t</w:t>
      </w:r>
      <w:r w:rsidR="00306F6E">
        <w:t>o</w:t>
      </w:r>
      <w:r w:rsidR="00275842">
        <w:t>, ka pieteicējas darbība ir saistīta tikai ar būvniecību).</w:t>
      </w:r>
    </w:p>
    <w:p w14:paraId="344EC865" w14:textId="77777777" w:rsidR="008B3ACB" w:rsidRDefault="008B3ACB" w:rsidP="00C13155">
      <w:pPr>
        <w:spacing w:line="276" w:lineRule="auto"/>
        <w:ind w:firstLine="720"/>
        <w:jc w:val="both"/>
      </w:pPr>
      <w:r>
        <w:t>[3.9] Attiecībā uz darījumiem ar SIA „</w:t>
      </w:r>
      <w:proofErr w:type="spellStart"/>
      <w:r>
        <w:t>Geartrans</w:t>
      </w:r>
      <w:proofErr w:type="spellEnd"/>
      <w:r>
        <w:t>” un SIA „</w:t>
      </w:r>
      <w:proofErr w:type="spellStart"/>
      <w:r>
        <w:t>Laisan</w:t>
      </w:r>
      <w:proofErr w:type="spellEnd"/>
      <w:r>
        <w:t>” lietā nav norādīti pierādījumi, ka tieši pieteicēja ir guvusi fiskālas priekšrocības.</w:t>
      </w:r>
    </w:p>
    <w:p w14:paraId="4D6AA1FB" w14:textId="77777777" w:rsidR="008B3ACB" w:rsidRDefault="008B3ACB" w:rsidP="006C21AD">
      <w:pPr>
        <w:spacing w:line="276" w:lineRule="auto"/>
        <w:ind w:firstLine="720"/>
        <w:jc w:val="both"/>
      </w:pPr>
      <w:r>
        <w:t>[3.10] Pieteicēja jau audita laikā norādīja, ka bija nepieciešama ļoti daudzu lielgabarīta un smagu kravu (galvenokārt grunts) pārvadāšana, ko pieteicēja ar tai piederošo kravas autobusu nevarēja veikt. SIA „</w:t>
      </w:r>
      <w:proofErr w:type="spellStart"/>
      <w:r>
        <w:t>Geartrans</w:t>
      </w:r>
      <w:proofErr w:type="spellEnd"/>
      <w:r>
        <w:t xml:space="preserve">” ir deklarējusi darījumus ar pieteicēju. Tas neliecina, ka ir notikusi nepamatotu fiskālu priekšrocību gūšana un pieteicējas iesaistīšanās tajā. Tiesa ir atsaukusies uz neprecizitātēm un kļūdām dokumentos, </w:t>
      </w:r>
      <w:r w:rsidR="00354C05">
        <w:t>taču tās ir izskaidrotas paskaidrojumos un liecībās un nav tādas, kas liegtu pārliecināties par darījumu norisi. Tiesa nav ņēmusi vērā to, ka pieteicējas amatpersona ir sniegusi paskaidrojumus par to, kādi tieši pakalpojumi saņemti, kādas kravas pārvadātas, kādos maršrutos, kāpēc piesaistīts konkrētais darījumu partneris, un to, ka par darījumiem noformēti atbilstoši rēķini, veikti norēķini un darījumi deklarēti.</w:t>
      </w:r>
    </w:p>
    <w:p w14:paraId="0ED50B7A" w14:textId="211F1F7B" w:rsidR="001B60F4" w:rsidRDefault="00354C05" w:rsidP="00C13155">
      <w:pPr>
        <w:spacing w:line="276" w:lineRule="auto"/>
        <w:ind w:firstLine="720"/>
        <w:jc w:val="both"/>
      </w:pPr>
      <w:r>
        <w:t>[3.12] Tiesas konstatētās neatbilstības darījumā ar SIA „</w:t>
      </w:r>
      <w:proofErr w:type="spellStart"/>
      <w:r>
        <w:t>Laisan</w:t>
      </w:r>
      <w:proofErr w:type="spellEnd"/>
      <w:r>
        <w:t xml:space="preserve">” ir izskaidrojamas ar to, ka jau </w:t>
      </w:r>
      <w:proofErr w:type="gramStart"/>
      <w:r>
        <w:t>2011.gada</w:t>
      </w:r>
      <w:proofErr w:type="gramEnd"/>
      <w:r>
        <w:t xml:space="preserve"> 28.oktobrī starp pieteicēju un </w:t>
      </w:r>
      <w:r w:rsidR="009B68F2">
        <w:t>[pers. A]</w:t>
      </w:r>
      <w:r>
        <w:t xml:space="preserve"> kā fizisku personu noslēgts nodomu protokols par konkrēta projekta īstenošanu.</w:t>
      </w:r>
      <w:r w:rsidR="007F60A5">
        <w:t xml:space="preserve"> </w:t>
      </w:r>
      <w:r w:rsidR="009B68F2">
        <w:t>[pers. A]</w:t>
      </w:r>
      <w:r w:rsidR="007F60A5">
        <w:t xml:space="preserve"> ir apņēmies mērķa īstenošanas gadījumā reģistrēt komercsabiedrību un tās vārdā izrakstīt rēķinus.</w:t>
      </w:r>
    </w:p>
    <w:p w14:paraId="1E261360" w14:textId="77777777" w:rsidR="001B60F4" w:rsidRDefault="001B60F4" w:rsidP="00C13155">
      <w:pPr>
        <w:spacing w:line="276" w:lineRule="auto"/>
        <w:ind w:firstLine="720"/>
        <w:jc w:val="both"/>
      </w:pPr>
    </w:p>
    <w:p w14:paraId="35C20B5D" w14:textId="77777777" w:rsidR="001B60F4" w:rsidRDefault="001B60F4" w:rsidP="00C13155">
      <w:pPr>
        <w:spacing w:line="276" w:lineRule="auto"/>
        <w:ind w:firstLine="720"/>
        <w:jc w:val="both"/>
      </w:pPr>
      <w:r>
        <w:t xml:space="preserve">[4] </w:t>
      </w:r>
      <w:r w:rsidRPr="001B60F4">
        <w:t xml:space="preserve">Valsts ieņēmumu dienests paskaidrojumā </w:t>
      </w:r>
      <w:r w:rsidR="007F60A5">
        <w:t>nepiekrīt kasācijas sūdzības argumentiem un lūdz to noraidīt</w:t>
      </w:r>
      <w:r w:rsidRPr="001B60F4">
        <w:t>.</w:t>
      </w:r>
    </w:p>
    <w:p w14:paraId="703ABF2E" w14:textId="77777777" w:rsidR="00D41210" w:rsidRPr="00745715" w:rsidRDefault="00D41210" w:rsidP="00C13155">
      <w:pPr>
        <w:spacing w:line="276" w:lineRule="auto"/>
        <w:ind w:firstLine="720"/>
        <w:jc w:val="both"/>
      </w:pPr>
    </w:p>
    <w:p w14:paraId="18C54418" w14:textId="77777777" w:rsidR="003047F5" w:rsidRPr="00FF6087" w:rsidRDefault="003047F5" w:rsidP="00287404">
      <w:pPr>
        <w:spacing w:line="276" w:lineRule="auto"/>
        <w:jc w:val="center"/>
        <w:rPr>
          <w:b/>
        </w:rPr>
      </w:pPr>
      <w:r w:rsidRPr="00FF6087">
        <w:rPr>
          <w:b/>
        </w:rPr>
        <w:t>Motīvu daļa</w:t>
      </w:r>
    </w:p>
    <w:p w14:paraId="5E47F5FE" w14:textId="77777777" w:rsidR="006D4E60" w:rsidRDefault="006D4E60" w:rsidP="00287404">
      <w:pPr>
        <w:spacing w:line="276" w:lineRule="auto"/>
        <w:ind w:firstLine="720"/>
        <w:jc w:val="both"/>
      </w:pPr>
    </w:p>
    <w:p w14:paraId="7CBDC86D" w14:textId="17BF0AFD" w:rsidR="006D4E60" w:rsidRPr="006D4E60" w:rsidRDefault="006D4E60" w:rsidP="006D4E60">
      <w:pPr>
        <w:spacing w:line="276" w:lineRule="auto"/>
        <w:jc w:val="center"/>
      </w:pPr>
      <w:r>
        <w:t>I</w:t>
      </w:r>
    </w:p>
    <w:p w14:paraId="09B4EB91" w14:textId="77777777" w:rsidR="006D4E60" w:rsidRDefault="006D4E60" w:rsidP="00287404">
      <w:pPr>
        <w:spacing w:line="276" w:lineRule="auto"/>
        <w:ind w:firstLine="720"/>
        <w:jc w:val="both"/>
      </w:pPr>
    </w:p>
    <w:p w14:paraId="3060AD2E" w14:textId="77777777" w:rsidR="00FD32B8" w:rsidRDefault="00375252" w:rsidP="00F66A0B">
      <w:pPr>
        <w:spacing w:line="276" w:lineRule="auto"/>
        <w:ind w:firstLine="720"/>
        <w:jc w:val="both"/>
      </w:pPr>
      <w:r>
        <w:t>[</w:t>
      </w:r>
      <w:r w:rsidR="007F60A5">
        <w:t>5</w:t>
      </w:r>
      <w:r>
        <w:t xml:space="preserve">] </w:t>
      </w:r>
      <w:r w:rsidR="00FD32B8">
        <w:t xml:space="preserve">Lietā ir strīds par to, vai dienests pamatoti </w:t>
      </w:r>
      <w:r w:rsidR="00BF2CF8">
        <w:t>liedzis pieteicējai tiesības atskaitīt priekšnodokli par darījumiem ar SIA „</w:t>
      </w:r>
      <w:proofErr w:type="spellStart"/>
      <w:r w:rsidR="00BF2CF8">
        <w:t>Geartrans</w:t>
      </w:r>
      <w:proofErr w:type="spellEnd"/>
      <w:r w:rsidR="00BF2CF8">
        <w:t>” un SIA „</w:t>
      </w:r>
      <w:proofErr w:type="spellStart"/>
      <w:r w:rsidR="00BF2CF8">
        <w:t>Laisan</w:t>
      </w:r>
      <w:proofErr w:type="spellEnd"/>
      <w:r w:rsidR="00BF2CF8">
        <w:t>”.</w:t>
      </w:r>
    </w:p>
    <w:p w14:paraId="07E078D5" w14:textId="77777777" w:rsidR="00346AA5" w:rsidRDefault="00FD32B8" w:rsidP="00F66A0B">
      <w:pPr>
        <w:spacing w:line="276" w:lineRule="auto"/>
        <w:ind w:firstLine="720"/>
        <w:jc w:val="both"/>
      </w:pPr>
      <w:r>
        <w:t xml:space="preserve">Pieteicēja </w:t>
      </w:r>
      <w:r w:rsidR="00346AA5">
        <w:t>apgalvo, ka lietā nav norādīti pierādījumi tam, ka attiecībā uz darījumiem ar SIA „</w:t>
      </w:r>
      <w:proofErr w:type="spellStart"/>
      <w:r w:rsidR="00346AA5">
        <w:t>Geartrans</w:t>
      </w:r>
      <w:proofErr w:type="spellEnd"/>
      <w:r w:rsidR="00346AA5">
        <w:t>” un SIA „</w:t>
      </w:r>
      <w:proofErr w:type="spellStart"/>
      <w:r w:rsidR="00346AA5">
        <w:t>Laisan</w:t>
      </w:r>
      <w:proofErr w:type="spellEnd"/>
      <w:r w:rsidR="00346AA5">
        <w:t>” tieši pieteicēja ir guvusi fiskālas priekšrocības.</w:t>
      </w:r>
    </w:p>
    <w:p w14:paraId="498842EB" w14:textId="77777777" w:rsidR="00931B60" w:rsidRDefault="00931B60" w:rsidP="00F66A0B">
      <w:pPr>
        <w:spacing w:line="276" w:lineRule="auto"/>
        <w:ind w:firstLine="720"/>
        <w:jc w:val="both"/>
      </w:pPr>
      <w:r>
        <w:t xml:space="preserve">Šajā ziņā </w:t>
      </w:r>
      <w:r w:rsidR="00A26547">
        <w:t>Senāts norāda</w:t>
      </w:r>
      <w:r w:rsidR="00BB3ED5">
        <w:t>, ka, iekļaujot ar pievienotās vērt</w:t>
      </w:r>
      <w:r w:rsidR="002D1AD0">
        <w:t>ības nodokli apliekamo</w:t>
      </w:r>
      <w:r w:rsidR="00BB3ED5">
        <w:t xml:space="preserve">s pakalpojumu saņemšanas darījumus savā nodokļa deklarācijā, </w:t>
      </w:r>
      <w:r w:rsidR="00C1203E">
        <w:t>nodokļa maksātājs</w:t>
      </w:r>
      <w:r w:rsidR="00BB3ED5">
        <w:t xml:space="preserve"> līdz ar to ir ieguv</w:t>
      </w:r>
      <w:r w:rsidR="00C1203E">
        <w:t>is</w:t>
      </w:r>
      <w:r w:rsidR="00BB3ED5">
        <w:t xml:space="preserve"> priekšnodokļa atskaitīšanas tiesības.</w:t>
      </w:r>
      <w:r w:rsidR="00C1203E">
        <w:t xml:space="preserve"> Ja deklarācijā tiktu iekļauti darījumi, kuri pēc būtības nav notikuši vai kuros faktiskais pakalpojumu sniedzējs nav identificējams, minētās tiesības tiktu izmantotas nepamatoti, </w:t>
      </w:r>
      <w:r w:rsidR="006C21AD">
        <w:t xml:space="preserve">nodokļa maksātājam </w:t>
      </w:r>
      <w:r w:rsidR="00C1203E">
        <w:t>gūstot fiskālas priekšrocības.</w:t>
      </w:r>
    </w:p>
    <w:p w14:paraId="0B7C0C6A" w14:textId="77777777" w:rsidR="00BB3ED5" w:rsidRDefault="002D1AD0" w:rsidP="00F66A0B">
      <w:pPr>
        <w:spacing w:line="276" w:lineRule="auto"/>
        <w:ind w:firstLine="720"/>
        <w:jc w:val="both"/>
      </w:pPr>
      <w:r>
        <w:lastRenderedPageBreak/>
        <w:t xml:space="preserve">Dienests </w:t>
      </w:r>
      <w:r w:rsidR="00BB3ED5">
        <w:t>savā lēmumā</w:t>
      </w:r>
      <w:r w:rsidRPr="002D1AD0">
        <w:t xml:space="preserve"> </w:t>
      </w:r>
      <w:r>
        <w:t>tieši norāda</w:t>
      </w:r>
      <w:r w:rsidR="00BB3ED5">
        <w:t xml:space="preserve">, </w:t>
      </w:r>
      <w:r>
        <w:t xml:space="preserve">ka </w:t>
      </w:r>
      <w:r w:rsidR="00BB3ED5">
        <w:t>pieteicējas darījumi ar SIA „</w:t>
      </w:r>
      <w:proofErr w:type="spellStart"/>
      <w:r w:rsidR="00BB3ED5">
        <w:t>Geartrans</w:t>
      </w:r>
      <w:proofErr w:type="spellEnd"/>
      <w:r w:rsidR="00BB3ED5">
        <w:t>” un SIA „</w:t>
      </w:r>
      <w:proofErr w:type="spellStart"/>
      <w:r w:rsidR="00BB3ED5">
        <w:t>Laisan</w:t>
      </w:r>
      <w:proofErr w:type="spellEnd"/>
      <w:r w:rsidR="00BB3ED5">
        <w:t>” ir noformēti ar mērķi gūt fiskālas priekšrocības atskaitāmā nodokļa veidā.</w:t>
      </w:r>
      <w:r w:rsidR="001A0A4C">
        <w:t xml:space="preserve"> Tādēļ, lai atbildētu uz jautājumu, </w:t>
      </w:r>
      <w:proofErr w:type="gramStart"/>
      <w:r w:rsidR="001A0A4C">
        <w:t xml:space="preserve">vai pieteicēja ir </w:t>
      </w:r>
      <w:r>
        <w:t>pamatoti</w:t>
      </w:r>
      <w:proofErr w:type="gramEnd"/>
      <w:r>
        <w:t xml:space="preserve"> iekļāvusi pakalpojumu saņemšanas darījumus savā</w:t>
      </w:r>
      <w:r w:rsidR="00FD32B8">
        <w:t>s</w:t>
      </w:r>
      <w:r>
        <w:t xml:space="preserve"> nodokļa deklarācijā</w:t>
      </w:r>
      <w:r w:rsidR="00FD32B8">
        <w:t>s</w:t>
      </w:r>
      <w:r>
        <w:t xml:space="preserve"> vai arī, tieši otrādi, </w:t>
      </w:r>
      <w:r w:rsidR="00C1203E">
        <w:t>šādā veidā</w:t>
      </w:r>
      <w:r>
        <w:t xml:space="preserve"> </w:t>
      </w:r>
      <w:r w:rsidR="001A0A4C">
        <w:t>guvusi nepamatotas fiskālas priekšrocības</w:t>
      </w:r>
      <w:r>
        <w:t xml:space="preserve">, </w:t>
      </w:r>
      <w:r w:rsidR="001A0A4C">
        <w:t xml:space="preserve">tiesai </w:t>
      </w:r>
      <w:proofErr w:type="spellStart"/>
      <w:r w:rsidR="00A26547">
        <w:t>citstarp</w:t>
      </w:r>
      <w:proofErr w:type="spellEnd"/>
      <w:r w:rsidR="00A26547">
        <w:t xml:space="preserve"> ir </w:t>
      </w:r>
      <w:r w:rsidR="001A0A4C">
        <w:t xml:space="preserve">jānoskaidro, vai pieteicējas </w:t>
      </w:r>
      <w:r w:rsidR="006C21AD">
        <w:t xml:space="preserve">deklarētie </w:t>
      </w:r>
      <w:r w:rsidR="001A0A4C">
        <w:t xml:space="preserve">darījumi ar </w:t>
      </w:r>
      <w:r w:rsidR="006C21AD">
        <w:t>SIA</w:t>
      </w:r>
      <w:r w:rsidR="00FD32B8">
        <w:t> </w:t>
      </w:r>
      <w:r w:rsidR="006C21AD">
        <w:t>„</w:t>
      </w:r>
      <w:proofErr w:type="spellStart"/>
      <w:r w:rsidR="006C21AD">
        <w:t>Geartrans</w:t>
      </w:r>
      <w:proofErr w:type="spellEnd"/>
      <w:r w:rsidR="006C21AD">
        <w:t>” un SIA „</w:t>
      </w:r>
      <w:proofErr w:type="spellStart"/>
      <w:r w:rsidR="006C21AD">
        <w:t>Laisan</w:t>
      </w:r>
      <w:proofErr w:type="spellEnd"/>
      <w:r w:rsidR="006C21AD">
        <w:t>”</w:t>
      </w:r>
      <w:r w:rsidR="001A0A4C">
        <w:t xml:space="preserve"> ir notikuši atbilstoši to ekonomiskajai būtībai.</w:t>
      </w:r>
    </w:p>
    <w:p w14:paraId="30F4E639" w14:textId="77777777" w:rsidR="001A0A4C" w:rsidRDefault="001A0A4C" w:rsidP="00F66A0B">
      <w:pPr>
        <w:spacing w:line="276" w:lineRule="auto"/>
        <w:ind w:firstLine="720"/>
        <w:jc w:val="both"/>
      </w:pPr>
      <w:r>
        <w:t>Apgabaltiesa</w:t>
      </w:r>
      <w:r w:rsidR="00FD32B8">
        <w:t xml:space="preserve"> lietā</w:t>
      </w:r>
      <w:r>
        <w:t xml:space="preserve"> </w:t>
      </w:r>
      <w:r w:rsidR="00FD32B8">
        <w:t xml:space="preserve">pēc būtības </w:t>
      </w:r>
      <w:r>
        <w:t>ir konstatējusi, ka pieteicējas darījums ar SIA „</w:t>
      </w:r>
      <w:proofErr w:type="spellStart"/>
      <w:r>
        <w:t>Laisan</w:t>
      </w:r>
      <w:proofErr w:type="spellEnd"/>
      <w:r>
        <w:t>” nav noticis vispār, jo nav identificējams saņemtais pakalpojums, savukārt darījumi ar SIA</w:t>
      </w:r>
      <w:r w:rsidR="00FD32B8">
        <w:t> </w:t>
      </w:r>
      <w:r>
        <w:t>„</w:t>
      </w:r>
      <w:proofErr w:type="spellStart"/>
      <w:r>
        <w:t>Geartrans</w:t>
      </w:r>
      <w:proofErr w:type="spellEnd"/>
      <w:r>
        <w:t xml:space="preserve">” nav notikuši ar rēķinos norādīto partneri, bet pieteicēja zināja (tai bija jāzina), ka </w:t>
      </w:r>
      <w:r w:rsidRPr="001A0A4C">
        <w:t>faktiski pakalpojumus sniedz cita persona, nevis tā, kas norādīta nodokļa rēķ</w:t>
      </w:r>
      <w:r w:rsidR="002D1AD0">
        <w:t>inos</w:t>
      </w:r>
      <w:r>
        <w:t>.</w:t>
      </w:r>
      <w:r w:rsidR="00BF2CF8">
        <w:t xml:space="preserve"> </w:t>
      </w:r>
      <w:r w:rsidR="002D1AD0">
        <w:t xml:space="preserve">Apgabaltiesa šajā ziņā ir </w:t>
      </w:r>
      <w:r w:rsidR="00BF2CF8">
        <w:t>atsaukusies</w:t>
      </w:r>
      <w:r w:rsidR="002D1AD0">
        <w:t xml:space="preserve"> uz virkni lietā esošu pierādījumu, tādēļ pieteicējas vispārīgais </w:t>
      </w:r>
      <w:r w:rsidR="00BF2CF8">
        <w:t>iebildums</w:t>
      </w:r>
      <w:r w:rsidR="002D1AD0">
        <w:t>, ka lietā nav norādīti</w:t>
      </w:r>
      <w:r w:rsidR="00C1203E">
        <w:t xml:space="preserve"> attiecīgie pierādījumi, </w:t>
      </w:r>
      <w:r w:rsidR="00BF2CF8">
        <w:t xml:space="preserve">nav pamatots un </w:t>
      </w:r>
      <w:r w:rsidR="00C1203E">
        <w:t>pats par sevi nerada šaubas par apgabaltiesas sprieduma tiesiskumu.</w:t>
      </w:r>
    </w:p>
    <w:p w14:paraId="3E30D686" w14:textId="77777777" w:rsidR="00481358" w:rsidRDefault="00481358" w:rsidP="00F66A0B">
      <w:pPr>
        <w:spacing w:line="276" w:lineRule="auto"/>
        <w:ind w:firstLine="720"/>
        <w:jc w:val="both"/>
      </w:pPr>
    </w:p>
    <w:p w14:paraId="72A2A6E5" w14:textId="77777777" w:rsidR="006C21AD" w:rsidRDefault="006C21AD" w:rsidP="00F66A0B">
      <w:pPr>
        <w:spacing w:line="276" w:lineRule="auto"/>
        <w:ind w:firstLine="720"/>
        <w:jc w:val="both"/>
      </w:pPr>
      <w:r>
        <w:t>[6] Pieteicējas argum</w:t>
      </w:r>
      <w:r w:rsidR="00481358">
        <w:t>ents, ka ar savu transportu tā nespēja</w:t>
      </w:r>
      <w:r>
        <w:t xml:space="preserve"> pārvadāt daudzās lielgabarīta kravas, </w:t>
      </w:r>
      <w:r w:rsidR="0031625C">
        <w:t xml:space="preserve">pats par sevi </w:t>
      </w:r>
      <w:r w:rsidR="006147E3">
        <w:t>nerada pamatu apšaubīt</w:t>
      </w:r>
      <w:r w:rsidR="0031625C">
        <w:t xml:space="preserve"> tiesas secinājumu</w:t>
      </w:r>
      <w:r>
        <w:t xml:space="preserve">, ka </w:t>
      </w:r>
      <w:r w:rsidR="0031625C">
        <w:t>darījums ar</w:t>
      </w:r>
      <w:r>
        <w:t xml:space="preserve"> SIA</w:t>
      </w:r>
      <w:r w:rsidR="006147E3">
        <w:t> </w:t>
      </w:r>
      <w:r>
        <w:t>„</w:t>
      </w:r>
      <w:proofErr w:type="spellStart"/>
      <w:r>
        <w:t>Geartrans</w:t>
      </w:r>
      <w:proofErr w:type="spellEnd"/>
      <w:r>
        <w:t>”</w:t>
      </w:r>
      <w:r w:rsidR="0031625C">
        <w:t xml:space="preserve"> bijis fiktīvs</w:t>
      </w:r>
      <w:r>
        <w:t>.</w:t>
      </w:r>
      <w:r w:rsidR="00B451C1">
        <w:t xml:space="preserve"> Tāpat to </w:t>
      </w:r>
      <w:r w:rsidR="00BE5FEE">
        <w:t xml:space="preserve">nerada </w:t>
      </w:r>
      <w:r w:rsidR="00B451C1">
        <w:t>apstāklis, ka SIA „</w:t>
      </w:r>
      <w:proofErr w:type="spellStart"/>
      <w:r w:rsidR="00B451C1">
        <w:t>Geartrans</w:t>
      </w:r>
      <w:proofErr w:type="spellEnd"/>
      <w:r w:rsidR="00B451C1">
        <w:t>” formāli ir deklarējusi darījumus ar pieteicēju un ka pieteicējas amatpersona paskaidrojumos ir apstiprinājusi darījumu norisi.</w:t>
      </w:r>
    </w:p>
    <w:p w14:paraId="64E9A5B0" w14:textId="77777777" w:rsidR="00B451C1" w:rsidRDefault="00B451C1" w:rsidP="00F66A0B">
      <w:pPr>
        <w:spacing w:line="276" w:lineRule="auto"/>
        <w:ind w:firstLine="720"/>
        <w:jc w:val="both"/>
      </w:pPr>
      <w:r>
        <w:t>Šie argumenti norāda tikai uz to, ka pieteicēja vēlas, lai tiesa minētajiem pierādījumiem piešķirtu citu nozīmi</w:t>
      </w:r>
      <w:r w:rsidR="004D56FF">
        <w:t>, taču tie nepamato, kā tieši apgabaltiesas veiktais pierādījumu novērtējums ir bijis kļūdains un novedis pie nepareiza lietas iznākuma.</w:t>
      </w:r>
    </w:p>
    <w:p w14:paraId="72862C92" w14:textId="77777777" w:rsidR="00931B60" w:rsidRDefault="00931B60" w:rsidP="00F66A0B">
      <w:pPr>
        <w:spacing w:line="276" w:lineRule="auto"/>
        <w:ind w:firstLine="720"/>
        <w:jc w:val="both"/>
      </w:pPr>
    </w:p>
    <w:p w14:paraId="2068E2DD" w14:textId="7D7DFC6A" w:rsidR="004D56FF" w:rsidRDefault="004D56FF" w:rsidP="00F66A0B">
      <w:pPr>
        <w:spacing w:line="276" w:lineRule="auto"/>
        <w:ind w:firstLine="720"/>
        <w:jc w:val="both"/>
      </w:pPr>
      <w:r>
        <w:t xml:space="preserve">[7] </w:t>
      </w:r>
      <w:r w:rsidR="00FD32B8">
        <w:t xml:space="preserve">Savukārt attiecībā </w:t>
      </w:r>
      <w:r>
        <w:t>uz darījumu ar SIA „</w:t>
      </w:r>
      <w:proofErr w:type="spellStart"/>
      <w:r>
        <w:t>Laisan</w:t>
      </w:r>
      <w:proofErr w:type="spellEnd"/>
      <w:r>
        <w:t xml:space="preserve">” pieteicēja </w:t>
      </w:r>
      <w:r w:rsidR="009C482D">
        <w:t>uzskata</w:t>
      </w:r>
      <w:r>
        <w:t xml:space="preserve">, ka </w:t>
      </w:r>
      <w:r w:rsidR="0035603D">
        <w:t>tiesa</w:t>
      </w:r>
      <w:r w:rsidR="00D87DE9">
        <w:t xml:space="preserve"> neesot ņēmusi vērā, ka tiesas</w:t>
      </w:r>
      <w:r w:rsidR="0035603D">
        <w:t xml:space="preserve"> konstatētās neatbilstības </w:t>
      </w:r>
      <w:r w:rsidR="00EB564C">
        <w:t xml:space="preserve">esot </w:t>
      </w:r>
      <w:r w:rsidR="0035603D">
        <w:t xml:space="preserve">izskaidrojamas ar to, ka jau </w:t>
      </w:r>
      <w:proofErr w:type="gramStart"/>
      <w:r w:rsidR="0035603D">
        <w:t>2011.gada</w:t>
      </w:r>
      <w:proofErr w:type="gramEnd"/>
      <w:r w:rsidR="0035603D">
        <w:t xml:space="preserve"> 28.oktobrī starp pieteicēju un </w:t>
      </w:r>
      <w:r w:rsidR="009B68F2">
        <w:t>[pers. A]</w:t>
      </w:r>
      <w:r w:rsidR="0035603D">
        <w:t xml:space="preserve"> noslēgts nodomu protokols un ka </w:t>
      </w:r>
      <w:proofErr w:type="gramStart"/>
      <w:r w:rsidR="009B68F2">
        <w:t>[</w:t>
      </w:r>
      <w:proofErr w:type="gramEnd"/>
      <w:r w:rsidR="009B68F2">
        <w:t>pers. A]</w:t>
      </w:r>
      <w:r w:rsidR="0035603D">
        <w:t xml:space="preserve"> ir apņēmies mērķa īstenošanas gadījumā reģistrēt komercsabiedrību un tās vārdā izrakstīt rēķinus.</w:t>
      </w:r>
    </w:p>
    <w:p w14:paraId="72D3FBA5" w14:textId="794ACC1D" w:rsidR="00D87DE9" w:rsidRDefault="00C76CE6" w:rsidP="00F66A0B">
      <w:pPr>
        <w:spacing w:line="276" w:lineRule="auto"/>
        <w:ind w:firstLine="720"/>
        <w:jc w:val="both"/>
      </w:pPr>
      <w:r>
        <w:t xml:space="preserve">Senāts </w:t>
      </w:r>
      <w:proofErr w:type="spellStart"/>
      <w:r w:rsidR="005C774B">
        <w:t>pirmām</w:t>
      </w:r>
      <w:proofErr w:type="spellEnd"/>
      <w:r w:rsidR="005C774B">
        <w:t xml:space="preserve"> kārtām </w:t>
      </w:r>
      <w:r>
        <w:t>norāda, ka</w:t>
      </w:r>
      <w:r w:rsidR="00D87DE9">
        <w:t>,</w:t>
      </w:r>
      <w:r w:rsidR="00E647D8">
        <w:t xml:space="preserve"> </w:t>
      </w:r>
      <w:r w:rsidR="00D87DE9">
        <w:t xml:space="preserve">pievienojoties rajona tiesas sprieduma motivācijai, apgabaltiesa vērtējusi arī </w:t>
      </w:r>
      <w:proofErr w:type="gramStart"/>
      <w:r w:rsidR="00D87DE9">
        <w:t>2011.gada</w:t>
      </w:r>
      <w:proofErr w:type="gramEnd"/>
      <w:r w:rsidR="00D87DE9">
        <w:t xml:space="preserve"> 28.oktobrī starp pieteicēju un </w:t>
      </w:r>
      <w:r w:rsidR="009B68F2">
        <w:t>[pers. A]</w:t>
      </w:r>
      <w:r w:rsidR="00D87DE9">
        <w:t xml:space="preserve"> noslēgto nodomu protokolu. </w:t>
      </w:r>
      <w:proofErr w:type="gramStart"/>
      <w:r w:rsidR="00D87DE9">
        <w:t>Tādējādi,</w:t>
      </w:r>
      <w:proofErr w:type="gramEnd"/>
      <w:r w:rsidR="00D87DE9">
        <w:t xml:space="preserve"> nepastāvot plašākai kasācijas sūdzības argumentācijai par to, kādā veidā apgabaltiesas vērtējums šim apstāklim ir kļūdains vai nepietiekams, pieteicējas arguments, ka tiesa šo apstākli neesot vērtējusi,</w:t>
      </w:r>
      <w:r w:rsidR="00D87DE9" w:rsidRPr="000646E8">
        <w:t xml:space="preserve"> </w:t>
      </w:r>
      <w:r w:rsidR="00D87DE9">
        <w:t>ir acīmredzami nepamatots.</w:t>
      </w:r>
    </w:p>
    <w:p w14:paraId="4969CE18" w14:textId="7150AC5D" w:rsidR="00E647D8" w:rsidRDefault="00A26547" w:rsidP="00F66A0B">
      <w:pPr>
        <w:spacing w:line="276" w:lineRule="auto"/>
        <w:ind w:firstLine="720"/>
        <w:jc w:val="both"/>
      </w:pPr>
      <w:r>
        <w:t>Otrkārt, Senāts norāda</w:t>
      </w:r>
      <w:r w:rsidR="00D87DE9">
        <w:t xml:space="preserve">, ka </w:t>
      </w:r>
      <w:r w:rsidR="00E647D8">
        <w:t>to, ka</w:t>
      </w:r>
      <w:r w:rsidR="006C27E2">
        <w:t xml:space="preserve"> </w:t>
      </w:r>
      <w:proofErr w:type="gramStart"/>
      <w:r w:rsidR="005C774B">
        <w:t>2012.gada</w:t>
      </w:r>
      <w:proofErr w:type="gramEnd"/>
      <w:r w:rsidR="005C774B">
        <w:t xml:space="preserve"> 20.janvāra </w:t>
      </w:r>
      <w:r w:rsidR="00EA1E3A">
        <w:t xml:space="preserve">sadarbības līgumu </w:t>
      </w:r>
      <w:r w:rsidR="005C774B">
        <w:t xml:space="preserve">pieteicēja </w:t>
      </w:r>
      <w:r w:rsidR="00EA1E3A">
        <w:t>ar SIA „</w:t>
      </w:r>
      <w:proofErr w:type="spellStart"/>
      <w:r w:rsidR="00EA1E3A">
        <w:t>Laisan</w:t>
      </w:r>
      <w:proofErr w:type="spellEnd"/>
      <w:r w:rsidR="00EA1E3A">
        <w:t xml:space="preserve">” noslēgusi </w:t>
      </w:r>
      <w:r w:rsidR="00FD32B8">
        <w:t xml:space="preserve">tikai </w:t>
      </w:r>
      <w:r w:rsidR="00EA1E3A">
        <w:t xml:space="preserve">pēc </w:t>
      </w:r>
      <w:r w:rsidR="00FD32B8">
        <w:t xml:space="preserve">iespējamās </w:t>
      </w:r>
      <w:r w:rsidR="00EA1E3A">
        <w:t>pakalpojuma sniegšanas, savukārt SIA</w:t>
      </w:r>
      <w:r w:rsidR="005C774B">
        <w:t> </w:t>
      </w:r>
      <w:r w:rsidR="00EA1E3A">
        <w:t>„</w:t>
      </w:r>
      <w:proofErr w:type="spellStart"/>
      <w:r w:rsidR="00EA1E3A">
        <w:t>Laisan</w:t>
      </w:r>
      <w:proofErr w:type="spellEnd"/>
      <w:r w:rsidR="00EA1E3A">
        <w:t xml:space="preserve">” komercreģistrā reģistrēta </w:t>
      </w:r>
      <w:r w:rsidR="00D87DE9">
        <w:t xml:space="preserve">vēl </w:t>
      </w:r>
      <w:r w:rsidR="00FD32B8">
        <w:t>vēlāk</w:t>
      </w:r>
      <w:r w:rsidR="00D87DE9">
        <w:t xml:space="preserve"> (</w:t>
      </w:r>
      <w:r w:rsidR="005C774B">
        <w:t>2012.gada 24.janvārī</w:t>
      </w:r>
      <w:r w:rsidR="00D87DE9">
        <w:t>)</w:t>
      </w:r>
      <w:r w:rsidR="00AE1B6D">
        <w:t xml:space="preserve">, liekot secināt, ka dokumenti sastādīti ar atpakaļejošu datumu, apgabaltiesa </w:t>
      </w:r>
      <w:r>
        <w:t>minējusi</w:t>
      </w:r>
      <w:r w:rsidR="00AE1B6D">
        <w:t xml:space="preserve"> tikai kā papildu argumentu</w:t>
      </w:r>
      <w:r w:rsidR="00C76CE6">
        <w:t>. Tiesas galvenā motivācija balstās uz to, ka nav identificējams pakalpojums, kuru SIA „</w:t>
      </w:r>
      <w:proofErr w:type="spellStart"/>
      <w:r w:rsidR="00C76CE6">
        <w:t>Laisan</w:t>
      </w:r>
      <w:proofErr w:type="spellEnd"/>
      <w:r w:rsidR="00C76CE6">
        <w:t>” būtu sniegusi pieteicējai, jo</w:t>
      </w:r>
      <w:r w:rsidR="007C3701">
        <w:t xml:space="preserve"> abu</w:t>
      </w:r>
      <w:r w:rsidR="00C76CE6">
        <w:t xml:space="preserve"> darījumu partneru pārstāvju liecības un paskaidrojumi </w:t>
      </w:r>
      <w:r w:rsidR="007C3701">
        <w:t xml:space="preserve">ir vispārīgi un </w:t>
      </w:r>
      <w:r w:rsidR="00C76CE6">
        <w:t>netiek piepildīti ar konkrētu saturu.</w:t>
      </w:r>
      <w:r w:rsidR="00D87DE9">
        <w:t xml:space="preserve"> </w:t>
      </w:r>
      <w:r w:rsidR="00FD32B8">
        <w:t xml:space="preserve">Konkrētus iebildumus pret šo secinājumu pieteicēja nav norādījusi, vien vispārīgi apgalvojusi, ka </w:t>
      </w:r>
      <w:r w:rsidR="009B68F2">
        <w:t>[pers. A]</w:t>
      </w:r>
      <w:r w:rsidR="00FD32B8">
        <w:t xml:space="preserve"> rīcība, sniegtā informācija, </w:t>
      </w:r>
      <w:r w:rsidR="00BA7356">
        <w:t>dokumenti</w:t>
      </w:r>
      <w:r w:rsidR="00FD32B8">
        <w:t xml:space="preserve"> un padomi</w:t>
      </w:r>
      <w:r w:rsidR="00BA7356">
        <w:t xml:space="preserve"> ļāvuši pieteicējai iegūt objekta īstenošanas tiesības</w:t>
      </w:r>
      <w:r w:rsidR="005956E9">
        <w:t xml:space="preserve"> un ka tiesa neesot vērtējusi pierādījumus kopumā</w:t>
      </w:r>
      <w:r w:rsidR="00FD32B8">
        <w:t xml:space="preserve">. </w:t>
      </w:r>
      <w:r w:rsidR="00D87DE9">
        <w:t>Tādējādi kasācija</w:t>
      </w:r>
      <w:r>
        <w:t>s</w:t>
      </w:r>
      <w:r w:rsidR="00D87DE9">
        <w:t xml:space="preserve"> sūdzība </w:t>
      </w:r>
      <w:r w:rsidR="00BA7356">
        <w:t xml:space="preserve">pēc būtības </w:t>
      </w:r>
      <w:r w:rsidR="00D87DE9">
        <w:t>nesatur pamatojumu tam, kādā veidā apgabaltiesa attiecībā uz šo darījumu nonākusi pie nepareiza lietas iznākuma.</w:t>
      </w:r>
    </w:p>
    <w:p w14:paraId="0A9B3A92" w14:textId="77777777" w:rsidR="00A51320" w:rsidRDefault="00A51320" w:rsidP="00A51320">
      <w:pPr>
        <w:spacing w:line="276" w:lineRule="auto"/>
        <w:ind w:firstLine="720"/>
        <w:jc w:val="both"/>
      </w:pPr>
    </w:p>
    <w:p w14:paraId="0022B01C" w14:textId="4DCAD712" w:rsidR="00A51320" w:rsidRPr="006D4E60" w:rsidRDefault="00A51320" w:rsidP="00A51320">
      <w:pPr>
        <w:spacing w:line="276" w:lineRule="auto"/>
        <w:jc w:val="center"/>
      </w:pPr>
      <w:r>
        <w:t>II</w:t>
      </w:r>
    </w:p>
    <w:p w14:paraId="7B1450F2" w14:textId="77777777" w:rsidR="00481D0C" w:rsidRDefault="00481D0C" w:rsidP="00F66A0B">
      <w:pPr>
        <w:spacing w:line="276" w:lineRule="auto"/>
        <w:ind w:firstLine="720"/>
        <w:jc w:val="both"/>
      </w:pPr>
    </w:p>
    <w:p w14:paraId="55725923" w14:textId="77777777" w:rsidR="00D87DE9" w:rsidRDefault="00D87DE9" w:rsidP="00F66A0B">
      <w:pPr>
        <w:spacing w:line="276" w:lineRule="auto"/>
        <w:ind w:firstLine="720"/>
        <w:jc w:val="both"/>
      </w:pPr>
      <w:r>
        <w:lastRenderedPageBreak/>
        <w:t xml:space="preserve">[8] </w:t>
      </w:r>
      <w:r w:rsidR="00BA7356">
        <w:t>Lietā ir strīds arī par to, vai pieteicēja pamatoti piemērojusi pievienotās vērtības nodokļa reverso maksāšanas kārtību remontdarbu sniegšanas pakalpojumu darījumiem ar SIA „</w:t>
      </w:r>
      <w:proofErr w:type="spellStart"/>
      <w:r w:rsidR="00BA7356">
        <w:t>Joker</w:t>
      </w:r>
      <w:proofErr w:type="spellEnd"/>
      <w:r w:rsidR="00BA7356">
        <w:t xml:space="preserve"> LTD” (pieteikuma noraidītajā daļā), SIA „</w:t>
      </w:r>
      <w:proofErr w:type="spellStart"/>
      <w:r w:rsidR="00BA7356">
        <w:t>New</w:t>
      </w:r>
      <w:proofErr w:type="spellEnd"/>
      <w:r w:rsidR="00BA7356">
        <w:t xml:space="preserve"> Rosme”, SIA „Glorija G”, SIA</w:t>
      </w:r>
      <w:r w:rsidR="0073156E">
        <w:t> </w:t>
      </w:r>
      <w:r w:rsidR="00BA7356">
        <w:t>„Valdemārs 23”, SIA „PT4” un SIA „Lattelecom”.</w:t>
      </w:r>
    </w:p>
    <w:p w14:paraId="1ED26C0F" w14:textId="77777777" w:rsidR="00662BAD" w:rsidRDefault="00BA7356" w:rsidP="00F66A0B">
      <w:pPr>
        <w:spacing w:line="276" w:lineRule="auto"/>
        <w:ind w:firstLine="720"/>
        <w:jc w:val="both"/>
      </w:pPr>
      <w:r>
        <w:t xml:space="preserve">Likuma „Par pievienotās vērtības nodokli” </w:t>
      </w:r>
      <w:r w:rsidR="0073156E">
        <w:t xml:space="preserve">(tiesību normas redakcijā, kas bija spēkā no </w:t>
      </w:r>
      <w:proofErr w:type="gramStart"/>
      <w:r w:rsidR="0073156E">
        <w:t>2012.gada</w:t>
      </w:r>
      <w:proofErr w:type="gramEnd"/>
      <w:r w:rsidR="0073156E">
        <w:t xml:space="preserve"> 1.janvāra līdz 31.decembrim) </w:t>
      </w:r>
      <w:r>
        <w:t>13.</w:t>
      </w:r>
      <w:r>
        <w:rPr>
          <w:vertAlign w:val="superscript"/>
        </w:rPr>
        <w:t>6</w:t>
      </w:r>
      <w:r>
        <w:t xml:space="preserve">panta </w:t>
      </w:r>
      <w:r w:rsidR="0073156E">
        <w:t>otrā daļa paredz</w:t>
      </w:r>
      <w:r w:rsidR="00430A2E">
        <w:t>ēja</w:t>
      </w:r>
      <w:r w:rsidR="0073156E">
        <w:t xml:space="preserve">, ka </w:t>
      </w:r>
      <w:r w:rsidR="0073156E" w:rsidRPr="0073156E">
        <w:t>nodokli par šā panta ceturtajā daļā minētajiem būvniecības pakalpojumiem, kas sniegti iekšzemē, valsts budžetā maksā būvniecības pakalpojumu saņēmējs, ja būvniecības pakalpojumu sniedzējs un būvniecības pakalpojumu saņēmējs ir apliekamās personas.</w:t>
      </w:r>
    </w:p>
    <w:p w14:paraId="098834D9" w14:textId="3BD2FB7C" w:rsidR="00662BAD" w:rsidRDefault="00662BAD" w:rsidP="00F66A0B">
      <w:pPr>
        <w:spacing w:line="276" w:lineRule="auto"/>
        <w:ind w:firstLine="720"/>
        <w:jc w:val="both"/>
      </w:pPr>
      <w:r>
        <w:t xml:space="preserve">Šā panta pirmā daļa paredzēja, ka </w:t>
      </w:r>
      <w:r w:rsidRPr="00662BAD">
        <w:t>panta izpratnē būvniecības pakalpojumi ir būvdarbu veikšana jaunas būves (ēkas, inženierbūves) būvēšanai vai esošās būves vai tās daļas renovācijai, rekonstrukcijai, restaurācijai, konservācijai vai nojaukšanai.</w:t>
      </w:r>
    </w:p>
    <w:p w14:paraId="4960218D" w14:textId="77777777" w:rsidR="00662BAD" w:rsidRDefault="00662BAD" w:rsidP="00662BAD">
      <w:pPr>
        <w:spacing w:line="276" w:lineRule="auto"/>
        <w:ind w:firstLine="720"/>
        <w:jc w:val="both"/>
      </w:pPr>
      <w:r>
        <w:t xml:space="preserve">Savukārt Ministru kabineta </w:t>
      </w:r>
      <w:proofErr w:type="gramStart"/>
      <w:r>
        <w:t>2006.gada</w:t>
      </w:r>
      <w:proofErr w:type="gramEnd"/>
      <w:r>
        <w:t xml:space="preserve"> 14.novembra noteikumu Nr. 933 „Likuma „Par pievienotās vērtības nodokli” normu piemērošanas kārtība” 293.</w:t>
      </w:r>
      <w:r w:rsidRPr="00B44B8A">
        <w:rPr>
          <w:vertAlign w:val="superscript"/>
        </w:rPr>
        <w:t>5</w:t>
      </w:r>
      <w:r>
        <w:t xml:space="preserve">punktā (redakcijā, kas bija spēkā pakalpojumu sniegšanas laikā 2012.gadā) </w:t>
      </w:r>
      <w:r w:rsidR="00B44B8A">
        <w:t xml:space="preserve">bija </w:t>
      </w:r>
      <w:r>
        <w:t>noteikts, ka</w:t>
      </w:r>
      <w:r w:rsidR="00B44B8A">
        <w:t>,</w:t>
      </w:r>
      <w:r>
        <w:t xml:space="preserve"> piemērojot</w:t>
      </w:r>
      <w:r w:rsidR="00B44B8A">
        <w:t xml:space="preserve"> </w:t>
      </w:r>
      <w:r>
        <w:t>likuma 13.</w:t>
      </w:r>
      <w:r w:rsidRPr="00B44B8A">
        <w:rPr>
          <w:vertAlign w:val="superscript"/>
        </w:rPr>
        <w:t>6</w:t>
      </w:r>
      <w:r>
        <w:t>panta pirmo daļu, par būvniecības pakalpojumu uzskata arī būvdarbus, kas tiek veikti būves vienkāršotai</w:t>
      </w:r>
      <w:r w:rsidR="00B44B8A">
        <w:t xml:space="preserve"> </w:t>
      </w:r>
      <w:r>
        <w:t>renovācijai un vienkāršotai rekonstrukcijai</w:t>
      </w:r>
      <w:r w:rsidR="00B44B8A">
        <w:t>.</w:t>
      </w:r>
    </w:p>
    <w:p w14:paraId="07F40B52" w14:textId="28069CC4" w:rsidR="007F60A5" w:rsidRDefault="00117E7C" w:rsidP="00F66A0B">
      <w:pPr>
        <w:spacing w:line="276" w:lineRule="auto"/>
        <w:ind w:firstLine="720"/>
        <w:jc w:val="both"/>
      </w:pPr>
      <w:r>
        <w:t>Būtībā identisks regulējums ietverts arī Pievienotās vērtības nodokļa likum</w:t>
      </w:r>
      <w:r w:rsidR="00B44B8A">
        <w:t>ā</w:t>
      </w:r>
      <w:r>
        <w:t xml:space="preserve"> (</w:t>
      </w:r>
      <w:r w:rsidR="00AD344D">
        <w:t xml:space="preserve">redakcijā, kas bija </w:t>
      </w:r>
      <w:r>
        <w:t xml:space="preserve">spēkā no </w:t>
      </w:r>
      <w:proofErr w:type="gramStart"/>
      <w:r>
        <w:t>2013.gada</w:t>
      </w:r>
      <w:proofErr w:type="gramEnd"/>
      <w:r>
        <w:t xml:space="preserve"> 1.janvāra)</w:t>
      </w:r>
      <w:r w:rsidR="00B44B8A">
        <w:t>. Šā likuma</w:t>
      </w:r>
      <w:r>
        <w:t xml:space="preserve"> </w:t>
      </w:r>
      <w:r w:rsidR="00B44B8A">
        <w:t xml:space="preserve">142.panta </w:t>
      </w:r>
      <w:r>
        <w:t>otrajā daļā</w:t>
      </w:r>
      <w:r w:rsidR="00B44B8A">
        <w:t xml:space="preserve"> noteikts, ka </w:t>
      </w:r>
      <w:r w:rsidR="00392DD6">
        <w:t>n</w:t>
      </w:r>
      <w:r w:rsidR="00AD344D" w:rsidRPr="00AD344D">
        <w:t>odokli par šā panta ceturtajā daļā minētajiem būvniecības pakalpojumiem, kas sniegti iekšzemē, valsts budžetā maksā būvniecības pakalpojumu saņēmējs, ja būvniecības pakalpojumu sniedzējs un būvniecības pakalpojumu saņēmējs ir reģistrēts nodokļa maksātājs.</w:t>
      </w:r>
      <w:r w:rsidR="00B44B8A">
        <w:t xml:space="preserve"> </w:t>
      </w:r>
      <w:r w:rsidR="00AD344D">
        <w:t xml:space="preserve">Savukārt </w:t>
      </w:r>
      <w:r w:rsidR="00B44B8A">
        <w:t xml:space="preserve">panta pirmajā daļā </w:t>
      </w:r>
      <w:r w:rsidR="00AD344D">
        <w:t xml:space="preserve">bija </w:t>
      </w:r>
      <w:r w:rsidR="00B44B8A">
        <w:t xml:space="preserve">paredzēts, ka </w:t>
      </w:r>
      <w:r w:rsidR="00B44B8A" w:rsidRPr="00B44B8A">
        <w:t xml:space="preserve">panta izpratnē </w:t>
      </w:r>
      <w:r w:rsidR="00AD344D" w:rsidRPr="00AD344D">
        <w:t>būvniecības pakalpojumi ir būvdarbu veikšana jaunas būves (ēkas, inženierbūves) būvēšanai vai esošās būves vai tās daļas renovācijai, vienkāršotai renovācijai, rekonstrukcijai, vienkāršotai rekonstrukcijai, restaurācijai, konservācijai vai nojaukšanai, kā arī būvniecības pakalpojumu līgumā ietvertā visu veidu projektēšana.</w:t>
      </w:r>
    </w:p>
    <w:p w14:paraId="38630E40" w14:textId="77777777" w:rsidR="00C70662" w:rsidRDefault="00C70662" w:rsidP="00F66A0B">
      <w:pPr>
        <w:spacing w:line="276" w:lineRule="auto"/>
        <w:ind w:firstLine="720"/>
        <w:jc w:val="both"/>
      </w:pPr>
      <w:r>
        <w:t xml:space="preserve">Abu minēto likumu pantu ceturtajā daļā dots to būvniecības pakalpojumu uzskaitījums, kuriem piemēro </w:t>
      </w:r>
      <w:r w:rsidR="00B40E66">
        <w:t xml:space="preserve">šo </w:t>
      </w:r>
      <w:r>
        <w:t>pantu otrajā daļā minēto nodokļa maksāšanas kārtību.</w:t>
      </w:r>
    </w:p>
    <w:p w14:paraId="4B266F56" w14:textId="77777777" w:rsidR="00AD344D" w:rsidRDefault="00FB09F0" w:rsidP="00AD344D">
      <w:pPr>
        <w:spacing w:line="276" w:lineRule="auto"/>
        <w:ind w:firstLine="720"/>
        <w:jc w:val="both"/>
      </w:pPr>
      <w:r>
        <w:t xml:space="preserve">Vērtējot </w:t>
      </w:r>
      <w:r w:rsidR="00DB68E0">
        <w:t xml:space="preserve">tiesību normas savstarpējā sakarā, apgabaltiesa </w:t>
      </w:r>
      <w:r w:rsidR="00AD344D">
        <w:t xml:space="preserve">pamatoti atzinusi, ka </w:t>
      </w:r>
      <w:r w:rsidR="00DB68E0">
        <w:t>likuma „Par pievienotās vērtības nodokli” 13.</w:t>
      </w:r>
      <w:proofErr w:type="gramStart"/>
      <w:r w:rsidR="00DB68E0">
        <w:rPr>
          <w:vertAlign w:val="superscript"/>
        </w:rPr>
        <w:t>6</w:t>
      </w:r>
      <w:r w:rsidR="00DB68E0">
        <w:t>panta</w:t>
      </w:r>
      <w:proofErr w:type="gramEnd"/>
      <w:r w:rsidR="00DB68E0">
        <w:t xml:space="preserve"> otrajā daļā un </w:t>
      </w:r>
      <w:r w:rsidR="00B40E66">
        <w:t xml:space="preserve">attiecīgi </w:t>
      </w:r>
      <w:r w:rsidR="00DB68E0">
        <w:t xml:space="preserve">Pievienotās vērtības nodokļa likuma 142.panta otrajā daļā paredzētā nodokļa maksāšanas kārtība piemērojama sniegtajiem pakalpojumiem un šie pakalpojumi </w:t>
      </w:r>
      <w:r w:rsidR="00AD344D">
        <w:t>uzskatāmi par būvniecības pakalpojumiem attiecīgo likumu izpratnē tikai tad, ja tie ir saistīti ar likuma „Par pievienotās vērtības nodokli” 13.</w:t>
      </w:r>
      <w:r w:rsidR="00AD344D">
        <w:rPr>
          <w:vertAlign w:val="superscript"/>
        </w:rPr>
        <w:t>6</w:t>
      </w:r>
      <w:r w:rsidR="00AD344D">
        <w:t xml:space="preserve">panta pirmajā daļā vai </w:t>
      </w:r>
      <w:r w:rsidR="00B40E66">
        <w:t xml:space="preserve">attiecīgi </w:t>
      </w:r>
      <w:r w:rsidR="00AD344D">
        <w:t>Pievienotās vērtības nodokļa likuma 142.panta pirmajā daļā minētajiem būvdarbu veidiem.</w:t>
      </w:r>
    </w:p>
    <w:p w14:paraId="1C8A1807" w14:textId="6AD3E6BE" w:rsidR="00C70662" w:rsidRDefault="00C70662" w:rsidP="00C70662">
      <w:pPr>
        <w:spacing w:line="276" w:lineRule="auto"/>
        <w:ind w:firstLine="720"/>
        <w:jc w:val="both"/>
      </w:pPr>
      <w:r>
        <w:t xml:space="preserve">Citiem vārdiem, tāds pakalpojums kā, </w:t>
      </w:r>
      <w:proofErr w:type="gramStart"/>
      <w:r w:rsidR="00B40E66">
        <w:t>piemēram, telpu iekšējā apdare atzīstam</w:t>
      </w:r>
      <w:r w:rsidR="00E92710">
        <w:t>s</w:t>
      </w:r>
      <w:proofErr w:type="gramEnd"/>
      <w:r>
        <w:t xml:space="preserve"> par būvniecības pakalpojumu attiecīgo l</w:t>
      </w:r>
      <w:r w:rsidR="00B40E66">
        <w:t>ikum</w:t>
      </w:r>
      <w:r w:rsidR="00E92710">
        <w:t>a</w:t>
      </w:r>
      <w:r w:rsidR="003124B0">
        <w:t xml:space="preserve"> normu</w:t>
      </w:r>
      <w:r w:rsidR="00B40E66">
        <w:t xml:space="preserve"> izpratnē tikai tad, ja tā veikta</w:t>
      </w:r>
      <w:r>
        <w:t xml:space="preserve"> jaunas būves būvēšanas, esošas būves renovācijas, rekonstrukcijas vai restaurācijas ietvaros. Savukārt, ja tiek veikts tikai kādas būves daļas vai telpas kosmētiskais remonts, tad šādiem pakalpojumiem nav piemērojama ī</w:t>
      </w:r>
      <w:r w:rsidR="00C90072">
        <w:t>pašā nodokļa maksāšanas kārtība, jo tie neietilpst likuma „Par pievienotās vērtības nodokli” 13.</w:t>
      </w:r>
      <w:proofErr w:type="gramStart"/>
      <w:r w:rsidR="00C90072">
        <w:rPr>
          <w:vertAlign w:val="superscript"/>
        </w:rPr>
        <w:t>6</w:t>
      </w:r>
      <w:r w:rsidR="00C90072">
        <w:t>panta</w:t>
      </w:r>
      <w:proofErr w:type="gramEnd"/>
      <w:r w:rsidR="00C90072">
        <w:t xml:space="preserve"> pirmās daļas un Pievienotās vērtības nodokļa likuma 142.panta pirmās daļas tvērumā.</w:t>
      </w:r>
    </w:p>
    <w:p w14:paraId="78C87997" w14:textId="77777777" w:rsidR="00106BDE" w:rsidRDefault="00106BDE" w:rsidP="00C70662">
      <w:pPr>
        <w:spacing w:line="276" w:lineRule="auto"/>
        <w:ind w:firstLine="720"/>
        <w:jc w:val="both"/>
      </w:pPr>
      <w:r>
        <w:t xml:space="preserve">To, ka tieši šādi </w:t>
      </w:r>
      <w:r w:rsidR="00BE49C5">
        <w:t xml:space="preserve">bija </w:t>
      </w:r>
      <w:r>
        <w:t xml:space="preserve">interpretējamas </w:t>
      </w:r>
      <w:r w:rsidR="00BE49C5">
        <w:t>strīdus periodā spēkā esošās</w:t>
      </w:r>
      <w:r>
        <w:t xml:space="preserve"> tiesību normas, apstiprina arī </w:t>
      </w:r>
      <w:proofErr w:type="gramStart"/>
      <w:r>
        <w:t>2017.gada</w:t>
      </w:r>
      <w:proofErr w:type="gramEnd"/>
      <w:r>
        <w:t xml:space="preserve"> 27.jūlijā pieņemtie grozījumi Pievienotās vērtības nodokļa likumā, kuri stājās spēkā 2018.gada 1.janvārī. Ar šiem grozījumiem likuma </w:t>
      </w:r>
      <w:proofErr w:type="gramStart"/>
      <w:r>
        <w:t>142.pants</w:t>
      </w:r>
      <w:proofErr w:type="gramEnd"/>
      <w:r>
        <w:t xml:space="preserve"> izteikts jaunā </w:t>
      </w:r>
      <w:r>
        <w:lastRenderedPageBreak/>
        <w:t xml:space="preserve">redakcijā, </w:t>
      </w:r>
      <w:r w:rsidR="00BE49C5">
        <w:t xml:space="preserve">panta pirmajā daļā nosakot, ka </w:t>
      </w:r>
      <w:r w:rsidR="00BE49C5" w:rsidRPr="00BE49C5">
        <w:t>šā panta izpratnē būvniecības pakalpojumi ir jebkura būvdarbu veikšana, kā arī būvniecības pakalpojumu līgumā ietvertā visu veidu projektēšana.</w:t>
      </w:r>
      <w:r w:rsidR="00BE49C5">
        <w:t xml:space="preserve"> </w:t>
      </w:r>
      <w:r>
        <w:t xml:space="preserve">Šo grozījumu anotācijā </w:t>
      </w:r>
      <w:r w:rsidR="00BE49C5">
        <w:t>skaidrots</w:t>
      </w:r>
      <w:r>
        <w:t xml:space="preserve">, ka </w:t>
      </w:r>
      <w:r w:rsidR="00BE49C5">
        <w:t xml:space="preserve">būvniecības nozarē nepieciešams </w:t>
      </w:r>
      <w:r w:rsidR="00BE49C5" w:rsidRPr="00BE49C5">
        <w:t xml:space="preserve">paplašināt </w:t>
      </w:r>
      <w:r w:rsidR="00BE49C5">
        <w:t>pievienotās vērtības nodokļa</w:t>
      </w:r>
      <w:r w:rsidR="00BE49C5" w:rsidRPr="00BE49C5">
        <w:t xml:space="preserve"> apgriezto jeb reverso maksāšanas kārtību uz visa veida nekustamā īpašuma būvniecību un remonta pakalpojumiem</w:t>
      </w:r>
      <w:r w:rsidR="00BE49C5">
        <w:t xml:space="preserve">, piemērojot to arī </w:t>
      </w:r>
      <w:r w:rsidR="00BE49C5" w:rsidRPr="00BE49C5">
        <w:t>tādiem būvniecības pakalpojumiem, kuri sniegti kā atsevišķi būvniecības pakalpojumi (piemēram, atsevišķi sniegti remonta darbi)</w:t>
      </w:r>
      <w:r w:rsidR="00BE49C5">
        <w:t xml:space="preserve"> (</w:t>
      </w:r>
      <w:r w:rsidR="00F3171C" w:rsidRPr="00F3171C">
        <w:rPr>
          <w:i/>
        </w:rPr>
        <w:t>http://titania.saeima.lv/LIVS12/SaeimaLIVS12.nsf/0/4EF7A06243CC0284C225815A0053F59D?OpenDocument</w:t>
      </w:r>
      <w:r w:rsidR="00BE49C5">
        <w:t>)</w:t>
      </w:r>
      <w:r w:rsidR="00BE49C5" w:rsidRPr="00BE49C5">
        <w:t>.</w:t>
      </w:r>
      <w:r w:rsidR="00F3171C">
        <w:t xml:space="preserve"> Tātad atsevišķi sniegtiem remontdarbu pakalpojumiem likumdevējs tikai no 2018.gada paredzējis piemērot īpašo nodokļa maksāšanas kārtību.</w:t>
      </w:r>
    </w:p>
    <w:p w14:paraId="3DED86C6" w14:textId="77777777" w:rsidR="00FB09F0" w:rsidRDefault="00FB09F0" w:rsidP="00C70662">
      <w:pPr>
        <w:spacing w:line="276" w:lineRule="auto"/>
        <w:ind w:firstLine="720"/>
        <w:jc w:val="both"/>
      </w:pPr>
      <w:r>
        <w:t>Izvērtējot lietā esošos pierādījumus, apgabaltiesa ir atzinusi, ka pieteicējas sniegtie pakalpojumi SIA „</w:t>
      </w:r>
      <w:proofErr w:type="spellStart"/>
      <w:r>
        <w:t>Joker</w:t>
      </w:r>
      <w:proofErr w:type="spellEnd"/>
      <w:r>
        <w:t xml:space="preserve"> LTD” (pieteikuma noraidītajā daļā), SIA „</w:t>
      </w:r>
      <w:proofErr w:type="spellStart"/>
      <w:r>
        <w:t>New</w:t>
      </w:r>
      <w:proofErr w:type="spellEnd"/>
      <w:r>
        <w:t xml:space="preserve"> Rosme”, SIA „Glorija G”, SIA „Valdemārs 23”, SIA „PT4” un SIA „Lattelecom” </w:t>
      </w:r>
      <w:r w:rsidR="00BE49C5">
        <w:t>bija</w:t>
      </w:r>
      <w:r w:rsidR="0071460C">
        <w:t xml:space="preserve"> tikai tādi telpu remontdarbi un interjera maiņa, kas </w:t>
      </w:r>
      <w:r>
        <w:t>nav būvniecības pakalpojumi.</w:t>
      </w:r>
    </w:p>
    <w:p w14:paraId="5C582994" w14:textId="77777777" w:rsidR="00C70662" w:rsidRDefault="00C70662" w:rsidP="00C70662">
      <w:pPr>
        <w:spacing w:line="276" w:lineRule="auto"/>
        <w:ind w:firstLine="720"/>
        <w:jc w:val="both"/>
      </w:pPr>
    </w:p>
    <w:p w14:paraId="3D3FEFD4" w14:textId="77777777" w:rsidR="008D3341" w:rsidRDefault="008D3341" w:rsidP="00F66A0B">
      <w:pPr>
        <w:spacing w:line="276" w:lineRule="auto"/>
        <w:ind w:firstLine="720"/>
        <w:jc w:val="both"/>
      </w:pPr>
      <w:r>
        <w:t>[</w:t>
      </w:r>
      <w:r w:rsidR="00377B83">
        <w:t>9</w:t>
      </w:r>
      <w:r>
        <w:t xml:space="preserve">] </w:t>
      </w:r>
      <w:r w:rsidR="00377B83">
        <w:t>Pieteicēja par tiesas spriedumu šajā daļā izteikusi iebildumu</w:t>
      </w:r>
      <w:r w:rsidR="00F2528B">
        <w:t>s</w:t>
      </w:r>
      <w:r w:rsidR="00377B83">
        <w:t xml:space="preserve">, tostarp </w:t>
      </w:r>
      <w:r>
        <w:t>izvirz</w:t>
      </w:r>
      <w:r w:rsidR="00377B83">
        <w:t>ot</w:t>
      </w:r>
      <w:r>
        <w:t xml:space="preserve"> vairākus apsvērumus saistībā ar būvniecības dokumentāciju</w:t>
      </w:r>
      <w:r w:rsidR="00F2528B">
        <w:t xml:space="preserve"> un pretrunām spriedumā</w:t>
      </w:r>
      <w:r w:rsidR="00831C67">
        <w:t>.</w:t>
      </w:r>
    </w:p>
    <w:p w14:paraId="58E0626B" w14:textId="77777777" w:rsidR="00B455E5" w:rsidRDefault="00B455E5" w:rsidP="00B455E5">
      <w:pPr>
        <w:spacing w:line="276" w:lineRule="auto"/>
        <w:ind w:firstLine="720"/>
        <w:jc w:val="both"/>
      </w:pPr>
      <w:r>
        <w:t>Senāts jau atzina par pamatotu apgabaltiesas nostāju, saskaņā ar kuru vienkāršai telpu apdarei nav piemērojama īpašā nodokļa maksāšanas kārtība, ja ši</w:t>
      </w:r>
      <w:r w:rsidR="009F46E8">
        <w:t>s pakalpojums</w:t>
      </w:r>
      <w:r>
        <w:t xml:space="preserve"> neietilpst likuma „Par pievienotās vērtības nodokli” 13.</w:t>
      </w:r>
      <w:proofErr w:type="gramStart"/>
      <w:r>
        <w:rPr>
          <w:vertAlign w:val="superscript"/>
        </w:rPr>
        <w:t>6</w:t>
      </w:r>
      <w:r>
        <w:t>panta</w:t>
      </w:r>
      <w:proofErr w:type="gramEnd"/>
      <w:r>
        <w:t xml:space="preserve"> pirmās daļas un Pievienotās vērtības nodokļa likuma 142.panta pirmās daļas tvērumā</w:t>
      </w:r>
      <w:r w:rsidR="00774B18">
        <w:t xml:space="preserve"> (proti, ja netiek veikta jaunas būves būvēšana, esošas būves renovācija, rekonstrukcija vai restaurācija)</w:t>
      </w:r>
      <w:r>
        <w:t xml:space="preserve">. Pieteicējas argumenti par to, ka atsevišķos gadījumos būvniecībai </w:t>
      </w:r>
      <w:r w:rsidR="00774B18">
        <w:t>neesot</w:t>
      </w:r>
      <w:r>
        <w:t xml:space="preserve"> nepieciešama dokumentācija un ka šīs </w:t>
      </w:r>
      <w:r w:rsidRPr="00B34AFF">
        <w:t xml:space="preserve">dokumentācijas kārtošana </w:t>
      </w:r>
      <w:r w:rsidR="00774B18">
        <w:t>neesot</w:t>
      </w:r>
      <w:r w:rsidRPr="00B34AFF">
        <w:t xml:space="preserve"> bū</w:t>
      </w:r>
      <w:r>
        <w:t>vniecības pakalpojuma sniedzēja</w:t>
      </w:r>
      <w:r w:rsidRPr="00B34AFF">
        <w:t xml:space="preserve"> atbildība</w:t>
      </w:r>
      <w:r>
        <w:t>, nevar ietekmēt šo secinājumu.</w:t>
      </w:r>
      <w:r w:rsidR="00774B18">
        <w:t xml:space="preserve"> </w:t>
      </w:r>
      <w:r w:rsidR="00377B83">
        <w:t xml:space="preserve">Apzinoties savus pienākumus nodokļu samaksas jomā, pakalpojumu </w:t>
      </w:r>
      <w:r w:rsidR="00774B18">
        <w:t xml:space="preserve">sniedzējam, </w:t>
      </w:r>
      <w:r w:rsidR="00377B83">
        <w:t xml:space="preserve">jo sevišķi </w:t>
      </w:r>
      <w:r w:rsidR="00BE49C5">
        <w:t xml:space="preserve">savā </w:t>
      </w:r>
      <w:r w:rsidR="00124895">
        <w:t>uzņēmēj</w:t>
      </w:r>
      <w:r w:rsidR="00BE49C5">
        <w:t xml:space="preserve">darbības nozarē pieredzējušam </w:t>
      </w:r>
      <w:r w:rsidR="00377B83">
        <w:t>būvkomersantam,</w:t>
      </w:r>
      <w:r w:rsidR="00774B18">
        <w:t xml:space="preserve"> </w:t>
      </w:r>
      <w:r w:rsidR="00BE49C5">
        <w:t>nevar būt</w:t>
      </w:r>
      <w:r w:rsidR="00774B18">
        <w:t xml:space="preserve"> šķēršļu saprast un noskaidrot, vai pakalpojums</w:t>
      </w:r>
      <w:r w:rsidR="00BE49C5">
        <w:t>, par kuru tiek izrakstīts rēķins,</w:t>
      </w:r>
      <w:r w:rsidR="00774B18">
        <w:t xml:space="preserve"> tiek sniegts jaunas būves būvēšanas, esošas būves renovācijas, rekonstrukcijas un restaurācijas ietvaros.</w:t>
      </w:r>
    </w:p>
    <w:p w14:paraId="332C8ADF" w14:textId="77777777" w:rsidR="00B34AFF" w:rsidRDefault="00B34AFF" w:rsidP="00F66A0B">
      <w:pPr>
        <w:spacing w:line="276" w:lineRule="auto"/>
        <w:ind w:firstLine="720"/>
        <w:jc w:val="both"/>
      </w:pPr>
      <w:r>
        <w:t xml:space="preserve">Senāts </w:t>
      </w:r>
      <w:r w:rsidR="009F46E8">
        <w:t xml:space="preserve">arī </w:t>
      </w:r>
      <w:r>
        <w:t>nepiekrīt, ka tiesas spriedumā ir pretruna. Visos gadījumos apgabaltiesa izvēlējusies konsekventu pieeju, vērtējot</w:t>
      </w:r>
      <w:r w:rsidR="00427D22">
        <w:t xml:space="preserve"> </w:t>
      </w:r>
      <w:r w:rsidR="00C972E9">
        <w:t>pieteicējas sniegtos pakalpojumus</w:t>
      </w:r>
      <w:r>
        <w:t xml:space="preserve"> pēc to juridiskās būtības</w:t>
      </w:r>
      <w:r w:rsidR="00427D22">
        <w:t>,</w:t>
      </w:r>
      <w:r>
        <w:t xml:space="preserve"> </w:t>
      </w:r>
      <w:r w:rsidR="00427D22">
        <w:t xml:space="preserve">nevis tikai </w:t>
      </w:r>
      <w:r w:rsidR="00C972E9">
        <w:t>pēc tā</w:t>
      </w:r>
      <w:r>
        <w:t xml:space="preserve">, vai ir izstrādāta nepieciešamā dokumentācija </w:t>
      </w:r>
      <w:r w:rsidR="00C533B6">
        <w:t xml:space="preserve">būvdarbu veikšanai </w:t>
      </w:r>
      <w:r>
        <w:t>(saņemta būvatļauja vai apliecinājuma karte).</w:t>
      </w:r>
      <w:r w:rsidR="00E72884">
        <w:t xml:space="preserve"> </w:t>
      </w:r>
      <w:r w:rsidR="008879C9">
        <w:t>Piemēram,</w:t>
      </w:r>
      <w:r w:rsidR="00E72884">
        <w:t xml:space="preserve"> tiesa atzina par pamatotu pieteicējas prasījumu </w:t>
      </w:r>
      <w:r w:rsidR="008879C9">
        <w:t xml:space="preserve">darījumā ar AS „Citadele banka”, kad apliecinājuma karte vienkāršotai renovācijai </w:t>
      </w:r>
      <w:r w:rsidR="00427D22">
        <w:t xml:space="preserve">bija </w:t>
      </w:r>
      <w:r w:rsidR="008879C9">
        <w:t>izsniegta pēc pašu būvdarbu veikšanas</w:t>
      </w:r>
      <w:r w:rsidR="009F46E8">
        <w:t>.</w:t>
      </w:r>
      <w:r w:rsidR="00C533B6">
        <w:t xml:space="preserve"> </w:t>
      </w:r>
      <w:r w:rsidR="009F46E8">
        <w:t xml:space="preserve">Savukārt </w:t>
      </w:r>
      <w:r w:rsidR="00C533B6">
        <w:t xml:space="preserve">pieteikuma noraidītajā daļā tiesa visos gadījumos pārbaudīja un konstatēja ne vien to, ka nav pieprasīta un saņemta būvatļauja vai apliecinājuma karte, bet arī to, ka paši veiktie darbi nav uzskatāmi par </w:t>
      </w:r>
      <w:r w:rsidR="009F46E8">
        <w:t>būvniecības pakalpojumiem</w:t>
      </w:r>
      <w:r w:rsidR="009F46E8" w:rsidRPr="009F46E8">
        <w:t xml:space="preserve"> </w:t>
      </w:r>
      <w:r w:rsidR="009F46E8">
        <w:t>īpašās nodokļa maksāšanas kārtības izpratnē</w:t>
      </w:r>
      <w:r w:rsidR="00C533B6">
        <w:t>.</w:t>
      </w:r>
    </w:p>
    <w:p w14:paraId="4ED86B59" w14:textId="77777777" w:rsidR="00941F10" w:rsidRDefault="00941F10" w:rsidP="00F66A0B">
      <w:pPr>
        <w:spacing w:line="276" w:lineRule="auto"/>
        <w:ind w:firstLine="720"/>
        <w:jc w:val="both"/>
      </w:pPr>
    </w:p>
    <w:p w14:paraId="5F9B031B" w14:textId="77777777" w:rsidR="00F3171C" w:rsidRDefault="00941F10" w:rsidP="00F66A0B">
      <w:pPr>
        <w:spacing w:line="276" w:lineRule="auto"/>
        <w:ind w:firstLine="720"/>
        <w:jc w:val="both"/>
      </w:pPr>
      <w:r>
        <w:t>[1</w:t>
      </w:r>
      <w:r w:rsidR="00377B83">
        <w:t>0</w:t>
      </w:r>
      <w:r>
        <w:t xml:space="preserve">] </w:t>
      </w:r>
      <w:r w:rsidR="00F3171C">
        <w:t>Pieteicēja izvirza argumentu par dienesta lēmuma pamatojuma trūkumu.</w:t>
      </w:r>
    </w:p>
    <w:p w14:paraId="58D3117A" w14:textId="77777777" w:rsidR="00941F10" w:rsidRDefault="00941F10" w:rsidP="00F66A0B">
      <w:pPr>
        <w:spacing w:line="276" w:lineRule="auto"/>
        <w:ind w:firstLine="720"/>
        <w:jc w:val="both"/>
      </w:pPr>
      <w:r>
        <w:t>Dienesta lēmums daļā par dar</w:t>
      </w:r>
      <w:r w:rsidR="0071475E">
        <w:t>ījumiem, kuriem</w:t>
      </w:r>
      <w:r>
        <w:t xml:space="preserve"> pieteicēja piemērojusi pievienotās vērtības nodokļa reverso maksāšanas kārtību, pamatots ar to, ka pieteicēja sniegusi vispārēja rakstura remonta pakalpojumus un nav iesniegusi pierādījumus, ka attiecīgajos nekustamajos īpašumos veiktie būvdarbi</w:t>
      </w:r>
      <w:proofErr w:type="gramStart"/>
      <w:r>
        <w:t xml:space="preserve"> saistīti ar minēto būvju (ēku) būvēšanu, esošās būves vai tās daļas renovāciju</w:t>
      </w:r>
      <w:proofErr w:type="gramEnd"/>
      <w:r>
        <w:t xml:space="preserve">, vienkāršoto renovāciju, rekonstrukciju, vienkāršoto rekonstrukciju, restaurāciju, konservāciju vai nojaukšanu. Dienests atzina, ka tādējādi pieteicēja nav iesniegusi pierādījumus </w:t>
      </w:r>
      <w:r w:rsidR="00C972E9">
        <w:t xml:space="preserve">(pamatojumu) </w:t>
      </w:r>
      <w:r>
        <w:t>pievienotās vērtības nodokļa īpašās maksāšanas kārtības piemērošanai.</w:t>
      </w:r>
    </w:p>
    <w:p w14:paraId="34525A06" w14:textId="77777777" w:rsidR="00941F10" w:rsidRDefault="00941F10" w:rsidP="00941F10">
      <w:pPr>
        <w:spacing w:line="276" w:lineRule="auto"/>
        <w:ind w:firstLine="720"/>
        <w:jc w:val="both"/>
      </w:pPr>
      <w:r>
        <w:lastRenderedPageBreak/>
        <w:t>Kaut arī dienests pieteicējas sniegtos pakalpojumus nav vērtējis pēc to būtības tik detalizēti, kā to darījusi apgabaltiesa, Senāts</w:t>
      </w:r>
      <w:r w:rsidR="00377B83">
        <w:t xml:space="preserve"> tomēr</w:t>
      </w:r>
      <w:r>
        <w:t xml:space="preserve"> nepiekrīt pieteicējai, ka dienesta lēmums nesatur pamatojumu un ka tiesa līdz ar to būtu pārkāpusi kompetences robežas, pamatojot spriedumu ar jauniem apstākļiem, uz kuriem nav norādīts administratīvajā aktā.</w:t>
      </w:r>
    </w:p>
    <w:p w14:paraId="565476D0" w14:textId="77777777" w:rsidR="00941F10" w:rsidRDefault="00941F10" w:rsidP="00941F10">
      <w:pPr>
        <w:spacing w:line="276" w:lineRule="auto"/>
        <w:ind w:firstLine="720"/>
        <w:jc w:val="both"/>
      </w:pPr>
      <w:r>
        <w:t xml:space="preserve">Dienesta apsvērumi, uz kuru pamata tas norādījis, kāpēc šiem pakalpojumiem nodokļa reversā maksāšanas kārtība nav piemērojama, ir </w:t>
      </w:r>
      <w:r w:rsidR="00377B83">
        <w:t xml:space="preserve">skaidri </w:t>
      </w:r>
      <w:r>
        <w:t xml:space="preserve">saprotami, un apgabaltiesa šo dienesta sniegto </w:t>
      </w:r>
      <w:r w:rsidR="0071475E">
        <w:t xml:space="preserve">administratīvā akta </w:t>
      </w:r>
      <w:r>
        <w:t>pamatojumu nav mainījusi</w:t>
      </w:r>
      <w:r w:rsidR="0071475E">
        <w:t xml:space="preserve">, bet ir tikai rūpīgāk noskaidrojusi lietas faktiskos apstākļus. </w:t>
      </w:r>
      <w:r w:rsidR="00C972E9">
        <w:t>Papildu pierādījumu iegūšana nav uzskatāma</w:t>
      </w:r>
      <w:r w:rsidR="0071475E">
        <w:t xml:space="preserve"> par pamatojuma maiņu.</w:t>
      </w:r>
    </w:p>
    <w:p w14:paraId="015EF337" w14:textId="77777777" w:rsidR="00941F10" w:rsidRDefault="00941F10" w:rsidP="00F66A0B">
      <w:pPr>
        <w:spacing w:line="276" w:lineRule="auto"/>
        <w:ind w:firstLine="720"/>
        <w:jc w:val="both"/>
      </w:pPr>
    </w:p>
    <w:p w14:paraId="32A53CCE" w14:textId="77777777" w:rsidR="00377B83" w:rsidRDefault="00377B83" w:rsidP="00377B83">
      <w:pPr>
        <w:spacing w:line="276" w:lineRule="auto"/>
        <w:ind w:firstLine="720"/>
        <w:jc w:val="both"/>
      </w:pPr>
      <w:r>
        <w:t>[11] Pieteicēja norāda arī, ka tiesa nav uzklausījusi tiesas sēdē ekspertu un pieteicējas darījumu partneru amatpersonas.</w:t>
      </w:r>
    </w:p>
    <w:p w14:paraId="081A6AAE" w14:textId="77777777" w:rsidR="00377B83" w:rsidRDefault="00377B83" w:rsidP="00377B83">
      <w:pPr>
        <w:spacing w:line="276" w:lineRule="auto"/>
        <w:ind w:firstLine="720"/>
        <w:jc w:val="both"/>
      </w:pPr>
      <w:r>
        <w:t xml:space="preserve">Saskaņā ar Administratīvā procesa likuma </w:t>
      </w:r>
      <w:proofErr w:type="gramStart"/>
      <w:r>
        <w:t>178.panta</w:t>
      </w:r>
      <w:proofErr w:type="gramEnd"/>
      <w:r>
        <w:t xml:space="preserve"> pirmo daļu </w:t>
      </w:r>
      <w:r w:rsidRPr="0071460C">
        <w:t>ekspertīzi lietā tiesa nosaka gadījumos, kad lietā nozīmīgu faktu noskaidrošanai nepieciešamas speciālas zināšanas zinātnē, tehnikā, mākslā vai citā nozarē.</w:t>
      </w:r>
      <w:r w:rsidR="00C972E9">
        <w:t xml:space="preserve"> </w:t>
      </w:r>
      <w:r>
        <w:t xml:space="preserve">Senāts norāda, ka tas, vai konkrēti pakalpojumi ir uzskatāmi par būvniecības pakalpojumiem nodokļa reversās maksāšanas kārtības izpratnē, ir tiesību piemērošanas jautājums, kuru tiesa ir pilnībā kompetenta izšķirt pati. Pieteicēja kasācijas sūdzībā nepamato, kādā veidā šā jautājuma izlemšanai būtu nepieciešamas speciālas tehniskas zināšanas, </w:t>
      </w:r>
      <w:r w:rsidR="00CD4830">
        <w:t xml:space="preserve">kuru tiesai nav, </w:t>
      </w:r>
      <w:r>
        <w:t>lai</w:t>
      </w:r>
      <w:r w:rsidR="00CD4830">
        <w:t xml:space="preserve"> t</w:t>
      </w:r>
      <w:r>
        <w:t>ai vajadzētu pieaicināt ekspertu – būvniecības speciālistu.</w:t>
      </w:r>
    </w:p>
    <w:p w14:paraId="787B4AE5" w14:textId="77777777" w:rsidR="00377B83" w:rsidRDefault="00377B83" w:rsidP="00377B83">
      <w:pPr>
        <w:spacing w:line="276" w:lineRule="auto"/>
        <w:ind w:firstLine="720"/>
        <w:jc w:val="both"/>
      </w:pPr>
      <w:r>
        <w:t>Savukārt nepieciešamību uzaicināt liecību sniegšanai darījumu partneru amatpersonas pieteicēja pamato ar to, ka šīs personas var</w:t>
      </w:r>
      <w:r w:rsidR="00EE4406">
        <w:t>ot</w:t>
      </w:r>
      <w:r>
        <w:t xml:space="preserve"> apstiprināt, ka pieteicējas darījumu partneri ir samaksājuši budžetā pievienotās vērtības nodokli par saņemtajiem pakalpojumiem. Pieteicēja </w:t>
      </w:r>
      <w:r w:rsidR="00C972E9">
        <w:t>norāda</w:t>
      </w:r>
      <w:r>
        <w:t xml:space="preserve">, ka tiesa </w:t>
      </w:r>
      <w:r w:rsidR="00EE4406">
        <w:t>neesot</w:t>
      </w:r>
      <w:r>
        <w:t xml:space="preserve"> vērtējusi </w:t>
      </w:r>
      <w:r w:rsidR="00F3171C">
        <w:t xml:space="preserve">arī </w:t>
      </w:r>
      <w:r>
        <w:t>vairākus citus argumentus un dokumentus, kas apliecin</w:t>
      </w:r>
      <w:r w:rsidR="00EE4406">
        <w:t>ot</w:t>
      </w:r>
      <w:r>
        <w:t xml:space="preserve"> pušu vienošanos par nodokļa nomaksas kārtību un nodokļa samaksu budžetā.</w:t>
      </w:r>
    </w:p>
    <w:p w14:paraId="2CF525CC" w14:textId="77777777" w:rsidR="00377B83" w:rsidRDefault="00377B83" w:rsidP="00377B83">
      <w:pPr>
        <w:spacing w:line="276" w:lineRule="auto"/>
        <w:ind w:firstLine="720"/>
        <w:jc w:val="both"/>
      </w:pPr>
      <w:r>
        <w:t>Senāts uz to norāda, ka no sprieduma neizriet, ka tiesa būtu apšaubījusi to, ka</w:t>
      </w:r>
      <w:r w:rsidRPr="0071460C">
        <w:t xml:space="preserve"> </w:t>
      </w:r>
      <w:r>
        <w:t xml:space="preserve">pieteicējas darījumu partneri ir samaksājuši budžetā pievienotās vērtības nodokli par saņemtajiem pakalpojumiem. </w:t>
      </w:r>
      <w:r w:rsidR="006E68BD">
        <w:t>Otrkārt</w:t>
      </w:r>
      <w:r w:rsidR="00124895">
        <w:t>,</w:t>
      </w:r>
      <w:r>
        <w:t xml:space="preserve"> ciktāl lietā ir jāizšķir, vai atbilstoši likumam pieteicējas sniegtajiem pakalpojumiem ir piemērojama pievienotās vērtības nodokļa reversā maksāšanas kārtība, nav</w:t>
      </w:r>
      <w:r w:rsidR="00826D37">
        <w:t xml:space="preserve"> izšķirošas</w:t>
      </w:r>
      <w:r>
        <w:t xml:space="preserve"> nozīmes apstākļiem, kas attiecas uz no</w:t>
      </w:r>
      <w:r w:rsidR="00826D37">
        <w:t xml:space="preserve">dokļa faktisko samaksu budžetā, jo pieteicējas </w:t>
      </w:r>
      <w:r>
        <w:t>un tās darījumu partneru savstarpējā vienošanās un rīcība nodokļu samaksas jautājumā nemaina to, kā pareizi piemērojamas tiesību normas</w:t>
      </w:r>
      <w:r w:rsidR="00EE4406">
        <w:t>, kuras regulē pienākumu samaksāt nodokli budžetā</w:t>
      </w:r>
      <w:r>
        <w:t>.</w:t>
      </w:r>
      <w:r w:rsidR="00EE4406" w:rsidRPr="00EE4406">
        <w:t xml:space="preserve"> </w:t>
      </w:r>
      <w:r w:rsidR="00FD6E65">
        <w:t>Tādēļ</w:t>
      </w:r>
      <w:r w:rsidR="00EE4406">
        <w:t xml:space="preserve"> pieteicējai uzliktā nodokļa samaksas pienākuma pamatotības </w:t>
      </w:r>
      <w:r w:rsidR="00FD6E65">
        <w:t xml:space="preserve">pārbaudes </w:t>
      </w:r>
      <w:r w:rsidR="00EE4406">
        <w:t xml:space="preserve">kontekstā nav saskatāma vajadzība uzaicināt mutvārdu liecību sniegšanai darījumu partneru amatpersonas, lai </w:t>
      </w:r>
      <w:r w:rsidR="00FD6E65">
        <w:t xml:space="preserve">tās </w:t>
      </w:r>
      <w:r w:rsidR="00EE4406">
        <w:t xml:space="preserve">apstiprinātu </w:t>
      </w:r>
      <w:r w:rsidR="00FD6E65">
        <w:t xml:space="preserve">iespējamo nodokļa </w:t>
      </w:r>
      <w:r w:rsidR="00EE4406">
        <w:t>samaksas faktu.</w:t>
      </w:r>
    </w:p>
    <w:p w14:paraId="53B7C2DF" w14:textId="77777777" w:rsidR="00377B83" w:rsidRDefault="00377B83" w:rsidP="00377B83">
      <w:pPr>
        <w:spacing w:line="276" w:lineRule="auto"/>
        <w:ind w:firstLine="720"/>
        <w:jc w:val="both"/>
      </w:pPr>
    </w:p>
    <w:p w14:paraId="4BBBD4F4" w14:textId="77777777" w:rsidR="00377B83" w:rsidRDefault="00377B83" w:rsidP="00F66A0B">
      <w:pPr>
        <w:spacing w:line="276" w:lineRule="auto"/>
        <w:ind w:firstLine="720"/>
        <w:jc w:val="both"/>
      </w:pPr>
      <w:r>
        <w:t xml:space="preserve">[12] </w:t>
      </w:r>
      <w:r w:rsidR="00FD6E65">
        <w:t>Vienlaikus</w:t>
      </w:r>
      <w:r w:rsidR="00FB3F17">
        <w:t xml:space="preserve"> </w:t>
      </w:r>
      <w:r w:rsidR="00D41553">
        <w:t xml:space="preserve">arguments par </w:t>
      </w:r>
      <w:r w:rsidR="00EE4406">
        <w:t>pakalpojumu saņēmēju veikto nodokļa faktisko</w:t>
      </w:r>
      <w:r w:rsidR="00084114">
        <w:t xml:space="preserve"> samaksu</w:t>
      </w:r>
      <w:r w:rsidR="00D41553">
        <w:t xml:space="preserve"> </w:t>
      </w:r>
      <w:r w:rsidR="00FD6E65">
        <w:t>jā</w:t>
      </w:r>
      <w:r w:rsidR="00EE4406">
        <w:t>aplūko saistībā ar</w:t>
      </w:r>
      <w:r w:rsidR="00D41553">
        <w:t xml:space="preserve"> pievienotās vērtības nodokļa sistēmas neitralitātes un efektivitātes principa ievērošanu</w:t>
      </w:r>
      <w:r w:rsidR="00177372">
        <w:t xml:space="preserve"> un iespēju koriģēt kļūdainus rēķinus</w:t>
      </w:r>
      <w:r w:rsidR="00D41553">
        <w:t>.</w:t>
      </w:r>
    </w:p>
    <w:p w14:paraId="7FE57CB6" w14:textId="7E6252FD" w:rsidR="00D41553" w:rsidRDefault="00D41553" w:rsidP="00F66A0B">
      <w:pPr>
        <w:spacing w:line="276" w:lineRule="auto"/>
        <w:ind w:firstLine="720"/>
        <w:jc w:val="both"/>
      </w:pPr>
      <w:r w:rsidRPr="00D41553">
        <w:t xml:space="preserve">Eiropas Savienības Tiesa ir atzinusi, ka principā tāda sistēma, kuras ietvaros, </w:t>
      </w:r>
      <w:proofErr w:type="gramStart"/>
      <w:r w:rsidRPr="00D41553">
        <w:t>no vienas puses, pakalpojumu sniedzējs</w:t>
      </w:r>
      <w:proofErr w:type="gramEnd"/>
      <w:r w:rsidRPr="00D41553">
        <w:t>, kas nodokļu iestādēm ir kļūdas pēc samaksājis pievienotās vērtības nodokli, var pieprasīt tā atmaksāšanu un, no otras puses, pakalpojumu saņēmējs var vērsties pret šo pakalpojumu sniedzēju ar civilprasību par nepamatoti samaksāto summu atmaksāšanu, atbilst neitralitātes un efektivitātes principiem. Šāda sistēma ļauj minētajam pakalpojumu saņēmējam, kas ir samaksājis nodokli, par kuru ir kļūdaini izrakstīts rēķins, panākt nepamatoti samaksātu summu atmaksāšanu (</w:t>
      </w:r>
      <w:r w:rsidRPr="00D41553">
        <w:rPr>
          <w:i/>
        </w:rPr>
        <w:t xml:space="preserve">Eiropas Savienības Tiesas 2017.gada 26.aprīļa </w:t>
      </w:r>
      <w:r w:rsidRPr="00D41553">
        <w:rPr>
          <w:i/>
        </w:rPr>
        <w:lastRenderedPageBreak/>
        <w:t xml:space="preserve">sprieduma lietā </w:t>
      </w:r>
      <w:proofErr w:type="spellStart"/>
      <w:r w:rsidR="00503367" w:rsidRPr="00D41553">
        <w:rPr>
          <w:i/>
        </w:rPr>
        <w:t>Farkas</w:t>
      </w:r>
      <w:proofErr w:type="spellEnd"/>
      <w:r w:rsidR="00503367">
        <w:rPr>
          <w:i/>
        </w:rPr>
        <w:t>,</w:t>
      </w:r>
      <w:r w:rsidR="00503367" w:rsidRPr="00D41553">
        <w:rPr>
          <w:i/>
        </w:rPr>
        <w:t xml:space="preserve"> </w:t>
      </w:r>
      <w:r w:rsidRPr="00D41553">
        <w:rPr>
          <w:i/>
        </w:rPr>
        <w:t>C‑564/15, ECLI:EU:C:2017:302, 51.punkts</w:t>
      </w:r>
      <w:r w:rsidR="009569CD">
        <w:rPr>
          <w:i/>
        </w:rPr>
        <w:t xml:space="preserve">; 2019. gada 11. aprīļa sprieduma lietā </w:t>
      </w:r>
      <w:r w:rsidR="00503367">
        <w:rPr>
          <w:i/>
        </w:rPr>
        <w:t>PORR,</w:t>
      </w:r>
      <w:r w:rsidR="00503367" w:rsidRPr="009569CD">
        <w:rPr>
          <w:i/>
        </w:rPr>
        <w:t xml:space="preserve"> </w:t>
      </w:r>
      <w:r w:rsidR="009569CD" w:rsidRPr="009569CD">
        <w:rPr>
          <w:i/>
        </w:rPr>
        <w:t>C‑691/17</w:t>
      </w:r>
      <w:r w:rsidR="009569CD">
        <w:rPr>
          <w:i/>
        </w:rPr>
        <w:t xml:space="preserve">, </w:t>
      </w:r>
      <w:r w:rsidR="009569CD" w:rsidRPr="009569CD">
        <w:rPr>
          <w:i/>
        </w:rPr>
        <w:t>ECLI:EU:C:2019:327</w:t>
      </w:r>
      <w:r w:rsidR="009569CD">
        <w:rPr>
          <w:i/>
        </w:rPr>
        <w:t>, 40.punkts</w:t>
      </w:r>
      <w:r w:rsidRPr="00D41553">
        <w:t>).</w:t>
      </w:r>
    </w:p>
    <w:p w14:paraId="21EE5DC9" w14:textId="4E4D7402" w:rsidR="00D41553" w:rsidRDefault="00D41553" w:rsidP="00F66A0B">
      <w:pPr>
        <w:spacing w:line="276" w:lineRule="auto"/>
        <w:ind w:firstLine="720"/>
        <w:jc w:val="both"/>
      </w:pPr>
      <w:r>
        <w:t xml:space="preserve">Izņēmuma gadījumā, ja </w:t>
      </w:r>
      <w:r w:rsidRPr="00D41553">
        <w:t>pievienotās vērtības nodokļa atmaksa pakalpojumu saņēmējam izrādās neiespējama vai pārmērīgi grūta, īpaši tad, ja pakalpojumu sniedzējs ir maksātnespējīgs, tad no efektivitātes principa var izrietēt prasība, ka pakalpojumu saņēmējam jābūt iespējai vērst savu atmaksāšanas prasījumu tieši pret nodokļu iestādēm. Šādā gadījumā dalībvalstīm ir jāparedz līdzekļi un procesuālie noteikumi, kas ļautu minētajam pakalpojumu saņēmējam atgūt nodokli, par kuru ir kļūdaini izrakstīts rēķins, lai ievērotu efektivitātes principu (</w:t>
      </w:r>
      <w:r w:rsidRPr="00D41553">
        <w:rPr>
          <w:i/>
        </w:rPr>
        <w:t xml:space="preserve">Eiropas Savienības Tiesas 2017.gada 26.aprīļa sprieduma lietā </w:t>
      </w:r>
      <w:proofErr w:type="spellStart"/>
      <w:r w:rsidR="00503367" w:rsidRPr="00D41553">
        <w:rPr>
          <w:i/>
        </w:rPr>
        <w:t>Farkas</w:t>
      </w:r>
      <w:proofErr w:type="spellEnd"/>
      <w:r w:rsidR="00503367">
        <w:rPr>
          <w:i/>
        </w:rPr>
        <w:t>,</w:t>
      </w:r>
      <w:r w:rsidR="00503367" w:rsidRPr="00D41553">
        <w:rPr>
          <w:i/>
        </w:rPr>
        <w:t xml:space="preserve"> </w:t>
      </w:r>
      <w:r w:rsidRPr="00D41553">
        <w:rPr>
          <w:i/>
        </w:rPr>
        <w:t>C‑564/15, ECLI:EU:C:2017:302, 53.punkts</w:t>
      </w:r>
      <w:r w:rsidR="009569CD">
        <w:rPr>
          <w:i/>
        </w:rPr>
        <w:t xml:space="preserve">; 2019. gada 11. aprīļa sprieduma lietā </w:t>
      </w:r>
      <w:r w:rsidR="00503367">
        <w:rPr>
          <w:i/>
        </w:rPr>
        <w:t>PORR,</w:t>
      </w:r>
      <w:r w:rsidR="00503367" w:rsidRPr="009569CD">
        <w:rPr>
          <w:i/>
        </w:rPr>
        <w:t xml:space="preserve"> </w:t>
      </w:r>
      <w:r w:rsidR="009569CD" w:rsidRPr="009569CD">
        <w:rPr>
          <w:i/>
        </w:rPr>
        <w:t>C‑691/17</w:t>
      </w:r>
      <w:r w:rsidR="009569CD">
        <w:rPr>
          <w:i/>
        </w:rPr>
        <w:t xml:space="preserve">, </w:t>
      </w:r>
      <w:r w:rsidR="009569CD" w:rsidRPr="009569CD">
        <w:rPr>
          <w:i/>
        </w:rPr>
        <w:t>ECLI:EU:C:2019:327</w:t>
      </w:r>
      <w:r w:rsidR="009569CD">
        <w:rPr>
          <w:i/>
        </w:rPr>
        <w:t>, 42.punkts</w:t>
      </w:r>
      <w:r w:rsidRPr="00D41553">
        <w:t>).</w:t>
      </w:r>
    </w:p>
    <w:p w14:paraId="5090B1AC" w14:textId="75FDCE4D" w:rsidR="006E68BD" w:rsidRDefault="00FC3111" w:rsidP="00834ACA">
      <w:pPr>
        <w:spacing w:line="276" w:lineRule="auto"/>
        <w:ind w:firstLine="720"/>
        <w:jc w:val="both"/>
      </w:pPr>
      <w:r>
        <w:t xml:space="preserve">Minētie </w:t>
      </w:r>
      <w:r w:rsidR="00021609">
        <w:t xml:space="preserve">apsvērumi izteikti lietās, kurās pievienotās vērtības nodokļa rēķina izsniedzējs </w:t>
      </w:r>
      <w:r>
        <w:t xml:space="preserve">nepamatoti </w:t>
      </w:r>
      <w:r w:rsidR="00021609">
        <w:t>piemērojis vispārējo nodokļa maksāšanas kārtību, kaut arī bijusi jāpiemēro reversā maksāšanas kārtīb</w:t>
      </w:r>
      <w:r>
        <w:t xml:space="preserve">a. </w:t>
      </w:r>
      <w:r w:rsidR="00FD6E65">
        <w:t>Tajās ir bijis strīds par rēķina saņēmēja tiesībām atgūt vai atskaitīt rēķina izsniedzējam samaksāto priekšnodokli.</w:t>
      </w:r>
      <w:r w:rsidR="00FD6E65" w:rsidRPr="00FC3111">
        <w:t xml:space="preserve"> </w:t>
      </w:r>
      <w:r w:rsidR="00FD6E65">
        <w:t xml:space="preserve">Tātad minēto lietu apstākļi atšķiras no izskatāmās lietas. </w:t>
      </w:r>
      <w:r>
        <w:t xml:space="preserve">Tomēr </w:t>
      </w:r>
      <w:r w:rsidR="00177372" w:rsidRPr="00D41553">
        <w:t xml:space="preserve">Eiropas Savienības Tiesa </w:t>
      </w:r>
      <w:r w:rsidR="00FC0809" w:rsidRPr="00D41553">
        <w:t>ir</w:t>
      </w:r>
      <w:r w:rsidR="00FC0809">
        <w:t xml:space="preserve"> vispārīgi </w:t>
      </w:r>
      <w:r w:rsidR="00177372">
        <w:t xml:space="preserve">norādījusi, ka </w:t>
      </w:r>
      <w:r w:rsidR="00177372" w:rsidRPr="00177372">
        <w:t xml:space="preserve">šiem pašiem apsvērumiem ir jābūt noteicošiem arī tad, kad ar neiespējamību vai pārmērīgām grūtībām iegūt nepamatoti samaksātā </w:t>
      </w:r>
      <w:r w:rsidR="00177372">
        <w:t xml:space="preserve">pievienotās vērtības nodokļa </w:t>
      </w:r>
      <w:r w:rsidR="00177372" w:rsidRPr="00177372">
        <w:t>atmaksu saskaras nevis pakalpoju</w:t>
      </w:r>
      <w:r w:rsidR="00177372">
        <w:t>mu saņēmējs, bet to piegādātājs (</w:t>
      </w:r>
      <w:r w:rsidR="00177372" w:rsidRPr="00177372">
        <w:rPr>
          <w:i/>
        </w:rPr>
        <w:t xml:space="preserve">Eiropas Savienības Tiesas </w:t>
      </w:r>
      <w:proofErr w:type="gramStart"/>
      <w:r w:rsidR="00177372" w:rsidRPr="00177372">
        <w:rPr>
          <w:i/>
        </w:rPr>
        <w:t>2011.gada</w:t>
      </w:r>
      <w:proofErr w:type="gramEnd"/>
      <w:r w:rsidR="00177372" w:rsidRPr="00177372">
        <w:rPr>
          <w:i/>
        </w:rPr>
        <w:t xml:space="preserve"> 15.decembra sprieduma lietā </w:t>
      </w:r>
      <w:proofErr w:type="spellStart"/>
      <w:r w:rsidR="00503367" w:rsidRPr="00177372">
        <w:rPr>
          <w:i/>
        </w:rPr>
        <w:t>Banca</w:t>
      </w:r>
      <w:proofErr w:type="spellEnd"/>
      <w:r w:rsidR="00503367" w:rsidRPr="00177372">
        <w:rPr>
          <w:i/>
        </w:rPr>
        <w:t xml:space="preserve"> </w:t>
      </w:r>
      <w:proofErr w:type="spellStart"/>
      <w:r w:rsidR="00503367" w:rsidRPr="00177372">
        <w:rPr>
          <w:i/>
        </w:rPr>
        <w:t>Antoniana</w:t>
      </w:r>
      <w:proofErr w:type="spellEnd"/>
      <w:r w:rsidR="00503367" w:rsidRPr="00177372">
        <w:rPr>
          <w:i/>
        </w:rPr>
        <w:t xml:space="preserve"> </w:t>
      </w:r>
      <w:proofErr w:type="spellStart"/>
      <w:r w:rsidR="00503367" w:rsidRPr="00177372">
        <w:rPr>
          <w:i/>
        </w:rPr>
        <w:t>Popolare</w:t>
      </w:r>
      <w:proofErr w:type="spellEnd"/>
      <w:r w:rsidR="00503367" w:rsidRPr="00177372">
        <w:rPr>
          <w:i/>
        </w:rPr>
        <w:t xml:space="preserve"> </w:t>
      </w:r>
      <w:proofErr w:type="spellStart"/>
      <w:r w:rsidR="00503367" w:rsidRPr="00177372">
        <w:rPr>
          <w:i/>
        </w:rPr>
        <w:t>Veneta</w:t>
      </w:r>
      <w:proofErr w:type="spellEnd"/>
      <w:r w:rsidR="00503367">
        <w:rPr>
          <w:i/>
        </w:rPr>
        <w:t>,</w:t>
      </w:r>
      <w:r w:rsidR="00503367" w:rsidRPr="00177372">
        <w:rPr>
          <w:i/>
        </w:rPr>
        <w:t xml:space="preserve"> </w:t>
      </w:r>
      <w:r w:rsidR="00177372" w:rsidRPr="00177372">
        <w:rPr>
          <w:i/>
        </w:rPr>
        <w:t>C-427/10, ECLI:EU:C:2011:844, 29.punkts</w:t>
      </w:r>
      <w:r w:rsidR="00177372">
        <w:t>).</w:t>
      </w:r>
    </w:p>
    <w:p w14:paraId="59FD0287" w14:textId="77777777" w:rsidR="006E68BD" w:rsidRDefault="006E68BD" w:rsidP="006E68BD">
      <w:pPr>
        <w:spacing w:line="276" w:lineRule="auto"/>
        <w:ind w:firstLine="720"/>
        <w:jc w:val="both"/>
      </w:pPr>
      <w:r>
        <w:t xml:space="preserve">Tādēļ Senāts </w:t>
      </w:r>
      <w:r w:rsidR="00611F30">
        <w:t>atzīst</w:t>
      </w:r>
      <w:r>
        <w:t>, ka līdzīgs mehānisms var tikt attiecināts arī uz apgrieztu situāciju, kāda ir izskatāmajā lietā, kurā rēķina izsniedzējs nepamatoti piemērojis nodokļa reverso maksāšanas kārtību, kaut arī bija jāpiemēro vispārējā maksāšanas kārtība.</w:t>
      </w:r>
    </w:p>
    <w:p w14:paraId="5A56D639" w14:textId="77777777" w:rsidR="00590B5F" w:rsidRDefault="00590B5F" w:rsidP="00590B5F">
      <w:pPr>
        <w:spacing w:line="276" w:lineRule="auto"/>
        <w:ind w:firstLine="720"/>
        <w:jc w:val="both"/>
      </w:pPr>
      <w:r>
        <w:t xml:space="preserve">Turklāt, </w:t>
      </w:r>
      <w:proofErr w:type="gramStart"/>
      <w:r>
        <w:t>lai arī tas neskar</w:t>
      </w:r>
      <w:proofErr w:type="gramEnd"/>
      <w:r>
        <w:t xml:space="preserve"> izskatāmo lietu, bet pieteicējas darījumu partneru iespējamos prasījumus pret valsti, Senāts papildus atzīmē, ka minētajā spriedumā </w:t>
      </w:r>
      <w:r w:rsidRPr="00D41553">
        <w:t>Eiropas Savienības Tiesa</w:t>
      </w:r>
      <w:r>
        <w:t xml:space="preserve"> aplūkojusi arī jautājumu par to, vai efektivitātes principam atbilst situācija, kurā noilguma termiņš civilprasības celšanai pārsniedz to termiņu, kurā otrs nodokļu maksātājs var pieteikt savu prasījumu nodokļu administrācijai, </w:t>
      </w:r>
      <w:r w:rsidR="00611F30">
        <w:t xml:space="preserve">un </w:t>
      </w:r>
      <w:r>
        <w:t>norādī</w:t>
      </w:r>
      <w:r w:rsidR="00611F30">
        <w:t>jusi</w:t>
      </w:r>
      <w:r>
        <w:t xml:space="preserve">, ka </w:t>
      </w:r>
      <w:r w:rsidRPr="006E68BD">
        <w:t>valsts iestāde nevar atsaukties uz saprātīga noilguma termiņa izbeigšanos, ja valsts iestāžu rīcība apvienojumā ar noilguma termiņa pastāvēšanu izraisa to, ka personai pilnībā tiek atņemta iespēja izmantot savas tiesības valsts tiesās</w:t>
      </w:r>
      <w:r>
        <w:t xml:space="preserve"> (</w:t>
      </w:r>
      <w:r w:rsidRPr="006E68BD">
        <w:rPr>
          <w:i/>
        </w:rPr>
        <w:t>turpat, 31.punkts</w:t>
      </w:r>
      <w:r>
        <w:t>).</w:t>
      </w:r>
    </w:p>
    <w:p w14:paraId="50653919" w14:textId="77777777" w:rsidR="006E68BD" w:rsidRDefault="006E68BD" w:rsidP="006E68BD">
      <w:pPr>
        <w:spacing w:line="276" w:lineRule="auto"/>
        <w:ind w:firstLine="720"/>
        <w:jc w:val="both"/>
      </w:pPr>
      <w:r>
        <w:t xml:space="preserve">Tas nozīmē, ka nodokli, </w:t>
      </w:r>
      <w:proofErr w:type="gramStart"/>
      <w:r>
        <w:t>kuru pieteicēja kļūdaini nav iekasējusi no tās izsniegto rēķinu saņēmējiem, tā</w:t>
      </w:r>
      <w:proofErr w:type="gramEnd"/>
      <w:r>
        <w:t xml:space="preserve"> var pieprasīt no šiem darījumu partneriem civiltiesiskā kārtībā, savukārt tie </w:t>
      </w:r>
      <w:r w:rsidR="00611F30">
        <w:t xml:space="preserve">pēc tam (ja saskaņā ar kļūdaini izsniegtajiem rēķiniem aprēķinātais nodoklis ir iemaksāts budžetā) </w:t>
      </w:r>
      <w:r>
        <w:t>var vērsties ar attiecīgu prasījumu pret nodokļu administrāciju.</w:t>
      </w:r>
    </w:p>
    <w:p w14:paraId="564C5F9A" w14:textId="77777777" w:rsidR="00701E0F" w:rsidRDefault="00701E0F" w:rsidP="00701E0F">
      <w:pPr>
        <w:spacing w:line="276" w:lineRule="auto"/>
        <w:ind w:firstLine="720"/>
        <w:jc w:val="both"/>
      </w:pPr>
      <w:r>
        <w:t>Līdz ar to pieteicējai noteiktais pienākums samaksāt nodokli budžetā nevar tikt</w:t>
      </w:r>
      <w:proofErr w:type="gramStart"/>
      <w:r>
        <w:t xml:space="preserve"> atcelts ar aizbildinājumu</w:t>
      </w:r>
      <w:proofErr w:type="gramEnd"/>
      <w:r>
        <w:t>, ka tās darījumu partneri jau esot samaksājuši nodokli, jo</w:t>
      </w:r>
      <w:r w:rsidR="00611F30">
        <w:t xml:space="preserve"> ši</w:t>
      </w:r>
      <w:r>
        <w:t xml:space="preserve">s pienākums pilnībā atbilst </w:t>
      </w:r>
      <w:r w:rsidR="00590B5F">
        <w:t>pieteicējas</w:t>
      </w:r>
      <w:r>
        <w:t xml:space="preserve"> saistībām pret valsti, proti, tas izriet no nodokļu tiesību normu pareizas un precīzas piemērošanas, kuras mērķis savukārt ir nodrošināt budžeta ieņēmumus.</w:t>
      </w:r>
    </w:p>
    <w:p w14:paraId="79A9B085" w14:textId="77777777" w:rsidR="00A51320" w:rsidRDefault="00A51320" w:rsidP="00A51320">
      <w:pPr>
        <w:spacing w:line="276" w:lineRule="auto"/>
        <w:ind w:firstLine="720"/>
        <w:jc w:val="both"/>
      </w:pPr>
    </w:p>
    <w:p w14:paraId="7DE5C484" w14:textId="72B0F2DD" w:rsidR="00A51320" w:rsidRPr="006D4E60" w:rsidRDefault="00A51320" w:rsidP="00A51320">
      <w:pPr>
        <w:spacing w:line="276" w:lineRule="auto"/>
        <w:jc w:val="center"/>
      </w:pPr>
      <w:r>
        <w:t>III</w:t>
      </w:r>
    </w:p>
    <w:p w14:paraId="4AFC89E3" w14:textId="77777777" w:rsidR="00B60B0B" w:rsidRDefault="00B60B0B" w:rsidP="00F66A0B">
      <w:pPr>
        <w:spacing w:line="276" w:lineRule="auto"/>
        <w:ind w:firstLine="720"/>
        <w:jc w:val="both"/>
      </w:pPr>
    </w:p>
    <w:p w14:paraId="5542955E" w14:textId="77777777" w:rsidR="00863B37" w:rsidRDefault="00863B37" w:rsidP="00F66A0B">
      <w:pPr>
        <w:spacing w:line="276" w:lineRule="auto"/>
        <w:ind w:firstLine="720"/>
        <w:jc w:val="both"/>
      </w:pPr>
      <w:r>
        <w:t>[</w:t>
      </w:r>
      <w:r w:rsidR="00282852">
        <w:t>13</w:t>
      </w:r>
      <w:r>
        <w:t xml:space="preserve">] </w:t>
      </w:r>
      <w:r w:rsidR="007E0F5D">
        <w:t xml:space="preserve">Pieteicējas </w:t>
      </w:r>
      <w:r w:rsidR="00FB3F17">
        <w:t>argumenti</w:t>
      </w:r>
      <w:r w:rsidR="00D733B2">
        <w:t xml:space="preserve"> par </w:t>
      </w:r>
      <w:r w:rsidR="00D733B2" w:rsidRPr="00D733B2">
        <w:t>pievienotās vēr</w:t>
      </w:r>
      <w:r w:rsidR="00D733B2">
        <w:t>tības nodokļa reversās</w:t>
      </w:r>
      <w:r w:rsidR="00D733B2" w:rsidRPr="00D733B2">
        <w:t xml:space="preserve"> </w:t>
      </w:r>
      <w:r w:rsidR="00D733B2">
        <w:t>maksāšanas kārtības</w:t>
      </w:r>
      <w:r w:rsidR="00D733B2" w:rsidRPr="00D733B2">
        <w:t xml:space="preserve"> </w:t>
      </w:r>
      <w:r w:rsidR="00045DE6">
        <w:t xml:space="preserve">ieviešanas </w:t>
      </w:r>
      <w:r w:rsidR="00D733B2">
        <w:t>mērķi</w:t>
      </w:r>
      <w:r w:rsidR="00D733B2" w:rsidRPr="00D733B2">
        <w:t xml:space="preserve"> </w:t>
      </w:r>
      <w:r w:rsidR="00D733B2">
        <w:t xml:space="preserve">un par nodokļa faktisko samaksu </w:t>
      </w:r>
      <w:r w:rsidR="00D53791">
        <w:t xml:space="preserve">ir </w:t>
      </w:r>
      <w:r w:rsidR="00282852">
        <w:t>apsverami</w:t>
      </w:r>
      <w:r w:rsidR="00D733B2">
        <w:t xml:space="preserve"> arī pieteicējai piemērotās soda naudas </w:t>
      </w:r>
      <w:r w:rsidR="006D390F">
        <w:t xml:space="preserve">samērīguma </w:t>
      </w:r>
      <w:r w:rsidR="00D733B2">
        <w:t>kontekstā</w:t>
      </w:r>
      <w:r w:rsidR="00D733B2" w:rsidRPr="00D733B2">
        <w:t>.</w:t>
      </w:r>
    </w:p>
    <w:p w14:paraId="7669110F" w14:textId="77777777" w:rsidR="00493277" w:rsidRDefault="008F029D" w:rsidP="00F66A0B">
      <w:pPr>
        <w:spacing w:line="276" w:lineRule="auto"/>
        <w:ind w:firstLine="720"/>
        <w:jc w:val="both"/>
      </w:pPr>
      <w:r>
        <w:lastRenderedPageBreak/>
        <w:t>No audita lēmuma izriet, ka dienesta veikto korekciju rezultātā saistībā ar darījumiem, kuros pieteicēja nepamatoti piemērojusi pievienotās vērtības nodokļa reverso maksāšanas kārtību un tādējādi samazinājusi budžetā maksājamo nodokli</w:t>
      </w:r>
      <w:r w:rsidR="00FB3F17">
        <w:t xml:space="preserve"> vai palielinājusi no budžeta atmaksājamo nodokļa summu</w:t>
      </w:r>
      <w:r>
        <w:t xml:space="preserve">, dienests aprēķinājis soda naudu 20 procentu apmērā no auditā papildus aprēķinātās </w:t>
      </w:r>
      <w:r w:rsidR="00FB3F17">
        <w:t xml:space="preserve">vai no samazinātās no budžeta atmaksājamās </w:t>
      </w:r>
      <w:r>
        <w:t xml:space="preserve">nodokļa summas </w:t>
      </w:r>
      <w:proofErr w:type="gramStart"/>
      <w:r>
        <w:t>(</w:t>
      </w:r>
      <w:proofErr w:type="gramEnd"/>
      <w:r>
        <w:t xml:space="preserve">izņemot 2012.gada aprīļa darījumus, saistībā ar </w:t>
      </w:r>
      <w:r w:rsidR="00BE12B9">
        <w:t>kuriem soda nauda piemērota 30 procentu apmērā).</w:t>
      </w:r>
    </w:p>
    <w:p w14:paraId="2E32EDC9" w14:textId="77777777" w:rsidR="00EF55F5" w:rsidRDefault="00EF55F5" w:rsidP="000A148F">
      <w:pPr>
        <w:spacing w:line="276" w:lineRule="auto"/>
        <w:ind w:firstLine="720"/>
        <w:jc w:val="both"/>
      </w:pPr>
    </w:p>
    <w:p w14:paraId="72E16391" w14:textId="5A42468C" w:rsidR="00500D5A" w:rsidRDefault="00EF55F5" w:rsidP="000A148F">
      <w:pPr>
        <w:spacing w:line="276" w:lineRule="auto"/>
        <w:ind w:firstLine="720"/>
        <w:jc w:val="both"/>
      </w:pPr>
      <w:r>
        <w:t xml:space="preserve">[14] </w:t>
      </w:r>
      <w:r w:rsidR="00BE12B9">
        <w:t>Eiropas Savienības Tiesa ir norādījusi, ka</w:t>
      </w:r>
      <w:r w:rsidR="006D390F">
        <w:t>,</w:t>
      </w:r>
      <w:r w:rsidR="00BE12B9">
        <w:t xml:space="preserve"> </w:t>
      </w:r>
      <w:r w:rsidR="006D390F" w:rsidRPr="006D390F">
        <w:t xml:space="preserve">tā kā nav veikta Eiropas Savienības tiesību saskaņošana attiecībā uz piemērojamajām sankcijām par tādu nosacījumu neievērošanu, kuri paredzēti ar šīm tiesībām izveidotajā sistēmā, dalībvalstu kompetencē </w:t>
      </w:r>
      <w:r w:rsidR="005F0638" w:rsidRPr="005F0638">
        <w:t>ir izvēlēties sankcijas, ko tās uzskata par piemērotām. Tomēr dalībvalstīm šī kompetence ir jāīsteno, ievērojot Savienības tiesības un to vispārējos principus</w:t>
      </w:r>
      <w:r w:rsidR="005F0638">
        <w:t xml:space="preserve">, tātad arī samērīguma principu. </w:t>
      </w:r>
      <w:r w:rsidR="007E0F5D">
        <w:t>Tādē</w:t>
      </w:r>
      <w:r w:rsidR="005F0638">
        <w:t xml:space="preserve">jādi </w:t>
      </w:r>
      <w:r w:rsidR="005F0638" w:rsidRPr="00BE12B9">
        <w:t xml:space="preserve">šiem </w:t>
      </w:r>
      <w:r w:rsidR="00BE12B9" w:rsidRPr="00BE12B9">
        <w:t>sodiem nav jāpārsniedz tas, kas ir nepieciešams, lai sasniegtu mērķus nodrošināt pareizu nodokļa iekasēšanu un novērst krāpšanu. Lai izvērtētu, vai sankcija atbilst samērīguma principam, tostarp ir jāņem vērā pārkāpuma, kuru iecerēts sodīt ar šo sankciju, raksturs un smagums, kā arī tās apmēra noteikšanas nosacījumi</w:t>
      </w:r>
      <w:r w:rsidR="000A148F">
        <w:t xml:space="preserve"> (</w:t>
      </w:r>
      <w:r w:rsidR="000A148F" w:rsidRPr="000A148F">
        <w:rPr>
          <w:i/>
        </w:rPr>
        <w:t xml:space="preserve">Eiropas Savienības Tiesas </w:t>
      </w:r>
      <w:proofErr w:type="gramStart"/>
      <w:r w:rsidR="000A148F" w:rsidRPr="000A148F">
        <w:rPr>
          <w:i/>
        </w:rPr>
        <w:t>2017.gada</w:t>
      </w:r>
      <w:proofErr w:type="gramEnd"/>
      <w:r w:rsidR="000A148F" w:rsidRPr="000A148F">
        <w:rPr>
          <w:i/>
        </w:rPr>
        <w:t xml:space="preserve"> 26.aprīļa sprieduma lietā </w:t>
      </w:r>
      <w:proofErr w:type="spellStart"/>
      <w:r w:rsidR="00503367" w:rsidRPr="000A148F">
        <w:rPr>
          <w:i/>
        </w:rPr>
        <w:t>Farkas</w:t>
      </w:r>
      <w:proofErr w:type="spellEnd"/>
      <w:r w:rsidR="00503367">
        <w:rPr>
          <w:i/>
        </w:rPr>
        <w:t>,</w:t>
      </w:r>
      <w:r w:rsidR="00503367" w:rsidRPr="000A148F">
        <w:rPr>
          <w:i/>
        </w:rPr>
        <w:t xml:space="preserve"> </w:t>
      </w:r>
      <w:r w:rsidR="000A148F" w:rsidRPr="000A148F">
        <w:rPr>
          <w:i/>
        </w:rPr>
        <w:t xml:space="preserve">C‑564/15, ECLI:EU:C:2017:302, </w:t>
      </w:r>
      <w:r w:rsidR="00BE12B9">
        <w:rPr>
          <w:i/>
        </w:rPr>
        <w:t>59</w:t>
      </w:r>
      <w:r w:rsidR="000A148F" w:rsidRPr="000A148F">
        <w:rPr>
          <w:i/>
        </w:rPr>
        <w:t>.–6</w:t>
      </w:r>
      <w:r w:rsidR="007E0F5D">
        <w:rPr>
          <w:i/>
        </w:rPr>
        <w:t>0</w:t>
      </w:r>
      <w:r w:rsidR="000A148F" w:rsidRPr="000A148F">
        <w:rPr>
          <w:i/>
        </w:rPr>
        <w:t>.punkts</w:t>
      </w:r>
      <w:r w:rsidR="000A148F">
        <w:t>).</w:t>
      </w:r>
    </w:p>
    <w:p w14:paraId="37C06B74" w14:textId="637DE98E" w:rsidR="005F0638" w:rsidRDefault="00500D5A" w:rsidP="000A148F">
      <w:pPr>
        <w:spacing w:line="276" w:lineRule="auto"/>
        <w:ind w:firstLine="720"/>
        <w:jc w:val="both"/>
      </w:pPr>
      <w:r w:rsidRPr="00500D5A">
        <w:t xml:space="preserve">Eiropas Savienības Tiesa </w:t>
      </w:r>
      <w:r>
        <w:t>arī norādīja, ka vispārīgi š</w:t>
      </w:r>
      <w:r w:rsidR="005F0638">
        <w:t xml:space="preserve">āds </w:t>
      </w:r>
      <w:r w:rsidR="005F0638" w:rsidRPr="00BE12B9">
        <w:t>sods veicina nodokļu maksātājus pēc iespējas ātrāk novērst nepietiekamo nodokļu samaksu un tādējādi sasniegt mērķi nodrošināt tā precīzu iekasēšanu</w:t>
      </w:r>
      <w:r w:rsidR="005F0638">
        <w:t xml:space="preserve"> (</w:t>
      </w:r>
      <w:r w:rsidR="005F0638" w:rsidRPr="005F0638">
        <w:rPr>
          <w:i/>
        </w:rPr>
        <w:t>turpat, 62.punkts</w:t>
      </w:r>
      <w:r w:rsidR="005F0638">
        <w:t>)</w:t>
      </w:r>
      <w:r w:rsidR="005F0638" w:rsidRPr="00BE12B9">
        <w:t>.</w:t>
      </w:r>
      <w:r w:rsidR="005F0638">
        <w:t xml:space="preserve"> Tomēr apstākļos, kuros pārkāpumu rada kļūda saistībā ar pievienotās vērtības nodokļa mehānisma piemērošanu, kas atbilst administratīva rakstura pārkāpumam un kas nav radījusi nodokļu administrācijai nekādus ienākumu zaudējumus, un kuros nepastāv norādes par krāpšanu, nesamērīga ir tāda soda</w:t>
      </w:r>
      <w:r w:rsidR="005F0638" w:rsidRPr="000A148F">
        <w:t xml:space="preserve"> </w:t>
      </w:r>
      <w:r w:rsidR="005F0638">
        <w:t xml:space="preserve">piemērošana, kas sasniedz 50 procentus no aplūkotajam darījumam piemērojamā nodokļa apmēra </w:t>
      </w:r>
      <w:proofErr w:type="gramStart"/>
      <w:r w:rsidR="005F0638">
        <w:t>(</w:t>
      </w:r>
      <w:proofErr w:type="gramEnd"/>
      <w:r w:rsidR="005F0638" w:rsidRPr="005F0638">
        <w:rPr>
          <w:i/>
        </w:rPr>
        <w:t>turpat, 65.–66.punkts</w:t>
      </w:r>
      <w:r w:rsidR="005F0638">
        <w:t>).</w:t>
      </w:r>
    </w:p>
    <w:p w14:paraId="6BE7167B" w14:textId="61A3F6D3" w:rsidR="00AB3FCD" w:rsidRDefault="00EF55F5" w:rsidP="00AB3FCD">
      <w:pPr>
        <w:spacing w:line="276" w:lineRule="auto"/>
        <w:ind w:firstLine="720"/>
        <w:jc w:val="both"/>
      </w:pPr>
      <w:r>
        <w:t>Tāpat Eiropas Savienības Tiesa ir skaidrojusi, ka v</w:t>
      </w:r>
      <w:r w:rsidR="00AB3FCD" w:rsidRPr="00974666">
        <w:t xml:space="preserve">alsts likumdevējam ir iespēja nodokļa maksātāja formālos pienākumus saistīt ar sankcijām, kas var mudināt tos ievērot minētos pienākumus, lai nodrošinātu </w:t>
      </w:r>
      <w:r w:rsidR="00AB3FCD">
        <w:t>nodokļa</w:t>
      </w:r>
      <w:r w:rsidR="00AB3FCD" w:rsidRPr="00974666">
        <w:t xml:space="preserve"> sistēmas pienācīgu darbību, un tādējādi administratīvs naudas sods varētu tikt piemērots nodokļa maksātājam, kura pieteikuma par nepamatoti samaksātā </w:t>
      </w:r>
      <w:r w:rsidR="00AB3FCD">
        <w:t>nodokļa</w:t>
      </w:r>
      <w:r w:rsidR="00AB3FCD" w:rsidRPr="00974666">
        <w:t xml:space="preserve"> atmaksāšanu pamatā ir bijusi tā paša neuzmanība </w:t>
      </w:r>
      <w:proofErr w:type="gramStart"/>
      <w:r w:rsidR="00AB3FCD" w:rsidRPr="00974666">
        <w:t>(</w:t>
      </w:r>
      <w:proofErr w:type="gramEnd"/>
      <w:r w:rsidR="00AB3FCD" w:rsidRPr="00974666">
        <w:rPr>
          <w:i/>
        </w:rPr>
        <w:t xml:space="preserve">Eiropas Savienības Tiesas 2020.gada 2.jūlija sprieduma lietā </w:t>
      </w:r>
      <w:proofErr w:type="spellStart"/>
      <w:r w:rsidR="00AB3FCD" w:rsidRPr="00974666">
        <w:rPr>
          <w:i/>
        </w:rPr>
        <w:t>Terracult</w:t>
      </w:r>
      <w:proofErr w:type="spellEnd"/>
      <w:r w:rsidR="00AB3FCD" w:rsidRPr="00974666">
        <w:rPr>
          <w:i/>
        </w:rPr>
        <w:t>, C‑835/18, ECLI:EU:C:2020:520, 36.punkts</w:t>
      </w:r>
      <w:r w:rsidR="00AB3FCD" w:rsidRPr="00974666">
        <w:t>).</w:t>
      </w:r>
    </w:p>
    <w:p w14:paraId="1B56689E" w14:textId="2919069C" w:rsidR="003C5C8F" w:rsidRDefault="003C5C8F" w:rsidP="000A148F">
      <w:pPr>
        <w:spacing w:line="276" w:lineRule="auto"/>
        <w:ind w:firstLine="720"/>
        <w:jc w:val="both"/>
      </w:pPr>
      <w:r w:rsidRPr="003C5C8F">
        <w:t>Attiecībā uz sankcij</w:t>
      </w:r>
      <w:r w:rsidR="00BC62FE">
        <w:t>ām</w:t>
      </w:r>
      <w:r w:rsidRPr="003C5C8F">
        <w:t xml:space="preserve">, ko veido nodokļa palielināšana saskaņā ar vienotu likmi procentos, </w:t>
      </w:r>
      <w:r>
        <w:t xml:space="preserve">Eiropas Savienības </w:t>
      </w:r>
      <w:r w:rsidRPr="003C5C8F">
        <w:t xml:space="preserve">Tiesa ir atzinusi, ka šāds sankcijas apmēra noteikšanas veids, nepastāvot iespējai to samērīgi variēt, </w:t>
      </w:r>
      <w:r w:rsidRPr="00BC62FE">
        <w:t>var pārsniegt to</w:t>
      </w:r>
      <w:r w:rsidRPr="003C5C8F">
        <w:t xml:space="preserve">, kas ir nepieciešams, lai nodrošinātu precīzu </w:t>
      </w:r>
      <w:r>
        <w:t>nodokļa</w:t>
      </w:r>
      <w:r w:rsidRPr="003C5C8F">
        <w:t xml:space="preserve"> iekasēšanu un izvairītos no krāpšanas</w:t>
      </w:r>
      <w:r>
        <w:t xml:space="preserve"> </w:t>
      </w:r>
      <w:bookmarkStart w:id="0" w:name="_Hlk51951445"/>
      <w:proofErr w:type="gramStart"/>
      <w:r>
        <w:t>(</w:t>
      </w:r>
      <w:proofErr w:type="gramEnd"/>
      <w:r w:rsidRPr="003C5C8F">
        <w:rPr>
          <w:i/>
        </w:rPr>
        <w:t xml:space="preserve">Eiropas Savienības Tiesas 2014.gada 17.jūlija sprieduma lietā </w:t>
      </w:r>
      <w:proofErr w:type="spellStart"/>
      <w:r w:rsidRPr="003C5C8F">
        <w:rPr>
          <w:i/>
        </w:rPr>
        <w:t>Equoland</w:t>
      </w:r>
      <w:proofErr w:type="spellEnd"/>
      <w:r w:rsidRPr="003C5C8F">
        <w:rPr>
          <w:i/>
        </w:rPr>
        <w:t>, C-272/13, ECLI:EU:C:2014:2091, 44.punkts</w:t>
      </w:r>
      <w:r>
        <w:t>)</w:t>
      </w:r>
      <w:bookmarkEnd w:id="0"/>
      <w:r>
        <w:t>.</w:t>
      </w:r>
    </w:p>
    <w:p w14:paraId="5CF839A8" w14:textId="77777777" w:rsidR="00974666" w:rsidRDefault="00974666" w:rsidP="000A148F">
      <w:pPr>
        <w:spacing w:line="276" w:lineRule="auto"/>
        <w:ind w:firstLine="720"/>
        <w:jc w:val="both"/>
      </w:pPr>
      <w:r>
        <w:t>No sniegtajiem Eiropas Savienības Tiesas prakses piem</w:t>
      </w:r>
      <w:r w:rsidR="00AB3FCD">
        <w:t xml:space="preserve">ēriem izriet, ka likumdevējs var noteikt sankcijas par nodokļa maksātāja </w:t>
      </w:r>
      <w:r w:rsidR="00831C67">
        <w:t>pārkāpumiem</w:t>
      </w:r>
      <w:r w:rsidR="00D41C74">
        <w:t xml:space="preserve"> pat tad, ja </w:t>
      </w:r>
      <w:r w:rsidR="00831C67">
        <w:t>tas pieļāvis tikai</w:t>
      </w:r>
      <w:r w:rsidR="00D41C74">
        <w:t xml:space="preserve"> neuzmanīb</w:t>
      </w:r>
      <w:r w:rsidR="00831C67">
        <w:t>u</w:t>
      </w:r>
      <w:r w:rsidR="00D41C74">
        <w:t xml:space="preserve"> un nav norādes uz krāpšanu</w:t>
      </w:r>
      <w:r w:rsidR="00AB3FCD">
        <w:t xml:space="preserve">. Tomēr šīm sankcijām nav </w:t>
      </w:r>
      <w:r w:rsidR="00AB3FCD" w:rsidRPr="00BE12B9">
        <w:t>jāpārsniedz tas, kas ir nepieciešams, lai nodrošināt</w:t>
      </w:r>
      <w:r w:rsidR="00831C67">
        <w:t>u</w:t>
      </w:r>
      <w:r w:rsidR="00AB3FCD" w:rsidRPr="00BE12B9">
        <w:t xml:space="preserve"> pareizu nodokļa iekasēšanu un novērst</w:t>
      </w:r>
      <w:r w:rsidR="00831C67">
        <w:t>u</w:t>
      </w:r>
      <w:r w:rsidR="00AB3FCD" w:rsidRPr="00BE12B9">
        <w:t xml:space="preserve"> krāpšanu</w:t>
      </w:r>
      <w:r w:rsidR="00AB3FCD">
        <w:t xml:space="preserve">. </w:t>
      </w:r>
      <w:r w:rsidR="00831C67">
        <w:t xml:space="preserve">Vērtējot </w:t>
      </w:r>
      <w:r w:rsidR="00AB3FCD">
        <w:t xml:space="preserve">sankcijas samērīgumu, </w:t>
      </w:r>
      <w:r w:rsidR="00AB3FCD" w:rsidRPr="00BE12B9">
        <w:t>jāņem vērā pārkāpuma raksturs un smagums, kā arī tās apmēra noteikšanas nosacījumi</w:t>
      </w:r>
      <w:r w:rsidR="00AB3FCD">
        <w:t>.</w:t>
      </w:r>
      <w:r w:rsidR="003B643B">
        <w:t xml:space="preserve"> Ja sankcija tiek noteikta saskaņā ar vienotu likmi procentos, jāpastāv iespējai to samērīgi variēt.</w:t>
      </w:r>
    </w:p>
    <w:p w14:paraId="03D41F27" w14:textId="77777777" w:rsidR="00EF55F5" w:rsidRDefault="00EF55F5" w:rsidP="000A148F">
      <w:pPr>
        <w:spacing w:line="276" w:lineRule="auto"/>
        <w:ind w:firstLine="720"/>
        <w:jc w:val="both"/>
      </w:pPr>
    </w:p>
    <w:p w14:paraId="39C8CE14" w14:textId="7A9ED14F" w:rsidR="003B643B" w:rsidRDefault="00EF55F5" w:rsidP="000A148F">
      <w:pPr>
        <w:spacing w:line="276" w:lineRule="auto"/>
        <w:ind w:firstLine="720"/>
        <w:jc w:val="both"/>
      </w:pPr>
      <w:r>
        <w:lastRenderedPageBreak/>
        <w:t xml:space="preserve">[15] </w:t>
      </w:r>
      <w:r w:rsidR="00997E4D">
        <w:t>Šajā</w:t>
      </w:r>
      <w:r w:rsidR="007E0F5D">
        <w:t xml:space="preserve"> lietā pieteicējai soda nauda piemērota saskaņā ar likuma „Par nodokļiem un nodevām” </w:t>
      </w:r>
      <w:proofErr w:type="gramStart"/>
      <w:r w:rsidR="007E0F5D">
        <w:t>32.panta</w:t>
      </w:r>
      <w:proofErr w:type="gramEnd"/>
      <w:r w:rsidR="007E0F5D">
        <w:t xml:space="preserve"> ceturto un piekto daļu. Atbilstoši šīm normām, ja </w:t>
      </w:r>
      <w:r w:rsidR="007E0F5D" w:rsidRPr="007E0F5D">
        <w:t xml:space="preserve">budžetā iemaksājamā nodokļa samazinājums </w:t>
      </w:r>
      <w:r w:rsidR="007E0F5D">
        <w:t xml:space="preserve">vai </w:t>
      </w:r>
      <w:r w:rsidR="007E0F5D" w:rsidRPr="007E0F5D">
        <w:t>no budžeta atmaksājamā nodokļa palielinājums nepārsniedz 15 procentus</w:t>
      </w:r>
      <w:r w:rsidR="007E0F5D">
        <w:t xml:space="preserve"> no deklarējamās nodokļa summas</w:t>
      </w:r>
      <w:r w:rsidR="007E0F5D" w:rsidRPr="007E0F5D">
        <w:t xml:space="preserve"> vai </w:t>
      </w:r>
      <w:r w:rsidR="007E0F5D">
        <w:t>attiecīgi</w:t>
      </w:r>
      <w:r w:rsidR="007E0F5D" w:rsidRPr="007E0F5D">
        <w:t xml:space="preserve"> no deklarētās pārmaksātās nodokļa summas, soda naudu uzliek 20 procentu apmērā no nedeklarētā budžetā iemaksājamā nodokļa apmēra vai no nepamatoti palielinātā no budžeta atmaksājamā nodokļa apmēra.</w:t>
      </w:r>
      <w:r w:rsidR="007E0F5D">
        <w:t xml:space="preserve"> Savukārt, ja </w:t>
      </w:r>
      <w:r w:rsidR="00997E4D">
        <w:t>minētais</w:t>
      </w:r>
      <w:r w:rsidR="007E0F5D" w:rsidRPr="007E0F5D">
        <w:t xml:space="preserve"> </w:t>
      </w:r>
      <w:r w:rsidR="00997E4D">
        <w:t xml:space="preserve">nodokļa </w:t>
      </w:r>
      <w:r w:rsidR="007E0F5D" w:rsidRPr="007E0F5D">
        <w:t>samazinājums</w:t>
      </w:r>
      <w:r w:rsidR="007E0F5D">
        <w:t xml:space="preserve"> vai</w:t>
      </w:r>
      <w:r w:rsidR="007E0F5D" w:rsidRPr="007E0F5D">
        <w:t xml:space="preserve"> </w:t>
      </w:r>
      <w:r w:rsidR="00997E4D">
        <w:t>attiecīgi</w:t>
      </w:r>
      <w:r w:rsidR="007E0F5D" w:rsidRPr="007E0F5D">
        <w:t xml:space="preserve"> palielinājums pārsniedz 15 procentus no deklarējamās nodokļa summas</w:t>
      </w:r>
      <w:r w:rsidR="007E0F5D">
        <w:t xml:space="preserve"> vai attiecīgi </w:t>
      </w:r>
      <w:r w:rsidR="007E0F5D" w:rsidRPr="007E0F5D">
        <w:t>no deklarētās pārmaksātās nodokļa summas, soda naudu uzliek 30 procentu apmērā no nedeklarētā budžetā iemaksājamā nodokļa apmēra vai no nepamatoti palielinātā no budžeta atmaksājamā nodokļa apmēra.</w:t>
      </w:r>
    </w:p>
    <w:p w14:paraId="6796AC41" w14:textId="530780C2" w:rsidR="007E0F5D" w:rsidRDefault="007E0F5D" w:rsidP="000A148F">
      <w:pPr>
        <w:spacing w:line="276" w:lineRule="auto"/>
        <w:ind w:firstLine="720"/>
        <w:jc w:val="both"/>
      </w:pPr>
      <w:r>
        <w:t xml:space="preserve">Senāts atzīst, ka likme procentos, pēc kuras tiek noteikta sankcija, ir </w:t>
      </w:r>
      <w:r w:rsidR="009D4391">
        <w:t>salīdzinoši</w:t>
      </w:r>
      <w:r>
        <w:t xml:space="preserve"> neliela</w:t>
      </w:r>
      <w:r w:rsidR="009D4391">
        <w:t xml:space="preserve"> un pati par sevi </w:t>
      </w:r>
      <w:r w:rsidR="00997E4D">
        <w:t>neliecina par</w:t>
      </w:r>
      <w:r w:rsidR="009D4391">
        <w:t xml:space="preserve"> nesamērīg</w:t>
      </w:r>
      <w:r w:rsidR="00997E4D">
        <w:t>umu</w:t>
      </w:r>
      <w:r>
        <w:t>.</w:t>
      </w:r>
      <w:r w:rsidR="008A7632">
        <w:t xml:space="preserve"> Tomēr no piemērotajām tiesību normām izriet, ka </w:t>
      </w:r>
      <w:r w:rsidR="009D4391">
        <w:t>soda naudas</w:t>
      </w:r>
      <w:r w:rsidR="008A7632">
        <w:t xml:space="preserve"> piemērošana ir atkarīga tikai no </w:t>
      </w:r>
      <w:r w:rsidR="008A7632" w:rsidRPr="007E0F5D">
        <w:t xml:space="preserve">budžetā </w:t>
      </w:r>
      <w:r w:rsidR="008A7632">
        <w:t>iemaksājamā nodokļa samazinājuma vai</w:t>
      </w:r>
      <w:r w:rsidR="008A7632" w:rsidRPr="007E0F5D">
        <w:t xml:space="preserve"> no budžeta a</w:t>
      </w:r>
      <w:r w:rsidR="008A7632">
        <w:t>tmaksājamā nodokļa palielinājuma procentos</w:t>
      </w:r>
      <w:r w:rsidR="00A81E95">
        <w:t xml:space="preserve">. Lai arī </w:t>
      </w:r>
      <w:r w:rsidR="00A81E95" w:rsidRPr="00A81E95">
        <w:t xml:space="preserve">likuma „Par nodokļiem un nodevām” </w:t>
      </w:r>
      <w:proofErr w:type="gramStart"/>
      <w:r w:rsidR="00A81E95" w:rsidRPr="00A81E95">
        <w:t>32.panta</w:t>
      </w:r>
      <w:proofErr w:type="gramEnd"/>
      <w:r w:rsidR="00A81E95" w:rsidRPr="00A81E95">
        <w:t xml:space="preserve"> </w:t>
      </w:r>
      <w:r w:rsidR="00A81E95">
        <w:t>septītā daļa paredz iespēju noteiktos gadījumos uz pusi samazināt soda naudu, šajā normā nav paredzēts ņemt vērā tādus apstākļus, kas raksturo nodokļu maksātāja</w:t>
      </w:r>
      <w:r w:rsidR="00A81E95" w:rsidRPr="00831C67">
        <w:t xml:space="preserve"> </w:t>
      </w:r>
      <w:r w:rsidR="00A81E95">
        <w:t xml:space="preserve">attieksmi pret pārkāpumu. </w:t>
      </w:r>
      <w:r w:rsidR="008A7632">
        <w:t>Tādējādi vienāda sankcija tiek piemērota gan tādam nodokļu maksātājam, kurš apzināti slēpis ar nodokli apliekamo objektu, gan tādam nodokļu maksātājam, kurš pārkāpumu pieļāvis neuzmanības dēļ.</w:t>
      </w:r>
      <w:r w:rsidR="00997E4D">
        <w:t xml:space="preserve"> Tas neatbilst Eiropas Savienības Tiesas praksē attīstītajai samērīguma principa izpratnei.</w:t>
      </w:r>
    </w:p>
    <w:p w14:paraId="1A5B3566" w14:textId="77777777" w:rsidR="00145C68" w:rsidRDefault="008A7632" w:rsidP="00FF6087">
      <w:pPr>
        <w:spacing w:line="276" w:lineRule="auto"/>
        <w:ind w:firstLine="720"/>
        <w:jc w:val="both"/>
      </w:pPr>
      <w:r>
        <w:t xml:space="preserve">Arī </w:t>
      </w:r>
      <w:r w:rsidR="000F039C">
        <w:t xml:space="preserve">šajā lietā sastopamās norādes vedina domāt, ka pieteicējas pieļautā kļūda ir saistīta ar </w:t>
      </w:r>
      <w:r w:rsidR="00C90373">
        <w:t>nepareizu</w:t>
      </w:r>
      <w:r w:rsidR="000F039C">
        <w:t xml:space="preserve"> pievienotās vērtības nodokļa mehānisma piemērošanu, </w:t>
      </w:r>
      <w:r w:rsidR="00CF1525">
        <w:t>kura nolūks</w:t>
      </w:r>
      <w:r w:rsidR="0033353C">
        <w:t xml:space="preserve"> </w:t>
      </w:r>
      <w:r w:rsidR="0033353C" w:rsidRPr="00CF1525">
        <w:t xml:space="preserve">nav </w:t>
      </w:r>
      <w:r w:rsidR="00CF1525">
        <w:t>bijis radīt</w:t>
      </w:r>
      <w:r w:rsidR="0033353C" w:rsidRPr="00CF1525">
        <w:t xml:space="preserve"> valstij nodokļu ieņēmumu zaudējumus,</w:t>
      </w:r>
      <w:r w:rsidR="0033353C">
        <w:t xml:space="preserve"> un ka nav norāžu par krāpšanu vai apzinātu izvairīšanos no nodokļu samaksas</w:t>
      </w:r>
      <w:r w:rsidR="00C90373">
        <w:t>.</w:t>
      </w:r>
      <w:r w:rsidR="00997E4D">
        <w:t xml:space="preserve"> </w:t>
      </w:r>
      <w:r w:rsidR="00997E4D" w:rsidRPr="00EF55F5">
        <w:t>Tiesai šīs norādes ir jāpārbauda.</w:t>
      </w:r>
      <w:r w:rsidR="00364EB1">
        <w:t xml:space="preserve"> Ja tās apstiprinās, nebūtu samērīgi pieteicējai piemērot tādu pašu soda naudu, kāda tiktu piemērota apzināta pārkāpuma gadījumā.</w:t>
      </w:r>
    </w:p>
    <w:p w14:paraId="381C403B" w14:textId="77777777" w:rsidR="006D0543" w:rsidRDefault="00C90373" w:rsidP="00FF6087">
      <w:pPr>
        <w:spacing w:line="276" w:lineRule="auto"/>
        <w:ind w:firstLine="720"/>
        <w:jc w:val="both"/>
      </w:pPr>
      <w:r>
        <w:t xml:space="preserve">Senāts </w:t>
      </w:r>
      <w:r w:rsidR="002C78AC">
        <w:t>atzīmē</w:t>
      </w:r>
      <w:r>
        <w:t xml:space="preserve">, ka, ievērojot pienācīgu rūpību, pieteicēja varēja saprast savus </w:t>
      </w:r>
      <w:r w:rsidR="00CF1525">
        <w:t xml:space="preserve">tiesiskos </w:t>
      </w:r>
      <w:r>
        <w:t>pienākumus. Senāts šajā spriedumā jau norādīja, ka pieredzējušam būvkomersantam nevar būt šķēršļu noskaidrot, vai pakalpojums, par kuru tiek izrakstīts rēķins, tiek sniegts jaunas būves būvēšanas, esošas būves renovācijas, rekonstrukcijas un restaurācijas ietvaros.</w:t>
      </w:r>
      <w:r w:rsidR="009F3D07">
        <w:t xml:space="preserve"> </w:t>
      </w:r>
      <w:r w:rsidR="00045DE6">
        <w:t xml:space="preserve">Tomēr pieteicējas rūpība vērtējama kontekstā ar paša tiesiskā regulējuma sarežģītību. Par spīti likuma vārdiskā formulējuma relatīvajai skaidrībai, nevar atstāt bez ievērības, ka pievienotās vērtības nodokļa maksāšanas regulējums, kāds tas bija attiecībā uz būvniecības pakalpojumiem laikā no </w:t>
      </w:r>
      <w:proofErr w:type="gramStart"/>
      <w:r w:rsidR="00045DE6">
        <w:t>2012.gada</w:t>
      </w:r>
      <w:proofErr w:type="gramEnd"/>
      <w:r w:rsidR="00045DE6">
        <w:t xml:space="preserve"> 1.janvāra līdz 2017.gada 31.decembrim, saturēja skaidri neatrunātu atkāpi no </w:t>
      </w:r>
      <w:r w:rsidR="00045DE6" w:rsidRPr="009569CD">
        <w:t>Padomes 2006.</w:t>
      </w:r>
      <w:r w:rsidR="00045DE6">
        <w:t>gada 28.novembra</w:t>
      </w:r>
      <w:r w:rsidR="00045DE6" w:rsidRPr="009569CD">
        <w:t xml:space="preserve"> Direktīva</w:t>
      </w:r>
      <w:r w:rsidR="00045DE6">
        <w:t>s</w:t>
      </w:r>
      <w:r w:rsidR="00045DE6" w:rsidRPr="009569CD">
        <w:t xml:space="preserve"> </w:t>
      </w:r>
      <w:r w:rsidR="00045DE6">
        <w:t>Nr. </w:t>
      </w:r>
      <w:r w:rsidR="00045DE6" w:rsidRPr="009569CD">
        <w:t>2006/112/EK par kopējo pievienotās vērtības nodokļa sistēmu</w:t>
      </w:r>
      <w:r w:rsidR="00045DE6">
        <w:t xml:space="preserve"> 199.panta 1.punkta „a” apakšpunkta regulējuma</w:t>
      </w:r>
      <w:r w:rsidR="0091748D">
        <w:t>, kurā ir plašāks būvniecības pakalpojumu uzskaitījums</w:t>
      </w:r>
      <w:r w:rsidR="002C78AC">
        <w:t xml:space="preserve">. Proti, pieņemot </w:t>
      </w:r>
      <w:r w:rsidR="0022402D">
        <w:t xml:space="preserve">2011.gada 8.decembra </w:t>
      </w:r>
      <w:r w:rsidR="002C78AC">
        <w:t>grozījumus likumā „Par pievienotās vērtības nodokli”, likumprojekta anotācijā runāts par būvniecības pakalpojumiem</w:t>
      </w:r>
      <w:r w:rsidR="0022402D" w:rsidRPr="0022402D">
        <w:t xml:space="preserve"> </w:t>
      </w:r>
      <w:r w:rsidR="0022402D">
        <w:t xml:space="preserve">vispār, tikai dažviet sniedzot to būvniecības pakalpojumu uzskaitījumu, uz kuriem attieksies jaunā kārtība, bet skaidri nenorādot, ka šis uzskaitījums ir izsmeļošs un tādējādi neietver citus minētajā direktīvas normā minētos pakalpojumus. Līdz ar to jaunā regulējuma </w:t>
      </w:r>
      <w:r w:rsidR="00364EB1">
        <w:t>spēkā esības</w:t>
      </w:r>
      <w:r w:rsidR="0022402D">
        <w:t xml:space="preserve"> sākumposmā tā piemērošanas prakse komersantiem vēl varēja nebūt </w:t>
      </w:r>
      <w:r w:rsidR="006D0543">
        <w:t>pietiekami</w:t>
      </w:r>
      <w:r w:rsidR="0022402D">
        <w:t xml:space="preserve"> skaidra</w:t>
      </w:r>
      <w:r w:rsidR="006D0543">
        <w:t>.</w:t>
      </w:r>
    </w:p>
    <w:p w14:paraId="2ED8D76C" w14:textId="79761F88" w:rsidR="000A148F" w:rsidRDefault="006D0543" w:rsidP="00FF6087">
      <w:pPr>
        <w:spacing w:line="276" w:lineRule="auto"/>
        <w:ind w:firstLine="720"/>
        <w:jc w:val="both"/>
      </w:pPr>
      <w:r>
        <w:t xml:space="preserve">Tāpat nevar atstāt bez ievērības pieteicējas argumentu, ka jaunā regulējuma mērķis bija samazināt iespējas izkrāpt nodokli no valsts budžeta. </w:t>
      </w:r>
      <w:r w:rsidR="00442009">
        <w:t xml:space="preserve">Kā ir atzinusi Eiropas Savienības Tiesa, </w:t>
      </w:r>
      <w:r w:rsidR="00442009" w:rsidRPr="00442009">
        <w:t>apgrieztās iekasēšanas sistēma ļauj cīnīties pret nodokļu nemaksāšanu un izvairīšanos no nodokļu maksāšanas</w:t>
      </w:r>
      <w:r w:rsidR="00442009">
        <w:t xml:space="preserve"> (</w:t>
      </w:r>
      <w:r w:rsidR="00442009" w:rsidRPr="003C5C8F">
        <w:rPr>
          <w:i/>
        </w:rPr>
        <w:t xml:space="preserve">Eiropas Savienības Tiesas </w:t>
      </w:r>
      <w:proofErr w:type="gramStart"/>
      <w:r w:rsidR="00442009" w:rsidRPr="003C5C8F">
        <w:rPr>
          <w:i/>
        </w:rPr>
        <w:t>2014.gada</w:t>
      </w:r>
      <w:proofErr w:type="gramEnd"/>
      <w:r w:rsidR="00442009" w:rsidRPr="003C5C8F">
        <w:rPr>
          <w:i/>
        </w:rPr>
        <w:t xml:space="preserve"> 17.jūlija sprieduma lietā </w:t>
      </w:r>
      <w:proofErr w:type="spellStart"/>
      <w:r w:rsidR="00442009" w:rsidRPr="003C5C8F">
        <w:rPr>
          <w:i/>
        </w:rPr>
        <w:lastRenderedPageBreak/>
        <w:t>Equoland</w:t>
      </w:r>
      <w:proofErr w:type="spellEnd"/>
      <w:r w:rsidR="00442009" w:rsidRPr="003C5C8F">
        <w:rPr>
          <w:i/>
        </w:rPr>
        <w:t>, C-272/13, ECLI:EU:C:2014:2091, 4</w:t>
      </w:r>
      <w:r w:rsidR="00442009">
        <w:rPr>
          <w:i/>
        </w:rPr>
        <w:t>2</w:t>
      </w:r>
      <w:r w:rsidR="00442009" w:rsidRPr="003C5C8F">
        <w:rPr>
          <w:i/>
        </w:rPr>
        <w:t>.punkts</w:t>
      </w:r>
      <w:r w:rsidR="00442009">
        <w:t>)</w:t>
      </w:r>
      <w:r w:rsidR="00991C39">
        <w:t xml:space="preserve">, jo </w:t>
      </w:r>
      <w:r w:rsidR="00991C39" w:rsidRPr="00991C39">
        <w:t>apgrieztās maksāšanas kārtīb</w:t>
      </w:r>
      <w:r w:rsidR="00991C39">
        <w:t>as gadījumā</w:t>
      </w:r>
      <w:r w:rsidR="00991C39" w:rsidRPr="00991C39">
        <w:t xml:space="preserve"> nodokļu ieņēmumu zaudējuma risks saistībā ar tiesībām uz atmaksu ir ierobežots. Proti, lai gan minēto piegāžu adresāts ir </w:t>
      </w:r>
      <w:r w:rsidR="00991C39">
        <w:t>pievienotās vērtības pr</w:t>
      </w:r>
      <w:r w:rsidR="00991C39" w:rsidRPr="00991C39">
        <w:t xml:space="preserve">iekšnodokļa maksātājs, tas principā var atskaitīt šo pašu nodokli tādā veidā, ka </w:t>
      </w:r>
      <w:r w:rsidR="00991C39">
        <w:t xml:space="preserve">rezultātā tam </w:t>
      </w:r>
      <w:r w:rsidR="00991C39" w:rsidRPr="00991C39">
        <w:t xml:space="preserve">nodokļu administrācijai nav </w:t>
      </w:r>
      <w:r w:rsidR="006B2409">
        <w:t xml:space="preserve">nekas </w:t>
      </w:r>
      <w:r w:rsidR="00991C39" w:rsidRPr="00991C39">
        <w:t xml:space="preserve">jāmaksā </w:t>
      </w:r>
      <w:r w:rsidR="006B2409" w:rsidRPr="00974666">
        <w:t>(</w:t>
      </w:r>
      <w:r w:rsidR="006B2409" w:rsidRPr="00974666">
        <w:rPr>
          <w:i/>
        </w:rPr>
        <w:t xml:space="preserve">Eiropas Savienības Tiesas 2020.gada 2.jūlija sprieduma lietā </w:t>
      </w:r>
      <w:proofErr w:type="spellStart"/>
      <w:r w:rsidR="006B2409" w:rsidRPr="00974666">
        <w:rPr>
          <w:i/>
        </w:rPr>
        <w:t>Terracult</w:t>
      </w:r>
      <w:proofErr w:type="spellEnd"/>
      <w:r w:rsidR="006B2409" w:rsidRPr="00974666">
        <w:rPr>
          <w:i/>
        </w:rPr>
        <w:t xml:space="preserve">, C‑835/18, ECLI:EU:C:2020:520, </w:t>
      </w:r>
      <w:r w:rsidR="006B2409">
        <w:rPr>
          <w:i/>
        </w:rPr>
        <w:t>29</w:t>
      </w:r>
      <w:r w:rsidR="006B2409" w:rsidRPr="00974666">
        <w:rPr>
          <w:i/>
        </w:rPr>
        <w:t>.punkts</w:t>
      </w:r>
      <w:r w:rsidR="006B2409" w:rsidRPr="00974666">
        <w:t>)</w:t>
      </w:r>
      <w:r w:rsidR="00442009">
        <w:t xml:space="preserve">. </w:t>
      </w:r>
      <w:r>
        <w:t xml:space="preserve">Tādējādi var saprast pieteicējas rīcību, </w:t>
      </w:r>
      <w:r w:rsidR="00442009">
        <w:t xml:space="preserve">šaubu gadījumā </w:t>
      </w:r>
      <w:r>
        <w:t>nolemjot piemērot saviem darījumiem</w:t>
      </w:r>
      <w:r w:rsidR="00EF55F5">
        <w:t>,</w:t>
      </w:r>
      <w:r>
        <w:t xml:space="preserve"> </w:t>
      </w:r>
      <w:r w:rsidR="00EF55F5">
        <w:t xml:space="preserve">no valsts viedokļa raugoties, </w:t>
      </w:r>
      <w:r>
        <w:t>šķietami drošāku nodokļa maksāšanas kārtību.</w:t>
      </w:r>
    </w:p>
    <w:p w14:paraId="0BFCAE3A" w14:textId="77777777" w:rsidR="00442009" w:rsidRDefault="00442009" w:rsidP="00FF6087">
      <w:pPr>
        <w:spacing w:line="276" w:lineRule="auto"/>
        <w:ind w:firstLine="720"/>
        <w:jc w:val="both"/>
      </w:pPr>
    </w:p>
    <w:p w14:paraId="4FCD28B8" w14:textId="4EFA2F4F" w:rsidR="002C78AC" w:rsidRDefault="00442009" w:rsidP="00FF6087">
      <w:pPr>
        <w:spacing w:line="276" w:lineRule="auto"/>
        <w:ind w:firstLine="720"/>
        <w:jc w:val="both"/>
      </w:pPr>
      <w:r>
        <w:t>[16] Tā kā a</w:t>
      </w:r>
      <w:r w:rsidR="006D0543">
        <w:t>pgabaltiesa nav apsvērusi</w:t>
      </w:r>
      <w:r w:rsidR="00CF1525" w:rsidRPr="00CF1525">
        <w:t xml:space="preserve"> </w:t>
      </w:r>
      <w:r w:rsidR="00CF1525">
        <w:t xml:space="preserve">apstākļus, kas saistīti ar </w:t>
      </w:r>
      <w:r>
        <w:t>piemērotās soda naudas samērīgumu kontekstā ar pieteicējas pieļautā pārkāpuma raksturu un smagumu,</w:t>
      </w:r>
      <w:r w:rsidR="006D0543">
        <w:t xml:space="preserve"> </w:t>
      </w:r>
      <w:r>
        <w:t>pārsūdzētais</w:t>
      </w:r>
      <w:r w:rsidR="006D0543">
        <w:t xml:space="preserve"> spriedums attiecīgajā daļā atceļams</w:t>
      </w:r>
      <w:r w:rsidR="009F3D07">
        <w:t>,</w:t>
      </w:r>
      <w:r w:rsidR="006D0543">
        <w:t xml:space="preserve"> un lieta šajā daļā ir nosūtāma jaunai izskatīšanai.</w:t>
      </w:r>
    </w:p>
    <w:p w14:paraId="0C9FF68F" w14:textId="77777777" w:rsidR="000A148F" w:rsidRDefault="000A148F" w:rsidP="00FF6087">
      <w:pPr>
        <w:spacing w:line="276" w:lineRule="auto"/>
        <w:ind w:firstLine="720"/>
        <w:jc w:val="both"/>
      </w:pPr>
    </w:p>
    <w:p w14:paraId="6FC28C03" w14:textId="77777777" w:rsidR="003047F5" w:rsidRPr="00FF6087" w:rsidRDefault="006453E3" w:rsidP="00287404">
      <w:pPr>
        <w:spacing w:line="276" w:lineRule="auto"/>
        <w:jc w:val="center"/>
        <w:rPr>
          <w:b/>
        </w:rPr>
      </w:pPr>
      <w:r w:rsidRPr="00FF6087">
        <w:rPr>
          <w:b/>
        </w:rPr>
        <w:t>Rezolutīvā</w:t>
      </w:r>
      <w:r w:rsidR="003047F5" w:rsidRPr="00FF6087">
        <w:rPr>
          <w:b/>
        </w:rPr>
        <w:t xml:space="preserve"> daļa</w:t>
      </w:r>
    </w:p>
    <w:p w14:paraId="1582348C" w14:textId="77777777" w:rsidR="00195D41" w:rsidRDefault="00195D41" w:rsidP="00287404">
      <w:pPr>
        <w:spacing w:line="276" w:lineRule="auto"/>
        <w:ind w:firstLine="720"/>
        <w:jc w:val="both"/>
      </w:pPr>
    </w:p>
    <w:p w14:paraId="3F26903D" w14:textId="77777777" w:rsidR="007D7C2B" w:rsidRPr="00FF6087" w:rsidRDefault="00CC03AE" w:rsidP="00C45287">
      <w:pPr>
        <w:spacing w:line="276" w:lineRule="auto"/>
        <w:ind w:firstLine="720"/>
        <w:jc w:val="both"/>
      </w:pPr>
      <w:r w:rsidRPr="00FF6087">
        <w:t xml:space="preserve">Pamatojoties uz </w:t>
      </w:r>
      <w:r w:rsidR="00AD7174" w:rsidRPr="00AD7174">
        <w:t xml:space="preserve">Administratīvā procesa likuma </w:t>
      </w:r>
      <w:r w:rsidR="00E2093E" w:rsidRPr="00397DF8">
        <w:t>129.</w:t>
      </w:r>
      <w:proofErr w:type="gramStart"/>
      <w:r w:rsidR="00E2093E" w:rsidRPr="00397DF8">
        <w:rPr>
          <w:vertAlign w:val="superscript"/>
        </w:rPr>
        <w:t>1</w:t>
      </w:r>
      <w:r w:rsidR="00E2093E" w:rsidRPr="00397DF8">
        <w:t>panta</w:t>
      </w:r>
      <w:proofErr w:type="gramEnd"/>
      <w:r w:rsidR="00E2093E" w:rsidRPr="00397DF8">
        <w:t xml:space="preserve"> pirmās daļas 1.punktu</w:t>
      </w:r>
      <w:r w:rsidR="00E2093E" w:rsidRPr="00E2093E">
        <w:t>, 348.panta pirmās daļas 2.punktu un 351.pantu</w:t>
      </w:r>
      <w:r w:rsidR="004B0B15" w:rsidRPr="00FF6087">
        <w:t xml:space="preserve">, </w:t>
      </w:r>
      <w:r w:rsidR="00B64711" w:rsidRPr="00FF6087">
        <w:t>Senāts</w:t>
      </w:r>
    </w:p>
    <w:p w14:paraId="45784289" w14:textId="77777777" w:rsidR="005F1AD9" w:rsidRPr="00FF6087" w:rsidRDefault="005F1AD9" w:rsidP="00287404">
      <w:pPr>
        <w:spacing w:line="276" w:lineRule="auto"/>
        <w:ind w:firstLine="720"/>
        <w:jc w:val="both"/>
      </w:pPr>
    </w:p>
    <w:p w14:paraId="319D5B76" w14:textId="77777777" w:rsidR="003047F5" w:rsidRPr="00FF6087" w:rsidRDefault="00805130" w:rsidP="00287404">
      <w:pPr>
        <w:spacing w:line="276" w:lineRule="auto"/>
        <w:jc w:val="center"/>
        <w:rPr>
          <w:b/>
          <w:bCs/>
          <w:spacing w:val="70"/>
        </w:rPr>
      </w:pPr>
      <w:r w:rsidRPr="00FF6087">
        <w:rPr>
          <w:b/>
        </w:rPr>
        <w:t>no</w:t>
      </w:r>
      <w:r w:rsidR="007751D6">
        <w:rPr>
          <w:b/>
        </w:rPr>
        <w:t>spried</w:t>
      </w:r>
      <w:r w:rsidRPr="00FF6087">
        <w:rPr>
          <w:b/>
        </w:rPr>
        <w:t>a</w:t>
      </w:r>
    </w:p>
    <w:p w14:paraId="7CCA8199" w14:textId="77777777" w:rsidR="00195D41" w:rsidRPr="00FF6087" w:rsidRDefault="00195D41" w:rsidP="00287404">
      <w:pPr>
        <w:spacing w:line="276" w:lineRule="auto"/>
        <w:ind w:firstLine="720"/>
        <w:jc w:val="both"/>
        <w:rPr>
          <w:color w:val="000000"/>
        </w:rPr>
      </w:pPr>
      <w:bookmarkStart w:id="1" w:name="Dropdown12"/>
    </w:p>
    <w:p w14:paraId="7FDAD293" w14:textId="3B3018DD" w:rsidR="00E2093E" w:rsidRDefault="00E2093E" w:rsidP="00AA6D62">
      <w:pPr>
        <w:spacing w:line="276" w:lineRule="auto"/>
        <w:ind w:firstLine="720"/>
        <w:jc w:val="both"/>
      </w:pPr>
      <w:r w:rsidRPr="00E2093E">
        <w:t xml:space="preserve">Atcelt </w:t>
      </w:r>
      <w:r w:rsidR="007751D6" w:rsidRPr="00EF7DE2">
        <w:t xml:space="preserve">Administratīvās apgabaltiesas </w:t>
      </w:r>
      <w:proofErr w:type="gramStart"/>
      <w:r w:rsidR="00F66A0B" w:rsidRPr="00F66A0B">
        <w:t>2017.gada</w:t>
      </w:r>
      <w:proofErr w:type="gramEnd"/>
      <w:r w:rsidR="00F66A0B" w:rsidRPr="00F66A0B">
        <w:t xml:space="preserve"> 17.maija </w:t>
      </w:r>
      <w:r w:rsidR="00745715" w:rsidRPr="00745715">
        <w:t>spriedumu</w:t>
      </w:r>
      <w:r w:rsidR="000E6B94">
        <w:t xml:space="preserve"> daļā</w:t>
      </w:r>
      <w:r w:rsidR="008D3341">
        <w:t>, ar kuru noraidīts SIA </w:t>
      </w:r>
      <w:r w:rsidR="008D3341" w:rsidRPr="00C13155">
        <w:t>„</w:t>
      </w:r>
      <w:proofErr w:type="spellStart"/>
      <w:r w:rsidR="008D3341" w:rsidRPr="00F66A0B">
        <w:t>Anzāģe</w:t>
      </w:r>
      <w:proofErr w:type="spellEnd"/>
      <w:r w:rsidR="008D3341" w:rsidRPr="00C13155">
        <w:t xml:space="preserve">” </w:t>
      </w:r>
      <w:r w:rsidR="008D3341">
        <w:t xml:space="preserve">pieteikums par </w:t>
      </w:r>
      <w:r w:rsidR="008D3341" w:rsidRPr="00F66A0B">
        <w:t>Valsts ieņēmumu dienesta 2014.gada 29.aprīļa lēmuma Nr.</w:t>
      </w:r>
      <w:r w:rsidR="008D3341">
        <w:t> </w:t>
      </w:r>
      <w:r w:rsidR="008D3341" w:rsidRPr="00F66A0B">
        <w:t>22.8/L-12038 atcelšanu</w:t>
      </w:r>
      <w:r w:rsidR="008D3341">
        <w:t xml:space="preserve"> daļā, ar kuru SIA </w:t>
      </w:r>
      <w:r w:rsidR="008D3341" w:rsidRPr="00C13155">
        <w:t>„</w:t>
      </w:r>
      <w:proofErr w:type="spellStart"/>
      <w:r w:rsidR="008D3341" w:rsidRPr="00F66A0B">
        <w:t>Anzāģe</w:t>
      </w:r>
      <w:proofErr w:type="spellEnd"/>
      <w:r w:rsidR="008D3341" w:rsidRPr="00C13155">
        <w:t>”</w:t>
      </w:r>
      <w:r w:rsidR="008D3341">
        <w:t xml:space="preserve"> aprēķināta </w:t>
      </w:r>
      <w:r w:rsidR="00BE12B9">
        <w:t xml:space="preserve">pievienotās vērtības nodokļa </w:t>
      </w:r>
      <w:r w:rsidR="008D3341">
        <w:t xml:space="preserve">soda nauda </w:t>
      </w:r>
      <w:r w:rsidR="00BE12B9">
        <w:t>par darījumiem ar SIA „</w:t>
      </w:r>
      <w:proofErr w:type="spellStart"/>
      <w:r w:rsidR="00BE12B9">
        <w:t>Joker</w:t>
      </w:r>
      <w:proofErr w:type="spellEnd"/>
      <w:r w:rsidR="00BE12B9">
        <w:t xml:space="preserve"> LTD”, SIA „</w:t>
      </w:r>
      <w:proofErr w:type="spellStart"/>
      <w:r w:rsidR="00BE12B9">
        <w:t>New</w:t>
      </w:r>
      <w:proofErr w:type="spellEnd"/>
      <w:r w:rsidR="00BE12B9">
        <w:t xml:space="preserve"> Rosme”, SIA „Glorija G”, SIA „Valdemārs 23”, SIA „PT4” un SIA „Lattelecom</w:t>
      </w:r>
      <w:r w:rsidR="0091748D">
        <w:t>”</w:t>
      </w:r>
      <w:r w:rsidR="008D3341">
        <w:t xml:space="preserve">, </w:t>
      </w:r>
      <w:r w:rsidRPr="00E2093E">
        <w:t xml:space="preserve">un nosūtīt lietu </w:t>
      </w:r>
      <w:r w:rsidR="000E6B94">
        <w:t xml:space="preserve">šajā daļā </w:t>
      </w:r>
      <w:r w:rsidRPr="00E2093E">
        <w:t xml:space="preserve">jaunai izskatīšanai Administratīvajai </w:t>
      </w:r>
      <w:r>
        <w:t>apgabaltiesai.</w:t>
      </w:r>
    </w:p>
    <w:p w14:paraId="3F36A855" w14:textId="36F3BBED" w:rsidR="00ED4603" w:rsidRDefault="00ED4603" w:rsidP="00AA6D62">
      <w:pPr>
        <w:spacing w:line="276" w:lineRule="auto"/>
        <w:ind w:firstLine="720"/>
        <w:jc w:val="both"/>
      </w:pPr>
      <w:r>
        <w:t>Pārējā daļā</w:t>
      </w:r>
      <w:r w:rsidR="00B37FD5">
        <w:t xml:space="preserve"> </w:t>
      </w:r>
      <w:r w:rsidR="00B37FD5" w:rsidRPr="00EF7DE2">
        <w:t xml:space="preserve">Administratīvās apgabaltiesas </w:t>
      </w:r>
      <w:proofErr w:type="gramStart"/>
      <w:r w:rsidR="00B37FD5" w:rsidRPr="00F66A0B">
        <w:t>2017.gada</w:t>
      </w:r>
      <w:proofErr w:type="gramEnd"/>
      <w:r w:rsidR="00B37FD5" w:rsidRPr="00F66A0B">
        <w:t xml:space="preserve"> 17.maija </w:t>
      </w:r>
      <w:r w:rsidR="00B37FD5" w:rsidRPr="00745715">
        <w:t>spriedumu</w:t>
      </w:r>
      <w:r w:rsidR="00B37FD5">
        <w:t xml:space="preserve"> atstāt negrozītu</w:t>
      </w:r>
      <w:r w:rsidR="00503367">
        <w:t>, bet SIA </w:t>
      </w:r>
      <w:r w:rsidR="00503367" w:rsidRPr="00C13155">
        <w:t>„</w:t>
      </w:r>
      <w:proofErr w:type="spellStart"/>
      <w:r w:rsidR="00503367" w:rsidRPr="00F66A0B">
        <w:t>Anzāģe</w:t>
      </w:r>
      <w:proofErr w:type="spellEnd"/>
      <w:r w:rsidR="00503367" w:rsidRPr="00C13155">
        <w:t>”</w:t>
      </w:r>
      <w:r w:rsidR="00503367">
        <w:t xml:space="preserve"> kasācijas sūdzību noraidīt</w:t>
      </w:r>
      <w:r w:rsidR="00B37FD5">
        <w:t>.</w:t>
      </w:r>
    </w:p>
    <w:p w14:paraId="08CD4552" w14:textId="77777777" w:rsidR="00E2093E" w:rsidRDefault="00E2093E" w:rsidP="00E2093E">
      <w:pPr>
        <w:spacing w:line="276" w:lineRule="auto"/>
        <w:ind w:firstLine="720"/>
        <w:jc w:val="both"/>
      </w:pPr>
      <w:r w:rsidRPr="00E2093E">
        <w:t xml:space="preserve">Atmaksāt </w:t>
      </w:r>
      <w:r w:rsidR="00EE41E1">
        <w:t>SIA </w:t>
      </w:r>
      <w:r w:rsidR="00EE41E1" w:rsidRPr="00C13155">
        <w:t>„</w:t>
      </w:r>
      <w:proofErr w:type="spellStart"/>
      <w:r w:rsidR="00F66A0B" w:rsidRPr="00F66A0B">
        <w:t>Anzāģe</w:t>
      </w:r>
      <w:proofErr w:type="spellEnd"/>
      <w:r w:rsidR="00EE41E1" w:rsidRPr="00C13155">
        <w:t xml:space="preserve">” </w:t>
      </w:r>
      <w:r w:rsidRPr="00E2093E">
        <w:t xml:space="preserve">drošības naudu 70 </w:t>
      </w:r>
      <w:proofErr w:type="spellStart"/>
      <w:r w:rsidRPr="00E2093E">
        <w:rPr>
          <w:i/>
        </w:rPr>
        <w:t>euro</w:t>
      </w:r>
      <w:proofErr w:type="spellEnd"/>
      <w:r w:rsidRPr="00E2093E">
        <w:t>.</w:t>
      </w:r>
    </w:p>
    <w:p w14:paraId="5624B0BA" w14:textId="6BD243D7" w:rsidR="00EF44F5" w:rsidRDefault="00CB5692" w:rsidP="009B68F2">
      <w:pPr>
        <w:spacing w:line="276" w:lineRule="auto"/>
        <w:ind w:firstLine="720"/>
        <w:jc w:val="both"/>
      </w:pPr>
      <w:r>
        <w:t>Spriedums</w:t>
      </w:r>
      <w:r w:rsidR="00AA6D62">
        <w:t xml:space="preserve"> nav pārsūdzams.</w:t>
      </w:r>
      <w:bookmarkEnd w:id="1"/>
    </w:p>
    <w:sectPr w:rsidR="00EF44F5" w:rsidSect="000A6849">
      <w:footerReference w:type="default" r:id="rId8"/>
      <w:pgSz w:w="11906" w:h="16838" w:code="9"/>
      <w:pgMar w:top="1134" w:right="1134" w:bottom="124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36CB36" w14:textId="77777777" w:rsidR="00A90159" w:rsidRDefault="00A90159" w:rsidP="003047F5">
      <w:r>
        <w:separator/>
      </w:r>
    </w:p>
  </w:endnote>
  <w:endnote w:type="continuationSeparator" w:id="0">
    <w:p w14:paraId="38BA5AC9" w14:textId="77777777" w:rsidR="00A90159" w:rsidRDefault="00A90159"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5116337"/>
      <w:docPartObj>
        <w:docPartGallery w:val="Page Numbers (Bottom of Page)"/>
        <w:docPartUnique/>
      </w:docPartObj>
    </w:sdtPr>
    <w:sdtEndPr/>
    <w:sdtContent>
      <w:sdt>
        <w:sdtPr>
          <w:id w:val="1445663406"/>
          <w:docPartObj>
            <w:docPartGallery w:val="Page Numbers (Top of Page)"/>
            <w:docPartUnique/>
          </w:docPartObj>
        </w:sdtPr>
        <w:sdtEndPr/>
        <w:sdtContent>
          <w:p w14:paraId="2777D273" w14:textId="77777777" w:rsidR="00BE12B9" w:rsidRDefault="00BE12B9"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503367">
              <w:rPr>
                <w:bCs/>
                <w:noProof/>
              </w:rPr>
              <w:t>10</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503367">
              <w:rPr>
                <w:bCs/>
                <w:noProof/>
              </w:rPr>
              <w:t>11</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D14174" w14:textId="77777777" w:rsidR="00A90159" w:rsidRDefault="00A90159" w:rsidP="003047F5">
      <w:r>
        <w:separator/>
      </w:r>
    </w:p>
  </w:footnote>
  <w:footnote w:type="continuationSeparator" w:id="0">
    <w:p w14:paraId="19302733" w14:textId="77777777" w:rsidR="00A90159" w:rsidRDefault="00A90159"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148"/>
    <w:rsid w:val="0000081E"/>
    <w:rsid w:val="00002430"/>
    <w:rsid w:val="000029DC"/>
    <w:rsid w:val="00002ACE"/>
    <w:rsid w:val="0000349D"/>
    <w:rsid w:val="00005664"/>
    <w:rsid w:val="0000570D"/>
    <w:rsid w:val="00005A1E"/>
    <w:rsid w:val="00005CB8"/>
    <w:rsid w:val="000062F2"/>
    <w:rsid w:val="00006E81"/>
    <w:rsid w:val="000073EC"/>
    <w:rsid w:val="0000741F"/>
    <w:rsid w:val="00012AE3"/>
    <w:rsid w:val="00012B8F"/>
    <w:rsid w:val="00012EB4"/>
    <w:rsid w:val="00012EE3"/>
    <w:rsid w:val="00013177"/>
    <w:rsid w:val="00014431"/>
    <w:rsid w:val="00014EE1"/>
    <w:rsid w:val="00014F8B"/>
    <w:rsid w:val="00015148"/>
    <w:rsid w:val="00015354"/>
    <w:rsid w:val="00016030"/>
    <w:rsid w:val="00016922"/>
    <w:rsid w:val="00016FF1"/>
    <w:rsid w:val="00017669"/>
    <w:rsid w:val="00020A0A"/>
    <w:rsid w:val="00021609"/>
    <w:rsid w:val="000229CA"/>
    <w:rsid w:val="00022A87"/>
    <w:rsid w:val="00022DBE"/>
    <w:rsid w:val="00022FA3"/>
    <w:rsid w:val="00023C21"/>
    <w:rsid w:val="00024AEC"/>
    <w:rsid w:val="00024B4F"/>
    <w:rsid w:val="00026081"/>
    <w:rsid w:val="000265F2"/>
    <w:rsid w:val="000274D4"/>
    <w:rsid w:val="00030396"/>
    <w:rsid w:val="00030B18"/>
    <w:rsid w:val="00030BB1"/>
    <w:rsid w:val="00030C19"/>
    <w:rsid w:val="0003200B"/>
    <w:rsid w:val="00033332"/>
    <w:rsid w:val="0003385C"/>
    <w:rsid w:val="00034450"/>
    <w:rsid w:val="00034AC2"/>
    <w:rsid w:val="000352B1"/>
    <w:rsid w:val="0003558F"/>
    <w:rsid w:val="00035F38"/>
    <w:rsid w:val="000361F6"/>
    <w:rsid w:val="000362D0"/>
    <w:rsid w:val="0003715A"/>
    <w:rsid w:val="0004119E"/>
    <w:rsid w:val="00042182"/>
    <w:rsid w:val="00042A2E"/>
    <w:rsid w:val="00043822"/>
    <w:rsid w:val="00043C30"/>
    <w:rsid w:val="00044AE6"/>
    <w:rsid w:val="00044B26"/>
    <w:rsid w:val="00045078"/>
    <w:rsid w:val="00045674"/>
    <w:rsid w:val="00045C97"/>
    <w:rsid w:val="00045DE6"/>
    <w:rsid w:val="00045E03"/>
    <w:rsid w:val="00046A89"/>
    <w:rsid w:val="00046AC7"/>
    <w:rsid w:val="00046C96"/>
    <w:rsid w:val="00050003"/>
    <w:rsid w:val="00050699"/>
    <w:rsid w:val="00050AF6"/>
    <w:rsid w:val="00050DA8"/>
    <w:rsid w:val="0005109D"/>
    <w:rsid w:val="000512A9"/>
    <w:rsid w:val="0005221D"/>
    <w:rsid w:val="000523B2"/>
    <w:rsid w:val="00052F2A"/>
    <w:rsid w:val="00054637"/>
    <w:rsid w:val="00054CFA"/>
    <w:rsid w:val="000554EB"/>
    <w:rsid w:val="00056F29"/>
    <w:rsid w:val="000576F8"/>
    <w:rsid w:val="0006003E"/>
    <w:rsid w:val="00060CFE"/>
    <w:rsid w:val="00062127"/>
    <w:rsid w:val="000635A0"/>
    <w:rsid w:val="00064141"/>
    <w:rsid w:val="000646E8"/>
    <w:rsid w:val="00065336"/>
    <w:rsid w:val="00065377"/>
    <w:rsid w:val="00066353"/>
    <w:rsid w:val="00066BFA"/>
    <w:rsid w:val="00066CA0"/>
    <w:rsid w:val="00066FCB"/>
    <w:rsid w:val="00067814"/>
    <w:rsid w:val="000679A8"/>
    <w:rsid w:val="00067DCC"/>
    <w:rsid w:val="00067EBC"/>
    <w:rsid w:val="00071054"/>
    <w:rsid w:val="000712CE"/>
    <w:rsid w:val="00071480"/>
    <w:rsid w:val="0007183E"/>
    <w:rsid w:val="00072569"/>
    <w:rsid w:val="00072D73"/>
    <w:rsid w:val="00073CD1"/>
    <w:rsid w:val="000742E6"/>
    <w:rsid w:val="00075871"/>
    <w:rsid w:val="00075D7B"/>
    <w:rsid w:val="00076150"/>
    <w:rsid w:val="0007639F"/>
    <w:rsid w:val="00076BC3"/>
    <w:rsid w:val="0007704C"/>
    <w:rsid w:val="000811CE"/>
    <w:rsid w:val="000826D3"/>
    <w:rsid w:val="00082FF5"/>
    <w:rsid w:val="00084114"/>
    <w:rsid w:val="00084864"/>
    <w:rsid w:val="00084A8A"/>
    <w:rsid w:val="00086239"/>
    <w:rsid w:val="000868DA"/>
    <w:rsid w:val="00086FD4"/>
    <w:rsid w:val="00087B02"/>
    <w:rsid w:val="00090620"/>
    <w:rsid w:val="0009074E"/>
    <w:rsid w:val="00090AAA"/>
    <w:rsid w:val="00090CDD"/>
    <w:rsid w:val="00090E24"/>
    <w:rsid w:val="000918A1"/>
    <w:rsid w:val="000919C5"/>
    <w:rsid w:val="00091D73"/>
    <w:rsid w:val="00093B27"/>
    <w:rsid w:val="00093C6B"/>
    <w:rsid w:val="00094051"/>
    <w:rsid w:val="000946B1"/>
    <w:rsid w:val="0009596E"/>
    <w:rsid w:val="0009600C"/>
    <w:rsid w:val="00096F56"/>
    <w:rsid w:val="00097F4D"/>
    <w:rsid w:val="000A0776"/>
    <w:rsid w:val="000A0E7E"/>
    <w:rsid w:val="000A148F"/>
    <w:rsid w:val="000A1997"/>
    <w:rsid w:val="000A2E3D"/>
    <w:rsid w:val="000A327A"/>
    <w:rsid w:val="000A40BC"/>
    <w:rsid w:val="000A4B0C"/>
    <w:rsid w:val="000A584D"/>
    <w:rsid w:val="000A5A04"/>
    <w:rsid w:val="000A65EC"/>
    <w:rsid w:val="000A6849"/>
    <w:rsid w:val="000A6B8D"/>
    <w:rsid w:val="000B0C5B"/>
    <w:rsid w:val="000B12BC"/>
    <w:rsid w:val="000B1B4E"/>
    <w:rsid w:val="000B221C"/>
    <w:rsid w:val="000B288D"/>
    <w:rsid w:val="000B3AD4"/>
    <w:rsid w:val="000B3D27"/>
    <w:rsid w:val="000B473D"/>
    <w:rsid w:val="000B4A6E"/>
    <w:rsid w:val="000B54CC"/>
    <w:rsid w:val="000B55C2"/>
    <w:rsid w:val="000B6226"/>
    <w:rsid w:val="000B6C14"/>
    <w:rsid w:val="000B6E12"/>
    <w:rsid w:val="000B7375"/>
    <w:rsid w:val="000C05E6"/>
    <w:rsid w:val="000C06FC"/>
    <w:rsid w:val="000C4358"/>
    <w:rsid w:val="000C4776"/>
    <w:rsid w:val="000C52F6"/>
    <w:rsid w:val="000C5CA5"/>
    <w:rsid w:val="000C63C2"/>
    <w:rsid w:val="000C7A39"/>
    <w:rsid w:val="000D05AE"/>
    <w:rsid w:val="000D0619"/>
    <w:rsid w:val="000D1366"/>
    <w:rsid w:val="000D306A"/>
    <w:rsid w:val="000D4763"/>
    <w:rsid w:val="000D55BF"/>
    <w:rsid w:val="000D7043"/>
    <w:rsid w:val="000D7705"/>
    <w:rsid w:val="000E29CC"/>
    <w:rsid w:val="000E343E"/>
    <w:rsid w:val="000E4434"/>
    <w:rsid w:val="000E4F66"/>
    <w:rsid w:val="000E5238"/>
    <w:rsid w:val="000E5CA2"/>
    <w:rsid w:val="000E6B94"/>
    <w:rsid w:val="000E6B98"/>
    <w:rsid w:val="000E6F24"/>
    <w:rsid w:val="000E7265"/>
    <w:rsid w:val="000E73DD"/>
    <w:rsid w:val="000E74F2"/>
    <w:rsid w:val="000E78DA"/>
    <w:rsid w:val="000E7DD6"/>
    <w:rsid w:val="000F0014"/>
    <w:rsid w:val="000F00AF"/>
    <w:rsid w:val="000F039C"/>
    <w:rsid w:val="000F0822"/>
    <w:rsid w:val="000F0DB9"/>
    <w:rsid w:val="000F138E"/>
    <w:rsid w:val="000F1495"/>
    <w:rsid w:val="000F20C1"/>
    <w:rsid w:val="000F3BED"/>
    <w:rsid w:val="000F478A"/>
    <w:rsid w:val="000F4AB3"/>
    <w:rsid w:val="000F4F38"/>
    <w:rsid w:val="000F4FBA"/>
    <w:rsid w:val="000F5126"/>
    <w:rsid w:val="000F655B"/>
    <w:rsid w:val="000F6E5D"/>
    <w:rsid w:val="00100C75"/>
    <w:rsid w:val="00101618"/>
    <w:rsid w:val="00102D24"/>
    <w:rsid w:val="00103314"/>
    <w:rsid w:val="0010369A"/>
    <w:rsid w:val="00103ED5"/>
    <w:rsid w:val="00104047"/>
    <w:rsid w:val="00104A34"/>
    <w:rsid w:val="00105343"/>
    <w:rsid w:val="001059BB"/>
    <w:rsid w:val="001069E8"/>
    <w:rsid w:val="00106BDE"/>
    <w:rsid w:val="001070E5"/>
    <w:rsid w:val="001101F0"/>
    <w:rsid w:val="00110869"/>
    <w:rsid w:val="001108D8"/>
    <w:rsid w:val="00110C17"/>
    <w:rsid w:val="00111655"/>
    <w:rsid w:val="00112419"/>
    <w:rsid w:val="00112506"/>
    <w:rsid w:val="00112AD3"/>
    <w:rsid w:val="00114DC7"/>
    <w:rsid w:val="00115D6D"/>
    <w:rsid w:val="001175EF"/>
    <w:rsid w:val="00117E7C"/>
    <w:rsid w:val="00121011"/>
    <w:rsid w:val="001217AE"/>
    <w:rsid w:val="00121BED"/>
    <w:rsid w:val="001221A0"/>
    <w:rsid w:val="001230F9"/>
    <w:rsid w:val="00123CAC"/>
    <w:rsid w:val="00124749"/>
    <w:rsid w:val="00124895"/>
    <w:rsid w:val="00124C49"/>
    <w:rsid w:val="0012558F"/>
    <w:rsid w:val="001264EB"/>
    <w:rsid w:val="001270C9"/>
    <w:rsid w:val="0013000D"/>
    <w:rsid w:val="001300BB"/>
    <w:rsid w:val="0013068F"/>
    <w:rsid w:val="00130874"/>
    <w:rsid w:val="00131502"/>
    <w:rsid w:val="00132B13"/>
    <w:rsid w:val="001332C1"/>
    <w:rsid w:val="0013473A"/>
    <w:rsid w:val="00134E12"/>
    <w:rsid w:val="00134FB1"/>
    <w:rsid w:val="00135413"/>
    <w:rsid w:val="00136612"/>
    <w:rsid w:val="00136ADF"/>
    <w:rsid w:val="00136BDA"/>
    <w:rsid w:val="0013722C"/>
    <w:rsid w:val="00137255"/>
    <w:rsid w:val="0013769E"/>
    <w:rsid w:val="00137A31"/>
    <w:rsid w:val="00137B35"/>
    <w:rsid w:val="001400ED"/>
    <w:rsid w:val="00140BFC"/>
    <w:rsid w:val="001413ED"/>
    <w:rsid w:val="00141CA0"/>
    <w:rsid w:val="001427DC"/>
    <w:rsid w:val="001428F9"/>
    <w:rsid w:val="00142C3B"/>
    <w:rsid w:val="001437A2"/>
    <w:rsid w:val="001437AD"/>
    <w:rsid w:val="00144CF9"/>
    <w:rsid w:val="001452AC"/>
    <w:rsid w:val="00145869"/>
    <w:rsid w:val="00145A1D"/>
    <w:rsid w:val="00145C68"/>
    <w:rsid w:val="00146E70"/>
    <w:rsid w:val="001470EE"/>
    <w:rsid w:val="0014717A"/>
    <w:rsid w:val="00147F4C"/>
    <w:rsid w:val="001509D6"/>
    <w:rsid w:val="00151C3D"/>
    <w:rsid w:val="00152263"/>
    <w:rsid w:val="00154052"/>
    <w:rsid w:val="00154823"/>
    <w:rsid w:val="00154B90"/>
    <w:rsid w:val="00155FD1"/>
    <w:rsid w:val="001564A9"/>
    <w:rsid w:val="001564BF"/>
    <w:rsid w:val="00156C60"/>
    <w:rsid w:val="00156F9C"/>
    <w:rsid w:val="00157190"/>
    <w:rsid w:val="00157527"/>
    <w:rsid w:val="001601BB"/>
    <w:rsid w:val="0016140C"/>
    <w:rsid w:val="001619C4"/>
    <w:rsid w:val="00162594"/>
    <w:rsid w:val="0016354E"/>
    <w:rsid w:val="001636A1"/>
    <w:rsid w:val="00163D7A"/>
    <w:rsid w:val="001646E9"/>
    <w:rsid w:val="00164B82"/>
    <w:rsid w:val="00165079"/>
    <w:rsid w:val="00166AAF"/>
    <w:rsid w:val="00166ABC"/>
    <w:rsid w:val="00166F37"/>
    <w:rsid w:val="0017174E"/>
    <w:rsid w:val="00173269"/>
    <w:rsid w:val="001734C1"/>
    <w:rsid w:val="00173D07"/>
    <w:rsid w:val="00173DE5"/>
    <w:rsid w:val="001745CB"/>
    <w:rsid w:val="00176D64"/>
    <w:rsid w:val="00177372"/>
    <w:rsid w:val="0017774A"/>
    <w:rsid w:val="001807FC"/>
    <w:rsid w:val="00180E3F"/>
    <w:rsid w:val="001827A0"/>
    <w:rsid w:val="00182BB9"/>
    <w:rsid w:val="00182BD3"/>
    <w:rsid w:val="00183C1C"/>
    <w:rsid w:val="00183CC4"/>
    <w:rsid w:val="00185D42"/>
    <w:rsid w:val="00185D68"/>
    <w:rsid w:val="00185FD2"/>
    <w:rsid w:val="001866B4"/>
    <w:rsid w:val="0018775B"/>
    <w:rsid w:val="00187CBD"/>
    <w:rsid w:val="0019021D"/>
    <w:rsid w:val="00190EFF"/>
    <w:rsid w:val="001913F2"/>
    <w:rsid w:val="0019238A"/>
    <w:rsid w:val="00192A69"/>
    <w:rsid w:val="00192D83"/>
    <w:rsid w:val="00192EF3"/>
    <w:rsid w:val="001933A6"/>
    <w:rsid w:val="001935BF"/>
    <w:rsid w:val="001940C1"/>
    <w:rsid w:val="00194CDA"/>
    <w:rsid w:val="00195D41"/>
    <w:rsid w:val="001969C7"/>
    <w:rsid w:val="00196F12"/>
    <w:rsid w:val="001A03B6"/>
    <w:rsid w:val="001A03C8"/>
    <w:rsid w:val="001A0495"/>
    <w:rsid w:val="001A0A4C"/>
    <w:rsid w:val="001A105D"/>
    <w:rsid w:val="001A2190"/>
    <w:rsid w:val="001A2E06"/>
    <w:rsid w:val="001A3318"/>
    <w:rsid w:val="001A3790"/>
    <w:rsid w:val="001A4D41"/>
    <w:rsid w:val="001A54EA"/>
    <w:rsid w:val="001A6B17"/>
    <w:rsid w:val="001B05AD"/>
    <w:rsid w:val="001B1073"/>
    <w:rsid w:val="001B11E1"/>
    <w:rsid w:val="001B15D4"/>
    <w:rsid w:val="001B1DFB"/>
    <w:rsid w:val="001B3477"/>
    <w:rsid w:val="001B3C47"/>
    <w:rsid w:val="001B4725"/>
    <w:rsid w:val="001B591D"/>
    <w:rsid w:val="001B5E51"/>
    <w:rsid w:val="001B60F4"/>
    <w:rsid w:val="001B6223"/>
    <w:rsid w:val="001B67EE"/>
    <w:rsid w:val="001B7B14"/>
    <w:rsid w:val="001C07BB"/>
    <w:rsid w:val="001C1143"/>
    <w:rsid w:val="001C12A9"/>
    <w:rsid w:val="001C1B1C"/>
    <w:rsid w:val="001C211B"/>
    <w:rsid w:val="001C2394"/>
    <w:rsid w:val="001C3393"/>
    <w:rsid w:val="001C38A7"/>
    <w:rsid w:val="001C49F0"/>
    <w:rsid w:val="001C55E9"/>
    <w:rsid w:val="001C62B0"/>
    <w:rsid w:val="001C633D"/>
    <w:rsid w:val="001C6484"/>
    <w:rsid w:val="001D052D"/>
    <w:rsid w:val="001D0A0E"/>
    <w:rsid w:val="001D16A5"/>
    <w:rsid w:val="001D1713"/>
    <w:rsid w:val="001D2394"/>
    <w:rsid w:val="001D2B3A"/>
    <w:rsid w:val="001D30C9"/>
    <w:rsid w:val="001D30D4"/>
    <w:rsid w:val="001D33A1"/>
    <w:rsid w:val="001D3B06"/>
    <w:rsid w:val="001D62CA"/>
    <w:rsid w:val="001D6BBD"/>
    <w:rsid w:val="001D7499"/>
    <w:rsid w:val="001E08F1"/>
    <w:rsid w:val="001E26D6"/>
    <w:rsid w:val="001E2D45"/>
    <w:rsid w:val="001E38C8"/>
    <w:rsid w:val="001E3A09"/>
    <w:rsid w:val="001E3B6F"/>
    <w:rsid w:val="001E47EB"/>
    <w:rsid w:val="001E788C"/>
    <w:rsid w:val="001E78B0"/>
    <w:rsid w:val="001E7ACF"/>
    <w:rsid w:val="001E7F00"/>
    <w:rsid w:val="001F0176"/>
    <w:rsid w:val="001F04D0"/>
    <w:rsid w:val="001F0E3F"/>
    <w:rsid w:val="001F149A"/>
    <w:rsid w:val="001F1AA5"/>
    <w:rsid w:val="001F1D10"/>
    <w:rsid w:val="001F2229"/>
    <w:rsid w:val="001F2446"/>
    <w:rsid w:val="001F2AF4"/>
    <w:rsid w:val="001F3843"/>
    <w:rsid w:val="001F40FC"/>
    <w:rsid w:val="001F4226"/>
    <w:rsid w:val="001F4336"/>
    <w:rsid w:val="001F5037"/>
    <w:rsid w:val="001F53BF"/>
    <w:rsid w:val="001F640C"/>
    <w:rsid w:val="001F6523"/>
    <w:rsid w:val="001F69EC"/>
    <w:rsid w:val="001F7634"/>
    <w:rsid w:val="001F7795"/>
    <w:rsid w:val="002000B3"/>
    <w:rsid w:val="00201B6E"/>
    <w:rsid w:val="00202478"/>
    <w:rsid w:val="00204894"/>
    <w:rsid w:val="00205502"/>
    <w:rsid w:val="002065DD"/>
    <w:rsid w:val="002065E9"/>
    <w:rsid w:val="002104FA"/>
    <w:rsid w:val="00210EB7"/>
    <w:rsid w:val="00212233"/>
    <w:rsid w:val="00212D10"/>
    <w:rsid w:val="00212DB8"/>
    <w:rsid w:val="0021375A"/>
    <w:rsid w:val="00213919"/>
    <w:rsid w:val="00214773"/>
    <w:rsid w:val="00214C0C"/>
    <w:rsid w:val="00215FF3"/>
    <w:rsid w:val="0021646A"/>
    <w:rsid w:val="00216FA4"/>
    <w:rsid w:val="002172C5"/>
    <w:rsid w:val="00217589"/>
    <w:rsid w:val="00221B0F"/>
    <w:rsid w:val="00221C90"/>
    <w:rsid w:val="00221F8C"/>
    <w:rsid w:val="00222204"/>
    <w:rsid w:val="00222338"/>
    <w:rsid w:val="002229F5"/>
    <w:rsid w:val="00222B59"/>
    <w:rsid w:val="00222E6E"/>
    <w:rsid w:val="002230AA"/>
    <w:rsid w:val="00223177"/>
    <w:rsid w:val="00223A9F"/>
    <w:rsid w:val="0022402D"/>
    <w:rsid w:val="00224D92"/>
    <w:rsid w:val="002252C0"/>
    <w:rsid w:val="00225DF6"/>
    <w:rsid w:val="00225F30"/>
    <w:rsid w:val="002270A9"/>
    <w:rsid w:val="0023060C"/>
    <w:rsid w:val="0023112E"/>
    <w:rsid w:val="00231292"/>
    <w:rsid w:val="00233043"/>
    <w:rsid w:val="00233294"/>
    <w:rsid w:val="00233D92"/>
    <w:rsid w:val="00233E2F"/>
    <w:rsid w:val="0023462C"/>
    <w:rsid w:val="00236279"/>
    <w:rsid w:val="00236393"/>
    <w:rsid w:val="00237C35"/>
    <w:rsid w:val="00237F92"/>
    <w:rsid w:val="00240D00"/>
    <w:rsid w:val="00241087"/>
    <w:rsid w:val="00241107"/>
    <w:rsid w:val="00241B7F"/>
    <w:rsid w:val="00241DFA"/>
    <w:rsid w:val="00243DBB"/>
    <w:rsid w:val="00243FA3"/>
    <w:rsid w:val="002443DF"/>
    <w:rsid w:val="00244834"/>
    <w:rsid w:val="00244F8D"/>
    <w:rsid w:val="002453D3"/>
    <w:rsid w:val="00245DD7"/>
    <w:rsid w:val="002466AD"/>
    <w:rsid w:val="002466AE"/>
    <w:rsid w:val="002477AD"/>
    <w:rsid w:val="002503AB"/>
    <w:rsid w:val="002508ED"/>
    <w:rsid w:val="0025362C"/>
    <w:rsid w:val="00253F30"/>
    <w:rsid w:val="00253F71"/>
    <w:rsid w:val="00255D16"/>
    <w:rsid w:val="002561F9"/>
    <w:rsid w:val="002569D7"/>
    <w:rsid w:val="00256B19"/>
    <w:rsid w:val="00257ADB"/>
    <w:rsid w:val="00262844"/>
    <w:rsid w:val="00264424"/>
    <w:rsid w:val="00265E5C"/>
    <w:rsid w:val="0026627F"/>
    <w:rsid w:val="00267A02"/>
    <w:rsid w:val="00267A77"/>
    <w:rsid w:val="0027257C"/>
    <w:rsid w:val="002729E2"/>
    <w:rsid w:val="00272A43"/>
    <w:rsid w:val="00272BD5"/>
    <w:rsid w:val="00272C86"/>
    <w:rsid w:val="00272CF5"/>
    <w:rsid w:val="00273000"/>
    <w:rsid w:val="00273BE8"/>
    <w:rsid w:val="0027469B"/>
    <w:rsid w:val="00275361"/>
    <w:rsid w:val="00275842"/>
    <w:rsid w:val="00275A98"/>
    <w:rsid w:val="0027644B"/>
    <w:rsid w:val="00276DB1"/>
    <w:rsid w:val="00277277"/>
    <w:rsid w:val="00277E89"/>
    <w:rsid w:val="002801F1"/>
    <w:rsid w:val="00281AA1"/>
    <w:rsid w:val="00281E3B"/>
    <w:rsid w:val="00282852"/>
    <w:rsid w:val="00283144"/>
    <w:rsid w:val="0028328F"/>
    <w:rsid w:val="002843B8"/>
    <w:rsid w:val="0028445A"/>
    <w:rsid w:val="002847DF"/>
    <w:rsid w:val="002848AD"/>
    <w:rsid w:val="002853B4"/>
    <w:rsid w:val="00285C47"/>
    <w:rsid w:val="00285D1E"/>
    <w:rsid w:val="002860AF"/>
    <w:rsid w:val="0028653C"/>
    <w:rsid w:val="002865FF"/>
    <w:rsid w:val="00287404"/>
    <w:rsid w:val="002903ED"/>
    <w:rsid w:val="00290777"/>
    <w:rsid w:val="0029095C"/>
    <w:rsid w:val="002912D2"/>
    <w:rsid w:val="00291A22"/>
    <w:rsid w:val="00291A74"/>
    <w:rsid w:val="00291EC5"/>
    <w:rsid w:val="00292B9B"/>
    <w:rsid w:val="00292FB5"/>
    <w:rsid w:val="0029345B"/>
    <w:rsid w:val="002934EF"/>
    <w:rsid w:val="0029417B"/>
    <w:rsid w:val="0029590F"/>
    <w:rsid w:val="00297BA9"/>
    <w:rsid w:val="002A0011"/>
    <w:rsid w:val="002A0574"/>
    <w:rsid w:val="002A11B5"/>
    <w:rsid w:val="002A1288"/>
    <w:rsid w:val="002A193C"/>
    <w:rsid w:val="002A1941"/>
    <w:rsid w:val="002A19EF"/>
    <w:rsid w:val="002A2574"/>
    <w:rsid w:val="002A29BF"/>
    <w:rsid w:val="002A3BD5"/>
    <w:rsid w:val="002A41A1"/>
    <w:rsid w:val="002A60FD"/>
    <w:rsid w:val="002A6536"/>
    <w:rsid w:val="002A6AE3"/>
    <w:rsid w:val="002A7F14"/>
    <w:rsid w:val="002B0ACF"/>
    <w:rsid w:val="002B1676"/>
    <w:rsid w:val="002B1746"/>
    <w:rsid w:val="002B2722"/>
    <w:rsid w:val="002B29D2"/>
    <w:rsid w:val="002B4D73"/>
    <w:rsid w:val="002B5800"/>
    <w:rsid w:val="002B59A0"/>
    <w:rsid w:val="002B6F73"/>
    <w:rsid w:val="002C0537"/>
    <w:rsid w:val="002C05FC"/>
    <w:rsid w:val="002C0A6E"/>
    <w:rsid w:val="002C0F02"/>
    <w:rsid w:val="002C1078"/>
    <w:rsid w:val="002C145A"/>
    <w:rsid w:val="002C16F6"/>
    <w:rsid w:val="002C1A0A"/>
    <w:rsid w:val="002C21E2"/>
    <w:rsid w:val="002C2424"/>
    <w:rsid w:val="002C2765"/>
    <w:rsid w:val="002C3086"/>
    <w:rsid w:val="002C320B"/>
    <w:rsid w:val="002C40B8"/>
    <w:rsid w:val="002C53AF"/>
    <w:rsid w:val="002C6851"/>
    <w:rsid w:val="002C6EE8"/>
    <w:rsid w:val="002C740F"/>
    <w:rsid w:val="002C78AC"/>
    <w:rsid w:val="002C7F73"/>
    <w:rsid w:val="002D0661"/>
    <w:rsid w:val="002D0FD4"/>
    <w:rsid w:val="002D1281"/>
    <w:rsid w:val="002D12CF"/>
    <w:rsid w:val="002D17B4"/>
    <w:rsid w:val="002D1AD0"/>
    <w:rsid w:val="002D2B58"/>
    <w:rsid w:val="002D3E86"/>
    <w:rsid w:val="002D42AA"/>
    <w:rsid w:val="002D53BF"/>
    <w:rsid w:val="002D62FE"/>
    <w:rsid w:val="002D64BE"/>
    <w:rsid w:val="002D695B"/>
    <w:rsid w:val="002D70DC"/>
    <w:rsid w:val="002D711E"/>
    <w:rsid w:val="002D7E79"/>
    <w:rsid w:val="002E0C3E"/>
    <w:rsid w:val="002E0C53"/>
    <w:rsid w:val="002E10C1"/>
    <w:rsid w:val="002E320A"/>
    <w:rsid w:val="002E3AE2"/>
    <w:rsid w:val="002E3B10"/>
    <w:rsid w:val="002E512D"/>
    <w:rsid w:val="002E575E"/>
    <w:rsid w:val="002E6872"/>
    <w:rsid w:val="002F07CC"/>
    <w:rsid w:val="002F0A00"/>
    <w:rsid w:val="002F0FAB"/>
    <w:rsid w:val="002F17D6"/>
    <w:rsid w:val="002F1D80"/>
    <w:rsid w:val="002F2602"/>
    <w:rsid w:val="002F2610"/>
    <w:rsid w:val="002F2B4C"/>
    <w:rsid w:val="002F2BDA"/>
    <w:rsid w:val="002F3370"/>
    <w:rsid w:val="002F3878"/>
    <w:rsid w:val="002F4AB0"/>
    <w:rsid w:val="002F53FA"/>
    <w:rsid w:val="002F5970"/>
    <w:rsid w:val="002F6581"/>
    <w:rsid w:val="002F6E08"/>
    <w:rsid w:val="002F6FDD"/>
    <w:rsid w:val="002F7373"/>
    <w:rsid w:val="0030090C"/>
    <w:rsid w:val="00300B15"/>
    <w:rsid w:val="00301519"/>
    <w:rsid w:val="00301B34"/>
    <w:rsid w:val="00301F9F"/>
    <w:rsid w:val="003023F9"/>
    <w:rsid w:val="0030269B"/>
    <w:rsid w:val="00303218"/>
    <w:rsid w:val="003032F4"/>
    <w:rsid w:val="00303369"/>
    <w:rsid w:val="00304697"/>
    <w:rsid w:val="003047F5"/>
    <w:rsid w:val="0030678C"/>
    <w:rsid w:val="00306848"/>
    <w:rsid w:val="00306AFC"/>
    <w:rsid w:val="00306F6E"/>
    <w:rsid w:val="00307463"/>
    <w:rsid w:val="00307605"/>
    <w:rsid w:val="003107BB"/>
    <w:rsid w:val="00310B86"/>
    <w:rsid w:val="003110CD"/>
    <w:rsid w:val="003124B0"/>
    <w:rsid w:val="00312AC0"/>
    <w:rsid w:val="00313D5A"/>
    <w:rsid w:val="0031420F"/>
    <w:rsid w:val="00314214"/>
    <w:rsid w:val="0031473E"/>
    <w:rsid w:val="00314A96"/>
    <w:rsid w:val="00315117"/>
    <w:rsid w:val="003155DB"/>
    <w:rsid w:val="00315B22"/>
    <w:rsid w:val="00315F1C"/>
    <w:rsid w:val="0031621D"/>
    <w:rsid w:val="0031625C"/>
    <w:rsid w:val="00317027"/>
    <w:rsid w:val="003176D9"/>
    <w:rsid w:val="00317B78"/>
    <w:rsid w:val="0032081A"/>
    <w:rsid w:val="00321B40"/>
    <w:rsid w:val="003226BB"/>
    <w:rsid w:val="003231FA"/>
    <w:rsid w:val="00323522"/>
    <w:rsid w:val="0032375C"/>
    <w:rsid w:val="0032383C"/>
    <w:rsid w:val="00323FBF"/>
    <w:rsid w:val="00327FC7"/>
    <w:rsid w:val="003305F1"/>
    <w:rsid w:val="00330D91"/>
    <w:rsid w:val="003311B9"/>
    <w:rsid w:val="00332671"/>
    <w:rsid w:val="00332BDC"/>
    <w:rsid w:val="00332CB1"/>
    <w:rsid w:val="00332EA7"/>
    <w:rsid w:val="00332FDD"/>
    <w:rsid w:val="003333BD"/>
    <w:rsid w:val="0033353C"/>
    <w:rsid w:val="00334E75"/>
    <w:rsid w:val="0033510C"/>
    <w:rsid w:val="00335544"/>
    <w:rsid w:val="00337A9F"/>
    <w:rsid w:val="00337C6B"/>
    <w:rsid w:val="00340210"/>
    <w:rsid w:val="0034209E"/>
    <w:rsid w:val="0034245F"/>
    <w:rsid w:val="0034416F"/>
    <w:rsid w:val="003456CF"/>
    <w:rsid w:val="00346AA5"/>
    <w:rsid w:val="00347638"/>
    <w:rsid w:val="00347C84"/>
    <w:rsid w:val="00347D06"/>
    <w:rsid w:val="00351233"/>
    <w:rsid w:val="00351DC4"/>
    <w:rsid w:val="0035293F"/>
    <w:rsid w:val="0035346E"/>
    <w:rsid w:val="00354461"/>
    <w:rsid w:val="00354C05"/>
    <w:rsid w:val="00354F34"/>
    <w:rsid w:val="003554AC"/>
    <w:rsid w:val="00355DE6"/>
    <w:rsid w:val="0035603D"/>
    <w:rsid w:val="00356430"/>
    <w:rsid w:val="00357437"/>
    <w:rsid w:val="003604E2"/>
    <w:rsid w:val="003606FA"/>
    <w:rsid w:val="003609B6"/>
    <w:rsid w:val="003618C8"/>
    <w:rsid w:val="00361F9F"/>
    <w:rsid w:val="003627E5"/>
    <w:rsid w:val="00362C0C"/>
    <w:rsid w:val="0036397A"/>
    <w:rsid w:val="00363B18"/>
    <w:rsid w:val="00363C44"/>
    <w:rsid w:val="00364EB1"/>
    <w:rsid w:val="00364EF0"/>
    <w:rsid w:val="003659C1"/>
    <w:rsid w:val="00366660"/>
    <w:rsid w:val="00367C27"/>
    <w:rsid w:val="00371359"/>
    <w:rsid w:val="003719AB"/>
    <w:rsid w:val="00372407"/>
    <w:rsid w:val="00375252"/>
    <w:rsid w:val="0037545D"/>
    <w:rsid w:val="003757D7"/>
    <w:rsid w:val="00375C59"/>
    <w:rsid w:val="00375FBC"/>
    <w:rsid w:val="003760EC"/>
    <w:rsid w:val="003762EB"/>
    <w:rsid w:val="0037630E"/>
    <w:rsid w:val="003770D7"/>
    <w:rsid w:val="00377B83"/>
    <w:rsid w:val="00377EC4"/>
    <w:rsid w:val="00380102"/>
    <w:rsid w:val="003801BF"/>
    <w:rsid w:val="00380A8C"/>
    <w:rsid w:val="00380B1D"/>
    <w:rsid w:val="00383DC8"/>
    <w:rsid w:val="00384848"/>
    <w:rsid w:val="00384D26"/>
    <w:rsid w:val="00385111"/>
    <w:rsid w:val="0038598E"/>
    <w:rsid w:val="00387094"/>
    <w:rsid w:val="00387808"/>
    <w:rsid w:val="003905FB"/>
    <w:rsid w:val="00390717"/>
    <w:rsid w:val="00390B29"/>
    <w:rsid w:val="003913EC"/>
    <w:rsid w:val="00392DD6"/>
    <w:rsid w:val="003941EE"/>
    <w:rsid w:val="00394C9E"/>
    <w:rsid w:val="00394F49"/>
    <w:rsid w:val="00395965"/>
    <w:rsid w:val="0039654D"/>
    <w:rsid w:val="00396B20"/>
    <w:rsid w:val="00397836"/>
    <w:rsid w:val="00397C43"/>
    <w:rsid w:val="00397DF8"/>
    <w:rsid w:val="00397FCD"/>
    <w:rsid w:val="003A098F"/>
    <w:rsid w:val="003A0CE3"/>
    <w:rsid w:val="003A1DDD"/>
    <w:rsid w:val="003A2297"/>
    <w:rsid w:val="003A2907"/>
    <w:rsid w:val="003A315B"/>
    <w:rsid w:val="003A473E"/>
    <w:rsid w:val="003A4775"/>
    <w:rsid w:val="003A4BD1"/>
    <w:rsid w:val="003A4F5D"/>
    <w:rsid w:val="003A53BB"/>
    <w:rsid w:val="003A6500"/>
    <w:rsid w:val="003A6D24"/>
    <w:rsid w:val="003A759D"/>
    <w:rsid w:val="003A791F"/>
    <w:rsid w:val="003A7D86"/>
    <w:rsid w:val="003B050A"/>
    <w:rsid w:val="003B0BFA"/>
    <w:rsid w:val="003B0EFE"/>
    <w:rsid w:val="003B18D9"/>
    <w:rsid w:val="003B27F0"/>
    <w:rsid w:val="003B3C99"/>
    <w:rsid w:val="003B4623"/>
    <w:rsid w:val="003B4898"/>
    <w:rsid w:val="003B53C3"/>
    <w:rsid w:val="003B548E"/>
    <w:rsid w:val="003B56E0"/>
    <w:rsid w:val="003B5B98"/>
    <w:rsid w:val="003B5C7E"/>
    <w:rsid w:val="003B5D12"/>
    <w:rsid w:val="003B5E91"/>
    <w:rsid w:val="003B643B"/>
    <w:rsid w:val="003B6848"/>
    <w:rsid w:val="003B6CBF"/>
    <w:rsid w:val="003B77EE"/>
    <w:rsid w:val="003B7BC9"/>
    <w:rsid w:val="003B7D55"/>
    <w:rsid w:val="003C2213"/>
    <w:rsid w:val="003C22BC"/>
    <w:rsid w:val="003C2748"/>
    <w:rsid w:val="003C2B1E"/>
    <w:rsid w:val="003C3003"/>
    <w:rsid w:val="003C3678"/>
    <w:rsid w:val="003C5C8F"/>
    <w:rsid w:val="003C690D"/>
    <w:rsid w:val="003C71FA"/>
    <w:rsid w:val="003D087C"/>
    <w:rsid w:val="003D0EDB"/>
    <w:rsid w:val="003D1D45"/>
    <w:rsid w:val="003D33B2"/>
    <w:rsid w:val="003D3933"/>
    <w:rsid w:val="003D4016"/>
    <w:rsid w:val="003D42EF"/>
    <w:rsid w:val="003D549A"/>
    <w:rsid w:val="003D6086"/>
    <w:rsid w:val="003D66FF"/>
    <w:rsid w:val="003D7546"/>
    <w:rsid w:val="003E0913"/>
    <w:rsid w:val="003E0CB2"/>
    <w:rsid w:val="003E0E16"/>
    <w:rsid w:val="003E1844"/>
    <w:rsid w:val="003E193B"/>
    <w:rsid w:val="003E1FE4"/>
    <w:rsid w:val="003E2309"/>
    <w:rsid w:val="003E416B"/>
    <w:rsid w:val="003E468E"/>
    <w:rsid w:val="003E49F2"/>
    <w:rsid w:val="003E4F77"/>
    <w:rsid w:val="003E4F9A"/>
    <w:rsid w:val="003E6346"/>
    <w:rsid w:val="003E748B"/>
    <w:rsid w:val="003E7522"/>
    <w:rsid w:val="003E75E6"/>
    <w:rsid w:val="003E77E1"/>
    <w:rsid w:val="003F04B7"/>
    <w:rsid w:val="003F0879"/>
    <w:rsid w:val="003F1604"/>
    <w:rsid w:val="003F35E2"/>
    <w:rsid w:val="003F3A9D"/>
    <w:rsid w:val="003F3E89"/>
    <w:rsid w:val="003F47EB"/>
    <w:rsid w:val="003F5659"/>
    <w:rsid w:val="003F5CE3"/>
    <w:rsid w:val="003F6D7B"/>
    <w:rsid w:val="003F7796"/>
    <w:rsid w:val="003F7CD2"/>
    <w:rsid w:val="003F7EEB"/>
    <w:rsid w:val="00402045"/>
    <w:rsid w:val="00402214"/>
    <w:rsid w:val="0040228A"/>
    <w:rsid w:val="00402557"/>
    <w:rsid w:val="004026EC"/>
    <w:rsid w:val="00403129"/>
    <w:rsid w:val="004039FF"/>
    <w:rsid w:val="00403D14"/>
    <w:rsid w:val="004061FD"/>
    <w:rsid w:val="004069A0"/>
    <w:rsid w:val="00406A38"/>
    <w:rsid w:val="004117A0"/>
    <w:rsid w:val="004119EA"/>
    <w:rsid w:val="00411E37"/>
    <w:rsid w:val="00413209"/>
    <w:rsid w:val="004137AA"/>
    <w:rsid w:val="00414579"/>
    <w:rsid w:val="00414897"/>
    <w:rsid w:val="00415AA8"/>
    <w:rsid w:val="004173A1"/>
    <w:rsid w:val="004202CC"/>
    <w:rsid w:val="00420CA3"/>
    <w:rsid w:val="0042118A"/>
    <w:rsid w:val="0042191D"/>
    <w:rsid w:val="00423552"/>
    <w:rsid w:val="00423DAE"/>
    <w:rsid w:val="004249E2"/>
    <w:rsid w:val="00424AE3"/>
    <w:rsid w:val="00425178"/>
    <w:rsid w:val="00425BC5"/>
    <w:rsid w:val="004265CD"/>
    <w:rsid w:val="00427B3C"/>
    <w:rsid w:val="00427D22"/>
    <w:rsid w:val="00430941"/>
    <w:rsid w:val="00430A2E"/>
    <w:rsid w:val="0043182C"/>
    <w:rsid w:val="00431860"/>
    <w:rsid w:val="00431C77"/>
    <w:rsid w:val="00433284"/>
    <w:rsid w:val="00433858"/>
    <w:rsid w:val="004338DA"/>
    <w:rsid w:val="004338F5"/>
    <w:rsid w:val="00433C43"/>
    <w:rsid w:val="00433E80"/>
    <w:rsid w:val="00436142"/>
    <w:rsid w:val="00436B9F"/>
    <w:rsid w:val="00437ECC"/>
    <w:rsid w:val="004403B8"/>
    <w:rsid w:val="004405F3"/>
    <w:rsid w:val="0044095E"/>
    <w:rsid w:val="00440C3A"/>
    <w:rsid w:val="004418DD"/>
    <w:rsid w:val="00441D49"/>
    <w:rsid w:val="00442009"/>
    <w:rsid w:val="004422C7"/>
    <w:rsid w:val="0044259C"/>
    <w:rsid w:val="00442BB8"/>
    <w:rsid w:val="00442E50"/>
    <w:rsid w:val="0044335F"/>
    <w:rsid w:val="00444525"/>
    <w:rsid w:val="00444A4A"/>
    <w:rsid w:val="00444AB7"/>
    <w:rsid w:val="00446DC3"/>
    <w:rsid w:val="0044738C"/>
    <w:rsid w:val="00447D16"/>
    <w:rsid w:val="00451055"/>
    <w:rsid w:val="00451DE0"/>
    <w:rsid w:val="00451EE2"/>
    <w:rsid w:val="00452FDB"/>
    <w:rsid w:val="0045304C"/>
    <w:rsid w:val="00454744"/>
    <w:rsid w:val="00454EB6"/>
    <w:rsid w:val="00455604"/>
    <w:rsid w:val="00455A5D"/>
    <w:rsid w:val="00455B7A"/>
    <w:rsid w:val="00460414"/>
    <w:rsid w:val="00460541"/>
    <w:rsid w:val="00461638"/>
    <w:rsid w:val="00462B4F"/>
    <w:rsid w:val="00462C3C"/>
    <w:rsid w:val="00462D9E"/>
    <w:rsid w:val="00463CE2"/>
    <w:rsid w:val="00464945"/>
    <w:rsid w:val="00465A14"/>
    <w:rsid w:val="004669ED"/>
    <w:rsid w:val="004700DF"/>
    <w:rsid w:val="00470326"/>
    <w:rsid w:val="00471A2F"/>
    <w:rsid w:val="00472B12"/>
    <w:rsid w:val="004736C8"/>
    <w:rsid w:val="00475E28"/>
    <w:rsid w:val="004760D4"/>
    <w:rsid w:val="004768CD"/>
    <w:rsid w:val="00477E8C"/>
    <w:rsid w:val="004800C3"/>
    <w:rsid w:val="004807CC"/>
    <w:rsid w:val="004809B0"/>
    <w:rsid w:val="00480C1F"/>
    <w:rsid w:val="004810BA"/>
    <w:rsid w:val="0048117C"/>
    <w:rsid w:val="00481358"/>
    <w:rsid w:val="00481A09"/>
    <w:rsid w:val="00481D0C"/>
    <w:rsid w:val="00483B9F"/>
    <w:rsid w:val="004844C6"/>
    <w:rsid w:val="00484B6A"/>
    <w:rsid w:val="00484EF7"/>
    <w:rsid w:val="00486F52"/>
    <w:rsid w:val="00490B76"/>
    <w:rsid w:val="00491039"/>
    <w:rsid w:val="00491C57"/>
    <w:rsid w:val="00491DEC"/>
    <w:rsid w:val="004920C0"/>
    <w:rsid w:val="004922D7"/>
    <w:rsid w:val="00492524"/>
    <w:rsid w:val="00492B33"/>
    <w:rsid w:val="00493045"/>
    <w:rsid w:val="00493277"/>
    <w:rsid w:val="0049338B"/>
    <w:rsid w:val="004933EA"/>
    <w:rsid w:val="00494A1C"/>
    <w:rsid w:val="00494D36"/>
    <w:rsid w:val="004953C2"/>
    <w:rsid w:val="00495E68"/>
    <w:rsid w:val="004965A9"/>
    <w:rsid w:val="0049662C"/>
    <w:rsid w:val="004968FE"/>
    <w:rsid w:val="004970DD"/>
    <w:rsid w:val="0049747A"/>
    <w:rsid w:val="00497905"/>
    <w:rsid w:val="00497E84"/>
    <w:rsid w:val="004A01B1"/>
    <w:rsid w:val="004A0273"/>
    <w:rsid w:val="004A15EF"/>
    <w:rsid w:val="004A2C1E"/>
    <w:rsid w:val="004A3155"/>
    <w:rsid w:val="004A33E7"/>
    <w:rsid w:val="004A37F2"/>
    <w:rsid w:val="004A401A"/>
    <w:rsid w:val="004A4E00"/>
    <w:rsid w:val="004A73B7"/>
    <w:rsid w:val="004A771C"/>
    <w:rsid w:val="004B0B15"/>
    <w:rsid w:val="004B3072"/>
    <w:rsid w:val="004B366C"/>
    <w:rsid w:val="004B4B77"/>
    <w:rsid w:val="004B4CAD"/>
    <w:rsid w:val="004B558C"/>
    <w:rsid w:val="004B5683"/>
    <w:rsid w:val="004B5A9D"/>
    <w:rsid w:val="004B5F42"/>
    <w:rsid w:val="004B7784"/>
    <w:rsid w:val="004C014F"/>
    <w:rsid w:val="004C16D9"/>
    <w:rsid w:val="004C201C"/>
    <w:rsid w:val="004C282A"/>
    <w:rsid w:val="004C2E04"/>
    <w:rsid w:val="004C36D4"/>
    <w:rsid w:val="004C3AE2"/>
    <w:rsid w:val="004C405D"/>
    <w:rsid w:val="004C43BF"/>
    <w:rsid w:val="004C48C1"/>
    <w:rsid w:val="004C6182"/>
    <w:rsid w:val="004C639D"/>
    <w:rsid w:val="004C645A"/>
    <w:rsid w:val="004C6F19"/>
    <w:rsid w:val="004D003D"/>
    <w:rsid w:val="004D2953"/>
    <w:rsid w:val="004D4241"/>
    <w:rsid w:val="004D457E"/>
    <w:rsid w:val="004D4ED1"/>
    <w:rsid w:val="004D522E"/>
    <w:rsid w:val="004D56FF"/>
    <w:rsid w:val="004D6912"/>
    <w:rsid w:val="004D6A6B"/>
    <w:rsid w:val="004E01EC"/>
    <w:rsid w:val="004E0408"/>
    <w:rsid w:val="004E16B9"/>
    <w:rsid w:val="004E1B6A"/>
    <w:rsid w:val="004E239B"/>
    <w:rsid w:val="004E2C86"/>
    <w:rsid w:val="004E3C99"/>
    <w:rsid w:val="004E42AE"/>
    <w:rsid w:val="004E4C2A"/>
    <w:rsid w:val="004E4C57"/>
    <w:rsid w:val="004E62CE"/>
    <w:rsid w:val="004E7133"/>
    <w:rsid w:val="004E769F"/>
    <w:rsid w:val="004E79B5"/>
    <w:rsid w:val="004F1377"/>
    <w:rsid w:val="004F20D8"/>
    <w:rsid w:val="004F29F8"/>
    <w:rsid w:val="004F2A23"/>
    <w:rsid w:val="004F2C3F"/>
    <w:rsid w:val="004F419C"/>
    <w:rsid w:val="004F495D"/>
    <w:rsid w:val="004F5C38"/>
    <w:rsid w:val="004F5D9A"/>
    <w:rsid w:val="004F602B"/>
    <w:rsid w:val="004F65E9"/>
    <w:rsid w:val="004F6667"/>
    <w:rsid w:val="004F6A7F"/>
    <w:rsid w:val="0050002B"/>
    <w:rsid w:val="005008E9"/>
    <w:rsid w:val="00500D5A"/>
    <w:rsid w:val="00500D83"/>
    <w:rsid w:val="00501F16"/>
    <w:rsid w:val="005028C8"/>
    <w:rsid w:val="00503367"/>
    <w:rsid w:val="00503940"/>
    <w:rsid w:val="00503F06"/>
    <w:rsid w:val="005040D9"/>
    <w:rsid w:val="005055E5"/>
    <w:rsid w:val="00505717"/>
    <w:rsid w:val="005059CC"/>
    <w:rsid w:val="00510259"/>
    <w:rsid w:val="0051068B"/>
    <w:rsid w:val="00511132"/>
    <w:rsid w:val="00511323"/>
    <w:rsid w:val="00511948"/>
    <w:rsid w:val="00512102"/>
    <w:rsid w:val="005121F8"/>
    <w:rsid w:val="00513E8F"/>
    <w:rsid w:val="0051531A"/>
    <w:rsid w:val="0051568C"/>
    <w:rsid w:val="00515FBD"/>
    <w:rsid w:val="00516C30"/>
    <w:rsid w:val="0052017D"/>
    <w:rsid w:val="00520C96"/>
    <w:rsid w:val="00520E9A"/>
    <w:rsid w:val="005240F4"/>
    <w:rsid w:val="00524556"/>
    <w:rsid w:val="00524EE1"/>
    <w:rsid w:val="00525003"/>
    <w:rsid w:val="0052523B"/>
    <w:rsid w:val="005253A7"/>
    <w:rsid w:val="00525924"/>
    <w:rsid w:val="005261F5"/>
    <w:rsid w:val="0052625B"/>
    <w:rsid w:val="005264EF"/>
    <w:rsid w:val="00526A35"/>
    <w:rsid w:val="00526EEE"/>
    <w:rsid w:val="00530123"/>
    <w:rsid w:val="00530E5F"/>
    <w:rsid w:val="005310ED"/>
    <w:rsid w:val="005312DD"/>
    <w:rsid w:val="005316B9"/>
    <w:rsid w:val="005317B2"/>
    <w:rsid w:val="005317C9"/>
    <w:rsid w:val="0053198C"/>
    <w:rsid w:val="00532472"/>
    <w:rsid w:val="00532A21"/>
    <w:rsid w:val="00532EF8"/>
    <w:rsid w:val="00533902"/>
    <w:rsid w:val="0053393F"/>
    <w:rsid w:val="00533C4D"/>
    <w:rsid w:val="0053409F"/>
    <w:rsid w:val="005341F2"/>
    <w:rsid w:val="005343ED"/>
    <w:rsid w:val="00534CD1"/>
    <w:rsid w:val="005352A6"/>
    <w:rsid w:val="00536061"/>
    <w:rsid w:val="00536703"/>
    <w:rsid w:val="00536EE4"/>
    <w:rsid w:val="00537A00"/>
    <w:rsid w:val="00542C4D"/>
    <w:rsid w:val="00542C6C"/>
    <w:rsid w:val="0054356D"/>
    <w:rsid w:val="00544FDF"/>
    <w:rsid w:val="00545ECF"/>
    <w:rsid w:val="005461E0"/>
    <w:rsid w:val="00550BB4"/>
    <w:rsid w:val="00551785"/>
    <w:rsid w:val="00553345"/>
    <w:rsid w:val="005539AB"/>
    <w:rsid w:val="00553A28"/>
    <w:rsid w:val="0055630F"/>
    <w:rsid w:val="00556424"/>
    <w:rsid w:val="005567C8"/>
    <w:rsid w:val="00556915"/>
    <w:rsid w:val="00556BE2"/>
    <w:rsid w:val="00557349"/>
    <w:rsid w:val="00560810"/>
    <w:rsid w:val="0056130E"/>
    <w:rsid w:val="00561A54"/>
    <w:rsid w:val="00561F4E"/>
    <w:rsid w:val="0056230B"/>
    <w:rsid w:val="00562E82"/>
    <w:rsid w:val="00562F99"/>
    <w:rsid w:val="005637E1"/>
    <w:rsid w:val="00564007"/>
    <w:rsid w:val="005642F3"/>
    <w:rsid w:val="00565F1B"/>
    <w:rsid w:val="00567599"/>
    <w:rsid w:val="00570723"/>
    <w:rsid w:val="00571ECA"/>
    <w:rsid w:val="005723C1"/>
    <w:rsid w:val="00572870"/>
    <w:rsid w:val="0057316A"/>
    <w:rsid w:val="00573E42"/>
    <w:rsid w:val="00575224"/>
    <w:rsid w:val="005762EF"/>
    <w:rsid w:val="005769D7"/>
    <w:rsid w:val="00576B1D"/>
    <w:rsid w:val="00577595"/>
    <w:rsid w:val="005809B1"/>
    <w:rsid w:val="005811AC"/>
    <w:rsid w:val="0058148E"/>
    <w:rsid w:val="00581A0A"/>
    <w:rsid w:val="005825CF"/>
    <w:rsid w:val="00582C8E"/>
    <w:rsid w:val="00582FB6"/>
    <w:rsid w:val="00583922"/>
    <w:rsid w:val="00583A3D"/>
    <w:rsid w:val="00583A3E"/>
    <w:rsid w:val="005843ED"/>
    <w:rsid w:val="00584494"/>
    <w:rsid w:val="00584906"/>
    <w:rsid w:val="005857AC"/>
    <w:rsid w:val="0058591B"/>
    <w:rsid w:val="00586790"/>
    <w:rsid w:val="005901E2"/>
    <w:rsid w:val="00590693"/>
    <w:rsid w:val="00590965"/>
    <w:rsid w:val="00590AA7"/>
    <w:rsid w:val="00590B5F"/>
    <w:rsid w:val="00590C8B"/>
    <w:rsid w:val="005919DF"/>
    <w:rsid w:val="005926A5"/>
    <w:rsid w:val="00593CC0"/>
    <w:rsid w:val="005956E9"/>
    <w:rsid w:val="005974CD"/>
    <w:rsid w:val="005979AC"/>
    <w:rsid w:val="00597CE2"/>
    <w:rsid w:val="005A0331"/>
    <w:rsid w:val="005A1A60"/>
    <w:rsid w:val="005A1AD5"/>
    <w:rsid w:val="005A4E3A"/>
    <w:rsid w:val="005A52F0"/>
    <w:rsid w:val="005A57D5"/>
    <w:rsid w:val="005A6073"/>
    <w:rsid w:val="005A655E"/>
    <w:rsid w:val="005A6976"/>
    <w:rsid w:val="005A774B"/>
    <w:rsid w:val="005B1DCA"/>
    <w:rsid w:val="005B2F28"/>
    <w:rsid w:val="005B355A"/>
    <w:rsid w:val="005B41E7"/>
    <w:rsid w:val="005B47B6"/>
    <w:rsid w:val="005B5230"/>
    <w:rsid w:val="005B551A"/>
    <w:rsid w:val="005B617C"/>
    <w:rsid w:val="005B7510"/>
    <w:rsid w:val="005B7787"/>
    <w:rsid w:val="005C0412"/>
    <w:rsid w:val="005C122A"/>
    <w:rsid w:val="005C18FB"/>
    <w:rsid w:val="005C4282"/>
    <w:rsid w:val="005C49B8"/>
    <w:rsid w:val="005C4A5B"/>
    <w:rsid w:val="005C4BAF"/>
    <w:rsid w:val="005C522F"/>
    <w:rsid w:val="005C5832"/>
    <w:rsid w:val="005C61CA"/>
    <w:rsid w:val="005C7466"/>
    <w:rsid w:val="005C774B"/>
    <w:rsid w:val="005D0268"/>
    <w:rsid w:val="005D06AC"/>
    <w:rsid w:val="005D09D4"/>
    <w:rsid w:val="005D0DF6"/>
    <w:rsid w:val="005D2868"/>
    <w:rsid w:val="005D3021"/>
    <w:rsid w:val="005D5AB9"/>
    <w:rsid w:val="005D6596"/>
    <w:rsid w:val="005D7279"/>
    <w:rsid w:val="005D7851"/>
    <w:rsid w:val="005E04D7"/>
    <w:rsid w:val="005E13B8"/>
    <w:rsid w:val="005E1B54"/>
    <w:rsid w:val="005E217D"/>
    <w:rsid w:val="005E2285"/>
    <w:rsid w:val="005E38A1"/>
    <w:rsid w:val="005E3A91"/>
    <w:rsid w:val="005E4966"/>
    <w:rsid w:val="005E5A58"/>
    <w:rsid w:val="005E5D30"/>
    <w:rsid w:val="005E6847"/>
    <w:rsid w:val="005E6B37"/>
    <w:rsid w:val="005E7172"/>
    <w:rsid w:val="005E74D4"/>
    <w:rsid w:val="005E77EA"/>
    <w:rsid w:val="005E7844"/>
    <w:rsid w:val="005E7C6F"/>
    <w:rsid w:val="005F0638"/>
    <w:rsid w:val="005F073C"/>
    <w:rsid w:val="005F1173"/>
    <w:rsid w:val="005F1195"/>
    <w:rsid w:val="005F1AD9"/>
    <w:rsid w:val="005F317A"/>
    <w:rsid w:val="005F386A"/>
    <w:rsid w:val="005F39C9"/>
    <w:rsid w:val="005F4779"/>
    <w:rsid w:val="005F4EEA"/>
    <w:rsid w:val="005F6D88"/>
    <w:rsid w:val="005F75A8"/>
    <w:rsid w:val="005F7749"/>
    <w:rsid w:val="005F789D"/>
    <w:rsid w:val="005F7C57"/>
    <w:rsid w:val="006001AE"/>
    <w:rsid w:val="00600859"/>
    <w:rsid w:val="006019B1"/>
    <w:rsid w:val="006020D0"/>
    <w:rsid w:val="00602F35"/>
    <w:rsid w:val="006030E8"/>
    <w:rsid w:val="0060411E"/>
    <w:rsid w:val="00604325"/>
    <w:rsid w:val="00604A78"/>
    <w:rsid w:val="00605368"/>
    <w:rsid w:val="006054B7"/>
    <w:rsid w:val="006056CC"/>
    <w:rsid w:val="00605CB7"/>
    <w:rsid w:val="0060685F"/>
    <w:rsid w:val="00610CB8"/>
    <w:rsid w:val="00610D8D"/>
    <w:rsid w:val="00610E1A"/>
    <w:rsid w:val="00610FE7"/>
    <w:rsid w:val="00611F30"/>
    <w:rsid w:val="0061331E"/>
    <w:rsid w:val="00613F62"/>
    <w:rsid w:val="00614581"/>
    <w:rsid w:val="006147E3"/>
    <w:rsid w:val="00614E53"/>
    <w:rsid w:val="006153CB"/>
    <w:rsid w:val="0061596A"/>
    <w:rsid w:val="00616381"/>
    <w:rsid w:val="0061682C"/>
    <w:rsid w:val="00617E9F"/>
    <w:rsid w:val="00621F76"/>
    <w:rsid w:val="006232E1"/>
    <w:rsid w:val="006236C9"/>
    <w:rsid w:val="00623D05"/>
    <w:rsid w:val="00624103"/>
    <w:rsid w:val="0062418D"/>
    <w:rsid w:val="00627234"/>
    <w:rsid w:val="00627CC9"/>
    <w:rsid w:val="006309BB"/>
    <w:rsid w:val="00630A99"/>
    <w:rsid w:val="00631EEB"/>
    <w:rsid w:val="00631EFF"/>
    <w:rsid w:val="006331A7"/>
    <w:rsid w:val="00634EA1"/>
    <w:rsid w:val="00635031"/>
    <w:rsid w:val="00635CC5"/>
    <w:rsid w:val="00635F9F"/>
    <w:rsid w:val="006369AB"/>
    <w:rsid w:val="00636A32"/>
    <w:rsid w:val="00636C22"/>
    <w:rsid w:val="00636F41"/>
    <w:rsid w:val="00637CC4"/>
    <w:rsid w:val="0064008B"/>
    <w:rsid w:val="00640106"/>
    <w:rsid w:val="00640920"/>
    <w:rsid w:val="00640A5E"/>
    <w:rsid w:val="006416E8"/>
    <w:rsid w:val="006425E5"/>
    <w:rsid w:val="0064316E"/>
    <w:rsid w:val="006443C9"/>
    <w:rsid w:val="00644C7F"/>
    <w:rsid w:val="006453CE"/>
    <w:rsid w:val="006453E3"/>
    <w:rsid w:val="00645B64"/>
    <w:rsid w:val="00645B6E"/>
    <w:rsid w:val="006467B1"/>
    <w:rsid w:val="006468EB"/>
    <w:rsid w:val="0064690C"/>
    <w:rsid w:val="006473AC"/>
    <w:rsid w:val="00647B19"/>
    <w:rsid w:val="00647ECE"/>
    <w:rsid w:val="00647FA1"/>
    <w:rsid w:val="00650157"/>
    <w:rsid w:val="00650494"/>
    <w:rsid w:val="00650A49"/>
    <w:rsid w:val="00651FE8"/>
    <w:rsid w:val="00652253"/>
    <w:rsid w:val="0065294D"/>
    <w:rsid w:val="00652BBA"/>
    <w:rsid w:val="00653717"/>
    <w:rsid w:val="00653879"/>
    <w:rsid w:val="00653F34"/>
    <w:rsid w:val="00654435"/>
    <w:rsid w:val="00656144"/>
    <w:rsid w:val="006562BF"/>
    <w:rsid w:val="00657751"/>
    <w:rsid w:val="0066124A"/>
    <w:rsid w:val="00661473"/>
    <w:rsid w:val="00661661"/>
    <w:rsid w:val="00661A7C"/>
    <w:rsid w:val="00661B65"/>
    <w:rsid w:val="00661F02"/>
    <w:rsid w:val="00662AFA"/>
    <w:rsid w:val="00662BAD"/>
    <w:rsid w:val="006646D3"/>
    <w:rsid w:val="00664A88"/>
    <w:rsid w:val="00664E35"/>
    <w:rsid w:val="00665453"/>
    <w:rsid w:val="00665A79"/>
    <w:rsid w:val="0066604E"/>
    <w:rsid w:val="00666859"/>
    <w:rsid w:val="00666C86"/>
    <w:rsid w:val="00666F5D"/>
    <w:rsid w:val="00667407"/>
    <w:rsid w:val="00667630"/>
    <w:rsid w:val="00667A45"/>
    <w:rsid w:val="00670032"/>
    <w:rsid w:val="00671112"/>
    <w:rsid w:val="00671780"/>
    <w:rsid w:val="00671A2B"/>
    <w:rsid w:val="00671BC3"/>
    <w:rsid w:val="0067257E"/>
    <w:rsid w:val="0067459F"/>
    <w:rsid w:val="00675D82"/>
    <w:rsid w:val="00676BA1"/>
    <w:rsid w:val="00677702"/>
    <w:rsid w:val="00677DCB"/>
    <w:rsid w:val="00680115"/>
    <w:rsid w:val="0068013A"/>
    <w:rsid w:val="0068211F"/>
    <w:rsid w:val="00682B67"/>
    <w:rsid w:val="00682BA0"/>
    <w:rsid w:val="00682BDD"/>
    <w:rsid w:val="00682F6B"/>
    <w:rsid w:val="006837FA"/>
    <w:rsid w:val="00684878"/>
    <w:rsid w:val="00685D3B"/>
    <w:rsid w:val="0068634B"/>
    <w:rsid w:val="00687035"/>
    <w:rsid w:val="00687796"/>
    <w:rsid w:val="006908D0"/>
    <w:rsid w:val="00690B5D"/>
    <w:rsid w:val="00690F8D"/>
    <w:rsid w:val="00692049"/>
    <w:rsid w:val="006921A2"/>
    <w:rsid w:val="00695226"/>
    <w:rsid w:val="00695F74"/>
    <w:rsid w:val="006A0F75"/>
    <w:rsid w:val="006A1367"/>
    <w:rsid w:val="006A1374"/>
    <w:rsid w:val="006A1479"/>
    <w:rsid w:val="006A2886"/>
    <w:rsid w:val="006A3C15"/>
    <w:rsid w:val="006A46BC"/>
    <w:rsid w:val="006A55D3"/>
    <w:rsid w:val="006A5FB5"/>
    <w:rsid w:val="006A72AC"/>
    <w:rsid w:val="006A7A79"/>
    <w:rsid w:val="006A7AB5"/>
    <w:rsid w:val="006B00D4"/>
    <w:rsid w:val="006B019E"/>
    <w:rsid w:val="006B0A46"/>
    <w:rsid w:val="006B0C26"/>
    <w:rsid w:val="006B0D22"/>
    <w:rsid w:val="006B10B4"/>
    <w:rsid w:val="006B1124"/>
    <w:rsid w:val="006B133D"/>
    <w:rsid w:val="006B1BA3"/>
    <w:rsid w:val="006B1FCF"/>
    <w:rsid w:val="006B2409"/>
    <w:rsid w:val="006B3983"/>
    <w:rsid w:val="006B4249"/>
    <w:rsid w:val="006B48A3"/>
    <w:rsid w:val="006B5981"/>
    <w:rsid w:val="006B617F"/>
    <w:rsid w:val="006B621C"/>
    <w:rsid w:val="006B6F2B"/>
    <w:rsid w:val="006B7412"/>
    <w:rsid w:val="006B7564"/>
    <w:rsid w:val="006B7C07"/>
    <w:rsid w:val="006C04C7"/>
    <w:rsid w:val="006C06E9"/>
    <w:rsid w:val="006C0C09"/>
    <w:rsid w:val="006C0FF1"/>
    <w:rsid w:val="006C134F"/>
    <w:rsid w:val="006C137B"/>
    <w:rsid w:val="006C17D8"/>
    <w:rsid w:val="006C21AD"/>
    <w:rsid w:val="006C24A4"/>
    <w:rsid w:val="006C27E2"/>
    <w:rsid w:val="006C2A71"/>
    <w:rsid w:val="006C40B7"/>
    <w:rsid w:val="006C41F7"/>
    <w:rsid w:val="006C68E5"/>
    <w:rsid w:val="006C756B"/>
    <w:rsid w:val="006C7AC2"/>
    <w:rsid w:val="006D03BF"/>
    <w:rsid w:val="006D0543"/>
    <w:rsid w:val="006D1639"/>
    <w:rsid w:val="006D17B7"/>
    <w:rsid w:val="006D181E"/>
    <w:rsid w:val="006D2594"/>
    <w:rsid w:val="006D390F"/>
    <w:rsid w:val="006D3A31"/>
    <w:rsid w:val="006D4E60"/>
    <w:rsid w:val="006D5FA3"/>
    <w:rsid w:val="006D5FEF"/>
    <w:rsid w:val="006D60D1"/>
    <w:rsid w:val="006D6CE9"/>
    <w:rsid w:val="006D7670"/>
    <w:rsid w:val="006D7676"/>
    <w:rsid w:val="006D7EFC"/>
    <w:rsid w:val="006E06D1"/>
    <w:rsid w:val="006E200F"/>
    <w:rsid w:val="006E225F"/>
    <w:rsid w:val="006E26C6"/>
    <w:rsid w:val="006E2834"/>
    <w:rsid w:val="006E2CAA"/>
    <w:rsid w:val="006E2E0C"/>
    <w:rsid w:val="006E303A"/>
    <w:rsid w:val="006E31C6"/>
    <w:rsid w:val="006E33A5"/>
    <w:rsid w:val="006E344D"/>
    <w:rsid w:val="006E37CD"/>
    <w:rsid w:val="006E3C6D"/>
    <w:rsid w:val="006E4013"/>
    <w:rsid w:val="006E41A7"/>
    <w:rsid w:val="006E68BD"/>
    <w:rsid w:val="006E7125"/>
    <w:rsid w:val="006E7367"/>
    <w:rsid w:val="006F0B50"/>
    <w:rsid w:val="006F1467"/>
    <w:rsid w:val="006F18CD"/>
    <w:rsid w:val="006F2022"/>
    <w:rsid w:val="006F2108"/>
    <w:rsid w:val="006F2846"/>
    <w:rsid w:val="006F37B7"/>
    <w:rsid w:val="006F395F"/>
    <w:rsid w:val="006F3A29"/>
    <w:rsid w:val="006F513C"/>
    <w:rsid w:val="006F576D"/>
    <w:rsid w:val="006F5814"/>
    <w:rsid w:val="006F5D3B"/>
    <w:rsid w:val="006F667E"/>
    <w:rsid w:val="006F69CA"/>
    <w:rsid w:val="006F70FF"/>
    <w:rsid w:val="006F71B5"/>
    <w:rsid w:val="006F793C"/>
    <w:rsid w:val="006F79A1"/>
    <w:rsid w:val="007004FB"/>
    <w:rsid w:val="007008AA"/>
    <w:rsid w:val="007016A1"/>
    <w:rsid w:val="00701E0F"/>
    <w:rsid w:val="007041C1"/>
    <w:rsid w:val="0070429E"/>
    <w:rsid w:val="00704324"/>
    <w:rsid w:val="00705102"/>
    <w:rsid w:val="00705253"/>
    <w:rsid w:val="00705639"/>
    <w:rsid w:val="007062F0"/>
    <w:rsid w:val="00710E76"/>
    <w:rsid w:val="007136B8"/>
    <w:rsid w:val="0071460C"/>
    <w:rsid w:val="0071474F"/>
    <w:rsid w:val="0071475E"/>
    <w:rsid w:val="00714C0E"/>
    <w:rsid w:val="00715F25"/>
    <w:rsid w:val="007164C8"/>
    <w:rsid w:val="007167D9"/>
    <w:rsid w:val="00717855"/>
    <w:rsid w:val="00717EDA"/>
    <w:rsid w:val="00721A0B"/>
    <w:rsid w:val="007224DA"/>
    <w:rsid w:val="00722D7F"/>
    <w:rsid w:val="00723074"/>
    <w:rsid w:val="00723468"/>
    <w:rsid w:val="00723E75"/>
    <w:rsid w:val="00724ED3"/>
    <w:rsid w:val="00725DD6"/>
    <w:rsid w:val="00726053"/>
    <w:rsid w:val="0072611F"/>
    <w:rsid w:val="007264F9"/>
    <w:rsid w:val="00726A48"/>
    <w:rsid w:val="0072717D"/>
    <w:rsid w:val="007271C3"/>
    <w:rsid w:val="007302BC"/>
    <w:rsid w:val="00730B63"/>
    <w:rsid w:val="00730B9C"/>
    <w:rsid w:val="00730C66"/>
    <w:rsid w:val="00730EC1"/>
    <w:rsid w:val="00731548"/>
    <w:rsid w:val="0073156E"/>
    <w:rsid w:val="00731712"/>
    <w:rsid w:val="007317FA"/>
    <w:rsid w:val="00731BBF"/>
    <w:rsid w:val="00732238"/>
    <w:rsid w:val="007333EF"/>
    <w:rsid w:val="0073461F"/>
    <w:rsid w:val="00734790"/>
    <w:rsid w:val="00735CF8"/>
    <w:rsid w:val="00735F4B"/>
    <w:rsid w:val="00736FA6"/>
    <w:rsid w:val="00740A04"/>
    <w:rsid w:val="00740CC0"/>
    <w:rsid w:val="007410BA"/>
    <w:rsid w:val="00741D52"/>
    <w:rsid w:val="0074405C"/>
    <w:rsid w:val="00744130"/>
    <w:rsid w:val="00744ED8"/>
    <w:rsid w:val="00744EDC"/>
    <w:rsid w:val="00745715"/>
    <w:rsid w:val="007463E1"/>
    <w:rsid w:val="00746600"/>
    <w:rsid w:val="00746697"/>
    <w:rsid w:val="00746717"/>
    <w:rsid w:val="00747B83"/>
    <w:rsid w:val="007500D4"/>
    <w:rsid w:val="00750618"/>
    <w:rsid w:val="00750886"/>
    <w:rsid w:val="007513E1"/>
    <w:rsid w:val="0075186F"/>
    <w:rsid w:val="00751E6F"/>
    <w:rsid w:val="007523B3"/>
    <w:rsid w:val="007528EF"/>
    <w:rsid w:val="007528FA"/>
    <w:rsid w:val="00752FAF"/>
    <w:rsid w:val="0075440C"/>
    <w:rsid w:val="00754638"/>
    <w:rsid w:val="00754D1B"/>
    <w:rsid w:val="00757110"/>
    <w:rsid w:val="00757270"/>
    <w:rsid w:val="00757AF5"/>
    <w:rsid w:val="00760692"/>
    <w:rsid w:val="00761849"/>
    <w:rsid w:val="00762E1C"/>
    <w:rsid w:val="007630F4"/>
    <w:rsid w:val="0076354D"/>
    <w:rsid w:val="00763FD7"/>
    <w:rsid w:val="007652DA"/>
    <w:rsid w:val="007652E0"/>
    <w:rsid w:val="0076557C"/>
    <w:rsid w:val="0076579E"/>
    <w:rsid w:val="00765E3E"/>
    <w:rsid w:val="00766512"/>
    <w:rsid w:val="00770491"/>
    <w:rsid w:val="0077091F"/>
    <w:rsid w:val="00772536"/>
    <w:rsid w:val="00772C19"/>
    <w:rsid w:val="00773DF5"/>
    <w:rsid w:val="00774A44"/>
    <w:rsid w:val="00774B0F"/>
    <w:rsid w:val="00774B18"/>
    <w:rsid w:val="00774C16"/>
    <w:rsid w:val="007751D6"/>
    <w:rsid w:val="007754AF"/>
    <w:rsid w:val="00776AAF"/>
    <w:rsid w:val="00776DD3"/>
    <w:rsid w:val="00780A72"/>
    <w:rsid w:val="00780C7B"/>
    <w:rsid w:val="00781282"/>
    <w:rsid w:val="0078134A"/>
    <w:rsid w:val="0078201F"/>
    <w:rsid w:val="00783978"/>
    <w:rsid w:val="00783F89"/>
    <w:rsid w:val="00784A18"/>
    <w:rsid w:val="00784B72"/>
    <w:rsid w:val="007856AB"/>
    <w:rsid w:val="007862AF"/>
    <w:rsid w:val="00786500"/>
    <w:rsid w:val="0078658E"/>
    <w:rsid w:val="0078695D"/>
    <w:rsid w:val="007873B3"/>
    <w:rsid w:val="007922C0"/>
    <w:rsid w:val="00792FFE"/>
    <w:rsid w:val="007934B2"/>
    <w:rsid w:val="0079376F"/>
    <w:rsid w:val="00794242"/>
    <w:rsid w:val="0079538F"/>
    <w:rsid w:val="007953E4"/>
    <w:rsid w:val="00795521"/>
    <w:rsid w:val="0079554C"/>
    <w:rsid w:val="0079628F"/>
    <w:rsid w:val="00796433"/>
    <w:rsid w:val="007964D8"/>
    <w:rsid w:val="00797473"/>
    <w:rsid w:val="007974D9"/>
    <w:rsid w:val="00797C19"/>
    <w:rsid w:val="007A00F2"/>
    <w:rsid w:val="007A0367"/>
    <w:rsid w:val="007A0B9C"/>
    <w:rsid w:val="007A1536"/>
    <w:rsid w:val="007A18F4"/>
    <w:rsid w:val="007A362B"/>
    <w:rsid w:val="007A37DD"/>
    <w:rsid w:val="007A3C7B"/>
    <w:rsid w:val="007A4898"/>
    <w:rsid w:val="007A52C7"/>
    <w:rsid w:val="007A5ADC"/>
    <w:rsid w:val="007A5D36"/>
    <w:rsid w:val="007A7954"/>
    <w:rsid w:val="007A7D2E"/>
    <w:rsid w:val="007B0BE9"/>
    <w:rsid w:val="007B15E2"/>
    <w:rsid w:val="007B17AC"/>
    <w:rsid w:val="007B1D6C"/>
    <w:rsid w:val="007B231B"/>
    <w:rsid w:val="007B2E16"/>
    <w:rsid w:val="007B3226"/>
    <w:rsid w:val="007B33D5"/>
    <w:rsid w:val="007B52C0"/>
    <w:rsid w:val="007B56CE"/>
    <w:rsid w:val="007B6B18"/>
    <w:rsid w:val="007B6FC7"/>
    <w:rsid w:val="007B763F"/>
    <w:rsid w:val="007C0D1D"/>
    <w:rsid w:val="007C0F78"/>
    <w:rsid w:val="007C102A"/>
    <w:rsid w:val="007C1D9B"/>
    <w:rsid w:val="007C1E8C"/>
    <w:rsid w:val="007C1E9A"/>
    <w:rsid w:val="007C2733"/>
    <w:rsid w:val="007C2941"/>
    <w:rsid w:val="007C2955"/>
    <w:rsid w:val="007C3701"/>
    <w:rsid w:val="007C43E3"/>
    <w:rsid w:val="007C62A2"/>
    <w:rsid w:val="007C74A0"/>
    <w:rsid w:val="007D1E0B"/>
    <w:rsid w:val="007D249F"/>
    <w:rsid w:val="007D375D"/>
    <w:rsid w:val="007D38EA"/>
    <w:rsid w:val="007D4AE6"/>
    <w:rsid w:val="007D5147"/>
    <w:rsid w:val="007D6633"/>
    <w:rsid w:val="007D6C3B"/>
    <w:rsid w:val="007D7C2B"/>
    <w:rsid w:val="007E06AF"/>
    <w:rsid w:val="007E0F5D"/>
    <w:rsid w:val="007E1786"/>
    <w:rsid w:val="007E35B8"/>
    <w:rsid w:val="007E3BA8"/>
    <w:rsid w:val="007E3CFA"/>
    <w:rsid w:val="007E473E"/>
    <w:rsid w:val="007E6143"/>
    <w:rsid w:val="007E691F"/>
    <w:rsid w:val="007E6A35"/>
    <w:rsid w:val="007E726B"/>
    <w:rsid w:val="007E734D"/>
    <w:rsid w:val="007E7828"/>
    <w:rsid w:val="007F0D75"/>
    <w:rsid w:val="007F123C"/>
    <w:rsid w:val="007F2292"/>
    <w:rsid w:val="007F2606"/>
    <w:rsid w:val="007F3168"/>
    <w:rsid w:val="007F327F"/>
    <w:rsid w:val="007F38CC"/>
    <w:rsid w:val="007F41A6"/>
    <w:rsid w:val="007F5586"/>
    <w:rsid w:val="007F60A5"/>
    <w:rsid w:val="007F61F8"/>
    <w:rsid w:val="007F63ED"/>
    <w:rsid w:val="007F6C28"/>
    <w:rsid w:val="007F6F08"/>
    <w:rsid w:val="007F743F"/>
    <w:rsid w:val="007F7597"/>
    <w:rsid w:val="007F78DF"/>
    <w:rsid w:val="0080072E"/>
    <w:rsid w:val="008007E9"/>
    <w:rsid w:val="00800ACE"/>
    <w:rsid w:val="00800C5B"/>
    <w:rsid w:val="008017FB"/>
    <w:rsid w:val="008044D1"/>
    <w:rsid w:val="00804BA6"/>
    <w:rsid w:val="00805130"/>
    <w:rsid w:val="0080560A"/>
    <w:rsid w:val="00805BB4"/>
    <w:rsid w:val="00805C1A"/>
    <w:rsid w:val="00806172"/>
    <w:rsid w:val="00806308"/>
    <w:rsid w:val="0080680D"/>
    <w:rsid w:val="00807CA1"/>
    <w:rsid w:val="00807CD1"/>
    <w:rsid w:val="00807ED1"/>
    <w:rsid w:val="0081023A"/>
    <w:rsid w:val="00810712"/>
    <w:rsid w:val="00810A78"/>
    <w:rsid w:val="00811417"/>
    <w:rsid w:val="008116B8"/>
    <w:rsid w:val="00811759"/>
    <w:rsid w:val="00811A23"/>
    <w:rsid w:val="00812D3F"/>
    <w:rsid w:val="00813019"/>
    <w:rsid w:val="008147DF"/>
    <w:rsid w:val="00814882"/>
    <w:rsid w:val="008148CE"/>
    <w:rsid w:val="00814E2B"/>
    <w:rsid w:val="00815085"/>
    <w:rsid w:val="0081645B"/>
    <w:rsid w:val="00816C91"/>
    <w:rsid w:val="008203B7"/>
    <w:rsid w:val="008216AC"/>
    <w:rsid w:val="00821BFA"/>
    <w:rsid w:val="00822364"/>
    <w:rsid w:val="008225F2"/>
    <w:rsid w:val="0082296A"/>
    <w:rsid w:val="008236E3"/>
    <w:rsid w:val="00824615"/>
    <w:rsid w:val="0082530D"/>
    <w:rsid w:val="008266F2"/>
    <w:rsid w:val="00826D37"/>
    <w:rsid w:val="008279CB"/>
    <w:rsid w:val="00830014"/>
    <w:rsid w:val="0083092E"/>
    <w:rsid w:val="008313DD"/>
    <w:rsid w:val="008319B0"/>
    <w:rsid w:val="00831C67"/>
    <w:rsid w:val="00832C7E"/>
    <w:rsid w:val="00833139"/>
    <w:rsid w:val="00834ACA"/>
    <w:rsid w:val="00835956"/>
    <w:rsid w:val="00835BA0"/>
    <w:rsid w:val="00836580"/>
    <w:rsid w:val="008365F9"/>
    <w:rsid w:val="00836B8B"/>
    <w:rsid w:val="00837015"/>
    <w:rsid w:val="0083745A"/>
    <w:rsid w:val="00837903"/>
    <w:rsid w:val="00837C0D"/>
    <w:rsid w:val="00837FC9"/>
    <w:rsid w:val="00840CBC"/>
    <w:rsid w:val="00840ED4"/>
    <w:rsid w:val="00841C4D"/>
    <w:rsid w:val="008428B8"/>
    <w:rsid w:val="00842941"/>
    <w:rsid w:val="00842A09"/>
    <w:rsid w:val="008431F1"/>
    <w:rsid w:val="0084378D"/>
    <w:rsid w:val="00843AED"/>
    <w:rsid w:val="00845A3C"/>
    <w:rsid w:val="00845D63"/>
    <w:rsid w:val="00850888"/>
    <w:rsid w:val="00850B6A"/>
    <w:rsid w:val="00851B70"/>
    <w:rsid w:val="00851E04"/>
    <w:rsid w:val="0085275E"/>
    <w:rsid w:val="00852B7C"/>
    <w:rsid w:val="00852E52"/>
    <w:rsid w:val="00853005"/>
    <w:rsid w:val="0085376A"/>
    <w:rsid w:val="0085385C"/>
    <w:rsid w:val="00854AEC"/>
    <w:rsid w:val="008553A8"/>
    <w:rsid w:val="00856B3C"/>
    <w:rsid w:val="00856C95"/>
    <w:rsid w:val="0085706B"/>
    <w:rsid w:val="00857554"/>
    <w:rsid w:val="0086006E"/>
    <w:rsid w:val="00860DFE"/>
    <w:rsid w:val="008612D3"/>
    <w:rsid w:val="00861594"/>
    <w:rsid w:val="00862639"/>
    <w:rsid w:val="00862673"/>
    <w:rsid w:val="00862693"/>
    <w:rsid w:val="00862CBF"/>
    <w:rsid w:val="00863B37"/>
    <w:rsid w:val="00865275"/>
    <w:rsid w:val="008664ED"/>
    <w:rsid w:val="0087084E"/>
    <w:rsid w:val="00870BFE"/>
    <w:rsid w:val="00870D68"/>
    <w:rsid w:val="00870FAF"/>
    <w:rsid w:val="0087278B"/>
    <w:rsid w:val="008728DB"/>
    <w:rsid w:val="00872ECA"/>
    <w:rsid w:val="008731FE"/>
    <w:rsid w:val="00873256"/>
    <w:rsid w:val="0087364D"/>
    <w:rsid w:val="00873A7F"/>
    <w:rsid w:val="00873B81"/>
    <w:rsid w:val="008748D5"/>
    <w:rsid w:val="00874DD1"/>
    <w:rsid w:val="00875BCD"/>
    <w:rsid w:val="0087635F"/>
    <w:rsid w:val="00876B7C"/>
    <w:rsid w:val="00877679"/>
    <w:rsid w:val="0088028B"/>
    <w:rsid w:val="00882245"/>
    <w:rsid w:val="00882C0E"/>
    <w:rsid w:val="008831B2"/>
    <w:rsid w:val="0088335D"/>
    <w:rsid w:val="00883539"/>
    <w:rsid w:val="00883735"/>
    <w:rsid w:val="00883A09"/>
    <w:rsid w:val="00884439"/>
    <w:rsid w:val="00884B71"/>
    <w:rsid w:val="00885A32"/>
    <w:rsid w:val="00885C54"/>
    <w:rsid w:val="008871A1"/>
    <w:rsid w:val="00887697"/>
    <w:rsid w:val="008879C9"/>
    <w:rsid w:val="008911D0"/>
    <w:rsid w:val="0089174C"/>
    <w:rsid w:val="0089418C"/>
    <w:rsid w:val="00894DC0"/>
    <w:rsid w:val="00895521"/>
    <w:rsid w:val="00895DEF"/>
    <w:rsid w:val="0089621E"/>
    <w:rsid w:val="0089642D"/>
    <w:rsid w:val="00896B08"/>
    <w:rsid w:val="00896F05"/>
    <w:rsid w:val="00896F50"/>
    <w:rsid w:val="008A080B"/>
    <w:rsid w:val="008A1079"/>
    <w:rsid w:val="008A1607"/>
    <w:rsid w:val="008A1C64"/>
    <w:rsid w:val="008A23CD"/>
    <w:rsid w:val="008A30A6"/>
    <w:rsid w:val="008A3769"/>
    <w:rsid w:val="008A3B79"/>
    <w:rsid w:val="008A42EA"/>
    <w:rsid w:val="008A511C"/>
    <w:rsid w:val="008A54EB"/>
    <w:rsid w:val="008A579C"/>
    <w:rsid w:val="008A57EE"/>
    <w:rsid w:val="008A6373"/>
    <w:rsid w:val="008A67D3"/>
    <w:rsid w:val="008A6E1F"/>
    <w:rsid w:val="008A6EE2"/>
    <w:rsid w:val="008A7632"/>
    <w:rsid w:val="008A7FB3"/>
    <w:rsid w:val="008A7FEC"/>
    <w:rsid w:val="008B05FF"/>
    <w:rsid w:val="008B0F4C"/>
    <w:rsid w:val="008B10D9"/>
    <w:rsid w:val="008B15C0"/>
    <w:rsid w:val="008B18AC"/>
    <w:rsid w:val="008B196E"/>
    <w:rsid w:val="008B1CBA"/>
    <w:rsid w:val="008B2BB5"/>
    <w:rsid w:val="008B3782"/>
    <w:rsid w:val="008B3ACB"/>
    <w:rsid w:val="008B44A9"/>
    <w:rsid w:val="008B491C"/>
    <w:rsid w:val="008B5849"/>
    <w:rsid w:val="008B5A11"/>
    <w:rsid w:val="008B6675"/>
    <w:rsid w:val="008C042E"/>
    <w:rsid w:val="008C0ACD"/>
    <w:rsid w:val="008C357E"/>
    <w:rsid w:val="008C3C4B"/>
    <w:rsid w:val="008C43CE"/>
    <w:rsid w:val="008C6F65"/>
    <w:rsid w:val="008D0A45"/>
    <w:rsid w:val="008D1B17"/>
    <w:rsid w:val="008D3341"/>
    <w:rsid w:val="008D377E"/>
    <w:rsid w:val="008D38FF"/>
    <w:rsid w:val="008D45FB"/>
    <w:rsid w:val="008D4760"/>
    <w:rsid w:val="008D482D"/>
    <w:rsid w:val="008D4AFD"/>
    <w:rsid w:val="008D5007"/>
    <w:rsid w:val="008D61D1"/>
    <w:rsid w:val="008D634C"/>
    <w:rsid w:val="008D6DD4"/>
    <w:rsid w:val="008D7420"/>
    <w:rsid w:val="008D7F5E"/>
    <w:rsid w:val="008E04B8"/>
    <w:rsid w:val="008E0729"/>
    <w:rsid w:val="008E09D8"/>
    <w:rsid w:val="008E1C23"/>
    <w:rsid w:val="008E2A9A"/>
    <w:rsid w:val="008E2EAA"/>
    <w:rsid w:val="008E2EC3"/>
    <w:rsid w:val="008E2F5F"/>
    <w:rsid w:val="008E39E6"/>
    <w:rsid w:val="008E4DAC"/>
    <w:rsid w:val="008E5058"/>
    <w:rsid w:val="008E561F"/>
    <w:rsid w:val="008E57B9"/>
    <w:rsid w:val="008E68DC"/>
    <w:rsid w:val="008E6D53"/>
    <w:rsid w:val="008F029D"/>
    <w:rsid w:val="008F175F"/>
    <w:rsid w:val="008F2A95"/>
    <w:rsid w:val="008F3073"/>
    <w:rsid w:val="008F3F75"/>
    <w:rsid w:val="008F4ED2"/>
    <w:rsid w:val="008F59C2"/>
    <w:rsid w:val="008F5B40"/>
    <w:rsid w:val="008F6903"/>
    <w:rsid w:val="008F725D"/>
    <w:rsid w:val="008F74B1"/>
    <w:rsid w:val="008F7870"/>
    <w:rsid w:val="008F7974"/>
    <w:rsid w:val="008F7ACE"/>
    <w:rsid w:val="00900894"/>
    <w:rsid w:val="00900957"/>
    <w:rsid w:val="00900F15"/>
    <w:rsid w:val="009025E3"/>
    <w:rsid w:val="009027E8"/>
    <w:rsid w:val="00902ACF"/>
    <w:rsid w:val="00902DD4"/>
    <w:rsid w:val="00903A5F"/>
    <w:rsid w:val="009041B0"/>
    <w:rsid w:val="00904907"/>
    <w:rsid w:val="00904DF2"/>
    <w:rsid w:val="0090558B"/>
    <w:rsid w:val="00905854"/>
    <w:rsid w:val="00905D6E"/>
    <w:rsid w:val="00906277"/>
    <w:rsid w:val="009067C3"/>
    <w:rsid w:val="009110ED"/>
    <w:rsid w:val="0091128B"/>
    <w:rsid w:val="00912A6B"/>
    <w:rsid w:val="009137F6"/>
    <w:rsid w:val="00913AEF"/>
    <w:rsid w:val="00914248"/>
    <w:rsid w:val="009143C5"/>
    <w:rsid w:val="009153E6"/>
    <w:rsid w:val="00916B0E"/>
    <w:rsid w:val="0091748D"/>
    <w:rsid w:val="0091784D"/>
    <w:rsid w:val="009200DB"/>
    <w:rsid w:val="0092047F"/>
    <w:rsid w:val="00920B19"/>
    <w:rsid w:val="0092100B"/>
    <w:rsid w:val="0092508E"/>
    <w:rsid w:val="00925214"/>
    <w:rsid w:val="00926575"/>
    <w:rsid w:val="00927A88"/>
    <w:rsid w:val="0093018D"/>
    <w:rsid w:val="00930795"/>
    <w:rsid w:val="00930FE6"/>
    <w:rsid w:val="009310CF"/>
    <w:rsid w:val="00931B60"/>
    <w:rsid w:val="00932547"/>
    <w:rsid w:val="009331A1"/>
    <w:rsid w:val="0093389B"/>
    <w:rsid w:val="00933C5D"/>
    <w:rsid w:val="00933E0F"/>
    <w:rsid w:val="009355EC"/>
    <w:rsid w:val="00937159"/>
    <w:rsid w:val="00937A4E"/>
    <w:rsid w:val="00937C41"/>
    <w:rsid w:val="009406F7"/>
    <w:rsid w:val="00941397"/>
    <w:rsid w:val="009417D9"/>
    <w:rsid w:val="00941F10"/>
    <w:rsid w:val="0094247C"/>
    <w:rsid w:val="00942989"/>
    <w:rsid w:val="009432AB"/>
    <w:rsid w:val="009435EF"/>
    <w:rsid w:val="0094371A"/>
    <w:rsid w:val="00943C89"/>
    <w:rsid w:val="00943F3A"/>
    <w:rsid w:val="0094548B"/>
    <w:rsid w:val="00946852"/>
    <w:rsid w:val="00946E07"/>
    <w:rsid w:val="00947571"/>
    <w:rsid w:val="00947BFC"/>
    <w:rsid w:val="00947CA1"/>
    <w:rsid w:val="009505F0"/>
    <w:rsid w:val="0095078B"/>
    <w:rsid w:val="00951FD2"/>
    <w:rsid w:val="009529C4"/>
    <w:rsid w:val="00954C0F"/>
    <w:rsid w:val="00955427"/>
    <w:rsid w:val="00955FB9"/>
    <w:rsid w:val="00955FE3"/>
    <w:rsid w:val="009569CD"/>
    <w:rsid w:val="00960132"/>
    <w:rsid w:val="009624E0"/>
    <w:rsid w:val="0096305E"/>
    <w:rsid w:val="009639F7"/>
    <w:rsid w:val="00963F75"/>
    <w:rsid w:val="009645E0"/>
    <w:rsid w:val="0096577D"/>
    <w:rsid w:val="00965EA7"/>
    <w:rsid w:val="00965F24"/>
    <w:rsid w:val="009662E2"/>
    <w:rsid w:val="0096654C"/>
    <w:rsid w:val="0097022E"/>
    <w:rsid w:val="0097073C"/>
    <w:rsid w:val="00970A7F"/>
    <w:rsid w:val="00970D24"/>
    <w:rsid w:val="009715FE"/>
    <w:rsid w:val="00972875"/>
    <w:rsid w:val="009729B3"/>
    <w:rsid w:val="00972BA8"/>
    <w:rsid w:val="00972CF5"/>
    <w:rsid w:val="009732EB"/>
    <w:rsid w:val="0097388C"/>
    <w:rsid w:val="00973AE8"/>
    <w:rsid w:val="00974666"/>
    <w:rsid w:val="00974884"/>
    <w:rsid w:val="009748EB"/>
    <w:rsid w:val="0097593E"/>
    <w:rsid w:val="00976A2A"/>
    <w:rsid w:val="00977DC4"/>
    <w:rsid w:val="009805E2"/>
    <w:rsid w:val="00980B43"/>
    <w:rsid w:val="00982A5E"/>
    <w:rsid w:val="00982CEE"/>
    <w:rsid w:val="00983A90"/>
    <w:rsid w:val="009843E3"/>
    <w:rsid w:val="00985350"/>
    <w:rsid w:val="00985498"/>
    <w:rsid w:val="0098614E"/>
    <w:rsid w:val="00986657"/>
    <w:rsid w:val="00986DB6"/>
    <w:rsid w:val="00987417"/>
    <w:rsid w:val="00987A0D"/>
    <w:rsid w:val="009900D1"/>
    <w:rsid w:val="00990247"/>
    <w:rsid w:val="00991C39"/>
    <w:rsid w:val="009925C6"/>
    <w:rsid w:val="00992693"/>
    <w:rsid w:val="00993D19"/>
    <w:rsid w:val="009945D9"/>
    <w:rsid w:val="00995897"/>
    <w:rsid w:val="00995CCF"/>
    <w:rsid w:val="00996CF6"/>
    <w:rsid w:val="009975F9"/>
    <w:rsid w:val="00997A25"/>
    <w:rsid w:val="00997E4D"/>
    <w:rsid w:val="009A1358"/>
    <w:rsid w:val="009A2253"/>
    <w:rsid w:val="009A2C1D"/>
    <w:rsid w:val="009A3558"/>
    <w:rsid w:val="009A563E"/>
    <w:rsid w:val="009A5D65"/>
    <w:rsid w:val="009A66A5"/>
    <w:rsid w:val="009A73DD"/>
    <w:rsid w:val="009A7FA0"/>
    <w:rsid w:val="009B10DD"/>
    <w:rsid w:val="009B167F"/>
    <w:rsid w:val="009B3BA7"/>
    <w:rsid w:val="009B3C40"/>
    <w:rsid w:val="009B4C3A"/>
    <w:rsid w:val="009B57EF"/>
    <w:rsid w:val="009B5DAF"/>
    <w:rsid w:val="009B6096"/>
    <w:rsid w:val="009B6115"/>
    <w:rsid w:val="009B61A3"/>
    <w:rsid w:val="009B6208"/>
    <w:rsid w:val="009B68F2"/>
    <w:rsid w:val="009C0E67"/>
    <w:rsid w:val="009C14F8"/>
    <w:rsid w:val="009C23E7"/>
    <w:rsid w:val="009C256C"/>
    <w:rsid w:val="009C36AD"/>
    <w:rsid w:val="009C3B95"/>
    <w:rsid w:val="009C4257"/>
    <w:rsid w:val="009C482D"/>
    <w:rsid w:val="009C49FD"/>
    <w:rsid w:val="009C4D5E"/>
    <w:rsid w:val="009C4FDE"/>
    <w:rsid w:val="009C59D1"/>
    <w:rsid w:val="009C6578"/>
    <w:rsid w:val="009C6B43"/>
    <w:rsid w:val="009C6BCF"/>
    <w:rsid w:val="009C7BA7"/>
    <w:rsid w:val="009D02F3"/>
    <w:rsid w:val="009D14FA"/>
    <w:rsid w:val="009D177C"/>
    <w:rsid w:val="009D1914"/>
    <w:rsid w:val="009D1A08"/>
    <w:rsid w:val="009D1B79"/>
    <w:rsid w:val="009D2072"/>
    <w:rsid w:val="009D216B"/>
    <w:rsid w:val="009D26CD"/>
    <w:rsid w:val="009D28CB"/>
    <w:rsid w:val="009D2A3F"/>
    <w:rsid w:val="009D30D2"/>
    <w:rsid w:val="009D4104"/>
    <w:rsid w:val="009D4391"/>
    <w:rsid w:val="009D46A4"/>
    <w:rsid w:val="009D49B1"/>
    <w:rsid w:val="009D4BC3"/>
    <w:rsid w:val="009D51AB"/>
    <w:rsid w:val="009D5835"/>
    <w:rsid w:val="009D6280"/>
    <w:rsid w:val="009D678D"/>
    <w:rsid w:val="009D6922"/>
    <w:rsid w:val="009D74CB"/>
    <w:rsid w:val="009E0390"/>
    <w:rsid w:val="009E09BD"/>
    <w:rsid w:val="009E2301"/>
    <w:rsid w:val="009E38C1"/>
    <w:rsid w:val="009E3A44"/>
    <w:rsid w:val="009E3F4B"/>
    <w:rsid w:val="009E4022"/>
    <w:rsid w:val="009E45A1"/>
    <w:rsid w:val="009E4B1A"/>
    <w:rsid w:val="009E52E0"/>
    <w:rsid w:val="009E5396"/>
    <w:rsid w:val="009E5B0D"/>
    <w:rsid w:val="009E6096"/>
    <w:rsid w:val="009E7C22"/>
    <w:rsid w:val="009F088E"/>
    <w:rsid w:val="009F14D7"/>
    <w:rsid w:val="009F1A7F"/>
    <w:rsid w:val="009F2C18"/>
    <w:rsid w:val="009F2EA4"/>
    <w:rsid w:val="009F362C"/>
    <w:rsid w:val="009F3C26"/>
    <w:rsid w:val="009F3D07"/>
    <w:rsid w:val="009F4683"/>
    <w:rsid w:val="009F46E8"/>
    <w:rsid w:val="009F573E"/>
    <w:rsid w:val="009F6843"/>
    <w:rsid w:val="009F7572"/>
    <w:rsid w:val="009F7C6C"/>
    <w:rsid w:val="00A00062"/>
    <w:rsid w:val="00A0009C"/>
    <w:rsid w:val="00A00B3F"/>
    <w:rsid w:val="00A012A0"/>
    <w:rsid w:val="00A01F0F"/>
    <w:rsid w:val="00A02A23"/>
    <w:rsid w:val="00A031F3"/>
    <w:rsid w:val="00A0333A"/>
    <w:rsid w:val="00A045C1"/>
    <w:rsid w:val="00A04FD7"/>
    <w:rsid w:val="00A0504B"/>
    <w:rsid w:val="00A10F52"/>
    <w:rsid w:val="00A112C2"/>
    <w:rsid w:val="00A123A5"/>
    <w:rsid w:val="00A1258E"/>
    <w:rsid w:val="00A12889"/>
    <w:rsid w:val="00A13778"/>
    <w:rsid w:val="00A13A2D"/>
    <w:rsid w:val="00A13E61"/>
    <w:rsid w:val="00A14E44"/>
    <w:rsid w:val="00A151D2"/>
    <w:rsid w:val="00A161B7"/>
    <w:rsid w:val="00A204B8"/>
    <w:rsid w:val="00A226D0"/>
    <w:rsid w:val="00A26547"/>
    <w:rsid w:val="00A26E49"/>
    <w:rsid w:val="00A27436"/>
    <w:rsid w:val="00A31D4D"/>
    <w:rsid w:val="00A31E86"/>
    <w:rsid w:val="00A32D2A"/>
    <w:rsid w:val="00A32DFE"/>
    <w:rsid w:val="00A3328C"/>
    <w:rsid w:val="00A34102"/>
    <w:rsid w:val="00A349AE"/>
    <w:rsid w:val="00A353C8"/>
    <w:rsid w:val="00A356F6"/>
    <w:rsid w:val="00A372EB"/>
    <w:rsid w:val="00A4219C"/>
    <w:rsid w:val="00A43269"/>
    <w:rsid w:val="00A4358B"/>
    <w:rsid w:val="00A437E1"/>
    <w:rsid w:val="00A4382E"/>
    <w:rsid w:val="00A43C89"/>
    <w:rsid w:val="00A44297"/>
    <w:rsid w:val="00A442BA"/>
    <w:rsid w:val="00A4449A"/>
    <w:rsid w:val="00A44793"/>
    <w:rsid w:val="00A44C46"/>
    <w:rsid w:val="00A44FAD"/>
    <w:rsid w:val="00A45AA4"/>
    <w:rsid w:val="00A45EAA"/>
    <w:rsid w:val="00A46BE5"/>
    <w:rsid w:val="00A50690"/>
    <w:rsid w:val="00A510DB"/>
    <w:rsid w:val="00A51320"/>
    <w:rsid w:val="00A51611"/>
    <w:rsid w:val="00A52F1B"/>
    <w:rsid w:val="00A53C0F"/>
    <w:rsid w:val="00A53D2A"/>
    <w:rsid w:val="00A545C7"/>
    <w:rsid w:val="00A5498E"/>
    <w:rsid w:val="00A55048"/>
    <w:rsid w:val="00A556E5"/>
    <w:rsid w:val="00A5655D"/>
    <w:rsid w:val="00A57E89"/>
    <w:rsid w:val="00A610F7"/>
    <w:rsid w:val="00A61F35"/>
    <w:rsid w:val="00A62262"/>
    <w:rsid w:val="00A631B3"/>
    <w:rsid w:val="00A646D2"/>
    <w:rsid w:val="00A64D58"/>
    <w:rsid w:val="00A650D5"/>
    <w:rsid w:val="00A659D4"/>
    <w:rsid w:val="00A66253"/>
    <w:rsid w:val="00A6759C"/>
    <w:rsid w:val="00A67F40"/>
    <w:rsid w:val="00A70894"/>
    <w:rsid w:val="00A70B9D"/>
    <w:rsid w:val="00A72F20"/>
    <w:rsid w:val="00A735CD"/>
    <w:rsid w:val="00A73AA3"/>
    <w:rsid w:val="00A73E22"/>
    <w:rsid w:val="00A74654"/>
    <w:rsid w:val="00A75604"/>
    <w:rsid w:val="00A75BFF"/>
    <w:rsid w:val="00A7607C"/>
    <w:rsid w:val="00A76596"/>
    <w:rsid w:val="00A77C1E"/>
    <w:rsid w:val="00A800C8"/>
    <w:rsid w:val="00A81E95"/>
    <w:rsid w:val="00A831F1"/>
    <w:rsid w:val="00A83567"/>
    <w:rsid w:val="00A835A9"/>
    <w:rsid w:val="00A83677"/>
    <w:rsid w:val="00A83A07"/>
    <w:rsid w:val="00A84421"/>
    <w:rsid w:val="00A851D7"/>
    <w:rsid w:val="00A8537F"/>
    <w:rsid w:val="00A855D9"/>
    <w:rsid w:val="00A861F5"/>
    <w:rsid w:val="00A86411"/>
    <w:rsid w:val="00A865C2"/>
    <w:rsid w:val="00A86B60"/>
    <w:rsid w:val="00A87B45"/>
    <w:rsid w:val="00A87F14"/>
    <w:rsid w:val="00A90159"/>
    <w:rsid w:val="00A9041A"/>
    <w:rsid w:val="00A90B4A"/>
    <w:rsid w:val="00A91E0E"/>
    <w:rsid w:val="00A93C7D"/>
    <w:rsid w:val="00A9404A"/>
    <w:rsid w:val="00A94D52"/>
    <w:rsid w:val="00A95497"/>
    <w:rsid w:val="00A95CCA"/>
    <w:rsid w:val="00A95F01"/>
    <w:rsid w:val="00A96AD8"/>
    <w:rsid w:val="00AA037E"/>
    <w:rsid w:val="00AA07BF"/>
    <w:rsid w:val="00AA0D6B"/>
    <w:rsid w:val="00AA0E43"/>
    <w:rsid w:val="00AA1384"/>
    <w:rsid w:val="00AA1B18"/>
    <w:rsid w:val="00AA1D94"/>
    <w:rsid w:val="00AA3336"/>
    <w:rsid w:val="00AA33CB"/>
    <w:rsid w:val="00AA4E1E"/>
    <w:rsid w:val="00AA5608"/>
    <w:rsid w:val="00AA5C01"/>
    <w:rsid w:val="00AA5E5C"/>
    <w:rsid w:val="00AA65E8"/>
    <w:rsid w:val="00AA6D62"/>
    <w:rsid w:val="00AA6DDA"/>
    <w:rsid w:val="00AB004F"/>
    <w:rsid w:val="00AB1299"/>
    <w:rsid w:val="00AB172F"/>
    <w:rsid w:val="00AB18D6"/>
    <w:rsid w:val="00AB2254"/>
    <w:rsid w:val="00AB25C4"/>
    <w:rsid w:val="00AB3653"/>
    <w:rsid w:val="00AB36E7"/>
    <w:rsid w:val="00AB381E"/>
    <w:rsid w:val="00AB3FCD"/>
    <w:rsid w:val="00AB4180"/>
    <w:rsid w:val="00AB41EC"/>
    <w:rsid w:val="00AB42FF"/>
    <w:rsid w:val="00AB4803"/>
    <w:rsid w:val="00AB4E61"/>
    <w:rsid w:val="00AB5024"/>
    <w:rsid w:val="00AB5C1C"/>
    <w:rsid w:val="00AB5D89"/>
    <w:rsid w:val="00AB6682"/>
    <w:rsid w:val="00AB7BC6"/>
    <w:rsid w:val="00AB7FC7"/>
    <w:rsid w:val="00AC0BE5"/>
    <w:rsid w:val="00AC1111"/>
    <w:rsid w:val="00AC2B86"/>
    <w:rsid w:val="00AC4BA1"/>
    <w:rsid w:val="00AC4C36"/>
    <w:rsid w:val="00AC6F53"/>
    <w:rsid w:val="00AC7304"/>
    <w:rsid w:val="00AC7CFF"/>
    <w:rsid w:val="00AD07F7"/>
    <w:rsid w:val="00AD0DFD"/>
    <w:rsid w:val="00AD19BC"/>
    <w:rsid w:val="00AD2257"/>
    <w:rsid w:val="00AD344D"/>
    <w:rsid w:val="00AD441F"/>
    <w:rsid w:val="00AD4975"/>
    <w:rsid w:val="00AD4EFE"/>
    <w:rsid w:val="00AD5199"/>
    <w:rsid w:val="00AD526C"/>
    <w:rsid w:val="00AD5805"/>
    <w:rsid w:val="00AD5E96"/>
    <w:rsid w:val="00AD6891"/>
    <w:rsid w:val="00AD7174"/>
    <w:rsid w:val="00AD7712"/>
    <w:rsid w:val="00AD7BC0"/>
    <w:rsid w:val="00AD7EFA"/>
    <w:rsid w:val="00AE139C"/>
    <w:rsid w:val="00AE1567"/>
    <w:rsid w:val="00AE1B6D"/>
    <w:rsid w:val="00AE217B"/>
    <w:rsid w:val="00AE2F28"/>
    <w:rsid w:val="00AE2F4D"/>
    <w:rsid w:val="00AE2F5F"/>
    <w:rsid w:val="00AE41B1"/>
    <w:rsid w:val="00AE49B6"/>
    <w:rsid w:val="00AE6ED7"/>
    <w:rsid w:val="00AE70F1"/>
    <w:rsid w:val="00AE73E1"/>
    <w:rsid w:val="00AF1A78"/>
    <w:rsid w:val="00AF2B6B"/>
    <w:rsid w:val="00AF313D"/>
    <w:rsid w:val="00AF4353"/>
    <w:rsid w:val="00AF5004"/>
    <w:rsid w:val="00AF55B4"/>
    <w:rsid w:val="00AF5ACC"/>
    <w:rsid w:val="00AF6137"/>
    <w:rsid w:val="00AF6AA1"/>
    <w:rsid w:val="00AF6D15"/>
    <w:rsid w:val="00AF6FEF"/>
    <w:rsid w:val="00AF7138"/>
    <w:rsid w:val="00AF736E"/>
    <w:rsid w:val="00AF76B8"/>
    <w:rsid w:val="00B007B9"/>
    <w:rsid w:val="00B00A42"/>
    <w:rsid w:val="00B00A8B"/>
    <w:rsid w:val="00B01507"/>
    <w:rsid w:val="00B0300A"/>
    <w:rsid w:val="00B0308E"/>
    <w:rsid w:val="00B03109"/>
    <w:rsid w:val="00B03299"/>
    <w:rsid w:val="00B032B6"/>
    <w:rsid w:val="00B04350"/>
    <w:rsid w:val="00B04C8F"/>
    <w:rsid w:val="00B04C96"/>
    <w:rsid w:val="00B05A2B"/>
    <w:rsid w:val="00B05F63"/>
    <w:rsid w:val="00B075A8"/>
    <w:rsid w:val="00B07727"/>
    <w:rsid w:val="00B07EC8"/>
    <w:rsid w:val="00B10C99"/>
    <w:rsid w:val="00B10D70"/>
    <w:rsid w:val="00B115E1"/>
    <w:rsid w:val="00B11B22"/>
    <w:rsid w:val="00B11B80"/>
    <w:rsid w:val="00B11DF1"/>
    <w:rsid w:val="00B14314"/>
    <w:rsid w:val="00B1577F"/>
    <w:rsid w:val="00B16013"/>
    <w:rsid w:val="00B16333"/>
    <w:rsid w:val="00B1667F"/>
    <w:rsid w:val="00B16D77"/>
    <w:rsid w:val="00B16F45"/>
    <w:rsid w:val="00B20CF4"/>
    <w:rsid w:val="00B216D2"/>
    <w:rsid w:val="00B22D6C"/>
    <w:rsid w:val="00B237E4"/>
    <w:rsid w:val="00B24A9F"/>
    <w:rsid w:val="00B24E29"/>
    <w:rsid w:val="00B26230"/>
    <w:rsid w:val="00B27DFB"/>
    <w:rsid w:val="00B27EE5"/>
    <w:rsid w:val="00B305CC"/>
    <w:rsid w:val="00B30964"/>
    <w:rsid w:val="00B32309"/>
    <w:rsid w:val="00B32C56"/>
    <w:rsid w:val="00B3327A"/>
    <w:rsid w:val="00B33339"/>
    <w:rsid w:val="00B34481"/>
    <w:rsid w:val="00B34ADA"/>
    <w:rsid w:val="00B34AFF"/>
    <w:rsid w:val="00B3555E"/>
    <w:rsid w:val="00B355B6"/>
    <w:rsid w:val="00B36214"/>
    <w:rsid w:val="00B37469"/>
    <w:rsid w:val="00B37BC5"/>
    <w:rsid w:val="00B37FD5"/>
    <w:rsid w:val="00B40E66"/>
    <w:rsid w:val="00B4138C"/>
    <w:rsid w:val="00B413F5"/>
    <w:rsid w:val="00B4258E"/>
    <w:rsid w:val="00B425C0"/>
    <w:rsid w:val="00B42AE1"/>
    <w:rsid w:val="00B42B4F"/>
    <w:rsid w:val="00B42B6F"/>
    <w:rsid w:val="00B43D7C"/>
    <w:rsid w:val="00B43FAA"/>
    <w:rsid w:val="00B44B8A"/>
    <w:rsid w:val="00B451C1"/>
    <w:rsid w:val="00B455E5"/>
    <w:rsid w:val="00B45693"/>
    <w:rsid w:val="00B456A4"/>
    <w:rsid w:val="00B45901"/>
    <w:rsid w:val="00B4637A"/>
    <w:rsid w:val="00B466BD"/>
    <w:rsid w:val="00B46B3A"/>
    <w:rsid w:val="00B4739E"/>
    <w:rsid w:val="00B4754F"/>
    <w:rsid w:val="00B476BB"/>
    <w:rsid w:val="00B47A70"/>
    <w:rsid w:val="00B47E63"/>
    <w:rsid w:val="00B50C6E"/>
    <w:rsid w:val="00B51319"/>
    <w:rsid w:val="00B51B8E"/>
    <w:rsid w:val="00B51BEC"/>
    <w:rsid w:val="00B51D3C"/>
    <w:rsid w:val="00B52210"/>
    <w:rsid w:val="00B523A7"/>
    <w:rsid w:val="00B526F9"/>
    <w:rsid w:val="00B53020"/>
    <w:rsid w:val="00B53185"/>
    <w:rsid w:val="00B54797"/>
    <w:rsid w:val="00B54A93"/>
    <w:rsid w:val="00B54D97"/>
    <w:rsid w:val="00B56B13"/>
    <w:rsid w:val="00B56CF6"/>
    <w:rsid w:val="00B56FE8"/>
    <w:rsid w:val="00B5771D"/>
    <w:rsid w:val="00B608A4"/>
    <w:rsid w:val="00B60B0B"/>
    <w:rsid w:val="00B615E5"/>
    <w:rsid w:val="00B61F9E"/>
    <w:rsid w:val="00B633B6"/>
    <w:rsid w:val="00B63706"/>
    <w:rsid w:val="00B6390E"/>
    <w:rsid w:val="00B64381"/>
    <w:rsid w:val="00B64711"/>
    <w:rsid w:val="00B64DDB"/>
    <w:rsid w:val="00B661D6"/>
    <w:rsid w:val="00B665AA"/>
    <w:rsid w:val="00B678B3"/>
    <w:rsid w:val="00B67D76"/>
    <w:rsid w:val="00B71579"/>
    <w:rsid w:val="00B71B53"/>
    <w:rsid w:val="00B7319D"/>
    <w:rsid w:val="00B737C5"/>
    <w:rsid w:val="00B74AA3"/>
    <w:rsid w:val="00B75BC7"/>
    <w:rsid w:val="00B77068"/>
    <w:rsid w:val="00B77146"/>
    <w:rsid w:val="00B81503"/>
    <w:rsid w:val="00B818FF"/>
    <w:rsid w:val="00B83159"/>
    <w:rsid w:val="00B839DA"/>
    <w:rsid w:val="00B83E20"/>
    <w:rsid w:val="00B84EED"/>
    <w:rsid w:val="00B85269"/>
    <w:rsid w:val="00B858DC"/>
    <w:rsid w:val="00B874AF"/>
    <w:rsid w:val="00B87B97"/>
    <w:rsid w:val="00B90189"/>
    <w:rsid w:val="00B9293B"/>
    <w:rsid w:val="00B9334C"/>
    <w:rsid w:val="00B93D11"/>
    <w:rsid w:val="00B9405A"/>
    <w:rsid w:val="00B94B86"/>
    <w:rsid w:val="00B95692"/>
    <w:rsid w:val="00B958D4"/>
    <w:rsid w:val="00B95CE3"/>
    <w:rsid w:val="00B9663A"/>
    <w:rsid w:val="00B969BD"/>
    <w:rsid w:val="00B96FBD"/>
    <w:rsid w:val="00B97AA0"/>
    <w:rsid w:val="00BA11FA"/>
    <w:rsid w:val="00BA1982"/>
    <w:rsid w:val="00BA1AA8"/>
    <w:rsid w:val="00BA1AE3"/>
    <w:rsid w:val="00BA250E"/>
    <w:rsid w:val="00BA40B3"/>
    <w:rsid w:val="00BA44D8"/>
    <w:rsid w:val="00BA467D"/>
    <w:rsid w:val="00BA499E"/>
    <w:rsid w:val="00BA6B8A"/>
    <w:rsid w:val="00BA7356"/>
    <w:rsid w:val="00BB0E8E"/>
    <w:rsid w:val="00BB1336"/>
    <w:rsid w:val="00BB1CA9"/>
    <w:rsid w:val="00BB2AF7"/>
    <w:rsid w:val="00BB33B4"/>
    <w:rsid w:val="00BB3ED5"/>
    <w:rsid w:val="00BB4182"/>
    <w:rsid w:val="00BB4900"/>
    <w:rsid w:val="00BB51E5"/>
    <w:rsid w:val="00BB560A"/>
    <w:rsid w:val="00BB5C20"/>
    <w:rsid w:val="00BC33FC"/>
    <w:rsid w:val="00BC34CB"/>
    <w:rsid w:val="00BC3E7F"/>
    <w:rsid w:val="00BC4DFA"/>
    <w:rsid w:val="00BC62FE"/>
    <w:rsid w:val="00BC631C"/>
    <w:rsid w:val="00BC780D"/>
    <w:rsid w:val="00BD01EB"/>
    <w:rsid w:val="00BD0A2B"/>
    <w:rsid w:val="00BD1562"/>
    <w:rsid w:val="00BD2F5E"/>
    <w:rsid w:val="00BD40E9"/>
    <w:rsid w:val="00BD4B54"/>
    <w:rsid w:val="00BD4FE5"/>
    <w:rsid w:val="00BD66A5"/>
    <w:rsid w:val="00BD76A1"/>
    <w:rsid w:val="00BE000E"/>
    <w:rsid w:val="00BE07C1"/>
    <w:rsid w:val="00BE07D3"/>
    <w:rsid w:val="00BE12B9"/>
    <w:rsid w:val="00BE1F4C"/>
    <w:rsid w:val="00BE27DD"/>
    <w:rsid w:val="00BE2BFB"/>
    <w:rsid w:val="00BE31B9"/>
    <w:rsid w:val="00BE3C70"/>
    <w:rsid w:val="00BE4184"/>
    <w:rsid w:val="00BE433A"/>
    <w:rsid w:val="00BE49C5"/>
    <w:rsid w:val="00BE5E98"/>
    <w:rsid w:val="00BE5FEE"/>
    <w:rsid w:val="00BE6148"/>
    <w:rsid w:val="00BE768E"/>
    <w:rsid w:val="00BF0343"/>
    <w:rsid w:val="00BF0BC7"/>
    <w:rsid w:val="00BF2CF8"/>
    <w:rsid w:val="00BF410C"/>
    <w:rsid w:val="00BF417E"/>
    <w:rsid w:val="00BF46A4"/>
    <w:rsid w:val="00BF4832"/>
    <w:rsid w:val="00BF5AE1"/>
    <w:rsid w:val="00BF6874"/>
    <w:rsid w:val="00BF6C5B"/>
    <w:rsid w:val="00C00565"/>
    <w:rsid w:val="00C00612"/>
    <w:rsid w:val="00C0214E"/>
    <w:rsid w:val="00C02A01"/>
    <w:rsid w:val="00C0375D"/>
    <w:rsid w:val="00C03A52"/>
    <w:rsid w:val="00C03E7D"/>
    <w:rsid w:val="00C04405"/>
    <w:rsid w:val="00C049AB"/>
    <w:rsid w:val="00C049D2"/>
    <w:rsid w:val="00C04CBF"/>
    <w:rsid w:val="00C058A7"/>
    <w:rsid w:val="00C06298"/>
    <w:rsid w:val="00C06CA7"/>
    <w:rsid w:val="00C06F74"/>
    <w:rsid w:val="00C07357"/>
    <w:rsid w:val="00C1079F"/>
    <w:rsid w:val="00C1086F"/>
    <w:rsid w:val="00C109E0"/>
    <w:rsid w:val="00C11A12"/>
    <w:rsid w:val="00C1203E"/>
    <w:rsid w:val="00C1249A"/>
    <w:rsid w:val="00C12A81"/>
    <w:rsid w:val="00C13113"/>
    <w:rsid w:val="00C13155"/>
    <w:rsid w:val="00C13882"/>
    <w:rsid w:val="00C145CD"/>
    <w:rsid w:val="00C1550B"/>
    <w:rsid w:val="00C15CBC"/>
    <w:rsid w:val="00C1681E"/>
    <w:rsid w:val="00C207FC"/>
    <w:rsid w:val="00C212CA"/>
    <w:rsid w:val="00C21BCA"/>
    <w:rsid w:val="00C238AF"/>
    <w:rsid w:val="00C25997"/>
    <w:rsid w:val="00C27DFD"/>
    <w:rsid w:val="00C303DE"/>
    <w:rsid w:val="00C30DCC"/>
    <w:rsid w:val="00C31ECD"/>
    <w:rsid w:val="00C33644"/>
    <w:rsid w:val="00C3445A"/>
    <w:rsid w:val="00C3465E"/>
    <w:rsid w:val="00C34751"/>
    <w:rsid w:val="00C35FB7"/>
    <w:rsid w:val="00C35FF5"/>
    <w:rsid w:val="00C36067"/>
    <w:rsid w:val="00C3626F"/>
    <w:rsid w:val="00C36A6A"/>
    <w:rsid w:val="00C37053"/>
    <w:rsid w:val="00C3730E"/>
    <w:rsid w:val="00C37ECA"/>
    <w:rsid w:val="00C413A5"/>
    <w:rsid w:val="00C415AF"/>
    <w:rsid w:val="00C418C8"/>
    <w:rsid w:val="00C41A1F"/>
    <w:rsid w:val="00C41D99"/>
    <w:rsid w:val="00C4278B"/>
    <w:rsid w:val="00C429F3"/>
    <w:rsid w:val="00C4342D"/>
    <w:rsid w:val="00C43ED3"/>
    <w:rsid w:val="00C45287"/>
    <w:rsid w:val="00C45C5E"/>
    <w:rsid w:val="00C46192"/>
    <w:rsid w:val="00C47EA5"/>
    <w:rsid w:val="00C501FF"/>
    <w:rsid w:val="00C5053A"/>
    <w:rsid w:val="00C50C4D"/>
    <w:rsid w:val="00C50C81"/>
    <w:rsid w:val="00C51156"/>
    <w:rsid w:val="00C51F36"/>
    <w:rsid w:val="00C51FAD"/>
    <w:rsid w:val="00C528E7"/>
    <w:rsid w:val="00C52BB7"/>
    <w:rsid w:val="00C530E2"/>
    <w:rsid w:val="00C532A3"/>
    <w:rsid w:val="00C533B6"/>
    <w:rsid w:val="00C54209"/>
    <w:rsid w:val="00C54EAB"/>
    <w:rsid w:val="00C550D7"/>
    <w:rsid w:val="00C56645"/>
    <w:rsid w:val="00C575DC"/>
    <w:rsid w:val="00C60E14"/>
    <w:rsid w:val="00C61196"/>
    <w:rsid w:val="00C615DF"/>
    <w:rsid w:val="00C631ED"/>
    <w:rsid w:val="00C6375A"/>
    <w:rsid w:val="00C6615D"/>
    <w:rsid w:val="00C67055"/>
    <w:rsid w:val="00C67F7D"/>
    <w:rsid w:val="00C70662"/>
    <w:rsid w:val="00C70C9F"/>
    <w:rsid w:val="00C70F5A"/>
    <w:rsid w:val="00C712DE"/>
    <w:rsid w:val="00C72608"/>
    <w:rsid w:val="00C72CA9"/>
    <w:rsid w:val="00C736C0"/>
    <w:rsid w:val="00C7419C"/>
    <w:rsid w:val="00C7434D"/>
    <w:rsid w:val="00C743D8"/>
    <w:rsid w:val="00C75110"/>
    <w:rsid w:val="00C759E0"/>
    <w:rsid w:val="00C76CE6"/>
    <w:rsid w:val="00C77712"/>
    <w:rsid w:val="00C77981"/>
    <w:rsid w:val="00C77DC9"/>
    <w:rsid w:val="00C77DFA"/>
    <w:rsid w:val="00C81430"/>
    <w:rsid w:val="00C819CC"/>
    <w:rsid w:val="00C82037"/>
    <w:rsid w:val="00C83599"/>
    <w:rsid w:val="00C83E99"/>
    <w:rsid w:val="00C85075"/>
    <w:rsid w:val="00C85F7C"/>
    <w:rsid w:val="00C869FB"/>
    <w:rsid w:val="00C86C17"/>
    <w:rsid w:val="00C86E43"/>
    <w:rsid w:val="00C870C4"/>
    <w:rsid w:val="00C87763"/>
    <w:rsid w:val="00C90072"/>
    <w:rsid w:val="00C90373"/>
    <w:rsid w:val="00C904C8"/>
    <w:rsid w:val="00C91313"/>
    <w:rsid w:val="00C91505"/>
    <w:rsid w:val="00C941E6"/>
    <w:rsid w:val="00C9547C"/>
    <w:rsid w:val="00C958E8"/>
    <w:rsid w:val="00C96717"/>
    <w:rsid w:val="00C96CFF"/>
    <w:rsid w:val="00C971A9"/>
    <w:rsid w:val="00C972E9"/>
    <w:rsid w:val="00CA0C1B"/>
    <w:rsid w:val="00CA0D64"/>
    <w:rsid w:val="00CA2513"/>
    <w:rsid w:val="00CA2868"/>
    <w:rsid w:val="00CA3D32"/>
    <w:rsid w:val="00CA4E06"/>
    <w:rsid w:val="00CA515A"/>
    <w:rsid w:val="00CA5DCC"/>
    <w:rsid w:val="00CA5E9C"/>
    <w:rsid w:val="00CA6042"/>
    <w:rsid w:val="00CA606F"/>
    <w:rsid w:val="00CA61F9"/>
    <w:rsid w:val="00CA68D7"/>
    <w:rsid w:val="00CA764A"/>
    <w:rsid w:val="00CB0B9F"/>
    <w:rsid w:val="00CB1B38"/>
    <w:rsid w:val="00CB2075"/>
    <w:rsid w:val="00CB26BC"/>
    <w:rsid w:val="00CB26F2"/>
    <w:rsid w:val="00CB30F2"/>
    <w:rsid w:val="00CB36EA"/>
    <w:rsid w:val="00CB4607"/>
    <w:rsid w:val="00CB4700"/>
    <w:rsid w:val="00CB5692"/>
    <w:rsid w:val="00CB5745"/>
    <w:rsid w:val="00CB6A1B"/>
    <w:rsid w:val="00CB773A"/>
    <w:rsid w:val="00CC03AE"/>
    <w:rsid w:val="00CC0FB6"/>
    <w:rsid w:val="00CC27BC"/>
    <w:rsid w:val="00CC3A71"/>
    <w:rsid w:val="00CC3DA5"/>
    <w:rsid w:val="00CC4D82"/>
    <w:rsid w:val="00CC4DC6"/>
    <w:rsid w:val="00CC50B5"/>
    <w:rsid w:val="00CC52E0"/>
    <w:rsid w:val="00CC5456"/>
    <w:rsid w:val="00CC5976"/>
    <w:rsid w:val="00CC68D6"/>
    <w:rsid w:val="00CC6A34"/>
    <w:rsid w:val="00CC6FA0"/>
    <w:rsid w:val="00CC73F9"/>
    <w:rsid w:val="00CD0D36"/>
    <w:rsid w:val="00CD10C0"/>
    <w:rsid w:val="00CD1259"/>
    <w:rsid w:val="00CD1AA9"/>
    <w:rsid w:val="00CD2671"/>
    <w:rsid w:val="00CD2F5B"/>
    <w:rsid w:val="00CD30D1"/>
    <w:rsid w:val="00CD36CD"/>
    <w:rsid w:val="00CD441A"/>
    <w:rsid w:val="00CD4830"/>
    <w:rsid w:val="00CD4CA9"/>
    <w:rsid w:val="00CD4D58"/>
    <w:rsid w:val="00CD5509"/>
    <w:rsid w:val="00CD5DEC"/>
    <w:rsid w:val="00CD5FB8"/>
    <w:rsid w:val="00CD6DCB"/>
    <w:rsid w:val="00CD7023"/>
    <w:rsid w:val="00CD7639"/>
    <w:rsid w:val="00CE0404"/>
    <w:rsid w:val="00CE0673"/>
    <w:rsid w:val="00CE0679"/>
    <w:rsid w:val="00CE09D8"/>
    <w:rsid w:val="00CE126C"/>
    <w:rsid w:val="00CE12E6"/>
    <w:rsid w:val="00CE15E3"/>
    <w:rsid w:val="00CE21DB"/>
    <w:rsid w:val="00CE2200"/>
    <w:rsid w:val="00CE281A"/>
    <w:rsid w:val="00CE2B41"/>
    <w:rsid w:val="00CE346C"/>
    <w:rsid w:val="00CE359C"/>
    <w:rsid w:val="00CE4D75"/>
    <w:rsid w:val="00CE5D03"/>
    <w:rsid w:val="00CE6A3F"/>
    <w:rsid w:val="00CE7056"/>
    <w:rsid w:val="00CE7884"/>
    <w:rsid w:val="00CF00F1"/>
    <w:rsid w:val="00CF1525"/>
    <w:rsid w:val="00CF4BF6"/>
    <w:rsid w:val="00CF6265"/>
    <w:rsid w:val="00CF633E"/>
    <w:rsid w:val="00CF6A2A"/>
    <w:rsid w:val="00CF6C7A"/>
    <w:rsid w:val="00D01A5B"/>
    <w:rsid w:val="00D01CED"/>
    <w:rsid w:val="00D02B07"/>
    <w:rsid w:val="00D04280"/>
    <w:rsid w:val="00D05F66"/>
    <w:rsid w:val="00D06D35"/>
    <w:rsid w:val="00D06F80"/>
    <w:rsid w:val="00D0747A"/>
    <w:rsid w:val="00D1003C"/>
    <w:rsid w:val="00D13958"/>
    <w:rsid w:val="00D1441C"/>
    <w:rsid w:val="00D14C0D"/>
    <w:rsid w:val="00D14FE5"/>
    <w:rsid w:val="00D14FFB"/>
    <w:rsid w:val="00D1524B"/>
    <w:rsid w:val="00D15826"/>
    <w:rsid w:val="00D15EEB"/>
    <w:rsid w:val="00D1646A"/>
    <w:rsid w:val="00D20807"/>
    <w:rsid w:val="00D228E5"/>
    <w:rsid w:val="00D23F6D"/>
    <w:rsid w:val="00D2466F"/>
    <w:rsid w:val="00D24822"/>
    <w:rsid w:val="00D24E59"/>
    <w:rsid w:val="00D24E92"/>
    <w:rsid w:val="00D2673B"/>
    <w:rsid w:val="00D26D99"/>
    <w:rsid w:val="00D274A8"/>
    <w:rsid w:val="00D277DC"/>
    <w:rsid w:val="00D27EE8"/>
    <w:rsid w:val="00D309EA"/>
    <w:rsid w:val="00D3197D"/>
    <w:rsid w:val="00D31E72"/>
    <w:rsid w:val="00D32F8D"/>
    <w:rsid w:val="00D346CC"/>
    <w:rsid w:val="00D34854"/>
    <w:rsid w:val="00D356BA"/>
    <w:rsid w:val="00D35F14"/>
    <w:rsid w:val="00D36536"/>
    <w:rsid w:val="00D365A7"/>
    <w:rsid w:val="00D37711"/>
    <w:rsid w:val="00D37C38"/>
    <w:rsid w:val="00D41210"/>
    <w:rsid w:val="00D41553"/>
    <w:rsid w:val="00D41C74"/>
    <w:rsid w:val="00D433BB"/>
    <w:rsid w:val="00D4354D"/>
    <w:rsid w:val="00D4507E"/>
    <w:rsid w:val="00D4529F"/>
    <w:rsid w:val="00D45E02"/>
    <w:rsid w:val="00D45EFC"/>
    <w:rsid w:val="00D47B6C"/>
    <w:rsid w:val="00D47F08"/>
    <w:rsid w:val="00D50D3A"/>
    <w:rsid w:val="00D51668"/>
    <w:rsid w:val="00D51BDD"/>
    <w:rsid w:val="00D522AA"/>
    <w:rsid w:val="00D5282B"/>
    <w:rsid w:val="00D52F43"/>
    <w:rsid w:val="00D53791"/>
    <w:rsid w:val="00D53ED4"/>
    <w:rsid w:val="00D540A1"/>
    <w:rsid w:val="00D542E7"/>
    <w:rsid w:val="00D55C84"/>
    <w:rsid w:val="00D56D04"/>
    <w:rsid w:val="00D56F7B"/>
    <w:rsid w:val="00D576B0"/>
    <w:rsid w:val="00D57DC6"/>
    <w:rsid w:val="00D6011F"/>
    <w:rsid w:val="00D60440"/>
    <w:rsid w:val="00D622C2"/>
    <w:rsid w:val="00D628E4"/>
    <w:rsid w:val="00D63883"/>
    <w:rsid w:val="00D63986"/>
    <w:rsid w:val="00D63F7E"/>
    <w:rsid w:val="00D65BF0"/>
    <w:rsid w:val="00D65FEE"/>
    <w:rsid w:val="00D66040"/>
    <w:rsid w:val="00D660F1"/>
    <w:rsid w:val="00D67578"/>
    <w:rsid w:val="00D7028E"/>
    <w:rsid w:val="00D70869"/>
    <w:rsid w:val="00D70D8C"/>
    <w:rsid w:val="00D71D2A"/>
    <w:rsid w:val="00D71D47"/>
    <w:rsid w:val="00D7331F"/>
    <w:rsid w:val="00D733B2"/>
    <w:rsid w:val="00D73E97"/>
    <w:rsid w:val="00D75681"/>
    <w:rsid w:val="00D758C6"/>
    <w:rsid w:val="00D761B1"/>
    <w:rsid w:val="00D801FF"/>
    <w:rsid w:val="00D80FF3"/>
    <w:rsid w:val="00D82871"/>
    <w:rsid w:val="00D847AC"/>
    <w:rsid w:val="00D84A28"/>
    <w:rsid w:val="00D86935"/>
    <w:rsid w:val="00D86E44"/>
    <w:rsid w:val="00D871D8"/>
    <w:rsid w:val="00D87D45"/>
    <w:rsid w:val="00D87DE9"/>
    <w:rsid w:val="00D87E3F"/>
    <w:rsid w:val="00D90F34"/>
    <w:rsid w:val="00D913FF"/>
    <w:rsid w:val="00D92044"/>
    <w:rsid w:val="00D927D6"/>
    <w:rsid w:val="00D929A9"/>
    <w:rsid w:val="00D940C6"/>
    <w:rsid w:val="00D95A36"/>
    <w:rsid w:val="00D95B33"/>
    <w:rsid w:val="00D962FB"/>
    <w:rsid w:val="00D96965"/>
    <w:rsid w:val="00D96E21"/>
    <w:rsid w:val="00D972C4"/>
    <w:rsid w:val="00DA0F34"/>
    <w:rsid w:val="00DA19CA"/>
    <w:rsid w:val="00DA1A22"/>
    <w:rsid w:val="00DA1B11"/>
    <w:rsid w:val="00DA2226"/>
    <w:rsid w:val="00DA26C8"/>
    <w:rsid w:val="00DA2B0B"/>
    <w:rsid w:val="00DA32ED"/>
    <w:rsid w:val="00DA4A6F"/>
    <w:rsid w:val="00DA5CA5"/>
    <w:rsid w:val="00DA5E20"/>
    <w:rsid w:val="00DA6220"/>
    <w:rsid w:val="00DA62F7"/>
    <w:rsid w:val="00DA6C37"/>
    <w:rsid w:val="00DA7846"/>
    <w:rsid w:val="00DA7F9B"/>
    <w:rsid w:val="00DB0015"/>
    <w:rsid w:val="00DB0A7C"/>
    <w:rsid w:val="00DB1510"/>
    <w:rsid w:val="00DB3196"/>
    <w:rsid w:val="00DB3553"/>
    <w:rsid w:val="00DB3565"/>
    <w:rsid w:val="00DB5FD3"/>
    <w:rsid w:val="00DB6391"/>
    <w:rsid w:val="00DB649B"/>
    <w:rsid w:val="00DB68E0"/>
    <w:rsid w:val="00DB69BD"/>
    <w:rsid w:val="00DC01A3"/>
    <w:rsid w:val="00DC19F4"/>
    <w:rsid w:val="00DC21CA"/>
    <w:rsid w:val="00DC28DC"/>
    <w:rsid w:val="00DC2CB1"/>
    <w:rsid w:val="00DC3B4F"/>
    <w:rsid w:val="00DC4894"/>
    <w:rsid w:val="00DC4947"/>
    <w:rsid w:val="00DC4A3F"/>
    <w:rsid w:val="00DC4D98"/>
    <w:rsid w:val="00DC4DED"/>
    <w:rsid w:val="00DC60D9"/>
    <w:rsid w:val="00DC636F"/>
    <w:rsid w:val="00DC6903"/>
    <w:rsid w:val="00DD02EA"/>
    <w:rsid w:val="00DD1E19"/>
    <w:rsid w:val="00DD3343"/>
    <w:rsid w:val="00DD37C2"/>
    <w:rsid w:val="00DD49E3"/>
    <w:rsid w:val="00DD4CC6"/>
    <w:rsid w:val="00DD72C9"/>
    <w:rsid w:val="00DD7741"/>
    <w:rsid w:val="00DE028A"/>
    <w:rsid w:val="00DE06D3"/>
    <w:rsid w:val="00DE10DA"/>
    <w:rsid w:val="00DE1312"/>
    <w:rsid w:val="00DE1B9C"/>
    <w:rsid w:val="00DE21B3"/>
    <w:rsid w:val="00DE2B34"/>
    <w:rsid w:val="00DE33EB"/>
    <w:rsid w:val="00DE39AE"/>
    <w:rsid w:val="00DE3AFA"/>
    <w:rsid w:val="00DE5620"/>
    <w:rsid w:val="00DE5C34"/>
    <w:rsid w:val="00DE6743"/>
    <w:rsid w:val="00DF04AA"/>
    <w:rsid w:val="00DF3190"/>
    <w:rsid w:val="00DF34FE"/>
    <w:rsid w:val="00DF554D"/>
    <w:rsid w:val="00DF632E"/>
    <w:rsid w:val="00DF6BD2"/>
    <w:rsid w:val="00DF7EA0"/>
    <w:rsid w:val="00E002BA"/>
    <w:rsid w:val="00E00AAA"/>
    <w:rsid w:val="00E01200"/>
    <w:rsid w:val="00E016F1"/>
    <w:rsid w:val="00E021A5"/>
    <w:rsid w:val="00E04474"/>
    <w:rsid w:val="00E04906"/>
    <w:rsid w:val="00E05B4F"/>
    <w:rsid w:val="00E06E0A"/>
    <w:rsid w:val="00E07155"/>
    <w:rsid w:val="00E07397"/>
    <w:rsid w:val="00E07991"/>
    <w:rsid w:val="00E07A94"/>
    <w:rsid w:val="00E07B60"/>
    <w:rsid w:val="00E07CFE"/>
    <w:rsid w:val="00E1009B"/>
    <w:rsid w:val="00E10275"/>
    <w:rsid w:val="00E111E6"/>
    <w:rsid w:val="00E112C7"/>
    <w:rsid w:val="00E115C5"/>
    <w:rsid w:val="00E1195B"/>
    <w:rsid w:val="00E11B34"/>
    <w:rsid w:val="00E14220"/>
    <w:rsid w:val="00E15A40"/>
    <w:rsid w:val="00E2093E"/>
    <w:rsid w:val="00E23C0A"/>
    <w:rsid w:val="00E23EDB"/>
    <w:rsid w:val="00E2402F"/>
    <w:rsid w:val="00E24D12"/>
    <w:rsid w:val="00E2566F"/>
    <w:rsid w:val="00E25A39"/>
    <w:rsid w:val="00E265A8"/>
    <w:rsid w:val="00E26FA9"/>
    <w:rsid w:val="00E3039A"/>
    <w:rsid w:val="00E312CB"/>
    <w:rsid w:val="00E31676"/>
    <w:rsid w:val="00E3188A"/>
    <w:rsid w:val="00E31A4C"/>
    <w:rsid w:val="00E326EE"/>
    <w:rsid w:val="00E334C6"/>
    <w:rsid w:val="00E33BB5"/>
    <w:rsid w:val="00E360DE"/>
    <w:rsid w:val="00E3686D"/>
    <w:rsid w:val="00E37520"/>
    <w:rsid w:val="00E37851"/>
    <w:rsid w:val="00E41854"/>
    <w:rsid w:val="00E420F2"/>
    <w:rsid w:val="00E42791"/>
    <w:rsid w:val="00E44305"/>
    <w:rsid w:val="00E45AC7"/>
    <w:rsid w:val="00E45B05"/>
    <w:rsid w:val="00E47267"/>
    <w:rsid w:val="00E5011D"/>
    <w:rsid w:val="00E501F5"/>
    <w:rsid w:val="00E507BA"/>
    <w:rsid w:val="00E51215"/>
    <w:rsid w:val="00E51287"/>
    <w:rsid w:val="00E53E55"/>
    <w:rsid w:val="00E5516C"/>
    <w:rsid w:val="00E5561A"/>
    <w:rsid w:val="00E55F1F"/>
    <w:rsid w:val="00E56A57"/>
    <w:rsid w:val="00E56B6B"/>
    <w:rsid w:val="00E578F6"/>
    <w:rsid w:val="00E60157"/>
    <w:rsid w:val="00E60741"/>
    <w:rsid w:val="00E63FB8"/>
    <w:rsid w:val="00E642F7"/>
    <w:rsid w:val="00E647D8"/>
    <w:rsid w:val="00E64EF2"/>
    <w:rsid w:val="00E64FDE"/>
    <w:rsid w:val="00E65113"/>
    <w:rsid w:val="00E65DCC"/>
    <w:rsid w:val="00E669C1"/>
    <w:rsid w:val="00E67DCD"/>
    <w:rsid w:val="00E72298"/>
    <w:rsid w:val="00E722A6"/>
    <w:rsid w:val="00E723A3"/>
    <w:rsid w:val="00E72688"/>
    <w:rsid w:val="00E72884"/>
    <w:rsid w:val="00E72CBD"/>
    <w:rsid w:val="00E730FD"/>
    <w:rsid w:val="00E76E83"/>
    <w:rsid w:val="00E77729"/>
    <w:rsid w:val="00E77D45"/>
    <w:rsid w:val="00E8021D"/>
    <w:rsid w:val="00E802AB"/>
    <w:rsid w:val="00E8136B"/>
    <w:rsid w:val="00E84D7B"/>
    <w:rsid w:val="00E858E6"/>
    <w:rsid w:val="00E8633B"/>
    <w:rsid w:val="00E8676F"/>
    <w:rsid w:val="00E86F64"/>
    <w:rsid w:val="00E86F92"/>
    <w:rsid w:val="00E87000"/>
    <w:rsid w:val="00E90F52"/>
    <w:rsid w:val="00E917AA"/>
    <w:rsid w:val="00E92710"/>
    <w:rsid w:val="00E92757"/>
    <w:rsid w:val="00E93830"/>
    <w:rsid w:val="00E93957"/>
    <w:rsid w:val="00E93F6F"/>
    <w:rsid w:val="00E9413C"/>
    <w:rsid w:val="00E9434C"/>
    <w:rsid w:val="00E945CF"/>
    <w:rsid w:val="00E95750"/>
    <w:rsid w:val="00E95981"/>
    <w:rsid w:val="00E95F08"/>
    <w:rsid w:val="00E969C6"/>
    <w:rsid w:val="00E973ED"/>
    <w:rsid w:val="00E9754E"/>
    <w:rsid w:val="00EA1E3A"/>
    <w:rsid w:val="00EA27BB"/>
    <w:rsid w:val="00EA2A4F"/>
    <w:rsid w:val="00EA3000"/>
    <w:rsid w:val="00EA420A"/>
    <w:rsid w:val="00EA45F4"/>
    <w:rsid w:val="00EA4990"/>
    <w:rsid w:val="00EA4ABA"/>
    <w:rsid w:val="00EA4C92"/>
    <w:rsid w:val="00EA563A"/>
    <w:rsid w:val="00EA5CCD"/>
    <w:rsid w:val="00EA5E3C"/>
    <w:rsid w:val="00EA64DA"/>
    <w:rsid w:val="00EA64FE"/>
    <w:rsid w:val="00EA6B6A"/>
    <w:rsid w:val="00EA6FDD"/>
    <w:rsid w:val="00EA7B99"/>
    <w:rsid w:val="00EA7D7B"/>
    <w:rsid w:val="00EB0FDC"/>
    <w:rsid w:val="00EB2B18"/>
    <w:rsid w:val="00EB3001"/>
    <w:rsid w:val="00EB3C04"/>
    <w:rsid w:val="00EB53E7"/>
    <w:rsid w:val="00EB564C"/>
    <w:rsid w:val="00EB570B"/>
    <w:rsid w:val="00EB61AC"/>
    <w:rsid w:val="00EB6DD2"/>
    <w:rsid w:val="00EB73EA"/>
    <w:rsid w:val="00EB7A25"/>
    <w:rsid w:val="00EB7A4B"/>
    <w:rsid w:val="00EB7F39"/>
    <w:rsid w:val="00EC1099"/>
    <w:rsid w:val="00EC1123"/>
    <w:rsid w:val="00EC1D1F"/>
    <w:rsid w:val="00EC22F3"/>
    <w:rsid w:val="00EC2F1C"/>
    <w:rsid w:val="00EC4209"/>
    <w:rsid w:val="00EC4B30"/>
    <w:rsid w:val="00EC5248"/>
    <w:rsid w:val="00EC6BE1"/>
    <w:rsid w:val="00EC79BB"/>
    <w:rsid w:val="00ED058D"/>
    <w:rsid w:val="00ED0736"/>
    <w:rsid w:val="00ED2E11"/>
    <w:rsid w:val="00ED32FC"/>
    <w:rsid w:val="00ED374F"/>
    <w:rsid w:val="00ED3A7B"/>
    <w:rsid w:val="00ED3CFC"/>
    <w:rsid w:val="00ED3D52"/>
    <w:rsid w:val="00ED3E70"/>
    <w:rsid w:val="00ED415F"/>
    <w:rsid w:val="00ED43CE"/>
    <w:rsid w:val="00ED45F2"/>
    <w:rsid w:val="00ED4603"/>
    <w:rsid w:val="00ED47B6"/>
    <w:rsid w:val="00ED5913"/>
    <w:rsid w:val="00ED5BAC"/>
    <w:rsid w:val="00ED76F4"/>
    <w:rsid w:val="00ED7BE5"/>
    <w:rsid w:val="00EE085F"/>
    <w:rsid w:val="00EE19B8"/>
    <w:rsid w:val="00EE2811"/>
    <w:rsid w:val="00EE298E"/>
    <w:rsid w:val="00EE3AF8"/>
    <w:rsid w:val="00EE41E1"/>
    <w:rsid w:val="00EE4406"/>
    <w:rsid w:val="00EE4E92"/>
    <w:rsid w:val="00EE5DEF"/>
    <w:rsid w:val="00EE643B"/>
    <w:rsid w:val="00EE65CF"/>
    <w:rsid w:val="00EE683F"/>
    <w:rsid w:val="00EE703C"/>
    <w:rsid w:val="00EE7C85"/>
    <w:rsid w:val="00EF089E"/>
    <w:rsid w:val="00EF0ED9"/>
    <w:rsid w:val="00EF10D0"/>
    <w:rsid w:val="00EF2A1B"/>
    <w:rsid w:val="00EF2B2F"/>
    <w:rsid w:val="00EF3A4F"/>
    <w:rsid w:val="00EF42E8"/>
    <w:rsid w:val="00EF44F5"/>
    <w:rsid w:val="00EF55F5"/>
    <w:rsid w:val="00EF67DE"/>
    <w:rsid w:val="00EF7DE2"/>
    <w:rsid w:val="00F00C1D"/>
    <w:rsid w:val="00F00C40"/>
    <w:rsid w:val="00F01A5A"/>
    <w:rsid w:val="00F0232F"/>
    <w:rsid w:val="00F026B9"/>
    <w:rsid w:val="00F02A70"/>
    <w:rsid w:val="00F02DB1"/>
    <w:rsid w:val="00F03095"/>
    <w:rsid w:val="00F0334A"/>
    <w:rsid w:val="00F0340D"/>
    <w:rsid w:val="00F0396F"/>
    <w:rsid w:val="00F03CD3"/>
    <w:rsid w:val="00F0423C"/>
    <w:rsid w:val="00F052AE"/>
    <w:rsid w:val="00F059BE"/>
    <w:rsid w:val="00F05F6B"/>
    <w:rsid w:val="00F073F1"/>
    <w:rsid w:val="00F10DA7"/>
    <w:rsid w:val="00F11259"/>
    <w:rsid w:val="00F11829"/>
    <w:rsid w:val="00F11F81"/>
    <w:rsid w:val="00F129C3"/>
    <w:rsid w:val="00F12EDB"/>
    <w:rsid w:val="00F13CF2"/>
    <w:rsid w:val="00F168CB"/>
    <w:rsid w:val="00F16A9D"/>
    <w:rsid w:val="00F16B2F"/>
    <w:rsid w:val="00F16B51"/>
    <w:rsid w:val="00F17B63"/>
    <w:rsid w:val="00F2027F"/>
    <w:rsid w:val="00F2062C"/>
    <w:rsid w:val="00F206A6"/>
    <w:rsid w:val="00F20706"/>
    <w:rsid w:val="00F20EB3"/>
    <w:rsid w:val="00F21485"/>
    <w:rsid w:val="00F223AE"/>
    <w:rsid w:val="00F22416"/>
    <w:rsid w:val="00F22B96"/>
    <w:rsid w:val="00F22CD0"/>
    <w:rsid w:val="00F23358"/>
    <w:rsid w:val="00F23955"/>
    <w:rsid w:val="00F24636"/>
    <w:rsid w:val="00F24B54"/>
    <w:rsid w:val="00F2528B"/>
    <w:rsid w:val="00F252F1"/>
    <w:rsid w:val="00F2699D"/>
    <w:rsid w:val="00F26C6C"/>
    <w:rsid w:val="00F3171C"/>
    <w:rsid w:val="00F31EF1"/>
    <w:rsid w:val="00F321DA"/>
    <w:rsid w:val="00F327A9"/>
    <w:rsid w:val="00F32DED"/>
    <w:rsid w:val="00F3435E"/>
    <w:rsid w:val="00F35472"/>
    <w:rsid w:val="00F35A01"/>
    <w:rsid w:val="00F3616A"/>
    <w:rsid w:val="00F36B73"/>
    <w:rsid w:val="00F36EAC"/>
    <w:rsid w:val="00F3795F"/>
    <w:rsid w:val="00F4004B"/>
    <w:rsid w:val="00F40A90"/>
    <w:rsid w:val="00F40CC4"/>
    <w:rsid w:val="00F416A7"/>
    <w:rsid w:val="00F42472"/>
    <w:rsid w:val="00F426AF"/>
    <w:rsid w:val="00F42DFD"/>
    <w:rsid w:val="00F4317E"/>
    <w:rsid w:val="00F44991"/>
    <w:rsid w:val="00F45E7B"/>
    <w:rsid w:val="00F46315"/>
    <w:rsid w:val="00F47CFA"/>
    <w:rsid w:val="00F47F1E"/>
    <w:rsid w:val="00F47F45"/>
    <w:rsid w:val="00F502CE"/>
    <w:rsid w:val="00F50996"/>
    <w:rsid w:val="00F514E0"/>
    <w:rsid w:val="00F53FFD"/>
    <w:rsid w:val="00F54413"/>
    <w:rsid w:val="00F5452E"/>
    <w:rsid w:val="00F55A83"/>
    <w:rsid w:val="00F5673E"/>
    <w:rsid w:val="00F5679F"/>
    <w:rsid w:val="00F56BE5"/>
    <w:rsid w:val="00F56C26"/>
    <w:rsid w:val="00F578F1"/>
    <w:rsid w:val="00F57A03"/>
    <w:rsid w:val="00F6057F"/>
    <w:rsid w:val="00F6110F"/>
    <w:rsid w:val="00F612CA"/>
    <w:rsid w:val="00F6166E"/>
    <w:rsid w:val="00F618E4"/>
    <w:rsid w:val="00F62A01"/>
    <w:rsid w:val="00F644BF"/>
    <w:rsid w:val="00F648AE"/>
    <w:rsid w:val="00F64966"/>
    <w:rsid w:val="00F649EB"/>
    <w:rsid w:val="00F65DFE"/>
    <w:rsid w:val="00F66413"/>
    <w:rsid w:val="00F66A0B"/>
    <w:rsid w:val="00F66B5B"/>
    <w:rsid w:val="00F674FC"/>
    <w:rsid w:val="00F67CDB"/>
    <w:rsid w:val="00F715B9"/>
    <w:rsid w:val="00F7216C"/>
    <w:rsid w:val="00F73661"/>
    <w:rsid w:val="00F73CBA"/>
    <w:rsid w:val="00F73E53"/>
    <w:rsid w:val="00F7449A"/>
    <w:rsid w:val="00F7554D"/>
    <w:rsid w:val="00F75E1C"/>
    <w:rsid w:val="00F75EF1"/>
    <w:rsid w:val="00F75F37"/>
    <w:rsid w:val="00F7634A"/>
    <w:rsid w:val="00F77213"/>
    <w:rsid w:val="00F8079A"/>
    <w:rsid w:val="00F810C8"/>
    <w:rsid w:val="00F81D67"/>
    <w:rsid w:val="00F82DD5"/>
    <w:rsid w:val="00F85ABD"/>
    <w:rsid w:val="00F86395"/>
    <w:rsid w:val="00F863C4"/>
    <w:rsid w:val="00F870E7"/>
    <w:rsid w:val="00F874EA"/>
    <w:rsid w:val="00F87765"/>
    <w:rsid w:val="00F91550"/>
    <w:rsid w:val="00F91697"/>
    <w:rsid w:val="00F929A6"/>
    <w:rsid w:val="00F93502"/>
    <w:rsid w:val="00F93642"/>
    <w:rsid w:val="00F948E2"/>
    <w:rsid w:val="00F94D77"/>
    <w:rsid w:val="00F95BB9"/>
    <w:rsid w:val="00F9694A"/>
    <w:rsid w:val="00F97434"/>
    <w:rsid w:val="00FA03AD"/>
    <w:rsid w:val="00FA043F"/>
    <w:rsid w:val="00FA07A8"/>
    <w:rsid w:val="00FA0FB6"/>
    <w:rsid w:val="00FA2B18"/>
    <w:rsid w:val="00FA3192"/>
    <w:rsid w:val="00FA351D"/>
    <w:rsid w:val="00FA4464"/>
    <w:rsid w:val="00FA4942"/>
    <w:rsid w:val="00FA4FCC"/>
    <w:rsid w:val="00FA5628"/>
    <w:rsid w:val="00FA5942"/>
    <w:rsid w:val="00FA66C1"/>
    <w:rsid w:val="00FA7211"/>
    <w:rsid w:val="00FA7704"/>
    <w:rsid w:val="00FB09F0"/>
    <w:rsid w:val="00FB1083"/>
    <w:rsid w:val="00FB1332"/>
    <w:rsid w:val="00FB1503"/>
    <w:rsid w:val="00FB15F2"/>
    <w:rsid w:val="00FB3F17"/>
    <w:rsid w:val="00FB48D6"/>
    <w:rsid w:val="00FB48F5"/>
    <w:rsid w:val="00FB4F23"/>
    <w:rsid w:val="00FB53C1"/>
    <w:rsid w:val="00FB5D1C"/>
    <w:rsid w:val="00FB6570"/>
    <w:rsid w:val="00FB786B"/>
    <w:rsid w:val="00FC0809"/>
    <w:rsid w:val="00FC1610"/>
    <w:rsid w:val="00FC287C"/>
    <w:rsid w:val="00FC2D64"/>
    <w:rsid w:val="00FC3045"/>
    <w:rsid w:val="00FC3111"/>
    <w:rsid w:val="00FC37BE"/>
    <w:rsid w:val="00FC431A"/>
    <w:rsid w:val="00FC4879"/>
    <w:rsid w:val="00FC4D13"/>
    <w:rsid w:val="00FC507E"/>
    <w:rsid w:val="00FC50A1"/>
    <w:rsid w:val="00FC5AE2"/>
    <w:rsid w:val="00FC6136"/>
    <w:rsid w:val="00FC6841"/>
    <w:rsid w:val="00FC6A3E"/>
    <w:rsid w:val="00FC6DC3"/>
    <w:rsid w:val="00FC7152"/>
    <w:rsid w:val="00FD0DCE"/>
    <w:rsid w:val="00FD1AE2"/>
    <w:rsid w:val="00FD1F41"/>
    <w:rsid w:val="00FD23C6"/>
    <w:rsid w:val="00FD25D2"/>
    <w:rsid w:val="00FD32B8"/>
    <w:rsid w:val="00FD39E4"/>
    <w:rsid w:val="00FD4B65"/>
    <w:rsid w:val="00FD4EDE"/>
    <w:rsid w:val="00FD57C3"/>
    <w:rsid w:val="00FD5DEE"/>
    <w:rsid w:val="00FD6E65"/>
    <w:rsid w:val="00FD77F2"/>
    <w:rsid w:val="00FD7B8C"/>
    <w:rsid w:val="00FE0020"/>
    <w:rsid w:val="00FE0216"/>
    <w:rsid w:val="00FE0E41"/>
    <w:rsid w:val="00FE1012"/>
    <w:rsid w:val="00FE1094"/>
    <w:rsid w:val="00FE16BD"/>
    <w:rsid w:val="00FE1D02"/>
    <w:rsid w:val="00FE369E"/>
    <w:rsid w:val="00FE36DB"/>
    <w:rsid w:val="00FE38A4"/>
    <w:rsid w:val="00FE3AC7"/>
    <w:rsid w:val="00FE3F72"/>
    <w:rsid w:val="00FE5003"/>
    <w:rsid w:val="00FE51D1"/>
    <w:rsid w:val="00FE5F14"/>
    <w:rsid w:val="00FE6580"/>
    <w:rsid w:val="00FE6910"/>
    <w:rsid w:val="00FE7731"/>
    <w:rsid w:val="00FF006D"/>
    <w:rsid w:val="00FF0DB9"/>
    <w:rsid w:val="00FF0F52"/>
    <w:rsid w:val="00FF1FE0"/>
    <w:rsid w:val="00FF21F3"/>
    <w:rsid w:val="00FF2233"/>
    <w:rsid w:val="00FF3F93"/>
    <w:rsid w:val="00FF41FC"/>
    <w:rsid w:val="00FF549B"/>
    <w:rsid w:val="00FF5A58"/>
    <w:rsid w:val="00FF6087"/>
    <w:rsid w:val="00FF62CD"/>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49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unhideWhenUsed/>
    <w:rsid w:val="008A1079"/>
    <w:rPr>
      <w:sz w:val="20"/>
      <w:szCs w:val="20"/>
    </w:rPr>
  </w:style>
  <w:style w:type="character" w:customStyle="1" w:styleId="CommentTextChar">
    <w:name w:val="Comment Text Char"/>
    <w:basedOn w:val="DefaultParagraphFont"/>
    <w:link w:val="CommentText"/>
    <w:uiPriority w:val="99"/>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paragraph" w:styleId="NoSpacing">
    <w:name w:val="No Spacing"/>
    <w:uiPriority w:val="1"/>
    <w:qFormat/>
    <w:rsid w:val="004B4B77"/>
    <w:pPr>
      <w:spacing w:after="0" w:line="240" w:lineRule="auto"/>
    </w:pPr>
  </w:style>
  <w:style w:type="character" w:styleId="UnresolvedMention">
    <w:name w:val="Unresolved Mention"/>
    <w:basedOn w:val="DefaultParagraphFont"/>
    <w:uiPriority w:val="99"/>
    <w:semiHidden/>
    <w:unhideWhenUsed/>
    <w:rsid w:val="00DA19CA"/>
    <w:rPr>
      <w:color w:val="605E5C"/>
      <w:shd w:val="clear" w:color="auto" w:fill="E1DFDD"/>
    </w:rPr>
  </w:style>
  <w:style w:type="character" w:styleId="FollowedHyperlink">
    <w:name w:val="FollowedHyperlink"/>
    <w:basedOn w:val="DefaultParagraphFont"/>
    <w:uiPriority w:val="99"/>
    <w:semiHidden/>
    <w:unhideWhenUsed/>
    <w:rsid w:val="00DA19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2022">
      <w:bodyDiv w:val="1"/>
      <w:marLeft w:val="0"/>
      <w:marRight w:val="0"/>
      <w:marTop w:val="0"/>
      <w:marBottom w:val="0"/>
      <w:divBdr>
        <w:top w:val="none" w:sz="0" w:space="0" w:color="auto"/>
        <w:left w:val="none" w:sz="0" w:space="0" w:color="auto"/>
        <w:bottom w:val="none" w:sz="0" w:space="0" w:color="auto"/>
        <w:right w:val="none" w:sz="0" w:space="0" w:color="auto"/>
      </w:divBdr>
    </w:div>
    <w:div w:id="5711143">
      <w:bodyDiv w:val="1"/>
      <w:marLeft w:val="0"/>
      <w:marRight w:val="0"/>
      <w:marTop w:val="0"/>
      <w:marBottom w:val="0"/>
      <w:divBdr>
        <w:top w:val="none" w:sz="0" w:space="0" w:color="auto"/>
        <w:left w:val="none" w:sz="0" w:space="0" w:color="auto"/>
        <w:bottom w:val="none" w:sz="0" w:space="0" w:color="auto"/>
        <w:right w:val="none" w:sz="0" w:space="0" w:color="auto"/>
      </w:divBdr>
    </w:div>
    <w:div w:id="71587248">
      <w:bodyDiv w:val="1"/>
      <w:marLeft w:val="0"/>
      <w:marRight w:val="0"/>
      <w:marTop w:val="0"/>
      <w:marBottom w:val="0"/>
      <w:divBdr>
        <w:top w:val="none" w:sz="0" w:space="0" w:color="auto"/>
        <w:left w:val="none" w:sz="0" w:space="0" w:color="auto"/>
        <w:bottom w:val="none" w:sz="0" w:space="0" w:color="auto"/>
        <w:right w:val="none" w:sz="0" w:space="0" w:color="auto"/>
      </w:divBdr>
    </w:div>
    <w:div w:id="73673748">
      <w:bodyDiv w:val="1"/>
      <w:marLeft w:val="0"/>
      <w:marRight w:val="0"/>
      <w:marTop w:val="0"/>
      <w:marBottom w:val="0"/>
      <w:divBdr>
        <w:top w:val="none" w:sz="0" w:space="0" w:color="auto"/>
        <w:left w:val="none" w:sz="0" w:space="0" w:color="auto"/>
        <w:bottom w:val="none" w:sz="0" w:space="0" w:color="auto"/>
        <w:right w:val="none" w:sz="0" w:space="0" w:color="auto"/>
      </w:divBdr>
    </w:div>
    <w:div w:id="80681591">
      <w:bodyDiv w:val="1"/>
      <w:marLeft w:val="0"/>
      <w:marRight w:val="0"/>
      <w:marTop w:val="0"/>
      <w:marBottom w:val="0"/>
      <w:divBdr>
        <w:top w:val="none" w:sz="0" w:space="0" w:color="auto"/>
        <w:left w:val="none" w:sz="0" w:space="0" w:color="auto"/>
        <w:bottom w:val="none" w:sz="0" w:space="0" w:color="auto"/>
        <w:right w:val="none" w:sz="0" w:space="0" w:color="auto"/>
      </w:divBdr>
    </w:div>
    <w:div w:id="86342146">
      <w:bodyDiv w:val="1"/>
      <w:marLeft w:val="0"/>
      <w:marRight w:val="0"/>
      <w:marTop w:val="0"/>
      <w:marBottom w:val="0"/>
      <w:divBdr>
        <w:top w:val="none" w:sz="0" w:space="0" w:color="auto"/>
        <w:left w:val="none" w:sz="0" w:space="0" w:color="auto"/>
        <w:bottom w:val="none" w:sz="0" w:space="0" w:color="auto"/>
        <w:right w:val="none" w:sz="0" w:space="0" w:color="auto"/>
      </w:divBdr>
    </w:div>
    <w:div w:id="115680620">
      <w:bodyDiv w:val="1"/>
      <w:marLeft w:val="0"/>
      <w:marRight w:val="0"/>
      <w:marTop w:val="0"/>
      <w:marBottom w:val="0"/>
      <w:divBdr>
        <w:top w:val="none" w:sz="0" w:space="0" w:color="auto"/>
        <w:left w:val="none" w:sz="0" w:space="0" w:color="auto"/>
        <w:bottom w:val="none" w:sz="0" w:space="0" w:color="auto"/>
        <w:right w:val="none" w:sz="0" w:space="0" w:color="auto"/>
      </w:divBdr>
    </w:div>
    <w:div w:id="122846763">
      <w:bodyDiv w:val="1"/>
      <w:marLeft w:val="0"/>
      <w:marRight w:val="0"/>
      <w:marTop w:val="0"/>
      <w:marBottom w:val="0"/>
      <w:divBdr>
        <w:top w:val="none" w:sz="0" w:space="0" w:color="auto"/>
        <w:left w:val="none" w:sz="0" w:space="0" w:color="auto"/>
        <w:bottom w:val="none" w:sz="0" w:space="0" w:color="auto"/>
        <w:right w:val="none" w:sz="0" w:space="0" w:color="auto"/>
      </w:divBdr>
    </w:div>
    <w:div w:id="157156736">
      <w:bodyDiv w:val="1"/>
      <w:marLeft w:val="0"/>
      <w:marRight w:val="0"/>
      <w:marTop w:val="0"/>
      <w:marBottom w:val="0"/>
      <w:divBdr>
        <w:top w:val="none" w:sz="0" w:space="0" w:color="auto"/>
        <w:left w:val="none" w:sz="0" w:space="0" w:color="auto"/>
        <w:bottom w:val="none" w:sz="0" w:space="0" w:color="auto"/>
        <w:right w:val="none" w:sz="0" w:space="0" w:color="auto"/>
      </w:divBdr>
      <w:divsChild>
        <w:div w:id="271284220">
          <w:marLeft w:val="0"/>
          <w:marRight w:val="0"/>
          <w:marTop w:val="480"/>
          <w:marBottom w:val="240"/>
          <w:divBdr>
            <w:top w:val="none" w:sz="0" w:space="0" w:color="auto"/>
            <w:left w:val="none" w:sz="0" w:space="0" w:color="auto"/>
            <w:bottom w:val="none" w:sz="0" w:space="0" w:color="auto"/>
            <w:right w:val="none" w:sz="0" w:space="0" w:color="auto"/>
          </w:divBdr>
        </w:div>
        <w:div w:id="925070928">
          <w:marLeft w:val="0"/>
          <w:marRight w:val="0"/>
          <w:marTop w:val="0"/>
          <w:marBottom w:val="567"/>
          <w:divBdr>
            <w:top w:val="none" w:sz="0" w:space="0" w:color="auto"/>
            <w:left w:val="none" w:sz="0" w:space="0" w:color="auto"/>
            <w:bottom w:val="none" w:sz="0" w:space="0" w:color="auto"/>
            <w:right w:val="none" w:sz="0" w:space="0" w:color="auto"/>
          </w:divBdr>
        </w:div>
      </w:divsChild>
    </w:div>
    <w:div w:id="170068599">
      <w:bodyDiv w:val="1"/>
      <w:marLeft w:val="0"/>
      <w:marRight w:val="0"/>
      <w:marTop w:val="0"/>
      <w:marBottom w:val="0"/>
      <w:divBdr>
        <w:top w:val="none" w:sz="0" w:space="0" w:color="auto"/>
        <w:left w:val="none" w:sz="0" w:space="0" w:color="auto"/>
        <w:bottom w:val="none" w:sz="0" w:space="0" w:color="auto"/>
        <w:right w:val="none" w:sz="0" w:space="0" w:color="auto"/>
      </w:divBdr>
    </w:div>
    <w:div w:id="178323577">
      <w:bodyDiv w:val="1"/>
      <w:marLeft w:val="0"/>
      <w:marRight w:val="0"/>
      <w:marTop w:val="0"/>
      <w:marBottom w:val="0"/>
      <w:divBdr>
        <w:top w:val="none" w:sz="0" w:space="0" w:color="auto"/>
        <w:left w:val="none" w:sz="0" w:space="0" w:color="auto"/>
        <w:bottom w:val="none" w:sz="0" w:space="0" w:color="auto"/>
        <w:right w:val="none" w:sz="0" w:space="0" w:color="auto"/>
      </w:divBdr>
      <w:divsChild>
        <w:div w:id="696394454">
          <w:marLeft w:val="0"/>
          <w:marRight w:val="0"/>
          <w:marTop w:val="0"/>
          <w:marBottom w:val="567"/>
          <w:divBdr>
            <w:top w:val="none" w:sz="0" w:space="0" w:color="auto"/>
            <w:left w:val="none" w:sz="0" w:space="0" w:color="auto"/>
            <w:bottom w:val="none" w:sz="0" w:space="0" w:color="auto"/>
            <w:right w:val="none" w:sz="0" w:space="0" w:color="auto"/>
          </w:divBdr>
        </w:div>
        <w:div w:id="729306122">
          <w:marLeft w:val="0"/>
          <w:marRight w:val="0"/>
          <w:marTop w:val="480"/>
          <w:marBottom w:val="240"/>
          <w:divBdr>
            <w:top w:val="none" w:sz="0" w:space="0" w:color="auto"/>
            <w:left w:val="none" w:sz="0" w:space="0" w:color="auto"/>
            <w:bottom w:val="none" w:sz="0" w:space="0" w:color="auto"/>
            <w:right w:val="none" w:sz="0" w:space="0" w:color="auto"/>
          </w:divBdr>
        </w:div>
      </w:divsChild>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230313351">
      <w:bodyDiv w:val="1"/>
      <w:marLeft w:val="0"/>
      <w:marRight w:val="0"/>
      <w:marTop w:val="0"/>
      <w:marBottom w:val="0"/>
      <w:divBdr>
        <w:top w:val="none" w:sz="0" w:space="0" w:color="auto"/>
        <w:left w:val="none" w:sz="0" w:space="0" w:color="auto"/>
        <w:bottom w:val="none" w:sz="0" w:space="0" w:color="auto"/>
        <w:right w:val="none" w:sz="0" w:space="0" w:color="auto"/>
      </w:divBdr>
    </w:div>
    <w:div w:id="232325232">
      <w:bodyDiv w:val="1"/>
      <w:marLeft w:val="0"/>
      <w:marRight w:val="0"/>
      <w:marTop w:val="0"/>
      <w:marBottom w:val="0"/>
      <w:divBdr>
        <w:top w:val="none" w:sz="0" w:space="0" w:color="auto"/>
        <w:left w:val="none" w:sz="0" w:space="0" w:color="auto"/>
        <w:bottom w:val="none" w:sz="0" w:space="0" w:color="auto"/>
        <w:right w:val="none" w:sz="0" w:space="0" w:color="auto"/>
      </w:divBdr>
    </w:div>
    <w:div w:id="272713152">
      <w:bodyDiv w:val="1"/>
      <w:marLeft w:val="0"/>
      <w:marRight w:val="0"/>
      <w:marTop w:val="0"/>
      <w:marBottom w:val="0"/>
      <w:divBdr>
        <w:top w:val="none" w:sz="0" w:space="0" w:color="auto"/>
        <w:left w:val="none" w:sz="0" w:space="0" w:color="auto"/>
        <w:bottom w:val="none" w:sz="0" w:space="0" w:color="auto"/>
        <w:right w:val="none" w:sz="0" w:space="0" w:color="auto"/>
      </w:divBdr>
    </w:div>
    <w:div w:id="281693833">
      <w:bodyDiv w:val="1"/>
      <w:marLeft w:val="0"/>
      <w:marRight w:val="0"/>
      <w:marTop w:val="0"/>
      <w:marBottom w:val="0"/>
      <w:divBdr>
        <w:top w:val="none" w:sz="0" w:space="0" w:color="auto"/>
        <w:left w:val="none" w:sz="0" w:space="0" w:color="auto"/>
        <w:bottom w:val="none" w:sz="0" w:space="0" w:color="auto"/>
        <w:right w:val="none" w:sz="0" w:space="0" w:color="auto"/>
      </w:divBdr>
    </w:div>
    <w:div w:id="307785125">
      <w:bodyDiv w:val="1"/>
      <w:marLeft w:val="0"/>
      <w:marRight w:val="0"/>
      <w:marTop w:val="0"/>
      <w:marBottom w:val="0"/>
      <w:divBdr>
        <w:top w:val="none" w:sz="0" w:space="0" w:color="auto"/>
        <w:left w:val="none" w:sz="0" w:space="0" w:color="auto"/>
        <w:bottom w:val="none" w:sz="0" w:space="0" w:color="auto"/>
        <w:right w:val="none" w:sz="0" w:space="0" w:color="auto"/>
      </w:divBdr>
      <w:divsChild>
        <w:div w:id="640041294">
          <w:marLeft w:val="0"/>
          <w:marRight w:val="0"/>
          <w:marTop w:val="0"/>
          <w:marBottom w:val="0"/>
          <w:divBdr>
            <w:top w:val="none" w:sz="0" w:space="0" w:color="auto"/>
            <w:left w:val="none" w:sz="0" w:space="0" w:color="auto"/>
            <w:bottom w:val="none" w:sz="0" w:space="0" w:color="auto"/>
            <w:right w:val="none" w:sz="0" w:space="0" w:color="auto"/>
          </w:divBdr>
        </w:div>
        <w:div w:id="727337914">
          <w:marLeft w:val="0"/>
          <w:marRight w:val="0"/>
          <w:marTop w:val="0"/>
          <w:marBottom w:val="0"/>
          <w:divBdr>
            <w:top w:val="none" w:sz="0" w:space="0" w:color="auto"/>
            <w:left w:val="none" w:sz="0" w:space="0" w:color="auto"/>
            <w:bottom w:val="none" w:sz="0" w:space="0" w:color="auto"/>
            <w:right w:val="none" w:sz="0" w:space="0" w:color="auto"/>
          </w:divBdr>
        </w:div>
        <w:div w:id="735203472">
          <w:marLeft w:val="0"/>
          <w:marRight w:val="0"/>
          <w:marTop w:val="0"/>
          <w:marBottom w:val="0"/>
          <w:divBdr>
            <w:top w:val="none" w:sz="0" w:space="0" w:color="auto"/>
            <w:left w:val="none" w:sz="0" w:space="0" w:color="auto"/>
            <w:bottom w:val="none" w:sz="0" w:space="0" w:color="auto"/>
            <w:right w:val="none" w:sz="0" w:space="0" w:color="auto"/>
          </w:divBdr>
        </w:div>
        <w:div w:id="1188251986">
          <w:marLeft w:val="0"/>
          <w:marRight w:val="0"/>
          <w:marTop w:val="0"/>
          <w:marBottom w:val="0"/>
          <w:divBdr>
            <w:top w:val="none" w:sz="0" w:space="0" w:color="auto"/>
            <w:left w:val="none" w:sz="0" w:space="0" w:color="auto"/>
            <w:bottom w:val="none" w:sz="0" w:space="0" w:color="auto"/>
            <w:right w:val="none" w:sz="0" w:space="0" w:color="auto"/>
          </w:divBdr>
        </w:div>
        <w:div w:id="1587038650">
          <w:marLeft w:val="0"/>
          <w:marRight w:val="0"/>
          <w:marTop w:val="0"/>
          <w:marBottom w:val="0"/>
          <w:divBdr>
            <w:top w:val="none" w:sz="0" w:space="0" w:color="auto"/>
            <w:left w:val="none" w:sz="0" w:space="0" w:color="auto"/>
            <w:bottom w:val="none" w:sz="0" w:space="0" w:color="auto"/>
            <w:right w:val="none" w:sz="0" w:space="0" w:color="auto"/>
          </w:divBdr>
        </w:div>
        <w:div w:id="1903909128">
          <w:marLeft w:val="0"/>
          <w:marRight w:val="0"/>
          <w:marTop w:val="0"/>
          <w:marBottom w:val="0"/>
          <w:divBdr>
            <w:top w:val="none" w:sz="0" w:space="0" w:color="auto"/>
            <w:left w:val="none" w:sz="0" w:space="0" w:color="auto"/>
            <w:bottom w:val="none" w:sz="0" w:space="0" w:color="auto"/>
            <w:right w:val="none" w:sz="0" w:space="0" w:color="auto"/>
          </w:divBdr>
        </w:div>
      </w:divsChild>
    </w:div>
    <w:div w:id="313995589">
      <w:bodyDiv w:val="1"/>
      <w:marLeft w:val="0"/>
      <w:marRight w:val="0"/>
      <w:marTop w:val="0"/>
      <w:marBottom w:val="0"/>
      <w:divBdr>
        <w:top w:val="none" w:sz="0" w:space="0" w:color="auto"/>
        <w:left w:val="none" w:sz="0" w:space="0" w:color="auto"/>
        <w:bottom w:val="none" w:sz="0" w:space="0" w:color="auto"/>
        <w:right w:val="none" w:sz="0" w:space="0" w:color="auto"/>
      </w:divBdr>
    </w:div>
    <w:div w:id="340277056">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374350907">
      <w:bodyDiv w:val="1"/>
      <w:marLeft w:val="0"/>
      <w:marRight w:val="0"/>
      <w:marTop w:val="0"/>
      <w:marBottom w:val="0"/>
      <w:divBdr>
        <w:top w:val="none" w:sz="0" w:space="0" w:color="auto"/>
        <w:left w:val="none" w:sz="0" w:space="0" w:color="auto"/>
        <w:bottom w:val="none" w:sz="0" w:space="0" w:color="auto"/>
        <w:right w:val="none" w:sz="0" w:space="0" w:color="auto"/>
      </w:divBdr>
    </w:div>
    <w:div w:id="375201366">
      <w:bodyDiv w:val="1"/>
      <w:marLeft w:val="0"/>
      <w:marRight w:val="0"/>
      <w:marTop w:val="0"/>
      <w:marBottom w:val="0"/>
      <w:divBdr>
        <w:top w:val="none" w:sz="0" w:space="0" w:color="auto"/>
        <w:left w:val="none" w:sz="0" w:space="0" w:color="auto"/>
        <w:bottom w:val="none" w:sz="0" w:space="0" w:color="auto"/>
        <w:right w:val="none" w:sz="0" w:space="0" w:color="auto"/>
      </w:divBdr>
    </w:div>
    <w:div w:id="395015192">
      <w:bodyDiv w:val="1"/>
      <w:marLeft w:val="0"/>
      <w:marRight w:val="0"/>
      <w:marTop w:val="0"/>
      <w:marBottom w:val="0"/>
      <w:divBdr>
        <w:top w:val="none" w:sz="0" w:space="0" w:color="auto"/>
        <w:left w:val="none" w:sz="0" w:space="0" w:color="auto"/>
        <w:bottom w:val="none" w:sz="0" w:space="0" w:color="auto"/>
        <w:right w:val="none" w:sz="0" w:space="0" w:color="auto"/>
      </w:divBdr>
    </w:div>
    <w:div w:id="430707485">
      <w:bodyDiv w:val="1"/>
      <w:marLeft w:val="0"/>
      <w:marRight w:val="0"/>
      <w:marTop w:val="0"/>
      <w:marBottom w:val="0"/>
      <w:divBdr>
        <w:top w:val="none" w:sz="0" w:space="0" w:color="auto"/>
        <w:left w:val="none" w:sz="0" w:space="0" w:color="auto"/>
        <w:bottom w:val="none" w:sz="0" w:space="0" w:color="auto"/>
        <w:right w:val="none" w:sz="0" w:space="0" w:color="auto"/>
      </w:divBdr>
    </w:div>
    <w:div w:id="441153619">
      <w:bodyDiv w:val="1"/>
      <w:marLeft w:val="0"/>
      <w:marRight w:val="0"/>
      <w:marTop w:val="0"/>
      <w:marBottom w:val="0"/>
      <w:divBdr>
        <w:top w:val="none" w:sz="0" w:space="0" w:color="auto"/>
        <w:left w:val="none" w:sz="0" w:space="0" w:color="auto"/>
        <w:bottom w:val="none" w:sz="0" w:space="0" w:color="auto"/>
        <w:right w:val="none" w:sz="0" w:space="0" w:color="auto"/>
      </w:divBdr>
      <w:divsChild>
        <w:div w:id="1584799643">
          <w:marLeft w:val="0"/>
          <w:marRight w:val="0"/>
          <w:marTop w:val="0"/>
          <w:marBottom w:val="567"/>
          <w:divBdr>
            <w:top w:val="none" w:sz="0" w:space="0" w:color="auto"/>
            <w:left w:val="none" w:sz="0" w:space="0" w:color="auto"/>
            <w:bottom w:val="none" w:sz="0" w:space="0" w:color="auto"/>
            <w:right w:val="none" w:sz="0" w:space="0" w:color="auto"/>
          </w:divBdr>
        </w:div>
        <w:div w:id="2061394603">
          <w:marLeft w:val="0"/>
          <w:marRight w:val="0"/>
          <w:marTop w:val="480"/>
          <w:marBottom w:val="240"/>
          <w:divBdr>
            <w:top w:val="none" w:sz="0" w:space="0" w:color="auto"/>
            <w:left w:val="none" w:sz="0" w:space="0" w:color="auto"/>
            <w:bottom w:val="none" w:sz="0" w:space="0" w:color="auto"/>
            <w:right w:val="none" w:sz="0" w:space="0" w:color="auto"/>
          </w:divBdr>
        </w:div>
      </w:divsChild>
    </w:div>
    <w:div w:id="505217524">
      <w:bodyDiv w:val="1"/>
      <w:marLeft w:val="0"/>
      <w:marRight w:val="0"/>
      <w:marTop w:val="0"/>
      <w:marBottom w:val="0"/>
      <w:divBdr>
        <w:top w:val="none" w:sz="0" w:space="0" w:color="auto"/>
        <w:left w:val="none" w:sz="0" w:space="0" w:color="auto"/>
        <w:bottom w:val="none" w:sz="0" w:space="0" w:color="auto"/>
        <w:right w:val="none" w:sz="0" w:space="0" w:color="auto"/>
      </w:divBdr>
    </w:div>
    <w:div w:id="530607775">
      <w:bodyDiv w:val="1"/>
      <w:marLeft w:val="0"/>
      <w:marRight w:val="0"/>
      <w:marTop w:val="0"/>
      <w:marBottom w:val="0"/>
      <w:divBdr>
        <w:top w:val="none" w:sz="0" w:space="0" w:color="auto"/>
        <w:left w:val="none" w:sz="0" w:space="0" w:color="auto"/>
        <w:bottom w:val="none" w:sz="0" w:space="0" w:color="auto"/>
        <w:right w:val="none" w:sz="0" w:space="0" w:color="auto"/>
      </w:divBdr>
    </w:div>
    <w:div w:id="534126111">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397085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512">
          <w:marLeft w:val="547"/>
          <w:marRight w:val="0"/>
          <w:marTop w:val="77"/>
          <w:marBottom w:val="0"/>
          <w:divBdr>
            <w:top w:val="none" w:sz="0" w:space="0" w:color="auto"/>
            <w:left w:val="none" w:sz="0" w:space="0" w:color="auto"/>
            <w:bottom w:val="none" w:sz="0" w:space="0" w:color="auto"/>
            <w:right w:val="none" w:sz="0" w:space="0" w:color="auto"/>
          </w:divBdr>
        </w:div>
      </w:divsChild>
    </w:div>
    <w:div w:id="558248647">
      <w:bodyDiv w:val="1"/>
      <w:marLeft w:val="0"/>
      <w:marRight w:val="0"/>
      <w:marTop w:val="0"/>
      <w:marBottom w:val="0"/>
      <w:divBdr>
        <w:top w:val="none" w:sz="0" w:space="0" w:color="auto"/>
        <w:left w:val="none" w:sz="0" w:space="0" w:color="auto"/>
        <w:bottom w:val="none" w:sz="0" w:space="0" w:color="auto"/>
        <w:right w:val="none" w:sz="0" w:space="0" w:color="auto"/>
      </w:divBdr>
    </w:div>
    <w:div w:id="567693612">
      <w:bodyDiv w:val="1"/>
      <w:marLeft w:val="0"/>
      <w:marRight w:val="0"/>
      <w:marTop w:val="0"/>
      <w:marBottom w:val="0"/>
      <w:divBdr>
        <w:top w:val="none" w:sz="0" w:space="0" w:color="auto"/>
        <w:left w:val="none" w:sz="0" w:space="0" w:color="auto"/>
        <w:bottom w:val="none" w:sz="0" w:space="0" w:color="auto"/>
        <w:right w:val="none" w:sz="0" w:space="0" w:color="auto"/>
      </w:divBdr>
    </w:div>
    <w:div w:id="587813013">
      <w:bodyDiv w:val="1"/>
      <w:marLeft w:val="0"/>
      <w:marRight w:val="0"/>
      <w:marTop w:val="0"/>
      <w:marBottom w:val="0"/>
      <w:divBdr>
        <w:top w:val="none" w:sz="0" w:space="0" w:color="auto"/>
        <w:left w:val="none" w:sz="0" w:space="0" w:color="auto"/>
        <w:bottom w:val="none" w:sz="0" w:space="0" w:color="auto"/>
        <w:right w:val="none" w:sz="0" w:space="0" w:color="auto"/>
      </w:divBdr>
      <w:divsChild>
        <w:div w:id="962074761">
          <w:marLeft w:val="0"/>
          <w:marRight w:val="0"/>
          <w:marTop w:val="480"/>
          <w:marBottom w:val="240"/>
          <w:divBdr>
            <w:top w:val="none" w:sz="0" w:space="0" w:color="auto"/>
            <w:left w:val="none" w:sz="0" w:space="0" w:color="auto"/>
            <w:bottom w:val="none" w:sz="0" w:space="0" w:color="auto"/>
            <w:right w:val="none" w:sz="0" w:space="0" w:color="auto"/>
          </w:divBdr>
        </w:div>
        <w:div w:id="1271552911">
          <w:marLeft w:val="0"/>
          <w:marRight w:val="0"/>
          <w:marTop w:val="0"/>
          <w:marBottom w:val="567"/>
          <w:divBdr>
            <w:top w:val="none" w:sz="0" w:space="0" w:color="auto"/>
            <w:left w:val="none" w:sz="0" w:space="0" w:color="auto"/>
            <w:bottom w:val="none" w:sz="0" w:space="0" w:color="auto"/>
            <w:right w:val="none" w:sz="0" w:space="0" w:color="auto"/>
          </w:divBdr>
        </w:div>
      </w:divsChild>
    </w:div>
    <w:div w:id="587814043">
      <w:bodyDiv w:val="1"/>
      <w:marLeft w:val="0"/>
      <w:marRight w:val="0"/>
      <w:marTop w:val="0"/>
      <w:marBottom w:val="0"/>
      <w:divBdr>
        <w:top w:val="none" w:sz="0" w:space="0" w:color="auto"/>
        <w:left w:val="none" w:sz="0" w:space="0" w:color="auto"/>
        <w:bottom w:val="none" w:sz="0" w:space="0" w:color="auto"/>
        <w:right w:val="none" w:sz="0" w:space="0" w:color="auto"/>
      </w:divBdr>
    </w:div>
    <w:div w:id="651101468">
      <w:bodyDiv w:val="1"/>
      <w:marLeft w:val="0"/>
      <w:marRight w:val="0"/>
      <w:marTop w:val="0"/>
      <w:marBottom w:val="0"/>
      <w:divBdr>
        <w:top w:val="none" w:sz="0" w:space="0" w:color="auto"/>
        <w:left w:val="none" w:sz="0" w:space="0" w:color="auto"/>
        <w:bottom w:val="none" w:sz="0" w:space="0" w:color="auto"/>
        <w:right w:val="none" w:sz="0" w:space="0" w:color="auto"/>
      </w:divBdr>
      <w:divsChild>
        <w:div w:id="497428887">
          <w:marLeft w:val="0"/>
          <w:marRight w:val="0"/>
          <w:marTop w:val="0"/>
          <w:marBottom w:val="0"/>
          <w:divBdr>
            <w:top w:val="none" w:sz="0" w:space="0" w:color="auto"/>
            <w:left w:val="none" w:sz="0" w:space="0" w:color="auto"/>
            <w:bottom w:val="none" w:sz="0" w:space="0" w:color="auto"/>
            <w:right w:val="none" w:sz="0" w:space="0" w:color="auto"/>
          </w:divBdr>
        </w:div>
        <w:div w:id="543567593">
          <w:marLeft w:val="0"/>
          <w:marRight w:val="0"/>
          <w:marTop w:val="0"/>
          <w:marBottom w:val="0"/>
          <w:divBdr>
            <w:top w:val="none" w:sz="0" w:space="0" w:color="auto"/>
            <w:left w:val="none" w:sz="0" w:space="0" w:color="auto"/>
            <w:bottom w:val="none" w:sz="0" w:space="0" w:color="auto"/>
            <w:right w:val="none" w:sz="0" w:space="0" w:color="auto"/>
          </w:divBdr>
        </w:div>
        <w:div w:id="676805053">
          <w:marLeft w:val="0"/>
          <w:marRight w:val="0"/>
          <w:marTop w:val="0"/>
          <w:marBottom w:val="0"/>
          <w:divBdr>
            <w:top w:val="none" w:sz="0" w:space="0" w:color="auto"/>
            <w:left w:val="none" w:sz="0" w:space="0" w:color="auto"/>
            <w:bottom w:val="none" w:sz="0" w:space="0" w:color="auto"/>
            <w:right w:val="none" w:sz="0" w:space="0" w:color="auto"/>
          </w:divBdr>
        </w:div>
        <w:div w:id="794831666">
          <w:marLeft w:val="0"/>
          <w:marRight w:val="0"/>
          <w:marTop w:val="0"/>
          <w:marBottom w:val="0"/>
          <w:divBdr>
            <w:top w:val="none" w:sz="0" w:space="0" w:color="auto"/>
            <w:left w:val="none" w:sz="0" w:space="0" w:color="auto"/>
            <w:bottom w:val="none" w:sz="0" w:space="0" w:color="auto"/>
            <w:right w:val="none" w:sz="0" w:space="0" w:color="auto"/>
          </w:divBdr>
        </w:div>
        <w:div w:id="1624800569">
          <w:marLeft w:val="0"/>
          <w:marRight w:val="0"/>
          <w:marTop w:val="0"/>
          <w:marBottom w:val="0"/>
          <w:divBdr>
            <w:top w:val="none" w:sz="0" w:space="0" w:color="auto"/>
            <w:left w:val="none" w:sz="0" w:space="0" w:color="auto"/>
            <w:bottom w:val="none" w:sz="0" w:space="0" w:color="auto"/>
            <w:right w:val="none" w:sz="0" w:space="0" w:color="auto"/>
          </w:divBdr>
        </w:div>
      </w:divsChild>
    </w:div>
    <w:div w:id="653409952">
      <w:bodyDiv w:val="1"/>
      <w:marLeft w:val="0"/>
      <w:marRight w:val="0"/>
      <w:marTop w:val="0"/>
      <w:marBottom w:val="0"/>
      <w:divBdr>
        <w:top w:val="none" w:sz="0" w:space="0" w:color="auto"/>
        <w:left w:val="none" w:sz="0" w:space="0" w:color="auto"/>
        <w:bottom w:val="none" w:sz="0" w:space="0" w:color="auto"/>
        <w:right w:val="none" w:sz="0" w:space="0" w:color="auto"/>
      </w:divBdr>
      <w:divsChild>
        <w:div w:id="142938630">
          <w:marLeft w:val="0"/>
          <w:marRight w:val="0"/>
          <w:marTop w:val="480"/>
          <w:marBottom w:val="240"/>
          <w:divBdr>
            <w:top w:val="none" w:sz="0" w:space="0" w:color="auto"/>
            <w:left w:val="none" w:sz="0" w:space="0" w:color="auto"/>
            <w:bottom w:val="none" w:sz="0" w:space="0" w:color="auto"/>
            <w:right w:val="none" w:sz="0" w:space="0" w:color="auto"/>
          </w:divBdr>
        </w:div>
        <w:div w:id="15010120">
          <w:marLeft w:val="0"/>
          <w:marRight w:val="0"/>
          <w:marTop w:val="0"/>
          <w:marBottom w:val="567"/>
          <w:divBdr>
            <w:top w:val="none" w:sz="0" w:space="0" w:color="auto"/>
            <w:left w:val="none" w:sz="0" w:space="0" w:color="auto"/>
            <w:bottom w:val="none" w:sz="0" w:space="0" w:color="auto"/>
            <w:right w:val="none" w:sz="0" w:space="0" w:color="auto"/>
          </w:divBdr>
        </w:div>
      </w:divsChild>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691684951">
      <w:bodyDiv w:val="1"/>
      <w:marLeft w:val="0"/>
      <w:marRight w:val="0"/>
      <w:marTop w:val="0"/>
      <w:marBottom w:val="0"/>
      <w:divBdr>
        <w:top w:val="none" w:sz="0" w:space="0" w:color="auto"/>
        <w:left w:val="none" w:sz="0" w:space="0" w:color="auto"/>
        <w:bottom w:val="none" w:sz="0" w:space="0" w:color="auto"/>
        <w:right w:val="none" w:sz="0" w:space="0" w:color="auto"/>
      </w:divBdr>
    </w:div>
    <w:div w:id="728379207">
      <w:bodyDiv w:val="1"/>
      <w:marLeft w:val="0"/>
      <w:marRight w:val="0"/>
      <w:marTop w:val="0"/>
      <w:marBottom w:val="0"/>
      <w:divBdr>
        <w:top w:val="none" w:sz="0" w:space="0" w:color="auto"/>
        <w:left w:val="none" w:sz="0" w:space="0" w:color="auto"/>
        <w:bottom w:val="none" w:sz="0" w:space="0" w:color="auto"/>
        <w:right w:val="none" w:sz="0" w:space="0" w:color="auto"/>
      </w:divBdr>
    </w:div>
    <w:div w:id="789782141">
      <w:bodyDiv w:val="1"/>
      <w:marLeft w:val="0"/>
      <w:marRight w:val="0"/>
      <w:marTop w:val="0"/>
      <w:marBottom w:val="0"/>
      <w:divBdr>
        <w:top w:val="none" w:sz="0" w:space="0" w:color="auto"/>
        <w:left w:val="none" w:sz="0" w:space="0" w:color="auto"/>
        <w:bottom w:val="none" w:sz="0" w:space="0" w:color="auto"/>
        <w:right w:val="none" w:sz="0" w:space="0" w:color="auto"/>
      </w:divBdr>
    </w:div>
    <w:div w:id="802968590">
      <w:bodyDiv w:val="1"/>
      <w:marLeft w:val="0"/>
      <w:marRight w:val="0"/>
      <w:marTop w:val="0"/>
      <w:marBottom w:val="0"/>
      <w:divBdr>
        <w:top w:val="none" w:sz="0" w:space="0" w:color="auto"/>
        <w:left w:val="none" w:sz="0" w:space="0" w:color="auto"/>
        <w:bottom w:val="none" w:sz="0" w:space="0" w:color="auto"/>
        <w:right w:val="none" w:sz="0" w:space="0" w:color="auto"/>
      </w:divBdr>
    </w:div>
    <w:div w:id="827746425">
      <w:bodyDiv w:val="1"/>
      <w:marLeft w:val="0"/>
      <w:marRight w:val="0"/>
      <w:marTop w:val="0"/>
      <w:marBottom w:val="0"/>
      <w:divBdr>
        <w:top w:val="none" w:sz="0" w:space="0" w:color="auto"/>
        <w:left w:val="none" w:sz="0" w:space="0" w:color="auto"/>
        <w:bottom w:val="none" w:sz="0" w:space="0" w:color="auto"/>
        <w:right w:val="none" w:sz="0" w:space="0" w:color="auto"/>
      </w:divBdr>
    </w:div>
    <w:div w:id="837036390">
      <w:bodyDiv w:val="1"/>
      <w:marLeft w:val="0"/>
      <w:marRight w:val="0"/>
      <w:marTop w:val="0"/>
      <w:marBottom w:val="0"/>
      <w:divBdr>
        <w:top w:val="none" w:sz="0" w:space="0" w:color="auto"/>
        <w:left w:val="none" w:sz="0" w:space="0" w:color="auto"/>
        <w:bottom w:val="none" w:sz="0" w:space="0" w:color="auto"/>
        <w:right w:val="none" w:sz="0" w:space="0" w:color="auto"/>
      </w:divBdr>
    </w:div>
    <w:div w:id="845288053">
      <w:bodyDiv w:val="1"/>
      <w:marLeft w:val="0"/>
      <w:marRight w:val="0"/>
      <w:marTop w:val="0"/>
      <w:marBottom w:val="0"/>
      <w:divBdr>
        <w:top w:val="none" w:sz="0" w:space="0" w:color="auto"/>
        <w:left w:val="none" w:sz="0" w:space="0" w:color="auto"/>
        <w:bottom w:val="none" w:sz="0" w:space="0" w:color="auto"/>
        <w:right w:val="none" w:sz="0" w:space="0" w:color="auto"/>
      </w:divBdr>
      <w:divsChild>
        <w:div w:id="659624510">
          <w:marLeft w:val="0"/>
          <w:marRight w:val="0"/>
          <w:marTop w:val="480"/>
          <w:marBottom w:val="240"/>
          <w:divBdr>
            <w:top w:val="none" w:sz="0" w:space="0" w:color="auto"/>
            <w:left w:val="none" w:sz="0" w:space="0" w:color="auto"/>
            <w:bottom w:val="none" w:sz="0" w:space="0" w:color="auto"/>
            <w:right w:val="none" w:sz="0" w:space="0" w:color="auto"/>
          </w:divBdr>
        </w:div>
        <w:div w:id="1385107121">
          <w:marLeft w:val="0"/>
          <w:marRight w:val="0"/>
          <w:marTop w:val="0"/>
          <w:marBottom w:val="567"/>
          <w:divBdr>
            <w:top w:val="none" w:sz="0" w:space="0" w:color="auto"/>
            <w:left w:val="none" w:sz="0" w:space="0" w:color="auto"/>
            <w:bottom w:val="none" w:sz="0" w:space="0" w:color="auto"/>
            <w:right w:val="none" w:sz="0" w:space="0" w:color="auto"/>
          </w:divBdr>
        </w:div>
      </w:divsChild>
    </w:div>
    <w:div w:id="915166298">
      <w:bodyDiv w:val="1"/>
      <w:marLeft w:val="0"/>
      <w:marRight w:val="0"/>
      <w:marTop w:val="0"/>
      <w:marBottom w:val="0"/>
      <w:divBdr>
        <w:top w:val="none" w:sz="0" w:space="0" w:color="auto"/>
        <w:left w:val="none" w:sz="0" w:space="0" w:color="auto"/>
        <w:bottom w:val="none" w:sz="0" w:space="0" w:color="auto"/>
        <w:right w:val="none" w:sz="0" w:space="0" w:color="auto"/>
      </w:divBdr>
    </w:div>
    <w:div w:id="941569083">
      <w:bodyDiv w:val="1"/>
      <w:marLeft w:val="0"/>
      <w:marRight w:val="0"/>
      <w:marTop w:val="0"/>
      <w:marBottom w:val="0"/>
      <w:divBdr>
        <w:top w:val="none" w:sz="0" w:space="0" w:color="auto"/>
        <w:left w:val="none" w:sz="0" w:space="0" w:color="auto"/>
        <w:bottom w:val="none" w:sz="0" w:space="0" w:color="auto"/>
        <w:right w:val="none" w:sz="0" w:space="0" w:color="auto"/>
      </w:divBdr>
    </w:div>
    <w:div w:id="973101936">
      <w:bodyDiv w:val="1"/>
      <w:marLeft w:val="0"/>
      <w:marRight w:val="0"/>
      <w:marTop w:val="0"/>
      <w:marBottom w:val="0"/>
      <w:divBdr>
        <w:top w:val="none" w:sz="0" w:space="0" w:color="auto"/>
        <w:left w:val="none" w:sz="0" w:space="0" w:color="auto"/>
        <w:bottom w:val="none" w:sz="0" w:space="0" w:color="auto"/>
        <w:right w:val="none" w:sz="0" w:space="0" w:color="auto"/>
      </w:divBdr>
    </w:div>
    <w:div w:id="1008294747">
      <w:bodyDiv w:val="1"/>
      <w:marLeft w:val="0"/>
      <w:marRight w:val="0"/>
      <w:marTop w:val="0"/>
      <w:marBottom w:val="0"/>
      <w:divBdr>
        <w:top w:val="none" w:sz="0" w:space="0" w:color="auto"/>
        <w:left w:val="none" w:sz="0" w:space="0" w:color="auto"/>
        <w:bottom w:val="none" w:sz="0" w:space="0" w:color="auto"/>
        <w:right w:val="none" w:sz="0" w:space="0" w:color="auto"/>
      </w:divBdr>
      <w:divsChild>
        <w:div w:id="57093745">
          <w:marLeft w:val="0"/>
          <w:marRight w:val="0"/>
          <w:marTop w:val="0"/>
          <w:marBottom w:val="567"/>
          <w:divBdr>
            <w:top w:val="none" w:sz="0" w:space="0" w:color="auto"/>
            <w:left w:val="none" w:sz="0" w:space="0" w:color="auto"/>
            <w:bottom w:val="none" w:sz="0" w:space="0" w:color="auto"/>
            <w:right w:val="none" w:sz="0" w:space="0" w:color="auto"/>
          </w:divBdr>
        </w:div>
        <w:div w:id="2046909627">
          <w:marLeft w:val="0"/>
          <w:marRight w:val="0"/>
          <w:marTop w:val="480"/>
          <w:marBottom w:val="240"/>
          <w:divBdr>
            <w:top w:val="none" w:sz="0" w:space="0" w:color="auto"/>
            <w:left w:val="none" w:sz="0" w:space="0" w:color="auto"/>
            <w:bottom w:val="none" w:sz="0" w:space="0" w:color="auto"/>
            <w:right w:val="none" w:sz="0" w:space="0" w:color="auto"/>
          </w:divBdr>
        </w:div>
      </w:divsChild>
    </w:div>
    <w:div w:id="1033849281">
      <w:bodyDiv w:val="1"/>
      <w:marLeft w:val="0"/>
      <w:marRight w:val="0"/>
      <w:marTop w:val="0"/>
      <w:marBottom w:val="0"/>
      <w:divBdr>
        <w:top w:val="none" w:sz="0" w:space="0" w:color="auto"/>
        <w:left w:val="none" w:sz="0" w:space="0" w:color="auto"/>
        <w:bottom w:val="none" w:sz="0" w:space="0" w:color="auto"/>
        <w:right w:val="none" w:sz="0" w:space="0" w:color="auto"/>
      </w:divBdr>
    </w:div>
    <w:div w:id="1045982192">
      <w:bodyDiv w:val="1"/>
      <w:marLeft w:val="0"/>
      <w:marRight w:val="0"/>
      <w:marTop w:val="0"/>
      <w:marBottom w:val="0"/>
      <w:divBdr>
        <w:top w:val="none" w:sz="0" w:space="0" w:color="auto"/>
        <w:left w:val="none" w:sz="0" w:space="0" w:color="auto"/>
        <w:bottom w:val="none" w:sz="0" w:space="0" w:color="auto"/>
        <w:right w:val="none" w:sz="0" w:space="0" w:color="auto"/>
      </w:divBdr>
      <w:divsChild>
        <w:div w:id="1396246407">
          <w:marLeft w:val="0"/>
          <w:marRight w:val="0"/>
          <w:marTop w:val="0"/>
          <w:marBottom w:val="567"/>
          <w:divBdr>
            <w:top w:val="none" w:sz="0" w:space="0" w:color="auto"/>
            <w:left w:val="none" w:sz="0" w:space="0" w:color="auto"/>
            <w:bottom w:val="none" w:sz="0" w:space="0" w:color="auto"/>
            <w:right w:val="none" w:sz="0" w:space="0" w:color="auto"/>
          </w:divBdr>
        </w:div>
        <w:div w:id="1637638470">
          <w:marLeft w:val="0"/>
          <w:marRight w:val="0"/>
          <w:marTop w:val="480"/>
          <w:marBottom w:val="240"/>
          <w:divBdr>
            <w:top w:val="none" w:sz="0" w:space="0" w:color="auto"/>
            <w:left w:val="none" w:sz="0" w:space="0" w:color="auto"/>
            <w:bottom w:val="none" w:sz="0" w:space="0" w:color="auto"/>
            <w:right w:val="none" w:sz="0" w:space="0" w:color="auto"/>
          </w:divBdr>
        </w:div>
      </w:divsChild>
    </w:div>
    <w:div w:id="1104303477">
      <w:bodyDiv w:val="1"/>
      <w:marLeft w:val="0"/>
      <w:marRight w:val="0"/>
      <w:marTop w:val="0"/>
      <w:marBottom w:val="0"/>
      <w:divBdr>
        <w:top w:val="none" w:sz="0" w:space="0" w:color="auto"/>
        <w:left w:val="none" w:sz="0" w:space="0" w:color="auto"/>
        <w:bottom w:val="none" w:sz="0" w:space="0" w:color="auto"/>
        <w:right w:val="none" w:sz="0" w:space="0" w:color="auto"/>
      </w:divBdr>
    </w:div>
    <w:div w:id="1104806713">
      <w:bodyDiv w:val="1"/>
      <w:marLeft w:val="0"/>
      <w:marRight w:val="0"/>
      <w:marTop w:val="0"/>
      <w:marBottom w:val="0"/>
      <w:divBdr>
        <w:top w:val="none" w:sz="0" w:space="0" w:color="auto"/>
        <w:left w:val="none" w:sz="0" w:space="0" w:color="auto"/>
        <w:bottom w:val="none" w:sz="0" w:space="0" w:color="auto"/>
        <w:right w:val="none" w:sz="0" w:space="0" w:color="auto"/>
      </w:divBdr>
    </w:div>
    <w:div w:id="1110128380">
      <w:bodyDiv w:val="1"/>
      <w:marLeft w:val="0"/>
      <w:marRight w:val="0"/>
      <w:marTop w:val="0"/>
      <w:marBottom w:val="0"/>
      <w:divBdr>
        <w:top w:val="none" w:sz="0" w:space="0" w:color="auto"/>
        <w:left w:val="none" w:sz="0" w:space="0" w:color="auto"/>
        <w:bottom w:val="none" w:sz="0" w:space="0" w:color="auto"/>
        <w:right w:val="none" w:sz="0" w:space="0" w:color="auto"/>
      </w:divBdr>
    </w:div>
    <w:div w:id="1127549122">
      <w:bodyDiv w:val="1"/>
      <w:marLeft w:val="0"/>
      <w:marRight w:val="0"/>
      <w:marTop w:val="0"/>
      <w:marBottom w:val="0"/>
      <w:divBdr>
        <w:top w:val="none" w:sz="0" w:space="0" w:color="auto"/>
        <w:left w:val="none" w:sz="0" w:space="0" w:color="auto"/>
        <w:bottom w:val="none" w:sz="0" w:space="0" w:color="auto"/>
        <w:right w:val="none" w:sz="0" w:space="0" w:color="auto"/>
      </w:divBdr>
    </w:div>
    <w:div w:id="1142891482">
      <w:bodyDiv w:val="1"/>
      <w:marLeft w:val="0"/>
      <w:marRight w:val="0"/>
      <w:marTop w:val="0"/>
      <w:marBottom w:val="0"/>
      <w:divBdr>
        <w:top w:val="none" w:sz="0" w:space="0" w:color="auto"/>
        <w:left w:val="none" w:sz="0" w:space="0" w:color="auto"/>
        <w:bottom w:val="none" w:sz="0" w:space="0" w:color="auto"/>
        <w:right w:val="none" w:sz="0" w:space="0" w:color="auto"/>
      </w:divBdr>
    </w:div>
    <w:div w:id="1164738179">
      <w:bodyDiv w:val="1"/>
      <w:marLeft w:val="0"/>
      <w:marRight w:val="0"/>
      <w:marTop w:val="0"/>
      <w:marBottom w:val="0"/>
      <w:divBdr>
        <w:top w:val="none" w:sz="0" w:space="0" w:color="auto"/>
        <w:left w:val="none" w:sz="0" w:space="0" w:color="auto"/>
        <w:bottom w:val="none" w:sz="0" w:space="0" w:color="auto"/>
        <w:right w:val="none" w:sz="0" w:space="0" w:color="auto"/>
      </w:divBdr>
      <w:divsChild>
        <w:div w:id="1075082307">
          <w:marLeft w:val="0"/>
          <w:marRight w:val="0"/>
          <w:marTop w:val="480"/>
          <w:marBottom w:val="240"/>
          <w:divBdr>
            <w:top w:val="none" w:sz="0" w:space="0" w:color="auto"/>
            <w:left w:val="none" w:sz="0" w:space="0" w:color="auto"/>
            <w:bottom w:val="none" w:sz="0" w:space="0" w:color="auto"/>
            <w:right w:val="none" w:sz="0" w:space="0" w:color="auto"/>
          </w:divBdr>
        </w:div>
        <w:div w:id="1306205755">
          <w:marLeft w:val="0"/>
          <w:marRight w:val="0"/>
          <w:marTop w:val="0"/>
          <w:marBottom w:val="567"/>
          <w:divBdr>
            <w:top w:val="none" w:sz="0" w:space="0" w:color="auto"/>
            <w:left w:val="none" w:sz="0" w:space="0" w:color="auto"/>
            <w:bottom w:val="none" w:sz="0" w:space="0" w:color="auto"/>
            <w:right w:val="none" w:sz="0" w:space="0" w:color="auto"/>
          </w:divBdr>
        </w:div>
      </w:divsChild>
    </w:div>
    <w:div w:id="1176386694">
      <w:bodyDiv w:val="1"/>
      <w:marLeft w:val="0"/>
      <w:marRight w:val="0"/>
      <w:marTop w:val="0"/>
      <w:marBottom w:val="0"/>
      <w:divBdr>
        <w:top w:val="none" w:sz="0" w:space="0" w:color="auto"/>
        <w:left w:val="none" w:sz="0" w:space="0" w:color="auto"/>
        <w:bottom w:val="none" w:sz="0" w:space="0" w:color="auto"/>
        <w:right w:val="none" w:sz="0" w:space="0" w:color="auto"/>
      </w:divBdr>
    </w:div>
    <w:div w:id="1183594873">
      <w:bodyDiv w:val="1"/>
      <w:marLeft w:val="0"/>
      <w:marRight w:val="0"/>
      <w:marTop w:val="0"/>
      <w:marBottom w:val="0"/>
      <w:divBdr>
        <w:top w:val="none" w:sz="0" w:space="0" w:color="auto"/>
        <w:left w:val="none" w:sz="0" w:space="0" w:color="auto"/>
        <w:bottom w:val="none" w:sz="0" w:space="0" w:color="auto"/>
        <w:right w:val="none" w:sz="0" w:space="0" w:color="auto"/>
      </w:divBdr>
      <w:divsChild>
        <w:div w:id="583535672">
          <w:marLeft w:val="0"/>
          <w:marRight w:val="0"/>
          <w:marTop w:val="480"/>
          <w:marBottom w:val="240"/>
          <w:divBdr>
            <w:top w:val="none" w:sz="0" w:space="0" w:color="auto"/>
            <w:left w:val="none" w:sz="0" w:space="0" w:color="auto"/>
            <w:bottom w:val="none" w:sz="0" w:space="0" w:color="auto"/>
            <w:right w:val="none" w:sz="0" w:space="0" w:color="auto"/>
          </w:divBdr>
        </w:div>
        <w:div w:id="1548764470">
          <w:marLeft w:val="0"/>
          <w:marRight w:val="0"/>
          <w:marTop w:val="0"/>
          <w:marBottom w:val="567"/>
          <w:divBdr>
            <w:top w:val="none" w:sz="0" w:space="0" w:color="auto"/>
            <w:left w:val="none" w:sz="0" w:space="0" w:color="auto"/>
            <w:bottom w:val="none" w:sz="0" w:space="0" w:color="auto"/>
            <w:right w:val="none" w:sz="0" w:space="0" w:color="auto"/>
          </w:divBdr>
        </w:div>
      </w:divsChild>
    </w:div>
    <w:div w:id="1214078992">
      <w:bodyDiv w:val="1"/>
      <w:marLeft w:val="0"/>
      <w:marRight w:val="0"/>
      <w:marTop w:val="0"/>
      <w:marBottom w:val="0"/>
      <w:divBdr>
        <w:top w:val="none" w:sz="0" w:space="0" w:color="auto"/>
        <w:left w:val="none" w:sz="0" w:space="0" w:color="auto"/>
        <w:bottom w:val="none" w:sz="0" w:space="0" w:color="auto"/>
        <w:right w:val="none" w:sz="0" w:space="0" w:color="auto"/>
      </w:divBdr>
    </w:div>
    <w:div w:id="1245577937">
      <w:bodyDiv w:val="1"/>
      <w:marLeft w:val="0"/>
      <w:marRight w:val="0"/>
      <w:marTop w:val="0"/>
      <w:marBottom w:val="0"/>
      <w:divBdr>
        <w:top w:val="none" w:sz="0" w:space="0" w:color="auto"/>
        <w:left w:val="none" w:sz="0" w:space="0" w:color="auto"/>
        <w:bottom w:val="none" w:sz="0" w:space="0" w:color="auto"/>
        <w:right w:val="none" w:sz="0" w:space="0" w:color="auto"/>
      </w:divBdr>
      <w:divsChild>
        <w:div w:id="412358023">
          <w:marLeft w:val="0"/>
          <w:marRight w:val="0"/>
          <w:marTop w:val="0"/>
          <w:marBottom w:val="0"/>
          <w:divBdr>
            <w:top w:val="none" w:sz="0" w:space="0" w:color="auto"/>
            <w:left w:val="none" w:sz="0" w:space="0" w:color="auto"/>
            <w:bottom w:val="none" w:sz="0" w:space="0" w:color="auto"/>
            <w:right w:val="none" w:sz="0" w:space="0" w:color="auto"/>
          </w:divBdr>
        </w:div>
        <w:div w:id="509487653">
          <w:marLeft w:val="0"/>
          <w:marRight w:val="0"/>
          <w:marTop w:val="0"/>
          <w:marBottom w:val="0"/>
          <w:divBdr>
            <w:top w:val="none" w:sz="0" w:space="0" w:color="auto"/>
            <w:left w:val="none" w:sz="0" w:space="0" w:color="auto"/>
            <w:bottom w:val="none" w:sz="0" w:space="0" w:color="auto"/>
            <w:right w:val="none" w:sz="0" w:space="0" w:color="auto"/>
          </w:divBdr>
        </w:div>
        <w:div w:id="513157333">
          <w:marLeft w:val="0"/>
          <w:marRight w:val="0"/>
          <w:marTop w:val="0"/>
          <w:marBottom w:val="0"/>
          <w:divBdr>
            <w:top w:val="none" w:sz="0" w:space="0" w:color="auto"/>
            <w:left w:val="none" w:sz="0" w:space="0" w:color="auto"/>
            <w:bottom w:val="none" w:sz="0" w:space="0" w:color="auto"/>
            <w:right w:val="none" w:sz="0" w:space="0" w:color="auto"/>
          </w:divBdr>
        </w:div>
        <w:div w:id="522397843">
          <w:marLeft w:val="0"/>
          <w:marRight w:val="0"/>
          <w:marTop w:val="0"/>
          <w:marBottom w:val="0"/>
          <w:divBdr>
            <w:top w:val="none" w:sz="0" w:space="0" w:color="auto"/>
            <w:left w:val="none" w:sz="0" w:space="0" w:color="auto"/>
            <w:bottom w:val="none" w:sz="0" w:space="0" w:color="auto"/>
            <w:right w:val="none" w:sz="0" w:space="0" w:color="auto"/>
          </w:divBdr>
        </w:div>
        <w:div w:id="780682405">
          <w:marLeft w:val="0"/>
          <w:marRight w:val="0"/>
          <w:marTop w:val="0"/>
          <w:marBottom w:val="0"/>
          <w:divBdr>
            <w:top w:val="none" w:sz="0" w:space="0" w:color="auto"/>
            <w:left w:val="none" w:sz="0" w:space="0" w:color="auto"/>
            <w:bottom w:val="none" w:sz="0" w:space="0" w:color="auto"/>
            <w:right w:val="none" w:sz="0" w:space="0" w:color="auto"/>
          </w:divBdr>
        </w:div>
        <w:div w:id="791094922">
          <w:marLeft w:val="0"/>
          <w:marRight w:val="0"/>
          <w:marTop w:val="0"/>
          <w:marBottom w:val="0"/>
          <w:divBdr>
            <w:top w:val="none" w:sz="0" w:space="0" w:color="auto"/>
            <w:left w:val="none" w:sz="0" w:space="0" w:color="auto"/>
            <w:bottom w:val="none" w:sz="0" w:space="0" w:color="auto"/>
            <w:right w:val="none" w:sz="0" w:space="0" w:color="auto"/>
          </w:divBdr>
        </w:div>
        <w:div w:id="860364635">
          <w:marLeft w:val="0"/>
          <w:marRight w:val="0"/>
          <w:marTop w:val="0"/>
          <w:marBottom w:val="0"/>
          <w:divBdr>
            <w:top w:val="none" w:sz="0" w:space="0" w:color="auto"/>
            <w:left w:val="none" w:sz="0" w:space="0" w:color="auto"/>
            <w:bottom w:val="none" w:sz="0" w:space="0" w:color="auto"/>
            <w:right w:val="none" w:sz="0" w:space="0" w:color="auto"/>
          </w:divBdr>
        </w:div>
        <w:div w:id="898709173">
          <w:marLeft w:val="0"/>
          <w:marRight w:val="0"/>
          <w:marTop w:val="0"/>
          <w:marBottom w:val="0"/>
          <w:divBdr>
            <w:top w:val="none" w:sz="0" w:space="0" w:color="auto"/>
            <w:left w:val="none" w:sz="0" w:space="0" w:color="auto"/>
            <w:bottom w:val="none" w:sz="0" w:space="0" w:color="auto"/>
            <w:right w:val="none" w:sz="0" w:space="0" w:color="auto"/>
          </w:divBdr>
        </w:div>
        <w:div w:id="1288048964">
          <w:marLeft w:val="0"/>
          <w:marRight w:val="0"/>
          <w:marTop w:val="0"/>
          <w:marBottom w:val="0"/>
          <w:divBdr>
            <w:top w:val="none" w:sz="0" w:space="0" w:color="auto"/>
            <w:left w:val="none" w:sz="0" w:space="0" w:color="auto"/>
            <w:bottom w:val="none" w:sz="0" w:space="0" w:color="auto"/>
            <w:right w:val="none" w:sz="0" w:space="0" w:color="auto"/>
          </w:divBdr>
        </w:div>
        <w:div w:id="1578172966">
          <w:marLeft w:val="0"/>
          <w:marRight w:val="0"/>
          <w:marTop w:val="0"/>
          <w:marBottom w:val="0"/>
          <w:divBdr>
            <w:top w:val="none" w:sz="0" w:space="0" w:color="auto"/>
            <w:left w:val="none" w:sz="0" w:space="0" w:color="auto"/>
            <w:bottom w:val="none" w:sz="0" w:space="0" w:color="auto"/>
            <w:right w:val="none" w:sz="0" w:space="0" w:color="auto"/>
          </w:divBdr>
        </w:div>
        <w:div w:id="1634554106">
          <w:marLeft w:val="0"/>
          <w:marRight w:val="0"/>
          <w:marTop w:val="0"/>
          <w:marBottom w:val="0"/>
          <w:divBdr>
            <w:top w:val="none" w:sz="0" w:space="0" w:color="auto"/>
            <w:left w:val="none" w:sz="0" w:space="0" w:color="auto"/>
            <w:bottom w:val="none" w:sz="0" w:space="0" w:color="auto"/>
            <w:right w:val="none" w:sz="0" w:space="0" w:color="auto"/>
          </w:divBdr>
        </w:div>
        <w:div w:id="1676759312">
          <w:marLeft w:val="0"/>
          <w:marRight w:val="0"/>
          <w:marTop w:val="0"/>
          <w:marBottom w:val="0"/>
          <w:divBdr>
            <w:top w:val="none" w:sz="0" w:space="0" w:color="auto"/>
            <w:left w:val="none" w:sz="0" w:space="0" w:color="auto"/>
            <w:bottom w:val="none" w:sz="0" w:space="0" w:color="auto"/>
            <w:right w:val="none" w:sz="0" w:space="0" w:color="auto"/>
          </w:divBdr>
        </w:div>
        <w:div w:id="1884974282">
          <w:marLeft w:val="0"/>
          <w:marRight w:val="0"/>
          <w:marTop w:val="0"/>
          <w:marBottom w:val="0"/>
          <w:divBdr>
            <w:top w:val="none" w:sz="0" w:space="0" w:color="auto"/>
            <w:left w:val="none" w:sz="0" w:space="0" w:color="auto"/>
            <w:bottom w:val="none" w:sz="0" w:space="0" w:color="auto"/>
            <w:right w:val="none" w:sz="0" w:space="0" w:color="auto"/>
          </w:divBdr>
        </w:div>
        <w:div w:id="1969818116">
          <w:marLeft w:val="0"/>
          <w:marRight w:val="0"/>
          <w:marTop w:val="0"/>
          <w:marBottom w:val="0"/>
          <w:divBdr>
            <w:top w:val="none" w:sz="0" w:space="0" w:color="auto"/>
            <w:left w:val="none" w:sz="0" w:space="0" w:color="auto"/>
            <w:bottom w:val="none" w:sz="0" w:space="0" w:color="auto"/>
            <w:right w:val="none" w:sz="0" w:space="0" w:color="auto"/>
          </w:divBdr>
        </w:div>
        <w:div w:id="2016102643">
          <w:marLeft w:val="0"/>
          <w:marRight w:val="0"/>
          <w:marTop w:val="0"/>
          <w:marBottom w:val="0"/>
          <w:divBdr>
            <w:top w:val="none" w:sz="0" w:space="0" w:color="auto"/>
            <w:left w:val="none" w:sz="0" w:space="0" w:color="auto"/>
            <w:bottom w:val="none" w:sz="0" w:space="0" w:color="auto"/>
            <w:right w:val="none" w:sz="0" w:space="0" w:color="auto"/>
          </w:divBdr>
        </w:div>
        <w:div w:id="2042586270">
          <w:marLeft w:val="0"/>
          <w:marRight w:val="0"/>
          <w:marTop w:val="0"/>
          <w:marBottom w:val="0"/>
          <w:divBdr>
            <w:top w:val="none" w:sz="0" w:space="0" w:color="auto"/>
            <w:left w:val="none" w:sz="0" w:space="0" w:color="auto"/>
            <w:bottom w:val="none" w:sz="0" w:space="0" w:color="auto"/>
            <w:right w:val="none" w:sz="0" w:space="0" w:color="auto"/>
          </w:divBdr>
        </w:div>
        <w:div w:id="2080975360">
          <w:marLeft w:val="0"/>
          <w:marRight w:val="0"/>
          <w:marTop w:val="0"/>
          <w:marBottom w:val="0"/>
          <w:divBdr>
            <w:top w:val="none" w:sz="0" w:space="0" w:color="auto"/>
            <w:left w:val="none" w:sz="0" w:space="0" w:color="auto"/>
            <w:bottom w:val="none" w:sz="0" w:space="0" w:color="auto"/>
            <w:right w:val="none" w:sz="0" w:space="0" w:color="auto"/>
          </w:divBdr>
        </w:div>
        <w:div w:id="2108574970">
          <w:marLeft w:val="0"/>
          <w:marRight w:val="0"/>
          <w:marTop w:val="0"/>
          <w:marBottom w:val="0"/>
          <w:divBdr>
            <w:top w:val="none" w:sz="0" w:space="0" w:color="auto"/>
            <w:left w:val="none" w:sz="0" w:space="0" w:color="auto"/>
            <w:bottom w:val="none" w:sz="0" w:space="0" w:color="auto"/>
            <w:right w:val="none" w:sz="0" w:space="0" w:color="auto"/>
          </w:divBdr>
        </w:div>
      </w:divsChild>
    </w:div>
    <w:div w:id="1247157109">
      <w:bodyDiv w:val="1"/>
      <w:marLeft w:val="0"/>
      <w:marRight w:val="0"/>
      <w:marTop w:val="0"/>
      <w:marBottom w:val="0"/>
      <w:divBdr>
        <w:top w:val="none" w:sz="0" w:space="0" w:color="auto"/>
        <w:left w:val="none" w:sz="0" w:space="0" w:color="auto"/>
        <w:bottom w:val="none" w:sz="0" w:space="0" w:color="auto"/>
        <w:right w:val="none" w:sz="0" w:space="0" w:color="auto"/>
      </w:divBdr>
      <w:divsChild>
        <w:div w:id="71464519">
          <w:marLeft w:val="0"/>
          <w:marRight w:val="0"/>
          <w:marTop w:val="0"/>
          <w:marBottom w:val="0"/>
          <w:divBdr>
            <w:top w:val="none" w:sz="0" w:space="0" w:color="auto"/>
            <w:left w:val="none" w:sz="0" w:space="0" w:color="auto"/>
            <w:bottom w:val="none" w:sz="0" w:space="0" w:color="auto"/>
            <w:right w:val="none" w:sz="0" w:space="0" w:color="auto"/>
          </w:divBdr>
        </w:div>
        <w:div w:id="420687633">
          <w:marLeft w:val="0"/>
          <w:marRight w:val="0"/>
          <w:marTop w:val="0"/>
          <w:marBottom w:val="0"/>
          <w:divBdr>
            <w:top w:val="none" w:sz="0" w:space="0" w:color="auto"/>
            <w:left w:val="none" w:sz="0" w:space="0" w:color="auto"/>
            <w:bottom w:val="none" w:sz="0" w:space="0" w:color="auto"/>
            <w:right w:val="none" w:sz="0" w:space="0" w:color="auto"/>
          </w:divBdr>
        </w:div>
        <w:div w:id="481964079">
          <w:marLeft w:val="0"/>
          <w:marRight w:val="0"/>
          <w:marTop w:val="0"/>
          <w:marBottom w:val="0"/>
          <w:divBdr>
            <w:top w:val="none" w:sz="0" w:space="0" w:color="auto"/>
            <w:left w:val="none" w:sz="0" w:space="0" w:color="auto"/>
            <w:bottom w:val="none" w:sz="0" w:space="0" w:color="auto"/>
            <w:right w:val="none" w:sz="0" w:space="0" w:color="auto"/>
          </w:divBdr>
        </w:div>
        <w:div w:id="528494874">
          <w:marLeft w:val="0"/>
          <w:marRight w:val="0"/>
          <w:marTop w:val="0"/>
          <w:marBottom w:val="0"/>
          <w:divBdr>
            <w:top w:val="none" w:sz="0" w:space="0" w:color="auto"/>
            <w:left w:val="none" w:sz="0" w:space="0" w:color="auto"/>
            <w:bottom w:val="none" w:sz="0" w:space="0" w:color="auto"/>
            <w:right w:val="none" w:sz="0" w:space="0" w:color="auto"/>
          </w:divBdr>
        </w:div>
        <w:div w:id="530656305">
          <w:marLeft w:val="0"/>
          <w:marRight w:val="0"/>
          <w:marTop w:val="0"/>
          <w:marBottom w:val="0"/>
          <w:divBdr>
            <w:top w:val="none" w:sz="0" w:space="0" w:color="auto"/>
            <w:left w:val="none" w:sz="0" w:space="0" w:color="auto"/>
            <w:bottom w:val="none" w:sz="0" w:space="0" w:color="auto"/>
            <w:right w:val="none" w:sz="0" w:space="0" w:color="auto"/>
          </w:divBdr>
        </w:div>
        <w:div w:id="602416927">
          <w:marLeft w:val="0"/>
          <w:marRight w:val="0"/>
          <w:marTop w:val="0"/>
          <w:marBottom w:val="0"/>
          <w:divBdr>
            <w:top w:val="none" w:sz="0" w:space="0" w:color="auto"/>
            <w:left w:val="none" w:sz="0" w:space="0" w:color="auto"/>
            <w:bottom w:val="none" w:sz="0" w:space="0" w:color="auto"/>
            <w:right w:val="none" w:sz="0" w:space="0" w:color="auto"/>
          </w:divBdr>
        </w:div>
        <w:div w:id="652761675">
          <w:marLeft w:val="0"/>
          <w:marRight w:val="0"/>
          <w:marTop w:val="0"/>
          <w:marBottom w:val="0"/>
          <w:divBdr>
            <w:top w:val="none" w:sz="0" w:space="0" w:color="auto"/>
            <w:left w:val="none" w:sz="0" w:space="0" w:color="auto"/>
            <w:bottom w:val="none" w:sz="0" w:space="0" w:color="auto"/>
            <w:right w:val="none" w:sz="0" w:space="0" w:color="auto"/>
          </w:divBdr>
        </w:div>
        <w:div w:id="741951971">
          <w:marLeft w:val="0"/>
          <w:marRight w:val="0"/>
          <w:marTop w:val="0"/>
          <w:marBottom w:val="0"/>
          <w:divBdr>
            <w:top w:val="none" w:sz="0" w:space="0" w:color="auto"/>
            <w:left w:val="none" w:sz="0" w:space="0" w:color="auto"/>
            <w:bottom w:val="none" w:sz="0" w:space="0" w:color="auto"/>
            <w:right w:val="none" w:sz="0" w:space="0" w:color="auto"/>
          </w:divBdr>
        </w:div>
        <w:div w:id="753208332">
          <w:marLeft w:val="0"/>
          <w:marRight w:val="0"/>
          <w:marTop w:val="0"/>
          <w:marBottom w:val="0"/>
          <w:divBdr>
            <w:top w:val="none" w:sz="0" w:space="0" w:color="auto"/>
            <w:left w:val="none" w:sz="0" w:space="0" w:color="auto"/>
            <w:bottom w:val="none" w:sz="0" w:space="0" w:color="auto"/>
            <w:right w:val="none" w:sz="0" w:space="0" w:color="auto"/>
          </w:divBdr>
        </w:div>
        <w:div w:id="806171257">
          <w:marLeft w:val="0"/>
          <w:marRight w:val="0"/>
          <w:marTop w:val="0"/>
          <w:marBottom w:val="0"/>
          <w:divBdr>
            <w:top w:val="none" w:sz="0" w:space="0" w:color="auto"/>
            <w:left w:val="none" w:sz="0" w:space="0" w:color="auto"/>
            <w:bottom w:val="none" w:sz="0" w:space="0" w:color="auto"/>
            <w:right w:val="none" w:sz="0" w:space="0" w:color="auto"/>
          </w:divBdr>
        </w:div>
        <w:div w:id="861894670">
          <w:marLeft w:val="0"/>
          <w:marRight w:val="0"/>
          <w:marTop w:val="0"/>
          <w:marBottom w:val="0"/>
          <w:divBdr>
            <w:top w:val="none" w:sz="0" w:space="0" w:color="auto"/>
            <w:left w:val="none" w:sz="0" w:space="0" w:color="auto"/>
            <w:bottom w:val="none" w:sz="0" w:space="0" w:color="auto"/>
            <w:right w:val="none" w:sz="0" w:space="0" w:color="auto"/>
          </w:divBdr>
        </w:div>
        <w:div w:id="867107608">
          <w:marLeft w:val="0"/>
          <w:marRight w:val="0"/>
          <w:marTop w:val="0"/>
          <w:marBottom w:val="0"/>
          <w:divBdr>
            <w:top w:val="none" w:sz="0" w:space="0" w:color="auto"/>
            <w:left w:val="none" w:sz="0" w:space="0" w:color="auto"/>
            <w:bottom w:val="none" w:sz="0" w:space="0" w:color="auto"/>
            <w:right w:val="none" w:sz="0" w:space="0" w:color="auto"/>
          </w:divBdr>
        </w:div>
        <w:div w:id="872965957">
          <w:marLeft w:val="0"/>
          <w:marRight w:val="0"/>
          <w:marTop w:val="0"/>
          <w:marBottom w:val="0"/>
          <w:divBdr>
            <w:top w:val="none" w:sz="0" w:space="0" w:color="auto"/>
            <w:left w:val="none" w:sz="0" w:space="0" w:color="auto"/>
            <w:bottom w:val="none" w:sz="0" w:space="0" w:color="auto"/>
            <w:right w:val="none" w:sz="0" w:space="0" w:color="auto"/>
          </w:divBdr>
        </w:div>
        <w:div w:id="908150990">
          <w:marLeft w:val="0"/>
          <w:marRight w:val="0"/>
          <w:marTop w:val="0"/>
          <w:marBottom w:val="0"/>
          <w:divBdr>
            <w:top w:val="none" w:sz="0" w:space="0" w:color="auto"/>
            <w:left w:val="none" w:sz="0" w:space="0" w:color="auto"/>
            <w:bottom w:val="none" w:sz="0" w:space="0" w:color="auto"/>
            <w:right w:val="none" w:sz="0" w:space="0" w:color="auto"/>
          </w:divBdr>
        </w:div>
        <w:div w:id="1004750253">
          <w:marLeft w:val="0"/>
          <w:marRight w:val="0"/>
          <w:marTop w:val="0"/>
          <w:marBottom w:val="0"/>
          <w:divBdr>
            <w:top w:val="none" w:sz="0" w:space="0" w:color="auto"/>
            <w:left w:val="none" w:sz="0" w:space="0" w:color="auto"/>
            <w:bottom w:val="none" w:sz="0" w:space="0" w:color="auto"/>
            <w:right w:val="none" w:sz="0" w:space="0" w:color="auto"/>
          </w:divBdr>
        </w:div>
        <w:div w:id="1071199656">
          <w:marLeft w:val="0"/>
          <w:marRight w:val="0"/>
          <w:marTop w:val="0"/>
          <w:marBottom w:val="0"/>
          <w:divBdr>
            <w:top w:val="none" w:sz="0" w:space="0" w:color="auto"/>
            <w:left w:val="none" w:sz="0" w:space="0" w:color="auto"/>
            <w:bottom w:val="none" w:sz="0" w:space="0" w:color="auto"/>
            <w:right w:val="none" w:sz="0" w:space="0" w:color="auto"/>
          </w:divBdr>
        </w:div>
        <w:div w:id="1176534899">
          <w:marLeft w:val="0"/>
          <w:marRight w:val="0"/>
          <w:marTop w:val="0"/>
          <w:marBottom w:val="0"/>
          <w:divBdr>
            <w:top w:val="none" w:sz="0" w:space="0" w:color="auto"/>
            <w:left w:val="none" w:sz="0" w:space="0" w:color="auto"/>
            <w:bottom w:val="none" w:sz="0" w:space="0" w:color="auto"/>
            <w:right w:val="none" w:sz="0" w:space="0" w:color="auto"/>
          </w:divBdr>
        </w:div>
        <w:div w:id="1212116218">
          <w:marLeft w:val="0"/>
          <w:marRight w:val="0"/>
          <w:marTop w:val="0"/>
          <w:marBottom w:val="0"/>
          <w:divBdr>
            <w:top w:val="none" w:sz="0" w:space="0" w:color="auto"/>
            <w:left w:val="none" w:sz="0" w:space="0" w:color="auto"/>
            <w:bottom w:val="none" w:sz="0" w:space="0" w:color="auto"/>
            <w:right w:val="none" w:sz="0" w:space="0" w:color="auto"/>
          </w:divBdr>
        </w:div>
        <w:div w:id="1425146978">
          <w:marLeft w:val="0"/>
          <w:marRight w:val="0"/>
          <w:marTop w:val="0"/>
          <w:marBottom w:val="0"/>
          <w:divBdr>
            <w:top w:val="none" w:sz="0" w:space="0" w:color="auto"/>
            <w:left w:val="none" w:sz="0" w:space="0" w:color="auto"/>
            <w:bottom w:val="none" w:sz="0" w:space="0" w:color="auto"/>
            <w:right w:val="none" w:sz="0" w:space="0" w:color="auto"/>
          </w:divBdr>
        </w:div>
        <w:div w:id="1479154708">
          <w:marLeft w:val="0"/>
          <w:marRight w:val="0"/>
          <w:marTop w:val="0"/>
          <w:marBottom w:val="0"/>
          <w:divBdr>
            <w:top w:val="none" w:sz="0" w:space="0" w:color="auto"/>
            <w:left w:val="none" w:sz="0" w:space="0" w:color="auto"/>
            <w:bottom w:val="none" w:sz="0" w:space="0" w:color="auto"/>
            <w:right w:val="none" w:sz="0" w:space="0" w:color="auto"/>
          </w:divBdr>
        </w:div>
        <w:div w:id="1709528875">
          <w:marLeft w:val="0"/>
          <w:marRight w:val="0"/>
          <w:marTop w:val="0"/>
          <w:marBottom w:val="0"/>
          <w:divBdr>
            <w:top w:val="none" w:sz="0" w:space="0" w:color="auto"/>
            <w:left w:val="none" w:sz="0" w:space="0" w:color="auto"/>
            <w:bottom w:val="none" w:sz="0" w:space="0" w:color="auto"/>
            <w:right w:val="none" w:sz="0" w:space="0" w:color="auto"/>
          </w:divBdr>
        </w:div>
        <w:div w:id="1727874988">
          <w:marLeft w:val="0"/>
          <w:marRight w:val="0"/>
          <w:marTop w:val="0"/>
          <w:marBottom w:val="0"/>
          <w:divBdr>
            <w:top w:val="none" w:sz="0" w:space="0" w:color="auto"/>
            <w:left w:val="none" w:sz="0" w:space="0" w:color="auto"/>
            <w:bottom w:val="none" w:sz="0" w:space="0" w:color="auto"/>
            <w:right w:val="none" w:sz="0" w:space="0" w:color="auto"/>
          </w:divBdr>
        </w:div>
        <w:div w:id="1762289824">
          <w:marLeft w:val="0"/>
          <w:marRight w:val="0"/>
          <w:marTop w:val="0"/>
          <w:marBottom w:val="0"/>
          <w:divBdr>
            <w:top w:val="none" w:sz="0" w:space="0" w:color="auto"/>
            <w:left w:val="none" w:sz="0" w:space="0" w:color="auto"/>
            <w:bottom w:val="none" w:sz="0" w:space="0" w:color="auto"/>
            <w:right w:val="none" w:sz="0" w:space="0" w:color="auto"/>
          </w:divBdr>
        </w:div>
        <w:div w:id="1865054278">
          <w:marLeft w:val="0"/>
          <w:marRight w:val="0"/>
          <w:marTop w:val="0"/>
          <w:marBottom w:val="0"/>
          <w:divBdr>
            <w:top w:val="none" w:sz="0" w:space="0" w:color="auto"/>
            <w:left w:val="none" w:sz="0" w:space="0" w:color="auto"/>
            <w:bottom w:val="none" w:sz="0" w:space="0" w:color="auto"/>
            <w:right w:val="none" w:sz="0" w:space="0" w:color="auto"/>
          </w:divBdr>
        </w:div>
        <w:div w:id="1892308234">
          <w:marLeft w:val="0"/>
          <w:marRight w:val="0"/>
          <w:marTop w:val="0"/>
          <w:marBottom w:val="0"/>
          <w:divBdr>
            <w:top w:val="none" w:sz="0" w:space="0" w:color="auto"/>
            <w:left w:val="none" w:sz="0" w:space="0" w:color="auto"/>
            <w:bottom w:val="none" w:sz="0" w:space="0" w:color="auto"/>
            <w:right w:val="none" w:sz="0" w:space="0" w:color="auto"/>
          </w:divBdr>
        </w:div>
        <w:div w:id="1906260871">
          <w:marLeft w:val="0"/>
          <w:marRight w:val="0"/>
          <w:marTop w:val="0"/>
          <w:marBottom w:val="0"/>
          <w:divBdr>
            <w:top w:val="none" w:sz="0" w:space="0" w:color="auto"/>
            <w:left w:val="none" w:sz="0" w:space="0" w:color="auto"/>
            <w:bottom w:val="none" w:sz="0" w:space="0" w:color="auto"/>
            <w:right w:val="none" w:sz="0" w:space="0" w:color="auto"/>
          </w:divBdr>
        </w:div>
        <w:div w:id="1935939123">
          <w:marLeft w:val="0"/>
          <w:marRight w:val="0"/>
          <w:marTop w:val="0"/>
          <w:marBottom w:val="0"/>
          <w:divBdr>
            <w:top w:val="none" w:sz="0" w:space="0" w:color="auto"/>
            <w:left w:val="none" w:sz="0" w:space="0" w:color="auto"/>
            <w:bottom w:val="none" w:sz="0" w:space="0" w:color="auto"/>
            <w:right w:val="none" w:sz="0" w:space="0" w:color="auto"/>
          </w:divBdr>
        </w:div>
        <w:div w:id="2110926990">
          <w:marLeft w:val="0"/>
          <w:marRight w:val="0"/>
          <w:marTop w:val="0"/>
          <w:marBottom w:val="0"/>
          <w:divBdr>
            <w:top w:val="none" w:sz="0" w:space="0" w:color="auto"/>
            <w:left w:val="none" w:sz="0" w:space="0" w:color="auto"/>
            <w:bottom w:val="none" w:sz="0" w:space="0" w:color="auto"/>
            <w:right w:val="none" w:sz="0" w:space="0" w:color="auto"/>
          </w:divBdr>
        </w:div>
        <w:div w:id="2136486808">
          <w:marLeft w:val="0"/>
          <w:marRight w:val="0"/>
          <w:marTop w:val="0"/>
          <w:marBottom w:val="0"/>
          <w:divBdr>
            <w:top w:val="none" w:sz="0" w:space="0" w:color="auto"/>
            <w:left w:val="none" w:sz="0" w:space="0" w:color="auto"/>
            <w:bottom w:val="none" w:sz="0" w:space="0" w:color="auto"/>
            <w:right w:val="none" w:sz="0" w:space="0" w:color="auto"/>
          </w:divBdr>
        </w:div>
      </w:divsChild>
    </w:div>
    <w:div w:id="1260330676">
      <w:bodyDiv w:val="1"/>
      <w:marLeft w:val="0"/>
      <w:marRight w:val="0"/>
      <w:marTop w:val="0"/>
      <w:marBottom w:val="0"/>
      <w:divBdr>
        <w:top w:val="none" w:sz="0" w:space="0" w:color="auto"/>
        <w:left w:val="none" w:sz="0" w:space="0" w:color="auto"/>
        <w:bottom w:val="none" w:sz="0" w:space="0" w:color="auto"/>
        <w:right w:val="none" w:sz="0" w:space="0" w:color="auto"/>
      </w:divBdr>
      <w:divsChild>
        <w:div w:id="1039554705">
          <w:marLeft w:val="0"/>
          <w:marRight w:val="0"/>
          <w:marTop w:val="480"/>
          <w:marBottom w:val="240"/>
          <w:divBdr>
            <w:top w:val="none" w:sz="0" w:space="0" w:color="auto"/>
            <w:left w:val="none" w:sz="0" w:space="0" w:color="auto"/>
            <w:bottom w:val="none" w:sz="0" w:space="0" w:color="auto"/>
            <w:right w:val="none" w:sz="0" w:space="0" w:color="auto"/>
          </w:divBdr>
        </w:div>
        <w:div w:id="1746998829">
          <w:marLeft w:val="0"/>
          <w:marRight w:val="0"/>
          <w:marTop w:val="0"/>
          <w:marBottom w:val="567"/>
          <w:divBdr>
            <w:top w:val="none" w:sz="0" w:space="0" w:color="auto"/>
            <w:left w:val="none" w:sz="0" w:space="0" w:color="auto"/>
            <w:bottom w:val="none" w:sz="0" w:space="0" w:color="auto"/>
            <w:right w:val="none" w:sz="0" w:space="0" w:color="auto"/>
          </w:divBdr>
        </w:div>
      </w:divsChild>
    </w:div>
    <w:div w:id="1293511808">
      <w:bodyDiv w:val="1"/>
      <w:marLeft w:val="0"/>
      <w:marRight w:val="0"/>
      <w:marTop w:val="0"/>
      <w:marBottom w:val="0"/>
      <w:divBdr>
        <w:top w:val="none" w:sz="0" w:space="0" w:color="auto"/>
        <w:left w:val="none" w:sz="0" w:space="0" w:color="auto"/>
        <w:bottom w:val="none" w:sz="0" w:space="0" w:color="auto"/>
        <w:right w:val="none" w:sz="0" w:space="0" w:color="auto"/>
      </w:divBdr>
    </w:div>
    <w:div w:id="1313946828">
      <w:bodyDiv w:val="1"/>
      <w:marLeft w:val="0"/>
      <w:marRight w:val="0"/>
      <w:marTop w:val="0"/>
      <w:marBottom w:val="0"/>
      <w:divBdr>
        <w:top w:val="none" w:sz="0" w:space="0" w:color="auto"/>
        <w:left w:val="none" w:sz="0" w:space="0" w:color="auto"/>
        <w:bottom w:val="none" w:sz="0" w:space="0" w:color="auto"/>
        <w:right w:val="none" w:sz="0" w:space="0" w:color="auto"/>
      </w:divBdr>
    </w:div>
    <w:div w:id="1316688310">
      <w:bodyDiv w:val="1"/>
      <w:marLeft w:val="0"/>
      <w:marRight w:val="0"/>
      <w:marTop w:val="0"/>
      <w:marBottom w:val="0"/>
      <w:divBdr>
        <w:top w:val="none" w:sz="0" w:space="0" w:color="auto"/>
        <w:left w:val="none" w:sz="0" w:space="0" w:color="auto"/>
        <w:bottom w:val="none" w:sz="0" w:space="0" w:color="auto"/>
        <w:right w:val="none" w:sz="0" w:space="0" w:color="auto"/>
      </w:divBdr>
      <w:divsChild>
        <w:div w:id="1844971108">
          <w:marLeft w:val="0"/>
          <w:marRight w:val="0"/>
          <w:marTop w:val="480"/>
          <w:marBottom w:val="240"/>
          <w:divBdr>
            <w:top w:val="none" w:sz="0" w:space="0" w:color="auto"/>
            <w:left w:val="none" w:sz="0" w:space="0" w:color="auto"/>
            <w:bottom w:val="none" w:sz="0" w:space="0" w:color="auto"/>
            <w:right w:val="none" w:sz="0" w:space="0" w:color="auto"/>
          </w:divBdr>
        </w:div>
        <w:div w:id="574360415">
          <w:marLeft w:val="0"/>
          <w:marRight w:val="0"/>
          <w:marTop w:val="0"/>
          <w:marBottom w:val="567"/>
          <w:divBdr>
            <w:top w:val="none" w:sz="0" w:space="0" w:color="auto"/>
            <w:left w:val="none" w:sz="0" w:space="0" w:color="auto"/>
            <w:bottom w:val="none" w:sz="0" w:space="0" w:color="auto"/>
            <w:right w:val="none" w:sz="0" w:space="0" w:color="auto"/>
          </w:divBdr>
        </w:div>
      </w:divsChild>
    </w:div>
    <w:div w:id="1320964348">
      <w:bodyDiv w:val="1"/>
      <w:marLeft w:val="0"/>
      <w:marRight w:val="0"/>
      <w:marTop w:val="0"/>
      <w:marBottom w:val="0"/>
      <w:divBdr>
        <w:top w:val="none" w:sz="0" w:space="0" w:color="auto"/>
        <w:left w:val="none" w:sz="0" w:space="0" w:color="auto"/>
        <w:bottom w:val="none" w:sz="0" w:space="0" w:color="auto"/>
        <w:right w:val="none" w:sz="0" w:space="0" w:color="auto"/>
      </w:divBdr>
      <w:divsChild>
        <w:div w:id="586036556">
          <w:marLeft w:val="0"/>
          <w:marRight w:val="0"/>
          <w:marTop w:val="480"/>
          <w:marBottom w:val="240"/>
          <w:divBdr>
            <w:top w:val="none" w:sz="0" w:space="0" w:color="auto"/>
            <w:left w:val="none" w:sz="0" w:space="0" w:color="auto"/>
            <w:bottom w:val="none" w:sz="0" w:space="0" w:color="auto"/>
            <w:right w:val="none" w:sz="0" w:space="0" w:color="auto"/>
          </w:divBdr>
        </w:div>
        <w:div w:id="1134982688">
          <w:marLeft w:val="0"/>
          <w:marRight w:val="0"/>
          <w:marTop w:val="0"/>
          <w:marBottom w:val="567"/>
          <w:divBdr>
            <w:top w:val="none" w:sz="0" w:space="0" w:color="auto"/>
            <w:left w:val="none" w:sz="0" w:space="0" w:color="auto"/>
            <w:bottom w:val="none" w:sz="0" w:space="0" w:color="auto"/>
            <w:right w:val="none" w:sz="0" w:space="0" w:color="auto"/>
          </w:divBdr>
        </w:div>
      </w:divsChild>
    </w:div>
    <w:div w:id="1345401830">
      <w:bodyDiv w:val="1"/>
      <w:marLeft w:val="0"/>
      <w:marRight w:val="0"/>
      <w:marTop w:val="0"/>
      <w:marBottom w:val="0"/>
      <w:divBdr>
        <w:top w:val="none" w:sz="0" w:space="0" w:color="auto"/>
        <w:left w:val="none" w:sz="0" w:space="0" w:color="auto"/>
        <w:bottom w:val="none" w:sz="0" w:space="0" w:color="auto"/>
        <w:right w:val="none" w:sz="0" w:space="0" w:color="auto"/>
      </w:divBdr>
      <w:divsChild>
        <w:div w:id="1335645072">
          <w:marLeft w:val="0"/>
          <w:marRight w:val="0"/>
          <w:marTop w:val="0"/>
          <w:marBottom w:val="0"/>
          <w:divBdr>
            <w:top w:val="none" w:sz="0" w:space="0" w:color="auto"/>
            <w:left w:val="none" w:sz="0" w:space="0" w:color="auto"/>
            <w:bottom w:val="none" w:sz="0" w:space="0" w:color="auto"/>
            <w:right w:val="none" w:sz="0" w:space="0" w:color="auto"/>
          </w:divBdr>
        </w:div>
        <w:div w:id="1459102094">
          <w:marLeft w:val="0"/>
          <w:marRight w:val="0"/>
          <w:marTop w:val="0"/>
          <w:marBottom w:val="0"/>
          <w:divBdr>
            <w:top w:val="none" w:sz="0" w:space="0" w:color="auto"/>
            <w:left w:val="none" w:sz="0" w:space="0" w:color="auto"/>
            <w:bottom w:val="none" w:sz="0" w:space="0" w:color="auto"/>
            <w:right w:val="none" w:sz="0" w:space="0" w:color="auto"/>
          </w:divBdr>
        </w:div>
      </w:divsChild>
    </w:div>
    <w:div w:id="1353916811">
      <w:bodyDiv w:val="1"/>
      <w:marLeft w:val="0"/>
      <w:marRight w:val="0"/>
      <w:marTop w:val="0"/>
      <w:marBottom w:val="0"/>
      <w:divBdr>
        <w:top w:val="none" w:sz="0" w:space="0" w:color="auto"/>
        <w:left w:val="none" w:sz="0" w:space="0" w:color="auto"/>
        <w:bottom w:val="none" w:sz="0" w:space="0" w:color="auto"/>
        <w:right w:val="none" w:sz="0" w:space="0" w:color="auto"/>
      </w:divBdr>
    </w:div>
    <w:div w:id="1375620029">
      <w:bodyDiv w:val="1"/>
      <w:marLeft w:val="0"/>
      <w:marRight w:val="0"/>
      <w:marTop w:val="0"/>
      <w:marBottom w:val="0"/>
      <w:divBdr>
        <w:top w:val="none" w:sz="0" w:space="0" w:color="auto"/>
        <w:left w:val="none" w:sz="0" w:space="0" w:color="auto"/>
        <w:bottom w:val="none" w:sz="0" w:space="0" w:color="auto"/>
        <w:right w:val="none" w:sz="0" w:space="0" w:color="auto"/>
      </w:divBdr>
    </w:div>
    <w:div w:id="1377656588">
      <w:bodyDiv w:val="1"/>
      <w:marLeft w:val="0"/>
      <w:marRight w:val="0"/>
      <w:marTop w:val="0"/>
      <w:marBottom w:val="0"/>
      <w:divBdr>
        <w:top w:val="none" w:sz="0" w:space="0" w:color="auto"/>
        <w:left w:val="none" w:sz="0" w:space="0" w:color="auto"/>
        <w:bottom w:val="none" w:sz="0" w:space="0" w:color="auto"/>
        <w:right w:val="none" w:sz="0" w:space="0" w:color="auto"/>
      </w:divBdr>
    </w:div>
    <w:div w:id="1409814708">
      <w:bodyDiv w:val="1"/>
      <w:marLeft w:val="0"/>
      <w:marRight w:val="0"/>
      <w:marTop w:val="0"/>
      <w:marBottom w:val="0"/>
      <w:divBdr>
        <w:top w:val="none" w:sz="0" w:space="0" w:color="auto"/>
        <w:left w:val="none" w:sz="0" w:space="0" w:color="auto"/>
        <w:bottom w:val="none" w:sz="0" w:space="0" w:color="auto"/>
        <w:right w:val="none" w:sz="0" w:space="0" w:color="auto"/>
      </w:divBdr>
    </w:div>
    <w:div w:id="1440102517">
      <w:bodyDiv w:val="1"/>
      <w:marLeft w:val="0"/>
      <w:marRight w:val="0"/>
      <w:marTop w:val="0"/>
      <w:marBottom w:val="0"/>
      <w:divBdr>
        <w:top w:val="none" w:sz="0" w:space="0" w:color="auto"/>
        <w:left w:val="none" w:sz="0" w:space="0" w:color="auto"/>
        <w:bottom w:val="none" w:sz="0" w:space="0" w:color="auto"/>
        <w:right w:val="none" w:sz="0" w:space="0" w:color="auto"/>
      </w:divBdr>
    </w:div>
    <w:div w:id="1466311266">
      <w:bodyDiv w:val="1"/>
      <w:marLeft w:val="0"/>
      <w:marRight w:val="0"/>
      <w:marTop w:val="0"/>
      <w:marBottom w:val="0"/>
      <w:divBdr>
        <w:top w:val="none" w:sz="0" w:space="0" w:color="auto"/>
        <w:left w:val="none" w:sz="0" w:space="0" w:color="auto"/>
        <w:bottom w:val="none" w:sz="0" w:space="0" w:color="auto"/>
        <w:right w:val="none" w:sz="0" w:space="0" w:color="auto"/>
      </w:divBdr>
    </w:div>
    <w:div w:id="1469545117">
      <w:bodyDiv w:val="1"/>
      <w:marLeft w:val="0"/>
      <w:marRight w:val="0"/>
      <w:marTop w:val="0"/>
      <w:marBottom w:val="0"/>
      <w:divBdr>
        <w:top w:val="none" w:sz="0" w:space="0" w:color="auto"/>
        <w:left w:val="none" w:sz="0" w:space="0" w:color="auto"/>
        <w:bottom w:val="none" w:sz="0" w:space="0" w:color="auto"/>
        <w:right w:val="none" w:sz="0" w:space="0" w:color="auto"/>
      </w:divBdr>
    </w:div>
    <w:div w:id="1536186921">
      <w:bodyDiv w:val="1"/>
      <w:marLeft w:val="0"/>
      <w:marRight w:val="0"/>
      <w:marTop w:val="0"/>
      <w:marBottom w:val="0"/>
      <w:divBdr>
        <w:top w:val="none" w:sz="0" w:space="0" w:color="auto"/>
        <w:left w:val="none" w:sz="0" w:space="0" w:color="auto"/>
        <w:bottom w:val="none" w:sz="0" w:space="0" w:color="auto"/>
        <w:right w:val="none" w:sz="0" w:space="0" w:color="auto"/>
      </w:divBdr>
    </w:div>
    <w:div w:id="1538548722">
      <w:bodyDiv w:val="1"/>
      <w:marLeft w:val="0"/>
      <w:marRight w:val="0"/>
      <w:marTop w:val="0"/>
      <w:marBottom w:val="0"/>
      <w:divBdr>
        <w:top w:val="none" w:sz="0" w:space="0" w:color="auto"/>
        <w:left w:val="none" w:sz="0" w:space="0" w:color="auto"/>
        <w:bottom w:val="none" w:sz="0" w:space="0" w:color="auto"/>
        <w:right w:val="none" w:sz="0" w:space="0" w:color="auto"/>
      </w:divBdr>
      <w:divsChild>
        <w:div w:id="286205283">
          <w:marLeft w:val="547"/>
          <w:marRight w:val="0"/>
          <w:marTop w:val="77"/>
          <w:marBottom w:val="0"/>
          <w:divBdr>
            <w:top w:val="none" w:sz="0" w:space="0" w:color="auto"/>
            <w:left w:val="none" w:sz="0" w:space="0" w:color="auto"/>
            <w:bottom w:val="none" w:sz="0" w:space="0" w:color="auto"/>
            <w:right w:val="none" w:sz="0" w:space="0" w:color="auto"/>
          </w:divBdr>
        </w:div>
      </w:divsChild>
    </w:div>
    <w:div w:id="1538931453">
      <w:bodyDiv w:val="1"/>
      <w:marLeft w:val="0"/>
      <w:marRight w:val="0"/>
      <w:marTop w:val="0"/>
      <w:marBottom w:val="0"/>
      <w:divBdr>
        <w:top w:val="none" w:sz="0" w:space="0" w:color="auto"/>
        <w:left w:val="none" w:sz="0" w:space="0" w:color="auto"/>
        <w:bottom w:val="none" w:sz="0" w:space="0" w:color="auto"/>
        <w:right w:val="none" w:sz="0" w:space="0" w:color="auto"/>
      </w:divBdr>
      <w:divsChild>
        <w:div w:id="1816988873">
          <w:marLeft w:val="0"/>
          <w:marRight w:val="0"/>
          <w:marTop w:val="480"/>
          <w:marBottom w:val="240"/>
          <w:divBdr>
            <w:top w:val="none" w:sz="0" w:space="0" w:color="auto"/>
            <w:left w:val="none" w:sz="0" w:space="0" w:color="auto"/>
            <w:bottom w:val="none" w:sz="0" w:space="0" w:color="auto"/>
            <w:right w:val="none" w:sz="0" w:space="0" w:color="auto"/>
          </w:divBdr>
        </w:div>
        <w:div w:id="2107797948">
          <w:marLeft w:val="0"/>
          <w:marRight w:val="0"/>
          <w:marTop w:val="0"/>
          <w:marBottom w:val="567"/>
          <w:divBdr>
            <w:top w:val="none" w:sz="0" w:space="0" w:color="auto"/>
            <w:left w:val="none" w:sz="0" w:space="0" w:color="auto"/>
            <w:bottom w:val="none" w:sz="0" w:space="0" w:color="auto"/>
            <w:right w:val="none" w:sz="0" w:space="0" w:color="auto"/>
          </w:divBdr>
        </w:div>
      </w:divsChild>
    </w:div>
    <w:div w:id="1563368647">
      <w:bodyDiv w:val="1"/>
      <w:marLeft w:val="0"/>
      <w:marRight w:val="0"/>
      <w:marTop w:val="0"/>
      <w:marBottom w:val="0"/>
      <w:divBdr>
        <w:top w:val="none" w:sz="0" w:space="0" w:color="auto"/>
        <w:left w:val="none" w:sz="0" w:space="0" w:color="auto"/>
        <w:bottom w:val="none" w:sz="0" w:space="0" w:color="auto"/>
        <w:right w:val="none" w:sz="0" w:space="0" w:color="auto"/>
      </w:divBdr>
    </w:div>
    <w:div w:id="1599094989">
      <w:bodyDiv w:val="1"/>
      <w:marLeft w:val="0"/>
      <w:marRight w:val="0"/>
      <w:marTop w:val="0"/>
      <w:marBottom w:val="0"/>
      <w:divBdr>
        <w:top w:val="none" w:sz="0" w:space="0" w:color="auto"/>
        <w:left w:val="none" w:sz="0" w:space="0" w:color="auto"/>
        <w:bottom w:val="none" w:sz="0" w:space="0" w:color="auto"/>
        <w:right w:val="none" w:sz="0" w:space="0" w:color="auto"/>
      </w:divBdr>
    </w:div>
    <w:div w:id="1619289694">
      <w:bodyDiv w:val="1"/>
      <w:marLeft w:val="0"/>
      <w:marRight w:val="0"/>
      <w:marTop w:val="0"/>
      <w:marBottom w:val="0"/>
      <w:divBdr>
        <w:top w:val="none" w:sz="0" w:space="0" w:color="auto"/>
        <w:left w:val="none" w:sz="0" w:space="0" w:color="auto"/>
        <w:bottom w:val="none" w:sz="0" w:space="0" w:color="auto"/>
        <w:right w:val="none" w:sz="0" w:space="0" w:color="auto"/>
      </w:divBdr>
    </w:div>
    <w:div w:id="1637494555">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657413886">
      <w:bodyDiv w:val="1"/>
      <w:marLeft w:val="0"/>
      <w:marRight w:val="0"/>
      <w:marTop w:val="0"/>
      <w:marBottom w:val="0"/>
      <w:divBdr>
        <w:top w:val="none" w:sz="0" w:space="0" w:color="auto"/>
        <w:left w:val="none" w:sz="0" w:space="0" w:color="auto"/>
        <w:bottom w:val="none" w:sz="0" w:space="0" w:color="auto"/>
        <w:right w:val="none" w:sz="0" w:space="0" w:color="auto"/>
      </w:divBdr>
    </w:div>
    <w:div w:id="1672755253">
      <w:bodyDiv w:val="1"/>
      <w:marLeft w:val="0"/>
      <w:marRight w:val="0"/>
      <w:marTop w:val="0"/>
      <w:marBottom w:val="0"/>
      <w:divBdr>
        <w:top w:val="none" w:sz="0" w:space="0" w:color="auto"/>
        <w:left w:val="none" w:sz="0" w:space="0" w:color="auto"/>
        <w:bottom w:val="none" w:sz="0" w:space="0" w:color="auto"/>
        <w:right w:val="none" w:sz="0" w:space="0" w:color="auto"/>
      </w:divBdr>
    </w:div>
    <w:div w:id="1713383775">
      <w:bodyDiv w:val="1"/>
      <w:marLeft w:val="0"/>
      <w:marRight w:val="0"/>
      <w:marTop w:val="0"/>
      <w:marBottom w:val="0"/>
      <w:divBdr>
        <w:top w:val="none" w:sz="0" w:space="0" w:color="auto"/>
        <w:left w:val="none" w:sz="0" w:space="0" w:color="auto"/>
        <w:bottom w:val="none" w:sz="0" w:space="0" w:color="auto"/>
        <w:right w:val="none" w:sz="0" w:space="0" w:color="auto"/>
      </w:divBdr>
    </w:div>
    <w:div w:id="1722366724">
      <w:bodyDiv w:val="1"/>
      <w:marLeft w:val="0"/>
      <w:marRight w:val="0"/>
      <w:marTop w:val="0"/>
      <w:marBottom w:val="0"/>
      <w:divBdr>
        <w:top w:val="none" w:sz="0" w:space="0" w:color="auto"/>
        <w:left w:val="none" w:sz="0" w:space="0" w:color="auto"/>
        <w:bottom w:val="none" w:sz="0" w:space="0" w:color="auto"/>
        <w:right w:val="none" w:sz="0" w:space="0" w:color="auto"/>
      </w:divBdr>
      <w:divsChild>
        <w:div w:id="1706833379">
          <w:marLeft w:val="0"/>
          <w:marRight w:val="0"/>
          <w:marTop w:val="0"/>
          <w:marBottom w:val="567"/>
          <w:divBdr>
            <w:top w:val="none" w:sz="0" w:space="0" w:color="auto"/>
            <w:left w:val="none" w:sz="0" w:space="0" w:color="auto"/>
            <w:bottom w:val="none" w:sz="0" w:space="0" w:color="auto"/>
            <w:right w:val="none" w:sz="0" w:space="0" w:color="auto"/>
          </w:divBdr>
        </w:div>
        <w:div w:id="2083067778">
          <w:marLeft w:val="0"/>
          <w:marRight w:val="0"/>
          <w:marTop w:val="480"/>
          <w:marBottom w:val="240"/>
          <w:divBdr>
            <w:top w:val="none" w:sz="0" w:space="0" w:color="auto"/>
            <w:left w:val="none" w:sz="0" w:space="0" w:color="auto"/>
            <w:bottom w:val="none" w:sz="0" w:space="0" w:color="auto"/>
            <w:right w:val="none" w:sz="0" w:space="0" w:color="auto"/>
          </w:divBdr>
        </w:div>
      </w:divsChild>
    </w:div>
    <w:div w:id="1742873533">
      <w:bodyDiv w:val="1"/>
      <w:marLeft w:val="0"/>
      <w:marRight w:val="0"/>
      <w:marTop w:val="0"/>
      <w:marBottom w:val="0"/>
      <w:divBdr>
        <w:top w:val="none" w:sz="0" w:space="0" w:color="auto"/>
        <w:left w:val="none" w:sz="0" w:space="0" w:color="auto"/>
        <w:bottom w:val="none" w:sz="0" w:space="0" w:color="auto"/>
        <w:right w:val="none" w:sz="0" w:space="0" w:color="auto"/>
      </w:divBdr>
    </w:div>
    <w:div w:id="1772773940">
      <w:bodyDiv w:val="1"/>
      <w:marLeft w:val="0"/>
      <w:marRight w:val="0"/>
      <w:marTop w:val="0"/>
      <w:marBottom w:val="0"/>
      <w:divBdr>
        <w:top w:val="none" w:sz="0" w:space="0" w:color="auto"/>
        <w:left w:val="none" w:sz="0" w:space="0" w:color="auto"/>
        <w:bottom w:val="none" w:sz="0" w:space="0" w:color="auto"/>
        <w:right w:val="none" w:sz="0" w:space="0" w:color="auto"/>
      </w:divBdr>
      <w:divsChild>
        <w:div w:id="126050033">
          <w:marLeft w:val="0"/>
          <w:marRight w:val="0"/>
          <w:marTop w:val="0"/>
          <w:marBottom w:val="0"/>
          <w:divBdr>
            <w:top w:val="none" w:sz="0" w:space="0" w:color="auto"/>
            <w:left w:val="none" w:sz="0" w:space="0" w:color="auto"/>
            <w:bottom w:val="none" w:sz="0" w:space="0" w:color="auto"/>
            <w:right w:val="none" w:sz="0" w:space="0" w:color="auto"/>
          </w:divBdr>
        </w:div>
        <w:div w:id="482547328">
          <w:marLeft w:val="0"/>
          <w:marRight w:val="0"/>
          <w:marTop w:val="0"/>
          <w:marBottom w:val="0"/>
          <w:divBdr>
            <w:top w:val="none" w:sz="0" w:space="0" w:color="auto"/>
            <w:left w:val="none" w:sz="0" w:space="0" w:color="auto"/>
            <w:bottom w:val="none" w:sz="0" w:space="0" w:color="auto"/>
            <w:right w:val="none" w:sz="0" w:space="0" w:color="auto"/>
          </w:divBdr>
        </w:div>
        <w:div w:id="1063022483">
          <w:marLeft w:val="0"/>
          <w:marRight w:val="0"/>
          <w:marTop w:val="0"/>
          <w:marBottom w:val="0"/>
          <w:divBdr>
            <w:top w:val="none" w:sz="0" w:space="0" w:color="auto"/>
            <w:left w:val="none" w:sz="0" w:space="0" w:color="auto"/>
            <w:bottom w:val="none" w:sz="0" w:space="0" w:color="auto"/>
            <w:right w:val="none" w:sz="0" w:space="0" w:color="auto"/>
          </w:divBdr>
        </w:div>
      </w:divsChild>
    </w:div>
    <w:div w:id="1788697410">
      <w:bodyDiv w:val="1"/>
      <w:marLeft w:val="0"/>
      <w:marRight w:val="0"/>
      <w:marTop w:val="0"/>
      <w:marBottom w:val="0"/>
      <w:divBdr>
        <w:top w:val="none" w:sz="0" w:space="0" w:color="auto"/>
        <w:left w:val="none" w:sz="0" w:space="0" w:color="auto"/>
        <w:bottom w:val="none" w:sz="0" w:space="0" w:color="auto"/>
        <w:right w:val="none" w:sz="0" w:space="0" w:color="auto"/>
      </w:divBdr>
      <w:divsChild>
        <w:div w:id="732852925">
          <w:marLeft w:val="0"/>
          <w:marRight w:val="0"/>
          <w:marTop w:val="0"/>
          <w:marBottom w:val="567"/>
          <w:divBdr>
            <w:top w:val="none" w:sz="0" w:space="0" w:color="auto"/>
            <w:left w:val="none" w:sz="0" w:space="0" w:color="auto"/>
            <w:bottom w:val="none" w:sz="0" w:space="0" w:color="auto"/>
            <w:right w:val="none" w:sz="0" w:space="0" w:color="auto"/>
          </w:divBdr>
        </w:div>
        <w:div w:id="1959028474">
          <w:marLeft w:val="0"/>
          <w:marRight w:val="0"/>
          <w:marTop w:val="480"/>
          <w:marBottom w:val="240"/>
          <w:divBdr>
            <w:top w:val="none" w:sz="0" w:space="0" w:color="auto"/>
            <w:left w:val="none" w:sz="0" w:space="0" w:color="auto"/>
            <w:bottom w:val="none" w:sz="0" w:space="0" w:color="auto"/>
            <w:right w:val="none" w:sz="0" w:space="0" w:color="auto"/>
          </w:divBdr>
        </w:div>
      </w:divsChild>
    </w:div>
    <w:div w:id="1798058933">
      <w:bodyDiv w:val="1"/>
      <w:marLeft w:val="0"/>
      <w:marRight w:val="0"/>
      <w:marTop w:val="0"/>
      <w:marBottom w:val="0"/>
      <w:divBdr>
        <w:top w:val="none" w:sz="0" w:space="0" w:color="auto"/>
        <w:left w:val="none" w:sz="0" w:space="0" w:color="auto"/>
        <w:bottom w:val="none" w:sz="0" w:space="0" w:color="auto"/>
        <w:right w:val="none" w:sz="0" w:space="0" w:color="auto"/>
      </w:divBdr>
    </w:div>
    <w:div w:id="1819877701">
      <w:bodyDiv w:val="1"/>
      <w:marLeft w:val="0"/>
      <w:marRight w:val="0"/>
      <w:marTop w:val="0"/>
      <w:marBottom w:val="0"/>
      <w:divBdr>
        <w:top w:val="none" w:sz="0" w:space="0" w:color="auto"/>
        <w:left w:val="none" w:sz="0" w:space="0" w:color="auto"/>
        <w:bottom w:val="none" w:sz="0" w:space="0" w:color="auto"/>
        <w:right w:val="none" w:sz="0" w:space="0" w:color="auto"/>
      </w:divBdr>
      <w:divsChild>
        <w:div w:id="1354845966">
          <w:marLeft w:val="0"/>
          <w:marRight w:val="0"/>
          <w:marTop w:val="480"/>
          <w:marBottom w:val="240"/>
          <w:divBdr>
            <w:top w:val="none" w:sz="0" w:space="0" w:color="auto"/>
            <w:left w:val="none" w:sz="0" w:space="0" w:color="auto"/>
            <w:bottom w:val="none" w:sz="0" w:space="0" w:color="auto"/>
            <w:right w:val="none" w:sz="0" w:space="0" w:color="auto"/>
          </w:divBdr>
        </w:div>
        <w:div w:id="2084600963">
          <w:marLeft w:val="0"/>
          <w:marRight w:val="0"/>
          <w:marTop w:val="0"/>
          <w:marBottom w:val="567"/>
          <w:divBdr>
            <w:top w:val="none" w:sz="0" w:space="0" w:color="auto"/>
            <w:left w:val="none" w:sz="0" w:space="0" w:color="auto"/>
            <w:bottom w:val="none" w:sz="0" w:space="0" w:color="auto"/>
            <w:right w:val="none" w:sz="0" w:space="0" w:color="auto"/>
          </w:divBdr>
        </w:div>
      </w:divsChild>
    </w:div>
    <w:div w:id="1844777661">
      <w:bodyDiv w:val="1"/>
      <w:marLeft w:val="0"/>
      <w:marRight w:val="0"/>
      <w:marTop w:val="0"/>
      <w:marBottom w:val="0"/>
      <w:divBdr>
        <w:top w:val="none" w:sz="0" w:space="0" w:color="auto"/>
        <w:left w:val="none" w:sz="0" w:space="0" w:color="auto"/>
        <w:bottom w:val="none" w:sz="0" w:space="0" w:color="auto"/>
        <w:right w:val="none" w:sz="0" w:space="0" w:color="auto"/>
      </w:divBdr>
    </w:div>
    <w:div w:id="1849102765">
      <w:bodyDiv w:val="1"/>
      <w:marLeft w:val="0"/>
      <w:marRight w:val="0"/>
      <w:marTop w:val="0"/>
      <w:marBottom w:val="0"/>
      <w:divBdr>
        <w:top w:val="none" w:sz="0" w:space="0" w:color="auto"/>
        <w:left w:val="none" w:sz="0" w:space="0" w:color="auto"/>
        <w:bottom w:val="none" w:sz="0" w:space="0" w:color="auto"/>
        <w:right w:val="none" w:sz="0" w:space="0" w:color="auto"/>
      </w:divBdr>
      <w:divsChild>
        <w:div w:id="350572456">
          <w:marLeft w:val="0"/>
          <w:marRight w:val="0"/>
          <w:marTop w:val="0"/>
          <w:marBottom w:val="567"/>
          <w:divBdr>
            <w:top w:val="none" w:sz="0" w:space="0" w:color="auto"/>
            <w:left w:val="none" w:sz="0" w:space="0" w:color="auto"/>
            <w:bottom w:val="none" w:sz="0" w:space="0" w:color="auto"/>
            <w:right w:val="none" w:sz="0" w:space="0" w:color="auto"/>
          </w:divBdr>
        </w:div>
        <w:div w:id="1142428740">
          <w:marLeft w:val="0"/>
          <w:marRight w:val="0"/>
          <w:marTop w:val="480"/>
          <w:marBottom w:val="240"/>
          <w:divBdr>
            <w:top w:val="none" w:sz="0" w:space="0" w:color="auto"/>
            <w:left w:val="none" w:sz="0" w:space="0" w:color="auto"/>
            <w:bottom w:val="none" w:sz="0" w:space="0" w:color="auto"/>
            <w:right w:val="none" w:sz="0" w:space="0" w:color="auto"/>
          </w:divBdr>
        </w:div>
      </w:divsChild>
    </w:div>
    <w:div w:id="1850943750">
      <w:bodyDiv w:val="1"/>
      <w:marLeft w:val="0"/>
      <w:marRight w:val="0"/>
      <w:marTop w:val="0"/>
      <w:marBottom w:val="0"/>
      <w:divBdr>
        <w:top w:val="none" w:sz="0" w:space="0" w:color="auto"/>
        <w:left w:val="none" w:sz="0" w:space="0" w:color="auto"/>
        <w:bottom w:val="none" w:sz="0" w:space="0" w:color="auto"/>
        <w:right w:val="none" w:sz="0" w:space="0" w:color="auto"/>
      </w:divBdr>
    </w:div>
    <w:div w:id="1868910240">
      <w:bodyDiv w:val="1"/>
      <w:marLeft w:val="0"/>
      <w:marRight w:val="0"/>
      <w:marTop w:val="0"/>
      <w:marBottom w:val="0"/>
      <w:divBdr>
        <w:top w:val="none" w:sz="0" w:space="0" w:color="auto"/>
        <w:left w:val="none" w:sz="0" w:space="0" w:color="auto"/>
        <w:bottom w:val="none" w:sz="0" w:space="0" w:color="auto"/>
        <w:right w:val="none" w:sz="0" w:space="0" w:color="auto"/>
      </w:divBdr>
    </w:div>
    <w:div w:id="1891187535">
      <w:bodyDiv w:val="1"/>
      <w:marLeft w:val="0"/>
      <w:marRight w:val="0"/>
      <w:marTop w:val="0"/>
      <w:marBottom w:val="0"/>
      <w:divBdr>
        <w:top w:val="none" w:sz="0" w:space="0" w:color="auto"/>
        <w:left w:val="none" w:sz="0" w:space="0" w:color="auto"/>
        <w:bottom w:val="none" w:sz="0" w:space="0" w:color="auto"/>
        <w:right w:val="none" w:sz="0" w:space="0" w:color="auto"/>
      </w:divBdr>
    </w:div>
    <w:div w:id="1902671712">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17090457">
      <w:bodyDiv w:val="1"/>
      <w:marLeft w:val="0"/>
      <w:marRight w:val="0"/>
      <w:marTop w:val="0"/>
      <w:marBottom w:val="0"/>
      <w:divBdr>
        <w:top w:val="none" w:sz="0" w:space="0" w:color="auto"/>
        <w:left w:val="none" w:sz="0" w:space="0" w:color="auto"/>
        <w:bottom w:val="none" w:sz="0" w:space="0" w:color="auto"/>
        <w:right w:val="none" w:sz="0" w:space="0" w:color="auto"/>
      </w:divBdr>
    </w:div>
    <w:div w:id="1919092551">
      <w:bodyDiv w:val="1"/>
      <w:marLeft w:val="0"/>
      <w:marRight w:val="0"/>
      <w:marTop w:val="0"/>
      <w:marBottom w:val="0"/>
      <w:divBdr>
        <w:top w:val="none" w:sz="0" w:space="0" w:color="auto"/>
        <w:left w:val="none" w:sz="0" w:space="0" w:color="auto"/>
        <w:bottom w:val="none" w:sz="0" w:space="0" w:color="auto"/>
        <w:right w:val="none" w:sz="0" w:space="0" w:color="auto"/>
      </w:divBdr>
    </w:div>
    <w:div w:id="1994798885">
      <w:bodyDiv w:val="1"/>
      <w:marLeft w:val="0"/>
      <w:marRight w:val="0"/>
      <w:marTop w:val="0"/>
      <w:marBottom w:val="0"/>
      <w:divBdr>
        <w:top w:val="none" w:sz="0" w:space="0" w:color="auto"/>
        <w:left w:val="none" w:sz="0" w:space="0" w:color="auto"/>
        <w:bottom w:val="none" w:sz="0" w:space="0" w:color="auto"/>
        <w:right w:val="none" w:sz="0" w:space="0" w:color="auto"/>
      </w:divBdr>
    </w:div>
    <w:div w:id="2000185652">
      <w:bodyDiv w:val="1"/>
      <w:marLeft w:val="0"/>
      <w:marRight w:val="0"/>
      <w:marTop w:val="0"/>
      <w:marBottom w:val="0"/>
      <w:divBdr>
        <w:top w:val="none" w:sz="0" w:space="0" w:color="auto"/>
        <w:left w:val="none" w:sz="0" w:space="0" w:color="auto"/>
        <w:bottom w:val="none" w:sz="0" w:space="0" w:color="auto"/>
        <w:right w:val="none" w:sz="0" w:space="0" w:color="auto"/>
      </w:divBdr>
      <w:divsChild>
        <w:div w:id="173613079">
          <w:marLeft w:val="0"/>
          <w:marRight w:val="0"/>
          <w:marTop w:val="480"/>
          <w:marBottom w:val="240"/>
          <w:divBdr>
            <w:top w:val="none" w:sz="0" w:space="0" w:color="auto"/>
            <w:left w:val="none" w:sz="0" w:space="0" w:color="auto"/>
            <w:bottom w:val="none" w:sz="0" w:space="0" w:color="auto"/>
            <w:right w:val="none" w:sz="0" w:space="0" w:color="auto"/>
          </w:divBdr>
        </w:div>
        <w:div w:id="369304631">
          <w:marLeft w:val="0"/>
          <w:marRight w:val="0"/>
          <w:marTop w:val="0"/>
          <w:marBottom w:val="567"/>
          <w:divBdr>
            <w:top w:val="none" w:sz="0" w:space="0" w:color="auto"/>
            <w:left w:val="none" w:sz="0" w:space="0" w:color="auto"/>
            <w:bottom w:val="none" w:sz="0" w:space="0" w:color="auto"/>
            <w:right w:val="none" w:sz="0" w:space="0" w:color="auto"/>
          </w:divBdr>
        </w:div>
      </w:divsChild>
    </w:div>
    <w:div w:id="202816927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 w:id="2075662296">
      <w:bodyDiv w:val="1"/>
      <w:marLeft w:val="0"/>
      <w:marRight w:val="0"/>
      <w:marTop w:val="0"/>
      <w:marBottom w:val="0"/>
      <w:divBdr>
        <w:top w:val="none" w:sz="0" w:space="0" w:color="auto"/>
        <w:left w:val="none" w:sz="0" w:space="0" w:color="auto"/>
        <w:bottom w:val="none" w:sz="0" w:space="0" w:color="auto"/>
        <w:right w:val="none" w:sz="0" w:space="0" w:color="auto"/>
      </w:divBdr>
      <w:divsChild>
        <w:div w:id="884022933">
          <w:marLeft w:val="0"/>
          <w:marRight w:val="0"/>
          <w:marTop w:val="480"/>
          <w:marBottom w:val="240"/>
          <w:divBdr>
            <w:top w:val="none" w:sz="0" w:space="0" w:color="auto"/>
            <w:left w:val="none" w:sz="0" w:space="0" w:color="auto"/>
            <w:bottom w:val="none" w:sz="0" w:space="0" w:color="auto"/>
            <w:right w:val="none" w:sz="0" w:space="0" w:color="auto"/>
          </w:divBdr>
        </w:div>
        <w:div w:id="1451435214">
          <w:marLeft w:val="0"/>
          <w:marRight w:val="0"/>
          <w:marTop w:val="0"/>
          <w:marBottom w:val="567"/>
          <w:divBdr>
            <w:top w:val="none" w:sz="0" w:space="0" w:color="auto"/>
            <w:left w:val="none" w:sz="0" w:space="0" w:color="auto"/>
            <w:bottom w:val="none" w:sz="0" w:space="0" w:color="auto"/>
            <w:right w:val="none" w:sz="0" w:space="0" w:color="auto"/>
          </w:divBdr>
        </w:div>
      </w:divsChild>
    </w:div>
    <w:div w:id="2078474972">
      <w:bodyDiv w:val="1"/>
      <w:marLeft w:val="0"/>
      <w:marRight w:val="0"/>
      <w:marTop w:val="0"/>
      <w:marBottom w:val="0"/>
      <w:divBdr>
        <w:top w:val="none" w:sz="0" w:space="0" w:color="auto"/>
        <w:left w:val="none" w:sz="0" w:space="0" w:color="auto"/>
        <w:bottom w:val="none" w:sz="0" w:space="0" w:color="auto"/>
        <w:right w:val="none" w:sz="0" w:space="0" w:color="auto"/>
      </w:divBdr>
    </w:div>
    <w:div w:id="2084374687">
      <w:bodyDiv w:val="1"/>
      <w:marLeft w:val="0"/>
      <w:marRight w:val="0"/>
      <w:marTop w:val="0"/>
      <w:marBottom w:val="0"/>
      <w:divBdr>
        <w:top w:val="none" w:sz="0" w:space="0" w:color="auto"/>
        <w:left w:val="none" w:sz="0" w:space="0" w:color="auto"/>
        <w:bottom w:val="none" w:sz="0" w:space="0" w:color="auto"/>
        <w:right w:val="none" w:sz="0" w:space="0" w:color="auto"/>
      </w:divBdr>
    </w:div>
    <w:div w:id="2095667885">
      <w:bodyDiv w:val="1"/>
      <w:marLeft w:val="0"/>
      <w:marRight w:val="0"/>
      <w:marTop w:val="0"/>
      <w:marBottom w:val="0"/>
      <w:divBdr>
        <w:top w:val="none" w:sz="0" w:space="0" w:color="auto"/>
        <w:left w:val="none" w:sz="0" w:space="0" w:color="auto"/>
        <w:bottom w:val="none" w:sz="0" w:space="0" w:color="auto"/>
        <w:right w:val="none" w:sz="0" w:space="0" w:color="auto"/>
      </w:divBdr>
    </w:div>
    <w:div w:id="2095927707">
      <w:bodyDiv w:val="1"/>
      <w:marLeft w:val="0"/>
      <w:marRight w:val="0"/>
      <w:marTop w:val="0"/>
      <w:marBottom w:val="0"/>
      <w:divBdr>
        <w:top w:val="none" w:sz="0" w:space="0" w:color="auto"/>
        <w:left w:val="none" w:sz="0" w:space="0" w:color="auto"/>
        <w:bottom w:val="none" w:sz="0" w:space="0" w:color="auto"/>
        <w:right w:val="none" w:sz="0" w:space="0" w:color="auto"/>
      </w:divBdr>
    </w:div>
    <w:div w:id="2122722744">
      <w:bodyDiv w:val="1"/>
      <w:marLeft w:val="0"/>
      <w:marRight w:val="0"/>
      <w:marTop w:val="0"/>
      <w:marBottom w:val="0"/>
      <w:divBdr>
        <w:top w:val="none" w:sz="0" w:space="0" w:color="auto"/>
        <w:left w:val="none" w:sz="0" w:space="0" w:color="auto"/>
        <w:bottom w:val="none" w:sz="0" w:space="0" w:color="auto"/>
        <w:right w:val="none" w:sz="0" w:space="0" w:color="auto"/>
      </w:divBdr>
      <w:divsChild>
        <w:div w:id="115956119">
          <w:marLeft w:val="0"/>
          <w:marRight w:val="0"/>
          <w:marTop w:val="0"/>
          <w:marBottom w:val="0"/>
          <w:divBdr>
            <w:top w:val="none" w:sz="0" w:space="0" w:color="auto"/>
            <w:left w:val="none" w:sz="0" w:space="0" w:color="auto"/>
            <w:bottom w:val="none" w:sz="0" w:space="0" w:color="auto"/>
            <w:right w:val="none" w:sz="0" w:space="0" w:color="auto"/>
          </w:divBdr>
        </w:div>
        <w:div w:id="253586821">
          <w:marLeft w:val="0"/>
          <w:marRight w:val="0"/>
          <w:marTop w:val="0"/>
          <w:marBottom w:val="0"/>
          <w:divBdr>
            <w:top w:val="none" w:sz="0" w:space="0" w:color="auto"/>
            <w:left w:val="none" w:sz="0" w:space="0" w:color="auto"/>
            <w:bottom w:val="none" w:sz="0" w:space="0" w:color="auto"/>
            <w:right w:val="none" w:sz="0" w:space="0" w:color="auto"/>
          </w:divBdr>
        </w:div>
        <w:div w:id="263005236">
          <w:marLeft w:val="0"/>
          <w:marRight w:val="0"/>
          <w:marTop w:val="0"/>
          <w:marBottom w:val="0"/>
          <w:divBdr>
            <w:top w:val="none" w:sz="0" w:space="0" w:color="auto"/>
            <w:left w:val="none" w:sz="0" w:space="0" w:color="auto"/>
            <w:bottom w:val="none" w:sz="0" w:space="0" w:color="auto"/>
            <w:right w:val="none" w:sz="0" w:space="0" w:color="auto"/>
          </w:divBdr>
        </w:div>
        <w:div w:id="277370372">
          <w:marLeft w:val="0"/>
          <w:marRight w:val="0"/>
          <w:marTop w:val="0"/>
          <w:marBottom w:val="0"/>
          <w:divBdr>
            <w:top w:val="none" w:sz="0" w:space="0" w:color="auto"/>
            <w:left w:val="none" w:sz="0" w:space="0" w:color="auto"/>
            <w:bottom w:val="none" w:sz="0" w:space="0" w:color="auto"/>
            <w:right w:val="none" w:sz="0" w:space="0" w:color="auto"/>
          </w:divBdr>
        </w:div>
        <w:div w:id="318311997">
          <w:marLeft w:val="0"/>
          <w:marRight w:val="0"/>
          <w:marTop w:val="0"/>
          <w:marBottom w:val="0"/>
          <w:divBdr>
            <w:top w:val="none" w:sz="0" w:space="0" w:color="auto"/>
            <w:left w:val="none" w:sz="0" w:space="0" w:color="auto"/>
            <w:bottom w:val="none" w:sz="0" w:space="0" w:color="auto"/>
            <w:right w:val="none" w:sz="0" w:space="0" w:color="auto"/>
          </w:divBdr>
        </w:div>
        <w:div w:id="363556033">
          <w:marLeft w:val="0"/>
          <w:marRight w:val="0"/>
          <w:marTop w:val="0"/>
          <w:marBottom w:val="0"/>
          <w:divBdr>
            <w:top w:val="none" w:sz="0" w:space="0" w:color="auto"/>
            <w:left w:val="none" w:sz="0" w:space="0" w:color="auto"/>
            <w:bottom w:val="none" w:sz="0" w:space="0" w:color="auto"/>
            <w:right w:val="none" w:sz="0" w:space="0" w:color="auto"/>
          </w:divBdr>
        </w:div>
        <w:div w:id="441195775">
          <w:marLeft w:val="0"/>
          <w:marRight w:val="0"/>
          <w:marTop w:val="0"/>
          <w:marBottom w:val="0"/>
          <w:divBdr>
            <w:top w:val="none" w:sz="0" w:space="0" w:color="auto"/>
            <w:left w:val="none" w:sz="0" w:space="0" w:color="auto"/>
            <w:bottom w:val="none" w:sz="0" w:space="0" w:color="auto"/>
            <w:right w:val="none" w:sz="0" w:space="0" w:color="auto"/>
          </w:divBdr>
        </w:div>
        <w:div w:id="458381929">
          <w:marLeft w:val="0"/>
          <w:marRight w:val="0"/>
          <w:marTop w:val="0"/>
          <w:marBottom w:val="0"/>
          <w:divBdr>
            <w:top w:val="none" w:sz="0" w:space="0" w:color="auto"/>
            <w:left w:val="none" w:sz="0" w:space="0" w:color="auto"/>
            <w:bottom w:val="none" w:sz="0" w:space="0" w:color="auto"/>
            <w:right w:val="none" w:sz="0" w:space="0" w:color="auto"/>
          </w:divBdr>
        </w:div>
        <w:div w:id="542986762">
          <w:marLeft w:val="0"/>
          <w:marRight w:val="0"/>
          <w:marTop w:val="0"/>
          <w:marBottom w:val="0"/>
          <w:divBdr>
            <w:top w:val="none" w:sz="0" w:space="0" w:color="auto"/>
            <w:left w:val="none" w:sz="0" w:space="0" w:color="auto"/>
            <w:bottom w:val="none" w:sz="0" w:space="0" w:color="auto"/>
            <w:right w:val="none" w:sz="0" w:space="0" w:color="auto"/>
          </w:divBdr>
        </w:div>
        <w:div w:id="637496742">
          <w:marLeft w:val="0"/>
          <w:marRight w:val="0"/>
          <w:marTop w:val="0"/>
          <w:marBottom w:val="0"/>
          <w:divBdr>
            <w:top w:val="none" w:sz="0" w:space="0" w:color="auto"/>
            <w:left w:val="none" w:sz="0" w:space="0" w:color="auto"/>
            <w:bottom w:val="none" w:sz="0" w:space="0" w:color="auto"/>
            <w:right w:val="none" w:sz="0" w:space="0" w:color="auto"/>
          </w:divBdr>
        </w:div>
        <w:div w:id="694621146">
          <w:marLeft w:val="0"/>
          <w:marRight w:val="0"/>
          <w:marTop w:val="0"/>
          <w:marBottom w:val="0"/>
          <w:divBdr>
            <w:top w:val="none" w:sz="0" w:space="0" w:color="auto"/>
            <w:left w:val="none" w:sz="0" w:space="0" w:color="auto"/>
            <w:bottom w:val="none" w:sz="0" w:space="0" w:color="auto"/>
            <w:right w:val="none" w:sz="0" w:space="0" w:color="auto"/>
          </w:divBdr>
        </w:div>
        <w:div w:id="697702108">
          <w:marLeft w:val="0"/>
          <w:marRight w:val="0"/>
          <w:marTop w:val="0"/>
          <w:marBottom w:val="0"/>
          <w:divBdr>
            <w:top w:val="none" w:sz="0" w:space="0" w:color="auto"/>
            <w:left w:val="none" w:sz="0" w:space="0" w:color="auto"/>
            <w:bottom w:val="none" w:sz="0" w:space="0" w:color="auto"/>
            <w:right w:val="none" w:sz="0" w:space="0" w:color="auto"/>
          </w:divBdr>
        </w:div>
        <w:div w:id="698361415">
          <w:marLeft w:val="0"/>
          <w:marRight w:val="0"/>
          <w:marTop w:val="0"/>
          <w:marBottom w:val="0"/>
          <w:divBdr>
            <w:top w:val="none" w:sz="0" w:space="0" w:color="auto"/>
            <w:left w:val="none" w:sz="0" w:space="0" w:color="auto"/>
            <w:bottom w:val="none" w:sz="0" w:space="0" w:color="auto"/>
            <w:right w:val="none" w:sz="0" w:space="0" w:color="auto"/>
          </w:divBdr>
        </w:div>
        <w:div w:id="706175231">
          <w:marLeft w:val="0"/>
          <w:marRight w:val="0"/>
          <w:marTop w:val="0"/>
          <w:marBottom w:val="0"/>
          <w:divBdr>
            <w:top w:val="none" w:sz="0" w:space="0" w:color="auto"/>
            <w:left w:val="none" w:sz="0" w:space="0" w:color="auto"/>
            <w:bottom w:val="none" w:sz="0" w:space="0" w:color="auto"/>
            <w:right w:val="none" w:sz="0" w:space="0" w:color="auto"/>
          </w:divBdr>
        </w:div>
        <w:div w:id="746344510">
          <w:marLeft w:val="0"/>
          <w:marRight w:val="0"/>
          <w:marTop w:val="0"/>
          <w:marBottom w:val="0"/>
          <w:divBdr>
            <w:top w:val="none" w:sz="0" w:space="0" w:color="auto"/>
            <w:left w:val="none" w:sz="0" w:space="0" w:color="auto"/>
            <w:bottom w:val="none" w:sz="0" w:space="0" w:color="auto"/>
            <w:right w:val="none" w:sz="0" w:space="0" w:color="auto"/>
          </w:divBdr>
        </w:div>
        <w:div w:id="764375226">
          <w:marLeft w:val="0"/>
          <w:marRight w:val="0"/>
          <w:marTop w:val="0"/>
          <w:marBottom w:val="0"/>
          <w:divBdr>
            <w:top w:val="none" w:sz="0" w:space="0" w:color="auto"/>
            <w:left w:val="none" w:sz="0" w:space="0" w:color="auto"/>
            <w:bottom w:val="none" w:sz="0" w:space="0" w:color="auto"/>
            <w:right w:val="none" w:sz="0" w:space="0" w:color="auto"/>
          </w:divBdr>
        </w:div>
        <w:div w:id="812530316">
          <w:marLeft w:val="0"/>
          <w:marRight w:val="0"/>
          <w:marTop w:val="0"/>
          <w:marBottom w:val="0"/>
          <w:divBdr>
            <w:top w:val="none" w:sz="0" w:space="0" w:color="auto"/>
            <w:left w:val="none" w:sz="0" w:space="0" w:color="auto"/>
            <w:bottom w:val="none" w:sz="0" w:space="0" w:color="auto"/>
            <w:right w:val="none" w:sz="0" w:space="0" w:color="auto"/>
          </w:divBdr>
        </w:div>
        <w:div w:id="851148253">
          <w:marLeft w:val="0"/>
          <w:marRight w:val="0"/>
          <w:marTop w:val="0"/>
          <w:marBottom w:val="0"/>
          <w:divBdr>
            <w:top w:val="none" w:sz="0" w:space="0" w:color="auto"/>
            <w:left w:val="none" w:sz="0" w:space="0" w:color="auto"/>
            <w:bottom w:val="none" w:sz="0" w:space="0" w:color="auto"/>
            <w:right w:val="none" w:sz="0" w:space="0" w:color="auto"/>
          </w:divBdr>
        </w:div>
        <w:div w:id="865216906">
          <w:marLeft w:val="0"/>
          <w:marRight w:val="0"/>
          <w:marTop w:val="0"/>
          <w:marBottom w:val="0"/>
          <w:divBdr>
            <w:top w:val="none" w:sz="0" w:space="0" w:color="auto"/>
            <w:left w:val="none" w:sz="0" w:space="0" w:color="auto"/>
            <w:bottom w:val="none" w:sz="0" w:space="0" w:color="auto"/>
            <w:right w:val="none" w:sz="0" w:space="0" w:color="auto"/>
          </w:divBdr>
        </w:div>
        <w:div w:id="1026834388">
          <w:marLeft w:val="0"/>
          <w:marRight w:val="0"/>
          <w:marTop w:val="0"/>
          <w:marBottom w:val="0"/>
          <w:divBdr>
            <w:top w:val="none" w:sz="0" w:space="0" w:color="auto"/>
            <w:left w:val="none" w:sz="0" w:space="0" w:color="auto"/>
            <w:bottom w:val="none" w:sz="0" w:space="0" w:color="auto"/>
            <w:right w:val="none" w:sz="0" w:space="0" w:color="auto"/>
          </w:divBdr>
        </w:div>
        <w:div w:id="1053113933">
          <w:marLeft w:val="0"/>
          <w:marRight w:val="0"/>
          <w:marTop w:val="0"/>
          <w:marBottom w:val="0"/>
          <w:divBdr>
            <w:top w:val="none" w:sz="0" w:space="0" w:color="auto"/>
            <w:left w:val="none" w:sz="0" w:space="0" w:color="auto"/>
            <w:bottom w:val="none" w:sz="0" w:space="0" w:color="auto"/>
            <w:right w:val="none" w:sz="0" w:space="0" w:color="auto"/>
          </w:divBdr>
        </w:div>
        <w:div w:id="1079519427">
          <w:marLeft w:val="0"/>
          <w:marRight w:val="0"/>
          <w:marTop w:val="0"/>
          <w:marBottom w:val="0"/>
          <w:divBdr>
            <w:top w:val="none" w:sz="0" w:space="0" w:color="auto"/>
            <w:left w:val="none" w:sz="0" w:space="0" w:color="auto"/>
            <w:bottom w:val="none" w:sz="0" w:space="0" w:color="auto"/>
            <w:right w:val="none" w:sz="0" w:space="0" w:color="auto"/>
          </w:divBdr>
        </w:div>
        <w:div w:id="1086145769">
          <w:marLeft w:val="0"/>
          <w:marRight w:val="0"/>
          <w:marTop w:val="0"/>
          <w:marBottom w:val="0"/>
          <w:divBdr>
            <w:top w:val="none" w:sz="0" w:space="0" w:color="auto"/>
            <w:left w:val="none" w:sz="0" w:space="0" w:color="auto"/>
            <w:bottom w:val="none" w:sz="0" w:space="0" w:color="auto"/>
            <w:right w:val="none" w:sz="0" w:space="0" w:color="auto"/>
          </w:divBdr>
        </w:div>
        <w:div w:id="1111821176">
          <w:marLeft w:val="0"/>
          <w:marRight w:val="0"/>
          <w:marTop w:val="0"/>
          <w:marBottom w:val="0"/>
          <w:divBdr>
            <w:top w:val="none" w:sz="0" w:space="0" w:color="auto"/>
            <w:left w:val="none" w:sz="0" w:space="0" w:color="auto"/>
            <w:bottom w:val="none" w:sz="0" w:space="0" w:color="auto"/>
            <w:right w:val="none" w:sz="0" w:space="0" w:color="auto"/>
          </w:divBdr>
        </w:div>
        <w:div w:id="1132938111">
          <w:marLeft w:val="0"/>
          <w:marRight w:val="0"/>
          <w:marTop w:val="0"/>
          <w:marBottom w:val="0"/>
          <w:divBdr>
            <w:top w:val="none" w:sz="0" w:space="0" w:color="auto"/>
            <w:left w:val="none" w:sz="0" w:space="0" w:color="auto"/>
            <w:bottom w:val="none" w:sz="0" w:space="0" w:color="auto"/>
            <w:right w:val="none" w:sz="0" w:space="0" w:color="auto"/>
          </w:divBdr>
        </w:div>
        <w:div w:id="1327199509">
          <w:marLeft w:val="0"/>
          <w:marRight w:val="0"/>
          <w:marTop w:val="0"/>
          <w:marBottom w:val="0"/>
          <w:divBdr>
            <w:top w:val="none" w:sz="0" w:space="0" w:color="auto"/>
            <w:left w:val="none" w:sz="0" w:space="0" w:color="auto"/>
            <w:bottom w:val="none" w:sz="0" w:space="0" w:color="auto"/>
            <w:right w:val="none" w:sz="0" w:space="0" w:color="auto"/>
          </w:divBdr>
        </w:div>
        <w:div w:id="1372919323">
          <w:marLeft w:val="0"/>
          <w:marRight w:val="0"/>
          <w:marTop w:val="0"/>
          <w:marBottom w:val="0"/>
          <w:divBdr>
            <w:top w:val="none" w:sz="0" w:space="0" w:color="auto"/>
            <w:left w:val="none" w:sz="0" w:space="0" w:color="auto"/>
            <w:bottom w:val="none" w:sz="0" w:space="0" w:color="auto"/>
            <w:right w:val="none" w:sz="0" w:space="0" w:color="auto"/>
          </w:divBdr>
        </w:div>
        <w:div w:id="1388725762">
          <w:marLeft w:val="0"/>
          <w:marRight w:val="0"/>
          <w:marTop w:val="0"/>
          <w:marBottom w:val="0"/>
          <w:divBdr>
            <w:top w:val="none" w:sz="0" w:space="0" w:color="auto"/>
            <w:left w:val="none" w:sz="0" w:space="0" w:color="auto"/>
            <w:bottom w:val="none" w:sz="0" w:space="0" w:color="auto"/>
            <w:right w:val="none" w:sz="0" w:space="0" w:color="auto"/>
          </w:divBdr>
        </w:div>
        <w:div w:id="1403092002">
          <w:marLeft w:val="0"/>
          <w:marRight w:val="0"/>
          <w:marTop w:val="0"/>
          <w:marBottom w:val="0"/>
          <w:divBdr>
            <w:top w:val="none" w:sz="0" w:space="0" w:color="auto"/>
            <w:left w:val="none" w:sz="0" w:space="0" w:color="auto"/>
            <w:bottom w:val="none" w:sz="0" w:space="0" w:color="auto"/>
            <w:right w:val="none" w:sz="0" w:space="0" w:color="auto"/>
          </w:divBdr>
        </w:div>
        <w:div w:id="1405254529">
          <w:marLeft w:val="0"/>
          <w:marRight w:val="0"/>
          <w:marTop w:val="0"/>
          <w:marBottom w:val="0"/>
          <w:divBdr>
            <w:top w:val="none" w:sz="0" w:space="0" w:color="auto"/>
            <w:left w:val="none" w:sz="0" w:space="0" w:color="auto"/>
            <w:bottom w:val="none" w:sz="0" w:space="0" w:color="auto"/>
            <w:right w:val="none" w:sz="0" w:space="0" w:color="auto"/>
          </w:divBdr>
        </w:div>
        <w:div w:id="1472139196">
          <w:marLeft w:val="0"/>
          <w:marRight w:val="0"/>
          <w:marTop w:val="0"/>
          <w:marBottom w:val="0"/>
          <w:divBdr>
            <w:top w:val="none" w:sz="0" w:space="0" w:color="auto"/>
            <w:left w:val="none" w:sz="0" w:space="0" w:color="auto"/>
            <w:bottom w:val="none" w:sz="0" w:space="0" w:color="auto"/>
            <w:right w:val="none" w:sz="0" w:space="0" w:color="auto"/>
          </w:divBdr>
        </w:div>
        <w:div w:id="1509445790">
          <w:marLeft w:val="0"/>
          <w:marRight w:val="0"/>
          <w:marTop w:val="0"/>
          <w:marBottom w:val="0"/>
          <w:divBdr>
            <w:top w:val="none" w:sz="0" w:space="0" w:color="auto"/>
            <w:left w:val="none" w:sz="0" w:space="0" w:color="auto"/>
            <w:bottom w:val="none" w:sz="0" w:space="0" w:color="auto"/>
            <w:right w:val="none" w:sz="0" w:space="0" w:color="auto"/>
          </w:divBdr>
        </w:div>
        <w:div w:id="1563296533">
          <w:marLeft w:val="0"/>
          <w:marRight w:val="0"/>
          <w:marTop w:val="0"/>
          <w:marBottom w:val="0"/>
          <w:divBdr>
            <w:top w:val="none" w:sz="0" w:space="0" w:color="auto"/>
            <w:left w:val="none" w:sz="0" w:space="0" w:color="auto"/>
            <w:bottom w:val="none" w:sz="0" w:space="0" w:color="auto"/>
            <w:right w:val="none" w:sz="0" w:space="0" w:color="auto"/>
          </w:divBdr>
        </w:div>
        <w:div w:id="1567031906">
          <w:marLeft w:val="0"/>
          <w:marRight w:val="0"/>
          <w:marTop w:val="0"/>
          <w:marBottom w:val="0"/>
          <w:divBdr>
            <w:top w:val="none" w:sz="0" w:space="0" w:color="auto"/>
            <w:left w:val="none" w:sz="0" w:space="0" w:color="auto"/>
            <w:bottom w:val="none" w:sz="0" w:space="0" w:color="auto"/>
            <w:right w:val="none" w:sz="0" w:space="0" w:color="auto"/>
          </w:divBdr>
        </w:div>
        <w:div w:id="1611208049">
          <w:marLeft w:val="0"/>
          <w:marRight w:val="0"/>
          <w:marTop w:val="0"/>
          <w:marBottom w:val="0"/>
          <w:divBdr>
            <w:top w:val="none" w:sz="0" w:space="0" w:color="auto"/>
            <w:left w:val="none" w:sz="0" w:space="0" w:color="auto"/>
            <w:bottom w:val="none" w:sz="0" w:space="0" w:color="auto"/>
            <w:right w:val="none" w:sz="0" w:space="0" w:color="auto"/>
          </w:divBdr>
        </w:div>
        <w:div w:id="1757945622">
          <w:marLeft w:val="0"/>
          <w:marRight w:val="0"/>
          <w:marTop w:val="0"/>
          <w:marBottom w:val="0"/>
          <w:divBdr>
            <w:top w:val="none" w:sz="0" w:space="0" w:color="auto"/>
            <w:left w:val="none" w:sz="0" w:space="0" w:color="auto"/>
            <w:bottom w:val="none" w:sz="0" w:space="0" w:color="auto"/>
            <w:right w:val="none" w:sz="0" w:space="0" w:color="auto"/>
          </w:divBdr>
        </w:div>
        <w:div w:id="1805269715">
          <w:marLeft w:val="0"/>
          <w:marRight w:val="0"/>
          <w:marTop w:val="0"/>
          <w:marBottom w:val="0"/>
          <w:divBdr>
            <w:top w:val="none" w:sz="0" w:space="0" w:color="auto"/>
            <w:left w:val="none" w:sz="0" w:space="0" w:color="auto"/>
            <w:bottom w:val="none" w:sz="0" w:space="0" w:color="auto"/>
            <w:right w:val="none" w:sz="0" w:space="0" w:color="auto"/>
          </w:divBdr>
        </w:div>
        <w:div w:id="1869177163">
          <w:marLeft w:val="0"/>
          <w:marRight w:val="0"/>
          <w:marTop w:val="0"/>
          <w:marBottom w:val="0"/>
          <w:divBdr>
            <w:top w:val="none" w:sz="0" w:space="0" w:color="auto"/>
            <w:left w:val="none" w:sz="0" w:space="0" w:color="auto"/>
            <w:bottom w:val="none" w:sz="0" w:space="0" w:color="auto"/>
            <w:right w:val="none" w:sz="0" w:space="0" w:color="auto"/>
          </w:divBdr>
        </w:div>
        <w:div w:id="1876699273">
          <w:marLeft w:val="0"/>
          <w:marRight w:val="0"/>
          <w:marTop w:val="0"/>
          <w:marBottom w:val="0"/>
          <w:divBdr>
            <w:top w:val="none" w:sz="0" w:space="0" w:color="auto"/>
            <w:left w:val="none" w:sz="0" w:space="0" w:color="auto"/>
            <w:bottom w:val="none" w:sz="0" w:space="0" w:color="auto"/>
            <w:right w:val="none" w:sz="0" w:space="0" w:color="auto"/>
          </w:divBdr>
        </w:div>
        <w:div w:id="1923176754">
          <w:marLeft w:val="0"/>
          <w:marRight w:val="0"/>
          <w:marTop w:val="0"/>
          <w:marBottom w:val="0"/>
          <w:divBdr>
            <w:top w:val="none" w:sz="0" w:space="0" w:color="auto"/>
            <w:left w:val="none" w:sz="0" w:space="0" w:color="auto"/>
            <w:bottom w:val="none" w:sz="0" w:space="0" w:color="auto"/>
            <w:right w:val="none" w:sz="0" w:space="0" w:color="auto"/>
          </w:divBdr>
        </w:div>
        <w:div w:id="1965690273">
          <w:marLeft w:val="0"/>
          <w:marRight w:val="0"/>
          <w:marTop w:val="0"/>
          <w:marBottom w:val="0"/>
          <w:divBdr>
            <w:top w:val="none" w:sz="0" w:space="0" w:color="auto"/>
            <w:left w:val="none" w:sz="0" w:space="0" w:color="auto"/>
            <w:bottom w:val="none" w:sz="0" w:space="0" w:color="auto"/>
            <w:right w:val="none" w:sz="0" w:space="0" w:color="auto"/>
          </w:divBdr>
        </w:div>
        <w:div w:id="1973514175">
          <w:marLeft w:val="0"/>
          <w:marRight w:val="0"/>
          <w:marTop w:val="0"/>
          <w:marBottom w:val="0"/>
          <w:divBdr>
            <w:top w:val="none" w:sz="0" w:space="0" w:color="auto"/>
            <w:left w:val="none" w:sz="0" w:space="0" w:color="auto"/>
            <w:bottom w:val="none" w:sz="0" w:space="0" w:color="auto"/>
            <w:right w:val="none" w:sz="0" w:space="0" w:color="auto"/>
          </w:divBdr>
        </w:div>
        <w:div w:id="2021195861">
          <w:marLeft w:val="0"/>
          <w:marRight w:val="0"/>
          <w:marTop w:val="0"/>
          <w:marBottom w:val="0"/>
          <w:divBdr>
            <w:top w:val="none" w:sz="0" w:space="0" w:color="auto"/>
            <w:left w:val="none" w:sz="0" w:space="0" w:color="auto"/>
            <w:bottom w:val="none" w:sz="0" w:space="0" w:color="auto"/>
            <w:right w:val="none" w:sz="0" w:space="0" w:color="auto"/>
          </w:divBdr>
        </w:div>
        <w:div w:id="2040157085">
          <w:marLeft w:val="0"/>
          <w:marRight w:val="0"/>
          <w:marTop w:val="0"/>
          <w:marBottom w:val="0"/>
          <w:divBdr>
            <w:top w:val="none" w:sz="0" w:space="0" w:color="auto"/>
            <w:left w:val="none" w:sz="0" w:space="0" w:color="auto"/>
            <w:bottom w:val="none" w:sz="0" w:space="0" w:color="auto"/>
            <w:right w:val="none" w:sz="0" w:space="0" w:color="auto"/>
          </w:divBdr>
        </w:div>
        <w:div w:id="2047363263">
          <w:marLeft w:val="0"/>
          <w:marRight w:val="0"/>
          <w:marTop w:val="0"/>
          <w:marBottom w:val="0"/>
          <w:divBdr>
            <w:top w:val="none" w:sz="0" w:space="0" w:color="auto"/>
            <w:left w:val="none" w:sz="0" w:space="0" w:color="auto"/>
            <w:bottom w:val="none" w:sz="0" w:space="0" w:color="auto"/>
            <w:right w:val="none" w:sz="0" w:space="0" w:color="auto"/>
          </w:divBdr>
        </w:div>
      </w:divsChild>
    </w:div>
    <w:div w:id="2133282814">
      <w:bodyDiv w:val="1"/>
      <w:marLeft w:val="0"/>
      <w:marRight w:val="0"/>
      <w:marTop w:val="0"/>
      <w:marBottom w:val="0"/>
      <w:divBdr>
        <w:top w:val="none" w:sz="0" w:space="0" w:color="auto"/>
        <w:left w:val="none" w:sz="0" w:space="0" w:color="auto"/>
        <w:bottom w:val="none" w:sz="0" w:space="0" w:color="auto"/>
        <w:right w:val="none" w:sz="0" w:space="0" w:color="auto"/>
      </w:divBdr>
    </w:div>
    <w:div w:id="213647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422165.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E589F-1009-4F31-B1A6-AA9103D0A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23853</Words>
  <Characters>13597</Characters>
  <Application>Microsoft Office Word</Application>
  <DocSecurity>0</DocSecurity>
  <Lines>113</Lines>
  <Paragraphs>74</Paragraphs>
  <ScaleCrop>false</ScaleCrop>
  <Company/>
  <LinksUpToDate>false</LinksUpToDate>
  <CharactersWithSpaces>37376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2020-10-05T05:40:00Z</dcterms:created>
  <dcterms:modified xsi:type="dcterms:W3CDTF">2020-10-19T07:51:00Z</dcterms:modified>
</cp:coreProperties>
</file>