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893A6" w14:textId="1DC51A54" w:rsidR="00D65B8A" w:rsidRPr="009E2336" w:rsidRDefault="00D65B8A" w:rsidP="00D65B8A">
      <w:pPr>
        <w:autoSpaceDE w:val="0"/>
        <w:autoSpaceDN w:val="0"/>
        <w:adjustRightInd w:val="0"/>
        <w:spacing w:after="120" w:line="240" w:lineRule="auto"/>
        <w:rPr>
          <w:rFonts w:ascii="TimesNewRomanPSMT" w:hAnsi="TimesNewRomanPSMT" w:cs="TimesNewRomanPSMT"/>
          <w:szCs w:val="24"/>
        </w:rPr>
      </w:pPr>
      <w:r>
        <w:rPr>
          <w:rFonts w:ascii="TimesNewRomanPSMT" w:hAnsi="TimesNewRomanPSMT"/>
          <w:b/>
          <w:bCs/>
        </w:rPr>
        <w:t>Kriminālprocesā un administratīvo pārkāpumu lietvedībā nodarītā kaitējuma atlīdzināšanas prasījumu pakļautība administratīvajām tiesām</w:t>
      </w:r>
    </w:p>
    <w:p w14:paraId="7230BC06" w14:textId="0DF3C264" w:rsidR="009E2336" w:rsidRDefault="009E2336" w:rsidP="009E2336">
      <w:pPr>
        <w:widowControl w:val="0"/>
        <w:shd w:val="clear" w:color="auto" w:fill="FFFFFF"/>
        <w:autoSpaceDE w:val="0"/>
        <w:autoSpaceDN w:val="0"/>
        <w:adjustRightInd w:val="0"/>
        <w:spacing w:after="0" w:line="276" w:lineRule="auto"/>
        <w:ind w:right="-1" w:firstLine="567"/>
        <w:jc w:val="both"/>
        <w:rPr>
          <w:rFonts w:eastAsiaTheme="minorEastAsia" w:cs="Times New Roman"/>
          <w:b/>
          <w:bCs/>
          <w:szCs w:val="24"/>
          <w:lang w:eastAsia="lv-LV"/>
        </w:rPr>
      </w:pPr>
      <w:r w:rsidRPr="009E2336">
        <w:rPr>
          <w:rFonts w:ascii="TimesNewRomanPSMT" w:hAnsi="TimesNewRomanPSMT" w:cs="TimesNewRomanPSMT"/>
          <w:szCs w:val="24"/>
        </w:rPr>
        <w:t xml:space="preserve">Privātpersonas pieteikums par kaitējuma atlīdzināšanu, kas nodarīts sakarā ar tās pamattiesību aizskārumu kriminālprocesā vai administratīvo pārkāpumu lietvedībā kopš </w:t>
      </w:r>
      <w:proofErr w:type="gramStart"/>
      <w:r w:rsidRPr="009E2336">
        <w:rPr>
          <w:rFonts w:ascii="TimesNewRomanPSMT" w:hAnsi="TimesNewRomanPSMT" w:cs="TimesNewRomanPSMT"/>
          <w:szCs w:val="24"/>
        </w:rPr>
        <w:t>2018.gada</w:t>
      </w:r>
      <w:proofErr w:type="gramEnd"/>
      <w:r w:rsidRPr="009E2336">
        <w:rPr>
          <w:rFonts w:ascii="TimesNewRomanPSMT" w:hAnsi="TimesNewRomanPSMT" w:cs="TimesNewRomanPSMT"/>
          <w:szCs w:val="24"/>
        </w:rPr>
        <w:t xml:space="preserve"> 1.marta nav pakļauts izskatīšanai vispārējās jurisdikcijas tiesā. Valsts atbildību par tās institūciju nepamatotu vai prettiesisku rīcību kriminālprocesā un administratīvo pārkāpumu lietvedībā privātpersona var prasīt saskaņā ar Administratīvā procesa likuma noteikumiem</w:t>
      </w:r>
      <w:r w:rsidR="008E5FDE">
        <w:rPr>
          <w:rFonts w:ascii="TimesNewRomanPSMT" w:hAnsi="TimesNewRomanPSMT" w:cs="TimesNewRomanPSMT"/>
          <w:szCs w:val="24"/>
        </w:rPr>
        <w:t>.</w:t>
      </w:r>
    </w:p>
    <w:p w14:paraId="235F6D89" w14:textId="65BB0BB1" w:rsidR="009E2336" w:rsidRDefault="009E2336" w:rsidP="009E2336">
      <w:pPr>
        <w:widowControl w:val="0"/>
        <w:shd w:val="clear" w:color="auto" w:fill="FFFFFF"/>
        <w:autoSpaceDE w:val="0"/>
        <w:autoSpaceDN w:val="0"/>
        <w:adjustRightInd w:val="0"/>
        <w:spacing w:after="0" w:line="276" w:lineRule="auto"/>
        <w:ind w:left="3331" w:right="3331" w:firstLine="86"/>
        <w:jc w:val="center"/>
        <w:rPr>
          <w:rFonts w:eastAsiaTheme="minorEastAsia" w:cs="Times New Roman"/>
          <w:b/>
          <w:bCs/>
          <w:szCs w:val="24"/>
          <w:lang w:eastAsia="lv-LV"/>
        </w:rPr>
      </w:pPr>
    </w:p>
    <w:p w14:paraId="1158F0E7" w14:textId="77777777" w:rsidR="007D7611" w:rsidRPr="006116FC" w:rsidRDefault="007D7611" w:rsidP="007D7611">
      <w:pPr>
        <w:shd w:val="clear" w:color="auto" w:fill="FFFFFF"/>
        <w:spacing w:after="0" w:line="276" w:lineRule="auto"/>
        <w:jc w:val="center"/>
        <w:rPr>
          <w:b/>
          <w:bCs/>
          <w:szCs w:val="24"/>
        </w:rPr>
      </w:pPr>
      <w:r w:rsidRPr="006116FC">
        <w:rPr>
          <w:b/>
          <w:bCs/>
          <w:color w:val="000000"/>
          <w:szCs w:val="24"/>
        </w:rPr>
        <w:t xml:space="preserve">Latvijas </w:t>
      </w:r>
      <w:r w:rsidRPr="006116FC">
        <w:rPr>
          <w:b/>
          <w:bCs/>
          <w:szCs w:val="24"/>
        </w:rPr>
        <w:t>Republikas Senāta</w:t>
      </w:r>
    </w:p>
    <w:p w14:paraId="1C1E8E49" w14:textId="77777777" w:rsidR="007D7611" w:rsidRPr="006116FC" w:rsidRDefault="007D7611" w:rsidP="007D7611">
      <w:pPr>
        <w:shd w:val="clear" w:color="auto" w:fill="FFFFFF"/>
        <w:spacing w:after="0" w:line="276" w:lineRule="auto"/>
        <w:jc w:val="center"/>
        <w:rPr>
          <w:b/>
          <w:bCs/>
          <w:color w:val="000000"/>
          <w:szCs w:val="24"/>
        </w:rPr>
      </w:pPr>
      <w:r w:rsidRPr="006116FC">
        <w:rPr>
          <w:b/>
          <w:bCs/>
          <w:color w:val="000000"/>
          <w:szCs w:val="24"/>
        </w:rPr>
        <w:t xml:space="preserve">Civillietu departamenta </w:t>
      </w:r>
    </w:p>
    <w:p w14:paraId="5B453B1E" w14:textId="3092CFD7" w:rsidR="007D7611" w:rsidRPr="006116FC" w:rsidRDefault="007D7611" w:rsidP="007D7611">
      <w:pPr>
        <w:shd w:val="clear" w:color="auto" w:fill="FFFFFF"/>
        <w:spacing w:after="0" w:line="276" w:lineRule="auto"/>
        <w:jc w:val="center"/>
        <w:rPr>
          <w:b/>
          <w:bCs/>
          <w:color w:val="000000"/>
          <w:szCs w:val="24"/>
        </w:rPr>
      </w:pPr>
      <w:proofErr w:type="gramStart"/>
      <w:r w:rsidRPr="006116FC">
        <w:rPr>
          <w:b/>
          <w:bCs/>
          <w:color w:val="000000"/>
          <w:szCs w:val="24"/>
        </w:rPr>
        <w:t>20</w:t>
      </w:r>
      <w:r>
        <w:rPr>
          <w:b/>
          <w:bCs/>
          <w:color w:val="000000"/>
          <w:szCs w:val="24"/>
        </w:rPr>
        <w:t>20</w:t>
      </w:r>
      <w:r w:rsidRPr="006116FC">
        <w:rPr>
          <w:b/>
          <w:bCs/>
          <w:color w:val="000000"/>
          <w:szCs w:val="24"/>
        </w:rPr>
        <w:t>.gada</w:t>
      </w:r>
      <w:proofErr w:type="gramEnd"/>
      <w:r w:rsidRPr="006116FC">
        <w:rPr>
          <w:b/>
          <w:bCs/>
          <w:color w:val="000000"/>
          <w:szCs w:val="24"/>
        </w:rPr>
        <w:t xml:space="preserve"> </w:t>
      </w:r>
      <w:r>
        <w:rPr>
          <w:b/>
          <w:bCs/>
          <w:color w:val="000000"/>
          <w:szCs w:val="24"/>
        </w:rPr>
        <w:t>29</w:t>
      </w:r>
      <w:r w:rsidRPr="006116FC">
        <w:rPr>
          <w:b/>
          <w:bCs/>
          <w:color w:val="000000"/>
          <w:szCs w:val="24"/>
        </w:rPr>
        <w:t>.</w:t>
      </w:r>
      <w:r>
        <w:rPr>
          <w:b/>
          <w:bCs/>
          <w:color w:val="000000"/>
          <w:szCs w:val="24"/>
        </w:rPr>
        <w:t>jūlij</w:t>
      </w:r>
      <w:r w:rsidRPr="006116FC">
        <w:rPr>
          <w:b/>
          <w:bCs/>
          <w:color w:val="000000"/>
          <w:szCs w:val="24"/>
        </w:rPr>
        <w:t>a</w:t>
      </w:r>
    </w:p>
    <w:p w14:paraId="09F9DB5F" w14:textId="558624A3" w:rsidR="007D7611" w:rsidRPr="006116FC" w:rsidRDefault="007D7611" w:rsidP="007D7611">
      <w:pPr>
        <w:shd w:val="clear" w:color="auto" w:fill="FFFFFF"/>
        <w:spacing w:after="0" w:line="276" w:lineRule="auto"/>
        <w:jc w:val="center"/>
        <w:rPr>
          <w:b/>
          <w:bCs/>
          <w:color w:val="000000"/>
          <w:szCs w:val="24"/>
        </w:rPr>
      </w:pPr>
      <w:r w:rsidRPr="009E2336">
        <w:rPr>
          <w:rFonts w:eastAsia="Times New Roman" w:cs="Times New Roman"/>
          <w:b/>
          <w:bCs/>
          <w:spacing w:val="-2"/>
          <w:szCs w:val="24"/>
          <w:lang w:eastAsia="lv-LV"/>
        </w:rPr>
        <w:t>RĪCĪBAS SĒDES LĒMUMS</w:t>
      </w:r>
    </w:p>
    <w:p w14:paraId="51618D73" w14:textId="0484F331" w:rsidR="007D7611" w:rsidRPr="006116FC" w:rsidRDefault="007D7611" w:rsidP="007D7611">
      <w:pPr>
        <w:shd w:val="clear" w:color="auto" w:fill="FFFFFF"/>
        <w:spacing w:after="0" w:line="276" w:lineRule="auto"/>
        <w:jc w:val="center"/>
        <w:rPr>
          <w:b/>
          <w:bCs/>
          <w:color w:val="000000"/>
          <w:szCs w:val="24"/>
        </w:rPr>
      </w:pPr>
      <w:r w:rsidRPr="006116FC">
        <w:rPr>
          <w:b/>
          <w:bCs/>
          <w:color w:val="000000"/>
          <w:szCs w:val="24"/>
        </w:rPr>
        <w:t>Lieta Nr. C</w:t>
      </w:r>
      <w:r>
        <w:rPr>
          <w:b/>
          <w:bCs/>
          <w:color w:val="000000"/>
          <w:szCs w:val="24"/>
        </w:rPr>
        <w:t>(-)</w:t>
      </w:r>
      <w:r w:rsidRPr="006116FC">
        <w:rPr>
          <w:b/>
          <w:bCs/>
          <w:color w:val="000000"/>
          <w:szCs w:val="24"/>
        </w:rPr>
        <w:t>, SKC-</w:t>
      </w:r>
      <w:r>
        <w:rPr>
          <w:b/>
          <w:bCs/>
          <w:color w:val="000000"/>
          <w:szCs w:val="24"/>
        </w:rPr>
        <w:t>988</w:t>
      </w:r>
      <w:r w:rsidRPr="006116FC">
        <w:rPr>
          <w:b/>
          <w:bCs/>
          <w:color w:val="000000"/>
          <w:szCs w:val="24"/>
        </w:rPr>
        <w:t>/20</w:t>
      </w:r>
      <w:r>
        <w:rPr>
          <w:b/>
          <w:bCs/>
          <w:color w:val="000000"/>
          <w:szCs w:val="24"/>
        </w:rPr>
        <w:t>20</w:t>
      </w:r>
    </w:p>
    <w:p w14:paraId="53BC8162" w14:textId="22FE4694" w:rsidR="009E2336" w:rsidRDefault="00E37933" w:rsidP="007D7611">
      <w:pPr>
        <w:widowControl w:val="0"/>
        <w:shd w:val="clear" w:color="auto" w:fill="FFFFFF"/>
        <w:autoSpaceDE w:val="0"/>
        <w:autoSpaceDN w:val="0"/>
        <w:adjustRightInd w:val="0"/>
        <w:spacing w:after="0" w:line="276" w:lineRule="auto"/>
        <w:ind w:right="-1"/>
        <w:jc w:val="center"/>
        <w:rPr>
          <w:rFonts w:eastAsiaTheme="minorEastAsia" w:cs="Times New Roman"/>
          <w:b/>
          <w:bCs/>
          <w:szCs w:val="24"/>
          <w:lang w:eastAsia="lv-LV"/>
        </w:rPr>
      </w:pPr>
      <w:hyperlink r:id="rId7" w:history="1">
        <w:r w:rsidR="007D7611" w:rsidRPr="006116FC">
          <w:rPr>
            <w:color w:val="0563C1" w:themeColor="hyperlink"/>
            <w:szCs w:val="24"/>
            <w:u w:val="single"/>
          </w:rPr>
          <w:t>ECLI:LV:AT:20</w:t>
        </w:r>
        <w:r w:rsidR="007D7611">
          <w:rPr>
            <w:color w:val="0563C1" w:themeColor="hyperlink"/>
            <w:szCs w:val="24"/>
            <w:u w:val="single"/>
          </w:rPr>
          <w:t>20</w:t>
        </w:r>
        <w:r w:rsidR="007D7611" w:rsidRPr="006116FC">
          <w:rPr>
            <w:color w:val="0563C1" w:themeColor="hyperlink"/>
            <w:szCs w:val="24"/>
            <w:u w:val="single"/>
          </w:rPr>
          <w:t>:0</w:t>
        </w:r>
        <w:r w:rsidR="007D7611">
          <w:rPr>
            <w:color w:val="0563C1" w:themeColor="hyperlink"/>
            <w:szCs w:val="24"/>
            <w:u w:val="single"/>
          </w:rPr>
          <w:t>729</w:t>
        </w:r>
        <w:r w:rsidR="007D7611" w:rsidRPr="006116FC">
          <w:rPr>
            <w:color w:val="0563C1" w:themeColor="hyperlink"/>
            <w:szCs w:val="24"/>
            <w:u w:val="single"/>
          </w:rPr>
          <w:t>.</w:t>
        </w:r>
        <w:r w:rsidR="007D7611">
          <w:rPr>
            <w:color w:val="0563C1" w:themeColor="hyperlink"/>
            <w:szCs w:val="24"/>
            <w:u w:val="single"/>
          </w:rPr>
          <w:t>SKC098820</w:t>
        </w:r>
        <w:r w:rsidR="007D7611" w:rsidRPr="006116FC">
          <w:rPr>
            <w:color w:val="0563C1" w:themeColor="hyperlink"/>
            <w:szCs w:val="24"/>
            <w:u w:val="single"/>
          </w:rPr>
          <w:t>.</w:t>
        </w:r>
        <w:r w:rsidR="007D7611">
          <w:rPr>
            <w:color w:val="0563C1" w:themeColor="hyperlink"/>
            <w:szCs w:val="24"/>
            <w:u w:val="single"/>
          </w:rPr>
          <w:t>8</w:t>
        </w:r>
        <w:r w:rsidR="007D7611" w:rsidRPr="006116FC">
          <w:rPr>
            <w:color w:val="0563C1" w:themeColor="hyperlink"/>
            <w:szCs w:val="24"/>
            <w:u w:val="single"/>
          </w:rPr>
          <w:t>.</w:t>
        </w:r>
        <w:r w:rsidR="007D7611">
          <w:rPr>
            <w:color w:val="0563C1" w:themeColor="hyperlink"/>
            <w:szCs w:val="24"/>
            <w:u w:val="single"/>
          </w:rPr>
          <w:t>L</w:t>
        </w:r>
      </w:hyperlink>
    </w:p>
    <w:p w14:paraId="3287DC2C" w14:textId="77777777" w:rsidR="009E2336" w:rsidRDefault="009E2336" w:rsidP="009E2336">
      <w:pPr>
        <w:widowControl w:val="0"/>
        <w:shd w:val="clear" w:color="auto" w:fill="FFFFFF"/>
        <w:autoSpaceDE w:val="0"/>
        <w:autoSpaceDN w:val="0"/>
        <w:adjustRightInd w:val="0"/>
        <w:spacing w:after="0" w:line="276" w:lineRule="auto"/>
        <w:ind w:left="3331" w:right="3331" w:firstLine="86"/>
        <w:jc w:val="center"/>
        <w:rPr>
          <w:rFonts w:eastAsiaTheme="minorEastAsia" w:cs="Times New Roman"/>
          <w:b/>
          <w:bCs/>
          <w:szCs w:val="24"/>
          <w:lang w:eastAsia="lv-LV"/>
        </w:rPr>
      </w:pPr>
    </w:p>
    <w:p w14:paraId="5DDD2CCD" w14:textId="77777777" w:rsidR="009E2336" w:rsidRPr="009E2336" w:rsidRDefault="009E2336" w:rsidP="009E2336">
      <w:pPr>
        <w:widowControl w:val="0"/>
        <w:shd w:val="clear" w:color="auto" w:fill="FFFFFF"/>
        <w:autoSpaceDE w:val="0"/>
        <w:autoSpaceDN w:val="0"/>
        <w:adjustRightInd w:val="0"/>
        <w:spacing w:after="0" w:line="276" w:lineRule="auto"/>
        <w:ind w:left="5"/>
        <w:rPr>
          <w:rFonts w:eastAsiaTheme="minorEastAsia" w:cs="Times New Roman"/>
          <w:sz w:val="20"/>
          <w:szCs w:val="20"/>
          <w:lang w:eastAsia="lv-LV"/>
        </w:rPr>
      </w:pPr>
      <w:r w:rsidRPr="009E2336">
        <w:rPr>
          <w:rFonts w:eastAsiaTheme="minorEastAsia" w:cs="Times New Roman"/>
          <w:szCs w:val="24"/>
          <w:lang w:eastAsia="lv-LV"/>
        </w:rPr>
        <w:t>Sen</w:t>
      </w:r>
      <w:r w:rsidRPr="009E2336">
        <w:rPr>
          <w:rFonts w:eastAsia="Times New Roman" w:cs="Times New Roman"/>
          <w:szCs w:val="24"/>
          <w:lang w:eastAsia="lv-LV"/>
        </w:rPr>
        <w:t>āta senatoru kolēģija šādā sastāvā:</w:t>
      </w:r>
    </w:p>
    <w:p w14:paraId="090C913D" w14:textId="77777777" w:rsidR="009E2336" w:rsidRPr="009E2336" w:rsidRDefault="009E2336" w:rsidP="009E2336">
      <w:pPr>
        <w:widowControl w:val="0"/>
        <w:shd w:val="clear" w:color="auto" w:fill="FFFFFF"/>
        <w:autoSpaceDE w:val="0"/>
        <w:autoSpaceDN w:val="0"/>
        <w:adjustRightInd w:val="0"/>
        <w:spacing w:after="0" w:line="276" w:lineRule="auto"/>
        <w:ind w:left="725"/>
        <w:rPr>
          <w:rFonts w:eastAsiaTheme="minorEastAsia" w:cs="Times New Roman"/>
          <w:sz w:val="20"/>
          <w:szCs w:val="20"/>
          <w:lang w:eastAsia="lv-LV"/>
        </w:rPr>
      </w:pPr>
      <w:r w:rsidRPr="009E2336">
        <w:rPr>
          <w:rFonts w:eastAsiaTheme="minorEastAsia" w:cs="Times New Roman"/>
          <w:szCs w:val="24"/>
          <w:lang w:eastAsia="lv-LV"/>
        </w:rPr>
        <w:t>senatore M</w:t>
      </w:r>
      <w:r w:rsidRPr="009E2336">
        <w:rPr>
          <w:rFonts w:eastAsia="Times New Roman" w:cs="Times New Roman"/>
          <w:szCs w:val="24"/>
          <w:lang w:eastAsia="lv-LV"/>
        </w:rPr>
        <w:t>ārīte Zāģere,</w:t>
      </w:r>
    </w:p>
    <w:p w14:paraId="422C7FB1" w14:textId="77777777" w:rsidR="009E2336" w:rsidRPr="009E2336" w:rsidRDefault="009E2336" w:rsidP="009E2336">
      <w:pPr>
        <w:widowControl w:val="0"/>
        <w:shd w:val="clear" w:color="auto" w:fill="FFFFFF"/>
        <w:autoSpaceDE w:val="0"/>
        <w:autoSpaceDN w:val="0"/>
        <w:adjustRightInd w:val="0"/>
        <w:spacing w:after="0" w:line="276" w:lineRule="auto"/>
        <w:ind w:left="725"/>
        <w:rPr>
          <w:rFonts w:eastAsiaTheme="minorEastAsia" w:cs="Times New Roman"/>
          <w:sz w:val="20"/>
          <w:szCs w:val="20"/>
          <w:lang w:eastAsia="lv-LV"/>
        </w:rPr>
      </w:pPr>
      <w:r w:rsidRPr="009E2336">
        <w:rPr>
          <w:rFonts w:eastAsiaTheme="minorEastAsia" w:cs="Times New Roman"/>
          <w:szCs w:val="24"/>
          <w:lang w:eastAsia="lv-LV"/>
        </w:rPr>
        <w:t>senatore Dzintra Balta,</w:t>
      </w:r>
    </w:p>
    <w:p w14:paraId="16885500" w14:textId="77777777" w:rsidR="007D7611" w:rsidRDefault="009E2336" w:rsidP="007D7611">
      <w:pPr>
        <w:widowControl w:val="0"/>
        <w:shd w:val="clear" w:color="auto" w:fill="FFFFFF"/>
        <w:autoSpaceDE w:val="0"/>
        <w:autoSpaceDN w:val="0"/>
        <w:adjustRightInd w:val="0"/>
        <w:spacing w:after="0" w:line="276" w:lineRule="auto"/>
        <w:ind w:firstLine="709"/>
        <w:jc w:val="both"/>
        <w:rPr>
          <w:rFonts w:eastAsia="Times New Roman" w:cs="Times New Roman"/>
          <w:szCs w:val="24"/>
          <w:lang w:eastAsia="lv-LV"/>
        </w:rPr>
      </w:pPr>
      <w:r w:rsidRPr="009E2336">
        <w:rPr>
          <w:rFonts w:eastAsiaTheme="minorEastAsia" w:cs="Times New Roman"/>
          <w:szCs w:val="24"/>
          <w:lang w:eastAsia="lv-LV"/>
        </w:rPr>
        <w:t>senators Aivars Kei</w:t>
      </w:r>
      <w:r w:rsidRPr="009E2336">
        <w:rPr>
          <w:rFonts w:eastAsia="Times New Roman" w:cs="Times New Roman"/>
          <w:szCs w:val="24"/>
          <w:lang w:eastAsia="lv-LV"/>
        </w:rPr>
        <w:t xml:space="preserve">šs </w:t>
      </w:r>
    </w:p>
    <w:p w14:paraId="402B7B6C" w14:textId="297483D3" w:rsidR="009E2336" w:rsidRPr="009E2336" w:rsidRDefault="009E2336" w:rsidP="009E2336">
      <w:pPr>
        <w:widowControl w:val="0"/>
        <w:shd w:val="clear" w:color="auto" w:fill="FFFFFF"/>
        <w:autoSpaceDE w:val="0"/>
        <w:autoSpaceDN w:val="0"/>
        <w:adjustRightInd w:val="0"/>
        <w:spacing w:after="0" w:line="276" w:lineRule="auto"/>
        <w:ind w:firstLine="567"/>
        <w:jc w:val="both"/>
        <w:rPr>
          <w:rFonts w:eastAsiaTheme="minorEastAsia" w:cs="Times New Roman"/>
          <w:sz w:val="20"/>
          <w:szCs w:val="20"/>
          <w:lang w:eastAsia="lv-LV"/>
        </w:rPr>
      </w:pPr>
      <w:r w:rsidRPr="009E2336">
        <w:rPr>
          <w:rFonts w:eastAsia="Times New Roman" w:cs="Times New Roman"/>
          <w:szCs w:val="24"/>
          <w:lang w:eastAsia="lv-LV"/>
        </w:rPr>
        <w:t xml:space="preserve">rīcības sēdē izskatīja </w:t>
      </w:r>
      <w:bookmarkStart w:id="0" w:name="_Hlk48808706"/>
      <w:r w:rsidR="007D7611">
        <w:rPr>
          <w:rFonts w:eastAsia="Times New Roman" w:cs="Times New Roman"/>
          <w:szCs w:val="24"/>
          <w:lang w:eastAsia="lv-LV"/>
        </w:rPr>
        <w:t>[pers. A]</w:t>
      </w:r>
      <w:bookmarkEnd w:id="0"/>
      <w:r w:rsidRPr="009E2336">
        <w:rPr>
          <w:rFonts w:eastAsia="Times New Roman" w:cs="Times New Roman"/>
          <w:szCs w:val="24"/>
          <w:lang w:eastAsia="lv-LV"/>
        </w:rPr>
        <w:t xml:space="preserve"> pārstāvja </w:t>
      </w:r>
      <w:r w:rsidR="008E5FDE">
        <w:rPr>
          <w:rFonts w:eastAsia="Times New Roman" w:cs="Times New Roman"/>
          <w:szCs w:val="24"/>
          <w:lang w:eastAsia="lv-LV"/>
        </w:rPr>
        <w:t>[pers. B]</w:t>
      </w:r>
      <w:r w:rsidRPr="009E2336">
        <w:rPr>
          <w:rFonts w:eastAsia="Times New Roman" w:cs="Times New Roman"/>
          <w:szCs w:val="24"/>
          <w:lang w:eastAsia="lv-LV"/>
        </w:rPr>
        <w:t xml:space="preserve"> blakus sūdzību par Rīgas apgabaltiesas Civillietu tiesas kolēģijas </w:t>
      </w:r>
      <w:proofErr w:type="gramStart"/>
      <w:r w:rsidRPr="009E2336">
        <w:rPr>
          <w:rFonts w:eastAsia="Times New Roman" w:cs="Times New Roman"/>
          <w:szCs w:val="24"/>
          <w:lang w:eastAsia="lv-LV"/>
        </w:rPr>
        <w:t>2020.gada</w:t>
      </w:r>
      <w:proofErr w:type="gramEnd"/>
      <w:r w:rsidRPr="009E2336">
        <w:rPr>
          <w:rFonts w:eastAsia="Times New Roman" w:cs="Times New Roman"/>
          <w:szCs w:val="24"/>
          <w:lang w:eastAsia="lv-LV"/>
        </w:rPr>
        <w:t xml:space="preserve"> 7.aprīļa lēmumu. Senatoru kolēģija</w:t>
      </w:r>
    </w:p>
    <w:p w14:paraId="5F2ABB12" w14:textId="77777777" w:rsidR="009E2336" w:rsidRPr="009E2336" w:rsidRDefault="009E2336" w:rsidP="007D7611">
      <w:pPr>
        <w:widowControl w:val="0"/>
        <w:shd w:val="clear" w:color="auto" w:fill="FFFFFF"/>
        <w:autoSpaceDE w:val="0"/>
        <w:autoSpaceDN w:val="0"/>
        <w:adjustRightInd w:val="0"/>
        <w:spacing w:before="120" w:after="120" w:line="276" w:lineRule="auto"/>
        <w:ind w:left="6"/>
        <w:jc w:val="center"/>
        <w:rPr>
          <w:rFonts w:eastAsiaTheme="minorEastAsia" w:cs="Times New Roman"/>
          <w:sz w:val="20"/>
          <w:szCs w:val="20"/>
          <w:lang w:eastAsia="lv-LV"/>
        </w:rPr>
      </w:pPr>
      <w:r w:rsidRPr="009E2336">
        <w:rPr>
          <w:rFonts w:eastAsiaTheme="minorEastAsia" w:cs="Times New Roman"/>
          <w:b/>
          <w:bCs/>
          <w:szCs w:val="24"/>
          <w:lang w:eastAsia="lv-LV"/>
        </w:rPr>
        <w:t>konstat</w:t>
      </w:r>
      <w:r w:rsidRPr="009E2336">
        <w:rPr>
          <w:rFonts w:eastAsia="Times New Roman" w:cs="Times New Roman"/>
          <w:b/>
          <w:bCs/>
          <w:szCs w:val="24"/>
          <w:lang w:eastAsia="lv-LV"/>
        </w:rPr>
        <w:t>ēja</w:t>
      </w:r>
    </w:p>
    <w:p w14:paraId="05577D68" w14:textId="07286773" w:rsidR="009E2336" w:rsidRPr="009E2336" w:rsidRDefault="009E2336" w:rsidP="009E2336">
      <w:pPr>
        <w:widowControl w:val="0"/>
        <w:shd w:val="clear" w:color="auto" w:fill="FFFFFF"/>
        <w:autoSpaceDE w:val="0"/>
        <w:autoSpaceDN w:val="0"/>
        <w:adjustRightInd w:val="0"/>
        <w:spacing w:after="0" w:line="276" w:lineRule="auto"/>
        <w:ind w:firstLine="566"/>
        <w:jc w:val="both"/>
        <w:rPr>
          <w:rFonts w:eastAsiaTheme="minorEastAsia" w:cs="Times New Roman"/>
          <w:sz w:val="20"/>
          <w:szCs w:val="20"/>
          <w:lang w:eastAsia="lv-LV"/>
        </w:rPr>
      </w:pPr>
      <w:r w:rsidRPr="009E2336">
        <w:rPr>
          <w:rFonts w:eastAsiaTheme="minorEastAsia" w:cs="Times New Roman"/>
          <w:szCs w:val="24"/>
          <w:lang w:eastAsia="lv-LV"/>
        </w:rPr>
        <w:t xml:space="preserve">[1] </w:t>
      </w:r>
      <w:r w:rsidR="007D7611">
        <w:rPr>
          <w:rFonts w:eastAsia="Times New Roman" w:cs="Times New Roman"/>
          <w:szCs w:val="24"/>
          <w:lang w:eastAsia="lv-LV"/>
        </w:rPr>
        <w:t>[Pers. A]</w:t>
      </w:r>
      <w:r w:rsidRPr="009E2336">
        <w:rPr>
          <w:rFonts w:eastAsia="Times New Roman" w:cs="Times New Roman"/>
          <w:szCs w:val="24"/>
          <w:lang w:eastAsia="lv-LV"/>
        </w:rPr>
        <w:t xml:space="preserve"> pārstāvis </w:t>
      </w:r>
      <w:r w:rsidR="008E5FDE">
        <w:rPr>
          <w:rFonts w:eastAsia="Times New Roman" w:cs="Times New Roman"/>
          <w:szCs w:val="24"/>
          <w:lang w:eastAsia="lv-LV"/>
        </w:rPr>
        <w:t>[pers. B]</w:t>
      </w:r>
      <w:r w:rsidRPr="009E2336">
        <w:rPr>
          <w:rFonts w:eastAsia="Times New Roman" w:cs="Times New Roman"/>
          <w:szCs w:val="24"/>
          <w:lang w:eastAsia="lv-LV"/>
        </w:rPr>
        <w:t xml:space="preserve"> iesniedzis blakus sūdzību par Rīgas apgabaltiesas Civillietu tiesas kolēģijas </w:t>
      </w:r>
      <w:proofErr w:type="gramStart"/>
      <w:r w:rsidRPr="009E2336">
        <w:rPr>
          <w:rFonts w:eastAsia="Times New Roman" w:cs="Times New Roman"/>
          <w:szCs w:val="24"/>
          <w:lang w:eastAsia="lv-LV"/>
        </w:rPr>
        <w:t>2020.gada</w:t>
      </w:r>
      <w:proofErr w:type="gramEnd"/>
      <w:r w:rsidRPr="009E2336">
        <w:rPr>
          <w:rFonts w:eastAsia="Times New Roman" w:cs="Times New Roman"/>
          <w:szCs w:val="24"/>
          <w:lang w:eastAsia="lv-LV"/>
        </w:rPr>
        <w:t xml:space="preserve"> 7.aprīļa lēmumu, ar kuru atstāts negrozīts Rīgas pilsētas Vidzemes priekšpilsētas tiesas tiesneša 2020.gada 10.februāra lēmums par atteikumu pieņemt </w:t>
      </w:r>
      <w:r w:rsidR="007D7611">
        <w:rPr>
          <w:rFonts w:eastAsia="Times New Roman" w:cs="Times New Roman"/>
          <w:szCs w:val="24"/>
          <w:lang w:eastAsia="lv-LV"/>
        </w:rPr>
        <w:t>[pers. A]</w:t>
      </w:r>
      <w:r w:rsidRPr="009E2336">
        <w:rPr>
          <w:rFonts w:eastAsia="Times New Roman" w:cs="Times New Roman"/>
          <w:szCs w:val="24"/>
          <w:lang w:eastAsia="lv-LV"/>
        </w:rPr>
        <w:t xml:space="preserve"> prasības pieteikumu pret Latvijas valsti Finanšu ministrijas personā par morālā kaitējuma atlīdzināšanu.</w:t>
      </w:r>
    </w:p>
    <w:p w14:paraId="0872A66C" w14:textId="77777777" w:rsidR="009E2336" w:rsidRPr="009E2336" w:rsidRDefault="009E2336" w:rsidP="009E2336">
      <w:pPr>
        <w:widowControl w:val="0"/>
        <w:shd w:val="clear" w:color="auto" w:fill="FFFFFF"/>
        <w:autoSpaceDE w:val="0"/>
        <w:autoSpaceDN w:val="0"/>
        <w:adjustRightInd w:val="0"/>
        <w:spacing w:after="0" w:line="276" w:lineRule="auto"/>
        <w:ind w:firstLine="566"/>
        <w:jc w:val="both"/>
        <w:rPr>
          <w:rFonts w:eastAsiaTheme="minorEastAsia" w:cs="Times New Roman"/>
          <w:sz w:val="20"/>
          <w:szCs w:val="20"/>
          <w:lang w:eastAsia="lv-LV"/>
        </w:rPr>
      </w:pPr>
      <w:r w:rsidRPr="009E2336">
        <w:rPr>
          <w:rFonts w:eastAsiaTheme="minorEastAsia" w:cs="Times New Roman"/>
          <w:szCs w:val="24"/>
          <w:lang w:eastAsia="lv-LV"/>
        </w:rPr>
        <w:t>Blakus s</w:t>
      </w:r>
      <w:r w:rsidRPr="009E2336">
        <w:rPr>
          <w:rFonts w:eastAsia="Times New Roman" w:cs="Times New Roman"/>
          <w:szCs w:val="24"/>
          <w:lang w:eastAsia="lv-LV"/>
        </w:rPr>
        <w:t>ūdzībā norādītie argumenti un apsvērumi, kā atzīst senatoru kolēģija, nedod acīmredzamu pamatu uzskatīt, ka, izskatot blakus sūdzību, pārsūdzētais lēmums tiks pilnīgi vai kādā daļā atcelts vai grozīts.</w:t>
      </w:r>
    </w:p>
    <w:p w14:paraId="359ADF94" w14:textId="77777777" w:rsidR="009E2336" w:rsidRDefault="009E2336" w:rsidP="009E2336">
      <w:pPr>
        <w:widowControl w:val="0"/>
        <w:shd w:val="clear" w:color="auto" w:fill="FFFFFF"/>
        <w:autoSpaceDE w:val="0"/>
        <w:autoSpaceDN w:val="0"/>
        <w:adjustRightInd w:val="0"/>
        <w:spacing w:after="0" w:line="276" w:lineRule="auto"/>
        <w:ind w:left="566"/>
        <w:rPr>
          <w:rFonts w:eastAsiaTheme="minorEastAsia" w:cs="Times New Roman"/>
          <w:szCs w:val="24"/>
          <w:lang w:eastAsia="lv-LV"/>
        </w:rPr>
      </w:pPr>
    </w:p>
    <w:p w14:paraId="31673415" w14:textId="69567A33" w:rsidR="009E2336" w:rsidRPr="009E2336" w:rsidRDefault="009E2336" w:rsidP="009E2336">
      <w:pPr>
        <w:widowControl w:val="0"/>
        <w:shd w:val="clear" w:color="auto" w:fill="FFFFFF"/>
        <w:autoSpaceDE w:val="0"/>
        <w:autoSpaceDN w:val="0"/>
        <w:adjustRightInd w:val="0"/>
        <w:spacing w:after="0" w:line="276" w:lineRule="auto"/>
        <w:ind w:left="566"/>
        <w:rPr>
          <w:rFonts w:eastAsiaTheme="minorEastAsia" w:cs="Times New Roman"/>
          <w:sz w:val="20"/>
          <w:szCs w:val="20"/>
          <w:lang w:eastAsia="lv-LV"/>
        </w:rPr>
      </w:pPr>
      <w:r w:rsidRPr="009E2336">
        <w:rPr>
          <w:rFonts w:eastAsiaTheme="minorEastAsia" w:cs="Times New Roman"/>
          <w:szCs w:val="24"/>
          <w:lang w:eastAsia="lv-LV"/>
        </w:rPr>
        <w:t>[2] Senatoru kol</w:t>
      </w:r>
      <w:r w:rsidRPr="009E2336">
        <w:rPr>
          <w:rFonts w:eastAsia="Times New Roman" w:cs="Times New Roman"/>
          <w:szCs w:val="24"/>
          <w:lang w:eastAsia="lv-LV"/>
        </w:rPr>
        <w:t>ēģija papildus norāda turpmāk minēto.</w:t>
      </w:r>
    </w:p>
    <w:p w14:paraId="5F45E1F8" w14:textId="77777777" w:rsidR="009E2336" w:rsidRPr="009E2336" w:rsidRDefault="009E2336" w:rsidP="009E2336">
      <w:pPr>
        <w:widowControl w:val="0"/>
        <w:shd w:val="clear" w:color="auto" w:fill="FFFFFF"/>
        <w:autoSpaceDE w:val="0"/>
        <w:autoSpaceDN w:val="0"/>
        <w:adjustRightInd w:val="0"/>
        <w:spacing w:after="0" w:line="276" w:lineRule="auto"/>
        <w:ind w:firstLine="566"/>
        <w:jc w:val="both"/>
        <w:rPr>
          <w:rFonts w:eastAsiaTheme="minorEastAsia" w:cs="Times New Roman"/>
          <w:sz w:val="20"/>
          <w:szCs w:val="20"/>
          <w:lang w:eastAsia="lv-LV"/>
        </w:rPr>
      </w:pPr>
      <w:r w:rsidRPr="009E2336">
        <w:rPr>
          <w:rFonts w:eastAsiaTheme="minorEastAsia" w:cs="Times New Roman"/>
          <w:szCs w:val="24"/>
          <w:lang w:eastAsia="lv-LV"/>
        </w:rPr>
        <w:t>[2.1] Atbilsto</w:t>
      </w:r>
      <w:r w:rsidRPr="009E2336">
        <w:rPr>
          <w:rFonts w:eastAsia="Times New Roman" w:cs="Times New Roman"/>
          <w:szCs w:val="24"/>
          <w:lang w:eastAsia="lv-LV"/>
        </w:rPr>
        <w:t xml:space="preserve">ši Civilprocesa likuma </w:t>
      </w:r>
      <w:proofErr w:type="gramStart"/>
      <w:r w:rsidRPr="009E2336">
        <w:rPr>
          <w:rFonts w:eastAsia="Times New Roman" w:cs="Times New Roman"/>
          <w:szCs w:val="24"/>
          <w:lang w:eastAsia="lv-LV"/>
        </w:rPr>
        <w:t>23.panta</w:t>
      </w:r>
      <w:proofErr w:type="gramEnd"/>
      <w:r w:rsidRPr="009E2336">
        <w:rPr>
          <w:rFonts w:eastAsia="Times New Roman" w:cs="Times New Roman"/>
          <w:szCs w:val="24"/>
          <w:lang w:eastAsia="lv-LV"/>
        </w:rPr>
        <w:t xml:space="preserve"> pirmajai daļai (visi civiltiesiskie strīdi ir pakļauti tiesai [..]) un 127.panta pirmajai daļai (jebkura [..] persona var celt tiesā prasību, lai aizstāvētu savas aizskartās vai apstrīdētās civilās tiesības) vispārējās jurisdikcijas tiesai prasības kārtībā ir pakļauti visi civiltiesiskie strīdi, proti, gadījumi, kad ir aizskartas vai apstrīdētas personas civilās tiesības.</w:t>
      </w:r>
    </w:p>
    <w:p w14:paraId="16FAC6DB" w14:textId="77777777" w:rsidR="009E2336" w:rsidRPr="009E2336" w:rsidRDefault="009E2336" w:rsidP="008E5FDE">
      <w:pPr>
        <w:widowControl w:val="0"/>
        <w:shd w:val="clear" w:color="auto" w:fill="FFFFFF"/>
        <w:autoSpaceDE w:val="0"/>
        <w:autoSpaceDN w:val="0"/>
        <w:adjustRightInd w:val="0"/>
        <w:spacing w:after="0" w:line="276" w:lineRule="auto"/>
        <w:ind w:firstLine="567"/>
        <w:jc w:val="both"/>
        <w:rPr>
          <w:rFonts w:eastAsiaTheme="minorEastAsia" w:cs="Times New Roman"/>
          <w:sz w:val="20"/>
          <w:szCs w:val="20"/>
          <w:lang w:eastAsia="lv-LV"/>
        </w:rPr>
      </w:pPr>
      <w:r w:rsidRPr="009E2336">
        <w:rPr>
          <w:rFonts w:eastAsiaTheme="minorEastAsia" w:cs="Times New Roman"/>
          <w:szCs w:val="24"/>
          <w:lang w:eastAsia="lv-LV"/>
        </w:rPr>
        <w:t>Tas noz</w:t>
      </w:r>
      <w:r w:rsidRPr="009E2336">
        <w:rPr>
          <w:rFonts w:eastAsia="Times New Roman" w:cs="Times New Roman"/>
          <w:szCs w:val="24"/>
          <w:lang w:eastAsia="lv-LV"/>
        </w:rPr>
        <w:t xml:space="preserve">īmē, ka: „civilprocesuālā kārtībā tiesa izskata tādus strīdus, kas radušies no civiltiesiska rakstura aizskārumiem. Jēdziens „civiltiesisks aizskārums” ir šaurāks par jēdzienu </w:t>
      </w:r>
      <w:r w:rsidRPr="009E2336">
        <w:rPr>
          <w:rFonts w:eastAsia="Times New Roman" w:cs="Times New Roman"/>
          <w:spacing w:val="-1"/>
          <w:szCs w:val="24"/>
          <w:lang w:eastAsia="lv-LV"/>
        </w:rPr>
        <w:t xml:space="preserve">„cilvēka tiesību aizskārums”. Cilvēka tiesības tiek aizsargātas arī kriminālprocesa un administratīvā </w:t>
      </w:r>
      <w:r w:rsidRPr="009E2336">
        <w:rPr>
          <w:rFonts w:eastAsia="Times New Roman" w:cs="Times New Roman"/>
          <w:szCs w:val="24"/>
          <w:lang w:eastAsia="lv-LV"/>
        </w:rPr>
        <w:t>procesa kārtībā” (</w:t>
      </w:r>
      <w:r w:rsidRPr="009E2336">
        <w:rPr>
          <w:rFonts w:eastAsia="Times New Roman" w:cs="Times New Roman"/>
          <w:i/>
          <w:iCs/>
          <w:szCs w:val="24"/>
          <w:lang w:eastAsia="lv-LV"/>
        </w:rPr>
        <w:t xml:space="preserve">sk. </w:t>
      </w:r>
      <w:bookmarkStart w:id="1" w:name="_Hlk48809306"/>
      <w:r w:rsidRPr="009E2336">
        <w:rPr>
          <w:rFonts w:eastAsia="Times New Roman" w:cs="Times New Roman"/>
          <w:i/>
          <w:iCs/>
          <w:szCs w:val="24"/>
          <w:lang w:eastAsia="lv-LV"/>
        </w:rPr>
        <w:t xml:space="preserve">Augstākās tiesas </w:t>
      </w:r>
      <w:proofErr w:type="gramStart"/>
      <w:r w:rsidRPr="009E2336">
        <w:rPr>
          <w:rFonts w:eastAsia="Times New Roman" w:cs="Times New Roman"/>
          <w:i/>
          <w:iCs/>
          <w:szCs w:val="24"/>
          <w:lang w:eastAsia="lv-LV"/>
        </w:rPr>
        <w:t>2010.gada</w:t>
      </w:r>
      <w:proofErr w:type="gramEnd"/>
      <w:r w:rsidRPr="009E2336">
        <w:rPr>
          <w:rFonts w:eastAsia="Times New Roman" w:cs="Times New Roman"/>
          <w:i/>
          <w:iCs/>
          <w:szCs w:val="24"/>
          <w:lang w:eastAsia="lv-LV"/>
        </w:rPr>
        <w:t xml:space="preserve"> 10.marta lēmuma lietā </w:t>
      </w:r>
      <w:proofErr w:type="spellStart"/>
      <w:r w:rsidRPr="009E2336">
        <w:rPr>
          <w:rFonts w:eastAsia="Times New Roman" w:cs="Times New Roman"/>
          <w:i/>
          <w:iCs/>
          <w:szCs w:val="24"/>
          <w:lang w:eastAsia="lv-LV"/>
        </w:rPr>
        <w:t>Nr.SKC-599</w:t>
      </w:r>
      <w:proofErr w:type="spellEnd"/>
      <w:r w:rsidRPr="009E2336">
        <w:rPr>
          <w:rFonts w:eastAsia="Times New Roman" w:cs="Times New Roman"/>
          <w:i/>
          <w:iCs/>
          <w:szCs w:val="24"/>
          <w:lang w:eastAsia="lv-LV"/>
        </w:rPr>
        <w:t>/2010 (3-10/0546/09)</w:t>
      </w:r>
      <w:bookmarkEnd w:id="1"/>
      <w:r w:rsidRPr="009E2336">
        <w:rPr>
          <w:rFonts w:eastAsia="Times New Roman" w:cs="Times New Roman"/>
          <w:i/>
          <w:iCs/>
          <w:szCs w:val="24"/>
          <w:lang w:eastAsia="lv-LV"/>
        </w:rPr>
        <w:t xml:space="preserve"> 7.1.punktu</w:t>
      </w:r>
      <w:r w:rsidRPr="009E2336">
        <w:rPr>
          <w:rFonts w:eastAsia="Times New Roman" w:cs="Times New Roman"/>
          <w:szCs w:val="24"/>
          <w:lang w:eastAsia="lv-LV"/>
        </w:rPr>
        <w:t>).</w:t>
      </w:r>
    </w:p>
    <w:p w14:paraId="5C3D38C1" w14:textId="77777777" w:rsidR="009E2336" w:rsidRDefault="009E2336" w:rsidP="009E2336">
      <w:pPr>
        <w:shd w:val="clear" w:color="auto" w:fill="FFFFFF"/>
        <w:spacing w:after="0" w:line="276" w:lineRule="auto"/>
        <w:ind w:right="5" w:firstLine="567"/>
        <w:jc w:val="both"/>
      </w:pPr>
      <w:r w:rsidRPr="009E2336">
        <w:rPr>
          <w:rFonts w:eastAsiaTheme="minorEastAsia" w:cs="Times New Roman"/>
          <w:szCs w:val="24"/>
          <w:lang w:eastAsia="lv-LV"/>
        </w:rPr>
        <w:t>Personas pieteikumus, kuriem nav civiltiesiska str</w:t>
      </w:r>
      <w:r w:rsidRPr="009E2336">
        <w:rPr>
          <w:rFonts w:eastAsia="Times New Roman" w:cs="Times New Roman"/>
          <w:szCs w:val="24"/>
          <w:lang w:eastAsia="lv-LV"/>
        </w:rPr>
        <w:t xml:space="preserve">īda rakstura, tiesa izskata vienīgi tad, ja tas noteikts likumā (Civilprocesa likuma </w:t>
      </w:r>
      <w:proofErr w:type="gramStart"/>
      <w:r w:rsidRPr="009E2336">
        <w:rPr>
          <w:rFonts w:eastAsia="Times New Roman" w:cs="Times New Roman"/>
          <w:szCs w:val="24"/>
          <w:lang w:eastAsia="lv-LV"/>
        </w:rPr>
        <w:t>23.panta</w:t>
      </w:r>
      <w:proofErr w:type="gramEnd"/>
      <w:r w:rsidRPr="009E2336">
        <w:rPr>
          <w:rFonts w:eastAsia="Times New Roman" w:cs="Times New Roman"/>
          <w:szCs w:val="24"/>
          <w:lang w:eastAsia="lv-LV"/>
        </w:rPr>
        <w:t xml:space="preserve"> trešā daļa). Piemēram, saskaņā ar likuma </w:t>
      </w:r>
      <w:r w:rsidRPr="009E2336">
        <w:rPr>
          <w:rFonts w:eastAsia="Times New Roman" w:cs="Times New Roman"/>
          <w:szCs w:val="24"/>
          <w:lang w:eastAsia="lv-LV"/>
        </w:rPr>
        <w:lastRenderedPageBreak/>
        <w:t>„Pa</w:t>
      </w:r>
      <w:r>
        <w:rPr>
          <w:rFonts w:eastAsia="Times New Roman" w:cs="Times New Roman"/>
          <w:szCs w:val="24"/>
          <w:lang w:eastAsia="lv-LV"/>
        </w:rPr>
        <w:t xml:space="preserve">r </w:t>
      </w:r>
      <w:r>
        <w:rPr>
          <w:szCs w:val="24"/>
        </w:rPr>
        <w:t>izzi</w:t>
      </w:r>
      <w:r>
        <w:rPr>
          <w:rFonts w:eastAsia="Times New Roman"/>
          <w:szCs w:val="24"/>
        </w:rPr>
        <w:t>ņas iestādes, prokuratūras un tiesas nepamatotas rīcības rezultātā nodarīto zaudējumu atlīdzināšanu” (</w:t>
      </w:r>
      <w:r>
        <w:rPr>
          <w:rFonts w:eastAsia="Times New Roman"/>
          <w:i/>
          <w:iCs/>
          <w:szCs w:val="24"/>
        </w:rPr>
        <w:t xml:space="preserve">zaudējis spēku no </w:t>
      </w:r>
      <w:proofErr w:type="gramStart"/>
      <w:r>
        <w:rPr>
          <w:rFonts w:eastAsia="Times New Roman"/>
          <w:i/>
          <w:iCs/>
          <w:szCs w:val="24"/>
        </w:rPr>
        <w:t>2018.gada</w:t>
      </w:r>
      <w:proofErr w:type="gramEnd"/>
      <w:r>
        <w:rPr>
          <w:rFonts w:eastAsia="Times New Roman"/>
          <w:i/>
          <w:iCs/>
          <w:szCs w:val="24"/>
        </w:rPr>
        <w:t xml:space="preserve"> 1.marta</w:t>
      </w:r>
      <w:r>
        <w:rPr>
          <w:rFonts w:eastAsia="Times New Roman"/>
          <w:szCs w:val="24"/>
        </w:rPr>
        <w:t xml:space="preserve">) 5.panta trešajai daļai izskatīšanai </w:t>
      </w:r>
      <w:r>
        <w:rPr>
          <w:rFonts w:eastAsia="Times New Roman"/>
          <w:spacing w:val="-1"/>
          <w:szCs w:val="24"/>
        </w:rPr>
        <w:t xml:space="preserve">civilprocesuālā kārtībā bija nodoti personu tādi prasījumi pret valsti kā publisko tiesību subjektu par </w:t>
      </w:r>
      <w:r>
        <w:rPr>
          <w:rFonts w:eastAsia="Times New Roman"/>
          <w:szCs w:val="24"/>
        </w:rPr>
        <w:t>morālā kaitējuma atlīdzināšanu, kuriem nav civiltiesiska strīda rakstura.</w:t>
      </w:r>
    </w:p>
    <w:p w14:paraId="33B729DE" w14:textId="77777777" w:rsidR="009E2336" w:rsidRDefault="009E2336" w:rsidP="009E2336">
      <w:pPr>
        <w:shd w:val="clear" w:color="auto" w:fill="FFFFFF"/>
        <w:spacing w:after="0" w:line="276" w:lineRule="auto"/>
        <w:ind w:right="5" w:firstLine="566"/>
        <w:jc w:val="both"/>
      </w:pPr>
      <w:r>
        <w:rPr>
          <w:szCs w:val="24"/>
        </w:rPr>
        <w:t>Ar lietu pak</w:t>
      </w:r>
      <w:r>
        <w:rPr>
          <w:rFonts w:eastAsia="Times New Roman"/>
          <w:szCs w:val="24"/>
        </w:rPr>
        <w:t>ļautību saprotams lietu izskatīšanas kompetences sadalījums starp dažādām tiesību aizsardzības institūcijām.</w:t>
      </w:r>
    </w:p>
    <w:p w14:paraId="14CDF6C1" w14:textId="77777777" w:rsidR="009E2336" w:rsidRDefault="009E2336" w:rsidP="009E2336">
      <w:pPr>
        <w:shd w:val="clear" w:color="auto" w:fill="FFFFFF"/>
        <w:spacing w:after="0" w:line="276" w:lineRule="auto"/>
        <w:ind w:right="10" w:firstLine="566"/>
        <w:jc w:val="both"/>
      </w:pPr>
      <w:r>
        <w:rPr>
          <w:szCs w:val="24"/>
        </w:rPr>
        <w:t>Min</w:t>
      </w:r>
      <w:r>
        <w:rPr>
          <w:rFonts w:eastAsia="Times New Roman"/>
          <w:szCs w:val="24"/>
        </w:rPr>
        <w:t xml:space="preserve">ētais izriet arī no Satversmes </w:t>
      </w:r>
      <w:proofErr w:type="gramStart"/>
      <w:r>
        <w:rPr>
          <w:rFonts w:eastAsia="Times New Roman"/>
          <w:szCs w:val="24"/>
        </w:rPr>
        <w:t>86.panta</w:t>
      </w:r>
      <w:proofErr w:type="gramEnd"/>
      <w:r>
        <w:rPr>
          <w:rFonts w:eastAsia="Times New Roman"/>
          <w:szCs w:val="24"/>
        </w:rPr>
        <w:t xml:space="preserve"> pirmajā teikumā ietvertā noteikuma, ka tiesu var spriest tikai tie orgāni, kuriem šīs tiesības piešķir likums un tikai likumā paredzētajā kārtībā. „Respektīvi, ja tiesa neievēro likumā noteikto kompetenci un procedūru, tad tiek pārkāptas Satversmes </w:t>
      </w:r>
      <w:proofErr w:type="gramStart"/>
      <w:r>
        <w:rPr>
          <w:rFonts w:eastAsia="Times New Roman"/>
          <w:szCs w:val="24"/>
        </w:rPr>
        <w:t>92.pantā</w:t>
      </w:r>
      <w:proofErr w:type="gramEnd"/>
      <w:r>
        <w:rPr>
          <w:rFonts w:eastAsia="Times New Roman"/>
          <w:szCs w:val="24"/>
        </w:rPr>
        <w:t xml:space="preserve"> paredzētās tiesības uz taisnīgu tiesu. Tādējādi civiltiesiskā kārtībā nevar izskatīt tādas lietas, kas piekrīt izskatīšanai administratīvai tiesai (un otrādi)” </w:t>
      </w:r>
      <w:proofErr w:type="gramStart"/>
      <w:r>
        <w:rPr>
          <w:rFonts w:eastAsia="Times New Roman"/>
          <w:szCs w:val="24"/>
        </w:rPr>
        <w:t>(</w:t>
      </w:r>
      <w:proofErr w:type="gramEnd"/>
      <w:r>
        <w:rPr>
          <w:rFonts w:eastAsia="Times New Roman"/>
          <w:i/>
          <w:iCs/>
          <w:szCs w:val="24"/>
        </w:rPr>
        <w:t xml:space="preserve">sk. </w:t>
      </w:r>
      <w:proofErr w:type="spellStart"/>
      <w:r>
        <w:rPr>
          <w:rFonts w:eastAsia="Times New Roman"/>
          <w:i/>
          <w:iCs/>
          <w:szCs w:val="24"/>
        </w:rPr>
        <w:t>Danovskis</w:t>
      </w:r>
      <w:proofErr w:type="spellEnd"/>
      <w:r>
        <w:rPr>
          <w:rFonts w:eastAsia="Times New Roman"/>
          <w:i/>
          <w:iCs/>
          <w:szCs w:val="24"/>
        </w:rPr>
        <w:t xml:space="preserve"> E. </w:t>
      </w:r>
      <w:r>
        <w:rPr>
          <w:rFonts w:eastAsia="Times New Roman"/>
          <w:i/>
          <w:iCs/>
          <w:spacing w:val="-1"/>
          <w:szCs w:val="24"/>
        </w:rPr>
        <w:t xml:space="preserve">Publisko un privāto tiesību dalījuma nozīme un piemērošanas problēmas Latvijā. Rīga: Latvijas </w:t>
      </w:r>
      <w:r>
        <w:rPr>
          <w:rFonts w:eastAsia="Times New Roman"/>
          <w:i/>
          <w:iCs/>
          <w:szCs w:val="24"/>
        </w:rPr>
        <w:t>Vēstnesis, 2015, 120.- 122.lpp.</w:t>
      </w:r>
      <w:r>
        <w:rPr>
          <w:rFonts w:eastAsia="Times New Roman"/>
          <w:szCs w:val="24"/>
        </w:rPr>
        <w:t>).</w:t>
      </w:r>
    </w:p>
    <w:p w14:paraId="3C7FFA11" w14:textId="77777777" w:rsidR="009E2336" w:rsidRDefault="009E2336" w:rsidP="009E2336">
      <w:pPr>
        <w:shd w:val="clear" w:color="auto" w:fill="FFFFFF"/>
        <w:spacing w:after="0" w:line="276" w:lineRule="auto"/>
        <w:ind w:right="10" w:firstLine="566"/>
        <w:jc w:val="both"/>
      </w:pPr>
      <w:r>
        <w:rPr>
          <w:spacing w:val="-1"/>
          <w:szCs w:val="24"/>
        </w:rPr>
        <w:t>Ja personu ties</w:t>
      </w:r>
      <w:r>
        <w:rPr>
          <w:rFonts w:eastAsia="Times New Roman"/>
          <w:spacing w:val="-1"/>
          <w:szCs w:val="24"/>
        </w:rPr>
        <w:t xml:space="preserve">ību traucējumi var būt ļoti dažādi un var attiekties uz dažādām tiesību nozarēm, </w:t>
      </w:r>
      <w:r>
        <w:rPr>
          <w:rFonts w:eastAsia="Times New Roman"/>
          <w:szCs w:val="24"/>
        </w:rPr>
        <w:t>tad dažādās tiesību nozarēs darbojošos tiesu kompetence ir stingri jānorobežo.</w:t>
      </w:r>
    </w:p>
    <w:p w14:paraId="14A9419C" w14:textId="77777777" w:rsidR="009E2336" w:rsidRDefault="009E2336" w:rsidP="009E2336">
      <w:pPr>
        <w:shd w:val="clear" w:color="auto" w:fill="FFFFFF"/>
        <w:spacing w:after="0" w:line="276" w:lineRule="auto"/>
        <w:ind w:right="14" w:firstLine="566"/>
        <w:jc w:val="both"/>
      </w:pPr>
      <w:r>
        <w:rPr>
          <w:szCs w:val="24"/>
        </w:rPr>
        <w:t>L</w:t>
      </w:r>
      <w:r>
        <w:rPr>
          <w:rFonts w:eastAsia="Times New Roman"/>
          <w:szCs w:val="24"/>
        </w:rPr>
        <w:t>īdz ar to tiesnesim prasības pieteikuma pieņemšanas stadijā rūpīgi jāizvērtē, vai personas rosinātais strīds vispār attiecināms uz tādu, kas risināms Civilprocesa likumā noteiktajā kārtībā.</w:t>
      </w:r>
    </w:p>
    <w:p w14:paraId="3C46B292" w14:textId="00B8A4A3" w:rsidR="009E2336" w:rsidRDefault="009E2336" w:rsidP="009E2336">
      <w:pPr>
        <w:shd w:val="clear" w:color="auto" w:fill="FFFFFF"/>
        <w:spacing w:after="0" w:line="276" w:lineRule="auto"/>
        <w:ind w:right="5" w:firstLine="566"/>
        <w:jc w:val="both"/>
      </w:pPr>
      <w:r>
        <w:rPr>
          <w:szCs w:val="24"/>
        </w:rPr>
        <w:t>[2.2]Senatoru kol</w:t>
      </w:r>
      <w:r>
        <w:rPr>
          <w:rFonts w:eastAsia="Times New Roman"/>
          <w:szCs w:val="24"/>
        </w:rPr>
        <w:t xml:space="preserve">ēģija pretēji blakus sūdzībā apgalvotajam atzīst, ka tiesa, atsakot pieņem </w:t>
      </w:r>
      <w:r w:rsidR="007D7611">
        <w:rPr>
          <w:rFonts w:eastAsia="Times New Roman" w:cs="Times New Roman"/>
          <w:szCs w:val="24"/>
          <w:lang w:eastAsia="lv-LV"/>
        </w:rPr>
        <w:t>[pers. A]</w:t>
      </w:r>
      <w:r>
        <w:rPr>
          <w:rFonts w:eastAsia="Times New Roman"/>
          <w:szCs w:val="24"/>
        </w:rPr>
        <w:t xml:space="preserve"> pārstāvja </w:t>
      </w:r>
      <w:r w:rsidR="008E5FDE">
        <w:rPr>
          <w:rFonts w:eastAsia="Times New Roman" w:cs="Times New Roman"/>
          <w:szCs w:val="24"/>
          <w:lang w:eastAsia="lv-LV"/>
        </w:rPr>
        <w:t>[pers. B]</w:t>
      </w:r>
      <w:r>
        <w:rPr>
          <w:rFonts w:eastAsia="Times New Roman"/>
          <w:szCs w:val="24"/>
        </w:rPr>
        <w:t xml:space="preserve"> prasību par nemantiskā kaitējuma 7470 EUR kopsummā atlīdzināšanu, kas nodarīts ar kriminālprocesa Nr.11180184304 pārmērīgu ilgumu un </w:t>
      </w:r>
      <w:r w:rsidR="008E5FDE">
        <w:rPr>
          <w:rFonts w:eastAsia="Times New Roman" w:cs="Times New Roman"/>
          <w:szCs w:val="24"/>
          <w:lang w:eastAsia="lv-LV"/>
        </w:rPr>
        <w:t>[pers. A]</w:t>
      </w:r>
      <w:r>
        <w:rPr>
          <w:rFonts w:eastAsia="Times New Roman"/>
          <w:szCs w:val="24"/>
        </w:rPr>
        <w:t xml:space="preserve"> nepamatotu turēšanu apcietinājumā laikā no </w:t>
      </w:r>
      <w:proofErr w:type="gramStart"/>
      <w:r>
        <w:rPr>
          <w:rFonts w:eastAsia="Times New Roman"/>
          <w:szCs w:val="24"/>
        </w:rPr>
        <w:t>2010.gada</w:t>
      </w:r>
      <w:proofErr w:type="gramEnd"/>
      <w:r>
        <w:rPr>
          <w:rFonts w:eastAsia="Times New Roman"/>
          <w:szCs w:val="24"/>
        </w:rPr>
        <w:t xml:space="preserve"> 16.novembra līdz 2011.gada 15.aprīlim, pareizi piemērojusi Civilprocesa likuma 132.panta pirmās daļas 1.punktu, jo šādi prasījumi nav pakļauti izskatīšanai vispārējās jurisdikcijas tiesā.</w:t>
      </w:r>
    </w:p>
    <w:p w14:paraId="7F3D6E04" w14:textId="77777777" w:rsidR="009E2336" w:rsidRDefault="009E2336" w:rsidP="009E2336">
      <w:pPr>
        <w:shd w:val="clear" w:color="auto" w:fill="FFFFFF"/>
        <w:spacing w:after="0" w:line="276" w:lineRule="auto"/>
        <w:ind w:right="5" w:firstLine="566"/>
        <w:jc w:val="both"/>
      </w:pPr>
      <w:r>
        <w:rPr>
          <w:szCs w:val="24"/>
        </w:rPr>
        <w:t xml:space="preserve">[2.2.1] Saeima </w:t>
      </w:r>
      <w:proofErr w:type="gramStart"/>
      <w:r>
        <w:rPr>
          <w:szCs w:val="24"/>
        </w:rPr>
        <w:t>2017.gada</w:t>
      </w:r>
      <w:proofErr w:type="gramEnd"/>
      <w:r>
        <w:rPr>
          <w:szCs w:val="24"/>
        </w:rPr>
        <w:t xml:space="preserve"> 30.novembr</w:t>
      </w:r>
      <w:r>
        <w:rPr>
          <w:rFonts w:eastAsia="Times New Roman"/>
          <w:szCs w:val="24"/>
        </w:rPr>
        <w:t>ī pieņēma Kriminālprocesā un administratīvo pārkāpumu lietvedībā nodarītā kaitējuma atlīdzināšanas likumu (turpmāk – Kaitējuma atlīdzināšanas likums), kas stājās spēkā 2018.gada 1.martā.</w:t>
      </w:r>
    </w:p>
    <w:p w14:paraId="72B28DA1" w14:textId="77777777" w:rsidR="009E2336" w:rsidRDefault="009E2336" w:rsidP="009E2336">
      <w:pPr>
        <w:shd w:val="clear" w:color="auto" w:fill="FFFFFF"/>
        <w:spacing w:after="0" w:line="276" w:lineRule="auto"/>
        <w:ind w:firstLine="566"/>
        <w:jc w:val="both"/>
      </w:pPr>
      <w:r>
        <w:rPr>
          <w:szCs w:val="24"/>
        </w:rPr>
        <w:t>Kait</w:t>
      </w:r>
      <w:r>
        <w:rPr>
          <w:rFonts w:eastAsia="Times New Roman"/>
          <w:szCs w:val="24"/>
        </w:rPr>
        <w:t xml:space="preserve">ējuma atlīdzināšanas likuma </w:t>
      </w:r>
      <w:proofErr w:type="gramStart"/>
      <w:r>
        <w:rPr>
          <w:rFonts w:eastAsia="Times New Roman"/>
          <w:szCs w:val="24"/>
        </w:rPr>
        <w:t>1.panta</w:t>
      </w:r>
      <w:proofErr w:type="gramEnd"/>
      <w:r>
        <w:rPr>
          <w:rFonts w:eastAsia="Times New Roman"/>
          <w:szCs w:val="24"/>
        </w:rPr>
        <w:t xml:space="preserve"> pirmā daļa paredz, ka likuma mērķis ir nodrošināt privātpersonai Latvijas Republikas Satversmē noteiktās tiesības uz atbilstīgu atlīdzinājumu par zaudējumu un nemantisko kaitējumu, kas tai nodarīts kriminālprocesā vai administratīvā pārkāpuma lietvedībā izmeklēšanas iestādes, Noziedzīgi iegūtu līdzekļu legalizācijas novēršanas dienesta, valsts vai pašvaldības institūcijas, kura uzsākusi vai izskatījusi administratīvā pārkāpuma lietu, prokuratūras vai tiesas prettiesiskas vai nepamatotas rīcības dēļ.</w:t>
      </w:r>
    </w:p>
    <w:p w14:paraId="46F05532" w14:textId="77777777" w:rsidR="009E2336" w:rsidRDefault="009E2336" w:rsidP="009E2336">
      <w:pPr>
        <w:shd w:val="clear" w:color="auto" w:fill="FFFFFF"/>
        <w:spacing w:after="0" w:line="276" w:lineRule="auto"/>
        <w:ind w:firstLine="566"/>
        <w:jc w:val="both"/>
      </w:pPr>
      <w:r>
        <w:rPr>
          <w:szCs w:val="24"/>
        </w:rPr>
        <w:t>Priv</w:t>
      </w:r>
      <w:r>
        <w:rPr>
          <w:rFonts w:eastAsia="Times New Roman"/>
          <w:szCs w:val="24"/>
        </w:rPr>
        <w:t xml:space="preserve">ātpersona, kurai saskaņā ar Kaitējuma atlīdzināšanas likumu ir tiesības uz tāda kaitējuma atlīdzinājumu, kurš tai nodarīts ar iestādes, prokuratūras vai tiesas prettiesisku vai nepamatotu rīcību, iesniegumu par nemantiskā kaitējuma atlīdzināšanu iesniedz lēmējiestādei atbilstoši šā likuma </w:t>
      </w:r>
      <w:proofErr w:type="gramStart"/>
      <w:r>
        <w:rPr>
          <w:rFonts w:eastAsia="Times New Roman"/>
          <w:szCs w:val="24"/>
        </w:rPr>
        <w:t>17.panta</w:t>
      </w:r>
      <w:proofErr w:type="gramEnd"/>
      <w:r>
        <w:rPr>
          <w:rFonts w:eastAsia="Times New Roman"/>
          <w:szCs w:val="24"/>
        </w:rPr>
        <w:t xml:space="preserve"> pirmajā daļā minētajai kompetencei (</w:t>
      </w:r>
      <w:r>
        <w:rPr>
          <w:rFonts w:eastAsia="Times New Roman"/>
          <w:i/>
          <w:iCs/>
          <w:szCs w:val="24"/>
        </w:rPr>
        <w:t>sk. 18.panta pirmo daļu</w:t>
      </w:r>
      <w:r>
        <w:rPr>
          <w:rFonts w:eastAsia="Times New Roman"/>
          <w:szCs w:val="24"/>
        </w:rPr>
        <w:t xml:space="preserve">), savukārt šīs </w:t>
      </w:r>
      <w:r>
        <w:rPr>
          <w:rFonts w:eastAsia="Times New Roman"/>
          <w:spacing w:val="-1"/>
          <w:szCs w:val="24"/>
        </w:rPr>
        <w:t xml:space="preserve">lēmējiestādes pieņemto lēmumu kaitējuma atlīdzināšanas lietā var pārsūdzēt Administratīvā procesa </w:t>
      </w:r>
      <w:r>
        <w:rPr>
          <w:rFonts w:eastAsia="Times New Roman"/>
          <w:szCs w:val="24"/>
        </w:rPr>
        <w:t>likumā noteiktā kārtībā (</w:t>
      </w:r>
      <w:r>
        <w:rPr>
          <w:rFonts w:eastAsia="Times New Roman"/>
          <w:i/>
          <w:iCs/>
          <w:szCs w:val="24"/>
        </w:rPr>
        <w:t>sk. 23.pantu</w:t>
      </w:r>
      <w:r>
        <w:rPr>
          <w:rFonts w:eastAsia="Times New Roman"/>
          <w:szCs w:val="24"/>
        </w:rPr>
        <w:t>), t.i., administratīvajā tiesā.</w:t>
      </w:r>
    </w:p>
    <w:p w14:paraId="0D0134CF" w14:textId="77777777" w:rsidR="009E2336" w:rsidRDefault="009E2336" w:rsidP="009E2336">
      <w:pPr>
        <w:shd w:val="clear" w:color="auto" w:fill="FFFFFF"/>
        <w:spacing w:after="0" w:line="276" w:lineRule="auto"/>
        <w:ind w:left="5" w:right="10" w:firstLine="562"/>
        <w:jc w:val="both"/>
      </w:pPr>
      <w:r>
        <w:rPr>
          <w:szCs w:val="24"/>
        </w:rPr>
        <w:t>Tas noz</w:t>
      </w:r>
      <w:r>
        <w:rPr>
          <w:rFonts w:eastAsia="Times New Roman"/>
          <w:szCs w:val="24"/>
        </w:rPr>
        <w:t xml:space="preserve">īmē, ka privātpersonas pieteikums par kaitējuma atlīdzināšanu, kas nodarīts sakarā ar tās pamattiesību aizskārumu kriminālprocesā vai administratīvo pārkāpumu lietvedībā, kopš </w:t>
      </w:r>
      <w:proofErr w:type="gramStart"/>
      <w:r>
        <w:rPr>
          <w:rFonts w:eastAsia="Times New Roman"/>
          <w:szCs w:val="24"/>
        </w:rPr>
        <w:t>2018.gada</w:t>
      </w:r>
      <w:proofErr w:type="gramEnd"/>
      <w:r>
        <w:rPr>
          <w:rFonts w:eastAsia="Times New Roman"/>
          <w:szCs w:val="24"/>
        </w:rPr>
        <w:t xml:space="preserve"> 1.marta nav pakļauts izskatīšanai vispārējās jurisdikcijas tiesā, ko apstiprina Kaitējuma atlīdzināšanas likuma pārejas noteikumu 4.punktā ietvertais formulējums, kuram atbilstoši vispārējās jurisdikcijas tiesas kompetencē ietilpst tikai tādu prasījumu </w:t>
      </w:r>
      <w:r>
        <w:rPr>
          <w:rFonts w:eastAsia="Times New Roman"/>
          <w:szCs w:val="24"/>
        </w:rPr>
        <w:lastRenderedPageBreak/>
        <w:t>izspriešana civillietās, kurās pirms šā likuma spēkā stāšanās ir pieņemts prasības pieteikums un ierosināta tiesvedība, turklāt šādas prasības izskatāmas, ievērojot Kaitējuma atlīdzināšanas likumā paredzētos nosacījumus.</w:t>
      </w:r>
    </w:p>
    <w:p w14:paraId="12EB2515" w14:textId="77777777" w:rsidR="009E2336" w:rsidRDefault="009E2336" w:rsidP="008E5FDE">
      <w:pPr>
        <w:shd w:val="clear" w:color="auto" w:fill="FFFFFF"/>
        <w:spacing w:after="0" w:line="276" w:lineRule="auto"/>
        <w:ind w:left="5" w:right="14" w:firstLine="562"/>
        <w:jc w:val="both"/>
      </w:pPr>
      <w:r>
        <w:rPr>
          <w:szCs w:val="24"/>
        </w:rPr>
        <w:t>T</w:t>
      </w:r>
      <w:r>
        <w:rPr>
          <w:rFonts w:eastAsia="Times New Roman"/>
          <w:szCs w:val="24"/>
        </w:rPr>
        <w:t xml:space="preserve">ādējādi ir skaidrs, ka, spēkā stājoties minētā likuma speciālajām normām, valsts atbildību </w:t>
      </w:r>
      <w:r>
        <w:rPr>
          <w:szCs w:val="24"/>
        </w:rPr>
        <w:t>par t</w:t>
      </w:r>
      <w:r>
        <w:rPr>
          <w:rFonts w:eastAsia="Times New Roman"/>
          <w:szCs w:val="24"/>
        </w:rPr>
        <w:t>ās institūciju nepamatotu vai prettiesisku rīcību publisko tiesību jomā – kriminālprocesā</w:t>
      </w:r>
      <w:proofErr w:type="gramStart"/>
      <w:r>
        <w:rPr>
          <w:rFonts w:eastAsia="Times New Roman"/>
          <w:szCs w:val="24"/>
        </w:rPr>
        <w:t xml:space="preserve"> un</w:t>
      </w:r>
      <w:proofErr w:type="gramEnd"/>
      <w:r>
        <w:rPr>
          <w:rFonts w:eastAsia="Times New Roman"/>
          <w:szCs w:val="24"/>
        </w:rPr>
        <w:t xml:space="preserve"> administratīvo pārkāpumu lietvedībā, kas būtiski atšķiras no civiltiesiskā delikta, privātpersona var prasīt saskaņā ar Administratīvā procesa likuma noteikumiem.</w:t>
      </w:r>
    </w:p>
    <w:p w14:paraId="61FA520C" w14:textId="77777777" w:rsidR="009E2336" w:rsidRDefault="009E2336" w:rsidP="009E2336">
      <w:pPr>
        <w:shd w:val="clear" w:color="auto" w:fill="FFFFFF"/>
        <w:spacing w:after="0" w:line="276" w:lineRule="auto"/>
        <w:ind w:left="5" w:firstLine="562"/>
      </w:pPr>
      <w:r>
        <w:rPr>
          <w:szCs w:val="24"/>
        </w:rPr>
        <w:t xml:space="preserve">[2.2.2] Likuma </w:t>
      </w:r>
      <w:r>
        <w:rPr>
          <w:rFonts w:eastAsia="Times New Roman"/>
          <w:szCs w:val="24"/>
        </w:rPr>
        <w:t xml:space="preserve">„Par tiesu varu” </w:t>
      </w:r>
      <w:proofErr w:type="gramStart"/>
      <w:r>
        <w:rPr>
          <w:rFonts w:eastAsia="Times New Roman"/>
          <w:szCs w:val="24"/>
        </w:rPr>
        <w:t>1.panta</w:t>
      </w:r>
      <w:proofErr w:type="gramEnd"/>
      <w:r>
        <w:rPr>
          <w:rFonts w:eastAsia="Times New Roman"/>
          <w:szCs w:val="24"/>
        </w:rPr>
        <w:t xml:space="preserve"> ceturtā daļa paredz: katrai personai ir tiesības uz tiesas lietas iztiesāšanu likumā noteiktajā procesuālajā kārtībā.</w:t>
      </w:r>
    </w:p>
    <w:p w14:paraId="5B2A71C5" w14:textId="77777777" w:rsidR="009E2336" w:rsidRDefault="009E2336" w:rsidP="009E2336">
      <w:pPr>
        <w:shd w:val="clear" w:color="auto" w:fill="FFFFFF"/>
        <w:spacing w:after="0" w:line="276" w:lineRule="auto"/>
        <w:ind w:right="10" w:firstLine="566"/>
        <w:jc w:val="both"/>
      </w:pPr>
      <w:r>
        <w:rPr>
          <w:szCs w:val="24"/>
        </w:rPr>
        <w:t>No min</w:t>
      </w:r>
      <w:r>
        <w:rPr>
          <w:rFonts w:eastAsia="Times New Roman"/>
          <w:szCs w:val="24"/>
        </w:rPr>
        <w:t xml:space="preserve">ētā izriet, ka personai ir tiesības savas aizskartās, ierobežotās vai apstrīdētās tiesības aizstāvēt nevis tādā kārtībā, kādā tā vēlas, vai kādu tā subjektīvi uzskata par lietderīgāko, bet gan </w:t>
      </w:r>
      <w:r>
        <w:rPr>
          <w:rFonts w:eastAsia="Times New Roman"/>
          <w:spacing w:val="-1"/>
          <w:szCs w:val="24"/>
        </w:rPr>
        <w:t>tādā kārtībā, kādu noteicis likumdevējs (</w:t>
      </w:r>
      <w:r>
        <w:rPr>
          <w:rFonts w:eastAsia="Times New Roman"/>
          <w:i/>
          <w:iCs/>
          <w:spacing w:val="-1"/>
          <w:szCs w:val="24"/>
        </w:rPr>
        <w:t xml:space="preserve">sk. </w:t>
      </w:r>
      <w:bookmarkStart w:id="2" w:name="_Hlk48809953"/>
      <w:r>
        <w:rPr>
          <w:rFonts w:eastAsia="Times New Roman"/>
          <w:i/>
          <w:iCs/>
          <w:spacing w:val="-1"/>
          <w:szCs w:val="24"/>
        </w:rPr>
        <w:t xml:space="preserve">Augstākās tiesas </w:t>
      </w:r>
      <w:proofErr w:type="gramStart"/>
      <w:r>
        <w:rPr>
          <w:rFonts w:eastAsia="Times New Roman"/>
          <w:i/>
          <w:iCs/>
          <w:spacing w:val="-1"/>
          <w:szCs w:val="24"/>
        </w:rPr>
        <w:t>2017.gada</w:t>
      </w:r>
      <w:proofErr w:type="gramEnd"/>
      <w:r>
        <w:rPr>
          <w:rFonts w:eastAsia="Times New Roman"/>
          <w:i/>
          <w:iCs/>
          <w:spacing w:val="-1"/>
          <w:szCs w:val="24"/>
        </w:rPr>
        <w:t xml:space="preserve"> 30.augusta sprieduma lietā </w:t>
      </w:r>
      <w:proofErr w:type="spellStart"/>
      <w:r>
        <w:rPr>
          <w:rFonts w:eastAsia="Times New Roman"/>
          <w:i/>
          <w:iCs/>
          <w:szCs w:val="24"/>
        </w:rPr>
        <w:t>Nr.SKC-40</w:t>
      </w:r>
      <w:proofErr w:type="spellEnd"/>
      <w:r>
        <w:rPr>
          <w:rFonts w:eastAsia="Times New Roman"/>
          <w:i/>
          <w:iCs/>
          <w:szCs w:val="24"/>
        </w:rPr>
        <w:t xml:space="preserve">/2017 (C27187711) </w:t>
      </w:r>
      <w:bookmarkEnd w:id="2"/>
      <w:r>
        <w:rPr>
          <w:rFonts w:eastAsia="Times New Roman"/>
          <w:i/>
          <w:iCs/>
          <w:szCs w:val="24"/>
        </w:rPr>
        <w:t>14.1.punktu</w:t>
      </w:r>
      <w:r>
        <w:rPr>
          <w:rFonts w:eastAsia="Times New Roman"/>
          <w:szCs w:val="24"/>
        </w:rPr>
        <w:t>).</w:t>
      </w:r>
    </w:p>
    <w:p w14:paraId="065B837D" w14:textId="77777777" w:rsidR="009E2336" w:rsidRDefault="009E2336" w:rsidP="009E2336">
      <w:pPr>
        <w:shd w:val="clear" w:color="auto" w:fill="FFFFFF"/>
        <w:spacing w:after="0" w:line="276" w:lineRule="auto"/>
        <w:ind w:right="10" w:firstLine="566"/>
        <w:jc w:val="both"/>
      </w:pPr>
      <w:r>
        <w:rPr>
          <w:szCs w:val="24"/>
        </w:rPr>
        <w:t>Apstr</w:t>
      </w:r>
      <w:r>
        <w:rPr>
          <w:rFonts w:eastAsia="Times New Roman"/>
          <w:szCs w:val="24"/>
        </w:rPr>
        <w:t>īdot apelācijas instances tiesas lēmumu un cenšoties argumentēt savu viedokli, ka prasība pret Latvijas valsti par tāda kaitējuma atlīdzināšanu, kas nodarīts ar personas pamattiesību aizskārumu kriminālprocesā, pakļauta izskatīšanai vispārējās jurisdikcijas tiesā, blakus sūdzības iesniedzējs iepriekš norādīto vispārīgo tiesību principu atstājis bez ievērības.</w:t>
      </w:r>
    </w:p>
    <w:p w14:paraId="7FCFFB9E" w14:textId="77777777" w:rsidR="009E2336" w:rsidRDefault="009E2336" w:rsidP="009E2336">
      <w:pPr>
        <w:shd w:val="clear" w:color="auto" w:fill="FFFFFF"/>
        <w:spacing w:after="0" w:line="276" w:lineRule="auto"/>
        <w:ind w:firstLine="566"/>
        <w:jc w:val="both"/>
      </w:pPr>
      <w:r>
        <w:rPr>
          <w:szCs w:val="24"/>
        </w:rPr>
        <w:t xml:space="preserve">[2.2.3] Satversmes </w:t>
      </w:r>
      <w:proofErr w:type="gramStart"/>
      <w:r>
        <w:rPr>
          <w:szCs w:val="24"/>
        </w:rPr>
        <w:t>92.panta</w:t>
      </w:r>
      <w:proofErr w:type="gramEnd"/>
      <w:r>
        <w:rPr>
          <w:szCs w:val="24"/>
        </w:rPr>
        <w:t xml:space="preserve"> tre</w:t>
      </w:r>
      <w:r>
        <w:rPr>
          <w:rFonts w:eastAsia="Times New Roman"/>
          <w:szCs w:val="24"/>
        </w:rPr>
        <w:t xml:space="preserve">šajā teikumā ietvertas personas tiesības uz pieeju tiesību </w:t>
      </w:r>
      <w:r>
        <w:rPr>
          <w:rFonts w:eastAsia="Times New Roman"/>
          <w:spacing w:val="-1"/>
          <w:szCs w:val="24"/>
        </w:rPr>
        <w:t xml:space="preserve">aizsardzības līdzekļiem, kas efektīvi nodrošina personas tiesību aizsardzību un ļauj personai saņemt </w:t>
      </w:r>
      <w:r>
        <w:rPr>
          <w:rFonts w:eastAsia="Times New Roman"/>
          <w:szCs w:val="24"/>
        </w:rPr>
        <w:t>atbilstīgu atlīdzinājumu nepamatota tiesību aizskāruma gadījumā.</w:t>
      </w:r>
      <w:r w:rsidRPr="009E2336">
        <w:rPr>
          <w:rFonts w:eastAsia="Times New Roman"/>
          <w:szCs w:val="24"/>
        </w:rPr>
        <w:t xml:space="preserve"> </w:t>
      </w:r>
      <w:hyperlink r:id="rId8" w:history="1">
        <w:r w:rsidRPr="009E2336">
          <w:rPr>
            <w:rFonts w:eastAsia="Times New Roman"/>
            <w:szCs w:val="24"/>
          </w:rPr>
          <w:t>Satversmes</w:t>
        </w:r>
      </w:hyperlink>
      <w:r w:rsidRPr="009E2336">
        <w:rPr>
          <w:rFonts w:eastAsia="Times New Roman"/>
          <w:szCs w:val="24"/>
        </w:rPr>
        <w:t xml:space="preserve"> </w:t>
      </w:r>
      <w:hyperlink r:id="rId9" w:history="1">
        <w:r w:rsidRPr="009E2336">
          <w:rPr>
            <w:rFonts w:eastAsia="Times New Roman"/>
            <w:szCs w:val="24"/>
          </w:rPr>
          <w:t>92.panta</w:t>
        </w:r>
      </w:hyperlink>
      <w:r>
        <w:rPr>
          <w:rFonts w:eastAsia="Times New Roman"/>
          <w:szCs w:val="24"/>
        </w:rPr>
        <w:t xml:space="preserve"> trešais teikums ir piemērojams tieši un nepastarpināti, tomēr tiesiskās noteiktības princips uzliek likumdevējam pienākumu likumā pēc iespējas noregulēt šīs </w:t>
      </w:r>
      <w:hyperlink r:id="rId10" w:history="1">
        <w:r w:rsidRPr="009E2336">
          <w:rPr>
            <w:rFonts w:eastAsia="Times New Roman"/>
            <w:szCs w:val="24"/>
          </w:rPr>
          <w:t>Satversmes</w:t>
        </w:r>
      </w:hyperlink>
      <w:r>
        <w:rPr>
          <w:rFonts w:eastAsia="Times New Roman"/>
          <w:szCs w:val="24"/>
        </w:rPr>
        <w:t xml:space="preserve"> normas praktiskās īstenošanas priekšnoteikumus (</w:t>
      </w:r>
      <w:r>
        <w:rPr>
          <w:rFonts w:eastAsia="Times New Roman"/>
          <w:i/>
          <w:iCs/>
          <w:szCs w:val="24"/>
        </w:rPr>
        <w:t xml:space="preserve">sk. </w:t>
      </w:r>
      <w:bookmarkStart w:id="3" w:name="_Hlk48809994"/>
      <w:r>
        <w:rPr>
          <w:rFonts w:eastAsia="Times New Roman"/>
          <w:i/>
          <w:iCs/>
          <w:szCs w:val="24"/>
        </w:rPr>
        <w:t>Satversmes tiesas 2012.gada 6.jūnija sprieduma lietā Nr.2011-21-01</w:t>
      </w:r>
      <w:bookmarkEnd w:id="3"/>
      <w:r>
        <w:rPr>
          <w:rFonts w:eastAsia="Times New Roman"/>
          <w:i/>
          <w:iCs/>
          <w:szCs w:val="24"/>
        </w:rPr>
        <w:t xml:space="preserve"> 7. punktu</w:t>
      </w:r>
      <w:r>
        <w:rPr>
          <w:rFonts w:eastAsia="Times New Roman"/>
          <w:szCs w:val="24"/>
        </w:rPr>
        <w:t xml:space="preserve">). Pieņemot Atlīdzināšanas likumu, likumdevējs ir izveidojis regulējumu, kurā konkretizētas </w:t>
      </w:r>
      <w:hyperlink r:id="rId11" w:history="1">
        <w:r w:rsidRPr="009E2336">
          <w:rPr>
            <w:rFonts w:eastAsia="Times New Roman"/>
            <w:szCs w:val="24"/>
          </w:rPr>
          <w:t>Satversmes</w:t>
        </w:r>
      </w:hyperlink>
      <w:r w:rsidRPr="009E2336">
        <w:rPr>
          <w:rFonts w:eastAsia="Times New Roman"/>
          <w:szCs w:val="24"/>
        </w:rPr>
        <w:t xml:space="preserve"> </w:t>
      </w:r>
      <w:hyperlink r:id="rId12" w:history="1">
        <w:r w:rsidRPr="009E2336">
          <w:rPr>
            <w:rFonts w:eastAsia="Times New Roman"/>
            <w:szCs w:val="24"/>
          </w:rPr>
          <w:t>92.panta</w:t>
        </w:r>
      </w:hyperlink>
      <w:r>
        <w:rPr>
          <w:rFonts w:eastAsia="Times New Roman"/>
          <w:szCs w:val="24"/>
        </w:rPr>
        <w:t xml:space="preserve"> trešajā teikumā ietvertās personas tiesības uz atbilstīgu atlīdzinājumu par mantisko un nemantisko kaitējumu, kas personai nodarīts kriminālprocesā vai administratīvā pārkāpuma lietvedībā iestādes, prokuratūras vai tiesas prettiesiskas vai nepamatotas rīcības dēļ (</w:t>
      </w:r>
      <w:r>
        <w:rPr>
          <w:rFonts w:eastAsia="Times New Roman"/>
          <w:i/>
          <w:iCs/>
          <w:szCs w:val="24"/>
        </w:rPr>
        <w:t>sk.</w:t>
      </w:r>
      <w:bookmarkStart w:id="4" w:name="_Hlk48810027"/>
      <w:r>
        <w:rPr>
          <w:rFonts w:eastAsia="Times New Roman"/>
          <w:i/>
          <w:iCs/>
          <w:szCs w:val="24"/>
        </w:rPr>
        <w:t xml:space="preserve"> Satversmes tiesas 2020.gada 7.maija lēmuma par tiesvedības izbeigšanu lietā Nr.2019-21-01 </w:t>
      </w:r>
      <w:bookmarkEnd w:id="4"/>
      <w:r>
        <w:rPr>
          <w:rFonts w:eastAsia="Times New Roman"/>
          <w:i/>
          <w:iCs/>
          <w:szCs w:val="24"/>
        </w:rPr>
        <w:t>10.1 punktu).</w:t>
      </w:r>
    </w:p>
    <w:p w14:paraId="68F4D8DA" w14:textId="77777777" w:rsidR="009E2336" w:rsidRDefault="009E2336" w:rsidP="009E2336">
      <w:pPr>
        <w:shd w:val="clear" w:color="auto" w:fill="FFFFFF"/>
        <w:spacing w:after="0" w:line="276" w:lineRule="auto"/>
        <w:ind w:right="10" w:firstLine="566"/>
        <w:jc w:val="both"/>
      </w:pPr>
      <w:r>
        <w:rPr>
          <w:szCs w:val="24"/>
        </w:rPr>
        <w:t>Kas</w:t>
      </w:r>
      <w:r>
        <w:rPr>
          <w:rFonts w:eastAsia="Times New Roman"/>
          <w:szCs w:val="24"/>
        </w:rPr>
        <w:t xml:space="preserve">ācijas instances tiesa jau iepriekš, vērtējot Kaitējuma atlīdzināšanas likuma regulējumu, atzinusi: „[..] nav pamata uzskatīt, ka minētā likuma kārtībā ir izskatāmi vienīgi tādi zaudējuma vai kaitējuma atlīdzinājuma prasījumi, kuri atbilst šā likuma 4. un </w:t>
      </w:r>
      <w:proofErr w:type="gramStart"/>
      <w:r>
        <w:rPr>
          <w:rFonts w:eastAsia="Times New Roman"/>
          <w:szCs w:val="24"/>
        </w:rPr>
        <w:t>5.pantā</w:t>
      </w:r>
      <w:proofErr w:type="gramEnd"/>
      <w:r>
        <w:rPr>
          <w:rFonts w:eastAsia="Times New Roman"/>
          <w:szCs w:val="24"/>
        </w:rPr>
        <w:t xml:space="preserve"> norādītajiem gadījumiem.</w:t>
      </w:r>
    </w:p>
    <w:p w14:paraId="14301829" w14:textId="77777777" w:rsidR="009E2336" w:rsidRDefault="009E2336" w:rsidP="009E2336">
      <w:pPr>
        <w:shd w:val="clear" w:color="auto" w:fill="FFFFFF"/>
        <w:spacing w:after="0" w:line="276" w:lineRule="auto"/>
        <w:ind w:right="5" w:firstLine="566"/>
        <w:jc w:val="both"/>
      </w:pPr>
      <w:r>
        <w:rPr>
          <w:szCs w:val="24"/>
        </w:rPr>
        <w:t>Proti, s</w:t>
      </w:r>
      <w:r>
        <w:rPr>
          <w:rFonts w:eastAsia="Times New Roman"/>
          <w:szCs w:val="24"/>
        </w:rPr>
        <w:t xml:space="preserve">ākotnēji Kaitējuma atlīdzināšanas likuma likumprojekts tika izstrādāts, balstoties uz koncepciju, kas paredzēja tiesības uz atlīdzinājumu par kriminālprocesā un administratīvo pārkāpumu lietvedībā nodarīto zaudējumu vai kaitējumu piešķirt noteiktam subjektu lokam konkrētos, likumā precīzi nosauktos gadījumos. Tomēr pirms likumprojekta izskatīšanas trešajā </w:t>
      </w:r>
      <w:r>
        <w:rPr>
          <w:rFonts w:eastAsia="Times New Roman"/>
          <w:spacing w:val="-1"/>
          <w:szCs w:val="24"/>
        </w:rPr>
        <w:t xml:space="preserve">lasījumā Saeimas Juridiskā komisija iesniedza priekšlikumu papildināt likumprojektu ar normu, kas </w:t>
      </w:r>
      <w:r>
        <w:rPr>
          <w:rFonts w:eastAsia="Times New Roman"/>
          <w:szCs w:val="24"/>
        </w:rPr>
        <w:t xml:space="preserve">paredz, ka likumprojektā paredzētajā kārtībā izskatāmi arī tādi zaudējuma vai kaitējuma atlīdzinājuma prasījumi, kas likumā nav tieši minēti. Tādējādi ar minēto priekšlikumu, kas tika iestrādāts likumprojekta </w:t>
      </w:r>
      <w:proofErr w:type="gramStart"/>
      <w:r>
        <w:rPr>
          <w:rFonts w:eastAsia="Times New Roman"/>
          <w:szCs w:val="24"/>
        </w:rPr>
        <w:t>2.panta</w:t>
      </w:r>
      <w:proofErr w:type="gramEnd"/>
      <w:r>
        <w:rPr>
          <w:rFonts w:eastAsia="Times New Roman"/>
          <w:szCs w:val="24"/>
        </w:rPr>
        <w:t xml:space="preserve"> otrajā daļā, likumprojekta koncepcija tika izmainīta.</w:t>
      </w:r>
    </w:p>
    <w:p w14:paraId="141BA521" w14:textId="7AC5604E" w:rsidR="009E2336" w:rsidRDefault="009E2336" w:rsidP="009E2336">
      <w:pPr>
        <w:shd w:val="clear" w:color="auto" w:fill="FFFFFF"/>
        <w:spacing w:after="0" w:line="276" w:lineRule="auto"/>
        <w:ind w:right="10" w:firstLine="566"/>
        <w:jc w:val="both"/>
      </w:pPr>
      <w:r>
        <w:rPr>
          <w:szCs w:val="24"/>
        </w:rPr>
        <w:t>Likumdev</w:t>
      </w:r>
      <w:r>
        <w:rPr>
          <w:rFonts w:eastAsia="Times New Roman"/>
          <w:szCs w:val="24"/>
        </w:rPr>
        <w:t xml:space="preserve">ēja mērķis, likumprojektā iestrādājot </w:t>
      </w:r>
      <w:proofErr w:type="gramStart"/>
      <w:r>
        <w:rPr>
          <w:rFonts w:eastAsia="Times New Roman"/>
          <w:szCs w:val="24"/>
        </w:rPr>
        <w:t>2.panta</w:t>
      </w:r>
      <w:proofErr w:type="gramEnd"/>
      <w:r>
        <w:rPr>
          <w:rFonts w:eastAsia="Times New Roman"/>
          <w:szCs w:val="24"/>
        </w:rPr>
        <w:t xml:space="preserve"> otro daļu, bija ieviest vienotu procesuālo kārtību, kādā atlīdzināms kriminālprocesā un administratīvo pārkāpumu lietvedībā nodarītais zaudējums vai kaitējums, jo zaudējuma vai kaitējuma atlīdzināšanas kārtības un principu atšķirīga piemērošana salīdzināmās situācijās būtu pretrunā ar Satversmes 91.pantu. </w:t>
      </w:r>
      <w:r>
        <w:rPr>
          <w:rFonts w:eastAsia="Times New Roman"/>
          <w:szCs w:val="24"/>
        </w:rPr>
        <w:lastRenderedPageBreak/>
        <w:t xml:space="preserve">Līdz ar to Kaitējuma atlīdzināšanas likuma 4. un </w:t>
      </w:r>
      <w:proofErr w:type="gramStart"/>
      <w:r>
        <w:rPr>
          <w:rFonts w:eastAsia="Times New Roman"/>
          <w:szCs w:val="24"/>
        </w:rPr>
        <w:t>5.pants</w:t>
      </w:r>
      <w:proofErr w:type="gramEnd"/>
      <w:r>
        <w:rPr>
          <w:rFonts w:eastAsia="Times New Roman"/>
          <w:szCs w:val="24"/>
        </w:rPr>
        <w:t xml:space="preserve"> aptver tikai tipiskākos un būtiskākos, taču ne visus iespējamos kriminālprocesā un administratīvo pārkāpumu lietvedībā nodarītā zaudējuma vai kaitējuma atlīdzinājuma tiesiskos pamatus (gadījumus), un atlīdzinājums var tikt piešķirts arī minētajās tiesību normās tieši nenorādītās situācijās” (</w:t>
      </w:r>
      <w:r>
        <w:rPr>
          <w:rFonts w:eastAsia="Times New Roman"/>
          <w:i/>
          <w:iCs/>
          <w:szCs w:val="24"/>
        </w:rPr>
        <w:t xml:space="preserve">sk. </w:t>
      </w:r>
      <w:bookmarkStart w:id="5" w:name="_Hlk48809859"/>
      <w:r>
        <w:rPr>
          <w:rFonts w:eastAsia="Times New Roman"/>
          <w:i/>
          <w:iCs/>
          <w:szCs w:val="24"/>
        </w:rPr>
        <w:t>Senāta 2018.gada 14.novembra lēmuma lietā Nr. SKA-1081/2018 (</w:t>
      </w:r>
      <w:hyperlink r:id="rId13" w:history="1">
        <w:r>
          <w:rPr>
            <w:rFonts w:eastAsia="Times New Roman"/>
            <w:i/>
            <w:iCs/>
            <w:szCs w:val="24"/>
            <w:u w:val="single"/>
          </w:rPr>
          <w:t>ECLI:LV:AT:2018:1114.SKA108118.4.L)</w:t>
        </w:r>
      </w:hyperlink>
      <w:r>
        <w:rPr>
          <w:rFonts w:eastAsia="Times New Roman"/>
          <w:i/>
          <w:iCs/>
          <w:szCs w:val="24"/>
        </w:rPr>
        <w:t xml:space="preserve"> </w:t>
      </w:r>
      <w:bookmarkEnd w:id="5"/>
      <w:r>
        <w:rPr>
          <w:rFonts w:eastAsia="Times New Roman"/>
          <w:i/>
          <w:iCs/>
          <w:szCs w:val="24"/>
        </w:rPr>
        <w:t>12.-13.punktu</w:t>
      </w:r>
      <w:r>
        <w:rPr>
          <w:rFonts w:eastAsia="Times New Roman"/>
          <w:szCs w:val="24"/>
        </w:rPr>
        <w:t>).</w:t>
      </w:r>
    </w:p>
    <w:p w14:paraId="3A5A4DDF" w14:textId="77777777" w:rsidR="009E2336" w:rsidRDefault="009E2336" w:rsidP="009E2336">
      <w:pPr>
        <w:shd w:val="clear" w:color="auto" w:fill="FFFFFF"/>
        <w:spacing w:after="0" w:line="276" w:lineRule="auto"/>
        <w:ind w:firstLine="567"/>
        <w:jc w:val="both"/>
      </w:pPr>
      <w:r>
        <w:rPr>
          <w:szCs w:val="24"/>
        </w:rPr>
        <w:t>[2.2.4] Ja p</w:t>
      </w:r>
      <w:r>
        <w:rPr>
          <w:rFonts w:eastAsia="Times New Roman"/>
          <w:szCs w:val="24"/>
        </w:rPr>
        <w:t xml:space="preserve">ārsūdzētajā lēmumā tiesa piemērojusi likumdevēja izveidotu regulējumu, kurā </w:t>
      </w:r>
      <w:r>
        <w:rPr>
          <w:szCs w:val="24"/>
        </w:rPr>
        <w:t>konkretiz</w:t>
      </w:r>
      <w:r>
        <w:rPr>
          <w:rFonts w:eastAsia="Times New Roman"/>
          <w:szCs w:val="24"/>
        </w:rPr>
        <w:t xml:space="preserve">ētas Satversmes </w:t>
      </w:r>
      <w:proofErr w:type="gramStart"/>
      <w:r>
        <w:rPr>
          <w:rFonts w:eastAsia="Times New Roman"/>
          <w:szCs w:val="24"/>
        </w:rPr>
        <w:t>92.panta</w:t>
      </w:r>
      <w:proofErr w:type="gramEnd"/>
      <w:r>
        <w:rPr>
          <w:rFonts w:eastAsia="Times New Roman"/>
          <w:szCs w:val="24"/>
        </w:rPr>
        <w:t xml:space="preserve"> trešajā teikumā ietvertās tiesības uz atbilstīgu atlīdzinājumu par kriminālprocesā vai administratīvo pārkāpumu lietvedībā nodarītu kaitējumu un noteikta šo tiesību īstenošanas procedūra, tad jāatzīst, ka atteikumu pieņemt prasības pieteikumu, kas nav pakļauts </w:t>
      </w:r>
      <w:r>
        <w:rPr>
          <w:rFonts w:eastAsia="Times New Roman"/>
          <w:spacing w:val="-1"/>
          <w:szCs w:val="24"/>
        </w:rPr>
        <w:t xml:space="preserve">vispārējās jurisdikcijas tiesai, blakus sūdzības iesniedzējs pilnīgi nepamatoti traktējis kā Satversmes </w:t>
      </w:r>
      <w:r>
        <w:rPr>
          <w:rFonts w:eastAsia="Times New Roman"/>
          <w:szCs w:val="24"/>
        </w:rPr>
        <w:t>92.pantā garantēto privātpersonas tiesību pārkāpumu.</w:t>
      </w:r>
    </w:p>
    <w:p w14:paraId="06BEB6B5" w14:textId="77777777" w:rsidR="009E2336" w:rsidRDefault="009E2336" w:rsidP="009E2336">
      <w:pPr>
        <w:shd w:val="clear" w:color="auto" w:fill="FFFFFF"/>
        <w:spacing w:after="0" w:line="276" w:lineRule="auto"/>
        <w:ind w:firstLine="566"/>
        <w:jc w:val="both"/>
        <w:rPr>
          <w:szCs w:val="24"/>
        </w:rPr>
      </w:pPr>
    </w:p>
    <w:p w14:paraId="356A3C34" w14:textId="0607178E" w:rsidR="009E2336" w:rsidRDefault="009E2336" w:rsidP="009E2336">
      <w:pPr>
        <w:shd w:val="clear" w:color="auto" w:fill="FFFFFF"/>
        <w:spacing w:after="0" w:line="276" w:lineRule="auto"/>
        <w:ind w:firstLine="566"/>
        <w:jc w:val="both"/>
        <w:rPr>
          <w:rFonts w:eastAsia="Times New Roman"/>
          <w:szCs w:val="24"/>
        </w:rPr>
      </w:pPr>
      <w:r>
        <w:rPr>
          <w:szCs w:val="24"/>
        </w:rPr>
        <w:t>[3] Rezum</w:t>
      </w:r>
      <w:r>
        <w:rPr>
          <w:rFonts w:eastAsia="Times New Roman"/>
          <w:szCs w:val="24"/>
        </w:rPr>
        <w:t xml:space="preserve">ējot teikto, secināms: tas apstāklis, ka </w:t>
      </w:r>
      <w:r w:rsidR="008E5FDE">
        <w:rPr>
          <w:rFonts w:eastAsia="Times New Roman" w:cs="Times New Roman"/>
          <w:szCs w:val="24"/>
          <w:lang w:eastAsia="lv-LV"/>
        </w:rPr>
        <w:t>[pers. A]</w:t>
      </w:r>
      <w:r>
        <w:rPr>
          <w:rFonts w:eastAsia="Times New Roman"/>
          <w:szCs w:val="24"/>
        </w:rPr>
        <w:t xml:space="preserve"> nav pilnvērtīgi izmantojis Kaitējuma atlīdzināšanas likumā noteikto speciālo regulējumu savu tiesību un interešu aizsardzībai administratīvā procesa ietvaros, nepārvērš konkrēto starp privātpersonu, no vienas puses</w:t>
      </w:r>
      <w:proofErr w:type="gramStart"/>
      <w:r>
        <w:rPr>
          <w:rFonts w:eastAsia="Times New Roman"/>
          <w:szCs w:val="24"/>
        </w:rPr>
        <w:t>, un publisko tiesību subjektu</w:t>
      </w:r>
      <w:proofErr w:type="gramEnd"/>
      <w:r>
        <w:rPr>
          <w:rFonts w:eastAsia="Times New Roman"/>
          <w:szCs w:val="24"/>
        </w:rPr>
        <w:t>, no otras puses, radušos tiesisko attiecību par civiltiesiska rakstura strīdu, kas pēc 2018.gada 1.marta būtu jāpieņem un jāizskata civilprocesuālā kārtībā.</w:t>
      </w:r>
    </w:p>
    <w:p w14:paraId="4405B597" w14:textId="77777777" w:rsidR="009E2336" w:rsidRDefault="009E2336" w:rsidP="009E2336">
      <w:pPr>
        <w:shd w:val="clear" w:color="auto" w:fill="FFFFFF"/>
        <w:spacing w:after="0" w:line="276" w:lineRule="auto"/>
        <w:ind w:firstLine="566"/>
        <w:jc w:val="both"/>
      </w:pPr>
    </w:p>
    <w:p w14:paraId="479468B6" w14:textId="77777777" w:rsidR="009E2336" w:rsidRDefault="009E2336" w:rsidP="009E2336">
      <w:pPr>
        <w:shd w:val="clear" w:color="auto" w:fill="FFFFFF"/>
        <w:spacing w:after="0" w:line="276" w:lineRule="auto"/>
        <w:ind w:left="566"/>
      </w:pPr>
      <w:r>
        <w:rPr>
          <w:szCs w:val="24"/>
        </w:rPr>
        <w:t>T</w:t>
      </w:r>
      <w:r>
        <w:rPr>
          <w:rFonts w:eastAsia="Times New Roman"/>
          <w:szCs w:val="24"/>
        </w:rPr>
        <w:t xml:space="preserve">ādējādi, pamatojoties uz Civilprocesa likuma </w:t>
      </w:r>
      <w:proofErr w:type="gramStart"/>
      <w:r>
        <w:rPr>
          <w:rFonts w:eastAsia="Times New Roman"/>
          <w:szCs w:val="24"/>
        </w:rPr>
        <w:t>464.panta</w:t>
      </w:r>
      <w:proofErr w:type="gramEnd"/>
      <w:r>
        <w:rPr>
          <w:rFonts w:eastAsia="Times New Roman"/>
          <w:szCs w:val="24"/>
        </w:rPr>
        <w:t xml:space="preserve"> septīto daļu, senatoru kolēģija</w:t>
      </w:r>
    </w:p>
    <w:p w14:paraId="2381F572" w14:textId="77777777" w:rsidR="009E2336" w:rsidRDefault="009E2336" w:rsidP="009E2336">
      <w:pPr>
        <w:shd w:val="clear" w:color="auto" w:fill="FFFFFF"/>
        <w:spacing w:before="120" w:after="120" w:line="276" w:lineRule="auto"/>
        <w:ind w:left="11"/>
        <w:jc w:val="center"/>
      </w:pPr>
      <w:r>
        <w:rPr>
          <w:b/>
          <w:bCs/>
          <w:szCs w:val="24"/>
        </w:rPr>
        <w:t>nol</w:t>
      </w:r>
      <w:r>
        <w:rPr>
          <w:rFonts w:eastAsia="Times New Roman"/>
          <w:b/>
          <w:bCs/>
          <w:szCs w:val="24"/>
        </w:rPr>
        <w:t>ēma</w:t>
      </w:r>
    </w:p>
    <w:p w14:paraId="08A89FAF" w14:textId="7A4E94EC" w:rsidR="009E2336" w:rsidRDefault="009E2336" w:rsidP="009E2336">
      <w:pPr>
        <w:spacing w:after="0" w:line="276" w:lineRule="auto"/>
        <w:ind w:firstLine="567"/>
        <w:jc w:val="both"/>
        <w:rPr>
          <w:rFonts w:eastAsia="Times New Roman"/>
          <w:szCs w:val="24"/>
        </w:rPr>
      </w:pPr>
      <w:r>
        <w:rPr>
          <w:szCs w:val="24"/>
        </w:rPr>
        <w:t>atteikt pie</w:t>
      </w:r>
      <w:r>
        <w:rPr>
          <w:rFonts w:eastAsia="Times New Roman"/>
          <w:szCs w:val="24"/>
        </w:rPr>
        <w:t xml:space="preserve">ņemt </w:t>
      </w:r>
      <w:r w:rsidR="008E5FDE">
        <w:rPr>
          <w:rFonts w:eastAsia="Times New Roman" w:cs="Times New Roman"/>
          <w:szCs w:val="24"/>
          <w:lang w:eastAsia="lv-LV"/>
        </w:rPr>
        <w:t>[pers. A]</w:t>
      </w:r>
      <w:r>
        <w:rPr>
          <w:rFonts w:eastAsia="Times New Roman"/>
          <w:szCs w:val="24"/>
        </w:rPr>
        <w:t xml:space="preserve"> pārstāvja </w:t>
      </w:r>
      <w:bookmarkStart w:id="6" w:name="_Hlk48808805"/>
      <w:r w:rsidR="008E5FDE">
        <w:rPr>
          <w:rFonts w:eastAsia="Times New Roman" w:cs="Times New Roman"/>
          <w:szCs w:val="24"/>
          <w:lang w:eastAsia="lv-LV"/>
        </w:rPr>
        <w:t>[pers. B]</w:t>
      </w:r>
      <w:bookmarkEnd w:id="6"/>
      <w:r>
        <w:rPr>
          <w:rFonts w:eastAsia="Times New Roman"/>
          <w:szCs w:val="24"/>
        </w:rPr>
        <w:t xml:space="preserve"> blakus sūdzību par Rīgas apgabaltiesas Civillietu tiesas kolēģijas </w:t>
      </w:r>
      <w:proofErr w:type="gramStart"/>
      <w:r>
        <w:rPr>
          <w:rFonts w:eastAsia="Times New Roman"/>
          <w:szCs w:val="24"/>
        </w:rPr>
        <w:t>2020.gada</w:t>
      </w:r>
      <w:proofErr w:type="gramEnd"/>
      <w:r>
        <w:rPr>
          <w:rFonts w:eastAsia="Times New Roman"/>
          <w:szCs w:val="24"/>
        </w:rPr>
        <w:t xml:space="preserve"> 7.aprīļa lēmumu. </w:t>
      </w:r>
    </w:p>
    <w:p w14:paraId="72A89BB7" w14:textId="441F87C6" w:rsidR="002038FA" w:rsidRPr="00B80113" w:rsidRDefault="009E2336" w:rsidP="009E2336">
      <w:pPr>
        <w:spacing w:after="0" w:line="276" w:lineRule="auto"/>
        <w:ind w:firstLine="567"/>
        <w:jc w:val="both"/>
      </w:pPr>
      <w:r>
        <w:rPr>
          <w:rFonts w:eastAsia="Times New Roman"/>
          <w:szCs w:val="24"/>
        </w:rPr>
        <w:t>Lēmums nav pārsūdzams</w:t>
      </w:r>
    </w:p>
    <w:sectPr w:rsidR="002038FA" w:rsidRPr="00B80113" w:rsidSect="00537B68">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FF967" w14:textId="77777777" w:rsidR="00E37933" w:rsidRDefault="00E37933" w:rsidP="00B96EC6">
      <w:pPr>
        <w:spacing w:after="0" w:line="240" w:lineRule="auto"/>
      </w:pPr>
      <w:r>
        <w:separator/>
      </w:r>
    </w:p>
  </w:endnote>
  <w:endnote w:type="continuationSeparator" w:id="0">
    <w:p w14:paraId="17082EC6" w14:textId="77777777" w:rsidR="00E37933" w:rsidRDefault="00E37933" w:rsidP="00B9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105A2" w14:textId="77777777" w:rsidR="00700875" w:rsidRDefault="00700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DA37" w14:textId="2D8EDE39" w:rsidR="00700875" w:rsidRPr="00700875" w:rsidRDefault="00700875">
    <w:pPr>
      <w:pStyle w:val="Footer"/>
      <w:jc w:val="center"/>
      <w:rPr>
        <w:sz w:val="22"/>
        <w:szCs w:val="20"/>
      </w:rPr>
    </w:pPr>
    <w:r w:rsidRPr="00700875">
      <w:rPr>
        <w:sz w:val="22"/>
        <w:szCs w:val="20"/>
      </w:rPr>
      <w:fldChar w:fldCharType="begin"/>
    </w:r>
    <w:r w:rsidRPr="00700875">
      <w:rPr>
        <w:sz w:val="22"/>
        <w:szCs w:val="20"/>
      </w:rPr>
      <w:instrText xml:space="preserve"> PAGE  \* Arabic  \* MERGEFORMAT </w:instrText>
    </w:r>
    <w:r w:rsidRPr="00700875">
      <w:rPr>
        <w:sz w:val="22"/>
        <w:szCs w:val="20"/>
      </w:rPr>
      <w:fldChar w:fldCharType="separate"/>
    </w:r>
    <w:r w:rsidRPr="00700875">
      <w:rPr>
        <w:noProof/>
        <w:sz w:val="22"/>
        <w:szCs w:val="20"/>
      </w:rPr>
      <w:t>2</w:t>
    </w:r>
    <w:r w:rsidRPr="00700875">
      <w:rPr>
        <w:sz w:val="22"/>
        <w:szCs w:val="20"/>
      </w:rPr>
      <w:fldChar w:fldCharType="end"/>
    </w:r>
    <w:r w:rsidRPr="00700875">
      <w:rPr>
        <w:sz w:val="22"/>
        <w:szCs w:val="20"/>
      </w:rPr>
      <w:t xml:space="preserve"> no </w:t>
    </w:r>
    <w:r w:rsidRPr="00700875">
      <w:rPr>
        <w:sz w:val="22"/>
        <w:szCs w:val="20"/>
      </w:rPr>
      <w:fldChar w:fldCharType="begin"/>
    </w:r>
    <w:r w:rsidRPr="00700875">
      <w:rPr>
        <w:sz w:val="22"/>
        <w:szCs w:val="20"/>
      </w:rPr>
      <w:instrText xml:space="preserve"> NUMPAGES  \* Arabic  \* MERGEFORMAT </w:instrText>
    </w:r>
    <w:r w:rsidRPr="00700875">
      <w:rPr>
        <w:sz w:val="22"/>
        <w:szCs w:val="20"/>
      </w:rPr>
      <w:fldChar w:fldCharType="separate"/>
    </w:r>
    <w:r w:rsidRPr="00700875">
      <w:rPr>
        <w:noProof/>
        <w:sz w:val="22"/>
        <w:szCs w:val="20"/>
      </w:rPr>
      <w:t>2</w:t>
    </w:r>
    <w:r w:rsidRPr="00700875">
      <w:rPr>
        <w:sz w:val="22"/>
        <w:szCs w:val="20"/>
      </w:rPr>
      <w:fldChar w:fldCharType="end"/>
    </w:r>
  </w:p>
  <w:p w14:paraId="039D8591" w14:textId="77777777" w:rsidR="00700875" w:rsidRDefault="00700875" w:rsidP="0070087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75ED" w14:textId="77777777" w:rsidR="00700875" w:rsidRDefault="0070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E21E1" w14:textId="77777777" w:rsidR="00E37933" w:rsidRDefault="00E37933" w:rsidP="00B96EC6">
      <w:pPr>
        <w:spacing w:after="0" w:line="240" w:lineRule="auto"/>
      </w:pPr>
      <w:r>
        <w:separator/>
      </w:r>
    </w:p>
  </w:footnote>
  <w:footnote w:type="continuationSeparator" w:id="0">
    <w:p w14:paraId="70A025A9" w14:textId="77777777" w:rsidR="00E37933" w:rsidRDefault="00E37933" w:rsidP="00B9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BB39E" w14:textId="77777777" w:rsidR="00700875" w:rsidRDefault="00700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351E5" w14:textId="77777777" w:rsidR="00700875" w:rsidRDefault="00700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308B3" w14:textId="77777777" w:rsidR="00700875" w:rsidRDefault="007008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0503D"/>
    <w:rsid w:val="00042B71"/>
    <w:rsid w:val="000676D7"/>
    <w:rsid w:val="00075B4E"/>
    <w:rsid w:val="00085345"/>
    <w:rsid w:val="0008553A"/>
    <w:rsid w:val="00090327"/>
    <w:rsid w:val="00094FDD"/>
    <w:rsid w:val="00111B6C"/>
    <w:rsid w:val="0011676C"/>
    <w:rsid w:val="00160824"/>
    <w:rsid w:val="002038FA"/>
    <w:rsid w:val="00244396"/>
    <w:rsid w:val="002D5254"/>
    <w:rsid w:val="002E3CBE"/>
    <w:rsid w:val="002E6DF5"/>
    <w:rsid w:val="003176A9"/>
    <w:rsid w:val="00356AF5"/>
    <w:rsid w:val="00380E33"/>
    <w:rsid w:val="003E7C7F"/>
    <w:rsid w:val="003F263F"/>
    <w:rsid w:val="003F5975"/>
    <w:rsid w:val="0042017B"/>
    <w:rsid w:val="00481990"/>
    <w:rsid w:val="00481E1C"/>
    <w:rsid w:val="00514D4E"/>
    <w:rsid w:val="005271AF"/>
    <w:rsid w:val="00537B68"/>
    <w:rsid w:val="005E0994"/>
    <w:rsid w:val="005F36DA"/>
    <w:rsid w:val="00694F57"/>
    <w:rsid w:val="006D273C"/>
    <w:rsid w:val="006D4014"/>
    <w:rsid w:val="006E17CB"/>
    <w:rsid w:val="00700875"/>
    <w:rsid w:val="00746113"/>
    <w:rsid w:val="007B4A3E"/>
    <w:rsid w:val="007D5B8A"/>
    <w:rsid w:val="007D7611"/>
    <w:rsid w:val="00842B4C"/>
    <w:rsid w:val="008606DB"/>
    <w:rsid w:val="008631A4"/>
    <w:rsid w:val="008A60A6"/>
    <w:rsid w:val="008E5FDE"/>
    <w:rsid w:val="008F7056"/>
    <w:rsid w:val="009128AC"/>
    <w:rsid w:val="00914793"/>
    <w:rsid w:val="0093395D"/>
    <w:rsid w:val="00942BF7"/>
    <w:rsid w:val="009E2336"/>
    <w:rsid w:val="00A223F6"/>
    <w:rsid w:val="00A611A8"/>
    <w:rsid w:val="00A90859"/>
    <w:rsid w:val="00B27894"/>
    <w:rsid w:val="00B6790F"/>
    <w:rsid w:val="00B77690"/>
    <w:rsid w:val="00B80113"/>
    <w:rsid w:val="00B93DB8"/>
    <w:rsid w:val="00B96EC6"/>
    <w:rsid w:val="00BA74FE"/>
    <w:rsid w:val="00BC076B"/>
    <w:rsid w:val="00BD326F"/>
    <w:rsid w:val="00C32013"/>
    <w:rsid w:val="00C41A94"/>
    <w:rsid w:val="00C47929"/>
    <w:rsid w:val="00C503AC"/>
    <w:rsid w:val="00C61415"/>
    <w:rsid w:val="00C61765"/>
    <w:rsid w:val="00C869B3"/>
    <w:rsid w:val="00CF4E8D"/>
    <w:rsid w:val="00D12F68"/>
    <w:rsid w:val="00D365F4"/>
    <w:rsid w:val="00D573EA"/>
    <w:rsid w:val="00D65B8A"/>
    <w:rsid w:val="00DB2380"/>
    <w:rsid w:val="00DB2EDB"/>
    <w:rsid w:val="00DE1DE6"/>
    <w:rsid w:val="00E025A2"/>
    <w:rsid w:val="00E10EA4"/>
    <w:rsid w:val="00E37933"/>
    <w:rsid w:val="00E632CE"/>
    <w:rsid w:val="00EA443F"/>
    <w:rsid w:val="00EA4594"/>
    <w:rsid w:val="00EB2DEB"/>
    <w:rsid w:val="00EB68EC"/>
    <w:rsid w:val="00EC1BF0"/>
    <w:rsid w:val="00EC4B79"/>
    <w:rsid w:val="00EC71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table" w:styleId="TableGrid">
    <w:name w:val="Table Grid"/>
    <w:basedOn w:val="TableNormal"/>
    <w:uiPriority w:val="59"/>
    <w:rsid w:val="0020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8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0875"/>
  </w:style>
  <w:style w:type="paragraph" w:styleId="Footer">
    <w:name w:val="footer"/>
    <w:basedOn w:val="Normal"/>
    <w:link w:val="FooterChar"/>
    <w:uiPriority w:val="99"/>
    <w:unhideWhenUsed/>
    <w:rsid w:val="007008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0875"/>
  </w:style>
  <w:style w:type="character" w:customStyle="1" w:styleId="extrasymbol">
    <w:name w:val="extrasymbol"/>
    <w:basedOn w:val="DefaultParagraphFont"/>
    <w:rsid w:val="00C6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980-latvijas-republikas-satversme" TargetMode="External"/><Relationship Id="rId13" Type="http://schemas.openxmlformats.org/officeDocument/2006/relationships/hyperlink" Target="https://manas.tiesas.lv/eTiesasMvc/eclinolemumi/ECLI:LV:AT:2018:1114.SKA108118.4.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hyperlink" Target="https://likumi.lv/ta/id/57980-latvijas-republikas-satversme%23p9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57980-latvijas-republikas-satversm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ikumi.lv/ta/id/57980-latvijas-republikas-satversm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likumi.lv/ta/id/57980-latvijas-republikas-satversme%23p9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4CEEC-A13A-4A69-8D14-FFE5CEA1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8043</Words>
  <Characters>4586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6</cp:revision>
  <dcterms:created xsi:type="dcterms:W3CDTF">2020-08-20T06:33:00Z</dcterms:created>
  <dcterms:modified xsi:type="dcterms:W3CDTF">2020-10-12T07:38:00Z</dcterms:modified>
</cp:coreProperties>
</file>