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E4820" w14:textId="62D4CFB8" w:rsidR="004D4AAF" w:rsidRDefault="00C34596" w:rsidP="00C34596">
      <w:pPr>
        <w:spacing w:after="0" w:line="276" w:lineRule="auto"/>
        <w:jc w:val="both"/>
        <w:rPr>
          <w:b/>
          <w:bCs/>
        </w:rPr>
      </w:pPr>
      <w:r w:rsidRPr="00CE4066">
        <w:rPr>
          <w:b/>
          <w:bCs/>
        </w:rPr>
        <w:t>Slepkavība ar tiešu nodomu</w:t>
      </w:r>
    </w:p>
    <w:p w14:paraId="1931A8D4" w14:textId="21267E78" w:rsidR="00C34596" w:rsidRDefault="00C34596" w:rsidP="00C34596">
      <w:pPr>
        <w:spacing w:after="0" w:line="276" w:lineRule="auto"/>
        <w:jc w:val="both"/>
        <w:rPr>
          <w:b/>
          <w:bCs/>
        </w:rPr>
      </w:pPr>
    </w:p>
    <w:p w14:paraId="5CCE96F0" w14:textId="7964AD04" w:rsidR="00C34596" w:rsidRDefault="00C34596" w:rsidP="00C34596">
      <w:pPr>
        <w:spacing w:after="0" w:line="276" w:lineRule="auto"/>
        <w:jc w:val="both"/>
      </w:pPr>
      <w:r>
        <w:t xml:space="preserve">Lai personas darbības kvalificētu pēc Krimināllikuma </w:t>
      </w:r>
      <w:proofErr w:type="gramStart"/>
      <w:r>
        <w:t>116.panta</w:t>
      </w:r>
      <w:proofErr w:type="gramEnd"/>
      <w:r>
        <w:t xml:space="preserve"> kā izdarītas ar tiešu nodomu,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un citus apstākļus, kas var liecināt par vainīgā nodomu.  Uz vainīgā nodomu attiecībā pret nāvi var norādīt dzīvībai izteikti bīstama veida rīku un līdzekļu, piemēram, aukstā ieroča, kas tūlīt spēj sagādāt nāvi, izmantošana.</w:t>
      </w:r>
    </w:p>
    <w:p w14:paraId="264E7E7F" w14:textId="2C579459" w:rsidR="00C34596" w:rsidRDefault="00C34596" w:rsidP="00C34596">
      <w:pPr>
        <w:spacing w:after="0" w:line="276" w:lineRule="auto"/>
        <w:jc w:val="both"/>
      </w:pPr>
    </w:p>
    <w:p w14:paraId="36E2D560" w14:textId="3C1D9D20" w:rsidR="00C34596" w:rsidRPr="00156A2A" w:rsidRDefault="00C34596" w:rsidP="00C34596">
      <w:pPr>
        <w:spacing w:after="0" w:line="276" w:lineRule="auto"/>
        <w:jc w:val="both"/>
        <w:rPr>
          <w:sz w:val="26"/>
          <w:szCs w:val="26"/>
        </w:rPr>
      </w:pPr>
      <w:r w:rsidRPr="00CE4066">
        <w:rPr>
          <w:b/>
          <w:bCs/>
        </w:rPr>
        <w:t xml:space="preserve">Advokāta pieteikuma par spēkā stājušos tiesas nolēmuma izskatīšanu no </w:t>
      </w:r>
      <w:proofErr w:type="gramStart"/>
      <w:r w:rsidRPr="00CE4066">
        <w:rPr>
          <w:b/>
          <w:bCs/>
        </w:rPr>
        <w:t>jauna saturs</w:t>
      </w:r>
      <w:proofErr w:type="gramEnd"/>
    </w:p>
    <w:p w14:paraId="616537DE" w14:textId="2D328AF4" w:rsidR="004D4AAF" w:rsidRDefault="004D4AAF" w:rsidP="00C34596">
      <w:pPr>
        <w:pStyle w:val="BodyText2"/>
        <w:spacing w:line="276" w:lineRule="auto"/>
        <w:contextualSpacing/>
        <w:jc w:val="left"/>
        <w:rPr>
          <w:rFonts w:ascii="Times New Roman" w:hAnsi="Times New Roman"/>
          <w:color w:val="000000" w:themeColor="text1"/>
          <w:sz w:val="24"/>
          <w:szCs w:val="24"/>
        </w:rPr>
      </w:pPr>
    </w:p>
    <w:p w14:paraId="070979D4" w14:textId="77777777" w:rsidR="00C34596" w:rsidRPr="0061527C" w:rsidRDefault="00C34596" w:rsidP="00C34596">
      <w:pPr>
        <w:pStyle w:val="BodyText2"/>
        <w:spacing w:line="276" w:lineRule="auto"/>
        <w:contextualSpacing/>
        <w:jc w:val="left"/>
        <w:rPr>
          <w:rFonts w:ascii="Times New Roman" w:hAnsi="Times New Roman"/>
          <w:color w:val="000000" w:themeColor="text1"/>
          <w:sz w:val="24"/>
          <w:szCs w:val="24"/>
        </w:rPr>
      </w:pPr>
    </w:p>
    <w:p w14:paraId="47B599B9" w14:textId="77777777" w:rsidR="00C34596" w:rsidRPr="00C34596" w:rsidRDefault="004D4AAF" w:rsidP="004D4AAF">
      <w:pPr>
        <w:spacing w:line="276" w:lineRule="auto"/>
        <w:contextualSpacing/>
        <w:jc w:val="center"/>
        <w:rPr>
          <w:rFonts w:cs="Times New Roman"/>
          <w:b/>
          <w:color w:val="000000" w:themeColor="text1"/>
          <w:szCs w:val="24"/>
        </w:rPr>
      </w:pPr>
      <w:r w:rsidRPr="00C34596">
        <w:rPr>
          <w:rFonts w:cs="Times New Roman"/>
          <w:b/>
          <w:color w:val="000000" w:themeColor="text1"/>
          <w:szCs w:val="24"/>
        </w:rPr>
        <w:t>Latvijas Republikas Senāt</w:t>
      </w:r>
      <w:r w:rsidR="00C34596" w:rsidRPr="00C34596">
        <w:rPr>
          <w:rFonts w:cs="Times New Roman"/>
          <w:b/>
          <w:color w:val="000000" w:themeColor="text1"/>
          <w:szCs w:val="24"/>
        </w:rPr>
        <w:t>a</w:t>
      </w:r>
      <w:r w:rsidRPr="00C34596">
        <w:rPr>
          <w:rFonts w:cs="Times New Roman"/>
          <w:b/>
          <w:color w:val="000000" w:themeColor="text1"/>
          <w:szCs w:val="24"/>
        </w:rPr>
        <w:t xml:space="preserve"> </w:t>
      </w:r>
    </w:p>
    <w:p w14:paraId="7F76A562" w14:textId="77777777" w:rsidR="00C34596" w:rsidRPr="00C34596" w:rsidRDefault="00C34596" w:rsidP="00C34596">
      <w:pPr>
        <w:spacing w:line="276" w:lineRule="auto"/>
        <w:contextualSpacing/>
        <w:jc w:val="center"/>
        <w:rPr>
          <w:rFonts w:cs="Times New Roman"/>
          <w:b/>
          <w:color w:val="000000" w:themeColor="text1"/>
          <w:szCs w:val="24"/>
        </w:rPr>
      </w:pPr>
      <w:r w:rsidRPr="00C34596">
        <w:rPr>
          <w:rFonts w:cs="Times New Roman"/>
          <w:b/>
          <w:color w:val="000000" w:themeColor="text1"/>
          <w:szCs w:val="24"/>
        </w:rPr>
        <w:t>Krimināllietu departamenta</w:t>
      </w:r>
    </w:p>
    <w:p w14:paraId="031D1F69" w14:textId="05B3A335" w:rsidR="004D4AAF" w:rsidRPr="00C34596" w:rsidRDefault="00C34596" w:rsidP="00C34596">
      <w:pPr>
        <w:spacing w:line="276" w:lineRule="auto"/>
        <w:contextualSpacing/>
        <w:jc w:val="center"/>
        <w:rPr>
          <w:rFonts w:cs="Times New Roman"/>
          <w:b/>
          <w:color w:val="000000" w:themeColor="text1"/>
          <w:szCs w:val="24"/>
        </w:rPr>
      </w:pPr>
      <w:proofErr w:type="gramStart"/>
      <w:r w:rsidRPr="00C34596">
        <w:rPr>
          <w:rFonts w:cs="Times New Roman"/>
          <w:b/>
          <w:color w:val="000000" w:themeColor="text1"/>
          <w:szCs w:val="24"/>
        </w:rPr>
        <w:t>2020.gada</w:t>
      </w:r>
      <w:proofErr w:type="gramEnd"/>
      <w:r w:rsidRPr="00C34596">
        <w:rPr>
          <w:rFonts w:cs="Times New Roman"/>
          <w:b/>
          <w:color w:val="000000" w:themeColor="text1"/>
          <w:szCs w:val="24"/>
        </w:rPr>
        <w:t xml:space="preserve"> 18.augusta</w:t>
      </w:r>
    </w:p>
    <w:p w14:paraId="2D94BC3D" w14:textId="77777777" w:rsidR="00C34596" w:rsidRPr="00C34596" w:rsidRDefault="004D4AAF" w:rsidP="004D4AAF">
      <w:pPr>
        <w:spacing w:line="276" w:lineRule="auto"/>
        <w:contextualSpacing/>
        <w:jc w:val="center"/>
        <w:rPr>
          <w:rFonts w:cs="Times New Roman"/>
          <w:b/>
          <w:szCs w:val="24"/>
        </w:rPr>
      </w:pPr>
      <w:r w:rsidRPr="00C34596">
        <w:rPr>
          <w:rFonts w:cs="Times New Roman"/>
          <w:b/>
          <w:color w:val="000000" w:themeColor="text1"/>
          <w:szCs w:val="24"/>
        </w:rPr>
        <w:t>LĒMUMS</w:t>
      </w:r>
      <w:r w:rsidR="00C34596" w:rsidRPr="00C34596">
        <w:rPr>
          <w:rFonts w:cs="Times New Roman"/>
          <w:b/>
          <w:szCs w:val="24"/>
        </w:rPr>
        <w:t xml:space="preserve"> </w:t>
      </w:r>
    </w:p>
    <w:p w14:paraId="0F4AB7DE" w14:textId="3E06346C" w:rsidR="004D4AAF" w:rsidRPr="00C34596" w:rsidRDefault="00C34596" w:rsidP="004D4AAF">
      <w:pPr>
        <w:spacing w:line="276" w:lineRule="auto"/>
        <w:contextualSpacing/>
        <w:jc w:val="center"/>
        <w:rPr>
          <w:rFonts w:cs="Times New Roman"/>
          <w:b/>
          <w:szCs w:val="24"/>
        </w:rPr>
      </w:pPr>
      <w:r w:rsidRPr="00C34596">
        <w:rPr>
          <w:rFonts w:cs="Times New Roman"/>
          <w:b/>
          <w:szCs w:val="24"/>
        </w:rPr>
        <w:t>Lieta Nr. 11181001418, SKK-J-508/2020</w:t>
      </w:r>
    </w:p>
    <w:p w14:paraId="0F15EFED" w14:textId="2EA2CDED" w:rsidR="00C34596" w:rsidRPr="00C34596" w:rsidRDefault="00C34596" w:rsidP="004D4AAF">
      <w:pPr>
        <w:spacing w:line="276" w:lineRule="auto"/>
        <w:contextualSpacing/>
        <w:jc w:val="center"/>
        <w:rPr>
          <w:rFonts w:cs="Times New Roman"/>
          <w:bCs/>
          <w:color w:val="000000" w:themeColor="text1"/>
          <w:szCs w:val="24"/>
        </w:rPr>
      </w:pPr>
      <w:hyperlink r:id="rId8" w:history="1">
        <w:r w:rsidRPr="00C34596">
          <w:rPr>
            <w:rStyle w:val="Hyperlink"/>
            <w:rFonts w:cs="Times New Roman"/>
            <w:bCs/>
            <w:szCs w:val="24"/>
            <w:shd w:val="clear" w:color="auto" w:fill="FFFFFF"/>
          </w:rPr>
          <w:t>ECLI:LV:AT:2020:0818.11181001418.9.L</w:t>
        </w:r>
      </w:hyperlink>
    </w:p>
    <w:p w14:paraId="043C3A11" w14:textId="77777777" w:rsidR="004D4AAF" w:rsidRPr="0061527C" w:rsidRDefault="004D4AAF" w:rsidP="004D4AAF">
      <w:pPr>
        <w:spacing w:line="276" w:lineRule="auto"/>
        <w:contextualSpacing/>
        <w:jc w:val="both"/>
        <w:rPr>
          <w:color w:val="000000" w:themeColor="text1"/>
        </w:rPr>
      </w:pPr>
    </w:p>
    <w:p w14:paraId="158C5733" w14:textId="6AAF4A82" w:rsidR="004D4AAF" w:rsidRPr="0061527C" w:rsidRDefault="004D4AAF" w:rsidP="004D4AAF">
      <w:pPr>
        <w:spacing w:line="276" w:lineRule="auto"/>
        <w:ind w:firstLine="720"/>
        <w:contextualSpacing/>
        <w:jc w:val="both"/>
        <w:rPr>
          <w:color w:val="000000" w:themeColor="text1"/>
        </w:rPr>
      </w:pPr>
      <w:r w:rsidRPr="0061527C">
        <w:rPr>
          <w:color w:val="000000" w:themeColor="text1"/>
        </w:rPr>
        <w:t xml:space="preserve">Tiesa šādā sastāvā: senatori </w:t>
      </w:r>
      <w:r>
        <w:rPr>
          <w:color w:val="000000" w:themeColor="text1"/>
        </w:rPr>
        <w:t xml:space="preserve">Aija Branta, </w:t>
      </w:r>
      <w:r w:rsidR="00D51422">
        <w:rPr>
          <w:color w:val="000000" w:themeColor="text1"/>
        </w:rPr>
        <w:t>Sandra Kaija</w:t>
      </w:r>
      <w:r>
        <w:rPr>
          <w:color w:val="000000" w:themeColor="text1"/>
        </w:rPr>
        <w:t xml:space="preserve">, </w:t>
      </w:r>
      <w:r w:rsidR="00D51422">
        <w:rPr>
          <w:color w:val="000000" w:themeColor="text1"/>
        </w:rPr>
        <w:t>Aivars Uminskis</w:t>
      </w:r>
      <w:r w:rsidR="0036458A">
        <w:rPr>
          <w:color w:val="000000" w:themeColor="text1"/>
        </w:rPr>
        <w:t>,</w:t>
      </w:r>
    </w:p>
    <w:p w14:paraId="43F9FBC5" w14:textId="38863551" w:rsidR="004D4AAF" w:rsidRDefault="004D4AAF" w:rsidP="004D4AAF">
      <w:pPr>
        <w:pStyle w:val="Heading2"/>
        <w:spacing w:before="0" w:after="0" w:line="276" w:lineRule="auto"/>
        <w:ind w:firstLine="720"/>
        <w:contextualSpacing/>
        <w:jc w:val="both"/>
        <w:rPr>
          <w:rFonts w:ascii="Times New Roman" w:hAnsi="Times New Roman" w:cs="Times New Roman"/>
          <w:b w:val="0"/>
          <w:i w:val="0"/>
          <w:color w:val="000000" w:themeColor="text1"/>
          <w:sz w:val="24"/>
          <w:szCs w:val="24"/>
        </w:rPr>
      </w:pPr>
      <w:r w:rsidRPr="00AC7EDE">
        <w:rPr>
          <w:rFonts w:ascii="Times New Roman" w:hAnsi="Times New Roman" w:cs="Times New Roman"/>
          <w:b w:val="0"/>
          <w:i w:val="0"/>
          <w:sz w:val="24"/>
        </w:rPr>
        <w:t xml:space="preserve">izskatīja rakstveida procesā </w:t>
      </w:r>
      <w:r>
        <w:rPr>
          <w:rFonts w:ascii="Times New Roman" w:hAnsi="Times New Roman" w:cs="Times New Roman"/>
          <w:b w:val="0"/>
          <w:i w:val="0"/>
          <w:sz w:val="24"/>
        </w:rPr>
        <w:t xml:space="preserve">notiesātā </w:t>
      </w:r>
      <w:r w:rsidR="00FA30EF">
        <w:rPr>
          <w:rFonts w:ascii="Times New Roman" w:hAnsi="Times New Roman" w:cs="Times New Roman"/>
          <w:b w:val="0"/>
          <w:i w:val="0"/>
          <w:sz w:val="24"/>
        </w:rPr>
        <w:t>[pers. A]</w:t>
      </w:r>
      <w:r>
        <w:rPr>
          <w:rFonts w:ascii="Times New Roman" w:hAnsi="Times New Roman" w:cs="Times New Roman"/>
          <w:b w:val="0"/>
          <w:i w:val="0"/>
          <w:sz w:val="24"/>
        </w:rPr>
        <w:t xml:space="preserve"> uzdevumā advokāta Ulda Lapiņa </w:t>
      </w:r>
      <w:r w:rsidRPr="00AC7EDE">
        <w:rPr>
          <w:rFonts w:ascii="Times New Roman" w:hAnsi="Times New Roman" w:cs="Times New Roman"/>
          <w:b w:val="0"/>
          <w:i w:val="0"/>
          <w:sz w:val="24"/>
        </w:rPr>
        <w:t>iesniegto p</w:t>
      </w:r>
      <w:r>
        <w:rPr>
          <w:rFonts w:ascii="Times New Roman" w:hAnsi="Times New Roman" w:cs="Times New Roman"/>
          <w:b w:val="0"/>
          <w:i w:val="0"/>
          <w:sz w:val="24"/>
        </w:rPr>
        <w:t xml:space="preserve">ieteikumu </w:t>
      </w:r>
      <w:r w:rsidRPr="00AC7EDE">
        <w:rPr>
          <w:rFonts w:ascii="Times New Roman" w:hAnsi="Times New Roman" w:cs="Times New Roman"/>
          <w:b w:val="0"/>
          <w:i w:val="0"/>
          <w:sz w:val="24"/>
        </w:rPr>
        <w:t>Kriminālprocesa</w:t>
      </w:r>
      <w:r>
        <w:rPr>
          <w:rFonts w:ascii="Times New Roman" w:hAnsi="Times New Roman" w:cs="Times New Roman"/>
          <w:b w:val="0"/>
          <w:i w:val="0"/>
          <w:sz w:val="24"/>
        </w:rPr>
        <w:t xml:space="preserve"> likuma 63.nodaļas kārtībā par Latgales</w:t>
      </w:r>
      <w:r w:rsidRPr="001E32C1">
        <w:rPr>
          <w:rFonts w:ascii="Times New Roman" w:hAnsi="Times New Roman" w:cs="Times New Roman"/>
          <w:b w:val="0"/>
          <w:i w:val="0"/>
          <w:sz w:val="24"/>
        </w:rPr>
        <w:t xml:space="preserve"> apgabaltiesas </w:t>
      </w:r>
      <w:proofErr w:type="gramStart"/>
      <w:r w:rsidRPr="001E32C1">
        <w:rPr>
          <w:rFonts w:ascii="Times New Roman" w:hAnsi="Times New Roman" w:cs="Times New Roman"/>
          <w:b w:val="0"/>
          <w:i w:val="0"/>
          <w:sz w:val="24"/>
        </w:rPr>
        <w:t>2019.gada</w:t>
      </w:r>
      <w:proofErr w:type="gramEnd"/>
      <w:r w:rsidRPr="001E32C1">
        <w:rPr>
          <w:rFonts w:ascii="Times New Roman" w:hAnsi="Times New Roman" w:cs="Times New Roman"/>
          <w:b w:val="0"/>
          <w:i w:val="0"/>
          <w:sz w:val="24"/>
        </w:rPr>
        <w:t xml:space="preserve"> </w:t>
      </w:r>
      <w:r>
        <w:rPr>
          <w:rFonts w:ascii="Times New Roman" w:hAnsi="Times New Roman" w:cs="Times New Roman"/>
          <w:b w:val="0"/>
          <w:i w:val="0"/>
          <w:sz w:val="24"/>
        </w:rPr>
        <w:t>14.oktobra lēmumu</w:t>
      </w:r>
      <w:r w:rsidR="00610E34">
        <w:rPr>
          <w:rFonts w:ascii="Times New Roman" w:hAnsi="Times New Roman" w:cs="Times New Roman"/>
          <w:b w:val="0"/>
          <w:i w:val="0"/>
          <w:sz w:val="24"/>
        </w:rPr>
        <w:t>.</w:t>
      </w:r>
      <w:r w:rsidRPr="001E32C1">
        <w:rPr>
          <w:rFonts w:ascii="Times New Roman" w:hAnsi="Times New Roman" w:cs="Times New Roman"/>
          <w:b w:val="0"/>
          <w:i w:val="0"/>
          <w:sz w:val="24"/>
        </w:rPr>
        <w:t xml:space="preserve"> </w:t>
      </w:r>
      <w:r w:rsidRPr="001E32C1">
        <w:rPr>
          <w:rFonts w:ascii="Times New Roman" w:hAnsi="Times New Roman" w:cs="Times New Roman"/>
          <w:b w:val="0"/>
          <w:i w:val="0"/>
          <w:color w:val="000000" w:themeColor="text1"/>
          <w:sz w:val="20"/>
          <w:szCs w:val="24"/>
        </w:rPr>
        <w:tab/>
      </w:r>
      <w:r w:rsidRPr="00AC7EDE">
        <w:rPr>
          <w:rFonts w:ascii="Times New Roman" w:hAnsi="Times New Roman" w:cs="Times New Roman"/>
          <w:b w:val="0"/>
          <w:i w:val="0"/>
          <w:color w:val="000000" w:themeColor="text1"/>
          <w:sz w:val="24"/>
          <w:szCs w:val="24"/>
        </w:rPr>
        <w:tab/>
      </w:r>
      <w:r w:rsidRPr="00AC7EDE">
        <w:rPr>
          <w:rFonts w:ascii="Times New Roman" w:hAnsi="Times New Roman" w:cs="Times New Roman"/>
          <w:b w:val="0"/>
          <w:i w:val="0"/>
          <w:color w:val="000000" w:themeColor="text1"/>
          <w:sz w:val="24"/>
          <w:szCs w:val="24"/>
        </w:rPr>
        <w:tab/>
      </w:r>
    </w:p>
    <w:p w14:paraId="683C8FE7" w14:textId="77777777" w:rsidR="004D4AAF" w:rsidRPr="002D15B5" w:rsidRDefault="004D4AAF" w:rsidP="004D4AAF">
      <w:pPr>
        <w:pStyle w:val="Heading2"/>
        <w:spacing w:before="0" w:after="0" w:line="276" w:lineRule="auto"/>
        <w:ind w:firstLine="720"/>
        <w:contextualSpacing/>
        <w:jc w:val="both"/>
        <w:rPr>
          <w:rFonts w:ascii="Times New Roman" w:hAnsi="Times New Roman" w:cs="Times New Roman"/>
          <w:b w:val="0"/>
          <w:i w:val="0"/>
          <w:color w:val="000000" w:themeColor="text1"/>
          <w:sz w:val="24"/>
          <w:szCs w:val="24"/>
        </w:rPr>
      </w:pPr>
      <w:r w:rsidRPr="00AC7EDE">
        <w:rPr>
          <w:rFonts w:ascii="Times New Roman" w:hAnsi="Times New Roman" w:cs="Times New Roman"/>
          <w:b w:val="0"/>
          <w:i w:val="0"/>
          <w:color w:val="000000" w:themeColor="text1"/>
          <w:sz w:val="24"/>
          <w:szCs w:val="24"/>
        </w:rPr>
        <w:tab/>
        <w:t xml:space="preserve">  </w:t>
      </w:r>
    </w:p>
    <w:p w14:paraId="76697ADD" w14:textId="77777777" w:rsidR="004D4AAF" w:rsidRPr="0061527C" w:rsidRDefault="004D4AAF" w:rsidP="004D4AAF">
      <w:pPr>
        <w:pStyle w:val="Heading2"/>
        <w:spacing w:before="0" w:after="0" w:line="276" w:lineRule="auto"/>
        <w:ind w:left="-360" w:firstLine="720"/>
        <w:contextualSpacing/>
        <w:jc w:val="center"/>
        <w:rPr>
          <w:rFonts w:ascii="Times New Roman" w:hAnsi="Times New Roman" w:cs="Times New Roman"/>
          <w:i w:val="0"/>
          <w:color w:val="000000" w:themeColor="text1"/>
          <w:sz w:val="24"/>
          <w:szCs w:val="24"/>
        </w:rPr>
      </w:pPr>
      <w:r w:rsidRPr="0061527C">
        <w:rPr>
          <w:rFonts w:ascii="Times New Roman" w:hAnsi="Times New Roman" w:cs="Times New Roman"/>
          <w:i w:val="0"/>
          <w:color w:val="000000" w:themeColor="text1"/>
          <w:sz w:val="24"/>
          <w:szCs w:val="24"/>
        </w:rPr>
        <w:t>Aprakstošā daļa</w:t>
      </w:r>
    </w:p>
    <w:p w14:paraId="479B6A58" w14:textId="77777777" w:rsidR="004D4AAF" w:rsidRPr="00FA5349" w:rsidRDefault="004D4AAF" w:rsidP="004D4AAF">
      <w:pPr>
        <w:spacing w:line="276" w:lineRule="auto"/>
        <w:ind w:firstLine="720"/>
        <w:contextualSpacing/>
      </w:pPr>
    </w:p>
    <w:p w14:paraId="304B87C3" w14:textId="77777777" w:rsidR="004D4AAF" w:rsidRDefault="004D4AAF" w:rsidP="004D4AAF">
      <w:pPr>
        <w:spacing w:line="276" w:lineRule="auto"/>
        <w:ind w:firstLine="720"/>
        <w:contextualSpacing/>
        <w:jc w:val="both"/>
      </w:pPr>
      <w:r>
        <w:t xml:space="preserve">[1] Ar Daugavpils tiesas </w:t>
      </w:r>
      <w:proofErr w:type="gramStart"/>
      <w:r>
        <w:t>2019.gada</w:t>
      </w:r>
      <w:proofErr w:type="gramEnd"/>
      <w:r>
        <w:t xml:space="preserve"> 8.maija spriedumu </w:t>
      </w:r>
    </w:p>
    <w:p w14:paraId="5CA41CDA" w14:textId="57F4F540" w:rsidR="004D4AAF" w:rsidRDefault="00FA30EF" w:rsidP="004D4AAF">
      <w:pPr>
        <w:spacing w:line="276" w:lineRule="auto"/>
        <w:ind w:firstLine="720"/>
        <w:contextualSpacing/>
        <w:jc w:val="both"/>
      </w:pPr>
      <w:r>
        <w:t>[pers. A]</w:t>
      </w:r>
      <w:r w:rsidR="004D4AAF">
        <w:t xml:space="preserve">, personas kods </w:t>
      </w:r>
      <w:r>
        <w:t>[..]</w:t>
      </w:r>
      <w:r w:rsidR="004D4AAF">
        <w:t>,</w:t>
      </w:r>
    </w:p>
    <w:p w14:paraId="1EF3CF4F" w14:textId="77777777" w:rsidR="004D4AAF" w:rsidRDefault="004D4AAF" w:rsidP="004D4AAF">
      <w:pPr>
        <w:spacing w:line="276" w:lineRule="auto"/>
        <w:ind w:firstLine="720"/>
        <w:contextualSpacing/>
        <w:jc w:val="both"/>
      </w:pPr>
      <w:r>
        <w:t xml:space="preserve">atzīts par vainīgu Krimināllikuma </w:t>
      </w:r>
      <w:proofErr w:type="gramStart"/>
      <w:r>
        <w:t>132.pantā</w:t>
      </w:r>
      <w:proofErr w:type="gramEnd"/>
      <w:r>
        <w:t xml:space="preserve"> paredzētajā noziedzīgajā nodarījumā un sodīts ar īslaicīgu brīvības atņemšanu uz 2 mēnešiem;</w:t>
      </w:r>
    </w:p>
    <w:p w14:paraId="0A64C3B3" w14:textId="77777777" w:rsidR="004D4AAF" w:rsidRDefault="004D4AAF" w:rsidP="004D4AAF">
      <w:pPr>
        <w:spacing w:line="276" w:lineRule="auto"/>
        <w:ind w:firstLine="720"/>
        <w:contextualSpacing/>
        <w:jc w:val="both"/>
      </w:pPr>
      <w:r>
        <w:t xml:space="preserve">atzīts par vainīgu Krimināllikuma </w:t>
      </w:r>
      <w:proofErr w:type="gramStart"/>
      <w:r>
        <w:t>116.pantā</w:t>
      </w:r>
      <w:proofErr w:type="gramEnd"/>
      <w:r>
        <w:t xml:space="preserve"> paredzētajā noziedzīgajā nodarījumā un sodīts ar brīvības atņemšanu uz 12 gadiem un probācijas uzraudzību uz 3 gadiem.</w:t>
      </w:r>
    </w:p>
    <w:p w14:paraId="56B44DC4" w14:textId="3867DBD9" w:rsidR="004D4AAF" w:rsidRDefault="004D4AAF" w:rsidP="004D4AAF">
      <w:pPr>
        <w:spacing w:line="276" w:lineRule="auto"/>
        <w:ind w:firstLine="720"/>
        <w:contextualSpacing/>
        <w:jc w:val="both"/>
      </w:pPr>
      <w:r>
        <w:t xml:space="preserve">Saskaņā ar Krimināllikuma </w:t>
      </w:r>
      <w:proofErr w:type="gramStart"/>
      <w:r>
        <w:t>50.panta</w:t>
      </w:r>
      <w:proofErr w:type="gramEnd"/>
      <w:r>
        <w:t xml:space="preserve"> pirmo un trešo daļu sods </w:t>
      </w:r>
      <w:r w:rsidR="00FA30EF">
        <w:t>[pers. A]</w:t>
      </w:r>
      <w:r>
        <w:t xml:space="preserve"> noteikts brīvības atņemšana uz 12 gadiem 1 mēnesi un probācijas uzraudzība uz 3 gadiem.</w:t>
      </w:r>
    </w:p>
    <w:p w14:paraId="5E184AB1" w14:textId="46A77856" w:rsidR="004D4AAF" w:rsidRDefault="004D4AAF" w:rsidP="004D4AAF">
      <w:pPr>
        <w:spacing w:line="276" w:lineRule="auto"/>
        <w:ind w:firstLine="720"/>
        <w:contextualSpacing/>
        <w:jc w:val="both"/>
      </w:pPr>
      <w:r>
        <w:t xml:space="preserve">Saskaņā ar Krimināllikuma </w:t>
      </w:r>
      <w:proofErr w:type="gramStart"/>
      <w:r>
        <w:t>50.panta</w:t>
      </w:r>
      <w:proofErr w:type="gramEnd"/>
      <w:r>
        <w:t xml:space="preserve"> piekto daļu galīgais sods </w:t>
      </w:r>
      <w:r w:rsidR="00FA30EF">
        <w:t>[pers. A]</w:t>
      </w:r>
      <w:r>
        <w:t xml:space="preserve"> noteikts brīvības atņemšana uz 15 gadiem un probācijas uzraudzība uz 3 gadiem, atņemot transportlīdzekļa vadīšanas tiesības uz 4 gadiem 6 mēnešiem. </w:t>
      </w:r>
    </w:p>
    <w:p w14:paraId="64F6571E" w14:textId="77777777" w:rsidR="004D4AAF" w:rsidRDefault="004D4AAF" w:rsidP="004D4AAF">
      <w:pPr>
        <w:spacing w:line="276" w:lineRule="auto"/>
        <w:ind w:firstLine="720"/>
        <w:contextualSpacing/>
        <w:jc w:val="both"/>
      </w:pPr>
    </w:p>
    <w:p w14:paraId="59790C8A" w14:textId="0E5CE03F" w:rsidR="004D4AAF" w:rsidRDefault="004D4AAF" w:rsidP="004D4AAF">
      <w:pPr>
        <w:spacing w:line="276" w:lineRule="auto"/>
        <w:ind w:firstLine="720"/>
        <w:contextualSpacing/>
        <w:jc w:val="both"/>
      </w:pPr>
      <w:r>
        <w:t xml:space="preserve">[2] Ar Daugavpils tiesas </w:t>
      </w:r>
      <w:proofErr w:type="gramStart"/>
      <w:r>
        <w:t>2019.gada</w:t>
      </w:r>
      <w:proofErr w:type="gramEnd"/>
      <w:r>
        <w:t xml:space="preserve"> 8.maija spriedumu </w:t>
      </w:r>
      <w:r w:rsidR="00FA30EF">
        <w:t>[pers. A]</w:t>
      </w:r>
      <w:r>
        <w:t xml:space="preserve"> atzīts par vainīgu un sodīts pēc Krimināllikuma 132.panta par to, ka viņš draudēja izdarīt slepkavību vai nodarīt smagus miesas bojājumus, un cietušajai bija pamats baidīties, ka šie draudi var tikt izpildīti.</w:t>
      </w:r>
    </w:p>
    <w:p w14:paraId="13E2E087" w14:textId="093F536B" w:rsidR="004D4AAF" w:rsidRDefault="004D4AAF" w:rsidP="004D4AAF">
      <w:pPr>
        <w:spacing w:line="276" w:lineRule="auto"/>
        <w:ind w:firstLine="720"/>
        <w:contextualSpacing/>
        <w:jc w:val="both"/>
      </w:pPr>
      <w:r>
        <w:t xml:space="preserve">Tāpat ar minēto spriedumu </w:t>
      </w:r>
      <w:r w:rsidR="00FA30EF">
        <w:t>[pers. A]</w:t>
      </w:r>
      <w:r>
        <w:t xml:space="preserve"> atzīts par vainīgu un sodīts pēc Krimināllikuma </w:t>
      </w:r>
      <w:proofErr w:type="gramStart"/>
      <w:r>
        <w:t>116.panta</w:t>
      </w:r>
      <w:proofErr w:type="gramEnd"/>
      <w:r>
        <w:t xml:space="preserve"> par citas personas tīšu prettiesisku nonāvēšanu (slepkavību).</w:t>
      </w:r>
    </w:p>
    <w:p w14:paraId="01CC5F15" w14:textId="77777777" w:rsidR="004D4AAF" w:rsidRDefault="004D4AAF" w:rsidP="004D4AAF">
      <w:pPr>
        <w:spacing w:line="276" w:lineRule="auto"/>
        <w:ind w:firstLine="720"/>
        <w:contextualSpacing/>
        <w:jc w:val="both"/>
      </w:pPr>
    </w:p>
    <w:p w14:paraId="18685969" w14:textId="5233BAE2" w:rsidR="000D0CC2" w:rsidRDefault="004D4AAF" w:rsidP="000D0CC2">
      <w:pPr>
        <w:spacing w:line="276" w:lineRule="auto"/>
        <w:ind w:firstLine="720"/>
        <w:contextualSpacing/>
        <w:jc w:val="both"/>
      </w:pPr>
      <w:r>
        <w:lastRenderedPageBreak/>
        <w:t xml:space="preserve">[3] Ar Latgales apgabaltiesas </w:t>
      </w:r>
      <w:proofErr w:type="gramStart"/>
      <w:r>
        <w:t>2019.gada</w:t>
      </w:r>
      <w:proofErr w:type="gramEnd"/>
      <w:r>
        <w:t xml:space="preserve"> 14.oktobra lēmumu, iztiesājot krimināllietu sakarā ar apsūdzētā </w:t>
      </w:r>
      <w:r w:rsidR="00FA30EF">
        <w:t>[pers. A]</w:t>
      </w:r>
      <w:r>
        <w:t xml:space="preserve"> un </w:t>
      </w:r>
      <w:r w:rsidR="00993D07">
        <w:t xml:space="preserve">viņa </w:t>
      </w:r>
      <w:r>
        <w:t xml:space="preserve">aizstāvja U. Lapiņa apelācijas sūdzībām, Daugavpils tiesas 2019.gada 8.maija spriedums atstāts negrozīts.  </w:t>
      </w:r>
    </w:p>
    <w:p w14:paraId="763ACE23" w14:textId="02776955" w:rsidR="004D4AAF" w:rsidRDefault="00993D07" w:rsidP="000D0CC2">
      <w:pPr>
        <w:spacing w:line="276" w:lineRule="auto"/>
        <w:ind w:firstLine="720"/>
        <w:contextualSpacing/>
        <w:jc w:val="both"/>
      </w:pPr>
      <w:r>
        <w:t xml:space="preserve">[4] Ar </w:t>
      </w:r>
      <w:r w:rsidR="004D4AAF">
        <w:t xml:space="preserve">Augstākās tiesas </w:t>
      </w:r>
      <w:proofErr w:type="gramStart"/>
      <w:r>
        <w:t>2020.gada</w:t>
      </w:r>
      <w:proofErr w:type="gramEnd"/>
      <w:r>
        <w:t xml:space="preserve"> 11.februāra</w:t>
      </w:r>
      <w:r w:rsidR="004D4AAF">
        <w:t xml:space="preserve"> lēmumu atteikts ierosināt kasācijas tiesvedību sakarā ar apsūdzētā </w:t>
      </w:r>
      <w:r w:rsidR="00FA30EF">
        <w:t>[pers. A]</w:t>
      </w:r>
      <w:r>
        <w:t xml:space="preserve"> un viņa aizstāvja U. Lapiņa kasācijas sūdzībām </w:t>
      </w:r>
      <w:r w:rsidR="004D4AAF">
        <w:t xml:space="preserve">par </w:t>
      </w:r>
      <w:r>
        <w:t>Latgales</w:t>
      </w:r>
      <w:r w:rsidR="004D4AAF">
        <w:t xml:space="preserve"> apgabaltiesas 2019.gada </w:t>
      </w:r>
      <w:r>
        <w:t>14.oktobra lēmumu</w:t>
      </w:r>
      <w:r w:rsidR="004D4AAF">
        <w:t>.</w:t>
      </w:r>
    </w:p>
    <w:p w14:paraId="49030003" w14:textId="77777777" w:rsidR="004D4AAF" w:rsidRDefault="00993D07" w:rsidP="004D4AAF">
      <w:pPr>
        <w:spacing w:line="276" w:lineRule="auto"/>
        <w:ind w:firstLine="720"/>
        <w:contextualSpacing/>
        <w:jc w:val="both"/>
      </w:pPr>
      <w:r>
        <w:t>Latgales</w:t>
      </w:r>
      <w:r w:rsidR="004D4AAF">
        <w:t xml:space="preserve"> apgabaltiesas </w:t>
      </w:r>
      <w:proofErr w:type="gramStart"/>
      <w:r w:rsidR="004D4AAF">
        <w:t>2019.gada</w:t>
      </w:r>
      <w:proofErr w:type="gramEnd"/>
      <w:r w:rsidR="004D4AAF">
        <w:t xml:space="preserve"> </w:t>
      </w:r>
      <w:r>
        <w:t>14.oktobra lēmums</w:t>
      </w:r>
      <w:r w:rsidR="004D4AAF">
        <w:t xml:space="preserve"> stājies spēkā </w:t>
      </w:r>
      <w:r>
        <w:t>2020.gada 11.februārī</w:t>
      </w:r>
      <w:r w:rsidR="004D4AAF">
        <w:t>.</w:t>
      </w:r>
    </w:p>
    <w:p w14:paraId="13245121" w14:textId="5E3D498A" w:rsidR="004D4AAF" w:rsidRDefault="004D4AAF" w:rsidP="004D4AAF">
      <w:pPr>
        <w:spacing w:line="276" w:lineRule="auto"/>
        <w:contextualSpacing/>
        <w:jc w:val="both"/>
      </w:pPr>
    </w:p>
    <w:p w14:paraId="653D7595" w14:textId="279706DD" w:rsidR="00902FB5" w:rsidRDefault="004D4AAF" w:rsidP="0076432E">
      <w:pPr>
        <w:spacing w:line="276" w:lineRule="auto"/>
        <w:ind w:firstLine="720"/>
        <w:contextualSpacing/>
        <w:jc w:val="both"/>
      </w:pPr>
      <w:r>
        <w:t>[</w:t>
      </w:r>
      <w:r w:rsidR="00993D07">
        <w:t>5</w:t>
      </w:r>
      <w:r>
        <w:t xml:space="preserve">] Par </w:t>
      </w:r>
      <w:r w:rsidR="00993D07">
        <w:t xml:space="preserve">Latgales apgabaltiesas </w:t>
      </w:r>
      <w:proofErr w:type="gramStart"/>
      <w:r w:rsidR="00993D07">
        <w:t>2019.gada</w:t>
      </w:r>
      <w:proofErr w:type="gramEnd"/>
      <w:r w:rsidR="00993D07">
        <w:t xml:space="preserve"> 14.oktobra lēmumu </w:t>
      </w:r>
      <w:r>
        <w:t xml:space="preserve">notiesātā </w:t>
      </w:r>
      <w:r w:rsidR="00FA30EF">
        <w:t>[pers. A]</w:t>
      </w:r>
      <w:r>
        <w:t xml:space="preserve"> uzdevumā advokāts </w:t>
      </w:r>
      <w:r w:rsidR="00993D07">
        <w:t>U. Lapiņš</w:t>
      </w:r>
      <w:r>
        <w:t xml:space="preserve"> iesniedzis pieteikumu Kriminālprocesa likuma 63.nodaļas kārtībā. Pieteikumā lūgts </w:t>
      </w:r>
      <w:r w:rsidR="00993D07">
        <w:t xml:space="preserve">atcelt apelācijas instances tiesas </w:t>
      </w:r>
      <w:r w:rsidR="00D54E0C">
        <w:t>lēmumu</w:t>
      </w:r>
      <w:r w:rsidR="00993D07">
        <w:t xml:space="preserve"> daļā par </w:t>
      </w:r>
      <w:r w:rsidR="00FA30EF">
        <w:t>[pers. A]</w:t>
      </w:r>
      <w:r w:rsidR="00993D07">
        <w:t xml:space="preserve"> </w:t>
      </w:r>
      <w:r w:rsidR="0076432E">
        <w:t>atzīšanu par vainīgu</w:t>
      </w:r>
      <w:r w:rsidR="003A56A5">
        <w:t xml:space="preserve"> </w:t>
      </w:r>
      <w:r w:rsidR="0076432E">
        <w:t xml:space="preserve">Krimināllikuma </w:t>
      </w:r>
      <w:proofErr w:type="gramStart"/>
      <w:r w:rsidR="0076432E">
        <w:t>116.pantā</w:t>
      </w:r>
      <w:proofErr w:type="gramEnd"/>
      <w:r w:rsidR="0076432E">
        <w:t xml:space="preserve"> paredzētajā noziedzīgajā nodarījumā un daļā par viņam noteikto sodu saskaņā ar Krimināllikuma 50.panta pirmo, trešo un piekto daļu. Atceltajā daļā lietu nosūtīt jaunai izskatīšanai apelācijas instances tiesā.</w:t>
      </w:r>
    </w:p>
    <w:p w14:paraId="3CF0E421" w14:textId="3039909B" w:rsidR="0076432E" w:rsidRDefault="00D75FB6" w:rsidP="0076432E">
      <w:pPr>
        <w:spacing w:line="276" w:lineRule="auto"/>
        <w:ind w:firstLine="720"/>
        <w:contextualSpacing/>
        <w:jc w:val="both"/>
      </w:pPr>
      <w:r>
        <w:t>[5.1] </w:t>
      </w:r>
      <w:r w:rsidR="0076432E">
        <w:t xml:space="preserve">Pamatojot savu lūgumu, advokāts U. Lapiņš norādījis, ka </w:t>
      </w:r>
      <w:r w:rsidR="00FA30EF">
        <w:t>[pers. A]</w:t>
      </w:r>
      <w:r w:rsidR="0076432E">
        <w:t xml:space="preserve"> darbības nepareizi kvalificētas pēc Krimināllikuma </w:t>
      </w:r>
      <w:proofErr w:type="gramStart"/>
      <w:r w:rsidR="0076432E">
        <w:t>116.panta</w:t>
      </w:r>
      <w:proofErr w:type="gramEnd"/>
      <w:r w:rsidR="0076432E">
        <w:t>.</w:t>
      </w:r>
    </w:p>
    <w:p w14:paraId="3BD463D5" w14:textId="6DBA609D" w:rsidR="003A56A5" w:rsidRDefault="003A56A5" w:rsidP="00325F40">
      <w:pPr>
        <w:spacing w:line="276" w:lineRule="auto"/>
        <w:ind w:firstLine="720"/>
        <w:contextualSpacing/>
        <w:jc w:val="both"/>
      </w:pPr>
      <w:r>
        <w:t>Lietā nav iegūti pierādījumi</w:t>
      </w:r>
      <w:r w:rsidR="00C914E6">
        <w:t xml:space="preserve"> par</w:t>
      </w:r>
      <w:r>
        <w:t xml:space="preserve"> notiesātā </w:t>
      </w:r>
      <w:r w:rsidR="00FA30EF">
        <w:t>[pers. A]</w:t>
      </w:r>
      <w:r>
        <w:t xml:space="preserve"> tiešu nodomu noslepkavot </w:t>
      </w:r>
      <w:r w:rsidR="00FA30EF">
        <w:t>[pers. B]</w:t>
      </w:r>
      <w:r>
        <w:t xml:space="preserve">, kā arī pierādījumi, ka </w:t>
      </w:r>
      <w:r w:rsidR="00FA30EF">
        <w:t>[pers. A]</w:t>
      </w:r>
      <w:r>
        <w:t xml:space="preserve"> būtu veicis jebkādas</w:t>
      </w:r>
      <w:r w:rsidR="00C914E6">
        <w:t xml:space="preserve"> uz </w:t>
      </w:r>
      <w:r w:rsidR="00FA30EF">
        <w:t>[pers. B]</w:t>
      </w:r>
      <w:r w:rsidR="00C914E6">
        <w:t xml:space="preserve"> dzīvības atņemšanu vērstas sagatavošanās darbī</w:t>
      </w:r>
      <w:r w:rsidR="00325F40">
        <w:t>bas.</w:t>
      </w:r>
      <w:r>
        <w:t xml:space="preserve"> </w:t>
      </w:r>
      <w:r w:rsidR="00325F40">
        <w:t>N</w:t>
      </w:r>
      <w:r w:rsidRPr="00902FB5">
        <w:t>a</w:t>
      </w:r>
      <w:r>
        <w:t>v konstatē</w:t>
      </w:r>
      <w:r w:rsidR="00325F40">
        <w:t>ta arī</w:t>
      </w:r>
      <w:r>
        <w:t xml:space="preserve"> cēloņsakarība starp notiesātā </w:t>
      </w:r>
      <w:r w:rsidR="00FA30EF">
        <w:t>[pers. A]</w:t>
      </w:r>
      <w:r>
        <w:t xml:space="preserve"> rīcību pirms</w:t>
      </w:r>
      <w:r w:rsidRPr="00FC7EE7">
        <w:t xml:space="preserve"> </w:t>
      </w:r>
      <w:r>
        <w:t xml:space="preserve">konflikta, cietušajam </w:t>
      </w:r>
      <w:r w:rsidR="00FA30EF">
        <w:t>[pers. B]</w:t>
      </w:r>
      <w:r>
        <w:t xml:space="preserve"> nodarītajiem miesas bojājumiem un viņa nāves iestāšanos trīsdesmit vienu minūti pēc miesas bojājumu nodarīšanas.</w:t>
      </w:r>
      <w:r w:rsidR="00325F40">
        <w:t xml:space="preserve"> </w:t>
      </w:r>
      <w:r>
        <w:t>Neatliekamā medicīniskā palīdzība</w:t>
      </w:r>
      <w:r w:rsidR="00325F40">
        <w:t xml:space="preserve"> notikuma vietā ieradās nekavējoties</w:t>
      </w:r>
      <w:r>
        <w:t xml:space="preserve">, </w:t>
      </w:r>
      <w:r w:rsidR="00325F40">
        <w:t xml:space="preserve">bet </w:t>
      </w:r>
      <w:r>
        <w:t xml:space="preserve">nenogādāja </w:t>
      </w:r>
      <w:r w:rsidR="00FA30EF">
        <w:t>[pers. B]</w:t>
      </w:r>
      <w:r>
        <w:t xml:space="preserve"> uz medicīnas iestādi. </w:t>
      </w:r>
      <w:r w:rsidR="00325F40">
        <w:t>Līdz ar to bija nepieciešams izvērtēt</w:t>
      </w:r>
      <w:r>
        <w:t xml:space="preserve"> </w:t>
      </w:r>
      <w:r w:rsidR="00D75FB6">
        <w:t xml:space="preserve">sniegtās </w:t>
      </w:r>
      <w:r>
        <w:t>medicīniskās palīdzības kvalitāti un savlaicīgumu</w:t>
      </w:r>
      <w:r w:rsidR="00D75FB6">
        <w:t>, kam ir būtiska</w:t>
      </w:r>
      <w:r w:rsidR="00325F40">
        <w:t xml:space="preserve"> </w:t>
      </w:r>
      <w:r w:rsidR="00D75FB6">
        <w:t>nozīme</w:t>
      </w:r>
      <w:r w:rsidR="00325F40">
        <w:t xml:space="preserve"> izskatāmajā lietā.</w:t>
      </w:r>
    </w:p>
    <w:p w14:paraId="2B4DAB11" w14:textId="1B314490" w:rsidR="005827B9" w:rsidRDefault="005827B9" w:rsidP="005827B9">
      <w:pPr>
        <w:spacing w:line="276" w:lineRule="auto"/>
        <w:ind w:firstLine="720"/>
        <w:contextualSpacing/>
        <w:jc w:val="both"/>
      </w:pPr>
      <w:r>
        <w:t xml:space="preserve">Turklāt nepamatoti noraidot aizstāvja lūgumu noteikt papildu tiesu medicīnisko ekspertīzi, apelācijas instances tiesa ir pārkāpusi apsūdzētā tiesības uz aizstāvību. </w:t>
      </w:r>
    </w:p>
    <w:p w14:paraId="48A8397A" w14:textId="62ACA440" w:rsidR="00325F40" w:rsidRDefault="005827B9" w:rsidP="003A56A5">
      <w:pPr>
        <w:spacing w:line="276" w:lineRule="auto"/>
        <w:ind w:firstLine="720"/>
        <w:contextualSpacing/>
        <w:jc w:val="both"/>
      </w:pPr>
      <w:r>
        <w:t>[5.2] </w:t>
      </w:r>
      <w:r w:rsidR="003A56A5">
        <w:t xml:space="preserve">Apelācijas instances tiesa nepamatoti nav </w:t>
      </w:r>
      <w:r>
        <w:t>iz</w:t>
      </w:r>
      <w:r w:rsidR="003A56A5">
        <w:t xml:space="preserve">vērtējusi, vai notiesātā </w:t>
      </w:r>
      <w:r w:rsidR="00FA30EF">
        <w:t>[pers. A]</w:t>
      </w:r>
      <w:r w:rsidR="003A56A5">
        <w:t xml:space="preserve"> darbības atbilst Krimināllikuma </w:t>
      </w:r>
      <w:proofErr w:type="gramStart"/>
      <w:r w:rsidR="003A56A5">
        <w:t>125.panta</w:t>
      </w:r>
      <w:proofErr w:type="gramEnd"/>
      <w:r w:rsidR="003A56A5">
        <w:t xml:space="preserve"> trešajā daļā paredzētajam noziedzīgajam nodarījumam, proti, tīšai smagu miesas bojājumu nodarīšanai, kas aiz neuzmanības izraisījusi cietušā nāvi.</w:t>
      </w:r>
    </w:p>
    <w:p w14:paraId="6C7DC9E5" w14:textId="2FE33800" w:rsidR="003A56A5" w:rsidRDefault="005827B9" w:rsidP="005827B9">
      <w:pPr>
        <w:spacing w:line="276" w:lineRule="auto"/>
        <w:ind w:firstLine="720"/>
        <w:contextualSpacing/>
        <w:jc w:val="both"/>
      </w:pPr>
      <w:r>
        <w:t>Tāpat a</w:t>
      </w:r>
      <w:r w:rsidR="00325F40">
        <w:t>pelācijas instances tiesa nepareizi piemērojusi</w:t>
      </w:r>
      <w:r w:rsidR="003A56A5">
        <w:t xml:space="preserve"> Krimināllikuma </w:t>
      </w:r>
      <w:proofErr w:type="gramStart"/>
      <w:r w:rsidR="003A56A5">
        <w:t>29.panta</w:t>
      </w:r>
      <w:proofErr w:type="gramEnd"/>
      <w:r w:rsidR="003A56A5">
        <w:t xml:space="preserve"> ceturto daļu</w:t>
      </w:r>
      <w:r w:rsidR="00325F40">
        <w:t xml:space="preserve"> un</w:t>
      </w:r>
      <w:r w:rsidR="003A56A5">
        <w:t xml:space="preserve"> nepamatoti nav vērtējusi Krimināllikuma 47.panta nosacījumu esību apsūdzētā darbībās.</w:t>
      </w:r>
      <w:r>
        <w:t xml:space="preserve"> </w:t>
      </w:r>
      <w:r w:rsidR="003A56A5">
        <w:t xml:space="preserve">Pretēji Kriminālprocesa likuma </w:t>
      </w:r>
      <w:proofErr w:type="gramStart"/>
      <w:r w:rsidR="003A56A5">
        <w:t>514.panta</w:t>
      </w:r>
      <w:proofErr w:type="gramEnd"/>
      <w:r w:rsidR="003A56A5">
        <w:t xml:space="preserve"> pirmās daļas nosacījumiem, apelācijas instances tiesa nav sniegusi motivētu atbildi, vai apsūdzētajam inkriminētais noziedzīgais nodarījums pēc Krimināllikuma 116.panta ir noticis, un vai viņš ir vainīgs šajā noziedzīgajā nodarījumā, jo tas ir vērsts pret personu, kura pirmā uzsāka konfliktu.</w:t>
      </w:r>
    </w:p>
    <w:p w14:paraId="5519D39E" w14:textId="257E373B" w:rsidR="004D4AAF" w:rsidRDefault="005827B9" w:rsidP="00325F40">
      <w:pPr>
        <w:spacing w:line="276" w:lineRule="auto"/>
        <w:ind w:firstLine="720"/>
        <w:contextualSpacing/>
        <w:jc w:val="both"/>
      </w:pPr>
      <w:r>
        <w:t>[5.3] </w:t>
      </w:r>
      <w:r w:rsidR="003A56A5">
        <w:t xml:space="preserve">Tiesas nolēmumu balstot uz nekvalitatīvu apsūdzību, </w:t>
      </w:r>
      <w:proofErr w:type="gramStart"/>
      <w:r w:rsidR="003A56A5">
        <w:t>pārkāptas notiesātā</w:t>
      </w:r>
      <w:proofErr w:type="gramEnd"/>
      <w:r w:rsidR="003A56A5">
        <w:t xml:space="preserve"> cilvēktiesības, tostarp tiesības uz lietas izskatīšanu objektīvā tiesā un nevainīguma prezumpcijas princips. Apelācijas instances tiesa nav ievērojusi arī likuma „Par tiesu varu” 17.un </w:t>
      </w:r>
      <w:proofErr w:type="gramStart"/>
      <w:r w:rsidR="003A56A5">
        <w:t>23.pantu</w:t>
      </w:r>
      <w:proofErr w:type="gramEnd"/>
      <w:r w:rsidR="003A56A5">
        <w:t>.</w:t>
      </w:r>
    </w:p>
    <w:p w14:paraId="6668AFAA" w14:textId="77777777" w:rsidR="00A03125" w:rsidRDefault="00A03125" w:rsidP="00C23F29">
      <w:pPr>
        <w:spacing w:line="276" w:lineRule="auto"/>
        <w:contextualSpacing/>
        <w:jc w:val="both"/>
      </w:pPr>
    </w:p>
    <w:p w14:paraId="5927E7B8" w14:textId="77777777" w:rsidR="001835C3" w:rsidRDefault="004D4AAF" w:rsidP="000D0CC2">
      <w:pPr>
        <w:spacing w:line="276" w:lineRule="auto"/>
        <w:ind w:firstLine="720"/>
        <w:contextualSpacing/>
        <w:jc w:val="center"/>
        <w:rPr>
          <w:rFonts w:cs="Times New Roman"/>
          <w:b/>
          <w:color w:val="000000" w:themeColor="text1"/>
          <w:szCs w:val="24"/>
        </w:rPr>
      </w:pPr>
      <w:r w:rsidRPr="0061527C">
        <w:rPr>
          <w:rFonts w:cs="Times New Roman"/>
          <w:b/>
          <w:color w:val="000000" w:themeColor="text1"/>
          <w:szCs w:val="24"/>
        </w:rPr>
        <w:t>Motīvu daļa</w:t>
      </w:r>
    </w:p>
    <w:p w14:paraId="6AF16B50" w14:textId="77777777" w:rsidR="000D0CC2" w:rsidRPr="001835C3" w:rsidRDefault="000D0CC2" w:rsidP="000D0CC2">
      <w:pPr>
        <w:spacing w:line="276" w:lineRule="auto"/>
        <w:ind w:firstLine="720"/>
        <w:contextualSpacing/>
        <w:jc w:val="center"/>
        <w:rPr>
          <w:rFonts w:cs="Times New Roman"/>
          <w:b/>
          <w:color w:val="000000" w:themeColor="text1"/>
          <w:szCs w:val="24"/>
        </w:rPr>
      </w:pPr>
    </w:p>
    <w:p w14:paraId="54D0FDF2" w14:textId="1EFEB9CF" w:rsidR="00931B84" w:rsidRDefault="004D4AAF" w:rsidP="00E75C29">
      <w:pPr>
        <w:spacing w:line="276" w:lineRule="auto"/>
        <w:ind w:firstLine="720"/>
        <w:contextualSpacing/>
        <w:jc w:val="both"/>
        <w:rPr>
          <w:rFonts w:cs="Times New Roman"/>
        </w:rPr>
      </w:pPr>
      <w:r>
        <w:t>[</w:t>
      </w:r>
      <w:r w:rsidR="00993D07">
        <w:t>6</w:t>
      </w:r>
      <w:r>
        <w:t xml:space="preserve">] Senāts atzīst, ka </w:t>
      </w:r>
      <w:r w:rsidR="00993D07">
        <w:t xml:space="preserve">Latgales apgabaltiesas </w:t>
      </w:r>
      <w:proofErr w:type="gramStart"/>
      <w:r w:rsidR="00993D07">
        <w:t>2019.gada</w:t>
      </w:r>
      <w:proofErr w:type="gramEnd"/>
      <w:r w:rsidR="00993D07">
        <w:t xml:space="preserve"> 14.oktobra lēmums </w:t>
      </w:r>
      <w:r>
        <w:t>atstājams negrozīts, bet</w:t>
      </w:r>
      <w:r>
        <w:rPr>
          <w:rFonts w:cs="Times New Roman"/>
        </w:rPr>
        <w:t xml:space="preserve"> </w:t>
      </w:r>
      <w:r w:rsidR="001338DE">
        <w:rPr>
          <w:rFonts w:cs="Times New Roman"/>
        </w:rPr>
        <w:t xml:space="preserve">notiesātā </w:t>
      </w:r>
      <w:r w:rsidR="00FA30EF">
        <w:rPr>
          <w:rFonts w:cs="Times New Roman"/>
        </w:rPr>
        <w:t>[pers. A]</w:t>
      </w:r>
      <w:r w:rsidR="001338DE">
        <w:rPr>
          <w:rFonts w:cs="Times New Roman"/>
        </w:rPr>
        <w:t xml:space="preserve"> uzdevumā iesniegtais advokāta</w:t>
      </w:r>
      <w:r>
        <w:rPr>
          <w:rFonts w:cs="Times New Roman"/>
        </w:rPr>
        <w:t xml:space="preserve"> </w:t>
      </w:r>
      <w:r w:rsidR="00993D07">
        <w:rPr>
          <w:rFonts w:cs="Times New Roman"/>
        </w:rPr>
        <w:t>U. Lapiņa</w:t>
      </w:r>
      <w:r>
        <w:rPr>
          <w:rFonts w:cs="Times New Roman"/>
        </w:rPr>
        <w:t xml:space="preserve"> </w:t>
      </w:r>
      <w:r w:rsidR="001338DE">
        <w:rPr>
          <w:rFonts w:cs="Times New Roman"/>
        </w:rPr>
        <w:t>pieteikums Kriminālprocesa likuma 63.nodaļas kārtībā noraidāms.</w:t>
      </w:r>
    </w:p>
    <w:p w14:paraId="254A7A52" w14:textId="0A5355ED" w:rsidR="00FE6142" w:rsidRDefault="00024905" w:rsidP="005134F8">
      <w:pPr>
        <w:autoSpaceDE w:val="0"/>
        <w:autoSpaceDN w:val="0"/>
        <w:adjustRightInd w:val="0"/>
        <w:spacing w:after="0" w:line="276" w:lineRule="auto"/>
        <w:jc w:val="both"/>
        <w:rPr>
          <w:rFonts w:ascii="TimesNewRomanPSMT" w:hAnsi="TimesNewRomanPSMT" w:cs="TimesNewRomanPSMT"/>
          <w:szCs w:val="24"/>
        </w:rPr>
      </w:pPr>
      <w:r>
        <w:lastRenderedPageBreak/>
        <w:tab/>
      </w:r>
      <w:r w:rsidR="00850431">
        <w:t> </w:t>
      </w:r>
      <w:r w:rsidR="005134F8">
        <w:t>Senāts konstatē, ka a</w:t>
      </w:r>
      <w:r w:rsidR="00C61A77">
        <w:t>pelācijas instances tiesa, iztiesājot lietu</w:t>
      </w:r>
      <w:r w:rsidR="00F35338">
        <w:t xml:space="preserve"> un atstājot negrozītu pirmās instances tiesas spriedumu</w:t>
      </w:r>
      <w:r w:rsidRPr="00E75C29">
        <w:rPr>
          <w:rFonts w:ascii="TimesNewRomanPSMT" w:hAnsi="TimesNewRomanPSMT" w:cs="TimesNewRomanPSMT"/>
          <w:szCs w:val="24"/>
        </w:rPr>
        <w:t xml:space="preserve">, nav pieļāvusi advokāta </w:t>
      </w:r>
      <w:r w:rsidR="009B74AE">
        <w:rPr>
          <w:rFonts w:ascii="TimesNewRomanPSMT" w:hAnsi="TimesNewRomanPSMT" w:cs="TimesNewRomanPSMT"/>
          <w:szCs w:val="24"/>
        </w:rPr>
        <w:t xml:space="preserve">U. Lapiņa </w:t>
      </w:r>
      <w:r w:rsidRPr="00E75C29">
        <w:rPr>
          <w:rFonts w:ascii="TimesNewRomanPSMT" w:hAnsi="TimesNewRomanPSMT" w:cs="TimesNewRomanPSMT"/>
          <w:szCs w:val="24"/>
        </w:rPr>
        <w:t>pieteikumā</w:t>
      </w:r>
      <w:r>
        <w:rPr>
          <w:rFonts w:ascii="TimesNewRomanPSMT" w:hAnsi="TimesNewRomanPSMT" w:cs="TimesNewRomanPSMT"/>
          <w:szCs w:val="24"/>
        </w:rPr>
        <w:t xml:space="preserve"> norādītos </w:t>
      </w:r>
      <w:r w:rsidRPr="00E75C29">
        <w:rPr>
          <w:rFonts w:ascii="TimesNewRomanPSMT" w:hAnsi="TimesNewRomanPSMT" w:cs="TimesNewRomanPSMT"/>
          <w:szCs w:val="24"/>
        </w:rPr>
        <w:t>Krimināllikuma pārkāpumus un Kriminālprocesa likuma būtiskus pārkāpumus.</w:t>
      </w:r>
      <w:r>
        <w:rPr>
          <w:rFonts w:ascii="TimesNewRomanPSMT" w:hAnsi="TimesNewRomanPSMT" w:cs="TimesNewRomanPSMT"/>
          <w:szCs w:val="24"/>
        </w:rPr>
        <w:t xml:space="preserve"> Pieteikumā pamatā ir atkārtoti apelācijas sūdzībās </w:t>
      </w:r>
      <w:r w:rsidR="00325F40">
        <w:rPr>
          <w:rFonts w:ascii="TimesNewRomanPSMT" w:hAnsi="TimesNewRomanPSMT" w:cs="TimesNewRomanPSMT"/>
          <w:szCs w:val="24"/>
        </w:rPr>
        <w:t>minē</w:t>
      </w:r>
      <w:r>
        <w:rPr>
          <w:rFonts w:ascii="TimesNewRomanPSMT" w:hAnsi="TimesNewRomanPSMT" w:cs="TimesNewRomanPSMT"/>
          <w:szCs w:val="24"/>
        </w:rPr>
        <w:t>tie argumenti, kurus apelācijas instances tiesa nolēmumā ir izvērtējusi un motivēti noraidījusi</w:t>
      </w:r>
      <w:r w:rsidR="005134F8">
        <w:rPr>
          <w:rFonts w:ascii="TimesNewRomanPSMT" w:hAnsi="TimesNewRomanPSMT" w:cs="TimesNewRomanPSMT"/>
          <w:szCs w:val="24"/>
        </w:rPr>
        <w:t>.</w:t>
      </w:r>
    </w:p>
    <w:p w14:paraId="3AE7EA4A" w14:textId="4719394E" w:rsidR="005134F8" w:rsidRDefault="005134F8" w:rsidP="00D4791E">
      <w:pPr>
        <w:spacing w:line="276" w:lineRule="auto"/>
        <w:ind w:firstLine="720"/>
        <w:contextualSpacing/>
        <w:jc w:val="both"/>
        <w:rPr>
          <w:rFonts w:cs="Times New Roman"/>
        </w:rPr>
      </w:pPr>
      <w:r>
        <w:rPr>
          <w:rFonts w:cs="Times New Roman"/>
        </w:rPr>
        <w:t xml:space="preserve">Apelācijas instances tiesa atzinusi, ka, izlemjot </w:t>
      </w:r>
      <w:r w:rsidR="00FA30EF">
        <w:rPr>
          <w:rFonts w:cs="Times New Roman"/>
        </w:rPr>
        <w:t>[pers. A]</w:t>
      </w:r>
      <w:r>
        <w:rPr>
          <w:rFonts w:cs="Times New Roman"/>
        </w:rPr>
        <w:t xml:space="preserve"> celtās apsūdzības pamatotību, pirmās instances tiesa ir ievērojusi materiālo un procesuālo tiesību normas, spriedumu pamatojusi ar tiesas sēdē pārbaudītiem pierādījumiem, izvērtējot tos atbilstoši Kriminālprocesa likumā noteiktajām prasībām, un izdarījusi pareizus secinājumus par </w:t>
      </w:r>
      <w:r w:rsidR="00FA30EF">
        <w:rPr>
          <w:rFonts w:cs="Times New Roman"/>
        </w:rPr>
        <w:t>[pers. A]</w:t>
      </w:r>
      <w:r>
        <w:rPr>
          <w:rFonts w:cs="Times New Roman"/>
        </w:rPr>
        <w:t xml:space="preserve"> vainīgumu un viņa noziedzīgo darbību kvalifikāciju pēc Krimināllikuma 116.panta. Ievērojot to, ka pirmās instances tiesas spriedums daļā par noziedzīgā nodarījuma juridisko kvalifikāciju pēc Krimināllikuma 116.panta atstāts negrozīts, apelācijas instances tiesa atbilstoši Kriminālprocesa likuma 564.panta sestajā daļā noteiktajam atzinusi par iespējamu pirmās instances tiesas spriedumā minētos pierādījumus un atzinumus šajā daļā neatkārtot.</w:t>
      </w:r>
      <w:r w:rsidRPr="005134F8">
        <w:rPr>
          <w:rFonts w:cs="Times New Roman"/>
        </w:rPr>
        <w:t xml:space="preserve"> </w:t>
      </w:r>
      <w:r>
        <w:rPr>
          <w:rFonts w:cs="Times New Roman"/>
        </w:rPr>
        <w:t xml:space="preserve">Lai arī apelācijas instances tiesa ir piekritusi pirmās instances tiesas spriedumā paustajiem atzinumiem un nav konstatējusi pamatu atkārtotai pierādījumu izvērtēšanai, no tās nolēmuma satura konstatējams, ka apelācijas instances tiesa ir pārbaudījusi un izvērtējusi pirmās instances tiesas spriedumā minētos pierādījumus saistībā ar </w:t>
      </w:r>
      <w:r w:rsidR="00FA30EF">
        <w:rPr>
          <w:rFonts w:cs="Times New Roman"/>
        </w:rPr>
        <w:t>[pers. A]</w:t>
      </w:r>
      <w:r>
        <w:rPr>
          <w:rFonts w:cs="Times New Roman"/>
        </w:rPr>
        <w:t xml:space="preserve"> un viņa aizstāvja U. Lapiņa apelācijas sūdzībās izteiktajiem argumentiem</w:t>
      </w:r>
      <w:r w:rsidR="00D4791E">
        <w:rPr>
          <w:rFonts w:cs="Times New Roman"/>
        </w:rPr>
        <w:t>.</w:t>
      </w:r>
    </w:p>
    <w:p w14:paraId="4FB10518" w14:textId="77777777" w:rsidR="005827B9" w:rsidRDefault="005827B9" w:rsidP="00D4791E">
      <w:pPr>
        <w:spacing w:line="276" w:lineRule="auto"/>
        <w:ind w:firstLine="720"/>
        <w:contextualSpacing/>
        <w:jc w:val="both"/>
        <w:rPr>
          <w:rFonts w:cs="Times New Roman"/>
        </w:rPr>
      </w:pPr>
    </w:p>
    <w:p w14:paraId="6E6B8E51" w14:textId="13BC4838" w:rsidR="00EE4F72" w:rsidRDefault="005827B9" w:rsidP="00D4791E">
      <w:pPr>
        <w:spacing w:line="276" w:lineRule="auto"/>
        <w:ind w:firstLine="720"/>
        <w:contextualSpacing/>
        <w:jc w:val="both"/>
        <w:rPr>
          <w:rFonts w:cs="Times New Roman"/>
        </w:rPr>
      </w:pPr>
      <w:r>
        <w:rPr>
          <w:rFonts w:cs="Times New Roman"/>
        </w:rPr>
        <w:t>[7] </w:t>
      </w:r>
      <w:r w:rsidR="004D5543">
        <w:rPr>
          <w:rFonts w:cs="Times New Roman"/>
        </w:rPr>
        <w:t>Senāts atzīst, ka a</w:t>
      </w:r>
      <w:r w:rsidR="00EE4F72">
        <w:rPr>
          <w:rFonts w:cs="Times New Roman"/>
        </w:rPr>
        <w:t xml:space="preserve">dvokāta U. Lapiņa pieteikumā norādītais par </w:t>
      </w:r>
      <w:r w:rsidR="00FA30EF">
        <w:rPr>
          <w:rFonts w:cs="Times New Roman"/>
        </w:rPr>
        <w:t>[pers. A]</w:t>
      </w:r>
      <w:r w:rsidR="00EE4F72">
        <w:rPr>
          <w:rFonts w:cs="Times New Roman"/>
        </w:rPr>
        <w:t xml:space="preserve"> nodarījuma nepareizu kvalifikāciju pēc Krimināllikuma </w:t>
      </w:r>
      <w:proofErr w:type="gramStart"/>
      <w:r w:rsidR="00EE4F72">
        <w:rPr>
          <w:rFonts w:cs="Times New Roman"/>
        </w:rPr>
        <w:t>116.panta</w:t>
      </w:r>
      <w:proofErr w:type="gramEnd"/>
      <w:r w:rsidR="00EE4F72">
        <w:rPr>
          <w:rFonts w:cs="Times New Roman"/>
        </w:rPr>
        <w:t xml:space="preserve"> nav pamatots. Apelācijas instances tiesa, tāpat kā pirmās instances tiesa, </w:t>
      </w:r>
      <w:r w:rsidR="00FA30EF">
        <w:rPr>
          <w:rFonts w:cs="Times New Roman"/>
        </w:rPr>
        <w:t>[pers. A]</w:t>
      </w:r>
      <w:r w:rsidR="00EE4F72">
        <w:rPr>
          <w:rFonts w:cs="Times New Roman"/>
        </w:rPr>
        <w:t xml:space="preserve"> darbībās konstatējusi visas nepieciešamās un obligātās Krimināllikuma </w:t>
      </w:r>
      <w:proofErr w:type="gramStart"/>
      <w:r w:rsidR="00EE4F72">
        <w:rPr>
          <w:rFonts w:cs="Times New Roman"/>
        </w:rPr>
        <w:t>116.pantā</w:t>
      </w:r>
      <w:proofErr w:type="gramEnd"/>
      <w:r w:rsidR="00EE4F72">
        <w:rPr>
          <w:rFonts w:cs="Times New Roman"/>
        </w:rPr>
        <w:t xml:space="preserve"> paredzētā noziedzīgā nodarījuma sastāva pazīmes.</w:t>
      </w:r>
    </w:p>
    <w:p w14:paraId="6A4D4E7B" w14:textId="2CEDAE2C" w:rsidR="00081E59" w:rsidRDefault="00081E59" w:rsidP="00081E59">
      <w:pPr>
        <w:spacing w:line="276" w:lineRule="auto"/>
        <w:ind w:firstLine="720"/>
        <w:contextualSpacing/>
        <w:jc w:val="both"/>
      </w:pPr>
      <w:r>
        <w:t xml:space="preserve">Izvērtējot apelācijas sūdzībā minētos argumentus, ka </w:t>
      </w:r>
      <w:r w:rsidR="00FA30EF">
        <w:t>[pers. A]</w:t>
      </w:r>
      <w:r>
        <w:t xml:space="preserve"> nav bijis nolūks nonāvēt </w:t>
      </w:r>
      <w:r w:rsidR="00FA30EF">
        <w:t>[pers. B]</w:t>
      </w:r>
      <w:r>
        <w:t xml:space="preserve">, un tos noraidot kā nepamatotus, apelācijas instances tiesa atzinusi, ka </w:t>
      </w:r>
      <w:r w:rsidR="00FA30EF">
        <w:t>[pers. A]</w:t>
      </w:r>
      <w:r>
        <w:t xml:space="preserve"> darbības pareizi kvalificētas pēc Krimināllikuma </w:t>
      </w:r>
      <w:proofErr w:type="gramStart"/>
      <w:r>
        <w:t>116.panta</w:t>
      </w:r>
      <w:proofErr w:type="gramEnd"/>
      <w:r>
        <w:t xml:space="preserve"> kā </w:t>
      </w:r>
      <w:r w:rsidR="004D5543">
        <w:t xml:space="preserve">ar tiešu nodomu izdarīta </w:t>
      </w:r>
      <w:r>
        <w:t>slepkavība. Savus atzinumus šajā daļā apelācijas instances tiesa pamatojusi ar lietā iegūtajiem un tiesas sēdē pārbaudītiem pierādījumiem, kas izvērtēti atbilstoši Kriminālprocesa likumā noteiktajām prasībām.</w:t>
      </w:r>
    </w:p>
    <w:p w14:paraId="386D0919" w14:textId="597A6EB6" w:rsidR="00081E59" w:rsidRPr="006424C0" w:rsidRDefault="00081E59" w:rsidP="006424C0">
      <w:pPr>
        <w:spacing w:line="276" w:lineRule="auto"/>
        <w:ind w:firstLine="720"/>
        <w:contextualSpacing/>
        <w:jc w:val="both"/>
        <w:rPr>
          <w:i/>
          <w:iCs/>
        </w:rPr>
      </w:pPr>
      <w:r>
        <w:t xml:space="preserve">Lai personas darbības kvalificētu pēc Krimināllikuma </w:t>
      </w:r>
      <w:proofErr w:type="gramStart"/>
      <w:r>
        <w:t>116.panta</w:t>
      </w:r>
      <w:proofErr w:type="gramEnd"/>
      <w:r>
        <w:t xml:space="preserve"> kā izdarītas ar tiešu nodomu,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un citus apstākļus, kas var liecināt par vainīgā nodomu (</w:t>
      </w:r>
      <w:r w:rsidR="006424C0" w:rsidRPr="006424C0">
        <w:rPr>
          <w:i/>
        </w:rPr>
        <w:t>Latvijas Republikas Augstākās tiesas Plēnum</w:t>
      </w:r>
      <w:r w:rsidR="00687725">
        <w:rPr>
          <w:i/>
        </w:rPr>
        <w:t>s</w:t>
      </w:r>
      <w:r w:rsidR="006424C0" w:rsidRPr="006424C0">
        <w:rPr>
          <w:i/>
        </w:rPr>
        <w:t xml:space="preserve"> 1992.gada 24.februāra lēmums Nr. 1 „Par Krimināllikuma piemērošanu lietās par tīšām slepkavībām” 2.punkts. – Latvijas Republikas Augstākās tiesas Plēnuma lēmumu krājums, Rīga, 2000., 20.lpp.</w:t>
      </w:r>
      <w:r>
        <w:t>).</w:t>
      </w:r>
      <w:r w:rsidRPr="00081E59">
        <w:t xml:space="preserve"> </w:t>
      </w:r>
      <w:r w:rsidR="00EE4F72">
        <w:t>U</w:t>
      </w:r>
      <w:r>
        <w:t>z vainīgā nodomu attiecībā pret nāvi var norādīt dzīvībai izteikti bīstama veida rīku un līdzekļu, piemēram, aukstā ieroča, kas tūlīt spēj sagādāt nāvi, izmantošana (</w:t>
      </w:r>
      <w:r>
        <w:rPr>
          <w:i/>
          <w:iCs/>
        </w:rPr>
        <w:t>Tiesu prakse krimināllietās par slepkavībām (Krimināllikuma 116.-118.pants) 2009/2010, 110.lpp. Pieejams</w:t>
      </w:r>
      <w:r w:rsidR="006424C0">
        <w:rPr>
          <w:i/>
          <w:iCs/>
        </w:rPr>
        <w:t>: </w:t>
      </w:r>
      <w:hyperlink r:id="rId9" w:history="1">
        <w:r w:rsidR="006424C0" w:rsidRPr="006424C0">
          <w:rPr>
            <w:rStyle w:val="Hyperlink"/>
            <w:i/>
            <w:color w:val="auto"/>
            <w:u w:val="none"/>
          </w:rPr>
          <w:t>http://www.at.gov.lv/lv/judikatura/tiesu-prakses-apkopojumi/kriminaltiesibas</w:t>
        </w:r>
      </w:hyperlink>
      <w:r>
        <w:t>).</w:t>
      </w:r>
    </w:p>
    <w:p w14:paraId="59811DCB" w14:textId="0CA6B573" w:rsidR="00081E59" w:rsidRDefault="00081E59" w:rsidP="00D4791E">
      <w:pPr>
        <w:spacing w:line="276" w:lineRule="auto"/>
        <w:ind w:firstLine="720"/>
        <w:contextualSpacing/>
        <w:jc w:val="both"/>
      </w:pPr>
      <w:r>
        <w:t>Atzīstot par pamatot</w:t>
      </w:r>
      <w:r w:rsidR="004D1399">
        <w:t>u</w:t>
      </w:r>
      <w:r>
        <w:t xml:space="preserve"> pirmās instances tiesas spriedumā secināto</w:t>
      </w:r>
      <w:r w:rsidR="004D1399">
        <w:t xml:space="preserve">, ka </w:t>
      </w:r>
      <w:r w:rsidR="00FA30EF">
        <w:t>[pers. B]</w:t>
      </w:r>
      <w:r w:rsidR="004D1399">
        <w:t xml:space="preserve"> slepkavību </w:t>
      </w:r>
      <w:r w:rsidR="00FA30EF">
        <w:t>[pers. A]</w:t>
      </w:r>
      <w:r w:rsidR="004D1399">
        <w:t xml:space="preserve"> izdarījis ar tiešu nodomu, </w:t>
      </w:r>
      <w:r w:rsidR="00EE4F72">
        <w:t xml:space="preserve">kas tika apstrīdēts </w:t>
      </w:r>
      <w:r w:rsidR="00FA30EF">
        <w:t>[pers. A]</w:t>
      </w:r>
      <w:r w:rsidR="00EE4F72">
        <w:t xml:space="preserve"> un viņa aizstāvja apelācijas sūdzībā</w:t>
      </w:r>
      <w:r w:rsidR="00AE6BE1">
        <w:t>s</w:t>
      </w:r>
      <w:r w:rsidR="00EE4F72">
        <w:t xml:space="preserve">, </w:t>
      </w:r>
      <w:r w:rsidR="004D1399">
        <w:t>apelācijas instances tiesa</w:t>
      </w:r>
      <w:r w:rsidR="00806D97">
        <w:t xml:space="preserve">, </w:t>
      </w:r>
      <w:r w:rsidR="004D5543">
        <w:t>ievērojot</w:t>
      </w:r>
      <w:r w:rsidR="00806D97">
        <w:t xml:space="preserve"> judikatūrā paustās atziņas</w:t>
      </w:r>
      <w:r w:rsidR="0059455C">
        <w:t xml:space="preserve"> un lietā konstatētos faktiskos apstākļus</w:t>
      </w:r>
      <w:r w:rsidR="00806D97">
        <w:t>,</w:t>
      </w:r>
      <w:r w:rsidR="004D1399">
        <w:t xml:space="preserve"> savu viedokli pamatojusi ar nolēmumā izvērtētiem pierādījumiem</w:t>
      </w:r>
      <w:r w:rsidR="00806D97">
        <w:t>.</w:t>
      </w:r>
    </w:p>
    <w:p w14:paraId="78309313" w14:textId="3B56D62A" w:rsidR="00D83F2D" w:rsidRDefault="004D1399" w:rsidP="00D83F2D">
      <w:pPr>
        <w:spacing w:line="276" w:lineRule="auto"/>
        <w:ind w:firstLine="720"/>
        <w:contextualSpacing/>
        <w:jc w:val="both"/>
      </w:pPr>
      <w:r>
        <w:lastRenderedPageBreak/>
        <w:t>Apelācijas instances tiesa</w:t>
      </w:r>
      <w:r w:rsidR="00596B84">
        <w:t xml:space="preserve"> </w:t>
      </w:r>
      <w:r w:rsidR="00806D97">
        <w:t xml:space="preserve">izvērtējusi un </w:t>
      </w:r>
      <w:r w:rsidR="00B62733">
        <w:t>atzinusi par ticamām</w:t>
      </w:r>
      <w:r w:rsidR="00806D97">
        <w:t xml:space="preserve"> liecinieces</w:t>
      </w:r>
      <w:r>
        <w:t xml:space="preserve"> </w:t>
      </w:r>
      <w:r w:rsidR="00FA30EF">
        <w:t>[pers. C]</w:t>
      </w:r>
      <w:r>
        <w:t xml:space="preserve"> liecīb</w:t>
      </w:r>
      <w:r w:rsidR="00B62733">
        <w:t>as</w:t>
      </w:r>
      <w:r w:rsidR="00596B84">
        <w:t xml:space="preserve">, ka </w:t>
      </w:r>
      <w:r w:rsidR="00FA30EF">
        <w:t>[pers. A]</w:t>
      </w:r>
      <w:r w:rsidR="00806D97" w:rsidRPr="002047A5">
        <w:t>, greizsirdības motīvu vadīts,</w:t>
      </w:r>
      <w:r w:rsidR="00596B84" w:rsidRPr="002047A5">
        <w:t xml:space="preserve"> </w:t>
      </w:r>
      <w:r w:rsidRPr="002047A5">
        <w:t>sūtī</w:t>
      </w:r>
      <w:r w:rsidR="00434B1A" w:rsidRPr="002047A5">
        <w:t>jis</w:t>
      </w:r>
      <w:r w:rsidR="00B62733">
        <w:t xml:space="preserve"> viņai</w:t>
      </w:r>
      <w:r w:rsidR="00596B84">
        <w:t xml:space="preserve"> īsziņ</w:t>
      </w:r>
      <w:r w:rsidR="00434B1A">
        <w:t>as</w:t>
      </w:r>
      <w:r w:rsidR="00596B84">
        <w:t xml:space="preserve"> ar</w:t>
      </w:r>
      <w:r>
        <w:t xml:space="preserve"> draudiem noslepkavot </w:t>
      </w:r>
      <w:r w:rsidR="00434B1A">
        <w:t>gan viņu</w:t>
      </w:r>
      <w:r>
        <w:t xml:space="preserve">, </w:t>
      </w:r>
      <w:r w:rsidR="00434B1A">
        <w:t>gan</w:t>
      </w:r>
      <w:r>
        <w:t xml:space="preserve"> arī </w:t>
      </w:r>
      <w:r w:rsidR="00FA30EF">
        <w:t>[pers. B]</w:t>
      </w:r>
      <w:r w:rsidR="00434B1A">
        <w:t>.</w:t>
      </w:r>
      <w:r>
        <w:t xml:space="preserve"> </w:t>
      </w:r>
      <w:r w:rsidR="00434B1A">
        <w:t>Ī</w:t>
      </w:r>
      <w:r w:rsidR="00596B84">
        <w:t>sziņ</w:t>
      </w:r>
      <w:r w:rsidR="00434B1A">
        <w:t>as</w:t>
      </w:r>
      <w:r w:rsidR="00596B84">
        <w:t xml:space="preserve"> tekstam </w:t>
      </w:r>
      <w:r w:rsidR="00FA30EF">
        <w:t>[pers. A]</w:t>
      </w:r>
      <w:r w:rsidR="00434B1A">
        <w:t xml:space="preserve"> </w:t>
      </w:r>
      <w:r w:rsidR="00596B84">
        <w:t>pievieno</w:t>
      </w:r>
      <w:r w:rsidR="00434B1A">
        <w:t>jis</w:t>
      </w:r>
      <w:r w:rsidR="00596B84">
        <w:t xml:space="preserve"> arī naža attēl</w:t>
      </w:r>
      <w:r w:rsidR="00434B1A">
        <w:t>u</w:t>
      </w:r>
      <w:r w:rsidR="00596B84">
        <w:t>. B</w:t>
      </w:r>
      <w:r>
        <w:t xml:space="preserve">aidoties no </w:t>
      </w:r>
      <w:r w:rsidR="00FA30EF">
        <w:t>[pers. A]</w:t>
      </w:r>
      <w:r w:rsidR="00596B84">
        <w:t xml:space="preserve"> viņai </w:t>
      </w:r>
      <w:r>
        <w:t xml:space="preserve">izteiktajiem draudiem, </w:t>
      </w:r>
      <w:r w:rsidR="00FA30EF">
        <w:t>[pers. B]</w:t>
      </w:r>
      <w:r>
        <w:t xml:space="preserve"> viņu pavadījis uz darbavietu,</w:t>
      </w:r>
      <w:r w:rsidR="00596B84">
        <w:t xml:space="preserve"> kuru </w:t>
      </w:r>
      <w:r w:rsidR="00434B1A">
        <w:t>zinājis</w:t>
      </w:r>
      <w:r w:rsidR="00596B84">
        <w:t xml:space="preserve"> </w:t>
      </w:r>
      <w:r w:rsidR="0019231A">
        <w:t xml:space="preserve">arī </w:t>
      </w:r>
      <w:r w:rsidR="00FA30EF">
        <w:t>[pers. A]</w:t>
      </w:r>
      <w:r w:rsidR="00596B84">
        <w:t xml:space="preserve">, kā arī </w:t>
      </w:r>
      <w:r>
        <w:t xml:space="preserve">sagaidījis </w:t>
      </w:r>
      <w:r w:rsidR="00596B84">
        <w:t>viņu</w:t>
      </w:r>
      <w:r>
        <w:t xml:space="preserve"> darba</w:t>
      </w:r>
      <w:r w:rsidR="00596B84">
        <w:t>dienas beigā</w:t>
      </w:r>
      <w:r w:rsidR="004D5543">
        <w:t>s</w:t>
      </w:r>
      <w:r>
        <w:t>.</w:t>
      </w:r>
      <w:r w:rsidR="00806D97">
        <w:t xml:space="preserve"> A</w:t>
      </w:r>
      <w:r w:rsidR="00596B84">
        <w:t xml:space="preserve">pelācijas instances tiesa </w:t>
      </w:r>
      <w:r w:rsidR="00AE6BE1">
        <w:t xml:space="preserve">atzinusi par pamatotu pirmās instances tiesas secināto, </w:t>
      </w:r>
      <w:r w:rsidR="00596B84">
        <w:t>ka</w:t>
      </w:r>
      <w:r w:rsidR="00434B1A">
        <w:t xml:space="preserve"> </w:t>
      </w:r>
      <w:r w:rsidR="00FA30EF">
        <w:t>[pers. A]</w:t>
      </w:r>
      <w:r w:rsidR="00434B1A">
        <w:t xml:space="preserve"> notikuma vietā ieradies</w:t>
      </w:r>
      <w:r w:rsidR="00806D97">
        <w:t>, lai īstenotu savu nodomu</w:t>
      </w:r>
      <w:r w:rsidR="00434B1A">
        <w:t>, jo zināj</w:t>
      </w:r>
      <w:r w:rsidR="0019231A">
        <w:t>is</w:t>
      </w:r>
      <w:r w:rsidR="00434B1A">
        <w:t xml:space="preserve">, ka šajā laikā tur </w:t>
      </w:r>
      <w:r w:rsidR="00CB13F3">
        <w:t>varēs satikt</w:t>
      </w:r>
      <w:r w:rsidR="00434B1A">
        <w:t xml:space="preserve"> </w:t>
      </w:r>
      <w:r w:rsidR="00FA30EF">
        <w:t>[pers. B]</w:t>
      </w:r>
      <w:r w:rsidR="00434B1A">
        <w:t xml:space="preserve">. </w:t>
      </w:r>
    </w:p>
    <w:p w14:paraId="44DC5795" w14:textId="0EE05605" w:rsidR="00E33AB2" w:rsidRDefault="00806D97" w:rsidP="00D83F2D">
      <w:pPr>
        <w:spacing w:line="276" w:lineRule="auto"/>
        <w:ind w:firstLine="720"/>
        <w:contextualSpacing/>
        <w:jc w:val="both"/>
      </w:pPr>
      <w:r>
        <w:t>A</w:t>
      </w:r>
      <w:r w:rsidR="00415F00">
        <w:t xml:space="preserve">pelācijas instances tiesa izvērtējusi </w:t>
      </w:r>
      <w:r w:rsidR="00FA30EF">
        <w:t>[pers. B]</w:t>
      </w:r>
      <w:r w:rsidR="00415F00">
        <w:t xml:space="preserve"> līķa tiesu medicīniskās ekspertīzes atzinumā secināto</w:t>
      </w:r>
      <w:r w:rsidR="00E33AB2">
        <w:t xml:space="preserve"> par </w:t>
      </w:r>
      <w:r w:rsidR="0084381B">
        <w:t>viņam</w:t>
      </w:r>
      <w:r w:rsidR="00E33AB2">
        <w:t xml:space="preserve"> konstatēt</w:t>
      </w:r>
      <w:r w:rsidR="00D53FE5">
        <w:t>o miesas bojājumu raksturu</w:t>
      </w:r>
      <w:r w:rsidR="00D83F2D">
        <w:t xml:space="preserve">, kā arī neilgi pēc noziedzīgā nodarījuma lieciniecei </w:t>
      </w:r>
      <w:r w:rsidR="00FA30EF">
        <w:t>[pers. C]</w:t>
      </w:r>
      <w:r w:rsidR="00D83F2D">
        <w:t xml:space="preserve"> nosūtītās īsziņas saturu.</w:t>
      </w:r>
    </w:p>
    <w:p w14:paraId="30B862E2" w14:textId="6723AA96" w:rsidR="00022957" w:rsidRDefault="002828D4" w:rsidP="004D5543">
      <w:pPr>
        <w:spacing w:line="276" w:lineRule="auto"/>
        <w:ind w:firstLine="720"/>
        <w:contextualSpacing/>
        <w:jc w:val="both"/>
      </w:pPr>
      <w:r>
        <w:t>Atspēkojot apelācijas sūdzībās paustos apgalvojumus par medicīniskās palīdzības nesavlai</w:t>
      </w:r>
      <w:r w:rsidR="00E33AB2">
        <w:t>cīgu sniegšanu</w:t>
      </w:r>
      <w:r>
        <w:t xml:space="preserve"> un </w:t>
      </w:r>
      <w:r w:rsidR="00E33AB2">
        <w:t xml:space="preserve">tās </w:t>
      </w:r>
      <w:r>
        <w:t>nepietiekamo kvalitāti, apelācijas instances tiesa izvērtējusi Neatliekamās medicīniskās palīdzības dienesta izsaukuma kartē fiksētās ziņas</w:t>
      </w:r>
      <w:r w:rsidR="00193E33">
        <w:t xml:space="preserve">, šā dienesta brigādes vadītājas, liecinieces </w:t>
      </w:r>
      <w:r w:rsidR="00FA30EF">
        <w:t>[pers. D]</w:t>
      </w:r>
      <w:r w:rsidR="00193E33">
        <w:t xml:space="preserve"> liecības</w:t>
      </w:r>
      <w:r w:rsidR="00483286">
        <w:t xml:space="preserve"> par cietušā </w:t>
      </w:r>
      <w:r w:rsidR="00FA30EF">
        <w:t>[pers. B]</w:t>
      </w:r>
      <w:r w:rsidR="00483286">
        <w:t xml:space="preserve"> stāvokli</w:t>
      </w:r>
      <w:r w:rsidR="00193E33">
        <w:t>,</w:t>
      </w:r>
      <w:r w:rsidR="00C20B8B">
        <w:t xml:space="preserve"> mediķiem ierodoties notikuma vietā.</w:t>
      </w:r>
      <w:r w:rsidR="00193E33">
        <w:t xml:space="preserve"> </w:t>
      </w:r>
      <w:r w:rsidR="00C20B8B">
        <w:t>P</w:t>
      </w:r>
      <w:r w:rsidR="00810B27">
        <w:t xml:space="preserve">roti, </w:t>
      </w:r>
      <w:r w:rsidR="00483286">
        <w:t xml:space="preserve">ka </w:t>
      </w:r>
      <w:r w:rsidR="00FA30EF">
        <w:t>[pers. B]</w:t>
      </w:r>
      <w:r w:rsidR="00810B27">
        <w:t xml:space="preserve"> bijis agonijā, </w:t>
      </w:r>
      <w:r w:rsidR="00193E33">
        <w:t xml:space="preserve">tādēļ </w:t>
      </w:r>
      <w:r w:rsidR="00810B27">
        <w:t>veikt</w:t>
      </w:r>
      <w:r w:rsidR="00AE6BE1">
        <w:t>a reanimācija</w:t>
      </w:r>
      <w:r w:rsidR="00483286">
        <w:t xml:space="preserve"> viņa</w:t>
      </w:r>
      <w:r w:rsidR="00193E33">
        <w:t xml:space="preserve"> </w:t>
      </w:r>
      <w:r w:rsidR="00810B27">
        <w:t xml:space="preserve">stāvokļa </w:t>
      </w:r>
      <w:r w:rsidR="00193E33">
        <w:t xml:space="preserve">stabilizēšanai, kas </w:t>
      </w:r>
      <w:r w:rsidR="00483286">
        <w:t>tomēr nav devu</w:t>
      </w:r>
      <w:r w:rsidR="00AE6BE1">
        <w:t>si</w:t>
      </w:r>
      <w:r w:rsidR="00483286">
        <w:t xml:space="preserve"> </w:t>
      </w:r>
      <w:r w:rsidR="00193E33">
        <w:t xml:space="preserve">rezultātu un cietušais nomiris. Apelācijas instances tiesa </w:t>
      </w:r>
      <w:r w:rsidR="00810B27">
        <w:t xml:space="preserve">izvērtējusi arī </w:t>
      </w:r>
      <w:r w:rsidR="00FA30EF">
        <w:t>[pers. B]</w:t>
      </w:r>
      <w:r w:rsidR="00193E33">
        <w:t xml:space="preserve"> </w:t>
      </w:r>
      <w:r w:rsidR="00810B27">
        <w:t>līķa tiesu medicīniskās ekspertīzes atzinumā Nr. 6 secināto, proti</w:t>
      </w:r>
      <w:r>
        <w:t xml:space="preserve">, </w:t>
      </w:r>
      <w:r w:rsidR="00193E33">
        <w:t xml:space="preserve">ka </w:t>
      </w:r>
      <w:r w:rsidR="00FA30EF">
        <w:t>[pers. B]</w:t>
      </w:r>
      <w:r w:rsidR="00193E33">
        <w:t xml:space="preserve"> nāve iestājusies no durti griezta krūšu kurvja ievainojuma ar sirds bojājumu, ko pavadīja asiņošan</w:t>
      </w:r>
      <w:r w:rsidR="00810B27">
        <w:t>a</w:t>
      </w:r>
      <w:r w:rsidR="00193E33">
        <w:t xml:space="preserve"> sirds somiņā un kreisās pleiras dobumā, ka pēc šāda smaga miesas bojājuma </w:t>
      </w:r>
      <w:r w:rsidR="00FA30EF">
        <w:t>[pers. B]</w:t>
      </w:r>
      <w:r w:rsidR="00193E33">
        <w:t xml:space="preserve"> varējis dzīvot tikai daž</w:t>
      </w:r>
      <w:r w:rsidR="00810B27">
        <w:t>u</w:t>
      </w:r>
      <w:r w:rsidR="00193E33">
        <w:t>s desmitus minūšu.</w:t>
      </w:r>
      <w:r w:rsidR="00810B27">
        <w:t xml:space="preserve"> </w:t>
      </w:r>
      <w:r w:rsidR="00483286">
        <w:t xml:space="preserve">Apelācijas instances tiesa nav konstatējusi pierādījumus aizstāvja sūdzībā paustajam apgalvojumam par novēlotu un nekvalitatīvu medicīnisko palīdzību </w:t>
      </w:r>
      <w:r w:rsidR="00FA30EF">
        <w:t>[pers. B]</w:t>
      </w:r>
      <w:r w:rsidR="00483286">
        <w:t>, kā arī atzinusi par pamatotu pirmās instances tiesas secinā</w:t>
      </w:r>
      <w:r w:rsidR="00C20B8B">
        <w:t>to</w:t>
      </w:r>
      <w:r w:rsidR="00483286">
        <w:t xml:space="preserve"> par</w:t>
      </w:r>
      <w:r w:rsidR="00810B27">
        <w:t xml:space="preserve"> cēloņsakarību starp </w:t>
      </w:r>
      <w:r w:rsidR="00FA30EF">
        <w:t>[pers. A]</w:t>
      </w:r>
      <w:r w:rsidR="00810B27">
        <w:t xml:space="preserve"> nodarīto smago miesas bojājumu </w:t>
      </w:r>
      <w:r w:rsidR="00FA30EF">
        <w:t>[pers. B]</w:t>
      </w:r>
      <w:r w:rsidR="00810B27">
        <w:t xml:space="preserve"> un viņa nāvi</w:t>
      </w:r>
      <w:r w:rsidR="00483286">
        <w:t>.</w:t>
      </w:r>
    </w:p>
    <w:p w14:paraId="44FFBBC9" w14:textId="3BCA1EDE" w:rsidR="006C18F3" w:rsidRDefault="00483286" w:rsidP="006C18F3">
      <w:pPr>
        <w:spacing w:after="0" w:line="276" w:lineRule="auto"/>
        <w:ind w:firstLine="720"/>
        <w:jc w:val="both"/>
      </w:pPr>
      <w:r>
        <w:t>Senāts atzīst par nepamatotu advokāta p</w:t>
      </w:r>
      <w:r w:rsidR="00010D3C">
        <w:t xml:space="preserve">ieteikumā </w:t>
      </w:r>
      <w:r>
        <w:t>pausto apgalvojumu</w:t>
      </w:r>
      <w:r w:rsidR="00010D3C">
        <w:t xml:space="preserve">, ka pārkāptas </w:t>
      </w:r>
      <w:r w:rsidR="00FA30EF">
        <w:t>[pers. A]</w:t>
      </w:r>
      <w:r w:rsidR="00010D3C">
        <w:t xml:space="preserve"> tiesības uz aizstāvību, noraid</w:t>
      </w:r>
      <w:r w:rsidR="00C20B8B">
        <w:t>ot</w:t>
      </w:r>
      <w:r w:rsidR="00010D3C">
        <w:t xml:space="preserve"> </w:t>
      </w:r>
      <w:r w:rsidR="00C20B8B">
        <w:t xml:space="preserve">aizstāvja </w:t>
      </w:r>
      <w:r w:rsidR="00010D3C">
        <w:t>pieteikto lūgumu noteikt atkārtotu tiesu medicīnisko ekspertīzi.</w:t>
      </w:r>
    </w:p>
    <w:p w14:paraId="06A201D9" w14:textId="7D0EAE1A" w:rsidR="00DC2EBC" w:rsidRDefault="006C18F3" w:rsidP="006C18F3">
      <w:pPr>
        <w:spacing w:after="0" w:line="276" w:lineRule="auto"/>
        <w:ind w:firstLine="720"/>
        <w:jc w:val="both"/>
      </w:pPr>
      <w:r>
        <w:t xml:space="preserve">No advokāta U. Lapiņa apelācijas sūdzības un </w:t>
      </w:r>
      <w:r w:rsidR="009B4D40">
        <w:t xml:space="preserve">apelācijas instances tiesas </w:t>
      </w:r>
      <w:proofErr w:type="gramStart"/>
      <w:r>
        <w:t>2019.gada</w:t>
      </w:r>
      <w:proofErr w:type="gramEnd"/>
      <w:r>
        <w:t xml:space="preserve"> 11.oktobra tiesas sēdes protokol</w:t>
      </w:r>
      <w:r w:rsidR="00AE6BE1">
        <w:t>a satura</w:t>
      </w:r>
      <w:r>
        <w:t xml:space="preserve"> konstatējams, ka pietei</w:t>
      </w:r>
      <w:r w:rsidR="009B4D40">
        <w:t>kt</w:t>
      </w:r>
      <w:r>
        <w:t>s lūgum</w:t>
      </w:r>
      <w:r w:rsidR="009B4D40">
        <w:t>s</w:t>
      </w:r>
      <w:r>
        <w:t xml:space="preserve"> </w:t>
      </w:r>
      <w:r w:rsidR="009B4D40">
        <w:t xml:space="preserve">atkārtoti uzaicināt un nopratināt </w:t>
      </w:r>
      <w:r>
        <w:t>tiesu medicīnas ekspert</w:t>
      </w:r>
      <w:r w:rsidR="009B4D40">
        <w:t>u</w:t>
      </w:r>
      <w:r>
        <w:t xml:space="preserve"> un </w:t>
      </w:r>
      <w:r w:rsidR="00FA30EF">
        <w:t>[pers. C]</w:t>
      </w:r>
      <w:r w:rsidR="009B4D40">
        <w:t>.</w:t>
      </w:r>
      <w:r>
        <w:t xml:space="preserve"> </w:t>
      </w:r>
      <w:r w:rsidR="009B4D40">
        <w:t>A</w:t>
      </w:r>
      <w:r>
        <w:t xml:space="preserve">pelācijas instances tiesa atbilstoši Kriminālprocesa likuma </w:t>
      </w:r>
      <w:proofErr w:type="gramStart"/>
      <w:r>
        <w:t>496.panta</w:t>
      </w:r>
      <w:proofErr w:type="gramEnd"/>
      <w:r>
        <w:t xml:space="preserve"> otrajā daļā noteiktajam ir izvērtējusi aizstāvja apelācijas sūdzībā pieteikto un tiesas sēdē uzturēto lūgumu. Pamatojot </w:t>
      </w:r>
      <w:r w:rsidR="009B4D40">
        <w:t>savu lēmumu noraidīt pieteikto lūgumu</w:t>
      </w:r>
      <w:r>
        <w:t>, apelācijas instances tiesa norādījusi, ka lieci</w:t>
      </w:r>
      <w:r w:rsidR="00D83F2D">
        <w:t xml:space="preserve">nieki </w:t>
      </w:r>
      <w:r w:rsidR="00FA30EF">
        <w:t>[pers. E]</w:t>
      </w:r>
      <w:r w:rsidR="009B4D40">
        <w:t xml:space="preserve"> un </w:t>
      </w:r>
      <w:r w:rsidR="00FA30EF">
        <w:t>[pers. C]</w:t>
      </w:r>
      <w:r>
        <w:t xml:space="preserve"> ir nopratināt</w:t>
      </w:r>
      <w:r w:rsidR="00D83F2D">
        <w:t>i</w:t>
      </w:r>
      <w:r>
        <w:t xml:space="preserve"> pirmās instances tiesā</w:t>
      </w:r>
      <w:r w:rsidR="009B4D40">
        <w:t>, ka</w:t>
      </w:r>
      <w:r w:rsidR="00D83F2D">
        <w:t>d</w:t>
      </w:r>
      <w:r w:rsidR="009B4D40">
        <w:t xml:space="preserve"> gan </w:t>
      </w:r>
      <w:r w:rsidR="00FA30EF">
        <w:t>[pers. A]</w:t>
      </w:r>
      <w:r w:rsidR="009B4D40">
        <w:t>, gan viņa aizstāvim bija iespēja liecinie</w:t>
      </w:r>
      <w:r w:rsidR="00D83F2D">
        <w:t>kiem</w:t>
      </w:r>
      <w:r w:rsidR="009B4D40">
        <w:t xml:space="preserve"> uzdot jautājumus. </w:t>
      </w:r>
    </w:p>
    <w:p w14:paraId="7D88384C" w14:textId="39635E01" w:rsidR="006C18F3" w:rsidRDefault="00DC2EBC" w:rsidP="006C18F3">
      <w:pPr>
        <w:spacing w:after="0" w:line="276" w:lineRule="auto"/>
        <w:ind w:firstLine="720"/>
        <w:jc w:val="both"/>
      </w:pPr>
      <w:r>
        <w:t>P</w:t>
      </w:r>
      <w:r w:rsidR="009B4D40">
        <w:t xml:space="preserve">ieteikumā norādot uz </w:t>
      </w:r>
      <w:r w:rsidR="00FA30EF">
        <w:t>[pers. A]</w:t>
      </w:r>
      <w:r w:rsidR="009B4D40">
        <w:t xml:space="preserve"> tiesību uz aizstāvību pārkāpumu, advokāts </w:t>
      </w:r>
      <w:r w:rsidR="004D5543">
        <w:t>vienlaikus</w:t>
      </w:r>
      <w:r w:rsidR="00AE6BE1">
        <w:t xml:space="preserve"> </w:t>
      </w:r>
      <w:r w:rsidR="009B4D40">
        <w:t>nav norādījis, kādi jautājumi palikuši nenoskaidroti, kā arī iemeslus, kā</w:t>
      </w:r>
      <w:r w:rsidR="00AE6BE1">
        <w:t>pēc</w:t>
      </w:r>
      <w:r>
        <w:t xml:space="preserve"> par šiem jautājumiem</w:t>
      </w:r>
      <w:r w:rsidR="00AE6BE1">
        <w:t xml:space="preserve"> </w:t>
      </w:r>
      <w:r w:rsidR="009B4D40">
        <w:t>liecinie</w:t>
      </w:r>
      <w:r w:rsidR="00687725">
        <w:t>ki</w:t>
      </w:r>
      <w:r>
        <w:t xml:space="preserve"> </w:t>
      </w:r>
      <w:r w:rsidR="009B4D40">
        <w:t>nav iz</w:t>
      </w:r>
      <w:r>
        <w:t>taujāt</w:t>
      </w:r>
      <w:r w:rsidR="00687725">
        <w:t>i</w:t>
      </w:r>
      <w:r w:rsidR="009B4D40">
        <w:t xml:space="preserve"> pirmās instances tiesā.</w:t>
      </w:r>
    </w:p>
    <w:p w14:paraId="76DF3B4A" w14:textId="0FE59EFF" w:rsidR="005827B9" w:rsidRDefault="009B4D40" w:rsidP="00390F26">
      <w:pPr>
        <w:spacing w:after="0" w:line="276" w:lineRule="auto"/>
        <w:ind w:firstLine="720"/>
        <w:jc w:val="both"/>
      </w:pPr>
      <w:r>
        <w:t xml:space="preserve">Turklāt </w:t>
      </w:r>
      <w:r w:rsidR="004D5543">
        <w:t>judikatūrā</w:t>
      </w:r>
      <w:r w:rsidR="006C18F3">
        <w:t xml:space="preserve"> jau iepriekš i</w:t>
      </w:r>
      <w:r w:rsidR="004D5543">
        <w:t>zteikta atziņa</w:t>
      </w:r>
      <w:r w:rsidR="006C18F3">
        <w:t xml:space="preserve">, ka apsūdzēto vai viņu aizstāvju pieteikto lūgumu motivēta noraidīšana lietas iztiesāšanas laikā nav vērtējama kā apsūdzētā tiesību ierobežošana, jo atbilstoši Kriminālprocesa likuma </w:t>
      </w:r>
      <w:proofErr w:type="gramStart"/>
      <w:r w:rsidR="006C18F3">
        <w:t>496.panta</w:t>
      </w:r>
      <w:proofErr w:type="gramEnd"/>
      <w:r w:rsidR="006C18F3">
        <w:t xml:space="preserve"> otrās daļas nosacījumiem tiesai procesā iesaistīto personu pieteiktie lūgumi ir jāizvērtē un jāizlemj, bet tai nav obligāts pienākums šos lūgumus apmierināt (</w:t>
      </w:r>
      <w:r w:rsidR="006C18F3" w:rsidRPr="008A1DF0">
        <w:rPr>
          <w:i/>
        </w:rPr>
        <w:t>Augstākās tiesas 2015.gad</w:t>
      </w:r>
      <w:r w:rsidR="00687725">
        <w:rPr>
          <w:i/>
        </w:rPr>
        <w:t>a 17.septembra lēmumu lietā Nr. </w:t>
      </w:r>
      <w:r w:rsidR="006C18F3" w:rsidRPr="008A1DF0">
        <w:rPr>
          <w:i/>
        </w:rPr>
        <w:t>SKK- 473/2015 (11096124414), 2019.gada 8.februāra lēmums lietā Nr. SKK-84/2019, ECLI:LV:AT:2019:0208.11096277914.6.L, 2019.gada 9.oktobra lēmums lietā Nr. SKK- 503/2019, ECLI:LV:AT:2019:1009.11520008217.4.L</w:t>
      </w:r>
      <w:r w:rsidR="006C18F3">
        <w:t>).</w:t>
      </w:r>
    </w:p>
    <w:p w14:paraId="4C23FCC1" w14:textId="77777777" w:rsidR="0084381B" w:rsidRDefault="0084381B" w:rsidP="00390F26">
      <w:pPr>
        <w:spacing w:after="0" w:line="276" w:lineRule="auto"/>
        <w:ind w:firstLine="720"/>
        <w:jc w:val="both"/>
      </w:pPr>
    </w:p>
    <w:p w14:paraId="025CC5DC" w14:textId="40061C72" w:rsidR="00727F0F" w:rsidRDefault="005827B9" w:rsidP="00727F0F">
      <w:pPr>
        <w:spacing w:after="0" w:line="276" w:lineRule="auto"/>
        <w:ind w:firstLine="720"/>
        <w:jc w:val="both"/>
      </w:pPr>
      <w:r>
        <w:lastRenderedPageBreak/>
        <w:t>[8] </w:t>
      </w:r>
      <w:r w:rsidR="00727F0F">
        <w:t xml:space="preserve">Kriminālprocesa likuma </w:t>
      </w:r>
      <w:proofErr w:type="gramStart"/>
      <w:r w:rsidR="00727F0F">
        <w:t>666.panta</w:t>
      </w:r>
      <w:proofErr w:type="gramEnd"/>
      <w:r w:rsidR="00727F0F">
        <w:t xml:space="preserve"> otrajā daļā noteic, ka pieteikumā norāda un motivē nolēmuma pārsūdzēšanas pamatu, kas minēts šā likuma 665.pantā. Minētā panta 3.punkts noteic, ka pieteikumu var iesniegt, ja šā likuma 574. vai </w:t>
      </w:r>
      <w:proofErr w:type="gramStart"/>
      <w:r w:rsidR="00727F0F">
        <w:t>575.pantā</w:t>
      </w:r>
      <w:proofErr w:type="gramEnd"/>
      <w:r w:rsidR="00727F0F">
        <w:t xml:space="preserve"> minētie pārkāpumi noveduši pie notiesātās personas stāvokļa nelikumīgas pasliktināšanās.</w:t>
      </w:r>
    </w:p>
    <w:p w14:paraId="3253FE29" w14:textId="0A51CF8A" w:rsidR="00A456B9" w:rsidRDefault="00727F0F" w:rsidP="00727F0F">
      <w:pPr>
        <w:spacing w:line="276" w:lineRule="auto"/>
        <w:ind w:firstLine="720"/>
        <w:contextualSpacing/>
        <w:jc w:val="both"/>
      </w:pPr>
      <w:r>
        <w:t xml:space="preserve">Arī </w:t>
      </w:r>
      <w:r w:rsidR="00A456B9">
        <w:t xml:space="preserve">Senāts jau iepriekš </w:t>
      </w:r>
      <w:r w:rsidR="004D5543">
        <w:t xml:space="preserve">ir </w:t>
      </w:r>
      <w:r w:rsidR="00A456B9">
        <w:t xml:space="preserve">norādījis, ka pieteikuma iesniedzējam, kurš atsaucies uz Krimināllikuma, Kriminālprocesa likuma pārkāpumu, jānorāda, kāda tieši Krimināllikuma norma pārkāpta vai kāds Kriminālprocesa likuma pārkāpums pieļauts, izskatot lietu, un kādēļ šis pārkāpums atzīstams par Kriminālprocesa likuma būtisku pārkāpumu šā likuma </w:t>
      </w:r>
      <w:proofErr w:type="gramStart"/>
      <w:r w:rsidR="00A456B9">
        <w:t>575.panta</w:t>
      </w:r>
      <w:proofErr w:type="gramEnd"/>
      <w:r w:rsidR="00A456B9">
        <w:t xml:space="preserve"> izpratnē, kā arī jānorāda, kā šie pārkāpumi noveduši pie notiesātās personas stāvokļa nelikumīgas pasliktināšanās (</w:t>
      </w:r>
      <w:r w:rsidR="00A456B9" w:rsidRPr="005125CF">
        <w:rPr>
          <w:i/>
        </w:rPr>
        <w:t>Augstākās tiesas 2018.ga</w:t>
      </w:r>
      <w:r w:rsidR="00A456B9">
        <w:rPr>
          <w:i/>
        </w:rPr>
        <w:t>da 12.decembra lēmums lietā Nr. </w:t>
      </w:r>
      <w:r w:rsidR="00A456B9" w:rsidRPr="005125CF">
        <w:rPr>
          <w:i/>
        </w:rPr>
        <w:t>SKK-J-557/2018, ECLI:LV:AT:2018:1212.11330066804.1.L</w:t>
      </w:r>
      <w:r w:rsidR="00A456B9">
        <w:t xml:space="preserve">). </w:t>
      </w:r>
    </w:p>
    <w:p w14:paraId="5E7E2957" w14:textId="0E398BAF" w:rsidR="00CD2475" w:rsidRDefault="00A456B9" w:rsidP="00A456B9">
      <w:pPr>
        <w:spacing w:line="276" w:lineRule="auto"/>
        <w:ind w:firstLine="720"/>
        <w:contextualSpacing/>
        <w:jc w:val="both"/>
      </w:pPr>
      <w:r>
        <w:t>Pieteikumā</w:t>
      </w:r>
      <w:r w:rsidR="00CD2475">
        <w:t xml:space="preserve"> apgalvojot</w:t>
      </w:r>
      <w:r>
        <w:t>, ka apelācijas instances tiesa</w:t>
      </w:r>
      <w:r w:rsidR="00CD2475">
        <w:t>i bija jāapsver</w:t>
      </w:r>
      <w:r>
        <w:t xml:space="preserve"> </w:t>
      </w:r>
      <w:r w:rsidR="00CD2475">
        <w:t xml:space="preserve">nepieciešamība piemērot </w:t>
      </w:r>
      <w:r>
        <w:t xml:space="preserve">Krimināllikuma </w:t>
      </w:r>
      <w:proofErr w:type="gramStart"/>
      <w:r>
        <w:t>29.panta</w:t>
      </w:r>
      <w:proofErr w:type="gramEnd"/>
      <w:r w:rsidR="00CD2475">
        <w:t xml:space="preserve"> ceturto daļu un 47.panta nosacījumus, pieteikuma iesniedzējs </w:t>
      </w:r>
      <w:r w:rsidR="00D53FE5">
        <w:t>šādu apgalvojumu nav pamatojis.</w:t>
      </w:r>
      <w:r w:rsidR="00CD2475">
        <w:t xml:space="preserve"> </w:t>
      </w:r>
    </w:p>
    <w:p w14:paraId="1984B22D" w14:textId="6D713A20" w:rsidR="0037003C" w:rsidRDefault="00727F0F" w:rsidP="00DE5AE4">
      <w:pPr>
        <w:spacing w:line="276" w:lineRule="auto"/>
        <w:ind w:firstLine="720"/>
        <w:contextualSpacing/>
        <w:jc w:val="both"/>
      </w:pPr>
      <w:r>
        <w:t>Vienlaikus no apelācijas instances tiesas nolēmuma konstatējams, ka</w:t>
      </w:r>
      <w:r w:rsidR="00D53FE5">
        <w:t xml:space="preserve"> tiesa atzinusi par nepamatotiem apelācijas sūdzībās paustos apgalvojumus</w:t>
      </w:r>
      <w:r w:rsidR="00147302">
        <w:t xml:space="preserve">, ka </w:t>
      </w:r>
      <w:r w:rsidR="00FA30EF">
        <w:t>[pers. B]</w:t>
      </w:r>
      <w:r w:rsidR="004C60B5">
        <w:t xml:space="preserve"> miesas bojājumus</w:t>
      </w:r>
      <w:r w:rsidR="0059455C">
        <w:t xml:space="preserve"> – </w:t>
      </w:r>
      <w:r w:rsidR="0059455C" w:rsidRPr="002047A5">
        <w:t>durti</w:t>
      </w:r>
      <w:r w:rsidR="002047A5">
        <w:t xml:space="preserve"> </w:t>
      </w:r>
      <w:r w:rsidR="0059455C" w:rsidRPr="002047A5">
        <w:t>grieztu</w:t>
      </w:r>
      <w:r w:rsidR="0059455C">
        <w:t xml:space="preserve"> brūci kreisā augšdelma, labā apakšstilba un jostas apvidū, </w:t>
      </w:r>
      <w:r w:rsidR="0059455C" w:rsidRPr="002047A5">
        <w:t>durti</w:t>
      </w:r>
      <w:r w:rsidR="002047A5">
        <w:t xml:space="preserve"> </w:t>
      </w:r>
      <w:r w:rsidR="0059455C" w:rsidRPr="002047A5">
        <w:t>grieztu</w:t>
      </w:r>
      <w:r w:rsidR="0059455C">
        <w:t xml:space="preserve"> </w:t>
      </w:r>
      <w:r w:rsidR="00D53FE5">
        <w:t>krūšu kurvja ievainojumu ar sirds bojājumu</w:t>
      </w:r>
      <w:r w:rsidR="0059455C">
        <w:t xml:space="preserve"> –</w:t>
      </w:r>
      <w:r w:rsidR="004C60B5">
        <w:t xml:space="preserve"> varējis iegūt laikā, kad sit</w:t>
      </w:r>
      <w:r w:rsidR="00D53FE5">
        <w:t>is</w:t>
      </w:r>
      <w:r w:rsidR="004C60B5">
        <w:t xml:space="preserve"> un spēr</w:t>
      </w:r>
      <w:r w:rsidR="00D53FE5">
        <w:t>is</w:t>
      </w:r>
      <w:r w:rsidR="004C60B5">
        <w:t xml:space="preserve"> </w:t>
      </w:r>
      <w:r w:rsidR="003C0C25">
        <w:t>[pers. A]</w:t>
      </w:r>
      <w:r w:rsidR="004C60B5">
        <w:t xml:space="preserve">, </w:t>
      </w:r>
      <w:r w:rsidR="0059455C">
        <w:t>kurš</w:t>
      </w:r>
      <w:r w:rsidR="004C60B5">
        <w:t xml:space="preserve"> </w:t>
      </w:r>
      <w:r w:rsidR="0059455C">
        <w:t>atvai</w:t>
      </w:r>
      <w:r w:rsidR="00D53FE5">
        <w:t>rījis</w:t>
      </w:r>
      <w:r w:rsidR="0059455C">
        <w:t xml:space="preserve"> sitienus ar roku, kurā bija nazis</w:t>
      </w:r>
      <w:r w:rsidR="00D53FE5">
        <w:t>.</w:t>
      </w:r>
      <w:r w:rsidR="00147302">
        <w:t xml:space="preserve"> Savu atzinumu apelācijas instances tiesa pamatojusi ar </w:t>
      </w:r>
      <w:r w:rsidR="00CD2475">
        <w:t>videonovērošanas kameru videoierakstos redzamo</w:t>
      </w:r>
      <w:r w:rsidR="009E2F0A">
        <w:t xml:space="preserve">. </w:t>
      </w:r>
      <w:r w:rsidR="004C60B5">
        <w:t>Proti, ka notikusi</w:t>
      </w:r>
      <w:r w:rsidR="009E2F0A">
        <w:t xml:space="preserve"> sarun</w:t>
      </w:r>
      <w:r w:rsidR="004C60B5">
        <w:t>a</w:t>
      </w:r>
      <w:r w:rsidR="009E2F0A">
        <w:t xml:space="preserve"> starp </w:t>
      </w:r>
      <w:r w:rsidR="003C0C25">
        <w:t>[pers. A]</w:t>
      </w:r>
      <w:r w:rsidR="009E2F0A">
        <w:t xml:space="preserve"> un </w:t>
      </w:r>
      <w:r w:rsidR="003C0C25">
        <w:t>[pers. B]</w:t>
      </w:r>
      <w:r w:rsidR="009E2F0A">
        <w:t xml:space="preserve">, kuras laikā </w:t>
      </w:r>
      <w:r w:rsidR="003C0C25">
        <w:t>[pers. B]</w:t>
      </w:r>
      <w:r w:rsidR="009E2F0A">
        <w:t xml:space="preserve"> ar roku iesit</w:t>
      </w:r>
      <w:r w:rsidR="004C60B5">
        <w:t>is</w:t>
      </w:r>
      <w:r w:rsidR="009E2F0A">
        <w:t xml:space="preserve"> pa galvu </w:t>
      </w:r>
      <w:r w:rsidR="003C0C25">
        <w:t>[pers. A]</w:t>
      </w:r>
      <w:r w:rsidR="0067487C">
        <w:t xml:space="preserve">, kurš pēc saņemtā sitiena vairākas reizes </w:t>
      </w:r>
      <w:r w:rsidR="00051336">
        <w:t>d</w:t>
      </w:r>
      <w:r w:rsidR="0059455C">
        <w:t>ū</w:t>
      </w:r>
      <w:r w:rsidR="004C60B5">
        <w:t>ris</w:t>
      </w:r>
      <w:r w:rsidR="00051336">
        <w:t xml:space="preserve"> </w:t>
      </w:r>
      <w:r w:rsidR="003C0C25">
        <w:t>[pers. B]</w:t>
      </w:r>
      <w:r w:rsidR="00051336">
        <w:t xml:space="preserve">. </w:t>
      </w:r>
      <w:r w:rsidR="003C0C25">
        <w:t>[Pers. A]</w:t>
      </w:r>
      <w:r w:rsidR="00051336">
        <w:t xml:space="preserve"> dūris </w:t>
      </w:r>
      <w:r w:rsidR="0067487C">
        <w:t xml:space="preserve">tad, kad </w:t>
      </w:r>
      <w:r w:rsidR="003C0C25">
        <w:t>[pers. B]</w:t>
      </w:r>
      <w:r w:rsidR="00051336">
        <w:t xml:space="preserve"> atkāpjoties centies izvairīties no dūrieniem, kā arī tad, kad</w:t>
      </w:r>
      <w:r w:rsidR="0067487C">
        <w:t xml:space="preserve"> </w:t>
      </w:r>
      <w:r w:rsidR="003C0C25">
        <w:t>[pers. B]</w:t>
      </w:r>
      <w:r w:rsidR="00051336">
        <w:t xml:space="preserve"> nokritis zemē. </w:t>
      </w:r>
      <w:r w:rsidR="00DE5AE4">
        <w:t xml:space="preserve">Līdz ar to apelācijas instances tiesa atzinusi par </w:t>
      </w:r>
      <w:r w:rsidR="00051336">
        <w:t xml:space="preserve">nepatiesām </w:t>
      </w:r>
      <w:r w:rsidR="003C0C25">
        <w:t>[pers. A]</w:t>
      </w:r>
      <w:r w:rsidR="00051336">
        <w:t xml:space="preserve"> liecības</w:t>
      </w:r>
      <w:r w:rsidR="00DE5AE4">
        <w:t xml:space="preserve">, ka </w:t>
      </w:r>
      <w:r w:rsidR="00D75FB6">
        <w:t xml:space="preserve">miesas bojājumus </w:t>
      </w:r>
      <w:r w:rsidR="003C0C25">
        <w:t>[pers. B]</w:t>
      </w:r>
      <w:r w:rsidR="00DE5AE4">
        <w:t xml:space="preserve"> nodarījis, aizstāvoties no </w:t>
      </w:r>
      <w:r w:rsidR="00D75FB6">
        <w:t>viņa</w:t>
      </w:r>
      <w:r w:rsidR="00DE5AE4">
        <w:t xml:space="preserve"> uzbrukuma.</w:t>
      </w:r>
    </w:p>
    <w:p w14:paraId="074FEEA9" w14:textId="61BC71F5" w:rsidR="002E739C" w:rsidRDefault="00C20B8B" w:rsidP="002E739C">
      <w:pPr>
        <w:spacing w:line="276" w:lineRule="auto"/>
        <w:ind w:firstLine="720"/>
        <w:contextualSpacing/>
        <w:jc w:val="both"/>
      </w:pPr>
      <w:r>
        <w:t xml:space="preserve">Senāts </w:t>
      </w:r>
      <w:r w:rsidR="00D75FB6">
        <w:t xml:space="preserve">arī </w:t>
      </w:r>
      <w:r w:rsidR="00DC2EBC">
        <w:t xml:space="preserve">norāda, ka, konstatējot </w:t>
      </w:r>
      <w:r w:rsidR="003C0C25">
        <w:t>[pers. A]</w:t>
      </w:r>
      <w:r w:rsidR="00DC2EBC">
        <w:t xml:space="preserve"> darbībās visas nepieciešamās un obligātās Krimināllikuma </w:t>
      </w:r>
      <w:proofErr w:type="gramStart"/>
      <w:r w:rsidR="00DC2EBC">
        <w:t>116.pantā</w:t>
      </w:r>
      <w:proofErr w:type="gramEnd"/>
      <w:r w:rsidR="00DC2EBC">
        <w:t xml:space="preserve"> paredzētā noziedzīgā nodarījuma sastāva pazīmes, pretēji advokāta pieteikumā </w:t>
      </w:r>
      <w:r w:rsidR="00022957">
        <w:t xml:space="preserve">paustajam </w:t>
      </w:r>
      <w:r w:rsidR="00DE5AE4">
        <w:t>viedokli</w:t>
      </w:r>
      <w:r w:rsidR="00022957">
        <w:t xml:space="preserve">m, </w:t>
      </w:r>
      <w:r w:rsidR="00D75FB6">
        <w:t xml:space="preserve">apelācijas instances tiesai </w:t>
      </w:r>
      <w:r w:rsidR="00DC2EBC">
        <w:t xml:space="preserve">nebija jāapsver, vai </w:t>
      </w:r>
      <w:r w:rsidR="003C0C25">
        <w:t>[pers. A]</w:t>
      </w:r>
      <w:r w:rsidR="00DC2EBC">
        <w:t xml:space="preserve"> darbības nesatur </w:t>
      </w:r>
      <w:r w:rsidR="00022957">
        <w:t>Krimināllikuma 125.panta trešajā daļā paredzētā noziedzīgā nodarījuma sastāva pazīmes.</w:t>
      </w:r>
      <w:r w:rsidR="002E739C" w:rsidRPr="002E739C">
        <w:t xml:space="preserve"> </w:t>
      </w:r>
    </w:p>
    <w:p w14:paraId="5EE90995" w14:textId="5AC5EB9F" w:rsidR="00390F26" w:rsidRDefault="00390F26" w:rsidP="002E739C">
      <w:pPr>
        <w:spacing w:line="276" w:lineRule="auto"/>
        <w:ind w:firstLine="720"/>
        <w:contextualSpacing/>
        <w:jc w:val="both"/>
      </w:pPr>
      <w:r>
        <w:t xml:space="preserve">Pieteikuma iesniedzējs nav arī norādījis, kā izpaudies likuma „Par tiesu varu” 17. un </w:t>
      </w:r>
      <w:proofErr w:type="gramStart"/>
      <w:r>
        <w:t>23.panta</w:t>
      </w:r>
      <w:proofErr w:type="gramEnd"/>
      <w:r>
        <w:t xml:space="preserve"> pārkāpums un kādā veidā minētais pārkāpums novedis pie </w:t>
      </w:r>
      <w:r w:rsidR="003C0C25">
        <w:t>[pers. A]</w:t>
      </w:r>
      <w:r>
        <w:t xml:space="preserve"> stāvokļa nelikumīgas pasliktināšanās.</w:t>
      </w:r>
    </w:p>
    <w:p w14:paraId="19F0F495" w14:textId="77777777" w:rsidR="00390F26" w:rsidRDefault="00390F26" w:rsidP="002E739C">
      <w:pPr>
        <w:spacing w:line="276" w:lineRule="auto"/>
        <w:ind w:firstLine="720"/>
        <w:contextualSpacing/>
        <w:jc w:val="both"/>
      </w:pPr>
    </w:p>
    <w:p w14:paraId="36A3EC65" w14:textId="786DE803" w:rsidR="002E739C" w:rsidRDefault="002E739C" w:rsidP="002E739C">
      <w:pPr>
        <w:spacing w:line="276" w:lineRule="auto"/>
        <w:ind w:firstLine="720"/>
        <w:contextualSpacing/>
        <w:jc w:val="both"/>
      </w:pPr>
      <w:r>
        <w:t>[</w:t>
      </w:r>
      <w:r w:rsidR="005827B9">
        <w:t>9</w:t>
      </w:r>
      <w:r>
        <w:t>] </w:t>
      </w:r>
      <w:r w:rsidR="00D75FB6">
        <w:t>Apgalvojot, ka apelācijas instances tiesas nolēmums balstīts uz nekvalitatīvu apsūdzību, p</w:t>
      </w:r>
      <w:r>
        <w:t xml:space="preserve">ieteikuma </w:t>
      </w:r>
      <w:r w:rsidR="00687725">
        <w:t>iesniedzējs nav norādījis, kādā</w:t>
      </w:r>
      <w:r>
        <w:t xml:space="preserve">m no Kriminālprocesa likuma </w:t>
      </w:r>
      <w:proofErr w:type="gramStart"/>
      <w:r>
        <w:t>405.pantā</w:t>
      </w:r>
      <w:proofErr w:type="gramEnd"/>
      <w:r>
        <w:t xml:space="preserve"> apsūdzībai </w:t>
      </w:r>
      <w:r w:rsidR="00D75FB6">
        <w:t>noteiktajām prasībām</w:t>
      </w:r>
      <w:r>
        <w:t xml:space="preserve"> neatbilst </w:t>
      </w:r>
      <w:r w:rsidR="003C0C25">
        <w:t>[pers. A]</w:t>
      </w:r>
      <w:r>
        <w:t xml:space="preserve"> izvirzītā apsūdzība pēc Krimināllikuma 116.panta. Turklāt ne apelācijas sūdzībās, ne kasācijas sūdzībā netika izvirzīti argumenti par apsūdzības neskaidrību. Savukārt </w:t>
      </w:r>
      <w:r w:rsidR="003C0C25">
        <w:t>[pers. A]</w:t>
      </w:r>
      <w:r>
        <w:t>, būdams nopratināts</w:t>
      </w:r>
      <w:r w:rsidR="00687725">
        <w:t>,</w:t>
      </w:r>
      <w:r>
        <w:t xml:space="preserve"> tostarp arī aizstāvja klātbūtnē</w:t>
      </w:r>
      <w:r w:rsidR="00D75FB6">
        <w:t>,</w:t>
      </w:r>
      <w:r>
        <w:t xml:space="preserve"> norādījis, ka </w:t>
      </w:r>
      <w:r w:rsidR="00390F26">
        <w:t>uzrādītā</w:t>
      </w:r>
      <w:r>
        <w:t xml:space="preserve"> apsūdzība pēc </w:t>
      </w:r>
      <w:r w:rsidR="00390F26">
        <w:t>K</w:t>
      </w:r>
      <w:r>
        <w:t xml:space="preserve">rimināllikuma </w:t>
      </w:r>
      <w:proofErr w:type="gramStart"/>
      <w:r>
        <w:t>116.panta</w:t>
      </w:r>
      <w:proofErr w:type="gramEnd"/>
      <w:r>
        <w:t xml:space="preserve"> viņam ir saprotama, sevi par vainīgu minētajā noziedzīgajā nodarījumā nav atzinis</w:t>
      </w:r>
      <w:r w:rsidR="00D75FB6">
        <w:t>, aktīvi aizstāvējies pret minēto apsūdzību gan personiski, gan ar aizstāvja palīdzību</w:t>
      </w:r>
      <w:r>
        <w:t xml:space="preserve">. </w:t>
      </w:r>
    </w:p>
    <w:p w14:paraId="3BBC365C" w14:textId="028B8705" w:rsidR="00D22F98" w:rsidRDefault="00D22F98" w:rsidP="0096304B">
      <w:pPr>
        <w:spacing w:line="276" w:lineRule="auto"/>
        <w:ind w:firstLine="720"/>
        <w:contextualSpacing/>
        <w:jc w:val="both"/>
      </w:pPr>
    </w:p>
    <w:p w14:paraId="69D78E8F" w14:textId="47CEC3D1" w:rsidR="00FF5374" w:rsidRPr="0096304B" w:rsidRDefault="00D75FB6" w:rsidP="0096304B">
      <w:pPr>
        <w:spacing w:line="276" w:lineRule="auto"/>
        <w:ind w:firstLine="720"/>
        <w:contextualSpacing/>
        <w:jc w:val="both"/>
      </w:pPr>
      <w:r>
        <w:rPr>
          <w:rFonts w:ascii="TimesNewRomanPSMT" w:hAnsi="TimesNewRomanPSMT" w:cs="TimesNewRomanPSMT"/>
          <w:szCs w:val="24"/>
        </w:rPr>
        <w:t>[</w:t>
      </w:r>
      <w:r w:rsidR="00390F26">
        <w:rPr>
          <w:rFonts w:ascii="TimesNewRomanPSMT" w:hAnsi="TimesNewRomanPSMT" w:cs="TimesNewRomanPSMT"/>
          <w:szCs w:val="24"/>
        </w:rPr>
        <w:t>10</w:t>
      </w:r>
      <w:r>
        <w:rPr>
          <w:rFonts w:ascii="TimesNewRomanPSMT" w:hAnsi="TimesNewRomanPSMT" w:cs="TimesNewRomanPSMT"/>
          <w:szCs w:val="24"/>
        </w:rPr>
        <w:t>] </w:t>
      </w:r>
      <w:r w:rsidR="00AC652A" w:rsidRPr="00AC652A">
        <w:rPr>
          <w:rFonts w:ascii="TimesNewRomanPSMT" w:hAnsi="TimesNewRomanPSMT" w:cs="TimesNewRomanPSMT"/>
          <w:szCs w:val="24"/>
        </w:rPr>
        <w:t>Senāts atzīst, ka apelācijas instances tiesa lietu iztiesājusi atbilstoši Kriminālprocesa likuma</w:t>
      </w:r>
      <w:r w:rsidR="00D22F98">
        <w:t xml:space="preserve"> </w:t>
      </w:r>
      <w:proofErr w:type="gramStart"/>
      <w:r w:rsidR="00AC652A" w:rsidRPr="00AC652A">
        <w:rPr>
          <w:rFonts w:ascii="TimesNewRomanPSMT" w:hAnsi="TimesNewRomanPSMT" w:cs="TimesNewRomanPSMT"/>
          <w:szCs w:val="24"/>
        </w:rPr>
        <w:t>562.panta</w:t>
      </w:r>
      <w:proofErr w:type="gramEnd"/>
      <w:r w:rsidR="00AC652A" w:rsidRPr="00AC652A">
        <w:rPr>
          <w:rFonts w:ascii="TimesNewRomanPSMT" w:hAnsi="TimesNewRomanPSMT" w:cs="TimesNewRomanPSMT"/>
          <w:szCs w:val="24"/>
        </w:rPr>
        <w:t xml:space="preserve"> prasībām apelācijas sūdzībās izteikto prasību apjomā un ietvaros. Tiesas </w:t>
      </w:r>
      <w:r w:rsidR="0096304B">
        <w:rPr>
          <w:rFonts w:ascii="TimesNewRomanPSMT" w:hAnsi="TimesNewRomanPSMT" w:cs="TimesNewRomanPSMT"/>
          <w:szCs w:val="24"/>
        </w:rPr>
        <w:t>no</w:t>
      </w:r>
      <w:r w:rsidR="00AC652A" w:rsidRPr="00AC652A">
        <w:rPr>
          <w:rFonts w:ascii="TimesNewRomanPSMT" w:hAnsi="TimesNewRomanPSMT" w:cs="TimesNewRomanPSMT"/>
          <w:szCs w:val="24"/>
        </w:rPr>
        <w:t>lēmums atbilst</w:t>
      </w:r>
      <w:r w:rsidR="00D4791E">
        <w:rPr>
          <w:rFonts w:ascii="TimesNewRomanPSMT" w:hAnsi="TimesNewRomanPSMT" w:cs="TimesNewRomanPSMT"/>
          <w:szCs w:val="24"/>
        </w:rPr>
        <w:t xml:space="preserve"> </w:t>
      </w:r>
      <w:r w:rsidR="00AC652A" w:rsidRPr="00AC652A">
        <w:rPr>
          <w:rFonts w:ascii="TimesNewRomanPSMT" w:hAnsi="TimesNewRomanPSMT" w:cs="TimesNewRomanPSMT"/>
          <w:szCs w:val="24"/>
        </w:rPr>
        <w:t xml:space="preserve">Kriminālprocesa likuma </w:t>
      </w:r>
      <w:r w:rsidR="0096304B">
        <w:rPr>
          <w:rFonts w:ascii="TimesNewRomanPSMT" w:hAnsi="TimesNewRomanPSMT" w:cs="TimesNewRomanPSMT"/>
          <w:szCs w:val="24"/>
        </w:rPr>
        <w:t xml:space="preserve">511., 512. un </w:t>
      </w:r>
      <w:proofErr w:type="gramStart"/>
      <w:r w:rsidR="00AC652A" w:rsidRPr="00AC652A">
        <w:rPr>
          <w:rFonts w:ascii="TimesNewRomanPSMT" w:hAnsi="TimesNewRomanPSMT" w:cs="TimesNewRomanPSMT"/>
          <w:szCs w:val="24"/>
        </w:rPr>
        <w:t>564.panta</w:t>
      </w:r>
      <w:proofErr w:type="gramEnd"/>
      <w:r w:rsidR="0096304B">
        <w:rPr>
          <w:rFonts w:ascii="TimesNewRomanPSMT" w:hAnsi="TimesNewRomanPSMT" w:cs="TimesNewRomanPSMT"/>
          <w:szCs w:val="24"/>
        </w:rPr>
        <w:t xml:space="preserve"> ceturtajā daļā noteiktajām</w:t>
      </w:r>
      <w:r w:rsidR="00AC652A" w:rsidRPr="00AC652A">
        <w:rPr>
          <w:rFonts w:ascii="TimesNewRomanPSMT" w:hAnsi="TimesNewRomanPSMT" w:cs="TimesNewRomanPSMT"/>
          <w:szCs w:val="24"/>
        </w:rPr>
        <w:t xml:space="preserve"> </w:t>
      </w:r>
      <w:r w:rsidR="00AC652A" w:rsidRPr="00AC652A">
        <w:rPr>
          <w:rFonts w:ascii="TimesNewRomanPSMT" w:hAnsi="TimesNewRomanPSMT" w:cs="TimesNewRomanPSMT"/>
          <w:szCs w:val="24"/>
        </w:rPr>
        <w:lastRenderedPageBreak/>
        <w:t xml:space="preserve">prasībām. </w:t>
      </w:r>
      <w:r w:rsidR="00390F26">
        <w:rPr>
          <w:rFonts w:ascii="TimesNewRomanPSMT" w:hAnsi="TimesNewRomanPSMT" w:cs="TimesNewRomanPSMT"/>
          <w:szCs w:val="24"/>
        </w:rPr>
        <w:t>I</w:t>
      </w:r>
      <w:r w:rsidR="0096304B">
        <w:rPr>
          <w:rFonts w:ascii="TimesNewRomanPSMT" w:hAnsi="TimesNewRomanPSMT" w:cs="TimesNewRomanPSMT"/>
          <w:szCs w:val="24"/>
        </w:rPr>
        <w:t>zvērtējot lietā iegūtos pierādījumus,</w:t>
      </w:r>
      <w:r w:rsidR="00AC652A" w:rsidRPr="00AC652A">
        <w:rPr>
          <w:rFonts w:ascii="TimesNewRomanPSMT" w:hAnsi="TimesNewRomanPSMT" w:cs="TimesNewRomanPSMT"/>
          <w:szCs w:val="24"/>
        </w:rPr>
        <w:t xml:space="preserve"> </w:t>
      </w:r>
      <w:r w:rsidR="00390F26">
        <w:rPr>
          <w:rFonts w:ascii="TimesNewRomanPSMT" w:hAnsi="TimesNewRomanPSMT" w:cs="TimesNewRomanPSMT"/>
          <w:szCs w:val="24"/>
        </w:rPr>
        <w:t xml:space="preserve">apelācijas instance tiesa </w:t>
      </w:r>
      <w:r w:rsidR="00AC652A" w:rsidRPr="00AC652A">
        <w:rPr>
          <w:rFonts w:ascii="TimesNewRomanPSMT" w:hAnsi="TimesNewRomanPSMT" w:cs="TimesNewRomanPSMT"/>
          <w:szCs w:val="24"/>
        </w:rPr>
        <w:t>nav</w:t>
      </w:r>
      <w:r w:rsidR="00D4791E">
        <w:rPr>
          <w:rFonts w:ascii="TimesNewRomanPSMT" w:hAnsi="TimesNewRomanPSMT" w:cs="TimesNewRomanPSMT"/>
          <w:szCs w:val="24"/>
        </w:rPr>
        <w:t xml:space="preserve"> </w:t>
      </w:r>
      <w:r w:rsidR="00AC652A" w:rsidRPr="00AC652A">
        <w:rPr>
          <w:rFonts w:ascii="TimesNewRomanPSMT" w:hAnsi="TimesNewRomanPSMT" w:cs="TimesNewRomanPSMT"/>
          <w:szCs w:val="24"/>
        </w:rPr>
        <w:t>pieļāvusi Kriminālprocesa likuma pārkāpumu</w:t>
      </w:r>
      <w:r w:rsidR="00D4791E">
        <w:rPr>
          <w:rFonts w:ascii="TimesNewRomanPSMT" w:hAnsi="TimesNewRomanPSMT" w:cs="TimesNewRomanPSMT"/>
          <w:szCs w:val="24"/>
        </w:rPr>
        <w:t>, kas atzīstam</w:t>
      </w:r>
      <w:r w:rsidR="0096304B">
        <w:rPr>
          <w:rFonts w:ascii="TimesNewRomanPSMT" w:hAnsi="TimesNewRomanPSMT" w:cs="TimesNewRomanPSMT"/>
          <w:szCs w:val="24"/>
        </w:rPr>
        <w:t xml:space="preserve">s </w:t>
      </w:r>
      <w:r w:rsidR="00D4791E">
        <w:rPr>
          <w:rFonts w:ascii="TimesNewRomanPSMT" w:hAnsi="TimesNewRomanPSMT" w:cs="TimesNewRomanPSMT"/>
          <w:szCs w:val="24"/>
        </w:rPr>
        <w:t>par būtisk</w:t>
      </w:r>
      <w:r w:rsidR="0096304B">
        <w:rPr>
          <w:rFonts w:ascii="TimesNewRomanPSMT" w:hAnsi="TimesNewRomanPSMT" w:cs="TimesNewRomanPSMT"/>
          <w:szCs w:val="24"/>
        </w:rPr>
        <w:t>u</w:t>
      </w:r>
      <w:r w:rsidR="00D4791E">
        <w:rPr>
          <w:rFonts w:ascii="TimesNewRomanPSMT" w:hAnsi="TimesNewRomanPSMT" w:cs="TimesNewRomanPSMT"/>
          <w:szCs w:val="24"/>
        </w:rPr>
        <w:t xml:space="preserve"> </w:t>
      </w:r>
      <w:r w:rsidR="0096304B">
        <w:rPr>
          <w:rFonts w:ascii="TimesNewRomanPSMT" w:hAnsi="TimesNewRomanPSMT" w:cs="TimesNewRomanPSMT"/>
          <w:szCs w:val="24"/>
        </w:rPr>
        <w:t xml:space="preserve">pārkāpumu </w:t>
      </w:r>
      <w:r w:rsidR="00AC652A" w:rsidRPr="00AC652A">
        <w:rPr>
          <w:rFonts w:ascii="TimesNewRomanPSMT" w:hAnsi="TimesNewRomanPSMT" w:cs="TimesNewRomanPSMT"/>
          <w:szCs w:val="24"/>
        </w:rPr>
        <w:t xml:space="preserve">šā likuma </w:t>
      </w:r>
      <w:proofErr w:type="gramStart"/>
      <w:r w:rsidR="00AC652A" w:rsidRPr="00AC652A">
        <w:rPr>
          <w:rFonts w:ascii="TimesNewRomanPSMT" w:hAnsi="TimesNewRomanPSMT" w:cs="TimesNewRomanPSMT"/>
          <w:szCs w:val="24"/>
        </w:rPr>
        <w:t>575.panta</w:t>
      </w:r>
      <w:proofErr w:type="gramEnd"/>
      <w:r w:rsidR="00AC652A" w:rsidRPr="00AC652A">
        <w:rPr>
          <w:rFonts w:ascii="TimesNewRomanPSMT" w:hAnsi="TimesNewRomanPSMT" w:cs="TimesNewRomanPSMT"/>
          <w:szCs w:val="24"/>
        </w:rPr>
        <w:t xml:space="preserve"> izpratnē.</w:t>
      </w:r>
    </w:p>
    <w:p w14:paraId="3DF557C7" w14:textId="77777777" w:rsidR="00993D07" w:rsidRDefault="00993D07" w:rsidP="000D0CC2">
      <w:pPr>
        <w:spacing w:line="276" w:lineRule="auto"/>
        <w:contextualSpacing/>
        <w:jc w:val="both"/>
      </w:pPr>
    </w:p>
    <w:p w14:paraId="08354B7B" w14:textId="77777777" w:rsidR="004D4AAF" w:rsidRPr="005F5390" w:rsidRDefault="004D4AAF" w:rsidP="004D4AAF">
      <w:pPr>
        <w:spacing w:line="276" w:lineRule="auto"/>
        <w:ind w:firstLine="720"/>
        <w:contextualSpacing/>
        <w:jc w:val="center"/>
        <w:rPr>
          <w:rFonts w:eastAsia="Calibri" w:cs="Times New Roman"/>
          <w:b/>
          <w:szCs w:val="24"/>
          <w:lang w:eastAsia="lv-LV"/>
        </w:rPr>
      </w:pPr>
      <w:r w:rsidRPr="00741678">
        <w:rPr>
          <w:rFonts w:eastAsia="Calibri" w:cs="Times New Roman"/>
          <w:b/>
          <w:szCs w:val="24"/>
          <w:lang w:val="x-none" w:eastAsia="lv-LV"/>
        </w:rPr>
        <w:t>Rezolutīvā daļa</w:t>
      </w:r>
    </w:p>
    <w:p w14:paraId="7F9D6D85" w14:textId="77777777" w:rsidR="004D4AAF" w:rsidRPr="00741678" w:rsidRDefault="004D4AAF" w:rsidP="004D4AAF">
      <w:pPr>
        <w:spacing w:after="0" w:line="276" w:lineRule="auto"/>
        <w:ind w:firstLine="720"/>
        <w:contextualSpacing/>
        <w:jc w:val="center"/>
        <w:outlineLvl w:val="1"/>
        <w:rPr>
          <w:rFonts w:eastAsia="Calibri" w:cs="Times New Roman"/>
          <w:szCs w:val="24"/>
          <w:lang w:val="x-none" w:eastAsia="lv-LV"/>
        </w:rPr>
      </w:pPr>
    </w:p>
    <w:p w14:paraId="557F7E3A" w14:textId="77777777" w:rsidR="004D4AAF" w:rsidRDefault="004D4AAF" w:rsidP="004D4AAF">
      <w:pPr>
        <w:spacing w:after="0" w:line="276" w:lineRule="auto"/>
        <w:ind w:firstLine="720"/>
        <w:contextualSpacing/>
        <w:jc w:val="both"/>
        <w:outlineLvl w:val="1"/>
        <w:rPr>
          <w:rFonts w:eastAsia="Calibri" w:cs="Times New Roman"/>
          <w:iCs/>
          <w:szCs w:val="24"/>
        </w:rPr>
      </w:pPr>
      <w:r w:rsidRPr="00741678">
        <w:rPr>
          <w:rFonts w:eastAsia="Calibri" w:cs="Times New Roman"/>
          <w:iCs/>
          <w:szCs w:val="24"/>
          <w:lang w:val="x-none"/>
        </w:rPr>
        <w:t>Pamatojoties uz Kriminālprocesa likuma 585., 587.</w:t>
      </w:r>
      <w:r>
        <w:rPr>
          <w:rFonts w:eastAsia="Calibri" w:cs="Times New Roman"/>
          <w:iCs/>
          <w:szCs w:val="24"/>
        </w:rPr>
        <w:t xml:space="preserve">, </w:t>
      </w:r>
      <w:r>
        <w:t xml:space="preserve">662., 670., 671., </w:t>
      </w:r>
      <w:proofErr w:type="gramStart"/>
      <w:r>
        <w:t>672.pantu</w:t>
      </w:r>
      <w:proofErr w:type="gramEnd"/>
      <w:r>
        <w:t>, tiesa</w:t>
      </w:r>
      <w:r w:rsidRPr="00741678">
        <w:rPr>
          <w:rFonts w:eastAsia="Calibri" w:cs="Times New Roman"/>
          <w:iCs/>
          <w:szCs w:val="24"/>
          <w:lang w:val="x-none"/>
        </w:rPr>
        <w:t xml:space="preserve"> </w:t>
      </w:r>
    </w:p>
    <w:p w14:paraId="171A5B1A" w14:textId="77777777" w:rsidR="004D4AAF" w:rsidRPr="00741678" w:rsidRDefault="004D4AAF" w:rsidP="004D4AAF">
      <w:pPr>
        <w:spacing w:after="0" w:line="276" w:lineRule="auto"/>
        <w:ind w:firstLine="720"/>
        <w:contextualSpacing/>
        <w:jc w:val="both"/>
        <w:rPr>
          <w:rFonts w:cs="Times New Roman"/>
          <w:szCs w:val="24"/>
        </w:rPr>
      </w:pPr>
    </w:p>
    <w:p w14:paraId="6925BABA" w14:textId="77777777" w:rsidR="004D4AAF" w:rsidRPr="00741678" w:rsidRDefault="004D4AAF" w:rsidP="004D4AAF">
      <w:pPr>
        <w:spacing w:after="0" w:line="276" w:lineRule="auto"/>
        <w:ind w:firstLine="720"/>
        <w:contextualSpacing/>
        <w:jc w:val="center"/>
        <w:outlineLvl w:val="1"/>
        <w:rPr>
          <w:rFonts w:eastAsia="Calibri" w:cs="Times New Roman"/>
          <w:b/>
          <w:iCs/>
          <w:szCs w:val="24"/>
          <w:lang w:val="x-none"/>
        </w:rPr>
      </w:pPr>
      <w:r w:rsidRPr="00741678">
        <w:rPr>
          <w:rFonts w:eastAsia="Calibri" w:cs="Times New Roman"/>
          <w:b/>
          <w:iCs/>
          <w:szCs w:val="24"/>
          <w:lang w:val="x-none"/>
        </w:rPr>
        <w:t>nolēma:</w:t>
      </w:r>
    </w:p>
    <w:p w14:paraId="677959F1" w14:textId="77777777" w:rsidR="004D4AAF" w:rsidRPr="00741678" w:rsidRDefault="004D4AAF" w:rsidP="004D4AAF">
      <w:pPr>
        <w:spacing w:after="0" w:line="276" w:lineRule="auto"/>
        <w:ind w:firstLine="720"/>
        <w:contextualSpacing/>
        <w:jc w:val="center"/>
        <w:outlineLvl w:val="1"/>
        <w:rPr>
          <w:rFonts w:eastAsia="Calibri" w:cs="Times New Roman"/>
          <w:b/>
          <w:iCs/>
          <w:szCs w:val="24"/>
          <w:lang w:val="x-none"/>
        </w:rPr>
      </w:pPr>
    </w:p>
    <w:p w14:paraId="357C73BA" w14:textId="2EC61605" w:rsidR="004D4AAF" w:rsidRPr="00414A4A" w:rsidRDefault="004D4AAF" w:rsidP="004D4AAF">
      <w:pPr>
        <w:spacing w:line="276" w:lineRule="auto"/>
        <w:ind w:firstLine="720"/>
        <w:contextualSpacing/>
        <w:jc w:val="both"/>
        <w:rPr>
          <w:rFonts w:cs="Times New Roman"/>
        </w:rPr>
      </w:pPr>
      <w:r>
        <w:t xml:space="preserve">atstāt negrozītu </w:t>
      </w:r>
      <w:r w:rsidR="00993D07">
        <w:t xml:space="preserve">Latgales apgabaltiesas </w:t>
      </w:r>
      <w:proofErr w:type="gramStart"/>
      <w:r w:rsidR="00993D07">
        <w:t>2019.gada</w:t>
      </w:r>
      <w:proofErr w:type="gramEnd"/>
      <w:r w:rsidR="00993D07">
        <w:t xml:space="preserve"> 14.oktobra lēmumu</w:t>
      </w:r>
      <w:r>
        <w:rPr>
          <w:rFonts w:cs="Times New Roman"/>
        </w:rPr>
        <w:t>,</w:t>
      </w:r>
      <w:r>
        <w:t xml:space="preserve"> bet</w:t>
      </w:r>
      <w:r w:rsidRPr="00414A4A">
        <w:rPr>
          <w:rFonts w:cs="Times New Roman"/>
        </w:rPr>
        <w:t xml:space="preserve"> </w:t>
      </w:r>
      <w:r>
        <w:rPr>
          <w:rFonts w:cs="Times New Roman"/>
        </w:rPr>
        <w:t xml:space="preserve">notiesātā </w:t>
      </w:r>
      <w:r w:rsidR="003C0C25">
        <w:rPr>
          <w:rFonts w:cs="Times New Roman"/>
        </w:rPr>
        <w:t>[pers. </w:t>
      </w:r>
      <w:r w:rsidR="003C0C25">
        <w:t>A]</w:t>
      </w:r>
      <w:r>
        <w:rPr>
          <w:rFonts w:cs="Times New Roman"/>
        </w:rPr>
        <w:t xml:space="preserve"> uzdevumā </w:t>
      </w:r>
      <w:r>
        <w:t xml:space="preserve">Kriminālprocesa likuma 63.nodaļas kārtībā iesniegto </w:t>
      </w:r>
      <w:r>
        <w:rPr>
          <w:rFonts w:cs="Times New Roman"/>
        </w:rPr>
        <w:t xml:space="preserve">advokāta </w:t>
      </w:r>
      <w:r w:rsidR="00993D07">
        <w:rPr>
          <w:rFonts w:cs="Times New Roman"/>
        </w:rPr>
        <w:t>Ulda Lapiņa</w:t>
      </w:r>
      <w:r>
        <w:rPr>
          <w:rFonts w:cs="Times New Roman"/>
        </w:rPr>
        <w:t xml:space="preserve"> </w:t>
      </w:r>
      <w:r w:rsidRPr="00AC7EDE">
        <w:rPr>
          <w:rFonts w:cs="Times New Roman"/>
        </w:rPr>
        <w:t>p</w:t>
      </w:r>
      <w:r>
        <w:rPr>
          <w:rFonts w:cs="Times New Roman"/>
        </w:rPr>
        <w:t xml:space="preserve">ieteikumu noraidīt. </w:t>
      </w:r>
    </w:p>
    <w:p w14:paraId="24FB9456" w14:textId="41C36760" w:rsidR="005D093A" w:rsidRPr="003C0C25" w:rsidRDefault="004D4AAF" w:rsidP="003C0C25">
      <w:pPr>
        <w:spacing w:line="276" w:lineRule="auto"/>
        <w:ind w:firstLine="720"/>
        <w:contextualSpacing/>
        <w:jc w:val="both"/>
        <w:rPr>
          <w:rFonts w:eastAsia="Calibri" w:cs="Times New Roman"/>
          <w:szCs w:val="24"/>
        </w:rPr>
      </w:pPr>
      <w:r w:rsidRPr="00741678">
        <w:rPr>
          <w:rFonts w:eastAsia="Calibri" w:cs="Times New Roman"/>
          <w:szCs w:val="24"/>
        </w:rPr>
        <w:t>Lēmums nav pārsūdzams.</w:t>
      </w:r>
    </w:p>
    <w:sectPr w:rsidR="005D093A" w:rsidRPr="003C0C25" w:rsidSect="00667EBE">
      <w:footerReference w:type="default" r:id="rId10"/>
      <w:pgSz w:w="11906" w:h="16838"/>
      <w:pgMar w:top="993" w:right="99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485BB" w14:textId="77777777" w:rsidR="002362E2" w:rsidRDefault="002362E2" w:rsidP="004D4AAF">
      <w:pPr>
        <w:spacing w:after="0" w:line="240" w:lineRule="auto"/>
      </w:pPr>
      <w:r>
        <w:separator/>
      </w:r>
    </w:p>
  </w:endnote>
  <w:endnote w:type="continuationSeparator" w:id="0">
    <w:p w14:paraId="418E8A3E" w14:textId="77777777" w:rsidR="002362E2" w:rsidRDefault="002362E2" w:rsidP="004D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066016"/>
      <w:docPartObj>
        <w:docPartGallery w:val="Page Numbers (Bottom of Page)"/>
        <w:docPartUnique/>
      </w:docPartObj>
    </w:sdtPr>
    <w:sdtEndPr/>
    <w:sdtContent>
      <w:sdt>
        <w:sdtPr>
          <w:id w:val="-901598843"/>
          <w:docPartObj>
            <w:docPartGallery w:val="Page Numbers (Top of Page)"/>
            <w:docPartUnique/>
          </w:docPartObj>
        </w:sdtPr>
        <w:sdtEndPr/>
        <w:sdtContent>
          <w:p w14:paraId="324ADF3D" w14:textId="77777777" w:rsidR="004D4AAF" w:rsidRDefault="004D4AAF">
            <w:pPr>
              <w:pStyle w:val="Footer"/>
              <w:jc w:val="center"/>
            </w:pPr>
            <w:r w:rsidRPr="004D4AAF">
              <w:rPr>
                <w:bCs/>
                <w:szCs w:val="24"/>
              </w:rPr>
              <w:fldChar w:fldCharType="begin"/>
            </w:r>
            <w:r w:rsidRPr="004D4AAF">
              <w:rPr>
                <w:bCs/>
              </w:rPr>
              <w:instrText xml:space="preserve"> PAGE </w:instrText>
            </w:r>
            <w:r w:rsidRPr="004D4AAF">
              <w:rPr>
                <w:bCs/>
                <w:szCs w:val="24"/>
              </w:rPr>
              <w:fldChar w:fldCharType="separate"/>
            </w:r>
            <w:r w:rsidR="00EC2BD6">
              <w:rPr>
                <w:bCs/>
                <w:noProof/>
              </w:rPr>
              <w:t>2</w:t>
            </w:r>
            <w:r w:rsidRPr="004D4AAF">
              <w:rPr>
                <w:bCs/>
                <w:szCs w:val="24"/>
              </w:rPr>
              <w:fldChar w:fldCharType="end"/>
            </w:r>
            <w:r w:rsidRPr="004D4AAF">
              <w:t xml:space="preserve"> no </w:t>
            </w:r>
            <w:r w:rsidRPr="004D4AAF">
              <w:rPr>
                <w:bCs/>
                <w:szCs w:val="24"/>
              </w:rPr>
              <w:fldChar w:fldCharType="begin"/>
            </w:r>
            <w:r w:rsidRPr="004D4AAF">
              <w:rPr>
                <w:bCs/>
              </w:rPr>
              <w:instrText xml:space="preserve"> NUMPAGES  </w:instrText>
            </w:r>
            <w:r w:rsidRPr="004D4AAF">
              <w:rPr>
                <w:bCs/>
                <w:szCs w:val="24"/>
              </w:rPr>
              <w:fldChar w:fldCharType="separate"/>
            </w:r>
            <w:r w:rsidR="00EC2BD6">
              <w:rPr>
                <w:bCs/>
                <w:noProof/>
              </w:rPr>
              <w:t>6</w:t>
            </w:r>
            <w:r w:rsidRPr="004D4AAF">
              <w:rPr>
                <w:bCs/>
                <w:szCs w:val="24"/>
              </w:rPr>
              <w:fldChar w:fldCharType="end"/>
            </w:r>
          </w:p>
        </w:sdtContent>
      </w:sdt>
    </w:sdtContent>
  </w:sdt>
  <w:p w14:paraId="7D62E92B" w14:textId="77777777" w:rsidR="004D4AAF" w:rsidRDefault="004D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0FC5B" w14:textId="77777777" w:rsidR="002362E2" w:rsidRDefault="002362E2" w:rsidP="004D4AAF">
      <w:pPr>
        <w:spacing w:after="0" w:line="240" w:lineRule="auto"/>
      </w:pPr>
      <w:r>
        <w:separator/>
      </w:r>
    </w:p>
  </w:footnote>
  <w:footnote w:type="continuationSeparator" w:id="0">
    <w:p w14:paraId="39C892A6" w14:textId="77777777" w:rsidR="002362E2" w:rsidRDefault="002362E2" w:rsidP="004D4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67E686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AF"/>
    <w:rsid w:val="00010D3C"/>
    <w:rsid w:val="00022957"/>
    <w:rsid w:val="00024905"/>
    <w:rsid w:val="00043560"/>
    <w:rsid w:val="00051336"/>
    <w:rsid w:val="000673A9"/>
    <w:rsid w:val="00081E59"/>
    <w:rsid w:val="0009460C"/>
    <w:rsid w:val="0009590B"/>
    <w:rsid w:val="000D0CC2"/>
    <w:rsid w:val="000D18DB"/>
    <w:rsid w:val="000D4A58"/>
    <w:rsid w:val="000D74AC"/>
    <w:rsid w:val="000F74BA"/>
    <w:rsid w:val="001338DE"/>
    <w:rsid w:val="00142B23"/>
    <w:rsid w:val="0014308B"/>
    <w:rsid w:val="00147302"/>
    <w:rsid w:val="001835C3"/>
    <w:rsid w:val="0019231A"/>
    <w:rsid w:val="00193E33"/>
    <w:rsid w:val="001A0378"/>
    <w:rsid w:val="001D6212"/>
    <w:rsid w:val="001E6D68"/>
    <w:rsid w:val="001F264B"/>
    <w:rsid w:val="002047A5"/>
    <w:rsid w:val="002166B3"/>
    <w:rsid w:val="002362E2"/>
    <w:rsid w:val="00247901"/>
    <w:rsid w:val="00280A6C"/>
    <w:rsid w:val="002828D4"/>
    <w:rsid w:val="0028520C"/>
    <w:rsid w:val="0028589D"/>
    <w:rsid w:val="002A4E01"/>
    <w:rsid w:val="002E739C"/>
    <w:rsid w:val="00325F40"/>
    <w:rsid w:val="003533AE"/>
    <w:rsid w:val="00362C8B"/>
    <w:rsid w:val="0036458A"/>
    <w:rsid w:val="0037003C"/>
    <w:rsid w:val="00372E73"/>
    <w:rsid w:val="00390F26"/>
    <w:rsid w:val="00392042"/>
    <w:rsid w:val="003A56A5"/>
    <w:rsid w:val="003C0C25"/>
    <w:rsid w:val="003D22EB"/>
    <w:rsid w:val="003D497D"/>
    <w:rsid w:val="003F2C7C"/>
    <w:rsid w:val="00415F00"/>
    <w:rsid w:val="004221D1"/>
    <w:rsid w:val="00434B1A"/>
    <w:rsid w:val="00435B94"/>
    <w:rsid w:val="00483286"/>
    <w:rsid w:val="0048333E"/>
    <w:rsid w:val="004A02AF"/>
    <w:rsid w:val="004C60B5"/>
    <w:rsid w:val="004D1399"/>
    <w:rsid w:val="004D4AAF"/>
    <w:rsid w:val="004D5543"/>
    <w:rsid w:val="005125CF"/>
    <w:rsid w:val="005134F8"/>
    <w:rsid w:val="00534029"/>
    <w:rsid w:val="0054770B"/>
    <w:rsid w:val="005827B9"/>
    <w:rsid w:val="0059455C"/>
    <w:rsid w:val="00596B84"/>
    <w:rsid w:val="005D093A"/>
    <w:rsid w:val="006051E8"/>
    <w:rsid w:val="006101B4"/>
    <w:rsid w:val="00610E34"/>
    <w:rsid w:val="0061342B"/>
    <w:rsid w:val="006424C0"/>
    <w:rsid w:val="00651655"/>
    <w:rsid w:val="00667EBE"/>
    <w:rsid w:val="0067487C"/>
    <w:rsid w:val="00687725"/>
    <w:rsid w:val="00697E50"/>
    <w:rsid w:val="006C18F3"/>
    <w:rsid w:val="006F2ADD"/>
    <w:rsid w:val="00727F0F"/>
    <w:rsid w:val="0075655A"/>
    <w:rsid w:val="00757D2B"/>
    <w:rsid w:val="00757E83"/>
    <w:rsid w:val="0076311F"/>
    <w:rsid w:val="0076432E"/>
    <w:rsid w:val="0076554D"/>
    <w:rsid w:val="00772944"/>
    <w:rsid w:val="00774078"/>
    <w:rsid w:val="00784265"/>
    <w:rsid w:val="007E6298"/>
    <w:rsid w:val="00806D97"/>
    <w:rsid w:val="00810B27"/>
    <w:rsid w:val="008178D3"/>
    <w:rsid w:val="0082496D"/>
    <w:rsid w:val="0084381B"/>
    <w:rsid w:val="00850431"/>
    <w:rsid w:val="00856933"/>
    <w:rsid w:val="00885379"/>
    <w:rsid w:val="008A1DF0"/>
    <w:rsid w:val="00902FB5"/>
    <w:rsid w:val="009033F8"/>
    <w:rsid w:val="0092027F"/>
    <w:rsid w:val="00931268"/>
    <w:rsid w:val="00931B84"/>
    <w:rsid w:val="009369E1"/>
    <w:rsid w:val="0094352D"/>
    <w:rsid w:val="00953A56"/>
    <w:rsid w:val="00953E6C"/>
    <w:rsid w:val="00956E54"/>
    <w:rsid w:val="0096304B"/>
    <w:rsid w:val="00976CE9"/>
    <w:rsid w:val="00984FE3"/>
    <w:rsid w:val="00993D07"/>
    <w:rsid w:val="009A660C"/>
    <w:rsid w:val="009B4D40"/>
    <w:rsid w:val="009B74AE"/>
    <w:rsid w:val="009E2F0A"/>
    <w:rsid w:val="00A00880"/>
    <w:rsid w:val="00A03125"/>
    <w:rsid w:val="00A235E3"/>
    <w:rsid w:val="00A456B9"/>
    <w:rsid w:val="00A57607"/>
    <w:rsid w:val="00A8639E"/>
    <w:rsid w:val="00AB0C5F"/>
    <w:rsid w:val="00AB0D97"/>
    <w:rsid w:val="00AC07D7"/>
    <w:rsid w:val="00AC652A"/>
    <w:rsid w:val="00AE6BE1"/>
    <w:rsid w:val="00B034DD"/>
    <w:rsid w:val="00B27F3A"/>
    <w:rsid w:val="00B40503"/>
    <w:rsid w:val="00B62733"/>
    <w:rsid w:val="00B62CBF"/>
    <w:rsid w:val="00B95832"/>
    <w:rsid w:val="00BB1092"/>
    <w:rsid w:val="00BD7757"/>
    <w:rsid w:val="00BE7FF1"/>
    <w:rsid w:val="00BF1CFC"/>
    <w:rsid w:val="00C10125"/>
    <w:rsid w:val="00C20B8B"/>
    <w:rsid w:val="00C23F29"/>
    <w:rsid w:val="00C2708A"/>
    <w:rsid w:val="00C34596"/>
    <w:rsid w:val="00C61A77"/>
    <w:rsid w:val="00C914E6"/>
    <w:rsid w:val="00CA07A8"/>
    <w:rsid w:val="00CA4D9D"/>
    <w:rsid w:val="00CB01CF"/>
    <w:rsid w:val="00CB13F3"/>
    <w:rsid w:val="00CB1975"/>
    <w:rsid w:val="00CB3858"/>
    <w:rsid w:val="00CD01ED"/>
    <w:rsid w:val="00CD2475"/>
    <w:rsid w:val="00D22F98"/>
    <w:rsid w:val="00D26ABB"/>
    <w:rsid w:val="00D45A96"/>
    <w:rsid w:val="00D4791E"/>
    <w:rsid w:val="00D51422"/>
    <w:rsid w:val="00D53FE5"/>
    <w:rsid w:val="00D54E0C"/>
    <w:rsid w:val="00D61F3B"/>
    <w:rsid w:val="00D75FB6"/>
    <w:rsid w:val="00D821BD"/>
    <w:rsid w:val="00D83F2D"/>
    <w:rsid w:val="00D84442"/>
    <w:rsid w:val="00D86765"/>
    <w:rsid w:val="00D879E1"/>
    <w:rsid w:val="00DA3538"/>
    <w:rsid w:val="00DA473B"/>
    <w:rsid w:val="00DC2EBC"/>
    <w:rsid w:val="00DC6F1A"/>
    <w:rsid w:val="00DE5AE4"/>
    <w:rsid w:val="00E255F4"/>
    <w:rsid w:val="00E33AB2"/>
    <w:rsid w:val="00E73F18"/>
    <w:rsid w:val="00E75C29"/>
    <w:rsid w:val="00E83AF7"/>
    <w:rsid w:val="00EC2BD6"/>
    <w:rsid w:val="00EE4F72"/>
    <w:rsid w:val="00EF6467"/>
    <w:rsid w:val="00F35338"/>
    <w:rsid w:val="00F4109D"/>
    <w:rsid w:val="00F7116B"/>
    <w:rsid w:val="00F81950"/>
    <w:rsid w:val="00F92CA3"/>
    <w:rsid w:val="00FA30EF"/>
    <w:rsid w:val="00FA69BF"/>
    <w:rsid w:val="00FC2FAA"/>
    <w:rsid w:val="00FC7EE7"/>
    <w:rsid w:val="00FD21E0"/>
    <w:rsid w:val="00FE1044"/>
    <w:rsid w:val="00FE6142"/>
    <w:rsid w:val="00FE76B9"/>
    <w:rsid w:val="00FF1E24"/>
    <w:rsid w:val="00FF537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F1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AAF"/>
  </w:style>
  <w:style w:type="paragraph" w:styleId="Heading2">
    <w:name w:val="heading 2"/>
    <w:basedOn w:val="Normal"/>
    <w:next w:val="Normal"/>
    <w:link w:val="Heading2Char"/>
    <w:qFormat/>
    <w:rsid w:val="004D4AAF"/>
    <w:pPr>
      <w:keepNext/>
      <w:spacing w:before="240" w:after="60" w:line="240" w:lineRule="auto"/>
      <w:outlineLvl w:val="1"/>
    </w:pPr>
    <w:rPr>
      <w:rFonts w:ascii="Arial" w:eastAsia="Calibri"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4AAF"/>
    <w:rPr>
      <w:rFonts w:ascii="Arial" w:eastAsia="Calibri" w:hAnsi="Arial" w:cs="Arial"/>
      <w:b/>
      <w:bCs/>
      <w:i/>
      <w:iCs/>
      <w:sz w:val="28"/>
      <w:szCs w:val="28"/>
    </w:rPr>
  </w:style>
  <w:style w:type="character" w:customStyle="1" w:styleId="BodyText2Char">
    <w:name w:val="Body Text 2 Char"/>
    <w:link w:val="BodyText2"/>
    <w:semiHidden/>
    <w:locked/>
    <w:rsid w:val="004D4AAF"/>
    <w:rPr>
      <w:rFonts w:ascii="Garamond" w:eastAsia="Calibri" w:hAnsi="Garamond"/>
      <w:sz w:val="28"/>
      <w:szCs w:val="28"/>
    </w:rPr>
  </w:style>
  <w:style w:type="paragraph" w:styleId="BodyText2">
    <w:name w:val="Body Text 2"/>
    <w:basedOn w:val="Normal"/>
    <w:link w:val="BodyText2Char"/>
    <w:semiHidden/>
    <w:rsid w:val="004D4AAF"/>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4D4AAF"/>
  </w:style>
  <w:style w:type="table" w:styleId="TableGrid">
    <w:name w:val="Table Grid"/>
    <w:basedOn w:val="TableNormal"/>
    <w:uiPriority w:val="39"/>
    <w:rsid w:val="004D4AA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A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AAF"/>
  </w:style>
  <w:style w:type="paragraph" w:styleId="Footer">
    <w:name w:val="footer"/>
    <w:basedOn w:val="Normal"/>
    <w:link w:val="FooterChar"/>
    <w:uiPriority w:val="99"/>
    <w:unhideWhenUsed/>
    <w:rsid w:val="004D4A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AAF"/>
  </w:style>
  <w:style w:type="paragraph" w:styleId="ListBullet">
    <w:name w:val="List Bullet"/>
    <w:basedOn w:val="Normal"/>
    <w:uiPriority w:val="99"/>
    <w:unhideWhenUsed/>
    <w:rsid w:val="00392042"/>
    <w:pPr>
      <w:numPr>
        <w:numId w:val="1"/>
      </w:numPr>
      <w:contextualSpacing/>
    </w:pPr>
  </w:style>
  <w:style w:type="paragraph" w:styleId="BalloonText">
    <w:name w:val="Balloon Text"/>
    <w:basedOn w:val="Normal"/>
    <w:link w:val="BalloonTextChar"/>
    <w:uiPriority w:val="99"/>
    <w:semiHidden/>
    <w:unhideWhenUsed/>
    <w:rsid w:val="00FC7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E7"/>
    <w:rPr>
      <w:rFonts w:ascii="Segoe UI" w:hAnsi="Segoe UI" w:cs="Segoe UI"/>
      <w:sz w:val="18"/>
      <w:szCs w:val="18"/>
    </w:rPr>
  </w:style>
  <w:style w:type="paragraph" w:styleId="NoSpacing">
    <w:name w:val="No Spacing"/>
    <w:uiPriority w:val="1"/>
    <w:qFormat/>
    <w:rsid w:val="0036458A"/>
    <w:pPr>
      <w:spacing w:after="0" w:line="240" w:lineRule="auto"/>
    </w:pPr>
  </w:style>
  <w:style w:type="character" w:styleId="Hyperlink">
    <w:name w:val="Hyperlink"/>
    <w:basedOn w:val="DefaultParagraphFont"/>
    <w:uiPriority w:val="99"/>
    <w:unhideWhenUsed/>
    <w:rsid w:val="006424C0"/>
    <w:rPr>
      <w:color w:val="0000FF"/>
      <w:u w:val="single"/>
    </w:rPr>
  </w:style>
  <w:style w:type="character" w:styleId="UnresolvedMention">
    <w:name w:val="Unresolved Mention"/>
    <w:basedOn w:val="DefaultParagraphFont"/>
    <w:uiPriority w:val="99"/>
    <w:semiHidden/>
    <w:unhideWhenUsed/>
    <w:rsid w:val="00C34596"/>
    <w:rPr>
      <w:color w:val="605E5C"/>
      <w:shd w:val="clear" w:color="auto" w:fill="E1DFDD"/>
    </w:rPr>
  </w:style>
  <w:style w:type="character" w:styleId="FollowedHyperlink">
    <w:name w:val="FollowedHyperlink"/>
    <w:basedOn w:val="DefaultParagraphFont"/>
    <w:uiPriority w:val="99"/>
    <w:semiHidden/>
    <w:unhideWhenUsed/>
    <w:rsid w:val="00774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203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FE38-D206-4686-BBEF-86E0D6FE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11259</Words>
  <Characters>6418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2020-10-13T05:52:00Z</dcterms:created>
  <dcterms:modified xsi:type="dcterms:W3CDTF">2020-10-13T05:52:00Z</dcterms:modified>
</cp:coreProperties>
</file>