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C803E" w14:textId="1A8AE9A8" w:rsidR="00D77DC7" w:rsidRPr="00AF05A1" w:rsidRDefault="00AF05A1" w:rsidP="00AF05A1">
      <w:pPr>
        <w:spacing w:line="276" w:lineRule="auto"/>
        <w:jc w:val="both"/>
        <w:rPr>
          <w:b/>
          <w:bCs/>
        </w:rPr>
      </w:pPr>
      <w:bookmarkStart w:id="0" w:name="_Hlk52796185"/>
      <w:r>
        <w:rPr>
          <w:b/>
          <w:bCs/>
        </w:rPr>
        <w:t>Dienesta PSRS Bruņotajos spēkos iekļaušana vecuma pensijas apdrošināšanas stāžā</w:t>
      </w:r>
      <w:bookmarkEnd w:id="0"/>
    </w:p>
    <w:p w14:paraId="51CBCE44" w14:textId="77777777" w:rsidR="00D77DC7" w:rsidRDefault="00D77DC7" w:rsidP="00A138AE">
      <w:pPr>
        <w:spacing w:line="276" w:lineRule="auto"/>
        <w:jc w:val="center"/>
        <w:rPr>
          <w:rFonts w:eastAsiaTheme="minorEastAsia"/>
          <w:lang w:eastAsia="en-US"/>
        </w:rPr>
      </w:pPr>
    </w:p>
    <w:p w14:paraId="74B45C4F" w14:textId="5C89D064" w:rsidR="00A138AE" w:rsidRDefault="00A138AE" w:rsidP="00A138AE">
      <w:pPr>
        <w:spacing w:line="276" w:lineRule="auto"/>
        <w:jc w:val="center"/>
        <w:rPr>
          <w:b/>
          <w:noProof/>
        </w:rPr>
      </w:pPr>
      <w:r w:rsidRPr="00D77DC7">
        <w:rPr>
          <w:b/>
          <w:noProof/>
        </w:rPr>
        <w:t>Latvijas Republikas Senāt</w:t>
      </w:r>
      <w:r w:rsidR="00D77DC7">
        <w:rPr>
          <w:b/>
          <w:noProof/>
        </w:rPr>
        <w:t>a</w:t>
      </w:r>
    </w:p>
    <w:p w14:paraId="21287CF6" w14:textId="2224E1FC" w:rsidR="00D77DC7" w:rsidRDefault="00D77DC7" w:rsidP="00A138AE">
      <w:pPr>
        <w:spacing w:line="276" w:lineRule="auto"/>
        <w:jc w:val="center"/>
        <w:rPr>
          <w:b/>
          <w:noProof/>
        </w:rPr>
      </w:pPr>
      <w:r>
        <w:rPr>
          <w:b/>
          <w:noProof/>
        </w:rPr>
        <w:t>Administratīvo lietu departamenta</w:t>
      </w:r>
    </w:p>
    <w:p w14:paraId="7BFE3BE3" w14:textId="514CDBC3" w:rsidR="00D77DC7" w:rsidRPr="00D77DC7" w:rsidRDefault="00D77DC7" w:rsidP="00A138AE">
      <w:pPr>
        <w:spacing w:line="276" w:lineRule="auto"/>
        <w:jc w:val="center"/>
        <w:rPr>
          <w:b/>
          <w:noProof/>
        </w:rPr>
      </w:pPr>
      <w:r>
        <w:rPr>
          <w:b/>
          <w:noProof/>
        </w:rPr>
        <w:t>2020.gada 30.septembra</w:t>
      </w:r>
    </w:p>
    <w:p w14:paraId="46462B26" w14:textId="5D10AD97" w:rsidR="00A138AE" w:rsidRDefault="00A138AE" w:rsidP="00A138AE">
      <w:pPr>
        <w:spacing w:line="276" w:lineRule="auto"/>
        <w:jc w:val="center"/>
        <w:rPr>
          <w:b/>
          <w:noProof/>
        </w:rPr>
      </w:pPr>
      <w:r w:rsidRPr="00D77DC7">
        <w:rPr>
          <w:b/>
          <w:noProof/>
        </w:rPr>
        <w:t>SPRIEDUMS</w:t>
      </w:r>
    </w:p>
    <w:p w14:paraId="63E0641A" w14:textId="6F19EF2E" w:rsidR="00D77DC7" w:rsidRDefault="00D77DC7" w:rsidP="00A138AE">
      <w:pPr>
        <w:spacing w:line="276" w:lineRule="auto"/>
        <w:jc w:val="center"/>
        <w:rPr>
          <w:b/>
          <w:noProof/>
        </w:rPr>
      </w:pPr>
      <w:r>
        <w:rPr>
          <w:b/>
          <w:noProof/>
        </w:rPr>
        <w:t>Lieta Nr. A420356715, SKA-224/2020</w:t>
      </w:r>
    </w:p>
    <w:p w14:paraId="50F9A21C" w14:textId="781D11AF" w:rsidR="00D77DC7" w:rsidRPr="00D77DC7" w:rsidRDefault="00AF05A1" w:rsidP="00A138AE">
      <w:pPr>
        <w:spacing w:line="276" w:lineRule="auto"/>
        <w:jc w:val="center"/>
        <w:rPr>
          <w:b/>
          <w:noProof/>
        </w:rPr>
      </w:pPr>
      <w:hyperlink r:id="rId7" w:history="1">
        <w:r w:rsidRPr="00AF05A1">
          <w:rPr>
            <w:rStyle w:val="Hyperlink"/>
          </w:rPr>
          <w:t>ECLI:LV:AT:2020:09</w:t>
        </w:r>
        <w:r w:rsidRPr="00AF05A1">
          <w:rPr>
            <w:rStyle w:val="Hyperlink"/>
          </w:rPr>
          <w:t>3</w:t>
        </w:r>
        <w:r w:rsidRPr="00AF05A1">
          <w:rPr>
            <w:rStyle w:val="Hyperlink"/>
          </w:rPr>
          <w:t>0.A420356715.14.S</w:t>
        </w:r>
      </w:hyperlink>
    </w:p>
    <w:p w14:paraId="42913FA5" w14:textId="77777777" w:rsidR="00A138AE" w:rsidRPr="00DB4B5A" w:rsidRDefault="00A138AE" w:rsidP="00A138AE">
      <w:pPr>
        <w:spacing w:line="276" w:lineRule="auto"/>
        <w:ind w:firstLine="567"/>
        <w:jc w:val="both"/>
        <w:rPr>
          <w:noProof/>
        </w:rPr>
      </w:pPr>
    </w:p>
    <w:p w14:paraId="5943859D" w14:textId="31A02BD9" w:rsidR="00A138AE" w:rsidRPr="00DB4B5A" w:rsidRDefault="00A138AE" w:rsidP="00A138AE">
      <w:pPr>
        <w:spacing w:line="276" w:lineRule="auto"/>
        <w:ind w:firstLine="720"/>
        <w:jc w:val="both"/>
        <w:rPr>
          <w:noProof/>
        </w:rPr>
      </w:pPr>
      <w:r w:rsidRPr="00DB4B5A">
        <w:rPr>
          <w:noProof/>
        </w:rPr>
        <w:t xml:space="preserve">Tiesa šādā sastāvā: senatores Līvija Slica, Anita Kovaļevska, </w:t>
      </w:r>
      <w:r>
        <w:rPr>
          <w:noProof/>
        </w:rPr>
        <w:t>Ieva Višķ</w:t>
      </w:r>
      <w:r w:rsidR="00B7451A">
        <w:rPr>
          <w:noProof/>
        </w:rPr>
        <w:t>e</w:t>
      </w:r>
      <w:r>
        <w:rPr>
          <w:noProof/>
        </w:rPr>
        <w:t>re</w:t>
      </w:r>
    </w:p>
    <w:p w14:paraId="0E69CEBA" w14:textId="77777777" w:rsidR="00A138AE" w:rsidRPr="00DB4B5A" w:rsidRDefault="00A138AE" w:rsidP="00A138AE">
      <w:pPr>
        <w:spacing w:line="276" w:lineRule="auto"/>
        <w:ind w:firstLine="720"/>
        <w:jc w:val="both"/>
        <w:rPr>
          <w:noProof/>
        </w:rPr>
      </w:pPr>
    </w:p>
    <w:p w14:paraId="0C2C5E43" w14:textId="55A3273F" w:rsidR="00A138AE" w:rsidRPr="00DB4B5A" w:rsidRDefault="00A138AE" w:rsidP="00A138AE">
      <w:pPr>
        <w:spacing w:line="276" w:lineRule="auto"/>
        <w:ind w:firstLine="720"/>
        <w:jc w:val="both"/>
        <w:rPr>
          <w:noProof/>
        </w:rPr>
      </w:pPr>
      <w:r w:rsidRPr="00DB4B5A">
        <w:rPr>
          <w:noProof/>
        </w:rPr>
        <w:t xml:space="preserve">rakstveida procesā izskatīja administratīvo lietu, kas ierosināta, pamatojoties </w:t>
      </w:r>
      <w:r w:rsidR="006026AE">
        <w:rPr>
          <w:noProof/>
        </w:rPr>
        <w:t xml:space="preserve">uz </w:t>
      </w:r>
      <w:r w:rsidR="00D77DC7">
        <w:rPr>
          <w:rFonts w:eastAsiaTheme="minorEastAsia"/>
          <w:lang w:eastAsia="en-US"/>
        </w:rPr>
        <w:t>[pers. A]</w:t>
      </w:r>
      <w:r w:rsidR="006026AE">
        <w:rPr>
          <w:rFonts w:eastAsiaTheme="minorEastAsia"/>
          <w:lang w:eastAsia="en-US"/>
        </w:rPr>
        <w:t xml:space="preserve"> pieteikumu par labvēlīga administratīvā akta izdošanu</w:t>
      </w:r>
      <w:r w:rsidRPr="00DB4B5A">
        <w:rPr>
          <w:bCs/>
          <w:noProof/>
        </w:rPr>
        <w:t xml:space="preserve">, </w:t>
      </w:r>
      <w:r w:rsidRPr="00DB4B5A">
        <w:rPr>
          <w:noProof/>
        </w:rPr>
        <w:t xml:space="preserve">sakarā ar </w:t>
      </w:r>
      <w:r w:rsidR="006026AE">
        <w:rPr>
          <w:color w:val="000000"/>
        </w:rPr>
        <w:t>Valsts sociālās apdrošināšanas aģentūras</w:t>
      </w:r>
      <w:r w:rsidRPr="00DB4B5A">
        <w:rPr>
          <w:noProof/>
        </w:rPr>
        <w:t xml:space="preserve"> kasācijas sūdzību par Administratīvās apgabaltiesas 2018.gada </w:t>
      </w:r>
      <w:r w:rsidR="006026AE">
        <w:rPr>
          <w:noProof/>
        </w:rPr>
        <w:t>9.marta</w:t>
      </w:r>
      <w:r w:rsidRPr="00DB4B5A">
        <w:rPr>
          <w:noProof/>
        </w:rPr>
        <w:t xml:space="preserve"> spriedumu</w:t>
      </w:r>
      <w:r w:rsidR="009C2A08">
        <w:rPr>
          <w:noProof/>
        </w:rPr>
        <w:t xml:space="preserve"> daļā</w:t>
      </w:r>
      <w:r w:rsidRPr="00DB4B5A">
        <w:rPr>
          <w:noProof/>
        </w:rPr>
        <w:t>.</w:t>
      </w:r>
    </w:p>
    <w:p w14:paraId="1D28D5A8" w14:textId="77777777" w:rsidR="00A138AE" w:rsidRPr="00DB4B5A" w:rsidRDefault="00A138AE" w:rsidP="00A138AE">
      <w:pPr>
        <w:spacing w:line="276" w:lineRule="auto"/>
        <w:ind w:firstLine="720"/>
        <w:jc w:val="both"/>
        <w:rPr>
          <w:noProof/>
        </w:rPr>
      </w:pPr>
    </w:p>
    <w:p w14:paraId="4299530A" w14:textId="77777777" w:rsidR="00A138AE" w:rsidRPr="00DB4B5A" w:rsidRDefault="00A138AE" w:rsidP="00A138AE">
      <w:pPr>
        <w:pStyle w:val="ATvirsraksts"/>
        <w:rPr>
          <w:noProof/>
        </w:rPr>
      </w:pPr>
      <w:r w:rsidRPr="00DB4B5A">
        <w:rPr>
          <w:noProof/>
        </w:rPr>
        <w:t>Aprakstošā daļa</w:t>
      </w:r>
    </w:p>
    <w:p w14:paraId="0F138BA4" w14:textId="77777777" w:rsidR="00A138AE" w:rsidRPr="00DB4B5A" w:rsidRDefault="00A138AE" w:rsidP="00A138AE">
      <w:pPr>
        <w:spacing w:line="276" w:lineRule="auto"/>
        <w:ind w:firstLine="720"/>
        <w:jc w:val="both"/>
        <w:rPr>
          <w:noProof/>
        </w:rPr>
      </w:pPr>
    </w:p>
    <w:p w14:paraId="05333FB3" w14:textId="3028120A" w:rsidR="009C2A08" w:rsidRDefault="00A138AE" w:rsidP="009C2A08">
      <w:pPr>
        <w:spacing w:line="276" w:lineRule="auto"/>
        <w:ind w:firstLine="567"/>
        <w:jc w:val="both"/>
        <w:rPr>
          <w:color w:val="000000"/>
        </w:rPr>
      </w:pPr>
      <w:r w:rsidRPr="00DB4B5A">
        <w:rPr>
          <w:noProof/>
          <w:lang w:eastAsia="lv-LV"/>
        </w:rPr>
        <w:t>[1]</w:t>
      </w:r>
      <w:r w:rsidR="0031024F">
        <w:rPr>
          <w:noProof/>
          <w:lang w:eastAsia="lv-LV"/>
        </w:rPr>
        <w:t> </w:t>
      </w:r>
      <w:r w:rsidR="009C2A08" w:rsidRPr="00A05251">
        <w:rPr>
          <w:color w:val="000000"/>
        </w:rPr>
        <w:t>Valsts sociālās apdrošināšanas aģentūra</w:t>
      </w:r>
      <w:r w:rsidR="00101180">
        <w:rPr>
          <w:color w:val="000000"/>
        </w:rPr>
        <w:t xml:space="preserve"> (turpmāk – aģentūra)</w:t>
      </w:r>
      <w:r w:rsidR="009C2A08">
        <w:rPr>
          <w:color w:val="000000"/>
        </w:rPr>
        <w:t xml:space="preserve"> ar </w:t>
      </w:r>
      <w:proofErr w:type="gramStart"/>
      <w:r w:rsidR="009C2A08" w:rsidRPr="00A05251">
        <w:rPr>
          <w:color w:val="000000"/>
        </w:rPr>
        <w:t>2015.gada</w:t>
      </w:r>
      <w:proofErr w:type="gramEnd"/>
      <w:r w:rsidR="009C2A08" w:rsidRPr="00A05251">
        <w:rPr>
          <w:color w:val="000000"/>
        </w:rPr>
        <w:t xml:space="preserve"> 26.novembra lēmumu Nr.</w:t>
      </w:r>
      <w:r w:rsidR="009C2A08">
        <w:rPr>
          <w:color w:val="000000"/>
        </w:rPr>
        <w:t> </w:t>
      </w:r>
      <w:r w:rsidR="009C2A08" w:rsidRPr="00A05251">
        <w:rPr>
          <w:color w:val="000000"/>
        </w:rPr>
        <w:t>15/2479828</w:t>
      </w:r>
      <w:r w:rsidR="009C2A08" w:rsidRPr="009C2A08">
        <w:rPr>
          <w:color w:val="000000"/>
        </w:rPr>
        <w:t xml:space="preserve"> </w:t>
      </w:r>
      <w:r w:rsidR="009C2A08" w:rsidRPr="00A05251">
        <w:rPr>
          <w:color w:val="000000"/>
        </w:rPr>
        <w:t xml:space="preserve">pieteicējam </w:t>
      </w:r>
      <w:r w:rsidR="00D77DC7">
        <w:rPr>
          <w:rFonts w:eastAsiaTheme="minorEastAsia"/>
          <w:lang w:eastAsia="en-US"/>
        </w:rPr>
        <w:t>[pers. A]</w:t>
      </w:r>
      <w:r w:rsidR="009C2A08" w:rsidRPr="00A05251">
        <w:rPr>
          <w:color w:val="000000"/>
        </w:rPr>
        <w:t xml:space="preserve"> attei</w:t>
      </w:r>
      <w:r w:rsidR="009C2A08">
        <w:rPr>
          <w:color w:val="000000"/>
        </w:rPr>
        <w:t>ca</w:t>
      </w:r>
      <w:r w:rsidR="009C2A08" w:rsidRPr="00A05251">
        <w:rPr>
          <w:color w:val="000000"/>
        </w:rPr>
        <w:t xml:space="preserve"> piešķirt valsts vecuma pensiju, jo nav nepieciešamā apdrošināšanas stāža.</w:t>
      </w:r>
    </w:p>
    <w:p w14:paraId="353837E3" w14:textId="1C1B26B0" w:rsidR="009C2A08" w:rsidRPr="00A05251" w:rsidRDefault="009C2A08" w:rsidP="009C2A08">
      <w:pPr>
        <w:spacing w:line="276" w:lineRule="auto"/>
        <w:ind w:firstLine="567"/>
        <w:jc w:val="both"/>
        <w:rPr>
          <w:color w:val="000000"/>
        </w:rPr>
      </w:pPr>
      <w:r>
        <w:rPr>
          <w:color w:val="000000"/>
        </w:rPr>
        <w:t xml:space="preserve">Pieteicējs iesniedza tiesā pieteikumu par </w:t>
      </w:r>
      <w:r>
        <w:rPr>
          <w:rFonts w:eastAsiaTheme="minorEastAsia"/>
          <w:lang w:eastAsia="en-US"/>
        </w:rPr>
        <w:t>labvēlīga administratīvā akta izdošanu</w:t>
      </w:r>
      <w:r w:rsidRPr="00DB4B5A">
        <w:rPr>
          <w:bCs/>
          <w:noProof/>
        </w:rPr>
        <w:t xml:space="preserve">, </w:t>
      </w:r>
      <w:r>
        <w:rPr>
          <w:bCs/>
          <w:noProof/>
        </w:rPr>
        <w:t xml:space="preserve">ar kuru viņam </w:t>
      </w:r>
      <w:r w:rsidRPr="00A05251">
        <w:rPr>
          <w:color w:val="000000"/>
        </w:rPr>
        <w:t>piešķirt</w:t>
      </w:r>
      <w:r>
        <w:rPr>
          <w:color w:val="000000"/>
        </w:rPr>
        <w:t>u</w:t>
      </w:r>
      <w:r w:rsidRPr="00A05251">
        <w:rPr>
          <w:color w:val="000000"/>
        </w:rPr>
        <w:t xml:space="preserve"> vecuma pensij</w:t>
      </w:r>
      <w:r>
        <w:rPr>
          <w:color w:val="000000"/>
        </w:rPr>
        <w:t>u</w:t>
      </w:r>
      <w:r w:rsidRPr="00A05251">
        <w:rPr>
          <w:color w:val="000000"/>
        </w:rPr>
        <w:t>, apdrošināšanas stāžā</w:t>
      </w:r>
      <w:r>
        <w:rPr>
          <w:color w:val="000000"/>
        </w:rPr>
        <w:t xml:space="preserve"> </w:t>
      </w:r>
      <w:proofErr w:type="spellStart"/>
      <w:r>
        <w:rPr>
          <w:color w:val="000000"/>
        </w:rPr>
        <w:t>citstarp</w:t>
      </w:r>
      <w:proofErr w:type="spellEnd"/>
      <w:r w:rsidRPr="00A05251">
        <w:rPr>
          <w:color w:val="000000"/>
        </w:rPr>
        <w:t xml:space="preserve"> iekļaujot</w:t>
      </w:r>
      <w:r w:rsidR="00101180">
        <w:rPr>
          <w:color w:val="000000"/>
        </w:rPr>
        <w:t xml:space="preserve"> laika</w:t>
      </w:r>
      <w:r w:rsidRPr="00A05251">
        <w:rPr>
          <w:color w:val="000000"/>
        </w:rPr>
        <w:t xml:space="preserve"> periodu no </w:t>
      </w:r>
      <w:proofErr w:type="gramStart"/>
      <w:r w:rsidRPr="00A05251">
        <w:rPr>
          <w:color w:val="000000"/>
        </w:rPr>
        <w:t>1975.gada</w:t>
      </w:r>
      <w:proofErr w:type="gramEnd"/>
      <w:r w:rsidRPr="00A05251">
        <w:rPr>
          <w:color w:val="000000"/>
        </w:rPr>
        <w:t xml:space="preserve"> 10.jūlija līdz 1988.gada 18.jūlijam</w:t>
      </w:r>
      <w:r>
        <w:rPr>
          <w:color w:val="000000"/>
        </w:rPr>
        <w:t>.</w:t>
      </w:r>
    </w:p>
    <w:p w14:paraId="0ABA8C83" w14:textId="0ADEE9A9" w:rsidR="0031024F" w:rsidRDefault="0031024F" w:rsidP="00A138AE">
      <w:pPr>
        <w:spacing w:line="276" w:lineRule="auto"/>
        <w:ind w:firstLine="567"/>
        <w:jc w:val="both"/>
        <w:rPr>
          <w:rFonts w:ascii="TimesNewRomanPSMT" w:hAnsi="TimesNewRomanPSMT"/>
          <w:color w:val="000000"/>
        </w:rPr>
      </w:pPr>
    </w:p>
    <w:p w14:paraId="28DB9FC7" w14:textId="7611A096" w:rsidR="00601BF8" w:rsidRDefault="0031024F" w:rsidP="00601BF8">
      <w:pPr>
        <w:spacing w:line="276" w:lineRule="auto"/>
        <w:ind w:firstLine="567"/>
        <w:jc w:val="both"/>
        <w:rPr>
          <w:color w:val="000000"/>
        </w:rPr>
      </w:pPr>
      <w:r>
        <w:rPr>
          <w:rFonts w:ascii="TimesNewRomanPSMT" w:hAnsi="TimesNewRomanPSMT"/>
          <w:color w:val="000000"/>
        </w:rPr>
        <w:t>[2] </w:t>
      </w:r>
      <w:r w:rsidR="0079521F" w:rsidRPr="00CD6623">
        <w:rPr>
          <w:rFonts w:eastAsiaTheme="minorEastAsia"/>
          <w:lang w:eastAsia="en-US"/>
        </w:rPr>
        <w:t>Administratīvā apgabaltiesa</w:t>
      </w:r>
      <w:r w:rsidR="00CD728B">
        <w:rPr>
          <w:rFonts w:eastAsiaTheme="minorEastAsia"/>
          <w:lang w:eastAsia="en-US"/>
        </w:rPr>
        <w:t xml:space="preserve"> ar</w:t>
      </w:r>
      <w:r w:rsidR="0079521F" w:rsidRPr="00CD6623">
        <w:rPr>
          <w:rFonts w:eastAsiaTheme="minorEastAsia"/>
          <w:lang w:eastAsia="en-US"/>
        </w:rPr>
        <w:t xml:space="preserve"> </w:t>
      </w:r>
      <w:proofErr w:type="gramStart"/>
      <w:r w:rsidR="0079521F" w:rsidRPr="00CD6623">
        <w:rPr>
          <w:rFonts w:eastAsiaTheme="minorEastAsia"/>
          <w:lang w:eastAsia="en-US"/>
        </w:rPr>
        <w:t>201</w:t>
      </w:r>
      <w:r w:rsidR="0079521F">
        <w:rPr>
          <w:rFonts w:eastAsiaTheme="minorEastAsia"/>
          <w:lang w:eastAsia="en-US"/>
        </w:rPr>
        <w:t>8</w:t>
      </w:r>
      <w:r w:rsidR="0079521F" w:rsidRPr="00CD6623">
        <w:rPr>
          <w:rFonts w:eastAsiaTheme="minorEastAsia"/>
          <w:lang w:eastAsia="en-US"/>
        </w:rPr>
        <w:t>.gada</w:t>
      </w:r>
      <w:proofErr w:type="gramEnd"/>
      <w:r w:rsidR="0079521F" w:rsidRPr="00CD6623">
        <w:rPr>
          <w:rFonts w:eastAsiaTheme="minorEastAsia"/>
          <w:lang w:eastAsia="en-US"/>
        </w:rPr>
        <w:t xml:space="preserve"> </w:t>
      </w:r>
      <w:r w:rsidR="009C2A08">
        <w:rPr>
          <w:noProof/>
        </w:rPr>
        <w:t>9.marta</w:t>
      </w:r>
      <w:r w:rsidR="009C2A08" w:rsidRPr="00DB4B5A">
        <w:rPr>
          <w:noProof/>
        </w:rPr>
        <w:t xml:space="preserve"> </w:t>
      </w:r>
      <w:r w:rsidR="0079521F" w:rsidRPr="00CD6623">
        <w:rPr>
          <w:rFonts w:eastAsiaTheme="minorEastAsia"/>
          <w:lang w:eastAsia="en-US"/>
        </w:rPr>
        <w:t xml:space="preserve">spriedumu </w:t>
      </w:r>
      <w:r w:rsidR="009C2A08">
        <w:rPr>
          <w:rFonts w:eastAsiaTheme="minorEastAsia"/>
          <w:lang w:eastAsia="en-US"/>
        </w:rPr>
        <w:t>apmierināja</w:t>
      </w:r>
      <w:r w:rsidR="0079521F" w:rsidRPr="00CD6623">
        <w:rPr>
          <w:rFonts w:eastAsiaTheme="minorEastAsia"/>
          <w:lang w:eastAsia="en-US"/>
        </w:rPr>
        <w:t xml:space="preserve"> pieteicēj</w:t>
      </w:r>
      <w:r w:rsidR="00477B63">
        <w:rPr>
          <w:rFonts w:eastAsiaTheme="minorEastAsia"/>
          <w:lang w:eastAsia="en-US"/>
        </w:rPr>
        <w:t xml:space="preserve">a </w:t>
      </w:r>
      <w:r w:rsidR="0079521F" w:rsidRPr="00CD6623">
        <w:rPr>
          <w:rFonts w:eastAsiaTheme="minorEastAsia"/>
          <w:lang w:eastAsia="en-US"/>
        </w:rPr>
        <w:t>pieteikum</w:t>
      </w:r>
      <w:r w:rsidR="00477B63">
        <w:rPr>
          <w:rFonts w:eastAsiaTheme="minorEastAsia"/>
          <w:lang w:eastAsia="en-US"/>
        </w:rPr>
        <w:t>u</w:t>
      </w:r>
      <w:r w:rsidR="00601BF8">
        <w:rPr>
          <w:rFonts w:eastAsiaTheme="minorEastAsia"/>
          <w:lang w:eastAsia="en-US"/>
        </w:rPr>
        <w:t xml:space="preserve"> daļā</w:t>
      </w:r>
      <w:r w:rsidR="0079521F">
        <w:t>.</w:t>
      </w:r>
      <w:r w:rsidR="00CD728B">
        <w:t xml:space="preserve"> </w:t>
      </w:r>
      <w:r w:rsidR="00601BF8">
        <w:t>Apgabaltiesa u</w:t>
      </w:r>
      <w:r w:rsidR="00601BF8" w:rsidRPr="00A05251">
        <w:rPr>
          <w:color w:val="000000"/>
        </w:rPr>
        <w:t>z</w:t>
      </w:r>
      <w:r w:rsidR="001E5D65">
        <w:rPr>
          <w:color w:val="000000"/>
        </w:rPr>
        <w:t xml:space="preserve">deva </w:t>
      </w:r>
      <w:r w:rsidR="00601BF8" w:rsidRPr="00A05251">
        <w:rPr>
          <w:color w:val="000000"/>
        </w:rPr>
        <w:t xml:space="preserve">aģentūrai izdot labvēlīgu administratīvo aktu, ar kuru </w:t>
      </w:r>
      <w:r w:rsidR="00601BF8">
        <w:rPr>
          <w:color w:val="000000"/>
        </w:rPr>
        <w:t>pieteicējam</w:t>
      </w:r>
      <w:r w:rsidR="00601BF8" w:rsidRPr="00A05251">
        <w:rPr>
          <w:color w:val="000000"/>
        </w:rPr>
        <w:t xml:space="preserve"> tiktu piešķirta vecuma pensija, pieteicēja apdrošināšanas stāžā iekļaujot laika periodu no </w:t>
      </w:r>
      <w:proofErr w:type="gramStart"/>
      <w:r w:rsidR="00601BF8" w:rsidRPr="00A05251">
        <w:rPr>
          <w:color w:val="000000"/>
        </w:rPr>
        <w:t>1975.gada</w:t>
      </w:r>
      <w:proofErr w:type="gramEnd"/>
      <w:r w:rsidR="00601BF8" w:rsidRPr="00A05251">
        <w:rPr>
          <w:color w:val="000000"/>
        </w:rPr>
        <w:t xml:space="preserve"> 10.jūlija līdz 1988.gada 18.jūlijam</w:t>
      </w:r>
      <w:r w:rsidR="00601BF8">
        <w:rPr>
          <w:color w:val="000000"/>
        </w:rPr>
        <w:t xml:space="preserve">, bet pārējā daļā </w:t>
      </w:r>
      <w:r w:rsidR="001E5D65">
        <w:rPr>
          <w:color w:val="000000"/>
        </w:rPr>
        <w:t xml:space="preserve">pieteikumu </w:t>
      </w:r>
      <w:r w:rsidR="00601BF8">
        <w:rPr>
          <w:color w:val="000000"/>
        </w:rPr>
        <w:t>noraidīja</w:t>
      </w:r>
      <w:r w:rsidR="00601BF8" w:rsidRPr="00A05251">
        <w:rPr>
          <w:color w:val="000000"/>
        </w:rPr>
        <w:t>.</w:t>
      </w:r>
      <w:r w:rsidR="00601BF8">
        <w:rPr>
          <w:color w:val="000000"/>
        </w:rPr>
        <w:t xml:space="preserve"> Apgabaltiesas spriedums daļā, kurā pieteikums apmierināts, pamatots ar turpmāk minētajiem argumentiem.</w:t>
      </w:r>
    </w:p>
    <w:p w14:paraId="73EC2961" w14:textId="5CC8EA8E" w:rsidR="001F5F3E" w:rsidRPr="00A05251" w:rsidRDefault="00601BF8" w:rsidP="001F5F3E">
      <w:pPr>
        <w:spacing w:line="276" w:lineRule="auto"/>
        <w:ind w:firstLine="567"/>
        <w:jc w:val="both"/>
        <w:rPr>
          <w:color w:val="000000"/>
        </w:rPr>
      </w:pPr>
      <w:r>
        <w:rPr>
          <w:color w:val="000000"/>
        </w:rPr>
        <w:t>[</w:t>
      </w:r>
      <w:r w:rsidR="00993508">
        <w:rPr>
          <w:color w:val="000000"/>
        </w:rPr>
        <w:t>2.1</w:t>
      </w:r>
      <w:r>
        <w:rPr>
          <w:color w:val="000000"/>
        </w:rPr>
        <w:t>]</w:t>
      </w:r>
      <w:r w:rsidR="00993508">
        <w:rPr>
          <w:color w:val="000000"/>
        </w:rPr>
        <w:t> </w:t>
      </w:r>
      <w:r w:rsidR="001F5F3E">
        <w:rPr>
          <w:color w:val="000000"/>
        </w:rPr>
        <w:t>Sa</w:t>
      </w:r>
      <w:r w:rsidR="001F5F3E" w:rsidRPr="00A05251">
        <w:rPr>
          <w:color w:val="000000"/>
        </w:rPr>
        <w:t>skaņā ar likuma „Par valsts pensijām” pārejas noteikumu 1.punkta 2.apakšpunktu virsdienestu iekļauj personas apdrošināšanas stāžā tikai tad, ja izpildās šādi nosacījumi:</w:t>
      </w:r>
    </w:p>
    <w:p w14:paraId="45FC6FB7" w14:textId="2FA05B5C" w:rsidR="001F5F3E" w:rsidRPr="00A05251" w:rsidRDefault="001F5F3E" w:rsidP="001F5F3E">
      <w:pPr>
        <w:spacing w:line="276" w:lineRule="auto"/>
        <w:ind w:firstLine="567"/>
        <w:jc w:val="both"/>
        <w:rPr>
          <w:color w:val="000000"/>
        </w:rPr>
      </w:pPr>
      <w:r w:rsidRPr="00A05251">
        <w:rPr>
          <w:color w:val="000000"/>
        </w:rPr>
        <w:t>1)</w:t>
      </w:r>
      <w:r w:rsidR="00BC0C49">
        <w:rPr>
          <w:color w:val="000000"/>
        </w:rPr>
        <w:t> </w:t>
      </w:r>
      <w:r w:rsidRPr="00A05251">
        <w:rPr>
          <w:color w:val="000000"/>
        </w:rPr>
        <w:t>ja personai sakarā ar darbību Latvijas interesēs atņemta dienesta pakāpe vai</w:t>
      </w:r>
    </w:p>
    <w:p w14:paraId="00569487" w14:textId="118BAE5D" w:rsidR="001F5F3E" w:rsidRPr="00A05251" w:rsidRDefault="001F5F3E" w:rsidP="001F5F3E">
      <w:pPr>
        <w:spacing w:line="276" w:lineRule="auto"/>
        <w:ind w:firstLine="567"/>
        <w:jc w:val="both"/>
        <w:rPr>
          <w:color w:val="000000"/>
        </w:rPr>
      </w:pPr>
      <w:r w:rsidRPr="00A05251">
        <w:rPr>
          <w:color w:val="000000"/>
        </w:rPr>
        <w:t>2)</w:t>
      </w:r>
      <w:r w:rsidR="00BC0C49">
        <w:t> </w:t>
      </w:r>
      <w:r w:rsidRPr="00A05251">
        <w:rPr>
          <w:color w:val="000000"/>
        </w:rPr>
        <w:t>persona iesaukta aktīvajā militārajā dienestā pēc obligātā karadienesta, vai</w:t>
      </w:r>
    </w:p>
    <w:p w14:paraId="148CB8BE" w14:textId="22FD4FA6" w:rsidR="001F5F3E" w:rsidRPr="00A05251" w:rsidRDefault="001F5F3E" w:rsidP="001F5F3E">
      <w:pPr>
        <w:spacing w:line="276" w:lineRule="auto"/>
        <w:ind w:firstLine="567"/>
        <w:jc w:val="both"/>
        <w:rPr>
          <w:color w:val="000000"/>
        </w:rPr>
      </w:pPr>
      <w:r w:rsidRPr="00A05251">
        <w:rPr>
          <w:color w:val="000000"/>
        </w:rPr>
        <w:t>3)</w:t>
      </w:r>
      <w:r w:rsidR="00BC0C49">
        <w:rPr>
          <w:color w:val="000000"/>
        </w:rPr>
        <w:t> </w:t>
      </w:r>
      <w:r w:rsidRPr="00A05251">
        <w:rPr>
          <w:color w:val="000000"/>
        </w:rPr>
        <w:t>persona iesaukta aktīvajā militārajā dienestā pēc civilās augstskolas beigšanas,</w:t>
      </w:r>
    </w:p>
    <w:p w14:paraId="7597FF41" w14:textId="7A6BA638" w:rsidR="001F5F3E" w:rsidRPr="00A05251" w:rsidRDefault="001F5F3E" w:rsidP="001F5F3E">
      <w:pPr>
        <w:spacing w:line="276" w:lineRule="auto"/>
        <w:ind w:firstLine="567"/>
        <w:jc w:val="both"/>
        <w:rPr>
          <w:color w:val="000000"/>
        </w:rPr>
      </w:pPr>
      <w:r w:rsidRPr="00A05251">
        <w:rPr>
          <w:color w:val="000000"/>
        </w:rPr>
        <w:t>4)</w:t>
      </w:r>
      <w:r w:rsidR="00BC0C49">
        <w:rPr>
          <w:color w:val="000000"/>
        </w:rPr>
        <w:t> </w:t>
      </w:r>
      <w:r w:rsidRPr="00A05251">
        <w:rPr>
          <w:color w:val="000000"/>
        </w:rPr>
        <w:t>persona nesaņem citas valsts pensiju, kuras apmēra noteikšanā ir ņemts vērā šis dienesta periods.</w:t>
      </w:r>
    </w:p>
    <w:p w14:paraId="63284B97" w14:textId="11D952F7" w:rsidR="001F5F3E" w:rsidRPr="00A05251" w:rsidRDefault="00783545" w:rsidP="001F5F3E">
      <w:pPr>
        <w:spacing w:line="276" w:lineRule="auto"/>
        <w:ind w:firstLine="567"/>
        <w:jc w:val="both"/>
        <w:rPr>
          <w:color w:val="000000"/>
        </w:rPr>
      </w:pPr>
      <w:r>
        <w:rPr>
          <w:color w:val="000000"/>
        </w:rPr>
        <w:t xml:space="preserve">Pirmais, otrais un trešais </w:t>
      </w:r>
      <w:r w:rsidR="001F5F3E" w:rsidRPr="00A05251">
        <w:rPr>
          <w:color w:val="000000"/>
        </w:rPr>
        <w:t>nosacījum</w:t>
      </w:r>
      <w:r>
        <w:rPr>
          <w:color w:val="000000"/>
        </w:rPr>
        <w:t>s</w:t>
      </w:r>
      <w:r w:rsidR="001F5F3E">
        <w:rPr>
          <w:color w:val="000000"/>
        </w:rPr>
        <w:t xml:space="preserve"> </w:t>
      </w:r>
      <w:r w:rsidR="001F5F3E" w:rsidRPr="00A05251">
        <w:rPr>
          <w:color w:val="000000"/>
        </w:rPr>
        <w:t xml:space="preserve">ir savstarpēji alternatīvi, jo starp tiem ir lietots saiklis „vai”. Savukārt </w:t>
      </w:r>
      <w:r>
        <w:rPr>
          <w:color w:val="000000"/>
        </w:rPr>
        <w:t xml:space="preserve">ceturtajam </w:t>
      </w:r>
      <w:r w:rsidR="001F5F3E" w:rsidRPr="00A05251">
        <w:rPr>
          <w:color w:val="000000"/>
        </w:rPr>
        <w:t>papildu nosacījumam ir jāiestājas obligāti.</w:t>
      </w:r>
    </w:p>
    <w:p w14:paraId="45D0614F" w14:textId="33F7E1CE" w:rsidR="001F5F3E" w:rsidRDefault="001F5F3E" w:rsidP="001F5F3E">
      <w:pPr>
        <w:spacing w:line="276" w:lineRule="auto"/>
        <w:ind w:firstLine="567"/>
        <w:jc w:val="both"/>
        <w:rPr>
          <w:color w:val="000000"/>
        </w:rPr>
      </w:pPr>
      <w:r w:rsidRPr="00A05251">
        <w:rPr>
          <w:color w:val="000000"/>
        </w:rPr>
        <w:t xml:space="preserve">Lietā nav strīda par to, ka pieteicējam nav piešķirta citas valsts pensija, to apliecina Krievijas Federācijas Vēstniecības Latvijas konsulārās nodaļas </w:t>
      </w:r>
      <w:proofErr w:type="gramStart"/>
      <w:r w:rsidRPr="00A05251">
        <w:rPr>
          <w:color w:val="000000"/>
        </w:rPr>
        <w:t>2016.gada</w:t>
      </w:r>
      <w:proofErr w:type="gramEnd"/>
      <w:r w:rsidRPr="00A05251">
        <w:rPr>
          <w:color w:val="000000"/>
        </w:rPr>
        <w:t xml:space="preserve"> 14.jūnija izziņa</w:t>
      </w:r>
      <w:r w:rsidR="00783545">
        <w:rPr>
          <w:color w:val="000000"/>
        </w:rPr>
        <w:t>.</w:t>
      </w:r>
    </w:p>
    <w:p w14:paraId="4DA67A31" w14:textId="65D6AC53" w:rsidR="00783545" w:rsidRDefault="00783545" w:rsidP="00783545">
      <w:pPr>
        <w:spacing w:line="276" w:lineRule="auto"/>
        <w:ind w:firstLine="567"/>
        <w:jc w:val="both"/>
        <w:rPr>
          <w:color w:val="000000"/>
        </w:rPr>
      </w:pPr>
      <w:r>
        <w:rPr>
          <w:color w:val="000000"/>
        </w:rPr>
        <w:t>[2.2] </w:t>
      </w:r>
      <w:r w:rsidRPr="00A05251">
        <w:rPr>
          <w:color w:val="000000"/>
        </w:rPr>
        <w:t xml:space="preserve">No pieteicēja karaklausības apliecības ierakstiem izriet, ka pieteicējs laika periodā no </w:t>
      </w:r>
      <w:proofErr w:type="gramStart"/>
      <w:r w:rsidRPr="00A05251">
        <w:rPr>
          <w:color w:val="000000"/>
        </w:rPr>
        <w:t>1971.gada</w:t>
      </w:r>
      <w:proofErr w:type="gramEnd"/>
      <w:r w:rsidRPr="00A05251">
        <w:rPr>
          <w:color w:val="000000"/>
        </w:rPr>
        <w:t xml:space="preserve"> 1.septembra līdz 1975.gada 9.jūlijam mācījies Ļeņingradas pretgaisa aizsardzības augstākajā kara skolā.</w:t>
      </w:r>
      <w:r>
        <w:rPr>
          <w:color w:val="000000"/>
        </w:rPr>
        <w:t xml:space="preserve"> </w:t>
      </w:r>
      <w:r w:rsidR="00101180">
        <w:rPr>
          <w:color w:val="000000"/>
        </w:rPr>
        <w:t>P</w:t>
      </w:r>
      <w:r w:rsidRPr="00A05251">
        <w:rPr>
          <w:color w:val="000000"/>
        </w:rPr>
        <w:t xml:space="preserve">ēc minētās kara skolas pabeigšanas no </w:t>
      </w:r>
      <w:proofErr w:type="gramStart"/>
      <w:r w:rsidRPr="00A05251">
        <w:rPr>
          <w:color w:val="000000"/>
        </w:rPr>
        <w:t>1975.gada</w:t>
      </w:r>
      <w:proofErr w:type="gramEnd"/>
      <w:r w:rsidRPr="00A05251">
        <w:rPr>
          <w:color w:val="000000"/>
        </w:rPr>
        <w:t xml:space="preserve"> 10.jūlija līdz 1988.gada 18.jūlijam </w:t>
      </w:r>
      <w:r w:rsidR="00101180">
        <w:rPr>
          <w:color w:val="000000"/>
        </w:rPr>
        <w:t xml:space="preserve">pieteicējs </w:t>
      </w:r>
      <w:r w:rsidRPr="00A05251">
        <w:rPr>
          <w:color w:val="000000"/>
        </w:rPr>
        <w:t>dienējis (atradies virsnieka dienestā) PSRS Bruņotajos spēkos</w:t>
      </w:r>
      <w:r>
        <w:rPr>
          <w:color w:val="000000"/>
        </w:rPr>
        <w:t>.</w:t>
      </w:r>
    </w:p>
    <w:p w14:paraId="090945E8" w14:textId="04350E7C" w:rsidR="00783545" w:rsidRPr="00A05251" w:rsidRDefault="00783545" w:rsidP="00783545">
      <w:pPr>
        <w:spacing w:line="276" w:lineRule="auto"/>
        <w:ind w:firstLine="567"/>
        <w:jc w:val="both"/>
        <w:rPr>
          <w:color w:val="000000"/>
        </w:rPr>
      </w:pPr>
      <w:r>
        <w:rPr>
          <w:color w:val="000000"/>
        </w:rPr>
        <w:lastRenderedPageBreak/>
        <w:t>[2.3] </w:t>
      </w:r>
      <w:r w:rsidRPr="00A05251">
        <w:rPr>
          <w:color w:val="000000"/>
        </w:rPr>
        <w:t xml:space="preserve">Ņemot vērā, ka pieteicējs pēc kara skolas pabeigšanas dienējis PSRS Bruņotajos spēkos un </w:t>
      </w:r>
      <w:r>
        <w:rPr>
          <w:color w:val="000000"/>
        </w:rPr>
        <w:t xml:space="preserve">Senāta </w:t>
      </w:r>
      <w:proofErr w:type="gramStart"/>
      <w:r w:rsidR="002F0A2B">
        <w:rPr>
          <w:color w:val="000000"/>
        </w:rPr>
        <w:t>2016.gada</w:t>
      </w:r>
      <w:proofErr w:type="gramEnd"/>
      <w:r w:rsidR="002F0A2B">
        <w:rPr>
          <w:color w:val="000000"/>
        </w:rPr>
        <w:t xml:space="preserve"> 11.novembra </w:t>
      </w:r>
      <w:r>
        <w:rPr>
          <w:color w:val="000000"/>
        </w:rPr>
        <w:t>spriedumā lietā Nr. SKA-1050/2016</w:t>
      </w:r>
      <w:r w:rsidR="00563CB4">
        <w:rPr>
          <w:color w:val="000000"/>
        </w:rPr>
        <w:t xml:space="preserve"> (A420321614)</w:t>
      </w:r>
      <w:r w:rsidRPr="00A05251">
        <w:rPr>
          <w:color w:val="000000"/>
        </w:rPr>
        <w:t xml:space="preserve"> atzīto, ka</w:t>
      </w:r>
      <w:r w:rsidR="00961B07">
        <w:rPr>
          <w:color w:val="000000"/>
        </w:rPr>
        <w:t xml:space="preserve"> </w:t>
      </w:r>
      <w:r w:rsidRPr="00A05251">
        <w:rPr>
          <w:color w:val="000000"/>
        </w:rPr>
        <w:t>kursanti</w:t>
      </w:r>
      <w:r w:rsidR="00961B07">
        <w:rPr>
          <w:color w:val="000000"/>
        </w:rPr>
        <w:t xml:space="preserve"> </w:t>
      </w:r>
      <w:r w:rsidRPr="00A05251">
        <w:rPr>
          <w:color w:val="000000"/>
        </w:rPr>
        <w:t>pilda aktīvo militāro dienestu un pienākumos un tiesībās tie ir pielīdzināti obligātā dienesta karavīriem, uzskat</w:t>
      </w:r>
      <w:r w:rsidR="00961B07">
        <w:rPr>
          <w:color w:val="000000"/>
        </w:rPr>
        <w:t>āms</w:t>
      </w:r>
      <w:r w:rsidRPr="00A05251">
        <w:rPr>
          <w:color w:val="000000"/>
        </w:rPr>
        <w:t>, ka pieteicēja apdrošināšanas stāžā iekļaujams virsnieka dienests, jo pieteicējs pildīja aktīvo militāro dienestu pēc obligātā karadienesta</w:t>
      </w:r>
      <w:r w:rsidR="00961B07">
        <w:rPr>
          <w:color w:val="000000"/>
        </w:rPr>
        <w:t>. T</w:t>
      </w:r>
      <w:r w:rsidRPr="00A05251">
        <w:rPr>
          <w:color w:val="000000"/>
        </w:rPr>
        <w:t>ādējādi izpildās likuma „Par valsts pensijām” pārejas noteikumu 1.punkta 2.apakšpunkt</w:t>
      </w:r>
      <w:r w:rsidR="00961B07">
        <w:rPr>
          <w:color w:val="000000"/>
        </w:rPr>
        <w:t>a nosacījumi</w:t>
      </w:r>
      <w:r w:rsidRPr="00A05251">
        <w:rPr>
          <w:color w:val="000000"/>
        </w:rPr>
        <w:t xml:space="preserve"> </w:t>
      </w:r>
      <w:r w:rsidR="00961B07">
        <w:rPr>
          <w:color w:val="000000"/>
        </w:rPr>
        <w:t>–</w:t>
      </w:r>
      <w:r w:rsidRPr="00A05251">
        <w:rPr>
          <w:color w:val="000000"/>
        </w:rPr>
        <w:t xml:space="preserve"> persona iesaukta aktīvajā militārajā dienestā pēc obligātā karadienesta un pieteicējs nesaņem citas valsts pensiju.</w:t>
      </w:r>
    </w:p>
    <w:p w14:paraId="75BECC6F" w14:textId="19C7ECE8" w:rsidR="00961B07" w:rsidRPr="00A05251" w:rsidRDefault="00961B07" w:rsidP="00961B07">
      <w:pPr>
        <w:spacing w:line="276" w:lineRule="auto"/>
        <w:ind w:firstLine="567"/>
        <w:jc w:val="both"/>
        <w:rPr>
          <w:color w:val="000000"/>
        </w:rPr>
      </w:pPr>
      <w:r>
        <w:rPr>
          <w:color w:val="000000"/>
        </w:rPr>
        <w:t>[2.4] </w:t>
      </w:r>
      <w:r w:rsidRPr="00A05251">
        <w:rPr>
          <w:color w:val="000000"/>
        </w:rPr>
        <w:t xml:space="preserve">Ņemot vērā norādīto, pieteicēja apdrošināšanas stāžā ir iekļaujams laika periods no </w:t>
      </w:r>
      <w:proofErr w:type="gramStart"/>
      <w:r w:rsidRPr="00A05251">
        <w:rPr>
          <w:color w:val="000000"/>
        </w:rPr>
        <w:t>1975.gada</w:t>
      </w:r>
      <w:proofErr w:type="gramEnd"/>
      <w:r w:rsidRPr="00A05251">
        <w:rPr>
          <w:color w:val="000000"/>
        </w:rPr>
        <w:t xml:space="preserve"> 10.jūlija līdz 1988.gada 18.jūlijam.</w:t>
      </w:r>
    </w:p>
    <w:p w14:paraId="1305B892" w14:textId="77777777" w:rsidR="00601BF8" w:rsidRPr="00A05251" w:rsidRDefault="00601BF8" w:rsidP="001F5F3E">
      <w:pPr>
        <w:spacing w:line="276" w:lineRule="auto"/>
        <w:ind w:firstLine="567"/>
        <w:jc w:val="both"/>
        <w:rPr>
          <w:color w:val="000000"/>
        </w:rPr>
      </w:pPr>
    </w:p>
    <w:p w14:paraId="715A0BEA" w14:textId="5527EB5E" w:rsidR="00A86C25" w:rsidRDefault="00961B07" w:rsidP="00601BF8">
      <w:pPr>
        <w:spacing w:line="276" w:lineRule="auto"/>
        <w:ind w:firstLine="567"/>
        <w:jc w:val="both"/>
        <w:rPr>
          <w:color w:val="000000"/>
        </w:rPr>
      </w:pPr>
      <w:r>
        <w:rPr>
          <w:color w:val="000000"/>
        </w:rPr>
        <w:t>[3] </w:t>
      </w:r>
      <w:r w:rsidR="00563CB4">
        <w:rPr>
          <w:color w:val="000000"/>
        </w:rPr>
        <w:t>A</w:t>
      </w:r>
      <w:r>
        <w:rPr>
          <w:color w:val="000000"/>
        </w:rPr>
        <w:t>ģentūra iesniedza kasācijas sūdzību par apgabaltiesas spriedumu daļā, kurā pieteikums apmierināts. Kasācijas sūdzībā norādīti turpmāk minētie argumenti.</w:t>
      </w:r>
    </w:p>
    <w:p w14:paraId="22D252C8" w14:textId="5A82D49C" w:rsidR="00961B07" w:rsidRDefault="00D64A8E" w:rsidP="00601BF8">
      <w:pPr>
        <w:spacing w:line="276" w:lineRule="auto"/>
        <w:ind w:firstLine="567"/>
        <w:jc w:val="both"/>
        <w:rPr>
          <w:color w:val="000000"/>
        </w:rPr>
      </w:pPr>
      <w:r>
        <w:rPr>
          <w:color w:val="000000"/>
        </w:rPr>
        <w:t>[3.1] Atsaucoties uz Senāta</w:t>
      </w:r>
      <w:r w:rsidR="002F0A2B">
        <w:rPr>
          <w:color w:val="000000"/>
        </w:rPr>
        <w:t xml:space="preserve"> </w:t>
      </w:r>
      <w:proofErr w:type="gramStart"/>
      <w:r w:rsidR="002F0A2B">
        <w:rPr>
          <w:color w:val="000000"/>
        </w:rPr>
        <w:t>2016.gada</w:t>
      </w:r>
      <w:proofErr w:type="gramEnd"/>
      <w:r w:rsidR="002F0A2B">
        <w:rPr>
          <w:color w:val="000000"/>
        </w:rPr>
        <w:t xml:space="preserve"> 11.novembra</w:t>
      </w:r>
      <w:r>
        <w:rPr>
          <w:color w:val="000000"/>
        </w:rPr>
        <w:t xml:space="preserve"> spriedumu lietā Nr. SKA-1050/2016 (A420321614), kurā tika vērtēt</w:t>
      </w:r>
      <w:r w:rsidR="00563CB4">
        <w:rPr>
          <w:color w:val="000000"/>
        </w:rPr>
        <w:t>a</w:t>
      </w:r>
      <w:r>
        <w:rPr>
          <w:color w:val="000000"/>
        </w:rPr>
        <w:t xml:space="preserve"> apdrošināšanas stāžā ieskaitāmā perioda atbilstība </w:t>
      </w:r>
      <w:r w:rsidRPr="00A05251">
        <w:rPr>
          <w:color w:val="000000"/>
        </w:rPr>
        <w:t>likuma „Par valsts pensijām” pārejas noteikumu 1.punkta 2.</w:t>
      </w:r>
      <w:r>
        <w:rPr>
          <w:color w:val="000000"/>
          <w:vertAlign w:val="superscript"/>
        </w:rPr>
        <w:t>1</w:t>
      </w:r>
      <w:r w:rsidRPr="00A05251">
        <w:rPr>
          <w:color w:val="000000"/>
        </w:rPr>
        <w:t>apakšpunkt</w:t>
      </w:r>
      <w:r w:rsidR="001E5D65">
        <w:rPr>
          <w:color w:val="000000"/>
        </w:rPr>
        <w:t>am</w:t>
      </w:r>
      <w:r>
        <w:rPr>
          <w:color w:val="000000"/>
        </w:rPr>
        <w:t>,</w:t>
      </w:r>
      <w:r w:rsidRPr="00A05251">
        <w:rPr>
          <w:color w:val="000000"/>
        </w:rPr>
        <w:t xml:space="preserve"> </w:t>
      </w:r>
      <w:r>
        <w:rPr>
          <w:color w:val="000000"/>
        </w:rPr>
        <w:t>aģentūra norāda, ka pieteicēja gadījumā ir atšķirīgi apstākļi. Proti, pieteicējs nav starp tiem Latvijas pilsoņiem</w:t>
      </w:r>
      <w:r w:rsidR="00250566">
        <w:rPr>
          <w:color w:val="000000"/>
        </w:rPr>
        <w:t xml:space="preserve">, kuri pameta PSRS </w:t>
      </w:r>
      <w:r w:rsidR="00563CB4">
        <w:rPr>
          <w:color w:val="000000"/>
        </w:rPr>
        <w:t>B</w:t>
      </w:r>
      <w:r w:rsidR="00250566">
        <w:rPr>
          <w:color w:val="000000"/>
        </w:rPr>
        <w:t xml:space="preserve">ruņotos spēkus un atteicās no PSRS militārpersonu izdienas pensijas, lai piedalītos Latvijas </w:t>
      </w:r>
      <w:r w:rsidR="00A45141">
        <w:rPr>
          <w:color w:val="000000"/>
        </w:rPr>
        <w:t>Republikas armijas atjaunošanā.</w:t>
      </w:r>
    </w:p>
    <w:p w14:paraId="0F9F5FF5" w14:textId="2E97516E" w:rsidR="00250566" w:rsidRDefault="00250566" w:rsidP="00601BF8">
      <w:pPr>
        <w:spacing w:line="276" w:lineRule="auto"/>
        <w:ind w:firstLine="567"/>
        <w:jc w:val="both"/>
        <w:rPr>
          <w:color w:val="000000"/>
        </w:rPr>
      </w:pPr>
      <w:r>
        <w:rPr>
          <w:color w:val="000000"/>
        </w:rPr>
        <w:t xml:space="preserve">[3.2] Atsaucoties uz Senāta </w:t>
      </w:r>
      <w:proofErr w:type="gramStart"/>
      <w:r>
        <w:rPr>
          <w:color w:val="000000"/>
        </w:rPr>
        <w:t>2016.gada</w:t>
      </w:r>
      <w:proofErr w:type="gramEnd"/>
      <w:r>
        <w:rPr>
          <w:color w:val="000000"/>
        </w:rPr>
        <w:t xml:space="preserve"> 6.sptembra spriedumu lietā Nr. SKA-301/2016 (A420356013), aģentūra norāda, ka nav pamata strīdus laika perioda ieskaitīšanai apdrošināšanas stāžā saskaņā ar </w:t>
      </w:r>
      <w:r w:rsidRPr="00A05251">
        <w:rPr>
          <w:color w:val="000000"/>
        </w:rPr>
        <w:t>likuma „Par valsts pensijām” pārejas noteikumu 1.punkta 2.apakšpunktu</w:t>
      </w:r>
      <w:r>
        <w:rPr>
          <w:color w:val="000000"/>
        </w:rPr>
        <w:t>, jo nevar uzskatīt, ka pieteicējs bija iesaukts aktīvajā militārajā dienestā pēc obligātā karadienesta. Pieteicējs brīvprātīgi izvēlējās mācī</w:t>
      </w:r>
      <w:r w:rsidR="004F6731">
        <w:rPr>
          <w:color w:val="000000"/>
        </w:rPr>
        <w:t>bas militārajā dienestā, bet obligātajā karadienestā vīrieši tika iesaukti un no tā nevarēja atteikties. Pieteicējs nav dienējis pēc</w:t>
      </w:r>
      <w:r w:rsidR="00A45141">
        <w:rPr>
          <w:color w:val="000000"/>
        </w:rPr>
        <w:t xml:space="preserve"> civilās augstskolas beigšanas.</w:t>
      </w:r>
    </w:p>
    <w:p w14:paraId="107D9500" w14:textId="097D4A9D" w:rsidR="00A86C25" w:rsidRDefault="004F6731" w:rsidP="0097146F">
      <w:pPr>
        <w:spacing w:line="276" w:lineRule="auto"/>
        <w:ind w:firstLine="567"/>
        <w:jc w:val="both"/>
        <w:rPr>
          <w:color w:val="000000"/>
        </w:rPr>
      </w:pPr>
      <w:r>
        <w:rPr>
          <w:color w:val="000000"/>
        </w:rPr>
        <w:t xml:space="preserve">[3.3] Aģentūra uzskata, ka, piemērojot apgabaltiesas interpretāciju, </w:t>
      </w:r>
      <w:r w:rsidR="002C371C">
        <w:rPr>
          <w:color w:val="000000"/>
        </w:rPr>
        <w:t>dienests PSRS Bruņotajos spēkos būtu jāieskata apdrošināšanas stāžā visiem, kuri mācījušies kara</w:t>
      </w:r>
      <w:r w:rsidR="00563CB4">
        <w:rPr>
          <w:color w:val="000000"/>
        </w:rPr>
        <w:t xml:space="preserve"> </w:t>
      </w:r>
      <w:r w:rsidR="002C371C">
        <w:rPr>
          <w:color w:val="000000"/>
        </w:rPr>
        <w:t>skolās. Tāda interpretācija nove</w:t>
      </w:r>
      <w:r w:rsidR="00427EFE">
        <w:rPr>
          <w:color w:val="000000"/>
        </w:rPr>
        <w:t>d</w:t>
      </w:r>
      <w:r w:rsidR="002C371C">
        <w:rPr>
          <w:color w:val="000000"/>
        </w:rPr>
        <w:t xml:space="preserve"> pie tā, ka likuma „Par valsts pensijām” pārejas noteikumu </w:t>
      </w:r>
      <w:r w:rsidR="002C371C" w:rsidRPr="00A05251">
        <w:rPr>
          <w:color w:val="000000"/>
        </w:rPr>
        <w:t>1.punkta 2.</w:t>
      </w:r>
      <w:r w:rsidR="002C371C">
        <w:rPr>
          <w:color w:val="000000"/>
          <w:vertAlign w:val="superscript"/>
        </w:rPr>
        <w:t>1</w:t>
      </w:r>
      <w:r w:rsidR="002C371C" w:rsidRPr="00A05251">
        <w:rPr>
          <w:color w:val="000000"/>
        </w:rPr>
        <w:t>apakšpunkt</w:t>
      </w:r>
      <w:r w:rsidR="002C371C">
        <w:rPr>
          <w:color w:val="000000"/>
        </w:rPr>
        <w:t>am, kas tika pieņemts</w:t>
      </w:r>
      <w:r w:rsidR="001E5D65">
        <w:rPr>
          <w:color w:val="000000"/>
        </w:rPr>
        <w:t xml:space="preserve"> attiecībā</w:t>
      </w:r>
      <w:r w:rsidR="002C371C">
        <w:rPr>
          <w:color w:val="000000"/>
        </w:rPr>
        <w:t xml:space="preserve"> uz noteiktu personu loku, vairs nav nozīmes</w:t>
      </w:r>
      <w:r w:rsidR="00427EFE">
        <w:rPr>
          <w:color w:val="000000"/>
        </w:rPr>
        <w:t>. L</w:t>
      </w:r>
      <w:r w:rsidR="002C371C">
        <w:rPr>
          <w:color w:val="000000"/>
        </w:rPr>
        <w:t>īdz ar to tiktu paplašināts to personu loks, attiecī</w:t>
      </w:r>
      <w:r w:rsidR="00A45141">
        <w:rPr>
          <w:color w:val="000000"/>
        </w:rPr>
        <w:t>bā uz kurām tas tika pieņemts.</w:t>
      </w:r>
    </w:p>
    <w:p w14:paraId="125DA2D1" w14:textId="77777777" w:rsidR="00A138AE" w:rsidRPr="00DB4B5A" w:rsidRDefault="00A138AE" w:rsidP="00A138AE">
      <w:pPr>
        <w:pStyle w:val="ATvirsraksts"/>
        <w:rPr>
          <w:noProof/>
        </w:rPr>
      </w:pPr>
    </w:p>
    <w:p w14:paraId="2D3BD7AF" w14:textId="77777777" w:rsidR="00A138AE" w:rsidRPr="00DB4B5A" w:rsidRDefault="00A138AE" w:rsidP="00A138AE">
      <w:pPr>
        <w:pStyle w:val="ATvirsraksts"/>
        <w:rPr>
          <w:noProof/>
        </w:rPr>
      </w:pPr>
      <w:r w:rsidRPr="00DB4B5A">
        <w:rPr>
          <w:noProof/>
        </w:rPr>
        <w:t>Motīvu daļa</w:t>
      </w:r>
    </w:p>
    <w:p w14:paraId="6BCE3168" w14:textId="1564318A" w:rsidR="00A138AE" w:rsidRDefault="00A138AE" w:rsidP="00A138AE">
      <w:pPr>
        <w:spacing w:line="276" w:lineRule="auto"/>
        <w:ind w:firstLine="567"/>
        <w:jc w:val="both"/>
        <w:rPr>
          <w:noProof/>
          <w:lang w:eastAsia="lv-LV"/>
        </w:rPr>
      </w:pPr>
    </w:p>
    <w:p w14:paraId="6BA23EB1" w14:textId="5BDE39CF" w:rsidR="00234A55" w:rsidRPr="00294CC9" w:rsidRDefault="00234A55" w:rsidP="00234A55">
      <w:pPr>
        <w:pStyle w:val="tv213"/>
        <w:spacing w:before="0" w:beforeAutospacing="0" w:after="0" w:afterAutospacing="0" w:line="276" w:lineRule="auto"/>
        <w:ind w:firstLine="567"/>
        <w:jc w:val="both"/>
      </w:pPr>
      <w:r>
        <w:rPr>
          <w:noProof/>
        </w:rPr>
        <w:t>[4] </w:t>
      </w:r>
      <w:r w:rsidR="0060470D">
        <w:rPr>
          <w:noProof/>
        </w:rPr>
        <w:t>Atbilstoši l</w:t>
      </w:r>
      <w:proofErr w:type="spellStart"/>
      <w:r w:rsidRPr="00294CC9">
        <w:rPr>
          <w:bCs/>
        </w:rPr>
        <w:t>ikuma</w:t>
      </w:r>
      <w:proofErr w:type="spellEnd"/>
      <w:r w:rsidRPr="00294CC9">
        <w:rPr>
          <w:bCs/>
        </w:rPr>
        <w:t xml:space="preserve"> „Par valsts pensijām” pārejas noteikumu</w:t>
      </w:r>
      <w:r>
        <w:rPr>
          <w:bCs/>
        </w:rPr>
        <w:t xml:space="preserve"> (</w:t>
      </w:r>
      <w:r w:rsidR="0060470D">
        <w:rPr>
          <w:bCs/>
          <w:i/>
          <w:iCs/>
        </w:rPr>
        <w:t xml:space="preserve">redakcijā, kas bija spēkā līdz </w:t>
      </w:r>
      <w:proofErr w:type="gramStart"/>
      <w:r w:rsidR="0060470D">
        <w:rPr>
          <w:bCs/>
          <w:i/>
          <w:iCs/>
        </w:rPr>
        <w:t>2019.gada</w:t>
      </w:r>
      <w:proofErr w:type="gramEnd"/>
      <w:r w:rsidR="0060470D">
        <w:rPr>
          <w:bCs/>
          <w:i/>
          <w:iCs/>
        </w:rPr>
        <w:t xml:space="preserve"> 1.janvārim</w:t>
      </w:r>
      <w:r>
        <w:rPr>
          <w:bCs/>
        </w:rPr>
        <w:t>)</w:t>
      </w:r>
      <w:r w:rsidRPr="00294CC9">
        <w:rPr>
          <w:bCs/>
        </w:rPr>
        <w:t xml:space="preserve"> 1.punkt</w:t>
      </w:r>
      <w:r w:rsidR="0060470D">
        <w:rPr>
          <w:bCs/>
        </w:rPr>
        <w:t>am</w:t>
      </w:r>
      <w:r w:rsidRPr="00294CC9">
        <w:rPr>
          <w:bCs/>
        </w:rPr>
        <w:t xml:space="preserve"> l</w:t>
      </w:r>
      <w:r w:rsidRPr="00294CC9">
        <w:t>īdz 1990.gada 31.decembrim Latvijas pilsoņiem Latvijas teritorijā un bijušās PSRS teritorijā uzkrātie darba un tam pielīdzinātie periodi, kā arī šā punkta 1., 2., 2.</w:t>
      </w:r>
      <w:r w:rsidRPr="00294CC9">
        <w:rPr>
          <w:vertAlign w:val="superscript"/>
        </w:rPr>
        <w:t>1</w:t>
      </w:r>
      <w:r w:rsidR="002A7CAB">
        <w:rPr>
          <w:vertAlign w:val="superscript"/>
        </w:rPr>
        <w:t xml:space="preserve"> </w:t>
      </w:r>
      <w:r w:rsidRPr="00294CC9">
        <w:t>un 10.apakšpunktā minētais ārpus Latvijas uzkrātais periods ir pielīdzināts apdrošināšanas stāžam</w:t>
      </w:r>
      <w:r w:rsidR="00427EFE">
        <w:t>. Proti, apdrošināšanas stāžam ir pielīdzināts</w:t>
      </w:r>
      <w:r w:rsidR="0060470D">
        <w:t>:</w:t>
      </w:r>
      <w:r w:rsidRPr="00294CC9">
        <w:t xml:space="preserve"> </w:t>
      </w:r>
    </w:p>
    <w:p w14:paraId="4A4BFA38" w14:textId="77777777" w:rsidR="00234A55" w:rsidRPr="00294CC9" w:rsidRDefault="00234A55" w:rsidP="00234A55">
      <w:pPr>
        <w:pStyle w:val="tv213"/>
        <w:spacing w:before="0" w:beforeAutospacing="0" w:after="0" w:afterAutospacing="0" w:line="276" w:lineRule="auto"/>
        <w:ind w:firstLine="567"/>
        <w:jc w:val="both"/>
      </w:pPr>
      <w:r w:rsidRPr="00294CC9">
        <w:t>1) obligātais aktīvais militārais dienests PSRS Bruņotajos spēkos un alternatīvais (darba) dienests;</w:t>
      </w:r>
    </w:p>
    <w:p w14:paraId="5FCB222A" w14:textId="27577622" w:rsidR="00234A55" w:rsidRPr="00294CC9" w:rsidRDefault="00234A55" w:rsidP="00234A55">
      <w:pPr>
        <w:pStyle w:val="tv213"/>
        <w:spacing w:before="0" w:beforeAutospacing="0" w:after="0" w:afterAutospacing="0" w:line="276" w:lineRule="auto"/>
        <w:ind w:firstLine="567"/>
        <w:jc w:val="both"/>
      </w:pPr>
      <w:r w:rsidRPr="00294CC9">
        <w:t xml:space="preserve">2) virsdienests karavīriem un dienests virsniekiem Latvijas Republikas armijā, Latvijas pilsoņiem </w:t>
      </w:r>
      <w:r w:rsidR="00FA0421">
        <w:t xml:space="preserve">– </w:t>
      </w:r>
      <w:r w:rsidRPr="00294CC9">
        <w:t xml:space="preserve">arī PSRS Bruņotajos spēkos, ja viņiem sakarā ar darbību Latvijas interesēs atņemta dienesta pakāpe vai viņi </w:t>
      </w:r>
      <w:r w:rsidRPr="00476A18">
        <w:t>iesaukti aktīvajā militārajā dienestā pēc obligātā karadienesta</w:t>
      </w:r>
      <w:r w:rsidRPr="00294CC9">
        <w:t xml:space="preserve"> vai pēc civilās augstskolas beigšanas, ja nesaņem citas valsts pensiju, kuras apmēra noteikšanā ir ņemts vērā šis dienesta periods;</w:t>
      </w:r>
    </w:p>
    <w:p w14:paraId="0EEA8DB6" w14:textId="05080BC6" w:rsidR="00234A55" w:rsidRDefault="00234A55" w:rsidP="00234A55">
      <w:pPr>
        <w:pStyle w:val="tv213"/>
        <w:spacing w:before="0" w:beforeAutospacing="0" w:after="0" w:afterAutospacing="0" w:line="276" w:lineRule="auto"/>
        <w:ind w:firstLine="567"/>
        <w:jc w:val="both"/>
      </w:pPr>
      <w:r w:rsidRPr="00294CC9">
        <w:lastRenderedPageBreak/>
        <w:t>2</w:t>
      </w:r>
      <w:r w:rsidRPr="00294CC9">
        <w:rPr>
          <w:vertAlign w:val="superscript"/>
        </w:rPr>
        <w:t>1</w:t>
      </w:r>
      <w:r w:rsidRPr="00294CC9">
        <w:t xml:space="preserve">) Latvijas pilsoņiem </w:t>
      </w:r>
      <w:r w:rsidR="00FA0421">
        <w:t xml:space="preserve">– </w:t>
      </w:r>
      <w:r w:rsidRPr="00294CC9">
        <w:t>virsdienests karavīriem un dienests virsniekiem PSRS Bruņotajos spēkos, ja viņi atteikušies no citas valsts pensijas, kuras apmēra noteikšanā ir ņemts vērā šis dienests.</w:t>
      </w:r>
    </w:p>
    <w:p w14:paraId="702A89AF" w14:textId="216391A0" w:rsidR="0060470D" w:rsidRDefault="0060470D" w:rsidP="00234A55">
      <w:pPr>
        <w:pStyle w:val="tv213"/>
        <w:spacing w:before="0" w:beforeAutospacing="0" w:after="0" w:afterAutospacing="0" w:line="276" w:lineRule="auto"/>
        <w:ind w:firstLine="567"/>
        <w:jc w:val="both"/>
      </w:pPr>
    </w:p>
    <w:p w14:paraId="0BC1F1C8" w14:textId="4CAE6CE2" w:rsidR="001F6377" w:rsidRDefault="0060470D" w:rsidP="001F6377">
      <w:pPr>
        <w:spacing w:line="276" w:lineRule="auto"/>
        <w:ind w:firstLine="567"/>
        <w:jc w:val="both"/>
      </w:pPr>
      <w:r>
        <w:t>[5] </w:t>
      </w:r>
      <w:r w:rsidR="00427EFE">
        <w:t>Apgabaltiesas spriedumā un aģentūras k</w:t>
      </w:r>
      <w:r>
        <w:t xml:space="preserve">asācijas sūdzībā minētajā </w:t>
      </w:r>
      <w:r w:rsidR="002F0A2B" w:rsidRPr="0060470D">
        <w:rPr>
          <w:color w:val="000000"/>
        </w:rPr>
        <w:t xml:space="preserve">Senāta </w:t>
      </w:r>
      <w:proofErr w:type="gramStart"/>
      <w:r w:rsidR="002F0A2B" w:rsidRPr="0060470D">
        <w:rPr>
          <w:color w:val="000000"/>
        </w:rPr>
        <w:t>2016.gada</w:t>
      </w:r>
      <w:proofErr w:type="gramEnd"/>
      <w:r w:rsidR="002F0A2B" w:rsidRPr="0060470D">
        <w:rPr>
          <w:color w:val="000000"/>
        </w:rPr>
        <w:t xml:space="preserve"> 11.novembra spriedum</w:t>
      </w:r>
      <w:r w:rsidR="00E95579">
        <w:rPr>
          <w:color w:val="000000"/>
        </w:rPr>
        <w:t>ā</w:t>
      </w:r>
      <w:r w:rsidR="002F0A2B" w:rsidRPr="0060470D">
        <w:rPr>
          <w:color w:val="000000"/>
        </w:rPr>
        <w:t xml:space="preserve"> lietā Nr. SKA-1050/2016 (A420321614)</w:t>
      </w:r>
      <w:r w:rsidR="00E95579">
        <w:rPr>
          <w:color w:val="000000"/>
        </w:rPr>
        <w:t xml:space="preserve"> tika risināts strīds par to, vai </w:t>
      </w:r>
      <w:r w:rsidR="00E95579" w:rsidRPr="00391DD5">
        <w:t>dienests virsniekiem PSRS Bruņotajos spēkos</w:t>
      </w:r>
      <w:r w:rsidR="00E95579">
        <w:t xml:space="preserve"> ietver arī virsnieka mācību laiku augstākajā kara</w:t>
      </w:r>
      <w:r w:rsidR="00B03259">
        <w:t xml:space="preserve"> </w:t>
      </w:r>
      <w:r w:rsidR="00E95579">
        <w:t xml:space="preserve">skolā pirms virsnieka pakāpes iegūšanas. </w:t>
      </w:r>
      <w:r w:rsidR="000C4B75">
        <w:t>Šajā spriedumā Senāts</w:t>
      </w:r>
      <w:r w:rsidR="001F6377">
        <w:t>, analizējot PSRS normatīvos aktus, secināja, ka: kursanti tika atzīti par aktīvajā militārajā dienestā esošiem karavīriem; kursantiem, kuri sekmīgi mācījās militārajās mācību iestādēs, mācību laiks tika ieskaitīts dienesta laikā; dienests PSRS Bruņotajos spēkos virsniekiem ietvēra arī mācību laiku militārajās mācību iestādēs (</w:t>
      </w:r>
      <w:r w:rsidR="002B07F0">
        <w:rPr>
          <w:i/>
          <w:iCs/>
        </w:rPr>
        <w:t>minētā sprieduma</w:t>
      </w:r>
      <w:r w:rsidR="001F6377">
        <w:rPr>
          <w:i/>
          <w:iCs/>
        </w:rPr>
        <w:t xml:space="preserve"> </w:t>
      </w:r>
      <w:r w:rsidR="007A5C17">
        <w:rPr>
          <w:i/>
          <w:iCs/>
        </w:rPr>
        <w:t>5.punkts</w:t>
      </w:r>
      <w:r w:rsidR="001F6377">
        <w:t>).</w:t>
      </w:r>
    </w:p>
    <w:p w14:paraId="07E47929" w14:textId="426D7A09" w:rsidR="0076464C" w:rsidRDefault="00B03259" w:rsidP="00A138AE">
      <w:pPr>
        <w:spacing w:line="276" w:lineRule="auto"/>
        <w:ind w:firstLine="567"/>
        <w:jc w:val="both"/>
      </w:pPr>
      <w:bookmarkStart w:id="1" w:name="_Hlk52452603"/>
      <w:r>
        <w:rPr>
          <w:color w:val="000000"/>
        </w:rPr>
        <w:t xml:space="preserve">Savukārt </w:t>
      </w:r>
      <w:r w:rsidR="0076464C" w:rsidRPr="008E0FAC">
        <w:rPr>
          <w:color w:val="000000"/>
        </w:rPr>
        <w:t xml:space="preserve">Senāta </w:t>
      </w:r>
      <w:proofErr w:type="gramStart"/>
      <w:r w:rsidR="0076464C" w:rsidRPr="008E0FAC">
        <w:rPr>
          <w:color w:val="000000"/>
        </w:rPr>
        <w:t>2016.gada</w:t>
      </w:r>
      <w:proofErr w:type="gramEnd"/>
      <w:r w:rsidR="0076464C" w:rsidRPr="008E0FAC">
        <w:rPr>
          <w:color w:val="000000"/>
        </w:rPr>
        <w:t xml:space="preserve"> 6.s</w:t>
      </w:r>
      <w:r w:rsidR="009234B1">
        <w:rPr>
          <w:color w:val="000000"/>
        </w:rPr>
        <w:t>e</w:t>
      </w:r>
      <w:r w:rsidR="0076464C" w:rsidRPr="008E0FAC">
        <w:rPr>
          <w:color w:val="000000"/>
        </w:rPr>
        <w:t>ptembra spriedum</w:t>
      </w:r>
      <w:r w:rsidR="008E0FAC">
        <w:rPr>
          <w:color w:val="000000"/>
        </w:rPr>
        <w:t>ā</w:t>
      </w:r>
      <w:r w:rsidR="0076464C" w:rsidRPr="008E0FAC">
        <w:rPr>
          <w:color w:val="000000"/>
        </w:rPr>
        <w:t xml:space="preserve"> lietā Nr. SKA-301/2016 (A420356013)</w:t>
      </w:r>
      <w:bookmarkEnd w:id="1"/>
      <w:r w:rsidR="008E0FAC" w:rsidRPr="008E0FAC">
        <w:t xml:space="preserve"> </w:t>
      </w:r>
      <w:r w:rsidR="008E0FAC">
        <w:t>strīds bija par mācību laika PSRS augstākajā militārajā skolā ieskaitīšanu izdienas stāžā.</w:t>
      </w:r>
      <w:r w:rsidR="00E009B2">
        <w:t xml:space="preserve"> </w:t>
      </w:r>
      <w:r>
        <w:t>Analizējot</w:t>
      </w:r>
      <w:r w:rsidR="00E009B2">
        <w:t xml:space="preserve"> PSRS Augstākās Padomes </w:t>
      </w:r>
      <w:proofErr w:type="gramStart"/>
      <w:r w:rsidR="00E009B2">
        <w:t>1967.gada</w:t>
      </w:r>
      <w:proofErr w:type="gramEnd"/>
      <w:r w:rsidR="00E009B2">
        <w:t xml:space="preserve"> 12.oktobra likumu „Par vispārējo karaklausību”</w:t>
      </w:r>
      <w:r>
        <w:t xml:space="preserve"> normas</w:t>
      </w:r>
      <w:r w:rsidR="00E009B2">
        <w:t xml:space="preserve">, Senāts </w:t>
      </w:r>
      <w:r w:rsidR="00391DD5">
        <w:t>atzina, ka mācību laiks militārajā mācību iestādē nebija uzskatāms par terminētu (obligāto) aktīvo militāro dienestu (</w:t>
      </w:r>
      <w:r w:rsidR="00391DD5">
        <w:rPr>
          <w:i/>
          <w:iCs/>
        </w:rPr>
        <w:t>minētā sprieduma 7.punkts</w:t>
      </w:r>
      <w:r w:rsidR="00391DD5">
        <w:t>). No minētā likuma izriet, ka ar obligāto (terminēto) aktīvo militāro dienestu tika saprasts tāds militārais dienests Bruņoto spēku daļās, kurā</w:t>
      </w:r>
      <w:r>
        <w:t>s</w:t>
      </w:r>
      <w:r w:rsidR="00391DD5">
        <w:t xml:space="preserve"> personas tika iesauktas, un šis dienests bija jāpilda </w:t>
      </w:r>
      <w:proofErr w:type="gramStart"/>
      <w:r w:rsidR="00391DD5">
        <w:t>obligāti likumā noteikto laiku – 1, 2 vai 3 gadus.</w:t>
      </w:r>
      <w:proofErr w:type="gramEnd"/>
      <w:r w:rsidR="00391DD5">
        <w:t xml:space="preserve"> </w:t>
      </w:r>
      <w:r w:rsidR="0076464C">
        <w:t xml:space="preserve">Likums regulēja arī kārtību, kādā personas </w:t>
      </w:r>
      <w:r w:rsidR="0076464C" w:rsidRPr="00391DD5">
        <w:rPr>
          <w:i/>
          <w:iCs/>
        </w:rPr>
        <w:t>tika iesauktas</w:t>
      </w:r>
      <w:r w:rsidR="0076464C">
        <w:t xml:space="preserve"> obligātajā aktīvajā militārajā dienestā un nosūtītas dienesta izpildei uz karaspēka daļām. Savukārt no likuma 11. un </w:t>
      </w:r>
      <w:proofErr w:type="gramStart"/>
      <w:r w:rsidR="0076464C">
        <w:t>12.panta</w:t>
      </w:r>
      <w:proofErr w:type="gramEnd"/>
      <w:r w:rsidR="0076464C">
        <w:t xml:space="preserve"> izriet, ka pēc personu </w:t>
      </w:r>
      <w:r w:rsidR="0076464C" w:rsidRPr="00391DD5">
        <w:rPr>
          <w:i/>
          <w:iCs/>
        </w:rPr>
        <w:t>brīvprātīgas izvēles</w:t>
      </w:r>
      <w:r w:rsidR="0076464C">
        <w:t xml:space="preserve">, tās pēc iestājeksāmenu nokārtošanas varēja uzņemt militārajās izglītības iestādēs. </w:t>
      </w:r>
      <w:r w:rsidR="0076464C" w:rsidRPr="00791297">
        <w:t>Mācību laikā kursanti atradās aktīvajā militārajā dienestā, nevis obligātajā militārajā dienestā,</w:t>
      </w:r>
      <w:r w:rsidR="0076464C">
        <w:t xml:space="preserve"> kas arī bija viens no aktīvā militārā dienesta veidiem (</w:t>
      </w:r>
      <w:proofErr w:type="gramStart"/>
      <w:r w:rsidR="0076464C">
        <w:t>atbilstoši likumam</w:t>
      </w:r>
      <w:r w:rsidR="00391DD5">
        <w:t xml:space="preserve"> „Par vispārējo karaklausību”</w:t>
      </w:r>
      <w:r w:rsidR="0076464C">
        <w:t xml:space="preserve"> aktīvajā militārajā dienestā</w:t>
      </w:r>
      <w:proofErr w:type="gramEnd"/>
      <w:r w:rsidR="0076464C">
        <w:t xml:space="preserve"> atradās 1)</w:t>
      </w:r>
      <w:r w:rsidR="00391DD5">
        <w:t> </w:t>
      </w:r>
      <w:r w:rsidR="0076464C">
        <w:t>obligātajā aktīvajā militārajā dienestā iesauktie karavīri, 2)</w:t>
      </w:r>
      <w:r w:rsidR="00391DD5">
        <w:t> </w:t>
      </w:r>
      <w:r w:rsidR="0076464C">
        <w:t>virsdienestā ieskaitītie karavīri un 3)</w:t>
      </w:r>
      <w:r w:rsidR="00391DD5">
        <w:t> </w:t>
      </w:r>
      <w:r w:rsidR="0076464C">
        <w:t>militāro mācību iestāžu kursanti). Lai arī uz kursantiem tika attiecināti pienākumi un tiesības, kādas bija noteiktas obligātā dienesta karavīriem, no likuma neizriet, ka kursantiem bija obligātā dienesta karavīru statuss (</w:t>
      </w:r>
      <w:r w:rsidR="00791297">
        <w:rPr>
          <w:i/>
          <w:iCs/>
        </w:rPr>
        <w:t>turpat</w:t>
      </w:r>
      <w:r w:rsidR="0076464C">
        <w:t>)</w:t>
      </w:r>
      <w:r w:rsidR="00791297">
        <w:t>.</w:t>
      </w:r>
    </w:p>
    <w:p w14:paraId="7F037BCB" w14:textId="020A03E4" w:rsidR="0076464C" w:rsidRDefault="001973CC" w:rsidP="00A138AE">
      <w:pPr>
        <w:spacing w:line="276" w:lineRule="auto"/>
        <w:ind w:firstLine="567"/>
        <w:jc w:val="both"/>
        <w:rPr>
          <w:color w:val="000000"/>
        </w:rPr>
      </w:pPr>
      <w:bookmarkStart w:id="2" w:name="_Hlk52452595"/>
      <w:r w:rsidRPr="008E0FAC">
        <w:rPr>
          <w:color w:val="000000"/>
        </w:rPr>
        <w:t xml:space="preserve">Senāta </w:t>
      </w:r>
      <w:proofErr w:type="gramStart"/>
      <w:r w:rsidRPr="008E0FAC">
        <w:rPr>
          <w:color w:val="000000"/>
        </w:rPr>
        <w:t>201</w:t>
      </w:r>
      <w:r w:rsidR="009234B1">
        <w:rPr>
          <w:color w:val="000000"/>
        </w:rPr>
        <w:t>7</w:t>
      </w:r>
      <w:r w:rsidRPr="008E0FAC">
        <w:rPr>
          <w:color w:val="000000"/>
        </w:rPr>
        <w:t>.gada</w:t>
      </w:r>
      <w:proofErr w:type="gramEnd"/>
      <w:r w:rsidRPr="008E0FAC">
        <w:rPr>
          <w:color w:val="000000"/>
        </w:rPr>
        <w:t xml:space="preserve"> </w:t>
      </w:r>
      <w:r w:rsidR="009234B1">
        <w:rPr>
          <w:color w:val="000000"/>
        </w:rPr>
        <w:t>19.aprīļa</w:t>
      </w:r>
      <w:r w:rsidRPr="008E0FAC">
        <w:rPr>
          <w:color w:val="000000"/>
        </w:rPr>
        <w:t xml:space="preserve"> spriedum</w:t>
      </w:r>
      <w:r>
        <w:rPr>
          <w:color w:val="000000"/>
        </w:rPr>
        <w:t>ā</w:t>
      </w:r>
      <w:r w:rsidRPr="008E0FAC">
        <w:rPr>
          <w:color w:val="000000"/>
        </w:rPr>
        <w:t xml:space="preserve"> lietā Nr. SKA-</w:t>
      </w:r>
      <w:r w:rsidR="009234B1">
        <w:rPr>
          <w:color w:val="000000"/>
        </w:rPr>
        <w:t>259</w:t>
      </w:r>
      <w:r w:rsidRPr="008E0FAC">
        <w:rPr>
          <w:color w:val="000000"/>
        </w:rPr>
        <w:t>/201</w:t>
      </w:r>
      <w:r w:rsidR="009234B1">
        <w:rPr>
          <w:color w:val="000000"/>
        </w:rPr>
        <w:t>7</w:t>
      </w:r>
      <w:r w:rsidRPr="008E0FAC">
        <w:rPr>
          <w:color w:val="000000"/>
        </w:rPr>
        <w:t xml:space="preserve"> (A42033</w:t>
      </w:r>
      <w:r w:rsidR="009234B1">
        <w:rPr>
          <w:color w:val="000000"/>
        </w:rPr>
        <w:t>5113</w:t>
      </w:r>
      <w:r w:rsidRPr="008E0FAC">
        <w:rPr>
          <w:color w:val="000000"/>
        </w:rPr>
        <w:t>)</w:t>
      </w:r>
      <w:r w:rsidR="009234B1">
        <w:rPr>
          <w:color w:val="000000"/>
        </w:rPr>
        <w:t xml:space="preserve"> </w:t>
      </w:r>
      <w:bookmarkEnd w:id="2"/>
      <w:r w:rsidR="009234B1">
        <w:rPr>
          <w:color w:val="000000"/>
        </w:rPr>
        <w:t xml:space="preserve">secināts, ka virsdienests bija </w:t>
      </w:r>
      <w:r w:rsidR="009234B1" w:rsidRPr="00353606">
        <w:rPr>
          <w:i/>
          <w:iCs/>
          <w:color w:val="000000"/>
        </w:rPr>
        <w:t xml:space="preserve">brīvprātīgs </w:t>
      </w:r>
      <w:r w:rsidR="009234B1">
        <w:rPr>
          <w:color w:val="000000"/>
        </w:rPr>
        <w:t>aktīvais dienests (</w:t>
      </w:r>
      <w:r w:rsidR="009234B1">
        <w:rPr>
          <w:i/>
          <w:iCs/>
          <w:color w:val="000000"/>
        </w:rPr>
        <w:t>minētā sprieduma 8. un 9.punkts</w:t>
      </w:r>
      <w:r w:rsidR="009234B1">
        <w:rPr>
          <w:color w:val="000000"/>
        </w:rPr>
        <w:t>).</w:t>
      </w:r>
    </w:p>
    <w:p w14:paraId="2ED8CFE2" w14:textId="05C2F052" w:rsidR="00FA0421" w:rsidRDefault="00FA0421" w:rsidP="00A138AE">
      <w:pPr>
        <w:spacing w:line="276" w:lineRule="auto"/>
        <w:ind w:firstLine="567"/>
        <w:jc w:val="both"/>
        <w:rPr>
          <w:color w:val="000000"/>
        </w:rPr>
      </w:pPr>
    </w:p>
    <w:p w14:paraId="7DF2353B" w14:textId="7BEEC179" w:rsidR="009E7890" w:rsidRPr="00611E22" w:rsidRDefault="00353606" w:rsidP="009E18E6">
      <w:pPr>
        <w:spacing w:line="276" w:lineRule="auto"/>
        <w:ind w:firstLine="567"/>
        <w:jc w:val="both"/>
      </w:pPr>
      <w:r w:rsidRPr="00611E22">
        <w:t>[6] Apgabaltiesa, atsau</w:t>
      </w:r>
      <w:r w:rsidR="009E18E6" w:rsidRPr="00611E22">
        <w:t>coties</w:t>
      </w:r>
      <w:r w:rsidRPr="00611E22">
        <w:t xml:space="preserve"> uz iepriekš minētajām Senāta atziņām, spriedumā ir </w:t>
      </w:r>
      <w:r w:rsidR="00700EE8" w:rsidRPr="00611E22">
        <w:t>atzinusi</w:t>
      </w:r>
      <w:r w:rsidRPr="00611E22">
        <w:t>, ka</w:t>
      </w:r>
      <w:r w:rsidR="009E7890" w:rsidRPr="00611E22">
        <w:t xml:space="preserve"> pieteicēja apdrošināšanas stāžā iekļaujams virsnieka dienests</w:t>
      </w:r>
      <w:r w:rsidR="009E18E6" w:rsidRPr="00611E22">
        <w:t xml:space="preserve"> PSRS Bruņotajos spēkos no </w:t>
      </w:r>
      <w:proofErr w:type="gramStart"/>
      <w:r w:rsidR="009E18E6" w:rsidRPr="00611E22">
        <w:t>1975.gada</w:t>
      </w:r>
      <w:proofErr w:type="gramEnd"/>
      <w:r w:rsidR="009E18E6" w:rsidRPr="00611E22">
        <w:t xml:space="preserve"> 10.jūlija līdz 1988.gada 18.jūlijam</w:t>
      </w:r>
      <w:r w:rsidR="009E7890" w:rsidRPr="00611E22">
        <w:t>, jo pieteicējs pildīja aktīvo militāro dienestu pēc obligātā karadienesta</w:t>
      </w:r>
      <w:r w:rsidR="009E18E6" w:rsidRPr="00611E22">
        <w:t>. Apgabaltiesa atzina, ka</w:t>
      </w:r>
      <w:r w:rsidR="009E7890" w:rsidRPr="00611E22">
        <w:t xml:space="preserve"> tādējādi izpildās likuma „Par valsts pensijām” pārejas noteikumu 1.punkta 2.apakšpunkts </w:t>
      </w:r>
      <w:r w:rsidR="009E18E6" w:rsidRPr="00611E22">
        <w:t>nosacījumi –</w:t>
      </w:r>
      <w:r w:rsidR="009E7890" w:rsidRPr="00611E22">
        <w:t xml:space="preserve"> persona iesaukta aktīvajā militārajā dienestā pēc obligātā karadienesta</w:t>
      </w:r>
      <w:proofErr w:type="gramStart"/>
      <w:r w:rsidR="009E7890" w:rsidRPr="00611E22">
        <w:t xml:space="preserve"> un</w:t>
      </w:r>
      <w:proofErr w:type="gramEnd"/>
      <w:r w:rsidR="009E7890" w:rsidRPr="00611E22">
        <w:t xml:space="preserve"> pieteicējs nesaņem citas valsts pensiju.</w:t>
      </w:r>
    </w:p>
    <w:p w14:paraId="7DB8CD00" w14:textId="23FF2143" w:rsidR="008823FE" w:rsidRDefault="009E18E6" w:rsidP="00A138AE">
      <w:pPr>
        <w:spacing w:line="276" w:lineRule="auto"/>
        <w:ind w:firstLine="567"/>
        <w:jc w:val="both"/>
      </w:pPr>
      <w:r w:rsidRPr="00611E22">
        <w:t>Senāts atzīst, ka apgabaltiesa nepamatoti pielīdzinājusi pieteicēja mācības Ļeņingradas pretgaisa aizsardzības augstākajā kara skolā</w:t>
      </w:r>
      <w:r w:rsidR="00805107" w:rsidRPr="00611E22">
        <w:t xml:space="preserve"> obligātajam</w:t>
      </w:r>
      <w:r w:rsidRPr="00611E22">
        <w:t xml:space="preserve"> dienestam</w:t>
      </w:r>
      <w:r w:rsidR="00805107" w:rsidRPr="00611E22">
        <w:t>. Iepriekšējā punktā minētajos Senāta spriedumos ir secināts, ka kursanti tika atzīti par aktīvajā militārajā dienestā esošiem karavīriem un mācības militārā izglītības iestād</w:t>
      </w:r>
      <w:r w:rsidR="00E1446B">
        <w:t>ē</w:t>
      </w:r>
      <w:r w:rsidR="00805107" w:rsidRPr="00611E22">
        <w:t xml:space="preserve"> bija personas brīvprātīga izvēle, taču kursantiem nebija obligātā dienesta karavīra statuss, kurā personas tika iesauktas.</w:t>
      </w:r>
      <w:r w:rsidR="00101833" w:rsidRPr="00611E22">
        <w:t xml:space="preserve"> </w:t>
      </w:r>
      <w:r w:rsidR="00611E22" w:rsidRPr="00611E22">
        <w:t>A</w:t>
      </w:r>
      <w:r w:rsidR="00101833" w:rsidRPr="00611E22">
        <w:t xml:space="preserve">rī virsdienests karavīriem un dienests virsniekiem PSRS Bruņotajos spēkos bija brīvprātīgs dienests. Līdz ar to apgabaltiesas secinājums, ka pieteicēja gadījums atbilst minētajam likuma </w:t>
      </w:r>
      <w:r w:rsidR="00101833" w:rsidRPr="00611E22">
        <w:lastRenderedPageBreak/>
        <w:t>„Par valsts pensijām” pārejas noteikumu 1.punkta 2.apakšpunktā paredzētajam gadījumam – persona iesaukta aktīvajā militārajā dienestā pēc obligātā karadienesta – nav pareizs.</w:t>
      </w:r>
    </w:p>
    <w:p w14:paraId="3284F050" w14:textId="5304FD2C" w:rsidR="00611E22" w:rsidRDefault="008823FE" w:rsidP="00A138AE">
      <w:pPr>
        <w:spacing w:line="276" w:lineRule="auto"/>
        <w:ind w:firstLine="567"/>
        <w:jc w:val="both"/>
      </w:pPr>
      <w:r>
        <w:t xml:space="preserve">Lietā nav strīda par to, ka pieteicēja </w:t>
      </w:r>
      <w:r w:rsidRPr="00611E22">
        <w:t xml:space="preserve">virsnieka dienests PSRS Bruņotajos spēkos no </w:t>
      </w:r>
      <w:proofErr w:type="gramStart"/>
      <w:r w:rsidRPr="00611E22">
        <w:t>1975.gada</w:t>
      </w:r>
      <w:proofErr w:type="gramEnd"/>
      <w:r w:rsidRPr="00611E22">
        <w:t xml:space="preserve"> 10.jūlija līdz 1988.gada 18.jūlijam</w:t>
      </w:r>
      <w:r>
        <w:t xml:space="preserve"> neatbilst pārējiem </w:t>
      </w:r>
      <w:r w:rsidRPr="00611E22">
        <w:t>likuma „Par valsts pensijām” pārejas noteikumu 1.punkta 2.apakšpunktā</w:t>
      </w:r>
      <w:r>
        <w:t xml:space="preserve"> minētajiem gadījumiem.</w:t>
      </w:r>
    </w:p>
    <w:p w14:paraId="213D99C9" w14:textId="77777777" w:rsidR="008823FE" w:rsidRDefault="008823FE" w:rsidP="00A138AE">
      <w:pPr>
        <w:spacing w:line="276" w:lineRule="auto"/>
        <w:ind w:firstLine="567"/>
        <w:jc w:val="both"/>
      </w:pPr>
    </w:p>
    <w:p w14:paraId="3733C4D2" w14:textId="11B763C1" w:rsidR="00611E22" w:rsidRDefault="00611E22" w:rsidP="00A138AE">
      <w:pPr>
        <w:spacing w:line="276" w:lineRule="auto"/>
        <w:ind w:firstLine="567"/>
        <w:jc w:val="both"/>
      </w:pPr>
      <w:r>
        <w:t>[7] </w:t>
      </w:r>
      <w:r w:rsidR="00C56AFF">
        <w:t xml:space="preserve">Aģentūra </w:t>
      </w:r>
      <w:r w:rsidR="0043471A">
        <w:t>kasācijas sūdzībā norāda</w:t>
      </w:r>
      <w:r w:rsidR="00C56AFF">
        <w:t>, ka konkrētajā gadījumā n</w:t>
      </w:r>
      <w:r w:rsidR="00206810">
        <w:t>eesot</w:t>
      </w:r>
      <w:r w:rsidR="00C56AFF">
        <w:t xml:space="preserve"> piemērojams arī </w:t>
      </w:r>
      <w:r w:rsidR="00C56AFF" w:rsidRPr="00611E22">
        <w:t>likuma „Par valsts pensijām” pārejas noteikumu 1.punkta 2.</w:t>
      </w:r>
      <w:r w:rsidR="00C56AFF">
        <w:rPr>
          <w:vertAlign w:val="superscript"/>
        </w:rPr>
        <w:t>1</w:t>
      </w:r>
      <w:r w:rsidR="00C56AFF" w:rsidRPr="00611E22">
        <w:t>apakšpunkt</w:t>
      </w:r>
      <w:r w:rsidR="00C56AFF">
        <w:t>s</w:t>
      </w:r>
      <w:r w:rsidR="0043471A">
        <w:t xml:space="preserve">. Minētās tiesību normas mērķis </w:t>
      </w:r>
      <w:r w:rsidR="00206810">
        <w:t>esot</w:t>
      </w:r>
      <w:r w:rsidR="0043471A">
        <w:t xml:space="preserve"> bijis novērst netaisnību pret </w:t>
      </w:r>
      <w:r w:rsidR="00913235">
        <w:t>tiem</w:t>
      </w:r>
      <w:r w:rsidR="0043471A">
        <w:t xml:space="preserve"> Latvijas Republikas pilsoņiem</w:t>
      </w:r>
      <w:r w:rsidR="00913235">
        <w:t>, kuri pameta</w:t>
      </w:r>
      <w:r w:rsidR="00913235" w:rsidRPr="00913235">
        <w:t xml:space="preserve"> </w:t>
      </w:r>
      <w:r w:rsidR="00913235" w:rsidRPr="00611E22">
        <w:t>PSRS Bruņotos spēk</w:t>
      </w:r>
      <w:r w:rsidR="00913235">
        <w:t>us un atteicās no PSRS militārpersonu izdienas pensijas, lai piedalītos Latvijas Republikas armijas atjaunošanā</w:t>
      </w:r>
      <w:r w:rsidR="0043471A">
        <w:t xml:space="preserve">. </w:t>
      </w:r>
      <w:r w:rsidR="00913235">
        <w:t>Pieteicējs n</w:t>
      </w:r>
      <w:r w:rsidR="00206810">
        <w:t>eesot</w:t>
      </w:r>
      <w:r w:rsidR="00913235">
        <w:t xml:space="preserve"> starp</w:t>
      </w:r>
      <w:r w:rsidR="00E1446B">
        <w:t xml:space="preserve"> minētajiem Latvijas pilsoņiem.</w:t>
      </w:r>
    </w:p>
    <w:p w14:paraId="54AE64B7" w14:textId="4F06033F" w:rsidR="009F33D8" w:rsidRDefault="002B07F0" w:rsidP="009F33D8">
      <w:pPr>
        <w:spacing w:line="276" w:lineRule="auto"/>
        <w:ind w:firstLine="567"/>
        <w:jc w:val="both"/>
      </w:pPr>
      <w:r>
        <w:t>Aģentūra pa</w:t>
      </w:r>
      <w:r w:rsidR="009F33D8">
        <w:t>reizi</w:t>
      </w:r>
      <w:r>
        <w:t xml:space="preserve"> norādījusi, ka </w:t>
      </w:r>
      <w:bookmarkStart w:id="3" w:name="_Hlk52452578"/>
      <w:r w:rsidR="00372086">
        <w:t xml:space="preserve">Senāts </w:t>
      </w:r>
      <w:proofErr w:type="gramStart"/>
      <w:r w:rsidR="00372086" w:rsidRPr="0060470D">
        <w:rPr>
          <w:color w:val="000000"/>
        </w:rPr>
        <w:t>2016.gada</w:t>
      </w:r>
      <w:proofErr w:type="gramEnd"/>
      <w:r w:rsidR="00372086" w:rsidRPr="0060470D">
        <w:rPr>
          <w:color w:val="000000"/>
        </w:rPr>
        <w:t xml:space="preserve"> 11.novembra spriedum</w:t>
      </w:r>
      <w:r w:rsidR="00372086">
        <w:rPr>
          <w:color w:val="000000"/>
        </w:rPr>
        <w:t>ā</w:t>
      </w:r>
      <w:r w:rsidR="00E1446B">
        <w:rPr>
          <w:color w:val="000000"/>
        </w:rPr>
        <w:t xml:space="preserve"> lietā Nr. SKA</w:t>
      </w:r>
      <w:r w:rsidR="00E1446B">
        <w:rPr>
          <w:color w:val="000000"/>
        </w:rPr>
        <w:noBreakHyphen/>
      </w:r>
      <w:r w:rsidR="00372086" w:rsidRPr="0060470D">
        <w:rPr>
          <w:color w:val="000000"/>
        </w:rPr>
        <w:t>1050/2016 (A420321614)</w:t>
      </w:r>
      <w:r w:rsidR="00971323">
        <w:rPr>
          <w:color w:val="000000"/>
        </w:rPr>
        <w:t xml:space="preserve"> </w:t>
      </w:r>
      <w:bookmarkEnd w:id="3"/>
      <w:r w:rsidR="00971323">
        <w:rPr>
          <w:color w:val="000000"/>
        </w:rPr>
        <w:t xml:space="preserve">no normas izstrādes materiāliem, </w:t>
      </w:r>
      <w:r w:rsidR="009F33D8">
        <w:rPr>
          <w:color w:val="000000"/>
        </w:rPr>
        <w:t>tostarp</w:t>
      </w:r>
      <w:r w:rsidR="00971323">
        <w:rPr>
          <w:color w:val="000000"/>
        </w:rPr>
        <w:t xml:space="preserve"> Saeimas Sociālo un darba lietu komisijas sēžu protokoliem un audioierakstiem</w:t>
      </w:r>
      <w:r w:rsidR="009F33D8">
        <w:rPr>
          <w:color w:val="000000"/>
        </w:rPr>
        <w:t>,</w:t>
      </w:r>
      <w:r w:rsidR="00971323">
        <w:rPr>
          <w:color w:val="000000"/>
        </w:rPr>
        <w:t xml:space="preserve"> </w:t>
      </w:r>
      <w:r>
        <w:rPr>
          <w:color w:val="000000"/>
        </w:rPr>
        <w:t xml:space="preserve">konstatēja </w:t>
      </w:r>
      <w:r w:rsidR="00206810">
        <w:rPr>
          <w:color w:val="000000"/>
        </w:rPr>
        <w:t>aģentūras norādīto</w:t>
      </w:r>
      <w:r>
        <w:rPr>
          <w:color w:val="000000"/>
        </w:rPr>
        <w:t xml:space="preserve"> </w:t>
      </w:r>
      <w:r w:rsidRPr="00611E22">
        <w:t>likuma „Par valsts pensijām” pārejas noteikumu 1.punkta 2.</w:t>
      </w:r>
      <w:r>
        <w:rPr>
          <w:vertAlign w:val="superscript"/>
        </w:rPr>
        <w:t>1</w:t>
      </w:r>
      <w:r w:rsidRPr="00611E22">
        <w:t>apakšpunkt</w:t>
      </w:r>
      <w:r>
        <w:t>a pieņemšanas mērķi. Senāts</w:t>
      </w:r>
      <w:r w:rsidR="009F33D8">
        <w:t xml:space="preserve"> spriedumā</w:t>
      </w:r>
      <w:r>
        <w:t xml:space="preserve"> atzina, ka likumdevēja griba ir bijusi noteikt, ka Latvijas Republikas pilsoņiem, kas bijuši PSRS Bruņoto spēku virsnieki, apdrošināšanas stāžam ir pielīdzināms viss viņu dienesta laiks PSRS Bruņotajos spēkos, ja izpildās normā ietvertie nosacījumi par atteikšanos no citas valsts pensijas (</w:t>
      </w:r>
      <w:r>
        <w:rPr>
          <w:i/>
          <w:iCs/>
        </w:rPr>
        <w:t>minētā sprieduma 4.punkts</w:t>
      </w:r>
      <w:r>
        <w:t>).</w:t>
      </w:r>
    </w:p>
    <w:p w14:paraId="308BE0AF" w14:textId="34B77595" w:rsidR="0038166B" w:rsidRPr="00294CC9" w:rsidRDefault="007C168A" w:rsidP="0038166B">
      <w:pPr>
        <w:pStyle w:val="tv213"/>
        <w:spacing w:before="0" w:beforeAutospacing="0" w:after="0" w:afterAutospacing="0" w:line="276" w:lineRule="auto"/>
        <w:ind w:firstLine="567"/>
        <w:jc w:val="both"/>
      </w:pPr>
      <w:r>
        <w:t>Tātad l</w:t>
      </w:r>
      <w:r w:rsidR="009F33D8" w:rsidRPr="00611E22">
        <w:t>ikuma „Par valsts pensijām” pārejas noteikumu 1.punkta 2.</w:t>
      </w:r>
      <w:r w:rsidR="009F33D8">
        <w:rPr>
          <w:vertAlign w:val="superscript"/>
        </w:rPr>
        <w:t>1</w:t>
      </w:r>
      <w:r w:rsidR="009F33D8" w:rsidRPr="00611E22">
        <w:t>apakšpunkt</w:t>
      </w:r>
      <w:r w:rsidR="009F33D8">
        <w:t xml:space="preserve">a nosacījumi ir divi: </w:t>
      </w:r>
      <w:r w:rsidR="009F33D8" w:rsidRPr="00294CC9">
        <w:t>virsdienests karavīriem un dienests virsniekiem PSRS Bruņotajos spēkos</w:t>
      </w:r>
      <w:r w:rsidR="009F33D8">
        <w:t xml:space="preserve"> un</w:t>
      </w:r>
      <w:r w:rsidR="009F33D8" w:rsidRPr="00294CC9">
        <w:t xml:space="preserve"> atteikš</w:t>
      </w:r>
      <w:r w:rsidR="009F33D8">
        <w:t>anās</w:t>
      </w:r>
      <w:r w:rsidR="009F33D8" w:rsidRPr="00294CC9">
        <w:t xml:space="preserve"> no citas valsts pensijas, kuras apmēra noteikšanā ir ņemts vērā šis dienests.</w:t>
      </w:r>
      <w:r w:rsidR="009F33D8">
        <w:t xml:space="preserve"> </w:t>
      </w:r>
      <w:r w:rsidR="0038166B">
        <w:t xml:space="preserve">Senāts norāda, ka </w:t>
      </w:r>
      <w:r w:rsidR="00206810">
        <w:t>nav šaubu, ka</w:t>
      </w:r>
      <w:r w:rsidR="0038166B">
        <w:t xml:space="preserve"> otrā nosacījuma mērķis ir, lai persona vienlaikus </w:t>
      </w:r>
      <w:r w:rsidR="0038166B" w:rsidRPr="00294CC9">
        <w:t>nesaņem</w:t>
      </w:r>
      <w:r w:rsidR="0038166B">
        <w:t>tu</w:t>
      </w:r>
      <w:r w:rsidR="0038166B" w:rsidRPr="00294CC9">
        <w:t xml:space="preserve"> </w:t>
      </w:r>
      <w:r w:rsidR="0038166B">
        <w:t xml:space="preserve">gan Latvijas, gan </w:t>
      </w:r>
      <w:r w:rsidR="0038166B" w:rsidRPr="00294CC9">
        <w:t>citas valsts pensiju</w:t>
      </w:r>
      <w:r w:rsidR="0038166B">
        <w:t>,</w:t>
      </w:r>
      <w:r w:rsidR="0038166B" w:rsidRPr="00294CC9">
        <w:t xml:space="preserve"> kur</w:t>
      </w:r>
      <w:r w:rsidR="0038166B">
        <w:t>u</w:t>
      </w:r>
      <w:r w:rsidR="0038166B" w:rsidRPr="00294CC9">
        <w:t xml:space="preserve"> apmēra noteikšanā </w:t>
      </w:r>
      <w:r w:rsidR="0038166B">
        <w:t>būtu</w:t>
      </w:r>
      <w:r w:rsidR="0038166B" w:rsidRPr="00294CC9">
        <w:t xml:space="preserve"> ņemts vērā</w:t>
      </w:r>
      <w:r w:rsidR="0038166B">
        <w:t xml:space="preserve"> </w:t>
      </w:r>
      <w:r w:rsidR="0038166B" w:rsidRPr="00294CC9">
        <w:t>virsdienest</w:t>
      </w:r>
      <w:r w:rsidR="00206810">
        <w:t>a</w:t>
      </w:r>
      <w:r w:rsidR="0038166B" w:rsidRPr="00294CC9">
        <w:t xml:space="preserve"> karavīriem un dienest</w:t>
      </w:r>
      <w:r w:rsidR="00206810">
        <w:t>a</w:t>
      </w:r>
      <w:r w:rsidR="0038166B" w:rsidRPr="00294CC9">
        <w:t xml:space="preserve"> virsniekiem PSRS Bruņotajos spēkos periods</w:t>
      </w:r>
      <w:r w:rsidR="0038166B">
        <w:t>.</w:t>
      </w:r>
      <w:r w:rsidR="00206810">
        <w:t xml:space="preserve"> </w:t>
      </w:r>
      <w:r w:rsidR="00215091">
        <w:t>Līdz ar to Senāts atzīst, ka arī gadījum</w:t>
      </w:r>
      <w:r>
        <w:t>s</w:t>
      </w:r>
      <w:r w:rsidR="00215091">
        <w:t xml:space="preserve">, </w:t>
      </w:r>
      <w:r>
        <w:t>kad</w:t>
      </w:r>
      <w:r w:rsidR="00215091">
        <w:t xml:space="preserve"> persona</w:t>
      </w:r>
      <w:r w:rsidR="00A56F13">
        <w:t>i</w:t>
      </w:r>
      <w:r w:rsidR="00215091">
        <w:t xml:space="preserve"> nav </w:t>
      </w:r>
      <w:r w:rsidR="00A56F13">
        <w:t xml:space="preserve">piešķirta </w:t>
      </w:r>
      <w:r w:rsidR="00215091">
        <w:t>citas valsts pensij</w:t>
      </w:r>
      <w:r w:rsidR="00A56F13">
        <w:t>a</w:t>
      </w:r>
      <w:r>
        <w:t>, tiek aptverts ar minēto normas nosacījum</w:t>
      </w:r>
      <w:r w:rsidR="00263E8D">
        <w:t>u.</w:t>
      </w:r>
    </w:p>
    <w:p w14:paraId="6F89C30C" w14:textId="0AB4C2D3" w:rsidR="00B03B14" w:rsidRDefault="00E60F2B" w:rsidP="00B03B14">
      <w:pPr>
        <w:pStyle w:val="tv213"/>
        <w:spacing w:before="0" w:beforeAutospacing="0" w:after="0" w:afterAutospacing="0" w:line="276" w:lineRule="auto"/>
        <w:ind w:firstLine="567"/>
        <w:jc w:val="both"/>
      </w:pPr>
      <w:r>
        <w:t xml:space="preserve">Lietā nav strīda, ka laika periodā </w:t>
      </w:r>
      <w:r w:rsidRPr="00611E22">
        <w:t xml:space="preserve">no </w:t>
      </w:r>
      <w:proofErr w:type="gramStart"/>
      <w:r w:rsidRPr="00611E22">
        <w:t>1975.gada</w:t>
      </w:r>
      <w:proofErr w:type="gramEnd"/>
      <w:r w:rsidRPr="00611E22">
        <w:t xml:space="preserve"> 10.jūlija līdz 1988.gada 18.jūlijam</w:t>
      </w:r>
      <w:r w:rsidRPr="00E60F2B">
        <w:t xml:space="preserve"> </w:t>
      </w:r>
      <w:r>
        <w:t xml:space="preserve">pieteicējs bija dienestā </w:t>
      </w:r>
      <w:r w:rsidRPr="00611E22">
        <w:t>PSRS Bruņotajos spēkos</w:t>
      </w:r>
      <w:r w:rsidRPr="00E60F2B">
        <w:t xml:space="preserve"> </w:t>
      </w:r>
      <w:r>
        <w:t xml:space="preserve">kā </w:t>
      </w:r>
      <w:r w:rsidRPr="00611E22">
        <w:t>virsniek</w:t>
      </w:r>
      <w:r>
        <w:t>s.</w:t>
      </w:r>
      <w:r w:rsidR="002A7CAB">
        <w:t xml:space="preserve"> </w:t>
      </w:r>
      <w:r>
        <w:t xml:space="preserve">Apgabaltiesa ir noskaidrojusi arī to, ka </w:t>
      </w:r>
      <w:r w:rsidR="009227D4" w:rsidRPr="00A05251">
        <w:rPr>
          <w:color w:val="000000"/>
        </w:rPr>
        <w:t>pieteicējam nav piešķirta citas valsts pensija</w:t>
      </w:r>
      <w:r w:rsidR="009227D4">
        <w:rPr>
          <w:color w:val="000000"/>
        </w:rPr>
        <w:t xml:space="preserve">, kuras </w:t>
      </w:r>
      <w:r w:rsidR="0038166B">
        <w:rPr>
          <w:color w:val="000000"/>
        </w:rPr>
        <w:t xml:space="preserve">apmērā noteikšanā ir ņemts vērā minētais dienests. </w:t>
      </w:r>
      <w:r w:rsidR="00BB5F08">
        <w:rPr>
          <w:color w:val="000000"/>
        </w:rPr>
        <w:t>Minētais nozīmē, ka strīdus periods ir ieskaitāms pieteicēja apdrošināšanas stāž</w:t>
      </w:r>
      <w:r w:rsidR="001E5D65">
        <w:rPr>
          <w:color w:val="000000"/>
        </w:rPr>
        <w:t>s</w:t>
      </w:r>
      <w:r w:rsidR="00BB5F08">
        <w:rPr>
          <w:color w:val="000000"/>
        </w:rPr>
        <w:t xml:space="preserve"> atbilstoši</w:t>
      </w:r>
      <w:r w:rsidR="00BB5F08" w:rsidRPr="00BB5F08">
        <w:t xml:space="preserve"> </w:t>
      </w:r>
      <w:r w:rsidR="00B03B14">
        <w:t>l</w:t>
      </w:r>
      <w:r w:rsidR="00B03B14" w:rsidRPr="00611E22">
        <w:t>ikuma „Par valsts pensijām” pārejas noteikumu 1.punkta 2.</w:t>
      </w:r>
      <w:r w:rsidR="00B03B14">
        <w:rPr>
          <w:vertAlign w:val="superscript"/>
        </w:rPr>
        <w:t>1</w:t>
      </w:r>
      <w:r w:rsidR="00B03B14" w:rsidRPr="00611E22">
        <w:t>apakšpunkt</w:t>
      </w:r>
      <w:r w:rsidR="00B03B14">
        <w:t>am.</w:t>
      </w:r>
    </w:p>
    <w:p w14:paraId="62F9E6D3" w14:textId="130CA643" w:rsidR="00BB5F08" w:rsidRDefault="00BB5F08" w:rsidP="00E60F2B">
      <w:pPr>
        <w:pStyle w:val="tv213"/>
        <w:spacing w:before="0" w:beforeAutospacing="0" w:after="0" w:afterAutospacing="0" w:line="276" w:lineRule="auto"/>
        <w:ind w:firstLine="567"/>
        <w:jc w:val="both"/>
        <w:rPr>
          <w:color w:val="000000"/>
        </w:rPr>
      </w:pPr>
    </w:p>
    <w:p w14:paraId="2AFB40C7" w14:textId="511EA421" w:rsidR="00B03B14" w:rsidRDefault="00B03B14" w:rsidP="00B03B14">
      <w:pPr>
        <w:pStyle w:val="tv213"/>
        <w:spacing w:before="0" w:beforeAutospacing="0" w:after="0" w:afterAutospacing="0" w:line="276" w:lineRule="auto"/>
        <w:ind w:firstLine="567"/>
        <w:jc w:val="both"/>
      </w:pPr>
      <w:r>
        <w:rPr>
          <w:color w:val="000000"/>
        </w:rPr>
        <w:t xml:space="preserve">[8] Senāts papildus norāda, ka no </w:t>
      </w:r>
      <w:proofErr w:type="gramStart"/>
      <w:r>
        <w:rPr>
          <w:color w:val="000000"/>
        </w:rPr>
        <w:t>2019.gada</w:t>
      </w:r>
      <w:proofErr w:type="gramEnd"/>
      <w:r>
        <w:rPr>
          <w:color w:val="000000"/>
        </w:rPr>
        <w:t xml:space="preserve"> 1.janvāra </w:t>
      </w:r>
      <w:r>
        <w:t>l</w:t>
      </w:r>
      <w:r w:rsidRPr="00611E22">
        <w:t>ikuma „Par valsts pensijām” pārejas noteikumu 1.punkta 2.</w:t>
      </w:r>
      <w:r>
        <w:rPr>
          <w:vertAlign w:val="superscript"/>
        </w:rPr>
        <w:t>1</w:t>
      </w:r>
      <w:r w:rsidRPr="00611E22">
        <w:t>apakšpunkt</w:t>
      </w:r>
      <w:r>
        <w:t>s ir izslēgts, savukārt 2.apakšpunkts izteikts šādā redakcijā</w:t>
      </w:r>
      <w:r w:rsidR="00132276">
        <w:t>: dienests Latvijas Republikas armijā, Latvijas pilsoņiem – arī dienests PSRS Bruņotajos spēkos</w:t>
      </w:r>
      <w:r>
        <w:t>.</w:t>
      </w:r>
      <w:r w:rsidR="00132276">
        <w:t xml:space="preserve"> Tātad likumdevējs ir izvēlējies apdrošināšanas stāžā Latvijas pilsoņiem ietver</w:t>
      </w:r>
      <w:r w:rsidR="001E5D65">
        <w:t>t</w:t>
      </w:r>
      <w:r w:rsidR="00132276">
        <w:t xml:space="preserve">s </w:t>
      </w:r>
      <w:proofErr w:type="gramStart"/>
      <w:r w:rsidR="001E5D65">
        <w:t xml:space="preserve">arī </w:t>
      </w:r>
      <w:r w:rsidR="00132276">
        <w:t>dienestu</w:t>
      </w:r>
      <w:proofErr w:type="gramEnd"/>
      <w:r w:rsidR="00132276">
        <w:t xml:space="preserve"> PSRS Bruņotajos spēkos, vairs neizvirzot papildu nosacījumus.</w:t>
      </w:r>
    </w:p>
    <w:p w14:paraId="68B8724A" w14:textId="03F0D582" w:rsidR="00B03B14" w:rsidRDefault="00B03B14" w:rsidP="00E60F2B">
      <w:pPr>
        <w:pStyle w:val="tv213"/>
        <w:spacing w:before="0" w:beforeAutospacing="0" w:after="0" w:afterAutospacing="0" w:line="276" w:lineRule="auto"/>
        <w:ind w:firstLine="567"/>
        <w:jc w:val="both"/>
        <w:rPr>
          <w:color w:val="000000"/>
        </w:rPr>
      </w:pPr>
    </w:p>
    <w:p w14:paraId="7136B232" w14:textId="2CED15C6" w:rsidR="002A7CAB" w:rsidRDefault="00B03B14" w:rsidP="00B03B14">
      <w:pPr>
        <w:pStyle w:val="tv213"/>
        <w:spacing w:before="0" w:beforeAutospacing="0" w:after="0" w:afterAutospacing="0" w:line="276" w:lineRule="auto"/>
        <w:ind w:firstLine="567"/>
        <w:jc w:val="both"/>
        <w:rPr>
          <w:noProof/>
        </w:rPr>
      </w:pPr>
      <w:r>
        <w:rPr>
          <w:color w:val="000000"/>
        </w:rPr>
        <w:t>[</w:t>
      </w:r>
      <w:r w:rsidR="00132276">
        <w:rPr>
          <w:color w:val="000000"/>
        </w:rPr>
        <w:t>9</w:t>
      </w:r>
      <w:r>
        <w:rPr>
          <w:color w:val="000000"/>
        </w:rPr>
        <w:t>] </w:t>
      </w:r>
      <w:r w:rsidR="00BB5F08">
        <w:rPr>
          <w:color w:val="000000"/>
        </w:rPr>
        <w:t xml:space="preserve">Ņemot vērā </w:t>
      </w:r>
      <w:r>
        <w:rPr>
          <w:color w:val="000000"/>
        </w:rPr>
        <w:t xml:space="preserve">iepriekš </w:t>
      </w:r>
      <w:r w:rsidR="00BB5F08">
        <w:rPr>
          <w:color w:val="000000"/>
        </w:rPr>
        <w:t>minēto,</w:t>
      </w:r>
      <w:r w:rsidR="007C168A">
        <w:rPr>
          <w:color w:val="000000"/>
        </w:rPr>
        <w:t xml:space="preserve"> Senāts atzīst, ka </w:t>
      </w:r>
      <w:r w:rsidR="00BB5F08">
        <w:rPr>
          <w:color w:val="000000"/>
        </w:rPr>
        <w:t xml:space="preserve">apgabaltiesas sprieduma rezultāts par </w:t>
      </w:r>
      <w:r>
        <w:rPr>
          <w:color w:val="000000"/>
        </w:rPr>
        <w:t>strīdus</w:t>
      </w:r>
      <w:r w:rsidR="00BB5F08">
        <w:rPr>
          <w:color w:val="000000"/>
        </w:rPr>
        <w:t xml:space="preserve"> perioda iekļaušanu pieteicēja apdrošināšanas stāžā ir pareizs, lai arī apgabaltiesa pie tā ir nonākusi, piemērojot nepareizo tiesību normu. </w:t>
      </w:r>
      <w:r w:rsidR="002A7CAB">
        <w:rPr>
          <w:noProof/>
        </w:rPr>
        <w:t>Līdz ar to Senāts uzskata, k</w:t>
      </w:r>
      <w:r w:rsidR="00D51F7D">
        <w:rPr>
          <w:noProof/>
        </w:rPr>
        <w:t>a spiedums atstājams negrozīts.</w:t>
      </w:r>
    </w:p>
    <w:p w14:paraId="1FF8A31C" w14:textId="77777777" w:rsidR="00566CED" w:rsidRDefault="00566CED" w:rsidP="00A138AE">
      <w:pPr>
        <w:spacing w:line="276" w:lineRule="auto"/>
        <w:ind w:firstLine="567"/>
        <w:jc w:val="both"/>
        <w:rPr>
          <w:noProof/>
        </w:rPr>
      </w:pPr>
    </w:p>
    <w:p w14:paraId="4F961887" w14:textId="77777777" w:rsidR="00A138AE" w:rsidRPr="000573C7" w:rsidRDefault="00A138AE" w:rsidP="00A138AE">
      <w:pPr>
        <w:pStyle w:val="ATvirsraksts"/>
      </w:pPr>
      <w:r w:rsidRPr="000573C7">
        <w:t>Rezolutīvā daļa</w:t>
      </w:r>
    </w:p>
    <w:p w14:paraId="27709349" w14:textId="77777777" w:rsidR="00132276" w:rsidRDefault="00132276" w:rsidP="00132276">
      <w:pPr>
        <w:tabs>
          <w:tab w:val="left" w:pos="6660"/>
        </w:tabs>
        <w:spacing w:line="276" w:lineRule="auto"/>
        <w:ind w:firstLine="709"/>
        <w:jc w:val="both"/>
      </w:pPr>
    </w:p>
    <w:p w14:paraId="4F9AA8C8" w14:textId="4DC55C3E" w:rsidR="00132276" w:rsidRPr="0082381C" w:rsidRDefault="00132276" w:rsidP="00132276">
      <w:pPr>
        <w:tabs>
          <w:tab w:val="left" w:pos="6660"/>
        </w:tabs>
        <w:spacing w:line="276" w:lineRule="auto"/>
        <w:ind w:firstLine="567"/>
        <w:jc w:val="both"/>
        <w:rPr>
          <w:strike/>
        </w:rPr>
      </w:pPr>
      <w:r w:rsidRPr="005F2D4D">
        <w:t xml:space="preserve">Pamatojoties uz Administratīvā procesa </w:t>
      </w:r>
      <w:r w:rsidRPr="009124BA">
        <w:t xml:space="preserve">likuma </w:t>
      </w:r>
      <w:proofErr w:type="gramStart"/>
      <w:r w:rsidRPr="009124BA">
        <w:t>348.panta</w:t>
      </w:r>
      <w:proofErr w:type="gramEnd"/>
      <w:r w:rsidRPr="009124BA">
        <w:t xml:space="preserve"> pirmās daļas 1.punktu un 351.pantu,</w:t>
      </w:r>
      <w:r w:rsidRPr="0082381C">
        <w:t xml:space="preserve"> </w:t>
      </w:r>
      <w:r w:rsidRPr="00043E06">
        <w:t>Senāts</w:t>
      </w:r>
    </w:p>
    <w:p w14:paraId="2571B7CC" w14:textId="77777777" w:rsidR="00A138AE" w:rsidRPr="009B7084" w:rsidRDefault="00A138AE" w:rsidP="00A138AE">
      <w:pPr>
        <w:spacing w:line="276" w:lineRule="auto"/>
        <w:jc w:val="center"/>
        <w:rPr>
          <w:b/>
        </w:rPr>
      </w:pPr>
      <w:r w:rsidRPr="009B7084">
        <w:rPr>
          <w:b/>
        </w:rPr>
        <w:t>nosprieda</w:t>
      </w:r>
    </w:p>
    <w:p w14:paraId="16A4C2C3" w14:textId="77777777" w:rsidR="00A138AE" w:rsidRPr="009B7084" w:rsidRDefault="00A138AE" w:rsidP="00A138AE">
      <w:pPr>
        <w:spacing w:line="276" w:lineRule="auto"/>
        <w:jc w:val="center"/>
        <w:rPr>
          <w:b/>
        </w:rPr>
      </w:pPr>
    </w:p>
    <w:p w14:paraId="7A03FD0A" w14:textId="5DE813F0" w:rsidR="00132276" w:rsidRPr="00E94723" w:rsidRDefault="00132276" w:rsidP="00132276">
      <w:pPr>
        <w:keepNext/>
        <w:tabs>
          <w:tab w:val="left" w:pos="2700"/>
          <w:tab w:val="left" w:pos="6660"/>
        </w:tabs>
        <w:spacing w:line="276" w:lineRule="auto"/>
        <w:ind w:firstLine="567"/>
        <w:jc w:val="both"/>
      </w:pPr>
      <w:r w:rsidRPr="007F2B2F">
        <w:rPr>
          <w:color w:val="000000"/>
        </w:rPr>
        <w:t>atstāt negrozītu</w:t>
      </w:r>
      <w:r w:rsidRPr="007F2B2F">
        <w:t xml:space="preserve"> Administratīvās </w:t>
      </w:r>
      <w:r w:rsidR="00BC75A7">
        <w:t>apgabal</w:t>
      </w:r>
      <w:r w:rsidRPr="007F2B2F">
        <w:t xml:space="preserve">tiesas </w:t>
      </w:r>
      <w:r w:rsidRPr="00DB4B5A">
        <w:rPr>
          <w:noProof/>
        </w:rPr>
        <w:t xml:space="preserve">2018.gada </w:t>
      </w:r>
      <w:r>
        <w:rPr>
          <w:noProof/>
        </w:rPr>
        <w:t>9.marta</w:t>
      </w:r>
      <w:r w:rsidRPr="00DB4B5A">
        <w:rPr>
          <w:noProof/>
        </w:rPr>
        <w:t xml:space="preserve"> </w:t>
      </w:r>
      <w:r w:rsidRPr="007F2B2F">
        <w:t>spriedumu</w:t>
      </w:r>
      <w:r>
        <w:t xml:space="preserve"> daļā</w:t>
      </w:r>
      <w:r w:rsidRPr="007F2B2F">
        <w:t>,</w:t>
      </w:r>
      <w:r>
        <w:t xml:space="preserve"> kur</w:t>
      </w:r>
      <w:r w:rsidR="00222E4D">
        <w:t>ā</w:t>
      </w:r>
      <w:r>
        <w:t xml:space="preserve"> </w:t>
      </w:r>
      <w:r w:rsidR="00222E4D">
        <w:t xml:space="preserve">pieteikums apmierināts, </w:t>
      </w:r>
      <w:r w:rsidRPr="007F2B2F">
        <w:t xml:space="preserve">bet </w:t>
      </w:r>
      <w:r>
        <w:t xml:space="preserve">Valsts </w:t>
      </w:r>
      <w:r w:rsidR="00222E4D">
        <w:t>sociālās apdrošināšanas aģentūras</w:t>
      </w:r>
      <w:r>
        <w:t xml:space="preserve"> </w:t>
      </w:r>
      <w:r w:rsidRPr="007F2B2F">
        <w:t>kasācijas sūdzību noraidīt.</w:t>
      </w:r>
    </w:p>
    <w:p w14:paraId="2121446A" w14:textId="2A96CF5C" w:rsidR="00A138AE" w:rsidRDefault="00A138AE" w:rsidP="00A138AE">
      <w:pPr>
        <w:tabs>
          <w:tab w:val="left" w:pos="2700"/>
          <w:tab w:val="left" w:pos="6660"/>
        </w:tabs>
        <w:spacing w:line="276" w:lineRule="auto"/>
        <w:ind w:firstLine="567"/>
        <w:jc w:val="both"/>
        <w:rPr>
          <w:color w:val="000000"/>
        </w:rPr>
      </w:pPr>
      <w:r>
        <w:t>Spriedums nav pārsūdzams.</w:t>
      </w:r>
    </w:p>
    <w:sectPr w:rsidR="00A138AE" w:rsidSect="00861FBF">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5706C" w14:textId="77777777" w:rsidR="00376B17" w:rsidRDefault="00376B17">
      <w:r>
        <w:separator/>
      </w:r>
    </w:p>
  </w:endnote>
  <w:endnote w:type="continuationSeparator" w:id="0">
    <w:p w14:paraId="667C37BD" w14:textId="77777777" w:rsidR="00376B17" w:rsidRDefault="0037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A650" w14:textId="57F8BD8A" w:rsidR="00B03B14" w:rsidRDefault="00B03B14"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BC75A7">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F05A1">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7AF17" w14:textId="77777777" w:rsidR="00376B17" w:rsidRDefault="00376B17">
      <w:r>
        <w:separator/>
      </w:r>
    </w:p>
  </w:footnote>
  <w:footnote w:type="continuationSeparator" w:id="0">
    <w:p w14:paraId="0C457604" w14:textId="77777777" w:rsidR="00376B17" w:rsidRDefault="00376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2034"/>
    <w:rsid w:val="00005AD7"/>
    <w:rsid w:val="00007292"/>
    <w:rsid w:val="0001088B"/>
    <w:rsid w:val="00012304"/>
    <w:rsid w:val="000154E7"/>
    <w:rsid w:val="00015DCA"/>
    <w:rsid w:val="000171C8"/>
    <w:rsid w:val="00021417"/>
    <w:rsid w:val="00022026"/>
    <w:rsid w:val="000276EB"/>
    <w:rsid w:val="000309D3"/>
    <w:rsid w:val="00032154"/>
    <w:rsid w:val="0003327C"/>
    <w:rsid w:val="00033A54"/>
    <w:rsid w:val="00036046"/>
    <w:rsid w:val="0004121D"/>
    <w:rsid w:val="00041837"/>
    <w:rsid w:val="00042148"/>
    <w:rsid w:val="00044E17"/>
    <w:rsid w:val="00051652"/>
    <w:rsid w:val="000573CB"/>
    <w:rsid w:val="00067F76"/>
    <w:rsid w:val="00070FE4"/>
    <w:rsid w:val="0007151A"/>
    <w:rsid w:val="000729E1"/>
    <w:rsid w:val="00074C30"/>
    <w:rsid w:val="000859AC"/>
    <w:rsid w:val="000866EB"/>
    <w:rsid w:val="000943E5"/>
    <w:rsid w:val="00096131"/>
    <w:rsid w:val="000A3654"/>
    <w:rsid w:val="000B5510"/>
    <w:rsid w:val="000C007D"/>
    <w:rsid w:val="000C4B75"/>
    <w:rsid w:val="000D4377"/>
    <w:rsid w:val="000D6E1A"/>
    <w:rsid w:val="000E4AAC"/>
    <w:rsid w:val="000E60FF"/>
    <w:rsid w:val="00101180"/>
    <w:rsid w:val="00101833"/>
    <w:rsid w:val="00103576"/>
    <w:rsid w:val="001102BE"/>
    <w:rsid w:val="001123CC"/>
    <w:rsid w:val="00120F90"/>
    <w:rsid w:val="00121C25"/>
    <w:rsid w:val="00125A46"/>
    <w:rsid w:val="001302D3"/>
    <w:rsid w:val="00132276"/>
    <w:rsid w:val="0013243D"/>
    <w:rsid w:val="00136CE3"/>
    <w:rsid w:val="00137983"/>
    <w:rsid w:val="00142439"/>
    <w:rsid w:val="00152CCA"/>
    <w:rsid w:val="00161218"/>
    <w:rsid w:val="001633E5"/>
    <w:rsid w:val="00171662"/>
    <w:rsid w:val="00174F30"/>
    <w:rsid w:val="00177666"/>
    <w:rsid w:val="00186094"/>
    <w:rsid w:val="00186867"/>
    <w:rsid w:val="001938F1"/>
    <w:rsid w:val="001973CC"/>
    <w:rsid w:val="001A3239"/>
    <w:rsid w:val="001B1533"/>
    <w:rsid w:val="001B1907"/>
    <w:rsid w:val="001B7758"/>
    <w:rsid w:val="001C16FF"/>
    <w:rsid w:val="001C24EC"/>
    <w:rsid w:val="001D288F"/>
    <w:rsid w:val="001E5220"/>
    <w:rsid w:val="001E5BB3"/>
    <w:rsid w:val="001E5D65"/>
    <w:rsid w:val="001E67B2"/>
    <w:rsid w:val="001F1587"/>
    <w:rsid w:val="001F5F3E"/>
    <w:rsid w:val="001F6377"/>
    <w:rsid w:val="001F7B15"/>
    <w:rsid w:val="00201584"/>
    <w:rsid w:val="00206810"/>
    <w:rsid w:val="002102B0"/>
    <w:rsid w:val="00210781"/>
    <w:rsid w:val="00212509"/>
    <w:rsid w:val="00215091"/>
    <w:rsid w:val="002159CB"/>
    <w:rsid w:val="00221AF9"/>
    <w:rsid w:val="00222E4D"/>
    <w:rsid w:val="002253DA"/>
    <w:rsid w:val="00225F0B"/>
    <w:rsid w:val="00231704"/>
    <w:rsid w:val="00234A55"/>
    <w:rsid w:val="00235417"/>
    <w:rsid w:val="002356BE"/>
    <w:rsid w:val="002445AC"/>
    <w:rsid w:val="00250566"/>
    <w:rsid w:val="00251A2F"/>
    <w:rsid w:val="00254457"/>
    <w:rsid w:val="002557DE"/>
    <w:rsid w:val="00260C4D"/>
    <w:rsid w:val="00263E8D"/>
    <w:rsid w:val="00267EF3"/>
    <w:rsid w:val="00272B3E"/>
    <w:rsid w:val="00274875"/>
    <w:rsid w:val="002774C0"/>
    <w:rsid w:val="002776EF"/>
    <w:rsid w:val="00294E25"/>
    <w:rsid w:val="002A03DE"/>
    <w:rsid w:val="002A4CFE"/>
    <w:rsid w:val="002A5E04"/>
    <w:rsid w:val="002A79BA"/>
    <w:rsid w:val="002A7CAB"/>
    <w:rsid w:val="002B01AA"/>
    <w:rsid w:val="002B07F0"/>
    <w:rsid w:val="002B1064"/>
    <w:rsid w:val="002C1747"/>
    <w:rsid w:val="002C351B"/>
    <w:rsid w:val="002C371C"/>
    <w:rsid w:val="002C5865"/>
    <w:rsid w:val="002D0A02"/>
    <w:rsid w:val="002D5478"/>
    <w:rsid w:val="002D58B2"/>
    <w:rsid w:val="002D757F"/>
    <w:rsid w:val="002D7A2C"/>
    <w:rsid w:val="002F0A2B"/>
    <w:rsid w:val="002F3C99"/>
    <w:rsid w:val="002F6A61"/>
    <w:rsid w:val="00300B71"/>
    <w:rsid w:val="0031024F"/>
    <w:rsid w:val="0031364E"/>
    <w:rsid w:val="00313F0F"/>
    <w:rsid w:val="00327FE1"/>
    <w:rsid w:val="0033091D"/>
    <w:rsid w:val="003314E5"/>
    <w:rsid w:val="00331F5A"/>
    <w:rsid w:val="00333737"/>
    <w:rsid w:val="003405EB"/>
    <w:rsid w:val="0034214B"/>
    <w:rsid w:val="00342273"/>
    <w:rsid w:val="00347C77"/>
    <w:rsid w:val="00352249"/>
    <w:rsid w:val="00353606"/>
    <w:rsid w:val="00361D10"/>
    <w:rsid w:val="00372086"/>
    <w:rsid w:val="00374617"/>
    <w:rsid w:val="003766E2"/>
    <w:rsid w:val="00376B17"/>
    <w:rsid w:val="0038166B"/>
    <w:rsid w:val="003824E3"/>
    <w:rsid w:val="003829F3"/>
    <w:rsid w:val="003845DD"/>
    <w:rsid w:val="00387422"/>
    <w:rsid w:val="003876C5"/>
    <w:rsid w:val="00391DD5"/>
    <w:rsid w:val="003A4636"/>
    <w:rsid w:val="003B2933"/>
    <w:rsid w:val="003B3DFA"/>
    <w:rsid w:val="003C02F7"/>
    <w:rsid w:val="003C0D18"/>
    <w:rsid w:val="003C16E5"/>
    <w:rsid w:val="003C1C9A"/>
    <w:rsid w:val="003C2A07"/>
    <w:rsid w:val="003F5A84"/>
    <w:rsid w:val="00407AAA"/>
    <w:rsid w:val="00410058"/>
    <w:rsid w:val="00427483"/>
    <w:rsid w:val="00427EFE"/>
    <w:rsid w:val="0043471A"/>
    <w:rsid w:val="00440CF1"/>
    <w:rsid w:val="00442184"/>
    <w:rsid w:val="00445784"/>
    <w:rsid w:val="00461F74"/>
    <w:rsid w:val="00463412"/>
    <w:rsid w:val="00463537"/>
    <w:rsid w:val="00477B63"/>
    <w:rsid w:val="004872DD"/>
    <w:rsid w:val="00491506"/>
    <w:rsid w:val="004A127A"/>
    <w:rsid w:val="004A1D03"/>
    <w:rsid w:val="004A33FF"/>
    <w:rsid w:val="004A4F91"/>
    <w:rsid w:val="004A620F"/>
    <w:rsid w:val="004B11F1"/>
    <w:rsid w:val="004B144C"/>
    <w:rsid w:val="004B5DDC"/>
    <w:rsid w:val="004B5F8C"/>
    <w:rsid w:val="004C1825"/>
    <w:rsid w:val="004D293D"/>
    <w:rsid w:val="004D6D0A"/>
    <w:rsid w:val="004E2222"/>
    <w:rsid w:val="004E696E"/>
    <w:rsid w:val="004F3234"/>
    <w:rsid w:val="004F6731"/>
    <w:rsid w:val="00511CEE"/>
    <w:rsid w:val="005128CE"/>
    <w:rsid w:val="00515B61"/>
    <w:rsid w:val="00520571"/>
    <w:rsid w:val="00525150"/>
    <w:rsid w:val="00535597"/>
    <w:rsid w:val="00540DA9"/>
    <w:rsid w:val="005530E9"/>
    <w:rsid w:val="00556A8E"/>
    <w:rsid w:val="00563CB4"/>
    <w:rsid w:val="00566CED"/>
    <w:rsid w:val="00575FCE"/>
    <w:rsid w:val="00577D8C"/>
    <w:rsid w:val="00580EDE"/>
    <w:rsid w:val="00592C13"/>
    <w:rsid w:val="0059307C"/>
    <w:rsid w:val="00594557"/>
    <w:rsid w:val="005A23BC"/>
    <w:rsid w:val="005A5C37"/>
    <w:rsid w:val="005A5E04"/>
    <w:rsid w:val="005A5F0C"/>
    <w:rsid w:val="005B1BC9"/>
    <w:rsid w:val="005B396C"/>
    <w:rsid w:val="005B4B9F"/>
    <w:rsid w:val="005C18F2"/>
    <w:rsid w:val="005C3931"/>
    <w:rsid w:val="005C4D64"/>
    <w:rsid w:val="005C5893"/>
    <w:rsid w:val="005C642F"/>
    <w:rsid w:val="005D2865"/>
    <w:rsid w:val="005D5CF3"/>
    <w:rsid w:val="005F3924"/>
    <w:rsid w:val="00601BF8"/>
    <w:rsid w:val="006026AE"/>
    <w:rsid w:val="0060470D"/>
    <w:rsid w:val="00606B7F"/>
    <w:rsid w:val="00610931"/>
    <w:rsid w:val="00611AF7"/>
    <w:rsid w:val="00611E22"/>
    <w:rsid w:val="0061555F"/>
    <w:rsid w:val="00616B9C"/>
    <w:rsid w:val="006200D7"/>
    <w:rsid w:val="00621D38"/>
    <w:rsid w:val="00622D58"/>
    <w:rsid w:val="00623043"/>
    <w:rsid w:val="0063732D"/>
    <w:rsid w:val="00646288"/>
    <w:rsid w:val="006513A4"/>
    <w:rsid w:val="00651BA8"/>
    <w:rsid w:val="00661B45"/>
    <w:rsid w:val="006776F3"/>
    <w:rsid w:val="006776FA"/>
    <w:rsid w:val="00683028"/>
    <w:rsid w:val="00684537"/>
    <w:rsid w:val="0068558E"/>
    <w:rsid w:val="00691066"/>
    <w:rsid w:val="006A0BE0"/>
    <w:rsid w:val="006B1EF9"/>
    <w:rsid w:val="006B28C4"/>
    <w:rsid w:val="006C4FE3"/>
    <w:rsid w:val="006D1CD8"/>
    <w:rsid w:val="00700EE8"/>
    <w:rsid w:val="007017A6"/>
    <w:rsid w:val="00703D38"/>
    <w:rsid w:val="007050B6"/>
    <w:rsid w:val="007067D4"/>
    <w:rsid w:val="00710510"/>
    <w:rsid w:val="00717B1B"/>
    <w:rsid w:val="00727882"/>
    <w:rsid w:val="00731455"/>
    <w:rsid w:val="00736364"/>
    <w:rsid w:val="007450A6"/>
    <w:rsid w:val="007533E9"/>
    <w:rsid w:val="007565BA"/>
    <w:rsid w:val="007637CA"/>
    <w:rsid w:val="0076464C"/>
    <w:rsid w:val="00767C82"/>
    <w:rsid w:val="00770373"/>
    <w:rsid w:val="007761C7"/>
    <w:rsid w:val="00776502"/>
    <w:rsid w:val="00783545"/>
    <w:rsid w:val="00791297"/>
    <w:rsid w:val="007945CC"/>
    <w:rsid w:val="0079521F"/>
    <w:rsid w:val="007A2896"/>
    <w:rsid w:val="007A5C17"/>
    <w:rsid w:val="007B1359"/>
    <w:rsid w:val="007B2662"/>
    <w:rsid w:val="007B4C29"/>
    <w:rsid w:val="007B642A"/>
    <w:rsid w:val="007C168A"/>
    <w:rsid w:val="007C1E38"/>
    <w:rsid w:val="007C7981"/>
    <w:rsid w:val="007D7829"/>
    <w:rsid w:val="007E27A5"/>
    <w:rsid w:val="007E3D8E"/>
    <w:rsid w:val="007F6367"/>
    <w:rsid w:val="007F66B0"/>
    <w:rsid w:val="0080204F"/>
    <w:rsid w:val="00805107"/>
    <w:rsid w:val="00811555"/>
    <w:rsid w:val="00816E5E"/>
    <w:rsid w:val="00817D11"/>
    <w:rsid w:val="008207D0"/>
    <w:rsid w:val="00820F3F"/>
    <w:rsid w:val="008234C8"/>
    <w:rsid w:val="008339E5"/>
    <w:rsid w:val="00851C99"/>
    <w:rsid w:val="00856E34"/>
    <w:rsid w:val="0086002F"/>
    <w:rsid w:val="00861FBF"/>
    <w:rsid w:val="008662AE"/>
    <w:rsid w:val="00871619"/>
    <w:rsid w:val="008823FE"/>
    <w:rsid w:val="00894834"/>
    <w:rsid w:val="008A478A"/>
    <w:rsid w:val="008B1376"/>
    <w:rsid w:val="008B2121"/>
    <w:rsid w:val="008B49CF"/>
    <w:rsid w:val="008B7358"/>
    <w:rsid w:val="008C5E96"/>
    <w:rsid w:val="008D29FD"/>
    <w:rsid w:val="008D6262"/>
    <w:rsid w:val="008D6C57"/>
    <w:rsid w:val="008E0FAC"/>
    <w:rsid w:val="008E6222"/>
    <w:rsid w:val="00902868"/>
    <w:rsid w:val="00902B5B"/>
    <w:rsid w:val="00913235"/>
    <w:rsid w:val="009179F9"/>
    <w:rsid w:val="009227D4"/>
    <w:rsid w:val="009234B1"/>
    <w:rsid w:val="009247BA"/>
    <w:rsid w:val="009370D0"/>
    <w:rsid w:val="00937CD2"/>
    <w:rsid w:val="0094332B"/>
    <w:rsid w:val="00945305"/>
    <w:rsid w:val="009466AE"/>
    <w:rsid w:val="00961B07"/>
    <w:rsid w:val="0096323C"/>
    <w:rsid w:val="00970368"/>
    <w:rsid w:val="009710D1"/>
    <w:rsid w:val="00971323"/>
    <w:rsid w:val="0097146F"/>
    <w:rsid w:val="00974FCB"/>
    <w:rsid w:val="00984327"/>
    <w:rsid w:val="0098651B"/>
    <w:rsid w:val="00986585"/>
    <w:rsid w:val="00986CDE"/>
    <w:rsid w:val="00990CD6"/>
    <w:rsid w:val="00993508"/>
    <w:rsid w:val="009958D6"/>
    <w:rsid w:val="0099638D"/>
    <w:rsid w:val="009A6D73"/>
    <w:rsid w:val="009B3B7C"/>
    <w:rsid w:val="009B4CE6"/>
    <w:rsid w:val="009C2A08"/>
    <w:rsid w:val="009C611C"/>
    <w:rsid w:val="009D3C84"/>
    <w:rsid w:val="009D3C8B"/>
    <w:rsid w:val="009E18E6"/>
    <w:rsid w:val="009E2FFF"/>
    <w:rsid w:val="009E7890"/>
    <w:rsid w:val="009F0253"/>
    <w:rsid w:val="009F33D8"/>
    <w:rsid w:val="009F391C"/>
    <w:rsid w:val="009F71BB"/>
    <w:rsid w:val="00A005A3"/>
    <w:rsid w:val="00A0617E"/>
    <w:rsid w:val="00A101A3"/>
    <w:rsid w:val="00A10F9A"/>
    <w:rsid w:val="00A1325A"/>
    <w:rsid w:val="00A138AE"/>
    <w:rsid w:val="00A16F44"/>
    <w:rsid w:val="00A20611"/>
    <w:rsid w:val="00A272A9"/>
    <w:rsid w:val="00A30A84"/>
    <w:rsid w:val="00A32C43"/>
    <w:rsid w:val="00A35900"/>
    <w:rsid w:val="00A36843"/>
    <w:rsid w:val="00A40AF4"/>
    <w:rsid w:val="00A41670"/>
    <w:rsid w:val="00A42B41"/>
    <w:rsid w:val="00A42F5F"/>
    <w:rsid w:val="00A433AB"/>
    <w:rsid w:val="00A44421"/>
    <w:rsid w:val="00A45141"/>
    <w:rsid w:val="00A46D72"/>
    <w:rsid w:val="00A50947"/>
    <w:rsid w:val="00A50B5F"/>
    <w:rsid w:val="00A51D24"/>
    <w:rsid w:val="00A56F13"/>
    <w:rsid w:val="00A57393"/>
    <w:rsid w:val="00A6299B"/>
    <w:rsid w:val="00A67BD7"/>
    <w:rsid w:val="00A73398"/>
    <w:rsid w:val="00A73505"/>
    <w:rsid w:val="00A8187C"/>
    <w:rsid w:val="00A83F09"/>
    <w:rsid w:val="00A848B1"/>
    <w:rsid w:val="00A86C25"/>
    <w:rsid w:val="00A92A75"/>
    <w:rsid w:val="00A93D60"/>
    <w:rsid w:val="00A93F54"/>
    <w:rsid w:val="00A94A5C"/>
    <w:rsid w:val="00AA092E"/>
    <w:rsid w:val="00AA1F3C"/>
    <w:rsid w:val="00AA5353"/>
    <w:rsid w:val="00AB3207"/>
    <w:rsid w:val="00AC53D6"/>
    <w:rsid w:val="00AD70B2"/>
    <w:rsid w:val="00AD7C8E"/>
    <w:rsid w:val="00AE4B8C"/>
    <w:rsid w:val="00AF05A1"/>
    <w:rsid w:val="00AF1308"/>
    <w:rsid w:val="00AF3B57"/>
    <w:rsid w:val="00B00371"/>
    <w:rsid w:val="00B03259"/>
    <w:rsid w:val="00B038CD"/>
    <w:rsid w:val="00B03B14"/>
    <w:rsid w:val="00B04EC7"/>
    <w:rsid w:val="00B13302"/>
    <w:rsid w:val="00B25AA8"/>
    <w:rsid w:val="00B2777B"/>
    <w:rsid w:val="00B3352C"/>
    <w:rsid w:val="00B342C0"/>
    <w:rsid w:val="00B37467"/>
    <w:rsid w:val="00B41412"/>
    <w:rsid w:val="00B41A9F"/>
    <w:rsid w:val="00B4364D"/>
    <w:rsid w:val="00B46827"/>
    <w:rsid w:val="00B63047"/>
    <w:rsid w:val="00B659E4"/>
    <w:rsid w:val="00B70E09"/>
    <w:rsid w:val="00B7451A"/>
    <w:rsid w:val="00B84C2F"/>
    <w:rsid w:val="00B85ACB"/>
    <w:rsid w:val="00B902A0"/>
    <w:rsid w:val="00B906B5"/>
    <w:rsid w:val="00B94182"/>
    <w:rsid w:val="00BA1A71"/>
    <w:rsid w:val="00BB5F08"/>
    <w:rsid w:val="00BC0C49"/>
    <w:rsid w:val="00BC526D"/>
    <w:rsid w:val="00BC5B7B"/>
    <w:rsid w:val="00BC75A7"/>
    <w:rsid w:val="00BD2123"/>
    <w:rsid w:val="00BD4EB0"/>
    <w:rsid w:val="00BD58F4"/>
    <w:rsid w:val="00BD6B9F"/>
    <w:rsid w:val="00BD7C65"/>
    <w:rsid w:val="00BE2732"/>
    <w:rsid w:val="00BE3B2F"/>
    <w:rsid w:val="00BE6AD6"/>
    <w:rsid w:val="00BF0D34"/>
    <w:rsid w:val="00C0542B"/>
    <w:rsid w:val="00C05F0B"/>
    <w:rsid w:val="00C10B2E"/>
    <w:rsid w:val="00C13D1E"/>
    <w:rsid w:val="00C30BEA"/>
    <w:rsid w:val="00C32E5D"/>
    <w:rsid w:val="00C3630C"/>
    <w:rsid w:val="00C37A69"/>
    <w:rsid w:val="00C51115"/>
    <w:rsid w:val="00C54CEF"/>
    <w:rsid w:val="00C56AFF"/>
    <w:rsid w:val="00C56B80"/>
    <w:rsid w:val="00C61DB6"/>
    <w:rsid w:val="00C64FF5"/>
    <w:rsid w:val="00C70696"/>
    <w:rsid w:val="00C81286"/>
    <w:rsid w:val="00C812DD"/>
    <w:rsid w:val="00C818D7"/>
    <w:rsid w:val="00C824AD"/>
    <w:rsid w:val="00C84BA0"/>
    <w:rsid w:val="00C93E5E"/>
    <w:rsid w:val="00C94B7B"/>
    <w:rsid w:val="00CA15BA"/>
    <w:rsid w:val="00CB08D4"/>
    <w:rsid w:val="00CC6C84"/>
    <w:rsid w:val="00CD0EEB"/>
    <w:rsid w:val="00CD50BF"/>
    <w:rsid w:val="00CD6623"/>
    <w:rsid w:val="00CD728B"/>
    <w:rsid w:val="00D00737"/>
    <w:rsid w:val="00D01890"/>
    <w:rsid w:val="00D0408C"/>
    <w:rsid w:val="00D145EA"/>
    <w:rsid w:val="00D21DFF"/>
    <w:rsid w:val="00D25C54"/>
    <w:rsid w:val="00D269DD"/>
    <w:rsid w:val="00D31D29"/>
    <w:rsid w:val="00D326B8"/>
    <w:rsid w:val="00D335F6"/>
    <w:rsid w:val="00D349E9"/>
    <w:rsid w:val="00D36EF1"/>
    <w:rsid w:val="00D37B36"/>
    <w:rsid w:val="00D4510A"/>
    <w:rsid w:val="00D46B1B"/>
    <w:rsid w:val="00D51F7D"/>
    <w:rsid w:val="00D5312D"/>
    <w:rsid w:val="00D53C72"/>
    <w:rsid w:val="00D568E1"/>
    <w:rsid w:val="00D57BE4"/>
    <w:rsid w:val="00D6232A"/>
    <w:rsid w:val="00D64A8E"/>
    <w:rsid w:val="00D650F2"/>
    <w:rsid w:val="00D66272"/>
    <w:rsid w:val="00D6790D"/>
    <w:rsid w:val="00D72B33"/>
    <w:rsid w:val="00D73303"/>
    <w:rsid w:val="00D74304"/>
    <w:rsid w:val="00D77DB5"/>
    <w:rsid w:val="00D77DC7"/>
    <w:rsid w:val="00D91887"/>
    <w:rsid w:val="00D93408"/>
    <w:rsid w:val="00D958BC"/>
    <w:rsid w:val="00DA07EE"/>
    <w:rsid w:val="00DA0FDE"/>
    <w:rsid w:val="00DA227D"/>
    <w:rsid w:val="00DB10B5"/>
    <w:rsid w:val="00DB71B8"/>
    <w:rsid w:val="00DB731C"/>
    <w:rsid w:val="00DC2B34"/>
    <w:rsid w:val="00DC514C"/>
    <w:rsid w:val="00DD1D1C"/>
    <w:rsid w:val="00DD351F"/>
    <w:rsid w:val="00DF14B5"/>
    <w:rsid w:val="00DF1F32"/>
    <w:rsid w:val="00DF7748"/>
    <w:rsid w:val="00DF7A64"/>
    <w:rsid w:val="00E009B2"/>
    <w:rsid w:val="00E00F3B"/>
    <w:rsid w:val="00E01181"/>
    <w:rsid w:val="00E0792F"/>
    <w:rsid w:val="00E1446B"/>
    <w:rsid w:val="00E2000F"/>
    <w:rsid w:val="00E33103"/>
    <w:rsid w:val="00E34C2A"/>
    <w:rsid w:val="00E36E5B"/>
    <w:rsid w:val="00E5092B"/>
    <w:rsid w:val="00E56044"/>
    <w:rsid w:val="00E60F2B"/>
    <w:rsid w:val="00E636FE"/>
    <w:rsid w:val="00E7644C"/>
    <w:rsid w:val="00E84FB6"/>
    <w:rsid w:val="00E87449"/>
    <w:rsid w:val="00E95579"/>
    <w:rsid w:val="00EA4328"/>
    <w:rsid w:val="00EB3C3F"/>
    <w:rsid w:val="00EC0ECB"/>
    <w:rsid w:val="00EC326A"/>
    <w:rsid w:val="00ED0A96"/>
    <w:rsid w:val="00ED33F0"/>
    <w:rsid w:val="00ED6401"/>
    <w:rsid w:val="00EE63B3"/>
    <w:rsid w:val="00EE7741"/>
    <w:rsid w:val="00EF542C"/>
    <w:rsid w:val="00F00410"/>
    <w:rsid w:val="00F243DC"/>
    <w:rsid w:val="00F2513F"/>
    <w:rsid w:val="00F364F5"/>
    <w:rsid w:val="00F36748"/>
    <w:rsid w:val="00F468F7"/>
    <w:rsid w:val="00F514ED"/>
    <w:rsid w:val="00F52983"/>
    <w:rsid w:val="00F57C02"/>
    <w:rsid w:val="00F626DE"/>
    <w:rsid w:val="00F6627A"/>
    <w:rsid w:val="00F7138B"/>
    <w:rsid w:val="00F7159E"/>
    <w:rsid w:val="00F72277"/>
    <w:rsid w:val="00F74589"/>
    <w:rsid w:val="00F81A6C"/>
    <w:rsid w:val="00F856B4"/>
    <w:rsid w:val="00F87C54"/>
    <w:rsid w:val="00F87F3D"/>
    <w:rsid w:val="00FA0421"/>
    <w:rsid w:val="00FC0A73"/>
    <w:rsid w:val="00FC0AC8"/>
    <w:rsid w:val="00FC1212"/>
    <w:rsid w:val="00FC30B1"/>
    <w:rsid w:val="00FC537B"/>
    <w:rsid w:val="00FC543C"/>
    <w:rsid w:val="00FD1C3D"/>
    <w:rsid w:val="00FD31BB"/>
    <w:rsid w:val="00FD526D"/>
    <w:rsid w:val="00FD7CF7"/>
    <w:rsid w:val="00FD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semiHidden/>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character" w:customStyle="1" w:styleId="apple-converted-space">
    <w:name w:val="apple-converted-space"/>
    <w:basedOn w:val="DefaultParagraphFont"/>
    <w:rsid w:val="00234A55"/>
  </w:style>
  <w:style w:type="character" w:styleId="UnresolvedMention">
    <w:name w:val="Unresolved Mention"/>
    <w:basedOn w:val="DefaultParagraphFont"/>
    <w:uiPriority w:val="99"/>
    <w:semiHidden/>
    <w:unhideWhenUsed/>
    <w:rsid w:val="00AF05A1"/>
    <w:rPr>
      <w:color w:val="605E5C"/>
      <w:shd w:val="clear" w:color="auto" w:fill="E1DFDD"/>
    </w:rPr>
  </w:style>
  <w:style w:type="character" w:styleId="FollowedHyperlink">
    <w:name w:val="FollowedHyperlink"/>
    <w:basedOn w:val="DefaultParagraphFont"/>
    <w:uiPriority w:val="99"/>
    <w:semiHidden/>
    <w:unhideWhenUsed/>
    <w:rsid w:val="00AF0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930.A420356715.1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7D65-DF51-42F1-A780-4D598F73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8822</Words>
  <Characters>5030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2020-10-01T10:44:00Z</dcterms:created>
  <dcterms:modified xsi:type="dcterms:W3CDTF">2020-10-05T11:59:00Z</dcterms:modified>
</cp:coreProperties>
</file>