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E03A9" w14:textId="77777777" w:rsidR="0023568C" w:rsidRDefault="0023568C" w:rsidP="0023568C">
      <w:pPr>
        <w:spacing w:line="276" w:lineRule="auto"/>
        <w:jc w:val="both"/>
        <w:rPr>
          <w:b/>
          <w:bCs/>
        </w:rPr>
      </w:pPr>
      <w:r>
        <w:rPr>
          <w:b/>
          <w:bCs/>
        </w:rPr>
        <w:t>Procesuālās ekonomijas princips un izvērtējamie apstākļi, piemērojot šo principu</w:t>
      </w:r>
    </w:p>
    <w:p w14:paraId="1C5F4283" w14:textId="77777777" w:rsidR="0023568C" w:rsidRPr="001C1D27" w:rsidRDefault="0023568C" w:rsidP="0023568C">
      <w:pPr>
        <w:spacing w:line="276" w:lineRule="auto"/>
        <w:jc w:val="both"/>
      </w:pPr>
      <w:r w:rsidRPr="001C1D27">
        <w:t>Procesuālās ekonomijas principa mērķis ir vienkāršot un saīsināt tiesvedību. Tas cita starpā tiek panākts, samazinot formālās procedūras un darbības. Procesuālās ekonomijas princips izpaužas, ne vien tiesai nosakot iespējami ātrāku lietas izskatīšanas datumu, bet arī augstākas instances tiesai pievienojoties zemākas instances tiesas spriedumā minētajai argumentācijai un tādējādi neatkārtojot procesa dalībnieku argumentu izvērtējumu.</w:t>
      </w:r>
    </w:p>
    <w:p w14:paraId="403D824E" w14:textId="3704A291" w:rsidR="001F483E" w:rsidRPr="0023568C" w:rsidRDefault="0023568C" w:rsidP="0023568C">
      <w:pPr>
        <w:spacing w:line="276" w:lineRule="auto"/>
        <w:jc w:val="both"/>
      </w:pPr>
      <w:r w:rsidRPr="001C1D27">
        <w:t>Vienlaikus jāņem vērā, ka procesuālās ekonomijas princips nedrīkst ierobežot personas tiesības saņemt kvalitatīvu un vispusīgu aizskarto tiesību un aizsargājamo interešu izvērtējumu tiesas spriedumā. Tāpēc iespēja atsaukties uz procesuālās ekonomijas principa piedāvātajām iespējām ietaupīt laiku un resursus ir rūpīgi jāizvērtē katrā konkrētā gadījumā, tostarp ņemot vērā to, vai apelācijas sūdzībā tiek izteikti būtiski pretargumenti pirmās instances tiesas spriedumā norādītajiem argumentiem vai tikai atkārtoti jau pieteikumā minētie argumenti un izteikta neapmierinātība ar tiesas izdarītajiem secinājumiem.</w:t>
      </w:r>
    </w:p>
    <w:p w14:paraId="5BB3AEDD" w14:textId="77777777" w:rsidR="001F483E" w:rsidRDefault="001F483E" w:rsidP="006B7BBC">
      <w:pPr>
        <w:spacing w:line="276" w:lineRule="auto"/>
        <w:jc w:val="center"/>
        <w:rPr>
          <w:b/>
        </w:rPr>
      </w:pPr>
    </w:p>
    <w:p w14:paraId="5B96512A" w14:textId="1304F527" w:rsidR="006B7BBC" w:rsidRDefault="006B7BBC" w:rsidP="006B7BBC">
      <w:pPr>
        <w:spacing w:line="276" w:lineRule="auto"/>
        <w:jc w:val="center"/>
        <w:rPr>
          <w:b/>
        </w:rPr>
      </w:pPr>
      <w:r w:rsidRPr="001F483E">
        <w:rPr>
          <w:b/>
        </w:rPr>
        <w:t>Latvijas Republikas Senāt</w:t>
      </w:r>
      <w:r w:rsidR="001F483E">
        <w:rPr>
          <w:b/>
        </w:rPr>
        <w:t>a</w:t>
      </w:r>
    </w:p>
    <w:p w14:paraId="3AE162D6" w14:textId="51A23B0B" w:rsidR="001F483E" w:rsidRDefault="001F483E" w:rsidP="006B7BBC">
      <w:pPr>
        <w:spacing w:line="276" w:lineRule="auto"/>
        <w:jc w:val="center"/>
        <w:rPr>
          <w:b/>
        </w:rPr>
      </w:pPr>
      <w:r>
        <w:rPr>
          <w:b/>
        </w:rPr>
        <w:t>Administratīvo lietu departamenta</w:t>
      </w:r>
    </w:p>
    <w:p w14:paraId="57C003F7" w14:textId="276E3433" w:rsidR="001F483E" w:rsidRPr="001F483E" w:rsidRDefault="001F483E" w:rsidP="006B7BBC">
      <w:pPr>
        <w:spacing w:line="276" w:lineRule="auto"/>
        <w:jc w:val="center"/>
        <w:rPr>
          <w:b/>
        </w:rPr>
      </w:pPr>
      <w:proofErr w:type="gramStart"/>
      <w:r>
        <w:rPr>
          <w:b/>
        </w:rPr>
        <w:t>2020.gada</w:t>
      </w:r>
      <w:proofErr w:type="gramEnd"/>
      <w:r>
        <w:rPr>
          <w:b/>
        </w:rPr>
        <w:t xml:space="preserve"> 30.septembra</w:t>
      </w:r>
    </w:p>
    <w:p w14:paraId="30B4B012" w14:textId="6ABCBCB0" w:rsidR="006B7BBC" w:rsidRDefault="0089619C" w:rsidP="006B7BBC">
      <w:pPr>
        <w:spacing w:line="276" w:lineRule="auto"/>
        <w:jc w:val="center"/>
        <w:rPr>
          <w:b/>
        </w:rPr>
      </w:pPr>
      <w:r w:rsidRPr="001F483E">
        <w:rPr>
          <w:b/>
        </w:rPr>
        <w:t>SPRIEDUMS</w:t>
      </w:r>
    </w:p>
    <w:p w14:paraId="659F8ACC" w14:textId="3EE6F09F" w:rsidR="001F483E" w:rsidRDefault="001F483E" w:rsidP="006B7BBC">
      <w:pPr>
        <w:spacing w:line="276" w:lineRule="auto"/>
        <w:jc w:val="center"/>
        <w:rPr>
          <w:b/>
        </w:rPr>
      </w:pPr>
      <w:r>
        <w:rPr>
          <w:b/>
        </w:rPr>
        <w:t>Lieta Nr. A420507813, SKA-86/2020</w:t>
      </w:r>
    </w:p>
    <w:p w14:paraId="3CA9DAD4" w14:textId="6B1BE29A" w:rsidR="001F483E" w:rsidRPr="001F483E" w:rsidRDefault="00B127D5" w:rsidP="006B7BBC">
      <w:pPr>
        <w:spacing w:line="276" w:lineRule="auto"/>
        <w:jc w:val="center"/>
        <w:rPr>
          <w:b/>
        </w:rPr>
      </w:pPr>
      <w:hyperlink r:id="rId8" w:history="1">
        <w:r w:rsidR="001F483E" w:rsidRPr="001F483E">
          <w:rPr>
            <w:rStyle w:val="Hyperlink"/>
          </w:rPr>
          <w:t>ECLI:LV:AT:2020:0930.A420507813.3.S</w:t>
        </w:r>
      </w:hyperlink>
    </w:p>
    <w:p w14:paraId="2F242BC5" w14:textId="77777777" w:rsidR="006B7BBC" w:rsidRPr="00277E4E" w:rsidRDefault="006B7BBC" w:rsidP="00277E4E">
      <w:pPr>
        <w:spacing w:line="276" w:lineRule="auto"/>
        <w:ind w:firstLine="567"/>
        <w:jc w:val="both"/>
      </w:pPr>
    </w:p>
    <w:p w14:paraId="19AFEF33" w14:textId="37E41412" w:rsidR="006B7BBC" w:rsidRPr="00277E4E" w:rsidRDefault="006B7BBC" w:rsidP="00277E4E">
      <w:pPr>
        <w:spacing w:line="276" w:lineRule="auto"/>
        <w:ind w:firstLine="567"/>
        <w:jc w:val="both"/>
      </w:pPr>
      <w:r w:rsidRPr="00277E4E">
        <w:t>Tiesa šādā sastāvā: senator</w:t>
      </w:r>
      <w:r w:rsidR="007D5322" w:rsidRPr="00277E4E">
        <w:t>es</w:t>
      </w:r>
      <w:r w:rsidR="00661575" w:rsidRPr="00277E4E">
        <w:t xml:space="preserve"> Diāna Makarova</w:t>
      </w:r>
      <w:r w:rsidR="007D5322" w:rsidRPr="00277E4E">
        <w:t>, Veronika Krūmiņa</w:t>
      </w:r>
      <w:r w:rsidR="00661575" w:rsidRPr="00277E4E">
        <w:t>, Rudīte Vīduša</w:t>
      </w:r>
    </w:p>
    <w:p w14:paraId="3049557F" w14:textId="77777777" w:rsidR="003047F5" w:rsidRPr="00277E4E" w:rsidRDefault="003047F5" w:rsidP="00277E4E">
      <w:pPr>
        <w:spacing w:line="276" w:lineRule="auto"/>
        <w:ind w:firstLine="567"/>
        <w:jc w:val="both"/>
      </w:pPr>
    </w:p>
    <w:p w14:paraId="45FEDFF2" w14:textId="46315B55" w:rsidR="003047F5" w:rsidRPr="00277E4E" w:rsidRDefault="00941626" w:rsidP="00277E4E">
      <w:pPr>
        <w:spacing w:line="276" w:lineRule="auto"/>
        <w:ind w:firstLine="567"/>
        <w:jc w:val="both"/>
      </w:pPr>
      <w:r w:rsidRPr="00277E4E">
        <w:t>rakstveida procesā izskatīja administratīvo lietu, k</w:t>
      </w:r>
      <w:r w:rsidR="007D5322" w:rsidRPr="00277E4E">
        <w:t>as ierosināta, pamatojoties uz SIA „</w:t>
      </w:r>
      <w:r w:rsidR="00E63D3E" w:rsidRPr="00277E4E">
        <w:t>PRIORITY</w:t>
      </w:r>
      <w:r w:rsidR="007D5322" w:rsidRPr="00277E4E">
        <w:t xml:space="preserve">” pieteikumu par Valsts ieņēmumu dienesta </w:t>
      </w:r>
      <w:proofErr w:type="gramStart"/>
      <w:r w:rsidR="007D5322" w:rsidRPr="00277E4E">
        <w:t>201</w:t>
      </w:r>
      <w:r w:rsidR="00E63D3E" w:rsidRPr="00277E4E">
        <w:t>3</w:t>
      </w:r>
      <w:r w:rsidR="007D5322" w:rsidRPr="00277E4E">
        <w:t>.gada</w:t>
      </w:r>
      <w:proofErr w:type="gramEnd"/>
      <w:r w:rsidR="007D5322" w:rsidRPr="00277E4E">
        <w:t xml:space="preserve"> </w:t>
      </w:r>
      <w:r w:rsidR="00E63D3E" w:rsidRPr="00277E4E">
        <w:t>17</w:t>
      </w:r>
      <w:r w:rsidR="00661575" w:rsidRPr="00277E4E">
        <w:t>.</w:t>
      </w:r>
      <w:r w:rsidR="00E63D3E" w:rsidRPr="00277E4E">
        <w:t>oktobra</w:t>
      </w:r>
      <w:r w:rsidR="00661575" w:rsidRPr="00277E4E">
        <w:t xml:space="preserve"> lēmuma </w:t>
      </w:r>
      <w:r w:rsidR="00994B00" w:rsidRPr="00277E4E">
        <w:t>Nr. 22.</w:t>
      </w:r>
      <w:r w:rsidR="00E63D3E" w:rsidRPr="00277E4E">
        <w:t>7</w:t>
      </w:r>
      <w:r w:rsidR="00994B00" w:rsidRPr="00277E4E">
        <w:t>/</w:t>
      </w:r>
      <w:r w:rsidR="00661575" w:rsidRPr="00277E4E">
        <w:t>L-</w:t>
      </w:r>
      <w:r w:rsidR="00E63D3E" w:rsidRPr="00277E4E">
        <w:t>25785</w:t>
      </w:r>
      <w:r w:rsidR="00994B00" w:rsidRPr="00277E4E">
        <w:t xml:space="preserve"> atcelšanu</w:t>
      </w:r>
      <w:r w:rsidRPr="00277E4E">
        <w:t>, s</w:t>
      </w:r>
      <w:r w:rsidR="008570F8" w:rsidRPr="00277E4E">
        <w:t>a</w:t>
      </w:r>
      <w:r w:rsidRPr="00277E4E">
        <w:t xml:space="preserve">karā ar </w:t>
      </w:r>
      <w:r w:rsidR="007D5322" w:rsidRPr="00277E4E">
        <w:t>SIA „</w:t>
      </w:r>
      <w:r w:rsidR="00E63D3E" w:rsidRPr="00277E4E">
        <w:t>PRIORITY</w:t>
      </w:r>
      <w:r w:rsidR="00661575" w:rsidRPr="00277E4E">
        <w:t>”</w:t>
      </w:r>
      <w:r w:rsidRPr="00277E4E">
        <w:t xml:space="preserve"> kasācijas sūdzību par </w:t>
      </w:r>
      <w:r w:rsidR="007D5322" w:rsidRPr="00277E4E">
        <w:t>Administratīvās apgabaltiesas 201</w:t>
      </w:r>
      <w:r w:rsidR="00661575" w:rsidRPr="00277E4E">
        <w:t>7</w:t>
      </w:r>
      <w:r w:rsidR="007D5322" w:rsidRPr="00277E4E">
        <w:t xml:space="preserve">.gada </w:t>
      </w:r>
      <w:r w:rsidR="00E63D3E" w:rsidRPr="00277E4E">
        <w:t>7.jūlija</w:t>
      </w:r>
      <w:r w:rsidRPr="00277E4E">
        <w:t xml:space="preserve"> spriedumu.</w:t>
      </w:r>
    </w:p>
    <w:p w14:paraId="5DE22EF3" w14:textId="77777777" w:rsidR="00A6596A" w:rsidRPr="00277E4E" w:rsidRDefault="00A6596A" w:rsidP="00277E4E">
      <w:pPr>
        <w:spacing w:line="276" w:lineRule="auto"/>
        <w:ind w:firstLine="567"/>
        <w:jc w:val="both"/>
      </w:pPr>
    </w:p>
    <w:p w14:paraId="49301551" w14:textId="77777777" w:rsidR="003047F5" w:rsidRPr="00277E4E" w:rsidRDefault="003047F5" w:rsidP="00277E4E">
      <w:pPr>
        <w:pStyle w:val="ATpamattesksts"/>
        <w:ind w:firstLine="0"/>
        <w:jc w:val="center"/>
      </w:pPr>
      <w:r w:rsidRPr="00277E4E">
        <w:rPr>
          <w:b/>
        </w:rPr>
        <w:t>Aprakstošā</w:t>
      </w:r>
      <w:r w:rsidRPr="00277E4E">
        <w:t xml:space="preserve"> </w:t>
      </w:r>
      <w:r w:rsidRPr="00277E4E">
        <w:rPr>
          <w:b/>
        </w:rPr>
        <w:t>daļa</w:t>
      </w:r>
    </w:p>
    <w:p w14:paraId="54AE93A0" w14:textId="77777777" w:rsidR="003047F5" w:rsidRPr="00277E4E" w:rsidRDefault="003047F5" w:rsidP="00277E4E">
      <w:pPr>
        <w:spacing w:line="276" w:lineRule="auto"/>
        <w:ind w:firstLine="567"/>
        <w:jc w:val="both"/>
      </w:pPr>
    </w:p>
    <w:p w14:paraId="060EBE52" w14:textId="74890AF6" w:rsidR="00661575" w:rsidRPr="00277E4E" w:rsidRDefault="003047F5" w:rsidP="00277E4E">
      <w:pPr>
        <w:spacing w:line="276" w:lineRule="auto"/>
        <w:ind w:firstLine="567"/>
        <w:jc w:val="both"/>
      </w:pPr>
      <w:r w:rsidRPr="00277E4E">
        <w:t>[1] </w:t>
      </w:r>
      <w:r w:rsidR="000C4697" w:rsidRPr="00277E4E">
        <w:t>Pieteicēja SIA </w:t>
      </w:r>
      <w:bookmarkStart w:id="0" w:name="_Hlk51164646"/>
      <w:r w:rsidR="000C4697" w:rsidRPr="00277E4E">
        <w:t>„</w:t>
      </w:r>
      <w:bookmarkEnd w:id="0"/>
      <w:r w:rsidR="00E63D3E" w:rsidRPr="00277E4E">
        <w:t>PRIORITY</w:t>
      </w:r>
      <w:r w:rsidR="000C4697" w:rsidRPr="00277E4E">
        <w:t>”</w:t>
      </w:r>
      <w:r w:rsidR="00661575" w:rsidRPr="00277E4E">
        <w:t xml:space="preserve"> deklarēja darījumus ar SIA „</w:t>
      </w:r>
      <w:r w:rsidR="00E63D3E" w:rsidRPr="00277E4E">
        <w:t>MORANDO</w:t>
      </w:r>
      <w:r w:rsidR="00661575" w:rsidRPr="00277E4E">
        <w:t>”</w:t>
      </w:r>
      <w:r w:rsidR="00E63D3E" w:rsidRPr="00277E4E">
        <w:t>, SIA „IV SANTEX”, SIA „ROBAX”, SIA „TPT BALTIC”</w:t>
      </w:r>
      <w:r w:rsidR="00661575" w:rsidRPr="00277E4E">
        <w:t xml:space="preserve"> un SIA „M</w:t>
      </w:r>
      <w:r w:rsidR="00E63D3E" w:rsidRPr="00277E4E">
        <w:t>IDCOM</w:t>
      </w:r>
      <w:r w:rsidR="00661575" w:rsidRPr="00277E4E">
        <w:t xml:space="preserve">” par </w:t>
      </w:r>
      <w:r w:rsidR="00E63D3E" w:rsidRPr="00277E4E">
        <w:t>dažādu preču un pakalpojumu saņemšanu</w:t>
      </w:r>
      <w:r w:rsidR="0019247B" w:rsidRPr="00277E4E">
        <w:t xml:space="preserve">. </w:t>
      </w:r>
      <w:r w:rsidR="00661575" w:rsidRPr="00277E4E">
        <w:t>Valsts ieņēmumu dienests veica pieteicējas auditu un secināja, ka</w:t>
      </w:r>
      <w:r w:rsidR="009E4D70" w:rsidRPr="00277E4E">
        <w:t xml:space="preserve"> preces un</w:t>
      </w:r>
      <w:r w:rsidR="00661575" w:rsidRPr="00277E4E">
        <w:t xml:space="preserve"> pakalpojumi faktiski netika saņemti</w:t>
      </w:r>
      <w:r w:rsidR="0000026E" w:rsidRPr="00277E4E">
        <w:t xml:space="preserve"> no minētajiem uzņēmumiem</w:t>
      </w:r>
      <w:r w:rsidR="00661575" w:rsidRPr="00277E4E">
        <w:t xml:space="preserve"> un pieteicēja nevarēja nezināt par darījumu fiktīvo raksturu. Tāpēc ar dienesta </w:t>
      </w:r>
      <w:proofErr w:type="gramStart"/>
      <w:r w:rsidR="00661575" w:rsidRPr="00277E4E">
        <w:t>201</w:t>
      </w:r>
      <w:r w:rsidR="00E63D3E" w:rsidRPr="00277E4E">
        <w:t>3</w:t>
      </w:r>
      <w:r w:rsidR="00661575" w:rsidRPr="00277E4E">
        <w:t>.gada</w:t>
      </w:r>
      <w:proofErr w:type="gramEnd"/>
      <w:r w:rsidR="00661575" w:rsidRPr="00277E4E">
        <w:t xml:space="preserve"> </w:t>
      </w:r>
      <w:r w:rsidR="00E63D3E" w:rsidRPr="00277E4E">
        <w:t xml:space="preserve">17.oktobra </w:t>
      </w:r>
      <w:r w:rsidR="00661575" w:rsidRPr="00277E4E">
        <w:t xml:space="preserve">lēmumu pieteicējai </w:t>
      </w:r>
      <w:r w:rsidR="009E4D70" w:rsidRPr="00277E4E">
        <w:t xml:space="preserve">samazināts no budžeta atmaksājamais pievienotās vērtības nodoklis, </w:t>
      </w:r>
      <w:r w:rsidR="00661575" w:rsidRPr="00277E4E">
        <w:t>papildus samaksai budžetā noteikts pievienotās vērtības nodoklis un uzņēmumu ienākuma nodoklis un saistībā ar šiem nodokļiem aprēķināta nokavējuma un soda nauda.</w:t>
      </w:r>
    </w:p>
    <w:p w14:paraId="0E21FE6C" w14:textId="77777777" w:rsidR="00661575" w:rsidRPr="00277E4E" w:rsidRDefault="00661575" w:rsidP="00277E4E">
      <w:pPr>
        <w:spacing w:line="276" w:lineRule="auto"/>
        <w:ind w:firstLine="567"/>
        <w:jc w:val="both"/>
      </w:pPr>
    </w:p>
    <w:p w14:paraId="793D09E2" w14:textId="178891CF" w:rsidR="00661575" w:rsidRPr="00277E4E" w:rsidRDefault="00661575" w:rsidP="00277E4E">
      <w:pPr>
        <w:spacing w:line="276" w:lineRule="auto"/>
        <w:ind w:firstLine="567"/>
        <w:jc w:val="both"/>
      </w:pPr>
      <w:r w:rsidRPr="00277E4E">
        <w:t>[</w:t>
      </w:r>
      <w:r w:rsidR="007518B8" w:rsidRPr="00277E4E">
        <w:t>2</w:t>
      </w:r>
      <w:r w:rsidRPr="00277E4E">
        <w:t>]</w:t>
      </w:r>
      <w:r w:rsidR="007518B8" w:rsidRPr="00277E4E">
        <w:t> </w:t>
      </w:r>
      <w:r w:rsidRPr="00277E4E">
        <w:t xml:space="preserve">Pieteicēja Valsts ieņēmumu dienesta lēmumu pārsūdzēja administratīvajā tiesā. Izskatījusi lietu apelācijas kārtībā, Administratīvā apgabaltiesa ar </w:t>
      </w:r>
      <w:proofErr w:type="gramStart"/>
      <w:r w:rsidRPr="00277E4E">
        <w:t>2017.gada</w:t>
      </w:r>
      <w:proofErr w:type="gramEnd"/>
      <w:r w:rsidRPr="00277E4E">
        <w:t xml:space="preserve"> </w:t>
      </w:r>
      <w:r w:rsidR="00E63D3E" w:rsidRPr="00277E4E">
        <w:t xml:space="preserve">7.jūlija </w:t>
      </w:r>
      <w:r w:rsidRPr="00277E4E">
        <w:t>spriedumu pieteikumu noraidīja. Spriedums</w:t>
      </w:r>
      <w:r w:rsidR="00E63D3E" w:rsidRPr="00277E4E">
        <w:t>, ievērojot pievienošanos pirmās instances tiesas argumentācijai,</w:t>
      </w:r>
      <w:r w:rsidRPr="00277E4E">
        <w:t xml:space="preserve"> pamatots ar turpmāk minētajiem apsvērumiem.</w:t>
      </w:r>
    </w:p>
    <w:p w14:paraId="269C3F66" w14:textId="23E139F9" w:rsidR="00F93530" w:rsidRPr="00277E4E" w:rsidRDefault="00661575" w:rsidP="00277E4E">
      <w:pPr>
        <w:spacing w:line="276" w:lineRule="auto"/>
        <w:ind w:firstLine="567"/>
        <w:jc w:val="both"/>
      </w:pPr>
      <w:r w:rsidRPr="00277E4E">
        <w:t>[</w:t>
      </w:r>
      <w:r w:rsidR="007518B8" w:rsidRPr="00277E4E">
        <w:t>2.1</w:t>
      </w:r>
      <w:r w:rsidRPr="00277E4E">
        <w:t>]</w:t>
      </w:r>
      <w:r w:rsidR="007518B8" w:rsidRPr="00277E4E">
        <w:t> </w:t>
      </w:r>
      <w:r w:rsidR="00AF2B27" w:rsidRPr="00277E4E">
        <w:t xml:space="preserve">Atbilstoši lietā esošajam </w:t>
      </w:r>
      <w:r w:rsidR="00D02754" w:rsidRPr="00277E4E">
        <w:t>līgum</w:t>
      </w:r>
      <w:r w:rsidR="00AF2B27" w:rsidRPr="00277E4E">
        <w:t>am</w:t>
      </w:r>
      <w:r w:rsidR="00D02754" w:rsidRPr="00277E4E">
        <w:t>, tām</w:t>
      </w:r>
      <w:r w:rsidR="00AF2B27" w:rsidRPr="00277E4E">
        <w:t>e</w:t>
      </w:r>
      <w:r w:rsidR="00D02754" w:rsidRPr="00277E4E">
        <w:t>i, pieņemšanas un nodošanas akt</w:t>
      </w:r>
      <w:r w:rsidR="00AF2B27" w:rsidRPr="00277E4E">
        <w:t>am</w:t>
      </w:r>
      <w:r w:rsidR="00D02754" w:rsidRPr="00277E4E">
        <w:t xml:space="preserve"> un rēķin</w:t>
      </w:r>
      <w:r w:rsidR="00AF2B27" w:rsidRPr="00277E4E">
        <w:t>am</w:t>
      </w:r>
      <w:r w:rsidR="006435D1" w:rsidRPr="00277E4E">
        <w:t xml:space="preserve"> </w:t>
      </w:r>
      <w:r w:rsidRPr="00277E4E">
        <w:t>SIA </w:t>
      </w:r>
      <w:r w:rsidR="008D5EA3" w:rsidRPr="00277E4E">
        <w:t>„</w:t>
      </w:r>
      <w:r w:rsidR="00D02754" w:rsidRPr="00277E4E">
        <w:t>MORANDO</w:t>
      </w:r>
      <w:r w:rsidRPr="00277E4E">
        <w:t>”</w:t>
      </w:r>
      <w:r w:rsidR="00D02754" w:rsidRPr="00277E4E">
        <w:t xml:space="preserve"> pieteicējai snie</w:t>
      </w:r>
      <w:r w:rsidR="00EB3E0C" w:rsidRPr="00277E4E">
        <w:t>dza</w:t>
      </w:r>
      <w:r w:rsidR="00D02754" w:rsidRPr="00277E4E">
        <w:t xml:space="preserve"> uzkopšanas un tīrīšanas </w:t>
      </w:r>
      <w:r w:rsidR="008F20B6" w:rsidRPr="00277E4E">
        <w:t>pakalpojumus</w:t>
      </w:r>
      <w:r w:rsidR="002F6757" w:rsidRPr="00277E4E">
        <w:t xml:space="preserve"> Jūrmalā, Dzintar</w:t>
      </w:r>
      <w:r w:rsidR="001B252A" w:rsidRPr="00277E4E">
        <w:t>a</w:t>
      </w:r>
      <w:r w:rsidR="002F6757" w:rsidRPr="00277E4E">
        <w:t xml:space="preserve"> liedagā</w:t>
      </w:r>
      <w:r w:rsidR="00D02754" w:rsidRPr="00277E4E">
        <w:t xml:space="preserve">. SIA „MORANDO” </w:t>
      </w:r>
      <w:r w:rsidR="00F93530" w:rsidRPr="00277E4E">
        <w:t xml:space="preserve">vienīgā </w:t>
      </w:r>
      <w:r w:rsidR="00D02754" w:rsidRPr="00277E4E">
        <w:t xml:space="preserve">amatpersona, kas ir parakstījusi minētos </w:t>
      </w:r>
      <w:r w:rsidR="00D02754" w:rsidRPr="00277E4E">
        <w:lastRenderedPageBreak/>
        <w:t>dokumentus, gan Valsts ieņēmumu dienestam, gan tiesai sniegtajās liecībās no</w:t>
      </w:r>
      <w:r w:rsidR="00817DEE" w:rsidRPr="00277E4E">
        <w:t xml:space="preserve">rādīja, ka saimniecisko darbību šā uzņēmuma vārdā neveica, dokumentus neparakstīja, pieteicēju nezina un nekādus darījumus ar pieteicēju neveica. </w:t>
      </w:r>
      <w:r w:rsidR="0029008E" w:rsidRPr="00277E4E">
        <w:t xml:space="preserve">Atbilstoši tiesu praksē atzītajam, ja uzņēmuma amatpersona noliedz, ka būtu veikusi reālu uzņēmējdarbību, nav iespējams, ka uzņēmums veic tiesisku saimniecisko darbību savā vārdā. </w:t>
      </w:r>
      <w:r w:rsidR="00F93530" w:rsidRPr="00277E4E">
        <w:t>Šis apstāklis kopsakarā ar</w:t>
      </w:r>
      <w:r w:rsidR="0029008E" w:rsidRPr="00277E4E">
        <w:t xml:space="preserve"> SIA „MORANDO” </w:t>
      </w:r>
      <w:r w:rsidR="00F93530" w:rsidRPr="00277E4E">
        <w:t xml:space="preserve">raksturojošo informāciju, no kuras izriet, ka </w:t>
      </w:r>
      <w:r w:rsidR="00780C75" w:rsidRPr="00277E4E">
        <w:t>SIA „MORANDO”</w:t>
      </w:r>
      <w:r w:rsidR="00F93530" w:rsidRPr="00277E4E">
        <w:t xml:space="preserve"> nebija mater</w:t>
      </w:r>
      <w:r w:rsidR="0029008E" w:rsidRPr="00277E4E">
        <w:t>iāltehniskās bāzes un darbaspēka nodrošinājuma</w:t>
      </w:r>
      <w:r w:rsidR="00F93530" w:rsidRPr="00277E4E">
        <w:t xml:space="preserve">, apliecina </w:t>
      </w:r>
      <w:r w:rsidR="00780C75" w:rsidRPr="00277E4E">
        <w:t xml:space="preserve">šā uzņēmuma </w:t>
      </w:r>
      <w:r w:rsidR="00F93530" w:rsidRPr="00277E4E">
        <w:t>nespēju veikt saimniecisko darbību. Turklāt SIA „MORANDO”</w:t>
      </w:r>
      <w:r w:rsidR="0029008E" w:rsidRPr="00277E4E">
        <w:t xml:space="preserve"> nav deklarēj</w:t>
      </w:r>
      <w:r w:rsidR="00F93530" w:rsidRPr="00277E4E">
        <w:t>usi</w:t>
      </w:r>
      <w:r w:rsidR="0029008E" w:rsidRPr="00277E4E">
        <w:t xml:space="preserve"> </w:t>
      </w:r>
      <w:r w:rsidR="00F80735" w:rsidRPr="00277E4E">
        <w:t xml:space="preserve">jebkādus saimnieciskās darbības rādītājus, tostarp izmaksas, kas liecinātu par pakalpojumu pirkšanu no citiem uzņēmumiem. </w:t>
      </w:r>
      <w:r w:rsidR="00F93530" w:rsidRPr="00277E4E">
        <w:t>Arī pieteicējas amatpersona nespēja s</w:t>
      </w:r>
      <w:r w:rsidR="00F80735" w:rsidRPr="00277E4E">
        <w:t>aprotami</w:t>
      </w:r>
      <w:r w:rsidR="00F93530" w:rsidRPr="00277E4E">
        <w:t xml:space="preserve"> paskaidrot, kas veica strīdus darbus, cik </w:t>
      </w:r>
      <w:r w:rsidR="00F80735" w:rsidRPr="00277E4E">
        <w:t>d</w:t>
      </w:r>
      <w:r w:rsidR="00780C75" w:rsidRPr="00277E4E">
        <w:t>arbiniek</w:t>
      </w:r>
      <w:r w:rsidR="00F80735" w:rsidRPr="00277E4E">
        <w:t>i</w:t>
      </w:r>
      <w:r w:rsidR="00780C75" w:rsidRPr="00277E4E">
        <w:t xml:space="preserve"> t</w:t>
      </w:r>
      <w:r w:rsidR="00F93530" w:rsidRPr="00277E4E">
        <w:t>ik</w:t>
      </w:r>
      <w:r w:rsidR="00780C75" w:rsidRPr="00277E4E">
        <w:t xml:space="preserve">a </w:t>
      </w:r>
      <w:r w:rsidR="00F93530" w:rsidRPr="00277E4E">
        <w:t>nod</w:t>
      </w:r>
      <w:r w:rsidR="00780C75" w:rsidRPr="00277E4E">
        <w:t>a</w:t>
      </w:r>
      <w:r w:rsidR="00F93530" w:rsidRPr="00277E4E">
        <w:t>r</w:t>
      </w:r>
      <w:r w:rsidR="00780C75" w:rsidRPr="00277E4E">
        <w:t>bināti</w:t>
      </w:r>
      <w:r w:rsidR="00F93530" w:rsidRPr="00277E4E">
        <w:t xml:space="preserve"> šo darbu izpildei, kā pieteicēja pārliecinājās par darījum</w:t>
      </w:r>
      <w:r w:rsidR="00E171FC" w:rsidRPr="00277E4E">
        <w:t>u</w:t>
      </w:r>
      <w:r w:rsidR="00F93530" w:rsidRPr="00277E4E">
        <w:t xml:space="preserve"> partnera spēju veikt strīdus dar</w:t>
      </w:r>
      <w:r w:rsidR="00860235" w:rsidRPr="00277E4E">
        <w:t>ījumus</w:t>
      </w:r>
      <w:r w:rsidR="00F93530" w:rsidRPr="00277E4E">
        <w:t xml:space="preserve"> un </w:t>
      </w:r>
      <w:r w:rsidR="00780C75" w:rsidRPr="00277E4E">
        <w:t xml:space="preserve">kā </w:t>
      </w:r>
      <w:r w:rsidR="00F93530" w:rsidRPr="00277E4E">
        <w:t>pārbaudīja darījuma norisi. Šādu apstākļu kopum</w:t>
      </w:r>
      <w:r w:rsidR="00144CB6" w:rsidRPr="00277E4E">
        <w:t>s</w:t>
      </w:r>
      <w:r w:rsidR="00F93530" w:rsidRPr="00277E4E">
        <w:t xml:space="preserve"> ir pamats secinājumam, ka pieteicēja strīdus pakalpojumus nav saņēmusi n</w:t>
      </w:r>
      <w:r w:rsidR="00860235" w:rsidRPr="00277E4E">
        <w:t>o</w:t>
      </w:r>
      <w:r w:rsidR="00F93530" w:rsidRPr="00277E4E">
        <w:t xml:space="preserve"> SIA „MORANDO”. </w:t>
      </w:r>
    </w:p>
    <w:p w14:paraId="13F61B11" w14:textId="579B1E78" w:rsidR="006435D1" w:rsidRPr="00277E4E" w:rsidRDefault="00F93530" w:rsidP="00277E4E">
      <w:pPr>
        <w:spacing w:line="276" w:lineRule="auto"/>
        <w:ind w:firstLine="567"/>
        <w:jc w:val="both"/>
      </w:pPr>
      <w:r w:rsidRPr="00277E4E">
        <w:t xml:space="preserve">Vienlaikus ir ņemams vērā, ka </w:t>
      </w:r>
      <w:r w:rsidR="00EB3E0C" w:rsidRPr="00277E4E">
        <w:t xml:space="preserve">SIA „MORANDO” </w:t>
      </w:r>
      <w:r w:rsidR="00817DEE" w:rsidRPr="00277E4E">
        <w:t>amatpersona</w:t>
      </w:r>
      <w:r w:rsidRPr="00277E4E">
        <w:t xml:space="preserve"> tiesas sēdē norādīja, ka </w:t>
      </w:r>
      <w:r w:rsidR="00D02754" w:rsidRPr="00277E4E">
        <w:t xml:space="preserve">neatceras </w:t>
      </w:r>
      <w:r w:rsidR="001A17DE" w:rsidRPr="00277E4E">
        <w:t>paskaidrojumu</w:t>
      </w:r>
      <w:r w:rsidR="00D02754" w:rsidRPr="00277E4E">
        <w:t xml:space="preserve"> sniegšanas faktu dienestam</w:t>
      </w:r>
      <w:r w:rsidR="00EB3E0C" w:rsidRPr="00277E4E">
        <w:t>. T</w:t>
      </w:r>
      <w:r w:rsidRPr="00277E4E">
        <w:t>aču t</w:t>
      </w:r>
      <w:r w:rsidR="00EB3E0C" w:rsidRPr="00277E4E">
        <w:t xml:space="preserve">am </w:t>
      </w:r>
      <w:r w:rsidR="00D02754" w:rsidRPr="00277E4E">
        <w:t>nav piešķirama ticamība</w:t>
      </w:r>
      <w:r w:rsidR="00EB3E0C" w:rsidRPr="00277E4E">
        <w:t>, un tas arī</w:t>
      </w:r>
      <w:r w:rsidR="00D02754" w:rsidRPr="00277E4E">
        <w:t xml:space="preserve"> nav izšķiroši, jo </w:t>
      </w:r>
      <w:r w:rsidR="00780C75" w:rsidRPr="00277E4E">
        <w:t xml:space="preserve">arī </w:t>
      </w:r>
      <w:r w:rsidR="00EB3E0C" w:rsidRPr="00277E4E">
        <w:t>tiesas sēdē liecinieks skaidri norādīja, ka strīdus darbus neveica</w:t>
      </w:r>
      <w:r w:rsidRPr="00277E4E">
        <w:t>, dokumentus neparakstīja</w:t>
      </w:r>
      <w:r w:rsidR="00EB3E0C" w:rsidRPr="00277E4E">
        <w:t xml:space="preserve"> un</w:t>
      </w:r>
      <w:r w:rsidRPr="00277E4E">
        <w:t xml:space="preserve"> par</w:t>
      </w:r>
      <w:r w:rsidR="00EB3E0C" w:rsidRPr="00277E4E">
        <w:t xml:space="preserve"> SIA „MORANDO” </w:t>
      </w:r>
      <w:r w:rsidRPr="00277E4E">
        <w:t xml:space="preserve">saimniecisko darbību neko nezina. </w:t>
      </w:r>
    </w:p>
    <w:p w14:paraId="62506A1F" w14:textId="58E3725B" w:rsidR="003C5933" w:rsidRPr="00277E4E" w:rsidRDefault="00F25BFF" w:rsidP="00277E4E">
      <w:pPr>
        <w:spacing w:line="276" w:lineRule="auto"/>
        <w:ind w:firstLine="567"/>
        <w:jc w:val="both"/>
      </w:pPr>
      <w:r w:rsidRPr="00277E4E">
        <w:t>[</w:t>
      </w:r>
      <w:r w:rsidR="00C94446" w:rsidRPr="00277E4E">
        <w:t>2.2</w:t>
      </w:r>
      <w:r w:rsidRPr="00277E4E">
        <w:t>] No līgumiem, tāmēm, pieņemšanas un nodošanas aktiem un rēķiniem izriet, ka SIA „ROBAX” pieteicējai snie</w:t>
      </w:r>
      <w:r w:rsidR="006435D1" w:rsidRPr="00277E4E">
        <w:t>dza</w:t>
      </w:r>
      <w:r w:rsidR="00076B47" w:rsidRPr="00277E4E">
        <w:t xml:space="preserve"> </w:t>
      </w:r>
      <w:r w:rsidRPr="00277E4E">
        <w:t xml:space="preserve">reklāmas un mārketinga pakalpojumus un telpu uzkopšanas </w:t>
      </w:r>
      <w:r w:rsidR="008F20B6" w:rsidRPr="00277E4E">
        <w:t>pakalpojumus</w:t>
      </w:r>
      <w:r w:rsidRPr="00277E4E">
        <w:t xml:space="preserve"> atpūtas kompleksā Jūrmalā un Dzintaru koncertzālē. </w:t>
      </w:r>
      <w:r w:rsidR="002F6757" w:rsidRPr="00277E4E">
        <w:t xml:space="preserve">SIA „ROBAX” </w:t>
      </w:r>
      <w:r w:rsidRPr="00277E4E">
        <w:t xml:space="preserve">amatpersona </w:t>
      </w:r>
      <w:r w:rsidR="002F6757" w:rsidRPr="00277E4E">
        <w:t>Valsts ieņēmumu dienestam sniegtajos paskaidrojumos norādīj</w:t>
      </w:r>
      <w:r w:rsidR="006435D1" w:rsidRPr="00277E4E">
        <w:t>a</w:t>
      </w:r>
      <w:r w:rsidR="002F6757" w:rsidRPr="00277E4E">
        <w:t>, ka ši</w:t>
      </w:r>
      <w:r w:rsidR="006435D1" w:rsidRPr="00277E4E">
        <w:t>s</w:t>
      </w:r>
      <w:r w:rsidR="002F6757" w:rsidRPr="00277E4E">
        <w:t xml:space="preserve"> uzņēmums pildīj</w:t>
      </w:r>
      <w:r w:rsidR="006435D1" w:rsidRPr="00277E4E">
        <w:t>a</w:t>
      </w:r>
      <w:r w:rsidR="002F6757" w:rsidRPr="00277E4E">
        <w:t xml:space="preserve"> tikai starpnieka </w:t>
      </w:r>
      <w:r w:rsidR="001B252A" w:rsidRPr="00277E4E">
        <w:t>funkcijas</w:t>
      </w:r>
      <w:r w:rsidR="002F6757" w:rsidRPr="00277E4E">
        <w:t xml:space="preserve">. Kriminālprocesā sniegtajās liecībās minētā uzņēmuma amatpersona </w:t>
      </w:r>
      <w:r w:rsidR="00780C75" w:rsidRPr="00277E4E">
        <w:t>norādīja</w:t>
      </w:r>
      <w:r w:rsidR="002F6757" w:rsidRPr="00277E4E">
        <w:t xml:space="preserve"> cita satura liecības</w:t>
      </w:r>
      <w:r w:rsidR="006435D1" w:rsidRPr="00277E4E">
        <w:t>, kura</w:t>
      </w:r>
      <w:r w:rsidR="00780C75" w:rsidRPr="00277E4E">
        <w:t>s</w:t>
      </w:r>
      <w:r w:rsidR="006435D1" w:rsidRPr="00277E4E">
        <w:t xml:space="preserve"> tiesa atklāt nedrīkst</w:t>
      </w:r>
      <w:r w:rsidR="00780C75" w:rsidRPr="00277E4E">
        <w:t>, jo tās ir izmeklēšanas noslēpums</w:t>
      </w:r>
      <w:r w:rsidR="002F6757" w:rsidRPr="00277E4E">
        <w:t>. Taču jebkurā gadījumā no lietā esošajiem pierādījumiem izriet, ka SIA „ROBAX” pati nevarēja veikt strīdus darījumus</w:t>
      </w:r>
      <w:r w:rsidR="00780C75" w:rsidRPr="00277E4E">
        <w:t>, jo tai nebija resursu attiecīgo darbu izpildei</w:t>
      </w:r>
      <w:r w:rsidR="002F6757" w:rsidRPr="00277E4E">
        <w:t xml:space="preserve">. </w:t>
      </w:r>
      <w:r w:rsidR="00110C97" w:rsidRPr="00277E4E">
        <w:t>To</w:t>
      </w:r>
      <w:r w:rsidR="00780C75" w:rsidRPr="00277E4E">
        <w:t xml:space="preserve"> </w:t>
      </w:r>
      <w:r w:rsidR="002F6757" w:rsidRPr="00277E4E">
        <w:t xml:space="preserve">nevarēja paveikt arī </w:t>
      </w:r>
      <w:r w:rsidR="00110C97" w:rsidRPr="00277E4E">
        <w:t xml:space="preserve">tālākie darījumu ķēdes dalībnieki, proti, </w:t>
      </w:r>
      <w:r w:rsidR="002F6757" w:rsidRPr="00277E4E">
        <w:t>SIA „ABERRIA” un SIA „SAFE</w:t>
      </w:r>
      <w:r w:rsidR="00076B47" w:rsidRPr="00277E4E">
        <w:t> </w:t>
      </w:r>
      <w:r w:rsidR="002F6757" w:rsidRPr="00277E4E">
        <w:t>DEAL”</w:t>
      </w:r>
      <w:r w:rsidR="00110C97" w:rsidRPr="00277E4E">
        <w:t>, jo to apstiprina gan šo uzņēmumu amatpersonu paskaidrojumi, gan tos raksturojošā informācija</w:t>
      </w:r>
      <w:r w:rsidR="002F6757" w:rsidRPr="00277E4E">
        <w:t>. Līdz ar to</w:t>
      </w:r>
      <w:r w:rsidR="003C5933" w:rsidRPr="00277E4E">
        <w:t xml:space="preserve"> arī šajā gadījumā nav iespējams konstatēt nevienu faktisko darbu izpildītāju</w:t>
      </w:r>
      <w:r w:rsidR="006435D1" w:rsidRPr="00277E4E">
        <w:t xml:space="preserve">. Tas kopsakarā ar pašas SIA „ROBAX” nespēju veikt saimniecisko darbību </w:t>
      </w:r>
      <w:r w:rsidR="00860235" w:rsidRPr="00277E4E">
        <w:t xml:space="preserve">un izpildīt strīdus darbus </w:t>
      </w:r>
      <w:r w:rsidR="006435D1" w:rsidRPr="00277E4E">
        <w:t>norāda, ka pieteicēja strīdus pakalpojumus nav saņēmusi no deklarētā darījumu partnera.</w:t>
      </w:r>
    </w:p>
    <w:p w14:paraId="07ABE0F4" w14:textId="07A67F9E" w:rsidR="00DE53E5" w:rsidRPr="00277E4E" w:rsidRDefault="003C5933" w:rsidP="00277E4E">
      <w:pPr>
        <w:spacing w:line="276" w:lineRule="auto"/>
        <w:ind w:firstLine="567"/>
        <w:jc w:val="both"/>
      </w:pPr>
      <w:r w:rsidRPr="00277E4E">
        <w:t>[</w:t>
      </w:r>
      <w:r w:rsidR="00C94446" w:rsidRPr="00277E4E">
        <w:t>2.3</w:t>
      </w:r>
      <w:r w:rsidRPr="00277E4E">
        <w:t xml:space="preserve">] SIA „IV SANTEX” atbilstoši darījumu dokumentiem </w:t>
      </w:r>
      <w:r w:rsidR="006435D1" w:rsidRPr="00277E4E">
        <w:t xml:space="preserve">pieteicējas uzdevumā </w:t>
      </w:r>
      <w:r w:rsidRPr="00277E4E">
        <w:t>apņēm</w:t>
      </w:r>
      <w:r w:rsidR="006435D1" w:rsidRPr="00277E4E">
        <w:t>ās</w:t>
      </w:r>
      <w:r w:rsidRPr="00277E4E">
        <w:t xml:space="preserve"> izstrādāt projektu, vizualizāciju, </w:t>
      </w:r>
      <w:r w:rsidR="00860235" w:rsidRPr="00277E4E">
        <w:t xml:space="preserve">tehniskā projekta </w:t>
      </w:r>
      <w:r w:rsidRPr="00277E4E">
        <w:t xml:space="preserve">3D sagatavošanas un </w:t>
      </w:r>
      <w:proofErr w:type="spellStart"/>
      <w:r w:rsidRPr="00277E4E">
        <w:t>printēšanas</w:t>
      </w:r>
      <w:proofErr w:type="spellEnd"/>
      <w:r w:rsidRPr="00277E4E">
        <w:t xml:space="preserve"> darbus, kā arī būvdarbus Dzintaru koncertzālē. SIA „IV SANTEX” amatpersona snie</w:t>
      </w:r>
      <w:r w:rsidR="006435D1" w:rsidRPr="00277E4E">
        <w:t>dza</w:t>
      </w:r>
      <w:r w:rsidRPr="00277E4E">
        <w:t xml:space="preserve"> vairākus paskaidrojumus un liecības. </w:t>
      </w:r>
      <w:r w:rsidR="001A17DE" w:rsidRPr="00277E4E">
        <w:t xml:space="preserve">Tie </w:t>
      </w:r>
      <w:r w:rsidRPr="00277E4E">
        <w:t>ir savstarpēji pretrunīgi. V</w:t>
      </w:r>
      <w:r w:rsidR="00DE53E5" w:rsidRPr="00277E4E">
        <w:t xml:space="preserve">alsts ieņēmumu dienestam sniegtajos paskaidrojumos SIA „IV SANTEX” </w:t>
      </w:r>
      <w:r w:rsidRPr="00277E4E">
        <w:t>amatpersona norādīj</w:t>
      </w:r>
      <w:r w:rsidR="006435D1" w:rsidRPr="00277E4E">
        <w:t>a</w:t>
      </w:r>
      <w:r w:rsidRPr="00277E4E">
        <w:t xml:space="preserve">, ka </w:t>
      </w:r>
      <w:r w:rsidR="00005475" w:rsidRPr="00277E4E">
        <w:t xml:space="preserve">saimniecisko darbību šā uzņēmuma vārdā neveica un </w:t>
      </w:r>
      <w:r w:rsidRPr="00277E4E">
        <w:t>vis</w:t>
      </w:r>
      <w:r w:rsidR="00005475" w:rsidRPr="00277E4E">
        <w:t>us</w:t>
      </w:r>
      <w:r w:rsidRPr="00277E4E">
        <w:t xml:space="preserve"> dokument</w:t>
      </w:r>
      <w:r w:rsidR="00005475" w:rsidRPr="00277E4E">
        <w:t>us</w:t>
      </w:r>
      <w:r w:rsidRPr="00277E4E">
        <w:t xml:space="preserve"> parakstī</w:t>
      </w:r>
      <w:r w:rsidR="00005475" w:rsidRPr="00277E4E">
        <w:t>ja</w:t>
      </w:r>
      <w:r w:rsidRPr="00277E4E">
        <w:t xml:space="preserve"> pēc trešās personas</w:t>
      </w:r>
      <w:r w:rsidR="00076B47" w:rsidRPr="00277E4E">
        <w:t xml:space="preserve"> lūguma</w:t>
      </w:r>
      <w:r w:rsidR="00005475" w:rsidRPr="00277E4E">
        <w:t>. S</w:t>
      </w:r>
      <w:r w:rsidR="00DE53E5" w:rsidRPr="00277E4E">
        <w:t xml:space="preserve">avukārt pēc pieteicējas lūguma sniegtajos paskaidrojumos minētā uzņēmuma amatpersona </w:t>
      </w:r>
      <w:r w:rsidR="00005475" w:rsidRPr="00277E4E">
        <w:t xml:space="preserve">norādīja, ka uzņēmums </w:t>
      </w:r>
      <w:r w:rsidR="008F20B6" w:rsidRPr="00277E4E">
        <w:t>bija starpnieks</w:t>
      </w:r>
      <w:r w:rsidR="00005475" w:rsidRPr="00277E4E">
        <w:t xml:space="preserve">, darbu izpildei piesaistot citus uzņēmumus. Arī </w:t>
      </w:r>
      <w:r w:rsidR="00DE53E5" w:rsidRPr="00277E4E">
        <w:t xml:space="preserve">tiesas sēdē </w:t>
      </w:r>
      <w:r w:rsidR="00005475" w:rsidRPr="00277E4E">
        <w:t xml:space="preserve">SIA „IV SANTEX” amatpersona </w:t>
      </w:r>
      <w:r w:rsidR="00110C97" w:rsidRPr="00277E4E">
        <w:t>sniedza</w:t>
      </w:r>
      <w:r w:rsidR="00005475" w:rsidRPr="00277E4E">
        <w:t xml:space="preserve"> šāda satura liecības. Novērtējot šīs liecības to savstarpējā kopsakarā, kā arī kopsakarā ar pārējiem lietā esošajiem pierādījumiem, lielāka ticamība ir piešķirama personas sākotnēji sniegtajam paskaidrojumam</w:t>
      </w:r>
      <w:r w:rsidR="00780C75" w:rsidRPr="00277E4E">
        <w:t>. T</w:t>
      </w:r>
      <w:r w:rsidR="00005475" w:rsidRPr="00277E4E">
        <w:t>ā var</w:t>
      </w:r>
      <w:r w:rsidR="00144CB6" w:rsidRPr="00277E4E">
        <w:t xml:space="preserve"> </w:t>
      </w:r>
      <w:r w:rsidR="00005475" w:rsidRPr="00277E4E">
        <w:t>būt, ka persona uztraukumā aizmirst kādas darījum</w:t>
      </w:r>
      <w:r w:rsidR="00860235" w:rsidRPr="00277E4E">
        <w:t>u</w:t>
      </w:r>
      <w:r w:rsidR="00005475" w:rsidRPr="00277E4E">
        <w:t xml:space="preserve"> detaļas, taču nav iespējams, ka persona </w:t>
      </w:r>
      <w:r w:rsidR="00DE53E5" w:rsidRPr="00277E4E">
        <w:t xml:space="preserve">vispār aizmirst par vairākiem desmitiem tūkstošu </w:t>
      </w:r>
      <w:proofErr w:type="spellStart"/>
      <w:r w:rsidR="00DE53E5" w:rsidRPr="00277E4E">
        <w:rPr>
          <w:i/>
          <w:iCs/>
        </w:rPr>
        <w:t>euro</w:t>
      </w:r>
      <w:proofErr w:type="spellEnd"/>
      <w:r w:rsidR="00DE53E5" w:rsidRPr="00277E4E">
        <w:t xml:space="preserve"> vērtiem darījumiem</w:t>
      </w:r>
      <w:r w:rsidR="00110C97" w:rsidRPr="00277E4E">
        <w:t xml:space="preserve">. Turklāt </w:t>
      </w:r>
      <w:r w:rsidR="00005475" w:rsidRPr="00277E4E">
        <w:t>no lietā esoš</w:t>
      </w:r>
      <w:r w:rsidR="001B252A" w:rsidRPr="00277E4E">
        <w:t>aj</w:t>
      </w:r>
      <w:r w:rsidR="00005475" w:rsidRPr="00277E4E">
        <w:t>iem pierādījumiem izriet</w:t>
      </w:r>
      <w:r w:rsidR="00110C97" w:rsidRPr="00277E4E">
        <w:t xml:space="preserve"> viennozīmīgs secinājums</w:t>
      </w:r>
      <w:r w:rsidR="00005475" w:rsidRPr="00277E4E">
        <w:t xml:space="preserve">, ka </w:t>
      </w:r>
      <w:r w:rsidR="00DE53E5" w:rsidRPr="00277E4E">
        <w:t xml:space="preserve">SIA „IV SANTEX” pati strīdus darbus </w:t>
      </w:r>
      <w:r w:rsidR="008F20B6" w:rsidRPr="00277E4E">
        <w:t>izpildīt</w:t>
      </w:r>
      <w:r w:rsidR="00DE53E5" w:rsidRPr="00277E4E">
        <w:t xml:space="preserve"> nevarēja</w:t>
      </w:r>
      <w:r w:rsidR="00005475" w:rsidRPr="00277E4E">
        <w:t xml:space="preserve">. </w:t>
      </w:r>
      <w:r w:rsidR="001B252A" w:rsidRPr="00277E4E">
        <w:t>P</w:t>
      </w:r>
      <w:r w:rsidR="00005475" w:rsidRPr="00277E4E">
        <w:t xml:space="preserve">ārbaudot SIA „IV SANTEX” deklarētos darījumu partnerus, proti, </w:t>
      </w:r>
      <w:r w:rsidRPr="00277E4E">
        <w:t>SIA „SERDEN” un SIA „SAPGRALS”</w:t>
      </w:r>
      <w:r w:rsidR="00005475" w:rsidRPr="00277E4E">
        <w:t>, konstatējams, ka arī tie</w:t>
      </w:r>
      <w:r w:rsidR="00076B47" w:rsidRPr="00277E4E">
        <w:t xml:space="preserve"> nevarēja veikt nepieciešamos </w:t>
      </w:r>
      <w:r w:rsidR="00076B47" w:rsidRPr="00277E4E">
        <w:lastRenderedPageBreak/>
        <w:t>darbus, kas ir pietiekami specifiski un prasa zināšanas un pieredzi.</w:t>
      </w:r>
      <w:r w:rsidR="00DE53E5" w:rsidRPr="00277E4E">
        <w:t xml:space="preserve"> Līdz ar to arī šajā gadījumā faktiskais darbu izpildītājs nav konstatējams</w:t>
      </w:r>
      <w:r w:rsidR="00005475" w:rsidRPr="00277E4E">
        <w:t>, kas ir pamats secinājumam, ka pieteicēja strīdus pakalpojumus nav saņēmusi no SIA „IV SANTEX”</w:t>
      </w:r>
      <w:r w:rsidR="00DE53E5" w:rsidRPr="00277E4E">
        <w:t>.</w:t>
      </w:r>
    </w:p>
    <w:p w14:paraId="4852B2B6" w14:textId="23D14FAE" w:rsidR="005B508A" w:rsidRPr="00277E4E" w:rsidRDefault="00DE53E5" w:rsidP="00277E4E">
      <w:pPr>
        <w:spacing w:line="276" w:lineRule="auto"/>
        <w:ind w:firstLine="567"/>
        <w:jc w:val="both"/>
      </w:pPr>
      <w:r w:rsidRPr="00277E4E">
        <w:t>[</w:t>
      </w:r>
      <w:r w:rsidR="00C94446" w:rsidRPr="00277E4E">
        <w:t>2.4</w:t>
      </w:r>
      <w:r w:rsidRPr="00277E4E">
        <w:t>] </w:t>
      </w:r>
      <w:r w:rsidR="00076B47" w:rsidRPr="00277E4E">
        <w:t xml:space="preserve">SIA „TPT BALTIC” atbilstoši </w:t>
      </w:r>
      <w:r w:rsidRPr="00277E4E">
        <w:t>darījumu dokumentiem ir veikusi sanitārā konteinera izbūv</w:t>
      </w:r>
      <w:r w:rsidR="00076B47" w:rsidRPr="00277E4E">
        <w:t>es</w:t>
      </w:r>
      <w:r w:rsidRPr="00277E4E">
        <w:t>, montāžas darbus, remontdarbus, tehniskā projekta izstrādi, kā arī piegādājusi dažādus materiālus</w:t>
      </w:r>
      <w:r w:rsidR="005B508A" w:rsidRPr="00277E4E">
        <w:t xml:space="preserve"> atpūtas kompleksam Jūrmalā</w:t>
      </w:r>
      <w:r w:rsidRPr="00277E4E">
        <w:t xml:space="preserve">. Viena no SIA „TPT BALTIC” amatpersonām </w:t>
      </w:r>
      <w:r w:rsidR="00005475" w:rsidRPr="00277E4E">
        <w:t xml:space="preserve">tiesas sēdē </w:t>
      </w:r>
      <w:r w:rsidRPr="00277E4E">
        <w:t>liecināj</w:t>
      </w:r>
      <w:r w:rsidR="00005475" w:rsidRPr="00277E4E">
        <w:t>a</w:t>
      </w:r>
      <w:r w:rsidRPr="00277E4E">
        <w:t>, ka par šā uzņēmuma saimniecisko darbību neko nezina, jo par amatpersonu kļuva pēc trešās personas lūguma. Savukārt otra amatpersona liecināj</w:t>
      </w:r>
      <w:r w:rsidR="00005475" w:rsidRPr="00277E4E">
        <w:t>a</w:t>
      </w:r>
      <w:r w:rsidRPr="00277E4E">
        <w:t>, ka SIA „TPT BALTIC” nodarboj</w:t>
      </w:r>
      <w:r w:rsidR="00005475" w:rsidRPr="00277E4E">
        <w:t>ās</w:t>
      </w:r>
      <w:r w:rsidRPr="00277E4E">
        <w:t xml:space="preserve"> ar starpniecības pakalpojumu sniegšanu. </w:t>
      </w:r>
      <w:r w:rsidR="00076B47" w:rsidRPr="00277E4E">
        <w:t>Novērtējot gan SIA „TPT BALTIC”, gan tās deklarētos darījumu partnerus, proti, SIA „BAUWEST”, SIA „BAUBALT GT” raksturojošo informāciju, secināms, ka neviens no darījumu ķēdes dalībniekiem nevarēja izpildīt ievērojama apjoma darbus. Šiem uzņēmumiem nav deklarēto darbinieku, līdz ar to nav saprotams, kurš izstrādāja tehnisko projektu, veica remontdarbus</w:t>
      </w:r>
      <w:r w:rsidR="005B508A" w:rsidRPr="00277E4E">
        <w:t xml:space="preserve"> un citus līgumos norādītos darbus. </w:t>
      </w:r>
      <w:r w:rsidR="00005475" w:rsidRPr="00277E4E">
        <w:t xml:space="preserve">Arī pieteicējas pārstāvis nevarēja atbildēt uz šo jautājumu. </w:t>
      </w:r>
      <w:r w:rsidR="001A17DE" w:rsidRPr="00277E4E">
        <w:t xml:space="preserve">Tādējādi </w:t>
      </w:r>
      <w:r w:rsidR="00005475" w:rsidRPr="00277E4E">
        <w:t>atzīstams, ka pieteicēja darījumu dokumentos norādītos pakalpojumus un preces nav saņēmusi no SIA „TPT BALTIC”.</w:t>
      </w:r>
    </w:p>
    <w:p w14:paraId="16328EDE" w14:textId="047E3F7F" w:rsidR="00E11165" w:rsidRPr="00277E4E" w:rsidRDefault="005B508A" w:rsidP="00277E4E">
      <w:pPr>
        <w:spacing w:line="276" w:lineRule="auto"/>
        <w:ind w:firstLine="567"/>
        <w:jc w:val="both"/>
      </w:pPr>
      <w:r w:rsidRPr="00277E4E">
        <w:t>[</w:t>
      </w:r>
      <w:r w:rsidR="00C94446" w:rsidRPr="00277E4E">
        <w:t>2.5</w:t>
      </w:r>
      <w:r w:rsidRPr="00277E4E">
        <w:t>] </w:t>
      </w:r>
      <w:r w:rsidR="00005475" w:rsidRPr="00277E4E">
        <w:t xml:space="preserve">Pieteicēja ir deklarējusi darījumus arī ar </w:t>
      </w:r>
      <w:r w:rsidRPr="00277E4E">
        <w:t>SIA „MIDCOM”</w:t>
      </w:r>
      <w:r w:rsidR="00005475" w:rsidRPr="00277E4E">
        <w:t xml:space="preserve">, iesniedzot virkni darījumu dokumentu. No tiem izriet, ka </w:t>
      </w:r>
      <w:r w:rsidRPr="00277E4E">
        <w:t xml:space="preserve">pieteicējai </w:t>
      </w:r>
      <w:r w:rsidR="00005475" w:rsidRPr="00277E4E">
        <w:t xml:space="preserve">tika sniegti </w:t>
      </w:r>
      <w:r w:rsidRPr="00277E4E">
        <w:t xml:space="preserve">ļoti plaša </w:t>
      </w:r>
      <w:r w:rsidR="001B252A" w:rsidRPr="00277E4E">
        <w:t>klāsta</w:t>
      </w:r>
      <w:r w:rsidRPr="00277E4E">
        <w:t xml:space="preserve"> pakalpojum</w:t>
      </w:r>
      <w:r w:rsidR="00005475" w:rsidRPr="00277E4E">
        <w:t>i</w:t>
      </w:r>
      <w:r w:rsidRPr="00277E4E">
        <w:t> – juridisk</w:t>
      </w:r>
      <w:r w:rsidR="00005475" w:rsidRPr="00277E4E">
        <w:t>ie</w:t>
      </w:r>
      <w:r w:rsidRPr="00277E4E">
        <w:t xml:space="preserve">, iekšējā audita, reklāmas rullīšu, </w:t>
      </w:r>
      <w:proofErr w:type="spellStart"/>
      <w:r w:rsidRPr="00277E4E">
        <w:t>baneru</w:t>
      </w:r>
      <w:proofErr w:type="spellEnd"/>
      <w:r w:rsidRPr="00277E4E">
        <w:t>, vizītkaršu, korporatīvā stila izstrād</w:t>
      </w:r>
      <w:r w:rsidR="00005475" w:rsidRPr="00277E4E">
        <w:t xml:space="preserve">es </w:t>
      </w:r>
      <w:r w:rsidRPr="00277E4E">
        <w:t>u.tml.</w:t>
      </w:r>
      <w:r w:rsidR="00005475" w:rsidRPr="00277E4E">
        <w:t xml:space="preserve"> pakalpojumi</w:t>
      </w:r>
      <w:r w:rsidRPr="00277E4E">
        <w:t xml:space="preserve">, kā arī </w:t>
      </w:r>
      <w:r w:rsidR="00005475" w:rsidRPr="00277E4E">
        <w:t>tika piegādāti dažādi apģērbi. SIA „MIDCOM” amatpersona Valsts ieņēmumu dienestam paskaidroja, ka uzņēmuma</w:t>
      </w:r>
      <w:r w:rsidR="00C62C3C" w:rsidRPr="00277E4E">
        <w:t>m</w:t>
      </w:r>
      <w:r w:rsidR="00005475" w:rsidRPr="00277E4E">
        <w:t xml:space="preserve"> nebija materiāltehniskās bāzes nodrošinājuma saimnieciskās darbības veikšanai un tas pildīja starpnieka funkcijas.</w:t>
      </w:r>
      <w:r w:rsidR="00E11165" w:rsidRPr="00277E4E">
        <w:t xml:space="preserve"> Darbu izpildei tika piesaistīta SIA „RCBP”, kas arī pildīja starpnieka funkcijas, piesaistot SIA „ANARO”. Pārbaudot un novērtējot visus darījumu ķēdes dalībniekus raksturojošo informāciju, nav iespējams konstatēt konkrētu personu, kas varētu sniegt darījumu dokumentos norādītos pakalpojumus, kuru izpildei nepieciešamas ne vien zināšanas, bet arī atbilstoša kvalifikācija. </w:t>
      </w:r>
      <w:r w:rsidR="00C62C3C" w:rsidRPr="00277E4E">
        <w:t>Nav piešķirama ticamība S</w:t>
      </w:r>
      <w:r w:rsidR="00005475" w:rsidRPr="00277E4E">
        <w:t>IA „MIDCOM” amatpersona</w:t>
      </w:r>
      <w:r w:rsidR="00E11165" w:rsidRPr="00277E4E">
        <w:t xml:space="preserve">s apgalvotajam, ka </w:t>
      </w:r>
      <w:r w:rsidR="00005475" w:rsidRPr="00277E4E">
        <w:t xml:space="preserve">daļu no juridiskajiem </w:t>
      </w:r>
      <w:r w:rsidR="00E11165" w:rsidRPr="00277E4E">
        <w:t xml:space="preserve">un mārketinga </w:t>
      </w:r>
      <w:r w:rsidR="00005475" w:rsidRPr="00277E4E">
        <w:t xml:space="preserve">pakalpojumiem </w:t>
      </w:r>
      <w:r w:rsidR="00144CB6" w:rsidRPr="00277E4E">
        <w:t>“</w:t>
      </w:r>
      <w:r w:rsidR="00E11165" w:rsidRPr="00277E4E">
        <w:t>par ārkārtas situāciju festivālā „Jaunais vilnis” par VIP terases izmantošanu</w:t>
      </w:r>
      <w:r w:rsidR="00144CB6" w:rsidRPr="00277E4E">
        <w:t>”</w:t>
      </w:r>
      <w:r w:rsidR="00E11165" w:rsidRPr="00277E4E">
        <w:t xml:space="preserve"> viņa pildīja pati</w:t>
      </w:r>
      <w:r w:rsidR="00C62C3C" w:rsidRPr="00277E4E">
        <w:t>.</w:t>
      </w:r>
      <w:r w:rsidR="00E11165" w:rsidRPr="00277E4E">
        <w:t xml:space="preserve"> SIA „MIDCOM” amatpersonai atbilstoši viņas norādītajam nav nepieciešamās izglītības un zināšanu</w:t>
      </w:r>
      <w:r w:rsidR="00C62C3C" w:rsidRPr="00277E4E">
        <w:t>, un n</w:t>
      </w:r>
      <w:r w:rsidR="00E11165" w:rsidRPr="00277E4E">
        <w:t xml:space="preserve">av ticami, ka juridisko un mārketinga pakalpojumu izpildei ievērojamā apmērā un vērtībā ir pietiekami ar </w:t>
      </w:r>
      <w:r w:rsidR="00C62C3C" w:rsidRPr="00277E4E">
        <w:t xml:space="preserve">interneta resursos pieejamo informāciju par juridiskajiem jautājumiem un paziņu sniegtajiem padomiem, kā to skaidroja </w:t>
      </w:r>
      <w:r w:rsidR="00E11165" w:rsidRPr="00277E4E">
        <w:t>SIA „MIDCOM” amatpersona</w:t>
      </w:r>
      <w:r w:rsidR="00C62C3C" w:rsidRPr="00277E4E">
        <w:t xml:space="preserve">. </w:t>
      </w:r>
      <w:r w:rsidR="00E11165" w:rsidRPr="00277E4E">
        <w:t xml:space="preserve">Turklāt SIA „MIDCOM” amatpersonas paskaidrojumi un liecības par pakalpojumu izpildi ir savstarpēji pretrunīgas, kā arī pretrunā ar pašas pieteicējas paskaidroto. Pieteicēja šīs pretrunas nav izskaidrojusi. </w:t>
      </w:r>
      <w:r w:rsidR="000C59E3" w:rsidRPr="00277E4E">
        <w:t>Šādu apstākļu kopumā</w:t>
      </w:r>
      <w:r w:rsidR="00E11165" w:rsidRPr="00277E4E">
        <w:t xml:space="preserve"> ir secināms, ka pieteicēja strīdus pakalpojumus nav saņēmusi no SIA „MIDCOM”.</w:t>
      </w:r>
    </w:p>
    <w:p w14:paraId="5BC8424A" w14:textId="6952F74B" w:rsidR="00B53739" w:rsidRPr="00277E4E" w:rsidRDefault="00E11165" w:rsidP="00277E4E">
      <w:pPr>
        <w:spacing w:line="276" w:lineRule="auto"/>
        <w:ind w:firstLine="567"/>
        <w:jc w:val="both"/>
      </w:pPr>
      <w:r w:rsidRPr="00277E4E">
        <w:t>[</w:t>
      </w:r>
      <w:r w:rsidR="00C94446" w:rsidRPr="00277E4E">
        <w:t>2.6</w:t>
      </w:r>
      <w:r w:rsidRPr="00277E4E">
        <w:t>] </w:t>
      </w:r>
      <w:r w:rsidR="002358D1" w:rsidRPr="00277E4E">
        <w:t>Lietā noskaidroto apstākļu un iegūto pierādījumu kopums ap</w:t>
      </w:r>
      <w:r w:rsidR="00C62C3C" w:rsidRPr="00277E4E">
        <w:t>stiprina ne vien to, ka pieteicēja strīdus pakalpojumus un preces nav saņēmusi no deklarētajiem darījumu partneriem, bet arī to</w:t>
      </w:r>
      <w:r w:rsidR="002358D1" w:rsidRPr="00277E4E">
        <w:t xml:space="preserve">, ka pieteicēja zināja par iesaistīšanos pievienotās vērtības nodokļa sistēmas ļaunprātīgā izmantošanā. Par to liecina pieteicējas amatpersonas </w:t>
      </w:r>
      <w:r w:rsidR="00C62C3C" w:rsidRPr="00277E4E">
        <w:t xml:space="preserve">vispārīgie un izvairīgie </w:t>
      </w:r>
      <w:r w:rsidR="002358D1" w:rsidRPr="00277E4E">
        <w:t xml:space="preserve">paskaidrojumi par darījumu </w:t>
      </w:r>
      <w:r w:rsidR="000C59E3" w:rsidRPr="00277E4E">
        <w:t xml:space="preserve">partneru izvēli un darījumu </w:t>
      </w:r>
      <w:r w:rsidR="002358D1" w:rsidRPr="00277E4E">
        <w:t>faktisko norisi, kā arī</w:t>
      </w:r>
      <w:r w:rsidR="00C62C3C" w:rsidRPr="00277E4E">
        <w:t xml:space="preserve"> pretrunas šajos paskaidrojumos</w:t>
      </w:r>
      <w:r w:rsidR="002358D1" w:rsidRPr="00277E4E">
        <w:t xml:space="preserve"> </w:t>
      </w:r>
      <w:r w:rsidR="00C62C3C" w:rsidRPr="00277E4E">
        <w:t xml:space="preserve">un </w:t>
      </w:r>
      <w:r w:rsidR="002358D1" w:rsidRPr="00277E4E">
        <w:t>liecinieku liecī</w:t>
      </w:r>
      <w:r w:rsidR="00C62C3C" w:rsidRPr="00277E4E">
        <w:t>b</w:t>
      </w:r>
      <w:r w:rsidR="002358D1" w:rsidRPr="00277E4E">
        <w:t>ā</w:t>
      </w:r>
      <w:r w:rsidR="00C62C3C" w:rsidRPr="00277E4E">
        <w:t>s</w:t>
      </w:r>
      <w:r w:rsidR="002358D1" w:rsidRPr="00277E4E">
        <w:t xml:space="preserve">; </w:t>
      </w:r>
      <w:r w:rsidR="00144CB6" w:rsidRPr="00277E4E">
        <w:t xml:space="preserve">tas, ka </w:t>
      </w:r>
      <w:r w:rsidR="00B53739" w:rsidRPr="00277E4E">
        <w:t>strīdus darbu izpilde uzticēta tikko dibinātam uzņēmumam, kuram nav darbinieku ar atbilstošu kvalifikāciju un zināšanām</w:t>
      </w:r>
      <w:r w:rsidR="00C62C3C" w:rsidRPr="00277E4E">
        <w:t>, kā arī pieredzes nepieciešamo darbu izpilde</w:t>
      </w:r>
      <w:r w:rsidR="005341F4" w:rsidRPr="00277E4E">
        <w:t>i,</w:t>
      </w:r>
      <w:r w:rsidR="00C62C3C" w:rsidRPr="00277E4E">
        <w:t xml:space="preserve"> </w:t>
      </w:r>
      <w:r w:rsidR="00B53739" w:rsidRPr="00277E4E">
        <w:t xml:space="preserve">un pieteicēja nespēj paskaidrot, kā pārliecinājās par darījumu partneru spējām atbilstošā kvalitātē un savlaicīgi izpildīt nepieciešamos darbus; pieteicējas nespēja </w:t>
      </w:r>
      <w:r w:rsidR="002358D1" w:rsidRPr="00277E4E">
        <w:t>pamatot nepieciešamību pirkt ārkārtīgi sadārdzināt</w:t>
      </w:r>
      <w:r w:rsidR="00C62C3C" w:rsidRPr="00277E4E">
        <w:t xml:space="preserve">us </w:t>
      </w:r>
      <w:r w:rsidR="002358D1" w:rsidRPr="00277E4E">
        <w:t>pakalpojumu</w:t>
      </w:r>
      <w:r w:rsidR="00BC24E3" w:rsidRPr="00277E4E">
        <w:t>s;</w:t>
      </w:r>
      <w:r w:rsidR="002358D1" w:rsidRPr="00277E4E">
        <w:t xml:space="preserve"> darījumu </w:t>
      </w:r>
      <w:r w:rsidR="002358D1" w:rsidRPr="00277E4E">
        <w:lastRenderedPageBreak/>
        <w:t>dokumentu noformējums</w:t>
      </w:r>
      <w:r w:rsidR="005341F4" w:rsidRPr="00277E4E">
        <w:t>, kas</w:t>
      </w:r>
      <w:r w:rsidR="002358D1" w:rsidRPr="00277E4E">
        <w:t xml:space="preserve"> neļauj identificēt konkrētus pakalpojumus, jo tajos ir vispārīgi norādīts, ka tiek sniegti mārketinga, juridiskie u.c. pakalpojumi; projektēšanas darbi un būvdarbi noslēgti ar uzņēmumiem, kas nav reģistrēti Būvkomersantu reģistrā; projekti izstrādāti pēc tam, kad tie jau tika saskaņoti</w:t>
      </w:r>
      <w:r w:rsidR="00B53739" w:rsidRPr="00277E4E">
        <w:t xml:space="preserve"> būvvaldē; </w:t>
      </w:r>
      <w:r w:rsidR="008F20B6" w:rsidRPr="00277E4E">
        <w:t>sa</w:t>
      </w:r>
      <w:r w:rsidR="002358D1" w:rsidRPr="00277E4E">
        <w:t>maksa veikta par tādiem pakalpojumiem, kas atbilstoši darījumu dokumentiem sniegt</w:t>
      </w:r>
      <w:r w:rsidR="005341F4" w:rsidRPr="00277E4E">
        <w:t>i</w:t>
      </w:r>
      <w:r w:rsidR="002358D1" w:rsidRPr="00277E4E">
        <w:t xml:space="preserve"> pēc uzņēmumu sadarbības pārtraukšanas</w:t>
      </w:r>
      <w:r w:rsidR="005341F4" w:rsidRPr="00277E4E">
        <w:t>,</w:t>
      </w:r>
      <w:r w:rsidR="00B53739" w:rsidRPr="00277E4E">
        <w:t xml:space="preserve"> un pieteicēja nespēj izskaidrot šādu rīcību. Turklāt pieteicējas iesaistīšanās darījumos ar </w:t>
      </w:r>
      <w:r w:rsidR="005341F4" w:rsidRPr="00277E4E">
        <w:t>deklarētajiem darījumu partneriem, nevie</w:t>
      </w:r>
      <w:r w:rsidR="00B53739" w:rsidRPr="00277E4E">
        <w:t xml:space="preserve">ns no kuriem </w:t>
      </w:r>
      <w:r w:rsidR="005341F4" w:rsidRPr="00277E4E">
        <w:t xml:space="preserve">atbilstoši publiski pieejamām ziņām valsts uzturētajos reģistros </w:t>
      </w:r>
      <w:r w:rsidR="00B53739" w:rsidRPr="00277E4E">
        <w:t>nav atzīstams par reālu saimnieciskās darbības veicēju, neliecina, ka pieteicēja</w:t>
      </w:r>
      <w:r w:rsidR="005341F4" w:rsidRPr="00277E4E">
        <w:t>, izvēloties darījumu partnerus,</w:t>
      </w:r>
      <w:r w:rsidR="00B53739" w:rsidRPr="00277E4E">
        <w:t xml:space="preserve"> būtu veikusi saprātīg</w:t>
      </w:r>
      <w:r w:rsidR="005341F4" w:rsidRPr="00277E4E">
        <w:t>u</w:t>
      </w:r>
      <w:r w:rsidR="00B53739" w:rsidRPr="00277E4E">
        <w:t>s pasākumus, kas atbilstu normālas komercprakses principiem un ļautu izvairīties no iesaistīšanās krāpšanā ar pievienotās vērtības nodokli. Šādos apstākļos pieteicējai nav tiesību veikt priekšnodokļa atskaitījumus, kā arī samazināt uzņēmuma ražošanas izmaksas.</w:t>
      </w:r>
    </w:p>
    <w:p w14:paraId="1AD5EEBF" w14:textId="50C53BD4" w:rsidR="000F77B3" w:rsidRPr="00277E4E" w:rsidRDefault="00B53739" w:rsidP="00277E4E">
      <w:pPr>
        <w:spacing w:line="276" w:lineRule="auto"/>
        <w:ind w:firstLine="567"/>
        <w:jc w:val="both"/>
      </w:pPr>
      <w:r w:rsidRPr="00277E4E">
        <w:t>[</w:t>
      </w:r>
      <w:r w:rsidR="00C94446" w:rsidRPr="00277E4E">
        <w:t>2.7</w:t>
      </w:r>
      <w:r w:rsidRPr="00277E4E">
        <w:t xml:space="preserve">] Par pretējo neliecina apstāklis, ka Valsts ieņēmumu dienests ir atzinis daļu no pieteicējas darījumiem ar SIA „MIDCOM”, kā arī līdzīgus darījumus ar citiem uzņēmumiem. Lai arī dienests nav spējis </w:t>
      </w:r>
      <w:r w:rsidR="000F77B3" w:rsidRPr="00277E4E">
        <w:t>saprotami izskaidrot šādu rīcību</w:t>
      </w:r>
      <w:r w:rsidRPr="00277E4E">
        <w:t xml:space="preserve">, tas </w:t>
      </w:r>
      <w:r w:rsidR="000F77B3" w:rsidRPr="00277E4E">
        <w:t>nedod pamatu atzīt pieteicējas tiesības uz priekšnodokļa atskaitījumiem par dienesta apstrīdētajiem darījumiem, jo lietā noskaidroto apstākļu un iegūto pierādījumu kopums apliecina, ka pieteicēja strīdus preces un pakalpojumus nav saņēmusi no deklarētajiem darījumu partneriem un pieteicēja to zināja. Ja šādos apstākļos tiktu atzītas pieteicējas tiesības atskaitīt priekšnodokli, netiktu ievērots tiesiskuma princips.</w:t>
      </w:r>
    </w:p>
    <w:p w14:paraId="2545ED66" w14:textId="77777777" w:rsidR="000F77B3" w:rsidRPr="00277E4E" w:rsidRDefault="000F77B3" w:rsidP="00277E4E">
      <w:pPr>
        <w:spacing w:line="276" w:lineRule="auto"/>
        <w:ind w:firstLine="567"/>
        <w:jc w:val="both"/>
      </w:pPr>
    </w:p>
    <w:p w14:paraId="22AD7688" w14:textId="4C29376F" w:rsidR="00E83D75" w:rsidRPr="00277E4E" w:rsidRDefault="00661575" w:rsidP="00277E4E">
      <w:pPr>
        <w:spacing w:line="276" w:lineRule="auto"/>
        <w:ind w:firstLine="567"/>
        <w:jc w:val="both"/>
      </w:pPr>
      <w:r w:rsidRPr="00277E4E">
        <w:t>[</w:t>
      </w:r>
      <w:r w:rsidR="007518B8" w:rsidRPr="00277E4E">
        <w:t>3</w:t>
      </w:r>
      <w:r w:rsidRPr="00277E4E">
        <w:t>] </w:t>
      </w:r>
      <w:r w:rsidR="00E83D75" w:rsidRPr="00277E4E">
        <w:t>Pieteicēja apgabaltiesas spriedumu pārsūdzēja, kasācijas sūdzību pamatojot ar turpmāk minētajiem argumentiem.</w:t>
      </w:r>
    </w:p>
    <w:p w14:paraId="5F2AD0E1" w14:textId="1EC6683E" w:rsidR="00E91DDC" w:rsidRPr="00277E4E" w:rsidRDefault="00E83D75" w:rsidP="00277E4E">
      <w:pPr>
        <w:spacing w:line="276" w:lineRule="auto"/>
        <w:ind w:firstLine="567"/>
        <w:jc w:val="both"/>
      </w:pPr>
      <w:r w:rsidRPr="00277E4E">
        <w:t>[</w:t>
      </w:r>
      <w:r w:rsidR="007518B8" w:rsidRPr="00277E4E">
        <w:t>3.1</w:t>
      </w:r>
      <w:r w:rsidRPr="00277E4E">
        <w:t>] </w:t>
      </w:r>
      <w:r w:rsidR="00600173" w:rsidRPr="00277E4E">
        <w:t xml:space="preserve">No sprieduma argumentācijas izriet, ka pieteicējai pirms darījumu noslēgšanas bija jāveic ļoti izvērsta tās darījumu partneru pārbaude. Tiesību normas to neparedz, un tas ir pretrunā ar Eiropas Savienības Tiesas un Senāta judikatūras atziņām. </w:t>
      </w:r>
      <w:r w:rsidR="00E91DDC" w:rsidRPr="00277E4E">
        <w:t xml:space="preserve">Pieteicējai noteiktais pienākums veikt tiesību normās neparedzētās pārbaudes ir nesamērīgs. Līdz ar to apgabaltiesa ir pieļāvusi pārkāpumus likuma „Par pievienotās vērtības nodokli” </w:t>
      </w:r>
      <w:proofErr w:type="gramStart"/>
      <w:r w:rsidR="00E91DDC" w:rsidRPr="00277E4E">
        <w:t>10.panta</w:t>
      </w:r>
      <w:proofErr w:type="gramEnd"/>
      <w:r w:rsidR="00E91DDC" w:rsidRPr="00277E4E">
        <w:t xml:space="preserve"> pirmās daļas 1.punkta piemērošanā.</w:t>
      </w:r>
    </w:p>
    <w:p w14:paraId="4F43B896" w14:textId="73400D36" w:rsidR="001525CA" w:rsidRPr="00277E4E" w:rsidRDefault="00E91DDC" w:rsidP="00277E4E">
      <w:pPr>
        <w:spacing w:line="276" w:lineRule="auto"/>
        <w:ind w:firstLine="567"/>
        <w:jc w:val="both"/>
      </w:pPr>
      <w:r w:rsidRPr="00277E4E">
        <w:t>[</w:t>
      </w:r>
      <w:r w:rsidR="00C94446" w:rsidRPr="00277E4E">
        <w:t>3.2</w:t>
      </w:r>
      <w:r w:rsidRPr="00277E4E">
        <w:t>] Tāpat apgabaltiesa ir pieļāvusi pārkāpumus pierādījumu novērtēšanā</w:t>
      </w:r>
      <w:r w:rsidR="00587EBA" w:rsidRPr="00277E4E">
        <w:t>, jo spriedumā izdarītos s</w:t>
      </w:r>
      <w:r w:rsidRPr="00277E4E">
        <w:t>ecinājumus ir pamatojusi ar netiešiem pierādījumiem, bez ievērības atstājot faktu, ka lietā ir virkne tieš</w:t>
      </w:r>
      <w:r w:rsidR="005341F4" w:rsidRPr="00277E4E">
        <w:t>u</w:t>
      </w:r>
      <w:r w:rsidRPr="00277E4E">
        <w:t xml:space="preserve"> pierādījumu, kas paši par sevi apstiprina strīdus darījumu faktisko esību.</w:t>
      </w:r>
      <w:r w:rsidR="00587EBA" w:rsidRPr="00277E4E">
        <w:t xml:space="preserve"> Šim apstāklim apgabaltiesa nav devusi nekādu vērtējumu. Savukārt pierādījumus, ar kuriem pamatoti </w:t>
      </w:r>
      <w:r w:rsidR="005341F4" w:rsidRPr="00277E4E">
        <w:t xml:space="preserve">spriedumā izdarītie </w:t>
      </w:r>
      <w:r w:rsidR="00587EBA" w:rsidRPr="00277E4E">
        <w:t xml:space="preserve">secinājumi, apgabaltiesa ir novērtējusi nepareizi. Proti, </w:t>
      </w:r>
      <w:r w:rsidRPr="00277E4E">
        <w:t xml:space="preserve">secinājumu par SIA „MORANDO” nespēju veikt saimniecisko darbību </w:t>
      </w:r>
      <w:r w:rsidR="00587EBA" w:rsidRPr="00277E4E">
        <w:t xml:space="preserve">apgabaltiesa </w:t>
      </w:r>
      <w:r w:rsidRPr="00277E4E">
        <w:t>ir pamatojusi tikai ar šā uzņēmuma amatpersonas sniegto paskaidrojumu un liecību</w:t>
      </w:r>
      <w:r w:rsidR="005341F4" w:rsidRPr="00277E4E">
        <w:t>, bez ievērības atstājot faktu</w:t>
      </w:r>
      <w:r w:rsidRPr="00277E4E">
        <w:t xml:space="preserve">, ka SIA „MORANDO” amatpersona tiesas sēdē noliedza paskaidrojuma sniegšanu Valsts ieņēmumu dienestam. </w:t>
      </w:r>
      <w:r w:rsidR="001525CA" w:rsidRPr="00277E4E">
        <w:t>Tāpat arī secinājumu par pieteicējas tiešās darījumu partneres SIA „ROBAX” nespēju sniegt pieteicējai strīdus pakalpojumus apgabaltiesa ir pamatojusi tikai ar tālākā darījumu ķēdes dalībnieka</w:t>
      </w:r>
      <w:r w:rsidR="001B252A" w:rsidRPr="00277E4E">
        <w:t xml:space="preserve"> </w:t>
      </w:r>
      <w:r w:rsidR="001525CA" w:rsidRPr="00277E4E">
        <w:t xml:space="preserve">amatpersonas paskaidrojumu, </w:t>
      </w:r>
      <w:r w:rsidR="001B252A" w:rsidRPr="00277E4E">
        <w:t xml:space="preserve">neņemot </w:t>
      </w:r>
      <w:r w:rsidR="001525CA" w:rsidRPr="00277E4E">
        <w:t xml:space="preserve">vērā, ka </w:t>
      </w:r>
      <w:r w:rsidR="001B252A" w:rsidRPr="00277E4E">
        <w:t>šī persona par attiecīgā uzņēmuma amatpersonu kļuva tikai pēc strīdus darbu izpildes.</w:t>
      </w:r>
      <w:r w:rsidR="00587EBA" w:rsidRPr="00277E4E">
        <w:t xml:space="preserve"> Savukārt pieteicējas i</w:t>
      </w:r>
      <w:r w:rsidR="001525CA" w:rsidRPr="00277E4E">
        <w:t>ebildumus par SIA „IV SANTEX” un SIA „TPT BALTIC” amatpersonu sniegtajiem paskaidrojumiem un liecībām</w:t>
      </w:r>
      <w:r w:rsidR="00587EBA" w:rsidRPr="00277E4E">
        <w:t xml:space="preserve"> apgabaltiesa nav pat pieminējusi</w:t>
      </w:r>
      <w:r w:rsidR="001525CA" w:rsidRPr="00277E4E">
        <w:t>.</w:t>
      </w:r>
    </w:p>
    <w:p w14:paraId="4CF32076" w14:textId="757DAB7E" w:rsidR="00587EBA" w:rsidRPr="00277E4E" w:rsidRDefault="00587EBA" w:rsidP="00277E4E">
      <w:pPr>
        <w:spacing w:line="276" w:lineRule="auto"/>
        <w:ind w:firstLine="567"/>
        <w:jc w:val="both"/>
      </w:pPr>
      <w:r w:rsidRPr="00277E4E">
        <w:t xml:space="preserve">Līdz ar to apgabaltiesa ir pieļāvusi Administratīvā procesa likuma </w:t>
      </w:r>
      <w:proofErr w:type="gramStart"/>
      <w:r w:rsidRPr="00277E4E">
        <w:t>154.panta</w:t>
      </w:r>
      <w:proofErr w:type="gramEnd"/>
      <w:r w:rsidRPr="00277E4E">
        <w:t xml:space="preserve"> pārkāpumus</w:t>
      </w:r>
      <w:r w:rsidR="009C0E94" w:rsidRPr="00277E4E">
        <w:t>, kas ir novedis pie nepareiza lietas izskatīšanas rezultāta</w:t>
      </w:r>
      <w:r w:rsidRPr="00277E4E">
        <w:t>.</w:t>
      </w:r>
    </w:p>
    <w:p w14:paraId="1952C90C" w14:textId="1A9A9A87" w:rsidR="00587EBA" w:rsidRPr="00277E4E" w:rsidRDefault="001525CA" w:rsidP="00277E4E">
      <w:pPr>
        <w:spacing w:line="276" w:lineRule="auto"/>
        <w:ind w:firstLine="567"/>
        <w:jc w:val="both"/>
      </w:pPr>
      <w:r w:rsidRPr="00277E4E">
        <w:lastRenderedPageBreak/>
        <w:t>[</w:t>
      </w:r>
      <w:r w:rsidR="00C94446" w:rsidRPr="00277E4E">
        <w:t>3.3</w:t>
      </w:r>
      <w:r w:rsidRPr="00277E4E">
        <w:t>] </w:t>
      </w:r>
      <w:r w:rsidR="000C59E3" w:rsidRPr="00277E4E">
        <w:t xml:space="preserve">Atsakoties izvērtēt </w:t>
      </w:r>
      <w:r w:rsidRPr="00277E4E">
        <w:t>apelācijas sūdzībā norādīto</w:t>
      </w:r>
      <w:r w:rsidR="000C59E3" w:rsidRPr="00277E4E">
        <w:t>s</w:t>
      </w:r>
      <w:r w:rsidRPr="00277E4E">
        <w:t xml:space="preserve"> argumentu</w:t>
      </w:r>
      <w:r w:rsidR="000C59E3" w:rsidRPr="00277E4E">
        <w:t>s</w:t>
      </w:r>
      <w:r w:rsidRPr="00277E4E">
        <w:t xml:space="preserve">, apgabaltiesa ir </w:t>
      </w:r>
      <w:r w:rsidR="000C59E3" w:rsidRPr="00277E4E">
        <w:t xml:space="preserve">pamatojusies </w:t>
      </w:r>
      <w:r w:rsidRPr="00277E4E">
        <w:t>uz procesuālās ekonomijas principu. Taču šim principam ir cita nozīme</w:t>
      </w:r>
      <w:r w:rsidR="00587EBA" w:rsidRPr="00277E4E">
        <w:t>,</w:t>
      </w:r>
      <w:r w:rsidRPr="00277E4E">
        <w:t xml:space="preserve"> un tas neļauj tiesai nesniegt atbildes uz procesa dalībnieku izvirzītajiem argumentiem.</w:t>
      </w:r>
      <w:r w:rsidR="00587EBA" w:rsidRPr="00277E4E">
        <w:t xml:space="preserve"> Tādējādi apgabaltiesa</w:t>
      </w:r>
      <w:r w:rsidR="000C59E3" w:rsidRPr="00277E4E">
        <w:t xml:space="preserve">, </w:t>
      </w:r>
      <w:r w:rsidR="00587EBA" w:rsidRPr="00277E4E">
        <w:t>nepareizi piemēroj</w:t>
      </w:r>
      <w:r w:rsidR="000C59E3" w:rsidRPr="00277E4E">
        <w:t>ot</w:t>
      </w:r>
      <w:r w:rsidR="00587EBA" w:rsidRPr="00277E4E">
        <w:t xml:space="preserve"> procesuālās ekonomijas principu, lie</w:t>
      </w:r>
      <w:r w:rsidR="000C59E3" w:rsidRPr="00277E4E">
        <w:t>gusi</w:t>
      </w:r>
      <w:r w:rsidR="00587EBA" w:rsidRPr="00277E4E">
        <w:t xml:space="preserve"> pieteicējai iespēju būt uzklausītai. Šādas rīcības rezultātā apgabaltiesa bez ievērības atstājusi būtisku apstākli, kas ir ietekmējis lietas iznākumu, proti, apgabaltiesa nav ņēmusi vērā, ka Valsts ieņēmumu dienests ir atzinis daļu no pieteicējas darījumiem ar SIA „MIDCOM”</w:t>
      </w:r>
      <w:r w:rsidR="001B252A" w:rsidRPr="00277E4E">
        <w:t xml:space="preserve"> un SIA „TPT BALTIC”</w:t>
      </w:r>
      <w:r w:rsidR="00587EBA" w:rsidRPr="00277E4E">
        <w:t>, kā arī līdzīgus darījumus ar citiem uzņēmumiem, tādējādi pārkāpjot atšķirīgas attieksmes aizlieguma principu. Pirmās instances tiesa, secinot, ka Valsts ieņēmumu dienests nepamatoti atzinis dienesta neapstrīdētos darījumus, ir pārkāpusi prasījuma robežas, savukārt apgabaltiesa, neņemot vērā šo pieteicējas argumentu, nav izvērtējusi pirmās instances tiesas rīcības atbilstību Administratīvā procesa likuma 249. un 250.pantam</w:t>
      </w:r>
      <w:r w:rsidR="009C0E94" w:rsidRPr="00277E4E">
        <w:t>.</w:t>
      </w:r>
    </w:p>
    <w:p w14:paraId="16713042" w14:textId="77777777" w:rsidR="00125DF7" w:rsidRPr="00277E4E" w:rsidRDefault="00125DF7" w:rsidP="00277E4E">
      <w:pPr>
        <w:spacing w:line="276" w:lineRule="auto"/>
        <w:ind w:firstLine="567"/>
        <w:jc w:val="both"/>
      </w:pPr>
    </w:p>
    <w:p w14:paraId="7FC0E088" w14:textId="149E42B1" w:rsidR="00BF2BA7" w:rsidRPr="00277E4E" w:rsidRDefault="00BF2BA7" w:rsidP="00277E4E">
      <w:pPr>
        <w:spacing w:line="276" w:lineRule="auto"/>
        <w:ind w:firstLine="567"/>
        <w:jc w:val="both"/>
      </w:pPr>
      <w:r w:rsidRPr="00277E4E">
        <w:t>[</w:t>
      </w:r>
      <w:r w:rsidR="007518B8" w:rsidRPr="00277E4E">
        <w:t>4</w:t>
      </w:r>
      <w:r w:rsidRPr="00277E4E">
        <w:t xml:space="preserve">] Valsts ieņēmumu dienests </w:t>
      </w:r>
      <w:r w:rsidR="00824AA3" w:rsidRPr="00277E4E">
        <w:t>paskaidrojumos par kasācijas sūdzību lūdz pārsūdzēto spriedumu atstāt negrozītu, bet pieteicējas kasācijas sūdzību noraidīt.</w:t>
      </w:r>
    </w:p>
    <w:p w14:paraId="6D456198" w14:textId="77777777" w:rsidR="00794664" w:rsidRPr="00277E4E" w:rsidRDefault="00794664" w:rsidP="00277E4E">
      <w:pPr>
        <w:spacing w:line="276" w:lineRule="auto"/>
        <w:ind w:firstLine="567"/>
        <w:jc w:val="both"/>
      </w:pPr>
    </w:p>
    <w:p w14:paraId="1900DA50" w14:textId="77777777" w:rsidR="003047F5" w:rsidRPr="00277E4E" w:rsidRDefault="003047F5" w:rsidP="00277E4E">
      <w:pPr>
        <w:spacing w:line="276" w:lineRule="auto"/>
        <w:jc w:val="center"/>
        <w:rPr>
          <w:b/>
        </w:rPr>
      </w:pPr>
      <w:r w:rsidRPr="00277E4E">
        <w:rPr>
          <w:b/>
        </w:rPr>
        <w:t>Motīvu daļa</w:t>
      </w:r>
    </w:p>
    <w:p w14:paraId="45FBD86E" w14:textId="77777777" w:rsidR="0002115C" w:rsidRPr="00277E4E" w:rsidRDefault="0002115C" w:rsidP="00277E4E">
      <w:pPr>
        <w:spacing w:line="276" w:lineRule="auto"/>
        <w:jc w:val="both"/>
      </w:pPr>
    </w:p>
    <w:p w14:paraId="0E77E83F" w14:textId="1D09C044" w:rsidR="00F023AC" w:rsidRPr="00277E4E" w:rsidRDefault="00824AA3" w:rsidP="00277E4E">
      <w:pPr>
        <w:spacing w:line="276" w:lineRule="auto"/>
        <w:ind w:firstLine="567"/>
        <w:jc w:val="both"/>
      </w:pPr>
      <w:r w:rsidRPr="00277E4E">
        <w:t>[</w:t>
      </w:r>
      <w:r w:rsidR="007518B8" w:rsidRPr="00277E4E">
        <w:t>5</w:t>
      </w:r>
      <w:r w:rsidRPr="00277E4E">
        <w:t>] </w:t>
      </w:r>
      <w:r w:rsidR="001879DD" w:rsidRPr="00277E4E">
        <w:t xml:space="preserve">Kasācijas tiesvedības ietvaros ir noskaidrojams, vai apgabaltiesa, atzīstot, ka pieteicējai nav tiesību uz priekšnodokļa atskaitījumiem, ir pareizi identificējusi likuma „Par pievienotās vērtības nodokli” </w:t>
      </w:r>
      <w:proofErr w:type="gramStart"/>
      <w:r w:rsidR="001879DD" w:rsidRPr="00277E4E">
        <w:t>10.panta</w:t>
      </w:r>
      <w:proofErr w:type="gramEnd"/>
      <w:r w:rsidR="001879DD" w:rsidRPr="00277E4E">
        <w:t xml:space="preserve"> pirmās daļas 1.punktā noteiktos priekšnoteikumus priekšnodokļa atskaitīšanai</w:t>
      </w:r>
      <w:r w:rsidR="00F023AC" w:rsidRPr="00277E4E">
        <w:t xml:space="preserve"> un vai ir ievērojusi tiesību normas, kas paredz tiesas pienākumu pierādījumus pārbaudīt un novērtēt vispusīgi, pilnīgi un objektīvi</w:t>
      </w:r>
      <w:r w:rsidR="00780593" w:rsidRPr="00277E4E">
        <w:t>, atbildot uz lietas dalībnieku argumentiem</w:t>
      </w:r>
      <w:r w:rsidR="00F023AC" w:rsidRPr="00277E4E">
        <w:t>.</w:t>
      </w:r>
    </w:p>
    <w:p w14:paraId="285BE6AC" w14:textId="77777777" w:rsidR="00F023AC" w:rsidRPr="00277E4E" w:rsidRDefault="00F023AC" w:rsidP="00277E4E">
      <w:pPr>
        <w:spacing w:line="276" w:lineRule="auto"/>
        <w:ind w:firstLine="567"/>
        <w:jc w:val="both"/>
      </w:pPr>
    </w:p>
    <w:p w14:paraId="6358F1EE" w14:textId="2643B22B" w:rsidR="00F023AC" w:rsidRPr="00277E4E" w:rsidRDefault="00F023AC" w:rsidP="00277E4E">
      <w:pPr>
        <w:spacing w:line="276" w:lineRule="auto"/>
        <w:ind w:firstLine="567"/>
        <w:jc w:val="both"/>
      </w:pPr>
      <w:r w:rsidRPr="00277E4E">
        <w:t>[</w:t>
      </w:r>
      <w:r w:rsidR="00C94446" w:rsidRPr="00277E4E">
        <w:t>6</w:t>
      </w:r>
      <w:r w:rsidRPr="00277E4E">
        <w:t>] Atbilstoši Senāta judikatūrai, pārbaudot Valsts ieņēmumu dienesta lēmumu, ar kuru nodokļu maksātājam liegtas priekšnodokļa atskaitīšanas tiesības, tiesai vispirms ir jānoskaidro, vai dienests pamatoti atzinis, ka darījums faktiski nav noticis tā, kā tas norādīts darījuma attaisnojuma dokumentos. Proti, vai preces vai pakalpojumi noformēto dokumentu aizsegā vispār nav piegādāti, vai arī preces vai pakalpojumus nav piegādājusi darījum</w:t>
      </w:r>
      <w:r w:rsidR="00780593" w:rsidRPr="00277E4E">
        <w:t>a</w:t>
      </w:r>
      <w:r w:rsidRPr="00277E4E">
        <w:t xml:space="preserve"> dokumentos norādītā persona. Ja tiek konstatēts, ka preces vai pakalpojumi noformēto dokumentu aizsegā vispār nav piegādāti, tiesai vairs nav jānoskaidro, vai pieteicēja zināja vai tai bija jāzina, kādā darījumā tā iesaistās, jo šis apstāklis ir acīmredzams. Savukārt, ja tiek konstatēts, ka pretēji dokumentos norādītajam preces vai pakalpojumus nevarēja piegādāt tieši darījum</w:t>
      </w:r>
      <w:r w:rsidR="00780593" w:rsidRPr="00277E4E">
        <w:t>a</w:t>
      </w:r>
      <w:r w:rsidRPr="00277E4E">
        <w:t xml:space="preserve"> dokumentos norādītā persona, tad ir jānoskaidro, vai nodokļu maksātājs zināja vai tam vajadzēja zināt, ka darījums ir saistīts ar pievienotās vērtības nodokļa sistēmas </w:t>
      </w:r>
      <w:r w:rsidR="00780593" w:rsidRPr="00277E4E">
        <w:t xml:space="preserve">ļaunprātīgu </w:t>
      </w:r>
      <w:r w:rsidRPr="00277E4E">
        <w:t xml:space="preserve">izmantošanu (piemēram, </w:t>
      </w:r>
      <w:r w:rsidRPr="00277E4E">
        <w:rPr>
          <w:i/>
          <w:iCs/>
        </w:rPr>
        <w:t xml:space="preserve">Senāta </w:t>
      </w:r>
      <w:proofErr w:type="gramStart"/>
      <w:r w:rsidRPr="00277E4E">
        <w:rPr>
          <w:i/>
          <w:iCs/>
        </w:rPr>
        <w:t>2019.gada</w:t>
      </w:r>
      <w:proofErr w:type="gramEnd"/>
      <w:r w:rsidRPr="00277E4E">
        <w:rPr>
          <w:i/>
          <w:iCs/>
        </w:rPr>
        <w:t xml:space="preserve"> 29.augusta sprieduma lietā Nr. SKA-140/2019 (ECLI:LV:AT:2019:0829.A420226015.2.S) 6.punkts, Senāta 2018.gada 16.maija sprieduma lietā Nr. SKA-44/2018 ( ECLI:LV:AT:2018:0516.A420462813.2.S) 5.punkts</w:t>
      </w:r>
      <w:r w:rsidRPr="00277E4E">
        <w:t>).</w:t>
      </w:r>
    </w:p>
    <w:p w14:paraId="481760B2" w14:textId="63139190" w:rsidR="00F023AC" w:rsidRPr="00277E4E" w:rsidRDefault="00F023AC" w:rsidP="00277E4E">
      <w:pPr>
        <w:spacing w:line="276" w:lineRule="auto"/>
        <w:ind w:firstLine="567"/>
        <w:jc w:val="both"/>
      </w:pPr>
      <w:r w:rsidRPr="00277E4E">
        <w:t xml:space="preserve">Apgabaltiesa ir atzinusi, ka pieteicēja strīdus preces un pakalpojumus nav saņēmusi no nodokļa rēķinos norādītajām ar pievienotās vērtības nodokli apliekamajām personām un pieteicēja zināja par iesaistīšanos </w:t>
      </w:r>
      <w:r w:rsidR="00185F09" w:rsidRPr="00277E4E">
        <w:t>pievienotās vērtības nodokļa sistēmas ļaunprātīgā izmantošanā</w:t>
      </w:r>
      <w:r w:rsidRPr="00277E4E">
        <w:t>.</w:t>
      </w:r>
    </w:p>
    <w:p w14:paraId="6D02EE2D" w14:textId="20B83553" w:rsidR="002E5236" w:rsidRPr="00277E4E" w:rsidRDefault="00F023AC" w:rsidP="00277E4E">
      <w:pPr>
        <w:spacing w:line="276" w:lineRule="auto"/>
        <w:ind w:firstLine="567"/>
        <w:jc w:val="both"/>
      </w:pPr>
      <w:r w:rsidRPr="00277E4E">
        <w:t>Pieteicēja</w:t>
      </w:r>
      <w:r w:rsidR="00647CF2" w:rsidRPr="00277E4E">
        <w:t xml:space="preserve"> kasācijas sūdzībā</w:t>
      </w:r>
      <w:r w:rsidRPr="00277E4E">
        <w:t xml:space="preserve"> šād</w:t>
      </w:r>
      <w:r w:rsidR="00BE420C" w:rsidRPr="00277E4E">
        <w:t>ie</w:t>
      </w:r>
      <w:r w:rsidRPr="00277E4E">
        <w:t>m apgabaltiesas secinājum</w:t>
      </w:r>
      <w:r w:rsidR="00BE420C" w:rsidRPr="00277E4E">
        <w:t>ie</w:t>
      </w:r>
      <w:r w:rsidRPr="00277E4E">
        <w:t xml:space="preserve">m nepiekrīt, norādot, ka tiesa pieteicējai ir noteikusi pienākumu veikt </w:t>
      </w:r>
      <w:r w:rsidR="00BE420C" w:rsidRPr="00277E4E">
        <w:t xml:space="preserve">tādas </w:t>
      </w:r>
      <w:r w:rsidRPr="00277E4E">
        <w:t>darījumu partneru pārbaudes, k</w:t>
      </w:r>
      <w:r w:rsidR="00BE420C" w:rsidRPr="00277E4E">
        <w:t>o neparedz tiesību normas</w:t>
      </w:r>
      <w:r w:rsidR="00EC2253" w:rsidRPr="00277E4E">
        <w:t xml:space="preserve">. </w:t>
      </w:r>
      <w:r w:rsidR="00647CF2" w:rsidRPr="00277E4E">
        <w:t xml:space="preserve">Pieteicēja uzskata, </w:t>
      </w:r>
      <w:r w:rsidR="00B870D0" w:rsidRPr="00277E4E">
        <w:t xml:space="preserve">ka tas ir </w:t>
      </w:r>
      <w:r w:rsidR="00EC2253" w:rsidRPr="00277E4E">
        <w:t xml:space="preserve">pretrunā ar Eiropas Savienības Tiesas </w:t>
      </w:r>
      <w:r w:rsidR="00B870D0" w:rsidRPr="00277E4E">
        <w:t xml:space="preserve">judikatūru, </w:t>
      </w:r>
      <w:r w:rsidR="00B870D0" w:rsidRPr="00277E4E">
        <w:lastRenderedPageBreak/>
        <w:t xml:space="preserve">kurā </w:t>
      </w:r>
      <w:r w:rsidR="00EC2253" w:rsidRPr="00277E4E">
        <w:t>atzīt</w:t>
      </w:r>
      <w:r w:rsidR="00B870D0" w:rsidRPr="00277E4E">
        <w:t xml:space="preserve">s, ka, </w:t>
      </w:r>
      <w:r w:rsidR="00EC2253" w:rsidRPr="00277E4E">
        <w:t xml:space="preserve">pamatojot nodokļu maksātāja informētību par iesaistīšanos nepamatotā nodokļu samazināšanas plānā, kompetentā valsts iestāde nedrīkst </w:t>
      </w:r>
      <w:r w:rsidR="002E5236" w:rsidRPr="00277E4E">
        <w:t>likt nodokļu maksātājam veikt darījumu partneru pārbaudes, kuras tam principā nav jāveic.</w:t>
      </w:r>
    </w:p>
    <w:p w14:paraId="647986DA" w14:textId="77777777" w:rsidR="002E5236" w:rsidRPr="00277E4E" w:rsidRDefault="002E5236" w:rsidP="00277E4E">
      <w:pPr>
        <w:spacing w:line="276" w:lineRule="auto"/>
        <w:ind w:firstLine="567"/>
        <w:jc w:val="both"/>
      </w:pPr>
    </w:p>
    <w:p w14:paraId="7BCCD24F" w14:textId="4634CA4E" w:rsidR="002E5236" w:rsidRPr="00277E4E" w:rsidRDefault="002E5236" w:rsidP="00277E4E">
      <w:pPr>
        <w:spacing w:line="276" w:lineRule="auto"/>
        <w:ind w:firstLine="567"/>
        <w:jc w:val="both"/>
      </w:pPr>
      <w:r w:rsidRPr="00277E4E">
        <w:t>[</w:t>
      </w:r>
      <w:r w:rsidR="00C94446" w:rsidRPr="00277E4E">
        <w:t>7</w:t>
      </w:r>
      <w:r w:rsidRPr="00277E4E">
        <w:t>] </w:t>
      </w:r>
      <w:r w:rsidR="00647CF2" w:rsidRPr="00277E4E">
        <w:t xml:space="preserve">Uzsverot </w:t>
      </w:r>
      <w:r w:rsidRPr="00277E4E">
        <w:t>tiesas pieteicējai nepamatoti noteikto pienākumu pārbaudīt savus darījumu partnerus, p</w:t>
      </w:r>
      <w:r w:rsidR="00E848A4" w:rsidRPr="00277E4E">
        <w:t>ieteicēja</w:t>
      </w:r>
      <w:r w:rsidRPr="00277E4E">
        <w:t xml:space="preserve"> kasācijas sūdzībā </w:t>
      </w:r>
      <w:r w:rsidR="00E848A4" w:rsidRPr="00277E4E">
        <w:t>atsauc</w:t>
      </w:r>
      <w:r w:rsidRPr="00277E4E">
        <w:t>a</w:t>
      </w:r>
      <w:r w:rsidR="00E848A4" w:rsidRPr="00277E4E">
        <w:t xml:space="preserve">s </w:t>
      </w:r>
      <w:r w:rsidR="001B252A" w:rsidRPr="00277E4E">
        <w:t xml:space="preserve">arī </w:t>
      </w:r>
      <w:r w:rsidR="00E848A4" w:rsidRPr="00277E4E">
        <w:t xml:space="preserve">uz </w:t>
      </w:r>
      <w:r w:rsidR="00B870D0" w:rsidRPr="00277E4E">
        <w:t xml:space="preserve">Senāta </w:t>
      </w:r>
      <w:r w:rsidR="00E848A4" w:rsidRPr="00277E4E">
        <w:t>judikatūr</w:t>
      </w:r>
      <w:r w:rsidR="00B870D0" w:rsidRPr="00277E4E">
        <w:t>ā</w:t>
      </w:r>
      <w:r w:rsidR="00E848A4" w:rsidRPr="00277E4E">
        <w:t xml:space="preserve"> atz</w:t>
      </w:r>
      <w:r w:rsidR="00B870D0" w:rsidRPr="00277E4E">
        <w:t>īto</w:t>
      </w:r>
      <w:r w:rsidR="00E848A4" w:rsidRPr="00277E4E">
        <w:t>, ka nodokļu maksātājam, kas veic priekšnodokļa atskaitījumus, nodokļu normatīvie akti neprasa pārliecināties, vai darījum</w:t>
      </w:r>
      <w:r w:rsidR="00647CF2" w:rsidRPr="00277E4E">
        <w:t>u</w:t>
      </w:r>
      <w:r w:rsidR="00E848A4" w:rsidRPr="00277E4E">
        <w:t xml:space="preserve"> partneris patiešām atrodas juridiskajā adresē, vai darījum</w:t>
      </w:r>
      <w:r w:rsidR="00647CF2" w:rsidRPr="00277E4E">
        <w:t>u</w:t>
      </w:r>
      <w:r w:rsidR="00E848A4" w:rsidRPr="00277E4E">
        <w:t xml:space="preserve"> partnerim pieder preces, ko tas pārdod, vai tas izmanto paša transportu apliekamo darījumu veikšanai vai iznomā to, vai darījum</w:t>
      </w:r>
      <w:r w:rsidR="00647CF2" w:rsidRPr="00277E4E">
        <w:t>u</w:t>
      </w:r>
      <w:r w:rsidR="00E848A4" w:rsidRPr="00277E4E">
        <w:t xml:space="preserve"> partneris ir izpildījis savus nodokļu maksātāja pienākumus utt. </w:t>
      </w:r>
    </w:p>
    <w:p w14:paraId="6AEA383E" w14:textId="3296CA9E" w:rsidR="00CB3B13" w:rsidRPr="00277E4E" w:rsidRDefault="00E848A4" w:rsidP="00277E4E">
      <w:pPr>
        <w:spacing w:line="276" w:lineRule="auto"/>
        <w:ind w:firstLine="567"/>
        <w:jc w:val="both"/>
      </w:pPr>
      <w:r w:rsidRPr="00277E4E">
        <w:t>Pārbaudot pārsūdzēto spriedumu, Senāts neatrod, ka tiesa pieteicējai būtu noteikusi pienākumu veikt šādas deklarēto darījumu partneru pārbaudes un ka tiesības veikt priekšnodokļa atskaitījumus būtu liegusi šādu pārbaužu neveikšanas dēļ.</w:t>
      </w:r>
      <w:r w:rsidR="00F3137C" w:rsidRPr="00277E4E">
        <w:t xml:space="preserve"> </w:t>
      </w:r>
      <w:r w:rsidR="00062E88" w:rsidRPr="00277E4E">
        <w:t xml:space="preserve">Arī kasācijas sūdzībā nav konkretizēts, kādu tieši normatīvajos aktos neparedzēto pārbaužu veikšanu tiesa ir noteikusi </w:t>
      </w:r>
      <w:r w:rsidR="00B870D0" w:rsidRPr="00277E4E">
        <w:t xml:space="preserve">pieteicējai </w:t>
      </w:r>
      <w:r w:rsidR="00062E88" w:rsidRPr="00277E4E">
        <w:t xml:space="preserve">kā obligātu pienākumu. </w:t>
      </w:r>
    </w:p>
    <w:p w14:paraId="5DE7CE69" w14:textId="77777777" w:rsidR="00CB3B13" w:rsidRPr="00277E4E" w:rsidRDefault="00CB3B13" w:rsidP="00277E4E">
      <w:pPr>
        <w:spacing w:line="276" w:lineRule="auto"/>
        <w:ind w:firstLine="567"/>
        <w:jc w:val="both"/>
      </w:pPr>
    </w:p>
    <w:p w14:paraId="48E35568" w14:textId="5BBEE1F1" w:rsidR="00CB3B13" w:rsidRPr="00277E4E" w:rsidRDefault="00CB3B13" w:rsidP="00277E4E">
      <w:pPr>
        <w:spacing w:line="276" w:lineRule="auto"/>
        <w:ind w:firstLine="567"/>
        <w:jc w:val="both"/>
      </w:pPr>
      <w:r w:rsidRPr="00277E4E">
        <w:t>[</w:t>
      </w:r>
      <w:r w:rsidR="00C94446" w:rsidRPr="00277E4E">
        <w:t>8</w:t>
      </w:r>
      <w:r w:rsidRPr="00277E4E">
        <w:t xml:space="preserve">] Vienlaikus kasācijas sūdzības argumentācija un </w:t>
      </w:r>
      <w:r w:rsidR="00D46FBF" w:rsidRPr="00277E4E">
        <w:t xml:space="preserve">pieteicējas sniegtā </w:t>
      </w:r>
      <w:r w:rsidRPr="00277E4E">
        <w:t xml:space="preserve">likuma „Par pievienotās vērtības nodokli” </w:t>
      </w:r>
      <w:proofErr w:type="gramStart"/>
      <w:r w:rsidRPr="00277E4E">
        <w:t>10.panta</w:t>
      </w:r>
      <w:proofErr w:type="gramEnd"/>
      <w:r w:rsidRPr="00277E4E">
        <w:t xml:space="preserve"> pirmās daļas 1.punkta analīze norāda uz pieteicējas viedokli, ka nodokļu maksātājam, veicot priekšnodokļa atskaitījumus</w:t>
      </w:r>
      <w:r w:rsidR="008F20B6" w:rsidRPr="00277E4E">
        <w:t>,</w:t>
      </w:r>
      <w:r w:rsidRPr="00277E4E">
        <w:t xml:space="preserve"> ir pienākums pārbaudīt vienīgi to, vai darījumu partneris ir reģistrēts pievienotās vērtības nodokļa maksātājs. </w:t>
      </w:r>
    </w:p>
    <w:p w14:paraId="3D715F3A" w14:textId="32D45C1A" w:rsidR="00CB3B13" w:rsidRPr="00F77AE6" w:rsidRDefault="00CB3B13" w:rsidP="00277E4E">
      <w:pPr>
        <w:spacing w:line="276" w:lineRule="auto"/>
        <w:ind w:firstLine="567"/>
        <w:jc w:val="both"/>
      </w:pPr>
      <w:r w:rsidRPr="00277E4E">
        <w:t xml:space="preserve">Kā tika norādīts jau iepriekš, lai tiktu atzītas nodokļu maksātāja tiesības uz priekšnodokļa atskaitījumiem, nepieciešams konstatēt virkni priekšnosacījumu, tostarp to, ka preces un pakalpojumi, par ko atskaitīts priekšnodoklis, ir saņemti tieši no nodokļa rēķinā norādītās ar pievienotās vērtības nodokli apliekamās personas. Tas nodokļa rēķina saņēmējam nosaka pienākumu pārliecināties par nodokļa rēķina izsniedzēja reģistrēšanos ar pievienotās vērtības nodokli apliekamo personu reģistrā. Taču rēķina izsniedzēja atbilstība reģistrēta nodokļa maksātāja statusam pati par sevi vēl nenozīmē, ka strīdus darījumu </w:t>
      </w:r>
      <w:r w:rsidR="00647CF2" w:rsidRPr="00277E4E">
        <w:t xml:space="preserve">veic </w:t>
      </w:r>
      <w:r w:rsidRPr="00277E4E">
        <w:t xml:space="preserve">tieši rēķina izsniedzējs. Rēķina izsniedzēja reģistrācija ar pievienotās vērtības nodokli apliekamo personu reģistrā pati par sevi nenozīmē arī to, ka šī persona faktiski spēj veikt ar nodokli apliekamus darījumus. Tādēļ rēķina saņēmēja atsaukšanās uz to, ka rēķina izsniedzējs ir reģistrēts ar pievienotās vērtības nodokli apliekamo personu reģistrā, ir nepietiekama priekšnodokļa atskaitījumu veikšanai. </w:t>
      </w:r>
      <w:r w:rsidR="00647CF2" w:rsidRPr="00277E4E">
        <w:t xml:space="preserve">Zināmos </w:t>
      </w:r>
      <w:r w:rsidRPr="00277E4E">
        <w:t xml:space="preserve">apstākļos no nodokļu maksātāja var tikt prasīts, lai tas pārliecinās par izvēlētā darījumu partnera spēju veikt konkrētos darījumus. </w:t>
      </w:r>
      <w:r w:rsidR="00647CF2" w:rsidRPr="00277E4E">
        <w:t>Ja ir n</w:t>
      </w:r>
      <w:r w:rsidRPr="00277E4E">
        <w:t xml:space="preserve">orādes, kas pieļauj aizdomas par nelikumību vai krāpšanas esību, informētam tirgus dalībniekam varētu tikt noteikts pienākums noskaidrot informāciju par citu tirgus dalībnieku, no kura viņš ir iecerējis pirkt preces vai pakalpojumus, lai pārliecinātos par viņa uzticamību (piemēram, </w:t>
      </w:r>
      <w:r w:rsidRPr="00277E4E">
        <w:rPr>
          <w:i/>
          <w:iCs/>
        </w:rPr>
        <w:t xml:space="preserve">Eiropas Savienības Tiesas </w:t>
      </w:r>
      <w:proofErr w:type="gramStart"/>
      <w:r w:rsidRPr="00277E4E">
        <w:rPr>
          <w:i/>
          <w:iCs/>
        </w:rPr>
        <w:t>2012.gada</w:t>
      </w:r>
      <w:proofErr w:type="gramEnd"/>
      <w:r w:rsidRPr="00277E4E">
        <w:rPr>
          <w:i/>
          <w:iCs/>
        </w:rPr>
        <w:t xml:space="preserve"> 21.jūnija sprieduma apvienotajās lietās </w:t>
      </w:r>
      <w:proofErr w:type="spellStart"/>
      <w:r w:rsidRPr="00277E4E">
        <w:rPr>
          <w:i/>
          <w:iCs/>
        </w:rPr>
        <w:t>Mahageben</w:t>
      </w:r>
      <w:proofErr w:type="spellEnd"/>
      <w:r w:rsidRPr="00277E4E">
        <w:rPr>
          <w:i/>
          <w:iCs/>
        </w:rPr>
        <w:t xml:space="preserve"> </w:t>
      </w:r>
      <w:proofErr w:type="spellStart"/>
      <w:r w:rsidRPr="00277E4E">
        <w:rPr>
          <w:i/>
          <w:iCs/>
        </w:rPr>
        <w:t>and</w:t>
      </w:r>
      <w:proofErr w:type="spellEnd"/>
      <w:r w:rsidRPr="00277E4E">
        <w:rPr>
          <w:i/>
          <w:iCs/>
        </w:rPr>
        <w:t xml:space="preserve"> </w:t>
      </w:r>
      <w:proofErr w:type="spellStart"/>
      <w:r w:rsidRPr="00277E4E">
        <w:rPr>
          <w:i/>
          <w:iCs/>
        </w:rPr>
        <w:t>David</w:t>
      </w:r>
      <w:proofErr w:type="spellEnd"/>
      <w:r w:rsidRPr="00277E4E">
        <w:rPr>
          <w:i/>
          <w:iCs/>
        </w:rPr>
        <w:t>, C-80/1</w:t>
      </w:r>
      <w:r w:rsidR="00647CF2" w:rsidRPr="00277E4E">
        <w:rPr>
          <w:i/>
          <w:iCs/>
        </w:rPr>
        <w:t>1 (</w:t>
      </w:r>
      <w:r w:rsidRPr="00277E4E">
        <w:rPr>
          <w:i/>
          <w:iCs/>
        </w:rPr>
        <w:t>ECLI:EU:C:2012:373</w:t>
      </w:r>
      <w:r w:rsidR="00647CF2" w:rsidRPr="00277E4E">
        <w:rPr>
          <w:i/>
          <w:iCs/>
        </w:rPr>
        <w:t>)</w:t>
      </w:r>
      <w:r w:rsidRPr="00277E4E">
        <w:rPr>
          <w:i/>
          <w:iCs/>
        </w:rPr>
        <w:t xml:space="preserve"> 60.punkts</w:t>
      </w:r>
      <w:r w:rsidRPr="00277E4E">
        <w:t>). Apstāklis par to, vai darījumu partneris, ar kuru tiek slēgts darījums, vispār spēj piegādāt preci, ir cieši saistīts ar to, vai darījums būs veiksmīgs un tā norisē nebūs nekādu šķēršļu. Tādējādi, slēdzot darījumu, rēķina saņēmējam būtu jāizrāda vismaz tik liela interese par darījumu partneri, kas varētu radīt pārliecību par darījumu partnera uzticamību un to, ka darījums patiešām izdosies (</w:t>
      </w:r>
      <w:r w:rsidRPr="00277E4E">
        <w:rPr>
          <w:i/>
          <w:iCs/>
        </w:rPr>
        <w:t>Senāta 2018.gada 8.jūnija sprieduma lietā Nr. SKA-45/2018 (ECLI:LV:AT:2018:0608.A420449912.2.S) 12.punkts</w:t>
      </w:r>
      <w:r w:rsidRPr="00277E4E">
        <w:t>). Ja</w:t>
      </w:r>
      <w:r w:rsidRPr="00277E4E">
        <w:rPr>
          <w:rFonts w:eastAsiaTheme="minorEastAsia"/>
          <w:kern w:val="24"/>
        </w:rPr>
        <w:t xml:space="preserve"> vien darījumu raksturs un saimnieciskā realitāte to prasa un ja personai ir patiesa vēlme, lai tās darījums izdotos, tad pārliecības gūšana par darījum</w:t>
      </w:r>
      <w:r w:rsidR="00647CF2" w:rsidRPr="00277E4E">
        <w:rPr>
          <w:rFonts w:eastAsiaTheme="minorEastAsia"/>
          <w:kern w:val="24"/>
        </w:rPr>
        <w:t>u</w:t>
      </w:r>
      <w:r w:rsidRPr="00277E4E">
        <w:rPr>
          <w:rFonts w:eastAsiaTheme="minorEastAsia"/>
          <w:kern w:val="24"/>
        </w:rPr>
        <w:t xml:space="preserve"> partnera spēju sniegt pakalpojumu ir gluži dabiska. </w:t>
      </w:r>
      <w:r w:rsidRPr="00277E4E">
        <w:rPr>
          <w:rFonts w:eastAsiaTheme="minorEastAsia"/>
          <w:kern w:val="24"/>
        </w:rPr>
        <w:lastRenderedPageBreak/>
        <w:t>Prasīt no nodokļu maksātāja, lai tas veic papildu pārbaudes var tad, ja konkrētajos apstākļos nodokļu maksātājam vajadzēja rasties objektīvām šaubām par savu darījumu partneri un ja tādēļ bija pamatoti gaidāms, ka nodokļu maksātājs noskaidros attiecīgo informāciju, lai šīs šaubas novērstu (</w:t>
      </w:r>
      <w:r w:rsidRPr="00F77AE6">
        <w:rPr>
          <w:rFonts w:eastAsiaTheme="minorEastAsia"/>
          <w:i/>
          <w:iCs/>
          <w:kern w:val="24"/>
        </w:rPr>
        <w:t xml:space="preserve">Senāta 2019.gada 29.maija rīcības sēdes lēmuma lietā Nr. SKA-391/2019 </w:t>
      </w:r>
      <w:r w:rsidR="00F77AE6">
        <w:rPr>
          <w:rFonts w:eastAsiaTheme="minorEastAsia"/>
          <w:i/>
          <w:iCs/>
          <w:kern w:val="24"/>
        </w:rPr>
        <w:t>(ECLI:LV:AT:2019:0529.A420139415.3.L</w:t>
      </w:r>
      <w:r w:rsidRPr="00F77AE6">
        <w:rPr>
          <w:rFonts w:eastAsiaTheme="minorEastAsia"/>
          <w:i/>
          <w:iCs/>
          <w:kern w:val="24"/>
        </w:rPr>
        <w:t xml:space="preserve">) </w:t>
      </w:r>
      <w:r w:rsidR="0019247B" w:rsidRPr="00F77AE6">
        <w:rPr>
          <w:rFonts w:eastAsiaTheme="minorEastAsia"/>
          <w:i/>
          <w:iCs/>
          <w:kern w:val="24"/>
        </w:rPr>
        <w:t>2</w:t>
      </w:r>
      <w:r w:rsidRPr="00F77AE6">
        <w:rPr>
          <w:rFonts w:eastAsiaTheme="minorEastAsia"/>
          <w:i/>
          <w:iCs/>
          <w:kern w:val="24"/>
        </w:rPr>
        <w:t>.punkts</w:t>
      </w:r>
      <w:r w:rsidRPr="00F77AE6">
        <w:rPr>
          <w:rFonts w:eastAsiaTheme="minorEastAsia"/>
          <w:kern w:val="24"/>
        </w:rPr>
        <w:t xml:space="preserve">). </w:t>
      </w:r>
    </w:p>
    <w:p w14:paraId="415F05BE" w14:textId="0D7BFCEE" w:rsidR="00CB3B13" w:rsidRPr="00277E4E" w:rsidRDefault="00CB3B13" w:rsidP="00277E4E">
      <w:pPr>
        <w:spacing w:line="276" w:lineRule="auto"/>
        <w:ind w:firstLine="567"/>
        <w:jc w:val="both"/>
      </w:pPr>
      <w:r w:rsidRPr="00F77AE6">
        <w:t>Tātad gan Eiropas</w:t>
      </w:r>
      <w:r w:rsidRPr="00277E4E">
        <w:t xml:space="preserve"> Savienības Tiesas, gan Senāta judikatūrā ir atzīts</w:t>
      </w:r>
      <w:r w:rsidR="001C6C90" w:rsidRPr="00277E4E">
        <w:t>: ja</w:t>
      </w:r>
      <w:r w:rsidRPr="00277E4E">
        <w:t xml:space="preserve"> ir norādes, kas pieļauj aizdomas par nodokļu sistēmas ļaunprātīgu izmantošanu, nodokļu maksātājam var tikt noteiktas prasības noskaidrot papildu informāciju par savu darījumu partneri. P</w:t>
      </w:r>
      <w:r w:rsidRPr="00277E4E">
        <w:rPr>
          <w:rFonts w:eastAsiaTheme="minorEastAsia"/>
          <w:kern w:val="24"/>
        </w:rPr>
        <w:t>r</w:t>
      </w:r>
      <w:r w:rsidRPr="00277E4E">
        <w:t>asība, lai tirgus dalībnieks veiktu visus pasākumus, ko no tā saprātīgi var pieprasīt, lai pārliecinātos, ka tā veiktās darbības nav saistītas ar dalību krāpšanā nodokļu jomā, nav pretrunā ar Savienības tiesībām (</w:t>
      </w:r>
      <w:r w:rsidRPr="00277E4E">
        <w:rPr>
          <w:i/>
          <w:iCs/>
        </w:rPr>
        <w:t xml:space="preserve">Senāta </w:t>
      </w:r>
      <w:proofErr w:type="gramStart"/>
      <w:r w:rsidRPr="00277E4E">
        <w:rPr>
          <w:i/>
          <w:iCs/>
        </w:rPr>
        <w:t>2017.gada</w:t>
      </w:r>
      <w:proofErr w:type="gramEnd"/>
      <w:r w:rsidRPr="00277E4E">
        <w:rPr>
          <w:i/>
          <w:iCs/>
        </w:rPr>
        <w:t xml:space="preserve"> 27.decembra rīcības sēdes lēmuma lietā Nr. SKA-481/2017 (ECLI:LV:AT:2017:1227.A420410513.1.L) 8.punkts</w:t>
      </w:r>
      <w:r w:rsidRPr="00277E4E">
        <w:t xml:space="preserve">). Minētais pamatojams ar to, ka ar </w:t>
      </w:r>
      <w:r w:rsidR="00C94446" w:rsidRPr="00277E4E">
        <w:t>Padomes 2006.gada 28.novembra Direktīv</w:t>
      </w:r>
      <w:r w:rsidR="00647CF2" w:rsidRPr="00277E4E">
        <w:t>u</w:t>
      </w:r>
      <w:r w:rsidR="00C94446" w:rsidRPr="00277E4E">
        <w:t xml:space="preserve"> 2006/112/EK par kopējo pievienotās vērtības nodokļa sistēmu</w:t>
      </w:r>
      <w:r w:rsidRPr="00277E4E">
        <w:t>, kas ir transponēta likumā „Par pievienotās vērtības nodokli” (šobrīd Pievienotās vērtības nodokļa likumā), ir atzīta un veicināta cīņa pret krāpniecību, izvairīšanos no nodokļ</w:t>
      </w:r>
      <w:r w:rsidR="00647CF2" w:rsidRPr="00277E4E">
        <w:t>a</w:t>
      </w:r>
      <w:r w:rsidRPr="00277E4E">
        <w:t xml:space="preserve"> samaksas un iespējamu ļaunprātīgu rīcību. </w:t>
      </w:r>
    </w:p>
    <w:p w14:paraId="39C3BE82" w14:textId="4678FF0E" w:rsidR="001C6C90" w:rsidRPr="00277E4E" w:rsidRDefault="001C6C90" w:rsidP="00277E4E">
      <w:pPr>
        <w:spacing w:line="276" w:lineRule="auto"/>
        <w:ind w:firstLine="567"/>
        <w:jc w:val="both"/>
      </w:pPr>
      <w:r w:rsidRPr="00277E4E">
        <w:t>Rezumējot minēto, tas, ka pieteicēja ir pārbaudījusi, vai darījumu partneri ir reģistrēti ar pievienotās vērtības nodokli apliekamo personu reģistrā, pats par sevi neliecina par pienācīgu savu darījumu partneru pārbaudi (</w:t>
      </w:r>
      <w:r w:rsidRPr="00277E4E">
        <w:rPr>
          <w:i/>
          <w:iCs/>
        </w:rPr>
        <w:t xml:space="preserve">Senāta </w:t>
      </w:r>
      <w:proofErr w:type="gramStart"/>
      <w:r w:rsidRPr="00277E4E">
        <w:rPr>
          <w:i/>
          <w:iCs/>
        </w:rPr>
        <w:t>2018.gada</w:t>
      </w:r>
      <w:proofErr w:type="gramEnd"/>
      <w:r w:rsidRPr="00277E4E">
        <w:rPr>
          <w:i/>
          <w:iCs/>
        </w:rPr>
        <w:t xml:space="preserve"> 20.marta rīcības sēdes lēmuma lietā Nr. SKA-462/2018 (ECLI:LV:AT:2018:0320.A420521612.2.2L) 9.punkts</w:t>
      </w:r>
      <w:r w:rsidRPr="00277E4E">
        <w:t xml:space="preserve">). Nepieciešams noskaidrot arī to, vai </w:t>
      </w:r>
      <w:r w:rsidR="00CB3B13" w:rsidRPr="00277E4E">
        <w:t xml:space="preserve">ir konstatējamas kādas norādes, kuru dēļ </w:t>
      </w:r>
      <w:r w:rsidRPr="00277E4E">
        <w:t xml:space="preserve">pieteicējai </w:t>
      </w:r>
      <w:r w:rsidR="00CB3B13" w:rsidRPr="00277E4E">
        <w:t>vajadzēja rasties objektīvām šaubām par savu darījumu partneru spējām veikt strīdus darījumus</w:t>
      </w:r>
      <w:r w:rsidRPr="00277E4E">
        <w:t xml:space="preserve"> un saprātīgi rīkoties, lai novērstu šaubas un nodrošinātos pret </w:t>
      </w:r>
      <w:proofErr w:type="spellStart"/>
      <w:r w:rsidR="00746335" w:rsidRPr="00277E4E">
        <w:t>komercriskiem</w:t>
      </w:r>
      <w:proofErr w:type="spellEnd"/>
      <w:r w:rsidR="00746335" w:rsidRPr="00277E4E">
        <w:t xml:space="preserve"> un riskiem </w:t>
      </w:r>
      <w:r w:rsidRPr="00277E4E">
        <w:t>tikt iesaistīta</w:t>
      </w:r>
      <w:r w:rsidR="00746335" w:rsidRPr="00277E4E">
        <w:t>i</w:t>
      </w:r>
      <w:r w:rsidRPr="00277E4E">
        <w:t xml:space="preserve"> pievienotās vērtības nodokļa sistēmas ļaunprātīgā izmantošanā.</w:t>
      </w:r>
    </w:p>
    <w:p w14:paraId="509767BB" w14:textId="77777777" w:rsidR="00CB3B13" w:rsidRPr="00277E4E" w:rsidRDefault="00CB3B13" w:rsidP="00277E4E">
      <w:pPr>
        <w:spacing w:line="276" w:lineRule="auto"/>
        <w:ind w:firstLine="567"/>
        <w:jc w:val="both"/>
      </w:pPr>
    </w:p>
    <w:p w14:paraId="5B73630C" w14:textId="78DF7A31" w:rsidR="00CB3B13" w:rsidRPr="00277E4E" w:rsidRDefault="00CB3B13" w:rsidP="00277E4E">
      <w:pPr>
        <w:spacing w:line="276" w:lineRule="auto"/>
        <w:ind w:firstLine="567"/>
        <w:jc w:val="both"/>
      </w:pPr>
      <w:r w:rsidRPr="00277E4E">
        <w:t>[</w:t>
      </w:r>
      <w:r w:rsidR="00C94446" w:rsidRPr="00277E4E">
        <w:t>9</w:t>
      </w:r>
      <w:r w:rsidRPr="00277E4E">
        <w:t>] Tas, kāds pasākumu apjoms būtu saprātīgi sagaidāms no nodokļu maksātāja, pārliecinoties par to, ka preces un pakalpojumi tiek saņemti tieši no attaisnojuma dokumentos norādītās personas, ir izvērtējams katrā konkrētā lietā, ņemot vērā lietas apstākļus (</w:t>
      </w:r>
      <w:r w:rsidRPr="00277E4E">
        <w:rPr>
          <w:i/>
          <w:iCs/>
        </w:rPr>
        <w:t xml:space="preserve">Senāta </w:t>
      </w:r>
      <w:proofErr w:type="gramStart"/>
      <w:r w:rsidRPr="00277E4E">
        <w:rPr>
          <w:i/>
          <w:iCs/>
        </w:rPr>
        <w:t>2017.gada</w:t>
      </w:r>
      <w:proofErr w:type="gramEnd"/>
      <w:r w:rsidRPr="00277E4E">
        <w:rPr>
          <w:i/>
          <w:iCs/>
        </w:rPr>
        <w:t xml:space="preserve"> 31.maija spriedum</w:t>
      </w:r>
      <w:r w:rsidR="007316CE" w:rsidRPr="00277E4E">
        <w:rPr>
          <w:i/>
          <w:iCs/>
        </w:rPr>
        <w:t>a</w:t>
      </w:r>
      <w:r w:rsidRPr="00277E4E">
        <w:rPr>
          <w:i/>
          <w:iCs/>
        </w:rPr>
        <w:t xml:space="preserve"> lietā Nr. SKA-211/2017 (A420472712) 15.punkts</w:t>
      </w:r>
      <w:r w:rsidRPr="00277E4E">
        <w:t xml:space="preserve">). </w:t>
      </w:r>
      <w:r w:rsidR="00746335" w:rsidRPr="00277E4E">
        <w:t>Z</w:t>
      </w:r>
      <w:r w:rsidRPr="00277E4E">
        <w:t>ināms, bet ne izsmeļošs saprātīgi sagaidāmo pasākumu vērtējums ir attīstīts tiesu praksē, piemēram, saprātīgi sagaidāmie pasākumi var attiekties kā uz darījumu partnera izvēli un pārbaudi, tā arī uz saimnieciskās darbības specifiku un sadarbību ar darījum</w:t>
      </w:r>
      <w:r w:rsidR="00746335" w:rsidRPr="00277E4E">
        <w:t>u</w:t>
      </w:r>
      <w:r w:rsidRPr="00277E4E">
        <w:t xml:space="preserve"> partneriem, darījumu raksturu un faktisko norisi u.tml. (piemēram, </w:t>
      </w:r>
      <w:r w:rsidRPr="00277E4E">
        <w:rPr>
          <w:i/>
          <w:iCs/>
        </w:rPr>
        <w:t>Senāta 2018.gada 22.jūnija sprieduma lietā Nr. SKA-108/2018 (ECLI:LV:AT:2018:0622.A420299713.2.S) 8.punkts, Senāta 2018.gada 5.septembra rīcības sēdes lēmuma lietā Nr. SKA-213/2018 (ECLI:LV:AT:2018:0905.A420546112.1.L) 4.punkts, Senāta 2019.gada 9.maija rīcības sēdes lēmuma lietā Nr. SKA-250/2019 (ECLI:LV:AT:2019:0509.A420170515.2.L) 6.punkts, Senāta 2017.gada 27.decembra sprieduma lietā Nr. SKA-179/2017 (ECLI:LV:AT:2017:1227.A420294913.1.S) 8.punkts</w:t>
      </w:r>
      <w:r w:rsidRPr="00277E4E">
        <w:t>).</w:t>
      </w:r>
    </w:p>
    <w:p w14:paraId="5316C9B3" w14:textId="0722DFF5" w:rsidR="001A4FB0" w:rsidRPr="00277E4E" w:rsidRDefault="00746335" w:rsidP="00277E4E">
      <w:pPr>
        <w:spacing w:line="276" w:lineRule="auto"/>
        <w:ind w:firstLine="567"/>
        <w:jc w:val="both"/>
      </w:pPr>
      <w:r w:rsidRPr="00277E4E">
        <w:t>Lai noskaidrotu, vai pieteicējas rīcība atbilst saprātīga komersanta rīcībai, tiesa ir ņēmusi vērā pieteicējas tiešos darījumu partnerus raksturojošo informāciju</w:t>
      </w:r>
      <w:r w:rsidR="00571277" w:rsidRPr="00277E4E">
        <w:t xml:space="preserve"> un </w:t>
      </w:r>
      <w:r w:rsidRPr="00277E4E">
        <w:t>vērtējusi</w:t>
      </w:r>
      <w:r w:rsidR="00571277" w:rsidRPr="00277E4E">
        <w:t xml:space="preserve"> to</w:t>
      </w:r>
      <w:r w:rsidRPr="00277E4E">
        <w:t xml:space="preserve"> kopsakarā ar pieteicējas paskaidrojumiem par darījumu partneru izvēli un darījumu norisi.</w:t>
      </w:r>
      <w:r w:rsidR="00571277" w:rsidRPr="00277E4E">
        <w:t xml:space="preserve"> </w:t>
      </w:r>
      <w:r w:rsidRPr="00277E4E">
        <w:t xml:space="preserve">Proti, pirmās instances tiesa, kuras secinājumiem apgabaltiesa ir pievienojusies, ir konstatējusi, ka pieteicējas deklarētie darījumu partneri ir dibināti neilgi pirms strīdus darījumu noslēgšanas un to reģistrētie darbības virzieni neatbilst strīdus darījumu būtībai. Neapšaubāmi, šie apstākļi paši par sevi neliecina par uzņēmuma nespēju veikt saimniecisko darbību un izpildīt strīdus darbus. Taču konkrētajā gadījumā, ja pieteicēja pirms strīdus darījumu noslēgšanas ielūkotos </w:t>
      </w:r>
      <w:r w:rsidRPr="00277E4E">
        <w:lastRenderedPageBreak/>
        <w:t>publiskajos reģistros un noskaidrotu informāciju par konkrētajiem uzņēmumiem, pieteicējai šiem apstākļiem būtu jāpievērš uzmanība. Minēt</w:t>
      </w:r>
      <w:r w:rsidR="007316CE" w:rsidRPr="00277E4E">
        <w:t xml:space="preserve">o tiesa ir pamatojusi ar </w:t>
      </w:r>
      <w:r w:rsidRPr="00277E4E">
        <w:t xml:space="preserve">to, ka pieteicēja darījumu partneriem pasūtīja pietiekami specifiskus pakalpojumus (3D projekta, korporatīvā stila, reklāmas </w:t>
      </w:r>
      <w:proofErr w:type="spellStart"/>
      <w:r w:rsidRPr="00277E4E">
        <w:t>baneru</w:t>
      </w:r>
      <w:proofErr w:type="spellEnd"/>
      <w:r w:rsidRPr="00277E4E">
        <w:t xml:space="preserve">, vizualizācijas projekta izstrādi u.tml.), pakalpojumus, </w:t>
      </w:r>
      <w:proofErr w:type="gramStart"/>
      <w:r w:rsidRPr="00277E4E">
        <w:t>kuru izpildei ir</w:t>
      </w:r>
      <w:proofErr w:type="gramEnd"/>
      <w:r w:rsidRPr="00277E4E">
        <w:t xml:space="preserve"> nepieciešamas atbilstošas zināšanas, kvalifikācija un pieredze (juridiskie pakalpojumi, iekšējā audita veikšana), kā arī pakalpojumus, kuru izpildei ir nepieciešami atbilstoši materiāltehniskie resursi un darbinieki (būvniecības darbi). Tiesas konstatētajos apstākļos, kad pieteicējas deklarētie darījum</w:t>
      </w:r>
      <w:r w:rsidR="00144CB6" w:rsidRPr="00277E4E">
        <w:t>u partner</w:t>
      </w:r>
      <w:r w:rsidRPr="00277E4E">
        <w:t>i ir jaundibināti uzņēmumi ar strīdus darījumu būtībai neatbilstošiem reģistrētiem darbības virzieniem, no pieteicējas būtu sagaidāms izskaidrojums, kā pieteicēja pārliecinājās, ka tās izvēlētie darījumu partneri patiešām spē</w:t>
      </w:r>
      <w:r w:rsidR="007316CE" w:rsidRPr="00277E4E">
        <w:t>s</w:t>
      </w:r>
      <w:r w:rsidRPr="00277E4E">
        <w:t xml:space="preserve"> izpildīt attiecīgos darbus, ka tiem ir prasmes un pieredze darboties konkrētajā tirgū. Tiesa pieteicējas amatpersonai ir uzdevusi vairākus jautājumus par darījumu partneru izvēles kritērijiem un par to, kā pieteicēja pārliecinājās</w:t>
      </w:r>
      <w:r w:rsidR="007316CE" w:rsidRPr="00277E4E">
        <w:t xml:space="preserve"> par darījumu partneru spēju </w:t>
      </w:r>
      <w:r w:rsidRPr="00277E4E">
        <w:t>izpildīt konkrētos pakalpojumus un piegādāt nepieciešamās preces. Tā rezultātā tiesa ir noskaidrojusi, ka pieteicēja nav izrādījusi nekādu interesi par izvēlēto darījumu partneri, paļaujoties vienīgi uz neidentificēto paziņu ieteikumiem darījumus veikt ar konkrētiem darījumu partneriem. Pieteicēja pret šādu tiesas vērtējumu un secinājumu jebkādus iebildumus kasācijas sūdzībā nav norādījusi</w:t>
      </w:r>
      <w:r w:rsidR="001A4FB0" w:rsidRPr="00277E4E">
        <w:t>.</w:t>
      </w:r>
    </w:p>
    <w:p w14:paraId="214CA0CD" w14:textId="5906ECE7" w:rsidR="006804F8" w:rsidRPr="00277E4E" w:rsidRDefault="00571277" w:rsidP="00277E4E">
      <w:pPr>
        <w:spacing w:line="276" w:lineRule="auto"/>
        <w:ind w:firstLine="567"/>
        <w:jc w:val="both"/>
      </w:pPr>
      <w:r w:rsidRPr="00277E4E">
        <w:t>T</w:t>
      </w:r>
      <w:r w:rsidR="00382C94" w:rsidRPr="00277E4E">
        <w:t xml:space="preserve">iesa ir norādījusi, </w:t>
      </w:r>
      <w:r w:rsidRPr="00277E4E">
        <w:t>ka</w:t>
      </w:r>
      <w:r w:rsidR="00382C94" w:rsidRPr="00277E4E">
        <w:t xml:space="preserve"> konkrētā darījumu partner</w:t>
      </w:r>
      <w:r w:rsidR="00D46FBF" w:rsidRPr="00277E4E">
        <w:t>a</w:t>
      </w:r>
      <w:r w:rsidR="00382C94" w:rsidRPr="00277E4E">
        <w:t xml:space="preserve"> izvēli pamatojošie paskaidrojumi no pieteicējas bija sagaidāmi ne vien minēto iemeslu dēļ, bet arī ievērojot konkrēto pakalpojumu raksturu un vērtību. Piemēram, pieteicēja nav loģiski izskaidrojusi nepieciešamību juridiskos pakalpojumu</w:t>
      </w:r>
      <w:r w:rsidR="00463D8B" w:rsidRPr="00277E4E">
        <w:t>s</w:t>
      </w:r>
      <w:r w:rsidR="00382C94" w:rsidRPr="00277E4E">
        <w:t xml:space="preserve"> pasūtīt uzņēmumam, par kura spējām veikt attiecīgos darbus pieteicējas rīcībā n</w:t>
      </w:r>
      <w:r w:rsidR="00D46FBF" w:rsidRPr="00277E4E">
        <w:t>ebija</w:t>
      </w:r>
      <w:r w:rsidR="00382C94" w:rsidRPr="00277E4E">
        <w:t xml:space="preserve"> informācijas un kura vienīgajai amatpersonai un darbiniecei n</w:t>
      </w:r>
      <w:r w:rsidR="00D46FBF" w:rsidRPr="00277E4E">
        <w:t>ebija</w:t>
      </w:r>
      <w:r w:rsidR="00382C94" w:rsidRPr="00277E4E">
        <w:t xml:space="preserve"> ne atbilstošas izglītības, ne zināšanu, ne arī pieredzes. Tāpat pieteicēja nav izskaidrojusi šāda darījuma ekonomisko pamatojumu, piemēram, par prasības pieteikuma tiesai sagatavošanu pieteicēja ir samaksājusi </w:t>
      </w:r>
      <w:r w:rsidR="00463D8B" w:rsidRPr="00277E4E">
        <w:t xml:space="preserve">gandrīz </w:t>
      </w:r>
      <w:r w:rsidR="00382C94" w:rsidRPr="00277E4E">
        <w:t>4000 </w:t>
      </w:r>
      <w:proofErr w:type="spellStart"/>
      <w:r w:rsidR="00382C94" w:rsidRPr="00277E4E">
        <w:rPr>
          <w:i/>
          <w:iCs/>
        </w:rPr>
        <w:t>euro</w:t>
      </w:r>
      <w:proofErr w:type="spellEnd"/>
      <w:r w:rsidR="00382C94" w:rsidRPr="00277E4E">
        <w:t xml:space="preserve">, </w:t>
      </w:r>
      <w:proofErr w:type="gramStart"/>
      <w:r w:rsidR="00382C94" w:rsidRPr="00277E4E">
        <w:t>kas vairākas reizes pārsniedz</w:t>
      </w:r>
      <w:proofErr w:type="gramEnd"/>
      <w:r w:rsidR="00382C94" w:rsidRPr="00277E4E">
        <w:t xml:space="preserve"> zvērinātu advokātu noteiktās pakalpojumu izmaksas. Šāda rīcība neatbilst saprātīga komersanta rīcībai. Tāpat pieteicēja nav izskaidrojusi </w:t>
      </w:r>
      <w:r w:rsidR="006804F8" w:rsidRPr="00277E4E">
        <w:t xml:space="preserve">darījumu norisi kopsakarā ar </w:t>
      </w:r>
      <w:r w:rsidR="00382C94" w:rsidRPr="00277E4E">
        <w:t>trūkum</w:t>
      </w:r>
      <w:r w:rsidR="006804F8" w:rsidRPr="00277E4E">
        <w:t>iem</w:t>
      </w:r>
      <w:r w:rsidR="00382C94" w:rsidRPr="00277E4E">
        <w:t xml:space="preserve"> darījumu dokument</w:t>
      </w:r>
      <w:r w:rsidR="006804F8" w:rsidRPr="00277E4E">
        <w:t>o</w:t>
      </w:r>
      <w:r w:rsidR="00382C94" w:rsidRPr="00277E4E">
        <w:t xml:space="preserve">s, piemēram, </w:t>
      </w:r>
      <w:r w:rsidR="0099669C" w:rsidRPr="00277E4E">
        <w:t>tehniskais projekts vispirms tika apstiprināts būvvaldē</w:t>
      </w:r>
      <w:r w:rsidR="00382C94" w:rsidRPr="00277E4E">
        <w:t>,</w:t>
      </w:r>
      <w:r w:rsidR="0099669C" w:rsidRPr="00277E4E">
        <w:t xml:space="preserve"> un tikai pēc tam atbilstoši dokumentiem pieteicējas darījumu partneris veica tā izstrādi. </w:t>
      </w:r>
      <w:r w:rsidR="006804F8" w:rsidRPr="00277E4E">
        <w:t>Tāpat pieteicēja nav izskaidrojusi, kāpēc tā ir apmaksājusi pakalpojumus, kuri atbilstoši darījumu dokumentiem sniegti pēc uzņēmumu sadarbības pārtraukšanas.</w:t>
      </w:r>
    </w:p>
    <w:p w14:paraId="2C34211B" w14:textId="1C8B0407" w:rsidR="009D442A" w:rsidRPr="00277E4E" w:rsidRDefault="00571277" w:rsidP="00277E4E">
      <w:pPr>
        <w:spacing w:line="276" w:lineRule="auto"/>
        <w:ind w:firstLine="567"/>
        <w:jc w:val="both"/>
      </w:pPr>
      <w:r w:rsidRPr="00277E4E">
        <w:t xml:space="preserve">Ņemot vērā šos un pārējos tiesas analizētos apstākļus, tiesa ir atzinusi, ka pieteicējas rīcība neatbilst saprātīga komersanta rīcībai un pietecēja nav darījusi visu saprātīgi sagaidāmo, lai izvairītos no iesaistes nodokļu sistēmas ļaunprātīgā izmantošanā. </w:t>
      </w:r>
      <w:r w:rsidR="00B9363F" w:rsidRPr="00277E4E">
        <w:t>Šeit jānorāda, ka</w:t>
      </w:r>
      <w:r w:rsidR="005E2AA9" w:rsidRPr="00277E4E">
        <w:t xml:space="preserve"> atbilstoši tiesas </w:t>
      </w:r>
      <w:r w:rsidR="00B9363F" w:rsidRPr="00277E4E">
        <w:t xml:space="preserve">noskaidrotajiem </w:t>
      </w:r>
      <w:r w:rsidR="005E2AA9" w:rsidRPr="00277E4E">
        <w:t xml:space="preserve">apstākļiem un </w:t>
      </w:r>
      <w:r w:rsidR="00B9363F" w:rsidRPr="00277E4E">
        <w:t xml:space="preserve">iegūtajiem </w:t>
      </w:r>
      <w:r w:rsidR="005E2AA9" w:rsidRPr="00277E4E">
        <w:t>pierādījumiem pieteicējas darījumu partneriem ir konstatējamas fiktīv</w:t>
      </w:r>
      <w:r w:rsidR="001A4FB0" w:rsidRPr="00277E4E">
        <w:t>a</w:t>
      </w:r>
      <w:r w:rsidR="005E2AA9" w:rsidRPr="00277E4E">
        <w:t xml:space="preserve"> uzņēmum</w:t>
      </w:r>
      <w:r w:rsidR="001A4FB0" w:rsidRPr="00277E4E">
        <w:t>a</w:t>
      </w:r>
      <w:r w:rsidR="005E2AA9" w:rsidRPr="00277E4E">
        <w:t xml:space="preserve"> pazīmes, </w:t>
      </w:r>
      <w:r w:rsidR="00C23897" w:rsidRPr="00277E4E">
        <w:t>kas nozīmē</w:t>
      </w:r>
      <w:r w:rsidR="005E2AA9" w:rsidRPr="00277E4E">
        <w:t>, ka šādu uzņēmumu veidošanas patiesai</w:t>
      </w:r>
      <w:r w:rsidR="00B9363F" w:rsidRPr="00277E4E">
        <w:t>s</w:t>
      </w:r>
      <w:r w:rsidR="005E2AA9" w:rsidRPr="00277E4E">
        <w:t xml:space="preserve"> mērķis nav saimnieciskās darbības veikšana</w:t>
      </w:r>
      <w:r w:rsidR="00B9363F" w:rsidRPr="00277E4E">
        <w:t>. To apstiprina arī pieteicējas darījumu partneru reģistrēto amatpersonu sniegtie paskaidrojumi un liecības, kuras skaidri uzrāda, ka uzņēmumu dibināšanas patiesais mērķis</w:t>
      </w:r>
      <w:r w:rsidR="00C23897" w:rsidRPr="00277E4E">
        <w:t xml:space="preserve"> ir nevis saimniecisko darījumu veikšana, bet gan</w:t>
      </w:r>
      <w:r w:rsidR="00B9363F" w:rsidRPr="00277E4E">
        <w:t xml:space="preserve"> iesaistīšanās prettiesiskās darbībās, kāda ir arī nodokļu krāpšana. Šādos apstākļos p</w:t>
      </w:r>
      <w:r w:rsidR="005E2AA9" w:rsidRPr="00277E4E">
        <w:t xml:space="preserve">ieteicējai kā šo uzņēmumu tiešajai darījumu partnerei būtu jāspēj </w:t>
      </w:r>
      <w:r w:rsidR="00B9363F" w:rsidRPr="00277E4E">
        <w:t>ticami izskaidrot, kādā veidā tā nonāca līdz tam, ka starp visiem citiem iespējamiem darījumu partneriem tieši ar tādiem tika noslēgti darījumi</w:t>
      </w:r>
      <w:r w:rsidR="001A4FB0" w:rsidRPr="00277E4E">
        <w:t xml:space="preserve"> (</w:t>
      </w:r>
      <w:r w:rsidR="001A4FB0" w:rsidRPr="00277E4E">
        <w:rPr>
          <w:i/>
          <w:iCs/>
        </w:rPr>
        <w:t>Senāta 2020.gada 7.aprīļa sprieduma lietā Nr. SKA-88/2020 (ECLI:LV:AT:2020:0407.A420525013.3.S) 8.punkts</w:t>
      </w:r>
      <w:r w:rsidR="001A4FB0" w:rsidRPr="00277E4E">
        <w:t>).</w:t>
      </w:r>
      <w:r w:rsidR="00B9363F" w:rsidRPr="00277E4E">
        <w:t xml:space="preserve"> Taču pieteicēja skaidrus un pārliecinošus paskaidrojumus par konkrēto darījumu partneru izvēli nav sniegusi. </w:t>
      </w:r>
      <w:r w:rsidR="00AC3290" w:rsidRPr="00277E4E">
        <w:t>T</w:t>
      </w:r>
      <w:r w:rsidR="009D442A" w:rsidRPr="00277E4E">
        <w:t xml:space="preserve">iesa pamatoti argumentējusi, ka pieteicējai nevis uzlikts pienākums pārbaudīt savus darījumus </w:t>
      </w:r>
      <w:r w:rsidR="009D442A" w:rsidRPr="00277E4E">
        <w:lastRenderedPageBreak/>
        <w:t>partnerus, bet, tā kā konstatētas fiktīvu dokumentu noformēšanas pazīmes, pieteicējai prasīti pierādījumi, kas apstiprinātu, ka attiecīgos pakalpojumus snieguši un darbus veikuši tieši tie uzņēmumi, kas norādīti nodokļa rēķinos. Savukārt darījum</w:t>
      </w:r>
      <w:r w:rsidR="00AC3290" w:rsidRPr="00277E4E">
        <w:t>u</w:t>
      </w:r>
      <w:r w:rsidR="009D442A" w:rsidRPr="00277E4E">
        <w:t xml:space="preserve"> partneru spēja veikt attiecīgos darījumus vērtēta tāpēc, lai noskaidrotu, vai pieteicējas iegrāmatotajos rēķinos ietvertā informācija, ka pakalpojumus snieguši un darbus veikuši pieteicējas norādītie uzņēmumi, ir patiesa. Tiesa skaidrojusi, ka attiecīgi tiek vērtēts tas, vai pieteicēja zināja, ka darījumu partneris patiesībā ir tāds, kas darbus neveic, pakalpojumus nevar sniegt un nesniedz. Tā ir tiesas pašas veikta pārbaude par darījum</w:t>
      </w:r>
      <w:r w:rsidR="00595474" w:rsidRPr="00277E4E">
        <w:t>a noslēgšanu un norisi, nevis tikai apstākļu noskaidrošana par to, cik rūpīgi pieteicēja pārbaudījusi savus darījumus partnerus</w:t>
      </w:r>
      <w:r w:rsidR="009D442A" w:rsidRPr="00277E4E">
        <w:t>.</w:t>
      </w:r>
      <w:r w:rsidR="00595474" w:rsidRPr="00277E4E">
        <w:t xml:space="preserve"> Rezultātā apgabaltiesa pievienojusies rajona tiesas secinājumam, k</w:t>
      </w:r>
      <w:r w:rsidR="00595474" w:rsidRPr="00F77AE6">
        <w:t>a  p</w:t>
      </w:r>
      <w:r w:rsidR="00595474" w:rsidRPr="00277E4E">
        <w:t>ieteicējas rīcība, noformējot fiktīvus dokumentus, bija apzināta un ļaunprātīga.</w:t>
      </w:r>
    </w:p>
    <w:p w14:paraId="4415FCBB" w14:textId="621D53D6" w:rsidR="00593856" w:rsidRPr="00277E4E" w:rsidRDefault="009D442A" w:rsidP="00277E4E">
      <w:pPr>
        <w:spacing w:line="276" w:lineRule="auto"/>
        <w:ind w:firstLine="567"/>
        <w:jc w:val="both"/>
      </w:pPr>
      <w:r w:rsidRPr="00277E4E">
        <w:t xml:space="preserve"> </w:t>
      </w:r>
      <w:r w:rsidR="00595474" w:rsidRPr="00277E4E">
        <w:t xml:space="preserve">Senāts piekrīt, ka gadījumā, ja nodokļu maksātāja </w:t>
      </w:r>
      <w:r w:rsidR="00C23897" w:rsidRPr="00277E4E">
        <w:t xml:space="preserve">norādītais </w:t>
      </w:r>
      <w:r w:rsidR="00B9363F" w:rsidRPr="00277E4E">
        <w:t xml:space="preserve">darījumu partneru </w:t>
      </w:r>
      <w:r w:rsidR="009D4734" w:rsidRPr="00277E4E">
        <w:t xml:space="preserve">– fiktīvu uzņēmumu – </w:t>
      </w:r>
      <w:r w:rsidR="00B9363F" w:rsidRPr="00277E4E">
        <w:t>atrašana</w:t>
      </w:r>
      <w:r w:rsidR="00C23897" w:rsidRPr="00277E4E">
        <w:t>s veids</w:t>
      </w:r>
      <w:r w:rsidR="00B9363F" w:rsidRPr="00277E4E">
        <w:t xml:space="preserve">, kā arī </w:t>
      </w:r>
      <w:r w:rsidR="00595474" w:rsidRPr="00277E4E">
        <w:t xml:space="preserve">izklāstītā </w:t>
      </w:r>
      <w:r w:rsidR="00B9363F" w:rsidRPr="00277E4E">
        <w:t xml:space="preserve">darījumu noslēgšanas gaita </w:t>
      </w:r>
      <w:proofErr w:type="gramStart"/>
      <w:r w:rsidR="00B9363F" w:rsidRPr="00277E4E">
        <w:t>nav ticama</w:t>
      </w:r>
      <w:proofErr w:type="gramEnd"/>
      <w:r w:rsidR="00B9363F" w:rsidRPr="00277E4E">
        <w:t xml:space="preserve">, </w:t>
      </w:r>
      <w:r w:rsidR="00595474" w:rsidRPr="00277E4E">
        <w:t>nav saprotami rīcības motīvi, izvēloties konkrētos darījumu partnerus un darījumu organizēšanā rīkojoties komerciāli neraksturīgā un nesaprātīgā veidā</w:t>
      </w:r>
      <w:r w:rsidR="008645CA" w:rsidRPr="00277E4E">
        <w:t>. T</w:t>
      </w:r>
      <w:r w:rsidR="00595474" w:rsidRPr="00277E4E">
        <w:t>as var būt pamats secinā</w:t>
      </w:r>
      <w:r w:rsidR="008645CA" w:rsidRPr="00277E4E">
        <w:t>jumam</w:t>
      </w:r>
      <w:r w:rsidR="00595474" w:rsidRPr="00277E4E">
        <w:t xml:space="preserve">, </w:t>
      </w:r>
      <w:r w:rsidR="00B9363F" w:rsidRPr="00277E4E">
        <w:t xml:space="preserve">ka </w:t>
      </w:r>
      <w:r w:rsidR="00595474" w:rsidRPr="00277E4E">
        <w:t>šis nodokļu maksātājs</w:t>
      </w:r>
      <w:r w:rsidR="00B9363F" w:rsidRPr="00277E4E">
        <w:t xml:space="preserve"> apzināti ir izvēlēj</w:t>
      </w:r>
      <w:r w:rsidR="00595474" w:rsidRPr="00277E4E">
        <w:t>ies</w:t>
      </w:r>
      <w:r w:rsidR="00B9363F" w:rsidRPr="00277E4E">
        <w:t xml:space="preserve"> </w:t>
      </w:r>
      <w:r w:rsidR="001A4FB0" w:rsidRPr="00277E4E">
        <w:t xml:space="preserve">darījumus noformēt tieši ar </w:t>
      </w:r>
      <w:r w:rsidR="00595474" w:rsidRPr="00277E4E">
        <w:t>fiktīviem</w:t>
      </w:r>
      <w:r w:rsidR="001A4FB0" w:rsidRPr="00277E4E">
        <w:t xml:space="preserve"> uzņēmumiem</w:t>
      </w:r>
      <w:r w:rsidR="00595474" w:rsidRPr="00277E4E">
        <w:t xml:space="preserve">, ne tikvien nav darījis visu saprātīgi sagaidāmo, lai izvairītos no iesaistes darījumos ar </w:t>
      </w:r>
      <w:r w:rsidR="009D4734" w:rsidRPr="00277E4E">
        <w:t>šādiem</w:t>
      </w:r>
      <w:r w:rsidR="00595474" w:rsidRPr="00277E4E">
        <w:t xml:space="preserve"> uzņēmumiem</w:t>
      </w:r>
      <w:r w:rsidR="001A4FB0" w:rsidRPr="00277E4E">
        <w:t xml:space="preserve">. </w:t>
      </w:r>
    </w:p>
    <w:p w14:paraId="24F784CC" w14:textId="77777777" w:rsidR="00B9363F" w:rsidRPr="00277E4E" w:rsidRDefault="00B9363F" w:rsidP="00277E4E">
      <w:pPr>
        <w:spacing w:line="276" w:lineRule="auto"/>
        <w:ind w:firstLine="567"/>
        <w:jc w:val="both"/>
      </w:pPr>
    </w:p>
    <w:p w14:paraId="39E3E88F" w14:textId="761CCB98" w:rsidR="00061A0B" w:rsidRPr="00277E4E" w:rsidRDefault="006804F8" w:rsidP="00277E4E">
      <w:pPr>
        <w:spacing w:line="276" w:lineRule="auto"/>
        <w:ind w:firstLine="567"/>
        <w:jc w:val="both"/>
      </w:pPr>
      <w:r w:rsidRPr="00277E4E">
        <w:t>[</w:t>
      </w:r>
      <w:r w:rsidR="00C94446" w:rsidRPr="00277E4E">
        <w:t>10</w:t>
      </w:r>
      <w:r w:rsidRPr="00277E4E">
        <w:t>] </w:t>
      </w:r>
      <w:r w:rsidR="00C23897" w:rsidRPr="00277E4E">
        <w:t>P</w:t>
      </w:r>
      <w:r w:rsidR="00061A0B" w:rsidRPr="00277E4E">
        <w:t xml:space="preserve">irmās instances tiesa, </w:t>
      </w:r>
      <w:r w:rsidR="00C23897" w:rsidRPr="00277E4E">
        <w:t xml:space="preserve">vērtējot </w:t>
      </w:r>
      <w:r w:rsidR="00593856" w:rsidRPr="00277E4E">
        <w:t xml:space="preserve">pieteicējas informētību par iesaistīšanos pievienotās vērtības nodokļa sistēmas ļaunprātīgā izmantošanā, norādījusi, </w:t>
      </w:r>
      <w:r w:rsidR="00061A0B" w:rsidRPr="00277E4E">
        <w:t>ka pieteicēja nav pārbaudījusi</w:t>
      </w:r>
      <w:r w:rsidRPr="00277E4E">
        <w:t xml:space="preserve"> darījum</w:t>
      </w:r>
      <w:r w:rsidR="007316CE" w:rsidRPr="00277E4E">
        <w:t>u</w:t>
      </w:r>
      <w:r w:rsidRPr="00277E4E">
        <w:t xml:space="preserve"> partnera</w:t>
      </w:r>
      <w:r w:rsidR="00061A0B" w:rsidRPr="00277E4E">
        <w:t xml:space="preserve"> </w:t>
      </w:r>
      <w:r w:rsidRPr="00277E4E">
        <w:t xml:space="preserve">amatpersonas </w:t>
      </w:r>
      <w:r w:rsidR="007316CE" w:rsidRPr="00277E4E">
        <w:t>identitāti</w:t>
      </w:r>
      <w:r w:rsidR="00C23897" w:rsidRPr="00277E4E">
        <w:t xml:space="preserve">. Apgabaltiesa šādam secinājuma ir pievienojusies, savukārt pieteicēja </w:t>
      </w:r>
      <w:r w:rsidR="00C94446" w:rsidRPr="00277E4E">
        <w:t>uzskata</w:t>
      </w:r>
      <w:r w:rsidR="008F20B6" w:rsidRPr="00277E4E">
        <w:t xml:space="preserve">, ka </w:t>
      </w:r>
      <w:r w:rsidR="00C23897" w:rsidRPr="00277E4E">
        <w:t>tā ir</w:t>
      </w:r>
      <w:r w:rsidR="00C94446" w:rsidRPr="00277E4E">
        <w:t xml:space="preserve"> tiesību normās neparedzēt</w:t>
      </w:r>
      <w:r w:rsidR="00C23897" w:rsidRPr="00277E4E">
        <w:t>as</w:t>
      </w:r>
      <w:r w:rsidR="00C94446" w:rsidRPr="00277E4E">
        <w:t xml:space="preserve"> pārbaudes veikšan</w:t>
      </w:r>
      <w:r w:rsidR="00C23897" w:rsidRPr="00277E4E">
        <w:t>a</w:t>
      </w:r>
      <w:r w:rsidR="00C94446" w:rsidRPr="00277E4E">
        <w:t>.</w:t>
      </w:r>
      <w:r w:rsidR="00061A0B" w:rsidRPr="00277E4E">
        <w:t xml:space="preserve"> </w:t>
      </w:r>
    </w:p>
    <w:p w14:paraId="3A927ED0" w14:textId="18F46A47" w:rsidR="00221600" w:rsidRPr="00277E4E" w:rsidRDefault="00C94446" w:rsidP="00277E4E">
      <w:pPr>
        <w:spacing w:line="276" w:lineRule="auto"/>
        <w:ind w:firstLine="567"/>
        <w:jc w:val="both"/>
      </w:pPr>
      <w:r w:rsidRPr="00277E4E">
        <w:t xml:space="preserve">Vispārīgi uzņēmējam nav pienākuma pārliecināties par personas, kas piedalās darījumā, identitāti vai darbības tiesiskumu, tomēr iestādei un tiesai ir jāvērtē, vai konkrētie apstākļi tomēr neprasa padziļinātu interesi par savu darījumu partneri (sal. </w:t>
      </w:r>
      <w:r w:rsidRPr="00277E4E">
        <w:rPr>
          <w:i/>
          <w:iCs/>
        </w:rPr>
        <w:t xml:space="preserve">Eiropas Savienības Tiesas </w:t>
      </w:r>
      <w:proofErr w:type="gramStart"/>
      <w:r w:rsidRPr="00277E4E">
        <w:rPr>
          <w:i/>
          <w:iCs/>
        </w:rPr>
        <w:t>2017.gada</w:t>
      </w:r>
      <w:proofErr w:type="gramEnd"/>
      <w:r w:rsidRPr="00277E4E">
        <w:rPr>
          <w:i/>
          <w:iCs/>
        </w:rPr>
        <w:t xml:space="preserve"> 19.oktobra sprieduma lietā SC Paper </w:t>
      </w:r>
      <w:proofErr w:type="spellStart"/>
      <w:r w:rsidRPr="00277E4E">
        <w:rPr>
          <w:i/>
          <w:iCs/>
        </w:rPr>
        <w:t>Consult</w:t>
      </w:r>
      <w:proofErr w:type="spellEnd"/>
      <w:r w:rsidRPr="00277E4E">
        <w:rPr>
          <w:i/>
          <w:iCs/>
        </w:rPr>
        <w:t xml:space="preserve"> SRL, C-101/16 (ECLI:EU:C:2017:775) 51. un 52.punkts ar tur minētajām atsaucēm uz judikatūru</w:t>
      </w:r>
      <w:r w:rsidRPr="00277E4E">
        <w:t xml:space="preserve">). </w:t>
      </w:r>
      <w:r w:rsidRPr="00277E4E">
        <w:rPr>
          <w:rFonts w:eastAsiaTheme="minorEastAsia"/>
          <w:color w:val="000000" w:themeColor="text1"/>
          <w:kern w:val="24"/>
        </w:rPr>
        <w:t>Tātad</w:t>
      </w:r>
      <w:r w:rsidR="00061A0B" w:rsidRPr="00277E4E">
        <w:t xml:space="preserve">, ievērojot konkrētā darījuma raksturu, darījuma izpildes kārtību un darījumu praksi, no nodokļu maksātāja var tikt sagaidīts, ka tas noskaidros </w:t>
      </w:r>
      <w:r w:rsidRPr="00277E4E">
        <w:t xml:space="preserve">arī </w:t>
      </w:r>
      <w:r w:rsidR="00061A0B" w:rsidRPr="00277E4E">
        <w:t>darījuma partneri pārstāvošās personas tiesisko sai</w:t>
      </w:r>
      <w:r w:rsidR="0061428A" w:rsidRPr="00277E4E">
        <w:t>ti</w:t>
      </w:r>
      <w:r w:rsidR="00061A0B" w:rsidRPr="00277E4E">
        <w:t xml:space="preserve"> ar </w:t>
      </w:r>
      <w:r w:rsidR="007316CE" w:rsidRPr="00277E4E">
        <w:t xml:space="preserve">konkrēto </w:t>
      </w:r>
      <w:r w:rsidR="00061A0B" w:rsidRPr="00277E4E">
        <w:t>darījumu partneri</w:t>
      </w:r>
      <w:r w:rsidR="00221600" w:rsidRPr="00277E4E">
        <w:t xml:space="preserve">. </w:t>
      </w:r>
    </w:p>
    <w:p w14:paraId="37CF2290" w14:textId="1C52186E" w:rsidR="003F16DD" w:rsidRPr="00277E4E" w:rsidRDefault="00221600" w:rsidP="00277E4E">
      <w:pPr>
        <w:spacing w:line="276" w:lineRule="auto"/>
        <w:ind w:firstLine="567"/>
        <w:jc w:val="both"/>
      </w:pPr>
      <w:r w:rsidRPr="00277E4E">
        <w:t xml:space="preserve">Tiesas spriedumā norādīts, ka </w:t>
      </w:r>
      <w:r w:rsidR="003F16DD" w:rsidRPr="00277E4E">
        <w:t xml:space="preserve">pieteicēja </w:t>
      </w:r>
      <w:r w:rsidR="00D46FBF" w:rsidRPr="00277E4E">
        <w:t xml:space="preserve">savai darījumu partnerei, proti, </w:t>
      </w:r>
      <w:r w:rsidR="003F16DD" w:rsidRPr="00277E4E">
        <w:t>SIA </w:t>
      </w:r>
      <w:r w:rsidR="0019247B" w:rsidRPr="00277E4E">
        <w:t>„</w:t>
      </w:r>
      <w:r w:rsidR="003F16DD" w:rsidRPr="00277E4E">
        <w:t>TPT BALTIC” atbilstoši darījumu dokumentiem uzticēja veikt darījumus gandrīz 200 000 </w:t>
      </w:r>
      <w:proofErr w:type="spellStart"/>
      <w:r w:rsidR="003F16DD" w:rsidRPr="00277E4E">
        <w:rPr>
          <w:i/>
          <w:iCs/>
        </w:rPr>
        <w:t>euro</w:t>
      </w:r>
      <w:proofErr w:type="spellEnd"/>
      <w:r w:rsidR="003F16DD" w:rsidRPr="00277E4E">
        <w:rPr>
          <w:i/>
          <w:iCs/>
        </w:rPr>
        <w:t xml:space="preserve"> </w:t>
      </w:r>
      <w:r w:rsidR="003F16DD" w:rsidRPr="00277E4E">
        <w:t>vērtībā, darījumi ir pietiekami specifiski (tehniskā projekta 3D izstrāde un elektroinstalācijas darbu veikšana)</w:t>
      </w:r>
      <w:r w:rsidR="00D46FBF" w:rsidRPr="00277E4E">
        <w:t xml:space="preserve">, </w:t>
      </w:r>
      <w:r w:rsidR="003F16DD" w:rsidRPr="00277E4E">
        <w:t xml:space="preserve">minētais uzņēmums nodibināts tikai trīs mēnešus pirms darījumu noslēgšanas un pieteicējas rīcībā nebija nekādas informācijas par šā uzņēmuma spējām izpildīt nepieciešamos darbus. </w:t>
      </w:r>
      <w:r w:rsidR="00791FF7" w:rsidRPr="00277E4E">
        <w:t>Tiesa ņēmusi vērā p</w:t>
      </w:r>
      <w:r w:rsidR="003F16DD" w:rsidRPr="00277E4E">
        <w:t>ieteicēja</w:t>
      </w:r>
      <w:r w:rsidR="00791FF7" w:rsidRPr="00277E4E">
        <w:t>s</w:t>
      </w:r>
      <w:r w:rsidR="003F16DD" w:rsidRPr="00277E4E">
        <w:t xml:space="preserve"> nespēj</w:t>
      </w:r>
      <w:r w:rsidR="00791FF7" w:rsidRPr="00277E4E">
        <w:t>u loģiski</w:t>
      </w:r>
      <w:r w:rsidR="003F16DD" w:rsidRPr="00277E4E">
        <w:t xml:space="preserve"> izskaidrot, kāpēc konkrēto darījumu izpildei</w:t>
      </w:r>
      <w:r w:rsidR="00791FF7" w:rsidRPr="00277E4E">
        <w:t xml:space="preserve"> tika izvēlēts </w:t>
      </w:r>
      <w:r w:rsidR="003F16DD" w:rsidRPr="00277E4E">
        <w:t>tieši š</w:t>
      </w:r>
      <w:r w:rsidR="00791FF7" w:rsidRPr="00277E4E">
        <w:t>is</w:t>
      </w:r>
      <w:r w:rsidR="003F16DD" w:rsidRPr="00277E4E">
        <w:t xml:space="preserve"> uzņēmum</w:t>
      </w:r>
      <w:r w:rsidR="00791FF7" w:rsidRPr="00277E4E">
        <w:t xml:space="preserve">s </w:t>
      </w:r>
      <w:r w:rsidR="003F16DD" w:rsidRPr="00277E4E">
        <w:t xml:space="preserve">un kā </w:t>
      </w:r>
      <w:r w:rsidR="00791FF7" w:rsidRPr="00277E4E">
        <w:t xml:space="preserve">pieteicēja </w:t>
      </w:r>
      <w:r w:rsidR="003F16DD" w:rsidRPr="00277E4E">
        <w:t>guva pārliecību</w:t>
      </w:r>
      <w:r w:rsidR="00A303C5" w:rsidRPr="00277E4E">
        <w:t xml:space="preserve"> par</w:t>
      </w:r>
      <w:r w:rsidR="003F16DD" w:rsidRPr="00277E4E">
        <w:t xml:space="preserve"> š</w:t>
      </w:r>
      <w:r w:rsidR="00A303C5" w:rsidRPr="00277E4E">
        <w:t>ā</w:t>
      </w:r>
      <w:r w:rsidR="003F16DD" w:rsidRPr="00277E4E">
        <w:t xml:space="preserve"> uzņēmum</w:t>
      </w:r>
      <w:r w:rsidR="00A303C5" w:rsidRPr="00277E4E">
        <w:t>a spējām</w:t>
      </w:r>
      <w:r w:rsidR="003F16DD" w:rsidRPr="00277E4E">
        <w:t xml:space="preserve"> savlaicīg</w:t>
      </w:r>
      <w:r w:rsidR="00463D8B" w:rsidRPr="00277E4E">
        <w:t>i</w:t>
      </w:r>
      <w:r w:rsidR="003F16DD" w:rsidRPr="00277E4E">
        <w:t xml:space="preserve"> izpildī</w:t>
      </w:r>
      <w:r w:rsidR="00A303C5" w:rsidRPr="00277E4E">
        <w:t>t</w:t>
      </w:r>
      <w:r w:rsidR="003F16DD" w:rsidRPr="00277E4E">
        <w:t xml:space="preserve"> nepieciešamos darbus. Tiesa arī konstatējusi, ka pieteicējai iepriekš ar </w:t>
      </w:r>
      <w:bookmarkStart w:id="1" w:name="_Hlk51215385"/>
      <w:r w:rsidR="003F16DD" w:rsidRPr="00277E4E">
        <w:t>SIA </w:t>
      </w:r>
      <w:r w:rsidR="0019247B" w:rsidRPr="00277E4E">
        <w:t>„</w:t>
      </w:r>
      <w:r w:rsidR="003F16DD" w:rsidRPr="00277E4E">
        <w:t>TPT BALTIC”</w:t>
      </w:r>
      <w:bookmarkEnd w:id="1"/>
      <w:r w:rsidR="003F16DD" w:rsidRPr="00277E4E">
        <w:t xml:space="preserve"> darījumi nav bijuši un pieteicējai nebija zināmas šā uzņēmuma amatpersonas. Situācijā, kad nodokļu maksātājam iepriekš nezināma darījumu partnera vārdā piedāvājumu izsaka persona, par kuras identitāti un saistību ar konkrēto uzņēmumu pieteicēja nav pārliecinājusies, pieteicējai, apzinoties, ka tā vēlēsies par konkrēto darījumu atskaitīt priekšnodokli, būtu jāpievērš lielāka rūpība, pārliecinoties, kas ir tā persona, kas izteic piedāvājumu, un vai tiešām pakalpojumus sniedz tas uzņēmums, kas norādīts attaisnojuma dokumentos. Šādos apstākļos būtu saprātīgi un samērīgi sagaidīt, ka nodokļu </w:t>
      </w:r>
      <w:r w:rsidR="003F16DD" w:rsidRPr="00277E4E">
        <w:lastRenderedPageBreak/>
        <w:t>maksātājs noskaidro, kas ir tas cilvēks, kurš izsaka konkrēto piedāvājumu, un kādas tiesības viņam ir izteikt piedāvājumus konkrētā uzņēmuma vārdā. Tādā veidā komersants, kurš vēlas izmantot priekšnodokļa atskaitīšanas tiesības, no savas puses, cik tas ir saprātīgi viņa iespējās, samazin</w:t>
      </w:r>
      <w:r w:rsidR="00A303C5" w:rsidRPr="00277E4E">
        <w:t>a</w:t>
      </w:r>
      <w:r w:rsidR="003F16DD" w:rsidRPr="00277E4E">
        <w:t xml:space="preserve"> risku, ka preces faktiski piegādā personas, kas nav saistītas ar attaisnojuma dokumentos norādīto uzņēmumu un tikai izmanto šā uzņēmuma rekvizītus (</w:t>
      </w:r>
      <w:r w:rsidR="003F16DD" w:rsidRPr="00277E4E">
        <w:rPr>
          <w:i/>
          <w:iCs/>
        </w:rPr>
        <w:t>Senāta 2017.gada 31.maija sprieduma lietā Nr. SKA-211/2017 (A420472712) 15.punkts</w:t>
      </w:r>
      <w:r w:rsidR="003F16DD" w:rsidRPr="00277E4E">
        <w:t>).</w:t>
      </w:r>
    </w:p>
    <w:p w14:paraId="71A38543" w14:textId="03CFEE82" w:rsidR="00791FF7" w:rsidRPr="00277E4E" w:rsidRDefault="00593856" w:rsidP="00277E4E">
      <w:pPr>
        <w:spacing w:line="276" w:lineRule="auto"/>
        <w:ind w:firstLine="567"/>
        <w:jc w:val="both"/>
      </w:pPr>
      <w:r w:rsidRPr="00277E4E">
        <w:t>Kā jau minēts, p</w:t>
      </w:r>
      <w:r w:rsidR="003F16DD" w:rsidRPr="00277E4E">
        <w:t>ieteicēja visā lietas izskatīšanas gaitā tā arī nav saprotami izskaidrojusi, kā pieteicēja pārliecinājās, ka darījumi tiek veikti tieši ar nodokļa rēķinā norādīto, pieteicējai iepriekš nezināmo darījumu partneri, lai šādas pārliecināšanās rezultātā savu iespēju robežās mazinātu risku iesaistīties nodokļu sistēmas ļaunprātīgā izmantošanā</w:t>
      </w:r>
      <w:r w:rsidR="004910EC" w:rsidRPr="00277E4E">
        <w:t xml:space="preserve">. Ievērojot minēto, kā arī to, ka pieteicējas rīcība, nepārbaudot darījumu partneri pārstāvošās personas identitāti, nav vienīgais apstāklis, kas izmantots sprieduma argumentācijā, </w:t>
      </w:r>
      <w:r w:rsidR="00A303C5" w:rsidRPr="00277E4E">
        <w:t xml:space="preserve">vērtējot pieteicējas darījumus ar SIA „TPT BALTIC”, </w:t>
      </w:r>
      <w:r w:rsidR="004910EC" w:rsidRPr="00277E4E">
        <w:t>nav konstatējams, ka tiesa</w:t>
      </w:r>
      <w:r w:rsidR="00791FF7" w:rsidRPr="00277E4E">
        <w:t xml:space="preserve"> būtu nepareizi piemērojusi likuma </w:t>
      </w:r>
      <w:r w:rsidR="0061428A" w:rsidRPr="00277E4E">
        <w:t>„</w:t>
      </w:r>
      <w:r w:rsidR="00791FF7" w:rsidRPr="00277E4E">
        <w:t>Par pievienotās vērtības nodokli” 10.panta pirmās daļas 1.punktu.</w:t>
      </w:r>
    </w:p>
    <w:p w14:paraId="2347872D" w14:textId="77777777" w:rsidR="00791FF7" w:rsidRPr="00277E4E" w:rsidRDefault="00791FF7" w:rsidP="00277E4E">
      <w:pPr>
        <w:spacing w:line="276" w:lineRule="auto"/>
        <w:ind w:firstLine="567"/>
        <w:jc w:val="both"/>
        <w:rPr>
          <w:rFonts w:eastAsiaTheme="minorEastAsia"/>
          <w:color w:val="000000" w:themeColor="text1"/>
          <w:kern w:val="24"/>
        </w:rPr>
      </w:pPr>
    </w:p>
    <w:p w14:paraId="44BC3109" w14:textId="7A3207D2" w:rsidR="004910EC" w:rsidRPr="00277E4E" w:rsidRDefault="004910EC" w:rsidP="00277E4E">
      <w:pPr>
        <w:spacing w:line="276" w:lineRule="auto"/>
        <w:ind w:firstLine="567"/>
        <w:jc w:val="both"/>
        <w:rPr>
          <w:rFonts w:eastAsiaTheme="minorEastAsia"/>
          <w:color w:val="000000" w:themeColor="text1"/>
          <w:kern w:val="24"/>
        </w:rPr>
      </w:pPr>
      <w:r w:rsidRPr="00277E4E">
        <w:rPr>
          <w:rFonts w:eastAsiaTheme="minorEastAsia"/>
          <w:color w:val="000000" w:themeColor="text1"/>
          <w:kern w:val="24"/>
        </w:rPr>
        <w:t>[</w:t>
      </w:r>
      <w:r w:rsidR="00185678" w:rsidRPr="00277E4E">
        <w:rPr>
          <w:rFonts w:eastAsiaTheme="minorEastAsia"/>
          <w:color w:val="000000" w:themeColor="text1"/>
          <w:kern w:val="24"/>
        </w:rPr>
        <w:t>11</w:t>
      </w:r>
      <w:r w:rsidRPr="00277E4E">
        <w:rPr>
          <w:rFonts w:eastAsiaTheme="minorEastAsia"/>
          <w:color w:val="000000" w:themeColor="text1"/>
          <w:kern w:val="24"/>
        </w:rPr>
        <w:t>] Tāpat tiesa vērtējumā par to, vai pieteicēja zināja (tai vajadzēja zināt) par iesaistīšanos nepamatotā nodokļu samazināšanas plānā, ir norādījusi, ka pieteicējas darījumu partner</w:t>
      </w:r>
      <w:r w:rsidR="00463D8B" w:rsidRPr="00277E4E">
        <w:rPr>
          <w:rFonts w:eastAsiaTheme="minorEastAsia"/>
          <w:color w:val="000000" w:themeColor="text1"/>
          <w:kern w:val="24"/>
        </w:rPr>
        <w:t>is</w:t>
      </w:r>
      <w:r w:rsidRPr="00277E4E">
        <w:rPr>
          <w:rFonts w:eastAsiaTheme="minorEastAsia"/>
          <w:color w:val="000000" w:themeColor="text1"/>
          <w:kern w:val="24"/>
        </w:rPr>
        <w:t xml:space="preserve"> nebija reģistrēt</w:t>
      </w:r>
      <w:r w:rsidR="00463D8B" w:rsidRPr="00277E4E">
        <w:rPr>
          <w:rFonts w:eastAsiaTheme="minorEastAsia"/>
          <w:color w:val="000000" w:themeColor="text1"/>
          <w:kern w:val="24"/>
        </w:rPr>
        <w:t>s</w:t>
      </w:r>
      <w:r w:rsidRPr="00277E4E">
        <w:rPr>
          <w:rFonts w:eastAsiaTheme="minorEastAsia"/>
          <w:color w:val="000000" w:themeColor="text1"/>
          <w:kern w:val="24"/>
        </w:rPr>
        <w:t xml:space="preserve"> Būvkomersantu reģistrā.</w:t>
      </w:r>
    </w:p>
    <w:p w14:paraId="02B1F061" w14:textId="788FFA99" w:rsidR="004910EC" w:rsidRPr="00277E4E" w:rsidRDefault="004910EC" w:rsidP="00277E4E">
      <w:pPr>
        <w:spacing w:line="276" w:lineRule="auto"/>
        <w:ind w:firstLine="567"/>
        <w:jc w:val="both"/>
        <w:rPr>
          <w:rFonts w:eastAsiaTheme="minorEastAsia"/>
          <w:color w:val="000000" w:themeColor="text1"/>
          <w:kern w:val="24"/>
        </w:rPr>
      </w:pPr>
      <w:r w:rsidRPr="00277E4E">
        <w:rPr>
          <w:rFonts w:eastAsiaTheme="minorEastAsia"/>
          <w:color w:val="000000" w:themeColor="text1"/>
          <w:kern w:val="24"/>
        </w:rPr>
        <w:t xml:space="preserve">Arī tas, ka darījumu partneris nav reģistrējies attiecīgajos reģistros, pats par sevi neapliecina darījuma saistību ar krāpšanu pievienotās vērtības nodokļa jomā. Taču šis apstāklis ir ņemams vērā pārējo apstākļu un pierādījumu kopumā, lai noskaidrotu, vai nodokļu maksātājam pirms strīdus darījumu noslēgšanas bija kādas norādes, kas lika apšaubīt izvēlētā darījumu partnera spēju veikt strīdus darījumus un tādējādi nodrošināties pret </w:t>
      </w:r>
      <w:proofErr w:type="spellStart"/>
      <w:r w:rsidRPr="00277E4E">
        <w:rPr>
          <w:rFonts w:eastAsiaTheme="minorEastAsia"/>
          <w:color w:val="000000" w:themeColor="text1"/>
          <w:kern w:val="24"/>
        </w:rPr>
        <w:t>komercriskiem</w:t>
      </w:r>
      <w:proofErr w:type="spellEnd"/>
      <w:r w:rsidRPr="00277E4E">
        <w:rPr>
          <w:rFonts w:eastAsiaTheme="minorEastAsia"/>
          <w:color w:val="000000" w:themeColor="text1"/>
          <w:kern w:val="24"/>
        </w:rPr>
        <w:t xml:space="preserve"> un riskiem tikt iesaistītam ļaunprātīgajos darījumos. </w:t>
      </w:r>
    </w:p>
    <w:p w14:paraId="05A95AB3" w14:textId="721DD68D" w:rsidR="004910EC" w:rsidRPr="00277E4E" w:rsidRDefault="004910EC" w:rsidP="00277E4E">
      <w:pPr>
        <w:spacing w:line="276" w:lineRule="auto"/>
        <w:ind w:firstLine="567"/>
        <w:jc w:val="both"/>
      </w:pPr>
      <w:r w:rsidRPr="00277E4E">
        <w:rPr>
          <w:rFonts w:eastAsiaTheme="minorEastAsia"/>
          <w:color w:val="000000" w:themeColor="text1"/>
          <w:kern w:val="24"/>
        </w:rPr>
        <w:t xml:space="preserve">No pirmās instances tiesas sprieduma, kurā norādītajai argumentācijai apgabaltiesa ir pievienojusies, redzams, ka </w:t>
      </w:r>
      <w:r w:rsidR="00BC24E3" w:rsidRPr="00277E4E">
        <w:rPr>
          <w:rFonts w:eastAsiaTheme="minorEastAsia"/>
          <w:color w:val="000000" w:themeColor="text1"/>
          <w:kern w:val="24"/>
        </w:rPr>
        <w:t xml:space="preserve">tiesa </w:t>
      </w:r>
      <w:r w:rsidR="00BC24E3" w:rsidRPr="00277E4E">
        <w:t>secinājumu par pieteicējas informētību par iesaistīšanos nodokļu samazināšanas plānā ir pamatojusi</w:t>
      </w:r>
      <w:r w:rsidR="00F77AE6">
        <w:t>,</w:t>
      </w:r>
      <w:r w:rsidR="00BC24E3" w:rsidRPr="00277E4E">
        <w:t xml:space="preserve"> apstākli par </w:t>
      </w:r>
      <w:r w:rsidR="00BC24E3" w:rsidRPr="00277E4E">
        <w:rPr>
          <w:rFonts w:eastAsiaTheme="minorEastAsia"/>
          <w:color w:val="000000" w:themeColor="text1"/>
          <w:kern w:val="24"/>
        </w:rPr>
        <w:t xml:space="preserve">pieteicējas tiešās darījumu partneres, proti, </w:t>
      </w:r>
      <w:r w:rsidR="00BC24E3" w:rsidRPr="00277E4E">
        <w:t>SIA „IV SANTEX” nereģistrēšanos Būvkomersantu reģistr</w:t>
      </w:r>
      <w:r w:rsidR="00BC24E3" w:rsidRPr="00F77AE6">
        <w:t>ā</w:t>
      </w:r>
      <w:r w:rsidR="00BC24E3" w:rsidRPr="00277E4E">
        <w:t xml:space="preserve"> vērtējot kopsakarā ar šī uzņēmuma </w:t>
      </w:r>
      <w:r w:rsidR="00BC24E3" w:rsidRPr="00277E4E">
        <w:rPr>
          <w:rFonts w:eastAsiaTheme="minorEastAsia"/>
          <w:color w:val="000000" w:themeColor="text1"/>
          <w:kern w:val="24"/>
        </w:rPr>
        <w:t>reģistrētā darbības virziena neatbilstību strīdus darījumu būtībai</w:t>
      </w:r>
      <w:r w:rsidR="004545FC" w:rsidRPr="00277E4E">
        <w:rPr>
          <w:rFonts w:eastAsiaTheme="minorEastAsia"/>
          <w:color w:val="000000" w:themeColor="text1"/>
          <w:kern w:val="24"/>
        </w:rPr>
        <w:t xml:space="preserve">. Tam </w:t>
      </w:r>
      <w:r w:rsidR="00BC24E3" w:rsidRPr="00277E4E">
        <w:rPr>
          <w:rFonts w:eastAsiaTheme="minorEastAsia"/>
          <w:color w:val="000000" w:themeColor="text1"/>
          <w:kern w:val="24"/>
        </w:rPr>
        <w:t>pieteicējai bija jāpievērš uzmanība, lai pārliecinātos par darījumu partnera spējām</w:t>
      </w:r>
      <w:r w:rsidR="004545FC" w:rsidRPr="00277E4E">
        <w:rPr>
          <w:rFonts w:eastAsiaTheme="minorEastAsia"/>
          <w:color w:val="000000" w:themeColor="text1"/>
          <w:kern w:val="24"/>
        </w:rPr>
        <w:t>, darbojoties konkrētajā tirgus nišā,</w:t>
      </w:r>
      <w:r w:rsidR="00BC24E3" w:rsidRPr="00277E4E">
        <w:rPr>
          <w:rFonts w:eastAsiaTheme="minorEastAsia"/>
          <w:color w:val="000000" w:themeColor="text1"/>
          <w:kern w:val="24"/>
        </w:rPr>
        <w:t xml:space="preserve"> veikt strīdus darbus</w:t>
      </w:r>
      <w:r w:rsidR="004545FC" w:rsidRPr="00277E4E">
        <w:rPr>
          <w:rFonts w:eastAsiaTheme="minorEastAsia"/>
          <w:color w:val="000000" w:themeColor="text1"/>
          <w:kern w:val="24"/>
        </w:rPr>
        <w:t xml:space="preserve">, kam ir nepieciešams atbilstošs materiāltehniskais nodrošinājums, darbinieki un pieredze konkrēto darbu izpildē. </w:t>
      </w:r>
      <w:r w:rsidR="004545FC" w:rsidRPr="00277E4E">
        <w:t>SIA „IV SANTEX” nereģistrēšanās Būvkomersantu reģistrā ņemta vērā arī</w:t>
      </w:r>
      <w:r w:rsidR="004545FC" w:rsidRPr="00277E4E">
        <w:rPr>
          <w:rFonts w:eastAsiaTheme="minorEastAsia"/>
          <w:color w:val="000000" w:themeColor="text1"/>
          <w:kern w:val="24"/>
        </w:rPr>
        <w:t xml:space="preserve"> kopsakarā ar pieteicējas nespēju sniegt objektīvi saprotamus paskaidrojumus par konkrētā darījumu partnera izvēli un darījumu faktisko norisi</w:t>
      </w:r>
      <w:r w:rsidR="00BC24E3" w:rsidRPr="00277E4E">
        <w:rPr>
          <w:rFonts w:eastAsiaTheme="minorEastAsia"/>
          <w:color w:val="000000" w:themeColor="text1"/>
          <w:kern w:val="24"/>
        </w:rPr>
        <w:t>. T</w:t>
      </w:r>
      <w:r w:rsidR="004545FC" w:rsidRPr="00277E4E">
        <w:rPr>
          <w:rFonts w:eastAsiaTheme="minorEastAsia"/>
          <w:color w:val="000000" w:themeColor="text1"/>
          <w:kern w:val="24"/>
        </w:rPr>
        <w:t xml:space="preserve">āpat tiesas spriedumā norādīta virkne citu apstākļu un pierādījumu, kuru novērtējums liecina, ka pieteicēja strīdus darījumus nav saņēmusi no deklarētā darījumu partnera, par ko pieteicējai vajadzēja zināt. Tādējādi, ņemot vērā, ka norādītais tiesas secinājums nav pamatots vienīgi ar darījumu partnera nereģistrēšanos Būvkomersantu reģistrā, </w:t>
      </w:r>
      <w:r w:rsidR="00BC24E3" w:rsidRPr="00277E4E">
        <w:rPr>
          <w:rFonts w:eastAsiaTheme="minorEastAsia"/>
          <w:color w:val="000000" w:themeColor="text1"/>
          <w:kern w:val="24"/>
        </w:rPr>
        <w:t xml:space="preserve">arī šajā </w:t>
      </w:r>
      <w:r w:rsidR="00791FF7" w:rsidRPr="00277E4E">
        <w:t xml:space="preserve">ziņā </w:t>
      </w:r>
      <w:r w:rsidRPr="00277E4E">
        <w:t xml:space="preserve">nav </w:t>
      </w:r>
      <w:r w:rsidR="00791FF7" w:rsidRPr="00277E4E">
        <w:t xml:space="preserve">konstatējams tiesas pārkāpums </w:t>
      </w:r>
      <w:r w:rsidR="00D46FBF" w:rsidRPr="00277E4E">
        <w:t xml:space="preserve">likuma </w:t>
      </w:r>
      <w:r w:rsidR="00BC24E3" w:rsidRPr="00277E4E">
        <w:t>„</w:t>
      </w:r>
      <w:r w:rsidR="00D46FBF" w:rsidRPr="00277E4E">
        <w:t xml:space="preserve">Par pievienotās vērtības nodokli” 10.panta pirmās daļas 1.punkta piemērošanā. </w:t>
      </w:r>
    </w:p>
    <w:p w14:paraId="746C7E6C" w14:textId="77777777" w:rsidR="00791FF7" w:rsidRPr="00277E4E" w:rsidRDefault="00791FF7" w:rsidP="00277E4E">
      <w:pPr>
        <w:spacing w:line="276" w:lineRule="auto"/>
        <w:ind w:firstLine="567"/>
        <w:jc w:val="both"/>
      </w:pPr>
    </w:p>
    <w:p w14:paraId="013AE961" w14:textId="60A39AD2" w:rsidR="00791FF7" w:rsidRPr="00277E4E" w:rsidRDefault="00791FF7" w:rsidP="00277E4E">
      <w:pPr>
        <w:spacing w:line="276" w:lineRule="auto"/>
        <w:ind w:firstLine="567"/>
        <w:jc w:val="both"/>
      </w:pPr>
      <w:r w:rsidRPr="00277E4E">
        <w:t>[</w:t>
      </w:r>
      <w:r w:rsidR="00185678" w:rsidRPr="00277E4E">
        <w:t>12</w:t>
      </w:r>
      <w:r w:rsidRPr="00277E4E">
        <w:t xml:space="preserve">] Kasācijas sūdzībā norādīts, ka tiesa ir pieļāvusi pārkāpumus arī pierādījumu novērtēšanā, kas ir novedis pie lietas nepareizas izspriešanas. </w:t>
      </w:r>
    </w:p>
    <w:p w14:paraId="4C17D055" w14:textId="447E7E5B" w:rsidR="00791FF7" w:rsidRPr="00277E4E" w:rsidRDefault="00791FF7" w:rsidP="00277E4E">
      <w:pPr>
        <w:spacing w:line="276" w:lineRule="auto"/>
        <w:ind w:firstLine="567"/>
        <w:jc w:val="both"/>
      </w:pPr>
      <w:r w:rsidRPr="00277E4E">
        <w:t>Šādu viedokli pieteicēja pamato ar to, ka lietā ir virkne tieš</w:t>
      </w:r>
      <w:r w:rsidR="00463D8B" w:rsidRPr="00277E4E">
        <w:t>u</w:t>
      </w:r>
      <w:r w:rsidRPr="00277E4E">
        <w:t xml:space="preserve"> pierādījumu, kas apstiprina strīdus darījumu faktisko esību, savukārt tiesas secinājumi par darījumu faktisko neesību un pieteicējas iesaisti nodokļu sistēmas ļaunprātīgā izmantošanā pamatoti tikai ar netiešiem </w:t>
      </w:r>
      <w:r w:rsidRPr="00277E4E">
        <w:lastRenderedPageBreak/>
        <w:t>pierādījumiem. Pieteicēja uzskata, ka ir nepieļaujami un nesamērīgi netiešiem pierādījumiem do</w:t>
      </w:r>
      <w:r w:rsidR="004545FC" w:rsidRPr="00277E4E">
        <w:t>t</w:t>
      </w:r>
      <w:r w:rsidRPr="00277E4E">
        <w:t xml:space="preserve"> priekšroku salīdzinājumā ar tiešiem pierādījumiem.</w:t>
      </w:r>
    </w:p>
    <w:p w14:paraId="48A01928" w14:textId="1FE36DE1" w:rsidR="00791FF7" w:rsidRPr="00277E4E" w:rsidRDefault="00463D8B" w:rsidP="00277E4E">
      <w:pPr>
        <w:spacing w:line="276" w:lineRule="auto"/>
        <w:ind w:firstLine="567"/>
        <w:jc w:val="both"/>
      </w:pPr>
      <w:r w:rsidRPr="00277E4E">
        <w:t>Pirmkārt, s</w:t>
      </w:r>
      <w:r w:rsidR="00791FF7" w:rsidRPr="00277E4E">
        <w:t xml:space="preserve">askaņā ar Administratīvā procesa likuma </w:t>
      </w:r>
      <w:proofErr w:type="gramStart"/>
      <w:r w:rsidR="00791FF7" w:rsidRPr="00277E4E">
        <w:t>149.pantu</w:t>
      </w:r>
      <w:proofErr w:type="gramEnd"/>
      <w:r w:rsidR="00791FF7" w:rsidRPr="00277E4E">
        <w:t xml:space="preserve"> pierādījumi administratīvajā liet</w:t>
      </w:r>
      <w:r w:rsidR="004545FC" w:rsidRPr="00277E4E">
        <w:t>ā</w:t>
      </w:r>
      <w:r w:rsidR="00791FF7" w:rsidRPr="00277E4E">
        <w:t xml:space="preserve"> ir ziņas par faktiem, uz kuriem pamatoti administratīvā procesa dalībnieku prasījumi un iebildumi, kā arī ziņas par citiem faktiem, kuriem ir nozīme lietas izspriešanā. Atbilstoši šā likuma </w:t>
      </w:r>
      <w:proofErr w:type="gramStart"/>
      <w:r w:rsidR="00791FF7" w:rsidRPr="00277E4E">
        <w:rPr>
          <w:color w:val="000000" w:themeColor="text1"/>
        </w:rPr>
        <w:t>154.panta</w:t>
      </w:r>
      <w:r w:rsidR="004545FC" w:rsidRPr="00277E4E">
        <w:rPr>
          <w:color w:val="000000" w:themeColor="text1"/>
        </w:rPr>
        <w:t>m</w:t>
      </w:r>
      <w:proofErr w:type="gramEnd"/>
      <w:r w:rsidR="00791FF7" w:rsidRPr="00277E4E">
        <w:rPr>
          <w:color w:val="000000" w:themeColor="text1"/>
        </w:rPr>
        <w:t xml:space="preserve"> tiesa novērtē pierādījumus pēc savas iekšējās pārliecības, kas pamatojas uz vispusīgi, pilnīgi un objektīvi pārbaudītiem pierādījumiem, kā arī vadoties no tiesiskās apziņas, kas balstīta uz loģikas likumiem, zinātnes atziņām un taisnības principiem</w:t>
      </w:r>
      <w:r w:rsidR="004545FC" w:rsidRPr="00277E4E">
        <w:rPr>
          <w:color w:val="000000" w:themeColor="text1"/>
        </w:rPr>
        <w:t xml:space="preserve"> (pirmā daļa)</w:t>
      </w:r>
      <w:r w:rsidR="00791FF7" w:rsidRPr="00277E4E">
        <w:rPr>
          <w:color w:val="000000" w:themeColor="text1"/>
        </w:rPr>
        <w:t xml:space="preserve">. </w:t>
      </w:r>
      <w:r w:rsidR="004545FC" w:rsidRPr="00277E4E">
        <w:rPr>
          <w:color w:val="000000" w:themeColor="text1"/>
        </w:rPr>
        <w:t>N</w:t>
      </w:r>
      <w:r w:rsidR="00791FF7" w:rsidRPr="00277E4E">
        <w:t>ekādiem pierādījumiem nav iepriekš noteikta spēka, kas saistītu tiesu</w:t>
      </w:r>
      <w:r w:rsidR="004545FC" w:rsidRPr="00277E4E">
        <w:t xml:space="preserve"> (otrā daļa)</w:t>
      </w:r>
      <w:r w:rsidR="00791FF7" w:rsidRPr="00277E4E">
        <w:t xml:space="preserve">. </w:t>
      </w:r>
      <w:r w:rsidR="004545FC" w:rsidRPr="00277E4E">
        <w:t>T</w:t>
      </w:r>
      <w:r w:rsidR="00791FF7" w:rsidRPr="00277E4E">
        <w:t>iesa spriedumā norād</w:t>
      </w:r>
      <w:r w:rsidR="004545FC" w:rsidRPr="00277E4E">
        <w:t>a</w:t>
      </w:r>
      <w:r w:rsidR="00791FF7" w:rsidRPr="00277E4E">
        <w:t>, kādēļ tā vienam pierādījumam devusi priekšroku salīdzinājumā ar citu pierādījumu un atzinusi vienu faktu par pierādītu, bet citu faktu – par nepierādītu</w:t>
      </w:r>
      <w:r w:rsidR="004545FC" w:rsidRPr="00277E4E">
        <w:t xml:space="preserve"> (trešā daļa)</w:t>
      </w:r>
      <w:r w:rsidR="00791FF7" w:rsidRPr="00277E4E">
        <w:t>.</w:t>
      </w:r>
    </w:p>
    <w:p w14:paraId="40F1F563" w14:textId="73C8676A" w:rsidR="00791FF7" w:rsidRPr="00277E4E" w:rsidRDefault="00791FF7" w:rsidP="00277E4E">
      <w:pPr>
        <w:spacing w:line="276" w:lineRule="auto"/>
        <w:ind w:firstLine="567"/>
        <w:jc w:val="both"/>
        <w:rPr>
          <w:color w:val="000000" w:themeColor="text1"/>
        </w:rPr>
      </w:pPr>
      <w:r w:rsidRPr="00277E4E">
        <w:t>Tātad lietā nozīmīgo faktu pārbaudei un pierādīšanai ir izmantojamas jebkuras ziņas, proti, gan konkrētas ziņas par pierādāmā fakta esību vai neesību (tieši pierādījumi), gan daudznozīmīgas ziņas, kas var attiekties kā uz pierādāmo faktu, tā arī uz citiem blakus apstākļiem (netieši pierādījumi). Nevienām no ziņām nav iepriekš noteikta spēka. Jebkuras ziņas ir pārbaudāmas. P</w:t>
      </w:r>
      <w:r w:rsidRPr="00277E4E">
        <w:rPr>
          <w:color w:val="000000" w:themeColor="text1"/>
        </w:rPr>
        <w:t xml:space="preserve">ierādījumu pārbaudei jābūt vispusīgai, pilnīgai un objektīvai. Šādi pārbaudīti pierādījumi, kā arī loģikas likumos, zinātnes atziņās un taisnības principos balstīta tiesiskā apziņa rada tiesas iekšējo pārliecību par pārbaudāmo faktu esību vai neesību. </w:t>
      </w:r>
    </w:p>
    <w:p w14:paraId="1D5FB959" w14:textId="6F36BE38" w:rsidR="00791FF7" w:rsidRPr="00277E4E" w:rsidRDefault="00791FF7" w:rsidP="00277E4E">
      <w:pPr>
        <w:spacing w:line="276" w:lineRule="auto"/>
        <w:ind w:firstLine="567"/>
        <w:jc w:val="both"/>
        <w:rPr>
          <w:color w:val="000000" w:themeColor="text1"/>
        </w:rPr>
      </w:pPr>
      <w:r w:rsidRPr="00277E4E">
        <w:t>Tas nozīmē, ka, lai arī lietā ir iesniegti līgumi, rēķini, pieņemšanas</w:t>
      </w:r>
      <w:r w:rsidR="003000C0" w:rsidRPr="00277E4E">
        <w:t xml:space="preserve"> un </w:t>
      </w:r>
      <w:r w:rsidRPr="00277E4E">
        <w:t>nodošanas akti, samaksas dokumenti u</w:t>
      </w:r>
      <w:r w:rsidR="003000C0" w:rsidRPr="00277E4E">
        <w:t>n citi</w:t>
      </w:r>
      <w:r w:rsidR="004545FC" w:rsidRPr="00277E4E">
        <w:t xml:space="preserve"> darījumu dokumenti</w:t>
      </w:r>
      <w:r w:rsidRPr="00277E4E">
        <w:t>,</w:t>
      </w:r>
      <w:r w:rsidRPr="00277E4E">
        <w:rPr>
          <w:color w:val="000000" w:themeColor="text1"/>
        </w:rPr>
        <w:t xml:space="preserve"> tie pretēji pieteicējas viedoklim tiesai nebija jāvērtē kā tādi, kas nešaubīgi apstiprina pieteicējas apgalvotos faktus – preču un pakalpojumu saņemšanu no deklarētajiem darījumu partneriem. Citiem vārdiem, arī tieši pierādījumi ir pakļauti tādai pašai pārbaudei un novērtēšanai kā netieši pierādījumi.</w:t>
      </w:r>
    </w:p>
    <w:p w14:paraId="7C5651C3" w14:textId="3B6E1A49" w:rsidR="00791FF7" w:rsidRPr="00277E4E" w:rsidRDefault="00791FF7" w:rsidP="00277E4E">
      <w:pPr>
        <w:spacing w:line="276" w:lineRule="auto"/>
        <w:ind w:firstLine="567"/>
        <w:jc w:val="both"/>
      </w:pPr>
      <w:r w:rsidRPr="00277E4E">
        <w:rPr>
          <w:color w:val="000000" w:themeColor="text1"/>
        </w:rPr>
        <w:t>No pirmās instances tiesas sprieduma, kurā norādītajai argumentācijai apgabaltiesa ir pievienojusies, redzams, ka tiesa ir veikusi vispusīgu, pilnīgu un objektīvu lietā iegūto pierādījumu pārbaudi un novērtēšanu. Tiesa ir pārbaudījusi un vērtējusi gan tieš</w:t>
      </w:r>
      <w:r w:rsidR="008B019E" w:rsidRPr="00277E4E">
        <w:rPr>
          <w:color w:val="000000" w:themeColor="text1"/>
        </w:rPr>
        <w:t>u</w:t>
      </w:r>
      <w:r w:rsidRPr="00277E4E">
        <w:rPr>
          <w:color w:val="000000" w:themeColor="text1"/>
        </w:rPr>
        <w:t>s, gan netieš</w:t>
      </w:r>
      <w:r w:rsidR="008B019E" w:rsidRPr="00277E4E">
        <w:rPr>
          <w:color w:val="000000" w:themeColor="text1"/>
        </w:rPr>
        <w:t>u</w:t>
      </w:r>
      <w:r w:rsidRPr="00277E4E">
        <w:rPr>
          <w:color w:val="000000" w:themeColor="text1"/>
        </w:rPr>
        <w:t xml:space="preserve">s pierādījumus, skaidrojot šo pierādījumu atbilstību faktiskajiem apstākļiem. Turklāt tiesa pierādījumus ir vērtējusi nevis izolēti, bet gan to kopumā. Tā rezultātā tiesa </w:t>
      </w:r>
      <w:r w:rsidR="00463D8B" w:rsidRPr="00277E4E">
        <w:rPr>
          <w:color w:val="000000" w:themeColor="text1"/>
        </w:rPr>
        <w:t xml:space="preserve">ir </w:t>
      </w:r>
      <w:r w:rsidRPr="00277E4E">
        <w:rPr>
          <w:color w:val="000000" w:themeColor="text1"/>
        </w:rPr>
        <w:t>secinājusi jau vairākkārt norādīto, ka pieteicēja strīdus preces un pakalpojumus nav saņēmusi no deklarētajiem darījumu partneriem. Kā atzīts tiesu praksē, gadījumos, kad lietā iegūto pierādījumu kopums apliecina, ka darījumi nav norisinājušies tā, kā tie ir atspoguļoti darījumu dokumentos, darījumu attaisnojuma dokumentu un preču esība nodokļu maksātāja rīcībā, pakalpojumu faktiska izpilde, samaksas veikšana u.c. pieteicējas kasācijas sūdzībā norādītie apstākļi paši par sevi vēl nenozīmē, ka darījums starp pieteicēju un tās darījumu partneriem ir noticis un ka preces ir piegādājuši un darbus ir veikuši darījumu dokumentos minētie darījumu partneri (</w:t>
      </w:r>
      <w:r w:rsidRPr="00277E4E">
        <w:rPr>
          <w:iCs/>
          <w:color w:val="000000" w:themeColor="text1"/>
        </w:rPr>
        <w:t>sal</w:t>
      </w:r>
      <w:r w:rsidRPr="00277E4E">
        <w:rPr>
          <w:i/>
          <w:color w:val="000000" w:themeColor="text1"/>
        </w:rPr>
        <w:t xml:space="preserve">. Senāta </w:t>
      </w:r>
      <w:r w:rsidRPr="00277E4E">
        <w:rPr>
          <w:rFonts w:eastAsiaTheme="minorEastAsia"/>
          <w:i/>
          <w:color w:val="000000" w:themeColor="text1"/>
          <w:kern w:val="24"/>
        </w:rPr>
        <w:t>2019.gada 2.maija rīcības sēdes lēmuma lietā Nr. SKA-289/2019 (ECLI:LV:AT:2019:0502.A420289814.2.L) 3.punkts,</w:t>
      </w:r>
      <w:r w:rsidRPr="00277E4E">
        <w:rPr>
          <w:i/>
          <w:color w:val="000000" w:themeColor="text1"/>
        </w:rPr>
        <w:t xml:space="preserve"> 2019.gada 26.aprīļa sprieduma lietā Nr. SKA-92/2019 (LV:AT:2019:0426.A420140415.2.S) 8.punkts, 2019.gada 2.jūlija rīcības sēdes lēmuma lietā Nr. SKA-997/2019 (</w:t>
      </w:r>
      <w:r w:rsidRPr="00277E4E">
        <w:rPr>
          <w:rFonts w:eastAsiaTheme="minorEastAsia"/>
          <w:i/>
          <w:color w:val="000000" w:themeColor="text1"/>
          <w:kern w:val="24"/>
        </w:rPr>
        <w:t>ECLI:LV:AT:2019:0702.A420307916.11.L) 2.punkts, 2019.gada 9.janvāra rīcības sēdes lēmuma lietā Nr. SKA-308/2019 (ECLI:LV:AT:2019:0109.A420382114.2.L) 4.punkts</w:t>
      </w:r>
      <w:r w:rsidRPr="00277E4E">
        <w:rPr>
          <w:rFonts w:eastAsiaTheme="minorEastAsia"/>
          <w:color w:val="000000" w:themeColor="text1"/>
          <w:kern w:val="24"/>
        </w:rPr>
        <w:t xml:space="preserve">). </w:t>
      </w:r>
      <w:r w:rsidRPr="00277E4E">
        <w:t xml:space="preserve">Tādējādi apstākļos, kad tiesa ir </w:t>
      </w:r>
      <w:r w:rsidR="008B019E" w:rsidRPr="00277E4E">
        <w:t xml:space="preserve">konstatējusi </w:t>
      </w:r>
      <w:r w:rsidRPr="00277E4E">
        <w:t>virkni</w:t>
      </w:r>
      <w:r w:rsidR="003000C0" w:rsidRPr="00277E4E">
        <w:t xml:space="preserve"> apstākļu un</w:t>
      </w:r>
      <w:r w:rsidRPr="00277E4E">
        <w:t xml:space="preserve"> pierādījumu, kas liek apšaubīt strīdus darījumus starp pieteicēju un tās deklarētajiem darījumu partneriem, pieteicējas kasācijas sūdzībā uzskaitīt</w:t>
      </w:r>
      <w:r w:rsidR="008B019E" w:rsidRPr="00277E4E">
        <w:t>aj</w:t>
      </w:r>
      <w:r w:rsidRPr="00277E4E">
        <w:t>iem pierādījumiem tikai tāpēc vien, ka tie ir tieši pierādījumi, nav piešķirama priekšroka salīdzinājumā ar netiešiem pierādījumiem. No pārsūdzētā sprieduma redzams, ka tiesa ir pārbaudījusi un novērtējusi gan tieš</w:t>
      </w:r>
      <w:r w:rsidR="00463D8B" w:rsidRPr="00277E4E">
        <w:t>u</w:t>
      </w:r>
      <w:r w:rsidRPr="00277E4E">
        <w:t>s, gan netieš</w:t>
      </w:r>
      <w:r w:rsidR="00463D8B" w:rsidRPr="00277E4E">
        <w:t>u</w:t>
      </w:r>
      <w:r w:rsidRPr="00277E4E">
        <w:t>s pierādījumus</w:t>
      </w:r>
      <w:r w:rsidR="00463D8B" w:rsidRPr="00277E4E">
        <w:t xml:space="preserve">. </w:t>
      </w:r>
      <w:r w:rsidR="0046083F" w:rsidRPr="00277E4E">
        <w:t>P</w:t>
      </w:r>
      <w:r w:rsidR="00463D8B" w:rsidRPr="00277E4E">
        <w:t xml:space="preserve">ierādījumi spriedumā ir </w:t>
      </w:r>
      <w:r w:rsidR="00463D8B" w:rsidRPr="00277E4E">
        <w:lastRenderedPageBreak/>
        <w:t>vērtēti to savstarpējā kopsakarā</w:t>
      </w:r>
      <w:r w:rsidR="0046083F" w:rsidRPr="00277E4E">
        <w:t>, norādot</w:t>
      </w:r>
      <w:r w:rsidRPr="00277E4E">
        <w:t xml:space="preserve">, kāpēc tiesa vienam pierādījumam piešķīrusi priekšroku salīdzinājumā ar citu pierādījumu un vienu faktu atzinusi par pierādītu, bet citu – par nepierādītu. </w:t>
      </w:r>
    </w:p>
    <w:p w14:paraId="168B9C28" w14:textId="53AA6034" w:rsidR="00791FF7" w:rsidRPr="00277E4E" w:rsidRDefault="00791FF7" w:rsidP="00277E4E">
      <w:pPr>
        <w:spacing w:line="276" w:lineRule="auto"/>
        <w:ind w:firstLine="567"/>
        <w:jc w:val="both"/>
      </w:pPr>
      <w:r w:rsidRPr="00277E4E">
        <w:t xml:space="preserve">Otrkārt, arī tiesu praksē </w:t>
      </w:r>
      <w:r w:rsidR="008B019E" w:rsidRPr="00277E4E">
        <w:t xml:space="preserve">konsekventi </w:t>
      </w:r>
      <w:r w:rsidRPr="00277E4E">
        <w:t>atzīts, ka nav pamata uzskatīt, ka faktu pierādīšanai ir izmantojami vienīgi tieši pierādījumi (</w:t>
      </w:r>
      <w:r w:rsidR="008B019E" w:rsidRPr="00277E4E">
        <w:t xml:space="preserve">piemēram, </w:t>
      </w:r>
      <w:r w:rsidRPr="00277E4E">
        <w:rPr>
          <w:i/>
          <w:iCs/>
        </w:rPr>
        <w:t xml:space="preserve">Senāta </w:t>
      </w:r>
      <w:proofErr w:type="gramStart"/>
      <w:r w:rsidRPr="00277E4E">
        <w:rPr>
          <w:i/>
          <w:iCs/>
        </w:rPr>
        <w:t>2019.gada</w:t>
      </w:r>
      <w:proofErr w:type="gramEnd"/>
      <w:r w:rsidRPr="00277E4E">
        <w:rPr>
          <w:i/>
          <w:iCs/>
        </w:rPr>
        <w:t xml:space="preserve"> 30.jūlija rīcības sēdes lēmuma lietā Nr. SKA-1084/2019 (ECLI:LV:AT:2019:0730.A420207717.10.L) 7.punkts</w:t>
      </w:r>
      <w:r w:rsidRPr="00277E4E">
        <w:t>). Arī fakta par nodokļu maksātāja iesaistīšanos fiktīvos darījumos pierādīšanai nav izmantojami vienīgi tieši pierādījumi. Minētā fakta pierādīšanai var izmantot arī netiešus pierādījumus, kas savā kopumā veido pārliecinošu pamatu slēdzienam par fakta pastāvēšanu (</w:t>
      </w:r>
      <w:r w:rsidRPr="00277E4E">
        <w:rPr>
          <w:i/>
          <w:iCs/>
        </w:rPr>
        <w:t>Senāta 2018.gada 6.decembra rīcības sēdes lēmuma lietā Nr. SKA-403/2018 (ECLI:LV:AT:2018:1206.A420398414.1.L) 3.punkts</w:t>
      </w:r>
      <w:r w:rsidRPr="00277E4E">
        <w:t xml:space="preserve">). Tādējādi tas vien, ka lietā nav tiešu pierādījumu, kas apliecina pieteicējas iesaisti nodokļu sistēmas ļaunprātīgā izmantošanā, nenozīmē, ka tiesas secinājumi par pieteicējas informētību par iesaistīšanos nepamatotā nodokļu samazināšanas plānā ir patvaļīgi. Jāievēro, ka nodokļu izkrāpšanu visai reti var konstatēt no tiešiem pierādījumiem. </w:t>
      </w:r>
      <w:r w:rsidR="008B019E" w:rsidRPr="00277E4E">
        <w:t>A</w:t>
      </w:r>
      <w:r w:rsidRPr="00277E4E">
        <w:t>dministratīvajā procesā visbiežāk tie būs netieši pierādījumi, kas norāda, ka nodokļu maksātājs rīkojies darījuma organizēšanā komerciāli neraksturīgā vai nesaprātīgā veidā (</w:t>
      </w:r>
      <w:r w:rsidRPr="00277E4E">
        <w:rPr>
          <w:i/>
          <w:iCs/>
        </w:rPr>
        <w:t>Senāta 2019.gada 30.jūlija rīcības sēdes lēmuma lietā Nr. SKA-1084/2019 (ECLI:LV:AT:2019:0730.A420207717.10.L) 4.punkts</w:t>
      </w:r>
      <w:r w:rsidRPr="00277E4E">
        <w:t>).</w:t>
      </w:r>
    </w:p>
    <w:p w14:paraId="099654E9" w14:textId="7B1D9941" w:rsidR="003000C0" w:rsidRPr="00277E4E" w:rsidRDefault="003000C0" w:rsidP="00277E4E">
      <w:pPr>
        <w:spacing w:line="276" w:lineRule="auto"/>
        <w:ind w:firstLine="567"/>
        <w:jc w:val="both"/>
      </w:pPr>
      <w:r w:rsidRPr="00277E4E">
        <w:t>Ņemot vērā minēto, ir nepamatots pieteicējas viedoklis, ka tiesa, secinājumu pamatošanā balsoties</w:t>
      </w:r>
      <w:r w:rsidRPr="00F77AE6">
        <w:t>, galvenokārt, uz</w:t>
      </w:r>
      <w:r w:rsidRPr="00277E4E">
        <w:t xml:space="preserve"> netiešiem pierādījumiem, ir pieļāvusi Administratīvā procesa likuma </w:t>
      </w:r>
      <w:proofErr w:type="gramStart"/>
      <w:r w:rsidRPr="00277E4E">
        <w:t>154.panta</w:t>
      </w:r>
      <w:proofErr w:type="gramEnd"/>
      <w:r w:rsidRPr="00277E4E">
        <w:t xml:space="preserve"> pārkāpumu.</w:t>
      </w:r>
    </w:p>
    <w:p w14:paraId="04F256D1" w14:textId="77777777" w:rsidR="00791FF7" w:rsidRPr="00277E4E" w:rsidRDefault="00791FF7" w:rsidP="00277E4E">
      <w:pPr>
        <w:spacing w:line="276" w:lineRule="auto"/>
        <w:ind w:firstLine="567"/>
        <w:jc w:val="both"/>
      </w:pPr>
    </w:p>
    <w:p w14:paraId="530827E1" w14:textId="77777777" w:rsidR="008B019E" w:rsidRPr="00277E4E" w:rsidRDefault="00791FF7" w:rsidP="00277E4E">
      <w:pPr>
        <w:spacing w:line="276" w:lineRule="auto"/>
        <w:ind w:firstLine="567"/>
        <w:jc w:val="both"/>
      </w:pPr>
      <w:r w:rsidRPr="00277E4E">
        <w:t>[</w:t>
      </w:r>
      <w:r w:rsidR="00185678" w:rsidRPr="00277E4E">
        <w:t>13</w:t>
      </w:r>
      <w:r w:rsidRPr="00277E4E">
        <w:t>] Kasācijas sūdzībā norādīt</w:t>
      </w:r>
      <w:r w:rsidR="003000C0" w:rsidRPr="00277E4E">
        <w:t xml:space="preserve">i vairāki </w:t>
      </w:r>
      <w:r w:rsidRPr="00277E4E">
        <w:t>argument</w:t>
      </w:r>
      <w:r w:rsidR="003000C0" w:rsidRPr="00277E4E">
        <w:t>i</w:t>
      </w:r>
      <w:r w:rsidRPr="00277E4E">
        <w:t xml:space="preserve"> </w:t>
      </w:r>
      <w:r w:rsidR="003000C0" w:rsidRPr="00277E4E">
        <w:t xml:space="preserve">arī </w:t>
      </w:r>
      <w:r w:rsidRPr="00277E4E">
        <w:t>par</w:t>
      </w:r>
      <w:r w:rsidR="008B019E" w:rsidRPr="00277E4E">
        <w:t xml:space="preserve"> to, kā tiesa novērtējusi p</w:t>
      </w:r>
      <w:r w:rsidRPr="00277E4E">
        <w:t>ierādījumu</w:t>
      </w:r>
      <w:r w:rsidR="008B019E" w:rsidRPr="00277E4E">
        <w:t xml:space="preserve">s un kādus secinājumus novērtējumu rezultātā ir izdarījusi. </w:t>
      </w:r>
    </w:p>
    <w:p w14:paraId="5FF950D0" w14:textId="40C14F33" w:rsidR="00791FF7" w:rsidRPr="00277E4E" w:rsidRDefault="00791FF7" w:rsidP="00277E4E">
      <w:pPr>
        <w:spacing w:line="276" w:lineRule="auto"/>
        <w:ind w:firstLine="567"/>
        <w:jc w:val="both"/>
      </w:pPr>
      <w:r w:rsidRPr="00277E4E">
        <w:t xml:space="preserve">Ievērojot, ka atbilstoši Administratīvā procesa likuma </w:t>
      </w:r>
      <w:proofErr w:type="gramStart"/>
      <w:r w:rsidRPr="00277E4E">
        <w:t>325.pantam</w:t>
      </w:r>
      <w:proofErr w:type="gramEnd"/>
      <w:r w:rsidRPr="00277E4E">
        <w:t xml:space="preserve"> kasācijas instances tiesas kompetencē nav pārbaudīt lietas faktiskos apstākļus un pierādījumus, bet gan pārbaudīt, vai zemākas instances tiesa nav pārkāpusi materiālo vai procesuālo tiesību normas vai pārsniegusi savas kompetences robežas, šie kasācijas sūdzības argumenti tiek pārbaudīti, ciktāl tie nav vērsti uz pierādījumu pārvērtēšanu.</w:t>
      </w:r>
    </w:p>
    <w:p w14:paraId="7A9E20F0" w14:textId="77777777" w:rsidR="00791FF7" w:rsidRPr="00277E4E" w:rsidRDefault="00791FF7" w:rsidP="00277E4E">
      <w:pPr>
        <w:spacing w:line="276" w:lineRule="auto"/>
        <w:ind w:firstLine="567"/>
        <w:jc w:val="both"/>
      </w:pPr>
    </w:p>
    <w:p w14:paraId="1F628E2D" w14:textId="06B0D86C" w:rsidR="00791FF7" w:rsidRPr="00277E4E" w:rsidRDefault="00791FF7" w:rsidP="00277E4E">
      <w:pPr>
        <w:spacing w:line="276" w:lineRule="auto"/>
        <w:ind w:firstLine="567"/>
        <w:jc w:val="both"/>
      </w:pPr>
      <w:r w:rsidRPr="00277E4E">
        <w:t>[</w:t>
      </w:r>
      <w:r w:rsidR="00185678" w:rsidRPr="00277E4E">
        <w:t>14</w:t>
      </w:r>
      <w:r w:rsidRPr="00277E4E">
        <w:t>] Pieteicēja norāda, ka SIA </w:t>
      </w:r>
      <w:r w:rsidR="0019247B" w:rsidRPr="00277E4E">
        <w:t>„</w:t>
      </w:r>
      <w:r w:rsidRPr="00277E4E">
        <w:t xml:space="preserve">MORANDO” amatpersona </w:t>
      </w:r>
      <w:r w:rsidR="001F483E">
        <w:t>[pers. A]</w:t>
      </w:r>
      <w:r w:rsidRPr="00277E4E">
        <w:t xml:space="preserve"> Valsts ieņēmumu dienestam sniedz</w:t>
      </w:r>
      <w:r w:rsidR="008B019E" w:rsidRPr="00277E4E">
        <w:t>a</w:t>
      </w:r>
      <w:r w:rsidRPr="00277E4E">
        <w:t xml:space="preserve"> paskaidrojumu, apgalvojot, ka SIA </w:t>
      </w:r>
      <w:r w:rsidR="0019247B" w:rsidRPr="00277E4E">
        <w:t>„</w:t>
      </w:r>
      <w:r w:rsidRPr="00277E4E">
        <w:t xml:space="preserve">MORANDO” darījumus ar pieteicēju nav veikusi. Savukārt </w:t>
      </w:r>
      <w:r w:rsidR="008B019E" w:rsidRPr="00277E4E">
        <w:t xml:space="preserve">pirmās instances </w:t>
      </w:r>
      <w:r w:rsidRPr="00277E4E">
        <w:t xml:space="preserve">tiesas sēdē </w:t>
      </w:r>
      <w:proofErr w:type="gramStart"/>
      <w:r w:rsidR="001F483E">
        <w:t>[</w:t>
      </w:r>
      <w:proofErr w:type="gramEnd"/>
      <w:r w:rsidR="001F483E">
        <w:t>pers. A]</w:t>
      </w:r>
      <w:r w:rsidRPr="00277E4E">
        <w:t xml:space="preserve"> liecināj</w:t>
      </w:r>
      <w:r w:rsidR="008B019E" w:rsidRPr="00277E4E">
        <w:t>a</w:t>
      </w:r>
      <w:r w:rsidRPr="00277E4E">
        <w:t xml:space="preserve">, ka nav parakstījis dienestam sniegto paskaidrojumu. Neskatoties uz </w:t>
      </w:r>
      <w:r w:rsidR="0046083F" w:rsidRPr="00277E4E">
        <w:t>minēto</w:t>
      </w:r>
      <w:r w:rsidRPr="00277E4E">
        <w:t xml:space="preserve">, tiesa </w:t>
      </w:r>
      <w:r w:rsidR="00434B02" w:rsidRPr="00277E4E">
        <w:t xml:space="preserve">tikai </w:t>
      </w:r>
      <w:r w:rsidRPr="00277E4E">
        <w:t xml:space="preserve">uz </w:t>
      </w:r>
      <w:proofErr w:type="gramStart"/>
      <w:r w:rsidR="001F483E">
        <w:t>[</w:t>
      </w:r>
      <w:proofErr w:type="gramEnd"/>
      <w:r w:rsidR="001F483E">
        <w:t>pers. A]</w:t>
      </w:r>
      <w:r w:rsidRPr="00277E4E">
        <w:t xml:space="preserve"> paskaidrojuma pamata esot atzinusi SIA</w:t>
      </w:r>
      <w:r w:rsidR="00434B02" w:rsidRPr="00277E4E">
        <w:t> </w:t>
      </w:r>
      <w:r w:rsidR="0019247B" w:rsidRPr="00277E4E">
        <w:t>„</w:t>
      </w:r>
      <w:r w:rsidRPr="00277E4E">
        <w:t>MORANDO” nes</w:t>
      </w:r>
      <w:r w:rsidR="008B019E" w:rsidRPr="00277E4E">
        <w:t>p</w:t>
      </w:r>
      <w:r w:rsidRPr="00277E4E">
        <w:t xml:space="preserve">ēju veikt saimniecisko darbību. </w:t>
      </w:r>
    </w:p>
    <w:p w14:paraId="22F518E9" w14:textId="34D7BEEF" w:rsidR="00791FF7" w:rsidRPr="00277E4E" w:rsidRDefault="00791FF7" w:rsidP="00277E4E">
      <w:pPr>
        <w:spacing w:line="276" w:lineRule="auto"/>
        <w:ind w:firstLine="567"/>
        <w:jc w:val="both"/>
      </w:pPr>
      <w:r w:rsidRPr="00277E4E">
        <w:t xml:space="preserve">Izvirzot šādu argumentu, pieteicēja nav ņēmusi vērā, ka apgabaltiesa, pamatojoties uz Administratīvā procesa likuma </w:t>
      </w:r>
      <w:proofErr w:type="gramStart"/>
      <w:r w:rsidRPr="00277E4E">
        <w:t>307.panta</w:t>
      </w:r>
      <w:proofErr w:type="gramEnd"/>
      <w:r w:rsidRPr="00277E4E">
        <w:t xml:space="preserve"> ceturto daļu, ir pievienojusies pirmās instances tiesas spriedumā norādītajai argumentācijai. Savukārt pirmās instances tiesa spriedumā</w:t>
      </w:r>
      <w:r w:rsidR="00434B02" w:rsidRPr="00277E4E">
        <w:t xml:space="preserve">, konstatējot, ka </w:t>
      </w:r>
      <w:proofErr w:type="gramStart"/>
      <w:r w:rsidR="001F483E">
        <w:t>[</w:t>
      </w:r>
      <w:proofErr w:type="gramEnd"/>
      <w:r w:rsidR="001F483E">
        <w:t>pers. A]</w:t>
      </w:r>
      <w:r w:rsidR="00434B02" w:rsidRPr="00277E4E">
        <w:t xml:space="preserve"> liecībā</w:t>
      </w:r>
      <w:r w:rsidR="0046083F" w:rsidRPr="00277E4E">
        <w:t>s</w:t>
      </w:r>
      <w:r w:rsidR="00434B02" w:rsidRPr="00277E4E">
        <w:t xml:space="preserve"> noliedz</w:t>
      </w:r>
      <w:r w:rsidR="0046083F" w:rsidRPr="00277E4E">
        <w:t>a</w:t>
      </w:r>
      <w:r w:rsidR="00434B02" w:rsidRPr="00277E4E">
        <w:t xml:space="preserve"> paskaidrojumu sniegšanu Valsts ieņēmumu dienestam, motivēti ir norādījusi, kāpēc </w:t>
      </w:r>
      <w:r w:rsidRPr="00277E4E">
        <w:t xml:space="preserve">tā nepiešķir ticamību </w:t>
      </w:r>
      <w:r w:rsidR="00434B02" w:rsidRPr="00277E4E">
        <w:t xml:space="preserve">šādām </w:t>
      </w:r>
      <w:proofErr w:type="gramStart"/>
      <w:r w:rsidR="001F483E">
        <w:t>[</w:t>
      </w:r>
      <w:proofErr w:type="gramEnd"/>
      <w:r w:rsidR="001F483E">
        <w:t>pers. A]</w:t>
      </w:r>
      <w:r w:rsidR="00434B02" w:rsidRPr="00277E4E">
        <w:t xml:space="preserve"> liecībām. </w:t>
      </w:r>
      <w:r w:rsidRPr="00277E4E">
        <w:t xml:space="preserve">Vienlaikus tiesa ir </w:t>
      </w:r>
      <w:r w:rsidR="00434B02" w:rsidRPr="00277E4E">
        <w:t>ņēmusi vērā</w:t>
      </w:r>
      <w:r w:rsidRPr="00277E4E">
        <w:t xml:space="preserve">, ka arī tiesas sēdē sniegtajās liecībās </w:t>
      </w:r>
      <w:proofErr w:type="gramStart"/>
      <w:r w:rsidR="001F483E">
        <w:t>[</w:t>
      </w:r>
      <w:proofErr w:type="gramEnd"/>
      <w:r w:rsidR="001F483E">
        <w:t>pers. A]</w:t>
      </w:r>
      <w:r w:rsidRPr="00277E4E">
        <w:t xml:space="preserve"> </w:t>
      </w:r>
      <w:r w:rsidR="00434B02" w:rsidRPr="00277E4E">
        <w:t xml:space="preserve">liecināja, ka nav veicis darījumus </w:t>
      </w:r>
      <w:r w:rsidR="00D75CD8" w:rsidRPr="00277E4E">
        <w:t>SIA </w:t>
      </w:r>
      <w:r w:rsidR="0019247B" w:rsidRPr="00277E4E">
        <w:t>„</w:t>
      </w:r>
      <w:r w:rsidR="00D75CD8" w:rsidRPr="00277E4E">
        <w:t>MORANDO” vārdā</w:t>
      </w:r>
      <w:r w:rsidR="00434B02" w:rsidRPr="00277E4E">
        <w:t xml:space="preserve">, nevar neko paskaidrot par šā uzņēmuma saimniecisko darbību un </w:t>
      </w:r>
      <w:r w:rsidR="00D75CD8" w:rsidRPr="00277E4E">
        <w:t xml:space="preserve">par sadarbību ar pieteicēju neko nezina </w:t>
      </w:r>
      <w:r w:rsidRPr="00277E4E">
        <w:t>(</w:t>
      </w:r>
      <w:r w:rsidRPr="00277E4E">
        <w:rPr>
          <w:i/>
          <w:iCs/>
        </w:rPr>
        <w:t>pirmās instances tiesas sprieduma 9.2.punkts</w:t>
      </w:r>
      <w:r w:rsidRPr="00277E4E">
        <w:t>). T</w:t>
      </w:r>
      <w:r w:rsidR="00D75CD8" w:rsidRPr="00277E4E">
        <w:t xml:space="preserve">urklāt </w:t>
      </w:r>
      <w:r w:rsidRPr="00277E4E">
        <w:t xml:space="preserve">pirmās instances tiesa spriedumā </w:t>
      </w:r>
      <w:r w:rsidR="00434B02" w:rsidRPr="00277E4E">
        <w:t xml:space="preserve">ir </w:t>
      </w:r>
      <w:r w:rsidRPr="00277E4E">
        <w:t>norādījusi</w:t>
      </w:r>
      <w:r w:rsidR="00D75CD8" w:rsidRPr="00277E4E">
        <w:t xml:space="preserve"> virkni cit</w:t>
      </w:r>
      <w:r w:rsidRPr="00277E4E">
        <w:t>u</w:t>
      </w:r>
      <w:r w:rsidR="00D75CD8" w:rsidRPr="00277E4E">
        <w:t>s</w:t>
      </w:r>
      <w:r w:rsidRPr="00277E4E">
        <w:t xml:space="preserve"> SIA </w:t>
      </w:r>
      <w:r w:rsidR="0019247B" w:rsidRPr="00277E4E">
        <w:t>„</w:t>
      </w:r>
      <w:r w:rsidRPr="00277E4E">
        <w:t xml:space="preserve">MORANDO” raksturojošos apstākļus, </w:t>
      </w:r>
      <w:r w:rsidR="00D75CD8" w:rsidRPr="00277E4E">
        <w:t xml:space="preserve">kas </w:t>
      </w:r>
      <w:r w:rsidR="00434B02" w:rsidRPr="00277E4E">
        <w:t>ap</w:t>
      </w:r>
      <w:r w:rsidR="00D75CD8" w:rsidRPr="00277E4E">
        <w:t xml:space="preserve">liecina šā uzņēmuma </w:t>
      </w:r>
      <w:r w:rsidR="00434B02" w:rsidRPr="00277E4E">
        <w:t>ne</w:t>
      </w:r>
      <w:r w:rsidR="00D75CD8" w:rsidRPr="00277E4E">
        <w:t xml:space="preserve">spēju </w:t>
      </w:r>
      <w:r w:rsidR="00434B02" w:rsidRPr="00277E4E">
        <w:t>ve</w:t>
      </w:r>
      <w:r w:rsidR="00D75CD8" w:rsidRPr="00277E4E">
        <w:t xml:space="preserve">ikt strīdus darījumus. Šos apstākļus tiesa ir vērtējusi kopsakarā ar </w:t>
      </w:r>
      <w:r w:rsidRPr="00277E4E">
        <w:t xml:space="preserve">trūkumiem darījumu dokumentos un ar pieteicējas amatpersonas nespēju </w:t>
      </w:r>
      <w:r w:rsidRPr="00277E4E">
        <w:lastRenderedPageBreak/>
        <w:t>sniegt objektīvi saprotamu izskaidrojumu par minētā darījumu partnera izvēli un darījumu faktisko norisi (</w:t>
      </w:r>
      <w:r w:rsidRPr="00277E4E">
        <w:rPr>
          <w:i/>
          <w:iCs/>
        </w:rPr>
        <w:t>pirmās instances tiesas sprieduma 9.3.</w:t>
      </w:r>
      <w:r w:rsidR="00144CB6" w:rsidRPr="00277E4E">
        <w:rPr>
          <w:i/>
          <w:iCs/>
        </w:rPr>
        <w:t>–</w:t>
      </w:r>
      <w:r w:rsidRPr="00277E4E">
        <w:rPr>
          <w:i/>
          <w:iCs/>
        </w:rPr>
        <w:t>9.5.punkts</w:t>
      </w:r>
      <w:r w:rsidRPr="00277E4E">
        <w:t xml:space="preserve">). </w:t>
      </w:r>
    </w:p>
    <w:p w14:paraId="2FC95DD7" w14:textId="6B7B64EE" w:rsidR="00791FF7" w:rsidRPr="00277E4E" w:rsidRDefault="00791FF7" w:rsidP="00277E4E">
      <w:pPr>
        <w:spacing w:line="276" w:lineRule="auto"/>
        <w:ind w:firstLine="567"/>
        <w:jc w:val="both"/>
      </w:pPr>
      <w:r w:rsidRPr="00277E4E">
        <w:t>Līdz ar to nepamatots ir kasācijas sūdzības arguments, ka tiesa SIA </w:t>
      </w:r>
      <w:r w:rsidR="0019247B" w:rsidRPr="00277E4E">
        <w:t>„</w:t>
      </w:r>
      <w:r w:rsidRPr="00277E4E">
        <w:t xml:space="preserve">MORANDO” nespēju veikt strīdus darījumus ir pamatojusi tikai ar šā uzņēmuma amatpersonas </w:t>
      </w:r>
      <w:r w:rsidR="002C7B42" w:rsidRPr="00F77AE6">
        <w:t>pa</w:t>
      </w:r>
      <w:r w:rsidRPr="00277E4E">
        <w:t xml:space="preserve">skaidrojumu, neveicot tā pienācīgu pārbaudi. </w:t>
      </w:r>
    </w:p>
    <w:p w14:paraId="5B21C79D" w14:textId="77777777" w:rsidR="00791FF7" w:rsidRPr="00277E4E" w:rsidRDefault="00791FF7" w:rsidP="00277E4E">
      <w:pPr>
        <w:spacing w:line="276" w:lineRule="auto"/>
        <w:ind w:firstLine="567"/>
        <w:jc w:val="both"/>
      </w:pPr>
    </w:p>
    <w:p w14:paraId="39F3A8F4" w14:textId="4D7AC9CD" w:rsidR="00791FF7" w:rsidRPr="00277E4E" w:rsidRDefault="00791FF7" w:rsidP="00277E4E">
      <w:pPr>
        <w:spacing w:line="276" w:lineRule="auto"/>
        <w:ind w:firstLine="567"/>
        <w:jc w:val="both"/>
      </w:pPr>
      <w:r w:rsidRPr="00277E4E">
        <w:t>[</w:t>
      </w:r>
      <w:r w:rsidR="00185678" w:rsidRPr="00277E4E">
        <w:t>15</w:t>
      </w:r>
      <w:r w:rsidRPr="00277E4E">
        <w:t>] Līdzīgi argumenti kasācijas sūdzībā pausti arī par tiesas sniegto pieteicējas un SIA </w:t>
      </w:r>
      <w:r w:rsidR="0019247B" w:rsidRPr="00277E4E">
        <w:t>„</w:t>
      </w:r>
      <w:r w:rsidRPr="00277E4E">
        <w:t>ROBAX” darījumu novērtējumu.</w:t>
      </w:r>
    </w:p>
    <w:p w14:paraId="53A56717" w14:textId="2AC8C2BB" w:rsidR="00791FF7" w:rsidRPr="00277E4E" w:rsidRDefault="00791FF7" w:rsidP="00277E4E">
      <w:pPr>
        <w:spacing w:line="276" w:lineRule="auto"/>
        <w:ind w:firstLine="567"/>
        <w:jc w:val="both"/>
      </w:pPr>
      <w:r w:rsidRPr="00277E4E">
        <w:t>Proti, kasācijas sūdzībā norādīts, ka tiesa pieteicējas un SIA </w:t>
      </w:r>
      <w:r w:rsidR="0019247B" w:rsidRPr="00277E4E">
        <w:t>„</w:t>
      </w:r>
      <w:r w:rsidRPr="00277E4E">
        <w:t>ROBAX” savstarpējo darījumu neesīb</w:t>
      </w:r>
      <w:r w:rsidR="00144CB6" w:rsidRPr="00277E4E">
        <w:t>u</w:t>
      </w:r>
      <w:r w:rsidRPr="00277E4E">
        <w:t xml:space="preserve"> pamatojusi tikai ar SIA ROBAX” darījumu partneres SIA </w:t>
      </w:r>
      <w:r w:rsidR="0019247B" w:rsidRPr="00277E4E">
        <w:t>„</w:t>
      </w:r>
      <w:r w:rsidRPr="00277E4E">
        <w:t xml:space="preserve">ABERRIA” amatpersonas </w:t>
      </w:r>
      <w:proofErr w:type="gramStart"/>
      <w:r w:rsidR="001F483E">
        <w:t>[</w:t>
      </w:r>
      <w:proofErr w:type="gramEnd"/>
      <w:r w:rsidR="001F483E">
        <w:t>pers. B]</w:t>
      </w:r>
      <w:r w:rsidRPr="00277E4E">
        <w:t xml:space="preserve"> paskaidrojumiem un liecībām, kurās noliegta SIA </w:t>
      </w:r>
      <w:r w:rsidR="0019247B" w:rsidRPr="00277E4E">
        <w:t>„</w:t>
      </w:r>
      <w:r w:rsidRPr="00277E4E">
        <w:t xml:space="preserve">ABERRIA” saimnieciskās darbības veikšanu. Tā kā </w:t>
      </w:r>
      <w:proofErr w:type="gramStart"/>
      <w:r w:rsidR="001F483E">
        <w:t>[</w:t>
      </w:r>
      <w:proofErr w:type="gramEnd"/>
      <w:r w:rsidR="001F483E">
        <w:t>pers. B]</w:t>
      </w:r>
      <w:r w:rsidRPr="00277E4E">
        <w:t xml:space="preserve"> par SIA </w:t>
      </w:r>
      <w:r w:rsidR="0019247B" w:rsidRPr="00277E4E">
        <w:t>„</w:t>
      </w:r>
      <w:r w:rsidRPr="00277E4E">
        <w:t xml:space="preserve">ABERRIA” amatpersonu kļuva pēc tam, kad strīdus darbi jau bija izpildīti, tad </w:t>
      </w:r>
      <w:r w:rsidRPr="00F77AE6">
        <w:t xml:space="preserve">pieteicējas ieskatā </w:t>
      </w:r>
      <w:r w:rsidRPr="00277E4E">
        <w:t xml:space="preserve">tiesa secinājumus nevarēja pamatot ar minētās personas paskaidrojumiem un liecībām. </w:t>
      </w:r>
    </w:p>
    <w:p w14:paraId="0B70BE04" w14:textId="062ECD51" w:rsidR="00791FF7" w:rsidRPr="00277E4E" w:rsidRDefault="00791FF7" w:rsidP="00277E4E">
      <w:pPr>
        <w:spacing w:line="276" w:lineRule="auto"/>
        <w:ind w:firstLine="567"/>
        <w:jc w:val="both"/>
      </w:pPr>
      <w:r w:rsidRPr="00277E4E">
        <w:t xml:space="preserve">Arī šādu argumentu sakarā pieteicējas uzmanība vēršama uz jau pieminēto, ka apgabaltiesa ir pievienojusies pirmās instances tiesas sprieduma argumentācijai. </w:t>
      </w:r>
      <w:r w:rsidR="00C0796C" w:rsidRPr="00277E4E">
        <w:t>Savukārt p</w:t>
      </w:r>
      <w:r w:rsidRPr="00277E4E">
        <w:t>irmās instances tiesa ir konstatējusi</w:t>
      </w:r>
      <w:r w:rsidR="00C0796C" w:rsidRPr="00277E4E">
        <w:t xml:space="preserve">, ka </w:t>
      </w:r>
      <w:proofErr w:type="gramStart"/>
      <w:r w:rsidR="001F483E">
        <w:t>[</w:t>
      </w:r>
      <w:proofErr w:type="gramEnd"/>
      <w:r w:rsidR="001F483E">
        <w:t>pers. B]</w:t>
      </w:r>
      <w:r w:rsidR="00C0796C" w:rsidRPr="00277E4E">
        <w:t xml:space="preserve">, pirms kļuva par SIA ABERRIA” amatpersonu, bija nodarbināts šajā uzņēmumā uz darba līguma pamata un parakstīja atsevišķus strīdus darījumu dokumentus. </w:t>
      </w:r>
      <w:r w:rsidR="0098100C" w:rsidRPr="00277E4E">
        <w:t xml:space="preserve">Šā iemesla dēļ tiesai bija pamats vērtēt </w:t>
      </w:r>
      <w:proofErr w:type="gramStart"/>
      <w:r w:rsidR="001F483E">
        <w:t>[</w:t>
      </w:r>
      <w:proofErr w:type="gramEnd"/>
      <w:r w:rsidR="001F483E">
        <w:t>pers. B]</w:t>
      </w:r>
      <w:r w:rsidR="0098100C" w:rsidRPr="00277E4E">
        <w:t xml:space="preserve"> paskaidrojumus un liecības</w:t>
      </w:r>
      <w:r w:rsidR="00434B02" w:rsidRPr="00277E4E">
        <w:t xml:space="preserve"> par minētā uzņēmuma saimniecisko darbību un strīdus darījumiem</w:t>
      </w:r>
      <w:r w:rsidR="0098100C" w:rsidRPr="00277E4E">
        <w:t>, skaidrojot, vai SIA </w:t>
      </w:r>
      <w:r w:rsidR="0019247B" w:rsidRPr="00277E4E">
        <w:t>„</w:t>
      </w:r>
      <w:r w:rsidR="0098100C" w:rsidRPr="00277E4E">
        <w:t xml:space="preserve">ABERRIA” varēja sniegt strīdus pakalpojumus pieteicējas tiešajam darījumu partneriem. Vienlaikus tiesa </w:t>
      </w:r>
      <w:proofErr w:type="gramStart"/>
      <w:r w:rsidR="001F483E">
        <w:t>[</w:t>
      </w:r>
      <w:proofErr w:type="gramEnd"/>
      <w:r w:rsidR="001F483E">
        <w:t>pers. B]</w:t>
      </w:r>
      <w:r w:rsidR="0098100C" w:rsidRPr="00277E4E">
        <w:t xml:space="preserve"> paskaidrojumus un liecības vērtēj</w:t>
      </w:r>
      <w:r w:rsidR="0046083F" w:rsidRPr="00277E4E">
        <w:t>usi</w:t>
      </w:r>
      <w:r w:rsidR="0098100C" w:rsidRPr="00277E4E">
        <w:t xml:space="preserve"> kopsakarā </w:t>
      </w:r>
      <w:r w:rsidR="00C0796C" w:rsidRPr="00277E4E">
        <w:t xml:space="preserve">ar </w:t>
      </w:r>
      <w:r w:rsidRPr="00277E4E">
        <w:t>SIA </w:t>
      </w:r>
      <w:r w:rsidR="0019247B" w:rsidRPr="00277E4E">
        <w:t>„</w:t>
      </w:r>
      <w:r w:rsidRPr="00277E4E">
        <w:t xml:space="preserve">ABERRIA” </w:t>
      </w:r>
      <w:r w:rsidR="00C0796C" w:rsidRPr="00277E4E">
        <w:t xml:space="preserve">iepriekšējās </w:t>
      </w:r>
      <w:r w:rsidRPr="00277E4E">
        <w:t>amatpersona</w:t>
      </w:r>
      <w:r w:rsidR="00C0796C" w:rsidRPr="00277E4E">
        <w:t>s paskaidrojumiem un liecībām, norādot, k</w:t>
      </w:r>
      <w:r w:rsidR="0098100C" w:rsidRPr="00277E4E">
        <w:t xml:space="preserve">uriem skaidrojumiem tiek piešķirta ticamība un kāpēc. </w:t>
      </w:r>
      <w:r w:rsidR="00C0796C" w:rsidRPr="00277E4E">
        <w:t xml:space="preserve">Papildus tam tiesa </w:t>
      </w:r>
      <w:r w:rsidRPr="00277E4E">
        <w:t>ir norādījusi</w:t>
      </w:r>
      <w:r w:rsidR="00C0796C" w:rsidRPr="00277E4E">
        <w:t>, k</w:t>
      </w:r>
      <w:r w:rsidR="00434B02" w:rsidRPr="00277E4E">
        <w:t xml:space="preserve">a lietā ir vēl virkne pierādījumu, kas apstiprina gan </w:t>
      </w:r>
      <w:r w:rsidRPr="00277E4E">
        <w:t>SIA </w:t>
      </w:r>
      <w:r w:rsidR="0019247B" w:rsidRPr="00277E4E">
        <w:t>„</w:t>
      </w:r>
      <w:r w:rsidRPr="00277E4E">
        <w:t>ABERRIA”, gan SIA </w:t>
      </w:r>
      <w:r w:rsidR="0019247B" w:rsidRPr="00277E4E">
        <w:t>„</w:t>
      </w:r>
      <w:r w:rsidRPr="00277E4E">
        <w:t>ROBAX” nespēj</w:t>
      </w:r>
      <w:r w:rsidR="0046083F" w:rsidRPr="00277E4E">
        <w:t>u</w:t>
      </w:r>
      <w:r w:rsidRPr="00277E4E">
        <w:t xml:space="preserve"> veikt strīdus darījumus</w:t>
      </w:r>
      <w:r w:rsidR="00C0796C" w:rsidRPr="00277E4E">
        <w:t xml:space="preserve"> </w:t>
      </w:r>
      <w:r w:rsidRPr="00277E4E">
        <w:t>(</w:t>
      </w:r>
      <w:r w:rsidRPr="00277E4E">
        <w:rPr>
          <w:i/>
          <w:iCs/>
        </w:rPr>
        <w:t>pirmās instances tiesas sprieduma 10.punkts</w:t>
      </w:r>
      <w:r w:rsidRPr="00277E4E">
        <w:t xml:space="preserve">). </w:t>
      </w:r>
    </w:p>
    <w:p w14:paraId="7F365F10" w14:textId="35E91C04" w:rsidR="00791FF7" w:rsidRPr="00277E4E" w:rsidRDefault="00C0796C" w:rsidP="00277E4E">
      <w:pPr>
        <w:spacing w:line="276" w:lineRule="auto"/>
        <w:ind w:firstLine="567"/>
        <w:jc w:val="both"/>
      </w:pPr>
      <w:r w:rsidRPr="00277E4E">
        <w:t xml:space="preserve">Ievērojot minēto, </w:t>
      </w:r>
      <w:r w:rsidR="00791FF7" w:rsidRPr="00277E4E">
        <w:t>nav konstatējams, ka tiesa</w:t>
      </w:r>
      <w:r w:rsidRPr="00277E4E">
        <w:t>, izdarot secinājumus par pieteicējas un SIA </w:t>
      </w:r>
      <w:r w:rsidR="0019247B" w:rsidRPr="00277E4E">
        <w:t>„</w:t>
      </w:r>
      <w:r w:rsidRPr="00277E4E">
        <w:t xml:space="preserve">ROBAX” savstarpējo darījumu neesību, </w:t>
      </w:r>
      <w:r w:rsidR="00791FF7" w:rsidRPr="00277E4E">
        <w:t>pamatojusies uz tādiem pierādījumiem, kuri nav attiecināmi uz izskatāmo lietu.</w:t>
      </w:r>
      <w:r w:rsidRPr="00277E4E">
        <w:t xml:space="preserve"> Kasācijas sūdzībā nav atrodams izskaidrojums, kāpēc </w:t>
      </w:r>
      <w:proofErr w:type="gramStart"/>
      <w:r w:rsidR="001F483E">
        <w:t>[</w:t>
      </w:r>
      <w:proofErr w:type="gramEnd"/>
      <w:r w:rsidR="001F483E">
        <w:t>pers. B]</w:t>
      </w:r>
      <w:r w:rsidRPr="00277E4E">
        <w:t xml:space="preserve"> liecība</w:t>
      </w:r>
      <w:r w:rsidR="0098100C" w:rsidRPr="00277E4E">
        <w:t>i nebija piešķirama nozīme</w:t>
      </w:r>
      <w:r w:rsidRPr="00277E4E">
        <w:t>, ja reiz viņš bij</w:t>
      </w:r>
      <w:r w:rsidR="0098100C" w:rsidRPr="00277E4E">
        <w:t>a</w:t>
      </w:r>
      <w:r w:rsidRPr="00277E4E">
        <w:t xml:space="preserve"> darījumu ķēdes dalībnieka darbiniek</w:t>
      </w:r>
      <w:r w:rsidR="0098100C" w:rsidRPr="00277E4E">
        <w:t>s</w:t>
      </w:r>
      <w:r w:rsidRPr="00277E4E">
        <w:t xml:space="preserve">. </w:t>
      </w:r>
      <w:r w:rsidR="0098100C" w:rsidRPr="00277E4E">
        <w:t>Turklāt, kā jau minēts, šis pierādījums nav vienīgais, ar ko pamatoti tiesas secinājumi.</w:t>
      </w:r>
    </w:p>
    <w:p w14:paraId="63E9F12E" w14:textId="77777777" w:rsidR="00791FF7" w:rsidRPr="00277E4E" w:rsidRDefault="00791FF7" w:rsidP="00277E4E">
      <w:pPr>
        <w:spacing w:line="276" w:lineRule="auto"/>
        <w:ind w:firstLine="567"/>
        <w:jc w:val="both"/>
      </w:pPr>
    </w:p>
    <w:p w14:paraId="20D66208" w14:textId="032B75FE" w:rsidR="00791FF7" w:rsidRPr="00277E4E" w:rsidRDefault="00791FF7" w:rsidP="00277E4E">
      <w:pPr>
        <w:spacing w:line="276" w:lineRule="auto"/>
        <w:ind w:firstLine="567"/>
        <w:jc w:val="both"/>
      </w:pPr>
      <w:r w:rsidRPr="00277E4E">
        <w:t>[</w:t>
      </w:r>
      <w:r w:rsidR="00185678" w:rsidRPr="00277E4E">
        <w:t>16</w:t>
      </w:r>
      <w:r w:rsidRPr="00277E4E">
        <w:t>] Kasācijas sūdzībā norādīts, ka daļu no pierādījumiem tiesa vispār nav novērtējusi, proti, SIA </w:t>
      </w:r>
      <w:r w:rsidR="0019247B" w:rsidRPr="00277E4E">
        <w:t>„</w:t>
      </w:r>
      <w:r w:rsidRPr="00277E4E">
        <w:t xml:space="preserve">IV SANTEX” amatpersonas paskaidrojumus un liecības, kurās ir atzīti darījumi </w:t>
      </w:r>
      <w:proofErr w:type="gramStart"/>
      <w:r w:rsidRPr="00277E4E">
        <w:t>ar pieteicēju, kā arī SIA </w:t>
      </w:r>
      <w:r w:rsidR="0019247B" w:rsidRPr="00277E4E">
        <w:t>„</w:t>
      </w:r>
      <w:r w:rsidRPr="00277E4E">
        <w:t>TPT BALTIC” amatpersonu paskaidrojumus un liecības</w:t>
      </w:r>
      <w:proofErr w:type="gramEnd"/>
      <w:r w:rsidRPr="00277E4E">
        <w:t>, kas ir savstarpēji pretrunīgas.</w:t>
      </w:r>
    </w:p>
    <w:p w14:paraId="5B7B8B18" w14:textId="47F1338B" w:rsidR="00791FF7" w:rsidRPr="00277E4E" w:rsidRDefault="00791FF7" w:rsidP="00277E4E">
      <w:pPr>
        <w:spacing w:line="276" w:lineRule="auto"/>
        <w:ind w:firstLine="567"/>
        <w:jc w:val="both"/>
      </w:pPr>
      <w:r w:rsidRPr="00277E4E">
        <w:t>Arī šādi argumenti ir kļūdaini, jo minēto uzņēmumu amatpersonu paskaidrojumu un liecību novērtējumu, kam ir pievienojusies apgabaltiesa, ir sniegusi pirmās instances tiesa</w:t>
      </w:r>
      <w:r w:rsidR="00434B02" w:rsidRPr="00277E4E">
        <w:t xml:space="preserve"> </w:t>
      </w:r>
      <w:r w:rsidRPr="00277E4E">
        <w:t>(</w:t>
      </w:r>
      <w:r w:rsidRPr="00277E4E">
        <w:rPr>
          <w:i/>
          <w:iCs/>
        </w:rPr>
        <w:t>pirmās instances tiesas sprieduma 11.3., 12.punkts</w:t>
      </w:r>
      <w:r w:rsidRPr="00277E4E">
        <w:t xml:space="preserve">). Apstāklis, ka pieteicēja nepiekrīt tiesas sniegtajam pierādījumu novērtējumam un tā rezultātā izdarītajiem secinājumiem, neliecina par Administratīvā procesa likuma </w:t>
      </w:r>
      <w:proofErr w:type="gramStart"/>
      <w:r w:rsidRPr="00277E4E">
        <w:t>154.panta</w:t>
      </w:r>
      <w:proofErr w:type="gramEnd"/>
      <w:r w:rsidRPr="00277E4E">
        <w:t xml:space="preserve"> pārkāpumu. Par Administratīvā procesa likuma </w:t>
      </w:r>
      <w:proofErr w:type="gramStart"/>
      <w:r w:rsidRPr="00277E4E">
        <w:t>154.panta</w:t>
      </w:r>
      <w:proofErr w:type="gramEnd"/>
      <w:r w:rsidRPr="00277E4E">
        <w:t xml:space="preserve"> pirmās daļas pārkāpumu būtu pamats runāt, ja, piemēram, tiesas izdarītie secinājumi vai nu vispār nebalstās uz pierādījumiem, bet tikai uz pieņēmumiem, vai ja secinājumi loģiski nevar izrietēt no novērtētajiem pierādījumiem, vai ja kāda pierādījuma saturs ir acīmredzami nepareizi noskaidrots (piemēram, tiesa vispār nepareizi izlasījusi rakstveida dokumentu vai izlaidusi no vērtējuma kādu dokumenta vai liecības daļu) (</w:t>
      </w:r>
      <w:r w:rsidRPr="00277E4E">
        <w:rPr>
          <w:i/>
        </w:rPr>
        <w:t xml:space="preserve">Senāta 2018.gada 13.februāra </w:t>
      </w:r>
      <w:r w:rsidRPr="00277E4E">
        <w:rPr>
          <w:i/>
        </w:rPr>
        <w:lastRenderedPageBreak/>
        <w:t>sprieduma lietā Nr. SKA-92/2018 (ECLI:LV:AT:2018.:0213:A420433513.2.S) 7.punkts un tajā norādītie nolēmumi</w:t>
      </w:r>
      <w:r w:rsidRPr="00277E4E">
        <w:t>). Taču šādi pārkāpumi tiesas rīcībā nav konstatējami.</w:t>
      </w:r>
    </w:p>
    <w:p w14:paraId="2D940EC8" w14:textId="144C2BB1" w:rsidR="00791FF7" w:rsidRPr="00277E4E" w:rsidRDefault="00791FF7" w:rsidP="00277E4E">
      <w:pPr>
        <w:spacing w:line="276" w:lineRule="auto"/>
        <w:ind w:firstLine="567"/>
        <w:jc w:val="both"/>
      </w:pPr>
      <w:r w:rsidRPr="00277E4E">
        <w:t xml:space="preserve">Turklāt, tā kā pati pieteicēja kasācijas sūdzībā norāda, ka pierādījumi ir vērtējami to kopumā, nevis izolēti, ņemot vērā to formu un saturu, nozīmīgumu saistībā ar lietā noskaidrojamiem apstākļiem un to pietiekamību, kas ir pilnīgi pareizi, tad būtu sagaidāms, ka pieteicēja, vērtējot tiesas rīcības atbilstību Administratīvā procesa likuma </w:t>
      </w:r>
      <w:proofErr w:type="gramStart"/>
      <w:r w:rsidRPr="00277E4E">
        <w:t>154.panta</w:t>
      </w:r>
      <w:proofErr w:type="gramEnd"/>
      <w:r w:rsidRPr="00277E4E">
        <w:t xml:space="preserve"> prasībām, ievērotu pašas kasācijas sūdzībā aprakstītos pierādījumu vērtēšanas kritērijus. Taču tā vietā pieteicēja kasācijas sūdzībā no konteksta izrauj atsevišķus tiesas izdarītos secinājumus, </w:t>
      </w:r>
      <w:r w:rsidR="0098100C" w:rsidRPr="00277E4E">
        <w:t xml:space="preserve">sagrozot to jēgu un būtību. </w:t>
      </w:r>
      <w:r w:rsidR="00B70FE5" w:rsidRPr="00277E4E">
        <w:t>P</w:t>
      </w:r>
      <w:r w:rsidRPr="00277E4E">
        <w:t xml:space="preserve">ieteicēja kasācijas sūdzībā uzsver, ka tiesa nav paskaidrojusi, kāpēc tā vienam pierādījumam ir devusi priekšroku salīdzinājumā ar citu pierādījumu. Taču pieteicēja nenorāda, kādiem tieši pierādījumiem tiesa nepamatoti ir devusi priekšroku salīdzinājumā ar citiem pierādījumiem. </w:t>
      </w:r>
    </w:p>
    <w:p w14:paraId="2407DA30" w14:textId="77777777" w:rsidR="00791FF7" w:rsidRPr="00277E4E" w:rsidRDefault="00791FF7" w:rsidP="00277E4E">
      <w:pPr>
        <w:spacing w:line="276" w:lineRule="auto"/>
        <w:ind w:firstLine="567"/>
        <w:jc w:val="both"/>
      </w:pPr>
    </w:p>
    <w:p w14:paraId="5C4A1A82" w14:textId="6656D534" w:rsidR="00791FF7" w:rsidRPr="00277E4E" w:rsidRDefault="00791FF7" w:rsidP="00277E4E">
      <w:pPr>
        <w:spacing w:line="276" w:lineRule="auto"/>
        <w:ind w:firstLine="567"/>
        <w:jc w:val="both"/>
      </w:pPr>
      <w:r w:rsidRPr="00277E4E">
        <w:t>[</w:t>
      </w:r>
      <w:r w:rsidR="00185678" w:rsidRPr="00277E4E">
        <w:t>17</w:t>
      </w:r>
      <w:r w:rsidRPr="00277E4E">
        <w:t xml:space="preserve">] Rezumējot minēto, ir nepamatoti kasācijas sūdzības argumenti, ka tiesa ir pieļāvusi Administratīvā procesa likuma </w:t>
      </w:r>
      <w:proofErr w:type="gramStart"/>
      <w:r w:rsidRPr="00277E4E">
        <w:t>327.panta</w:t>
      </w:r>
      <w:proofErr w:type="gramEnd"/>
      <w:r w:rsidRPr="00277E4E">
        <w:t xml:space="preserve"> pirmās daļas 3.punktā paredzēto procesuālo tiesību normu pārkāpumu.</w:t>
      </w:r>
    </w:p>
    <w:p w14:paraId="21E7DA79" w14:textId="77777777" w:rsidR="00791FF7" w:rsidRPr="00277E4E" w:rsidRDefault="00791FF7" w:rsidP="00277E4E">
      <w:pPr>
        <w:spacing w:line="276" w:lineRule="auto"/>
        <w:ind w:firstLine="567"/>
        <w:jc w:val="both"/>
      </w:pPr>
    </w:p>
    <w:p w14:paraId="56B5275A" w14:textId="51E6EC09" w:rsidR="00791FF7" w:rsidRPr="00277E4E" w:rsidRDefault="00791FF7" w:rsidP="00277E4E">
      <w:pPr>
        <w:spacing w:line="276" w:lineRule="auto"/>
        <w:ind w:firstLine="567"/>
        <w:jc w:val="both"/>
      </w:pPr>
      <w:r w:rsidRPr="00277E4E">
        <w:t>[</w:t>
      </w:r>
      <w:r w:rsidR="00185678" w:rsidRPr="00277E4E">
        <w:t>18</w:t>
      </w:r>
      <w:r w:rsidRPr="00277E4E">
        <w:t>] Kasācijas sūdzībā norādīts, ka apgabaltiesa</w:t>
      </w:r>
      <w:r w:rsidR="00EA24BD" w:rsidRPr="00277E4E">
        <w:t>, pamatojoties uz procesuālās ekonomijas principu,</w:t>
      </w:r>
      <w:r w:rsidR="00B70FE5" w:rsidRPr="00277E4E">
        <w:t xml:space="preserve"> </w:t>
      </w:r>
      <w:r w:rsidRPr="00277E4E">
        <w:t>nav vērtējusi pieteicējas apelācijas sūdzībā norādīto</w:t>
      </w:r>
      <w:r w:rsidR="00E76076" w:rsidRPr="00277E4E">
        <w:t>s</w:t>
      </w:r>
      <w:r w:rsidRPr="00277E4E">
        <w:t xml:space="preserve"> argumentu</w:t>
      </w:r>
      <w:r w:rsidR="00E76076" w:rsidRPr="00277E4E">
        <w:t>s</w:t>
      </w:r>
      <w:r w:rsidRPr="00277E4E">
        <w:t>. Pieteicēja uzskata, ka šāda tiesas rīcība neatbilst minētā principa būtībai un aizskar pieteicējas tiesības tikt uzklausītai.</w:t>
      </w:r>
    </w:p>
    <w:p w14:paraId="2F97492A" w14:textId="77777777" w:rsidR="00B70FE5" w:rsidRPr="00277E4E" w:rsidRDefault="00791FF7" w:rsidP="00277E4E">
      <w:pPr>
        <w:spacing w:line="276" w:lineRule="auto"/>
        <w:ind w:firstLine="567"/>
        <w:jc w:val="both"/>
      </w:pPr>
      <w:r w:rsidRPr="00277E4E">
        <w:t xml:space="preserve">Procesuālās ekonomijas principa izpausmi raksturojošais elements ir ietverts likuma </w:t>
      </w:r>
      <w:r w:rsidR="00B70FE5" w:rsidRPr="00277E4E">
        <w:t>„</w:t>
      </w:r>
      <w:r w:rsidRPr="00277E4E">
        <w:t xml:space="preserve">Par tiesu varu” </w:t>
      </w:r>
      <w:proofErr w:type="gramStart"/>
      <w:r w:rsidRPr="00277E4E">
        <w:t>28.pantā</w:t>
      </w:r>
      <w:proofErr w:type="gramEnd"/>
      <w:r w:rsidRPr="00277E4E">
        <w:t xml:space="preserve">, kas noteic, ka tiesnesis izspriež lietu tik ātri, cik vien iespējams, un personai, kas piedalās lietā, jāievēro likuma vai tiesas noteiktie procesuālie termiņi. Pieteicēja, atsaucoties uz minēto tiesību normu, uzskata, ka ar procesuālās ekonomijas principu ir jāsaprot tiesas procesa norises ātrums, ko neietekmē lietas dalībnieku argumentu izvērtēšana pēc tam, kad tiesa ir paziņojusi sprieduma sastādīšanas laiku. </w:t>
      </w:r>
    </w:p>
    <w:p w14:paraId="48718B73" w14:textId="52520504" w:rsidR="00791FF7" w:rsidRPr="00277E4E" w:rsidRDefault="00791FF7" w:rsidP="00277E4E">
      <w:pPr>
        <w:spacing w:line="276" w:lineRule="auto"/>
        <w:ind w:firstLine="567"/>
        <w:jc w:val="both"/>
      </w:pPr>
      <w:r w:rsidRPr="00277E4E">
        <w:t xml:space="preserve">Šāda procesuālās ekonomijas principa izpratne ir kļūdaina. </w:t>
      </w:r>
    </w:p>
    <w:p w14:paraId="58DA1FCF" w14:textId="77777777" w:rsidR="005C1BBA" w:rsidRPr="00277E4E" w:rsidRDefault="00791FF7" w:rsidP="00277E4E">
      <w:pPr>
        <w:spacing w:line="276" w:lineRule="auto"/>
        <w:ind w:firstLine="567"/>
        <w:jc w:val="both"/>
      </w:pPr>
      <w:r w:rsidRPr="00277E4E">
        <w:t>Procesuālās ekonomijas principa mērķis ir vienkāršot un saīsināt tiesvedību. Tas cita starpā tiek panākts, samazinot formālās procedūras un darbības. Tāpēc likumdevējs</w:t>
      </w:r>
      <w:r w:rsidR="00B70FE5" w:rsidRPr="00277E4E">
        <w:t xml:space="preserve"> </w:t>
      </w:r>
      <w:r w:rsidR="00BE7AD3" w:rsidRPr="00277E4E">
        <w:t>i</w:t>
      </w:r>
      <w:r w:rsidRPr="00277E4E">
        <w:t xml:space="preserve">r paredzējis: ja apelācijas instances tiesa, izskatot lietu pēc būtības, nonāk pie tiem pašiem secinājumiem, kurus izdarījusi zemākās instances tiesa, apelācijas instances tiesa var pievienoties zemākās instances tiesas sprieduma motivācijai un to neatkārtot (Administratīvā procesa likuma </w:t>
      </w:r>
      <w:proofErr w:type="gramStart"/>
      <w:r w:rsidRPr="00277E4E">
        <w:t>307.panta</w:t>
      </w:r>
      <w:proofErr w:type="gramEnd"/>
      <w:r w:rsidRPr="00277E4E">
        <w:t xml:space="preserve"> ceturtā daļa). Līdz ar to pretēji pieteicējas viedoklim procesuālās ekonomijas princips izpaužas, ne vien tiesai nosakot iespējami ātrāku lietas izskatīšanas datumu, bet arī augstākas instances tiesai pievienojoties zemākas instances tiesas spriedumā minētajai argumentācijai</w:t>
      </w:r>
      <w:r w:rsidR="00BE7AD3" w:rsidRPr="00277E4E">
        <w:t xml:space="preserve"> un tādējādi neatkārtojot procesa dalībniek</w:t>
      </w:r>
      <w:r w:rsidR="0046083F" w:rsidRPr="00277E4E">
        <w:t>u</w:t>
      </w:r>
      <w:r w:rsidR="00BE7AD3" w:rsidRPr="00277E4E">
        <w:t xml:space="preserve"> argumentu izvērtējumu</w:t>
      </w:r>
      <w:r w:rsidR="005C1BBA" w:rsidRPr="00277E4E">
        <w:t xml:space="preserve">. </w:t>
      </w:r>
    </w:p>
    <w:p w14:paraId="6F069E90" w14:textId="227A2715" w:rsidR="005C1BBA" w:rsidRPr="00277E4E" w:rsidRDefault="005C1BBA" w:rsidP="00277E4E">
      <w:pPr>
        <w:spacing w:line="276" w:lineRule="auto"/>
        <w:ind w:firstLine="567"/>
        <w:jc w:val="both"/>
      </w:pPr>
      <w:r w:rsidRPr="00277E4E">
        <w:t>Vienlaikus jāņem vērā, ka p</w:t>
      </w:r>
      <w:r w:rsidR="00791FF7" w:rsidRPr="00277E4E">
        <w:t>rocesuālās ekonomijas princips</w:t>
      </w:r>
      <w:r w:rsidR="00DB4ADB" w:rsidRPr="00277E4E">
        <w:t xml:space="preserve"> </w:t>
      </w:r>
      <w:r w:rsidR="00791FF7" w:rsidRPr="00277E4E">
        <w:t xml:space="preserve">nedrīkst </w:t>
      </w:r>
      <w:r w:rsidR="0046083F" w:rsidRPr="00277E4E">
        <w:t>ierobežot</w:t>
      </w:r>
      <w:r w:rsidR="00791FF7" w:rsidRPr="00277E4E">
        <w:t xml:space="preserve"> personas tiesības saņemt kvalitatīvu un vispusīgu aizskarto tiesību un aizsargājamo interešu izvērtējumu tiesas spriedumā</w:t>
      </w:r>
      <w:r w:rsidR="0046083F" w:rsidRPr="00277E4E">
        <w:t>. T</w:t>
      </w:r>
      <w:r w:rsidR="00791FF7" w:rsidRPr="00277E4E">
        <w:t xml:space="preserve">āpēc iespēja atsaukties uz procesuālās ekonomijas principa piedāvātajām iespējām ietaupīt laiku un resursus ir rūpīgi jāizvērtē katrā </w:t>
      </w:r>
      <w:r w:rsidRPr="00277E4E">
        <w:t xml:space="preserve">konkrētā </w:t>
      </w:r>
      <w:r w:rsidR="00791FF7" w:rsidRPr="00277E4E">
        <w:t>gadījumā</w:t>
      </w:r>
      <w:r w:rsidRPr="00277E4E">
        <w:t xml:space="preserve">, tostarp </w:t>
      </w:r>
      <w:r w:rsidR="00DB4ADB" w:rsidRPr="00277E4E">
        <w:t>ņemot vērā to</w:t>
      </w:r>
      <w:r w:rsidRPr="00277E4E">
        <w:t>, vai apelācijas sūdzībā tiek izteikti būtiski pretargumenti pirmās instances tiesas spriedumā norādītajiem argumentiem vai tikai atkārtoti</w:t>
      </w:r>
      <w:r w:rsidR="00DB4ADB" w:rsidRPr="00277E4E">
        <w:t xml:space="preserve"> jau</w:t>
      </w:r>
      <w:r w:rsidRPr="00277E4E">
        <w:t xml:space="preserve"> pieteikumā minētie argumenti un izteikta neapmierinātība ar tiesas izdarītajiem secinājumiem.</w:t>
      </w:r>
    </w:p>
    <w:p w14:paraId="394D1ACD" w14:textId="5CEBF9A3" w:rsidR="00791FF7" w:rsidRPr="00277E4E" w:rsidRDefault="005C1BBA" w:rsidP="00277E4E">
      <w:pPr>
        <w:spacing w:line="276" w:lineRule="auto"/>
        <w:ind w:firstLine="567"/>
        <w:jc w:val="both"/>
      </w:pPr>
      <w:r w:rsidRPr="00277E4E">
        <w:t xml:space="preserve">Pārskatot pieteicējas apelācijas sūdzību, Senāts konstatē, ka tajā pēc būtības ir izteikti jau pirmās instances tiesā paustie argumenti, </w:t>
      </w:r>
      <w:r w:rsidR="00D252DE" w:rsidRPr="00277E4E">
        <w:t>ko pirmās instances tiesa ir novērtējusi</w:t>
      </w:r>
      <w:r w:rsidRPr="00277E4E">
        <w:t xml:space="preserve">, kā arī </w:t>
      </w:r>
      <w:r w:rsidR="00DB4ADB" w:rsidRPr="00277E4E">
        <w:t>norādīts</w:t>
      </w:r>
      <w:r w:rsidR="00D252DE" w:rsidRPr="00277E4E">
        <w:t xml:space="preserve">, </w:t>
      </w:r>
      <w:r w:rsidR="00D252DE" w:rsidRPr="00277E4E">
        <w:lastRenderedPageBreak/>
        <w:t>ka tiesas sniegtais li</w:t>
      </w:r>
      <w:r w:rsidR="00DB4ADB" w:rsidRPr="00277E4E">
        <w:t>etas apstākļu un pierādījumu novērtējum</w:t>
      </w:r>
      <w:r w:rsidR="00D252DE" w:rsidRPr="00277E4E">
        <w:t>s ir nepareizs</w:t>
      </w:r>
      <w:r w:rsidR="00D83213" w:rsidRPr="00277E4E">
        <w:t xml:space="preserve">. </w:t>
      </w:r>
      <w:r w:rsidR="00DB4ADB" w:rsidRPr="00277E4E">
        <w:t>Apgabaltiesa</w:t>
      </w:r>
      <w:r w:rsidR="00D83213" w:rsidRPr="00277E4E">
        <w:t xml:space="preserve">, </w:t>
      </w:r>
      <w:r w:rsidR="00DB4ADB" w:rsidRPr="00277E4E">
        <w:t>pievienoj</w:t>
      </w:r>
      <w:r w:rsidR="00D83213" w:rsidRPr="00277E4E">
        <w:t>ot</w:t>
      </w:r>
      <w:r w:rsidR="00DB4ADB" w:rsidRPr="00277E4E">
        <w:t xml:space="preserve">ies pirmās instances tiesas argumentācijai, </w:t>
      </w:r>
      <w:r w:rsidR="00D252DE" w:rsidRPr="00277E4E">
        <w:t xml:space="preserve">spriedumā </w:t>
      </w:r>
      <w:r w:rsidR="00DB4ADB" w:rsidRPr="00277E4E">
        <w:t>ir atrunājusi būtiskos apelācijas sūdzības argumentus</w:t>
      </w:r>
      <w:r w:rsidR="00D83213" w:rsidRPr="00277E4E">
        <w:t xml:space="preserve">. Vienlaikus apgabaltiesa ir norādījusi, ka tā ir izvērtējusi arī pārējos apelācijas sūdzības argumentus, kuros paustā neapmierinātība ar pirmās instances tiesas sniegto pierādījumu novērtējumu neliecina par </w:t>
      </w:r>
      <w:r w:rsidR="00D252DE" w:rsidRPr="00277E4E">
        <w:t>tiesas secinājumu</w:t>
      </w:r>
      <w:r w:rsidR="00D83213" w:rsidRPr="00277E4E">
        <w:t xml:space="preserve"> nepareizību, un</w:t>
      </w:r>
      <w:r w:rsidR="00D252DE" w:rsidRPr="00277E4E">
        <w:t xml:space="preserve"> ir</w:t>
      </w:r>
      <w:r w:rsidR="00D83213" w:rsidRPr="00277E4E">
        <w:t xml:space="preserve"> atzinusi, ka </w:t>
      </w:r>
      <w:r w:rsidR="00D252DE" w:rsidRPr="00277E4E">
        <w:t xml:space="preserve">šie argumenti nevar ietekmēt tiesas izdarītos secinājumus, tāpēc </w:t>
      </w:r>
      <w:r w:rsidR="00D83213" w:rsidRPr="00277E4E">
        <w:t xml:space="preserve">atbildes uz tiem netiks sniegtas. </w:t>
      </w:r>
      <w:r w:rsidR="00791FF7" w:rsidRPr="00277E4E">
        <w:t>Tātad apgabaltiesa pieteicējas argumentus ir izvērtējusi, taču nav uz tiem atbildējusi spriedumā. Šāda tiesas rīcība atbilst jau iepriekš Senāta nolēmumos paustajām atziņām. Proti, no Eiropas Cilvēka tiesību un pamatbrīvību aizsardzības konvencijas 6.panta izriet tiesas pienākums argumentēt spriedumu, bet tas nav jāsaprot kā prasība detalizēti atbildēt uz jebkuru argumentu. Tiesai ir jāuzklausa argumenti, bet nav pienākums detalizēti atrunāt jebkuru iesniegumu vai atbildēt uz jebkuru paskaidrojumu. Tiesai ir atļauts izvērtēt argumentus, kurus tā uzskata par nozīmīgiem no tiesību viedokļa (</w:t>
      </w:r>
      <w:r w:rsidR="00791FF7" w:rsidRPr="00277E4E">
        <w:rPr>
          <w:i/>
          <w:iCs/>
        </w:rPr>
        <w:t>Senāta 2010.gada 11.marta sprieduma lietā Nr. SKA-66/2010 (A42552506) 14.punkts, 2012.gada 21.februāra rīcības sēdes lēmuma lietā Nr. SKA-186/2012 (A42757309) 10.punkts, 2013.gada 1.jūlija rīcības sēdes lēmuma lietā Nr. SKA-584/2013 (A420767110) 10.punkts</w:t>
      </w:r>
      <w:r w:rsidR="00791FF7" w:rsidRPr="00277E4E">
        <w:t>).</w:t>
      </w:r>
    </w:p>
    <w:p w14:paraId="5E0A0416" w14:textId="77777777" w:rsidR="00791FF7" w:rsidRPr="00277E4E" w:rsidRDefault="00791FF7" w:rsidP="00277E4E">
      <w:pPr>
        <w:spacing w:line="276" w:lineRule="auto"/>
        <w:ind w:firstLine="567"/>
        <w:jc w:val="both"/>
      </w:pPr>
    </w:p>
    <w:p w14:paraId="414BA31F" w14:textId="038453AF" w:rsidR="00791FF7" w:rsidRPr="00277E4E" w:rsidRDefault="00791FF7" w:rsidP="00277E4E">
      <w:pPr>
        <w:spacing w:line="276" w:lineRule="auto"/>
        <w:ind w:firstLine="567"/>
        <w:jc w:val="both"/>
      </w:pPr>
      <w:r w:rsidRPr="00277E4E">
        <w:t>[</w:t>
      </w:r>
      <w:r w:rsidR="00185678" w:rsidRPr="00277E4E">
        <w:t>19</w:t>
      </w:r>
      <w:r w:rsidRPr="00277E4E">
        <w:t xml:space="preserve">] Pārmetot apgabaltiesai apelācijas sūdzības argumentu neizvērtēšanu procesuālās ekonomijas nolūkos, pieteicēja kasācijas sūdzībā norāda tikai vienu </w:t>
      </w:r>
      <w:r w:rsidRPr="00F77AE6">
        <w:t>konkrētu pieteicējas ieskatā bez ievērības atstātu apstākli. Proti, pieteicēja uzskata, ka apgabaltiesa nepamatoti</w:t>
      </w:r>
      <w:r w:rsidRPr="00277E4E">
        <w:t xml:space="preserve"> nav novērtējusi atšķirīgas attieksmes aizlieguma principa pārkāpumu. Šo pārkāpumu pieteicēja pamato ar apstākli, ka Valsts ieņēmumu dienests ir apstrīdējis pieteicējas darījumus ar SIA </w:t>
      </w:r>
      <w:r w:rsidR="0019247B" w:rsidRPr="00277E4E">
        <w:t>„</w:t>
      </w:r>
      <w:r w:rsidRPr="00277E4E">
        <w:t>IV SANTEX”, taču analogus darījumus ar SIA </w:t>
      </w:r>
      <w:r w:rsidR="0019247B" w:rsidRPr="00277E4E">
        <w:t>„</w:t>
      </w:r>
      <w:r w:rsidRPr="00277E4E">
        <w:t>STANLEY FACTORING” dienests ir atzinis. Tāpat Valsts ieņēmumu dienests ir liedzis pieteicējai atskaitīt priekšnodokli par šajā lietā apstrīdētajiem pieteicējas darījumiem ar SIA </w:t>
      </w:r>
      <w:r w:rsidR="0019247B" w:rsidRPr="00277E4E">
        <w:t>„</w:t>
      </w:r>
      <w:r w:rsidRPr="00277E4E">
        <w:t>M</w:t>
      </w:r>
      <w:r w:rsidR="0019247B" w:rsidRPr="00277E4E">
        <w:t>I</w:t>
      </w:r>
      <w:r w:rsidRPr="00277E4E">
        <w:t>DCOM” un SIA </w:t>
      </w:r>
      <w:r w:rsidR="0019247B" w:rsidRPr="00277E4E">
        <w:t>„</w:t>
      </w:r>
      <w:r w:rsidRPr="00277E4E">
        <w:t xml:space="preserve">TPT BALTIC”, taču citus darījumus ar šiem uzņēmumiem dienests ir atzinis. Līdz ar to pieteicēja uzskata, ka Valsts ieņēmumu dienests ir rīkojies nekonsekventi. </w:t>
      </w:r>
    </w:p>
    <w:p w14:paraId="0DBDC205" w14:textId="3AC428C7" w:rsidR="00791FF7" w:rsidRPr="00277E4E" w:rsidRDefault="00791FF7" w:rsidP="00277E4E">
      <w:pPr>
        <w:spacing w:line="276" w:lineRule="auto"/>
        <w:ind w:firstLine="567"/>
        <w:jc w:val="both"/>
      </w:pPr>
      <w:r w:rsidRPr="00277E4E">
        <w:t>Senāts konstatē, ka pieteicēja minētos argumentus bija norādījusi jau pirmās instances tiesā, kas spriedumā ir vērtējusi šādu dienesta rīcību,</w:t>
      </w:r>
      <w:r w:rsidR="00B70FE5" w:rsidRPr="00277E4E">
        <w:t xml:space="preserve"> norādot</w:t>
      </w:r>
      <w:r w:rsidRPr="00277E4E">
        <w:t>, ka atsevišķu darījumu atzīšana ar citiem uzņēmumiem vai to pašu uzņēmumu nedod pamatu atzīt Valsts ieņēmumu dienesta apstrīdētos darījumus, jo no lietā noskaidrot</w:t>
      </w:r>
      <w:r w:rsidR="00B70FE5" w:rsidRPr="00277E4E">
        <w:t>aj</w:t>
      </w:r>
      <w:r w:rsidRPr="00277E4E">
        <w:t>iem apstākļiem un iegūt</w:t>
      </w:r>
      <w:r w:rsidR="00B70FE5" w:rsidRPr="00277E4E">
        <w:t>aj</w:t>
      </w:r>
      <w:r w:rsidRPr="00277E4E">
        <w:t>iem pierādījumiem izriet, ka pieteicēja strīdus preces un pakalpojumus nav saņēmusi no deklarētajiem darījumu partneriem, par ko pieteicēja zināja. Apgabaltiesa šādam pirmās instances tiesas vērtējumam ir pievienojusies. Līdz ar to nevar piekrist kasācijas sūdzībā norādītajam, ka minētās pieteicējas iebildes ir atstātas bez ievērības. Senāts arī norāda, ka minētais tiesas vērtējums atbilst tiesu praksē atzītajam, kur norādīts, ka katrs darījums ir saistīts ar konkrētu apstākļu un konkrētu pieejamo pierādījumu vērtēšanu (</w:t>
      </w:r>
      <w:r w:rsidRPr="00277E4E">
        <w:rPr>
          <w:i/>
          <w:iCs/>
        </w:rPr>
        <w:t xml:space="preserve">Senāta 2019.gada 6.augusta sprieduma lietā Nr. SKA-133/2019 (ECLI:LV:AT:2019:0806.A420309614.2.S) </w:t>
      </w:r>
      <w:r w:rsidR="00C94446" w:rsidRPr="00277E4E">
        <w:rPr>
          <w:i/>
          <w:iCs/>
        </w:rPr>
        <w:t>14</w:t>
      </w:r>
      <w:r w:rsidRPr="00277E4E">
        <w:rPr>
          <w:i/>
          <w:iCs/>
        </w:rPr>
        <w:t>.punkts</w:t>
      </w:r>
      <w:r w:rsidRPr="00277E4E">
        <w:t>). Lai arī darījumi ar citu darījumu partneri, iespējams, ir bijuši par to pašu priekšmetu, tas pats par sevi nekādā gadījumā neliek izdarīt vienādus secinājumus par konkrēto darījumu vienādu iesaisti nodokļu sistēmas ļaunprātīgā izmantošanā. Apstāklis, ka Valsts ieņēmumu dienests nav izvirzījis pretenzijas pret analoģiskiem pieteicējas darījumiem ar citiem darījumu partneriem, un ka apgabaltiesa tam nav pievērsusi uzmanību, nevar būt pamats apgabaltiesas sprieduma tiesiskuma apšaubīšanai (</w:t>
      </w:r>
      <w:r w:rsidRPr="00277E4E">
        <w:rPr>
          <w:i/>
          <w:iCs/>
        </w:rPr>
        <w:t>turpat</w:t>
      </w:r>
      <w:r w:rsidRPr="00277E4E">
        <w:t xml:space="preserve">). </w:t>
      </w:r>
    </w:p>
    <w:p w14:paraId="43C8E08E" w14:textId="121E5006" w:rsidR="00791FF7" w:rsidRPr="00277E4E" w:rsidRDefault="00791FF7" w:rsidP="00277E4E">
      <w:pPr>
        <w:spacing w:line="276" w:lineRule="auto"/>
        <w:ind w:firstLine="567"/>
        <w:jc w:val="both"/>
      </w:pPr>
      <w:r w:rsidRPr="00277E4E">
        <w:t xml:space="preserve">Turklāt pretēji kasācijas sūdzībā </w:t>
      </w:r>
      <w:r w:rsidR="00B70FE5" w:rsidRPr="00277E4E">
        <w:t>minē</w:t>
      </w:r>
      <w:r w:rsidRPr="00277E4E">
        <w:t xml:space="preserve">tajam pirmās instances tiesa nav </w:t>
      </w:r>
      <w:r w:rsidR="00B70FE5" w:rsidRPr="00277E4E">
        <w:t>norādījusi</w:t>
      </w:r>
      <w:r w:rsidRPr="00277E4E">
        <w:t>, ka Valsts ieņēmumu dienesta neapstrīdētie darījumi nebija jāatzīst</w:t>
      </w:r>
      <w:r w:rsidR="0046083F" w:rsidRPr="00277E4E">
        <w:t xml:space="preserve"> un ka tādējādi pieteicējai būtu </w:t>
      </w:r>
      <w:r w:rsidR="0046083F" w:rsidRPr="00277E4E">
        <w:lastRenderedPageBreak/>
        <w:t xml:space="preserve">liedzamas tiesības uz priekšnodokļa atskaitījumiem vēl lielākā apmērā. </w:t>
      </w:r>
      <w:r w:rsidRPr="00277E4E">
        <w:t>Šādu secinājumu pirmās instances tiesas spriedums nesatur</w:t>
      </w:r>
      <w:r w:rsidR="0046083F" w:rsidRPr="00277E4E">
        <w:t>, t</w:t>
      </w:r>
      <w:r w:rsidRPr="00277E4E">
        <w:t>āpēc pretēji kasācijas sūdzībā paustajam viedoklim apgabaltiesai pirmās instances tiesas rīcībā nebija jāsaskata Administratīvā procesa likuma 249. un 250.panta pārkāpums. Arī apgabaltiesa, pievienojoties pirmās instances tiesas argumentācijai, nav pārkāpusi minētās tiesību normas.</w:t>
      </w:r>
    </w:p>
    <w:p w14:paraId="58FC9069" w14:textId="41074DB2" w:rsidR="00C64408" w:rsidRPr="00277E4E" w:rsidRDefault="00C64408" w:rsidP="00277E4E">
      <w:pPr>
        <w:spacing w:line="276" w:lineRule="auto"/>
        <w:ind w:firstLine="567"/>
        <w:jc w:val="both"/>
      </w:pPr>
    </w:p>
    <w:p w14:paraId="72E3803A" w14:textId="2BBBE6C1" w:rsidR="009E4D70" w:rsidRPr="00277E4E" w:rsidRDefault="00997C39" w:rsidP="00277E4E">
      <w:pPr>
        <w:spacing w:line="276" w:lineRule="auto"/>
        <w:ind w:firstLine="567"/>
        <w:jc w:val="both"/>
      </w:pPr>
      <w:r w:rsidRPr="00277E4E">
        <w:t>[</w:t>
      </w:r>
      <w:r w:rsidR="00185678" w:rsidRPr="00277E4E">
        <w:t>20</w:t>
      </w:r>
      <w:r w:rsidRPr="00277E4E">
        <w:t>]</w:t>
      </w:r>
      <w:r w:rsidR="007518B8" w:rsidRPr="00277E4E">
        <w:t> </w:t>
      </w:r>
      <w:proofErr w:type="gramStart"/>
      <w:r w:rsidRPr="00277E4E">
        <w:t xml:space="preserve">Rezumējot minēto, </w:t>
      </w:r>
      <w:r w:rsidR="009E4D70" w:rsidRPr="00277E4E">
        <w:t>apgabaltiesas rīcībā</w:t>
      </w:r>
      <w:proofErr w:type="gramEnd"/>
      <w:r w:rsidR="009E4D70" w:rsidRPr="00277E4E">
        <w:t xml:space="preserve"> nav saskatāmi ne materiālo, ne procesuālo tiesību normu pārkāpumi, tāpēc </w:t>
      </w:r>
      <w:r w:rsidRPr="00277E4E">
        <w:t>apgabaltiesas sprieduma atcelšanai nav pamata</w:t>
      </w:r>
      <w:r w:rsidR="009E4D70" w:rsidRPr="00277E4E">
        <w:t>.</w:t>
      </w:r>
    </w:p>
    <w:p w14:paraId="6EB1D36C" w14:textId="77777777" w:rsidR="009E4D70" w:rsidRPr="00277E4E" w:rsidRDefault="009E4D70" w:rsidP="00277E4E">
      <w:pPr>
        <w:spacing w:line="276" w:lineRule="auto"/>
        <w:jc w:val="center"/>
        <w:rPr>
          <w:b/>
        </w:rPr>
      </w:pPr>
    </w:p>
    <w:p w14:paraId="7F133DF8" w14:textId="00DB0DEC" w:rsidR="003047F5" w:rsidRPr="00277E4E" w:rsidRDefault="003047F5" w:rsidP="00277E4E">
      <w:pPr>
        <w:spacing w:line="276" w:lineRule="auto"/>
        <w:jc w:val="center"/>
        <w:rPr>
          <w:b/>
        </w:rPr>
      </w:pPr>
      <w:r w:rsidRPr="00277E4E">
        <w:rPr>
          <w:b/>
        </w:rPr>
        <w:t>Rezolutīvā daļa</w:t>
      </w:r>
    </w:p>
    <w:p w14:paraId="203D55B2" w14:textId="77777777" w:rsidR="003047F5" w:rsidRPr="00277E4E" w:rsidRDefault="003047F5" w:rsidP="00277E4E">
      <w:pPr>
        <w:spacing w:line="276" w:lineRule="auto"/>
        <w:ind w:firstLine="567"/>
        <w:jc w:val="both"/>
        <w:rPr>
          <w:bCs/>
          <w:spacing w:val="70"/>
        </w:rPr>
      </w:pPr>
    </w:p>
    <w:p w14:paraId="6C0D5837" w14:textId="414D3F4E" w:rsidR="003047F5" w:rsidRPr="00277E4E" w:rsidRDefault="003047F5" w:rsidP="00277E4E">
      <w:pPr>
        <w:spacing w:line="276" w:lineRule="auto"/>
        <w:ind w:firstLine="567"/>
        <w:jc w:val="both"/>
        <w:rPr>
          <w:strike/>
        </w:rPr>
      </w:pPr>
      <w:r w:rsidRPr="00277E4E">
        <w:t xml:space="preserve">Pamatojoties uz </w:t>
      </w:r>
      <w:r w:rsidR="00941626" w:rsidRPr="00277E4E">
        <w:rPr>
          <w:rFonts w:eastAsiaTheme="minorHAnsi"/>
          <w:lang w:eastAsia="en-US"/>
        </w:rPr>
        <w:t xml:space="preserve">Administratīvā procesa likuma </w:t>
      </w:r>
      <w:proofErr w:type="gramStart"/>
      <w:r w:rsidR="00AF2237" w:rsidRPr="00277E4E">
        <w:rPr>
          <w:rFonts w:eastAsiaTheme="minorHAnsi"/>
          <w:lang w:eastAsia="en-US"/>
        </w:rPr>
        <w:t>348.panta</w:t>
      </w:r>
      <w:proofErr w:type="gramEnd"/>
      <w:r w:rsidR="00AF2237" w:rsidRPr="00277E4E">
        <w:rPr>
          <w:rFonts w:eastAsiaTheme="minorHAnsi"/>
          <w:lang w:eastAsia="en-US"/>
        </w:rPr>
        <w:t xml:space="preserve"> pirmās daļas</w:t>
      </w:r>
      <w:r w:rsidR="00781EC2" w:rsidRPr="00277E4E">
        <w:rPr>
          <w:rFonts w:eastAsiaTheme="minorHAnsi"/>
          <w:lang w:eastAsia="en-US"/>
        </w:rPr>
        <w:t xml:space="preserve"> </w:t>
      </w:r>
      <w:r w:rsidR="00EE6CBD" w:rsidRPr="00277E4E">
        <w:rPr>
          <w:rFonts w:eastAsiaTheme="minorHAnsi"/>
          <w:lang w:eastAsia="en-US"/>
        </w:rPr>
        <w:t>1</w:t>
      </w:r>
      <w:r w:rsidR="00781EC2" w:rsidRPr="00277E4E">
        <w:rPr>
          <w:rFonts w:eastAsiaTheme="minorHAnsi"/>
          <w:lang w:eastAsia="en-US"/>
        </w:rPr>
        <w:t xml:space="preserve">.punktu </w:t>
      </w:r>
      <w:r w:rsidR="00AF2237" w:rsidRPr="00277E4E">
        <w:rPr>
          <w:rFonts w:eastAsiaTheme="minorHAnsi"/>
          <w:lang w:eastAsia="en-US"/>
        </w:rPr>
        <w:t>un 351.pantu</w:t>
      </w:r>
      <w:r w:rsidRPr="00277E4E">
        <w:t xml:space="preserve">, </w:t>
      </w:r>
      <w:r w:rsidR="006B7BBC" w:rsidRPr="00277E4E">
        <w:t>Senāts</w:t>
      </w:r>
    </w:p>
    <w:p w14:paraId="56FE2BEB" w14:textId="77777777" w:rsidR="003047F5" w:rsidRPr="00277E4E" w:rsidRDefault="003047F5" w:rsidP="00277E4E">
      <w:pPr>
        <w:spacing w:line="276" w:lineRule="auto"/>
        <w:ind w:firstLine="567"/>
        <w:jc w:val="both"/>
      </w:pPr>
    </w:p>
    <w:p w14:paraId="6FE7AC9C" w14:textId="3331EF4C" w:rsidR="003047F5" w:rsidRPr="00277E4E" w:rsidRDefault="003047F5" w:rsidP="00277E4E">
      <w:pPr>
        <w:spacing w:line="276" w:lineRule="auto"/>
        <w:jc w:val="center"/>
        <w:rPr>
          <w:b/>
        </w:rPr>
      </w:pPr>
      <w:r w:rsidRPr="00277E4E">
        <w:rPr>
          <w:b/>
        </w:rPr>
        <w:t>nosprieda</w:t>
      </w:r>
    </w:p>
    <w:p w14:paraId="25D5DF80" w14:textId="77777777" w:rsidR="00A6596A" w:rsidRPr="00277E4E" w:rsidRDefault="00A6596A" w:rsidP="00277E4E">
      <w:pPr>
        <w:spacing w:line="276" w:lineRule="auto"/>
        <w:jc w:val="center"/>
        <w:rPr>
          <w:b/>
        </w:rPr>
      </w:pPr>
    </w:p>
    <w:p w14:paraId="6FFBC74D" w14:textId="43158DCB" w:rsidR="00EE6CBD" w:rsidRPr="00277E4E" w:rsidRDefault="00EE6CBD" w:rsidP="00277E4E">
      <w:pPr>
        <w:spacing w:line="276" w:lineRule="auto"/>
        <w:ind w:firstLine="567"/>
        <w:jc w:val="both"/>
      </w:pPr>
      <w:r w:rsidRPr="00277E4E">
        <w:t xml:space="preserve">atstāt negrozītu </w:t>
      </w:r>
      <w:r w:rsidR="000615AE" w:rsidRPr="00277E4E">
        <w:t>Ad</w:t>
      </w:r>
      <w:r w:rsidRPr="00277E4E">
        <w:t xml:space="preserve">ministratīvās apgabaltiesas </w:t>
      </w:r>
      <w:proofErr w:type="gramStart"/>
      <w:r w:rsidRPr="00277E4E">
        <w:t>2017</w:t>
      </w:r>
      <w:r w:rsidR="000615AE" w:rsidRPr="00277E4E">
        <w:t>.gada</w:t>
      </w:r>
      <w:proofErr w:type="gramEnd"/>
      <w:r w:rsidR="000615AE" w:rsidRPr="00277E4E">
        <w:t xml:space="preserve"> </w:t>
      </w:r>
      <w:r w:rsidR="00D252DE" w:rsidRPr="00277E4E">
        <w:t>7.jūlija sp</w:t>
      </w:r>
      <w:r w:rsidR="000615AE" w:rsidRPr="00277E4E">
        <w:t>riedumu</w:t>
      </w:r>
      <w:r w:rsidRPr="00277E4E">
        <w:t>, bet SIA </w:t>
      </w:r>
      <w:r w:rsidR="00144CB6" w:rsidRPr="00277E4E">
        <w:t>„</w:t>
      </w:r>
      <w:r w:rsidR="00D252DE" w:rsidRPr="00277E4E">
        <w:t>PRIORITY</w:t>
      </w:r>
      <w:r w:rsidRPr="00277E4E">
        <w:t>” kasācijas sūdzību noraidīt.</w:t>
      </w:r>
    </w:p>
    <w:p w14:paraId="75E6B85A" w14:textId="01DF03AD" w:rsidR="00DD0206" w:rsidRPr="00277E4E" w:rsidRDefault="00941626" w:rsidP="001F483E">
      <w:pPr>
        <w:spacing w:line="276" w:lineRule="auto"/>
        <w:ind w:firstLine="567"/>
        <w:jc w:val="both"/>
      </w:pPr>
      <w:r w:rsidRPr="00277E4E">
        <w:t xml:space="preserve">Spriedums </w:t>
      </w:r>
      <w:r w:rsidR="00801CD9" w:rsidRPr="00277E4E">
        <w:t>nav pārsūdzams.</w:t>
      </w:r>
    </w:p>
    <w:sectPr w:rsidR="00DD0206" w:rsidRPr="00277E4E" w:rsidSect="001F483E">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5014F" w14:textId="77777777" w:rsidR="00B127D5" w:rsidRDefault="00B127D5" w:rsidP="003047F5">
      <w:r>
        <w:separator/>
      </w:r>
    </w:p>
  </w:endnote>
  <w:endnote w:type="continuationSeparator" w:id="0">
    <w:p w14:paraId="5485DF9A" w14:textId="77777777" w:rsidR="00B127D5" w:rsidRDefault="00B127D5" w:rsidP="003047F5">
      <w:r>
        <w:continuationSeparator/>
      </w:r>
    </w:p>
  </w:endnote>
  <w:endnote w:type="continuationNotice" w:id="1">
    <w:p w14:paraId="61615277" w14:textId="77777777" w:rsidR="00B127D5" w:rsidRDefault="00B12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3A1A2FFE" w:rsidR="00B9363F" w:rsidRDefault="00B9363F"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427B91">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3568C">
      <w:rPr>
        <w:rStyle w:val="PageNumber"/>
        <w:noProof/>
      </w:rPr>
      <w:t>16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BC653" w14:textId="77777777" w:rsidR="00B127D5" w:rsidRDefault="00B127D5" w:rsidP="003047F5">
      <w:r>
        <w:separator/>
      </w:r>
    </w:p>
  </w:footnote>
  <w:footnote w:type="continuationSeparator" w:id="0">
    <w:p w14:paraId="0C6E49CF" w14:textId="77777777" w:rsidR="00B127D5" w:rsidRDefault="00B127D5" w:rsidP="003047F5">
      <w:r>
        <w:continuationSeparator/>
      </w:r>
    </w:p>
  </w:footnote>
  <w:footnote w:type="continuationNotice" w:id="1">
    <w:p w14:paraId="1D592193" w14:textId="77777777" w:rsidR="00B127D5" w:rsidRDefault="00B127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70C36"/>
    <w:multiLevelType w:val="hybridMultilevel"/>
    <w:tmpl w:val="37E2659A"/>
    <w:lvl w:ilvl="0" w:tplc="53D0BA3E">
      <w:start w:val="1"/>
      <w:numFmt w:val="bullet"/>
      <w:lvlText w:val=""/>
      <w:lvlJc w:val="left"/>
      <w:pPr>
        <w:tabs>
          <w:tab w:val="num" w:pos="720"/>
        </w:tabs>
        <w:ind w:left="720" w:hanging="360"/>
      </w:pPr>
      <w:rPr>
        <w:rFonts w:ascii="Wingdings 3" w:hAnsi="Wingdings 3" w:hint="default"/>
      </w:rPr>
    </w:lvl>
    <w:lvl w:ilvl="1" w:tplc="59AEE42A" w:tentative="1">
      <w:start w:val="1"/>
      <w:numFmt w:val="bullet"/>
      <w:lvlText w:val=""/>
      <w:lvlJc w:val="left"/>
      <w:pPr>
        <w:tabs>
          <w:tab w:val="num" w:pos="1440"/>
        </w:tabs>
        <w:ind w:left="1440" w:hanging="360"/>
      </w:pPr>
      <w:rPr>
        <w:rFonts w:ascii="Wingdings 3" w:hAnsi="Wingdings 3" w:hint="default"/>
      </w:rPr>
    </w:lvl>
    <w:lvl w:ilvl="2" w:tplc="CC5EE9A0" w:tentative="1">
      <w:start w:val="1"/>
      <w:numFmt w:val="bullet"/>
      <w:lvlText w:val=""/>
      <w:lvlJc w:val="left"/>
      <w:pPr>
        <w:tabs>
          <w:tab w:val="num" w:pos="2160"/>
        </w:tabs>
        <w:ind w:left="2160" w:hanging="360"/>
      </w:pPr>
      <w:rPr>
        <w:rFonts w:ascii="Wingdings 3" w:hAnsi="Wingdings 3" w:hint="default"/>
      </w:rPr>
    </w:lvl>
    <w:lvl w:ilvl="3" w:tplc="5134AE8A" w:tentative="1">
      <w:start w:val="1"/>
      <w:numFmt w:val="bullet"/>
      <w:lvlText w:val=""/>
      <w:lvlJc w:val="left"/>
      <w:pPr>
        <w:tabs>
          <w:tab w:val="num" w:pos="2880"/>
        </w:tabs>
        <w:ind w:left="2880" w:hanging="360"/>
      </w:pPr>
      <w:rPr>
        <w:rFonts w:ascii="Wingdings 3" w:hAnsi="Wingdings 3" w:hint="default"/>
      </w:rPr>
    </w:lvl>
    <w:lvl w:ilvl="4" w:tplc="8AC0638A" w:tentative="1">
      <w:start w:val="1"/>
      <w:numFmt w:val="bullet"/>
      <w:lvlText w:val=""/>
      <w:lvlJc w:val="left"/>
      <w:pPr>
        <w:tabs>
          <w:tab w:val="num" w:pos="3600"/>
        </w:tabs>
        <w:ind w:left="3600" w:hanging="360"/>
      </w:pPr>
      <w:rPr>
        <w:rFonts w:ascii="Wingdings 3" w:hAnsi="Wingdings 3" w:hint="default"/>
      </w:rPr>
    </w:lvl>
    <w:lvl w:ilvl="5" w:tplc="1F2C5A72" w:tentative="1">
      <w:start w:val="1"/>
      <w:numFmt w:val="bullet"/>
      <w:lvlText w:val=""/>
      <w:lvlJc w:val="left"/>
      <w:pPr>
        <w:tabs>
          <w:tab w:val="num" w:pos="4320"/>
        </w:tabs>
        <w:ind w:left="4320" w:hanging="360"/>
      </w:pPr>
      <w:rPr>
        <w:rFonts w:ascii="Wingdings 3" w:hAnsi="Wingdings 3" w:hint="default"/>
      </w:rPr>
    </w:lvl>
    <w:lvl w:ilvl="6" w:tplc="508A4C64" w:tentative="1">
      <w:start w:val="1"/>
      <w:numFmt w:val="bullet"/>
      <w:lvlText w:val=""/>
      <w:lvlJc w:val="left"/>
      <w:pPr>
        <w:tabs>
          <w:tab w:val="num" w:pos="5040"/>
        </w:tabs>
        <w:ind w:left="5040" w:hanging="360"/>
      </w:pPr>
      <w:rPr>
        <w:rFonts w:ascii="Wingdings 3" w:hAnsi="Wingdings 3" w:hint="default"/>
      </w:rPr>
    </w:lvl>
    <w:lvl w:ilvl="7" w:tplc="FCA4D77C" w:tentative="1">
      <w:start w:val="1"/>
      <w:numFmt w:val="bullet"/>
      <w:lvlText w:val=""/>
      <w:lvlJc w:val="left"/>
      <w:pPr>
        <w:tabs>
          <w:tab w:val="num" w:pos="5760"/>
        </w:tabs>
        <w:ind w:left="5760" w:hanging="360"/>
      </w:pPr>
      <w:rPr>
        <w:rFonts w:ascii="Wingdings 3" w:hAnsi="Wingdings 3" w:hint="default"/>
      </w:rPr>
    </w:lvl>
    <w:lvl w:ilvl="8" w:tplc="4A4CC47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6F8753D"/>
    <w:multiLevelType w:val="hybridMultilevel"/>
    <w:tmpl w:val="CECE5B68"/>
    <w:lvl w:ilvl="0" w:tplc="04D4A7EE">
      <w:start w:val="1"/>
      <w:numFmt w:val="bullet"/>
      <w:lvlText w:val="•"/>
      <w:lvlJc w:val="left"/>
      <w:pPr>
        <w:tabs>
          <w:tab w:val="num" w:pos="720"/>
        </w:tabs>
        <w:ind w:left="720" w:hanging="360"/>
      </w:pPr>
      <w:rPr>
        <w:rFonts w:ascii="Arial" w:hAnsi="Arial" w:hint="default"/>
      </w:rPr>
    </w:lvl>
    <w:lvl w:ilvl="1" w:tplc="059C9BE4" w:tentative="1">
      <w:start w:val="1"/>
      <w:numFmt w:val="bullet"/>
      <w:lvlText w:val="•"/>
      <w:lvlJc w:val="left"/>
      <w:pPr>
        <w:tabs>
          <w:tab w:val="num" w:pos="1440"/>
        </w:tabs>
        <w:ind w:left="1440" w:hanging="360"/>
      </w:pPr>
      <w:rPr>
        <w:rFonts w:ascii="Arial" w:hAnsi="Arial" w:hint="default"/>
      </w:rPr>
    </w:lvl>
    <w:lvl w:ilvl="2" w:tplc="F5765D90" w:tentative="1">
      <w:start w:val="1"/>
      <w:numFmt w:val="bullet"/>
      <w:lvlText w:val="•"/>
      <w:lvlJc w:val="left"/>
      <w:pPr>
        <w:tabs>
          <w:tab w:val="num" w:pos="2160"/>
        </w:tabs>
        <w:ind w:left="2160" w:hanging="360"/>
      </w:pPr>
      <w:rPr>
        <w:rFonts w:ascii="Arial" w:hAnsi="Arial" w:hint="default"/>
      </w:rPr>
    </w:lvl>
    <w:lvl w:ilvl="3" w:tplc="B268DFB6" w:tentative="1">
      <w:start w:val="1"/>
      <w:numFmt w:val="bullet"/>
      <w:lvlText w:val="•"/>
      <w:lvlJc w:val="left"/>
      <w:pPr>
        <w:tabs>
          <w:tab w:val="num" w:pos="2880"/>
        </w:tabs>
        <w:ind w:left="2880" w:hanging="360"/>
      </w:pPr>
      <w:rPr>
        <w:rFonts w:ascii="Arial" w:hAnsi="Arial" w:hint="default"/>
      </w:rPr>
    </w:lvl>
    <w:lvl w:ilvl="4" w:tplc="024EC372" w:tentative="1">
      <w:start w:val="1"/>
      <w:numFmt w:val="bullet"/>
      <w:lvlText w:val="•"/>
      <w:lvlJc w:val="left"/>
      <w:pPr>
        <w:tabs>
          <w:tab w:val="num" w:pos="3600"/>
        </w:tabs>
        <w:ind w:left="3600" w:hanging="360"/>
      </w:pPr>
      <w:rPr>
        <w:rFonts w:ascii="Arial" w:hAnsi="Arial" w:hint="default"/>
      </w:rPr>
    </w:lvl>
    <w:lvl w:ilvl="5" w:tplc="9D44DC76" w:tentative="1">
      <w:start w:val="1"/>
      <w:numFmt w:val="bullet"/>
      <w:lvlText w:val="•"/>
      <w:lvlJc w:val="left"/>
      <w:pPr>
        <w:tabs>
          <w:tab w:val="num" w:pos="4320"/>
        </w:tabs>
        <w:ind w:left="4320" w:hanging="360"/>
      </w:pPr>
      <w:rPr>
        <w:rFonts w:ascii="Arial" w:hAnsi="Arial" w:hint="default"/>
      </w:rPr>
    </w:lvl>
    <w:lvl w:ilvl="6" w:tplc="57362804" w:tentative="1">
      <w:start w:val="1"/>
      <w:numFmt w:val="bullet"/>
      <w:lvlText w:val="•"/>
      <w:lvlJc w:val="left"/>
      <w:pPr>
        <w:tabs>
          <w:tab w:val="num" w:pos="5040"/>
        </w:tabs>
        <w:ind w:left="5040" w:hanging="360"/>
      </w:pPr>
      <w:rPr>
        <w:rFonts w:ascii="Arial" w:hAnsi="Arial" w:hint="default"/>
      </w:rPr>
    </w:lvl>
    <w:lvl w:ilvl="7" w:tplc="9D7E6F8A" w:tentative="1">
      <w:start w:val="1"/>
      <w:numFmt w:val="bullet"/>
      <w:lvlText w:val="•"/>
      <w:lvlJc w:val="left"/>
      <w:pPr>
        <w:tabs>
          <w:tab w:val="num" w:pos="5760"/>
        </w:tabs>
        <w:ind w:left="5760" w:hanging="360"/>
      </w:pPr>
      <w:rPr>
        <w:rFonts w:ascii="Arial" w:hAnsi="Arial" w:hint="default"/>
      </w:rPr>
    </w:lvl>
    <w:lvl w:ilvl="8" w:tplc="9F6C72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2727A0"/>
    <w:multiLevelType w:val="hybridMultilevel"/>
    <w:tmpl w:val="D370F26C"/>
    <w:lvl w:ilvl="0" w:tplc="C686A3B0">
      <w:start w:val="1"/>
      <w:numFmt w:val="bullet"/>
      <w:lvlText w:val=""/>
      <w:lvlJc w:val="left"/>
      <w:pPr>
        <w:tabs>
          <w:tab w:val="num" w:pos="720"/>
        </w:tabs>
        <w:ind w:left="720" w:hanging="360"/>
      </w:pPr>
      <w:rPr>
        <w:rFonts w:ascii="Wingdings 3" w:hAnsi="Wingdings 3" w:hint="default"/>
      </w:rPr>
    </w:lvl>
    <w:lvl w:ilvl="1" w:tplc="0A4AFF7A" w:tentative="1">
      <w:start w:val="1"/>
      <w:numFmt w:val="bullet"/>
      <w:lvlText w:val=""/>
      <w:lvlJc w:val="left"/>
      <w:pPr>
        <w:tabs>
          <w:tab w:val="num" w:pos="1440"/>
        </w:tabs>
        <w:ind w:left="1440" w:hanging="360"/>
      </w:pPr>
      <w:rPr>
        <w:rFonts w:ascii="Wingdings 3" w:hAnsi="Wingdings 3" w:hint="default"/>
      </w:rPr>
    </w:lvl>
    <w:lvl w:ilvl="2" w:tplc="995C0E66" w:tentative="1">
      <w:start w:val="1"/>
      <w:numFmt w:val="bullet"/>
      <w:lvlText w:val=""/>
      <w:lvlJc w:val="left"/>
      <w:pPr>
        <w:tabs>
          <w:tab w:val="num" w:pos="2160"/>
        </w:tabs>
        <w:ind w:left="2160" w:hanging="360"/>
      </w:pPr>
      <w:rPr>
        <w:rFonts w:ascii="Wingdings 3" w:hAnsi="Wingdings 3" w:hint="default"/>
      </w:rPr>
    </w:lvl>
    <w:lvl w:ilvl="3" w:tplc="A990AC36" w:tentative="1">
      <w:start w:val="1"/>
      <w:numFmt w:val="bullet"/>
      <w:lvlText w:val=""/>
      <w:lvlJc w:val="left"/>
      <w:pPr>
        <w:tabs>
          <w:tab w:val="num" w:pos="2880"/>
        </w:tabs>
        <w:ind w:left="2880" w:hanging="360"/>
      </w:pPr>
      <w:rPr>
        <w:rFonts w:ascii="Wingdings 3" w:hAnsi="Wingdings 3" w:hint="default"/>
      </w:rPr>
    </w:lvl>
    <w:lvl w:ilvl="4" w:tplc="2076A0C4" w:tentative="1">
      <w:start w:val="1"/>
      <w:numFmt w:val="bullet"/>
      <w:lvlText w:val=""/>
      <w:lvlJc w:val="left"/>
      <w:pPr>
        <w:tabs>
          <w:tab w:val="num" w:pos="3600"/>
        </w:tabs>
        <w:ind w:left="3600" w:hanging="360"/>
      </w:pPr>
      <w:rPr>
        <w:rFonts w:ascii="Wingdings 3" w:hAnsi="Wingdings 3" w:hint="default"/>
      </w:rPr>
    </w:lvl>
    <w:lvl w:ilvl="5" w:tplc="E6222344" w:tentative="1">
      <w:start w:val="1"/>
      <w:numFmt w:val="bullet"/>
      <w:lvlText w:val=""/>
      <w:lvlJc w:val="left"/>
      <w:pPr>
        <w:tabs>
          <w:tab w:val="num" w:pos="4320"/>
        </w:tabs>
        <w:ind w:left="4320" w:hanging="360"/>
      </w:pPr>
      <w:rPr>
        <w:rFonts w:ascii="Wingdings 3" w:hAnsi="Wingdings 3" w:hint="default"/>
      </w:rPr>
    </w:lvl>
    <w:lvl w:ilvl="6" w:tplc="5184CD1C" w:tentative="1">
      <w:start w:val="1"/>
      <w:numFmt w:val="bullet"/>
      <w:lvlText w:val=""/>
      <w:lvlJc w:val="left"/>
      <w:pPr>
        <w:tabs>
          <w:tab w:val="num" w:pos="5040"/>
        </w:tabs>
        <w:ind w:left="5040" w:hanging="360"/>
      </w:pPr>
      <w:rPr>
        <w:rFonts w:ascii="Wingdings 3" w:hAnsi="Wingdings 3" w:hint="default"/>
      </w:rPr>
    </w:lvl>
    <w:lvl w:ilvl="7" w:tplc="6AE67696" w:tentative="1">
      <w:start w:val="1"/>
      <w:numFmt w:val="bullet"/>
      <w:lvlText w:val=""/>
      <w:lvlJc w:val="left"/>
      <w:pPr>
        <w:tabs>
          <w:tab w:val="num" w:pos="5760"/>
        </w:tabs>
        <w:ind w:left="5760" w:hanging="360"/>
      </w:pPr>
      <w:rPr>
        <w:rFonts w:ascii="Wingdings 3" w:hAnsi="Wingdings 3" w:hint="default"/>
      </w:rPr>
    </w:lvl>
    <w:lvl w:ilvl="8" w:tplc="F8BE16CA"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4DE05F1E"/>
    <w:multiLevelType w:val="hybridMultilevel"/>
    <w:tmpl w:val="993AAB9E"/>
    <w:lvl w:ilvl="0" w:tplc="71C89CCA">
      <w:start w:val="1"/>
      <w:numFmt w:val="bullet"/>
      <w:lvlText w:val=""/>
      <w:lvlJc w:val="left"/>
      <w:pPr>
        <w:tabs>
          <w:tab w:val="num" w:pos="720"/>
        </w:tabs>
        <w:ind w:left="720" w:hanging="360"/>
      </w:pPr>
      <w:rPr>
        <w:rFonts w:ascii="Wingdings 3" w:hAnsi="Wingdings 3" w:hint="default"/>
      </w:rPr>
    </w:lvl>
    <w:lvl w:ilvl="1" w:tplc="A2701AC6" w:tentative="1">
      <w:start w:val="1"/>
      <w:numFmt w:val="bullet"/>
      <w:lvlText w:val=""/>
      <w:lvlJc w:val="left"/>
      <w:pPr>
        <w:tabs>
          <w:tab w:val="num" w:pos="1440"/>
        </w:tabs>
        <w:ind w:left="1440" w:hanging="360"/>
      </w:pPr>
      <w:rPr>
        <w:rFonts w:ascii="Wingdings 3" w:hAnsi="Wingdings 3" w:hint="default"/>
      </w:rPr>
    </w:lvl>
    <w:lvl w:ilvl="2" w:tplc="73CE16C0" w:tentative="1">
      <w:start w:val="1"/>
      <w:numFmt w:val="bullet"/>
      <w:lvlText w:val=""/>
      <w:lvlJc w:val="left"/>
      <w:pPr>
        <w:tabs>
          <w:tab w:val="num" w:pos="2160"/>
        </w:tabs>
        <w:ind w:left="2160" w:hanging="360"/>
      </w:pPr>
      <w:rPr>
        <w:rFonts w:ascii="Wingdings 3" w:hAnsi="Wingdings 3" w:hint="default"/>
      </w:rPr>
    </w:lvl>
    <w:lvl w:ilvl="3" w:tplc="19D45AF8" w:tentative="1">
      <w:start w:val="1"/>
      <w:numFmt w:val="bullet"/>
      <w:lvlText w:val=""/>
      <w:lvlJc w:val="left"/>
      <w:pPr>
        <w:tabs>
          <w:tab w:val="num" w:pos="2880"/>
        </w:tabs>
        <w:ind w:left="2880" w:hanging="360"/>
      </w:pPr>
      <w:rPr>
        <w:rFonts w:ascii="Wingdings 3" w:hAnsi="Wingdings 3" w:hint="default"/>
      </w:rPr>
    </w:lvl>
    <w:lvl w:ilvl="4" w:tplc="598EEF2E" w:tentative="1">
      <w:start w:val="1"/>
      <w:numFmt w:val="bullet"/>
      <w:lvlText w:val=""/>
      <w:lvlJc w:val="left"/>
      <w:pPr>
        <w:tabs>
          <w:tab w:val="num" w:pos="3600"/>
        </w:tabs>
        <w:ind w:left="3600" w:hanging="360"/>
      </w:pPr>
      <w:rPr>
        <w:rFonts w:ascii="Wingdings 3" w:hAnsi="Wingdings 3" w:hint="default"/>
      </w:rPr>
    </w:lvl>
    <w:lvl w:ilvl="5" w:tplc="390ABE66" w:tentative="1">
      <w:start w:val="1"/>
      <w:numFmt w:val="bullet"/>
      <w:lvlText w:val=""/>
      <w:lvlJc w:val="left"/>
      <w:pPr>
        <w:tabs>
          <w:tab w:val="num" w:pos="4320"/>
        </w:tabs>
        <w:ind w:left="4320" w:hanging="360"/>
      </w:pPr>
      <w:rPr>
        <w:rFonts w:ascii="Wingdings 3" w:hAnsi="Wingdings 3" w:hint="default"/>
      </w:rPr>
    </w:lvl>
    <w:lvl w:ilvl="6" w:tplc="DB3C3566" w:tentative="1">
      <w:start w:val="1"/>
      <w:numFmt w:val="bullet"/>
      <w:lvlText w:val=""/>
      <w:lvlJc w:val="left"/>
      <w:pPr>
        <w:tabs>
          <w:tab w:val="num" w:pos="5040"/>
        </w:tabs>
        <w:ind w:left="5040" w:hanging="360"/>
      </w:pPr>
      <w:rPr>
        <w:rFonts w:ascii="Wingdings 3" w:hAnsi="Wingdings 3" w:hint="default"/>
      </w:rPr>
    </w:lvl>
    <w:lvl w:ilvl="7" w:tplc="180CF00C" w:tentative="1">
      <w:start w:val="1"/>
      <w:numFmt w:val="bullet"/>
      <w:lvlText w:val=""/>
      <w:lvlJc w:val="left"/>
      <w:pPr>
        <w:tabs>
          <w:tab w:val="num" w:pos="5760"/>
        </w:tabs>
        <w:ind w:left="5760" w:hanging="360"/>
      </w:pPr>
      <w:rPr>
        <w:rFonts w:ascii="Wingdings 3" w:hAnsi="Wingdings 3" w:hint="default"/>
      </w:rPr>
    </w:lvl>
    <w:lvl w:ilvl="8" w:tplc="B5A4F8C2"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61776E0F"/>
    <w:multiLevelType w:val="hybridMultilevel"/>
    <w:tmpl w:val="050CE168"/>
    <w:lvl w:ilvl="0" w:tplc="152A7354">
      <w:start w:val="1"/>
      <w:numFmt w:val="bullet"/>
      <w:lvlText w:val=""/>
      <w:lvlJc w:val="left"/>
      <w:pPr>
        <w:tabs>
          <w:tab w:val="num" w:pos="720"/>
        </w:tabs>
        <w:ind w:left="720" w:hanging="360"/>
      </w:pPr>
      <w:rPr>
        <w:rFonts w:ascii="Wingdings 3" w:hAnsi="Wingdings 3" w:hint="default"/>
      </w:rPr>
    </w:lvl>
    <w:lvl w:ilvl="1" w:tplc="E2FC7C20" w:tentative="1">
      <w:start w:val="1"/>
      <w:numFmt w:val="bullet"/>
      <w:lvlText w:val=""/>
      <w:lvlJc w:val="left"/>
      <w:pPr>
        <w:tabs>
          <w:tab w:val="num" w:pos="1440"/>
        </w:tabs>
        <w:ind w:left="1440" w:hanging="360"/>
      </w:pPr>
      <w:rPr>
        <w:rFonts w:ascii="Wingdings 3" w:hAnsi="Wingdings 3" w:hint="default"/>
      </w:rPr>
    </w:lvl>
    <w:lvl w:ilvl="2" w:tplc="6DB425FC" w:tentative="1">
      <w:start w:val="1"/>
      <w:numFmt w:val="bullet"/>
      <w:lvlText w:val=""/>
      <w:lvlJc w:val="left"/>
      <w:pPr>
        <w:tabs>
          <w:tab w:val="num" w:pos="2160"/>
        </w:tabs>
        <w:ind w:left="2160" w:hanging="360"/>
      </w:pPr>
      <w:rPr>
        <w:rFonts w:ascii="Wingdings 3" w:hAnsi="Wingdings 3" w:hint="default"/>
      </w:rPr>
    </w:lvl>
    <w:lvl w:ilvl="3" w:tplc="9D10FAA8" w:tentative="1">
      <w:start w:val="1"/>
      <w:numFmt w:val="bullet"/>
      <w:lvlText w:val=""/>
      <w:lvlJc w:val="left"/>
      <w:pPr>
        <w:tabs>
          <w:tab w:val="num" w:pos="2880"/>
        </w:tabs>
        <w:ind w:left="2880" w:hanging="360"/>
      </w:pPr>
      <w:rPr>
        <w:rFonts w:ascii="Wingdings 3" w:hAnsi="Wingdings 3" w:hint="default"/>
      </w:rPr>
    </w:lvl>
    <w:lvl w:ilvl="4" w:tplc="AED0070E" w:tentative="1">
      <w:start w:val="1"/>
      <w:numFmt w:val="bullet"/>
      <w:lvlText w:val=""/>
      <w:lvlJc w:val="left"/>
      <w:pPr>
        <w:tabs>
          <w:tab w:val="num" w:pos="3600"/>
        </w:tabs>
        <w:ind w:left="3600" w:hanging="360"/>
      </w:pPr>
      <w:rPr>
        <w:rFonts w:ascii="Wingdings 3" w:hAnsi="Wingdings 3" w:hint="default"/>
      </w:rPr>
    </w:lvl>
    <w:lvl w:ilvl="5" w:tplc="EBDA8B08" w:tentative="1">
      <w:start w:val="1"/>
      <w:numFmt w:val="bullet"/>
      <w:lvlText w:val=""/>
      <w:lvlJc w:val="left"/>
      <w:pPr>
        <w:tabs>
          <w:tab w:val="num" w:pos="4320"/>
        </w:tabs>
        <w:ind w:left="4320" w:hanging="360"/>
      </w:pPr>
      <w:rPr>
        <w:rFonts w:ascii="Wingdings 3" w:hAnsi="Wingdings 3" w:hint="default"/>
      </w:rPr>
    </w:lvl>
    <w:lvl w:ilvl="6" w:tplc="3AF408C4" w:tentative="1">
      <w:start w:val="1"/>
      <w:numFmt w:val="bullet"/>
      <w:lvlText w:val=""/>
      <w:lvlJc w:val="left"/>
      <w:pPr>
        <w:tabs>
          <w:tab w:val="num" w:pos="5040"/>
        </w:tabs>
        <w:ind w:left="5040" w:hanging="360"/>
      </w:pPr>
      <w:rPr>
        <w:rFonts w:ascii="Wingdings 3" w:hAnsi="Wingdings 3" w:hint="default"/>
      </w:rPr>
    </w:lvl>
    <w:lvl w:ilvl="7" w:tplc="C1987ADC" w:tentative="1">
      <w:start w:val="1"/>
      <w:numFmt w:val="bullet"/>
      <w:lvlText w:val=""/>
      <w:lvlJc w:val="left"/>
      <w:pPr>
        <w:tabs>
          <w:tab w:val="num" w:pos="5760"/>
        </w:tabs>
        <w:ind w:left="5760" w:hanging="360"/>
      </w:pPr>
      <w:rPr>
        <w:rFonts w:ascii="Wingdings 3" w:hAnsi="Wingdings 3" w:hint="default"/>
      </w:rPr>
    </w:lvl>
    <w:lvl w:ilvl="8" w:tplc="A79C9F9C"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6AE22DDB"/>
    <w:multiLevelType w:val="hybridMultilevel"/>
    <w:tmpl w:val="D2664356"/>
    <w:lvl w:ilvl="0" w:tplc="AF528474">
      <w:start w:val="1"/>
      <w:numFmt w:val="bullet"/>
      <w:lvlText w:val=""/>
      <w:lvlJc w:val="left"/>
      <w:pPr>
        <w:tabs>
          <w:tab w:val="num" w:pos="3763"/>
        </w:tabs>
        <w:ind w:left="3763" w:hanging="360"/>
      </w:pPr>
      <w:rPr>
        <w:rFonts w:ascii="Wingdings 3" w:hAnsi="Wingdings 3" w:hint="default"/>
      </w:rPr>
    </w:lvl>
    <w:lvl w:ilvl="1" w:tplc="DD8CF400" w:tentative="1">
      <w:start w:val="1"/>
      <w:numFmt w:val="bullet"/>
      <w:lvlText w:val=""/>
      <w:lvlJc w:val="left"/>
      <w:pPr>
        <w:tabs>
          <w:tab w:val="num" w:pos="4483"/>
        </w:tabs>
        <w:ind w:left="4483" w:hanging="360"/>
      </w:pPr>
      <w:rPr>
        <w:rFonts w:ascii="Wingdings 3" w:hAnsi="Wingdings 3" w:hint="default"/>
      </w:rPr>
    </w:lvl>
    <w:lvl w:ilvl="2" w:tplc="482075B6" w:tentative="1">
      <w:start w:val="1"/>
      <w:numFmt w:val="bullet"/>
      <w:lvlText w:val=""/>
      <w:lvlJc w:val="left"/>
      <w:pPr>
        <w:tabs>
          <w:tab w:val="num" w:pos="5203"/>
        </w:tabs>
        <w:ind w:left="5203" w:hanging="360"/>
      </w:pPr>
      <w:rPr>
        <w:rFonts w:ascii="Wingdings 3" w:hAnsi="Wingdings 3" w:hint="default"/>
      </w:rPr>
    </w:lvl>
    <w:lvl w:ilvl="3" w:tplc="5A2EF27C" w:tentative="1">
      <w:start w:val="1"/>
      <w:numFmt w:val="bullet"/>
      <w:lvlText w:val=""/>
      <w:lvlJc w:val="left"/>
      <w:pPr>
        <w:tabs>
          <w:tab w:val="num" w:pos="5923"/>
        </w:tabs>
        <w:ind w:left="5923" w:hanging="360"/>
      </w:pPr>
      <w:rPr>
        <w:rFonts w:ascii="Wingdings 3" w:hAnsi="Wingdings 3" w:hint="default"/>
      </w:rPr>
    </w:lvl>
    <w:lvl w:ilvl="4" w:tplc="3D18226A" w:tentative="1">
      <w:start w:val="1"/>
      <w:numFmt w:val="bullet"/>
      <w:lvlText w:val=""/>
      <w:lvlJc w:val="left"/>
      <w:pPr>
        <w:tabs>
          <w:tab w:val="num" w:pos="6643"/>
        </w:tabs>
        <w:ind w:left="6643" w:hanging="360"/>
      </w:pPr>
      <w:rPr>
        <w:rFonts w:ascii="Wingdings 3" w:hAnsi="Wingdings 3" w:hint="default"/>
      </w:rPr>
    </w:lvl>
    <w:lvl w:ilvl="5" w:tplc="BE2E837E" w:tentative="1">
      <w:start w:val="1"/>
      <w:numFmt w:val="bullet"/>
      <w:lvlText w:val=""/>
      <w:lvlJc w:val="left"/>
      <w:pPr>
        <w:tabs>
          <w:tab w:val="num" w:pos="7363"/>
        </w:tabs>
        <w:ind w:left="7363" w:hanging="360"/>
      </w:pPr>
      <w:rPr>
        <w:rFonts w:ascii="Wingdings 3" w:hAnsi="Wingdings 3" w:hint="default"/>
      </w:rPr>
    </w:lvl>
    <w:lvl w:ilvl="6" w:tplc="F8EC0414" w:tentative="1">
      <w:start w:val="1"/>
      <w:numFmt w:val="bullet"/>
      <w:lvlText w:val=""/>
      <w:lvlJc w:val="left"/>
      <w:pPr>
        <w:tabs>
          <w:tab w:val="num" w:pos="8083"/>
        </w:tabs>
        <w:ind w:left="8083" w:hanging="360"/>
      </w:pPr>
      <w:rPr>
        <w:rFonts w:ascii="Wingdings 3" w:hAnsi="Wingdings 3" w:hint="default"/>
      </w:rPr>
    </w:lvl>
    <w:lvl w:ilvl="7" w:tplc="D130CF4C" w:tentative="1">
      <w:start w:val="1"/>
      <w:numFmt w:val="bullet"/>
      <w:lvlText w:val=""/>
      <w:lvlJc w:val="left"/>
      <w:pPr>
        <w:tabs>
          <w:tab w:val="num" w:pos="8803"/>
        </w:tabs>
        <w:ind w:left="8803" w:hanging="360"/>
      </w:pPr>
      <w:rPr>
        <w:rFonts w:ascii="Wingdings 3" w:hAnsi="Wingdings 3" w:hint="default"/>
      </w:rPr>
    </w:lvl>
    <w:lvl w:ilvl="8" w:tplc="15D61848" w:tentative="1">
      <w:start w:val="1"/>
      <w:numFmt w:val="bullet"/>
      <w:lvlText w:val=""/>
      <w:lvlJc w:val="left"/>
      <w:pPr>
        <w:tabs>
          <w:tab w:val="num" w:pos="9523"/>
        </w:tabs>
        <w:ind w:left="9523" w:hanging="360"/>
      </w:pPr>
      <w:rPr>
        <w:rFonts w:ascii="Wingdings 3" w:hAnsi="Wingdings 3" w:hint="default"/>
      </w:rPr>
    </w:lvl>
  </w:abstractNum>
  <w:abstractNum w:abstractNumId="6" w15:restartNumberingAfterBreak="0">
    <w:nsid w:val="6EB43058"/>
    <w:multiLevelType w:val="hybridMultilevel"/>
    <w:tmpl w:val="D98C6914"/>
    <w:lvl w:ilvl="0" w:tplc="B11C1B9A">
      <w:start w:val="1"/>
      <w:numFmt w:val="bullet"/>
      <w:lvlText w:val=""/>
      <w:lvlJc w:val="left"/>
      <w:pPr>
        <w:tabs>
          <w:tab w:val="num" w:pos="720"/>
        </w:tabs>
        <w:ind w:left="720" w:hanging="360"/>
      </w:pPr>
      <w:rPr>
        <w:rFonts w:ascii="Wingdings 3" w:hAnsi="Wingdings 3" w:hint="default"/>
      </w:rPr>
    </w:lvl>
    <w:lvl w:ilvl="1" w:tplc="6C462B4A" w:tentative="1">
      <w:start w:val="1"/>
      <w:numFmt w:val="bullet"/>
      <w:lvlText w:val=""/>
      <w:lvlJc w:val="left"/>
      <w:pPr>
        <w:tabs>
          <w:tab w:val="num" w:pos="1440"/>
        </w:tabs>
        <w:ind w:left="1440" w:hanging="360"/>
      </w:pPr>
      <w:rPr>
        <w:rFonts w:ascii="Wingdings 3" w:hAnsi="Wingdings 3" w:hint="default"/>
      </w:rPr>
    </w:lvl>
    <w:lvl w:ilvl="2" w:tplc="119CEA60" w:tentative="1">
      <w:start w:val="1"/>
      <w:numFmt w:val="bullet"/>
      <w:lvlText w:val=""/>
      <w:lvlJc w:val="left"/>
      <w:pPr>
        <w:tabs>
          <w:tab w:val="num" w:pos="2160"/>
        </w:tabs>
        <w:ind w:left="2160" w:hanging="360"/>
      </w:pPr>
      <w:rPr>
        <w:rFonts w:ascii="Wingdings 3" w:hAnsi="Wingdings 3" w:hint="default"/>
      </w:rPr>
    </w:lvl>
    <w:lvl w:ilvl="3" w:tplc="029ED812" w:tentative="1">
      <w:start w:val="1"/>
      <w:numFmt w:val="bullet"/>
      <w:lvlText w:val=""/>
      <w:lvlJc w:val="left"/>
      <w:pPr>
        <w:tabs>
          <w:tab w:val="num" w:pos="2880"/>
        </w:tabs>
        <w:ind w:left="2880" w:hanging="360"/>
      </w:pPr>
      <w:rPr>
        <w:rFonts w:ascii="Wingdings 3" w:hAnsi="Wingdings 3" w:hint="default"/>
      </w:rPr>
    </w:lvl>
    <w:lvl w:ilvl="4" w:tplc="ACB660E8" w:tentative="1">
      <w:start w:val="1"/>
      <w:numFmt w:val="bullet"/>
      <w:lvlText w:val=""/>
      <w:lvlJc w:val="left"/>
      <w:pPr>
        <w:tabs>
          <w:tab w:val="num" w:pos="3600"/>
        </w:tabs>
        <w:ind w:left="3600" w:hanging="360"/>
      </w:pPr>
      <w:rPr>
        <w:rFonts w:ascii="Wingdings 3" w:hAnsi="Wingdings 3" w:hint="default"/>
      </w:rPr>
    </w:lvl>
    <w:lvl w:ilvl="5" w:tplc="337CA07C" w:tentative="1">
      <w:start w:val="1"/>
      <w:numFmt w:val="bullet"/>
      <w:lvlText w:val=""/>
      <w:lvlJc w:val="left"/>
      <w:pPr>
        <w:tabs>
          <w:tab w:val="num" w:pos="4320"/>
        </w:tabs>
        <w:ind w:left="4320" w:hanging="360"/>
      </w:pPr>
      <w:rPr>
        <w:rFonts w:ascii="Wingdings 3" w:hAnsi="Wingdings 3" w:hint="default"/>
      </w:rPr>
    </w:lvl>
    <w:lvl w:ilvl="6" w:tplc="4AF8610E" w:tentative="1">
      <w:start w:val="1"/>
      <w:numFmt w:val="bullet"/>
      <w:lvlText w:val=""/>
      <w:lvlJc w:val="left"/>
      <w:pPr>
        <w:tabs>
          <w:tab w:val="num" w:pos="5040"/>
        </w:tabs>
        <w:ind w:left="5040" w:hanging="360"/>
      </w:pPr>
      <w:rPr>
        <w:rFonts w:ascii="Wingdings 3" w:hAnsi="Wingdings 3" w:hint="default"/>
      </w:rPr>
    </w:lvl>
    <w:lvl w:ilvl="7" w:tplc="C2BC259A" w:tentative="1">
      <w:start w:val="1"/>
      <w:numFmt w:val="bullet"/>
      <w:lvlText w:val=""/>
      <w:lvlJc w:val="left"/>
      <w:pPr>
        <w:tabs>
          <w:tab w:val="num" w:pos="5760"/>
        </w:tabs>
        <w:ind w:left="5760" w:hanging="360"/>
      </w:pPr>
      <w:rPr>
        <w:rFonts w:ascii="Wingdings 3" w:hAnsi="Wingdings 3" w:hint="default"/>
      </w:rPr>
    </w:lvl>
    <w:lvl w:ilvl="8" w:tplc="034CD044" w:tentative="1">
      <w:start w:val="1"/>
      <w:numFmt w:val="bullet"/>
      <w:lvlText w:val=""/>
      <w:lvlJc w:val="left"/>
      <w:pPr>
        <w:tabs>
          <w:tab w:val="num" w:pos="6480"/>
        </w:tabs>
        <w:ind w:left="6480" w:hanging="360"/>
      </w:pPr>
      <w:rPr>
        <w:rFonts w:ascii="Wingdings 3" w:hAnsi="Wingdings 3" w:hint="default"/>
      </w:rPr>
    </w:lvl>
  </w:abstractNum>
  <w:num w:numId="1">
    <w:abstractNumId w:val="3"/>
  </w:num>
  <w:num w:numId="2">
    <w:abstractNumId w:val="6"/>
  </w:num>
  <w:num w:numId="3">
    <w:abstractNumId w:val="2"/>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26E"/>
    <w:rsid w:val="00000666"/>
    <w:rsid w:val="00005475"/>
    <w:rsid w:val="00005B18"/>
    <w:rsid w:val="00006CD3"/>
    <w:rsid w:val="0001066B"/>
    <w:rsid w:val="00010F0E"/>
    <w:rsid w:val="0001237A"/>
    <w:rsid w:val="0001536D"/>
    <w:rsid w:val="0002115C"/>
    <w:rsid w:val="0003163C"/>
    <w:rsid w:val="00036275"/>
    <w:rsid w:val="00042FD2"/>
    <w:rsid w:val="000443F3"/>
    <w:rsid w:val="00051933"/>
    <w:rsid w:val="00055F76"/>
    <w:rsid w:val="000615AE"/>
    <w:rsid w:val="00061A0B"/>
    <w:rsid w:val="00062E88"/>
    <w:rsid w:val="0006490C"/>
    <w:rsid w:val="000708AF"/>
    <w:rsid w:val="000716AB"/>
    <w:rsid w:val="00072833"/>
    <w:rsid w:val="000743D0"/>
    <w:rsid w:val="00076217"/>
    <w:rsid w:val="00076B47"/>
    <w:rsid w:val="000867C6"/>
    <w:rsid w:val="00087EEE"/>
    <w:rsid w:val="00095EE9"/>
    <w:rsid w:val="00097227"/>
    <w:rsid w:val="000A39FD"/>
    <w:rsid w:val="000A5D18"/>
    <w:rsid w:val="000B0A3A"/>
    <w:rsid w:val="000B0D96"/>
    <w:rsid w:val="000B4480"/>
    <w:rsid w:val="000C4697"/>
    <w:rsid w:val="000C5881"/>
    <w:rsid w:val="000C59E3"/>
    <w:rsid w:val="000E1121"/>
    <w:rsid w:val="000E2E12"/>
    <w:rsid w:val="000E70BE"/>
    <w:rsid w:val="000E7CE9"/>
    <w:rsid w:val="000F3FE3"/>
    <w:rsid w:val="000F77B3"/>
    <w:rsid w:val="000F7FDC"/>
    <w:rsid w:val="001035C0"/>
    <w:rsid w:val="001108D8"/>
    <w:rsid w:val="00110C97"/>
    <w:rsid w:val="00111F73"/>
    <w:rsid w:val="001250F5"/>
    <w:rsid w:val="00125DF7"/>
    <w:rsid w:val="00127500"/>
    <w:rsid w:val="001303E0"/>
    <w:rsid w:val="00131AA5"/>
    <w:rsid w:val="00131B3E"/>
    <w:rsid w:val="00131E1A"/>
    <w:rsid w:val="00134E98"/>
    <w:rsid w:val="00141B66"/>
    <w:rsid w:val="001421F2"/>
    <w:rsid w:val="00143ED8"/>
    <w:rsid w:val="00144452"/>
    <w:rsid w:val="00144CB6"/>
    <w:rsid w:val="0015174D"/>
    <w:rsid w:val="001525CA"/>
    <w:rsid w:val="00152687"/>
    <w:rsid w:val="00156098"/>
    <w:rsid w:val="001623AC"/>
    <w:rsid w:val="0016381F"/>
    <w:rsid w:val="001646E9"/>
    <w:rsid w:val="001656DE"/>
    <w:rsid w:val="00165B0E"/>
    <w:rsid w:val="00166A7E"/>
    <w:rsid w:val="001670F6"/>
    <w:rsid w:val="00167B0D"/>
    <w:rsid w:val="00174E5B"/>
    <w:rsid w:val="0017630D"/>
    <w:rsid w:val="00177A86"/>
    <w:rsid w:val="00182B65"/>
    <w:rsid w:val="00183305"/>
    <w:rsid w:val="00185678"/>
    <w:rsid w:val="00185F09"/>
    <w:rsid w:val="001879DD"/>
    <w:rsid w:val="001906F5"/>
    <w:rsid w:val="00191E73"/>
    <w:rsid w:val="0019238A"/>
    <w:rsid w:val="0019247B"/>
    <w:rsid w:val="001A0495"/>
    <w:rsid w:val="001A17DE"/>
    <w:rsid w:val="001A4FB0"/>
    <w:rsid w:val="001A51B6"/>
    <w:rsid w:val="001B19AC"/>
    <w:rsid w:val="001B2223"/>
    <w:rsid w:val="001B252A"/>
    <w:rsid w:val="001C3457"/>
    <w:rsid w:val="001C564E"/>
    <w:rsid w:val="001C5F57"/>
    <w:rsid w:val="001C6C90"/>
    <w:rsid w:val="001D0DF4"/>
    <w:rsid w:val="001D5835"/>
    <w:rsid w:val="001D7C30"/>
    <w:rsid w:val="001E3840"/>
    <w:rsid w:val="001E3A09"/>
    <w:rsid w:val="001E665A"/>
    <w:rsid w:val="001F0D7E"/>
    <w:rsid w:val="001F483E"/>
    <w:rsid w:val="001F5CDA"/>
    <w:rsid w:val="001F6359"/>
    <w:rsid w:val="001F7731"/>
    <w:rsid w:val="0020035E"/>
    <w:rsid w:val="00202AFF"/>
    <w:rsid w:val="002045C9"/>
    <w:rsid w:val="002064AB"/>
    <w:rsid w:val="00207E2B"/>
    <w:rsid w:val="002111AD"/>
    <w:rsid w:val="002132CB"/>
    <w:rsid w:val="00216FF4"/>
    <w:rsid w:val="00221600"/>
    <w:rsid w:val="0023568C"/>
    <w:rsid w:val="002358D1"/>
    <w:rsid w:val="00235CE9"/>
    <w:rsid w:val="00236E52"/>
    <w:rsid w:val="00237F92"/>
    <w:rsid w:val="002404E9"/>
    <w:rsid w:val="002404EA"/>
    <w:rsid w:val="00246CF4"/>
    <w:rsid w:val="002512DE"/>
    <w:rsid w:val="00251578"/>
    <w:rsid w:val="00257EF9"/>
    <w:rsid w:val="00262ED8"/>
    <w:rsid w:val="00267386"/>
    <w:rsid w:val="0026742D"/>
    <w:rsid w:val="00267E9A"/>
    <w:rsid w:val="00272897"/>
    <w:rsid w:val="0027469B"/>
    <w:rsid w:val="00277E4E"/>
    <w:rsid w:val="002817BA"/>
    <w:rsid w:val="002874E6"/>
    <w:rsid w:val="0029008E"/>
    <w:rsid w:val="00293462"/>
    <w:rsid w:val="00294D76"/>
    <w:rsid w:val="0029694B"/>
    <w:rsid w:val="00296C60"/>
    <w:rsid w:val="00297A05"/>
    <w:rsid w:val="002A08F8"/>
    <w:rsid w:val="002A1D91"/>
    <w:rsid w:val="002A2CCD"/>
    <w:rsid w:val="002A50B5"/>
    <w:rsid w:val="002A6446"/>
    <w:rsid w:val="002B3320"/>
    <w:rsid w:val="002B4B2F"/>
    <w:rsid w:val="002C1A91"/>
    <w:rsid w:val="002C7B42"/>
    <w:rsid w:val="002D07F3"/>
    <w:rsid w:val="002D2374"/>
    <w:rsid w:val="002D65A3"/>
    <w:rsid w:val="002E00AB"/>
    <w:rsid w:val="002E0197"/>
    <w:rsid w:val="002E06D5"/>
    <w:rsid w:val="002E306E"/>
    <w:rsid w:val="002E390D"/>
    <w:rsid w:val="002E5236"/>
    <w:rsid w:val="002E700A"/>
    <w:rsid w:val="002E772F"/>
    <w:rsid w:val="002F1039"/>
    <w:rsid w:val="002F5037"/>
    <w:rsid w:val="002F6757"/>
    <w:rsid w:val="003000C0"/>
    <w:rsid w:val="0030128F"/>
    <w:rsid w:val="00301A51"/>
    <w:rsid w:val="0030468D"/>
    <w:rsid w:val="003047F5"/>
    <w:rsid w:val="003064C3"/>
    <w:rsid w:val="00311CEF"/>
    <w:rsid w:val="00314BE9"/>
    <w:rsid w:val="003162DD"/>
    <w:rsid w:val="00317636"/>
    <w:rsid w:val="00322057"/>
    <w:rsid w:val="00325E0F"/>
    <w:rsid w:val="003266A6"/>
    <w:rsid w:val="00331C8F"/>
    <w:rsid w:val="00333164"/>
    <w:rsid w:val="00333C16"/>
    <w:rsid w:val="00344741"/>
    <w:rsid w:val="00344FBE"/>
    <w:rsid w:val="00345051"/>
    <w:rsid w:val="00347688"/>
    <w:rsid w:val="0035346E"/>
    <w:rsid w:val="00363FAD"/>
    <w:rsid w:val="00364312"/>
    <w:rsid w:val="00364C1A"/>
    <w:rsid w:val="00365B30"/>
    <w:rsid w:val="003700BE"/>
    <w:rsid w:val="0038113B"/>
    <w:rsid w:val="00382C94"/>
    <w:rsid w:val="00385DDD"/>
    <w:rsid w:val="003873CB"/>
    <w:rsid w:val="003874A2"/>
    <w:rsid w:val="003934B5"/>
    <w:rsid w:val="003B5D59"/>
    <w:rsid w:val="003B7E25"/>
    <w:rsid w:val="003C47AC"/>
    <w:rsid w:val="003C541D"/>
    <w:rsid w:val="003C5933"/>
    <w:rsid w:val="003C67F5"/>
    <w:rsid w:val="003C7A1D"/>
    <w:rsid w:val="003D0FE7"/>
    <w:rsid w:val="003E1073"/>
    <w:rsid w:val="003E2A0B"/>
    <w:rsid w:val="003E2A2B"/>
    <w:rsid w:val="003E73F4"/>
    <w:rsid w:val="003E7A0E"/>
    <w:rsid w:val="003F0144"/>
    <w:rsid w:val="003F0B63"/>
    <w:rsid w:val="003F16DD"/>
    <w:rsid w:val="00402A5B"/>
    <w:rsid w:val="004052F5"/>
    <w:rsid w:val="00415F09"/>
    <w:rsid w:val="00422CC8"/>
    <w:rsid w:val="00422DDA"/>
    <w:rsid w:val="00422FA6"/>
    <w:rsid w:val="00424B84"/>
    <w:rsid w:val="00427B91"/>
    <w:rsid w:val="0043182C"/>
    <w:rsid w:val="0043239A"/>
    <w:rsid w:val="0043387D"/>
    <w:rsid w:val="00433DB6"/>
    <w:rsid w:val="00434B02"/>
    <w:rsid w:val="00436E5A"/>
    <w:rsid w:val="00437600"/>
    <w:rsid w:val="004405BB"/>
    <w:rsid w:val="00442895"/>
    <w:rsid w:val="00443A6A"/>
    <w:rsid w:val="00443B74"/>
    <w:rsid w:val="004545FC"/>
    <w:rsid w:val="00455A57"/>
    <w:rsid w:val="0045685B"/>
    <w:rsid w:val="00456B28"/>
    <w:rsid w:val="0045758A"/>
    <w:rsid w:val="00460115"/>
    <w:rsid w:val="0046083F"/>
    <w:rsid w:val="00463D8B"/>
    <w:rsid w:val="00465197"/>
    <w:rsid w:val="0048077E"/>
    <w:rsid w:val="00480CD5"/>
    <w:rsid w:val="00481352"/>
    <w:rsid w:val="004815DD"/>
    <w:rsid w:val="0049098E"/>
    <w:rsid w:val="00490EDC"/>
    <w:rsid w:val="004910EC"/>
    <w:rsid w:val="00491DEC"/>
    <w:rsid w:val="00493545"/>
    <w:rsid w:val="00497E72"/>
    <w:rsid w:val="004A3E3D"/>
    <w:rsid w:val="004A4903"/>
    <w:rsid w:val="004A4D2C"/>
    <w:rsid w:val="004A60DE"/>
    <w:rsid w:val="004B0C7B"/>
    <w:rsid w:val="004B41BE"/>
    <w:rsid w:val="004B61D2"/>
    <w:rsid w:val="004C2C37"/>
    <w:rsid w:val="004C4610"/>
    <w:rsid w:val="004C5214"/>
    <w:rsid w:val="004D0C8C"/>
    <w:rsid w:val="004D2487"/>
    <w:rsid w:val="004D56C2"/>
    <w:rsid w:val="004E1388"/>
    <w:rsid w:val="004E291B"/>
    <w:rsid w:val="004E5A8D"/>
    <w:rsid w:val="004E6804"/>
    <w:rsid w:val="004F0957"/>
    <w:rsid w:val="004F7D6F"/>
    <w:rsid w:val="00502B14"/>
    <w:rsid w:val="005143F6"/>
    <w:rsid w:val="005175FF"/>
    <w:rsid w:val="00520014"/>
    <w:rsid w:val="00521A02"/>
    <w:rsid w:val="00521A51"/>
    <w:rsid w:val="00522CA9"/>
    <w:rsid w:val="00522F43"/>
    <w:rsid w:val="0052323E"/>
    <w:rsid w:val="005232C7"/>
    <w:rsid w:val="00523363"/>
    <w:rsid w:val="005239BA"/>
    <w:rsid w:val="005259C8"/>
    <w:rsid w:val="00533B10"/>
    <w:rsid w:val="005341F4"/>
    <w:rsid w:val="00537889"/>
    <w:rsid w:val="005425E3"/>
    <w:rsid w:val="00543E46"/>
    <w:rsid w:val="00545916"/>
    <w:rsid w:val="00545B7C"/>
    <w:rsid w:val="00545CA2"/>
    <w:rsid w:val="00551498"/>
    <w:rsid w:val="0056091F"/>
    <w:rsid w:val="00563615"/>
    <w:rsid w:val="00571277"/>
    <w:rsid w:val="00571957"/>
    <w:rsid w:val="00572F64"/>
    <w:rsid w:val="00576FE4"/>
    <w:rsid w:val="0057715C"/>
    <w:rsid w:val="005862E8"/>
    <w:rsid w:val="00587EBA"/>
    <w:rsid w:val="005916D8"/>
    <w:rsid w:val="00592EED"/>
    <w:rsid w:val="005937A9"/>
    <w:rsid w:val="00593856"/>
    <w:rsid w:val="00594779"/>
    <w:rsid w:val="00594885"/>
    <w:rsid w:val="00594F29"/>
    <w:rsid w:val="005950C8"/>
    <w:rsid w:val="00595474"/>
    <w:rsid w:val="0059646D"/>
    <w:rsid w:val="005A2CA3"/>
    <w:rsid w:val="005A44C5"/>
    <w:rsid w:val="005A63D8"/>
    <w:rsid w:val="005B0E75"/>
    <w:rsid w:val="005B2D25"/>
    <w:rsid w:val="005B508A"/>
    <w:rsid w:val="005B5C29"/>
    <w:rsid w:val="005C06C9"/>
    <w:rsid w:val="005C0D54"/>
    <w:rsid w:val="005C1BBA"/>
    <w:rsid w:val="005C34EC"/>
    <w:rsid w:val="005C43FE"/>
    <w:rsid w:val="005C68B9"/>
    <w:rsid w:val="005C7EFB"/>
    <w:rsid w:val="005D5A48"/>
    <w:rsid w:val="005E07C5"/>
    <w:rsid w:val="005E2AA9"/>
    <w:rsid w:val="005E3667"/>
    <w:rsid w:val="005E741C"/>
    <w:rsid w:val="005F12FB"/>
    <w:rsid w:val="005F25ED"/>
    <w:rsid w:val="005F3997"/>
    <w:rsid w:val="005F6B0F"/>
    <w:rsid w:val="00600173"/>
    <w:rsid w:val="00604FAE"/>
    <w:rsid w:val="00606EBE"/>
    <w:rsid w:val="006078DC"/>
    <w:rsid w:val="00607D88"/>
    <w:rsid w:val="006100BF"/>
    <w:rsid w:val="006111A6"/>
    <w:rsid w:val="00613404"/>
    <w:rsid w:val="0061428A"/>
    <w:rsid w:val="006152FA"/>
    <w:rsid w:val="00620BAB"/>
    <w:rsid w:val="00620C9D"/>
    <w:rsid w:val="006242B3"/>
    <w:rsid w:val="00624F80"/>
    <w:rsid w:val="006265B9"/>
    <w:rsid w:val="00636385"/>
    <w:rsid w:val="0063796F"/>
    <w:rsid w:val="00641FF5"/>
    <w:rsid w:val="00642397"/>
    <w:rsid w:val="006426B8"/>
    <w:rsid w:val="006435D1"/>
    <w:rsid w:val="0064386A"/>
    <w:rsid w:val="00643C03"/>
    <w:rsid w:val="00647CF2"/>
    <w:rsid w:val="00652AAD"/>
    <w:rsid w:val="00661575"/>
    <w:rsid w:val="00663D81"/>
    <w:rsid w:val="0066739F"/>
    <w:rsid w:val="00672801"/>
    <w:rsid w:val="00674335"/>
    <w:rsid w:val="006748D1"/>
    <w:rsid w:val="006804F8"/>
    <w:rsid w:val="006816E6"/>
    <w:rsid w:val="0068316E"/>
    <w:rsid w:val="00683DCA"/>
    <w:rsid w:val="0068563C"/>
    <w:rsid w:val="006A2377"/>
    <w:rsid w:val="006B07AC"/>
    <w:rsid w:val="006B119F"/>
    <w:rsid w:val="006B7BBC"/>
    <w:rsid w:val="006C49EB"/>
    <w:rsid w:val="006C6B84"/>
    <w:rsid w:val="006D05AF"/>
    <w:rsid w:val="006D5828"/>
    <w:rsid w:val="006D6CBD"/>
    <w:rsid w:val="006F2299"/>
    <w:rsid w:val="006F2F6F"/>
    <w:rsid w:val="006F557D"/>
    <w:rsid w:val="006F5D3B"/>
    <w:rsid w:val="006F78E6"/>
    <w:rsid w:val="00702293"/>
    <w:rsid w:val="007078EA"/>
    <w:rsid w:val="0072288B"/>
    <w:rsid w:val="00724874"/>
    <w:rsid w:val="00730965"/>
    <w:rsid w:val="007316CE"/>
    <w:rsid w:val="00732022"/>
    <w:rsid w:val="0073405C"/>
    <w:rsid w:val="00742FA0"/>
    <w:rsid w:val="00744796"/>
    <w:rsid w:val="00744967"/>
    <w:rsid w:val="00746335"/>
    <w:rsid w:val="007518B8"/>
    <w:rsid w:val="00754C77"/>
    <w:rsid w:val="00754CDC"/>
    <w:rsid w:val="00761341"/>
    <w:rsid w:val="007709C7"/>
    <w:rsid w:val="0077509E"/>
    <w:rsid w:val="00775237"/>
    <w:rsid w:val="00780593"/>
    <w:rsid w:val="00780C75"/>
    <w:rsid w:val="00780E09"/>
    <w:rsid w:val="00781EC2"/>
    <w:rsid w:val="00783DFB"/>
    <w:rsid w:val="00791FF7"/>
    <w:rsid w:val="00792096"/>
    <w:rsid w:val="00792609"/>
    <w:rsid w:val="00793832"/>
    <w:rsid w:val="00794664"/>
    <w:rsid w:val="007946CF"/>
    <w:rsid w:val="007A44A2"/>
    <w:rsid w:val="007B3181"/>
    <w:rsid w:val="007B3C6C"/>
    <w:rsid w:val="007B5C7B"/>
    <w:rsid w:val="007B5F88"/>
    <w:rsid w:val="007C072D"/>
    <w:rsid w:val="007C2263"/>
    <w:rsid w:val="007C266C"/>
    <w:rsid w:val="007D008F"/>
    <w:rsid w:val="007D0342"/>
    <w:rsid w:val="007D5322"/>
    <w:rsid w:val="007E644D"/>
    <w:rsid w:val="007F1449"/>
    <w:rsid w:val="00801CD9"/>
    <w:rsid w:val="00802835"/>
    <w:rsid w:val="00802C2A"/>
    <w:rsid w:val="008043C0"/>
    <w:rsid w:val="00806ADD"/>
    <w:rsid w:val="00810A83"/>
    <w:rsid w:val="0081172F"/>
    <w:rsid w:val="00812175"/>
    <w:rsid w:val="00815A24"/>
    <w:rsid w:val="00815D10"/>
    <w:rsid w:val="00817DEE"/>
    <w:rsid w:val="008203C0"/>
    <w:rsid w:val="00820D06"/>
    <w:rsid w:val="00820F5B"/>
    <w:rsid w:val="0082381C"/>
    <w:rsid w:val="00824AA3"/>
    <w:rsid w:val="00825290"/>
    <w:rsid w:val="00826DC5"/>
    <w:rsid w:val="008318CA"/>
    <w:rsid w:val="00833668"/>
    <w:rsid w:val="00836BE7"/>
    <w:rsid w:val="00841D55"/>
    <w:rsid w:val="00843B21"/>
    <w:rsid w:val="00846597"/>
    <w:rsid w:val="0085117E"/>
    <w:rsid w:val="00854571"/>
    <w:rsid w:val="00854B74"/>
    <w:rsid w:val="008570F8"/>
    <w:rsid w:val="00860235"/>
    <w:rsid w:val="008631F5"/>
    <w:rsid w:val="008645CA"/>
    <w:rsid w:val="00865943"/>
    <w:rsid w:val="008713E7"/>
    <w:rsid w:val="008734A4"/>
    <w:rsid w:val="00884F7B"/>
    <w:rsid w:val="0088507B"/>
    <w:rsid w:val="0088548B"/>
    <w:rsid w:val="0088799E"/>
    <w:rsid w:val="00890CE7"/>
    <w:rsid w:val="00890F35"/>
    <w:rsid w:val="0089619C"/>
    <w:rsid w:val="008A3DA2"/>
    <w:rsid w:val="008A5514"/>
    <w:rsid w:val="008A7351"/>
    <w:rsid w:val="008B019E"/>
    <w:rsid w:val="008B0909"/>
    <w:rsid w:val="008B220A"/>
    <w:rsid w:val="008B3509"/>
    <w:rsid w:val="008C2818"/>
    <w:rsid w:val="008C3683"/>
    <w:rsid w:val="008C3987"/>
    <w:rsid w:val="008C505B"/>
    <w:rsid w:val="008C5BAC"/>
    <w:rsid w:val="008C6619"/>
    <w:rsid w:val="008D1200"/>
    <w:rsid w:val="008D2F74"/>
    <w:rsid w:val="008D5EA3"/>
    <w:rsid w:val="008D78A7"/>
    <w:rsid w:val="008E5AFF"/>
    <w:rsid w:val="008E7E43"/>
    <w:rsid w:val="008F13F0"/>
    <w:rsid w:val="008F20B6"/>
    <w:rsid w:val="008F7E16"/>
    <w:rsid w:val="00900068"/>
    <w:rsid w:val="0090484E"/>
    <w:rsid w:val="0090685B"/>
    <w:rsid w:val="00910CDB"/>
    <w:rsid w:val="00910E9D"/>
    <w:rsid w:val="009116AC"/>
    <w:rsid w:val="00914B2A"/>
    <w:rsid w:val="009208C8"/>
    <w:rsid w:val="00920C7C"/>
    <w:rsid w:val="00920FE7"/>
    <w:rsid w:val="009229FE"/>
    <w:rsid w:val="00927D8D"/>
    <w:rsid w:val="009314AC"/>
    <w:rsid w:val="009334CA"/>
    <w:rsid w:val="009337B4"/>
    <w:rsid w:val="00934AFB"/>
    <w:rsid w:val="00936B8F"/>
    <w:rsid w:val="00936C9F"/>
    <w:rsid w:val="00937EE7"/>
    <w:rsid w:val="00941626"/>
    <w:rsid w:val="009469D2"/>
    <w:rsid w:val="0095037D"/>
    <w:rsid w:val="00952DA4"/>
    <w:rsid w:val="00953781"/>
    <w:rsid w:val="00956E38"/>
    <w:rsid w:val="00962D09"/>
    <w:rsid w:val="009639F7"/>
    <w:rsid w:val="00966B3A"/>
    <w:rsid w:val="00967396"/>
    <w:rsid w:val="0097313A"/>
    <w:rsid w:val="00974ED5"/>
    <w:rsid w:val="00975204"/>
    <w:rsid w:val="009752A0"/>
    <w:rsid w:val="0097624A"/>
    <w:rsid w:val="0098100C"/>
    <w:rsid w:val="0098338F"/>
    <w:rsid w:val="00986868"/>
    <w:rsid w:val="00994B00"/>
    <w:rsid w:val="0099669C"/>
    <w:rsid w:val="00997C39"/>
    <w:rsid w:val="009A165B"/>
    <w:rsid w:val="009A21DD"/>
    <w:rsid w:val="009A4C28"/>
    <w:rsid w:val="009A6125"/>
    <w:rsid w:val="009A6214"/>
    <w:rsid w:val="009B0A4D"/>
    <w:rsid w:val="009B1A6A"/>
    <w:rsid w:val="009B2BC8"/>
    <w:rsid w:val="009B4FED"/>
    <w:rsid w:val="009C0E94"/>
    <w:rsid w:val="009C7BA3"/>
    <w:rsid w:val="009D26C6"/>
    <w:rsid w:val="009D2C1F"/>
    <w:rsid w:val="009D3827"/>
    <w:rsid w:val="009D442A"/>
    <w:rsid w:val="009D4734"/>
    <w:rsid w:val="009E3210"/>
    <w:rsid w:val="009E4D70"/>
    <w:rsid w:val="009E4EFE"/>
    <w:rsid w:val="009E636B"/>
    <w:rsid w:val="009F5C60"/>
    <w:rsid w:val="00A00062"/>
    <w:rsid w:val="00A011B4"/>
    <w:rsid w:val="00A0542E"/>
    <w:rsid w:val="00A059D5"/>
    <w:rsid w:val="00A05A46"/>
    <w:rsid w:val="00A169B6"/>
    <w:rsid w:val="00A24839"/>
    <w:rsid w:val="00A25568"/>
    <w:rsid w:val="00A303C5"/>
    <w:rsid w:val="00A31905"/>
    <w:rsid w:val="00A32D40"/>
    <w:rsid w:val="00A34EE2"/>
    <w:rsid w:val="00A36150"/>
    <w:rsid w:val="00A36311"/>
    <w:rsid w:val="00A37946"/>
    <w:rsid w:val="00A4169F"/>
    <w:rsid w:val="00A45D74"/>
    <w:rsid w:val="00A60A85"/>
    <w:rsid w:val="00A61EF9"/>
    <w:rsid w:val="00A62F3E"/>
    <w:rsid w:val="00A6596A"/>
    <w:rsid w:val="00A70295"/>
    <w:rsid w:val="00A716EC"/>
    <w:rsid w:val="00A73F48"/>
    <w:rsid w:val="00A75A2C"/>
    <w:rsid w:val="00A77E5F"/>
    <w:rsid w:val="00A831F1"/>
    <w:rsid w:val="00A83D00"/>
    <w:rsid w:val="00A91C34"/>
    <w:rsid w:val="00A9200A"/>
    <w:rsid w:val="00A95434"/>
    <w:rsid w:val="00AA2502"/>
    <w:rsid w:val="00AA4455"/>
    <w:rsid w:val="00AA6BF9"/>
    <w:rsid w:val="00AB19D8"/>
    <w:rsid w:val="00AB1DDF"/>
    <w:rsid w:val="00AC3290"/>
    <w:rsid w:val="00AD023C"/>
    <w:rsid w:val="00AD527D"/>
    <w:rsid w:val="00AF066A"/>
    <w:rsid w:val="00AF2237"/>
    <w:rsid w:val="00AF2B27"/>
    <w:rsid w:val="00B03E35"/>
    <w:rsid w:val="00B0586A"/>
    <w:rsid w:val="00B05C45"/>
    <w:rsid w:val="00B127D5"/>
    <w:rsid w:val="00B15DC2"/>
    <w:rsid w:val="00B23412"/>
    <w:rsid w:val="00B25B98"/>
    <w:rsid w:val="00B2730F"/>
    <w:rsid w:val="00B32280"/>
    <w:rsid w:val="00B42F43"/>
    <w:rsid w:val="00B45CE8"/>
    <w:rsid w:val="00B47077"/>
    <w:rsid w:val="00B47E45"/>
    <w:rsid w:val="00B47ED3"/>
    <w:rsid w:val="00B53739"/>
    <w:rsid w:val="00B6003E"/>
    <w:rsid w:val="00B66706"/>
    <w:rsid w:val="00B67867"/>
    <w:rsid w:val="00B7065E"/>
    <w:rsid w:val="00B70FE5"/>
    <w:rsid w:val="00B75A4A"/>
    <w:rsid w:val="00B76779"/>
    <w:rsid w:val="00B769DA"/>
    <w:rsid w:val="00B76FB0"/>
    <w:rsid w:val="00B77616"/>
    <w:rsid w:val="00B81662"/>
    <w:rsid w:val="00B870D0"/>
    <w:rsid w:val="00B911F6"/>
    <w:rsid w:val="00B9363F"/>
    <w:rsid w:val="00B93BA2"/>
    <w:rsid w:val="00BA1FA3"/>
    <w:rsid w:val="00BA40BC"/>
    <w:rsid w:val="00BA791F"/>
    <w:rsid w:val="00BB4182"/>
    <w:rsid w:val="00BB5382"/>
    <w:rsid w:val="00BB7EF2"/>
    <w:rsid w:val="00BC24E3"/>
    <w:rsid w:val="00BC56A7"/>
    <w:rsid w:val="00BC6426"/>
    <w:rsid w:val="00BD102C"/>
    <w:rsid w:val="00BD3B25"/>
    <w:rsid w:val="00BD5033"/>
    <w:rsid w:val="00BD6812"/>
    <w:rsid w:val="00BE037A"/>
    <w:rsid w:val="00BE072B"/>
    <w:rsid w:val="00BE1860"/>
    <w:rsid w:val="00BE420C"/>
    <w:rsid w:val="00BE6927"/>
    <w:rsid w:val="00BE7AD3"/>
    <w:rsid w:val="00BF24DC"/>
    <w:rsid w:val="00BF2BA7"/>
    <w:rsid w:val="00C0483F"/>
    <w:rsid w:val="00C0796C"/>
    <w:rsid w:val="00C102CC"/>
    <w:rsid w:val="00C104DF"/>
    <w:rsid w:val="00C10944"/>
    <w:rsid w:val="00C10D84"/>
    <w:rsid w:val="00C13CED"/>
    <w:rsid w:val="00C22299"/>
    <w:rsid w:val="00C22B0F"/>
    <w:rsid w:val="00C23897"/>
    <w:rsid w:val="00C23DDA"/>
    <w:rsid w:val="00C253CB"/>
    <w:rsid w:val="00C26304"/>
    <w:rsid w:val="00C27498"/>
    <w:rsid w:val="00C40BDD"/>
    <w:rsid w:val="00C41843"/>
    <w:rsid w:val="00C50BC1"/>
    <w:rsid w:val="00C531B5"/>
    <w:rsid w:val="00C53B24"/>
    <w:rsid w:val="00C611EA"/>
    <w:rsid w:val="00C613AB"/>
    <w:rsid w:val="00C62C3C"/>
    <w:rsid w:val="00C62F94"/>
    <w:rsid w:val="00C64408"/>
    <w:rsid w:val="00C7282F"/>
    <w:rsid w:val="00C80280"/>
    <w:rsid w:val="00C81589"/>
    <w:rsid w:val="00C81FD5"/>
    <w:rsid w:val="00C83342"/>
    <w:rsid w:val="00C86579"/>
    <w:rsid w:val="00C86759"/>
    <w:rsid w:val="00C86859"/>
    <w:rsid w:val="00C86F0B"/>
    <w:rsid w:val="00C915D7"/>
    <w:rsid w:val="00C923F2"/>
    <w:rsid w:val="00C94446"/>
    <w:rsid w:val="00C95250"/>
    <w:rsid w:val="00CA0617"/>
    <w:rsid w:val="00CA25EF"/>
    <w:rsid w:val="00CA3857"/>
    <w:rsid w:val="00CB3B13"/>
    <w:rsid w:val="00CB4481"/>
    <w:rsid w:val="00CC0ED8"/>
    <w:rsid w:val="00CC3910"/>
    <w:rsid w:val="00CC42D6"/>
    <w:rsid w:val="00CD0AF3"/>
    <w:rsid w:val="00CE0BB9"/>
    <w:rsid w:val="00CE14E4"/>
    <w:rsid w:val="00CE37E6"/>
    <w:rsid w:val="00CE445D"/>
    <w:rsid w:val="00CE670A"/>
    <w:rsid w:val="00CE7073"/>
    <w:rsid w:val="00CF11A1"/>
    <w:rsid w:val="00CF1507"/>
    <w:rsid w:val="00CF6E44"/>
    <w:rsid w:val="00D0128E"/>
    <w:rsid w:val="00D02754"/>
    <w:rsid w:val="00D06F3D"/>
    <w:rsid w:val="00D0782A"/>
    <w:rsid w:val="00D11B6A"/>
    <w:rsid w:val="00D11F48"/>
    <w:rsid w:val="00D1213E"/>
    <w:rsid w:val="00D1283B"/>
    <w:rsid w:val="00D176FC"/>
    <w:rsid w:val="00D252DE"/>
    <w:rsid w:val="00D27AEF"/>
    <w:rsid w:val="00D3146A"/>
    <w:rsid w:val="00D3210B"/>
    <w:rsid w:val="00D33B30"/>
    <w:rsid w:val="00D351C2"/>
    <w:rsid w:val="00D413E8"/>
    <w:rsid w:val="00D44327"/>
    <w:rsid w:val="00D4484F"/>
    <w:rsid w:val="00D46FBF"/>
    <w:rsid w:val="00D52E21"/>
    <w:rsid w:val="00D62D02"/>
    <w:rsid w:val="00D65B88"/>
    <w:rsid w:val="00D7028E"/>
    <w:rsid w:val="00D7177F"/>
    <w:rsid w:val="00D71C17"/>
    <w:rsid w:val="00D75CD8"/>
    <w:rsid w:val="00D77949"/>
    <w:rsid w:val="00D8146F"/>
    <w:rsid w:val="00D831FD"/>
    <w:rsid w:val="00D83213"/>
    <w:rsid w:val="00D858E4"/>
    <w:rsid w:val="00D85E00"/>
    <w:rsid w:val="00D86BBC"/>
    <w:rsid w:val="00D90551"/>
    <w:rsid w:val="00DA19F3"/>
    <w:rsid w:val="00DB2B43"/>
    <w:rsid w:val="00DB337A"/>
    <w:rsid w:val="00DB4ADB"/>
    <w:rsid w:val="00DC0A0B"/>
    <w:rsid w:val="00DC4F29"/>
    <w:rsid w:val="00DC66B9"/>
    <w:rsid w:val="00DC6C01"/>
    <w:rsid w:val="00DC71E2"/>
    <w:rsid w:val="00DC7367"/>
    <w:rsid w:val="00DD0206"/>
    <w:rsid w:val="00DD053B"/>
    <w:rsid w:val="00DD2031"/>
    <w:rsid w:val="00DD2D2B"/>
    <w:rsid w:val="00DE178B"/>
    <w:rsid w:val="00DE53E5"/>
    <w:rsid w:val="00DF52C1"/>
    <w:rsid w:val="00DF7326"/>
    <w:rsid w:val="00DF73EE"/>
    <w:rsid w:val="00E016A5"/>
    <w:rsid w:val="00E01E83"/>
    <w:rsid w:val="00E048A9"/>
    <w:rsid w:val="00E04DBA"/>
    <w:rsid w:val="00E11165"/>
    <w:rsid w:val="00E1445B"/>
    <w:rsid w:val="00E1610E"/>
    <w:rsid w:val="00E171FC"/>
    <w:rsid w:val="00E21F7F"/>
    <w:rsid w:val="00E27B8B"/>
    <w:rsid w:val="00E36336"/>
    <w:rsid w:val="00E42CF9"/>
    <w:rsid w:val="00E44162"/>
    <w:rsid w:val="00E45A32"/>
    <w:rsid w:val="00E467F0"/>
    <w:rsid w:val="00E472AC"/>
    <w:rsid w:val="00E501F1"/>
    <w:rsid w:val="00E511C1"/>
    <w:rsid w:val="00E5207C"/>
    <w:rsid w:val="00E62034"/>
    <w:rsid w:val="00E6228C"/>
    <w:rsid w:val="00E63D3E"/>
    <w:rsid w:val="00E72649"/>
    <w:rsid w:val="00E76076"/>
    <w:rsid w:val="00E77CEE"/>
    <w:rsid w:val="00E828CC"/>
    <w:rsid w:val="00E833BB"/>
    <w:rsid w:val="00E83A69"/>
    <w:rsid w:val="00E83D75"/>
    <w:rsid w:val="00E848A4"/>
    <w:rsid w:val="00E84B92"/>
    <w:rsid w:val="00E91ABB"/>
    <w:rsid w:val="00E91DDC"/>
    <w:rsid w:val="00E92C9E"/>
    <w:rsid w:val="00E9364C"/>
    <w:rsid w:val="00E970DE"/>
    <w:rsid w:val="00E9716A"/>
    <w:rsid w:val="00EA22CA"/>
    <w:rsid w:val="00EA24BD"/>
    <w:rsid w:val="00EA4A4A"/>
    <w:rsid w:val="00EA6D0C"/>
    <w:rsid w:val="00EB004E"/>
    <w:rsid w:val="00EB2D48"/>
    <w:rsid w:val="00EB3E0C"/>
    <w:rsid w:val="00EC008B"/>
    <w:rsid w:val="00EC2253"/>
    <w:rsid w:val="00EC417F"/>
    <w:rsid w:val="00EC4E85"/>
    <w:rsid w:val="00ED19D6"/>
    <w:rsid w:val="00ED3B4C"/>
    <w:rsid w:val="00ED4DE5"/>
    <w:rsid w:val="00EE683F"/>
    <w:rsid w:val="00EE6B87"/>
    <w:rsid w:val="00EE6C38"/>
    <w:rsid w:val="00EE6CBD"/>
    <w:rsid w:val="00EF720D"/>
    <w:rsid w:val="00F00D3D"/>
    <w:rsid w:val="00F02278"/>
    <w:rsid w:val="00F023AC"/>
    <w:rsid w:val="00F03639"/>
    <w:rsid w:val="00F0579F"/>
    <w:rsid w:val="00F065E6"/>
    <w:rsid w:val="00F07931"/>
    <w:rsid w:val="00F105DC"/>
    <w:rsid w:val="00F16FAB"/>
    <w:rsid w:val="00F25BFF"/>
    <w:rsid w:val="00F27D7A"/>
    <w:rsid w:val="00F31167"/>
    <w:rsid w:val="00F3137C"/>
    <w:rsid w:val="00F31E42"/>
    <w:rsid w:val="00F33B6E"/>
    <w:rsid w:val="00F43FAD"/>
    <w:rsid w:val="00F516D4"/>
    <w:rsid w:val="00F55DB3"/>
    <w:rsid w:val="00F62D62"/>
    <w:rsid w:val="00F67913"/>
    <w:rsid w:val="00F74619"/>
    <w:rsid w:val="00F76D19"/>
    <w:rsid w:val="00F77AE6"/>
    <w:rsid w:val="00F80735"/>
    <w:rsid w:val="00F81367"/>
    <w:rsid w:val="00F82773"/>
    <w:rsid w:val="00F8556B"/>
    <w:rsid w:val="00F916A8"/>
    <w:rsid w:val="00F91733"/>
    <w:rsid w:val="00F91B29"/>
    <w:rsid w:val="00F92696"/>
    <w:rsid w:val="00F929F0"/>
    <w:rsid w:val="00F93530"/>
    <w:rsid w:val="00F9366C"/>
    <w:rsid w:val="00F957A5"/>
    <w:rsid w:val="00F97447"/>
    <w:rsid w:val="00F97E7D"/>
    <w:rsid w:val="00FA6364"/>
    <w:rsid w:val="00FA6726"/>
    <w:rsid w:val="00FB165A"/>
    <w:rsid w:val="00FB26D3"/>
    <w:rsid w:val="00FB2AD1"/>
    <w:rsid w:val="00FB321D"/>
    <w:rsid w:val="00FB3873"/>
    <w:rsid w:val="00FB401A"/>
    <w:rsid w:val="00FB76E5"/>
    <w:rsid w:val="00FC2B56"/>
    <w:rsid w:val="00FC5AE2"/>
    <w:rsid w:val="00FC6948"/>
    <w:rsid w:val="00FC7E7E"/>
    <w:rsid w:val="00FD0371"/>
    <w:rsid w:val="00FD25E0"/>
    <w:rsid w:val="00FD5EA4"/>
    <w:rsid w:val="00FE0701"/>
    <w:rsid w:val="00FE134C"/>
    <w:rsid w:val="00FE2C04"/>
    <w:rsid w:val="00FE5686"/>
    <w:rsid w:val="00FF0695"/>
    <w:rsid w:val="00FF1816"/>
    <w:rsid w:val="00FF23EB"/>
    <w:rsid w:val="00FF2DDA"/>
    <w:rsid w:val="00FF6C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2CA"/>
    <w:pPr>
      <w:spacing w:before="100" w:beforeAutospacing="1" w:after="100" w:afterAutospacing="1"/>
    </w:pPr>
    <w:rPr>
      <w:lang w:val="en-US" w:eastAsia="en-US"/>
    </w:rPr>
  </w:style>
  <w:style w:type="paragraph" w:styleId="Revision">
    <w:name w:val="Revision"/>
    <w:hidden/>
    <w:uiPriority w:val="99"/>
    <w:semiHidden/>
    <w:rsid w:val="009D2C1F"/>
    <w:pPr>
      <w:spacing w:after="0" w:line="240" w:lineRule="auto"/>
    </w:pPr>
    <w:rPr>
      <w:rFonts w:eastAsia="Times New Roman" w:cs="Times New Roman"/>
      <w:szCs w:val="24"/>
      <w:lang w:eastAsia="ru-RU"/>
    </w:rPr>
  </w:style>
  <w:style w:type="paragraph" w:styleId="ListParagraph">
    <w:name w:val="List Paragraph"/>
    <w:basedOn w:val="Normal"/>
    <w:uiPriority w:val="34"/>
    <w:qFormat/>
    <w:rsid w:val="00C50BC1"/>
    <w:pPr>
      <w:ind w:left="720"/>
      <w:contextualSpacing/>
    </w:pPr>
    <w:rPr>
      <w:lang w:eastAsia="lv-LV"/>
    </w:rPr>
  </w:style>
  <w:style w:type="paragraph" w:customStyle="1" w:styleId="tv213">
    <w:name w:val="tv213"/>
    <w:basedOn w:val="Normal"/>
    <w:rsid w:val="009B4FED"/>
    <w:pPr>
      <w:spacing w:before="100" w:beforeAutospacing="1" w:after="100" w:afterAutospacing="1"/>
    </w:pPr>
    <w:rPr>
      <w:lang w:eastAsia="lv-LV"/>
    </w:rPr>
  </w:style>
  <w:style w:type="character" w:styleId="Hyperlink">
    <w:name w:val="Hyperlink"/>
    <w:basedOn w:val="DefaultParagraphFont"/>
    <w:uiPriority w:val="99"/>
    <w:unhideWhenUsed/>
    <w:rsid w:val="00CD0AF3"/>
    <w:rPr>
      <w:color w:val="0000FF"/>
      <w:u w:val="single"/>
    </w:rPr>
  </w:style>
  <w:style w:type="character" w:styleId="UnresolvedMention">
    <w:name w:val="Unresolved Mention"/>
    <w:basedOn w:val="DefaultParagraphFont"/>
    <w:uiPriority w:val="99"/>
    <w:semiHidden/>
    <w:unhideWhenUsed/>
    <w:rsid w:val="001F483E"/>
    <w:rPr>
      <w:color w:val="605E5C"/>
      <w:shd w:val="clear" w:color="auto" w:fill="E1DFDD"/>
    </w:rPr>
  </w:style>
  <w:style w:type="character" w:styleId="FollowedHyperlink">
    <w:name w:val="FollowedHyperlink"/>
    <w:basedOn w:val="DefaultParagraphFont"/>
    <w:uiPriority w:val="99"/>
    <w:semiHidden/>
    <w:unhideWhenUsed/>
    <w:rsid w:val="001F48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176722">
      <w:bodyDiv w:val="1"/>
      <w:marLeft w:val="0"/>
      <w:marRight w:val="0"/>
      <w:marTop w:val="0"/>
      <w:marBottom w:val="0"/>
      <w:divBdr>
        <w:top w:val="none" w:sz="0" w:space="0" w:color="auto"/>
        <w:left w:val="none" w:sz="0" w:space="0" w:color="auto"/>
        <w:bottom w:val="none" w:sz="0" w:space="0" w:color="auto"/>
        <w:right w:val="none" w:sz="0" w:space="0" w:color="auto"/>
      </w:divBdr>
      <w:divsChild>
        <w:div w:id="614215710">
          <w:marLeft w:val="547"/>
          <w:marRight w:val="0"/>
          <w:marTop w:val="200"/>
          <w:marBottom w:val="0"/>
          <w:divBdr>
            <w:top w:val="none" w:sz="0" w:space="0" w:color="auto"/>
            <w:left w:val="none" w:sz="0" w:space="0" w:color="auto"/>
            <w:bottom w:val="none" w:sz="0" w:space="0" w:color="auto"/>
            <w:right w:val="none" w:sz="0" w:space="0" w:color="auto"/>
          </w:divBdr>
        </w:div>
      </w:divsChild>
    </w:div>
    <w:div w:id="293945346">
      <w:bodyDiv w:val="1"/>
      <w:marLeft w:val="0"/>
      <w:marRight w:val="0"/>
      <w:marTop w:val="0"/>
      <w:marBottom w:val="0"/>
      <w:divBdr>
        <w:top w:val="none" w:sz="0" w:space="0" w:color="auto"/>
        <w:left w:val="none" w:sz="0" w:space="0" w:color="auto"/>
        <w:bottom w:val="none" w:sz="0" w:space="0" w:color="auto"/>
        <w:right w:val="none" w:sz="0" w:space="0" w:color="auto"/>
      </w:divBdr>
      <w:divsChild>
        <w:div w:id="669333238">
          <w:marLeft w:val="360"/>
          <w:marRight w:val="0"/>
          <w:marTop w:val="200"/>
          <w:marBottom w:val="0"/>
          <w:divBdr>
            <w:top w:val="none" w:sz="0" w:space="0" w:color="auto"/>
            <w:left w:val="none" w:sz="0" w:space="0" w:color="auto"/>
            <w:bottom w:val="none" w:sz="0" w:space="0" w:color="auto"/>
            <w:right w:val="none" w:sz="0" w:space="0" w:color="auto"/>
          </w:divBdr>
        </w:div>
      </w:divsChild>
    </w:div>
    <w:div w:id="615218808">
      <w:bodyDiv w:val="1"/>
      <w:marLeft w:val="0"/>
      <w:marRight w:val="0"/>
      <w:marTop w:val="0"/>
      <w:marBottom w:val="0"/>
      <w:divBdr>
        <w:top w:val="none" w:sz="0" w:space="0" w:color="auto"/>
        <w:left w:val="none" w:sz="0" w:space="0" w:color="auto"/>
        <w:bottom w:val="none" w:sz="0" w:space="0" w:color="auto"/>
        <w:right w:val="none" w:sz="0" w:space="0" w:color="auto"/>
      </w:divBdr>
    </w:div>
    <w:div w:id="632250248">
      <w:bodyDiv w:val="1"/>
      <w:marLeft w:val="0"/>
      <w:marRight w:val="0"/>
      <w:marTop w:val="0"/>
      <w:marBottom w:val="0"/>
      <w:divBdr>
        <w:top w:val="none" w:sz="0" w:space="0" w:color="auto"/>
        <w:left w:val="none" w:sz="0" w:space="0" w:color="auto"/>
        <w:bottom w:val="none" w:sz="0" w:space="0" w:color="auto"/>
        <w:right w:val="none" w:sz="0" w:space="0" w:color="auto"/>
      </w:divBdr>
    </w:div>
    <w:div w:id="704403663">
      <w:bodyDiv w:val="1"/>
      <w:marLeft w:val="0"/>
      <w:marRight w:val="0"/>
      <w:marTop w:val="0"/>
      <w:marBottom w:val="0"/>
      <w:divBdr>
        <w:top w:val="none" w:sz="0" w:space="0" w:color="auto"/>
        <w:left w:val="none" w:sz="0" w:space="0" w:color="auto"/>
        <w:bottom w:val="none" w:sz="0" w:space="0" w:color="auto"/>
        <w:right w:val="none" w:sz="0" w:space="0" w:color="auto"/>
      </w:divBdr>
    </w:div>
    <w:div w:id="710572500">
      <w:bodyDiv w:val="1"/>
      <w:marLeft w:val="0"/>
      <w:marRight w:val="0"/>
      <w:marTop w:val="0"/>
      <w:marBottom w:val="0"/>
      <w:divBdr>
        <w:top w:val="none" w:sz="0" w:space="0" w:color="auto"/>
        <w:left w:val="none" w:sz="0" w:space="0" w:color="auto"/>
        <w:bottom w:val="none" w:sz="0" w:space="0" w:color="auto"/>
        <w:right w:val="none" w:sz="0" w:space="0" w:color="auto"/>
      </w:divBdr>
    </w:div>
    <w:div w:id="806823742">
      <w:bodyDiv w:val="1"/>
      <w:marLeft w:val="0"/>
      <w:marRight w:val="0"/>
      <w:marTop w:val="0"/>
      <w:marBottom w:val="0"/>
      <w:divBdr>
        <w:top w:val="none" w:sz="0" w:space="0" w:color="auto"/>
        <w:left w:val="none" w:sz="0" w:space="0" w:color="auto"/>
        <w:bottom w:val="none" w:sz="0" w:space="0" w:color="auto"/>
        <w:right w:val="none" w:sz="0" w:space="0" w:color="auto"/>
      </w:divBdr>
    </w:div>
    <w:div w:id="953485308">
      <w:bodyDiv w:val="1"/>
      <w:marLeft w:val="0"/>
      <w:marRight w:val="0"/>
      <w:marTop w:val="0"/>
      <w:marBottom w:val="0"/>
      <w:divBdr>
        <w:top w:val="none" w:sz="0" w:space="0" w:color="auto"/>
        <w:left w:val="none" w:sz="0" w:space="0" w:color="auto"/>
        <w:bottom w:val="none" w:sz="0" w:space="0" w:color="auto"/>
        <w:right w:val="none" w:sz="0" w:space="0" w:color="auto"/>
      </w:divBdr>
      <w:divsChild>
        <w:div w:id="628509052">
          <w:marLeft w:val="547"/>
          <w:marRight w:val="0"/>
          <w:marTop w:val="200"/>
          <w:marBottom w:val="0"/>
          <w:divBdr>
            <w:top w:val="none" w:sz="0" w:space="0" w:color="auto"/>
            <w:left w:val="none" w:sz="0" w:space="0" w:color="auto"/>
            <w:bottom w:val="none" w:sz="0" w:space="0" w:color="auto"/>
            <w:right w:val="none" w:sz="0" w:space="0" w:color="auto"/>
          </w:divBdr>
        </w:div>
      </w:divsChild>
    </w:div>
    <w:div w:id="991525943">
      <w:bodyDiv w:val="1"/>
      <w:marLeft w:val="0"/>
      <w:marRight w:val="0"/>
      <w:marTop w:val="0"/>
      <w:marBottom w:val="0"/>
      <w:divBdr>
        <w:top w:val="none" w:sz="0" w:space="0" w:color="auto"/>
        <w:left w:val="none" w:sz="0" w:space="0" w:color="auto"/>
        <w:bottom w:val="none" w:sz="0" w:space="0" w:color="auto"/>
        <w:right w:val="none" w:sz="0" w:space="0" w:color="auto"/>
      </w:divBdr>
      <w:divsChild>
        <w:div w:id="2111927773">
          <w:marLeft w:val="547"/>
          <w:marRight w:val="0"/>
          <w:marTop w:val="200"/>
          <w:marBottom w:val="0"/>
          <w:divBdr>
            <w:top w:val="none" w:sz="0" w:space="0" w:color="auto"/>
            <w:left w:val="none" w:sz="0" w:space="0" w:color="auto"/>
            <w:bottom w:val="none" w:sz="0" w:space="0" w:color="auto"/>
            <w:right w:val="none" w:sz="0" w:space="0" w:color="auto"/>
          </w:divBdr>
        </w:div>
      </w:divsChild>
    </w:div>
    <w:div w:id="1147356170">
      <w:bodyDiv w:val="1"/>
      <w:marLeft w:val="0"/>
      <w:marRight w:val="0"/>
      <w:marTop w:val="0"/>
      <w:marBottom w:val="0"/>
      <w:divBdr>
        <w:top w:val="none" w:sz="0" w:space="0" w:color="auto"/>
        <w:left w:val="none" w:sz="0" w:space="0" w:color="auto"/>
        <w:bottom w:val="none" w:sz="0" w:space="0" w:color="auto"/>
        <w:right w:val="none" w:sz="0" w:space="0" w:color="auto"/>
      </w:divBdr>
      <w:divsChild>
        <w:div w:id="1820921435">
          <w:marLeft w:val="547"/>
          <w:marRight w:val="0"/>
          <w:marTop w:val="200"/>
          <w:marBottom w:val="0"/>
          <w:divBdr>
            <w:top w:val="none" w:sz="0" w:space="0" w:color="auto"/>
            <w:left w:val="none" w:sz="0" w:space="0" w:color="auto"/>
            <w:bottom w:val="none" w:sz="0" w:space="0" w:color="auto"/>
            <w:right w:val="none" w:sz="0" w:space="0" w:color="auto"/>
          </w:divBdr>
        </w:div>
      </w:divsChild>
    </w:div>
    <w:div w:id="1213955827">
      <w:bodyDiv w:val="1"/>
      <w:marLeft w:val="0"/>
      <w:marRight w:val="0"/>
      <w:marTop w:val="0"/>
      <w:marBottom w:val="0"/>
      <w:divBdr>
        <w:top w:val="none" w:sz="0" w:space="0" w:color="auto"/>
        <w:left w:val="none" w:sz="0" w:space="0" w:color="auto"/>
        <w:bottom w:val="none" w:sz="0" w:space="0" w:color="auto"/>
        <w:right w:val="none" w:sz="0" w:space="0" w:color="auto"/>
      </w:divBdr>
      <w:divsChild>
        <w:div w:id="1778400552">
          <w:marLeft w:val="547"/>
          <w:marRight w:val="0"/>
          <w:marTop w:val="200"/>
          <w:marBottom w:val="0"/>
          <w:divBdr>
            <w:top w:val="none" w:sz="0" w:space="0" w:color="auto"/>
            <w:left w:val="none" w:sz="0" w:space="0" w:color="auto"/>
            <w:bottom w:val="none" w:sz="0" w:space="0" w:color="auto"/>
            <w:right w:val="none" w:sz="0" w:space="0" w:color="auto"/>
          </w:divBdr>
        </w:div>
      </w:divsChild>
    </w:div>
    <w:div w:id="1642147244">
      <w:bodyDiv w:val="1"/>
      <w:marLeft w:val="0"/>
      <w:marRight w:val="0"/>
      <w:marTop w:val="0"/>
      <w:marBottom w:val="0"/>
      <w:divBdr>
        <w:top w:val="none" w:sz="0" w:space="0" w:color="auto"/>
        <w:left w:val="none" w:sz="0" w:space="0" w:color="auto"/>
        <w:bottom w:val="none" w:sz="0" w:space="0" w:color="auto"/>
        <w:right w:val="none" w:sz="0" w:space="0" w:color="auto"/>
      </w:divBdr>
    </w:div>
    <w:div w:id="1788234238">
      <w:bodyDiv w:val="1"/>
      <w:marLeft w:val="0"/>
      <w:marRight w:val="0"/>
      <w:marTop w:val="0"/>
      <w:marBottom w:val="0"/>
      <w:divBdr>
        <w:top w:val="none" w:sz="0" w:space="0" w:color="auto"/>
        <w:left w:val="none" w:sz="0" w:space="0" w:color="auto"/>
        <w:bottom w:val="none" w:sz="0" w:space="0" w:color="auto"/>
        <w:right w:val="none" w:sz="0" w:space="0" w:color="auto"/>
      </w:divBdr>
    </w:div>
    <w:div w:id="1971939858">
      <w:bodyDiv w:val="1"/>
      <w:marLeft w:val="0"/>
      <w:marRight w:val="0"/>
      <w:marTop w:val="0"/>
      <w:marBottom w:val="0"/>
      <w:divBdr>
        <w:top w:val="none" w:sz="0" w:space="0" w:color="auto"/>
        <w:left w:val="none" w:sz="0" w:space="0" w:color="auto"/>
        <w:bottom w:val="none" w:sz="0" w:space="0" w:color="auto"/>
        <w:right w:val="none" w:sz="0" w:space="0" w:color="auto"/>
      </w:divBdr>
    </w:div>
    <w:div w:id="1992371612">
      <w:bodyDiv w:val="1"/>
      <w:marLeft w:val="0"/>
      <w:marRight w:val="0"/>
      <w:marTop w:val="0"/>
      <w:marBottom w:val="0"/>
      <w:divBdr>
        <w:top w:val="none" w:sz="0" w:space="0" w:color="auto"/>
        <w:left w:val="none" w:sz="0" w:space="0" w:color="auto"/>
        <w:bottom w:val="none" w:sz="0" w:space="0" w:color="auto"/>
        <w:right w:val="none" w:sz="0" w:space="0" w:color="auto"/>
      </w:divBdr>
    </w:div>
    <w:div w:id="2005929804">
      <w:bodyDiv w:val="1"/>
      <w:marLeft w:val="0"/>
      <w:marRight w:val="0"/>
      <w:marTop w:val="0"/>
      <w:marBottom w:val="0"/>
      <w:divBdr>
        <w:top w:val="none" w:sz="0" w:space="0" w:color="auto"/>
        <w:left w:val="none" w:sz="0" w:space="0" w:color="auto"/>
        <w:bottom w:val="none" w:sz="0" w:space="0" w:color="auto"/>
        <w:right w:val="none" w:sz="0" w:space="0" w:color="auto"/>
      </w:divBdr>
      <w:divsChild>
        <w:div w:id="1030573151">
          <w:marLeft w:val="547"/>
          <w:marRight w:val="0"/>
          <w:marTop w:val="200"/>
          <w:marBottom w:val="0"/>
          <w:divBdr>
            <w:top w:val="none" w:sz="0" w:space="0" w:color="auto"/>
            <w:left w:val="none" w:sz="0" w:space="0" w:color="auto"/>
            <w:bottom w:val="none" w:sz="0" w:space="0" w:color="auto"/>
            <w:right w:val="none" w:sz="0" w:space="0" w:color="auto"/>
          </w:divBdr>
        </w:div>
        <w:div w:id="254486783">
          <w:marLeft w:val="547"/>
          <w:marRight w:val="0"/>
          <w:marTop w:val="200"/>
          <w:marBottom w:val="0"/>
          <w:divBdr>
            <w:top w:val="none" w:sz="0" w:space="0" w:color="auto"/>
            <w:left w:val="none" w:sz="0" w:space="0" w:color="auto"/>
            <w:bottom w:val="none" w:sz="0" w:space="0" w:color="auto"/>
            <w:right w:val="none" w:sz="0" w:space="0" w:color="auto"/>
          </w:divBdr>
        </w:div>
        <w:div w:id="1800760751">
          <w:marLeft w:val="547"/>
          <w:marRight w:val="0"/>
          <w:marTop w:val="200"/>
          <w:marBottom w:val="0"/>
          <w:divBdr>
            <w:top w:val="none" w:sz="0" w:space="0" w:color="auto"/>
            <w:left w:val="none" w:sz="0" w:space="0" w:color="auto"/>
            <w:bottom w:val="none" w:sz="0" w:space="0" w:color="auto"/>
            <w:right w:val="none" w:sz="0" w:space="0" w:color="auto"/>
          </w:divBdr>
        </w:div>
        <w:div w:id="410808778">
          <w:marLeft w:val="547"/>
          <w:marRight w:val="0"/>
          <w:marTop w:val="200"/>
          <w:marBottom w:val="0"/>
          <w:divBdr>
            <w:top w:val="none" w:sz="0" w:space="0" w:color="auto"/>
            <w:left w:val="none" w:sz="0" w:space="0" w:color="auto"/>
            <w:bottom w:val="none" w:sz="0" w:space="0" w:color="auto"/>
            <w:right w:val="none" w:sz="0" w:space="0" w:color="auto"/>
          </w:divBdr>
        </w:div>
        <w:div w:id="1449931180">
          <w:marLeft w:val="547"/>
          <w:marRight w:val="0"/>
          <w:marTop w:val="200"/>
          <w:marBottom w:val="0"/>
          <w:divBdr>
            <w:top w:val="none" w:sz="0" w:space="0" w:color="auto"/>
            <w:left w:val="none" w:sz="0" w:space="0" w:color="auto"/>
            <w:bottom w:val="none" w:sz="0" w:space="0" w:color="auto"/>
            <w:right w:val="none" w:sz="0" w:space="0" w:color="auto"/>
          </w:divBdr>
        </w:div>
        <w:div w:id="157026405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930.A420507813.3.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29855-3DD7-45D2-99A7-DAD079973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36765</Words>
  <Characters>20957</Characters>
  <Application>Microsoft Office Word</Application>
  <DocSecurity>0</DocSecurity>
  <Lines>174</Lines>
  <Paragraphs>115</Paragraphs>
  <ScaleCrop>false</ScaleCrop>
  <Company/>
  <LinksUpToDate>false</LinksUpToDate>
  <CharactersWithSpaces>57607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2020-10-05T06:51:00Z</dcterms:created>
  <dcterms:modified xsi:type="dcterms:W3CDTF">2020-10-05T11:53:00Z</dcterms:modified>
</cp:coreProperties>
</file>