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717DF" w14:textId="77777777" w:rsidR="00030E9A" w:rsidRPr="00847E43" w:rsidRDefault="00030E9A" w:rsidP="00030E9A">
      <w:pPr>
        <w:spacing w:line="276" w:lineRule="auto"/>
        <w:jc w:val="both"/>
        <w:rPr>
          <w:b/>
          <w:bCs/>
        </w:rPr>
      </w:pPr>
      <w:bookmarkStart w:id="0" w:name="_Hlk52803330"/>
      <w:r w:rsidRPr="00847E43">
        <w:rPr>
          <w:b/>
          <w:bCs/>
        </w:rPr>
        <w:t>Amatpersonas pienākums atlīdzināt valstij kaitējumu, kas nodarīts ar interešu konflikta pārkāpumu</w:t>
      </w:r>
    </w:p>
    <w:p w14:paraId="1B4BC338" w14:textId="77777777" w:rsidR="00030E9A" w:rsidRDefault="00030E9A" w:rsidP="00030E9A">
      <w:pPr>
        <w:spacing w:line="276" w:lineRule="auto"/>
        <w:jc w:val="both"/>
      </w:pPr>
      <w:r w:rsidRPr="00847E43">
        <w:t xml:space="preserve">No likuma „Par interešu konflikta novēršanu valsts amatpersonu darbībā” </w:t>
      </w:r>
      <w:proofErr w:type="gramStart"/>
      <w:r w:rsidRPr="00847E43">
        <w:t>30.panta</w:t>
      </w:r>
      <w:proofErr w:type="gramEnd"/>
      <w:r w:rsidRPr="00847E43">
        <w:t xml:space="preserve"> pirmās daļas vārdiskās jēgas izriet, ka valsts amatpersona, pārkāpjot likumā noteiktos ierobežojumus, ar savu rīcību nodara kaitējumu valsts pārvaldības kārtībai, un valsts amatpersonai ir pienākums atlīdzināt nodarīto kaitējumu. Ņemot vērā šo mērķi, pienākums atlīdzināt kaitējumu nav uzskatāms par sodoša rakstura maksājumu, jo atlīdzinājuma primārais mērķis ir tieši kompensēt nodarīto kaitējumu, nevis sodīt pārkāpuma izdarītāju</w:t>
      </w:r>
      <w:r>
        <w:t xml:space="preserve">. </w:t>
      </w:r>
      <w:r w:rsidRPr="00847E43">
        <w:t xml:space="preserve">Turklāt ienākumi, kas gūti, pārkāpjot amatpersonai noteiktos ierobežojumus, ir uzskatāmi par iegūtiem prettiesiski. Līdz ar to pienākumu atdot tādus ienākumus, kas personai nemaz nepienākas, nevar vērtēt kā sodu, salīdzinājumā ar gadījumiem, kad personai ir jāatdod tādi labumi, kas tai pieder tiesiski. </w:t>
      </w:r>
    </w:p>
    <w:bookmarkEnd w:id="0"/>
    <w:p w14:paraId="24DBB225" w14:textId="6F31F474" w:rsidR="00A05FA1" w:rsidRDefault="00A05FA1" w:rsidP="00030E9A">
      <w:pPr>
        <w:spacing w:line="276" w:lineRule="auto"/>
        <w:jc w:val="both"/>
      </w:pPr>
    </w:p>
    <w:p w14:paraId="1606DE3F" w14:textId="77777777" w:rsidR="00030E9A" w:rsidRDefault="00030E9A" w:rsidP="00030E9A">
      <w:pPr>
        <w:spacing w:line="276" w:lineRule="auto"/>
        <w:jc w:val="both"/>
        <w:rPr>
          <w:b/>
          <w:bCs/>
        </w:rPr>
      </w:pPr>
      <w:r>
        <w:rPr>
          <w:b/>
          <w:bCs/>
        </w:rPr>
        <w:t>Lēmuma par interešu konflikta pārkāpuma rezultātā valstij nodarītā kaitējuma atlīdzinājumu darbības apturēšana</w:t>
      </w:r>
    </w:p>
    <w:p w14:paraId="6A7BEC1E" w14:textId="7BB82FB1" w:rsidR="00030E9A" w:rsidRDefault="00030E9A" w:rsidP="00030E9A">
      <w:pPr>
        <w:spacing w:line="276" w:lineRule="auto"/>
        <w:jc w:val="both"/>
      </w:pPr>
      <w:r w:rsidRPr="00D24D5A">
        <w:t xml:space="preserve">Kaitējuma, kas nodarīts, pārkāpjot amatpersonai noteiktos ierobežojumus, atlīdzinājums nav uzskatāms par Administratīvā procesa likuma </w:t>
      </w:r>
      <w:proofErr w:type="gramStart"/>
      <w:r w:rsidRPr="00D24D5A">
        <w:t>185.panta</w:t>
      </w:r>
      <w:proofErr w:type="gramEnd"/>
      <w:r w:rsidRPr="00D24D5A">
        <w:t xml:space="preserve"> ceturtās daļas 1.punktā paredzēto maksājumu valsts budžetā. Lēmuma, </w:t>
      </w:r>
      <w:proofErr w:type="gramStart"/>
      <w:r w:rsidRPr="00D24D5A">
        <w:t>ar kuru pieteicējam uzlikts</w:t>
      </w:r>
      <w:proofErr w:type="gramEnd"/>
      <w:r w:rsidRPr="00D24D5A">
        <w:t xml:space="preserve"> pienākums atlīdzināt valstij nodarītos zaudējumus, darbība ir apturēta uz likuma pamata ar pieteikuma iesniegšanu tiesā</w:t>
      </w:r>
      <w:r>
        <w:t>.</w:t>
      </w:r>
    </w:p>
    <w:p w14:paraId="1A938704" w14:textId="77777777" w:rsidR="00A05FA1" w:rsidRDefault="00A05FA1" w:rsidP="009503A2">
      <w:pPr>
        <w:spacing w:line="278" w:lineRule="auto"/>
        <w:jc w:val="center"/>
      </w:pPr>
    </w:p>
    <w:p w14:paraId="051DD6A0" w14:textId="2376EFD6" w:rsidR="00772A7C" w:rsidRDefault="00772A7C" w:rsidP="009503A2">
      <w:pPr>
        <w:spacing w:line="278" w:lineRule="auto"/>
        <w:jc w:val="center"/>
        <w:rPr>
          <w:b/>
        </w:rPr>
      </w:pPr>
      <w:r w:rsidRPr="00A05FA1">
        <w:rPr>
          <w:b/>
        </w:rPr>
        <w:t>Latvijas Republikas Senāt</w:t>
      </w:r>
      <w:r w:rsidR="00A05FA1">
        <w:rPr>
          <w:b/>
        </w:rPr>
        <w:t>a</w:t>
      </w:r>
    </w:p>
    <w:p w14:paraId="525286C7" w14:textId="477525EB" w:rsidR="00A05FA1" w:rsidRDefault="00A05FA1" w:rsidP="009503A2">
      <w:pPr>
        <w:spacing w:line="278" w:lineRule="auto"/>
        <w:jc w:val="center"/>
        <w:rPr>
          <w:b/>
        </w:rPr>
      </w:pPr>
      <w:r>
        <w:rPr>
          <w:b/>
        </w:rPr>
        <w:t>Administratīvo lietu departamenta</w:t>
      </w:r>
    </w:p>
    <w:p w14:paraId="743C7312" w14:textId="722C2452" w:rsidR="00A05FA1" w:rsidRPr="00A05FA1" w:rsidRDefault="00A05FA1" w:rsidP="009503A2">
      <w:pPr>
        <w:spacing w:line="278" w:lineRule="auto"/>
        <w:jc w:val="center"/>
        <w:rPr>
          <w:b/>
        </w:rPr>
      </w:pPr>
      <w:proofErr w:type="gramStart"/>
      <w:r>
        <w:rPr>
          <w:b/>
        </w:rPr>
        <w:t>2020.gada</w:t>
      </w:r>
      <w:proofErr w:type="gramEnd"/>
      <w:r>
        <w:rPr>
          <w:b/>
        </w:rPr>
        <w:t xml:space="preserve"> 25.septembra</w:t>
      </w:r>
    </w:p>
    <w:p w14:paraId="78A8A624" w14:textId="227A5288" w:rsidR="009C0BA3" w:rsidRDefault="00606650" w:rsidP="009503A2">
      <w:pPr>
        <w:spacing w:line="278" w:lineRule="auto"/>
        <w:jc w:val="center"/>
        <w:rPr>
          <w:b/>
        </w:rPr>
      </w:pPr>
      <w:r w:rsidRPr="00A05FA1">
        <w:rPr>
          <w:b/>
        </w:rPr>
        <w:t>LĒMUMS</w:t>
      </w:r>
    </w:p>
    <w:p w14:paraId="49BCDEE2" w14:textId="681DFBB8" w:rsidR="00A05FA1" w:rsidRDefault="00A05FA1" w:rsidP="009503A2">
      <w:pPr>
        <w:spacing w:line="278" w:lineRule="auto"/>
        <w:jc w:val="center"/>
        <w:rPr>
          <w:b/>
        </w:rPr>
      </w:pPr>
      <w:r>
        <w:rPr>
          <w:b/>
        </w:rPr>
        <w:t>Lieta Nr. A420311218, SKA-1473/2020</w:t>
      </w:r>
    </w:p>
    <w:p w14:paraId="614EAB6A" w14:textId="5CD1C4A4" w:rsidR="00A05FA1" w:rsidRPr="00A05FA1" w:rsidRDefault="00BE72D8" w:rsidP="009503A2">
      <w:pPr>
        <w:spacing w:line="278" w:lineRule="auto"/>
        <w:jc w:val="center"/>
        <w:rPr>
          <w:b/>
        </w:rPr>
      </w:pPr>
      <w:hyperlink r:id="rId7" w:history="1">
        <w:r w:rsidR="00A05FA1" w:rsidRPr="00A05FA1">
          <w:rPr>
            <w:rStyle w:val="Hyperlink"/>
          </w:rPr>
          <w:t>ECLI:LV:AT:2020:0925.A420311218.9.L</w:t>
        </w:r>
      </w:hyperlink>
    </w:p>
    <w:p w14:paraId="13994BDA" w14:textId="77777777" w:rsidR="00C52066" w:rsidRDefault="00C52066" w:rsidP="009503A2">
      <w:pPr>
        <w:spacing w:line="278" w:lineRule="auto"/>
        <w:ind w:firstLine="567"/>
        <w:jc w:val="both"/>
      </w:pPr>
    </w:p>
    <w:p w14:paraId="5AE13377" w14:textId="2AA37D01" w:rsidR="00C52066" w:rsidRDefault="00C52066" w:rsidP="009503A2">
      <w:pPr>
        <w:spacing w:line="278" w:lineRule="auto"/>
        <w:ind w:firstLine="567"/>
        <w:jc w:val="both"/>
      </w:pPr>
      <w:r>
        <w:t>Tiesa šādā sastāvā</w:t>
      </w:r>
      <w:r w:rsidRPr="007E0DE2">
        <w:t xml:space="preserve">: </w:t>
      </w:r>
      <w:r w:rsidR="004427E8">
        <w:t>senatores Jautrīte Briede, Vēsma Kakste un Dace Mita</w:t>
      </w:r>
    </w:p>
    <w:p w14:paraId="412E5C9B" w14:textId="77777777" w:rsidR="004427E8" w:rsidRDefault="004427E8" w:rsidP="009503A2">
      <w:pPr>
        <w:spacing w:line="278" w:lineRule="auto"/>
        <w:ind w:firstLine="567"/>
        <w:jc w:val="both"/>
      </w:pPr>
    </w:p>
    <w:p w14:paraId="5CFF48E8" w14:textId="1ED6C8E1" w:rsidR="004427E8" w:rsidRDefault="004427E8" w:rsidP="009503A2">
      <w:pPr>
        <w:spacing w:line="278" w:lineRule="auto"/>
        <w:ind w:firstLine="567"/>
        <w:jc w:val="both"/>
      </w:pPr>
      <w:r w:rsidRPr="004427E8">
        <w:t xml:space="preserve">rakstveida procesā izskatīja </w:t>
      </w:r>
      <w:r>
        <w:t>Korupcijas novēršanas un apkarošanas biroja</w:t>
      </w:r>
      <w:r w:rsidRPr="004427E8">
        <w:t xml:space="preserve"> blakus sūdzību par Administratīvās </w:t>
      </w:r>
      <w:r>
        <w:t>apgabaltiesas</w:t>
      </w:r>
      <w:r w:rsidRPr="004427E8">
        <w:t xml:space="preserve"> </w:t>
      </w:r>
      <w:proofErr w:type="gramStart"/>
      <w:r w:rsidRPr="004427E8">
        <w:t>2020.gada</w:t>
      </w:r>
      <w:proofErr w:type="gramEnd"/>
      <w:r w:rsidRPr="004427E8">
        <w:t xml:space="preserve"> </w:t>
      </w:r>
      <w:r>
        <w:t xml:space="preserve">12.augusta </w:t>
      </w:r>
      <w:r w:rsidRPr="004427E8">
        <w:t xml:space="preserve">lēmumu, ar kuru atteikts pieņemt </w:t>
      </w:r>
      <w:r>
        <w:t xml:space="preserve">izskatīšanai pēc būtības pieteicēja </w:t>
      </w:r>
      <w:r w:rsidR="00711BDF">
        <w:t>[pers. A]</w:t>
      </w:r>
      <w:r>
        <w:t xml:space="preserve"> lūgumu par Korupcijas novēršanas un apkarošanas biroja lēmuma darbības apturēšanu</w:t>
      </w:r>
      <w:r w:rsidRPr="004427E8">
        <w:t>.</w:t>
      </w:r>
    </w:p>
    <w:p w14:paraId="58B4A557" w14:textId="77777777" w:rsidR="004427E8" w:rsidRDefault="004427E8" w:rsidP="009503A2">
      <w:pPr>
        <w:spacing w:before="80" w:line="278" w:lineRule="auto"/>
        <w:ind w:firstLine="567"/>
        <w:jc w:val="both"/>
      </w:pPr>
    </w:p>
    <w:p w14:paraId="2537CF47" w14:textId="35859CB9" w:rsidR="004427E8" w:rsidRDefault="004427E8" w:rsidP="009503A2">
      <w:pPr>
        <w:spacing w:line="278" w:lineRule="auto"/>
        <w:ind w:firstLine="567"/>
        <w:jc w:val="center"/>
        <w:rPr>
          <w:b/>
        </w:rPr>
      </w:pPr>
      <w:r>
        <w:rPr>
          <w:b/>
        </w:rPr>
        <w:t>Aprakstošā daļa</w:t>
      </w:r>
    </w:p>
    <w:p w14:paraId="25FB5200" w14:textId="77777777" w:rsidR="004427E8" w:rsidRDefault="004427E8" w:rsidP="009503A2">
      <w:pPr>
        <w:spacing w:before="80" w:line="278" w:lineRule="auto"/>
        <w:ind w:firstLine="567"/>
        <w:jc w:val="center"/>
        <w:rPr>
          <w:b/>
        </w:rPr>
      </w:pPr>
    </w:p>
    <w:p w14:paraId="61DA2D10" w14:textId="2B0E10A2" w:rsidR="004427E8" w:rsidRDefault="00EB7336" w:rsidP="009503A2">
      <w:pPr>
        <w:spacing w:line="278" w:lineRule="auto"/>
        <w:ind w:firstLine="567"/>
        <w:jc w:val="both"/>
      </w:pPr>
      <w:r>
        <w:t xml:space="preserve">[1] Korupcijas novēršanas un apkarošanas birojs (turpmāk – birojs) pieņēma lēmumu, ar kuru pieteicējam </w:t>
      </w:r>
      <w:r w:rsidR="00711BDF">
        <w:t>[pers. A]</w:t>
      </w:r>
      <w:r>
        <w:t xml:space="preserve"> uzlikts pienākums atlīdzināt valsti</w:t>
      </w:r>
      <w:r w:rsidR="00D11A34">
        <w:t xml:space="preserve">j nodarītos zaudējumus, </w:t>
      </w:r>
      <w:r w:rsidR="00A42EF8">
        <w:t>kas nodarīti</w:t>
      </w:r>
      <w:r>
        <w:t>, pārkāpjot valsts amatpersonai noteiktos ierobežojumus un aizliegumus, atrodoties interešu konflikta situācijā.</w:t>
      </w:r>
    </w:p>
    <w:p w14:paraId="3EC55B7B" w14:textId="4690371F" w:rsidR="00D11A34" w:rsidRDefault="00D11A34" w:rsidP="009503A2">
      <w:pPr>
        <w:spacing w:line="278" w:lineRule="auto"/>
        <w:ind w:firstLine="567"/>
        <w:jc w:val="both"/>
      </w:pPr>
      <w:r>
        <w:t xml:space="preserve">Ar Administratīvās rajona tiesas spriedumu pieteicēja pieteikums par lēmuma atcelšanu ir noraidīts. Pieteicējs iesniedza </w:t>
      </w:r>
      <w:r w:rsidR="004E60D3">
        <w:t xml:space="preserve">apelācijas sūdzību </w:t>
      </w:r>
      <w:r>
        <w:t>Administratīvajā apgabaltiesā</w:t>
      </w:r>
      <w:r w:rsidR="006B2618">
        <w:t>. Pieteicējs iesniedzis arī lūgumu par lēmuma darbības apturēšanu.</w:t>
      </w:r>
    </w:p>
    <w:p w14:paraId="600CC743" w14:textId="77777777" w:rsidR="006B2618" w:rsidRDefault="006B2618" w:rsidP="009503A2">
      <w:pPr>
        <w:spacing w:line="278" w:lineRule="auto"/>
        <w:ind w:firstLine="567"/>
        <w:jc w:val="both"/>
      </w:pPr>
    </w:p>
    <w:p w14:paraId="2D68C445" w14:textId="65C1A517" w:rsidR="006B2618" w:rsidRDefault="006B2618" w:rsidP="009503A2">
      <w:pPr>
        <w:spacing w:line="278" w:lineRule="auto"/>
        <w:ind w:firstLine="567"/>
        <w:jc w:val="both"/>
      </w:pPr>
      <w:r>
        <w:lastRenderedPageBreak/>
        <w:t xml:space="preserve">[2] Ar apgabaltiesas </w:t>
      </w:r>
      <w:proofErr w:type="gramStart"/>
      <w:r>
        <w:t>2020.gada</w:t>
      </w:r>
      <w:proofErr w:type="gramEnd"/>
      <w:r>
        <w:t xml:space="preserve"> 12.augusta lēmumu pieteicēja lūgumu par lēmuma darbības apturēšanu atteikts pieņemt</w:t>
      </w:r>
      <w:r w:rsidR="00781772">
        <w:t xml:space="preserve">, jo </w:t>
      </w:r>
      <w:r w:rsidR="00550794">
        <w:t xml:space="preserve">pārsūdzētā </w:t>
      </w:r>
      <w:r w:rsidR="00781772">
        <w:t>lēmuma darbība esot apturēta uz likuma pamata ar pieteikuma iesniegšanu tiesā. Tiesas lēmumā norādīts turpmākais.</w:t>
      </w:r>
    </w:p>
    <w:p w14:paraId="237109BF" w14:textId="204C0163" w:rsidR="00437CAB" w:rsidRDefault="00437CAB" w:rsidP="009503A2">
      <w:pPr>
        <w:spacing w:line="278" w:lineRule="auto"/>
        <w:ind w:firstLine="567"/>
        <w:jc w:val="both"/>
      </w:pPr>
      <w:r>
        <w:t>[2.1] </w:t>
      </w:r>
      <w:r w:rsidR="008D3E4D">
        <w:t xml:space="preserve">Administratīvā procesa likuma </w:t>
      </w:r>
      <w:proofErr w:type="gramStart"/>
      <w:r w:rsidR="008D3E4D">
        <w:t>185.panta</w:t>
      </w:r>
      <w:proofErr w:type="gramEnd"/>
      <w:r w:rsidR="008D3E4D">
        <w:t xml:space="preserve"> ceturtajā daļā</w:t>
      </w:r>
      <w:r w:rsidR="00884FC6">
        <w:t xml:space="preserve"> paredzēti izņēmumi, kad administratīvā akta darbība netiek apturēta ar pieteikuma iesniegšanu tiesā, tostarp</w:t>
      </w:r>
      <w:r w:rsidR="00D86623">
        <w:t>,</w:t>
      </w:r>
      <w:r w:rsidR="00884FC6">
        <w:t xml:space="preserve"> ja administratīvais akts uzliek pienākumu veikt maksājumu valsts budžetā, izņemot sodoša rakstura maksājumus (naudas sodus vai soda naudas).</w:t>
      </w:r>
      <w:r w:rsidR="008D3E4D">
        <w:t xml:space="preserve"> </w:t>
      </w:r>
    </w:p>
    <w:p w14:paraId="7093D36A" w14:textId="6CCF2BFB" w:rsidR="008D3E4D" w:rsidRDefault="008D3E4D" w:rsidP="009503A2">
      <w:pPr>
        <w:spacing w:line="278" w:lineRule="auto"/>
        <w:ind w:firstLine="567"/>
        <w:jc w:val="both"/>
      </w:pPr>
      <w:r>
        <w:t>[2.</w:t>
      </w:r>
      <w:r w:rsidR="00E0495A">
        <w:t>2</w:t>
      </w:r>
      <w:r>
        <w:t>] </w:t>
      </w:r>
      <w:r w:rsidR="00C64015">
        <w:t>Soda piemērošanas gadījumos valsts fiskālās intereses nav atzīstamas p</w:t>
      </w:r>
      <w:r w:rsidR="00E0495A">
        <w:t>ar pārākām pār personas tiesībām</w:t>
      </w:r>
      <w:r w:rsidR="00C64015">
        <w:t xml:space="preserve"> uz aizstāvību un taisnīgu tiesu. Līdz ar to soda piemērošana pirms strīda izskatīšanas nav pieļaujama.</w:t>
      </w:r>
    </w:p>
    <w:p w14:paraId="1CBFE34C" w14:textId="5AEA8710" w:rsidR="008C402E" w:rsidRDefault="006907FB" w:rsidP="009503A2">
      <w:pPr>
        <w:spacing w:line="278" w:lineRule="auto"/>
        <w:ind w:firstLine="567"/>
        <w:jc w:val="both"/>
      </w:pPr>
      <w:r>
        <w:t>[2</w:t>
      </w:r>
      <w:r w:rsidR="00E0495A">
        <w:t>.3</w:t>
      </w:r>
      <w:r>
        <w:t>] Likums „Par interešu konflikta novēršanu valsts amatpersonu darbībā” aizsargā sabiedrības intereses saistībā ar valsts amatpersonas pienākumu pienācīgu izpildi. Publiskās intereses aizsargā ar administratīvām metodēm, jo faktiski notiek noteikta loka privātpersonu administratīva uzraudzība. Šo uzraudzību regulē ar dažāda veida preventīva un sodoša rakstura līdzekļu piemērošanu.</w:t>
      </w:r>
      <w:r w:rsidR="00E0495A">
        <w:t xml:space="preserve"> Likuma </w:t>
      </w:r>
      <w:r w:rsidR="00F21A0E">
        <w:t>regulējums</w:t>
      </w:r>
      <w:r w:rsidR="008C402E">
        <w:t xml:space="preserve"> atbilst tam, kādu piemēro sodoša rakstura sankciju piemērošanas gadījumos.</w:t>
      </w:r>
      <w:r w:rsidR="00F21A0E">
        <w:t xml:space="preserve"> Biroja tiesības noteikt personai pienākumu veikt zaudējumu atlīdzību, ir vērtējamas kā sodoša rakstura sankciju piemērošana, kas tiek noteiktas par administratīvu </w:t>
      </w:r>
      <w:r w:rsidR="004C3044">
        <w:t>vai krimināltiesisku</w:t>
      </w:r>
      <w:r w:rsidR="00F21A0E">
        <w:t xml:space="preserve"> pārkāpumu.</w:t>
      </w:r>
    </w:p>
    <w:p w14:paraId="3F8F6223" w14:textId="17887D79" w:rsidR="00F21A0E" w:rsidRDefault="00E0495A" w:rsidP="009503A2">
      <w:pPr>
        <w:spacing w:line="278" w:lineRule="auto"/>
        <w:ind w:firstLine="567"/>
        <w:jc w:val="both"/>
      </w:pPr>
      <w:r>
        <w:t>[2.4] </w:t>
      </w:r>
      <w:r w:rsidR="00C752BF">
        <w:t>Likuma „Par interešu</w:t>
      </w:r>
      <w:r w:rsidR="00765E8E">
        <w:t xml:space="preserve"> konflikta</w:t>
      </w:r>
      <w:r w:rsidR="00F21A0E">
        <w:t xml:space="preserve"> novēršanu valsts amatpersonu darbībā” </w:t>
      </w:r>
      <w:proofErr w:type="gramStart"/>
      <w:r w:rsidR="00F21A0E">
        <w:t>30.panta</w:t>
      </w:r>
      <w:proofErr w:type="gramEnd"/>
      <w:r w:rsidR="00F21A0E">
        <w:t xml:space="preserve"> otrajā daļā paredzētā pienākuma uzlikšanai ir sodošs raksturs.</w:t>
      </w:r>
      <w:r w:rsidR="003954C0">
        <w:t xml:space="preserve"> Tas, ka līdzekļu konfiskācija tiesību normās ir nosaukta par zaudējumu atlīdzību, neatbilst objektīviem kritērijiem, kas raksturo zaudējumu esību un personas tiesības prasīt zaudējumu atlīdzību. Konkrētajā gadījumā pieteicēja nopelnītā darba alga pie cita darba devēja, arī tad, ja tā ir nopelnīta, pārkāpjot likuma noteikumus, nav piekritīga valstij civiltiesiskā izpratnē kā zaudējumu atlīdzība</w:t>
      </w:r>
      <w:r w:rsidR="0082407A">
        <w:t>. Valsts šādu līdzekļu konfiskāciju var paredzēt kā sodoša rakstura līdzekli, lai sodītu personas par pārkāpuma izdarīšanu un atturētu no turpmākas šāda veida prettiesiskas rīcības.</w:t>
      </w:r>
    </w:p>
    <w:p w14:paraId="1551CD43" w14:textId="05011DB3" w:rsidR="0082407A" w:rsidRDefault="0082407A" w:rsidP="009503A2">
      <w:pPr>
        <w:spacing w:line="278" w:lineRule="auto"/>
        <w:ind w:firstLine="567"/>
        <w:jc w:val="both"/>
      </w:pPr>
      <w:r>
        <w:t>[2.</w:t>
      </w:r>
      <w:r w:rsidR="00E0495A">
        <w:t>5</w:t>
      </w:r>
      <w:r>
        <w:t>] Senāts spriedumā lietā Nr. SKA</w:t>
      </w:r>
      <w:r>
        <w:noBreakHyphen/>
      </w:r>
      <w:r w:rsidR="00E0495A">
        <w:t>311/2011</w:t>
      </w:r>
      <w:r w:rsidR="00A92051">
        <w:t xml:space="preserve"> nav analizējis Administratīvā procesa likuma </w:t>
      </w:r>
      <w:proofErr w:type="gramStart"/>
      <w:r w:rsidR="00A92051">
        <w:t>185.panta</w:t>
      </w:r>
      <w:proofErr w:type="gramEnd"/>
      <w:r w:rsidR="00A92051">
        <w:t xml:space="preserve"> ceturtās daļas 1.punktā lietotā jēdziena sodoša rakstura maksājums piemērošanu, bet gan ir vērtējis, vai nav aizliegts dubultās sodīšanas aizlieguma princips.</w:t>
      </w:r>
    </w:p>
    <w:p w14:paraId="1E39B755" w14:textId="77777777" w:rsidR="00A92051" w:rsidRDefault="00A92051" w:rsidP="009503A2">
      <w:pPr>
        <w:spacing w:line="278" w:lineRule="auto"/>
        <w:ind w:firstLine="567"/>
        <w:jc w:val="both"/>
      </w:pPr>
    </w:p>
    <w:p w14:paraId="1F68B9ED" w14:textId="2D05587C" w:rsidR="00A92051" w:rsidRDefault="00A92051" w:rsidP="009503A2">
      <w:pPr>
        <w:spacing w:line="278" w:lineRule="auto"/>
        <w:ind w:firstLine="567"/>
        <w:jc w:val="both"/>
      </w:pPr>
      <w:r>
        <w:t>[3] Birojs ir iesniedzis blakus sūdzību par apgabaltiesas lēmumu. Blakus sūdzībā norādīts turpmāk minētais.</w:t>
      </w:r>
    </w:p>
    <w:p w14:paraId="42EA2E77" w14:textId="6381942C" w:rsidR="00A92051" w:rsidRDefault="00A92051" w:rsidP="009503A2">
      <w:pPr>
        <w:spacing w:line="278" w:lineRule="auto"/>
        <w:ind w:firstLine="567"/>
        <w:jc w:val="both"/>
      </w:pPr>
      <w:r>
        <w:t>[3.1] </w:t>
      </w:r>
      <w:r w:rsidR="0059174D">
        <w:t>Likumdevējs ir skaidri noteicis, kādi maksājumi ir atzīstami par</w:t>
      </w:r>
      <w:r w:rsidR="00FA12F2">
        <w:t xml:space="preserve"> sodoša rakstura, proti, soda nauda un naudas sods.</w:t>
      </w:r>
    </w:p>
    <w:p w14:paraId="6D8CD2A1" w14:textId="774B6CBF" w:rsidR="009B549A" w:rsidRDefault="00FA12F2" w:rsidP="009503A2">
      <w:pPr>
        <w:spacing w:line="278" w:lineRule="auto"/>
        <w:ind w:firstLine="567"/>
        <w:jc w:val="both"/>
      </w:pPr>
      <w:r>
        <w:t xml:space="preserve">[3.2] Likuma „Par interešu konflikta novēršanu valsts amatpersonu darbībā” </w:t>
      </w:r>
      <w:proofErr w:type="gramStart"/>
      <w:r>
        <w:t>30.pantā</w:t>
      </w:r>
      <w:proofErr w:type="gramEnd"/>
      <w:r>
        <w:t xml:space="preserve"> ir </w:t>
      </w:r>
      <w:r w:rsidR="009B549A">
        <w:t>noteikta kārtība, kādā valsts amatpersona atlīdzina valstij nodarītos zaudējumus, kas radušies, valsts amatpersonai pārkāpjot noteiktos ierobežojumus un aizliegumus.</w:t>
      </w:r>
      <w:r w:rsidR="00F250E1">
        <w:t xml:space="preserve"> Valstij nodarīto zaudējumu atlīdzināšana ir tiesisks instruments, kas vērsts uz prettiesisko seku novēršanu, kuram ir kompensējošs raksturs, un nav pamata uzskatīt to par sodoša rakstura maksājumu.</w:t>
      </w:r>
    </w:p>
    <w:p w14:paraId="20E4BBB4" w14:textId="653DD111" w:rsidR="00920F03" w:rsidRDefault="00920F03" w:rsidP="009503A2">
      <w:pPr>
        <w:spacing w:line="278" w:lineRule="auto"/>
        <w:ind w:firstLine="567"/>
        <w:jc w:val="both"/>
      </w:pPr>
      <w:r>
        <w:t>[3.</w:t>
      </w:r>
      <w:r w:rsidR="00E0495A">
        <w:t>3</w:t>
      </w:r>
      <w:r>
        <w:t>]  Senāta spriedumā lietā Nr. SKA</w:t>
      </w:r>
      <w:r>
        <w:noBreakHyphen/>
      </w:r>
      <w:r w:rsidR="00334763">
        <w:t>311/2011</w:t>
      </w:r>
      <w:r>
        <w:t xml:space="preserve"> tika analizēta maksājumu valsts budžetā daba, līdz ar ko spriedumā izteiktās atziņas pēc analoģijas būtu piemērojamas arī attiecībā uz zaudējumu atlīdzināšanu saskaņā ar likuma „Par interešu konflikta novēršanu valsts amatpersonu darbībā” </w:t>
      </w:r>
      <w:proofErr w:type="gramStart"/>
      <w:r>
        <w:t>30.pantu</w:t>
      </w:r>
      <w:proofErr w:type="gramEnd"/>
      <w:r w:rsidR="008D455F">
        <w:t>.</w:t>
      </w:r>
    </w:p>
    <w:p w14:paraId="3D80E952" w14:textId="77777777" w:rsidR="006829F0" w:rsidRDefault="006829F0" w:rsidP="009503A2">
      <w:pPr>
        <w:spacing w:line="278" w:lineRule="auto"/>
        <w:ind w:firstLine="567"/>
        <w:jc w:val="both"/>
      </w:pPr>
    </w:p>
    <w:p w14:paraId="1583D406" w14:textId="6D0D2939" w:rsidR="006829F0" w:rsidRPr="006829F0" w:rsidRDefault="006829F0" w:rsidP="009503A2">
      <w:pPr>
        <w:spacing w:line="278" w:lineRule="auto"/>
        <w:ind w:firstLine="567"/>
        <w:jc w:val="both"/>
      </w:pPr>
      <w:r>
        <w:lastRenderedPageBreak/>
        <w:t>[4] Pieteicējs ir iesniedzis paskaidrojumus par biroja blakus sūdzību. Pieteicējs uzskata, ka blakus sūdzības tiesvedība ir izbeidzama, jo birojam nav subjektīvo tiesību iesniegt blakus sūdzību par tiesas lēmumu</w:t>
      </w:r>
      <w:r w:rsidR="00B47B7F">
        <w:t>, ar kuru tiesa izlēmusi jautājumu par pieteicēja lūguma</w:t>
      </w:r>
      <w:r w:rsidR="002A64BF">
        <w:t xml:space="preserve"> par lēmuma darbības apturēšanu</w:t>
      </w:r>
      <w:r w:rsidR="00B47B7F">
        <w:t xml:space="preserve"> virzību</w:t>
      </w:r>
      <w:r w:rsidR="002A64BF">
        <w:t>.</w:t>
      </w:r>
    </w:p>
    <w:p w14:paraId="04E3ACC2" w14:textId="77777777" w:rsidR="008D455F" w:rsidRDefault="008D455F" w:rsidP="009503A2">
      <w:pPr>
        <w:spacing w:before="80" w:line="278" w:lineRule="auto"/>
        <w:ind w:firstLine="567"/>
        <w:jc w:val="both"/>
      </w:pPr>
    </w:p>
    <w:p w14:paraId="6D4B9FF5" w14:textId="4CDAF84D" w:rsidR="008D455F" w:rsidRDefault="008D455F" w:rsidP="009503A2">
      <w:pPr>
        <w:spacing w:line="278" w:lineRule="auto"/>
        <w:ind w:firstLine="567"/>
        <w:jc w:val="center"/>
        <w:rPr>
          <w:b/>
        </w:rPr>
      </w:pPr>
      <w:r>
        <w:rPr>
          <w:b/>
        </w:rPr>
        <w:t>Motīvu daļa</w:t>
      </w:r>
    </w:p>
    <w:p w14:paraId="183BE55E" w14:textId="77777777" w:rsidR="008D455F" w:rsidRDefault="008D455F" w:rsidP="009503A2">
      <w:pPr>
        <w:spacing w:before="80" w:line="278" w:lineRule="auto"/>
        <w:ind w:firstLine="567"/>
        <w:jc w:val="center"/>
        <w:rPr>
          <w:b/>
        </w:rPr>
      </w:pPr>
    </w:p>
    <w:p w14:paraId="42894FC7" w14:textId="77777777" w:rsidR="00851712" w:rsidRPr="00851712" w:rsidRDefault="00F81568" w:rsidP="009503A2">
      <w:pPr>
        <w:spacing w:line="278" w:lineRule="auto"/>
        <w:ind w:firstLine="567"/>
        <w:jc w:val="both"/>
        <w:rPr>
          <w:rFonts w:eastAsia="Calibri"/>
        </w:rPr>
      </w:pPr>
      <w:r>
        <w:t>[5</w:t>
      </w:r>
      <w:r w:rsidR="008D455F">
        <w:t>] </w:t>
      </w:r>
      <w:r w:rsidR="00851712" w:rsidRPr="00851712">
        <w:rPr>
          <w:rFonts w:eastAsia="Calibri"/>
        </w:rPr>
        <w:t>Senāts nepiekrīt pieteicējam, ka blakus sūdzības tiesvedība ir izbeidzama. Pieteicējs uzskata, ka tikai viņš ir tiesīgs lūgt administratīvā akta darbības apturēšanu. Tiesa lūgumu atteikusi pieņemt, un pieteicējs ar lēmumu ir apmierināts. Iestādei nevarot būt intereses apturēt pašas lēmuma darbību.</w:t>
      </w:r>
    </w:p>
    <w:p w14:paraId="15B6F937" w14:textId="1DD08F86" w:rsidR="00851712" w:rsidRDefault="00851712" w:rsidP="008C150F">
      <w:pPr>
        <w:spacing w:line="278" w:lineRule="auto"/>
        <w:ind w:firstLine="567"/>
        <w:jc w:val="both"/>
        <w:rPr>
          <w:rFonts w:eastAsia="Calibri"/>
        </w:rPr>
      </w:pPr>
      <w:r w:rsidRPr="00851712">
        <w:rPr>
          <w:rFonts w:eastAsia="Calibri"/>
        </w:rPr>
        <w:t>Tomēr izskatāmajā gadījumā apgabaltiesa ir izdarījusi tādus secinājumus par pārsūdzētā lēmuma raksturu, kas varētu ietekmēt iestādes turpmāko praksi attiecībā uz lēmumu izpildi. Tādējādi apgabaltiesas lēmums skar arī iestādi. Līdz ar to Senāts uzskata, ka iestāde</w:t>
      </w:r>
      <w:r>
        <w:rPr>
          <w:rFonts w:eastAsia="Calibri"/>
        </w:rPr>
        <w:t>i</w:t>
      </w:r>
      <w:r w:rsidRPr="00851712">
        <w:rPr>
          <w:rFonts w:eastAsia="Calibri"/>
        </w:rPr>
        <w:t>, kura ir lietas dalībnieks, ir tiesības pārsūdzēt konkrēto tiesas lēmumu.</w:t>
      </w:r>
    </w:p>
    <w:p w14:paraId="651EDC46" w14:textId="77777777" w:rsidR="00C36B08" w:rsidRPr="00851712" w:rsidRDefault="00C36B08" w:rsidP="008C150F">
      <w:pPr>
        <w:spacing w:line="278" w:lineRule="auto"/>
        <w:ind w:firstLine="567"/>
        <w:jc w:val="both"/>
        <w:rPr>
          <w:rFonts w:eastAsia="Calibri"/>
        </w:rPr>
      </w:pPr>
    </w:p>
    <w:p w14:paraId="077481CF" w14:textId="35951184" w:rsidR="008D455F" w:rsidRDefault="00F81568" w:rsidP="009503A2">
      <w:pPr>
        <w:spacing w:line="278" w:lineRule="auto"/>
        <w:ind w:firstLine="567"/>
        <w:jc w:val="both"/>
      </w:pPr>
      <w:r>
        <w:t>[6</w:t>
      </w:r>
      <w:r w:rsidR="002A64BF">
        <w:t>] </w:t>
      </w:r>
      <w:r w:rsidR="006D334A">
        <w:t xml:space="preserve">Saskaņā ar likuma „Par interešu konflikta novēršanu valsts amatpersonu darbībā” </w:t>
      </w:r>
      <w:proofErr w:type="gramStart"/>
      <w:r w:rsidR="006D334A">
        <w:t>30.panta</w:t>
      </w:r>
      <w:proofErr w:type="gramEnd"/>
      <w:r w:rsidR="006D334A">
        <w:t xml:space="preserve"> pirmo daļu v</w:t>
      </w:r>
      <w:r w:rsidR="006D334A" w:rsidRPr="006D334A">
        <w:t>alsts amatpersonai ir pienākums atlīdzināt nodarītos zaudējumus</w:t>
      </w:r>
      <w:r w:rsidR="006D334A">
        <w:t>. Šā panta otrā daļa paredz, ka i</w:t>
      </w:r>
      <w:r w:rsidR="006D334A" w:rsidRPr="006D334A">
        <w:t>enākumi un mantiskie labumi, kas gūti, pārkāpjot šajā likumā noteiktos ierobežojumus, vai proporcionāls to pieaugums ir piekritīgi valstij, prezumējot, ka, pārkāpjot valsts noteiktos ierobežojumus un prettiesiski gūstot ienākumus vai mantiskos labumus, valsts amatpersona ir nodarījusi tādu kaitējumu valsts pārvaldības kārtībai, kas ir novērtējams mantiskā izteiksmē un ir proporcionāls aizliegtā veidā gūtu ienākumu, mantisko labumu un īpašuma vai mantas pieauguma vērtība</w:t>
      </w:r>
      <w:r w:rsidR="006D334A">
        <w:t>i.</w:t>
      </w:r>
    </w:p>
    <w:p w14:paraId="5996A5CE" w14:textId="4792DD48" w:rsidR="006D334A" w:rsidRDefault="00BE6341" w:rsidP="009503A2">
      <w:pPr>
        <w:spacing w:line="278" w:lineRule="auto"/>
        <w:ind w:firstLine="567"/>
        <w:jc w:val="both"/>
      </w:pPr>
      <w:r>
        <w:t>Tātad no normas vārdiskās jēgas izriet, ka valsts amatpersona, pārkāpjot likumā noteiktos ierobežojumus, ar savu rīcību nodara kaitējumu valsts pārvaldības kārtībai, un valsts amatpersonai ir pienākums atlīdzināt nodarīto kaitējumu.</w:t>
      </w:r>
    </w:p>
    <w:p w14:paraId="0E5B246A" w14:textId="547912CC" w:rsidR="00930BE3" w:rsidRDefault="00930BE3" w:rsidP="009503A2">
      <w:pPr>
        <w:spacing w:line="278" w:lineRule="auto"/>
        <w:ind w:firstLine="567"/>
        <w:jc w:val="both"/>
      </w:pPr>
      <w:r>
        <w:t>Apgabaltiesa uzskata, ka, neskatoties uz to, kā likumā konkrētais maksājums ir formu</w:t>
      </w:r>
      <w:r w:rsidR="002370DD">
        <w:t xml:space="preserve">lēts, </w:t>
      </w:r>
      <w:r w:rsidRPr="00930BE3">
        <w:t>biroja tiesības noteikt personai pienākumu veikt zaudējumu atlīdzību, ir vērtējamas kā sodoša rakstura sankciju piemērošana</w:t>
      </w:r>
      <w:r>
        <w:t>.</w:t>
      </w:r>
    </w:p>
    <w:p w14:paraId="1D99D93B" w14:textId="1EE480E2" w:rsidR="00930BE3" w:rsidRDefault="00930BE3" w:rsidP="009503A2">
      <w:pPr>
        <w:spacing w:line="278" w:lineRule="auto"/>
        <w:ind w:firstLine="567"/>
        <w:jc w:val="both"/>
      </w:pPr>
      <w:r>
        <w:t>Turpmāk norādīto apsvērumu dēļ Senāts šādam apgabaltiesas secinājumam nepiekrīt.</w:t>
      </w:r>
    </w:p>
    <w:p w14:paraId="423F2B1D" w14:textId="77777777" w:rsidR="00CE1C98" w:rsidRDefault="00CE1C98" w:rsidP="009503A2">
      <w:pPr>
        <w:spacing w:line="278" w:lineRule="auto"/>
        <w:ind w:firstLine="567"/>
        <w:jc w:val="both"/>
      </w:pPr>
    </w:p>
    <w:p w14:paraId="228C6876" w14:textId="19BFF33C" w:rsidR="007715E6" w:rsidRDefault="007715E6" w:rsidP="009503A2">
      <w:pPr>
        <w:spacing w:line="278" w:lineRule="auto"/>
        <w:ind w:firstLine="567"/>
        <w:jc w:val="both"/>
      </w:pPr>
      <w:r>
        <w:t>[</w:t>
      </w:r>
      <w:r w:rsidR="00F81568">
        <w:t>7</w:t>
      </w:r>
      <w:r>
        <w:t>] Vispirms norād</w:t>
      </w:r>
      <w:r w:rsidR="00E479CA">
        <w:t xml:space="preserve">āms, ka Senāts nesaskata pamatu apgabaltiesas norādītajam par to, ka šajā lietā nav piemērojamas Senāta </w:t>
      </w:r>
      <w:proofErr w:type="gramStart"/>
      <w:r w:rsidR="00941B7B">
        <w:t>2011.gada</w:t>
      </w:r>
      <w:proofErr w:type="gramEnd"/>
      <w:r w:rsidR="00941B7B">
        <w:t xml:space="preserve"> 22.septembra </w:t>
      </w:r>
      <w:r w:rsidR="00E479CA">
        <w:t>spriedumā lietā Nr. SKA</w:t>
      </w:r>
      <w:r w:rsidR="00E479CA">
        <w:noBreakHyphen/>
        <w:t>311/2011</w:t>
      </w:r>
      <w:r w:rsidR="00941B7B">
        <w:t xml:space="preserve"> (A42539007)</w:t>
      </w:r>
      <w:r w:rsidR="00E479CA">
        <w:t xml:space="preserve"> paustās atziņas par pienākuma atlīdzināt valstij nodarīto kaitējumu raksturu. A</w:t>
      </w:r>
      <w:r w:rsidR="00941B7B">
        <w:t>pgabaltiesa</w:t>
      </w:r>
      <w:r w:rsidR="001C4E21">
        <w:t xml:space="preserve"> norāda</w:t>
      </w:r>
      <w:r w:rsidR="00E479CA">
        <w:t>,</w:t>
      </w:r>
      <w:r w:rsidR="001C4E21">
        <w:t xml:space="preserve"> ka</w:t>
      </w:r>
      <w:r w:rsidR="00E479CA">
        <w:t xml:space="preserve"> </w:t>
      </w:r>
      <w:r w:rsidR="000153FB">
        <w:t>minētajā</w:t>
      </w:r>
      <w:r w:rsidR="00E479CA">
        <w:t xml:space="preserve"> lietā Senāts</w:t>
      </w:r>
      <w:r w:rsidR="000153FB">
        <w:t xml:space="preserve"> pienākumu atlīdzināt kaitējumu vērtēja saistībā ar dubultās sodī</w:t>
      </w:r>
      <w:r w:rsidR="00941B7B">
        <w:t>šanas aizlieguma principu</w:t>
      </w:r>
      <w:r w:rsidR="001C4E21">
        <w:t xml:space="preserve">. Tomēr tas </w:t>
      </w:r>
      <w:r w:rsidR="00941B7B">
        <w:t xml:space="preserve">kopumā </w:t>
      </w:r>
      <w:r w:rsidR="001C4E21">
        <w:t xml:space="preserve">nemaina šajā spriedumā izdarītos secinājumus par valsts pārvaldības kārtībai nodarītā kaitējuma atlīdzinājuma raksturu. </w:t>
      </w:r>
    </w:p>
    <w:p w14:paraId="59C99D6F" w14:textId="77777777" w:rsidR="00930BE3" w:rsidRDefault="00930BE3" w:rsidP="009503A2">
      <w:pPr>
        <w:spacing w:line="278" w:lineRule="auto"/>
        <w:jc w:val="both"/>
      </w:pPr>
    </w:p>
    <w:p w14:paraId="26A99965" w14:textId="67BCCBAF" w:rsidR="00930BE3" w:rsidRDefault="00F81568" w:rsidP="009503A2">
      <w:pPr>
        <w:spacing w:line="278" w:lineRule="auto"/>
        <w:ind w:firstLine="567"/>
        <w:jc w:val="both"/>
      </w:pPr>
      <w:r>
        <w:t>[8</w:t>
      </w:r>
      <w:r w:rsidR="00930BE3">
        <w:t>] </w:t>
      </w:r>
      <w:r w:rsidR="00CC45B2">
        <w:t>L</w:t>
      </w:r>
      <w:r w:rsidR="00CC45B2" w:rsidRPr="00CC45B2">
        <w:t>ikuma „Par interešu konflikta novēršanu valsts ama</w:t>
      </w:r>
      <w:r w:rsidR="00CC45B2">
        <w:t xml:space="preserve">tpersonu darbībā” </w:t>
      </w:r>
      <w:proofErr w:type="gramStart"/>
      <w:r w:rsidR="00CC45B2">
        <w:t>30.panta</w:t>
      </w:r>
      <w:proofErr w:type="gramEnd"/>
      <w:r w:rsidR="00CC45B2">
        <w:t xml:space="preserve"> pirmā daļa paredz, ka p</w:t>
      </w:r>
      <w:r w:rsidR="00CC45B2" w:rsidRPr="00CC45B2">
        <w:t>ar šā likuma pārkāpumiem personu sauc pie likumos noteiktās atbildības.</w:t>
      </w:r>
    </w:p>
    <w:p w14:paraId="50E5B4B1" w14:textId="162C2403" w:rsidR="007A4D28" w:rsidRDefault="007A4D28" w:rsidP="009503A2">
      <w:pPr>
        <w:spacing w:line="278" w:lineRule="auto"/>
        <w:ind w:firstLine="567"/>
        <w:jc w:val="both"/>
      </w:pPr>
      <w:r w:rsidRPr="007A4D28">
        <w:t>Par amatpersonām noteikto ierobežojumu pārkāpumiem paredzēta gan administratīvā atbildība (līd</w:t>
      </w:r>
      <w:r w:rsidR="00032B5E">
        <w:t xml:space="preserve">z </w:t>
      </w:r>
      <w:proofErr w:type="gramStart"/>
      <w:r w:rsidR="00032B5E">
        <w:t>2020.gada</w:t>
      </w:r>
      <w:proofErr w:type="gramEnd"/>
      <w:r w:rsidR="00032B5E">
        <w:t xml:space="preserve"> 1.jūlijam Latvijas A</w:t>
      </w:r>
      <w:r w:rsidRPr="007A4D28">
        <w:t xml:space="preserve">dministratīvo pārkāpumu kodeksa divpadsmitā </w:t>
      </w:r>
      <w:r w:rsidRPr="007A4D28">
        <w:lastRenderedPageBreak/>
        <w:t>„c” nodaļa, šobrīd likuma „Par interešu konflikta novēršanu valsts amatpersonu darbībā” 32.pants), gan kriminālatbildība (Krimināllikuma 325.pants), gan pienākums atlīdzināt nodarītos zaudējumus</w:t>
      </w:r>
      <w:r w:rsidR="00570D78">
        <w:t xml:space="preserve"> (l</w:t>
      </w:r>
      <w:r w:rsidR="00570D78" w:rsidRPr="00570D78">
        <w:t>ikuma „Par interešu konflikta novēršanu valsts amatpersonu darbībā” 30.panta</w:t>
      </w:r>
      <w:r w:rsidR="00570D78">
        <w:t xml:space="preserve"> pirmā daļa)</w:t>
      </w:r>
      <w:r w:rsidRPr="007A4D28">
        <w:t>.</w:t>
      </w:r>
    </w:p>
    <w:p w14:paraId="5388DA7C" w14:textId="76716C64" w:rsidR="0062527A" w:rsidRDefault="0062527A" w:rsidP="009503A2">
      <w:pPr>
        <w:spacing w:line="278" w:lineRule="auto"/>
        <w:ind w:firstLine="567"/>
        <w:jc w:val="both"/>
        <w:rPr>
          <w:rFonts w:eastAsia="Calibri"/>
          <w:lang w:eastAsia="en-US"/>
        </w:rPr>
      </w:pPr>
      <w:r w:rsidRPr="0062527A">
        <w:rPr>
          <w:rFonts w:eastAsia="Calibri"/>
          <w:lang w:eastAsia="en-US"/>
        </w:rPr>
        <w:t xml:space="preserve">Atbildības jēdziens ir plašs un tās mērķi var būt vairāki – sodīšana, </w:t>
      </w:r>
      <w:proofErr w:type="spellStart"/>
      <w:r w:rsidRPr="0062527A">
        <w:rPr>
          <w:rFonts w:eastAsia="Calibri"/>
          <w:lang w:eastAsia="en-US"/>
        </w:rPr>
        <w:t>prevencija</w:t>
      </w:r>
      <w:proofErr w:type="spellEnd"/>
      <w:r w:rsidRPr="0062527A">
        <w:rPr>
          <w:rFonts w:eastAsia="Calibri"/>
          <w:lang w:eastAsia="en-US"/>
        </w:rPr>
        <w:t xml:space="preserve">, iepriekšējā stāvokļa atjaunošana, zaudējumu vai kaitējuma atlīdzināšana un citi. Sods pilda sodīšanas un </w:t>
      </w:r>
      <w:proofErr w:type="spellStart"/>
      <w:r w:rsidRPr="0062527A">
        <w:rPr>
          <w:rFonts w:eastAsia="Calibri"/>
          <w:lang w:eastAsia="en-US"/>
        </w:rPr>
        <w:t>prevencijas</w:t>
      </w:r>
      <w:proofErr w:type="spellEnd"/>
      <w:r w:rsidRPr="0062527A">
        <w:rPr>
          <w:rFonts w:eastAsia="Calibri"/>
          <w:lang w:eastAsia="en-US"/>
        </w:rPr>
        <w:t xml:space="preserve"> funkciju, bet pats par sevi prettiesisko stāvokli pilnvērtīgi var nenovērst, jo neatjauno iepriekšējo stāvokli un neatlīdzina zaudējumus vai</w:t>
      </w:r>
      <w:proofErr w:type="gramStart"/>
      <w:r w:rsidRPr="0062527A">
        <w:rPr>
          <w:rFonts w:eastAsia="Calibri"/>
          <w:lang w:eastAsia="en-US"/>
        </w:rPr>
        <w:t xml:space="preserve">  </w:t>
      </w:r>
      <w:proofErr w:type="gramEnd"/>
      <w:r w:rsidRPr="0062527A">
        <w:rPr>
          <w:rFonts w:eastAsia="Calibri"/>
          <w:lang w:eastAsia="en-US"/>
        </w:rPr>
        <w:t xml:space="preserve">kaitējumu. Tādēļ soda noteikšana par pārkāpumu var nesasniegt mērķi pēc iespējas novērst prettiesisko situāciju un atrisināt to taisnīgi. Zaudējumu vai kaitējuma atlīdzināšana ir tiesisks instruments, kas vērsts uz prettiesisko seku novēršanu, ja iepriekšējā (tiesiskā) stāvokļa atjaunošana nav iespējama. Zaudējumu un kaitējuma atlīdzināšanai, lai arī tā var pildīt arī </w:t>
      </w:r>
      <w:proofErr w:type="spellStart"/>
      <w:r w:rsidRPr="0062527A">
        <w:rPr>
          <w:rFonts w:eastAsia="Calibri"/>
          <w:lang w:eastAsia="en-US"/>
        </w:rPr>
        <w:t>prevencijas</w:t>
      </w:r>
      <w:proofErr w:type="spellEnd"/>
      <w:r w:rsidRPr="0062527A">
        <w:rPr>
          <w:rFonts w:eastAsia="Calibri"/>
          <w:lang w:eastAsia="en-US"/>
        </w:rPr>
        <w:t xml:space="preserve"> funkciju, tomēr ir kompens</w:t>
      </w:r>
      <w:r w:rsidR="0078364B">
        <w:rPr>
          <w:rFonts w:eastAsia="Calibri"/>
          <w:lang w:eastAsia="en-US"/>
        </w:rPr>
        <w:t xml:space="preserve">ējošs, bet nav sodošs raksturs </w:t>
      </w:r>
      <w:r>
        <w:rPr>
          <w:rFonts w:eastAsia="Calibri"/>
          <w:lang w:eastAsia="en-US"/>
        </w:rPr>
        <w:t>(</w:t>
      </w:r>
      <w:bookmarkStart w:id="1" w:name="_Hlk52278646"/>
      <w:r>
        <w:rPr>
          <w:rFonts w:eastAsia="Calibri"/>
          <w:i/>
          <w:lang w:eastAsia="en-US"/>
        </w:rPr>
        <w:t xml:space="preserve">Senāta </w:t>
      </w:r>
      <w:proofErr w:type="gramStart"/>
      <w:r w:rsidR="00117CB3">
        <w:rPr>
          <w:rFonts w:eastAsia="Calibri"/>
          <w:i/>
          <w:lang w:eastAsia="en-US"/>
        </w:rPr>
        <w:t>2011.gada</w:t>
      </w:r>
      <w:proofErr w:type="gramEnd"/>
      <w:r w:rsidR="00117CB3">
        <w:rPr>
          <w:rFonts w:eastAsia="Calibri"/>
          <w:i/>
          <w:lang w:eastAsia="en-US"/>
        </w:rPr>
        <w:t xml:space="preserve"> 22.septembra sprieduma</w:t>
      </w:r>
      <w:r>
        <w:rPr>
          <w:rFonts w:eastAsia="Calibri"/>
          <w:i/>
          <w:lang w:eastAsia="en-US"/>
        </w:rPr>
        <w:t xml:space="preserve"> lietā Nr. SKA</w:t>
      </w:r>
      <w:r>
        <w:rPr>
          <w:rFonts w:eastAsia="Calibri"/>
          <w:i/>
          <w:lang w:eastAsia="en-US"/>
        </w:rPr>
        <w:noBreakHyphen/>
        <w:t>311/2011 (A</w:t>
      </w:r>
      <w:r w:rsidR="00117CB3">
        <w:rPr>
          <w:rFonts w:eastAsia="Calibri"/>
          <w:i/>
          <w:lang w:eastAsia="en-US"/>
        </w:rPr>
        <w:t xml:space="preserve">42539007) </w:t>
      </w:r>
      <w:bookmarkEnd w:id="1"/>
      <w:r w:rsidR="00117CB3">
        <w:rPr>
          <w:rFonts w:eastAsia="Calibri"/>
          <w:i/>
          <w:lang w:eastAsia="en-US"/>
        </w:rPr>
        <w:t>10.punkts</w:t>
      </w:r>
      <w:r w:rsidR="00117CB3">
        <w:rPr>
          <w:rFonts w:eastAsia="Calibri"/>
          <w:lang w:eastAsia="en-US"/>
        </w:rPr>
        <w:t>).</w:t>
      </w:r>
    </w:p>
    <w:p w14:paraId="304D24D6" w14:textId="2B4BE345" w:rsidR="00835ED7" w:rsidRDefault="00A01449" w:rsidP="009503A2">
      <w:pPr>
        <w:spacing w:line="278" w:lineRule="auto"/>
        <w:ind w:firstLine="567"/>
        <w:jc w:val="both"/>
        <w:rPr>
          <w:rFonts w:eastAsia="Calibri"/>
          <w:lang w:eastAsia="en-US"/>
        </w:rPr>
      </w:pPr>
      <w:r>
        <w:rPr>
          <w:rFonts w:eastAsia="Calibri"/>
          <w:lang w:eastAsia="en-US"/>
        </w:rPr>
        <w:t>T</w:t>
      </w:r>
      <w:r w:rsidR="00291A31">
        <w:rPr>
          <w:rFonts w:eastAsia="Calibri"/>
          <w:lang w:eastAsia="en-US"/>
        </w:rPr>
        <w:t xml:space="preserve">iesību normās, kurās noteikta amatpersonu administratīvā un kriminālatbildība, paredzētas sodoša rakstura sankcijas. </w:t>
      </w:r>
      <w:r w:rsidR="0089584F">
        <w:rPr>
          <w:rFonts w:eastAsia="Calibri"/>
          <w:lang w:eastAsia="en-US"/>
        </w:rPr>
        <w:t>Vienlaikus</w:t>
      </w:r>
      <w:r w:rsidR="00EA2A3D">
        <w:rPr>
          <w:rFonts w:eastAsia="Calibri"/>
          <w:lang w:eastAsia="en-US"/>
        </w:rPr>
        <w:t xml:space="preserve"> neatkarīgi no tā, vai valsts amatpersona</w:t>
      </w:r>
      <w:r w:rsidR="00EA2A3D" w:rsidRPr="00EA2A3D">
        <w:rPr>
          <w:rFonts w:eastAsia="Calibri"/>
          <w:lang w:eastAsia="en-US"/>
        </w:rPr>
        <w:t xml:space="preserve"> </w:t>
      </w:r>
      <w:r w:rsidR="00EA2A3D">
        <w:rPr>
          <w:rFonts w:eastAsia="Calibri"/>
          <w:lang w:eastAsia="en-US"/>
        </w:rPr>
        <w:t>ir saukta</w:t>
      </w:r>
      <w:r w:rsidR="00EA2A3D" w:rsidRPr="00EA2A3D">
        <w:rPr>
          <w:rFonts w:eastAsia="Calibri"/>
          <w:lang w:eastAsia="en-US"/>
        </w:rPr>
        <w:t xml:space="preserve"> pie administratīvās atbildības vai kriminālatbildības</w:t>
      </w:r>
      <w:r w:rsidR="00EA2A3D">
        <w:rPr>
          <w:rFonts w:eastAsia="Calibri"/>
          <w:lang w:eastAsia="en-US"/>
        </w:rPr>
        <w:t>, amatpersonai saglabājas pienākums atlīdzināt valstij nodarītos zaudējumus</w:t>
      </w:r>
      <w:r w:rsidR="00EA2A3D" w:rsidRPr="00EA2A3D">
        <w:rPr>
          <w:rFonts w:eastAsia="Calibri"/>
          <w:lang w:eastAsia="en-US"/>
        </w:rPr>
        <w:t>.</w:t>
      </w:r>
      <w:r w:rsidR="00334763">
        <w:rPr>
          <w:rFonts w:eastAsia="Calibri"/>
          <w:lang w:eastAsia="en-US"/>
        </w:rPr>
        <w:t xml:space="preserve"> </w:t>
      </w:r>
    </w:p>
    <w:p w14:paraId="4F157B3D" w14:textId="77777777" w:rsidR="00CE1C98" w:rsidRDefault="00CE1C98" w:rsidP="009503A2">
      <w:pPr>
        <w:spacing w:line="278" w:lineRule="auto"/>
        <w:ind w:firstLine="567"/>
        <w:jc w:val="both"/>
        <w:rPr>
          <w:rFonts w:eastAsia="Calibri"/>
          <w:lang w:eastAsia="en-US"/>
        </w:rPr>
      </w:pPr>
    </w:p>
    <w:p w14:paraId="40BD1BF3" w14:textId="107CEFB3" w:rsidR="00D64E51" w:rsidRDefault="00F81568" w:rsidP="009503A2">
      <w:pPr>
        <w:spacing w:line="278" w:lineRule="auto"/>
        <w:ind w:firstLine="567"/>
        <w:jc w:val="both"/>
        <w:rPr>
          <w:rFonts w:eastAsia="Calibri"/>
          <w:lang w:eastAsia="en-US"/>
        </w:rPr>
      </w:pPr>
      <w:r>
        <w:rPr>
          <w:rFonts w:eastAsia="Calibri"/>
          <w:lang w:eastAsia="en-US"/>
        </w:rPr>
        <w:t>[9</w:t>
      </w:r>
      <w:r w:rsidR="00D64E51">
        <w:rPr>
          <w:rFonts w:eastAsia="Calibri"/>
          <w:lang w:eastAsia="en-US"/>
        </w:rPr>
        <w:t>] </w:t>
      </w:r>
      <w:r w:rsidR="00B37723">
        <w:rPr>
          <w:rFonts w:eastAsia="Calibri"/>
          <w:lang w:eastAsia="en-US"/>
        </w:rPr>
        <w:t xml:space="preserve">Būtiski, ka likumā kaitējuma atlīdzināšana saistīta tieši ar prezumpciju, ka valsts pārvaldes kārtībai ir nodarīts kaitējums. </w:t>
      </w:r>
      <w:r w:rsidR="00A70077" w:rsidRPr="00A70077">
        <w:rPr>
          <w:rFonts w:eastAsia="Calibri"/>
          <w:lang w:eastAsia="en-US"/>
        </w:rPr>
        <w:t>Tas norāda uz to, ka primāri atlīdzinājuma mērķis ir tieši kompensēt nodarīto kaitējumu, nevis sodīt pārkāpuma izdarītāju</w:t>
      </w:r>
      <w:r w:rsidR="00A70077">
        <w:rPr>
          <w:rFonts w:eastAsia="Calibri"/>
          <w:lang w:eastAsia="en-US"/>
        </w:rPr>
        <w:t>.</w:t>
      </w:r>
    </w:p>
    <w:p w14:paraId="3B5C0DEC" w14:textId="3880D6DD" w:rsidR="00D64E51" w:rsidRDefault="00D64E51" w:rsidP="009503A2">
      <w:pPr>
        <w:spacing w:line="278" w:lineRule="auto"/>
        <w:ind w:firstLine="567"/>
        <w:jc w:val="both"/>
        <w:rPr>
          <w:rFonts w:eastAsia="Calibri"/>
          <w:lang w:eastAsia="en-US"/>
        </w:rPr>
      </w:pPr>
      <w:r w:rsidRPr="00D64E51">
        <w:rPr>
          <w:rFonts w:eastAsia="Calibri"/>
          <w:lang w:eastAsia="en-US"/>
        </w:rPr>
        <w:t>Arī Senāta praksē ir secināts, ka</w:t>
      </w:r>
      <w:r>
        <w:rPr>
          <w:rFonts w:eastAsia="Calibri"/>
          <w:lang w:eastAsia="en-US"/>
        </w:rPr>
        <w:t xml:space="preserve"> ar likuma „Par interešu konflikta novēršanu valsts amatpersonu darbībā”</w:t>
      </w:r>
      <w:r w:rsidR="00B26CCD">
        <w:rPr>
          <w:rFonts w:eastAsia="Calibri"/>
          <w:lang w:eastAsia="en-US"/>
        </w:rPr>
        <w:t xml:space="preserve"> pārkāpumu kaitējums ir nodarīts valsts pārvaldības kārtībai, tādēļ</w:t>
      </w:r>
      <w:r w:rsidRPr="00D64E51">
        <w:rPr>
          <w:rFonts w:eastAsia="Calibri"/>
          <w:lang w:eastAsia="en-US"/>
        </w:rPr>
        <w:t xml:space="preserve"> prettiesiski iegūtais labums ir atdodams valstij kaitējuma novēršanas ietvaros (sk. </w:t>
      </w:r>
      <w:bookmarkStart w:id="2" w:name="_Hlk52278640"/>
      <w:r w:rsidRPr="00B26CCD">
        <w:rPr>
          <w:rFonts w:eastAsia="Calibri"/>
          <w:i/>
          <w:lang w:eastAsia="en-US"/>
        </w:rPr>
        <w:t xml:space="preserve">Senāta </w:t>
      </w:r>
      <w:proofErr w:type="gramStart"/>
      <w:r w:rsidRPr="00B26CCD">
        <w:rPr>
          <w:rFonts w:eastAsia="Calibri"/>
          <w:i/>
          <w:lang w:eastAsia="en-US"/>
        </w:rPr>
        <w:t>2010.gada</w:t>
      </w:r>
      <w:proofErr w:type="gramEnd"/>
      <w:r w:rsidRPr="00B26CCD">
        <w:rPr>
          <w:rFonts w:eastAsia="Calibri"/>
          <w:i/>
          <w:lang w:eastAsia="en-US"/>
        </w:rPr>
        <w:t xml:space="preserve"> 10</w:t>
      </w:r>
      <w:r w:rsidR="00F83E17">
        <w:rPr>
          <w:rFonts w:eastAsia="Calibri"/>
          <w:i/>
          <w:lang w:eastAsia="en-US"/>
        </w:rPr>
        <w:t>.jūnija sprieduma lietā Nr. SKA</w:t>
      </w:r>
      <w:r w:rsidR="00F83E17">
        <w:rPr>
          <w:rFonts w:eastAsia="Calibri"/>
          <w:i/>
          <w:lang w:eastAsia="en-US"/>
        </w:rPr>
        <w:noBreakHyphen/>
      </w:r>
      <w:r w:rsidRPr="00B26CCD">
        <w:rPr>
          <w:rFonts w:eastAsia="Calibri"/>
          <w:i/>
          <w:lang w:eastAsia="en-US"/>
        </w:rPr>
        <w:t xml:space="preserve">188/2010 (A42420306) </w:t>
      </w:r>
      <w:bookmarkEnd w:id="2"/>
      <w:r w:rsidRPr="00B26CCD">
        <w:rPr>
          <w:rFonts w:eastAsia="Calibri"/>
          <w:i/>
          <w:lang w:eastAsia="en-US"/>
        </w:rPr>
        <w:t>11.punktu</w:t>
      </w:r>
      <w:r w:rsidRPr="00D64E51">
        <w:rPr>
          <w:rFonts w:eastAsia="Calibri"/>
          <w:lang w:eastAsia="en-US"/>
        </w:rPr>
        <w:t>).</w:t>
      </w:r>
    </w:p>
    <w:p w14:paraId="6EC2031B" w14:textId="5E065D9E" w:rsidR="001E71F7" w:rsidRDefault="00E435B5" w:rsidP="009503A2">
      <w:pPr>
        <w:spacing w:line="278" w:lineRule="auto"/>
        <w:ind w:firstLine="567"/>
        <w:jc w:val="both"/>
        <w:rPr>
          <w:rFonts w:eastAsia="Calibri"/>
          <w:lang w:eastAsia="en-US"/>
        </w:rPr>
      </w:pPr>
      <w:r>
        <w:rPr>
          <w:rFonts w:eastAsia="Calibri"/>
          <w:lang w:eastAsia="en-US"/>
        </w:rPr>
        <w:t>Turklāt i</w:t>
      </w:r>
      <w:r w:rsidR="001E71F7">
        <w:rPr>
          <w:rFonts w:eastAsia="Calibri"/>
          <w:lang w:eastAsia="en-US"/>
        </w:rPr>
        <w:t xml:space="preserve">enākumi, kas gūti, pārkāpjot amatpersonai noteiktos ierobežojumus, ir uzskatāmi par iegūtiem prettiesiski. Līdz ar to </w:t>
      </w:r>
      <w:r>
        <w:rPr>
          <w:rFonts w:eastAsia="Calibri"/>
          <w:lang w:eastAsia="en-US"/>
        </w:rPr>
        <w:t xml:space="preserve">pienākumu atdot tādus ienākumus, kas personai nemaz nepienākas, nevar vērtēt kā sodu, salīdzinājumā ar gadījumiem, kad personai ir jāatdod tādi labumi, kas tai pieder tiesiski.   </w:t>
      </w:r>
    </w:p>
    <w:p w14:paraId="72FBC6DF" w14:textId="7FF4D5FB" w:rsidR="001E71F7" w:rsidRDefault="00A70077" w:rsidP="009503A2">
      <w:pPr>
        <w:spacing w:line="278" w:lineRule="auto"/>
        <w:ind w:firstLine="567"/>
        <w:jc w:val="both"/>
        <w:rPr>
          <w:rFonts w:eastAsia="Calibri"/>
          <w:lang w:eastAsia="en-US"/>
        </w:rPr>
      </w:pPr>
      <w:r>
        <w:rPr>
          <w:rFonts w:eastAsia="Calibri"/>
          <w:lang w:eastAsia="en-US"/>
        </w:rPr>
        <w:t>Tāpat jāņem vērā, ka</w:t>
      </w:r>
      <w:r w:rsidR="00BB369C">
        <w:rPr>
          <w:rFonts w:eastAsia="Calibri"/>
          <w:lang w:eastAsia="en-US"/>
        </w:rPr>
        <w:t xml:space="preserve"> likums jau paredz, ka</w:t>
      </w:r>
      <w:r w:rsidR="00D64E51" w:rsidRPr="00D64E51">
        <w:rPr>
          <w:rFonts w:eastAsia="Calibri"/>
          <w:lang w:eastAsia="en-US"/>
        </w:rPr>
        <w:t xml:space="preserve"> par ierobežojumu pārkāpšanu amatpersonu var sodīt gan administratīvi, gan krimināltiesiski. Senāts nesaska</w:t>
      </w:r>
      <w:r w:rsidR="00B26CCD">
        <w:rPr>
          <w:rFonts w:eastAsia="Calibri"/>
          <w:lang w:eastAsia="en-US"/>
        </w:rPr>
        <w:t>ta pamatu domāt, ka visi likumā</w:t>
      </w:r>
      <w:r w:rsidR="00D64E51" w:rsidRPr="00D64E51">
        <w:rPr>
          <w:rFonts w:eastAsia="Calibri"/>
          <w:lang w:eastAsia="en-US"/>
        </w:rPr>
        <w:t xml:space="preserve"> „Par interešu konflikta novēršanu valsts amatpersonu darbībā” paredzētie amatpersonas atbildības mehānismi ir vērsti tikai uz to, lai sodītu amatpersonu par ierobežojumu pārkāpšanu.</w:t>
      </w:r>
      <w:r w:rsidR="001E71F7">
        <w:rPr>
          <w:rFonts w:eastAsia="Calibri"/>
          <w:lang w:eastAsia="en-US"/>
        </w:rPr>
        <w:t xml:space="preserve"> </w:t>
      </w:r>
    </w:p>
    <w:p w14:paraId="6CD6D72B" w14:textId="77777777" w:rsidR="0089584F" w:rsidRDefault="0089584F" w:rsidP="009503A2">
      <w:pPr>
        <w:spacing w:line="278" w:lineRule="auto"/>
        <w:ind w:firstLine="567"/>
        <w:jc w:val="both"/>
        <w:rPr>
          <w:rFonts w:eastAsia="Calibri"/>
          <w:lang w:eastAsia="en-US"/>
        </w:rPr>
      </w:pPr>
    </w:p>
    <w:p w14:paraId="6E3262EB" w14:textId="55AB3E61" w:rsidR="00E87DF8" w:rsidRDefault="00F81568" w:rsidP="009503A2">
      <w:pPr>
        <w:spacing w:line="278" w:lineRule="auto"/>
        <w:ind w:firstLine="567"/>
        <w:jc w:val="both"/>
        <w:rPr>
          <w:rFonts w:eastAsia="Calibri"/>
          <w:lang w:eastAsia="en-US"/>
        </w:rPr>
      </w:pPr>
      <w:r>
        <w:rPr>
          <w:rFonts w:eastAsia="Calibri"/>
          <w:lang w:eastAsia="en-US"/>
        </w:rPr>
        <w:t>[10</w:t>
      </w:r>
      <w:r w:rsidR="00EA2A3D">
        <w:rPr>
          <w:rFonts w:eastAsia="Calibri"/>
          <w:lang w:eastAsia="en-US"/>
        </w:rPr>
        <w:t xml:space="preserve">] Apgabaltiesas ieskatā, </w:t>
      </w:r>
      <w:r w:rsidR="00E87DF8">
        <w:rPr>
          <w:rFonts w:eastAsia="Calibri"/>
          <w:lang w:eastAsia="en-US"/>
        </w:rPr>
        <w:t>l</w:t>
      </w:r>
      <w:r w:rsidR="00E87DF8" w:rsidRPr="00E87DF8">
        <w:rPr>
          <w:rFonts w:eastAsia="Calibri"/>
          <w:lang w:eastAsia="en-US"/>
        </w:rPr>
        <w:t xml:space="preserve">ikuma „Par interešu konflikta novēršanu valsts amatpersonu darbībā” </w:t>
      </w:r>
      <w:proofErr w:type="gramStart"/>
      <w:r w:rsidR="00E87DF8" w:rsidRPr="00E87DF8">
        <w:rPr>
          <w:rFonts w:eastAsia="Calibri"/>
          <w:lang w:eastAsia="en-US"/>
        </w:rPr>
        <w:t>30.panta</w:t>
      </w:r>
      <w:proofErr w:type="gramEnd"/>
      <w:r w:rsidR="00E87DF8">
        <w:rPr>
          <w:rFonts w:eastAsia="Calibri"/>
          <w:lang w:eastAsia="en-US"/>
        </w:rPr>
        <w:t xml:space="preserve"> regulējums, kurā noteikts</w:t>
      </w:r>
      <w:r w:rsidR="004E60D3">
        <w:rPr>
          <w:rFonts w:eastAsia="Calibri"/>
          <w:lang w:eastAsia="en-US"/>
        </w:rPr>
        <w:t>,</w:t>
      </w:r>
      <w:r w:rsidR="002452E3">
        <w:rPr>
          <w:rFonts w:eastAsia="Calibri"/>
          <w:lang w:eastAsia="en-US"/>
        </w:rPr>
        <w:t xml:space="preserve"> kā tiek novērtēts nodarītais kaitējums, atbilst regulējumam, kādu piemēro sodoša rakstura sankciju piemērošanas gadījumos.</w:t>
      </w:r>
    </w:p>
    <w:p w14:paraId="3B4C55FC" w14:textId="45BE7D15" w:rsidR="004D7D67" w:rsidRDefault="002452E3" w:rsidP="009503A2">
      <w:pPr>
        <w:spacing w:line="278" w:lineRule="auto"/>
        <w:ind w:firstLine="567"/>
        <w:jc w:val="both"/>
        <w:rPr>
          <w:rFonts w:eastAsia="Calibri"/>
          <w:lang w:eastAsia="en-US"/>
        </w:rPr>
      </w:pPr>
      <w:r w:rsidRPr="002452E3">
        <w:rPr>
          <w:rFonts w:eastAsia="Calibri"/>
          <w:lang w:eastAsia="en-US"/>
        </w:rPr>
        <w:t xml:space="preserve">Likuma „Par interešu konflikta novēršanu valsts amatpersonu darbībā” </w:t>
      </w:r>
      <w:proofErr w:type="gramStart"/>
      <w:r w:rsidR="00A00C5B">
        <w:rPr>
          <w:rFonts w:eastAsia="Calibri"/>
          <w:lang w:eastAsia="en-US"/>
        </w:rPr>
        <w:t>30.panta</w:t>
      </w:r>
      <w:proofErr w:type="gramEnd"/>
      <w:r w:rsidR="00A00C5B">
        <w:rPr>
          <w:rFonts w:eastAsia="Calibri"/>
          <w:lang w:eastAsia="en-US"/>
        </w:rPr>
        <w:t xml:space="preserve"> otrajā daļā</w:t>
      </w:r>
      <w:r w:rsidRPr="002452E3">
        <w:rPr>
          <w:rFonts w:eastAsia="Calibri"/>
          <w:lang w:eastAsia="en-US"/>
        </w:rPr>
        <w:t xml:space="preserve"> paredz</w:t>
      </w:r>
      <w:r w:rsidR="00A00C5B">
        <w:rPr>
          <w:rFonts w:eastAsia="Calibri"/>
          <w:lang w:eastAsia="en-US"/>
        </w:rPr>
        <w:t>ēts</w:t>
      </w:r>
      <w:r w:rsidRPr="002452E3">
        <w:rPr>
          <w:rFonts w:eastAsia="Calibri"/>
          <w:lang w:eastAsia="en-US"/>
        </w:rPr>
        <w:t>, ka</w:t>
      </w:r>
      <w:r w:rsidR="00A00C5B">
        <w:rPr>
          <w:rFonts w:eastAsia="Calibri"/>
          <w:lang w:eastAsia="en-US"/>
        </w:rPr>
        <w:t xml:space="preserve"> valsts pārvaldības kārtībai nodarītais kaitējums ir</w:t>
      </w:r>
      <w:r w:rsidR="00784502">
        <w:rPr>
          <w:rFonts w:eastAsia="Calibri"/>
          <w:lang w:eastAsia="en-US"/>
        </w:rPr>
        <w:t xml:space="preserve"> </w:t>
      </w:r>
      <w:r w:rsidR="00784502" w:rsidRPr="00784502">
        <w:rPr>
          <w:rFonts w:eastAsia="Calibri"/>
          <w:lang w:eastAsia="en-US"/>
        </w:rPr>
        <w:t>novērtējams mantiskā izteiksmē un ir proporcionāls aizliegtā veidā gūtu ienākumu, mantisko labumu un īpašuma vai mantas pieauguma vērtībai.</w:t>
      </w:r>
      <w:r w:rsidR="00784502">
        <w:rPr>
          <w:rFonts w:eastAsia="Calibri"/>
          <w:lang w:eastAsia="en-US"/>
        </w:rPr>
        <w:t xml:space="preserve"> </w:t>
      </w:r>
      <w:r w:rsidR="007D460C">
        <w:rPr>
          <w:rFonts w:eastAsia="Calibri"/>
          <w:lang w:eastAsia="en-US"/>
        </w:rPr>
        <w:t xml:space="preserve">Savukārt </w:t>
      </w:r>
      <w:r w:rsidRPr="002452E3">
        <w:rPr>
          <w:rFonts w:eastAsia="Calibri"/>
          <w:lang w:eastAsia="en-US"/>
        </w:rPr>
        <w:t xml:space="preserve">likuma </w:t>
      </w:r>
      <w:proofErr w:type="gramStart"/>
      <w:r w:rsidRPr="002452E3">
        <w:rPr>
          <w:rFonts w:eastAsia="Calibri"/>
          <w:lang w:eastAsia="en-US"/>
        </w:rPr>
        <w:t>30.panta</w:t>
      </w:r>
      <w:proofErr w:type="gramEnd"/>
      <w:r w:rsidRPr="002452E3">
        <w:rPr>
          <w:rFonts w:eastAsia="Calibri"/>
          <w:lang w:eastAsia="en-US"/>
        </w:rPr>
        <w:t xml:space="preserve"> 2.</w:t>
      </w:r>
      <w:r w:rsidR="007D460C">
        <w:rPr>
          <w:rFonts w:eastAsia="Calibri"/>
          <w:vertAlign w:val="superscript"/>
          <w:lang w:eastAsia="en-US"/>
        </w:rPr>
        <w:t>1</w:t>
      </w:r>
      <w:r w:rsidRPr="002452E3">
        <w:rPr>
          <w:rFonts w:eastAsia="Calibri"/>
          <w:lang w:eastAsia="en-US"/>
        </w:rPr>
        <w:t xml:space="preserve">daļa paredz, </w:t>
      </w:r>
      <w:r w:rsidR="004D7D67">
        <w:rPr>
          <w:rFonts w:eastAsia="Calibri"/>
          <w:lang w:eastAsia="en-US"/>
        </w:rPr>
        <w:t>ka v</w:t>
      </w:r>
      <w:r w:rsidR="004D7D67" w:rsidRPr="004D7D67">
        <w:rPr>
          <w:rFonts w:eastAsia="Calibri"/>
          <w:lang w:eastAsia="en-US"/>
        </w:rPr>
        <w:t>alsts amatpersonu pilnībā vai daļēji atbrīvo no to ienākumu un mantisko labumu atmaksas, kuri gūti, pārkāpjot šajā likumā noteiktos ierobežojumus, ja pienākums atmaksāt ienākumus un mantiskos labumus nav samērīgs ar administratīvā pārkāpuma rezultātā radīto kaitējumu valsts pārvaldes kārtībai.</w:t>
      </w:r>
    </w:p>
    <w:p w14:paraId="42D12E8D" w14:textId="5F30D63D" w:rsidR="009B7701" w:rsidRDefault="009B7701" w:rsidP="009503A2">
      <w:pPr>
        <w:spacing w:line="278" w:lineRule="auto"/>
        <w:ind w:firstLine="567"/>
        <w:jc w:val="both"/>
      </w:pPr>
      <w:r w:rsidRPr="009B7701">
        <w:lastRenderedPageBreak/>
        <w:t>Kaitējuma (atšķirībā no mantiska zaudējuma) atlīdzinājuma apmērs parasti tiek prezumēts kā taisnīga (atbilstoša) kompensācija, tā kā atšķirībā no mantiskiem zaudējumiem to nevar aprēķin</w:t>
      </w:r>
      <w:r>
        <w:t>āt pēc objektīviem kritērijiem (</w:t>
      </w:r>
      <w:bookmarkStart w:id="3" w:name="_Hlk52278634"/>
      <w:r>
        <w:rPr>
          <w:i/>
        </w:rPr>
        <w:t xml:space="preserve">Senāta </w:t>
      </w:r>
      <w:proofErr w:type="gramStart"/>
      <w:r w:rsidRPr="009B7701">
        <w:rPr>
          <w:i/>
        </w:rPr>
        <w:t>2011.gada</w:t>
      </w:r>
      <w:proofErr w:type="gramEnd"/>
      <w:r w:rsidRPr="009B7701">
        <w:rPr>
          <w:i/>
        </w:rPr>
        <w:t xml:space="preserve"> 22.septembra sprieduma lietā Nr. SKA</w:t>
      </w:r>
      <w:r w:rsidRPr="009B7701">
        <w:rPr>
          <w:i/>
        </w:rPr>
        <w:noBreakHyphen/>
        <w:t>311/2011 (A</w:t>
      </w:r>
      <w:r>
        <w:rPr>
          <w:i/>
        </w:rPr>
        <w:t>42539007)</w:t>
      </w:r>
      <w:bookmarkEnd w:id="3"/>
      <w:r>
        <w:rPr>
          <w:i/>
        </w:rPr>
        <w:t xml:space="preserve"> 14</w:t>
      </w:r>
      <w:r w:rsidRPr="009B7701">
        <w:rPr>
          <w:i/>
        </w:rPr>
        <w:t>.punkts</w:t>
      </w:r>
      <w:r>
        <w:t>).</w:t>
      </w:r>
      <w:r w:rsidR="00784502">
        <w:t xml:space="preserve"> Tādējādi likumā ir </w:t>
      </w:r>
      <w:r w:rsidR="007D460C">
        <w:t>paredzēts</w:t>
      </w:r>
      <w:r w:rsidR="00784502">
        <w:t xml:space="preserve"> </w:t>
      </w:r>
      <w:r w:rsidR="00D7215B">
        <w:t>mehānisms</w:t>
      </w:r>
      <w:r w:rsidR="00CB6B07">
        <w:t>,</w:t>
      </w:r>
      <w:r w:rsidR="00D7215B">
        <w:t xml:space="preserve"> </w:t>
      </w:r>
      <w:r w:rsidR="00784502">
        <w:t xml:space="preserve">kā novērtēt valsts pārvaldības kārtībai nodarīto kaitējumu, ņemot vērā, ka tas ne vienmēr ir </w:t>
      </w:r>
      <w:r w:rsidR="00C12ECB">
        <w:t>mantisks zaudējums</w:t>
      </w:r>
      <w:r w:rsidR="004D7D67">
        <w:t xml:space="preserve">. Šāda kārtība </w:t>
      </w:r>
      <w:r w:rsidR="007D460C">
        <w:t xml:space="preserve">pati par sevi </w:t>
      </w:r>
      <w:r w:rsidR="004D7D67">
        <w:t>neliecina par atlīdzinājuma sodošo raksturu.</w:t>
      </w:r>
    </w:p>
    <w:p w14:paraId="1FB873A4" w14:textId="332C9308" w:rsidR="00B24EA4" w:rsidRDefault="00B24EA4" w:rsidP="009503A2">
      <w:pPr>
        <w:spacing w:line="278" w:lineRule="auto"/>
        <w:ind w:firstLine="567"/>
        <w:jc w:val="both"/>
      </w:pPr>
      <w:r>
        <w:t xml:space="preserve">Par </w:t>
      </w:r>
      <w:r w:rsidR="007D460C">
        <w:t>atlīdzinājuma sodošo raksturu</w:t>
      </w:r>
      <w:r>
        <w:t xml:space="preserve"> neliecina arī nepieciešamība vērtēt nodarītā pārkāpuma raksturu un pienākuma samērīgumu ar pārkāpuma raksturu.</w:t>
      </w:r>
      <w:r w:rsidR="002A330A">
        <w:t xml:space="preserve"> N</w:t>
      </w:r>
      <w:r w:rsidR="00C22F3E">
        <w:t>osakot valstij nodarītā kaitējuma</w:t>
      </w:r>
      <w:r w:rsidR="002A330A">
        <w:t xml:space="preserve"> apmēru, ir jāņem vērā tas, cik nozīmīgs ir valsts pārvaldes kārtībai nodarītais kaitējums</w:t>
      </w:r>
      <w:r w:rsidR="00D71D9D">
        <w:t xml:space="preserve"> un tās interešu aizskārums.</w:t>
      </w:r>
      <w:r w:rsidR="0054076E">
        <w:t xml:space="preserve"> Šāda kārtība ir raksturīga nemantiskā kaitējuma apmēra noteikšanai. L</w:t>
      </w:r>
      <w:r w:rsidR="00973451">
        <w:t>īdzīgi kā</w:t>
      </w:r>
      <w:r w:rsidR="0054076E">
        <w:t xml:space="preserve">, piemēram, </w:t>
      </w:r>
      <w:r w:rsidR="00C22F3E">
        <w:t xml:space="preserve">Valsts pārvaldes iestāžu nodarīto zaudējumu atlīdzināšanas likuma </w:t>
      </w:r>
      <w:proofErr w:type="gramStart"/>
      <w:r w:rsidR="00C22F3E">
        <w:t>14.pantā</w:t>
      </w:r>
      <w:proofErr w:type="gramEnd"/>
      <w:r w:rsidR="00C22F3E">
        <w:t xml:space="preserve"> noteikts, ka n</w:t>
      </w:r>
      <w:r w:rsidR="00C22F3E" w:rsidRPr="00C22F3E">
        <w:t>emantiskā kaitējuma atlīdzinājumu nosaka atbilstoši aizskarto tiesību un ar likumu aizsargāto interešu nozīmīgumam un konkrētā aizskāruma smagumam</w:t>
      </w:r>
      <w:r w:rsidR="00C22F3E">
        <w:t>.</w:t>
      </w:r>
    </w:p>
    <w:p w14:paraId="494F92B6" w14:textId="77777777" w:rsidR="00FA7164" w:rsidRDefault="00FA7164" w:rsidP="009503A2">
      <w:pPr>
        <w:spacing w:line="278" w:lineRule="auto"/>
        <w:jc w:val="both"/>
      </w:pPr>
    </w:p>
    <w:p w14:paraId="0CBC308E" w14:textId="78F3DEA8" w:rsidR="00FA7164" w:rsidRDefault="00F81568" w:rsidP="009503A2">
      <w:pPr>
        <w:spacing w:line="278" w:lineRule="auto"/>
        <w:ind w:firstLine="567"/>
        <w:jc w:val="both"/>
      </w:pPr>
      <w:r>
        <w:t>[11</w:t>
      </w:r>
      <w:r w:rsidR="00FA7164">
        <w:t>] Ievērojot minēto, Senāts atzīst, ka apgabalt</w:t>
      </w:r>
      <w:r w:rsidR="0054076E">
        <w:t xml:space="preserve">iesa nepareizi konstatējusi </w:t>
      </w:r>
      <w:r w:rsidR="00FA7164">
        <w:t xml:space="preserve">likuma </w:t>
      </w:r>
      <w:r w:rsidR="00FA7164" w:rsidRPr="00FA7164">
        <w:t>„Par interešu konflikta novēršanu valsts amatpersonu darbībā”</w:t>
      </w:r>
      <w:r w:rsidR="00FA7164">
        <w:t xml:space="preserve"> </w:t>
      </w:r>
      <w:proofErr w:type="gramStart"/>
      <w:r w:rsidR="00FA7164">
        <w:t>30.pantā</w:t>
      </w:r>
      <w:proofErr w:type="gramEnd"/>
      <w:r w:rsidR="00FA7164">
        <w:t xml:space="preserve"> noteiktā kaitējuma atlīdzinājuma raksturu. Šāds maksājums, ņemot vērā tā kompensējošo mērķi, nav uzskatāms par sodoša rakstura maksājumu. </w:t>
      </w:r>
    </w:p>
    <w:p w14:paraId="79F498F8" w14:textId="77777777" w:rsidR="00A70077" w:rsidRDefault="00A70077" w:rsidP="009503A2">
      <w:pPr>
        <w:spacing w:line="278" w:lineRule="auto"/>
        <w:ind w:firstLine="567"/>
        <w:jc w:val="both"/>
      </w:pPr>
    </w:p>
    <w:p w14:paraId="379D5C3A" w14:textId="4501CD90" w:rsidR="00A70077" w:rsidRDefault="00F81568" w:rsidP="009503A2">
      <w:pPr>
        <w:spacing w:line="278" w:lineRule="auto"/>
        <w:ind w:firstLine="567"/>
        <w:jc w:val="both"/>
      </w:pPr>
      <w:r>
        <w:t>[12</w:t>
      </w:r>
      <w:r w:rsidR="00A70077">
        <w:t>] Tomēr, lai noteiktu, vai administratīvā akta darbība tiek apturēta uz lik</w:t>
      </w:r>
      <w:r w:rsidR="00B10D90">
        <w:t>um</w:t>
      </w:r>
      <w:r w:rsidR="00A70077">
        <w:t xml:space="preserve">a pamata ar pieteikuma iesniegšanu tiesā, jāņem vērā arī Administratīvā procesa likuma </w:t>
      </w:r>
      <w:proofErr w:type="gramStart"/>
      <w:r w:rsidR="00A70077">
        <w:t>185.panta</w:t>
      </w:r>
      <w:proofErr w:type="gramEnd"/>
      <w:r w:rsidR="00A70077">
        <w:t xml:space="preserve"> </w:t>
      </w:r>
      <w:r w:rsidR="0062654A">
        <w:t xml:space="preserve">ceturtās daļas 1.punkta </w:t>
      </w:r>
      <w:r w:rsidR="00A70077">
        <w:t>mērķis.</w:t>
      </w:r>
    </w:p>
    <w:p w14:paraId="47FD5B6D" w14:textId="192FB65E" w:rsidR="00B10D90" w:rsidRDefault="00B10D90" w:rsidP="009503A2">
      <w:pPr>
        <w:spacing w:line="278" w:lineRule="auto"/>
        <w:ind w:firstLine="567"/>
        <w:jc w:val="both"/>
      </w:pPr>
      <w:r>
        <w:t xml:space="preserve">Administratīvā akta darbība netiek apturēta, ja </w:t>
      </w:r>
      <w:r w:rsidRPr="00B10D90">
        <w:t>administratīvais akts uzliek pienākumu samaksāt nodokli, nodevu vai veikt citu maksājumu valsts vai pašvaldības budžetā</w:t>
      </w:r>
      <w:r w:rsidR="00870C59">
        <w:t xml:space="preserve">. </w:t>
      </w:r>
    </w:p>
    <w:p w14:paraId="12BC97B9" w14:textId="18A8E036" w:rsidR="008063E2" w:rsidRDefault="00863B24" w:rsidP="009503A2">
      <w:pPr>
        <w:spacing w:line="278" w:lineRule="auto"/>
        <w:ind w:firstLine="567"/>
        <w:jc w:val="both"/>
      </w:pPr>
      <w:r>
        <w:t>Tulkojot normu gramatiski, varētu šķist, ka jēdziens „cits maksājums valsts budžetā” aptver jebkuru maksājumu, kas ir ieskaitāms valsts budžetā.</w:t>
      </w:r>
      <w:r w:rsidR="008063E2">
        <w:t xml:space="preserve"> Tomēr </w:t>
      </w:r>
      <w:r w:rsidR="00E977CC">
        <w:t>šīs normas mērķis</w:t>
      </w:r>
      <w:r w:rsidR="00AB4924">
        <w:t xml:space="preserve"> ir</w:t>
      </w:r>
      <w:r w:rsidR="00E977CC">
        <w:t xml:space="preserve"> noteikt to, ka netiek apturēta tādu lēmumu darbība, kuros</w:t>
      </w:r>
      <w:r w:rsidR="00AB4924">
        <w:t xml:space="preserve"> būtiskas ir</w:t>
      </w:r>
      <w:r w:rsidR="00E977CC">
        <w:t xml:space="preserve"> valsts finansiālās intereses</w:t>
      </w:r>
      <w:r w:rsidR="003921C1">
        <w:t>. Būtiskas valsts finansiālās intereses ir attaisnojamas, piemēram, tad, ja valsts budžeta ienākumi, kuri nepiecie</w:t>
      </w:r>
      <w:r w:rsidR="00B219E0">
        <w:t>šami valsts bu</w:t>
      </w:r>
      <w:r w:rsidR="003921C1">
        <w:t>džeta funkciju pildīšanai, ir plānoti</w:t>
      </w:r>
      <w:r w:rsidR="00134208">
        <w:t xml:space="preserve"> (sal. </w:t>
      </w:r>
      <w:bookmarkStart w:id="4" w:name="_Hlk52278629"/>
      <w:r w:rsidR="00134208">
        <w:rPr>
          <w:i/>
        </w:rPr>
        <w:t>Sen</w:t>
      </w:r>
      <w:r w:rsidR="00C30059">
        <w:rPr>
          <w:i/>
        </w:rPr>
        <w:t xml:space="preserve">āta </w:t>
      </w:r>
      <w:proofErr w:type="gramStart"/>
      <w:r w:rsidR="00C30059">
        <w:rPr>
          <w:i/>
        </w:rPr>
        <w:t>2007.gada</w:t>
      </w:r>
      <w:proofErr w:type="gramEnd"/>
      <w:r w:rsidR="00C30059">
        <w:rPr>
          <w:i/>
        </w:rPr>
        <w:t xml:space="preserve"> 20.decembra lēmuma</w:t>
      </w:r>
      <w:r w:rsidR="00134208">
        <w:rPr>
          <w:i/>
        </w:rPr>
        <w:t xml:space="preserve"> lietā Nr. SKA-715/2007 (A42168405) </w:t>
      </w:r>
      <w:bookmarkEnd w:id="4"/>
      <w:r w:rsidR="00134208">
        <w:rPr>
          <w:i/>
        </w:rPr>
        <w:t>10.punkts</w:t>
      </w:r>
      <w:r w:rsidR="00134208">
        <w:t>).</w:t>
      </w:r>
    </w:p>
    <w:p w14:paraId="455F87AA" w14:textId="7FB5FE2C" w:rsidR="00E63B62" w:rsidRDefault="00B219E0" w:rsidP="009503A2">
      <w:pPr>
        <w:spacing w:line="278" w:lineRule="auto"/>
        <w:ind w:firstLine="567"/>
        <w:jc w:val="both"/>
      </w:pPr>
      <w:r>
        <w:t>Kaitējuma atlīdzinājums, lai gan</w:t>
      </w:r>
      <w:r w:rsidR="00E63B62">
        <w:t xml:space="preserve"> tiek ieskaitīts valsts budžetā un tādējādi ir</w:t>
      </w:r>
      <w:r>
        <w:t xml:space="preserve"> saistīts ar valsts finansiālām interesēm, nav </w:t>
      </w:r>
      <w:r w:rsidR="00876E2E">
        <w:t xml:space="preserve">uzskatāms par </w:t>
      </w:r>
      <w:r>
        <w:t>pl</w:t>
      </w:r>
      <w:r w:rsidR="00876E2E">
        <w:t>ānotu</w:t>
      </w:r>
      <w:r w:rsidR="00E63B62">
        <w:t xml:space="preserve"> maks</w:t>
      </w:r>
      <w:r w:rsidR="00876E2E">
        <w:t xml:space="preserve">ājumu. </w:t>
      </w:r>
      <w:r w:rsidR="006829F0">
        <w:t xml:space="preserve">Atlīdzinājums </w:t>
      </w:r>
      <w:r w:rsidR="00876E2E">
        <w:t xml:space="preserve">ir papildu </w:t>
      </w:r>
      <w:r w:rsidR="00DD0AF4">
        <w:t>ienākums</w:t>
      </w:r>
      <w:r w:rsidR="00876E2E">
        <w:t xml:space="preserve">, </w:t>
      </w:r>
      <w:r w:rsidR="00F53619">
        <w:t xml:space="preserve">bet ne ienākumu avots, ar kuru valsts var rēķināties. </w:t>
      </w:r>
      <w:r w:rsidR="00E63B62">
        <w:t xml:space="preserve">Turklāt kaitējuma </w:t>
      </w:r>
      <w:r w:rsidR="006829F0">
        <w:t xml:space="preserve">atlīdzinājums </w:t>
      </w:r>
      <w:r w:rsidR="00F53619">
        <w:t>tiek maksāt</w:t>
      </w:r>
      <w:r w:rsidR="006829F0">
        <w:t>s</w:t>
      </w:r>
      <w:r w:rsidR="00F53619">
        <w:t xml:space="preserve"> par prezumēto kaitējumu, nevis reāli nodarītiem mantiskajiem zaudējumiem</w:t>
      </w:r>
      <w:r w:rsidR="00DD0AF4">
        <w:t>, kuru novēršanai būtu nepieciešams tūlītējs maksājums valsts budžetā</w:t>
      </w:r>
      <w:r w:rsidR="00F53619">
        <w:t>.</w:t>
      </w:r>
      <w:r w:rsidR="00B525EC">
        <w:t xml:space="preserve"> Līdz ar to šajā gadījumā nav pamata valsts finansiālās intereses vērtēt </w:t>
      </w:r>
      <w:proofErr w:type="gramStart"/>
      <w:r w:rsidR="00B525EC">
        <w:t>augstāk kā</w:t>
      </w:r>
      <w:proofErr w:type="gramEnd"/>
      <w:r w:rsidR="00B525EC">
        <w:t xml:space="preserve"> privātpersonas intereses.</w:t>
      </w:r>
    </w:p>
    <w:p w14:paraId="40010758" w14:textId="4D5C8B0E" w:rsidR="00F53619" w:rsidRDefault="00F53619" w:rsidP="009503A2">
      <w:pPr>
        <w:spacing w:line="278" w:lineRule="auto"/>
        <w:ind w:firstLine="567"/>
        <w:jc w:val="both"/>
      </w:pPr>
      <w:r>
        <w:t>Senāts atzīst, ka kaitējuma</w:t>
      </w:r>
      <w:r w:rsidR="00057079">
        <w:t>, kas nodarīts, pārkāpjot amatpersonai noteiktos ierobežojumus</w:t>
      </w:r>
      <w:r w:rsidR="00EF754E">
        <w:t>, atlīdzinājums nav uzskatāms par tādu maksājumu valsts budžetā, kas attaisnotu būtiskas valsts finansiālās intereses</w:t>
      </w:r>
      <w:r w:rsidR="008E3F2B">
        <w:t>. Šādā gadījumā privātpersonas interesēm ir dodama priekšroka.</w:t>
      </w:r>
    </w:p>
    <w:p w14:paraId="75CB0716" w14:textId="33B8E3DB" w:rsidR="00D71D9D" w:rsidRDefault="00B525EC" w:rsidP="009503A2">
      <w:pPr>
        <w:spacing w:line="278" w:lineRule="auto"/>
        <w:ind w:firstLine="567"/>
        <w:jc w:val="both"/>
      </w:pPr>
      <w:r>
        <w:t xml:space="preserve">Tādējādi </w:t>
      </w:r>
      <w:r w:rsidRPr="00B525EC">
        <w:t>kaitējuma, kas nodarīts, pārkāpjot amatpersonai noteiktos ierobežojumus,</w:t>
      </w:r>
      <w:r>
        <w:t xml:space="preserve"> atlīdzinājums nav uzskatāms par Administratīvā procesa likuma </w:t>
      </w:r>
      <w:proofErr w:type="gramStart"/>
      <w:r>
        <w:t>185.panta</w:t>
      </w:r>
      <w:proofErr w:type="gramEnd"/>
      <w:r>
        <w:t xml:space="preserve"> ceturtās daļas 1.punktā paredzēto maksājumu valsts budžetā. L</w:t>
      </w:r>
      <w:r w:rsidR="00E55DE8">
        <w:t>ēmuma</w:t>
      </w:r>
      <w:r>
        <w:t xml:space="preserve">, ar kuru pieteicējam uzlikts pienākums atlīdzināt valstij nodarītos zaudējumus, </w:t>
      </w:r>
      <w:r w:rsidR="00E55DE8">
        <w:t>darbība ir apturēta uz likuma pamata ar pieteikuma iesniegšanu tiesā.</w:t>
      </w:r>
    </w:p>
    <w:p w14:paraId="570A1B0E" w14:textId="39BCC167" w:rsidR="00C43D9B" w:rsidRDefault="00C43D9B" w:rsidP="009503A2">
      <w:pPr>
        <w:spacing w:line="278" w:lineRule="auto"/>
        <w:ind w:firstLine="567"/>
        <w:jc w:val="both"/>
      </w:pPr>
    </w:p>
    <w:p w14:paraId="195453AD" w14:textId="0A57E193" w:rsidR="00C43D9B" w:rsidRDefault="00F81568" w:rsidP="009503A2">
      <w:pPr>
        <w:spacing w:line="278" w:lineRule="auto"/>
        <w:ind w:firstLine="567"/>
        <w:jc w:val="both"/>
      </w:pPr>
      <w:r>
        <w:t>[13</w:t>
      </w:r>
      <w:r w:rsidR="00C43D9B">
        <w:t xml:space="preserve">] Lai arī apgabaltiesas lēmums </w:t>
      </w:r>
      <w:proofErr w:type="spellStart"/>
      <w:r w:rsidR="00C43D9B">
        <w:t>balsīts</w:t>
      </w:r>
      <w:proofErr w:type="spellEnd"/>
      <w:r w:rsidR="00C43D9B">
        <w:t xml:space="preserve"> uz citiem apsvērumiem</w:t>
      </w:r>
      <w:proofErr w:type="gramStart"/>
      <w:r w:rsidR="00C43D9B">
        <w:t>, tas</w:t>
      </w:r>
      <w:proofErr w:type="gramEnd"/>
      <w:r w:rsidR="00C43D9B">
        <w:t xml:space="preserve"> nav atceļams, jo arī Senāts nonāca pie secinājuma, ka pārsūdzētā iestādes lēmuma darbība ar pieteikuma iesniegšanu tiesā ir apturēta uz likuma pamata.</w:t>
      </w:r>
    </w:p>
    <w:p w14:paraId="6195C08F" w14:textId="77777777" w:rsidR="00E55DE8" w:rsidRDefault="00E55DE8" w:rsidP="009503A2">
      <w:pPr>
        <w:spacing w:before="80" w:line="278" w:lineRule="auto"/>
        <w:ind w:firstLine="567"/>
        <w:jc w:val="center"/>
        <w:rPr>
          <w:b/>
        </w:rPr>
      </w:pPr>
    </w:p>
    <w:p w14:paraId="08DBD566" w14:textId="0AB4E871" w:rsidR="00D71D9D" w:rsidRDefault="00D71D9D" w:rsidP="009503A2">
      <w:pPr>
        <w:spacing w:line="278" w:lineRule="auto"/>
        <w:ind w:firstLine="567"/>
        <w:jc w:val="center"/>
        <w:rPr>
          <w:b/>
        </w:rPr>
      </w:pPr>
      <w:r>
        <w:rPr>
          <w:b/>
        </w:rPr>
        <w:t>Rezolutīvā daļa</w:t>
      </w:r>
    </w:p>
    <w:p w14:paraId="3CEDD298" w14:textId="77777777" w:rsidR="00D71D9D" w:rsidRDefault="00D71D9D" w:rsidP="009503A2">
      <w:pPr>
        <w:spacing w:before="80" w:line="278" w:lineRule="auto"/>
        <w:ind w:firstLine="567"/>
        <w:jc w:val="center"/>
        <w:rPr>
          <w:b/>
        </w:rPr>
      </w:pPr>
    </w:p>
    <w:p w14:paraId="65E37E61" w14:textId="7AEF9CE1" w:rsidR="00D71D9D" w:rsidRPr="00D71D9D" w:rsidRDefault="00D71D9D" w:rsidP="009503A2">
      <w:pPr>
        <w:spacing w:line="278" w:lineRule="auto"/>
        <w:ind w:firstLine="567"/>
        <w:jc w:val="both"/>
      </w:pPr>
      <w:r w:rsidRPr="00D71D9D">
        <w:t>Pamatojoties uz Administratīvā procesa</w:t>
      </w:r>
      <w:r w:rsidR="00E55DE8">
        <w:t xml:space="preserve"> likuma </w:t>
      </w:r>
      <w:proofErr w:type="gramStart"/>
      <w:r w:rsidR="00E55DE8">
        <w:t>323.panta</w:t>
      </w:r>
      <w:proofErr w:type="gramEnd"/>
      <w:r w:rsidR="00E55DE8">
        <w:t xml:space="preserve"> pirmās daļas 1</w:t>
      </w:r>
      <w:r w:rsidRPr="00D71D9D">
        <w:t>.punktu un 324.panta pirmo daļu, Senāts</w:t>
      </w:r>
    </w:p>
    <w:p w14:paraId="18333F4E" w14:textId="77777777" w:rsidR="008F20EC" w:rsidRDefault="008F20EC" w:rsidP="009503A2">
      <w:pPr>
        <w:spacing w:line="278" w:lineRule="auto"/>
        <w:rPr>
          <w:b/>
        </w:rPr>
      </w:pPr>
    </w:p>
    <w:p w14:paraId="6374464C" w14:textId="781FCA44" w:rsidR="00D71D9D" w:rsidRDefault="00781772" w:rsidP="009503A2">
      <w:pPr>
        <w:spacing w:line="278" w:lineRule="auto"/>
        <w:ind w:firstLine="567"/>
        <w:jc w:val="center"/>
        <w:rPr>
          <w:b/>
        </w:rPr>
      </w:pPr>
      <w:r>
        <w:rPr>
          <w:b/>
        </w:rPr>
        <w:t>n</w:t>
      </w:r>
      <w:r w:rsidR="00D71D9D">
        <w:rPr>
          <w:b/>
        </w:rPr>
        <w:t>olēma</w:t>
      </w:r>
    </w:p>
    <w:p w14:paraId="378DE2F0" w14:textId="77777777" w:rsidR="00D71D9D" w:rsidRDefault="00D71D9D" w:rsidP="009503A2">
      <w:pPr>
        <w:spacing w:line="278" w:lineRule="auto"/>
        <w:ind w:firstLine="567"/>
        <w:jc w:val="center"/>
        <w:rPr>
          <w:b/>
        </w:rPr>
      </w:pPr>
    </w:p>
    <w:p w14:paraId="56F4E0CF" w14:textId="685A0189" w:rsidR="008F20EC" w:rsidRDefault="00E55DE8" w:rsidP="009503A2">
      <w:pPr>
        <w:spacing w:line="278" w:lineRule="auto"/>
        <w:ind w:firstLine="567"/>
        <w:jc w:val="both"/>
      </w:pPr>
      <w:r>
        <w:t>atstāt negrozītu</w:t>
      </w:r>
      <w:r w:rsidR="00D71D9D">
        <w:t xml:space="preserve"> Administratīvās apgabaltiesas </w:t>
      </w:r>
      <w:proofErr w:type="gramStart"/>
      <w:r w:rsidR="00D71D9D">
        <w:t>2020.gada</w:t>
      </w:r>
      <w:proofErr w:type="gramEnd"/>
      <w:r w:rsidR="00D71D9D">
        <w:t xml:space="preserve"> 12.augusta lēmumu</w:t>
      </w:r>
      <w:r>
        <w:t>, bet Korupcijas novēršanas un apkarošanas biroja blakus sūdzību noraidīt.</w:t>
      </w:r>
    </w:p>
    <w:p w14:paraId="07B5A96B" w14:textId="1918862A" w:rsidR="00220146" w:rsidRPr="00EA2E1B" w:rsidRDefault="00D71D9D" w:rsidP="00EA2E1B">
      <w:pPr>
        <w:spacing w:line="278" w:lineRule="auto"/>
        <w:ind w:firstLine="567"/>
        <w:jc w:val="both"/>
      </w:pPr>
      <w:r>
        <w:t>Lēmums nav pārsūdzams.</w:t>
      </w:r>
    </w:p>
    <w:sectPr w:rsidR="00220146" w:rsidRPr="00EA2E1B" w:rsidSect="008F20EC">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65AE5B" w14:textId="77777777" w:rsidR="00BE72D8" w:rsidRDefault="00BE72D8" w:rsidP="00E12AD0">
      <w:r>
        <w:separator/>
      </w:r>
    </w:p>
  </w:endnote>
  <w:endnote w:type="continuationSeparator" w:id="0">
    <w:p w14:paraId="7C81F339" w14:textId="77777777" w:rsidR="00BE72D8" w:rsidRDefault="00BE72D8" w:rsidP="00E12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277290"/>
      <w:docPartObj>
        <w:docPartGallery w:val="Page Numbers (Bottom of Page)"/>
        <w:docPartUnique/>
      </w:docPartObj>
    </w:sdtPr>
    <w:sdtEndPr/>
    <w:sdtContent>
      <w:sdt>
        <w:sdtPr>
          <w:id w:val="1728636285"/>
          <w:docPartObj>
            <w:docPartGallery w:val="Page Numbers (Top of Page)"/>
            <w:docPartUnique/>
          </w:docPartObj>
        </w:sdtPr>
        <w:sdtEndPr/>
        <w:sdtContent>
          <w:p w14:paraId="1E658A65" w14:textId="37BE588E" w:rsidR="002370DD" w:rsidRDefault="002370DD">
            <w:pPr>
              <w:pStyle w:val="Footer"/>
              <w:jc w:val="center"/>
            </w:pPr>
            <w:r w:rsidRPr="002370DD">
              <w:rPr>
                <w:bCs/>
              </w:rPr>
              <w:fldChar w:fldCharType="begin"/>
            </w:r>
            <w:r w:rsidRPr="002370DD">
              <w:rPr>
                <w:bCs/>
              </w:rPr>
              <w:instrText xml:space="preserve"> PAGE </w:instrText>
            </w:r>
            <w:r w:rsidRPr="002370DD">
              <w:rPr>
                <w:bCs/>
              </w:rPr>
              <w:fldChar w:fldCharType="separate"/>
            </w:r>
            <w:r w:rsidR="00FD3180">
              <w:rPr>
                <w:bCs/>
                <w:noProof/>
              </w:rPr>
              <w:t>4</w:t>
            </w:r>
            <w:r w:rsidRPr="002370DD">
              <w:rPr>
                <w:bCs/>
              </w:rPr>
              <w:fldChar w:fldCharType="end"/>
            </w:r>
            <w:r w:rsidRPr="002370DD">
              <w:t xml:space="preserve"> no </w:t>
            </w:r>
            <w:r w:rsidRPr="002370DD">
              <w:rPr>
                <w:bCs/>
              </w:rPr>
              <w:fldChar w:fldCharType="begin"/>
            </w:r>
            <w:r w:rsidRPr="002370DD">
              <w:rPr>
                <w:bCs/>
              </w:rPr>
              <w:instrText xml:space="preserve"> NUMPAGES  </w:instrText>
            </w:r>
            <w:r w:rsidRPr="002370DD">
              <w:rPr>
                <w:bCs/>
              </w:rPr>
              <w:fldChar w:fldCharType="separate"/>
            </w:r>
            <w:r w:rsidR="00FD3180">
              <w:rPr>
                <w:bCs/>
                <w:noProof/>
              </w:rPr>
              <w:t>6</w:t>
            </w:r>
            <w:r w:rsidRPr="002370DD">
              <w:rPr>
                <w:bCs/>
              </w:rPr>
              <w:fldChar w:fldCharType="end"/>
            </w:r>
          </w:p>
        </w:sdtContent>
      </w:sdt>
    </w:sdtContent>
  </w:sdt>
  <w:p w14:paraId="0CAE2AF6" w14:textId="77777777" w:rsidR="002370DD" w:rsidRDefault="00237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D29FF" w14:textId="77777777" w:rsidR="00BE72D8" w:rsidRDefault="00BE72D8" w:rsidP="00E12AD0">
      <w:r>
        <w:separator/>
      </w:r>
    </w:p>
  </w:footnote>
  <w:footnote w:type="continuationSeparator" w:id="0">
    <w:p w14:paraId="683ADDB9" w14:textId="77777777" w:rsidR="00BE72D8" w:rsidRDefault="00BE72D8" w:rsidP="00E12A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43E"/>
    <w:rsid w:val="000153FB"/>
    <w:rsid w:val="00030E9A"/>
    <w:rsid w:val="00032B5E"/>
    <w:rsid w:val="00057079"/>
    <w:rsid w:val="00074426"/>
    <w:rsid w:val="00082DED"/>
    <w:rsid w:val="000A7919"/>
    <w:rsid w:val="000D743E"/>
    <w:rsid w:val="000E167C"/>
    <w:rsid w:val="000E2F2D"/>
    <w:rsid w:val="000F7D83"/>
    <w:rsid w:val="00117CB3"/>
    <w:rsid w:val="00124643"/>
    <w:rsid w:val="001339DF"/>
    <w:rsid w:val="00134208"/>
    <w:rsid w:val="00165D59"/>
    <w:rsid w:val="0016754C"/>
    <w:rsid w:val="00171640"/>
    <w:rsid w:val="00194998"/>
    <w:rsid w:val="001B44E4"/>
    <w:rsid w:val="001B6A58"/>
    <w:rsid w:val="001C4E21"/>
    <w:rsid w:val="001D4922"/>
    <w:rsid w:val="001E52A1"/>
    <w:rsid w:val="001E71F7"/>
    <w:rsid w:val="001E73C8"/>
    <w:rsid w:val="00200E74"/>
    <w:rsid w:val="00202004"/>
    <w:rsid w:val="00203762"/>
    <w:rsid w:val="00220146"/>
    <w:rsid w:val="002370DD"/>
    <w:rsid w:val="002452E3"/>
    <w:rsid w:val="00291A31"/>
    <w:rsid w:val="002A330A"/>
    <w:rsid w:val="002A64BF"/>
    <w:rsid w:val="002A6CD0"/>
    <w:rsid w:val="002E0B28"/>
    <w:rsid w:val="00323A88"/>
    <w:rsid w:val="00334763"/>
    <w:rsid w:val="003921C1"/>
    <w:rsid w:val="003954C0"/>
    <w:rsid w:val="003B1394"/>
    <w:rsid w:val="003C09C0"/>
    <w:rsid w:val="003E37B3"/>
    <w:rsid w:val="003E60E2"/>
    <w:rsid w:val="003F4F59"/>
    <w:rsid w:val="00437CAB"/>
    <w:rsid w:val="004427E8"/>
    <w:rsid w:val="0045055A"/>
    <w:rsid w:val="004549F3"/>
    <w:rsid w:val="00466620"/>
    <w:rsid w:val="004C16F5"/>
    <w:rsid w:val="004C3044"/>
    <w:rsid w:val="004C4C26"/>
    <w:rsid w:val="004C69C6"/>
    <w:rsid w:val="004D7D67"/>
    <w:rsid w:val="004E60D3"/>
    <w:rsid w:val="004E6ADE"/>
    <w:rsid w:val="004F0FCB"/>
    <w:rsid w:val="004F41FE"/>
    <w:rsid w:val="00502995"/>
    <w:rsid w:val="0053011C"/>
    <w:rsid w:val="0054076E"/>
    <w:rsid w:val="00550794"/>
    <w:rsid w:val="005521DF"/>
    <w:rsid w:val="00570D78"/>
    <w:rsid w:val="00577F17"/>
    <w:rsid w:val="0059174D"/>
    <w:rsid w:val="005F24C3"/>
    <w:rsid w:val="00606650"/>
    <w:rsid w:val="0062527A"/>
    <w:rsid w:val="006253B5"/>
    <w:rsid w:val="0062654A"/>
    <w:rsid w:val="006620E1"/>
    <w:rsid w:val="006779E0"/>
    <w:rsid w:val="0068033C"/>
    <w:rsid w:val="006829F0"/>
    <w:rsid w:val="00682CAF"/>
    <w:rsid w:val="006907FB"/>
    <w:rsid w:val="006B2618"/>
    <w:rsid w:val="006B5B11"/>
    <w:rsid w:val="006C7662"/>
    <w:rsid w:val="006D334A"/>
    <w:rsid w:val="007103FB"/>
    <w:rsid w:val="00711BDF"/>
    <w:rsid w:val="00713836"/>
    <w:rsid w:val="00714003"/>
    <w:rsid w:val="00734485"/>
    <w:rsid w:val="00765E8E"/>
    <w:rsid w:val="007715E6"/>
    <w:rsid w:val="00772A7C"/>
    <w:rsid w:val="00781772"/>
    <w:rsid w:val="0078364B"/>
    <w:rsid w:val="00784502"/>
    <w:rsid w:val="00787F77"/>
    <w:rsid w:val="007A4D28"/>
    <w:rsid w:val="007D460C"/>
    <w:rsid w:val="007E0DE2"/>
    <w:rsid w:val="00804AD3"/>
    <w:rsid w:val="008063E2"/>
    <w:rsid w:val="0082407A"/>
    <w:rsid w:val="00834293"/>
    <w:rsid w:val="00835ED7"/>
    <w:rsid w:val="00851712"/>
    <w:rsid w:val="00853A53"/>
    <w:rsid w:val="00863B24"/>
    <w:rsid w:val="00870C59"/>
    <w:rsid w:val="00876E2E"/>
    <w:rsid w:val="00884FC6"/>
    <w:rsid w:val="0089584F"/>
    <w:rsid w:val="0089585A"/>
    <w:rsid w:val="00895F5D"/>
    <w:rsid w:val="008B4F40"/>
    <w:rsid w:val="008C150F"/>
    <w:rsid w:val="008C402E"/>
    <w:rsid w:val="008D1EB2"/>
    <w:rsid w:val="008D3E4D"/>
    <w:rsid w:val="008D455F"/>
    <w:rsid w:val="008E3995"/>
    <w:rsid w:val="008E3F2B"/>
    <w:rsid w:val="008F20EC"/>
    <w:rsid w:val="009104FF"/>
    <w:rsid w:val="00920F03"/>
    <w:rsid w:val="00930BE3"/>
    <w:rsid w:val="00941B7B"/>
    <w:rsid w:val="00950106"/>
    <w:rsid w:val="009503A2"/>
    <w:rsid w:val="00973451"/>
    <w:rsid w:val="009770B6"/>
    <w:rsid w:val="009B549A"/>
    <w:rsid w:val="009B6DF2"/>
    <w:rsid w:val="009B7701"/>
    <w:rsid w:val="009C0BA3"/>
    <w:rsid w:val="009C7108"/>
    <w:rsid w:val="009F14A5"/>
    <w:rsid w:val="00A00C5B"/>
    <w:rsid w:val="00A01449"/>
    <w:rsid w:val="00A05FA1"/>
    <w:rsid w:val="00A25F11"/>
    <w:rsid w:val="00A33031"/>
    <w:rsid w:val="00A42EF8"/>
    <w:rsid w:val="00A60C5E"/>
    <w:rsid w:val="00A63477"/>
    <w:rsid w:val="00A70077"/>
    <w:rsid w:val="00A92051"/>
    <w:rsid w:val="00AB0A91"/>
    <w:rsid w:val="00AB4924"/>
    <w:rsid w:val="00AB61BA"/>
    <w:rsid w:val="00AC4815"/>
    <w:rsid w:val="00AD34D8"/>
    <w:rsid w:val="00AE642E"/>
    <w:rsid w:val="00B0584F"/>
    <w:rsid w:val="00B10D90"/>
    <w:rsid w:val="00B219E0"/>
    <w:rsid w:val="00B24EA4"/>
    <w:rsid w:val="00B26CCD"/>
    <w:rsid w:val="00B37723"/>
    <w:rsid w:val="00B47B7F"/>
    <w:rsid w:val="00B525EC"/>
    <w:rsid w:val="00B75ECE"/>
    <w:rsid w:val="00B80627"/>
    <w:rsid w:val="00B9779A"/>
    <w:rsid w:val="00BA1AC7"/>
    <w:rsid w:val="00BA3874"/>
    <w:rsid w:val="00BB369C"/>
    <w:rsid w:val="00BE6341"/>
    <w:rsid w:val="00BE72D8"/>
    <w:rsid w:val="00BF2772"/>
    <w:rsid w:val="00C12ECB"/>
    <w:rsid w:val="00C2025B"/>
    <w:rsid w:val="00C22F3E"/>
    <w:rsid w:val="00C30059"/>
    <w:rsid w:val="00C3379B"/>
    <w:rsid w:val="00C36B08"/>
    <w:rsid w:val="00C43D9B"/>
    <w:rsid w:val="00C466D9"/>
    <w:rsid w:val="00C52066"/>
    <w:rsid w:val="00C64015"/>
    <w:rsid w:val="00C752BF"/>
    <w:rsid w:val="00CA54F9"/>
    <w:rsid w:val="00CB6B07"/>
    <w:rsid w:val="00CC45B2"/>
    <w:rsid w:val="00CE1C98"/>
    <w:rsid w:val="00CF1A8E"/>
    <w:rsid w:val="00D062F2"/>
    <w:rsid w:val="00D11A34"/>
    <w:rsid w:val="00D11C90"/>
    <w:rsid w:val="00D441AB"/>
    <w:rsid w:val="00D51434"/>
    <w:rsid w:val="00D60EEA"/>
    <w:rsid w:val="00D64E51"/>
    <w:rsid w:val="00D67877"/>
    <w:rsid w:val="00D71D9D"/>
    <w:rsid w:val="00D7215B"/>
    <w:rsid w:val="00D82CC9"/>
    <w:rsid w:val="00D86623"/>
    <w:rsid w:val="00D86726"/>
    <w:rsid w:val="00D93392"/>
    <w:rsid w:val="00DD0AF4"/>
    <w:rsid w:val="00DD1A73"/>
    <w:rsid w:val="00E0495A"/>
    <w:rsid w:val="00E12AD0"/>
    <w:rsid w:val="00E16AD4"/>
    <w:rsid w:val="00E230F8"/>
    <w:rsid w:val="00E242E7"/>
    <w:rsid w:val="00E435B5"/>
    <w:rsid w:val="00E479CA"/>
    <w:rsid w:val="00E55DE8"/>
    <w:rsid w:val="00E6065A"/>
    <w:rsid w:val="00E63B62"/>
    <w:rsid w:val="00E85B48"/>
    <w:rsid w:val="00E867E1"/>
    <w:rsid w:val="00E86BFF"/>
    <w:rsid w:val="00E87DF8"/>
    <w:rsid w:val="00E977CC"/>
    <w:rsid w:val="00EA0B02"/>
    <w:rsid w:val="00EA2A3D"/>
    <w:rsid w:val="00EA2E1B"/>
    <w:rsid w:val="00EB7336"/>
    <w:rsid w:val="00EF6DC3"/>
    <w:rsid w:val="00EF754E"/>
    <w:rsid w:val="00F0347F"/>
    <w:rsid w:val="00F04E77"/>
    <w:rsid w:val="00F21A0E"/>
    <w:rsid w:val="00F250E1"/>
    <w:rsid w:val="00F25C4F"/>
    <w:rsid w:val="00F53619"/>
    <w:rsid w:val="00F602C0"/>
    <w:rsid w:val="00F623D0"/>
    <w:rsid w:val="00F74B94"/>
    <w:rsid w:val="00F81568"/>
    <w:rsid w:val="00F83E17"/>
    <w:rsid w:val="00F91C95"/>
    <w:rsid w:val="00FA12F2"/>
    <w:rsid w:val="00FA7164"/>
    <w:rsid w:val="00FB3A27"/>
    <w:rsid w:val="00FD318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B8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2E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E12AD0"/>
    <w:pPr>
      <w:spacing w:after="120" w:line="480" w:lineRule="auto"/>
    </w:pPr>
    <w:rPr>
      <w:lang w:val="x-none"/>
    </w:rPr>
  </w:style>
  <w:style w:type="character" w:customStyle="1" w:styleId="BodyText2Char">
    <w:name w:val="Body Text 2 Char"/>
    <w:basedOn w:val="DefaultParagraphFont"/>
    <w:link w:val="BodyText2"/>
    <w:semiHidden/>
    <w:rsid w:val="00E12AD0"/>
    <w:rPr>
      <w:rFonts w:ascii="Times New Roman" w:eastAsia="Times New Roman" w:hAnsi="Times New Roman" w:cs="Times New Roman"/>
      <w:sz w:val="24"/>
      <w:szCs w:val="24"/>
      <w:lang w:val="x-none" w:eastAsia="ru-RU"/>
    </w:rPr>
  </w:style>
  <w:style w:type="paragraph" w:styleId="Header">
    <w:name w:val="header"/>
    <w:basedOn w:val="Normal"/>
    <w:link w:val="HeaderChar"/>
    <w:uiPriority w:val="99"/>
    <w:unhideWhenUsed/>
    <w:rsid w:val="00E12AD0"/>
    <w:pPr>
      <w:tabs>
        <w:tab w:val="center" w:pos="4153"/>
        <w:tab w:val="right" w:pos="8306"/>
      </w:tabs>
    </w:pPr>
  </w:style>
  <w:style w:type="character" w:customStyle="1" w:styleId="HeaderChar">
    <w:name w:val="Header Char"/>
    <w:basedOn w:val="DefaultParagraphFont"/>
    <w:link w:val="Header"/>
    <w:uiPriority w:val="99"/>
    <w:rsid w:val="00E12AD0"/>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E12AD0"/>
    <w:pPr>
      <w:tabs>
        <w:tab w:val="center" w:pos="4153"/>
        <w:tab w:val="right" w:pos="8306"/>
      </w:tabs>
    </w:pPr>
  </w:style>
  <w:style w:type="character" w:customStyle="1" w:styleId="FooterChar">
    <w:name w:val="Footer Char"/>
    <w:basedOn w:val="DefaultParagraphFont"/>
    <w:link w:val="Footer"/>
    <w:uiPriority w:val="99"/>
    <w:rsid w:val="00E12AD0"/>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4C16F5"/>
    <w:rPr>
      <w:sz w:val="16"/>
      <w:szCs w:val="16"/>
    </w:rPr>
  </w:style>
  <w:style w:type="paragraph" w:styleId="CommentText">
    <w:name w:val="annotation text"/>
    <w:basedOn w:val="Normal"/>
    <w:link w:val="CommentTextChar"/>
    <w:uiPriority w:val="99"/>
    <w:semiHidden/>
    <w:unhideWhenUsed/>
    <w:rsid w:val="004C16F5"/>
    <w:rPr>
      <w:sz w:val="20"/>
      <w:szCs w:val="20"/>
    </w:rPr>
  </w:style>
  <w:style w:type="character" w:customStyle="1" w:styleId="CommentTextChar">
    <w:name w:val="Comment Text Char"/>
    <w:basedOn w:val="DefaultParagraphFont"/>
    <w:link w:val="CommentText"/>
    <w:uiPriority w:val="99"/>
    <w:semiHidden/>
    <w:rsid w:val="004C16F5"/>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C16F5"/>
    <w:rPr>
      <w:b/>
      <w:bCs/>
    </w:rPr>
  </w:style>
  <w:style w:type="character" w:customStyle="1" w:styleId="CommentSubjectChar">
    <w:name w:val="Comment Subject Char"/>
    <w:basedOn w:val="CommentTextChar"/>
    <w:link w:val="CommentSubject"/>
    <w:uiPriority w:val="99"/>
    <w:semiHidden/>
    <w:rsid w:val="004C16F5"/>
    <w:rPr>
      <w:rFonts w:ascii="Times New Roman" w:eastAsia="Times New Roman" w:hAnsi="Times New Roman" w:cs="Times New Roman"/>
      <w:b/>
      <w:bCs/>
      <w:sz w:val="20"/>
      <w:szCs w:val="20"/>
      <w:lang w:eastAsia="ru-RU"/>
    </w:rPr>
  </w:style>
  <w:style w:type="paragraph" w:styleId="BalloonText">
    <w:name w:val="Balloon Text"/>
    <w:basedOn w:val="Normal"/>
    <w:link w:val="BalloonTextChar"/>
    <w:uiPriority w:val="99"/>
    <w:semiHidden/>
    <w:unhideWhenUsed/>
    <w:rsid w:val="004C16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6F5"/>
    <w:rPr>
      <w:rFonts w:ascii="Segoe UI" w:eastAsia="Times New Roman" w:hAnsi="Segoe UI" w:cs="Segoe UI"/>
      <w:sz w:val="18"/>
      <w:szCs w:val="18"/>
      <w:lang w:eastAsia="ru-RU"/>
    </w:rPr>
  </w:style>
  <w:style w:type="paragraph" w:customStyle="1" w:styleId="tv213">
    <w:name w:val="tv213"/>
    <w:basedOn w:val="Normal"/>
    <w:rsid w:val="00D11C90"/>
    <w:pPr>
      <w:spacing w:before="100" w:beforeAutospacing="1" w:after="100" w:afterAutospacing="1"/>
    </w:pPr>
    <w:rPr>
      <w:lang w:eastAsia="lv-LV"/>
    </w:rPr>
  </w:style>
  <w:style w:type="character" w:styleId="Hyperlink">
    <w:name w:val="Hyperlink"/>
    <w:basedOn w:val="DefaultParagraphFont"/>
    <w:uiPriority w:val="99"/>
    <w:unhideWhenUsed/>
    <w:rsid w:val="00D11C90"/>
    <w:rPr>
      <w:color w:val="0000FF"/>
      <w:u w:val="single"/>
    </w:rPr>
  </w:style>
  <w:style w:type="table" w:styleId="TableGrid">
    <w:name w:val="Table Grid"/>
    <w:basedOn w:val="TableNormal"/>
    <w:uiPriority w:val="39"/>
    <w:rsid w:val="009770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B7701"/>
    <w:pPr>
      <w:ind w:left="720"/>
    </w:pPr>
    <w:rPr>
      <w:rFonts w:eastAsia="Calibri"/>
      <w:lang w:eastAsia="en-US"/>
    </w:rPr>
  </w:style>
  <w:style w:type="paragraph" w:customStyle="1" w:styleId="CharCharCharChar">
    <w:name w:val="Char Char Char Char"/>
    <w:basedOn w:val="Normal"/>
    <w:rsid w:val="004E6ADE"/>
    <w:pPr>
      <w:spacing w:after="160" w:line="240" w:lineRule="exact"/>
    </w:pPr>
    <w:rPr>
      <w:rFonts w:ascii="Tahoma" w:hAnsi="Tahoma"/>
      <w:sz w:val="20"/>
      <w:szCs w:val="20"/>
      <w:lang w:val="en-US" w:eastAsia="en-US"/>
    </w:rPr>
  </w:style>
  <w:style w:type="character" w:styleId="UnresolvedMention">
    <w:name w:val="Unresolved Mention"/>
    <w:basedOn w:val="DefaultParagraphFont"/>
    <w:uiPriority w:val="99"/>
    <w:semiHidden/>
    <w:unhideWhenUsed/>
    <w:rsid w:val="00A05F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95224">
      <w:bodyDiv w:val="1"/>
      <w:marLeft w:val="0"/>
      <w:marRight w:val="0"/>
      <w:marTop w:val="0"/>
      <w:marBottom w:val="0"/>
      <w:divBdr>
        <w:top w:val="none" w:sz="0" w:space="0" w:color="auto"/>
        <w:left w:val="none" w:sz="0" w:space="0" w:color="auto"/>
        <w:bottom w:val="none" w:sz="0" w:space="0" w:color="auto"/>
        <w:right w:val="none" w:sz="0" w:space="0" w:color="auto"/>
      </w:divBdr>
    </w:div>
    <w:div w:id="913779991">
      <w:bodyDiv w:val="1"/>
      <w:marLeft w:val="0"/>
      <w:marRight w:val="0"/>
      <w:marTop w:val="0"/>
      <w:marBottom w:val="0"/>
      <w:divBdr>
        <w:top w:val="none" w:sz="0" w:space="0" w:color="auto"/>
        <w:left w:val="none" w:sz="0" w:space="0" w:color="auto"/>
        <w:bottom w:val="none" w:sz="0" w:space="0" w:color="auto"/>
        <w:right w:val="none" w:sz="0" w:space="0" w:color="auto"/>
      </w:divBdr>
    </w:div>
    <w:div w:id="1223322499">
      <w:bodyDiv w:val="1"/>
      <w:marLeft w:val="0"/>
      <w:marRight w:val="0"/>
      <w:marTop w:val="0"/>
      <w:marBottom w:val="0"/>
      <w:divBdr>
        <w:top w:val="none" w:sz="0" w:space="0" w:color="auto"/>
        <w:left w:val="none" w:sz="0" w:space="0" w:color="auto"/>
        <w:bottom w:val="none" w:sz="0" w:space="0" w:color="auto"/>
        <w:right w:val="none" w:sz="0" w:space="0" w:color="auto"/>
      </w:divBdr>
    </w:div>
    <w:div w:id="1368799678">
      <w:bodyDiv w:val="1"/>
      <w:marLeft w:val="0"/>
      <w:marRight w:val="0"/>
      <w:marTop w:val="0"/>
      <w:marBottom w:val="0"/>
      <w:divBdr>
        <w:top w:val="none" w:sz="0" w:space="0" w:color="auto"/>
        <w:left w:val="none" w:sz="0" w:space="0" w:color="auto"/>
        <w:bottom w:val="none" w:sz="0" w:space="0" w:color="auto"/>
        <w:right w:val="none" w:sz="0" w:space="0" w:color="auto"/>
      </w:divBdr>
    </w:div>
    <w:div w:id="176857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0925.A420311218.9.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F9AB7-D7D0-4C91-A57B-06D987D71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10671</Words>
  <Characters>6083</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2020-09-29T10:16:00Z</dcterms:created>
  <dcterms:modified xsi:type="dcterms:W3CDTF">2020-10-06T06:53:00Z</dcterms:modified>
</cp:coreProperties>
</file>