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954AC" w14:textId="6CD588B0" w:rsidR="005A0DA4" w:rsidRDefault="005A0DA4" w:rsidP="005A0DA4">
      <w:pPr>
        <w:tabs>
          <w:tab w:val="left" w:pos="1276"/>
        </w:tabs>
        <w:spacing w:after="0" w:line="276" w:lineRule="auto"/>
        <w:jc w:val="both"/>
        <w:rPr>
          <w:color w:val="auto"/>
        </w:rPr>
      </w:pPr>
      <w:r>
        <w:rPr>
          <w:b/>
          <w:bCs/>
        </w:rPr>
        <w:t>Ieslodzītā tiesību uz interneta resursiem ierobežošana</w:t>
      </w:r>
    </w:p>
    <w:p w14:paraId="23A49E6D" w14:textId="77777777" w:rsidR="005A0DA4" w:rsidRDefault="005A0DA4" w:rsidP="00C1149D">
      <w:pPr>
        <w:tabs>
          <w:tab w:val="left" w:pos="1276"/>
        </w:tabs>
        <w:spacing w:after="0" w:line="276" w:lineRule="auto"/>
        <w:jc w:val="center"/>
        <w:rPr>
          <w:color w:val="auto"/>
        </w:rPr>
      </w:pPr>
    </w:p>
    <w:p w14:paraId="170C6910" w14:textId="406D5096" w:rsidR="00C1149D" w:rsidRDefault="00C1149D" w:rsidP="00C1149D">
      <w:pPr>
        <w:tabs>
          <w:tab w:val="left" w:pos="1276"/>
        </w:tabs>
        <w:spacing w:after="0" w:line="276" w:lineRule="auto"/>
        <w:jc w:val="center"/>
        <w:rPr>
          <w:rFonts w:cs="Times New Roman"/>
          <w:b/>
          <w:color w:val="auto"/>
          <w:szCs w:val="24"/>
        </w:rPr>
      </w:pPr>
      <w:r w:rsidRPr="005A0DA4">
        <w:rPr>
          <w:rFonts w:cs="Times New Roman"/>
          <w:b/>
          <w:color w:val="auto"/>
          <w:szCs w:val="24"/>
        </w:rPr>
        <w:t>Latvijas Republikas Senāt</w:t>
      </w:r>
      <w:r w:rsidR="005A0DA4">
        <w:rPr>
          <w:rFonts w:cs="Times New Roman"/>
          <w:b/>
          <w:color w:val="auto"/>
          <w:szCs w:val="24"/>
        </w:rPr>
        <w:t>a</w:t>
      </w:r>
    </w:p>
    <w:p w14:paraId="179EBCAE" w14:textId="7E5F10DC" w:rsidR="005A0DA4" w:rsidRDefault="005A0DA4" w:rsidP="00C1149D">
      <w:pPr>
        <w:tabs>
          <w:tab w:val="left" w:pos="1276"/>
        </w:tabs>
        <w:spacing w:after="0" w:line="276" w:lineRule="auto"/>
        <w:jc w:val="center"/>
        <w:rPr>
          <w:rFonts w:cs="Times New Roman"/>
          <w:b/>
          <w:color w:val="auto"/>
          <w:szCs w:val="24"/>
        </w:rPr>
      </w:pPr>
      <w:r>
        <w:rPr>
          <w:rFonts w:cs="Times New Roman"/>
          <w:b/>
          <w:color w:val="auto"/>
          <w:szCs w:val="24"/>
        </w:rPr>
        <w:t>Administratīvo lietu departamenta</w:t>
      </w:r>
    </w:p>
    <w:p w14:paraId="2016CC8C" w14:textId="7EAB9E70" w:rsidR="005A0DA4" w:rsidRPr="005A0DA4" w:rsidRDefault="005A0DA4" w:rsidP="00C1149D">
      <w:pPr>
        <w:tabs>
          <w:tab w:val="left" w:pos="1276"/>
        </w:tabs>
        <w:spacing w:after="0" w:line="276" w:lineRule="auto"/>
        <w:jc w:val="center"/>
        <w:rPr>
          <w:rFonts w:cs="Times New Roman"/>
          <w:b/>
          <w:color w:val="auto"/>
          <w:szCs w:val="24"/>
        </w:rPr>
      </w:pPr>
      <w:proofErr w:type="gramStart"/>
      <w:r>
        <w:rPr>
          <w:rFonts w:cs="Times New Roman"/>
          <w:b/>
          <w:color w:val="auto"/>
          <w:szCs w:val="24"/>
        </w:rPr>
        <w:t>2020.gada</w:t>
      </w:r>
      <w:proofErr w:type="gramEnd"/>
      <w:r>
        <w:rPr>
          <w:rFonts w:cs="Times New Roman"/>
          <w:b/>
          <w:color w:val="auto"/>
          <w:szCs w:val="24"/>
        </w:rPr>
        <w:t xml:space="preserve"> 8.jūlija</w:t>
      </w:r>
    </w:p>
    <w:p w14:paraId="5227488D" w14:textId="3972F4C6" w:rsidR="00C1149D" w:rsidRDefault="00C1149D" w:rsidP="0044733A">
      <w:pPr>
        <w:tabs>
          <w:tab w:val="left" w:pos="284"/>
        </w:tabs>
        <w:spacing w:after="0" w:line="276" w:lineRule="auto"/>
        <w:jc w:val="center"/>
        <w:rPr>
          <w:rFonts w:cs="Times New Roman"/>
          <w:b/>
          <w:color w:val="auto"/>
          <w:szCs w:val="24"/>
        </w:rPr>
      </w:pPr>
      <w:bookmarkStart w:id="0" w:name="OLE_LINK2"/>
      <w:bookmarkStart w:id="1" w:name="OLE_LINK1"/>
      <w:bookmarkEnd w:id="0"/>
      <w:bookmarkEnd w:id="1"/>
      <w:r w:rsidRPr="005A0DA4">
        <w:rPr>
          <w:rFonts w:cs="Times New Roman"/>
          <w:b/>
          <w:color w:val="auto"/>
          <w:szCs w:val="24"/>
        </w:rPr>
        <w:t>LĒMUMS</w:t>
      </w:r>
    </w:p>
    <w:p w14:paraId="0A2516D1" w14:textId="3DD39488" w:rsidR="005A0DA4" w:rsidRDefault="005A0DA4" w:rsidP="0044733A">
      <w:pPr>
        <w:tabs>
          <w:tab w:val="left" w:pos="284"/>
        </w:tabs>
        <w:spacing w:after="0" w:line="276" w:lineRule="auto"/>
        <w:jc w:val="center"/>
        <w:rPr>
          <w:rFonts w:cs="Times New Roman"/>
          <w:b/>
          <w:color w:val="auto"/>
          <w:szCs w:val="24"/>
        </w:rPr>
      </w:pPr>
      <w:r>
        <w:rPr>
          <w:rFonts w:cs="Times New Roman"/>
          <w:b/>
          <w:color w:val="auto"/>
          <w:szCs w:val="24"/>
        </w:rPr>
        <w:t>Lieta Nr. 670005620, SKA-1199/2020</w:t>
      </w:r>
    </w:p>
    <w:p w14:paraId="78F5E77D" w14:textId="1DEB6A60" w:rsidR="005A0DA4" w:rsidRPr="005A0DA4" w:rsidRDefault="00E72221" w:rsidP="0044733A">
      <w:pPr>
        <w:tabs>
          <w:tab w:val="left" w:pos="284"/>
        </w:tabs>
        <w:spacing w:after="0" w:line="276" w:lineRule="auto"/>
        <w:jc w:val="center"/>
        <w:rPr>
          <w:rFonts w:cs="Times New Roman"/>
          <w:b/>
          <w:color w:val="0000FF"/>
          <w:szCs w:val="24"/>
        </w:rPr>
      </w:pPr>
      <w:hyperlink r:id="rId8" w:history="1">
        <w:r w:rsidR="005A0DA4" w:rsidRPr="005A0DA4">
          <w:rPr>
            <w:rStyle w:val="Hyperlink"/>
            <w:color w:val="0000FF"/>
          </w:rPr>
          <w:t>ECLI:LV:AT:2020:0708.SKA119920.3.L</w:t>
        </w:r>
      </w:hyperlink>
    </w:p>
    <w:p w14:paraId="3E85C1FF" w14:textId="77777777" w:rsidR="00C1149D" w:rsidRPr="007E34FC" w:rsidRDefault="00C1149D" w:rsidP="00C1149D">
      <w:pPr>
        <w:tabs>
          <w:tab w:val="left" w:pos="1276"/>
        </w:tabs>
        <w:spacing w:after="0" w:line="276" w:lineRule="auto"/>
        <w:jc w:val="center"/>
        <w:rPr>
          <w:rFonts w:cs="Times New Roman"/>
          <w:color w:val="auto"/>
          <w:szCs w:val="24"/>
        </w:rPr>
      </w:pPr>
    </w:p>
    <w:p w14:paraId="2C702ED3" w14:textId="77777777" w:rsidR="00C1149D" w:rsidRPr="007E34FC" w:rsidRDefault="00C1149D" w:rsidP="00C1149D">
      <w:pPr>
        <w:tabs>
          <w:tab w:val="left" w:pos="1276"/>
        </w:tabs>
        <w:spacing w:after="0" w:line="276" w:lineRule="auto"/>
        <w:ind w:firstLine="567"/>
        <w:jc w:val="both"/>
        <w:rPr>
          <w:rFonts w:cs="Times New Roman"/>
          <w:color w:val="auto"/>
          <w:szCs w:val="24"/>
        </w:rPr>
      </w:pPr>
      <w:r w:rsidRPr="007E34FC">
        <w:rPr>
          <w:rFonts w:cs="Times New Roman"/>
          <w:color w:val="auto"/>
          <w:szCs w:val="24"/>
        </w:rPr>
        <w:t xml:space="preserve">Tiesa šādā sastāvā: senatores Dace Mita, Jautrīte Briede, </w:t>
      </w:r>
      <w:r w:rsidR="009267C6" w:rsidRPr="007E34FC">
        <w:rPr>
          <w:rFonts w:cs="Times New Roman"/>
          <w:color w:val="auto"/>
          <w:szCs w:val="24"/>
        </w:rPr>
        <w:t>Vēsma Kakste</w:t>
      </w:r>
    </w:p>
    <w:p w14:paraId="66C130AA" w14:textId="77777777" w:rsidR="00C1149D" w:rsidRPr="007E34FC" w:rsidRDefault="00C1149D" w:rsidP="00C1149D">
      <w:pPr>
        <w:tabs>
          <w:tab w:val="left" w:pos="1276"/>
        </w:tabs>
        <w:spacing w:after="0" w:line="276" w:lineRule="auto"/>
        <w:jc w:val="both"/>
        <w:rPr>
          <w:rFonts w:cs="Times New Roman"/>
          <w:color w:val="auto"/>
          <w:szCs w:val="24"/>
        </w:rPr>
      </w:pPr>
    </w:p>
    <w:p w14:paraId="16ED1855" w14:textId="1CD47BAF" w:rsidR="00F730AF" w:rsidRPr="007E34FC" w:rsidRDefault="00C1149D" w:rsidP="00B318CD">
      <w:pPr>
        <w:tabs>
          <w:tab w:val="left" w:pos="1276"/>
        </w:tabs>
        <w:spacing w:after="0" w:line="276" w:lineRule="auto"/>
        <w:ind w:firstLine="567"/>
        <w:jc w:val="both"/>
        <w:rPr>
          <w:rFonts w:cs="Times New Roman"/>
          <w:color w:val="auto"/>
          <w:szCs w:val="24"/>
        </w:rPr>
      </w:pPr>
      <w:r w:rsidRPr="007E34FC">
        <w:rPr>
          <w:rFonts w:cs="Times New Roman"/>
          <w:color w:val="auto"/>
          <w:szCs w:val="24"/>
        </w:rPr>
        <w:t xml:space="preserve">rakstveida procesā izskatīja </w:t>
      </w:r>
      <w:proofErr w:type="gramStart"/>
      <w:r w:rsidR="008E6170">
        <w:rPr>
          <w:rFonts w:cs="Times New Roman"/>
          <w:color w:val="auto"/>
          <w:szCs w:val="24"/>
        </w:rPr>
        <w:t>[</w:t>
      </w:r>
      <w:proofErr w:type="gramEnd"/>
      <w:r w:rsidR="008E6170">
        <w:rPr>
          <w:rFonts w:cs="Times New Roman"/>
          <w:color w:val="auto"/>
          <w:szCs w:val="24"/>
        </w:rPr>
        <w:t>pers. A]</w:t>
      </w:r>
      <w:r w:rsidRPr="007E34FC">
        <w:rPr>
          <w:rFonts w:cs="Times New Roman"/>
          <w:color w:val="auto"/>
          <w:szCs w:val="24"/>
        </w:rPr>
        <w:t xml:space="preserve"> blakus sūdzību par Administratīvās </w:t>
      </w:r>
      <w:r w:rsidR="00F14E32" w:rsidRPr="007E34FC">
        <w:rPr>
          <w:rFonts w:cs="Times New Roman"/>
          <w:color w:val="auto"/>
          <w:szCs w:val="24"/>
        </w:rPr>
        <w:t>rajona tiesas tiesneša</w:t>
      </w:r>
      <w:r w:rsidR="000729EA" w:rsidRPr="007E34FC">
        <w:rPr>
          <w:rFonts w:cs="Times New Roman"/>
          <w:color w:val="auto"/>
          <w:szCs w:val="24"/>
        </w:rPr>
        <w:t xml:space="preserve"> </w:t>
      </w:r>
      <w:proofErr w:type="gramStart"/>
      <w:r w:rsidRPr="007E34FC">
        <w:rPr>
          <w:rFonts w:cs="Times New Roman"/>
          <w:color w:val="auto"/>
          <w:szCs w:val="24"/>
        </w:rPr>
        <w:t>20</w:t>
      </w:r>
      <w:r w:rsidR="0023706B">
        <w:rPr>
          <w:rFonts w:cs="Times New Roman"/>
          <w:color w:val="auto"/>
          <w:szCs w:val="24"/>
        </w:rPr>
        <w:t>20</w:t>
      </w:r>
      <w:r w:rsidRPr="007E34FC">
        <w:rPr>
          <w:rFonts w:cs="Times New Roman"/>
          <w:color w:val="auto"/>
          <w:szCs w:val="24"/>
        </w:rPr>
        <w:t>.gada</w:t>
      </w:r>
      <w:proofErr w:type="gramEnd"/>
      <w:r w:rsidRPr="007E34FC">
        <w:rPr>
          <w:rFonts w:cs="Times New Roman"/>
          <w:color w:val="auto"/>
          <w:szCs w:val="24"/>
        </w:rPr>
        <w:t xml:space="preserve"> </w:t>
      </w:r>
      <w:r w:rsidR="0023706B">
        <w:rPr>
          <w:rFonts w:cs="Times New Roman"/>
          <w:color w:val="auto"/>
          <w:szCs w:val="24"/>
        </w:rPr>
        <w:t>24.aprīļa</w:t>
      </w:r>
      <w:r w:rsidR="00F730AF" w:rsidRPr="007E34FC">
        <w:rPr>
          <w:rFonts w:cs="Times New Roman"/>
          <w:color w:val="auto"/>
          <w:szCs w:val="24"/>
        </w:rPr>
        <w:t xml:space="preserve"> </w:t>
      </w:r>
      <w:r w:rsidRPr="007E34FC">
        <w:rPr>
          <w:rFonts w:cs="Times New Roman"/>
          <w:color w:val="auto"/>
          <w:szCs w:val="24"/>
        </w:rPr>
        <w:t xml:space="preserve">lēmumu, ar kuru </w:t>
      </w:r>
      <w:r w:rsidR="00F14E32" w:rsidRPr="007E34FC">
        <w:rPr>
          <w:rFonts w:cs="Times New Roman"/>
          <w:color w:val="auto"/>
          <w:szCs w:val="24"/>
        </w:rPr>
        <w:t xml:space="preserve">atteikts pieņemt </w:t>
      </w:r>
      <w:r w:rsidR="008E6170">
        <w:rPr>
          <w:rFonts w:cs="Times New Roman"/>
          <w:color w:val="auto"/>
          <w:szCs w:val="24"/>
        </w:rPr>
        <w:t>[pers. A]</w:t>
      </w:r>
      <w:r w:rsidR="00F14E32" w:rsidRPr="007E34FC">
        <w:rPr>
          <w:rFonts w:cs="Times New Roman"/>
          <w:color w:val="auto"/>
          <w:szCs w:val="24"/>
        </w:rPr>
        <w:t xml:space="preserve"> pieteikumu.</w:t>
      </w:r>
    </w:p>
    <w:p w14:paraId="470A8756" w14:textId="77777777" w:rsidR="00B318CD" w:rsidRPr="007E34FC" w:rsidRDefault="00B318CD" w:rsidP="00B318CD">
      <w:pPr>
        <w:tabs>
          <w:tab w:val="left" w:pos="1276"/>
        </w:tabs>
        <w:spacing w:after="0" w:line="276" w:lineRule="auto"/>
        <w:ind w:firstLine="567"/>
        <w:jc w:val="both"/>
        <w:rPr>
          <w:rFonts w:cs="Times New Roman"/>
          <w:color w:val="auto"/>
          <w:szCs w:val="24"/>
        </w:rPr>
      </w:pPr>
    </w:p>
    <w:p w14:paraId="5DC4A9F1" w14:textId="77777777" w:rsidR="00C1149D" w:rsidRPr="007E34FC" w:rsidRDefault="00C1149D" w:rsidP="005721A7">
      <w:pPr>
        <w:tabs>
          <w:tab w:val="left" w:pos="1276"/>
        </w:tabs>
        <w:spacing w:after="0" w:line="276" w:lineRule="auto"/>
        <w:jc w:val="center"/>
        <w:rPr>
          <w:rFonts w:cs="Times New Roman"/>
          <w:b/>
          <w:color w:val="auto"/>
          <w:szCs w:val="24"/>
        </w:rPr>
      </w:pPr>
      <w:r w:rsidRPr="007E34FC">
        <w:rPr>
          <w:rFonts w:cs="Times New Roman"/>
          <w:b/>
          <w:color w:val="auto"/>
          <w:szCs w:val="24"/>
        </w:rPr>
        <w:t>Aprakstošā daļa</w:t>
      </w:r>
    </w:p>
    <w:p w14:paraId="5CB85B44" w14:textId="77777777" w:rsidR="00C1149D" w:rsidRPr="007E34FC" w:rsidRDefault="00C1149D" w:rsidP="005721A7">
      <w:pPr>
        <w:tabs>
          <w:tab w:val="left" w:pos="1276"/>
        </w:tabs>
        <w:spacing w:after="0" w:line="276" w:lineRule="auto"/>
        <w:rPr>
          <w:rFonts w:cs="Times New Roman"/>
          <w:color w:val="auto"/>
          <w:szCs w:val="24"/>
        </w:rPr>
      </w:pPr>
    </w:p>
    <w:p w14:paraId="21F5C4FE" w14:textId="1317FA10" w:rsidR="006042C8" w:rsidRDefault="00020D7D" w:rsidP="005721A7">
      <w:pPr>
        <w:spacing w:after="0" w:line="276" w:lineRule="auto"/>
        <w:ind w:firstLine="567"/>
        <w:jc w:val="both"/>
        <w:rPr>
          <w:rFonts w:cs="Times New Roman"/>
          <w:color w:val="auto"/>
          <w:szCs w:val="24"/>
        </w:rPr>
      </w:pPr>
      <w:r w:rsidRPr="007E34FC">
        <w:rPr>
          <w:rFonts w:cs="Times New Roman"/>
          <w:color w:val="auto"/>
          <w:szCs w:val="24"/>
        </w:rPr>
        <w:t>[1]</w:t>
      </w:r>
      <w:r w:rsidR="00756A27">
        <w:rPr>
          <w:rFonts w:cs="Times New Roman"/>
          <w:color w:val="auto"/>
          <w:szCs w:val="24"/>
        </w:rPr>
        <w:t> </w:t>
      </w:r>
      <w:r w:rsidR="007728A5">
        <w:rPr>
          <w:rFonts w:cs="Times New Roman"/>
          <w:color w:val="auto"/>
          <w:szCs w:val="24"/>
        </w:rPr>
        <w:t>P</w:t>
      </w:r>
      <w:r w:rsidR="007728A5" w:rsidRPr="007E34FC">
        <w:rPr>
          <w:rFonts w:cs="Times New Roman"/>
          <w:color w:val="auto"/>
          <w:szCs w:val="24"/>
        </w:rPr>
        <w:t>ieteicēj</w:t>
      </w:r>
      <w:r w:rsidR="00B24D8C">
        <w:rPr>
          <w:rFonts w:cs="Times New Roman"/>
          <w:color w:val="auto"/>
          <w:szCs w:val="24"/>
        </w:rPr>
        <w:t xml:space="preserve">s </w:t>
      </w:r>
      <w:r w:rsidR="008E6170">
        <w:rPr>
          <w:rFonts w:cs="Times New Roman"/>
          <w:color w:val="auto"/>
          <w:szCs w:val="24"/>
        </w:rPr>
        <w:t>[pers. A]</w:t>
      </w:r>
      <w:r w:rsidR="00B24D8C">
        <w:rPr>
          <w:rFonts w:cs="Times New Roman"/>
          <w:color w:val="auto"/>
          <w:szCs w:val="24"/>
        </w:rPr>
        <w:t xml:space="preserve"> </w:t>
      </w:r>
      <w:r w:rsidR="006042C8">
        <w:rPr>
          <w:rFonts w:cs="Times New Roman"/>
          <w:color w:val="auto"/>
          <w:szCs w:val="24"/>
        </w:rPr>
        <w:t xml:space="preserve">abonējis drukāto žurnālu </w:t>
      </w:r>
      <w:r w:rsidR="003A19EA">
        <w:rPr>
          <w:rFonts w:cs="Times New Roman"/>
          <w:color w:val="auto"/>
          <w:szCs w:val="24"/>
        </w:rPr>
        <w:t>„</w:t>
      </w:r>
      <w:r w:rsidR="006042C8">
        <w:rPr>
          <w:rFonts w:cs="Times New Roman"/>
          <w:color w:val="auto"/>
          <w:szCs w:val="24"/>
        </w:rPr>
        <w:t xml:space="preserve">Jurista Vārds” (turpmāk – žurnāls) un tā elektronisko versiju, kas ir žurnāla neatņemama sastāvdaļa, laika posmā no </w:t>
      </w:r>
      <w:proofErr w:type="gramStart"/>
      <w:r w:rsidR="006042C8">
        <w:rPr>
          <w:rFonts w:cs="Times New Roman"/>
          <w:color w:val="auto"/>
          <w:szCs w:val="24"/>
        </w:rPr>
        <w:t>2020.gada</w:t>
      </w:r>
      <w:proofErr w:type="gramEnd"/>
      <w:r w:rsidR="006042C8">
        <w:rPr>
          <w:rFonts w:cs="Times New Roman"/>
          <w:color w:val="auto"/>
          <w:szCs w:val="24"/>
        </w:rPr>
        <w:t xml:space="preserve"> 1.janvāra līdz 31.decembrim. Žurnāla drukātā versija tiek piegādāta pieteicējam uz Jelgavas cietumu. Pieteicējs vērsās Jelgavas cietuma administrācij</w:t>
      </w:r>
      <w:r w:rsidR="00BA1FB4">
        <w:rPr>
          <w:rFonts w:cs="Times New Roman"/>
          <w:color w:val="auto"/>
          <w:szCs w:val="24"/>
        </w:rPr>
        <w:t>ā</w:t>
      </w:r>
      <w:r w:rsidR="006042C8">
        <w:rPr>
          <w:rFonts w:cs="Times New Roman"/>
          <w:color w:val="auto"/>
          <w:szCs w:val="24"/>
        </w:rPr>
        <w:t xml:space="preserve">, lūdzot ieslodzījuma vietas </w:t>
      </w:r>
      <w:proofErr w:type="spellStart"/>
      <w:r w:rsidR="006042C8">
        <w:rPr>
          <w:rFonts w:cs="Times New Roman"/>
          <w:color w:val="auto"/>
          <w:szCs w:val="24"/>
        </w:rPr>
        <w:t>datortelpas</w:t>
      </w:r>
      <w:proofErr w:type="spellEnd"/>
      <w:r w:rsidR="006042C8">
        <w:rPr>
          <w:rFonts w:cs="Times New Roman"/>
          <w:color w:val="auto"/>
          <w:szCs w:val="24"/>
        </w:rPr>
        <w:t xml:space="preserve"> datorā nodrošināt pieeju žurnāla tīmekļa vietnei </w:t>
      </w:r>
      <w:hyperlink r:id="rId9" w:history="1">
        <w:r w:rsidR="006042C8" w:rsidRPr="00BA1FB4">
          <w:rPr>
            <w:rStyle w:val="Hyperlink"/>
            <w:rFonts w:cs="Times New Roman"/>
            <w:i/>
            <w:iCs/>
            <w:color w:val="auto"/>
            <w:szCs w:val="24"/>
            <w:u w:val="none"/>
          </w:rPr>
          <w:t>www.juristavards.lv</w:t>
        </w:r>
      </w:hyperlink>
      <w:r w:rsidR="006042C8">
        <w:rPr>
          <w:rFonts w:cs="Times New Roman"/>
          <w:color w:val="auto"/>
          <w:szCs w:val="24"/>
        </w:rPr>
        <w:t xml:space="preserve">. </w:t>
      </w:r>
    </w:p>
    <w:p w14:paraId="2BCBDFBA" w14:textId="60CF2909" w:rsidR="006042C8" w:rsidRDefault="006042C8" w:rsidP="005721A7">
      <w:pPr>
        <w:spacing w:after="0" w:line="276" w:lineRule="auto"/>
        <w:ind w:firstLine="567"/>
        <w:jc w:val="both"/>
        <w:rPr>
          <w:rFonts w:cs="Times New Roman"/>
          <w:color w:val="auto"/>
          <w:szCs w:val="24"/>
        </w:rPr>
      </w:pPr>
    </w:p>
    <w:p w14:paraId="06662FCA" w14:textId="04D8870D" w:rsidR="006042C8" w:rsidRDefault="006042C8" w:rsidP="005721A7">
      <w:pPr>
        <w:spacing w:after="0" w:line="276" w:lineRule="auto"/>
        <w:ind w:firstLine="567"/>
        <w:jc w:val="both"/>
        <w:rPr>
          <w:rFonts w:cs="Times New Roman"/>
          <w:color w:val="auto"/>
          <w:szCs w:val="24"/>
        </w:rPr>
      </w:pPr>
      <w:r>
        <w:rPr>
          <w:rFonts w:cs="Times New Roman"/>
          <w:color w:val="auto"/>
          <w:szCs w:val="24"/>
        </w:rPr>
        <w:t>[2]</w:t>
      </w:r>
      <w:r w:rsidR="00756A27">
        <w:rPr>
          <w:rFonts w:cs="Times New Roman"/>
          <w:color w:val="auto"/>
          <w:szCs w:val="24"/>
        </w:rPr>
        <w:t> </w:t>
      </w:r>
      <w:r>
        <w:rPr>
          <w:rFonts w:cs="Times New Roman"/>
          <w:color w:val="auto"/>
          <w:szCs w:val="24"/>
        </w:rPr>
        <w:t xml:space="preserve">Ieslodzījuma vietu pārvalde savā </w:t>
      </w:r>
      <w:proofErr w:type="gramStart"/>
      <w:r>
        <w:rPr>
          <w:rFonts w:cs="Times New Roman"/>
          <w:color w:val="auto"/>
          <w:szCs w:val="24"/>
        </w:rPr>
        <w:t>2019.gada</w:t>
      </w:r>
      <w:proofErr w:type="gramEnd"/>
      <w:r>
        <w:rPr>
          <w:rFonts w:cs="Times New Roman"/>
          <w:color w:val="auto"/>
          <w:szCs w:val="24"/>
        </w:rPr>
        <w:t xml:space="preserve"> 12.novembra atbildē Nr. 1.6-S/4214 paskaidrojusi, ka ieslodzījuma vietās uzstādīti informācijas kioski, lai nodrošinātu iespēju ieslodzītajiem patstāvīgi pieslēgties </w:t>
      </w:r>
      <w:r w:rsidR="00324371">
        <w:rPr>
          <w:rFonts w:cs="Times New Roman"/>
          <w:color w:val="auto"/>
          <w:szCs w:val="24"/>
        </w:rPr>
        <w:t xml:space="preserve">noteiktām tīmekļa vietnēm, kurās iespējams iepazīties ar oficiālo izdevumu un sistematizētajiem tiesību aktiem, kā arī nodrošināta piekļuve dažādu valsts iestāžu tīmekļa vietnēm, lai ieslodzītajiem būtu iespēja saņemt nepieciešamo informāciju konkrētās valsts iestādes </w:t>
      </w:r>
      <w:r w:rsidR="003A19EA">
        <w:rPr>
          <w:rFonts w:cs="Times New Roman"/>
          <w:color w:val="auto"/>
          <w:szCs w:val="24"/>
        </w:rPr>
        <w:t xml:space="preserve">darbības </w:t>
      </w:r>
      <w:r w:rsidR="00324371">
        <w:rPr>
          <w:rFonts w:cs="Times New Roman"/>
          <w:color w:val="auto"/>
          <w:szCs w:val="24"/>
        </w:rPr>
        <w:t>jomā. Žurnāla tīmekļa vietne nav iekļauta to resursu sarakstā, kas ir pieejama ieslodzījuma vietas informācijas kioskā.</w:t>
      </w:r>
    </w:p>
    <w:p w14:paraId="4B6381B4" w14:textId="77777777" w:rsidR="006042C8" w:rsidRDefault="006042C8" w:rsidP="005721A7">
      <w:pPr>
        <w:spacing w:after="0" w:line="276" w:lineRule="auto"/>
        <w:ind w:firstLine="567"/>
        <w:jc w:val="both"/>
        <w:rPr>
          <w:rFonts w:cs="Times New Roman"/>
          <w:color w:val="auto"/>
          <w:szCs w:val="24"/>
        </w:rPr>
      </w:pPr>
    </w:p>
    <w:p w14:paraId="7FDB674E" w14:textId="77777777" w:rsidR="00A335F0" w:rsidRDefault="00324371" w:rsidP="005721A7">
      <w:pPr>
        <w:spacing w:after="0" w:line="276" w:lineRule="auto"/>
        <w:ind w:firstLine="567"/>
        <w:jc w:val="both"/>
        <w:rPr>
          <w:rFonts w:cs="Times New Roman"/>
          <w:color w:val="auto"/>
          <w:szCs w:val="24"/>
        </w:rPr>
      </w:pPr>
      <w:r>
        <w:rPr>
          <w:rFonts w:cs="Times New Roman"/>
          <w:color w:val="auto"/>
          <w:szCs w:val="24"/>
        </w:rPr>
        <w:t>[3] </w:t>
      </w:r>
      <w:r w:rsidR="00A335F0">
        <w:rPr>
          <w:rFonts w:cs="Times New Roman"/>
          <w:color w:val="auto"/>
          <w:szCs w:val="24"/>
        </w:rPr>
        <w:t>Administratīvajā rajona tiesā saņemts pieteicēja pieteikums, kurā lūgts:</w:t>
      </w:r>
    </w:p>
    <w:p w14:paraId="69ED347F" w14:textId="0703CE60" w:rsidR="00A335F0" w:rsidRDefault="001E0E95" w:rsidP="00A335F0">
      <w:pPr>
        <w:pStyle w:val="ListParagraph"/>
        <w:numPr>
          <w:ilvl w:val="0"/>
          <w:numId w:val="1"/>
        </w:numPr>
        <w:spacing w:after="0" w:line="276" w:lineRule="auto"/>
        <w:jc w:val="both"/>
        <w:rPr>
          <w:rFonts w:cs="Times New Roman"/>
          <w:color w:val="auto"/>
          <w:szCs w:val="24"/>
        </w:rPr>
      </w:pPr>
      <w:r>
        <w:rPr>
          <w:rFonts w:cs="Times New Roman"/>
          <w:color w:val="auto"/>
          <w:szCs w:val="24"/>
        </w:rPr>
        <w:t xml:space="preserve">atzīt par prettiesisku Ieslodzījuma vietu pārvaldes faktisko rīcību, </w:t>
      </w:r>
      <w:r w:rsidR="00A335F0" w:rsidRPr="00A335F0">
        <w:rPr>
          <w:rFonts w:cs="Times New Roman"/>
          <w:color w:val="auto"/>
          <w:szCs w:val="24"/>
        </w:rPr>
        <w:t xml:space="preserve">nenodrošinot pieteicējam pieeju tīmekļa vietnei </w:t>
      </w:r>
      <w:hyperlink r:id="rId10" w:history="1">
        <w:r w:rsidR="00A335F0" w:rsidRPr="00BA1FB4">
          <w:rPr>
            <w:rStyle w:val="Hyperlink"/>
            <w:rFonts w:cs="Times New Roman"/>
            <w:i/>
            <w:iCs/>
            <w:color w:val="auto"/>
            <w:szCs w:val="24"/>
            <w:u w:val="none"/>
          </w:rPr>
          <w:t>www.juristavards.lv</w:t>
        </w:r>
      </w:hyperlink>
      <w:r>
        <w:rPr>
          <w:rFonts w:cs="Times New Roman"/>
          <w:color w:val="auto"/>
          <w:szCs w:val="24"/>
        </w:rPr>
        <w:t>;</w:t>
      </w:r>
      <w:r w:rsidR="00A335F0" w:rsidRPr="00A335F0">
        <w:rPr>
          <w:rFonts w:cs="Times New Roman"/>
          <w:color w:val="auto"/>
          <w:szCs w:val="24"/>
        </w:rPr>
        <w:t xml:space="preserve"> </w:t>
      </w:r>
    </w:p>
    <w:p w14:paraId="040FD848" w14:textId="0512C81F" w:rsidR="001E0E95" w:rsidRDefault="001E0E95" w:rsidP="00A335F0">
      <w:pPr>
        <w:pStyle w:val="ListParagraph"/>
        <w:numPr>
          <w:ilvl w:val="0"/>
          <w:numId w:val="1"/>
        </w:numPr>
        <w:spacing w:after="0" w:line="276" w:lineRule="auto"/>
        <w:jc w:val="both"/>
        <w:rPr>
          <w:rFonts w:cs="Times New Roman"/>
          <w:color w:val="auto"/>
          <w:szCs w:val="24"/>
        </w:rPr>
      </w:pPr>
      <w:r>
        <w:rPr>
          <w:rFonts w:cs="Times New Roman"/>
          <w:color w:val="auto"/>
          <w:szCs w:val="24"/>
        </w:rPr>
        <w:t>novērst ar Ieslodzījuma vietu pārvaldes faktisko rīcību radītās sekas un atļaut pieteicējam saņemt no radiniekiem datortehniku ar interneta pieslēgumu un e</w:t>
      </w:r>
      <w:r w:rsidR="00BA1FB4">
        <w:rPr>
          <w:rFonts w:cs="Times New Roman"/>
          <w:color w:val="auto"/>
          <w:szCs w:val="24"/>
        </w:rPr>
        <w:t xml:space="preserve">lektroniskā </w:t>
      </w:r>
      <w:r>
        <w:rPr>
          <w:rFonts w:cs="Times New Roman"/>
          <w:color w:val="auto"/>
          <w:szCs w:val="24"/>
        </w:rPr>
        <w:t>pasta adresi;</w:t>
      </w:r>
    </w:p>
    <w:p w14:paraId="60B2219D" w14:textId="4EDA5676" w:rsidR="001E0E95" w:rsidRPr="00A335F0" w:rsidRDefault="001E0E95" w:rsidP="00A335F0">
      <w:pPr>
        <w:pStyle w:val="ListParagraph"/>
        <w:numPr>
          <w:ilvl w:val="0"/>
          <w:numId w:val="1"/>
        </w:numPr>
        <w:spacing w:after="0" w:line="276" w:lineRule="auto"/>
        <w:jc w:val="both"/>
        <w:rPr>
          <w:rFonts w:cs="Times New Roman"/>
          <w:color w:val="auto"/>
          <w:szCs w:val="24"/>
        </w:rPr>
      </w:pPr>
      <w:r>
        <w:rPr>
          <w:rFonts w:cs="Times New Roman"/>
          <w:color w:val="auto"/>
          <w:szCs w:val="24"/>
        </w:rPr>
        <w:t>pieņemt lēmumu par pagaidu noregulējumu, uzliekot pienākumu Ieslodzījuma vietu pārvaldei atļaut pieteicējam saņemt no radiniekiem datortehniku ar interneta pieslēgumu un elektroniskā pasta adresi.</w:t>
      </w:r>
    </w:p>
    <w:p w14:paraId="2BA2304E" w14:textId="77777777" w:rsidR="00390F04" w:rsidRPr="007E34FC" w:rsidRDefault="00390F04" w:rsidP="001E0E95">
      <w:pPr>
        <w:spacing w:after="0" w:line="276" w:lineRule="auto"/>
        <w:jc w:val="both"/>
        <w:rPr>
          <w:rFonts w:cs="Times New Roman"/>
          <w:color w:val="auto"/>
          <w:szCs w:val="24"/>
        </w:rPr>
      </w:pPr>
    </w:p>
    <w:p w14:paraId="691BF0AF" w14:textId="3B84E405" w:rsidR="001E0E95" w:rsidRDefault="000E34D8" w:rsidP="00B318CD">
      <w:pPr>
        <w:spacing w:after="0" w:line="276" w:lineRule="auto"/>
        <w:ind w:firstLine="567"/>
        <w:jc w:val="both"/>
        <w:rPr>
          <w:rFonts w:cs="Times New Roman"/>
          <w:color w:val="auto"/>
          <w:szCs w:val="24"/>
        </w:rPr>
      </w:pPr>
      <w:r w:rsidRPr="007E34FC">
        <w:rPr>
          <w:rFonts w:cs="Times New Roman"/>
          <w:color w:val="auto"/>
          <w:szCs w:val="24"/>
        </w:rPr>
        <w:t>[</w:t>
      </w:r>
      <w:r w:rsidR="00365B09">
        <w:rPr>
          <w:rFonts w:cs="Times New Roman"/>
          <w:color w:val="auto"/>
          <w:szCs w:val="24"/>
        </w:rPr>
        <w:t>4</w:t>
      </w:r>
      <w:r w:rsidRPr="007E34FC">
        <w:rPr>
          <w:rFonts w:cs="Times New Roman"/>
          <w:color w:val="auto"/>
          <w:szCs w:val="24"/>
        </w:rPr>
        <w:t>]</w:t>
      </w:r>
      <w:r w:rsidR="00953019" w:rsidRPr="007E34FC">
        <w:rPr>
          <w:rFonts w:cs="Times New Roman"/>
          <w:color w:val="auto"/>
          <w:szCs w:val="24"/>
        </w:rPr>
        <w:t xml:space="preserve"> Ar </w:t>
      </w:r>
      <w:r w:rsidR="00B318CD" w:rsidRPr="007E34FC">
        <w:rPr>
          <w:rFonts w:cs="Times New Roman"/>
          <w:color w:val="auto"/>
          <w:szCs w:val="24"/>
        </w:rPr>
        <w:t xml:space="preserve">Administratīvās rajona tiesas </w:t>
      </w:r>
      <w:r w:rsidR="00953019" w:rsidRPr="007E34FC">
        <w:rPr>
          <w:rFonts w:cs="Times New Roman"/>
          <w:color w:val="auto"/>
          <w:szCs w:val="24"/>
        </w:rPr>
        <w:t xml:space="preserve">tiesneša </w:t>
      </w:r>
      <w:proofErr w:type="gramStart"/>
      <w:r w:rsidR="00953019" w:rsidRPr="007E34FC">
        <w:rPr>
          <w:rFonts w:cs="Times New Roman"/>
          <w:color w:val="auto"/>
          <w:szCs w:val="24"/>
        </w:rPr>
        <w:t>20</w:t>
      </w:r>
      <w:r w:rsidR="001E0E95">
        <w:rPr>
          <w:rFonts w:cs="Times New Roman"/>
          <w:color w:val="auto"/>
          <w:szCs w:val="24"/>
        </w:rPr>
        <w:t>20</w:t>
      </w:r>
      <w:r w:rsidR="00953019" w:rsidRPr="007E34FC">
        <w:rPr>
          <w:rFonts w:cs="Times New Roman"/>
          <w:color w:val="auto"/>
          <w:szCs w:val="24"/>
        </w:rPr>
        <w:t>.gada</w:t>
      </w:r>
      <w:proofErr w:type="gramEnd"/>
      <w:r w:rsidR="00953019" w:rsidRPr="007E34FC">
        <w:rPr>
          <w:rFonts w:cs="Times New Roman"/>
          <w:color w:val="auto"/>
          <w:szCs w:val="24"/>
        </w:rPr>
        <w:t xml:space="preserve"> </w:t>
      </w:r>
      <w:r w:rsidR="001E0E95">
        <w:rPr>
          <w:rFonts w:cs="Times New Roman"/>
          <w:color w:val="auto"/>
          <w:szCs w:val="24"/>
        </w:rPr>
        <w:t>24</w:t>
      </w:r>
      <w:r w:rsidR="00953019" w:rsidRPr="007E34FC">
        <w:rPr>
          <w:rFonts w:cs="Times New Roman"/>
          <w:color w:val="auto"/>
          <w:szCs w:val="24"/>
        </w:rPr>
        <w:t>.</w:t>
      </w:r>
      <w:r w:rsidR="001E0E95">
        <w:rPr>
          <w:rFonts w:cs="Times New Roman"/>
          <w:color w:val="auto"/>
          <w:szCs w:val="24"/>
        </w:rPr>
        <w:t>aprīļa</w:t>
      </w:r>
      <w:r w:rsidR="00953019" w:rsidRPr="007E34FC">
        <w:rPr>
          <w:rFonts w:cs="Times New Roman"/>
          <w:color w:val="auto"/>
          <w:szCs w:val="24"/>
        </w:rPr>
        <w:t xml:space="preserve"> lēmumu </w:t>
      </w:r>
      <w:r w:rsidR="00365B09">
        <w:rPr>
          <w:rFonts w:cs="Times New Roman"/>
          <w:color w:val="auto"/>
          <w:szCs w:val="24"/>
        </w:rPr>
        <w:t>pieteikumu atteikts pieņemt, pamatojoties uz Administratīvā procesa likuma 191.panta pirmās daļas 1.punktu</w:t>
      </w:r>
      <w:r w:rsidR="00BA1FB4">
        <w:rPr>
          <w:rFonts w:cs="Times New Roman"/>
          <w:color w:val="auto"/>
          <w:szCs w:val="24"/>
        </w:rPr>
        <w:t>.</w:t>
      </w:r>
      <w:r w:rsidR="00365B09">
        <w:rPr>
          <w:rFonts w:cs="Times New Roman"/>
          <w:color w:val="auto"/>
          <w:szCs w:val="24"/>
        </w:rPr>
        <w:t xml:space="preserve"> </w:t>
      </w:r>
      <w:r w:rsidR="00BA1FB4">
        <w:rPr>
          <w:rFonts w:cs="Times New Roman"/>
          <w:color w:val="auto"/>
          <w:szCs w:val="24"/>
        </w:rPr>
        <w:t>T</w:t>
      </w:r>
      <w:r w:rsidR="00365B09">
        <w:rPr>
          <w:rFonts w:cs="Times New Roman"/>
          <w:color w:val="auto"/>
          <w:szCs w:val="24"/>
        </w:rPr>
        <w:t>iesnesis atzina, ka pieteikums nav izskatāms administratīvā procesa kārtībā.</w:t>
      </w:r>
    </w:p>
    <w:p w14:paraId="3EB5D24A" w14:textId="706E3C2D" w:rsidR="00365B09" w:rsidRDefault="00365B09" w:rsidP="005A78C8">
      <w:pPr>
        <w:spacing w:after="0" w:line="276" w:lineRule="auto"/>
        <w:ind w:firstLine="567"/>
        <w:jc w:val="both"/>
        <w:rPr>
          <w:rFonts w:cs="Times New Roman"/>
          <w:color w:val="auto"/>
          <w:szCs w:val="24"/>
        </w:rPr>
      </w:pPr>
      <w:r>
        <w:rPr>
          <w:rFonts w:cs="Times New Roman"/>
          <w:color w:val="auto"/>
          <w:szCs w:val="24"/>
        </w:rPr>
        <w:t>[4.1] </w:t>
      </w:r>
      <w:r w:rsidR="0062761F">
        <w:rPr>
          <w:rFonts w:cs="Times New Roman"/>
          <w:color w:val="auto"/>
          <w:szCs w:val="24"/>
        </w:rPr>
        <w:t xml:space="preserve">Lēmumi vai rīcība, kas veikta valsts pārvaldes iekšienē, parasti nav izskatāma administratīvā procesa kārtībā, bet tiek risināta valsts pārvaldes ietvaros. Tomēr atsevišķos gadījumos, ņemot vērā administratīvā procesa kā cilvēktiesību aizsardzības mehānisma raksturu </w:t>
      </w:r>
      <w:r w:rsidR="0062761F">
        <w:rPr>
          <w:rFonts w:cs="Times New Roman"/>
          <w:color w:val="auto"/>
          <w:szCs w:val="24"/>
        </w:rPr>
        <w:lastRenderedPageBreak/>
        <w:t xml:space="preserve">un personai radīto seku būtiskumu, valsts pārvaldes ietvaros izveidojušās tiesiskās attiecības tiek pakļautas izskatīšanai administratīvā procesa kārtībā. Līdz ar to ir noskaidrojams, vai apstāklis, ka pieteicējam ieslodzījuma vietā netiek nodrošināta pieeja </w:t>
      </w:r>
      <w:r w:rsidR="00BA30E0">
        <w:rPr>
          <w:rFonts w:cs="Times New Roman"/>
          <w:color w:val="auto"/>
          <w:szCs w:val="24"/>
        </w:rPr>
        <w:t xml:space="preserve">konkrētai </w:t>
      </w:r>
      <w:r w:rsidR="0062761F">
        <w:rPr>
          <w:rFonts w:cs="Times New Roman"/>
          <w:color w:val="auto"/>
          <w:szCs w:val="24"/>
        </w:rPr>
        <w:t>tīmekļa vietnei, rada pieteicējam kādas cilvēktiesības būtisku aizskārumu</w:t>
      </w:r>
      <w:r w:rsidR="00BA1FB4">
        <w:rPr>
          <w:rFonts w:cs="Times New Roman"/>
          <w:color w:val="auto"/>
          <w:szCs w:val="24"/>
        </w:rPr>
        <w:t>,</w:t>
      </w:r>
      <w:r w:rsidR="0062761F">
        <w:rPr>
          <w:rFonts w:cs="Times New Roman"/>
          <w:color w:val="auto"/>
          <w:szCs w:val="24"/>
        </w:rPr>
        <w:t xml:space="preserve"> un attiecīgi, </w:t>
      </w:r>
      <w:proofErr w:type="gramStart"/>
      <w:r w:rsidR="0062761F">
        <w:rPr>
          <w:rFonts w:cs="Times New Roman"/>
          <w:color w:val="auto"/>
          <w:szCs w:val="24"/>
        </w:rPr>
        <w:t>vai šāda rīcība ir atzīstama par iestādes faktisko rīcību Administratīvā procesa likuma izpratnē un ir</w:t>
      </w:r>
      <w:proofErr w:type="gramEnd"/>
      <w:r w:rsidR="0062761F">
        <w:rPr>
          <w:rFonts w:cs="Times New Roman"/>
          <w:color w:val="auto"/>
          <w:szCs w:val="24"/>
        </w:rPr>
        <w:t xml:space="preserve"> </w:t>
      </w:r>
      <w:r w:rsidR="00BA1FB4">
        <w:rPr>
          <w:rFonts w:cs="Times New Roman"/>
          <w:color w:val="auto"/>
          <w:szCs w:val="24"/>
        </w:rPr>
        <w:t>iz</w:t>
      </w:r>
      <w:r w:rsidR="0062761F">
        <w:rPr>
          <w:rFonts w:cs="Times New Roman"/>
          <w:color w:val="auto"/>
          <w:szCs w:val="24"/>
        </w:rPr>
        <w:t xml:space="preserve">skatāma administratīvā procesa kārtībā. </w:t>
      </w:r>
    </w:p>
    <w:p w14:paraId="755C0779" w14:textId="1040ED2B" w:rsidR="00BA30E0" w:rsidRDefault="0062761F" w:rsidP="00B318CD">
      <w:pPr>
        <w:spacing w:after="0" w:line="276" w:lineRule="auto"/>
        <w:ind w:firstLine="567"/>
        <w:jc w:val="both"/>
        <w:rPr>
          <w:rFonts w:cs="Times New Roman"/>
          <w:color w:val="auto"/>
          <w:szCs w:val="24"/>
        </w:rPr>
      </w:pPr>
      <w:r>
        <w:rPr>
          <w:rFonts w:cs="Times New Roman"/>
          <w:color w:val="auto"/>
          <w:szCs w:val="24"/>
        </w:rPr>
        <w:t>[4.2] No pieteikuma satura izriet, ka pieteikuma ietvaros identificējamā</w:t>
      </w:r>
      <w:r w:rsidR="00BE0926">
        <w:rPr>
          <w:rFonts w:cs="Times New Roman"/>
          <w:color w:val="auto"/>
          <w:szCs w:val="24"/>
        </w:rPr>
        <w:t>s</w:t>
      </w:r>
      <w:r>
        <w:rPr>
          <w:rFonts w:cs="Times New Roman"/>
          <w:color w:val="auto"/>
          <w:szCs w:val="24"/>
        </w:rPr>
        <w:t xml:space="preserve"> cilvēktiesība</w:t>
      </w:r>
      <w:r w:rsidR="00BE0926">
        <w:rPr>
          <w:rFonts w:cs="Times New Roman"/>
          <w:color w:val="auto"/>
          <w:szCs w:val="24"/>
        </w:rPr>
        <w:t>s</w:t>
      </w:r>
      <w:r>
        <w:rPr>
          <w:rFonts w:cs="Times New Roman"/>
          <w:color w:val="auto"/>
          <w:szCs w:val="24"/>
        </w:rPr>
        <w:t>, kur</w:t>
      </w:r>
      <w:r w:rsidR="00BE0926">
        <w:rPr>
          <w:rFonts w:cs="Times New Roman"/>
          <w:color w:val="auto"/>
          <w:szCs w:val="24"/>
        </w:rPr>
        <w:t>u</w:t>
      </w:r>
      <w:r>
        <w:rPr>
          <w:rFonts w:cs="Times New Roman"/>
          <w:color w:val="auto"/>
          <w:szCs w:val="24"/>
        </w:rPr>
        <w:t xml:space="preserve"> aizskāruma būtiskums būtu izvērtējams pieteikuma pieļaujamības kontekstā, ir </w:t>
      </w:r>
      <w:r w:rsidR="00BA1FB4">
        <w:rPr>
          <w:rFonts w:cs="Times New Roman"/>
          <w:color w:val="auto"/>
          <w:szCs w:val="24"/>
        </w:rPr>
        <w:t xml:space="preserve">Latvijas Republikas </w:t>
      </w:r>
      <w:r>
        <w:rPr>
          <w:rFonts w:cs="Times New Roman"/>
          <w:color w:val="auto"/>
          <w:szCs w:val="24"/>
        </w:rPr>
        <w:t xml:space="preserve">Satversmes </w:t>
      </w:r>
      <w:r w:rsidR="00BA1FB4">
        <w:rPr>
          <w:rFonts w:cs="Times New Roman"/>
          <w:color w:val="auto"/>
          <w:szCs w:val="24"/>
        </w:rPr>
        <w:t xml:space="preserve">(turpmāk – Satversme) </w:t>
      </w:r>
      <w:proofErr w:type="gramStart"/>
      <w:r>
        <w:rPr>
          <w:rFonts w:cs="Times New Roman"/>
          <w:color w:val="auto"/>
          <w:szCs w:val="24"/>
        </w:rPr>
        <w:t>100.pantā</w:t>
      </w:r>
      <w:proofErr w:type="gramEnd"/>
      <w:r>
        <w:rPr>
          <w:rFonts w:cs="Times New Roman"/>
          <w:color w:val="auto"/>
          <w:szCs w:val="24"/>
        </w:rPr>
        <w:t xml:space="preserve"> noteiktās tiesības brīvi iegūt informāciju un 105.pantā noteiktās tiesības uz īpašumu. </w:t>
      </w:r>
    </w:p>
    <w:p w14:paraId="35FFE228" w14:textId="3BCDE122" w:rsidR="00BE0926" w:rsidRDefault="00BE0926" w:rsidP="00B318CD">
      <w:pPr>
        <w:spacing w:after="0" w:line="276" w:lineRule="auto"/>
        <w:ind w:firstLine="567"/>
        <w:jc w:val="both"/>
        <w:rPr>
          <w:rFonts w:cs="Times New Roman"/>
          <w:color w:val="auto"/>
          <w:szCs w:val="24"/>
        </w:rPr>
      </w:pPr>
      <w:r>
        <w:rPr>
          <w:rFonts w:cs="Times New Roman"/>
          <w:color w:val="auto"/>
          <w:szCs w:val="24"/>
        </w:rPr>
        <w:t>Kaut arī no pieteikuma izriet, ka pieteic</w:t>
      </w:r>
      <w:r w:rsidR="00BA30E0">
        <w:rPr>
          <w:rFonts w:cs="Times New Roman"/>
          <w:color w:val="auto"/>
          <w:szCs w:val="24"/>
        </w:rPr>
        <w:t xml:space="preserve">ējs nav apmierināts ar kārtību, kādā ieslodzījuma vietā var iepazīties ar interneta resursiem, tomēr no pieteikuma un tam pievienotajiem dokumentiem neizriet, ka pieteicējam nav nodrošināta bezmaksas pieeja oficiālā izdevuma </w:t>
      </w:r>
      <w:r w:rsidR="003A19EA">
        <w:rPr>
          <w:rFonts w:cs="Times New Roman"/>
          <w:color w:val="auto"/>
          <w:szCs w:val="24"/>
        </w:rPr>
        <w:t>„</w:t>
      </w:r>
      <w:r w:rsidR="00BA30E0">
        <w:rPr>
          <w:rFonts w:cs="Times New Roman"/>
          <w:color w:val="auto"/>
          <w:szCs w:val="24"/>
        </w:rPr>
        <w:t xml:space="preserve">Latvijas Vēstnesis” tīmekļa vietnei </w:t>
      </w:r>
      <w:hyperlink r:id="rId11" w:history="1">
        <w:r w:rsidR="00BA30E0" w:rsidRPr="00BA1FB4">
          <w:rPr>
            <w:rStyle w:val="Hyperlink"/>
            <w:rFonts w:cs="Times New Roman"/>
            <w:i/>
            <w:iCs/>
            <w:color w:val="auto"/>
            <w:szCs w:val="24"/>
            <w:u w:val="none"/>
          </w:rPr>
          <w:t>www.vestnesis.lv</w:t>
        </w:r>
      </w:hyperlink>
      <w:r w:rsidR="00BA30E0">
        <w:rPr>
          <w:rFonts w:cs="Times New Roman"/>
          <w:color w:val="auto"/>
          <w:szCs w:val="24"/>
        </w:rPr>
        <w:t xml:space="preserve"> un </w:t>
      </w:r>
      <w:hyperlink r:id="rId12" w:history="1">
        <w:r w:rsidR="00BA30E0" w:rsidRPr="00BA1FB4">
          <w:rPr>
            <w:rStyle w:val="Hyperlink"/>
            <w:rFonts w:cs="Times New Roman"/>
            <w:i/>
            <w:iCs/>
            <w:color w:val="auto"/>
            <w:szCs w:val="24"/>
            <w:u w:val="none"/>
          </w:rPr>
          <w:t>www.likumi.lv</w:t>
        </w:r>
      </w:hyperlink>
      <w:r w:rsidR="00BA30E0">
        <w:rPr>
          <w:rFonts w:cs="Times New Roman"/>
          <w:color w:val="auto"/>
          <w:szCs w:val="24"/>
        </w:rPr>
        <w:t>, kā arī citiem Ieslodzījuma vietu pārvaldes norādītajiem interneta resursiem. Tādējādi nav pamata atzīt, ka pieteicējam nebūtu nodrošinātas tiesības iegūt informāciju, kā to reglament</w:t>
      </w:r>
      <w:r w:rsidR="00BA1FB4">
        <w:rPr>
          <w:rFonts w:cs="Times New Roman"/>
          <w:color w:val="auto"/>
          <w:szCs w:val="24"/>
        </w:rPr>
        <w:t>ē</w:t>
      </w:r>
      <w:r w:rsidR="00BA30E0">
        <w:rPr>
          <w:rFonts w:cs="Times New Roman"/>
          <w:color w:val="auto"/>
          <w:szCs w:val="24"/>
        </w:rPr>
        <w:t xml:space="preserve"> Oficiālo publikāciju un tiesiskās informācijas likuma 1.pants. </w:t>
      </w:r>
    </w:p>
    <w:p w14:paraId="30D8ED56" w14:textId="4A31910E" w:rsidR="00BA30E0" w:rsidRDefault="00BA30E0" w:rsidP="00B318CD">
      <w:pPr>
        <w:spacing w:after="0" w:line="276" w:lineRule="auto"/>
        <w:ind w:firstLine="567"/>
        <w:jc w:val="both"/>
        <w:rPr>
          <w:rFonts w:cs="Times New Roman"/>
          <w:color w:val="auto"/>
          <w:szCs w:val="24"/>
        </w:rPr>
      </w:pPr>
      <w:r>
        <w:rPr>
          <w:rFonts w:cs="Times New Roman"/>
          <w:color w:val="auto"/>
          <w:szCs w:val="24"/>
        </w:rPr>
        <w:t>[4.3] Žurnāla elektroniskā versija nav iegādāta par papildu samaksu atsevišķi no žurnāla drukātās versijas. Turklāt no pieteicēja un žurnāla izdevēja sniegtās informācijas izriet, ka žurnāla elektroniskā versija ir bez maksas. Pieteicēj</w:t>
      </w:r>
      <w:r w:rsidR="00BA1FB4">
        <w:rPr>
          <w:rFonts w:cs="Times New Roman"/>
          <w:color w:val="auto"/>
          <w:szCs w:val="24"/>
        </w:rPr>
        <w:t>s</w:t>
      </w:r>
      <w:r>
        <w:rPr>
          <w:rFonts w:cs="Times New Roman"/>
          <w:color w:val="auto"/>
          <w:szCs w:val="24"/>
        </w:rPr>
        <w:t xml:space="preserve"> nav pamatojis nepieciešamību izmantot tieši žurnāla elektronisko versiju, ja ir pieejama žurnāla drukātā versija. </w:t>
      </w:r>
    </w:p>
    <w:p w14:paraId="306EAE15" w14:textId="72863350" w:rsidR="00BA30E0" w:rsidRDefault="00BA30E0" w:rsidP="00B318CD">
      <w:pPr>
        <w:spacing w:after="0" w:line="276" w:lineRule="auto"/>
        <w:ind w:firstLine="567"/>
        <w:jc w:val="both"/>
        <w:rPr>
          <w:rFonts w:cs="Times New Roman"/>
          <w:color w:val="auto"/>
          <w:szCs w:val="24"/>
        </w:rPr>
      </w:pPr>
      <w:r>
        <w:rPr>
          <w:rFonts w:cs="Times New Roman"/>
          <w:color w:val="auto"/>
          <w:szCs w:val="24"/>
        </w:rPr>
        <w:t xml:space="preserve">Ieslodzījuma vietu pārvalde var izvērtēt ierosinājumu nodrošināt pieeju konkrētai tīmekļa vietnei, tomēr pieteicēja tiesības uz abonēto žurnālu un tiesības uz informāciju pietiekami tiek aizsargātas, nodrošinot pieeju žurnāla drukas versijai un ieslodzījuma vietā pieejamiem interneta resursiem. </w:t>
      </w:r>
    </w:p>
    <w:p w14:paraId="549EC3BE" w14:textId="2E6190E6" w:rsidR="00BA30E0" w:rsidRDefault="00BA30E0" w:rsidP="00B318CD">
      <w:pPr>
        <w:spacing w:after="0" w:line="276" w:lineRule="auto"/>
        <w:ind w:firstLine="567"/>
        <w:jc w:val="both"/>
        <w:rPr>
          <w:rFonts w:cs="Times New Roman"/>
          <w:color w:val="auto"/>
          <w:szCs w:val="24"/>
        </w:rPr>
      </w:pPr>
      <w:r>
        <w:rPr>
          <w:rFonts w:cs="Times New Roman"/>
          <w:color w:val="auto"/>
          <w:szCs w:val="24"/>
        </w:rPr>
        <w:t xml:space="preserve">[4.4] Atrodoties brīvības atņemšanas iestādē, ieslodzītajai personai ir jārēķinās ar to, ka tā ir pakļauta dažādiem brīvības ierobežojumiem, </w:t>
      </w:r>
      <w:r w:rsidR="00BA1FB4">
        <w:rPr>
          <w:rFonts w:cs="Times New Roman"/>
          <w:color w:val="auto"/>
          <w:szCs w:val="24"/>
        </w:rPr>
        <w:t>arī</w:t>
      </w:r>
      <w:r>
        <w:rPr>
          <w:rFonts w:cs="Times New Roman"/>
          <w:color w:val="auto"/>
          <w:szCs w:val="24"/>
        </w:rPr>
        <w:t xml:space="preserve"> attiecībā uz datortehnikas un interneta resursu lietošanas brīvību. Personas subjektīvajai neērtībai šajā gadījumā nevar būt noteicošā loma. </w:t>
      </w:r>
      <w:r w:rsidR="00020B11">
        <w:rPr>
          <w:rFonts w:cs="Times New Roman"/>
          <w:color w:val="auto"/>
          <w:szCs w:val="24"/>
        </w:rPr>
        <w:t xml:space="preserve">Pieteicējam radītās neērtības nav atzīstamas par tādām, kas norāda uz būtisku cilvēktiesību ierobežojumu. Tādēļ nav konstatējams būtisks Satversmes 100. un </w:t>
      </w:r>
      <w:proofErr w:type="gramStart"/>
      <w:r w:rsidR="00020B11">
        <w:rPr>
          <w:rFonts w:cs="Times New Roman"/>
          <w:color w:val="auto"/>
          <w:szCs w:val="24"/>
        </w:rPr>
        <w:t>105.pantā</w:t>
      </w:r>
      <w:proofErr w:type="gramEnd"/>
      <w:r w:rsidR="00020B11">
        <w:rPr>
          <w:rFonts w:cs="Times New Roman"/>
          <w:color w:val="auto"/>
          <w:szCs w:val="24"/>
        </w:rPr>
        <w:t xml:space="preserve"> noteikto tiesību ierobežojums un pārsūdzētā Ieslodzījuma vietu pārvaldes rīcība nav atzīstama par iestādes faktisko rīcību Administratīvā procesa likuma izpratnē. </w:t>
      </w:r>
    </w:p>
    <w:p w14:paraId="1A86F53B" w14:textId="793ED44E" w:rsidR="00B318CD" w:rsidRDefault="00020B11" w:rsidP="00020B11">
      <w:pPr>
        <w:spacing w:after="0" w:line="276" w:lineRule="auto"/>
        <w:ind w:firstLine="567"/>
        <w:jc w:val="both"/>
        <w:rPr>
          <w:rFonts w:cs="Times New Roman"/>
          <w:color w:val="auto"/>
          <w:szCs w:val="24"/>
        </w:rPr>
      </w:pPr>
      <w:r>
        <w:rPr>
          <w:rFonts w:cs="Times New Roman"/>
          <w:color w:val="auto"/>
          <w:szCs w:val="24"/>
        </w:rPr>
        <w:t xml:space="preserve">[4.5] Tā kā konkrētajā gadījumā ir atsakāms pieņemt pieteikumu, nav pamata lemt lūgumu par pagaidu noregulējumu. </w:t>
      </w:r>
    </w:p>
    <w:p w14:paraId="3D4CF6BB" w14:textId="77777777" w:rsidR="00445A7F" w:rsidRPr="007E34FC" w:rsidRDefault="00445A7F" w:rsidP="00904635">
      <w:pPr>
        <w:spacing w:after="0" w:line="276" w:lineRule="auto"/>
        <w:ind w:firstLine="567"/>
        <w:jc w:val="both"/>
        <w:rPr>
          <w:rFonts w:cs="Times New Roman"/>
          <w:color w:val="auto"/>
          <w:szCs w:val="24"/>
        </w:rPr>
      </w:pPr>
    </w:p>
    <w:p w14:paraId="3B94C878" w14:textId="77777777" w:rsidR="00020B11" w:rsidRDefault="00953019" w:rsidP="00020B11">
      <w:pPr>
        <w:spacing w:after="0" w:line="276" w:lineRule="auto"/>
        <w:ind w:firstLine="567"/>
        <w:jc w:val="both"/>
        <w:rPr>
          <w:rFonts w:cs="Times New Roman"/>
          <w:color w:val="auto"/>
          <w:szCs w:val="24"/>
        </w:rPr>
      </w:pPr>
      <w:r w:rsidRPr="007E34FC">
        <w:rPr>
          <w:rFonts w:cs="Times New Roman"/>
          <w:color w:val="auto"/>
          <w:szCs w:val="24"/>
        </w:rPr>
        <w:t>[</w:t>
      </w:r>
      <w:r w:rsidR="00020B11">
        <w:rPr>
          <w:rFonts w:cs="Times New Roman"/>
          <w:color w:val="auto"/>
          <w:szCs w:val="24"/>
        </w:rPr>
        <w:t>5</w:t>
      </w:r>
      <w:r w:rsidRPr="007E34FC">
        <w:rPr>
          <w:rFonts w:cs="Times New Roman"/>
          <w:color w:val="auto"/>
          <w:szCs w:val="24"/>
        </w:rPr>
        <w:t>] Senātā saņemta pieteicēja blakus sūdzība par rajona tiesas tiesneša lēmumu</w:t>
      </w:r>
      <w:r w:rsidR="00020B11">
        <w:rPr>
          <w:rFonts w:cs="Times New Roman"/>
          <w:color w:val="auto"/>
          <w:szCs w:val="24"/>
        </w:rPr>
        <w:t>, kurā norādīti turpmāk minētie argumenti.</w:t>
      </w:r>
    </w:p>
    <w:p w14:paraId="1F0E442B" w14:textId="7BB625F2" w:rsidR="00020B11" w:rsidRDefault="00020B11" w:rsidP="00020B11">
      <w:pPr>
        <w:spacing w:after="0" w:line="276" w:lineRule="auto"/>
        <w:ind w:firstLine="567"/>
        <w:jc w:val="both"/>
        <w:rPr>
          <w:rFonts w:cs="Times New Roman"/>
          <w:color w:val="auto"/>
          <w:szCs w:val="24"/>
        </w:rPr>
      </w:pPr>
      <w:r>
        <w:rPr>
          <w:rFonts w:cs="Times New Roman"/>
          <w:color w:val="auto"/>
          <w:szCs w:val="24"/>
        </w:rPr>
        <w:t xml:space="preserve">[5.1] Žurnāls atbilstoši Oficiālo publikāciju un tiesiskās informācijas likuma </w:t>
      </w:r>
      <w:proofErr w:type="gramStart"/>
      <w:r>
        <w:rPr>
          <w:rFonts w:cs="Times New Roman"/>
          <w:color w:val="auto"/>
          <w:szCs w:val="24"/>
        </w:rPr>
        <w:t>2.pantam</w:t>
      </w:r>
      <w:proofErr w:type="gramEnd"/>
      <w:r>
        <w:rPr>
          <w:rFonts w:cs="Times New Roman"/>
          <w:color w:val="auto"/>
          <w:szCs w:val="24"/>
        </w:rPr>
        <w:t>, 3.panta otrajai daļai</w:t>
      </w:r>
      <w:r w:rsidR="00B5308F">
        <w:rPr>
          <w:rFonts w:cs="Times New Roman"/>
          <w:color w:val="auto"/>
          <w:szCs w:val="24"/>
        </w:rPr>
        <w:t xml:space="preserve">, 14.panta otrajai un trešajai daļai un </w:t>
      </w:r>
      <w:r w:rsidR="00BA1FB4">
        <w:rPr>
          <w:rFonts w:cs="Times New Roman"/>
          <w:color w:val="auto"/>
          <w:szCs w:val="24"/>
        </w:rPr>
        <w:t>p</w:t>
      </w:r>
      <w:r w:rsidR="00B5308F">
        <w:rPr>
          <w:rFonts w:cs="Times New Roman"/>
          <w:color w:val="auto"/>
          <w:szCs w:val="24"/>
        </w:rPr>
        <w:t>ārejas noteikumu 3.punktam</w:t>
      </w:r>
      <w:r>
        <w:rPr>
          <w:rFonts w:cs="Times New Roman"/>
          <w:color w:val="auto"/>
          <w:szCs w:val="24"/>
        </w:rPr>
        <w:t xml:space="preserve"> ir oficiāla publikācija, jo veicina izpratni par normatīvajos aktos noteiktajām privātpersonu tiesībām un pienākumiem</w:t>
      </w:r>
      <w:r w:rsidR="00B5308F">
        <w:rPr>
          <w:rFonts w:cs="Times New Roman"/>
          <w:color w:val="auto"/>
          <w:szCs w:val="24"/>
        </w:rPr>
        <w:t>.</w:t>
      </w:r>
    </w:p>
    <w:p w14:paraId="4DB66BD0" w14:textId="2B425F5D" w:rsidR="00B5308F" w:rsidRDefault="00B5308F" w:rsidP="00020B11">
      <w:pPr>
        <w:spacing w:after="0" w:line="276" w:lineRule="auto"/>
        <w:ind w:firstLine="567"/>
        <w:jc w:val="both"/>
        <w:rPr>
          <w:rFonts w:cs="Times New Roman"/>
          <w:color w:val="auto"/>
          <w:szCs w:val="24"/>
        </w:rPr>
      </w:pPr>
      <w:r>
        <w:rPr>
          <w:rFonts w:cs="Times New Roman"/>
          <w:color w:val="auto"/>
          <w:szCs w:val="24"/>
        </w:rPr>
        <w:t>[5.2] Liedzot pieeju žurnāla elektroniskajai versijai</w:t>
      </w:r>
      <w:r w:rsidR="00767DFF">
        <w:rPr>
          <w:rFonts w:cs="Times New Roman"/>
          <w:color w:val="auto"/>
          <w:szCs w:val="24"/>
        </w:rPr>
        <w:t>,</w:t>
      </w:r>
      <w:r>
        <w:rPr>
          <w:rFonts w:cs="Times New Roman"/>
          <w:color w:val="auto"/>
          <w:szCs w:val="24"/>
        </w:rPr>
        <w:t xml:space="preserve"> tiek aizskartas Satversmes </w:t>
      </w:r>
      <w:proofErr w:type="gramStart"/>
      <w:r>
        <w:rPr>
          <w:rFonts w:cs="Times New Roman"/>
          <w:color w:val="auto"/>
          <w:szCs w:val="24"/>
        </w:rPr>
        <w:t>90.pantā</w:t>
      </w:r>
      <w:proofErr w:type="gramEnd"/>
      <w:r>
        <w:rPr>
          <w:rFonts w:cs="Times New Roman"/>
          <w:color w:val="auto"/>
          <w:szCs w:val="24"/>
        </w:rPr>
        <w:t xml:space="preserve"> ietvertās pamattiesības, jo Ieslodzījuma vietu pārvalde nenodrošina ieslodzītajām personām piekļuvi oficiālajiem izdevumiem. Tiesneša</w:t>
      </w:r>
      <w:r w:rsidR="00767DFF">
        <w:rPr>
          <w:rFonts w:cs="Times New Roman"/>
          <w:color w:val="auto"/>
          <w:szCs w:val="24"/>
        </w:rPr>
        <w:t xml:space="preserve"> lēmums</w:t>
      </w:r>
      <w:r>
        <w:rPr>
          <w:rFonts w:cs="Times New Roman"/>
          <w:color w:val="auto"/>
          <w:szCs w:val="24"/>
        </w:rPr>
        <w:t xml:space="preserve"> ir prettiesisks, jo Satversmes </w:t>
      </w:r>
      <w:proofErr w:type="gramStart"/>
      <w:r>
        <w:rPr>
          <w:rFonts w:cs="Times New Roman"/>
          <w:color w:val="auto"/>
          <w:szCs w:val="24"/>
        </w:rPr>
        <w:t>90.pantā</w:t>
      </w:r>
      <w:proofErr w:type="gramEnd"/>
      <w:r>
        <w:rPr>
          <w:rFonts w:cs="Times New Roman"/>
          <w:color w:val="auto"/>
          <w:szCs w:val="24"/>
        </w:rPr>
        <w:t xml:space="preserve"> ietvertās tiesības nevar ierobežot.</w:t>
      </w:r>
    </w:p>
    <w:p w14:paraId="14332D77" w14:textId="6DBDA7BA" w:rsidR="004F505E" w:rsidRDefault="004F505E" w:rsidP="00020B11">
      <w:pPr>
        <w:spacing w:after="0" w:line="276" w:lineRule="auto"/>
        <w:ind w:firstLine="567"/>
        <w:jc w:val="both"/>
        <w:rPr>
          <w:rFonts w:cs="Times New Roman"/>
          <w:color w:val="auto"/>
          <w:szCs w:val="24"/>
        </w:rPr>
      </w:pPr>
      <w:r>
        <w:rPr>
          <w:rFonts w:cs="Times New Roman"/>
          <w:color w:val="auto"/>
          <w:szCs w:val="24"/>
        </w:rPr>
        <w:lastRenderedPageBreak/>
        <w:t xml:space="preserve">[5.3] Tiesnesis atsaucies uz Ministru kabineta </w:t>
      </w:r>
      <w:proofErr w:type="gramStart"/>
      <w:r>
        <w:rPr>
          <w:rFonts w:cs="Times New Roman"/>
          <w:color w:val="auto"/>
          <w:szCs w:val="24"/>
        </w:rPr>
        <w:t>2006.gada</w:t>
      </w:r>
      <w:proofErr w:type="gramEnd"/>
      <w:r>
        <w:rPr>
          <w:rFonts w:cs="Times New Roman"/>
          <w:color w:val="auto"/>
          <w:szCs w:val="24"/>
        </w:rPr>
        <w:t xml:space="preserve"> 30.maija noteikumu Nr. 423 „Brīvības atņemšanas iestādes iekšējās kārtības noteikumi” normu, kura nav spēkā vai neatbilst judikatūras atziņām</w:t>
      </w:r>
      <w:r w:rsidR="009B73B3">
        <w:rPr>
          <w:rFonts w:cs="Times New Roman"/>
          <w:color w:val="auto"/>
          <w:szCs w:val="24"/>
        </w:rPr>
        <w:t>.</w:t>
      </w:r>
    </w:p>
    <w:p w14:paraId="124CF847" w14:textId="554D6C4E" w:rsidR="00B5308F" w:rsidRDefault="00B5308F" w:rsidP="00020B11">
      <w:pPr>
        <w:spacing w:after="0" w:line="276" w:lineRule="auto"/>
        <w:ind w:firstLine="567"/>
        <w:jc w:val="both"/>
        <w:rPr>
          <w:rFonts w:cs="Times New Roman"/>
          <w:color w:val="auto"/>
          <w:szCs w:val="24"/>
        </w:rPr>
      </w:pPr>
      <w:r>
        <w:rPr>
          <w:rFonts w:cs="Times New Roman"/>
          <w:color w:val="auto"/>
          <w:szCs w:val="24"/>
        </w:rPr>
        <w:t>[5.</w:t>
      </w:r>
      <w:r w:rsidR="004F505E">
        <w:rPr>
          <w:rFonts w:cs="Times New Roman"/>
          <w:color w:val="auto"/>
          <w:szCs w:val="24"/>
        </w:rPr>
        <w:t>4</w:t>
      </w:r>
      <w:r>
        <w:rPr>
          <w:rFonts w:cs="Times New Roman"/>
          <w:color w:val="auto"/>
          <w:szCs w:val="24"/>
        </w:rPr>
        <w:t>] </w:t>
      </w:r>
      <w:r w:rsidR="00767DFF">
        <w:rPr>
          <w:rFonts w:cs="Times New Roman"/>
          <w:color w:val="auto"/>
          <w:szCs w:val="24"/>
        </w:rPr>
        <w:t>Tiesnesis lēmumā nav izlēmis jautājumu par valsts nodevas un drošības naudas atmaksāšanu</w:t>
      </w:r>
      <w:r>
        <w:rPr>
          <w:rFonts w:cs="Times New Roman"/>
          <w:color w:val="auto"/>
          <w:szCs w:val="24"/>
        </w:rPr>
        <w:t xml:space="preserve">. </w:t>
      </w:r>
    </w:p>
    <w:p w14:paraId="12CF28D7" w14:textId="77777777" w:rsidR="005C442A" w:rsidRPr="007E34FC" w:rsidRDefault="005C442A" w:rsidP="00767DFF">
      <w:pPr>
        <w:spacing w:after="0" w:line="276" w:lineRule="auto"/>
        <w:jc w:val="both"/>
        <w:rPr>
          <w:rFonts w:cs="Times New Roman"/>
          <w:color w:val="auto"/>
          <w:szCs w:val="24"/>
        </w:rPr>
      </w:pPr>
    </w:p>
    <w:p w14:paraId="29A77BC4" w14:textId="6AECB780" w:rsidR="00C1149D" w:rsidRPr="007E34FC" w:rsidRDefault="00C1149D" w:rsidP="0044733A">
      <w:pPr>
        <w:spacing w:after="0" w:line="276" w:lineRule="auto"/>
        <w:jc w:val="center"/>
        <w:rPr>
          <w:rFonts w:cs="Times New Roman"/>
          <w:color w:val="auto"/>
          <w:szCs w:val="24"/>
        </w:rPr>
      </w:pPr>
      <w:r w:rsidRPr="007E34FC">
        <w:rPr>
          <w:rFonts w:cs="Times New Roman"/>
          <w:b/>
          <w:color w:val="auto"/>
          <w:szCs w:val="24"/>
        </w:rPr>
        <w:t>Motīvu daļa</w:t>
      </w:r>
    </w:p>
    <w:p w14:paraId="1943C86D" w14:textId="77777777" w:rsidR="00C1149D" w:rsidRPr="007E34FC" w:rsidRDefault="00C1149D" w:rsidP="00C1149D">
      <w:pPr>
        <w:spacing w:after="0" w:line="276" w:lineRule="auto"/>
        <w:jc w:val="both"/>
        <w:rPr>
          <w:rFonts w:cs="Times New Roman"/>
          <w:color w:val="auto"/>
          <w:szCs w:val="24"/>
        </w:rPr>
      </w:pPr>
    </w:p>
    <w:p w14:paraId="2C51443C" w14:textId="20698ACE" w:rsidR="00767DFF" w:rsidRDefault="00C1149D" w:rsidP="00D672A1">
      <w:pPr>
        <w:tabs>
          <w:tab w:val="left" w:pos="1335"/>
        </w:tabs>
        <w:spacing w:after="0" w:line="276" w:lineRule="auto"/>
        <w:ind w:firstLine="567"/>
        <w:jc w:val="both"/>
        <w:rPr>
          <w:rFonts w:cs="Times New Roman"/>
          <w:color w:val="auto"/>
          <w:szCs w:val="24"/>
        </w:rPr>
      </w:pPr>
      <w:r w:rsidRPr="007E34FC">
        <w:rPr>
          <w:rFonts w:cs="Times New Roman"/>
          <w:color w:val="auto"/>
          <w:szCs w:val="24"/>
        </w:rPr>
        <w:t>[</w:t>
      </w:r>
      <w:r w:rsidR="00277A24">
        <w:rPr>
          <w:rFonts w:cs="Times New Roman"/>
          <w:color w:val="auto"/>
          <w:szCs w:val="24"/>
        </w:rPr>
        <w:t>6</w:t>
      </w:r>
      <w:r w:rsidR="006823D7" w:rsidRPr="007E34FC">
        <w:rPr>
          <w:rFonts w:cs="Times New Roman"/>
          <w:color w:val="auto"/>
          <w:szCs w:val="24"/>
        </w:rPr>
        <w:t>] </w:t>
      </w:r>
      <w:r w:rsidR="00D675ED">
        <w:rPr>
          <w:rFonts w:cs="Times New Roman"/>
          <w:color w:val="auto"/>
          <w:szCs w:val="24"/>
        </w:rPr>
        <w:t xml:space="preserve">Senāts atzīst par pareizu </w:t>
      </w:r>
      <w:r w:rsidR="00BA1FB4">
        <w:rPr>
          <w:rFonts w:cs="Times New Roman"/>
          <w:color w:val="auto"/>
          <w:szCs w:val="24"/>
        </w:rPr>
        <w:t xml:space="preserve">Administratīvās </w:t>
      </w:r>
      <w:r w:rsidR="00D675ED">
        <w:rPr>
          <w:rFonts w:cs="Times New Roman"/>
          <w:color w:val="auto"/>
          <w:szCs w:val="24"/>
        </w:rPr>
        <w:t>rajona tiesas</w:t>
      </w:r>
      <w:r w:rsidR="00BA1FB4">
        <w:rPr>
          <w:rFonts w:cs="Times New Roman"/>
          <w:color w:val="auto"/>
          <w:szCs w:val="24"/>
        </w:rPr>
        <w:t xml:space="preserve"> tiesneša</w:t>
      </w:r>
      <w:r w:rsidR="00D675ED">
        <w:rPr>
          <w:rFonts w:cs="Times New Roman"/>
          <w:color w:val="auto"/>
          <w:szCs w:val="24"/>
        </w:rPr>
        <w:t xml:space="preserve"> lēmumā ietverto motivāciju un atbilstoši Administratīvā procesa likuma </w:t>
      </w:r>
      <w:proofErr w:type="gramStart"/>
      <w:r w:rsidR="00D675ED">
        <w:rPr>
          <w:rFonts w:cs="Times New Roman"/>
          <w:color w:val="auto"/>
          <w:szCs w:val="24"/>
        </w:rPr>
        <w:t>286.panta</w:t>
      </w:r>
      <w:proofErr w:type="gramEnd"/>
      <w:r w:rsidR="00D675ED">
        <w:rPr>
          <w:rFonts w:cs="Times New Roman"/>
          <w:color w:val="auto"/>
          <w:szCs w:val="24"/>
        </w:rPr>
        <w:t xml:space="preserve"> trešajai daļai tai pievienojas. </w:t>
      </w:r>
      <w:r w:rsidR="00B13183">
        <w:rPr>
          <w:rFonts w:cs="Times New Roman"/>
          <w:color w:val="auto"/>
          <w:szCs w:val="24"/>
        </w:rPr>
        <w:t xml:space="preserve">Tālāk tiks izvērtēti </w:t>
      </w:r>
      <w:r w:rsidR="00D675ED">
        <w:rPr>
          <w:rFonts w:cs="Times New Roman"/>
          <w:color w:val="auto"/>
          <w:szCs w:val="24"/>
        </w:rPr>
        <w:t>blakus sūdzībā ietvert</w:t>
      </w:r>
      <w:r w:rsidR="00B13183">
        <w:rPr>
          <w:rFonts w:cs="Times New Roman"/>
          <w:color w:val="auto"/>
          <w:szCs w:val="24"/>
        </w:rPr>
        <w:t xml:space="preserve">ie </w:t>
      </w:r>
      <w:r w:rsidR="00D675ED">
        <w:rPr>
          <w:rFonts w:cs="Times New Roman"/>
          <w:color w:val="auto"/>
          <w:szCs w:val="24"/>
        </w:rPr>
        <w:t xml:space="preserve">apsvērumi. </w:t>
      </w:r>
    </w:p>
    <w:p w14:paraId="33CD82BF" w14:textId="77777777" w:rsidR="00767DFF" w:rsidRDefault="00767DFF" w:rsidP="00D672A1">
      <w:pPr>
        <w:tabs>
          <w:tab w:val="left" w:pos="1335"/>
        </w:tabs>
        <w:spacing w:after="0" w:line="276" w:lineRule="auto"/>
        <w:ind w:firstLine="567"/>
        <w:jc w:val="both"/>
        <w:rPr>
          <w:rFonts w:cs="Times New Roman"/>
          <w:color w:val="auto"/>
          <w:szCs w:val="24"/>
        </w:rPr>
      </w:pPr>
    </w:p>
    <w:p w14:paraId="5E1BE66E" w14:textId="594D70BF" w:rsidR="005A78C8" w:rsidRDefault="00D675ED" w:rsidP="00F52778">
      <w:pPr>
        <w:tabs>
          <w:tab w:val="left" w:pos="1335"/>
        </w:tabs>
        <w:spacing w:after="0" w:line="276" w:lineRule="auto"/>
        <w:ind w:firstLine="567"/>
        <w:jc w:val="both"/>
        <w:rPr>
          <w:rFonts w:cs="Times New Roman"/>
          <w:color w:val="auto"/>
          <w:szCs w:val="24"/>
        </w:rPr>
      </w:pPr>
      <w:r>
        <w:rPr>
          <w:rFonts w:cs="Times New Roman"/>
          <w:color w:val="auto"/>
          <w:szCs w:val="24"/>
        </w:rPr>
        <w:t>[</w:t>
      </w:r>
      <w:r w:rsidR="00277A24">
        <w:rPr>
          <w:rFonts w:cs="Times New Roman"/>
          <w:color w:val="auto"/>
          <w:szCs w:val="24"/>
        </w:rPr>
        <w:t>7</w:t>
      </w:r>
      <w:r>
        <w:rPr>
          <w:rFonts w:cs="Times New Roman"/>
          <w:color w:val="auto"/>
          <w:szCs w:val="24"/>
        </w:rPr>
        <w:t>] </w:t>
      </w:r>
      <w:r w:rsidR="00277A24">
        <w:rPr>
          <w:rFonts w:cs="Times New Roman"/>
          <w:color w:val="auto"/>
          <w:szCs w:val="24"/>
        </w:rPr>
        <w:t xml:space="preserve">Satversmes </w:t>
      </w:r>
      <w:proofErr w:type="gramStart"/>
      <w:r w:rsidR="00277A24">
        <w:rPr>
          <w:rFonts w:cs="Times New Roman"/>
          <w:color w:val="auto"/>
          <w:szCs w:val="24"/>
        </w:rPr>
        <w:t>90.pant</w:t>
      </w:r>
      <w:r w:rsidR="00BA1FB4">
        <w:rPr>
          <w:rFonts w:cs="Times New Roman"/>
          <w:color w:val="auto"/>
          <w:szCs w:val="24"/>
        </w:rPr>
        <w:t>s</w:t>
      </w:r>
      <w:proofErr w:type="gramEnd"/>
      <w:r w:rsidR="00277A24">
        <w:rPr>
          <w:rFonts w:cs="Times New Roman"/>
          <w:color w:val="auto"/>
          <w:szCs w:val="24"/>
        </w:rPr>
        <w:t xml:space="preserve"> paredz, ka ikvienam ir tiesības zināt savas tiesības. Lai nodrošinātu šo tiesību īstenošanu, </w:t>
      </w:r>
      <w:r w:rsidR="008D637F">
        <w:rPr>
          <w:rFonts w:cs="Times New Roman"/>
          <w:color w:val="auto"/>
          <w:szCs w:val="24"/>
        </w:rPr>
        <w:t>valstij ir pienākums ne vien pieņemt normatīvos aktus, kas regulē personu uzvedību visdažādākajās tiesiskajās attiecībās, bet arī radīt mehānismu, kas nodrošina personu informētību par tiesiskā regulējuma izmaiņām un saturu. Personas tiesības zināt savas tiesības no</w:t>
      </w:r>
      <w:r w:rsidR="009C110F">
        <w:rPr>
          <w:rFonts w:cs="Times New Roman"/>
          <w:color w:val="auto"/>
          <w:szCs w:val="24"/>
        </w:rPr>
        <w:t>saka</w:t>
      </w:r>
      <w:r w:rsidR="008D637F">
        <w:rPr>
          <w:rFonts w:cs="Times New Roman"/>
          <w:color w:val="auto"/>
          <w:szCs w:val="24"/>
        </w:rPr>
        <w:t xml:space="preserve"> arī likumdevēja darbības ietvaru. Normatīvajiem aktiem ir jābūt publiski pieejamiem, pietiekami skaidriem un saprotamiem (</w:t>
      </w:r>
      <w:r w:rsidR="008D637F" w:rsidRPr="008D637F">
        <w:rPr>
          <w:rFonts w:cs="Times New Roman"/>
          <w:i/>
          <w:color w:val="auto"/>
          <w:szCs w:val="24"/>
        </w:rPr>
        <w:t xml:space="preserve">Satversmes tiesas </w:t>
      </w:r>
      <w:proofErr w:type="gramStart"/>
      <w:r w:rsidR="008D637F" w:rsidRPr="008D637F">
        <w:rPr>
          <w:rFonts w:cs="Times New Roman"/>
          <w:i/>
          <w:color w:val="auto"/>
          <w:szCs w:val="24"/>
        </w:rPr>
        <w:t>2006.gada</w:t>
      </w:r>
      <w:proofErr w:type="gramEnd"/>
      <w:r w:rsidR="008D637F" w:rsidRPr="008D637F">
        <w:rPr>
          <w:rFonts w:cs="Times New Roman"/>
          <w:i/>
          <w:color w:val="auto"/>
          <w:szCs w:val="24"/>
        </w:rPr>
        <w:t xml:space="preserve"> 20.decembra sprieduma Nr.</w:t>
      </w:r>
      <w:r w:rsidR="001207A8">
        <w:rPr>
          <w:rFonts w:cs="Times New Roman"/>
          <w:i/>
          <w:color w:val="auto"/>
          <w:szCs w:val="24"/>
        </w:rPr>
        <w:t> </w:t>
      </w:r>
      <w:r w:rsidR="008D637F" w:rsidRPr="008D637F">
        <w:rPr>
          <w:rFonts w:cs="Times New Roman"/>
          <w:i/>
          <w:color w:val="auto"/>
          <w:szCs w:val="24"/>
        </w:rPr>
        <w:t>20</w:t>
      </w:r>
      <w:r w:rsidR="009F4326">
        <w:rPr>
          <w:rFonts w:cs="Times New Roman"/>
          <w:i/>
          <w:color w:val="auto"/>
          <w:szCs w:val="24"/>
        </w:rPr>
        <w:t>0</w:t>
      </w:r>
      <w:r w:rsidR="008D637F" w:rsidRPr="008D637F">
        <w:rPr>
          <w:rFonts w:cs="Times New Roman"/>
          <w:i/>
          <w:color w:val="auto"/>
          <w:szCs w:val="24"/>
        </w:rPr>
        <w:t>6-12-01 16.punkts</w:t>
      </w:r>
      <w:r w:rsidR="008D637F">
        <w:rPr>
          <w:rFonts w:cs="Times New Roman"/>
          <w:color w:val="auto"/>
          <w:szCs w:val="24"/>
        </w:rPr>
        <w:t>).</w:t>
      </w:r>
      <w:r w:rsidR="00640960">
        <w:rPr>
          <w:rFonts w:cs="Times New Roman"/>
          <w:color w:val="auto"/>
          <w:szCs w:val="24"/>
        </w:rPr>
        <w:t xml:space="preserve"> Satversmes </w:t>
      </w:r>
      <w:proofErr w:type="gramStart"/>
      <w:r w:rsidR="00640960">
        <w:rPr>
          <w:rFonts w:cs="Times New Roman"/>
          <w:color w:val="auto"/>
          <w:szCs w:val="24"/>
        </w:rPr>
        <w:t>90.pantā</w:t>
      </w:r>
      <w:proofErr w:type="gramEnd"/>
      <w:r w:rsidR="00640960">
        <w:rPr>
          <w:rFonts w:cs="Times New Roman"/>
          <w:color w:val="auto"/>
          <w:szCs w:val="24"/>
        </w:rPr>
        <w:t xml:space="preserve"> ietverto tiesību </w:t>
      </w:r>
      <w:r w:rsidR="00A865BD">
        <w:rPr>
          <w:rFonts w:cs="Times New Roman"/>
          <w:color w:val="auto"/>
          <w:szCs w:val="24"/>
        </w:rPr>
        <w:t>īstenošanai</w:t>
      </w:r>
      <w:r w:rsidR="00640960">
        <w:rPr>
          <w:rFonts w:cs="Times New Roman"/>
          <w:color w:val="auto"/>
          <w:szCs w:val="24"/>
        </w:rPr>
        <w:t xml:space="preserve"> pieņemts Oficiālo publikāciju un tiesiskās informācijas likums, kura mērķis ir nodrošināt privātpersonu tiesības būt informētām par savām tiesībām un pienākumiem. Likuma </w:t>
      </w:r>
      <w:proofErr w:type="gramStart"/>
      <w:r w:rsidR="00640960">
        <w:rPr>
          <w:rFonts w:cs="Times New Roman"/>
          <w:color w:val="auto"/>
          <w:szCs w:val="24"/>
        </w:rPr>
        <w:t>2.panta</w:t>
      </w:r>
      <w:proofErr w:type="gramEnd"/>
      <w:r w:rsidR="00640960">
        <w:rPr>
          <w:rFonts w:cs="Times New Roman"/>
          <w:color w:val="auto"/>
          <w:szCs w:val="24"/>
        </w:rPr>
        <w:t xml:space="preserve"> pirmā daļa un 3.panta pirmā daļa paredz, ka konkrēto mērķi sasniedz, publicējot ārējos normatīvos</w:t>
      </w:r>
      <w:r w:rsidR="00A828B0">
        <w:rPr>
          <w:rFonts w:cs="Times New Roman"/>
          <w:color w:val="auto"/>
          <w:szCs w:val="24"/>
        </w:rPr>
        <w:t xml:space="preserve"> un citus tiesību aktus, </w:t>
      </w:r>
      <w:r w:rsidR="00640960">
        <w:rPr>
          <w:rFonts w:cs="Times New Roman"/>
          <w:color w:val="auto"/>
          <w:szCs w:val="24"/>
        </w:rPr>
        <w:t>oficiālos paziņojumus</w:t>
      </w:r>
      <w:r w:rsidR="00A828B0">
        <w:rPr>
          <w:rFonts w:cs="Times New Roman"/>
          <w:color w:val="auto"/>
          <w:szCs w:val="24"/>
        </w:rPr>
        <w:t xml:space="preserve"> un</w:t>
      </w:r>
      <w:r w:rsidR="00640960">
        <w:rPr>
          <w:rFonts w:cs="Times New Roman"/>
          <w:color w:val="auto"/>
          <w:szCs w:val="24"/>
        </w:rPr>
        <w:t xml:space="preserve"> pašvaldību saistošos noteikumus oficiālajā izdevumā </w:t>
      </w:r>
      <w:r w:rsidR="003A19EA">
        <w:rPr>
          <w:rFonts w:cs="Times New Roman"/>
          <w:color w:val="auto"/>
          <w:szCs w:val="24"/>
        </w:rPr>
        <w:t>„</w:t>
      </w:r>
      <w:r w:rsidR="00640960">
        <w:rPr>
          <w:rFonts w:cs="Times New Roman"/>
          <w:color w:val="auto"/>
          <w:szCs w:val="24"/>
        </w:rPr>
        <w:t>Latvijas Vēstnesis” (turp</w:t>
      </w:r>
      <w:r w:rsidR="00640960" w:rsidRPr="00B13183">
        <w:rPr>
          <w:rFonts w:cs="Times New Roman"/>
          <w:color w:val="auto"/>
          <w:szCs w:val="24"/>
        </w:rPr>
        <w:t>māk</w:t>
      </w:r>
      <w:r w:rsidR="00B13183">
        <w:rPr>
          <w:rFonts w:cs="Times New Roman"/>
          <w:color w:val="auto"/>
          <w:szCs w:val="24"/>
        </w:rPr>
        <w:t xml:space="preserve"> arī</w:t>
      </w:r>
      <w:r w:rsidR="00640960">
        <w:rPr>
          <w:rFonts w:cs="Times New Roman"/>
          <w:color w:val="auto"/>
          <w:szCs w:val="24"/>
        </w:rPr>
        <w:t xml:space="preserve"> – oficiālais izdevums), kas ir pieejams tikai elektroniskā veidā tīmekļa vietnē </w:t>
      </w:r>
      <w:hyperlink r:id="rId13" w:history="1">
        <w:r w:rsidR="00640960" w:rsidRPr="009C110F">
          <w:rPr>
            <w:rStyle w:val="Hyperlink"/>
            <w:rFonts w:cs="Times New Roman"/>
            <w:i/>
            <w:iCs/>
            <w:color w:val="auto"/>
            <w:szCs w:val="24"/>
            <w:u w:val="none"/>
          </w:rPr>
          <w:t>www.vestnesis.lv</w:t>
        </w:r>
      </w:hyperlink>
      <w:r w:rsidR="009C110F">
        <w:rPr>
          <w:rStyle w:val="Hyperlink"/>
          <w:rFonts w:cs="Times New Roman"/>
          <w:color w:val="auto"/>
          <w:szCs w:val="24"/>
          <w:u w:val="none"/>
        </w:rPr>
        <w:t>,</w:t>
      </w:r>
      <w:r w:rsidR="00A865BD">
        <w:rPr>
          <w:rFonts w:cs="Times New Roman"/>
          <w:color w:val="auto"/>
          <w:szCs w:val="24"/>
        </w:rPr>
        <w:t xml:space="preserve"> un pieeja tam ir bez maksas.</w:t>
      </w:r>
      <w:r w:rsidR="00A828B0">
        <w:rPr>
          <w:rFonts w:cs="Times New Roman"/>
          <w:color w:val="auto"/>
          <w:szCs w:val="24"/>
        </w:rPr>
        <w:t xml:space="preserve"> </w:t>
      </w:r>
      <w:r w:rsidR="00A865BD">
        <w:rPr>
          <w:rFonts w:cs="Times New Roman"/>
          <w:color w:val="auto"/>
          <w:szCs w:val="24"/>
        </w:rPr>
        <w:t xml:space="preserve">Oficiālā izdevuma publicēšanu atbilstoši likuma 14.panta trešajai daļai nodrošina valsts aģentūra </w:t>
      </w:r>
      <w:r w:rsidR="003A19EA">
        <w:rPr>
          <w:rFonts w:cs="Times New Roman"/>
          <w:color w:val="auto"/>
          <w:szCs w:val="24"/>
        </w:rPr>
        <w:t>„</w:t>
      </w:r>
      <w:r w:rsidR="00A865BD">
        <w:rPr>
          <w:rFonts w:cs="Times New Roman"/>
          <w:color w:val="auto"/>
          <w:szCs w:val="24"/>
        </w:rPr>
        <w:t xml:space="preserve">Latvijas Vēstnesis”. </w:t>
      </w:r>
    </w:p>
    <w:p w14:paraId="6DABDBC5" w14:textId="1B8214FC" w:rsidR="00A251A4" w:rsidRDefault="00486FE1" w:rsidP="00F52778">
      <w:pPr>
        <w:tabs>
          <w:tab w:val="left" w:pos="1335"/>
        </w:tabs>
        <w:spacing w:after="0" w:line="276" w:lineRule="auto"/>
        <w:ind w:firstLine="567"/>
        <w:jc w:val="both"/>
        <w:rPr>
          <w:rFonts w:cs="Times New Roman"/>
          <w:color w:val="auto"/>
          <w:szCs w:val="24"/>
        </w:rPr>
      </w:pPr>
      <w:r>
        <w:rPr>
          <w:rFonts w:cs="Times New Roman"/>
          <w:color w:val="auto"/>
          <w:szCs w:val="24"/>
        </w:rPr>
        <w:t>S</w:t>
      </w:r>
      <w:r w:rsidR="00A828B0">
        <w:rPr>
          <w:rFonts w:cs="Times New Roman"/>
          <w:color w:val="auto"/>
          <w:szCs w:val="24"/>
        </w:rPr>
        <w:t xml:space="preserve">istēmiski interpretējot Oficiālo publikāciju un tiesiskās informācijas likumu, secināms, ka </w:t>
      </w:r>
      <w:r>
        <w:rPr>
          <w:rFonts w:cs="Times New Roman"/>
          <w:color w:val="auto"/>
          <w:szCs w:val="24"/>
        </w:rPr>
        <w:t xml:space="preserve">vienīgais oficiālais izdevums Latvijas Republikā ir </w:t>
      </w:r>
      <w:r w:rsidR="003A19EA">
        <w:rPr>
          <w:rFonts w:cs="Times New Roman"/>
          <w:color w:val="auto"/>
          <w:szCs w:val="24"/>
        </w:rPr>
        <w:t>„</w:t>
      </w:r>
      <w:r>
        <w:rPr>
          <w:rFonts w:cs="Times New Roman"/>
          <w:color w:val="auto"/>
          <w:szCs w:val="24"/>
        </w:rPr>
        <w:t xml:space="preserve">Latvijas Vēstnesis”, kuru, īstenojot valsts pārvaldes uzdevumu, izdod valsts aģentūra </w:t>
      </w:r>
      <w:r w:rsidR="003A19EA">
        <w:rPr>
          <w:rFonts w:cs="Times New Roman"/>
          <w:color w:val="auto"/>
          <w:szCs w:val="24"/>
        </w:rPr>
        <w:t>„</w:t>
      </w:r>
      <w:r>
        <w:rPr>
          <w:rFonts w:cs="Times New Roman"/>
          <w:color w:val="auto"/>
          <w:szCs w:val="24"/>
        </w:rPr>
        <w:t>Latvijas Vēstnesis”.</w:t>
      </w:r>
      <w:r w:rsidR="00F52778">
        <w:rPr>
          <w:rFonts w:cs="Times New Roman"/>
          <w:color w:val="auto"/>
          <w:szCs w:val="24"/>
        </w:rPr>
        <w:t xml:space="preserve"> </w:t>
      </w:r>
      <w:r w:rsidR="00A251A4">
        <w:rPr>
          <w:rFonts w:cs="Times New Roman"/>
          <w:color w:val="auto"/>
          <w:szCs w:val="24"/>
        </w:rPr>
        <w:t xml:space="preserve">Savukārt žurnāls nav uzskatāms par oficiālo izdevumu Oficiālo publikāciju un tiesiskās informācijas likuma izpratnē. Rajona tiesas tiesnesis pamatoti konstatējis, ka pieteicējam nav liegtas iespējas iepazīties ar oficiālo izdevumu, tādēļ pieteicēja atsauce uz Satversmes </w:t>
      </w:r>
      <w:proofErr w:type="gramStart"/>
      <w:r w:rsidR="00A251A4">
        <w:rPr>
          <w:rFonts w:cs="Times New Roman"/>
          <w:color w:val="auto"/>
          <w:szCs w:val="24"/>
        </w:rPr>
        <w:t>90.pantu</w:t>
      </w:r>
      <w:proofErr w:type="gramEnd"/>
      <w:r w:rsidR="00A251A4">
        <w:rPr>
          <w:rFonts w:cs="Times New Roman"/>
          <w:color w:val="auto"/>
          <w:szCs w:val="24"/>
        </w:rPr>
        <w:t xml:space="preserve"> ir nepamatota.</w:t>
      </w:r>
    </w:p>
    <w:p w14:paraId="5405667C" w14:textId="309269F4" w:rsidR="00A828B0" w:rsidRDefault="00A828B0" w:rsidP="00A251A4">
      <w:pPr>
        <w:tabs>
          <w:tab w:val="left" w:pos="1335"/>
        </w:tabs>
        <w:spacing w:after="0" w:line="276" w:lineRule="auto"/>
        <w:jc w:val="both"/>
        <w:rPr>
          <w:rFonts w:cs="Times New Roman"/>
          <w:color w:val="auto"/>
          <w:szCs w:val="24"/>
        </w:rPr>
      </w:pPr>
    </w:p>
    <w:p w14:paraId="7BF78BBB" w14:textId="4A24C70E" w:rsidR="00A828B0" w:rsidRDefault="00A828B0" w:rsidP="00A828B0">
      <w:pPr>
        <w:tabs>
          <w:tab w:val="left" w:pos="1335"/>
        </w:tabs>
        <w:spacing w:after="0" w:line="276" w:lineRule="auto"/>
        <w:ind w:firstLine="567"/>
        <w:jc w:val="both"/>
        <w:rPr>
          <w:rFonts w:cs="Times New Roman"/>
          <w:color w:val="auto"/>
          <w:szCs w:val="24"/>
        </w:rPr>
      </w:pPr>
      <w:r>
        <w:rPr>
          <w:rFonts w:cs="Times New Roman"/>
          <w:color w:val="auto"/>
          <w:szCs w:val="24"/>
        </w:rPr>
        <w:t xml:space="preserve">[8] Pieteicējs norādījis, ka </w:t>
      </w:r>
      <w:r w:rsidR="00F52778">
        <w:rPr>
          <w:rFonts w:cs="Times New Roman"/>
          <w:color w:val="auto"/>
          <w:szCs w:val="24"/>
        </w:rPr>
        <w:t>ties</w:t>
      </w:r>
      <w:r w:rsidR="00BD0CDA">
        <w:rPr>
          <w:rFonts w:cs="Times New Roman"/>
          <w:color w:val="auto"/>
          <w:szCs w:val="24"/>
        </w:rPr>
        <w:t>nesis, pretēji Senāta praksei, nav identificējis aizskartās pieteicēja cilvēktiesības</w:t>
      </w:r>
      <w:r w:rsidR="00F52778">
        <w:rPr>
          <w:rFonts w:cs="Times New Roman"/>
          <w:color w:val="auto"/>
          <w:szCs w:val="24"/>
        </w:rPr>
        <w:t>.</w:t>
      </w:r>
    </w:p>
    <w:p w14:paraId="7FF54F01" w14:textId="6EC66A07" w:rsidR="00BD0CDA" w:rsidRDefault="00BD0CDA" w:rsidP="00A828B0">
      <w:pPr>
        <w:tabs>
          <w:tab w:val="left" w:pos="1335"/>
        </w:tabs>
        <w:spacing w:after="0" w:line="276" w:lineRule="auto"/>
        <w:ind w:firstLine="567"/>
        <w:jc w:val="both"/>
        <w:rPr>
          <w:rFonts w:cs="Times New Roman"/>
          <w:color w:val="auto"/>
          <w:szCs w:val="24"/>
        </w:rPr>
      </w:pPr>
      <w:r>
        <w:rPr>
          <w:rFonts w:cs="Times New Roman"/>
          <w:color w:val="auto"/>
          <w:szCs w:val="24"/>
        </w:rPr>
        <w:t>Senāts konstatē, ka šāds pieteicēja apgalvojums ir nepamatots. R</w:t>
      </w:r>
      <w:r w:rsidR="007104D8">
        <w:rPr>
          <w:rFonts w:cs="Times New Roman"/>
          <w:color w:val="auto"/>
          <w:szCs w:val="24"/>
        </w:rPr>
        <w:t>ajona tiesas tiesnesis</w:t>
      </w:r>
      <w:r>
        <w:rPr>
          <w:rFonts w:cs="Times New Roman"/>
          <w:color w:val="auto"/>
          <w:szCs w:val="24"/>
        </w:rPr>
        <w:t xml:space="preserve">, vērtējot iestādes faktisko rīcību, konstatējis, ka no visām pieteicēja pieteikumā minētajām cilvēktiesībām konkrētajā lietā būtu piemērojamas tiesības uz informāciju (Satversmes </w:t>
      </w:r>
      <w:proofErr w:type="gramStart"/>
      <w:r>
        <w:rPr>
          <w:rFonts w:cs="Times New Roman"/>
          <w:color w:val="auto"/>
          <w:szCs w:val="24"/>
        </w:rPr>
        <w:t>100.pants</w:t>
      </w:r>
      <w:proofErr w:type="gramEnd"/>
      <w:r>
        <w:rPr>
          <w:rFonts w:cs="Times New Roman"/>
          <w:color w:val="auto"/>
          <w:szCs w:val="24"/>
        </w:rPr>
        <w:t>) un tiesības uz īpašumu (Satversmes 105.pants). Tiesnesis konstatējis, ka pieteicējam ir nodrošināta pieeja žurnāla drukātajai versijai, tādēļ pieejas liegšana žurnāla elektroniskajai versijai nav uzskatāma par būtisku ierobežojumu. Ņemot vērā, ka pieteicējs sa</w:t>
      </w:r>
      <w:r w:rsidR="007104D8">
        <w:rPr>
          <w:rFonts w:cs="Times New Roman"/>
          <w:color w:val="auto"/>
          <w:szCs w:val="24"/>
        </w:rPr>
        <w:t>ņem pakalpojumu, par kuru veicis samaksu</w:t>
      </w:r>
      <w:r w:rsidR="00ED72D7">
        <w:rPr>
          <w:rFonts w:cs="Times New Roman"/>
          <w:color w:val="auto"/>
          <w:szCs w:val="24"/>
        </w:rPr>
        <w:t>,</w:t>
      </w:r>
      <w:r w:rsidR="007104D8">
        <w:rPr>
          <w:rFonts w:cs="Times New Roman"/>
          <w:color w:val="auto"/>
          <w:szCs w:val="24"/>
        </w:rPr>
        <w:t xml:space="preserve"> un žurnāla elektroniskā</w:t>
      </w:r>
      <w:r w:rsidR="00ED72D7">
        <w:rPr>
          <w:rFonts w:cs="Times New Roman"/>
          <w:color w:val="auto"/>
          <w:szCs w:val="24"/>
        </w:rPr>
        <w:t>s</w:t>
      </w:r>
      <w:r w:rsidR="007104D8">
        <w:rPr>
          <w:rFonts w:cs="Times New Roman"/>
          <w:color w:val="auto"/>
          <w:szCs w:val="24"/>
        </w:rPr>
        <w:t xml:space="preserve"> versijas pieejamība nav atkarīga no papildu maksas, tiesnesis nav konstatējis arī tiesību uz īpašumu pārkāpumu. Senāts uzskata, ka rajona tiesas tiesneša argumentācija ir pamatota.</w:t>
      </w:r>
    </w:p>
    <w:p w14:paraId="2CFB1A01" w14:textId="77777777" w:rsidR="004F7462" w:rsidRDefault="004F7462" w:rsidP="00A828B0">
      <w:pPr>
        <w:tabs>
          <w:tab w:val="left" w:pos="1335"/>
        </w:tabs>
        <w:spacing w:after="0" w:line="276" w:lineRule="auto"/>
        <w:ind w:firstLine="567"/>
        <w:jc w:val="both"/>
        <w:rPr>
          <w:rFonts w:cs="Times New Roman"/>
          <w:color w:val="auto"/>
          <w:szCs w:val="24"/>
        </w:rPr>
      </w:pPr>
    </w:p>
    <w:p w14:paraId="38216F2B" w14:textId="1C1B7B23" w:rsidR="004F7462" w:rsidRDefault="004F7462" w:rsidP="00A828B0">
      <w:pPr>
        <w:tabs>
          <w:tab w:val="left" w:pos="1335"/>
        </w:tabs>
        <w:spacing w:after="0" w:line="276" w:lineRule="auto"/>
        <w:ind w:firstLine="567"/>
        <w:jc w:val="both"/>
        <w:rPr>
          <w:rFonts w:cs="Times New Roman"/>
          <w:color w:val="auto"/>
          <w:szCs w:val="24"/>
        </w:rPr>
      </w:pPr>
      <w:r>
        <w:rPr>
          <w:rFonts w:cs="Times New Roman"/>
          <w:color w:val="auto"/>
          <w:szCs w:val="24"/>
        </w:rPr>
        <w:lastRenderedPageBreak/>
        <w:t xml:space="preserve">[9] Pieteicējs norāda, ka rajona tiesas tiesnesis atsaucies uz Ministru kabineta </w:t>
      </w:r>
      <w:proofErr w:type="gramStart"/>
      <w:r w:rsidR="00B62D33">
        <w:rPr>
          <w:rFonts w:cs="Times New Roman"/>
          <w:color w:val="auto"/>
          <w:szCs w:val="24"/>
        </w:rPr>
        <w:t>2006.gada</w:t>
      </w:r>
      <w:proofErr w:type="gramEnd"/>
      <w:r w:rsidR="00B62D33">
        <w:rPr>
          <w:rFonts w:cs="Times New Roman"/>
          <w:color w:val="auto"/>
          <w:szCs w:val="24"/>
        </w:rPr>
        <w:t xml:space="preserve"> 30.maija noteikumu Nr. </w:t>
      </w:r>
      <w:r w:rsidR="004F505E">
        <w:rPr>
          <w:rFonts w:cs="Times New Roman"/>
          <w:color w:val="auto"/>
          <w:szCs w:val="24"/>
        </w:rPr>
        <w:t>423 „</w:t>
      </w:r>
      <w:r w:rsidR="00B62D33">
        <w:rPr>
          <w:rFonts w:cs="Times New Roman"/>
          <w:color w:val="auto"/>
          <w:szCs w:val="24"/>
        </w:rPr>
        <w:t xml:space="preserve">Brīvības atņemšanas iestādes iekšējās kārtības noteikumi” normu, kura nav spēkā vai neatbilst judikatūras atziņām. </w:t>
      </w:r>
    </w:p>
    <w:p w14:paraId="7B334F7D" w14:textId="232F54A4" w:rsidR="001524F8" w:rsidRDefault="004F505E" w:rsidP="00A828B0">
      <w:pPr>
        <w:tabs>
          <w:tab w:val="left" w:pos="1335"/>
        </w:tabs>
        <w:spacing w:after="0" w:line="276" w:lineRule="auto"/>
        <w:ind w:firstLine="567"/>
        <w:jc w:val="both"/>
        <w:rPr>
          <w:rFonts w:cs="Times New Roman"/>
          <w:color w:val="auto"/>
          <w:szCs w:val="24"/>
          <w:shd w:val="clear" w:color="auto" w:fill="FFFFFF"/>
        </w:rPr>
      </w:pPr>
      <w:r>
        <w:rPr>
          <w:rFonts w:cs="Times New Roman"/>
          <w:color w:val="auto"/>
          <w:szCs w:val="24"/>
        </w:rPr>
        <w:t xml:space="preserve">Senāts konstatē, ka rajona tiesas tiesnesis atsaucies uz </w:t>
      </w:r>
      <w:r w:rsidR="00ED72D7">
        <w:rPr>
          <w:rFonts w:cs="Times New Roman"/>
          <w:color w:val="auto"/>
          <w:szCs w:val="24"/>
        </w:rPr>
        <w:t>minēto</w:t>
      </w:r>
      <w:r>
        <w:rPr>
          <w:rFonts w:cs="Times New Roman"/>
          <w:color w:val="auto"/>
          <w:szCs w:val="24"/>
        </w:rPr>
        <w:t xml:space="preserve"> noteikumu 1.pielikumu, kurā norādīti priekšmeti, kurus ieslodzītajiem atļauts </w:t>
      </w:r>
      <w:r w:rsidRPr="001524F8">
        <w:rPr>
          <w:rFonts w:cs="Times New Roman"/>
          <w:color w:val="auto"/>
          <w:szCs w:val="24"/>
        </w:rPr>
        <w:t xml:space="preserve">glabāt kamerā. </w:t>
      </w:r>
      <w:r w:rsidR="001524F8" w:rsidRPr="001524F8">
        <w:rPr>
          <w:rFonts w:cs="Times New Roman"/>
          <w:color w:val="auto"/>
          <w:szCs w:val="24"/>
        </w:rPr>
        <w:t>Satversmes tiesa konkrētā pielikuma atbilstību Satversmei vērtējusi tikai vienā lietā (</w:t>
      </w:r>
      <w:r w:rsidR="001524F8" w:rsidRPr="001524F8">
        <w:rPr>
          <w:rFonts w:cs="Times New Roman"/>
          <w:i/>
          <w:color w:val="auto"/>
          <w:szCs w:val="24"/>
        </w:rPr>
        <w:t xml:space="preserve">Satversmes tiesas </w:t>
      </w:r>
      <w:proofErr w:type="gramStart"/>
      <w:r w:rsidR="001524F8" w:rsidRPr="001524F8">
        <w:rPr>
          <w:rFonts w:cs="Times New Roman"/>
          <w:i/>
          <w:color w:val="auto"/>
          <w:szCs w:val="24"/>
        </w:rPr>
        <w:t>2011.gada</w:t>
      </w:r>
      <w:proofErr w:type="gramEnd"/>
      <w:r w:rsidR="001524F8" w:rsidRPr="001524F8">
        <w:rPr>
          <w:rFonts w:cs="Times New Roman"/>
          <w:i/>
          <w:color w:val="auto"/>
          <w:szCs w:val="24"/>
        </w:rPr>
        <w:t xml:space="preserve"> </w:t>
      </w:r>
      <w:r w:rsidR="007B6682">
        <w:rPr>
          <w:rFonts w:cs="Times New Roman"/>
          <w:i/>
          <w:color w:val="auto"/>
          <w:szCs w:val="24"/>
        </w:rPr>
        <w:t>18</w:t>
      </w:r>
      <w:r w:rsidR="001524F8" w:rsidRPr="001524F8">
        <w:rPr>
          <w:rFonts w:cs="Times New Roman"/>
          <w:i/>
          <w:color w:val="auto"/>
          <w:szCs w:val="24"/>
        </w:rPr>
        <w:t>.marta spriedums lietā Nr. 2010-50-03</w:t>
      </w:r>
      <w:r w:rsidR="001524F8" w:rsidRPr="001524F8">
        <w:rPr>
          <w:rFonts w:cs="Times New Roman"/>
          <w:color w:val="auto"/>
          <w:szCs w:val="24"/>
        </w:rPr>
        <w:t xml:space="preserve">), kurā </w:t>
      </w:r>
      <w:r w:rsidR="001524F8" w:rsidRPr="001524F8">
        <w:rPr>
          <w:rFonts w:cs="Times New Roman"/>
          <w:color w:val="auto"/>
          <w:szCs w:val="24"/>
          <w:shd w:val="clear" w:color="auto" w:fill="FFFFFF"/>
        </w:rPr>
        <w:t>atzīts, ka 1.pielikums</w:t>
      </w:r>
      <w:r w:rsidR="004B29FD" w:rsidRPr="004B29FD">
        <w:rPr>
          <w:rFonts w:cs="Times New Roman"/>
          <w:color w:val="auto"/>
          <w:szCs w:val="24"/>
          <w:shd w:val="clear" w:color="auto" w:fill="FFFFFF"/>
        </w:rPr>
        <w:t xml:space="preserve"> </w:t>
      </w:r>
      <w:r w:rsidR="004B29FD" w:rsidRPr="001524F8">
        <w:rPr>
          <w:rFonts w:cs="Times New Roman"/>
          <w:color w:val="auto"/>
          <w:szCs w:val="24"/>
          <w:shd w:val="clear" w:color="auto" w:fill="FFFFFF"/>
        </w:rPr>
        <w:t>neatbilst Satversmes 99.pantam</w:t>
      </w:r>
      <w:r w:rsidR="001524F8" w:rsidRPr="001524F8">
        <w:rPr>
          <w:rFonts w:cs="Times New Roman"/>
          <w:color w:val="auto"/>
          <w:szCs w:val="24"/>
          <w:shd w:val="clear" w:color="auto" w:fill="FFFFFF"/>
        </w:rPr>
        <w:t>, ciktāl tas neparedz</w:t>
      </w:r>
      <w:r w:rsidR="004B29FD">
        <w:rPr>
          <w:rFonts w:cs="Times New Roman"/>
          <w:color w:val="auto"/>
          <w:szCs w:val="24"/>
          <w:shd w:val="clear" w:color="auto" w:fill="FFFFFF"/>
        </w:rPr>
        <w:t xml:space="preserve"> reliģisko priekšmetu glabāšanu</w:t>
      </w:r>
      <w:r w:rsidR="001524F8">
        <w:rPr>
          <w:rFonts w:cs="Times New Roman"/>
          <w:color w:val="auto"/>
          <w:szCs w:val="24"/>
          <w:shd w:val="clear" w:color="auto" w:fill="FFFFFF"/>
        </w:rPr>
        <w:t xml:space="preserve">. </w:t>
      </w:r>
      <w:r w:rsidR="004B29FD">
        <w:rPr>
          <w:rFonts w:cs="Times New Roman"/>
          <w:color w:val="auto"/>
          <w:szCs w:val="24"/>
          <w:shd w:val="clear" w:color="auto" w:fill="FFFFFF"/>
        </w:rPr>
        <w:t xml:space="preserve">Citās lietās pielikuma atbilstība Satversmei nav vērtēta. </w:t>
      </w:r>
    </w:p>
    <w:p w14:paraId="00D9DF76" w14:textId="560CE506" w:rsidR="004F505E" w:rsidRDefault="004B29FD" w:rsidP="004B29FD">
      <w:pPr>
        <w:tabs>
          <w:tab w:val="left" w:pos="1335"/>
        </w:tabs>
        <w:spacing w:after="0" w:line="276" w:lineRule="auto"/>
        <w:ind w:firstLine="567"/>
        <w:jc w:val="both"/>
        <w:rPr>
          <w:rFonts w:cs="Times New Roman"/>
          <w:color w:val="auto"/>
          <w:szCs w:val="24"/>
        </w:rPr>
      </w:pPr>
      <w:r>
        <w:rPr>
          <w:rFonts w:cs="Times New Roman"/>
          <w:color w:val="auto"/>
          <w:szCs w:val="24"/>
          <w:shd w:val="clear" w:color="auto" w:fill="FFFFFF"/>
        </w:rPr>
        <w:t>Pieteicējs blakus sūdzībā vairākkārt</w:t>
      </w:r>
      <w:r w:rsidR="00ED72D7">
        <w:rPr>
          <w:rFonts w:cs="Times New Roman"/>
          <w:color w:val="auto"/>
          <w:szCs w:val="24"/>
          <w:shd w:val="clear" w:color="auto" w:fill="FFFFFF"/>
        </w:rPr>
        <w:t xml:space="preserve"> </w:t>
      </w:r>
      <w:r>
        <w:rPr>
          <w:rFonts w:cs="Times New Roman"/>
          <w:color w:val="auto"/>
          <w:szCs w:val="24"/>
          <w:shd w:val="clear" w:color="auto" w:fill="FFFFFF"/>
        </w:rPr>
        <w:t>izmantojis Senāta praksi, lai pamatotu savu viedokli. Tomēr pieteicējs nav minējis nevienu Senāta nolēmum</w:t>
      </w:r>
      <w:r w:rsidR="00ED72D7">
        <w:rPr>
          <w:rFonts w:cs="Times New Roman"/>
          <w:color w:val="auto"/>
          <w:szCs w:val="24"/>
          <w:shd w:val="clear" w:color="auto" w:fill="FFFFFF"/>
        </w:rPr>
        <w:t>u</w:t>
      </w:r>
      <w:r>
        <w:rPr>
          <w:rFonts w:cs="Times New Roman"/>
          <w:color w:val="auto"/>
          <w:szCs w:val="24"/>
          <w:shd w:val="clear" w:color="auto" w:fill="FFFFFF"/>
        </w:rPr>
        <w:t>, kurā konkrētais jautājums būtu vērtēts, tādēļ norāde par pielikuma neatbilstību judikatūras atziņām ir vispār</w:t>
      </w:r>
      <w:r w:rsidR="00ED72D7">
        <w:rPr>
          <w:rFonts w:cs="Times New Roman"/>
          <w:color w:val="auto"/>
          <w:szCs w:val="24"/>
          <w:shd w:val="clear" w:color="auto" w:fill="FFFFFF"/>
        </w:rPr>
        <w:t>īg</w:t>
      </w:r>
      <w:r>
        <w:rPr>
          <w:rFonts w:cs="Times New Roman"/>
          <w:color w:val="auto"/>
          <w:szCs w:val="24"/>
          <w:shd w:val="clear" w:color="auto" w:fill="FFFFFF"/>
        </w:rPr>
        <w:t xml:space="preserve">a un nekonkrēta. </w:t>
      </w:r>
    </w:p>
    <w:p w14:paraId="4832FA4D" w14:textId="77777777" w:rsidR="00640960" w:rsidRDefault="00640960" w:rsidP="00D672A1">
      <w:pPr>
        <w:tabs>
          <w:tab w:val="left" w:pos="1335"/>
        </w:tabs>
        <w:spacing w:after="0" w:line="276" w:lineRule="auto"/>
        <w:ind w:firstLine="567"/>
        <w:jc w:val="both"/>
        <w:rPr>
          <w:rFonts w:cs="Times New Roman"/>
          <w:color w:val="auto"/>
          <w:szCs w:val="24"/>
        </w:rPr>
      </w:pPr>
    </w:p>
    <w:p w14:paraId="52170583" w14:textId="251041FC" w:rsidR="00E21F8C" w:rsidRPr="00BF40CA" w:rsidRDefault="00E21F8C" w:rsidP="00BF40CA">
      <w:pPr>
        <w:tabs>
          <w:tab w:val="left" w:pos="1335"/>
        </w:tabs>
        <w:spacing w:after="0" w:line="276" w:lineRule="auto"/>
        <w:ind w:firstLine="567"/>
        <w:jc w:val="both"/>
        <w:rPr>
          <w:rFonts w:cs="Times New Roman"/>
          <w:color w:val="auto"/>
          <w:szCs w:val="24"/>
        </w:rPr>
      </w:pPr>
      <w:r>
        <w:rPr>
          <w:rFonts w:cs="Times New Roman"/>
          <w:color w:val="auto"/>
          <w:szCs w:val="24"/>
        </w:rPr>
        <w:t>[</w:t>
      </w:r>
      <w:r w:rsidR="005C68F0">
        <w:rPr>
          <w:rFonts w:cs="Times New Roman"/>
          <w:color w:val="auto"/>
          <w:szCs w:val="24"/>
        </w:rPr>
        <w:t>10</w:t>
      </w:r>
      <w:r>
        <w:rPr>
          <w:rFonts w:cs="Times New Roman"/>
          <w:color w:val="auto"/>
          <w:szCs w:val="24"/>
        </w:rPr>
        <w:t xml:space="preserve">] Pieteicējs, pamatojot aizskarto pamattiesību būtiskumu, atsaucies uz Satversmes tiesas </w:t>
      </w:r>
      <w:proofErr w:type="gramStart"/>
      <w:r>
        <w:rPr>
          <w:rFonts w:cs="Times New Roman"/>
          <w:color w:val="auto"/>
          <w:szCs w:val="24"/>
        </w:rPr>
        <w:t>2019.gada</w:t>
      </w:r>
      <w:proofErr w:type="gramEnd"/>
      <w:r>
        <w:rPr>
          <w:rFonts w:cs="Times New Roman"/>
          <w:color w:val="auto"/>
          <w:szCs w:val="24"/>
        </w:rPr>
        <w:t xml:space="preserve"> 24.oktobra spriedumu lietā Nr. 2018-23-03</w:t>
      </w:r>
      <w:r w:rsidR="00ED72D7">
        <w:rPr>
          <w:rFonts w:cs="Times New Roman"/>
          <w:color w:val="auto"/>
          <w:szCs w:val="24"/>
        </w:rPr>
        <w:t>,</w:t>
      </w:r>
      <w:r>
        <w:rPr>
          <w:rFonts w:cs="Times New Roman"/>
          <w:color w:val="auto"/>
          <w:szCs w:val="24"/>
        </w:rPr>
        <w:t xml:space="preserve"> ar kuru par </w:t>
      </w:r>
      <w:r w:rsidR="00ED72D7">
        <w:rPr>
          <w:rFonts w:cs="Times New Roman"/>
          <w:color w:val="auto"/>
          <w:szCs w:val="24"/>
        </w:rPr>
        <w:t xml:space="preserve">neatbilstošu </w:t>
      </w:r>
      <w:r>
        <w:rPr>
          <w:rFonts w:cs="Times New Roman"/>
          <w:color w:val="auto"/>
          <w:szCs w:val="24"/>
        </w:rPr>
        <w:t>Satversmes 112.pantam tika atzīta norma, kas neparedzēja brīvības atņemšanas iestādes administrācijai tiesības lemt par atļauju notiesātajam izmantot palīglīdzekļus studiju turpināšanai augstākā līmeņa izglītības iegūšanai. Tāpat pieteicējs atsaucies uz Eiropas Cilvēktiesību tiesas 2019.gada 18.jūnija spriedumu apvienotajās lietās</w:t>
      </w:r>
      <w:r w:rsidR="00BF40CA">
        <w:rPr>
          <w:rFonts w:cs="Times New Roman"/>
          <w:color w:val="auto"/>
          <w:szCs w:val="24"/>
        </w:rPr>
        <w:t xml:space="preserve"> </w:t>
      </w:r>
      <w:r w:rsidR="00BF40CA" w:rsidRPr="00596711">
        <w:rPr>
          <w:i/>
        </w:rPr>
        <w:t>„</w:t>
      </w:r>
      <w:proofErr w:type="spellStart"/>
      <w:r w:rsidR="00BF40CA" w:rsidRPr="00596711">
        <w:rPr>
          <w:rFonts w:cs="Times New Roman"/>
          <w:i/>
          <w:color w:val="auto"/>
          <w:szCs w:val="24"/>
        </w:rPr>
        <w:t>Mehmet</w:t>
      </w:r>
      <w:proofErr w:type="spellEnd"/>
      <w:r w:rsidR="00BF40CA" w:rsidRPr="00596711">
        <w:rPr>
          <w:rFonts w:cs="Times New Roman"/>
          <w:i/>
          <w:color w:val="auto"/>
          <w:szCs w:val="24"/>
        </w:rPr>
        <w:t xml:space="preserve"> </w:t>
      </w:r>
      <w:proofErr w:type="spellStart"/>
      <w:r w:rsidR="00BF40CA" w:rsidRPr="00596711">
        <w:rPr>
          <w:rFonts w:cs="Times New Roman"/>
          <w:i/>
          <w:color w:val="auto"/>
          <w:szCs w:val="24"/>
        </w:rPr>
        <w:t>Resit</w:t>
      </w:r>
      <w:proofErr w:type="spellEnd"/>
      <w:r w:rsidR="00BF40CA" w:rsidRPr="00596711">
        <w:rPr>
          <w:rFonts w:cs="Times New Roman"/>
          <w:i/>
          <w:color w:val="auto"/>
          <w:szCs w:val="24"/>
        </w:rPr>
        <w:t xml:space="preserve"> </w:t>
      </w:r>
      <w:proofErr w:type="spellStart"/>
      <w:r w:rsidR="00BF40CA" w:rsidRPr="00596711">
        <w:rPr>
          <w:rFonts w:cs="Times New Roman"/>
          <w:i/>
          <w:color w:val="auto"/>
          <w:szCs w:val="24"/>
        </w:rPr>
        <w:t>Arslan</w:t>
      </w:r>
      <w:proofErr w:type="spellEnd"/>
      <w:r w:rsidR="00BF40CA" w:rsidRPr="00596711">
        <w:rPr>
          <w:rFonts w:cs="Times New Roman"/>
          <w:i/>
          <w:color w:val="auto"/>
          <w:szCs w:val="24"/>
        </w:rPr>
        <w:t xml:space="preserve"> </w:t>
      </w:r>
      <w:proofErr w:type="spellStart"/>
      <w:r w:rsidR="00BF40CA" w:rsidRPr="00596711">
        <w:rPr>
          <w:rFonts w:cs="Times New Roman"/>
          <w:i/>
          <w:color w:val="auto"/>
          <w:szCs w:val="24"/>
        </w:rPr>
        <w:t>And</w:t>
      </w:r>
      <w:proofErr w:type="spellEnd"/>
      <w:r w:rsidR="00BF40CA" w:rsidRPr="00596711">
        <w:rPr>
          <w:rFonts w:cs="Times New Roman"/>
          <w:i/>
          <w:color w:val="auto"/>
          <w:szCs w:val="24"/>
        </w:rPr>
        <w:t xml:space="preserve"> </w:t>
      </w:r>
      <w:proofErr w:type="spellStart"/>
      <w:r w:rsidR="00BF40CA" w:rsidRPr="00596711">
        <w:rPr>
          <w:rFonts w:cs="Times New Roman"/>
          <w:i/>
          <w:color w:val="auto"/>
          <w:szCs w:val="24"/>
        </w:rPr>
        <w:t>Orhan</w:t>
      </w:r>
      <w:proofErr w:type="spellEnd"/>
      <w:r w:rsidR="00BF40CA" w:rsidRPr="00596711">
        <w:rPr>
          <w:rFonts w:cs="Times New Roman"/>
          <w:i/>
          <w:color w:val="auto"/>
          <w:szCs w:val="24"/>
        </w:rPr>
        <w:t xml:space="preserve"> </w:t>
      </w:r>
      <w:proofErr w:type="spellStart"/>
      <w:r w:rsidR="00BF40CA" w:rsidRPr="00596711">
        <w:rPr>
          <w:rFonts w:cs="Times New Roman"/>
          <w:i/>
          <w:color w:val="auto"/>
          <w:szCs w:val="24"/>
        </w:rPr>
        <w:t>Bingol</w:t>
      </w:r>
      <w:proofErr w:type="spellEnd"/>
      <w:r w:rsidR="00BF40CA" w:rsidRPr="00596711">
        <w:rPr>
          <w:rFonts w:cs="Times New Roman"/>
          <w:i/>
          <w:color w:val="auto"/>
          <w:szCs w:val="24"/>
        </w:rPr>
        <w:t xml:space="preserve"> v </w:t>
      </w:r>
      <w:proofErr w:type="spellStart"/>
      <w:r w:rsidR="00BF40CA" w:rsidRPr="00596711">
        <w:rPr>
          <w:rFonts w:cs="Times New Roman"/>
          <w:i/>
          <w:color w:val="auto"/>
          <w:szCs w:val="24"/>
        </w:rPr>
        <w:t>Turkey</w:t>
      </w:r>
      <w:proofErr w:type="spellEnd"/>
      <w:r w:rsidR="00BF40CA" w:rsidRPr="00596711">
        <w:rPr>
          <w:rFonts w:cs="Times New Roman"/>
          <w:i/>
          <w:color w:val="auto"/>
          <w:szCs w:val="24"/>
        </w:rPr>
        <w:t xml:space="preserve">” </w:t>
      </w:r>
      <w:r w:rsidR="00663205">
        <w:rPr>
          <w:rFonts w:cs="Times New Roman"/>
          <w:color w:val="auto"/>
          <w:szCs w:val="24"/>
        </w:rPr>
        <w:t>(</w:t>
      </w:r>
      <w:r w:rsidRPr="00663205">
        <w:rPr>
          <w:rFonts w:cs="Times New Roman"/>
          <w:i/>
          <w:color w:val="auto"/>
          <w:szCs w:val="24"/>
        </w:rPr>
        <w:t>iesniegum</w:t>
      </w:r>
      <w:r w:rsidR="00BF40CA">
        <w:rPr>
          <w:rFonts w:cs="Times New Roman"/>
          <w:i/>
          <w:color w:val="auto"/>
          <w:szCs w:val="24"/>
        </w:rPr>
        <w:t>a</w:t>
      </w:r>
      <w:r w:rsidRPr="00663205">
        <w:rPr>
          <w:rFonts w:cs="Times New Roman"/>
          <w:i/>
          <w:color w:val="auto"/>
          <w:szCs w:val="24"/>
        </w:rPr>
        <w:t xml:space="preserve"> Nr. 47121/06, 13988/07 un Nr.</w:t>
      </w:r>
      <w:r w:rsidR="00BF40CA">
        <w:rPr>
          <w:rFonts w:cs="Times New Roman"/>
          <w:i/>
          <w:color w:val="auto"/>
          <w:szCs w:val="24"/>
        </w:rPr>
        <w:t> </w:t>
      </w:r>
      <w:r w:rsidRPr="00663205">
        <w:rPr>
          <w:rFonts w:cs="Times New Roman"/>
          <w:i/>
          <w:color w:val="auto"/>
          <w:szCs w:val="24"/>
        </w:rPr>
        <w:t>34750/07</w:t>
      </w:r>
      <w:r w:rsidR="00663205">
        <w:rPr>
          <w:rFonts w:cs="Times New Roman"/>
          <w:color w:val="auto"/>
          <w:szCs w:val="24"/>
        </w:rPr>
        <w:t>), norādot, ka bija jārod līdzsvars starp tiesī</w:t>
      </w:r>
      <w:r w:rsidR="005A78C8">
        <w:rPr>
          <w:rFonts w:cs="Times New Roman"/>
          <w:color w:val="auto"/>
          <w:szCs w:val="24"/>
        </w:rPr>
        <w:t>b</w:t>
      </w:r>
      <w:r w:rsidR="00663205">
        <w:rPr>
          <w:rFonts w:cs="Times New Roman"/>
          <w:color w:val="auto"/>
          <w:szCs w:val="24"/>
        </w:rPr>
        <w:t xml:space="preserve">ām iegūt izglītību un iespējamiem drošības riskiem, izmantojot ieslodzījuma vietā datoru ar interneta pieslēgumu. </w:t>
      </w:r>
    </w:p>
    <w:p w14:paraId="20A1EE08" w14:textId="28E71767" w:rsidR="00F562C4" w:rsidRDefault="00663205" w:rsidP="00F562C4">
      <w:pPr>
        <w:tabs>
          <w:tab w:val="left" w:pos="1335"/>
        </w:tabs>
        <w:spacing w:after="0" w:line="276" w:lineRule="auto"/>
        <w:ind w:firstLine="567"/>
        <w:jc w:val="both"/>
        <w:rPr>
          <w:rFonts w:cs="Times New Roman"/>
          <w:color w:val="auto"/>
          <w:szCs w:val="24"/>
        </w:rPr>
      </w:pPr>
      <w:r>
        <w:rPr>
          <w:rFonts w:cs="Times New Roman"/>
          <w:color w:val="auto"/>
          <w:szCs w:val="24"/>
        </w:rPr>
        <w:t xml:space="preserve">Senāts </w:t>
      </w:r>
      <w:r w:rsidR="00ED72D7">
        <w:rPr>
          <w:rFonts w:cs="Times New Roman"/>
          <w:color w:val="auto"/>
          <w:szCs w:val="24"/>
        </w:rPr>
        <w:t>atzīst</w:t>
      </w:r>
      <w:r w:rsidR="00525597">
        <w:rPr>
          <w:rFonts w:cs="Times New Roman"/>
          <w:color w:val="auto"/>
          <w:szCs w:val="24"/>
        </w:rPr>
        <w:t>, ka pieteicēja atsauce uz konkrētajām lietām, lai norādītu uz būtisku pamattiesību aizskārumu, nav pamatota. Gan Satversmes tiesas, gan Eiropas Cilvēktiesību tiesas lietās prasījums bija saistīts ar tiesībām uz izglītību, proti, personas vēlējās iegūt izglītību</w:t>
      </w:r>
      <w:r w:rsidR="00ED72D7">
        <w:rPr>
          <w:rFonts w:cs="Times New Roman"/>
          <w:color w:val="auto"/>
          <w:szCs w:val="24"/>
        </w:rPr>
        <w:t>,</w:t>
      </w:r>
      <w:r w:rsidR="00525597">
        <w:rPr>
          <w:rFonts w:cs="Times New Roman"/>
          <w:color w:val="auto"/>
          <w:szCs w:val="24"/>
        </w:rPr>
        <w:t xml:space="preserve"> un ieslodzījuma vietā nebija nodrošinātas iespējas</w:t>
      </w:r>
      <w:r w:rsidR="00ED72D7">
        <w:rPr>
          <w:rFonts w:cs="Times New Roman"/>
          <w:color w:val="auto"/>
          <w:szCs w:val="24"/>
        </w:rPr>
        <w:t>,</w:t>
      </w:r>
      <w:r w:rsidR="00525597">
        <w:rPr>
          <w:rFonts w:cs="Times New Roman"/>
          <w:color w:val="auto"/>
          <w:szCs w:val="24"/>
        </w:rPr>
        <w:t xml:space="preserve"> kā </w:t>
      </w:r>
      <w:r w:rsidR="00ED72D7">
        <w:rPr>
          <w:rFonts w:cs="Times New Roman"/>
          <w:color w:val="auto"/>
          <w:szCs w:val="24"/>
        </w:rPr>
        <w:t>š</w:t>
      </w:r>
      <w:r w:rsidR="00525597">
        <w:rPr>
          <w:rFonts w:cs="Times New Roman"/>
          <w:color w:val="auto"/>
          <w:szCs w:val="24"/>
        </w:rPr>
        <w:t xml:space="preserve">o mērķi sasniegt. </w:t>
      </w:r>
      <w:r w:rsidR="007104D8">
        <w:rPr>
          <w:rFonts w:cs="Times New Roman"/>
          <w:color w:val="auto"/>
          <w:szCs w:val="24"/>
        </w:rPr>
        <w:t>Abas tiesas</w:t>
      </w:r>
      <w:r w:rsidR="00525597">
        <w:rPr>
          <w:rFonts w:cs="Times New Roman"/>
          <w:color w:val="auto"/>
          <w:szCs w:val="24"/>
        </w:rPr>
        <w:t xml:space="preserve"> norādīja, ka</w:t>
      </w:r>
      <w:r w:rsidR="007104D8">
        <w:rPr>
          <w:rFonts w:cs="Times New Roman"/>
          <w:color w:val="auto"/>
          <w:szCs w:val="24"/>
        </w:rPr>
        <w:t>,</w:t>
      </w:r>
      <w:r w:rsidR="00525597">
        <w:rPr>
          <w:rFonts w:cs="Times New Roman"/>
          <w:color w:val="auto"/>
          <w:szCs w:val="24"/>
        </w:rPr>
        <w:t xml:space="preserve"> </w:t>
      </w:r>
      <w:r w:rsidR="00F63904">
        <w:rPr>
          <w:rFonts w:cs="Times New Roman"/>
          <w:color w:val="auto"/>
          <w:szCs w:val="24"/>
        </w:rPr>
        <w:t xml:space="preserve">lai sasniegtu </w:t>
      </w:r>
      <w:r w:rsidR="00525597">
        <w:rPr>
          <w:rFonts w:cs="Times New Roman"/>
          <w:color w:val="auto"/>
          <w:szCs w:val="24"/>
        </w:rPr>
        <w:t>līdzsvar</w:t>
      </w:r>
      <w:r w:rsidR="00F63904">
        <w:rPr>
          <w:rFonts w:cs="Times New Roman"/>
          <w:color w:val="auto"/>
          <w:szCs w:val="24"/>
        </w:rPr>
        <w:t>u</w:t>
      </w:r>
      <w:r w:rsidR="00525597">
        <w:rPr>
          <w:rFonts w:cs="Times New Roman"/>
          <w:color w:val="auto"/>
          <w:szCs w:val="24"/>
        </w:rPr>
        <w:t xml:space="preserve"> starp personu tiesībām uz izglītību un drošības prasīb</w:t>
      </w:r>
      <w:r w:rsidR="007104D8">
        <w:rPr>
          <w:rFonts w:cs="Times New Roman"/>
          <w:color w:val="auto"/>
          <w:szCs w:val="24"/>
        </w:rPr>
        <w:t>u ievērošanu ieslodzījuma vietā,</w:t>
      </w:r>
      <w:r w:rsidR="00525597">
        <w:rPr>
          <w:rFonts w:cs="Times New Roman"/>
          <w:color w:val="auto"/>
          <w:szCs w:val="24"/>
        </w:rPr>
        <w:t xml:space="preserve"> </w:t>
      </w:r>
      <w:r w:rsidR="007104D8">
        <w:rPr>
          <w:rFonts w:cs="Times New Roman"/>
          <w:color w:val="auto"/>
          <w:szCs w:val="24"/>
        </w:rPr>
        <w:t>ir jānodrošina individuāls izvērtējums atkarībā no katras konkrētās lietas faktiskajiem apstākļiem</w:t>
      </w:r>
      <w:r w:rsidR="00F562C4">
        <w:rPr>
          <w:rFonts w:cs="Times New Roman"/>
          <w:color w:val="auto"/>
          <w:szCs w:val="24"/>
        </w:rPr>
        <w:t xml:space="preserve"> </w:t>
      </w:r>
      <w:r w:rsidR="00F562C4" w:rsidRPr="00F562C4">
        <w:rPr>
          <w:rFonts w:cs="Times New Roman"/>
          <w:color w:val="auto"/>
          <w:szCs w:val="24"/>
        </w:rPr>
        <w:t>(</w:t>
      </w:r>
      <w:r w:rsidR="00F562C4" w:rsidRPr="00F562C4">
        <w:rPr>
          <w:rFonts w:cs="Times New Roman"/>
          <w:i/>
          <w:color w:val="auto"/>
          <w:szCs w:val="24"/>
        </w:rPr>
        <w:t xml:space="preserve">Satversmes tiesas </w:t>
      </w:r>
      <w:proofErr w:type="gramStart"/>
      <w:r w:rsidR="00F562C4" w:rsidRPr="00F562C4">
        <w:rPr>
          <w:rFonts w:cs="Times New Roman"/>
          <w:i/>
          <w:color w:val="auto"/>
          <w:szCs w:val="24"/>
        </w:rPr>
        <w:t>2019.gada</w:t>
      </w:r>
      <w:proofErr w:type="gramEnd"/>
      <w:r w:rsidR="00F562C4" w:rsidRPr="00F562C4">
        <w:rPr>
          <w:rFonts w:cs="Times New Roman"/>
          <w:i/>
          <w:color w:val="auto"/>
          <w:szCs w:val="24"/>
        </w:rPr>
        <w:t xml:space="preserve"> 24.oktobra sprieduma lietā </w:t>
      </w:r>
      <w:r w:rsidR="00596711">
        <w:rPr>
          <w:rFonts w:cs="Times New Roman"/>
          <w:i/>
          <w:color w:val="auto"/>
          <w:szCs w:val="24"/>
        </w:rPr>
        <w:br/>
      </w:r>
      <w:r w:rsidR="00E2660B">
        <w:rPr>
          <w:rFonts w:cs="Times New Roman"/>
          <w:i/>
          <w:color w:val="auto"/>
          <w:szCs w:val="24"/>
        </w:rPr>
        <w:t>Nr. </w:t>
      </w:r>
      <w:r w:rsidR="00F562C4" w:rsidRPr="00F562C4">
        <w:rPr>
          <w:rFonts w:cs="Times New Roman"/>
          <w:i/>
          <w:color w:val="auto"/>
          <w:szCs w:val="24"/>
        </w:rPr>
        <w:t xml:space="preserve">2018-23-03 18.2.punkts; Eiropas Cilvēktiesību tiesas 2019.gada 18.jūnija sprieduma lietā </w:t>
      </w:r>
      <w:r w:rsidR="00BF40CA" w:rsidRPr="00BF40CA">
        <w:rPr>
          <w:i/>
        </w:rPr>
        <w:t>„</w:t>
      </w:r>
      <w:proofErr w:type="spellStart"/>
      <w:r w:rsidR="00BF40CA" w:rsidRPr="00BF40CA">
        <w:rPr>
          <w:rFonts w:cs="Times New Roman"/>
          <w:i/>
          <w:color w:val="auto"/>
          <w:szCs w:val="24"/>
        </w:rPr>
        <w:t>Mehmet</w:t>
      </w:r>
      <w:proofErr w:type="spellEnd"/>
      <w:r w:rsidR="00BF40CA" w:rsidRPr="00BF40CA">
        <w:rPr>
          <w:rFonts w:cs="Times New Roman"/>
          <w:i/>
          <w:color w:val="auto"/>
          <w:szCs w:val="24"/>
        </w:rPr>
        <w:t xml:space="preserve"> </w:t>
      </w:r>
      <w:proofErr w:type="spellStart"/>
      <w:r w:rsidR="00BF40CA" w:rsidRPr="00BF40CA">
        <w:rPr>
          <w:rFonts w:cs="Times New Roman"/>
          <w:i/>
          <w:color w:val="auto"/>
          <w:szCs w:val="24"/>
        </w:rPr>
        <w:t>Resit</w:t>
      </w:r>
      <w:proofErr w:type="spellEnd"/>
      <w:r w:rsidR="00BF40CA" w:rsidRPr="00BF40CA">
        <w:rPr>
          <w:rFonts w:cs="Times New Roman"/>
          <w:i/>
          <w:color w:val="auto"/>
          <w:szCs w:val="24"/>
        </w:rPr>
        <w:t xml:space="preserve"> </w:t>
      </w:r>
      <w:proofErr w:type="spellStart"/>
      <w:r w:rsidR="00BF40CA" w:rsidRPr="00BF40CA">
        <w:rPr>
          <w:rFonts w:cs="Times New Roman"/>
          <w:i/>
          <w:color w:val="auto"/>
          <w:szCs w:val="24"/>
        </w:rPr>
        <w:t>Arslan</w:t>
      </w:r>
      <w:proofErr w:type="spellEnd"/>
      <w:r w:rsidR="00BF40CA" w:rsidRPr="00BF40CA">
        <w:rPr>
          <w:rFonts w:cs="Times New Roman"/>
          <w:i/>
          <w:color w:val="auto"/>
          <w:szCs w:val="24"/>
        </w:rPr>
        <w:t xml:space="preserve"> </w:t>
      </w:r>
      <w:proofErr w:type="spellStart"/>
      <w:r w:rsidR="00BF40CA" w:rsidRPr="00BF40CA">
        <w:rPr>
          <w:rFonts w:cs="Times New Roman"/>
          <w:i/>
          <w:color w:val="auto"/>
          <w:szCs w:val="24"/>
        </w:rPr>
        <w:t>And</w:t>
      </w:r>
      <w:proofErr w:type="spellEnd"/>
      <w:r w:rsidR="00BF40CA" w:rsidRPr="00BF40CA">
        <w:rPr>
          <w:rFonts w:cs="Times New Roman"/>
          <w:i/>
          <w:color w:val="auto"/>
          <w:szCs w:val="24"/>
        </w:rPr>
        <w:t xml:space="preserve"> </w:t>
      </w:r>
      <w:proofErr w:type="spellStart"/>
      <w:r w:rsidR="00BF40CA" w:rsidRPr="00BF40CA">
        <w:rPr>
          <w:rFonts w:cs="Times New Roman"/>
          <w:i/>
          <w:color w:val="auto"/>
          <w:szCs w:val="24"/>
        </w:rPr>
        <w:t>Orhan</w:t>
      </w:r>
      <w:proofErr w:type="spellEnd"/>
      <w:r w:rsidR="00BF40CA" w:rsidRPr="00BF40CA">
        <w:rPr>
          <w:rFonts w:cs="Times New Roman"/>
          <w:i/>
          <w:color w:val="auto"/>
          <w:szCs w:val="24"/>
        </w:rPr>
        <w:t xml:space="preserve"> </w:t>
      </w:r>
      <w:proofErr w:type="spellStart"/>
      <w:r w:rsidR="00BF40CA" w:rsidRPr="00BF40CA">
        <w:rPr>
          <w:rFonts w:cs="Times New Roman"/>
          <w:i/>
          <w:color w:val="auto"/>
          <w:szCs w:val="24"/>
        </w:rPr>
        <w:t>Bingol</w:t>
      </w:r>
      <w:proofErr w:type="spellEnd"/>
      <w:r w:rsidR="00BF40CA" w:rsidRPr="00BF40CA">
        <w:rPr>
          <w:rFonts w:cs="Times New Roman"/>
          <w:i/>
          <w:color w:val="auto"/>
          <w:szCs w:val="24"/>
        </w:rPr>
        <w:t xml:space="preserve"> v </w:t>
      </w:r>
      <w:proofErr w:type="spellStart"/>
      <w:r w:rsidR="00BF40CA" w:rsidRPr="00BF40CA">
        <w:rPr>
          <w:rFonts w:cs="Times New Roman"/>
          <w:i/>
          <w:color w:val="auto"/>
          <w:szCs w:val="24"/>
        </w:rPr>
        <w:t>Turkey</w:t>
      </w:r>
      <w:proofErr w:type="spellEnd"/>
      <w:r w:rsidR="00BF40CA" w:rsidRPr="00BF40CA">
        <w:rPr>
          <w:rFonts w:cs="Times New Roman"/>
          <w:i/>
          <w:color w:val="auto"/>
          <w:szCs w:val="24"/>
        </w:rPr>
        <w:t>”,</w:t>
      </w:r>
      <w:r w:rsidR="00BF40CA">
        <w:rPr>
          <w:rFonts w:cs="Times New Roman"/>
          <w:color w:val="auto"/>
          <w:szCs w:val="24"/>
        </w:rPr>
        <w:t xml:space="preserve"> </w:t>
      </w:r>
      <w:r w:rsidR="00BF40CA" w:rsidRPr="00663205">
        <w:rPr>
          <w:rFonts w:cs="Times New Roman"/>
          <w:i/>
          <w:color w:val="auto"/>
          <w:szCs w:val="24"/>
        </w:rPr>
        <w:t>iesniegum</w:t>
      </w:r>
      <w:r w:rsidR="00BF40CA">
        <w:rPr>
          <w:rFonts w:cs="Times New Roman"/>
          <w:i/>
          <w:color w:val="auto"/>
          <w:szCs w:val="24"/>
        </w:rPr>
        <w:t>a</w:t>
      </w:r>
      <w:r w:rsidR="00BF40CA" w:rsidRPr="00663205">
        <w:rPr>
          <w:rFonts w:cs="Times New Roman"/>
          <w:i/>
          <w:color w:val="auto"/>
          <w:szCs w:val="24"/>
        </w:rPr>
        <w:t xml:space="preserve"> Nr. 47121/06, 13988/07 un Nr.</w:t>
      </w:r>
      <w:r w:rsidR="00BF40CA">
        <w:rPr>
          <w:rFonts w:cs="Times New Roman"/>
          <w:i/>
          <w:color w:val="auto"/>
          <w:szCs w:val="24"/>
        </w:rPr>
        <w:t> </w:t>
      </w:r>
      <w:r w:rsidR="00BF40CA" w:rsidRPr="00663205">
        <w:rPr>
          <w:rFonts w:cs="Times New Roman"/>
          <w:i/>
          <w:color w:val="auto"/>
          <w:szCs w:val="24"/>
        </w:rPr>
        <w:t>34750/07</w:t>
      </w:r>
      <w:r w:rsidR="00F562C4" w:rsidRPr="00F562C4">
        <w:rPr>
          <w:rFonts w:cs="Times New Roman"/>
          <w:i/>
          <w:color w:val="auto"/>
          <w:szCs w:val="24"/>
        </w:rPr>
        <w:t>, 56.,</w:t>
      </w:r>
      <w:r w:rsidR="00BF40CA">
        <w:rPr>
          <w:rFonts w:cs="Times New Roman"/>
          <w:i/>
          <w:color w:val="auto"/>
          <w:szCs w:val="24"/>
        </w:rPr>
        <w:t xml:space="preserve"> </w:t>
      </w:r>
      <w:r w:rsidR="00F562C4" w:rsidRPr="00F562C4">
        <w:rPr>
          <w:rFonts w:cs="Times New Roman"/>
          <w:i/>
          <w:color w:val="auto"/>
          <w:szCs w:val="24"/>
        </w:rPr>
        <w:t>57.</w:t>
      </w:r>
      <w:r w:rsidR="00F562C4" w:rsidRPr="00F562C4">
        <w:rPr>
          <w:rFonts w:cs="Times New Roman"/>
          <w:i/>
          <w:iCs/>
          <w:color w:val="auto"/>
          <w:szCs w:val="24"/>
        </w:rPr>
        <w:t xml:space="preserve"> un 69.punkts</w:t>
      </w:r>
      <w:r w:rsidR="00F562C4" w:rsidRPr="00F562C4">
        <w:rPr>
          <w:rFonts w:cs="Times New Roman"/>
          <w:color w:val="auto"/>
          <w:szCs w:val="24"/>
        </w:rPr>
        <w:t>).</w:t>
      </w:r>
      <w:r w:rsidR="00F562C4">
        <w:rPr>
          <w:rFonts w:cs="Times New Roman"/>
          <w:color w:val="auto"/>
          <w:szCs w:val="24"/>
        </w:rPr>
        <w:t xml:space="preserve"> </w:t>
      </w:r>
    </w:p>
    <w:p w14:paraId="350EC48A" w14:textId="6F6C40EB" w:rsidR="00ED72D7" w:rsidRDefault="007104D8" w:rsidP="00A32EF1">
      <w:pPr>
        <w:tabs>
          <w:tab w:val="left" w:pos="1335"/>
        </w:tabs>
        <w:spacing w:after="0" w:line="276" w:lineRule="auto"/>
        <w:ind w:firstLine="567"/>
        <w:jc w:val="both"/>
        <w:rPr>
          <w:rFonts w:cs="Times New Roman"/>
          <w:color w:val="auto"/>
          <w:szCs w:val="24"/>
        </w:rPr>
      </w:pPr>
      <w:r>
        <w:rPr>
          <w:rFonts w:cs="Times New Roman"/>
          <w:color w:val="auto"/>
          <w:szCs w:val="24"/>
        </w:rPr>
        <w:t>Eiropas Cilvēktiesību tiesā izskatītas arī citas lietas, kurās skarts jautājums pa</w:t>
      </w:r>
      <w:r w:rsidR="00E2660B">
        <w:rPr>
          <w:rFonts w:cs="Times New Roman"/>
          <w:color w:val="auto"/>
          <w:szCs w:val="24"/>
        </w:rPr>
        <w:t xml:space="preserve">r pieeju internetam. Piemēram, </w:t>
      </w:r>
      <w:r w:rsidR="00E2660B" w:rsidRPr="00E2660B">
        <w:rPr>
          <w:rFonts w:cs="Times New Roman"/>
          <w:color w:val="auto"/>
          <w:szCs w:val="24"/>
        </w:rPr>
        <w:t>lietā</w:t>
      </w:r>
      <w:r w:rsidR="00E2660B">
        <w:rPr>
          <w:rFonts w:cs="Times New Roman"/>
          <w:i/>
          <w:color w:val="auto"/>
          <w:szCs w:val="24"/>
        </w:rPr>
        <w:t xml:space="preserve"> </w:t>
      </w:r>
      <w:r w:rsidR="00596711" w:rsidRPr="00BF40CA">
        <w:rPr>
          <w:i/>
        </w:rPr>
        <w:t>„</w:t>
      </w:r>
      <w:proofErr w:type="spellStart"/>
      <w:r w:rsidRPr="00ED72D7">
        <w:rPr>
          <w:rFonts w:cs="Times New Roman"/>
          <w:i/>
          <w:iCs/>
          <w:color w:val="auto"/>
          <w:szCs w:val="24"/>
        </w:rPr>
        <w:t>Jankovskis</w:t>
      </w:r>
      <w:proofErr w:type="spellEnd"/>
      <w:r w:rsidRPr="00ED72D7">
        <w:rPr>
          <w:rFonts w:cs="Times New Roman"/>
          <w:i/>
          <w:iCs/>
          <w:color w:val="auto"/>
          <w:szCs w:val="24"/>
        </w:rPr>
        <w:t xml:space="preserve"> </w:t>
      </w:r>
      <w:r w:rsidR="00596711">
        <w:rPr>
          <w:rFonts w:cs="Times New Roman"/>
          <w:i/>
          <w:iCs/>
          <w:color w:val="auto"/>
          <w:szCs w:val="24"/>
        </w:rPr>
        <w:t xml:space="preserve">v </w:t>
      </w:r>
      <w:proofErr w:type="spellStart"/>
      <w:r w:rsidR="00596711">
        <w:rPr>
          <w:rFonts w:cs="Times New Roman"/>
          <w:i/>
          <w:iCs/>
          <w:color w:val="auto"/>
          <w:szCs w:val="24"/>
        </w:rPr>
        <w:t>Lithuania</w:t>
      </w:r>
      <w:proofErr w:type="spellEnd"/>
      <w:r w:rsidR="00596711">
        <w:rPr>
          <w:rFonts w:cs="Times New Roman"/>
          <w:i/>
          <w:iCs/>
          <w:color w:val="auto"/>
          <w:szCs w:val="24"/>
        </w:rPr>
        <w:t>”</w:t>
      </w:r>
      <w:r>
        <w:rPr>
          <w:rFonts w:cs="Times New Roman"/>
          <w:color w:val="auto"/>
          <w:szCs w:val="24"/>
        </w:rPr>
        <w:t xml:space="preserve"> (</w:t>
      </w:r>
      <w:proofErr w:type="gramStart"/>
      <w:r w:rsidR="00E2660B" w:rsidRPr="00E2660B">
        <w:rPr>
          <w:rFonts w:cs="Times New Roman"/>
          <w:i/>
          <w:color w:val="auto"/>
          <w:szCs w:val="24"/>
        </w:rPr>
        <w:t>2017.gada</w:t>
      </w:r>
      <w:proofErr w:type="gramEnd"/>
      <w:r w:rsidR="00E2660B" w:rsidRPr="00E2660B">
        <w:rPr>
          <w:rFonts w:cs="Times New Roman"/>
          <w:i/>
          <w:color w:val="auto"/>
          <w:szCs w:val="24"/>
        </w:rPr>
        <w:t xml:space="preserve"> 17.janvāra spriedums,</w:t>
      </w:r>
      <w:r w:rsidR="00E2660B">
        <w:rPr>
          <w:rFonts w:cs="Times New Roman"/>
          <w:color w:val="auto"/>
          <w:szCs w:val="24"/>
        </w:rPr>
        <w:t xml:space="preserve"> </w:t>
      </w:r>
      <w:r w:rsidRPr="00F63904">
        <w:rPr>
          <w:rFonts w:cs="Times New Roman"/>
          <w:i/>
          <w:color w:val="auto"/>
          <w:szCs w:val="24"/>
        </w:rPr>
        <w:t>iesniegum</w:t>
      </w:r>
      <w:r w:rsidR="00596711">
        <w:rPr>
          <w:rFonts w:cs="Times New Roman"/>
          <w:i/>
          <w:color w:val="auto"/>
          <w:szCs w:val="24"/>
        </w:rPr>
        <w:t xml:space="preserve">a </w:t>
      </w:r>
      <w:r w:rsidRPr="00F63904">
        <w:rPr>
          <w:rFonts w:cs="Times New Roman"/>
          <w:i/>
          <w:color w:val="auto"/>
          <w:szCs w:val="24"/>
        </w:rPr>
        <w:t>Nr. 21575/08</w:t>
      </w:r>
      <w:r w:rsidRPr="00E2660B">
        <w:rPr>
          <w:rFonts w:cs="Times New Roman"/>
          <w:i/>
          <w:color w:val="auto"/>
          <w:szCs w:val="24"/>
        </w:rPr>
        <w:t>)</w:t>
      </w:r>
      <w:r w:rsidR="00ED72D7">
        <w:rPr>
          <w:rFonts w:cs="Times New Roman"/>
          <w:color w:val="auto"/>
          <w:szCs w:val="24"/>
        </w:rPr>
        <w:t xml:space="preserve"> </w:t>
      </w:r>
      <w:r>
        <w:rPr>
          <w:rFonts w:cs="Times New Roman"/>
          <w:color w:val="auto"/>
          <w:szCs w:val="24"/>
        </w:rPr>
        <w:t>pieteicējs vēlējās iepazīties ar valsts iestādes tīmekļa vietnē ievietoto informāciju par izglītības iestādēm, lai varētu izvēlēties, kuras izglītības iestādes programmu viņš vēlētos apgūt. Ieslodzījuma vietas administrācija nespēja nodrošināt pieteicēju interesējošo informāciju citā tikpat efektīvā veidā, tādēļ tika konstatēts pārkāpums (</w:t>
      </w:r>
      <w:r w:rsidRPr="00A32EF1">
        <w:rPr>
          <w:rFonts w:cs="Times New Roman"/>
          <w:i/>
          <w:color w:val="auto"/>
          <w:szCs w:val="24"/>
        </w:rPr>
        <w:t>59.-62.punkts</w:t>
      </w:r>
      <w:r>
        <w:rPr>
          <w:rFonts w:cs="Times New Roman"/>
          <w:color w:val="auto"/>
          <w:szCs w:val="24"/>
        </w:rPr>
        <w:t xml:space="preserve">). Savukārt lietā </w:t>
      </w:r>
      <w:r w:rsidR="00E2660B" w:rsidRPr="00BF40CA">
        <w:rPr>
          <w:i/>
        </w:rPr>
        <w:t>„</w:t>
      </w:r>
      <w:proofErr w:type="spellStart"/>
      <w:r w:rsidRPr="00ED72D7">
        <w:rPr>
          <w:rFonts w:cs="Times New Roman"/>
          <w:i/>
          <w:iCs/>
          <w:color w:val="auto"/>
          <w:szCs w:val="24"/>
        </w:rPr>
        <w:t>Kalda</w:t>
      </w:r>
      <w:proofErr w:type="spellEnd"/>
      <w:r w:rsidRPr="00ED72D7">
        <w:rPr>
          <w:rFonts w:cs="Times New Roman"/>
          <w:i/>
          <w:iCs/>
          <w:color w:val="auto"/>
          <w:szCs w:val="24"/>
        </w:rPr>
        <w:t xml:space="preserve"> </w:t>
      </w:r>
      <w:r w:rsidR="00E2660B">
        <w:rPr>
          <w:rFonts w:cs="Times New Roman"/>
          <w:i/>
          <w:iCs/>
          <w:color w:val="auto"/>
          <w:szCs w:val="24"/>
        </w:rPr>
        <w:t xml:space="preserve">v </w:t>
      </w:r>
      <w:proofErr w:type="spellStart"/>
      <w:r w:rsidR="00E2660B">
        <w:rPr>
          <w:rFonts w:cs="Times New Roman"/>
          <w:i/>
          <w:iCs/>
          <w:color w:val="auto"/>
          <w:szCs w:val="24"/>
        </w:rPr>
        <w:t>Estonia</w:t>
      </w:r>
      <w:proofErr w:type="spellEnd"/>
      <w:r w:rsidR="00E2660B">
        <w:rPr>
          <w:rFonts w:cs="Times New Roman"/>
          <w:i/>
          <w:iCs/>
          <w:color w:val="auto"/>
          <w:szCs w:val="24"/>
        </w:rPr>
        <w:t>”</w:t>
      </w:r>
      <w:r>
        <w:rPr>
          <w:rFonts w:cs="Times New Roman"/>
          <w:color w:val="auto"/>
          <w:szCs w:val="24"/>
        </w:rPr>
        <w:t xml:space="preserve"> (</w:t>
      </w:r>
      <w:proofErr w:type="gramStart"/>
      <w:r w:rsidRPr="00F63904">
        <w:rPr>
          <w:rFonts w:cs="Times New Roman"/>
          <w:i/>
          <w:color w:val="auto"/>
          <w:szCs w:val="24"/>
        </w:rPr>
        <w:t>2016.gada</w:t>
      </w:r>
      <w:proofErr w:type="gramEnd"/>
      <w:r w:rsidRPr="00F63904">
        <w:rPr>
          <w:rFonts w:cs="Times New Roman"/>
          <w:i/>
          <w:color w:val="auto"/>
          <w:szCs w:val="24"/>
        </w:rPr>
        <w:t xml:space="preserve"> 19.janvāra spriedums, iesniegum</w:t>
      </w:r>
      <w:r w:rsidR="00E2660B">
        <w:rPr>
          <w:rFonts w:cs="Times New Roman"/>
          <w:i/>
          <w:color w:val="auto"/>
          <w:szCs w:val="24"/>
        </w:rPr>
        <w:t>a</w:t>
      </w:r>
      <w:r w:rsidRPr="00F63904">
        <w:rPr>
          <w:rFonts w:cs="Times New Roman"/>
          <w:i/>
          <w:color w:val="auto"/>
          <w:szCs w:val="24"/>
        </w:rPr>
        <w:t xml:space="preserve"> Nr. 17429/10</w:t>
      </w:r>
      <w:r>
        <w:rPr>
          <w:rFonts w:cs="Times New Roman"/>
          <w:color w:val="auto"/>
          <w:szCs w:val="24"/>
        </w:rPr>
        <w:t xml:space="preserve">) pieteicējs vēlējās iepazīties juridisku informāciju, kas pieejama trīs valsts iestāžu tīmekļa vietnēs. Tiesa norādīja, ka ieslodzījums ir saistīts ar dažāda veida pamattiesību ierobežojumiem, tajā skaitā attiecībā uz tiesībām iegūt informāciju. Tiesības uz informāciju nevar tikt interpretētas tādējādi, ka tās rada vispārēju pienākumu nodrošināt pieeju internetam vai konkrētām interneta mājaslapām. Ņemot vērā, ka ieslodzījuma vietā jau bija nodrošināta pieeja atsevišķām tīmekļa vietnēm un pieteicējs vēlējās iegūt tikai juridiska rakstura informāciju, kas citur nebija pieejama tikpat efektīvi, tika konstatēts tiesību uz informāciju pārkāpums </w:t>
      </w:r>
      <w:proofErr w:type="gramStart"/>
      <w:r>
        <w:rPr>
          <w:rFonts w:cs="Times New Roman"/>
          <w:color w:val="auto"/>
          <w:szCs w:val="24"/>
        </w:rPr>
        <w:t>(</w:t>
      </w:r>
      <w:proofErr w:type="gramEnd"/>
      <w:r w:rsidRPr="004F0B68">
        <w:rPr>
          <w:rFonts w:cs="Times New Roman"/>
          <w:i/>
          <w:color w:val="auto"/>
          <w:szCs w:val="24"/>
        </w:rPr>
        <w:t>45.-50.punkts</w:t>
      </w:r>
      <w:r>
        <w:rPr>
          <w:rFonts w:cs="Times New Roman"/>
          <w:color w:val="auto"/>
          <w:szCs w:val="24"/>
        </w:rPr>
        <w:t xml:space="preserve">). </w:t>
      </w:r>
    </w:p>
    <w:p w14:paraId="05A58792" w14:textId="54823849" w:rsidR="00525597" w:rsidRDefault="00ED72D7" w:rsidP="00ED72D7">
      <w:pPr>
        <w:tabs>
          <w:tab w:val="left" w:pos="1335"/>
        </w:tabs>
        <w:spacing w:after="0" w:line="276" w:lineRule="auto"/>
        <w:ind w:firstLine="567"/>
        <w:jc w:val="both"/>
        <w:rPr>
          <w:rFonts w:cs="Times New Roman"/>
          <w:color w:val="auto"/>
          <w:szCs w:val="24"/>
        </w:rPr>
      </w:pPr>
      <w:r>
        <w:rPr>
          <w:rFonts w:cs="Times New Roman"/>
          <w:color w:val="auto"/>
          <w:szCs w:val="24"/>
        </w:rPr>
        <w:lastRenderedPageBreak/>
        <w:t>No</w:t>
      </w:r>
      <w:r w:rsidR="007104D8">
        <w:rPr>
          <w:rFonts w:cs="Times New Roman"/>
          <w:color w:val="auto"/>
          <w:szCs w:val="24"/>
        </w:rPr>
        <w:t xml:space="preserve"> iepriekš minētajām lietām redzams, ka personas vēlējušās iepazīties ar informāciju, kas citur nebija pieejama un kuru ieslodzījuma viet</w:t>
      </w:r>
      <w:r>
        <w:rPr>
          <w:rFonts w:cs="Times New Roman"/>
          <w:color w:val="auto"/>
          <w:szCs w:val="24"/>
        </w:rPr>
        <w:t>as</w:t>
      </w:r>
      <w:r w:rsidR="007104D8">
        <w:rPr>
          <w:rFonts w:cs="Times New Roman"/>
          <w:color w:val="auto"/>
          <w:szCs w:val="24"/>
        </w:rPr>
        <w:t xml:space="preserve"> administrācija nevarēja </w:t>
      </w:r>
      <w:r>
        <w:rPr>
          <w:rFonts w:cs="Times New Roman"/>
          <w:color w:val="auto"/>
          <w:szCs w:val="24"/>
        </w:rPr>
        <w:t xml:space="preserve">iedot </w:t>
      </w:r>
      <w:r w:rsidR="007104D8">
        <w:rPr>
          <w:rFonts w:cs="Times New Roman"/>
          <w:color w:val="auto"/>
          <w:szCs w:val="24"/>
        </w:rPr>
        <w:t xml:space="preserve">citā tikpat efektīvā veidā. </w:t>
      </w:r>
      <w:r w:rsidR="00A32EF1">
        <w:rPr>
          <w:rFonts w:cs="Times New Roman"/>
          <w:color w:val="auto"/>
          <w:szCs w:val="24"/>
        </w:rPr>
        <w:t xml:space="preserve">Tomēr izskatāmajā lietā </w:t>
      </w:r>
      <w:r w:rsidR="00525597">
        <w:rPr>
          <w:rFonts w:cs="Times New Roman"/>
          <w:color w:val="auto"/>
          <w:szCs w:val="24"/>
        </w:rPr>
        <w:t>pieteicējs jau saņem žurnāla drukāto versiju</w:t>
      </w:r>
      <w:r w:rsidR="004F0B68">
        <w:rPr>
          <w:rFonts w:cs="Times New Roman"/>
          <w:color w:val="auto"/>
          <w:szCs w:val="24"/>
        </w:rPr>
        <w:t>, tādējādi pieteicēja tiesības uz informāciju ir nodrošināt</w:t>
      </w:r>
      <w:r w:rsidR="00A32EF1">
        <w:rPr>
          <w:rFonts w:cs="Times New Roman"/>
          <w:color w:val="auto"/>
          <w:szCs w:val="24"/>
        </w:rPr>
        <w:t>as</w:t>
      </w:r>
      <w:r w:rsidR="004F0B68">
        <w:rPr>
          <w:rFonts w:cs="Times New Roman"/>
          <w:color w:val="auto"/>
          <w:szCs w:val="24"/>
        </w:rPr>
        <w:t xml:space="preserve">. Pieteicējs ne rajona tiesai, ne Senātam nav spējis paskaidrot, </w:t>
      </w:r>
      <w:r w:rsidR="00525597">
        <w:rPr>
          <w:rFonts w:cs="Times New Roman"/>
          <w:color w:val="auto"/>
          <w:szCs w:val="24"/>
        </w:rPr>
        <w:t xml:space="preserve">kādēļ pieeja tieši žurnāla elektroniskajai versijai ir tik nozīmīga. </w:t>
      </w:r>
    </w:p>
    <w:p w14:paraId="4541D67A" w14:textId="77777777" w:rsidR="004F0B68" w:rsidRDefault="004F0B68" w:rsidP="004F0B68">
      <w:pPr>
        <w:spacing w:after="0" w:line="276" w:lineRule="auto"/>
        <w:ind w:firstLine="567"/>
        <w:jc w:val="both"/>
        <w:rPr>
          <w:rFonts w:cs="Times New Roman"/>
          <w:color w:val="auto"/>
          <w:szCs w:val="24"/>
        </w:rPr>
      </w:pPr>
    </w:p>
    <w:p w14:paraId="41669151" w14:textId="6D6940EE" w:rsidR="00F562C4" w:rsidRDefault="004F0B68" w:rsidP="00E2660B">
      <w:pPr>
        <w:spacing w:after="0" w:line="276" w:lineRule="auto"/>
        <w:ind w:firstLine="567"/>
        <w:jc w:val="both"/>
        <w:rPr>
          <w:rFonts w:cs="Times New Roman"/>
          <w:color w:val="auto"/>
          <w:szCs w:val="24"/>
        </w:rPr>
      </w:pPr>
      <w:r>
        <w:rPr>
          <w:rFonts w:cs="Times New Roman"/>
          <w:color w:val="auto"/>
          <w:szCs w:val="24"/>
        </w:rPr>
        <w:t>[</w:t>
      </w:r>
      <w:r w:rsidR="007104D8">
        <w:rPr>
          <w:rFonts w:cs="Times New Roman"/>
          <w:color w:val="auto"/>
          <w:szCs w:val="24"/>
        </w:rPr>
        <w:t>1</w:t>
      </w:r>
      <w:r w:rsidR="005C68F0">
        <w:rPr>
          <w:rFonts w:cs="Times New Roman"/>
          <w:color w:val="auto"/>
          <w:szCs w:val="24"/>
        </w:rPr>
        <w:t>1</w:t>
      </w:r>
      <w:r>
        <w:rPr>
          <w:rFonts w:cs="Times New Roman"/>
          <w:color w:val="auto"/>
          <w:szCs w:val="24"/>
        </w:rPr>
        <w:t xml:space="preserve">] Papildus iepriekš minētajam jānorāda, ka Senāta praksē ir bijušas vairākas lietas, kurās personas </w:t>
      </w:r>
      <w:r w:rsidR="00ED72D7">
        <w:rPr>
          <w:rFonts w:cs="Times New Roman"/>
          <w:color w:val="auto"/>
          <w:szCs w:val="24"/>
        </w:rPr>
        <w:t>iesniegušas pieteikumus</w:t>
      </w:r>
      <w:r>
        <w:rPr>
          <w:rFonts w:cs="Times New Roman"/>
          <w:color w:val="auto"/>
          <w:szCs w:val="24"/>
        </w:rPr>
        <w:t xml:space="preserve"> par pieeju internetam </w:t>
      </w:r>
      <w:r w:rsidR="007104D8">
        <w:rPr>
          <w:rFonts w:cs="Times New Roman"/>
          <w:color w:val="auto"/>
          <w:szCs w:val="24"/>
        </w:rPr>
        <w:t>ieslodzījuma vietās</w:t>
      </w:r>
      <w:r w:rsidR="003E1755">
        <w:rPr>
          <w:rFonts w:cs="Times New Roman"/>
          <w:color w:val="auto"/>
          <w:szCs w:val="24"/>
        </w:rPr>
        <w:t>. Piemēram,</w:t>
      </w:r>
      <w:r w:rsidR="004F7462">
        <w:rPr>
          <w:rFonts w:cs="Times New Roman"/>
          <w:color w:val="auto"/>
          <w:szCs w:val="24"/>
        </w:rPr>
        <w:t xml:space="preserve"> lietā Nr. SKA-842/2011 Senāts vērtēja</w:t>
      </w:r>
      <w:r w:rsidR="006C6B30">
        <w:rPr>
          <w:rFonts w:cs="Times New Roman"/>
          <w:color w:val="auto"/>
          <w:szCs w:val="24"/>
        </w:rPr>
        <w:t>,</w:t>
      </w:r>
      <w:r w:rsidR="004F7462">
        <w:rPr>
          <w:rFonts w:cs="Times New Roman"/>
          <w:color w:val="auto"/>
          <w:szCs w:val="24"/>
        </w:rPr>
        <w:t xml:space="preserve"> vai administratīvā procesa kārtībā izskatāms pieteikums par liegumu ieslodzītajam saņemt pienesumā datortehniku. Tika konstatēts, ka pieteicējam nav liegtas iespējas </w:t>
      </w:r>
      <w:proofErr w:type="spellStart"/>
      <w:r w:rsidR="004F7462">
        <w:rPr>
          <w:rFonts w:cs="Times New Roman"/>
          <w:color w:val="auto"/>
          <w:szCs w:val="24"/>
        </w:rPr>
        <w:t>pašizglītoties</w:t>
      </w:r>
      <w:proofErr w:type="spellEnd"/>
      <w:r w:rsidR="004F7462">
        <w:rPr>
          <w:rFonts w:cs="Times New Roman"/>
          <w:color w:val="auto"/>
          <w:szCs w:val="24"/>
        </w:rPr>
        <w:t xml:space="preserve"> un iegūt informāciju, un persona nav pamatojusi iespējamo pamattiesību aizskārumu</w:t>
      </w:r>
      <w:r w:rsidR="00E2660B">
        <w:rPr>
          <w:rFonts w:cs="Times New Roman"/>
          <w:color w:val="auto"/>
          <w:szCs w:val="24"/>
        </w:rPr>
        <w:t xml:space="preserve"> (</w:t>
      </w:r>
      <w:r w:rsidR="00E2660B" w:rsidRPr="004F7462">
        <w:rPr>
          <w:rFonts w:cs="Times New Roman"/>
          <w:i/>
          <w:color w:val="auto"/>
          <w:szCs w:val="24"/>
        </w:rPr>
        <w:t xml:space="preserve">Senāta </w:t>
      </w:r>
      <w:proofErr w:type="gramStart"/>
      <w:r w:rsidR="00E2660B" w:rsidRPr="004F7462">
        <w:rPr>
          <w:rFonts w:cs="Times New Roman"/>
          <w:i/>
          <w:color w:val="auto"/>
          <w:szCs w:val="24"/>
        </w:rPr>
        <w:t>2011.gada</w:t>
      </w:r>
      <w:proofErr w:type="gramEnd"/>
      <w:r w:rsidR="00E2660B" w:rsidRPr="004F7462">
        <w:rPr>
          <w:rFonts w:cs="Times New Roman"/>
          <w:i/>
          <w:color w:val="auto"/>
          <w:szCs w:val="24"/>
        </w:rPr>
        <w:t xml:space="preserve"> 26.augusta lēmums lietā </w:t>
      </w:r>
      <w:r w:rsidR="00E2660B" w:rsidRPr="00E2660B">
        <w:rPr>
          <w:rFonts w:cs="Times New Roman"/>
          <w:i/>
          <w:color w:val="auto"/>
          <w:szCs w:val="24"/>
        </w:rPr>
        <w:t>Nr. SKA-842/2011</w:t>
      </w:r>
      <w:r w:rsidR="00E2660B" w:rsidRPr="004F7462">
        <w:rPr>
          <w:rFonts w:cs="Times New Roman"/>
          <w:i/>
          <w:color w:val="auto"/>
          <w:szCs w:val="24"/>
        </w:rPr>
        <w:t xml:space="preserve"> (A7050510)</w:t>
      </w:r>
      <w:r w:rsidR="00E2660B">
        <w:rPr>
          <w:rFonts w:cs="Times New Roman"/>
          <w:color w:val="auto"/>
          <w:szCs w:val="24"/>
        </w:rPr>
        <w:t>)</w:t>
      </w:r>
      <w:r w:rsidR="004F7462">
        <w:rPr>
          <w:rFonts w:cs="Times New Roman"/>
          <w:color w:val="auto"/>
          <w:szCs w:val="24"/>
        </w:rPr>
        <w:t>. L</w:t>
      </w:r>
      <w:r w:rsidR="003E1755">
        <w:rPr>
          <w:rFonts w:cs="Times New Roman"/>
          <w:color w:val="auto"/>
          <w:szCs w:val="24"/>
        </w:rPr>
        <w:t>ietā Nr.</w:t>
      </w:r>
      <w:r w:rsidR="004F7462">
        <w:rPr>
          <w:rFonts w:cs="Times New Roman"/>
          <w:color w:val="auto"/>
          <w:szCs w:val="24"/>
        </w:rPr>
        <w:t> </w:t>
      </w:r>
      <w:r w:rsidR="00E2660B">
        <w:rPr>
          <w:rFonts w:cs="Times New Roman"/>
          <w:color w:val="auto"/>
          <w:szCs w:val="24"/>
        </w:rPr>
        <w:t>SKA-931/2015</w:t>
      </w:r>
      <w:r w:rsidR="003E1755">
        <w:rPr>
          <w:rFonts w:cs="Times New Roman"/>
          <w:i/>
          <w:color w:val="auto"/>
          <w:szCs w:val="24"/>
        </w:rPr>
        <w:t xml:space="preserve"> </w:t>
      </w:r>
      <w:r w:rsidR="004F7462">
        <w:rPr>
          <w:rFonts w:cs="Times New Roman"/>
          <w:color w:val="auto"/>
          <w:szCs w:val="24"/>
        </w:rPr>
        <w:t>Senāts</w:t>
      </w:r>
      <w:r w:rsidR="003E1755">
        <w:rPr>
          <w:rFonts w:cs="Times New Roman"/>
          <w:color w:val="auto"/>
          <w:szCs w:val="24"/>
        </w:rPr>
        <w:t xml:space="preserve"> vērtēja, vai </w:t>
      </w:r>
      <w:r w:rsidR="00A32EF1">
        <w:rPr>
          <w:rFonts w:cs="Times New Roman"/>
          <w:color w:val="auto"/>
          <w:szCs w:val="24"/>
        </w:rPr>
        <w:t>administratīvā procesa kārtībā izskatāms</w:t>
      </w:r>
      <w:r w:rsidR="003E1755">
        <w:rPr>
          <w:rFonts w:cs="Times New Roman"/>
          <w:color w:val="auto"/>
          <w:szCs w:val="24"/>
        </w:rPr>
        <w:t xml:space="preserve"> pieteikums par </w:t>
      </w:r>
      <w:r w:rsidR="00A32EF1">
        <w:rPr>
          <w:rFonts w:cs="Times New Roman"/>
          <w:color w:val="auto"/>
          <w:szCs w:val="24"/>
        </w:rPr>
        <w:t>ieslodzītā</w:t>
      </w:r>
      <w:r w:rsidR="003E1755">
        <w:rPr>
          <w:rFonts w:cs="Times New Roman"/>
          <w:color w:val="auto"/>
          <w:szCs w:val="24"/>
        </w:rPr>
        <w:t xml:space="preserve"> tiesībām prasīt nodrošināt elektronisko saraksti ar valsts un pašvaldību iestādēm. Tika konstatēts, ka personai ir nodrošināta iespēja izmantot pasta pakalpojumus un, kaut arī dažas no vēstulēm nebija sasniegušas adresātu un personas uzkrātais dokumentu apjoms drīzumā varētu pārsniegt pieļaujamo svara daudzumu, </w:t>
      </w:r>
      <w:r w:rsidR="004F7462">
        <w:rPr>
          <w:rFonts w:cs="Times New Roman"/>
          <w:color w:val="auto"/>
          <w:szCs w:val="24"/>
        </w:rPr>
        <w:t xml:space="preserve">Senāts secināja, ka </w:t>
      </w:r>
      <w:r w:rsidR="003E1755">
        <w:rPr>
          <w:rFonts w:cs="Times New Roman"/>
          <w:color w:val="auto"/>
          <w:szCs w:val="24"/>
        </w:rPr>
        <w:t>nav pamata runāt par būtisku cilvēktiesību aizsk</w:t>
      </w:r>
      <w:r w:rsidR="004F7462">
        <w:rPr>
          <w:rFonts w:cs="Times New Roman"/>
          <w:color w:val="auto"/>
          <w:szCs w:val="24"/>
        </w:rPr>
        <w:t>ārumu</w:t>
      </w:r>
      <w:r w:rsidR="00E2660B">
        <w:rPr>
          <w:rFonts w:cs="Times New Roman"/>
          <w:color w:val="auto"/>
          <w:szCs w:val="24"/>
        </w:rPr>
        <w:t xml:space="preserve"> (</w:t>
      </w:r>
      <w:r w:rsidR="00E2660B" w:rsidRPr="007104D8">
        <w:rPr>
          <w:rFonts w:cs="Times New Roman"/>
          <w:i/>
          <w:color w:val="auto"/>
          <w:szCs w:val="24"/>
        </w:rPr>
        <w:t xml:space="preserve">Senāta </w:t>
      </w:r>
      <w:proofErr w:type="gramStart"/>
      <w:r w:rsidR="00E2660B" w:rsidRPr="007104D8">
        <w:rPr>
          <w:rFonts w:cs="Times New Roman"/>
          <w:i/>
          <w:color w:val="auto"/>
          <w:szCs w:val="24"/>
        </w:rPr>
        <w:t>2015.gada</w:t>
      </w:r>
      <w:proofErr w:type="gramEnd"/>
      <w:r w:rsidR="00E2660B" w:rsidRPr="007104D8">
        <w:rPr>
          <w:rFonts w:cs="Times New Roman"/>
          <w:i/>
          <w:color w:val="auto"/>
          <w:szCs w:val="24"/>
        </w:rPr>
        <w:t xml:space="preserve"> 29.jūnija lēmums</w:t>
      </w:r>
      <w:r w:rsidR="00E2660B">
        <w:rPr>
          <w:rFonts w:cs="Times New Roman"/>
          <w:i/>
          <w:color w:val="auto"/>
          <w:szCs w:val="24"/>
        </w:rPr>
        <w:t xml:space="preserve"> lietā Nr.</w:t>
      </w:r>
      <w:r w:rsidR="004F69DA">
        <w:rPr>
          <w:rFonts w:cs="Times New Roman"/>
          <w:i/>
          <w:color w:val="auto"/>
          <w:szCs w:val="24"/>
        </w:rPr>
        <w:t> </w:t>
      </w:r>
      <w:r w:rsidR="00E2660B">
        <w:rPr>
          <w:rFonts w:cs="Times New Roman"/>
          <w:i/>
          <w:color w:val="auto"/>
          <w:szCs w:val="24"/>
        </w:rPr>
        <w:t>SKA-</w:t>
      </w:r>
      <w:r w:rsidR="00E2660B" w:rsidRPr="007104D8">
        <w:rPr>
          <w:rFonts w:cs="Times New Roman"/>
          <w:i/>
          <w:color w:val="auto"/>
          <w:szCs w:val="24"/>
        </w:rPr>
        <w:t>931/2015 (680023215)</w:t>
      </w:r>
      <w:r w:rsidR="00E2660B" w:rsidRPr="006C6B30">
        <w:rPr>
          <w:rFonts w:cs="Times New Roman"/>
          <w:iCs/>
          <w:color w:val="auto"/>
          <w:szCs w:val="24"/>
        </w:rPr>
        <w:t>)</w:t>
      </w:r>
      <w:r w:rsidR="004F7462">
        <w:rPr>
          <w:rFonts w:cs="Times New Roman"/>
          <w:color w:val="auto"/>
          <w:szCs w:val="24"/>
        </w:rPr>
        <w:t xml:space="preserve">. </w:t>
      </w:r>
      <w:r w:rsidR="00E2660B">
        <w:rPr>
          <w:rFonts w:cs="Times New Roman"/>
          <w:color w:val="auto"/>
          <w:szCs w:val="24"/>
        </w:rPr>
        <w:t>Lietā Nr. SKA-544/2012</w:t>
      </w:r>
      <w:r w:rsidR="00D709CE">
        <w:rPr>
          <w:rFonts w:cs="Times New Roman"/>
          <w:color w:val="auto"/>
          <w:szCs w:val="24"/>
        </w:rPr>
        <w:t xml:space="preserve"> Senāts nolēma, ka rajona tiesas tiesnesis nepamatoti atteicies pieņemt pieteikumu par datortehnikas un interneta lietošanas aizliegumu, atrodoties apcietinājumā. Tiesnesis nebija ņēmis vērā mērķi, kādam persona vēlējās izmantot datoru un internetu. </w:t>
      </w:r>
      <w:r w:rsidR="006C6B30">
        <w:rPr>
          <w:rFonts w:cs="Times New Roman"/>
          <w:color w:val="auto"/>
          <w:szCs w:val="24"/>
        </w:rPr>
        <w:t>P</w:t>
      </w:r>
      <w:r w:rsidR="00D709CE">
        <w:rPr>
          <w:rFonts w:cs="Times New Roman"/>
          <w:color w:val="auto"/>
          <w:szCs w:val="24"/>
        </w:rPr>
        <w:t xml:space="preserve">ieteikums tika </w:t>
      </w:r>
      <w:r w:rsidR="00050A85">
        <w:rPr>
          <w:rFonts w:cs="Times New Roman"/>
          <w:color w:val="auto"/>
          <w:szCs w:val="24"/>
        </w:rPr>
        <w:t>noraidī</w:t>
      </w:r>
      <w:r w:rsidR="006C6B30">
        <w:rPr>
          <w:rFonts w:cs="Times New Roman"/>
          <w:color w:val="auto"/>
          <w:szCs w:val="24"/>
        </w:rPr>
        <w:t>ts pēc būtības</w:t>
      </w:r>
      <w:r w:rsidR="00050A85">
        <w:rPr>
          <w:rFonts w:cs="Times New Roman"/>
          <w:color w:val="auto"/>
          <w:szCs w:val="24"/>
        </w:rPr>
        <w:t xml:space="preserve">, jo tiesa nekonstatēja </w:t>
      </w:r>
      <w:r w:rsidR="00D709CE">
        <w:rPr>
          <w:rFonts w:cs="Times New Roman"/>
          <w:color w:val="auto"/>
          <w:szCs w:val="24"/>
        </w:rPr>
        <w:t>nesamērīg</w:t>
      </w:r>
      <w:r w:rsidR="00050A85">
        <w:rPr>
          <w:rFonts w:cs="Times New Roman"/>
          <w:color w:val="auto"/>
          <w:szCs w:val="24"/>
        </w:rPr>
        <w:t>u</w:t>
      </w:r>
      <w:r w:rsidR="00D709CE">
        <w:rPr>
          <w:rFonts w:cs="Times New Roman"/>
          <w:color w:val="auto"/>
          <w:szCs w:val="24"/>
        </w:rPr>
        <w:t xml:space="preserve"> tiesību ierobežojum</w:t>
      </w:r>
      <w:r w:rsidR="00050A85">
        <w:rPr>
          <w:rFonts w:cs="Times New Roman"/>
          <w:color w:val="auto"/>
          <w:szCs w:val="24"/>
        </w:rPr>
        <w:t>u</w:t>
      </w:r>
      <w:r w:rsidR="00F562C4">
        <w:rPr>
          <w:rFonts w:cs="Times New Roman"/>
          <w:color w:val="auto"/>
          <w:szCs w:val="24"/>
        </w:rPr>
        <w:t xml:space="preserve"> Tiesnesis nebija ņēmis vērā mērķi, kādam persona vēlējās izmantot datoru un internetu (</w:t>
      </w:r>
      <w:r w:rsidR="00E2660B" w:rsidRPr="00D709CE">
        <w:rPr>
          <w:rFonts w:cs="Times New Roman"/>
          <w:i/>
          <w:color w:val="auto"/>
          <w:szCs w:val="24"/>
        </w:rPr>
        <w:t>Senāta 2012.gada 30.maija lēmum</w:t>
      </w:r>
      <w:r w:rsidR="00E2660B">
        <w:rPr>
          <w:rFonts w:cs="Times New Roman"/>
          <w:i/>
          <w:color w:val="auto"/>
          <w:szCs w:val="24"/>
        </w:rPr>
        <w:t>a</w:t>
      </w:r>
      <w:r w:rsidR="00E2660B" w:rsidRPr="00D709CE">
        <w:rPr>
          <w:rFonts w:cs="Times New Roman"/>
          <w:i/>
          <w:color w:val="auto"/>
          <w:szCs w:val="24"/>
        </w:rPr>
        <w:t xml:space="preserve"> lietā Nr. SKA-544/2012 </w:t>
      </w:r>
      <w:r w:rsidR="00E2660B">
        <w:rPr>
          <w:rFonts w:cs="Times New Roman"/>
          <w:i/>
          <w:color w:val="auto"/>
          <w:szCs w:val="24"/>
        </w:rPr>
        <w:t>(</w:t>
      </w:r>
      <w:r w:rsidR="00E2660B" w:rsidRPr="00D709CE">
        <w:rPr>
          <w:rFonts w:cs="Times New Roman"/>
          <w:i/>
          <w:color w:val="auto"/>
          <w:szCs w:val="24"/>
        </w:rPr>
        <w:t>9670005312</w:t>
      </w:r>
      <w:r w:rsidR="00E2660B">
        <w:rPr>
          <w:rFonts w:cs="Times New Roman"/>
          <w:i/>
          <w:color w:val="auto"/>
          <w:szCs w:val="24"/>
        </w:rPr>
        <w:t>)</w:t>
      </w:r>
      <w:r w:rsidR="00F562C4" w:rsidRPr="00F562C4">
        <w:rPr>
          <w:rFonts w:cs="Times New Roman"/>
          <w:i/>
          <w:color w:val="auto"/>
          <w:szCs w:val="24"/>
        </w:rPr>
        <w:t xml:space="preserve"> 9.punkts</w:t>
      </w:r>
      <w:r w:rsidR="00F562C4">
        <w:rPr>
          <w:rFonts w:cs="Times New Roman"/>
          <w:color w:val="auto"/>
          <w:szCs w:val="24"/>
        </w:rPr>
        <w:t>). Pieteikums tika noraidīts pēc būtības, jo tiesa nekonstatēja nesamērīgu tiesību ierobežojumu (</w:t>
      </w:r>
      <w:r w:rsidR="00F562C4" w:rsidRPr="00F562C4">
        <w:rPr>
          <w:rFonts w:cs="Times New Roman"/>
          <w:i/>
          <w:color w:val="auto"/>
          <w:szCs w:val="24"/>
        </w:rPr>
        <w:t xml:space="preserve">Administratīvās apgabaltiesas 2015.gada 22.aprīļa sprieduma lietā </w:t>
      </w:r>
      <w:r w:rsidR="00E2660B">
        <w:rPr>
          <w:rFonts w:cs="Times New Roman"/>
          <w:i/>
          <w:color w:val="auto"/>
          <w:szCs w:val="24"/>
        </w:rPr>
        <w:t>Nr. A420451312</w:t>
      </w:r>
      <w:r w:rsidR="00F562C4" w:rsidRPr="00F562C4">
        <w:rPr>
          <w:rFonts w:cs="Times New Roman"/>
          <w:i/>
          <w:color w:val="auto"/>
          <w:szCs w:val="24"/>
        </w:rPr>
        <w:t xml:space="preserve"> 13.-17.punkts</w:t>
      </w:r>
      <w:r w:rsidR="00F562C4">
        <w:rPr>
          <w:rFonts w:cs="Times New Roman"/>
          <w:color w:val="auto"/>
          <w:szCs w:val="24"/>
        </w:rPr>
        <w:t xml:space="preserve">). </w:t>
      </w:r>
    </w:p>
    <w:p w14:paraId="1B132BFA" w14:textId="36E69EF4" w:rsidR="00B64178" w:rsidRDefault="00D709CE" w:rsidP="00B64178">
      <w:pPr>
        <w:spacing w:after="0" w:line="276" w:lineRule="auto"/>
        <w:ind w:firstLine="567"/>
        <w:jc w:val="both"/>
        <w:rPr>
          <w:rFonts w:cs="Times New Roman"/>
          <w:color w:val="auto"/>
          <w:szCs w:val="24"/>
        </w:rPr>
      </w:pPr>
      <w:r>
        <w:rPr>
          <w:rFonts w:cs="Times New Roman"/>
          <w:color w:val="auto"/>
          <w:szCs w:val="24"/>
        </w:rPr>
        <w:t xml:space="preserve">Tādējādi no tiesu prakses redzams, ka būtiska pamattiesību aizskāruma konstatēšanai nepietiek ar </w:t>
      </w:r>
      <w:r w:rsidR="00050A85">
        <w:rPr>
          <w:rFonts w:cs="Times New Roman"/>
          <w:color w:val="auto"/>
          <w:szCs w:val="24"/>
        </w:rPr>
        <w:t xml:space="preserve">ieslodzītās personas </w:t>
      </w:r>
      <w:r>
        <w:rPr>
          <w:rFonts w:cs="Times New Roman"/>
          <w:color w:val="auto"/>
          <w:szCs w:val="24"/>
        </w:rPr>
        <w:t>vispārēju vēlmi iegūt inform</w:t>
      </w:r>
      <w:r w:rsidR="00050A85">
        <w:rPr>
          <w:rFonts w:cs="Times New Roman"/>
          <w:color w:val="auto"/>
          <w:szCs w:val="24"/>
        </w:rPr>
        <w:t xml:space="preserve">āciju. Ir </w:t>
      </w:r>
      <w:r w:rsidR="006C6B30">
        <w:rPr>
          <w:rFonts w:cs="Times New Roman"/>
          <w:color w:val="auto"/>
          <w:szCs w:val="24"/>
        </w:rPr>
        <w:t>jākonstatē</w:t>
      </w:r>
      <w:r w:rsidR="00050A85">
        <w:rPr>
          <w:rFonts w:cs="Times New Roman"/>
          <w:color w:val="auto"/>
          <w:szCs w:val="24"/>
        </w:rPr>
        <w:t xml:space="preserve"> konkrēt</w:t>
      </w:r>
      <w:r w:rsidR="006C6B30">
        <w:rPr>
          <w:rFonts w:cs="Times New Roman"/>
          <w:color w:val="auto"/>
          <w:szCs w:val="24"/>
        </w:rPr>
        <w:t>s</w:t>
      </w:r>
      <w:r w:rsidR="00050A85">
        <w:rPr>
          <w:rFonts w:cs="Times New Roman"/>
          <w:color w:val="auto"/>
          <w:szCs w:val="24"/>
        </w:rPr>
        <w:t xml:space="preserve"> mērķi</w:t>
      </w:r>
      <w:r w:rsidR="006C6B30">
        <w:rPr>
          <w:rFonts w:cs="Times New Roman"/>
          <w:color w:val="auto"/>
          <w:szCs w:val="24"/>
        </w:rPr>
        <w:t>s</w:t>
      </w:r>
      <w:r w:rsidR="00050A85">
        <w:rPr>
          <w:rFonts w:cs="Times New Roman"/>
          <w:color w:val="auto"/>
          <w:szCs w:val="24"/>
        </w:rPr>
        <w:t xml:space="preserve">, kādēļ informācija ir nepieciešama un to nav iespējams sniegt citā tikpat efektīvā veidā. </w:t>
      </w:r>
    </w:p>
    <w:p w14:paraId="6EDFFD2E" w14:textId="77777777" w:rsidR="00B64178" w:rsidRDefault="00B64178" w:rsidP="00B64178">
      <w:pPr>
        <w:spacing w:after="0" w:line="276" w:lineRule="auto"/>
        <w:ind w:firstLine="567"/>
        <w:jc w:val="both"/>
        <w:rPr>
          <w:rFonts w:cs="Times New Roman"/>
          <w:color w:val="auto"/>
          <w:szCs w:val="24"/>
        </w:rPr>
      </w:pPr>
    </w:p>
    <w:p w14:paraId="0D744553" w14:textId="70474FDC" w:rsidR="00B64178" w:rsidRPr="00B64178" w:rsidRDefault="00B64178" w:rsidP="00B64178">
      <w:pPr>
        <w:spacing w:after="0" w:line="276" w:lineRule="auto"/>
        <w:ind w:firstLine="567"/>
        <w:jc w:val="both"/>
        <w:rPr>
          <w:rFonts w:cs="Times New Roman"/>
          <w:color w:val="auto"/>
          <w:szCs w:val="24"/>
        </w:rPr>
      </w:pPr>
      <w:r>
        <w:rPr>
          <w:rFonts w:cs="Times New Roman"/>
          <w:color w:val="auto"/>
          <w:szCs w:val="24"/>
        </w:rPr>
        <w:t xml:space="preserve">[12] Attiecībā uz pieteicēja iebildumu par to, ka rajona tiesas tiesnesis nav izlēmis jautājumu par valsts nodevas atmaksāšanu, Senāts </w:t>
      </w:r>
      <w:r w:rsidR="006C6B30">
        <w:rPr>
          <w:rFonts w:cs="Times New Roman"/>
          <w:color w:val="auto"/>
          <w:szCs w:val="24"/>
        </w:rPr>
        <w:t>paskaidro</w:t>
      </w:r>
      <w:r>
        <w:rPr>
          <w:rFonts w:cs="Times New Roman"/>
          <w:color w:val="auto"/>
          <w:szCs w:val="24"/>
        </w:rPr>
        <w:t xml:space="preserve">, ka </w:t>
      </w:r>
      <w:r>
        <w:t xml:space="preserve">gadījumus, kad tiek atmaksāta valsts nodeva, ja netiek pieņemts pieteikums, nosaka Administratīvā procesa likuma </w:t>
      </w:r>
      <w:proofErr w:type="gramStart"/>
      <w:r>
        <w:t>125.pants</w:t>
      </w:r>
      <w:proofErr w:type="gramEnd"/>
      <w:r>
        <w:t>. Šā panta pirmā daļa noteic: valsts nodevu, kas samaksāta par pieteikumu, atmaksā pilnīgi, ja tiesnesis atsakās pieņemt pieteikumu vai atstāj pieteikumu bez izskatīšanas, pamatojoties uz to, ka: 1) pieteikumu iesniegusi persona, kurai tiesa noteikusi tādu rīcībspējas ierobežojumu, kas neļauj tai patstāvīgi īstenot administratīvi procesuālās tiesības un pienākumus; 2) pieteicējs nav ievērojis likumā noteikto lietas ārpustiesas izskatīšanas kārtību, jo ņēmis vērā iestādes kļūdainu norādi par pārsūdzības kārtību.</w:t>
      </w:r>
      <w:r w:rsidRPr="00B64178">
        <w:t xml:space="preserve"> </w:t>
      </w:r>
      <w:r w:rsidR="006C6B30">
        <w:t xml:space="preserve">Kā atzinis Senāts, </w:t>
      </w:r>
      <w:r>
        <w:t>Administratīvā procesa likuma 125.pantā noteiktie gadījumi, kad valsts nodeva tiek atmaksāta, ir izsmeļoši</w:t>
      </w:r>
      <w:r w:rsidR="00810AC1">
        <w:t xml:space="preserve"> (</w:t>
      </w:r>
      <w:r w:rsidR="00810AC1" w:rsidRPr="00810AC1">
        <w:rPr>
          <w:rFonts w:cs="Times New Roman"/>
          <w:i/>
          <w:szCs w:val="24"/>
        </w:rPr>
        <w:t>Senāta 2019.gada 27.novembra rīcības sēdes lēmuma lietā Nr. SKA-1732/2019 (</w:t>
      </w:r>
      <w:r w:rsidR="00810AC1" w:rsidRPr="00810AC1">
        <w:rPr>
          <w:rFonts w:cs="Times New Roman"/>
          <w:i/>
          <w:color w:val="000000"/>
          <w:szCs w:val="24"/>
          <w:shd w:val="clear" w:color="auto" w:fill="FFFFFF"/>
        </w:rPr>
        <w:t>ECLI:LV:AT:2019:1127.SKA173219.14.L</w:t>
      </w:r>
      <w:r w:rsidR="00810AC1" w:rsidRPr="00810AC1">
        <w:rPr>
          <w:rFonts w:cs="Times New Roman"/>
          <w:i/>
          <w:szCs w:val="24"/>
        </w:rPr>
        <w:t>) 3.punkts</w:t>
      </w:r>
      <w:r w:rsidR="00810AC1">
        <w:t>)</w:t>
      </w:r>
      <w:r>
        <w:t>.</w:t>
      </w:r>
    </w:p>
    <w:p w14:paraId="17405842" w14:textId="12514D5C" w:rsidR="005143F2" w:rsidRPr="007E34FC" w:rsidRDefault="00B64178" w:rsidP="00B64178">
      <w:pPr>
        <w:spacing w:line="276" w:lineRule="auto"/>
        <w:ind w:firstLine="567"/>
        <w:jc w:val="both"/>
        <w:rPr>
          <w:rFonts w:cs="Times New Roman"/>
          <w:color w:val="auto"/>
          <w:szCs w:val="24"/>
        </w:rPr>
      </w:pPr>
      <w:r>
        <w:t>Pieteicēja pieteikum</w:t>
      </w:r>
      <w:r w:rsidR="006C6B30">
        <w:t>u atteikts pieņemt</w:t>
      </w:r>
      <w:r>
        <w:t xml:space="preserve">, jo </w:t>
      </w:r>
      <w:r w:rsidR="006C6B30">
        <w:t xml:space="preserve">tas </w:t>
      </w:r>
      <w:r>
        <w:t>nav izskatāms administratīvā procesa kārtībā</w:t>
      </w:r>
      <w:r w:rsidR="006C6B30">
        <w:t>. L</w:t>
      </w:r>
      <w:r w:rsidRPr="00FB6290">
        <w:t xml:space="preserve">ikumdevējs </w:t>
      </w:r>
      <w:r>
        <w:t xml:space="preserve">šādā gadījumā </w:t>
      </w:r>
      <w:r w:rsidRPr="00FB6290">
        <w:t>nav paredzējis atmaksāt par pieteikuma iesn</w:t>
      </w:r>
      <w:r>
        <w:t xml:space="preserve">iegšanu samaksāto </w:t>
      </w:r>
      <w:r>
        <w:lastRenderedPageBreak/>
        <w:t xml:space="preserve">valsts nodevu. Tādēļ </w:t>
      </w:r>
      <w:r w:rsidR="00A32EF1">
        <w:t xml:space="preserve">rajona tiesas </w:t>
      </w:r>
      <w:r>
        <w:t>tiesnesis nav pārkāpis Administratīvā procesa likumu, neizlemjot jautājumu</w:t>
      </w:r>
      <w:r w:rsidR="00A32EF1">
        <w:t xml:space="preserve"> par valsts nodevas atmaksu</w:t>
      </w:r>
      <w:r>
        <w:t>.</w:t>
      </w:r>
    </w:p>
    <w:p w14:paraId="28E1C33E" w14:textId="14623CB8" w:rsidR="00B65F74" w:rsidRPr="007E34FC" w:rsidRDefault="005143F2" w:rsidP="005143F2">
      <w:pPr>
        <w:spacing w:after="0" w:line="276" w:lineRule="auto"/>
        <w:ind w:firstLine="567"/>
        <w:jc w:val="both"/>
        <w:rPr>
          <w:rFonts w:cs="Times New Roman"/>
          <w:color w:val="auto"/>
          <w:szCs w:val="24"/>
        </w:rPr>
      </w:pPr>
      <w:r w:rsidRPr="007E34FC">
        <w:rPr>
          <w:rFonts w:cs="Times New Roman"/>
          <w:color w:val="auto"/>
          <w:szCs w:val="24"/>
        </w:rPr>
        <w:t>[</w:t>
      </w:r>
      <w:r w:rsidR="00B64178">
        <w:rPr>
          <w:rFonts w:cs="Times New Roman"/>
          <w:color w:val="auto"/>
          <w:szCs w:val="24"/>
        </w:rPr>
        <w:t>13</w:t>
      </w:r>
      <w:r w:rsidRPr="007E34FC">
        <w:rPr>
          <w:rFonts w:cs="Times New Roman"/>
          <w:color w:val="auto"/>
          <w:szCs w:val="24"/>
        </w:rPr>
        <w:t>] Ievērojot minēto, Senāts atzīst</w:t>
      </w:r>
      <w:r w:rsidR="006C6B30">
        <w:rPr>
          <w:rFonts w:cs="Times New Roman"/>
          <w:color w:val="auto"/>
          <w:szCs w:val="24"/>
        </w:rPr>
        <w:t>, ka</w:t>
      </w:r>
      <w:r w:rsidRPr="007E34FC">
        <w:rPr>
          <w:rFonts w:cs="Times New Roman"/>
          <w:color w:val="auto"/>
          <w:szCs w:val="24"/>
        </w:rPr>
        <w:t xml:space="preserve"> pirmās instances tiesas tiesneša </w:t>
      </w:r>
      <w:r w:rsidR="006C6B30">
        <w:rPr>
          <w:rFonts w:cs="Times New Roman"/>
          <w:color w:val="auto"/>
          <w:szCs w:val="24"/>
        </w:rPr>
        <w:t>l</w:t>
      </w:r>
      <w:r w:rsidRPr="007E34FC">
        <w:rPr>
          <w:rFonts w:cs="Times New Roman"/>
          <w:color w:val="auto"/>
          <w:szCs w:val="24"/>
        </w:rPr>
        <w:t>ēmums atstājams negrozīts, bet blakus sūdzība noraidāma.</w:t>
      </w:r>
    </w:p>
    <w:p w14:paraId="229106BB" w14:textId="77777777" w:rsidR="005143F2" w:rsidRPr="007E34FC" w:rsidRDefault="005143F2" w:rsidP="005143F2">
      <w:pPr>
        <w:spacing w:after="0" w:line="276" w:lineRule="auto"/>
        <w:ind w:firstLine="567"/>
        <w:jc w:val="both"/>
        <w:rPr>
          <w:rFonts w:cs="Times New Roman"/>
          <w:color w:val="auto"/>
          <w:szCs w:val="24"/>
        </w:rPr>
      </w:pPr>
    </w:p>
    <w:p w14:paraId="79674DA0" w14:textId="77777777" w:rsidR="00B65F74" w:rsidRPr="007E34FC" w:rsidRDefault="00C1149D" w:rsidP="00B65F74">
      <w:pPr>
        <w:spacing w:after="0" w:line="276" w:lineRule="auto"/>
        <w:jc w:val="center"/>
        <w:rPr>
          <w:rFonts w:cs="Times New Roman"/>
          <w:color w:val="auto"/>
          <w:szCs w:val="24"/>
        </w:rPr>
      </w:pPr>
      <w:r w:rsidRPr="007E34FC">
        <w:rPr>
          <w:rFonts w:cs="Times New Roman"/>
          <w:b/>
          <w:color w:val="auto"/>
          <w:szCs w:val="24"/>
        </w:rPr>
        <w:t>Rezolutīvā daļa</w:t>
      </w:r>
    </w:p>
    <w:p w14:paraId="7C737C73" w14:textId="77777777" w:rsidR="00B65F74" w:rsidRPr="007E34FC" w:rsidRDefault="00B65F74" w:rsidP="00B65F74">
      <w:pPr>
        <w:spacing w:after="0" w:line="276" w:lineRule="auto"/>
        <w:ind w:firstLine="567"/>
        <w:jc w:val="both"/>
        <w:rPr>
          <w:rFonts w:cs="Times New Roman"/>
          <w:color w:val="auto"/>
          <w:szCs w:val="24"/>
        </w:rPr>
      </w:pPr>
    </w:p>
    <w:p w14:paraId="68B708D4" w14:textId="1E25DA40" w:rsidR="00B65F74" w:rsidRPr="007E34FC" w:rsidRDefault="00386782" w:rsidP="00B65F74">
      <w:pPr>
        <w:spacing w:after="0" w:line="276" w:lineRule="auto"/>
        <w:ind w:firstLine="567"/>
        <w:jc w:val="both"/>
        <w:rPr>
          <w:rFonts w:cs="Times New Roman"/>
          <w:color w:val="auto"/>
          <w:szCs w:val="24"/>
        </w:rPr>
      </w:pPr>
      <w:r w:rsidRPr="007E34FC">
        <w:rPr>
          <w:rFonts w:cs="Times New Roman"/>
          <w:color w:val="auto"/>
          <w:szCs w:val="24"/>
        </w:rPr>
        <w:t xml:space="preserve">Pamatojoties uz Administratīvā procesa likuma </w:t>
      </w:r>
      <w:proofErr w:type="gramStart"/>
      <w:r w:rsidR="00B65F74" w:rsidRPr="007E34FC">
        <w:rPr>
          <w:rFonts w:cs="Times New Roman"/>
          <w:color w:val="auto"/>
          <w:szCs w:val="24"/>
        </w:rPr>
        <w:t>323.panta</w:t>
      </w:r>
      <w:proofErr w:type="gramEnd"/>
      <w:r w:rsidR="00B65F74" w:rsidRPr="007E34FC">
        <w:rPr>
          <w:rFonts w:cs="Times New Roman"/>
          <w:color w:val="auto"/>
          <w:szCs w:val="24"/>
        </w:rPr>
        <w:t xml:space="preserve"> pirmās daļas </w:t>
      </w:r>
      <w:r w:rsidR="00A32EF1">
        <w:rPr>
          <w:rFonts w:cs="Times New Roman"/>
          <w:color w:val="auto"/>
          <w:szCs w:val="24"/>
        </w:rPr>
        <w:t>1</w:t>
      </w:r>
      <w:r w:rsidRPr="007E34FC">
        <w:rPr>
          <w:rFonts w:cs="Times New Roman"/>
          <w:color w:val="auto"/>
          <w:szCs w:val="24"/>
        </w:rPr>
        <w:t>.punktu un 324.panta pirmo daļu</w:t>
      </w:r>
      <w:r w:rsidR="003C7DE6" w:rsidRPr="007E34FC">
        <w:rPr>
          <w:rFonts w:cs="Times New Roman"/>
          <w:color w:val="auto"/>
          <w:szCs w:val="24"/>
        </w:rPr>
        <w:t>,</w:t>
      </w:r>
      <w:r w:rsidRPr="007E34FC">
        <w:rPr>
          <w:rFonts w:cs="Times New Roman"/>
          <w:color w:val="auto"/>
          <w:szCs w:val="24"/>
        </w:rPr>
        <w:t xml:space="preserve"> Senāts</w:t>
      </w:r>
    </w:p>
    <w:p w14:paraId="6E28E68D" w14:textId="77777777" w:rsidR="00B65F74" w:rsidRPr="007E34FC" w:rsidRDefault="00B65F74" w:rsidP="00B65F74">
      <w:pPr>
        <w:spacing w:after="0" w:line="276" w:lineRule="auto"/>
        <w:ind w:firstLine="567"/>
        <w:jc w:val="both"/>
        <w:rPr>
          <w:rFonts w:cs="Times New Roman"/>
          <w:color w:val="auto"/>
          <w:szCs w:val="24"/>
        </w:rPr>
      </w:pPr>
    </w:p>
    <w:p w14:paraId="4EAD58DD" w14:textId="61328428" w:rsidR="00B65F74" w:rsidRPr="007E34FC" w:rsidRDefault="00B65F74" w:rsidP="00B65F74">
      <w:pPr>
        <w:spacing w:after="0" w:line="276" w:lineRule="auto"/>
        <w:jc w:val="center"/>
        <w:rPr>
          <w:rFonts w:cs="Times New Roman"/>
          <w:color w:val="auto"/>
          <w:szCs w:val="24"/>
        </w:rPr>
      </w:pPr>
      <w:r w:rsidRPr="007E34FC">
        <w:rPr>
          <w:rFonts w:cs="Times New Roman"/>
          <w:b/>
          <w:color w:val="auto"/>
          <w:szCs w:val="24"/>
        </w:rPr>
        <w:t>n</w:t>
      </w:r>
      <w:r w:rsidR="003C7DE6" w:rsidRPr="007E34FC">
        <w:rPr>
          <w:rFonts w:cs="Times New Roman"/>
          <w:b/>
          <w:color w:val="auto"/>
          <w:szCs w:val="24"/>
        </w:rPr>
        <w:t>olēma</w:t>
      </w:r>
    </w:p>
    <w:p w14:paraId="38A64AC5" w14:textId="77777777" w:rsidR="00B65F74" w:rsidRPr="007E34FC" w:rsidRDefault="00B65F74" w:rsidP="00B65F74">
      <w:pPr>
        <w:spacing w:after="0" w:line="276" w:lineRule="auto"/>
        <w:ind w:firstLine="567"/>
        <w:jc w:val="both"/>
        <w:rPr>
          <w:rFonts w:cs="Times New Roman"/>
          <w:color w:val="auto"/>
          <w:szCs w:val="24"/>
        </w:rPr>
      </w:pPr>
    </w:p>
    <w:p w14:paraId="2C9B5299" w14:textId="1682AF1C" w:rsidR="00445A7F" w:rsidRPr="009D3184" w:rsidRDefault="00A32EF1" w:rsidP="00264028">
      <w:pPr>
        <w:spacing w:after="0" w:line="276" w:lineRule="auto"/>
        <w:ind w:firstLine="567"/>
        <w:jc w:val="both"/>
        <w:rPr>
          <w:rFonts w:cs="Times New Roman"/>
          <w:color w:val="auto"/>
          <w:szCs w:val="24"/>
        </w:rPr>
      </w:pPr>
      <w:r>
        <w:rPr>
          <w:rFonts w:cs="Times New Roman"/>
          <w:color w:val="auto"/>
          <w:szCs w:val="24"/>
        </w:rPr>
        <w:t xml:space="preserve">Atstāt </w:t>
      </w:r>
      <w:r w:rsidRPr="009D3184">
        <w:rPr>
          <w:rFonts w:cs="Times New Roman"/>
          <w:color w:val="auto"/>
          <w:szCs w:val="24"/>
        </w:rPr>
        <w:t xml:space="preserve">negrozītu Administratīvās rajona tiesas tiesneša </w:t>
      </w:r>
      <w:proofErr w:type="gramStart"/>
      <w:r w:rsidRPr="009D3184">
        <w:rPr>
          <w:rFonts w:cs="Times New Roman"/>
          <w:color w:val="auto"/>
          <w:szCs w:val="24"/>
        </w:rPr>
        <w:t>2020.gada</w:t>
      </w:r>
      <w:proofErr w:type="gramEnd"/>
      <w:r w:rsidRPr="009D3184">
        <w:rPr>
          <w:rFonts w:cs="Times New Roman"/>
          <w:color w:val="auto"/>
          <w:szCs w:val="24"/>
        </w:rPr>
        <w:t xml:space="preserve"> 24.aprīļa lēmumu, ar kuru atteikts pieņ</w:t>
      </w:r>
      <w:r w:rsidR="00392BA5" w:rsidRPr="009D3184">
        <w:rPr>
          <w:rFonts w:cs="Times New Roman"/>
          <w:color w:val="auto"/>
          <w:szCs w:val="24"/>
        </w:rPr>
        <w:t xml:space="preserve">emt </w:t>
      </w:r>
      <w:r w:rsidR="008E6170">
        <w:rPr>
          <w:rFonts w:cs="Times New Roman"/>
          <w:color w:val="auto"/>
          <w:szCs w:val="24"/>
        </w:rPr>
        <w:t>[pers. A]</w:t>
      </w:r>
      <w:r w:rsidR="00392BA5" w:rsidRPr="009D3184">
        <w:rPr>
          <w:rFonts w:cs="Times New Roman"/>
          <w:color w:val="auto"/>
          <w:szCs w:val="24"/>
        </w:rPr>
        <w:t xml:space="preserve"> pieteikumu.</w:t>
      </w:r>
    </w:p>
    <w:p w14:paraId="3EA429E1" w14:textId="78E31CAE" w:rsidR="00264028" w:rsidRDefault="00386782" w:rsidP="00264028">
      <w:pPr>
        <w:spacing w:after="0" w:line="276" w:lineRule="auto"/>
        <w:ind w:firstLine="567"/>
        <w:jc w:val="both"/>
        <w:rPr>
          <w:rFonts w:cs="Times New Roman"/>
          <w:color w:val="auto"/>
          <w:szCs w:val="24"/>
        </w:rPr>
      </w:pPr>
      <w:r w:rsidRPr="009D3184">
        <w:rPr>
          <w:rFonts w:cs="Times New Roman"/>
          <w:color w:val="auto"/>
          <w:szCs w:val="24"/>
        </w:rPr>
        <w:t>Lēmums nav pārsūdzams.</w:t>
      </w:r>
    </w:p>
    <w:sectPr w:rsidR="00264028" w:rsidSect="00B84FD5">
      <w:footerReference w:type="default" r:id="rId14"/>
      <w:pgSz w:w="11906" w:h="16838"/>
      <w:pgMar w:top="1134" w:right="1077" w:bottom="1134" w:left="1644"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A283D" w14:textId="77777777" w:rsidR="00E72221" w:rsidRDefault="00E72221">
      <w:pPr>
        <w:spacing w:after="0" w:line="240" w:lineRule="auto"/>
      </w:pPr>
      <w:r>
        <w:separator/>
      </w:r>
    </w:p>
  </w:endnote>
  <w:endnote w:type="continuationSeparator" w:id="0">
    <w:p w14:paraId="35B9033D" w14:textId="77777777" w:rsidR="00E72221" w:rsidRDefault="00E7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36BB" w14:textId="7908F435" w:rsidR="00D675ED" w:rsidRDefault="00D675ED">
    <w:pPr>
      <w:pStyle w:val="Footer"/>
      <w:jc w:val="center"/>
    </w:pPr>
    <w:r>
      <w:fldChar w:fldCharType="begin"/>
    </w:r>
    <w:r>
      <w:instrText>PAGE</w:instrText>
    </w:r>
    <w:r>
      <w:fldChar w:fldCharType="separate"/>
    </w:r>
    <w:r w:rsidR="00264028">
      <w:rPr>
        <w:noProof/>
      </w:rPr>
      <w:t>6</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7B6682">
      <w:rPr>
        <w:noProof/>
      </w:rPr>
      <w:t>6</w:t>
    </w:r>
    <w:r>
      <w:rPr>
        <w:noProof/>
      </w:rPr>
      <w:fldChar w:fldCharType="end"/>
    </w:r>
    <w:bookmarkStart w:id="2" w:name="__Fieldmark__171_3260321367"/>
    <w:bookmarkStart w:id="3" w:name="__Fieldmark__667_1373986896"/>
    <w:bookmarkStart w:id="4" w:name="__Fieldmark__363_223599219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D645" w14:textId="77777777" w:rsidR="00E72221" w:rsidRDefault="00E72221">
      <w:pPr>
        <w:spacing w:after="0" w:line="240" w:lineRule="auto"/>
      </w:pPr>
      <w:r>
        <w:separator/>
      </w:r>
    </w:p>
  </w:footnote>
  <w:footnote w:type="continuationSeparator" w:id="0">
    <w:p w14:paraId="60E7DB88" w14:textId="77777777" w:rsidR="00E72221" w:rsidRDefault="00E72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9D"/>
    <w:rsid w:val="00002FA5"/>
    <w:rsid w:val="00020B11"/>
    <w:rsid w:val="00020D7D"/>
    <w:rsid w:val="00023736"/>
    <w:rsid w:val="00023949"/>
    <w:rsid w:val="00026558"/>
    <w:rsid w:val="000350DB"/>
    <w:rsid w:val="00050A85"/>
    <w:rsid w:val="000557C9"/>
    <w:rsid w:val="00070220"/>
    <w:rsid w:val="000729EA"/>
    <w:rsid w:val="00077979"/>
    <w:rsid w:val="000934DF"/>
    <w:rsid w:val="0009658B"/>
    <w:rsid w:val="00096A44"/>
    <w:rsid w:val="00097F4D"/>
    <w:rsid w:val="000A71CB"/>
    <w:rsid w:val="000B0F70"/>
    <w:rsid w:val="000B37E0"/>
    <w:rsid w:val="000B3860"/>
    <w:rsid w:val="000C3FD3"/>
    <w:rsid w:val="000E1CDB"/>
    <w:rsid w:val="000E34D8"/>
    <w:rsid w:val="00104FE4"/>
    <w:rsid w:val="001207A8"/>
    <w:rsid w:val="00143F0A"/>
    <w:rsid w:val="001524F8"/>
    <w:rsid w:val="0015323F"/>
    <w:rsid w:val="00175554"/>
    <w:rsid w:val="00185F92"/>
    <w:rsid w:val="001A68B7"/>
    <w:rsid w:val="001C73BF"/>
    <w:rsid w:val="001E0E95"/>
    <w:rsid w:val="001F70CE"/>
    <w:rsid w:val="00204F60"/>
    <w:rsid w:val="00205542"/>
    <w:rsid w:val="00213F43"/>
    <w:rsid w:val="00216926"/>
    <w:rsid w:val="002240DB"/>
    <w:rsid w:val="00232893"/>
    <w:rsid w:val="0023706B"/>
    <w:rsid w:val="00264028"/>
    <w:rsid w:val="00276381"/>
    <w:rsid w:val="002775BC"/>
    <w:rsid w:val="00277A24"/>
    <w:rsid w:val="00285455"/>
    <w:rsid w:val="002C32C8"/>
    <w:rsid w:val="002C43C3"/>
    <w:rsid w:val="002C47F8"/>
    <w:rsid w:val="002C6FE8"/>
    <w:rsid w:val="002D32B7"/>
    <w:rsid w:val="002D34A2"/>
    <w:rsid w:val="002F4E3E"/>
    <w:rsid w:val="00315A66"/>
    <w:rsid w:val="00315DBD"/>
    <w:rsid w:val="00324371"/>
    <w:rsid w:val="00332F76"/>
    <w:rsid w:val="0033510A"/>
    <w:rsid w:val="0034005E"/>
    <w:rsid w:val="00346563"/>
    <w:rsid w:val="00365890"/>
    <w:rsid w:val="00365B09"/>
    <w:rsid w:val="00372A03"/>
    <w:rsid w:val="00380EEF"/>
    <w:rsid w:val="00386782"/>
    <w:rsid w:val="00390F04"/>
    <w:rsid w:val="0039147D"/>
    <w:rsid w:val="00392BA5"/>
    <w:rsid w:val="003A19EA"/>
    <w:rsid w:val="003B3F06"/>
    <w:rsid w:val="003C0534"/>
    <w:rsid w:val="003C7DE6"/>
    <w:rsid w:val="003D2A8B"/>
    <w:rsid w:val="003D6331"/>
    <w:rsid w:val="003E1755"/>
    <w:rsid w:val="00403BC0"/>
    <w:rsid w:val="00405886"/>
    <w:rsid w:val="00420AC9"/>
    <w:rsid w:val="00422CFD"/>
    <w:rsid w:val="00436429"/>
    <w:rsid w:val="00445A7F"/>
    <w:rsid w:val="0044733A"/>
    <w:rsid w:val="004669AC"/>
    <w:rsid w:val="00486FE1"/>
    <w:rsid w:val="004A0E49"/>
    <w:rsid w:val="004A1364"/>
    <w:rsid w:val="004B29FD"/>
    <w:rsid w:val="004C0911"/>
    <w:rsid w:val="004C120D"/>
    <w:rsid w:val="004C16AE"/>
    <w:rsid w:val="004E1AF7"/>
    <w:rsid w:val="004E4CB8"/>
    <w:rsid w:val="004F0B68"/>
    <w:rsid w:val="004F0C1E"/>
    <w:rsid w:val="004F505E"/>
    <w:rsid w:val="004F69DA"/>
    <w:rsid w:val="004F7462"/>
    <w:rsid w:val="00504656"/>
    <w:rsid w:val="005143F2"/>
    <w:rsid w:val="00525597"/>
    <w:rsid w:val="00544169"/>
    <w:rsid w:val="005721A7"/>
    <w:rsid w:val="0057285B"/>
    <w:rsid w:val="005877CD"/>
    <w:rsid w:val="00596711"/>
    <w:rsid w:val="005A0DA4"/>
    <w:rsid w:val="005A50E4"/>
    <w:rsid w:val="005A78C8"/>
    <w:rsid w:val="005B4408"/>
    <w:rsid w:val="005C442A"/>
    <w:rsid w:val="005C4718"/>
    <w:rsid w:val="005C68F0"/>
    <w:rsid w:val="005D16D1"/>
    <w:rsid w:val="0060424C"/>
    <w:rsid w:val="006042C8"/>
    <w:rsid w:val="00614999"/>
    <w:rsid w:val="006235C7"/>
    <w:rsid w:val="0062761F"/>
    <w:rsid w:val="00634B70"/>
    <w:rsid w:val="00640960"/>
    <w:rsid w:val="006473D4"/>
    <w:rsid w:val="00661D16"/>
    <w:rsid w:val="006623F5"/>
    <w:rsid w:val="00662FCC"/>
    <w:rsid w:val="0066301E"/>
    <w:rsid w:val="00663205"/>
    <w:rsid w:val="006636E8"/>
    <w:rsid w:val="006823D7"/>
    <w:rsid w:val="0068601A"/>
    <w:rsid w:val="0069046F"/>
    <w:rsid w:val="006A3857"/>
    <w:rsid w:val="006B5050"/>
    <w:rsid w:val="006C6B30"/>
    <w:rsid w:val="007104D8"/>
    <w:rsid w:val="00715C65"/>
    <w:rsid w:val="00716E20"/>
    <w:rsid w:val="00717A72"/>
    <w:rsid w:val="0073740A"/>
    <w:rsid w:val="007420CE"/>
    <w:rsid w:val="00756A27"/>
    <w:rsid w:val="00764060"/>
    <w:rsid w:val="00765F35"/>
    <w:rsid w:val="00767DFF"/>
    <w:rsid w:val="007728A5"/>
    <w:rsid w:val="00780520"/>
    <w:rsid w:val="00786221"/>
    <w:rsid w:val="00790204"/>
    <w:rsid w:val="00797836"/>
    <w:rsid w:val="007B2CB8"/>
    <w:rsid w:val="007B6682"/>
    <w:rsid w:val="007C07B1"/>
    <w:rsid w:val="007C2E86"/>
    <w:rsid w:val="007C4EC4"/>
    <w:rsid w:val="007E34FC"/>
    <w:rsid w:val="007E5F5B"/>
    <w:rsid w:val="00810AC1"/>
    <w:rsid w:val="008164F8"/>
    <w:rsid w:val="00840CB2"/>
    <w:rsid w:val="00846912"/>
    <w:rsid w:val="00870CA7"/>
    <w:rsid w:val="008A1C7F"/>
    <w:rsid w:val="008B03D8"/>
    <w:rsid w:val="008D0D4A"/>
    <w:rsid w:val="008D44F9"/>
    <w:rsid w:val="008D637F"/>
    <w:rsid w:val="008E6170"/>
    <w:rsid w:val="00904635"/>
    <w:rsid w:val="00907270"/>
    <w:rsid w:val="009267C6"/>
    <w:rsid w:val="00953019"/>
    <w:rsid w:val="00955CA4"/>
    <w:rsid w:val="00977C79"/>
    <w:rsid w:val="009A5824"/>
    <w:rsid w:val="009B73B3"/>
    <w:rsid w:val="009C110F"/>
    <w:rsid w:val="009C68B0"/>
    <w:rsid w:val="009D2E19"/>
    <w:rsid w:val="009D3184"/>
    <w:rsid w:val="009D3E46"/>
    <w:rsid w:val="009F4326"/>
    <w:rsid w:val="009F7297"/>
    <w:rsid w:val="00A12336"/>
    <w:rsid w:val="00A20886"/>
    <w:rsid w:val="00A2373B"/>
    <w:rsid w:val="00A251A4"/>
    <w:rsid w:val="00A3043E"/>
    <w:rsid w:val="00A32EF1"/>
    <w:rsid w:val="00A335F0"/>
    <w:rsid w:val="00A4284A"/>
    <w:rsid w:val="00A601D4"/>
    <w:rsid w:val="00A630FD"/>
    <w:rsid w:val="00A76523"/>
    <w:rsid w:val="00A828B0"/>
    <w:rsid w:val="00A865BD"/>
    <w:rsid w:val="00AA36C2"/>
    <w:rsid w:val="00AE22BE"/>
    <w:rsid w:val="00B01E96"/>
    <w:rsid w:val="00B13183"/>
    <w:rsid w:val="00B13D11"/>
    <w:rsid w:val="00B20F68"/>
    <w:rsid w:val="00B21390"/>
    <w:rsid w:val="00B24D8C"/>
    <w:rsid w:val="00B30793"/>
    <w:rsid w:val="00B318CD"/>
    <w:rsid w:val="00B5308F"/>
    <w:rsid w:val="00B55D5F"/>
    <w:rsid w:val="00B62D33"/>
    <w:rsid w:val="00B64178"/>
    <w:rsid w:val="00B65F74"/>
    <w:rsid w:val="00B8250B"/>
    <w:rsid w:val="00B84FD5"/>
    <w:rsid w:val="00B96DD8"/>
    <w:rsid w:val="00BA1FB4"/>
    <w:rsid w:val="00BA30E0"/>
    <w:rsid w:val="00BA56C4"/>
    <w:rsid w:val="00BA6BC9"/>
    <w:rsid w:val="00BA7CFD"/>
    <w:rsid w:val="00BB3845"/>
    <w:rsid w:val="00BB3C71"/>
    <w:rsid w:val="00BB6B6F"/>
    <w:rsid w:val="00BC3454"/>
    <w:rsid w:val="00BC7CF2"/>
    <w:rsid w:val="00BD0CDA"/>
    <w:rsid w:val="00BE0926"/>
    <w:rsid w:val="00BF40CA"/>
    <w:rsid w:val="00C008A9"/>
    <w:rsid w:val="00C01D16"/>
    <w:rsid w:val="00C03752"/>
    <w:rsid w:val="00C1149D"/>
    <w:rsid w:val="00C12A87"/>
    <w:rsid w:val="00C27F17"/>
    <w:rsid w:val="00C33825"/>
    <w:rsid w:val="00C376B7"/>
    <w:rsid w:val="00C41430"/>
    <w:rsid w:val="00C47D56"/>
    <w:rsid w:val="00C62844"/>
    <w:rsid w:val="00C80B07"/>
    <w:rsid w:val="00C912AE"/>
    <w:rsid w:val="00C9643E"/>
    <w:rsid w:val="00CA1CB4"/>
    <w:rsid w:val="00CC2B35"/>
    <w:rsid w:val="00CD78BB"/>
    <w:rsid w:val="00CE09A9"/>
    <w:rsid w:val="00D02AF5"/>
    <w:rsid w:val="00D03A0C"/>
    <w:rsid w:val="00D06FB5"/>
    <w:rsid w:val="00D13648"/>
    <w:rsid w:val="00D216B0"/>
    <w:rsid w:val="00D25E4E"/>
    <w:rsid w:val="00D44EF2"/>
    <w:rsid w:val="00D5503B"/>
    <w:rsid w:val="00D578BC"/>
    <w:rsid w:val="00D672A1"/>
    <w:rsid w:val="00D675ED"/>
    <w:rsid w:val="00D709CE"/>
    <w:rsid w:val="00D71FFF"/>
    <w:rsid w:val="00D739B1"/>
    <w:rsid w:val="00D755F5"/>
    <w:rsid w:val="00D922A7"/>
    <w:rsid w:val="00DA1765"/>
    <w:rsid w:val="00DA67C8"/>
    <w:rsid w:val="00DA7ED2"/>
    <w:rsid w:val="00DB2FC2"/>
    <w:rsid w:val="00DC077C"/>
    <w:rsid w:val="00DC2C4F"/>
    <w:rsid w:val="00DE1C63"/>
    <w:rsid w:val="00DF20C3"/>
    <w:rsid w:val="00DF6597"/>
    <w:rsid w:val="00E00EBF"/>
    <w:rsid w:val="00E0245B"/>
    <w:rsid w:val="00E07841"/>
    <w:rsid w:val="00E1702F"/>
    <w:rsid w:val="00E21F8C"/>
    <w:rsid w:val="00E2660B"/>
    <w:rsid w:val="00E64BDD"/>
    <w:rsid w:val="00E72221"/>
    <w:rsid w:val="00E75427"/>
    <w:rsid w:val="00E82247"/>
    <w:rsid w:val="00E95ED2"/>
    <w:rsid w:val="00EB01FA"/>
    <w:rsid w:val="00EB44F9"/>
    <w:rsid w:val="00ED72D7"/>
    <w:rsid w:val="00EE4F1E"/>
    <w:rsid w:val="00EF0F00"/>
    <w:rsid w:val="00F0314B"/>
    <w:rsid w:val="00F06147"/>
    <w:rsid w:val="00F075CC"/>
    <w:rsid w:val="00F14E32"/>
    <w:rsid w:val="00F44B66"/>
    <w:rsid w:val="00F52778"/>
    <w:rsid w:val="00F562C4"/>
    <w:rsid w:val="00F62F0D"/>
    <w:rsid w:val="00F63904"/>
    <w:rsid w:val="00F730AF"/>
    <w:rsid w:val="00F830A0"/>
    <w:rsid w:val="00FA3ABB"/>
    <w:rsid w:val="00FA5A1D"/>
    <w:rsid w:val="00FA7719"/>
    <w:rsid w:val="00FA790D"/>
    <w:rsid w:val="00FC0FFA"/>
    <w:rsid w:val="00FD0993"/>
    <w:rsid w:val="00FF1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semiHidden/>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semiHidden/>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uiPriority w:val="34"/>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0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708.SKA119920.3.L" TargetMode="External"/><Relationship Id="rId13" Type="http://schemas.openxmlformats.org/officeDocument/2006/relationships/hyperlink" Target="http://www.vestnesi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kum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uristavards.lv" TargetMode="External"/><Relationship Id="rId4" Type="http://schemas.openxmlformats.org/officeDocument/2006/relationships/settings" Target="settings.xml"/><Relationship Id="rId9" Type="http://schemas.openxmlformats.org/officeDocument/2006/relationships/hyperlink" Target="http://www.juristavar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4AB0-2104-41BF-9CF1-0193713F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11517</Words>
  <Characters>6565</Characters>
  <Application>Microsoft Office Word</Application>
  <DocSecurity>0</DocSecurity>
  <Lines>54</Lines>
  <Paragraphs>36</Paragraphs>
  <ScaleCrop>false</ScaleCrop>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2020-08-24T11:32:00Z</dcterms:created>
  <dcterms:modified xsi:type="dcterms:W3CDTF">2020-08-24T11:52:00Z</dcterms:modified>
</cp:coreProperties>
</file>