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CBD3E" w14:textId="77777777" w:rsidR="00B16D97" w:rsidRDefault="00B16D97" w:rsidP="00B16D97">
      <w:pPr>
        <w:spacing w:line="276" w:lineRule="auto"/>
        <w:jc w:val="both"/>
        <w:rPr>
          <w:b/>
          <w:bCs/>
        </w:rPr>
      </w:pPr>
      <w:r w:rsidRPr="00EC719A">
        <w:rPr>
          <w:b/>
          <w:bCs/>
        </w:rPr>
        <w:t xml:space="preserve">Par komercsabiedrības saimniecisko darbību apturēšanu atbildīgās personas iekļaušana riska personu sarakstā </w:t>
      </w:r>
    </w:p>
    <w:p w14:paraId="0A7A9E91" w14:textId="016F48A6" w:rsidR="00920AD8" w:rsidRPr="00B16D97" w:rsidRDefault="00B16D97" w:rsidP="00B16D97">
      <w:pPr>
        <w:spacing w:line="276" w:lineRule="auto"/>
        <w:jc w:val="both"/>
        <w:rPr>
          <w:color w:val="0000FF"/>
        </w:rPr>
      </w:pPr>
      <w:r>
        <w:t xml:space="preserve">Piemērojot likuma „Par nodokļiem un nodevām” 1.panta 31.punkta ,,c” apakšpunktu, ir būtiski noskaidrot ne tikai formālo brīdi, līdz kuram uzņēmuma amatpersona ir pildījusi savus amata pienākumus, bet arī to, vai amata pienākumu pildīšanas pārtraukšanas nolūks nav saistīts ar vēlmi izvairīties no pienākumu pildīšanas un/vai no atbildības par šo pienākumu nepildīšanu, kas noskaidrojams, visaptveroši un savstarpējā kopsakarā novērtējot visus lietas apstākļus. </w:t>
      </w:r>
    </w:p>
    <w:p w14:paraId="091AB974" w14:textId="77777777" w:rsidR="00920AD8" w:rsidRDefault="00920AD8" w:rsidP="00E830A6">
      <w:pPr>
        <w:spacing w:line="276" w:lineRule="auto"/>
        <w:jc w:val="center"/>
        <w:rPr>
          <w:b/>
        </w:rPr>
      </w:pPr>
    </w:p>
    <w:p w14:paraId="0488A729" w14:textId="1439DA5B" w:rsidR="00E830A6" w:rsidRDefault="00E830A6" w:rsidP="00E830A6">
      <w:pPr>
        <w:spacing w:line="276" w:lineRule="auto"/>
        <w:jc w:val="center"/>
        <w:rPr>
          <w:b/>
        </w:rPr>
      </w:pPr>
      <w:r w:rsidRPr="00920AD8">
        <w:rPr>
          <w:b/>
        </w:rPr>
        <w:t>Latvijas Republikas Senāt</w:t>
      </w:r>
      <w:r w:rsidR="00920AD8">
        <w:rPr>
          <w:b/>
        </w:rPr>
        <w:t>a</w:t>
      </w:r>
    </w:p>
    <w:p w14:paraId="7151DFB7" w14:textId="5DC8FDC3" w:rsidR="00920AD8" w:rsidRDefault="00920AD8" w:rsidP="00E830A6">
      <w:pPr>
        <w:spacing w:line="276" w:lineRule="auto"/>
        <w:jc w:val="center"/>
        <w:rPr>
          <w:b/>
        </w:rPr>
      </w:pPr>
      <w:r>
        <w:rPr>
          <w:b/>
        </w:rPr>
        <w:t>Administratīvo lietu departamenta</w:t>
      </w:r>
    </w:p>
    <w:p w14:paraId="02BC0B7E" w14:textId="36769416" w:rsidR="00920AD8" w:rsidRPr="00920AD8" w:rsidRDefault="00920AD8" w:rsidP="00E830A6">
      <w:pPr>
        <w:spacing w:line="276" w:lineRule="auto"/>
        <w:jc w:val="center"/>
        <w:rPr>
          <w:b/>
        </w:rPr>
      </w:pPr>
      <w:r>
        <w:rPr>
          <w:b/>
        </w:rPr>
        <w:t>2020.gada 27.maija</w:t>
      </w:r>
    </w:p>
    <w:p w14:paraId="3E3D468A" w14:textId="77777777" w:rsidR="00920AD8" w:rsidRDefault="00E830A6" w:rsidP="00E830A6">
      <w:pPr>
        <w:spacing w:line="276" w:lineRule="auto"/>
        <w:jc w:val="center"/>
        <w:rPr>
          <w:b/>
        </w:rPr>
      </w:pPr>
      <w:r w:rsidRPr="00920AD8">
        <w:rPr>
          <w:b/>
        </w:rPr>
        <w:t>SPRIEDUMS</w:t>
      </w:r>
    </w:p>
    <w:p w14:paraId="4C60CD4F" w14:textId="77777777" w:rsidR="00920AD8" w:rsidRDefault="00920AD8" w:rsidP="00E830A6">
      <w:pPr>
        <w:spacing w:line="276" w:lineRule="auto"/>
        <w:jc w:val="center"/>
        <w:rPr>
          <w:b/>
        </w:rPr>
      </w:pPr>
      <w:r>
        <w:rPr>
          <w:b/>
        </w:rPr>
        <w:t>Lieta Nr. A420222015, SKA-40/2020</w:t>
      </w:r>
    </w:p>
    <w:p w14:paraId="09818373" w14:textId="693FC7FC" w:rsidR="00E830A6" w:rsidRPr="00C72425" w:rsidRDefault="00A66E39" w:rsidP="00E830A6">
      <w:pPr>
        <w:spacing w:line="276" w:lineRule="auto"/>
        <w:jc w:val="center"/>
      </w:pPr>
      <w:hyperlink r:id="rId7" w:history="1">
        <w:r w:rsidR="00920AD8" w:rsidRPr="00920AD8">
          <w:rPr>
            <w:rStyle w:val="Hipersaite"/>
          </w:rPr>
          <w:t>ECLI:LV:AT:2020:0527.A420222015.2.S</w:t>
        </w:r>
      </w:hyperlink>
    </w:p>
    <w:p w14:paraId="37A93F5B" w14:textId="77777777" w:rsidR="00E830A6" w:rsidRPr="00C72425" w:rsidRDefault="00E830A6" w:rsidP="00E830A6">
      <w:pPr>
        <w:spacing w:line="276" w:lineRule="auto"/>
        <w:jc w:val="center"/>
      </w:pPr>
    </w:p>
    <w:p w14:paraId="72F054A8" w14:textId="059E2265" w:rsidR="00E830A6" w:rsidRPr="00C72425" w:rsidRDefault="00E830A6" w:rsidP="00E830A6">
      <w:pPr>
        <w:spacing w:line="276" w:lineRule="auto"/>
        <w:ind w:firstLine="567"/>
        <w:jc w:val="both"/>
      </w:pPr>
      <w:r w:rsidRPr="00C72425">
        <w:t>Tiesa šādā sastāvā: senator</w:t>
      </w:r>
      <w:r w:rsidR="00B77D3D">
        <w:t>i</w:t>
      </w:r>
      <w:r w:rsidRPr="00C72425">
        <w:t xml:space="preserve"> </w:t>
      </w:r>
      <w:r w:rsidR="00E64E11" w:rsidRPr="00C72425">
        <w:t>Andris Guļāns</w:t>
      </w:r>
      <w:r w:rsidRPr="00C72425">
        <w:t xml:space="preserve">, </w:t>
      </w:r>
      <w:r w:rsidR="00E64E11" w:rsidRPr="00C72425">
        <w:t>Dzintra Amerika</w:t>
      </w:r>
      <w:r w:rsidR="00C47E0D" w:rsidRPr="00C72425">
        <w:t xml:space="preserve">, </w:t>
      </w:r>
      <w:r w:rsidRPr="00C72425">
        <w:t>Veronika Krūmiņa</w:t>
      </w:r>
    </w:p>
    <w:p w14:paraId="08EC9FA1" w14:textId="77777777" w:rsidR="00E830A6" w:rsidRPr="00C72425" w:rsidRDefault="00E830A6" w:rsidP="003F5024">
      <w:pPr>
        <w:spacing w:line="276" w:lineRule="auto"/>
        <w:jc w:val="both"/>
      </w:pPr>
    </w:p>
    <w:p w14:paraId="78B49ADB" w14:textId="44B10BE7" w:rsidR="00E830A6" w:rsidRPr="00C72425" w:rsidRDefault="00E830A6" w:rsidP="00E64E11">
      <w:pPr>
        <w:spacing w:line="276" w:lineRule="auto"/>
        <w:ind w:firstLine="567"/>
        <w:jc w:val="both"/>
      </w:pPr>
      <w:r w:rsidRPr="00C72425">
        <w:t xml:space="preserve">rakstveida procesā izskatīja administratīvo lietu, </w:t>
      </w:r>
      <w:r w:rsidR="00E64E11" w:rsidRPr="00C72425">
        <w:t xml:space="preserve">kas ierosināta, pamatojoties uz </w:t>
      </w:r>
      <w:r w:rsidR="00403C7A">
        <w:t>[pers. A]</w:t>
      </w:r>
      <w:r w:rsidR="00E64E11" w:rsidRPr="00C72425">
        <w:t xml:space="preserve"> pieteikumu par Valsts ieņēmumu dienesta 2015.gada 30.aprīļa lēmuma Nr.</w:t>
      </w:r>
      <w:r w:rsidR="00C72425">
        <w:t> </w:t>
      </w:r>
      <w:r w:rsidR="00E64E11" w:rsidRPr="00C72425">
        <w:t xml:space="preserve">22.11/L-18808 atcelšanu, sakarā ar </w:t>
      </w:r>
      <w:r w:rsidR="00403C7A">
        <w:t>[pers. A]</w:t>
      </w:r>
      <w:r w:rsidR="00E64E11" w:rsidRPr="00C72425">
        <w:t xml:space="preserve"> </w:t>
      </w:r>
      <w:r w:rsidRPr="00C72425">
        <w:t>kasācijas sūdzību par Administratīvās apgabaltiesas 201</w:t>
      </w:r>
      <w:r w:rsidR="00E64E11" w:rsidRPr="00C72425">
        <w:t>7</w:t>
      </w:r>
      <w:r w:rsidRPr="00C72425">
        <w:t>.gada 2</w:t>
      </w:r>
      <w:r w:rsidR="00E64E11" w:rsidRPr="00C72425">
        <w:t>8</w:t>
      </w:r>
      <w:r w:rsidRPr="00C72425">
        <w:t>.</w:t>
      </w:r>
      <w:r w:rsidR="00E64E11" w:rsidRPr="00C72425">
        <w:t>marta</w:t>
      </w:r>
      <w:r w:rsidRPr="00C72425">
        <w:t xml:space="preserve"> spriedumu.</w:t>
      </w:r>
    </w:p>
    <w:p w14:paraId="43A5CCAD" w14:textId="77777777" w:rsidR="00E830A6" w:rsidRPr="00C72425" w:rsidRDefault="00E830A6" w:rsidP="003F5024">
      <w:pPr>
        <w:spacing w:line="276" w:lineRule="auto"/>
        <w:jc w:val="both"/>
      </w:pPr>
    </w:p>
    <w:p w14:paraId="4AA9F245" w14:textId="77777777" w:rsidR="00E830A6" w:rsidRPr="00C72425" w:rsidRDefault="00E830A6" w:rsidP="00E830A6">
      <w:pPr>
        <w:pStyle w:val="ATvirsraksts"/>
      </w:pPr>
      <w:r w:rsidRPr="00C72425">
        <w:t>Aprakstošā daļa</w:t>
      </w:r>
    </w:p>
    <w:p w14:paraId="74C030B5" w14:textId="77777777" w:rsidR="00E830A6" w:rsidRPr="00C72425" w:rsidRDefault="00E830A6" w:rsidP="003F5024">
      <w:pPr>
        <w:spacing w:line="276" w:lineRule="auto"/>
        <w:jc w:val="both"/>
      </w:pPr>
    </w:p>
    <w:p w14:paraId="7D333142" w14:textId="07285870" w:rsidR="006514F7" w:rsidRPr="00C72425" w:rsidRDefault="00E830A6" w:rsidP="006514F7">
      <w:pPr>
        <w:spacing w:line="276" w:lineRule="auto"/>
        <w:ind w:firstLine="567"/>
        <w:jc w:val="both"/>
      </w:pPr>
      <w:r w:rsidRPr="00C72425">
        <w:t>[1]</w:t>
      </w:r>
      <w:r w:rsidR="00B77D3D">
        <w:t xml:space="preserve"> </w:t>
      </w:r>
      <w:r w:rsidR="006514F7" w:rsidRPr="00C72425">
        <w:t xml:space="preserve">Pieteicējs </w:t>
      </w:r>
      <w:r w:rsidR="00403C7A">
        <w:t>[pers. A]</w:t>
      </w:r>
      <w:r w:rsidR="006514F7" w:rsidRPr="00C72425">
        <w:t xml:space="preserve"> bija SIA</w:t>
      </w:r>
      <w:r w:rsidR="00C72425">
        <w:t> „</w:t>
      </w:r>
      <w:r w:rsidR="00403C7A">
        <w:t>[Nosaukums A]</w:t>
      </w:r>
      <w:r w:rsidR="006514F7" w:rsidRPr="00C72425">
        <w:t>” amatpersona.</w:t>
      </w:r>
    </w:p>
    <w:p w14:paraId="6750DE32" w14:textId="74AD02E9" w:rsidR="006514F7" w:rsidRPr="00C72425" w:rsidRDefault="006514F7" w:rsidP="006514F7">
      <w:pPr>
        <w:spacing w:line="276" w:lineRule="auto"/>
        <w:ind w:firstLine="567"/>
        <w:jc w:val="both"/>
      </w:pPr>
      <w:r w:rsidRPr="00C72425">
        <w:t>Ar Valsts ieņēmumu dienesta</w:t>
      </w:r>
      <w:r w:rsidR="00C72425">
        <w:t xml:space="preserve"> (turpmāk arī – dienests)</w:t>
      </w:r>
      <w:r w:rsidRPr="00C72425">
        <w:t xml:space="preserve"> 2014.gada 26.novembra lēmumu apturēta SIA</w:t>
      </w:r>
      <w:r w:rsidR="00C72425">
        <w:t> „</w:t>
      </w:r>
      <w:r w:rsidR="00403C7A">
        <w:t>[Nosaukums A</w:t>
      </w:r>
      <w:r w:rsidRPr="00C72425">
        <w:t xml:space="preserve">” saimnieciskā darbība, jo </w:t>
      </w:r>
      <w:r w:rsidR="00D24AE7">
        <w:t>komerc</w:t>
      </w:r>
      <w:r w:rsidRPr="00C72425">
        <w:t>sabiedrība dienesta noteiktajā termiņā nebija iesniegusi grāmatvedības dokumentus tematiskās pārbaudes veikšanai.</w:t>
      </w:r>
    </w:p>
    <w:p w14:paraId="529E3DD9" w14:textId="6EB9481D" w:rsidR="006514F7" w:rsidRPr="00C72425" w:rsidRDefault="00E01C55" w:rsidP="006514F7">
      <w:pPr>
        <w:spacing w:line="276" w:lineRule="auto"/>
        <w:ind w:firstLine="567"/>
        <w:jc w:val="both"/>
      </w:pPr>
      <w:r w:rsidRPr="00C72425">
        <w:t>A</w:t>
      </w:r>
      <w:r w:rsidR="006514F7" w:rsidRPr="00C72425">
        <w:t xml:space="preserve">r Valsts ieņēmumu dienesta 2015.gada 11.marta lēmumu pieteicējs, pamatojoties uz likuma </w:t>
      </w:r>
      <w:r w:rsidR="00C72425">
        <w:t>„</w:t>
      </w:r>
      <w:r w:rsidR="006514F7" w:rsidRPr="00C72425">
        <w:t xml:space="preserve">Par nodokļiem un nodevām” 1.panta 31.punkta </w:t>
      </w:r>
      <w:r w:rsidR="00C72425">
        <w:t>„</w:t>
      </w:r>
      <w:r w:rsidR="006514F7" w:rsidRPr="00C72425">
        <w:t>c” apakšpunktu, iekļauts riska personu sarakstā.</w:t>
      </w:r>
    </w:p>
    <w:p w14:paraId="49A9534A" w14:textId="46212FBB" w:rsidR="00A27F25" w:rsidRPr="00C72425" w:rsidRDefault="006514F7" w:rsidP="006514F7">
      <w:pPr>
        <w:spacing w:line="276" w:lineRule="auto"/>
        <w:ind w:firstLine="567"/>
        <w:jc w:val="both"/>
      </w:pPr>
      <w:r w:rsidRPr="00C72425">
        <w:t>Administratīvais process iestādē noslēdzies ar Valsts ieņēmumu dienesta 2015.gada 30.aprīļa lēmumu. Lēmums pamatots ar to, ka pieteicēja kā SIA</w:t>
      </w:r>
      <w:r w:rsidR="00C72425">
        <w:t> „</w:t>
      </w:r>
      <w:r w:rsidR="00403C7A">
        <w:t>[Nosaukums A]</w:t>
      </w:r>
      <w:r w:rsidRPr="00C72425">
        <w:t>” amatpersonas pienākumu pildīšanas laikā bija iestājušies apstākļi, kas bija par pamatu komercsabiedrības saimnieciskās darbības apturēšanai.</w:t>
      </w:r>
    </w:p>
    <w:p w14:paraId="1990B091" w14:textId="2332F5B5" w:rsidR="00E01C55" w:rsidRPr="00C72425" w:rsidRDefault="00E01C55" w:rsidP="00E01C55">
      <w:pPr>
        <w:spacing w:line="276" w:lineRule="auto"/>
        <w:ind w:firstLine="567"/>
        <w:jc w:val="both"/>
      </w:pPr>
      <w:r w:rsidRPr="00C72425">
        <w:t xml:space="preserve">Pieteicējs, nepiekrītot lēmumam, vērsās ar pieteikumu Administratīvajā rajona tiesā. </w:t>
      </w:r>
    </w:p>
    <w:p w14:paraId="29379FCD" w14:textId="77777777" w:rsidR="005F14FC" w:rsidRPr="00C72425" w:rsidRDefault="005F14FC" w:rsidP="003F5024">
      <w:pPr>
        <w:spacing w:line="276" w:lineRule="auto"/>
        <w:jc w:val="both"/>
      </w:pPr>
    </w:p>
    <w:p w14:paraId="7FED0D01" w14:textId="7C45B7FC" w:rsidR="00333256" w:rsidRPr="00C72425" w:rsidRDefault="00A27F25" w:rsidP="00385839">
      <w:pPr>
        <w:spacing w:line="276" w:lineRule="auto"/>
        <w:ind w:firstLine="567"/>
        <w:jc w:val="both"/>
      </w:pPr>
      <w:r w:rsidRPr="00C72425">
        <w:t xml:space="preserve">[2] </w:t>
      </w:r>
      <w:r w:rsidR="00E01C55" w:rsidRPr="00C72425">
        <w:t>Izskatot lietu apelācijas kārtībā</w:t>
      </w:r>
      <w:r w:rsidR="00D24AE7">
        <w:t>,</w:t>
      </w:r>
      <w:r w:rsidR="00E01C55" w:rsidRPr="00C72425">
        <w:t xml:space="preserve"> </w:t>
      </w:r>
      <w:r w:rsidRPr="00C72425">
        <w:t>Administratīvā apgabaltiesa ar 201</w:t>
      </w:r>
      <w:r w:rsidR="00E01C55" w:rsidRPr="00C72425">
        <w:t>7</w:t>
      </w:r>
      <w:r w:rsidRPr="00C72425">
        <w:t>.gada 2</w:t>
      </w:r>
      <w:r w:rsidR="00E01C55" w:rsidRPr="00C72425">
        <w:t>8</w:t>
      </w:r>
      <w:r w:rsidRPr="00C72425">
        <w:t>.</w:t>
      </w:r>
      <w:r w:rsidR="00E01C55" w:rsidRPr="00C72425">
        <w:t>marta</w:t>
      </w:r>
      <w:r w:rsidRPr="00C72425">
        <w:t xml:space="preserve"> spriedumu </w:t>
      </w:r>
      <w:r w:rsidR="00E01C55" w:rsidRPr="00C72425">
        <w:t>pieteikumu noraidīja.</w:t>
      </w:r>
    </w:p>
    <w:p w14:paraId="095B536A" w14:textId="4F5979CA" w:rsidR="00E01C55" w:rsidRPr="00C72425" w:rsidRDefault="00E01C55" w:rsidP="00E01C55">
      <w:pPr>
        <w:spacing w:line="276" w:lineRule="auto"/>
        <w:ind w:firstLine="567"/>
        <w:jc w:val="both"/>
      </w:pPr>
      <w:r w:rsidRPr="00C72425">
        <w:t xml:space="preserve">Apgabaltiesa atzina, ka dienests pamatoti konstatējis likuma </w:t>
      </w:r>
      <w:r w:rsidR="00D24AE7">
        <w:t>„</w:t>
      </w:r>
      <w:r w:rsidRPr="00C72425">
        <w:t>Par nodokļiem un nodevām”</w:t>
      </w:r>
      <w:r w:rsidR="00D24AE7">
        <w:t xml:space="preserve"> </w:t>
      </w:r>
      <w:r w:rsidRPr="00C72425">
        <w:t xml:space="preserve">1.panta 31.punkta </w:t>
      </w:r>
      <w:r w:rsidR="00D24AE7">
        <w:t>„</w:t>
      </w:r>
      <w:r w:rsidRPr="00C72425">
        <w:t>c” apakšpunktā minēto kritēriju, kas noteic, ka par riska personu atzīstama arī tāda persona, kas ir vai ir bijusi amatpersona komercsabiedrībā un tās amata</w:t>
      </w:r>
      <w:r w:rsidR="00D77826" w:rsidRPr="00C72425">
        <w:t xml:space="preserve"> </w:t>
      </w:r>
      <w:r w:rsidRPr="00C72425">
        <w:t>pienākumu pildīšanas laikā ir iestājušies apstākļi,</w:t>
      </w:r>
      <w:r w:rsidR="00D77826" w:rsidRPr="00C72425">
        <w:t xml:space="preserve"> </w:t>
      </w:r>
      <w:r w:rsidRPr="00C72425">
        <w:t>kas bija par pamatu komercsabiedrības</w:t>
      </w:r>
      <w:r w:rsidR="00D77826" w:rsidRPr="00C72425">
        <w:t xml:space="preserve"> </w:t>
      </w:r>
      <w:r w:rsidRPr="00C72425">
        <w:t>saimnieciskās darbības apturēšanai.</w:t>
      </w:r>
    </w:p>
    <w:p w14:paraId="07E8FA9D" w14:textId="431AD1FC" w:rsidR="00D77826" w:rsidRPr="00C72425" w:rsidRDefault="00D77826" w:rsidP="00D77826">
      <w:pPr>
        <w:spacing w:line="276" w:lineRule="auto"/>
        <w:ind w:firstLine="567"/>
        <w:jc w:val="both"/>
      </w:pPr>
      <w:r w:rsidRPr="00C72425">
        <w:lastRenderedPageBreak/>
        <w:t>Apgabaltiesa nepiešķīra ticamību pieteicēja iesniegtajiem dokumentiem, kas</w:t>
      </w:r>
      <w:r w:rsidR="00221FBC">
        <w:t>,</w:t>
      </w:r>
      <w:r w:rsidRPr="00C72425">
        <w:t xml:space="preserve"> pieteicēja ieskatā</w:t>
      </w:r>
      <w:r w:rsidR="00221FBC">
        <w:t>,</w:t>
      </w:r>
      <w:r w:rsidRPr="00C72425">
        <w:t xml:space="preserve"> pamato</w:t>
      </w:r>
      <w:r w:rsidR="00B77D3D">
        <w:t xml:space="preserve"> norādi</w:t>
      </w:r>
      <w:r w:rsidRPr="00C72425">
        <w:t xml:space="preserve">, ka viņam objektīvi nebija iespējams dienesta noteiktajā termiņā iesniegt pārbaudei SIA </w:t>
      </w:r>
      <w:r w:rsidR="00D24AE7">
        <w:t>„</w:t>
      </w:r>
      <w:r w:rsidR="00403C7A">
        <w:t>[Nosaukums A]</w:t>
      </w:r>
      <w:r w:rsidRPr="00C72425">
        <w:t>” grāmatvedības dokumentus.</w:t>
      </w:r>
    </w:p>
    <w:p w14:paraId="6FBEA92B" w14:textId="4027AECF" w:rsidR="001C0575" w:rsidRPr="00C72425" w:rsidRDefault="00D24AE7" w:rsidP="00282433">
      <w:pPr>
        <w:spacing w:line="276" w:lineRule="auto"/>
        <w:ind w:firstLine="567"/>
        <w:jc w:val="both"/>
      </w:pPr>
      <w:r>
        <w:t>N</w:t>
      </w:r>
      <w:r w:rsidR="00FC6104" w:rsidRPr="00C72425">
        <w:t xml:space="preserve">eskatoties uz to, ka </w:t>
      </w:r>
      <w:r w:rsidR="00B77D3D" w:rsidRPr="00C72425">
        <w:t xml:space="preserve">pieteicējs </w:t>
      </w:r>
      <w:r w:rsidR="00FC6104" w:rsidRPr="00C72425">
        <w:t xml:space="preserve">ar SIA </w:t>
      </w:r>
      <w:r>
        <w:t>„</w:t>
      </w:r>
      <w:r w:rsidR="00403C7A">
        <w:t>[Nosaukums A]</w:t>
      </w:r>
      <w:r w:rsidR="00FC6104" w:rsidRPr="00C72425">
        <w:t>” vienīgā dalībnieka 2014.gada 20.oktobra lēmumu atcelts no valdes priekšsēdētāja amata</w:t>
      </w:r>
      <w:r>
        <w:t xml:space="preserve">, vienlaikus </w:t>
      </w:r>
      <w:r w:rsidR="00FC6104" w:rsidRPr="00C72425">
        <w:t>parakstot pieņemšanas</w:t>
      </w:r>
      <w:r w:rsidR="00B77D3D">
        <w:t>–</w:t>
      </w:r>
      <w:r w:rsidR="00FC6104" w:rsidRPr="00C72425">
        <w:t xml:space="preserve">nodošanas aktu, ar kuru dalībnieka </w:t>
      </w:r>
      <w:r w:rsidR="003F5024">
        <w:t xml:space="preserve">ieceltajam jaunajam </w:t>
      </w:r>
      <w:r w:rsidR="00FC6104" w:rsidRPr="00C72425">
        <w:t>valdes loceklim nodoti visi SIA</w:t>
      </w:r>
      <w:r w:rsidR="006943D6">
        <w:t> </w:t>
      </w:r>
      <w:r>
        <w:t>„</w:t>
      </w:r>
      <w:r w:rsidR="00403C7A">
        <w:t>[Nosaukums A]</w:t>
      </w:r>
      <w:r w:rsidR="00FC6104" w:rsidRPr="00C72425">
        <w:t>” grāmatvedības dokumenti,</w:t>
      </w:r>
      <w:r w:rsidR="006943D6">
        <w:t xml:space="preserve"> tomēr</w:t>
      </w:r>
      <w:r w:rsidR="00FC6104" w:rsidRPr="00C72425">
        <w:t xml:space="preserve"> tas</w:t>
      </w:r>
      <w:r w:rsidR="00BB071A" w:rsidRPr="00C72425">
        <w:t xml:space="preserve"> ir</w:t>
      </w:r>
      <w:r w:rsidR="00FC6104" w:rsidRPr="00C72425">
        <w:t xml:space="preserve"> izpildīts tikai 27.oktobrī, kad pieteicējs vērsās ar pieteikumu par izmaiņām komercreģistrā.</w:t>
      </w:r>
      <w:r w:rsidR="006943D6">
        <w:t xml:space="preserve"> Tādējādi a</w:t>
      </w:r>
      <w:r w:rsidR="00BB071A" w:rsidRPr="00C72425">
        <w:t xml:space="preserve">pgabaltiesa </w:t>
      </w:r>
      <w:r w:rsidR="006943D6">
        <w:t>atzina</w:t>
      </w:r>
      <w:r w:rsidR="00BB071A" w:rsidRPr="00C72425">
        <w:t>, ka</w:t>
      </w:r>
      <w:r w:rsidR="001C0575" w:rsidRPr="00C72425">
        <w:t xml:space="preserve"> pieteicējs valdes priekšsēdētāja pienākumus pildīja līdz 27.oktobrim, kad tika izdarītas</w:t>
      </w:r>
      <w:r w:rsidR="00B77D3D">
        <w:t xml:space="preserve"> attiecīgas</w:t>
      </w:r>
      <w:r w:rsidR="001C0575" w:rsidRPr="00C72425">
        <w:t xml:space="preserve"> izmaiņas komercreģistrā.</w:t>
      </w:r>
    </w:p>
    <w:p w14:paraId="641C8D98" w14:textId="17548C41" w:rsidR="00D77826" w:rsidRPr="00C72425" w:rsidRDefault="00282433" w:rsidP="00282433">
      <w:pPr>
        <w:spacing w:line="276" w:lineRule="auto"/>
        <w:ind w:firstLine="567"/>
        <w:jc w:val="both"/>
      </w:pPr>
      <w:r w:rsidRPr="00C72425">
        <w:t xml:space="preserve"> </w:t>
      </w:r>
      <w:r w:rsidR="001C0575" w:rsidRPr="00C72425">
        <w:t>Pieteicēja</w:t>
      </w:r>
      <w:r w:rsidRPr="00C72425">
        <w:t xml:space="preserve"> bezdarbība, neiesniedzot dienestam noteiktajā termiņā – līdz 2014.gada 27.oktobrim</w:t>
      </w:r>
      <w:r w:rsidR="006943D6">
        <w:t xml:space="preserve"> –</w:t>
      </w:r>
      <w:r w:rsidRPr="00C72425">
        <w:t xml:space="preserve"> nepieciešamos grāmatvedības dokumentus, ir cēloniskā sakarā </w:t>
      </w:r>
      <w:r w:rsidR="001C0575" w:rsidRPr="00C72425">
        <w:t>ar</w:t>
      </w:r>
      <w:r w:rsidRPr="00C72425">
        <w:t xml:space="preserve"> turpmākie</w:t>
      </w:r>
      <w:r w:rsidR="00BB071A" w:rsidRPr="00C72425">
        <w:t>m</w:t>
      </w:r>
      <w:r w:rsidRPr="00C72425">
        <w:t xml:space="preserve"> iestādes</w:t>
      </w:r>
      <w:r w:rsidR="001C0575" w:rsidRPr="00C72425">
        <w:t xml:space="preserve"> </w:t>
      </w:r>
      <w:r w:rsidRPr="00C72425">
        <w:t>lēmumi</w:t>
      </w:r>
      <w:r w:rsidR="001C0575" w:rsidRPr="00C72425">
        <w:t>em</w:t>
      </w:r>
      <w:r w:rsidRPr="00C72425">
        <w:t xml:space="preserve"> par komercsabiedrības saimnieciskās</w:t>
      </w:r>
      <w:r w:rsidR="001C0575" w:rsidRPr="00C72425">
        <w:t xml:space="preserve"> </w:t>
      </w:r>
      <w:r w:rsidRPr="00C72425">
        <w:t>darbības apturēšanu. Tālab dienestam bija pamats pieteicēju atzīt par riska</w:t>
      </w:r>
      <w:r w:rsidR="001C0575" w:rsidRPr="00C72425">
        <w:t xml:space="preserve"> </w:t>
      </w:r>
      <w:r w:rsidRPr="00C72425">
        <w:t>personu.</w:t>
      </w:r>
    </w:p>
    <w:p w14:paraId="4418D85F" w14:textId="77777777" w:rsidR="00333256" w:rsidRPr="00C72425" w:rsidRDefault="00333256" w:rsidP="003F5024">
      <w:pPr>
        <w:spacing w:line="276" w:lineRule="auto"/>
        <w:jc w:val="both"/>
      </w:pPr>
    </w:p>
    <w:p w14:paraId="08319BD7" w14:textId="21956778" w:rsidR="00333256" w:rsidRPr="00C72425" w:rsidRDefault="00333256" w:rsidP="00333256">
      <w:pPr>
        <w:spacing w:line="276" w:lineRule="auto"/>
        <w:ind w:firstLine="567"/>
        <w:jc w:val="both"/>
      </w:pPr>
      <w:r w:rsidRPr="00C72425">
        <w:t xml:space="preserve">[3] </w:t>
      </w:r>
      <w:r w:rsidR="001C0575" w:rsidRPr="00C72425">
        <w:t>Pieteicējs</w:t>
      </w:r>
      <w:r w:rsidRPr="00C72425">
        <w:t xml:space="preserve"> </w:t>
      </w:r>
      <w:r w:rsidR="006943D6" w:rsidRPr="00C72425">
        <w:t xml:space="preserve">par apgabaltiesas spriedumu </w:t>
      </w:r>
      <w:r w:rsidRPr="00C72425">
        <w:t>iesniedza kasācijas sūdzību</w:t>
      </w:r>
      <w:r w:rsidR="00D07D55" w:rsidRPr="00C72425">
        <w:t>, kas pamatota ar turpmāk minētajiem argumentiem.</w:t>
      </w:r>
    </w:p>
    <w:p w14:paraId="30BDCEDB" w14:textId="1EE4C9BF" w:rsidR="00D07D55" w:rsidRPr="00C72425" w:rsidRDefault="00D07D55" w:rsidP="00333256">
      <w:pPr>
        <w:spacing w:line="276" w:lineRule="auto"/>
        <w:ind w:firstLine="567"/>
        <w:jc w:val="both"/>
      </w:pPr>
      <w:r w:rsidRPr="00C72425">
        <w:t>[3.1] Tiesa nepamatoti ir izdarījusi secinājumu, ka pieteicējs bija SIA</w:t>
      </w:r>
      <w:r w:rsidR="006943D6">
        <w:t> „</w:t>
      </w:r>
      <w:r w:rsidR="00403C7A">
        <w:t>[Nosaukums A]</w:t>
      </w:r>
      <w:r w:rsidRPr="00C72425">
        <w:t>” amatpersona pēc 2014.gada 20.oktobra, kad tika atcelts no valdes locekļa amata.</w:t>
      </w:r>
    </w:p>
    <w:p w14:paraId="486E2B23" w14:textId="644ABB81" w:rsidR="00D07D55" w:rsidRPr="00C72425" w:rsidRDefault="00D07D55" w:rsidP="00333256">
      <w:pPr>
        <w:spacing w:line="276" w:lineRule="auto"/>
        <w:ind w:firstLine="567"/>
        <w:jc w:val="both"/>
      </w:pPr>
      <w:r w:rsidRPr="00C72425">
        <w:t>[3.2] Tiesa, uzņemoties rokraksta eksperta pienākumus un paužot šaubas pa</w:t>
      </w:r>
      <w:r w:rsidR="006943D6">
        <w:t>r</w:t>
      </w:r>
      <w:r w:rsidRPr="00C72425">
        <w:t xml:space="preserve"> SIA</w:t>
      </w:r>
      <w:r w:rsidR="006943D6">
        <w:t> „</w:t>
      </w:r>
      <w:r w:rsidR="00403C7A">
        <w:t>[Nosaukums A]</w:t>
      </w:r>
      <w:r w:rsidRPr="00C72425">
        <w:t xml:space="preserve">” </w:t>
      </w:r>
      <w:r w:rsidR="008035F1" w:rsidRPr="00C72425">
        <w:t>dalībnieka paraksta īstumu</w:t>
      </w:r>
      <w:r w:rsidR="006943D6">
        <w:t>,</w:t>
      </w:r>
      <w:r w:rsidRPr="00C72425">
        <w:t xml:space="preserve"> </w:t>
      </w:r>
      <w:r w:rsidR="006943D6" w:rsidRPr="00C72425">
        <w:t>ir pārkāpusi savas kompetences robežas</w:t>
      </w:r>
      <w:r w:rsidR="006943D6">
        <w:t>.</w:t>
      </w:r>
    </w:p>
    <w:p w14:paraId="1431B7EF" w14:textId="77777777" w:rsidR="00E830A6" w:rsidRPr="00C72425" w:rsidRDefault="00E830A6" w:rsidP="00E830A6">
      <w:pPr>
        <w:spacing w:line="276" w:lineRule="auto"/>
        <w:jc w:val="both"/>
      </w:pPr>
    </w:p>
    <w:p w14:paraId="526A0A77" w14:textId="77777777" w:rsidR="00E830A6" w:rsidRPr="00C72425" w:rsidRDefault="00E830A6" w:rsidP="00E830A6">
      <w:pPr>
        <w:spacing w:line="276" w:lineRule="auto"/>
        <w:jc w:val="center"/>
        <w:rPr>
          <w:b/>
        </w:rPr>
      </w:pPr>
      <w:r w:rsidRPr="00C72425">
        <w:rPr>
          <w:b/>
        </w:rPr>
        <w:t>Motīvu daļa</w:t>
      </w:r>
    </w:p>
    <w:p w14:paraId="49204B60" w14:textId="77777777" w:rsidR="00E830A6" w:rsidRPr="00C72425" w:rsidRDefault="00E830A6" w:rsidP="003F5024">
      <w:pPr>
        <w:spacing w:line="276" w:lineRule="auto"/>
        <w:rPr>
          <w:b/>
        </w:rPr>
      </w:pPr>
    </w:p>
    <w:p w14:paraId="7E1FE7C2" w14:textId="0149F859" w:rsidR="008035F1" w:rsidRPr="00C72425" w:rsidRDefault="00F27B91" w:rsidP="000939B0">
      <w:pPr>
        <w:spacing w:line="276" w:lineRule="auto"/>
        <w:ind w:firstLine="567"/>
        <w:jc w:val="both"/>
      </w:pPr>
      <w:r w:rsidRPr="00C72425">
        <w:t>[</w:t>
      </w:r>
      <w:r w:rsidR="00AE09BA" w:rsidRPr="00C72425">
        <w:t>4</w:t>
      </w:r>
      <w:r w:rsidR="00F5283D" w:rsidRPr="00C72425">
        <w:t xml:space="preserve">] </w:t>
      </w:r>
      <w:r w:rsidR="00AE09BA" w:rsidRPr="00C72425">
        <w:t xml:space="preserve">Saskaņā ar </w:t>
      </w:r>
      <w:bookmarkStart w:id="0" w:name="_Hlk40167522"/>
      <w:r w:rsidR="00AE09BA" w:rsidRPr="00C72425">
        <w:t xml:space="preserve">likuma </w:t>
      </w:r>
      <w:r w:rsidR="006943D6">
        <w:t>„</w:t>
      </w:r>
      <w:r w:rsidR="00AE09BA" w:rsidRPr="00C72425">
        <w:t xml:space="preserve">Par nodokļiem un nodevām” 1.panta 31.punkta ,,c” apakšpunktu </w:t>
      </w:r>
      <w:bookmarkEnd w:id="0"/>
      <w:r w:rsidR="00AE09BA" w:rsidRPr="00C72425">
        <w:t>riska persona</w:t>
      </w:r>
      <w:r w:rsidR="008035F1" w:rsidRPr="00C72425">
        <w:t xml:space="preserve"> ir vai ir bijusi amatpersona komercsabiedrībā un </w:t>
      </w:r>
      <w:r w:rsidR="008035F1" w:rsidRPr="003F5024">
        <w:rPr>
          <w:i/>
        </w:rPr>
        <w:t>tās amata pienākumu pildīšanas laikā</w:t>
      </w:r>
      <w:r w:rsidR="008035F1" w:rsidRPr="00C72425">
        <w:rPr>
          <w:b/>
        </w:rPr>
        <w:t xml:space="preserve"> </w:t>
      </w:r>
      <w:r w:rsidR="008035F1" w:rsidRPr="00C72425">
        <w:t>ir iestājušies apstākļi, kas bija par pamatu komercsabiedrības saimnieciskās darbības apturēšanai, un no dienas, kad Valsts ieņēmumu dienests ir pieņēmis lēmumu par komercsabiedrības saimnieciskās darbības apturēšanu, nav pagājuši divi gadi</w:t>
      </w:r>
      <w:r w:rsidR="00AE09BA" w:rsidRPr="00C72425">
        <w:t>.</w:t>
      </w:r>
    </w:p>
    <w:p w14:paraId="02E40461" w14:textId="77777777" w:rsidR="00CE0305" w:rsidRPr="00C72425" w:rsidRDefault="00CE0305" w:rsidP="003F5024">
      <w:pPr>
        <w:spacing w:line="276" w:lineRule="auto"/>
        <w:jc w:val="both"/>
      </w:pPr>
    </w:p>
    <w:p w14:paraId="0088B225" w14:textId="2D14A44F" w:rsidR="00CE0305" w:rsidRPr="00C72425" w:rsidRDefault="00CE0305" w:rsidP="000939B0">
      <w:pPr>
        <w:spacing w:line="276" w:lineRule="auto"/>
        <w:ind w:firstLine="567"/>
        <w:jc w:val="both"/>
      </w:pPr>
      <w:r w:rsidRPr="00C72425">
        <w:t>[5] Lietā ir strīds</w:t>
      </w:r>
      <w:r w:rsidR="006943D6">
        <w:t xml:space="preserve"> par to,</w:t>
      </w:r>
      <w:r w:rsidRPr="00C72425">
        <w:t xml:space="preserve"> vai pieteicējs bija amatpersona, kuras amata pienākumu pildīšanas laikā bija iestājušies apstākļi, kas bija par pamatu komercsabiedrības saimnieciskās darbības apturēšanai.</w:t>
      </w:r>
    </w:p>
    <w:p w14:paraId="35950E51" w14:textId="77777777" w:rsidR="007E5DC3" w:rsidRPr="00C72425" w:rsidRDefault="007E5DC3" w:rsidP="003F5024">
      <w:pPr>
        <w:spacing w:line="276" w:lineRule="auto"/>
        <w:jc w:val="both"/>
      </w:pPr>
    </w:p>
    <w:p w14:paraId="3422B207" w14:textId="5300E003" w:rsidR="007E5DC3" w:rsidRPr="00C72425" w:rsidRDefault="007E5DC3" w:rsidP="00987277">
      <w:pPr>
        <w:spacing w:line="276" w:lineRule="auto"/>
        <w:ind w:firstLine="567"/>
        <w:jc w:val="both"/>
      </w:pPr>
      <w:r w:rsidRPr="00C72425">
        <w:t xml:space="preserve">[6] </w:t>
      </w:r>
      <w:r w:rsidR="00987277" w:rsidRPr="00C72425">
        <w:t>Izskatāmajā lietā apgabaltiesa</w:t>
      </w:r>
      <w:r w:rsidR="000F78EB">
        <w:t>s</w:t>
      </w:r>
      <w:r w:rsidR="00987277" w:rsidRPr="00C72425">
        <w:t xml:space="preserve"> uzskat</w:t>
      </w:r>
      <w:r w:rsidR="000F78EB">
        <w:t>s</w:t>
      </w:r>
      <w:r w:rsidR="00987277" w:rsidRPr="00C72425">
        <w:t>, ka pieteicēja kā komercsabiedrības amatpersonas</w:t>
      </w:r>
      <w:r w:rsidR="00564856" w:rsidRPr="00C72425">
        <w:t xml:space="preserve"> pilnvaras izbeidzās ar brīdi, kad komercreģistrā ir izdarītas attiecīgas izmaiņas, ir pretrunā ar Senāta atziņām līdzīgās lietās, kur Senāts ir tulkojis Komerclikuma tiesību normas.</w:t>
      </w:r>
    </w:p>
    <w:p w14:paraId="4022B482" w14:textId="00831356" w:rsidR="00F3411F" w:rsidRDefault="00564856" w:rsidP="00987277">
      <w:pPr>
        <w:spacing w:line="276" w:lineRule="auto"/>
        <w:ind w:firstLine="567"/>
        <w:jc w:val="both"/>
      </w:pPr>
      <w:r w:rsidRPr="00C72425">
        <w:t xml:space="preserve">Senāts ir norādījis, ka Komerclikuma 224.pants, kas nosaka valdes locekļu ievēlēšanu un atsaukšanu, neparedz, ka valdes loceklis savu statusu iegūst tikai ar brīdi, kad komercreģistrā izdarīts attiecīgs ieraksts. Saistībā ar valdes locekļu iecelšanu minētā panta pirmā daļa tikai noteic, ka valdes locekļus ievēlē un atsauc dalībnieku sapulce ar savu lēmumu. </w:t>
      </w:r>
      <w:r w:rsidR="00711B7D" w:rsidRPr="00C72425">
        <w:t>Komerclikums nenoteic, ka valdes</w:t>
      </w:r>
      <w:r w:rsidR="00711B7D">
        <w:t xml:space="preserve"> </w:t>
      </w:r>
      <w:r w:rsidR="00711B7D" w:rsidRPr="00C72425">
        <w:t xml:space="preserve">loceklis savu statusu iegūst ar ieraksta izdarīšanu komercreģistrā. </w:t>
      </w:r>
      <w:r w:rsidR="00A37C4D" w:rsidRPr="00C72425">
        <w:t>Tāpēc valdes loceklis savu statusu iegūst ar tā ievēlēšanu, nevis attiecīga ieraksta izdarīšanas brīdi komercreģistrā</w:t>
      </w:r>
      <w:r w:rsidR="006943D6">
        <w:t>.</w:t>
      </w:r>
      <w:r w:rsidRPr="00C72425">
        <w:t xml:space="preserve"> Attiecīgi ierakstam komercreģistrā ir tikai deklaratīva, nevis konstitutīva nozīme, proti, mērķis šo ziņu iekļaušanai komercreģistrā ir aizsargāt patērētāju un citu trešo personu, piemēram, komersanta darījumu partneru tiesības un intereses, nevis nodibināt </w:t>
      </w:r>
      <w:r w:rsidRPr="00C72425">
        <w:lastRenderedPageBreak/>
        <w:t>komercsabiedrības valdes locekļa statusu</w:t>
      </w:r>
      <w:r w:rsidR="00AB0404" w:rsidRPr="00C72425">
        <w:t xml:space="preserve"> </w:t>
      </w:r>
      <w:r w:rsidR="00AB0404" w:rsidRPr="003F5024">
        <w:t>(piemēram,</w:t>
      </w:r>
      <w:r w:rsidR="00AB0404" w:rsidRPr="00711B7D">
        <w:rPr>
          <w:i/>
        </w:rPr>
        <w:t xml:space="preserve"> </w:t>
      </w:r>
      <w:r w:rsidR="00AB0404" w:rsidRPr="00C72425">
        <w:rPr>
          <w:i/>
        </w:rPr>
        <w:t>Senāta 2008.gada 30.septembra lēmuma lietā Nr.</w:t>
      </w:r>
      <w:r w:rsidR="00711B7D">
        <w:rPr>
          <w:i/>
        </w:rPr>
        <w:t> </w:t>
      </w:r>
      <w:r w:rsidR="00AB0404" w:rsidRPr="00C72425">
        <w:rPr>
          <w:i/>
        </w:rPr>
        <w:t>SKA-741/2008 (A42333605) 11.punkts, 2011.gada 24.janvāra sprieduma lietā Nr.</w:t>
      </w:r>
      <w:r w:rsidR="00711B7D">
        <w:rPr>
          <w:i/>
        </w:rPr>
        <w:t> </w:t>
      </w:r>
      <w:r w:rsidR="00AB0404" w:rsidRPr="00C72425">
        <w:rPr>
          <w:i/>
        </w:rPr>
        <w:t>SKA</w:t>
      </w:r>
      <w:r w:rsidR="00711B7D">
        <w:rPr>
          <w:i/>
        </w:rPr>
        <w:noBreakHyphen/>
      </w:r>
      <w:r w:rsidR="00AB0404" w:rsidRPr="00C72425">
        <w:rPr>
          <w:i/>
        </w:rPr>
        <w:t>122/2011 (A42778708) 9.punkts,</w:t>
      </w:r>
      <w:r w:rsidR="00AB0404" w:rsidRPr="00C72425">
        <w:t xml:space="preserve"> </w:t>
      </w:r>
      <w:r w:rsidR="00AB0404" w:rsidRPr="00C72425">
        <w:rPr>
          <w:i/>
        </w:rPr>
        <w:t>2019.gada 9.maij</w:t>
      </w:r>
      <w:r w:rsidR="00711B7D">
        <w:rPr>
          <w:i/>
        </w:rPr>
        <w:t>a rīcības sēdes</w:t>
      </w:r>
      <w:r w:rsidR="00AB0404" w:rsidRPr="00C72425">
        <w:rPr>
          <w:i/>
        </w:rPr>
        <w:t xml:space="preserve"> lēmuma lietā </w:t>
      </w:r>
      <w:r w:rsidR="00711B7D">
        <w:rPr>
          <w:i/>
        </w:rPr>
        <w:t>Nr. </w:t>
      </w:r>
      <w:r w:rsidR="00AB0404" w:rsidRPr="00C72425">
        <w:rPr>
          <w:i/>
        </w:rPr>
        <w:t>SKA</w:t>
      </w:r>
      <w:r w:rsidR="00711B7D">
        <w:rPr>
          <w:i/>
        </w:rPr>
        <w:noBreakHyphen/>
      </w:r>
      <w:r w:rsidR="00AB0404" w:rsidRPr="00C72425">
        <w:rPr>
          <w:i/>
        </w:rPr>
        <w:t>941/2019</w:t>
      </w:r>
      <w:r w:rsidR="00711B7D">
        <w:rPr>
          <w:i/>
        </w:rPr>
        <w:t xml:space="preserve"> (</w:t>
      </w:r>
      <w:r w:rsidR="00711B7D" w:rsidRPr="003F5024">
        <w:rPr>
          <w:i/>
        </w:rPr>
        <w:t>ECLI:LV:AT:2019:0509.A420233117.9.L)</w:t>
      </w:r>
      <w:r w:rsidR="00AB0404" w:rsidRPr="00C72425">
        <w:rPr>
          <w:i/>
        </w:rPr>
        <w:t xml:space="preserve"> 5.punkts</w:t>
      </w:r>
      <w:r w:rsidR="00AB0404" w:rsidRPr="003F5024">
        <w:t>).</w:t>
      </w:r>
      <w:r w:rsidR="00711B7D">
        <w:t xml:space="preserve"> </w:t>
      </w:r>
      <w:r w:rsidR="00B27E1A">
        <w:t>Tas</w:t>
      </w:r>
      <w:r w:rsidR="00AB0404" w:rsidRPr="00C72425">
        <w:t>,</w:t>
      </w:r>
      <w:r w:rsidR="00711B7D">
        <w:t xml:space="preserve"> ka</w:t>
      </w:r>
      <w:r w:rsidR="00AB0404" w:rsidRPr="00C72425">
        <w:t xml:space="preserve"> attiecīgajiem ierakstiem ir deklaratīvs raksturs</w:t>
      </w:r>
      <w:r w:rsidR="00B27E1A">
        <w:t>,</w:t>
      </w:r>
      <w:r w:rsidR="00B27E1A" w:rsidRPr="00B27E1A">
        <w:t xml:space="preserve"> </w:t>
      </w:r>
      <w:r w:rsidR="00B27E1A">
        <w:t>ir atzīts arī tiesību</w:t>
      </w:r>
      <w:r w:rsidR="00B27E1A" w:rsidRPr="00C72425">
        <w:t xml:space="preserve"> doktrīnā</w:t>
      </w:r>
      <w:r w:rsidR="00B27E1A">
        <w:t xml:space="preserve"> </w:t>
      </w:r>
      <w:r w:rsidR="00AB0404" w:rsidRPr="003F5024">
        <w:t>(</w:t>
      </w:r>
      <w:r w:rsidR="00AB0404" w:rsidRPr="00C72425">
        <w:rPr>
          <w:i/>
        </w:rPr>
        <w:t>Čakste K. Tirdzniecības tiesības. Rīga, [b.i], 1940, 41.lpp</w:t>
      </w:r>
      <w:r w:rsidR="00711B7D">
        <w:rPr>
          <w:i/>
        </w:rPr>
        <w:t>.</w:t>
      </w:r>
      <w:r w:rsidR="00CB6C69" w:rsidRPr="00CB6C69">
        <w:t>)</w:t>
      </w:r>
      <w:r w:rsidR="00CB6C69">
        <w:t xml:space="preserve"> </w:t>
      </w:r>
      <w:r w:rsidR="00CB6C69" w:rsidRPr="00CB6C69">
        <w:t>(</w:t>
      </w:r>
      <w:r w:rsidR="00AB0404" w:rsidRPr="003F5024">
        <w:t>sal.</w:t>
      </w:r>
      <w:r w:rsidR="00AB0404" w:rsidRPr="00C72425">
        <w:rPr>
          <w:i/>
        </w:rPr>
        <w:t xml:space="preserve"> </w:t>
      </w:r>
      <w:r w:rsidR="00711B7D">
        <w:rPr>
          <w:i/>
        </w:rPr>
        <w:t>Senāta</w:t>
      </w:r>
      <w:r w:rsidR="007F0621" w:rsidRPr="00C72425">
        <w:rPr>
          <w:i/>
        </w:rPr>
        <w:t xml:space="preserve"> 2017.gada 30.maija spriedum</w:t>
      </w:r>
      <w:r w:rsidR="00711B7D">
        <w:rPr>
          <w:i/>
        </w:rPr>
        <w:t>a</w:t>
      </w:r>
      <w:r w:rsidR="007F0621" w:rsidRPr="00C72425">
        <w:rPr>
          <w:i/>
        </w:rPr>
        <w:t xml:space="preserve"> </w:t>
      </w:r>
      <w:r w:rsidR="00AB0404" w:rsidRPr="00C72425">
        <w:rPr>
          <w:i/>
        </w:rPr>
        <w:t>lietā Nr.</w:t>
      </w:r>
      <w:r w:rsidR="00711B7D">
        <w:rPr>
          <w:i/>
        </w:rPr>
        <w:t> </w:t>
      </w:r>
      <w:r w:rsidR="007F0621" w:rsidRPr="00C72425">
        <w:rPr>
          <w:i/>
        </w:rPr>
        <w:t>SKA</w:t>
      </w:r>
      <w:r w:rsidR="00711B7D">
        <w:rPr>
          <w:i/>
        </w:rPr>
        <w:noBreakHyphen/>
      </w:r>
      <w:r w:rsidR="007F0621" w:rsidRPr="00C72425">
        <w:rPr>
          <w:i/>
        </w:rPr>
        <w:t>67/2017</w:t>
      </w:r>
      <w:r w:rsidR="00B27E1A">
        <w:rPr>
          <w:i/>
        </w:rPr>
        <w:t xml:space="preserve"> (</w:t>
      </w:r>
      <w:r w:rsidR="00B27E1A" w:rsidRPr="003F5024">
        <w:rPr>
          <w:i/>
        </w:rPr>
        <w:t>A420459812)</w:t>
      </w:r>
      <w:r w:rsidR="007F0621" w:rsidRPr="00C72425">
        <w:rPr>
          <w:i/>
        </w:rPr>
        <w:t xml:space="preserve"> 15.punkts</w:t>
      </w:r>
      <w:r w:rsidR="007F0621" w:rsidRPr="003F5024">
        <w:t>).</w:t>
      </w:r>
      <w:r w:rsidR="00C0032B">
        <w:t xml:space="preserve"> </w:t>
      </w:r>
      <w:r w:rsidR="00A37C4D" w:rsidRPr="00C72425">
        <w:t>Neskatoties uz to, ka minētajās lietās ir analizēti gadījumi par komercsabiedrības amatperson</w:t>
      </w:r>
      <w:r w:rsidR="00B27E1A">
        <w:t>as</w:t>
      </w:r>
      <w:r w:rsidR="00A37C4D" w:rsidRPr="00C72425">
        <w:t xml:space="preserve"> statusa iegūšanu, atziņa, ka amatpersona savu statusu zaudē </w:t>
      </w:r>
      <w:r w:rsidR="00C115F9" w:rsidRPr="00C72425">
        <w:t>ne ar ieraksta izdarīšan</w:t>
      </w:r>
      <w:r w:rsidR="005E62DE" w:rsidRPr="00C72425">
        <w:t>as brīdi</w:t>
      </w:r>
      <w:r w:rsidR="00C115F9" w:rsidRPr="00C72425">
        <w:t xml:space="preserve"> komercreģistrā, kam ir deklaratīvs raksturs</w:t>
      </w:r>
      <w:r w:rsidR="00B27E1A">
        <w:t xml:space="preserve"> ar mērķi </w:t>
      </w:r>
      <w:r w:rsidR="00C115F9" w:rsidRPr="00C72425">
        <w:t>aizsargā</w:t>
      </w:r>
      <w:r w:rsidR="00B27E1A">
        <w:t>t</w:t>
      </w:r>
      <w:r w:rsidR="00C115F9" w:rsidRPr="00C72425">
        <w:t xml:space="preserve"> citu trešo personu intereses, bet gan ar attiecīg</w:t>
      </w:r>
      <w:r w:rsidR="008D1F8A">
        <w:t>a</w:t>
      </w:r>
      <w:r w:rsidR="00C115F9" w:rsidRPr="00C72425">
        <w:t xml:space="preserve"> dalībnieka lēmum</w:t>
      </w:r>
      <w:r w:rsidR="005E62DE" w:rsidRPr="00C72425">
        <w:t>a pieņemšanu</w:t>
      </w:r>
      <w:r w:rsidR="00C115F9" w:rsidRPr="00C72425">
        <w:t xml:space="preserve">, izriet no </w:t>
      </w:r>
      <w:r w:rsidR="00F3411F" w:rsidRPr="00C72425">
        <w:t xml:space="preserve">jau minētās </w:t>
      </w:r>
      <w:r w:rsidR="00C115F9" w:rsidRPr="00C72425">
        <w:t>Senāta judikatūras</w:t>
      </w:r>
      <w:r w:rsidR="00944DE3" w:rsidRPr="00C72425">
        <w:t xml:space="preserve"> un </w:t>
      </w:r>
      <w:r w:rsidR="00B27E1A">
        <w:t xml:space="preserve">ir </w:t>
      </w:r>
      <w:r w:rsidR="00944DE3" w:rsidRPr="00C72425">
        <w:t xml:space="preserve">piemērojama </w:t>
      </w:r>
      <w:r w:rsidR="00584A81">
        <w:t xml:space="preserve">arī </w:t>
      </w:r>
      <w:r w:rsidR="00944DE3" w:rsidRPr="00C72425">
        <w:t>izskatāmajā lietā</w:t>
      </w:r>
      <w:r w:rsidR="00C115F9" w:rsidRPr="00C72425">
        <w:t>.</w:t>
      </w:r>
    </w:p>
    <w:p w14:paraId="7A89C157" w14:textId="5FB776A6" w:rsidR="00A51C86" w:rsidRDefault="00A51C86" w:rsidP="00A51C86">
      <w:pPr>
        <w:spacing w:line="276" w:lineRule="auto"/>
        <w:ind w:firstLine="567"/>
        <w:jc w:val="both"/>
      </w:pPr>
      <w:r>
        <w:t xml:space="preserve">Līdz ar to nav pamatots apgabaltiesas spriedumā norādītais, ka lietā nav strīda par to, ka pieteicējs līdz 2014.gada </w:t>
      </w:r>
      <w:r w:rsidR="00B60DBB">
        <w:t>2</w:t>
      </w:r>
      <w:r>
        <w:t xml:space="preserve">0.oktobrim bija SIA </w:t>
      </w:r>
      <w:r w:rsidR="00C0032B">
        <w:t>„</w:t>
      </w:r>
      <w:r w:rsidR="00403C7A">
        <w:t>[Nosaukums A]</w:t>
      </w:r>
      <w:r>
        <w:t>” amatpersona.</w:t>
      </w:r>
    </w:p>
    <w:p w14:paraId="22A538A5" w14:textId="7DF06F2F" w:rsidR="004E638D" w:rsidRDefault="00C270C3" w:rsidP="00A51C86">
      <w:pPr>
        <w:spacing w:line="276" w:lineRule="auto"/>
        <w:ind w:firstLine="567"/>
        <w:jc w:val="both"/>
      </w:pPr>
      <w:r>
        <w:t xml:space="preserve">Tajā pašā laikā, piemērojot </w:t>
      </w:r>
      <w:r w:rsidRPr="00C72425">
        <w:t xml:space="preserve">likuma </w:t>
      </w:r>
      <w:r>
        <w:t>„</w:t>
      </w:r>
      <w:r w:rsidRPr="00C72425">
        <w:t xml:space="preserve">Par nodokļiem un </w:t>
      </w:r>
      <w:r w:rsidR="00CB6C69">
        <w:t>nodevām” 1.panta 31.punkta ,,c” </w:t>
      </w:r>
      <w:r w:rsidRPr="00C72425">
        <w:t>apakšpunktu</w:t>
      </w:r>
      <w:r>
        <w:t>, ir būtiski noskaidrot</w:t>
      </w:r>
      <w:r w:rsidR="004E638D">
        <w:t xml:space="preserve"> ne tikai </w:t>
      </w:r>
      <w:r w:rsidR="00EE50C8">
        <w:t xml:space="preserve">formālo </w:t>
      </w:r>
      <w:r w:rsidR="004E638D">
        <w:t xml:space="preserve">brīdi, līdz kuram amatpersona ir pildījusi savus amata pienākumus, bet arī to, vai amata pienākumu pildīšanas pārtraukšanas nolūks nav </w:t>
      </w:r>
      <w:r w:rsidR="004F44A9">
        <w:t xml:space="preserve">saistīts ar vēlmi </w:t>
      </w:r>
      <w:r w:rsidR="004E638D">
        <w:t xml:space="preserve">izvairīties no </w:t>
      </w:r>
      <w:r w:rsidR="004F44A9">
        <w:t>pienākumu pildīšanas un/vai no atbildības par šo pienākumu nepildīšanu</w:t>
      </w:r>
      <w:r w:rsidR="0067489E">
        <w:t>, kas noskaidrojams, visaptveroši un savstarpējā kopsakarā novērtējot visus lietas apstākļus</w:t>
      </w:r>
      <w:r w:rsidR="004F44A9">
        <w:t xml:space="preserve">. </w:t>
      </w:r>
      <w:r w:rsidR="00EE50C8">
        <w:t>Pretējā gadījumā situācijās, kad no konkrētu nodokļu likumos noteiktu pienākumu pildīšanas ir iespējams izvairīties, pārtraucot amatpersonas amata pienākumu pildīšanu, iepriekš minēto normu nebūtu iespējams piemērot, lai gan pēc būtības tā būtu piemērojama.</w:t>
      </w:r>
    </w:p>
    <w:p w14:paraId="0BE65237" w14:textId="77777777" w:rsidR="00CB6C69" w:rsidRDefault="00CB6C69" w:rsidP="00584A81">
      <w:pPr>
        <w:spacing w:line="276" w:lineRule="auto"/>
        <w:ind w:firstLine="567"/>
        <w:jc w:val="both"/>
      </w:pPr>
    </w:p>
    <w:p w14:paraId="3D27F4C4" w14:textId="3E94111D" w:rsidR="00584A81" w:rsidRDefault="00584A81" w:rsidP="00584A81">
      <w:pPr>
        <w:spacing w:line="276" w:lineRule="auto"/>
        <w:ind w:firstLine="567"/>
        <w:jc w:val="both"/>
      </w:pPr>
      <w:r>
        <w:t>[7] Apgabaltiesa ir piekritusi Valsts ieņēmumu dienesta viedoklim, ka pieteicējs ir veicis darbības, lai izbeigtu savas pārstāvības tiesības komercsabiedrībā nolūkā izvairīties no atbildības un iespējamām tiesiskām sekām. Savus secinājumus apgabaltiesa ir pamatojusi ar to, ka SIA</w:t>
      </w:r>
      <w:r w:rsidR="00C0032B">
        <w:t> „</w:t>
      </w:r>
      <w:r w:rsidR="00403C7A">
        <w:t>[Nosaukums A]</w:t>
      </w:r>
      <w:r>
        <w:t>” vienīgā dalībnieka lēmums par pieteicēja atcelšanu no sabiedrības amatpersonas amata</w:t>
      </w:r>
      <w:r w:rsidR="00873EAA">
        <w:t>, kas</w:t>
      </w:r>
      <w:r>
        <w:t xml:space="preserve"> pieņemts 2014.gada 20.oktobrī, ta</w:t>
      </w:r>
      <w:r w:rsidR="00C7148E">
        <w:t>jā</w:t>
      </w:r>
      <w:r>
        <w:t xml:space="preserve"> pašā dienā parakstot </w:t>
      </w:r>
      <w:r w:rsidR="00873EAA">
        <w:t xml:space="preserve">arī </w:t>
      </w:r>
      <w:r>
        <w:t>pieņemšanas</w:t>
      </w:r>
      <w:r w:rsidR="00C0032B">
        <w:t>–</w:t>
      </w:r>
      <w:r>
        <w:t>nodošanas aktu, izpildīts tikai</w:t>
      </w:r>
      <w:r w:rsidR="009B5BD5">
        <w:t xml:space="preserve"> </w:t>
      </w:r>
      <w:r>
        <w:t>27.oktobrī, kad pieteicējs vērsās ar pieteikumu</w:t>
      </w:r>
      <w:r w:rsidR="009B5BD5">
        <w:t xml:space="preserve"> </w:t>
      </w:r>
      <w:r>
        <w:t>par izmaiņām komercreģistrā</w:t>
      </w:r>
      <w:r w:rsidR="009B5BD5">
        <w:t>.</w:t>
      </w:r>
    </w:p>
    <w:p w14:paraId="4CFAC020" w14:textId="210524F7" w:rsidR="0045704D" w:rsidRDefault="0045704D" w:rsidP="00584A81">
      <w:pPr>
        <w:spacing w:line="276" w:lineRule="auto"/>
        <w:ind w:firstLine="567"/>
        <w:jc w:val="both"/>
      </w:pPr>
      <w:r>
        <w:t>Kā tas ir secināms no sprieduma 6.punktā norādītā</w:t>
      </w:r>
      <w:r w:rsidR="00873EAA">
        <w:t>,</w:t>
      </w:r>
      <w:r>
        <w:t xml:space="preserve"> </w:t>
      </w:r>
      <w:r w:rsidRPr="0045704D">
        <w:t xml:space="preserve">valdes loceklis savu statusu </w:t>
      </w:r>
      <w:r>
        <w:t>zaudē</w:t>
      </w:r>
      <w:r w:rsidRPr="0045704D">
        <w:t xml:space="preserve"> ar tā </w:t>
      </w:r>
      <w:r>
        <w:t>atcelšanu no amata</w:t>
      </w:r>
      <w:r w:rsidRPr="0045704D">
        <w:t xml:space="preserve">, nevis </w:t>
      </w:r>
      <w:r w:rsidR="00873EAA">
        <w:t xml:space="preserve">ar </w:t>
      </w:r>
      <w:r w:rsidRPr="0045704D">
        <w:t>attiecīga ieraksta izdarīšanas brīdi komercreģistrā.</w:t>
      </w:r>
      <w:r w:rsidR="00A51C86">
        <w:t xml:space="preserve"> Tātad</w:t>
      </w:r>
      <w:r w:rsidR="00873EAA">
        <w:t xml:space="preserve"> </w:t>
      </w:r>
      <w:r w:rsidR="00A51C86">
        <w:t>lēmuma par pieteicēja atbrīvošanu no amata reģistrācija</w:t>
      </w:r>
      <w:r w:rsidR="002C1B50">
        <w:t>i komercreģistrā nav izšķirošas nozīmes, ja</w:t>
      </w:r>
      <w:r w:rsidR="00873EAA">
        <w:t xml:space="preserve"> vien</w:t>
      </w:r>
      <w:r w:rsidR="002C1B50">
        <w:t xml:space="preserve"> tas nav saistīts ar citiem pierādījumiem, kas varētu liecināt, ka persona apzināti veic tādas darbības, lai izvairītos no atbildības.</w:t>
      </w:r>
      <w:r w:rsidR="009C31E0" w:rsidRPr="009C31E0">
        <w:t xml:space="preserve"> Minēto apgabaltiesas argumentu Senāts atzīst par </w:t>
      </w:r>
      <w:r w:rsidR="00B60DBB">
        <w:t>ne</w:t>
      </w:r>
      <w:r w:rsidR="009C31E0" w:rsidRPr="009C31E0">
        <w:t>pietiekamu, lai secinātu, ka pieteicējs ir veicis darbības</w:t>
      </w:r>
      <w:r w:rsidR="00B60DBB">
        <w:t xml:space="preserve"> nolūkā</w:t>
      </w:r>
      <w:r w:rsidR="009C31E0" w:rsidRPr="009C31E0">
        <w:t xml:space="preserve"> izvairīt</w:t>
      </w:r>
      <w:r w:rsidR="00B60DBB">
        <w:t>ie</w:t>
      </w:r>
      <w:r w:rsidR="009C31E0" w:rsidRPr="009C31E0">
        <w:t>s no atbildības un iespējamām tiesiskām sekām.</w:t>
      </w:r>
      <w:r w:rsidR="002440B8">
        <w:t xml:space="preserve"> </w:t>
      </w:r>
    </w:p>
    <w:p w14:paraId="74712B9C" w14:textId="23F4FE36" w:rsidR="00801DF5" w:rsidRDefault="00584A81" w:rsidP="002C1B50">
      <w:pPr>
        <w:spacing w:line="276" w:lineRule="auto"/>
        <w:ind w:firstLine="567"/>
        <w:jc w:val="both"/>
      </w:pPr>
      <w:r>
        <w:t>Apgabaltiesa</w:t>
      </w:r>
      <w:r w:rsidR="002C1B50">
        <w:t>s spriedumā norādīts, ka tā</w:t>
      </w:r>
      <w:r>
        <w:t xml:space="preserve"> nepiešķir ticamību</w:t>
      </w:r>
      <w:r w:rsidR="002C1B50">
        <w:t xml:space="preserve"> </w:t>
      </w:r>
      <w:r>
        <w:t>pieteicēja iesniegtajiem dokumentiem</w:t>
      </w:r>
      <w:r w:rsidR="002C1B50">
        <w:t>.</w:t>
      </w:r>
      <w:r>
        <w:t xml:space="preserve"> </w:t>
      </w:r>
      <w:r w:rsidR="002C1B50">
        <w:t>Apgabaltiesa ir ņēmusi vērā to, ka SIA</w:t>
      </w:r>
      <w:r w:rsidR="00B60DBB">
        <w:t> </w:t>
      </w:r>
      <w:r w:rsidR="00873EAA">
        <w:t>„</w:t>
      </w:r>
      <w:r w:rsidR="00403C7A">
        <w:t>[Nosaukums A]</w:t>
      </w:r>
      <w:r w:rsidR="002C1B50">
        <w:t>” vienīgā dalībnieka vārdā</w:t>
      </w:r>
      <w:r w:rsidR="007A2AAE">
        <w:t xml:space="preserve"> </w:t>
      </w:r>
      <w:r w:rsidR="002C1B50">
        <w:t>parakstītajā lēmumā un dokumentu pieņemšanas</w:t>
      </w:r>
      <w:r w:rsidR="00873EAA">
        <w:t>–</w:t>
      </w:r>
      <w:r w:rsidR="002C1B50">
        <w:t>nodošanas aktā acīmredzami nesakrīt dalībnieka</w:t>
      </w:r>
      <w:r w:rsidR="007A2AAE">
        <w:t xml:space="preserve"> </w:t>
      </w:r>
      <w:r w:rsidR="002C1B50">
        <w:t xml:space="preserve">amatpersonas </w:t>
      </w:r>
      <w:r w:rsidR="00403C7A">
        <w:t>[pers. B]</w:t>
      </w:r>
      <w:r w:rsidR="002C1B50">
        <w:t xml:space="preserve"> paraksts ar </w:t>
      </w:r>
      <w:r w:rsidR="00873EAA">
        <w:t xml:space="preserve">to </w:t>
      </w:r>
      <w:r w:rsidR="002C1B50">
        <w:t>parakstu,</w:t>
      </w:r>
      <w:r w:rsidR="007A2AAE">
        <w:t xml:space="preserve"> </w:t>
      </w:r>
      <w:r w:rsidR="002C1B50">
        <w:t>kas zvērināta notāra klātbūtnē izdarīts uz</w:t>
      </w:r>
      <w:r w:rsidR="007A2AAE">
        <w:t xml:space="preserve"> </w:t>
      </w:r>
      <w:r w:rsidR="002C1B50">
        <w:t xml:space="preserve">pieteikuma, </w:t>
      </w:r>
      <w:r w:rsidR="00403C7A">
        <w:t>[pers. B]</w:t>
      </w:r>
      <w:r w:rsidR="002C1B50">
        <w:t xml:space="preserve"> piekrītot kļūt par</w:t>
      </w:r>
      <w:r w:rsidR="007A2AAE">
        <w:t xml:space="preserve"> </w:t>
      </w:r>
      <w:r w:rsidR="00873EAA">
        <w:t>SIA „</w:t>
      </w:r>
      <w:r w:rsidR="00403C7A">
        <w:t>[Nosaukums B]</w:t>
      </w:r>
      <w:r w:rsidR="002C1B50">
        <w:t>” valdes locekli. Zvērināta notāra klātbūtnē</w:t>
      </w:r>
      <w:r w:rsidR="007A2AAE">
        <w:t xml:space="preserve"> </w:t>
      </w:r>
      <w:r w:rsidR="00403C7A">
        <w:t>[pers. B]</w:t>
      </w:r>
      <w:r w:rsidR="002C1B50">
        <w:t xml:space="preserve"> izdarīto parakstu veido viņa vārds</w:t>
      </w:r>
      <w:r w:rsidR="007A2AAE">
        <w:t xml:space="preserve"> </w:t>
      </w:r>
      <w:r w:rsidR="002C1B50">
        <w:t>un uzvārds, savukārt dalībnieka lēmumā un aktā</w:t>
      </w:r>
      <w:r w:rsidR="007A2AAE">
        <w:t xml:space="preserve"> </w:t>
      </w:r>
      <w:r w:rsidR="002C1B50">
        <w:t>redzamo parakstu – tikai uzvārds.</w:t>
      </w:r>
    </w:p>
    <w:p w14:paraId="5B33093A" w14:textId="6BB1D945" w:rsidR="002C1B50" w:rsidRDefault="00801DF5" w:rsidP="002C1B50">
      <w:pPr>
        <w:spacing w:line="276" w:lineRule="auto"/>
        <w:ind w:firstLine="567"/>
        <w:jc w:val="both"/>
      </w:pPr>
      <w:r>
        <w:t xml:space="preserve">Vērtējot minētos apstākļus, Senāts norāda, ka </w:t>
      </w:r>
      <w:r w:rsidR="002C1B50">
        <w:t xml:space="preserve">šaubas par to, </w:t>
      </w:r>
      <w:r w:rsidR="007A2AAE">
        <w:t xml:space="preserve">vai </w:t>
      </w:r>
      <w:r w:rsidR="002C1B50">
        <w:t>minētos dokumentus ir parakstījis pats</w:t>
      </w:r>
      <w:r w:rsidR="007A2AAE">
        <w:t xml:space="preserve"> </w:t>
      </w:r>
      <w:r w:rsidR="00403C7A">
        <w:t>[pers. B]</w:t>
      </w:r>
      <w:r>
        <w:t>,</w:t>
      </w:r>
      <w:r w:rsidR="00873EAA">
        <w:t xml:space="preserve"> </w:t>
      </w:r>
      <w:r>
        <w:t xml:space="preserve">tiesa nevar pamatot tikai ar argumentu, ka vienā gadījumā parakstu </w:t>
      </w:r>
      <w:r>
        <w:lastRenderedPageBreak/>
        <w:t xml:space="preserve">veido vārds un uzvārds, bet citā </w:t>
      </w:r>
      <w:r w:rsidR="00B60DBB">
        <w:t xml:space="preserve">– </w:t>
      </w:r>
      <w:r>
        <w:t>tikai uzvārds. Šādi argumenti</w:t>
      </w:r>
      <w:r w:rsidR="00B60DBB">
        <w:t>,</w:t>
      </w:r>
      <w:r>
        <w:t xml:space="preserve"> Senāta ieskatā</w:t>
      </w:r>
      <w:r w:rsidR="00B60DBB">
        <w:t>,</w:t>
      </w:r>
      <w:r>
        <w:t xml:space="preserve"> nav pārliecinoši un nevar būt par pamatu minētajiem apgabaltiesas secinājumiem.</w:t>
      </w:r>
    </w:p>
    <w:p w14:paraId="2064FFD6" w14:textId="77777777" w:rsidR="00FC2823" w:rsidRDefault="00FC2823" w:rsidP="002C1B50">
      <w:pPr>
        <w:spacing w:line="276" w:lineRule="auto"/>
        <w:ind w:firstLine="567"/>
        <w:jc w:val="both"/>
      </w:pPr>
    </w:p>
    <w:p w14:paraId="13EF5288" w14:textId="46E5739A" w:rsidR="00FC2823" w:rsidRDefault="00FC2823" w:rsidP="002C1B50">
      <w:pPr>
        <w:spacing w:line="276" w:lineRule="auto"/>
        <w:ind w:firstLine="567"/>
        <w:jc w:val="both"/>
      </w:pPr>
      <w:r>
        <w:t>[8] No apgabaltiesas sprieduma secināms, ka tiesa izskatāmajā lietā</w:t>
      </w:r>
      <w:r w:rsidR="00C60944">
        <w:t xml:space="preserve"> komercsabiedrības amatpersonu </w:t>
      </w:r>
      <w:r>
        <w:t>parakstu īstumu</w:t>
      </w:r>
      <w:r w:rsidR="00C60944">
        <w:t xml:space="preserve"> </w:t>
      </w:r>
      <w:r w:rsidR="00ED1027">
        <w:t xml:space="preserve">netieši </w:t>
      </w:r>
      <w:r w:rsidR="00C60944">
        <w:t xml:space="preserve">saista ar pieteicēja rīcību, </w:t>
      </w:r>
      <w:r w:rsidR="00EF51CE">
        <w:t xml:space="preserve">kas </w:t>
      </w:r>
      <w:r w:rsidR="00874A65">
        <w:t>varētu l</w:t>
      </w:r>
      <w:r w:rsidR="00EF51CE">
        <w:t>iecin</w:t>
      </w:r>
      <w:r w:rsidR="00874A65">
        <w:t>āt</w:t>
      </w:r>
      <w:r w:rsidR="00EF51CE">
        <w:t xml:space="preserve"> par</w:t>
      </w:r>
      <w:r w:rsidR="00C60944">
        <w:t xml:space="preserve"> </w:t>
      </w:r>
      <w:r w:rsidR="00C60944" w:rsidRPr="00C60944">
        <w:t>izvairī</w:t>
      </w:r>
      <w:r w:rsidR="00EF51CE">
        <w:t>šanos</w:t>
      </w:r>
      <w:r w:rsidR="00C60944" w:rsidRPr="00C60944">
        <w:t xml:space="preserve"> no atbildības</w:t>
      </w:r>
      <w:r w:rsidR="00C60944">
        <w:t>.</w:t>
      </w:r>
    </w:p>
    <w:p w14:paraId="061CD6B7" w14:textId="56D98350" w:rsidR="00ED1027" w:rsidRDefault="00B60DBB" w:rsidP="002C1B50">
      <w:pPr>
        <w:spacing w:line="276" w:lineRule="auto"/>
        <w:ind w:firstLine="567"/>
        <w:jc w:val="both"/>
      </w:pPr>
      <w:r>
        <w:t>Taču, l</w:t>
      </w:r>
      <w:r w:rsidR="00ED1027">
        <w:t xml:space="preserve">ai pārliecinātos, vai dokumentu ir parakstījusi </w:t>
      </w:r>
      <w:r w:rsidR="004C5A6D">
        <w:t>attiecīgā</w:t>
      </w:r>
      <w:r w:rsidR="00ED1027">
        <w:t xml:space="preserve"> amatpersona</w:t>
      </w:r>
      <w:r w:rsidR="00874A65">
        <w:t>,</w:t>
      </w:r>
      <w:r w:rsidR="00ED1027">
        <w:t xml:space="preserve"> izskat</w:t>
      </w:r>
      <w:r w:rsidR="00874A65">
        <w:t>ā</w:t>
      </w:r>
      <w:r w:rsidR="00ED1027">
        <w:t>majā lietā nepiet</w:t>
      </w:r>
      <w:r w:rsidR="00874A65">
        <w:t>i</w:t>
      </w:r>
      <w:r w:rsidR="00ED1027">
        <w:t xml:space="preserve">ek ar </w:t>
      </w:r>
      <w:r w:rsidR="00A447A7">
        <w:t xml:space="preserve">vizuālu </w:t>
      </w:r>
      <w:r w:rsidR="00874A65">
        <w:t>parakstu salīdzināšanu dažādos dokumentos. Š</w:t>
      </w:r>
      <w:r w:rsidR="00874A65" w:rsidRPr="00874A65">
        <w:t>aubas par paraksta īstumu var novērst</w:t>
      </w:r>
      <w:r w:rsidR="00874A65">
        <w:t>,</w:t>
      </w:r>
      <w:r w:rsidR="00874A65" w:rsidRPr="00874A65">
        <w:t xml:space="preserve"> </w:t>
      </w:r>
      <w:r w:rsidR="00874A65">
        <w:t>pārbaudot</w:t>
      </w:r>
      <w:r w:rsidR="00874A65" w:rsidRPr="00874A65">
        <w:t xml:space="preserve"> cit</w:t>
      </w:r>
      <w:r w:rsidR="00874A65">
        <w:t>us</w:t>
      </w:r>
      <w:r w:rsidR="00874A65" w:rsidRPr="00874A65">
        <w:t xml:space="preserve"> pierādījum</w:t>
      </w:r>
      <w:r w:rsidR="00874A65">
        <w:t>us</w:t>
      </w:r>
      <w:r w:rsidR="004C5A6D">
        <w:t>, p</w:t>
      </w:r>
      <w:r w:rsidR="00874A65" w:rsidRPr="00874A65">
        <w:t xml:space="preserve">iemēram, konkrētajā gadījumā uzaicinot </w:t>
      </w:r>
      <w:r w:rsidR="00403C7A">
        <w:t>[pers. B]</w:t>
      </w:r>
      <w:r w:rsidR="00874A65" w:rsidRPr="00874A65">
        <w:t xml:space="preserve"> kā liecinieku</w:t>
      </w:r>
      <w:r w:rsidR="00C7148E">
        <w:t xml:space="preserve"> vai spriedumā </w:t>
      </w:r>
      <w:r w:rsidR="00A45197">
        <w:t>detalizētāk</w:t>
      </w:r>
      <w:r w:rsidR="00C7148E">
        <w:t xml:space="preserve"> </w:t>
      </w:r>
      <w:r w:rsidR="00A45197" w:rsidRPr="00A45197">
        <w:t>salīdzin</w:t>
      </w:r>
      <w:r w:rsidR="00A45197">
        <w:t>o</w:t>
      </w:r>
      <w:r w:rsidR="00A45197" w:rsidRPr="00A45197">
        <w:t xml:space="preserve">t </w:t>
      </w:r>
      <w:r w:rsidR="00A45197">
        <w:t>parakstus</w:t>
      </w:r>
      <w:r w:rsidR="00A45197" w:rsidRPr="00A45197">
        <w:t xml:space="preserve"> dokumentos</w:t>
      </w:r>
      <w:r w:rsidR="00874A65">
        <w:t>.</w:t>
      </w:r>
      <w:r w:rsidR="00C7148E">
        <w:t xml:space="preserve"> Senāts nepiekrīt kasācijas sūdzībā norādītajam, ka </w:t>
      </w:r>
      <w:r w:rsidR="00776759">
        <w:t xml:space="preserve">šaubas par </w:t>
      </w:r>
      <w:r w:rsidR="00C7148E">
        <w:t>parakst</w:t>
      </w:r>
      <w:r w:rsidR="00776759">
        <w:t>a</w:t>
      </w:r>
      <w:r w:rsidR="00C7148E">
        <w:t xml:space="preserve"> īstumu </w:t>
      </w:r>
      <w:r w:rsidR="00776759">
        <w:t xml:space="preserve">uz dokumentiem </w:t>
      </w:r>
      <w:r w:rsidR="00C7148E">
        <w:t>var apliecināt tikai ar ekspert</w:t>
      </w:r>
      <w:r w:rsidR="00A45197">
        <w:t>a atzinumu</w:t>
      </w:r>
      <w:r w:rsidR="00C7148E">
        <w:t>.</w:t>
      </w:r>
      <w:r w:rsidR="00A45197">
        <w:t xml:space="preserve"> Administratīvā procesa likums nenosaka eksperta atzinumu kā obligātu pierādīšanas līdzekli šādos gadījumos. Līdz ar to t</w:t>
      </w:r>
      <w:r w:rsidR="00776759" w:rsidRPr="00776759">
        <w:t>iesa</w:t>
      </w:r>
      <w:r w:rsidR="00A45197">
        <w:t>, izdarot secinājumus par parakstu īstumu uz dokumentiem,</w:t>
      </w:r>
      <w:r w:rsidR="00776759" w:rsidRPr="00776759">
        <w:t xml:space="preserve"> </w:t>
      </w:r>
      <w:r w:rsidR="00A45197">
        <w:t>nav ierobežota pierādīšanas līdzekļu pieļaujamībā</w:t>
      </w:r>
      <w:r w:rsidR="00776759" w:rsidRPr="00776759">
        <w:t>.</w:t>
      </w:r>
      <w:r w:rsidR="00776759">
        <w:t xml:space="preserve"> </w:t>
      </w:r>
    </w:p>
    <w:p w14:paraId="5DD48A9A" w14:textId="398E9A33" w:rsidR="00C60944" w:rsidRDefault="00776759" w:rsidP="002C1B50">
      <w:pPr>
        <w:spacing w:line="276" w:lineRule="auto"/>
        <w:ind w:firstLine="567"/>
        <w:jc w:val="both"/>
      </w:pPr>
      <w:r>
        <w:t xml:space="preserve">Tajā pašā laikā </w:t>
      </w:r>
      <w:r w:rsidR="00EF51CE">
        <w:t>Senāts nepiekrīt apgabaltiesas secinājumam, ka</w:t>
      </w:r>
      <w:r w:rsidR="00EF51CE" w:rsidRPr="00EF51CE">
        <w:t xml:space="preserve"> paraksta īstum</w:t>
      </w:r>
      <w:r w:rsidR="00EF51CE">
        <w:t>am</w:t>
      </w:r>
      <w:r w:rsidR="00EF51CE" w:rsidRPr="00EF51CE">
        <w:t xml:space="preserve"> nav izšķirošas </w:t>
      </w:r>
      <w:r w:rsidR="00EF51CE">
        <w:t xml:space="preserve">nozīmes lietā. Ja dokumentu nav parakstījusi kompetentā persona, </w:t>
      </w:r>
      <w:r w:rsidR="00ED1027">
        <w:t xml:space="preserve">vai tas sastādīts citā laikā, kā norādīts dokumentā, </w:t>
      </w:r>
      <w:r w:rsidR="00EF51CE">
        <w:t xml:space="preserve">tas </w:t>
      </w:r>
      <w:r w:rsidR="00A45197">
        <w:t xml:space="preserve">ir </w:t>
      </w:r>
      <w:r w:rsidR="00EF51CE">
        <w:t>atzīstams par pierādījumu amatpersonas pilnvaru</w:t>
      </w:r>
      <w:r w:rsidR="00ED1027">
        <w:t xml:space="preserve"> termiņa noskaidrošanai.</w:t>
      </w:r>
    </w:p>
    <w:p w14:paraId="2D9A820E" w14:textId="14DD4891" w:rsidR="00874A65" w:rsidRDefault="00874A65" w:rsidP="002C1B50">
      <w:pPr>
        <w:spacing w:line="276" w:lineRule="auto"/>
        <w:ind w:firstLine="567"/>
        <w:jc w:val="both"/>
      </w:pPr>
      <w:r>
        <w:t xml:space="preserve">Ja tiesa ir nonākusi pie secinājuma, ka pieteicējs </w:t>
      </w:r>
      <w:r w:rsidRPr="00874A65">
        <w:t>ir veicis darbības, lai izbeigtu savas pārstāvības tiesības komercsabiedrībā nolūkā izvairīties no atbildības un iespējamām tiesiskām sekām</w:t>
      </w:r>
      <w:r>
        <w:t>, tiesai atbilstoši Administratīvā procesa likuma 154.panta prasībām jāpārbauda visi lietas apstākļi un pierādījumi, kas pamato tiesas secinājumus.</w:t>
      </w:r>
    </w:p>
    <w:p w14:paraId="4CD90CDA" w14:textId="77777777" w:rsidR="00EE25D2" w:rsidRPr="00AB4BD2" w:rsidRDefault="00EE25D2" w:rsidP="003F5024">
      <w:pPr>
        <w:spacing w:line="276" w:lineRule="auto"/>
        <w:jc w:val="both"/>
        <w:rPr>
          <w:sz w:val="20"/>
        </w:rPr>
      </w:pPr>
    </w:p>
    <w:p w14:paraId="05C9C805" w14:textId="169197D9" w:rsidR="00827111" w:rsidRPr="00C72425" w:rsidRDefault="00EE25D2" w:rsidP="006F2970">
      <w:pPr>
        <w:spacing w:line="276" w:lineRule="auto"/>
        <w:ind w:firstLine="567"/>
        <w:jc w:val="both"/>
      </w:pPr>
      <w:r w:rsidRPr="00C72425">
        <w:t xml:space="preserve">[9] </w:t>
      </w:r>
      <w:r w:rsidR="00B50272">
        <w:t>Tā kā i</w:t>
      </w:r>
      <w:r w:rsidRPr="00C72425">
        <w:t>zskatāmajā lietā izšķiroša nozīme ir apstāklim</w:t>
      </w:r>
      <w:r w:rsidR="00175B6F" w:rsidRPr="00C72425">
        <w:t>,</w:t>
      </w:r>
      <w:r w:rsidRPr="00C72425">
        <w:t xml:space="preserve"> vai pieteicēja amata pienākumu pildīšanas laikā ir iestājušies apstākļi, kas bija par pamatu komercsabiedrības saimnieciskās darbības apturēšanai,</w:t>
      </w:r>
      <w:r w:rsidR="00175B6F" w:rsidRPr="00C72425">
        <w:t xml:space="preserve"> </w:t>
      </w:r>
      <w:r w:rsidR="00B50272">
        <w:t>tad</w:t>
      </w:r>
      <w:r w:rsidR="00B50272" w:rsidRPr="00C72425">
        <w:t xml:space="preserve"> </w:t>
      </w:r>
      <w:r w:rsidR="00175B6F" w:rsidRPr="00C72425">
        <w:t xml:space="preserve">Senāts nevērtē </w:t>
      </w:r>
      <w:r w:rsidR="008D1F8A">
        <w:t>tādus</w:t>
      </w:r>
      <w:r w:rsidR="008D1F8A" w:rsidRPr="00C72425">
        <w:t xml:space="preserve"> </w:t>
      </w:r>
      <w:r w:rsidR="00175B6F" w:rsidRPr="00C72425">
        <w:t>kasācijas sūdzības argumentus, kuriem ir pakārtota nozīme.</w:t>
      </w:r>
    </w:p>
    <w:p w14:paraId="6637F4AB" w14:textId="77777777" w:rsidR="00175B6F" w:rsidRPr="00AB4BD2" w:rsidRDefault="00175B6F" w:rsidP="003F5024">
      <w:pPr>
        <w:spacing w:line="276" w:lineRule="auto"/>
        <w:jc w:val="both"/>
        <w:rPr>
          <w:sz w:val="20"/>
        </w:rPr>
      </w:pPr>
    </w:p>
    <w:p w14:paraId="33143F78" w14:textId="6A7B11F5" w:rsidR="00A06179" w:rsidRPr="00C72425" w:rsidRDefault="00175B6F" w:rsidP="0018360E">
      <w:pPr>
        <w:spacing w:line="276" w:lineRule="auto"/>
        <w:ind w:firstLine="567"/>
        <w:jc w:val="both"/>
        <w:rPr>
          <w:b/>
        </w:rPr>
      </w:pPr>
      <w:r w:rsidRPr="00C72425">
        <w:t xml:space="preserve">[10] </w:t>
      </w:r>
      <w:r w:rsidR="00E830A6" w:rsidRPr="00C72425">
        <w:t xml:space="preserve">Apkopojot minēto, </w:t>
      </w:r>
      <w:r w:rsidR="008D1F8A">
        <w:t xml:space="preserve">Senāts atzīst, ka </w:t>
      </w:r>
      <w:r w:rsidR="00E830A6" w:rsidRPr="00C72425">
        <w:t xml:space="preserve">pārsūdzētais apgabaltiesas spriedums </w:t>
      </w:r>
      <w:r w:rsidRPr="00C72425">
        <w:t>ir atceļams.</w:t>
      </w:r>
    </w:p>
    <w:p w14:paraId="135DB9C8" w14:textId="77777777" w:rsidR="00A06179" w:rsidRPr="00AB4BD2" w:rsidRDefault="00A06179" w:rsidP="003F5024">
      <w:pPr>
        <w:spacing w:line="276" w:lineRule="auto"/>
        <w:rPr>
          <w:b/>
          <w:sz w:val="20"/>
          <w:szCs w:val="21"/>
        </w:rPr>
      </w:pPr>
    </w:p>
    <w:p w14:paraId="0DACE1BC" w14:textId="77777777" w:rsidR="00E830A6" w:rsidRPr="00C72425" w:rsidRDefault="00E830A6" w:rsidP="00A47E9B">
      <w:pPr>
        <w:spacing w:line="276" w:lineRule="auto"/>
        <w:jc w:val="center"/>
        <w:rPr>
          <w:b/>
        </w:rPr>
      </w:pPr>
      <w:r w:rsidRPr="00C72425">
        <w:rPr>
          <w:b/>
        </w:rPr>
        <w:t>Rezolutīvā daļa</w:t>
      </w:r>
    </w:p>
    <w:p w14:paraId="3C5CA5FD" w14:textId="77777777" w:rsidR="00E830A6" w:rsidRPr="00AB4BD2" w:rsidRDefault="00E830A6" w:rsidP="003F5024">
      <w:pPr>
        <w:spacing w:line="276" w:lineRule="auto"/>
        <w:jc w:val="both"/>
        <w:rPr>
          <w:bCs/>
          <w:spacing w:val="70"/>
          <w:sz w:val="20"/>
          <w:szCs w:val="21"/>
        </w:rPr>
      </w:pPr>
    </w:p>
    <w:p w14:paraId="4958B9B2" w14:textId="4CB21545" w:rsidR="00E830A6" w:rsidRPr="00C72425" w:rsidRDefault="00175B6F" w:rsidP="00E830A6">
      <w:pPr>
        <w:spacing w:line="276" w:lineRule="auto"/>
        <w:ind w:firstLine="567"/>
        <w:jc w:val="both"/>
        <w:rPr>
          <w:strike/>
        </w:rPr>
      </w:pPr>
      <w:r w:rsidRPr="00C72425">
        <w:t>Pamatojoties uz Administratīvā procesa likuma 129.</w:t>
      </w:r>
      <w:r w:rsidRPr="00C72425">
        <w:rPr>
          <w:vertAlign w:val="superscript"/>
        </w:rPr>
        <w:t>1</w:t>
      </w:r>
      <w:r w:rsidRPr="00C72425">
        <w:t>panta pirmās daļas 1.punktu, 348.panta pirmās daļas 2.punktu un 351.pantu, Senāts</w:t>
      </w:r>
    </w:p>
    <w:p w14:paraId="6BD8B2E2" w14:textId="77777777" w:rsidR="00E830A6" w:rsidRPr="00AB4BD2" w:rsidRDefault="00E830A6" w:rsidP="003F5024">
      <w:pPr>
        <w:spacing w:line="276" w:lineRule="auto"/>
        <w:jc w:val="both"/>
        <w:rPr>
          <w:sz w:val="20"/>
          <w:szCs w:val="21"/>
        </w:rPr>
      </w:pPr>
    </w:p>
    <w:p w14:paraId="73538468" w14:textId="2535A169" w:rsidR="00E830A6" w:rsidRPr="00C72425" w:rsidRDefault="00E830A6" w:rsidP="00A47E9B">
      <w:pPr>
        <w:spacing w:line="276" w:lineRule="auto"/>
        <w:jc w:val="center"/>
        <w:rPr>
          <w:b/>
        </w:rPr>
      </w:pPr>
      <w:r w:rsidRPr="00C72425">
        <w:rPr>
          <w:b/>
        </w:rPr>
        <w:t>nosprieda</w:t>
      </w:r>
    </w:p>
    <w:p w14:paraId="660B70CE" w14:textId="77777777" w:rsidR="00E830A6" w:rsidRPr="00AB4BD2" w:rsidRDefault="00E830A6" w:rsidP="003F5024">
      <w:pPr>
        <w:spacing w:line="276" w:lineRule="auto"/>
        <w:rPr>
          <w:b/>
          <w:sz w:val="20"/>
          <w:szCs w:val="21"/>
        </w:rPr>
      </w:pPr>
    </w:p>
    <w:p w14:paraId="0F6AA08C" w14:textId="6B01E4A4" w:rsidR="00175B6F" w:rsidRPr="00C72425" w:rsidRDefault="00AE3921" w:rsidP="003F5024">
      <w:pPr>
        <w:tabs>
          <w:tab w:val="left" w:pos="2700"/>
          <w:tab w:val="left" w:pos="6660"/>
        </w:tabs>
        <w:spacing w:line="276" w:lineRule="auto"/>
        <w:ind w:firstLine="567"/>
        <w:jc w:val="both"/>
      </w:pPr>
      <w:r>
        <w:t>a</w:t>
      </w:r>
      <w:r w:rsidR="00175B6F" w:rsidRPr="00C72425">
        <w:t xml:space="preserve">tcelt Administratīvās apgabaltiesas </w:t>
      </w:r>
      <w:r w:rsidR="0018360E" w:rsidRPr="00C72425">
        <w:t>2017.gada 28.marta s</w:t>
      </w:r>
      <w:r w:rsidR="00175B6F" w:rsidRPr="00C72425">
        <w:t xml:space="preserve">priedumu un nosūtīt lietu jaunai izskatīšanai </w:t>
      </w:r>
      <w:r>
        <w:t>apelācijas instances tiesai;</w:t>
      </w:r>
    </w:p>
    <w:p w14:paraId="089DDE73" w14:textId="674C4B4A" w:rsidR="00175B6F" w:rsidRPr="00C72425" w:rsidRDefault="00AE3921" w:rsidP="00175B6F">
      <w:pPr>
        <w:tabs>
          <w:tab w:val="left" w:pos="2700"/>
          <w:tab w:val="left" w:pos="6660"/>
        </w:tabs>
        <w:spacing w:line="276" w:lineRule="auto"/>
        <w:ind w:firstLine="567"/>
      </w:pPr>
      <w:r>
        <w:t>a</w:t>
      </w:r>
      <w:r w:rsidR="00175B6F" w:rsidRPr="00C72425">
        <w:t xml:space="preserve">tmaksāt </w:t>
      </w:r>
      <w:r w:rsidR="00403C7A">
        <w:t>[pers. A]</w:t>
      </w:r>
      <w:r w:rsidR="00175B6F" w:rsidRPr="00C72425">
        <w:t xml:space="preserve"> </w:t>
      </w:r>
      <w:r>
        <w:t xml:space="preserve">iemaksāto </w:t>
      </w:r>
      <w:r w:rsidR="00175B6F" w:rsidRPr="00C72425">
        <w:t xml:space="preserve">drošības naudu 70 </w:t>
      </w:r>
      <w:r w:rsidR="00175B6F" w:rsidRPr="003F5024">
        <w:rPr>
          <w:i/>
        </w:rPr>
        <w:t>euro</w:t>
      </w:r>
      <w:r w:rsidR="00175B6F" w:rsidRPr="00C72425">
        <w:t>.</w:t>
      </w:r>
    </w:p>
    <w:p w14:paraId="16822B41" w14:textId="4E8BEA0E" w:rsidR="002100FF" w:rsidRPr="00C72425" w:rsidRDefault="00175B6F" w:rsidP="00920AD8">
      <w:pPr>
        <w:tabs>
          <w:tab w:val="left" w:pos="2700"/>
          <w:tab w:val="left" w:pos="6660"/>
        </w:tabs>
        <w:spacing w:line="276" w:lineRule="auto"/>
        <w:ind w:firstLine="567"/>
      </w:pPr>
      <w:r w:rsidRPr="00C72425">
        <w:t>Spriedums nav pārsūdzams</w:t>
      </w:r>
      <w:r w:rsidR="00AE3921">
        <w:t>.</w:t>
      </w:r>
    </w:p>
    <w:sectPr w:rsidR="002100FF" w:rsidRPr="00C72425" w:rsidSect="00AB4BD2">
      <w:footerReference w:type="default" r:id="rId8"/>
      <w:pgSz w:w="11906" w:h="16838" w:code="9"/>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972CD" w14:textId="77777777" w:rsidR="00A66E39" w:rsidRDefault="00A66E39">
      <w:r>
        <w:separator/>
      </w:r>
    </w:p>
  </w:endnote>
  <w:endnote w:type="continuationSeparator" w:id="0">
    <w:p w14:paraId="004B886E" w14:textId="77777777" w:rsidR="00A66E39" w:rsidRDefault="00A6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C0B45" w14:textId="56524717" w:rsidR="002D5B08" w:rsidRDefault="002D5B08" w:rsidP="00B0700D">
    <w:pPr>
      <w:pStyle w:val="Kjene"/>
      <w:tabs>
        <w:tab w:val="clear" w:pos="4153"/>
        <w:tab w:val="clear" w:pos="8306"/>
      </w:tabs>
      <w:jc w:val="center"/>
    </w:pPr>
    <w:r w:rsidRPr="009F0E55">
      <w:rPr>
        <w:rStyle w:val="Lappusesnumurs"/>
      </w:rPr>
      <w:fldChar w:fldCharType="begin"/>
    </w:r>
    <w:r w:rsidRPr="009F0E55">
      <w:rPr>
        <w:rStyle w:val="Lappusesnumurs"/>
      </w:rPr>
      <w:instrText xml:space="preserve">PAGE  </w:instrText>
    </w:r>
    <w:r w:rsidRPr="009F0E55">
      <w:rPr>
        <w:rStyle w:val="Lappusesnumurs"/>
      </w:rPr>
      <w:fldChar w:fldCharType="separate"/>
    </w:r>
    <w:r w:rsidR="008E0E33">
      <w:rPr>
        <w:rStyle w:val="Lappusesnumurs"/>
        <w:noProof/>
      </w:rPr>
      <w:t>4</w:t>
    </w:r>
    <w:r w:rsidRPr="009F0E55">
      <w:rPr>
        <w:rStyle w:val="Lappusesnumurs"/>
      </w:rPr>
      <w:fldChar w:fldCharType="end"/>
    </w:r>
    <w:r w:rsidRPr="009F0E55">
      <w:rPr>
        <w:rStyle w:val="Lappusesnumurs"/>
      </w:rPr>
      <w:t xml:space="preserve"> no </w:t>
    </w:r>
    <w:r>
      <w:rPr>
        <w:rStyle w:val="Lappusesnumurs"/>
        <w:noProof/>
      </w:rPr>
      <w:fldChar w:fldCharType="begin"/>
    </w:r>
    <w:r>
      <w:rPr>
        <w:rStyle w:val="Lappusesnumurs"/>
        <w:noProof/>
      </w:rPr>
      <w:instrText xml:space="preserve"> SECTIONPAGES   \* MERGEFORMAT </w:instrText>
    </w:r>
    <w:r>
      <w:rPr>
        <w:rStyle w:val="Lappusesnumurs"/>
        <w:noProof/>
      </w:rPr>
      <w:fldChar w:fldCharType="separate"/>
    </w:r>
    <w:r w:rsidR="00B16D97">
      <w:rPr>
        <w:rStyle w:val="Lappusesnumurs"/>
        <w:noProof/>
      </w:rPr>
      <w:t>4</w:t>
    </w:r>
    <w:r>
      <w:rPr>
        <w:rStyle w:val="Lappusesnumur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ABA1D" w14:textId="77777777" w:rsidR="00A66E39" w:rsidRDefault="00A66E39">
      <w:r>
        <w:separator/>
      </w:r>
    </w:p>
  </w:footnote>
  <w:footnote w:type="continuationSeparator" w:id="0">
    <w:p w14:paraId="6C2BD356" w14:textId="77777777" w:rsidR="00A66E39" w:rsidRDefault="00A66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B8"/>
    <w:rsid w:val="00005FAB"/>
    <w:rsid w:val="000070E0"/>
    <w:rsid w:val="0001134E"/>
    <w:rsid w:val="00015B5E"/>
    <w:rsid w:val="00023492"/>
    <w:rsid w:val="000305EE"/>
    <w:rsid w:val="00034504"/>
    <w:rsid w:val="00076907"/>
    <w:rsid w:val="00091B44"/>
    <w:rsid w:val="000939B0"/>
    <w:rsid w:val="000D171E"/>
    <w:rsid w:val="000F3D16"/>
    <w:rsid w:val="000F78EB"/>
    <w:rsid w:val="00100127"/>
    <w:rsid w:val="0010340B"/>
    <w:rsid w:val="0012055B"/>
    <w:rsid w:val="00134ABC"/>
    <w:rsid w:val="0013645F"/>
    <w:rsid w:val="001368A1"/>
    <w:rsid w:val="001415A5"/>
    <w:rsid w:val="0014386E"/>
    <w:rsid w:val="00146316"/>
    <w:rsid w:val="00151754"/>
    <w:rsid w:val="0015202B"/>
    <w:rsid w:val="00153465"/>
    <w:rsid w:val="0016004B"/>
    <w:rsid w:val="0017326A"/>
    <w:rsid w:val="00175B6F"/>
    <w:rsid w:val="00181ABC"/>
    <w:rsid w:val="0018360E"/>
    <w:rsid w:val="001923C2"/>
    <w:rsid w:val="0019508E"/>
    <w:rsid w:val="001C0575"/>
    <w:rsid w:val="001D152B"/>
    <w:rsid w:val="00200AEE"/>
    <w:rsid w:val="002100FF"/>
    <w:rsid w:val="00221FBC"/>
    <w:rsid w:val="00233BDE"/>
    <w:rsid w:val="00237500"/>
    <w:rsid w:val="0024357D"/>
    <w:rsid w:val="002440B8"/>
    <w:rsid w:val="00282433"/>
    <w:rsid w:val="00296EF8"/>
    <w:rsid w:val="002A55E5"/>
    <w:rsid w:val="002A639E"/>
    <w:rsid w:val="002B0450"/>
    <w:rsid w:val="002B31EE"/>
    <w:rsid w:val="002B76BA"/>
    <w:rsid w:val="002C1B50"/>
    <w:rsid w:val="002C5C53"/>
    <w:rsid w:val="002D15B0"/>
    <w:rsid w:val="002D5B08"/>
    <w:rsid w:val="002E0F8C"/>
    <w:rsid w:val="002E3679"/>
    <w:rsid w:val="0030177A"/>
    <w:rsid w:val="003033F5"/>
    <w:rsid w:val="00320308"/>
    <w:rsid w:val="00333256"/>
    <w:rsid w:val="00344564"/>
    <w:rsid w:val="00353075"/>
    <w:rsid w:val="003571C6"/>
    <w:rsid w:val="0036277F"/>
    <w:rsid w:val="00365176"/>
    <w:rsid w:val="00366D02"/>
    <w:rsid w:val="00375F09"/>
    <w:rsid w:val="00385839"/>
    <w:rsid w:val="00393826"/>
    <w:rsid w:val="003A0CFB"/>
    <w:rsid w:val="003B3E32"/>
    <w:rsid w:val="003B6D35"/>
    <w:rsid w:val="003C25D5"/>
    <w:rsid w:val="003C51AF"/>
    <w:rsid w:val="003F5024"/>
    <w:rsid w:val="00403C7A"/>
    <w:rsid w:val="00405C10"/>
    <w:rsid w:val="00416DDC"/>
    <w:rsid w:val="00422BA4"/>
    <w:rsid w:val="00431017"/>
    <w:rsid w:val="00433DC1"/>
    <w:rsid w:val="004451DC"/>
    <w:rsid w:val="00450F56"/>
    <w:rsid w:val="0045704D"/>
    <w:rsid w:val="004615D8"/>
    <w:rsid w:val="00464735"/>
    <w:rsid w:val="00464AE5"/>
    <w:rsid w:val="00494A2F"/>
    <w:rsid w:val="00496B47"/>
    <w:rsid w:val="004A4EB8"/>
    <w:rsid w:val="004B4AB9"/>
    <w:rsid w:val="004B703C"/>
    <w:rsid w:val="004C4A13"/>
    <w:rsid w:val="004C5A6D"/>
    <w:rsid w:val="004D2D7A"/>
    <w:rsid w:val="004E638D"/>
    <w:rsid w:val="004F44A9"/>
    <w:rsid w:val="005107C9"/>
    <w:rsid w:val="005113BD"/>
    <w:rsid w:val="00513405"/>
    <w:rsid w:val="005166D2"/>
    <w:rsid w:val="00523DBB"/>
    <w:rsid w:val="00527641"/>
    <w:rsid w:val="00541E67"/>
    <w:rsid w:val="00552DF0"/>
    <w:rsid w:val="0055673E"/>
    <w:rsid w:val="00556B75"/>
    <w:rsid w:val="005610D3"/>
    <w:rsid w:val="00562E33"/>
    <w:rsid w:val="00564856"/>
    <w:rsid w:val="0057045A"/>
    <w:rsid w:val="00584540"/>
    <w:rsid w:val="00584A81"/>
    <w:rsid w:val="00585543"/>
    <w:rsid w:val="005938C6"/>
    <w:rsid w:val="00595238"/>
    <w:rsid w:val="005A2787"/>
    <w:rsid w:val="005B4184"/>
    <w:rsid w:val="005B6AF4"/>
    <w:rsid w:val="005C3387"/>
    <w:rsid w:val="005D42F8"/>
    <w:rsid w:val="005D5C81"/>
    <w:rsid w:val="005E0AD3"/>
    <w:rsid w:val="005E22F7"/>
    <w:rsid w:val="005E62DE"/>
    <w:rsid w:val="005F14FC"/>
    <w:rsid w:val="005F4932"/>
    <w:rsid w:val="00603B00"/>
    <w:rsid w:val="0060457B"/>
    <w:rsid w:val="0062152F"/>
    <w:rsid w:val="00625232"/>
    <w:rsid w:val="006514F7"/>
    <w:rsid w:val="006530A3"/>
    <w:rsid w:val="00654560"/>
    <w:rsid w:val="0065553A"/>
    <w:rsid w:val="0067489E"/>
    <w:rsid w:val="00677157"/>
    <w:rsid w:val="00685151"/>
    <w:rsid w:val="00686F0F"/>
    <w:rsid w:val="006943D6"/>
    <w:rsid w:val="00694980"/>
    <w:rsid w:val="006A137E"/>
    <w:rsid w:val="006A1B38"/>
    <w:rsid w:val="006A1F55"/>
    <w:rsid w:val="006A4CEE"/>
    <w:rsid w:val="006C4077"/>
    <w:rsid w:val="006E53FF"/>
    <w:rsid w:val="006F2970"/>
    <w:rsid w:val="007001C0"/>
    <w:rsid w:val="00700373"/>
    <w:rsid w:val="00711B7D"/>
    <w:rsid w:val="0071363E"/>
    <w:rsid w:val="00715564"/>
    <w:rsid w:val="00716541"/>
    <w:rsid w:val="0073187C"/>
    <w:rsid w:val="00746FE1"/>
    <w:rsid w:val="00751384"/>
    <w:rsid w:val="00764DF9"/>
    <w:rsid w:val="00776759"/>
    <w:rsid w:val="00785DF1"/>
    <w:rsid w:val="007A2AAE"/>
    <w:rsid w:val="007A30F9"/>
    <w:rsid w:val="007D0708"/>
    <w:rsid w:val="007E2D1C"/>
    <w:rsid w:val="007E5DC3"/>
    <w:rsid w:val="007F0621"/>
    <w:rsid w:val="007F197B"/>
    <w:rsid w:val="00801DF5"/>
    <w:rsid w:val="008035F1"/>
    <w:rsid w:val="00827111"/>
    <w:rsid w:val="0083601E"/>
    <w:rsid w:val="00836F30"/>
    <w:rsid w:val="00844B1C"/>
    <w:rsid w:val="008629E9"/>
    <w:rsid w:val="00863186"/>
    <w:rsid w:val="00873EAA"/>
    <w:rsid w:val="00874A65"/>
    <w:rsid w:val="00877420"/>
    <w:rsid w:val="0088191A"/>
    <w:rsid w:val="008866C6"/>
    <w:rsid w:val="00887452"/>
    <w:rsid w:val="008A2B5D"/>
    <w:rsid w:val="008A5D5A"/>
    <w:rsid w:val="008A6733"/>
    <w:rsid w:val="008B48BE"/>
    <w:rsid w:val="008B6823"/>
    <w:rsid w:val="008B6B3D"/>
    <w:rsid w:val="008C51D3"/>
    <w:rsid w:val="008D1F8A"/>
    <w:rsid w:val="008E0E33"/>
    <w:rsid w:val="008E5002"/>
    <w:rsid w:val="008E5848"/>
    <w:rsid w:val="008F4D48"/>
    <w:rsid w:val="008F6AEF"/>
    <w:rsid w:val="008F7E79"/>
    <w:rsid w:val="00903B7A"/>
    <w:rsid w:val="009122BA"/>
    <w:rsid w:val="00920AD8"/>
    <w:rsid w:val="00924AFD"/>
    <w:rsid w:val="0094489D"/>
    <w:rsid w:val="00944DE3"/>
    <w:rsid w:val="009465D9"/>
    <w:rsid w:val="0097228C"/>
    <w:rsid w:val="00982F57"/>
    <w:rsid w:val="0098374C"/>
    <w:rsid w:val="00987277"/>
    <w:rsid w:val="009A5B69"/>
    <w:rsid w:val="009A64F0"/>
    <w:rsid w:val="009A6FF9"/>
    <w:rsid w:val="009B5BD5"/>
    <w:rsid w:val="009C31E0"/>
    <w:rsid w:val="009D03BB"/>
    <w:rsid w:val="009E56AB"/>
    <w:rsid w:val="009F4120"/>
    <w:rsid w:val="00A03E58"/>
    <w:rsid w:val="00A06179"/>
    <w:rsid w:val="00A27F25"/>
    <w:rsid w:val="00A37C4D"/>
    <w:rsid w:val="00A44000"/>
    <w:rsid w:val="00A447A7"/>
    <w:rsid w:val="00A45197"/>
    <w:rsid w:val="00A47E9B"/>
    <w:rsid w:val="00A51C86"/>
    <w:rsid w:val="00A607F1"/>
    <w:rsid w:val="00A66C70"/>
    <w:rsid w:val="00A66E39"/>
    <w:rsid w:val="00A862AF"/>
    <w:rsid w:val="00A947B8"/>
    <w:rsid w:val="00AA425E"/>
    <w:rsid w:val="00AB0404"/>
    <w:rsid w:val="00AB4BD2"/>
    <w:rsid w:val="00AC3A89"/>
    <w:rsid w:val="00AC50FE"/>
    <w:rsid w:val="00AC5169"/>
    <w:rsid w:val="00AE09BA"/>
    <w:rsid w:val="00AE3921"/>
    <w:rsid w:val="00AE4E75"/>
    <w:rsid w:val="00AE583E"/>
    <w:rsid w:val="00B02370"/>
    <w:rsid w:val="00B0700D"/>
    <w:rsid w:val="00B1015B"/>
    <w:rsid w:val="00B10687"/>
    <w:rsid w:val="00B14B0A"/>
    <w:rsid w:val="00B16D97"/>
    <w:rsid w:val="00B27E1A"/>
    <w:rsid w:val="00B439E0"/>
    <w:rsid w:val="00B50272"/>
    <w:rsid w:val="00B5052D"/>
    <w:rsid w:val="00B54191"/>
    <w:rsid w:val="00B60DBB"/>
    <w:rsid w:val="00B63B86"/>
    <w:rsid w:val="00B66A5C"/>
    <w:rsid w:val="00B67714"/>
    <w:rsid w:val="00B720D9"/>
    <w:rsid w:val="00B77D3D"/>
    <w:rsid w:val="00B924A5"/>
    <w:rsid w:val="00BA4105"/>
    <w:rsid w:val="00BA4A89"/>
    <w:rsid w:val="00BB071A"/>
    <w:rsid w:val="00BC27EF"/>
    <w:rsid w:val="00BC2B04"/>
    <w:rsid w:val="00BC6801"/>
    <w:rsid w:val="00BE78CE"/>
    <w:rsid w:val="00C0032B"/>
    <w:rsid w:val="00C048B4"/>
    <w:rsid w:val="00C115F9"/>
    <w:rsid w:val="00C2066F"/>
    <w:rsid w:val="00C270C3"/>
    <w:rsid w:val="00C305D2"/>
    <w:rsid w:val="00C339B5"/>
    <w:rsid w:val="00C425FB"/>
    <w:rsid w:val="00C47E0D"/>
    <w:rsid w:val="00C5145F"/>
    <w:rsid w:val="00C5235F"/>
    <w:rsid w:val="00C54271"/>
    <w:rsid w:val="00C60944"/>
    <w:rsid w:val="00C6487B"/>
    <w:rsid w:val="00C649FF"/>
    <w:rsid w:val="00C7148E"/>
    <w:rsid w:val="00C72425"/>
    <w:rsid w:val="00C90A40"/>
    <w:rsid w:val="00C90AFB"/>
    <w:rsid w:val="00C94CCD"/>
    <w:rsid w:val="00C96D0A"/>
    <w:rsid w:val="00CA1020"/>
    <w:rsid w:val="00CA1458"/>
    <w:rsid w:val="00CB6C69"/>
    <w:rsid w:val="00CD4FB1"/>
    <w:rsid w:val="00CD556B"/>
    <w:rsid w:val="00CE0305"/>
    <w:rsid w:val="00D015F0"/>
    <w:rsid w:val="00D07D55"/>
    <w:rsid w:val="00D15581"/>
    <w:rsid w:val="00D24AE7"/>
    <w:rsid w:val="00D26F0F"/>
    <w:rsid w:val="00D40E5D"/>
    <w:rsid w:val="00D508AB"/>
    <w:rsid w:val="00D54E64"/>
    <w:rsid w:val="00D723D1"/>
    <w:rsid w:val="00D77826"/>
    <w:rsid w:val="00D817C1"/>
    <w:rsid w:val="00D940CB"/>
    <w:rsid w:val="00DA772D"/>
    <w:rsid w:val="00DB28AF"/>
    <w:rsid w:val="00DB48E5"/>
    <w:rsid w:val="00DB5E9F"/>
    <w:rsid w:val="00DB6FAE"/>
    <w:rsid w:val="00DC29AD"/>
    <w:rsid w:val="00E01C55"/>
    <w:rsid w:val="00E02E08"/>
    <w:rsid w:val="00E06A74"/>
    <w:rsid w:val="00E2287A"/>
    <w:rsid w:val="00E24B35"/>
    <w:rsid w:val="00E54F31"/>
    <w:rsid w:val="00E5556D"/>
    <w:rsid w:val="00E64E11"/>
    <w:rsid w:val="00E668EA"/>
    <w:rsid w:val="00E67B93"/>
    <w:rsid w:val="00E73206"/>
    <w:rsid w:val="00E7583D"/>
    <w:rsid w:val="00E830A6"/>
    <w:rsid w:val="00E93608"/>
    <w:rsid w:val="00E96336"/>
    <w:rsid w:val="00EA0BEF"/>
    <w:rsid w:val="00ED1027"/>
    <w:rsid w:val="00ED2DE4"/>
    <w:rsid w:val="00ED5645"/>
    <w:rsid w:val="00EE25D2"/>
    <w:rsid w:val="00EE50C8"/>
    <w:rsid w:val="00EE5857"/>
    <w:rsid w:val="00EE58F1"/>
    <w:rsid w:val="00EF51CE"/>
    <w:rsid w:val="00F02BB0"/>
    <w:rsid w:val="00F1103B"/>
    <w:rsid w:val="00F13F02"/>
    <w:rsid w:val="00F27B91"/>
    <w:rsid w:val="00F27EEA"/>
    <w:rsid w:val="00F314F3"/>
    <w:rsid w:val="00F32396"/>
    <w:rsid w:val="00F3411F"/>
    <w:rsid w:val="00F52094"/>
    <w:rsid w:val="00F5283D"/>
    <w:rsid w:val="00F57D46"/>
    <w:rsid w:val="00F63F05"/>
    <w:rsid w:val="00F73167"/>
    <w:rsid w:val="00F73BA5"/>
    <w:rsid w:val="00FA21DE"/>
    <w:rsid w:val="00FA29B2"/>
    <w:rsid w:val="00FB722D"/>
    <w:rsid w:val="00FB78F4"/>
    <w:rsid w:val="00FC1FE0"/>
    <w:rsid w:val="00FC2823"/>
    <w:rsid w:val="00FC6104"/>
    <w:rsid w:val="00FD0961"/>
    <w:rsid w:val="00FE41DB"/>
    <w:rsid w:val="00FF31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102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30A6"/>
    <w:pPr>
      <w:spacing w:after="0" w:line="240" w:lineRule="auto"/>
    </w:pPr>
    <w:rPr>
      <w:rFonts w:eastAsia="Times New Roman" w:cs="Times New Roman"/>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E830A6"/>
    <w:pPr>
      <w:spacing w:after="120" w:line="480" w:lineRule="auto"/>
    </w:pPr>
    <w:rPr>
      <w:lang w:val="x-none"/>
    </w:rPr>
  </w:style>
  <w:style w:type="character" w:customStyle="1" w:styleId="Pamatteksts2Rakstz">
    <w:name w:val="Pamatteksts 2 Rakstz."/>
    <w:basedOn w:val="Noklusjumarindkopasfonts"/>
    <w:link w:val="Pamatteksts2"/>
    <w:rsid w:val="00E830A6"/>
    <w:rPr>
      <w:rFonts w:eastAsia="Times New Roman" w:cs="Times New Roman"/>
      <w:szCs w:val="24"/>
      <w:lang w:val="x-none" w:eastAsia="ru-RU"/>
    </w:rPr>
  </w:style>
  <w:style w:type="paragraph" w:styleId="Kjene">
    <w:name w:val="footer"/>
    <w:basedOn w:val="Parasts"/>
    <w:link w:val="KjeneRakstz"/>
    <w:unhideWhenUsed/>
    <w:rsid w:val="00E830A6"/>
    <w:pPr>
      <w:tabs>
        <w:tab w:val="center" w:pos="4153"/>
        <w:tab w:val="right" w:pos="8306"/>
      </w:tabs>
    </w:pPr>
  </w:style>
  <w:style w:type="character" w:customStyle="1" w:styleId="KjeneRakstz">
    <w:name w:val="Kājene Rakstz."/>
    <w:basedOn w:val="Noklusjumarindkopasfonts"/>
    <w:link w:val="Kjene"/>
    <w:rsid w:val="00E830A6"/>
    <w:rPr>
      <w:rFonts w:eastAsia="Times New Roman" w:cs="Times New Roman"/>
      <w:szCs w:val="24"/>
      <w:lang w:eastAsia="ru-RU"/>
    </w:rPr>
  </w:style>
  <w:style w:type="character" w:styleId="Lappusesnumurs">
    <w:name w:val="page number"/>
    <w:basedOn w:val="Noklusjumarindkopasfonts"/>
    <w:rsid w:val="00E830A6"/>
  </w:style>
  <w:style w:type="paragraph" w:customStyle="1" w:styleId="ATpamattesksts">
    <w:name w:val="AT pamattesksts"/>
    <w:basedOn w:val="Pamatteksts2"/>
    <w:link w:val="ATpamatteskstsChar"/>
    <w:qFormat/>
    <w:rsid w:val="00E830A6"/>
    <w:pPr>
      <w:spacing w:after="0" w:line="276" w:lineRule="auto"/>
      <w:ind w:firstLine="567"/>
      <w:jc w:val="both"/>
    </w:pPr>
  </w:style>
  <w:style w:type="character" w:customStyle="1" w:styleId="ATpamatteskstsChar">
    <w:name w:val="AT pamattesksts Char"/>
    <w:basedOn w:val="Pamatteksts2Rakstz"/>
    <w:link w:val="ATpamattesksts"/>
    <w:rsid w:val="00E830A6"/>
    <w:rPr>
      <w:rFonts w:eastAsia="Times New Roman" w:cs="Times New Roman"/>
      <w:szCs w:val="24"/>
      <w:lang w:val="x-none" w:eastAsia="ru-RU"/>
    </w:rPr>
  </w:style>
  <w:style w:type="paragraph" w:customStyle="1" w:styleId="ATvirsraksts">
    <w:name w:val="AT virsraksts"/>
    <w:basedOn w:val="Parasts"/>
    <w:link w:val="ATvirsrakstsChar"/>
    <w:qFormat/>
    <w:rsid w:val="00E830A6"/>
    <w:pPr>
      <w:spacing w:line="276" w:lineRule="auto"/>
      <w:jc w:val="center"/>
      <w:outlineLvl w:val="0"/>
    </w:pPr>
    <w:rPr>
      <w:b/>
    </w:rPr>
  </w:style>
  <w:style w:type="character" w:customStyle="1" w:styleId="ATvirsrakstsChar">
    <w:name w:val="AT virsraksts Char"/>
    <w:basedOn w:val="Noklusjumarindkopasfonts"/>
    <w:link w:val="ATvirsraksts"/>
    <w:rsid w:val="00E830A6"/>
    <w:rPr>
      <w:rFonts w:eastAsia="Times New Roman" w:cs="Times New Roman"/>
      <w:b/>
      <w:szCs w:val="24"/>
      <w:lang w:eastAsia="ru-RU"/>
    </w:rPr>
  </w:style>
  <w:style w:type="paragraph" w:styleId="Balonteksts">
    <w:name w:val="Balloon Text"/>
    <w:basedOn w:val="Parasts"/>
    <w:link w:val="BalontekstsRakstz"/>
    <w:uiPriority w:val="99"/>
    <w:semiHidden/>
    <w:unhideWhenUsed/>
    <w:rsid w:val="00E758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583D"/>
    <w:rPr>
      <w:rFonts w:ascii="Segoe UI" w:eastAsia="Times New Roman" w:hAnsi="Segoe UI" w:cs="Segoe UI"/>
      <w:sz w:val="18"/>
      <w:szCs w:val="18"/>
      <w:lang w:eastAsia="ru-RU"/>
    </w:rPr>
  </w:style>
  <w:style w:type="character" w:styleId="Komentraatsauce">
    <w:name w:val="annotation reference"/>
    <w:basedOn w:val="Noklusjumarindkopasfonts"/>
    <w:uiPriority w:val="99"/>
    <w:semiHidden/>
    <w:unhideWhenUsed/>
    <w:rsid w:val="00D24AE7"/>
    <w:rPr>
      <w:sz w:val="16"/>
      <w:szCs w:val="16"/>
    </w:rPr>
  </w:style>
  <w:style w:type="paragraph" w:styleId="Komentrateksts">
    <w:name w:val="annotation text"/>
    <w:basedOn w:val="Parasts"/>
    <w:link w:val="KomentratekstsRakstz"/>
    <w:uiPriority w:val="99"/>
    <w:semiHidden/>
    <w:unhideWhenUsed/>
    <w:rsid w:val="00D24AE7"/>
    <w:rPr>
      <w:sz w:val="20"/>
      <w:szCs w:val="20"/>
    </w:rPr>
  </w:style>
  <w:style w:type="character" w:customStyle="1" w:styleId="KomentratekstsRakstz">
    <w:name w:val="Komentāra teksts Rakstz."/>
    <w:basedOn w:val="Noklusjumarindkopasfonts"/>
    <w:link w:val="Komentrateksts"/>
    <w:uiPriority w:val="99"/>
    <w:semiHidden/>
    <w:rsid w:val="00D24AE7"/>
    <w:rPr>
      <w:rFonts w:eastAsia="Times New Roman" w:cs="Times New Roman"/>
      <w:sz w:val="20"/>
      <w:szCs w:val="20"/>
      <w:lang w:eastAsia="ru-RU"/>
    </w:rPr>
  </w:style>
  <w:style w:type="paragraph" w:styleId="Komentratma">
    <w:name w:val="annotation subject"/>
    <w:basedOn w:val="Komentrateksts"/>
    <w:next w:val="Komentrateksts"/>
    <w:link w:val="KomentratmaRakstz"/>
    <w:uiPriority w:val="99"/>
    <w:semiHidden/>
    <w:unhideWhenUsed/>
    <w:rsid w:val="00D24AE7"/>
    <w:rPr>
      <w:b/>
      <w:bCs/>
    </w:rPr>
  </w:style>
  <w:style w:type="character" w:customStyle="1" w:styleId="KomentratmaRakstz">
    <w:name w:val="Komentāra tēma Rakstz."/>
    <w:basedOn w:val="KomentratekstsRakstz"/>
    <w:link w:val="Komentratma"/>
    <w:uiPriority w:val="99"/>
    <w:semiHidden/>
    <w:rsid w:val="00D24AE7"/>
    <w:rPr>
      <w:rFonts w:eastAsia="Times New Roman" w:cs="Times New Roman"/>
      <w:b/>
      <w:bCs/>
      <w:sz w:val="20"/>
      <w:szCs w:val="20"/>
      <w:lang w:eastAsia="ru-RU"/>
    </w:rPr>
  </w:style>
  <w:style w:type="character" w:styleId="Hipersaite">
    <w:name w:val="Hyperlink"/>
    <w:basedOn w:val="Noklusjumarindkopasfonts"/>
    <w:uiPriority w:val="99"/>
    <w:unhideWhenUsed/>
    <w:rsid w:val="00711B7D"/>
    <w:rPr>
      <w:color w:val="0000FF"/>
      <w:u w:val="single"/>
    </w:rPr>
  </w:style>
  <w:style w:type="character" w:styleId="Neatrisintapieminana">
    <w:name w:val="Unresolved Mention"/>
    <w:basedOn w:val="Noklusjumarindkopasfonts"/>
    <w:uiPriority w:val="99"/>
    <w:semiHidden/>
    <w:unhideWhenUsed/>
    <w:rsid w:val="00920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527.A4202220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30E6-8538-402E-88ED-DFDEAF1D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7789</Words>
  <Characters>4441</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2020-06-02T10:47:00Z</dcterms:created>
  <dcterms:modified xsi:type="dcterms:W3CDTF">2020-06-03T09:27:00Z</dcterms:modified>
</cp:coreProperties>
</file>