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23555" w14:textId="77777777" w:rsidR="00262852" w:rsidRDefault="00262852" w:rsidP="008B3E64">
      <w:pPr>
        <w:spacing w:after="0" w:line="276" w:lineRule="auto"/>
        <w:rPr>
          <w:rFonts w:eastAsia="Times New Roman" w:cs="Times New Roman"/>
          <w:szCs w:val="24"/>
        </w:rPr>
      </w:pPr>
    </w:p>
    <w:p w14:paraId="74CDDBE5" w14:textId="06928D3F" w:rsidR="00262852" w:rsidRDefault="00FE3CAF" w:rsidP="00FE3CAF">
      <w:pPr>
        <w:spacing w:after="0" w:line="276" w:lineRule="auto"/>
        <w:jc w:val="both"/>
        <w:rPr>
          <w:b/>
          <w:bCs/>
        </w:rPr>
      </w:pPr>
      <w:r w:rsidRPr="00712191">
        <w:rPr>
          <w:b/>
          <w:bCs/>
        </w:rPr>
        <w:t>Personas, kurai noteikts medicīniska rakstura piespiedu līdzeklis, pienākums samaksāt kaitējuma kompensāciju</w:t>
      </w:r>
    </w:p>
    <w:p w14:paraId="3F415977" w14:textId="4912112F" w:rsidR="00FE3CAF" w:rsidRDefault="00FE3CAF" w:rsidP="00FE3CAF">
      <w:pPr>
        <w:spacing w:after="0" w:line="276" w:lineRule="auto"/>
        <w:jc w:val="both"/>
        <w:rPr>
          <w:b/>
          <w:bCs/>
        </w:rPr>
      </w:pPr>
    </w:p>
    <w:p w14:paraId="552A0194" w14:textId="4E582035" w:rsidR="00FE3CAF" w:rsidRDefault="00FE3CAF" w:rsidP="00FE3CAF">
      <w:pPr>
        <w:spacing w:after="0" w:line="276" w:lineRule="auto"/>
        <w:jc w:val="both"/>
        <w:rPr>
          <w:rFonts w:eastAsia="Times New Roman" w:cs="Times New Roman"/>
          <w:szCs w:val="24"/>
        </w:rPr>
      </w:pPr>
      <w:r>
        <w:t xml:space="preserve">Saskaņā ar Kriminālprocesa likuma </w:t>
      </w:r>
      <w:proofErr w:type="gramStart"/>
      <w:r>
        <w:t>353.panta</w:t>
      </w:r>
      <w:proofErr w:type="gramEnd"/>
      <w:r>
        <w:t xml:space="preserve"> pirmās daļas 2.</w:t>
      </w:r>
      <w:r>
        <w:rPr>
          <w:vertAlign w:val="superscript"/>
        </w:rPr>
        <w:t>1</w:t>
      </w:r>
      <w:r>
        <w:t xml:space="preserve">punktu, pienākumu samaksāt kompensāciju var uzlikt personai, kurai noteikts medicīniska rakstura piespiedu līdzeklis. Atbilstoši Krimināllikuma </w:t>
      </w:r>
      <w:proofErr w:type="gramStart"/>
      <w:r>
        <w:t>69.panta</w:t>
      </w:r>
      <w:proofErr w:type="gramEnd"/>
      <w:r>
        <w:t xml:space="preserve"> pirmajai daļai un 70.pantam, medicīniska rakstura piespiedu līdzekļi piemērojami personai, kura izdarījusi noziedzīgu nodarījumu, būdama nepieskaitāmības stāvoklī, vai kura pēc noziedzīga nodarījuma izdarīšanas vai sprieduma taisīšanas saslimusi ar tādiem psihiskiem traucējumiem, kas atņēmuši tai spēju saprast savu darbību vai to vadīt, kā arī personām, kas izdarījušas noziedzīgus nodarījumus, būdamas ierobežotas pieskaitāmības stāvoklī. Tādējādi kompensācijas samaksāšanas pienākums attiecināms kā uz personu, kura saslimusi ar psihisku slimību pēc nodarījuma izdarīšanas, tā arī uz personu, kas noziedzīga nodarījuma izdarīšanas brīdī bija nepieskaitāmības stāvoklī.</w:t>
      </w:r>
    </w:p>
    <w:p w14:paraId="1879CE0B" w14:textId="37457BE0" w:rsidR="00262852" w:rsidRDefault="00262852" w:rsidP="00262852">
      <w:pPr>
        <w:spacing w:after="0" w:line="276" w:lineRule="auto"/>
        <w:jc w:val="right"/>
        <w:rPr>
          <w:rFonts w:eastAsia="Times New Roman" w:cs="Times New Roman"/>
          <w:szCs w:val="24"/>
        </w:rPr>
      </w:pPr>
    </w:p>
    <w:p w14:paraId="13E22B21" w14:textId="2BE76E86" w:rsidR="00262852" w:rsidRDefault="00262852" w:rsidP="00262852">
      <w:pPr>
        <w:suppressAutoHyphens/>
        <w:autoSpaceDN w:val="0"/>
        <w:spacing w:after="0" w:line="276" w:lineRule="auto"/>
        <w:jc w:val="center"/>
        <w:rPr>
          <w:rFonts w:eastAsia="Calibri" w:cs="Times New Roman"/>
        </w:rPr>
      </w:pPr>
    </w:p>
    <w:p w14:paraId="291F2396" w14:textId="77777777" w:rsidR="00FE3CAF" w:rsidRPr="00FE3CAF" w:rsidRDefault="00262852" w:rsidP="00262852">
      <w:pPr>
        <w:suppressAutoHyphens/>
        <w:autoSpaceDN w:val="0"/>
        <w:spacing w:after="0" w:line="276" w:lineRule="auto"/>
        <w:jc w:val="center"/>
        <w:rPr>
          <w:rFonts w:eastAsia="Calibri" w:cs="Times New Roman"/>
          <w:b/>
          <w:szCs w:val="24"/>
        </w:rPr>
      </w:pPr>
      <w:r w:rsidRPr="00FE3CAF">
        <w:rPr>
          <w:rFonts w:eastAsia="Calibri" w:cs="Times New Roman"/>
          <w:b/>
          <w:szCs w:val="24"/>
        </w:rPr>
        <w:t>Latvijas Republikas Senāt</w:t>
      </w:r>
      <w:r w:rsidR="00FE3CAF" w:rsidRPr="00FE3CAF">
        <w:rPr>
          <w:rFonts w:eastAsia="Calibri" w:cs="Times New Roman"/>
          <w:b/>
          <w:szCs w:val="24"/>
        </w:rPr>
        <w:t>a</w:t>
      </w:r>
      <w:r w:rsidRPr="00FE3CAF">
        <w:rPr>
          <w:rFonts w:eastAsia="Calibri" w:cs="Times New Roman"/>
          <w:b/>
          <w:szCs w:val="24"/>
        </w:rPr>
        <w:t xml:space="preserve"> </w:t>
      </w:r>
    </w:p>
    <w:p w14:paraId="7F6CC594" w14:textId="77777777" w:rsidR="00FE3CAF" w:rsidRPr="00FE3CAF" w:rsidRDefault="00FE3CAF" w:rsidP="00262852">
      <w:pPr>
        <w:suppressAutoHyphens/>
        <w:autoSpaceDN w:val="0"/>
        <w:spacing w:after="0" w:line="276" w:lineRule="auto"/>
        <w:jc w:val="center"/>
        <w:rPr>
          <w:rFonts w:eastAsia="Times New Roman" w:cs="Times New Roman"/>
          <w:b/>
          <w:szCs w:val="24"/>
        </w:rPr>
      </w:pPr>
      <w:r w:rsidRPr="00FE3CAF">
        <w:rPr>
          <w:rFonts w:eastAsia="Times New Roman" w:cs="Times New Roman"/>
          <w:b/>
          <w:szCs w:val="24"/>
        </w:rPr>
        <w:t>Krimināllietu departamenta</w:t>
      </w:r>
    </w:p>
    <w:p w14:paraId="669D4E21" w14:textId="13D78EC2" w:rsidR="00262852" w:rsidRPr="00FE3CAF" w:rsidRDefault="00FE3CAF" w:rsidP="00262852">
      <w:pPr>
        <w:suppressAutoHyphens/>
        <w:autoSpaceDN w:val="0"/>
        <w:spacing w:after="0" w:line="276" w:lineRule="auto"/>
        <w:jc w:val="center"/>
        <w:rPr>
          <w:rFonts w:eastAsia="Calibri" w:cs="Times New Roman"/>
          <w:b/>
          <w:szCs w:val="24"/>
        </w:rPr>
      </w:pPr>
      <w:proofErr w:type="gramStart"/>
      <w:r w:rsidRPr="00FE3CAF">
        <w:rPr>
          <w:rFonts w:eastAsia="Calibri" w:cs="Times New Roman"/>
          <w:b/>
          <w:szCs w:val="24"/>
        </w:rPr>
        <w:t>2020.gada</w:t>
      </w:r>
      <w:proofErr w:type="gramEnd"/>
      <w:r w:rsidRPr="00FE3CAF">
        <w:rPr>
          <w:rFonts w:eastAsia="Calibri" w:cs="Times New Roman"/>
          <w:b/>
          <w:szCs w:val="24"/>
        </w:rPr>
        <w:t xml:space="preserve"> </w:t>
      </w:r>
      <w:r>
        <w:rPr>
          <w:rFonts w:eastAsia="Calibri" w:cs="Times New Roman"/>
          <w:b/>
          <w:szCs w:val="24"/>
        </w:rPr>
        <w:t>[..]</w:t>
      </w:r>
    </w:p>
    <w:p w14:paraId="425C386A" w14:textId="576B48E8" w:rsidR="00FE3CAF" w:rsidRPr="00FE3CAF" w:rsidRDefault="00262852" w:rsidP="00262852">
      <w:pPr>
        <w:suppressAutoHyphens/>
        <w:autoSpaceDN w:val="0"/>
        <w:spacing w:after="0" w:line="276" w:lineRule="auto"/>
        <w:jc w:val="center"/>
        <w:rPr>
          <w:rFonts w:eastAsia="Times New Roman" w:cs="Times New Roman"/>
          <w:b/>
          <w:szCs w:val="24"/>
        </w:rPr>
      </w:pPr>
      <w:r w:rsidRPr="00FE3CAF">
        <w:rPr>
          <w:rFonts w:eastAsia="Calibri" w:cs="Times New Roman"/>
          <w:b/>
          <w:szCs w:val="24"/>
        </w:rPr>
        <w:t>LĒMUMS</w:t>
      </w:r>
      <w:r w:rsidR="00FE3CAF">
        <w:rPr>
          <w:rStyle w:val="FootnoteReference"/>
          <w:rFonts w:eastAsia="Calibri" w:cs="Times New Roman"/>
          <w:b/>
          <w:szCs w:val="24"/>
        </w:rPr>
        <w:footnoteReference w:id="1"/>
      </w:r>
      <w:r w:rsidR="00FE3CAF" w:rsidRPr="00FE3CAF">
        <w:rPr>
          <w:rFonts w:eastAsia="Times New Roman" w:cs="Times New Roman"/>
          <w:b/>
          <w:szCs w:val="24"/>
        </w:rPr>
        <w:t xml:space="preserve"> </w:t>
      </w:r>
    </w:p>
    <w:p w14:paraId="3BCB2A38" w14:textId="1529368B" w:rsidR="00262852" w:rsidRDefault="00FE3CAF" w:rsidP="00262852">
      <w:pPr>
        <w:suppressAutoHyphens/>
        <w:autoSpaceDN w:val="0"/>
        <w:spacing w:after="0" w:line="276" w:lineRule="auto"/>
        <w:jc w:val="center"/>
        <w:rPr>
          <w:rFonts w:eastAsia="Times New Roman" w:cs="Times New Roman"/>
          <w:szCs w:val="24"/>
        </w:rPr>
      </w:pPr>
      <w:r w:rsidRPr="00FE3CAF">
        <w:rPr>
          <w:rFonts w:eastAsia="Times New Roman" w:cs="Times New Roman"/>
          <w:b/>
          <w:szCs w:val="24"/>
        </w:rPr>
        <w:t>Lieta Nr. </w:t>
      </w:r>
      <w:r>
        <w:rPr>
          <w:rFonts w:eastAsia="Times New Roman" w:cs="Times New Roman"/>
          <w:b/>
          <w:szCs w:val="24"/>
        </w:rPr>
        <w:t>[..]</w:t>
      </w:r>
      <w:r w:rsidRPr="00FE3CAF">
        <w:rPr>
          <w:rFonts w:eastAsia="Times New Roman" w:cs="Times New Roman"/>
          <w:b/>
          <w:szCs w:val="24"/>
        </w:rPr>
        <w:t>, SKK-</w:t>
      </w:r>
      <w:r>
        <w:rPr>
          <w:rFonts w:eastAsia="Times New Roman" w:cs="Times New Roman"/>
          <w:b/>
          <w:szCs w:val="24"/>
        </w:rPr>
        <w:t>[E]</w:t>
      </w:r>
      <w:r w:rsidRPr="00FE3CAF">
        <w:rPr>
          <w:rFonts w:eastAsia="Times New Roman" w:cs="Times New Roman"/>
          <w:b/>
          <w:szCs w:val="24"/>
        </w:rPr>
        <w:t>/2020</w:t>
      </w:r>
    </w:p>
    <w:p w14:paraId="2ECDFC0B" w14:textId="31934783" w:rsidR="00FE3CAF" w:rsidRPr="00FE3CAF" w:rsidRDefault="00FE3CAF" w:rsidP="00262852">
      <w:pPr>
        <w:suppressAutoHyphens/>
        <w:autoSpaceDN w:val="0"/>
        <w:spacing w:after="0" w:line="276" w:lineRule="auto"/>
        <w:jc w:val="center"/>
        <w:rPr>
          <w:rFonts w:eastAsia="Calibri" w:cs="Times New Roman"/>
          <w:b/>
          <w:szCs w:val="24"/>
        </w:rPr>
      </w:pPr>
      <w:r w:rsidRPr="00FE3CAF">
        <w:rPr>
          <w:rFonts w:cs="Times New Roman"/>
          <w:color w:val="000000"/>
          <w:szCs w:val="24"/>
          <w:shd w:val="clear" w:color="auto" w:fill="FFFFFF"/>
        </w:rPr>
        <w:t>ECLI:LV:AT:2020:</w:t>
      </w:r>
      <w:r>
        <w:rPr>
          <w:rFonts w:cs="Times New Roman"/>
          <w:color w:val="000000"/>
          <w:szCs w:val="24"/>
          <w:shd w:val="clear" w:color="auto" w:fill="FFFFFF"/>
        </w:rPr>
        <w:t>[..]</w:t>
      </w:r>
    </w:p>
    <w:p w14:paraId="7C1F8533" w14:textId="5FD102C3" w:rsidR="00262852" w:rsidRDefault="00262852" w:rsidP="00262852">
      <w:pPr>
        <w:suppressAutoHyphens/>
        <w:autoSpaceDN w:val="0"/>
        <w:spacing w:after="0" w:line="276" w:lineRule="auto"/>
        <w:jc w:val="center"/>
        <w:rPr>
          <w:rFonts w:eastAsia="Calibri" w:cs="Times New Roman"/>
        </w:rPr>
      </w:pPr>
    </w:p>
    <w:p w14:paraId="6045F414" w14:textId="77777777" w:rsidR="00262852" w:rsidRDefault="00262852" w:rsidP="00262852">
      <w:pPr>
        <w:suppressAutoHyphens/>
        <w:autoSpaceDN w:val="0"/>
        <w:spacing w:after="120" w:line="240" w:lineRule="auto"/>
        <w:jc w:val="center"/>
        <w:rPr>
          <w:rFonts w:eastAsia="Calibri" w:cs="Times New Roman"/>
          <w:color w:val="FF0000"/>
          <w:szCs w:val="24"/>
        </w:rPr>
      </w:pPr>
    </w:p>
    <w:p w14:paraId="76B19B86" w14:textId="77777777" w:rsidR="00262852" w:rsidRDefault="00262852" w:rsidP="00262852">
      <w:pPr>
        <w:suppressAutoHyphens/>
        <w:autoSpaceDN w:val="0"/>
        <w:spacing w:line="276" w:lineRule="auto"/>
        <w:ind w:firstLine="720"/>
        <w:jc w:val="both"/>
        <w:rPr>
          <w:rFonts w:eastAsia="Calibri" w:cs="Times New Roman"/>
          <w:szCs w:val="24"/>
        </w:rPr>
      </w:pPr>
      <w:r>
        <w:rPr>
          <w:rFonts w:eastAsia="Calibri" w:cs="Times New Roman"/>
          <w:szCs w:val="24"/>
        </w:rPr>
        <w:t>Tiesa šādā sastāvā: senatori Aivars Uminskis, Sandra Kaija, Inese Laura Zemīte,</w:t>
      </w:r>
    </w:p>
    <w:p w14:paraId="16A851FA" w14:textId="61441A4B" w:rsidR="00262852" w:rsidRDefault="00262852" w:rsidP="00F5489A">
      <w:pPr>
        <w:suppressAutoHyphens/>
        <w:autoSpaceDN w:val="0"/>
        <w:spacing w:after="0" w:line="276" w:lineRule="auto"/>
        <w:ind w:firstLine="720"/>
        <w:jc w:val="both"/>
        <w:rPr>
          <w:rFonts w:eastAsia="Calibri" w:cs="Times New Roman"/>
          <w:szCs w:val="24"/>
        </w:rPr>
      </w:pPr>
      <w:r>
        <w:rPr>
          <w:rFonts w:eastAsia="Calibri" w:cs="Times New Roman"/>
          <w:szCs w:val="24"/>
        </w:rPr>
        <w:t xml:space="preserve">iepazinusies ar </w:t>
      </w:r>
      <w:r w:rsidR="00FE3CAF">
        <w:rPr>
          <w:rFonts w:eastAsia="Calibri" w:cs="Times New Roman"/>
          <w:szCs w:val="24"/>
        </w:rPr>
        <w:t>[pers. </w:t>
      </w:r>
      <w:r w:rsidR="00FE3CAF">
        <w:t>A]</w:t>
      </w:r>
      <w:r w:rsidR="00453370">
        <w:rPr>
          <w:rFonts w:eastAsia="Calibri" w:cs="Times New Roman"/>
          <w:szCs w:val="24"/>
        </w:rPr>
        <w:t xml:space="preserve">, </w:t>
      </w:r>
      <w:r w:rsidR="00453370" w:rsidRPr="00453370">
        <w:rPr>
          <w:rFonts w:eastAsia="Calibri" w:cs="Times New Roman"/>
          <w:szCs w:val="24"/>
        </w:rPr>
        <w:t>pret kuru notiek process medicīniska rakstura piespiedu līdzekļu noteikšanai</w:t>
      </w:r>
      <w:r w:rsidR="00453370">
        <w:rPr>
          <w:rFonts w:eastAsia="Calibri" w:cs="Times New Roman"/>
          <w:szCs w:val="24"/>
        </w:rPr>
        <w:t xml:space="preserve">, aizstāvja Alda Liepiņa kasācijas sūdzību par </w:t>
      </w:r>
      <w:r w:rsidR="00675E3E">
        <w:rPr>
          <w:rFonts w:eastAsia="Calibri" w:cs="Times New Roman"/>
          <w:szCs w:val="24"/>
        </w:rPr>
        <w:t>[..]</w:t>
      </w:r>
      <w:r w:rsidR="00453370">
        <w:rPr>
          <w:rFonts w:eastAsia="Calibri" w:cs="Times New Roman"/>
          <w:szCs w:val="24"/>
        </w:rPr>
        <w:t xml:space="preserve"> apgabaltiesas </w:t>
      </w:r>
      <w:proofErr w:type="gramStart"/>
      <w:r w:rsidR="00453370">
        <w:rPr>
          <w:rFonts w:eastAsia="Calibri" w:cs="Times New Roman"/>
          <w:szCs w:val="24"/>
        </w:rPr>
        <w:t>2020.gada</w:t>
      </w:r>
      <w:proofErr w:type="gramEnd"/>
      <w:r w:rsidR="00453370">
        <w:rPr>
          <w:rFonts w:eastAsia="Calibri" w:cs="Times New Roman"/>
          <w:szCs w:val="24"/>
        </w:rPr>
        <w:t xml:space="preserve"> </w:t>
      </w:r>
      <w:r w:rsidR="00675E3E">
        <w:rPr>
          <w:rFonts w:eastAsia="Calibri" w:cs="Times New Roman"/>
          <w:szCs w:val="24"/>
        </w:rPr>
        <w:t>[..]</w:t>
      </w:r>
      <w:r w:rsidR="00453370">
        <w:rPr>
          <w:rFonts w:eastAsia="Calibri" w:cs="Times New Roman"/>
          <w:szCs w:val="24"/>
        </w:rPr>
        <w:t xml:space="preserve"> lēmumu</w:t>
      </w:r>
      <w:r>
        <w:rPr>
          <w:rFonts w:eastAsia="Calibri" w:cs="Times New Roman"/>
          <w:szCs w:val="24"/>
        </w:rPr>
        <w:t>, atzīst, ka ir pamats atteikt ierosināt kasācijas tiesvedību.</w:t>
      </w:r>
    </w:p>
    <w:p w14:paraId="525DA5AE" w14:textId="77777777" w:rsidR="00262852" w:rsidRDefault="00453370" w:rsidP="00F5489A">
      <w:pPr>
        <w:suppressAutoHyphens/>
        <w:autoSpaceDN w:val="0"/>
        <w:spacing w:after="0" w:line="276" w:lineRule="auto"/>
        <w:ind w:firstLine="720"/>
        <w:jc w:val="both"/>
        <w:rPr>
          <w:rFonts w:eastAsia="Calibri" w:cs="Times New Roman"/>
          <w:szCs w:val="24"/>
        </w:rPr>
      </w:pPr>
      <w:r>
        <w:rPr>
          <w:rFonts w:eastAsia="Calibri" w:cs="Times New Roman"/>
          <w:szCs w:val="24"/>
        </w:rPr>
        <w:t>Kasācijas sū</w:t>
      </w:r>
      <w:r w:rsidR="000429A5">
        <w:rPr>
          <w:rFonts w:eastAsia="Calibri" w:cs="Times New Roman"/>
          <w:szCs w:val="24"/>
        </w:rPr>
        <w:t>dzībā norādīts, ka apelācija</w:t>
      </w:r>
      <w:r>
        <w:rPr>
          <w:rFonts w:eastAsia="Calibri" w:cs="Times New Roman"/>
          <w:szCs w:val="24"/>
        </w:rPr>
        <w:t xml:space="preserve">s instances tiesa ir pieļāvusi Kriminālprocesa likuma būtisku pārkāpumu, jo </w:t>
      </w:r>
      <w:r w:rsidR="00E7147E">
        <w:rPr>
          <w:rFonts w:eastAsia="Calibri" w:cs="Times New Roman"/>
          <w:szCs w:val="24"/>
        </w:rPr>
        <w:t>nepareizi piemērojusi Kriminālprocesa likuma 353.panta pirmās daļas 2</w:t>
      </w:r>
      <w:r w:rsidR="00E7147E" w:rsidRPr="00453370">
        <w:rPr>
          <w:rFonts w:eastAsia="Calibri" w:cs="Times New Roman"/>
          <w:szCs w:val="24"/>
          <w:vertAlign w:val="superscript"/>
        </w:rPr>
        <w:t>1</w:t>
      </w:r>
      <w:r w:rsidR="00E7147E">
        <w:rPr>
          <w:rFonts w:eastAsia="Calibri" w:cs="Times New Roman"/>
          <w:szCs w:val="24"/>
        </w:rPr>
        <w:t xml:space="preserve">.punktu. Tiesa nepamatoti </w:t>
      </w:r>
      <w:r>
        <w:rPr>
          <w:rFonts w:eastAsia="Calibri" w:cs="Times New Roman"/>
          <w:szCs w:val="24"/>
        </w:rPr>
        <w:t>atzinusi, ka Kriminālprocesa likuma 353.panta pirmās daļas 2</w:t>
      </w:r>
      <w:r w:rsidRPr="00453370">
        <w:rPr>
          <w:rFonts w:eastAsia="Calibri" w:cs="Times New Roman"/>
          <w:szCs w:val="24"/>
          <w:vertAlign w:val="superscript"/>
        </w:rPr>
        <w:t>1</w:t>
      </w:r>
      <w:r>
        <w:rPr>
          <w:rFonts w:eastAsia="Calibri" w:cs="Times New Roman"/>
          <w:szCs w:val="24"/>
        </w:rPr>
        <w:t xml:space="preserve">.punkts </w:t>
      </w:r>
      <w:r w:rsidR="00E7147E">
        <w:rPr>
          <w:rFonts w:eastAsia="Calibri" w:cs="Times New Roman"/>
          <w:szCs w:val="24"/>
        </w:rPr>
        <w:t xml:space="preserve">ir speciālā tiesību norma attiecībā pret Civillikuma 1637.pantu. Aizstāvis norāda, ka personai, kurai tiek piemērots medicīniska rakstura piespiedu līdzeklis, kaitējuma kompensācija ir nosakāma tikai tad, ja persona par nepieskaitāmu ir atzīta pēc noziedzīgā nodarījuma izdarīšanas, nevis tāda bijusi noziedzīgā nodarījuma izdarīšanas brīdī. </w:t>
      </w:r>
    </w:p>
    <w:p w14:paraId="6DA9F773" w14:textId="77777777" w:rsidR="00E7147E" w:rsidRDefault="00E7147E" w:rsidP="00F5489A">
      <w:pPr>
        <w:spacing w:after="0" w:line="276" w:lineRule="auto"/>
        <w:ind w:firstLine="720"/>
        <w:jc w:val="both"/>
        <w:rPr>
          <w:rFonts w:eastAsia="Calibri" w:cs="Times New Roman"/>
          <w:szCs w:val="24"/>
        </w:rPr>
      </w:pPr>
      <w:r>
        <w:rPr>
          <w:rFonts w:eastAsia="Calibri" w:cs="Times New Roman"/>
          <w:szCs w:val="24"/>
        </w:rPr>
        <w:t>Kriminālprocesa likuma 573.</w:t>
      </w:r>
      <w:proofErr w:type="gramStart"/>
      <w:r>
        <w:rPr>
          <w:rFonts w:eastAsia="Calibri" w:cs="Times New Roman"/>
          <w:szCs w:val="24"/>
          <w:vertAlign w:val="superscript"/>
        </w:rPr>
        <w:t>1</w:t>
      </w:r>
      <w:r>
        <w:rPr>
          <w:rFonts w:eastAsia="Calibri" w:cs="Times New Roman"/>
          <w:szCs w:val="24"/>
        </w:rPr>
        <w:t>panta</w:t>
      </w:r>
      <w:proofErr w:type="gramEnd"/>
      <w:r>
        <w:rPr>
          <w:rFonts w:eastAsia="Calibri" w:cs="Times New Roman"/>
          <w:szCs w:val="24"/>
        </w:rPr>
        <w:t xml:space="preserve"> otrās daļas 2.punkts noteic, ka tiesa var atteikties ierosināt kasācijas tiesvedību, ja, izvērtējot kasācijas sūdzībā vai protestā minētos argumentus, nerodas šaubas par pārsūdzētā nolēmuma tiesiskumu un izskatāmajai lietai nav būtiskas nozīmes judikatūras veidošanā.</w:t>
      </w:r>
    </w:p>
    <w:p w14:paraId="2C86DE8E" w14:textId="5D745262" w:rsidR="00F5489A" w:rsidRDefault="00DF5644" w:rsidP="00F5489A">
      <w:pPr>
        <w:suppressAutoHyphens/>
        <w:autoSpaceDN w:val="0"/>
        <w:spacing w:after="0" w:line="276" w:lineRule="auto"/>
        <w:ind w:firstLine="720"/>
        <w:jc w:val="both"/>
        <w:rPr>
          <w:rFonts w:eastAsia="Calibri" w:cs="Times New Roman"/>
          <w:szCs w:val="24"/>
        </w:rPr>
      </w:pPr>
      <w:r>
        <w:rPr>
          <w:rFonts w:eastAsia="Calibri" w:cs="Times New Roman"/>
          <w:szCs w:val="24"/>
        </w:rPr>
        <w:t xml:space="preserve">Senātam nerodas šaubas par apelācijas instances tiesas lēmuma tiesiskumu, lemjot piedzīt no </w:t>
      </w:r>
      <w:r w:rsidR="00675E3E">
        <w:rPr>
          <w:rFonts w:eastAsia="Calibri" w:cs="Times New Roman"/>
          <w:szCs w:val="24"/>
        </w:rPr>
        <w:t>[pers. A]</w:t>
      </w:r>
      <w:r>
        <w:rPr>
          <w:rFonts w:eastAsia="Calibri" w:cs="Times New Roman"/>
          <w:szCs w:val="24"/>
        </w:rPr>
        <w:t xml:space="preserve"> cietuš</w:t>
      </w:r>
      <w:r w:rsidR="00F5489A">
        <w:rPr>
          <w:rFonts w:eastAsia="Calibri" w:cs="Times New Roman"/>
          <w:szCs w:val="24"/>
        </w:rPr>
        <w:t>o labā kaitējuma kompensācijas, ievērojot</w:t>
      </w:r>
      <w:r>
        <w:rPr>
          <w:rFonts w:eastAsia="Calibri" w:cs="Times New Roman"/>
          <w:szCs w:val="24"/>
        </w:rPr>
        <w:t xml:space="preserve"> </w:t>
      </w:r>
      <w:r w:rsidR="004D565E">
        <w:rPr>
          <w:rFonts w:eastAsia="Calibri" w:cs="Times New Roman"/>
          <w:szCs w:val="24"/>
        </w:rPr>
        <w:t xml:space="preserve">Kriminālprocesa likuma </w:t>
      </w:r>
      <w:proofErr w:type="gramStart"/>
      <w:r w:rsidR="004D565E">
        <w:rPr>
          <w:rFonts w:eastAsia="Calibri" w:cs="Times New Roman"/>
          <w:szCs w:val="24"/>
        </w:rPr>
        <w:t>353.panta</w:t>
      </w:r>
      <w:proofErr w:type="gramEnd"/>
      <w:r w:rsidR="004D565E">
        <w:rPr>
          <w:rFonts w:eastAsia="Calibri" w:cs="Times New Roman"/>
          <w:szCs w:val="24"/>
        </w:rPr>
        <w:t xml:space="preserve"> pirmās daļas 2</w:t>
      </w:r>
      <w:r w:rsidR="004D565E" w:rsidRPr="00453370">
        <w:rPr>
          <w:rFonts w:eastAsia="Calibri" w:cs="Times New Roman"/>
          <w:szCs w:val="24"/>
          <w:vertAlign w:val="superscript"/>
        </w:rPr>
        <w:t>1</w:t>
      </w:r>
      <w:r w:rsidR="00F5489A">
        <w:rPr>
          <w:rFonts w:eastAsia="Calibri" w:cs="Times New Roman"/>
          <w:szCs w:val="24"/>
        </w:rPr>
        <w:t>.punktu, kas</w:t>
      </w:r>
      <w:r w:rsidR="004D565E">
        <w:rPr>
          <w:rFonts w:eastAsia="Calibri" w:cs="Times New Roman"/>
          <w:szCs w:val="24"/>
        </w:rPr>
        <w:t xml:space="preserve"> noteic, ka p</w:t>
      </w:r>
      <w:r w:rsidR="004D565E" w:rsidRPr="004D565E">
        <w:rPr>
          <w:rFonts w:eastAsia="Calibri" w:cs="Times New Roman"/>
          <w:szCs w:val="24"/>
        </w:rPr>
        <w:t>ienākumu samaksāt kompensāciju var uzlikt</w:t>
      </w:r>
      <w:r w:rsidR="004D565E">
        <w:rPr>
          <w:rFonts w:eastAsia="Calibri" w:cs="Times New Roman"/>
          <w:szCs w:val="24"/>
        </w:rPr>
        <w:t xml:space="preserve"> </w:t>
      </w:r>
      <w:r w:rsidR="004D565E" w:rsidRPr="004D565E">
        <w:rPr>
          <w:rFonts w:eastAsia="Calibri" w:cs="Times New Roman"/>
          <w:szCs w:val="24"/>
        </w:rPr>
        <w:t xml:space="preserve">personai, kurai noteikts medicīniska rakstura piespiedu līdzeklis vai kura nodota radinieku vai </w:t>
      </w:r>
      <w:r w:rsidR="004D565E" w:rsidRPr="004D565E">
        <w:rPr>
          <w:rFonts w:eastAsia="Calibri" w:cs="Times New Roman"/>
          <w:szCs w:val="24"/>
        </w:rPr>
        <w:lastRenderedPageBreak/>
        <w:t>citu personu gādībā</w:t>
      </w:r>
      <w:r w:rsidR="004D565E">
        <w:rPr>
          <w:rFonts w:eastAsia="Calibri" w:cs="Times New Roman"/>
          <w:szCs w:val="24"/>
        </w:rPr>
        <w:t>.</w:t>
      </w:r>
      <w:r w:rsidR="008B5CB7">
        <w:rPr>
          <w:rFonts w:eastAsia="Calibri" w:cs="Times New Roman"/>
          <w:szCs w:val="24"/>
        </w:rPr>
        <w:t xml:space="preserve"> Atbilstoši Krimin</w:t>
      </w:r>
      <w:r w:rsidR="00AD19A1">
        <w:rPr>
          <w:rFonts w:eastAsia="Calibri" w:cs="Times New Roman"/>
          <w:szCs w:val="24"/>
        </w:rPr>
        <w:t>āllikuma 69</w:t>
      </w:r>
      <w:r w:rsidR="008B5CB7">
        <w:rPr>
          <w:rFonts w:eastAsia="Calibri" w:cs="Times New Roman"/>
          <w:szCs w:val="24"/>
        </w:rPr>
        <w:t>.panta pirmajai daļai</w:t>
      </w:r>
      <w:r w:rsidR="00AD19A1">
        <w:rPr>
          <w:rFonts w:eastAsia="Calibri" w:cs="Times New Roman"/>
          <w:szCs w:val="24"/>
        </w:rPr>
        <w:t xml:space="preserve"> un 70.pantam medicīniska rakstura piespiedu līdzekļi piemērojami personai, kura izdarījusi noziedzīgu nodarījumu, būdama nepieskaitāmības stāvoklī, vai kura pēc noziedzīga nodarījuma izdarīšanas vai sprieduma taisīšanas saslimusi ar tādiem psihiskiem traucējumiem, kas atņēmuši tai spēju saprast savu darbību vai to vadīt, kā arī personām, kas izdarījušas noziedzīgus nodarījumus, būdamas ierobežotas pieskaitāmības stāvoklī.</w:t>
      </w:r>
      <w:r w:rsidR="000429A5" w:rsidRPr="000429A5">
        <w:rPr>
          <w:rFonts w:eastAsia="Calibri" w:cs="Times New Roman"/>
          <w:szCs w:val="24"/>
        </w:rPr>
        <w:t xml:space="preserve"> </w:t>
      </w:r>
      <w:r w:rsidR="000429A5">
        <w:rPr>
          <w:rFonts w:eastAsia="Calibri" w:cs="Times New Roman"/>
          <w:szCs w:val="24"/>
        </w:rPr>
        <w:t xml:space="preserve">Tādējādi kompensācijas samaksāšanas pienākums attiecināms kā uz personu, kura saslimusi ar psihisku slimību pēc nodarījuma izdarīšanas, tā arī uz personu, kas noziedzīga nodarījuma izdarīšanas brīdī </w:t>
      </w:r>
      <w:r w:rsidR="005461AA">
        <w:rPr>
          <w:rFonts w:eastAsia="Calibri" w:cs="Times New Roman"/>
          <w:szCs w:val="24"/>
        </w:rPr>
        <w:t>bija nepieskaitāmības stāvoklī. I</w:t>
      </w:r>
      <w:r w:rsidR="005461AA" w:rsidRPr="005461AA">
        <w:rPr>
          <w:rFonts w:eastAsia="Calibri" w:cs="Times New Roman"/>
          <w:szCs w:val="24"/>
        </w:rPr>
        <w:t>zskatāmajai lietai nav būtiskas nozīmes judikatūras veidošanā.</w:t>
      </w:r>
    </w:p>
    <w:p w14:paraId="4D14B717" w14:textId="77777777" w:rsidR="00F5489A" w:rsidRDefault="004078F3" w:rsidP="004078F3">
      <w:pPr>
        <w:suppressAutoHyphens/>
        <w:autoSpaceDN w:val="0"/>
        <w:spacing w:after="0" w:line="276" w:lineRule="auto"/>
        <w:ind w:firstLine="720"/>
        <w:jc w:val="both"/>
        <w:rPr>
          <w:rFonts w:eastAsia="Calibri" w:cs="Times New Roman"/>
          <w:szCs w:val="24"/>
        </w:rPr>
      </w:pPr>
      <w:r>
        <w:rPr>
          <w:rFonts w:eastAsia="Calibri" w:cs="Times New Roman"/>
          <w:szCs w:val="24"/>
        </w:rPr>
        <w:t xml:space="preserve">Turklāt aizstāvja atsaukšanās kasācijas sūdzībā uz Civillikuma </w:t>
      </w:r>
      <w:proofErr w:type="gramStart"/>
      <w:r>
        <w:rPr>
          <w:rFonts w:eastAsia="Calibri" w:cs="Times New Roman"/>
          <w:szCs w:val="24"/>
        </w:rPr>
        <w:t>1637.pantu</w:t>
      </w:r>
      <w:proofErr w:type="gramEnd"/>
      <w:r>
        <w:rPr>
          <w:rFonts w:eastAsia="Calibri" w:cs="Times New Roman"/>
          <w:szCs w:val="24"/>
        </w:rPr>
        <w:t xml:space="preserve"> pati par sevi nenozīmē, ka šajā pantā norādītajām personām zaudējumi nav jāatlīdzina. Arī civillietās Civillikuma 1780.pants paredz zaudējumu atlīdzināšanas pienākumu</w:t>
      </w:r>
      <w:r w:rsidRPr="004078F3">
        <w:t xml:space="preserve"> </w:t>
      </w:r>
      <w:r w:rsidRPr="004078F3">
        <w:rPr>
          <w:rFonts w:eastAsia="Calibri" w:cs="Times New Roman"/>
          <w:szCs w:val="24"/>
        </w:rPr>
        <w:t xml:space="preserve">no </w:t>
      </w:r>
      <w:r>
        <w:rPr>
          <w:rFonts w:eastAsia="Calibri" w:cs="Times New Roman"/>
          <w:szCs w:val="24"/>
        </w:rPr>
        <w:t>personas</w:t>
      </w:r>
      <w:r w:rsidRPr="004078F3">
        <w:rPr>
          <w:rFonts w:eastAsia="Calibri" w:cs="Times New Roman"/>
          <w:szCs w:val="24"/>
        </w:rPr>
        <w:t xml:space="preserve"> mantas</w:t>
      </w:r>
      <w:r>
        <w:rPr>
          <w:rFonts w:eastAsia="Calibri" w:cs="Times New Roman"/>
          <w:szCs w:val="24"/>
        </w:rPr>
        <w:t xml:space="preserve">, ja zaudējumus nodarījusi </w:t>
      </w:r>
      <w:r w:rsidRPr="004078F3">
        <w:rPr>
          <w:rFonts w:eastAsia="Calibri" w:cs="Times New Roman"/>
          <w:szCs w:val="24"/>
        </w:rPr>
        <w:t>persona ar garīga rakstura traucējumiem, kura nav spējusi saprast savas darbības nozīmi vai nav spējusi vadīt savu darbību, vai arī rīcībspējīga persona nesamaņas stāvoklī vai nespējot saprast savas darbības nozīmi vai nespējot vadīt savu darbību</w:t>
      </w:r>
      <w:r>
        <w:rPr>
          <w:rFonts w:eastAsia="Calibri" w:cs="Times New Roman"/>
          <w:szCs w:val="24"/>
        </w:rPr>
        <w:t>.</w:t>
      </w:r>
    </w:p>
    <w:p w14:paraId="2EC0CE77" w14:textId="77777777" w:rsidR="00262852" w:rsidRDefault="004D565E" w:rsidP="004078F3">
      <w:pPr>
        <w:spacing w:after="0" w:line="276" w:lineRule="auto"/>
        <w:ind w:firstLine="720"/>
        <w:jc w:val="both"/>
        <w:rPr>
          <w:rFonts w:eastAsia="Calibri" w:cs="Times New Roman"/>
          <w:szCs w:val="24"/>
        </w:rPr>
      </w:pPr>
      <w:r>
        <w:rPr>
          <w:rFonts w:eastAsia="Calibri" w:cs="Times New Roman"/>
          <w:szCs w:val="24"/>
        </w:rPr>
        <w:t xml:space="preserve"> </w:t>
      </w:r>
      <w:r w:rsidR="00262852">
        <w:t>Ņemot vērā minēto, konstatējam</w:t>
      </w:r>
      <w:r w:rsidR="004078F3">
        <w:t>s</w:t>
      </w:r>
      <w:r w:rsidR="00262852">
        <w:t xml:space="preserve"> Kriminālprocesa likuma 573.</w:t>
      </w:r>
      <w:r w:rsidR="00262852">
        <w:rPr>
          <w:vertAlign w:val="superscript"/>
        </w:rPr>
        <w:t>1</w:t>
      </w:r>
      <w:r w:rsidR="00262852">
        <w:t>panta otrās daļas 2.punktā paredzēt</w:t>
      </w:r>
      <w:r w:rsidR="004078F3">
        <w:t>ais pamats</w:t>
      </w:r>
      <w:r w:rsidR="00262852">
        <w:t xml:space="preserve"> atteikumam ierosināt kasācijas tiesvedību.</w:t>
      </w:r>
    </w:p>
    <w:p w14:paraId="35BD6E4B" w14:textId="77777777" w:rsidR="00262852" w:rsidRDefault="00262852" w:rsidP="00262852">
      <w:pPr>
        <w:spacing w:after="0" w:line="276" w:lineRule="auto"/>
        <w:ind w:firstLine="709"/>
        <w:jc w:val="both"/>
      </w:pPr>
      <w:r>
        <w:t>Pamatojoties uz Kriminālprocesa likuma 573.panta trešo un piekto daļu un 573.</w:t>
      </w:r>
      <w:r>
        <w:rPr>
          <w:vertAlign w:val="superscript"/>
        </w:rPr>
        <w:t>1</w:t>
      </w:r>
      <w:r>
        <w:t xml:space="preserve">panta otrās daļas 2.punktu, tiesa </w:t>
      </w:r>
    </w:p>
    <w:p w14:paraId="3F3CFC87" w14:textId="77777777" w:rsidR="00262852" w:rsidRDefault="00262852" w:rsidP="00262852">
      <w:pPr>
        <w:spacing w:after="0" w:line="276" w:lineRule="auto"/>
        <w:ind w:firstLine="709"/>
        <w:jc w:val="both"/>
      </w:pPr>
    </w:p>
    <w:p w14:paraId="21B0933F" w14:textId="77777777" w:rsidR="00262852" w:rsidRDefault="006821A6" w:rsidP="00262852">
      <w:pPr>
        <w:spacing w:after="0" w:line="276" w:lineRule="auto"/>
        <w:contextualSpacing/>
        <w:jc w:val="center"/>
        <w:rPr>
          <w:b/>
        </w:rPr>
      </w:pPr>
      <w:r>
        <w:rPr>
          <w:b/>
        </w:rPr>
        <w:t>nolēma</w:t>
      </w:r>
    </w:p>
    <w:p w14:paraId="0E0DA750" w14:textId="77777777" w:rsidR="00262852" w:rsidRDefault="00262852" w:rsidP="00262852">
      <w:pPr>
        <w:spacing w:after="0" w:line="276" w:lineRule="auto"/>
        <w:ind w:left="420"/>
        <w:contextualSpacing/>
        <w:jc w:val="center"/>
        <w:rPr>
          <w:b/>
        </w:rPr>
      </w:pPr>
    </w:p>
    <w:p w14:paraId="3CD87038" w14:textId="77777777" w:rsidR="00262852" w:rsidRDefault="00262852" w:rsidP="00262852">
      <w:pPr>
        <w:spacing w:after="0" w:line="276" w:lineRule="auto"/>
        <w:ind w:firstLine="720"/>
      </w:pPr>
      <w:r>
        <w:t>atteikt ierosināt kasācijas tiesvedību.</w:t>
      </w:r>
    </w:p>
    <w:p w14:paraId="404F793C" w14:textId="1C6CBC1A" w:rsidR="003F08B1" w:rsidRDefault="00262852" w:rsidP="00675E3E">
      <w:pPr>
        <w:spacing w:after="120" w:line="276" w:lineRule="auto"/>
        <w:ind w:firstLine="720"/>
      </w:pPr>
      <w:r>
        <w:t>Lēmums nav pārsūdzams.</w:t>
      </w:r>
    </w:p>
    <w:sectPr w:rsidR="003F08B1" w:rsidSect="00814606">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350BD" w14:textId="77777777" w:rsidR="00BF2A5B" w:rsidRDefault="00BF2A5B" w:rsidP="004078F3">
      <w:pPr>
        <w:spacing w:after="0" w:line="240" w:lineRule="auto"/>
      </w:pPr>
      <w:r>
        <w:separator/>
      </w:r>
    </w:p>
  </w:endnote>
  <w:endnote w:type="continuationSeparator" w:id="0">
    <w:p w14:paraId="3E31CF47" w14:textId="77777777" w:rsidR="00BF2A5B" w:rsidRDefault="00BF2A5B" w:rsidP="0040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7965476"/>
      <w:docPartObj>
        <w:docPartGallery w:val="Page Numbers (Bottom of Page)"/>
        <w:docPartUnique/>
      </w:docPartObj>
    </w:sdtPr>
    <w:sdtEndPr/>
    <w:sdtContent>
      <w:sdt>
        <w:sdtPr>
          <w:id w:val="1728636285"/>
          <w:docPartObj>
            <w:docPartGallery w:val="Page Numbers (Top of Page)"/>
            <w:docPartUnique/>
          </w:docPartObj>
        </w:sdtPr>
        <w:sdtEndPr/>
        <w:sdtContent>
          <w:p w14:paraId="22F2F258" w14:textId="77777777" w:rsidR="004078F3" w:rsidRDefault="004078F3">
            <w:pPr>
              <w:pStyle w:val="Footer"/>
              <w:jc w:val="center"/>
            </w:pPr>
            <w:r w:rsidRPr="004078F3">
              <w:rPr>
                <w:bCs/>
                <w:szCs w:val="24"/>
              </w:rPr>
              <w:fldChar w:fldCharType="begin"/>
            </w:r>
            <w:r w:rsidRPr="004078F3">
              <w:rPr>
                <w:bCs/>
              </w:rPr>
              <w:instrText xml:space="preserve"> PAGE </w:instrText>
            </w:r>
            <w:r w:rsidRPr="004078F3">
              <w:rPr>
                <w:bCs/>
                <w:szCs w:val="24"/>
              </w:rPr>
              <w:fldChar w:fldCharType="separate"/>
            </w:r>
            <w:r w:rsidR="005461AA">
              <w:rPr>
                <w:bCs/>
                <w:noProof/>
              </w:rPr>
              <w:t>2</w:t>
            </w:r>
            <w:r w:rsidRPr="004078F3">
              <w:rPr>
                <w:bCs/>
                <w:szCs w:val="24"/>
              </w:rPr>
              <w:fldChar w:fldCharType="end"/>
            </w:r>
            <w:r w:rsidRPr="004078F3">
              <w:t xml:space="preserve"> no </w:t>
            </w:r>
            <w:r w:rsidRPr="004078F3">
              <w:rPr>
                <w:bCs/>
                <w:szCs w:val="24"/>
              </w:rPr>
              <w:fldChar w:fldCharType="begin"/>
            </w:r>
            <w:r w:rsidRPr="004078F3">
              <w:rPr>
                <w:bCs/>
              </w:rPr>
              <w:instrText xml:space="preserve"> NUMPAGES  </w:instrText>
            </w:r>
            <w:r w:rsidRPr="004078F3">
              <w:rPr>
                <w:bCs/>
                <w:szCs w:val="24"/>
              </w:rPr>
              <w:fldChar w:fldCharType="separate"/>
            </w:r>
            <w:r w:rsidR="005461AA">
              <w:rPr>
                <w:bCs/>
                <w:noProof/>
              </w:rPr>
              <w:t>2</w:t>
            </w:r>
            <w:r w:rsidRPr="004078F3">
              <w:rPr>
                <w:bCs/>
                <w:szCs w:val="24"/>
              </w:rPr>
              <w:fldChar w:fldCharType="end"/>
            </w:r>
          </w:p>
        </w:sdtContent>
      </w:sdt>
    </w:sdtContent>
  </w:sdt>
  <w:p w14:paraId="5D47D5D6" w14:textId="77777777" w:rsidR="004078F3" w:rsidRDefault="00407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315A1" w14:textId="77777777" w:rsidR="00BF2A5B" w:rsidRDefault="00BF2A5B" w:rsidP="004078F3">
      <w:pPr>
        <w:spacing w:after="0" w:line="240" w:lineRule="auto"/>
      </w:pPr>
      <w:r>
        <w:separator/>
      </w:r>
    </w:p>
  </w:footnote>
  <w:footnote w:type="continuationSeparator" w:id="0">
    <w:p w14:paraId="0376980A" w14:textId="77777777" w:rsidR="00BF2A5B" w:rsidRDefault="00BF2A5B" w:rsidP="004078F3">
      <w:pPr>
        <w:spacing w:after="0" w:line="240" w:lineRule="auto"/>
      </w:pPr>
      <w:r>
        <w:continuationSeparator/>
      </w:r>
    </w:p>
  </w:footnote>
  <w:footnote w:id="1">
    <w:p w14:paraId="49D8C658" w14:textId="4D42B9B7" w:rsidR="00FE3CAF" w:rsidRDefault="00FE3CAF">
      <w:pPr>
        <w:pStyle w:val="FootnoteText"/>
      </w:pPr>
      <w:r>
        <w:rPr>
          <w:rStyle w:val="FootnoteReference"/>
        </w:rPr>
        <w:footnoteRef/>
      </w:r>
      <w:r>
        <w:t xml:space="preserve"> </w:t>
      </w:r>
      <w:proofErr w:type="spellStart"/>
      <w:r>
        <w:rPr>
          <w:lang w:val="en-US"/>
        </w:rPr>
        <w:t>Slēgtas</w:t>
      </w:r>
      <w:proofErr w:type="spellEnd"/>
      <w:r>
        <w:rPr>
          <w:lang w:val="en-US"/>
        </w:rPr>
        <w:t xml:space="preserve"> </w:t>
      </w:r>
      <w:proofErr w:type="spellStart"/>
      <w:r>
        <w:rPr>
          <w:lang w:val="en-US"/>
        </w:rPr>
        <w:t>lietas</w:t>
      </w:r>
      <w:proofErr w:type="spellEnd"/>
      <w:r>
        <w:rPr>
          <w:lang w:val="en-US"/>
        </w:rPr>
        <w:t xml:space="preserve"> </w:t>
      </w:r>
      <w:proofErr w:type="spellStart"/>
      <w:r>
        <w:rPr>
          <w:lang w:val="en-US"/>
        </w:rPr>
        <w:t>statuss</w:t>
      </w:r>
      <w:proofErr w:type="spellEnd"/>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52"/>
    <w:rsid w:val="000429A5"/>
    <w:rsid w:val="00262852"/>
    <w:rsid w:val="002D0D8F"/>
    <w:rsid w:val="00327ED1"/>
    <w:rsid w:val="003F08B1"/>
    <w:rsid w:val="004078F3"/>
    <w:rsid w:val="00453370"/>
    <w:rsid w:val="004D0ADD"/>
    <w:rsid w:val="004D565E"/>
    <w:rsid w:val="005461AA"/>
    <w:rsid w:val="00664E3F"/>
    <w:rsid w:val="00675E3E"/>
    <w:rsid w:val="006821A6"/>
    <w:rsid w:val="00814606"/>
    <w:rsid w:val="00877495"/>
    <w:rsid w:val="008B3E64"/>
    <w:rsid w:val="008B5CB7"/>
    <w:rsid w:val="00952FA6"/>
    <w:rsid w:val="00AD19A1"/>
    <w:rsid w:val="00BF2A5B"/>
    <w:rsid w:val="00D16247"/>
    <w:rsid w:val="00D60A38"/>
    <w:rsid w:val="00DE71AA"/>
    <w:rsid w:val="00DF5644"/>
    <w:rsid w:val="00E7147E"/>
    <w:rsid w:val="00E74447"/>
    <w:rsid w:val="00F5489A"/>
    <w:rsid w:val="00FE3CAF"/>
    <w:rsid w:val="00FE4A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D1B2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5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8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78F3"/>
  </w:style>
  <w:style w:type="paragraph" w:styleId="Footer">
    <w:name w:val="footer"/>
    <w:basedOn w:val="Normal"/>
    <w:link w:val="FooterChar"/>
    <w:uiPriority w:val="99"/>
    <w:unhideWhenUsed/>
    <w:rsid w:val="004078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78F3"/>
  </w:style>
  <w:style w:type="paragraph" w:styleId="BalloonText">
    <w:name w:val="Balloon Text"/>
    <w:basedOn w:val="Normal"/>
    <w:link w:val="BalloonTextChar"/>
    <w:uiPriority w:val="99"/>
    <w:semiHidden/>
    <w:unhideWhenUsed/>
    <w:rsid w:val="00682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1A6"/>
    <w:rPr>
      <w:rFonts w:ascii="Segoe UI" w:hAnsi="Segoe UI" w:cs="Segoe UI"/>
      <w:sz w:val="18"/>
      <w:szCs w:val="18"/>
    </w:rPr>
  </w:style>
  <w:style w:type="paragraph" w:styleId="FootnoteText">
    <w:name w:val="footnote text"/>
    <w:basedOn w:val="Normal"/>
    <w:link w:val="FootnoteTextChar"/>
    <w:uiPriority w:val="99"/>
    <w:semiHidden/>
    <w:unhideWhenUsed/>
    <w:rsid w:val="00FE3C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CAF"/>
    <w:rPr>
      <w:sz w:val="20"/>
      <w:szCs w:val="20"/>
    </w:rPr>
  </w:style>
  <w:style w:type="character" w:styleId="FootnoteReference">
    <w:name w:val="footnote reference"/>
    <w:basedOn w:val="DefaultParagraphFont"/>
    <w:uiPriority w:val="99"/>
    <w:semiHidden/>
    <w:unhideWhenUsed/>
    <w:rsid w:val="00FE3C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604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DB55A-797A-4E7E-833B-913EDA88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2809</Words>
  <Characters>1602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2020-06-04T15:36:00Z</dcterms:created>
  <dcterms:modified xsi:type="dcterms:W3CDTF">2020-06-04T15:36:00Z</dcterms:modified>
</cp:coreProperties>
</file>