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D52D" w14:textId="77777777" w:rsidR="00C06BFE" w:rsidRDefault="00C06BFE" w:rsidP="00C06BFE">
      <w:pPr>
        <w:spacing w:after="0" w:line="276" w:lineRule="auto"/>
        <w:rPr>
          <w:b/>
          <w:bCs/>
        </w:rPr>
      </w:pPr>
      <w:r>
        <w:rPr>
          <w:b/>
          <w:bCs/>
        </w:rPr>
        <w:t>Kreditoram par ļaunu noslēgta fiktīva darījuma apstrīdēšana</w:t>
      </w:r>
    </w:p>
    <w:p w14:paraId="0B88FF69" w14:textId="2DFFFD05" w:rsidR="00C06BFE" w:rsidRDefault="00C06BFE" w:rsidP="00C06BFE">
      <w:pPr>
        <w:spacing w:after="0" w:line="276" w:lineRule="auto"/>
        <w:ind w:firstLine="567"/>
        <w:jc w:val="both"/>
      </w:pPr>
      <w:r>
        <w:t>Īpašas kārtības neesība Civilprocesa likumā tādu darījumu apstrīdēšanai, kas noslēgti par ļaunu kreditoriem (</w:t>
      </w:r>
      <w:r>
        <w:rPr>
          <w:i/>
          <w:iCs/>
        </w:rPr>
        <w:t xml:space="preserve">Civillikuma </w:t>
      </w:r>
      <w:proofErr w:type="gramStart"/>
      <w:r>
        <w:rPr>
          <w:i/>
          <w:iCs/>
        </w:rPr>
        <w:t>1438.panta</w:t>
      </w:r>
      <w:proofErr w:type="gramEnd"/>
      <w:r>
        <w:rPr>
          <w:i/>
          <w:iCs/>
        </w:rPr>
        <w:t xml:space="preserve"> piezīme</w:t>
      </w:r>
      <w:r>
        <w:t>), nav šķērslis šādu strīdu izšķiršanai, attiecīgi motivējot pierādīšanas nastas sadalījumu starp procesa dalībniekiem, kad nodibinātas netipiskas situācijas, kas pretstatā parasti sagaidāmām civiltiesiskās apgrozības attiecībām prasa īpašu, saprātīgam vērotājam ticamu skaidrojumu.</w:t>
      </w:r>
    </w:p>
    <w:p w14:paraId="72A89BB7" w14:textId="3C4384A2" w:rsidR="002038FA" w:rsidRDefault="002038FA" w:rsidP="006F4465">
      <w:pPr>
        <w:spacing w:after="0" w:line="276" w:lineRule="auto"/>
        <w:ind w:firstLine="567"/>
        <w:jc w:val="both"/>
      </w:pPr>
    </w:p>
    <w:p w14:paraId="56B517EB" w14:textId="7973870F" w:rsidR="006F4465" w:rsidRPr="006F4465" w:rsidRDefault="006F4465" w:rsidP="00C06BFE">
      <w:pPr>
        <w:shd w:val="clear" w:color="auto" w:fill="FFFFFF"/>
        <w:spacing w:after="0" w:line="276" w:lineRule="auto"/>
        <w:ind w:hanging="142"/>
        <w:jc w:val="center"/>
        <w:rPr>
          <w:rFonts w:eastAsia="Times New Roman" w:cs="Times New Roman"/>
          <w:b/>
          <w:bCs/>
          <w:szCs w:val="24"/>
        </w:rPr>
      </w:pPr>
      <w:r w:rsidRPr="006F4465">
        <w:rPr>
          <w:rFonts w:eastAsia="Times New Roman" w:cs="Times New Roman"/>
          <w:b/>
          <w:bCs/>
          <w:color w:val="000000"/>
          <w:szCs w:val="24"/>
        </w:rPr>
        <w:t xml:space="preserve">Latvijas </w:t>
      </w:r>
      <w:r w:rsidRPr="006F4465">
        <w:rPr>
          <w:rFonts w:eastAsia="Times New Roman" w:cs="Times New Roman"/>
          <w:b/>
          <w:bCs/>
          <w:szCs w:val="24"/>
        </w:rPr>
        <w:t xml:space="preserve">Republikas </w:t>
      </w:r>
      <w:r>
        <w:rPr>
          <w:rFonts w:eastAsia="Times New Roman" w:cs="Times New Roman"/>
          <w:b/>
          <w:bCs/>
          <w:szCs w:val="24"/>
        </w:rPr>
        <w:t>Augstākās tiesas</w:t>
      </w:r>
    </w:p>
    <w:p w14:paraId="7C637652" w14:textId="16AF030E" w:rsidR="006F4465" w:rsidRPr="006F4465" w:rsidRDefault="006F4465" w:rsidP="00C06BFE">
      <w:pPr>
        <w:shd w:val="clear" w:color="auto" w:fill="FFFFFF"/>
        <w:spacing w:after="0" w:line="276" w:lineRule="auto"/>
        <w:ind w:hanging="142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6F4465">
        <w:rPr>
          <w:rFonts w:eastAsia="Times New Roman" w:cs="Times New Roman"/>
          <w:b/>
          <w:bCs/>
          <w:color w:val="000000"/>
          <w:szCs w:val="24"/>
        </w:rPr>
        <w:t>Civillietu departamenta</w:t>
      </w:r>
    </w:p>
    <w:p w14:paraId="0EBF33D5" w14:textId="1442B47C" w:rsidR="006F4465" w:rsidRPr="006F4465" w:rsidRDefault="006F4465" w:rsidP="00C06BFE">
      <w:pPr>
        <w:shd w:val="clear" w:color="auto" w:fill="FFFFFF"/>
        <w:spacing w:after="0" w:line="276" w:lineRule="auto"/>
        <w:ind w:hanging="142"/>
        <w:jc w:val="center"/>
        <w:rPr>
          <w:rFonts w:eastAsia="Times New Roman" w:cs="Times New Roman"/>
          <w:b/>
          <w:bCs/>
          <w:color w:val="000000"/>
          <w:szCs w:val="24"/>
        </w:rPr>
      </w:pPr>
      <w:proofErr w:type="gramStart"/>
      <w:r w:rsidRPr="006F4465">
        <w:rPr>
          <w:rFonts w:eastAsia="Times New Roman" w:cs="Times New Roman"/>
          <w:b/>
          <w:bCs/>
          <w:color w:val="000000"/>
          <w:szCs w:val="24"/>
        </w:rPr>
        <w:t>20</w:t>
      </w:r>
      <w:r>
        <w:rPr>
          <w:rFonts w:eastAsia="Times New Roman" w:cs="Times New Roman"/>
          <w:b/>
          <w:bCs/>
          <w:color w:val="000000"/>
          <w:szCs w:val="24"/>
        </w:rPr>
        <w:t>18</w:t>
      </w:r>
      <w:r w:rsidRPr="006F4465">
        <w:rPr>
          <w:rFonts w:eastAsia="Times New Roman" w:cs="Times New Roman"/>
          <w:b/>
          <w:bCs/>
          <w:color w:val="000000"/>
          <w:szCs w:val="24"/>
        </w:rPr>
        <w:t>.gada</w:t>
      </w:r>
      <w:proofErr w:type="gramEnd"/>
      <w:r w:rsidRPr="006F4465">
        <w:rPr>
          <w:rFonts w:eastAsia="Times New Roman" w:cs="Times New Roman"/>
          <w:b/>
          <w:bCs/>
          <w:color w:val="000000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</w:rPr>
        <w:t>28</w:t>
      </w:r>
      <w:r w:rsidRPr="006F4465">
        <w:rPr>
          <w:rFonts w:eastAsia="Times New Roman" w:cs="Times New Roman"/>
          <w:b/>
          <w:bCs/>
          <w:color w:val="000000"/>
          <w:szCs w:val="24"/>
        </w:rPr>
        <w:t>.</w:t>
      </w:r>
      <w:r>
        <w:rPr>
          <w:rFonts w:eastAsia="Times New Roman" w:cs="Times New Roman"/>
          <w:b/>
          <w:bCs/>
          <w:color w:val="000000"/>
          <w:szCs w:val="24"/>
        </w:rPr>
        <w:t>m</w:t>
      </w:r>
      <w:r w:rsidRPr="006F4465">
        <w:rPr>
          <w:rFonts w:eastAsia="Times New Roman" w:cs="Times New Roman"/>
          <w:b/>
          <w:bCs/>
          <w:color w:val="000000"/>
          <w:szCs w:val="24"/>
        </w:rPr>
        <w:t>a</w:t>
      </w:r>
      <w:r>
        <w:rPr>
          <w:rFonts w:eastAsia="Times New Roman" w:cs="Times New Roman"/>
          <w:b/>
          <w:bCs/>
          <w:color w:val="000000"/>
          <w:szCs w:val="24"/>
        </w:rPr>
        <w:t>ija</w:t>
      </w:r>
    </w:p>
    <w:p w14:paraId="58343896" w14:textId="77777777" w:rsidR="006F4465" w:rsidRPr="006F4465" w:rsidRDefault="006F4465" w:rsidP="00C06BFE">
      <w:pPr>
        <w:shd w:val="clear" w:color="auto" w:fill="FFFFFF"/>
        <w:spacing w:after="0" w:line="276" w:lineRule="auto"/>
        <w:ind w:hanging="142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6F4465">
        <w:rPr>
          <w:rFonts w:eastAsia="Times New Roman" w:cs="Times New Roman"/>
          <w:b/>
          <w:bCs/>
          <w:color w:val="000000"/>
          <w:szCs w:val="24"/>
        </w:rPr>
        <w:t>SPRIEDUMS</w:t>
      </w:r>
    </w:p>
    <w:p w14:paraId="666BB3E6" w14:textId="0ED9CF23" w:rsidR="006F4465" w:rsidRPr="006F4465" w:rsidRDefault="006F4465" w:rsidP="00C06BFE">
      <w:pPr>
        <w:shd w:val="clear" w:color="auto" w:fill="FFFFFF"/>
        <w:spacing w:after="0" w:line="276" w:lineRule="auto"/>
        <w:ind w:hanging="142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6F4465">
        <w:rPr>
          <w:rFonts w:eastAsia="Times New Roman" w:cs="Times New Roman"/>
          <w:b/>
          <w:bCs/>
          <w:color w:val="000000"/>
          <w:szCs w:val="24"/>
        </w:rPr>
        <w:t>Lieta Nr. C</w:t>
      </w:r>
      <w:r>
        <w:rPr>
          <w:rFonts w:eastAsia="Times New Roman" w:cs="Times New Roman"/>
          <w:b/>
          <w:bCs/>
          <w:color w:val="000000"/>
          <w:szCs w:val="24"/>
        </w:rPr>
        <w:t>04219514</w:t>
      </w:r>
      <w:r w:rsidRPr="006F4465">
        <w:rPr>
          <w:rFonts w:eastAsia="Times New Roman" w:cs="Times New Roman"/>
          <w:b/>
          <w:bCs/>
          <w:color w:val="000000"/>
          <w:szCs w:val="24"/>
        </w:rPr>
        <w:t>, SKC-</w:t>
      </w:r>
      <w:r>
        <w:rPr>
          <w:rFonts w:eastAsia="Times New Roman" w:cs="Times New Roman"/>
          <w:b/>
          <w:bCs/>
          <w:color w:val="000000"/>
          <w:szCs w:val="24"/>
        </w:rPr>
        <w:t>82</w:t>
      </w:r>
      <w:r w:rsidRPr="006F4465">
        <w:rPr>
          <w:rFonts w:eastAsia="Times New Roman" w:cs="Times New Roman"/>
          <w:b/>
          <w:bCs/>
          <w:color w:val="000000"/>
          <w:szCs w:val="24"/>
        </w:rPr>
        <w:t>/20</w:t>
      </w:r>
      <w:r w:rsidR="00BD1940">
        <w:rPr>
          <w:rFonts w:eastAsia="Times New Roman" w:cs="Times New Roman"/>
          <w:b/>
          <w:bCs/>
          <w:color w:val="000000"/>
          <w:szCs w:val="24"/>
        </w:rPr>
        <w:t>18</w:t>
      </w:r>
    </w:p>
    <w:p w14:paraId="054411B3" w14:textId="61D1D0EC" w:rsidR="00700875" w:rsidRDefault="006F4465" w:rsidP="00C06BFE">
      <w:pPr>
        <w:spacing w:after="0" w:line="276" w:lineRule="auto"/>
        <w:ind w:hanging="142"/>
        <w:jc w:val="center"/>
        <w:rPr>
          <w:rFonts w:eastAsia="Times New Roman" w:cs="Times New Roman"/>
          <w:color w:val="0563C1"/>
          <w:szCs w:val="24"/>
          <w:u w:val="single"/>
        </w:rPr>
      </w:pPr>
      <w:hyperlink r:id="rId7" w:history="1">
        <w:r w:rsidRPr="006F4465">
          <w:rPr>
            <w:rFonts w:eastAsia="Times New Roman" w:cs="Times New Roman"/>
            <w:color w:val="0563C1"/>
            <w:szCs w:val="24"/>
            <w:u w:val="single"/>
          </w:rPr>
          <w:t>ECLI:LV:AT:20</w:t>
        </w:r>
        <w:r>
          <w:rPr>
            <w:rFonts w:eastAsia="Times New Roman" w:cs="Times New Roman"/>
            <w:color w:val="0563C1"/>
            <w:szCs w:val="24"/>
            <w:u w:val="single"/>
          </w:rPr>
          <w:t>18</w:t>
        </w:r>
        <w:r w:rsidRPr="006F4465">
          <w:rPr>
            <w:rFonts w:eastAsia="Times New Roman" w:cs="Times New Roman"/>
            <w:color w:val="0563C1"/>
            <w:szCs w:val="24"/>
            <w:u w:val="single"/>
          </w:rPr>
          <w:t>:0</w:t>
        </w:r>
        <w:r>
          <w:rPr>
            <w:rFonts w:eastAsia="Times New Roman" w:cs="Times New Roman"/>
            <w:color w:val="0563C1"/>
            <w:szCs w:val="24"/>
            <w:u w:val="single"/>
          </w:rPr>
          <w:t>528</w:t>
        </w:r>
        <w:r w:rsidRPr="006F4465">
          <w:rPr>
            <w:rFonts w:eastAsia="Times New Roman" w:cs="Times New Roman"/>
            <w:color w:val="0563C1"/>
            <w:szCs w:val="24"/>
            <w:u w:val="single"/>
          </w:rPr>
          <w:t>.C</w:t>
        </w:r>
        <w:r>
          <w:rPr>
            <w:rFonts w:eastAsia="Times New Roman" w:cs="Times New Roman"/>
            <w:color w:val="0563C1"/>
            <w:szCs w:val="24"/>
            <w:u w:val="single"/>
          </w:rPr>
          <w:t>04219514</w:t>
        </w:r>
        <w:r w:rsidRPr="006F4465">
          <w:rPr>
            <w:rFonts w:eastAsia="Times New Roman" w:cs="Times New Roman"/>
            <w:color w:val="0563C1"/>
            <w:szCs w:val="24"/>
            <w:u w:val="single"/>
          </w:rPr>
          <w:t>.</w:t>
        </w:r>
        <w:r>
          <w:rPr>
            <w:rFonts w:eastAsia="Times New Roman" w:cs="Times New Roman"/>
            <w:color w:val="0563C1"/>
            <w:szCs w:val="24"/>
            <w:u w:val="single"/>
          </w:rPr>
          <w:t>1</w:t>
        </w:r>
        <w:r w:rsidRPr="006F4465">
          <w:rPr>
            <w:rFonts w:eastAsia="Times New Roman" w:cs="Times New Roman"/>
            <w:color w:val="0563C1"/>
            <w:szCs w:val="24"/>
            <w:u w:val="single"/>
          </w:rPr>
          <w:t>.S</w:t>
        </w:r>
      </w:hyperlink>
    </w:p>
    <w:p w14:paraId="4948C8B2" w14:textId="08484223" w:rsidR="006F4465" w:rsidRDefault="006F4465" w:rsidP="006F4465">
      <w:pPr>
        <w:spacing w:after="0" w:line="276" w:lineRule="auto"/>
        <w:ind w:firstLine="567"/>
        <w:jc w:val="both"/>
        <w:rPr>
          <w:rFonts w:eastAsia="Times New Roman" w:cs="Times New Roman"/>
          <w:color w:val="0563C1"/>
          <w:szCs w:val="24"/>
          <w:u w:val="single"/>
        </w:rPr>
      </w:pPr>
    </w:p>
    <w:p w14:paraId="73260FBD" w14:textId="7777777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Augstākā tiesa šādā sastāvā:</w:t>
      </w:r>
    </w:p>
    <w:p w14:paraId="1636BE13" w14:textId="7777777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tiesnesis referents Intars Bisters,</w:t>
      </w:r>
    </w:p>
    <w:p w14:paraId="4D268E7B" w14:textId="7777777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tiesnese Zane Pētersone,</w:t>
      </w:r>
    </w:p>
    <w:p w14:paraId="5B34EBA2" w14:textId="7777777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tiesnesis Normunds Salenieks</w:t>
      </w:r>
    </w:p>
    <w:p w14:paraId="44FC1B45" w14:textId="77777777" w:rsidR="00C06BFE" w:rsidRDefault="00C06BFE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</w:p>
    <w:p w14:paraId="63B42726" w14:textId="6C961EA3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izskatīja rakstveida procesā civillietu sakarā ar prasītājas AS „Citadele banka” kasācijas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sūdzību par Rīgas apgabaltiesas Civillietu tiesas kolēģijas </w:t>
      </w:r>
      <w:proofErr w:type="gramStart"/>
      <w:r>
        <w:rPr>
          <w:rFonts w:ascii="TimesNewRomanPSMT" w:hAnsi="TimesNewRomanPSMT" w:cs="TimesNewRomanPSMT"/>
          <w:szCs w:val="24"/>
        </w:rPr>
        <w:t>2016.gada</w:t>
      </w:r>
      <w:proofErr w:type="gramEnd"/>
      <w:r>
        <w:rPr>
          <w:rFonts w:ascii="TimesNewRomanPSMT" w:hAnsi="TimesNewRomanPSMT" w:cs="TimesNewRomanPSMT"/>
          <w:szCs w:val="24"/>
        </w:rPr>
        <w:t xml:space="preserve"> 18.februāra spriedumu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AS „Citadele banka” prasībā pret </w:t>
      </w:r>
      <w:r w:rsidR="00C06BFE">
        <w:rPr>
          <w:rFonts w:ascii="TimesNewRomanPSMT" w:hAnsi="TimesNewRomanPSMT" w:cs="TimesNewRomanPSMT"/>
          <w:szCs w:val="24"/>
        </w:rPr>
        <w:t>[pers. A]</w:t>
      </w:r>
      <w:r>
        <w:rPr>
          <w:rFonts w:ascii="TimesNewRomanPSMT" w:hAnsi="TimesNewRomanPSMT" w:cs="TimesNewRomanPSMT"/>
          <w:szCs w:val="24"/>
        </w:rPr>
        <w:t xml:space="preserve"> un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</w:t>
      </w:r>
      <w:r w:rsidR="00BD1940">
        <w:rPr>
          <w:rFonts w:ascii="TimesNewRomanPSMT" w:hAnsi="TimesNewRomanPSMT" w:cs="TimesNewRomanPSMT"/>
          <w:szCs w:val="24"/>
        </w:rPr>
        <w:t>]</w:t>
      </w:r>
      <w:proofErr w:type="spellEnd"/>
      <w:r>
        <w:rPr>
          <w:rFonts w:ascii="TimesNewRomanPSMT" w:hAnsi="TimesNewRomanPSMT" w:cs="TimesNewRomanPSMT"/>
          <w:szCs w:val="24"/>
        </w:rPr>
        <w:t xml:space="preserve"> par parāda piedziņu, pirkuma līguma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atzīšanu par spēkā neesošu, zemesgrāmatas ieraksta labošanu un piedziņas vēršanu uz nekustamo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īpašumu, lietā ar trešo personu SIA „</w:t>
      </w:r>
      <w:proofErr w:type="spellStart"/>
      <w:r>
        <w:rPr>
          <w:rFonts w:ascii="TimesNewRomanPSMT" w:hAnsi="TimesNewRomanPSMT" w:cs="TimesNewRomanPSMT"/>
          <w:szCs w:val="24"/>
        </w:rPr>
        <w:t>Sirke</w:t>
      </w:r>
      <w:proofErr w:type="spellEnd"/>
      <w:r>
        <w:rPr>
          <w:rFonts w:ascii="TimesNewRomanPSMT" w:hAnsi="TimesNewRomanPSMT" w:cs="TimesNewRomanPSMT"/>
          <w:szCs w:val="24"/>
        </w:rPr>
        <w:t>”.</w:t>
      </w:r>
    </w:p>
    <w:p w14:paraId="6158FE58" w14:textId="77777777" w:rsidR="00C06BFE" w:rsidRDefault="00C06BFE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</w:p>
    <w:p w14:paraId="114ECA94" w14:textId="77777777" w:rsidR="006F4465" w:rsidRDefault="006F4465" w:rsidP="00C06BFE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Aprakstošā daļa</w:t>
      </w:r>
    </w:p>
    <w:p w14:paraId="6A472A3F" w14:textId="77777777" w:rsidR="00C06BFE" w:rsidRDefault="00C06BFE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</w:p>
    <w:p w14:paraId="5EB20AC2" w14:textId="22C02F58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[1] Starp AS „</w:t>
      </w:r>
      <w:proofErr w:type="spellStart"/>
      <w:r>
        <w:rPr>
          <w:rFonts w:ascii="TimesNewRomanPSMT" w:hAnsi="TimesNewRomanPSMT" w:cs="TimesNewRomanPSMT"/>
          <w:szCs w:val="24"/>
        </w:rPr>
        <w:t>Reverta</w:t>
      </w:r>
      <w:proofErr w:type="spellEnd"/>
      <w:r>
        <w:rPr>
          <w:rFonts w:ascii="TimesNewRomanPSMT" w:hAnsi="TimesNewRomanPSMT" w:cs="TimesNewRomanPSMT"/>
          <w:szCs w:val="24"/>
        </w:rPr>
        <w:t xml:space="preserve">” (iepriekšējais nosaukums AS „Parex banka”) kā aizdevēju un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kā aizņēmēju </w:t>
      </w:r>
      <w:proofErr w:type="gramStart"/>
      <w:r>
        <w:rPr>
          <w:rFonts w:ascii="TimesNewRomanPSMT" w:hAnsi="TimesNewRomanPSMT" w:cs="TimesNewRomanPSMT"/>
          <w:szCs w:val="24"/>
        </w:rPr>
        <w:t>2010.gada</w:t>
      </w:r>
      <w:proofErr w:type="gramEnd"/>
      <w:r>
        <w:rPr>
          <w:rFonts w:ascii="TimesNewRomanPSMT" w:hAnsi="TimesNewRomanPSMT" w:cs="TimesNewRomanPSMT"/>
          <w:szCs w:val="24"/>
        </w:rPr>
        <w:t xml:space="preserve"> 14.jūnijā noslēgts patēriņa kredīta līgums Nr. PK-636-10/09 par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56</w:t>
      </w:r>
      <w:r w:rsidR="00BD1940">
        <w:rPr>
          <w:rFonts w:ascii="TimesNewRomanPSMT" w:hAnsi="TimesNewRomanPSMT" w:cs="TimesNewRomanPSMT"/>
          <w:szCs w:val="24"/>
        </w:rPr>
        <w:t> </w:t>
      </w:r>
      <w:r>
        <w:rPr>
          <w:rFonts w:ascii="TimesNewRomanPSMT" w:hAnsi="TimesNewRomanPSMT" w:cs="TimesNewRomanPSMT"/>
          <w:szCs w:val="24"/>
        </w:rPr>
        <w:t>726,06 LVL lielu aizdevumu ar tā atdošanas termiņu 2013.gada 14.jūnijā.</w:t>
      </w:r>
    </w:p>
    <w:p w14:paraId="74C3BCDE" w14:textId="0CDC0E5B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AS „</w:t>
      </w:r>
      <w:proofErr w:type="spellStart"/>
      <w:r>
        <w:rPr>
          <w:rFonts w:ascii="TimesNewRomanPSMT" w:hAnsi="TimesNewRomanPSMT" w:cs="TimesNewRomanPSMT"/>
          <w:szCs w:val="24"/>
        </w:rPr>
        <w:t>Reverta</w:t>
      </w:r>
      <w:proofErr w:type="spellEnd"/>
      <w:r>
        <w:rPr>
          <w:rFonts w:ascii="TimesNewRomanPSMT" w:hAnsi="TimesNewRomanPSMT" w:cs="TimesNewRomanPSMT"/>
          <w:szCs w:val="24"/>
        </w:rPr>
        <w:t xml:space="preserve">” kredītiestādes pārejas ceļā savas saistības </w:t>
      </w:r>
      <w:proofErr w:type="gramStart"/>
      <w:r>
        <w:rPr>
          <w:rFonts w:ascii="TimesNewRomanPSMT" w:hAnsi="TimesNewRomanPSMT" w:cs="TimesNewRomanPSMT"/>
          <w:szCs w:val="24"/>
        </w:rPr>
        <w:t>2010.gada</w:t>
      </w:r>
      <w:proofErr w:type="gramEnd"/>
      <w:r>
        <w:rPr>
          <w:rFonts w:ascii="TimesNewRomanPSMT" w:hAnsi="TimesNewRomanPSMT" w:cs="TimesNewRomanPSMT"/>
          <w:szCs w:val="24"/>
        </w:rPr>
        <w:t xml:space="preserve"> 1.augustā nodevusi AS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„Citadele banka”.</w:t>
      </w:r>
    </w:p>
    <w:p w14:paraId="207F5B98" w14:textId="42B7883B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AS „Citadele banka” </w:t>
      </w:r>
      <w:proofErr w:type="gramStart"/>
      <w:r>
        <w:rPr>
          <w:rFonts w:ascii="TimesNewRomanPSMT" w:hAnsi="TimesNewRomanPSMT" w:cs="TimesNewRomanPSMT"/>
          <w:szCs w:val="24"/>
        </w:rPr>
        <w:t>2011.gada</w:t>
      </w:r>
      <w:proofErr w:type="gramEnd"/>
      <w:r>
        <w:rPr>
          <w:rFonts w:ascii="TimesNewRomanPSMT" w:hAnsi="TimesNewRomanPSMT" w:cs="TimesNewRomanPSMT"/>
          <w:szCs w:val="24"/>
        </w:rPr>
        <w:t xml:space="preserve"> 12.aprīlī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nosūtīja paziņojumu par vienpusēju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atkāpšanos no patēriņa kredīta līguma </w:t>
      </w:r>
      <w:proofErr w:type="spellStart"/>
      <w:r>
        <w:rPr>
          <w:rFonts w:ascii="TimesNewRomanPSMT" w:hAnsi="TimesNewRomanPSMT" w:cs="TimesNewRomanPSMT"/>
          <w:szCs w:val="24"/>
        </w:rPr>
        <w:t>Nr.PK-636-10</w:t>
      </w:r>
      <w:proofErr w:type="spellEnd"/>
      <w:r>
        <w:rPr>
          <w:rFonts w:ascii="TimesNewRomanPSMT" w:hAnsi="TimesNewRomanPSMT" w:cs="TimesNewRomanPSMT"/>
          <w:szCs w:val="24"/>
        </w:rPr>
        <w:t>/09 un par viņas pienākumu nekavējoties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atmaksāt visu aizdevuma summu, ja līdz 2011.gada 20.aprīlim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nebūs veikusi kavēto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saistību izpildi.</w:t>
      </w:r>
    </w:p>
    <w:p w14:paraId="38D5F58F" w14:textId="77777777" w:rsidR="00C06BFE" w:rsidRDefault="00C06BFE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</w:p>
    <w:p w14:paraId="7B259E08" w14:textId="2BD6BFD3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[2] AS „Citadele banka” </w:t>
      </w:r>
      <w:proofErr w:type="gramStart"/>
      <w:r>
        <w:rPr>
          <w:rFonts w:ascii="TimesNewRomanPSMT" w:hAnsi="TimesNewRomanPSMT" w:cs="TimesNewRomanPSMT"/>
          <w:szCs w:val="24"/>
        </w:rPr>
        <w:t>2014.gada</w:t>
      </w:r>
      <w:proofErr w:type="gramEnd"/>
      <w:r>
        <w:rPr>
          <w:rFonts w:ascii="TimesNewRomanPSMT" w:hAnsi="TimesNewRomanPSMT" w:cs="TimesNewRomanPSMT"/>
          <w:szCs w:val="24"/>
        </w:rPr>
        <w:t xml:space="preserve"> 3.jūnijā (ar papildinājumiem 2015.gada 21.janvārī) cēlusi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tiesā prasību pret </w:t>
      </w:r>
      <w:r w:rsidR="00BD1940">
        <w:rPr>
          <w:rFonts w:ascii="TimesNewRomanPSMT" w:hAnsi="TimesNewRomanPSMT" w:cs="TimesNewRomanPSMT"/>
          <w:szCs w:val="24"/>
        </w:rPr>
        <w:t>[pers. A]</w:t>
      </w:r>
      <w:r>
        <w:rPr>
          <w:rFonts w:ascii="TimesNewRomanPSMT" w:hAnsi="TimesNewRomanPSMT" w:cs="TimesNewRomanPSMT"/>
          <w:szCs w:val="24"/>
        </w:rPr>
        <w:t xml:space="preserve"> un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>
        <w:rPr>
          <w:rFonts w:ascii="TimesNewRomanPSMT" w:hAnsi="TimesNewRomanPSMT" w:cs="TimesNewRomanPSMT"/>
          <w:szCs w:val="24"/>
        </w:rPr>
        <w:t xml:space="preserve"> par parāda piedziņu un piedziņas vēršanu uz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nekustamo īpašumu, izvirzot šādus prasījumus:</w:t>
      </w:r>
    </w:p>
    <w:p w14:paraId="17DB57E1" w14:textId="013D76DC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1) piedzīt no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parādu 100</w:t>
      </w:r>
      <w:r w:rsidR="00C06BFE">
        <w:rPr>
          <w:rFonts w:ascii="TimesNewRomanPSMT" w:hAnsi="TimesNewRomanPSMT" w:cs="TimesNewRomanPSMT"/>
          <w:szCs w:val="24"/>
        </w:rPr>
        <w:t> </w:t>
      </w:r>
      <w:r>
        <w:rPr>
          <w:rFonts w:ascii="TimesNewRomanPSMT" w:hAnsi="TimesNewRomanPSMT" w:cs="TimesNewRomanPSMT"/>
          <w:szCs w:val="24"/>
        </w:rPr>
        <w:t>514,77 EUR, ko veido neatmaksātā kredīta summa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79</w:t>
      </w:r>
      <w:r w:rsidR="00C06BFE">
        <w:rPr>
          <w:rFonts w:ascii="TimesNewRomanPSMT" w:hAnsi="TimesNewRomanPSMT" w:cs="TimesNewRomanPSMT"/>
          <w:szCs w:val="24"/>
        </w:rPr>
        <w:t> </w:t>
      </w:r>
      <w:r>
        <w:rPr>
          <w:rFonts w:ascii="TimesNewRomanPSMT" w:hAnsi="TimesNewRomanPSMT" w:cs="TimesNewRomanPSMT"/>
          <w:szCs w:val="24"/>
        </w:rPr>
        <w:t xml:space="preserve">366,12 EUR, procenti 4262,26 EUR par kredīta lietošanu laika posmā no </w:t>
      </w:r>
      <w:proofErr w:type="gramStart"/>
      <w:r>
        <w:rPr>
          <w:rFonts w:ascii="TimesNewRomanPSMT" w:hAnsi="TimesNewRomanPSMT" w:cs="TimesNewRomanPSMT"/>
          <w:szCs w:val="24"/>
        </w:rPr>
        <w:t>2010.gada</w:t>
      </w:r>
      <w:proofErr w:type="gramEnd"/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14.septembra līdz 2011.gada 21.aprīlim, līgumsods 204,76 EUR par laika posmu no 2010.gada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18.oktobra līdz 2011.gada 16.janvārim un likumiskie nokavējuma procenti 16</w:t>
      </w:r>
      <w:r w:rsidR="00C06BFE">
        <w:rPr>
          <w:rFonts w:ascii="TimesNewRomanPSMT" w:hAnsi="TimesNewRomanPSMT" w:cs="TimesNewRomanPSMT"/>
          <w:szCs w:val="24"/>
        </w:rPr>
        <w:t> </w:t>
      </w:r>
      <w:r>
        <w:rPr>
          <w:rFonts w:ascii="TimesNewRomanPSMT" w:hAnsi="TimesNewRomanPSMT" w:cs="TimesNewRomanPSMT"/>
          <w:szCs w:val="24"/>
        </w:rPr>
        <w:t>681,63 EUR par laika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posmu no 2011.gada 22.aprīļa līdz 2015.gada 27.janvārim;</w:t>
      </w:r>
    </w:p>
    <w:p w14:paraId="3E4338AE" w14:textId="40FE1734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lastRenderedPageBreak/>
        <w:t xml:space="preserve">2) atzīt par spēkā neesošu starp </w:t>
      </w:r>
      <w:r w:rsidR="00BD1940">
        <w:rPr>
          <w:rFonts w:ascii="TimesNewRomanPSMT" w:hAnsi="TimesNewRomanPSMT" w:cs="TimesNewRomanPSMT"/>
          <w:szCs w:val="24"/>
        </w:rPr>
        <w:t>[pers. A]</w:t>
      </w:r>
      <w:r>
        <w:rPr>
          <w:rFonts w:ascii="TimesNewRomanPSMT" w:hAnsi="TimesNewRomanPSMT" w:cs="TimesNewRomanPSMT"/>
          <w:szCs w:val="24"/>
        </w:rPr>
        <w:t xml:space="preserve"> un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>
        <w:rPr>
          <w:rFonts w:ascii="TimesNewRomanPSMT" w:hAnsi="TimesNewRomanPSMT" w:cs="TimesNewRomanPSMT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Cs w:val="24"/>
        </w:rPr>
        <w:t>2011.gada</w:t>
      </w:r>
      <w:proofErr w:type="gramEnd"/>
      <w:r>
        <w:rPr>
          <w:rFonts w:ascii="TimesNewRomanPSMT" w:hAnsi="TimesNewRomanPSMT" w:cs="TimesNewRomanPSMT"/>
          <w:szCs w:val="24"/>
        </w:rPr>
        <w:t xml:space="preserve"> 14.novembrī noslēgto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dzīvokļa īpašuma </w:t>
      </w:r>
      <w:r w:rsidR="0010768B">
        <w:rPr>
          <w:rFonts w:ascii="TimesNewRomanPSMT" w:hAnsi="TimesNewRomanPSMT" w:cs="TimesNewRomanPSMT"/>
          <w:szCs w:val="24"/>
        </w:rPr>
        <w:t>[</w:t>
      </w:r>
      <w:proofErr w:type="spellStart"/>
      <w:r w:rsidR="0010768B">
        <w:rPr>
          <w:rFonts w:ascii="TimesNewRomanPSMT" w:hAnsi="TimesNewRomanPSMT" w:cs="TimesNewRomanPSMT"/>
          <w:szCs w:val="24"/>
        </w:rPr>
        <w:t>adrese]</w:t>
      </w:r>
      <w:proofErr w:type="spellEnd"/>
      <w:r>
        <w:rPr>
          <w:rFonts w:ascii="TimesNewRomanPSMT" w:hAnsi="TimesNewRomanPSMT" w:cs="TimesNewRomanPSMT"/>
          <w:szCs w:val="24"/>
        </w:rPr>
        <w:t>, pirkuma līgumu, labojot ierakstu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zemesgrāmatā, par dzīvokļa īpašnieci norādot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>;</w:t>
      </w:r>
    </w:p>
    <w:p w14:paraId="0B37CD1F" w14:textId="7032831C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3) atzīt AS „Citadele banka” tiesības vērst piedziņu uz dzīvokļa īpašumu </w:t>
      </w:r>
      <w:r w:rsidR="0010768B">
        <w:rPr>
          <w:rFonts w:ascii="TimesNewRomanPSMT" w:hAnsi="TimesNewRomanPSMT" w:cs="TimesNewRomanPSMT"/>
          <w:szCs w:val="24"/>
        </w:rPr>
        <w:t>[</w:t>
      </w:r>
      <w:proofErr w:type="spellStart"/>
      <w:r w:rsidR="0010768B">
        <w:rPr>
          <w:rFonts w:ascii="TimesNewRomanPSMT" w:hAnsi="TimesNewRomanPSMT" w:cs="TimesNewRomanPSMT"/>
          <w:szCs w:val="24"/>
        </w:rPr>
        <w:t>adrese]</w:t>
      </w:r>
      <w:proofErr w:type="spellEnd"/>
      <w:r w:rsidR="00C548C8">
        <w:rPr>
          <w:rFonts w:ascii="TimesNewRomanPSMT" w:hAnsi="TimesNewRomanPSMT" w:cs="TimesNewRomanPSMT"/>
          <w:szCs w:val="24"/>
        </w:rPr>
        <w:t>;</w:t>
      </w:r>
    </w:p>
    <w:p w14:paraId="7855C9D4" w14:textId="119649C9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Ar Rīgas apgabaltiesas Civillietu tiesas kolēģijas </w:t>
      </w:r>
      <w:proofErr w:type="gramStart"/>
      <w:r>
        <w:rPr>
          <w:rFonts w:ascii="TimesNewRomanPSMT" w:hAnsi="TimesNewRomanPSMT" w:cs="TimesNewRomanPSMT"/>
          <w:szCs w:val="24"/>
        </w:rPr>
        <w:t>2014.gada</w:t>
      </w:r>
      <w:proofErr w:type="gramEnd"/>
      <w:r>
        <w:rPr>
          <w:rFonts w:ascii="TimesNewRomanPSMT" w:hAnsi="TimesNewRomanPSMT" w:cs="TimesNewRomanPSMT"/>
          <w:szCs w:val="24"/>
        </w:rPr>
        <w:t xml:space="preserve"> 16.oktobra protokola lēmumu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tiesas sēdē kā trešā persona lietā pieaicināta SIA „</w:t>
      </w:r>
      <w:proofErr w:type="spellStart"/>
      <w:r>
        <w:rPr>
          <w:rFonts w:ascii="TimesNewRomanPSMT" w:hAnsi="TimesNewRomanPSMT" w:cs="TimesNewRomanPSMT"/>
          <w:szCs w:val="24"/>
        </w:rPr>
        <w:t>Sirke</w:t>
      </w:r>
      <w:proofErr w:type="spellEnd"/>
      <w:r>
        <w:rPr>
          <w:rFonts w:ascii="TimesNewRomanPSMT" w:hAnsi="TimesNewRomanPSMT" w:cs="TimesNewRomanPSMT"/>
          <w:szCs w:val="24"/>
        </w:rPr>
        <w:t>”.</w:t>
      </w:r>
    </w:p>
    <w:p w14:paraId="15FA4046" w14:textId="3573FC9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Prasībā norādīts, ka pēc bankas paziņojuma saņemšanas par vienpusēju atkāpšanos no kredīta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līguma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Cs w:val="24"/>
        </w:rPr>
        <w:t>2011.gada</w:t>
      </w:r>
      <w:proofErr w:type="gramEnd"/>
      <w:r>
        <w:rPr>
          <w:rFonts w:ascii="TimesNewRomanPSMT" w:hAnsi="TimesNewRomanPSMT" w:cs="TimesNewRomanPSMT"/>
          <w:szCs w:val="24"/>
        </w:rPr>
        <w:t xml:space="preserve"> 14.novembrī noslēdza fiktīvu dzīvokļa īpašuma </w:t>
      </w:r>
      <w:r w:rsidR="00C548C8">
        <w:rPr>
          <w:rFonts w:ascii="TimesNewRomanPSMT" w:hAnsi="TimesNewRomanPSMT" w:cs="TimesNewRomanPSMT"/>
          <w:szCs w:val="24"/>
        </w:rPr>
        <w:t>[</w:t>
      </w:r>
      <w:proofErr w:type="spellStart"/>
      <w:r w:rsidR="00C548C8">
        <w:rPr>
          <w:rFonts w:ascii="TimesNewRomanPSMT" w:hAnsi="TimesNewRomanPSMT" w:cs="TimesNewRomanPSMT"/>
          <w:szCs w:val="24"/>
        </w:rPr>
        <w:t>adrese]</w:t>
      </w:r>
      <w:proofErr w:type="spellEnd"/>
      <w:r>
        <w:rPr>
          <w:rFonts w:ascii="TimesNewRomanPSMT" w:hAnsi="TimesNewRomanPSMT" w:cs="TimesNewRomanPSMT"/>
          <w:szCs w:val="24"/>
        </w:rPr>
        <w:t xml:space="preserve">, pirkuma līgumu ar savu māti </w:t>
      </w:r>
      <w:r w:rsidR="00BD1940">
        <w:rPr>
          <w:rFonts w:ascii="TimesNewRomanPSMT" w:hAnsi="TimesNewRomanPSMT" w:cs="TimesNewRomanPSMT"/>
          <w:szCs w:val="24"/>
        </w:rPr>
        <w:t>[pers. B]</w:t>
      </w:r>
      <w:r>
        <w:rPr>
          <w:rFonts w:ascii="TimesNewRomanPSMT" w:hAnsi="TimesNewRomanPSMT" w:cs="TimesNewRomanPSMT"/>
          <w:szCs w:val="24"/>
        </w:rPr>
        <w:t>.</w:t>
      </w:r>
    </w:p>
    <w:p w14:paraId="28A5ECDE" w14:textId="2A7D3142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Par pirkuma līguma fiktīvo dabu, kas tāpēc saskaņā ar Civillikuma 1. un </w:t>
      </w:r>
      <w:proofErr w:type="gramStart"/>
      <w:r>
        <w:rPr>
          <w:rFonts w:ascii="TimesNewRomanPSMT" w:hAnsi="TimesNewRomanPSMT" w:cs="TimesNewRomanPSMT"/>
          <w:szCs w:val="24"/>
        </w:rPr>
        <w:t>1415.pantu</w:t>
      </w:r>
      <w:proofErr w:type="gramEnd"/>
      <w:r>
        <w:rPr>
          <w:rFonts w:ascii="TimesNewRomanPSMT" w:hAnsi="TimesNewRomanPSMT" w:cs="TimesNewRomanPSMT"/>
          <w:szCs w:val="24"/>
        </w:rPr>
        <w:t xml:space="preserve"> nepelna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tiesas aizsardzību, liecina šādi apstākļi:</w:t>
      </w:r>
    </w:p>
    <w:p w14:paraId="4013F914" w14:textId="2441742C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1) dzīvokli </w:t>
      </w:r>
      <w:r w:rsidR="00C548C8">
        <w:rPr>
          <w:rFonts w:ascii="TimesNewRomanPSMT" w:hAnsi="TimesNewRomanPSMT" w:cs="TimesNewRomanPSMT"/>
          <w:szCs w:val="24"/>
        </w:rPr>
        <w:t>[</w:t>
      </w:r>
      <w:proofErr w:type="spellStart"/>
      <w:r w:rsidR="00C548C8">
        <w:rPr>
          <w:rFonts w:ascii="TimesNewRomanPSMT" w:hAnsi="TimesNewRomanPSMT" w:cs="TimesNewRomanPSMT"/>
          <w:szCs w:val="24"/>
        </w:rPr>
        <w:t>adrese]</w:t>
      </w:r>
      <w:proofErr w:type="spellEnd"/>
      <w:r>
        <w:rPr>
          <w:rFonts w:ascii="TimesNewRomanPSMT" w:hAnsi="TimesNewRomanPSMT" w:cs="TimesNewRomanPSMT"/>
          <w:szCs w:val="24"/>
        </w:rPr>
        <w:t xml:space="preserve">, </w:t>
      </w:r>
      <w:r w:rsidR="00BD1940">
        <w:rPr>
          <w:rFonts w:ascii="TimesNewRomanPSMT" w:hAnsi="TimesNewRomanPSMT" w:cs="TimesNewRomanPSMT"/>
          <w:szCs w:val="24"/>
        </w:rPr>
        <w:t>[pers. A]</w:t>
      </w:r>
      <w:r>
        <w:rPr>
          <w:rFonts w:ascii="TimesNewRomanPSMT" w:hAnsi="TimesNewRomanPSMT" w:cs="TimesNewRomanPSMT"/>
          <w:szCs w:val="24"/>
        </w:rPr>
        <w:t xml:space="preserve"> atsavināja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saistītai personai pēc tam, kad </w:t>
      </w:r>
      <w:proofErr w:type="gramStart"/>
      <w:r>
        <w:rPr>
          <w:rFonts w:ascii="TimesNewRomanPSMT" w:hAnsi="TimesNewRomanPSMT" w:cs="TimesNewRomanPSMT"/>
          <w:szCs w:val="24"/>
        </w:rPr>
        <w:t>2011.gada</w:t>
      </w:r>
      <w:proofErr w:type="gramEnd"/>
      <w:r>
        <w:rPr>
          <w:rFonts w:ascii="TimesNewRomanPSMT" w:hAnsi="TimesNewRomanPSMT" w:cs="TimesNewRomanPSMT"/>
          <w:szCs w:val="24"/>
        </w:rPr>
        <w:t xml:space="preserve"> 6.maijā bija saņēmusi AS „Citadele banka”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2011.gada 12.aprīļa paziņojumu (</w:t>
      </w:r>
      <w:r>
        <w:rPr>
          <w:rFonts w:ascii="TimesNewRomanPS-ItalicMT" w:hAnsi="TimesNewRomanPS-ItalicMT" w:cs="TimesNewRomanPS-ItalicMT"/>
          <w:i/>
          <w:iCs/>
          <w:szCs w:val="24"/>
        </w:rPr>
        <w:t>sk. lietas 2.sēj., 33., 34.l.l.</w:t>
      </w:r>
      <w:r>
        <w:rPr>
          <w:rFonts w:ascii="TimesNewRomanPSMT" w:hAnsi="TimesNewRomanPSMT" w:cs="TimesNewRomanPSMT"/>
          <w:szCs w:val="24"/>
        </w:rPr>
        <w:t>) par kredīta līguma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vienpusēju izbeigšanu un kļuva skaidrs, ka banka no aizņēmējas uzsāk aizdevuma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atlikuma un procentu, kas pārsniedz 70</w:t>
      </w:r>
      <w:r w:rsidR="00C06BFE">
        <w:rPr>
          <w:rFonts w:ascii="TimesNewRomanPSMT" w:hAnsi="TimesNewRomanPSMT" w:cs="TimesNewRomanPSMT"/>
          <w:szCs w:val="24"/>
        </w:rPr>
        <w:t> </w:t>
      </w:r>
      <w:r>
        <w:rPr>
          <w:rFonts w:ascii="TimesNewRomanPSMT" w:hAnsi="TimesNewRomanPSMT" w:cs="TimesNewRomanPSMT"/>
          <w:szCs w:val="24"/>
        </w:rPr>
        <w:t>000,00 EUR, atgūšanu;</w:t>
      </w:r>
    </w:p>
    <w:p w14:paraId="21BF9A22" w14:textId="62BB7603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2) </w:t>
      </w:r>
      <w:r w:rsidR="00BD1940">
        <w:rPr>
          <w:rFonts w:ascii="TimesNewRomanPSMT" w:hAnsi="TimesNewRomanPSMT" w:cs="TimesNewRomanPSMT"/>
          <w:szCs w:val="24"/>
        </w:rPr>
        <w:t>[pers. A]</w:t>
      </w:r>
      <w:r w:rsidR="00BD1940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māte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>
        <w:rPr>
          <w:rFonts w:ascii="TimesNewRomanPSMT" w:hAnsi="TimesNewRomanPSMT" w:cs="TimesNewRomanPSMT"/>
          <w:szCs w:val="24"/>
        </w:rPr>
        <w:t xml:space="preserve"> ir persona, kura zināja vai kurai vajadzēja zināt par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meitas neizpildītām saistībām pret banku;</w:t>
      </w:r>
    </w:p>
    <w:p w14:paraId="744541DE" w14:textId="272212D2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3) dzīvokļa īpašums atsavināts par 35</w:t>
      </w:r>
      <w:r w:rsidR="00C548C8">
        <w:rPr>
          <w:rFonts w:ascii="TimesNewRomanPSMT" w:hAnsi="TimesNewRomanPSMT" w:cs="TimesNewRomanPSMT"/>
          <w:szCs w:val="24"/>
        </w:rPr>
        <w:t> </w:t>
      </w:r>
      <w:r>
        <w:rPr>
          <w:rFonts w:ascii="TimesNewRomanPSMT" w:hAnsi="TimesNewRomanPSMT" w:cs="TimesNewRomanPSMT"/>
          <w:szCs w:val="24"/>
        </w:rPr>
        <w:t xml:space="preserve">571,80 EUR, kas ir </w:t>
      </w:r>
      <w:proofErr w:type="gramStart"/>
      <w:r>
        <w:rPr>
          <w:rFonts w:ascii="TimesNewRomanPSMT" w:hAnsi="TimesNewRomanPSMT" w:cs="TimesNewRomanPSMT"/>
          <w:szCs w:val="24"/>
        </w:rPr>
        <w:t>ne vien zemāka vērtība par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tā tirgus vērtību - 93 000,00 EUR, bet arī par tā kadastrālo vērtību</w:t>
      </w:r>
      <w:proofErr w:type="gramEnd"/>
      <w:r>
        <w:rPr>
          <w:rFonts w:ascii="TimesNewRomanPSMT" w:hAnsi="TimesNewRomanPSMT" w:cs="TimesNewRomanPSMT"/>
          <w:szCs w:val="24"/>
        </w:rPr>
        <w:t xml:space="preserve"> </w:t>
      </w:r>
      <w:r w:rsidR="00C06BFE">
        <w:rPr>
          <w:rFonts w:ascii="TimesNewRomanPSMT" w:hAnsi="TimesNewRomanPSMT" w:cs="TimesNewRomanPSMT"/>
          <w:szCs w:val="24"/>
        </w:rPr>
        <w:t>–</w:t>
      </w:r>
      <w:r>
        <w:rPr>
          <w:rFonts w:ascii="TimesNewRomanPSMT" w:hAnsi="TimesNewRomanPSMT" w:cs="TimesNewRomanPSMT"/>
          <w:szCs w:val="24"/>
        </w:rPr>
        <w:t xml:space="preserve"> 50</w:t>
      </w:r>
      <w:r w:rsidR="00C06BFE">
        <w:rPr>
          <w:rFonts w:ascii="TimesNewRomanPSMT" w:hAnsi="TimesNewRomanPSMT" w:cs="TimesNewRomanPSMT"/>
          <w:szCs w:val="24"/>
        </w:rPr>
        <w:t> </w:t>
      </w:r>
      <w:r>
        <w:rPr>
          <w:rFonts w:ascii="TimesNewRomanPSMT" w:hAnsi="TimesNewRomanPSMT" w:cs="TimesNewRomanPSMT"/>
          <w:szCs w:val="24"/>
        </w:rPr>
        <w:t>003,00 EUR;</w:t>
      </w:r>
    </w:p>
    <w:p w14:paraId="09A1E46A" w14:textId="6A6DDEF8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4)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joprojām dzīvo atsavinātajā dzīvoklī un ir arī tajā deklarējusi savu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dzīvesvietu, kas norāda uz nodomu tajā turpināt dzīvot. Šis apstāklis kopsakarā ar faktu,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ka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>
        <w:rPr>
          <w:rFonts w:ascii="TimesNewRomanPSMT" w:hAnsi="TimesNewRomanPSMT" w:cs="TimesNewRomanPSMT"/>
          <w:szCs w:val="24"/>
        </w:rPr>
        <w:t xml:space="preserve"> vēl pirms apstrīdētā pirkuma līguma noslēgšanas bija nostiprinātas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īpašuma tiesības uz tajā pašā daudzdzīvokļu mājā esošo dzīvokli Nr. 37, norāda uz to, ka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2011.gada 14.novembra pirkuma līgums noslēgts tikai ar mērķi nobēdzināt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mantu, lai kreditors uz to nevarētu vērst piedziņu.</w:t>
      </w:r>
    </w:p>
    <w:p w14:paraId="62317097" w14:textId="02C36D46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Prasība un tās papildinājumi pamatoti ar Civillikuma 1., 1415., 1587., </w:t>
      </w:r>
      <w:proofErr w:type="gramStart"/>
      <w:r>
        <w:rPr>
          <w:rFonts w:ascii="TimesNewRomanPSMT" w:hAnsi="TimesNewRomanPSMT" w:cs="TimesNewRomanPSMT"/>
          <w:szCs w:val="24"/>
        </w:rPr>
        <w:t>1589.pantu</w:t>
      </w:r>
      <w:proofErr w:type="gramEnd"/>
      <w:r>
        <w:rPr>
          <w:rFonts w:ascii="TimesNewRomanPSMT" w:hAnsi="TimesNewRomanPSMT" w:cs="TimesNewRomanPSMT"/>
          <w:szCs w:val="24"/>
        </w:rPr>
        <w:t xml:space="preserve"> un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1651.panta 3.punktu, 1716., 1717., 1720., 1753., 1756., 1764., 1828., 1943. un 1946.pantu.</w:t>
      </w:r>
    </w:p>
    <w:p w14:paraId="2A7843F8" w14:textId="77777777" w:rsidR="00C06BFE" w:rsidRDefault="00C06BFE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</w:p>
    <w:p w14:paraId="1DB940A7" w14:textId="7777777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[3] Ar Rīgas apgabaltiesas Civillietu tiesas kolēģijas </w:t>
      </w:r>
      <w:proofErr w:type="gramStart"/>
      <w:r>
        <w:rPr>
          <w:rFonts w:ascii="TimesNewRomanPSMT" w:hAnsi="TimesNewRomanPSMT" w:cs="TimesNewRomanPSMT"/>
          <w:szCs w:val="24"/>
        </w:rPr>
        <w:t>2015.gada</w:t>
      </w:r>
      <w:proofErr w:type="gramEnd"/>
      <w:r>
        <w:rPr>
          <w:rFonts w:ascii="TimesNewRomanPSMT" w:hAnsi="TimesNewRomanPSMT" w:cs="TimesNewRomanPSMT"/>
          <w:szCs w:val="24"/>
        </w:rPr>
        <w:t xml:space="preserve"> 10.februāra spriedumu</w:t>
      </w:r>
    </w:p>
    <w:p w14:paraId="5A044735" w14:textId="4038E5CB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prasība apmierināta daļā par neatmaksātā aizdevuma, aizdevuma lietošanas procentu, līgumsoda un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likumisko nokavējuma procentu kopsummā 100 514,77 EUR piedziņu no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>, tiesai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konstatējot, ka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prasības summu nav apstrīdējusi un nav arī iesniegusi pierādījumus par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aizdevuma atmaksu, līdz ar to parāds piedzenams saskaņā ar Civillikuma </w:t>
      </w:r>
      <w:proofErr w:type="gramStart"/>
      <w:r>
        <w:rPr>
          <w:rFonts w:ascii="TimesNewRomanPSMT" w:hAnsi="TimesNewRomanPSMT" w:cs="TimesNewRomanPSMT"/>
          <w:szCs w:val="24"/>
        </w:rPr>
        <w:t>1943.pantu</w:t>
      </w:r>
      <w:proofErr w:type="gramEnd"/>
      <w:r>
        <w:rPr>
          <w:rFonts w:ascii="TimesNewRomanPSMT" w:hAnsi="TimesNewRomanPSMT" w:cs="TimesNewRomanPSMT"/>
          <w:szCs w:val="24"/>
        </w:rPr>
        <w:t>.</w:t>
      </w:r>
    </w:p>
    <w:p w14:paraId="358AD6C1" w14:textId="5691F006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Spriedums par prasības noraidīšanu daļā par </w:t>
      </w:r>
      <w:proofErr w:type="gramStart"/>
      <w:r>
        <w:rPr>
          <w:rFonts w:ascii="TimesNewRomanPSMT" w:hAnsi="TimesNewRomanPSMT" w:cs="TimesNewRomanPSMT"/>
          <w:szCs w:val="24"/>
        </w:rPr>
        <w:t>2011.gada</w:t>
      </w:r>
      <w:proofErr w:type="gramEnd"/>
      <w:r>
        <w:rPr>
          <w:rFonts w:ascii="TimesNewRomanPSMT" w:hAnsi="TimesNewRomanPSMT" w:cs="TimesNewRomanPSMT"/>
          <w:szCs w:val="24"/>
        </w:rPr>
        <w:t xml:space="preserve"> 14.novembra pirkuma līguma atzīšanu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par spēkā neesošu, ieraksta izlabošanu zemesgrāmatā un piedziņas vēršanu uz nekustamo īpašumu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pamatots ar šādiem motīviem.</w:t>
      </w:r>
    </w:p>
    <w:p w14:paraId="614591AE" w14:textId="5713517B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[3.1] Nedz uz kredīta līguma noslēgšanas brīdi, nedz arī vēlāk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nebija noteikti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ierobežojumi rīcībai ar strīda priekšmetu.</w:t>
      </w:r>
    </w:p>
    <w:p w14:paraId="3655D7AC" w14:textId="6755454E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Tieši prasītājas kā profesionālas finanšu pakalpojumu sniedzējas kompetencē saskaņā ar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Patērētāju tiesību aizsardzības likuma </w:t>
      </w:r>
      <w:proofErr w:type="gramStart"/>
      <w:r>
        <w:rPr>
          <w:rFonts w:ascii="TimesNewRomanPSMT" w:hAnsi="TimesNewRomanPSMT" w:cs="TimesNewRomanPSMT"/>
          <w:szCs w:val="24"/>
        </w:rPr>
        <w:t>8.panta</w:t>
      </w:r>
      <w:proofErr w:type="gramEnd"/>
      <w:r>
        <w:rPr>
          <w:rFonts w:ascii="TimesNewRomanPSMT" w:hAnsi="TimesNewRomanPSMT" w:cs="TimesNewRomanPSMT"/>
          <w:szCs w:val="24"/>
        </w:rPr>
        <w:t xml:space="preserve"> piekto daļu ietilpa aizņēmējas maksātspējas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izvērtēšana.</w:t>
      </w:r>
    </w:p>
    <w:p w14:paraId="571DFAA7" w14:textId="6CD6CDE6" w:rsidR="006F4465" w:rsidRDefault="006F4465" w:rsidP="00C06BF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Prasītāja, neskatoties uz darījuma summu un apstākli, ka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pušu agrākos darījumos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jau bija pieļāvusi saistību izpildes kavējumu, nepieprasīja ķīlu saistības izpildes nodrošināšanai.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Citiem vārdiem, ievērojot pienācīgu rūpību, prasītāja būtu varējusi </w:t>
      </w:r>
      <w:r>
        <w:rPr>
          <w:rFonts w:ascii="TimesNewRomanPSMT" w:hAnsi="TimesNewRomanPSMT" w:cs="TimesNewRomanPSMT"/>
          <w:szCs w:val="24"/>
        </w:rPr>
        <w:lastRenderedPageBreak/>
        <w:t>nodrošināties pret tai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nelabvēlīgu seku iestāšanos, un šī pienākuma neizpilde nevar ietekmēt dzīvokļa īpašuma</w:t>
      </w:r>
      <w:r w:rsidR="00C06BFE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atsavināšanas darījuma spēkā esību, jo tā noslēgšanas laikā īpašniecei nebija tiesisku šķēršļu rīcībai ar to.</w:t>
      </w:r>
    </w:p>
    <w:p w14:paraId="4D3F3223" w14:textId="622EF050" w:rsidR="006F4465" w:rsidRDefault="00C06BFE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[</w:t>
      </w:r>
      <w:r w:rsidR="006F4465">
        <w:rPr>
          <w:rFonts w:ascii="TimesNewRomanPSMT" w:hAnsi="TimesNewRomanPSMT" w:cs="TimesNewRomanPSMT"/>
          <w:color w:val="000000"/>
          <w:szCs w:val="24"/>
        </w:rPr>
        <w:t xml:space="preserve">3.2] Lietā ir konstatējama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 w:rsidR="006F4465">
        <w:rPr>
          <w:rFonts w:ascii="TimesNewRomanPSMT" w:hAnsi="TimesNewRomanPSMT" w:cs="TimesNewRomanPSMT"/>
          <w:color w:val="000000"/>
          <w:szCs w:val="24"/>
        </w:rPr>
        <w:t xml:space="preserve"> patiesa griba atsavināt dzīvokļa īpašumu savai mātei</w:t>
      </w:r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 w:rsidR="006F4465">
        <w:rPr>
          <w:rFonts w:ascii="TimesNewRomanPSMT" w:hAnsi="TimesNewRomanPSMT" w:cs="TimesNewRomanPSMT"/>
          <w:color w:val="000000"/>
          <w:szCs w:val="24"/>
        </w:rPr>
        <w:t xml:space="preserve">, kura saskaņā ar lietas materiālos esošajiem rakstveida pierādījumiem palīdzēja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 w:rsidR="006F4465">
        <w:rPr>
          <w:rFonts w:ascii="TimesNewRomanPSMT" w:hAnsi="TimesNewRomanPSMT" w:cs="TimesNewRomanPSMT"/>
          <w:color w:val="000000"/>
          <w:szCs w:val="24"/>
        </w:rPr>
        <w:t xml:space="preserve"> strīdus dzīvokli iegūt privatizācijas ceļā, kas arī izskaidro apstākli, kāpēc pirkuma cena ir</w:t>
      </w:r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r w:rsidR="006F4465">
        <w:rPr>
          <w:rFonts w:ascii="TimesNewRomanPSMT" w:hAnsi="TimesNewRomanPSMT" w:cs="TimesNewRomanPSMT"/>
          <w:color w:val="000000"/>
          <w:szCs w:val="24"/>
        </w:rPr>
        <w:t>ievērojami zemāka par dzīvokļa īpašuma tirgus vērtību.</w:t>
      </w:r>
    </w:p>
    <w:p w14:paraId="2D0758B4" w14:textId="629B58B8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Pat ja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>, noslēdzot apstrīdēto pirkuma līgumu, vadīja vēlme izvairīties no saistību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izpildes, tad lietā jebkurā gadījumā nav pierādījumu par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nelabticīgu rīcību, proti, ka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viņa būtu zinājusi par meitas parādsaistībām. Arī Augstākās tiesas judikatūrā nostiprināta atziņa, ka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gadījumā, ja jaunais īpašnieks īpašumu ieguvis labā ticībā, tad viņa tiesības ir aizsargājamas (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sk.</w:t>
      </w:r>
      <w:r w:rsidR="00C06BFE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Augstākās tiesas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2010.gada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7.aprīļa sprieduma lietā Nr. SKC-74/2010 (C</w:t>
      </w:r>
      <w:r>
        <w:rPr>
          <w:rFonts w:ascii="TimesNewRomanPS-ItalicMT" w:hAnsi="TimesNewRomanPS-ItalicMT" w:cs="TimesNewRomanPS-ItalicMT"/>
          <w:i/>
          <w:iCs/>
          <w:color w:val="2B2B2B"/>
          <w:szCs w:val="24"/>
        </w:rPr>
        <w:t>04394604) 10.punktu</w:t>
      </w:r>
      <w:r>
        <w:rPr>
          <w:rFonts w:ascii="TimesNewRomanPSMT" w:hAnsi="TimesNewRomanPSMT" w:cs="TimesNewRomanPSMT"/>
          <w:color w:val="000000"/>
          <w:szCs w:val="24"/>
        </w:rPr>
        <w:t>).</w:t>
      </w:r>
    </w:p>
    <w:p w14:paraId="76520B38" w14:textId="77777777" w:rsidR="00C06BFE" w:rsidRDefault="00C06BFE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</w:p>
    <w:p w14:paraId="4E903FA4" w14:textId="5E010E78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[4] Minēto spriedumu prasības noraidītajā daļā apelācijas kārtībā pārsūdzējusi AS „Citadele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banka”.</w:t>
      </w:r>
    </w:p>
    <w:p w14:paraId="0CC7D9B6" w14:textId="3003BA4A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Rīgas apgabaltiesas Civillietu tiesas kolēģijas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2015.gada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10.februāra spriedums daļā, ar kuru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no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par labu AS „Citadele banka” piedzīts parāds 100</w:t>
      </w:r>
      <w:r w:rsidR="00C06BFE">
        <w:rPr>
          <w:rFonts w:ascii="TimesNewRomanPSMT" w:hAnsi="TimesNewRomanPSMT" w:cs="TimesNewRomanPSMT"/>
          <w:color w:val="000000"/>
          <w:szCs w:val="24"/>
        </w:rPr>
        <w:t> </w:t>
      </w:r>
      <w:r>
        <w:rPr>
          <w:rFonts w:ascii="TimesNewRomanPSMT" w:hAnsi="TimesNewRomanPSMT" w:cs="TimesNewRomanPSMT"/>
          <w:color w:val="000000"/>
          <w:szCs w:val="24"/>
        </w:rPr>
        <w:t>514,77 EUR, apelācijas kārtībā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nav pārsūdzēts, ir stājies likumīgā spēkā un 2015.gada 26.maijā nodots piespiedu izpildei.</w:t>
      </w:r>
    </w:p>
    <w:p w14:paraId="148E2B2B" w14:textId="77777777" w:rsidR="00C06BFE" w:rsidRDefault="00C06BFE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</w:p>
    <w:p w14:paraId="7F9DFD52" w14:textId="152655FE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[5] Izskatījusi lietu sakarā ar AS „Citadele banka” apelācijas sūdzību, Rīgas apgabaltiesas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Civillietu tiesas kolēģija ar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2016.gada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18.februāra spriedumu prasību pret </w:t>
      </w:r>
      <w:r w:rsidR="00BD1940">
        <w:rPr>
          <w:rFonts w:ascii="TimesNewRomanPSMT" w:hAnsi="TimesNewRomanPSMT" w:cs="TimesNewRomanPSMT"/>
          <w:szCs w:val="24"/>
        </w:rPr>
        <w:t>[pers. A]</w:t>
      </w:r>
      <w:r w:rsidR="00BD1940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un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par dzīvokļa pirkuma līguma atzīšanu par spēkā neesošu, nostiprinājuma ierakstu labošanu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zemesgrāmatā un piedziņas vēršanu uz nekustamo īpašumu noraidīja.</w:t>
      </w:r>
    </w:p>
    <w:p w14:paraId="4F185FEB" w14:textId="4F3C1393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Apelācijas instances tiesa saskaņā ar Civilprocesa likuma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432.panta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piekto daļu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pievienojusies pirmās instances tiesas spriedumā norādītajiem apsvērumiem.</w:t>
      </w:r>
    </w:p>
    <w:p w14:paraId="75249435" w14:textId="7777777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AS „Citadele banka” apelācijas sūdzībā ietvertie argumenti noraidīti ar šādu pamatojumu.</w:t>
      </w:r>
    </w:p>
    <w:p w14:paraId="64361065" w14:textId="466523F1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[5.1] Ceļot prasību saskaņā ar Civillikuma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1415.pantu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>, prasītājai jāpierāda, ka 2011.gada</w:t>
      </w:r>
      <w:r w:rsidR="00C06BF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14.novembra pirkuma līguma slēgšana vērtējama kā neatļauta un nepieklājīga darbība, kuras mērķis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ir pretējs labiem tikumiem.</w:t>
      </w:r>
    </w:p>
    <w:p w14:paraId="3D6279C5" w14:textId="4F4686CF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Šajā sakarā Civillietu tiesas kolēģija ņem vērā gan Augstākās tiesas judikatūrā nostiprināto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atziņu, ka īpašuma pirkšana un pārdošana kā darbība pati par sevi nav atzīstama kā neatļauta vai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nepieklājīga darbība (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sk. Augstākās tiesas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2006.gada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20.septembru spriedumu lietā Nr. SKC-489/2006 (C06030004)</w:t>
      </w:r>
      <w:r>
        <w:rPr>
          <w:rFonts w:ascii="TimesNewRomanPSMT" w:hAnsi="TimesNewRomanPSMT" w:cs="TimesNewRomanPSMT"/>
          <w:color w:val="000000"/>
          <w:szCs w:val="24"/>
        </w:rPr>
        <w:t>), gan tiesu praksi, saskaņā ar kuru Civillikuma 1415.pantā minētais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„darījuma mērķis” ir darījuma dalībnieku motīvs (</w:t>
      </w:r>
      <w:proofErr w:type="spellStart"/>
      <w:r w:rsidRPr="00C06BFE">
        <w:rPr>
          <w:rFonts w:ascii="TimesNewRomanPSMT" w:hAnsi="TimesNewRomanPSMT" w:cs="TimesNewRomanPSMT"/>
          <w:i/>
          <w:iCs/>
          <w:color w:val="000000"/>
          <w:szCs w:val="24"/>
        </w:rPr>
        <w:t>causa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>), kura dēļ tiek slēgts darījums un, ja pat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ārēji darījums ir tiesisks, tad, izvērtējot tā pamatā esošos motīvus, pastāv iespēja darījumu atzīt par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spēkā neesošu (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sk. Tiesu prakses apkopojums par Civillikuma 1415.panta piemērošanu, 2008,</w:t>
      </w:r>
      <w:r w:rsidR="00DE4EC4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36.lpp. Pieejams: </w:t>
      </w:r>
      <w:r>
        <w:rPr>
          <w:rFonts w:ascii="TimesNewRomanPS-ItalicMT" w:hAnsi="TimesNewRomanPS-ItalicMT" w:cs="TimesNewRomanPS-ItalicMT"/>
          <w:i/>
          <w:iCs/>
          <w:color w:val="000081"/>
          <w:szCs w:val="24"/>
        </w:rPr>
        <w:t>http://at.gov.lv/lv/judikatura/tiesuprakses-apkopojumi/civiltiesibas/</w:t>
      </w:r>
      <w:r>
        <w:rPr>
          <w:rFonts w:ascii="TimesNewRomanPSMT" w:hAnsi="TimesNewRomanPSMT" w:cs="TimesNewRomanPSMT"/>
          <w:color w:val="000000"/>
          <w:szCs w:val="24"/>
        </w:rPr>
        <w:t>). Tiesai ir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jāizvērtē darījuma dalībnieku gribas īstums un darījuma mērķis, ņemot vērā tikai tos apstākļus, kādi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pastāvējuši darījuma noslēgšanas brīdī.</w:t>
      </w:r>
    </w:p>
    <w:p w14:paraId="533E60EE" w14:textId="062B3609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[5.2] Ievērojot, ka apstrīdētā pirkuma līguma noslēgšanas brīdī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bija pilnīgas varas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tiesības pār dzīvokļa īpašumu un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2010.gada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14.jūnijā, izsniedzot aizdevumu, banka neprasīja, lai tās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labā tiktu nostiprināta hipotēka, apelācijas instances tiesa par pilnībā pamatotu atzīst prasības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noraidīšanu.</w:t>
      </w:r>
    </w:p>
    <w:p w14:paraId="73F00F76" w14:textId="194B110E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lastRenderedPageBreak/>
        <w:t xml:space="preserve">Prasītāja atbilstoši Civilprocesa likuma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93.panta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pirmās daļas noteikumiem nav pierādījusi, ka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apstrīdētā pirkuma līguma priekšmets bija pretlikumīga, netikumīga vai negodīga darbība, tāpēc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pirmās instances tiesai nebija un arī apelācijas instances tiesai nav pamata darījumu atzīt par spēkā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neesošu, balstoties uz Civillikuma 1415.pantu.</w:t>
      </w:r>
    </w:p>
    <w:p w14:paraId="659944E1" w14:textId="6D235D68" w:rsidR="006F4465" w:rsidRDefault="006F4465" w:rsidP="00DE4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Tiesas kolēģija norāda, ka Civillikuma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1415.pants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izskatāmajā lietā nav piemērojams arī tā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iemesla pēc, ka nav pierādījumu par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nelabticīgu rīcību, proti, ka viņa zinājusi par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meitas parādsaistībām. Par iespējamu minētās normas pārkāpumu neliecina arī darījuma summa, jo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lietā nav strīda par faktu, ka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atteicās no sava dzīvokļa</w:t>
      </w:r>
      <w:r w:rsidR="00C548C8">
        <w:rPr>
          <w:rFonts w:ascii="TimesNewRomanPSMT" w:hAnsi="TimesNewRomanPSMT" w:cs="TimesNewRomanPSMT"/>
          <w:color w:val="000000"/>
          <w:szCs w:val="24"/>
        </w:rPr>
        <w:t xml:space="preserve"> [adrese 1]</w:t>
      </w:r>
      <w:r>
        <w:rPr>
          <w:rFonts w:ascii="TimesNewRomanPSMT" w:hAnsi="TimesNewRomanPSMT" w:cs="TimesNewRomanPSMT"/>
          <w:color w:val="000000"/>
          <w:szCs w:val="24"/>
        </w:rPr>
        <w:t>, lai viņas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meita,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>, maiņas un privatizācijas ceļā varētu iegūt strīdus dzīvokli.</w:t>
      </w:r>
    </w:p>
    <w:p w14:paraId="1E4EBB59" w14:textId="4D761894" w:rsidR="006F4465" w:rsidRDefault="006F4465" w:rsidP="006F4465">
      <w:pPr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</w:p>
    <w:p w14:paraId="54CB3E45" w14:textId="63D44FF3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[6] Par Rīgas apgabaltiesas Civillietu tiesas kolēģijas </w:t>
      </w:r>
      <w:proofErr w:type="gramStart"/>
      <w:r>
        <w:rPr>
          <w:rFonts w:ascii="TimesNewRomanPSMT" w:hAnsi="TimesNewRomanPSMT" w:cs="TimesNewRomanPSMT"/>
          <w:szCs w:val="24"/>
        </w:rPr>
        <w:t>2016.gada</w:t>
      </w:r>
      <w:proofErr w:type="gramEnd"/>
      <w:r>
        <w:rPr>
          <w:rFonts w:ascii="TimesNewRomanPSMT" w:hAnsi="TimesNewRomanPSMT" w:cs="TimesNewRomanPSMT"/>
          <w:szCs w:val="24"/>
        </w:rPr>
        <w:t xml:space="preserve"> 18.februāra spriedumu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kasācijas sūdzību iesniedza AS „Citadele banka”, pārsūdzot spriedumu pilnībā.</w:t>
      </w:r>
    </w:p>
    <w:p w14:paraId="1420CAFD" w14:textId="7777777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Kasācijas sūdzībā norādīti šādi argumenti.</w:t>
      </w:r>
    </w:p>
    <w:p w14:paraId="5ED20479" w14:textId="6417D035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[6.1] Tiesa nepareizi iztulkojusi un pēc tam arī nepareizi piemērojusi Civillikuma </w:t>
      </w:r>
      <w:proofErr w:type="gramStart"/>
      <w:r>
        <w:rPr>
          <w:rFonts w:ascii="TimesNewRomanPSMT" w:hAnsi="TimesNewRomanPSMT" w:cs="TimesNewRomanPSMT"/>
          <w:szCs w:val="24"/>
        </w:rPr>
        <w:t>1415.pantu</w:t>
      </w:r>
      <w:proofErr w:type="gramEnd"/>
      <w:r>
        <w:rPr>
          <w:rFonts w:ascii="TimesNewRomanPSMT" w:hAnsi="TimesNewRomanPSMT" w:cs="TimesNewRomanPSMT"/>
          <w:szCs w:val="24"/>
        </w:rPr>
        <w:t>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aprobežojoties ar atzinumu, ka pirkuma līguma noslēgšana par priekšmetu, kas nav izņemts no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civiltiesiskās apgrozības, nevar tikt atzīta par darbību, kas ir pretēja labiem tikumiem.</w:t>
      </w:r>
    </w:p>
    <w:p w14:paraId="4979CDD4" w14:textId="6E1AB5ED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Šādu sašaurinātu un formālu tiesību normas iztulkojumu, nepievēršoties darījuma mērķa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noskaidrošanai, nevar attaisnot ar atsaukšanos uz Augstākās tiesas spriedumu lietā, kurā nebija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šaubu par darījuma dalībnieku patieso gribu atsavināt īpašumu (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sk. Augstākās tiesas </w:t>
      </w:r>
      <w:proofErr w:type="gramStart"/>
      <w:r>
        <w:rPr>
          <w:rFonts w:ascii="TimesNewRomanPS-ItalicMT" w:hAnsi="TimesNewRomanPS-ItalicMT" w:cs="TimesNewRomanPS-ItalicMT"/>
          <w:i/>
          <w:iCs/>
          <w:szCs w:val="24"/>
        </w:rPr>
        <w:t>2006.gada</w:t>
      </w:r>
      <w:proofErr w:type="gramEnd"/>
      <w:r w:rsidR="00DE4EC4">
        <w:rPr>
          <w:rFonts w:ascii="TimesNewRomanPS-ItalicMT" w:hAnsi="TimesNewRomanPS-ItalicMT" w:cs="TimesNewRomanPS-ItalicMT"/>
          <w:i/>
          <w:iCs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Cs w:val="24"/>
        </w:rPr>
        <w:t>20.septembru spriedumu lietā Nr. SKC-489/2006 (C06030004)</w:t>
      </w:r>
      <w:r>
        <w:rPr>
          <w:rFonts w:ascii="TimesNewRomanPSMT" w:hAnsi="TimesNewRomanPSMT" w:cs="TimesNewRomanPSMT"/>
          <w:szCs w:val="24"/>
        </w:rPr>
        <w:t>).</w:t>
      </w:r>
    </w:p>
    <w:p w14:paraId="2AC3735E" w14:textId="505D2EE4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[6.2] Apelācijas instances tiesas pieeja strīda izšķiršanā, ņemot vērā tikai kritēriju, vai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darījuma priekšmets un forma, kādā tas ietērpts, bija vai nebija tiesisks, ir nepareiza.</w:t>
      </w:r>
    </w:p>
    <w:p w14:paraId="29F2F42D" w14:textId="0581DA8D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Uz to, ka tiesai bija jānoskaidro darījuma dalībnieku motīvi, kas tos pamudinājuši noslēgt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pirkuma līgumu, norāda arī tiesu prakses apkopojumā „Par Civillikuma </w:t>
      </w:r>
      <w:proofErr w:type="gramStart"/>
      <w:r>
        <w:rPr>
          <w:rFonts w:ascii="TimesNewRomanPSMT" w:hAnsi="TimesNewRomanPSMT" w:cs="TimesNewRomanPSMT"/>
          <w:szCs w:val="24"/>
        </w:rPr>
        <w:t>1415.panta</w:t>
      </w:r>
      <w:proofErr w:type="gramEnd"/>
      <w:r>
        <w:rPr>
          <w:rFonts w:ascii="TimesNewRomanPSMT" w:hAnsi="TimesNewRomanPSMT" w:cs="TimesNewRomanPSMT"/>
          <w:szCs w:val="24"/>
        </w:rPr>
        <w:t xml:space="preserve"> piemērošanu”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minētais: „[..] Civillikuma </w:t>
      </w:r>
      <w:proofErr w:type="gramStart"/>
      <w:r>
        <w:rPr>
          <w:rFonts w:ascii="TimesNewRomanPSMT" w:hAnsi="TimesNewRomanPSMT" w:cs="TimesNewRomanPSMT"/>
          <w:szCs w:val="24"/>
        </w:rPr>
        <w:t>1415.panta</w:t>
      </w:r>
      <w:proofErr w:type="gramEnd"/>
      <w:r>
        <w:rPr>
          <w:rFonts w:ascii="TimesNewRomanPSMT" w:hAnsi="TimesNewRomanPSMT" w:cs="TimesNewRomanPSMT"/>
          <w:szCs w:val="24"/>
        </w:rPr>
        <w:t xml:space="preserve"> izpratnē jēdziens „mērķis” tiek saprasts ar darījuma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dalībnieku subjektīvajām vēlmēm, ko darījuma dalībnieks vēlas realizēt, veicot darījumu (piem.,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iegūt īpašuma tiesības darījuma rezultātā, lai vēlāk šo īpašumu likumīgi izmantotu augļu gūšanai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vai noziedzīgu darbību veikšanai). Šis mērķis nav objektīvi (ārēji) konstatējams, jo tā izzināšanai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nepieciešama darījuma dalībnieka gribas patieso motīvu noskaidrošana.”</w:t>
      </w:r>
    </w:p>
    <w:p w14:paraId="3A819473" w14:textId="06679B6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Apelācijas sūdzībā prasītāja uzskaitījusi atbildētāju darbības un lietas faktiskos apstākļus, kas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liecina par īpašuma pārdošanu ar mērķi izvairīties no aizdevuma atmaksas. Pretēji Civilprocesa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likuma </w:t>
      </w:r>
      <w:proofErr w:type="gramStart"/>
      <w:r>
        <w:rPr>
          <w:rFonts w:ascii="TimesNewRomanPSMT" w:hAnsi="TimesNewRomanPSMT" w:cs="TimesNewRomanPSMT"/>
          <w:szCs w:val="24"/>
        </w:rPr>
        <w:t>97.panta</w:t>
      </w:r>
      <w:proofErr w:type="gramEnd"/>
      <w:r>
        <w:rPr>
          <w:rFonts w:ascii="TimesNewRomanPSMT" w:hAnsi="TimesNewRomanPSMT" w:cs="TimesNewRomanPSMT"/>
          <w:szCs w:val="24"/>
        </w:rPr>
        <w:t xml:space="preserve"> noteikumiem, kas tiesai uzliek par pienākumu pierādījumus novērtēt vispusīgi,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pilnīgi un objektīvi, Civillietu tiesas kolēģija šos būtiskos apstākļus, kuriem var būt nozīme strīda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pareizā izšķiršanā, nav vērtējusi, kā rezultātā nav nodibinājusi priekšnoteikumus Civillikuma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1415.panta piemērošanai.</w:t>
      </w:r>
    </w:p>
    <w:p w14:paraId="0D922E83" w14:textId="33502F5A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Apelācijas instances tiesa neizpildīja Civilprocesa likuma </w:t>
      </w:r>
      <w:proofErr w:type="gramStart"/>
      <w:r>
        <w:rPr>
          <w:rFonts w:ascii="TimesNewRomanPSMT" w:hAnsi="TimesNewRomanPSMT" w:cs="TimesNewRomanPSMT"/>
          <w:szCs w:val="24"/>
        </w:rPr>
        <w:t>8.panta</w:t>
      </w:r>
      <w:proofErr w:type="gramEnd"/>
      <w:r>
        <w:rPr>
          <w:rFonts w:ascii="TimesNewRomanPSMT" w:hAnsi="TimesNewRomanPSMT" w:cs="TimesNewRomanPSMT"/>
          <w:szCs w:val="24"/>
        </w:rPr>
        <w:t xml:space="preserve"> pirmajā daļā noteikto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pienākumu un nenoskaidroja, kādu motīvu vadītas </w:t>
      </w:r>
      <w:r w:rsidR="00BD1940">
        <w:rPr>
          <w:rFonts w:ascii="TimesNewRomanPSMT" w:hAnsi="TimesNewRomanPSMT" w:cs="TimesNewRomanPSMT"/>
          <w:szCs w:val="24"/>
        </w:rPr>
        <w:t>[pers. A]</w:t>
      </w:r>
      <w:r>
        <w:rPr>
          <w:rFonts w:ascii="TimesNewRomanPSMT" w:hAnsi="TimesNewRomanPSMT" w:cs="TimesNewRomanPSMT"/>
          <w:szCs w:val="24"/>
        </w:rPr>
        <w:t xml:space="preserve"> un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>
        <w:rPr>
          <w:rFonts w:ascii="TimesNewRomanPSMT" w:hAnsi="TimesNewRomanPSMT" w:cs="TimesNewRomanPSMT"/>
          <w:szCs w:val="24"/>
        </w:rPr>
        <w:t xml:space="preserve"> slēdza 2011.gada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14.novembra dzīvokļa īpašuma pirkuma līgumu. Tas nozīmē, ka lieta pēc būtības nav izspriesta, kā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arī spriedumā nav atrodami motīvi, kas bijuši par pamatu prasības noraidīšanai. Minētais savukārt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atzīstams par Civilprocesa likuma </w:t>
      </w:r>
      <w:proofErr w:type="gramStart"/>
      <w:r>
        <w:rPr>
          <w:rFonts w:ascii="TimesNewRomanPSMT" w:hAnsi="TimesNewRomanPSMT" w:cs="TimesNewRomanPSMT"/>
          <w:szCs w:val="24"/>
        </w:rPr>
        <w:t>193.panta</w:t>
      </w:r>
      <w:proofErr w:type="gramEnd"/>
      <w:r>
        <w:rPr>
          <w:rFonts w:ascii="TimesNewRomanPSMT" w:hAnsi="TimesNewRomanPSMT" w:cs="TimesNewRomanPSMT"/>
          <w:szCs w:val="24"/>
        </w:rPr>
        <w:t xml:space="preserve"> piektās daļas un 426.panta pirmās daļas pārkāpumu.</w:t>
      </w:r>
    </w:p>
    <w:p w14:paraId="1A56D9B8" w14:textId="08796A82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[6.3] Tiesa lietā nav piemērojusi Civillikuma 1. un </w:t>
      </w:r>
      <w:proofErr w:type="gramStart"/>
      <w:r>
        <w:rPr>
          <w:rFonts w:ascii="TimesNewRomanPSMT" w:hAnsi="TimesNewRomanPSMT" w:cs="TimesNewRomanPSMT"/>
          <w:szCs w:val="24"/>
        </w:rPr>
        <w:t>1438.pantu</w:t>
      </w:r>
      <w:proofErr w:type="gramEnd"/>
      <w:r>
        <w:rPr>
          <w:rFonts w:ascii="TimesNewRomanPSMT" w:hAnsi="TimesNewRomanPSMT" w:cs="TimesNewRomanPSMT"/>
          <w:szCs w:val="24"/>
        </w:rPr>
        <w:t>, lai gan kā prasības pieteikumā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un tās papildinājumos, tā arī apelācijas sūdzībā prasītāja norādīja uz apstākļiem, kas </w:t>
      </w:r>
      <w:r>
        <w:rPr>
          <w:rFonts w:ascii="TimesNewRomanPSMT" w:hAnsi="TimesNewRomanPSMT" w:cs="TimesNewRomanPSMT"/>
          <w:szCs w:val="24"/>
        </w:rPr>
        <w:lastRenderedPageBreak/>
        <w:t>liecina, ka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nebija patiesas gribas pārdot dzīvokli </w:t>
      </w:r>
      <w:r w:rsidR="00C548C8">
        <w:rPr>
          <w:rFonts w:ascii="TimesNewRomanPSMT" w:hAnsi="TimesNewRomanPSMT" w:cs="TimesNewRomanPSMT"/>
          <w:szCs w:val="24"/>
        </w:rPr>
        <w:t>[</w:t>
      </w:r>
      <w:proofErr w:type="spellStart"/>
      <w:r w:rsidR="00C548C8">
        <w:rPr>
          <w:rFonts w:ascii="TimesNewRomanPSMT" w:hAnsi="TimesNewRomanPSMT" w:cs="TimesNewRomanPSMT"/>
          <w:szCs w:val="24"/>
        </w:rPr>
        <w:t>adrese]</w:t>
      </w:r>
      <w:proofErr w:type="spellEnd"/>
      <w:r>
        <w:rPr>
          <w:rFonts w:ascii="TimesNewRomanPSMT" w:hAnsi="TimesNewRomanPSMT" w:cs="TimesNewRomanPSMT"/>
          <w:szCs w:val="24"/>
        </w:rPr>
        <w:t>.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Īstais pirkuma līguma mērķis bija izvairīties no saistības, kurai iestājies izpildes termiņš, izpildes.</w:t>
      </w:r>
    </w:p>
    <w:p w14:paraId="4699B809" w14:textId="4644C773" w:rsidR="006F4465" w:rsidRDefault="006F4465" w:rsidP="00DE4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[6.4] Apgabaltiesas secinājumi, ar kuriem tā pamato, kāpēc atzinusi apstrīdēto pirkuma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līgumu par spēkā esošu, proti, ka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varēja būt patiesa griba dzīvokli pārdot savai mātei par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cenu, kas daudzkārt mazāka par tā tirgus vērtību, jo pēdējā</w:t>
      </w:r>
      <w:proofErr w:type="gramStart"/>
      <w:r>
        <w:rPr>
          <w:rFonts w:ascii="TimesNewRomanPSMT" w:hAnsi="TimesNewRomanPSMT" w:cs="TimesNewRomanPSMT"/>
          <w:szCs w:val="24"/>
        </w:rPr>
        <w:t xml:space="preserve"> līdzdarbojusies attiecīgā dzīvokļa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īpašuma iegūšanā maiņas un privatizācijas ceļā</w:t>
      </w:r>
      <w:proofErr w:type="gramEnd"/>
      <w:r>
        <w:rPr>
          <w:rFonts w:ascii="TimesNewRomanPSMT" w:hAnsi="TimesNewRomanPSMT" w:cs="TimesNewRomanPSMT"/>
          <w:szCs w:val="24"/>
        </w:rPr>
        <w:t>, kā arī veikusi tajā remontu, neatbilst Civilprocesa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likuma 97.panta pirmās un trešās daļas prasībām. Citiem vārdiem, pierādījumu lietā par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>
        <w:rPr>
          <w:rFonts w:ascii="TimesNewRomanPSMT" w:hAnsi="TimesNewRomanPSMT" w:cs="TimesNewRomanPSMT"/>
          <w:szCs w:val="24"/>
        </w:rPr>
        <w:t xml:space="preserve"> ieguldījumiem dzīvokļa īpašumā nav, bet ir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paskaidrojumi pirmās instances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tiesai, ka viņas māte ir pensionāre ar minimālo pensiju. Savukārt ziņas par to, ka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B]</w:t>
      </w:r>
      <w:proofErr w:type="spellEnd"/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privatizācijas laikā palīdzējusi savai meitai iegūt strīdus priekšmetu, nav uzskatāmas par būtiskiem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apstākļiem lietā, kuras pamats saistīts ar mantas nobēdzināšanu no kreditora.</w:t>
      </w:r>
    </w:p>
    <w:p w14:paraId="752D6622" w14:textId="69B41A43" w:rsidR="006F4465" w:rsidRDefault="006F4465" w:rsidP="006F4465">
      <w:pPr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</w:p>
    <w:p w14:paraId="139E3955" w14:textId="7EBB6D0C" w:rsidR="006F4465" w:rsidRDefault="006F4465" w:rsidP="00DE4EC4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Motīvu daļa</w:t>
      </w:r>
    </w:p>
    <w:p w14:paraId="7753664F" w14:textId="77777777" w:rsidR="00DE4EC4" w:rsidRDefault="00DE4EC4" w:rsidP="00DE4EC4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47E6161F" w14:textId="79BAD428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Pārbaudījusi sprieduma likumību attiecībā uz personu, kas to pārsūdzējusi, un attiecībā uz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argumentiem, kas minēti kasācijas sūdzībā, kā to nosaka Civilprocesa likuma </w:t>
      </w:r>
      <w:proofErr w:type="gramStart"/>
      <w:r>
        <w:rPr>
          <w:rFonts w:ascii="TimesNewRomanPSMT" w:hAnsi="TimesNewRomanPSMT" w:cs="TimesNewRomanPSMT"/>
          <w:szCs w:val="24"/>
        </w:rPr>
        <w:t>473.panta</w:t>
      </w:r>
      <w:proofErr w:type="gramEnd"/>
      <w:r>
        <w:rPr>
          <w:rFonts w:ascii="TimesNewRomanPSMT" w:hAnsi="TimesNewRomanPSMT" w:cs="TimesNewRomanPSMT"/>
          <w:szCs w:val="24"/>
        </w:rPr>
        <w:t xml:space="preserve"> pirmā daļa,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Augstākā tiesa atzīst, ka spriedums atceļams un lieta nododama jaunai izskatīšanai.</w:t>
      </w:r>
    </w:p>
    <w:p w14:paraId="0F69F699" w14:textId="77777777" w:rsidR="00DE4EC4" w:rsidRDefault="00DE4EC4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</w:p>
    <w:p w14:paraId="66FEF83B" w14:textId="0EFB1E56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[7] Augstākā tiesa atzīst par pamatotiem kasācijas sūdzības argumentus, kas attiecas uz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Civilprocesa likuma </w:t>
      </w:r>
      <w:proofErr w:type="gramStart"/>
      <w:r>
        <w:rPr>
          <w:rFonts w:ascii="TimesNewRomanPSMT" w:hAnsi="TimesNewRomanPSMT" w:cs="TimesNewRomanPSMT"/>
          <w:szCs w:val="24"/>
        </w:rPr>
        <w:t>8.panta</w:t>
      </w:r>
      <w:proofErr w:type="gramEnd"/>
      <w:r>
        <w:rPr>
          <w:rFonts w:ascii="TimesNewRomanPSMT" w:hAnsi="TimesNewRomanPSMT" w:cs="TimesNewRomanPSMT"/>
          <w:szCs w:val="24"/>
        </w:rPr>
        <w:t xml:space="preserve"> pirmās daļas, 97.panta pirmās un trešās daļas, 193.panta piektās daļas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un 426.panta pirmās daļas pārkāpumu.</w:t>
      </w:r>
    </w:p>
    <w:p w14:paraId="60CB5D7D" w14:textId="26DC784F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[7.1] Strīdos par izvairīšanos no saistību izpildes apstrīdēto fiktīvo darījumu dalībnieku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mērķis ir tieši ietekmēt nākotnē paredzamu tiesisko seku iestāšanos, pēc iespējas apgrūtinot vai pat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padarot par neiespējamu kreditora prasījumu apmierināšanu no parādnieka mantas.</w:t>
      </w:r>
    </w:p>
    <w:p w14:paraId="3D607C8B" w14:textId="4F584503" w:rsidR="006F4465" w:rsidRDefault="006F4465" w:rsidP="00DE4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Darījumiem, kurus apstrīd kā fiktīvus, īpatnība ir tā, ka, tos noslēdzot, ir ievērotas visas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formālās prasības, lai piedotu ticamību noslēgtajam līgumam, kaut gan dalībnieku patiesais nodoms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nav bijis civiltiesiski saistīties. Tiešu pierādījumu darījumu fikcijai parasti nav, bet, ja tādi arī ir, tad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tikai pie pašiem apstrīdētā darījuma dalībniekiem. Šādos gadījumos slēdzienu par līguma fiktīvo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raksturu var izdarīt no tādiem apstākļiem, kas saistīti ar noslēgto darījumu un dalībnieku rīcību,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tikai to kopumā, kuros saskatāmas savstarpējas sakarības, kas neatstāj vietu šaubām par nodomu, ar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kādu līgums slēgts. Vērtējot faktus selektīvi, nevar gūt pareizu, objektīvai realitātei atbilstošu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priekšstatu par strīda apstākļiem.</w:t>
      </w:r>
    </w:p>
    <w:p w14:paraId="4440911C" w14:textId="2304DC4D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Īpašu vērību pelna darījumi, kas slēgti ar personām, kas saistītas ar parādnieku, attiecībā pret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kurām ir pamatoti uzskatīt, ka tās zināja vai tām vajadzēja zināt par darījuma slēgšanas mērķi. Ne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velti Latvijā starpkaru periodā Civilprocesa likuma VI pielikumā tika paredzēta īpaša kārtība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darījumu apstrīdēšanai, kurus parādnieks noslēdzis kreditoram par ļaunu. Ja šādi darījumi slēgti ar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personu, kas saistīta ar parādnieku, tajā skaitā radinieku, tika pieņemts, ka šīs personas zinājušas par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parādnieka nolūku kaitēt kreditora interesēm, ciktāl viņas nepierāda pretējo.</w:t>
      </w:r>
    </w:p>
    <w:p w14:paraId="6F73AEFE" w14:textId="4F059ADA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Atjaunojot Civillikumu, piezīme pie </w:t>
      </w:r>
      <w:proofErr w:type="gramStart"/>
      <w:r>
        <w:rPr>
          <w:rFonts w:ascii="TimesNewRomanPSMT" w:hAnsi="TimesNewRomanPSMT" w:cs="TimesNewRomanPSMT"/>
          <w:szCs w:val="24"/>
        </w:rPr>
        <w:t>1438.panta</w:t>
      </w:r>
      <w:proofErr w:type="gramEnd"/>
      <w:r>
        <w:rPr>
          <w:rFonts w:ascii="TimesNewRomanPSMT" w:hAnsi="TimesNewRomanPSMT" w:cs="TimesNewRomanPSMT"/>
          <w:szCs w:val="24"/>
        </w:rPr>
        <w:t xml:space="preserve"> par īpašu procesuālo kārtību darījumu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apstrīdēšanai, kas noslēgti par ļaunu kreditoriem, ir saglabāta, bet procesuālā kārtība likumā nav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iekļauta.</w:t>
      </w:r>
    </w:p>
    <w:p w14:paraId="7B89CC1C" w14:textId="4C414A5F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Augstākās tiesas ieskatā īpašas kārtības neesība Civilprocesa likumā nav šķērslis šādu strīdu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izšķiršanai smelties tiesību principus no Latvijas pirmskara normatīvajiem aktiem, attiecīgi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motivējot pierādīšanas nastas sadalījumu starp procesa dalībniekiem, kad nodibinātas </w:t>
      </w:r>
      <w:r>
        <w:rPr>
          <w:rFonts w:ascii="TimesNewRomanPSMT" w:hAnsi="TimesNewRomanPSMT" w:cs="TimesNewRomanPSMT"/>
          <w:szCs w:val="24"/>
        </w:rPr>
        <w:lastRenderedPageBreak/>
        <w:t>netipiskas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situācijas, kas (pretstatā parasti sagaidāmām civiltiesiskās apgrozības attiecībām) prasa īpašu,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saprātīgam vērotājam ticamu skaidrojumu. Pierādīšanas pienākuma sadalījumam starp prāvniekiem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strīdos, kuru pamatā ir darījumi ar netipisku raksturu, </w:t>
      </w:r>
      <w:bookmarkStart w:id="0" w:name="_Hlk39826025"/>
      <w:r>
        <w:rPr>
          <w:rFonts w:ascii="TimesNewRomanPSMT" w:hAnsi="TimesNewRomanPSMT" w:cs="TimesNewRomanPSMT"/>
          <w:szCs w:val="24"/>
        </w:rPr>
        <w:t>Augstākā tiesa ir pievērsusies 2017.gada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29.novembra spriedumā lietā SKC-266/2017 (C04277105)</w:t>
      </w:r>
      <w:bookmarkEnd w:id="0"/>
      <w:r>
        <w:rPr>
          <w:rFonts w:ascii="TimesNewRomanPSMT" w:hAnsi="TimesNewRomanPSMT" w:cs="TimesNewRomanPSMT"/>
          <w:szCs w:val="24"/>
        </w:rPr>
        <w:t>.</w:t>
      </w:r>
    </w:p>
    <w:p w14:paraId="6957AFDE" w14:textId="6F991B4E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[7.2] Izskatāmajā lietā kreditors apstrīdējis nekustamā īpašuma atsavināšanas līgumu kā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fiktīvu, kas izskata pēc noslēgts starp parādnieci un viņas māti nolūkā kaitēt kreditora interesēm.</w:t>
      </w:r>
    </w:p>
    <w:p w14:paraId="5700D2D7" w14:textId="08431383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Atbildētāju rīcību, nobēdzinot mantu, kas liedz kreditoram saņemt saistības izpildījumu no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parādnieces, prasītāja saistījusi ar Civillikuma </w:t>
      </w:r>
      <w:proofErr w:type="gramStart"/>
      <w:r>
        <w:rPr>
          <w:rFonts w:ascii="TimesNewRomanPSMT" w:hAnsi="TimesNewRomanPSMT" w:cs="TimesNewRomanPSMT"/>
          <w:szCs w:val="24"/>
        </w:rPr>
        <w:t>1415.pantā</w:t>
      </w:r>
      <w:proofErr w:type="gramEnd"/>
      <w:r>
        <w:rPr>
          <w:rFonts w:ascii="TimesNewRomanPSMT" w:hAnsi="TimesNewRomanPSMT" w:cs="TimesNewRomanPSMT"/>
          <w:szCs w:val="24"/>
        </w:rPr>
        <w:t xml:space="preserve"> paredzētajām tiesiskajām sekām.</w:t>
      </w:r>
    </w:p>
    <w:p w14:paraId="356EACE1" w14:textId="3C9607CF" w:rsidR="006F4465" w:rsidRDefault="006F4465" w:rsidP="00DE4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Lai gan apelācijas instances tiesas norādītais par nepieciešamību vērtēt apstrīdētā darījuma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dalībnieku gribas īstumu un darījuma mērķi ir pareizs un atbilst Civillikuma </w:t>
      </w:r>
      <w:proofErr w:type="gramStart"/>
      <w:r>
        <w:rPr>
          <w:rFonts w:ascii="TimesNewRomanPSMT" w:hAnsi="TimesNewRomanPSMT" w:cs="TimesNewRomanPSMT"/>
          <w:szCs w:val="24"/>
        </w:rPr>
        <w:t>1415.panta</w:t>
      </w:r>
      <w:proofErr w:type="gramEnd"/>
      <w:r>
        <w:rPr>
          <w:rFonts w:ascii="TimesNewRomanPSMT" w:hAnsi="TimesNewRomanPSMT" w:cs="TimesNewRomanPSMT"/>
          <w:szCs w:val="24"/>
        </w:rPr>
        <w:t xml:space="preserve"> jēgai, taču,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kā tas izriet no turpmāk minētiem motīviem, tiesa darījuma noslēgšanas apstākļus un darījuma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dalībnieku gribas patieso motīvu nav skaidrojusi.</w:t>
      </w:r>
    </w:p>
    <w:p w14:paraId="1378613B" w14:textId="1E93B956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Prasības pieteikumā norādīta virkne prasības pamata faktu, ar kuriem celtā prasība pamatota,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un pierādījumi, kas tos apstiprina. Tā, piemēram: apjomīgās parādsaistības pret banku; apstrīdētā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darījuma noslēgšana pēc tam, kad saņemts paziņojums par kredīta pirmstermiņa izbeigšanu;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dzīvokļa pārdošana saistītai personai, kuras vienīgie ienākumi ir minimāla pensija un kurai turklāt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pieder dzīvoklis tajā pašā mājā; faktiskās īpašnieces turpināšana dzīvot pārdotajā īpašumā un savas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dzīvesvietas deklarēšana tajā; ekonomiski nepamatotā darījuma summa; saņemtās pirkuma maksas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nenovirzīšana parādsaistību dzēšanai.</w:t>
      </w:r>
    </w:p>
    <w:p w14:paraId="49592E35" w14:textId="5A13750E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Papildus apelācijas</w:t>
      </w:r>
      <w:proofErr w:type="gramEnd"/>
      <w:r>
        <w:rPr>
          <w:rFonts w:ascii="TimesNewRomanPSMT" w:hAnsi="TimesNewRomanPSMT" w:cs="TimesNewRomanPSMT"/>
          <w:szCs w:val="24"/>
        </w:rPr>
        <w:t xml:space="preserve"> sūdzībā norādīts uz jauniem faktiem, proti,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 xml:space="preserve"> piederošo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uzņēmuma kapitāla daļu pārreģistrācija uz mātes vārda un naudas līdzekļu neesība spēkā nākuša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sprieduma iepildei par naudas summas piedziņu no </w:t>
      </w:r>
      <w:r w:rsidR="00BD1940">
        <w:rPr>
          <w:rFonts w:ascii="TimesNewRomanPSMT" w:hAnsi="TimesNewRomanPSMT" w:cs="TimesNewRomanPSMT"/>
          <w:szCs w:val="24"/>
        </w:rPr>
        <w:t>[pers. </w:t>
      </w:r>
      <w:proofErr w:type="spellStart"/>
      <w:r w:rsidR="00BD1940">
        <w:rPr>
          <w:rFonts w:ascii="TimesNewRomanPSMT" w:hAnsi="TimesNewRomanPSMT" w:cs="TimesNewRomanPSMT"/>
          <w:szCs w:val="24"/>
        </w:rPr>
        <w:t>A]</w:t>
      </w:r>
      <w:proofErr w:type="spellEnd"/>
      <w:r>
        <w:rPr>
          <w:rFonts w:ascii="TimesNewRomanPSMT" w:hAnsi="TimesNewRomanPSMT" w:cs="TimesNewRomanPSMT"/>
          <w:szCs w:val="24"/>
        </w:rPr>
        <w:t>.</w:t>
      </w:r>
    </w:p>
    <w:p w14:paraId="34A4C4FC" w14:textId="28E24010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Gan pirmās, gan apelācijas instances tiesa, noraidot prasību, aprobežojusies ar kreditora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rīcības vērtējumu pie aizdevuma izsniegšanas, pārmetot prasītājai ķīlas kā aizdevuma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nodrošinājuma neprasīšanu, kas tai ļautu izvairīties no nelabvēlīgām sekām, kā arī nepienācīgu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aizņēmējas maksātspējas izvērtēšanu, taču atbilstoši celtajai prasībai par darījuma fiktīvo raksturu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šie apstākļi neietilpst pierādīšanas priekšmetā, sekojoši tiem nav nozīmes lietā.</w:t>
      </w:r>
    </w:p>
    <w:p w14:paraId="2DD3ED9B" w14:textId="61215C9B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Tas liecina, ka tiesa atbilstoši Civilprocesa likuma </w:t>
      </w:r>
      <w:proofErr w:type="gramStart"/>
      <w:r>
        <w:rPr>
          <w:rFonts w:ascii="TimesNewRomanPSMT" w:hAnsi="TimesNewRomanPSMT" w:cs="TimesNewRomanPSMT"/>
          <w:szCs w:val="24"/>
        </w:rPr>
        <w:t>8.panta</w:t>
      </w:r>
      <w:proofErr w:type="gramEnd"/>
      <w:r>
        <w:rPr>
          <w:rFonts w:ascii="TimesNewRomanPSMT" w:hAnsi="TimesNewRomanPSMT" w:cs="TimesNewRomanPSMT"/>
          <w:szCs w:val="24"/>
        </w:rPr>
        <w:t xml:space="preserve"> pirmajai daļai apstākļu, kas šādu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prasību lietās ietilpst pierādīšanas priekšmetā, noskaidrošanai nemaz nav pievērsusies, uz ko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pamatoti norādīts kasācijas sūdzībā.</w:t>
      </w:r>
    </w:p>
    <w:p w14:paraId="1CA17FBF" w14:textId="50C563C1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[7.3] Spriedums nesatur izvērstu un nepārprotamu juridisko argumentāciju, sākot ar lietā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būtisku faktisko apstākļu noskaidrošanu, kas balstīta uz pierādījumu objektīvu novērtējumu to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kopumā, un beidzot ar loģiskā secībā izdarīta gala slēdziena formulēšanu.</w:t>
      </w:r>
    </w:p>
    <w:p w14:paraId="36D55D93" w14:textId="2B4A6E76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Augstākā tiesa nevar piekrist apelācijas instances tiesas norādītajam, kas pausts apgalvojuma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formā, ka tiesai ir jāvērtē darījuma dalībnieku gribas īstums un darījuma mērķis, ņemot vērā tikai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tos apstākļus, kādi pastāvējuši darījuma noslēgšanas brīdī.</w:t>
      </w:r>
    </w:p>
    <w:p w14:paraId="4DECE530" w14:textId="758DBB45" w:rsidR="006F4465" w:rsidRDefault="006F4465" w:rsidP="00DE4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Šādam apgalvojumam strīdos par darījuma fiktīvo raksturu nav objektīva pamata, jo darījuma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dalībnieku rīcība arī pēc darījuma noslēgšanas var liecināt, ka pusēm nav bijis patiess nodoms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civiltiesiski saistīties.</w:t>
      </w:r>
    </w:p>
    <w:p w14:paraId="5BFB5920" w14:textId="34728995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Tā parasti sagaidāmās civiltiesiskās apgrozības attiecībās, kur bijis nodoms nodibināt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nekustamā īpašuma pirkuma līguma tiesiskās attiecības, parasti seko jaunā īpašnieka darbības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nolūkā rīkoties ar īpašumu kā savu atbilstoši tam mērķim, kādēļ īpašums, šajā gadījumā dzīvoklis,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tika pirkts. Ja šādas darbības neseko un līguma slēdzēju faktiskajās attiecībās nekas nemainās,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piemēram, atsavinātājs turpina lietot dzīvokli un no īpašuma ieguvēja skatupunkta </w:t>
      </w:r>
      <w:r>
        <w:rPr>
          <w:rFonts w:ascii="TimesNewRomanPSMT" w:hAnsi="TimesNewRomanPSMT" w:cs="TimesNewRomanPSMT"/>
          <w:szCs w:val="24"/>
        </w:rPr>
        <w:lastRenderedPageBreak/>
        <w:t>iztrūkst jebkāds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ekonomisks pamatojums īpašuma lietojuma pieļaušanai, tas liecina par netipisku situāciju, kura,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Augstākās tiesas ieskatā, kopsakarā ar pārējiem apstākļiem lietā var norādīt uz apstrīdētā darījuma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noslēgšanas patieso mērķi.</w:t>
      </w:r>
    </w:p>
    <w:p w14:paraId="60F5108D" w14:textId="090F8A9D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Šajā sakarā tiesību doktrīnā teikts, ka, lai noskaidrotu lietas patiesos apstākļus, fakti ir jāvērtē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to kopumā, nevis izolēti. Atsevišķu faktu atlase un to kļūdaina interpretācija neļauj atklāt patiesību.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Atsevišķi fakti, izrauti no kopsakarības, zaudē pierādījuma spēku </w:t>
      </w:r>
      <w:proofErr w:type="gramStart"/>
      <w:r>
        <w:rPr>
          <w:rFonts w:ascii="TimesNewRomanPS-ItalicMT" w:hAnsi="TimesNewRomanPS-ItalicMT" w:cs="TimesNewRomanPS-ItalicMT"/>
          <w:i/>
          <w:iCs/>
          <w:szCs w:val="24"/>
        </w:rPr>
        <w:t>(</w:t>
      </w:r>
      <w:proofErr w:type="gramEnd"/>
      <w:r>
        <w:rPr>
          <w:rFonts w:ascii="TimesNewRomanPS-ItalicMT" w:hAnsi="TimesNewRomanPS-ItalicMT" w:cs="TimesNewRomanPS-ItalicMT"/>
          <w:i/>
          <w:iCs/>
          <w:szCs w:val="24"/>
        </w:rPr>
        <w:t xml:space="preserve">sk. </w:t>
      </w:r>
      <w:proofErr w:type="spellStart"/>
      <w:r>
        <w:rPr>
          <w:rFonts w:ascii="TimesNewRomanPS-ItalicMT" w:hAnsi="TimesNewRomanPS-ItalicMT" w:cs="TimesNewRomanPS-ItalicMT"/>
          <w:i/>
          <w:iCs/>
          <w:szCs w:val="24"/>
        </w:rPr>
        <w:t>A.Līcis</w:t>
      </w:r>
      <w:proofErr w:type="spellEnd"/>
      <w:r>
        <w:rPr>
          <w:rFonts w:ascii="TimesNewRomanPS-ItalicMT" w:hAnsi="TimesNewRomanPS-ItalicMT" w:cs="TimesNewRomanPS-ItalicMT"/>
          <w:i/>
          <w:iCs/>
          <w:szCs w:val="24"/>
        </w:rPr>
        <w:t>. Prasības tiesvedība</w:t>
      </w:r>
      <w:r w:rsidR="00DE4EC4">
        <w:rPr>
          <w:rFonts w:ascii="TimesNewRomanPS-ItalicMT" w:hAnsi="TimesNewRomanPS-ItalicMT" w:cs="TimesNewRomanPS-ItalicMT"/>
          <w:i/>
          <w:iCs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Cs w:val="24"/>
        </w:rPr>
        <w:t>un pierādījumu. Prof. K.Torgāna zinātniskajā redakcijā. – Rīga: Tiesu namu aģentūra, 2003, 80.-83.lpp.)</w:t>
      </w:r>
      <w:r>
        <w:rPr>
          <w:rFonts w:ascii="TimesNewRomanPSMT" w:hAnsi="TimesNewRomanPSMT" w:cs="TimesNewRomanPSMT"/>
          <w:szCs w:val="24"/>
        </w:rPr>
        <w:t>.</w:t>
      </w:r>
    </w:p>
    <w:p w14:paraId="06C8DB9C" w14:textId="43D24D3C" w:rsidR="006F4465" w:rsidRDefault="006F4465" w:rsidP="00DE4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Spriedumā nav </w:t>
      </w:r>
      <w:proofErr w:type="gramStart"/>
      <w:r>
        <w:rPr>
          <w:rFonts w:ascii="TimesNewRomanPSMT" w:hAnsi="TimesNewRomanPSMT" w:cs="TimesNewRomanPSMT"/>
          <w:szCs w:val="24"/>
        </w:rPr>
        <w:t>atrodams prasītājas iesniegto pierādījumu</w:t>
      </w:r>
      <w:proofErr w:type="gramEnd"/>
      <w:r>
        <w:rPr>
          <w:rFonts w:ascii="TimesNewRomanPSMT" w:hAnsi="TimesNewRomanPSMT" w:cs="TimesNewRomanPSMT"/>
          <w:szCs w:val="24"/>
        </w:rPr>
        <w:t>, uz kuriem balstīti tās argumenti,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vērtējums, kas liecina, ka tiesa lietas apstākļu skaidrošanu veikusi selektīvi, nevis to kopsakarībā,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kas liedz gūt pareizu, objektīvai realitātei atbilstošu priekšstatu par izskatāmo strīdu. Šī iemesla dēļ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nav skaidrs, kādēļ prasītājas iesniegtie pierādījumi nav ņemti vērā vai kādēļ tie noraidīti kā nederīgi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kreditores tiesību aizskāruma pamatošanai. Šī iemesla dēļ nevar atzīt par izpildītām Civilprocesa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likuma 97.panta pirmās un trešās daļas un 193.panta piektās daļas prasības.</w:t>
      </w:r>
    </w:p>
    <w:p w14:paraId="0D9C5221" w14:textId="52AF6E6E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[7.4] Tāpat Augstākā tiesa atzīst par nepieciešamu norādīt, ka apelācijas instances tiesa lietu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izskata pēc būtības sakarā ar apelācijas sūdzību tādā apjomā, kā tajā lūgts.</w:t>
      </w:r>
    </w:p>
    <w:p w14:paraId="7800A6BD" w14:textId="25EA7E4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Lai izpildītu Civilprocesa likuma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426.panta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pirmajā daļā ietverto uzdevumu, tiesai jāsniedz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atbildes uz apelācijas sūdzības iesniedzēja argumentiem, kuri ir būtiski no tiesību piemērošanas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viedokļa, ja uz tiem nav atbildēts pirmās instances tiesas spriedumā. Civilprocesa likuma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432.panta</w:t>
      </w:r>
      <w:proofErr w:type="gramEnd"/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piektajā daļā paredzētā iespēja pievienoties pirmās instances tiesas sprieduma pamatojumam,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neatbrīvo tiesu no šā likuma 426.panta pirmās daļas prasību izpildes.</w:t>
      </w:r>
    </w:p>
    <w:p w14:paraId="59E0D24D" w14:textId="0380EAAC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Sprieduma 7.2. un 7.3.punktā norādītie procesuālo normu pārkāpumi lietas apstākļu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skaidrošanā un pierādījumu vērtēšanā liecina, ka, izskatot lietu, nav ievērotas arī Civilprocesa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likuma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426.panta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pirmās daļas prasības.</w:t>
      </w:r>
    </w:p>
    <w:p w14:paraId="6E28D407" w14:textId="6DFCF502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[7.5] Lai gan kasācijas sūdzībā uz to tieši nav norādīts, Augstākā tiesa uzskata par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nepieciešamu norādīt, ka pārbaudāmā sprieduma motīvu daļa liecina par apelācijas instances tiesas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kļūdainu izpratni par judikatūras izmantošanas metodi.</w:t>
      </w:r>
    </w:p>
    <w:p w14:paraId="3B4074C4" w14:textId="6B5C93EF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Pievienojoties pirmās instances apsvērumam prasības noraidīšanai, kurā izmantota atsauce uz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Augstākās tiesas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2010.gada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7.aprīļa sprieduma lietā Nr. SKC-74/2010 (C</w:t>
      </w:r>
      <w:r>
        <w:rPr>
          <w:rFonts w:ascii="TimesNewRomanPSMT" w:hAnsi="TimesNewRomanPSMT" w:cs="TimesNewRomanPSMT"/>
          <w:color w:val="2B2B2B"/>
          <w:szCs w:val="24"/>
        </w:rPr>
        <w:t>04394604) 10.punktu un</w:t>
      </w:r>
      <w:r w:rsidR="00DE4EC4">
        <w:rPr>
          <w:rFonts w:ascii="TimesNewRomanPSMT" w:hAnsi="TimesNewRomanPSMT" w:cs="TimesNewRomanPSMT"/>
          <w:color w:val="2B2B2B"/>
          <w:szCs w:val="24"/>
        </w:rPr>
        <w:t xml:space="preserve"> </w:t>
      </w:r>
      <w:r>
        <w:rPr>
          <w:rFonts w:ascii="TimesNewRomanPSMT" w:hAnsi="TimesNewRomanPSMT" w:cs="TimesNewRomanPSMT"/>
          <w:color w:val="2B2B2B"/>
          <w:szCs w:val="24"/>
        </w:rPr>
        <w:t xml:space="preserve">kurā </w:t>
      </w:r>
      <w:r>
        <w:rPr>
          <w:rFonts w:ascii="TimesNewRomanPSMT" w:hAnsi="TimesNewRomanPSMT" w:cs="TimesNewRomanPSMT"/>
          <w:color w:val="000000"/>
          <w:szCs w:val="24"/>
        </w:rPr>
        <w:t>esot nostiprināta atziņa par labticīga īpašuma ieguvēja tiesību aizsardzību, apelācijas instances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tiesa nav atklājusi nedz to, kāda ir tiesību normu iztulkojuma, kas sniegts šajā spriedumā, sasaiste ar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izšķiramā strīda vērtējamiem tiesību jautājumiem, nedz arī to, kur saskatīta strīda apstākļu līdzība ar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norādītajā kasācijas instances tiesas spriedumā analizētajiem. Šāds skaidrojums nav atrodams arī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pirmās instances tiesas spriedumā.</w:t>
      </w:r>
    </w:p>
    <w:p w14:paraId="764F623E" w14:textId="4DF5985A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Augstākā tiesa jau daudzkārt ir norādījusi, ka nav pieļaujama atsauce uz konkrētu lietu kā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tiesu praksi, neatklājot, kā izšķiramā strīda apstākļi sasaucas ar iepriekš izskatītajā lietā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pastāvējušiem faktiskajiem un tiesiskajiem apstākļiem.</w:t>
      </w:r>
    </w:p>
    <w:p w14:paraId="19B94ADC" w14:textId="2FAB4036" w:rsidR="006F4465" w:rsidRDefault="006F4465" w:rsidP="00DE4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Iepazīstoties ar </w:t>
      </w:r>
      <w:bookmarkStart w:id="1" w:name="_Hlk39825989"/>
      <w:r>
        <w:rPr>
          <w:rFonts w:ascii="TimesNewRomanPSMT" w:hAnsi="TimesNewRomanPSMT" w:cs="TimesNewRomanPSMT"/>
          <w:color w:val="000000"/>
          <w:szCs w:val="24"/>
        </w:rPr>
        <w:t xml:space="preserve">Augstākās tiesas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2010.gada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7.aprīļa sprieduma lietā Nr. SKC-74/2010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(C</w:t>
      </w:r>
      <w:r>
        <w:rPr>
          <w:rFonts w:ascii="TimesNewRomanPSMT" w:hAnsi="TimesNewRomanPSMT" w:cs="TimesNewRomanPSMT"/>
          <w:color w:val="2B2B2B"/>
          <w:szCs w:val="24"/>
        </w:rPr>
        <w:t xml:space="preserve">04394604) </w:t>
      </w:r>
      <w:bookmarkEnd w:id="1"/>
      <w:r>
        <w:rPr>
          <w:rFonts w:ascii="TimesNewRomanPSMT" w:hAnsi="TimesNewRomanPSMT" w:cs="TimesNewRomanPSMT"/>
          <w:color w:val="000000"/>
          <w:szCs w:val="24"/>
        </w:rPr>
        <w:t>pamatojumu, ko apelācijas instances tiesai vajadzēja izdarīt pirms tā izmantošanas, ir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acīmredzami, ka izšķiramā strīda faktiskie un tiesiskie apstākļi būtiski atšķiras no tiem, kādus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aplūkojusi kasācijas instances tiesa lietā Nr. SKC-74/2010. Turklāt šajā lietā Augstākā tiesa nav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formulējusi kādas atziņas par normas piemērošanas (iztulkošanas) juridiskiem aspektiem, vien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norādījusi, ka izšķirot strīdu par nekustamā īpašuma piederību, ir vērtējams jautājums par īpašuma</w:t>
      </w:r>
      <w:r w:rsidR="00DE4EC4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ieguvēja labticīgumu.</w:t>
      </w:r>
    </w:p>
    <w:p w14:paraId="57CB19ED" w14:textId="77777777" w:rsidR="00DE4EC4" w:rsidRDefault="00DE4EC4" w:rsidP="00DE4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color w:val="000000"/>
          <w:szCs w:val="24"/>
        </w:rPr>
      </w:pPr>
    </w:p>
    <w:p w14:paraId="6C90D361" w14:textId="50B03FA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[8] Spriedumā nodibinātie Civilprocesa likuma normu pārkāpumi atzīstami par būtiskiem, kas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noveda vai varēja novest pie lietas nepareizas izspriešanas, tāpēc atbilstoši Civilprocesa likuma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Cs w:val="24"/>
        </w:rPr>
        <w:t>452.panta</w:t>
      </w:r>
      <w:proofErr w:type="gramEnd"/>
      <w:r>
        <w:rPr>
          <w:rFonts w:ascii="TimesNewRomanPSMT" w:hAnsi="TimesNewRomanPSMT" w:cs="TimesNewRomanPSMT"/>
          <w:szCs w:val="24"/>
        </w:rPr>
        <w:t xml:space="preserve"> otrajai daļai spriedums atceļams un lieta nosūtāma jaunai izskatīšanai apelācijas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instances tiesā.</w:t>
      </w:r>
    </w:p>
    <w:p w14:paraId="1D7618E4" w14:textId="639F30EE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Atceļot spriedumu, AS „Citadele banka” saskaņā ar Civilprocesa likuma </w:t>
      </w:r>
      <w:proofErr w:type="gramStart"/>
      <w:r>
        <w:rPr>
          <w:rFonts w:ascii="TimesNewRomanPSMT" w:hAnsi="TimesNewRomanPSMT" w:cs="TimesNewRomanPSMT"/>
          <w:szCs w:val="24"/>
        </w:rPr>
        <w:t>458.panta</w:t>
      </w:r>
      <w:proofErr w:type="gramEnd"/>
      <w:r>
        <w:rPr>
          <w:rFonts w:ascii="TimesNewRomanPSMT" w:hAnsi="TimesNewRomanPSMT" w:cs="TimesNewRomanPSMT"/>
          <w:szCs w:val="24"/>
        </w:rPr>
        <w:t xml:space="preserve"> otro daļu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atmaksājama drošības nauda 284,57 </w:t>
      </w:r>
      <w:proofErr w:type="spellStart"/>
      <w:r>
        <w:rPr>
          <w:rFonts w:ascii="TimesNewRomanPS-ItalicMT" w:hAnsi="TimesNewRomanPS-ItalicMT" w:cs="TimesNewRomanPS-ItalicMT"/>
          <w:i/>
          <w:iCs/>
          <w:szCs w:val="24"/>
        </w:rPr>
        <w:t>euro</w:t>
      </w:r>
      <w:proofErr w:type="spellEnd"/>
      <w:r>
        <w:rPr>
          <w:rFonts w:ascii="TimesNewRomanPSMT" w:hAnsi="TimesNewRomanPSMT" w:cs="TimesNewRomanPSMT"/>
          <w:szCs w:val="24"/>
        </w:rPr>
        <w:t>.</w:t>
      </w:r>
    </w:p>
    <w:p w14:paraId="56A5A85C" w14:textId="77777777" w:rsidR="006F4465" w:rsidRDefault="006F4465" w:rsidP="00DE4EC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Rezolutīvā daļa</w:t>
      </w:r>
    </w:p>
    <w:p w14:paraId="2C38C0D7" w14:textId="77777777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Pamatojoties uz Civilprocesa likuma </w:t>
      </w:r>
      <w:proofErr w:type="gramStart"/>
      <w:r>
        <w:rPr>
          <w:rFonts w:ascii="TimesNewRomanPSMT" w:hAnsi="TimesNewRomanPSMT" w:cs="TimesNewRomanPSMT"/>
          <w:szCs w:val="24"/>
        </w:rPr>
        <w:t>474.panta</w:t>
      </w:r>
      <w:proofErr w:type="gramEnd"/>
      <w:r>
        <w:rPr>
          <w:rFonts w:ascii="TimesNewRomanPSMT" w:hAnsi="TimesNewRomanPSMT" w:cs="TimesNewRomanPSMT"/>
          <w:szCs w:val="24"/>
        </w:rPr>
        <w:t xml:space="preserve"> 2.punktu, Augstākā tiesa</w:t>
      </w:r>
    </w:p>
    <w:p w14:paraId="184AD5C5" w14:textId="77777777" w:rsidR="006F4465" w:rsidRDefault="006F4465" w:rsidP="00DE4EC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nosprieda:</w:t>
      </w:r>
    </w:p>
    <w:p w14:paraId="7B28264D" w14:textId="3E4CB92E" w:rsidR="006F4465" w:rsidRDefault="006F4465" w:rsidP="006F44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Rīgas apgabaltiesas Civillietu tiesas kolēģijas </w:t>
      </w:r>
      <w:proofErr w:type="gramStart"/>
      <w:r>
        <w:rPr>
          <w:rFonts w:ascii="TimesNewRomanPSMT" w:hAnsi="TimesNewRomanPSMT" w:cs="TimesNewRomanPSMT"/>
          <w:szCs w:val="24"/>
        </w:rPr>
        <w:t>2016.gada</w:t>
      </w:r>
      <w:proofErr w:type="gramEnd"/>
      <w:r>
        <w:rPr>
          <w:rFonts w:ascii="TimesNewRomanPSMT" w:hAnsi="TimesNewRomanPSMT" w:cs="TimesNewRomanPSMT"/>
          <w:szCs w:val="24"/>
        </w:rPr>
        <w:t xml:space="preserve"> 18.februāra spriedumu atcelt un lietu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nodot jaunai izskatīšanai Rīgas apgabaltiesā.</w:t>
      </w:r>
    </w:p>
    <w:p w14:paraId="608FBBE8" w14:textId="7320D33D" w:rsidR="006F4465" w:rsidRDefault="006F4465" w:rsidP="00DE4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Atmaksāt AS „Citadele banka” drošības naudu 284,57 EUR (divi simti astoņdesmit četri</w:t>
      </w:r>
      <w:r w:rsidR="00DE4EC4">
        <w:rPr>
          <w:rFonts w:ascii="TimesNewRomanPSMT" w:hAnsi="TimesNewRomanPSMT" w:cs="TimesNewRomanPSMT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Cs w:val="24"/>
        </w:rPr>
        <w:t>euro</w:t>
      </w:r>
      <w:proofErr w:type="spellEnd"/>
      <w:r>
        <w:rPr>
          <w:rFonts w:ascii="TimesNewRomanPSMT" w:hAnsi="TimesNewRomanPSMT" w:cs="TimesNewRomanPSMT"/>
          <w:szCs w:val="24"/>
        </w:rPr>
        <w:t>, 57 centi).</w:t>
      </w:r>
    </w:p>
    <w:p w14:paraId="02819CAF" w14:textId="5E2FB9D1" w:rsidR="006F4465" w:rsidRPr="006E17CB" w:rsidRDefault="006F4465" w:rsidP="006F4465">
      <w:pPr>
        <w:spacing w:after="0" w:line="276" w:lineRule="auto"/>
        <w:ind w:firstLine="567"/>
        <w:jc w:val="both"/>
      </w:pPr>
      <w:r>
        <w:rPr>
          <w:rFonts w:ascii="TimesNewRomanPSMT" w:hAnsi="TimesNewRomanPSMT" w:cs="TimesNewRomanPSMT"/>
          <w:szCs w:val="24"/>
        </w:rPr>
        <w:t>Spriedums nav pārsūdzams.</w:t>
      </w:r>
    </w:p>
    <w:sectPr w:rsidR="006F4465" w:rsidRPr="006E17CB" w:rsidSect="00537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2C90B" w14:textId="77777777" w:rsidR="00B35146" w:rsidRDefault="00B35146" w:rsidP="00B96EC6">
      <w:pPr>
        <w:spacing w:after="0" w:line="240" w:lineRule="auto"/>
      </w:pPr>
      <w:r>
        <w:separator/>
      </w:r>
    </w:p>
  </w:endnote>
  <w:endnote w:type="continuationSeparator" w:id="0">
    <w:p w14:paraId="47B6074F" w14:textId="77777777" w:rsidR="00B35146" w:rsidRDefault="00B35146" w:rsidP="00B9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105A2" w14:textId="77777777" w:rsidR="006F4465" w:rsidRDefault="006F4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DA37" w14:textId="2D8EDE39" w:rsidR="006F4465" w:rsidRPr="00700875" w:rsidRDefault="006F4465">
    <w:pPr>
      <w:pStyle w:val="Footer"/>
      <w:jc w:val="center"/>
      <w:rPr>
        <w:sz w:val="22"/>
        <w:szCs w:val="20"/>
      </w:rPr>
    </w:pPr>
    <w:r w:rsidRPr="00700875">
      <w:rPr>
        <w:sz w:val="22"/>
        <w:szCs w:val="20"/>
      </w:rPr>
      <w:fldChar w:fldCharType="begin"/>
    </w:r>
    <w:r w:rsidRPr="00700875">
      <w:rPr>
        <w:sz w:val="22"/>
        <w:szCs w:val="20"/>
      </w:rPr>
      <w:instrText xml:space="preserve"> PAGE  \* Arabic  \* MERGEFORMAT </w:instrText>
    </w:r>
    <w:r w:rsidRPr="00700875">
      <w:rPr>
        <w:sz w:val="22"/>
        <w:szCs w:val="20"/>
      </w:rPr>
      <w:fldChar w:fldCharType="separate"/>
    </w:r>
    <w:r w:rsidRPr="00700875">
      <w:rPr>
        <w:noProof/>
        <w:sz w:val="22"/>
        <w:szCs w:val="20"/>
      </w:rPr>
      <w:t>2</w:t>
    </w:r>
    <w:r w:rsidRPr="00700875">
      <w:rPr>
        <w:sz w:val="22"/>
        <w:szCs w:val="20"/>
      </w:rPr>
      <w:fldChar w:fldCharType="end"/>
    </w:r>
    <w:r w:rsidRPr="00700875">
      <w:rPr>
        <w:sz w:val="22"/>
        <w:szCs w:val="20"/>
      </w:rPr>
      <w:t xml:space="preserve"> no </w:t>
    </w:r>
    <w:r w:rsidRPr="00700875">
      <w:rPr>
        <w:sz w:val="22"/>
        <w:szCs w:val="20"/>
      </w:rPr>
      <w:fldChar w:fldCharType="begin"/>
    </w:r>
    <w:r w:rsidRPr="00700875">
      <w:rPr>
        <w:sz w:val="22"/>
        <w:szCs w:val="20"/>
      </w:rPr>
      <w:instrText xml:space="preserve"> NUMPAGES  \* Arabic  \* MERGEFORMAT </w:instrText>
    </w:r>
    <w:r w:rsidRPr="00700875">
      <w:rPr>
        <w:sz w:val="22"/>
        <w:szCs w:val="20"/>
      </w:rPr>
      <w:fldChar w:fldCharType="separate"/>
    </w:r>
    <w:r w:rsidRPr="00700875">
      <w:rPr>
        <w:noProof/>
        <w:sz w:val="22"/>
        <w:szCs w:val="20"/>
      </w:rPr>
      <w:t>2</w:t>
    </w:r>
    <w:r w:rsidRPr="00700875">
      <w:rPr>
        <w:sz w:val="22"/>
        <w:szCs w:val="20"/>
      </w:rPr>
      <w:fldChar w:fldCharType="end"/>
    </w:r>
  </w:p>
  <w:p w14:paraId="039D8591" w14:textId="77777777" w:rsidR="006F4465" w:rsidRDefault="006F4465" w:rsidP="0070087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375ED" w14:textId="77777777" w:rsidR="006F4465" w:rsidRDefault="006F4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A7857" w14:textId="77777777" w:rsidR="00B35146" w:rsidRDefault="00B35146" w:rsidP="00B96EC6">
      <w:pPr>
        <w:spacing w:after="0" w:line="240" w:lineRule="auto"/>
      </w:pPr>
      <w:r>
        <w:separator/>
      </w:r>
    </w:p>
  </w:footnote>
  <w:footnote w:type="continuationSeparator" w:id="0">
    <w:p w14:paraId="628DC7CD" w14:textId="77777777" w:rsidR="00B35146" w:rsidRDefault="00B35146" w:rsidP="00B9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B39E" w14:textId="77777777" w:rsidR="006F4465" w:rsidRDefault="006F4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351E5" w14:textId="77777777" w:rsidR="006F4465" w:rsidRDefault="006F4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308B3" w14:textId="77777777" w:rsidR="006F4465" w:rsidRDefault="006F44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A4"/>
    <w:rsid w:val="00042B71"/>
    <w:rsid w:val="000676D7"/>
    <w:rsid w:val="00075B4E"/>
    <w:rsid w:val="0008553A"/>
    <w:rsid w:val="00094FDD"/>
    <w:rsid w:val="0010768B"/>
    <w:rsid w:val="00111B6C"/>
    <w:rsid w:val="00160824"/>
    <w:rsid w:val="002038FA"/>
    <w:rsid w:val="00244396"/>
    <w:rsid w:val="002D5254"/>
    <w:rsid w:val="002E3CBE"/>
    <w:rsid w:val="002E6DF5"/>
    <w:rsid w:val="00356AF5"/>
    <w:rsid w:val="00380E33"/>
    <w:rsid w:val="003E7C7F"/>
    <w:rsid w:val="003F263F"/>
    <w:rsid w:val="00481E1C"/>
    <w:rsid w:val="00514D4E"/>
    <w:rsid w:val="005271AF"/>
    <w:rsid w:val="00537B68"/>
    <w:rsid w:val="005D10D3"/>
    <w:rsid w:val="005E0994"/>
    <w:rsid w:val="005F36DA"/>
    <w:rsid w:val="00694F57"/>
    <w:rsid w:val="006D273C"/>
    <w:rsid w:val="006E17CB"/>
    <w:rsid w:val="006F4465"/>
    <w:rsid w:val="00700875"/>
    <w:rsid w:val="007B4A3E"/>
    <w:rsid w:val="007D5B8A"/>
    <w:rsid w:val="00842B4C"/>
    <w:rsid w:val="008606DB"/>
    <w:rsid w:val="008631A4"/>
    <w:rsid w:val="008A60A6"/>
    <w:rsid w:val="008F7056"/>
    <w:rsid w:val="009128AC"/>
    <w:rsid w:val="0093395D"/>
    <w:rsid w:val="00942BF7"/>
    <w:rsid w:val="00A223F6"/>
    <w:rsid w:val="00A611A8"/>
    <w:rsid w:val="00A90859"/>
    <w:rsid w:val="00B27894"/>
    <w:rsid w:val="00B35146"/>
    <w:rsid w:val="00B77690"/>
    <w:rsid w:val="00B93DB8"/>
    <w:rsid w:val="00B96EC6"/>
    <w:rsid w:val="00BA74FE"/>
    <w:rsid w:val="00BC076B"/>
    <w:rsid w:val="00BD1940"/>
    <w:rsid w:val="00BD326F"/>
    <w:rsid w:val="00C06BFE"/>
    <w:rsid w:val="00C41A94"/>
    <w:rsid w:val="00C47929"/>
    <w:rsid w:val="00C503AC"/>
    <w:rsid w:val="00C548C8"/>
    <w:rsid w:val="00C61415"/>
    <w:rsid w:val="00C869B3"/>
    <w:rsid w:val="00CF4E8D"/>
    <w:rsid w:val="00D12F68"/>
    <w:rsid w:val="00D365F4"/>
    <w:rsid w:val="00D573EA"/>
    <w:rsid w:val="00DB2380"/>
    <w:rsid w:val="00DB2EDB"/>
    <w:rsid w:val="00DE1DE6"/>
    <w:rsid w:val="00DE4EC4"/>
    <w:rsid w:val="00E10EA4"/>
    <w:rsid w:val="00EA443F"/>
    <w:rsid w:val="00EB2DEB"/>
    <w:rsid w:val="00EB68EC"/>
    <w:rsid w:val="00E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CED9"/>
  <w15:chartTrackingRefBased/>
  <w15:docId w15:val="{1A5CE3E7-574E-4D49-83D3-A7DA3F72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42B4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F6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94F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42B4C"/>
    <w:rPr>
      <w:rFonts w:eastAsia="Times New Roman" w:cs="Times New Roman"/>
      <w:b/>
      <w:bCs/>
      <w:sz w:val="36"/>
      <w:szCs w:val="36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842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36centre">
    <w:name w:val="c36centre"/>
    <w:basedOn w:val="Normal"/>
    <w:rsid w:val="00EA443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lv-LV"/>
    </w:rPr>
  </w:style>
  <w:style w:type="paragraph" w:customStyle="1" w:styleId="c38centregrasgrandespacement">
    <w:name w:val="c38centregrasgrandespacement"/>
    <w:basedOn w:val="Normal"/>
    <w:rsid w:val="00EA443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lv-LV"/>
    </w:rPr>
  </w:style>
  <w:style w:type="paragraph" w:customStyle="1" w:styleId="c37centregras">
    <w:name w:val="c37centregras"/>
    <w:basedOn w:val="Normal"/>
    <w:rsid w:val="00EA443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lv-LV"/>
    </w:rPr>
  </w:style>
  <w:style w:type="paragraph" w:customStyle="1" w:styleId="c71indicateur">
    <w:name w:val="c71indicateur"/>
    <w:basedOn w:val="Normal"/>
    <w:rsid w:val="00EA443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lv-LV"/>
    </w:rPr>
  </w:style>
  <w:style w:type="paragraph" w:customStyle="1" w:styleId="c21titrenumerote1">
    <w:name w:val="c21titrenumerote1"/>
    <w:basedOn w:val="Normal"/>
    <w:rsid w:val="00EA443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lv-LV"/>
    </w:rPr>
  </w:style>
  <w:style w:type="paragraph" w:customStyle="1" w:styleId="c01pointaltn">
    <w:name w:val="c01pointaltn"/>
    <w:basedOn w:val="Normal"/>
    <w:rsid w:val="00EA443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lv-LV"/>
    </w:rPr>
  </w:style>
  <w:style w:type="character" w:customStyle="1" w:styleId="outputecli">
    <w:name w:val="outputecli"/>
    <w:basedOn w:val="DefaultParagraphFont"/>
    <w:rsid w:val="00EA443F"/>
  </w:style>
  <w:style w:type="paragraph" w:customStyle="1" w:styleId="jvsub">
    <w:name w:val="jv_sub"/>
    <w:basedOn w:val="Normal"/>
    <w:rsid w:val="008606DB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3"/>
      <w:szCs w:val="23"/>
      <w:lang w:eastAsia="lv-LV"/>
    </w:rPr>
  </w:style>
  <w:style w:type="paragraph" w:customStyle="1" w:styleId="zvaigznite">
    <w:name w:val="zvaigznite"/>
    <w:basedOn w:val="Normal"/>
    <w:rsid w:val="008606DB"/>
    <w:pPr>
      <w:spacing w:before="100" w:beforeAutospacing="1" w:after="100" w:afterAutospacing="1" w:line="300" w:lineRule="atLeast"/>
    </w:pPr>
    <w:rPr>
      <w:rFonts w:eastAsia="Times New Roman" w:cs="Times New Roman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42B71"/>
    <w:rPr>
      <w:b/>
      <w:bCs/>
    </w:rPr>
  </w:style>
  <w:style w:type="character" w:styleId="Emphasis">
    <w:name w:val="Emphasis"/>
    <w:basedOn w:val="DefaultParagraphFont"/>
    <w:uiPriority w:val="20"/>
    <w:qFormat/>
    <w:rsid w:val="00042B7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C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E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E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EC6"/>
    <w:rPr>
      <w:vertAlign w:val="superscript"/>
    </w:rPr>
  </w:style>
  <w:style w:type="table" w:styleId="TableGrid">
    <w:name w:val="Table Grid"/>
    <w:basedOn w:val="TableNormal"/>
    <w:uiPriority w:val="39"/>
    <w:rsid w:val="00203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8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75"/>
  </w:style>
  <w:style w:type="paragraph" w:styleId="Footer">
    <w:name w:val="footer"/>
    <w:basedOn w:val="Normal"/>
    <w:link w:val="FooterChar"/>
    <w:uiPriority w:val="99"/>
    <w:unhideWhenUsed/>
    <w:rsid w:val="007008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8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29164">
                                          <w:marLeft w:val="0"/>
                                          <w:marRight w:val="2"/>
                                          <w:marTop w:val="0"/>
                                          <w:marBottom w:val="5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952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5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96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8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50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1" w:color="B2B2B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66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23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is.ta.gov.lv/tisreal?Form=TEMPLATEEDIT&amp;task=new&amp;tasktwo=newtemplfromoriginal&amp;fileid=6853478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CDA5-1CD4-4C7A-8B44-73175BC2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15814</Words>
  <Characters>9014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Zinaida Indrūna</cp:lastModifiedBy>
  <cp:revision>3</cp:revision>
  <dcterms:created xsi:type="dcterms:W3CDTF">2020-05-08T07:16:00Z</dcterms:created>
  <dcterms:modified xsi:type="dcterms:W3CDTF">2020-05-08T07:30:00Z</dcterms:modified>
</cp:coreProperties>
</file>