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F2765D" w14:textId="039F241B" w:rsidR="009210E9" w:rsidRPr="005275B1" w:rsidRDefault="005275B1" w:rsidP="005275B1">
      <w:pPr>
        <w:spacing w:line="276" w:lineRule="auto"/>
        <w:jc w:val="both"/>
        <w:rPr>
          <w:b/>
          <w:bCs/>
        </w:rPr>
      </w:pPr>
      <w:r w:rsidRPr="005275B1">
        <w:rPr>
          <w:b/>
          <w:bCs/>
          <w:color w:val="212121"/>
          <w:shd w:val="clear" w:color="auto" w:fill="FFFFFF"/>
        </w:rPr>
        <w:t>Līdzekļu, kas iegūti Krimināllikuma 218.panta otrajā daļā paredzētā noziedzīgā nodarījuma rezultātā, legalizēšana</w:t>
      </w:r>
    </w:p>
    <w:p w14:paraId="1AB39D23" w14:textId="36431264" w:rsidR="009210E9" w:rsidRPr="005275B1" w:rsidRDefault="009210E9" w:rsidP="009210E9">
      <w:pPr>
        <w:spacing w:line="276" w:lineRule="auto"/>
        <w:jc w:val="right"/>
      </w:pPr>
    </w:p>
    <w:p w14:paraId="77A008E6" w14:textId="41F33E5B" w:rsidR="009210E9" w:rsidRPr="00203447" w:rsidRDefault="009210E9" w:rsidP="009210E9">
      <w:pPr>
        <w:spacing w:line="276" w:lineRule="auto"/>
        <w:jc w:val="center"/>
        <w:rPr>
          <w:rFonts w:eastAsia="Calibri"/>
        </w:rPr>
      </w:pPr>
    </w:p>
    <w:p w14:paraId="466CD3A6" w14:textId="77777777" w:rsidR="005275B1" w:rsidRPr="005275B1" w:rsidRDefault="009210E9" w:rsidP="009210E9">
      <w:pPr>
        <w:spacing w:line="276" w:lineRule="auto"/>
        <w:jc w:val="center"/>
        <w:rPr>
          <w:b/>
        </w:rPr>
      </w:pPr>
      <w:r w:rsidRPr="005275B1">
        <w:rPr>
          <w:b/>
        </w:rPr>
        <w:t>Latvijas Republikas Senāt</w:t>
      </w:r>
      <w:r w:rsidR="005275B1" w:rsidRPr="005275B1">
        <w:rPr>
          <w:b/>
        </w:rPr>
        <w:t>a</w:t>
      </w:r>
      <w:r w:rsidRPr="005275B1">
        <w:rPr>
          <w:b/>
        </w:rPr>
        <w:t xml:space="preserve"> </w:t>
      </w:r>
    </w:p>
    <w:p w14:paraId="518260CE" w14:textId="4FDC0306" w:rsidR="009210E9" w:rsidRPr="005275B1" w:rsidRDefault="005275B1" w:rsidP="009210E9">
      <w:pPr>
        <w:spacing w:line="276" w:lineRule="auto"/>
        <w:jc w:val="center"/>
        <w:rPr>
          <w:b/>
        </w:rPr>
      </w:pPr>
      <w:r w:rsidRPr="005275B1">
        <w:rPr>
          <w:b/>
        </w:rPr>
        <w:t>Krimināllietu departamenta</w:t>
      </w:r>
    </w:p>
    <w:p w14:paraId="63FA47F2" w14:textId="77777777" w:rsidR="005275B1" w:rsidRPr="005275B1" w:rsidRDefault="00C95438" w:rsidP="005275B1">
      <w:pPr>
        <w:spacing w:line="276" w:lineRule="auto"/>
        <w:jc w:val="center"/>
        <w:rPr>
          <w:b/>
        </w:rPr>
      </w:pPr>
      <w:r w:rsidRPr="005275B1">
        <w:rPr>
          <w:b/>
        </w:rPr>
        <w:t>20</w:t>
      </w:r>
      <w:r w:rsidR="003D4263" w:rsidRPr="005275B1">
        <w:rPr>
          <w:b/>
        </w:rPr>
        <w:t>20</w:t>
      </w:r>
      <w:r w:rsidRPr="005275B1">
        <w:rPr>
          <w:b/>
        </w:rPr>
        <w:t xml:space="preserve">.gada </w:t>
      </w:r>
      <w:r w:rsidR="000728E2" w:rsidRPr="005275B1">
        <w:rPr>
          <w:b/>
        </w:rPr>
        <w:t>27.mart</w:t>
      </w:r>
      <w:r w:rsidR="005275B1" w:rsidRPr="005275B1">
        <w:rPr>
          <w:b/>
        </w:rPr>
        <w:t xml:space="preserve">a </w:t>
      </w:r>
    </w:p>
    <w:p w14:paraId="17B28453" w14:textId="77777777" w:rsidR="005275B1" w:rsidRPr="005275B1" w:rsidRDefault="005275B1" w:rsidP="005275B1">
      <w:pPr>
        <w:spacing w:line="276" w:lineRule="auto"/>
        <w:jc w:val="center"/>
        <w:rPr>
          <w:b/>
        </w:rPr>
      </w:pPr>
      <w:r w:rsidRPr="005275B1">
        <w:rPr>
          <w:b/>
        </w:rPr>
        <w:t>LĒMUMS</w:t>
      </w:r>
      <w:r w:rsidRPr="005275B1">
        <w:rPr>
          <w:b/>
        </w:rPr>
        <w:t xml:space="preserve"> </w:t>
      </w:r>
    </w:p>
    <w:p w14:paraId="20426ACD" w14:textId="368B1036" w:rsidR="005275B1" w:rsidRPr="005275B1" w:rsidRDefault="005275B1" w:rsidP="005275B1">
      <w:pPr>
        <w:spacing w:line="276" w:lineRule="auto"/>
        <w:jc w:val="center"/>
        <w:rPr>
          <w:b/>
        </w:rPr>
      </w:pPr>
      <w:r w:rsidRPr="005275B1">
        <w:rPr>
          <w:b/>
        </w:rPr>
        <w:t>Lieta Nr. </w:t>
      </w:r>
      <w:r w:rsidRPr="005275B1">
        <w:rPr>
          <w:rFonts w:eastAsia="Calibri"/>
          <w:b/>
        </w:rPr>
        <w:t>15830008614</w:t>
      </w:r>
      <w:r w:rsidRPr="005275B1">
        <w:rPr>
          <w:b/>
        </w:rPr>
        <w:t>, SKK-58/2020</w:t>
      </w:r>
    </w:p>
    <w:p w14:paraId="0FF9B9F7" w14:textId="000FA21A" w:rsidR="005275B1" w:rsidRPr="005275B1" w:rsidRDefault="005275B1" w:rsidP="005275B1">
      <w:pPr>
        <w:spacing w:line="276" w:lineRule="auto"/>
        <w:jc w:val="center"/>
        <w:rPr>
          <w:bCs/>
        </w:rPr>
      </w:pPr>
      <w:hyperlink r:id="rId8" w:history="1">
        <w:r w:rsidRPr="005275B1">
          <w:rPr>
            <w:rStyle w:val="Hyperlink"/>
            <w:bCs/>
          </w:rPr>
          <w:t>ECLI:LV:AT:2020:0327.15830008614.3.L</w:t>
        </w:r>
      </w:hyperlink>
    </w:p>
    <w:p w14:paraId="597EA088" w14:textId="2F07F358" w:rsidR="009210E9" w:rsidRDefault="009210E9" w:rsidP="009210E9">
      <w:pPr>
        <w:spacing w:line="276" w:lineRule="auto"/>
        <w:jc w:val="center"/>
      </w:pPr>
    </w:p>
    <w:p w14:paraId="69E1771E" w14:textId="77777777" w:rsidR="009210E9" w:rsidRDefault="009210E9" w:rsidP="009210E9">
      <w:pPr>
        <w:spacing w:line="276" w:lineRule="auto"/>
        <w:jc w:val="center"/>
      </w:pPr>
    </w:p>
    <w:p w14:paraId="09A3A174" w14:textId="77777777" w:rsidR="009210E9" w:rsidRDefault="009210E9" w:rsidP="009210E9">
      <w:pPr>
        <w:spacing w:line="276" w:lineRule="auto"/>
        <w:ind w:firstLine="720"/>
        <w:jc w:val="both"/>
        <w:rPr>
          <w:rFonts w:eastAsia="Calibri"/>
        </w:rPr>
      </w:pPr>
      <w:r>
        <w:t>T</w:t>
      </w:r>
      <w:r w:rsidRPr="001A4084">
        <w:t xml:space="preserve">iesa šādā sastāvā: </w:t>
      </w:r>
      <w:r>
        <w:t>senatori</w:t>
      </w:r>
      <w:r w:rsidRPr="001A4084">
        <w:t xml:space="preserve"> Artūrs Freibergs,</w:t>
      </w:r>
      <w:r>
        <w:t xml:space="preserve"> </w:t>
      </w:r>
      <w:r w:rsidR="00F470F0">
        <w:t>Aija Branta, Pēteris Opincāns,</w:t>
      </w:r>
    </w:p>
    <w:p w14:paraId="657593AA" w14:textId="77777777" w:rsidR="009210E9" w:rsidRPr="001A4084" w:rsidRDefault="009210E9" w:rsidP="009210E9">
      <w:pPr>
        <w:suppressAutoHyphens/>
        <w:spacing w:line="276" w:lineRule="auto"/>
        <w:ind w:firstLine="720"/>
        <w:jc w:val="both"/>
        <w:rPr>
          <w:rFonts w:eastAsia="Calibri"/>
        </w:rPr>
      </w:pPr>
    </w:p>
    <w:p w14:paraId="6AAEC742" w14:textId="006C5C62" w:rsidR="009210E9" w:rsidRDefault="00ED30D3" w:rsidP="009210E9">
      <w:pPr>
        <w:autoSpaceDE w:val="0"/>
        <w:autoSpaceDN w:val="0"/>
        <w:adjustRightInd w:val="0"/>
        <w:spacing w:line="276" w:lineRule="auto"/>
        <w:ind w:firstLine="720"/>
        <w:jc w:val="both"/>
      </w:pPr>
      <w:r>
        <w:rPr>
          <w:rFonts w:eastAsia="Calibri"/>
        </w:rPr>
        <w:t>i</w:t>
      </w:r>
      <w:r w:rsidR="009210E9" w:rsidRPr="00F25004">
        <w:rPr>
          <w:rFonts w:eastAsia="Calibri"/>
        </w:rPr>
        <w:t xml:space="preserve">zskatīja rakstveida procesā krimināllietu sakarā ar </w:t>
      </w:r>
      <w:r w:rsidR="00F470F0">
        <w:rPr>
          <w:rFonts w:eastAsia="Calibri"/>
        </w:rPr>
        <w:t xml:space="preserve">Organizētās noziedzības un citu nozaru specializētās prokuratūras prokurora Mārtiņa Beķera kasācijas protestu un apsūdzētās </w:t>
      </w:r>
      <w:r w:rsidR="005275B1">
        <w:rPr>
          <w:rFonts w:eastAsia="Calibri"/>
        </w:rPr>
        <w:t xml:space="preserve">[pers. A] </w:t>
      </w:r>
      <w:r w:rsidR="00F470F0">
        <w:rPr>
          <w:rFonts w:eastAsia="Calibri"/>
        </w:rPr>
        <w:t xml:space="preserve">aizstāves Tatjanas Jurkevičas </w:t>
      </w:r>
      <w:r w:rsidR="003D4263">
        <w:t>kasācijas sūdzīb</w:t>
      </w:r>
      <w:r w:rsidR="00F470F0">
        <w:t>u</w:t>
      </w:r>
      <w:r w:rsidR="006941BD">
        <w:t xml:space="preserve"> </w:t>
      </w:r>
      <w:r w:rsidR="009210E9">
        <w:t xml:space="preserve">par </w:t>
      </w:r>
      <w:r w:rsidR="006941BD">
        <w:t>Rīgas</w:t>
      </w:r>
      <w:r w:rsidR="009210E9">
        <w:t xml:space="preserve"> apgabaltiesas 201</w:t>
      </w:r>
      <w:r w:rsidR="007013C1">
        <w:t>9</w:t>
      </w:r>
      <w:r w:rsidR="009210E9">
        <w:t xml:space="preserve">.gada </w:t>
      </w:r>
      <w:r w:rsidR="00F470F0">
        <w:t>28.marta</w:t>
      </w:r>
      <w:r w:rsidR="0051489A">
        <w:t xml:space="preserve"> </w:t>
      </w:r>
      <w:r w:rsidR="009210E9">
        <w:t>spriedumu.</w:t>
      </w:r>
    </w:p>
    <w:p w14:paraId="4E1F1B66" w14:textId="77777777" w:rsidR="009210E9" w:rsidRDefault="009210E9" w:rsidP="00B135BD">
      <w:pPr>
        <w:spacing w:line="276" w:lineRule="auto"/>
        <w:jc w:val="center"/>
        <w:rPr>
          <w:b/>
        </w:rPr>
      </w:pPr>
    </w:p>
    <w:p w14:paraId="1A6AEB87" w14:textId="77777777" w:rsidR="00B135BD" w:rsidRPr="008A5055" w:rsidRDefault="00B135BD" w:rsidP="00B135BD">
      <w:pPr>
        <w:spacing w:line="276" w:lineRule="auto"/>
        <w:jc w:val="center"/>
        <w:rPr>
          <w:b/>
        </w:rPr>
      </w:pPr>
      <w:r w:rsidRPr="008A5055">
        <w:rPr>
          <w:b/>
        </w:rPr>
        <w:t>Aprakstošā daļa</w:t>
      </w:r>
    </w:p>
    <w:p w14:paraId="12DA5ADC" w14:textId="77777777" w:rsidR="00B135BD" w:rsidRPr="008A5055" w:rsidRDefault="00B135BD" w:rsidP="00B135BD">
      <w:pPr>
        <w:spacing w:line="276" w:lineRule="auto"/>
        <w:jc w:val="center"/>
        <w:rPr>
          <w:b/>
        </w:rPr>
      </w:pPr>
    </w:p>
    <w:p w14:paraId="5DDC61F7" w14:textId="77777777" w:rsidR="00D5251B" w:rsidRPr="00D5251B" w:rsidRDefault="00D5251B" w:rsidP="00D5251B">
      <w:pPr>
        <w:autoSpaceDE w:val="0"/>
        <w:autoSpaceDN w:val="0"/>
        <w:adjustRightInd w:val="0"/>
        <w:spacing w:line="276" w:lineRule="auto"/>
        <w:ind w:firstLine="720"/>
        <w:jc w:val="both"/>
      </w:pPr>
      <w:r w:rsidRPr="00D5251B">
        <w:t xml:space="preserve">[1] Ar </w:t>
      </w:r>
      <w:r w:rsidR="00E65412">
        <w:t xml:space="preserve">Rīgas </w:t>
      </w:r>
      <w:r w:rsidR="00F470F0">
        <w:t xml:space="preserve">pilsētas Vidzemes priekšpilsētas tiesas </w:t>
      </w:r>
      <w:r w:rsidR="00007867">
        <w:t>201</w:t>
      </w:r>
      <w:r w:rsidR="00F470F0">
        <w:t>7</w:t>
      </w:r>
      <w:r w:rsidR="00007867">
        <w:t xml:space="preserve">.gada </w:t>
      </w:r>
      <w:r w:rsidR="00F470F0">
        <w:t>27.februāra</w:t>
      </w:r>
      <w:r w:rsidRPr="00D5251B">
        <w:t xml:space="preserve"> spriedumu</w:t>
      </w:r>
    </w:p>
    <w:p w14:paraId="6AA73BD6" w14:textId="223D534C" w:rsidR="00D5251B" w:rsidRPr="00D5251B" w:rsidRDefault="005275B1" w:rsidP="00D5251B">
      <w:pPr>
        <w:autoSpaceDE w:val="0"/>
        <w:autoSpaceDN w:val="0"/>
        <w:adjustRightInd w:val="0"/>
        <w:spacing w:line="276" w:lineRule="auto"/>
        <w:ind w:firstLine="720"/>
        <w:jc w:val="both"/>
      </w:pPr>
      <w:r>
        <w:t>[pers. A]</w:t>
      </w:r>
      <w:r w:rsidR="00917850">
        <w:t xml:space="preserve">, </w:t>
      </w:r>
      <w:r w:rsidR="00F470F0">
        <w:t xml:space="preserve">personas kods </w:t>
      </w:r>
      <w:r>
        <w:t>[..]</w:t>
      </w:r>
      <w:r w:rsidR="00D5251B" w:rsidRPr="00D5251B">
        <w:t>,</w:t>
      </w:r>
    </w:p>
    <w:p w14:paraId="2CAF6B4B" w14:textId="77777777" w:rsidR="00D5251B" w:rsidRDefault="00D5251B" w:rsidP="00F470F0">
      <w:pPr>
        <w:autoSpaceDE w:val="0"/>
        <w:autoSpaceDN w:val="0"/>
        <w:adjustRightInd w:val="0"/>
        <w:spacing w:line="276" w:lineRule="auto"/>
        <w:ind w:firstLine="720"/>
        <w:jc w:val="both"/>
      </w:pPr>
      <w:r w:rsidRPr="00D5251B">
        <w:t>atzīt</w:t>
      </w:r>
      <w:r w:rsidR="00F470F0">
        <w:t>a</w:t>
      </w:r>
      <w:r w:rsidRPr="00D5251B">
        <w:t xml:space="preserve"> par vainīgu </w:t>
      </w:r>
      <w:r w:rsidR="00F470F0">
        <w:t>Krimināllikuma 218.panta otrajā daļā</w:t>
      </w:r>
      <w:r w:rsidRPr="00D5251B">
        <w:t xml:space="preserve"> paredzētajā noziedzīgajā nodarījumā</w:t>
      </w:r>
      <w:r w:rsidR="00007867">
        <w:t xml:space="preserve"> un</w:t>
      </w:r>
      <w:r w:rsidR="00257CDF">
        <w:t xml:space="preserve"> </w:t>
      </w:r>
      <w:r w:rsidR="00F470F0">
        <w:t>sodīta ar brīvības atņemšanu uz 10 mēnešiem, atņemot tiesības veikt uzņēmējdarbību uz 2 gadiem;</w:t>
      </w:r>
    </w:p>
    <w:p w14:paraId="60B3DAF6" w14:textId="77777777" w:rsidR="004A4866" w:rsidRDefault="004A4866" w:rsidP="004A4866">
      <w:pPr>
        <w:autoSpaceDE w:val="0"/>
        <w:autoSpaceDN w:val="0"/>
        <w:adjustRightInd w:val="0"/>
        <w:spacing w:line="276" w:lineRule="auto"/>
        <w:ind w:firstLine="720"/>
        <w:jc w:val="both"/>
      </w:pPr>
      <w:r w:rsidRPr="00D5251B">
        <w:t>atzīt</w:t>
      </w:r>
      <w:r>
        <w:t>a</w:t>
      </w:r>
      <w:r w:rsidRPr="00D5251B">
        <w:t xml:space="preserve"> par vainīgu </w:t>
      </w:r>
      <w:r>
        <w:t>Krimināllikuma 195.panta trešajā daļā</w:t>
      </w:r>
      <w:r w:rsidRPr="00D5251B">
        <w:t xml:space="preserve"> paredzētajā noziedzīgajā nodarījumā</w:t>
      </w:r>
      <w:r>
        <w:t xml:space="preserve"> un sodīta ar brīvības atņemšanu uz 3 gadiem.</w:t>
      </w:r>
    </w:p>
    <w:p w14:paraId="6EE3EA7A" w14:textId="114C02DA" w:rsidR="004A4866" w:rsidRDefault="004A4866" w:rsidP="004A4866">
      <w:pPr>
        <w:autoSpaceDE w:val="0"/>
        <w:autoSpaceDN w:val="0"/>
        <w:adjustRightInd w:val="0"/>
        <w:spacing w:line="276" w:lineRule="auto"/>
        <w:ind w:firstLine="720"/>
        <w:jc w:val="both"/>
      </w:pPr>
      <w:r>
        <w:t>Saskaņā ar Krimināllikuma 50.panta pirmo daļu galīg</w:t>
      </w:r>
      <w:r w:rsidR="002311B1">
        <w:t>ais sods</w:t>
      </w:r>
      <w:r>
        <w:t xml:space="preserve"> </w:t>
      </w:r>
      <w:r w:rsidR="00A068B0">
        <w:t>[pers. A]</w:t>
      </w:r>
      <w:r>
        <w:t xml:space="preserve"> noteikt</w:t>
      </w:r>
      <w:r w:rsidR="002311B1">
        <w:t>s</w:t>
      </w:r>
      <w:r>
        <w:t xml:space="preserve"> brīvības atņemšan</w:t>
      </w:r>
      <w:r w:rsidR="00ED5719">
        <w:t>a</w:t>
      </w:r>
      <w:r>
        <w:t xml:space="preserve"> uz 3 gadiem 2 mēnešiem, atņemot tiesības veikt komercdarbību uz 2 gadiem. </w:t>
      </w:r>
    </w:p>
    <w:p w14:paraId="38A745BA" w14:textId="63D3B4FD" w:rsidR="00F470F0" w:rsidRPr="00D5251B" w:rsidRDefault="004A4866" w:rsidP="00F470F0">
      <w:pPr>
        <w:autoSpaceDE w:val="0"/>
        <w:autoSpaceDN w:val="0"/>
        <w:adjustRightInd w:val="0"/>
        <w:spacing w:line="276" w:lineRule="auto"/>
        <w:ind w:firstLine="720"/>
        <w:jc w:val="both"/>
      </w:pPr>
      <w:r>
        <w:t xml:space="preserve">Saskaņā ar Krimināllikuma 55.pantu </w:t>
      </w:r>
      <w:r w:rsidR="00A068B0">
        <w:t>[pers. A]</w:t>
      </w:r>
      <w:r>
        <w:t xml:space="preserve"> notiesāta nosacīti ar pārbaudes laiku uz 3 gadiem 2 mēnešiem. </w:t>
      </w:r>
    </w:p>
    <w:p w14:paraId="042AD0B5" w14:textId="77777777" w:rsidR="00B135BD" w:rsidRPr="00D5251B" w:rsidRDefault="00B135BD" w:rsidP="00B135BD">
      <w:pPr>
        <w:autoSpaceDE w:val="0"/>
        <w:autoSpaceDN w:val="0"/>
        <w:adjustRightInd w:val="0"/>
        <w:spacing w:line="276" w:lineRule="auto"/>
        <w:ind w:firstLine="720"/>
        <w:jc w:val="both"/>
      </w:pPr>
    </w:p>
    <w:p w14:paraId="799564F3" w14:textId="0A45416A" w:rsidR="00777C61" w:rsidRDefault="00D5251B" w:rsidP="004027A3">
      <w:pPr>
        <w:autoSpaceDE w:val="0"/>
        <w:autoSpaceDN w:val="0"/>
        <w:adjustRightInd w:val="0"/>
        <w:spacing w:line="276" w:lineRule="auto"/>
        <w:ind w:firstLine="720"/>
        <w:jc w:val="both"/>
      </w:pPr>
      <w:r w:rsidRPr="001A4084">
        <w:t xml:space="preserve">[2] </w:t>
      </w:r>
      <w:r w:rsidRPr="00516D43">
        <w:t xml:space="preserve">Ar pirmās instances tiesas spriedumu </w:t>
      </w:r>
      <w:r w:rsidR="00A068B0">
        <w:t>[pers. A]</w:t>
      </w:r>
      <w:r w:rsidRPr="00D5251B">
        <w:t xml:space="preserve"> </w:t>
      </w:r>
      <w:r w:rsidRPr="00516D43">
        <w:t>atzīt</w:t>
      </w:r>
      <w:r w:rsidR="00DB010F">
        <w:t>a</w:t>
      </w:r>
      <w:r w:rsidRPr="00516D43">
        <w:t xml:space="preserve"> par vainīgu</w:t>
      </w:r>
      <w:r w:rsidR="00DB010F">
        <w:t xml:space="preserve"> un sodīta</w:t>
      </w:r>
      <w:r w:rsidRPr="00516D43">
        <w:t xml:space="preserve"> </w:t>
      </w:r>
      <w:r w:rsidR="002311B1">
        <w:t>pēc Krimināllikuma 218.panta otr</w:t>
      </w:r>
      <w:r w:rsidR="00DB010F">
        <w:t>ā</w:t>
      </w:r>
      <w:r w:rsidR="002311B1">
        <w:t>s</w:t>
      </w:r>
      <w:r w:rsidR="00DB010F">
        <w:t xml:space="preserve"> daļ</w:t>
      </w:r>
      <w:r w:rsidR="002311B1">
        <w:t>as</w:t>
      </w:r>
      <w:r w:rsidR="00DB010F">
        <w:t xml:space="preserve"> </w:t>
      </w:r>
      <w:r w:rsidRPr="00516D43">
        <w:t xml:space="preserve">par to, ka </w:t>
      </w:r>
      <w:r w:rsidR="00777C61">
        <w:t>viņ</w:t>
      </w:r>
      <w:r w:rsidR="00DB010F">
        <w:t xml:space="preserve">a izvairījās no nodokļu nomaksas, nodarot valstij zaudējumus lielā apmērā. </w:t>
      </w:r>
    </w:p>
    <w:p w14:paraId="734EBD21" w14:textId="63D84631" w:rsidR="00DB010F" w:rsidRDefault="00DB010F" w:rsidP="004027A3">
      <w:pPr>
        <w:autoSpaceDE w:val="0"/>
        <w:autoSpaceDN w:val="0"/>
        <w:adjustRightInd w:val="0"/>
        <w:spacing w:line="276" w:lineRule="auto"/>
        <w:ind w:firstLine="720"/>
        <w:jc w:val="both"/>
      </w:pPr>
      <w:r>
        <w:t xml:space="preserve">Tāpat </w:t>
      </w:r>
      <w:r w:rsidR="00A068B0">
        <w:t>[pers. A]</w:t>
      </w:r>
      <w:r>
        <w:t xml:space="preserve"> </w:t>
      </w:r>
      <w:r w:rsidRPr="00516D43">
        <w:t>atzīt</w:t>
      </w:r>
      <w:r>
        <w:t>a</w:t>
      </w:r>
      <w:r w:rsidRPr="00516D43">
        <w:t xml:space="preserve"> par vainīgu</w:t>
      </w:r>
      <w:r>
        <w:t xml:space="preserve"> un sodīta</w:t>
      </w:r>
      <w:r w:rsidRPr="00516D43">
        <w:t xml:space="preserve"> </w:t>
      </w:r>
      <w:r w:rsidR="002311B1">
        <w:t xml:space="preserve">pēc </w:t>
      </w:r>
      <w:r>
        <w:t>Krimināllikuma 195.panta treš</w:t>
      </w:r>
      <w:r w:rsidR="002311B1">
        <w:t>ās</w:t>
      </w:r>
      <w:r>
        <w:t xml:space="preserve"> daļ</w:t>
      </w:r>
      <w:r w:rsidR="002311B1">
        <w:t>as</w:t>
      </w:r>
      <w:r>
        <w:t xml:space="preserve"> </w:t>
      </w:r>
      <w:r w:rsidRPr="00516D43">
        <w:t xml:space="preserve">par to, ka </w:t>
      </w:r>
      <w:r>
        <w:t>viņa legalizēja noziedzīgi iegūtus finanšu līdzekļu</w:t>
      </w:r>
      <w:r w:rsidR="00ED5719">
        <w:t>s</w:t>
      </w:r>
      <w:r>
        <w:t xml:space="preserve"> lielā apmērā. </w:t>
      </w:r>
    </w:p>
    <w:p w14:paraId="2EBA88C2" w14:textId="77777777" w:rsidR="004027A3" w:rsidRDefault="004027A3" w:rsidP="004027A3">
      <w:pPr>
        <w:autoSpaceDE w:val="0"/>
        <w:autoSpaceDN w:val="0"/>
        <w:adjustRightInd w:val="0"/>
        <w:spacing w:line="276" w:lineRule="auto"/>
        <w:ind w:firstLine="720"/>
        <w:jc w:val="both"/>
      </w:pPr>
    </w:p>
    <w:p w14:paraId="451D585D" w14:textId="57ECD195" w:rsidR="00F67404" w:rsidRDefault="00B135BD" w:rsidP="00E43F5D">
      <w:pPr>
        <w:autoSpaceDE w:val="0"/>
        <w:autoSpaceDN w:val="0"/>
        <w:adjustRightInd w:val="0"/>
        <w:spacing w:line="276" w:lineRule="auto"/>
        <w:ind w:firstLine="720"/>
        <w:jc w:val="both"/>
      </w:pPr>
      <w:r w:rsidRPr="00EC5A12">
        <w:t>[</w:t>
      </w:r>
      <w:r w:rsidR="00D5251B">
        <w:t>3</w:t>
      </w:r>
      <w:r w:rsidRPr="00EC5A12">
        <w:t>]</w:t>
      </w:r>
      <w:r w:rsidR="00D5251B" w:rsidRPr="00D5251B">
        <w:t xml:space="preserve"> Ar </w:t>
      </w:r>
      <w:r w:rsidR="00674984">
        <w:t>Rīgas</w:t>
      </w:r>
      <w:r w:rsidR="00D5251B" w:rsidRPr="00D5251B">
        <w:t xml:space="preserve"> apgabaltiesas </w:t>
      </w:r>
      <w:r w:rsidR="00F67404">
        <w:t xml:space="preserve">2019.gada </w:t>
      </w:r>
      <w:r w:rsidR="00DB010F">
        <w:t>28.marta</w:t>
      </w:r>
      <w:r w:rsidR="004027A3">
        <w:t xml:space="preserve"> </w:t>
      </w:r>
      <w:r w:rsidR="00D5251B" w:rsidRPr="00D5251B">
        <w:t>spriedumu, izskatot krimināllietu apelācijas kārtībā sakarā ar</w:t>
      </w:r>
      <w:r w:rsidR="00674984">
        <w:t xml:space="preserve"> </w:t>
      </w:r>
      <w:r w:rsidR="00DB010F">
        <w:t xml:space="preserve">Organizētās noziedzības un citu nozaru specializētās prokuratūras virsprokurora Aleksandra Černišova apelācijas protestu un apsūdzētās </w:t>
      </w:r>
      <w:r w:rsidR="00A068B0">
        <w:t>[pers. A]</w:t>
      </w:r>
      <w:r w:rsidR="00DB010F">
        <w:t xml:space="preserve"> aizstāves T</w:t>
      </w:r>
      <w:r w:rsidR="002D1472">
        <w:t>. </w:t>
      </w:r>
      <w:r w:rsidR="00DB010F">
        <w:t>Jurkevičas apelācijas sūdzību</w:t>
      </w:r>
      <w:r w:rsidR="006E15E2">
        <w:t xml:space="preserve">, </w:t>
      </w:r>
      <w:r w:rsidR="00674984">
        <w:t xml:space="preserve">Rīgas </w:t>
      </w:r>
      <w:r w:rsidR="00DB010F">
        <w:t>pilsētas Vidzemes priekšpilsētas tiesas</w:t>
      </w:r>
      <w:r w:rsidR="006E15E2">
        <w:t xml:space="preserve"> </w:t>
      </w:r>
      <w:r w:rsidR="00E43F5D">
        <w:t>201</w:t>
      </w:r>
      <w:r w:rsidR="00DB010F">
        <w:t>7</w:t>
      </w:r>
      <w:r w:rsidR="00F67404">
        <w:t xml:space="preserve">.gada </w:t>
      </w:r>
      <w:r w:rsidR="00DB010F">
        <w:t>27.februāra</w:t>
      </w:r>
      <w:r w:rsidR="006E15E2">
        <w:t xml:space="preserve"> spriedums atcelts </w:t>
      </w:r>
      <w:r w:rsidR="00674984">
        <w:t xml:space="preserve">daļā par </w:t>
      </w:r>
      <w:r w:rsidR="00A068B0">
        <w:t>[pers. A]</w:t>
      </w:r>
      <w:r w:rsidR="00E43F5D">
        <w:t xml:space="preserve"> noteikto sodu</w:t>
      </w:r>
      <w:r w:rsidR="00DB010F">
        <w:t xml:space="preserve"> un galīgo sodu.</w:t>
      </w:r>
    </w:p>
    <w:p w14:paraId="11D3B21E" w14:textId="6F8A9C11" w:rsidR="00E43F5D" w:rsidRDefault="00A068B0" w:rsidP="00E43F5D">
      <w:pPr>
        <w:autoSpaceDE w:val="0"/>
        <w:autoSpaceDN w:val="0"/>
        <w:adjustRightInd w:val="0"/>
        <w:spacing w:line="276" w:lineRule="auto"/>
        <w:ind w:firstLine="720"/>
        <w:jc w:val="both"/>
      </w:pPr>
      <w:r>
        <w:lastRenderedPageBreak/>
        <w:t>[Pers. A]</w:t>
      </w:r>
      <w:r w:rsidR="00DB010F">
        <w:t xml:space="preserve"> </w:t>
      </w:r>
      <w:r w:rsidR="00E43F5D" w:rsidRPr="00E72E38">
        <w:t xml:space="preserve">pēc </w:t>
      </w:r>
      <w:r w:rsidR="00DB010F">
        <w:t>Krimināllikuma 218.panta otrās daļas</w:t>
      </w:r>
      <w:r w:rsidR="00E43F5D" w:rsidRPr="00E72E38">
        <w:t>, piemērojot Krimināllikuma 49.</w:t>
      </w:r>
      <w:r w:rsidR="00E43F5D" w:rsidRPr="00E72E38">
        <w:rPr>
          <w:vertAlign w:val="superscript"/>
        </w:rPr>
        <w:t>1</w:t>
      </w:r>
      <w:r w:rsidR="00E43F5D" w:rsidRPr="00E72E38">
        <w:t xml:space="preserve">panta pirmās daļas </w:t>
      </w:r>
      <w:r w:rsidR="00DB010F">
        <w:t>1.punktu, sodīta</w:t>
      </w:r>
      <w:r w:rsidR="00E43F5D" w:rsidRPr="00E72E38">
        <w:t xml:space="preserve"> </w:t>
      </w:r>
      <w:r w:rsidR="00DB010F">
        <w:t xml:space="preserve">ar naudas sodu 10 minimālo mēnešalgu jeb 4300 </w:t>
      </w:r>
      <w:r w:rsidR="00DB010F" w:rsidRPr="00DB010F">
        <w:rPr>
          <w:i/>
        </w:rPr>
        <w:t xml:space="preserve">euro </w:t>
      </w:r>
      <w:r w:rsidR="00DB010F">
        <w:t>apmērā.</w:t>
      </w:r>
    </w:p>
    <w:p w14:paraId="0164E392" w14:textId="70576BF3" w:rsidR="00DB010F" w:rsidRDefault="00A068B0" w:rsidP="00DB010F">
      <w:pPr>
        <w:autoSpaceDE w:val="0"/>
        <w:autoSpaceDN w:val="0"/>
        <w:adjustRightInd w:val="0"/>
        <w:spacing w:line="276" w:lineRule="auto"/>
        <w:ind w:firstLine="720"/>
        <w:jc w:val="both"/>
      </w:pPr>
      <w:r>
        <w:t>[Pers. A]</w:t>
      </w:r>
      <w:r w:rsidR="00DB010F">
        <w:t xml:space="preserve"> </w:t>
      </w:r>
      <w:r w:rsidR="00DB010F" w:rsidRPr="00E72E38">
        <w:t xml:space="preserve">pēc </w:t>
      </w:r>
      <w:r w:rsidR="00DB010F">
        <w:t>Krimināllikuma 195.panta trešās daļas</w:t>
      </w:r>
      <w:r w:rsidR="00DB010F" w:rsidRPr="00E72E38">
        <w:t>, piemērojot Krimināllikuma 49.</w:t>
      </w:r>
      <w:r w:rsidR="00DB010F" w:rsidRPr="00E72E38">
        <w:rPr>
          <w:vertAlign w:val="superscript"/>
        </w:rPr>
        <w:t>1</w:t>
      </w:r>
      <w:r w:rsidR="00DB010F" w:rsidRPr="00E72E38">
        <w:t xml:space="preserve">panta pirmās daļas </w:t>
      </w:r>
      <w:r w:rsidR="00002538">
        <w:t>3</w:t>
      </w:r>
      <w:r w:rsidR="00DB010F">
        <w:t>.punktu, sodīta</w:t>
      </w:r>
      <w:r w:rsidR="00DB010F" w:rsidRPr="00E72E38">
        <w:t xml:space="preserve"> </w:t>
      </w:r>
      <w:r w:rsidR="00DB010F">
        <w:t xml:space="preserve">ar naudas sodu 50 minimālo mēnešalgu jeb 21 500 </w:t>
      </w:r>
      <w:r w:rsidR="00DB010F" w:rsidRPr="00DB010F">
        <w:rPr>
          <w:i/>
        </w:rPr>
        <w:t xml:space="preserve">euro </w:t>
      </w:r>
      <w:r w:rsidR="00DB010F">
        <w:t>apmērā.</w:t>
      </w:r>
    </w:p>
    <w:p w14:paraId="167B1422" w14:textId="14A9B577" w:rsidR="00DB010F" w:rsidRDefault="00DB010F" w:rsidP="00DB010F">
      <w:pPr>
        <w:autoSpaceDE w:val="0"/>
        <w:autoSpaceDN w:val="0"/>
        <w:adjustRightInd w:val="0"/>
        <w:spacing w:line="276" w:lineRule="auto"/>
        <w:ind w:firstLine="720"/>
        <w:jc w:val="both"/>
      </w:pPr>
      <w:r>
        <w:t xml:space="preserve">Saskaņā ar Krimināllikuma 50.panta pirmo daļu galīgais sods </w:t>
      </w:r>
      <w:r w:rsidR="00A068B0">
        <w:t>[pers. A]</w:t>
      </w:r>
      <w:r>
        <w:t xml:space="preserve"> noteikts naudas sods 60 minimālo mēnešalgu jeb 25 800</w:t>
      </w:r>
      <w:r w:rsidRPr="00DB010F">
        <w:rPr>
          <w:i/>
        </w:rPr>
        <w:t xml:space="preserve"> euro</w:t>
      </w:r>
      <w:r>
        <w:t xml:space="preserve"> apmērā. </w:t>
      </w:r>
    </w:p>
    <w:p w14:paraId="0AC029C2" w14:textId="77777777" w:rsidR="00E43F5D" w:rsidRDefault="00E43F5D" w:rsidP="00D43441">
      <w:pPr>
        <w:autoSpaceDE w:val="0"/>
        <w:autoSpaceDN w:val="0"/>
        <w:adjustRightInd w:val="0"/>
        <w:spacing w:line="276" w:lineRule="auto"/>
        <w:ind w:firstLine="720"/>
        <w:jc w:val="both"/>
      </w:pPr>
    </w:p>
    <w:p w14:paraId="090EA872" w14:textId="6E0AE99E" w:rsidR="00516D43" w:rsidRDefault="0026033C" w:rsidP="00D43441">
      <w:pPr>
        <w:autoSpaceDE w:val="0"/>
        <w:autoSpaceDN w:val="0"/>
        <w:adjustRightInd w:val="0"/>
        <w:spacing w:line="276" w:lineRule="auto"/>
        <w:ind w:firstLine="720"/>
        <w:jc w:val="both"/>
      </w:pPr>
      <w:r>
        <w:rPr>
          <w:rFonts w:eastAsiaTheme="minorHAnsi"/>
        </w:rPr>
        <w:t>[</w:t>
      </w:r>
      <w:r w:rsidR="00516D43">
        <w:t>4</w:t>
      </w:r>
      <w:r w:rsidR="00516D43" w:rsidRPr="008C5C62">
        <w:t xml:space="preserve">] </w:t>
      </w:r>
      <w:bookmarkStart w:id="0" w:name="_Hlk13737875"/>
      <w:r w:rsidR="00D80666">
        <w:t xml:space="preserve">Par </w:t>
      </w:r>
      <w:r w:rsidR="00D43441">
        <w:t xml:space="preserve">Rīgas </w:t>
      </w:r>
      <w:r w:rsidR="00516D43" w:rsidRPr="00D5251B">
        <w:t>apgabaltiesas 201</w:t>
      </w:r>
      <w:r w:rsidR="00845D6E">
        <w:t>9</w:t>
      </w:r>
      <w:r w:rsidR="00516D43" w:rsidRPr="00D5251B">
        <w:t>.gada</w:t>
      </w:r>
      <w:r w:rsidR="00D43441">
        <w:t xml:space="preserve"> </w:t>
      </w:r>
      <w:r w:rsidR="00D16DC8">
        <w:t>28.marta</w:t>
      </w:r>
      <w:r w:rsidR="00516D43" w:rsidRPr="00D5251B">
        <w:t xml:space="preserve"> spriedumu</w:t>
      </w:r>
      <w:r w:rsidR="00D80666">
        <w:t xml:space="preserve"> </w:t>
      </w:r>
      <w:bookmarkEnd w:id="0"/>
      <w:r w:rsidR="00D16DC8">
        <w:t>kasācijas protestu iesniedz</w:t>
      </w:r>
      <w:r w:rsidR="000715A8">
        <w:t>is</w:t>
      </w:r>
      <w:r w:rsidR="00D16DC8">
        <w:t xml:space="preserve"> </w:t>
      </w:r>
      <w:r w:rsidR="00D16DC8">
        <w:rPr>
          <w:rFonts w:eastAsia="Calibri"/>
        </w:rPr>
        <w:t>Organizētās noziedzības un citu nozaru specializētās prokuratūras prokurors M. Beķers, bet kasācijas sūdzību</w:t>
      </w:r>
      <w:r w:rsidR="00257CDF">
        <w:rPr>
          <w:rFonts w:eastAsia="Calibri"/>
        </w:rPr>
        <w:t xml:space="preserve"> un tās papildinājumus</w:t>
      </w:r>
      <w:r w:rsidR="00D16DC8">
        <w:rPr>
          <w:rFonts w:eastAsia="Calibri"/>
        </w:rPr>
        <w:t xml:space="preserve"> –</w:t>
      </w:r>
      <w:r w:rsidR="002D1472">
        <w:rPr>
          <w:rFonts w:eastAsia="Calibri"/>
        </w:rPr>
        <w:t xml:space="preserve"> apsūdzētās </w:t>
      </w:r>
      <w:r w:rsidR="00A068B0">
        <w:rPr>
          <w:rFonts w:eastAsia="Calibri"/>
        </w:rPr>
        <w:t>[pers. A]</w:t>
      </w:r>
      <w:r w:rsidR="002D1472">
        <w:rPr>
          <w:rFonts w:eastAsia="Calibri"/>
        </w:rPr>
        <w:t xml:space="preserve"> aizstāve T. Jurkeviča</w:t>
      </w:r>
      <w:r w:rsidR="00D16DC8">
        <w:rPr>
          <w:rFonts w:eastAsia="Calibri"/>
        </w:rPr>
        <w:t xml:space="preserve">. </w:t>
      </w:r>
    </w:p>
    <w:p w14:paraId="1260D8A6" w14:textId="77777777" w:rsidR="00F67404" w:rsidRDefault="00F67404" w:rsidP="00D43441">
      <w:pPr>
        <w:autoSpaceDE w:val="0"/>
        <w:autoSpaceDN w:val="0"/>
        <w:adjustRightInd w:val="0"/>
        <w:spacing w:line="276" w:lineRule="auto"/>
        <w:ind w:firstLine="720"/>
        <w:jc w:val="both"/>
      </w:pPr>
    </w:p>
    <w:p w14:paraId="28640F1E" w14:textId="77777777" w:rsidR="00F67404" w:rsidRDefault="00925202" w:rsidP="00D43441">
      <w:pPr>
        <w:autoSpaceDE w:val="0"/>
        <w:autoSpaceDN w:val="0"/>
        <w:adjustRightInd w:val="0"/>
        <w:spacing w:line="276" w:lineRule="auto"/>
        <w:ind w:firstLine="720"/>
        <w:jc w:val="both"/>
      </w:pPr>
      <w:r>
        <w:t>[5] </w:t>
      </w:r>
      <w:r w:rsidR="00D16DC8">
        <w:t>Prokurors M. Beķers</w:t>
      </w:r>
      <w:r w:rsidR="006E508B">
        <w:t xml:space="preserve"> kasācijas </w:t>
      </w:r>
      <w:r w:rsidR="00D16DC8">
        <w:t>protestā</w:t>
      </w:r>
      <w:r w:rsidR="006E508B">
        <w:t xml:space="preserve"> lūdz atcelt apelācijas instances tiesas spriedumu </w:t>
      </w:r>
      <w:r w:rsidR="00D16DC8">
        <w:t xml:space="preserve">daļā par noteikto sodu un šajā daļā nosūtīt lietu jaunai izskatīšanai apelācijas instances tiesā. </w:t>
      </w:r>
      <w:r w:rsidR="006E508B">
        <w:t xml:space="preserve"> </w:t>
      </w:r>
    </w:p>
    <w:p w14:paraId="21A4B393" w14:textId="77777777" w:rsidR="006E508B" w:rsidRDefault="006E508B" w:rsidP="00D43441">
      <w:pPr>
        <w:autoSpaceDE w:val="0"/>
        <w:autoSpaceDN w:val="0"/>
        <w:adjustRightInd w:val="0"/>
        <w:spacing w:line="276" w:lineRule="auto"/>
        <w:ind w:firstLine="720"/>
        <w:jc w:val="both"/>
      </w:pPr>
      <w:r>
        <w:t xml:space="preserve">Kasācijas </w:t>
      </w:r>
      <w:r w:rsidR="00D16DC8">
        <w:t>protests</w:t>
      </w:r>
      <w:r>
        <w:t xml:space="preserve"> pamatot</w:t>
      </w:r>
      <w:r w:rsidR="00D16DC8">
        <w:t>s</w:t>
      </w:r>
      <w:r>
        <w:t xml:space="preserve"> ar šādiem argumentiem. </w:t>
      </w:r>
    </w:p>
    <w:p w14:paraId="4689DD0A" w14:textId="77777777" w:rsidR="00920A68" w:rsidRDefault="00ED5719" w:rsidP="00D16DC8">
      <w:pPr>
        <w:autoSpaceDE w:val="0"/>
        <w:autoSpaceDN w:val="0"/>
        <w:adjustRightInd w:val="0"/>
        <w:spacing w:line="276" w:lineRule="auto"/>
        <w:ind w:firstLine="720"/>
        <w:jc w:val="both"/>
      </w:pPr>
      <w:r>
        <w:t>A</w:t>
      </w:r>
      <w:r w:rsidR="00774E5A">
        <w:t>pelācijas instances tiesas spriedums ir nepamatots un nelikumīgs daļā par Krimināllikuma 49.</w:t>
      </w:r>
      <w:r w:rsidR="00774E5A" w:rsidRPr="00774E5A">
        <w:rPr>
          <w:vertAlign w:val="superscript"/>
        </w:rPr>
        <w:t>1</w:t>
      </w:r>
      <w:r w:rsidR="00774E5A">
        <w:t xml:space="preserve">panta pirmās daļas 1., 3.punkta piemērošanu un </w:t>
      </w:r>
      <w:r w:rsidR="002D1472">
        <w:t>apsūdzētai</w:t>
      </w:r>
      <w:r w:rsidR="00774E5A">
        <w:t xml:space="preserve"> noteikto sodu. </w:t>
      </w:r>
      <w:r w:rsidR="00785AD9">
        <w:t>Tiesa pieļāvusi Kriminālprocesa likuma 574.panta 1., 3.punktā norādīto Krimināllikuma pārkāpumu.</w:t>
      </w:r>
    </w:p>
    <w:p w14:paraId="31F1A788" w14:textId="77777777" w:rsidR="00E062C1" w:rsidRDefault="00E062C1" w:rsidP="00D16DC8">
      <w:pPr>
        <w:autoSpaceDE w:val="0"/>
        <w:autoSpaceDN w:val="0"/>
        <w:adjustRightInd w:val="0"/>
        <w:spacing w:line="276" w:lineRule="auto"/>
        <w:ind w:firstLine="720"/>
        <w:jc w:val="both"/>
      </w:pPr>
      <w:r>
        <w:t>Apelācijas instances tiesa norādījusi, ka lietas izskatīšanas laiks vairākkārt grozīts sakarā ar referējošā tiesneša darbnespēju, kas ir par pamatu Krimināllikuma 49.</w:t>
      </w:r>
      <w:r w:rsidRPr="00774E5A">
        <w:rPr>
          <w:vertAlign w:val="superscript"/>
        </w:rPr>
        <w:t>1</w:t>
      </w:r>
      <w:r>
        <w:t>panta pirmās daļas 1.</w:t>
      </w:r>
      <w:r w:rsidR="002D1472">
        <w:t xml:space="preserve"> un</w:t>
      </w:r>
      <w:r>
        <w:t xml:space="preserve"> 3.punkta piemērošanai. </w:t>
      </w:r>
    </w:p>
    <w:p w14:paraId="1EB4D4F0" w14:textId="5F7E048E" w:rsidR="00547BDF" w:rsidRDefault="00ED5719" w:rsidP="00D16DC8">
      <w:pPr>
        <w:autoSpaceDE w:val="0"/>
        <w:autoSpaceDN w:val="0"/>
        <w:adjustRightInd w:val="0"/>
        <w:spacing w:line="276" w:lineRule="auto"/>
        <w:ind w:firstLine="720"/>
        <w:jc w:val="both"/>
      </w:pPr>
      <w:r>
        <w:t>Prokurors šādam tiesas atzinumam nepiekrīt un norāda</w:t>
      </w:r>
      <w:r w:rsidR="00E062C1">
        <w:t xml:space="preserve">, ka </w:t>
      </w:r>
      <w:r w:rsidR="0021325B">
        <w:t>kriminālprocesa virzība notikusi bez neattaisnotas vilcināšan</w:t>
      </w:r>
      <w:r w:rsidR="003A0255">
        <w:t>a</w:t>
      </w:r>
      <w:r w:rsidR="0021325B">
        <w:t xml:space="preserve">s. </w:t>
      </w:r>
      <w:r w:rsidR="00D76773">
        <w:t>Kriminālprocess</w:t>
      </w:r>
      <w:r>
        <w:t xml:space="preserve"> izdalīts</w:t>
      </w:r>
      <w:r w:rsidR="00547BDF">
        <w:t xml:space="preserve"> no pamatlietas, kura uzsākta 2010.gada 29.novembrī, bet </w:t>
      </w:r>
      <w:r w:rsidR="00A068B0">
        <w:t>[pers. A]</w:t>
      </w:r>
      <w:r w:rsidR="00547BDF">
        <w:t xml:space="preserve"> par aizdomās turēto atzīta 2013.gada 30.maijā</w:t>
      </w:r>
      <w:r>
        <w:t>.</w:t>
      </w:r>
      <w:r w:rsidR="00D76773">
        <w:t xml:space="preserve"> </w:t>
      </w:r>
      <w:r w:rsidR="002D1472">
        <w:t>K</w:t>
      </w:r>
      <w:r w:rsidR="00D76773">
        <w:t xml:space="preserve">riminālvajāšanas uzsākšanai </w:t>
      </w:r>
      <w:r w:rsidR="00547BDF">
        <w:t xml:space="preserve">lieta </w:t>
      </w:r>
      <w:r w:rsidR="00D76773">
        <w:t>sa</w:t>
      </w:r>
      <w:r w:rsidR="00547BDF">
        <w:t>ņemta</w:t>
      </w:r>
      <w:r w:rsidR="00D76773">
        <w:t xml:space="preserve"> 2014.gada 17.jūnijā, bet nodota tiesai 2014.gada 31.oktobrī</w:t>
      </w:r>
      <w:r w:rsidR="002D1472">
        <w:t>. Tādējādi</w:t>
      </w:r>
      <w:r w:rsidR="00D76773">
        <w:t xml:space="preserve"> kriminālvajā</w:t>
      </w:r>
      <w:r w:rsidR="00547BDF">
        <w:t>šana pabeigta četros</w:t>
      </w:r>
      <w:r w:rsidR="00D76773">
        <w:t xml:space="preserve"> mēnešos </w:t>
      </w:r>
      <w:r w:rsidR="00547BDF">
        <w:t>četrpadsmit</w:t>
      </w:r>
      <w:r w:rsidR="00D76773">
        <w:t xml:space="preserve"> dienās. </w:t>
      </w:r>
      <w:r w:rsidR="00547BDF">
        <w:t xml:space="preserve">Pirmstiesas kriminālprocess kopš </w:t>
      </w:r>
      <w:r w:rsidR="00A068B0">
        <w:t>[pers. A]</w:t>
      </w:r>
      <w:r w:rsidR="00547BDF">
        <w:t xml:space="preserve"> iesaistīšanas procesuālajās darbībās līd</w:t>
      </w:r>
      <w:r w:rsidR="00DA7356">
        <w:t>z krimināllietas nodošanai tiesai</w:t>
      </w:r>
      <w:r w:rsidR="00547BDF">
        <w:t xml:space="preserve"> </w:t>
      </w:r>
      <w:r w:rsidR="002D1472">
        <w:t>bija</w:t>
      </w:r>
      <w:r w:rsidR="00547BDF">
        <w:t xml:space="preserve"> vienu gadu un piecus mēne</w:t>
      </w:r>
      <w:r w:rsidR="002D1472">
        <w:t>šus ilgs.</w:t>
      </w:r>
    </w:p>
    <w:p w14:paraId="1A59CE6F" w14:textId="5B831A5E" w:rsidR="00E062C1" w:rsidRDefault="00D76773" w:rsidP="00D16DC8">
      <w:pPr>
        <w:autoSpaceDE w:val="0"/>
        <w:autoSpaceDN w:val="0"/>
        <w:adjustRightInd w:val="0"/>
        <w:spacing w:line="276" w:lineRule="auto"/>
        <w:ind w:firstLine="720"/>
        <w:jc w:val="both"/>
      </w:pPr>
      <w:r>
        <w:t xml:space="preserve">Lieta pirmās instances tiesā izskatīta </w:t>
      </w:r>
      <w:r w:rsidR="00547BDF">
        <w:t>mazāk nekā</w:t>
      </w:r>
      <w:r>
        <w:t xml:space="preserve"> divu gadu laik</w:t>
      </w:r>
      <w:r w:rsidR="003A0255">
        <w:t>ā</w:t>
      </w:r>
      <w:r w:rsidR="00123C6F">
        <w:t>, bet apelācijas</w:t>
      </w:r>
      <w:r w:rsidR="00ED5719">
        <w:t xml:space="preserve"> instances tiesā viena gada un deviņu</w:t>
      </w:r>
      <w:r w:rsidR="00123C6F">
        <w:t xml:space="preserve"> mēnešu laikā</w:t>
      </w:r>
      <w:r w:rsidR="003A0255">
        <w:t xml:space="preserve">. </w:t>
      </w:r>
      <w:r w:rsidR="00514872">
        <w:t>L</w:t>
      </w:r>
      <w:r>
        <w:t>ie</w:t>
      </w:r>
      <w:r w:rsidR="00547BDF">
        <w:t>tas</w:t>
      </w:r>
      <w:r>
        <w:t xml:space="preserve"> izskatīšana </w:t>
      </w:r>
      <w:r w:rsidR="00514872">
        <w:t xml:space="preserve">apelācijas instances tiesā </w:t>
      </w:r>
      <w:r w:rsidR="00ED5719">
        <w:t>atlikta</w:t>
      </w:r>
      <w:r w:rsidR="00514872">
        <w:t xml:space="preserve"> septiņas reizes</w:t>
      </w:r>
      <w:r w:rsidR="002D1472">
        <w:t>, tajā skaitā</w:t>
      </w:r>
      <w:r>
        <w:t xml:space="preserve"> s</w:t>
      </w:r>
      <w:r w:rsidR="000715A8">
        <w:t>a</w:t>
      </w:r>
      <w:r>
        <w:t xml:space="preserve">karā ar tiesneša darbnespēju, aizstāves darbnespēju un aizstāvības pieteikto lūgumu izlemšanu. </w:t>
      </w:r>
      <w:r w:rsidR="00ED5719">
        <w:t xml:space="preserve">Turklāt </w:t>
      </w:r>
      <w:r w:rsidR="00A068B0">
        <w:t>[pers. A]</w:t>
      </w:r>
      <w:r w:rsidR="00ED5719">
        <w:t xml:space="preserve"> nav piemērots ar brīvības atņemšanu saistīts drošības līdzeklis.</w:t>
      </w:r>
    </w:p>
    <w:p w14:paraId="02514A99" w14:textId="37510219" w:rsidR="00ED5719" w:rsidRDefault="00ED5719" w:rsidP="00ED5719">
      <w:pPr>
        <w:autoSpaceDE w:val="0"/>
        <w:autoSpaceDN w:val="0"/>
        <w:adjustRightInd w:val="0"/>
        <w:spacing w:line="276" w:lineRule="auto"/>
        <w:ind w:firstLine="720"/>
        <w:jc w:val="both"/>
      </w:pPr>
      <w:r>
        <w:t xml:space="preserve">Norādīto iemeslu dēļ apelācijas instances tiesas spriedums daļā par </w:t>
      </w:r>
      <w:r w:rsidR="00A068B0">
        <w:t>[pers. A]</w:t>
      </w:r>
      <w:r>
        <w:t xml:space="preserve"> noteikto sodu neatbilst Kriminālprocesa likuma 511.panta otrās daļas prasībām. </w:t>
      </w:r>
    </w:p>
    <w:p w14:paraId="03A793FF" w14:textId="77777777" w:rsidR="00D16DC8" w:rsidRDefault="00D16DC8" w:rsidP="00D16DC8">
      <w:pPr>
        <w:autoSpaceDE w:val="0"/>
        <w:autoSpaceDN w:val="0"/>
        <w:adjustRightInd w:val="0"/>
        <w:spacing w:line="276" w:lineRule="auto"/>
        <w:ind w:firstLine="720"/>
        <w:jc w:val="both"/>
      </w:pPr>
    </w:p>
    <w:p w14:paraId="4EE54AE5" w14:textId="755AEF12" w:rsidR="00F67404" w:rsidRDefault="00A74188" w:rsidP="00D43441">
      <w:pPr>
        <w:autoSpaceDE w:val="0"/>
        <w:autoSpaceDN w:val="0"/>
        <w:adjustRightInd w:val="0"/>
        <w:spacing w:line="276" w:lineRule="auto"/>
        <w:ind w:firstLine="720"/>
        <w:jc w:val="both"/>
      </w:pPr>
      <w:r>
        <w:t>[6] </w:t>
      </w:r>
      <w:r w:rsidR="00E43F5D">
        <w:t>Apsūdzētā</w:t>
      </w:r>
      <w:r w:rsidR="00D16DC8">
        <w:t xml:space="preserve">s </w:t>
      </w:r>
      <w:r w:rsidR="00A068B0">
        <w:t>[pers. A]</w:t>
      </w:r>
      <w:r w:rsidR="00D16DC8">
        <w:t xml:space="preserve"> </w:t>
      </w:r>
      <w:r w:rsidR="00E43F5D">
        <w:t xml:space="preserve">aizstāve </w:t>
      </w:r>
      <w:r w:rsidR="00D16DC8">
        <w:t>T. Jurkeviča</w:t>
      </w:r>
      <w:r w:rsidR="00E43F5D">
        <w:t xml:space="preserve"> kasācijas sūdzībā lūdz atcelt apelācijas instances tiesas spriedumu</w:t>
      </w:r>
      <w:r w:rsidR="00D16DC8">
        <w:t xml:space="preserve"> un</w:t>
      </w:r>
      <w:r w:rsidR="00E43F5D">
        <w:t xml:space="preserve"> nosūtīt lietu jaunai izskatīšanai apelācijas instances tiesā. </w:t>
      </w:r>
      <w:r w:rsidR="00ED5719">
        <w:t>Aizstāve l</w:t>
      </w:r>
      <w:r w:rsidR="00E43F5D">
        <w:t xml:space="preserve">ūdz </w:t>
      </w:r>
      <w:r w:rsidR="00D16DC8">
        <w:t xml:space="preserve">izskatīt lietu mutvārdu procesā. </w:t>
      </w:r>
    </w:p>
    <w:p w14:paraId="4D7718EF" w14:textId="77777777" w:rsidR="00FD380E" w:rsidRDefault="00FD380E" w:rsidP="00D43441">
      <w:pPr>
        <w:autoSpaceDE w:val="0"/>
        <w:autoSpaceDN w:val="0"/>
        <w:adjustRightInd w:val="0"/>
        <w:spacing w:line="276" w:lineRule="auto"/>
        <w:ind w:firstLine="720"/>
        <w:jc w:val="both"/>
      </w:pPr>
      <w:r>
        <w:t xml:space="preserve">Kasācijas sūdzība </w:t>
      </w:r>
      <w:r w:rsidR="008006B0">
        <w:t xml:space="preserve">un tās papildinājumi </w:t>
      </w:r>
      <w:r>
        <w:t>pamatot</w:t>
      </w:r>
      <w:r w:rsidR="00FC7799">
        <w:t>i</w:t>
      </w:r>
      <w:r>
        <w:t xml:space="preserve"> ar šādiem argumentiem. </w:t>
      </w:r>
    </w:p>
    <w:p w14:paraId="6D046D00" w14:textId="3515E7F4" w:rsidR="002D1472" w:rsidRDefault="00FD380E" w:rsidP="002D1472">
      <w:pPr>
        <w:autoSpaceDE w:val="0"/>
        <w:autoSpaceDN w:val="0"/>
        <w:adjustRightInd w:val="0"/>
        <w:spacing w:line="276" w:lineRule="auto"/>
        <w:ind w:firstLine="720"/>
        <w:jc w:val="both"/>
      </w:pPr>
      <w:r>
        <w:lastRenderedPageBreak/>
        <w:t>[6.1] </w:t>
      </w:r>
      <w:r w:rsidR="008006B0">
        <w:t xml:space="preserve">Aizstāves ieskatā </w:t>
      </w:r>
      <w:r w:rsidR="00ED5719">
        <w:t xml:space="preserve">lietā </w:t>
      </w:r>
      <w:r w:rsidR="002D1472">
        <w:t>nav pierādīts</w:t>
      </w:r>
      <w:r w:rsidR="00ED5719">
        <w:t xml:space="preserve">, ka </w:t>
      </w:r>
      <w:r w:rsidR="00D43877">
        <w:t>[pers. A]</w:t>
      </w:r>
      <w:r w:rsidR="00ED5719">
        <w:t xml:space="preserve"> izdarījusi</w:t>
      </w:r>
      <w:r w:rsidR="002D1472">
        <w:t xml:space="preserve"> Krimināllikuma 218.panta otrajā</w:t>
      </w:r>
      <w:r w:rsidR="008006B0">
        <w:t xml:space="preserve"> da</w:t>
      </w:r>
      <w:r w:rsidR="002D1472">
        <w:t>ļā</w:t>
      </w:r>
      <w:r w:rsidR="008006B0">
        <w:t xml:space="preserve"> un 195.panta treš</w:t>
      </w:r>
      <w:r w:rsidR="002D1472">
        <w:t>ajā</w:t>
      </w:r>
      <w:r w:rsidR="008006B0">
        <w:t xml:space="preserve"> daļ</w:t>
      </w:r>
      <w:r w:rsidR="002D1472">
        <w:t>ā paredzēto</w:t>
      </w:r>
      <w:r w:rsidR="00ED5719">
        <w:t>s</w:t>
      </w:r>
      <w:r w:rsidR="008006B0">
        <w:t xml:space="preserve"> noziedzīg</w:t>
      </w:r>
      <w:r w:rsidR="002D1472">
        <w:t>o</w:t>
      </w:r>
      <w:r w:rsidR="00ED5719">
        <w:t>s</w:t>
      </w:r>
      <w:r w:rsidR="008006B0">
        <w:t xml:space="preserve"> nodarījum</w:t>
      </w:r>
      <w:r w:rsidR="002D1472">
        <w:t>u</w:t>
      </w:r>
      <w:r w:rsidR="00ED5719">
        <w:t>s</w:t>
      </w:r>
      <w:r w:rsidR="00FC5BB2">
        <w:t>.</w:t>
      </w:r>
      <w:r w:rsidR="002D1472">
        <w:t xml:space="preserve"> Lietā nav konstatēts noziedzīg</w:t>
      </w:r>
      <w:r w:rsidR="00ED5719">
        <w:t>u</w:t>
      </w:r>
      <w:r w:rsidR="002D1472">
        <w:t xml:space="preserve"> nodarījum</w:t>
      </w:r>
      <w:r w:rsidR="00ED5719">
        <w:t>u</w:t>
      </w:r>
      <w:r w:rsidR="002D1472">
        <w:t xml:space="preserve"> pabeigšanas brīdis. </w:t>
      </w:r>
    </w:p>
    <w:p w14:paraId="5DD69395" w14:textId="3775C63D" w:rsidR="00FC5BB2" w:rsidRDefault="004A34DC" w:rsidP="00D16DC8">
      <w:pPr>
        <w:autoSpaceDE w:val="0"/>
        <w:autoSpaceDN w:val="0"/>
        <w:adjustRightInd w:val="0"/>
        <w:spacing w:line="276" w:lineRule="auto"/>
        <w:ind w:firstLine="720"/>
        <w:jc w:val="both"/>
      </w:pPr>
      <w:r>
        <w:t>[6.2] </w:t>
      </w:r>
      <w:r w:rsidR="00D43877">
        <w:t>[Pers. A]</w:t>
      </w:r>
      <w:r w:rsidR="00FC5BB2">
        <w:t xml:space="preserve"> atzīta par vainīgu un sodīt</w:t>
      </w:r>
      <w:r w:rsidR="002D1472">
        <w:t>a</w:t>
      </w:r>
      <w:r w:rsidR="00FC5BB2">
        <w:t xml:space="preserve"> </w:t>
      </w:r>
      <w:r w:rsidR="00ED5719">
        <w:t>pēc</w:t>
      </w:r>
      <w:r w:rsidR="00FC5BB2">
        <w:t xml:space="preserve"> Krimināllikuma 218.panta otr</w:t>
      </w:r>
      <w:r w:rsidR="00ED5719">
        <w:t>ās</w:t>
      </w:r>
      <w:r w:rsidR="00FC5BB2">
        <w:t xml:space="preserve"> daļ</w:t>
      </w:r>
      <w:r w:rsidR="00ED5719">
        <w:t>as</w:t>
      </w:r>
      <w:r w:rsidR="00FC5BB2">
        <w:t xml:space="preserve"> par to, ka izmantoj</w:t>
      </w:r>
      <w:r>
        <w:t>usi</w:t>
      </w:r>
      <w:r w:rsidR="00FC5BB2">
        <w:t xml:space="preserve"> viltotus dokumentus un deklarēj</w:t>
      </w:r>
      <w:r>
        <w:t>usi</w:t>
      </w:r>
      <w:r w:rsidR="00FC5BB2">
        <w:t xml:space="preserve"> darījumus </w:t>
      </w:r>
      <w:r>
        <w:t>Valsts ieņēmumu dienest</w:t>
      </w:r>
      <w:r w:rsidR="002D1472">
        <w:t>ā</w:t>
      </w:r>
      <w:r>
        <w:t xml:space="preserve"> (turpmāk arī – </w:t>
      </w:r>
      <w:r w:rsidR="00FC5BB2">
        <w:t>VID</w:t>
      </w:r>
      <w:r>
        <w:t>)</w:t>
      </w:r>
      <w:r w:rsidR="00ED5719">
        <w:t xml:space="preserve"> laikā</w:t>
      </w:r>
      <w:r w:rsidR="00FC5BB2">
        <w:t xml:space="preserve"> no 2009.gada oktobra līdz 2010.gada beigām, nepamatoti izmantojot tiesības uz priekšnodokļa atskaitīšanu. </w:t>
      </w:r>
    </w:p>
    <w:p w14:paraId="0BE89B44" w14:textId="6B31BC8E" w:rsidR="001A38F1" w:rsidRDefault="00ED5719" w:rsidP="00AB5F10">
      <w:pPr>
        <w:autoSpaceDE w:val="0"/>
        <w:autoSpaceDN w:val="0"/>
        <w:adjustRightInd w:val="0"/>
        <w:spacing w:line="276" w:lineRule="auto"/>
        <w:ind w:firstLine="720"/>
        <w:jc w:val="both"/>
      </w:pPr>
      <w:r>
        <w:t>Nepamatoti</w:t>
      </w:r>
      <w:r w:rsidR="004A34DC">
        <w:t xml:space="preserve"> ir tiesas secinājum</w:t>
      </w:r>
      <w:r>
        <w:t>i</w:t>
      </w:r>
      <w:r w:rsidR="004A34DC">
        <w:t xml:space="preserve"> par viltotu dokumentu izmantošanu un nepatiesu ziņu sniegšanu VID. Tiesas secinājums neatbilst pierādījumiem</w:t>
      </w:r>
      <w:r w:rsidR="002D1472">
        <w:t xml:space="preserve"> lietā</w:t>
      </w:r>
      <w:r>
        <w:t xml:space="preserve"> – </w:t>
      </w:r>
      <w:r w:rsidR="004A34DC">
        <w:t xml:space="preserve">liecinieku </w:t>
      </w:r>
      <w:r w:rsidR="00D43877">
        <w:t>[pers. B]</w:t>
      </w:r>
      <w:r>
        <w:t xml:space="preserve"> un </w:t>
      </w:r>
      <w:r w:rsidR="00D43877">
        <w:t>[pers. C]</w:t>
      </w:r>
      <w:r>
        <w:t xml:space="preserve"> liecībām</w:t>
      </w:r>
      <w:r w:rsidR="004A34DC">
        <w:t xml:space="preserve">. </w:t>
      </w:r>
      <w:r w:rsidR="001A38F1">
        <w:t>Tiesas atzinums galvenokārt pamatots ar to, ka SIA „</w:t>
      </w:r>
      <w:r w:rsidR="00D43877">
        <w:t>[Nosaukums A]</w:t>
      </w:r>
      <w:r w:rsidR="001A38F1">
        <w:t xml:space="preserve">” </w:t>
      </w:r>
      <w:r w:rsidR="00FC7799">
        <w:t xml:space="preserve">amatpersonas </w:t>
      </w:r>
      <w:r>
        <w:t>norādīja</w:t>
      </w:r>
      <w:r w:rsidR="001A38F1">
        <w:t>, ka nebija parakstījuš</w:t>
      </w:r>
      <w:r>
        <w:t>as</w:t>
      </w:r>
      <w:r w:rsidR="001A38F1">
        <w:t xml:space="preserve"> darījumu apliecinošus dokumentus. </w:t>
      </w:r>
    </w:p>
    <w:p w14:paraId="759934E6" w14:textId="204A2CA8" w:rsidR="00CC302F" w:rsidRDefault="00CC302F" w:rsidP="00CC302F">
      <w:pPr>
        <w:autoSpaceDE w:val="0"/>
        <w:autoSpaceDN w:val="0"/>
        <w:adjustRightInd w:val="0"/>
        <w:spacing w:line="276" w:lineRule="auto"/>
        <w:ind w:firstLine="720"/>
        <w:jc w:val="both"/>
      </w:pPr>
      <w:r>
        <w:t>SIA „</w:t>
      </w:r>
      <w:r w:rsidR="00D43877">
        <w:t>[Nosaukums A]</w:t>
      </w:r>
      <w:r>
        <w:t>” saimniecisko darbību deklarēj</w:t>
      </w:r>
      <w:r w:rsidR="000557AA">
        <w:t>usi</w:t>
      </w:r>
      <w:r>
        <w:t xml:space="preserve"> VID</w:t>
      </w:r>
      <w:r w:rsidR="00ED5719">
        <w:t xml:space="preserve"> un</w:t>
      </w:r>
      <w:r>
        <w:t xml:space="preserve"> tādā veidā apliecināj</w:t>
      </w:r>
      <w:r w:rsidR="00AB5F10">
        <w:t xml:space="preserve">usi </w:t>
      </w:r>
      <w:r>
        <w:t>sadarbību ar SIA „</w:t>
      </w:r>
      <w:r w:rsidR="00D43877">
        <w:t>[Nosaukums B]</w:t>
      </w:r>
      <w:r>
        <w:t>”, kā arī</w:t>
      </w:r>
      <w:r w:rsidR="00AB5F10">
        <w:t>,</w:t>
      </w:r>
      <w:r>
        <w:t xml:space="preserve"> </w:t>
      </w:r>
      <w:r w:rsidR="00AB5F10">
        <w:t xml:space="preserve">izpildot likuma prasības, </w:t>
      </w:r>
      <w:r>
        <w:t>iesnie</w:t>
      </w:r>
      <w:r w:rsidR="000557AA">
        <w:t>gusi</w:t>
      </w:r>
      <w:r>
        <w:t xml:space="preserve"> PVN deklarācijas darījumu slēgšanas period</w:t>
      </w:r>
      <w:r w:rsidR="00AB5F10">
        <w:t>ā.</w:t>
      </w:r>
      <w:r w:rsidR="00ED5719">
        <w:t xml:space="preserve"> </w:t>
      </w:r>
      <w:r w:rsidR="00DE4A34">
        <w:t xml:space="preserve">Lietā nav </w:t>
      </w:r>
      <w:r w:rsidR="002D1472">
        <w:t xml:space="preserve">pierādījumu, </w:t>
      </w:r>
      <w:r w:rsidR="00DE4A34">
        <w:t xml:space="preserve">ka apsūdzētajai </w:t>
      </w:r>
      <w:r w:rsidR="00D43877">
        <w:t>[pers. A]</w:t>
      </w:r>
      <w:r w:rsidR="00DE4A34">
        <w:t xml:space="preserve"> bija vai varēja būt zināmas citas SIA</w:t>
      </w:r>
      <w:r>
        <w:t> </w:t>
      </w:r>
      <w:r w:rsidR="00DE4A34">
        <w:t>„</w:t>
      </w:r>
      <w:r w:rsidR="00D43877">
        <w:t>[Nosaukums A]</w:t>
      </w:r>
      <w:r w:rsidR="00DE4A34">
        <w:t xml:space="preserve">” prettiesiskās darbības, lai gūtu pārliecību par šī uzņēmuma fiktīvo raksturu. </w:t>
      </w:r>
      <w:r>
        <w:t>Tāpat nav pierādījumu, ka šo uzņēmumu vadīj</w:t>
      </w:r>
      <w:r w:rsidR="00AB5F10">
        <w:t xml:space="preserve">usi </w:t>
      </w:r>
      <w:r w:rsidR="00D43877">
        <w:t>[pers. A]</w:t>
      </w:r>
      <w:r>
        <w:t xml:space="preserve">. </w:t>
      </w:r>
    </w:p>
    <w:p w14:paraId="118F5A69" w14:textId="77777777" w:rsidR="0089195F" w:rsidRDefault="0089195F" w:rsidP="0089195F">
      <w:pPr>
        <w:autoSpaceDE w:val="0"/>
        <w:autoSpaceDN w:val="0"/>
        <w:adjustRightInd w:val="0"/>
        <w:spacing w:line="276" w:lineRule="auto"/>
        <w:ind w:firstLine="720"/>
        <w:jc w:val="both"/>
      </w:pPr>
      <w:r>
        <w:t xml:space="preserve">Veicot PVN nodokļu aprēķinu, VID nav vērtējis grāmatvedības pirmdokumentus, darījumu pirmdokumentus un darījumu apliecinošus dokumentus. Lietā esošais nodokļu aprēķins nav uzskatāms par kompetentas </w:t>
      </w:r>
      <w:r w:rsidR="007D1C93">
        <w:t xml:space="preserve">personas atzinumu grāmatvedībā, jo </w:t>
      </w:r>
      <w:r w:rsidR="002D1472">
        <w:t xml:space="preserve">tā pamatošanai </w:t>
      </w:r>
      <w:r w:rsidR="006D749D">
        <w:t>nav</w:t>
      </w:r>
      <w:r w:rsidR="002D1472">
        <w:t xml:space="preserve"> izmantoti</w:t>
      </w:r>
      <w:r w:rsidR="007D1C93">
        <w:t xml:space="preserve"> grāmatvedības dokumenti. </w:t>
      </w:r>
    </w:p>
    <w:p w14:paraId="438C358D" w14:textId="77777777" w:rsidR="007D1C93" w:rsidRDefault="007E55E6" w:rsidP="0089195F">
      <w:pPr>
        <w:autoSpaceDE w:val="0"/>
        <w:autoSpaceDN w:val="0"/>
        <w:adjustRightInd w:val="0"/>
        <w:spacing w:line="276" w:lineRule="auto"/>
        <w:ind w:firstLine="720"/>
        <w:jc w:val="both"/>
      </w:pPr>
      <w:r>
        <w:t>Pretrunā lietas materiāliem ir arī VID pārstāves norādītais, ka, veicot nodokļa aprēķinu, tika vērtēti darījumu dalībnieku paskaidrojumi</w:t>
      </w:r>
      <w:r w:rsidR="002D1472">
        <w:t xml:space="preserve">, </w:t>
      </w:r>
      <w:r w:rsidR="006D749D">
        <w:t xml:space="preserve">jo </w:t>
      </w:r>
      <w:r>
        <w:t xml:space="preserve">nodokļa aprēķina veicēja rīcībā nebija šo personu paskaidrojumi, bet tikai procesa virzītāja </w:t>
      </w:r>
      <w:r w:rsidR="006D749D">
        <w:t>izklāsts</w:t>
      </w:r>
      <w:r>
        <w:t xml:space="preserve"> par</w:t>
      </w:r>
      <w:r w:rsidR="002D1472">
        <w:t xml:space="preserve"> sniegto</w:t>
      </w:r>
      <w:r>
        <w:t xml:space="preserve"> paskaidrojumu būtību, kurš </w:t>
      </w:r>
      <w:r w:rsidR="006D749D">
        <w:t xml:space="preserve">pēc satura </w:t>
      </w:r>
      <w:r>
        <w:t xml:space="preserve">nebija izsmeļošs. </w:t>
      </w:r>
    </w:p>
    <w:p w14:paraId="74EF4008" w14:textId="77777777" w:rsidR="003E05D0" w:rsidRDefault="003E05D0" w:rsidP="00DE4A34">
      <w:pPr>
        <w:autoSpaceDE w:val="0"/>
        <w:autoSpaceDN w:val="0"/>
        <w:adjustRightInd w:val="0"/>
        <w:spacing w:line="276" w:lineRule="auto"/>
        <w:ind w:firstLine="720"/>
        <w:jc w:val="both"/>
      </w:pPr>
      <w:r>
        <w:t>Aizstāve kasācijas sūdzībā, ana</w:t>
      </w:r>
      <w:r w:rsidR="00785AD9">
        <w:t>lizējot Krimināllikuma 195., 218.pantā paredzēto</w:t>
      </w:r>
      <w:r w:rsidR="00233887">
        <w:t xml:space="preserve"> noziedzīgo nodarījumu</w:t>
      </w:r>
      <w:r>
        <w:t xml:space="preserve"> sastāvu</w:t>
      </w:r>
      <w:r w:rsidR="00233887">
        <w:t>s</w:t>
      </w:r>
      <w:r>
        <w:t>, atsau</w:t>
      </w:r>
      <w:r w:rsidR="00785AD9">
        <w:t>kusies</w:t>
      </w:r>
      <w:r>
        <w:t xml:space="preserve"> uz tiesībzinātnieku</w:t>
      </w:r>
      <w:r w:rsidR="00785AD9">
        <w:t xml:space="preserve"> publikācijām</w:t>
      </w:r>
      <w:r>
        <w:t xml:space="preserve"> un Senāta </w:t>
      </w:r>
      <w:r w:rsidR="006D749D">
        <w:t xml:space="preserve">lēmumos izteiktajām </w:t>
      </w:r>
      <w:r>
        <w:t xml:space="preserve">atziņām. </w:t>
      </w:r>
    </w:p>
    <w:p w14:paraId="19785CA2" w14:textId="77777777" w:rsidR="003E05D0" w:rsidRDefault="003E05D0" w:rsidP="00DE4A34">
      <w:pPr>
        <w:autoSpaceDE w:val="0"/>
        <w:autoSpaceDN w:val="0"/>
        <w:adjustRightInd w:val="0"/>
        <w:spacing w:line="276" w:lineRule="auto"/>
        <w:ind w:firstLine="720"/>
        <w:jc w:val="both"/>
      </w:pPr>
      <w:r>
        <w:t>[6.3] </w:t>
      </w:r>
      <w:r w:rsidR="008D5C1D">
        <w:t>Aizst</w:t>
      </w:r>
      <w:r w:rsidR="00DD4D23">
        <w:t>āves ieskatā lietā nav pierādīta</w:t>
      </w:r>
      <w:r w:rsidR="008D5C1D">
        <w:t xml:space="preserve"> Krimināllikuma 1</w:t>
      </w:r>
      <w:r w:rsidR="00DD4D23">
        <w:t>95.panta treš</w:t>
      </w:r>
      <w:r w:rsidR="006D749D">
        <w:t>ajā</w:t>
      </w:r>
      <w:r w:rsidR="00DD4D23">
        <w:t xml:space="preserve"> daļ</w:t>
      </w:r>
      <w:r w:rsidR="006D749D">
        <w:t>ā paredzētā noziedzīg</w:t>
      </w:r>
      <w:r w:rsidR="00785AD9">
        <w:t>a</w:t>
      </w:r>
      <w:r w:rsidR="006D749D">
        <w:t xml:space="preserve"> nodarījuma</w:t>
      </w:r>
      <w:r w:rsidR="00DD4D23">
        <w:t xml:space="preserve"> sastāva subjektīvā puse</w:t>
      </w:r>
      <w:r w:rsidR="002D1472">
        <w:t>.</w:t>
      </w:r>
      <w:r w:rsidR="008D5C1D">
        <w:t xml:space="preserve"> </w:t>
      </w:r>
    </w:p>
    <w:p w14:paraId="398671B8" w14:textId="126E7317" w:rsidR="008D5C1D" w:rsidRDefault="008D5C1D" w:rsidP="00DE4A34">
      <w:pPr>
        <w:autoSpaceDE w:val="0"/>
        <w:autoSpaceDN w:val="0"/>
        <w:adjustRightInd w:val="0"/>
        <w:spacing w:line="276" w:lineRule="auto"/>
        <w:ind w:firstLine="720"/>
        <w:jc w:val="both"/>
      </w:pPr>
      <w:r>
        <w:t>Ņemot vērā, ka nav pierādīts Krimināllikuma 218.panta otrajā daļā paredzētā noziedzīg</w:t>
      </w:r>
      <w:r w:rsidR="00785AD9">
        <w:t>a</w:t>
      </w:r>
      <w:r>
        <w:t xml:space="preserve"> nodarījuma sastāvs, </w:t>
      </w:r>
      <w:r w:rsidR="00D43877">
        <w:t>[pers. A]</w:t>
      </w:r>
      <w:r w:rsidR="009E3241">
        <w:t xml:space="preserve"> nepamatoti notiesāta pēc</w:t>
      </w:r>
      <w:r>
        <w:t xml:space="preserve"> Krimināllikuma 195.panta trešās daļas</w:t>
      </w:r>
      <w:r w:rsidR="009E3241">
        <w:t>.</w:t>
      </w:r>
      <w:r>
        <w:t xml:space="preserve"> </w:t>
      </w:r>
      <w:r w:rsidR="009E3241">
        <w:t>Darbības</w:t>
      </w:r>
      <w:r>
        <w:t xml:space="preserve">, kuras līdzinās Krimināllikuma 195.panta trešās daļas sastāva objektīvās puses pazīmēm, pašas par sevi neveido atsevišķu vienotu noziedzīgu nodarījumu, </w:t>
      </w:r>
      <w:r w:rsidR="009E3241">
        <w:t>arī</w:t>
      </w:r>
      <w:r>
        <w:t xml:space="preserve"> kopā </w:t>
      </w:r>
      <w:r w:rsidR="009E3241">
        <w:t xml:space="preserve">minētie nodarījumi </w:t>
      </w:r>
      <w:r>
        <w:t>neveido noziedzīgo nodarījumu</w:t>
      </w:r>
      <w:r w:rsidR="009E3241">
        <w:t xml:space="preserve"> kopību, jo šīs pazīmes ietilpst</w:t>
      </w:r>
      <w:r>
        <w:t xml:space="preserve"> Krimināllikuma 218.panta otrās daļas sastāvā. </w:t>
      </w:r>
    </w:p>
    <w:p w14:paraId="75C56287" w14:textId="14927FB2" w:rsidR="008D5C1D" w:rsidRDefault="005D7645" w:rsidP="00DE4A34">
      <w:pPr>
        <w:autoSpaceDE w:val="0"/>
        <w:autoSpaceDN w:val="0"/>
        <w:adjustRightInd w:val="0"/>
        <w:spacing w:line="276" w:lineRule="auto"/>
        <w:ind w:firstLine="720"/>
        <w:jc w:val="both"/>
      </w:pPr>
      <w:r>
        <w:t xml:space="preserve">Lietā nav pierādīts, ka </w:t>
      </w:r>
      <w:r w:rsidR="00D43877">
        <w:t>[pers. A]</w:t>
      </w:r>
      <w:r>
        <w:t xml:space="preserve"> apzinājās, ka legalizē noziedzīgi iegūtus finanšu līdzekļus (intelektuālais kritērijs) un vēlas tā rīkoties (gribas kritērijs),</w:t>
      </w:r>
      <w:r w:rsidR="009E3241">
        <w:t xml:space="preserve"> ka viņa</w:t>
      </w:r>
      <w:r>
        <w:t xml:space="preserve"> rīkoj</w:t>
      </w:r>
      <w:r w:rsidR="009E3241">
        <w:t>usies</w:t>
      </w:r>
      <w:r>
        <w:t xml:space="preserve"> nolūkā (ar mērķi) slēpt vai maskēt mantas noziedzīgo izcelsmi. </w:t>
      </w:r>
    </w:p>
    <w:p w14:paraId="3061C836" w14:textId="77777777" w:rsidR="005D7645" w:rsidRDefault="00A2119D" w:rsidP="00DE4A34">
      <w:pPr>
        <w:autoSpaceDE w:val="0"/>
        <w:autoSpaceDN w:val="0"/>
        <w:adjustRightInd w:val="0"/>
        <w:spacing w:line="276" w:lineRule="auto"/>
        <w:ind w:firstLine="720"/>
        <w:jc w:val="both"/>
      </w:pPr>
      <w:r>
        <w:t xml:space="preserve">Pārskaitījums, kas veikts uz darījuma dalībnieka </w:t>
      </w:r>
      <w:r w:rsidR="00B22BA5">
        <w:t xml:space="preserve">norēķinu </w:t>
      </w:r>
      <w:r>
        <w:t>kontu, pamatojoties uz šo darījumu apliecinošu dokumentu, nav uzskatāms par slēpšanu vai maskēšanu ar mērķi radīt priekšstatu par līdzekļu izcelsmi</w:t>
      </w:r>
      <w:r w:rsidR="009E3241">
        <w:t>. Š</w:t>
      </w:r>
      <w:r>
        <w:t xml:space="preserve">ie līdzekļi ir iegūti likumīgi. </w:t>
      </w:r>
    </w:p>
    <w:p w14:paraId="324A7A23" w14:textId="77777777" w:rsidR="00C9224E" w:rsidRDefault="006D749D" w:rsidP="00D43747">
      <w:pPr>
        <w:autoSpaceDE w:val="0"/>
        <w:autoSpaceDN w:val="0"/>
        <w:adjustRightInd w:val="0"/>
        <w:spacing w:line="276" w:lineRule="auto"/>
        <w:ind w:firstLine="720"/>
        <w:jc w:val="both"/>
      </w:pPr>
      <w:r>
        <w:t>K</w:t>
      </w:r>
      <w:r w:rsidR="00C9224E">
        <w:t xml:space="preserve">rimināltiesību teorija izslēdz predikatīvā un sekundārā nozieguma </w:t>
      </w:r>
      <w:r w:rsidR="002D1472">
        <w:t>ideālo kopī</w:t>
      </w:r>
      <w:r w:rsidR="00B22BA5">
        <w:t>b</w:t>
      </w:r>
      <w:r w:rsidR="002D1472">
        <w:t>u</w:t>
      </w:r>
      <w:r>
        <w:t>. T</w:t>
      </w:r>
      <w:r w:rsidR="002D1472">
        <w:t>ās pašas kaitīgā</w:t>
      </w:r>
      <w:r w:rsidR="00C9224E">
        <w:t>s</w:t>
      </w:r>
      <w:r w:rsidR="002D1472">
        <w:t xml:space="preserve"> sekas, kas iestājas predikatīva</w:t>
      </w:r>
      <w:r w:rsidR="00C9224E">
        <w:t xml:space="preserve"> noziedzīg</w:t>
      </w:r>
      <w:r w:rsidR="002D1472">
        <w:t>a</w:t>
      </w:r>
      <w:r w:rsidR="00C9224E">
        <w:t xml:space="preserve"> nodarījuma rezultā</w:t>
      </w:r>
      <w:r w:rsidR="002D1472">
        <w:t xml:space="preserve">tā, nevar veidot arī </w:t>
      </w:r>
      <w:r w:rsidR="002D1472">
        <w:lastRenderedPageBreak/>
        <w:t>sekundāra</w:t>
      </w:r>
      <w:r w:rsidR="00C9224E">
        <w:t xml:space="preserve"> noziedzīg</w:t>
      </w:r>
      <w:r w:rsidR="002D1472">
        <w:t>a</w:t>
      </w:r>
      <w:r w:rsidR="00C9224E">
        <w:t xml:space="preserve"> nodarījuma kaitīgās sekas, jo ar vienām un tām pašām darbībām nevar izdarīt gan predikatīvo, gan sekundāro nodarījumu. </w:t>
      </w:r>
    </w:p>
    <w:p w14:paraId="6E3C653B" w14:textId="6A27C91F" w:rsidR="00D43747" w:rsidRDefault="001A38F1" w:rsidP="00D43747">
      <w:pPr>
        <w:autoSpaceDE w:val="0"/>
        <w:autoSpaceDN w:val="0"/>
        <w:adjustRightInd w:val="0"/>
        <w:spacing w:line="276" w:lineRule="auto"/>
        <w:ind w:firstLine="720"/>
        <w:jc w:val="both"/>
      </w:pPr>
      <w:r>
        <w:t>[6.4] </w:t>
      </w:r>
      <w:r w:rsidR="008C3BDE">
        <w:t>Apelācijas instances ties</w:t>
      </w:r>
      <w:r w:rsidR="0052788F">
        <w:t>a</w:t>
      </w:r>
      <w:r w:rsidR="008C3BDE">
        <w:t>, izskatot lietu, pieļ</w:t>
      </w:r>
      <w:r w:rsidR="0052788F">
        <w:t>āvusi</w:t>
      </w:r>
      <w:r w:rsidR="008C3BDE">
        <w:t xml:space="preserve"> </w:t>
      </w:r>
      <w:r w:rsidR="0052788F">
        <w:t xml:space="preserve">aizstāvības tiesību iesniegt pierādījumus </w:t>
      </w:r>
      <w:r w:rsidR="008C3BDE">
        <w:t>pārkāpum</w:t>
      </w:r>
      <w:r w:rsidR="0052788F">
        <w:t>u</w:t>
      </w:r>
      <w:r w:rsidR="008C3BDE">
        <w:t>, kas ietekmēj</w:t>
      </w:r>
      <w:r w:rsidR="0052788F">
        <w:t>is</w:t>
      </w:r>
      <w:r w:rsidR="008C3BDE">
        <w:t xml:space="preserve"> </w:t>
      </w:r>
      <w:r w:rsidR="000A6D19">
        <w:t>[pers.</w:t>
      </w:r>
      <w:r w:rsidR="000A6D19">
        <w:rPr>
          <w:lang w:val="en-US"/>
        </w:rPr>
        <w:t> A]</w:t>
      </w:r>
      <w:r w:rsidR="008C3BDE">
        <w:t xml:space="preserve"> tiesības uz aizstāvību. </w:t>
      </w:r>
    </w:p>
    <w:p w14:paraId="1E048471" w14:textId="01E6E156" w:rsidR="008C3BDE" w:rsidRDefault="002D1472" w:rsidP="00D43747">
      <w:pPr>
        <w:autoSpaceDE w:val="0"/>
        <w:autoSpaceDN w:val="0"/>
        <w:adjustRightInd w:val="0"/>
        <w:spacing w:line="276" w:lineRule="auto"/>
        <w:ind w:firstLine="720"/>
        <w:jc w:val="both"/>
      </w:pPr>
      <w:r>
        <w:t>Aizstāvība</w:t>
      </w:r>
      <w:r w:rsidR="008C3BDE">
        <w:t xml:space="preserve"> iesniedza tiesā jaunus pierādījumus, kuri nebija pieejami lietas iztiesāšanas laikā pirmās instances tiesā. Iesniegtie dokumenti apliecina, ka </w:t>
      </w:r>
      <w:r w:rsidR="000A6D19">
        <w:t>[pers. A]</w:t>
      </w:r>
      <w:r w:rsidR="008C3BDE">
        <w:t xml:space="preserve"> n</w:t>
      </w:r>
      <w:r w:rsidR="00785AD9">
        <w:t>av</w:t>
      </w:r>
      <w:r w:rsidR="008C3BDE">
        <w:t xml:space="preserve"> izmant</w:t>
      </w:r>
      <w:r w:rsidR="0052788F">
        <w:t>ojusi viltotas preču</w:t>
      </w:r>
      <w:r w:rsidR="009E3241">
        <w:t xml:space="preserve"> </w:t>
      </w:r>
      <w:r w:rsidR="0052788F">
        <w:t>pavadzīmes</w:t>
      </w:r>
      <w:r w:rsidR="00CD44AF">
        <w:noBreakHyphen/>
      </w:r>
      <w:r w:rsidR="008C3BDE">
        <w:t>rēķinus, kuru viltošana, kā norādīts sākotnēji celtajā apsūdzībā</w:t>
      </w:r>
      <w:r w:rsidR="0052788F">
        <w:t xml:space="preserve"> un p</w:t>
      </w:r>
      <w:r w:rsidR="006A3727">
        <w:t>irmās instances tiesas par pierā</w:t>
      </w:r>
      <w:r w:rsidR="0052788F">
        <w:t>dītu atzītajā nodarījum</w:t>
      </w:r>
      <w:r w:rsidR="006D749D">
        <w:t>a</w:t>
      </w:r>
      <w:r w:rsidR="0052788F">
        <w:t xml:space="preserve"> aprakstā</w:t>
      </w:r>
      <w:r w:rsidR="008C3BDE">
        <w:t xml:space="preserve">, izpaužas </w:t>
      </w:r>
      <w:r w:rsidR="006D749D">
        <w:t>tādējādi</w:t>
      </w:r>
      <w:r w:rsidR="008C3BDE">
        <w:t>, ka SIA „</w:t>
      </w:r>
      <w:r w:rsidR="000A6D19">
        <w:t>[Nosaukums A]</w:t>
      </w:r>
      <w:r w:rsidR="008C3BDE">
        <w:t xml:space="preserve">” amatpersona </w:t>
      </w:r>
      <w:r w:rsidR="000A6D19">
        <w:t>[pers. C]</w:t>
      </w:r>
      <w:r w:rsidR="008C3BDE">
        <w:t xml:space="preserve"> vai pilnvarotā persona </w:t>
      </w:r>
      <w:r w:rsidR="000A6D19">
        <w:t>[pers. D]</w:t>
      </w:r>
      <w:r w:rsidR="008C3BDE">
        <w:t xml:space="preserve"> nav parakstījuši minētās preču</w:t>
      </w:r>
      <w:r w:rsidR="00233887">
        <w:t xml:space="preserve"> pavadzīmes</w:t>
      </w:r>
      <w:r w:rsidR="00233887">
        <w:noBreakHyphen/>
        <w:t>rēķinus.</w:t>
      </w:r>
    </w:p>
    <w:p w14:paraId="2E59AE35" w14:textId="63541701" w:rsidR="00CE57AC" w:rsidRDefault="006D749D" w:rsidP="00CE57AC">
      <w:pPr>
        <w:autoSpaceDE w:val="0"/>
        <w:autoSpaceDN w:val="0"/>
        <w:adjustRightInd w:val="0"/>
        <w:spacing w:line="276" w:lineRule="auto"/>
        <w:ind w:firstLine="720"/>
        <w:jc w:val="both"/>
      </w:pPr>
      <w:r>
        <w:t>A</w:t>
      </w:r>
      <w:r w:rsidR="008C3BDE">
        <w:t>pelācijas instances ties</w:t>
      </w:r>
      <w:r>
        <w:t>a</w:t>
      </w:r>
      <w:r w:rsidR="008C3BDE">
        <w:t xml:space="preserve"> </w:t>
      </w:r>
      <w:r>
        <w:t>konstatējusi</w:t>
      </w:r>
      <w:r w:rsidR="008C3BDE">
        <w:t>, k</w:t>
      </w:r>
      <w:r w:rsidR="002D1472">
        <w:t>a</w:t>
      </w:r>
      <w:r w:rsidR="008C3BDE">
        <w:t xml:space="preserve"> liecinieku </w:t>
      </w:r>
      <w:r w:rsidR="000A6D19">
        <w:t>[pers. D]</w:t>
      </w:r>
      <w:r w:rsidR="008C3BDE">
        <w:t xml:space="preserve"> un </w:t>
      </w:r>
      <w:r w:rsidR="000A6D19">
        <w:t>[pers. C]</w:t>
      </w:r>
      <w:r w:rsidR="008C3BDE">
        <w:t xml:space="preserve"> liecības </w:t>
      </w:r>
      <w:r w:rsidR="002D1472">
        <w:t>ir</w:t>
      </w:r>
      <w:r w:rsidR="008C3BDE">
        <w:t xml:space="preserve"> pretrunā aizstāvja iesniegtajiem pierādījumi</w:t>
      </w:r>
      <w:r>
        <w:t>em</w:t>
      </w:r>
      <w:r w:rsidR="008C3BDE">
        <w:t xml:space="preserve">. Tādēļ apelācijas instances tiesai atbilstoši Kriminālprocesa likuma 564.panta ceturtajai daļai </w:t>
      </w:r>
      <w:r w:rsidR="00CE57AC">
        <w:t xml:space="preserve">bija jānorāda, kāpēc, izvērtējot pierādījumus </w:t>
      </w:r>
      <w:r>
        <w:t xml:space="preserve">to </w:t>
      </w:r>
      <w:r w:rsidR="00CE57AC">
        <w:t>kopsakarā, tā nora</w:t>
      </w:r>
      <w:r w:rsidR="0052788F">
        <w:t>ida</w:t>
      </w:r>
      <w:r>
        <w:t xml:space="preserve"> kādus pierādījumus, ci</w:t>
      </w:r>
      <w:r w:rsidR="00CE57AC">
        <w:t xml:space="preserve">tiem </w:t>
      </w:r>
      <w:r w:rsidR="002922D5">
        <w:t>piešķirot augstāku ticamību</w:t>
      </w:r>
      <w:r w:rsidR="00CE57AC">
        <w:t xml:space="preserve">. Apelācijas instances tiesa šīs prasības nav ievērojusi, pieļaujot Kriminālprocesa likuma </w:t>
      </w:r>
      <w:r>
        <w:t xml:space="preserve">512., </w:t>
      </w:r>
      <w:r w:rsidR="00CE57AC">
        <w:t xml:space="preserve">564.panta </w:t>
      </w:r>
      <w:r>
        <w:t>pārkāpumu</w:t>
      </w:r>
      <w:r w:rsidR="00CE57AC">
        <w:t xml:space="preserve">. </w:t>
      </w:r>
    </w:p>
    <w:p w14:paraId="417CE1D9" w14:textId="77777777" w:rsidR="00BD799E" w:rsidRDefault="006D749D" w:rsidP="00BD799E">
      <w:pPr>
        <w:autoSpaceDE w:val="0"/>
        <w:autoSpaceDN w:val="0"/>
        <w:adjustRightInd w:val="0"/>
        <w:spacing w:line="276" w:lineRule="auto"/>
        <w:ind w:firstLine="720"/>
        <w:jc w:val="both"/>
      </w:pPr>
      <w:r>
        <w:t>A</w:t>
      </w:r>
      <w:r w:rsidR="00BD799E">
        <w:t>pelācijas instances tiesa lietai pievienojusi tikai 2019.gada 25.fe</w:t>
      </w:r>
      <w:r w:rsidR="002D1472">
        <w:t>b</w:t>
      </w:r>
      <w:r w:rsidR="00BD799E">
        <w:t xml:space="preserve">ruāra speciālistu komisijas konsultatīvo atzinumu, norādot, ka pārējie dokumenti jau ir lietas materiālos. </w:t>
      </w:r>
      <w:r>
        <w:t>Aizstāves ieskatā t</w:t>
      </w:r>
      <w:r w:rsidR="00BD799E">
        <w:t>iesa</w:t>
      </w:r>
      <w:r w:rsidR="009E3241">
        <w:t>s</w:t>
      </w:r>
      <w:r w:rsidR="00BD799E">
        <w:t xml:space="preserve"> atzinums ir kļūdains, jo </w:t>
      </w:r>
      <w:r>
        <w:t xml:space="preserve">lietai pievienotas </w:t>
      </w:r>
      <w:r w:rsidR="00BD799E">
        <w:t xml:space="preserve">atsevišķas neapliecinātas un vietām saturiski neatbilstošas </w:t>
      </w:r>
      <w:r w:rsidR="0052788F">
        <w:t xml:space="preserve">šo dokumentu </w:t>
      </w:r>
      <w:r w:rsidR="00BD799E">
        <w:t>kopijas. Aizstāve</w:t>
      </w:r>
      <w:r>
        <w:t xml:space="preserve"> </w:t>
      </w:r>
      <w:r w:rsidR="00BD799E">
        <w:t xml:space="preserve">atsaukusies uz Augstākās tiesas 2017.gada 2.jūnija lēmumu lietā Nr. SKK-237/2017, kurā </w:t>
      </w:r>
      <w:r w:rsidR="002D1472">
        <w:t>atzīts</w:t>
      </w:r>
      <w:r w:rsidR="00BD799E">
        <w:t xml:space="preserve">, ka dokumentu atvasinājumiem jābūt noformētiem atbilstoši normatīvo aktu prasībām. </w:t>
      </w:r>
    </w:p>
    <w:p w14:paraId="6EF11D51" w14:textId="7D91FBDF" w:rsidR="001066CF" w:rsidRDefault="0052788F" w:rsidP="001066CF">
      <w:pPr>
        <w:autoSpaceDE w:val="0"/>
        <w:autoSpaceDN w:val="0"/>
        <w:adjustRightInd w:val="0"/>
        <w:spacing w:line="276" w:lineRule="auto"/>
        <w:ind w:firstLine="720"/>
        <w:jc w:val="both"/>
      </w:pPr>
      <w:r>
        <w:t xml:space="preserve">Šiem dokumentiem ir izšķiroša nozīme arī tāpēc, ka </w:t>
      </w:r>
      <w:r w:rsidR="002D1472">
        <w:t xml:space="preserve">tie </w:t>
      </w:r>
      <w:r>
        <w:t>kopā ar 2019.gada 25.fe</w:t>
      </w:r>
      <w:r w:rsidR="00484476">
        <w:t>b</w:t>
      </w:r>
      <w:r>
        <w:t xml:space="preserve">ruāra speciālistu komisijas konsultatīvo atzinumu apstiprina faktu, ka liecinieks </w:t>
      </w:r>
      <w:r w:rsidR="000A6D19">
        <w:t>[pers. D]</w:t>
      </w:r>
      <w:r>
        <w:t xml:space="preserve"> sniedza apzināti nepatiesas liecība</w:t>
      </w:r>
      <w:r w:rsidR="009E3241">
        <w:t>s</w:t>
      </w:r>
      <w:r>
        <w:t xml:space="preserve">, norādot, ka </w:t>
      </w:r>
      <w:r w:rsidR="006D749D">
        <w:t>nav parakstījis</w:t>
      </w:r>
      <w:r>
        <w:t xml:space="preserve"> SIA „</w:t>
      </w:r>
      <w:r w:rsidR="000A6D19">
        <w:t>[Nosaukums A]</w:t>
      </w:r>
      <w:r>
        <w:t xml:space="preserve">” </w:t>
      </w:r>
      <w:r w:rsidR="006D749D">
        <w:t>dokumentus</w:t>
      </w:r>
      <w:r>
        <w:t xml:space="preserve">. </w:t>
      </w:r>
      <w:r w:rsidR="001066CF">
        <w:t xml:space="preserve">Dokumenti nodrošinātu iespēju veikt rokraksta </w:t>
      </w:r>
      <w:r w:rsidR="002D1472">
        <w:t>ekspertīzi</w:t>
      </w:r>
      <w:r w:rsidR="001066CF">
        <w:t xml:space="preserve"> abu lieciniek</w:t>
      </w:r>
      <w:r w:rsidR="002D1472">
        <w:t xml:space="preserve">u </w:t>
      </w:r>
      <w:r w:rsidR="001066CF">
        <w:t>parakstiem</w:t>
      </w:r>
      <w:r w:rsidR="002D1472">
        <w:t>.</w:t>
      </w:r>
    </w:p>
    <w:p w14:paraId="32FEA450" w14:textId="147CDE8C" w:rsidR="0052788F" w:rsidRDefault="009E3241" w:rsidP="001066CF">
      <w:pPr>
        <w:autoSpaceDE w:val="0"/>
        <w:autoSpaceDN w:val="0"/>
        <w:adjustRightInd w:val="0"/>
        <w:spacing w:line="276" w:lineRule="auto"/>
        <w:ind w:firstLine="720"/>
        <w:jc w:val="both"/>
      </w:pPr>
      <w:r>
        <w:t xml:space="preserve">Tiesa nepamatoti noraidījusi apelācijas sūdzības argumentus par dokumentu viltošanu. Lai arī apsūdzība par šādām darbībām nav celta, tomēr apsūdzībā norādīts, ka </w:t>
      </w:r>
      <w:r w:rsidR="000A6D19">
        <w:t>[pers. A]</w:t>
      </w:r>
      <w:r>
        <w:t xml:space="preserve"> izmantojusi viltotus dokumentus darījumu iegrāmatošanai. Līdz ar to ir svarīgi noskaidrot, vai šie dokumenti ir viltoti. </w:t>
      </w:r>
    </w:p>
    <w:p w14:paraId="6DF25C83" w14:textId="77777777" w:rsidR="00D80D00" w:rsidRDefault="002E78E6" w:rsidP="001066CF">
      <w:pPr>
        <w:autoSpaceDE w:val="0"/>
        <w:autoSpaceDN w:val="0"/>
        <w:adjustRightInd w:val="0"/>
        <w:spacing w:line="276" w:lineRule="auto"/>
        <w:ind w:firstLine="720"/>
        <w:jc w:val="both"/>
      </w:pPr>
      <w:r>
        <w:t xml:space="preserve">Aizstāve, pamatojot </w:t>
      </w:r>
      <w:r w:rsidR="002D1472">
        <w:t>tiesīb</w:t>
      </w:r>
      <w:r w:rsidR="009E3241">
        <w:t>as</w:t>
      </w:r>
      <w:r w:rsidR="002D1472">
        <w:t xml:space="preserve"> iesniegt pierādījumus</w:t>
      </w:r>
      <w:r>
        <w:t>, atsaukusies uz Eiropas Cilvēktiesību tiesas</w:t>
      </w:r>
      <w:r w:rsidR="002D1472">
        <w:t xml:space="preserve"> spriedumu</w:t>
      </w:r>
      <w:r>
        <w:t xml:space="preserve"> atziņām, proti, 1994.gada 13.jūnija spriedumu lietā „</w:t>
      </w:r>
      <w:r w:rsidR="002C318F" w:rsidRPr="002C318F">
        <w:t>Barberà, Messegué and Jabardo v. Spain</w:t>
      </w:r>
      <w:r>
        <w:t>”</w:t>
      </w:r>
      <w:r w:rsidR="002C318F">
        <w:t>, 2000.gada 16.februāra spriedumu lietā „Rowe and Davis v. The United Kingdom”, 2014.gada 10.janvāra spriedumu lietā „</w:t>
      </w:r>
      <w:r w:rsidR="002C318F" w:rsidRPr="002C318F">
        <w:t>Topić v. Croatia</w:t>
      </w:r>
      <w:r w:rsidR="002C318F">
        <w:t xml:space="preserve">”, </w:t>
      </w:r>
      <w:r>
        <w:t>2016.gada 23.jūnija spriedumu lietā „Baka v. Hungary”, 2019.gada 13.februāra spriedumu lietā „Zhang v. Ukraine”</w:t>
      </w:r>
      <w:r w:rsidR="002C318F">
        <w:t xml:space="preserve">. </w:t>
      </w:r>
    </w:p>
    <w:p w14:paraId="05D40A6D" w14:textId="5731B107" w:rsidR="001066CF" w:rsidRDefault="00D44E7D" w:rsidP="001066CF">
      <w:pPr>
        <w:autoSpaceDE w:val="0"/>
        <w:autoSpaceDN w:val="0"/>
        <w:adjustRightInd w:val="0"/>
        <w:spacing w:line="276" w:lineRule="auto"/>
        <w:ind w:firstLine="720"/>
        <w:jc w:val="both"/>
      </w:pPr>
      <w:r>
        <w:t>[6.5] </w:t>
      </w:r>
      <w:r w:rsidR="000A6D19">
        <w:t>[Pers. A]</w:t>
      </w:r>
      <w:r w:rsidR="00F34C5E">
        <w:t xml:space="preserve"> apsūdzības pierādīšanā</w:t>
      </w:r>
      <w:r w:rsidR="006D749D">
        <w:t xml:space="preserve"> nevar</w:t>
      </w:r>
      <w:r w:rsidR="00F34C5E">
        <w:t xml:space="preserve"> izmantot ziņas par faktiem, kuras valsts apsūdzības uzturētājs ieguvis no valsts iestādēm par SIA „</w:t>
      </w:r>
      <w:r w:rsidR="000A6D19">
        <w:t>[Nosaukums A]</w:t>
      </w:r>
      <w:r w:rsidR="00F34C5E">
        <w:t xml:space="preserve">” iespējami fiktīvo raksturu, jo tās nebija zināmas apsūdzētajai. Izmantojot šos pierādījumus, </w:t>
      </w:r>
      <w:r w:rsidR="006D749D">
        <w:t>tiesa pārkāpusi</w:t>
      </w:r>
      <w:r w:rsidR="00F34C5E">
        <w:t xml:space="preserve"> </w:t>
      </w:r>
      <w:r w:rsidR="006D749D">
        <w:t>Kriminālprocesa likuma 124.pantu, 127.panta trešo</w:t>
      </w:r>
      <w:r w:rsidR="00F34C5E">
        <w:t xml:space="preserve"> daļ</w:t>
      </w:r>
      <w:r w:rsidR="006D749D">
        <w:t>u</w:t>
      </w:r>
      <w:r w:rsidR="00F34C5E">
        <w:t>, 129.pant</w:t>
      </w:r>
      <w:r w:rsidR="006D749D">
        <w:t>u</w:t>
      </w:r>
      <w:r w:rsidR="00F34C5E">
        <w:t xml:space="preserve">. </w:t>
      </w:r>
    </w:p>
    <w:p w14:paraId="32A09C63" w14:textId="128FE79A" w:rsidR="0007282B" w:rsidRDefault="0007282B" w:rsidP="001066CF">
      <w:pPr>
        <w:autoSpaceDE w:val="0"/>
        <w:autoSpaceDN w:val="0"/>
        <w:adjustRightInd w:val="0"/>
        <w:spacing w:line="276" w:lineRule="auto"/>
        <w:ind w:firstLine="720"/>
        <w:jc w:val="both"/>
      </w:pPr>
      <w:r>
        <w:t>[6.6]</w:t>
      </w:r>
      <w:r w:rsidR="005B7615">
        <w:t> </w:t>
      </w:r>
      <w:r w:rsidR="00637DF5">
        <w:t>Tiesa</w:t>
      </w:r>
      <w:r w:rsidR="005B7615">
        <w:t xml:space="preserve"> atz</w:t>
      </w:r>
      <w:r w:rsidR="00637DF5">
        <w:t>inusi</w:t>
      </w:r>
      <w:r w:rsidR="005B7615">
        <w:t>, ka apsūdzētā organizēja un vadīja SIA „</w:t>
      </w:r>
      <w:r w:rsidR="000A6D19">
        <w:t>[Nosaukums A]</w:t>
      </w:r>
      <w:r w:rsidR="005B7615">
        <w:t>” darbību</w:t>
      </w:r>
      <w:r w:rsidR="00637DF5">
        <w:t>, taču pierādījumu, kas apstiprina minēto atzinumu, lietā nav</w:t>
      </w:r>
      <w:r w:rsidR="005B7615">
        <w:t xml:space="preserve">. Aizstāves ieskatā IP adrešu sakritība </w:t>
      </w:r>
      <w:r w:rsidR="00E07066">
        <w:t>nedod</w:t>
      </w:r>
      <w:r w:rsidR="0030366C">
        <w:t xml:space="preserve"> pamat</w:t>
      </w:r>
      <w:r w:rsidR="002D1472">
        <w:t>u</w:t>
      </w:r>
      <w:r w:rsidR="0030366C">
        <w:t xml:space="preserve"> </w:t>
      </w:r>
      <w:r w:rsidR="002D1472">
        <w:t>atzīt</w:t>
      </w:r>
      <w:r w:rsidR="0030366C">
        <w:t>, ka SIA „</w:t>
      </w:r>
      <w:r w:rsidR="002B00F6">
        <w:t>[Nosaukums A]</w:t>
      </w:r>
      <w:r w:rsidR="0030366C">
        <w:t xml:space="preserve">” grāmatvedību un finanšu plūsmu kontrolēja </w:t>
      </w:r>
      <w:r w:rsidR="002B00F6">
        <w:t>[pers. A]</w:t>
      </w:r>
      <w:r w:rsidR="0030366C">
        <w:t xml:space="preserve">. Tiesa nav ievērojusi Kriminālprocesa likuma prasības </w:t>
      </w:r>
      <w:r w:rsidR="009E3241">
        <w:t>par</w:t>
      </w:r>
      <w:r w:rsidR="0030366C">
        <w:t xml:space="preserve"> pierādīšanas </w:t>
      </w:r>
      <w:r w:rsidR="0030366C">
        <w:lastRenderedPageBreak/>
        <w:t>priekšmetā ietilpstošo apstākļu pierādīšanu un ir pārkāpusi Kriminālprocesa likuma 512.panta otro daļu</w:t>
      </w:r>
      <w:r w:rsidR="007E2FD8">
        <w:t>, 564.panta ceturto daļu</w:t>
      </w:r>
      <w:r w:rsidR="0030366C">
        <w:t xml:space="preserve">. </w:t>
      </w:r>
    </w:p>
    <w:p w14:paraId="569C62EC" w14:textId="263E1BD9" w:rsidR="00C73954" w:rsidRDefault="004A1B39" w:rsidP="00C73954">
      <w:pPr>
        <w:autoSpaceDE w:val="0"/>
        <w:autoSpaceDN w:val="0"/>
        <w:adjustRightInd w:val="0"/>
        <w:spacing w:line="276" w:lineRule="auto"/>
        <w:ind w:firstLine="720"/>
        <w:jc w:val="both"/>
      </w:pPr>
      <w:r>
        <w:t>[6.7] Aizstāves ieskatā n</w:t>
      </w:r>
      <w:r w:rsidR="008E2CB6">
        <w:t xml:space="preserve">av pierādīti apsūdzībā norādītie fakti, ka kriminālprocesā nenoskaidrota persona </w:t>
      </w:r>
      <w:r w:rsidR="002B00F6">
        <w:t>[pers. A]</w:t>
      </w:r>
      <w:r w:rsidR="008E2CB6">
        <w:t xml:space="preserve"> uzdevumā veica darbības SIA „</w:t>
      </w:r>
      <w:r w:rsidR="002B00F6">
        <w:t>[Nosaukums A]</w:t>
      </w:r>
      <w:r w:rsidR="008E2CB6">
        <w:t>” norēķinu kontā, konvertējot no SIA „</w:t>
      </w:r>
      <w:r w:rsidR="002B00F6">
        <w:t>[Nosaukums B]</w:t>
      </w:r>
      <w:r w:rsidR="008E2CB6">
        <w:t>” saņemtos naudas līdzekļus un pārskaitot uz Igaunij</w:t>
      </w:r>
      <w:r w:rsidR="002D1472">
        <w:t>ā</w:t>
      </w:r>
      <w:r w:rsidR="008E2CB6">
        <w:t xml:space="preserve"> reģistrēto uzņēmumu </w:t>
      </w:r>
      <w:r w:rsidR="008E2CB6" w:rsidRPr="008E2CB6">
        <w:t>OÜ</w:t>
      </w:r>
      <w:r w:rsidR="00C73954">
        <w:t> </w:t>
      </w:r>
      <w:r w:rsidR="008E2CB6">
        <w:t>„</w:t>
      </w:r>
      <w:r w:rsidR="002B00F6">
        <w:t>[Nosaukums C]</w:t>
      </w:r>
      <w:r w:rsidR="008E2CB6">
        <w:t>”. Neviena</w:t>
      </w:r>
      <w:r w:rsidR="002B2085">
        <w:t xml:space="preserve"> interneta pieslēgum</w:t>
      </w:r>
      <w:r w:rsidR="00CE7690">
        <w:t>a</w:t>
      </w:r>
      <w:r w:rsidR="002B2085">
        <w:t xml:space="preserve"> (turpmāk arī –</w:t>
      </w:r>
      <w:r w:rsidR="008E2CB6">
        <w:t xml:space="preserve"> IP</w:t>
      </w:r>
      <w:r w:rsidR="002B2085">
        <w:t>)</w:t>
      </w:r>
      <w:r w:rsidR="008E2CB6">
        <w:t xml:space="preserve"> adrese, no kur</w:t>
      </w:r>
      <w:r w:rsidR="00CE7690">
        <w:t>as</w:t>
      </w:r>
      <w:r w:rsidR="008E2CB6">
        <w:t xml:space="preserve"> veiktas darbības, nav saistīta ar apsūdzēto. </w:t>
      </w:r>
      <w:r w:rsidR="00C73954">
        <w:t xml:space="preserve">Lietā nav pierādījumu, ka liecinieks </w:t>
      </w:r>
      <w:r w:rsidR="002B00F6">
        <w:t>[pers. D]</w:t>
      </w:r>
      <w:r w:rsidR="00C73954">
        <w:t xml:space="preserve"> no </w:t>
      </w:r>
      <w:r w:rsidR="00C73954" w:rsidRPr="008E2CB6">
        <w:t>OÜ</w:t>
      </w:r>
      <w:r w:rsidR="00C73954">
        <w:t> „</w:t>
      </w:r>
      <w:r w:rsidR="002B00F6">
        <w:t>[Nosaukums C]</w:t>
      </w:r>
      <w:r w:rsidR="00C73954">
        <w:t xml:space="preserve">” saņemtos skaidras naudas līdzekļus nodevis </w:t>
      </w:r>
      <w:r w:rsidR="002B00F6">
        <w:t>[pers. A]</w:t>
      </w:r>
      <w:r w:rsidR="00C73954">
        <w:t xml:space="preserve">. </w:t>
      </w:r>
    </w:p>
    <w:p w14:paraId="488BD339" w14:textId="77777777" w:rsidR="00D35D38" w:rsidRDefault="00D35D38" w:rsidP="00C73954">
      <w:pPr>
        <w:autoSpaceDE w:val="0"/>
        <w:autoSpaceDN w:val="0"/>
        <w:adjustRightInd w:val="0"/>
        <w:spacing w:line="276" w:lineRule="auto"/>
        <w:ind w:firstLine="720"/>
        <w:jc w:val="both"/>
      </w:pPr>
    </w:p>
    <w:p w14:paraId="3733033B" w14:textId="77777777" w:rsidR="00D35D38" w:rsidRDefault="00D35D38" w:rsidP="00C73954">
      <w:pPr>
        <w:autoSpaceDE w:val="0"/>
        <w:autoSpaceDN w:val="0"/>
        <w:adjustRightInd w:val="0"/>
        <w:spacing w:line="276" w:lineRule="auto"/>
        <w:ind w:firstLine="720"/>
        <w:jc w:val="both"/>
        <w:rPr>
          <w:rFonts w:eastAsiaTheme="minorHAnsi"/>
        </w:rPr>
      </w:pPr>
      <w:r>
        <w:t>[7]</w:t>
      </w:r>
      <w:r w:rsidR="00A7574E">
        <w:t> </w:t>
      </w:r>
      <w:r w:rsidR="00A7574E" w:rsidRPr="00153DD0">
        <w:rPr>
          <w:rFonts w:eastAsiaTheme="minorHAnsi"/>
        </w:rPr>
        <w:t>Kriminālprocesa likuma 585.panta otrās daļas kārtībā viedokli iesniedza Ģenerālprokuratūras Krimināltiesiskā departamenta Tiesās izskatāmo kri</w:t>
      </w:r>
      <w:r w:rsidR="00A7574E">
        <w:rPr>
          <w:rFonts w:eastAsiaTheme="minorHAnsi"/>
        </w:rPr>
        <w:t>mināllietu nodaļas prokurore</w:t>
      </w:r>
      <w:r w:rsidR="002D1472">
        <w:rPr>
          <w:rFonts w:eastAsiaTheme="minorHAnsi"/>
        </w:rPr>
        <w:t xml:space="preserve"> Ilona</w:t>
      </w:r>
      <w:r w:rsidR="00A7574E" w:rsidRPr="00A7574E">
        <w:rPr>
          <w:rFonts w:eastAsiaTheme="minorHAnsi"/>
        </w:rPr>
        <w:t xml:space="preserve"> </w:t>
      </w:r>
      <w:r w:rsidR="00A7574E">
        <w:rPr>
          <w:rFonts w:eastAsiaTheme="minorHAnsi"/>
        </w:rPr>
        <w:t>Harjo.</w:t>
      </w:r>
    </w:p>
    <w:p w14:paraId="3B0FB9E3" w14:textId="0E29BDB4" w:rsidR="00A7574E" w:rsidRDefault="000B4E37" w:rsidP="00C73954">
      <w:pPr>
        <w:autoSpaceDE w:val="0"/>
        <w:autoSpaceDN w:val="0"/>
        <w:adjustRightInd w:val="0"/>
        <w:spacing w:line="276" w:lineRule="auto"/>
        <w:ind w:firstLine="720"/>
        <w:jc w:val="both"/>
        <w:rPr>
          <w:rFonts w:eastAsiaTheme="minorHAnsi"/>
        </w:rPr>
      </w:pPr>
      <w:r>
        <w:rPr>
          <w:rFonts w:eastAsiaTheme="minorHAnsi"/>
        </w:rPr>
        <w:t xml:space="preserve">[7.1] Prokurore uzskata, ka Rīgas apgabaltiesas 2019.gada 28.marta spriedums </w:t>
      </w:r>
      <w:r w:rsidR="0081177E">
        <w:rPr>
          <w:rFonts w:eastAsiaTheme="minorHAnsi"/>
        </w:rPr>
        <w:t xml:space="preserve">daļā par </w:t>
      </w:r>
      <w:r w:rsidR="002B00F6">
        <w:rPr>
          <w:rFonts w:eastAsiaTheme="minorHAnsi"/>
        </w:rPr>
        <w:t>[pers. A]</w:t>
      </w:r>
      <w:r w:rsidR="0081177E">
        <w:rPr>
          <w:rFonts w:eastAsiaTheme="minorHAnsi"/>
        </w:rPr>
        <w:t xml:space="preserve"> noteikto sodu</w:t>
      </w:r>
      <w:r w:rsidR="002D1472">
        <w:rPr>
          <w:rFonts w:eastAsiaTheme="minorHAnsi"/>
        </w:rPr>
        <w:t>,</w:t>
      </w:r>
      <w:r w:rsidR="0081177E">
        <w:rPr>
          <w:rFonts w:eastAsiaTheme="minorHAnsi"/>
        </w:rPr>
        <w:t xml:space="preserve"> piemērojot Krimināllikuma 49.</w:t>
      </w:r>
      <w:r w:rsidR="0081177E" w:rsidRPr="0081177E">
        <w:rPr>
          <w:rFonts w:eastAsiaTheme="minorHAnsi"/>
          <w:vertAlign w:val="superscript"/>
        </w:rPr>
        <w:t>1</w:t>
      </w:r>
      <w:r w:rsidR="0081177E">
        <w:rPr>
          <w:rFonts w:eastAsiaTheme="minorHAnsi"/>
        </w:rPr>
        <w:t>panta pirmās daļas 1.</w:t>
      </w:r>
      <w:r w:rsidR="002D1472">
        <w:rPr>
          <w:rFonts w:eastAsiaTheme="minorHAnsi"/>
        </w:rPr>
        <w:t xml:space="preserve"> un 3.punkta nosacījumus</w:t>
      </w:r>
      <w:r w:rsidR="0081177E">
        <w:rPr>
          <w:rFonts w:eastAsiaTheme="minorHAnsi"/>
        </w:rPr>
        <w:t>, nav tiesisks un pamatots</w:t>
      </w:r>
      <w:r w:rsidR="009E3241">
        <w:rPr>
          <w:rFonts w:eastAsiaTheme="minorHAnsi"/>
        </w:rPr>
        <w:t>.</w:t>
      </w:r>
      <w:r>
        <w:rPr>
          <w:rFonts w:eastAsiaTheme="minorHAnsi"/>
        </w:rPr>
        <w:t xml:space="preserve"> </w:t>
      </w:r>
    </w:p>
    <w:p w14:paraId="655B0FEE" w14:textId="26E79CEB" w:rsidR="00553F6F" w:rsidRDefault="0081177E" w:rsidP="0081177E">
      <w:pPr>
        <w:autoSpaceDE w:val="0"/>
        <w:autoSpaceDN w:val="0"/>
        <w:adjustRightInd w:val="0"/>
        <w:spacing w:line="276" w:lineRule="auto"/>
        <w:ind w:firstLine="720"/>
        <w:jc w:val="both"/>
        <w:rPr>
          <w:rFonts w:eastAsiaTheme="minorHAnsi"/>
        </w:rPr>
      </w:pPr>
      <w:r>
        <w:rPr>
          <w:rFonts w:eastAsiaTheme="minorHAnsi"/>
        </w:rPr>
        <w:t>Prokurores ieskatā kasācijas protests ir</w:t>
      </w:r>
      <w:r w:rsidR="00CC6E1B">
        <w:rPr>
          <w:rFonts w:eastAsiaTheme="minorHAnsi"/>
        </w:rPr>
        <w:t xml:space="preserve"> pamatots. Apelācijas instances tiesas secinājumi par lietas izskatīšanas gaitu ir nepilnīgi un nav izmantojami Krimināllikuma 49.</w:t>
      </w:r>
      <w:r w:rsidR="00CC6E1B" w:rsidRPr="00CC6E1B">
        <w:rPr>
          <w:rFonts w:eastAsiaTheme="minorHAnsi"/>
          <w:vertAlign w:val="superscript"/>
        </w:rPr>
        <w:t>1</w:t>
      </w:r>
      <w:r w:rsidR="00CC6E1B">
        <w:rPr>
          <w:rFonts w:eastAsiaTheme="minorHAnsi"/>
        </w:rPr>
        <w:t xml:space="preserve">panta piemērošanai, jo </w:t>
      </w:r>
      <w:r w:rsidR="00637A85">
        <w:rPr>
          <w:rFonts w:eastAsiaTheme="minorHAnsi"/>
        </w:rPr>
        <w:t>kriminālprocesā nav pieļauta neattaisnota</w:t>
      </w:r>
      <w:r w:rsidR="00CC6E1B">
        <w:rPr>
          <w:rFonts w:eastAsiaTheme="minorHAnsi"/>
        </w:rPr>
        <w:t xml:space="preserve"> novilcināšan</w:t>
      </w:r>
      <w:r w:rsidR="00637A85">
        <w:rPr>
          <w:rFonts w:eastAsiaTheme="minorHAnsi"/>
        </w:rPr>
        <w:t>a</w:t>
      </w:r>
      <w:r w:rsidR="00CC6E1B">
        <w:rPr>
          <w:rFonts w:eastAsiaTheme="minorHAnsi"/>
        </w:rPr>
        <w:t xml:space="preserve">. </w:t>
      </w:r>
      <w:r>
        <w:rPr>
          <w:rFonts w:eastAsiaTheme="minorHAnsi"/>
        </w:rPr>
        <w:t xml:space="preserve">Apelācijas instances tiesas atzinums, ka kriminālprocesā pārkāptas </w:t>
      </w:r>
      <w:r w:rsidR="002B00F6">
        <w:rPr>
          <w:rFonts w:eastAsiaTheme="minorHAnsi"/>
        </w:rPr>
        <w:t>[pers. A]</w:t>
      </w:r>
      <w:r>
        <w:rPr>
          <w:rFonts w:eastAsiaTheme="minorHAnsi"/>
        </w:rPr>
        <w:t xml:space="preserve"> tiesības uz kriminālprocesa pabeigšanu saprātīgā termiņā, nav</w:t>
      </w:r>
      <w:r w:rsidR="009148D8">
        <w:rPr>
          <w:rFonts w:eastAsiaTheme="minorHAnsi"/>
        </w:rPr>
        <w:t xml:space="preserve"> pamatots</w:t>
      </w:r>
      <w:r>
        <w:rPr>
          <w:rFonts w:eastAsiaTheme="minorHAnsi"/>
        </w:rPr>
        <w:t xml:space="preserve"> </w:t>
      </w:r>
      <w:r w:rsidR="009E3241">
        <w:rPr>
          <w:rFonts w:eastAsiaTheme="minorHAnsi"/>
        </w:rPr>
        <w:t>ar konkrētiem faktiem</w:t>
      </w:r>
      <w:r>
        <w:rPr>
          <w:rFonts w:eastAsiaTheme="minorHAnsi"/>
        </w:rPr>
        <w:t xml:space="preserve">. </w:t>
      </w:r>
    </w:p>
    <w:p w14:paraId="717F0ED3" w14:textId="3E58A145" w:rsidR="000B4E37" w:rsidRDefault="000B4E37" w:rsidP="00C73954">
      <w:pPr>
        <w:autoSpaceDE w:val="0"/>
        <w:autoSpaceDN w:val="0"/>
        <w:adjustRightInd w:val="0"/>
        <w:spacing w:line="276" w:lineRule="auto"/>
        <w:ind w:firstLine="720"/>
        <w:jc w:val="both"/>
        <w:rPr>
          <w:rFonts w:eastAsiaTheme="minorHAnsi"/>
        </w:rPr>
      </w:pPr>
      <w:r>
        <w:rPr>
          <w:rFonts w:eastAsiaTheme="minorHAnsi"/>
        </w:rPr>
        <w:t xml:space="preserve">[7.2] Lieta apelācijas instances tiesā daļā par </w:t>
      </w:r>
      <w:r w:rsidR="008C2697">
        <w:rPr>
          <w:rFonts w:eastAsiaTheme="minorHAnsi"/>
        </w:rPr>
        <w:t>[pers. A]</w:t>
      </w:r>
      <w:r w:rsidR="009E3241">
        <w:rPr>
          <w:rFonts w:eastAsiaTheme="minorHAnsi"/>
        </w:rPr>
        <w:t xml:space="preserve"> vainīgumu un </w:t>
      </w:r>
      <w:r>
        <w:rPr>
          <w:rFonts w:eastAsiaTheme="minorHAnsi"/>
        </w:rPr>
        <w:t xml:space="preserve">noziedzīgo nodarījumu juridisko kvalifikāciju ir iztiesāta atbilstoši Kriminālprocesa likuma 9.nodaļas prasībām. </w:t>
      </w:r>
    </w:p>
    <w:p w14:paraId="3268AE0A" w14:textId="77777777" w:rsidR="000B4E37" w:rsidRDefault="001E214D" w:rsidP="00C73954">
      <w:pPr>
        <w:autoSpaceDE w:val="0"/>
        <w:autoSpaceDN w:val="0"/>
        <w:adjustRightInd w:val="0"/>
        <w:spacing w:line="276" w:lineRule="auto"/>
        <w:ind w:firstLine="720"/>
        <w:jc w:val="both"/>
        <w:rPr>
          <w:rFonts w:eastAsiaTheme="minorHAnsi"/>
        </w:rPr>
      </w:pPr>
      <w:r>
        <w:rPr>
          <w:rFonts w:eastAsiaTheme="minorHAnsi"/>
        </w:rPr>
        <w:t>Prokurores ieskatā a</w:t>
      </w:r>
      <w:r w:rsidR="000B4E37">
        <w:rPr>
          <w:rFonts w:eastAsiaTheme="minorHAnsi"/>
        </w:rPr>
        <w:t xml:space="preserve">izstāves kasācijas sūdzībā </w:t>
      </w:r>
      <w:r>
        <w:rPr>
          <w:rFonts w:eastAsiaTheme="minorHAnsi"/>
        </w:rPr>
        <w:t xml:space="preserve">un papildinājumos norādītie motīvi neatbilst lietā nodibinātajiem apstākļiem. </w:t>
      </w:r>
    </w:p>
    <w:p w14:paraId="74E972FF" w14:textId="6CAF835C" w:rsidR="006D71A7" w:rsidRDefault="000B4E37" w:rsidP="006D71A7">
      <w:pPr>
        <w:autoSpaceDE w:val="0"/>
        <w:autoSpaceDN w:val="0"/>
        <w:adjustRightInd w:val="0"/>
        <w:spacing w:line="276" w:lineRule="auto"/>
        <w:ind w:firstLine="720"/>
        <w:jc w:val="both"/>
      </w:pPr>
      <w:r>
        <w:t xml:space="preserve">Apelācijas instances tiesa, atsaucoties uz konkrētiem lietā iegūtiem un tiesas sēdē pārbaudītiem pierādījumiem, ir konstatējusi apsūdzētās </w:t>
      </w:r>
      <w:r w:rsidR="008C2697">
        <w:t>[pers. A]</w:t>
      </w:r>
      <w:r>
        <w:t xml:space="preserve"> darbībās visas nepieciešamās un obligātās Krimināllikuma 218.panta otrajā daļā un 195.panta trešajā daļā paredzēt</w:t>
      </w:r>
      <w:r w:rsidR="009148D8">
        <w:t>o</w:t>
      </w:r>
      <w:r>
        <w:t xml:space="preserve"> noziedzīg</w:t>
      </w:r>
      <w:r w:rsidR="000D5B89">
        <w:t>o nodarījumu</w:t>
      </w:r>
      <w:r>
        <w:t xml:space="preserve"> sastāva pazīmes. Tiesas spriedums atbilst Kriminālprocesa likuma 562.panta pirmās </w:t>
      </w:r>
      <w:r w:rsidR="009E3241">
        <w:t xml:space="preserve">daļas </w:t>
      </w:r>
      <w:r>
        <w:t>un 564.panta ceturtās daļas prasīb</w:t>
      </w:r>
      <w:r w:rsidR="006D71A7">
        <w:t xml:space="preserve">ām. </w:t>
      </w:r>
    </w:p>
    <w:p w14:paraId="3AED97C6" w14:textId="77777777" w:rsidR="006D71A7" w:rsidRDefault="006D71A7" w:rsidP="00D24DEC">
      <w:pPr>
        <w:autoSpaceDE w:val="0"/>
        <w:autoSpaceDN w:val="0"/>
        <w:adjustRightInd w:val="0"/>
        <w:spacing w:line="276" w:lineRule="auto"/>
        <w:ind w:firstLine="720"/>
        <w:jc w:val="both"/>
      </w:pPr>
      <w:r>
        <w:t>Tiesa nav pārkāpusi Kriminālprocesa likuma 128.</w:t>
      </w:r>
      <w:r w:rsidR="00D10375">
        <w:t>p</w:t>
      </w:r>
      <w:r>
        <w:t xml:space="preserve">anta prasības un ir </w:t>
      </w:r>
      <w:r w:rsidR="00637A85">
        <w:t>izvērtējusi</w:t>
      </w:r>
      <w:r>
        <w:t xml:space="preserve"> visus kriminālprocesa laikā iegūtos pierādījumus to kopumā un savstarpējā sakarīb</w:t>
      </w:r>
      <w:r w:rsidR="00D24DEC">
        <w:t xml:space="preserve">ā. </w:t>
      </w:r>
    </w:p>
    <w:p w14:paraId="47E45993" w14:textId="77777777" w:rsidR="00D24DEC" w:rsidRDefault="00D10375" w:rsidP="00D24DEC">
      <w:pPr>
        <w:autoSpaceDE w:val="0"/>
        <w:autoSpaceDN w:val="0"/>
        <w:adjustRightInd w:val="0"/>
        <w:spacing w:line="276" w:lineRule="auto"/>
        <w:ind w:firstLine="720"/>
        <w:jc w:val="both"/>
      </w:pPr>
      <w:r>
        <w:t>Senāta</w:t>
      </w:r>
      <w:r w:rsidR="00D24DEC">
        <w:t xml:space="preserve"> Administratīvo lietu departamenta tiesu praksē jau ilgstoši tiek atzīts, ka atbilstoši likuma jēgai, skatot likuma „Par pievienotās vērtības nodokli” 10.panta pirmās daļas 1.punktu (</w:t>
      </w:r>
      <w:r w:rsidR="00D24DEC" w:rsidRPr="00217FCC">
        <w:rPr>
          <w:i/>
        </w:rPr>
        <w:t>likuma redakcijā, kas bija spēkā līdz 2012.gada 31.decembrim</w:t>
      </w:r>
      <w:r w:rsidR="00D24DEC">
        <w:t>) kopsakarā ar 1.panta 9.punktu un 8.pantu, priekšnodokli var atskaitīt tikai par atbilstoši nodokļa rēķinam faktiski notikušu darījumu, kas atbilst visām minētajā</w:t>
      </w:r>
      <w:r w:rsidR="00D378B5">
        <w:t>s</w:t>
      </w:r>
      <w:r w:rsidR="00D24DEC">
        <w:t xml:space="preserve"> normā</w:t>
      </w:r>
      <w:r w:rsidR="00D378B5">
        <w:t>s</w:t>
      </w:r>
      <w:r w:rsidR="00D24DEC">
        <w:t xml:space="preserve"> norādītajām pazīmēm (</w:t>
      </w:r>
      <w:r w:rsidR="00D24DEC" w:rsidRPr="00217FCC">
        <w:rPr>
          <w:i/>
        </w:rPr>
        <w:t>piem., Senāta 2004.gad</w:t>
      </w:r>
      <w:r w:rsidRPr="00217FCC">
        <w:rPr>
          <w:i/>
        </w:rPr>
        <w:t>a</w:t>
      </w:r>
      <w:r w:rsidR="00D24DEC" w:rsidRPr="00217FCC">
        <w:rPr>
          <w:i/>
        </w:rPr>
        <w:t xml:space="preserve"> 7.septembra spriedums lietā Nr. SKK-114/2004, 2005.gada 25.oktobra spriedums lietā Nr. SKA-303/2005</w:t>
      </w:r>
      <w:r w:rsidR="00D24DEC">
        <w:t>). Tas nozīmē, ka</w:t>
      </w:r>
      <w:r>
        <w:t xml:space="preserve"> </w:t>
      </w:r>
      <w:r w:rsidR="00D24DEC">
        <w:t xml:space="preserve">jākonstatē, vai darījums faktiski noticis. Lai iegūtu tiesības atskaitīt priekšnodokli, nav pietiekami, ka darījumi noformēti atbilstoši likuma prasībām, jo darījumiem jābūt arī faktiski notikušiem gan pēc to ekonomiskā, gan juridiskā rakstura (būtības), bet nodokļu rēķinam jābūt faktiski notikušam darījumam. No iepriekš minētajām tiesību normām izriet, ka galvenais priekšnoteikums priekšnodokļu atskaitīšanai ir tas, ka prece vai pakalpojums faktiski saņemts no citas ar pievienotās vērtības nodokli </w:t>
      </w:r>
      <w:r w:rsidR="00D24DEC">
        <w:lastRenderedPageBreak/>
        <w:t>apliekamās personas un preci faktiski piegādājusi vai pakalpojumu faktiski sniegusi tieši preču pavadzīmē-rēķinā norādītā persona, lai saņemto preci izmantotu savas saimnieciskās darbības nodrošināšanai. Ja darījums faktiski nav noticis (nav noticis ar nodokļa rēķinā norādīto ar pievienotās vērtības nodokli apliekamo personu), tad nepastāv visi likuma „Par pievienotās vērtības nodokli” 10.panta pirmās daļas 1.punktā noteiktie priekšnoteikumi (</w:t>
      </w:r>
      <w:r w:rsidR="00D24DEC" w:rsidRPr="00D24DEC">
        <w:rPr>
          <w:i/>
        </w:rPr>
        <w:t>Augstākās ti</w:t>
      </w:r>
      <w:r w:rsidR="00843FBA">
        <w:rPr>
          <w:i/>
        </w:rPr>
        <w:t xml:space="preserve">esas </w:t>
      </w:r>
      <w:r w:rsidR="00D24B1E">
        <w:rPr>
          <w:i/>
        </w:rPr>
        <w:t>t</w:t>
      </w:r>
      <w:r w:rsidR="00843FBA">
        <w:rPr>
          <w:i/>
        </w:rPr>
        <w:t>iesu prakses vispārinājums.</w:t>
      </w:r>
      <w:r w:rsidR="00D24B1E">
        <w:rPr>
          <w:i/>
        </w:rPr>
        <w:t xml:space="preserve"> Administratīvo tiesu prakse</w:t>
      </w:r>
      <w:r w:rsidR="00D24DEC" w:rsidRPr="00D24DEC">
        <w:rPr>
          <w:i/>
        </w:rPr>
        <w:t xml:space="preserve"> likuma „Par pievienotās vērtības nodokli” normu interpretācij</w:t>
      </w:r>
      <w:r w:rsidR="00D24B1E">
        <w:rPr>
          <w:i/>
        </w:rPr>
        <w:t>u</w:t>
      </w:r>
      <w:r w:rsidR="00D24DEC" w:rsidRPr="00D24DEC">
        <w:rPr>
          <w:i/>
        </w:rPr>
        <w:t xml:space="preserve"> un piemērošan</w:t>
      </w:r>
      <w:r w:rsidR="00D24B1E">
        <w:rPr>
          <w:i/>
        </w:rPr>
        <w:t>u</w:t>
      </w:r>
      <w:r w:rsidR="00D24DEC" w:rsidRPr="00D24DEC">
        <w:rPr>
          <w:i/>
        </w:rPr>
        <w:t>, 2008</w:t>
      </w:r>
      <w:r w:rsidR="00843FBA">
        <w:rPr>
          <w:i/>
        </w:rPr>
        <w:t>.</w:t>
      </w:r>
      <w:r w:rsidR="00D24DEC" w:rsidRPr="00D24DEC">
        <w:rPr>
          <w:i/>
        </w:rPr>
        <w:t>/2009</w:t>
      </w:r>
      <w:r w:rsidR="00843FBA">
        <w:rPr>
          <w:i/>
        </w:rPr>
        <w:t>.</w:t>
      </w:r>
      <w:r w:rsidR="00D24DEC" w:rsidRPr="00D24DEC">
        <w:rPr>
          <w:i/>
        </w:rPr>
        <w:t>, 7.,</w:t>
      </w:r>
      <w:r w:rsidR="00C2692C">
        <w:rPr>
          <w:i/>
        </w:rPr>
        <w:t xml:space="preserve"> </w:t>
      </w:r>
      <w:r w:rsidR="00D24DEC" w:rsidRPr="00D24DEC">
        <w:rPr>
          <w:i/>
        </w:rPr>
        <w:t>8.punkts</w:t>
      </w:r>
      <w:r w:rsidR="00D24DEC">
        <w:t xml:space="preserve">). </w:t>
      </w:r>
    </w:p>
    <w:p w14:paraId="1E4D43A8" w14:textId="5EF2ABAB" w:rsidR="00F91789" w:rsidRDefault="00F91789" w:rsidP="00D24DEC">
      <w:pPr>
        <w:autoSpaceDE w:val="0"/>
        <w:autoSpaceDN w:val="0"/>
        <w:adjustRightInd w:val="0"/>
        <w:spacing w:line="276" w:lineRule="auto"/>
        <w:ind w:firstLine="720"/>
        <w:jc w:val="both"/>
      </w:pPr>
      <w:r>
        <w:t>Prokurore uzskata, ka tiesas izmeklēšanas gaitā ir pierādīts, ka SIA „</w:t>
      </w:r>
      <w:r w:rsidR="008C2697">
        <w:t>[Nosaukums A]</w:t>
      </w:r>
      <w:r>
        <w:t>” 2009.gada oktobrī</w:t>
      </w:r>
      <w:r w:rsidR="00B97BDD">
        <w:t> </w:t>
      </w:r>
      <w:r w:rsidR="006A3727">
        <w:t>–</w:t>
      </w:r>
      <w:r w:rsidR="00B97BDD">
        <w:t> </w:t>
      </w:r>
      <w:r>
        <w:t>decembrī, 2010.gada janvārī</w:t>
      </w:r>
      <w:r w:rsidR="00B97BDD">
        <w:t> </w:t>
      </w:r>
      <w:r w:rsidR="007344F3">
        <w:t>–</w:t>
      </w:r>
      <w:r w:rsidR="00B97BDD">
        <w:t> </w:t>
      </w:r>
      <w:r>
        <w:t>septembrī nepārdeva SIA „</w:t>
      </w:r>
      <w:r w:rsidR="008C2697">
        <w:t>[Nosaukums B]</w:t>
      </w:r>
      <w:r>
        <w:t>” pavadzīmēs norādīto preci (zivis). Darījumi starp minētajiem komersantiem tika noformēti tikai dokumentāli, faktiski dokumentos norādītie un VID deklarētie darījumi kopsummā 358 326,67 </w:t>
      </w:r>
      <w:r w:rsidRPr="00F91789">
        <w:rPr>
          <w:i/>
        </w:rPr>
        <w:t>euro</w:t>
      </w:r>
      <w:r>
        <w:t xml:space="preserve">, PVN </w:t>
      </w:r>
      <w:r w:rsidR="00217FCC">
        <w:t xml:space="preserve">– </w:t>
      </w:r>
      <w:r>
        <w:t>75 248,53 </w:t>
      </w:r>
      <w:r w:rsidRPr="00F91789">
        <w:rPr>
          <w:i/>
        </w:rPr>
        <w:t>euro</w:t>
      </w:r>
      <w:r w:rsidR="00705FD8" w:rsidRPr="00705FD8">
        <w:t>,</w:t>
      </w:r>
      <w:r w:rsidRPr="00705FD8">
        <w:t xml:space="preserve"> </w:t>
      </w:r>
      <w:r>
        <w:t xml:space="preserve">apmērā netika veikti. </w:t>
      </w:r>
      <w:r w:rsidR="008C2697">
        <w:t>[Pers. A]</w:t>
      </w:r>
      <w:r>
        <w:t xml:space="preserve"> kā SIA „</w:t>
      </w:r>
      <w:r w:rsidR="008C2697">
        <w:t>[Nosaukums B]</w:t>
      </w:r>
      <w:r>
        <w:t xml:space="preserve">” atbildīgā persona nedrīkstēja iekļaut darījumus deklarācijās un deklarēt tos VID kā notikušus. </w:t>
      </w:r>
    </w:p>
    <w:p w14:paraId="1529430D" w14:textId="77777777" w:rsidR="00F91789" w:rsidRDefault="00F91789" w:rsidP="00D24DEC">
      <w:pPr>
        <w:autoSpaceDE w:val="0"/>
        <w:autoSpaceDN w:val="0"/>
        <w:adjustRightInd w:val="0"/>
        <w:spacing w:line="276" w:lineRule="auto"/>
        <w:ind w:firstLine="720"/>
        <w:jc w:val="both"/>
      </w:pPr>
      <w:r>
        <w:t xml:space="preserve">Kad preces vai pakalpojuma iegādes darījums ir fiktīvs, tam nevar būt nekādas saiknes ar nodokļu maksātāja darījumiem. Ja preču piegāde </w:t>
      </w:r>
      <w:r w:rsidR="00926880">
        <w:t>vai pakalpojuma sniegšana faktiski nav notikusi, nevar rasties tiesības uz nodokļa atskaitīšanu (</w:t>
      </w:r>
      <w:r w:rsidR="00926880" w:rsidRPr="00926880">
        <w:rPr>
          <w:i/>
        </w:rPr>
        <w:t xml:space="preserve">Eiropas Savienības </w:t>
      </w:r>
      <w:r w:rsidR="00217FCC">
        <w:rPr>
          <w:i/>
        </w:rPr>
        <w:t>T</w:t>
      </w:r>
      <w:r w:rsidR="00926880" w:rsidRPr="00926880">
        <w:rPr>
          <w:i/>
        </w:rPr>
        <w:t>iesas 2018.gada 27.jūnija spriedum</w:t>
      </w:r>
      <w:r w:rsidR="00D10375">
        <w:rPr>
          <w:i/>
        </w:rPr>
        <w:t>a</w:t>
      </w:r>
      <w:r w:rsidR="00926880" w:rsidRPr="00926880">
        <w:rPr>
          <w:i/>
        </w:rPr>
        <w:t xml:space="preserve"> lietā „SGI un Valériane” Nr. C-459/17 un C</w:t>
      </w:r>
      <w:r w:rsidR="008E5DC7">
        <w:rPr>
          <w:i/>
        </w:rPr>
        <w:t>-460/17</w:t>
      </w:r>
      <w:r w:rsidR="00926880" w:rsidRPr="00926880">
        <w:rPr>
          <w:i/>
        </w:rPr>
        <w:t xml:space="preserve"> (ECLI:EU:C:2018:501) 36.punkts</w:t>
      </w:r>
      <w:r w:rsidR="00926880">
        <w:t>).</w:t>
      </w:r>
    </w:p>
    <w:p w14:paraId="6AFDF3FB" w14:textId="37915F4A" w:rsidR="00926880" w:rsidRDefault="008E5DC7" w:rsidP="00D24DEC">
      <w:pPr>
        <w:autoSpaceDE w:val="0"/>
        <w:autoSpaceDN w:val="0"/>
        <w:adjustRightInd w:val="0"/>
        <w:spacing w:line="276" w:lineRule="auto"/>
        <w:ind w:firstLine="720"/>
        <w:jc w:val="both"/>
      </w:pPr>
      <w:r>
        <w:t xml:space="preserve">Prokurore uzskata, ka </w:t>
      </w:r>
      <w:r w:rsidR="008C2697">
        <w:t>[pers. A]</w:t>
      </w:r>
      <w:r>
        <w:t xml:space="preserve"> vaina ir pierādīta arī noziedzīgi iegūtu finanšu līdz</w:t>
      </w:r>
      <w:r w:rsidR="007D60F2">
        <w:t>ekļu legalizēšanā lielā apmērā.</w:t>
      </w:r>
    </w:p>
    <w:p w14:paraId="2B85CF1C" w14:textId="77777777" w:rsidR="008E5DC7" w:rsidRDefault="008E5DC7" w:rsidP="00D24DEC">
      <w:pPr>
        <w:autoSpaceDE w:val="0"/>
        <w:autoSpaceDN w:val="0"/>
        <w:adjustRightInd w:val="0"/>
        <w:spacing w:line="276" w:lineRule="auto"/>
        <w:ind w:firstLine="720"/>
        <w:jc w:val="both"/>
      </w:pPr>
      <w:r>
        <w:t>Terminu „noziedzīgi iegūti līdzekļi” saprot kā jebkuru ekonomisku ieguvumu, kas tieši vai netieši rodas vai ir iegūts, izdarot noziedzīgu nodarījumu. Turklāt noziedzīgi iegūti līdzekļi var būt jebkāda veida īpašums – jebkāda veida manta, ķermeniska vai bezķermeniska, kustama vai nekustama, kā arī juridiskie dokumenti vai instrumenti, kas apliecina īpašumtiesības uz šādu mantu vai cita veida tiesības uz to (</w:t>
      </w:r>
      <w:r w:rsidR="00CA37E9" w:rsidRPr="00CA37E9">
        <w:rPr>
          <w:i/>
        </w:rPr>
        <w:t>Konvencija</w:t>
      </w:r>
      <w:r w:rsidR="00CA37E9">
        <w:rPr>
          <w:i/>
        </w:rPr>
        <w:t>s</w:t>
      </w:r>
      <w:r w:rsidR="00CA37E9" w:rsidRPr="00CA37E9">
        <w:rPr>
          <w:i/>
        </w:rPr>
        <w:t xml:space="preserve"> par noziedzīgi iegūtu līdzekļu legalizācijas novēršanu, meklēšanu, izņemšanu un konfiskāciju</w:t>
      </w:r>
      <w:r w:rsidRPr="008E5DC7">
        <w:rPr>
          <w:i/>
        </w:rPr>
        <w:t xml:space="preserve"> 1.pants</w:t>
      </w:r>
      <w:r>
        <w:t xml:space="preserve">). </w:t>
      </w:r>
    </w:p>
    <w:p w14:paraId="47672071" w14:textId="15C1477C" w:rsidR="008E5DC7" w:rsidRDefault="008C2697" w:rsidP="00D24DEC">
      <w:pPr>
        <w:autoSpaceDE w:val="0"/>
        <w:autoSpaceDN w:val="0"/>
        <w:adjustRightInd w:val="0"/>
        <w:spacing w:line="276" w:lineRule="auto"/>
        <w:ind w:firstLine="720"/>
        <w:jc w:val="both"/>
      </w:pPr>
      <w:r>
        <w:t>[Pers. A]</w:t>
      </w:r>
      <w:r w:rsidR="008E5DC7">
        <w:t xml:space="preserve"> mainīja noziedzīgi iegūt</w:t>
      </w:r>
      <w:r w:rsidR="00D10375">
        <w:t>u</w:t>
      </w:r>
      <w:r w:rsidR="008E5DC7">
        <w:t xml:space="preserve"> finanšu līdzekļu atrašanās vietu, slēpa un maskēja to piederību un izcelsmi. Proti, no 2009.gada 12.oktobra līdz 2010.gada 15.oktobrim </w:t>
      </w:r>
      <w:r>
        <w:t>[pers. A]</w:t>
      </w:r>
      <w:r w:rsidR="008E5DC7">
        <w:t xml:space="preserve"> nepamatoti pārskaitīja no SIA „</w:t>
      </w:r>
      <w:r>
        <w:t>[Nosaukums B]</w:t>
      </w:r>
      <w:r w:rsidR="008E5DC7">
        <w:t>” norēķinu konta uz SIA „</w:t>
      </w:r>
      <w:r>
        <w:t>[Nosaukums A]</w:t>
      </w:r>
      <w:r w:rsidR="008E5DC7">
        <w:t>” norēķinu kontu 460 814,75 </w:t>
      </w:r>
      <w:r w:rsidR="008E5DC7" w:rsidRPr="008E5DC7">
        <w:rPr>
          <w:i/>
        </w:rPr>
        <w:t>euro</w:t>
      </w:r>
      <w:r w:rsidR="008E5DC7">
        <w:t>, tajā skaitā valstij nesamaksāto PVN 71 567,76 </w:t>
      </w:r>
      <w:r w:rsidR="008E5DC7" w:rsidRPr="008E5DC7">
        <w:rPr>
          <w:i/>
        </w:rPr>
        <w:t>euro</w:t>
      </w:r>
      <w:r w:rsidR="008E5DC7">
        <w:t>. Lai slēptu SIA „</w:t>
      </w:r>
      <w:r>
        <w:t>[Nosaukums A]</w:t>
      </w:r>
      <w:r w:rsidR="008E5DC7">
        <w:t>” norēķinu kontā saņemto finan</w:t>
      </w:r>
      <w:r w:rsidR="00B97BDD">
        <w:t>šu līdzekļu noziedzīgo izcelsmi</w:t>
      </w:r>
      <w:r w:rsidR="008E5DC7">
        <w:t xml:space="preserve"> un lai </w:t>
      </w:r>
      <w:r>
        <w:t>[pers. A]</w:t>
      </w:r>
      <w:r w:rsidR="008E5DC7">
        <w:t xml:space="preserve"> iegūtu šos finanšu līdzekļus savā īpašumā, kriminālprocesā nenoskaidrota persona, kura nebija informēta par </w:t>
      </w:r>
      <w:r>
        <w:t>[pers. A]</w:t>
      </w:r>
      <w:r w:rsidR="008E5DC7">
        <w:t xml:space="preserve"> darbību noziedzīgo mērķi, </w:t>
      </w:r>
      <w:r>
        <w:t>[pers. A]</w:t>
      </w:r>
      <w:r w:rsidR="008E5DC7">
        <w:t xml:space="preserve"> uzdevumā SIA „</w:t>
      </w:r>
      <w:r>
        <w:t>[Nosaukums A]</w:t>
      </w:r>
      <w:r w:rsidR="002557D3">
        <w:t xml:space="preserve">” norēķinu kontā saņemtos naudas līdzekļus nekavējoties konvertēja </w:t>
      </w:r>
      <w:r w:rsidR="002557D3" w:rsidRPr="00D10375">
        <w:rPr>
          <w:i/>
        </w:rPr>
        <w:t>euro</w:t>
      </w:r>
      <w:r w:rsidR="002557D3">
        <w:t xml:space="preserve"> valūtā, elektroniski veicot vairākas transakcijas, laikā no 2009.gada 13.oktobra līdz 2010.gada 14.s</w:t>
      </w:r>
      <w:r w:rsidR="00F65280">
        <w:t>eptembrim</w:t>
      </w:r>
      <w:r w:rsidR="002557D3">
        <w:t xml:space="preserve"> naudas līdzekļus 450 485,53 </w:t>
      </w:r>
      <w:r w:rsidR="002557D3" w:rsidRPr="002557D3">
        <w:rPr>
          <w:i/>
        </w:rPr>
        <w:t>euro</w:t>
      </w:r>
      <w:r w:rsidR="002557D3">
        <w:t xml:space="preserve"> nepamatoti pārskaitīja uz uzņēmuma </w:t>
      </w:r>
      <w:r w:rsidR="002557D3" w:rsidRPr="008E2CB6">
        <w:t>OÜ</w:t>
      </w:r>
      <w:r w:rsidR="002557D3">
        <w:t> „</w:t>
      </w:r>
      <w:r>
        <w:t>[Nosaukums C]</w:t>
      </w:r>
      <w:r w:rsidR="002557D3">
        <w:t xml:space="preserve">” norēķinu kontu. Pēc naudas līdzekļu saņemšanas uzņēmuma </w:t>
      </w:r>
      <w:r w:rsidR="002557D3" w:rsidRPr="008E2CB6">
        <w:t>OÜ</w:t>
      </w:r>
      <w:r w:rsidR="002557D3">
        <w:t> „</w:t>
      </w:r>
      <w:r>
        <w:t>[Nosaukums C]</w:t>
      </w:r>
      <w:r w:rsidR="002557D3">
        <w:t>” norēķinu kont</w:t>
      </w:r>
      <w:r w:rsidR="00D10375">
        <w:t>ā</w:t>
      </w:r>
      <w:r w:rsidR="002557D3">
        <w:t>, tie kriminālprocesā precīzi nenoskaidrotā laikā, bet ne vēlāk kā līdz 2010.gada 14.septembrim, izmaksāti SIA „</w:t>
      </w:r>
      <w:r>
        <w:t>[Nosaukums A]</w:t>
      </w:r>
      <w:r w:rsidR="002557D3">
        <w:t>” pilnvarotajai personai, kur</w:t>
      </w:r>
      <w:r w:rsidR="00D10375">
        <w:t>a</w:t>
      </w:r>
      <w:r w:rsidR="002557D3">
        <w:t xml:space="preserve"> šos naudas līdzekļus kriminālprocesā nenoskaidrotos apstākļos nodeva </w:t>
      </w:r>
      <w:r>
        <w:t>[pers. A]</w:t>
      </w:r>
      <w:r w:rsidR="002557D3">
        <w:t xml:space="preserve">. Nolūku slēpt noziedzīgi iegūto finanšu līdzekļu izcelsmi pierāda </w:t>
      </w:r>
      <w:r>
        <w:t>[pers. A]</w:t>
      </w:r>
      <w:r w:rsidR="002557D3">
        <w:t xml:space="preserve"> faktiskās darbības. </w:t>
      </w:r>
    </w:p>
    <w:p w14:paraId="5A545C86" w14:textId="77777777" w:rsidR="00AD68E3" w:rsidRDefault="00AD68E3" w:rsidP="00B135BD">
      <w:pPr>
        <w:spacing w:line="276" w:lineRule="auto"/>
        <w:jc w:val="center"/>
        <w:rPr>
          <w:b/>
        </w:rPr>
      </w:pPr>
    </w:p>
    <w:p w14:paraId="716E79D6" w14:textId="77777777" w:rsidR="00B135BD" w:rsidRDefault="00B135BD" w:rsidP="00B135BD">
      <w:pPr>
        <w:spacing w:line="276" w:lineRule="auto"/>
        <w:jc w:val="center"/>
        <w:rPr>
          <w:b/>
        </w:rPr>
      </w:pPr>
      <w:r w:rsidRPr="00AC1154">
        <w:rPr>
          <w:b/>
        </w:rPr>
        <w:t>Motīvu daļa</w:t>
      </w:r>
    </w:p>
    <w:p w14:paraId="3644FBEE" w14:textId="77777777" w:rsidR="00890836" w:rsidRDefault="00890836" w:rsidP="00B135BD">
      <w:pPr>
        <w:spacing w:line="276" w:lineRule="auto"/>
        <w:jc w:val="center"/>
        <w:rPr>
          <w:b/>
        </w:rPr>
      </w:pPr>
    </w:p>
    <w:p w14:paraId="0F81B69A" w14:textId="5B306B25" w:rsidR="00273C94" w:rsidRPr="008B469A" w:rsidRDefault="00890836" w:rsidP="00273C94">
      <w:pPr>
        <w:spacing w:line="276" w:lineRule="auto"/>
        <w:ind w:firstLine="720"/>
        <w:jc w:val="both"/>
      </w:pPr>
      <w:r>
        <w:lastRenderedPageBreak/>
        <w:t>[</w:t>
      </w:r>
      <w:r w:rsidR="00D35D38">
        <w:t>8</w:t>
      </w:r>
      <w:r>
        <w:t>] </w:t>
      </w:r>
      <w:r w:rsidR="00273C94">
        <w:t xml:space="preserve">Senāts atzīst, ka apsūdzētās </w:t>
      </w:r>
      <w:r w:rsidR="008C2697">
        <w:t>[pers. A]</w:t>
      </w:r>
      <w:r w:rsidR="00273C94">
        <w:t xml:space="preserve"> aizstāves T. Jurkevičas </w:t>
      </w:r>
      <w:r w:rsidR="00273C94" w:rsidRPr="008B469A">
        <w:t>lūgums par lietas izskatīšanu mutvārdu procesā</w:t>
      </w:r>
      <w:r w:rsidR="00273C94">
        <w:t xml:space="preserve"> </w:t>
      </w:r>
      <w:r w:rsidR="00273C94" w:rsidRPr="008B469A">
        <w:t>ir noraidāms.</w:t>
      </w:r>
    </w:p>
    <w:p w14:paraId="7E46DCF3" w14:textId="77777777" w:rsidR="00273C94" w:rsidRPr="008B469A" w:rsidRDefault="00273C94" w:rsidP="00273C94">
      <w:pPr>
        <w:spacing w:line="276" w:lineRule="auto"/>
        <w:ind w:firstLine="709"/>
        <w:jc w:val="both"/>
      </w:pPr>
      <w:r w:rsidRPr="008B469A">
        <w:t xml:space="preserve">Saskaņā ar Kriminālprocesa likuma 583.panta </w:t>
      </w:r>
      <w:r w:rsidR="009E3241">
        <w:t>otro daļu</w:t>
      </w:r>
      <w:r w:rsidRPr="008B469A">
        <w:t xml:space="preserve"> lietas izskatīšanu rakstveida procesā nosaka, ja iespējams pieņemt lēmumu pēc lietā</w:t>
      </w:r>
      <w:r>
        <w:t xml:space="preserve"> </w:t>
      </w:r>
      <w:r w:rsidRPr="008B469A">
        <w:t>esošajiem materiāliem. Ja nepieciešami papildu paskaidrojumi no personām, kurām ir tiesības</w:t>
      </w:r>
      <w:r>
        <w:t xml:space="preserve"> </w:t>
      </w:r>
      <w:r w:rsidRPr="008B469A">
        <w:t xml:space="preserve">piedalīties procesā, vai, </w:t>
      </w:r>
      <w:r>
        <w:t xml:space="preserve">Augstākās tiesas </w:t>
      </w:r>
      <w:r w:rsidRPr="008B469A">
        <w:t>ieskatā, attiecīgajai lietai var būt īpaša nozīme likuma</w:t>
      </w:r>
      <w:r>
        <w:t xml:space="preserve"> </w:t>
      </w:r>
      <w:r w:rsidRPr="008B469A">
        <w:t>normu interpretēšanā, nosaka lietas izskatīšanu tiesas sēdē.</w:t>
      </w:r>
    </w:p>
    <w:p w14:paraId="7F976084" w14:textId="77777777" w:rsidR="00273C94" w:rsidRDefault="00273C94" w:rsidP="00273C94">
      <w:pPr>
        <w:spacing w:line="276" w:lineRule="auto"/>
        <w:ind w:firstLine="709"/>
        <w:jc w:val="both"/>
      </w:pPr>
      <w:r w:rsidRPr="008B469A">
        <w:t>Senāts atzīst, ka lieta izskatāma rakstveida procesā, jo lēmumu iespējams pieņemt pēc lietā</w:t>
      </w:r>
      <w:r>
        <w:t xml:space="preserve"> </w:t>
      </w:r>
      <w:r w:rsidRPr="008B469A">
        <w:t>esošajiem materiāliem. Papildu paskaidrojumi no personām, kurām ir tiesības piedalīties procesā,</w:t>
      </w:r>
      <w:r>
        <w:t xml:space="preserve"> </w:t>
      </w:r>
      <w:r w:rsidRPr="008B469A">
        <w:t>nav nepieciešami, un konkrētajai</w:t>
      </w:r>
      <w:r w:rsidRPr="00096278">
        <w:t xml:space="preserve"> </w:t>
      </w:r>
      <w:r w:rsidRPr="008B469A">
        <w:t>lietai nav īpašas nozīmes likuma normu interpretēšanā.</w:t>
      </w:r>
    </w:p>
    <w:p w14:paraId="6D5EAD19" w14:textId="77777777" w:rsidR="00890836" w:rsidRDefault="00890836" w:rsidP="003D4263">
      <w:pPr>
        <w:spacing w:line="276" w:lineRule="auto"/>
        <w:ind w:firstLine="709"/>
        <w:jc w:val="both"/>
      </w:pPr>
    </w:p>
    <w:p w14:paraId="64238FBE" w14:textId="0A90C408" w:rsidR="00123C6F" w:rsidRDefault="00D35D38" w:rsidP="00123C6F">
      <w:pPr>
        <w:spacing w:line="276" w:lineRule="auto"/>
        <w:ind w:firstLine="709"/>
        <w:jc w:val="both"/>
      </w:pPr>
      <w:r>
        <w:t>[9</w:t>
      </w:r>
      <w:r w:rsidR="005319B9">
        <w:t>] </w:t>
      </w:r>
      <w:r w:rsidR="000C2797">
        <w:t xml:space="preserve"> </w:t>
      </w:r>
      <w:r w:rsidR="00123C6F">
        <w:t xml:space="preserve">Senāts atzīst, ka Rīgas apgabaltiesas 2019.gada 28.marta </w:t>
      </w:r>
      <w:r w:rsidR="009E3241">
        <w:t xml:space="preserve">spriedums atceļams daļā par </w:t>
      </w:r>
      <w:r w:rsidR="008C2697">
        <w:t>[pers. A]</w:t>
      </w:r>
      <w:r w:rsidR="009E3241">
        <w:t xml:space="preserve"> noteikto sodu un lieta atceltajā daļā nosūtāma jaunai izskatīšanai apelācijas instances tiesā. Pārējā daļā spriedums atstājams negrozīts, bet aizstāves T. Jurkevičas kasācijas sūdzība noraidāma. </w:t>
      </w:r>
    </w:p>
    <w:p w14:paraId="434E4902" w14:textId="77777777" w:rsidR="009E3241" w:rsidRDefault="009E3241" w:rsidP="00123C6F">
      <w:pPr>
        <w:spacing w:line="276" w:lineRule="auto"/>
        <w:ind w:firstLine="709"/>
        <w:jc w:val="both"/>
      </w:pPr>
      <w:r>
        <w:t xml:space="preserve">[9.1] Kriminālprocesa likuma </w:t>
      </w:r>
      <w:r w:rsidR="00F7327C">
        <w:t>511.panta otrā daļa noteic, ka s</w:t>
      </w:r>
      <w:r w:rsidR="00F7327C" w:rsidRPr="00F7327C">
        <w:t>priedum</w:t>
      </w:r>
      <w:r w:rsidR="00F7327C">
        <w:t>am jābūt tiesiskam un pamatotam. Kriminālprocesa likuma 512.panta pirmajā daļā norādīts, ka t</w:t>
      </w:r>
      <w:r w:rsidR="00F7327C" w:rsidRPr="00F7327C">
        <w:t>iesa, taisot spriedumu, pamatojas uz materiā</w:t>
      </w:r>
      <w:r w:rsidR="00F7327C">
        <w:t>lo un procesuālo tiesību normām, bet otrajā daļā noteikts, ka t</w:t>
      </w:r>
      <w:r w:rsidR="00F7327C" w:rsidRPr="00F7327C">
        <w:t>iesa spriedumu pamato ar pierādījumiem, kuri pārbaudīti tiesas sēdē, un rakstveida pierādījumiem un dokumentiem, kuri norādīti lēmumā par krimināllietas nodošanu tiesai, vai ar pierādījumiem, kurus saskaņā ar šā likuma 125.panta noteikumiem nav nepieciešams pārbaudīt.</w:t>
      </w:r>
    </w:p>
    <w:p w14:paraId="2D53BB87" w14:textId="77777777" w:rsidR="00F7327C" w:rsidRDefault="00F7327C" w:rsidP="00123C6F">
      <w:pPr>
        <w:spacing w:line="276" w:lineRule="auto"/>
        <w:ind w:firstLine="709"/>
        <w:jc w:val="both"/>
      </w:pPr>
      <w:r>
        <w:t>Apelācijas instances tiesas nolēmuma saturs noteikts Kriminālprocesa likuma 564.pantā, kura ceturtajā daļā norādīts, ka n</w:t>
      </w:r>
      <w:r w:rsidRPr="00F7327C">
        <w:t>olēmuma motīvu daļā norādāms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w:t>
      </w:r>
    </w:p>
    <w:p w14:paraId="004DEFCE" w14:textId="77777777" w:rsidR="00F7327C" w:rsidRDefault="00F7327C" w:rsidP="006B6A75">
      <w:pPr>
        <w:spacing w:line="276" w:lineRule="auto"/>
        <w:ind w:firstLine="709"/>
        <w:jc w:val="both"/>
      </w:pPr>
      <w:r>
        <w:t>Kasācijas instances tiesa atzīst, ka apelācijas instances tiesa</w:t>
      </w:r>
      <w:r w:rsidR="006B6A75" w:rsidRPr="006B6A75">
        <w:t xml:space="preserve"> </w:t>
      </w:r>
      <w:r w:rsidR="006B6A75">
        <w:t>savu atzinumu par Krimināllikuma 49.</w:t>
      </w:r>
      <w:r w:rsidR="006B6A75" w:rsidRPr="00F7327C">
        <w:rPr>
          <w:vertAlign w:val="superscript"/>
        </w:rPr>
        <w:t>1</w:t>
      </w:r>
      <w:r w:rsidR="006B6A75">
        <w:t>panta pirmās daļas 1. un 3.punkta piemērošanu</w:t>
      </w:r>
      <w:r>
        <w:t xml:space="preserve"> nav pamatojusi atbilstoši Kriminālprocesa likuma</w:t>
      </w:r>
      <w:r w:rsidR="009148D8">
        <w:t xml:space="preserve"> 511.panta otrās daļas,</w:t>
      </w:r>
      <w:r>
        <w:t xml:space="preserve"> 564.panta ceturtās daļas prasībām. </w:t>
      </w:r>
    </w:p>
    <w:p w14:paraId="48F5696F" w14:textId="77777777" w:rsidR="00F7327C" w:rsidRDefault="00F7327C" w:rsidP="00123C6F">
      <w:pPr>
        <w:spacing w:line="276" w:lineRule="auto"/>
        <w:ind w:firstLine="709"/>
        <w:jc w:val="both"/>
      </w:pPr>
      <w:r>
        <w:t>Senāts konstatē, ka apelācijas instances tiesa citējusi Kriminālprocesa likuma 14.panta pirmo daļu, Krimināllikuma 49.</w:t>
      </w:r>
      <w:r w:rsidRPr="00F7327C">
        <w:rPr>
          <w:vertAlign w:val="superscript"/>
        </w:rPr>
        <w:t>1</w:t>
      </w:r>
      <w:r>
        <w:t>panta 1., 3.punktu, kā arī norādījusi, ka kriminālprocess uzsākts 2010.gada 29.novembrī, pirmās instances tiesā lieta saņemta 2014.gada 4.novembrī, pirmo reizi nozīmēta izskatīšanai 2015.gada 10.martā, spriedums pasludināts 2017.gada 27.februārī. Apelācijas instances tiesā lieta saņemta 2017.gada 28.jūnijā un saīsinātais spriedums taisīts 2019.gada 28.martā. Apelācijas instances tiesā lietā vairākas reizes grozīts iztiesāšanas laiks saistībā ar referējošā tiesneša darbnespēju, kas apelācijas instances tiesas ieskatā ir par pamatu piemērot Krimināllikuma 49.</w:t>
      </w:r>
      <w:r w:rsidRPr="00F7327C">
        <w:rPr>
          <w:vertAlign w:val="superscript"/>
        </w:rPr>
        <w:t>1</w:t>
      </w:r>
      <w:r>
        <w:t xml:space="preserve">panta nosacījumus. </w:t>
      </w:r>
    </w:p>
    <w:p w14:paraId="09DA98A0" w14:textId="77777777" w:rsidR="004E57C2" w:rsidRDefault="00F7327C" w:rsidP="00D16DC8">
      <w:pPr>
        <w:spacing w:line="276" w:lineRule="auto"/>
        <w:ind w:firstLine="709"/>
        <w:jc w:val="both"/>
      </w:pPr>
      <w:r>
        <w:t xml:space="preserve">Šāds apelācijas instances tiesas atzinums nav </w:t>
      </w:r>
      <w:r w:rsidR="00570DBC">
        <w:t>pamatots ar</w:t>
      </w:r>
      <w:r>
        <w:t xml:space="preserve"> konkrētiem faktiem, nav vērtēts lietas apjoms, juridiskā sarežģītība, procesuālo darbību daudzums un citi apstākļi. </w:t>
      </w:r>
    </w:p>
    <w:p w14:paraId="221DF710" w14:textId="77777777" w:rsidR="00C71B1B" w:rsidRDefault="00F7327C" w:rsidP="00C71B1B">
      <w:pPr>
        <w:spacing w:line="276" w:lineRule="auto"/>
        <w:ind w:firstLine="709"/>
        <w:jc w:val="both"/>
      </w:pPr>
      <w:r>
        <w:t>Kasācijas instances tiesa jau iepriek</w:t>
      </w:r>
      <w:r w:rsidR="00C71B1B">
        <w:t>š atzinusi, ka k</w:t>
      </w:r>
      <w:r w:rsidR="00C71B1B" w:rsidRPr="00C71B1B">
        <w:t>riminālprocesa izskatīšanas ilgums – vairāki gadi – pats par sevi nav pamats atzinumam, ka tas neattaisnoti novilcināts un tādēļ pieļauts tiesību uz kriminālprocesa pabeigšanu saprātīgā termiņā pārkāpums</w:t>
      </w:r>
      <w:r w:rsidR="00C71B1B">
        <w:t xml:space="preserve"> (</w:t>
      </w:r>
      <w:r w:rsidR="00C71B1B" w:rsidRPr="00C71B1B">
        <w:rPr>
          <w:i/>
        </w:rPr>
        <w:t xml:space="preserve">Augstākās tiesas </w:t>
      </w:r>
      <w:r w:rsidR="00C71B1B" w:rsidRPr="00C71B1B">
        <w:rPr>
          <w:i/>
        </w:rPr>
        <w:lastRenderedPageBreak/>
        <w:t>2018.gada 6.februāra lēmums lietā Nr. SKK-47/2018 (ECLI:LV:AT:2018:0206.11089172812.2.L)</w:t>
      </w:r>
      <w:r w:rsidR="00C71B1B">
        <w:t>). Kriminālprocesa pabeigšana saprātīgā termiņā ir saistīta ar lietas apjomu, juridisko sarežģītību, procesuālo darbību daudzumu, procesā iesaistīto personu attieksmi pret pienākumu pildīšanu un citiem objektīviem apstākļiem. Par objektīvu iemeslu iztiesāšanas pagarināšanai nav atzīstams tāds iemesls, kas saistīts ar tiesas darba organizāciju (</w:t>
      </w:r>
      <w:r w:rsidR="00C71B1B" w:rsidRPr="00C71B1B">
        <w:rPr>
          <w:i/>
        </w:rPr>
        <w:t>Augs</w:t>
      </w:r>
      <w:r w:rsidR="0011317D">
        <w:rPr>
          <w:i/>
        </w:rPr>
        <w:t>tākās tiesas 2018.gada 4.septem</w:t>
      </w:r>
      <w:r w:rsidR="00C71B1B" w:rsidRPr="00C71B1B">
        <w:rPr>
          <w:i/>
        </w:rPr>
        <w:t>b</w:t>
      </w:r>
      <w:r w:rsidR="0011317D">
        <w:rPr>
          <w:i/>
        </w:rPr>
        <w:t>r</w:t>
      </w:r>
      <w:r w:rsidR="00C71B1B" w:rsidRPr="00C71B1B">
        <w:rPr>
          <w:i/>
        </w:rPr>
        <w:t>a lēmums lietā Nr. SKK-337/2018 (ECLI:LV:AT:2018:0904.11210030713.3.L)</w:t>
      </w:r>
      <w:r w:rsidR="00C71B1B">
        <w:t xml:space="preserve">). </w:t>
      </w:r>
    </w:p>
    <w:p w14:paraId="729BD87B" w14:textId="77777777" w:rsidR="00C71B1B" w:rsidRDefault="00C71B1B" w:rsidP="00C71B1B">
      <w:pPr>
        <w:spacing w:line="276" w:lineRule="auto"/>
        <w:ind w:firstLine="709"/>
        <w:jc w:val="both"/>
      </w:pPr>
      <w:r>
        <w:t xml:space="preserve">Tādējādi prokurors kasācijas protestā pamatoti norādījis, ka apelācijas instances tiesas spriedums daļā par Kriminālprocesa likuma 14.panta pirmajā daļā norādītā pārkāpuma konstatēšanu neatbilst Kriminālprocesa likuma 511.panta otrās daļas prasībām. </w:t>
      </w:r>
    </w:p>
    <w:p w14:paraId="5FCCE550" w14:textId="14E25ADD" w:rsidR="006B6A75" w:rsidRDefault="00C71B1B" w:rsidP="00C71B1B">
      <w:pPr>
        <w:spacing w:line="276" w:lineRule="auto"/>
        <w:ind w:firstLine="709"/>
        <w:jc w:val="both"/>
      </w:pPr>
      <w:r>
        <w:t xml:space="preserve">Kasācijas instances tiesa Kriminālprocesa likuma 511.panta otrās daļas pārkāpumu atzīst par Kriminālprocesa likuma būtisku pārkāpumu šā likuma 575.panta trešās daļas izpratnē, kas noveda pie nelikumīga nolēmuma daļā par </w:t>
      </w:r>
      <w:r w:rsidR="001612FF">
        <w:t>[pers. A]</w:t>
      </w:r>
      <w:r>
        <w:t xml:space="preserve"> noteikto sodu.</w:t>
      </w:r>
    </w:p>
    <w:p w14:paraId="52860700" w14:textId="641CEF6B" w:rsidR="00C71B1B" w:rsidRPr="00963F77" w:rsidRDefault="006B6A75" w:rsidP="00C71B1B">
      <w:pPr>
        <w:spacing w:line="276" w:lineRule="auto"/>
        <w:ind w:firstLine="709"/>
        <w:jc w:val="both"/>
      </w:pPr>
      <w:r>
        <w:t>Ar apelācijas instances tiesas spriedumu prokurora iesniegtais apelācijas protests noraidīts. Kasācijas protestā prokurors nav apstrīdējis apelācijas instances tiesas spriedumu šajā daļā. Tādējādi p</w:t>
      </w:r>
      <w:r w:rsidR="00C71B1B">
        <w:t>rokuror</w:t>
      </w:r>
      <w:r w:rsidR="00966B30">
        <w:t xml:space="preserve">s kasācijas protestā nav apstrīdējis pirmās instances tiesas noteikto brīvības </w:t>
      </w:r>
      <w:r w:rsidR="00966B30" w:rsidRPr="00963F77">
        <w:t xml:space="preserve">atņemšanas sodu un nosacītas notiesāšanas piemērošanu </w:t>
      </w:r>
      <w:r w:rsidR="001612FF">
        <w:t>[pers. A]</w:t>
      </w:r>
      <w:r w:rsidR="00966B30" w:rsidRPr="00963F77">
        <w:t xml:space="preserve">. </w:t>
      </w:r>
    </w:p>
    <w:p w14:paraId="7AC77C23" w14:textId="77777777" w:rsidR="00963F77" w:rsidRPr="00EA78B9" w:rsidRDefault="00966B30" w:rsidP="00963F77">
      <w:pPr>
        <w:spacing w:line="276" w:lineRule="auto"/>
        <w:ind w:firstLine="720"/>
        <w:jc w:val="both"/>
        <w:rPr>
          <w:rFonts w:eastAsia="Calibri"/>
        </w:rPr>
      </w:pPr>
      <w:r w:rsidRPr="00EA78B9">
        <w:t>[9.2] </w:t>
      </w:r>
      <w:r w:rsidR="001B3DA9">
        <w:t>Senāts</w:t>
      </w:r>
      <w:r w:rsidR="00963F77" w:rsidRPr="00EA78B9">
        <w:t xml:space="preserve"> atzīst, ka pārējā daļā apelācijas instances tiesas spriedums ir tiesisks un pamatots.</w:t>
      </w:r>
      <w:r w:rsidR="00963F77" w:rsidRPr="00EA78B9">
        <w:rPr>
          <w:rFonts w:eastAsia="Calibri"/>
        </w:rPr>
        <w:t xml:space="preserve"> </w:t>
      </w:r>
    </w:p>
    <w:p w14:paraId="51F2558E" w14:textId="77777777" w:rsidR="00963F77" w:rsidRPr="00EA78B9" w:rsidRDefault="00963F77" w:rsidP="00963F77">
      <w:pPr>
        <w:spacing w:line="276" w:lineRule="auto"/>
        <w:ind w:firstLine="720"/>
        <w:jc w:val="both"/>
        <w:rPr>
          <w:bCs/>
        </w:rPr>
      </w:pPr>
      <w:r w:rsidRPr="00EA78B9">
        <w:rPr>
          <w:rFonts w:eastAsia="Calibri"/>
        </w:rPr>
        <w:t xml:space="preserve">[9.2.1] </w:t>
      </w:r>
      <w:r w:rsidRPr="00EA78B9">
        <w:rPr>
          <w:bCs/>
        </w:rPr>
        <w:t>Kasācijas instances tiesa nav tiesa, kas lietu izskata pēc būtības. Lietu pēc būtības izskata pirmās instances tiesa, bet gadījumos, kad iesniegts apelācijas protests vai sūdzība, lietu pēc būtības izskata arī apelācijas instances tiesa.</w:t>
      </w:r>
    </w:p>
    <w:p w14:paraId="58C918C1" w14:textId="77777777" w:rsidR="00F675B0" w:rsidRDefault="00963F77" w:rsidP="00963F77">
      <w:pPr>
        <w:shd w:val="clear" w:color="auto" w:fill="FFFFFF"/>
        <w:spacing w:line="276" w:lineRule="auto"/>
        <w:ind w:right="45" w:firstLine="686"/>
        <w:jc w:val="both"/>
      </w:pPr>
      <w:r w:rsidRPr="00EA78B9">
        <w:rPr>
          <w:bCs/>
        </w:rPr>
        <w:t xml:space="preserve">Kriminālprocesa likuma 569.panta pirmā daļa noteic, ka </w:t>
      </w:r>
      <w:r w:rsidR="004F3ACA">
        <w:rPr>
          <w:bCs/>
        </w:rPr>
        <w:t>p</w:t>
      </w:r>
      <w:r w:rsidR="004F3ACA" w:rsidRPr="004F3ACA">
        <w:rPr>
          <w:bCs/>
        </w:rPr>
        <w:t xml:space="preserve">ārsūdzēšana kasācijas kārtībā ir rakstveida kasācijas protesta vai sūdzības iesniegšana Augstākajā tiesā par tāda apelācijas instances tiesas nolēmuma tiesiskumu, kurš vēl nav stājies spēkā, nolūkā panākt tā atcelšanu pilnībā vai kādā tā daļā vai arī tā </w:t>
      </w:r>
      <w:r w:rsidR="004F3ACA">
        <w:rPr>
          <w:bCs/>
        </w:rPr>
        <w:t>grozīšanu juridisku iemeslu dēļ</w:t>
      </w:r>
      <w:r w:rsidRPr="00EA78B9">
        <w:rPr>
          <w:bCs/>
        </w:rPr>
        <w:t>. Savukārt Kriminālprocesa likuma 569.panta trešajā daļā norādīts, ka kasācijas instances tiesa pierādījumus lietā no jauna neizvērtē.</w:t>
      </w:r>
      <w:r w:rsidR="00F675B0" w:rsidRPr="00F675B0">
        <w:t xml:space="preserve"> </w:t>
      </w:r>
      <w:r w:rsidR="00C60C44">
        <w:t>Tādējādi tiesas nolēmum</w:t>
      </w:r>
      <w:r w:rsidR="0015188A">
        <w:t>a</w:t>
      </w:r>
      <w:r w:rsidR="00C60C44">
        <w:t xml:space="preserve"> pārsūdzēšana faktisku iemeslu dēļ neietilpst kasācijas instances tiesas izskatīšanas priekšmetā. </w:t>
      </w:r>
    </w:p>
    <w:p w14:paraId="35C77ABB" w14:textId="77777777" w:rsidR="00963F77" w:rsidRPr="00EA78B9" w:rsidRDefault="00F675B0" w:rsidP="00963F77">
      <w:pPr>
        <w:shd w:val="clear" w:color="auto" w:fill="FFFFFF"/>
        <w:spacing w:line="276" w:lineRule="auto"/>
        <w:ind w:right="45" w:firstLine="686"/>
        <w:jc w:val="both"/>
        <w:rPr>
          <w:bCs/>
        </w:rPr>
      </w:pPr>
      <w:r w:rsidRPr="00EA78B9">
        <w:t>Jautājums par pierādīšanu un pierādījumu izvērtēšanu ir reglamentēts Kriminālprocesa likuma 9.nodaļā, tostarp Kriminālprocesa likuma 128., 129., 130.pantā ir reglamentēts jautājums par pierādījumu ticamību, attiecināmību un pieļaujamību, savukārt pierādījumu pietiekamība un saprātīgu šaubu izslēgšana pierādīšanas procesā ir noteikta Kriminālprocesa likuma 19.pantā un 124.panta piektajā daļā.</w:t>
      </w:r>
    </w:p>
    <w:p w14:paraId="40BC30E0" w14:textId="77777777" w:rsidR="00963F77" w:rsidRPr="00EA78B9" w:rsidRDefault="00963F77" w:rsidP="00963F77">
      <w:pPr>
        <w:shd w:val="clear" w:color="auto" w:fill="FFFFFF"/>
        <w:spacing w:line="276" w:lineRule="auto"/>
        <w:ind w:right="45" w:firstLine="686"/>
        <w:jc w:val="both"/>
        <w:rPr>
          <w:bCs/>
        </w:rPr>
      </w:pPr>
      <w:r w:rsidRPr="00EA78B9">
        <w:rPr>
          <w:bCs/>
        </w:rPr>
        <w:t>Pierādījumu ticamības jēdziens un novērtēšanas prasības ir noteiktas Kriminālprocesa likuma 128.pantā, taču izvēle, kuriem pierādījumiem ticēt, bet kuriem nē, ir tās tiesas kompetencē, kas izspriež lietu pēc būtības. Arī jautājums par to, vai lietā esošie pierādījumi ir vai nav pietiekami apsūdzētā vainīguma konstatēšanai, ir būtības jautājums, kas kasācijas kārtībā nav pārbaudāms. Pierādījumu pietiekamības kritērijs ir saprātīgu šaubu esamība vai neesamība par apsūdzētā vainīgumu, kura izvērtēšana tāpat ir tās tiesas kompetencē, kas izskata lietu pēc būtības.</w:t>
      </w:r>
    </w:p>
    <w:p w14:paraId="0EABCC28" w14:textId="77777777" w:rsidR="00963F77" w:rsidRPr="00EA78B9" w:rsidRDefault="00963F77" w:rsidP="00963F77">
      <w:pPr>
        <w:shd w:val="clear" w:color="auto" w:fill="FFFFFF"/>
        <w:spacing w:line="276" w:lineRule="auto"/>
        <w:ind w:right="5" w:firstLine="720"/>
        <w:jc w:val="both"/>
      </w:pPr>
      <w:r w:rsidRPr="00EA78B9">
        <w:t xml:space="preserve">Citāda pierādījumu vērtēšana kasācijas sūdzībā, nekā tos vērtējusi apelācijas instances tiesa, nevar būt par pamatu apelācijas instances tiesas </w:t>
      </w:r>
      <w:r w:rsidR="00B55ECC">
        <w:t>nolēmuma</w:t>
      </w:r>
      <w:r w:rsidRPr="00EA78B9">
        <w:t xml:space="preserve"> atcelšanai.</w:t>
      </w:r>
    </w:p>
    <w:p w14:paraId="6FC3D8A5" w14:textId="2C85A075" w:rsidR="00963F77" w:rsidRPr="00EA78B9" w:rsidRDefault="00963F77" w:rsidP="00963F77">
      <w:pPr>
        <w:shd w:val="clear" w:color="auto" w:fill="FFFFFF"/>
        <w:spacing w:line="276" w:lineRule="auto"/>
        <w:ind w:right="5" w:firstLine="720"/>
        <w:jc w:val="both"/>
      </w:pPr>
      <w:r w:rsidRPr="00EA78B9">
        <w:lastRenderedPageBreak/>
        <w:t xml:space="preserve">[9.2.2] </w:t>
      </w:r>
      <w:r w:rsidR="004135A4">
        <w:t>Rīgas apgabal</w:t>
      </w:r>
      <w:r w:rsidRPr="00EA78B9">
        <w:t xml:space="preserve">tiesa atzinusi, ka </w:t>
      </w:r>
      <w:r w:rsidR="00EF600B" w:rsidRPr="00EA78B9">
        <w:t xml:space="preserve">apsūdzētā </w:t>
      </w:r>
      <w:r w:rsidR="001612FF">
        <w:t>[pers. A]</w:t>
      </w:r>
      <w:r w:rsidR="00EF600B" w:rsidRPr="00EA78B9">
        <w:t xml:space="preserve"> tiesiski un pamatoti atzīta par vainīgu viņai inkriminētajās darbībās un tās pareizi kvalificētas pēc Krimināllikuma 218.panta otrās daļas un 195.panta trešās daļas. </w:t>
      </w:r>
    </w:p>
    <w:p w14:paraId="475B2209" w14:textId="77777777" w:rsidR="00EF600B" w:rsidRPr="00EA78B9" w:rsidRDefault="00EF600B" w:rsidP="00963F77">
      <w:pPr>
        <w:shd w:val="clear" w:color="auto" w:fill="FFFFFF"/>
        <w:spacing w:line="276" w:lineRule="auto"/>
        <w:ind w:right="5" w:firstLine="720"/>
        <w:jc w:val="both"/>
      </w:pPr>
      <w:r w:rsidRPr="00EA78B9">
        <w:t>Apelācijas instances tiesa</w:t>
      </w:r>
      <w:r w:rsidR="00B55ECC">
        <w:t xml:space="preserve"> nav</w:t>
      </w:r>
      <w:r w:rsidRPr="00EA78B9">
        <w:t xml:space="preserve"> konstatējusi Kriminālprocesa likuma būtisku pārkāpumu, kas katrā ziņā būtu par pamatu pirmās instances tiesas sprieduma atcelšanai vai citus Kriminālprocesa likuma būtiskus pārkāpumus, kas būtu noveduši pie nelikumīga nolēmuma. </w:t>
      </w:r>
    </w:p>
    <w:p w14:paraId="0E3582EC" w14:textId="77777777" w:rsidR="001B3DA9" w:rsidRDefault="00FC54B3" w:rsidP="004135A4">
      <w:pPr>
        <w:shd w:val="clear" w:color="auto" w:fill="FFFFFF"/>
        <w:spacing w:line="276" w:lineRule="auto"/>
        <w:ind w:right="5" w:firstLine="720"/>
        <w:jc w:val="both"/>
      </w:pPr>
      <w:r w:rsidRPr="00EA78B9">
        <w:rPr>
          <w:rFonts w:eastAsia="Calibri"/>
        </w:rPr>
        <w:t>Apelācijas instances tiesa</w:t>
      </w:r>
      <w:r w:rsidR="004F3ACA">
        <w:rPr>
          <w:rFonts w:eastAsia="Calibri"/>
        </w:rPr>
        <w:t>,</w:t>
      </w:r>
      <w:r w:rsidRPr="00EA78B9">
        <w:rPr>
          <w:rFonts w:eastAsia="Calibri"/>
        </w:rPr>
        <w:t xml:space="preserve"> tāpat kā pirmās instances tiesa</w:t>
      </w:r>
      <w:r w:rsidR="006A3727">
        <w:rPr>
          <w:rFonts w:eastAsia="Calibri"/>
        </w:rPr>
        <w:t>,</w:t>
      </w:r>
      <w:r w:rsidRPr="00EA78B9">
        <w:rPr>
          <w:rFonts w:eastAsia="Calibri"/>
        </w:rPr>
        <w:t xml:space="preserve"> ir konstatējusi apsūdzētās darbībās visas nepieciešamās un obligātās Krimināllikuma 218.panta otrajā daļā, 195.panta trešajā daļā paredzēto noziedzīgo nodarījumu sastāva pazīmes. Apelācijas instances tiesa</w:t>
      </w:r>
      <w:r w:rsidR="004135A4">
        <w:rPr>
          <w:rFonts w:eastAsia="Calibri"/>
        </w:rPr>
        <w:t xml:space="preserve"> atstājusi negrozītu</w:t>
      </w:r>
      <w:r w:rsidRPr="00EA78B9">
        <w:rPr>
          <w:rFonts w:eastAsia="Calibri"/>
        </w:rPr>
        <w:t xml:space="preserve"> </w:t>
      </w:r>
      <w:r w:rsidRPr="00EA78B9">
        <w:t>pirmās instances tiesas spriedumu daļā par apsūdzētās atzīšanu par vainīgu</w:t>
      </w:r>
      <w:r w:rsidR="004135A4">
        <w:t>.</w:t>
      </w:r>
      <w:r w:rsidR="001B3DA9" w:rsidRPr="001B3DA9">
        <w:t xml:space="preserve"> </w:t>
      </w:r>
      <w:r w:rsidR="001B3DA9">
        <w:t>Apelācijas instances tiesa atzinusi, ka p</w:t>
      </w:r>
      <w:r w:rsidR="001B3DA9" w:rsidRPr="00EA78B9">
        <w:t>irmās insta</w:t>
      </w:r>
      <w:r w:rsidR="001B3DA9">
        <w:t xml:space="preserve">nces tiesa ir izvērtējusi </w:t>
      </w:r>
      <w:r w:rsidR="001B3DA9" w:rsidRPr="00EA78B9">
        <w:t>pierādījumus, tie vērtēti vispusīgi, to kopsakarā, atbilst</w:t>
      </w:r>
      <w:r w:rsidR="00C77E5E">
        <w:t>oši Kriminālprocesa likuma 127.–</w:t>
      </w:r>
      <w:r w:rsidR="001B3DA9" w:rsidRPr="00EA78B9">
        <w:t xml:space="preserve">130.panta nosacījumiem. </w:t>
      </w:r>
    </w:p>
    <w:p w14:paraId="35EC4E6F" w14:textId="77777777" w:rsidR="00C77E5E" w:rsidRDefault="004135A4" w:rsidP="00C77E5E">
      <w:pPr>
        <w:autoSpaceDE w:val="0"/>
        <w:autoSpaceDN w:val="0"/>
        <w:adjustRightInd w:val="0"/>
        <w:spacing w:line="276" w:lineRule="auto"/>
        <w:ind w:firstLine="720"/>
        <w:jc w:val="both"/>
      </w:pPr>
      <w:r>
        <w:t>Senāts atzīst, ka a</w:t>
      </w:r>
      <w:r w:rsidR="00FC54B3" w:rsidRPr="00EA78B9">
        <w:t xml:space="preserve">pelācijas instances tiesa, atsaucoties uz Kriminālprocesa likuma 564.panta sestajā daļā noteikto, pamatoti nav atkārtojusi pirmās instances tiesas spriedumā minētos pierādījumus un atzinumus, bet ir izvērtējusi apelācijas sūdzībā izteiktos argumentus. Apelācijas instances tiesa, papildus pirmās instances tiesas sniegtajam pierādījumu vērtējumam, sprieduma motīvu daļā </w:t>
      </w:r>
      <w:r w:rsidR="00FC54B3" w:rsidRPr="00EA78B9">
        <w:rPr>
          <w:i/>
        </w:rPr>
        <w:t xml:space="preserve">(sprieduma </w:t>
      </w:r>
      <w:r w:rsidR="006B6A75">
        <w:rPr>
          <w:i/>
        </w:rPr>
        <w:t>20.-32.</w:t>
      </w:r>
      <w:r w:rsidR="00FC54B3" w:rsidRPr="00EA78B9">
        <w:rPr>
          <w:i/>
        </w:rPr>
        <w:t>lapa)</w:t>
      </w:r>
      <w:r w:rsidR="00FC54B3" w:rsidRPr="00EA78B9">
        <w:t xml:space="preserve"> </w:t>
      </w:r>
      <w:r w:rsidR="006B6A75">
        <w:t xml:space="preserve">izvērtējusi pierādījumus un </w:t>
      </w:r>
      <w:r w:rsidR="00FC54B3" w:rsidRPr="00EA78B9">
        <w:t>argumentēti noraid</w:t>
      </w:r>
      <w:r w:rsidR="001B3DA9">
        <w:t>ījusi</w:t>
      </w:r>
      <w:r w:rsidR="00FC54B3" w:rsidRPr="00EA78B9">
        <w:t xml:space="preserve"> apelācijas sūdzības motīvus.</w:t>
      </w:r>
    </w:p>
    <w:p w14:paraId="4589C2BA" w14:textId="77777777" w:rsidR="004135A4" w:rsidRPr="00EA78B9" w:rsidRDefault="004135A4" w:rsidP="004135A4">
      <w:pPr>
        <w:autoSpaceDE w:val="0"/>
        <w:autoSpaceDN w:val="0"/>
        <w:adjustRightInd w:val="0"/>
        <w:spacing w:line="276" w:lineRule="auto"/>
        <w:ind w:firstLine="720"/>
        <w:jc w:val="both"/>
      </w:pPr>
      <w:r w:rsidRPr="00EA78B9">
        <w:rPr>
          <w:bCs/>
        </w:rPr>
        <w:t xml:space="preserve">Senāts </w:t>
      </w:r>
      <w:r>
        <w:rPr>
          <w:bCs/>
        </w:rPr>
        <w:t>atzīst</w:t>
      </w:r>
      <w:r w:rsidRPr="00EA78B9">
        <w:rPr>
          <w:bCs/>
        </w:rPr>
        <w:t>, ka apelācijas instances tiesa, izskatot lietu, nav pieļāvusi kasācijas sūdzībā no</w:t>
      </w:r>
      <w:r>
        <w:rPr>
          <w:bCs/>
        </w:rPr>
        <w:t>sauktos</w:t>
      </w:r>
      <w:r w:rsidRPr="00EA78B9">
        <w:rPr>
          <w:bCs/>
        </w:rPr>
        <w:t xml:space="preserve"> </w:t>
      </w:r>
      <w:r w:rsidRPr="00EA78B9">
        <w:t>Kriminālprocesa likuma pārkāpumus, kā arī</w:t>
      </w:r>
      <w:r>
        <w:t xml:space="preserve"> nav pieļāvusi</w:t>
      </w:r>
      <w:r w:rsidRPr="00EA78B9">
        <w:t xml:space="preserve"> Kriminālprocesa likuma 574.panta 2.punktā</w:t>
      </w:r>
      <w:r>
        <w:t xml:space="preserve"> norādīto Krimināllikuma</w:t>
      </w:r>
      <w:r w:rsidRPr="00EA78B9">
        <w:t xml:space="preserve"> pārkāpumu.</w:t>
      </w:r>
    </w:p>
    <w:p w14:paraId="51004192" w14:textId="77777777" w:rsidR="00B55ECC" w:rsidRPr="004135A4" w:rsidRDefault="004135A4" w:rsidP="004135A4">
      <w:pPr>
        <w:spacing w:line="276" w:lineRule="auto"/>
        <w:ind w:firstLine="720"/>
        <w:jc w:val="both"/>
        <w:rPr>
          <w:rFonts w:eastAsia="Calibri"/>
        </w:rPr>
      </w:pPr>
      <w:r w:rsidRPr="00EA78B9">
        <w:rPr>
          <w:bCs/>
        </w:rPr>
        <w:t>Kasācijas sūdzībā pamatā atkārtoti apelācijas sūdzībā un apelācijas instances tiesas sēdē izteiktie argumenti par apsūdzētā</w:t>
      </w:r>
      <w:r>
        <w:rPr>
          <w:bCs/>
        </w:rPr>
        <w:t>s</w:t>
      </w:r>
      <w:r w:rsidRPr="00EA78B9">
        <w:t xml:space="preserve"> ne</w:t>
      </w:r>
      <w:r w:rsidRPr="00EA78B9">
        <w:rPr>
          <w:bCs/>
        </w:rPr>
        <w:t>vainīgumu, faktiski lūdzot kasācijas instances tiesu no jauna vērtēt pierādījumus lietā, kas neietilpst kasācijas instances tiesas kompetencē.</w:t>
      </w:r>
    </w:p>
    <w:p w14:paraId="11E05C60" w14:textId="32822CE0" w:rsidR="00963F77" w:rsidRPr="00EA78B9" w:rsidRDefault="00B55ECC" w:rsidP="00B55ECC">
      <w:pPr>
        <w:shd w:val="clear" w:color="auto" w:fill="FFFFFF"/>
        <w:spacing w:line="276" w:lineRule="auto"/>
        <w:ind w:right="5" w:firstLine="720"/>
        <w:jc w:val="both"/>
      </w:pPr>
      <w:r>
        <w:t xml:space="preserve">[9.2.3] </w:t>
      </w:r>
      <w:r w:rsidR="00963F77" w:rsidRPr="00EA78B9">
        <w:t>Apelācijas instances tie</w:t>
      </w:r>
      <w:r w:rsidR="00EF600B" w:rsidRPr="00EA78B9">
        <w:t xml:space="preserve">sa </w:t>
      </w:r>
      <w:r w:rsidRPr="00EA78B9">
        <w:t xml:space="preserve">pamatoti atzinusi, ka </w:t>
      </w:r>
      <w:r w:rsidR="001612FF">
        <w:t>[pers. A]</w:t>
      </w:r>
      <w:r w:rsidRPr="00EA78B9">
        <w:t xml:space="preserve"> ir Krimināllikuma 218.panta otrajā daļā paredzētā nozieguma sastāva speciālais subjekts.</w:t>
      </w:r>
    </w:p>
    <w:p w14:paraId="67449CA6" w14:textId="35981ED8" w:rsidR="00B55ECC" w:rsidRPr="00EA78B9" w:rsidRDefault="00963F77" w:rsidP="00B55ECC">
      <w:pPr>
        <w:shd w:val="clear" w:color="auto" w:fill="FFFFFF"/>
        <w:spacing w:line="276" w:lineRule="auto"/>
        <w:ind w:right="5" w:firstLine="720"/>
        <w:jc w:val="both"/>
      </w:pPr>
      <w:r w:rsidRPr="00EA78B9">
        <w:t xml:space="preserve">Tiesa, pamatojot savu atzinumu ar konkrētiem pierādījumiem, konstatējusi, ka </w:t>
      </w:r>
      <w:r w:rsidR="00EF600B" w:rsidRPr="00EA78B9">
        <w:t xml:space="preserve">taksācijas periodā no 2009.gada oktobra līdz 2010.gada septembrim </w:t>
      </w:r>
      <w:r w:rsidR="001612FF">
        <w:t>[pers. A]</w:t>
      </w:r>
      <w:r w:rsidR="00EF600B" w:rsidRPr="00EA78B9">
        <w:t xml:space="preserve"> SIA „</w:t>
      </w:r>
      <w:r w:rsidR="001612FF">
        <w:t>[Nosaukums B]</w:t>
      </w:r>
      <w:r w:rsidR="00EF600B" w:rsidRPr="00EA78B9">
        <w:t>” vārdā</w:t>
      </w:r>
      <w:r w:rsidR="00B55ECC">
        <w:t xml:space="preserve"> </w:t>
      </w:r>
      <w:r w:rsidR="00EF600B" w:rsidRPr="00EA78B9">
        <w:t>noformēja un deklarēja</w:t>
      </w:r>
      <w:r w:rsidR="006B6A75">
        <w:t xml:space="preserve"> VID</w:t>
      </w:r>
      <w:r w:rsidR="00EF600B" w:rsidRPr="00EA78B9">
        <w:t xml:space="preserve"> ar PVN apliekamus darījumus starp SIA „</w:t>
      </w:r>
      <w:r w:rsidR="001612FF">
        <w:t>[Nosaukums B]</w:t>
      </w:r>
      <w:r w:rsidR="00EF600B" w:rsidRPr="00EA78B9">
        <w:t>” un SIA „</w:t>
      </w:r>
      <w:r w:rsidR="001612FF">
        <w:t>[Nosaukums A]</w:t>
      </w:r>
      <w:r w:rsidR="00EF600B" w:rsidRPr="00EA78B9">
        <w:t xml:space="preserve">”. </w:t>
      </w:r>
    </w:p>
    <w:p w14:paraId="4E3A7AF9" w14:textId="7A1DF16D" w:rsidR="00842A42" w:rsidRPr="00EA78B9" w:rsidRDefault="00842A42" w:rsidP="00963F77">
      <w:pPr>
        <w:shd w:val="clear" w:color="auto" w:fill="FFFFFF"/>
        <w:spacing w:line="276" w:lineRule="auto"/>
        <w:ind w:right="5" w:firstLine="720"/>
        <w:jc w:val="both"/>
      </w:pPr>
      <w:r w:rsidRPr="00EA78B9">
        <w:t>Apelācijas instances tiesa konstatējusi, ka lie</w:t>
      </w:r>
      <w:r w:rsidR="006B6A75">
        <w:t>t</w:t>
      </w:r>
      <w:r w:rsidRPr="00EA78B9">
        <w:t>ā ir apstrīdēts, vai dokumentos, tajā skaitā pavadzīmēs–rēķinos, norādītie un VID deklarētie darījumi starp SIA „</w:t>
      </w:r>
      <w:r w:rsidR="001612FF">
        <w:t>[Nosaukums B]</w:t>
      </w:r>
      <w:r w:rsidRPr="00EA78B9">
        <w:t>” un SIA „</w:t>
      </w:r>
      <w:r w:rsidR="001612FF">
        <w:t>[Nosaukums A]</w:t>
      </w:r>
      <w:r w:rsidRPr="00EA78B9">
        <w:t xml:space="preserve">” </w:t>
      </w:r>
      <w:r w:rsidR="000F6269">
        <w:t>par 251 833,</w:t>
      </w:r>
      <w:r w:rsidR="003E6F90" w:rsidRPr="00EA78B9">
        <w:t>41 </w:t>
      </w:r>
      <w:r w:rsidR="009C18B0" w:rsidRPr="00EA78B9">
        <w:rPr>
          <w:i/>
        </w:rPr>
        <w:t>lati</w:t>
      </w:r>
      <w:r w:rsidR="000F6269">
        <w:rPr>
          <w:i/>
        </w:rPr>
        <w:t>em</w:t>
      </w:r>
      <w:r w:rsidR="003E6F90" w:rsidRPr="00EA78B9">
        <w:t xml:space="preserve"> jeb 358 326,67 </w:t>
      </w:r>
      <w:r w:rsidR="003E6F90" w:rsidRPr="00EA78B9">
        <w:rPr>
          <w:i/>
        </w:rPr>
        <w:t>euro</w:t>
      </w:r>
      <w:r w:rsidR="00C11C3E">
        <w:t xml:space="preserve"> faktiski bija notikuši,</w:t>
      </w:r>
      <w:r w:rsidR="003E6F90" w:rsidRPr="00EA78B9">
        <w:t xml:space="preserve"> vai likumīgi tika izmantotas SIA „</w:t>
      </w:r>
      <w:r w:rsidR="001612FF">
        <w:t>[Nosaukums B]</w:t>
      </w:r>
      <w:r w:rsidR="003E6F90" w:rsidRPr="00EA78B9">
        <w:t>” tiesības uz PVN priekšnodokļa 52 884,97 </w:t>
      </w:r>
      <w:r w:rsidR="009C18B0" w:rsidRPr="00EA78B9">
        <w:rPr>
          <w:i/>
        </w:rPr>
        <w:t>lat</w:t>
      </w:r>
      <w:r w:rsidR="000F6269">
        <w:rPr>
          <w:i/>
        </w:rPr>
        <w:t>u</w:t>
      </w:r>
      <w:r w:rsidR="003E6F90" w:rsidRPr="00EA78B9">
        <w:t xml:space="preserve"> jeb 75 248,53 </w:t>
      </w:r>
      <w:r w:rsidR="003E6F90" w:rsidRPr="00EA78B9">
        <w:rPr>
          <w:i/>
        </w:rPr>
        <w:t>euro</w:t>
      </w:r>
      <w:r w:rsidR="003E6F90" w:rsidRPr="00EA78B9">
        <w:t xml:space="preserve"> atskaitīšanu par šiem darījumiem. Apstrīdēts arī tas, vai </w:t>
      </w:r>
      <w:r w:rsidR="001612FF">
        <w:t>[pers. A]</w:t>
      </w:r>
      <w:r w:rsidR="003E6F90" w:rsidRPr="00EA78B9">
        <w:t xml:space="preserve"> pamatoti pārskaitīj</w:t>
      </w:r>
      <w:r w:rsidR="004135A4">
        <w:t>usi</w:t>
      </w:r>
      <w:r w:rsidR="003E6F90" w:rsidRPr="00EA78B9">
        <w:t xml:space="preserve"> no SIA „</w:t>
      </w:r>
      <w:r w:rsidR="001612FF">
        <w:t>[Nosaukums B]</w:t>
      </w:r>
      <w:r w:rsidR="003E6F90" w:rsidRPr="00EA78B9">
        <w:t>” norēķinu konta uz SIA „</w:t>
      </w:r>
      <w:r w:rsidR="001612FF">
        <w:t>[Nosaukums A]</w:t>
      </w:r>
      <w:r w:rsidR="009C18B0" w:rsidRPr="00EA78B9">
        <w:t>” norēķinu kontu 323 862,45 </w:t>
      </w:r>
      <w:r w:rsidR="009C18B0" w:rsidRPr="00EA78B9">
        <w:rPr>
          <w:i/>
        </w:rPr>
        <w:t>lat</w:t>
      </w:r>
      <w:r w:rsidR="000F6269">
        <w:rPr>
          <w:i/>
        </w:rPr>
        <w:t>us</w:t>
      </w:r>
      <w:r w:rsidR="003E6F90" w:rsidRPr="00EA78B9">
        <w:t xml:space="preserve"> jeb 460 814,75 </w:t>
      </w:r>
      <w:r w:rsidR="003E6F90" w:rsidRPr="00EA78B9">
        <w:rPr>
          <w:i/>
        </w:rPr>
        <w:t>euro</w:t>
      </w:r>
      <w:r w:rsidR="003E6F90" w:rsidRPr="00EA78B9">
        <w:t>, vai šie pārskaitījumi un turpmākā finanšu līdzekļu plūsma netika veikta nolūkā legalizēt noziedzīg</w:t>
      </w:r>
      <w:r w:rsidR="004135A4">
        <w:t>i</w:t>
      </w:r>
      <w:r w:rsidR="003E6F90" w:rsidRPr="00EA78B9">
        <w:t xml:space="preserve"> iegūtos SIA „</w:t>
      </w:r>
      <w:r w:rsidR="001612FF">
        <w:t>[Nosaukums B]</w:t>
      </w:r>
      <w:r w:rsidR="003E6F90" w:rsidRPr="00EA78B9">
        <w:t>” norēķinu kontā esošos naudas līdzekļus valstij nesamaksātā</w:t>
      </w:r>
      <w:r w:rsidR="009C18B0" w:rsidRPr="00EA78B9">
        <w:t xml:space="preserve"> PVN 50 238,96 </w:t>
      </w:r>
      <w:r w:rsidR="009C18B0" w:rsidRPr="00EA78B9">
        <w:rPr>
          <w:i/>
        </w:rPr>
        <w:t>lat</w:t>
      </w:r>
      <w:r w:rsidR="000F6269">
        <w:rPr>
          <w:i/>
        </w:rPr>
        <w:t>u</w:t>
      </w:r>
      <w:r w:rsidR="003E6F90" w:rsidRPr="00EA78B9">
        <w:t xml:space="preserve"> </w:t>
      </w:r>
      <w:r w:rsidR="00D7369D" w:rsidRPr="00EA78B9">
        <w:t>jeb 71 567,76 </w:t>
      </w:r>
      <w:r w:rsidR="00D7369D" w:rsidRPr="00EA78B9">
        <w:rPr>
          <w:i/>
        </w:rPr>
        <w:t>euro</w:t>
      </w:r>
      <w:r w:rsidR="000F6269">
        <w:rPr>
          <w:i/>
        </w:rPr>
        <w:t xml:space="preserve"> </w:t>
      </w:r>
      <w:r w:rsidR="000F6269" w:rsidRPr="000F6269">
        <w:t>apmērā</w:t>
      </w:r>
      <w:r w:rsidR="00D7369D" w:rsidRPr="000F6269">
        <w:t>.</w:t>
      </w:r>
      <w:r w:rsidR="00D7369D" w:rsidRPr="00EA78B9">
        <w:t xml:space="preserve"> </w:t>
      </w:r>
    </w:p>
    <w:p w14:paraId="348C8729" w14:textId="710EAF26" w:rsidR="00D7369D" w:rsidRPr="00EA78B9" w:rsidRDefault="00D7369D" w:rsidP="00277AFB">
      <w:pPr>
        <w:shd w:val="clear" w:color="auto" w:fill="FFFFFF"/>
        <w:spacing w:line="276" w:lineRule="auto"/>
        <w:ind w:right="5" w:firstLine="720"/>
        <w:jc w:val="both"/>
      </w:pPr>
      <w:r w:rsidRPr="00EA78B9">
        <w:t>Apelācijas instances tiesa atzinusi, ka pirmās instances tiesa, novēršot saprāt</w:t>
      </w:r>
      <w:r w:rsidR="00C11C3E">
        <w:t>īgas šaubas, pamatoti konstatējusi</w:t>
      </w:r>
      <w:r w:rsidRPr="00EA78B9">
        <w:t>, ka SIA „</w:t>
      </w:r>
      <w:r w:rsidR="001612FF">
        <w:t>[Nosaukums A]</w:t>
      </w:r>
      <w:r w:rsidRPr="00EA78B9">
        <w:t>” no 2009.gada oktobra līdz 2010.gada  septembrim nerealizēja SIA „</w:t>
      </w:r>
      <w:r w:rsidR="001612FF">
        <w:t>[Nosaukums B]</w:t>
      </w:r>
      <w:r w:rsidRPr="00EA78B9">
        <w:t>” pavadzīm</w:t>
      </w:r>
      <w:r w:rsidR="00243CAC">
        <w:t>ē</w:t>
      </w:r>
      <w:r w:rsidRPr="00EA78B9">
        <w:t>s norādīto preci, tas ir, zivis. Darījumi starp SIA „</w:t>
      </w:r>
      <w:r w:rsidR="001612FF">
        <w:t>[Nosaukums B]</w:t>
      </w:r>
      <w:r w:rsidRPr="00EA78B9">
        <w:t>” un SIA „</w:t>
      </w:r>
      <w:r w:rsidR="001612FF">
        <w:t>[Nosaukums A]</w:t>
      </w:r>
      <w:r w:rsidRPr="00EA78B9">
        <w:t xml:space="preserve">” tika noformēti tikai </w:t>
      </w:r>
      <w:r w:rsidRPr="00EA78B9">
        <w:lastRenderedPageBreak/>
        <w:t>dokumentāli un faktiski dokumentos norādītie un VID deklarētie darījumi, kuru vērtība</w:t>
      </w:r>
      <w:r w:rsidR="00243CAC">
        <w:t xml:space="preserve"> bija</w:t>
      </w:r>
      <w:r w:rsidRPr="00EA78B9">
        <w:t xml:space="preserve"> 251 833,41 </w:t>
      </w:r>
      <w:r w:rsidR="009C18B0" w:rsidRPr="00EA78B9">
        <w:rPr>
          <w:i/>
        </w:rPr>
        <w:t>lati</w:t>
      </w:r>
      <w:r w:rsidRPr="00EA78B9">
        <w:t xml:space="preserve"> jeb 358 326,67 </w:t>
      </w:r>
      <w:r w:rsidRPr="00EA78B9">
        <w:rPr>
          <w:i/>
        </w:rPr>
        <w:t>euro</w:t>
      </w:r>
      <w:r w:rsidRPr="00EA78B9">
        <w:t xml:space="preserve">, PVN </w:t>
      </w:r>
      <w:r w:rsidR="00C11C3E">
        <w:t xml:space="preserve">– </w:t>
      </w:r>
      <w:r w:rsidRPr="00EA78B9">
        <w:t>52 884,97 </w:t>
      </w:r>
      <w:r w:rsidR="009C18B0" w:rsidRPr="00EA78B9">
        <w:rPr>
          <w:i/>
        </w:rPr>
        <w:t>lati</w:t>
      </w:r>
      <w:r w:rsidRPr="00EA78B9">
        <w:t xml:space="preserve"> jeb 75 248,53 </w:t>
      </w:r>
      <w:r w:rsidRPr="00EA78B9">
        <w:rPr>
          <w:i/>
        </w:rPr>
        <w:t>euro</w:t>
      </w:r>
      <w:r w:rsidRPr="00EA78B9">
        <w:t xml:space="preserve">, netika veikti. </w:t>
      </w:r>
    </w:p>
    <w:p w14:paraId="0E2A0E88" w14:textId="32A782D0" w:rsidR="00B55ECC" w:rsidRDefault="00BB452F" w:rsidP="00B55ECC">
      <w:pPr>
        <w:shd w:val="clear" w:color="auto" w:fill="FFFFFF"/>
        <w:spacing w:line="276" w:lineRule="auto"/>
        <w:ind w:right="5" w:firstLine="720"/>
        <w:jc w:val="both"/>
      </w:pPr>
      <w:r w:rsidRPr="00EA78B9">
        <w:t xml:space="preserve">Tiesa izvērtējusi </w:t>
      </w:r>
      <w:r w:rsidR="00FC54B3">
        <w:t xml:space="preserve">un </w:t>
      </w:r>
      <w:r w:rsidR="00277AFB">
        <w:t xml:space="preserve">argumentēti </w:t>
      </w:r>
      <w:r w:rsidR="00FC54B3">
        <w:t xml:space="preserve">noraidījusi </w:t>
      </w:r>
      <w:r w:rsidRPr="00EA78B9">
        <w:t xml:space="preserve">aizstāves </w:t>
      </w:r>
      <w:r w:rsidR="00FC54B3">
        <w:t>iebildumu</w:t>
      </w:r>
      <w:r w:rsidRPr="00EA78B9">
        <w:t xml:space="preserve">, ka nav saprotams, kā VID </w:t>
      </w:r>
      <w:r w:rsidR="00D8438E">
        <w:t>secinājis</w:t>
      </w:r>
      <w:r w:rsidRPr="00EA78B9">
        <w:t>, ka SIA „</w:t>
      </w:r>
      <w:r w:rsidR="001612FF">
        <w:t>[Nosaukums A]</w:t>
      </w:r>
      <w:r w:rsidRPr="00EA78B9">
        <w:t>” ir fiktīvs uzņēmums.</w:t>
      </w:r>
    </w:p>
    <w:p w14:paraId="7E7C3AB0" w14:textId="70293157" w:rsidR="00842A42" w:rsidRPr="00EA78B9" w:rsidRDefault="00B55ECC" w:rsidP="00FC54B3">
      <w:pPr>
        <w:shd w:val="clear" w:color="auto" w:fill="FFFFFF"/>
        <w:spacing w:line="276" w:lineRule="auto"/>
        <w:ind w:right="5" w:firstLine="720"/>
        <w:jc w:val="both"/>
      </w:pPr>
      <w:r w:rsidRPr="00EA78B9">
        <w:t xml:space="preserve">Apelācijas instances tiesa nopratinājusi lieciniekus </w:t>
      </w:r>
      <w:r w:rsidR="001612FF">
        <w:t>[pers. C]</w:t>
      </w:r>
      <w:r w:rsidRPr="00EA78B9">
        <w:t xml:space="preserve"> un </w:t>
      </w:r>
      <w:r w:rsidR="001612FF">
        <w:t>[pers. B]</w:t>
      </w:r>
      <w:r w:rsidRPr="00EA78B9">
        <w:t xml:space="preserve"> un vērtējusi viņu liecības to kopumā un savstarpējā sakarībā ar pārējiem pierādījumiem.</w:t>
      </w:r>
      <w:r w:rsidR="00BB452F" w:rsidRPr="00EA78B9">
        <w:t xml:space="preserve"> </w:t>
      </w:r>
    </w:p>
    <w:p w14:paraId="7EE4767B" w14:textId="3CD38937" w:rsidR="00BB452F" w:rsidRPr="00EA78B9" w:rsidRDefault="008B2B9D" w:rsidP="00963F77">
      <w:pPr>
        <w:shd w:val="clear" w:color="auto" w:fill="FFFFFF"/>
        <w:spacing w:line="276" w:lineRule="auto"/>
        <w:ind w:right="5" w:firstLine="720"/>
        <w:jc w:val="both"/>
      </w:pPr>
      <w:r w:rsidRPr="00EA78B9">
        <w:t xml:space="preserve">Liecinieks </w:t>
      </w:r>
      <w:r w:rsidR="001612FF">
        <w:t>[pers. C]</w:t>
      </w:r>
      <w:r w:rsidRPr="00EA78B9">
        <w:t xml:space="preserve"> pirmstiesas kriminālprocesā un tiesā konsekventi liecināja, ka par SIA „</w:t>
      </w:r>
      <w:r w:rsidR="001612FF">
        <w:t>[Nosaukums A]</w:t>
      </w:r>
      <w:r w:rsidRPr="00EA78B9">
        <w:t xml:space="preserve">” valdes locekli viņš kļuva pēc </w:t>
      </w:r>
      <w:r w:rsidR="001612FF">
        <w:t>[pers. D]</w:t>
      </w:r>
      <w:r w:rsidRPr="00EA78B9">
        <w:t xml:space="preserve"> piedāvājuma. Visus SIA „</w:t>
      </w:r>
      <w:r w:rsidR="001612FF">
        <w:t>[Nosaukums A]</w:t>
      </w:r>
      <w:r w:rsidRPr="00EA78B9">
        <w:t>” dokumentus, tajā skaitā norēķinu konta at</w:t>
      </w:r>
      <w:r w:rsidR="001F1E1B">
        <w:t>vēršanas dokumentus, viņš atdevis</w:t>
      </w:r>
      <w:r w:rsidRPr="00EA78B9">
        <w:t xml:space="preserve"> </w:t>
      </w:r>
      <w:r w:rsidR="001612FF">
        <w:t>[pers. D]</w:t>
      </w:r>
      <w:r w:rsidRPr="00EA78B9">
        <w:t>, SIA „</w:t>
      </w:r>
      <w:r w:rsidR="001612FF">
        <w:t>[Nosaukums A]</w:t>
      </w:r>
      <w:r w:rsidRPr="00EA78B9">
        <w:t xml:space="preserve">” vārdā finansiāli saimniecisko darbību nav veicis, darījumus nav slēdzis, darījumu dokumentus nav parakstījis, </w:t>
      </w:r>
      <w:r w:rsidR="006B6A75">
        <w:t xml:space="preserve">nav parakstījis </w:t>
      </w:r>
      <w:r w:rsidRPr="00EA78B9">
        <w:t>2008.gada 1.decembra preces pirkuma līgumu starp SIA „</w:t>
      </w:r>
      <w:r w:rsidR="001612FF">
        <w:t>[Nosaukums A]</w:t>
      </w:r>
      <w:r w:rsidRPr="00EA78B9">
        <w:t>” un SIA „</w:t>
      </w:r>
      <w:r w:rsidR="001612FF">
        <w:t>[Nosaukums B]</w:t>
      </w:r>
      <w:r w:rsidRPr="00EA78B9">
        <w:t xml:space="preserve">”, kā arī preču pavadzīmes. Nav veicis darījumus </w:t>
      </w:r>
      <w:r w:rsidR="008134BB">
        <w:t xml:space="preserve">un </w:t>
      </w:r>
      <w:r w:rsidRPr="00EA78B9">
        <w:t>nav piegādājis zivis SIA „</w:t>
      </w:r>
      <w:r w:rsidR="001612FF">
        <w:t>[Nosaukums B]</w:t>
      </w:r>
      <w:r w:rsidRPr="00EA78B9">
        <w:t>”</w:t>
      </w:r>
      <w:r w:rsidR="008134BB">
        <w:t>. N</w:t>
      </w:r>
      <w:r w:rsidRPr="00EA78B9">
        <w:t>av sagatavojis SIA „</w:t>
      </w:r>
      <w:r w:rsidR="001612FF">
        <w:t>[Nosaukums A]</w:t>
      </w:r>
      <w:r w:rsidRPr="00EA78B9">
        <w:t xml:space="preserve">” PVN deklarācijas, atskaites un ziņojumus VID elektroniskajā deklarēšanas sistēmā, nav lietojis elektronisko parakstu, kā arī nav izmantojis zīmogu. Viņš nav bijis </w:t>
      </w:r>
      <w:r w:rsidR="00257CDF">
        <w:t xml:space="preserve">Igaunijas </w:t>
      </w:r>
      <w:r w:rsidRPr="00EA78B9">
        <w:t>uzņēmumā OÜ „</w:t>
      </w:r>
      <w:r w:rsidR="001612FF">
        <w:t>[Nosaukums C]</w:t>
      </w:r>
      <w:r w:rsidRPr="00EA78B9">
        <w:t xml:space="preserve">”, nepazīst uzņēmuma direktoru. </w:t>
      </w:r>
    </w:p>
    <w:p w14:paraId="1DA25954" w14:textId="5BA501E1" w:rsidR="008B2B9D" w:rsidRPr="00EA78B9" w:rsidRDefault="00722659" w:rsidP="00963F77">
      <w:pPr>
        <w:shd w:val="clear" w:color="auto" w:fill="FFFFFF"/>
        <w:spacing w:line="276" w:lineRule="auto"/>
        <w:ind w:right="5" w:firstLine="720"/>
        <w:jc w:val="both"/>
      </w:pPr>
      <w:r w:rsidRPr="00EA78B9">
        <w:t xml:space="preserve">Liecinieks </w:t>
      </w:r>
      <w:r w:rsidR="001612FF">
        <w:t>[pers. D]</w:t>
      </w:r>
      <w:r w:rsidRPr="00EA78B9">
        <w:t xml:space="preserve"> pirmstiesas kriminālprocesā norādīja, ka pēc paziņas – </w:t>
      </w:r>
      <w:r w:rsidR="004C072C">
        <w:t xml:space="preserve">personas </w:t>
      </w:r>
      <w:r w:rsidRPr="00EA78B9">
        <w:t xml:space="preserve">vārdā </w:t>
      </w:r>
      <w:r w:rsidR="001612FF">
        <w:t>[pers. E]</w:t>
      </w:r>
      <w:r w:rsidRPr="00EA78B9">
        <w:t xml:space="preserve"> – ieteikuma viņš piedāvāja </w:t>
      </w:r>
      <w:r w:rsidR="001612FF">
        <w:t>[pers. C]</w:t>
      </w:r>
      <w:r w:rsidRPr="00EA78B9">
        <w:t xml:space="preserve"> kļūt par SIA „</w:t>
      </w:r>
      <w:r w:rsidR="001612FF">
        <w:t>[Nosaukums A]</w:t>
      </w:r>
      <w:r w:rsidRPr="00EA78B9">
        <w:t>” amatpersonu</w:t>
      </w:r>
      <w:r w:rsidR="001F1E1B">
        <w:t>, saņemot</w:t>
      </w:r>
      <w:r w:rsidRPr="00EA78B9">
        <w:t xml:space="preserve"> materiālu atlīdzību. Pēc tam </w:t>
      </w:r>
      <w:r w:rsidR="00227A01">
        <w:t>viņa vārdā</w:t>
      </w:r>
      <w:r w:rsidRPr="00EA78B9">
        <w:t xml:space="preserve"> tika noformēta universālpilnvara, kuru viņš atdeva </w:t>
      </w:r>
      <w:r w:rsidR="001612FF">
        <w:t>[pers. E]</w:t>
      </w:r>
      <w:r w:rsidR="00982E2F" w:rsidRPr="00EA78B9">
        <w:t>. Atdeva minētajai personai visus SIA „</w:t>
      </w:r>
      <w:r w:rsidR="001612FF">
        <w:t>[Nosaukums A]</w:t>
      </w:r>
      <w:r w:rsidR="00982E2F" w:rsidRPr="00EA78B9">
        <w:t>” konta atvēršanas dokumentus</w:t>
      </w:r>
      <w:r w:rsidR="001F1E1B">
        <w:t xml:space="preserve"> un</w:t>
      </w:r>
      <w:r w:rsidR="00982E2F" w:rsidRPr="00EA78B9">
        <w:t xml:space="preserve"> kodu kalkulatoru. SIA „</w:t>
      </w:r>
      <w:r w:rsidR="001612FF">
        <w:t>[Nosaukums A]</w:t>
      </w:r>
      <w:r w:rsidR="00982E2F" w:rsidRPr="00EA78B9">
        <w:t>” vārdā finansiāli saimniecisko darbību nav veicis, darījumus nav slēdzis. Nav ticies ar SIA „</w:t>
      </w:r>
      <w:r w:rsidR="001612FF">
        <w:t>[Nosaukums A]</w:t>
      </w:r>
      <w:r w:rsidR="00982E2F" w:rsidRPr="00EA78B9">
        <w:t xml:space="preserve">” darījumu partneriem. Pēc </w:t>
      </w:r>
      <w:r w:rsidR="001612FF">
        <w:t>[pers. E]</w:t>
      </w:r>
      <w:r w:rsidR="00982E2F" w:rsidRPr="00EA78B9">
        <w:t xml:space="preserve"> norādījuma viņš parakstīja dokumentus, tajā skaitā tos, kuros bija norādīts OÜ „</w:t>
      </w:r>
      <w:r w:rsidR="001612FF">
        <w:t>[Nosaukums C]</w:t>
      </w:r>
      <w:r w:rsidR="00982E2F" w:rsidRPr="00EA78B9">
        <w:t xml:space="preserve">”. Kopā ar </w:t>
      </w:r>
      <w:r w:rsidR="001612FF">
        <w:t xml:space="preserve">[pers. E] </w:t>
      </w:r>
      <w:r w:rsidR="00982E2F" w:rsidRPr="00EA78B9">
        <w:t>brauca uz Igauniju, kur parakstīja sk</w:t>
      </w:r>
      <w:r w:rsidR="005A3AB4">
        <w:t>aidras naudas izmaksas orderus.</w:t>
      </w:r>
    </w:p>
    <w:p w14:paraId="78499CBE" w14:textId="5D7A1C93" w:rsidR="00982E2F" w:rsidRPr="00EA78B9" w:rsidRDefault="00982E2F" w:rsidP="00963F77">
      <w:pPr>
        <w:shd w:val="clear" w:color="auto" w:fill="FFFFFF"/>
        <w:spacing w:line="276" w:lineRule="auto"/>
        <w:ind w:right="5" w:firstLine="720"/>
        <w:jc w:val="both"/>
      </w:pPr>
      <w:r w:rsidRPr="00EA78B9">
        <w:t xml:space="preserve">Tiesa vērtējusi liecinieku </w:t>
      </w:r>
      <w:r w:rsidR="001612FF">
        <w:t>[pers. F]</w:t>
      </w:r>
      <w:r w:rsidRPr="00EA78B9">
        <w:t xml:space="preserve">, </w:t>
      </w:r>
      <w:r w:rsidR="00AE0D68">
        <w:t>[pers. G]</w:t>
      </w:r>
      <w:r w:rsidRPr="00EA78B9">
        <w:t xml:space="preserve">, </w:t>
      </w:r>
      <w:r w:rsidR="00AE0D68">
        <w:t>[pers. H]</w:t>
      </w:r>
      <w:r w:rsidRPr="00EA78B9">
        <w:t xml:space="preserve">, </w:t>
      </w:r>
      <w:r w:rsidR="00AE0D68">
        <w:t>[pers. I]</w:t>
      </w:r>
      <w:r w:rsidRPr="00EA78B9">
        <w:t xml:space="preserve"> un </w:t>
      </w:r>
      <w:r w:rsidR="00AE0D68">
        <w:t>[pers. J]</w:t>
      </w:r>
      <w:r w:rsidRPr="00EA78B9">
        <w:t xml:space="preserve"> liecības un atzinusi, ka tās apstiprina, ka SIA „</w:t>
      </w:r>
      <w:r w:rsidR="00AE0D68">
        <w:t>[Nosaukums A]</w:t>
      </w:r>
      <w:r w:rsidRPr="00EA78B9">
        <w:t xml:space="preserve">” PVN deklarācijās sniegusi VID nepatiesu informāciju par </w:t>
      </w:r>
      <w:r w:rsidR="00F15978" w:rsidRPr="00EA78B9">
        <w:t xml:space="preserve">priekšnodokļa </w:t>
      </w:r>
      <w:r w:rsidRPr="00EA78B9">
        <w:t>darījumiem.</w:t>
      </w:r>
    </w:p>
    <w:p w14:paraId="3B0F0BD3" w14:textId="21114444" w:rsidR="00D7369D" w:rsidRPr="00EA78B9" w:rsidRDefault="00F15978" w:rsidP="00963F77">
      <w:pPr>
        <w:shd w:val="clear" w:color="auto" w:fill="FFFFFF"/>
        <w:spacing w:line="276" w:lineRule="auto"/>
        <w:ind w:right="5" w:firstLine="720"/>
        <w:jc w:val="both"/>
      </w:pPr>
      <w:r w:rsidRPr="00EA78B9">
        <w:t>Apelācijas instances tiesa atzinusi, ka lietā ārpus saprātīgām šaubām ar kriminālprocesuāliem līdzekļiem ir pierādīts, ka apsūdzībā norādītie SIA „</w:t>
      </w:r>
      <w:r w:rsidR="00AE0D68">
        <w:t>[Nosaukums B]</w:t>
      </w:r>
      <w:r w:rsidRPr="00EA78B9">
        <w:t>” un SIA „</w:t>
      </w:r>
      <w:r w:rsidR="00AE0D68">
        <w:t>[Nosaukums A]</w:t>
      </w:r>
      <w:r w:rsidRPr="00EA78B9">
        <w:t xml:space="preserve">” darījumi, kurus </w:t>
      </w:r>
      <w:r w:rsidR="00AE0D68">
        <w:t>[pers. A]</w:t>
      </w:r>
      <w:r w:rsidRPr="00EA78B9">
        <w:t xml:space="preserve"> </w:t>
      </w:r>
      <w:r w:rsidR="00D85806">
        <w:t>ir deklarējusi kā reāli notikušu</w:t>
      </w:r>
      <w:r w:rsidRPr="00EA78B9">
        <w:t>s, faktiski nav notikuši. Tātad</w:t>
      </w:r>
      <w:r w:rsidR="00FD236B" w:rsidRPr="00EA78B9">
        <w:t xml:space="preserve"> </w:t>
      </w:r>
      <w:r w:rsidR="00AE0D68">
        <w:t>[pers. A]</w:t>
      </w:r>
      <w:r w:rsidR="00FD236B" w:rsidRPr="00EA78B9">
        <w:t xml:space="preserve"> tos nedrīkstēja iekļaut deklarācijās un deklarēt VID kā notikušus. </w:t>
      </w:r>
    </w:p>
    <w:p w14:paraId="4B457F95" w14:textId="77777777" w:rsidR="00FC54B3" w:rsidRPr="00EA78B9" w:rsidRDefault="00FD236B" w:rsidP="00277AFB">
      <w:pPr>
        <w:shd w:val="clear" w:color="auto" w:fill="FFFFFF"/>
        <w:spacing w:line="276" w:lineRule="auto"/>
        <w:ind w:right="5" w:firstLine="720"/>
        <w:jc w:val="both"/>
      </w:pPr>
      <w:r w:rsidRPr="00EA78B9">
        <w:t>Tiesa pamatoti atsaukusies uz Eiropas Savienības Tiesas spriedumā i</w:t>
      </w:r>
      <w:r w:rsidR="001F1E1B">
        <w:t>zteikto atziņu, ka gadījumā, ja</w:t>
      </w:r>
      <w:r w:rsidRPr="00EA78B9">
        <w:t xml:space="preserve"> preces vai pakalpojuma iegādes darījums ir fiktīvs, tam nevar būt nekādas saiknes ar nodokļu maksātāja darījumiem, kas ar nodokli tiek aplikti vēlāk. Līdz ar to, ja preču piegāde vai pakalpojumu sniegšana faktiski nav notikusi, nevar rasties nekādas tiesības uz nodokļa atskaitīšanu (</w:t>
      </w:r>
      <w:r w:rsidRPr="00EA78B9">
        <w:rPr>
          <w:i/>
        </w:rPr>
        <w:t>Eiropas Savienības Tiesas 2018.gada 27.jūnija sprieduma lietā „SGI un Valériane” Nr. C-459/17 un C-460/17 (ECLI:EU:C:2018:501) 36.punkts</w:t>
      </w:r>
      <w:r w:rsidRPr="00EA78B9">
        <w:t>)</w:t>
      </w:r>
      <w:r w:rsidR="002B4664" w:rsidRPr="00EA78B9">
        <w:t>.</w:t>
      </w:r>
    </w:p>
    <w:p w14:paraId="443C607A" w14:textId="0A202302" w:rsidR="00FC54B3" w:rsidRDefault="00963F77" w:rsidP="00735A5F">
      <w:pPr>
        <w:shd w:val="clear" w:color="auto" w:fill="FFFFFF"/>
        <w:spacing w:line="276" w:lineRule="auto"/>
        <w:ind w:right="5" w:firstLine="720"/>
        <w:jc w:val="both"/>
      </w:pPr>
      <w:r w:rsidRPr="00EA78B9">
        <w:t>Apelācijas instances tiesa konstatējusi arī to, ka Krimināllikuma 218.panta otrajā daļā paredzētai</w:t>
      </w:r>
      <w:r w:rsidR="002B4664" w:rsidRPr="00EA78B9">
        <w:t xml:space="preserve">s </w:t>
      </w:r>
      <w:r w:rsidR="00AE0D68">
        <w:t>[pers. A]</w:t>
      </w:r>
      <w:r w:rsidRPr="00EA78B9">
        <w:t xml:space="preserve"> inkriminētais noziedzīgais nodarījums ir pabeigts.</w:t>
      </w:r>
      <w:r w:rsidR="00FC54B3" w:rsidRPr="00FC54B3">
        <w:t xml:space="preserve"> </w:t>
      </w:r>
    </w:p>
    <w:p w14:paraId="5B4E10FE" w14:textId="419B4AF8" w:rsidR="00D85806" w:rsidRDefault="00FC54B3" w:rsidP="00D85806">
      <w:pPr>
        <w:shd w:val="clear" w:color="auto" w:fill="FFFFFF"/>
        <w:spacing w:line="276" w:lineRule="auto"/>
        <w:ind w:right="5" w:firstLine="720"/>
        <w:jc w:val="both"/>
      </w:pPr>
      <w:r>
        <w:t>[9.2.4] Apelācijas instances t</w:t>
      </w:r>
      <w:r w:rsidRPr="00EA78B9">
        <w:t xml:space="preserve">iesa atzinusi, ka tieši </w:t>
      </w:r>
      <w:r w:rsidR="00AE0D68">
        <w:t>[pers. A]</w:t>
      </w:r>
      <w:r w:rsidRPr="00EA78B9">
        <w:t xml:space="preserve"> nodrošināja naudas līdzekļu plūsmu SIA „</w:t>
      </w:r>
      <w:r w:rsidR="00AE0D68">
        <w:t>[Nosaukums B]</w:t>
      </w:r>
      <w:r w:rsidRPr="00EA78B9">
        <w:t>” un SIA „</w:t>
      </w:r>
      <w:r w:rsidR="00AE0D68">
        <w:t>[Nosaukums A]</w:t>
      </w:r>
      <w:r w:rsidRPr="00EA78B9">
        <w:t xml:space="preserve">” norēķinu kontos, kā arī nodrošināja šo uzņēmumu grāmatvedības kārtošanu. </w:t>
      </w:r>
    </w:p>
    <w:p w14:paraId="5CEED6F5" w14:textId="77777777" w:rsidR="002B4664" w:rsidRPr="00EA78B9" w:rsidRDefault="00963F77" w:rsidP="00D85806">
      <w:pPr>
        <w:shd w:val="clear" w:color="auto" w:fill="FFFFFF"/>
        <w:spacing w:line="276" w:lineRule="auto"/>
        <w:ind w:right="5" w:firstLine="720"/>
        <w:jc w:val="both"/>
      </w:pPr>
      <w:r w:rsidRPr="00EA78B9">
        <w:lastRenderedPageBreak/>
        <w:t xml:space="preserve">Tiesa izvērtējusi ziņas par faktiem, kas liecina par konkrētu </w:t>
      </w:r>
      <w:r w:rsidR="002B2085">
        <w:t>IP</w:t>
      </w:r>
      <w:r w:rsidRPr="00EA78B9">
        <w:t xml:space="preserve"> adrešu izmantošanu naudas pārskaitī</w:t>
      </w:r>
      <w:r w:rsidR="002B4664" w:rsidRPr="00EA78B9">
        <w:t>jumu un citu darbību veikšanai.</w:t>
      </w:r>
    </w:p>
    <w:p w14:paraId="51B96A6A" w14:textId="487A1296" w:rsidR="002B4664" w:rsidRPr="00EA78B9" w:rsidRDefault="009C18B0" w:rsidP="002B4664">
      <w:pPr>
        <w:shd w:val="clear" w:color="auto" w:fill="FFFFFF"/>
        <w:spacing w:line="276" w:lineRule="auto"/>
        <w:ind w:right="5" w:firstLine="720"/>
        <w:jc w:val="both"/>
      </w:pPr>
      <w:r w:rsidRPr="00EA78B9">
        <w:t>Apelācijas instances tiesa atzinusi, ka pretēji aizstāves noradī</w:t>
      </w:r>
      <w:r w:rsidR="00277AFB">
        <w:t xml:space="preserve">tajam </w:t>
      </w:r>
      <w:r w:rsidRPr="00EA78B9">
        <w:t>lietā ir noskaidrots, no kurām personām piederošām un kur reģistrētām IP adresēm tika veiktas darbības SIA „</w:t>
      </w:r>
      <w:r w:rsidR="00AE0D68">
        <w:t>[Nosaukums A]</w:t>
      </w:r>
      <w:r w:rsidRPr="00EA78B9">
        <w:t>” bankas kontā un elektroniskās deklarēšanas sistēmā.</w:t>
      </w:r>
      <w:r w:rsidR="00277AFB">
        <w:t xml:space="preserve"> </w:t>
      </w:r>
      <w:r w:rsidRPr="00EA78B9">
        <w:t>Daļa SIA „</w:t>
      </w:r>
      <w:r w:rsidR="00AE0D68">
        <w:t>[Nosaukums B]</w:t>
      </w:r>
      <w:r w:rsidRPr="00EA78B9">
        <w:t>” IP adrešu sakrīt ar SIA „</w:t>
      </w:r>
      <w:r w:rsidR="00AE0D68">
        <w:t>[Nosaukums A]</w:t>
      </w:r>
      <w:r w:rsidRPr="00EA78B9">
        <w:t xml:space="preserve">” izmantotajām IP adresēm. </w:t>
      </w:r>
    </w:p>
    <w:p w14:paraId="5134568C" w14:textId="7288C562" w:rsidR="009C18B0" w:rsidRPr="00EA78B9" w:rsidRDefault="00C819FF" w:rsidP="002B4664">
      <w:pPr>
        <w:shd w:val="clear" w:color="auto" w:fill="FFFFFF"/>
        <w:spacing w:line="276" w:lineRule="auto"/>
        <w:ind w:right="5" w:firstLine="720"/>
        <w:jc w:val="both"/>
      </w:pPr>
      <w:r>
        <w:t xml:space="preserve">Tiesa norādījusi, ka </w:t>
      </w:r>
      <w:r w:rsidR="009C18B0" w:rsidRPr="00EA78B9">
        <w:t>SIA „</w:t>
      </w:r>
      <w:r w:rsidR="00AE0D68">
        <w:t>[Nosaukums B]</w:t>
      </w:r>
      <w:r w:rsidR="009C18B0" w:rsidRPr="00EA78B9">
        <w:t>” un SIA „</w:t>
      </w:r>
      <w:r w:rsidR="00AE0D68">
        <w:t>[Nosaukums A]</w:t>
      </w:r>
      <w:r w:rsidR="009C18B0" w:rsidRPr="00EA78B9">
        <w:t xml:space="preserve">” norēķinu kontos veikto darījumu un internetbankā izmantoto IP adrešu </w:t>
      </w:r>
      <w:r w:rsidR="00257CDF">
        <w:t>izvērtējums</w:t>
      </w:r>
      <w:r w:rsidR="009C18B0" w:rsidRPr="00EA78B9">
        <w:t>, kā arī SIA „</w:t>
      </w:r>
      <w:r w:rsidR="00AE0D68">
        <w:t>[Nosaukums B]</w:t>
      </w:r>
      <w:r w:rsidR="009C18B0" w:rsidRPr="00EA78B9">
        <w:t>” un SIA „</w:t>
      </w:r>
      <w:r w:rsidR="00AE0D68">
        <w:t>[Nosaukums A]</w:t>
      </w:r>
      <w:r w:rsidR="009C18B0" w:rsidRPr="00EA78B9">
        <w:t xml:space="preserve">” veiktās darbības VID elektroniskās deklarēšanas sistēmā un elektroniskās deklarēšanas sistēmā izmantoto IP adrešu </w:t>
      </w:r>
      <w:r w:rsidR="00257CDF">
        <w:t xml:space="preserve">izvērtējums </w:t>
      </w:r>
      <w:r w:rsidR="009C18B0" w:rsidRPr="00EA78B9">
        <w:t>apliecina, ka naudas līdzekļu plūsmu SIA „</w:t>
      </w:r>
      <w:r w:rsidR="00AE0D68">
        <w:t>[Nosaukums B]</w:t>
      </w:r>
      <w:r w:rsidR="009C18B0" w:rsidRPr="00EA78B9">
        <w:t>” un SIA „</w:t>
      </w:r>
      <w:r w:rsidR="00AE0D68">
        <w:t>[Nosaukums A]</w:t>
      </w:r>
      <w:r w:rsidR="009C18B0" w:rsidRPr="00EA78B9">
        <w:t xml:space="preserve">” norēķinu kontos, kā arī šo uzņēmumu grāmatvedības kārtošanu nodrošināja </w:t>
      </w:r>
      <w:r w:rsidR="005A7340" w:rsidRPr="00EA78B9">
        <w:t xml:space="preserve">viena un tā pati persona. </w:t>
      </w:r>
      <w:r w:rsidR="00AE0D68">
        <w:t>[Pers. A]</w:t>
      </w:r>
      <w:r w:rsidR="005A7340" w:rsidRPr="00EA78B9">
        <w:t xml:space="preserve"> nodrošināja nepamatotus naudas pārskaitījumus no SIA „</w:t>
      </w:r>
      <w:r w:rsidR="00AE0D68">
        <w:t>[Nosaukums B]</w:t>
      </w:r>
      <w:r w:rsidR="005A7340" w:rsidRPr="00EA78B9">
        <w:t>” norēķinu konta uz SIA „</w:t>
      </w:r>
      <w:r w:rsidR="00AE0D68">
        <w:t>[Nosaukums A]</w:t>
      </w:r>
      <w:r w:rsidR="005A7340" w:rsidRPr="00EA78B9">
        <w:t>” norēķinu kontu, šie pārskaitījumi un turpmākā naudas līdzekļu plūsma no SIA „</w:t>
      </w:r>
      <w:r w:rsidR="00AE0D68">
        <w:t>[Nosaukums A]</w:t>
      </w:r>
      <w:r w:rsidR="005A7340" w:rsidRPr="00EA78B9">
        <w:t>” uz Igaunijas uzņēmumu OÜ „</w:t>
      </w:r>
      <w:r w:rsidR="00AE0D68">
        <w:t>[Nosaukums C]</w:t>
      </w:r>
      <w:r w:rsidR="005A7340" w:rsidRPr="00EA78B9">
        <w:t xml:space="preserve">” </w:t>
      </w:r>
      <w:r>
        <w:t xml:space="preserve">tika </w:t>
      </w:r>
      <w:r w:rsidR="005A7340" w:rsidRPr="00EA78B9">
        <w:t>veikta SIA „</w:t>
      </w:r>
      <w:r w:rsidR="00AE0D68">
        <w:t>[Nosaukums B]</w:t>
      </w:r>
      <w:r w:rsidR="005A7340" w:rsidRPr="00EA78B9">
        <w:t xml:space="preserve">” interesēs.  </w:t>
      </w:r>
    </w:p>
    <w:p w14:paraId="5FE9243B" w14:textId="5CF08E1B" w:rsidR="005A7340" w:rsidRPr="00EA78B9" w:rsidRDefault="005A7340" w:rsidP="00277AFB">
      <w:pPr>
        <w:shd w:val="clear" w:color="auto" w:fill="FFFFFF"/>
        <w:spacing w:line="276" w:lineRule="auto"/>
        <w:ind w:right="5" w:firstLine="720"/>
        <w:jc w:val="both"/>
      </w:pPr>
      <w:r w:rsidRPr="00EA78B9">
        <w:t xml:space="preserve">Tiesas </w:t>
      </w:r>
      <w:r w:rsidR="00C819FF">
        <w:t>norādījusi, ka</w:t>
      </w:r>
      <w:r w:rsidRPr="00EA78B9">
        <w:t xml:space="preserve"> vairākos gadījumos precizējumi SIA „</w:t>
      </w:r>
      <w:r w:rsidR="00AE0D68">
        <w:t>[Nosaukums A]</w:t>
      </w:r>
      <w:r w:rsidRPr="00EA78B9">
        <w:t>” un SIA „</w:t>
      </w:r>
      <w:r w:rsidR="00AE0D68">
        <w:t>[Nosaukums</w:t>
      </w:r>
      <w:r w:rsidR="00B24C61">
        <w:t> </w:t>
      </w:r>
      <w:bookmarkStart w:id="1" w:name="_GoBack"/>
      <w:bookmarkEnd w:id="1"/>
      <w:r w:rsidR="00AE0D68">
        <w:t>B]</w:t>
      </w:r>
      <w:r w:rsidRPr="00EA78B9">
        <w:t xml:space="preserve">” deklarācijās iesniegti vienā un tajā pašā dienā. No </w:t>
      </w:r>
      <w:r w:rsidR="00AE0D68">
        <w:t>[pers. A]</w:t>
      </w:r>
      <w:r w:rsidRPr="00EA78B9">
        <w:t xml:space="preserve"> piederošās IP adreses </w:t>
      </w:r>
      <w:r w:rsidR="00AE0D68">
        <w:t>[..]</w:t>
      </w:r>
      <w:r w:rsidRPr="00EA78B9">
        <w:t xml:space="preserve"> 2010.gad</w:t>
      </w:r>
      <w:r w:rsidR="00C819FF">
        <w:t>a</w:t>
      </w:r>
      <w:r w:rsidRPr="00EA78B9">
        <w:t xml:space="preserve"> 24.aprīlī tika labots SIA „</w:t>
      </w:r>
      <w:r w:rsidR="00AE0D68">
        <w:t>[Nosaukums A]</w:t>
      </w:r>
      <w:r w:rsidRPr="00EA78B9">
        <w:t xml:space="preserve">” gada pārskats. </w:t>
      </w:r>
      <w:r w:rsidR="00C819FF">
        <w:t>D</w:t>
      </w:r>
      <w:r w:rsidRPr="00EA78B9">
        <w:t>arbības ar SIA „</w:t>
      </w:r>
      <w:r w:rsidR="00AE0D68">
        <w:t>[Nosaukums A]</w:t>
      </w:r>
      <w:r w:rsidRPr="00EA78B9">
        <w:t xml:space="preserve">” dokumentiem elektroniskās deklarēšanas sistēmā tika veiktas, izmantojot </w:t>
      </w:r>
      <w:r w:rsidR="00AE0D68">
        <w:t>[pers. K]</w:t>
      </w:r>
      <w:r w:rsidRPr="00EA78B9">
        <w:t xml:space="preserve"> piešķirtās IP adreses. Liecinieki </w:t>
      </w:r>
      <w:r w:rsidR="00AE0D68">
        <w:t>[pers. K]</w:t>
      </w:r>
      <w:r w:rsidRPr="00EA78B9">
        <w:t xml:space="preserve"> un </w:t>
      </w:r>
      <w:r w:rsidR="00AE0D68">
        <w:t>[pers. L]</w:t>
      </w:r>
      <w:r w:rsidRPr="00EA78B9">
        <w:t xml:space="preserve"> noliedza, ka viņiem būtu kāda saistība ar SIA „</w:t>
      </w:r>
      <w:r w:rsidR="00AE0D68">
        <w:t>[Nosaukums A]</w:t>
      </w:r>
      <w:r w:rsidRPr="00EA78B9">
        <w:t xml:space="preserve">”. Vienlaikus lieciniece </w:t>
      </w:r>
      <w:r w:rsidR="00AE0D68">
        <w:t>[pers. L]</w:t>
      </w:r>
      <w:r w:rsidRPr="00EA78B9">
        <w:t xml:space="preserve"> norādīja, ka </w:t>
      </w:r>
      <w:r w:rsidR="00AE0D68">
        <w:t>[pers. A]</w:t>
      </w:r>
      <w:r w:rsidRPr="00EA78B9">
        <w:t xml:space="preserve">, pieslēdzoties elektroniskās deklarēšanās sistēmā, izmantoja viņas dzīvesvietā </w:t>
      </w:r>
      <w:r w:rsidR="002B2085">
        <w:t>esošo</w:t>
      </w:r>
      <w:r w:rsidRPr="00EA78B9">
        <w:t xml:space="preserve"> privāto datoru. </w:t>
      </w:r>
    </w:p>
    <w:p w14:paraId="0E1FD071" w14:textId="28DCE400" w:rsidR="00C819FF" w:rsidRDefault="00C819FF" w:rsidP="00C819FF">
      <w:pPr>
        <w:shd w:val="clear" w:color="auto" w:fill="FFFFFF"/>
        <w:spacing w:line="276" w:lineRule="auto"/>
        <w:ind w:right="5" w:firstLine="720"/>
        <w:jc w:val="both"/>
      </w:pPr>
      <w:r>
        <w:t>[9.2.5] Apelācijas instances tiesa</w:t>
      </w:r>
      <w:r w:rsidR="005A7340" w:rsidRPr="00EA78B9">
        <w:t xml:space="preserve"> konstatējusi, ka uz SIA „</w:t>
      </w:r>
      <w:r w:rsidR="00AE0D68">
        <w:t>[Nosaukums A]</w:t>
      </w:r>
      <w:r w:rsidR="005A7340" w:rsidRPr="00EA78B9">
        <w:t xml:space="preserve">” pavadzīmēm esošais paraksts acīmredzami atšķiras no </w:t>
      </w:r>
      <w:r w:rsidR="00AE0D68">
        <w:t>[pers. C]</w:t>
      </w:r>
      <w:r w:rsidR="005A7340" w:rsidRPr="00EA78B9">
        <w:t xml:space="preserve"> paraksta. </w:t>
      </w:r>
      <w:r>
        <w:t xml:space="preserve">Tiesa norādījusi, ka </w:t>
      </w:r>
      <w:r w:rsidR="00AE0D68">
        <w:t>[pers. A]</w:t>
      </w:r>
      <w:r w:rsidR="005A7340" w:rsidRPr="00EA78B9">
        <w:t xml:space="preserve"> nav apsūdzēta dokumentu viltošan</w:t>
      </w:r>
      <w:r w:rsidR="00647D31" w:rsidRPr="00EA78B9">
        <w:t>ā</w:t>
      </w:r>
      <w:r w:rsidR="009D19BA">
        <w:t xml:space="preserve">, tāpēc nav </w:t>
      </w:r>
      <w:r w:rsidR="00277AFB">
        <w:t>būtiski</w:t>
      </w:r>
      <w:r w:rsidR="009D19BA">
        <w:t xml:space="preserve"> šajā lietā konstatēt, kurš</w:t>
      </w:r>
      <w:r w:rsidR="009D19BA" w:rsidRPr="00EA78B9">
        <w:t xml:space="preserve"> SIA „</w:t>
      </w:r>
      <w:r w:rsidR="00AE0D68">
        <w:t>[Nosaukums A]</w:t>
      </w:r>
      <w:r w:rsidR="009D19BA" w:rsidRPr="00EA78B9">
        <w:t>” vārdā parakstīja dokumentus</w:t>
      </w:r>
      <w:r w:rsidR="00647D31" w:rsidRPr="00EA78B9">
        <w:t>.</w:t>
      </w:r>
      <w:r w:rsidRPr="00C819FF">
        <w:t xml:space="preserve"> </w:t>
      </w:r>
    </w:p>
    <w:p w14:paraId="758C2CD4" w14:textId="375EB408" w:rsidR="002B2085" w:rsidRDefault="00C819FF" w:rsidP="002B2085">
      <w:pPr>
        <w:shd w:val="clear" w:color="auto" w:fill="FFFFFF"/>
        <w:spacing w:line="276" w:lineRule="auto"/>
        <w:ind w:right="5" w:firstLine="720"/>
        <w:jc w:val="both"/>
      </w:pPr>
      <w:r w:rsidRPr="00EA78B9">
        <w:t>Tiesa pamatoti atzinusi, ka</w:t>
      </w:r>
      <w:r w:rsidRPr="00C819FF">
        <w:t xml:space="preserve"> </w:t>
      </w:r>
      <w:r w:rsidR="00AE0D68">
        <w:t>[pers. A]</w:t>
      </w:r>
      <w:r w:rsidRPr="00EA78B9">
        <w:t xml:space="preserve"> kā</w:t>
      </w:r>
      <w:r w:rsidR="00C60C44">
        <w:t xml:space="preserve"> SIA „</w:t>
      </w:r>
      <w:r w:rsidR="00AE0D68">
        <w:t>[Nosaukums B]</w:t>
      </w:r>
      <w:r w:rsidR="00C60C44">
        <w:t>” amatpersona laikā</w:t>
      </w:r>
      <w:r w:rsidRPr="00EA78B9">
        <w:t xml:space="preserve"> no 2009.gada oktobra līdz 2010.gada oktobrim vadīja SIA „</w:t>
      </w:r>
      <w:r w:rsidR="004A4864">
        <w:t>[Nosaukums B]</w:t>
      </w:r>
      <w:r w:rsidRPr="00EA78B9">
        <w:t>” finansiāli saimniecisko darbību un darījumos pārstāvēja</w:t>
      </w:r>
      <w:r w:rsidR="00277AFB">
        <w:t xml:space="preserve"> norādīto </w:t>
      </w:r>
      <w:r w:rsidR="008D2731">
        <w:t>uzņēmumu</w:t>
      </w:r>
      <w:r w:rsidR="009D19BA">
        <w:t>.</w:t>
      </w:r>
    </w:p>
    <w:p w14:paraId="1DA0C08C" w14:textId="77777777" w:rsidR="002B2085" w:rsidRDefault="00963F77" w:rsidP="002B2085">
      <w:pPr>
        <w:shd w:val="clear" w:color="auto" w:fill="FFFFFF"/>
        <w:spacing w:line="276" w:lineRule="auto"/>
        <w:ind w:right="5" w:firstLine="720"/>
        <w:jc w:val="both"/>
      </w:pPr>
      <w:r w:rsidRPr="00EA78B9">
        <w:t>Kasācijas instances tiesa</w:t>
      </w:r>
      <w:r w:rsidR="009D19BA">
        <w:t xml:space="preserve">i nav pamata apšaubīt šādu </w:t>
      </w:r>
      <w:r w:rsidRPr="00EA78B9">
        <w:t xml:space="preserve">apelācijas instances tiesas </w:t>
      </w:r>
      <w:r w:rsidR="009D19BA">
        <w:t>atziņu</w:t>
      </w:r>
      <w:r w:rsidRPr="00EA78B9">
        <w:t>.</w:t>
      </w:r>
      <w:r w:rsidR="00735A5F">
        <w:t xml:space="preserve"> Aizstāves apgalvojums par </w:t>
      </w:r>
      <w:r w:rsidR="004C072C">
        <w:t>tiesību iesniegt pierādījumus pārkāpumu apelācijas instances tiesā nav pamatots.</w:t>
      </w:r>
    </w:p>
    <w:p w14:paraId="3B077454" w14:textId="5BA82C11" w:rsidR="00647D31" w:rsidRPr="00EA78B9" w:rsidRDefault="004605CA" w:rsidP="002B2085">
      <w:pPr>
        <w:shd w:val="clear" w:color="auto" w:fill="FFFFFF"/>
        <w:spacing w:line="276" w:lineRule="auto"/>
        <w:ind w:right="5" w:firstLine="720"/>
        <w:jc w:val="both"/>
      </w:pPr>
      <w:r>
        <w:t>[9.2.6]</w:t>
      </w:r>
      <w:r w:rsidRPr="004605CA">
        <w:t xml:space="preserve"> </w:t>
      </w:r>
      <w:r>
        <w:t xml:space="preserve">Pretēji kasācijas sūdzībā norādītajam apelācijas instances tiesa </w:t>
      </w:r>
      <w:r w:rsidR="00735A5F">
        <w:t>a</w:t>
      </w:r>
      <w:r>
        <w:t>tzinusi, ka</w:t>
      </w:r>
      <w:r w:rsidRPr="00EA78B9">
        <w:t xml:space="preserve"> </w:t>
      </w:r>
      <w:r w:rsidR="004A4864">
        <w:t>[pers. A]</w:t>
      </w:r>
      <w:r w:rsidRPr="00EA78B9">
        <w:t xml:space="preserve"> noziedzīgi iegūtus līdzekļus ieguvusi, veicot predikatīvo noziedzīgo nodarījumu, kas paredzēts Krimināllikuma 218.panta otrajā daļā, tas ir, veicot izvairīšanos no nodokļu nomaksas. Proti, apsūdzībā norādītie finanšu līdzekļi tika pārskaitīti</w:t>
      </w:r>
      <w:r>
        <w:t xml:space="preserve"> </w:t>
      </w:r>
      <w:r w:rsidRPr="00EA78B9">
        <w:t>uz OÜ „</w:t>
      </w:r>
      <w:r w:rsidR="004A4864">
        <w:t>[Nosaukums C]</w:t>
      </w:r>
      <w:r w:rsidRPr="00EA78B9">
        <w:t xml:space="preserve">” norēķinu kontiem, </w:t>
      </w:r>
      <w:r>
        <w:t xml:space="preserve">no </w:t>
      </w:r>
      <w:r w:rsidRPr="00EA78B9">
        <w:t>kur</w:t>
      </w:r>
      <w:r>
        <w:t>iem</w:t>
      </w:r>
      <w:r w:rsidRPr="00EA78B9">
        <w:t xml:space="preserve"> pēc tam </w:t>
      </w:r>
      <w:r>
        <w:t xml:space="preserve">tika </w:t>
      </w:r>
      <w:r w:rsidRPr="00EA78B9">
        <w:t>izņ</w:t>
      </w:r>
      <w:r>
        <w:t>emta skaidra</w:t>
      </w:r>
      <w:r w:rsidRPr="00EA78B9">
        <w:t xml:space="preserve"> naud</w:t>
      </w:r>
      <w:r>
        <w:t>a</w:t>
      </w:r>
      <w:r w:rsidRPr="00EA78B9">
        <w:t>.</w:t>
      </w:r>
    </w:p>
    <w:p w14:paraId="2806A092" w14:textId="780AA2FC" w:rsidR="006D650C" w:rsidRDefault="009D19BA" w:rsidP="006D650C">
      <w:pPr>
        <w:shd w:val="clear" w:color="auto" w:fill="FFFFFF"/>
        <w:spacing w:line="276" w:lineRule="auto"/>
        <w:ind w:right="5" w:firstLine="720"/>
        <w:jc w:val="both"/>
      </w:pPr>
      <w:r>
        <w:t>[9.2.</w:t>
      </w:r>
      <w:r w:rsidR="004605CA">
        <w:t>7</w:t>
      </w:r>
      <w:r>
        <w:t xml:space="preserve">] </w:t>
      </w:r>
      <w:r w:rsidRPr="00EA78B9">
        <w:t xml:space="preserve">Apelācijas instances tiesa atzinusi, ka ārpus saprātīgām šaubām ir pierādīts, ka </w:t>
      </w:r>
      <w:r w:rsidR="004A4864">
        <w:t>[pers. A]</w:t>
      </w:r>
      <w:r w:rsidRPr="00EA78B9">
        <w:t xml:space="preserve">, mainīdama noziedzīgi iegūto finanšu līdzekļu valstij nesamaksātā PVN veidā atrašanās vietu, slēpdama to piederību un izcelsmi, iegūdama šos finanšu līdzekļus savā īpašumā, atbilstoši Noziedzīgi iegūtu līdzekļu legalizācijas un terorisma finansēšanas novēršanas likuma 5.panta pirmās daļas 1., 2. un 3.punktam izdarīja </w:t>
      </w:r>
      <w:r w:rsidR="00277AFB">
        <w:t xml:space="preserve">noziegumu </w:t>
      </w:r>
      <w:r w:rsidR="00FA2D02">
        <w:t>–</w:t>
      </w:r>
      <w:r w:rsidR="00277AFB">
        <w:t xml:space="preserve"> </w:t>
      </w:r>
      <w:r w:rsidRPr="00EA78B9">
        <w:t>noziedzīgi iegūtu finanšu līdzekļu legalizēšanu.</w:t>
      </w:r>
      <w:r w:rsidR="006D650C" w:rsidRPr="006D650C">
        <w:t xml:space="preserve"> </w:t>
      </w:r>
      <w:r w:rsidR="004605CA">
        <w:t xml:space="preserve">Tiesa atzinusi, ka </w:t>
      </w:r>
      <w:r w:rsidR="004A4864">
        <w:t>[pers. A]</w:t>
      </w:r>
      <w:r w:rsidR="004605CA">
        <w:t xml:space="preserve"> darbībās ir visas nepieciešamās </w:t>
      </w:r>
      <w:r w:rsidR="004605CA">
        <w:lastRenderedPageBreak/>
        <w:t>un obligātās Krimināllikuma 195.panta trešajā daļā paredzētā noziedzīgā nodarījuma sastāva pazīmes.</w:t>
      </w:r>
    </w:p>
    <w:p w14:paraId="214AC3A7" w14:textId="06ABCB46" w:rsidR="006D650C" w:rsidRPr="00EA78B9" w:rsidRDefault="006D650C" w:rsidP="006D650C">
      <w:pPr>
        <w:shd w:val="clear" w:color="auto" w:fill="FFFFFF"/>
        <w:spacing w:line="276" w:lineRule="auto"/>
        <w:ind w:right="5" w:firstLine="720"/>
        <w:jc w:val="both"/>
      </w:pPr>
      <w:r w:rsidRPr="00EA78B9">
        <w:t>Tiesa atzinusi, ka noziedzīg</w:t>
      </w:r>
      <w:r w:rsidR="00277AFB">
        <w:t>a</w:t>
      </w:r>
      <w:r w:rsidRPr="00EA78B9">
        <w:t xml:space="preserve"> nodarījuma rezultātā </w:t>
      </w:r>
      <w:r w:rsidR="004A4864">
        <w:t>[pers. A]</w:t>
      </w:r>
      <w:r w:rsidRPr="00EA78B9">
        <w:t xml:space="preserve"> kā SIA „</w:t>
      </w:r>
      <w:r w:rsidR="004A4864">
        <w:t>[Nosaukums B]</w:t>
      </w:r>
      <w:r w:rsidRPr="00EA78B9">
        <w:t>” finansiāli saimnieciskās darbības vadītāja un patiesā labuma guvēja, ieguva savā rīcībā SIA „</w:t>
      </w:r>
      <w:r w:rsidR="004A4864">
        <w:t>[Nosaukums B]</w:t>
      </w:r>
      <w:r w:rsidRPr="00EA78B9">
        <w:t>” norēķinu kontā esošos naudas līdzekļus valstij nesamaksātā PVN 50 238,96 </w:t>
      </w:r>
      <w:r w:rsidRPr="00EA78B9">
        <w:rPr>
          <w:i/>
        </w:rPr>
        <w:t xml:space="preserve">latu </w:t>
      </w:r>
      <w:r w:rsidRPr="00EA78B9">
        <w:t>jeb 71 567,76 </w:t>
      </w:r>
      <w:r w:rsidRPr="00EA78B9">
        <w:rPr>
          <w:i/>
        </w:rPr>
        <w:t>euro</w:t>
      </w:r>
      <w:r w:rsidRPr="00EA78B9">
        <w:t xml:space="preserve"> apmērā. </w:t>
      </w:r>
    </w:p>
    <w:p w14:paraId="4C40A380" w14:textId="14BABC90" w:rsidR="006D650C" w:rsidRPr="00EA78B9" w:rsidRDefault="006D650C" w:rsidP="006D650C">
      <w:pPr>
        <w:shd w:val="clear" w:color="auto" w:fill="FFFFFF"/>
        <w:spacing w:line="276" w:lineRule="auto"/>
        <w:ind w:right="5" w:firstLine="720"/>
        <w:jc w:val="both"/>
      </w:pPr>
      <w:r w:rsidRPr="00EA78B9">
        <w:t>Nolūkā legalizēt minēt</w:t>
      </w:r>
      <w:r w:rsidR="00277AFB">
        <w:t>os</w:t>
      </w:r>
      <w:r w:rsidRPr="00EA78B9">
        <w:t xml:space="preserve"> noziedzīg</w:t>
      </w:r>
      <w:r w:rsidR="00277AFB">
        <w:t>i</w:t>
      </w:r>
      <w:r w:rsidRPr="00EA78B9">
        <w:t xml:space="preserve"> iegūtos SIA „</w:t>
      </w:r>
      <w:r w:rsidR="004A4864">
        <w:t>[Nosaukums B]</w:t>
      </w:r>
      <w:r w:rsidRPr="00EA78B9">
        <w:t>” norēķinu kontā esošos naudas līdzekļus valstij nesamaksātā PVN apmērā, lai radītu trešajām personām priekšstatu, ka darījumi starp SIA „</w:t>
      </w:r>
      <w:r w:rsidR="004A4864">
        <w:t>[Nosaukums B]</w:t>
      </w:r>
      <w:r w:rsidRPr="00EA78B9">
        <w:t>” un SIA „</w:t>
      </w:r>
      <w:r w:rsidR="004A4864">
        <w:t>[Nosaukums A]</w:t>
      </w:r>
      <w:r w:rsidRPr="00EA78B9">
        <w:t xml:space="preserve">” reāli bija notikuši, lai slēptu šo finanšu līdzekļu noziedzīgo izcelsmi, </w:t>
      </w:r>
      <w:r w:rsidR="004A4864">
        <w:t>[pers. A]</w:t>
      </w:r>
      <w:r w:rsidRPr="00EA78B9">
        <w:t xml:space="preserve"> nodrošināja finanšu līdzekļu par fiktīvajiem darījumiem plūsmu, mainot noziedzīgi iegūto finanšu līdzekļu atrašanās vietu, slēpjot to piederību un izcelsmi. Proti, no 2009.gada 12.oktobra līdz 2010.gada 15.oktobrim </w:t>
      </w:r>
      <w:r w:rsidR="004A4864">
        <w:t>[pers. A]</w:t>
      </w:r>
      <w:r w:rsidRPr="00EA78B9">
        <w:t xml:space="preserve"> nepamatoti pārskaitīja no SIA „</w:t>
      </w:r>
      <w:r w:rsidR="004A4864">
        <w:t>[Nosaukums B]</w:t>
      </w:r>
      <w:r w:rsidRPr="00EA78B9">
        <w:t>” norēķinu konta uz SIA „</w:t>
      </w:r>
      <w:r w:rsidR="004A4864">
        <w:t>[Nosaukums A]</w:t>
      </w:r>
      <w:r w:rsidRPr="00EA78B9">
        <w:t xml:space="preserve">” norēķinu kontu 323 862,45 </w:t>
      </w:r>
      <w:r w:rsidRPr="00EA78B9">
        <w:rPr>
          <w:i/>
        </w:rPr>
        <w:t xml:space="preserve">latu </w:t>
      </w:r>
      <w:r w:rsidRPr="00EA78B9">
        <w:t>jeb 460 814,75</w:t>
      </w:r>
      <w:r w:rsidRPr="00EA78B9">
        <w:rPr>
          <w:i/>
        </w:rPr>
        <w:t xml:space="preserve"> euro</w:t>
      </w:r>
      <w:r w:rsidRPr="00EA78B9">
        <w:t xml:space="preserve">, tajā skaitā valstij nesamaksāto PVN 50 238,96 </w:t>
      </w:r>
      <w:r w:rsidRPr="00EA78B9">
        <w:rPr>
          <w:i/>
        </w:rPr>
        <w:t xml:space="preserve">latu </w:t>
      </w:r>
      <w:r w:rsidRPr="00EA78B9">
        <w:t xml:space="preserve">jeb 71 567,76 </w:t>
      </w:r>
      <w:r w:rsidRPr="00EA78B9">
        <w:rPr>
          <w:i/>
        </w:rPr>
        <w:t>euro</w:t>
      </w:r>
      <w:r w:rsidRPr="00EA78B9">
        <w:t xml:space="preserve">. Naudas pārskaitījumu pamatošanai </w:t>
      </w:r>
      <w:r w:rsidR="004A4864">
        <w:t>[pers. A]</w:t>
      </w:r>
      <w:r w:rsidRPr="00EA78B9">
        <w:t xml:space="preserve"> izmantoja rēķinus par SIA „</w:t>
      </w:r>
      <w:r w:rsidR="004A4864">
        <w:t>[Nosaukums B]</w:t>
      </w:r>
      <w:r w:rsidRPr="00EA78B9">
        <w:t>” it kā saņemtu svaigu zivju produkciju no SIA „</w:t>
      </w:r>
      <w:r w:rsidR="004A4864">
        <w:t>[Nosaukums A]</w:t>
      </w:r>
      <w:r w:rsidRPr="00EA78B9">
        <w:t>”.</w:t>
      </w:r>
    </w:p>
    <w:p w14:paraId="66CD4A6D" w14:textId="02C74C96" w:rsidR="009D19BA" w:rsidRDefault="006D650C" w:rsidP="001C4918">
      <w:pPr>
        <w:shd w:val="clear" w:color="auto" w:fill="FFFFFF"/>
        <w:spacing w:line="276" w:lineRule="auto"/>
        <w:ind w:right="5" w:firstLine="720"/>
        <w:jc w:val="both"/>
      </w:pPr>
      <w:r w:rsidRPr="00EA78B9">
        <w:t>Lai slēptu SIA „</w:t>
      </w:r>
      <w:r w:rsidR="004A4864">
        <w:t>[Nosaukums A]</w:t>
      </w:r>
      <w:r w:rsidRPr="00EA78B9">
        <w:t xml:space="preserve">” norēķinu kontā saņemto finanšu līdzekļu noziedzīgo izcelsmi un lai </w:t>
      </w:r>
      <w:r w:rsidR="004A4864">
        <w:t>[pers. A]</w:t>
      </w:r>
      <w:r w:rsidRPr="00EA78B9">
        <w:t xml:space="preserve"> iegūtu šos finanšu līdzekļus savā īpašumā, kriminālprocesā nenoskaidrota persona, kura nebija informēta par </w:t>
      </w:r>
      <w:r w:rsidR="004A4864">
        <w:t>[pers. A]</w:t>
      </w:r>
      <w:r w:rsidRPr="00EA78B9">
        <w:t xml:space="preserve"> darbību noziedzīgo </w:t>
      </w:r>
      <w:r w:rsidR="001C4918">
        <w:t xml:space="preserve">mērķi, </w:t>
      </w:r>
      <w:r w:rsidR="004A4864">
        <w:t>[pers. A]</w:t>
      </w:r>
      <w:r w:rsidR="001C4918">
        <w:t xml:space="preserve"> uzdevumā SIA „</w:t>
      </w:r>
      <w:r w:rsidR="004A4864">
        <w:t>[Nosaukums A]</w:t>
      </w:r>
      <w:r w:rsidRPr="00EA78B9">
        <w:t xml:space="preserve">” norēķinu kontā saņemtos naudas līdzekļus nekavējoties konvertēja </w:t>
      </w:r>
      <w:r w:rsidRPr="00EA78B9">
        <w:rPr>
          <w:i/>
        </w:rPr>
        <w:t xml:space="preserve">euro </w:t>
      </w:r>
      <w:r w:rsidRPr="00EA78B9">
        <w:t>valūtā un elektroniski veica vairākas transakcijas</w:t>
      </w:r>
      <w:r>
        <w:t>.</w:t>
      </w:r>
      <w:r w:rsidRPr="006D650C">
        <w:t xml:space="preserve"> </w:t>
      </w:r>
    </w:p>
    <w:p w14:paraId="6CAD2B22" w14:textId="1D5825C8" w:rsidR="00585342" w:rsidRDefault="00585342" w:rsidP="00647D31">
      <w:pPr>
        <w:shd w:val="clear" w:color="auto" w:fill="FFFFFF"/>
        <w:spacing w:line="276" w:lineRule="auto"/>
        <w:ind w:right="5" w:firstLine="720"/>
        <w:jc w:val="both"/>
      </w:pPr>
      <w:r>
        <w:t>Senāts konstatē, ka a</w:t>
      </w:r>
      <w:r w:rsidR="00647D31" w:rsidRPr="00EA78B9">
        <w:t xml:space="preserve">pelācijas instances tiesa </w:t>
      </w:r>
      <w:r>
        <w:t>savus atzinumus</w:t>
      </w:r>
      <w:r w:rsidR="001C4918">
        <w:t xml:space="preserve"> par </w:t>
      </w:r>
      <w:r w:rsidR="004A4864">
        <w:t>[pers. A]</w:t>
      </w:r>
      <w:r w:rsidR="004605CA">
        <w:t xml:space="preserve"> vainīgumu apsūdzībā pēc Krimināllikuma 195.panta trešās daļas</w:t>
      </w:r>
      <w:r>
        <w:t xml:space="preserve"> pamatojusi arī ar likumu, konvencijas normām un judikatūras atziņām</w:t>
      </w:r>
      <w:r w:rsidR="00647D31" w:rsidRPr="00EA78B9">
        <w:t>.</w:t>
      </w:r>
    </w:p>
    <w:p w14:paraId="4A5CBB00" w14:textId="77777777" w:rsidR="00647D31" w:rsidRPr="00EA78B9" w:rsidRDefault="00647D31" w:rsidP="00647D31">
      <w:pPr>
        <w:shd w:val="clear" w:color="auto" w:fill="FFFFFF"/>
        <w:spacing w:line="276" w:lineRule="auto"/>
        <w:ind w:right="5" w:firstLine="720"/>
        <w:jc w:val="both"/>
      </w:pPr>
      <w:r w:rsidRPr="00EA78B9">
        <w:t xml:space="preserve">Tiesa norādījusi, ka </w:t>
      </w:r>
      <w:r w:rsidR="00585342">
        <w:t>N</w:t>
      </w:r>
      <w:r w:rsidRPr="00EA78B9">
        <w:t xml:space="preserve">oziedzīgi iegūtu līdzekļu legalizācijas un terorisma finansēšanas novēršanas likuma 4.panta pirmās daļas 1.punkts noteic, ka līdzekļi ir atzīstami par noziedzīgi iegūtiem, ja personas īpašumā vai valdījumā tie tieši vai netieši iegūti noziedzīga nodarījuma rezultātā. Minētā panta otrā daļa noteic, ka ar terminu „noziedzīgi iegūti līdzekļi” saprot Kriminālprocesa likumā lietoto terminu „noziedzīgi iegūta manta, arī finanšu līdzekļi”. </w:t>
      </w:r>
    </w:p>
    <w:p w14:paraId="627ECE62" w14:textId="77777777" w:rsidR="00647D31" w:rsidRPr="00EA78B9" w:rsidRDefault="00647D31" w:rsidP="00647D31">
      <w:pPr>
        <w:shd w:val="clear" w:color="auto" w:fill="FFFFFF"/>
        <w:spacing w:line="276" w:lineRule="auto"/>
        <w:ind w:right="5" w:firstLine="720"/>
        <w:jc w:val="both"/>
      </w:pPr>
      <w:r w:rsidRPr="00EA78B9">
        <w:t xml:space="preserve">Interpretējot Noziedzīgi iegūtu līdzekļu legalizācijas un terorisma finansēšanas novēršanas likuma normas Latvijas Republikai saistošo starptautisko tiesību normu kontekstā, </w:t>
      </w:r>
      <w:r w:rsidR="004605CA">
        <w:t>tiesa secinājusi</w:t>
      </w:r>
      <w:r w:rsidRPr="00EA78B9">
        <w:t>, ka ar terminu „noziedzīgi iegūti līdzekļi” saprot jebkuru ekonomisku ieguvumu, kas tieši vai netieši rodas vai ir iegūts, izdarot noziedzīgu nodarījumu. Turklāt noziedzīgi iegūti līdzekļi</w:t>
      </w:r>
      <w:r w:rsidR="00230A43" w:rsidRPr="00EA78B9">
        <w:t xml:space="preserve"> var būt jebkāda veida īpašums –</w:t>
      </w:r>
      <w:r w:rsidRPr="00EA78B9">
        <w:t xml:space="preserve"> jebkāda veida manta, ķermeniska vai bezķermeniska, kustama vai nekustama, kā arī juridiskie dokumenti vai instrumenti, kas apliecina īpašumtiesības uz šādu mantu vai cita veida tiesības uz to (</w:t>
      </w:r>
      <w:r w:rsidRPr="00EA78B9">
        <w:rPr>
          <w:i/>
        </w:rPr>
        <w:t>Eiropas Padomes Konvencija par noziedzīgi iegūtu līdzekļu legalizācijas un terorisma finansēšanas novēršanu, kā arī šo līdzekļu meklēšanu, izņemšanu un konfiskāciju 1.pants</w:t>
      </w:r>
      <w:r w:rsidRPr="00EA78B9">
        <w:t>).</w:t>
      </w:r>
    </w:p>
    <w:p w14:paraId="35C06835" w14:textId="5597BA65" w:rsidR="004C072C" w:rsidRDefault="00230A43" w:rsidP="004C072C">
      <w:pPr>
        <w:shd w:val="clear" w:color="auto" w:fill="FFFFFF"/>
        <w:spacing w:line="276" w:lineRule="auto"/>
        <w:ind w:right="5" w:firstLine="720"/>
        <w:jc w:val="both"/>
      </w:pPr>
      <w:r w:rsidRPr="00EA78B9">
        <w:t xml:space="preserve">No </w:t>
      </w:r>
      <w:r w:rsidR="004A4864">
        <w:t>[pers. A]</w:t>
      </w:r>
      <w:r w:rsidRPr="00EA78B9">
        <w:t xml:space="preserve"> celtās apsūdzības par noziedzīga nodarījuma faktiskajiem apstākļiem redzams, ka noziedzīgi iegūtus līdzekļus apsūdzētā ieguvusi, veicot predikatīvo noziedzīgo nodarījumu, kas paredzēts Krimi</w:t>
      </w:r>
      <w:r w:rsidR="004605CA">
        <w:t>nāllikuma 218.panta otrajā daļā</w:t>
      </w:r>
      <w:r w:rsidRPr="00EA78B9">
        <w:t>.</w:t>
      </w:r>
    </w:p>
    <w:p w14:paraId="316A9498" w14:textId="77777777" w:rsidR="004C072C" w:rsidRDefault="004C072C" w:rsidP="004C072C">
      <w:pPr>
        <w:shd w:val="clear" w:color="auto" w:fill="FFFFFF"/>
        <w:spacing w:line="276" w:lineRule="auto"/>
        <w:ind w:right="5" w:firstLine="720"/>
        <w:jc w:val="both"/>
      </w:pPr>
    </w:p>
    <w:p w14:paraId="60D34ECD" w14:textId="77777777" w:rsidR="00963F77" w:rsidRPr="00EA78B9" w:rsidRDefault="00735A5F" w:rsidP="004C072C">
      <w:pPr>
        <w:shd w:val="clear" w:color="auto" w:fill="FFFFFF"/>
        <w:spacing w:line="276" w:lineRule="auto"/>
        <w:ind w:right="5" w:firstLine="720"/>
        <w:jc w:val="both"/>
      </w:pPr>
      <w:r>
        <w:t xml:space="preserve">[10] </w:t>
      </w:r>
      <w:r w:rsidR="00963F77" w:rsidRPr="00EA78B9">
        <w:t xml:space="preserve">Kasācijas instances tiesa secina, ka Rīgas apgabaltiesas atzinums par notiesājoša nolēmuma taisīšanas pamatu ir </w:t>
      </w:r>
      <w:r w:rsidR="00EA78B9" w:rsidRPr="00EA78B9">
        <w:t>pamatots</w:t>
      </w:r>
      <w:r w:rsidR="00963F77" w:rsidRPr="00EA78B9">
        <w:t xml:space="preserve"> </w:t>
      </w:r>
      <w:r w:rsidR="00EA78B9" w:rsidRPr="00EA78B9">
        <w:t>ar</w:t>
      </w:r>
      <w:r w:rsidR="00963F77" w:rsidRPr="00EA78B9">
        <w:t xml:space="preserve"> lietā iegūto pierādījumu, kurus tiesa atzina par </w:t>
      </w:r>
      <w:r w:rsidR="00963F77" w:rsidRPr="00EA78B9">
        <w:lastRenderedPageBreak/>
        <w:t>attiecināmiem, pieļaujamiem, pietiekamiem un ticamiem, vērtējumu. Pierādījumi vērtēti atbilstoši Kriminālprocesa likuma 9.nodaļas (Kriminālprocesa likuma 123.–137.pants) prasībām.</w:t>
      </w:r>
      <w:r w:rsidR="00963F77" w:rsidRPr="00EA78B9">
        <w:rPr>
          <w:bCs/>
        </w:rPr>
        <w:t xml:space="preserve"> Tiesas atziņas ir motivētas. Kasācijas instances tiesa nekonstatē Kriminālprocesa likuma pārkāpumus pierādījumu vērtēšanā. </w:t>
      </w:r>
      <w:r w:rsidR="004C072C" w:rsidRPr="00EA78B9">
        <w:t>Senāts lietas izskatīšanā apelācijas instances tiesā daļā par apsūdzētās atzīšanu par vainīgu un viņas darbību juridisko kvalifikāciju nekonstatē Kriminālprocesa likuma 574. vai 575.pantā norādītos pārkāpumus, kas varētu būt par pamatu apelācijas instances tiesas nolēmuma atcelšanai vai grozīšanai.</w:t>
      </w:r>
    </w:p>
    <w:p w14:paraId="25830888" w14:textId="64EEFA47" w:rsidR="00966B30" w:rsidRPr="00EA78B9" w:rsidRDefault="00963F77" w:rsidP="00963F77">
      <w:pPr>
        <w:spacing w:line="276" w:lineRule="auto"/>
        <w:ind w:firstLine="709"/>
        <w:jc w:val="both"/>
      </w:pPr>
      <w:r w:rsidRPr="00EA78B9">
        <w:t>[</w:t>
      </w:r>
      <w:r w:rsidR="00735A5F">
        <w:t>11</w:t>
      </w:r>
      <w:r w:rsidRPr="00EA78B9">
        <w:t>]</w:t>
      </w:r>
      <w:r w:rsidR="00472810">
        <w:t> </w:t>
      </w:r>
      <w:r w:rsidR="004A4864">
        <w:rPr>
          <w:rFonts w:eastAsia="Calibri"/>
          <w:bCs/>
        </w:rPr>
        <w:t>[Pers. A]</w:t>
      </w:r>
      <w:r w:rsidR="00472810">
        <w:rPr>
          <w:rFonts w:eastAsia="Calibri"/>
          <w:bCs/>
        </w:rPr>
        <w:t xml:space="preserve"> drošības līdzeklis nav piemērots un ka</w:t>
      </w:r>
      <w:r w:rsidR="00472810" w:rsidRPr="006674AE">
        <w:t>sācijas instances tiesa ne</w:t>
      </w:r>
      <w:r w:rsidR="00472810">
        <w:t xml:space="preserve">saskata pamatu drošības līdzekļa </w:t>
      </w:r>
      <w:r w:rsidR="00472810" w:rsidRPr="006674AE">
        <w:t>piemērošanai šajā procesa stadijā.</w:t>
      </w:r>
    </w:p>
    <w:p w14:paraId="2EEB1F20" w14:textId="77777777" w:rsidR="00C26D3F" w:rsidRPr="00EA78B9" w:rsidRDefault="00C26D3F" w:rsidP="00B135BD">
      <w:pPr>
        <w:spacing w:line="276" w:lineRule="auto"/>
        <w:jc w:val="center"/>
        <w:rPr>
          <w:rFonts w:eastAsia="Calibri"/>
        </w:rPr>
      </w:pPr>
    </w:p>
    <w:p w14:paraId="0D15E0AD" w14:textId="77777777" w:rsidR="00B135BD" w:rsidRPr="00EA78B9" w:rsidRDefault="00B135BD" w:rsidP="00B135BD">
      <w:pPr>
        <w:spacing w:line="276" w:lineRule="auto"/>
        <w:jc w:val="center"/>
        <w:rPr>
          <w:rFonts w:eastAsia="Calibri"/>
          <w:b/>
        </w:rPr>
      </w:pPr>
      <w:r w:rsidRPr="00EA78B9">
        <w:rPr>
          <w:rFonts w:eastAsia="Calibri"/>
          <w:b/>
        </w:rPr>
        <w:t>Rezolutīvā daļa</w:t>
      </w:r>
    </w:p>
    <w:p w14:paraId="1B58FC5B" w14:textId="77777777" w:rsidR="00B135BD" w:rsidRPr="00EA78B9" w:rsidRDefault="00B135BD" w:rsidP="00B135BD">
      <w:pPr>
        <w:spacing w:line="276" w:lineRule="auto"/>
        <w:jc w:val="both"/>
        <w:rPr>
          <w:rFonts w:eastAsia="Calibri"/>
        </w:rPr>
      </w:pPr>
    </w:p>
    <w:p w14:paraId="3FD5E8AE" w14:textId="77777777" w:rsidR="00B135BD" w:rsidRPr="00EA78B9" w:rsidRDefault="00B135BD" w:rsidP="00B135BD">
      <w:pPr>
        <w:spacing w:line="276" w:lineRule="auto"/>
        <w:ind w:firstLine="720"/>
        <w:jc w:val="both"/>
        <w:rPr>
          <w:rFonts w:eastAsia="Calibri"/>
        </w:rPr>
      </w:pPr>
      <w:r w:rsidRPr="00EA78B9">
        <w:rPr>
          <w:rFonts w:eastAsia="Calibri"/>
        </w:rPr>
        <w:t>Pamatojoties uz Kriminālprocesa likuma 585., 587.pantu, tiesa</w:t>
      </w:r>
    </w:p>
    <w:p w14:paraId="0C4C28D7" w14:textId="77777777" w:rsidR="00B135BD" w:rsidRPr="00EA78B9" w:rsidRDefault="00B135BD" w:rsidP="00B135BD">
      <w:pPr>
        <w:spacing w:line="276" w:lineRule="auto"/>
        <w:ind w:firstLine="720"/>
        <w:jc w:val="both"/>
        <w:rPr>
          <w:rFonts w:eastAsia="Calibri"/>
        </w:rPr>
      </w:pPr>
    </w:p>
    <w:p w14:paraId="60C77A79" w14:textId="77777777" w:rsidR="00B135BD" w:rsidRPr="00EA78B9" w:rsidRDefault="00B135BD" w:rsidP="00B135BD">
      <w:pPr>
        <w:spacing w:line="276" w:lineRule="auto"/>
        <w:jc w:val="center"/>
        <w:rPr>
          <w:rFonts w:eastAsia="Calibri"/>
          <w:b/>
        </w:rPr>
      </w:pPr>
      <w:r w:rsidRPr="00EA78B9">
        <w:rPr>
          <w:rFonts w:eastAsia="Calibri"/>
          <w:b/>
        </w:rPr>
        <w:t>nolēma:</w:t>
      </w:r>
    </w:p>
    <w:p w14:paraId="5FB260E7" w14:textId="77777777" w:rsidR="00963F77" w:rsidRPr="00EA78B9" w:rsidRDefault="00963F77" w:rsidP="00963F77">
      <w:pPr>
        <w:autoSpaceDE w:val="0"/>
        <w:autoSpaceDN w:val="0"/>
        <w:adjustRightInd w:val="0"/>
        <w:spacing w:line="276" w:lineRule="auto"/>
        <w:ind w:firstLine="720"/>
        <w:jc w:val="both"/>
      </w:pPr>
    </w:p>
    <w:p w14:paraId="593C5BCD" w14:textId="29428B4A" w:rsidR="00963F77" w:rsidRPr="00EA78B9" w:rsidRDefault="00963F77" w:rsidP="00963F77">
      <w:pPr>
        <w:autoSpaceDE w:val="0"/>
        <w:autoSpaceDN w:val="0"/>
        <w:adjustRightInd w:val="0"/>
        <w:spacing w:line="276" w:lineRule="auto"/>
        <w:ind w:firstLine="720"/>
        <w:jc w:val="both"/>
      </w:pPr>
      <w:r w:rsidRPr="00EA78B9">
        <w:t xml:space="preserve">atcelt Rīgas apgabaltiesas 2019.gada 28.marta spriedumu daļā par </w:t>
      </w:r>
      <w:r w:rsidR="004A4864">
        <w:t>[pers. A]</w:t>
      </w:r>
      <w:r w:rsidRPr="00EA78B9">
        <w:t xml:space="preserve"> noteikto sodu pēc Krimināllikuma 218.panta otrās daļas un 195.panta trešās daļas, par galīgā soda noteikšanu saskaņā ar Krimināllikuma 50.panta pirmo daļu. Atceltajā daļa lietu nosūtīt jaunai izskatīšanai Rīgas apgabaltiesā. Pārējā daļā spriedumu atstāt negrozītu, bet kasācijas sūdzību noraidīt.</w:t>
      </w:r>
    </w:p>
    <w:p w14:paraId="3D41FB2D" w14:textId="78E64E87" w:rsidR="00B135BD" w:rsidRPr="004A4864" w:rsidRDefault="00963F77" w:rsidP="004A4864">
      <w:pPr>
        <w:autoSpaceDE w:val="0"/>
        <w:autoSpaceDN w:val="0"/>
        <w:adjustRightInd w:val="0"/>
        <w:spacing w:line="276" w:lineRule="auto"/>
        <w:ind w:firstLine="720"/>
        <w:jc w:val="both"/>
      </w:pPr>
      <w:smartTag w:uri="schemas-tilde-lv/tildestengine" w:element="veidnes">
        <w:smartTagPr>
          <w:attr w:name="text" w:val="lēmums"/>
          <w:attr w:name="baseform" w:val="lēmums"/>
          <w:attr w:name="id" w:val="-1"/>
        </w:smartTagPr>
        <w:r w:rsidRPr="00EA78B9">
          <w:t>Lēmums</w:t>
        </w:r>
      </w:smartTag>
      <w:r w:rsidRPr="00EA78B9">
        <w:t xml:space="preserve"> nav pārsūdzams.</w:t>
      </w:r>
    </w:p>
    <w:sectPr w:rsidR="00B135BD" w:rsidRPr="004A4864" w:rsidSect="00334212">
      <w:footerReference w:type="even" r:id="rId9"/>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7B6865" w14:textId="77777777" w:rsidR="00E37F01" w:rsidRDefault="00E37F01">
      <w:r>
        <w:separator/>
      </w:r>
    </w:p>
  </w:endnote>
  <w:endnote w:type="continuationSeparator" w:id="0">
    <w:p w14:paraId="737B1F76" w14:textId="77777777" w:rsidR="00E37F01" w:rsidRDefault="00E37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C125C0" w14:textId="77777777" w:rsidR="00F15978" w:rsidRDefault="00F15978" w:rsidP="00D332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4D22515" w14:textId="77777777" w:rsidR="00F15978" w:rsidRDefault="00F159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55300413"/>
      <w:docPartObj>
        <w:docPartGallery w:val="Page Numbers (Bottom of Page)"/>
        <w:docPartUnique/>
      </w:docPartObj>
    </w:sdtPr>
    <w:sdtEndPr/>
    <w:sdtContent>
      <w:sdt>
        <w:sdtPr>
          <w:id w:val="1728636285"/>
          <w:docPartObj>
            <w:docPartGallery w:val="Page Numbers (Top of Page)"/>
            <w:docPartUnique/>
          </w:docPartObj>
        </w:sdtPr>
        <w:sdtEndPr/>
        <w:sdtContent>
          <w:p w14:paraId="08E79F78" w14:textId="77777777" w:rsidR="00F15978" w:rsidRDefault="00F15978">
            <w:pPr>
              <w:pStyle w:val="Footer"/>
              <w:jc w:val="center"/>
            </w:pPr>
            <w:r w:rsidRPr="004E4BE4">
              <w:rPr>
                <w:bCs/>
              </w:rPr>
              <w:fldChar w:fldCharType="begin"/>
            </w:r>
            <w:r w:rsidRPr="004E4BE4">
              <w:rPr>
                <w:bCs/>
              </w:rPr>
              <w:instrText xml:space="preserve"> PAGE </w:instrText>
            </w:r>
            <w:r w:rsidRPr="004E4BE4">
              <w:rPr>
                <w:bCs/>
              </w:rPr>
              <w:fldChar w:fldCharType="separate"/>
            </w:r>
            <w:r w:rsidR="00616EEA">
              <w:rPr>
                <w:bCs/>
                <w:noProof/>
              </w:rPr>
              <w:t>13</w:t>
            </w:r>
            <w:r w:rsidRPr="004E4BE4">
              <w:rPr>
                <w:bCs/>
              </w:rPr>
              <w:fldChar w:fldCharType="end"/>
            </w:r>
            <w:r w:rsidRPr="004E4BE4">
              <w:t xml:space="preserve"> no </w:t>
            </w:r>
            <w:r w:rsidRPr="004E4BE4">
              <w:rPr>
                <w:bCs/>
              </w:rPr>
              <w:fldChar w:fldCharType="begin"/>
            </w:r>
            <w:r w:rsidRPr="004E4BE4">
              <w:rPr>
                <w:bCs/>
              </w:rPr>
              <w:instrText xml:space="preserve"> NUMPAGES  </w:instrText>
            </w:r>
            <w:r w:rsidRPr="004E4BE4">
              <w:rPr>
                <w:bCs/>
              </w:rPr>
              <w:fldChar w:fldCharType="separate"/>
            </w:r>
            <w:r w:rsidR="00616EEA">
              <w:rPr>
                <w:bCs/>
                <w:noProof/>
              </w:rPr>
              <w:t>13</w:t>
            </w:r>
            <w:r w:rsidRPr="004E4BE4">
              <w:rPr>
                <w:bCs/>
              </w:rPr>
              <w:fldChar w:fldCharType="end"/>
            </w:r>
          </w:p>
        </w:sdtContent>
      </w:sdt>
    </w:sdtContent>
  </w:sdt>
  <w:p w14:paraId="38DD6B07" w14:textId="77777777" w:rsidR="00F15978" w:rsidRPr="00E61E37" w:rsidRDefault="00F15978" w:rsidP="00D33265">
    <w:pPr>
      <w:pStyle w:val="Footer"/>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661D59" w14:textId="77777777" w:rsidR="00E37F01" w:rsidRDefault="00E37F01">
      <w:r>
        <w:separator/>
      </w:r>
    </w:p>
  </w:footnote>
  <w:footnote w:type="continuationSeparator" w:id="0">
    <w:p w14:paraId="0094FDF5" w14:textId="77777777" w:rsidR="00E37F01" w:rsidRDefault="00E37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AA3640"/>
    <w:multiLevelType w:val="hybridMultilevel"/>
    <w:tmpl w:val="8872EA50"/>
    <w:lvl w:ilvl="0" w:tplc="2A1E05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60C93D3E"/>
    <w:multiLevelType w:val="hybridMultilevel"/>
    <w:tmpl w:val="1CDEF15A"/>
    <w:lvl w:ilvl="0" w:tplc="A954A688">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5BD"/>
    <w:rsid w:val="00000263"/>
    <w:rsid w:val="000017CF"/>
    <w:rsid w:val="00002538"/>
    <w:rsid w:val="000036CE"/>
    <w:rsid w:val="00004160"/>
    <w:rsid w:val="00007867"/>
    <w:rsid w:val="00014C4C"/>
    <w:rsid w:val="00017F5C"/>
    <w:rsid w:val="00023A9D"/>
    <w:rsid w:val="00031908"/>
    <w:rsid w:val="00037A3F"/>
    <w:rsid w:val="00046111"/>
    <w:rsid w:val="0004777F"/>
    <w:rsid w:val="000522C5"/>
    <w:rsid w:val="00052BB7"/>
    <w:rsid w:val="00053EC5"/>
    <w:rsid w:val="000557AA"/>
    <w:rsid w:val="00060566"/>
    <w:rsid w:val="00063D46"/>
    <w:rsid w:val="000715A8"/>
    <w:rsid w:val="0007282B"/>
    <w:rsid w:val="000728E2"/>
    <w:rsid w:val="00072DAA"/>
    <w:rsid w:val="00076D24"/>
    <w:rsid w:val="00082038"/>
    <w:rsid w:val="000839DA"/>
    <w:rsid w:val="00084389"/>
    <w:rsid w:val="00093006"/>
    <w:rsid w:val="000A6D19"/>
    <w:rsid w:val="000B4973"/>
    <w:rsid w:val="000B4A38"/>
    <w:rsid w:val="000B4E37"/>
    <w:rsid w:val="000B762F"/>
    <w:rsid w:val="000C23CE"/>
    <w:rsid w:val="000C2797"/>
    <w:rsid w:val="000C7DBA"/>
    <w:rsid w:val="000D0226"/>
    <w:rsid w:val="000D3579"/>
    <w:rsid w:val="000D5B89"/>
    <w:rsid w:val="000E20B4"/>
    <w:rsid w:val="000E51D5"/>
    <w:rsid w:val="000E6B80"/>
    <w:rsid w:val="000F13AA"/>
    <w:rsid w:val="000F2832"/>
    <w:rsid w:val="000F5EFF"/>
    <w:rsid w:val="000F6269"/>
    <w:rsid w:val="00105F8A"/>
    <w:rsid w:val="001066CF"/>
    <w:rsid w:val="0010698D"/>
    <w:rsid w:val="00106C41"/>
    <w:rsid w:val="0010798B"/>
    <w:rsid w:val="00110077"/>
    <w:rsid w:val="0011317D"/>
    <w:rsid w:val="00117817"/>
    <w:rsid w:val="00117991"/>
    <w:rsid w:val="00123C6F"/>
    <w:rsid w:val="00123E44"/>
    <w:rsid w:val="0012618E"/>
    <w:rsid w:val="0013067C"/>
    <w:rsid w:val="00133607"/>
    <w:rsid w:val="00134968"/>
    <w:rsid w:val="0013601D"/>
    <w:rsid w:val="001405F3"/>
    <w:rsid w:val="0014290C"/>
    <w:rsid w:val="001463DF"/>
    <w:rsid w:val="00147B21"/>
    <w:rsid w:val="0015017B"/>
    <w:rsid w:val="00151777"/>
    <w:rsid w:val="0015188A"/>
    <w:rsid w:val="00152BEC"/>
    <w:rsid w:val="00153DD0"/>
    <w:rsid w:val="0015411E"/>
    <w:rsid w:val="00155712"/>
    <w:rsid w:val="001569FD"/>
    <w:rsid w:val="001612FF"/>
    <w:rsid w:val="0016242E"/>
    <w:rsid w:val="00171394"/>
    <w:rsid w:val="00180F50"/>
    <w:rsid w:val="00184ACE"/>
    <w:rsid w:val="001863AB"/>
    <w:rsid w:val="00194BD5"/>
    <w:rsid w:val="00197BDC"/>
    <w:rsid w:val="001A04BD"/>
    <w:rsid w:val="001A1088"/>
    <w:rsid w:val="001A38F1"/>
    <w:rsid w:val="001B2B0C"/>
    <w:rsid w:val="001B3DA9"/>
    <w:rsid w:val="001C4918"/>
    <w:rsid w:val="001D4340"/>
    <w:rsid w:val="001D62BD"/>
    <w:rsid w:val="001E1C43"/>
    <w:rsid w:val="001E1F2A"/>
    <w:rsid w:val="001E214D"/>
    <w:rsid w:val="001F051F"/>
    <w:rsid w:val="001F0CF3"/>
    <w:rsid w:val="001F1E1B"/>
    <w:rsid w:val="001F7DC1"/>
    <w:rsid w:val="002031D7"/>
    <w:rsid w:val="0020334D"/>
    <w:rsid w:val="00205031"/>
    <w:rsid w:val="00207E5F"/>
    <w:rsid w:val="00212212"/>
    <w:rsid w:val="0021325B"/>
    <w:rsid w:val="00217096"/>
    <w:rsid w:val="00217FCC"/>
    <w:rsid w:val="00222D7D"/>
    <w:rsid w:val="00227A01"/>
    <w:rsid w:val="00230A43"/>
    <w:rsid w:val="00230A8F"/>
    <w:rsid w:val="002311B1"/>
    <w:rsid w:val="00232340"/>
    <w:rsid w:val="00233887"/>
    <w:rsid w:val="002424FA"/>
    <w:rsid w:val="00242A08"/>
    <w:rsid w:val="00243CAC"/>
    <w:rsid w:val="002464E3"/>
    <w:rsid w:val="00252ACA"/>
    <w:rsid w:val="002557D3"/>
    <w:rsid w:val="00256485"/>
    <w:rsid w:val="002577B9"/>
    <w:rsid w:val="00257CDF"/>
    <w:rsid w:val="0026033C"/>
    <w:rsid w:val="00266493"/>
    <w:rsid w:val="002711E1"/>
    <w:rsid w:val="0027183F"/>
    <w:rsid w:val="0027383B"/>
    <w:rsid w:val="00273C94"/>
    <w:rsid w:val="00277A02"/>
    <w:rsid w:val="00277AFB"/>
    <w:rsid w:val="00282B16"/>
    <w:rsid w:val="002841A9"/>
    <w:rsid w:val="0028535A"/>
    <w:rsid w:val="00285CF6"/>
    <w:rsid w:val="00286425"/>
    <w:rsid w:val="00286707"/>
    <w:rsid w:val="00287D5E"/>
    <w:rsid w:val="002922D5"/>
    <w:rsid w:val="00292FD7"/>
    <w:rsid w:val="00293D80"/>
    <w:rsid w:val="002A3761"/>
    <w:rsid w:val="002B00F6"/>
    <w:rsid w:val="002B2085"/>
    <w:rsid w:val="002B4664"/>
    <w:rsid w:val="002B4AF6"/>
    <w:rsid w:val="002C1AA7"/>
    <w:rsid w:val="002C318F"/>
    <w:rsid w:val="002D1472"/>
    <w:rsid w:val="002D26C6"/>
    <w:rsid w:val="002D515D"/>
    <w:rsid w:val="002D7385"/>
    <w:rsid w:val="002E5F9F"/>
    <w:rsid w:val="002E78E6"/>
    <w:rsid w:val="002F7DD6"/>
    <w:rsid w:val="003019D7"/>
    <w:rsid w:val="0030267E"/>
    <w:rsid w:val="0030366C"/>
    <w:rsid w:val="00303FCE"/>
    <w:rsid w:val="00307BAD"/>
    <w:rsid w:val="00313E01"/>
    <w:rsid w:val="00314FB0"/>
    <w:rsid w:val="0032135A"/>
    <w:rsid w:val="003305DC"/>
    <w:rsid w:val="00333D32"/>
    <w:rsid w:val="00334212"/>
    <w:rsid w:val="00336FC6"/>
    <w:rsid w:val="003422D7"/>
    <w:rsid w:val="0034357F"/>
    <w:rsid w:val="00350CBD"/>
    <w:rsid w:val="00350F64"/>
    <w:rsid w:val="00351BD0"/>
    <w:rsid w:val="00355E9E"/>
    <w:rsid w:val="00355F33"/>
    <w:rsid w:val="003578CA"/>
    <w:rsid w:val="00362493"/>
    <w:rsid w:val="0036314C"/>
    <w:rsid w:val="003729FC"/>
    <w:rsid w:val="003843E1"/>
    <w:rsid w:val="0038770E"/>
    <w:rsid w:val="00390F7B"/>
    <w:rsid w:val="00394285"/>
    <w:rsid w:val="00396601"/>
    <w:rsid w:val="003A0255"/>
    <w:rsid w:val="003A7D40"/>
    <w:rsid w:val="003B2610"/>
    <w:rsid w:val="003B4787"/>
    <w:rsid w:val="003B4CBF"/>
    <w:rsid w:val="003C57DD"/>
    <w:rsid w:val="003C592E"/>
    <w:rsid w:val="003C768F"/>
    <w:rsid w:val="003D4263"/>
    <w:rsid w:val="003D72E7"/>
    <w:rsid w:val="003D79AD"/>
    <w:rsid w:val="003E0463"/>
    <w:rsid w:val="003E05D0"/>
    <w:rsid w:val="003E2472"/>
    <w:rsid w:val="003E6F90"/>
    <w:rsid w:val="003F3A9F"/>
    <w:rsid w:val="003F58C0"/>
    <w:rsid w:val="004027A3"/>
    <w:rsid w:val="0041108D"/>
    <w:rsid w:val="004135A4"/>
    <w:rsid w:val="00414022"/>
    <w:rsid w:val="00415068"/>
    <w:rsid w:val="00420618"/>
    <w:rsid w:val="00426295"/>
    <w:rsid w:val="00432BDB"/>
    <w:rsid w:val="00436BC4"/>
    <w:rsid w:val="004422E1"/>
    <w:rsid w:val="00444697"/>
    <w:rsid w:val="00444A1C"/>
    <w:rsid w:val="004461E7"/>
    <w:rsid w:val="004474E3"/>
    <w:rsid w:val="004478C3"/>
    <w:rsid w:val="00447D2C"/>
    <w:rsid w:val="00450D58"/>
    <w:rsid w:val="004605CA"/>
    <w:rsid w:val="00463C5A"/>
    <w:rsid w:val="00472810"/>
    <w:rsid w:val="00475B2C"/>
    <w:rsid w:val="00481269"/>
    <w:rsid w:val="00484476"/>
    <w:rsid w:val="0048733B"/>
    <w:rsid w:val="00490DB2"/>
    <w:rsid w:val="004A1089"/>
    <w:rsid w:val="004A1B39"/>
    <w:rsid w:val="004A34DC"/>
    <w:rsid w:val="004A464C"/>
    <w:rsid w:val="004A4864"/>
    <w:rsid w:val="004A4866"/>
    <w:rsid w:val="004B274E"/>
    <w:rsid w:val="004B443B"/>
    <w:rsid w:val="004C072C"/>
    <w:rsid w:val="004C133E"/>
    <w:rsid w:val="004D0953"/>
    <w:rsid w:val="004D21AE"/>
    <w:rsid w:val="004D314A"/>
    <w:rsid w:val="004E32A2"/>
    <w:rsid w:val="004E4BE4"/>
    <w:rsid w:val="004E5697"/>
    <w:rsid w:val="004E57C2"/>
    <w:rsid w:val="004F0C90"/>
    <w:rsid w:val="004F3ACA"/>
    <w:rsid w:val="004F4EDF"/>
    <w:rsid w:val="00501892"/>
    <w:rsid w:val="00501ED4"/>
    <w:rsid w:val="00504082"/>
    <w:rsid w:val="00504B9D"/>
    <w:rsid w:val="0050676F"/>
    <w:rsid w:val="0051069D"/>
    <w:rsid w:val="00514872"/>
    <w:rsid w:val="0051489A"/>
    <w:rsid w:val="00516D43"/>
    <w:rsid w:val="00524BFE"/>
    <w:rsid w:val="005275B1"/>
    <w:rsid w:val="0052788F"/>
    <w:rsid w:val="005319B9"/>
    <w:rsid w:val="0053571C"/>
    <w:rsid w:val="00542874"/>
    <w:rsid w:val="00547849"/>
    <w:rsid w:val="00547BDF"/>
    <w:rsid w:val="00553F6F"/>
    <w:rsid w:val="00557074"/>
    <w:rsid w:val="00557894"/>
    <w:rsid w:val="00557C7B"/>
    <w:rsid w:val="00570795"/>
    <w:rsid w:val="00570DBC"/>
    <w:rsid w:val="00577143"/>
    <w:rsid w:val="00585342"/>
    <w:rsid w:val="00597B44"/>
    <w:rsid w:val="005A1984"/>
    <w:rsid w:val="005A3AB4"/>
    <w:rsid w:val="005A5A7B"/>
    <w:rsid w:val="005A7340"/>
    <w:rsid w:val="005B7615"/>
    <w:rsid w:val="005C3E2B"/>
    <w:rsid w:val="005D3AFE"/>
    <w:rsid w:val="005D7645"/>
    <w:rsid w:val="005D7DE2"/>
    <w:rsid w:val="005E0946"/>
    <w:rsid w:val="005E3143"/>
    <w:rsid w:val="005E59C0"/>
    <w:rsid w:val="005F2518"/>
    <w:rsid w:val="005F261A"/>
    <w:rsid w:val="005F63A5"/>
    <w:rsid w:val="00600732"/>
    <w:rsid w:val="00603D0C"/>
    <w:rsid w:val="006070E2"/>
    <w:rsid w:val="00612825"/>
    <w:rsid w:val="00613870"/>
    <w:rsid w:val="00616EEA"/>
    <w:rsid w:val="00617EE9"/>
    <w:rsid w:val="0062165E"/>
    <w:rsid w:val="0063307C"/>
    <w:rsid w:val="0063379A"/>
    <w:rsid w:val="00635649"/>
    <w:rsid w:val="0063603A"/>
    <w:rsid w:val="00637A85"/>
    <w:rsid w:val="00637DF5"/>
    <w:rsid w:val="00643F98"/>
    <w:rsid w:val="00645DE6"/>
    <w:rsid w:val="00646EEC"/>
    <w:rsid w:val="00647D31"/>
    <w:rsid w:val="00650783"/>
    <w:rsid w:val="00660866"/>
    <w:rsid w:val="006655B5"/>
    <w:rsid w:val="00665C96"/>
    <w:rsid w:val="00674612"/>
    <w:rsid w:val="00674984"/>
    <w:rsid w:val="00675057"/>
    <w:rsid w:val="00677ED8"/>
    <w:rsid w:val="00682F0D"/>
    <w:rsid w:val="006846A2"/>
    <w:rsid w:val="006941BD"/>
    <w:rsid w:val="00695A90"/>
    <w:rsid w:val="00697CC7"/>
    <w:rsid w:val="006A3727"/>
    <w:rsid w:val="006A46F0"/>
    <w:rsid w:val="006B2A58"/>
    <w:rsid w:val="006B4C5B"/>
    <w:rsid w:val="006B6A75"/>
    <w:rsid w:val="006C1465"/>
    <w:rsid w:val="006C3191"/>
    <w:rsid w:val="006D650C"/>
    <w:rsid w:val="006D71A7"/>
    <w:rsid w:val="006D749D"/>
    <w:rsid w:val="006D74A9"/>
    <w:rsid w:val="006E15E2"/>
    <w:rsid w:val="006E2016"/>
    <w:rsid w:val="006E508B"/>
    <w:rsid w:val="006F56FD"/>
    <w:rsid w:val="007013C1"/>
    <w:rsid w:val="00702490"/>
    <w:rsid w:val="00705FD8"/>
    <w:rsid w:val="00712E3E"/>
    <w:rsid w:val="007204E6"/>
    <w:rsid w:val="00722659"/>
    <w:rsid w:val="00733B24"/>
    <w:rsid w:val="007344F3"/>
    <w:rsid w:val="00735A5F"/>
    <w:rsid w:val="00735E7E"/>
    <w:rsid w:val="0074239C"/>
    <w:rsid w:val="00744B95"/>
    <w:rsid w:val="00751DDD"/>
    <w:rsid w:val="00757EF0"/>
    <w:rsid w:val="007615EB"/>
    <w:rsid w:val="00766903"/>
    <w:rsid w:val="00770A38"/>
    <w:rsid w:val="00772294"/>
    <w:rsid w:val="00774E5A"/>
    <w:rsid w:val="00777C61"/>
    <w:rsid w:val="007827D5"/>
    <w:rsid w:val="00782F83"/>
    <w:rsid w:val="00783B7F"/>
    <w:rsid w:val="00784683"/>
    <w:rsid w:val="0078553B"/>
    <w:rsid w:val="00785AD9"/>
    <w:rsid w:val="007A0763"/>
    <w:rsid w:val="007A56CF"/>
    <w:rsid w:val="007A7017"/>
    <w:rsid w:val="007B231B"/>
    <w:rsid w:val="007B41ED"/>
    <w:rsid w:val="007B5D78"/>
    <w:rsid w:val="007D1C93"/>
    <w:rsid w:val="007D2F67"/>
    <w:rsid w:val="007D45BD"/>
    <w:rsid w:val="007D60F2"/>
    <w:rsid w:val="007D77C3"/>
    <w:rsid w:val="007E2FD8"/>
    <w:rsid w:val="007E55E6"/>
    <w:rsid w:val="007E593A"/>
    <w:rsid w:val="007E7751"/>
    <w:rsid w:val="007F00ED"/>
    <w:rsid w:val="007F1183"/>
    <w:rsid w:val="007F15FD"/>
    <w:rsid w:val="007F160A"/>
    <w:rsid w:val="007F4954"/>
    <w:rsid w:val="007F4FD5"/>
    <w:rsid w:val="008006B0"/>
    <w:rsid w:val="00807991"/>
    <w:rsid w:val="0081177E"/>
    <w:rsid w:val="008134BB"/>
    <w:rsid w:val="00817126"/>
    <w:rsid w:val="00821D01"/>
    <w:rsid w:val="00822911"/>
    <w:rsid w:val="008244B6"/>
    <w:rsid w:val="00842A42"/>
    <w:rsid w:val="00842D35"/>
    <w:rsid w:val="00843FBA"/>
    <w:rsid w:val="00845D6E"/>
    <w:rsid w:val="008502ED"/>
    <w:rsid w:val="00857710"/>
    <w:rsid w:val="008642DD"/>
    <w:rsid w:val="00864833"/>
    <w:rsid w:val="00867150"/>
    <w:rsid w:val="008706CD"/>
    <w:rsid w:val="00873FE7"/>
    <w:rsid w:val="00884D8A"/>
    <w:rsid w:val="00890836"/>
    <w:rsid w:val="0089195F"/>
    <w:rsid w:val="00895DBC"/>
    <w:rsid w:val="00896739"/>
    <w:rsid w:val="0089783C"/>
    <w:rsid w:val="008A0637"/>
    <w:rsid w:val="008B159B"/>
    <w:rsid w:val="008B2B9D"/>
    <w:rsid w:val="008B35D7"/>
    <w:rsid w:val="008B382A"/>
    <w:rsid w:val="008C194F"/>
    <w:rsid w:val="008C2697"/>
    <w:rsid w:val="008C3BDE"/>
    <w:rsid w:val="008C70A1"/>
    <w:rsid w:val="008D2731"/>
    <w:rsid w:val="008D5C1D"/>
    <w:rsid w:val="008D6956"/>
    <w:rsid w:val="008E2CB6"/>
    <w:rsid w:val="008E5DC7"/>
    <w:rsid w:val="008F092F"/>
    <w:rsid w:val="008F2135"/>
    <w:rsid w:val="008F24EF"/>
    <w:rsid w:val="008F3FCC"/>
    <w:rsid w:val="008F61F3"/>
    <w:rsid w:val="00900557"/>
    <w:rsid w:val="00900F4E"/>
    <w:rsid w:val="00901520"/>
    <w:rsid w:val="00901924"/>
    <w:rsid w:val="00907304"/>
    <w:rsid w:val="0091186D"/>
    <w:rsid w:val="009148D8"/>
    <w:rsid w:val="00917850"/>
    <w:rsid w:val="009200FF"/>
    <w:rsid w:val="00920A68"/>
    <w:rsid w:val="009210E9"/>
    <w:rsid w:val="009215AD"/>
    <w:rsid w:val="0092303E"/>
    <w:rsid w:val="00925202"/>
    <w:rsid w:val="00925D58"/>
    <w:rsid w:val="00926880"/>
    <w:rsid w:val="009311FF"/>
    <w:rsid w:val="00931F6C"/>
    <w:rsid w:val="00937E79"/>
    <w:rsid w:val="00952813"/>
    <w:rsid w:val="0095394B"/>
    <w:rsid w:val="00963F77"/>
    <w:rsid w:val="00966B30"/>
    <w:rsid w:val="00976A83"/>
    <w:rsid w:val="009813F7"/>
    <w:rsid w:val="00982E2F"/>
    <w:rsid w:val="009844CB"/>
    <w:rsid w:val="00990916"/>
    <w:rsid w:val="00993739"/>
    <w:rsid w:val="009956F9"/>
    <w:rsid w:val="00997DB6"/>
    <w:rsid w:val="009A1F78"/>
    <w:rsid w:val="009A4A38"/>
    <w:rsid w:val="009A5707"/>
    <w:rsid w:val="009A684B"/>
    <w:rsid w:val="009B1418"/>
    <w:rsid w:val="009B7EB8"/>
    <w:rsid w:val="009C18B0"/>
    <w:rsid w:val="009D19BA"/>
    <w:rsid w:val="009D3646"/>
    <w:rsid w:val="009D5EEE"/>
    <w:rsid w:val="009D71DC"/>
    <w:rsid w:val="009D75F4"/>
    <w:rsid w:val="009E0D60"/>
    <w:rsid w:val="009E13D0"/>
    <w:rsid w:val="009E3241"/>
    <w:rsid w:val="009E73BD"/>
    <w:rsid w:val="009F7A31"/>
    <w:rsid w:val="00A068B0"/>
    <w:rsid w:val="00A11B11"/>
    <w:rsid w:val="00A13FC8"/>
    <w:rsid w:val="00A14752"/>
    <w:rsid w:val="00A2119D"/>
    <w:rsid w:val="00A24394"/>
    <w:rsid w:val="00A34BAD"/>
    <w:rsid w:val="00A42CDB"/>
    <w:rsid w:val="00A536C1"/>
    <w:rsid w:val="00A54FB2"/>
    <w:rsid w:val="00A630A7"/>
    <w:rsid w:val="00A66338"/>
    <w:rsid w:val="00A74188"/>
    <w:rsid w:val="00A7574E"/>
    <w:rsid w:val="00A75D4C"/>
    <w:rsid w:val="00A80497"/>
    <w:rsid w:val="00A86244"/>
    <w:rsid w:val="00A9005E"/>
    <w:rsid w:val="00A94618"/>
    <w:rsid w:val="00AA4D05"/>
    <w:rsid w:val="00AA544E"/>
    <w:rsid w:val="00AA5729"/>
    <w:rsid w:val="00AA7086"/>
    <w:rsid w:val="00AB4D5C"/>
    <w:rsid w:val="00AB5F10"/>
    <w:rsid w:val="00AD08F8"/>
    <w:rsid w:val="00AD28E6"/>
    <w:rsid w:val="00AD68E3"/>
    <w:rsid w:val="00AE0D68"/>
    <w:rsid w:val="00AE22B7"/>
    <w:rsid w:val="00AF36C2"/>
    <w:rsid w:val="00AF5E58"/>
    <w:rsid w:val="00AF6AF5"/>
    <w:rsid w:val="00B02CEB"/>
    <w:rsid w:val="00B0654E"/>
    <w:rsid w:val="00B12D87"/>
    <w:rsid w:val="00B1327F"/>
    <w:rsid w:val="00B135BD"/>
    <w:rsid w:val="00B16CE1"/>
    <w:rsid w:val="00B22BA5"/>
    <w:rsid w:val="00B24C61"/>
    <w:rsid w:val="00B25EAA"/>
    <w:rsid w:val="00B301BC"/>
    <w:rsid w:val="00B3055F"/>
    <w:rsid w:val="00B30876"/>
    <w:rsid w:val="00B36B0F"/>
    <w:rsid w:val="00B4667E"/>
    <w:rsid w:val="00B55ECC"/>
    <w:rsid w:val="00B61A2C"/>
    <w:rsid w:val="00B63936"/>
    <w:rsid w:val="00B740AE"/>
    <w:rsid w:val="00B74685"/>
    <w:rsid w:val="00B779CD"/>
    <w:rsid w:val="00B828FB"/>
    <w:rsid w:val="00B95EF3"/>
    <w:rsid w:val="00B97BDD"/>
    <w:rsid w:val="00BA0164"/>
    <w:rsid w:val="00BA21AB"/>
    <w:rsid w:val="00BA3946"/>
    <w:rsid w:val="00BB452F"/>
    <w:rsid w:val="00BB4B24"/>
    <w:rsid w:val="00BB6932"/>
    <w:rsid w:val="00BC58E6"/>
    <w:rsid w:val="00BC63C7"/>
    <w:rsid w:val="00BD635A"/>
    <w:rsid w:val="00BD6F12"/>
    <w:rsid w:val="00BD799E"/>
    <w:rsid w:val="00BE0F21"/>
    <w:rsid w:val="00BE2824"/>
    <w:rsid w:val="00BF1582"/>
    <w:rsid w:val="00BF4045"/>
    <w:rsid w:val="00C02075"/>
    <w:rsid w:val="00C023DF"/>
    <w:rsid w:val="00C11C3E"/>
    <w:rsid w:val="00C12641"/>
    <w:rsid w:val="00C16D6D"/>
    <w:rsid w:val="00C170DA"/>
    <w:rsid w:val="00C2595A"/>
    <w:rsid w:val="00C2692C"/>
    <w:rsid w:val="00C26D3F"/>
    <w:rsid w:val="00C273A1"/>
    <w:rsid w:val="00C27FA1"/>
    <w:rsid w:val="00C34141"/>
    <w:rsid w:val="00C3574F"/>
    <w:rsid w:val="00C46BD9"/>
    <w:rsid w:val="00C47B74"/>
    <w:rsid w:val="00C52CD7"/>
    <w:rsid w:val="00C54C49"/>
    <w:rsid w:val="00C565A8"/>
    <w:rsid w:val="00C60545"/>
    <w:rsid w:val="00C60C44"/>
    <w:rsid w:val="00C638E5"/>
    <w:rsid w:val="00C63AC9"/>
    <w:rsid w:val="00C71B1B"/>
    <w:rsid w:val="00C71C67"/>
    <w:rsid w:val="00C73954"/>
    <w:rsid w:val="00C748FD"/>
    <w:rsid w:val="00C7682A"/>
    <w:rsid w:val="00C76F36"/>
    <w:rsid w:val="00C77E5E"/>
    <w:rsid w:val="00C819FF"/>
    <w:rsid w:val="00C81E52"/>
    <w:rsid w:val="00C912CC"/>
    <w:rsid w:val="00C9224E"/>
    <w:rsid w:val="00C93F37"/>
    <w:rsid w:val="00C95438"/>
    <w:rsid w:val="00CA1B57"/>
    <w:rsid w:val="00CA2B34"/>
    <w:rsid w:val="00CA37E9"/>
    <w:rsid w:val="00CA39B6"/>
    <w:rsid w:val="00CB15EA"/>
    <w:rsid w:val="00CB5405"/>
    <w:rsid w:val="00CB55B3"/>
    <w:rsid w:val="00CC1EB8"/>
    <w:rsid w:val="00CC302F"/>
    <w:rsid w:val="00CC5CD4"/>
    <w:rsid w:val="00CC60C4"/>
    <w:rsid w:val="00CC6535"/>
    <w:rsid w:val="00CC6E1B"/>
    <w:rsid w:val="00CD269E"/>
    <w:rsid w:val="00CD42C5"/>
    <w:rsid w:val="00CD44AF"/>
    <w:rsid w:val="00CE01A3"/>
    <w:rsid w:val="00CE0AA1"/>
    <w:rsid w:val="00CE1810"/>
    <w:rsid w:val="00CE37FF"/>
    <w:rsid w:val="00CE57AC"/>
    <w:rsid w:val="00CE5FB4"/>
    <w:rsid w:val="00CE6A46"/>
    <w:rsid w:val="00CE7690"/>
    <w:rsid w:val="00D0261F"/>
    <w:rsid w:val="00D04060"/>
    <w:rsid w:val="00D10375"/>
    <w:rsid w:val="00D14433"/>
    <w:rsid w:val="00D150BE"/>
    <w:rsid w:val="00D15D21"/>
    <w:rsid w:val="00D16DC8"/>
    <w:rsid w:val="00D170D9"/>
    <w:rsid w:val="00D24B1E"/>
    <w:rsid w:val="00D24DEC"/>
    <w:rsid w:val="00D27C92"/>
    <w:rsid w:val="00D33265"/>
    <w:rsid w:val="00D35D38"/>
    <w:rsid w:val="00D371B7"/>
    <w:rsid w:val="00D378B5"/>
    <w:rsid w:val="00D37F4E"/>
    <w:rsid w:val="00D41423"/>
    <w:rsid w:val="00D430C5"/>
    <w:rsid w:val="00D43306"/>
    <w:rsid w:val="00D43441"/>
    <w:rsid w:val="00D43747"/>
    <w:rsid w:val="00D43877"/>
    <w:rsid w:val="00D44E7D"/>
    <w:rsid w:val="00D47E66"/>
    <w:rsid w:val="00D5251B"/>
    <w:rsid w:val="00D53CBC"/>
    <w:rsid w:val="00D57631"/>
    <w:rsid w:val="00D605B5"/>
    <w:rsid w:val="00D61503"/>
    <w:rsid w:val="00D633BE"/>
    <w:rsid w:val="00D63CC0"/>
    <w:rsid w:val="00D63FC3"/>
    <w:rsid w:val="00D6640E"/>
    <w:rsid w:val="00D67D98"/>
    <w:rsid w:val="00D7369D"/>
    <w:rsid w:val="00D76773"/>
    <w:rsid w:val="00D80666"/>
    <w:rsid w:val="00D80D00"/>
    <w:rsid w:val="00D82F5E"/>
    <w:rsid w:val="00D83E8E"/>
    <w:rsid w:val="00D8438E"/>
    <w:rsid w:val="00D85806"/>
    <w:rsid w:val="00D936F8"/>
    <w:rsid w:val="00DA3B53"/>
    <w:rsid w:val="00DA444A"/>
    <w:rsid w:val="00DA50DE"/>
    <w:rsid w:val="00DA7356"/>
    <w:rsid w:val="00DB010F"/>
    <w:rsid w:val="00DB3348"/>
    <w:rsid w:val="00DC1948"/>
    <w:rsid w:val="00DC3B2A"/>
    <w:rsid w:val="00DC45C1"/>
    <w:rsid w:val="00DC6B33"/>
    <w:rsid w:val="00DD4D23"/>
    <w:rsid w:val="00DD7001"/>
    <w:rsid w:val="00DE0DA8"/>
    <w:rsid w:val="00DE262E"/>
    <w:rsid w:val="00DE4A34"/>
    <w:rsid w:val="00DF2F45"/>
    <w:rsid w:val="00E02FBC"/>
    <w:rsid w:val="00E062C1"/>
    <w:rsid w:val="00E07066"/>
    <w:rsid w:val="00E07523"/>
    <w:rsid w:val="00E10B7A"/>
    <w:rsid w:val="00E14AD3"/>
    <w:rsid w:val="00E22D11"/>
    <w:rsid w:val="00E23BBD"/>
    <w:rsid w:val="00E24E66"/>
    <w:rsid w:val="00E25E8C"/>
    <w:rsid w:val="00E33E25"/>
    <w:rsid w:val="00E37F01"/>
    <w:rsid w:val="00E43F5D"/>
    <w:rsid w:val="00E45E43"/>
    <w:rsid w:val="00E47B2A"/>
    <w:rsid w:val="00E533CD"/>
    <w:rsid w:val="00E57C5A"/>
    <w:rsid w:val="00E57E46"/>
    <w:rsid w:val="00E60FD6"/>
    <w:rsid w:val="00E62E26"/>
    <w:rsid w:val="00E65412"/>
    <w:rsid w:val="00E700FA"/>
    <w:rsid w:val="00E711DC"/>
    <w:rsid w:val="00E80D61"/>
    <w:rsid w:val="00E81D0F"/>
    <w:rsid w:val="00E821FD"/>
    <w:rsid w:val="00E8588E"/>
    <w:rsid w:val="00E87438"/>
    <w:rsid w:val="00E91558"/>
    <w:rsid w:val="00E93A77"/>
    <w:rsid w:val="00EA59ED"/>
    <w:rsid w:val="00EA78B9"/>
    <w:rsid w:val="00EA7EB5"/>
    <w:rsid w:val="00EB4B0E"/>
    <w:rsid w:val="00EC0A71"/>
    <w:rsid w:val="00EC165F"/>
    <w:rsid w:val="00EC5AB5"/>
    <w:rsid w:val="00ED30D3"/>
    <w:rsid w:val="00ED3D2C"/>
    <w:rsid w:val="00ED5719"/>
    <w:rsid w:val="00ED5A97"/>
    <w:rsid w:val="00ED6873"/>
    <w:rsid w:val="00EE2152"/>
    <w:rsid w:val="00EE326F"/>
    <w:rsid w:val="00EF214D"/>
    <w:rsid w:val="00EF600B"/>
    <w:rsid w:val="00EF6170"/>
    <w:rsid w:val="00EF691A"/>
    <w:rsid w:val="00EF6B9B"/>
    <w:rsid w:val="00F010E1"/>
    <w:rsid w:val="00F01990"/>
    <w:rsid w:val="00F05579"/>
    <w:rsid w:val="00F06C15"/>
    <w:rsid w:val="00F075EE"/>
    <w:rsid w:val="00F108C1"/>
    <w:rsid w:val="00F15059"/>
    <w:rsid w:val="00F15978"/>
    <w:rsid w:val="00F17AE1"/>
    <w:rsid w:val="00F208BF"/>
    <w:rsid w:val="00F215A5"/>
    <w:rsid w:val="00F216AB"/>
    <w:rsid w:val="00F23976"/>
    <w:rsid w:val="00F2644F"/>
    <w:rsid w:val="00F336B1"/>
    <w:rsid w:val="00F34C5E"/>
    <w:rsid w:val="00F36A3E"/>
    <w:rsid w:val="00F37BE2"/>
    <w:rsid w:val="00F4096A"/>
    <w:rsid w:val="00F420CE"/>
    <w:rsid w:val="00F46457"/>
    <w:rsid w:val="00F470F0"/>
    <w:rsid w:val="00F478DE"/>
    <w:rsid w:val="00F5441D"/>
    <w:rsid w:val="00F63414"/>
    <w:rsid w:val="00F65280"/>
    <w:rsid w:val="00F67404"/>
    <w:rsid w:val="00F675B0"/>
    <w:rsid w:val="00F7327C"/>
    <w:rsid w:val="00F73D30"/>
    <w:rsid w:val="00F74E33"/>
    <w:rsid w:val="00F77131"/>
    <w:rsid w:val="00F8126F"/>
    <w:rsid w:val="00F8318C"/>
    <w:rsid w:val="00F84EA0"/>
    <w:rsid w:val="00F858B0"/>
    <w:rsid w:val="00F90033"/>
    <w:rsid w:val="00F91213"/>
    <w:rsid w:val="00F91789"/>
    <w:rsid w:val="00FA2D02"/>
    <w:rsid w:val="00FA4D6F"/>
    <w:rsid w:val="00FA732D"/>
    <w:rsid w:val="00FB2893"/>
    <w:rsid w:val="00FB383F"/>
    <w:rsid w:val="00FB39BD"/>
    <w:rsid w:val="00FB44B4"/>
    <w:rsid w:val="00FC01A4"/>
    <w:rsid w:val="00FC32E8"/>
    <w:rsid w:val="00FC3E5D"/>
    <w:rsid w:val="00FC4664"/>
    <w:rsid w:val="00FC54B3"/>
    <w:rsid w:val="00FC5BB2"/>
    <w:rsid w:val="00FC7799"/>
    <w:rsid w:val="00FD06E6"/>
    <w:rsid w:val="00FD236B"/>
    <w:rsid w:val="00FD379F"/>
    <w:rsid w:val="00FD380E"/>
    <w:rsid w:val="00FD6632"/>
    <w:rsid w:val="00FF3E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323498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747"/>
    <w:pPr>
      <w:spacing w:after="0" w:line="240" w:lineRule="auto"/>
    </w:pPr>
    <w:rPr>
      <w:rFonts w:eastAsia="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Char">
    <w:name w:val="Body Text 2 Char"/>
    <w:link w:val="BodyText2"/>
    <w:semiHidden/>
    <w:locked/>
    <w:rsid w:val="00B135BD"/>
    <w:rPr>
      <w:rFonts w:ascii="Garamond" w:hAnsi="Garamond"/>
      <w:sz w:val="28"/>
    </w:rPr>
  </w:style>
  <w:style w:type="paragraph" w:styleId="BodyText2">
    <w:name w:val="Body Text 2"/>
    <w:basedOn w:val="Normal"/>
    <w:link w:val="BodyText2Char"/>
    <w:semiHidden/>
    <w:rsid w:val="00B135BD"/>
    <w:pPr>
      <w:jc w:val="right"/>
    </w:pPr>
    <w:rPr>
      <w:rFonts w:ascii="Garamond" w:eastAsiaTheme="minorHAnsi" w:hAnsi="Garamond" w:cstheme="minorBidi"/>
      <w:sz w:val="28"/>
    </w:rPr>
  </w:style>
  <w:style w:type="character" w:customStyle="1" w:styleId="BodyText2Char1">
    <w:name w:val="Body Text 2 Char1"/>
    <w:basedOn w:val="DefaultParagraphFont"/>
    <w:uiPriority w:val="99"/>
    <w:semiHidden/>
    <w:rsid w:val="00B135BD"/>
    <w:rPr>
      <w:rFonts w:eastAsia="Times New Roman" w:cs="Times New Roman"/>
    </w:rPr>
  </w:style>
  <w:style w:type="paragraph" w:styleId="Footer">
    <w:name w:val="footer"/>
    <w:basedOn w:val="Normal"/>
    <w:link w:val="FooterChar"/>
    <w:uiPriority w:val="99"/>
    <w:rsid w:val="00B135BD"/>
    <w:pPr>
      <w:tabs>
        <w:tab w:val="center" w:pos="4153"/>
        <w:tab w:val="right" w:pos="8306"/>
      </w:tabs>
    </w:pPr>
  </w:style>
  <w:style w:type="character" w:customStyle="1" w:styleId="FooterChar">
    <w:name w:val="Footer Char"/>
    <w:basedOn w:val="DefaultParagraphFont"/>
    <w:link w:val="Footer"/>
    <w:uiPriority w:val="99"/>
    <w:rsid w:val="00B135BD"/>
    <w:rPr>
      <w:rFonts w:eastAsia="Times New Roman" w:cs="Times New Roman"/>
    </w:rPr>
  </w:style>
  <w:style w:type="character" w:styleId="PageNumber">
    <w:name w:val="page number"/>
    <w:basedOn w:val="DefaultParagraphFont"/>
    <w:rsid w:val="00B135BD"/>
    <w:rPr>
      <w:rFonts w:cs="Times New Roman"/>
    </w:rPr>
  </w:style>
  <w:style w:type="paragraph" w:styleId="Header">
    <w:name w:val="header"/>
    <w:basedOn w:val="Normal"/>
    <w:link w:val="HeaderChar"/>
    <w:uiPriority w:val="99"/>
    <w:unhideWhenUsed/>
    <w:rsid w:val="00B135BD"/>
    <w:pPr>
      <w:tabs>
        <w:tab w:val="center" w:pos="4153"/>
        <w:tab w:val="right" w:pos="8306"/>
      </w:tabs>
    </w:pPr>
  </w:style>
  <w:style w:type="character" w:customStyle="1" w:styleId="HeaderChar">
    <w:name w:val="Header Char"/>
    <w:basedOn w:val="DefaultParagraphFont"/>
    <w:link w:val="Header"/>
    <w:uiPriority w:val="99"/>
    <w:rsid w:val="00B135BD"/>
    <w:rPr>
      <w:rFonts w:eastAsia="Times New Roman" w:cs="Times New Roman"/>
    </w:rPr>
  </w:style>
  <w:style w:type="paragraph" w:customStyle="1" w:styleId="tv213">
    <w:name w:val="tv213"/>
    <w:basedOn w:val="Normal"/>
    <w:rsid w:val="00B135BD"/>
    <w:pPr>
      <w:spacing w:before="100" w:beforeAutospacing="1" w:after="100" w:afterAutospacing="1"/>
    </w:pPr>
    <w:rPr>
      <w:lang w:eastAsia="lv-LV"/>
    </w:rPr>
  </w:style>
  <w:style w:type="character" w:styleId="Hyperlink">
    <w:name w:val="Hyperlink"/>
    <w:basedOn w:val="DefaultParagraphFont"/>
    <w:uiPriority w:val="99"/>
    <w:unhideWhenUsed/>
    <w:rsid w:val="00FC01A4"/>
    <w:rPr>
      <w:color w:val="0563C1" w:themeColor="hyperlink"/>
      <w:u w:val="single"/>
    </w:rPr>
  </w:style>
  <w:style w:type="paragraph" w:styleId="FootnoteText">
    <w:name w:val="footnote text"/>
    <w:basedOn w:val="Normal"/>
    <w:link w:val="FootnoteTextChar"/>
    <w:uiPriority w:val="99"/>
    <w:semiHidden/>
    <w:unhideWhenUsed/>
    <w:rsid w:val="0089783C"/>
    <w:pPr>
      <w:spacing w:after="200" w:line="276" w:lineRule="auto"/>
    </w:pPr>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89783C"/>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89783C"/>
    <w:rPr>
      <w:vertAlign w:val="superscript"/>
    </w:rPr>
  </w:style>
  <w:style w:type="table" w:styleId="TableGrid">
    <w:name w:val="Table Grid"/>
    <w:basedOn w:val="TableNormal"/>
    <w:uiPriority w:val="39"/>
    <w:rsid w:val="00432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2B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BB7"/>
    <w:rPr>
      <w:rFonts w:ascii="Segoe UI" w:eastAsia="Times New Roman" w:hAnsi="Segoe UI" w:cs="Segoe UI"/>
      <w:sz w:val="18"/>
      <w:szCs w:val="18"/>
    </w:rPr>
  </w:style>
  <w:style w:type="paragraph" w:styleId="ListParagraph">
    <w:name w:val="List Paragraph"/>
    <w:basedOn w:val="Normal"/>
    <w:uiPriority w:val="34"/>
    <w:qFormat/>
    <w:rsid w:val="00C95438"/>
    <w:pPr>
      <w:ind w:left="720"/>
      <w:contextualSpacing/>
    </w:pPr>
  </w:style>
  <w:style w:type="character" w:styleId="UnresolvedMention">
    <w:name w:val="Unresolved Mention"/>
    <w:basedOn w:val="DefaultParagraphFont"/>
    <w:uiPriority w:val="99"/>
    <w:semiHidden/>
    <w:unhideWhenUsed/>
    <w:rsid w:val="005275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5172920">
      <w:bodyDiv w:val="1"/>
      <w:marLeft w:val="0"/>
      <w:marRight w:val="0"/>
      <w:marTop w:val="0"/>
      <w:marBottom w:val="0"/>
      <w:divBdr>
        <w:top w:val="none" w:sz="0" w:space="0" w:color="auto"/>
        <w:left w:val="none" w:sz="0" w:space="0" w:color="auto"/>
        <w:bottom w:val="none" w:sz="0" w:space="0" w:color="auto"/>
        <w:right w:val="none" w:sz="0" w:space="0" w:color="auto"/>
      </w:divBdr>
    </w:div>
    <w:div w:id="954752598">
      <w:bodyDiv w:val="1"/>
      <w:marLeft w:val="0"/>
      <w:marRight w:val="0"/>
      <w:marTop w:val="0"/>
      <w:marBottom w:val="0"/>
      <w:divBdr>
        <w:top w:val="none" w:sz="0" w:space="0" w:color="auto"/>
        <w:left w:val="none" w:sz="0" w:space="0" w:color="auto"/>
        <w:bottom w:val="none" w:sz="0" w:space="0" w:color="auto"/>
        <w:right w:val="none" w:sz="0" w:space="0" w:color="auto"/>
      </w:divBdr>
    </w:div>
    <w:div w:id="1282151287">
      <w:bodyDiv w:val="1"/>
      <w:marLeft w:val="0"/>
      <w:marRight w:val="0"/>
      <w:marTop w:val="0"/>
      <w:marBottom w:val="0"/>
      <w:divBdr>
        <w:top w:val="none" w:sz="0" w:space="0" w:color="auto"/>
        <w:left w:val="none" w:sz="0" w:space="0" w:color="auto"/>
        <w:bottom w:val="none" w:sz="0" w:space="0" w:color="auto"/>
        <w:right w:val="none" w:sz="0" w:space="0" w:color="auto"/>
      </w:divBdr>
    </w:div>
    <w:div w:id="162241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09062.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42F3B-9836-4BBF-89D4-27A6D503A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6236</Words>
  <Characters>35546</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2020-04-29T07:36:00Z</dcterms:created>
  <dcterms:modified xsi:type="dcterms:W3CDTF">2020-04-29T09:14:00Z</dcterms:modified>
</cp:coreProperties>
</file>